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xml" ContentType="application/vnd.openxmlformats-officedocument.wordprocessingml.header+xml"/>
  <Override PartName="/word/header160.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FA266" w14:textId="4268F671" w:rsidR="0057163C" w:rsidRPr="00170422" w:rsidRDefault="00F37BF9" w:rsidP="00F37BF9">
      <w:pPr>
        <w:pStyle w:val="Pagedecouverture"/>
        <w:rPr>
          <w:noProof/>
          <w:lang w:val="de-DE"/>
        </w:rPr>
      </w:pPr>
      <w:bookmarkStart w:id="0" w:name="LW_BM_COVERPAGE"/>
      <w:r>
        <w:rPr>
          <w:noProof/>
          <w:lang w:val="de-DE"/>
        </w:rPr>
        <w:pict w14:anchorId="2F0668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3FAF79B-EC13-497B-9978-FD19FB1DA038" style="width:455.25pt;height:410.25pt">
            <v:imagedata r:id="rId11" o:title=""/>
          </v:shape>
        </w:pict>
      </w:r>
    </w:p>
    <w:bookmarkEnd w:id="0"/>
    <w:p w14:paraId="6EF61DDC" w14:textId="77777777" w:rsidR="0057163C" w:rsidRPr="00170422" w:rsidRDefault="0057163C">
      <w:pPr>
        <w:rPr>
          <w:noProof/>
          <w:lang w:val="de-DE"/>
        </w:rPr>
        <w:sectPr w:rsidR="0057163C" w:rsidRPr="00170422" w:rsidSect="00F37BF9">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72E475F5" w14:textId="77777777" w:rsidR="0057163C" w:rsidRPr="00170422" w:rsidRDefault="00F37BF9">
      <w:pPr>
        <w:pStyle w:val="P68B1DB1-Heading11"/>
        <w:jc w:val="center"/>
        <w:rPr>
          <w:bCs/>
          <w:noProof/>
          <w:lang w:val="de-DE"/>
        </w:rPr>
      </w:pPr>
      <w:bookmarkStart w:id="1" w:name="_GoBack"/>
      <w:bookmarkEnd w:id="1"/>
      <w:r w:rsidRPr="00170422">
        <w:rPr>
          <w:noProof/>
          <w:lang w:val="de-DE"/>
        </w:rPr>
        <w:lastRenderedPageBreak/>
        <w:t>ANHANG</w:t>
      </w:r>
    </w:p>
    <w:p w14:paraId="418E2DB7" w14:textId="77777777" w:rsidR="0057163C" w:rsidRPr="00170422" w:rsidRDefault="00F37BF9">
      <w:pPr>
        <w:pStyle w:val="P68B1DB1-Heading12"/>
        <w:keepLines w:val="0"/>
        <w:numPr>
          <w:ilvl w:val="3"/>
          <w:numId w:val="57"/>
        </w:numPr>
        <w:spacing w:after="120" w:line="240" w:lineRule="auto"/>
        <w:ind w:left="851" w:hanging="851"/>
        <w:jc w:val="both"/>
        <w:rPr>
          <w:bCs/>
          <w:noProof/>
          <w:lang w:val="de-DE"/>
        </w:rPr>
      </w:pPr>
      <w:r w:rsidRPr="00170422">
        <w:rPr>
          <w:noProof/>
          <w:lang w:val="de-DE"/>
        </w:rPr>
        <w:t>BESCHREIBUNG DER REFORMEN UND INVESTITIONEN</w:t>
      </w:r>
    </w:p>
    <w:p w14:paraId="067CAD1C" w14:textId="77777777" w:rsidR="0057163C" w:rsidRPr="00170422" w:rsidRDefault="00F37BF9">
      <w:pPr>
        <w:pStyle w:val="P68B1DB1-Heading23"/>
        <w:numPr>
          <w:ilvl w:val="0"/>
          <w:numId w:val="68"/>
        </w:numPr>
        <w:spacing w:line="279" w:lineRule="auto"/>
        <w:rPr>
          <w:bCs/>
          <w:noProof/>
          <w:lang w:val="de-DE"/>
        </w:rPr>
      </w:pPr>
      <w:r w:rsidRPr="00170422">
        <w:rPr>
          <w:noProof/>
          <w:lang w:val="de-DE"/>
        </w:rPr>
        <w:t>MISSION 1 – KOMPONENTE 1</w:t>
      </w:r>
    </w:p>
    <w:p w14:paraId="7809C6A9" w14:textId="77777777" w:rsidR="0057163C" w:rsidRPr="00170422" w:rsidRDefault="00F37BF9">
      <w:pPr>
        <w:pStyle w:val="Descriptiontitle"/>
        <w:ind w:left="0"/>
        <w:rPr>
          <w:rFonts w:eastAsiaTheme="minorEastAsia"/>
          <w:noProof/>
          <w:lang w:val="de-DE"/>
        </w:rPr>
      </w:pPr>
      <w:r w:rsidRPr="00170422">
        <w:rPr>
          <w:b/>
          <w:noProof/>
          <w:lang w:val="de-DE"/>
        </w:rPr>
        <w:t>Schwerpunkt 1 – Digitalisierung der öffentlichen Verwaltung</w:t>
      </w:r>
      <w:r w:rsidRPr="00170422">
        <w:rPr>
          <w:noProof/>
          <w:lang w:val="de-DE"/>
        </w:rPr>
        <w:t xml:space="preserve">: Schwerpunkt 1 der </w:t>
      </w:r>
      <w:r w:rsidRPr="00170422">
        <w:rPr>
          <w:noProof/>
          <w:lang w:val="de-DE"/>
        </w:rPr>
        <w:t>Komponente M1C1 des italienischen Aufbau- und Resilienzplans enthält Maßnahmen zur Förderung der Digitalisierung der öffentlichen Verwaltung Italiens und umfasst sieben Investitionen und drei Reformen. Die Investitionen zielen insbesondere auf Folgendes ab</w:t>
      </w:r>
      <w:r w:rsidRPr="00170422">
        <w:rPr>
          <w:noProof/>
          <w:lang w:val="de-DE"/>
        </w:rPr>
        <w:t>: I) die Rationalisierung und Konsolidierung bestehender digitaler Infrastrukturen der öffentlichen Verwaltung; II) Förderung der Einführung von Cloud-Computing, iii) unter besonderer Berücksichtigung der Harmonisierung und Interoperabilität von Plattforme</w:t>
      </w:r>
      <w:r w:rsidRPr="00170422">
        <w:rPr>
          <w:noProof/>
          <w:lang w:val="de-DE"/>
        </w:rPr>
        <w:t>n und Datendiensten, der Umsetzung des Grundsatzes der einmaligen Erfassung und der Zugänglichkeit von Daten durch einen Katalog von Anwendungsprogrammierschnittstellen (API); IV) Verbesserung der Verfügbarkeit, Effizienz und Zugänglichkeit aller digitalen</w:t>
      </w:r>
      <w:r w:rsidRPr="00170422">
        <w:rPr>
          <w:noProof/>
          <w:lang w:val="de-DE"/>
        </w:rPr>
        <w:t xml:space="preserve"> öffentlichen Dienste mit dem Ziel, die Akzeptanz und die Zufriedenheit der Nutzer zu erhöhen, v) Stärkung der Abwehrmaßnahmen Italiens gegen die von der Cyberkriminalität ausgehenden Risiken, vi) Förderung des digitalen Wandels in großen Zentralverwaltung</w:t>
      </w:r>
      <w:r w:rsidRPr="00170422">
        <w:rPr>
          <w:noProof/>
          <w:lang w:val="de-DE"/>
        </w:rPr>
        <w:t xml:space="preserve">en; VII) Überwindung der digitalen Kluft durch Stärkung der digitalen Kompetenzen der Bürgerinnen und Bürger. Die Reformen im Rahmen dieses Unterprogramms zielen insbesondere darauf ab, i) das Vergabeverfahren für Lösungen im Bereich der Informations- und </w:t>
      </w:r>
      <w:r w:rsidRPr="00170422">
        <w:rPr>
          <w:noProof/>
          <w:lang w:val="de-DE"/>
        </w:rPr>
        <w:t>Kommunikationstechnologien (IKT) durch die öffentliche Verwaltung zu straffen und zu beschleunigen; II) Unterstützung des digitalen Wandels in der öffentlichen Verwaltung und iii) Beseitigung von Hindernissen für die Einführung von Cloud-Diensten durch öff</w:t>
      </w:r>
      <w:r w:rsidRPr="00170422">
        <w:rPr>
          <w:noProof/>
          <w:lang w:val="de-DE"/>
        </w:rPr>
        <w:t>entliche Verwaltungen und Straffung der Datenaustauschverfahren zwischen öffentlichen Verwaltungen.</w:t>
      </w:r>
    </w:p>
    <w:p w14:paraId="2A174A24" w14:textId="77777777" w:rsidR="0057163C" w:rsidRPr="00170422" w:rsidRDefault="00F37BF9">
      <w:pPr>
        <w:pStyle w:val="Descriptiontitle"/>
        <w:ind w:left="0"/>
        <w:rPr>
          <w:rFonts w:eastAsiaTheme="minorEastAsia"/>
          <w:noProof/>
          <w:lang w:val="de-DE"/>
        </w:rPr>
      </w:pPr>
      <w:r w:rsidRPr="00170422">
        <w:rPr>
          <w:noProof/>
          <w:lang w:val="de-DE"/>
        </w:rPr>
        <w:t>Die Investitionen und Reformen im Rahmen dieser Komponente sollen dazu beitragen, die länderspezifischen Empfehlungen an Italien in den Jahren 2020 und 2019</w:t>
      </w:r>
      <w:r w:rsidRPr="00170422">
        <w:rPr>
          <w:noProof/>
          <w:lang w:val="de-DE"/>
        </w:rPr>
        <w:t xml:space="preserve"> umzusetzen, in denen es darum geht, „die Wirksamkeit der öffentlichen Verwaltung zu verbessern, unter anderem durch Investitionen in die Kompetenzen der öffentlichen Bediensteten, durch Beschleunigung der Digitalisierung und durch Steigerung der Effizienz</w:t>
      </w:r>
      <w:r w:rsidRPr="00170422">
        <w:rPr>
          <w:noProof/>
          <w:lang w:val="de-DE"/>
        </w:rPr>
        <w:t xml:space="preserve"> und Qualität lokaler öffentlicher Dienstleistungen“ (länderspezifische Empfehlung 3, 2019) und „die Investitionen auf den ökologischen und digitalen Wandel zu konzentrieren, insbesondere in [...] verstärkte digitale Infrastrukturen, um die Erbringung wese</w:t>
      </w:r>
      <w:r w:rsidRPr="00170422">
        <w:rPr>
          <w:noProof/>
          <w:lang w:val="de-DE"/>
        </w:rPr>
        <w:t>ntlicher Dienstleistungen sicherzustellen“ (länderspezifische Empfehlung 3, 2020).</w:t>
      </w:r>
    </w:p>
    <w:p w14:paraId="5A840D96" w14:textId="77777777" w:rsidR="0057163C" w:rsidRPr="00170422" w:rsidRDefault="00F37BF9">
      <w:pPr>
        <w:pStyle w:val="Descriptiontitle"/>
        <w:ind w:left="0"/>
        <w:rPr>
          <w:rFonts w:eastAsiaTheme="minorEastAsia"/>
          <w:noProof/>
          <w:lang w:val="de-DE"/>
        </w:rPr>
      </w:pPr>
      <w:r w:rsidRPr="00170422">
        <w:rPr>
          <w:b/>
          <w:noProof/>
          <w:lang w:val="de-DE"/>
        </w:rPr>
        <w:t>Schwerpunkt 2 – Justiz</w:t>
      </w:r>
      <w:r w:rsidRPr="00170422">
        <w:rPr>
          <w:noProof/>
          <w:lang w:val="de-DE"/>
        </w:rPr>
        <w:t>: Wie im jüngsten Bericht der Europäischen Kommission über die Effizienz der Justiz (CEPEJ) dargelegt, ist die Leistung des italienischen Justizsystems</w:t>
      </w:r>
      <w:r w:rsidRPr="00170422">
        <w:rPr>
          <w:noProof/>
          <w:lang w:val="de-DE"/>
        </w:rPr>
        <w:t xml:space="preserve"> in Bezug auf die Verfahrensdauer nach wie vor weit von denen anderer Mitgliedstaaten entfernt. Schwerpunkt 2 der Komponente M1C1 des Aufbau- und Resilienzplans enthält Maßnahmen, mit denen das Justizsystem effizienter gestaltet werden soll, indem die Verf</w:t>
      </w:r>
      <w:r w:rsidRPr="00170422">
        <w:rPr>
          <w:noProof/>
          <w:lang w:val="de-DE"/>
        </w:rPr>
        <w:t>ahrensdauer verkürzt und Italien näher an den Median der EU herangeführt wird. Mit dieser Komponente werden die länderspezifischen Empfehlungen an Italien in den Jahren 2020 und 2019 zur Verkürzung der Dauer von Zivilprozessen und zur Verbesserung der Wirk</w:t>
      </w:r>
      <w:r w:rsidRPr="00170422">
        <w:rPr>
          <w:noProof/>
          <w:lang w:val="de-DE"/>
        </w:rPr>
        <w:t>samkeit der Korruptionsbekämpfung (länderspezifische Empfehlungen 4, 2019 und 4, 2020) umgesetzt. Darüber hinaus ist die Digitalisierung des Justizsystems auch für den digitalen Wandel von Bedeutung.</w:t>
      </w:r>
    </w:p>
    <w:p w14:paraId="170A0A69" w14:textId="77777777" w:rsidR="0057163C" w:rsidRPr="00170422" w:rsidRDefault="00F37BF9">
      <w:pPr>
        <w:pStyle w:val="Descriptiontitle"/>
        <w:ind w:left="0"/>
        <w:rPr>
          <w:noProof/>
          <w:lang w:val="de-DE"/>
        </w:rPr>
      </w:pPr>
      <w:r w:rsidRPr="00170422">
        <w:rPr>
          <w:b/>
          <w:noProof/>
          <w:lang w:val="de-DE"/>
        </w:rPr>
        <w:t>Schwerpunkt 3 – Öffentliche Verwaltung</w:t>
      </w:r>
      <w:r w:rsidRPr="00170422">
        <w:rPr>
          <w:noProof/>
          <w:lang w:val="de-DE"/>
        </w:rPr>
        <w:t>: Schwerpunkt 3 de</w:t>
      </w:r>
      <w:r w:rsidRPr="00170422">
        <w:rPr>
          <w:noProof/>
          <w:lang w:val="de-DE"/>
        </w:rPr>
        <w:t>r Komponente M1C1 des Aufbau- und Resilienzplans enthält Maßnahmen zur Reform der öffentlichen Verwaltung in Italien und zur Verbesserung der Verwaltungskapazität. Italien liegt sowohl bei der Effizienz der Regierung als auch beim Vertrauen in die Regierun</w:t>
      </w:r>
      <w:r w:rsidRPr="00170422">
        <w:rPr>
          <w:noProof/>
          <w:lang w:val="de-DE"/>
        </w:rPr>
        <w:t>g unter dem Durchschnitt der EU-27. Die Reformen der öffentlichen Verwaltung in Italien wurden durch eine gravierende Umsetzungslücke bei den Top-down-Reformen und die geringe Anerkennung und Verbreitung wertvoller Bottom-up-Innovationen beeinträchtigt. Di</w:t>
      </w:r>
      <w:r w:rsidRPr="00170422">
        <w:rPr>
          <w:noProof/>
          <w:lang w:val="de-DE"/>
        </w:rPr>
        <w:t>e Verwaltungskapazität ist sehr gering. Die Bemühungen zur Stärkung der strategischen Planungskapazitäten, der Überwachungs- und Evaluierungsmechanismen und der faktengestützten politischen Entscheidungsinstrumente sollten fortgesetzt werden. Hauptziel die</w:t>
      </w:r>
      <w:r w:rsidRPr="00170422">
        <w:rPr>
          <w:noProof/>
          <w:lang w:val="de-DE"/>
        </w:rPr>
        <w:t>ser Komponente ist der Ausbau der Verwaltungskapazitäten der öffentlichen Verwaltungen Italiens auf zentraler und lokaler Ebene sowohl in Bezug auf das Humankapital (Auswahl, Kompetenzen und Laufbahnen) als auch im Hinblick auf die Vereinfachung der Verwal</w:t>
      </w:r>
      <w:r w:rsidRPr="00170422">
        <w:rPr>
          <w:noProof/>
          <w:lang w:val="de-DE"/>
        </w:rPr>
        <w:t>tungsverfahren. In diesem Abschnitt wird die übergreifende strukturelle Personalstrategie vorgestellt, die von den Auswahlverfahren bis hin zu Laufbahnen reicht. Die Reform umfasst auch Maßnahmen zur Vereinfachung der Verfahren. Investitionen in neue digit</w:t>
      </w:r>
      <w:r w:rsidRPr="00170422">
        <w:rPr>
          <w:noProof/>
          <w:lang w:val="de-DE"/>
        </w:rPr>
        <w:t>ale Toolkits und verstärkte Maßnahmen für lebenslanges Lernen sind Teil der Komponente 1 von Mission 1. Mit dieser Komponente werden die länderspezifischen Empfehlungen der Jahre 2020 und 2019 an Italien zur Verbesserung der Wirksamkeit der öffentlichen Ve</w:t>
      </w:r>
      <w:r w:rsidRPr="00170422">
        <w:rPr>
          <w:noProof/>
          <w:lang w:val="de-DE"/>
        </w:rPr>
        <w:t>rwaltung (länderspezifische Empfehlung 3, 2019 und länderspezifische Empfehlung 4, 2020) umgesetzt.</w:t>
      </w:r>
    </w:p>
    <w:p w14:paraId="773E2C97" w14:textId="77777777" w:rsidR="0057163C" w:rsidRPr="00170422" w:rsidRDefault="00F37BF9">
      <w:pPr>
        <w:pStyle w:val="Descriptiontitle"/>
        <w:ind w:left="0"/>
        <w:rPr>
          <w:noProof/>
          <w:lang w:val="de-DE"/>
        </w:rPr>
      </w:pPr>
      <w:r w:rsidRPr="00170422">
        <w:rPr>
          <w:b/>
          <w:noProof/>
          <w:lang w:val="de-DE"/>
        </w:rPr>
        <w:t>Schwerpunkt 4 – Öffentliche Auftragsvergabe und Zahlungen der Verwaltung</w:t>
      </w:r>
      <w:r w:rsidRPr="00170422">
        <w:rPr>
          <w:noProof/>
          <w:lang w:val="de-DE"/>
        </w:rPr>
        <w:t>: Schwerpunkt 4 der Komponente M1C1 des Aufbau- und Resilienzplans enthält Maßnahmen</w:t>
      </w:r>
      <w:r w:rsidRPr="00170422">
        <w:rPr>
          <w:noProof/>
          <w:lang w:val="de-DE"/>
        </w:rPr>
        <w:t>, die darauf abzielen, bestimmte zentrale Aspekte des italienischen Rechtsrahmens für das öffentliche Auftragswesen zu reformieren und den Zahlungsverzug der öffentlichen Verwaltungen auf zentraler, regionaler und lokaler Ebene sowie der regionalen Gesundh</w:t>
      </w:r>
      <w:r w:rsidRPr="00170422">
        <w:rPr>
          <w:noProof/>
          <w:lang w:val="de-DE"/>
        </w:rPr>
        <w:t>eitsbehörden zu verringern. Hauptziel der Reform ist es, die Vorschriften für die Vergabe öffentlicher Aufträge zu vereinfachen, die Rechtssicherheit für Unternehmen zu erhöhen und die Vergabe öffentlicher Aufträge zu beschleunigen und gleichzeitig Verfahr</w:t>
      </w:r>
      <w:r w:rsidRPr="00170422">
        <w:rPr>
          <w:noProof/>
          <w:lang w:val="de-DE"/>
        </w:rPr>
        <w:t>ensgarantien in Bezug auf Transparenz und Gleichbehandlung aufrechtzuerhalten. Diese Reformen unterstützen daher die rechtzeitige Verwirklichung der im Rahmen des Plans finanzierten Infrastrukturen und Projekte.</w:t>
      </w:r>
    </w:p>
    <w:p w14:paraId="2741A3E1" w14:textId="77777777" w:rsidR="0057163C" w:rsidRPr="00170422" w:rsidRDefault="00F37BF9">
      <w:pPr>
        <w:pStyle w:val="Descriptiontitle"/>
        <w:ind w:left="0"/>
        <w:rPr>
          <w:noProof/>
          <w:lang w:val="de-DE"/>
        </w:rPr>
      </w:pPr>
      <w:r w:rsidRPr="00170422">
        <w:rPr>
          <w:b/>
          <w:noProof/>
          <w:lang w:val="de-DE"/>
        </w:rPr>
        <w:t>Schwerpunkt 5 – Haushalts- und Strukturrefor</w:t>
      </w:r>
      <w:r w:rsidRPr="00170422">
        <w:rPr>
          <w:b/>
          <w:noProof/>
          <w:lang w:val="de-DE"/>
        </w:rPr>
        <w:t>men (Steuern und öffentliche Ausgaben)</w:t>
      </w:r>
      <w:r w:rsidRPr="00170422">
        <w:rPr>
          <w:noProof/>
          <w:lang w:val="de-DE"/>
        </w:rPr>
        <w:t>: Schwerpunkt 5 der Komponente M1C1 (Aufbau und Resilienz) umfasst mehrere Reformen zur Förderung der Tragfähigkeit der öffentlichen Finanzen Italiens (länderspezifische Empfehlung 1, 2019). Auf der Einnahmenseite ziel</w:t>
      </w:r>
      <w:r w:rsidRPr="00170422">
        <w:rPr>
          <w:noProof/>
          <w:lang w:val="de-DE"/>
        </w:rPr>
        <w:t xml:space="preserve">en die Reformen darauf ab, den Steuererhebungsprozess zu verbessern, die Einhaltung der Steuervorschriften zu fördern und Steuerhinterziehung zu bekämpfen, um die Befolgungskosten für die Steuerzahler zu senken und die Einnahmen des Staates zu erhöhen und </w:t>
      </w:r>
      <w:r w:rsidRPr="00170422">
        <w:rPr>
          <w:noProof/>
          <w:lang w:val="de-DE"/>
        </w:rPr>
        <w:t>so zur Verbesserung der Tragfähigkeit der öffentlichen Finanzen beizutragen. Auf der Ausgabenseite zielen die Reformen darauf ab, die Effizienz der öffentlichen Ausgaben sowohl auf zentraler Ebene durch die Stärkung des bestehenden Rahmens für jährliche Au</w:t>
      </w:r>
      <w:r w:rsidRPr="00170422">
        <w:rPr>
          <w:noProof/>
          <w:lang w:val="de-DE"/>
        </w:rPr>
        <w:t>sgabenüberprüfungen als auch auf subnationaler Ebene durch den Abschluss der Reform der Finanzbeziehungen zwischen den verschiedenen Regierungsebenen zu verbessern.</w:t>
      </w:r>
    </w:p>
    <w:p w14:paraId="1C38AE81" w14:textId="77777777" w:rsidR="0057163C" w:rsidRPr="00170422" w:rsidRDefault="00F37BF9">
      <w:pPr>
        <w:pStyle w:val="P68B1DB1-Heading34"/>
        <w:ind w:left="850" w:hanging="850"/>
        <w:rPr>
          <w:b/>
          <w:bCs/>
          <w:i/>
          <w:iCs/>
          <w:noProof/>
          <w:u w:val="single"/>
          <w:lang w:val="de-DE"/>
        </w:rPr>
      </w:pPr>
      <w:r w:rsidRPr="00170422">
        <w:rPr>
          <w:b/>
          <w:noProof/>
          <w:u w:val="single"/>
          <w:lang w:val="de-DE"/>
        </w:rPr>
        <w:t xml:space="preserve">A.1. </w:t>
      </w:r>
      <w:r w:rsidRPr="00170422">
        <w:rPr>
          <w:noProof/>
          <w:lang w:val="de-DE"/>
        </w:rPr>
        <w:t xml:space="preserve"> </w:t>
      </w:r>
      <w:r w:rsidRPr="00170422">
        <w:rPr>
          <w:b/>
          <w:noProof/>
          <w:u w:val="single"/>
          <w:lang w:val="de-DE"/>
        </w:rPr>
        <w:t>Beschreibung der Reformen und Investitionen für nicht rückzahlbare finanzielle Unters</w:t>
      </w:r>
      <w:r w:rsidRPr="00170422">
        <w:rPr>
          <w:b/>
          <w:noProof/>
          <w:u w:val="single"/>
          <w:lang w:val="de-DE"/>
        </w:rPr>
        <w:t>tützung</w:t>
      </w:r>
    </w:p>
    <w:p w14:paraId="458B5471" w14:textId="77777777" w:rsidR="0057163C" w:rsidRPr="00170422" w:rsidRDefault="00F37BF9">
      <w:pPr>
        <w:pStyle w:val="Axistitle"/>
        <w:ind w:left="0"/>
        <w:rPr>
          <w:noProof/>
          <w:lang w:val="de-DE"/>
        </w:rPr>
      </w:pPr>
      <w:r w:rsidRPr="00170422">
        <w:rPr>
          <w:noProof/>
          <w:lang w:val="de-DE"/>
        </w:rPr>
        <w:t>Schwerpunkt 1 – Digitalisierung der öffentlichen Verwaltung</w:t>
      </w:r>
    </w:p>
    <w:p w14:paraId="0D335B21" w14:textId="77777777" w:rsidR="0057163C" w:rsidRPr="00170422" w:rsidRDefault="00F37BF9">
      <w:pPr>
        <w:pStyle w:val="P68B1DB1-Normal5"/>
        <w:spacing w:before="240" w:after="120"/>
        <w:jc w:val="both"/>
        <w:rPr>
          <w:noProof/>
          <w:lang w:val="de-DE"/>
        </w:rPr>
      </w:pPr>
      <w:r w:rsidRPr="00170422">
        <w:rPr>
          <w:noProof/>
          <w:lang w:val="de-DE"/>
        </w:rPr>
        <w:t>Investition 1.1 – Digitale Infrastruktur</w:t>
      </w:r>
    </w:p>
    <w:p w14:paraId="063BBFEF" w14:textId="77777777" w:rsidR="0057163C" w:rsidRPr="00170422" w:rsidRDefault="00F37BF9">
      <w:pPr>
        <w:pStyle w:val="Descriptiontitle"/>
        <w:ind w:left="0"/>
        <w:rPr>
          <w:noProof/>
          <w:lang w:val="de-DE"/>
        </w:rPr>
      </w:pPr>
      <w:r w:rsidRPr="00170422">
        <w:rPr>
          <w:noProof/>
          <w:lang w:val="de-DE"/>
        </w:rPr>
        <w:t xml:space="preserve">Mit dieser Investition soll sichergestellt werden, dass die Systeme, Datensätze und Anwendungen der öffentlichen Verwaltung in Rechenzentren mit </w:t>
      </w:r>
      <w:r w:rsidRPr="00170422">
        <w:rPr>
          <w:noProof/>
          <w:lang w:val="de-DE"/>
        </w:rPr>
        <w:t>hohen Qualitätsstandards in Bezug auf Sicherheit, Leistung, Skalierbarkeit, europäische Interoperabilität und Energieeffizienz untergebracht sind. Die Investition besteht in der Migration der Datensätze und Anwendungen der öffentlichen Verwaltung zum PSN o</w:t>
      </w:r>
      <w:r w:rsidRPr="00170422">
        <w:rPr>
          <w:noProof/>
          <w:lang w:val="de-DE"/>
        </w:rPr>
        <w:t>der zu sicheren zertifizierten öffentlichen Cloud-Anbietern.</w:t>
      </w:r>
    </w:p>
    <w:p w14:paraId="2F8ACD25" w14:textId="77777777" w:rsidR="0057163C" w:rsidRPr="00170422" w:rsidRDefault="00F37BF9">
      <w:pPr>
        <w:pStyle w:val="P68B1DB1-Normal5"/>
        <w:spacing w:before="120" w:after="120"/>
        <w:jc w:val="both"/>
        <w:rPr>
          <w:noProof/>
          <w:lang w:val="de-DE"/>
        </w:rPr>
      </w:pPr>
      <w:r w:rsidRPr="00170422">
        <w:rPr>
          <w:noProof/>
          <w:lang w:val="de-DE"/>
        </w:rPr>
        <w:t>Investition 1.2 – Cloud-Ermöglichung für lokale PA</w:t>
      </w:r>
    </w:p>
    <w:p w14:paraId="7AECDB21" w14:textId="77777777" w:rsidR="0057163C" w:rsidRPr="00170422" w:rsidRDefault="00F37BF9">
      <w:pPr>
        <w:pStyle w:val="Descriptiontitle"/>
        <w:ind w:left="0"/>
        <w:rPr>
          <w:noProof/>
          <w:lang w:val="de-DE"/>
        </w:rPr>
      </w:pPr>
      <w:r w:rsidRPr="00170422">
        <w:rPr>
          <w:noProof/>
          <w:lang w:val="de-DE"/>
        </w:rPr>
        <w:t>Ziel dieser Investition ist es, die Datensätze und Anwendungen eines wesentlichen Teils der lokalen öffentlichen Verwaltung zu einer sicheren Cl</w:t>
      </w:r>
      <w:r w:rsidRPr="00170422">
        <w:rPr>
          <w:noProof/>
          <w:lang w:val="de-DE"/>
        </w:rPr>
        <w:t xml:space="preserve">oud-Infrastruktur zu migrieren, damit jede Verwaltung innerhalb einer Reihe zertifizierter öffentlicher Cloud-Umgebungen frei wählen kann. </w:t>
      </w:r>
    </w:p>
    <w:p w14:paraId="6B9F8742" w14:textId="4861EC7F" w:rsidR="0057163C" w:rsidRPr="00170422" w:rsidRDefault="00F37BF9">
      <w:pPr>
        <w:pStyle w:val="Descriptiontitle"/>
        <w:ind w:left="0"/>
        <w:rPr>
          <w:noProof/>
          <w:lang w:val="de-DE"/>
        </w:rPr>
      </w:pPr>
      <w:r w:rsidRPr="00170422">
        <w:rPr>
          <w:noProof/>
          <w:lang w:val="de-DE"/>
        </w:rPr>
        <w:t>Die Maßnahme sieht auch ein Unterstützungspaket für Behörden vor, das Folgendes umfasst: I) die erste Bewertung, ii)</w:t>
      </w:r>
      <w:r w:rsidRPr="00170422">
        <w:rPr>
          <w:noProof/>
          <w:lang w:val="de-DE"/>
        </w:rPr>
        <w:t xml:space="preserve"> die für die Einleitung der Bemühungen erforderliche verfahrenstechnische/administrative Unterstützung, iii) die Verhandlungen über die erforderliche externe Unterstützung und iv) das allgemeine Projektmanagement während der Durchführung. Ein vom Ministeri</w:t>
      </w:r>
      <w:r w:rsidRPr="00170422">
        <w:rPr>
          <w:noProof/>
          <w:lang w:val="de-DE"/>
        </w:rPr>
        <w:t xml:space="preserve">um für technologische Innovation und digitalen Wandel (MITD) beaufsichtigtes Team soll eine breite Liste qualifizierter Anbieter ermitteln und zertifizieren und eine Reihe von Standard-Unterstützungspaketen aushandeln, die auf die Größe der Verwaltung und </w:t>
      </w:r>
      <w:r w:rsidRPr="00170422">
        <w:rPr>
          <w:noProof/>
          <w:lang w:val="de-DE"/>
        </w:rPr>
        <w:t>der an der Migration beteiligten Dienste zugeschnitten sind.</w:t>
      </w:r>
    </w:p>
    <w:p w14:paraId="3D3ED71E" w14:textId="77777777" w:rsidR="0057163C" w:rsidRPr="00170422" w:rsidRDefault="00F37BF9">
      <w:pPr>
        <w:pStyle w:val="P68B1DB1-Normal5"/>
        <w:spacing w:before="240" w:after="120"/>
        <w:jc w:val="both"/>
        <w:rPr>
          <w:noProof/>
          <w:lang w:val="de-DE"/>
        </w:rPr>
      </w:pPr>
      <w:r w:rsidRPr="00170422">
        <w:rPr>
          <w:noProof/>
          <w:lang w:val="de-DE"/>
        </w:rPr>
        <w:t>Investition 1.3 – Daten und Interoperabilität</w:t>
      </w:r>
    </w:p>
    <w:p w14:paraId="2ECF6295" w14:textId="77777777" w:rsidR="0057163C" w:rsidRPr="00170422" w:rsidRDefault="00F37BF9">
      <w:pPr>
        <w:pStyle w:val="Descriptiontitle"/>
        <w:ind w:left="0"/>
        <w:rPr>
          <w:noProof/>
          <w:lang w:val="de-DE"/>
        </w:rPr>
      </w:pPr>
      <w:r w:rsidRPr="00170422">
        <w:rPr>
          <w:noProof/>
          <w:lang w:val="de-DE"/>
        </w:rPr>
        <w:t>Ziel dieser Investition ist es, die vollständige Interoperabilität der wichtigsten Datensätze und Dienste zwischen den zentralen und lokalen öffentli</w:t>
      </w:r>
      <w:r w:rsidRPr="00170422">
        <w:rPr>
          <w:noProof/>
          <w:lang w:val="de-DE"/>
        </w:rPr>
        <w:t>chen Verwaltungen zu gewährleisten. Die Maßnahme besteht in der Einrichtung einer nationalen digitalen Datenplattform („Piattaforma Digitale Nazionale Dati“), die die Interoperabilität von Datensätzen durch einen Katalog von Anwendungsprogrammierschnittste</w:t>
      </w:r>
      <w:r w:rsidRPr="00170422">
        <w:rPr>
          <w:noProof/>
          <w:lang w:val="de-DE"/>
        </w:rPr>
        <w:t>llen (API) ermöglicht, die von zentralen und lokalen Verwaltungen gemeinsam genutzt werden.</w:t>
      </w:r>
    </w:p>
    <w:p w14:paraId="65C6D9AA" w14:textId="273F9A03" w:rsidR="0057163C" w:rsidRPr="00170422" w:rsidRDefault="0057163C">
      <w:pPr>
        <w:rPr>
          <w:rFonts w:ascii="Times New Roman" w:eastAsia="Times New Roman" w:hAnsi="Times New Roman" w:cs="Times New Roman"/>
          <w:b/>
          <w:noProof/>
          <w:lang w:val="de-DE"/>
        </w:rPr>
      </w:pPr>
    </w:p>
    <w:p w14:paraId="6FD7811A" w14:textId="4A3170F2" w:rsidR="0057163C" w:rsidRPr="00170422" w:rsidRDefault="00F37BF9">
      <w:pPr>
        <w:pStyle w:val="P68B1DB1-Descriptiontitle6"/>
        <w:ind w:left="0"/>
        <w:rPr>
          <w:noProof/>
          <w:lang w:val="de-DE"/>
        </w:rPr>
      </w:pPr>
      <w:r w:rsidRPr="00170422">
        <w:rPr>
          <w:noProof/>
          <w:lang w:val="de-DE"/>
        </w:rPr>
        <w:t>Investition 1.4 – Digitale Dienste und Erfahrungen der Bürger</w:t>
      </w:r>
    </w:p>
    <w:p w14:paraId="3980AE1E" w14:textId="77777777" w:rsidR="0057163C" w:rsidRPr="00170422" w:rsidRDefault="00F37BF9">
      <w:pPr>
        <w:pStyle w:val="Descriptiontitle"/>
        <w:ind w:left="0"/>
        <w:rPr>
          <w:noProof/>
          <w:lang w:val="de-DE"/>
        </w:rPr>
      </w:pPr>
      <w:r w:rsidRPr="00170422">
        <w:rPr>
          <w:noProof/>
          <w:lang w:val="de-DE"/>
        </w:rPr>
        <w:t>Ziel dieser Investition ist es, ein integriertes und bürgerorientiertes Ökosystem d</w:t>
      </w:r>
      <w:r w:rsidRPr="00170422">
        <w:rPr>
          <w:noProof/>
          <w:lang w:val="de-DE"/>
        </w:rPr>
        <w:t xml:space="preserve">igitaler öffentlicher Dienste zu entwickeln, ihre breite Anwendung in den zentralen und lokalen Verwaltungen sicherzustellen und die allgemeine Nutzererfahrung zu verbessern. </w:t>
      </w:r>
    </w:p>
    <w:p w14:paraId="18A48F7D" w14:textId="77777777" w:rsidR="0057163C" w:rsidRPr="00170422" w:rsidRDefault="00F37BF9">
      <w:pPr>
        <w:pStyle w:val="Descriptiontitle"/>
        <w:ind w:left="0"/>
        <w:rPr>
          <w:noProof/>
          <w:lang w:val="de-DE"/>
        </w:rPr>
      </w:pPr>
      <w:r w:rsidRPr="00170422">
        <w:rPr>
          <w:noProof/>
          <w:lang w:val="de-DE"/>
        </w:rPr>
        <w:t xml:space="preserve">Die Maßnahme: </w:t>
      </w:r>
    </w:p>
    <w:p w14:paraId="7C217909" w14:textId="77777777" w:rsidR="0057163C" w:rsidRPr="00170422" w:rsidRDefault="00F37BF9">
      <w:pPr>
        <w:pStyle w:val="Descriptiontitle"/>
        <w:numPr>
          <w:ilvl w:val="0"/>
          <w:numId w:val="56"/>
        </w:numPr>
        <w:ind w:left="578" w:hanging="578"/>
        <w:rPr>
          <w:noProof/>
          <w:lang w:val="de-DE"/>
        </w:rPr>
      </w:pPr>
      <w:r w:rsidRPr="00170422">
        <w:rPr>
          <w:noProof/>
          <w:lang w:val="de-DE"/>
        </w:rPr>
        <w:t>definiert wiederverwendbare Modelle für die Erbringung von Dienst</w:t>
      </w:r>
      <w:r w:rsidRPr="00170422">
        <w:rPr>
          <w:noProof/>
          <w:lang w:val="de-DE"/>
        </w:rPr>
        <w:t>leistungen, die die uneingeschränkte Barrierefreiheit gewährleisten (Investition 1.4.1 – Bürgererfahrung – Verbesserung der Qualität und Nutzbarkeit digitaler öffentlicher Dienste);</w:t>
      </w:r>
    </w:p>
    <w:p w14:paraId="2B2D4B2D" w14:textId="77777777" w:rsidR="0057163C" w:rsidRPr="00170422" w:rsidRDefault="00F37BF9">
      <w:pPr>
        <w:pStyle w:val="Descriptiontitle"/>
        <w:numPr>
          <w:ilvl w:val="0"/>
          <w:numId w:val="56"/>
        </w:numPr>
        <w:ind w:left="578" w:hanging="578"/>
        <w:rPr>
          <w:noProof/>
          <w:lang w:val="de-DE"/>
        </w:rPr>
      </w:pPr>
      <w:r w:rsidRPr="00170422">
        <w:rPr>
          <w:noProof/>
          <w:lang w:val="de-DE"/>
        </w:rPr>
        <w:t>Verbesserung der Zugänglichkeit digitaler öffentlicher Dienste (Investitio</w:t>
      </w:r>
      <w:r w:rsidRPr="00170422">
        <w:rPr>
          <w:noProof/>
          <w:lang w:val="de-DE"/>
        </w:rPr>
        <w:t>n 1.4.2 – Inklusion der Bürger: Verbesserung der Zugänglichkeit digitaler öffentlicher Dienste);</w:t>
      </w:r>
    </w:p>
    <w:p w14:paraId="03A9CF66" w14:textId="77777777" w:rsidR="0057163C" w:rsidRPr="00170422" w:rsidRDefault="00F37BF9">
      <w:pPr>
        <w:pStyle w:val="Descriptiontitle"/>
        <w:numPr>
          <w:ilvl w:val="0"/>
          <w:numId w:val="56"/>
        </w:numPr>
        <w:ind w:left="578" w:hanging="578"/>
        <w:rPr>
          <w:noProof/>
          <w:lang w:val="de-DE"/>
        </w:rPr>
      </w:pPr>
      <w:r w:rsidRPr="00170422">
        <w:rPr>
          <w:noProof/>
          <w:lang w:val="de-DE"/>
        </w:rPr>
        <w:t>die Einführung der digitalen Anwendung für Zahlungen zwischen Bürgern und öffentlichen Verwaltungen (PagoPa) und die Einführung der „IO“-App (Investition 1.4.3</w:t>
      </w:r>
      <w:r w:rsidRPr="00170422">
        <w:rPr>
          <w:noProof/>
          <w:lang w:val="de-DE"/>
        </w:rPr>
        <w:t xml:space="preserve"> – Ausbau der PagoPA-Plattformdienste und der „IO-App“);</w:t>
      </w:r>
    </w:p>
    <w:p w14:paraId="24862B90" w14:textId="77777777" w:rsidR="0057163C" w:rsidRPr="00170422" w:rsidRDefault="00F37BF9">
      <w:pPr>
        <w:pStyle w:val="Descriptiontitle"/>
        <w:numPr>
          <w:ilvl w:val="0"/>
          <w:numId w:val="56"/>
        </w:numPr>
        <w:ind w:left="578" w:hanging="578"/>
        <w:rPr>
          <w:noProof/>
          <w:lang w:val="de-DE"/>
        </w:rPr>
      </w:pPr>
      <w:r w:rsidRPr="00170422">
        <w:rPr>
          <w:noProof/>
          <w:lang w:val="de-DE"/>
        </w:rPr>
        <w:t>fördert die Einführung nationaler Plattformen für die digitale Identität (Sistema Pubblico di Identità Digitale, SPID und Carta d’Identità Elettronica, CIE) und des nationalen Registers (Anagrafe naz</w:t>
      </w:r>
      <w:r w:rsidRPr="00170422">
        <w:rPr>
          <w:noProof/>
          <w:lang w:val="de-DE"/>
        </w:rPr>
        <w:t>ionale della popolazione residente, ANPR) (Investition 1.4.4 – Ausweitung der nationalen Plattformen für die digitale Identität (SPID, CIE) und des nationalen Registers (ANPR));</w:t>
      </w:r>
    </w:p>
    <w:p w14:paraId="4A41ECEF" w14:textId="77777777" w:rsidR="0057163C" w:rsidRPr="00170422" w:rsidRDefault="00F37BF9">
      <w:pPr>
        <w:pStyle w:val="Descriptiontitle"/>
        <w:numPr>
          <w:ilvl w:val="0"/>
          <w:numId w:val="56"/>
        </w:numPr>
        <w:ind w:left="578" w:hanging="578"/>
        <w:rPr>
          <w:noProof/>
          <w:lang w:val="de-DE"/>
        </w:rPr>
      </w:pPr>
      <w:r w:rsidRPr="00170422">
        <w:rPr>
          <w:noProof/>
          <w:lang w:val="de-DE"/>
        </w:rPr>
        <w:t xml:space="preserve">richtet eine einheitliche Plattform für Mitteilungen ein (Investition 1.4.5 – </w:t>
      </w:r>
      <w:r w:rsidRPr="00170422">
        <w:rPr>
          <w:noProof/>
          <w:lang w:val="de-DE"/>
        </w:rPr>
        <w:t>Digitalisierung öffentlicher Bekanntmachungen);</w:t>
      </w:r>
    </w:p>
    <w:p w14:paraId="5E2B5A73" w14:textId="6FBAB085" w:rsidR="0057163C" w:rsidRPr="00170422" w:rsidRDefault="00F37BF9">
      <w:pPr>
        <w:pStyle w:val="Descriptiontitle"/>
        <w:numPr>
          <w:ilvl w:val="0"/>
          <w:numId w:val="56"/>
        </w:numPr>
        <w:ind w:left="578" w:hanging="578"/>
        <w:rPr>
          <w:noProof/>
          <w:lang w:val="de-DE"/>
        </w:rPr>
      </w:pPr>
      <w:r w:rsidRPr="00170422">
        <w:rPr>
          <w:noProof/>
          <w:lang w:val="de-DE"/>
        </w:rPr>
        <w:t>beinhaltet die Annahme von Mobility as a Service (MaaS) (Investition 1.4.6 – Mobilität als Dienstleistung für Italien, wobei diese letzte Maßnahme auf der Grundlage einer nicht rückzahlbaren finanziellen Unte</w:t>
      </w:r>
      <w:r w:rsidRPr="00170422">
        <w:rPr>
          <w:noProof/>
          <w:lang w:val="de-DE"/>
        </w:rPr>
        <w:t>rstützung finanziert wird).</w:t>
      </w:r>
    </w:p>
    <w:p w14:paraId="6505A8F2" w14:textId="77777777" w:rsidR="0057163C" w:rsidRPr="00170422" w:rsidRDefault="00F37BF9">
      <w:pPr>
        <w:pStyle w:val="P68B1DB1-Normal5"/>
        <w:spacing w:before="240" w:after="120"/>
        <w:jc w:val="both"/>
        <w:rPr>
          <w:noProof/>
          <w:lang w:val="de-DE"/>
        </w:rPr>
      </w:pPr>
      <w:r w:rsidRPr="00170422">
        <w:rPr>
          <w:noProof/>
          <w:lang w:val="de-DE"/>
        </w:rPr>
        <w:t>Investition 1.5 – Cybersicherheit</w:t>
      </w:r>
    </w:p>
    <w:p w14:paraId="252F3C4F" w14:textId="77777777" w:rsidR="0057163C" w:rsidRPr="00170422" w:rsidRDefault="00F37BF9">
      <w:pPr>
        <w:pStyle w:val="Descriptiontitle"/>
        <w:ind w:left="0"/>
        <w:rPr>
          <w:noProof/>
          <w:lang w:val="de-DE"/>
        </w:rPr>
      </w:pPr>
      <w:r w:rsidRPr="00170422">
        <w:rPr>
          <w:noProof/>
          <w:lang w:val="de-DE"/>
        </w:rPr>
        <w:t>Ziel dieser Investition ist es, Italiens Abwehrmaßnahmen gegen die von der Cyberkriminalität ausgehenden Risiken zu stärken, insbesondere durch die Einführung eines „National Perimeter for Cyber</w:t>
      </w:r>
      <w:r w:rsidRPr="00170422">
        <w:rPr>
          <w:noProof/>
          <w:lang w:val="de-DE"/>
        </w:rPr>
        <w:t xml:space="preserve"> Security“ (PSNC) im Einklang mit den Sicherheitsanforderungen der Richtlinie (EU) 2016/1148 über die Sicherheit von Netz- und Informationssystemen (NIS-Richtlinie) und durch die Stärkung der nationalen Cyberabwehrkapazitäten für technische Inspektionen un</w:t>
      </w:r>
      <w:r w:rsidRPr="00170422">
        <w:rPr>
          <w:noProof/>
          <w:lang w:val="de-DE"/>
        </w:rPr>
        <w:t>d Risikoüberwachung.</w:t>
      </w:r>
    </w:p>
    <w:p w14:paraId="202967DC" w14:textId="77777777" w:rsidR="0057163C" w:rsidRPr="00170422" w:rsidRDefault="00F37BF9">
      <w:pPr>
        <w:pStyle w:val="Descriptiontitle"/>
        <w:ind w:left="0"/>
        <w:rPr>
          <w:noProof/>
          <w:lang w:val="de-DE"/>
        </w:rPr>
      </w:pPr>
      <w:r w:rsidRPr="00170422">
        <w:rPr>
          <w:noProof/>
          <w:lang w:val="de-DE"/>
        </w:rPr>
        <w:t>Die Maßnahme sieht die Entwicklung eines hochmodernen, integrierten Systems vor, das verschiedene Einrichtungen im ganzen Land eng miteinander verbindet und international mit Partnern und vertrauenswürdigen Technologieanbietern verbund</w:t>
      </w:r>
      <w:r w:rsidRPr="00170422">
        <w:rPr>
          <w:noProof/>
          <w:lang w:val="de-DE"/>
        </w:rPr>
        <w:t xml:space="preserve">en ist. Dies ist auf vier Säulen ausgerichtet: I) Stärkung der Kapazitäten an vorderster Front gegenüber der Öffentlichkeit und Unternehmen/Einrichtungen, um Warnmeldungen und tatsächliche öffentlich anerkannte Ereignisse zu verwalten; II) Ausbau/Stärkung </w:t>
      </w:r>
      <w:r w:rsidRPr="00170422">
        <w:rPr>
          <w:noProof/>
          <w:lang w:val="de-DE"/>
        </w:rPr>
        <w:t>der Inspektions- und Auditkapazitäten des Landes in Bezug auf Hardware und Software, die von Personen mit wesentlichen Funktionen zur Zertifizierung der Vertrauenswürdigkeit/Vorbeugung von Bedrohungen verwendet werden; III) Stärkung der Strafverfolgungs- u</w:t>
      </w:r>
      <w:r w:rsidRPr="00170422">
        <w:rPr>
          <w:noProof/>
          <w:lang w:val="de-DE"/>
        </w:rPr>
        <w:t>nd Cybereinheiten innerhalb der Polizeikräfte, die für die Ermittlung krimineller Aktivitäten zuständig sind; IV) die für die nationale Sicherheit und die Reaktion auf Cyberbedrohungen zuständigen personellen und personellen Ressourcen erheblich zu stärken</w:t>
      </w:r>
      <w:r w:rsidRPr="00170422">
        <w:rPr>
          <w:noProof/>
          <w:lang w:val="de-DE"/>
        </w:rPr>
        <w:t>.</w:t>
      </w:r>
    </w:p>
    <w:p w14:paraId="27D750DD" w14:textId="77777777" w:rsidR="0057163C" w:rsidRPr="00170422" w:rsidRDefault="00F37BF9">
      <w:pPr>
        <w:pStyle w:val="P68B1DB1-Normal5"/>
        <w:spacing w:before="120" w:after="120"/>
        <w:jc w:val="both"/>
        <w:rPr>
          <w:noProof/>
          <w:lang w:val="de-DE"/>
        </w:rPr>
      </w:pPr>
      <w:r w:rsidRPr="00170422">
        <w:rPr>
          <w:noProof/>
          <w:lang w:val="de-DE"/>
        </w:rPr>
        <w:t>Investition 1.6 – Digitaler Wandel großer zentraler Verwaltungen</w:t>
      </w:r>
    </w:p>
    <w:p w14:paraId="0A45E656" w14:textId="17750E41" w:rsidR="0057163C" w:rsidRPr="00170422" w:rsidRDefault="00F37BF9">
      <w:pPr>
        <w:pStyle w:val="P68B1DB1-Normal7"/>
        <w:jc w:val="both"/>
        <w:rPr>
          <w:noProof/>
          <w:lang w:val="de-DE"/>
        </w:rPr>
      </w:pPr>
      <w:r w:rsidRPr="00170422">
        <w:rPr>
          <w:noProof/>
          <w:lang w:val="de-DE"/>
        </w:rPr>
        <w:t>Ziel dieser Investition ist es, die Effizienz und die Verfahren der wichtigsten zentralen Verwaltungen zu erhöhen und zu vereinfachen, darunter i) das Innenministerium, ii) das Justizminist</w:t>
      </w:r>
      <w:r w:rsidRPr="00170422">
        <w:rPr>
          <w:noProof/>
          <w:lang w:val="de-DE"/>
        </w:rPr>
        <w:t>erium, iii) das Nationale Institut für soziale Sicherheit (INPS) und das Nationale Institut für Unfallversicherung (INAIL), iv) das Verteidigungsministerium, v) der Staatsrat und vi) die Finanzpolizei. Die Investition besteht in der Umgestaltung und Digita</w:t>
      </w:r>
      <w:r w:rsidRPr="00170422">
        <w:rPr>
          <w:noProof/>
          <w:lang w:val="de-DE"/>
        </w:rPr>
        <w:t>lisierung einer Reihe vorrangiger Prozesse, Tätigkeiten und Dienstleistungen in ihrem Zuständigkeitsbereich.</w:t>
      </w:r>
    </w:p>
    <w:p w14:paraId="6F822F7F" w14:textId="77777777" w:rsidR="0057163C" w:rsidRPr="00170422" w:rsidRDefault="00F37BF9">
      <w:pPr>
        <w:pStyle w:val="P68B1DB1-Normal5"/>
        <w:spacing w:before="240" w:after="120"/>
        <w:jc w:val="both"/>
        <w:rPr>
          <w:noProof/>
          <w:lang w:val="de-DE"/>
        </w:rPr>
      </w:pPr>
      <w:r w:rsidRPr="00170422">
        <w:rPr>
          <w:noProof/>
          <w:lang w:val="de-DE"/>
        </w:rPr>
        <w:t>Investition 1.7 – grundlegende digitale Kompetenzen</w:t>
      </w:r>
    </w:p>
    <w:p w14:paraId="70650D66" w14:textId="065A8E3A" w:rsidR="0057163C" w:rsidRPr="00170422" w:rsidRDefault="00F37BF9">
      <w:pPr>
        <w:pStyle w:val="Descriptiontitle"/>
        <w:ind w:left="0"/>
        <w:rPr>
          <w:noProof/>
          <w:lang w:val="de-DE"/>
        </w:rPr>
      </w:pPr>
      <w:r w:rsidRPr="00170422">
        <w:rPr>
          <w:rFonts w:eastAsiaTheme="minorEastAsia"/>
          <w:noProof/>
          <w:lang w:val="de-DE"/>
        </w:rPr>
        <w:t xml:space="preserve">Ziel dieser Investition ist es, den Anteil der von digitaler Ausgrenzung bedrohten Bevölkerung </w:t>
      </w:r>
      <w:r w:rsidRPr="00170422">
        <w:rPr>
          <w:rFonts w:eastAsiaTheme="minorEastAsia"/>
          <w:noProof/>
          <w:lang w:val="de-DE"/>
        </w:rPr>
        <w:t>durch die Bereitstellung digitaler Bildung zu verringern</w:t>
      </w:r>
      <w:r w:rsidRPr="00170422">
        <w:rPr>
          <w:noProof/>
          <w:lang w:val="de-DE"/>
        </w:rPr>
        <w:t xml:space="preserve">. </w:t>
      </w:r>
      <w:r w:rsidRPr="00170422">
        <w:rPr>
          <w:rFonts w:eastAsiaTheme="minorEastAsia"/>
          <w:noProof/>
          <w:lang w:val="de-DE"/>
        </w:rPr>
        <w:t>Die m</w:t>
      </w:r>
      <w:r w:rsidRPr="00170422">
        <w:rPr>
          <w:noProof/>
          <w:lang w:val="de-DE"/>
        </w:rPr>
        <w:t>eure</w:t>
      </w:r>
      <w:r w:rsidRPr="00170422">
        <w:rPr>
          <w:rFonts w:eastAsiaTheme="minorEastAsia"/>
          <w:noProof/>
          <w:lang w:val="de-DE"/>
        </w:rPr>
        <w:t>besteht in der Schulung von</w:t>
      </w:r>
      <w:r w:rsidRPr="00170422">
        <w:rPr>
          <w:noProof/>
          <w:lang w:val="de-DE"/>
        </w:rPr>
        <w:t>Lehrkräften</w:t>
      </w:r>
      <w:r w:rsidRPr="00170422">
        <w:rPr>
          <w:rFonts w:eastAsiaTheme="minorEastAsia"/>
          <w:noProof/>
          <w:lang w:val="de-DE"/>
        </w:rPr>
        <w:t xml:space="preserve">, um Menschen, die von </w:t>
      </w:r>
      <w:r w:rsidR="00FE51F3" w:rsidRPr="00170422">
        <w:rPr>
          <w:rFonts w:eastAsiaTheme="minorEastAsia"/>
          <w:noProof/>
          <w:lang w:val="de-DE"/>
        </w:rPr>
        <w:t>digitaler</w:t>
      </w:r>
      <w:r w:rsidR="00FE51F3" w:rsidRPr="00170422">
        <w:rPr>
          <w:noProof/>
          <w:lang w:val="de-DE"/>
        </w:rPr>
        <w:t xml:space="preserve"> Ausgrenzung</w:t>
      </w:r>
      <w:r w:rsidRPr="00170422">
        <w:rPr>
          <w:noProof/>
          <w:lang w:val="de-DE"/>
        </w:rPr>
        <w:t xml:space="preserve"> bedroht sind, digitale Bildung anzubieten und das Netz der digitalen Vermittlungszentren zu stärken.</w:t>
      </w:r>
    </w:p>
    <w:p w14:paraId="34292F77" w14:textId="70C0E751" w:rsidR="0057163C" w:rsidRPr="00170422" w:rsidRDefault="00F37BF9">
      <w:pPr>
        <w:pStyle w:val="P68B1DB1-Normal5"/>
        <w:rPr>
          <w:noProof/>
          <w:lang w:val="de-DE"/>
        </w:rPr>
      </w:pPr>
      <w:r w:rsidRPr="00170422">
        <w:rPr>
          <w:noProof/>
          <w:lang w:val="de-DE"/>
        </w:rPr>
        <w:t>Refor</w:t>
      </w:r>
      <w:r w:rsidRPr="00170422">
        <w:rPr>
          <w:noProof/>
          <w:lang w:val="de-DE"/>
        </w:rPr>
        <w:t>m 1.1 – IKT-Beschaffung</w:t>
      </w:r>
    </w:p>
    <w:p w14:paraId="2B0EC06C" w14:textId="77777777" w:rsidR="0057163C" w:rsidRPr="00170422" w:rsidRDefault="00F37BF9">
      <w:pPr>
        <w:pStyle w:val="P68B1DB1-Normal8"/>
        <w:spacing w:before="120" w:after="120"/>
        <w:jc w:val="both"/>
        <w:rPr>
          <w:noProof/>
          <w:lang w:val="de-DE"/>
        </w:rPr>
      </w:pPr>
      <w:r w:rsidRPr="00170422">
        <w:rPr>
          <w:noProof/>
          <w:lang w:val="de-DE"/>
        </w:rPr>
        <w:t>Mit dieser Reform soll sichergestellt werden, dass die öffentliche Verwaltung Lösungen für Informations- und Kommunikationstechnologien (IKT) zeitnaher und effizienter beschaffen kann, indem das Beschaffungsverfahren für IKT-Dienstl</w:t>
      </w:r>
      <w:r w:rsidRPr="00170422">
        <w:rPr>
          <w:noProof/>
          <w:lang w:val="de-DE"/>
        </w:rPr>
        <w:t>eistungen und -Ressourcen gestrafft und beschleunigt wird.</w:t>
      </w:r>
    </w:p>
    <w:p w14:paraId="6FF8C10E" w14:textId="77777777" w:rsidR="0057163C" w:rsidRPr="00170422" w:rsidRDefault="00F37BF9">
      <w:pPr>
        <w:spacing w:before="120" w:after="120"/>
        <w:jc w:val="both"/>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Die Durchführung der Reform umfasst drei Aktionsbereiche. Erstens wird eine einzige Datenbank eingerichtet, die eine weiße Liste der Wirtschaftsteilnehmer enthält, die berechtigt sind, Waren und Di</w:t>
      </w:r>
      <w:r w:rsidRPr="00170422">
        <w:rPr>
          <w:rFonts w:ascii="Times New Roman" w:eastAsia="Times New Roman" w:hAnsi="Times New Roman" w:cs="Times New Roman"/>
          <w:noProof/>
          <w:lang w:val="de-DE"/>
        </w:rPr>
        <w:t>enstleistungen für öffentliche Verwaltungen bereitzustellen, und es wird eine spezielle technologische Infrastruktur eingeführt, die die Zertifizierung von Anbietern ermöglicht. Zweitens wird ein vereinfachtes Konzept („beschleunigtes Verfahren“) zur Straf</w:t>
      </w:r>
      <w:r w:rsidRPr="00170422">
        <w:rPr>
          <w:rFonts w:ascii="Times New Roman" w:eastAsia="Times New Roman" w:hAnsi="Times New Roman" w:cs="Times New Roman"/>
          <w:noProof/>
          <w:lang w:val="de-DE"/>
        </w:rPr>
        <w:t>fung der IKT-Käufe für PNRR-Projekte verfolgt. Drittens wird eine digitale Beschaffungsdienstleistung mit dem Ziel eingerichtet, i) nur zertifizierte Anbieter einzubeziehen (Wirtschaftsteilnehmer können jederzeit eine Zertifizierung gemäß Artikel 64 der Ri</w:t>
      </w:r>
      <w:r w:rsidRPr="00170422">
        <w:rPr>
          <w:rFonts w:ascii="Times New Roman" w:eastAsia="Times New Roman" w:hAnsi="Times New Roman" w:cs="Times New Roman"/>
          <w:noProof/>
          <w:lang w:val="de-DE"/>
        </w:rPr>
        <w:t xml:space="preserve">chtlinie 2014/24/EU beantragen); II) es ermöglicht, Lieferanten, die einen bestimmten Bedarf erfüllen, rasch zu ermitteln (z. B. durch einen Konfigurator); III) Bereitstellung einer intuitiven Nutzererfahrung für Verwaltungen (z. B. klare Beschreibung der </w:t>
      </w:r>
      <w:r w:rsidRPr="00170422">
        <w:rPr>
          <w:rFonts w:ascii="Times New Roman" w:eastAsia="Times New Roman" w:hAnsi="Times New Roman" w:cs="Times New Roman"/>
          <w:noProof/>
          <w:lang w:val="de-DE"/>
        </w:rPr>
        <w:t xml:space="preserve">angebotenen Dienstleistungen, vergleichende Bewertung der Anbieter). Diese Gesamtstruktur baut auf den vorhandenen Kapazitäten von CONSIP, der staatlichen Beschaffungsstelle Italiens, auf. </w:t>
      </w:r>
    </w:p>
    <w:p w14:paraId="35131D6A" w14:textId="77777777" w:rsidR="0057163C" w:rsidRPr="00170422" w:rsidRDefault="00F37BF9">
      <w:pPr>
        <w:spacing w:before="120" w:after="120"/>
        <w:jc w:val="both"/>
        <w:rPr>
          <w:noProof/>
          <w:lang w:val="de-DE"/>
        </w:rPr>
      </w:pPr>
      <w:r w:rsidRPr="00170422">
        <w:rPr>
          <w:rFonts w:ascii="Times New Roman" w:hAnsi="Times New Roman" w:cs="Times New Roman"/>
          <w:b/>
          <w:noProof/>
          <w:lang w:val="de-DE"/>
        </w:rPr>
        <w:t>Reform 1.2 – Unterstützung des Wandels</w:t>
      </w:r>
      <w:r w:rsidRPr="00170422">
        <w:rPr>
          <w:noProof/>
          <w:lang w:val="de-DE"/>
        </w:rPr>
        <w:t xml:space="preserve"> </w:t>
      </w:r>
    </w:p>
    <w:p w14:paraId="20E65B26" w14:textId="5246D89C" w:rsidR="0057163C" w:rsidRPr="00170422" w:rsidRDefault="00F37BF9">
      <w:pPr>
        <w:pStyle w:val="P68B1DB1-Normal8"/>
        <w:spacing w:before="120" w:after="120"/>
        <w:jc w:val="both"/>
        <w:rPr>
          <w:noProof/>
          <w:lang w:val="de-DE"/>
        </w:rPr>
      </w:pPr>
      <w:r w:rsidRPr="00170422">
        <w:rPr>
          <w:noProof/>
          <w:lang w:val="de-DE"/>
        </w:rPr>
        <w:t>Ziel dieser Reform ist es,</w:t>
      </w:r>
      <w:r w:rsidRPr="00170422">
        <w:rPr>
          <w:noProof/>
          <w:lang w:val="de-DE"/>
        </w:rPr>
        <w:t xml:space="preserve"> den digitalen Wandel in allen zentralen und lokalen öffentlichen Verwaltungen durch die Einrichtung eines speziellen „Büros für den digitalen Wandel der PA“ zu unterstützen. Das Umwandlungsamt besteht aus einem befristeten technologiefachlich kompetenten </w:t>
      </w:r>
      <w:r w:rsidRPr="00170422">
        <w:rPr>
          <w:noProof/>
          <w:lang w:val="de-DE"/>
        </w:rPr>
        <w:t xml:space="preserve">Ressourcenpool, der die Migrationsanstrengungen und die zentralisierte Aushandlung von „Paketen“ zertifizierter externer Unterstützung organisiert und unterstützt. </w:t>
      </w:r>
    </w:p>
    <w:p w14:paraId="4043819E" w14:textId="77777777" w:rsidR="0057163C" w:rsidRPr="00170422" w:rsidRDefault="00F37BF9">
      <w:pPr>
        <w:pStyle w:val="P68B1DB1-Normal7"/>
        <w:spacing w:before="120" w:after="120"/>
        <w:jc w:val="both"/>
        <w:rPr>
          <w:noProof/>
          <w:lang w:val="de-DE"/>
        </w:rPr>
      </w:pPr>
      <w:r w:rsidRPr="00170422">
        <w:rPr>
          <w:noProof/>
          <w:lang w:val="de-DE"/>
        </w:rPr>
        <w:t>Darüber hinaus sieht die Maßnahme die Gründung eines Unternehmens vor, das sich auf die Sof</w:t>
      </w:r>
      <w:r w:rsidRPr="00170422">
        <w:rPr>
          <w:noProof/>
          <w:lang w:val="de-DE"/>
        </w:rPr>
        <w:t>twareentwicklung und das Betriebsmanagement konzentriert, um die Digitalisierung der Zentralverwaltungen zu unterstützen. Das Umwandlungsamt unterstützt insbesondere die öffentliche Verwaltung bei der Umsetzung der unter diese Komponente fallenden Investit</w:t>
      </w:r>
      <w:r w:rsidRPr="00170422">
        <w:rPr>
          <w:noProof/>
          <w:lang w:val="de-DE"/>
        </w:rPr>
        <w:t>ionen 1.1 bis 1.7 und unterstützt auch die Umsetzung von Investitionen und Reformen in die Digitalisierung der Gesundheitsversorgung, die unter Mission 6 fallen.</w:t>
      </w:r>
    </w:p>
    <w:p w14:paraId="78D068CE" w14:textId="77777777" w:rsidR="0057163C" w:rsidRPr="00170422" w:rsidRDefault="00F37BF9">
      <w:pPr>
        <w:pStyle w:val="P68B1DB1-Normal5"/>
        <w:spacing w:before="240" w:after="120"/>
        <w:jc w:val="both"/>
        <w:rPr>
          <w:noProof/>
          <w:lang w:val="de-DE"/>
        </w:rPr>
      </w:pPr>
      <w:r w:rsidRPr="00170422">
        <w:rPr>
          <w:noProof/>
          <w:lang w:val="de-DE"/>
        </w:rPr>
        <w:t>Reform 1.3 – Cloud First und Interoperabilität</w:t>
      </w:r>
    </w:p>
    <w:p w14:paraId="6E51A1F1" w14:textId="77777777" w:rsidR="0057163C" w:rsidRPr="00170422" w:rsidRDefault="00F37BF9">
      <w:pPr>
        <w:pStyle w:val="P68B1DB1-Normal8"/>
        <w:spacing w:before="120" w:after="120"/>
        <w:jc w:val="both"/>
        <w:rPr>
          <w:noProof/>
          <w:lang w:val="de-DE"/>
        </w:rPr>
      </w:pPr>
      <w:r w:rsidRPr="00170422">
        <w:rPr>
          <w:noProof/>
          <w:lang w:val="de-DE"/>
        </w:rPr>
        <w:t xml:space="preserve">Ziel dieser Reform ist es, die Hindernisse für </w:t>
      </w:r>
      <w:r w:rsidRPr="00170422">
        <w:rPr>
          <w:noProof/>
          <w:lang w:val="de-DE"/>
        </w:rPr>
        <w:t>die Cloud-Einführung zu beseitigen und die Bürokratie zu straffen, die den Datenaustausch zwischen öffentlichen Verwaltungen verlangsamt, indem eine Reihe von Anreizen und Verpflichtungen eingeführt wird, die darauf abzielen, die Migration zur Cloud zu erl</w:t>
      </w:r>
      <w:r w:rsidRPr="00170422">
        <w:rPr>
          <w:noProof/>
          <w:lang w:val="de-DE"/>
        </w:rPr>
        <w:t>eichtern und Verfahrenszwänge für die breite Einführung digitaler Dienste zu beseitigen.</w:t>
      </w:r>
    </w:p>
    <w:p w14:paraId="4CBE852C" w14:textId="77777777" w:rsidR="0057163C" w:rsidRPr="00170422" w:rsidRDefault="00F37BF9">
      <w:pPr>
        <w:pStyle w:val="P68B1DB1-Normal8"/>
        <w:spacing w:before="120" w:after="120"/>
        <w:jc w:val="both"/>
        <w:rPr>
          <w:noProof/>
          <w:lang w:val="de-DE"/>
        </w:rPr>
      </w:pPr>
      <w:r w:rsidRPr="00170422">
        <w:rPr>
          <w:noProof/>
          <w:lang w:val="de-DE"/>
        </w:rPr>
        <w:t>Die Reform umfasst drei Handlungslinien. Da Cloud-Lösungen die Kosteneffizienz bei den Ausgaben für Informations- und Kommunikationstechnologien (IKT) nach einer vorab</w:t>
      </w:r>
      <w:r w:rsidRPr="00170422">
        <w:rPr>
          <w:noProof/>
          <w:lang w:val="de-DE"/>
        </w:rPr>
        <w:t xml:space="preserve"> festgelegten „Schonfrist“ (z. B. drei Jahre nach Beginn der Transformation) steigern sollen, sehen Verwaltungen, die sich nicht an den Cloud-Umwandlungsprozess gehalten haben, eine Einschränkung in ihrem IKT-Ausgabenbudget. </w:t>
      </w:r>
    </w:p>
    <w:p w14:paraId="4407D51B" w14:textId="77777777" w:rsidR="0057163C" w:rsidRPr="00170422" w:rsidRDefault="00F37BF9">
      <w:pPr>
        <w:pStyle w:val="P68B1DB1-Normal8"/>
        <w:spacing w:before="120" w:after="120"/>
        <w:jc w:val="both"/>
        <w:rPr>
          <w:noProof/>
          <w:lang w:val="de-DE"/>
        </w:rPr>
      </w:pPr>
      <w:r w:rsidRPr="00170422">
        <w:rPr>
          <w:noProof/>
          <w:lang w:val="de-DE"/>
        </w:rPr>
        <w:t xml:space="preserve">Zweitens werden im Rahmen der </w:t>
      </w:r>
      <w:r w:rsidRPr="00170422">
        <w:rPr>
          <w:noProof/>
          <w:lang w:val="de-DE"/>
        </w:rPr>
        <w:t>Anreize für die Cloud-Migration die derzeitigen Vorschriften für die öffentliche Rechnungslegung für Ausgaben im Zusammenhang mit Cloud-Diensten überarbeitet. Da die Umstellung auf die Cloud derzeit eine Übertragung von Haushaltsmitteln von Investitionsaus</w:t>
      </w:r>
      <w:r w:rsidRPr="00170422">
        <w:rPr>
          <w:noProof/>
          <w:lang w:val="de-DE"/>
        </w:rPr>
        <w:t>gaben auf operative Ausgaben beinhaltet, sollten die Vorschriften für die öffentliche Rechnungslegung für Ausgaben im Zusammenhang mit Cloud-Diensten überarbeitet werden, um die Cloud-Migration für öffentliche Verwaltungen nicht zu behindern.</w:t>
      </w:r>
    </w:p>
    <w:p w14:paraId="7B874AC4" w14:textId="77777777" w:rsidR="0057163C" w:rsidRPr="00170422" w:rsidRDefault="00F37BF9">
      <w:pPr>
        <w:spacing w:before="120" w:after="120"/>
        <w:jc w:val="both"/>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Drittens werd</w:t>
      </w:r>
      <w:r w:rsidRPr="00170422">
        <w:rPr>
          <w:rFonts w:ascii="Times New Roman" w:eastAsia="Times New Roman" w:hAnsi="Times New Roman" w:cs="Times New Roman"/>
          <w:noProof/>
          <w:lang w:val="de-DE"/>
        </w:rPr>
        <w:t>en Normen im Zusammenhang mit den Vorschriften für die Dateninteroperabilität im Einklang mit den Bestimmungen über offene Daten und die Verarbeitung personenbezogener Daten überarbeitet, und die derzeitigen Verfahren für den Datenaustausch zwischen öffent</w:t>
      </w:r>
      <w:r w:rsidRPr="00170422">
        <w:rPr>
          <w:rFonts w:ascii="Times New Roman" w:eastAsia="Times New Roman" w:hAnsi="Times New Roman" w:cs="Times New Roman"/>
          <w:noProof/>
          <w:lang w:val="de-DE"/>
        </w:rPr>
        <w:t>lichen Verwaltungen werden vereinfacht, um Verfahrensaspekte zu straffen und die Umsetzung der Interoperabilität zwischen Datenbanken der öffentlichen Verwaltung zu beschleunigen. Darüber hinaus wird der digitale Wohnsitz überprüft und in das nationale Mel</w:t>
      </w:r>
      <w:r w:rsidRPr="00170422">
        <w:rPr>
          <w:rFonts w:ascii="Times New Roman" w:eastAsia="Times New Roman" w:hAnsi="Times New Roman" w:cs="Times New Roman"/>
          <w:noProof/>
          <w:lang w:val="de-DE"/>
        </w:rPr>
        <w:t>deregister (ANPR) integriert, um eine sichere digitale Zusammenarbeitzwischen Bürgern und öffentlichen Verwaltungen zu ermöglichen.</w:t>
      </w:r>
    </w:p>
    <w:p w14:paraId="104C38DE" w14:textId="77777777" w:rsidR="0057163C" w:rsidRPr="00170422" w:rsidRDefault="00F37BF9">
      <w:pPr>
        <w:pStyle w:val="Axistitle"/>
        <w:ind w:left="0"/>
        <w:rPr>
          <w:noProof/>
          <w:lang w:val="de-DE"/>
        </w:rPr>
      </w:pPr>
      <w:r w:rsidRPr="00170422">
        <w:rPr>
          <w:noProof/>
          <w:lang w:val="de-DE"/>
        </w:rPr>
        <w:t>Schwerpunkt 2 – Justiz</w:t>
      </w:r>
    </w:p>
    <w:p w14:paraId="572E5345" w14:textId="77777777" w:rsidR="0057163C" w:rsidRPr="00170422" w:rsidRDefault="00F37BF9">
      <w:pPr>
        <w:pStyle w:val="P68B1DB1-Normal5"/>
        <w:spacing w:before="240" w:after="120"/>
        <w:jc w:val="both"/>
        <w:rPr>
          <w:noProof/>
          <w:lang w:val="de-DE"/>
        </w:rPr>
      </w:pPr>
      <w:r w:rsidRPr="00170422">
        <w:rPr>
          <w:noProof/>
          <w:lang w:val="de-DE"/>
        </w:rPr>
        <w:t>Reform 1.4 – Ziviljustiz</w:t>
      </w:r>
    </w:p>
    <w:p w14:paraId="273D67DE" w14:textId="77777777" w:rsidR="0057163C" w:rsidRPr="00170422" w:rsidRDefault="00F37BF9">
      <w:pPr>
        <w:pStyle w:val="P68B1DB1-Normal8"/>
        <w:spacing w:before="120" w:after="120"/>
        <w:jc w:val="both"/>
        <w:rPr>
          <w:noProof/>
          <w:lang w:val="de-DE"/>
        </w:rPr>
      </w:pPr>
      <w:r w:rsidRPr="00170422">
        <w:rPr>
          <w:noProof/>
          <w:lang w:val="de-DE"/>
        </w:rPr>
        <w:t>Ziel dieser Reform ist es, die Dauer von Zivilverfahren zu verkürzen und den</w:t>
      </w:r>
      <w:r w:rsidRPr="00170422">
        <w:rPr>
          <w:noProof/>
          <w:lang w:val="de-DE"/>
        </w:rPr>
        <w:t xml:space="preserve"> Rückstand der Zivilgerichte abzubauen. Die Reform besteht in der Annahme legislativer Maßnahmen, um die Zahl der neuen Gerichtsverfahren zu verringern, die bestehenden Verfahren zu vereinfachen und die Produktivität der Gerichte zu steigern.</w:t>
      </w:r>
    </w:p>
    <w:p w14:paraId="79C67567" w14:textId="77777777" w:rsidR="0057163C" w:rsidRPr="00170422" w:rsidRDefault="00F37BF9">
      <w:pPr>
        <w:pStyle w:val="P68B1DB1-Normal5"/>
        <w:spacing w:before="120" w:after="120"/>
        <w:jc w:val="both"/>
        <w:rPr>
          <w:noProof/>
          <w:lang w:val="de-DE"/>
        </w:rPr>
      </w:pPr>
      <w:r w:rsidRPr="00170422">
        <w:rPr>
          <w:noProof/>
          <w:lang w:val="de-DE"/>
        </w:rPr>
        <w:t xml:space="preserve">Reform 1.5 – </w:t>
      </w:r>
      <w:r w:rsidRPr="00170422">
        <w:rPr>
          <w:noProof/>
          <w:lang w:val="de-DE"/>
        </w:rPr>
        <w:t>Strafjustiz</w:t>
      </w:r>
    </w:p>
    <w:p w14:paraId="4D92F4BE" w14:textId="69478345" w:rsidR="0057163C" w:rsidRPr="00170422" w:rsidRDefault="00F37BF9">
      <w:pPr>
        <w:pStyle w:val="P68B1DB1-Normal8"/>
        <w:spacing w:before="120" w:after="120"/>
        <w:jc w:val="both"/>
        <w:rPr>
          <w:noProof/>
          <w:lang w:val="de-DE"/>
        </w:rPr>
      </w:pPr>
      <w:r w:rsidRPr="00170422">
        <w:rPr>
          <w:noProof/>
          <w:lang w:val="de-DE"/>
        </w:rPr>
        <w:t>Ziel dieser Reform ist es, die Dauer der Strafverfahren zu verkürzen. Die Reform besteht in der Annahme von Maßnahmen, die die bestehenden Verfahren vereinfachen und die Produktivität der Gerichte steigern.</w:t>
      </w:r>
    </w:p>
    <w:p w14:paraId="19C3EE79" w14:textId="77777777" w:rsidR="0057163C" w:rsidRPr="00170422" w:rsidRDefault="00F37BF9">
      <w:pPr>
        <w:pStyle w:val="P68B1DB1-Normal5"/>
        <w:spacing w:before="240" w:after="120"/>
        <w:jc w:val="both"/>
        <w:rPr>
          <w:noProof/>
          <w:lang w:val="de-DE"/>
        </w:rPr>
      </w:pPr>
      <w:r w:rsidRPr="00170422">
        <w:rPr>
          <w:noProof/>
          <w:lang w:val="de-DE"/>
        </w:rPr>
        <w:t>Reform 1.6 – Insolvenz</w:t>
      </w:r>
    </w:p>
    <w:p w14:paraId="0CA05C72" w14:textId="77777777" w:rsidR="0057163C" w:rsidRPr="00170422" w:rsidRDefault="00F37BF9">
      <w:pPr>
        <w:pStyle w:val="P68B1DB1-Normal8"/>
        <w:spacing w:before="120" w:after="120"/>
        <w:jc w:val="both"/>
        <w:rPr>
          <w:noProof/>
          <w:lang w:val="de-DE"/>
        </w:rPr>
      </w:pPr>
      <w:r w:rsidRPr="00170422">
        <w:rPr>
          <w:noProof/>
          <w:lang w:val="de-DE"/>
        </w:rPr>
        <w:t>Ziel der Refor</w:t>
      </w:r>
      <w:r w:rsidRPr="00170422">
        <w:rPr>
          <w:noProof/>
          <w:lang w:val="de-DE"/>
        </w:rPr>
        <w:t>m ist es, Insolvenzverfahren zu digitalisieren und zu verbessern, indem Frühwarnmechanismen vor der Insolvenz eingeführt und Gerichte und vorgerichtliche Einrichtungen spezialisiert werden, um alle Phasen von Insolvenzverfahren wirksamer zu verwalten, unte</w:t>
      </w:r>
      <w:r w:rsidRPr="00170422">
        <w:rPr>
          <w:noProof/>
          <w:lang w:val="de-DE"/>
        </w:rPr>
        <w:t xml:space="preserve">r anderem durch Schulungen und Spezialisierung für Mitglieder der Justiz- und Verwaltungsbehörden. </w:t>
      </w:r>
    </w:p>
    <w:p w14:paraId="7F0735A3" w14:textId="77777777" w:rsidR="0057163C" w:rsidRPr="00170422" w:rsidRDefault="00F37BF9">
      <w:pPr>
        <w:pStyle w:val="P68B1DB1-Normal5"/>
        <w:spacing w:before="240" w:after="120"/>
        <w:jc w:val="both"/>
        <w:rPr>
          <w:noProof/>
          <w:lang w:val="de-DE"/>
        </w:rPr>
      </w:pPr>
      <w:r w:rsidRPr="00170422">
        <w:rPr>
          <w:noProof/>
          <w:lang w:val="de-DE"/>
        </w:rPr>
        <w:t>Reform 1.7 – Finanzgerichte</w:t>
      </w:r>
    </w:p>
    <w:p w14:paraId="52A19F35" w14:textId="77777777" w:rsidR="0057163C" w:rsidRPr="00170422" w:rsidRDefault="00F37BF9">
      <w:pPr>
        <w:pStyle w:val="P68B1DB1-Normal8"/>
        <w:spacing w:before="120" w:after="120"/>
        <w:jc w:val="both"/>
        <w:rPr>
          <w:noProof/>
          <w:lang w:val="de-DE"/>
        </w:rPr>
      </w:pPr>
      <w:r w:rsidRPr="00170422">
        <w:rPr>
          <w:noProof/>
          <w:lang w:val="de-DE"/>
        </w:rPr>
        <w:t>Ziel der Reform ist es, die Durchsetzung des Steuerrechts wirksamer zu gestalten und die hohe Zahl der Rechtsmittel beim Kassati</w:t>
      </w:r>
      <w:r w:rsidRPr="00170422">
        <w:rPr>
          <w:noProof/>
          <w:lang w:val="de-DE"/>
        </w:rPr>
        <w:t>onsgerichtshof zu verringern.</w:t>
      </w:r>
    </w:p>
    <w:p w14:paraId="1D658ACC" w14:textId="77777777" w:rsidR="0057163C" w:rsidRPr="00170422" w:rsidRDefault="00F37BF9">
      <w:pPr>
        <w:pStyle w:val="P68B1DB1-Normal5"/>
        <w:spacing w:before="240" w:after="120"/>
        <w:jc w:val="both"/>
        <w:rPr>
          <w:noProof/>
          <w:lang w:val="de-DE"/>
        </w:rPr>
      </w:pPr>
      <w:r w:rsidRPr="00170422">
        <w:rPr>
          <w:noProof/>
          <w:lang w:val="de-DE"/>
        </w:rPr>
        <w:t>Reform 1.8 – Digitalisierung des Justizsystems</w:t>
      </w:r>
    </w:p>
    <w:p w14:paraId="5B8A8614" w14:textId="77777777" w:rsidR="0057163C" w:rsidRPr="00170422" w:rsidRDefault="00F37BF9">
      <w:pPr>
        <w:pStyle w:val="P68B1DB1-Normal7"/>
        <w:spacing w:before="120" w:after="120"/>
        <w:jc w:val="both"/>
        <w:rPr>
          <w:noProof/>
          <w:lang w:val="de-DE"/>
        </w:rPr>
      </w:pPr>
      <w:r w:rsidRPr="00170422">
        <w:rPr>
          <w:noProof/>
          <w:lang w:val="de-DE"/>
        </w:rPr>
        <w:t xml:space="preserve">Ziel dieser Reform ist die Digitalisierung von Zivil- und Strafverfahren. Diese Reform umfasst die Einführung einer obligatorischen elektronischen Einreichung von Schriftstücken, </w:t>
      </w:r>
      <w:r w:rsidRPr="00170422">
        <w:rPr>
          <w:noProof/>
          <w:lang w:val="de-DE"/>
        </w:rPr>
        <w:t>die Einrichtung eines elektronischen Arbeitsablaufs für Zivilverfahren, die Digitalisierung erstinstanzlicher Strafverfahren und die Einrichtung einer Datenbank für zivilrechtliche Entscheidungen.</w:t>
      </w:r>
    </w:p>
    <w:p w14:paraId="6C46A287" w14:textId="77777777" w:rsidR="0057163C" w:rsidRPr="00170422" w:rsidRDefault="00F37BF9">
      <w:pPr>
        <w:pStyle w:val="P68B1DB1-Normal5"/>
        <w:spacing w:before="240" w:after="120"/>
        <w:jc w:val="both"/>
        <w:rPr>
          <w:noProof/>
          <w:lang w:val="de-DE"/>
        </w:rPr>
      </w:pPr>
      <w:r w:rsidRPr="00170422">
        <w:rPr>
          <w:noProof/>
          <w:lang w:val="de-DE"/>
        </w:rPr>
        <w:t xml:space="preserve">Investition 1.8 – Einstellungsverfahren für Zivil-, Straf- </w:t>
      </w:r>
      <w:r w:rsidRPr="00170422">
        <w:rPr>
          <w:noProof/>
          <w:lang w:val="de-DE"/>
        </w:rPr>
        <w:t>und Verwaltungsgerichte</w:t>
      </w:r>
    </w:p>
    <w:p w14:paraId="6CD5F925" w14:textId="77777777" w:rsidR="0057163C" w:rsidRPr="00170422" w:rsidRDefault="00F37BF9">
      <w:pPr>
        <w:pStyle w:val="P68B1DB1-Normal7"/>
        <w:spacing w:before="120" w:after="120"/>
        <w:jc w:val="both"/>
        <w:rPr>
          <w:noProof/>
          <w:lang w:val="de-DE"/>
        </w:rPr>
      </w:pPr>
      <w:r w:rsidRPr="00170422">
        <w:rPr>
          <w:noProof/>
          <w:lang w:val="de-DE"/>
        </w:rPr>
        <w:t>Ziel dieser Maßnahme ist es, die Qualität der Justiz zu verbessern, indem die Tätigkeiten der Verwaltungs-, Zivil- und Strafgerichte sowie der territorialen und zentralen Dienststellen des Justizministeriums, die für die Durchsetzun</w:t>
      </w:r>
      <w:r w:rsidRPr="00170422">
        <w:rPr>
          <w:noProof/>
          <w:lang w:val="de-DE"/>
        </w:rPr>
        <w:t>g des ARP und den digitalen Wandel im Justizsystem zuständig sind, unterstützt werden. Die Investition besteht in der befristeten Einstellung von Personal für das Büro des Versuchs und von technischem und administrativem Personal zur Unterstützung der Umse</w:t>
      </w:r>
      <w:r w:rsidRPr="00170422">
        <w:rPr>
          <w:noProof/>
          <w:lang w:val="de-DE"/>
        </w:rPr>
        <w:t>tzung der Ziele des Aufbau- und Resilienzplans.</w:t>
      </w:r>
    </w:p>
    <w:p w14:paraId="67C3F40E" w14:textId="77777777" w:rsidR="0057163C" w:rsidRPr="00170422" w:rsidRDefault="00F37BF9">
      <w:pPr>
        <w:pStyle w:val="Axistitle"/>
        <w:ind w:left="0"/>
        <w:rPr>
          <w:noProof/>
          <w:lang w:val="de-DE"/>
        </w:rPr>
      </w:pPr>
      <w:r w:rsidRPr="00170422">
        <w:rPr>
          <w:noProof/>
          <w:lang w:val="de-DE"/>
        </w:rPr>
        <w:t>Schwerpunkt 3 – Öffentliche Verwaltung</w:t>
      </w:r>
    </w:p>
    <w:p w14:paraId="6376A16A" w14:textId="77777777" w:rsidR="0057163C" w:rsidRPr="00170422" w:rsidRDefault="00F37BF9">
      <w:pPr>
        <w:pStyle w:val="P68B1DB1-Normal5"/>
        <w:spacing w:before="240" w:after="120"/>
        <w:jc w:val="both"/>
        <w:rPr>
          <w:noProof/>
          <w:lang w:val="de-DE"/>
        </w:rPr>
      </w:pPr>
      <w:r w:rsidRPr="00170422">
        <w:rPr>
          <w:noProof/>
          <w:lang w:val="de-DE"/>
        </w:rPr>
        <w:t>Reform 1.9 – Reform der öffentlichen Beschäftigung und Vereinfachung</w:t>
      </w:r>
    </w:p>
    <w:p w14:paraId="591B41AA" w14:textId="77777777" w:rsidR="0057163C" w:rsidRPr="00170422" w:rsidRDefault="00F37BF9">
      <w:pPr>
        <w:pStyle w:val="P68B1DB1-Normal7"/>
        <w:spacing w:before="120" w:after="120"/>
        <w:jc w:val="both"/>
        <w:rPr>
          <w:noProof/>
          <w:lang w:val="de-DE"/>
        </w:rPr>
      </w:pPr>
      <w:r w:rsidRPr="00170422">
        <w:rPr>
          <w:noProof/>
          <w:lang w:val="de-DE"/>
        </w:rPr>
        <w:t>Ziel dieser Reform ist es, den Rahmen für die Beschäftigung im öffentlichen Dienst zu stärken und di</w:t>
      </w:r>
      <w:r w:rsidRPr="00170422">
        <w:rPr>
          <w:noProof/>
          <w:lang w:val="de-DE"/>
        </w:rPr>
        <w:t>e Verwaltungsverfahren zum Nutzen der Unternehmen und Bürger zu vereinfachen. Die Reform umfasst die Annahme einer Reihe von Maßnahmen zur Beseitigung unnötiger Verpflichtungen, die Einführung von Mechanismen der stillschweigenden Zustimmung, die Vereinfac</w:t>
      </w:r>
      <w:r w:rsidRPr="00170422">
        <w:rPr>
          <w:noProof/>
          <w:lang w:val="de-DE"/>
        </w:rPr>
        <w:t>hung der Kommunikation, die Vereinheitlichung der mit den Regionen und Gemeinden geteilten Regelungen, die Gewährleistung der Interoperabilität der Geschäfts- und Bauverfahren (SUAP &amp; SUE) und die Festlegung einer Reihe wesentlicher Leistungsindikatoren (K</w:t>
      </w:r>
      <w:r w:rsidRPr="00170422">
        <w:rPr>
          <w:noProof/>
          <w:lang w:val="de-DE"/>
        </w:rPr>
        <w:t>PI) zur Steuerung des organisatorischen Wandels in den Verwaltungen.</w:t>
      </w:r>
    </w:p>
    <w:p w14:paraId="05B2EEA7" w14:textId="77777777" w:rsidR="0057163C" w:rsidRPr="00170422" w:rsidRDefault="00F37BF9">
      <w:pPr>
        <w:pStyle w:val="P68B1DB1-Normal5"/>
        <w:spacing w:before="120" w:after="120"/>
        <w:jc w:val="both"/>
        <w:rPr>
          <w:noProof/>
          <w:lang w:val="de-DE"/>
        </w:rPr>
      </w:pPr>
      <w:r w:rsidRPr="00170422">
        <w:rPr>
          <w:noProof/>
          <w:lang w:val="de-DE"/>
        </w:rPr>
        <w:t>Reform 1.9a – Reform zur Beschleunigung der Umsetzung der Kohäsionspolitik</w:t>
      </w:r>
    </w:p>
    <w:p w14:paraId="3C7A329E" w14:textId="77777777" w:rsidR="0057163C" w:rsidRPr="00170422" w:rsidRDefault="00F37BF9">
      <w:pPr>
        <w:spacing w:before="120" w:after="120"/>
        <w:jc w:val="both"/>
        <w:rPr>
          <w:rFonts w:ascii="Times New Roman" w:hAnsi="Times New Roman" w:cs="Times New Roman"/>
          <w:b/>
          <w:noProof/>
          <w:lang w:val="de-DE"/>
        </w:rPr>
      </w:pPr>
      <w:r w:rsidRPr="00170422">
        <w:rPr>
          <w:rFonts w:ascii="Times New Roman" w:hAnsi="Times New Roman" w:cs="Times New Roman"/>
          <w:noProof/>
          <w:lang w:val="de-DE"/>
        </w:rPr>
        <w:t>Die Reform zielt darauf ab, die Umsetzung und Effizienz der Kohäsionspolitik in Ergänzung zum nationalen Aufbau-</w:t>
      </w:r>
      <w:r w:rsidRPr="00170422">
        <w:rPr>
          <w:rFonts w:ascii="Times New Roman" w:hAnsi="Times New Roman" w:cs="Times New Roman"/>
          <w:noProof/>
          <w:lang w:val="de-DE"/>
        </w:rPr>
        <w:t xml:space="preserve"> und Resilienzplan zu beschleunigen. Er sieht das Datum der Genehmigung des Strategieplans für die einzige Sonderwirtschaftszone vor. Nach den </w:t>
      </w:r>
      <w:r w:rsidRPr="00170422">
        <w:rPr>
          <w:rStyle w:val="s10"/>
          <w:rFonts w:ascii="Times New Roman" w:hAnsi="Times New Roman" w:cs="Times New Roman"/>
          <w:noProof/>
          <w:color w:val="000000" w:themeColor="text1"/>
          <w:lang w:val="de-DE"/>
        </w:rPr>
        <w:t xml:space="preserve">nationalen </w:t>
      </w:r>
      <w:r w:rsidRPr="00170422">
        <w:rPr>
          <w:rFonts w:ascii="Times New Roman" w:hAnsi="Times New Roman" w:cs="Times New Roman"/>
          <w:noProof/>
          <w:lang w:val="de-DE"/>
        </w:rPr>
        <w:t xml:space="preserve"> </w:t>
      </w:r>
      <w:r w:rsidRPr="00170422">
        <w:rPr>
          <w:rStyle w:val="s10"/>
          <w:rFonts w:ascii="Times New Roman" w:hAnsi="Times New Roman" w:cs="Times New Roman"/>
          <w:noProof/>
          <w:color w:val="000000" w:themeColor="text1"/>
          <w:lang w:val="de-DE"/>
        </w:rPr>
        <w:t>Rechtsvorschriften ist die Stellungnahme der Einheitlichen Konferenz erford</w:t>
      </w:r>
      <w:r w:rsidRPr="00170422">
        <w:rPr>
          <w:rStyle w:val="s10"/>
          <w:rFonts w:ascii="Times New Roman" w:hAnsi="Times New Roman" w:cs="Times New Roman"/>
          <w:noProof/>
          <w:color w:val="000000" w:themeColor="text1"/>
          <w:lang w:val="de-DE"/>
        </w:rPr>
        <w:t xml:space="preserve">erlich, bevor sie gemäß dem Decreto legislativo Nr. 281/1997 in ein Gesetz umgewandelt wird. </w:t>
      </w:r>
      <w:r w:rsidRPr="00170422">
        <w:rPr>
          <w:rFonts w:ascii="Times New Roman" w:hAnsi="Times New Roman" w:cs="Times New Roman"/>
          <w:noProof/>
          <w:lang w:val="de-DE"/>
        </w:rPr>
        <w:t>Nach Artikel 9 der Verordnung (EU) 2021/241 kann die Reform Unterstützung aus anderen Programmen und Instrumenten der Union erhalten, sofern diese Unterstützung ni</w:t>
      </w:r>
      <w:r w:rsidRPr="00170422">
        <w:rPr>
          <w:rFonts w:ascii="Times New Roman" w:hAnsi="Times New Roman" w:cs="Times New Roman"/>
          <w:noProof/>
          <w:lang w:val="de-DE"/>
        </w:rPr>
        <w:t>cht dieselben Kosten deckt. Die ARF deckt keine Kosten der Reform.</w:t>
      </w:r>
    </w:p>
    <w:p w14:paraId="36F4A8D9" w14:textId="77777777" w:rsidR="0057163C" w:rsidRPr="00170422" w:rsidRDefault="00F37BF9">
      <w:pPr>
        <w:pStyle w:val="P68B1DB1-Normal5"/>
        <w:spacing w:before="240" w:after="120"/>
        <w:jc w:val="both"/>
        <w:rPr>
          <w:noProof/>
          <w:lang w:val="de-DE"/>
        </w:rPr>
      </w:pPr>
      <w:r w:rsidRPr="00170422">
        <w:rPr>
          <w:noProof/>
          <w:lang w:val="de-DE"/>
        </w:rPr>
        <w:t>Investition 1.9 – Bereitstellung technischer Hilfe und Stärkung des Kapazitätsaufbaus für die Umsetzung des italienischen Aufbau- und Resilienzplans</w:t>
      </w:r>
    </w:p>
    <w:p w14:paraId="62FE5151" w14:textId="77777777" w:rsidR="0057163C" w:rsidRPr="00170422" w:rsidRDefault="00F37BF9">
      <w:pPr>
        <w:pStyle w:val="P68B1DB1-Normal7"/>
        <w:spacing w:before="120" w:after="120"/>
        <w:jc w:val="both"/>
        <w:rPr>
          <w:noProof/>
          <w:lang w:val="de-DE"/>
        </w:rPr>
      </w:pPr>
      <w:r w:rsidRPr="00170422">
        <w:rPr>
          <w:noProof/>
          <w:lang w:val="de-DE"/>
        </w:rPr>
        <w:t>Ziel dieser Investition ist es, die Verw</w:t>
      </w:r>
      <w:r w:rsidRPr="00170422">
        <w:rPr>
          <w:noProof/>
          <w:lang w:val="de-DE"/>
        </w:rPr>
        <w:t>altungskapazitäten für die Umsetzung des italienischen Aufbau- und Resilienzplans zu stärken. Die Investition besteht in der befristeten Einstellung eines Expertenpools, der den Verwaltungen technische Hilfe leistet und deren Kapazitäten zur Durchführung s</w:t>
      </w:r>
      <w:r w:rsidRPr="00170422">
        <w:rPr>
          <w:noProof/>
          <w:lang w:val="de-DE"/>
        </w:rPr>
        <w:t xml:space="preserve">pezifischer im Rahmen des Aufbau- und Resilienzplans geplanter Initiativen stärkt, und umfasst Schulungsprogramme für Beschäftigte im öffentlichen Dienst zur Stärkung des Kapazitätsaufbaus. </w:t>
      </w:r>
    </w:p>
    <w:p w14:paraId="51826B03" w14:textId="77777777" w:rsidR="0057163C" w:rsidRPr="00170422" w:rsidRDefault="00F37BF9">
      <w:pPr>
        <w:pStyle w:val="Axistitle"/>
        <w:ind w:left="0"/>
        <w:rPr>
          <w:noProof/>
          <w:lang w:val="de-DE"/>
        </w:rPr>
      </w:pPr>
      <w:r w:rsidRPr="00170422">
        <w:rPr>
          <w:noProof/>
          <w:lang w:val="de-DE"/>
        </w:rPr>
        <w:t>Schwerpunkt 4 – Vergabe öffentlicher Aufträge und Zahlungen öffen</w:t>
      </w:r>
      <w:r w:rsidRPr="00170422">
        <w:rPr>
          <w:noProof/>
          <w:lang w:val="de-DE"/>
        </w:rPr>
        <w:t>tlicher Verwaltungen</w:t>
      </w:r>
    </w:p>
    <w:p w14:paraId="13504316" w14:textId="77777777" w:rsidR="0057163C" w:rsidRPr="00170422" w:rsidRDefault="00F37BF9">
      <w:pPr>
        <w:pStyle w:val="P68B1DB1-Normal5"/>
        <w:spacing w:before="240" w:after="120"/>
        <w:jc w:val="both"/>
        <w:rPr>
          <w:bCs/>
          <w:noProof/>
          <w:lang w:val="de-DE"/>
        </w:rPr>
      </w:pPr>
      <w:r w:rsidRPr="00170422">
        <w:rPr>
          <w:noProof/>
          <w:lang w:val="de-DE"/>
        </w:rPr>
        <w:t>Reform 1.10 – Reform des Rechtsrahmens für das öffentliche Auftragswesen</w:t>
      </w:r>
    </w:p>
    <w:p w14:paraId="092A532D" w14:textId="6812C185" w:rsidR="0057163C" w:rsidRPr="00170422" w:rsidRDefault="00F37BF9">
      <w:pPr>
        <w:pStyle w:val="P68B1DB1-Normal7"/>
        <w:jc w:val="both"/>
        <w:rPr>
          <w:b/>
          <w:noProof/>
          <w:lang w:val="de-DE"/>
        </w:rPr>
      </w:pPr>
      <w:r w:rsidRPr="00170422">
        <w:rPr>
          <w:noProof/>
          <w:lang w:val="de-DE"/>
        </w:rPr>
        <w:t>Ziel dieser Reform ist es, die Qualifikation und Professionalisierung der öffentlichen Auftraggeber zu verbessern, den Wettbewerb zu stärken, die Verfahren der ze</w:t>
      </w:r>
      <w:r w:rsidRPr="00170422">
        <w:rPr>
          <w:noProof/>
          <w:lang w:val="de-DE"/>
        </w:rPr>
        <w:t>ntralen Beschaffungsstellen zu vereinfachen und zu digitalisieren und das nationale e-Procurement-System zu operationalisieren. Zu diesem Zweck umfasst die Reform die Annahme von Rechtsakten, einschließlich Änderungen des Gesetzbuchs über das öffentliche A</w:t>
      </w:r>
      <w:r w:rsidRPr="00170422">
        <w:rPr>
          <w:noProof/>
          <w:lang w:val="de-DE"/>
        </w:rPr>
        <w:t>uftragswesen.</w:t>
      </w:r>
    </w:p>
    <w:p w14:paraId="37C590F5" w14:textId="77777777" w:rsidR="0057163C" w:rsidRPr="00170422" w:rsidRDefault="00F37BF9">
      <w:pPr>
        <w:pStyle w:val="P68B1DB1-Normal5"/>
        <w:spacing w:before="240" w:after="120"/>
        <w:jc w:val="both"/>
        <w:rPr>
          <w:noProof/>
          <w:lang w:val="de-DE"/>
        </w:rPr>
      </w:pPr>
      <w:r w:rsidRPr="00170422">
        <w:rPr>
          <w:noProof/>
          <w:lang w:val="de-DE"/>
        </w:rPr>
        <w:t>Reform 1.11 – Kürzung von Zahlungsverzug durch öffentliche Verwaltungen und Gesundheitsbehörden</w:t>
      </w:r>
    </w:p>
    <w:p w14:paraId="3156D5E8" w14:textId="77777777" w:rsidR="0057163C" w:rsidRPr="00170422" w:rsidRDefault="00F37BF9">
      <w:pPr>
        <w:pStyle w:val="P68B1DB1-Normal7"/>
        <w:spacing w:before="240" w:after="120"/>
        <w:jc w:val="both"/>
        <w:rPr>
          <w:noProof/>
          <w:lang w:val="de-DE"/>
        </w:rPr>
      </w:pPr>
      <w:r w:rsidRPr="00170422">
        <w:rPr>
          <w:noProof/>
          <w:lang w:val="de-DE"/>
        </w:rPr>
        <w:t>Ziel der Reform ist es, Engpässe zu beseitigen, die Verzögerungen bei der Ausführung von Zahlungen von zentralen, regionalen, lokalen und Gesundhe</w:t>
      </w:r>
      <w:r w:rsidRPr="00170422">
        <w:rPr>
          <w:noProof/>
          <w:lang w:val="de-DE"/>
        </w:rPr>
        <w:t>itsbehörden Italiens an Unternehmen verursachen, insbesondere durch die Annahme von Strukturmaßnahmen und gezielten legislativen Maßnahmen.</w:t>
      </w:r>
    </w:p>
    <w:p w14:paraId="6B58E305" w14:textId="77777777" w:rsidR="0057163C" w:rsidRPr="00170422" w:rsidRDefault="00F37BF9">
      <w:pPr>
        <w:pStyle w:val="Axistitle"/>
        <w:ind w:left="0"/>
        <w:rPr>
          <w:noProof/>
          <w:lang w:val="de-DE"/>
        </w:rPr>
      </w:pPr>
      <w:r w:rsidRPr="00170422">
        <w:rPr>
          <w:noProof/>
          <w:lang w:val="de-DE"/>
        </w:rPr>
        <w:t>Schwerpunkt 5 – Haushalts- und Strukturreformen (Steuern und öffentliche Ausgaben)</w:t>
      </w:r>
    </w:p>
    <w:p w14:paraId="4C0A2A6E" w14:textId="77777777" w:rsidR="0057163C" w:rsidRPr="00170422" w:rsidRDefault="00F37BF9">
      <w:pPr>
        <w:pStyle w:val="P68B1DB1-Normal5"/>
        <w:spacing w:before="240" w:after="120"/>
        <w:jc w:val="both"/>
        <w:rPr>
          <w:noProof/>
          <w:lang w:val="de-DE"/>
        </w:rPr>
      </w:pPr>
      <w:r w:rsidRPr="00170422">
        <w:rPr>
          <w:noProof/>
          <w:lang w:val="de-DE"/>
        </w:rPr>
        <w:t>Reform 1.12 – Reform der Steuerve</w:t>
      </w:r>
      <w:r w:rsidRPr="00170422">
        <w:rPr>
          <w:noProof/>
          <w:lang w:val="de-DE"/>
        </w:rPr>
        <w:t>rwaltung</w:t>
      </w:r>
    </w:p>
    <w:p w14:paraId="3D0AA24A" w14:textId="77777777" w:rsidR="0057163C" w:rsidRPr="00170422" w:rsidRDefault="00F37BF9">
      <w:pPr>
        <w:pStyle w:val="P68B1DB1-Normal7"/>
        <w:jc w:val="both"/>
        <w:rPr>
          <w:noProof/>
          <w:lang w:val="de-DE"/>
        </w:rPr>
      </w:pPr>
      <w:r w:rsidRPr="00170422">
        <w:rPr>
          <w:noProof/>
          <w:lang w:val="de-DE"/>
        </w:rPr>
        <w:t>Ziel dieser Reform der Steuerverwaltung ist es, durch die Annahme und Durchsetzung gezielter Rechts- und Verwaltungsvorschriften die Einhaltung der Steuervorschriften zu fördern, die Wirksamkeit von Prüfungen und Kontrollen zu erhöhen und die Befo</w:t>
      </w:r>
      <w:r w:rsidRPr="00170422">
        <w:rPr>
          <w:noProof/>
          <w:lang w:val="de-DE"/>
        </w:rPr>
        <w:t>lgungskosten für die Steuerpflichtigen zu senken.</w:t>
      </w:r>
    </w:p>
    <w:p w14:paraId="5C00D30A" w14:textId="77777777" w:rsidR="0057163C" w:rsidRPr="00170422" w:rsidRDefault="00F37BF9">
      <w:pPr>
        <w:pStyle w:val="P68B1DB1-Normal5"/>
        <w:spacing w:before="240" w:after="120"/>
        <w:jc w:val="both"/>
        <w:rPr>
          <w:noProof/>
          <w:lang w:val="de-DE"/>
        </w:rPr>
      </w:pPr>
      <w:r w:rsidRPr="00170422">
        <w:rPr>
          <w:noProof/>
          <w:lang w:val="de-DE"/>
        </w:rPr>
        <w:t>Reform 1.13 – Reform des Rahmens für die Ausgabenüberprüfung</w:t>
      </w:r>
    </w:p>
    <w:p w14:paraId="26ACFE87" w14:textId="77777777" w:rsidR="0057163C" w:rsidRPr="00170422" w:rsidRDefault="00F37BF9">
      <w:pPr>
        <w:pStyle w:val="P68B1DB1-Normal7"/>
        <w:jc w:val="both"/>
        <w:rPr>
          <w:noProof/>
          <w:lang w:val="de-DE"/>
        </w:rPr>
      </w:pPr>
      <w:r w:rsidRPr="00170422">
        <w:rPr>
          <w:noProof/>
          <w:lang w:val="de-DE"/>
        </w:rPr>
        <w:t>Ziel dieser Reform ist es, die Wirksamkeit des nationalen Rahmens für die Überprüfung der Ausgaben zu erhöhen. Die Reform besteht in der Verpflic</w:t>
      </w:r>
      <w:r w:rsidRPr="00170422">
        <w:rPr>
          <w:noProof/>
          <w:lang w:val="de-DE"/>
        </w:rPr>
        <w:t>htung, im Zeitraum 2023-2025 jährliche Ausgabenüberprüfungen durchzuführen und die Praxis der umweltgerechten Haushaltsplanung und der Berücksichtigung des Gleichstellungsaspekts bei der Haushaltsplanung zu verbessern.</w:t>
      </w:r>
    </w:p>
    <w:p w14:paraId="55AD36FE" w14:textId="77777777" w:rsidR="0057163C" w:rsidRPr="00170422" w:rsidRDefault="00F37BF9">
      <w:pPr>
        <w:pStyle w:val="P68B1DB1-Normal5"/>
        <w:rPr>
          <w:noProof/>
          <w:lang w:val="de-DE"/>
        </w:rPr>
      </w:pPr>
      <w:r w:rsidRPr="00170422">
        <w:rPr>
          <w:noProof/>
          <w:lang w:val="de-DE"/>
        </w:rPr>
        <w:t>Reform 1.14 – Reform des haushaltspol</w:t>
      </w:r>
      <w:r w:rsidRPr="00170422">
        <w:rPr>
          <w:noProof/>
          <w:lang w:val="de-DE"/>
        </w:rPr>
        <w:t>itischen Rahmens auf subnationaler Ebene</w:t>
      </w:r>
    </w:p>
    <w:p w14:paraId="71237FB8" w14:textId="77777777" w:rsidR="0057163C" w:rsidRPr="00170422" w:rsidRDefault="00F37BF9">
      <w:pPr>
        <w:pStyle w:val="P68B1DB1-Normal7"/>
        <w:jc w:val="both"/>
        <w:rPr>
          <w:noProof/>
          <w:lang w:val="de-DE"/>
        </w:rPr>
      </w:pPr>
      <w:r w:rsidRPr="00170422">
        <w:rPr>
          <w:noProof/>
          <w:lang w:val="de-DE"/>
        </w:rPr>
        <w:t>Ziel dieser Reform ist es, die Transparenz der Finanzbeziehungen auf den verschiedenen Regierungsebenen zu erhöhen. Die Reform umfasst die Festlegung der Parameter für den „fiskalischen Föderalismus“ für Regionen mi</w:t>
      </w:r>
      <w:r w:rsidRPr="00170422">
        <w:rPr>
          <w:noProof/>
          <w:lang w:val="de-DE"/>
        </w:rPr>
        <w:t>t gewöhnlichem Status und die Annahme von Rechtsakten für den „fiskalischen Föderalismus“ für Provinzen und Großstädte.</w:t>
      </w:r>
    </w:p>
    <w:p w14:paraId="79E7A0B0" w14:textId="02F0B3F0" w:rsidR="0057163C" w:rsidRPr="00170422" w:rsidRDefault="00F37BF9">
      <w:pPr>
        <w:pStyle w:val="P68B1DB1-Normal5"/>
        <w:spacing w:before="240" w:after="120"/>
        <w:jc w:val="both"/>
        <w:rPr>
          <w:noProof/>
          <w:lang w:val="de-DE"/>
        </w:rPr>
      </w:pPr>
      <w:r w:rsidRPr="00170422">
        <w:rPr>
          <w:noProof/>
          <w:lang w:val="de-DE"/>
        </w:rPr>
        <w:t>Reform 1.15 – Reform der Vorschriften für die öffentliche Rechnungslegung</w:t>
      </w:r>
    </w:p>
    <w:p w14:paraId="460C810A" w14:textId="77777777" w:rsidR="0057163C" w:rsidRPr="00170422" w:rsidRDefault="00F37BF9">
      <w:pPr>
        <w:pStyle w:val="P68B1DB1-Normal7"/>
        <w:jc w:val="both"/>
        <w:rPr>
          <w:noProof/>
          <w:lang w:val="de-DE"/>
        </w:rPr>
      </w:pPr>
      <w:r w:rsidRPr="00170422">
        <w:rPr>
          <w:noProof/>
          <w:lang w:val="de-DE"/>
        </w:rPr>
        <w:t xml:space="preserve">Ziel dieser Reform ist die Einführung eines einheitlichen </w:t>
      </w:r>
      <w:r w:rsidRPr="00170422">
        <w:rPr>
          <w:noProof/>
          <w:lang w:val="de-DE"/>
        </w:rPr>
        <w:t>periodengerechten Rechnungsführungssystems für den öffentlichen Sektor abzüglich staatseigener Unternehmen. Die Reform besteht in der Annahme des konzeptionellen Rahmens, der Normen für die periodengerechte Rechnungsführung und des mehrdimensionalen Konten</w:t>
      </w:r>
      <w:r w:rsidRPr="00170422">
        <w:rPr>
          <w:noProof/>
          <w:lang w:val="de-DE"/>
        </w:rPr>
        <w:t>plans sowie in der Durchführung von Schulungen für den Übergang zum neuen System der periodengerechten Rechnungsführung.</w:t>
      </w:r>
    </w:p>
    <w:p w14:paraId="68BF3545" w14:textId="77777777" w:rsidR="0057163C" w:rsidRPr="00170422" w:rsidRDefault="00F37BF9">
      <w:pPr>
        <w:pStyle w:val="P68B1DB1-Normal5"/>
        <w:spacing w:before="120" w:after="120"/>
        <w:jc w:val="both"/>
        <w:rPr>
          <w:bCs/>
          <w:noProof/>
          <w:lang w:val="de-DE"/>
        </w:rPr>
      </w:pPr>
      <w:r w:rsidRPr="00170422">
        <w:rPr>
          <w:noProof/>
          <w:lang w:val="de-DE"/>
        </w:rPr>
        <w:t xml:space="preserve">Investition 1.10 – Förderung von Qualifizierung und eProcurement </w:t>
      </w:r>
    </w:p>
    <w:p w14:paraId="0A6B93B4" w14:textId="77777777" w:rsidR="0057163C" w:rsidRPr="00170422" w:rsidRDefault="00F37BF9">
      <w:pPr>
        <w:pStyle w:val="P68B1DB1-Normal7"/>
        <w:spacing w:before="120" w:after="120"/>
        <w:jc w:val="both"/>
        <w:rPr>
          <w:noProof/>
          <w:lang w:val="de-DE"/>
        </w:rPr>
      </w:pPr>
      <w:r w:rsidRPr="00170422">
        <w:rPr>
          <w:noProof/>
          <w:lang w:val="de-DE"/>
        </w:rPr>
        <w:t>Mit dieser Investition wird im Rahmen der Professionalisierungsstrate</w:t>
      </w:r>
      <w:r w:rsidRPr="00170422">
        <w:rPr>
          <w:noProof/>
          <w:lang w:val="de-DE"/>
        </w:rPr>
        <w:t>gie für öffentliche Auftraggeber eine Unterstützungsfunktion für öffentliche Auftraggeber eingerichtet, um die Anforderungen des Anhangs II.4 des Kodex für die Vergabe öffentlicher Aufträge zu erfüllen und sie bei der elektronischen Auftragsvergabe zu unte</w:t>
      </w:r>
      <w:r w:rsidRPr="00170422">
        <w:rPr>
          <w:noProof/>
          <w:lang w:val="de-DE"/>
        </w:rPr>
        <w:t>rstützen, den Erwerb digitaler Kompetenzen zu unterstützen und technische Unterstützung bei der Einführung der Digitalisierung des öffentlichen Auftragswesens, einschließlich des Einsatzes dynamischer Beschaffungssysteme, zu leisten.</w:t>
      </w:r>
    </w:p>
    <w:p w14:paraId="5C0E08A0" w14:textId="77777777" w:rsidR="0057163C" w:rsidRPr="00170422" w:rsidRDefault="0057163C">
      <w:pPr>
        <w:spacing w:before="120" w:after="120"/>
        <w:jc w:val="both"/>
        <w:rPr>
          <w:noProof/>
          <w:lang w:val="de-DE"/>
        </w:rPr>
        <w:sectPr w:rsidR="0057163C" w:rsidRPr="00170422" w:rsidSect="005F11B9">
          <w:headerReference w:type="even" r:id="rId18"/>
          <w:headerReference w:type="default" r:id="rId19"/>
          <w:footerReference w:type="even" r:id="rId20"/>
          <w:footerReference w:type="default" r:id="rId21"/>
          <w:headerReference w:type="first" r:id="rId22"/>
          <w:footerReference w:type="first" r:id="rId23"/>
          <w:pgSz w:w="11907" w:h="16839"/>
          <w:pgMar w:top="1440" w:right="1440" w:bottom="1440" w:left="1440" w:header="567" w:footer="567" w:gutter="0"/>
          <w:cols w:space="720"/>
          <w:docGrid w:linePitch="360"/>
        </w:sectPr>
      </w:pPr>
    </w:p>
    <w:p w14:paraId="216DD0B9"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A.2. </w:t>
      </w:r>
      <w:r w:rsidRPr="00170422">
        <w:rPr>
          <w:noProof/>
          <w:lang w:val="de-DE"/>
        </w:rPr>
        <w:t xml:space="preserve"> </w:t>
      </w:r>
      <w:r w:rsidRPr="00170422">
        <w:rPr>
          <w:b/>
          <w:noProof/>
          <w:u w:val="single"/>
          <w:lang w:val="de-DE"/>
        </w:rPr>
        <w:t>Etappenziele, Zielwerte, Indikatoren und Zeitplan für die Überwachung und Durchführung der nicht rückzahlbaren finanziellen Unterstützung</w:t>
      </w:r>
    </w:p>
    <w:tbl>
      <w:tblPr>
        <w:tblW w:w="15735"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5"/>
        <w:gridCol w:w="1417"/>
        <w:gridCol w:w="1276"/>
        <w:gridCol w:w="1134"/>
        <w:gridCol w:w="1559"/>
        <w:gridCol w:w="1276"/>
        <w:gridCol w:w="1417"/>
        <w:gridCol w:w="1418"/>
        <w:gridCol w:w="992"/>
        <w:gridCol w:w="852"/>
        <w:gridCol w:w="3259"/>
      </w:tblGrid>
      <w:tr w:rsidR="0057163C" w:rsidRPr="00170422" w14:paraId="4D5CE700" w14:textId="77777777" w:rsidTr="00D64E63">
        <w:trPr>
          <w:trHeight w:val="765"/>
          <w:tblHeader/>
        </w:trPr>
        <w:tc>
          <w:tcPr>
            <w:tcW w:w="1135" w:type="dxa"/>
            <w:vMerge w:val="restart"/>
            <w:shd w:val="clear" w:color="auto" w:fill="BDD7EE"/>
            <w:vAlign w:val="center"/>
            <w:hideMark/>
          </w:tcPr>
          <w:p w14:paraId="0CED0095" w14:textId="77777777" w:rsidR="0057163C" w:rsidRPr="00170422" w:rsidRDefault="00F37BF9">
            <w:pPr>
              <w:pStyle w:val="P68B1DB1-Normal10"/>
              <w:jc w:val="center"/>
              <w:rPr>
                <w:rFonts w:cs="Arial"/>
                <w:bCs/>
                <w:noProof/>
                <w:szCs w:val="20"/>
                <w:lang w:val="de-DE"/>
              </w:rPr>
            </w:pPr>
            <w:r w:rsidRPr="00170422">
              <w:rPr>
                <w:noProof/>
                <w:lang w:val="de-DE"/>
              </w:rPr>
              <w:t>Laufende Nummer</w:t>
            </w:r>
          </w:p>
        </w:tc>
        <w:tc>
          <w:tcPr>
            <w:tcW w:w="1417" w:type="dxa"/>
            <w:vMerge w:val="restart"/>
            <w:shd w:val="clear" w:color="auto" w:fill="BDD7EE"/>
            <w:vAlign w:val="center"/>
            <w:hideMark/>
          </w:tcPr>
          <w:p w14:paraId="7B3C1085" w14:textId="77777777" w:rsidR="0057163C" w:rsidRPr="00170422" w:rsidRDefault="00F37BF9">
            <w:pPr>
              <w:pStyle w:val="P68B1DB1-Normal10"/>
              <w:jc w:val="center"/>
              <w:rPr>
                <w:rFonts w:cs="Arial"/>
                <w:bCs/>
                <w:noProof/>
                <w:szCs w:val="20"/>
                <w:lang w:val="de-DE"/>
              </w:rPr>
            </w:pPr>
            <w:r w:rsidRPr="00170422">
              <w:rPr>
                <w:noProof/>
                <w:lang w:val="de-DE"/>
              </w:rPr>
              <w:t>Verbundene Maßnahme (Reform oder Investition)</w:t>
            </w:r>
          </w:p>
        </w:tc>
        <w:tc>
          <w:tcPr>
            <w:tcW w:w="1276" w:type="dxa"/>
            <w:vMerge w:val="restart"/>
            <w:shd w:val="clear" w:color="auto" w:fill="BDD7EE"/>
            <w:vAlign w:val="center"/>
            <w:hideMark/>
          </w:tcPr>
          <w:p w14:paraId="5FF42DA3" w14:textId="2F88FBEC" w:rsidR="0057163C" w:rsidRPr="00170422" w:rsidRDefault="00F37BF9">
            <w:pPr>
              <w:pStyle w:val="P68B1DB1-Normal10"/>
              <w:jc w:val="center"/>
              <w:rPr>
                <w:rFonts w:cs="Arial"/>
                <w:bCs/>
                <w:noProof/>
                <w:szCs w:val="20"/>
                <w:lang w:val="de-DE"/>
              </w:rPr>
            </w:pPr>
            <w:r w:rsidRPr="00170422">
              <w:rPr>
                <w:noProof/>
                <w:lang w:val="de-DE"/>
              </w:rPr>
              <w:t>Etappenziel/</w:t>
            </w:r>
            <w:r w:rsidR="00D64E63" w:rsidRPr="00170422">
              <w:rPr>
                <w:noProof/>
                <w:lang w:val="de-DE"/>
              </w:rPr>
              <w:br/>
            </w:r>
            <w:r w:rsidRPr="00170422">
              <w:rPr>
                <w:noProof/>
                <w:lang w:val="de-DE"/>
              </w:rPr>
              <w:t>Zielwert</w:t>
            </w:r>
          </w:p>
        </w:tc>
        <w:tc>
          <w:tcPr>
            <w:tcW w:w="1134" w:type="dxa"/>
            <w:vMerge w:val="restart"/>
            <w:shd w:val="clear" w:color="auto" w:fill="BDD7EE"/>
            <w:vAlign w:val="center"/>
            <w:hideMark/>
          </w:tcPr>
          <w:p w14:paraId="3587A1A1" w14:textId="77777777" w:rsidR="0057163C" w:rsidRPr="00170422" w:rsidRDefault="00F37BF9">
            <w:pPr>
              <w:pStyle w:val="P68B1DB1-Normal10"/>
              <w:jc w:val="center"/>
              <w:rPr>
                <w:rFonts w:cs="Arial"/>
                <w:bCs/>
                <w:noProof/>
                <w:szCs w:val="20"/>
                <w:lang w:val="de-DE"/>
              </w:rPr>
            </w:pPr>
            <w:r w:rsidRPr="00170422">
              <w:rPr>
                <w:noProof/>
                <w:lang w:val="de-DE"/>
              </w:rPr>
              <w:t>Namen</w:t>
            </w:r>
          </w:p>
        </w:tc>
        <w:tc>
          <w:tcPr>
            <w:tcW w:w="1559" w:type="dxa"/>
            <w:vMerge w:val="restart"/>
            <w:shd w:val="clear" w:color="auto" w:fill="BDD7EE"/>
            <w:vAlign w:val="center"/>
            <w:hideMark/>
          </w:tcPr>
          <w:p w14:paraId="2F50680B" w14:textId="35355B69" w:rsidR="0057163C" w:rsidRPr="00170422" w:rsidRDefault="00F37BF9">
            <w:pPr>
              <w:jc w:val="center"/>
              <w:rPr>
                <w:rFonts w:ascii="Arial Narrow" w:hAnsi="Arial Narrow" w:cs="Arial"/>
                <w:b/>
                <w:bCs/>
                <w:noProof/>
                <w:sz w:val="20"/>
                <w:szCs w:val="20"/>
                <w:lang w:val="de-DE"/>
              </w:rPr>
            </w:pPr>
            <w:r w:rsidRPr="00170422">
              <w:rPr>
                <w:rFonts w:ascii="Arial Narrow" w:hAnsi="Arial Narrow"/>
                <w:b/>
                <w:noProof/>
                <w:sz w:val="20"/>
                <w:lang w:val="de-DE"/>
              </w:rPr>
              <w:t>Etappenziel/</w:t>
            </w:r>
            <w:r w:rsidR="00D64E63" w:rsidRPr="00170422">
              <w:rPr>
                <w:rFonts w:ascii="Arial Narrow" w:hAnsi="Arial Narrow"/>
                <w:b/>
                <w:noProof/>
                <w:sz w:val="20"/>
                <w:lang w:val="de-DE"/>
              </w:rPr>
              <w:br/>
            </w:r>
            <w:r w:rsidRPr="00170422">
              <w:rPr>
                <w:rFonts w:ascii="Arial Narrow" w:hAnsi="Arial Narrow"/>
                <w:b/>
                <w:noProof/>
                <w:sz w:val="20"/>
                <w:lang w:val="de-DE"/>
              </w:rPr>
              <w:t>Zielwert</w:t>
            </w:r>
            <w:r w:rsidRPr="00170422">
              <w:rPr>
                <w:rFonts w:ascii="Arial Narrow" w:hAnsi="Arial Narrow"/>
                <w:noProof/>
                <w:sz w:val="20"/>
                <w:lang w:val="de-DE"/>
              </w:rPr>
              <w:t xml:space="preserve"> </w:t>
            </w:r>
            <w:r w:rsidRPr="00170422">
              <w:rPr>
                <w:noProof/>
                <w:lang w:val="de-DE"/>
              </w:rPr>
              <w:br/>
            </w:r>
            <w:r w:rsidRPr="00170422">
              <w:rPr>
                <w:rFonts w:ascii="Arial Narrow" w:hAnsi="Arial Narrow"/>
                <w:b/>
                <w:noProof/>
                <w:sz w:val="20"/>
                <w:lang w:val="de-DE"/>
              </w:rPr>
              <w:t>(für Etappenziele)</w:t>
            </w:r>
          </w:p>
        </w:tc>
        <w:tc>
          <w:tcPr>
            <w:tcW w:w="4111" w:type="dxa"/>
            <w:gridSpan w:val="3"/>
            <w:shd w:val="clear" w:color="auto" w:fill="BDD7EE"/>
            <w:vAlign w:val="center"/>
            <w:hideMark/>
          </w:tcPr>
          <w:p w14:paraId="3AB43D92" w14:textId="77777777" w:rsidR="0057163C" w:rsidRPr="00170422" w:rsidRDefault="00F37BF9">
            <w:pPr>
              <w:jc w:val="center"/>
              <w:rPr>
                <w:rFonts w:ascii="Arial Narrow" w:hAnsi="Arial Narrow" w:cs="Arial"/>
                <w:b/>
                <w:bCs/>
                <w:noProof/>
                <w:sz w:val="20"/>
                <w:szCs w:val="20"/>
                <w:lang w:val="de-DE"/>
              </w:rPr>
            </w:pPr>
            <w:r w:rsidRPr="00170422">
              <w:rPr>
                <w:rFonts w:ascii="Arial Narrow" w:hAnsi="Arial Narrow"/>
                <w:b/>
                <w:noProof/>
                <w:sz w:val="20"/>
                <w:lang w:val="de-DE"/>
              </w:rPr>
              <w:t xml:space="preserve">Qualitative Indikatoren (für Etappenziele) </w:t>
            </w:r>
            <w:r w:rsidRPr="00170422">
              <w:rPr>
                <w:rFonts w:ascii="Arial Narrow" w:hAnsi="Arial Narrow"/>
                <w:b/>
                <w:noProof/>
                <w:sz w:val="20"/>
                <w:lang w:val="de-DE"/>
              </w:rPr>
              <w:br/>
              <w:t>(für Ziele)</w:t>
            </w:r>
          </w:p>
        </w:tc>
        <w:tc>
          <w:tcPr>
            <w:tcW w:w="1844" w:type="dxa"/>
            <w:gridSpan w:val="2"/>
            <w:shd w:val="clear" w:color="auto" w:fill="BDD7EE"/>
            <w:vAlign w:val="center"/>
            <w:hideMark/>
          </w:tcPr>
          <w:p w14:paraId="2FAAE022" w14:textId="77777777" w:rsidR="0057163C" w:rsidRPr="00170422" w:rsidRDefault="00F37BF9">
            <w:pPr>
              <w:pStyle w:val="P68B1DB1-Normal10"/>
              <w:jc w:val="center"/>
              <w:rPr>
                <w:rFonts w:cs="Arial"/>
                <w:bCs/>
                <w:noProof/>
                <w:szCs w:val="20"/>
                <w:lang w:val="de-DE"/>
              </w:rPr>
            </w:pPr>
            <w:r w:rsidRPr="00170422">
              <w:rPr>
                <w:noProof/>
                <w:lang w:val="de-DE"/>
              </w:rPr>
              <w:t>Vorläufiger Zeitplan für die Fertigstellung</w:t>
            </w:r>
          </w:p>
        </w:tc>
        <w:tc>
          <w:tcPr>
            <w:tcW w:w="3259" w:type="dxa"/>
            <w:vMerge w:val="restart"/>
            <w:shd w:val="clear" w:color="auto" w:fill="BDD7EE"/>
            <w:vAlign w:val="center"/>
            <w:hideMark/>
          </w:tcPr>
          <w:p w14:paraId="496546E0" w14:textId="77777777" w:rsidR="0057163C" w:rsidRPr="00170422" w:rsidRDefault="00F37BF9">
            <w:pPr>
              <w:pStyle w:val="P68B1DB1-Normal10"/>
              <w:jc w:val="center"/>
              <w:rPr>
                <w:rFonts w:cs="Arial"/>
                <w:bCs/>
                <w:noProof/>
                <w:szCs w:val="20"/>
                <w:lang w:val="de-DE"/>
              </w:rPr>
            </w:pPr>
            <w:r w:rsidRPr="00170422">
              <w:rPr>
                <w:noProof/>
                <w:lang w:val="de-DE"/>
              </w:rPr>
              <w:t>Beschreibung der einzelnen Etappenziele und Zielvorgaben</w:t>
            </w:r>
          </w:p>
        </w:tc>
      </w:tr>
      <w:tr w:rsidR="0057163C" w:rsidRPr="00170422" w14:paraId="32D29FD6" w14:textId="77777777" w:rsidTr="00D64E63">
        <w:trPr>
          <w:trHeight w:val="561"/>
          <w:tblHeader/>
        </w:trPr>
        <w:tc>
          <w:tcPr>
            <w:tcW w:w="1135" w:type="dxa"/>
            <w:vMerge/>
            <w:vAlign w:val="center"/>
            <w:hideMark/>
          </w:tcPr>
          <w:p w14:paraId="0016CCDC" w14:textId="77777777" w:rsidR="0057163C" w:rsidRPr="00170422" w:rsidRDefault="0057163C">
            <w:pPr>
              <w:jc w:val="center"/>
              <w:rPr>
                <w:rFonts w:ascii="Arial Narrow" w:hAnsi="Arial Narrow" w:cs="Arial"/>
                <w:b/>
                <w:bCs/>
                <w:noProof/>
                <w:sz w:val="20"/>
                <w:szCs w:val="20"/>
                <w:lang w:val="de-DE"/>
              </w:rPr>
            </w:pPr>
          </w:p>
        </w:tc>
        <w:tc>
          <w:tcPr>
            <w:tcW w:w="1417" w:type="dxa"/>
            <w:vMerge/>
            <w:vAlign w:val="center"/>
            <w:hideMark/>
          </w:tcPr>
          <w:p w14:paraId="05BDCFF1" w14:textId="77777777" w:rsidR="0057163C" w:rsidRPr="00170422" w:rsidRDefault="0057163C">
            <w:pPr>
              <w:jc w:val="center"/>
              <w:rPr>
                <w:rFonts w:ascii="Arial Narrow" w:hAnsi="Arial Narrow" w:cs="Arial"/>
                <w:b/>
                <w:bCs/>
                <w:noProof/>
                <w:sz w:val="20"/>
                <w:szCs w:val="20"/>
                <w:lang w:val="de-DE"/>
              </w:rPr>
            </w:pPr>
          </w:p>
        </w:tc>
        <w:tc>
          <w:tcPr>
            <w:tcW w:w="1276" w:type="dxa"/>
            <w:vMerge/>
            <w:vAlign w:val="center"/>
            <w:hideMark/>
          </w:tcPr>
          <w:p w14:paraId="5DDF16FC" w14:textId="77777777" w:rsidR="0057163C" w:rsidRPr="00170422" w:rsidRDefault="0057163C">
            <w:pPr>
              <w:jc w:val="center"/>
              <w:rPr>
                <w:rFonts w:ascii="Arial Narrow" w:hAnsi="Arial Narrow" w:cs="Arial"/>
                <w:b/>
                <w:bCs/>
                <w:noProof/>
                <w:sz w:val="20"/>
                <w:szCs w:val="20"/>
                <w:lang w:val="de-DE"/>
              </w:rPr>
            </w:pPr>
          </w:p>
        </w:tc>
        <w:tc>
          <w:tcPr>
            <w:tcW w:w="1134" w:type="dxa"/>
            <w:vMerge/>
            <w:vAlign w:val="center"/>
            <w:hideMark/>
          </w:tcPr>
          <w:p w14:paraId="52819F26" w14:textId="77777777" w:rsidR="0057163C" w:rsidRPr="00170422" w:rsidRDefault="0057163C">
            <w:pPr>
              <w:jc w:val="center"/>
              <w:rPr>
                <w:rFonts w:ascii="Arial Narrow" w:hAnsi="Arial Narrow" w:cs="Arial"/>
                <w:b/>
                <w:bCs/>
                <w:noProof/>
                <w:sz w:val="20"/>
                <w:szCs w:val="20"/>
                <w:lang w:val="de-DE"/>
              </w:rPr>
            </w:pPr>
          </w:p>
        </w:tc>
        <w:tc>
          <w:tcPr>
            <w:tcW w:w="1559" w:type="dxa"/>
            <w:vMerge/>
            <w:vAlign w:val="center"/>
            <w:hideMark/>
          </w:tcPr>
          <w:p w14:paraId="51C3681E" w14:textId="77777777" w:rsidR="0057163C" w:rsidRPr="00170422" w:rsidRDefault="0057163C">
            <w:pPr>
              <w:jc w:val="center"/>
              <w:rPr>
                <w:rFonts w:ascii="Arial Narrow" w:hAnsi="Arial Narrow" w:cs="Arial"/>
                <w:b/>
                <w:bCs/>
                <w:noProof/>
                <w:sz w:val="20"/>
                <w:szCs w:val="20"/>
                <w:lang w:val="de-DE"/>
              </w:rPr>
            </w:pPr>
          </w:p>
        </w:tc>
        <w:tc>
          <w:tcPr>
            <w:tcW w:w="1276" w:type="dxa"/>
            <w:shd w:val="clear" w:color="auto" w:fill="BDD7EE"/>
            <w:vAlign w:val="center"/>
            <w:hideMark/>
          </w:tcPr>
          <w:p w14:paraId="507E35A4" w14:textId="77777777" w:rsidR="0057163C" w:rsidRPr="00170422" w:rsidRDefault="00F37BF9">
            <w:pPr>
              <w:pStyle w:val="P68B1DB1-Normal10"/>
              <w:jc w:val="center"/>
              <w:rPr>
                <w:rFonts w:cs="Arial"/>
                <w:bCs/>
                <w:noProof/>
                <w:szCs w:val="20"/>
                <w:lang w:val="de-DE"/>
              </w:rPr>
            </w:pPr>
            <w:r w:rsidRPr="00170422">
              <w:rPr>
                <w:noProof/>
                <w:lang w:val="de-DE"/>
              </w:rPr>
              <w:t>Maßeinheit</w:t>
            </w:r>
          </w:p>
        </w:tc>
        <w:tc>
          <w:tcPr>
            <w:tcW w:w="1417" w:type="dxa"/>
            <w:shd w:val="clear" w:color="auto" w:fill="BDD7EE"/>
            <w:vAlign w:val="center"/>
            <w:hideMark/>
          </w:tcPr>
          <w:p w14:paraId="14DCC041" w14:textId="77777777" w:rsidR="0057163C" w:rsidRPr="00170422" w:rsidRDefault="00F37BF9">
            <w:pPr>
              <w:pStyle w:val="P68B1DB1-Normal10"/>
              <w:jc w:val="center"/>
              <w:rPr>
                <w:rFonts w:cs="Arial"/>
                <w:bCs/>
                <w:noProof/>
                <w:szCs w:val="20"/>
                <w:lang w:val="de-DE"/>
              </w:rPr>
            </w:pPr>
            <w:r w:rsidRPr="00170422">
              <w:rPr>
                <w:noProof/>
                <w:lang w:val="de-DE"/>
              </w:rPr>
              <w:t>Ausgangslage</w:t>
            </w:r>
          </w:p>
        </w:tc>
        <w:tc>
          <w:tcPr>
            <w:tcW w:w="1418" w:type="dxa"/>
            <w:shd w:val="clear" w:color="auto" w:fill="BDD7EE"/>
            <w:vAlign w:val="center"/>
            <w:hideMark/>
          </w:tcPr>
          <w:p w14:paraId="73C831C3" w14:textId="77777777" w:rsidR="0057163C" w:rsidRPr="00170422" w:rsidRDefault="00F37BF9">
            <w:pPr>
              <w:pStyle w:val="P68B1DB1-Normal10"/>
              <w:jc w:val="center"/>
              <w:rPr>
                <w:rFonts w:cs="Arial"/>
                <w:bCs/>
                <w:noProof/>
                <w:szCs w:val="20"/>
                <w:lang w:val="de-DE"/>
              </w:rPr>
            </w:pPr>
            <w:r w:rsidRPr="00170422">
              <w:rPr>
                <w:noProof/>
                <w:lang w:val="de-DE"/>
              </w:rPr>
              <w:t>Ziel</w:t>
            </w:r>
          </w:p>
        </w:tc>
        <w:tc>
          <w:tcPr>
            <w:tcW w:w="992" w:type="dxa"/>
            <w:shd w:val="clear" w:color="auto" w:fill="BDD7EE"/>
            <w:vAlign w:val="center"/>
            <w:hideMark/>
          </w:tcPr>
          <w:p w14:paraId="6229EFDD" w14:textId="77777777" w:rsidR="0057163C" w:rsidRPr="00170422" w:rsidRDefault="00F37BF9">
            <w:pPr>
              <w:pStyle w:val="P68B1DB1-Normal10"/>
              <w:jc w:val="center"/>
              <w:rPr>
                <w:rFonts w:cs="Arial"/>
                <w:bCs/>
                <w:noProof/>
                <w:szCs w:val="20"/>
                <w:lang w:val="de-DE"/>
              </w:rPr>
            </w:pPr>
            <w:r w:rsidRPr="00170422">
              <w:rPr>
                <w:noProof/>
                <w:lang w:val="de-DE"/>
              </w:rPr>
              <w:t>Viertel</w:t>
            </w:r>
          </w:p>
        </w:tc>
        <w:tc>
          <w:tcPr>
            <w:tcW w:w="852" w:type="dxa"/>
            <w:shd w:val="clear" w:color="auto" w:fill="BDD7EE"/>
            <w:vAlign w:val="center"/>
            <w:hideMark/>
          </w:tcPr>
          <w:p w14:paraId="7DE3CC05" w14:textId="77777777" w:rsidR="0057163C" w:rsidRPr="00170422" w:rsidRDefault="00F37BF9">
            <w:pPr>
              <w:pStyle w:val="P68B1DB1-Normal10"/>
              <w:jc w:val="center"/>
              <w:rPr>
                <w:rFonts w:cs="Arial"/>
                <w:bCs/>
                <w:noProof/>
                <w:szCs w:val="20"/>
                <w:lang w:val="de-DE"/>
              </w:rPr>
            </w:pPr>
            <w:r w:rsidRPr="00170422">
              <w:rPr>
                <w:noProof/>
                <w:lang w:val="de-DE"/>
              </w:rPr>
              <w:t>Jahre</w:t>
            </w:r>
          </w:p>
        </w:tc>
        <w:tc>
          <w:tcPr>
            <w:tcW w:w="3259" w:type="dxa"/>
            <w:vMerge/>
            <w:vAlign w:val="center"/>
            <w:hideMark/>
          </w:tcPr>
          <w:p w14:paraId="2716DABF" w14:textId="77777777" w:rsidR="0057163C" w:rsidRPr="00170422" w:rsidRDefault="0057163C">
            <w:pPr>
              <w:jc w:val="center"/>
              <w:rPr>
                <w:rFonts w:ascii="Arial Narrow" w:hAnsi="Arial Narrow" w:cs="Arial"/>
                <w:b/>
                <w:bCs/>
                <w:noProof/>
                <w:sz w:val="20"/>
                <w:szCs w:val="20"/>
                <w:lang w:val="de-DE"/>
              </w:rPr>
            </w:pPr>
          </w:p>
        </w:tc>
      </w:tr>
      <w:tr w:rsidR="0057163C" w:rsidRPr="00170422" w14:paraId="2805B3B2" w14:textId="77777777" w:rsidTr="00D64E63">
        <w:trPr>
          <w:trHeight w:val="309"/>
        </w:trPr>
        <w:tc>
          <w:tcPr>
            <w:tcW w:w="1135" w:type="dxa"/>
            <w:shd w:val="clear" w:color="auto" w:fill="C6EFCE"/>
            <w:noWrap/>
            <w:vAlign w:val="center"/>
          </w:tcPr>
          <w:p w14:paraId="554AB566" w14:textId="77777777" w:rsidR="0057163C" w:rsidRPr="00170422" w:rsidRDefault="00F37BF9">
            <w:pPr>
              <w:pStyle w:val="P68B1DB1-Normal11"/>
              <w:jc w:val="both"/>
              <w:rPr>
                <w:rFonts w:cs="Arial"/>
                <w:noProof/>
                <w:szCs w:val="20"/>
                <w:lang w:val="de-DE"/>
              </w:rPr>
            </w:pPr>
            <w:r w:rsidRPr="00170422">
              <w:rPr>
                <w:noProof/>
                <w:lang w:val="de-DE"/>
              </w:rPr>
              <w:t>M1C1-1</w:t>
            </w:r>
          </w:p>
        </w:tc>
        <w:tc>
          <w:tcPr>
            <w:tcW w:w="1417" w:type="dxa"/>
            <w:shd w:val="clear" w:color="auto" w:fill="C6EFCE"/>
            <w:noWrap/>
            <w:vAlign w:val="center"/>
          </w:tcPr>
          <w:p w14:paraId="2E1DF009" w14:textId="77777777" w:rsidR="0057163C" w:rsidRPr="00170422" w:rsidRDefault="00F37BF9">
            <w:pPr>
              <w:pStyle w:val="P68B1DB1-Normal11"/>
              <w:jc w:val="center"/>
              <w:rPr>
                <w:rFonts w:cs="Arial"/>
                <w:noProof/>
                <w:szCs w:val="20"/>
                <w:lang w:val="de-DE"/>
              </w:rPr>
            </w:pPr>
            <w:r w:rsidRPr="00170422">
              <w:rPr>
                <w:noProof/>
                <w:lang w:val="de-DE"/>
              </w:rPr>
              <w:t>Reform 1.1: IKT-Beschaffung</w:t>
            </w:r>
          </w:p>
        </w:tc>
        <w:tc>
          <w:tcPr>
            <w:tcW w:w="1276" w:type="dxa"/>
            <w:shd w:val="clear" w:color="auto" w:fill="C6EFCE"/>
            <w:noWrap/>
            <w:vAlign w:val="center"/>
          </w:tcPr>
          <w:p w14:paraId="4D8E44E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65F68EF6" w14:textId="77777777" w:rsidR="0057163C" w:rsidRPr="00170422" w:rsidRDefault="00F37BF9">
            <w:pPr>
              <w:pStyle w:val="P68B1DB1-Normal11"/>
              <w:jc w:val="center"/>
              <w:rPr>
                <w:rFonts w:cs="Arial"/>
                <w:noProof/>
                <w:szCs w:val="20"/>
                <w:lang w:val="de-DE"/>
              </w:rPr>
            </w:pPr>
            <w:r w:rsidRPr="00170422">
              <w:rPr>
                <w:noProof/>
                <w:lang w:val="de-DE"/>
              </w:rPr>
              <w:t>Inkrafttreten der Gesetzesverordnungen zur Reform 1.1 „IKT-Beschaffung“</w:t>
            </w:r>
          </w:p>
        </w:tc>
        <w:tc>
          <w:tcPr>
            <w:tcW w:w="1559" w:type="dxa"/>
            <w:shd w:val="clear" w:color="auto" w:fill="C6EFCE"/>
            <w:noWrap/>
            <w:vAlign w:val="center"/>
          </w:tcPr>
          <w:p w14:paraId="3ED757EC"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eines Gesetzeserlasses zur Reform des IKT-Vergabewesens</w:t>
            </w:r>
          </w:p>
        </w:tc>
        <w:tc>
          <w:tcPr>
            <w:tcW w:w="1276" w:type="dxa"/>
            <w:shd w:val="clear" w:color="auto" w:fill="C6EFCE"/>
            <w:noWrap/>
            <w:vAlign w:val="center"/>
          </w:tcPr>
          <w:p w14:paraId="6654C96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5DC072D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3B02F2A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7B22F7BB" w14:textId="77777777" w:rsidR="0057163C" w:rsidRPr="00170422" w:rsidRDefault="00F37BF9">
            <w:pPr>
              <w:pStyle w:val="P68B1DB1-Normal11"/>
              <w:jc w:val="center"/>
              <w:rPr>
                <w:rFonts w:cs="Arial"/>
                <w:noProof/>
                <w:szCs w:val="20"/>
                <w:lang w:val="de-DE"/>
              </w:rPr>
            </w:pPr>
            <w:r w:rsidRPr="00170422">
              <w:rPr>
                <w:noProof/>
                <w:lang w:val="de-DE"/>
              </w:rPr>
              <w:t xml:space="preserve">4. </w:t>
            </w:r>
            <w:r w:rsidRPr="00170422">
              <w:rPr>
                <w:noProof/>
                <w:lang w:val="de-DE"/>
              </w:rPr>
              <w:t>QUARTAL</w:t>
            </w:r>
          </w:p>
        </w:tc>
        <w:tc>
          <w:tcPr>
            <w:tcW w:w="852" w:type="dxa"/>
            <w:shd w:val="clear" w:color="auto" w:fill="C6EFCE"/>
            <w:noWrap/>
            <w:vAlign w:val="center"/>
          </w:tcPr>
          <w:p w14:paraId="0786BAB2"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shd w:val="clear" w:color="auto" w:fill="C6EFCE"/>
            <w:noWrap/>
            <w:vAlign w:val="center"/>
          </w:tcPr>
          <w:p w14:paraId="56B4F895" w14:textId="77777777" w:rsidR="0057163C" w:rsidRPr="00170422" w:rsidRDefault="00F37BF9">
            <w:pPr>
              <w:pStyle w:val="P68B1DB1-Normal12"/>
              <w:spacing w:after="120"/>
              <w:rPr>
                <w:noProof/>
                <w:lang w:val="de-DE"/>
              </w:rPr>
            </w:pPr>
            <w:r w:rsidRPr="00170422">
              <w:rPr>
                <w:noProof/>
                <w:lang w:val="de-DE"/>
              </w:rPr>
              <w:t>Die erforderlichen Rechtsakte umfassen legislative Eingriffe in das Gesetzesdekret zur Vereinfachung („Decreto Legge Semplificazioni“). Darin wird Folgendes festgelegt:</w:t>
            </w:r>
          </w:p>
          <w:p w14:paraId="77B155A0" w14:textId="77777777" w:rsidR="0057163C" w:rsidRPr="00170422" w:rsidRDefault="00F37BF9">
            <w:pPr>
              <w:pStyle w:val="P68B1DB1-ListParagraph13"/>
              <w:ind w:left="0"/>
              <w:rPr>
                <w:rFonts w:cs="Arial"/>
                <w:noProof/>
                <w:lang w:val="de-DE"/>
              </w:rPr>
            </w:pPr>
            <w:r w:rsidRPr="00170422">
              <w:rPr>
                <w:noProof/>
                <w:lang w:val="de-DE"/>
              </w:rPr>
              <w:t>I) Die Möglichkeit, das Verfahren nach Artikel 48 Absatz 3 des Gesetzbuchs</w:t>
            </w:r>
            <w:r w:rsidRPr="00170422">
              <w:rPr>
                <w:noProof/>
                <w:lang w:val="de-DE"/>
              </w:rPr>
              <w:t xml:space="preserve"> über öffentliche Aufträge auch für Aufträge anzuwenden, die die in Artikel 35 des Gesetzbuchs über öffentliche Aufträge genannten Schwellenwerte überschreiten, für Beschaffungen im Zusammenhang mit dem Erwerb von Computergütern und -dienstleistungen, insb</w:t>
            </w:r>
            <w:r w:rsidRPr="00170422">
              <w:rPr>
                <w:noProof/>
                <w:lang w:val="de-DE"/>
              </w:rPr>
              <w:t>esondere auf der Grundlage von Cloud-Technologie, sowie von Konnektivitätsdiensten, die ganz oder teilweise aus den für die Durchführung von PNRR-Projekten bereitgestellten Mitteln finanziert werden;</w:t>
            </w:r>
          </w:p>
          <w:p w14:paraId="692ED1BC" w14:textId="77777777" w:rsidR="0057163C" w:rsidRPr="00170422" w:rsidRDefault="00F37BF9">
            <w:pPr>
              <w:pStyle w:val="P68B1DB1-ListParagraph13"/>
              <w:ind w:left="0"/>
              <w:rPr>
                <w:rFonts w:cs="Arial"/>
                <w:noProof/>
                <w:lang w:val="de-DE"/>
              </w:rPr>
            </w:pPr>
            <w:r w:rsidRPr="00170422">
              <w:rPr>
                <w:noProof/>
                <w:lang w:val="de-DE"/>
              </w:rPr>
              <w:t>II) Interoperabilität zwischen den verschiedenen Datenba</w:t>
            </w:r>
            <w:r w:rsidRPr="00170422">
              <w:rPr>
                <w:noProof/>
                <w:lang w:val="de-DE"/>
              </w:rPr>
              <w:t>nken, die von den bescheinigenden Stellen verwaltet werden, die an der Überprüfung der in Artikel 80 des Gesetzbuchs über öffentliche Aufträge genannten Anforderungen beteiligt sind;</w:t>
            </w:r>
          </w:p>
          <w:p w14:paraId="443107D1" w14:textId="77777777" w:rsidR="0057163C" w:rsidRPr="00170422" w:rsidRDefault="00F37BF9">
            <w:pPr>
              <w:pStyle w:val="P68B1DB1-ListParagraph13"/>
              <w:ind w:left="0"/>
              <w:rPr>
                <w:rFonts w:cs="Arial"/>
                <w:noProof/>
                <w:lang w:val="de-DE"/>
              </w:rPr>
            </w:pPr>
            <w:r w:rsidRPr="00170422">
              <w:rPr>
                <w:noProof/>
                <w:lang w:val="de-DE"/>
              </w:rPr>
              <w:t xml:space="preserve">III) Die Erstellung einer virtuellen Datei der Wirtschaftsteilnehmer, in </w:t>
            </w:r>
            <w:r w:rsidRPr="00170422">
              <w:rPr>
                <w:noProof/>
                <w:lang w:val="de-DE"/>
              </w:rPr>
              <w:t>der die Daten zur Überprüfung des Nichtvorliegens von Ausschlussgründen gemäß Artikel 80 aufgeführt sind, sodass eine weiße Liste der Wirtschaftsteilnehmer, für die die Überprüfung bereits durchgeführt wurde, erstellt werden kann.</w:t>
            </w:r>
          </w:p>
        </w:tc>
      </w:tr>
      <w:tr w:rsidR="0057163C" w:rsidRPr="00170422" w14:paraId="0BE7AD67" w14:textId="77777777" w:rsidTr="00D64E63">
        <w:trPr>
          <w:trHeight w:val="789"/>
        </w:trPr>
        <w:tc>
          <w:tcPr>
            <w:tcW w:w="1135" w:type="dxa"/>
            <w:shd w:val="clear" w:color="auto" w:fill="C6EFCE"/>
            <w:noWrap/>
            <w:vAlign w:val="center"/>
          </w:tcPr>
          <w:p w14:paraId="7DCB742D" w14:textId="77777777" w:rsidR="0057163C" w:rsidRPr="00170422" w:rsidRDefault="00F37BF9">
            <w:pPr>
              <w:pStyle w:val="P68B1DB1-Normal11"/>
              <w:jc w:val="center"/>
              <w:rPr>
                <w:rFonts w:cs="Arial"/>
                <w:noProof/>
                <w:szCs w:val="20"/>
                <w:lang w:val="de-DE"/>
              </w:rPr>
            </w:pPr>
            <w:r w:rsidRPr="00170422">
              <w:rPr>
                <w:noProof/>
                <w:lang w:val="de-DE"/>
              </w:rPr>
              <w:t>M1C1-2</w:t>
            </w:r>
          </w:p>
        </w:tc>
        <w:tc>
          <w:tcPr>
            <w:tcW w:w="1417" w:type="dxa"/>
            <w:shd w:val="clear" w:color="auto" w:fill="C6EFCE"/>
            <w:noWrap/>
            <w:vAlign w:val="center"/>
          </w:tcPr>
          <w:p w14:paraId="0134CB40" w14:textId="77777777" w:rsidR="0057163C" w:rsidRPr="00170422" w:rsidRDefault="00F37BF9">
            <w:pPr>
              <w:pStyle w:val="P68B1DB1-Normal11"/>
              <w:jc w:val="center"/>
              <w:rPr>
                <w:rFonts w:cs="Arial"/>
                <w:noProof/>
                <w:szCs w:val="20"/>
                <w:lang w:val="de-DE"/>
              </w:rPr>
            </w:pPr>
            <w:r w:rsidRPr="00170422">
              <w:rPr>
                <w:noProof/>
                <w:lang w:val="de-DE"/>
              </w:rPr>
              <w:t>Reform 1.3: Cloud</w:t>
            </w:r>
            <w:r w:rsidRPr="00170422">
              <w:rPr>
                <w:noProof/>
                <w:lang w:val="de-DE"/>
              </w:rPr>
              <w:t xml:space="preserve"> First und Interoperabilität</w:t>
            </w:r>
          </w:p>
        </w:tc>
        <w:tc>
          <w:tcPr>
            <w:tcW w:w="1276" w:type="dxa"/>
            <w:shd w:val="clear" w:color="auto" w:fill="C6EFCE"/>
            <w:noWrap/>
            <w:vAlign w:val="center"/>
          </w:tcPr>
          <w:p w14:paraId="6166151D"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2444E296" w14:textId="77777777" w:rsidR="0057163C" w:rsidRPr="00170422" w:rsidRDefault="00F37BF9">
            <w:pPr>
              <w:pStyle w:val="P68B1DB1-Normal11"/>
              <w:jc w:val="center"/>
              <w:rPr>
                <w:rFonts w:cs="Arial"/>
                <w:noProof/>
                <w:szCs w:val="20"/>
                <w:lang w:val="de-DE"/>
              </w:rPr>
            </w:pPr>
            <w:r w:rsidRPr="00170422">
              <w:rPr>
                <w:noProof/>
                <w:lang w:val="de-DE"/>
              </w:rPr>
              <w:t>Inkrafttreten der Gesetzesverordnungen zur Reform 1.3 „Cloud First and Interoperability“</w:t>
            </w:r>
          </w:p>
        </w:tc>
        <w:tc>
          <w:tcPr>
            <w:tcW w:w="1559" w:type="dxa"/>
            <w:shd w:val="clear" w:color="auto" w:fill="C6EFCE"/>
            <w:noWrap/>
            <w:vAlign w:val="center"/>
          </w:tcPr>
          <w:p w14:paraId="01B56CC3" w14:textId="77777777" w:rsidR="0057163C" w:rsidRPr="00170422" w:rsidRDefault="00F37BF9">
            <w:pPr>
              <w:pStyle w:val="P68B1DB1-Normal12"/>
              <w:jc w:val="center"/>
              <w:rPr>
                <w:rFonts w:cs="Arial"/>
                <w:noProof/>
                <w:lang w:val="de-DE"/>
              </w:rPr>
            </w:pPr>
            <w:r w:rsidRPr="00170422">
              <w:rPr>
                <w:noProof/>
                <w:lang w:val="de-DE"/>
              </w:rPr>
              <w:t xml:space="preserve">Gesetzliche Bestimmung über das Inkrafttreten eines Gesetzeserlasses für die erste Cloud-Reform und die </w:t>
            </w:r>
            <w:r w:rsidRPr="00170422">
              <w:rPr>
                <w:noProof/>
                <w:lang w:val="de-DE"/>
              </w:rPr>
              <w:t>Interoperabilitätsreform</w:t>
            </w:r>
          </w:p>
        </w:tc>
        <w:tc>
          <w:tcPr>
            <w:tcW w:w="1276" w:type="dxa"/>
            <w:shd w:val="clear" w:color="auto" w:fill="C6EFCE"/>
            <w:noWrap/>
            <w:vAlign w:val="center"/>
          </w:tcPr>
          <w:p w14:paraId="281A274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0E613EE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43B74E0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6A3862A3"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102D0519"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shd w:val="clear" w:color="auto" w:fill="C6EFCE"/>
            <w:noWrap/>
            <w:vAlign w:val="center"/>
          </w:tcPr>
          <w:p w14:paraId="2A29498E" w14:textId="77777777" w:rsidR="0057163C" w:rsidRPr="00170422" w:rsidRDefault="00F37BF9">
            <w:pPr>
              <w:pStyle w:val="P68B1DB1-Normal11"/>
              <w:spacing w:after="120"/>
              <w:rPr>
                <w:rFonts w:cs="Arial"/>
                <w:noProof/>
                <w:szCs w:val="20"/>
                <w:lang w:val="de-DE"/>
              </w:rPr>
            </w:pPr>
            <w:r w:rsidRPr="00170422">
              <w:rPr>
                <w:noProof/>
                <w:lang w:val="de-DE"/>
              </w:rPr>
              <w:t>Die erforderlichen Rechtsakte umfassen:</w:t>
            </w:r>
          </w:p>
          <w:p w14:paraId="0CF78C47" w14:textId="77777777" w:rsidR="0057163C" w:rsidRPr="00170422" w:rsidRDefault="00F37BF9">
            <w:pPr>
              <w:pStyle w:val="P68B1DB1-Normal12"/>
              <w:spacing w:after="120"/>
              <w:rPr>
                <w:rFonts w:cs="Arial"/>
                <w:noProof/>
                <w:lang w:val="de-DE"/>
              </w:rPr>
            </w:pPr>
            <w:r w:rsidRPr="00170422">
              <w:rPr>
                <w:noProof/>
                <w:lang w:val="de-DE"/>
              </w:rPr>
              <w:t xml:space="preserve">Durchführung von Rechtsakten, die insbesondere i) die Agenzia per l‚Italia Digital (AgID)-Verordnung über Polo Strategico Nazionale (PSN) (gemäß </w:t>
            </w:r>
            <w:r w:rsidRPr="00170422">
              <w:rPr>
                <w:noProof/>
                <w:lang w:val="de-DE"/>
              </w:rPr>
              <w:t>Artikel 33 des Gesetzesdekrets 179/212) und ii) die AgID-Leitlinien zur Interoperabilität (gemäß den Artikeln 50 und 50ter des Codice dell’Amministrazione Digitale (CAD)) betreffen.</w:t>
            </w:r>
          </w:p>
          <w:p w14:paraId="0FCD4268" w14:textId="77777777" w:rsidR="0057163C" w:rsidRPr="00170422" w:rsidRDefault="00F37BF9">
            <w:pPr>
              <w:pStyle w:val="P68B1DB1-Normal11"/>
              <w:spacing w:after="120"/>
              <w:rPr>
                <w:rFonts w:cs="Arial"/>
                <w:noProof/>
                <w:szCs w:val="20"/>
                <w:lang w:val="de-DE"/>
              </w:rPr>
            </w:pPr>
            <w:r w:rsidRPr="00170422">
              <w:rPr>
                <w:noProof/>
                <w:lang w:val="de-DE"/>
              </w:rPr>
              <w:t>Änderungen an Artikel 50 der Richtlinie über Steuerauskünfte:</w:t>
            </w:r>
          </w:p>
          <w:p w14:paraId="5079559D" w14:textId="77777777" w:rsidR="0057163C" w:rsidRPr="00170422" w:rsidRDefault="00F37BF9">
            <w:pPr>
              <w:pStyle w:val="P68B1DB1-Normal12"/>
              <w:spacing w:after="120"/>
              <w:rPr>
                <w:rFonts w:cs="Arial"/>
                <w:noProof/>
                <w:lang w:val="de-DE"/>
              </w:rPr>
            </w:pPr>
            <w:r w:rsidRPr="00170422">
              <w:rPr>
                <w:noProof/>
                <w:lang w:val="de-DE"/>
              </w:rPr>
              <w:t xml:space="preserve">I) </w:t>
            </w:r>
            <w:r w:rsidRPr="00170422">
              <w:rPr>
                <w:noProof/>
                <w:lang w:val="de-DE"/>
              </w:rPr>
              <w:t>Abschaffung der Verpflichtung zum Abschluss von Rahmenvereinbarungen für Verwaltungen, die auf die nationale digitale Datenplattform zugreifen;</w:t>
            </w:r>
          </w:p>
          <w:p w14:paraId="59D64CF6" w14:textId="77777777" w:rsidR="0057163C" w:rsidRPr="00170422" w:rsidRDefault="00F37BF9">
            <w:pPr>
              <w:pStyle w:val="P68B1DB1-Normal11"/>
              <w:spacing w:after="120"/>
              <w:rPr>
                <w:rFonts w:cs="Arial"/>
                <w:noProof/>
                <w:szCs w:val="20"/>
                <w:lang w:val="de-DE"/>
              </w:rPr>
            </w:pPr>
            <w:r w:rsidRPr="00170422">
              <w:rPr>
                <w:noProof/>
                <w:lang w:val="de-DE"/>
              </w:rPr>
              <w:t>II) Klarstellungen zur Frage der Privatsphäre: die Übertragung von Daten von einem Informationssystem in ein and</w:t>
            </w:r>
            <w:r w:rsidRPr="00170422">
              <w:rPr>
                <w:noProof/>
                <w:lang w:val="de-DE"/>
              </w:rPr>
              <w:t>eres ändert nichts am Eigentum an den Daten und an der Verarbeitung, unbeschadet der Zuständigkeiten der öffentlichen Verwaltungen, die die Daten als autonome Verantwortliche erhalten und verarbeiten.</w:t>
            </w:r>
          </w:p>
          <w:p w14:paraId="0D536CE9" w14:textId="77777777" w:rsidR="0057163C" w:rsidRPr="00170422" w:rsidRDefault="00F37BF9">
            <w:pPr>
              <w:pStyle w:val="P68B1DB1-Normal12"/>
              <w:spacing w:after="120"/>
              <w:rPr>
                <w:rFonts w:cs="Arial"/>
                <w:noProof/>
                <w:lang w:val="de-DE"/>
              </w:rPr>
            </w:pPr>
            <w:r w:rsidRPr="00170422">
              <w:rPr>
                <w:noProof/>
                <w:lang w:val="de-DE"/>
              </w:rPr>
              <w:t xml:space="preserve">Änderungen des Decreto del Presidente della Repubblica </w:t>
            </w:r>
            <w:r w:rsidRPr="00170422">
              <w:rPr>
                <w:noProof/>
                <w:lang w:val="de-DE"/>
              </w:rPr>
              <w:t>(DPR) 445/2000 betreffend den Zugang zu Daten:</w:t>
            </w:r>
          </w:p>
          <w:p w14:paraId="5485DD91" w14:textId="77777777" w:rsidR="0057163C" w:rsidRPr="00170422" w:rsidRDefault="00F37BF9">
            <w:pPr>
              <w:pStyle w:val="P68B1DB1-Normal12"/>
              <w:spacing w:after="120"/>
              <w:rPr>
                <w:rFonts w:cs="Arial"/>
                <w:noProof/>
                <w:lang w:val="de-DE"/>
              </w:rPr>
            </w:pPr>
            <w:r w:rsidRPr="00170422">
              <w:rPr>
                <w:noProof/>
                <w:lang w:val="de-DE"/>
              </w:rPr>
              <w:t>I) Aufhebung der Genehmigung, die für den direkten Zugang zu Daten erforderlich ist;</w:t>
            </w:r>
          </w:p>
          <w:p w14:paraId="2E91E2FC" w14:textId="77777777" w:rsidR="0057163C" w:rsidRPr="00170422" w:rsidRDefault="00F37BF9">
            <w:pPr>
              <w:pStyle w:val="P68B1DB1-Normal11"/>
              <w:spacing w:after="120"/>
              <w:rPr>
                <w:rFonts w:cs="Arial"/>
                <w:noProof/>
                <w:szCs w:val="20"/>
                <w:lang w:val="de-DE"/>
              </w:rPr>
            </w:pPr>
            <w:r w:rsidRPr="00170422">
              <w:rPr>
                <w:noProof/>
                <w:lang w:val="de-DE"/>
              </w:rPr>
              <w:t>II) Streichung des Verweises auf Rahmenvereinbarungen in Artikel 72.</w:t>
            </w:r>
          </w:p>
          <w:p w14:paraId="2DBDB930" w14:textId="77777777" w:rsidR="0057163C" w:rsidRPr="00170422" w:rsidRDefault="00F37BF9">
            <w:pPr>
              <w:pStyle w:val="P68B1DB1-Normal11"/>
              <w:spacing w:after="120"/>
              <w:rPr>
                <w:rFonts w:cs="Arial"/>
                <w:noProof/>
                <w:szCs w:val="20"/>
                <w:lang w:val="de-DE"/>
              </w:rPr>
            </w:pPr>
            <w:r w:rsidRPr="00170422">
              <w:rPr>
                <w:noProof/>
                <w:lang w:val="de-DE"/>
              </w:rPr>
              <w:t>Änderungen von Artikel 33-septies des Gesetzesdekrets 1</w:t>
            </w:r>
            <w:r w:rsidRPr="00170422">
              <w:rPr>
                <w:noProof/>
                <w:lang w:val="de-DE"/>
              </w:rPr>
              <w:t>79/2012:</w:t>
            </w:r>
          </w:p>
          <w:p w14:paraId="62761F88" w14:textId="77777777" w:rsidR="0057163C" w:rsidRPr="00170422" w:rsidRDefault="00F37BF9">
            <w:pPr>
              <w:pStyle w:val="P68B1DB1-Normal12"/>
              <w:spacing w:after="120"/>
              <w:rPr>
                <w:rFonts w:cs="Arial"/>
                <w:noProof/>
                <w:lang w:val="de-DE"/>
              </w:rPr>
            </w:pPr>
            <w:r w:rsidRPr="00170422">
              <w:rPr>
                <w:noProof/>
                <w:lang w:val="de-DE"/>
              </w:rPr>
              <w:t>I) Einführung der Möglichkeit für AgID, mit der Centri Elaborazione Dati (CED) und der Cloud-Verordnung die Modalitäten und Methoden zu regeln, mit denen öffentliche Verwaltungen CED-Migrationen durchführen müssen;</w:t>
            </w:r>
          </w:p>
          <w:p w14:paraId="68A48DFA" w14:textId="77777777" w:rsidR="0057163C" w:rsidRPr="00170422" w:rsidRDefault="00F37BF9">
            <w:pPr>
              <w:pStyle w:val="P68B1DB1-Normal12"/>
              <w:spacing w:after="120"/>
              <w:rPr>
                <w:rFonts w:cs="Arial"/>
                <w:noProof/>
                <w:lang w:val="de-DE"/>
              </w:rPr>
            </w:pPr>
            <w:r w:rsidRPr="00170422">
              <w:rPr>
                <w:noProof/>
                <w:lang w:val="de-DE"/>
              </w:rPr>
              <w:t>II) Verhängung von Sanktionen be</w:t>
            </w:r>
            <w:r w:rsidRPr="00170422">
              <w:rPr>
                <w:noProof/>
                <w:lang w:val="de-DE"/>
              </w:rPr>
              <w:t>i Nichteinhaltung der Verpflichtung zur Migration in die Cloud.</w:t>
            </w:r>
          </w:p>
        </w:tc>
      </w:tr>
      <w:tr w:rsidR="0057163C" w:rsidRPr="00170422" w14:paraId="6BF5A39D" w14:textId="77777777" w:rsidTr="00D64E63">
        <w:trPr>
          <w:trHeight w:val="309"/>
        </w:trPr>
        <w:tc>
          <w:tcPr>
            <w:tcW w:w="1135" w:type="dxa"/>
            <w:shd w:val="clear" w:color="auto" w:fill="C6EFCE"/>
            <w:noWrap/>
            <w:vAlign w:val="center"/>
            <w:hideMark/>
          </w:tcPr>
          <w:p w14:paraId="51F40C61" w14:textId="77777777" w:rsidR="0057163C" w:rsidRPr="00170422" w:rsidRDefault="00F37BF9">
            <w:pPr>
              <w:pStyle w:val="P68B1DB1-Normal11"/>
              <w:jc w:val="center"/>
              <w:rPr>
                <w:rFonts w:cs="Arial"/>
                <w:noProof/>
                <w:szCs w:val="20"/>
                <w:lang w:val="de-DE"/>
              </w:rPr>
            </w:pPr>
            <w:r w:rsidRPr="00170422">
              <w:rPr>
                <w:noProof/>
                <w:lang w:val="de-DE"/>
              </w:rPr>
              <w:t>M1C1-3</w:t>
            </w:r>
          </w:p>
        </w:tc>
        <w:tc>
          <w:tcPr>
            <w:tcW w:w="1417" w:type="dxa"/>
            <w:shd w:val="clear" w:color="auto" w:fill="C6EFCE"/>
            <w:noWrap/>
            <w:vAlign w:val="center"/>
            <w:hideMark/>
          </w:tcPr>
          <w:p w14:paraId="1A8BB56A" w14:textId="77777777" w:rsidR="0057163C" w:rsidRPr="00170422" w:rsidRDefault="00F37BF9">
            <w:pPr>
              <w:pStyle w:val="P68B1DB1-Normal11"/>
              <w:jc w:val="center"/>
              <w:rPr>
                <w:rFonts w:cs="Arial"/>
                <w:noProof/>
                <w:szCs w:val="20"/>
                <w:lang w:val="de-DE"/>
              </w:rPr>
            </w:pPr>
            <w:r w:rsidRPr="00170422">
              <w:rPr>
                <w:noProof/>
                <w:lang w:val="de-DE"/>
              </w:rPr>
              <w:t>Investition 1.1: Digitale Infrastruktur</w:t>
            </w:r>
          </w:p>
        </w:tc>
        <w:tc>
          <w:tcPr>
            <w:tcW w:w="1276" w:type="dxa"/>
            <w:shd w:val="clear" w:color="auto" w:fill="C6EFCE"/>
            <w:noWrap/>
            <w:vAlign w:val="center"/>
            <w:hideMark/>
          </w:tcPr>
          <w:p w14:paraId="7CBB649E"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hideMark/>
          </w:tcPr>
          <w:p w14:paraId="3C0FFBAF" w14:textId="77777777" w:rsidR="0057163C" w:rsidRPr="0085607C" w:rsidRDefault="00F37BF9">
            <w:pPr>
              <w:pStyle w:val="P68B1DB1-Normal12"/>
              <w:jc w:val="center"/>
              <w:rPr>
                <w:rFonts w:cs="Arial"/>
                <w:noProof/>
                <w:lang w:val="it-IT"/>
              </w:rPr>
            </w:pPr>
            <w:r w:rsidRPr="0085607C">
              <w:rPr>
                <w:noProof/>
                <w:lang w:val="it-IT"/>
              </w:rPr>
              <w:t>Abschluss des Polo Strategico Nazionale (PSN)</w:t>
            </w:r>
          </w:p>
        </w:tc>
        <w:tc>
          <w:tcPr>
            <w:tcW w:w="1559" w:type="dxa"/>
            <w:shd w:val="clear" w:color="auto" w:fill="C6EFCE"/>
            <w:noWrap/>
            <w:vAlign w:val="center"/>
            <w:hideMark/>
          </w:tcPr>
          <w:p w14:paraId="4C372CD5" w14:textId="77777777" w:rsidR="0057163C" w:rsidRPr="00170422" w:rsidRDefault="00F37BF9">
            <w:pPr>
              <w:pStyle w:val="P68B1DB1-Normal11"/>
              <w:jc w:val="center"/>
              <w:rPr>
                <w:rFonts w:cs="Arial"/>
                <w:noProof/>
                <w:szCs w:val="20"/>
                <w:lang w:val="de-DE"/>
              </w:rPr>
            </w:pPr>
            <w:r w:rsidRPr="00170422">
              <w:rPr>
                <w:noProof/>
                <w:lang w:val="de-DE"/>
              </w:rPr>
              <w:t xml:space="preserve">Cloud-Einführungsbericht des Ministeriums für technologische Innovation und digitalen </w:t>
            </w:r>
            <w:r w:rsidRPr="00170422">
              <w:rPr>
                <w:noProof/>
                <w:lang w:val="de-DE"/>
              </w:rPr>
              <w:t>Wandel (MITD)</w:t>
            </w:r>
          </w:p>
        </w:tc>
        <w:tc>
          <w:tcPr>
            <w:tcW w:w="1276" w:type="dxa"/>
            <w:shd w:val="clear" w:color="auto" w:fill="C6EFCE"/>
            <w:noWrap/>
            <w:vAlign w:val="center"/>
          </w:tcPr>
          <w:p w14:paraId="7BBFD36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091ED39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7EA81D5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hideMark/>
          </w:tcPr>
          <w:p w14:paraId="127AC2D7"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hideMark/>
          </w:tcPr>
          <w:p w14:paraId="0A916DFA"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hideMark/>
          </w:tcPr>
          <w:p w14:paraId="0834C852" w14:textId="77777777" w:rsidR="0057163C" w:rsidRPr="00170422" w:rsidRDefault="00F37BF9">
            <w:pPr>
              <w:pStyle w:val="P68B1DB1-Normal12"/>
              <w:spacing w:after="120"/>
              <w:rPr>
                <w:rFonts w:cs="Arial"/>
                <w:noProof/>
                <w:lang w:val="de-DE"/>
              </w:rPr>
            </w:pPr>
            <w:r w:rsidRPr="00170422">
              <w:rPr>
                <w:noProof/>
                <w:lang w:val="de-DE"/>
              </w:rPr>
              <w:t>Der vollständige Abschluss des Gesamtprojekts wird erreicht, wenn alle betroffenen öffentlichen Verwaltungen den Übergang der ermittelten Racks zum Polo Strategico Nazionale (PSN) abgeschlossen ha</w:t>
            </w:r>
            <w:r w:rsidRPr="00170422">
              <w:rPr>
                <w:noProof/>
                <w:lang w:val="de-DE"/>
              </w:rPr>
              <w:t>ben und die Erprobung von vier Rechenzentren erfolgreich abgeschlossen ist, was den Beginn des Migrationsprozesses der Datensätze und Anwendungen der betroffenen öffentlichen Verwaltungen zum PSN ermöglicht.</w:t>
            </w:r>
          </w:p>
        </w:tc>
      </w:tr>
      <w:tr w:rsidR="0057163C" w:rsidRPr="00170422" w14:paraId="2EB45B54" w14:textId="77777777" w:rsidTr="00D64E63">
        <w:trPr>
          <w:trHeight w:val="309"/>
        </w:trPr>
        <w:tc>
          <w:tcPr>
            <w:tcW w:w="1135" w:type="dxa"/>
            <w:shd w:val="clear" w:color="auto" w:fill="C6EFCE"/>
            <w:noWrap/>
            <w:vAlign w:val="center"/>
          </w:tcPr>
          <w:p w14:paraId="4992B638" w14:textId="77777777" w:rsidR="0057163C" w:rsidRPr="00170422" w:rsidRDefault="00F37BF9">
            <w:pPr>
              <w:pStyle w:val="P68B1DB1-Normal11"/>
              <w:jc w:val="center"/>
              <w:rPr>
                <w:rFonts w:cs="Arial"/>
                <w:noProof/>
                <w:szCs w:val="20"/>
                <w:lang w:val="de-DE"/>
              </w:rPr>
            </w:pPr>
            <w:r w:rsidRPr="00170422">
              <w:rPr>
                <w:noProof/>
                <w:lang w:val="de-DE"/>
              </w:rPr>
              <w:t>M1C1-4</w:t>
            </w:r>
          </w:p>
        </w:tc>
        <w:tc>
          <w:tcPr>
            <w:tcW w:w="1417" w:type="dxa"/>
            <w:shd w:val="clear" w:color="auto" w:fill="C6EFCE"/>
            <w:noWrap/>
            <w:vAlign w:val="center"/>
          </w:tcPr>
          <w:p w14:paraId="1C6569AC" w14:textId="77777777" w:rsidR="0057163C" w:rsidRPr="00170422" w:rsidRDefault="00F37BF9">
            <w:pPr>
              <w:pStyle w:val="P68B1DB1-Normal11"/>
              <w:jc w:val="center"/>
              <w:rPr>
                <w:rFonts w:cs="Arial"/>
                <w:noProof/>
                <w:szCs w:val="20"/>
                <w:lang w:val="de-DE"/>
              </w:rPr>
            </w:pPr>
            <w:r w:rsidRPr="00170422">
              <w:rPr>
                <w:noProof/>
                <w:lang w:val="de-DE"/>
              </w:rPr>
              <w:t xml:space="preserve">Investition 1.3.1: Nationale digitale </w:t>
            </w:r>
            <w:r w:rsidRPr="00170422">
              <w:rPr>
                <w:noProof/>
                <w:lang w:val="de-DE"/>
              </w:rPr>
              <w:t>Datenplattform</w:t>
            </w:r>
          </w:p>
        </w:tc>
        <w:tc>
          <w:tcPr>
            <w:tcW w:w="1276" w:type="dxa"/>
            <w:shd w:val="clear" w:color="auto" w:fill="C6EFCE"/>
            <w:noWrap/>
            <w:vAlign w:val="center"/>
          </w:tcPr>
          <w:p w14:paraId="7993B177"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320C1519" w14:textId="77777777" w:rsidR="0057163C" w:rsidRPr="00170422" w:rsidRDefault="00F37BF9">
            <w:pPr>
              <w:pStyle w:val="P68B1DB1-Normal11"/>
              <w:jc w:val="center"/>
              <w:rPr>
                <w:rFonts w:cs="Arial"/>
                <w:noProof/>
                <w:szCs w:val="20"/>
                <w:lang w:val="de-DE"/>
              </w:rPr>
            </w:pPr>
            <w:r w:rsidRPr="00170422">
              <w:rPr>
                <w:noProof/>
                <w:lang w:val="de-DE"/>
              </w:rPr>
              <w:t>Nationale digitale Datenplattform operativ</w:t>
            </w:r>
          </w:p>
        </w:tc>
        <w:tc>
          <w:tcPr>
            <w:tcW w:w="1559" w:type="dxa"/>
            <w:shd w:val="clear" w:color="auto" w:fill="C6EFCE"/>
            <w:noWrap/>
            <w:vAlign w:val="center"/>
          </w:tcPr>
          <w:p w14:paraId="14922518" w14:textId="77777777" w:rsidR="0057163C" w:rsidRPr="00170422" w:rsidRDefault="00F37BF9">
            <w:pPr>
              <w:pStyle w:val="P68B1DB1-Normal12"/>
              <w:jc w:val="center"/>
              <w:rPr>
                <w:rFonts w:cs="Arial"/>
                <w:noProof/>
                <w:lang w:val="de-DE"/>
              </w:rPr>
            </w:pPr>
            <w:r w:rsidRPr="00170422">
              <w:rPr>
                <w:noProof/>
                <w:lang w:val="de-DE"/>
              </w:rPr>
              <w:t>Bericht des Ministeriums für technologische Innovation und digitalen Wandel (MITD) über den Start der nationalen digitalen Datenplattform</w:t>
            </w:r>
          </w:p>
        </w:tc>
        <w:tc>
          <w:tcPr>
            <w:tcW w:w="1276" w:type="dxa"/>
            <w:shd w:val="clear" w:color="auto" w:fill="C6EFCE"/>
            <w:noWrap/>
            <w:vAlign w:val="center"/>
          </w:tcPr>
          <w:p w14:paraId="45A5C85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0404459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32EDA4D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61D9ABCA"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76A03C7F"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7C3DC55A" w14:textId="77777777" w:rsidR="0057163C" w:rsidRPr="00170422" w:rsidRDefault="00F37BF9">
            <w:pPr>
              <w:pStyle w:val="P68B1DB1-Normal11"/>
              <w:spacing w:after="120"/>
              <w:rPr>
                <w:rFonts w:cs="Arial"/>
                <w:noProof/>
                <w:szCs w:val="20"/>
                <w:lang w:val="de-DE"/>
              </w:rPr>
            </w:pPr>
            <w:r w:rsidRPr="00170422">
              <w:rPr>
                <w:noProof/>
                <w:lang w:val="de-DE"/>
              </w:rPr>
              <w:t>Die Plattform ermöglicht es den Agenturen,</w:t>
            </w:r>
          </w:p>
          <w:p w14:paraId="68C8F937" w14:textId="77777777" w:rsidR="0057163C" w:rsidRPr="00170422" w:rsidRDefault="00F37BF9">
            <w:pPr>
              <w:pStyle w:val="P68B1DB1-Normal11"/>
              <w:spacing w:after="120"/>
              <w:rPr>
                <w:rFonts w:cs="Arial"/>
                <w:noProof/>
                <w:szCs w:val="20"/>
                <w:lang w:val="de-DE"/>
              </w:rPr>
            </w:pPr>
            <w:r w:rsidRPr="00170422">
              <w:rPr>
                <w:noProof/>
                <w:lang w:val="de-DE"/>
              </w:rPr>
              <w:t>— ihre Anwendungsprogrammierschnittstellen (API) im API-Katalog der Plattform veröffentlichen;</w:t>
            </w:r>
          </w:p>
          <w:p w14:paraId="010DA600" w14:textId="77777777" w:rsidR="0057163C" w:rsidRPr="00170422" w:rsidRDefault="00F37BF9">
            <w:pPr>
              <w:pStyle w:val="P68B1DB1-Normal12"/>
              <w:spacing w:after="120"/>
              <w:rPr>
                <w:rFonts w:cs="Arial"/>
                <w:noProof/>
                <w:lang w:val="de-DE"/>
              </w:rPr>
            </w:pPr>
            <w:r w:rsidRPr="00170422">
              <w:rPr>
                <w:noProof/>
                <w:lang w:val="de-DE"/>
              </w:rPr>
              <w:t>— über die Plattform digitale Interoperabilitätsvereinbarungen zu schließen und zu unterzeichnen;</w:t>
            </w:r>
          </w:p>
          <w:p w14:paraId="03A5FA83" w14:textId="77777777" w:rsidR="0057163C" w:rsidRPr="00170422" w:rsidRDefault="00F37BF9">
            <w:pPr>
              <w:pStyle w:val="P68B1DB1-Normal11"/>
              <w:spacing w:after="120"/>
              <w:rPr>
                <w:rFonts w:cs="Arial"/>
                <w:noProof/>
                <w:szCs w:val="20"/>
                <w:lang w:val="de-DE"/>
              </w:rPr>
            </w:pPr>
            <w:r w:rsidRPr="00170422">
              <w:rPr>
                <w:noProof/>
                <w:lang w:val="de-DE"/>
              </w:rPr>
              <w:t xml:space="preserve">— den Zugang zu API </w:t>
            </w:r>
            <w:r w:rsidRPr="00170422">
              <w:rPr>
                <w:noProof/>
                <w:lang w:val="de-DE"/>
              </w:rPr>
              <w:t>mithilfe der Funktionen der Plattform authentifizieren und bewilligen;</w:t>
            </w:r>
          </w:p>
          <w:p w14:paraId="11882306" w14:textId="77777777" w:rsidR="0057163C" w:rsidRPr="00170422" w:rsidRDefault="00F37BF9">
            <w:pPr>
              <w:pStyle w:val="P68B1DB1-Normal12"/>
              <w:spacing w:after="120"/>
              <w:rPr>
                <w:rFonts w:cs="Arial"/>
                <w:noProof/>
                <w:lang w:val="de-DE"/>
              </w:rPr>
            </w:pPr>
            <w:r w:rsidRPr="00170422">
              <w:rPr>
                <w:noProof/>
                <w:lang w:val="de-DE"/>
              </w:rPr>
              <w:t>— Validierung und Bewertung der Einhaltung des nationalen Interoperabilitätsrahmens.</w:t>
            </w:r>
          </w:p>
        </w:tc>
      </w:tr>
      <w:tr w:rsidR="0057163C" w:rsidRPr="00170422" w14:paraId="6ED6DAE6" w14:textId="77777777" w:rsidTr="00D64E63">
        <w:trPr>
          <w:trHeight w:val="309"/>
        </w:trPr>
        <w:tc>
          <w:tcPr>
            <w:tcW w:w="1135" w:type="dxa"/>
            <w:shd w:val="clear" w:color="auto" w:fill="C6EFCE"/>
            <w:noWrap/>
            <w:vAlign w:val="center"/>
          </w:tcPr>
          <w:p w14:paraId="58207E49" w14:textId="77777777" w:rsidR="0057163C" w:rsidRPr="00170422" w:rsidRDefault="00F37BF9">
            <w:pPr>
              <w:pStyle w:val="P68B1DB1-Normal11"/>
              <w:jc w:val="center"/>
              <w:rPr>
                <w:rFonts w:cs="Arial"/>
                <w:noProof/>
                <w:szCs w:val="20"/>
                <w:lang w:val="de-DE"/>
              </w:rPr>
            </w:pPr>
            <w:r w:rsidRPr="00170422">
              <w:rPr>
                <w:noProof/>
                <w:lang w:val="de-DE"/>
              </w:rPr>
              <w:t>M1C1-5</w:t>
            </w:r>
          </w:p>
        </w:tc>
        <w:tc>
          <w:tcPr>
            <w:tcW w:w="1417" w:type="dxa"/>
            <w:shd w:val="clear" w:color="auto" w:fill="C6EFCE"/>
            <w:noWrap/>
            <w:vAlign w:val="center"/>
          </w:tcPr>
          <w:p w14:paraId="7199A197"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2DD90D5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7AE1F3F5" w14:textId="77777777" w:rsidR="0057163C" w:rsidRPr="00170422" w:rsidRDefault="00F37BF9">
            <w:pPr>
              <w:pStyle w:val="P68B1DB1-Normal11"/>
              <w:jc w:val="center"/>
              <w:rPr>
                <w:rFonts w:cs="Arial"/>
                <w:noProof/>
                <w:szCs w:val="20"/>
                <w:lang w:val="de-DE"/>
              </w:rPr>
            </w:pPr>
            <w:r w:rsidRPr="00170422">
              <w:rPr>
                <w:noProof/>
                <w:lang w:val="de-DE"/>
              </w:rPr>
              <w:t xml:space="preserve">Einrichtung der neuen nationalen Agentur für </w:t>
            </w:r>
            <w:r w:rsidRPr="00170422">
              <w:rPr>
                <w:noProof/>
                <w:lang w:val="de-DE"/>
              </w:rPr>
              <w:t>Cybersicherheit</w:t>
            </w:r>
          </w:p>
        </w:tc>
        <w:tc>
          <w:tcPr>
            <w:tcW w:w="1559" w:type="dxa"/>
            <w:shd w:val="clear" w:color="auto" w:fill="C6EFCE"/>
            <w:noWrap/>
            <w:vAlign w:val="center"/>
          </w:tcPr>
          <w:p w14:paraId="4958FC08" w14:textId="77777777" w:rsidR="0057163C" w:rsidRPr="00170422" w:rsidRDefault="00F37BF9">
            <w:pPr>
              <w:pStyle w:val="P68B1DB1-Normal11"/>
              <w:jc w:val="center"/>
              <w:rPr>
                <w:rFonts w:cs="Arial"/>
                <w:noProof/>
                <w:szCs w:val="20"/>
                <w:lang w:val="de-DE"/>
              </w:rPr>
            </w:pPr>
            <w:r w:rsidRPr="00170422">
              <w:rPr>
                <w:noProof/>
                <w:lang w:val="de-DE"/>
              </w:rPr>
              <w:t>Gesetz über die Verwaltungsverfassung</w:t>
            </w:r>
          </w:p>
        </w:tc>
        <w:tc>
          <w:tcPr>
            <w:tcW w:w="1276" w:type="dxa"/>
            <w:shd w:val="clear" w:color="auto" w:fill="C6EFCE"/>
            <w:noWrap/>
            <w:vAlign w:val="center"/>
          </w:tcPr>
          <w:p w14:paraId="75C9ACD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54F8066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4A1A58B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6FC92569"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12AD264F"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17A34D3D" w14:textId="77777777" w:rsidR="0057163C" w:rsidRPr="00170422" w:rsidRDefault="00F37BF9">
            <w:pPr>
              <w:pStyle w:val="P68B1DB1-Normal12"/>
              <w:spacing w:after="120"/>
              <w:rPr>
                <w:rFonts w:cs="Arial"/>
                <w:noProof/>
                <w:lang w:val="de-DE"/>
              </w:rPr>
            </w:pPr>
            <w:r w:rsidRPr="00170422">
              <w:rPr>
                <w:noProof/>
                <w:lang w:val="de-DE"/>
              </w:rPr>
              <w:t>Das Etappenziel soll erreicht werden durch (1) die Umwandlung des Gesetzesdekrets, das die nationale Agentur für Cybersicherheit bildet, in Recht, das derze</w:t>
            </w:r>
            <w:r w:rsidRPr="00170422">
              <w:rPr>
                <w:noProof/>
                <w:lang w:val="de-DE"/>
              </w:rPr>
              <w:t>it fertiggestellt wird; 2. die Veröffentlichung des Dekrets des Premierministers (Decreto del Presidente del Consiglio dei Ministri, DPCM) mit den internen Vorschriften der nationalen Agentur für Cybersicherheit im Amtsblatt.</w:t>
            </w:r>
          </w:p>
        </w:tc>
      </w:tr>
      <w:tr w:rsidR="0057163C" w:rsidRPr="00170422" w14:paraId="19389E19" w14:textId="77777777" w:rsidTr="00D64E63">
        <w:trPr>
          <w:trHeight w:val="309"/>
        </w:trPr>
        <w:tc>
          <w:tcPr>
            <w:tcW w:w="1135" w:type="dxa"/>
            <w:shd w:val="clear" w:color="auto" w:fill="C6EFCE"/>
            <w:noWrap/>
            <w:vAlign w:val="center"/>
          </w:tcPr>
          <w:p w14:paraId="43989D2B" w14:textId="77777777" w:rsidR="0057163C" w:rsidRPr="00170422" w:rsidRDefault="00F37BF9">
            <w:pPr>
              <w:pStyle w:val="P68B1DB1-Normal11"/>
              <w:jc w:val="center"/>
              <w:rPr>
                <w:rFonts w:cs="Arial"/>
                <w:noProof/>
                <w:szCs w:val="20"/>
                <w:lang w:val="de-DE"/>
              </w:rPr>
            </w:pPr>
            <w:r w:rsidRPr="00170422">
              <w:rPr>
                <w:noProof/>
                <w:lang w:val="de-DE"/>
              </w:rPr>
              <w:t>M1C1-6</w:t>
            </w:r>
          </w:p>
        </w:tc>
        <w:tc>
          <w:tcPr>
            <w:tcW w:w="1417" w:type="dxa"/>
            <w:shd w:val="clear" w:color="auto" w:fill="C6EFCE"/>
            <w:noWrap/>
            <w:vAlign w:val="center"/>
          </w:tcPr>
          <w:p w14:paraId="50D25EF3" w14:textId="77777777" w:rsidR="0057163C" w:rsidRPr="00170422" w:rsidRDefault="00F37BF9">
            <w:pPr>
              <w:pStyle w:val="P68B1DB1-Normal11"/>
              <w:jc w:val="center"/>
              <w:rPr>
                <w:rFonts w:cs="Arial"/>
                <w:noProof/>
                <w:szCs w:val="20"/>
                <w:lang w:val="de-DE"/>
              </w:rPr>
            </w:pPr>
            <w:r w:rsidRPr="00170422">
              <w:rPr>
                <w:noProof/>
                <w:lang w:val="de-DE"/>
              </w:rPr>
              <w:t xml:space="preserve">Investition 1.5: </w:t>
            </w:r>
            <w:r w:rsidRPr="00170422">
              <w:rPr>
                <w:noProof/>
                <w:lang w:val="de-DE"/>
              </w:rPr>
              <w:t>Cybersicherheit</w:t>
            </w:r>
          </w:p>
        </w:tc>
        <w:tc>
          <w:tcPr>
            <w:tcW w:w="1276" w:type="dxa"/>
            <w:shd w:val="clear" w:color="auto" w:fill="C6EFCE"/>
            <w:noWrap/>
            <w:vAlign w:val="center"/>
          </w:tcPr>
          <w:p w14:paraId="3191726F"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33DFE437" w14:textId="77777777" w:rsidR="0057163C" w:rsidRPr="00170422" w:rsidRDefault="00F37BF9">
            <w:pPr>
              <w:pStyle w:val="P68B1DB1-Normal11"/>
              <w:jc w:val="center"/>
              <w:rPr>
                <w:rFonts w:cs="Arial"/>
                <w:noProof/>
                <w:szCs w:val="20"/>
                <w:lang w:val="de-DE"/>
              </w:rPr>
            </w:pPr>
            <w:r w:rsidRPr="00170422">
              <w:rPr>
                <w:noProof/>
                <w:lang w:val="de-DE"/>
              </w:rPr>
              <w:t>Erste Einführung der nationalen Cybersicherheitsdienste</w:t>
            </w:r>
          </w:p>
        </w:tc>
        <w:tc>
          <w:tcPr>
            <w:tcW w:w="1559" w:type="dxa"/>
            <w:shd w:val="clear" w:color="auto" w:fill="C6EFCE"/>
            <w:noWrap/>
            <w:vAlign w:val="center"/>
          </w:tcPr>
          <w:p w14:paraId="2F42EE4B" w14:textId="77777777" w:rsidR="0057163C" w:rsidRPr="00170422" w:rsidRDefault="00F37BF9">
            <w:pPr>
              <w:pStyle w:val="P68B1DB1-Normal12"/>
              <w:jc w:val="center"/>
              <w:rPr>
                <w:rFonts w:cs="Arial"/>
                <w:noProof/>
                <w:lang w:val="de-DE"/>
              </w:rPr>
            </w:pPr>
            <w:r w:rsidRPr="00170422">
              <w:rPr>
                <w:noProof/>
                <w:lang w:val="de-DE"/>
              </w:rPr>
              <w:t>Bericht über die vollständige Architektur der nationalen Cybersicherheitsdienste</w:t>
            </w:r>
          </w:p>
        </w:tc>
        <w:tc>
          <w:tcPr>
            <w:tcW w:w="1276" w:type="dxa"/>
            <w:shd w:val="clear" w:color="auto" w:fill="C6EFCE"/>
            <w:noWrap/>
            <w:vAlign w:val="center"/>
          </w:tcPr>
          <w:p w14:paraId="35BC84B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1C3B652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2DA43D6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10D41653"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33691E55"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62BD74D9" w14:textId="77777777" w:rsidR="0057163C" w:rsidRPr="00170422" w:rsidRDefault="00F37BF9">
            <w:pPr>
              <w:pStyle w:val="P68B1DB1-Normal12"/>
              <w:spacing w:after="120"/>
              <w:rPr>
                <w:rFonts w:cs="Arial"/>
                <w:noProof/>
                <w:lang w:val="de-DE"/>
              </w:rPr>
            </w:pPr>
            <w:r w:rsidRPr="00170422">
              <w:rPr>
                <w:noProof/>
                <w:lang w:val="de-DE"/>
              </w:rPr>
              <w:t>Das Etappenziel wird erreicht durch die Festlegung der detaillierten Architektur des gesamten Ökosystems der nationalen Cybersicherheitsarchitektur (d. h. eines nationalen Informations- und Analysezentrums (ISAC), eines Netzes von Computer-Notfallteams (CE</w:t>
            </w:r>
            <w:r w:rsidRPr="00170422">
              <w:rPr>
                <w:noProof/>
                <w:lang w:val="de-DE"/>
              </w:rPr>
              <w:t>RTs), eines nationalen HyperSOC, des in die Instrumente für künstliche Intelligenz/Maschinenlernen (KI/ML) integrierten Hochleistungsrechnens zur Analyse von Cybersicherheitsvorfällen auf nationaler Ebene).</w:t>
            </w:r>
          </w:p>
        </w:tc>
      </w:tr>
      <w:tr w:rsidR="0057163C" w:rsidRPr="00170422" w14:paraId="12A0E0A5" w14:textId="77777777" w:rsidTr="00D64E63">
        <w:trPr>
          <w:trHeight w:val="309"/>
        </w:trPr>
        <w:tc>
          <w:tcPr>
            <w:tcW w:w="1135" w:type="dxa"/>
            <w:shd w:val="clear" w:color="auto" w:fill="C6EFCE"/>
            <w:noWrap/>
            <w:vAlign w:val="center"/>
          </w:tcPr>
          <w:p w14:paraId="2C15E2D3" w14:textId="77777777" w:rsidR="0057163C" w:rsidRPr="00170422" w:rsidRDefault="00F37BF9">
            <w:pPr>
              <w:pStyle w:val="P68B1DB1-Normal11"/>
              <w:jc w:val="center"/>
              <w:rPr>
                <w:rFonts w:cs="Arial"/>
                <w:noProof/>
                <w:szCs w:val="20"/>
                <w:lang w:val="de-DE"/>
              </w:rPr>
            </w:pPr>
            <w:r w:rsidRPr="00170422">
              <w:rPr>
                <w:noProof/>
                <w:lang w:val="de-DE"/>
              </w:rPr>
              <w:t>M1C1-7</w:t>
            </w:r>
          </w:p>
        </w:tc>
        <w:tc>
          <w:tcPr>
            <w:tcW w:w="1417" w:type="dxa"/>
            <w:shd w:val="clear" w:color="auto" w:fill="C6EFCE"/>
            <w:noWrap/>
            <w:vAlign w:val="center"/>
          </w:tcPr>
          <w:p w14:paraId="5EAB85E7"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753CD32B"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397E1A2C" w14:textId="77777777" w:rsidR="0057163C" w:rsidRPr="00170422" w:rsidRDefault="00F37BF9">
            <w:pPr>
              <w:pStyle w:val="P68B1DB1-Normal11"/>
              <w:jc w:val="center"/>
              <w:rPr>
                <w:rFonts w:cs="Arial"/>
                <w:noProof/>
                <w:szCs w:val="20"/>
                <w:lang w:val="de-DE"/>
              </w:rPr>
            </w:pPr>
            <w:r w:rsidRPr="00170422">
              <w:rPr>
                <w:noProof/>
                <w:lang w:val="de-DE"/>
              </w:rPr>
              <w:t>Einrichtung des Netzes von Laboratorien für Cybersicherheitsüberprüfung und -zertifizierung</w:t>
            </w:r>
          </w:p>
        </w:tc>
        <w:tc>
          <w:tcPr>
            <w:tcW w:w="1559" w:type="dxa"/>
            <w:shd w:val="clear" w:color="auto" w:fill="C6EFCE"/>
            <w:noWrap/>
            <w:vAlign w:val="center"/>
          </w:tcPr>
          <w:p w14:paraId="35BEE612" w14:textId="77777777" w:rsidR="0057163C" w:rsidRPr="00170422" w:rsidRDefault="00F37BF9">
            <w:pPr>
              <w:pStyle w:val="P68B1DB1-Normal12"/>
              <w:jc w:val="center"/>
              <w:rPr>
                <w:rFonts w:cs="Arial"/>
                <w:noProof/>
                <w:lang w:val="de-DE"/>
              </w:rPr>
            </w:pPr>
            <w:r w:rsidRPr="00170422">
              <w:rPr>
                <w:noProof/>
                <w:lang w:val="de-DE"/>
              </w:rPr>
              <w:t xml:space="preserve">Bereitgestellte Dokumentation, aus der die ermittelten Prozesse und Verfahren hervorgehen, die zwischen den Labors ausgetauscht werden sollen, und </w:t>
            </w:r>
            <w:r w:rsidRPr="00170422">
              <w:rPr>
                <w:noProof/>
                <w:lang w:val="de-DE"/>
              </w:rPr>
              <w:t>Vorlage von Berichten, aus denen hervorgeht, dass mindestens ein Labor aktiviert wurde</w:t>
            </w:r>
          </w:p>
        </w:tc>
        <w:tc>
          <w:tcPr>
            <w:tcW w:w="1276" w:type="dxa"/>
            <w:shd w:val="clear" w:color="auto" w:fill="C6EFCE"/>
            <w:noWrap/>
            <w:vAlign w:val="center"/>
          </w:tcPr>
          <w:p w14:paraId="778D237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7C959D4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12BEECE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41924FFA"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2512F44D"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6332F694" w14:textId="77777777" w:rsidR="0057163C" w:rsidRPr="00170422" w:rsidRDefault="00F37BF9">
            <w:pPr>
              <w:pStyle w:val="P68B1DB1-Normal11"/>
              <w:spacing w:after="120"/>
              <w:rPr>
                <w:rFonts w:cs="Arial"/>
                <w:noProof/>
                <w:szCs w:val="20"/>
                <w:lang w:val="de-DE"/>
              </w:rPr>
            </w:pPr>
            <w:r w:rsidRPr="00170422">
              <w:rPr>
                <w:noProof/>
                <w:lang w:val="de-DE"/>
              </w:rPr>
              <w:t>Das Etappenziel wird erreicht durch:</w:t>
            </w:r>
          </w:p>
          <w:p w14:paraId="352A65FB" w14:textId="77777777" w:rsidR="0057163C" w:rsidRPr="00170422" w:rsidRDefault="00F37BF9">
            <w:pPr>
              <w:pStyle w:val="P68B1DB1-Normal12"/>
              <w:rPr>
                <w:rFonts w:cs="Arial"/>
                <w:noProof/>
                <w:lang w:val="de-DE"/>
              </w:rPr>
            </w:pPr>
            <w:r w:rsidRPr="00170422">
              <w:rPr>
                <w:noProof/>
                <w:lang w:val="de-DE"/>
              </w:rPr>
              <w:t>I) Ermittlung des Ortes der Einrichtung der Screening- und Zertifizierungslabors und -</w:t>
            </w:r>
            <w:r w:rsidRPr="00170422">
              <w:rPr>
                <w:noProof/>
                <w:lang w:val="de-DE"/>
              </w:rPr>
              <w:t>zentren durch die nationale Agentur für Cybersicherheit, der Profile der zu rekrutierenden Experten, der vollständigen Festlegung der Prozesse und Verfahren, die zwischen den Labors geteilt werden sollen.</w:t>
            </w:r>
          </w:p>
          <w:p w14:paraId="36971C56" w14:textId="77777777" w:rsidR="0057163C" w:rsidRPr="00170422" w:rsidRDefault="00F37BF9">
            <w:pPr>
              <w:pStyle w:val="P68B1DB1-Normal11"/>
              <w:spacing w:before="120" w:after="120"/>
              <w:rPr>
                <w:rFonts w:cs="Arial"/>
                <w:noProof/>
                <w:szCs w:val="20"/>
                <w:lang w:val="de-DE"/>
              </w:rPr>
            </w:pPr>
            <w:r w:rsidRPr="00170422">
              <w:rPr>
                <w:noProof/>
                <w:lang w:val="de-DE"/>
              </w:rPr>
              <w:t>II) Aktivierung eines Labors.</w:t>
            </w:r>
          </w:p>
          <w:p w14:paraId="5E26D406" w14:textId="77777777" w:rsidR="0057163C" w:rsidRPr="00170422" w:rsidRDefault="00F37BF9">
            <w:pPr>
              <w:pStyle w:val="P68B1DB1-Normal12"/>
              <w:spacing w:after="120"/>
              <w:rPr>
                <w:rFonts w:cs="Arial"/>
                <w:noProof/>
                <w:color w:val="FF0000"/>
                <w:lang w:val="de-DE"/>
              </w:rPr>
            </w:pPr>
            <w:r w:rsidRPr="00170422">
              <w:rPr>
                <w:noProof/>
                <w:lang w:val="de-DE"/>
              </w:rPr>
              <w:t xml:space="preserve">Die Tätigkeiten im </w:t>
            </w:r>
            <w:r w:rsidRPr="00170422">
              <w:rPr>
                <w:noProof/>
                <w:lang w:val="de-DE"/>
              </w:rPr>
              <w:t>Zusammenhang mit der Einrichtung und Aktivierung der Prüflabors werden vom Ministero dello Sviluppo Economico (MISE) mit dem CVCN (Nationales Labor für Cybersicherheitsüberprüfung und -zertifizierung) überwacht und vom Innenministerium und vom Verteidigung</w:t>
            </w:r>
            <w:r w:rsidRPr="00170422">
              <w:rPr>
                <w:noProof/>
                <w:lang w:val="de-DE"/>
              </w:rPr>
              <w:t>sministerium in das Evaluierungszentrum integriert.</w:t>
            </w:r>
          </w:p>
        </w:tc>
      </w:tr>
      <w:tr w:rsidR="0057163C" w:rsidRPr="00170422" w14:paraId="63637089" w14:textId="77777777" w:rsidTr="00D64E63">
        <w:trPr>
          <w:trHeight w:val="309"/>
        </w:trPr>
        <w:tc>
          <w:tcPr>
            <w:tcW w:w="1135" w:type="dxa"/>
            <w:shd w:val="clear" w:color="auto" w:fill="C6EFCE"/>
            <w:noWrap/>
            <w:vAlign w:val="center"/>
          </w:tcPr>
          <w:p w14:paraId="40D6D416" w14:textId="77777777" w:rsidR="0057163C" w:rsidRPr="00170422" w:rsidRDefault="00F37BF9">
            <w:pPr>
              <w:pStyle w:val="P68B1DB1-Normal11"/>
              <w:jc w:val="center"/>
              <w:rPr>
                <w:rFonts w:cs="Arial"/>
                <w:noProof/>
                <w:szCs w:val="20"/>
                <w:lang w:val="de-DE"/>
              </w:rPr>
            </w:pPr>
            <w:r w:rsidRPr="00170422">
              <w:rPr>
                <w:noProof/>
                <w:lang w:val="de-DE"/>
              </w:rPr>
              <w:t>M1C1-8</w:t>
            </w:r>
          </w:p>
        </w:tc>
        <w:tc>
          <w:tcPr>
            <w:tcW w:w="1417" w:type="dxa"/>
            <w:shd w:val="clear" w:color="auto" w:fill="C6EFCE"/>
            <w:noWrap/>
            <w:vAlign w:val="center"/>
          </w:tcPr>
          <w:p w14:paraId="0C932809"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0473A52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6393B8BC" w14:textId="77777777" w:rsidR="0057163C" w:rsidRPr="00170422" w:rsidRDefault="00F37BF9">
            <w:pPr>
              <w:pStyle w:val="P68B1DB1-Normal11"/>
              <w:jc w:val="center"/>
              <w:rPr>
                <w:rFonts w:cs="Arial"/>
                <w:noProof/>
                <w:szCs w:val="20"/>
                <w:lang w:val="de-DE"/>
              </w:rPr>
            </w:pPr>
            <w:r w:rsidRPr="00170422">
              <w:rPr>
                <w:noProof/>
                <w:lang w:val="de-DE"/>
              </w:rPr>
              <w:t>Aktivierung einer zentralen Auditstelle für PSNC und NIS-Sicherheitsmaßnahmen</w:t>
            </w:r>
          </w:p>
        </w:tc>
        <w:tc>
          <w:tcPr>
            <w:tcW w:w="1559" w:type="dxa"/>
            <w:shd w:val="clear" w:color="auto" w:fill="C6EFCE"/>
            <w:noWrap/>
            <w:vAlign w:val="center"/>
          </w:tcPr>
          <w:p w14:paraId="3522EFE5" w14:textId="77777777" w:rsidR="0057163C" w:rsidRPr="00170422" w:rsidRDefault="00F37BF9">
            <w:pPr>
              <w:pStyle w:val="P68B1DB1-Normal12"/>
              <w:jc w:val="center"/>
              <w:rPr>
                <w:rFonts w:cs="Arial"/>
                <w:noProof/>
                <w:lang w:val="de-DE"/>
              </w:rPr>
            </w:pPr>
            <w:r w:rsidRPr="00170422">
              <w:rPr>
                <w:noProof/>
                <w:lang w:val="de-DE"/>
              </w:rPr>
              <w:t xml:space="preserve">Vorlage von Berichten zum Nachweis der Einrichtung der zentralen </w:t>
            </w:r>
            <w:r w:rsidRPr="00170422">
              <w:rPr>
                <w:noProof/>
                <w:lang w:val="de-DE"/>
              </w:rPr>
              <w:t>Auditstelle</w:t>
            </w:r>
          </w:p>
        </w:tc>
        <w:tc>
          <w:tcPr>
            <w:tcW w:w="1276" w:type="dxa"/>
            <w:shd w:val="clear" w:color="auto" w:fill="C6EFCE"/>
            <w:noWrap/>
            <w:vAlign w:val="center"/>
          </w:tcPr>
          <w:p w14:paraId="1859F7B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4E81D57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65E62A5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49F320B9"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0F3B403D"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6F1C0E44" w14:textId="77777777" w:rsidR="0057163C" w:rsidRPr="00170422" w:rsidRDefault="00F37BF9">
            <w:pPr>
              <w:pStyle w:val="P68B1DB1-Normal11"/>
              <w:spacing w:after="120"/>
              <w:rPr>
                <w:rFonts w:cs="Arial"/>
                <w:noProof/>
                <w:szCs w:val="20"/>
                <w:lang w:val="de-DE"/>
              </w:rPr>
            </w:pPr>
            <w:r w:rsidRPr="00170422">
              <w:rPr>
                <w:noProof/>
                <w:lang w:val="de-DE"/>
              </w:rPr>
              <w:t>Innerhalb der nationalen Cybersicherheitsagentur wird ein internes Referat benannt, das mit der Wahrnehmung der Tätigkeiten der zentralen Auditstelle betraut ist, die für die PSNC &amp; NIS-Sicherheitsm</w:t>
            </w:r>
            <w:r w:rsidRPr="00170422">
              <w:rPr>
                <w:noProof/>
                <w:lang w:val="de-DE"/>
              </w:rPr>
              <w:t>aßnahmen zuständig ist.</w:t>
            </w:r>
          </w:p>
          <w:p w14:paraId="225C4A0E" w14:textId="77777777" w:rsidR="0057163C" w:rsidRPr="00170422" w:rsidRDefault="00F37BF9">
            <w:pPr>
              <w:pStyle w:val="P68B1DB1-Normal12"/>
              <w:spacing w:after="120"/>
              <w:rPr>
                <w:rFonts w:cs="Arial"/>
                <w:noProof/>
                <w:lang w:val="de-DE"/>
              </w:rPr>
            </w:pPr>
            <w:r w:rsidRPr="00170422">
              <w:rPr>
                <w:noProof/>
                <w:lang w:val="de-DE"/>
              </w:rPr>
              <w:t>Die Prozesse, die Logistik und die operativen Vorkehrungen werden in einer angemessenen Dokumentation formalisiert, wobei ein besonderer Schwerpunkt auf den operativen Prozessen, d. h. den Regeln für Mandat, Prüfung und Berichtersta</w:t>
            </w:r>
            <w:r w:rsidRPr="00170422">
              <w:rPr>
                <w:noProof/>
                <w:lang w:val="de-DE"/>
              </w:rPr>
              <w:t>ttung, liegt.</w:t>
            </w:r>
          </w:p>
          <w:p w14:paraId="4991BE99" w14:textId="77777777" w:rsidR="0057163C" w:rsidRPr="00170422" w:rsidRDefault="00F37BF9">
            <w:pPr>
              <w:pStyle w:val="P68B1DB1-Normal12"/>
              <w:spacing w:after="120"/>
              <w:rPr>
                <w:rFonts w:cs="Arial"/>
                <w:noProof/>
                <w:lang w:val="de-DE"/>
              </w:rPr>
            </w:pPr>
            <w:r w:rsidRPr="00170422">
              <w:rPr>
                <w:noProof/>
                <w:lang w:val="de-DE"/>
              </w:rPr>
              <w:t>Die IT-Instrumente erfassen, verwalten und analysieren die Prüfdaten und werden von der Prüfstelle entwickelt und genutzt.</w:t>
            </w:r>
          </w:p>
          <w:p w14:paraId="7749C04E" w14:textId="77777777" w:rsidR="0057163C" w:rsidRPr="00170422" w:rsidRDefault="00F37BF9">
            <w:pPr>
              <w:pStyle w:val="P68B1DB1-Normal11"/>
              <w:spacing w:after="120"/>
              <w:rPr>
                <w:rFonts w:cs="Arial"/>
                <w:noProof/>
                <w:szCs w:val="20"/>
                <w:lang w:val="de-DE"/>
              </w:rPr>
            </w:pPr>
            <w:r w:rsidRPr="00170422">
              <w:rPr>
                <w:noProof/>
                <w:lang w:val="de-DE"/>
              </w:rPr>
              <w:t>Unterlagen, aus denen der Abschluss der Entwicklung der Instrumente hervorgeht, sind vorzulegen.</w:t>
            </w:r>
          </w:p>
        </w:tc>
      </w:tr>
      <w:tr w:rsidR="0057163C" w:rsidRPr="00170422" w14:paraId="448539D5" w14:textId="77777777" w:rsidTr="00D64E63">
        <w:trPr>
          <w:trHeight w:val="309"/>
        </w:trPr>
        <w:tc>
          <w:tcPr>
            <w:tcW w:w="1135" w:type="dxa"/>
            <w:shd w:val="clear" w:color="auto" w:fill="C6EFCE"/>
            <w:noWrap/>
            <w:vAlign w:val="center"/>
          </w:tcPr>
          <w:p w14:paraId="78E12FE0" w14:textId="77777777" w:rsidR="0057163C" w:rsidRPr="00170422" w:rsidRDefault="00F37BF9">
            <w:pPr>
              <w:pStyle w:val="P68B1DB1-Normal11"/>
              <w:jc w:val="center"/>
              <w:rPr>
                <w:rFonts w:cs="Arial"/>
                <w:noProof/>
                <w:szCs w:val="20"/>
                <w:lang w:val="de-DE"/>
              </w:rPr>
            </w:pPr>
            <w:r w:rsidRPr="00170422">
              <w:rPr>
                <w:noProof/>
                <w:lang w:val="de-DE"/>
              </w:rPr>
              <w:t>M1C1-9</w:t>
            </w:r>
          </w:p>
        </w:tc>
        <w:tc>
          <w:tcPr>
            <w:tcW w:w="1417" w:type="dxa"/>
            <w:shd w:val="clear" w:color="auto" w:fill="C6EFCE"/>
            <w:noWrap/>
            <w:vAlign w:val="center"/>
          </w:tcPr>
          <w:p w14:paraId="71F6AB18" w14:textId="77777777" w:rsidR="0057163C" w:rsidRPr="00170422" w:rsidRDefault="00F37BF9">
            <w:pPr>
              <w:pStyle w:val="P68B1DB1-Normal11"/>
              <w:jc w:val="center"/>
              <w:rPr>
                <w:rFonts w:cs="Arial"/>
                <w:noProof/>
                <w:szCs w:val="20"/>
                <w:lang w:val="de-DE"/>
              </w:rPr>
            </w:pPr>
            <w:r w:rsidRPr="00170422">
              <w:rPr>
                <w:noProof/>
                <w:lang w:val="de-DE"/>
              </w:rPr>
              <w:t xml:space="preserve">Investition </w:t>
            </w:r>
            <w:r w:rsidRPr="00170422">
              <w:rPr>
                <w:noProof/>
                <w:lang w:val="de-DE"/>
              </w:rPr>
              <w:t>1.5: Cybersicherheit</w:t>
            </w:r>
          </w:p>
        </w:tc>
        <w:tc>
          <w:tcPr>
            <w:tcW w:w="1276" w:type="dxa"/>
            <w:shd w:val="clear" w:color="auto" w:fill="C6EFCE"/>
            <w:noWrap/>
            <w:vAlign w:val="center"/>
          </w:tcPr>
          <w:p w14:paraId="1F0EA857"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105CC562" w14:textId="77777777" w:rsidR="0057163C" w:rsidRPr="00170422" w:rsidRDefault="00F37BF9">
            <w:pPr>
              <w:pStyle w:val="P68B1DB1-Normal11"/>
              <w:jc w:val="center"/>
              <w:rPr>
                <w:rFonts w:cs="Arial"/>
                <w:noProof/>
                <w:szCs w:val="20"/>
                <w:lang w:val="de-DE"/>
              </w:rPr>
            </w:pPr>
            <w:r w:rsidRPr="00170422">
              <w:rPr>
                <w:noProof/>
                <w:lang w:val="de-DE"/>
              </w:rPr>
              <w:t>Unterstützung der Modernisierung der Sicherheitsstrukturen T1</w:t>
            </w:r>
          </w:p>
        </w:tc>
        <w:tc>
          <w:tcPr>
            <w:tcW w:w="1559" w:type="dxa"/>
            <w:shd w:val="clear" w:color="auto" w:fill="C6EFCE"/>
            <w:noWrap/>
            <w:vAlign w:val="center"/>
          </w:tcPr>
          <w:p w14:paraId="520D07C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58F072EC"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1B75BDD3"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tcPr>
          <w:p w14:paraId="0F000552" w14:textId="77777777" w:rsidR="0057163C" w:rsidRPr="00170422" w:rsidRDefault="00F37BF9">
            <w:pPr>
              <w:pStyle w:val="P68B1DB1-Normal11"/>
              <w:jc w:val="center"/>
              <w:rPr>
                <w:rFonts w:cs="Arial"/>
                <w:noProof/>
                <w:szCs w:val="20"/>
                <w:lang w:val="de-DE"/>
              </w:rPr>
            </w:pPr>
            <w:r w:rsidRPr="00170422">
              <w:rPr>
                <w:noProof/>
                <w:lang w:val="de-DE"/>
              </w:rPr>
              <w:t>5</w:t>
            </w:r>
          </w:p>
        </w:tc>
        <w:tc>
          <w:tcPr>
            <w:tcW w:w="992" w:type="dxa"/>
            <w:shd w:val="clear" w:color="auto" w:fill="C6EFCE"/>
            <w:noWrap/>
            <w:vAlign w:val="center"/>
          </w:tcPr>
          <w:p w14:paraId="0ED8E113"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313F57EA"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661C86D2" w14:textId="77777777" w:rsidR="0057163C" w:rsidRPr="00170422" w:rsidRDefault="00F37BF9">
            <w:pPr>
              <w:pStyle w:val="P68B1DB1-Normal11"/>
              <w:spacing w:after="120"/>
              <w:rPr>
                <w:rFonts w:cs="Arial"/>
                <w:noProof/>
                <w:szCs w:val="20"/>
                <w:lang w:val="de-DE"/>
              </w:rPr>
            </w:pPr>
            <w:r w:rsidRPr="00170422">
              <w:rPr>
                <w:noProof/>
                <w:lang w:val="de-DE"/>
              </w:rPr>
              <w:t>Mindestens fünf verstärkte Maßnahmen zur Verbesserung der Sicherheitsstrukturen wurden in den Sektoren „National Security Perimeter</w:t>
            </w:r>
            <w:r w:rsidRPr="00170422">
              <w:rPr>
                <w:noProof/>
                <w:lang w:val="de-DE"/>
              </w:rPr>
              <w:t xml:space="preserve"> for Cyber“ (PSNC) und Netz- und Informationssysteme (NIS) abgeschlossen.</w:t>
            </w:r>
          </w:p>
          <w:p w14:paraId="6F6D05D2" w14:textId="77777777" w:rsidR="0057163C" w:rsidRPr="00170422" w:rsidRDefault="00F37BF9">
            <w:pPr>
              <w:pStyle w:val="P68B1DB1-Normal12"/>
              <w:spacing w:after="120"/>
              <w:rPr>
                <w:rFonts w:cs="Arial"/>
                <w:noProof/>
                <w:lang w:val="de-DE"/>
              </w:rPr>
            </w:pPr>
            <w:r w:rsidRPr="00170422">
              <w:rPr>
                <w:noProof/>
                <w:lang w:val="de-DE"/>
              </w:rPr>
              <w:t>Zu den Interventionskategorien gehören die Modernisierung von Sicherheitseinsatzzentren, Verbesserungen im Bereich der Cybergrenzen und interne Überwachungs- und Kontrollkapazitäten.</w:t>
            </w:r>
            <w:r w:rsidRPr="00170422">
              <w:rPr>
                <w:noProof/>
                <w:lang w:val="de-DE"/>
              </w:rPr>
              <w:t xml:space="preserve"> Die Maßnahmen konzentrieren sich auf die Sektoren Gesundheitsversorgung, Energie und Umwelt (Trinkwasserversorgung).</w:t>
            </w:r>
          </w:p>
        </w:tc>
      </w:tr>
      <w:tr w:rsidR="0057163C" w:rsidRPr="00170422" w14:paraId="7B3E28DB" w14:textId="77777777" w:rsidTr="00D64E63">
        <w:trPr>
          <w:trHeight w:val="309"/>
        </w:trPr>
        <w:tc>
          <w:tcPr>
            <w:tcW w:w="1135" w:type="dxa"/>
            <w:shd w:val="clear" w:color="auto" w:fill="C6EFCE"/>
            <w:noWrap/>
            <w:vAlign w:val="center"/>
          </w:tcPr>
          <w:p w14:paraId="460873A0" w14:textId="77777777" w:rsidR="0057163C" w:rsidRPr="00170422" w:rsidRDefault="00F37BF9">
            <w:pPr>
              <w:pStyle w:val="P68B1DB1-Normal11"/>
              <w:jc w:val="center"/>
              <w:rPr>
                <w:rFonts w:cs="Arial"/>
                <w:noProof/>
                <w:szCs w:val="20"/>
                <w:lang w:val="de-DE"/>
              </w:rPr>
            </w:pPr>
            <w:r w:rsidRPr="00170422">
              <w:rPr>
                <w:noProof/>
                <w:lang w:val="de-DE"/>
              </w:rPr>
              <w:t>M1C1-10</w:t>
            </w:r>
          </w:p>
        </w:tc>
        <w:tc>
          <w:tcPr>
            <w:tcW w:w="1417" w:type="dxa"/>
            <w:shd w:val="clear" w:color="auto" w:fill="C6EFCE"/>
            <w:noWrap/>
            <w:vAlign w:val="center"/>
          </w:tcPr>
          <w:p w14:paraId="4D489365" w14:textId="77777777" w:rsidR="0057163C" w:rsidRPr="00170422" w:rsidRDefault="00F37BF9">
            <w:pPr>
              <w:pStyle w:val="P68B1DB1-Normal11"/>
              <w:jc w:val="center"/>
              <w:rPr>
                <w:rFonts w:cs="Arial"/>
                <w:noProof/>
                <w:szCs w:val="20"/>
                <w:lang w:val="de-DE"/>
              </w:rPr>
            </w:pPr>
            <w:r w:rsidRPr="00170422">
              <w:rPr>
                <w:noProof/>
                <w:lang w:val="de-DE"/>
              </w:rPr>
              <w:t>Reform 1.2: Unterstützung des Wandels</w:t>
            </w:r>
          </w:p>
        </w:tc>
        <w:tc>
          <w:tcPr>
            <w:tcW w:w="1276" w:type="dxa"/>
            <w:shd w:val="clear" w:color="auto" w:fill="C6EFCE"/>
            <w:noWrap/>
            <w:vAlign w:val="center"/>
          </w:tcPr>
          <w:p w14:paraId="744B7476"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0DBFCCDB" w14:textId="77777777" w:rsidR="0057163C" w:rsidRPr="00170422" w:rsidRDefault="00F37BF9">
            <w:pPr>
              <w:pStyle w:val="P68B1DB1-Normal12"/>
              <w:jc w:val="center"/>
              <w:rPr>
                <w:rFonts w:cs="Arial"/>
                <w:noProof/>
                <w:lang w:val="de-DE"/>
              </w:rPr>
            </w:pPr>
            <w:r w:rsidRPr="00170422">
              <w:rPr>
                <w:noProof/>
                <w:lang w:val="de-DE"/>
              </w:rPr>
              <w:t>Inkrafttreten der Einrichtung von Transformationsteam und NewCo</w:t>
            </w:r>
          </w:p>
        </w:tc>
        <w:tc>
          <w:tcPr>
            <w:tcW w:w="1559" w:type="dxa"/>
            <w:shd w:val="clear" w:color="auto" w:fill="C6EFCE"/>
            <w:noWrap/>
            <w:vAlign w:val="center"/>
          </w:tcPr>
          <w:p w14:paraId="122295F3" w14:textId="77777777" w:rsidR="0057163C" w:rsidRPr="00170422" w:rsidRDefault="00F37BF9">
            <w:pPr>
              <w:pStyle w:val="P68B1DB1-Normal12"/>
              <w:jc w:val="center"/>
              <w:rPr>
                <w:rFonts w:cs="Arial"/>
                <w:noProof/>
                <w:lang w:val="de-DE"/>
              </w:rPr>
            </w:pPr>
            <w:r w:rsidRPr="00170422">
              <w:rPr>
                <w:noProof/>
                <w:lang w:val="de-DE"/>
              </w:rPr>
              <w:t xml:space="preserve">Bestimmung im </w:t>
            </w:r>
            <w:r w:rsidRPr="00170422">
              <w:rPr>
                <w:noProof/>
                <w:lang w:val="de-DE"/>
              </w:rPr>
              <w:t>Rechtsakt über das Inkrafttreten eines Rechtsakts zur Einrichtung des Transformationsamts und Inkrafttreten eines Rechtsakts zur Schaffung des NewCo</w:t>
            </w:r>
          </w:p>
        </w:tc>
        <w:tc>
          <w:tcPr>
            <w:tcW w:w="1276" w:type="dxa"/>
            <w:shd w:val="clear" w:color="auto" w:fill="C6EFCE"/>
            <w:noWrap/>
            <w:vAlign w:val="center"/>
          </w:tcPr>
          <w:p w14:paraId="53DF3B1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35EA6A1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7CF60AC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0607E370"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77ACF841"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shd w:val="clear" w:color="auto" w:fill="C6EFCE"/>
            <w:noWrap/>
            <w:vAlign w:val="center"/>
          </w:tcPr>
          <w:p w14:paraId="41BCDB23" w14:textId="77777777" w:rsidR="0057163C" w:rsidRPr="00170422" w:rsidRDefault="00F37BF9">
            <w:pPr>
              <w:pStyle w:val="P68B1DB1-Normal14"/>
              <w:spacing w:after="120"/>
              <w:rPr>
                <w:rFonts w:cs="Arial"/>
                <w:noProof/>
                <w:color w:val="006100"/>
                <w:szCs w:val="20"/>
                <w:lang w:val="de-DE"/>
              </w:rPr>
            </w:pPr>
            <w:r w:rsidRPr="00170422">
              <w:rPr>
                <w:noProof/>
                <w:color w:val="006100"/>
                <w:lang w:val="de-DE"/>
              </w:rPr>
              <w:t xml:space="preserve">Für die Einrichtung des Transformationsbüros müssen die </w:t>
            </w:r>
            <w:r w:rsidRPr="00170422">
              <w:rPr>
                <w:noProof/>
                <w:color w:val="006100"/>
                <w:lang w:val="de-DE"/>
              </w:rPr>
              <w:t>erforderlichen Rechtsakte Folgendes umfassen:</w:t>
            </w:r>
          </w:p>
          <w:p w14:paraId="052F9B92" w14:textId="77777777" w:rsidR="0057163C" w:rsidRPr="00170422" w:rsidRDefault="00F37BF9">
            <w:pPr>
              <w:pStyle w:val="P68B1DB1-ListParagraph13"/>
              <w:numPr>
                <w:ilvl w:val="0"/>
                <w:numId w:val="19"/>
              </w:numPr>
              <w:spacing w:before="120" w:after="120" w:line="240" w:lineRule="auto"/>
              <w:ind w:left="314" w:hanging="232"/>
              <w:rPr>
                <w:rFonts w:cs="Arial"/>
                <w:noProof/>
                <w:lang w:val="de-DE"/>
              </w:rPr>
            </w:pPr>
            <w:r w:rsidRPr="00170422">
              <w:rPr>
                <w:noProof/>
                <w:lang w:val="de-DE"/>
              </w:rPr>
              <w:t>Die Veröffentlichung des Gesetzesdekrets „reclutamento“ (bereits vom Ministerrat Nr. 22. Juni 2021 gebilligt und am 10</w:t>
            </w:r>
            <w:r w:rsidRPr="00170422">
              <w:rPr>
                <w:noProof/>
                <w:vertAlign w:val="superscript"/>
                <w:lang w:val="de-DE"/>
              </w:rPr>
              <w:t>.</w:t>
            </w:r>
            <w:r w:rsidRPr="00170422">
              <w:rPr>
                <w:noProof/>
                <w:lang w:val="de-DE"/>
              </w:rPr>
              <w:t xml:space="preserve"> Juni</w:t>
            </w:r>
            <w:r w:rsidRPr="00170422">
              <w:rPr>
                <w:noProof/>
                <w:vertAlign w:val="superscript"/>
                <w:lang w:val="de-DE"/>
              </w:rPr>
              <w:t>2021</w:t>
            </w:r>
            <w:r w:rsidRPr="00170422">
              <w:rPr>
                <w:noProof/>
                <w:lang w:val="de-DE"/>
              </w:rPr>
              <w:t xml:space="preserve"> im Amtsblatt („Gazzetta Ufficiale“) veröffentlicht);</w:t>
            </w:r>
          </w:p>
          <w:p w14:paraId="0E6FD8F4" w14:textId="77777777" w:rsidR="0057163C" w:rsidRPr="00170422" w:rsidRDefault="00F37BF9">
            <w:pPr>
              <w:pStyle w:val="P68B1DB1-ListParagraph15"/>
              <w:numPr>
                <w:ilvl w:val="0"/>
                <w:numId w:val="19"/>
              </w:numPr>
              <w:spacing w:before="120" w:after="120" w:line="240" w:lineRule="auto"/>
              <w:ind w:left="314" w:hanging="232"/>
              <w:rPr>
                <w:rFonts w:cs="Arial"/>
                <w:noProof/>
                <w:szCs w:val="20"/>
                <w:lang w:val="de-DE"/>
              </w:rPr>
            </w:pPr>
            <w:r w:rsidRPr="00170422">
              <w:rPr>
                <w:noProof/>
                <w:lang w:val="de-DE"/>
              </w:rPr>
              <w:t>Die Veröffentlichung eines A</w:t>
            </w:r>
            <w:r w:rsidRPr="00170422">
              <w:rPr>
                <w:noProof/>
                <w:lang w:val="de-DE"/>
              </w:rPr>
              <w:t>ufrufs zur Interessenbekundung;</w:t>
            </w:r>
          </w:p>
          <w:p w14:paraId="73E2C2DB" w14:textId="77777777" w:rsidR="0057163C" w:rsidRPr="00170422" w:rsidRDefault="00F37BF9">
            <w:pPr>
              <w:pStyle w:val="P68B1DB1-ListParagraph13"/>
              <w:numPr>
                <w:ilvl w:val="0"/>
                <w:numId w:val="19"/>
              </w:numPr>
              <w:spacing w:before="120" w:after="120" w:line="240" w:lineRule="auto"/>
              <w:ind w:left="314" w:hanging="232"/>
              <w:rPr>
                <w:rFonts w:cs="Arial"/>
                <w:noProof/>
                <w:lang w:val="de-DE"/>
              </w:rPr>
            </w:pPr>
            <w:r w:rsidRPr="00170422">
              <w:rPr>
                <w:noProof/>
                <w:lang w:val="de-DE"/>
              </w:rPr>
              <w:t>Auswahl und Übertragung des Auftrags an die Sachverständigen (vorübergehend für die Dauer der Aufbau- und Resilienzfazilität).</w:t>
            </w:r>
          </w:p>
          <w:p w14:paraId="5D5A50EE" w14:textId="77777777" w:rsidR="0057163C" w:rsidRPr="00170422" w:rsidRDefault="00F37BF9">
            <w:pPr>
              <w:pStyle w:val="P68B1DB1-Normal12"/>
              <w:spacing w:after="120"/>
              <w:rPr>
                <w:rFonts w:cs="Arial"/>
                <w:noProof/>
                <w:lang w:val="de-DE"/>
              </w:rPr>
            </w:pPr>
            <w:r w:rsidRPr="00170422">
              <w:rPr>
                <w:noProof/>
                <w:lang w:val="de-DE"/>
              </w:rPr>
              <w:t>Für die NewCo müssen die wichtigsten Schritte Folgendes umfassen:</w:t>
            </w:r>
          </w:p>
          <w:p w14:paraId="6CDFA096" w14:textId="77777777" w:rsidR="0057163C" w:rsidRPr="00170422" w:rsidRDefault="00F37BF9">
            <w:pPr>
              <w:pStyle w:val="P68B1DB1-ListParagraph15"/>
              <w:numPr>
                <w:ilvl w:val="0"/>
                <w:numId w:val="19"/>
              </w:numPr>
              <w:spacing w:before="120" w:after="120" w:line="240" w:lineRule="auto"/>
              <w:ind w:left="314" w:hanging="232"/>
              <w:rPr>
                <w:rFonts w:cs="Arial"/>
                <w:noProof/>
                <w:szCs w:val="20"/>
                <w:lang w:val="de-DE"/>
              </w:rPr>
            </w:pPr>
            <w:r w:rsidRPr="00170422">
              <w:rPr>
                <w:noProof/>
                <w:lang w:val="de-DE"/>
              </w:rPr>
              <w:t>Gesetzliche Ermächtigung;</w:t>
            </w:r>
          </w:p>
          <w:p w14:paraId="5A208A6F" w14:textId="77777777" w:rsidR="0057163C" w:rsidRPr="00170422" w:rsidRDefault="00F37BF9">
            <w:pPr>
              <w:pStyle w:val="P68B1DB1-ListParagraph13"/>
              <w:numPr>
                <w:ilvl w:val="0"/>
                <w:numId w:val="19"/>
              </w:numPr>
              <w:spacing w:before="120" w:after="120" w:line="240" w:lineRule="auto"/>
              <w:ind w:left="314" w:hanging="232"/>
              <w:rPr>
                <w:rFonts w:cs="Arial"/>
                <w:noProof/>
                <w:lang w:val="de-DE"/>
              </w:rPr>
            </w:pPr>
            <w:r w:rsidRPr="00170422">
              <w:rPr>
                <w:noProof/>
                <w:lang w:val="de-DE"/>
              </w:rPr>
              <w:t>Decre</w:t>
            </w:r>
            <w:r w:rsidRPr="00170422">
              <w:rPr>
                <w:noProof/>
                <w:lang w:val="de-DE"/>
              </w:rPr>
              <w:t>to del Presidente del Consiglio dei Ministri (DPCM), mit dem die Gründung der Gesellschaft genehmigt und die Ziele, das Gesellschaftskapital, die Dauer und die Direktoren der Gesellschaft festgelegt werden;</w:t>
            </w:r>
          </w:p>
          <w:p w14:paraId="2D6BAC8D" w14:textId="77777777" w:rsidR="0057163C" w:rsidRPr="00170422" w:rsidRDefault="00F37BF9">
            <w:pPr>
              <w:pStyle w:val="P68B1DB1-ListParagraph15"/>
              <w:numPr>
                <w:ilvl w:val="0"/>
                <w:numId w:val="19"/>
              </w:numPr>
              <w:spacing w:before="120" w:after="120" w:line="240" w:lineRule="auto"/>
              <w:ind w:left="314" w:hanging="232"/>
              <w:rPr>
                <w:rFonts w:cs="Arial"/>
                <w:noProof/>
                <w:szCs w:val="20"/>
                <w:lang w:val="de-DE"/>
              </w:rPr>
            </w:pPr>
            <w:r w:rsidRPr="00170422">
              <w:rPr>
                <w:noProof/>
                <w:lang w:val="de-DE"/>
              </w:rPr>
              <w:t>Einrichtung der Gesellschaft mit notarieller Urku</w:t>
            </w:r>
            <w:r w:rsidRPr="00170422">
              <w:rPr>
                <w:noProof/>
                <w:lang w:val="de-DE"/>
              </w:rPr>
              <w:t>nde;</w:t>
            </w:r>
          </w:p>
          <w:p w14:paraId="16C76A1A" w14:textId="77777777" w:rsidR="0057163C" w:rsidRPr="00170422" w:rsidRDefault="00F37BF9">
            <w:pPr>
              <w:pStyle w:val="P68B1DB1-ListParagraph15"/>
              <w:numPr>
                <w:ilvl w:val="0"/>
                <w:numId w:val="19"/>
              </w:numPr>
              <w:spacing w:before="120" w:after="120" w:line="240" w:lineRule="auto"/>
              <w:ind w:left="314" w:hanging="232"/>
              <w:rPr>
                <w:rFonts w:cs="Arial"/>
                <w:noProof/>
                <w:szCs w:val="20"/>
                <w:lang w:val="de-DE"/>
              </w:rPr>
            </w:pPr>
            <w:r w:rsidRPr="00170422">
              <w:rPr>
                <w:noProof/>
                <w:lang w:val="de-DE"/>
              </w:rPr>
              <w:t>Handlungen, die erforderlich sind, um die Gesellschaft funktionsfähig zu machen – Satzung und verschiedene Verordnungen.</w:t>
            </w:r>
          </w:p>
        </w:tc>
      </w:tr>
      <w:tr w:rsidR="0057163C" w:rsidRPr="00170422" w14:paraId="0DEC7F26" w14:textId="77777777" w:rsidTr="00D64E63">
        <w:trPr>
          <w:trHeight w:val="309"/>
        </w:trPr>
        <w:tc>
          <w:tcPr>
            <w:tcW w:w="1135" w:type="dxa"/>
            <w:shd w:val="clear" w:color="auto" w:fill="C6EFCE"/>
            <w:noWrap/>
            <w:vAlign w:val="center"/>
          </w:tcPr>
          <w:p w14:paraId="1AB2495B" w14:textId="77777777" w:rsidR="0057163C" w:rsidRPr="00170422" w:rsidRDefault="00F37BF9">
            <w:pPr>
              <w:pStyle w:val="P68B1DB1-Normal11"/>
              <w:jc w:val="center"/>
              <w:rPr>
                <w:rFonts w:cs="Arial"/>
                <w:noProof/>
                <w:szCs w:val="20"/>
                <w:lang w:val="de-DE"/>
              </w:rPr>
            </w:pPr>
            <w:r w:rsidRPr="00170422">
              <w:rPr>
                <w:noProof/>
                <w:lang w:val="de-DE"/>
              </w:rPr>
              <w:t>M1C1-11</w:t>
            </w:r>
          </w:p>
        </w:tc>
        <w:tc>
          <w:tcPr>
            <w:tcW w:w="1417" w:type="dxa"/>
            <w:shd w:val="clear" w:color="auto" w:fill="C6EFCE"/>
            <w:noWrap/>
            <w:vAlign w:val="center"/>
          </w:tcPr>
          <w:p w14:paraId="44B4DBD6" w14:textId="77777777" w:rsidR="0057163C" w:rsidRPr="00170422" w:rsidRDefault="00F37BF9">
            <w:pPr>
              <w:pStyle w:val="P68B1DB1-Normal11"/>
              <w:jc w:val="center"/>
              <w:rPr>
                <w:rFonts w:cs="Arial"/>
                <w:noProof/>
                <w:szCs w:val="20"/>
                <w:lang w:val="de-DE"/>
              </w:rPr>
            </w:pPr>
            <w:r w:rsidRPr="00170422">
              <w:rPr>
                <w:noProof/>
                <w:lang w:val="de-DE"/>
              </w:rPr>
              <w:t>Investition 1.6.6: Digitalisierung der Finanzpolizei</w:t>
            </w:r>
          </w:p>
        </w:tc>
        <w:tc>
          <w:tcPr>
            <w:tcW w:w="1276" w:type="dxa"/>
            <w:shd w:val="clear" w:color="auto" w:fill="C6EFCE"/>
            <w:noWrap/>
            <w:vAlign w:val="center"/>
          </w:tcPr>
          <w:p w14:paraId="696267EC"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7F39B800" w14:textId="77777777" w:rsidR="0057163C" w:rsidRPr="00170422" w:rsidRDefault="00F37BF9">
            <w:pPr>
              <w:pStyle w:val="P68B1DB1-Normal11"/>
              <w:jc w:val="center"/>
              <w:rPr>
                <w:rFonts w:cs="Arial"/>
                <w:noProof/>
                <w:szCs w:val="20"/>
                <w:lang w:val="de-DE"/>
              </w:rPr>
            </w:pPr>
            <w:r w:rsidRPr="00170422">
              <w:rPr>
                <w:noProof/>
                <w:lang w:val="de-DE"/>
              </w:rPr>
              <w:t xml:space="preserve">Finanzpolizei – Erwerb professioneller datenwissenschaftlicher </w:t>
            </w:r>
            <w:r w:rsidRPr="00170422">
              <w:rPr>
                <w:noProof/>
                <w:lang w:val="de-DE"/>
              </w:rPr>
              <w:t>Dienstleistungen T1</w:t>
            </w:r>
          </w:p>
        </w:tc>
        <w:tc>
          <w:tcPr>
            <w:tcW w:w="1559" w:type="dxa"/>
            <w:shd w:val="clear" w:color="auto" w:fill="C6EFCE"/>
            <w:noWrap/>
            <w:vAlign w:val="center"/>
          </w:tcPr>
          <w:p w14:paraId="6454CE1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24730606"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6BBADA76"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tcPr>
          <w:p w14:paraId="7A5BC93D" w14:textId="77777777" w:rsidR="0057163C" w:rsidRPr="00170422" w:rsidRDefault="00F37BF9">
            <w:pPr>
              <w:pStyle w:val="P68B1DB1-Normal11"/>
              <w:jc w:val="center"/>
              <w:rPr>
                <w:rFonts w:cs="Arial"/>
                <w:noProof/>
                <w:szCs w:val="20"/>
                <w:lang w:val="de-DE"/>
              </w:rPr>
            </w:pPr>
            <w:r w:rsidRPr="00170422">
              <w:rPr>
                <w:noProof/>
                <w:lang w:val="de-DE"/>
              </w:rPr>
              <w:t>5</w:t>
            </w:r>
          </w:p>
        </w:tc>
        <w:tc>
          <w:tcPr>
            <w:tcW w:w="992" w:type="dxa"/>
            <w:shd w:val="clear" w:color="auto" w:fill="C6EFCE"/>
            <w:noWrap/>
            <w:vAlign w:val="center"/>
          </w:tcPr>
          <w:p w14:paraId="2E442A6A"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shd w:val="clear" w:color="auto" w:fill="C6EFCE"/>
            <w:noWrap/>
            <w:vAlign w:val="center"/>
          </w:tcPr>
          <w:p w14:paraId="081BE4BA"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shd w:val="clear" w:color="auto" w:fill="C6EFCE"/>
            <w:noWrap/>
            <w:vAlign w:val="center"/>
          </w:tcPr>
          <w:p w14:paraId="31225A3C" w14:textId="77777777" w:rsidR="0057163C" w:rsidRPr="00170422" w:rsidRDefault="00F37BF9">
            <w:pPr>
              <w:pStyle w:val="P68B1DB1-Normal11"/>
              <w:spacing w:after="120"/>
              <w:rPr>
                <w:rFonts w:cs="Arial"/>
                <w:noProof/>
                <w:szCs w:val="20"/>
                <w:lang w:val="de-DE"/>
              </w:rPr>
            </w:pPr>
            <w:r w:rsidRPr="00170422">
              <w:rPr>
                <w:noProof/>
                <w:lang w:val="de-DE"/>
              </w:rPr>
              <w:t xml:space="preserve">Erwerb professioneller datenwissenschaftlicher Dienstleistungen durch Vertrag mit einem Beratungsdienstleister, der insgesamt fünf Humanressourcen umfasst, die sowohl für die Konzeption der Datenarchitektur </w:t>
            </w:r>
            <w:r w:rsidRPr="00170422">
              <w:rPr>
                <w:noProof/>
                <w:lang w:val="de-DE"/>
              </w:rPr>
              <w:t>als auch für die Erstellung der Algorithmen des Referats Big-Data-Analyse zuständig sind. Veröffentlichung eines vergebenen Auftrags für den Erwerb von datenwissenschaftlichen Dienstleistungen im Einklang mit den technischen Leitlinien „Vermeidung erheblic</w:t>
            </w:r>
            <w:r w:rsidRPr="00170422">
              <w:rPr>
                <w:noProof/>
                <w:lang w:val="de-DE"/>
              </w:rPr>
              <w:t>her Beeinträchtigungen“ (2021/C58/01) durch die Verwendung einer Ausschlussliste und der Anforderung der Einhaltung der einschlägigen EU- und nationalen Umweltvorschriften sowie die landesweite Veröffentlichung neuer Instrumente im ersten Analysemodul (IT-</w:t>
            </w:r>
            <w:r w:rsidRPr="00170422">
              <w:rPr>
                <w:noProof/>
                <w:lang w:val="de-DE"/>
              </w:rPr>
              <w:t>Backbone).</w:t>
            </w:r>
          </w:p>
        </w:tc>
      </w:tr>
      <w:tr w:rsidR="0057163C" w:rsidRPr="00170422" w14:paraId="4A883ED1" w14:textId="77777777" w:rsidTr="00D64E63">
        <w:trPr>
          <w:trHeight w:val="309"/>
        </w:trPr>
        <w:tc>
          <w:tcPr>
            <w:tcW w:w="1135" w:type="dxa"/>
            <w:shd w:val="clear" w:color="auto" w:fill="C6EFCE"/>
            <w:noWrap/>
            <w:vAlign w:val="center"/>
          </w:tcPr>
          <w:p w14:paraId="44D695FE" w14:textId="77777777" w:rsidR="0057163C" w:rsidRPr="00170422" w:rsidRDefault="00F37BF9">
            <w:pPr>
              <w:pStyle w:val="P68B1DB1-Normal11"/>
              <w:jc w:val="center"/>
              <w:rPr>
                <w:rFonts w:cs="Arial"/>
                <w:noProof/>
                <w:szCs w:val="20"/>
                <w:lang w:val="de-DE"/>
              </w:rPr>
            </w:pPr>
            <w:r w:rsidRPr="00170422">
              <w:rPr>
                <w:noProof/>
                <w:lang w:val="de-DE"/>
              </w:rPr>
              <w:t>M1C1-12</w:t>
            </w:r>
          </w:p>
        </w:tc>
        <w:tc>
          <w:tcPr>
            <w:tcW w:w="1417" w:type="dxa"/>
            <w:shd w:val="clear" w:color="auto" w:fill="C6EFCE"/>
            <w:noWrap/>
            <w:vAlign w:val="center"/>
          </w:tcPr>
          <w:p w14:paraId="77450C29" w14:textId="77777777" w:rsidR="0057163C" w:rsidRPr="00170422" w:rsidRDefault="00F37BF9">
            <w:pPr>
              <w:pStyle w:val="P68B1DB1-Normal12"/>
              <w:jc w:val="center"/>
              <w:rPr>
                <w:rFonts w:cs="Arial"/>
                <w:noProof/>
                <w:lang w:val="de-DE"/>
              </w:rPr>
            </w:pPr>
            <w:r w:rsidRPr="00170422">
              <w:rPr>
                <w:noProof/>
                <w:lang w:val="de-DE"/>
              </w:rPr>
              <w:t>Investition 1.3.2: Zentrales digitales Zugangstor</w:t>
            </w:r>
          </w:p>
        </w:tc>
        <w:tc>
          <w:tcPr>
            <w:tcW w:w="1276" w:type="dxa"/>
            <w:shd w:val="clear" w:color="auto" w:fill="C6EFCE"/>
            <w:noWrap/>
            <w:vAlign w:val="center"/>
          </w:tcPr>
          <w:p w14:paraId="2EF06766"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57BB7A1D" w14:textId="77777777" w:rsidR="0057163C" w:rsidRPr="00170422" w:rsidRDefault="00F37BF9">
            <w:pPr>
              <w:pStyle w:val="P68B1DB1-Normal11"/>
              <w:jc w:val="center"/>
              <w:rPr>
                <w:rFonts w:cs="Arial"/>
                <w:noProof/>
                <w:szCs w:val="20"/>
                <w:lang w:val="de-DE"/>
              </w:rPr>
            </w:pPr>
            <w:r w:rsidRPr="00170422">
              <w:rPr>
                <w:noProof/>
                <w:lang w:val="de-DE"/>
              </w:rPr>
              <w:t>Zentrales digitales Zugangstor</w:t>
            </w:r>
          </w:p>
        </w:tc>
        <w:tc>
          <w:tcPr>
            <w:tcW w:w="1559" w:type="dxa"/>
            <w:shd w:val="clear" w:color="auto" w:fill="C6EFCE"/>
            <w:noWrap/>
            <w:vAlign w:val="center"/>
          </w:tcPr>
          <w:p w14:paraId="4E487E0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4E16D38A"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5CBE338B"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tcPr>
          <w:p w14:paraId="07CC303E" w14:textId="77777777" w:rsidR="0057163C" w:rsidRPr="00170422" w:rsidRDefault="00F37BF9">
            <w:pPr>
              <w:pStyle w:val="P68B1DB1-Normal11"/>
              <w:jc w:val="center"/>
              <w:rPr>
                <w:rFonts w:cs="Arial"/>
                <w:noProof/>
                <w:szCs w:val="20"/>
                <w:lang w:val="de-DE"/>
              </w:rPr>
            </w:pPr>
            <w:r w:rsidRPr="00170422">
              <w:rPr>
                <w:noProof/>
                <w:lang w:val="de-DE"/>
              </w:rPr>
              <w:t>19</w:t>
            </w:r>
          </w:p>
        </w:tc>
        <w:tc>
          <w:tcPr>
            <w:tcW w:w="992" w:type="dxa"/>
            <w:shd w:val="clear" w:color="auto" w:fill="C6EFCE"/>
            <w:noWrap/>
            <w:vAlign w:val="center"/>
          </w:tcPr>
          <w:p w14:paraId="3F637EB5"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6700CAD5"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shd w:val="clear" w:color="auto" w:fill="C6EFCE"/>
            <w:noWrap/>
            <w:vAlign w:val="center"/>
          </w:tcPr>
          <w:p w14:paraId="2472287E" w14:textId="77777777" w:rsidR="0057163C" w:rsidRPr="00170422" w:rsidRDefault="00F37BF9">
            <w:pPr>
              <w:pStyle w:val="P68B1DB1-Normal11"/>
              <w:spacing w:after="120"/>
              <w:rPr>
                <w:rFonts w:cs="Arial"/>
                <w:noProof/>
                <w:szCs w:val="20"/>
                <w:lang w:val="de-DE"/>
              </w:rPr>
            </w:pPr>
            <w:r w:rsidRPr="00170422">
              <w:rPr>
                <w:noProof/>
                <w:lang w:val="de-DE"/>
              </w:rPr>
              <w:t xml:space="preserve">Die 19 vorrangigen Verwaltungsverfahren, die in Italien von 21 in der Verordnung (EU) 2018/1724 festgelegten </w:t>
            </w:r>
            <w:r w:rsidRPr="00170422">
              <w:rPr>
                <w:noProof/>
                <w:lang w:val="de-DE"/>
              </w:rPr>
              <w:t>Verwaltungsverfahren gelten, entsprechen voll und ganz den in Artikel 6 der Verordnung (EU) 2018/1724 festgelegten Anforderungen. Im Einzelnen: a) die Identifizierung der Nutzer, die Bereitstellung von Informationen und Belegen, die Unterschrift und die en</w:t>
            </w:r>
            <w:r w:rsidRPr="00170422">
              <w:rPr>
                <w:noProof/>
                <w:lang w:val="de-DE"/>
              </w:rPr>
              <w:t>dgültige Einreichung erfolgen alle elektronisch aus der Ferne über einen Dienstkanal, der es den Nutzern ermöglicht, die Anforderungen im Zusammenhang mit dem Verfahren auf benutzerfreundliche und strukturierte Weise zu erfüllen; B) den Nutzern wird eine a</w:t>
            </w:r>
            <w:r w:rsidRPr="00170422">
              <w:rPr>
                <w:noProof/>
                <w:lang w:val="de-DE"/>
              </w:rPr>
              <w:t>utomatische Empfangsbestätigung ausgehändigt, es sei denn, das Ergebnis des Verfahrens wird unverzüglich zugestellt; C) das Ergebnis des Verfahrens wird elektronisch oder, wenn dies zur Einhaltung des geltenden Unionsrechts oder des nationalen Rechts erfor</w:t>
            </w:r>
            <w:r w:rsidRPr="00170422">
              <w:rPr>
                <w:noProof/>
                <w:lang w:val="de-DE"/>
              </w:rPr>
              <w:t>derlich ist, auf physischem Wege übermittelt; d) den Nutzern wird eine elektronische Mitteilung über den Abschluss des Verfahrens übermittelt.</w:t>
            </w:r>
          </w:p>
        </w:tc>
      </w:tr>
      <w:tr w:rsidR="0057163C" w:rsidRPr="00170422" w14:paraId="32DD049A" w14:textId="77777777" w:rsidTr="00D64E63">
        <w:trPr>
          <w:trHeight w:val="309"/>
        </w:trPr>
        <w:tc>
          <w:tcPr>
            <w:tcW w:w="1135" w:type="dxa"/>
            <w:shd w:val="clear" w:color="auto" w:fill="C6EFCE"/>
            <w:noWrap/>
            <w:vAlign w:val="center"/>
          </w:tcPr>
          <w:p w14:paraId="67DEB7FB" w14:textId="77777777" w:rsidR="0057163C" w:rsidRPr="00170422" w:rsidRDefault="00F37BF9">
            <w:pPr>
              <w:pStyle w:val="P68B1DB1-Normal11"/>
              <w:jc w:val="center"/>
              <w:rPr>
                <w:rFonts w:cs="Arial"/>
                <w:noProof/>
                <w:szCs w:val="20"/>
                <w:lang w:val="de-DE"/>
              </w:rPr>
            </w:pPr>
            <w:r w:rsidRPr="00170422">
              <w:rPr>
                <w:noProof/>
                <w:lang w:val="de-DE"/>
              </w:rPr>
              <w:t>M1C1-13</w:t>
            </w:r>
          </w:p>
        </w:tc>
        <w:tc>
          <w:tcPr>
            <w:tcW w:w="1417" w:type="dxa"/>
            <w:shd w:val="clear" w:color="auto" w:fill="C6EFCE"/>
            <w:noWrap/>
            <w:vAlign w:val="center"/>
          </w:tcPr>
          <w:p w14:paraId="66451324" w14:textId="77777777" w:rsidR="0057163C" w:rsidRPr="00170422" w:rsidRDefault="00F37BF9">
            <w:pPr>
              <w:pStyle w:val="P68B1DB1-Normal11"/>
              <w:jc w:val="center"/>
              <w:rPr>
                <w:rFonts w:cs="Arial"/>
                <w:noProof/>
                <w:szCs w:val="20"/>
                <w:lang w:val="de-DE"/>
              </w:rPr>
            </w:pPr>
            <w:r w:rsidRPr="00170422">
              <w:rPr>
                <w:noProof/>
                <w:lang w:val="de-DE"/>
              </w:rPr>
              <w:t>Investition 1.4.6:</w:t>
            </w:r>
          </w:p>
          <w:p w14:paraId="02FC28B2" w14:textId="77777777" w:rsidR="0057163C" w:rsidRPr="00170422" w:rsidRDefault="00F37BF9">
            <w:pPr>
              <w:pStyle w:val="P68B1DB1-Normal11"/>
              <w:jc w:val="center"/>
              <w:rPr>
                <w:rFonts w:cs="Arial"/>
                <w:noProof/>
                <w:szCs w:val="20"/>
                <w:lang w:val="de-DE"/>
              </w:rPr>
            </w:pPr>
            <w:r w:rsidRPr="00170422">
              <w:rPr>
                <w:noProof/>
                <w:lang w:val="de-DE"/>
              </w:rPr>
              <w:t>Mobilität als Dienstleistung für Italien</w:t>
            </w:r>
          </w:p>
        </w:tc>
        <w:tc>
          <w:tcPr>
            <w:tcW w:w="1276" w:type="dxa"/>
            <w:shd w:val="clear" w:color="auto" w:fill="C6EFCE"/>
            <w:noWrap/>
            <w:vAlign w:val="center"/>
          </w:tcPr>
          <w:p w14:paraId="1EB1D54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274F1F58" w14:textId="77777777" w:rsidR="0057163C" w:rsidRPr="00170422" w:rsidRDefault="00F37BF9">
            <w:pPr>
              <w:pStyle w:val="P68B1DB1-Normal11"/>
              <w:jc w:val="center"/>
              <w:rPr>
                <w:rFonts w:cs="Arial"/>
                <w:noProof/>
                <w:szCs w:val="20"/>
                <w:lang w:val="de-DE"/>
              </w:rPr>
            </w:pPr>
            <w:r w:rsidRPr="00170422">
              <w:rPr>
                <w:noProof/>
                <w:lang w:val="de-DE"/>
              </w:rPr>
              <w:t xml:space="preserve">Mobilität als </w:t>
            </w:r>
            <w:r w:rsidRPr="00170422">
              <w:rPr>
                <w:noProof/>
                <w:lang w:val="de-DE"/>
              </w:rPr>
              <w:t>Dienstleistungslösungen M1</w:t>
            </w:r>
          </w:p>
        </w:tc>
        <w:tc>
          <w:tcPr>
            <w:tcW w:w="1559" w:type="dxa"/>
            <w:shd w:val="clear" w:color="auto" w:fill="C6EFCE"/>
            <w:noWrap/>
            <w:vAlign w:val="center"/>
          </w:tcPr>
          <w:p w14:paraId="21723FB3" w14:textId="77777777" w:rsidR="0057163C" w:rsidRPr="00170422" w:rsidRDefault="00F37BF9">
            <w:pPr>
              <w:pStyle w:val="P68B1DB1-Normal12"/>
              <w:jc w:val="center"/>
              <w:rPr>
                <w:rFonts w:cs="Arial"/>
                <w:noProof/>
                <w:lang w:val="de-DE"/>
              </w:rPr>
            </w:pPr>
            <w:r w:rsidRPr="00170422">
              <w:rPr>
                <w:noProof/>
                <w:lang w:val="de-DE"/>
              </w:rPr>
              <w:t>Bericht von Ministero delle Infrastrutture e della Mobilità Sostenibili (MIMS) in Zusammenarbeit mit Universitäten, in dem die Durchführung und die Bewertung der Ergebnisse der drei Pilotprojekte beschrieben werden</w:t>
            </w:r>
          </w:p>
        </w:tc>
        <w:tc>
          <w:tcPr>
            <w:tcW w:w="1276" w:type="dxa"/>
            <w:shd w:val="clear" w:color="auto" w:fill="C6EFCE"/>
            <w:noWrap/>
            <w:vAlign w:val="center"/>
          </w:tcPr>
          <w:p w14:paraId="3702698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72964B88" w14:textId="77777777" w:rsidR="0057163C" w:rsidRPr="00170422" w:rsidRDefault="00F37BF9">
            <w:pPr>
              <w:pStyle w:val="P68B1DB1-Normal11"/>
              <w:jc w:val="center"/>
              <w:rPr>
                <w:rFonts w:cs="Arial"/>
                <w:noProof/>
                <w:szCs w:val="20"/>
                <w:lang w:val="de-DE"/>
              </w:rPr>
            </w:pPr>
            <w:r w:rsidRPr="00170422">
              <w:rPr>
                <w:noProof/>
                <w:lang w:val="de-DE"/>
              </w:rPr>
              <w:t>ENTF</w:t>
            </w:r>
            <w:r w:rsidRPr="00170422">
              <w:rPr>
                <w:noProof/>
                <w:lang w:val="de-DE"/>
              </w:rPr>
              <w:t>ÄLLT.</w:t>
            </w:r>
          </w:p>
        </w:tc>
        <w:tc>
          <w:tcPr>
            <w:tcW w:w="1418" w:type="dxa"/>
            <w:shd w:val="clear" w:color="auto" w:fill="C6EFCE"/>
            <w:noWrap/>
            <w:vAlign w:val="center"/>
          </w:tcPr>
          <w:p w14:paraId="0ADCA02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4CF91332"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0A6237E3"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shd w:val="clear" w:color="auto" w:fill="C6EFCE"/>
            <w:noWrap/>
            <w:vAlign w:val="center"/>
          </w:tcPr>
          <w:p w14:paraId="7506C751" w14:textId="77777777" w:rsidR="0057163C" w:rsidRPr="00170422" w:rsidRDefault="00F37BF9">
            <w:pPr>
              <w:pStyle w:val="P68B1DB1-Normal12"/>
              <w:spacing w:after="120"/>
              <w:rPr>
                <w:rFonts w:cs="Arial"/>
                <w:noProof/>
                <w:lang w:val="de-DE"/>
              </w:rPr>
            </w:pPr>
            <w:r w:rsidRPr="00170422">
              <w:rPr>
                <w:noProof/>
                <w:lang w:val="de-DE"/>
              </w:rPr>
              <w:t>Es wurden drei Pilotprojekte zur Erprobung der Mobilität als Dienstleistungslösungen in technologisch fortgeschrittenen Metropolstädten durchgeführt.</w:t>
            </w:r>
          </w:p>
          <w:p w14:paraId="2019760C" w14:textId="77777777" w:rsidR="0057163C" w:rsidRPr="00170422" w:rsidRDefault="00F37BF9">
            <w:pPr>
              <w:pStyle w:val="P68B1DB1-Normal11"/>
              <w:spacing w:after="120"/>
              <w:rPr>
                <w:rFonts w:cs="Arial"/>
                <w:noProof/>
                <w:szCs w:val="20"/>
                <w:lang w:val="de-DE"/>
              </w:rPr>
            </w:pPr>
            <w:r w:rsidRPr="00170422">
              <w:rPr>
                <w:noProof/>
                <w:lang w:val="de-DE"/>
              </w:rPr>
              <w:t>Jede Lösung wurde während der Pilotphase von mindestens 1000 Nutzern verwe</w:t>
            </w:r>
            <w:r w:rsidRPr="00170422">
              <w:rPr>
                <w:noProof/>
                <w:lang w:val="de-DE"/>
              </w:rPr>
              <w:t>ndet.</w:t>
            </w:r>
          </w:p>
          <w:p w14:paraId="0BD27B83" w14:textId="15EFCB07" w:rsidR="0057163C" w:rsidRPr="00170422" w:rsidRDefault="00F37BF9">
            <w:pPr>
              <w:pStyle w:val="P68B1DB1-Normal12"/>
              <w:spacing w:after="120"/>
              <w:rPr>
                <w:rFonts w:cs="Arial"/>
                <w:noProof/>
                <w:lang w:val="de-DE"/>
              </w:rPr>
            </w:pPr>
            <w:r w:rsidRPr="00170422">
              <w:rPr>
                <w:noProof/>
                <w:lang w:val="de-DE"/>
              </w:rPr>
              <w:t>Jedes Pilotprojekt steht mindestens 1000 Nutzern offen, die auf freiwilliger Basis und auf eigene Kosten Zugang zu dem Projekt haben und die individuelle Bewertung vornehmen können, wobei die Möglichkeit besteht, Mobilitätsdienste unter den auf der P</w:t>
            </w:r>
            <w:r w:rsidRPr="00170422">
              <w:rPr>
                <w:noProof/>
                <w:lang w:val="de-DE"/>
              </w:rPr>
              <w:t>lattform verfügbaren Diensten auszuwählen und zu erwerben.</w:t>
            </w:r>
          </w:p>
          <w:p w14:paraId="24D8F934" w14:textId="77777777" w:rsidR="0057163C" w:rsidRPr="00170422" w:rsidRDefault="00F37BF9">
            <w:pPr>
              <w:pStyle w:val="P68B1DB1-Normal12"/>
              <w:spacing w:after="120"/>
              <w:rPr>
                <w:rFonts w:cs="Arial"/>
                <w:noProof/>
                <w:lang w:val="de-DE"/>
              </w:rPr>
            </w:pPr>
            <w:r w:rsidRPr="00170422">
              <w:rPr>
                <w:noProof/>
                <w:lang w:val="de-DE"/>
              </w:rPr>
              <w:t>Der MaaS-Dienst schlägt dem Bürger/Nutzer über eine einzige technologische Plattform die beste Reiselösung auf der Grundlage seiner Bedürfnisse vor, wobei die Integration der verschiedenen verfügba</w:t>
            </w:r>
            <w:r w:rsidRPr="00170422">
              <w:rPr>
                <w:noProof/>
                <w:lang w:val="de-DE"/>
              </w:rPr>
              <w:t>ren Mobilitätsoptionen (örtlicher öffentlicher Verkehr, gemeinsame Nutzung, Führerhaus, Autovermietung) genutzt wird, um das Reiseerlebnis sowohl in Bezug auf die Planung (intermodaler Routenplaner und Echtzeitinformationen über Zeiten und Entfernungen) al</w:t>
            </w:r>
            <w:r w:rsidRPr="00170422">
              <w:rPr>
                <w:noProof/>
                <w:lang w:val="de-DE"/>
              </w:rPr>
              <w:t>s auch in Bezug auf die Nutzung (Buchung und Bezahlung von Diensten) zu optimieren.</w:t>
            </w:r>
          </w:p>
        </w:tc>
      </w:tr>
      <w:tr w:rsidR="0057163C" w:rsidRPr="00170422" w14:paraId="559E5AA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65113" w14:textId="77777777" w:rsidR="0057163C" w:rsidRPr="00170422" w:rsidRDefault="00F37BF9">
            <w:pPr>
              <w:pStyle w:val="P68B1DB1-Normal11"/>
              <w:jc w:val="center"/>
              <w:rPr>
                <w:rFonts w:cs="Arial"/>
                <w:noProof/>
                <w:lang w:val="de-DE"/>
              </w:rPr>
            </w:pPr>
            <w:r w:rsidRPr="00170422">
              <w:rPr>
                <w:noProof/>
                <w:lang w:val="de-DE"/>
              </w:rPr>
              <w:t>M1C1-14bis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12A88" w14:textId="77777777" w:rsidR="0057163C" w:rsidRPr="00170422" w:rsidRDefault="00F37BF9">
            <w:pPr>
              <w:pStyle w:val="P68B1DB1-Normal11"/>
              <w:jc w:val="center"/>
              <w:rPr>
                <w:rFonts w:cs="Arial"/>
                <w:noProof/>
                <w:lang w:val="de-DE"/>
              </w:rPr>
            </w:pPr>
            <w:r w:rsidRPr="00170422">
              <w:rPr>
                <w:noProof/>
                <w:lang w:val="de-DE"/>
              </w:rPr>
              <w:t>Reform 1.9a: Reform zur Beschleunigung der Umsetzung der Kohäsionspolitik</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A97B12" w14:textId="77777777" w:rsidR="0057163C" w:rsidRPr="00170422" w:rsidRDefault="00F37BF9">
            <w:pPr>
              <w:pStyle w:val="P68B1DB1-Normal11"/>
              <w:jc w:val="center"/>
              <w:rPr>
                <w:rFonts w:cs="Arial"/>
                <w:noProof/>
                <w:lang w:val="de-DE"/>
              </w:rPr>
            </w:pPr>
            <w:r w:rsidRPr="00170422">
              <w:rPr>
                <w:noProof/>
                <w:lang w:val="de-DE"/>
              </w:rPr>
              <w:t xml:space="preserve">Meilenstein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34F4F" w14:textId="77777777" w:rsidR="0057163C" w:rsidRPr="00170422" w:rsidRDefault="00F37BF9">
            <w:pPr>
              <w:pStyle w:val="P68B1DB1-Normal11"/>
              <w:jc w:val="center"/>
              <w:rPr>
                <w:rFonts w:cs="Arial"/>
                <w:noProof/>
                <w:lang w:val="de-DE"/>
              </w:rPr>
            </w:pPr>
            <w:r w:rsidRPr="00170422">
              <w:rPr>
                <w:noProof/>
                <w:lang w:val="de-DE"/>
              </w:rPr>
              <w:t xml:space="preserve">Inkrafttreten der nationalen Rechtsvorschriften zur Beschleunigung der </w:t>
            </w:r>
            <w:r w:rsidRPr="00170422">
              <w:rPr>
                <w:noProof/>
                <w:lang w:val="de-DE"/>
              </w:rPr>
              <w:t>Umsetzung der Kohäsionspolitik</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66783" w14:textId="77777777" w:rsidR="0057163C" w:rsidRPr="00170422" w:rsidRDefault="00F37BF9">
            <w:pPr>
              <w:pStyle w:val="P68B1DB1-Normal12"/>
              <w:jc w:val="center"/>
              <w:rPr>
                <w:rFonts w:cs="Arial"/>
                <w:noProof/>
                <w:lang w:val="de-DE"/>
              </w:rPr>
            </w:pPr>
            <w:r w:rsidRPr="00170422">
              <w:rPr>
                <w:noProof/>
                <w:lang w:val="de-DE"/>
              </w:rPr>
              <w:t xml:space="preserve">Gesetzliche Bestimmung über das Inkrafttreten der nationalen Rechtsvorschriften zur Beschleunigung der Umsetzung der Kohäsionspolitik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9DCFF4" w14:textId="77777777" w:rsidR="0057163C" w:rsidRPr="00170422" w:rsidRDefault="00F37BF9">
            <w:pPr>
              <w:pStyle w:val="P68B1DB1-Normal11"/>
              <w:jc w:val="center"/>
              <w:rPr>
                <w:rFonts w:cs="Arial"/>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F826E" w14:textId="77777777" w:rsidR="0057163C" w:rsidRPr="00170422" w:rsidRDefault="00F37BF9">
            <w:pPr>
              <w:pStyle w:val="P68B1DB1-Normal11"/>
              <w:jc w:val="center"/>
              <w:rPr>
                <w:rFonts w:cs="Arial"/>
                <w:noProof/>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7B980B" w14:textId="77777777" w:rsidR="0057163C" w:rsidRPr="00170422" w:rsidRDefault="00F37BF9">
            <w:pPr>
              <w:pStyle w:val="P68B1DB1-Normal11"/>
              <w:jc w:val="center"/>
              <w:rPr>
                <w:rFonts w:cs="Arial"/>
                <w:noProof/>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4AEEB" w14:textId="77777777" w:rsidR="0057163C" w:rsidRPr="00170422" w:rsidRDefault="00F37BF9">
            <w:pPr>
              <w:pStyle w:val="P68B1DB1-Normal11"/>
              <w:jc w:val="center"/>
              <w:rPr>
                <w:rFonts w:cs="Arial"/>
                <w:noProof/>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74DCD" w14:textId="77777777" w:rsidR="0057163C" w:rsidRPr="00170422" w:rsidRDefault="00F37BF9">
            <w:pPr>
              <w:pStyle w:val="P68B1DB1-Normal11"/>
              <w:jc w:val="center"/>
              <w:rPr>
                <w:rFonts w:cs="Arial"/>
                <w:noProof/>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B0A8E9" w14:textId="77777777" w:rsidR="0057163C" w:rsidRPr="00170422" w:rsidRDefault="00F37BF9">
            <w:pPr>
              <w:pStyle w:val="P68B1DB1-Normal12"/>
              <w:spacing w:after="120"/>
              <w:rPr>
                <w:rFonts w:cs="Arial"/>
                <w:noProof/>
                <w:lang w:val="de-DE"/>
              </w:rPr>
            </w:pPr>
            <w:r w:rsidRPr="00170422">
              <w:rPr>
                <w:noProof/>
                <w:lang w:val="de-DE"/>
              </w:rPr>
              <w:t>Inkrafttreten nationaler Rechtsvorschriften, in dene</w:t>
            </w:r>
            <w:r w:rsidRPr="00170422">
              <w:rPr>
                <w:noProof/>
                <w:lang w:val="de-DE"/>
              </w:rPr>
              <w:t xml:space="preserve">n im Rahmen der Partnerschaftsvereinbarung und für alle laufenden Programme die notwendigen Vorkehrungen festgelegt werden, um die Umsetzung der Kohäsionspolitik zu beschleunigen und zu verbessern. </w:t>
            </w:r>
          </w:p>
          <w:p w14:paraId="364CBAA7" w14:textId="77777777" w:rsidR="0057163C" w:rsidRPr="00170422" w:rsidRDefault="00F37BF9">
            <w:pPr>
              <w:pStyle w:val="P68B1DB1-Normal12"/>
              <w:spacing w:after="120"/>
              <w:rPr>
                <w:rFonts w:cs="Arial"/>
                <w:noProof/>
                <w:lang w:val="de-DE"/>
              </w:rPr>
            </w:pPr>
            <w:r w:rsidRPr="00170422">
              <w:rPr>
                <w:noProof/>
                <w:lang w:val="de-DE"/>
              </w:rPr>
              <w:t>Um den institutionellen Dialog und die institutionelle Zu</w:t>
            </w:r>
            <w:r w:rsidRPr="00170422">
              <w:rPr>
                <w:noProof/>
                <w:lang w:val="de-DE"/>
              </w:rPr>
              <w:t>sammenarbeit sowie ein gemeinsames Verständnis der erforderlichen Maßnahmen sicherzustellen, richtet die Regierung bis zum 31. Dezember 2023 eine technische Arbeitsgruppe mit den Verwaltungsbehörden aller regionalen und nationalen Programme im Rahmen der C</w:t>
            </w:r>
            <w:r w:rsidRPr="00170422">
              <w:rPr>
                <w:noProof/>
                <w:lang w:val="de-DE"/>
              </w:rPr>
              <w:t>abina di regia PNRR ein, unbeschadet der nationalen Rechtsvorschriften über die einheitliche Konferenz.</w:t>
            </w:r>
          </w:p>
          <w:p w14:paraId="38A16180" w14:textId="77777777" w:rsidR="0057163C" w:rsidRPr="00170422" w:rsidRDefault="00F37BF9">
            <w:pPr>
              <w:pStyle w:val="P68B1DB1-Normal12"/>
              <w:spacing w:after="0" w:line="240" w:lineRule="auto"/>
              <w:rPr>
                <w:rFonts w:cs="Arial"/>
                <w:noProof/>
                <w:lang w:val="de-DE"/>
              </w:rPr>
            </w:pPr>
            <w:r w:rsidRPr="00170422">
              <w:rPr>
                <w:noProof/>
                <w:lang w:val="de-DE"/>
              </w:rPr>
              <w:t>In den Rechtsvorschriften werden die Vorkehrungen festgelegt, die erforderlich sind, um Interventionen in den folgenden strategischen Sektoren in strikt</w:t>
            </w:r>
            <w:r w:rsidRPr="00170422">
              <w:rPr>
                <w:noProof/>
                <w:lang w:val="de-DE"/>
              </w:rPr>
              <w:t>er Übereinstimmung mit den Planungsdokumenten, die für die einschlägigen grundlegenden Voraussetzungen festgelegt wurden, Vorrang einzuräumen und sie konkret umzusetzen, einschließlich spezifischer Maßnahmen zur Stärkung der Verwaltungskapazitäten in diese</w:t>
            </w:r>
            <w:r w:rsidRPr="00170422">
              <w:rPr>
                <w:noProof/>
                <w:lang w:val="de-DE"/>
              </w:rPr>
              <w:t>n Sektoren:</w:t>
            </w:r>
          </w:p>
          <w:p w14:paraId="22263442" w14:textId="77777777" w:rsidR="0057163C" w:rsidRPr="00170422" w:rsidRDefault="00F37BF9">
            <w:pPr>
              <w:pStyle w:val="P68B1DB1-Normal11"/>
              <w:tabs>
                <w:tab w:val="left" w:pos="195"/>
              </w:tabs>
              <w:spacing w:after="0" w:line="240" w:lineRule="auto"/>
              <w:rPr>
                <w:rFonts w:cs="Arial"/>
                <w:noProof/>
                <w:lang w:val="de-DE"/>
              </w:rPr>
            </w:pPr>
            <w:r w:rsidRPr="00170422">
              <w:rPr>
                <w:noProof/>
                <w:lang w:val="de-DE"/>
              </w:rPr>
              <w:t>—</w:t>
            </w:r>
            <w:r w:rsidRPr="00170422">
              <w:rPr>
                <w:noProof/>
                <w:lang w:val="de-DE"/>
              </w:rPr>
              <w:tab/>
              <w:t>Wasser;</w:t>
            </w:r>
          </w:p>
          <w:p w14:paraId="2EAF89C4" w14:textId="77777777" w:rsidR="0057163C" w:rsidRPr="00170422" w:rsidRDefault="00F37BF9">
            <w:pPr>
              <w:pStyle w:val="P68B1DB1-Normal11"/>
              <w:tabs>
                <w:tab w:val="left" w:pos="195"/>
              </w:tabs>
              <w:spacing w:after="0" w:line="240" w:lineRule="auto"/>
              <w:rPr>
                <w:rFonts w:cs="Arial"/>
                <w:noProof/>
                <w:lang w:val="de-DE"/>
              </w:rPr>
            </w:pPr>
            <w:r w:rsidRPr="00170422">
              <w:rPr>
                <w:noProof/>
                <w:lang w:val="de-DE"/>
              </w:rPr>
              <w:t>—</w:t>
            </w:r>
            <w:r w:rsidRPr="00170422">
              <w:rPr>
                <w:noProof/>
                <w:lang w:val="de-DE"/>
              </w:rPr>
              <w:tab/>
              <w:t>Infrastrukturen für hydrogeologische Risiken und Umweltschutz;</w:t>
            </w:r>
          </w:p>
          <w:p w14:paraId="1F44EA1D" w14:textId="77777777" w:rsidR="0057163C" w:rsidRPr="00170422" w:rsidRDefault="00F37BF9">
            <w:pPr>
              <w:pStyle w:val="P68B1DB1-Normal11"/>
              <w:tabs>
                <w:tab w:val="left" w:pos="195"/>
              </w:tabs>
              <w:spacing w:after="0" w:line="240" w:lineRule="auto"/>
              <w:rPr>
                <w:rFonts w:cs="Arial"/>
                <w:noProof/>
                <w:lang w:val="de-DE"/>
              </w:rPr>
            </w:pPr>
            <w:r w:rsidRPr="00170422">
              <w:rPr>
                <w:noProof/>
                <w:lang w:val="de-DE"/>
              </w:rPr>
              <w:t>—</w:t>
            </w:r>
            <w:r w:rsidRPr="00170422">
              <w:rPr>
                <w:noProof/>
                <w:lang w:val="de-DE"/>
              </w:rPr>
              <w:tab/>
              <w:t>Abfall;</w:t>
            </w:r>
          </w:p>
          <w:p w14:paraId="31D62012" w14:textId="77777777" w:rsidR="0057163C" w:rsidRPr="00170422" w:rsidRDefault="00F37BF9">
            <w:pPr>
              <w:pStyle w:val="P68B1DB1-Normal11"/>
              <w:tabs>
                <w:tab w:val="left" w:pos="195"/>
              </w:tabs>
              <w:spacing w:after="0" w:line="240" w:lineRule="auto"/>
              <w:rPr>
                <w:rFonts w:cs="Arial"/>
                <w:noProof/>
                <w:lang w:val="de-DE"/>
              </w:rPr>
            </w:pPr>
            <w:r w:rsidRPr="00170422">
              <w:rPr>
                <w:noProof/>
                <w:lang w:val="de-DE"/>
              </w:rPr>
              <w:t>—</w:t>
            </w:r>
            <w:r w:rsidRPr="00170422">
              <w:rPr>
                <w:noProof/>
                <w:lang w:val="de-DE"/>
              </w:rPr>
              <w:tab/>
              <w:t>Verkehr und nachhaltige Mobilität;</w:t>
            </w:r>
          </w:p>
          <w:p w14:paraId="7E991B97" w14:textId="77777777" w:rsidR="0057163C" w:rsidRPr="00170422" w:rsidRDefault="00F37BF9">
            <w:pPr>
              <w:pStyle w:val="P68B1DB1-Normal11"/>
              <w:tabs>
                <w:tab w:val="left" w:pos="195"/>
              </w:tabs>
              <w:spacing w:after="0" w:line="240" w:lineRule="auto"/>
              <w:rPr>
                <w:rFonts w:cs="Arial"/>
                <w:noProof/>
                <w:lang w:val="de-DE"/>
              </w:rPr>
            </w:pPr>
            <w:r w:rsidRPr="00170422">
              <w:rPr>
                <w:noProof/>
                <w:lang w:val="de-DE"/>
              </w:rPr>
              <w:t>—</w:t>
            </w:r>
            <w:r w:rsidRPr="00170422">
              <w:rPr>
                <w:noProof/>
                <w:lang w:val="de-DE"/>
              </w:rPr>
              <w:tab/>
              <w:t>Energie sowie</w:t>
            </w:r>
          </w:p>
          <w:p w14:paraId="52C473E1" w14:textId="77777777" w:rsidR="0057163C" w:rsidRPr="00170422" w:rsidRDefault="00F37BF9">
            <w:pPr>
              <w:pStyle w:val="P68B1DB1-Normal11"/>
              <w:tabs>
                <w:tab w:val="left" w:pos="195"/>
              </w:tabs>
              <w:spacing w:after="0" w:line="240" w:lineRule="auto"/>
              <w:rPr>
                <w:rFonts w:cs="Arial"/>
                <w:noProof/>
                <w:lang w:val="de-DE"/>
              </w:rPr>
            </w:pPr>
            <w:r w:rsidRPr="00170422">
              <w:rPr>
                <w:noProof/>
                <w:lang w:val="de-DE"/>
              </w:rPr>
              <w:t>—</w:t>
            </w:r>
            <w:r w:rsidRPr="00170422">
              <w:rPr>
                <w:noProof/>
                <w:lang w:val="de-DE"/>
              </w:rPr>
              <w:tab/>
              <w:t xml:space="preserve">Unterstützung der Unternehmensentwicklung und der Attraktivität, auch für den digitalen und den </w:t>
            </w:r>
            <w:r w:rsidRPr="00170422">
              <w:rPr>
                <w:noProof/>
                <w:lang w:val="de-DE"/>
              </w:rPr>
              <w:t>ökologischen Wandel.</w:t>
            </w:r>
          </w:p>
        </w:tc>
      </w:tr>
      <w:tr w:rsidR="0057163C" w:rsidRPr="00170422" w14:paraId="16AAA73C" w14:textId="77777777" w:rsidTr="00D64E63">
        <w:trPr>
          <w:trHeight w:val="309"/>
        </w:trPr>
        <w:tc>
          <w:tcPr>
            <w:tcW w:w="1135" w:type="dxa"/>
            <w:shd w:val="clear" w:color="auto" w:fill="C6EFCE"/>
            <w:noWrap/>
            <w:vAlign w:val="center"/>
          </w:tcPr>
          <w:p w14:paraId="370973D1" w14:textId="77777777" w:rsidR="0057163C" w:rsidRPr="00170422" w:rsidRDefault="00F37BF9">
            <w:pPr>
              <w:pStyle w:val="P68B1DB1-Normal11"/>
              <w:jc w:val="center"/>
              <w:rPr>
                <w:rFonts w:cs="Arial"/>
                <w:noProof/>
                <w:szCs w:val="20"/>
                <w:lang w:val="de-DE"/>
              </w:rPr>
            </w:pPr>
            <w:r w:rsidRPr="00170422">
              <w:rPr>
                <w:noProof/>
                <w:lang w:val="de-DE"/>
              </w:rPr>
              <w:t>M1C1-15</w:t>
            </w:r>
          </w:p>
        </w:tc>
        <w:tc>
          <w:tcPr>
            <w:tcW w:w="1417" w:type="dxa"/>
            <w:shd w:val="clear" w:color="auto" w:fill="C6EFCE"/>
            <w:noWrap/>
            <w:vAlign w:val="center"/>
          </w:tcPr>
          <w:p w14:paraId="00ACF205" w14:textId="77777777" w:rsidR="0057163C" w:rsidRPr="00170422" w:rsidRDefault="00F37BF9">
            <w:pPr>
              <w:pStyle w:val="P68B1DB1-Normal11"/>
              <w:jc w:val="center"/>
              <w:rPr>
                <w:rFonts w:cs="Arial"/>
                <w:noProof/>
                <w:szCs w:val="20"/>
                <w:lang w:val="de-DE"/>
              </w:rPr>
            </w:pPr>
            <w:r w:rsidRPr="00170422">
              <w:rPr>
                <w:noProof/>
                <w:lang w:val="de-DE"/>
              </w:rPr>
              <w:t>Investition 1.6.6: Digitalisierung der Finanzpolizei</w:t>
            </w:r>
          </w:p>
        </w:tc>
        <w:tc>
          <w:tcPr>
            <w:tcW w:w="1276" w:type="dxa"/>
            <w:shd w:val="clear" w:color="auto" w:fill="C6EFCE"/>
            <w:noWrap/>
            <w:vAlign w:val="center"/>
          </w:tcPr>
          <w:p w14:paraId="05CD5C2C"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3255B9DC" w14:textId="77777777" w:rsidR="0057163C" w:rsidRPr="00170422" w:rsidRDefault="00F37BF9">
            <w:pPr>
              <w:pStyle w:val="P68B1DB1-Normal11"/>
              <w:jc w:val="center"/>
              <w:rPr>
                <w:rFonts w:cs="Arial"/>
                <w:noProof/>
                <w:szCs w:val="20"/>
                <w:lang w:val="de-DE"/>
              </w:rPr>
            </w:pPr>
            <w:r w:rsidRPr="00170422">
              <w:rPr>
                <w:noProof/>
                <w:lang w:val="de-DE"/>
              </w:rPr>
              <w:t>Finanzpolizei – Erwerb professioneller datenwissenschaftlicher Dienstleistungen T2</w:t>
            </w:r>
          </w:p>
        </w:tc>
        <w:tc>
          <w:tcPr>
            <w:tcW w:w="1559" w:type="dxa"/>
            <w:shd w:val="clear" w:color="auto" w:fill="C6EFCE"/>
            <w:noWrap/>
            <w:vAlign w:val="center"/>
          </w:tcPr>
          <w:p w14:paraId="1DC802E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1D24012B"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094D9505" w14:textId="77777777" w:rsidR="0057163C" w:rsidRPr="00170422" w:rsidRDefault="00F37BF9">
            <w:pPr>
              <w:pStyle w:val="P68B1DB1-Normal11"/>
              <w:jc w:val="center"/>
              <w:rPr>
                <w:rFonts w:cs="Arial"/>
                <w:noProof/>
                <w:szCs w:val="20"/>
                <w:lang w:val="de-DE"/>
              </w:rPr>
            </w:pPr>
            <w:r w:rsidRPr="00170422">
              <w:rPr>
                <w:noProof/>
                <w:lang w:val="de-DE"/>
              </w:rPr>
              <w:t>5</w:t>
            </w:r>
          </w:p>
        </w:tc>
        <w:tc>
          <w:tcPr>
            <w:tcW w:w="1418" w:type="dxa"/>
            <w:shd w:val="clear" w:color="auto" w:fill="C6EFCE"/>
            <w:noWrap/>
            <w:vAlign w:val="center"/>
          </w:tcPr>
          <w:p w14:paraId="005A9A1A" w14:textId="77777777" w:rsidR="0057163C" w:rsidRPr="00170422" w:rsidRDefault="00F37BF9">
            <w:pPr>
              <w:pStyle w:val="P68B1DB1-Normal11"/>
              <w:jc w:val="center"/>
              <w:rPr>
                <w:rFonts w:cs="Arial"/>
                <w:noProof/>
                <w:szCs w:val="20"/>
                <w:lang w:val="de-DE"/>
              </w:rPr>
            </w:pPr>
            <w:r w:rsidRPr="00170422">
              <w:rPr>
                <w:noProof/>
                <w:lang w:val="de-DE"/>
              </w:rPr>
              <w:t>10</w:t>
            </w:r>
          </w:p>
        </w:tc>
        <w:tc>
          <w:tcPr>
            <w:tcW w:w="992" w:type="dxa"/>
            <w:shd w:val="clear" w:color="auto" w:fill="C6EFCE"/>
            <w:noWrap/>
            <w:vAlign w:val="center"/>
          </w:tcPr>
          <w:p w14:paraId="2ED698E6"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shd w:val="clear" w:color="auto" w:fill="C6EFCE"/>
            <w:noWrap/>
            <w:vAlign w:val="center"/>
          </w:tcPr>
          <w:p w14:paraId="79B46949"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tcPr>
          <w:p w14:paraId="19380F2B" w14:textId="77777777" w:rsidR="0057163C" w:rsidRPr="00170422" w:rsidRDefault="00F37BF9">
            <w:pPr>
              <w:pStyle w:val="P68B1DB1-Normal12"/>
              <w:spacing w:after="120"/>
              <w:rPr>
                <w:rFonts w:cs="Arial"/>
                <w:noProof/>
                <w:lang w:val="de-DE"/>
              </w:rPr>
            </w:pPr>
            <w:r w:rsidRPr="00170422">
              <w:rPr>
                <w:noProof/>
                <w:lang w:val="de-DE"/>
              </w:rPr>
              <w:t>Erwerb professioneller datenwissenschaftlicher Dienstleistungen durch Vertrag mit einem Beratungsdienstleister, der fünf zusätzliche Humanressourcen (insgesamt zehn) umfasst, die sowohl für die Konzeption der Datenarchitektur als auch für die Erstellung de</w:t>
            </w:r>
            <w:r w:rsidRPr="00170422">
              <w:rPr>
                <w:noProof/>
                <w:lang w:val="de-DE"/>
              </w:rPr>
              <w:t>r Algorithmen des Referats Big-Data-Analyse zuständig sind. Veröffentlichung eines vergebenen Auftrags für den Erwerb von datenwissenschaftlichen Dienstleistungen im Einklang mit den technischen Leitlinien „Vermeidung erheblicher Beeinträchtigungen“ (2021/</w:t>
            </w:r>
            <w:r w:rsidRPr="00170422">
              <w:rPr>
                <w:noProof/>
                <w:lang w:val="de-DE"/>
              </w:rPr>
              <w:t>C58/01) durch die Verwendung einer Ausschlussliste und der Anforderung der Einhaltung der einschlägigen EU- und nationalen Umweltvorschriften sowie die landesweite Veröffentlichung neuer Instrumente im ersten Analysemodul (IT-Backbone).</w:t>
            </w:r>
          </w:p>
        </w:tc>
      </w:tr>
      <w:tr w:rsidR="0057163C" w:rsidRPr="00170422" w14:paraId="771E9DE4" w14:textId="77777777" w:rsidTr="00D64E63">
        <w:trPr>
          <w:trHeight w:val="309"/>
        </w:trPr>
        <w:tc>
          <w:tcPr>
            <w:tcW w:w="1135" w:type="dxa"/>
            <w:shd w:val="clear" w:color="auto" w:fill="C6EFCE"/>
            <w:noWrap/>
            <w:vAlign w:val="center"/>
            <w:hideMark/>
          </w:tcPr>
          <w:p w14:paraId="2BDE6EA2" w14:textId="77777777" w:rsidR="0057163C" w:rsidRPr="00170422" w:rsidRDefault="00F37BF9">
            <w:pPr>
              <w:pStyle w:val="P68B1DB1-Normal11"/>
              <w:jc w:val="center"/>
              <w:rPr>
                <w:rFonts w:cs="Arial"/>
                <w:noProof/>
                <w:szCs w:val="20"/>
                <w:lang w:val="de-DE"/>
              </w:rPr>
            </w:pPr>
            <w:r w:rsidRPr="00170422">
              <w:rPr>
                <w:noProof/>
                <w:lang w:val="de-DE"/>
              </w:rPr>
              <w:t>M1C1-17</w:t>
            </w:r>
          </w:p>
        </w:tc>
        <w:tc>
          <w:tcPr>
            <w:tcW w:w="1417" w:type="dxa"/>
            <w:shd w:val="clear" w:color="auto" w:fill="C6EFCE"/>
            <w:noWrap/>
            <w:vAlign w:val="center"/>
            <w:hideMark/>
          </w:tcPr>
          <w:p w14:paraId="0F46FB6C" w14:textId="77777777" w:rsidR="0057163C" w:rsidRPr="00170422" w:rsidRDefault="00F37BF9">
            <w:pPr>
              <w:pStyle w:val="P68B1DB1-Normal11"/>
              <w:jc w:val="center"/>
              <w:rPr>
                <w:rFonts w:cs="Arial"/>
                <w:noProof/>
                <w:szCs w:val="20"/>
                <w:lang w:val="de-DE"/>
              </w:rPr>
            </w:pPr>
            <w:r w:rsidRPr="00170422">
              <w:rPr>
                <w:noProof/>
                <w:lang w:val="de-DE"/>
              </w:rPr>
              <w:t>Investition 1.1: Digitale Infrastruktur</w:t>
            </w:r>
          </w:p>
        </w:tc>
        <w:tc>
          <w:tcPr>
            <w:tcW w:w="1276" w:type="dxa"/>
            <w:shd w:val="clear" w:color="auto" w:fill="C6EFCE"/>
            <w:noWrap/>
            <w:vAlign w:val="center"/>
            <w:hideMark/>
          </w:tcPr>
          <w:p w14:paraId="3128050C"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hideMark/>
          </w:tcPr>
          <w:p w14:paraId="67567AA5" w14:textId="77777777" w:rsidR="0057163C" w:rsidRPr="0085607C" w:rsidRDefault="00F37BF9">
            <w:pPr>
              <w:pStyle w:val="P68B1DB1-Normal12"/>
              <w:jc w:val="center"/>
              <w:rPr>
                <w:rFonts w:cs="Arial"/>
                <w:noProof/>
                <w:lang w:val="it-IT"/>
              </w:rPr>
            </w:pPr>
            <w:r w:rsidRPr="0085607C">
              <w:rPr>
                <w:noProof/>
                <w:lang w:val="it-IT"/>
              </w:rPr>
              <w:t>Migration zum Polo Strategico Nazionale T1</w:t>
            </w:r>
          </w:p>
        </w:tc>
        <w:tc>
          <w:tcPr>
            <w:tcW w:w="1559" w:type="dxa"/>
            <w:shd w:val="clear" w:color="auto" w:fill="C6EFCE"/>
            <w:noWrap/>
            <w:vAlign w:val="center"/>
          </w:tcPr>
          <w:p w14:paraId="7BABEB3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hideMark/>
          </w:tcPr>
          <w:p w14:paraId="0D6CD1E4"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hideMark/>
          </w:tcPr>
          <w:p w14:paraId="22BCD100"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hideMark/>
          </w:tcPr>
          <w:p w14:paraId="40AAB72E"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992" w:type="dxa"/>
            <w:shd w:val="clear" w:color="auto" w:fill="C6EFCE"/>
            <w:noWrap/>
            <w:vAlign w:val="center"/>
            <w:hideMark/>
          </w:tcPr>
          <w:p w14:paraId="704232CE" w14:textId="77777777" w:rsidR="0057163C" w:rsidRPr="00170422" w:rsidRDefault="00F37BF9">
            <w:pPr>
              <w:pStyle w:val="P68B1DB1-Normal11"/>
              <w:jc w:val="center"/>
              <w:rPr>
                <w:rFonts w:cs="Arial"/>
                <w:noProof/>
                <w:szCs w:val="20"/>
                <w:lang w:val="de-DE"/>
              </w:rPr>
            </w:pPr>
            <w:r w:rsidRPr="00170422">
              <w:rPr>
                <w:noProof/>
                <w:lang w:val="de-DE"/>
              </w:rPr>
              <w:t>Q3</w:t>
            </w:r>
          </w:p>
        </w:tc>
        <w:tc>
          <w:tcPr>
            <w:tcW w:w="852" w:type="dxa"/>
            <w:shd w:val="clear" w:color="auto" w:fill="C6EFCE"/>
            <w:noWrap/>
            <w:vAlign w:val="center"/>
            <w:hideMark/>
          </w:tcPr>
          <w:p w14:paraId="36A3F389"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hideMark/>
          </w:tcPr>
          <w:p w14:paraId="4AC29B6C" w14:textId="77777777" w:rsidR="0057163C" w:rsidRPr="00170422" w:rsidRDefault="00F37BF9">
            <w:pPr>
              <w:pStyle w:val="P68B1DB1-Normal12"/>
              <w:spacing w:after="120"/>
              <w:rPr>
                <w:rFonts w:cs="Arial"/>
                <w:noProof/>
                <w:lang w:val="de-DE"/>
              </w:rPr>
            </w:pPr>
            <w:r w:rsidRPr="00170422">
              <w:rPr>
                <w:noProof/>
                <w:lang w:val="de-DE"/>
              </w:rPr>
              <w:t xml:space="preserve">Mindestens 100 zentrale öffentliche Verwaltungen und lokale Gesundheitsbehörden (Aziende Sanitarie Locali/Aziende ospedaliere) müssen </w:t>
            </w:r>
            <w:r w:rsidRPr="00170422">
              <w:rPr>
                <w:noProof/>
                <w:lang w:val="de-DE"/>
              </w:rPr>
              <w:t>mindestens einen Dienst der Verwaltung (einschließlich Systeme, Datensätze und Anwendungen) vollständig in die Infrastruktur (Polo Strategico Nazionale) migrieren. Vollständig migriert kann für jede Einrichtung eine Mischung aus Folgendem bedeuten: nicht-C</w:t>
            </w:r>
            <w:r w:rsidRPr="00170422">
              <w:rPr>
                <w:noProof/>
                <w:lang w:val="de-DE"/>
              </w:rPr>
              <w:t>loud-fähig bei reinem Hosting, Aufzugs- und Verlagerungsbewegungen, Aufrüstung auf Infrastructure-as-a-Service (IaaS), Platform-as-a-Service (Paas) oder Software-as-a-Service (SaaS). Die Migration zum Polo Strategico Nazionale kann je nach dem Stand der Te</w:t>
            </w:r>
            <w:r w:rsidRPr="00170422">
              <w:rPr>
                <w:noProof/>
                <w:lang w:val="de-DE"/>
              </w:rPr>
              <w:t>chnik der IT-Architektur der Software vor Ort, die jeder migrierenden öffentlichen Verwaltung gehört, auf unterschiedliche Weise erfolgen. Diese Strategien können von reinen Hosting- und Aufzugsmigrationen für nicht Cloud-fähige Software bis hin zu einer M</w:t>
            </w:r>
            <w:r w:rsidRPr="00170422">
              <w:rPr>
                <w:noProof/>
                <w:lang w:val="de-DE"/>
              </w:rPr>
              <w:t>igration zu IaaS, PaaS oder SaaS für Cloud-fähige Software reichen. Das PSN bietet jeder migrierenden öffentlichen Verwaltung alle Migrationsstrategien an, die geeignet sind, das Ziel „Migration in die Polo Strategico Nazionale“ zu berücksichtigen.</w:t>
            </w:r>
          </w:p>
          <w:p w14:paraId="26D1511B" w14:textId="77777777" w:rsidR="0057163C" w:rsidRPr="00170422" w:rsidRDefault="00F37BF9">
            <w:pPr>
              <w:pStyle w:val="P68B1DB1-Normal11"/>
              <w:rPr>
                <w:rFonts w:cs="Arial"/>
                <w:noProof/>
                <w:szCs w:val="20"/>
                <w:lang w:val="de-DE"/>
              </w:rPr>
            </w:pPr>
            <w:r w:rsidRPr="00170422">
              <w:rPr>
                <w:noProof/>
                <w:lang w:val="de-DE"/>
              </w:rPr>
              <w:t>Die öff</w:t>
            </w:r>
            <w:r w:rsidRPr="00170422">
              <w:rPr>
                <w:noProof/>
                <w:lang w:val="de-DE"/>
              </w:rPr>
              <w:t>entlichen Verwaltungen insgesamt „in den Anwendungsbereich“ fallen unter anderem:</w:t>
            </w:r>
          </w:p>
          <w:p w14:paraId="47214E9A" w14:textId="77777777" w:rsidR="0057163C" w:rsidRPr="00170422" w:rsidRDefault="00F37BF9">
            <w:pPr>
              <w:pStyle w:val="P68B1DB1-Normal12"/>
              <w:rPr>
                <w:rFonts w:cs="Arial"/>
                <w:noProof/>
                <w:lang w:val="de-DE"/>
              </w:rPr>
            </w:pPr>
            <w:r w:rsidRPr="00170422">
              <w:rPr>
                <w:noProof/>
                <w:lang w:val="de-DE"/>
              </w:rPr>
              <w:t>• Zentrale öffentliche Verwaltungen, auf die der größte Teil der Ausgaben für Informations- und Kommunikationstechnologien (IKT) entfällt (z. B. das Nationale Institut für so</w:t>
            </w:r>
            <w:r w:rsidRPr="00170422">
              <w:rPr>
                <w:noProof/>
                <w:lang w:val="de-DE"/>
              </w:rPr>
              <w:t>ziale Sicherheit und das Justizministerium);</w:t>
            </w:r>
          </w:p>
          <w:p w14:paraId="63D142F5" w14:textId="77777777" w:rsidR="0057163C" w:rsidRPr="00170422" w:rsidRDefault="00F37BF9">
            <w:pPr>
              <w:pStyle w:val="P68B1DB1-Normal12"/>
              <w:rPr>
                <w:rFonts w:cs="Arial"/>
                <w:noProof/>
                <w:lang w:val="de-DE"/>
              </w:rPr>
            </w:pPr>
            <w:r w:rsidRPr="00170422">
              <w:rPr>
                <w:noProof/>
                <w:lang w:val="de-DE"/>
              </w:rPr>
              <w:t>• Zentrale öffentliche Verwaltungen, die Daten in veralteten Rechenzentren hosten, wie aus einer kürzlich durchgeführten Umfrage zur „Cloud-Vorbereitung“ hervorgeht;</w:t>
            </w:r>
          </w:p>
          <w:p w14:paraId="6E02A91D" w14:textId="77777777" w:rsidR="0057163C" w:rsidRPr="00170422" w:rsidRDefault="00F37BF9">
            <w:pPr>
              <w:pStyle w:val="P68B1DB1-Normal12"/>
              <w:rPr>
                <w:rFonts w:cs="Arial"/>
                <w:noProof/>
                <w:lang w:val="de-DE"/>
              </w:rPr>
            </w:pPr>
            <w:r w:rsidRPr="00170422">
              <w:rPr>
                <w:noProof/>
                <w:lang w:val="de-DE"/>
              </w:rPr>
              <w:t>• Lokale Gesundheitsbehörden (Aziende Sanitar</w:t>
            </w:r>
            <w:r w:rsidRPr="00170422">
              <w:rPr>
                <w:noProof/>
                <w:lang w:val="de-DE"/>
              </w:rPr>
              <w:t>ie Locali/Aziende Ospedaliere), die in erster Linie in Mittel- und Süditalien angesiedelt sind, ohne eine angemessene Infrastruktur zur Gewährleistung der Datensicherheit.</w:t>
            </w:r>
          </w:p>
        </w:tc>
      </w:tr>
      <w:tr w:rsidR="0057163C" w:rsidRPr="00170422" w14:paraId="56078194" w14:textId="77777777" w:rsidTr="00D64E63">
        <w:trPr>
          <w:trHeight w:val="309"/>
        </w:trPr>
        <w:tc>
          <w:tcPr>
            <w:tcW w:w="1135" w:type="dxa"/>
            <w:shd w:val="clear" w:color="auto" w:fill="C6EFCE"/>
            <w:noWrap/>
            <w:vAlign w:val="center"/>
          </w:tcPr>
          <w:p w14:paraId="6C9C2471" w14:textId="77777777" w:rsidR="0057163C" w:rsidRPr="00170422" w:rsidRDefault="00F37BF9">
            <w:pPr>
              <w:pStyle w:val="P68B1DB1-Normal11"/>
              <w:jc w:val="center"/>
              <w:rPr>
                <w:rFonts w:cs="Arial"/>
                <w:noProof/>
                <w:szCs w:val="20"/>
                <w:lang w:val="de-DE"/>
              </w:rPr>
            </w:pPr>
            <w:r w:rsidRPr="00170422">
              <w:rPr>
                <w:noProof/>
                <w:lang w:val="de-DE"/>
              </w:rPr>
              <w:t>M1C1-18</w:t>
            </w:r>
          </w:p>
        </w:tc>
        <w:tc>
          <w:tcPr>
            <w:tcW w:w="1417" w:type="dxa"/>
            <w:shd w:val="clear" w:color="auto" w:fill="C6EFCE"/>
            <w:noWrap/>
            <w:vAlign w:val="center"/>
          </w:tcPr>
          <w:p w14:paraId="3D2F038E" w14:textId="77777777" w:rsidR="0057163C" w:rsidRPr="00170422" w:rsidRDefault="00F37BF9">
            <w:pPr>
              <w:pStyle w:val="P68B1DB1-Normal11"/>
              <w:jc w:val="center"/>
              <w:rPr>
                <w:rFonts w:cs="Arial"/>
                <w:noProof/>
                <w:szCs w:val="20"/>
                <w:lang w:val="de-DE"/>
              </w:rPr>
            </w:pPr>
            <w:r w:rsidRPr="00170422">
              <w:rPr>
                <w:noProof/>
                <w:lang w:val="de-DE"/>
              </w:rPr>
              <w:t>Investition 1.3.1: Nationale digitale Datenplattform</w:t>
            </w:r>
          </w:p>
        </w:tc>
        <w:tc>
          <w:tcPr>
            <w:tcW w:w="1276" w:type="dxa"/>
            <w:shd w:val="clear" w:color="auto" w:fill="C6EFCE"/>
            <w:noWrap/>
            <w:vAlign w:val="center"/>
          </w:tcPr>
          <w:p w14:paraId="4FA825D8"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00C09F59" w14:textId="77777777" w:rsidR="0057163C" w:rsidRPr="00170422" w:rsidRDefault="00F37BF9">
            <w:pPr>
              <w:pStyle w:val="P68B1DB1-Normal11"/>
              <w:jc w:val="center"/>
              <w:rPr>
                <w:rFonts w:cs="Arial"/>
                <w:noProof/>
                <w:szCs w:val="20"/>
                <w:lang w:val="de-DE"/>
              </w:rPr>
            </w:pPr>
            <w:r w:rsidRPr="00170422">
              <w:rPr>
                <w:noProof/>
                <w:lang w:val="de-DE"/>
              </w:rPr>
              <w:t xml:space="preserve">API auf der </w:t>
            </w:r>
            <w:r w:rsidRPr="00170422">
              <w:rPr>
                <w:noProof/>
                <w:lang w:val="de-DE"/>
              </w:rPr>
              <w:t>nationalen digitalen Datenplattform T1</w:t>
            </w:r>
          </w:p>
        </w:tc>
        <w:tc>
          <w:tcPr>
            <w:tcW w:w="1559" w:type="dxa"/>
            <w:shd w:val="clear" w:color="auto" w:fill="C6EFCE"/>
            <w:noWrap/>
            <w:vAlign w:val="center"/>
          </w:tcPr>
          <w:p w14:paraId="78ADBE9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3C74CB72"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67ADA2B6"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tcPr>
          <w:p w14:paraId="0B481934" w14:textId="77777777" w:rsidR="0057163C" w:rsidRPr="00170422" w:rsidRDefault="00F37BF9">
            <w:pPr>
              <w:pStyle w:val="P68B1DB1-Normal11"/>
              <w:jc w:val="center"/>
              <w:rPr>
                <w:rFonts w:cs="Arial"/>
                <w:noProof/>
                <w:szCs w:val="20"/>
                <w:lang w:val="de-DE"/>
              </w:rPr>
            </w:pPr>
            <w:r w:rsidRPr="00170422">
              <w:rPr>
                <w:noProof/>
                <w:lang w:val="de-DE"/>
              </w:rPr>
              <w:t>3 000</w:t>
            </w:r>
          </w:p>
        </w:tc>
        <w:tc>
          <w:tcPr>
            <w:tcW w:w="992" w:type="dxa"/>
            <w:shd w:val="clear" w:color="auto" w:fill="C6EFCE"/>
            <w:noWrap/>
            <w:vAlign w:val="center"/>
          </w:tcPr>
          <w:p w14:paraId="67FBA7BF"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3C5F2BA5"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tcPr>
          <w:p w14:paraId="2A1A29F1" w14:textId="77777777" w:rsidR="0057163C" w:rsidRPr="00170422" w:rsidRDefault="00F37BF9">
            <w:pPr>
              <w:pStyle w:val="P68B1DB1-Normal12"/>
              <w:spacing w:after="120"/>
              <w:rPr>
                <w:rFonts w:cs="Arial"/>
                <w:noProof/>
                <w:lang w:val="de-DE"/>
              </w:rPr>
            </w:pPr>
            <w:r w:rsidRPr="00170422">
              <w:rPr>
                <w:noProof/>
                <w:lang w:val="de-DE"/>
              </w:rPr>
              <w:t xml:space="preserve">Dieses Ziel besteht darin, mindestens 3000 Anwendungsprogrammierschnittstellen (API) zu erreichen, die von den öffentlichen Verwaltungen eingerichtet, im API-Katalog </w:t>
            </w:r>
            <w:r w:rsidRPr="00170422">
              <w:rPr>
                <w:noProof/>
                <w:lang w:val="de-DE"/>
              </w:rPr>
              <w:t>veröffentlicht und in die nationale digitale Datenplattform integriert werden. Die veröffentlichten APIs betreffen mehrere Bereiche, zu denen unter anderem Folgendes gehören kann:</w:t>
            </w:r>
          </w:p>
          <w:p w14:paraId="48C7C397" w14:textId="77777777" w:rsidR="0057163C" w:rsidRPr="00170422" w:rsidRDefault="00F37BF9">
            <w:pPr>
              <w:spacing w:after="120"/>
              <w:rPr>
                <w:rFonts w:ascii="Arial Narrow" w:hAnsi="Arial Narrow" w:cs="Arial"/>
                <w:noProof/>
                <w:color w:val="006100"/>
                <w:sz w:val="20"/>
                <w:szCs w:val="20"/>
                <w:lang w:val="de-DE"/>
              </w:rPr>
            </w:pPr>
            <w:r w:rsidRPr="00170422">
              <w:rPr>
                <w:rFonts w:ascii="Arial Narrow" w:hAnsi="Arial Narrow"/>
                <w:noProof/>
                <w:color w:val="006100"/>
                <w:sz w:val="20"/>
                <w:szCs w:val="20"/>
                <w:lang w:val="de-DE"/>
              </w:rPr>
              <w:t>I) Sozialversicherungs- und Wohlfahrtsdienstleistungen, Verwaltung von Besch</w:t>
            </w:r>
            <w:r w:rsidRPr="00170422">
              <w:rPr>
                <w:rFonts w:ascii="Arial Narrow" w:hAnsi="Arial Narrow"/>
                <w:noProof/>
                <w:color w:val="006100"/>
                <w:sz w:val="20"/>
                <w:szCs w:val="20"/>
                <w:lang w:val="de-DE"/>
              </w:rPr>
              <w:t>affungsdiensten oder zentrale nationale Register (z. B. Bevölkerungsregister und Fahrzeugzulassungsregister);</w:t>
            </w:r>
          </w:p>
          <w:p w14:paraId="32A744CF" w14:textId="77777777" w:rsidR="0057163C" w:rsidRPr="00170422" w:rsidRDefault="00F37BF9">
            <w:pPr>
              <w:pStyle w:val="P68B1DB1-Normal12"/>
              <w:spacing w:after="120"/>
              <w:rPr>
                <w:rFonts w:cs="Arial"/>
                <w:noProof/>
                <w:lang w:val="de-DE"/>
              </w:rPr>
            </w:pPr>
            <w:r w:rsidRPr="00170422">
              <w:rPr>
                <w:noProof/>
                <w:lang w:val="de-DE"/>
              </w:rPr>
              <w:t>Jede API-Implementierung und Dokumentation muss den nationalen Interoperabilitätsstandards entsprechen. Der Rahmen der nationalen digitalen Datenp</w:t>
            </w:r>
            <w:r w:rsidRPr="00170422">
              <w:rPr>
                <w:noProof/>
                <w:lang w:val="de-DE"/>
              </w:rPr>
              <w:t>lattform bietet Funktionen zur Bewertung dieser Einhaltung.</w:t>
            </w:r>
          </w:p>
        </w:tc>
      </w:tr>
      <w:tr w:rsidR="0057163C" w:rsidRPr="00170422" w14:paraId="00BAEB66" w14:textId="77777777" w:rsidTr="00D64E63">
        <w:trPr>
          <w:trHeight w:val="309"/>
        </w:trPr>
        <w:tc>
          <w:tcPr>
            <w:tcW w:w="1135" w:type="dxa"/>
            <w:shd w:val="clear" w:color="auto" w:fill="C6EFCE"/>
            <w:noWrap/>
            <w:vAlign w:val="center"/>
          </w:tcPr>
          <w:p w14:paraId="7902F66F" w14:textId="77777777" w:rsidR="0057163C" w:rsidRPr="00170422" w:rsidRDefault="00F37BF9">
            <w:pPr>
              <w:pStyle w:val="P68B1DB1-Normal11"/>
              <w:jc w:val="center"/>
              <w:rPr>
                <w:rFonts w:cs="Arial"/>
                <w:noProof/>
                <w:szCs w:val="20"/>
                <w:lang w:val="de-DE"/>
              </w:rPr>
            </w:pPr>
            <w:r w:rsidRPr="00170422">
              <w:rPr>
                <w:noProof/>
                <w:lang w:val="de-DE"/>
              </w:rPr>
              <w:t>M1C1-19</w:t>
            </w:r>
          </w:p>
        </w:tc>
        <w:tc>
          <w:tcPr>
            <w:tcW w:w="1417" w:type="dxa"/>
            <w:shd w:val="clear" w:color="auto" w:fill="C6EFCE"/>
            <w:noWrap/>
            <w:vAlign w:val="center"/>
          </w:tcPr>
          <w:p w14:paraId="01B50134"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17FBEB8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36885AE4" w14:textId="77777777" w:rsidR="0057163C" w:rsidRPr="00170422" w:rsidRDefault="00F37BF9">
            <w:pPr>
              <w:pStyle w:val="P68B1DB1-Normal11"/>
              <w:jc w:val="center"/>
              <w:rPr>
                <w:rFonts w:cs="Arial"/>
                <w:noProof/>
                <w:szCs w:val="20"/>
                <w:lang w:val="de-DE"/>
              </w:rPr>
            </w:pPr>
            <w:r w:rsidRPr="00170422">
              <w:rPr>
                <w:noProof/>
                <w:lang w:val="de-DE"/>
              </w:rPr>
              <w:t>Unterstützung der Modernisierung der Sicherheitsstrukturen T2</w:t>
            </w:r>
          </w:p>
        </w:tc>
        <w:tc>
          <w:tcPr>
            <w:tcW w:w="1559" w:type="dxa"/>
            <w:shd w:val="clear" w:color="auto" w:fill="C6EFCE"/>
            <w:noWrap/>
            <w:vAlign w:val="center"/>
          </w:tcPr>
          <w:p w14:paraId="28139F1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13CA1889"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4B1BEC94" w14:textId="77777777" w:rsidR="0057163C" w:rsidRPr="00170422" w:rsidRDefault="00F37BF9">
            <w:pPr>
              <w:pStyle w:val="P68B1DB1-Normal11"/>
              <w:jc w:val="center"/>
              <w:rPr>
                <w:rFonts w:cs="Arial"/>
                <w:noProof/>
                <w:szCs w:val="20"/>
                <w:lang w:val="de-DE"/>
              </w:rPr>
            </w:pPr>
            <w:r w:rsidRPr="00170422">
              <w:rPr>
                <w:noProof/>
                <w:lang w:val="de-DE"/>
              </w:rPr>
              <w:t>5</w:t>
            </w:r>
          </w:p>
        </w:tc>
        <w:tc>
          <w:tcPr>
            <w:tcW w:w="1418" w:type="dxa"/>
            <w:shd w:val="clear" w:color="auto" w:fill="C6EFCE"/>
            <w:noWrap/>
            <w:vAlign w:val="center"/>
          </w:tcPr>
          <w:p w14:paraId="094FB512" w14:textId="77777777" w:rsidR="0057163C" w:rsidRPr="00170422" w:rsidRDefault="00F37BF9">
            <w:pPr>
              <w:pStyle w:val="P68B1DB1-Normal11"/>
              <w:jc w:val="center"/>
              <w:rPr>
                <w:rFonts w:cs="Arial"/>
                <w:noProof/>
                <w:szCs w:val="20"/>
                <w:lang w:val="de-DE"/>
              </w:rPr>
            </w:pPr>
            <w:r w:rsidRPr="00170422">
              <w:rPr>
                <w:noProof/>
                <w:lang w:val="de-DE"/>
              </w:rPr>
              <w:t>50</w:t>
            </w:r>
          </w:p>
        </w:tc>
        <w:tc>
          <w:tcPr>
            <w:tcW w:w="992" w:type="dxa"/>
            <w:shd w:val="clear" w:color="auto" w:fill="C6EFCE"/>
            <w:noWrap/>
            <w:vAlign w:val="center"/>
          </w:tcPr>
          <w:p w14:paraId="51E23C12"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6F2751C8"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tcPr>
          <w:p w14:paraId="52795E4A" w14:textId="77777777" w:rsidR="0057163C" w:rsidRPr="00170422" w:rsidRDefault="00F37BF9">
            <w:pPr>
              <w:pStyle w:val="P68B1DB1-Normal12"/>
              <w:spacing w:after="120"/>
              <w:rPr>
                <w:rFonts w:cs="Arial"/>
                <w:noProof/>
                <w:lang w:val="de-DE"/>
              </w:rPr>
            </w:pPr>
            <w:r w:rsidRPr="00170422">
              <w:rPr>
                <w:noProof/>
                <w:lang w:val="de-DE"/>
              </w:rPr>
              <w:t>Mindestens 50 Maßnahmen zur Stärkung des nationalen Sicherheitsbereichs für den Cyberraum (PSNC) und der Netz- und Informationssysteme (NIS) wurden abgeschlossen.</w:t>
            </w:r>
          </w:p>
          <w:p w14:paraId="152327CF" w14:textId="77777777" w:rsidR="0057163C" w:rsidRPr="00170422" w:rsidRDefault="00F37BF9">
            <w:pPr>
              <w:pStyle w:val="P68B1DB1-Normal12"/>
              <w:spacing w:after="120"/>
              <w:rPr>
                <w:rFonts w:cs="Arial"/>
                <w:noProof/>
                <w:lang w:val="de-DE"/>
              </w:rPr>
            </w:pPr>
            <w:r w:rsidRPr="00170422">
              <w:rPr>
                <w:noProof/>
                <w:lang w:val="de-DE"/>
              </w:rPr>
              <w:t>Zu den Interventionskategorien gehören z. B. Sicherheitseinsatzzentren, Verbesserungen im Ber</w:t>
            </w:r>
            <w:r w:rsidRPr="00170422">
              <w:rPr>
                <w:noProof/>
                <w:lang w:val="de-DE"/>
              </w:rPr>
              <w:t>eich der Cybergrenzenabwehr und interne Überwachungs- und Kontrollkapazitäten im Einklang mit den NIS- und PSNC-Anforderungen. Bei den Maßnahmen in den NUS-Sektoren wird ein besonderer Schwerpunkt auf die Bereiche Gesundheit, Energie und Umwelt (Wasservers</w:t>
            </w:r>
            <w:r w:rsidRPr="00170422">
              <w:rPr>
                <w:noProof/>
                <w:lang w:val="de-DE"/>
              </w:rPr>
              <w:t>orgung und Abfallbewirtschaftung) gelegt.</w:t>
            </w:r>
          </w:p>
        </w:tc>
      </w:tr>
      <w:tr w:rsidR="0057163C" w:rsidRPr="00170422" w14:paraId="3A22A535" w14:textId="77777777" w:rsidTr="00D64E63">
        <w:trPr>
          <w:trHeight w:val="309"/>
        </w:trPr>
        <w:tc>
          <w:tcPr>
            <w:tcW w:w="1135" w:type="dxa"/>
            <w:shd w:val="clear" w:color="auto" w:fill="C6EFCE"/>
            <w:noWrap/>
            <w:vAlign w:val="center"/>
          </w:tcPr>
          <w:p w14:paraId="1DE54834" w14:textId="77777777" w:rsidR="0057163C" w:rsidRPr="00170422" w:rsidRDefault="00F37BF9">
            <w:pPr>
              <w:pStyle w:val="P68B1DB1-Normal11"/>
              <w:jc w:val="center"/>
              <w:rPr>
                <w:rFonts w:cs="Arial"/>
                <w:noProof/>
                <w:szCs w:val="20"/>
                <w:lang w:val="de-DE"/>
              </w:rPr>
            </w:pPr>
            <w:r w:rsidRPr="00170422">
              <w:rPr>
                <w:noProof/>
                <w:lang w:val="de-DE"/>
              </w:rPr>
              <w:t>M1C1-20</w:t>
            </w:r>
          </w:p>
        </w:tc>
        <w:tc>
          <w:tcPr>
            <w:tcW w:w="1417" w:type="dxa"/>
            <w:shd w:val="clear" w:color="auto" w:fill="C6EFCE"/>
            <w:noWrap/>
            <w:vAlign w:val="center"/>
          </w:tcPr>
          <w:p w14:paraId="000FA373"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72FE265D"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1B12AD18" w14:textId="77777777" w:rsidR="0057163C" w:rsidRPr="00170422" w:rsidRDefault="00F37BF9">
            <w:pPr>
              <w:pStyle w:val="P68B1DB1-Normal11"/>
              <w:jc w:val="center"/>
              <w:rPr>
                <w:rFonts w:cs="Arial"/>
                <w:noProof/>
                <w:szCs w:val="20"/>
                <w:lang w:val="de-DE"/>
              </w:rPr>
            </w:pPr>
            <w:r w:rsidRPr="00170422">
              <w:rPr>
                <w:noProof/>
                <w:lang w:val="de-DE"/>
              </w:rPr>
              <w:t>Vollständige Einführung nationaler Cybersicherheitsdienste</w:t>
            </w:r>
          </w:p>
        </w:tc>
        <w:tc>
          <w:tcPr>
            <w:tcW w:w="1559" w:type="dxa"/>
            <w:shd w:val="clear" w:color="auto" w:fill="C6EFCE"/>
            <w:noWrap/>
            <w:vAlign w:val="center"/>
          </w:tcPr>
          <w:p w14:paraId="36873F6C" w14:textId="77777777" w:rsidR="0057163C" w:rsidRPr="00170422" w:rsidRDefault="00F37BF9">
            <w:pPr>
              <w:pStyle w:val="P68B1DB1-Normal12"/>
              <w:jc w:val="center"/>
              <w:rPr>
                <w:rFonts w:cs="Arial"/>
                <w:noProof/>
                <w:lang w:val="de-DE"/>
              </w:rPr>
            </w:pPr>
            <w:r w:rsidRPr="00170422">
              <w:rPr>
                <w:noProof/>
                <w:lang w:val="de-DE"/>
              </w:rPr>
              <w:t>Bericht über die vollständige Aktivierung der nationalen Cybersicherheitsdienste</w:t>
            </w:r>
          </w:p>
        </w:tc>
        <w:tc>
          <w:tcPr>
            <w:tcW w:w="1276" w:type="dxa"/>
            <w:shd w:val="clear" w:color="auto" w:fill="C6EFCE"/>
            <w:noWrap/>
            <w:vAlign w:val="center"/>
          </w:tcPr>
          <w:p w14:paraId="7D98D39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6AF970D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7E6BAC9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03CA1D9E"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7BDEDF62"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tcPr>
          <w:p w14:paraId="302C9A27" w14:textId="77777777" w:rsidR="0057163C" w:rsidRPr="00170422" w:rsidRDefault="00F37BF9">
            <w:pPr>
              <w:pStyle w:val="P68B1DB1-Normal12"/>
              <w:spacing w:after="120"/>
              <w:rPr>
                <w:rFonts w:cs="Arial"/>
                <w:noProof/>
                <w:lang w:val="de-DE"/>
              </w:rPr>
            </w:pPr>
            <w:r w:rsidRPr="00170422">
              <w:rPr>
                <w:noProof/>
                <w:lang w:val="de-DE"/>
              </w:rPr>
              <w:t>Dieses Etappenziel wird durch die Aktivierung territorialer Computer-Notfallteams (CERTs), die mit dem italienischen IT-Notfallteam (CSIRT) verbunden sind, die Aktivierung des Informationsaustausch- und Analysezentrums (ISAC), die</w:t>
            </w:r>
            <w:r w:rsidRPr="00170422">
              <w:rPr>
                <w:noProof/>
                <w:lang w:val="de-DE"/>
              </w:rPr>
              <w:t xml:space="preserve"> Integration von mindestens fünf Sicherheitseinsatzzentren (SOC) mit dem nationalen HyperSOC, den vollständigen Betrieb der Dienste für das Cybersicherheitsrisikomanagement, einschließlich der Dienste für die Analyse der Lieferkette und die Cybersicherheit</w:t>
            </w:r>
            <w:r w:rsidRPr="00170422">
              <w:rPr>
                <w:noProof/>
                <w:lang w:val="de-DE"/>
              </w:rPr>
              <w:t>sversicherungsdienste, abgeschlossen.</w:t>
            </w:r>
          </w:p>
        </w:tc>
      </w:tr>
      <w:tr w:rsidR="0057163C" w:rsidRPr="00170422" w14:paraId="7C17F838" w14:textId="77777777" w:rsidTr="00D64E63">
        <w:trPr>
          <w:trHeight w:val="309"/>
        </w:trPr>
        <w:tc>
          <w:tcPr>
            <w:tcW w:w="1135" w:type="dxa"/>
            <w:shd w:val="clear" w:color="auto" w:fill="C6EFCE"/>
            <w:noWrap/>
            <w:vAlign w:val="center"/>
          </w:tcPr>
          <w:p w14:paraId="5E28B054" w14:textId="77777777" w:rsidR="0057163C" w:rsidRPr="00170422" w:rsidRDefault="00F37BF9">
            <w:pPr>
              <w:pStyle w:val="P68B1DB1-Normal11"/>
              <w:jc w:val="center"/>
              <w:rPr>
                <w:rFonts w:cs="Arial"/>
                <w:noProof/>
                <w:szCs w:val="20"/>
                <w:lang w:val="de-DE"/>
              </w:rPr>
            </w:pPr>
            <w:r w:rsidRPr="00170422">
              <w:rPr>
                <w:noProof/>
                <w:lang w:val="de-DE"/>
              </w:rPr>
              <w:t>M1C1-21</w:t>
            </w:r>
          </w:p>
        </w:tc>
        <w:tc>
          <w:tcPr>
            <w:tcW w:w="1417" w:type="dxa"/>
            <w:shd w:val="clear" w:color="auto" w:fill="C6EFCE"/>
            <w:noWrap/>
            <w:vAlign w:val="center"/>
          </w:tcPr>
          <w:p w14:paraId="5A016AB2"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036702E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21E6783D" w14:textId="77777777" w:rsidR="0057163C" w:rsidRPr="00170422" w:rsidRDefault="00F37BF9">
            <w:pPr>
              <w:pStyle w:val="P68B1DB1-Normal11"/>
              <w:jc w:val="center"/>
              <w:rPr>
                <w:rFonts w:cs="Arial"/>
                <w:noProof/>
                <w:szCs w:val="20"/>
                <w:lang w:val="de-DE"/>
              </w:rPr>
            </w:pPr>
            <w:r w:rsidRPr="00170422">
              <w:rPr>
                <w:noProof/>
                <w:lang w:val="de-DE"/>
              </w:rPr>
              <w:t>Fertigstellung des Netzes von Laboratorien für Cybersicherheitsüberprüfung und -zertifizierung, Evaluierungszentren</w:t>
            </w:r>
          </w:p>
        </w:tc>
        <w:tc>
          <w:tcPr>
            <w:tcW w:w="1559" w:type="dxa"/>
            <w:shd w:val="clear" w:color="auto" w:fill="C6EFCE"/>
            <w:noWrap/>
            <w:vAlign w:val="center"/>
          </w:tcPr>
          <w:p w14:paraId="219F715D" w14:textId="77777777" w:rsidR="0057163C" w:rsidRPr="00170422" w:rsidRDefault="00F37BF9">
            <w:pPr>
              <w:pStyle w:val="P68B1DB1-Normal12"/>
              <w:jc w:val="center"/>
              <w:rPr>
                <w:rFonts w:cs="Arial"/>
                <w:noProof/>
                <w:lang w:val="de-DE"/>
              </w:rPr>
            </w:pPr>
            <w:r w:rsidRPr="00170422">
              <w:rPr>
                <w:noProof/>
                <w:lang w:val="de-DE"/>
              </w:rPr>
              <w:t xml:space="preserve">Vorlage von Berichten zum Nachweis der </w:t>
            </w:r>
            <w:r w:rsidRPr="00170422">
              <w:rPr>
                <w:noProof/>
                <w:lang w:val="de-DE"/>
              </w:rPr>
              <w:t>vollständigen Aktivierung von mindestens 10 Laboratorien und von zwei Bewertungszentren (CV)</w:t>
            </w:r>
          </w:p>
        </w:tc>
        <w:tc>
          <w:tcPr>
            <w:tcW w:w="1276" w:type="dxa"/>
            <w:shd w:val="clear" w:color="auto" w:fill="C6EFCE"/>
            <w:noWrap/>
            <w:vAlign w:val="center"/>
          </w:tcPr>
          <w:p w14:paraId="7CCCAEE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535F0E5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00B5F67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5FBC6142"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58EC05C1"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tcPr>
          <w:p w14:paraId="71A5AE2D" w14:textId="77777777" w:rsidR="0057163C" w:rsidRPr="00170422" w:rsidRDefault="00F37BF9">
            <w:pPr>
              <w:pStyle w:val="P68B1DB1-Normal11"/>
              <w:spacing w:after="120"/>
              <w:rPr>
                <w:rFonts w:cs="Arial"/>
                <w:noProof/>
                <w:szCs w:val="20"/>
                <w:lang w:val="de-DE"/>
              </w:rPr>
            </w:pPr>
            <w:r w:rsidRPr="00170422">
              <w:rPr>
                <w:noProof/>
                <w:lang w:val="de-DE"/>
              </w:rPr>
              <w:t>Aktivierung von mindestens 10 Screening- und Zertifizierungslaboren und von zwei Evaluierungszentren (CV).</w:t>
            </w:r>
          </w:p>
        </w:tc>
      </w:tr>
      <w:tr w:rsidR="0057163C" w:rsidRPr="00170422" w14:paraId="4AEA97CB" w14:textId="77777777" w:rsidTr="00D64E63">
        <w:trPr>
          <w:trHeight w:val="309"/>
        </w:trPr>
        <w:tc>
          <w:tcPr>
            <w:tcW w:w="1135" w:type="dxa"/>
            <w:shd w:val="clear" w:color="auto" w:fill="C6EFCE"/>
            <w:noWrap/>
            <w:vAlign w:val="center"/>
          </w:tcPr>
          <w:p w14:paraId="3E9A708F" w14:textId="77777777" w:rsidR="0057163C" w:rsidRPr="00170422" w:rsidRDefault="00F37BF9">
            <w:pPr>
              <w:pStyle w:val="P68B1DB1-Normal11"/>
              <w:jc w:val="center"/>
              <w:rPr>
                <w:rFonts w:cs="Arial"/>
                <w:noProof/>
                <w:szCs w:val="20"/>
                <w:lang w:val="de-DE"/>
              </w:rPr>
            </w:pPr>
            <w:r w:rsidRPr="00170422">
              <w:rPr>
                <w:noProof/>
                <w:lang w:val="de-DE"/>
              </w:rPr>
              <w:t>M1C1-22</w:t>
            </w:r>
          </w:p>
        </w:tc>
        <w:tc>
          <w:tcPr>
            <w:tcW w:w="1417" w:type="dxa"/>
            <w:shd w:val="clear" w:color="auto" w:fill="C6EFCE"/>
            <w:noWrap/>
            <w:vAlign w:val="center"/>
          </w:tcPr>
          <w:p w14:paraId="45DCED4C" w14:textId="77777777" w:rsidR="0057163C" w:rsidRPr="00170422" w:rsidRDefault="00F37BF9">
            <w:pPr>
              <w:pStyle w:val="P68B1DB1-Normal11"/>
              <w:jc w:val="center"/>
              <w:rPr>
                <w:rFonts w:cs="Arial"/>
                <w:noProof/>
                <w:szCs w:val="20"/>
                <w:lang w:val="de-DE"/>
              </w:rPr>
            </w:pPr>
            <w:r w:rsidRPr="00170422">
              <w:rPr>
                <w:noProof/>
                <w:lang w:val="de-DE"/>
              </w:rPr>
              <w:t>Investition 1.5: Cybersicherheit</w:t>
            </w:r>
          </w:p>
        </w:tc>
        <w:tc>
          <w:tcPr>
            <w:tcW w:w="1276" w:type="dxa"/>
            <w:shd w:val="clear" w:color="auto" w:fill="C6EFCE"/>
            <w:noWrap/>
            <w:vAlign w:val="center"/>
          </w:tcPr>
          <w:p w14:paraId="4788642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567753C8" w14:textId="77777777" w:rsidR="0057163C" w:rsidRPr="00170422" w:rsidRDefault="00F37BF9">
            <w:pPr>
              <w:pStyle w:val="P68B1DB1-Normal11"/>
              <w:jc w:val="center"/>
              <w:rPr>
                <w:rFonts w:cs="Arial"/>
                <w:noProof/>
                <w:szCs w:val="20"/>
                <w:lang w:val="de-DE"/>
              </w:rPr>
            </w:pPr>
            <w:r w:rsidRPr="00170422">
              <w:rPr>
                <w:noProof/>
                <w:lang w:val="de-DE"/>
              </w:rPr>
              <w:t>Vollständiger Betrieb der zentralen Auditstelle für PSNC und NIS-Sicherheitsmaßnahmen mit mindestens 30 abgeschlossenen Inspektionen</w:t>
            </w:r>
          </w:p>
        </w:tc>
        <w:tc>
          <w:tcPr>
            <w:tcW w:w="1559" w:type="dxa"/>
            <w:shd w:val="clear" w:color="auto" w:fill="C6EFCE"/>
            <w:noWrap/>
            <w:vAlign w:val="center"/>
          </w:tcPr>
          <w:p w14:paraId="3AD60629" w14:textId="77777777" w:rsidR="0057163C" w:rsidRPr="00170422" w:rsidRDefault="00F37BF9">
            <w:pPr>
              <w:pStyle w:val="P68B1DB1-Normal11"/>
              <w:jc w:val="center"/>
              <w:rPr>
                <w:rFonts w:cs="Arial"/>
                <w:noProof/>
                <w:szCs w:val="20"/>
                <w:lang w:val="de-DE"/>
              </w:rPr>
            </w:pPr>
            <w:r w:rsidRPr="00170422">
              <w:rPr>
                <w:noProof/>
                <w:lang w:val="de-DE"/>
              </w:rPr>
              <w:t>Vorgelegte Berichte, Inspektionsberichte</w:t>
            </w:r>
          </w:p>
        </w:tc>
        <w:tc>
          <w:tcPr>
            <w:tcW w:w="1276" w:type="dxa"/>
            <w:shd w:val="clear" w:color="auto" w:fill="C6EFCE"/>
            <w:noWrap/>
            <w:vAlign w:val="center"/>
          </w:tcPr>
          <w:p w14:paraId="3FB718F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6E451C1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6C54455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77F545D0" w14:textId="77777777" w:rsidR="0057163C" w:rsidRPr="00170422" w:rsidRDefault="00F37BF9">
            <w:pPr>
              <w:pStyle w:val="P68B1DB1-Normal11"/>
              <w:jc w:val="center"/>
              <w:rPr>
                <w:rFonts w:cs="Arial"/>
                <w:noProof/>
                <w:szCs w:val="20"/>
                <w:lang w:val="de-DE"/>
              </w:rPr>
            </w:pPr>
            <w:r w:rsidRPr="00170422">
              <w:rPr>
                <w:noProof/>
                <w:lang w:val="de-DE"/>
              </w:rPr>
              <w:t xml:space="preserve">4. </w:t>
            </w:r>
            <w:r w:rsidRPr="00170422">
              <w:rPr>
                <w:noProof/>
                <w:lang w:val="de-DE"/>
              </w:rPr>
              <w:t>QUARTAL</w:t>
            </w:r>
          </w:p>
        </w:tc>
        <w:tc>
          <w:tcPr>
            <w:tcW w:w="852" w:type="dxa"/>
            <w:shd w:val="clear" w:color="auto" w:fill="C6EFCE"/>
            <w:noWrap/>
            <w:vAlign w:val="center"/>
          </w:tcPr>
          <w:p w14:paraId="17843EB7"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shd w:val="clear" w:color="auto" w:fill="C6EFCE"/>
            <w:noWrap/>
            <w:vAlign w:val="center"/>
          </w:tcPr>
          <w:p w14:paraId="4766B996" w14:textId="77777777" w:rsidR="0057163C" w:rsidRPr="00170422" w:rsidRDefault="00F37BF9">
            <w:pPr>
              <w:pStyle w:val="P68B1DB1-Normal11"/>
              <w:spacing w:after="120"/>
              <w:rPr>
                <w:rFonts w:cs="Arial"/>
                <w:noProof/>
                <w:szCs w:val="20"/>
                <w:lang w:val="de-DE"/>
              </w:rPr>
            </w:pPr>
            <w:r w:rsidRPr="00170422">
              <w:rPr>
                <w:noProof/>
                <w:lang w:val="de-DE"/>
              </w:rPr>
              <w:t>Vollständige Arbeit der Zentralen Auditstelle mit mindestens 30 abgeschlossenen Kontrollen.</w:t>
            </w:r>
          </w:p>
        </w:tc>
      </w:tr>
      <w:tr w:rsidR="0057163C" w:rsidRPr="00170422" w14:paraId="45292BA0" w14:textId="77777777" w:rsidTr="00D64E63">
        <w:trPr>
          <w:trHeight w:val="309"/>
        </w:trPr>
        <w:tc>
          <w:tcPr>
            <w:tcW w:w="1135" w:type="dxa"/>
            <w:shd w:val="clear" w:color="auto" w:fill="C6EFCE"/>
            <w:noWrap/>
            <w:vAlign w:val="center"/>
          </w:tcPr>
          <w:p w14:paraId="24CE1A98" w14:textId="77777777" w:rsidR="0057163C" w:rsidRPr="00170422" w:rsidRDefault="00F37BF9">
            <w:pPr>
              <w:pStyle w:val="P68B1DB1-Normal12"/>
              <w:jc w:val="center"/>
              <w:rPr>
                <w:rFonts w:cs="Arial"/>
                <w:noProof/>
                <w:highlight w:val="yellow"/>
                <w:lang w:val="de-DE"/>
              </w:rPr>
            </w:pPr>
            <w:r w:rsidRPr="00170422">
              <w:rPr>
                <w:noProof/>
                <w:lang w:val="de-DE"/>
              </w:rPr>
              <w:t>M1C1-23</w:t>
            </w:r>
          </w:p>
        </w:tc>
        <w:tc>
          <w:tcPr>
            <w:tcW w:w="1417" w:type="dxa"/>
            <w:shd w:val="clear" w:color="auto" w:fill="C6EFCE"/>
            <w:noWrap/>
            <w:vAlign w:val="center"/>
          </w:tcPr>
          <w:p w14:paraId="11DEF683" w14:textId="77777777" w:rsidR="0057163C" w:rsidRPr="00170422" w:rsidRDefault="00F37BF9">
            <w:pPr>
              <w:pStyle w:val="P68B1DB1-Normal11"/>
              <w:jc w:val="center"/>
              <w:rPr>
                <w:rFonts w:cs="Arial"/>
                <w:noProof/>
                <w:szCs w:val="20"/>
                <w:lang w:val="de-DE"/>
              </w:rPr>
            </w:pPr>
            <w:r w:rsidRPr="00170422">
              <w:rPr>
                <w:noProof/>
                <w:lang w:val="de-DE"/>
              </w:rPr>
              <w:t>Investition 1.4.6: Mobilität als Dienstleistung für Italien</w:t>
            </w:r>
          </w:p>
        </w:tc>
        <w:tc>
          <w:tcPr>
            <w:tcW w:w="1276" w:type="dxa"/>
            <w:shd w:val="clear" w:color="auto" w:fill="C6EFCE"/>
            <w:noWrap/>
            <w:vAlign w:val="center"/>
          </w:tcPr>
          <w:p w14:paraId="31A3C965"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7371FE4E" w14:textId="77777777" w:rsidR="0057163C" w:rsidRPr="00170422" w:rsidRDefault="00F37BF9">
            <w:pPr>
              <w:pStyle w:val="P68B1DB1-Normal11"/>
              <w:jc w:val="center"/>
              <w:rPr>
                <w:rFonts w:cs="Arial"/>
                <w:noProof/>
                <w:szCs w:val="20"/>
                <w:lang w:val="de-DE"/>
              </w:rPr>
            </w:pPr>
            <w:r w:rsidRPr="00170422">
              <w:rPr>
                <w:noProof/>
                <w:lang w:val="de-DE"/>
              </w:rPr>
              <w:t>Mobilität als Dienstleistungslösungen M2</w:t>
            </w:r>
          </w:p>
        </w:tc>
        <w:tc>
          <w:tcPr>
            <w:tcW w:w="1559" w:type="dxa"/>
            <w:shd w:val="clear" w:color="auto" w:fill="C6EFCE"/>
            <w:noWrap/>
            <w:vAlign w:val="center"/>
          </w:tcPr>
          <w:p w14:paraId="7735F5A3" w14:textId="353DE87B" w:rsidR="0057163C" w:rsidRPr="00170422" w:rsidRDefault="00F37BF9">
            <w:pPr>
              <w:pStyle w:val="P68B1DB1-Normal12"/>
              <w:jc w:val="center"/>
              <w:rPr>
                <w:rFonts w:cs="Arial"/>
                <w:noProof/>
                <w:lang w:val="de-DE"/>
              </w:rPr>
            </w:pPr>
            <w:r w:rsidRPr="00170422">
              <w:rPr>
                <w:noProof/>
                <w:lang w:val="de-DE"/>
              </w:rPr>
              <w:t xml:space="preserve">Pilotprojekte „Mobilität als Dienstleistung“ </w:t>
            </w:r>
          </w:p>
        </w:tc>
        <w:tc>
          <w:tcPr>
            <w:tcW w:w="1276" w:type="dxa"/>
            <w:shd w:val="clear" w:color="auto" w:fill="C6EFCE"/>
            <w:noWrap/>
            <w:vAlign w:val="center"/>
          </w:tcPr>
          <w:p w14:paraId="6C1D5F6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3DE2EA7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454A63B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51DF9CE6" w14:textId="77777777" w:rsidR="0057163C" w:rsidRPr="00170422" w:rsidRDefault="00F37BF9">
            <w:pPr>
              <w:pStyle w:val="P68B1DB1-Normal12"/>
              <w:jc w:val="center"/>
              <w:rPr>
                <w:rFonts w:cs="Arial"/>
                <w:noProof/>
                <w:lang w:val="de-DE"/>
              </w:rPr>
            </w:pPr>
            <w:r w:rsidRPr="00170422">
              <w:rPr>
                <w:noProof/>
                <w:lang w:val="de-DE"/>
              </w:rPr>
              <w:t>Q2</w:t>
            </w:r>
          </w:p>
        </w:tc>
        <w:tc>
          <w:tcPr>
            <w:tcW w:w="852" w:type="dxa"/>
            <w:shd w:val="clear" w:color="auto" w:fill="C6EFCE"/>
            <w:noWrap/>
            <w:vAlign w:val="center"/>
          </w:tcPr>
          <w:p w14:paraId="0A92F95A"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shd w:val="clear" w:color="auto" w:fill="C6EFCE"/>
            <w:noWrap/>
            <w:vAlign w:val="center"/>
          </w:tcPr>
          <w:p w14:paraId="4374A459" w14:textId="77777777" w:rsidR="0057163C" w:rsidRPr="00170422" w:rsidRDefault="00F37BF9">
            <w:pPr>
              <w:pStyle w:val="P68B1DB1-Normal12"/>
              <w:spacing w:after="120"/>
              <w:rPr>
                <w:rFonts w:cs="Arial"/>
                <w:noProof/>
                <w:lang w:val="de-DE"/>
              </w:rPr>
            </w:pPr>
            <w:r w:rsidRPr="00170422">
              <w:rPr>
                <w:noProof/>
                <w:lang w:val="de-DE"/>
              </w:rPr>
              <w:t>Sieben Pilotprojekte, davon mindestens drei im Süden, dienen der Erprobung von Mobilitätslösungen als Dienstleistung (Mobility as a Service, MaaS).</w:t>
            </w:r>
          </w:p>
          <w:p w14:paraId="6CD1BC14" w14:textId="77777777" w:rsidR="0057163C" w:rsidRPr="00170422" w:rsidRDefault="00F37BF9">
            <w:pPr>
              <w:pStyle w:val="P68B1DB1-Normal12"/>
              <w:spacing w:after="120"/>
              <w:rPr>
                <w:rFonts w:cs="Arial"/>
                <w:noProof/>
                <w:lang w:val="de-DE"/>
              </w:rPr>
            </w:pPr>
            <w:r w:rsidRPr="00170422">
              <w:rPr>
                <w:noProof/>
                <w:lang w:val="de-DE"/>
              </w:rPr>
              <w:t>Die Mobilität als Dienst</w:t>
            </w:r>
            <w:r w:rsidRPr="00170422">
              <w:rPr>
                <w:noProof/>
                <w:lang w:val="de-DE"/>
              </w:rPr>
              <w:t xml:space="preserve">leistung bietet den Nutzern über eine einzige technologische Plattform die besten Reiseoptionen auf der Grundlage ihrer Bedürfnisse, indem verschiedene Mobilitätsoptionen (z. B. öffentlicher Verkehr, gemeinsame Nutzung von Diensten, Taxis, Autovermietung) </w:t>
            </w:r>
            <w:r w:rsidRPr="00170422">
              <w:rPr>
                <w:noProof/>
                <w:lang w:val="de-DE"/>
              </w:rPr>
              <w:t>integriert und die Reiseplanung und das allgemeine Nutzererlebnis optimiert werden.</w:t>
            </w:r>
          </w:p>
        </w:tc>
      </w:tr>
      <w:tr w:rsidR="0057163C" w:rsidRPr="00170422" w14:paraId="7C63440E" w14:textId="77777777" w:rsidTr="00D64E63">
        <w:trPr>
          <w:trHeight w:val="309"/>
        </w:trPr>
        <w:tc>
          <w:tcPr>
            <w:tcW w:w="1135" w:type="dxa"/>
            <w:shd w:val="clear" w:color="auto" w:fill="C6EFCE"/>
            <w:noWrap/>
            <w:vAlign w:val="center"/>
          </w:tcPr>
          <w:p w14:paraId="577B6361" w14:textId="77777777" w:rsidR="0057163C" w:rsidRPr="00170422" w:rsidRDefault="00F37BF9">
            <w:pPr>
              <w:pStyle w:val="P68B1DB1-Normal11"/>
              <w:jc w:val="center"/>
              <w:rPr>
                <w:rFonts w:cs="Arial"/>
                <w:noProof/>
                <w:szCs w:val="20"/>
                <w:lang w:val="de-DE"/>
              </w:rPr>
            </w:pPr>
            <w:r w:rsidRPr="00170422">
              <w:rPr>
                <w:noProof/>
                <w:lang w:val="de-DE"/>
              </w:rPr>
              <w:t>M1C1-24</w:t>
            </w:r>
          </w:p>
        </w:tc>
        <w:tc>
          <w:tcPr>
            <w:tcW w:w="1417" w:type="dxa"/>
            <w:shd w:val="clear" w:color="auto" w:fill="C6EFCE"/>
            <w:noWrap/>
            <w:vAlign w:val="center"/>
          </w:tcPr>
          <w:p w14:paraId="33A05A4E" w14:textId="77777777" w:rsidR="0057163C" w:rsidRPr="00170422" w:rsidRDefault="00F37BF9">
            <w:pPr>
              <w:pStyle w:val="P68B1DB1-Normal11"/>
              <w:jc w:val="center"/>
              <w:rPr>
                <w:rFonts w:cs="Arial"/>
                <w:noProof/>
                <w:szCs w:val="20"/>
                <w:lang w:val="de-DE"/>
              </w:rPr>
            </w:pPr>
            <w:r w:rsidRPr="00170422">
              <w:rPr>
                <w:noProof/>
                <w:lang w:val="de-DE"/>
              </w:rPr>
              <w:t>Investition 1.7.1: Digitaler öffentlicher Dienst</w:t>
            </w:r>
          </w:p>
        </w:tc>
        <w:tc>
          <w:tcPr>
            <w:tcW w:w="1276" w:type="dxa"/>
            <w:shd w:val="clear" w:color="auto" w:fill="C6EFCE"/>
            <w:noWrap/>
            <w:vAlign w:val="center"/>
          </w:tcPr>
          <w:p w14:paraId="29B5228D"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24FB4840" w14:textId="77777777" w:rsidR="0057163C" w:rsidRPr="00170422" w:rsidRDefault="00F37BF9">
            <w:pPr>
              <w:pStyle w:val="P68B1DB1-Normal12"/>
              <w:jc w:val="center"/>
              <w:rPr>
                <w:rFonts w:cs="Arial"/>
                <w:noProof/>
                <w:lang w:val="de-DE"/>
              </w:rPr>
            </w:pPr>
            <w:r w:rsidRPr="00170422">
              <w:rPr>
                <w:noProof/>
                <w:lang w:val="de-DE"/>
              </w:rPr>
              <w:t>Die Freiwilligen werden geschult.</w:t>
            </w:r>
          </w:p>
        </w:tc>
        <w:tc>
          <w:tcPr>
            <w:tcW w:w="1559" w:type="dxa"/>
            <w:shd w:val="clear" w:color="auto" w:fill="C6EFCE"/>
            <w:noWrap/>
            <w:vAlign w:val="center"/>
          </w:tcPr>
          <w:p w14:paraId="570F8E9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0ADE6B23"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11C0D23E"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tcPr>
          <w:p w14:paraId="2D4E54AA" w14:textId="77777777" w:rsidR="0057163C" w:rsidRPr="00170422" w:rsidRDefault="00F37BF9">
            <w:pPr>
              <w:pStyle w:val="P68B1DB1-Normal12"/>
              <w:jc w:val="center"/>
              <w:rPr>
                <w:rFonts w:cs="Arial"/>
                <w:noProof/>
                <w:lang w:val="de-DE"/>
              </w:rPr>
            </w:pPr>
            <w:r w:rsidRPr="00170422">
              <w:rPr>
                <w:noProof/>
                <w:lang w:val="de-DE"/>
              </w:rPr>
              <w:t>8 300</w:t>
            </w:r>
          </w:p>
        </w:tc>
        <w:tc>
          <w:tcPr>
            <w:tcW w:w="992" w:type="dxa"/>
            <w:shd w:val="clear" w:color="auto" w:fill="C6EFCE"/>
            <w:noWrap/>
            <w:vAlign w:val="center"/>
          </w:tcPr>
          <w:p w14:paraId="3112C3D1"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shd w:val="clear" w:color="auto" w:fill="C6EFCE"/>
            <w:noWrap/>
            <w:vAlign w:val="center"/>
          </w:tcPr>
          <w:p w14:paraId="37EEFC66"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shd w:val="clear" w:color="auto" w:fill="C6EFCE"/>
            <w:noWrap/>
            <w:vAlign w:val="center"/>
          </w:tcPr>
          <w:p w14:paraId="665595DE" w14:textId="48600C6A" w:rsidR="0057163C" w:rsidRPr="00170422" w:rsidRDefault="00F37BF9">
            <w:pPr>
              <w:pStyle w:val="P68B1DB1-Normal12"/>
              <w:rPr>
                <w:rFonts w:cs="Arial"/>
                <w:noProof/>
                <w:lang w:val="de-DE"/>
              </w:rPr>
            </w:pPr>
            <w:r w:rsidRPr="00170422">
              <w:rPr>
                <w:noProof/>
                <w:lang w:val="de-DE"/>
              </w:rPr>
              <w:t>Mindestens 8300 Freiwillige werden</w:t>
            </w:r>
            <w:r w:rsidRPr="00170422">
              <w:rPr>
                <w:noProof/>
                <w:lang w:val="de-DE"/>
              </w:rPr>
              <w:t xml:space="preserve"> von der Abteilung für den digitalen Wandel in digitalen Kompetenzen geschult, um Menschen, die von digitaler Ausgrenzung bedroht sind, innerhalb der Organisationen, die im nationalen Register der Organisationen des öffentlichen Dienstes registriert sind, </w:t>
            </w:r>
            <w:r w:rsidRPr="00170422">
              <w:rPr>
                <w:noProof/>
                <w:lang w:val="de-DE"/>
              </w:rPr>
              <w:t xml:space="preserve">digitale Bildung anzubieten. </w:t>
            </w:r>
          </w:p>
        </w:tc>
      </w:tr>
      <w:tr w:rsidR="0057163C" w:rsidRPr="00170422" w14:paraId="649B1C7A" w14:textId="77777777" w:rsidTr="00D64E63">
        <w:trPr>
          <w:trHeight w:val="309"/>
        </w:trPr>
        <w:tc>
          <w:tcPr>
            <w:tcW w:w="1135" w:type="dxa"/>
            <w:shd w:val="clear" w:color="auto" w:fill="C6EFCE"/>
            <w:noWrap/>
            <w:vAlign w:val="center"/>
          </w:tcPr>
          <w:p w14:paraId="0736C832" w14:textId="77777777" w:rsidR="0057163C" w:rsidRPr="00170422" w:rsidRDefault="00F37BF9">
            <w:pPr>
              <w:pStyle w:val="P68B1DB1-Normal11"/>
              <w:jc w:val="center"/>
              <w:rPr>
                <w:rFonts w:cs="Arial"/>
                <w:noProof/>
                <w:szCs w:val="20"/>
                <w:lang w:val="de-DE"/>
              </w:rPr>
            </w:pPr>
            <w:r w:rsidRPr="00170422">
              <w:rPr>
                <w:noProof/>
                <w:lang w:val="de-DE"/>
              </w:rPr>
              <w:t>M1C1-25</w:t>
            </w:r>
          </w:p>
        </w:tc>
        <w:tc>
          <w:tcPr>
            <w:tcW w:w="1417" w:type="dxa"/>
            <w:shd w:val="clear" w:color="auto" w:fill="C6EFCE"/>
            <w:noWrap/>
            <w:vAlign w:val="center"/>
          </w:tcPr>
          <w:p w14:paraId="5BAAEA6C" w14:textId="77777777" w:rsidR="0057163C" w:rsidRPr="00170422" w:rsidRDefault="00F37BF9">
            <w:pPr>
              <w:pStyle w:val="P68B1DB1-Normal11"/>
              <w:jc w:val="center"/>
              <w:rPr>
                <w:rFonts w:cs="Arial"/>
                <w:noProof/>
                <w:szCs w:val="20"/>
                <w:lang w:val="de-DE"/>
              </w:rPr>
            </w:pPr>
            <w:r w:rsidRPr="00170422">
              <w:rPr>
                <w:noProof/>
                <w:lang w:val="de-DE"/>
              </w:rPr>
              <w:t>Investition 1.6.6: Digitalisierung der Finanzpolizei</w:t>
            </w:r>
          </w:p>
        </w:tc>
        <w:tc>
          <w:tcPr>
            <w:tcW w:w="1276" w:type="dxa"/>
            <w:shd w:val="clear" w:color="auto" w:fill="C6EFCE"/>
            <w:noWrap/>
            <w:vAlign w:val="center"/>
          </w:tcPr>
          <w:p w14:paraId="46F01D48"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shd w:val="clear" w:color="auto" w:fill="C6EFCE"/>
            <w:noWrap/>
            <w:vAlign w:val="center"/>
          </w:tcPr>
          <w:p w14:paraId="04A02A27" w14:textId="77777777" w:rsidR="0057163C" w:rsidRPr="00170422" w:rsidRDefault="00F37BF9">
            <w:pPr>
              <w:pStyle w:val="P68B1DB1-Normal12"/>
              <w:jc w:val="center"/>
              <w:rPr>
                <w:rFonts w:cs="Arial"/>
                <w:noProof/>
                <w:lang w:val="de-DE"/>
              </w:rPr>
            </w:pPr>
            <w:r w:rsidRPr="00170422">
              <w:rPr>
                <w:noProof/>
                <w:lang w:val="de-DE"/>
              </w:rPr>
              <w:t>Weiterentwicklung der Informationssysteme zur Bekämpfung der Wirtschaftskriminalität</w:t>
            </w:r>
          </w:p>
        </w:tc>
        <w:tc>
          <w:tcPr>
            <w:tcW w:w="1559" w:type="dxa"/>
            <w:shd w:val="clear" w:color="auto" w:fill="C6EFCE"/>
            <w:noWrap/>
            <w:vAlign w:val="center"/>
          </w:tcPr>
          <w:p w14:paraId="0F7DC93A" w14:textId="230C7D58" w:rsidR="0057163C" w:rsidRPr="00170422" w:rsidRDefault="00F37BF9">
            <w:pPr>
              <w:pStyle w:val="P68B1DB1-Normal12"/>
              <w:jc w:val="center"/>
              <w:rPr>
                <w:rFonts w:cs="Arial"/>
                <w:noProof/>
                <w:lang w:val="de-DE"/>
              </w:rPr>
            </w:pPr>
            <w:r w:rsidRPr="00170422">
              <w:rPr>
                <w:noProof/>
                <w:lang w:val="de-DE"/>
              </w:rPr>
              <w:t>IT-Systeme mit neuen Funktionen</w:t>
            </w:r>
          </w:p>
        </w:tc>
        <w:tc>
          <w:tcPr>
            <w:tcW w:w="1276" w:type="dxa"/>
            <w:shd w:val="clear" w:color="auto" w:fill="C6EFCE"/>
            <w:noWrap/>
            <w:vAlign w:val="center"/>
          </w:tcPr>
          <w:p w14:paraId="679D6C3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shd w:val="clear" w:color="auto" w:fill="C6EFCE"/>
            <w:noWrap/>
            <w:vAlign w:val="center"/>
          </w:tcPr>
          <w:p w14:paraId="1D4E6CE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shd w:val="clear" w:color="auto" w:fill="C6EFCE"/>
            <w:noWrap/>
            <w:vAlign w:val="center"/>
          </w:tcPr>
          <w:p w14:paraId="64B3ABD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shd w:val="clear" w:color="auto" w:fill="C6EFCE"/>
            <w:noWrap/>
            <w:vAlign w:val="center"/>
          </w:tcPr>
          <w:p w14:paraId="5BD4F2A2"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shd w:val="clear" w:color="auto" w:fill="C6EFCE"/>
            <w:noWrap/>
            <w:vAlign w:val="center"/>
          </w:tcPr>
          <w:p w14:paraId="136D1748"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shd w:val="clear" w:color="auto" w:fill="C6EFCE"/>
            <w:noWrap/>
            <w:vAlign w:val="center"/>
          </w:tcPr>
          <w:p w14:paraId="5B22E43F" w14:textId="77777777" w:rsidR="0057163C" w:rsidRPr="00170422" w:rsidRDefault="00F37BF9">
            <w:pPr>
              <w:pStyle w:val="P68B1DB1-Normal12"/>
              <w:rPr>
                <w:rFonts w:cs="Arial"/>
                <w:noProof/>
                <w:lang w:val="de-DE"/>
              </w:rPr>
            </w:pPr>
            <w:r w:rsidRPr="00170422">
              <w:rPr>
                <w:noProof/>
                <w:lang w:val="de-DE"/>
              </w:rPr>
              <w:t>Freigabe neuer Funktionen der Informationssysteme zur Bekämpfung der Wirtschaftskriminalität.</w:t>
            </w:r>
          </w:p>
        </w:tc>
      </w:tr>
      <w:tr w:rsidR="0057163C" w:rsidRPr="00170422" w14:paraId="04472B31" w14:textId="77777777" w:rsidTr="00D64E63">
        <w:trPr>
          <w:trHeight w:val="309"/>
        </w:trPr>
        <w:tc>
          <w:tcPr>
            <w:tcW w:w="1135" w:type="dxa"/>
            <w:shd w:val="clear" w:color="auto" w:fill="C6EFCE"/>
            <w:noWrap/>
            <w:vAlign w:val="center"/>
            <w:hideMark/>
          </w:tcPr>
          <w:p w14:paraId="2DA05B20" w14:textId="77777777" w:rsidR="0057163C" w:rsidRPr="00170422" w:rsidRDefault="00F37BF9">
            <w:pPr>
              <w:pStyle w:val="P68B1DB1-Normal11"/>
              <w:jc w:val="center"/>
              <w:rPr>
                <w:rFonts w:cs="Arial"/>
                <w:noProof/>
                <w:szCs w:val="20"/>
                <w:lang w:val="de-DE"/>
              </w:rPr>
            </w:pPr>
            <w:r w:rsidRPr="00170422">
              <w:rPr>
                <w:noProof/>
                <w:lang w:val="de-DE"/>
              </w:rPr>
              <w:t>M1C1-26</w:t>
            </w:r>
          </w:p>
        </w:tc>
        <w:tc>
          <w:tcPr>
            <w:tcW w:w="1417" w:type="dxa"/>
            <w:shd w:val="clear" w:color="auto" w:fill="C6EFCE"/>
            <w:noWrap/>
            <w:vAlign w:val="center"/>
            <w:hideMark/>
          </w:tcPr>
          <w:p w14:paraId="7BD49631" w14:textId="77777777" w:rsidR="0057163C" w:rsidRPr="00170422" w:rsidRDefault="00F37BF9">
            <w:pPr>
              <w:pStyle w:val="P68B1DB1-Normal11"/>
              <w:jc w:val="center"/>
              <w:rPr>
                <w:rFonts w:cs="Arial"/>
                <w:noProof/>
                <w:szCs w:val="20"/>
                <w:lang w:val="de-DE"/>
              </w:rPr>
            </w:pPr>
            <w:r w:rsidRPr="00170422">
              <w:rPr>
                <w:noProof/>
                <w:lang w:val="de-DE"/>
              </w:rPr>
              <w:t>Investition 1.1: Digitale Infrastruktur</w:t>
            </w:r>
          </w:p>
        </w:tc>
        <w:tc>
          <w:tcPr>
            <w:tcW w:w="1276" w:type="dxa"/>
            <w:shd w:val="clear" w:color="auto" w:fill="C6EFCE"/>
            <w:noWrap/>
            <w:vAlign w:val="center"/>
            <w:hideMark/>
          </w:tcPr>
          <w:p w14:paraId="2592BF27"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hideMark/>
          </w:tcPr>
          <w:p w14:paraId="09BBFDA2" w14:textId="77777777" w:rsidR="0057163C" w:rsidRPr="00170422" w:rsidRDefault="00F37BF9">
            <w:pPr>
              <w:pStyle w:val="P68B1DB1-Normal12"/>
              <w:jc w:val="center"/>
              <w:rPr>
                <w:rFonts w:cs="Arial"/>
                <w:noProof/>
                <w:lang w:val="de-DE"/>
              </w:rPr>
            </w:pPr>
            <w:r w:rsidRPr="00170422">
              <w:rPr>
                <w:noProof/>
                <w:lang w:val="de-DE"/>
              </w:rPr>
              <w:t xml:space="preserve">Migration zum Polo Strategico Nazionale oder zu einem sicheren, zertifizierten öffentlichen </w:t>
            </w:r>
            <w:r w:rsidRPr="00170422">
              <w:rPr>
                <w:noProof/>
                <w:lang w:val="de-DE"/>
              </w:rPr>
              <w:t>Cloud-Umfeld</w:t>
            </w:r>
          </w:p>
        </w:tc>
        <w:tc>
          <w:tcPr>
            <w:tcW w:w="1559" w:type="dxa"/>
            <w:shd w:val="clear" w:color="auto" w:fill="C6EFCE"/>
            <w:noWrap/>
            <w:vAlign w:val="center"/>
            <w:hideMark/>
          </w:tcPr>
          <w:p w14:paraId="0BFDE7C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hideMark/>
          </w:tcPr>
          <w:p w14:paraId="26B0778F"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hideMark/>
          </w:tcPr>
          <w:p w14:paraId="5AE77560"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shd w:val="clear" w:color="auto" w:fill="C6EFCE"/>
            <w:noWrap/>
            <w:vAlign w:val="center"/>
            <w:hideMark/>
          </w:tcPr>
          <w:p w14:paraId="7C8EC833" w14:textId="77777777" w:rsidR="0057163C" w:rsidRPr="00170422" w:rsidRDefault="00F37BF9">
            <w:pPr>
              <w:pStyle w:val="P68B1DB1-Normal11"/>
              <w:jc w:val="center"/>
              <w:rPr>
                <w:rFonts w:cs="Arial"/>
                <w:noProof/>
                <w:szCs w:val="20"/>
                <w:lang w:val="de-DE"/>
              </w:rPr>
            </w:pPr>
            <w:r w:rsidRPr="00170422">
              <w:rPr>
                <w:noProof/>
                <w:lang w:val="de-DE"/>
              </w:rPr>
              <w:t>280</w:t>
            </w:r>
          </w:p>
        </w:tc>
        <w:tc>
          <w:tcPr>
            <w:tcW w:w="992" w:type="dxa"/>
            <w:shd w:val="clear" w:color="auto" w:fill="C6EFCE"/>
            <w:noWrap/>
            <w:vAlign w:val="center"/>
            <w:hideMark/>
          </w:tcPr>
          <w:p w14:paraId="0CA3550D" w14:textId="77777777" w:rsidR="0057163C" w:rsidRPr="00170422" w:rsidRDefault="00F37BF9">
            <w:pPr>
              <w:pStyle w:val="P68B1DB1-Normal12"/>
              <w:jc w:val="center"/>
              <w:rPr>
                <w:rFonts w:cs="Arial"/>
                <w:noProof/>
                <w:lang w:val="de-DE"/>
              </w:rPr>
            </w:pPr>
            <w:r w:rsidRPr="00170422">
              <w:rPr>
                <w:noProof/>
                <w:lang w:val="de-DE"/>
              </w:rPr>
              <w:t>Q2</w:t>
            </w:r>
          </w:p>
        </w:tc>
        <w:tc>
          <w:tcPr>
            <w:tcW w:w="852" w:type="dxa"/>
            <w:shd w:val="clear" w:color="auto" w:fill="C6EFCE"/>
            <w:noWrap/>
            <w:vAlign w:val="center"/>
            <w:hideMark/>
          </w:tcPr>
          <w:p w14:paraId="71028566" w14:textId="77777777" w:rsidR="0057163C" w:rsidRPr="00170422" w:rsidRDefault="00F37BF9">
            <w:pPr>
              <w:pStyle w:val="P68B1DB1-Normal12"/>
              <w:jc w:val="center"/>
              <w:rPr>
                <w:rFonts w:cs="Arial"/>
                <w:noProof/>
                <w:lang w:val="de-DE"/>
              </w:rPr>
            </w:pPr>
            <w:r w:rsidRPr="00170422">
              <w:rPr>
                <w:noProof/>
                <w:lang w:val="de-DE"/>
              </w:rPr>
              <w:t>2026</w:t>
            </w:r>
          </w:p>
        </w:tc>
        <w:tc>
          <w:tcPr>
            <w:tcW w:w="3259" w:type="dxa"/>
            <w:shd w:val="clear" w:color="auto" w:fill="C6EFCE"/>
            <w:noWrap/>
            <w:vAlign w:val="center"/>
            <w:hideMark/>
          </w:tcPr>
          <w:p w14:paraId="08C4844F" w14:textId="77777777" w:rsidR="0057163C" w:rsidRPr="00170422" w:rsidRDefault="00F37BF9">
            <w:pPr>
              <w:pStyle w:val="P68B1DB1-Normal16"/>
              <w:spacing w:after="120"/>
              <w:rPr>
                <w:rFonts w:cs="Arial"/>
                <w:noProof/>
                <w:color w:val="006100"/>
                <w:lang w:val="de-DE"/>
              </w:rPr>
            </w:pPr>
            <w:r w:rsidRPr="00170422">
              <w:rPr>
                <w:noProof/>
                <w:color w:val="006100"/>
                <w:lang w:val="de-DE"/>
              </w:rPr>
              <w:t>Mindestens 280 zentrale öffentliche Verwaltungen und lokale Gesundheitsbehörden (Aziende Sanitarie Locali/Aziende Ospedaliere) migrierten zu „Polo Strategico Nazionale“ (PSN) oder zu einem sicheren, zertifizier</w:t>
            </w:r>
            <w:r w:rsidRPr="00170422">
              <w:rPr>
                <w:noProof/>
                <w:color w:val="006100"/>
                <w:lang w:val="de-DE"/>
              </w:rPr>
              <w:t>ten öffentlichen Cloud-Umfeld</w:t>
            </w:r>
            <w:r w:rsidRPr="00170422">
              <w:rPr>
                <w:noProof/>
                <w:lang w:val="de-DE"/>
              </w:rPr>
              <w:t xml:space="preserve"> </w:t>
            </w:r>
            <w:r w:rsidRPr="00170422">
              <w:rPr>
                <w:noProof/>
                <w:color w:val="006100"/>
                <w:lang w:val="de-DE"/>
              </w:rPr>
              <w:t xml:space="preserve">gemäß dem von der Abteilung für den digitalen Wandel genehmigten Migrationsplan. </w:t>
            </w:r>
          </w:p>
          <w:p w14:paraId="76146DB0" w14:textId="77777777" w:rsidR="0057163C" w:rsidRPr="00170422" w:rsidRDefault="00F37BF9">
            <w:pPr>
              <w:pStyle w:val="P68B1DB1-Normal12"/>
              <w:spacing w:after="120"/>
              <w:rPr>
                <w:rFonts w:cs="Arial"/>
                <w:noProof/>
                <w:lang w:val="de-DE"/>
              </w:rPr>
            </w:pPr>
            <w:r w:rsidRPr="00170422">
              <w:rPr>
                <w:noProof/>
                <w:lang w:val="de-DE"/>
              </w:rPr>
              <w:t>Die Migration kann je nach dem Stand der Technik der IT-Architektur der Software vor Ort, die jeder migrierenden öffentlichen Verwaltung gehört,</w:t>
            </w:r>
            <w:r w:rsidRPr="00170422">
              <w:rPr>
                <w:noProof/>
                <w:lang w:val="de-DE"/>
              </w:rPr>
              <w:t xml:space="preserve"> auf unterschiedliche Weise durchgeführt werden.</w:t>
            </w:r>
          </w:p>
          <w:p w14:paraId="08C0F27A" w14:textId="77777777" w:rsidR="0057163C" w:rsidRPr="00170422" w:rsidRDefault="00F37BF9">
            <w:pPr>
              <w:pStyle w:val="P68B1DB1-Normal12"/>
              <w:spacing w:after="120"/>
              <w:rPr>
                <w:rFonts w:cs="Arial"/>
                <w:noProof/>
                <w:lang w:val="de-DE"/>
              </w:rPr>
            </w:pPr>
            <w:r w:rsidRPr="00170422">
              <w:rPr>
                <w:noProof/>
                <w:lang w:val="de-DE"/>
              </w:rPr>
              <w:t>Diese Strategien können von reinen Hosting- und Aufzugsmigrationen für nicht Cloud-fähige Software bis hin zu einer Migration zu Infrastructure-as-a-Service (IaaS), Platform-as-a-Service (PaaS) oder Software</w:t>
            </w:r>
            <w:r w:rsidRPr="00170422">
              <w:rPr>
                <w:noProof/>
                <w:lang w:val="de-DE"/>
              </w:rPr>
              <w:t>-as-a-Service (SaaS) für Cloud-fähige Software reichen.</w:t>
            </w:r>
          </w:p>
          <w:p w14:paraId="6D22D768" w14:textId="77777777" w:rsidR="0057163C" w:rsidRPr="00170422" w:rsidRDefault="00F37BF9">
            <w:pPr>
              <w:pStyle w:val="P68B1DB1-Normal12"/>
              <w:spacing w:after="120"/>
              <w:rPr>
                <w:rFonts w:cs="Arial"/>
                <w:noProof/>
                <w:lang w:val="de-DE"/>
              </w:rPr>
            </w:pPr>
            <w:r w:rsidRPr="00170422">
              <w:rPr>
                <w:noProof/>
                <w:lang w:val="de-DE"/>
              </w:rPr>
              <w:t>Mindestens 40 % der migrierten Dienste werden entweder über IaaS-, PaaS- oder SaaS-Lösungen umgesetzt.</w:t>
            </w:r>
          </w:p>
          <w:p w14:paraId="6CAEAD9C" w14:textId="77777777" w:rsidR="0057163C" w:rsidRPr="00170422" w:rsidRDefault="00F37BF9">
            <w:pPr>
              <w:pStyle w:val="P68B1DB1-Normal12"/>
              <w:spacing w:after="120"/>
              <w:rPr>
                <w:rFonts w:cs="Arial"/>
                <w:noProof/>
                <w:lang w:val="de-DE"/>
              </w:rPr>
            </w:pPr>
            <w:r w:rsidRPr="00170422">
              <w:rPr>
                <w:noProof/>
                <w:lang w:val="de-DE"/>
              </w:rPr>
              <w:t xml:space="preserve">Der PSN oder ein alternativer, sicherer, zertifizierter öffentlicher Cloud-Anbieter bietet jeder </w:t>
            </w:r>
            <w:r w:rsidRPr="00170422">
              <w:rPr>
                <w:noProof/>
                <w:lang w:val="de-DE"/>
              </w:rPr>
              <w:t>migrierenden öffentlichen Verwaltung alle Migrationsstrategien an, die für die Berücksichtigung des erreichten Ziels in Frage kommen.</w:t>
            </w:r>
          </w:p>
        </w:tc>
      </w:tr>
      <w:tr w:rsidR="0057163C" w:rsidRPr="00170422" w14:paraId="4731F318" w14:textId="77777777" w:rsidTr="00D64E63">
        <w:trPr>
          <w:trHeight w:val="309"/>
        </w:trPr>
        <w:tc>
          <w:tcPr>
            <w:tcW w:w="1135" w:type="dxa"/>
            <w:shd w:val="clear" w:color="auto" w:fill="C6EFCE"/>
            <w:noWrap/>
            <w:vAlign w:val="center"/>
          </w:tcPr>
          <w:p w14:paraId="3950B178" w14:textId="77777777" w:rsidR="0057163C" w:rsidRPr="00170422" w:rsidRDefault="00F37BF9">
            <w:pPr>
              <w:pStyle w:val="P68B1DB1-Normal11"/>
              <w:jc w:val="center"/>
              <w:rPr>
                <w:rFonts w:cs="Arial"/>
                <w:noProof/>
                <w:szCs w:val="20"/>
                <w:lang w:val="de-DE"/>
              </w:rPr>
            </w:pPr>
            <w:r w:rsidRPr="00170422">
              <w:rPr>
                <w:noProof/>
                <w:lang w:val="de-DE"/>
              </w:rPr>
              <w:t>M1C1-27</w:t>
            </w:r>
          </w:p>
        </w:tc>
        <w:tc>
          <w:tcPr>
            <w:tcW w:w="1417" w:type="dxa"/>
            <w:shd w:val="clear" w:color="auto" w:fill="C6EFCE"/>
            <w:noWrap/>
            <w:vAlign w:val="center"/>
          </w:tcPr>
          <w:p w14:paraId="67B52B0C" w14:textId="77777777" w:rsidR="0057163C" w:rsidRPr="00170422" w:rsidRDefault="00F37BF9">
            <w:pPr>
              <w:pStyle w:val="P68B1DB1-Normal11"/>
              <w:jc w:val="center"/>
              <w:rPr>
                <w:rFonts w:cs="Arial"/>
                <w:noProof/>
                <w:szCs w:val="20"/>
                <w:lang w:val="de-DE"/>
              </w:rPr>
            </w:pPr>
            <w:r w:rsidRPr="00170422">
              <w:rPr>
                <w:noProof/>
                <w:lang w:val="de-DE"/>
              </w:rPr>
              <w:t>Investition 1.3.1: Nationale digitale Datenplattform</w:t>
            </w:r>
          </w:p>
        </w:tc>
        <w:tc>
          <w:tcPr>
            <w:tcW w:w="1276" w:type="dxa"/>
            <w:shd w:val="clear" w:color="auto" w:fill="C6EFCE"/>
            <w:noWrap/>
            <w:vAlign w:val="center"/>
          </w:tcPr>
          <w:p w14:paraId="2C415F20"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62EB1A73" w14:textId="77777777" w:rsidR="0057163C" w:rsidRPr="00170422" w:rsidRDefault="00F37BF9">
            <w:pPr>
              <w:pStyle w:val="P68B1DB1-Normal11"/>
              <w:jc w:val="center"/>
              <w:rPr>
                <w:rFonts w:cs="Arial"/>
                <w:noProof/>
                <w:szCs w:val="20"/>
                <w:lang w:val="de-DE"/>
              </w:rPr>
            </w:pPr>
            <w:r w:rsidRPr="00170422">
              <w:rPr>
                <w:noProof/>
                <w:lang w:val="de-DE"/>
              </w:rPr>
              <w:t>API auf der nationalen digitalen Datenplattform T2</w:t>
            </w:r>
          </w:p>
        </w:tc>
        <w:tc>
          <w:tcPr>
            <w:tcW w:w="1559" w:type="dxa"/>
            <w:shd w:val="clear" w:color="auto" w:fill="C6EFCE"/>
            <w:noWrap/>
            <w:vAlign w:val="center"/>
          </w:tcPr>
          <w:p w14:paraId="7062A71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13B0D3C2"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01B86829" w14:textId="77777777" w:rsidR="0057163C" w:rsidRPr="00170422" w:rsidRDefault="00F37BF9">
            <w:pPr>
              <w:pStyle w:val="P68B1DB1-Normal11"/>
              <w:jc w:val="center"/>
              <w:rPr>
                <w:rFonts w:cs="Arial"/>
                <w:noProof/>
                <w:szCs w:val="20"/>
                <w:lang w:val="de-DE"/>
              </w:rPr>
            </w:pPr>
            <w:r w:rsidRPr="00170422">
              <w:rPr>
                <w:noProof/>
                <w:lang w:val="de-DE"/>
              </w:rPr>
              <w:t>3 000</w:t>
            </w:r>
          </w:p>
        </w:tc>
        <w:tc>
          <w:tcPr>
            <w:tcW w:w="1418" w:type="dxa"/>
            <w:shd w:val="clear" w:color="auto" w:fill="C6EFCE"/>
            <w:noWrap/>
            <w:vAlign w:val="center"/>
          </w:tcPr>
          <w:p w14:paraId="1A80A698" w14:textId="77777777" w:rsidR="0057163C" w:rsidRPr="00170422" w:rsidRDefault="00F37BF9">
            <w:pPr>
              <w:pStyle w:val="P68B1DB1-Normal11"/>
              <w:jc w:val="center"/>
              <w:rPr>
                <w:rFonts w:cs="Arial"/>
                <w:noProof/>
                <w:szCs w:val="20"/>
                <w:lang w:val="de-DE"/>
              </w:rPr>
            </w:pPr>
            <w:r w:rsidRPr="00170422">
              <w:rPr>
                <w:noProof/>
                <w:lang w:val="de-DE"/>
              </w:rPr>
              <w:t>7 000</w:t>
            </w:r>
          </w:p>
        </w:tc>
        <w:tc>
          <w:tcPr>
            <w:tcW w:w="992" w:type="dxa"/>
            <w:shd w:val="clear" w:color="auto" w:fill="C6EFCE"/>
            <w:noWrap/>
            <w:vAlign w:val="center"/>
          </w:tcPr>
          <w:p w14:paraId="5483C373" w14:textId="77777777" w:rsidR="0057163C" w:rsidRPr="00170422" w:rsidRDefault="00F37BF9">
            <w:pPr>
              <w:pStyle w:val="P68B1DB1-Normal12"/>
              <w:jc w:val="center"/>
              <w:rPr>
                <w:rFonts w:cs="Arial"/>
                <w:noProof/>
                <w:lang w:val="de-DE"/>
              </w:rPr>
            </w:pPr>
            <w:r w:rsidRPr="00170422">
              <w:rPr>
                <w:noProof/>
                <w:lang w:val="de-DE"/>
              </w:rPr>
              <w:t>4. QUARTAL</w:t>
            </w:r>
          </w:p>
        </w:tc>
        <w:tc>
          <w:tcPr>
            <w:tcW w:w="852" w:type="dxa"/>
            <w:shd w:val="clear" w:color="auto" w:fill="C6EFCE"/>
            <w:noWrap/>
            <w:vAlign w:val="center"/>
          </w:tcPr>
          <w:p w14:paraId="5DEE0664" w14:textId="77777777" w:rsidR="0057163C" w:rsidRPr="00170422" w:rsidRDefault="00F37BF9">
            <w:pPr>
              <w:pStyle w:val="P68B1DB1-Normal12"/>
              <w:jc w:val="center"/>
              <w:rPr>
                <w:rFonts w:cs="Arial"/>
                <w:noProof/>
                <w:lang w:val="de-DE"/>
              </w:rPr>
            </w:pPr>
            <w:r w:rsidRPr="00170422">
              <w:rPr>
                <w:noProof/>
                <w:lang w:val="de-DE"/>
              </w:rPr>
              <w:t>2025</w:t>
            </w:r>
          </w:p>
        </w:tc>
        <w:tc>
          <w:tcPr>
            <w:tcW w:w="3259" w:type="dxa"/>
            <w:shd w:val="clear" w:color="auto" w:fill="C6EFCE"/>
            <w:noWrap/>
            <w:vAlign w:val="center"/>
          </w:tcPr>
          <w:p w14:paraId="0F780E96" w14:textId="77777777" w:rsidR="0057163C" w:rsidRPr="00170422" w:rsidRDefault="00F37BF9">
            <w:pPr>
              <w:pStyle w:val="P68B1DB1-Normal12"/>
              <w:spacing w:after="120"/>
              <w:rPr>
                <w:rFonts w:cs="Arial"/>
                <w:noProof/>
                <w:lang w:val="de-DE"/>
              </w:rPr>
            </w:pPr>
            <w:r w:rsidRPr="00170422">
              <w:rPr>
                <w:noProof/>
                <w:lang w:val="de-DE"/>
              </w:rPr>
              <w:t>Dieses Ziel besteht darin, mindestens 4000 zusätzliche Anwendungsprogrammierschnittstellen (APIs) zu erreichen, die im API-Katalog veröffentlicht werden (insgesamt 7000).</w:t>
            </w:r>
          </w:p>
          <w:p w14:paraId="0BD44552" w14:textId="77777777" w:rsidR="0057163C" w:rsidRPr="00170422" w:rsidRDefault="00F37BF9">
            <w:pPr>
              <w:pStyle w:val="P68B1DB1-Normal12"/>
              <w:spacing w:after="120"/>
              <w:rPr>
                <w:rFonts w:cs="Arial"/>
                <w:noProof/>
                <w:lang w:val="de-DE"/>
              </w:rPr>
            </w:pPr>
            <w:r w:rsidRPr="00170422">
              <w:rPr>
                <w:noProof/>
                <w:lang w:val="de-DE"/>
              </w:rPr>
              <w:t>Die veröffentlichten APIs betreffen mehr</w:t>
            </w:r>
            <w:r w:rsidRPr="00170422">
              <w:rPr>
                <w:noProof/>
                <w:lang w:val="de-DE"/>
              </w:rPr>
              <w:t>ere Bereiche, zu denen unter anderem Folgendes gehören kann:</w:t>
            </w:r>
          </w:p>
          <w:p w14:paraId="6974106F" w14:textId="77777777" w:rsidR="0057163C" w:rsidRPr="00170422" w:rsidRDefault="00F37BF9">
            <w:pPr>
              <w:pStyle w:val="P68B1DB1-Normal12"/>
              <w:spacing w:after="120"/>
              <w:ind w:right="-62"/>
              <w:rPr>
                <w:rFonts w:cs="Arial"/>
                <w:noProof/>
                <w:lang w:val="de-DE"/>
              </w:rPr>
            </w:pPr>
            <w:r w:rsidRPr="00170422">
              <w:rPr>
                <w:noProof/>
                <w:lang w:val="de-DE"/>
              </w:rPr>
              <w:t>I) nationale Daten in Bezug auf Einstellung, Ruhestand, Schul- und Hochschuleinschreibung (z. B. Nationales Studentenregister und Register der öffentlichen Verwaltung), Einhaltung der Steuervorsc</w:t>
            </w:r>
            <w:r w:rsidRPr="00170422">
              <w:rPr>
                <w:noProof/>
                <w:lang w:val="de-DE"/>
              </w:rPr>
              <w:t>hriften oder nationales Informationssystem für medizinische Daten und gesundheitliche Notlagen.</w:t>
            </w:r>
          </w:p>
          <w:p w14:paraId="24A774A0" w14:textId="77777777" w:rsidR="0057163C" w:rsidRPr="00170422" w:rsidRDefault="00F37BF9">
            <w:pPr>
              <w:pStyle w:val="P68B1DB1-Normal12"/>
              <w:spacing w:after="120"/>
              <w:ind w:right="-62"/>
              <w:rPr>
                <w:rFonts w:cs="Arial"/>
                <w:noProof/>
                <w:lang w:val="de-DE"/>
              </w:rPr>
            </w:pPr>
            <w:r w:rsidRPr="00170422">
              <w:rPr>
                <w:noProof/>
                <w:lang w:val="de-DE"/>
              </w:rPr>
              <w:t>Jede API-Implementierung und Dokumentation muss den nationalen Interoperabilitätsstandards entsprechen. Der Rahmen der nationalen digitalen Datenplattform biete</w:t>
            </w:r>
            <w:r w:rsidRPr="00170422">
              <w:rPr>
                <w:noProof/>
                <w:lang w:val="de-DE"/>
              </w:rPr>
              <w:t>t Funktionen zur Bewertung dieser Einhaltung.</w:t>
            </w:r>
          </w:p>
        </w:tc>
      </w:tr>
      <w:tr w:rsidR="0057163C" w:rsidRPr="00170422" w14:paraId="02288AA6" w14:textId="77777777" w:rsidTr="00D64E63">
        <w:trPr>
          <w:trHeight w:val="309"/>
        </w:trPr>
        <w:tc>
          <w:tcPr>
            <w:tcW w:w="1135" w:type="dxa"/>
            <w:shd w:val="clear" w:color="auto" w:fill="C6EFCE"/>
            <w:noWrap/>
            <w:vAlign w:val="center"/>
          </w:tcPr>
          <w:p w14:paraId="6247B8CF" w14:textId="77777777" w:rsidR="0057163C" w:rsidRPr="00170422" w:rsidRDefault="00F37BF9">
            <w:pPr>
              <w:pStyle w:val="P68B1DB1-Normal11"/>
              <w:jc w:val="center"/>
              <w:rPr>
                <w:rFonts w:cs="Arial"/>
                <w:noProof/>
                <w:szCs w:val="20"/>
                <w:lang w:val="de-DE"/>
              </w:rPr>
            </w:pPr>
            <w:r w:rsidRPr="00170422">
              <w:rPr>
                <w:noProof/>
                <w:lang w:val="de-DE"/>
              </w:rPr>
              <w:t>M1C1-28</w:t>
            </w:r>
          </w:p>
        </w:tc>
        <w:tc>
          <w:tcPr>
            <w:tcW w:w="1417" w:type="dxa"/>
            <w:shd w:val="clear" w:color="auto" w:fill="C6EFCE"/>
            <w:noWrap/>
            <w:vAlign w:val="center"/>
          </w:tcPr>
          <w:p w14:paraId="7489B5E9" w14:textId="77777777" w:rsidR="0057163C" w:rsidRPr="00170422" w:rsidRDefault="00F37BF9">
            <w:pPr>
              <w:pStyle w:val="P68B1DB1-Normal11"/>
              <w:jc w:val="center"/>
              <w:rPr>
                <w:rFonts w:cs="Arial"/>
                <w:noProof/>
                <w:szCs w:val="20"/>
                <w:lang w:val="de-DE"/>
              </w:rPr>
            </w:pPr>
            <w:r w:rsidRPr="00170422">
              <w:rPr>
                <w:noProof/>
                <w:lang w:val="de-DE"/>
              </w:rPr>
              <w:t>Investition 1.7.2: Netz digitaler Unterstützungsdienste</w:t>
            </w:r>
          </w:p>
        </w:tc>
        <w:tc>
          <w:tcPr>
            <w:tcW w:w="1276" w:type="dxa"/>
            <w:shd w:val="clear" w:color="auto" w:fill="C6EFCE"/>
            <w:noWrap/>
            <w:vAlign w:val="center"/>
          </w:tcPr>
          <w:p w14:paraId="6214AE3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shd w:val="clear" w:color="auto" w:fill="C6EFCE"/>
            <w:noWrap/>
            <w:vAlign w:val="center"/>
          </w:tcPr>
          <w:p w14:paraId="4E6D7171" w14:textId="77777777" w:rsidR="0057163C" w:rsidRPr="00170422" w:rsidRDefault="00F37BF9">
            <w:pPr>
              <w:pStyle w:val="P68B1DB1-Normal12"/>
              <w:jc w:val="center"/>
              <w:rPr>
                <w:rFonts w:cs="Arial"/>
                <w:noProof/>
                <w:lang w:val="de-DE"/>
              </w:rPr>
            </w:pPr>
            <w:r w:rsidRPr="00170422">
              <w:rPr>
                <w:noProof/>
                <w:lang w:val="de-DE"/>
              </w:rPr>
              <w:t>Zahl der Bürgerinnen und Bürger, die an digitalen Bildungs- und/oder Vermittlungsinitiativen teilnehmen,</w:t>
            </w:r>
            <w:r w:rsidRPr="00170422">
              <w:rPr>
                <w:noProof/>
                <w:lang w:val="de-DE"/>
              </w:rPr>
              <w:t xml:space="preserve"> die von digitalen Vermittlungszentren angeboten werden</w:t>
            </w:r>
          </w:p>
        </w:tc>
        <w:tc>
          <w:tcPr>
            <w:tcW w:w="1559" w:type="dxa"/>
            <w:shd w:val="clear" w:color="auto" w:fill="C6EFCE"/>
            <w:noWrap/>
            <w:vAlign w:val="center"/>
          </w:tcPr>
          <w:p w14:paraId="57A5CBA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shd w:val="clear" w:color="auto" w:fill="C6EFCE"/>
            <w:noWrap/>
            <w:vAlign w:val="center"/>
          </w:tcPr>
          <w:p w14:paraId="0E818F39"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shd w:val="clear" w:color="auto" w:fill="C6EFCE"/>
            <w:noWrap/>
            <w:vAlign w:val="center"/>
          </w:tcPr>
          <w:p w14:paraId="1B6025DF"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shd w:val="clear" w:color="auto" w:fill="C6EFCE"/>
            <w:noWrap/>
            <w:vAlign w:val="center"/>
          </w:tcPr>
          <w:p w14:paraId="52999D46" w14:textId="77777777" w:rsidR="0057163C" w:rsidRPr="00170422" w:rsidRDefault="00F37BF9">
            <w:pPr>
              <w:pStyle w:val="P68B1DB1-Normal11"/>
              <w:jc w:val="center"/>
              <w:rPr>
                <w:rFonts w:cs="Arial"/>
                <w:noProof/>
                <w:szCs w:val="20"/>
                <w:lang w:val="de-DE"/>
              </w:rPr>
            </w:pPr>
            <w:r w:rsidRPr="00170422">
              <w:rPr>
                <w:noProof/>
                <w:lang w:val="de-DE"/>
              </w:rPr>
              <w:t>2 000 000</w:t>
            </w:r>
          </w:p>
        </w:tc>
        <w:tc>
          <w:tcPr>
            <w:tcW w:w="992" w:type="dxa"/>
            <w:shd w:val="clear" w:color="auto" w:fill="C6EFCE"/>
            <w:noWrap/>
            <w:vAlign w:val="center"/>
          </w:tcPr>
          <w:p w14:paraId="6A336849"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shd w:val="clear" w:color="auto" w:fill="C6EFCE"/>
            <w:noWrap/>
            <w:vAlign w:val="center"/>
          </w:tcPr>
          <w:p w14:paraId="51349AE6"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shd w:val="clear" w:color="auto" w:fill="C6EFCE"/>
            <w:noWrap/>
            <w:vAlign w:val="center"/>
          </w:tcPr>
          <w:p w14:paraId="6A275659" w14:textId="4CF51013" w:rsidR="0057163C" w:rsidRPr="00170422" w:rsidRDefault="00F37BF9">
            <w:pPr>
              <w:pStyle w:val="P68B1DB1-Normal12"/>
              <w:spacing w:after="120"/>
              <w:rPr>
                <w:rFonts w:cs="Arial"/>
                <w:noProof/>
                <w:lang w:val="de-DE"/>
              </w:rPr>
            </w:pPr>
            <w:r w:rsidRPr="00170422">
              <w:rPr>
                <w:noProof/>
                <w:lang w:val="de-DE"/>
              </w:rPr>
              <w:t>Mindestens 2000000 Bürgerinnen und Bürger, von denen 30 % in Süditalien ansässig sind, nahmen gemäß der Registrierung auf der Plattform „Facilita“ des Ministeriums</w:t>
            </w:r>
            <w:r w:rsidRPr="00170422">
              <w:rPr>
                <w:noProof/>
                <w:lang w:val="de-DE"/>
              </w:rPr>
              <w:t xml:space="preserve"> für digitalen Wandel an digitalen Bildungs- und/oder Vermittlungsinitiativen teil.</w:t>
            </w:r>
          </w:p>
        </w:tc>
      </w:tr>
      <w:tr w:rsidR="0057163C" w:rsidRPr="00170422" w14:paraId="5F000AB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BAE83" w14:textId="77777777" w:rsidR="0057163C" w:rsidRPr="00170422" w:rsidRDefault="00F37BF9">
            <w:pPr>
              <w:pStyle w:val="P68B1DB1-Normal11"/>
              <w:jc w:val="center"/>
              <w:rPr>
                <w:rFonts w:cs="Arial"/>
                <w:noProof/>
                <w:szCs w:val="20"/>
                <w:lang w:val="de-DE"/>
              </w:rPr>
            </w:pPr>
            <w:r w:rsidRPr="00170422">
              <w:rPr>
                <w:noProof/>
                <w:lang w:val="de-DE"/>
              </w:rPr>
              <w:t>M1C1-29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2B7E1" w14:textId="77777777" w:rsidR="0057163C" w:rsidRPr="00170422" w:rsidRDefault="00F37BF9">
            <w:pPr>
              <w:pStyle w:val="P68B1DB1-Normal11"/>
              <w:jc w:val="center"/>
              <w:rPr>
                <w:rFonts w:cs="Arial"/>
                <w:noProof/>
                <w:szCs w:val="20"/>
                <w:lang w:val="de-DE"/>
              </w:rPr>
            </w:pPr>
            <w:r w:rsidRPr="00170422">
              <w:rPr>
                <w:noProof/>
                <w:lang w:val="de-DE"/>
              </w:rPr>
              <w:t>Reform 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4E684"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C1D22" w14:textId="77777777" w:rsidR="0057163C" w:rsidRPr="00170422" w:rsidRDefault="00F37BF9">
            <w:pPr>
              <w:pStyle w:val="P68B1DB1-Normal11"/>
              <w:jc w:val="center"/>
              <w:rPr>
                <w:rFonts w:cs="Arial"/>
                <w:noProof/>
                <w:szCs w:val="20"/>
                <w:lang w:val="de-DE"/>
              </w:rPr>
            </w:pPr>
            <w:r w:rsidRPr="00170422">
              <w:rPr>
                <w:noProof/>
                <w:lang w:val="de-DE"/>
              </w:rPr>
              <w:t>Inkrafttreten von Rechtsvorschriften für die Ziviljustizreform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D6909F" w14:textId="77777777" w:rsidR="0057163C" w:rsidRPr="00170422" w:rsidRDefault="00F37BF9">
            <w:pPr>
              <w:pStyle w:val="P68B1DB1-Normal12"/>
              <w:jc w:val="center"/>
              <w:rPr>
                <w:rFonts w:cs="Arial"/>
                <w:noProof/>
                <w:lang w:val="de-DE"/>
              </w:rPr>
            </w:pPr>
            <w:r w:rsidRPr="00170422">
              <w:rPr>
                <w:noProof/>
                <w:lang w:val="de-DE"/>
              </w:rPr>
              <w:t xml:space="preserve">Gesetzliche Bestimmung über das Inkrafttreten der </w:t>
            </w:r>
            <w:r w:rsidRPr="00170422">
              <w:rPr>
                <w:noProof/>
                <w:lang w:val="de-DE"/>
              </w:rPr>
              <w:t>Ermächtigungsvorschriften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6F39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A9FF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6EF7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9C8470"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19F85"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17B32" w14:textId="77777777" w:rsidR="0057163C" w:rsidRPr="00170422" w:rsidRDefault="00F37BF9">
            <w:pPr>
              <w:pStyle w:val="P68B1DB1-Normal12"/>
              <w:rPr>
                <w:rFonts w:cs="Arial"/>
                <w:noProof/>
                <w:lang w:val="de-DE"/>
              </w:rPr>
            </w:pPr>
            <w:r w:rsidRPr="00170422">
              <w:rPr>
                <w:noProof/>
                <w:lang w:val="de-DE"/>
              </w:rPr>
              <w:t>Die Ermächtigungsvorschriften umfassen mindestens folgende Maßnahmen: I) Einführung eines vereinfachten Verfahrens in erster Instanz/Gerichtsebene und Stärkung der Anwendung von „Filte</w:t>
            </w:r>
            <w:r w:rsidRPr="00170422">
              <w:rPr>
                <w:noProof/>
                <w:lang w:val="de-DE"/>
              </w:rPr>
              <w:t xml:space="preserve">rverfahren“ auf der Ebene der Berufungsinstanzen, einschließlich des erweiterten Rückgriffs auf vereinfachte Verfahren und des Spektrums der Fälle, in denen ein Einzelrichter für die Entscheidung zuständig ist; II) die tatsächliche Umsetzung verbindlicher </w:t>
            </w:r>
            <w:r w:rsidRPr="00170422">
              <w:rPr>
                <w:noProof/>
                <w:lang w:val="de-DE"/>
              </w:rPr>
              <w:t xml:space="preserve">Fristen für Verfahren und eines Zeitplans für die Erhebung von Beweismitteln und die elektronische Einreichung aller einschlägigen Rechtsakte und Dokumente sicherzustellen; III) den Rückgriff auf Mediation und alternative Streitbeilegung in Verbindung mit </w:t>
            </w:r>
            <w:r w:rsidRPr="00170422">
              <w:rPr>
                <w:noProof/>
                <w:lang w:val="de-DE"/>
              </w:rPr>
              <w:t>unterstützter Mediation, Schiedsverfahren und anderen möglichen Alternativen zu reformieren, um diese Institute wirksamer zu gestalten, um den Druck auf das Ziviljustizsystem zu deflationieren, unter anderem durch Anreize; IV) das Verfahren für die Zwangsv</w:t>
            </w:r>
            <w:r w:rsidRPr="00170422">
              <w:rPr>
                <w:noProof/>
                <w:lang w:val="de-DE"/>
              </w:rPr>
              <w:t>ollstreckung zu reformieren, um die derzeitige durchschnittliche Dauer zu verkürzen, wozu auch gehört, dass die Vollstreckung der für fällig erklärten Beträge schneller und kostengünstiger wird; Reform des derzeitigen Systems zur Quantifizierung und Beitre</w:t>
            </w:r>
            <w:r w:rsidRPr="00170422">
              <w:rPr>
                <w:noProof/>
                <w:lang w:val="de-DE"/>
              </w:rPr>
              <w:t xml:space="preserve">ibung von Gerichtskosten, um unseriöse Rechtsstreitigkeiten zu verringern; V) Einführung eines Überwachungssystems auf Gerichtsebene und Steigerung der Produktivität der Zivilgerichte durch Anreize zur Gewährleistung einer angemessenen Verfahrensdauer und </w:t>
            </w:r>
            <w:r w:rsidRPr="00170422">
              <w:rPr>
                <w:noProof/>
                <w:lang w:val="de-DE"/>
              </w:rPr>
              <w:t>einheitlicher Leistungen der Gerichte.</w:t>
            </w:r>
          </w:p>
        </w:tc>
      </w:tr>
      <w:tr w:rsidR="0057163C" w:rsidRPr="00170422" w14:paraId="580A756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93C92" w14:textId="77777777" w:rsidR="0057163C" w:rsidRPr="00170422" w:rsidRDefault="00F37BF9">
            <w:pPr>
              <w:pStyle w:val="P68B1DB1-Normal11"/>
              <w:jc w:val="center"/>
              <w:rPr>
                <w:rFonts w:cs="Arial"/>
                <w:noProof/>
                <w:szCs w:val="20"/>
                <w:lang w:val="de-DE"/>
              </w:rPr>
            </w:pPr>
            <w:r w:rsidRPr="00170422">
              <w:rPr>
                <w:noProof/>
                <w:lang w:val="de-DE"/>
              </w:rPr>
              <w:t>M1C1-30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57831" w14:textId="77777777" w:rsidR="0057163C" w:rsidRPr="00170422" w:rsidRDefault="00F37BF9">
            <w:pPr>
              <w:pStyle w:val="P68B1DB1-Normal11"/>
              <w:jc w:val="center"/>
              <w:rPr>
                <w:rFonts w:cs="Arial"/>
                <w:noProof/>
                <w:szCs w:val="20"/>
                <w:lang w:val="de-DE"/>
              </w:rPr>
            </w:pPr>
            <w:r w:rsidRPr="00170422">
              <w:rPr>
                <w:noProof/>
                <w:lang w:val="de-DE"/>
              </w:rPr>
              <w:t>Reform 1.5: Reform der Strafjustiz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60D0C2"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7DF6" w14:textId="77777777" w:rsidR="0057163C" w:rsidRPr="00170422" w:rsidRDefault="00F37BF9">
            <w:pPr>
              <w:pStyle w:val="P68B1DB1-Normal11"/>
              <w:jc w:val="center"/>
              <w:rPr>
                <w:rFonts w:cs="Arial"/>
                <w:noProof/>
                <w:szCs w:val="20"/>
                <w:lang w:val="de-DE"/>
              </w:rPr>
            </w:pPr>
            <w:r w:rsidRPr="00170422">
              <w:rPr>
                <w:noProof/>
                <w:lang w:val="de-DE"/>
              </w:rPr>
              <w:t>Inkrafttreten von Rechtsvorschriften zur Strafjustizreform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E3E40"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der Ermächtigungsvorschriften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170F1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9D5B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8C5E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C91C5"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1984"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CCCD3" w14:textId="77777777" w:rsidR="0057163C" w:rsidRPr="00170422" w:rsidRDefault="00F37BF9">
            <w:pPr>
              <w:pStyle w:val="P68B1DB1-Normal12"/>
              <w:spacing w:after="120"/>
              <w:rPr>
                <w:rFonts w:cs="Arial"/>
                <w:noProof/>
                <w:lang w:val="de-DE"/>
              </w:rPr>
            </w:pPr>
            <w:r w:rsidRPr="00170422">
              <w:rPr>
                <w:noProof/>
                <w:lang w:val="de-DE"/>
              </w:rPr>
              <w:t>Ermächtigungsvorschriften, die mindestens folgende Maßnahmen umfassen: ein überarbeitetes Meldesystem, ii) eine breitere Nutzung vereinfachter Verfahren, iii) eine breitere Nutzung der elektronischen Einreichung von Schriftstücken</w:t>
            </w:r>
            <w:r w:rsidRPr="00170422">
              <w:rPr>
                <w:noProof/>
                <w:lang w:val="de-DE"/>
              </w:rPr>
              <w:t>, iv) vereinfachte Beweisregeln, v) die Festlegung von Fristen für die Dauer von Vorermittlungen und Maßnahmen zur Vermeidung einer Stagnation in der Ermittlungsphase, vi) die Ausweitung der Möglichkeit, die Straftat zu beenden, wenn Schadenersatz erstatte</w:t>
            </w:r>
            <w:r w:rsidRPr="00170422">
              <w:rPr>
                <w:noProof/>
                <w:lang w:val="de-DE"/>
              </w:rPr>
              <w:t>t wurde, vii) die Einführung eines Überwachungssystems auf Gerichtsebene und die Steigerung der Produktivität der Strafgerichte durch Anreize zur Gewährleistung einer angemessenen Verfahrensdauer und einheitlicher Leistungen zwischen den Gerichten.</w:t>
            </w:r>
          </w:p>
        </w:tc>
      </w:tr>
      <w:tr w:rsidR="0057163C" w:rsidRPr="00170422" w14:paraId="7DB9A1F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68D1E" w14:textId="77777777" w:rsidR="0057163C" w:rsidRPr="00170422" w:rsidRDefault="00F37BF9">
            <w:pPr>
              <w:pStyle w:val="P68B1DB1-Normal11"/>
              <w:jc w:val="center"/>
              <w:rPr>
                <w:rFonts w:cs="Arial"/>
                <w:noProof/>
                <w:szCs w:val="20"/>
                <w:lang w:val="de-DE"/>
              </w:rPr>
            </w:pPr>
            <w:r w:rsidRPr="00170422">
              <w:rPr>
                <w:noProof/>
                <w:lang w:val="de-DE"/>
              </w:rPr>
              <w:t>M1C1-31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0812E" w14:textId="77777777" w:rsidR="0057163C" w:rsidRPr="00170422" w:rsidRDefault="00F37BF9">
            <w:pPr>
              <w:pStyle w:val="P68B1DB1-Normal11"/>
              <w:jc w:val="center"/>
              <w:rPr>
                <w:rFonts w:cs="Arial"/>
                <w:noProof/>
                <w:szCs w:val="20"/>
                <w:lang w:val="de-DE"/>
              </w:rPr>
            </w:pPr>
            <w:r w:rsidRPr="00170422">
              <w:rPr>
                <w:noProof/>
                <w:lang w:val="de-DE"/>
              </w:rPr>
              <w:t>Reform 1.6: Reform des Insolvenzrahmens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88DE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196F" w14:textId="77777777" w:rsidR="0057163C" w:rsidRPr="00170422" w:rsidRDefault="00F37BF9">
            <w:pPr>
              <w:pStyle w:val="P68B1DB1-Normal11"/>
              <w:jc w:val="center"/>
              <w:rPr>
                <w:rFonts w:cs="Arial"/>
                <w:noProof/>
                <w:szCs w:val="20"/>
                <w:lang w:val="de-DE"/>
              </w:rPr>
            </w:pPr>
            <w:r w:rsidRPr="00170422">
              <w:rPr>
                <w:noProof/>
                <w:lang w:val="de-DE"/>
              </w:rPr>
              <w:t>Inkrafttreten der einschlägigen Rechtsvorschriften für den Rahmen für die Insolvenzreform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7F7B"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der Ermächtigungsvorschriften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54687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7EAA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1F19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D2CE8"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082F8"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D30E5" w14:textId="77777777" w:rsidR="0057163C" w:rsidRPr="00170422" w:rsidRDefault="00F37BF9">
            <w:pPr>
              <w:pStyle w:val="P68B1DB1-Normal12"/>
              <w:spacing w:after="120"/>
              <w:rPr>
                <w:rFonts w:cs="Arial"/>
                <w:noProof/>
                <w:lang w:val="de-DE"/>
              </w:rPr>
            </w:pPr>
            <w:r w:rsidRPr="00170422">
              <w:rPr>
                <w:noProof/>
                <w:lang w:val="de-DE"/>
              </w:rPr>
              <w:t>Die Insolvenzreform umfasst mindestens folgende Maßnahmen: I) Überprüfung außergerichtlicher Streitbeilegungsvereinbarungen, um Bereiche zu ermitteln, in denen weitere Verbesserungen erforderlich sein könnten, um den betroffenen Parteien ei</w:t>
            </w:r>
            <w:r w:rsidRPr="00170422">
              <w:rPr>
                <w:noProof/>
                <w:lang w:val="de-DE"/>
              </w:rPr>
              <w:t>nen Anreiz zur verstärkten Nutzung solcher Verfahren zu bieten; Einrichtung von Frühwarnmechanismen und Zugang zu Informationen vor der Insolvenzphase; III) Verlagerung auf die Spezialisierung der Gerichte (Handelsrecht, Insolvenzspaltung/Kammer) sowie auf</w:t>
            </w:r>
            <w:r w:rsidRPr="00170422">
              <w:rPr>
                <w:noProof/>
                <w:lang w:val="de-DE"/>
              </w:rPr>
              <w:t xml:space="preserve"> vorgerichtliche Einrichtungen für die Abwicklung von Insolvenzverfahren; IV) die erste Befriedigung gesicherter Gläubiger (vor Steuerforderungen und Arbeitnehmerforderungen) zu ermöglichen; V) Unternehmen die Möglichkeit geben, ein nicht besitzbares Siche</w:t>
            </w:r>
            <w:r w:rsidRPr="00170422">
              <w:rPr>
                <w:noProof/>
                <w:lang w:val="de-DE"/>
              </w:rPr>
              <w:t>rungsrecht zu gewähren. Ergänzend zur Reform der Insolvenz werden Schulungen und Spezialisierungen für die Mitglieder der Justiz- und Verwaltungsbehörden, die mit Restrukturierungsverfahren befasst sind, sowie die allgemeine Digitalisierung von Restrukturi</w:t>
            </w:r>
            <w:r w:rsidRPr="00170422">
              <w:rPr>
                <w:noProof/>
                <w:lang w:val="de-DE"/>
              </w:rPr>
              <w:t>erungs- und Insolvenzverfahren und die Schaffung einer Online-Plattform für die außergerichtliche Beilegung von Streitigkeiten, insbesondere in der Vorinsolvenzphase, sichergestellt, deren Nutzung Anreize zur Verringerung der Belastung der Justiz (Vorinsol</w:t>
            </w:r>
            <w:r w:rsidRPr="00170422">
              <w:rPr>
                <w:noProof/>
                <w:lang w:val="de-DE"/>
              </w:rPr>
              <w:t>venzsanierungsanträge, Förderung multilateraler Restrukturierungen und Ermöglichung vorab genehmigter automatisierter Restrukturierungsverfahren und Entschließungen in Fällen mit geringem Wert) bietet. Eine solche Online-Plattform gewährleistet auch die In</w:t>
            </w:r>
            <w:r w:rsidRPr="00170422">
              <w:rPr>
                <w:noProof/>
                <w:lang w:val="de-DE"/>
              </w:rPr>
              <w:t xml:space="preserve">teroperabilität mit den IT-Systemen der Banken sowie mit anderen Behörden und Datenbanken, um einen raschen elektronischen Austausch von Unterlagen und Daten zwischen Schuldnern und Gläubigern zu gewährleisten. Zu diesem Zweck würde der Antragsteller (der </w:t>
            </w:r>
            <w:r w:rsidRPr="00170422">
              <w:rPr>
                <w:noProof/>
                <w:lang w:val="de-DE"/>
              </w:rPr>
              <w:t>Schuldner) seine Einwilligung erteilen, seine personenbezogenen Daten im Einklang mit der DSGVO auszutauschen, und diese Bestimmung sollte in das Gesetz aufgenommen werden. Mit der Reform wird ein Sicherheitenregister eingerichtet.</w:t>
            </w:r>
          </w:p>
        </w:tc>
      </w:tr>
      <w:tr w:rsidR="0057163C" w:rsidRPr="00170422" w14:paraId="7BFBE34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88A78D" w14:textId="77777777" w:rsidR="0057163C" w:rsidRPr="00170422" w:rsidRDefault="00F37BF9">
            <w:pPr>
              <w:pStyle w:val="P68B1DB1-Normal11"/>
              <w:jc w:val="center"/>
              <w:rPr>
                <w:rFonts w:cs="Arial"/>
                <w:noProof/>
                <w:szCs w:val="20"/>
                <w:lang w:val="de-DE"/>
              </w:rPr>
            </w:pPr>
            <w:r w:rsidRPr="00170422">
              <w:rPr>
                <w:noProof/>
                <w:lang w:val="de-DE"/>
              </w:rPr>
              <w:t>M1C1-32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0A60F" w14:textId="77777777" w:rsidR="0057163C" w:rsidRPr="00170422" w:rsidRDefault="00F37BF9">
            <w:pPr>
              <w:pStyle w:val="P68B1DB1-Normal12"/>
              <w:jc w:val="center"/>
              <w:rPr>
                <w:rFonts w:cs="Arial"/>
                <w:noProof/>
                <w:lang w:val="de-DE"/>
              </w:rPr>
            </w:pPr>
            <w:r w:rsidRPr="00170422">
              <w:rPr>
                <w:noProof/>
                <w:lang w:val="de-DE"/>
              </w:rPr>
              <w:t xml:space="preserve">Investition </w:t>
            </w:r>
            <w:r w:rsidRPr="00170422">
              <w:rPr>
                <w:noProof/>
                <w:lang w:val="de-DE"/>
              </w:rPr>
              <w:t>1.8: Einstellungsverfahren für Zivil-, Straf- und Verwaltungsgerichte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F857C"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0BF95" w14:textId="77777777" w:rsidR="0057163C" w:rsidRPr="00170422" w:rsidRDefault="00F37BF9">
            <w:pPr>
              <w:pStyle w:val="P68B1DB1-Normal11"/>
              <w:jc w:val="center"/>
              <w:rPr>
                <w:rFonts w:cs="Arial"/>
                <w:noProof/>
                <w:szCs w:val="20"/>
                <w:lang w:val="de-DE"/>
              </w:rPr>
            </w:pPr>
            <w:r w:rsidRPr="00170422">
              <w:rPr>
                <w:noProof/>
                <w:lang w:val="de-DE"/>
              </w:rPr>
              <w:t>Inkrafttreten besonderer Rechtsvorschriften für die Einstellung im Rahmen des nationalen Aufbau- und Resilienzplans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2B9A7"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der besonder</w:t>
            </w:r>
            <w:r w:rsidRPr="00170422">
              <w:rPr>
                <w:noProof/>
                <w:lang w:val="de-DE"/>
              </w:rPr>
              <w:t>en Rechtsvorschriften über die Einstellung im Rahmen des nationalen Aufbau- und Resilienzplans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925B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7D1F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FEC25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1E2EF"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1BE389"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4CA25" w14:textId="77777777" w:rsidR="0057163C" w:rsidRPr="00170422" w:rsidRDefault="00F37BF9">
            <w:pPr>
              <w:pStyle w:val="P68B1DB1-Normal12"/>
              <w:spacing w:after="120"/>
              <w:rPr>
                <w:rFonts w:cs="Arial"/>
                <w:noProof/>
                <w:lang w:val="de-DE"/>
              </w:rPr>
            </w:pPr>
            <w:r w:rsidRPr="00170422">
              <w:rPr>
                <w:noProof/>
                <w:lang w:val="de-DE"/>
              </w:rPr>
              <w:t>Annahme besonderer Rechtsvorschriften für Einstellungen im Rahmen des nationalen Aufbau- und Resilienzplans mit Gen</w:t>
            </w:r>
            <w:r w:rsidRPr="00170422">
              <w:rPr>
                <w:noProof/>
                <w:lang w:val="de-DE"/>
              </w:rPr>
              <w:t>ehmigung zur Bewerbung und Einstellung.</w:t>
            </w:r>
          </w:p>
        </w:tc>
      </w:tr>
      <w:tr w:rsidR="0057163C" w:rsidRPr="00170422" w14:paraId="1B00597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BF677" w14:textId="77777777" w:rsidR="0057163C" w:rsidRPr="00170422" w:rsidRDefault="00F37BF9">
            <w:pPr>
              <w:pStyle w:val="P68B1DB1-Normal11"/>
              <w:jc w:val="center"/>
              <w:rPr>
                <w:rFonts w:cs="Arial"/>
                <w:noProof/>
                <w:szCs w:val="20"/>
                <w:lang w:val="de-DE"/>
              </w:rPr>
            </w:pPr>
            <w:r w:rsidRPr="00170422">
              <w:rPr>
                <w:noProof/>
                <w:lang w:val="de-DE"/>
              </w:rPr>
              <w:t>M1C1-33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ADF83" w14:textId="77777777" w:rsidR="0057163C" w:rsidRPr="00170422" w:rsidRDefault="00F37BF9">
            <w:pPr>
              <w:pStyle w:val="P68B1DB1-Normal11"/>
              <w:jc w:val="center"/>
              <w:rPr>
                <w:rFonts w:cs="Arial"/>
                <w:noProof/>
                <w:szCs w:val="20"/>
                <w:lang w:val="de-DE"/>
              </w:rPr>
            </w:pPr>
            <w:r w:rsidRPr="00170422">
              <w:rPr>
                <w:noProof/>
                <w:lang w:val="de-DE"/>
              </w:rPr>
              <w:t>Investition 1.8: Einstellungsverfahren für Verwaltungsgerichte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9D8BD7"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A9C7C" w14:textId="77777777" w:rsidR="0057163C" w:rsidRPr="00170422" w:rsidRDefault="00F37BF9">
            <w:pPr>
              <w:pStyle w:val="P68B1DB1-Normal11"/>
              <w:jc w:val="center"/>
              <w:rPr>
                <w:rFonts w:cs="Arial"/>
                <w:noProof/>
                <w:szCs w:val="20"/>
                <w:lang w:val="de-DE"/>
              </w:rPr>
            </w:pPr>
            <w:r w:rsidRPr="00170422">
              <w:rPr>
                <w:noProof/>
                <w:lang w:val="de-DE"/>
              </w:rPr>
              <w:t>Beginn der Einstellungsverfahren für Verwaltungsgerichte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1AC" w14:textId="77777777"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CB80C"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D5F8E"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79117" w14:textId="77777777" w:rsidR="0057163C" w:rsidRPr="00170422" w:rsidRDefault="00F37BF9">
            <w:pPr>
              <w:pStyle w:val="P68B1DB1-Normal11"/>
              <w:jc w:val="center"/>
              <w:rPr>
                <w:rFonts w:cs="Arial"/>
                <w:noProof/>
                <w:szCs w:val="20"/>
                <w:lang w:val="de-DE"/>
              </w:rPr>
            </w:pPr>
            <w:r w:rsidRPr="00170422">
              <w:rPr>
                <w:noProof/>
                <w:lang w:val="de-DE"/>
              </w:rPr>
              <w:t>168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61CA3"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567AA"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F6C56A" w14:textId="77777777" w:rsidR="0057163C" w:rsidRPr="00170422" w:rsidRDefault="00F37BF9">
            <w:pPr>
              <w:pStyle w:val="P68B1DB1-Normal11"/>
              <w:spacing w:after="120"/>
              <w:rPr>
                <w:rFonts w:cs="Arial"/>
                <w:noProof/>
                <w:szCs w:val="20"/>
                <w:lang w:val="de-DE"/>
              </w:rPr>
            </w:pPr>
            <w:r w:rsidRPr="00170422">
              <w:rPr>
                <w:noProof/>
                <w:lang w:val="de-DE"/>
              </w:rPr>
              <w:t>Einleitung der Einstellungsverfahren für mindestens</w:t>
            </w:r>
            <w:r w:rsidRPr="00170422">
              <w:rPr>
                <w:noProof/>
                <w:lang w:val="de-DE"/>
              </w:rPr>
              <w:t xml:space="preserve"> 168 Personaleinheiten für das Gerichts- und Verwaltungsgericht und die Inbetriebnahme von Referaten. Der Ausgangswert ist die Zahl des am 31. Dezember 2021 im Dienst befindlichen Personals.</w:t>
            </w:r>
          </w:p>
        </w:tc>
      </w:tr>
      <w:tr w:rsidR="0057163C" w:rsidRPr="00170422" w14:paraId="6038784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5CC0D" w14:textId="77777777" w:rsidR="0057163C" w:rsidRPr="00170422" w:rsidRDefault="00F37BF9">
            <w:pPr>
              <w:pStyle w:val="P68B1DB1-Normal11"/>
              <w:jc w:val="center"/>
              <w:rPr>
                <w:rFonts w:cs="Arial"/>
                <w:noProof/>
                <w:szCs w:val="20"/>
                <w:lang w:val="de-DE"/>
              </w:rPr>
            </w:pPr>
            <w:r w:rsidRPr="00170422">
              <w:rPr>
                <w:noProof/>
                <w:lang w:val="de-DE"/>
              </w:rPr>
              <w:t>M1C1-34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1FF09" w14:textId="77777777" w:rsidR="0057163C" w:rsidRPr="00170422" w:rsidRDefault="00F37BF9">
            <w:pPr>
              <w:pStyle w:val="P68B1DB1-Normal11"/>
              <w:jc w:val="center"/>
              <w:rPr>
                <w:rFonts w:cs="Arial"/>
                <w:noProof/>
                <w:szCs w:val="20"/>
                <w:lang w:val="de-DE"/>
              </w:rPr>
            </w:pPr>
            <w:r w:rsidRPr="00170422">
              <w:rPr>
                <w:noProof/>
                <w:lang w:val="de-DE"/>
              </w:rPr>
              <w:t xml:space="preserve">Investition 1.8: Einstellungsverfahren für das Amt für </w:t>
            </w:r>
            <w:r w:rsidRPr="00170422">
              <w:rPr>
                <w:noProof/>
                <w:lang w:val="de-DE"/>
              </w:rPr>
              <w:t>Zivil- und Strafgerichte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0744"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1D6D15" w14:textId="77777777" w:rsidR="0057163C" w:rsidRPr="00170422" w:rsidRDefault="00F37BF9">
            <w:pPr>
              <w:pStyle w:val="P68B1DB1-Normal11"/>
              <w:jc w:val="center"/>
              <w:rPr>
                <w:rFonts w:cs="Arial"/>
                <w:noProof/>
                <w:szCs w:val="20"/>
                <w:lang w:val="de-DE"/>
              </w:rPr>
            </w:pPr>
            <w:r w:rsidRPr="00170422">
              <w:rPr>
                <w:noProof/>
                <w:lang w:val="de-DE"/>
              </w:rPr>
              <w:t>Beginn der Einstellungsverfahren für Zivil- und Strafgerichte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E8D0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4390D"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2D91E6"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2E6DF" w14:textId="77777777" w:rsidR="0057163C" w:rsidRPr="00170422" w:rsidRDefault="00F37BF9">
            <w:pPr>
              <w:pStyle w:val="P68B1DB1-Normal11"/>
              <w:jc w:val="center"/>
              <w:rPr>
                <w:rFonts w:cs="Arial"/>
                <w:noProof/>
                <w:szCs w:val="20"/>
                <w:lang w:val="de-DE"/>
              </w:rPr>
            </w:pPr>
            <w:r w:rsidRPr="00170422">
              <w:rPr>
                <w:noProof/>
                <w:lang w:val="de-DE"/>
              </w:rPr>
              <w:t>8 764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FA2F9"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BF982"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BBE7" w14:textId="77777777" w:rsidR="0057163C" w:rsidRPr="00170422" w:rsidRDefault="00F37BF9">
            <w:pPr>
              <w:pStyle w:val="P68B1DB1-Normal11"/>
              <w:spacing w:after="120"/>
              <w:rPr>
                <w:rFonts w:cs="Arial"/>
                <w:noProof/>
                <w:szCs w:val="20"/>
                <w:lang w:val="de-DE"/>
              </w:rPr>
            </w:pPr>
            <w:r w:rsidRPr="00170422">
              <w:rPr>
                <w:noProof/>
                <w:lang w:val="de-DE"/>
              </w:rPr>
              <w:t xml:space="preserve">Einleitung der Einstellungsverfahren für mindestens 8764 Personaleinheiten für das Gerichtsverfahren für Zivil- und </w:t>
            </w:r>
            <w:r w:rsidRPr="00170422">
              <w:rPr>
                <w:noProof/>
                <w:lang w:val="de-DE"/>
              </w:rPr>
              <w:t>Strafgerichte und Inbetriebnahme von Einheiten. Der Ausgangswert ist die Zahl der Mitarbeiter Ende 2021.</w:t>
            </w:r>
          </w:p>
        </w:tc>
      </w:tr>
      <w:tr w:rsidR="0057163C" w:rsidRPr="00170422" w14:paraId="1E1321D7"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6B93E2" w14:textId="77777777" w:rsidR="0057163C" w:rsidRPr="00170422" w:rsidRDefault="00F37BF9">
            <w:pPr>
              <w:pStyle w:val="P68B1DB1-Normal11"/>
              <w:jc w:val="center"/>
              <w:rPr>
                <w:rFonts w:cs="Arial"/>
                <w:noProof/>
                <w:szCs w:val="20"/>
                <w:lang w:val="de-DE"/>
              </w:rPr>
            </w:pPr>
            <w:r w:rsidRPr="00170422">
              <w:rPr>
                <w:noProof/>
                <w:lang w:val="de-DE"/>
              </w:rPr>
              <w:t>M1C1-35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153F9C" w14:textId="77777777" w:rsidR="0057163C" w:rsidRPr="00170422" w:rsidRDefault="00F37BF9">
            <w:pPr>
              <w:pStyle w:val="P68B1DB1-Normal11"/>
              <w:jc w:val="center"/>
              <w:rPr>
                <w:rFonts w:cs="Arial"/>
                <w:noProof/>
                <w:szCs w:val="20"/>
                <w:lang w:val="de-DE"/>
              </w:rPr>
            </w:pPr>
            <w:r w:rsidRPr="00170422">
              <w:rPr>
                <w:noProof/>
                <w:lang w:val="de-DE"/>
              </w:rPr>
              <w:t>Reform 1.7: Reform der Steuergerichtsbarkeit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361CE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FFFD4C" w14:textId="77777777" w:rsidR="0057163C" w:rsidRPr="00170422" w:rsidRDefault="00F37BF9">
            <w:pPr>
              <w:pStyle w:val="P68B1DB1-Normal11"/>
              <w:jc w:val="center"/>
              <w:rPr>
                <w:rFonts w:cs="Arial"/>
                <w:noProof/>
                <w:szCs w:val="20"/>
                <w:lang w:val="de-DE"/>
              </w:rPr>
            </w:pPr>
            <w:r w:rsidRPr="00170422">
              <w:rPr>
                <w:noProof/>
                <w:lang w:val="de-DE"/>
              </w:rPr>
              <w:t>Umfassende Reform der Finanzgerichte erster und zweiter Instanz</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5209B" w14:textId="77777777" w:rsidR="0057163C" w:rsidRPr="00170422" w:rsidRDefault="00F37BF9">
            <w:pPr>
              <w:pStyle w:val="P68B1DB1-Normal12"/>
              <w:jc w:val="center"/>
              <w:rPr>
                <w:rFonts w:cs="Arial"/>
                <w:noProof/>
                <w:lang w:val="de-DE"/>
              </w:rPr>
            </w:pPr>
            <w:r w:rsidRPr="00170422">
              <w:rPr>
                <w:noProof/>
                <w:lang w:val="de-DE"/>
              </w:rPr>
              <w:t xml:space="preserve">Gesetzliche </w:t>
            </w:r>
            <w:r w:rsidRPr="00170422">
              <w:rPr>
                <w:noProof/>
                <w:lang w:val="de-DE"/>
              </w:rPr>
              <w:t>Bestimmung über das Inkrafttreten des überarbeiteten Rechtsrahmens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0A58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B60B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9640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F58CE"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7E9EC5"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9DAD6E" w14:textId="77777777" w:rsidR="0057163C" w:rsidRPr="00170422" w:rsidRDefault="00F37BF9">
            <w:pPr>
              <w:pStyle w:val="P68B1DB1-Normal11"/>
              <w:spacing w:after="120"/>
              <w:rPr>
                <w:rFonts w:cs="Arial"/>
                <w:noProof/>
                <w:szCs w:val="20"/>
                <w:lang w:val="de-DE"/>
              </w:rPr>
            </w:pPr>
            <w:r w:rsidRPr="00170422">
              <w:rPr>
                <w:noProof/>
                <w:lang w:val="de-DE"/>
              </w:rPr>
              <w:t>Der überarbeitete Rechtsrahmen soll die Durchsetzung des Steuerrechts wirksamer gestalten und die hohe Zahl von Rechtsmitteln beim Kassationsge</w:t>
            </w:r>
            <w:r w:rsidRPr="00170422">
              <w:rPr>
                <w:noProof/>
                <w:lang w:val="de-DE"/>
              </w:rPr>
              <w:t>richtshof verringern.</w:t>
            </w:r>
          </w:p>
        </w:tc>
      </w:tr>
      <w:tr w:rsidR="0057163C" w:rsidRPr="00170422" w14:paraId="62BD747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F684" w14:textId="77777777" w:rsidR="0057163C" w:rsidRPr="00170422" w:rsidRDefault="00F37BF9">
            <w:pPr>
              <w:pStyle w:val="P68B1DB1-Normal11"/>
              <w:jc w:val="center"/>
              <w:rPr>
                <w:rFonts w:cs="Arial"/>
                <w:noProof/>
                <w:szCs w:val="20"/>
                <w:lang w:val="de-DE"/>
              </w:rPr>
            </w:pPr>
            <w:r w:rsidRPr="00170422">
              <w:rPr>
                <w:noProof/>
                <w:lang w:val="de-DE"/>
              </w:rPr>
              <w:t>M1C1-36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F15C0" w14:textId="77777777" w:rsidR="0057163C" w:rsidRPr="00170422" w:rsidRDefault="00F37BF9">
            <w:pPr>
              <w:pStyle w:val="P68B1DB1-Normal11"/>
              <w:jc w:val="center"/>
              <w:rPr>
                <w:rFonts w:cs="Arial"/>
                <w:noProof/>
                <w:szCs w:val="20"/>
                <w:lang w:val="de-DE"/>
              </w:rPr>
            </w:pPr>
            <w:r w:rsidRPr="00170422">
              <w:rPr>
                <w:noProof/>
                <w:lang w:val="de-DE"/>
              </w:rPr>
              <w:t>Reformen 1.4, 1.5 und 1.6: Reform der Zivil- und Strafjustiz und Insolvenzreform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821A86"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0743A" w14:textId="77777777" w:rsidR="0057163C" w:rsidRPr="00170422" w:rsidRDefault="00F37BF9">
            <w:pPr>
              <w:pStyle w:val="P68B1DB1-Normal11"/>
              <w:jc w:val="center"/>
              <w:rPr>
                <w:rFonts w:cs="Arial"/>
                <w:noProof/>
                <w:szCs w:val="20"/>
                <w:lang w:val="de-DE"/>
              </w:rPr>
            </w:pPr>
            <w:r w:rsidRPr="00170422">
              <w:rPr>
                <w:noProof/>
                <w:lang w:val="de-DE"/>
              </w:rPr>
              <w:t>Inkrafttreten delegierter Rechtsakte für die Reform der Zivil- und Strafjustiz und der Insolvenzreform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7B4FB" w14:textId="77777777" w:rsidR="0057163C" w:rsidRPr="00170422" w:rsidRDefault="00F37BF9">
            <w:pPr>
              <w:pStyle w:val="P68B1DB1-Normal12"/>
              <w:jc w:val="center"/>
              <w:rPr>
                <w:rFonts w:cs="Arial"/>
                <w:noProof/>
                <w:lang w:val="de-DE"/>
              </w:rPr>
            </w:pPr>
            <w:r w:rsidRPr="00170422">
              <w:rPr>
                <w:noProof/>
                <w:lang w:val="de-DE"/>
              </w:rPr>
              <w:t>Bestimmung in den delegierten</w:t>
            </w:r>
            <w:r w:rsidRPr="00170422">
              <w:rPr>
                <w:noProof/>
                <w:lang w:val="de-DE"/>
              </w:rPr>
              <w:t xml:space="preserve"> Rechtsakten zur Angabe des Inkrafttretens der delegierten Rechtsakte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A6C7D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D67F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9A0E9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DFEE2"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80A02"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C4A368" w14:textId="77777777" w:rsidR="0057163C" w:rsidRPr="00170422" w:rsidRDefault="00F37BF9">
            <w:pPr>
              <w:pStyle w:val="P68B1DB1-Normal12"/>
              <w:spacing w:after="120"/>
              <w:rPr>
                <w:rFonts w:cs="Arial"/>
                <w:noProof/>
                <w:lang w:val="de-DE"/>
              </w:rPr>
            </w:pPr>
            <w:r w:rsidRPr="00170422">
              <w:rPr>
                <w:noProof/>
                <w:lang w:val="de-DE"/>
              </w:rPr>
              <w:t>Inkrafttreten aller delegierten Rechtsakte, deren Inhalt in den einschlägigen Rechtsvorschriften für die Zivil- und Strafrechtsreform und di</w:t>
            </w:r>
            <w:r w:rsidRPr="00170422">
              <w:rPr>
                <w:noProof/>
                <w:lang w:val="de-DE"/>
              </w:rPr>
              <w:t>e Insolvenzreform angegeben ist.</w:t>
            </w:r>
          </w:p>
        </w:tc>
      </w:tr>
      <w:tr w:rsidR="0057163C" w:rsidRPr="00170422" w14:paraId="3BE651D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AE9F5" w14:textId="77777777" w:rsidR="0057163C" w:rsidRPr="00170422" w:rsidRDefault="00F37BF9">
            <w:pPr>
              <w:pStyle w:val="P68B1DB1-Normal11"/>
              <w:jc w:val="center"/>
              <w:rPr>
                <w:rFonts w:cs="Arial"/>
                <w:noProof/>
                <w:szCs w:val="20"/>
                <w:lang w:val="de-DE"/>
              </w:rPr>
            </w:pPr>
            <w:r w:rsidRPr="00170422">
              <w:rPr>
                <w:noProof/>
                <w:lang w:val="de-DE"/>
              </w:rPr>
              <w:t>M1C1-37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E09DD" w14:textId="77777777" w:rsidR="0057163C" w:rsidRPr="00170422" w:rsidRDefault="00F37BF9">
            <w:pPr>
              <w:pStyle w:val="P68B1DB1-Normal11"/>
              <w:jc w:val="center"/>
              <w:rPr>
                <w:rFonts w:cs="Arial"/>
                <w:noProof/>
                <w:szCs w:val="20"/>
                <w:lang w:val="de-DE"/>
              </w:rPr>
            </w:pPr>
            <w:r w:rsidRPr="00170422">
              <w:rPr>
                <w:noProof/>
                <w:lang w:val="de-DE"/>
              </w:rPr>
              <w:t>Reformen 1.4 und 1.5: Reform der Zivil- und Strafjustiz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AD1D0F"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407DA6" w14:textId="77777777" w:rsidR="0057163C" w:rsidRPr="00170422" w:rsidRDefault="00F37BF9">
            <w:pPr>
              <w:pStyle w:val="P68B1DB1-Normal11"/>
              <w:jc w:val="center"/>
              <w:rPr>
                <w:rFonts w:cs="Arial"/>
                <w:noProof/>
                <w:szCs w:val="20"/>
                <w:lang w:val="de-DE"/>
              </w:rPr>
            </w:pPr>
            <w:r w:rsidRPr="00170422">
              <w:rPr>
                <w:noProof/>
                <w:lang w:val="de-DE"/>
              </w:rPr>
              <w:t>Inkrafttreten der Zivil- und Strafjustizreform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2121CB" w14:textId="77777777" w:rsidR="0057163C" w:rsidRPr="00170422" w:rsidRDefault="00F37BF9">
            <w:pPr>
              <w:pStyle w:val="P68B1DB1-Normal12"/>
              <w:jc w:val="center"/>
              <w:rPr>
                <w:rFonts w:cs="Arial"/>
                <w:noProof/>
                <w:lang w:val="de-DE"/>
              </w:rPr>
            </w:pPr>
            <w:r w:rsidRPr="00170422">
              <w:rPr>
                <w:noProof/>
                <w:lang w:val="de-DE"/>
              </w:rPr>
              <w:t>Bestimmung in den Sekundärrechtsakten, die das Inkrafttreten der Sekundärrechtsakte anzeigt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1A567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303E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92FA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6BE43"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DF5F2"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610415" w14:textId="77777777" w:rsidR="0057163C" w:rsidRPr="00170422" w:rsidRDefault="00F37BF9">
            <w:pPr>
              <w:pStyle w:val="P68B1DB1-Normal11"/>
              <w:spacing w:after="120"/>
              <w:rPr>
                <w:rFonts w:cs="Arial"/>
                <w:noProof/>
                <w:szCs w:val="20"/>
                <w:lang w:val="de-DE"/>
              </w:rPr>
            </w:pPr>
            <w:r w:rsidRPr="00170422">
              <w:rPr>
                <w:noProof/>
                <w:lang w:val="de-DE"/>
              </w:rPr>
              <w:t>Abschluss der Annahme aller Verordnungen und sekundären Rechtsquellen, die für die wirksame Anwendung der Ermächtigungsgesetze für Justizreformen erforderlich sind.</w:t>
            </w:r>
          </w:p>
        </w:tc>
      </w:tr>
      <w:tr w:rsidR="0057163C" w:rsidRPr="00170422" w14:paraId="0DA629F7"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DEE56" w14:textId="77777777" w:rsidR="0057163C" w:rsidRPr="00170422" w:rsidRDefault="00F37BF9">
            <w:pPr>
              <w:pStyle w:val="P68B1DB1-Normal11"/>
              <w:jc w:val="center"/>
              <w:rPr>
                <w:rFonts w:cs="Arial"/>
                <w:noProof/>
                <w:szCs w:val="20"/>
                <w:lang w:val="de-DE"/>
              </w:rPr>
            </w:pPr>
            <w:r w:rsidRPr="00170422">
              <w:rPr>
                <w:noProof/>
                <w:lang w:val="de-DE"/>
              </w:rPr>
              <w:t>M1C1-38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D1530" w14:textId="77777777" w:rsidR="0057163C" w:rsidRPr="00170422" w:rsidRDefault="00F37BF9">
            <w:pPr>
              <w:pStyle w:val="P68B1DB1-Normal12"/>
              <w:jc w:val="center"/>
              <w:rPr>
                <w:rFonts w:cs="Arial"/>
                <w:noProof/>
                <w:lang w:val="de-DE"/>
              </w:rPr>
            </w:pPr>
            <w:r w:rsidRPr="00170422">
              <w:rPr>
                <w:noProof/>
                <w:lang w:val="de-DE"/>
              </w:rPr>
              <w:t>Reform 1.8: Digitalisierung der 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291E8"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1EFE" w14:textId="77777777" w:rsidR="0057163C" w:rsidRPr="00170422" w:rsidRDefault="00F37BF9">
            <w:pPr>
              <w:pStyle w:val="P68B1DB1-Normal12"/>
              <w:jc w:val="center"/>
              <w:rPr>
                <w:rFonts w:cs="Arial"/>
                <w:noProof/>
                <w:lang w:val="de-DE"/>
              </w:rPr>
            </w:pPr>
            <w:r w:rsidRPr="00170422">
              <w:rPr>
                <w:noProof/>
                <w:lang w:val="de-DE"/>
              </w:rPr>
              <w:t>Digitalisierung des Justizsystems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A21C" w14:textId="77777777" w:rsidR="0057163C" w:rsidRPr="00170422" w:rsidRDefault="00F37BF9">
            <w:pPr>
              <w:pStyle w:val="P68B1DB1-Normal12"/>
              <w:jc w:val="center"/>
              <w:rPr>
                <w:rFonts w:cs="Arial"/>
                <w:noProof/>
                <w:lang w:val="de-DE"/>
              </w:rPr>
            </w:pPr>
            <w:r w:rsidRPr="00170422">
              <w:rPr>
                <w:noProof/>
                <w:lang w:val="de-DE"/>
              </w:rPr>
              <w:t>Bestimmung im Primär- und Sekundärrecht, die das Inkrafttreten der entsprechenden Rechtsakte angibt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18C99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B63C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2F97A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050"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DAF8F"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4DA44" w14:textId="77777777" w:rsidR="0057163C" w:rsidRPr="00170422" w:rsidRDefault="00F37BF9">
            <w:pPr>
              <w:pStyle w:val="P68B1DB1-Normal12"/>
              <w:spacing w:after="120"/>
              <w:rPr>
                <w:rFonts w:cs="Arial"/>
                <w:noProof/>
                <w:lang w:val="de-DE"/>
              </w:rPr>
            </w:pPr>
            <w:r w:rsidRPr="00170422">
              <w:rPr>
                <w:noProof/>
                <w:lang w:val="de-DE"/>
              </w:rPr>
              <w:t>Die obligatorische elektronische Einreichung aller Schriftstücke</w:t>
            </w:r>
            <w:r w:rsidRPr="00170422">
              <w:rPr>
                <w:noProof/>
                <w:lang w:val="de-DE"/>
              </w:rPr>
              <w:t xml:space="preserve"> und der vollständige elektronische Workflow für Zivilverfahren werden festgelegt. Digitalisierung des erstinstanzlichen Strafverfahrens (mit Ausnahme der Voranhörungsstelle). Einrichtung einer kostenlosen, uneingeschränkt zugänglichen und durchsuchbaren D</w:t>
            </w:r>
            <w:r w:rsidRPr="00170422">
              <w:rPr>
                <w:noProof/>
                <w:lang w:val="de-DE"/>
              </w:rPr>
              <w:t>atenbank für zivilrechtliche Entscheidungen gemäß den Rechtsvorschriften.</w:t>
            </w:r>
          </w:p>
        </w:tc>
      </w:tr>
      <w:tr w:rsidR="0057163C" w:rsidRPr="00170422" w14:paraId="62D786D0"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923E" w14:textId="77777777" w:rsidR="0057163C" w:rsidRPr="00170422" w:rsidRDefault="00F37BF9">
            <w:pPr>
              <w:pStyle w:val="P68B1DB1-Normal11"/>
              <w:jc w:val="center"/>
              <w:rPr>
                <w:rFonts w:cs="Arial"/>
                <w:noProof/>
                <w:lang w:val="de-DE"/>
              </w:rPr>
            </w:pPr>
            <w:r w:rsidRPr="00170422">
              <w:rPr>
                <w:noProof/>
                <w:lang w:val="de-DE"/>
              </w:rPr>
              <w:t>M1C1-38bis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B2020" w14:textId="77777777" w:rsidR="0057163C" w:rsidRPr="00170422" w:rsidRDefault="00F37BF9">
            <w:pPr>
              <w:pStyle w:val="P68B1DB1-Normal12"/>
              <w:jc w:val="center"/>
              <w:rPr>
                <w:rFonts w:cs="Arial"/>
                <w:noProof/>
                <w:lang w:val="de-DE"/>
              </w:rPr>
            </w:pPr>
            <w:r w:rsidRPr="00170422">
              <w:rPr>
                <w:noProof/>
                <w:lang w:val="de-DE"/>
              </w:rPr>
              <w:t>Reform 1.8: Digitalisierung der 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5C5008" w14:textId="77777777" w:rsidR="0057163C" w:rsidRPr="00170422" w:rsidRDefault="00F37BF9">
            <w:pPr>
              <w:pStyle w:val="P68B1DB1-Normal11"/>
              <w:jc w:val="center"/>
              <w:rPr>
                <w:rFonts w:cs="Arial"/>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705AC" w14:textId="77777777" w:rsidR="0057163C" w:rsidRPr="00170422" w:rsidRDefault="00F37BF9">
            <w:pPr>
              <w:pStyle w:val="P68B1DB1-Normal12"/>
              <w:jc w:val="center"/>
              <w:rPr>
                <w:rFonts w:cs="Arial"/>
                <w:noProof/>
                <w:lang w:val="de-DE"/>
              </w:rPr>
            </w:pPr>
            <w:r w:rsidRPr="00170422">
              <w:rPr>
                <w:noProof/>
                <w:lang w:val="de-DE"/>
              </w:rPr>
              <w:t>Digitalisierung des Justizsystems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2144E4" w14:textId="77777777" w:rsidR="0057163C" w:rsidRPr="00170422" w:rsidRDefault="00F37BF9">
            <w:pPr>
              <w:pStyle w:val="P68B1DB1-Normal12"/>
              <w:jc w:val="center"/>
              <w:rPr>
                <w:rFonts w:cs="Arial"/>
                <w:noProof/>
                <w:lang w:val="de-DE"/>
              </w:rPr>
            </w:pPr>
            <w:r w:rsidRPr="00170422">
              <w:rPr>
                <w:noProof/>
                <w:lang w:val="de-DE"/>
              </w:rPr>
              <w:t xml:space="preserve">Erstinstanzliche Strafverfahren werden digitalisiert und PNR, PDP und APP sind </w:t>
            </w:r>
            <w:r w:rsidRPr="00170422">
              <w:rPr>
                <w:noProof/>
                <w:lang w:val="de-DE"/>
              </w:rPr>
              <w:t>interoperabel.</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BB85" w14:textId="77777777" w:rsidR="0057163C" w:rsidRPr="00170422" w:rsidRDefault="00F37BF9">
            <w:pPr>
              <w:pStyle w:val="P68B1DB1-Normal11"/>
              <w:jc w:val="center"/>
              <w:rPr>
                <w:rFonts w:cs="Arial"/>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284E2" w14:textId="77777777" w:rsidR="0057163C" w:rsidRPr="00170422" w:rsidRDefault="00F37BF9">
            <w:pPr>
              <w:pStyle w:val="P68B1DB1-Normal11"/>
              <w:jc w:val="center"/>
              <w:rPr>
                <w:rFonts w:cs="Arial"/>
                <w:noProof/>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081FC" w14:textId="77777777" w:rsidR="0057163C" w:rsidRPr="00170422" w:rsidRDefault="00F37BF9">
            <w:pPr>
              <w:pStyle w:val="P68B1DB1-Normal11"/>
              <w:jc w:val="center"/>
              <w:rPr>
                <w:rFonts w:cs="Arial"/>
                <w:noProof/>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8756A5" w14:textId="77777777" w:rsidR="0057163C" w:rsidRPr="00170422" w:rsidRDefault="00F37BF9">
            <w:pPr>
              <w:pStyle w:val="P68B1DB1-Normal11"/>
              <w:jc w:val="center"/>
              <w:rPr>
                <w:rFonts w:cs="Arial"/>
                <w:noProof/>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13D754" w14:textId="77777777" w:rsidR="0057163C" w:rsidRPr="00170422" w:rsidRDefault="00F37BF9">
            <w:pPr>
              <w:pStyle w:val="P68B1DB1-Normal11"/>
              <w:jc w:val="center"/>
              <w:rPr>
                <w:rFonts w:cs="Arial"/>
                <w:noProof/>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386DC1" w14:textId="77777777" w:rsidR="0057163C" w:rsidRPr="00170422" w:rsidRDefault="00F37BF9">
            <w:pPr>
              <w:pStyle w:val="P68B1DB1-Normal12"/>
              <w:spacing w:after="120"/>
              <w:rPr>
                <w:rFonts w:cs="Arial"/>
                <w:noProof/>
                <w:lang w:val="de-DE"/>
              </w:rPr>
            </w:pPr>
            <w:r w:rsidRPr="00170422">
              <w:rPr>
                <w:noProof/>
                <w:lang w:val="de-DE"/>
              </w:rPr>
              <w:t xml:space="preserve">Digitalisierung des erstinstanzlichen Strafverfahrens bis zur abschließenden Handlung durch das „Portale delle notizie di reato“ (PNR), das Portale dei depositi penali (PDP) und das „Applicativo </w:t>
            </w:r>
            <w:r w:rsidRPr="00170422">
              <w:rPr>
                <w:noProof/>
                <w:lang w:val="de-DE"/>
              </w:rPr>
              <w:t>processo penale“ (APP). Die Plattformen müssen interoperabel sein.</w:t>
            </w:r>
          </w:p>
        </w:tc>
      </w:tr>
      <w:tr w:rsidR="0057163C" w:rsidRPr="00170422" w14:paraId="39F9B75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5BC397" w14:textId="77777777" w:rsidR="0057163C" w:rsidRPr="00170422" w:rsidRDefault="00F37BF9">
            <w:pPr>
              <w:pStyle w:val="P68B1DB1-Normal11"/>
              <w:jc w:val="center"/>
              <w:rPr>
                <w:rFonts w:cs="Arial"/>
                <w:noProof/>
                <w:szCs w:val="20"/>
                <w:lang w:val="de-DE"/>
              </w:rPr>
            </w:pPr>
            <w:r w:rsidRPr="00170422">
              <w:rPr>
                <w:noProof/>
                <w:lang w:val="de-DE"/>
              </w:rPr>
              <w:t>M1C1-39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6B2C28" w14:textId="77777777" w:rsidR="0057163C" w:rsidRPr="00170422" w:rsidRDefault="00F37BF9">
            <w:pPr>
              <w:pStyle w:val="P68B1DB1-Normal11"/>
              <w:jc w:val="center"/>
              <w:rPr>
                <w:rFonts w:cs="Arial"/>
                <w:noProof/>
                <w:szCs w:val="20"/>
                <w:lang w:val="de-DE"/>
              </w:rPr>
            </w:pPr>
            <w:r w:rsidRPr="00170422">
              <w:rPr>
                <w:noProof/>
                <w:lang w:val="de-DE"/>
              </w:rPr>
              <w:t>Investition 1.8: Einstellungsverfahren für Zivil- und Strafgerichte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9CC22"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68EBDF" w14:textId="77777777" w:rsidR="0057163C" w:rsidRPr="00170422" w:rsidRDefault="00F37BF9">
            <w:pPr>
              <w:pStyle w:val="P68B1DB1-Normal11"/>
              <w:jc w:val="center"/>
              <w:rPr>
                <w:rFonts w:cs="Arial"/>
                <w:noProof/>
                <w:szCs w:val="20"/>
                <w:lang w:val="de-DE"/>
              </w:rPr>
            </w:pPr>
            <w:r w:rsidRPr="00170422">
              <w:rPr>
                <w:noProof/>
                <w:lang w:val="de-DE"/>
              </w:rPr>
              <w:t xml:space="preserve">Einstellungs- oder Verlängerungsverfahren für Zivil- und Strafgerichte sowie territoriale und zentrale </w:t>
            </w:r>
            <w:r w:rsidRPr="00170422">
              <w:rPr>
                <w:noProof/>
                <w:lang w:val="de-DE"/>
              </w:rPr>
              <w:t>Dienststellen des Justizministeriums, die für die Durchführung des Aufbau- und Resilienzplans zuständig sind</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DBAB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08381"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1A5DC"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4CA04" w14:textId="77777777" w:rsidR="0057163C" w:rsidRPr="00170422" w:rsidRDefault="00F37BF9">
            <w:pPr>
              <w:pStyle w:val="P68B1DB1-Normal11"/>
              <w:jc w:val="center"/>
              <w:rPr>
                <w:rFonts w:cs="Arial"/>
                <w:noProof/>
                <w:szCs w:val="20"/>
                <w:lang w:val="de-DE"/>
              </w:rPr>
            </w:pPr>
            <w:r w:rsidRPr="00170422">
              <w:rPr>
                <w:noProof/>
                <w:lang w:val="de-DE"/>
              </w:rPr>
              <w:t>10 000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6FC1B"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226D00"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C86FE" w14:textId="77777777" w:rsidR="0057163C" w:rsidRPr="00170422" w:rsidRDefault="00F37BF9">
            <w:pPr>
              <w:pStyle w:val="P68B1DB1-Normal11"/>
              <w:spacing w:after="120"/>
              <w:rPr>
                <w:rFonts w:cs="Arial"/>
                <w:noProof/>
                <w:szCs w:val="20"/>
                <w:lang w:val="de-DE"/>
              </w:rPr>
            </w:pPr>
            <w:r w:rsidRPr="00170422">
              <w:rPr>
                <w:noProof/>
                <w:lang w:val="de-DE"/>
              </w:rPr>
              <w:t>Abschluss der Einstellungs- oder Verlängerungsverfahren von mindestens 10 000 Einheiten für das Gerichtsverfahren</w:t>
            </w:r>
            <w:r w:rsidRPr="00170422">
              <w:rPr>
                <w:noProof/>
                <w:lang w:val="de-DE"/>
              </w:rPr>
              <w:t xml:space="preserve"> und des technischen Verwaltungspersonals sowie Inbetriebnahme.</w:t>
            </w:r>
          </w:p>
          <w:p w14:paraId="2193B0FE" w14:textId="77777777" w:rsidR="0057163C" w:rsidRPr="00170422" w:rsidRDefault="00F37BF9">
            <w:pPr>
              <w:pStyle w:val="P68B1DB1-Normal12"/>
              <w:spacing w:after="120"/>
              <w:rPr>
                <w:rFonts w:cs="Arial"/>
                <w:noProof/>
                <w:lang w:val="de-DE"/>
              </w:rPr>
            </w:pPr>
            <w:r w:rsidRPr="00170422">
              <w:rPr>
                <w:noProof/>
                <w:lang w:val="de-DE"/>
              </w:rPr>
              <w:t>Auf dieses Ziel werden nur Einstellungen oder Erweiterungsverfahren angerechnet, die seit dem 1. Januar 2022 abgeschlossen wurden.</w:t>
            </w:r>
          </w:p>
        </w:tc>
      </w:tr>
      <w:tr w:rsidR="0057163C" w:rsidRPr="00170422" w14:paraId="361DBF5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9837" w14:textId="77777777" w:rsidR="0057163C" w:rsidRPr="00170422" w:rsidRDefault="00F37BF9">
            <w:pPr>
              <w:pStyle w:val="P68B1DB1-Normal11"/>
              <w:jc w:val="center"/>
              <w:rPr>
                <w:rFonts w:cs="Arial"/>
                <w:noProof/>
                <w:szCs w:val="20"/>
                <w:lang w:val="de-DE"/>
              </w:rPr>
            </w:pPr>
            <w:r w:rsidRPr="00170422">
              <w:rPr>
                <w:noProof/>
                <w:lang w:val="de-DE"/>
              </w:rPr>
              <w:t>M1C1-40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0B4960" w14:textId="77777777" w:rsidR="0057163C" w:rsidRPr="00170422" w:rsidRDefault="00F37BF9">
            <w:pPr>
              <w:pStyle w:val="P68B1DB1-Normal11"/>
              <w:jc w:val="center"/>
              <w:rPr>
                <w:rFonts w:cs="Arial"/>
                <w:noProof/>
                <w:szCs w:val="20"/>
                <w:lang w:val="de-DE"/>
              </w:rPr>
            </w:pPr>
            <w:bookmarkStart w:id="2" w:name="_Hlk160473086"/>
            <w:r w:rsidRPr="00170422">
              <w:rPr>
                <w:noProof/>
                <w:lang w:val="de-DE"/>
              </w:rPr>
              <w:t xml:space="preserve">Investition 1.8: Einstellungsverfahren für </w:t>
            </w:r>
            <w:r w:rsidRPr="00170422">
              <w:rPr>
                <w:noProof/>
                <w:lang w:val="de-DE"/>
              </w:rPr>
              <w:t>Verwaltungsgerichte</w:t>
            </w:r>
            <w:bookmarkEnd w:id="2"/>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0AC815"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B02A" w14:textId="77777777" w:rsidR="0057163C" w:rsidRPr="00170422" w:rsidRDefault="00F37BF9">
            <w:pPr>
              <w:pStyle w:val="P68B1DB1-Normal11"/>
              <w:jc w:val="center"/>
              <w:rPr>
                <w:rFonts w:cs="Arial"/>
                <w:noProof/>
                <w:szCs w:val="20"/>
                <w:lang w:val="de-DE"/>
              </w:rPr>
            </w:pPr>
            <w:r w:rsidRPr="00170422">
              <w:rPr>
                <w:noProof/>
                <w:lang w:val="de-DE"/>
              </w:rPr>
              <w:t>Einstellungs- oder Verlängerungsverfahren für Verwaltungsgerichte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4E94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59D6A"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D4AF77"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C5EC4" w14:textId="77777777" w:rsidR="0057163C" w:rsidRPr="00170422" w:rsidRDefault="00F37BF9">
            <w:pPr>
              <w:pStyle w:val="P68B1DB1-Normal11"/>
              <w:jc w:val="center"/>
              <w:rPr>
                <w:rFonts w:cs="Arial"/>
                <w:noProof/>
                <w:szCs w:val="20"/>
                <w:lang w:val="de-DE"/>
              </w:rPr>
            </w:pPr>
            <w:r w:rsidRPr="00170422">
              <w:rPr>
                <w:noProof/>
                <w:lang w:val="de-DE"/>
              </w:rPr>
              <w:t>158</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AC6CAF"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D22321"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9A939D" w14:textId="77777777" w:rsidR="0057163C" w:rsidRPr="00170422" w:rsidRDefault="00F37BF9">
            <w:pPr>
              <w:pStyle w:val="P68B1DB1-Normal12"/>
              <w:spacing w:after="120"/>
              <w:rPr>
                <w:rFonts w:cs="Arial"/>
                <w:noProof/>
                <w:lang w:val="de-DE"/>
              </w:rPr>
            </w:pPr>
            <w:r w:rsidRPr="00170422">
              <w:rPr>
                <w:noProof/>
                <w:lang w:val="de-DE"/>
              </w:rPr>
              <w:t xml:space="preserve">Abschluss der Einstellungs- oder Erweiterungsverfahren für mindestens 158 Personaleinheiten für das Gerichts- und Verwaltungsgericht und die Inbetriebnahme von Referaten. Auf dieses Ziel werden nur Einstellungen oder Erweiterungsverfahren angerechnet, die </w:t>
            </w:r>
            <w:r w:rsidRPr="00170422">
              <w:rPr>
                <w:noProof/>
                <w:lang w:val="de-DE"/>
              </w:rPr>
              <w:t>seit dem 1. Januar 2022 abgeschlossen wurden.</w:t>
            </w:r>
          </w:p>
        </w:tc>
      </w:tr>
      <w:tr w:rsidR="0057163C" w:rsidRPr="00170422" w14:paraId="116D05F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1FCCB" w14:textId="77777777" w:rsidR="0057163C" w:rsidRPr="00170422" w:rsidRDefault="00F37BF9">
            <w:pPr>
              <w:pStyle w:val="P68B1DB1-Normal11"/>
              <w:jc w:val="center"/>
              <w:rPr>
                <w:rFonts w:cs="Arial"/>
                <w:noProof/>
                <w:szCs w:val="20"/>
                <w:lang w:val="de-DE"/>
              </w:rPr>
            </w:pPr>
            <w:r w:rsidRPr="00170422">
              <w:rPr>
                <w:noProof/>
                <w:lang w:val="de-DE"/>
              </w:rPr>
              <w:t>M1C1-41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8BB437" w14:textId="77777777" w:rsidR="0057163C" w:rsidRPr="00170422" w:rsidRDefault="00F37BF9">
            <w:pPr>
              <w:pStyle w:val="P68B1DB1-Normal11"/>
              <w:jc w:val="center"/>
              <w:rPr>
                <w:rFonts w:cs="Arial"/>
                <w:noProof/>
                <w:szCs w:val="20"/>
                <w:lang w:val="de-DE"/>
              </w:rPr>
            </w:pPr>
            <w:r w:rsidRPr="00170422">
              <w:rPr>
                <w:noProof/>
                <w:lang w:val="de-DE"/>
              </w:rPr>
              <w:t>Investition 1.8: Einstellungsverfahren für Verwaltungsgerichte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D6BDB"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FB482" w14:textId="77777777" w:rsidR="0057163C" w:rsidRPr="00170422" w:rsidRDefault="00F37BF9">
            <w:pPr>
              <w:pStyle w:val="P68B1DB1-Normal11"/>
              <w:jc w:val="center"/>
              <w:rPr>
                <w:rFonts w:cs="Arial"/>
                <w:noProof/>
                <w:szCs w:val="20"/>
                <w:lang w:val="de-DE"/>
              </w:rPr>
            </w:pPr>
            <w:r w:rsidRPr="00170422">
              <w:rPr>
                <w:noProof/>
                <w:lang w:val="de-DE"/>
              </w:rPr>
              <w:t>Abbau des Verfahrensrückstaus bei den regionalen Verwaltungsgerichten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CB41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6DB62"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B1B70"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8738C" w14:textId="77777777" w:rsidR="0057163C" w:rsidRPr="00170422" w:rsidRDefault="00F37BF9">
            <w:pPr>
              <w:pStyle w:val="P68B1DB1-Normal11"/>
              <w:jc w:val="center"/>
              <w:rPr>
                <w:rFonts w:cs="Arial"/>
                <w:noProof/>
                <w:szCs w:val="20"/>
                <w:lang w:val="de-DE"/>
              </w:rPr>
            </w:pPr>
            <w:r w:rsidRPr="00170422">
              <w:rPr>
                <w:noProof/>
                <w:lang w:val="de-DE"/>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B5B639"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1C85EA"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A60B7" w14:textId="77777777" w:rsidR="0057163C" w:rsidRPr="00170422" w:rsidRDefault="00F37BF9">
            <w:pPr>
              <w:pStyle w:val="P68B1DB1-Normal11"/>
              <w:spacing w:after="120"/>
              <w:rPr>
                <w:rFonts w:cs="Arial"/>
                <w:noProof/>
                <w:szCs w:val="20"/>
                <w:lang w:val="de-DE"/>
              </w:rPr>
            </w:pPr>
            <w:r w:rsidRPr="00170422">
              <w:rPr>
                <w:noProof/>
                <w:lang w:val="de-DE"/>
              </w:rPr>
              <w:t xml:space="preserve">Verringerung der Zahl der </w:t>
            </w:r>
            <w:r w:rsidRPr="00170422">
              <w:rPr>
                <w:noProof/>
                <w:lang w:val="de-DE"/>
              </w:rPr>
              <w:t>anhängigen Rechtssachen an regionalen Verwaltungsgerichten (Verwaltungsgerichte erster Instanz) um 25 % im Jahr 2019 (109029).</w:t>
            </w:r>
          </w:p>
        </w:tc>
      </w:tr>
      <w:tr w:rsidR="0057163C" w:rsidRPr="00170422" w14:paraId="4B9EC167"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8A2155" w14:textId="77777777" w:rsidR="0057163C" w:rsidRPr="00170422" w:rsidRDefault="00F37BF9">
            <w:pPr>
              <w:pStyle w:val="P68B1DB1-Normal11"/>
              <w:jc w:val="center"/>
              <w:rPr>
                <w:rFonts w:cs="Arial"/>
                <w:noProof/>
                <w:szCs w:val="20"/>
                <w:lang w:val="de-DE"/>
              </w:rPr>
            </w:pPr>
            <w:r w:rsidRPr="00170422">
              <w:rPr>
                <w:noProof/>
                <w:lang w:val="de-DE"/>
              </w:rPr>
              <w:t>M1C1-42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2D7C7E" w14:textId="77777777" w:rsidR="0057163C" w:rsidRPr="00170422" w:rsidRDefault="00F37BF9">
            <w:pPr>
              <w:pStyle w:val="P68B1DB1-Normal11"/>
              <w:jc w:val="center"/>
              <w:rPr>
                <w:rFonts w:cs="Arial"/>
                <w:noProof/>
                <w:szCs w:val="20"/>
                <w:lang w:val="de-DE"/>
              </w:rPr>
            </w:pPr>
            <w:r w:rsidRPr="00170422">
              <w:rPr>
                <w:noProof/>
                <w:lang w:val="de-DE"/>
              </w:rPr>
              <w:t>Investition 1.8: Einstellungsverfahren für Verwaltungsgerichte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DB39B"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0263D" w14:textId="77777777" w:rsidR="0057163C" w:rsidRPr="00170422" w:rsidRDefault="00F37BF9">
            <w:pPr>
              <w:pStyle w:val="P68B1DB1-Normal11"/>
              <w:jc w:val="center"/>
              <w:rPr>
                <w:rFonts w:cs="Arial"/>
                <w:noProof/>
                <w:szCs w:val="20"/>
                <w:lang w:val="de-DE"/>
              </w:rPr>
            </w:pPr>
            <w:r w:rsidRPr="00170422">
              <w:rPr>
                <w:noProof/>
                <w:lang w:val="de-DE"/>
              </w:rPr>
              <w:t>Abbau des Verfahrensrückstaus für den Staatsrat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B7BF5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2388"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3D15B"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C34556" w14:textId="77777777" w:rsidR="0057163C" w:rsidRPr="00170422" w:rsidRDefault="00F37BF9">
            <w:pPr>
              <w:pStyle w:val="P68B1DB1-Normal11"/>
              <w:jc w:val="center"/>
              <w:rPr>
                <w:rFonts w:cs="Arial"/>
                <w:noProof/>
                <w:szCs w:val="20"/>
                <w:lang w:val="de-DE"/>
              </w:rPr>
            </w:pPr>
            <w:r w:rsidRPr="00170422">
              <w:rPr>
                <w:noProof/>
                <w:lang w:val="de-DE"/>
              </w:rPr>
              <w:t>65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7AD57"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1A5D1"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D31A24" w14:textId="77777777" w:rsidR="0057163C" w:rsidRPr="00170422" w:rsidRDefault="00F37BF9">
            <w:pPr>
              <w:pStyle w:val="P68B1DB1-Normal11"/>
              <w:spacing w:after="120"/>
              <w:rPr>
                <w:rFonts w:cs="Arial"/>
                <w:noProof/>
                <w:szCs w:val="20"/>
                <w:lang w:val="de-DE"/>
              </w:rPr>
            </w:pPr>
            <w:r w:rsidRPr="00170422">
              <w:rPr>
                <w:noProof/>
                <w:lang w:val="de-DE"/>
              </w:rPr>
              <w:t>Verringerung der Zahl der beim Staatsrat (zweite Instanz) anhängigen Rechtssachen um 35 % im Jahr 2019 (24010).</w:t>
            </w:r>
          </w:p>
        </w:tc>
      </w:tr>
      <w:tr w:rsidR="0057163C" w:rsidRPr="00170422" w14:paraId="084D85A6"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E5C98" w14:textId="77777777" w:rsidR="0057163C" w:rsidRPr="00170422" w:rsidRDefault="00F37BF9">
            <w:pPr>
              <w:pStyle w:val="P68B1DB1-Normal11"/>
              <w:jc w:val="center"/>
              <w:rPr>
                <w:rFonts w:cs="Arial"/>
                <w:noProof/>
                <w:szCs w:val="20"/>
                <w:lang w:val="de-DE"/>
              </w:rPr>
            </w:pPr>
            <w:r w:rsidRPr="00170422">
              <w:rPr>
                <w:noProof/>
                <w:lang w:val="de-DE"/>
              </w:rPr>
              <w:t>M1C1-43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455" w14:textId="77777777" w:rsidR="0057163C" w:rsidRPr="00170422" w:rsidRDefault="00F37BF9">
            <w:pPr>
              <w:pStyle w:val="P68B1DB1-Normal11"/>
              <w:jc w:val="center"/>
              <w:rPr>
                <w:rFonts w:cs="Arial"/>
                <w:noProof/>
                <w:szCs w:val="20"/>
                <w:lang w:val="de-DE"/>
              </w:rPr>
            </w:pPr>
            <w:r w:rsidRPr="00170422">
              <w:rPr>
                <w:noProof/>
                <w:lang w:val="de-DE"/>
              </w:rPr>
              <w:t>Reform 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434CC"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2A60BD" w14:textId="77777777" w:rsidR="0057163C" w:rsidRPr="00170422" w:rsidRDefault="00F37BF9">
            <w:pPr>
              <w:pStyle w:val="P68B1DB1-Normal11"/>
              <w:jc w:val="center"/>
              <w:rPr>
                <w:rFonts w:cs="Arial"/>
                <w:noProof/>
                <w:szCs w:val="20"/>
                <w:lang w:val="de-DE"/>
              </w:rPr>
            </w:pPr>
            <w:r w:rsidRPr="00170422">
              <w:rPr>
                <w:noProof/>
                <w:lang w:val="de-DE"/>
              </w:rPr>
              <w:t xml:space="preserve">Abbau des Verfahrensrückstaus bei den ordentlichen </w:t>
            </w:r>
            <w:r w:rsidRPr="00170422">
              <w:rPr>
                <w:noProof/>
                <w:lang w:val="de-DE"/>
              </w:rPr>
              <w:t>Zivilgerichten (erste Instanz)</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CDD20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0410C"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C51A7"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653860" w14:textId="77777777" w:rsidR="0057163C" w:rsidRPr="00170422" w:rsidRDefault="00F37BF9">
            <w:pPr>
              <w:pStyle w:val="P68B1DB1-Normal11"/>
              <w:jc w:val="center"/>
              <w:rPr>
                <w:rFonts w:cs="Arial"/>
                <w:noProof/>
                <w:szCs w:val="20"/>
                <w:lang w:val="de-DE"/>
              </w:rPr>
            </w:pPr>
            <w:r w:rsidRPr="00170422">
              <w:rPr>
                <w:noProof/>
                <w:lang w:val="de-DE"/>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0AA5D"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4BCC7"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AF608" w14:textId="70768A4E" w:rsidR="0057163C" w:rsidRPr="00170422" w:rsidRDefault="00F37BF9">
            <w:pPr>
              <w:pStyle w:val="P68B1DB1-Normal12"/>
              <w:spacing w:after="120"/>
              <w:rPr>
                <w:rFonts w:cs="Arial"/>
                <w:noProof/>
                <w:lang w:val="de-DE"/>
              </w:rPr>
            </w:pPr>
            <w:r w:rsidRPr="00170422">
              <w:rPr>
                <w:noProof/>
                <w:lang w:val="de-DE"/>
              </w:rPr>
              <w:t>Verringerung der Zahl der anhängigen Rechtssachen am 31. Januar 2020 (333218) bei den ordentlichen Zivilgerichten (erste Instanz) um 95 %. Der Ausgangswert ist die Zahl der Rechtssa</w:t>
            </w:r>
            <w:r w:rsidRPr="00170422">
              <w:rPr>
                <w:noProof/>
                <w:lang w:val="de-DE"/>
              </w:rPr>
              <w:t>chen, die seit mehr als drei Jahren vor den ordentlichen Zivilgerichten anhängig sind (am 31. Januar 2020).</w:t>
            </w:r>
          </w:p>
        </w:tc>
      </w:tr>
      <w:tr w:rsidR="0057163C" w:rsidRPr="00170422" w14:paraId="66173C6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0CE4A2" w14:textId="77777777" w:rsidR="0057163C" w:rsidRPr="00170422" w:rsidRDefault="00F37BF9">
            <w:pPr>
              <w:pStyle w:val="P68B1DB1-Normal11"/>
              <w:jc w:val="center"/>
              <w:rPr>
                <w:rFonts w:cs="Arial"/>
                <w:noProof/>
                <w:szCs w:val="20"/>
                <w:lang w:val="de-DE"/>
              </w:rPr>
            </w:pPr>
            <w:r w:rsidRPr="00170422">
              <w:rPr>
                <w:noProof/>
                <w:lang w:val="de-DE"/>
              </w:rPr>
              <w:t>M1C1-44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BDE97" w14:textId="77777777" w:rsidR="0057163C" w:rsidRPr="00170422" w:rsidRDefault="00F37BF9">
            <w:pPr>
              <w:pStyle w:val="P68B1DB1-Normal11"/>
              <w:jc w:val="center"/>
              <w:rPr>
                <w:rFonts w:cs="Arial"/>
                <w:noProof/>
                <w:szCs w:val="20"/>
                <w:lang w:val="de-DE"/>
              </w:rPr>
            </w:pPr>
            <w:r w:rsidRPr="00170422">
              <w:rPr>
                <w:noProof/>
                <w:lang w:val="de-DE"/>
              </w:rPr>
              <w:t>Reform 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870221"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95319" w14:textId="77777777" w:rsidR="0057163C" w:rsidRPr="00170422" w:rsidRDefault="00F37BF9">
            <w:pPr>
              <w:pStyle w:val="P68B1DB1-Normal11"/>
              <w:jc w:val="center"/>
              <w:rPr>
                <w:rFonts w:cs="Arial"/>
                <w:noProof/>
                <w:szCs w:val="20"/>
                <w:lang w:val="de-DE"/>
              </w:rPr>
            </w:pPr>
            <w:r w:rsidRPr="00170422">
              <w:rPr>
                <w:noProof/>
                <w:lang w:val="de-DE"/>
              </w:rPr>
              <w:t>Abbau des Verfahrensrückstaus beim Zivilgericht (zweite Instanz)</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A5DF3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21C6D"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B93F6A"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C299BA" w14:textId="77777777" w:rsidR="0057163C" w:rsidRPr="00170422" w:rsidRDefault="00F37BF9">
            <w:pPr>
              <w:pStyle w:val="P68B1DB1-Normal11"/>
              <w:jc w:val="center"/>
              <w:rPr>
                <w:rFonts w:cs="Arial"/>
                <w:noProof/>
                <w:szCs w:val="20"/>
                <w:lang w:val="de-DE"/>
              </w:rPr>
            </w:pPr>
            <w:r w:rsidRPr="00170422">
              <w:rPr>
                <w:noProof/>
                <w:lang w:val="de-DE"/>
              </w:rPr>
              <w:t>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054B5" w14:textId="77777777" w:rsidR="0057163C" w:rsidRPr="00170422" w:rsidRDefault="00F37BF9">
            <w:pPr>
              <w:pStyle w:val="P68B1DB1-Normal11"/>
              <w:jc w:val="center"/>
              <w:rPr>
                <w:rFonts w:cs="Arial"/>
                <w:noProof/>
                <w:szCs w:val="20"/>
                <w:lang w:val="de-DE"/>
              </w:rPr>
            </w:pPr>
            <w:r w:rsidRPr="00170422">
              <w:rPr>
                <w:noProof/>
                <w:lang w:val="de-DE"/>
              </w:rPr>
              <w:t xml:space="preserve">4. </w:t>
            </w:r>
            <w:r w:rsidRPr="00170422">
              <w:rPr>
                <w:noProof/>
                <w:lang w:val="de-DE"/>
              </w:rPr>
              <w:t>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0E58F4"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76121" w14:textId="0EA4D7A3" w:rsidR="0057163C" w:rsidRPr="00170422" w:rsidRDefault="00F37BF9">
            <w:pPr>
              <w:pStyle w:val="P68B1DB1-Normal12"/>
              <w:spacing w:after="120"/>
              <w:rPr>
                <w:rFonts w:cs="Arial"/>
                <w:noProof/>
                <w:lang w:val="de-DE"/>
              </w:rPr>
            </w:pPr>
            <w:r w:rsidRPr="00170422">
              <w:rPr>
                <w:noProof/>
                <w:lang w:val="de-DE"/>
              </w:rPr>
              <w:t xml:space="preserve">Verringerung der Zahl der anhängigen Rechtssachen am 31. Januar 2020 (97251) in den Zivilgerichten (zweite Instanz) um 95 %. </w:t>
            </w:r>
          </w:p>
          <w:p w14:paraId="39D61CAF" w14:textId="77777777" w:rsidR="0057163C" w:rsidRPr="00170422" w:rsidRDefault="00F37BF9">
            <w:pPr>
              <w:pStyle w:val="P68B1DB1-Normal11"/>
              <w:spacing w:after="120"/>
              <w:rPr>
                <w:rFonts w:cs="Arial"/>
                <w:noProof/>
                <w:szCs w:val="20"/>
                <w:lang w:val="de-DE"/>
              </w:rPr>
            </w:pPr>
            <w:r w:rsidRPr="00170422">
              <w:rPr>
                <w:noProof/>
                <w:lang w:val="de-DE"/>
              </w:rPr>
              <w:t>Der Ausgangswert ist die Zahl der Rechtssachen, die seit mehr als zwei Jahren vor den Zivilgerichten anhängig sind (</w:t>
            </w:r>
            <w:r w:rsidRPr="00170422">
              <w:rPr>
                <w:noProof/>
                <w:szCs w:val="20"/>
                <w:lang w:val="de-DE"/>
              </w:rPr>
              <w:t>a</w:t>
            </w:r>
            <w:r w:rsidRPr="00170422">
              <w:rPr>
                <w:noProof/>
                <w:szCs w:val="20"/>
                <w:lang w:val="de-DE"/>
              </w:rPr>
              <w:t>m 31. Januar 2020</w:t>
            </w:r>
            <w:r w:rsidRPr="00170422">
              <w:rPr>
                <w:noProof/>
                <w:lang w:val="de-DE"/>
              </w:rPr>
              <w:t>).</w:t>
            </w:r>
          </w:p>
        </w:tc>
      </w:tr>
      <w:tr w:rsidR="0057163C" w:rsidRPr="00170422" w14:paraId="2F1E77A6"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59C5B" w14:textId="77777777" w:rsidR="0057163C" w:rsidRPr="00170422" w:rsidRDefault="00F37BF9">
            <w:pPr>
              <w:pStyle w:val="P68B1DB1-Normal11"/>
              <w:jc w:val="center"/>
              <w:rPr>
                <w:rFonts w:cs="Arial"/>
                <w:noProof/>
                <w:szCs w:val="20"/>
                <w:lang w:val="de-DE"/>
              </w:rPr>
            </w:pPr>
            <w:r w:rsidRPr="00170422">
              <w:rPr>
                <w:noProof/>
                <w:lang w:val="de-DE"/>
              </w:rPr>
              <w:t>M1C1-37bis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C0D79" w14:textId="77777777" w:rsidR="0057163C" w:rsidRPr="00170422" w:rsidRDefault="00F37BF9">
            <w:pPr>
              <w:pStyle w:val="P68B1DB1-Normal11"/>
              <w:jc w:val="center"/>
              <w:rPr>
                <w:rFonts w:cs="Arial"/>
                <w:noProof/>
                <w:szCs w:val="20"/>
                <w:lang w:val="de-DE"/>
              </w:rPr>
            </w:pPr>
            <w:r w:rsidRPr="00170422">
              <w:rPr>
                <w:noProof/>
                <w:lang w:val="de-DE"/>
              </w:rPr>
              <w:t>Reform 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9DC090"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1137A" w14:textId="77777777" w:rsidR="0057163C" w:rsidRPr="00170422" w:rsidRDefault="00F37BF9">
            <w:pPr>
              <w:pStyle w:val="P68B1DB1-Normal11"/>
              <w:jc w:val="center"/>
              <w:rPr>
                <w:rFonts w:cs="Arial"/>
                <w:noProof/>
                <w:szCs w:val="20"/>
                <w:lang w:val="de-DE"/>
              </w:rPr>
            </w:pPr>
            <w:r w:rsidRPr="00170422">
              <w:rPr>
                <w:noProof/>
                <w:lang w:val="de-DE"/>
              </w:rPr>
              <w:t>Inkrafttreten von Maßnahmen zur Verringerung des Rückstands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850DE2"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von Primär- und Sekundärgesetzen zur Verringerung des Rückstands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536B" w14:textId="77777777" w:rsidR="0057163C" w:rsidRPr="00170422" w:rsidRDefault="0057163C">
            <w:pPr>
              <w:jc w:val="center"/>
              <w:rPr>
                <w:rFonts w:ascii="Arial Narrow" w:hAnsi="Arial Narrow" w:cs="Arial"/>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F7122D" w14:textId="77777777" w:rsidR="0057163C" w:rsidRPr="00170422" w:rsidRDefault="0057163C">
            <w:pPr>
              <w:jc w:val="center"/>
              <w:rPr>
                <w:rFonts w:ascii="Arial Narrow" w:hAnsi="Arial Narrow" w:cs="Arial"/>
                <w:noProof/>
                <w:color w:val="006100"/>
                <w:sz w:val="20"/>
                <w:szCs w:val="20"/>
                <w:lang w:val="de-DE"/>
              </w:rPr>
            </w:pP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12E2D" w14:textId="77777777" w:rsidR="0057163C" w:rsidRPr="00170422" w:rsidRDefault="0057163C">
            <w:pPr>
              <w:jc w:val="center"/>
              <w:rPr>
                <w:rFonts w:ascii="Arial Narrow" w:hAnsi="Arial Narrow" w:cs="Arial"/>
                <w:noProof/>
                <w:color w:val="006100"/>
                <w:sz w:val="20"/>
                <w:szCs w:val="20"/>
                <w:lang w:val="de-DE"/>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5486B"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0312"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86FB" w14:textId="77777777" w:rsidR="0057163C" w:rsidRPr="00170422" w:rsidRDefault="00F37BF9">
            <w:pPr>
              <w:pStyle w:val="P68B1DB1-Normal11"/>
              <w:rPr>
                <w:rFonts w:cs="Arial"/>
                <w:noProof/>
                <w:szCs w:val="20"/>
                <w:lang w:val="de-DE"/>
              </w:rPr>
            </w:pPr>
            <w:r w:rsidRPr="00170422">
              <w:rPr>
                <w:noProof/>
                <w:lang w:val="de-DE"/>
              </w:rPr>
              <w:t>Inkrafttreten des Primär- und Sekundärrechts, um Folgendes zu ermöglichen:</w:t>
            </w:r>
          </w:p>
          <w:p w14:paraId="440922ED" w14:textId="77777777" w:rsidR="0057163C" w:rsidRPr="00170422" w:rsidRDefault="00F37BF9">
            <w:pPr>
              <w:pStyle w:val="P68B1DB1-ListParagraph13"/>
              <w:numPr>
                <w:ilvl w:val="0"/>
                <w:numId w:val="59"/>
              </w:numPr>
              <w:spacing w:before="120" w:after="120" w:line="240" w:lineRule="auto"/>
              <w:ind w:left="304" w:hanging="142"/>
              <w:rPr>
                <w:rFonts w:cs="Arial"/>
                <w:noProof/>
                <w:lang w:val="de-DE"/>
              </w:rPr>
            </w:pPr>
            <w:r w:rsidRPr="00170422">
              <w:rPr>
                <w:noProof/>
                <w:lang w:val="de-DE"/>
              </w:rPr>
              <w:t xml:space="preserve">Stärkung der Gerichtsämter, auch durch Anreize, um die auf der Grundlage des Einstellungsprogramms für den nationalen Aufbau- und Resilienzplan eingestellten Personaleinheiten </w:t>
            </w:r>
            <w:r w:rsidRPr="00170422">
              <w:rPr>
                <w:noProof/>
                <w:lang w:val="de-DE"/>
              </w:rPr>
              <w:t>anzuziehen und zu halten;</w:t>
            </w:r>
          </w:p>
          <w:p w14:paraId="2D8DAC79" w14:textId="77777777" w:rsidR="0057163C" w:rsidRPr="00170422" w:rsidRDefault="00F37BF9">
            <w:pPr>
              <w:pStyle w:val="P68B1DB1-ListParagraph13"/>
              <w:numPr>
                <w:ilvl w:val="0"/>
                <w:numId w:val="59"/>
              </w:numPr>
              <w:spacing w:before="120" w:after="120" w:line="240" w:lineRule="auto"/>
              <w:ind w:left="304" w:hanging="142"/>
              <w:rPr>
                <w:rFonts w:cs="Arial"/>
                <w:noProof/>
                <w:lang w:val="de-DE"/>
              </w:rPr>
            </w:pPr>
            <w:r w:rsidRPr="00170422">
              <w:rPr>
                <w:noProof/>
                <w:lang w:val="de-DE"/>
              </w:rPr>
              <w:t xml:space="preserve">Schaffung von Anreizen für (1) weniger effiziente Gerichte dabei unterstützen, den Rückstand bei der Ziviljustiz zu verringern; 2. Richterstellen zu belohnen, die die spezifischen jährlichen Ziele der Verringerung der Zahl der in </w:t>
            </w:r>
            <w:r w:rsidRPr="00170422">
              <w:rPr>
                <w:noProof/>
                <w:lang w:val="de-DE"/>
              </w:rPr>
              <w:t>der Ziviljustiz anhängigen Rechtssachen erreichen.</w:t>
            </w:r>
          </w:p>
        </w:tc>
      </w:tr>
      <w:tr w:rsidR="0057163C" w:rsidRPr="00170422" w14:paraId="67453C1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E0DF0A" w14:textId="77777777" w:rsidR="0057163C" w:rsidRPr="00170422" w:rsidRDefault="00F37BF9">
            <w:pPr>
              <w:pStyle w:val="P68B1DB1-Normal11"/>
              <w:jc w:val="center"/>
              <w:rPr>
                <w:rFonts w:cs="Arial"/>
                <w:noProof/>
                <w:szCs w:val="20"/>
                <w:lang w:val="de-DE"/>
              </w:rPr>
            </w:pPr>
            <w:r w:rsidRPr="00170422">
              <w:rPr>
                <w:noProof/>
                <w:lang w:val="de-DE"/>
              </w:rPr>
              <w:t>M1C1-45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96443" w14:textId="77777777" w:rsidR="0057163C" w:rsidRPr="00170422" w:rsidRDefault="00F37BF9">
            <w:pPr>
              <w:pStyle w:val="P68B1DB1-Normal11"/>
              <w:jc w:val="center"/>
              <w:rPr>
                <w:rFonts w:cs="Arial"/>
                <w:noProof/>
                <w:szCs w:val="20"/>
                <w:lang w:val="de-DE"/>
              </w:rPr>
            </w:pPr>
            <w:r w:rsidRPr="00170422">
              <w:rPr>
                <w:noProof/>
                <w:lang w:val="de-DE"/>
              </w:rPr>
              <w:t>Reformen 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8522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58182" w14:textId="77777777" w:rsidR="0057163C" w:rsidRPr="00170422" w:rsidRDefault="00F37BF9">
            <w:pPr>
              <w:pStyle w:val="P68B1DB1-Normal11"/>
              <w:jc w:val="center"/>
              <w:rPr>
                <w:rFonts w:cs="Arial"/>
                <w:noProof/>
                <w:szCs w:val="20"/>
                <w:lang w:val="de-DE"/>
              </w:rPr>
            </w:pPr>
            <w:r w:rsidRPr="00170422">
              <w:rPr>
                <w:noProof/>
                <w:lang w:val="de-DE"/>
              </w:rPr>
              <w:t>Verkürzung der Dauer von Zivilverfahren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270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F4FADB"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89B4C"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A701F" w14:textId="77777777" w:rsidR="0057163C" w:rsidRPr="00170422" w:rsidRDefault="00F37BF9">
            <w:pPr>
              <w:pStyle w:val="P68B1DB1-Normal11"/>
              <w:jc w:val="center"/>
              <w:rPr>
                <w:rFonts w:cs="Arial"/>
                <w:noProof/>
                <w:szCs w:val="20"/>
                <w:lang w:val="de-DE"/>
              </w:rPr>
            </w:pPr>
            <w:r w:rsidRPr="00170422">
              <w:rPr>
                <w:noProof/>
                <w:lang w:val="de-DE"/>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C5A55"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925F7F"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66534" w14:textId="67FFE847" w:rsidR="0057163C" w:rsidRPr="00170422" w:rsidRDefault="00F37BF9">
            <w:pPr>
              <w:pStyle w:val="P68B1DB1-Normal12"/>
              <w:spacing w:after="120"/>
              <w:rPr>
                <w:rFonts w:cs="Arial"/>
                <w:noProof/>
                <w:lang w:val="de-DE"/>
              </w:rPr>
            </w:pPr>
            <w:r w:rsidRPr="00170422">
              <w:rPr>
                <w:noProof/>
                <w:lang w:val="de-DE"/>
              </w:rPr>
              <w:t>Verringerung der Dispositionszeit um 40 % aller zivil- und handelsrechtlichen</w:t>
            </w:r>
            <w:r w:rsidRPr="00170422">
              <w:rPr>
                <w:noProof/>
                <w:lang w:val="de-DE"/>
              </w:rPr>
              <w:t xml:space="preserve"> Streitsachen gegenüber dem 31. Dezember 2019 (2 512 Tage).</w:t>
            </w:r>
          </w:p>
        </w:tc>
      </w:tr>
      <w:tr w:rsidR="0057163C" w:rsidRPr="00170422" w14:paraId="0AF6A400"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FA4D5" w14:textId="77777777" w:rsidR="0057163C" w:rsidRPr="00170422" w:rsidRDefault="00F37BF9">
            <w:pPr>
              <w:pStyle w:val="P68B1DB1-Normal11"/>
              <w:jc w:val="center"/>
              <w:rPr>
                <w:rFonts w:cs="Arial"/>
                <w:noProof/>
                <w:szCs w:val="20"/>
                <w:lang w:val="de-DE"/>
              </w:rPr>
            </w:pPr>
            <w:r w:rsidRPr="00170422">
              <w:rPr>
                <w:noProof/>
                <w:lang w:val="de-DE"/>
              </w:rPr>
              <w:t>M1C1-46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037517" w14:textId="77777777" w:rsidR="0057163C" w:rsidRPr="00170422" w:rsidRDefault="00F37BF9">
            <w:pPr>
              <w:pStyle w:val="P68B1DB1-Normal11"/>
              <w:jc w:val="center"/>
              <w:rPr>
                <w:rFonts w:cs="Arial"/>
                <w:noProof/>
                <w:szCs w:val="20"/>
                <w:lang w:val="de-DE"/>
              </w:rPr>
            </w:pPr>
            <w:r w:rsidRPr="00170422">
              <w:rPr>
                <w:noProof/>
                <w:lang w:val="de-DE"/>
              </w:rPr>
              <w:t>Reform 1.5: Reform der Strafjustiz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FDAE9"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6DD12C" w14:textId="77777777" w:rsidR="0057163C" w:rsidRPr="00170422" w:rsidRDefault="00F37BF9">
            <w:pPr>
              <w:pStyle w:val="P68B1DB1-Normal11"/>
              <w:jc w:val="center"/>
              <w:rPr>
                <w:rFonts w:cs="Arial"/>
                <w:noProof/>
                <w:szCs w:val="20"/>
                <w:lang w:val="de-DE"/>
              </w:rPr>
            </w:pPr>
            <w:r w:rsidRPr="00170422">
              <w:rPr>
                <w:noProof/>
                <w:lang w:val="de-DE"/>
              </w:rPr>
              <w:t>Verkürzung der Dauer von Strafverfahren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FE451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EA2AF"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3E71F"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E6580B" w14:textId="77777777" w:rsidR="0057163C" w:rsidRPr="00170422" w:rsidRDefault="00F37BF9">
            <w:pPr>
              <w:pStyle w:val="P68B1DB1-Normal11"/>
              <w:jc w:val="center"/>
              <w:rPr>
                <w:rFonts w:cs="Arial"/>
                <w:noProof/>
                <w:szCs w:val="20"/>
                <w:lang w:val="de-DE"/>
              </w:rPr>
            </w:pPr>
            <w:r w:rsidRPr="00170422">
              <w:rPr>
                <w:noProof/>
                <w:lang w:val="de-DE"/>
              </w:rPr>
              <w:t>75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C7848"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2F5DA3"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81D3E" w14:textId="2267305D" w:rsidR="0057163C" w:rsidRPr="00170422" w:rsidRDefault="00F37BF9">
            <w:pPr>
              <w:pStyle w:val="P68B1DB1-Normal11"/>
              <w:spacing w:after="120"/>
              <w:rPr>
                <w:rFonts w:cs="Arial"/>
                <w:noProof/>
                <w:szCs w:val="20"/>
                <w:lang w:val="de-DE"/>
              </w:rPr>
            </w:pPr>
            <w:r w:rsidRPr="00170422">
              <w:rPr>
                <w:noProof/>
                <w:lang w:val="de-DE"/>
              </w:rPr>
              <w:t xml:space="preserve">Verringerung der Dispositionszeit um 25 % aller Strafverfahren im </w:t>
            </w:r>
            <w:r w:rsidRPr="00170422">
              <w:rPr>
                <w:noProof/>
                <w:lang w:val="de-DE"/>
              </w:rPr>
              <w:t>Vergleich zum 31. Dezember 2019 (1392 Tage).</w:t>
            </w:r>
          </w:p>
        </w:tc>
      </w:tr>
      <w:tr w:rsidR="0057163C" w:rsidRPr="00170422" w14:paraId="643F6D4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FE4AA0" w14:textId="77777777" w:rsidR="0057163C" w:rsidRPr="00170422" w:rsidRDefault="00F37BF9">
            <w:pPr>
              <w:pStyle w:val="P68B1DB1-Normal11"/>
              <w:jc w:val="center"/>
              <w:rPr>
                <w:rFonts w:cs="Arial"/>
                <w:noProof/>
                <w:szCs w:val="20"/>
                <w:lang w:val="de-DE"/>
              </w:rPr>
            </w:pPr>
            <w:r w:rsidRPr="00170422">
              <w:rPr>
                <w:noProof/>
                <w:lang w:val="de-DE"/>
              </w:rPr>
              <w:t>M1C1-47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819F8F" w14:textId="77777777" w:rsidR="0057163C" w:rsidRPr="00170422" w:rsidRDefault="00F37BF9">
            <w:pPr>
              <w:pStyle w:val="P68B1DB1-Normal11"/>
              <w:jc w:val="center"/>
              <w:rPr>
                <w:rFonts w:cs="Arial"/>
                <w:noProof/>
                <w:szCs w:val="20"/>
                <w:lang w:val="de-DE"/>
              </w:rPr>
            </w:pPr>
            <w:r w:rsidRPr="00170422">
              <w:rPr>
                <w:noProof/>
                <w:lang w:val="de-DE"/>
              </w:rPr>
              <w:t>Reform 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D31D12"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F1980" w14:textId="77777777" w:rsidR="0057163C" w:rsidRPr="00170422" w:rsidRDefault="00F37BF9">
            <w:pPr>
              <w:pStyle w:val="P68B1DB1-Normal11"/>
              <w:jc w:val="center"/>
              <w:rPr>
                <w:rFonts w:cs="Arial"/>
                <w:noProof/>
                <w:szCs w:val="20"/>
                <w:lang w:val="de-DE"/>
              </w:rPr>
            </w:pPr>
            <w:r w:rsidRPr="00170422">
              <w:rPr>
                <w:noProof/>
                <w:lang w:val="de-DE"/>
              </w:rPr>
              <w:t>Abbau des Verfahrensrückstaus bei den ordentlichen Zivilgerichten (erste Instanz)</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214C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4B305"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4A9A5"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D0F30" w14:textId="77777777" w:rsidR="0057163C" w:rsidRPr="00170422" w:rsidRDefault="00F37BF9">
            <w:pPr>
              <w:pStyle w:val="P68B1DB1-Normal11"/>
              <w:jc w:val="center"/>
              <w:rPr>
                <w:rFonts w:cs="Arial"/>
                <w:noProof/>
                <w:szCs w:val="20"/>
                <w:lang w:val="de-DE"/>
              </w:rPr>
            </w:pPr>
            <w:r w:rsidRPr="00170422">
              <w:rPr>
                <w:noProof/>
                <w:lang w:val="de-DE"/>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C5BA9"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53737"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40422" w14:textId="77777777" w:rsidR="0057163C" w:rsidRPr="00170422" w:rsidRDefault="00F37BF9">
            <w:pPr>
              <w:pStyle w:val="P68B1DB1-Normal11"/>
              <w:spacing w:after="120"/>
              <w:rPr>
                <w:rFonts w:cs="Arial"/>
                <w:noProof/>
                <w:szCs w:val="20"/>
                <w:lang w:val="de-DE"/>
              </w:rPr>
            </w:pPr>
            <w:r w:rsidRPr="00170422">
              <w:rPr>
                <w:noProof/>
                <w:lang w:val="de-DE"/>
              </w:rPr>
              <w:t xml:space="preserve">Verringerung der Zahl der anhängigen Rechtssachen, die zwischen dem 1. Februar 2017 und dem 31. Dezember 2022 eingeleitet wurden und am 31. Dezember 2022 noch anhängig waren, bei den ordentlichen Zivilgerichten (erste Instanz) um 90 %. </w:t>
            </w:r>
          </w:p>
        </w:tc>
      </w:tr>
      <w:tr w:rsidR="0057163C" w:rsidRPr="00170422" w14:paraId="171F21E0"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514B2F" w14:textId="77777777" w:rsidR="0057163C" w:rsidRPr="00170422" w:rsidRDefault="00F37BF9">
            <w:pPr>
              <w:pStyle w:val="P68B1DB1-Normal11"/>
              <w:jc w:val="center"/>
              <w:rPr>
                <w:rFonts w:cs="Arial"/>
                <w:noProof/>
                <w:szCs w:val="20"/>
                <w:lang w:val="de-DE"/>
              </w:rPr>
            </w:pPr>
            <w:r w:rsidRPr="00170422">
              <w:rPr>
                <w:noProof/>
                <w:lang w:val="de-DE"/>
              </w:rPr>
              <w:t>M1C1-48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E41F5" w14:textId="77777777" w:rsidR="0057163C" w:rsidRPr="00170422" w:rsidRDefault="00F37BF9">
            <w:pPr>
              <w:pStyle w:val="P68B1DB1-Normal11"/>
              <w:jc w:val="center"/>
              <w:rPr>
                <w:rFonts w:cs="Arial"/>
                <w:noProof/>
                <w:szCs w:val="20"/>
                <w:lang w:val="de-DE"/>
              </w:rPr>
            </w:pPr>
            <w:r w:rsidRPr="00170422">
              <w:rPr>
                <w:noProof/>
                <w:lang w:val="de-DE"/>
              </w:rPr>
              <w:t xml:space="preserve">Reform </w:t>
            </w:r>
            <w:r w:rsidRPr="00170422">
              <w:rPr>
                <w:noProof/>
                <w:lang w:val="de-DE"/>
              </w:rPr>
              <w:t>1.4: Reform der Ziviljustiz</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F545D3"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45FD4" w14:textId="77777777" w:rsidR="0057163C" w:rsidRPr="00170422" w:rsidRDefault="00F37BF9">
            <w:pPr>
              <w:pStyle w:val="P68B1DB1-Normal11"/>
              <w:jc w:val="center"/>
              <w:rPr>
                <w:rFonts w:cs="Arial"/>
                <w:noProof/>
                <w:szCs w:val="20"/>
                <w:lang w:val="de-DE"/>
              </w:rPr>
            </w:pPr>
            <w:r w:rsidRPr="00170422">
              <w:rPr>
                <w:noProof/>
                <w:lang w:val="de-DE"/>
              </w:rPr>
              <w:t>Abbau des Verfahrensrückstaus beim Zivilgericht (zweite Instanz)</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D405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A8B98"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A2A65"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495F45" w14:textId="77777777" w:rsidR="0057163C" w:rsidRPr="00170422" w:rsidRDefault="00F37BF9">
            <w:pPr>
              <w:pStyle w:val="P68B1DB1-Normal11"/>
              <w:jc w:val="center"/>
              <w:rPr>
                <w:rFonts w:cs="Arial"/>
                <w:noProof/>
                <w:szCs w:val="20"/>
                <w:lang w:val="de-DE"/>
              </w:rPr>
            </w:pPr>
            <w:r w:rsidRPr="00170422">
              <w:rPr>
                <w:noProof/>
                <w:lang w:val="de-DE"/>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D8E090"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2BCFF3"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57CBD" w14:textId="2985CB0A" w:rsidR="0057163C" w:rsidRPr="00170422" w:rsidRDefault="00F37BF9">
            <w:pPr>
              <w:pStyle w:val="P68B1DB1-Normal11"/>
              <w:spacing w:after="120"/>
              <w:rPr>
                <w:rFonts w:cs="Arial"/>
                <w:noProof/>
                <w:szCs w:val="20"/>
                <w:lang w:val="de-DE"/>
              </w:rPr>
            </w:pPr>
            <w:r w:rsidRPr="00170422">
              <w:rPr>
                <w:noProof/>
                <w:lang w:val="de-DE"/>
              </w:rPr>
              <w:t xml:space="preserve">Verringerung der Zahl der anhängigen Rechtssachen, die zwischen dem 1. Februar 2018 und dem 31. Dezember 2022 eingeleitet wurden und am 31. Dezember 2022 bei den Zivilgerichten (zweite Instanz) noch anhängig waren, um 90 %. </w:t>
            </w:r>
          </w:p>
        </w:tc>
      </w:tr>
      <w:tr w:rsidR="0057163C" w:rsidRPr="00170422" w14:paraId="5823CD7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33F3B" w14:textId="77777777" w:rsidR="0057163C" w:rsidRPr="00170422" w:rsidRDefault="00F37BF9">
            <w:pPr>
              <w:pStyle w:val="P68B1DB1-Normal11"/>
              <w:jc w:val="center"/>
              <w:rPr>
                <w:rFonts w:cs="Arial"/>
                <w:noProof/>
                <w:szCs w:val="20"/>
                <w:lang w:val="de-DE"/>
              </w:rPr>
            </w:pPr>
            <w:r w:rsidRPr="00170422">
              <w:rPr>
                <w:noProof/>
                <w:lang w:val="de-DE"/>
              </w:rPr>
              <w:t>M1C1-49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7E65" w14:textId="77777777" w:rsidR="0057163C" w:rsidRPr="00170422" w:rsidRDefault="00F37BF9">
            <w:pPr>
              <w:pStyle w:val="P68B1DB1-Normal11"/>
              <w:jc w:val="center"/>
              <w:rPr>
                <w:rFonts w:cs="Arial"/>
                <w:noProof/>
                <w:szCs w:val="20"/>
                <w:lang w:val="de-DE"/>
              </w:rPr>
            </w:pPr>
            <w:r w:rsidRPr="00170422">
              <w:rPr>
                <w:noProof/>
                <w:lang w:val="de-DE"/>
              </w:rPr>
              <w:t xml:space="preserve">Investition 1.8: </w:t>
            </w:r>
            <w:r w:rsidRPr="00170422">
              <w:rPr>
                <w:noProof/>
                <w:lang w:val="de-DE"/>
              </w:rPr>
              <w:t>Einstellungsverfahren für Verwaltungsgerichte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66B8DD"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CEDDC4" w14:textId="77777777" w:rsidR="0057163C" w:rsidRPr="00170422" w:rsidRDefault="00F37BF9">
            <w:pPr>
              <w:pStyle w:val="P68B1DB1-Normal11"/>
              <w:jc w:val="center"/>
              <w:rPr>
                <w:rFonts w:cs="Arial"/>
                <w:noProof/>
                <w:szCs w:val="20"/>
                <w:lang w:val="de-DE"/>
              </w:rPr>
            </w:pPr>
            <w:r w:rsidRPr="00170422">
              <w:rPr>
                <w:noProof/>
                <w:lang w:val="de-DE"/>
              </w:rPr>
              <w:t>Abbau des Verfahrensrückstaus bei den regionalen Verwaltungsgerichten (erste Instanz)</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E55C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CDE19"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715122"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23621" w14:textId="77777777" w:rsidR="0057163C" w:rsidRPr="00170422" w:rsidRDefault="00F37BF9">
            <w:pPr>
              <w:pStyle w:val="P68B1DB1-Normal11"/>
              <w:jc w:val="center"/>
              <w:rPr>
                <w:rFonts w:cs="Arial"/>
                <w:noProof/>
                <w:szCs w:val="20"/>
                <w:lang w:val="de-DE"/>
              </w:rPr>
            </w:pPr>
            <w:r w:rsidRPr="00170422">
              <w:rPr>
                <w:noProof/>
                <w:lang w:val="de-DE"/>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237359"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CB44"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DEB071" w14:textId="0EAE50A6" w:rsidR="0057163C" w:rsidRPr="00170422" w:rsidRDefault="00F37BF9">
            <w:pPr>
              <w:pStyle w:val="P68B1DB1-Normal12"/>
              <w:spacing w:after="120"/>
              <w:rPr>
                <w:rFonts w:cs="Arial"/>
                <w:noProof/>
                <w:lang w:val="de-DE"/>
              </w:rPr>
            </w:pPr>
            <w:r w:rsidRPr="00170422">
              <w:rPr>
                <w:noProof/>
                <w:lang w:val="de-DE"/>
              </w:rPr>
              <w:t>Verringerung der Gesamtzahl der anhängigen Rechtssachen, die bis zum 30. Juni 2023</w:t>
            </w:r>
            <w:r w:rsidRPr="00170422">
              <w:rPr>
                <w:noProof/>
                <w:lang w:val="de-DE"/>
              </w:rPr>
              <w:t xml:space="preserve"> bei allen regionalen Verwaltungsgerichten (Verwaltungsgericht erster Instanz) (102144) anhängig sind, um 80 %.</w:t>
            </w:r>
          </w:p>
        </w:tc>
      </w:tr>
      <w:tr w:rsidR="0057163C" w:rsidRPr="00170422" w14:paraId="5C7C7236"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F5115" w14:textId="77777777" w:rsidR="0057163C" w:rsidRPr="00170422" w:rsidRDefault="00F37BF9">
            <w:pPr>
              <w:pStyle w:val="P68B1DB1-Normal11"/>
              <w:jc w:val="center"/>
              <w:rPr>
                <w:rFonts w:cs="Arial"/>
                <w:noProof/>
                <w:szCs w:val="20"/>
                <w:lang w:val="de-DE"/>
              </w:rPr>
            </w:pPr>
            <w:r w:rsidRPr="00170422">
              <w:rPr>
                <w:noProof/>
                <w:lang w:val="de-DE"/>
              </w:rPr>
              <w:t>M1C1-50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268B90" w14:textId="77777777" w:rsidR="0057163C" w:rsidRPr="00170422" w:rsidRDefault="00F37BF9">
            <w:pPr>
              <w:pStyle w:val="P68B1DB1-Normal11"/>
              <w:jc w:val="center"/>
              <w:rPr>
                <w:rFonts w:cs="Arial"/>
                <w:noProof/>
                <w:szCs w:val="20"/>
                <w:lang w:val="de-DE"/>
              </w:rPr>
            </w:pPr>
            <w:r w:rsidRPr="00170422">
              <w:rPr>
                <w:noProof/>
                <w:lang w:val="de-DE"/>
              </w:rPr>
              <w:t>Investition 1.8: Einstellungsverfahren für Verwaltungsgerichte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4F3B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C7B776" w14:textId="77777777" w:rsidR="0057163C" w:rsidRPr="00170422" w:rsidRDefault="00F37BF9">
            <w:pPr>
              <w:pStyle w:val="P68B1DB1-Normal11"/>
              <w:jc w:val="center"/>
              <w:rPr>
                <w:rFonts w:cs="Arial"/>
                <w:noProof/>
                <w:szCs w:val="20"/>
                <w:lang w:val="de-DE"/>
              </w:rPr>
            </w:pPr>
            <w:r w:rsidRPr="00170422">
              <w:rPr>
                <w:noProof/>
                <w:lang w:val="de-DE"/>
              </w:rPr>
              <w:t>Abbau des Verfahrensrückstaus für den Staatsrat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5F20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2A6F2"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B78F2"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1B8606"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1712A"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F420F"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5FF35" w14:textId="746D575E" w:rsidR="0057163C" w:rsidRPr="00170422" w:rsidRDefault="00F37BF9">
            <w:pPr>
              <w:pStyle w:val="P68B1DB1-Normal12"/>
              <w:spacing w:after="120"/>
              <w:rPr>
                <w:rFonts w:cs="Arial"/>
                <w:noProof/>
                <w:lang w:val="de-DE"/>
              </w:rPr>
            </w:pPr>
            <w:r w:rsidRPr="00170422">
              <w:rPr>
                <w:noProof/>
                <w:lang w:val="de-DE"/>
              </w:rPr>
              <w:t>Verringerung der Zahl der anhängigen Rechtssachen, die am 30. Juni 2024 im Staatsrat (zweite Instanz) noch anhängig sind (12287), um 70 %.</w:t>
            </w:r>
          </w:p>
        </w:tc>
      </w:tr>
      <w:tr w:rsidR="0057163C" w:rsidRPr="00170422" w14:paraId="04A1B22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67947" w14:textId="77777777" w:rsidR="0057163C" w:rsidRPr="00170422" w:rsidRDefault="00F37BF9">
            <w:pPr>
              <w:pStyle w:val="P68B1DB1-Normal11"/>
              <w:jc w:val="center"/>
              <w:rPr>
                <w:rFonts w:cs="Arial"/>
                <w:noProof/>
                <w:szCs w:val="20"/>
                <w:lang w:val="de-DE"/>
              </w:rPr>
            </w:pPr>
            <w:r w:rsidRPr="00170422">
              <w:rPr>
                <w:noProof/>
                <w:lang w:val="de-DE"/>
              </w:rPr>
              <w:t>M1C1-51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D775B5" w14:textId="77777777" w:rsidR="0057163C" w:rsidRPr="00170422" w:rsidRDefault="00F37BF9">
            <w:pPr>
              <w:pStyle w:val="P68B1DB1-Normal11"/>
              <w:jc w:val="center"/>
              <w:rPr>
                <w:rFonts w:cs="Arial"/>
                <w:noProof/>
                <w:szCs w:val="20"/>
                <w:lang w:val="de-DE"/>
              </w:rPr>
            </w:pPr>
            <w:r w:rsidRPr="00170422">
              <w:rPr>
                <w:noProof/>
                <w:lang w:val="de-DE"/>
              </w:rPr>
              <w:t>Reform 1.9: Reform der 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B5D38"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C41D96" w14:textId="77777777" w:rsidR="0057163C" w:rsidRPr="00170422" w:rsidRDefault="00F37BF9">
            <w:pPr>
              <w:pStyle w:val="P68B1DB1-Normal11"/>
              <w:jc w:val="center"/>
              <w:rPr>
                <w:rFonts w:cs="Arial"/>
                <w:noProof/>
                <w:szCs w:val="20"/>
                <w:lang w:val="de-DE"/>
              </w:rPr>
            </w:pPr>
            <w:r w:rsidRPr="00170422">
              <w:rPr>
                <w:noProof/>
                <w:lang w:val="de-DE"/>
              </w:rPr>
              <w:t xml:space="preserve">Inkrafttreten des </w:t>
            </w:r>
            <w:r w:rsidRPr="00170422">
              <w:rPr>
                <w:noProof/>
                <w:lang w:val="de-DE"/>
              </w:rPr>
              <w:t>Primärrechts zur Steuerung des italienischen Aufbau- und Resilienzplans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FE13A"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Gesetzes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050D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997E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640C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0F348"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1DFD4"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4BD94" w14:textId="77777777" w:rsidR="0057163C" w:rsidRPr="00170422" w:rsidRDefault="00F37BF9">
            <w:pPr>
              <w:pStyle w:val="P68B1DB1-Normal11"/>
              <w:spacing w:after="120"/>
              <w:rPr>
                <w:rFonts w:cs="Arial"/>
                <w:noProof/>
                <w:szCs w:val="20"/>
                <w:lang w:val="de-DE"/>
              </w:rPr>
            </w:pPr>
            <w:r w:rsidRPr="00170422">
              <w:rPr>
                <w:noProof/>
                <w:lang w:val="de-DE"/>
              </w:rPr>
              <w:t>Das Primärrecht muss mindestens Folgendes betreffen:</w:t>
            </w:r>
          </w:p>
          <w:p w14:paraId="5759B074" w14:textId="77777777" w:rsidR="0057163C" w:rsidRPr="00170422" w:rsidRDefault="00F37BF9">
            <w:pPr>
              <w:pStyle w:val="P68B1DB1-Normal11"/>
              <w:spacing w:after="120"/>
              <w:rPr>
                <w:rFonts w:cs="Arial"/>
                <w:noProof/>
                <w:szCs w:val="20"/>
                <w:lang w:val="de-DE"/>
              </w:rPr>
            </w:pPr>
            <w:r w:rsidRPr="00170422">
              <w:rPr>
                <w:noProof/>
                <w:lang w:val="de-DE"/>
              </w:rPr>
              <w:t>1) Koordinierung und Überwachung d</w:t>
            </w:r>
            <w:r w:rsidRPr="00170422">
              <w:rPr>
                <w:noProof/>
                <w:lang w:val="de-DE"/>
              </w:rPr>
              <w:t>er Projekte des italienischen Aufbau- und Resilienzplans auf zentraler Ebene;</w:t>
            </w:r>
          </w:p>
          <w:p w14:paraId="26D33C3E" w14:textId="77777777" w:rsidR="0057163C" w:rsidRPr="00170422" w:rsidRDefault="00F37BF9">
            <w:pPr>
              <w:pStyle w:val="P68B1DB1-Normal11"/>
              <w:spacing w:after="120"/>
              <w:rPr>
                <w:rFonts w:cs="Arial"/>
                <w:noProof/>
                <w:szCs w:val="20"/>
                <w:lang w:val="de-DE"/>
              </w:rPr>
            </w:pPr>
            <w:r w:rsidRPr="00170422">
              <w:rPr>
                <w:noProof/>
                <w:lang w:val="de-DE"/>
              </w:rPr>
              <w:t>2. Festlegung und Trennung der Zuständigkeiten und Billigung der einschlägigen Mandate der verschiedenen Stellen und Verwaltungen, die an der Koordinierung, Überwachung und Umset</w:t>
            </w:r>
            <w:r w:rsidRPr="00170422">
              <w:rPr>
                <w:noProof/>
                <w:lang w:val="de-DE"/>
              </w:rPr>
              <w:t>zung des italienischen Aufbau- und Resilienzplans beteiligt sind;</w:t>
            </w:r>
          </w:p>
          <w:p w14:paraId="10BAD1CC" w14:textId="77777777" w:rsidR="0057163C" w:rsidRPr="00170422" w:rsidRDefault="00F37BF9">
            <w:pPr>
              <w:pStyle w:val="P68B1DB1-Normal11"/>
              <w:spacing w:after="120"/>
              <w:rPr>
                <w:rFonts w:cs="Arial"/>
                <w:noProof/>
                <w:szCs w:val="20"/>
                <w:lang w:val="de-DE"/>
              </w:rPr>
            </w:pPr>
            <w:r w:rsidRPr="00170422">
              <w:rPr>
                <w:noProof/>
                <w:lang w:val="de-DE"/>
              </w:rPr>
              <w:t>3. Festlegung eines Systems zur Früherkennung von Umsetzungsproblemen;</w:t>
            </w:r>
          </w:p>
          <w:p w14:paraId="6A0F2638" w14:textId="77777777" w:rsidR="0057163C" w:rsidRPr="00170422" w:rsidRDefault="00F37BF9">
            <w:pPr>
              <w:pStyle w:val="P68B1DB1-Normal12"/>
              <w:spacing w:after="120"/>
              <w:rPr>
                <w:rFonts w:cs="Arial"/>
                <w:noProof/>
                <w:lang w:val="de-DE"/>
              </w:rPr>
            </w:pPr>
            <w:r w:rsidRPr="00170422">
              <w:rPr>
                <w:noProof/>
                <w:lang w:val="de-DE"/>
              </w:rPr>
              <w:t>4. Ex-ante Festlegung eines Durchsetzungsmechanismus zur Lösung von Umsetzungsproblemen und zur Vermeidung von Verzöger</w:t>
            </w:r>
            <w:r w:rsidRPr="00170422">
              <w:rPr>
                <w:noProof/>
                <w:lang w:val="de-DE"/>
              </w:rPr>
              <w:t>ungen, insbesondere gegenüber den verschiedenen Verwaltungsebenen;</w:t>
            </w:r>
          </w:p>
          <w:p w14:paraId="623A2B80" w14:textId="77777777" w:rsidR="0057163C" w:rsidRPr="00170422" w:rsidRDefault="00F37BF9">
            <w:pPr>
              <w:pStyle w:val="P68B1DB1-Normal12"/>
              <w:spacing w:after="120"/>
              <w:rPr>
                <w:rFonts w:cs="Arial"/>
                <w:noProof/>
                <w:lang w:val="de-DE"/>
              </w:rPr>
            </w:pPr>
            <w:r w:rsidRPr="00170422">
              <w:rPr>
                <w:noProof/>
                <w:lang w:val="de-DE"/>
              </w:rPr>
              <w:t>5) Festlegung des Personals (Anzahl und Fachwissen) für die Koordinierung, Überwachung und Umsetzung des italienischen Aufbau- und Resilienzplans in den beteiligten Verwaltungen;</w:t>
            </w:r>
          </w:p>
          <w:p w14:paraId="6CA3C2AF" w14:textId="77777777" w:rsidR="0057163C" w:rsidRPr="00170422" w:rsidRDefault="00F37BF9">
            <w:pPr>
              <w:pStyle w:val="P68B1DB1-Normal12"/>
              <w:spacing w:after="120"/>
              <w:rPr>
                <w:rFonts w:cs="Arial"/>
                <w:noProof/>
                <w:lang w:val="de-DE"/>
              </w:rPr>
            </w:pPr>
            <w:r w:rsidRPr="00170422">
              <w:rPr>
                <w:noProof/>
                <w:lang w:val="de-DE"/>
              </w:rPr>
              <w:t>6) Festleg</w:t>
            </w:r>
            <w:r w:rsidRPr="00170422">
              <w:rPr>
                <w:noProof/>
                <w:lang w:val="de-DE"/>
              </w:rPr>
              <w:t>ung der technischen Hilfe für die an der Umsetzung des Aufbau- und Resilienzplans in Italien beteiligten Verwaltungen, insbesondere auf lokaler Ebene, um den Aufbau von Verwaltungskapazitäten in der öffentlichen Verwaltung sicherzustellen;</w:t>
            </w:r>
          </w:p>
          <w:p w14:paraId="6170B712" w14:textId="77777777" w:rsidR="0057163C" w:rsidRPr="00170422" w:rsidRDefault="00F37BF9">
            <w:pPr>
              <w:pStyle w:val="P68B1DB1-Normal12"/>
              <w:spacing w:after="120"/>
              <w:rPr>
                <w:rFonts w:cs="Arial"/>
                <w:noProof/>
                <w:lang w:val="de-DE"/>
              </w:rPr>
            </w:pPr>
            <w:r w:rsidRPr="00170422">
              <w:rPr>
                <w:noProof/>
                <w:lang w:val="de-DE"/>
              </w:rPr>
              <w:t>7) eine Abgrenzu</w:t>
            </w:r>
            <w:r w:rsidRPr="00170422">
              <w:rPr>
                <w:noProof/>
                <w:lang w:val="de-DE"/>
              </w:rPr>
              <w:t>ng der beschleunigten Verfahren für die Umsetzung des italienischen Aufbau- und Resilienzplans und die rechtzeitige Ausschöpfung der Mittel;</w:t>
            </w:r>
          </w:p>
          <w:p w14:paraId="3C2C255A" w14:textId="77777777" w:rsidR="0057163C" w:rsidRPr="00170422" w:rsidRDefault="00F37BF9">
            <w:pPr>
              <w:pStyle w:val="P68B1DB1-Normal11"/>
              <w:spacing w:after="120"/>
              <w:rPr>
                <w:rFonts w:cs="Arial"/>
                <w:noProof/>
                <w:szCs w:val="20"/>
                <w:lang w:val="de-DE"/>
              </w:rPr>
            </w:pPr>
            <w:r w:rsidRPr="00170422">
              <w:rPr>
                <w:noProof/>
                <w:lang w:val="de-DE"/>
              </w:rPr>
              <w:t>8) Prüf- und Kontrollorganisation und Verfahren für den italienischen Aufbau- und Resilienzplan.</w:t>
            </w:r>
          </w:p>
        </w:tc>
      </w:tr>
      <w:tr w:rsidR="0057163C" w:rsidRPr="00170422" w14:paraId="69A7CE0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D694D" w14:textId="77777777" w:rsidR="0057163C" w:rsidRPr="00170422" w:rsidRDefault="00F37BF9">
            <w:pPr>
              <w:pStyle w:val="P68B1DB1-Normal11"/>
              <w:jc w:val="center"/>
              <w:rPr>
                <w:rFonts w:cs="Arial"/>
                <w:noProof/>
                <w:szCs w:val="20"/>
                <w:lang w:val="de-DE"/>
              </w:rPr>
            </w:pPr>
            <w:r w:rsidRPr="00170422">
              <w:rPr>
                <w:noProof/>
                <w:lang w:val="de-DE"/>
              </w:rPr>
              <w:t>M1C1-52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D799A" w14:textId="77777777" w:rsidR="0057163C" w:rsidRPr="00170422" w:rsidRDefault="00F37BF9">
            <w:pPr>
              <w:pStyle w:val="P68B1DB1-Normal11"/>
              <w:jc w:val="center"/>
              <w:rPr>
                <w:rFonts w:cs="Arial"/>
                <w:noProof/>
                <w:szCs w:val="20"/>
                <w:lang w:val="de-DE"/>
              </w:rPr>
            </w:pPr>
            <w:r w:rsidRPr="00170422">
              <w:rPr>
                <w:noProof/>
                <w:lang w:val="de-DE"/>
              </w:rPr>
              <w:t xml:space="preserve">Reform </w:t>
            </w:r>
            <w:r w:rsidRPr="00170422">
              <w:rPr>
                <w:noProof/>
                <w:lang w:val="de-DE"/>
              </w:rPr>
              <w:t>1.9: Reform der 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2EDF7E"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409062" w14:textId="77777777" w:rsidR="0057163C" w:rsidRPr="00170422" w:rsidRDefault="00F37BF9">
            <w:pPr>
              <w:pStyle w:val="P68B1DB1-Normal11"/>
              <w:jc w:val="center"/>
              <w:rPr>
                <w:rFonts w:cs="Arial"/>
                <w:noProof/>
                <w:szCs w:val="20"/>
                <w:lang w:val="de-DE"/>
              </w:rPr>
            </w:pPr>
            <w:r w:rsidRPr="00170422">
              <w:rPr>
                <w:noProof/>
                <w:lang w:val="de-DE"/>
              </w:rPr>
              <w:t>Inkrafttreten des Primärrechts zur Vereinfachung der Verwaltungsverfahren für die Umsetzung des italienischen Aufbau- und Resilienzplans.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FCE80"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Gesetzes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1E89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54F8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5A053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67714"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931648"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A7DBC" w14:textId="77777777" w:rsidR="0057163C" w:rsidRPr="00170422" w:rsidRDefault="00F37BF9">
            <w:pPr>
              <w:pStyle w:val="P68B1DB1-Normal11"/>
              <w:spacing w:after="120"/>
              <w:rPr>
                <w:rFonts w:cs="Arial"/>
                <w:noProof/>
                <w:szCs w:val="20"/>
                <w:lang w:val="de-DE"/>
              </w:rPr>
            </w:pPr>
            <w:r w:rsidRPr="00170422">
              <w:rPr>
                <w:noProof/>
                <w:lang w:val="de-DE"/>
              </w:rPr>
              <w:t>Die Maßnahmen umfassen:</w:t>
            </w:r>
          </w:p>
          <w:p w14:paraId="734643E6" w14:textId="77777777" w:rsidR="0057163C" w:rsidRPr="00170422" w:rsidRDefault="00F37BF9">
            <w:pPr>
              <w:pStyle w:val="P68B1DB1-Normal12"/>
              <w:spacing w:after="120"/>
              <w:rPr>
                <w:rFonts w:cs="Arial"/>
                <w:noProof/>
                <w:lang w:val="de-DE"/>
              </w:rPr>
            </w:pPr>
            <w:r w:rsidRPr="00170422">
              <w:rPr>
                <w:noProof/>
                <w:lang w:val="de-DE"/>
              </w:rPr>
              <w:t>Beseitigung kritischer Engpässe, insbesondere in Bezug auf die staatliche und regionale Umweltverträglichkeitsprüfung, die Zulassung neuer Abfallrecyclinganlagen, die Genehmigungsverfahren für e</w:t>
            </w:r>
            <w:r w:rsidRPr="00170422">
              <w:rPr>
                <w:noProof/>
                <w:lang w:val="de-DE"/>
              </w:rPr>
              <w:t>rneuerbare Energien und die zur Erreichung der Energieeffizienz von Gebäuden erforderlichen Engpässe (sogenannte Superbonus) und Stadterneuerung. Besondere Maßnahmen sind der Vereinfachung der Verfahren innerhalb der „Conferenza di servizi“ (einer förmlich</w:t>
            </w:r>
            <w:r w:rsidRPr="00170422">
              <w:rPr>
                <w:noProof/>
                <w:lang w:val="de-DE"/>
              </w:rPr>
              <w:t>en Vereinbarung zwischen zwei oder mehr öffentlichen Verwaltungen) gewidmet.</w:t>
            </w:r>
          </w:p>
        </w:tc>
      </w:tr>
      <w:tr w:rsidR="0057163C" w:rsidRPr="00170422" w14:paraId="1214E88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7070E" w14:textId="77777777" w:rsidR="0057163C" w:rsidRPr="00170422" w:rsidRDefault="00F37BF9">
            <w:pPr>
              <w:pStyle w:val="P68B1DB1-Normal11"/>
              <w:jc w:val="center"/>
              <w:rPr>
                <w:rFonts w:cs="Arial"/>
                <w:noProof/>
                <w:szCs w:val="20"/>
                <w:lang w:val="de-DE"/>
              </w:rPr>
            </w:pPr>
            <w:r w:rsidRPr="00170422">
              <w:rPr>
                <w:noProof/>
                <w:lang w:val="de-DE"/>
              </w:rPr>
              <w:t>M1C1-53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6863D" w14:textId="77777777" w:rsidR="0057163C" w:rsidRPr="00170422" w:rsidRDefault="00F37BF9">
            <w:pPr>
              <w:pStyle w:val="P68B1DB1-Normal12"/>
              <w:jc w:val="center"/>
              <w:rPr>
                <w:rFonts w:cs="Arial"/>
                <w:noProof/>
                <w:lang w:val="de-DE"/>
              </w:rPr>
            </w:pPr>
            <w:r w:rsidRPr="00170422">
              <w:rPr>
                <w:noProof/>
                <w:lang w:val="de-DE"/>
              </w:rPr>
              <w:t>Investition 1.9: Bereitstellung technischer Hilfe und Stärkung des Kapazitätsaufbaus für die Umsetzung des italienischen Aufbau- und Resilienzplans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88D06B"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B04EE6" w14:textId="77777777" w:rsidR="0057163C" w:rsidRPr="00170422" w:rsidRDefault="00F37BF9">
            <w:pPr>
              <w:pStyle w:val="P68B1DB1-Normal12"/>
              <w:jc w:val="center"/>
              <w:rPr>
                <w:rFonts w:cs="Arial"/>
                <w:noProof/>
                <w:lang w:val="de-DE"/>
              </w:rPr>
            </w:pPr>
            <w:r w:rsidRPr="00170422">
              <w:rPr>
                <w:noProof/>
                <w:lang w:val="de-DE"/>
              </w:rPr>
              <w:t>Inkrafttreten des Primärrechts zur Bereitstellung technischer Hilfe und Stärkung des Kapazitätsaufbaus für die Umsetzung des italienischen Aufbau- und Resilienzplans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F7F9B"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Gesetzes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F440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1E83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70CE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6E238" w14:textId="77777777" w:rsidR="0057163C" w:rsidRPr="00170422" w:rsidRDefault="00F37BF9">
            <w:pPr>
              <w:pStyle w:val="P68B1DB1-Normal11"/>
              <w:jc w:val="center"/>
              <w:rPr>
                <w:rFonts w:cs="Arial"/>
                <w:noProof/>
                <w:szCs w:val="20"/>
                <w:lang w:val="de-DE"/>
              </w:rPr>
            </w:pPr>
            <w:r w:rsidRPr="00170422">
              <w:rPr>
                <w:noProof/>
                <w:lang w:val="de-DE"/>
              </w:rPr>
              <w:t>Q</w:t>
            </w:r>
            <w:r w:rsidRPr="00170422">
              <w:rPr>
                <w:noProof/>
                <w:lang w:val="de-DE"/>
              </w:rPr>
              <w:t>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115231"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ADF18" w14:textId="77777777" w:rsidR="0057163C" w:rsidRPr="00170422" w:rsidRDefault="00F37BF9">
            <w:pPr>
              <w:pStyle w:val="P68B1DB1-Normal11"/>
              <w:spacing w:after="120"/>
              <w:rPr>
                <w:rFonts w:cs="Arial"/>
                <w:noProof/>
                <w:szCs w:val="20"/>
                <w:lang w:val="de-DE"/>
              </w:rPr>
            </w:pPr>
            <w:r w:rsidRPr="00170422">
              <w:rPr>
                <w:noProof/>
                <w:lang w:val="de-DE"/>
              </w:rPr>
              <w:t>Die Maßnahmen umfassen die Möglichkeit der vorübergehenden Einstellung von</w:t>
            </w:r>
          </w:p>
          <w:p w14:paraId="379D6586" w14:textId="77777777" w:rsidR="0057163C" w:rsidRPr="00170422" w:rsidRDefault="00F37BF9">
            <w:pPr>
              <w:pStyle w:val="P68B1DB1-Normal12"/>
              <w:spacing w:after="120"/>
              <w:rPr>
                <w:rFonts w:cs="Arial"/>
                <w:noProof/>
                <w:lang w:val="de-DE"/>
              </w:rPr>
            </w:pPr>
            <w:r w:rsidRPr="00170422">
              <w:rPr>
                <w:noProof/>
                <w:lang w:val="de-DE"/>
              </w:rPr>
              <w:t>I) 2800 technische Zahlen zur Stärkung der öffentlichen Verwaltungen des Südens, die aus dem Staatshaushalt finanziert werden;</w:t>
            </w:r>
          </w:p>
          <w:p w14:paraId="2C4C9C4C" w14:textId="77777777" w:rsidR="0057163C" w:rsidRPr="00170422" w:rsidRDefault="00F37BF9">
            <w:pPr>
              <w:pStyle w:val="P68B1DB1-Normal12"/>
              <w:spacing w:after="120"/>
              <w:rPr>
                <w:rFonts w:cs="Arial"/>
                <w:noProof/>
                <w:lang w:val="de-DE"/>
              </w:rPr>
            </w:pPr>
            <w:r w:rsidRPr="00170422">
              <w:rPr>
                <w:noProof/>
                <w:lang w:val="de-DE"/>
              </w:rPr>
              <w:t xml:space="preserve">II) ein Pool von 1000 Experten, die drei Jahre </w:t>
            </w:r>
            <w:r w:rsidRPr="00170422">
              <w:rPr>
                <w:noProof/>
                <w:lang w:val="de-DE"/>
              </w:rPr>
              <w:t>lang eingesetzt werden sollen, um die Verwaltungen bei der Verwaltung der neuen Verfahren zur Bereitstellung technischer Hilfe zu unterstützen.</w:t>
            </w:r>
          </w:p>
        </w:tc>
      </w:tr>
      <w:tr w:rsidR="0057163C" w:rsidRPr="00170422" w14:paraId="26EEDEC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A3400" w14:textId="77777777" w:rsidR="0057163C" w:rsidRPr="00170422" w:rsidRDefault="00F37BF9">
            <w:pPr>
              <w:pStyle w:val="P68B1DB1-Normal11"/>
              <w:jc w:val="center"/>
              <w:rPr>
                <w:rFonts w:cs="Arial"/>
                <w:noProof/>
                <w:szCs w:val="20"/>
                <w:lang w:val="de-DE"/>
              </w:rPr>
            </w:pPr>
            <w:r w:rsidRPr="00170422">
              <w:rPr>
                <w:noProof/>
                <w:lang w:val="de-DE"/>
              </w:rPr>
              <w:t>M1C1-54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19C87B" w14:textId="77777777" w:rsidR="0057163C" w:rsidRPr="00170422" w:rsidRDefault="00F37BF9">
            <w:pPr>
              <w:pStyle w:val="P68B1DB1-Normal12"/>
              <w:jc w:val="center"/>
              <w:rPr>
                <w:rFonts w:cs="Arial"/>
                <w:noProof/>
                <w:lang w:val="de-DE"/>
              </w:rPr>
            </w:pPr>
            <w:r w:rsidRPr="00170422">
              <w:rPr>
                <w:noProof/>
                <w:lang w:val="de-DE"/>
              </w:rPr>
              <w:t xml:space="preserve">Investition 1.9: Bereitstellung technischer Hilfe und Stärkung des Kapazitätsaufbaus für die Umsetzung </w:t>
            </w:r>
            <w:r w:rsidRPr="00170422">
              <w:rPr>
                <w:noProof/>
                <w:lang w:val="de-DE"/>
              </w:rPr>
              <w:t>des italienischen Aufbau- und Resilienzplans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2CE06A"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AA1228" w14:textId="77777777" w:rsidR="0057163C" w:rsidRPr="00170422" w:rsidRDefault="00F37BF9">
            <w:pPr>
              <w:pStyle w:val="P68B1DB1-Normal11"/>
              <w:jc w:val="center"/>
              <w:rPr>
                <w:rFonts w:cs="Arial"/>
                <w:noProof/>
                <w:szCs w:val="20"/>
                <w:lang w:val="de-DE"/>
              </w:rPr>
            </w:pPr>
            <w:r w:rsidRPr="00170422">
              <w:rPr>
                <w:noProof/>
                <w:lang w:val="de-DE"/>
              </w:rPr>
              <w:t>Abgeschlossene Einstellung von Sachverständigen für die Umsetzung des italienischen Aufbau- und Resilienzplans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7659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142A0"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75B5D6"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CDB80B" w14:textId="77777777" w:rsidR="0057163C" w:rsidRPr="00170422" w:rsidRDefault="00F37BF9">
            <w:pPr>
              <w:pStyle w:val="P68B1DB1-Normal11"/>
              <w:jc w:val="center"/>
              <w:rPr>
                <w:rFonts w:cs="Arial"/>
                <w:noProof/>
                <w:szCs w:val="20"/>
                <w:lang w:val="de-DE"/>
              </w:rPr>
            </w:pPr>
            <w:r w:rsidRPr="00170422">
              <w:rPr>
                <w:noProof/>
                <w:lang w:val="de-DE"/>
              </w:rPr>
              <w:t>1 000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A6E03"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B5823"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0F189" w14:textId="77777777" w:rsidR="0057163C" w:rsidRPr="00170422" w:rsidRDefault="00F37BF9">
            <w:pPr>
              <w:pStyle w:val="P68B1DB1-Normal12"/>
              <w:spacing w:after="120"/>
              <w:rPr>
                <w:rFonts w:cs="Arial"/>
                <w:noProof/>
                <w:lang w:val="de-DE"/>
              </w:rPr>
            </w:pPr>
            <w:r w:rsidRPr="00170422">
              <w:rPr>
                <w:noProof/>
                <w:lang w:val="de-DE"/>
              </w:rPr>
              <w:t>Abschluss der Einstellungsverfahren für den Pool von 1</w:t>
            </w:r>
            <w:r w:rsidRPr="00170422">
              <w:rPr>
                <w:noProof/>
                <w:lang w:val="de-DE"/>
              </w:rPr>
              <w:t>000 Experten, die drei Jahre lang eingesetzt werden sollen, um die Verwaltungen bei der Verwaltung der neuen Verfahren zur Bereitstellung technischer Hilfe zu unterstützen.</w:t>
            </w:r>
          </w:p>
        </w:tc>
      </w:tr>
      <w:tr w:rsidR="0057163C" w:rsidRPr="00170422" w14:paraId="20EC640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623A2" w14:textId="77777777" w:rsidR="0057163C" w:rsidRPr="00170422" w:rsidRDefault="00F37BF9">
            <w:pPr>
              <w:pStyle w:val="P68B1DB1-Normal11"/>
              <w:jc w:val="center"/>
              <w:rPr>
                <w:rFonts w:cs="Arial"/>
                <w:noProof/>
                <w:szCs w:val="20"/>
                <w:lang w:val="de-DE"/>
              </w:rPr>
            </w:pPr>
            <w:r w:rsidRPr="00170422">
              <w:rPr>
                <w:noProof/>
                <w:lang w:val="de-DE"/>
              </w:rPr>
              <w:t>M1C1-55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CA6D" w14:textId="77777777" w:rsidR="0057163C" w:rsidRPr="00170422" w:rsidRDefault="00F37BF9">
            <w:pPr>
              <w:pStyle w:val="P68B1DB1-Normal11"/>
              <w:jc w:val="center"/>
              <w:rPr>
                <w:rFonts w:cs="Arial"/>
                <w:noProof/>
                <w:szCs w:val="20"/>
                <w:lang w:val="de-DE"/>
              </w:rPr>
            </w:pPr>
            <w:r w:rsidRPr="00170422">
              <w:rPr>
                <w:noProof/>
                <w:lang w:val="de-DE"/>
              </w:rPr>
              <w:t>Reform 1.9: Reform der 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EFA9DE"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5D46" w14:textId="77777777" w:rsidR="0057163C" w:rsidRPr="00170422" w:rsidRDefault="00F37BF9">
            <w:pPr>
              <w:pStyle w:val="P68B1DB1-Normal12"/>
              <w:jc w:val="center"/>
              <w:rPr>
                <w:rFonts w:cs="Arial"/>
                <w:noProof/>
                <w:lang w:val="de-DE"/>
              </w:rPr>
            </w:pPr>
            <w:r w:rsidRPr="00170422">
              <w:rPr>
                <w:noProof/>
                <w:lang w:val="de-DE"/>
              </w:rPr>
              <w:t xml:space="preserve">Ausweitung der </w:t>
            </w:r>
            <w:r w:rsidRPr="00170422">
              <w:rPr>
                <w:noProof/>
                <w:lang w:val="de-DE"/>
              </w:rPr>
              <w:t>Methodik für den Aufbau- und Resilienzplan Italiens auf den nationalen Haushalt, um die Absorption von Investitionen zu erhöhen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B2609"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der Ausweitung der Methodik</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F1EC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CADB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0C46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AC9B56"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FF0E3"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8E23F" w14:textId="77777777" w:rsidR="0057163C" w:rsidRPr="00170422" w:rsidRDefault="00F37BF9">
            <w:pPr>
              <w:pStyle w:val="P68B1DB1-Normal12"/>
              <w:spacing w:after="120"/>
              <w:rPr>
                <w:rFonts w:cs="Arial"/>
                <w:noProof/>
                <w:lang w:val="de-DE"/>
              </w:rPr>
            </w:pPr>
            <w:r w:rsidRPr="00170422">
              <w:rPr>
                <w:noProof/>
                <w:lang w:val="de-DE"/>
              </w:rPr>
              <w:t>Einricht</w:t>
            </w:r>
            <w:r w:rsidRPr="00170422">
              <w:rPr>
                <w:noProof/>
                <w:lang w:val="de-DE"/>
              </w:rPr>
              <w:t>ung eines vereinfachten Systems von Etappenzielen und Zielwerten ähnlich der ARF für die Planung, Durchführung und Finanzierung von Projekten im Rahmen des ergänzenden Investitionsfonds (30,5 Mrd. EUR).</w:t>
            </w:r>
          </w:p>
        </w:tc>
      </w:tr>
      <w:tr w:rsidR="0057163C" w:rsidRPr="00170422" w14:paraId="2FE6088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731DF" w14:textId="77777777" w:rsidR="0057163C" w:rsidRPr="00170422" w:rsidRDefault="00F37BF9">
            <w:pPr>
              <w:pStyle w:val="P68B1DB1-Normal11"/>
              <w:jc w:val="center"/>
              <w:rPr>
                <w:rFonts w:cs="Arial"/>
                <w:noProof/>
                <w:szCs w:val="20"/>
                <w:lang w:val="de-DE"/>
              </w:rPr>
            </w:pPr>
            <w:r w:rsidRPr="00170422">
              <w:rPr>
                <w:noProof/>
                <w:lang w:val="de-DE"/>
              </w:rPr>
              <w:t>M1C1-56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D1081D" w14:textId="77777777" w:rsidR="0057163C" w:rsidRPr="00170422" w:rsidRDefault="00F37BF9">
            <w:pPr>
              <w:pStyle w:val="P68B1DB1-Normal11"/>
              <w:jc w:val="center"/>
              <w:rPr>
                <w:rFonts w:cs="Arial"/>
                <w:noProof/>
                <w:szCs w:val="20"/>
                <w:lang w:val="de-DE"/>
              </w:rPr>
            </w:pPr>
            <w:r w:rsidRPr="00170422">
              <w:rPr>
                <w:noProof/>
                <w:lang w:val="de-DE"/>
              </w:rPr>
              <w:t xml:space="preserve">Reform 1.9: Reform der öffentlichen </w:t>
            </w:r>
            <w:r w:rsidRPr="00170422">
              <w:rPr>
                <w:noProof/>
                <w:lang w:val="de-DE"/>
              </w:rPr>
              <w:t>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0FAAE"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0DBD41" w14:textId="77777777" w:rsidR="0057163C" w:rsidRPr="00170422" w:rsidRDefault="00F37BF9">
            <w:pPr>
              <w:pStyle w:val="P68B1DB1-Normal11"/>
              <w:jc w:val="center"/>
              <w:rPr>
                <w:rFonts w:cs="Arial"/>
                <w:noProof/>
                <w:szCs w:val="20"/>
                <w:lang w:val="de-DE"/>
              </w:rPr>
            </w:pPr>
            <w:r w:rsidRPr="00170422">
              <w:rPr>
                <w:noProof/>
                <w:lang w:val="de-DE"/>
              </w:rPr>
              <w:t>Inkrafttreten der Rechtsvorschriften zur Reform der Beschäftigung im öffentlichen Dienst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2A80"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Gesetzes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C539B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399F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7527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A31A49"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343CD0"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DA651" w14:textId="77777777" w:rsidR="0057163C" w:rsidRPr="00170422" w:rsidRDefault="00F37BF9">
            <w:pPr>
              <w:pStyle w:val="P68B1DB1-Normal11"/>
              <w:spacing w:after="120"/>
              <w:rPr>
                <w:rFonts w:cs="Arial"/>
                <w:noProof/>
                <w:szCs w:val="20"/>
                <w:lang w:val="de-DE"/>
              </w:rPr>
            </w:pPr>
            <w:r w:rsidRPr="00170422">
              <w:rPr>
                <w:noProof/>
                <w:lang w:val="de-DE"/>
              </w:rPr>
              <w:t xml:space="preserve">Die entsprechenden Rechtsvorschriften umfassen </w:t>
            </w:r>
            <w:r w:rsidRPr="00170422">
              <w:rPr>
                <w:noProof/>
                <w:lang w:val="de-DE"/>
              </w:rPr>
              <w:t>folgende Maßnahmen:</w:t>
            </w:r>
          </w:p>
          <w:p w14:paraId="64B25873" w14:textId="77777777" w:rsidR="0057163C" w:rsidRPr="00170422" w:rsidRDefault="00F37BF9">
            <w:pPr>
              <w:pStyle w:val="P68B1DB1-Normal11"/>
              <w:spacing w:after="120"/>
              <w:rPr>
                <w:rFonts w:cs="Arial"/>
                <w:noProof/>
                <w:szCs w:val="20"/>
                <w:lang w:val="de-DE"/>
              </w:rPr>
            </w:pPr>
            <w:r w:rsidRPr="00170422">
              <w:rPr>
                <w:noProof/>
                <w:lang w:val="de-DE"/>
              </w:rPr>
              <w:t>— Festlegung spezifischer Beschäftigungsprofile für den öffentlichen Sektor, um die erforderlichen Kompetenzen und Fähigkeiten anzuziehen;</w:t>
            </w:r>
          </w:p>
          <w:p w14:paraId="28F82A9E" w14:textId="77777777" w:rsidR="0057163C" w:rsidRPr="00170422" w:rsidRDefault="00F37BF9">
            <w:pPr>
              <w:pStyle w:val="P68B1DB1-Normal12"/>
              <w:spacing w:after="120"/>
              <w:rPr>
                <w:rFonts w:cs="Arial"/>
                <w:noProof/>
                <w:lang w:val="de-DE"/>
              </w:rPr>
            </w:pPr>
            <w:r w:rsidRPr="00170422">
              <w:rPr>
                <w:noProof/>
                <w:lang w:val="de-DE"/>
              </w:rPr>
              <w:t>Schaffung einer einzigen Einstellungsplattform zur Zentralisierung der öffentlichen Einstellungsv</w:t>
            </w:r>
            <w:r w:rsidRPr="00170422">
              <w:rPr>
                <w:noProof/>
                <w:lang w:val="de-DE"/>
              </w:rPr>
              <w:t>erfahren für alle zentralen öffentlichen Verwaltungen mit der Verpflichtung, die Nutzung der Plattform auch auf die lokalen Verwaltungen auszuweiten;</w:t>
            </w:r>
          </w:p>
          <w:p w14:paraId="5387A605" w14:textId="77777777" w:rsidR="0057163C" w:rsidRPr="00170422" w:rsidRDefault="00F37BF9">
            <w:pPr>
              <w:pStyle w:val="P68B1DB1-Normal12"/>
              <w:spacing w:after="120"/>
              <w:rPr>
                <w:rFonts w:cs="Arial"/>
                <w:noProof/>
                <w:lang w:val="de-DE"/>
              </w:rPr>
            </w:pPr>
            <w:r w:rsidRPr="00170422">
              <w:rPr>
                <w:noProof/>
                <w:lang w:val="de-DE"/>
              </w:rPr>
              <w:t>— Reform des Einstellungsverfahrens, um I) Übergang von einem rein wissensgestützten System zu einem Syste</w:t>
            </w:r>
            <w:r w:rsidRPr="00170422">
              <w:rPr>
                <w:noProof/>
                <w:lang w:val="de-DE"/>
              </w:rPr>
              <w:t>m, das in erster Linie auf Kompetenzen und angemessenen Fähigkeiten beruht; II) Beurteilung der Kompetenzen, die für die Ausübung von Beamten erforderlich sind; III) Differenzierung der Einstellungsverfahren zwischen Einstellungen auf Einstiegsebene, die r</w:t>
            </w:r>
            <w:r w:rsidRPr="00170422">
              <w:rPr>
                <w:noProof/>
                <w:lang w:val="de-DE"/>
              </w:rPr>
              <w:t>ein kompetenzbasiert sein müssen, und der Einstellung von Fachprofilen, bei denen Kompetenzen und einschlägige Berufserfahrung kombiniert werden sollten und die den Zugang zur Laufbahn auf einer höheren Ebene ermöglichen würden. Das Ministerium für öffentl</w:t>
            </w:r>
            <w:r w:rsidRPr="00170422">
              <w:rPr>
                <w:noProof/>
                <w:lang w:val="de-DE"/>
              </w:rPr>
              <w:t>iche Verwaltung sorgt für die einheitliche Umsetzung des neuen Prozesses in allen Verwaltungen;</w:t>
            </w:r>
          </w:p>
          <w:p w14:paraId="15F8F79E" w14:textId="77777777" w:rsidR="0057163C" w:rsidRPr="00170422" w:rsidRDefault="00F37BF9">
            <w:pPr>
              <w:pStyle w:val="P68B1DB1-Normal12"/>
              <w:spacing w:after="120"/>
              <w:rPr>
                <w:rFonts w:cs="Arial"/>
                <w:noProof/>
                <w:lang w:val="de-DE"/>
              </w:rPr>
            </w:pPr>
            <w:r w:rsidRPr="00170422">
              <w:rPr>
                <w:noProof/>
                <w:lang w:val="de-DE"/>
              </w:rPr>
              <w:t xml:space="preserve">— Reform des höheren öffentlichen Dienstes zur Vereinheitlichung der Ernennungsverfahren in der gesamten öffentlichen Verwaltung, Festlegung der Stellenprofile </w:t>
            </w:r>
            <w:r w:rsidRPr="00170422">
              <w:rPr>
                <w:noProof/>
                <w:lang w:val="de-DE"/>
              </w:rPr>
              <w:t>und Bewertung ihrer Leistung;</w:t>
            </w:r>
          </w:p>
          <w:p w14:paraId="0B402E29" w14:textId="77777777" w:rsidR="0057163C" w:rsidRPr="00170422" w:rsidRDefault="00F37BF9">
            <w:pPr>
              <w:pStyle w:val="P68B1DB1-Normal11"/>
              <w:spacing w:after="120"/>
              <w:rPr>
                <w:rFonts w:cs="Arial"/>
                <w:noProof/>
                <w:szCs w:val="20"/>
                <w:lang w:val="de-DE"/>
              </w:rPr>
            </w:pPr>
            <w:r w:rsidRPr="00170422">
              <w:rPr>
                <w:noProof/>
                <w:lang w:val="de-DE"/>
              </w:rPr>
              <w:t>— die Verknüpfung zwischen lebenslangem Lernen und Weiterbildungsmöglichkeiten für Arbeitnehmer und Anreizen zur Beteiligung zu stärken, indem beispielsweise Belohnungsmechanismen oder spezifische Karrierewege unter besonderer</w:t>
            </w:r>
            <w:r w:rsidRPr="00170422">
              <w:rPr>
                <w:noProof/>
                <w:lang w:val="de-DE"/>
              </w:rPr>
              <w:t xml:space="preserve"> Berücksichtigung des doppelten Übergangs ins Auge gefasst werden;</w:t>
            </w:r>
          </w:p>
          <w:p w14:paraId="3837927E" w14:textId="77777777" w:rsidR="0057163C" w:rsidRPr="00170422" w:rsidRDefault="00F37BF9">
            <w:pPr>
              <w:pStyle w:val="P68B1DB1-Normal11"/>
              <w:spacing w:after="120"/>
              <w:rPr>
                <w:rFonts w:cs="Arial"/>
                <w:noProof/>
                <w:szCs w:val="20"/>
                <w:lang w:val="de-DE"/>
              </w:rPr>
            </w:pPr>
            <w:r w:rsidRPr="00170422">
              <w:rPr>
                <w:noProof/>
                <w:lang w:val="de-DE"/>
              </w:rPr>
              <w:t>— Festlegung oder Aktualisierung ethischer Grundsätze öffentlicher Verwaltungen durch klare Regeln, Verhaltenskodizes und Schulungsmodule zu diesem Thema;</w:t>
            </w:r>
          </w:p>
          <w:p w14:paraId="46FBBD12" w14:textId="77777777" w:rsidR="0057163C" w:rsidRPr="00170422" w:rsidRDefault="00F37BF9">
            <w:pPr>
              <w:pStyle w:val="P68B1DB1-Normal11"/>
              <w:spacing w:after="120"/>
              <w:rPr>
                <w:rFonts w:cs="Arial"/>
                <w:noProof/>
                <w:szCs w:val="20"/>
                <w:lang w:val="de-DE"/>
              </w:rPr>
            </w:pPr>
            <w:r w:rsidRPr="00170422">
              <w:rPr>
                <w:noProof/>
                <w:lang w:val="de-DE"/>
              </w:rPr>
              <w:t>— Stärkung des Engagements für ein</w:t>
            </w:r>
            <w:r w:rsidRPr="00170422">
              <w:rPr>
                <w:noProof/>
                <w:lang w:val="de-DE"/>
              </w:rPr>
              <w:t xml:space="preserve"> ausgewogenes Geschlechterverhältnis;</w:t>
            </w:r>
          </w:p>
          <w:p w14:paraId="42913873" w14:textId="77777777" w:rsidR="0057163C" w:rsidRPr="00170422" w:rsidRDefault="00F37BF9">
            <w:pPr>
              <w:pStyle w:val="P68B1DB1-Normal12"/>
              <w:spacing w:after="120"/>
              <w:rPr>
                <w:rFonts w:cs="Arial"/>
                <w:noProof/>
                <w:lang w:val="de-DE"/>
              </w:rPr>
            </w:pPr>
            <w:r w:rsidRPr="00170422">
              <w:rPr>
                <w:noProof/>
                <w:lang w:val="de-DE"/>
              </w:rPr>
              <w:t>— Überarbeitung des Rechtsrahmens für die vertikale Mobilität, Reform der Laufbahnen für die Schaffung und den Zugang zu Stellen der mittleren Führungsebene („Quadri“) und Zugang zu Führungspositionen („dirigenti di pr</w:t>
            </w:r>
            <w:r w:rsidRPr="00170422">
              <w:rPr>
                <w:noProof/>
                <w:lang w:val="de-DE"/>
              </w:rPr>
              <w:t>ima e seconda fascia“) innerhalb der Verwaltung. Dazu gehören die Reform des Leistungsbewertungssystems und die Stärkung der Verbindung zwischen Laufbahnentwicklung und Leistungsbewertung;</w:t>
            </w:r>
          </w:p>
          <w:p w14:paraId="582F769B" w14:textId="77777777" w:rsidR="0057163C" w:rsidRPr="00170422" w:rsidRDefault="00F37BF9">
            <w:pPr>
              <w:pStyle w:val="P68B1DB1-Normal12"/>
              <w:rPr>
                <w:rFonts w:cs="Arial"/>
                <w:noProof/>
                <w:lang w:val="de-DE"/>
              </w:rPr>
            </w:pPr>
            <w:r w:rsidRPr="00170422">
              <w:rPr>
                <w:noProof/>
                <w:lang w:val="de-DE"/>
              </w:rPr>
              <w:t>— Überarbeitung des Rechtsrahmens für die horizontale Mobilität, um</w:t>
            </w:r>
            <w:r w:rsidRPr="00170422">
              <w:rPr>
                <w:noProof/>
                <w:lang w:val="de-DE"/>
              </w:rPr>
              <w:t xml:space="preserve"> einen effizienten Arbeitsmarkt in öffentlichen Verwaltungen zu schaffen, einschließlich a) der Schaffung eines transparenten einheitlichen Werbesystems für alle freien Stellen in den zentralen und lokalen Verwaltungen, b) der Möglichkeit, sich auf alle ve</w:t>
            </w:r>
            <w:r w:rsidRPr="00170422">
              <w:rPr>
                <w:noProof/>
                <w:lang w:val="de-DE"/>
              </w:rPr>
              <w:t>rfügbaren Stellen überall zu bewerben, c) der Abschaffung der Genehmigung für die Mobilität aus der Herkunftsverwaltung und d) der Einführung erheblicher Beschränkungen für die Nutzung alternativer Mobilitätsmittel, die nicht zu Transfers führen (d. h. „co</w:t>
            </w:r>
            <w:r w:rsidRPr="00170422">
              <w:rPr>
                <w:noProof/>
                <w:lang w:val="de-DE"/>
              </w:rPr>
              <w:t>mandi“ und „Distacchi“), um sie ausnahmsweise und streng befristet zu machen.</w:t>
            </w:r>
          </w:p>
        </w:tc>
      </w:tr>
      <w:tr w:rsidR="0057163C" w:rsidRPr="00170422" w14:paraId="2B553688"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2E6CF" w14:textId="77777777" w:rsidR="0057163C" w:rsidRPr="00170422" w:rsidRDefault="00F37BF9">
            <w:pPr>
              <w:pStyle w:val="P68B1DB1-Normal11"/>
              <w:jc w:val="center"/>
              <w:rPr>
                <w:rFonts w:cs="Arial"/>
                <w:noProof/>
                <w:szCs w:val="20"/>
                <w:lang w:val="de-DE"/>
              </w:rPr>
            </w:pPr>
            <w:r w:rsidRPr="00170422">
              <w:rPr>
                <w:noProof/>
                <w:lang w:val="de-DE"/>
              </w:rPr>
              <w:t>M1C1-57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BD6804" w14:textId="77777777" w:rsidR="0057163C" w:rsidRPr="00170422" w:rsidRDefault="00F37BF9">
            <w:pPr>
              <w:pStyle w:val="P68B1DB1-Normal11"/>
              <w:jc w:val="center"/>
              <w:rPr>
                <w:rFonts w:cs="Arial"/>
                <w:noProof/>
                <w:szCs w:val="20"/>
                <w:lang w:val="de-DE"/>
              </w:rPr>
            </w:pPr>
            <w:r w:rsidRPr="00170422">
              <w:rPr>
                <w:noProof/>
                <w:lang w:val="de-DE"/>
              </w:rPr>
              <w:t>Reform 1.9: Reform der 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C52F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7D50D" w14:textId="77777777" w:rsidR="0057163C" w:rsidRPr="00170422" w:rsidRDefault="00F37BF9">
            <w:pPr>
              <w:pStyle w:val="P68B1DB1-Normal11"/>
              <w:jc w:val="center"/>
              <w:rPr>
                <w:rFonts w:cs="Arial"/>
                <w:noProof/>
                <w:szCs w:val="20"/>
                <w:lang w:val="de-DE"/>
              </w:rPr>
            </w:pPr>
            <w:r w:rsidRPr="00170422">
              <w:rPr>
                <w:noProof/>
                <w:lang w:val="de-DE"/>
              </w:rPr>
              <w:t xml:space="preserve">Inkrafttreten der Verwaltungsverfahren für die Reform der Vereinfachung zur Umsetzung der Aufbau- und </w:t>
            </w:r>
            <w:r w:rsidRPr="00170422">
              <w:rPr>
                <w:noProof/>
                <w:lang w:val="de-DE"/>
              </w:rPr>
              <w:t>Resilienzfazilität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552F35"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abgeleiteten Rechts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00FC2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5BC8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AE83D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5F360"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6A343"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1FEB5" w14:textId="77777777" w:rsidR="0057163C" w:rsidRPr="00170422" w:rsidRDefault="00F37BF9">
            <w:pPr>
              <w:pStyle w:val="P68B1DB1-Normal12"/>
              <w:spacing w:after="120"/>
              <w:rPr>
                <w:rFonts w:cs="Arial"/>
                <w:noProof/>
                <w:lang w:val="de-DE"/>
              </w:rPr>
            </w:pPr>
            <w:r w:rsidRPr="00170422">
              <w:rPr>
                <w:noProof/>
                <w:lang w:val="de-DE"/>
              </w:rPr>
              <w:t>Inkrafttreten aller damit zusammenhängenden delegierten Rechtsakte, Ministerialdekrete, abgeleiteten Rechtsvorschriften u</w:t>
            </w:r>
            <w:r w:rsidRPr="00170422">
              <w:rPr>
                <w:noProof/>
                <w:lang w:val="de-DE"/>
              </w:rPr>
              <w:t>nd aller anderen Verordnungen, die für die wirksame Umsetzung der Vereinfachung erforderlich sind, einschließlich Vereinbarungen mit Regionen im Falle einer ausschließlichen und konkurrierenden regionalen Zuständigkeit.</w:t>
            </w:r>
          </w:p>
        </w:tc>
      </w:tr>
      <w:tr w:rsidR="0057163C" w:rsidRPr="00170422" w14:paraId="7907740C"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9B9E7" w14:textId="77777777" w:rsidR="0057163C" w:rsidRPr="00170422" w:rsidRDefault="00F37BF9">
            <w:pPr>
              <w:pStyle w:val="P68B1DB1-Normal11"/>
              <w:jc w:val="center"/>
              <w:rPr>
                <w:rFonts w:cs="Arial"/>
                <w:noProof/>
                <w:szCs w:val="20"/>
                <w:lang w:val="de-DE"/>
              </w:rPr>
            </w:pPr>
            <w:r w:rsidRPr="00170422">
              <w:rPr>
                <w:noProof/>
                <w:lang w:val="de-DE"/>
              </w:rPr>
              <w:t>M1C1-58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DD5AC" w14:textId="77777777" w:rsidR="0057163C" w:rsidRPr="00170422" w:rsidRDefault="00F37BF9">
            <w:pPr>
              <w:pStyle w:val="P68B1DB1-Normal11"/>
              <w:jc w:val="center"/>
              <w:rPr>
                <w:rFonts w:cs="Arial"/>
                <w:noProof/>
                <w:szCs w:val="20"/>
                <w:lang w:val="de-DE"/>
              </w:rPr>
            </w:pPr>
            <w:r w:rsidRPr="00170422">
              <w:rPr>
                <w:noProof/>
                <w:lang w:val="de-DE"/>
              </w:rPr>
              <w:t xml:space="preserve">Reform 1.9: Reform der </w:t>
            </w:r>
            <w:r w:rsidRPr="00170422">
              <w:rPr>
                <w:noProof/>
                <w:lang w:val="de-DE"/>
              </w:rPr>
              <w:t>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AD99C"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B235F" w14:textId="77777777" w:rsidR="0057163C" w:rsidRPr="00170422" w:rsidRDefault="00F37BF9">
            <w:pPr>
              <w:pStyle w:val="P68B1DB1-Normal11"/>
              <w:jc w:val="center"/>
              <w:rPr>
                <w:rFonts w:cs="Arial"/>
                <w:noProof/>
                <w:szCs w:val="20"/>
                <w:lang w:val="de-DE"/>
              </w:rPr>
            </w:pPr>
            <w:r w:rsidRPr="00170422">
              <w:rPr>
                <w:noProof/>
                <w:lang w:val="de-DE"/>
              </w:rPr>
              <w:t>Inkrafttreten von Rechtsakten zur Reform der Beschäftigung im öffentlichen Dienst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08A3FD" w14:textId="77777777" w:rsidR="0057163C" w:rsidRPr="00170422" w:rsidRDefault="00F37BF9">
            <w:pPr>
              <w:pStyle w:val="P68B1DB1-Normal12"/>
              <w:jc w:val="center"/>
              <w:rPr>
                <w:rFonts w:cs="Arial"/>
                <w:noProof/>
                <w:lang w:val="de-DE"/>
              </w:rPr>
            </w:pPr>
            <w:r w:rsidRPr="00170422">
              <w:rPr>
                <w:noProof/>
                <w:lang w:val="de-DE"/>
              </w:rPr>
              <w:t>Bestimmung über das Inkrafttreten der Rechtsakte zur Reform der öffentlichen Beschäftigung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880EC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AAE70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6E5E2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1F9B46"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948561"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D8F83" w14:textId="77777777" w:rsidR="0057163C" w:rsidRPr="00170422" w:rsidRDefault="00F37BF9">
            <w:pPr>
              <w:pStyle w:val="P68B1DB1-Normal12"/>
              <w:spacing w:after="120"/>
              <w:rPr>
                <w:rFonts w:cs="Arial"/>
                <w:noProof/>
                <w:lang w:val="de-DE"/>
              </w:rPr>
            </w:pPr>
            <w:r w:rsidRPr="00170422">
              <w:rPr>
                <w:noProof/>
                <w:lang w:val="de-DE"/>
              </w:rPr>
              <w:t>Inkrafttreten aller damit zusammenhängenden delegierten Rechtsakte, Ministerialdekrete, sekundärrechtlichen Vorschriften und aller anderen Verordnungen, die für die wirksame Umsetzung der Reform erforderlich sind.</w:t>
            </w:r>
          </w:p>
        </w:tc>
      </w:tr>
      <w:tr w:rsidR="0057163C" w:rsidRPr="00170422" w14:paraId="0DC6F82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FBD9EF" w14:textId="77777777" w:rsidR="0057163C" w:rsidRPr="00170422" w:rsidRDefault="00F37BF9">
            <w:pPr>
              <w:pStyle w:val="P68B1DB1-Normal11"/>
              <w:jc w:val="center"/>
              <w:rPr>
                <w:rFonts w:cs="Arial"/>
                <w:noProof/>
                <w:szCs w:val="20"/>
                <w:lang w:val="de-DE"/>
              </w:rPr>
            </w:pPr>
            <w:r w:rsidRPr="00170422">
              <w:rPr>
                <w:noProof/>
                <w:lang w:val="de-DE"/>
              </w:rPr>
              <w:t>M1C1-59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E47D1E" w14:textId="77777777" w:rsidR="0057163C" w:rsidRPr="00170422" w:rsidRDefault="00F37BF9">
            <w:pPr>
              <w:pStyle w:val="P68B1DB1-Normal11"/>
              <w:jc w:val="center"/>
              <w:rPr>
                <w:rFonts w:cs="Arial"/>
                <w:noProof/>
                <w:szCs w:val="20"/>
                <w:lang w:val="de-DE"/>
              </w:rPr>
            </w:pPr>
            <w:r w:rsidRPr="00170422">
              <w:rPr>
                <w:noProof/>
                <w:lang w:val="de-DE"/>
              </w:rPr>
              <w:t xml:space="preserve">Reform 1.9: Reform der </w:t>
            </w:r>
            <w:r w:rsidRPr="00170422">
              <w:rPr>
                <w:noProof/>
                <w:lang w:val="de-DE"/>
              </w:rPr>
              <w:t>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0B2D4"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3B12" w14:textId="77777777" w:rsidR="0057163C" w:rsidRPr="00170422" w:rsidRDefault="00F37BF9">
            <w:pPr>
              <w:pStyle w:val="P68B1DB1-Normal11"/>
              <w:jc w:val="center"/>
              <w:rPr>
                <w:rFonts w:cs="Arial"/>
                <w:noProof/>
                <w:szCs w:val="20"/>
                <w:lang w:val="de-DE"/>
              </w:rPr>
            </w:pPr>
            <w:r w:rsidRPr="00170422">
              <w:rPr>
                <w:noProof/>
                <w:lang w:val="de-DE"/>
              </w:rPr>
              <w:t>Inkrafttreten der strategischen Personalverwaltung in der öffentlichen Verwaltung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5BE308" w14:textId="77777777" w:rsidR="0057163C" w:rsidRPr="00170422" w:rsidRDefault="00F37BF9">
            <w:pPr>
              <w:pStyle w:val="P68B1DB1-Normal12"/>
              <w:jc w:val="center"/>
              <w:rPr>
                <w:rFonts w:cs="Arial"/>
                <w:noProof/>
                <w:lang w:val="de-DE"/>
              </w:rPr>
            </w:pPr>
            <w:r w:rsidRPr="00170422">
              <w:rPr>
                <w:noProof/>
                <w:lang w:val="de-DE"/>
              </w:rPr>
              <w:t xml:space="preserve">Bestimmung über das Inkrafttreten der Rechtsvorschriften zur Einführung einer strategischen Personalverwaltung in der öffentlichen </w:t>
            </w:r>
            <w:r w:rsidRPr="00170422">
              <w:rPr>
                <w:noProof/>
                <w:lang w:val="de-DE"/>
              </w:rPr>
              <w:t>Verwaltung</w:t>
            </w:r>
          </w:p>
          <w:p w14:paraId="242153F1" w14:textId="77777777" w:rsidR="0057163C" w:rsidRPr="00170422" w:rsidRDefault="0057163C">
            <w:pPr>
              <w:jc w:val="center"/>
              <w:rPr>
                <w:rFonts w:ascii="Arial Narrow" w:hAnsi="Arial Narrow" w:cs="Arial"/>
                <w:noProof/>
                <w:color w:val="006100"/>
                <w:sz w:val="20"/>
                <w:szCs w:val="20"/>
                <w:lang w:val="de-DE"/>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E1A9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E1A9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F24F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39F936"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A7286"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8335A" w14:textId="77777777" w:rsidR="0057163C" w:rsidRPr="00170422" w:rsidRDefault="00F37BF9">
            <w:pPr>
              <w:pStyle w:val="P68B1DB1-Normal12"/>
              <w:spacing w:after="120"/>
              <w:rPr>
                <w:rFonts w:cs="Arial"/>
                <w:noProof/>
                <w:lang w:val="de-DE"/>
              </w:rPr>
            </w:pPr>
            <w:r w:rsidRPr="00170422">
              <w:rPr>
                <w:noProof/>
                <w:lang w:val="de-DE"/>
              </w:rPr>
              <w:t xml:space="preserve">Die Rechtsvorschriften und delegierten Rechtsakte zur Einführung einer strategischen Personalverwaltung in der öffentlichen Verwaltung umfassen Folgendes: die Festlegung – im Zusammenhang mit dem </w:t>
            </w:r>
            <w:r w:rsidRPr="00170422">
              <w:rPr>
                <w:noProof/>
                <w:lang w:val="de-DE"/>
              </w:rPr>
              <w:t>integrierten Tätigkeits- und Organisationsplan (PIAO) – strategischer Personalpläne für Einstellung, Laufbahnentwicklung und Ausbildung für alle zentralen und regionalen Verwaltungen, unterstützt durch eine integrierte Datenbank mit Kompetenzen und Profile</w:t>
            </w:r>
            <w:r w:rsidRPr="00170422">
              <w:rPr>
                <w:noProof/>
                <w:lang w:val="de-DE"/>
              </w:rPr>
              <w:t>n; Einrichtung einer zentralen Umsetzungsstelle, die das Personalplanungssystem koordiniert und unterstützt. In einer zweiten Phase werden die Personalstrategiepläne auf große Gemeinden ausgeweitet, während kleine und mittlere Gemeinden Gegenstand spezifis</w:t>
            </w:r>
            <w:r w:rsidRPr="00170422">
              <w:rPr>
                <w:noProof/>
                <w:lang w:val="de-DE"/>
              </w:rPr>
              <w:t>cher Investitionen in den Kapazitätsaufbau sind.</w:t>
            </w:r>
          </w:p>
        </w:tc>
      </w:tr>
      <w:tr w:rsidR="0057163C" w:rsidRPr="00170422" w14:paraId="161961A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1488" w14:textId="77777777" w:rsidR="0057163C" w:rsidRPr="00170422" w:rsidRDefault="00F37BF9">
            <w:pPr>
              <w:pStyle w:val="P68B1DB1-Normal11"/>
              <w:jc w:val="center"/>
              <w:rPr>
                <w:rFonts w:cs="Arial"/>
                <w:noProof/>
                <w:szCs w:val="20"/>
                <w:lang w:val="de-DE"/>
              </w:rPr>
            </w:pPr>
            <w:r w:rsidRPr="00170422">
              <w:rPr>
                <w:noProof/>
                <w:lang w:val="de-DE"/>
              </w:rPr>
              <w:t>M1C1-59BIS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6279A0" w14:textId="77777777" w:rsidR="0057163C" w:rsidRPr="00170422" w:rsidRDefault="00F37BF9">
            <w:pPr>
              <w:pStyle w:val="P68B1DB1-Normal11"/>
              <w:jc w:val="center"/>
              <w:rPr>
                <w:rFonts w:cs="Arial"/>
                <w:noProof/>
                <w:szCs w:val="20"/>
                <w:lang w:val="de-DE"/>
              </w:rPr>
            </w:pPr>
            <w:r w:rsidRPr="00170422">
              <w:rPr>
                <w:noProof/>
                <w:lang w:val="de-DE"/>
              </w:rPr>
              <w:t>Reform 1.9: Reform der öffentlichen Verwaltung</w:t>
            </w:r>
          </w:p>
          <w:p w14:paraId="0EE0CF43" w14:textId="77777777" w:rsidR="0057163C" w:rsidRPr="00170422" w:rsidRDefault="0057163C">
            <w:pPr>
              <w:jc w:val="center"/>
              <w:rPr>
                <w:rFonts w:ascii="Arial Narrow" w:hAnsi="Arial Narrow" w:cs="Arial"/>
                <w:noProof/>
                <w:color w:val="006100"/>
                <w:sz w:val="20"/>
                <w:szCs w:val="20"/>
                <w:lang w:val="de-DE"/>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7BF28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4709F" w14:textId="77777777" w:rsidR="0057163C" w:rsidRPr="00170422" w:rsidRDefault="00F37BF9">
            <w:pPr>
              <w:pStyle w:val="P68B1DB1-Normal11"/>
              <w:jc w:val="center"/>
              <w:rPr>
                <w:rFonts w:cs="Arial"/>
                <w:noProof/>
                <w:szCs w:val="20"/>
                <w:lang w:val="de-DE"/>
              </w:rPr>
            </w:pPr>
            <w:r w:rsidRPr="00170422">
              <w:rPr>
                <w:noProof/>
                <w:lang w:val="de-DE"/>
              </w:rPr>
              <w:t>Umsetzung der strategischen Personalverwaltung in der öffentlichen Verwaltung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17176" w14:textId="77777777" w:rsidR="0057163C" w:rsidRPr="00170422" w:rsidRDefault="00F37BF9">
            <w:pPr>
              <w:pStyle w:val="P68B1DB1-Normal11"/>
              <w:jc w:val="center"/>
              <w:rPr>
                <w:rFonts w:cs="Arial"/>
                <w:noProof/>
                <w:szCs w:val="20"/>
                <w:lang w:val="de-DE"/>
              </w:rPr>
            </w:pPr>
            <w:r w:rsidRPr="00170422">
              <w:rPr>
                <w:noProof/>
                <w:lang w:val="de-DE"/>
              </w:rPr>
              <w:t xml:space="preserve">Veröffentlichung des ersten Halbjahresberichts über die </w:t>
            </w:r>
            <w:r w:rsidRPr="00170422">
              <w:rPr>
                <w:noProof/>
                <w:lang w:val="de-DE"/>
              </w:rPr>
              <w:t>zentralen Leistungsindikatoren.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A6C5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B59D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31655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09A036"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3F6C8"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2F3538" w14:textId="77777777" w:rsidR="0057163C" w:rsidRPr="00170422" w:rsidRDefault="00F37BF9">
            <w:pPr>
              <w:pStyle w:val="P68B1DB1-Normal11"/>
              <w:rPr>
                <w:rFonts w:cs="Arial"/>
                <w:noProof/>
                <w:szCs w:val="20"/>
                <w:lang w:val="de-DE"/>
              </w:rPr>
            </w:pPr>
            <w:r w:rsidRPr="00170422">
              <w:rPr>
                <w:noProof/>
                <w:lang w:val="de-DE"/>
              </w:rPr>
              <w:t>Der erste Halbjahresbericht über die zentralen Leistungsindikatoren wird veröffentlicht.</w:t>
            </w:r>
          </w:p>
        </w:tc>
      </w:tr>
      <w:tr w:rsidR="0057163C" w:rsidRPr="00170422" w14:paraId="688BDC2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472B3" w14:textId="77777777" w:rsidR="0057163C" w:rsidRPr="00170422" w:rsidRDefault="00F37BF9">
            <w:pPr>
              <w:pStyle w:val="P68B1DB1-Normal11"/>
              <w:jc w:val="center"/>
              <w:rPr>
                <w:noProof/>
                <w:lang w:val="de-DE"/>
              </w:rPr>
            </w:pPr>
            <w:r w:rsidRPr="00170422">
              <w:rPr>
                <w:noProof/>
                <w:lang w:val="de-DE"/>
              </w:rPr>
              <w:t>M1C1-59ter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122DC" w14:textId="77777777" w:rsidR="0057163C" w:rsidRPr="00170422" w:rsidRDefault="00F37BF9">
            <w:pPr>
              <w:pStyle w:val="P68B1DB1-Normal11"/>
              <w:jc w:val="center"/>
              <w:rPr>
                <w:noProof/>
                <w:lang w:val="de-DE"/>
              </w:rPr>
            </w:pPr>
            <w:r w:rsidRPr="00170422">
              <w:rPr>
                <w:noProof/>
                <w:lang w:val="de-DE"/>
              </w:rPr>
              <w:t>Reform 1.9: Reform der öffentlichen Verwaltung</w:t>
            </w:r>
          </w:p>
          <w:p w14:paraId="2452FFA1" w14:textId="77777777" w:rsidR="0057163C" w:rsidRPr="00170422" w:rsidRDefault="0057163C">
            <w:pPr>
              <w:jc w:val="center"/>
              <w:rPr>
                <w:rFonts w:ascii="Arial Narrow" w:hAnsi="Arial Narrow"/>
                <w:noProof/>
                <w:color w:val="006100"/>
                <w:sz w:val="20"/>
                <w:lang w:val="de-DE"/>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2595B0" w14:textId="77777777" w:rsidR="0057163C" w:rsidRPr="00170422" w:rsidRDefault="00F37BF9">
            <w:pPr>
              <w:pStyle w:val="P68B1DB1-Normal11"/>
              <w:jc w:val="center"/>
              <w:rPr>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EC3E60" w14:textId="77777777" w:rsidR="0057163C" w:rsidRPr="00170422" w:rsidRDefault="00F37BF9">
            <w:pPr>
              <w:pStyle w:val="P68B1DB1-Normal12"/>
              <w:jc w:val="center"/>
              <w:rPr>
                <w:noProof/>
                <w:lang w:val="de-DE"/>
              </w:rPr>
            </w:pPr>
            <w:r w:rsidRPr="00170422">
              <w:rPr>
                <w:noProof/>
                <w:lang w:val="de-DE"/>
              </w:rPr>
              <w:t xml:space="preserve">Umsetzung der </w:t>
            </w:r>
            <w:r w:rsidRPr="00170422">
              <w:rPr>
                <w:noProof/>
                <w:lang w:val="de-DE"/>
              </w:rPr>
              <w:t>strategischen Personalverwaltung in der öffentlichen Verwaltung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1E6FB" w14:textId="77777777" w:rsidR="0057163C" w:rsidRPr="00170422" w:rsidRDefault="00F37BF9">
            <w:pPr>
              <w:pStyle w:val="P68B1DB1-Normal12"/>
              <w:jc w:val="center"/>
              <w:rPr>
                <w:noProof/>
                <w:lang w:val="de-DE"/>
              </w:rPr>
            </w:pPr>
            <w:r w:rsidRPr="00170422">
              <w:rPr>
                <w:noProof/>
                <w:lang w:val="de-DE"/>
              </w:rPr>
              <w:t xml:space="preserve">„Toolkit HRM-Minerva“ operativ, interoperabel mit InPA, Syllabus und der digitalen Plattform PIAO und Überprüfung der Personalstrategiepläne.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A6F9A3" w14:textId="77777777" w:rsidR="0057163C" w:rsidRPr="00170422" w:rsidRDefault="00F37BF9">
            <w:pPr>
              <w:pStyle w:val="P68B1DB1-Normal11"/>
              <w:jc w:val="center"/>
              <w:rPr>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39C82" w14:textId="77777777" w:rsidR="0057163C" w:rsidRPr="00170422" w:rsidRDefault="00F37BF9">
            <w:pPr>
              <w:pStyle w:val="P68B1DB1-Normal11"/>
              <w:jc w:val="center"/>
              <w:rPr>
                <w:noProof/>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80D35" w14:textId="77777777" w:rsidR="0057163C" w:rsidRPr="00170422" w:rsidRDefault="00F37BF9">
            <w:pPr>
              <w:pStyle w:val="P68B1DB1-Normal11"/>
              <w:jc w:val="center"/>
              <w:rPr>
                <w:noProof/>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F65E5" w14:textId="77777777"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4F282" w14:textId="77777777"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849DB" w14:textId="165ABDAA" w:rsidR="0057163C" w:rsidRPr="00170422" w:rsidRDefault="00F37BF9">
            <w:pPr>
              <w:pStyle w:val="P68B1DB1-Normal12"/>
              <w:spacing w:before="120"/>
              <w:contextualSpacing/>
              <w:rPr>
                <w:noProof/>
                <w:lang w:val="de-DE"/>
              </w:rPr>
            </w:pPr>
            <w:r w:rsidRPr="00170422">
              <w:rPr>
                <w:i/>
                <w:noProof/>
                <w:lang w:val="de-DE"/>
              </w:rPr>
              <w:t>„Verbale di</w:t>
            </w:r>
            <w:r w:rsidRPr="00170422">
              <w:rPr>
                <w:i/>
                <w:noProof/>
                <w:lang w:val="de-DE"/>
              </w:rPr>
              <w:t xml:space="preserve"> collaudo e verifica di conformità“</w:t>
            </w:r>
            <w:r w:rsidRPr="00170422">
              <w:rPr>
                <w:noProof/>
                <w:lang w:val="de-DE"/>
              </w:rPr>
              <w:t xml:space="preserve"> als Nachweis dafür, dass i) das Toolkit HRM-Minerva betriebsbereit ist und ii) mit der Rekrutierungsplattform (inPA), der Plattform „Syllabus“ und der digitalen Plattform PIAO interoperabel ist, </w:t>
            </w:r>
          </w:p>
          <w:p w14:paraId="60062E39" w14:textId="77777777" w:rsidR="0057163C" w:rsidRPr="00170422" w:rsidRDefault="0057163C">
            <w:pPr>
              <w:spacing w:before="120"/>
              <w:contextualSpacing/>
              <w:rPr>
                <w:rFonts w:ascii="Arial Narrow" w:hAnsi="Arial Narrow"/>
                <w:noProof/>
                <w:color w:val="006100"/>
                <w:sz w:val="20"/>
                <w:szCs w:val="20"/>
                <w:lang w:val="de-DE"/>
              </w:rPr>
            </w:pPr>
          </w:p>
          <w:p w14:paraId="68282E7A" w14:textId="5C26D3C5" w:rsidR="0057163C" w:rsidRPr="00170422" w:rsidRDefault="00F37BF9">
            <w:pPr>
              <w:pStyle w:val="P68B1DB1-Normal12"/>
              <w:rPr>
                <w:noProof/>
                <w:lang w:val="de-DE"/>
              </w:rPr>
            </w:pPr>
            <w:r w:rsidRPr="00170422">
              <w:rPr>
                <w:noProof/>
                <w:lang w:val="de-DE"/>
              </w:rPr>
              <w:t>In einem Bericht der Ab</w:t>
            </w:r>
            <w:r w:rsidRPr="00170422">
              <w:rPr>
                <w:noProof/>
                <w:lang w:val="de-DE"/>
              </w:rPr>
              <w:t xml:space="preserve">teilung für öffentliche Aufgaben wird für die am Pilotprojekt „Toolkit HRM – Minerva“ beteiligten nationalen und subnationalen Verwaltungen der Inhalt der entsprechenden Strategiepläne (Programma Triennale dei fabbisogni del Personale) des PIAO überprüft. </w:t>
            </w:r>
            <w:r w:rsidRPr="00170422">
              <w:rPr>
                <w:noProof/>
                <w:lang w:val="de-DE"/>
              </w:rPr>
              <w:t>In dem Bericht werden die vom DFP empfohlenen Folgemaßnahmen und die Art und Weise aufgeführt, wie die Ergebnisse der halbjährlichen Berichte über die zentralen Leistungsindikatoren berücksichtigt wurden.</w:t>
            </w:r>
          </w:p>
        </w:tc>
      </w:tr>
      <w:tr w:rsidR="0057163C" w:rsidRPr="00170422" w14:paraId="2572413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8C7B6" w14:textId="77777777" w:rsidR="0057163C" w:rsidRPr="00170422" w:rsidRDefault="00F37BF9">
            <w:pPr>
              <w:pStyle w:val="P68B1DB1-Normal11"/>
              <w:jc w:val="center"/>
              <w:rPr>
                <w:rFonts w:cs="Arial"/>
                <w:noProof/>
                <w:szCs w:val="20"/>
                <w:lang w:val="de-DE"/>
              </w:rPr>
            </w:pPr>
            <w:r w:rsidRPr="00170422">
              <w:rPr>
                <w:noProof/>
                <w:lang w:val="de-DE"/>
              </w:rPr>
              <w:t>M1C1-60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27646" w14:textId="77777777" w:rsidR="0057163C" w:rsidRPr="00170422" w:rsidRDefault="00F37BF9">
            <w:pPr>
              <w:pStyle w:val="P68B1DB1-Normal11"/>
              <w:jc w:val="center"/>
              <w:rPr>
                <w:rFonts w:cs="Arial"/>
                <w:noProof/>
                <w:szCs w:val="20"/>
                <w:lang w:val="de-DE"/>
              </w:rPr>
            </w:pPr>
            <w:r w:rsidRPr="00170422">
              <w:rPr>
                <w:noProof/>
                <w:lang w:val="de-DE"/>
              </w:rPr>
              <w:t xml:space="preserve">Reform 1.9: Reform der öffentlichen </w:t>
            </w:r>
            <w:r w:rsidRPr="00170422">
              <w:rPr>
                <w:noProof/>
                <w:lang w:val="de-DE"/>
              </w:rPr>
              <w:t>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01725"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4DDBB" w14:textId="77777777" w:rsidR="0057163C" w:rsidRPr="00170422" w:rsidRDefault="00F37BF9">
            <w:pPr>
              <w:pStyle w:val="P68B1DB1-Normal11"/>
              <w:jc w:val="center"/>
              <w:rPr>
                <w:rFonts w:cs="Arial"/>
                <w:noProof/>
                <w:szCs w:val="20"/>
                <w:lang w:val="de-DE"/>
              </w:rPr>
            </w:pPr>
            <w:r w:rsidRPr="00170422">
              <w:rPr>
                <w:noProof/>
                <w:lang w:val="de-DE"/>
              </w:rPr>
              <w:t>Vereinfachung und/oder Digitalisierung von 200 kritischen Verfahren, die Bürger und Unternehmen betreffen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B090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53C6F"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C5CB2"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CE191" w14:textId="77777777" w:rsidR="0057163C" w:rsidRPr="00170422" w:rsidRDefault="00F37BF9">
            <w:pPr>
              <w:pStyle w:val="P68B1DB1-Normal11"/>
              <w:jc w:val="center"/>
              <w:rPr>
                <w:rFonts w:cs="Arial"/>
                <w:noProof/>
                <w:szCs w:val="20"/>
                <w:lang w:val="de-DE"/>
              </w:rPr>
            </w:pPr>
            <w:r w:rsidRPr="00170422">
              <w:rPr>
                <w:noProof/>
                <w:lang w:val="de-DE"/>
              </w:rPr>
              <w:t>200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C66DC3"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6DB5DF"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E6F24C" w14:textId="77777777" w:rsidR="0057163C" w:rsidRPr="00170422" w:rsidRDefault="00F37BF9">
            <w:pPr>
              <w:pStyle w:val="P68B1DB1-Normal12"/>
              <w:spacing w:before="120"/>
              <w:contextualSpacing/>
              <w:rPr>
                <w:noProof/>
                <w:lang w:val="de-DE"/>
              </w:rPr>
            </w:pPr>
            <w:r w:rsidRPr="00170422">
              <w:rPr>
                <w:noProof/>
                <w:lang w:val="de-DE"/>
              </w:rPr>
              <w:t xml:space="preserve">Die Vereinfachung und/oder Digitalisierung der Verfahren betrifft mindestens den folgenden </w:t>
            </w:r>
            <w:r w:rsidRPr="00170422">
              <w:rPr>
                <w:noProof/>
                <w:lang w:val="de-DE"/>
              </w:rPr>
              <w:t>Bereich:</w:t>
            </w:r>
          </w:p>
          <w:p w14:paraId="1CEA0FA0" w14:textId="77777777" w:rsidR="0057163C" w:rsidRPr="00170422" w:rsidRDefault="00F37BF9">
            <w:pPr>
              <w:pStyle w:val="P68B1DB1-Normal12"/>
              <w:rPr>
                <w:noProof/>
                <w:lang w:val="de-DE"/>
              </w:rPr>
            </w:pPr>
            <w:r w:rsidRPr="00170422">
              <w:rPr>
                <w:noProof/>
                <w:lang w:val="de-DE"/>
              </w:rPr>
              <w:t>1) Umwelt und Energie, erneuerbare Energien und grüne Wirtschaft;</w:t>
            </w:r>
          </w:p>
          <w:p w14:paraId="5A662193" w14:textId="77777777" w:rsidR="0057163C" w:rsidRPr="00170422" w:rsidRDefault="00F37BF9">
            <w:pPr>
              <w:pStyle w:val="P68B1DB1-Normal12"/>
              <w:rPr>
                <w:noProof/>
                <w:lang w:val="de-DE"/>
              </w:rPr>
            </w:pPr>
            <w:r w:rsidRPr="00170422">
              <w:rPr>
                <w:noProof/>
                <w:lang w:val="de-DE"/>
              </w:rPr>
              <w:t xml:space="preserve">2) Bauwesen und Stadterneuerung; </w:t>
            </w:r>
          </w:p>
          <w:p w14:paraId="1B22E3F0" w14:textId="77777777" w:rsidR="0057163C" w:rsidRPr="00170422" w:rsidRDefault="00F37BF9">
            <w:pPr>
              <w:pStyle w:val="P68B1DB1-Normal12"/>
              <w:rPr>
                <w:noProof/>
                <w:lang w:val="de-DE"/>
              </w:rPr>
            </w:pPr>
            <w:r w:rsidRPr="00170422">
              <w:rPr>
                <w:noProof/>
                <w:lang w:val="de-DE"/>
              </w:rPr>
              <w:t>3) Elektronische Kommunikationsinfrastruktur;</w:t>
            </w:r>
          </w:p>
          <w:p w14:paraId="248F385E" w14:textId="77777777" w:rsidR="0057163C" w:rsidRPr="00170422" w:rsidRDefault="00F37BF9">
            <w:pPr>
              <w:pStyle w:val="P68B1DB1-Normal12"/>
              <w:rPr>
                <w:rFonts w:cs="Arial"/>
                <w:noProof/>
                <w:lang w:val="de-DE"/>
              </w:rPr>
            </w:pPr>
            <w:r w:rsidRPr="00170422">
              <w:rPr>
                <w:noProof/>
                <w:lang w:val="de-DE"/>
              </w:rPr>
              <w:t>4) Niederlassung und Ausübung wirtschaftlicher Tätigkeiten.</w:t>
            </w:r>
          </w:p>
        </w:tc>
      </w:tr>
      <w:tr w:rsidR="0057163C" w:rsidRPr="00170422" w14:paraId="48CC60C6"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DD239" w14:textId="77777777" w:rsidR="0057163C" w:rsidRPr="00170422" w:rsidRDefault="00F37BF9">
            <w:pPr>
              <w:pStyle w:val="P68B1DB1-Normal12"/>
              <w:jc w:val="center"/>
              <w:rPr>
                <w:rFonts w:cs="Arial"/>
                <w:noProof/>
                <w:lang w:val="de-DE"/>
              </w:rPr>
            </w:pPr>
            <w:r w:rsidRPr="00170422">
              <w:rPr>
                <w:noProof/>
                <w:lang w:val="de-DE"/>
              </w:rPr>
              <w:t>M1C1-62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B6A15B" w14:textId="77777777" w:rsidR="0057163C" w:rsidRPr="00170422" w:rsidRDefault="00F37BF9">
            <w:pPr>
              <w:pStyle w:val="P68B1DB1-Normal11"/>
              <w:jc w:val="center"/>
              <w:rPr>
                <w:rFonts w:cs="Arial"/>
                <w:noProof/>
                <w:szCs w:val="20"/>
                <w:lang w:val="de-DE"/>
              </w:rPr>
            </w:pPr>
            <w:bookmarkStart w:id="3" w:name="_Hlk160472673"/>
            <w:r w:rsidRPr="00170422">
              <w:rPr>
                <w:noProof/>
                <w:lang w:val="de-DE"/>
              </w:rPr>
              <w:t xml:space="preserve">Reform 1.9: Reform der </w:t>
            </w:r>
            <w:r w:rsidRPr="00170422">
              <w:rPr>
                <w:noProof/>
                <w:lang w:val="de-DE"/>
              </w:rPr>
              <w:t>öffentlichen Verwaltung</w:t>
            </w:r>
            <w:bookmarkEnd w:id="3"/>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9194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C2831" w14:textId="77777777" w:rsidR="0057163C" w:rsidRPr="00170422" w:rsidRDefault="00F37BF9">
            <w:pPr>
              <w:pStyle w:val="P68B1DB1-Normal11"/>
              <w:jc w:val="center"/>
              <w:rPr>
                <w:rFonts w:cs="Arial"/>
                <w:noProof/>
                <w:szCs w:val="20"/>
                <w:lang w:val="de-DE"/>
              </w:rPr>
            </w:pPr>
            <w:r w:rsidRPr="00170422">
              <w:rPr>
                <w:noProof/>
                <w:lang w:val="de-DE"/>
              </w:rPr>
              <w:t>Höhere Absorption von Investitionen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0EA064" w14:textId="77777777" w:rsidR="0057163C" w:rsidRPr="00170422" w:rsidRDefault="00F37BF9">
            <w:pPr>
              <w:pStyle w:val="P68B1DB1-Normal11"/>
              <w:jc w:val="center"/>
              <w:rPr>
                <w:rFonts w:cs="Arial"/>
                <w:noProof/>
                <w:szCs w:val="20"/>
                <w:lang w:val="de-DE"/>
              </w:rPr>
            </w:pPr>
            <w:r w:rsidRPr="00170422">
              <w:rPr>
                <w:noProof/>
                <w:lang w:val="de-DE"/>
              </w:rPr>
              <w:t>Veröffentlichung eines Berichts des Finanzministeriums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BE5D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CFD7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35677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CF563D"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2C2E5C"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FB7536" w14:textId="610E5463" w:rsidR="0057163C" w:rsidRPr="00170422" w:rsidRDefault="00F37BF9">
            <w:pPr>
              <w:pStyle w:val="P68B1DB1-Normal12"/>
              <w:spacing w:after="120"/>
              <w:rPr>
                <w:rFonts w:cs="Arial"/>
                <w:noProof/>
                <w:lang w:val="de-DE"/>
              </w:rPr>
            </w:pPr>
            <w:r w:rsidRPr="00170422">
              <w:rPr>
                <w:noProof/>
                <w:lang w:val="de-DE"/>
              </w:rPr>
              <w:t>Veröffentlichung eines Berichts zur Messung der Ausschöpfung der Mittel des ergänzenden Fon</w:t>
            </w:r>
            <w:r w:rsidRPr="00170422">
              <w:rPr>
                <w:noProof/>
                <w:lang w:val="de-DE"/>
              </w:rPr>
              <w:t>ds, die bis 2024 zugewiesen wurden.</w:t>
            </w:r>
          </w:p>
        </w:tc>
      </w:tr>
      <w:tr w:rsidR="0057163C" w:rsidRPr="00170422" w14:paraId="44A591D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962B2" w14:textId="77777777" w:rsidR="0057163C" w:rsidRPr="00170422" w:rsidRDefault="00F37BF9">
            <w:pPr>
              <w:pStyle w:val="P68B1DB1-Normal11"/>
              <w:jc w:val="center"/>
              <w:rPr>
                <w:rFonts w:cs="Arial"/>
                <w:noProof/>
                <w:szCs w:val="20"/>
                <w:lang w:val="de-DE"/>
              </w:rPr>
            </w:pPr>
            <w:r w:rsidRPr="00170422">
              <w:rPr>
                <w:noProof/>
                <w:lang w:val="de-DE"/>
              </w:rPr>
              <w:t>M1C1-63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C2D8A" w14:textId="77777777" w:rsidR="0057163C" w:rsidRPr="00170422" w:rsidRDefault="00F37BF9">
            <w:pPr>
              <w:pStyle w:val="P68B1DB1-Normal11"/>
              <w:jc w:val="center"/>
              <w:rPr>
                <w:rFonts w:cs="Arial"/>
                <w:noProof/>
                <w:szCs w:val="20"/>
                <w:lang w:val="de-DE"/>
              </w:rPr>
            </w:pPr>
            <w:r w:rsidRPr="00170422">
              <w:rPr>
                <w:noProof/>
                <w:lang w:val="de-DE"/>
              </w:rPr>
              <w:t>Reform 1.9: Reform der 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F008"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44823" w14:textId="77777777" w:rsidR="0057163C" w:rsidRPr="00170422" w:rsidRDefault="00F37BF9">
            <w:pPr>
              <w:pStyle w:val="P68B1DB1-Normal12"/>
              <w:jc w:val="center"/>
              <w:rPr>
                <w:rFonts w:cs="Arial"/>
                <w:noProof/>
                <w:lang w:val="de-DE"/>
              </w:rPr>
            </w:pPr>
            <w:r w:rsidRPr="00170422">
              <w:rPr>
                <w:noProof/>
                <w:lang w:val="de-DE"/>
              </w:rPr>
              <w:t xml:space="preserve">Veröffentlichung eines Verzeichnisses aller vereinfachten und/oder digitalisierten Verfahren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F02967" w14:textId="77777777" w:rsidR="0057163C" w:rsidRPr="00170422" w:rsidRDefault="00F37BF9">
            <w:pPr>
              <w:pStyle w:val="P68B1DB1-Normal11"/>
              <w:jc w:val="center"/>
              <w:rPr>
                <w:rFonts w:cs="Arial"/>
                <w:noProof/>
                <w:szCs w:val="20"/>
                <w:lang w:val="de-DE"/>
              </w:rPr>
            </w:pPr>
            <w:r w:rsidRPr="00170422">
              <w:rPr>
                <w:noProof/>
                <w:lang w:val="de-DE"/>
              </w:rPr>
              <w:t>Veröffentlichung des Archivs auf der Website der Abteilung</w:t>
            </w:r>
            <w:r w:rsidRPr="00170422">
              <w:rPr>
                <w:noProof/>
                <w:lang w:val="de-DE"/>
              </w:rPr>
              <w:t xml:space="preserve"> für öffentliche Aufgaben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1213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4422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3A9FB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E2F9B"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53E60"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6C664" w14:textId="07861456" w:rsidR="0057163C" w:rsidRPr="00170422" w:rsidRDefault="00F37BF9">
            <w:pPr>
              <w:pStyle w:val="P68B1DB1-Normal11"/>
              <w:rPr>
                <w:rFonts w:cs="Arial"/>
                <w:noProof/>
                <w:szCs w:val="20"/>
                <w:lang w:val="de-DE"/>
              </w:rPr>
            </w:pPr>
            <w:r w:rsidRPr="00170422">
              <w:rPr>
                <w:noProof/>
                <w:szCs w:val="20"/>
                <w:lang w:val="de-DE"/>
              </w:rPr>
              <w:t xml:space="preserve">Das Archiv der vereinfachten und/oder digitalisierten Verfahren ist auf der Website verfügbar, die von der Abteilung für öffentliche Aufgaben verwaltet wird (www.italiasemplice.gov.it). Daten </w:t>
            </w:r>
            <w:r w:rsidRPr="00170422">
              <w:rPr>
                <w:noProof/>
                <w:szCs w:val="20"/>
                <w:lang w:val="de-DE"/>
              </w:rPr>
              <w:t>über die Verfügbarkeit von Sportello Unico Attività Produttive (SUAP) und Sportello Unico Edilizia (SUE) im gesamten Hoheitsgebiet sind auf der Website www.impresainungiorno.gov.it abrufbar</w:t>
            </w:r>
            <w:r w:rsidRPr="00170422">
              <w:rPr>
                <w:noProof/>
                <w:lang w:val="de-DE"/>
              </w:rPr>
              <w:t>.</w:t>
            </w:r>
          </w:p>
        </w:tc>
      </w:tr>
      <w:tr w:rsidR="0057163C" w:rsidRPr="00170422" w14:paraId="4355ABF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7CE34" w14:textId="77777777" w:rsidR="0057163C" w:rsidRPr="00170422" w:rsidRDefault="00F37BF9">
            <w:pPr>
              <w:pStyle w:val="P68B1DB1-Normal12"/>
              <w:jc w:val="center"/>
              <w:rPr>
                <w:rFonts w:cs="Arial"/>
                <w:noProof/>
                <w:lang w:val="de-DE"/>
              </w:rPr>
            </w:pPr>
            <w:r w:rsidRPr="00170422">
              <w:rPr>
                <w:noProof/>
                <w:lang w:val="de-DE"/>
              </w:rPr>
              <w:t>M1C1-66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0E6693" w14:textId="77777777" w:rsidR="0057163C" w:rsidRPr="00170422" w:rsidRDefault="00F37BF9">
            <w:pPr>
              <w:pStyle w:val="P68B1DB1-Normal12"/>
              <w:jc w:val="center"/>
              <w:rPr>
                <w:rFonts w:cs="Arial"/>
                <w:noProof/>
                <w:lang w:val="de-DE"/>
              </w:rPr>
            </w:pPr>
            <w:r w:rsidRPr="00170422">
              <w:rPr>
                <w:noProof/>
                <w:lang w:val="de-DE"/>
              </w:rPr>
              <w:t xml:space="preserve">Investition 1.9: Bereitstellung technischer Hilfe und </w:t>
            </w:r>
            <w:r w:rsidRPr="00170422">
              <w:rPr>
                <w:noProof/>
                <w:lang w:val="de-DE"/>
              </w:rPr>
              <w:t>Stärkung des Kapazitätsaufbaus für die Umsetzung des italienischen Aufbau- und Resilienzplans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1EC65"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6B41D" w14:textId="77777777" w:rsidR="0057163C" w:rsidRPr="00170422" w:rsidRDefault="00F37BF9">
            <w:pPr>
              <w:pStyle w:val="P68B1DB1-Normal11"/>
              <w:jc w:val="center"/>
              <w:rPr>
                <w:rFonts w:cs="Arial"/>
                <w:noProof/>
                <w:szCs w:val="20"/>
                <w:lang w:val="de-DE"/>
              </w:rPr>
            </w:pPr>
            <w:r w:rsidRPr="00170422">
              <w:rPr>
                <w:noProof/>
                <w:lang w:val="de-DE"/>
              </w:rPr>
              <w:t>Ausbildung und Schulungen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4872B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5701C"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AB14C"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C08340" w14:textId="6BC559C6" w:rsidR="0057163C" w:rsidRPr="00170422" w:rsidRDefault="00F37BF9">
            <w:pPr>
              <w:pStyle w:val="P68B1DB1-Normal12"/>
              <w:jc w:val="center"/>
              <w:rPr>
                <w:rFonts w:cs="Arial"/>
                <w:noProof/>
                <w:lang w:val="de-DE"/>
              </w:rPr>
            </w:pPr>
            <w:r w:rsidRPr="00170422">
              <w:rPr>
                <w:noProof/>
                <w:lang w:val="de-DE"/>
              </w:rPr>
              <w:t>441 750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83BDD"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D72D0"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A7420" w14:textId="50E0E100" w:rsidR="0057163C" w:rsidRPr="00170422" w:rsidRDefault="00F37BF9">
            <w:pPr>
              <w:pStyle w:val="P68B1DB1-Normal12"/>
              <w:spacing w:after="120"/>
              <w:rPr>
                <w:rFonts w:cs="Arial"/>
                <w:noProof/>
                <w:lang w:val="de-DE"/>
              </w:rPr>
            </w:pPr>
            <w:r w:rsidRPr="00170422">
              <w:rPr>
                <w:noProof/>
                <w:lang w:val="de-DE"/>
              </w:rPr>
              <w:t xml:space="preserve">Mindestens 441750 Ausbildungsnachweise für öffentliche Bedienstete auf der Syllabus-Plattform und mindestens 1500000 Teilnahmebescheinigungen für Schulungsmaßnahmen, die auf der Syllabus-Plattform verfügbar sind. </w:t>
            </w:r>
          </w:p>
        </w:tc>
      </w:tr>
      <w:tr w:rsidR="0057163C" w:rsidRPr="00170422" w14:paraId="651E05D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3E30F" w14:textId="77777777" w:rsidR="0057163C" w:rsidRPr="00170422" w:rsidRDefault="00F37BF9">
            <w:pPr>
              <w:pStyle w:val="P68B1DB1-Normal11"/>
              <w:jc w:val="center"/>
              <w:rPr>
                <w:rFonts w:cs="Arial"/>
                <w:noProof/>
                <w:szCs w:val="20"/>
                <w:lang w:val="de-DE"/>
              </w:rPr>
            </w:pPr>
            <w:r w:rsidRPr="00170422">
              <w:rPr>
                <w:noProof/>
                <w:lang w:val="de-DE"/>
              </w:rPr>
              <w:t>M1C1-68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9A6F78" w14:textId="77777777" w:rsidR="0057163C" w:rsidRPr="00170422" w:rsidRDefault="00F37BF9">
            <w:pPr>
              <w:pStyle w:val="P68B1DB1-Normal11"/>
              <w:jc w:val="center"/>
              <w:rPr>
                <w:rFonts w:cs="Arial"/>
                <w:noProof/>
                <w:szCs w:val="20"/>
                <w:lang w:val="de-DE"/>
              </w:rPr>
            </w:pPr>
            <w:r w:rsidRPr="00170422">
              <w:rPr>
                <w:noProof/>
                <w:lang w:val="de-DE"/>
              </w:rPr>
              <w:t xml:space="preserve">Reform 1.9: Reform der </w:t>
            </w:r>
            <w:r w:rsidRPr="00170422">
              <w:rPr>
                <w:noProof/>
                <w:lang w:val="de-DE"/>
              </w:rPr>
              <w:t>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B3313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35855" w14:textId="77777777" w:rsidR="0057163C" w:rsidRPr="00170422" w:rsidRDefault="00F37BF9">
            <w:pPr>
              <w:pStyle w:val="P68B1DB1-Normal11"/>
              <w:jc w:val="center"/>
              <w:rPr>
                <w:rFonts w:cs="Arial"/>
                <w:noProof/>
                <w:szCs w:val="20"/>
                <w:lang w:val="de-DE"/>
              </w:rPr>
            </w:pPr>
            <w:r w:rsidRPr="00170422">
              <w:rPr>
                <w:noProof/>
                <w:lang w:val="de-DE"/>
              </w:rPr>
              <w:t>Archivsystem für Audit und Kontrollen: Informationen für die Überwachung der Umsetzung der Aufbau- und Resilienzfazilität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07073" w14:textId="77777777" w:rsidR="0057163C" w:rsidRPr="00170422" w:rsidRDefault="00F37BF9">
            <w:pPr>
              <w:pStyle w:val="P68B1DB1-Normal11"/>
              <w:jc w:val="center"/>
              <w:rPr>
                <w:rFonts w:cs="Arial"/>
                <w:noProof/>
                <w:szCs w:val="20"/>
                <w:lang w:val="de-DE"/>
              </w:rPr>
            </w:pPr>
            <w:r w:rsidRPr="00170422">
              <w:rPr>
                <w:noProof/>
                <w:lang w:val="de-DE"/>
              </w:rPr>
              <w:t>Prüfbericht zur Bestätigung der Funktionen des Archivs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6AEC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B578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39334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0F9D9"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D9F26"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F39D0" w14:textId="77777777" w:rsidR="0057163C" w:rsidRPr="00170422" w:rsidRDefault="00F37BF9">
            <w:pPr>
              <w:pStyle w:val="P68B1DB1-Normal12"/>
              <w:spacing w:after="120"/>
              <w:rPr>
                <w:rFonts w:cs="Arial"/>
                <w:noProof/>
                <w:lang w:val="de-DE"/>
              </w:rPr>
            </w:pPr>
            <w:r w:rsidRPr="00170422">
              <w:rPr>
                <w:noProof/>
                <w:lang w:val="de-DE"/>
              </w:rPr>
              <w:t>Ein Datenspeichersystem zur Überwachung der Umsetzung der ARF muss vorhanden und einsatzbereit sein.</w:t>
            </w:r>
          </w:p>
          <w:p w14:paraId="5099C591" w14:textId="77777777" w:rsidR="0057163C" w:rsidRPr="00170422" w:rsidRDefault="00F37BF9">
            <w:pPr>
              <w:pStyle w:val="P68B1DB1-Normal11"/>
              <w:spacing w:after="120"/>
              <w:rPr>
                <w:rFonts w:cs="Arial"/>
                <w:noProof/>
                <w:szCs w:val="20"/>
                <w:lang w:val="de-DE"/>
              </w:rPr>
            </w:pPr>
            <w:r w:rsidRPr="00170422">
              <w:rPr>
                <w:noProof/>
                <w:lang w:val="de-DE"/>
              </w:rPr>
              <w:t>Das System muss mindestens die folgenden Funktionen umfassen:</w:t>
            </w:r>
          </w:p>
          <w:p w14:paraId="363D1FD2" w14:textId="77777777" w:rsidR="0057163C" w:rsidRPr="00170422" w:rsidRDefault="00F37BF9">
            <w:pPr>
              <w:pStyle w:val="P68B1DB1-Normal12"/>
              <w:spacing w:after="120"/>
              <w:rPr>
                <w:rFonts w:cs="Arial"/>
                <w:noProof/>
                <w:lang w:val="de-DE"/>
              </w:rPr>
            </w:pPr>
            <w:r w:rsidRPr="00170422">
              <w:rPr>
                <w:noProof/>
                <w:lang w:val="de-DE"/>
              </w:rPr>
              <w:t xml:space="preserve">a) die Erhebung von Daten und die Überwachung der Erreichung von Etappenzielen und </w:t>
            </w:r>
            <w:r w:rsidRPr="00170422">
              <w:rPr>
                <w:noProof/>
                <w:lang w:val="de-DE"/>
              </w:rPr>
              <w:t>Zielwerten;</w:t>
            </w:r>
          </w:p>
          <w:p w14:paraId="61FA9474" w14:textId="77777777" w:rsidR="0057163C" w:rsidRPr="00170422" w:rsidRDefault="00F37BF9">
            <w:pPr>
              <w:pStyle w:val="P68B1DB1-Normal12"/>
              <w:spacing w:after="120"/>
              <w:rPr>
                <w:rFonts w:cs="Arial"/>
                <w:noProof/>
                <w:lang w:val="de-DE"/>
              </w:rPr>
            </w:pPr>
            <w:r w:rsidRPr="00170422">
              <w:rPr>
                <w:noProof/>
                <w:lang w:val="de-DE"/>
              </w:rPr>
              <w:t>B) die nach Artikel 22 Absatz 2 Buchstabe d Ziffern i bis iii der ARF-Verordnung erforderlichen Daten zu erheben, zu speichern und sicherzustellen.</w:t>
            </w:r>
          </w:p>
        </w:tc>
      </w:tr>
      <w:tr w:rsidR="0057163C" w:rsidRPr="00170422" w14:paraId="11B518A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D247C5" w14:textId="77777777" w:rsidR="0057163C" w:rsidRPr="00170422" w:rsidRDefault="00F37BF9">
            <w:pPr>
              <w:pStyle w:val="P68B1DB1-Normal11"/>
              <w:jc w:val="center"/>
              <w:rPr>
                <w:rFonts w:cs="Arial"/>
                <w:noProof/>
                <w:szCs w:val="20"/>
                <w:lang w:val="de-DE"/>
              </w:rPr>
            </w:pPr>
            <w:r w:rsidRPr="00170422">
              <w:rPr>
                <w:noProof/>
                <w:lang w:val="de-DE"/>
              </w:rPr>
              <w:t>M1C1-69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181B6B"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E0C35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B1E666" w14:textId="77777777" w:rsidR="0057163C" w:rsidRPr="00170422" w:rsidRDefault="00F37BF9">
            <w:pPr>
              <w:pStyle w:val="P68B1DB1-Normal11"/>
              <w:jc w:val="center"/>
              <w:rPr>
                <w:rFonts w:cs="Arial"/>
                <w:noProof/>
                <w:szCs w:val="20"/>
                <w:lang w:val="de-DE"/>
              </w:rPr>
            </w:pPr>
            <w:r w:rsidRPr="00170422">
              <w:rPr>
                <w:noProof/>
                <w:lang w:val="de-DE"/>
              </w:rPr>
              <w:t>Inkrafttreten des Erlasses zur Vereinfachung des öffentlichen Auftragswesens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0A714"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Gesetzes-Erlasses zur Vereinfachung des öffentlichen Auftragswesens.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8F4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31E3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AD6D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1764A"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3A97C"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89C127" w14:textId="77777777" w:rsidR="0057163C" w:rsidRPr="00170422" w:rsidRDefault="00F37BF9">
            <w:pPr>
              <w:pStyle w:val="P68B1DB1-Normal11"/>
              <w:spacing w:after="120"/>
              <w:rPr>
                <w:rFonts w:cs="Arial"/>
                <w:noProof/>
                <w:szCs w:val="20"/>
                <w:lang w:val="de-DE"/>
              </w:rPr>
            </w:pPr>
            <w:r w:rsidRPr="00170422">
              <w:rPr>
                <w:noProof/>
                <w:lang w:val="de-DE"/>
              </w:rPr>
              <w:t>Durch den Gesetzeserla</w:t>
            </w:r>
            <w:r w:rsidRPr="00170422">
              <w:rPr>
                <w:noProof/>
                <w:lang w:val="de-DE"/>
              </w:rPr>
              <w:t>ss wird das System der Vergabe öffentlicher Aufträge durch mindestens folgende dringende Maßnahmen vereinfacht:</w:t>
            </w:r>
          </w:p>
          <w:p w14:paraId="7AC3DD77" w14:textId="77777777" w:rsidR="0057163C" w:rsidRPr="00170422" w:rsidRDefault="00F37BF9">
            <w:pPr>
              <w:pStyle w:val="P68B1DB1-Normal12"/>
              <w:spacing w:after="120"/>
              <w:rPr>
                <w:rFonts w:cs="Arial"/>
                <w:noProof/>
                <w:lang w:val="de-DE"/>
              </w:rPr>
            </w:pPr>
            <w:r w:rsidRPr="00170422">
              <w:rPr>
                <w:noProof/>
                <w:lang w:val="de-DE"/>
              </w:rPr>
              <w:t>I. Festlegung von Zielvorgaben, um den Zeitraum zwischen der Veröffentlichung und der Auftragsvergabe zu verkürzen.</w:t>
            </w:r>
          </w:p>
          <w:p w14:paraId="47141870" w14:textId="77777777" w:rsidR="0057163C" w:rsidRPr="00170422" w:rsidRDefault="00F37BF9">
            <w:pPr>
              <w:pStyle w:val="P68B1DB1-Normal12"/>
              <w:spacing w:after="120"/>
              <w:rPr>
                <w:rFonts w:cs="Arial"/>
                <w:noProof/>
                <w:lang w:val="de-DE"/>
              </w:rPr>
            </w:pPr>
            <w:r w:rsidRPr="00170422">
              <w:rPr>
                <w:noProof/>
                <w:lang w:val="de-DE"/>
              </w:rPr>
              <w:t>II. Legt Zielvorgaben und ei</w:t>
            </w:r>
            <w:r w:rsidRPr="00170422">
              <w:rPr>
                <w:noProof/>
                <w:lang w:val="de-DE"/>
              </w:rPr>
              <w:t>n Überwachungssystem fest, um die Zeitspanne zwischen der Auftragsvergabe und der Fertigstellung der Infrastruktur zu verkürzen („fase esecutiva“).</w:t>
            </w:r>
          </w:p>
          <w:p w14:paraId="68FA646A" w14:textId="77777777" w:rsidR="0057163C" w:rsidRPr="00170422" w:rsidRDefault="00F37BF9">
            <w:pPr>
              <w:pStyle w:val="P68B1DB1-Normal12"/>
              <w:spacing w:after="120"/>
              <w:rPr>
                <w:rFonts w:cs="Arial"/>
                <w:noProof/>
                <w:lang w:val="de-DE"/>
              </w:rPr>
            </w:pPr>
            <w:r w:rsidRPr="00170422">
              <w:rPr>
                <w:noProof/>
                <w:lang w:val="de-DE"/>
              </w:rPr>
              <w:t>III. Verlangt, dass die Daten aller Verträge in der Antikorruptionsdatenbank der nationalen Antikorruptionsb</w:t>
            </w:r>
            <w:r w:rsidRPr="00170422">
              <w:rPr>
                <w:noProof/>
                <w:lang w:val="de-DE"/>
              </w:rPr>
              <w:t>ehörde (ANAC) erfasst werden.</w:t>
            </w:r>
          </w:p>
          <w:p w14:paraId="68EB2DA4" w14:textId="77777777" w:rsidR="0057163C" w:rsidRPr="00170422" w:rsidRDefault="00F37BF9">
            <w:pPr>
              <w:pStyle w:val="P68B1DB1-Normal12"/>
              <w:spacing w:after="120"/>
              <w:rPr>
                <w:rFonts w:cs="Arial"/>
                <w:noProof/>
                <w:lang w:val="de-DE"/>
              </w:rPr>
            </w:pPr>
            <w:r w:rsidRPr="00170422">
              <w:rPr>
                <w:noProof/>
                <w:lang w:val="de-DE"/>
              </w:rPr>
              <w:t>IV. Einführung und Schaffung von Anreizen für alternative Streitbeilegungsmechanismen in der Ausführungsphase öffentlicher Aufträge.</w:t>
            </w:r>
          </w:p>
          <w:p w14:paraId="2142E571" w14:textId="77777777" w:rsidR="0057163C" w:rsidRPr="00170422" w:rsidRDefault="00F37BF9">
            <w:pPr>
              <w:pStyle w:val="P68B1DB1-Normal12"/>
              <w:spacing w:after="120"/>
              <w:rPr>
                <w:rFonts w:cs="Arial"/>
                <w:noProof/>
                <w:lang w:val="de-DE"/>
              </w:rPr>
            </w:pPr>
            <w:r w:rsidRPr="00170422">
              <w:rPr>
                <w:noProof/>
                <w:lang w:val="de-DE"/>
              </w:rPr>
              <w:t>v. Einrichtung spezieller Büros, die für Verfahren zur Vergabe öffentlicher Aufträge in Minis</w:t>
            </w:r>
            <w:r w:rsidRPr="00170422">
              <w:rPr>
                <w:noProof/>
                <w:lang w:val="de-DE"/>
              </w:rPr>
              <w:t>terien, Regionen und Großstädten zuständig sind.</w:t>
            </w:r>
          </w:p>
          <w:p w14:paraId="1E68D301" w14:textId="77777777" w:rsidR="0057163C" w:rsidRPr="00170422" w:rsidRDefault="00F37BF9">
            <w:pPr>
              <w:pStyle w:val="P68B1DB1-Normal11"/>
              <w:spacing w:after="120"/>
              <w:rPr>
                <w:rFonts w:cs="Arial"/>
                <w:noProof/>
                <w:szCs w:val="20"/>
                <w:lang w:val="de-DE"/>
              </w:rPr>
            </w:pPr>
            <w:r w:rsidRPr="00170422">
              <w:rPr>
                <w:noProof/>
                <w:lang w:val="de-DE"/>
              </w:rPr>
              <w:t>Weitere Spezifikationen:</w:t>
            </w:r>
          </w:p>
          <w:p w14:paraId="3673949F" w14:textId="77777777" w:rsidR="0057163C" w:rsidRPr="00170422" w:rsidRDefault="00F37BF9">
            <w:pPr>
              <w:pStyle w:val="P68B1DB1-Normal12"/>
              <w:spacing w:after="120"/>
              <w:rPr>
                <w:rFonts w:cs="Arial"/>
                <w:noProof/>
                <w:lang w:val="de-DE"/>
              </w:rPr>
            </w:pPr>
            <w:r w:rsidRPr="00170422">
              <w:rPr>
                <w:noProof/>
                <w:lang w:val="de-DE"/>
              </w:rPr>
              <w:t>— Vereinfachung und Digitalisierung der Verfahren der zentralen Beschaffungsstellen („centrali di committenza“);</w:t>
            </w:r>
          </w:p>
          <w:p w14:paraId="0B1967A4" w14:textId="77777777" w:rsidR="0057163C" w:rsidRPr="00170422" w:rsidRDefault="00F37BF9">
            <w:pPr>
              <w:pStyle w:val="P68B1DB1-Normal11"/>
              <w:spacing w:after="120"/>
              <w:rPr>
                <w:rFonts w:cs="Arial"/>
                <w:noProof/>
                <w:szCs w:val="20"/>
                <w:lang w:val="de-DE"/>
              </w:rPr>
            </w:pPr>
            <w:r w:rsidRPr="00170422">
              <w:rPr>
                <w:noProof/>
                <w:lang w:val="de-DE"/>
              </w:rPr>
              <w:t xml:space="preserve">— Umsetzung der Artikel 41 und 44 des geltenden Gesetzbuchs über das </w:t>
            </w:r>
            <w:r w:rsidRPr="00170422">
              <w:rPr>
                <w:noProof/>
                <w:lang w:val="de-DE"/>
              </w:rPr>
              <w:t>öffentliche Auftragswesen;</w:t>
            </w:r>
          </w:p>
          <w:p w14:paraId="68A9A3D1" w14:textId="77777777" w:rsidR="0057163C" w:rsidRPr="00170422" w:rsidRDefault="00F37BF9">
            <w:pPr>
              <w:pStyle w:val="P68B1DB1-Normal11"/>
              <w:spacing w:after="120"/>
              <w:rPr>
                <w:rFonts w:cs="Arial"/>
                <w:noProof/>
                <w:szCs w:val="20"/>
                <w:lang w:val="de-DE"/>
              </w:rPr>
            </w:pPr>
            <w:r w:rsidRPr="00170422">
              <w:rPr>
                <w:noProof/>
                <w:lang w:val="de-DE"/>
              </w:rPr>
              <w:t>— Festlegung, wie die Verfahren für alle öffentlichen Aufträge und Konzessionen digitalisiert werden sollten, und Festlegung von Interoperabilitäts- und Interkonnektivitätsanforderungen;</w:t>
            </w:r>
          </w:p>
          <w:p w14:paraId="4EFE6D54" w14:textId="77777777" w:rsidR="0057163C" w:rsidRPr="00170422" w:rsidRDefault="00F37BF9">
            <w:pPr>
              <w:pStyle w:val="P68B1DB1-Normal11"/>
              <w:spacing w:after="120"/>
              <w:rPr>
                <w:rFonts w:cs="Arial"/>
                <w:noProof/>
                <w:szCs w:val="20"/>
                <w:lang w:val="de-DE"/>
              </w:rPr>
            </w:pPr>
            <w:r w:rsidRPr="00170422">
              <w:rPr>
                <w:noProof/>
                <w:lang w:val="de-DE"/>
              </w:rPr>
              <w:t>— Umsetzung von Artikel 44 des geltenden G</w:t>
            </w:r>
            <w:r w:rsidRPr="00170422">
              <w:rPr>
                <w:noProof/>
                <w:lang w:val="de-DE"/>
              </w:rPr>
              <w:t>esetzbuchs über das öffentliche Auftragswesen.</w:t>
            </w:r>
          </w:p>
        </w:tc>
      </w:tr>
      <w:tr w:rsidR="0057163C" w:rsidRPr="00170422" w14:paraId="2EA8A20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F1F58" w14:textId="77777777" w:rsidR="0057163C" w:rsidRPr="00170422" w:rsidRDefault="00F37BF9">
            <w:pPr>
              <w:pStyle w:val="P68B1DB1-Normal11"/>
              <w:jc w:val="center"/>
              <w:rPr>
                <w:rFonts w:cs="Arial"/>
                <w:noProof/>
                <w:szCs w:val="20"/>
                <w:lang w:val="de-DE"/>
              </w:rPr>
            </w:pPr>
            <w:r w:rsidRPr="00170422">
              <w:rPr>
                <w:noProof/>
                <w:lang w:val="de-DE"/>
              </w:rPr>
              <w:t>M1C1-70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E27606"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66BD1"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30E24" w14:textId="77777777" w:rsidR="0057163C" w:rsidRPr="00170422" w:rsidRDefault="00F37BF9">
            <w:pPr>
              <w:pStyle w:val="P68B1DB1-Normal12"/>
              <w:jc w:val="center"/>
              <w:rPr>
                <w:rFonts w:cs="Arial"/>
                <w:noProof/>
                <w:lang w:val="de-DE"/>
              </w:rPr>
            </w:pPr>
            <w:r w:rsidRPr="00170422">
              <w:rPr>
                <w:noProof/>
                <w:lang w:val="de-DE"/>
              </w:rPr>
              <w:t>Inkrafttreten der Überarbeitung des Kodex für die Vergabe öffentlicher Aufträge (D.Lgs. Nr. 50/2016)</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22D0E" w14:textId="77777777" w:rsidR="0057163C" w:rsidRPr="00170422" w:rsidRDefault="00F37BF9">
            <w:pPr>
              <w:pStyle w:val="P68B1DB1-Normal12"/>
              <w:jc w:val="center"/>
              <w:rPr>
                <w:rFonts w:cs="Arial"/>
                <w:noProof/>
                <w:lang w:val="de-DE"/>
              </w:rPr>
            </w:pPr>
            <w:r w:rsidRPr="00170422">
              <w:rPr>
                <w:noProof/>
                <w:lang w:val="de-DE"/>
              </w:rPr>
              <w:t xml:space="preserve">Bestimmung im </w:t>
            </w:r>
            <w:r w:rsidRPr="00170422">
              <w:rPr>
                <w:noProof/>
                <w:lang w:val="de-DE"/>
              </w:rPr>
              <w:t>Gesetz über das Inkrafttreten des Übertragungsgesetzes, mit dem das derzeitige Gesetz über das öffentliche Auftragswesen reformiert wird (D.Lgs. Nr. 50/2016)</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751D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BAA8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D06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797F1F"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E863B"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0413B" w14:textId="77777777" w:rsidR="0057163C" w:rsidRPr="00170422" w:rsidRDefault="00F37BF9">
            <w:pPr>
              <w:pStyle w:val="P68B1DB1-Normal12"/>
              <w:spacing w:after="120"/>
              <w:rPr>
                <w:rFonts w:cs="Arial"/>
                <w:noProof/>
                <w:lang w:val="de-DE"/>
              </w:rPr>
            </w:pPr>
            <w:r w:rsidRPr="00170422">
              <w:rPr>
                <w:noProof/>
                <w:lang w:val="de-DE"/>
              </w:rPr>
              <w:t>Dieses Gesetz legt alle genauen Kriterien und Grundsätze für</w:t>
            </w:r>
            <w:r w:rsidRPr="00170422">
              <w:rPr>
                <w:noProof/>
                <w:lang w:val="de-DE"/>
              </w:rPr>
              <w:t xml:space="preserve"> die systemische Reform des Gesetzbuchs über das öffentliche Auftragswesen fest.</w:t>
            </w:r>
          </w:p>
          <w:p w14:paraId="751325F5" w14:textId="77777777" w:rsidR="0057163C" w:rsidRPr="00170422" w:rsidRDefault="00F37BF9">
            <w:pPr>
              <w:pStyle w:val="P68B1DB1-Normal11"/>
              <w:spacing w:after="120"/>
              <w:rPr>
                <w:rFonts w:cs="Arial"/>
                <w:noProof/>
                <w:szCs w:val="20"/>
                <w:lang w:val="de-DE"/>
              </w:rPr>
            </w:pPr>
            <w:r w:rsidRPr="00170422">
              <w:rPr>
                <w:noProof/>
                <w:lang w:val="de-DE"/>
              </w:rPr>
              <w:t>Das Übertragungsrecht sieht zumindest folgende Grundsätze und Kriterien vor:</w:t>
            </w:r>
          </w:p>
          <w:p w14:paraId="7AA42AAD" w14:textId="77777777" w:rsidR="0057163C" w:rsidRPr="00170422" w:rsidRDefault="00F37BF9">
            <w:pPr>
              <w:pStyle w:val="P68B1DB1-Normal12"/>
              <w:spacing w:after="120"/>
              <w:rPr>
                <w:rFonts w:cs="Arial"/>
                <w:noProof/>
                <w:lang w:val="de-DE"/>
              </w:rPr>
            </w:pPr>
            <w:r w:rsidRPr="00170422">
              <w:rPr>
                <w:noProof/>
                <w:lang w:val="de-DE"/>
              </w:rPr>
              <w:t xml:space="preserve">I. die Zersplitterung der öffentlichen Auftraggeber verringern (1) die grundlegenden Elemente des </w:t>
            </w:r>
            <w:r w:rsidRPr="00170422">
              <w:rPr>
                <w:noProof/>
                <w:lang w:val="de-DE"/>
              </w:rPr>
              <w:t>Qualifikationssystems festlegen, (2) die Einrichtung einer elektronischen Plattform als Grundvoraussetzung für die Teilnahme an der landesweiten Bewertung der Beschaffungskapazitäten vorschreiben, (3) die nationale Antikorruptionsbehörde (ANAC) ermächtigen</w:t>
            </w:r>
            <w:r w:rsidRPr="00170422">
              <w:rPr>
                <w:noProof/>
                <w:lang w:val="de-DE"/>
              </w:rPr>
              <w:t>, die Qualifikation der öffentlichen Auftraggeber in Bezug auf die Beschaffungskapazität (Arten und Volumen der Beschaffungen) zu überprüfen, (4) Anreize für die Nutzung bestehender professioneller zentraler Beschaffungsstellen zu schaffen.</w:t>
            </w:r>
          </w:p>
          <w:p w14:paraId="070626A9" w14:textId="77777777" w:rsidR="0057163C" w:rsidRPr="00170422" w:rsidRDefault="00F37BF9">
            <w:pPr>
              <w:pStyle w:val="P68B1DB1-Normal12"/>
              <w:spacing w:after="120"/>
              <w:rPr>
                <w:rFonts w:cs="Arial"/>
                <w:noProof/>
                <w:lang w:val="de-DE"/>
              </w:rPr>
            </w:pPr>
            <w:r w:rsidRPr="00170422">
              <w:rPr>
                <w:noProof/>
                <w:lang w:val="de-DE"/>
              </w:rPr>
              <w:t>II. Vereinfachu</w:t>
            </w:r>
            <w:r w:rsidRPr="00170422">
              <w:rPr>
                <w:noProof/>
                <w:lang w:val="de-DE"/>
              </w:rPr>
              <w:t>ng und Digitalisierung der Verfahren der zentralen Beschaffungsstellen („centrali di committenza“)</w:t>
            </w:r>
          </w:p>
          <w:p w14:paraId="1205E5F5" w14:textId="77777777" w:rsidR="0057163C" w:rsidRPr="00170422" w:rsidRDefault="00F37BF9">
            <w:pPr>
              <w:pStyle w:val="P68B1DB1-Normal11"/>
              <w:spacing w:after="120"/>
              <w:rPr>
                <w:rFonts w:cs="Arial"/>
                <w:noProof/>
                <w:szCs w:val="20"/>
                <w:lang w:val="de-DE"/>
              </w:rPr>
            </w:pPr>
            <w:r w:rsidRPr="00170422">
              <w:rPr>
                <w:noProof/>
                <w:lang w:val="de-DE"/>
              </w:rPr>
              <w:t>III. Festlegung, wie die Verfahren für alle öffentlichen Aufträge und Konzessionen digitalisiert werden sollen, und Festlegung von Interoperabilitäts- und In</w:t>
            </w:r>
            <w:r w:rsidRPr="00170422">
              <w:rPr>
                <w:noProof/>
                <w:lang w:val="de-DE"/>
              </w:rPr>
              <w:t>terkonnektivitätsanforderungen.</w:t>
            </w:r>
          </w:p>
          <w:p w14:paraId="0753A333" w14:textId="77777777" w:rsidR="0057163C" w:rsidRPr="00170422" w:rsidRDefault="00F37BF9">
            <w:pPr>
              <w:pStyle w:val="P68B1DB1-Normal11"/>
              <w:spacing w:after="120"/>
              <w:rPr>
                <w:rFonts w:cs="Arial"/>
                <w:noProof/>
                <w:szCs w:val="20"/>
                <w:lang w:val="de-DE"/>
              </w:rPr>
            </w:pPr>
            <w:r w:rsidRPr="00170422">
              <w:rPr>
                <w:noProof/>
                <w:lang w:val="de-DE"/>
              </w:rPr>
              <w:t>IV. Schrittweise Verringerung der Beschränkungen bei der Vergabe von Unteraufträgen.</w:t>
            </w:r>
          </w:p>
        </w:tc>
      </w:tr>
      <w:tr w:rsidR="0057163C" w:rsidRPr="00170422" w14:paraId="333E1CA8"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5D0A30" w14:textId="77777777" w:rsidR="0057163C" w:rsidRPr="00170422" w:rsidRDefault="00F37BF9">
            <w:pPr>
              <w:pStyle w:val="P68B1DB1-Normal11"/>
              <w:jc w:val="center"/>
              <w:rPr>
                <w:rFonts w:cs="Arial"/>
                <w:noProof/>
                <w:szCs w:val="20"/>
                <w:lang w:val="de-DE"/>
              </w:rPr>
            </w:pPr>
            <w:r w:rsidRPr="00170422">
              <w:rPr>
                <w:noProof/>
                <w:lang w:val="de-DE"/>
              </w:rPr>
              <w:t>M1C1-71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5CA1E4"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B6220"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B0253E" w14:textId="77777777" w:rsidR="0057163C" w:rsidRPr="00170422" w:rsidRDefault="00F37BF9">
            <w:pPr>
              <w:pStyle w:val="P68B1DB1-Normal11"/>
              <w:jc w:val="center"/>
              <w:rPr>
                <w:rFonts w:cs="Arial"/>
                <w:noProof/>
                <w:szCs w:val="20"/>
                <w:lang w:val="de-DE"/>
              </w:rPr>
            </w:pPr>
            <w:r w:rsidRPr="00170422">
              <w:rPr>
                <w:noProof/>
                <w:lang w:val="de-DE"/>
              </w:rPr>
              <w:t>Inkrafttreten aller erforderlichen Rechts- und</w:t>
            </w:r>
            <w:r w:rsidRPr="00170422">
              <w:rPr>
                <w:noProof/>
                <w:lang w:val="de-DE"/>
              </w:rPr>
              <w:t xml:space="preserve"> Verwaltungsvorschriften und Durchführungsrechtsakte (einschließlich des Sekundärrechts) für das öffentliche Auftragswesen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1772B" w14:textId="77777777" w:rsidR="0057163C" w:rsidRPr="00170422" w:rsidRDefault="00F37BF9">
            <w:pPr>
              <w:pStyle w:val="P68B1DB1-Normal11"/>
              <w:jc w:val="center"/>
              <w:rPr>
                <w:rFonts w:cs="Arial"/>
                <w:noProof/>
                <w:szCs w:val="20"/>
                <w:lang w:val="de-DE"/>
              </w:rPr>
            </w:pPr>
            <w:r w:rsidRPr="00170422">
              <w:rPr>
                <w:noProof/>
                <w:lang w:val="de-DE"/>
              </w:rPr>
              <w:t>Inkrafttreten aller erforderlichen Rechtsvorschriften und Durchführungsrechtsakte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95769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2C9F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A8CB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34A0EB"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E34D0"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CBB8C" w14:textId="77777777" w:rsidR="0057163C" w:rsidRPr="00170422" w:rsidRDefault="00F37BF9">
            <w:pPr>
              <w:pStyle w:val="P68B1DB1-Normal11"/>
              <w:spacing w:after="120"/>
              <w:rPr>
                <w:rFonts w:cs="Arial"/>
                <w:noProof/>
                <w:szCs w:val="20"/>
                <w:lang w:val="de-DE"/>
              </w:rPr>
            </w:pPr>
            <w:r w:rsidRPr="00170422">
              <w:rPr>
                <w:noProof/>
                <w:lang w:val="de-DE"/>
              </w:rPr>
              <w:t xml:space="preserve">Alle </w:t>
            </w:r>
            <w:r w:rsidRPr="00170422">
              <w:rPr>
                <w:noProof/>
                <w:lang w:val="de-DE"/>
              </w:rPr>
              <w:t>erforderlichen Rechts- und Verwaltungsvorschriften und Durchführungsrechtsakte (gegebenenfalls einschließlich des abgeleiteten Rechts) müssen zu folgenden Ergebnissen führen:</w:t>
            </w:r>
          </w:p>
          <w:p w14:paraId="7383B53C" w14:textId="77777777" w:rsidR="0057163C" w:rsidRPr="00170422" w:rsidRDefault="00F37BF9">
            <w:pPr>
              <w:pStyle w:val="P68B1DB1-Normal12"/>
              <w:spacing w:after="120"/>
              <w:rPr>
                <w:rFonts w:cs="Arial"/>
                <w:noProof/>
                <w:lang w:val="de-DE"/>
              </w:rPr>
            </w:pPr>
            <w:r w:rsidRPr="00170422">
              <w:rPr>
                <w:noProof/>
                <w:lang w:val="de-DE"/>
              </w:rPr>
              <w:t>I. Die zentrale Koordinierungsstelle für die Vergabe öffentlicher Aufträge verfüg</w:t>
            </w:r>
            <w:r w:rsidRPr="00170422">
              <w:rPr>
                <w:noProof/>
                <w:lang w:val="de-DE"/>
              </w:rPr>
              <w:t>t über eine angemessene (in der operativen Vereinbarung festzulegende) personelle und finanzielle Ausstattung, um voll funktionsfähig zu sein, auch aufgrund der Unterstützung durch eine spezielle Struktur der ANAC.</w:t>
            </w:r>
          </w:p>
          <w:p w14:paraId="1ECCB4A9" w14:textId="77777777" w:rsidR="0057163C" w:rsidRPr="00170422" w:rsidRDefault="00F37BF9">
            <w:pPr>
              <w:pStyle w:val="P68B1DB1-Normal12"/>
              <w:spacing w:after="120"/>
              <w:rPr>
                <w:rFonts w:cs="Arial"/>
                <w:noProof/>
                <w:lang w:val="de-DE"/>
              </w:rPr>
            </w:pPr>
            <w:r w:rsidRPr="00170422">
              <w:rPr>
                <w:noProof/>
                <w:lang w:val="de-DE"/>
              </w:rPr>
              <w:t>II. Die Einheitliche Koordinierungsstelle</w:t>
            </w:r>
            <w:r w:rsidRPr="00170422">
              <w:rPr>
                <w:noProof/>
                <w:lang w:val="de-DE"/>
              </w:rPr>
              <w:t xml:space="preserve"> für die Vergabe öffentlicher Aufträge verabschiedet die Professionalisierungsstrategie (vgl. im Zusammenhang mit der von Italien vorgeschlagenen Reform 2.1.6) mit den Arten von Schulungen auf verschiedenen Ebenen, der speziellen Anleitung und der Erstellu</w:t>
            </w:r>
            <w:r w:rsidRPr="00170422">
              <w:rPr>
                <w:noProof/>
                <w:lang w:val="de-DE"/>
              </w:rPr>
              <w:t>ng operativer Leitlinien mit Unterstützung der ANAC und der Nationalen Verwaltungsakademie.</w:t>
            </w:r>
          </w:p>
          <w:p w14:paraId="2E3B8698" w14:textId="77777777" w:rsidR="0057163C" w:rsidRPr="00170422" w:rsidRDefault="00F37BF9">
            <w:pPr>
              <w:pStyle w:val="P68B1DB1-Normal12"/>
              <w:spacing w:after="120"/>
              <w:rPr>
                <w:rFonts w:cs="Arial"/>
                <w:noProof/>
                <w:lang w:val="de-DE"/>
              </w:rPr>
            </w:pPr>
            <w:r w:rsidRPr="00170422">
              <w:rPr>
                <w:noProof/>
                <w:lang w:val="de-DE"/>
              </w:rPr>
              <w:t>III. Die dynamischen Beschaffungssysteme werden von Consip bereitgestellt und stehen im Einklang mit den Richtlinien über die Vergabe öffentlicher Aufträge.</w:t>
            </w:r>
          </w:p>
          <w:p w14:paraId="3CA74ED5" w14:textId="77777777" w:rsidR="0057163C" w:rsidRPr="00170422" w:rsidRDefault="00F37BF9">
            <w:pPr>
              <w:pStyle w:val="P68B1DB1-Normal11"/>
              <w:spacing w:after="120"/>
              <w:rPr>
                <w:rFonts w:cs="Arial"/>
                <w:noProof/>
                <w:szCs w:val="20"/>
                <w:lang w:val="de-DE"/>
              </w:rPr>
            </w:pPr>
            <w:r w:rsidRPr="00170422">
              <w:rPr>
                <w:noProof/>
                <w:lang w:val="de-DE"/>
              </w:rPr>
              <w:t>IV. Die</w:t>
            </w:r>
            <w:r w:rsidRPr="00170422">
              <w:rPr>
                <w:noProof/>
                <w:lang w:val="de-DE"/>
              </w:rPr>
              <w:t xml:space="preserve"> ANAC schließt die Ausübung der Qualifikation der öffentlichen Auftraggeber in Bezug auf die Beschaffungskapazität im Anschluss an die Umsetzung von Artikel 38 des Gesetzbuchs über die Vergabe öffentlicher Aufträge ab.</w:t>
            </w:r>
          </w:p>
          <w:p w14:paraId="79882481" w14:textId="77777777" w:rsidR="0057163C" w:rsidRPr="00170422" w:rsidRDefault="00F37BF9">
            <w:pPr>
              <w:pStyle w:val="P68B1DB1-Normal11"/>
              <w:spacing w:after="120"/>
              <w:rPr>
                <w:rFonts w:cs="Arial"/>
                <w:noProof/>
                <w:szCs w:val="20"/>
                <w:lang w:val="de-DE"/>
              </w:rPr>
            </w:pPr>
            <w:r w:rsidRPr="00170422">
              <w:rPr>
                <w:noProof/>
                <w:lang w:val="de-DE"/>
              </w:rPr>
              <w:t>v. Das Überwachungssystem für die Zei</w:t>
            </w:r>
            <w:r w:rsidRPr="00170422">
              <w:rPr>
                <w:noProof/>
                <w:lang w:val="de-DE"/>
              </w:rPr>
              <w:t>t zwischen der Auftragsvergabe und der Fertigstellung der Infrastrukturarbeiten ist betriebsbereit.</w:t>
            </w:r>
          </w:p>
          <w:p w14:paraId="76ED74FA" w14:textId="77777777" w:rsidR="0057163C" w:rsidRPr="00170422" w:rsidRDefault="00F37BF9">
            <w:pPr>
              <w:pStyle w:val="P68B1DB1-Normal11"/>
              <w:spacing w:after="120"/>
              <w:rPr>
                <w:rFonts w:cs="Arial"/>
                <w:noProof/>
                <w:szCs w:val="20"/>
                <w:lang w:val="de-DE"/>
              </w:rPr>
            </w:pPr>
            <w:r w:rsidRPr="00170422">
              <w:rPr>
                <w:noProof/>
                <w:lang w:val="de-DE"/>
              </w:rPr>
              <w:t>VI. Die Daten aller Verträge werden in der Korruptionsbekämpfungsdatenbank der nationalen Antikorruptionsbehörde (ANAC) erfasst.</w:t>
            </w:r>
          </w:p>
          <w:p w14:paraId="0EAD8E70" w14:textId="77777777" w:rsidR="0057163C" w:rsidRPr="00170422" w:rsidRDefault="00F37BF9">
            <w:pPr>
              <w:pStyle w:val="P68B1DB1-Normal12"/>
              <w:spacing w:after="120"/>
              <w:rPr>
                <w:rFonts w:cs="Arial"/>
                <w:noProof/>
                <w:lang w:val="de-DE"/>
              </w:rPr>
            </w:pPr>
            <w:r w:rsidRPr="00170422">
              <w:rPr>
                <w:noProof/>
                <w:lang w:val="de-DE"/>
              </w:rPr>
              <w:t>VII. Alle für die Vergabe ö</w:t>
            </w:r>
            <w:r w:rsidRPr="00170422">
              <w:rPr>
                <w:noProof/>
                <w:lang w:val="de-DE"/>
              </w:rPr>
              <w:t>ffentlicher Aufträge zuständigen Büros in Ministerien, Regionen und Großstädten.</w:t>
            </w:r>
          </w:p>
        </w:tc>
      </w:tr>
      <w:tr w:rsidR="0057163C" w:rsidRPr="0085607C" w14:paraId="5025E30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E14D2" w14:textId="77777777" w:rsidR="0057163C" w:rsidRPr="00170422" w:rsidRDefault="00F37BF9">
            <w:pPr>
              <w:pStyle w:val="P68B1DB1-Normal11"/>
              <w:jc w:val="center"/>
              <w:rPr>
                <w:rFonts w:cs="Arial"/>
                <w:noProof/>
                <w:szCs w:val="20"/>
                <w:lang w:val="de-DE"/>
              </w:rPr>
            </w:pPr>
            <w:r w:rsidRPr="00170422">
              <w:rPr>
                <w:noProof/>
                <w:lang w:val="de-DE"/>
              </w:rPr>
              <w:t>M1C1-72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1BA8C"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E42E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8B084" w14:textId="77777777" w:rsidR="0057163C" w:rsidRPr="00170422" w:rsidRDefault="00F37BF9">
            <w:pPr>
              <w:pStyle w:val="P68B1DB1-Normal12"/>
              <w:jc w:val="center"/>
              <w:rPr>
                <w:rFonts w:cs="Arial"/>
                <w:noProof/>
                <w:lang w:val="de-DE"/>
              </w:rPr>
            </w:pPr>
            <w:r w:rsidRPr="00170422">
              <w:rPr>
                <w:noProof/>
                <w:lang w:val="de-DE"/>
              </w:rPr>
              <w:t xml:space="preserve">Maßnahmen zur Verringerung der verspäteten Zahlungen </w:t>
            </w:r>
            <w:r w:rsidRPr="00170422">
              <w:rPr>
                <w:noProof/>
                <w:lang w:val="de-DE"/>
              </w:rPr>
              <w:t>der öffentlichen Verwaltung an Unternehmen werden genehmigt.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89EAD"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von Vorschriften zur Verringerung verspäteter Zahlungen der ZS an Unternehmen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1C542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D6099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3B4F3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989AD"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039640"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A7FE5F" w14:textId="77777777" w:rsidR="0057163C" w:rsidRPr="00170422" w:rsidRDefault="00F37BF9">
            <w:pPr>
              <w:pStyle w:val="P68B1DB1-Normal12"/>
              <w:spacing w:after="120"/>
              <w:rPr>
                <w:rFonts w:cs="Arial"/>
                <w:noProof/>
                <w:lang w:val="de-DE"/>
              </w:rPr>
            </w:pPr>
            <w:r w:rsidRPr="00170422">
              <w:rPr>
                <w:noProof/>
                <w:lang w:val="de-DE"/>
              </w:rPr>
              <w:t xml:space="preserve">Inkrafttreten neuer Vorschriften </w:t>
            </w:r>
            <w:r w:rsidRPr="00170422">
              <w:rPr>
                <w:noProof/>
                <w:lang w:val="de-DE"/>
              </w:rPr>
              <w:t>zur Verringerung der verspäteten Zahlungen der öffentlichen Verwaltung an Unternehmen.</w:t>
            </w:r>
          </w:p>
          <w:p w14:paraId="60D67CA5" w14:textId="77777777" w:rsidR="0057163C" w:rsidRPr="00170422" w:rsidRDefault="00F37BF9">
            <w:pPr>
              <w:pStyle w:val="P68B1DB1-Normal11"/>
              <w:spacing w:after="120"/>
              <w:rPr>
                <w:rFonts w:cs="Arial"/>
                <w:noProof/>
                <w:szCs w:val="20"/>
                <w:lang w:val="de-DE"/>
              </w:rPr>
            </w:pPr>
            <w:r w:rsidRPr="00170422">
              <w:rPr>
                <w:noProof/>
                <w:lang w:val="de-DE"/>
              </w:rPr>
              <w:t>Die Maßnahmen umfassen mindestens die folgenden Schlüsselelemente:</w:t>
            </w:r>
          </w:p>
          <w:p w14:paraId="1F78A2C8" w14:textId="77777777" w:rsidR="0057163C" w:rsidRPr="00170422" w:rsidRDefault="00F37BF9">
            <w:pPr>
              <w:pStyle w:val="P68B1DB1-Normal16"/>
              <w:spacing w:after="120"/>
              <w:rPr>
                <w:rFonts w:cs="Arial"/>
                <w:noProof/>
                <w:color w:val="006100"/>
                <w:lang w:val="de-DE"/>
              </w:rPr>
            </w:pPr>
            <w:r w:rsidRPr="00170422">
              <w:rPr>
                <w:noProof/>
                <w:color w:val="006100"/>
                <w:lang w:val="de-DE"/>
              </w:rPr>
              <w:t>I. Das</w:t>
            </w:r>
            <w:r w:rsidRPr="00170422">
              <w:rPr>
                <w:noProof/>
                <w:lang w:val="de-DE"/>
              </w:rPr>
              <w:t xml:space="preserve"> </w:t>
            </w:r>
            <w:r w:rsidRPr="00170422">
              <w:rPr>
                <w:noProof/>
                <w:color w:val="006100"/>
                <w:lang w:val="de-DE"/>
              </w:rPr>
              <w:t xml:space="preserve">System InIT wird in der zentralen öffentlichen Verwaltung eingesetzt, um die Wirtschafts- und </w:t>
            </w:r>
            <w:r w:rsidRPr="00170422">
              <w:rPr>
                <w:noProof/>
                <w:color w:val="006100"/>
                <w:lang w:val="de-DE"/>
              </w:rPr>
              <w:t>Finanzbuchführung sowie die Ausführung der öffentlichen Ausgaben zu unterstützen.</w:t>
            </w:r>
          </w:p>
          <w:p w14:paraId="72098827" w14:textId="75D02406" w:rsidR="0057163C" w:rsidRPr="00170422" w:rsidRDefault="00F37BF9">
            <w:pPr>
              <w:pStyle w:val="P68B1DB1-Normal16"/>
              <w:spacing w:after="120"/>
              <w:rPr>
                <w:rFonts w:cs="Arial"/>
                <w:noProof/>
                <w:color w:val="006100"/>
                <w:lang w:val="de-DE"/>
              </w:rPr>
            </w:pPr>
            <w:r w:rsidRPr="00170422">
              <w:rPr>
                <w:noProof/>
                <w:color w:val="006100"/>
                <w:lang w:val="de-DE"/>
              </w:rPr>
              <w:t>II.</w:t>
            </w:r>
            <w:r w:rsidRPr="00170422">
              <w:rPr>
                <w:noProof/>
                <w:lang w:val="de-DE"/>
              </w:rPr>
              <w:t xml:space="preserve"> </w:t>
            </w:r>
            <w:r w:rsidRPr="00170422">
              <w:rPr>
                <w:noProof/>
                <w:color w:val="006100"/>
                <w:lang w:val="de-DE"/>
              </w:rPr>
              <w:t>Zahlungsverzug: die auf der Datenbank des IT-Systems des MoF (Commercial Credit Platform – PCC) basierenden Indikatoren sind die gewichtete durchschnittliche Zahlungsfris</w:t>
            </w:r>
            <w:r w:rsidRPr="00170422">
              <w:rPr>
                <w:noProof/>
                <w:color w:val="006100"/>
                <w:lang w:val="de-DE"/>
              </w:rPr>
              <w:t>t von Behörden an Unternehmen und die gewichtete durchschnittliche Zahlungsverzögerung der Behörden an Unternehmen für jede der folgenden Ebenen der öffentlichen Verwaltung:</w:t>
            </w:r>
          </w:p>
          <w:p w14:paraId="72B93487" w14:textId="77777777" w:rsidR="0057163C" w:rsidRPr="0085607C" w:rsidRDefault="00F37BF9">
            <w:pPr>
              <w:pStyle w:val="P68B1DB1-Normal12"/>
              <w:numPr>
                <w:ilvl w:val="0"/>
                <w:numId w:val="20"/>
              </w:numPr>
              <w:spacing w:after="120" w:line="240" w:lineRule="auto"/>
              <w:ind w:left="341" w:hanging="283"/>
              <w:rPr>
                <w:rFonts w:cs="Arial"/>
                <w:noProof/>
                <w:lang w:val="it-IT"/>
              </w:rPr>
            </w:pPr>
            <w:r w:rsidRPr="0085607C">
              <w:rPr>
                <w:noProof/>
                <w:lang w:val="it-IT"/>
              </w:rPr>
              <w:t>zentrale Behörden (Amministrazioni dello Stato, enti pubblici nazionali e altri en</w:t>
            </w:r>
            <w:r w:rsidRPr="0085607C">
              <w:rPr>
                <w:noProof/>
                <w:lang w:val="it-IT"/>
              </w:rPr>
              <w:t>ti)</w:t>
            </w:r>
          </w:p>
          <w:p w14:paraId="462122B1" w14:textId="77777777" w:rsidR="0057163C" w:rsidRPr="00170422" w:rsidRDefault="00F37BF9">
            <w:pPr>
              <w:pStyle w:val="P68B1DB1-Normal12"/>
              <w:numPr>
                <w:ilvl w:val="0"/>
                <w:numId w:val="20"/>
              </w:numPr>
              <w:spacing w:after="120" w:line="240" w:lineRule="auto"/>
              <w:ind w:left="341" w:hanging="283"/>
              <w:rPr>
                <w:rFonts w:cs="Arial"/>
                <w:noProof/>
                <w:lang w:val="de-DE"/>
              </w:rPr>
            </w:pPr>
            <w:r w:rsidRPr="00170422">
              <w:rPr>
                <w:noProof/>
                <w:lang w:val="de-DE"/>
              </w:rPr>
              <w:t>regionale Gebietskörperschaften (autonome Regioni und Provinz),</w:t>
            </w:r>
          </w:p>
          <w:p w14:paraId="003CBFB0" w14:textId="77777777" w:rsidR="0057163C" w:rsidRPr="00170422" w:rsidRDefault="00F37BF9">
            <w:pPr>
              <w:pStyle w:val="P68B1DB1-Normal12"/>
              <w:numPr>
                <w:ilvl w:val="0"/>
                <w:numId w:val="20"/>
              </w:numPr>
              <w:spacing w:after="120" w:line="240" w:lineRule="auto"/>
              <w:ind w:left="341" w:hanging="283"/>
              <w:rPr>
                <w:rFonts w:cs="Arial"/>
                <w:noProof/>
                <w:lang w:val="de-DE"/>
              </w:rPr>
            </w:pPr>
            <w:r w:rsidRPr="00170422">
              <w:rPr>
                <w:noProof/>
                <w:lang w:val="de-DE"/>
              </w:rPr>
              <w:t>lokale Behörden (enti locali)</w:t>
            </w:r>
          </w:p>
          <w:p w14:paraId="35927F2E" w14:textId="77777777" w:rsidR="0057163C" w:rsidRPr="0085607C" w:rsidRDefault="00F37BF9">
            <w:pPr>
              <w:pStyle w:val="P68B1DB1-Normal12"/>
              <w:numPr>
                <w:ilvl w:val="0"/>
                <w:numId w:val="20"/>
              </w:numPr>
              <w:spacing w:after="120" w:line="240" w:lineRule="auto"/>
              <w:ind w:left="341" w:hanging="283"/>
              <w:rPr>
                <w:rFonts w:cs="Arial"/>
                <w:noProof/>
                <w:lang w:val="it-IT"/>
              </w:rPr>
            </w:pPr>
            <w:r w:rsidRPr="0085607C">
              <w:rPr>
                <w:noProof/>
                <w:lang w:val="it-IT"/>
              </w:rPr>
              <w:t>Gesundheitsbehörden (enti del Servizio sanitario nazionale).</w:t>
            </w:r>
          </w:p>
        </w:tc>
      </w:tr>
      <w:tr w:rsidR="0057163C" w:rsidRPr="00170422" w14:paraId="644BA14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43BB1" w14:textId="77777777" w:rsidR="0057163C" w:rsidRPr="00170422" w:rsidRDefault="00F37BF9">
            <w:pPr>
              <w:pStyle w:val="P68B1DB1-Normal11"/>
              <w:jc w:val="center"/>
              <w:rPr>
                <w:rFonts w:cs="Arial"/>
                <w:noProof/>
                <w:szCs w:val="20"/>
                <w:lang w:val="de-DE"/>
              </w:rPr>
            </w:pPr>
            <w:r w:rsidRPr="00170422">
              <w:rPr>
                <w:noProof/>
                <w:lang w:val="de-DE"/>
              </w:rPr>
              <w:t>M1C1-72bis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F2EA90" w14:textId="77777777" w:rsidR="0057163C" w:rsidRPr="00170422" w:rsidRDefault="00F37BF9">
            <w:pPr>
              <w:pStyle w:val="P68B1DB1-Normal12"/>
              <w:jc w:val="center"/>
              <w:rPr>
                <w:rFonts w:cs="Arial"/>
                <w:noProof/>
                <w:lang w:val="de-DE"/>
              </w:rPr>
            </w:pPr>
            <w:r w:rsidRPr="00170422">
              <w:rPr>
                <w:noProof/>
                <w:lang w:val="de-DE"/>
              </w:rPr>
              <w:t xml:space="preserve">Reform 1.11: Verringerung des Zahlungsverzugs durch öffentliche Verwaltungen und </w:t>
            </w:r>
            <w:r w:rsidRPr="00170422">
              <w:rPr>
                <w:noProof/>
                <w:lang w:val="de-DE"/>
              </w:rPr>
              <w:t>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1D7A6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E281E" w14:textId="77777777" w:rsidR="0057163C" w:rsidRPr="00170422" w:rsidRDefault="00F37BF9">
            <w:pPr>
              <w:pStyle w:val="P68B1DB1-Normal12"/>
              <w:jc w:val="center"/>
              <w:rPr>
                <w:rFonts w:cs="Arial"/>
                <w:noProof/>
                <w:lang w:val="de-DE"/>
              </w:rPr>
            </w:pPr>
            <w:r w:rsidRPr="00170422">
              <w:rPr>
                <w:noProof/>
                <w:lang w:val="de-DE"/>
              </w:rPr>
              <w:t>Legislative und spezifische Maßnahmen zur Verringerung des Zahlungsverzugs auf zentraler/lokaler Ebene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861198" w14:textId="77777777" w:rsidR="0057163C" w:rsidRPr="00170422" w:rsidRDefault="00F37BF9">
            <w:pPr>
              <w:pStyle w:val="P68B1DB1-Normal12"/>
              <w:jc w:val="center"/>
              <w:rPr>
                <w:rFonts w:cs="Arial"/>
                <w:noProof/>
                <w:lang w:val="de-DE"/>
              </w:rPr>
            </w:pPr>
            <w:r w:rsidRPr="00170422">
              <w:rPr>
                <w:noProof/>
                <w:lang w:val="de-DE"/>
              </w:rPr>
              <w:t>Rechtsvorschriften über das Inkrafttreten, erlassene Rundschreiben und Maßnahmen zur Verringerung der verspäteten Zahlung</w:t>
            </w:r>
            <w:r w:rsidRPr="00170422">
              <w:rPr>
                <w:noProof/>
                <w:lang w:val="de-DE"/>
              </w:rPr>
              <w:t>en der öffentlichen Verwaltung an Unternehmen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5DB01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391AD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C7F56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DA8CA"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E10E59"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F03250" w14:textId="77777777" w:rsidR="0057163C" w:rsidRPr="00170422" w:rsidRDefault="00F37BF9">
            <w:pPr>
              <w:pStyle w:val="P68B1DB1-Normal11"/>
              <w:spacing w:after="120"/>
              <w:rPr>
                <w:rFonts w:cs="Arial"/>
                <w:noProof/>
                <w:lang w:val="de-DE"/>
              </w:rPr>
            </w:pPr>
            <w:r w:rsidRPr="00170422">
              <w:rPr>
                <w:noProof/>
                <w:lang w:val="de-DE"/>
              </w:rPr>
              <w:t>Folgende Rechtsakte treten in Kraft:</w:t>
            </w:r>
          </w:p>
          <w:p w14:paraId="60C719ED" w14:textId="77777777" w:rsidR="0057163C" w:rsidRPr="00170422" w:rsidRDefault="00F37BF9">
            <w:pPr>
              <w:pStyle w:val="P68B1DB1-Normal11"/>
              <w:spacing w:after="120"/>
              <w:rPr>
                <w:rFonts w:cs="Arial"/>
                <w:noProof/>
                <w:szCs w:val="20"/>
                <w:lang w:val="de-DE"/>
              </w:rPr>
            </w:pPr>
            <w:r w:rsidRPr="00170422">
              <w:rPr>
                <w:noProof/>
                <w:lang w:val="de-DE"/>
              </w:rPr>
              <w:t>— ein Rundschreiben zur Klärung des Anwendungsbereichs gewerblicher und nichtgewerblicher Transaktionen im Einklang mit der Zahlungsver</w:t>
            </w:r>
            <w:r w:rsidRPr="00170422">
              <w:rPr>
                <w:noProof/>
                <w:lang w:val="de-DE"/>
              </w:rPr>
              <w:t xml:space="preserve">zugsrichtlinie; </w:t>
            </w:r>
          </w:p>
          <w:p w14:paraId="513A8478" w14:textId="77777777" w:rsidR="0057163C" w:rsidRPr="00170422" w:rsidRDefault="00F37BF9">
            <w:pPr>
              <w:pStyle w:val="P68B1DB1-Normal11"/>
              <w:spacing w:after="120"/>
              <w:rPr>
                <w:rFonts w:cs="Arial"/>
                <w:noProof/>
                <w:szCs w:val="20"/>
                <w:lang w:val="de-DE"/>
              </w:rPr>
            </w:pPr>
            <w:r w:rsidRPr="00170422">
              <w:rPr>
                <w:noProof/>
                <w:lang w:val="de-DE"/>
              </w:rPr>
              <w:t>— ein Rundschreiben zur Klärung des Anwendungsbereichs von Art. 4 Abs. 6 der Zahlungsverzugsrichtlinie im Einklang mit dieser Richtlinie;</w:t>
            </w:r>
          </w:p>
          <w:p w14:paraId="4CF8D499" w14:textId="77777777" w:rsidR="0057163C" w:rsidRPr="00170422" w:rsidRDefault="00F37BF9">
            <w:pPr>
              <w:pStyle w:val="P68B1DB1-Normal11"/>
              <w:spacing w:after="120"/>
              <w:rPr>
                <w:rFonts w:cs="Arial"/>
                <w:noProof/>
                <w:szCs w:val="20"/>
                <w:lang w:val="de-DE"/>
              </w:rPr>
            </w:pPr>
            <w:r w:rsidRPr="00170422">
              <w:rPr>
                <w:noProof/>
                <w:lang w:val="de-DE"/>
              </w:rPr>
              <w:t>— Rechtsvorschriften, mit denen sichergestellt wird, dass die ordentlichen Regionen und lokalen Gebie</w:t>
            </w:r>
            <w:r w:rsidRPr="00170422">
              <w:rPr>
                <w:noProof/>
                <w:lang w:val="de-DE"/>
              </w:rPr>
              <w:t>tskörperschaften Mittel erhalten, um ihre Rechnungen rechtzeitig von der zentralen Ebene zu begleichen;</w:t>
            </w:r>
          </w:p>
          <w:p w14:paraId="0100C5BB" w14:textId="77777777" w:rsidR="0057163C" w:rsidRPr="00170422" w:rsidRDefault="00F37BF9">
            <w:pPr>
              <w:pStyle w:val="P68B1DB1-Normal11"/>
              <w:spacing w:after="120"/>
              <w:rPr>
                <w:rFonts w:cs="Arial"/>
                <w:noProof/>
                <w:szCs w:val="20"/>
                <w:lang w:val="de-DE"/>
              </w:rPr>
            </w:pPr>
            <w:r w:rsidRPr="00170422">
              <w:rPr>
                <w:noProof/>
                <w:lang w:val="de-DE"/>
              </w:rPr>
              <w:t xml:space="preserve">— Rechtsvorschriften, nach denen Behörden verpflichtet werden, jährliche Cashflow-Pläne anzunehmen, die die Einhaltung der gesetzlichen Zahlungsfristen </w:t>
            </w:r>
            <w:r w:rsidRPr="00170422">
              <w:rPr>
                <w:noProof/>
                <w:lang w:val="de-DE"/>
              </w:rPr>
              <w:t>gewährleisten;</w:t>
            </w:r>
          </w:p>
          <w:p w14:paraId="15AE49BD" w14:textId="77777777" w:rsidR="0057163C" w:rsidRPr="00170422" w:rsidRDefault="00F37BF9">
            <w:pPr>
              <w:pStyle w:val="P68B1DB1-Normal12"/>
              <w:rPr>
                <w:noProof/>
                <w:lang w:val="de-DE"/>
              </w:rPr>
            </w:pPr>
            <w:r w:rsidRPr="00170422">
              <w:rPr>
                <w:noProof/>
                <w:lang w:val="de-DE"/>
              </w:rPr>
              <w:t>— Rechtsvorschriften zur Einführung von Bestimmungen, die die Abtretung von Krediten an Dritte nach 30 Tagen des Schweigens/der Untätigkeit der öffentlichen Verwaltungen ermöglichen.</w:t>
            </w:r>
          </w:p>
          <w:p w14:paraId="3979D0CD" w14:textId="03CB501E" w:rsidR="0057163C" w:rsidRPr="00170422" w:rsidRDefault="00F37BF9">
            <w:pPr>
              <w:pStyle w:val="P68B1DB1-Normal11"/>
              <w:rPr>
                <w:b/>
                <w:bCs/>
                <w:noProof/>
                <w:szCs w:val="20"/>
                <w:lang w:val="de-DE"/>
              </w:rPr>
            </w:pPr>
            <w:r w:rsidRPr="00170422">
              <w:rPr>
                <w:noProof/>
                <w:lang w:val="de-DE"/>
              </w:rPr>
              <w:t xml:space="preserve">Auf </w:t>
            </w:r>
            <w:r w:rsidRPr="00170422">
              <w:rPr>
                <w:b/>
                <w:noProof/>
                <w:lang w:val="de-DE"/>
              </w:rPr>
              <w:t xml:space="preserve">zentraler Ebene </w:t>
            </w:r>
            <w:r w:rsidRPr="00170422">
              <w:rPr>
                <w:bCs/>
                <w:noProof/>
                <w:lang w:val="de-DE"/>
              </w:rPr>
              <w:t>werden folgende Maßnahmen ergriffe</w:t>
            </w:r>
            <w:r w:rsidRPr="00170422">
              <w:rPr>
                <w:b/>
                <w:noProof/>
                <w:lang w:val="de-DE"/>
              </w:rPr>
              <w:t>n:</w:t>
            </w:r>
            <w:r w:rsidRPr="00170422">
              <w:rPr>
                <w:noProof/>
                <w:lang w:val="de-DE"/>
              </w:rPr>
              <w:t xml:space="preserve"> </w:t>
            </w:r>
          </w:p>
          <w:p w14:paraId="114C21F1" w14:textId="77777777" w:rsidR="0057163C" w:rsidRPr="00170422" w:rsidRDefault="00F37BF9">
            <w:pPr>
              <w:pStyle w:val="P68B1DB1-Normal12"/>
              <w:spacing w:after="120"/>
              <w:rPr>
                <w:rFonts w:cs="Arial"/>
                <w:noProof/>
                <w:lang w:val="de-DE"/>
              </w:rPr>
            </w:pPr>
            <w:r w:rsidRPr="00170422">
              <w:rPr>
                <w:noProof/>
                <w:lang w:val="de-DE"/>
              </w:rPr>
              <w:t xml:space="preserve">— Inkrafttreten von Rechtsvorschriften zur Ermittlung der verspäteten Zahler auf zentraler Ebene und zur Festlegung von Maßnahmen, um sicherzustellen, dass sie innerhalb der 30-Tage-Frist zahlen; </w:t>
            </w:r>
          </w:p>
          <w:p w14:paraId="30BEC962" w14:textId="77777777" w:rsidR="0057163C" w:rsidRPr="00170422" w:rsidRDefault="00F37BF9">
            <w:pPr>
              <w:pStyle w:val="P68B1DB1-Normal11"/>
              <w:spacing w:after="120"/>
              <w:rPr>
                <w:rFonts w:cs="Arial"/>
                <w:noProof/>
                <w:szCs w:val="20"/>
                <w:lang w:val="de-DE"/>
              </w:rPr>
            </w:pPr>
            <w:r w:rsidRPr="00170422">
              <w:rPr>
                <w:noProof/>
                <w:lang w:val="de-DE"/>
              </w:rPr>
              <w:t>— Veröffentlichung des vierteljährlich aktualisierten Besta</w:t>
            </w:r>
            <w:r w:rsidRPr="00170422">
              <w:rPr>
                <w:noProof/>
                <w:lang w:val="de-DE"/>
              </w:rPr>
              <w:t>ndes an Zahlungsrückständen der Ministerien;</w:t>
            </w:r>
          </w:p>
          <w:p w14:paraId="22407C3C" w14:textId="77777777" w:rsidR="0057163C" w:rsidRPr="00170422" w:rsidRDefault="00F37BF9">
            <w:pPr>
              <w:pStyle w:val="P68B1DB1-Normal12"/>
              <w:spacing w:after="120"/>
              <w:rPr>
                <w:rFonts w:cs="Arial"/>
                <w:noProof/>
                <w:lang w:val="de-DE"/>
              </w:rPr>
            </w:pPr>
            <w:r w:rsidRPr="00170422">
              <w:rPr>
                <w:noProof/>
                <w:lang w:val="de-DE"/>
              </w:rPr>
              <w:t xml:space="preserve">— Einsetzung von Task Forces, sofern dies gesetzlich vorgeschrieben ist. </w:t>
            </w:r>
          </w:p>
          <w:p w14:paraId="1EEAD627" w14:textId="2B0E0F0B" w:rsidR="0057163C" w:rsidRPr="00170422" w:rsidRDefault="00F37BF9">
            <w:pPr>
              <w:pStyle w:val="P68B1DB1-Normal11"/>
              <w:spacing w:after="120"/>
              <w:rPr>
                <w:rFonts w:cs="Arial"/>
                <w:b/>
                <w:bCs/>
                <w:noProof/>
                <w:szCs w:val="20"/>
                <w:lang w:val="de-DE"/>
              </w:rPr>
            </w:pPr>
            <w:r w:rsidRPr="00170422">
              <w:rPr>
                <w:noProof/>
                <w:lang w:val="de-DE"/>
              </w:rPr>
              <w:t xml:space="preserve">Auf </w:t>
            </w:r>
            <w:r w:rsidRPr="00170422">
              <w:rPr>
                <w:b/>
                <w:noProof/>
                <w:lang w:val="de-DE"/>
              </w:rPr>
              <w:t>lokaler Ebene</w:t>
            </w:r>
            <w:r w:rsidR="00202F9E" w:rsidRPr="00170422">
              <w:rPr>
                <w:b/>
                <w:noProof/>
                <w:lang w:val="de-DE"/>
              </w:rPr>
              <w:t xml:space="preserve"> </w:t>
            </w:r>
            <w:r w:rsidRPr="00170422">
              <w:rPr>
                <w:noProof/>
                <w:lang w:val="de-DE"/>
              </w:rPr>
              <w:t>werden folgende Maßnahmen ergriffen:</w:t>
            </w:r>
            <w:r w:rsidRPr="00170422">
              <w:rPr>
                <w:b/>
                <w:noProof/>
                <w:lang w:val="de-DE"/>
              </w:rPr>
              <w:t xml:space="preserve"> </w:t>
            </w:r>
          </w:p>
          <w:p w14:paraId="32264D2B" w14:textId="29CD4034" w:rsidR="0057163C" w:rsidRPr="00170422" w:rsidRDefault="00F37BF9">
            <w:pPr>
              <w:pStyle w:val="P68B1DB1-Normal12"/>
              <w:spacing w:after="120"/>
              <w:rPr>
                <w:rFonts w:cs="Arial"/>
                <w:noProof/>
                <w:lang w:val="de-DE"/>
              </w:rPr>
            </w:pPr>
            <w:r w:rsidRPr="00170422">
              <w:rPr>
                <w:noProof/>
                <w:lang w:val="de-DE"/>
              </w:rPr>
              <w:t xml:space="preserve">— Inkrafttreten von Rechtsvorschriften zur Ermittlung der verspäteten Zahler auf lokaler Ebene und zur Festlegung von Maßnahmen, um sicherzustellen, dass sie innerhalb der 30-Tage-Frist zahlen; </w:t>
            </w:r>
          </w:p>
          <w:p w14:paraId="026B2A8A" w14:textId="77777777" w:rsidR="0057163C" w:rsidRPr="00170422" w:rsidRDefault="00F37BF9">
            <w:pPr>
              <w:pStyle w:val="P68B1DB1-Normal11"/>
              <w:spacing w:after="120"/>
              <w:rPr>
                <w:rFonts w:cs="Arial"/>
                <w:noProof/>
                <w:szCs w:val="20"/>
                <w:lang w:val="de-DE"/>
              </w:rPr>
            </w:pPr>
            <w:r w:rsidRPr="00170422">
              <w:rPr>
                <w:noProof/>
                <w:lang w:val="de-DE"/>
              </w:rPr>
              <w:t>— Veröffentlichung des Bestandes an Zahlungsrückständen diese</w:t>
            </w:r>
            <w:r w:rsidRPr="00170422">
              <w:rPr>
                <w:noProof/>
                <w:lang w:val="de-DE"/>
              </w:rPr>
              <w:t>r Behörden, vierteljährlich aktualisiert.</w:t>
            </w:r>
          </w:p>
        </w:tc>
      </w:tr>
      <w:tr w:rsidR="0057163C" w:rsidRPr="00170422" w14:paraId="4EEB828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74D5B" w14:textId="77777777" w:rsidR="0057163C" w:rsidRPr="00170422" w:rsidRDefault="00F37BF9">
            <w:pPr>
              <w:pStyle w:val="P68B1DB1-Normal12"/>
              <w:jc w:val="center"/>
              <w:rPr>
                <w:rFonts w:cs="Arial"/>
                <w:noProof/>
                <w:lang w:val="de-DE"/>
              </w:rPr>
            </w:pPr>
            <w:r w:rsidRPr="00170422">
              <w:rPr>
                <w:noProof/>
                <w:lang w:val="de-DE"/>
              </w:rPr>
              <w:t>M1C1-72ter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F72C0"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20FA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5F8D0D" w14:textId="77777777" w:rsidR="0057163C" w:rsidRPr="00170422" w:rsidRDefault="00F37BF9">
            <w:pPr>
              <w:pStyle w:val="P68B1DB1-Normal11"/>
              <w:jc w:val="center"/>
              <w:rPr>
                <w:rFonts w:cs="Arial"/>
                <w:noProof/>
                <w:szCs w:val="20"/>
                <w:lang w:val="de-DE"/>
              </w:rPr>
            </w:pPr>
            <w:r w:rsidRPr="00170422">
              <w:rPr>
                <w:noProof/>
                <w:lang w:val="de-DE"/>
              </w:rPr>
              <w:t>Aufstockung der Humanressourcen für Zahlungen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B31094" w14:textId="4224D24C" w:rsidR="0057163C" w:rsidRPr="00170422" w:rsidRDefault="00F37BF9">
            <w:pPr>
              <w:pStyle w:val="P68B1DB1-Normal12"/>
              <w:jc w:val="center"/>
              <w:rPr>
                <w:rFonts w:cs="Arial"/>
                <w:noProof/>
                <w:lang w:val="de-DE"/>
              </w:rPr>
            </w:pPr>
            <w:r w:rsidRPr="00170422">
              <w:rPr>
                <w:noProof/>
                <w:lang w:val="de-DE"/>
              </w:rPr>
              <w:t xml:space="preserve">Bestimmung über das Inkrafttreten von </w:t>
            </w:r>
            <w:r w:rsidRPr="00170422">
              <w:rPr>
                <w:noProof/>
                <w:lang w:val="de-DE"/>
              </w:rPr>
              <w:t>Rechtsvorschriften, die die Möglichkeit vorsehen, die Humanressourcen im Zusammenhang mit Zahlungen aufzustocken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FC3F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E08D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86E53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47494"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C9266F"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D453E7" w14:textId="77777777" w:rsidR="0057163C" w:rsidRPr="00170422" w:rsidRDefault="00F37BF9">
            <w:pPr>
              <w:pStyle w:val="P68B1DB1-Normal12"/>
              <w:spacing w:after="120"/>
              <w:rPr>
                <w:rFonts w:cs="Arial"/>
                <w:noProof/>
                <w:lang w:val="de-DE"/>
              </w:rPr>
            </w:pPr>
            <w:r w:rsidRPr="00170422">
              <w:rPr>
                <w:noProof/>
                <w:lang w:val="de-DE"/>
              </w:rPr>
              <w:t>Inkrafttreten von Rechtsakten, die die Möglichkeit vorsehen, die Humanressourcen für Zahlungen in</w:t>
            </w:r>
            <w:r w:rsidRPr="00170422">
              <w:rPr>
                <w:noProof/>
                <w:lang w:val="de-DE"/>
              </w:rPr>
              <w:t xml:space="preserve"> folgenden Bereichen aufzustocken:</w:t>
            </w:r>
          </w:p>
          <w:p w14:paraId="1BA3AE32" w14:textId="77777777" w:rsidR="0057163C" w:rsidRPr="00170422" w:rsidRDefault="00F37BF9">
            <w:pPr>
              <w:pStyle w:val="P68B1DB1-Normal12"/>
              <w:spacing w:after="120"/>
              <w:rPr>
                <w:rFonts w:cs="Arial"/>
                <w:noProof/>
                <w:lang w:val="de-DE"/>
              </w:rPr>
            </w:pPr>
            <w:r w:rsidRPr="00170422">
              <w:rPr>
                <w:noProof/>
                <w:lang w:val="de-DE"/>
              </w:rPr>
              <w:t>— Die Ministerien wurden als verspätete Zahler ermittelt, die einen Interventionsplan gemäß dem Gesetzesdekret Nr. 19 vom 2. März 2024, umgewandelt durch das Gesetz Nr. 56 vom 29. April 2024, vorgelegt haben;</w:t>
            </w:r>
          </w:p>
          <w:p w14:paraId="715E6F94" w14:textId="31862F88" w:rsidR="0057163C" w:rsidRPr="00170422" w:rsidRDefault="00F37BF9">
            <w:pPr>
              <w:pStyle w:val="P68B1DB1-Normal12"/>
              <w:spacing w:after="120"/>
              <w:rPr>
                <w:rFonts w:cs="Arial"/>
                <w:noProof/>
                <w:lang w:val="de-DE"/>
              </w:rPr>
            </w:pPr>
            <w:r w:rsidRPr="00170422">
              <w:rPr>
                <w:noProof/>
                <w:lang w:val="de-DE"/>
              </w:rPr>
              <w:t xml:space="preserve">— Gemeinden </w:t>
            </w:r>
            <w:r w:rsidRPr="00170422">
              <w:rPr>
                <w:noProof/>
                <w:lang w:val="de-DE"/>
              </w:rPr>
              <w:t>mit mehr als 60000 Einwohnern, Provinzen und Großstädte, die als verspätete Zahler ermittelt wurden und einen Interventionsplan gemäß dem Gesetzesdekret Nr. 19 vom 2. März 2024, umgewandelt durch das Gesetz Nr. 56 vom 29. April 2024, vorgelegt haben.</w:t>
            </w:r>
          </w:p>
        </w:tc>
      </w:tr>
      <w:tr w:rsidR="0057163C" w:rsidRPr="00170422" w14:paraId="0B0A6D1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BD90D" w14:textId="77777777" w:rsidR="0057163C" w:rsidRPr="00170422" w:rsidRDefault="00F37BF9">
            <w:pPr>
              <w:pStyle w:val="P68B1DB1-Normal11"/>
              <w:jc w:val="center"/>
              <w:rPr>
                <w:rFonts w:cs="Arial"/>
                <w:noProof/>
                <w:szCs w:val="20"/>
                <w:lang w:val="de-DE"/>
              </w:rPr>
            </w:pPr>
            <w:r w:rsidRPr="00170422">
              <w:rPr>
                <w:noProof/>
                <w:lang w:val="de-DE"/>
              </w:rPr>
              <w:t>M1C1-72quater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2974C"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3314B5"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AE0BEB" w14:textId="77777777" w:rsidR="0057163C" w:rsidRPr="00170422" w:rsidRDefault="00F37BF9">
            <w:pPr>
              <w:pStyle w:val="P68B1DB1-Normal12"/>
              <w:jc w:val="center"/>
              <w:rPr>
                <w:noProof/>
                <w:lang w:val="de-DE"/>
              </w:rPr>
            </w:pPr>
            <w:r w:rsidRPr="00170422">
              <w:rPr>
                <w:noProof/>
                <w:lang w:val="de-DE"/>
              </w:rPr>
              <w:t>Annahme des Prüfplans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BF7A2" w14:textId="77777777" w:rsidR="0057163C" w:rsidRPr="00170422" w:rsidRDefault="0057163C">
            <w:pPr>
              <w:jc w:val="center"/>
              <w:rPr>
                <w:rFonts w:ascii="Arial Narrow" w:hAnsi="Arial Narrow"/>
                <w:noProof/>
                <w:color w:val="006100"/>
                <w:sz w:val="20"/>
                <w:szCs w:val="20"/>
                <w:lang w:val="de-DE"/>
              </w:rPr>
            </w:pPr>
          </w:p>
          <w:p w14:paraId="7327E3B5" w14:textId="77777777" w:rsidR="0057163C" w:rsidRPr="00170422" w:rsidRDefault="00F37BF9">
            <w:pPr>
              <w:pStyle w:val="P68B1DB1-Normal12"/>
              <w:jc w:val="center"/>
              <w:rPr>
                <w:noProof/>
                <w:lang w:val="de-DE"/>
              </w:rPr>
            </w:pPr>
            <w:r w:rsidRPr="00170422">
              <w:rPr>
                <w:noProof/>
                <w:lang w:val="de-DE"/>
              </w:rPr>
              <w:t>Annahme des Prüfplans</w:t>
            </w:r>
          </w:p>
          <w:p w14:paraId="5C577949" w14:textId="77777777" w:rsidR="0057163C" w:rsidRPr="00170422" w:rsidRDefault="0057163C">
            <w:pPr>
              <w:spacing w:line="276" w:lineRule="auto"/>
              <w:jc w:val="center"/>
              <w:rPr>
                <w:rFonts w:ascii="Arial Narrow" w:hAnsi="Arial Narrow"/>
                <w:noProof/>
                <w:color w:val="006100"/>
                <w:sz w:val="20"/>
                <w:szCs w:val="20"/>
                <w:lang w:val="de-DE"/>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D4B9F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F076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BEFF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3249CC"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5FA3E"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DDBE9" w14:textId="77777777" w:rsidR="0057163C" w:rsidRPr="00170422" w:rsidRDefault="00F37BF9">
            <w:pPr>
              <w:pStyle w:val="P68B1DB1-Normal12"/>
              <w:spacing w:after="120"/>
              <w:rPr>
                <w:noProof/>
                <w:lang w:val="de-DE"/>
              </w:rPr>
            </w:pPr>
            <w:r w:rsidRPr="00170422">
              <w:rPr>
                <w:noProof/>
                <w:lang w:val="de-DE"/>
              </w:rPr>
              <w:t xml:space="preserve">Annahme eines Prüfplans, </w:t>
            </w:r>
            <w:r w:rsidRPr="00170422">
              <w:rPr>
                <w:noProof/>
                <w:lang w:val="de-DE"/>
              </w:rPr>
              <w:t>einschließlich eines Fahrplans für seine Umsetzung, über die Angemessenheit und Aktualität der bestehenden Zahlungsverfahren von mindestens 130 öffentlichen Verwaltungen, die als verspätete Zahler ermittelt wurden: I) auf zentraler Ebene (einschließlich te</w:t>
            </w:r>
            <w:r w:rsidRPr="00170422">
              <w:rPr>
                <w:noProof/>
                <w:lang w:val="de-DE"/>
              </w:rPr>
              <w:t>rritorialer Abteilungen der Ministerien); II) Gemeinden; und iii) Gesundheitsbehörden.</w:t>
            </w:r>
          </w:p>
        </w:tc>
      </w:tr>
      <w:tr w:rsidR="0057163C" w:rsidRPr="00170422" w14:paraId="79CEF00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8A17E" w14:textId="77777777" w:rsidR="0057163C" w:rsidRPr="00170422" w:rsidRDefault="00F37BF9">
            <w:pPr>
              <w:pStyle w:val="P68B1DB1-Normal11"/>
              <w:jc w:val="center"/>
              <w:rPr>
                <w:rFonts w:cs="Arial"/>
                <w:noProof/>
                <w:szCs w:val="20"/>
                <w:lang w:val="de-DE"/>
              </w:rPr>
            </w:pPr>
            <w:bookmarkStart w:id="4" w:name="_Hlk160473292"/>
            <w:r w:rsidRPr="00170422">
              <w:rPr>
                <w:noProof/>
                <w:lang w:val="de-DE"/>
              </w:rPr>
              <w:t>M1C1-72quinquies</w:t>
            </w:r>
            <w:bookmarkEnd w:id="4"/>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281BD7" w14:textId="77777777" w:rsidR="0057163C" w:rsidRPr="00170422" w:rsidRDefault="00F37BF9">
            <w:pPr>
              <w:pStyle w:val="P68B1DB1-Normal12"/>
              <w:jc w:val="center"/>
              <w:rPr>
                <w:rFonts w:cs="Arial"/>
                <w:noProof/>
                <w:lang w:val="de-DE"/>
              </w:rPr>
            </w:pPr>
            <w:bookmarkStart w:id="5" w:name="_Hlk160473280"/>
            <w:r w:rsidRPr="00170422">
              <w:rPr>
                <w:noProof/>
                <w:lang w:val="de-DE"/>
              </w:rPr>
              <w:t>Reform 1.11: Verringerung des Zahlungsverzugs durch öffentliche Verwaltungen und Gesundheitsbehörden</w:t>
            </w:r>
            <w:bookmarkEnd w:id="5"/>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0E25F"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4E47" w14:textId="1263B960" w:rsidR="0057163C" w:rsidRPr="00170422" w:rsidRDefault="00F37BF9">
            <w:pPr>
              <w:pStyle w:val="P68B1DB1-Normal11"/>
              <w:jc w:val="center"/>
              <w:rPr>
                <w:noProof/>
                <w:szCs w:val="20"/>
                <w:lang w:val="de-DE"/>
              </w:rPr>
            </w:pPr>
            <w:r w:rsidRPr="00170422">
              <w:rPr>
                <w:noProof/>
                <w:lang w:val="de-DE"/>
              </w:rPr>
              <w:t xml:space="preserve">Website mit Informationen und Daten </w:t>
            </w:r>
            <w:r w:rsidRPr="00170422">
              <w:rPr>
                <w:noProof/>
                <w:lang w:val="de-DE"/>
              </w:rPr>
              <w:t>über Zahlungen der öffentlichen Verwaltung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2B7AC7" w14:textId="1152BF25" w:rsidR="0057163C" w:rsidRPr="00170422" w:rsidRDefault="00F37BF9">
            <w:pPr>
              <w:pStyle w:val="P68B1DB1-Normal11"/>
              <w:jc w:val="center"/>
              <w:rPr>
                <w:rFonts w:cs="Arial"/>
                <w:noProof/>
                <w:szCs w:val="20"/>
                <w:lang w:val="de-DE"/>
              </w:rPr>
            </w:pPr>
            <w:r w:rsidRPr="00170422">
              <w:rPr>
                <w:noProof/>
                <w:lang w:val="de-DE"/>
              </w:rPr>
              <w:t>Website mit Informationen und Daten über Zahlungen der öffentlichen 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1207E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C4DF3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F55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87C9F"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1D493"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B4EC0F" w14:textId="681F0C55" w:rsidR="0057163C" w:rsidRPr="00170422" w:rsidRDefault="00F37BF9">
            <w:pPr>
              <w:pStyle w:val="P68B1DB1-Normal11"/>
              <w:spacing w:after="120"/>
              <w:rPr>
                <w:rFonts w:cs="Arial"/>
                <w:noProof/>
                <w:szCs w:val="20"/>
                <w:lang w:val="de-DE"/>
              </w:rPr>
            </w:pPr>
            <w:r w:rsidRPr="00170422">
              <w:rPr>
                <w:noProof/>
                <w:lang w:val="de-DE"/>
              </w:rPr>
              <w:t xml:space="preserve"> Die folgenden Informationen werden auf einer speziellen Website veröffentlicht:</w:t>
            </w:r>
          </w:p>
          <w:p w14:paraId="3664F49B" w14:textId="77777777" w:rsidR="0057163C" w:rsidRPr="00170422" w:rsidRDefault="00F37BF9">
            <w:pPr>
              <w:pStyle w:val="P68B1DB1-Normal12"/>
              <w:spacing w:after="120"/>
              <w:rPr>
                <w:noProof/>
                <w:lang w:val="de-DE"/>
              </w:rPr>
            </w:pPr>
            <w:r w:rsidRPr="00170422">
              <w:rPr>
                <w:noProof/>
                <w:lang w:val="de-DE"/>
              </w:rPr>
              <w:t>— Erläu</w:t>
            </w:r>
            <w:r w:rsidRPr="00170422">
              <w:rPr>
                <w:noProof/>
                <w:lang w:val="de-DE"/>
              </w:rPr>
              <w:t>terung des Rechtsrahmens für die Zahlungsfristen für Geschäftsrechnungen öffentlicher Verwaltungen, einschließlich Zahlungsfristen und Rechtsbehelfen, die Gläubigern bei verspäteten Zahlungen zur Verfügung stehen;</w:t>
            </w:r>
          </w:p>
          <w:p w14:paraId="5A08A843" w14:textId="64E5159C" w:rsidR="0057163C" w:rsidRPr="00170422" w:rsidRDefault="00F37BF9">
            <w:pPr>
              <w:pStyle w:val="P68B1DB1-Normal12"/>
              <w:spacing w:after="120"/>
              <w:rPr>
                <w:noProof/>
                <w:lang w:val="de-DE"/>
              </w:rPr>
            </w:pPr>
            <w:r w:rsidRPr="00170422">
              <w:rPr>
                <w:noProof/>
                <w:lang w:val="de-DE"/>
              </w:rPr>
              <w:t>— Analysen auf der Grundlage der Überwachu</w:t>
            </w:r>
            <w:r w:rsidRPr="00170422">
              <w:rPr>
                <w:noProof/>
                <w:lang w:val="de-DE"/>
              </w:rPr>
              <w:t>ng der Zahlungsfristen der öffentlichen Verwaltung;</w:t>
            </w:r>
          </w:p>
          <w:p w14:paraId="192BF6E5" w14:textId="77777777" w:rsidR="0057163C" w:rsidRPr="00170422" w:rsidRDefault="00F37BF9">
            <w:pPr>
              <w:pStyle w:val="P68B1DB1-Normal12"/>
              <w:spacing w:after="120"/>
              <w:rPr>
                <w:noProof/>
                <w:lang w:val="de-DE"/>
              </w:rPr>
            </w:pPr>
            <w:r w:rsidRPr="00170422">
              <w:rPr>
                <w:noProof/>
                <w:lang w:val="de-DE"/>
              </w:rPr>
              <w:t>— Daten über die gewogene durchschnittliche Zahlungsfrist, den gewogenen durchschnittlichen Zahlungsverzug, das Verhältnis zwischen dem gezahlten und dem fälligen Handelsbetrag, den Betrag der Handelsrech</w:t>
            </w:r>
            <w:r w:rsidRPr="00170422">
              <w:rPr>
                <w:noProof/>
                <w:lang w:val="de-DE"/>
              </w:rPr>
              <w:t>nungen und den Betrag der nichtkommerziellen Rechnungen, vierteljährlich aktualisiert, zumindest für jedes ausgebende Ministerium (jedes Ministero con Portafoglio und Presidenza del Consiglio dei Ministri), jede Region, jede Autonome Provinz, jede Gemeinde</w:t>
            </w:r>
            <w:r w:rsidRPr="00170422">
              <w:rPr>
                <w:noProof/>
                <w:lang w:val="de-DE"/>
              </w:rPr>
              <w:t xml:space="preserve"> und jede Gesundheitsbehörde (jede Azienda Sanitaria Locale);</w:t>
            </w:r>
          </w:p>
          <w:p w14:paraId="46AB7FE4" w14:textId="77777777" w:rsidR="0057163C" w:rsidRPr="00170422" w:rsidRDefault="00F37BF9">
            <w:pPr>
              <w:pStyle w:val="P68B1DB1-Normal12"/>
              <w:spacing w:after="120"/>
              <w:rPr>
                <w:noProof/>
                <w:lang w:val="de-DE"/>
              </w:rPr>
            </w:pPr>
            <w:r w:rsidRPr="00170422">
              <w:rPr>
                <w:noProof/>
                <w:lang w:val="de-DE"/>
              </w:rPr>
              <w:t>— Häufig gestellte Fragen zu Zahlungen der öffentlichen Verwaltung.</w:t>
            </w:r>
          </w:p>
          <w:p w14:paraId="4E17957E" w14:textId="77777777" w:rsidR="0057163C" w:rsidRPr="00170422" w:rsidRDefault="00F37BF9">
            <w:pPr>
              <w:pStyle w:val="P68B1DB1-Normal12"/>
              <w:spacing w:after="120"/>
              <w:rPr>
                <w:noProof/>
                <w:lang w:val="de-DE"/>
              </w:rPr>
            </w:pPr>
            <w:r w:rsidRPr="00170422">
              <w:rPr>
                <w:noProof/>
                <w:lang w:val="de-DE"/>
              </w:rPr>
              <w:t>Die Website aller Ausgabenministerien (Ministeri con Portafoglio und Presidenza del Consiglio dei Ministri) enthält einen Link</w:t>
            </w:r>
            <w:r w:rsidRPr="00170422">
              <w:rPr>
                <w:noProof/>
                <w:lang w:val="de-DE"/>
              </w:rPr>
              <w:t xml:space="preserve"> zu dieser Website.</w:t>
            </w:r>
          </w:p>
        </w:tc>
      </w:tr>
      <w:tr w:rsidR="0057163C" w:rsidRPr="00170422" w14:paraId="650E583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DAC337" w14:textId="77777777" w:rsidR="0057163C" w:rsidRPr="00170422" w:rsidRDefault="00F37BF9">
            <w:pPr>
              <w:pStyle w:val="P68B1DB1-Normal11"/>
              <w:jc w:val="center"/>
              <w:rPr>
                <w:rFonts w:cs="Arial"/>
                <w:noProof/>
                <w:szCs w:val="20"/>
                <w:lang w:val="de-DE"/>
              </w:rPr>
            </w:pPr>
            <w:r w:rsidRPr="00170422">
              <w:rPr>
                <w:noProof/>
                <w:lang w:val="de-DE"/>
              </w:rPr>
              <w:t>M1C1-72sixe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FCEE6"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31370D"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19E456" w14:textId="77777777" w:rsidR="0057163C" w:rsidRPr="00170422" w:rsidRDefault="00F37BF9">
            <w:pPr>
              <w:pStyle w:val="P68B1DB1-Normal11"/>
              <w:jc w:val="center"/>
              <w:rPr>
                <w:rFonts w:cs="Arial"/>
                <w:noProof/>
                <w:szCs w:val="20"/>
                <w:lang w:val="de-DE"/>
              </w:rPr>
            </w:pPr>
            <w:r w:rsidRPr="00170422">
              <w:rPr>
                <w:noProof/>
                <w:lang w:val="de-DE"/>
              </w:rPr>
              <w:t>Annahme des abschließenden Prüfberichts des Prüfplans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597F53" w14:textId="77777777" w:rsidR="0057163C" w:rsidRPr="00170422" w:rsidRDefault="00F37BF9">
            <w:pPr>
              <w:pStyle w:val="P68B1DB1-Normal11"/>
              <w:jc w:val="center"/>
              <w:rPr>
                <w:rFonts w:cs="Arial"/>
                <w:noProof/>
                <w:szCs w:val="20"/>
                <w:lang w:val="de-DE"/>
              </w:rPr>
            </w:pPr>
            <w:r w:rsidRPr="00170422">
              <w:rPr>
                <w:noProof/>
                <w:lang w:val="de-DE"/>
              </w:rPr>
              <w:t>Annahme des abschließenden Prüfberichts des Prüfplans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662F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EF4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EE38F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BD163"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6CC09F"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65EC5" w14:textId="77777777" w:rsidR="0057163C" w:rsidRPr="00170422" w:rsidRDefault="00F37BF9">
            <w:pPr>
              <w:pStyle w:val="P68B1DB1-Normal11"/>
              <w:spacing w:after="120"/>
              <w:rPr>
                <w:rFonts w:cs="Arial"/>
                <w:noProof/>
                <w:szCs w:val="20"/>
                <w:lang w:val="de-DE"/>
              </w:rPr>
            </w:pPr>
            <w:r w:rsidRPr="00170422">
              <w:rPr>
                <w:noProof/>
                <w:lang w:val="de-DE"/>
              </w:rPr>
              <w:t>Annahme des abschließenden Prüfberichts des Prüfplans, einschließlich der bis zum 4. Quartal 2025 umgesetzten Abhilfemaßnahmen entsprechend den Ergebnissen der Prüftätigkeiten.</w:t>
            </w:r>
          </w:p>
        </w:tc>
      </w:tr>
      <w:tr w:rsidR="0057163C" w:rsidRPr="00170422" w14:paraId="278E618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5B666F" w14:textId="77777777" w:rsidR="0057163C" w:rsidRPr="00170422" w:rsidRDefault="00F37BF9">
            <w:pPr>
              <w:pStyle w:val="P68B1DB1-Normal11"/>
              <w:jc w:val="center"/>
              <w:rPr>
                <w:rFonts w:cs="Arial"/>
                <w:noProof/>
                <w:szCs w:val="20"/>
                <w:lang w:val="de-DE"/>
              </w:rPr>
            </w:pPr>
            <w:r w:rsidRPr="00170422">
              <w:rPr>
                <w:noProof/>
                <w:lang w:val="de-DE"/>
              </w:rPr>
              <w:t>M1C1-73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5A776" w14:textId="77777777" w:rsidR="0057163C" w:rsidRPr="00170422" w:rsidRDefault="00F37BF9">
            <w:pPr>
              <w:pStyle w:val="P68B1DB1-Normal11"/>
              <w:jc w:val="center"/>
              <w:rPr>
                <w:rFonts w:cs="Arial"/>
                <w:noProof/>
                <w:szCs w:val="20"/>
                <w:lang w:val="de-DE"/>
              </w:rPr>
            </w:pPr>
            <w:r w:rsidRPr="00170422">
              <w:rPr>
                <w:noProof/>
                <w:lang w:val="de-DE"/>
              </w:rPr>
              <w:t xml:space="preserve">Reform 1.10: Reform des </w:t>
            </w:r>
            <w:r w:rsidRPr="00170422">
              <w:rPr>
                <w:noProof/>
                <w:lang w:val="de-DE"/>
              </w:rPr>
              <w:t>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62C84"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684D6" w14:textId="77777777" w:rsidR="0057163C" w:rsidRPr="00170422" w:rsidRDefault="00F37BF9">
            <w:pPr>
              <w:pStyle w:val="P68B1DB1-Normal11"/>
              <w:jc w:val="center"/>
              <w:rPr>
                <w:rFonts w:cs="Arial"/>
                <w:noProof/>
                <w:szCs w:val="20"/>
                <w:lang w:val="de-DE"/>
              </w:rPr>
            </w:pPr>
            <w:r w:rsidRPr="00170422">
              <w:rPr>
                <w:noProof/>
                <w:lang w:val="de-DE"/>
              </w:rPr>
              <w:t>Inkrafttreten der Reform des Gesetzbuchs über das öffentliche Auftragswesen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3117B" w14:textId="77777777" w:rsidR="0057163C" w:rsidRPr="00170422" w:rsidRDefault="00F37BF9">
            <w:pPr>
              <w:pStyle w:val="P68B1DB1-Normal12"/>
              <w:jc w:val="center"/>
              <w:rPr>
                <w:rFonts w:cs="Arial"/>
                <w:noProof/>
                <w:lang w:val="de-DE"/>
              </w:rPr>
            </w:pPr>
            <w:r w:rsidRPr="00170422">
              <w:rPr>
                <w:noProof/>
                <w:lang w:val="de-DE"/>
              </w:rPr>
              <w:t xml:space="preserve">Bestimmung im Gesetz über das Inkrafttreten des Legislativdekrets zur Umsetzung aller Bestimmungen des </w:t>
            </w:r>
            <w:r w:rsidRPr="00170422">
              <w:rPr>
                <w:noProof/>
                <w:lang w:val="de-DE"/>
              </w:rPr>
              <w:t>Übertragungsgesetzes zur Reform des Gesetzbuchs über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292B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474F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8F25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4D031"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39534"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FEEF1"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Inkrafttreten des Legislativdekrets zur Umsetzung aller Bestimmungen des Übertragungsgesetzes zur Reform des Gesetzbuchs über das öffe</w:t>
            </w:r>
            <w:r w:rsidRPr="00170422">
              <w:rPr>
                <w:noProof/>
                <w:lang w:val="de-DE"/>
              </w:rPr>
              <w:t>ntliche Auftragswesen.</w:t>
            </w:r>
          </w:p>
        </w:tc>
      </w:tr>
      <w:tr w:rsidR="0057163C" w:rsidRPr="00170422" w14:paraId="09EEF926"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13B70" w14:textId="77777777" w:rsidR="0057163C" w:rsidRPr="00170422" w:rsidRDefault="00F37BF9">
            <w:pPr>
              <w:pStyle w:val="P68B1DB1-Normal11"/>
              <w:jc w:val="center"/>
              <w:rPr>
                <w:rFonts w:cs="Arial"/>
                <w:noProof/>
                <w:szCs w:val="20"/>
                <w:lang w:val="de-DE"/>
              </w:rPr>
            </w:pPr>
            <w:r w:rsidRPr="00170422">
              <w:rPr>
                <w:noProof/>
                <w:lang w:val="de-DE"/>
              </w:rPr>
              <w:t>M1C1-74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91E9AB"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DFE84"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9ED09" w14:textId="77777777" w:rsidR="0057163C" w:rsidRPr="00170422" w:rsidRDefault="00F37BF9">
            <w:pPr>
              <w:pStyle w:val="P68B1DB1-Normal11"/>
              <w:jc w:val="center"/>
              <w:rPr>
                <w:rFonts w:cs="Arial"/>
                <w:noProof/>
                <w:szCs w:val="20"/>
                <w:lang w:val="de-DE"/>
              </w:rPr>
            </w:pPr>
            <w:r w:rsidRPr="00170422">
              <w:rPr>
                <w:noProof/>
                <w:lang w:val="de-DE"/>
              </w:rPr>
              <w:t xml:space="preserve">Inkrafttreten aller erforderlichen Durchführungsmaßnahmen und sekundärrechtlichen Vorschriften für die Reform zur Vereinfachung des Kodex </w:t>
            </w:r>
            <w:r w:rsidRPr="00170422">
              <w:rPr>
                <w:noProof/>
                <w:lang w:val="de-DE"/>
              </w:rPr>
              <w:t>für das öffentliche Auftragswesen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75F5E" w14:textId="77777777" w:rsidR="0057163C" w:rsidRPr="00170422" w:rsidRDefault="00F37BF9">
            <w:pPr>
              <w:pStyle w:val="P68B1DB1-Normal11"/>
              <w:jc w:val="center"/>
              <w:rPr>
                <w:rFonts w:cs="Arial"/>
                <w:noProof/>
                <w:szCs w:val="20"/>
                <w:lang w:val="de-DE"/>
              </w:rPr>
            </w:pPr>
            <w:r w:rsidRPr="00170422">
              <w:rPr>
                <w:noProof/>
                <w:lang w:val="de-DE"/>
              </w:rPr>
              <w:t>Inkrafttreten aller erforderlichen Durchführungsmaßnahmen und des abgeleiteten Rechts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25E9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448C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81C4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40EB76"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605C2"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678890" w14:textId="77777777" w:rsidR="0057163C" w:rsidRPr="00170422" w:rsidRDefault="00F37BF9">
            <w:pPr>
              <w:pStyle w:val="P68B1DB1-Normal12"/>
              <w:spacing w:before="100" w:beforeAutospacing="1" w:after="120"/>
              <w:rPr>
                <w:rFonts w:cs="Arial"/>
                <w:noProof/>
                <w:lang w:val="de-DE"/>
              </w:rPr>
            </w:pPr>
            <w:r w:rsidRPr="00170422">
              <w:rPr>
                <w:noProof/>
                <w:lang w:val="de-DE"/>
              </w:rPr>
              <w:t>Inkrafttreten aller erforderlichen Durchführungsmaßnahmen und sekundärrechtlichen Vorschriften für</w:t>
            </w:r>
            <w:r w:rsidRPr="00170422">
              <w:rPr>
                <w:noProof/>
                <w:lang w:val="de-DE"/>
              </w:rPr>
              <w:t xml:space="preserve"> die Reform/Vereinfachung des öffentlichen Auftragswesens (auch aufgrund der Überarbeitung des Gesetzbuchs über das öffentliche Auftragswesen).</w:t>
            </w:r>
          </w:p>
        </w:tc>
      </w:tr>
      <w:tr w:rsidR="0057163C" w:rsidRPr="00170422" w14:paraId="7745D03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D8CB72"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M1C1-73bis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01A770"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81310D"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43B6DB" w14:textId="77777777" w:rsidR="0057163C" w:rsidRPr="00170422" w:rsidRDefault="00F37BF9">
            <w:pPr>
              <w:pStyle w:val="P68B1DB1-Normal11"/>
              <w:spacing w:beforeAutospacing="1" w:after="120" w:line="256" w:lineRule="auto"/>
              <w:jc w:val="center"/>
              <w:rPr>
                <w:rFonts w:eastAsia="Arial Narrow" w:cs="Arial Narrow"/>
                <w:noProof/>
                <w:szCs w:val="20"/>
                <w:lang w:val="de-DE"/>
              </w:rPr>
            </w:pPr>
            <w:r w:rsidRPr="00170422">
              <w:rPr>
                <w:noProof/>
                <w:lang w:val="de-DE"/>
              </w:rPr>
              <w:t xml:space="preserve">Annahme eines </w:t>
            </w:r>
            <w:r w:rsidRPr="00170422">
              <w:rPr>
                <w:noProof/>
                <w:lang w:val="de-DE"/>
              </w:rPr>
              <w:t>Rundschreibens mit Leitlinien zum Qualifikationssystem für öffentliche Auftraggeber</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CAE890" w14:textId="77777777" w:rsidR="0057163C" w:rsidRPr="00170422" w:rsidRDefault="00F37BF9">
            <w:pPr>
              <w:pStyle w:val="P68B1DB1-Normal11"/>
              <w:spacing w:beforeAutospacing="1" w:after="120" w:line="256" w:lineRule="auto"/>
              <w:jc w:val="center"/>
              <w:rPr>
                <w:rFonts w:eastAsia="Arial Narrow" w:cs="Arial Narrow"/>
                <w:noProof/>
                <w:szCs w:val="20"/>
                <w:lang w:val="de-DE"/>
              </w:rPr>
            </w:pPr>
            <w:r w:rsidRPr="00170422">
              <w:rPr>
                <w:noProof/>
                <w:lang w:val="de-DE"/>
              </w:rPr>
              <w:t>Annahme eines Rundschreibens mit Leitlinien zum Qualifikationssystem für öffentliche Auftraggeber</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8EA01"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5EE6B"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D878B4"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B78B8"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2F0D4" w14:textId="77777777" w:rsidR="0057163C" w:rsidRPr="00170422" w:rsidRDefault="00F37BF9">
            <w:pPr>
              <w:pStyle w:val="P68B1DB1-Normal11"/>
              <w:spacing w:line="256" w:lineRule="auto"/>
              <w:jc w:val="center"/>
              <w:rPr>
                <w:rFonts w:eastAsia="Arial Narrow" w:cs="Arial Narrow"/>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8DC185" w14:textId="77777777" w:rsidR="0057163C" w:rsidRPr="00170422" w:rsidRDefault="00F37BF9">
            <w:pPr>
              <w:pStyle w:val="P68B1DB1-Normal11"/>
              <w:spacing w:beforeAutospacing="1" w:after="120" w:line="256" w:lineRule="auto"/>
              <w:rPr>
                <w:rFonts w:eastAsia="Arial Narrow" w:cs="Arial Narrow"/>
                <w:noProof/>
                <w:szCs w:val="20"/>
                <w:lang w:val="de-DE"/>
              </w:rPr>
            </w:pPr>
            <w:r w:rsidRPr="00170422">
              <w:rPr>
                <w:noProof/>
                <w:lang w:val="de-DE"/>
              </w:rPr>
              <w:t>Annahme – nach Konsultation der ANAC</w:t>
            </w:r>
            <w:r w:rsidRPr="00170422">
              <w:rPr>
                <w:noProof/>
                <w:lang w:val="de-DE"/>
              </w:rPr>
              <w:t xml:space="preserve"> – eines Rundschreibens mit Leitlinien zu den derzeit geltenden Vorschriften über Qualifikation und Zentralisierung, um zu erläutern, dass eine Qualifikation und/oder der Rückgriff auf zentrale Beschaffungsstellen auch bei Vergaben unterhalb der Schwellenw</w:t>
            </w:r>
            <w:r w:rsidRPr="00170422">
              <w:rPr>
                <w:noProof/>
                <w:lang w:val="de-DE"/>
              </w:rPr>
              <w:t xml:space="preserve">erte möglich und ratsam ist </w:t>
            </w:r>
          </w:p>
        </w:tc>
      </w:tr>
      <w:tr w:rsidR="0057163C" w:rsidRPr="00170422" w14:paraId="3982244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30549" w14:textId="77777777" w:rsidR="0057163C" w:rsidRPr="00170422" w:rsidRDefault="00F37BF9">
            <w:pPr>
              <w:pStyle w:val="P68B1DB1-Normal12"/>
              <w:jc w:val="center"/>
              <w:rPr>
                <w:rFonts w:cs="Arial"/>
                <w:noProof/>
                <w:lang w:val="de-DE"/>
              </w:rPr>
            </w:pPr>
            <w:r w:rsidRPr="00170422">
              <w:rPr>
                <w:noProof/>
                <w:lang w:val="de-DE"/>
              </w:rPr>
              <w:t>M1C1-73ter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E99DD"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616CAE" w14:textId="77777777" w:rsidR="0057163C" w:rsidRPr="00170422" w:rsidRDefault="00F37BF9">
            <w:pPr>
              <w:pStyle w:val="P68B1DB1-Normal11"/>
              <w:spacing w:before="100" w:beforeAutospacing="1" w:after="120"/>
              <w:jc w:val="center"/>
              <w:rPr>
                <w:rFonts w:cs="Arial"/>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32E4B" w14:textId="77777777" w:rsidR="0057163C" w:rsidRPr="00170422" w:rsidRDefault="00F37BF9">
            <w:pPr>
              <w:pStyle w:val="P68B1DB1-Normal12"/>
              <w:spacing w:before="100" w:beforeAutospacing="1" w:after="120"/>
              <w:jc w:val="center"/>
              <w:rPr>
                <w:rFonts w:cs="Arial"/>
                <w:noProof/>
                <w:lang w:val="de-DE"/>
              </w:rPr>
            </w:pPr>
            <w:r w:rsidRPr="00170422">
              <w:rPr>
                <w:noProof/>
                <w:lang w:val="de-DE"/>
              </w:rPr>
              <w:t>Anreize für die Qualifizierung und Professionalisierung der öffentlichen Auftraggeber.</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3E06B" w14:textId="77777777" w:rsidR="0057163C" w:rsidRPr="00170422" w:rsidRDefault="00F37BF9">
            <w:pPr>
              <w:pStyle w:val="P68B1DB1-Normal12"/>
              <w:spacing w:before="100" w:beforeAutospacing="1" w:after="120"/>
              <w:jc w:val="center"/>
              <w:rPr>
                <w:rFonts w:cs="Arial"/>
                <w:noProof/>
                <w:lang w:val="de-DE"/>
              </w:rPr>
            </w:pPr>
            <w:r w:rsidRPr="00170422">
              <w:rPr>
                <w:noProof/>
                <w:lang w:val="de-DE"/>
              </w:rPr>
              <w:t xml:space="preserve">Analyse durch die Cabina di Regia, </w:t>
            </w:r>
            <w:r w:rsidRPr="00170422">
              <w:rPr>
                <w:noProof/>
                <w:lang w:val="de-DE"/>
              </w:rPr>
              <w:t>Veröffentlichung der Ergebnisse der Teilnahme an Schulungsmaßnahmen und Selbstbewertungen sowie Annahme von Initiativen und Instrumenten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A5354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A88F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64416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84BB"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6D21F"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7E772" w14:textId="77777777" w:rsidR="0057163C" w:rsidRPr="00170422" w:rsidRDefault="00F37BF9">
            <w:pPr>
              <w:pStyle w:val="P68B1DB1-Normal12"/>
              <w:spacing w:before="100" w:beforeAutospacing="1" w:after="120"/>
              <w:rPr>
                <w:rFonts w:cs="Arial"/>
                <w:noProof/>
                <w:lang w:val="de-DE"/>
              </w:rPr>
            </w:pPr>
            <w:r w:rsidRPr="00170422">
              <w:rPr>
                <w:noProof/>
                <w:lang w:val="de-DE"/>
              </w:rPr>
              <w:t>Analyse der Auswirkungen der Anwendung des Gesetzbuchs über das öffentlic</w:t>
            </w:r>
            <w:r w:rsidRPr="00170422">
              <w:rPr>
                <w:noProof/>
                <w:lang w:val="de-DE"/>
              </w:rPr>
              <w:t xml:space="preserve">he Auftragswesen durch die Cabina di Regia (gemäß Artikel 221 des Gesetzbuchs über das öffentliche Auftragswesen) nach Anhörung der ANAC auf </w:t>
            </w:r>
          </w:p>
          <w:p w14:paraId="35D6E7BE" w14:textId="77777777" w:rsidR="0057163C" w:rsidRPr="00170422" w:rsidRDefault="00F37BF9">
            <w:pPr>
              <w:pStyle w:val="P68B1DB1-ListParagraph13"/>
              <w:numPr>
                <w:ilvl w:val="0"/>
                <w:numId w:val="21"/>
              </w:numPr>
              <w:spacing w:before="100" w:beforeAutospacing="1" w:after="120" w:line="240" w:lineRule="auto"/>
              <w:rPr>
                <w:rFonts w:cs="Arial"/>
                <w:noProof/>
                <w:lang w:val="de-DE"/>
              </w:rPr>
            </w:pPr>
            <w:r w:rsidRPr="00170422">
              <w:rPr>
                <w:noProof/>
                <w:lang w:val="de-DE"/>
              </w:rPr>
              <w:t xml:space="preserve">die Zahl der qualifizierten öffentlichen Auftraggeber und zentralen Beschaffungsstellen; </w:t>
            </w:r>
          </w:p>
          <w:p w14:paraId="10852A02" w14:textId="77777777" w:rsidR="0057163C" w:rsidRPr="00170422" w:rsidRDefault="00F37BF9">
            <w:pPr>
              <w:pStyle w:val="P68B1DB1-ListParagraph13"/>
              <w:numPr>
                <w:ilvl w:val="0"/>
                <w:numId w:val="21"/>
              </w:numPr>
              <w:spacing w:before="100" w:beforeAutospacing="1" w:after="120" w:line="240" w:lineRule="auto"/>
              <w:rPr>
                <w:rFonts w:cs="Arial"/>
                <w:noProof/>
                <w:lang w:val="de-DE"/>
              </w:rPr>
            </w:pPr>
            <w:r w:rsidRPr="00170422">
              <w:rPr>
                <w:noProof/>
                <w:lang w:val="de-DE"/>
              </w:rPr>
              <w:t>Anzahl und Wert der öffe</w:t>
            </w:r>
            <w:r w:rsidRPr="00170422">
              <w:rPr>
                <w:noProof/>
                <w:lang w:val="de-DE"/>
              </w:rPr>
              <w:t xml:space="preserve">ntlichen Aufträge, die von qualifizierten Auftraggebern im eigenen Namen und im Namen nicht qualifizierter Stellen verwaltet werden; </w:t>
            </w:r>
          </w:p>
          <w:p w14:paraId="5FA95B3A" w14:textId="2E7BA883" w:rsidR="0057163C" w:rsidRPr="00170422" w:rsidRDefault="00F37BF9">
            <w:pPr>
              <w:pStyle w:val="P68B1DB1-ListParagraph13"/>
              <w:numPr>
                <w:ilvl w:val="0"/>
                <w:numId w:val="21"/>
              </w:numPr>
              <w:spacing w:before="100" w:beforeAutospacing="1" w:after="120" w:line="240" w:lineRule="auto"/>
              <w:rPr>
                <w:rFonts w:cs="Arial"/>
                <w:noProof/>
                <w:lang w:val="de-DE"/>
              </w:rPr>
            </w:pPr>
            <w:r w:rsidRPr="00170422">
              <w:rPr>
                <w:noProof/>
                <w:lang w:val="de-DE"/>
              </w:rPr>
              <w:t xml:space="preserve">Qualifizierungsverfahren zur Beschleunigung der Entscheidungsfindung bei der Vergabe öffentlicher Aufträge. </w:t>
            </w:r>
          </w:p>
          <w:p w14:paraId="7F1DAB5D"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Veröffentlich</w:t>
            </w:r>
            <w:r w:rsidRPr="00170422">
              <w:rPr>
                <w:noProof/>
                <w:lang w:val="de-DE"/>
              </w:rPr>
              <w:t xml:space="preserve">ung der Ergebnisse der Bestandsaufnahme der Teilnahme nicht qualifizierter Einrichtungen an Schulungsmaßnahmen und </w:t>
            </w:r>
            <w:r w:rsidRPr="00170422">
              <w:rPr>
                <w:noProof/>
                <w:szCs w:val="20"/>
                <w:lang w:val="de-DE"/>
              </w:rPr>
              <w:t xml:space="preserve">von </w:t>
            </w:r>
            <w:r w:rsidRPr="00170422">
              <w:rPr>
                <w:noProof/>
                <w:lang w:val="de-DE"/>
              </w:rPr>
              <w:t xml:space="preserve">Selbstbewertungen. </w:t>
            </w:r>
          </w:p>
          <w:p w14:paraId="3044132F" w14:textId="77777777" w:rsidR="0057163C" w:rsidRPr="00170422" w:rsidRDefault="00F37BF9">
            <w:pPr>
              <w:pStyle w:val="P68B1DB1-Normal12"/>
              <w:spacing w:before="100" w:beforeAutospacing="1" w:after="120"/>
              <w:rPr>
                <w:rFonts w:cs="Arial"/>
                <w:noProof/>
                <w:lang w:val="de-DE"/>
              </w:rPr>
            </w:pPr>
            <w:r w:rsidRPr="00170422">
              <w:rPr>
                <w:noProof/>
                <w:lang w:val="de-DE"/>
              </w:rPr>
              <w:t>Es werden Initiativen zur Verbesserung der Qualifikation der öffentlichen Auftraggeber, zur Verringerung der Fragment</w:t>
            </w:r>
            <w:r w:rsidRPr="00170422">
              <w:rPr>
                <w:noProof/>
                <w:lang w:val="de-DE"/>
              </w:rPr>
              <w:t xml:space="preserve">ierung und zur Professionalisierung nicht qualifizierter Stellen angenommen. </w:t>
            </w:r>
          </w:p>
          <w:p w14:paraId="3EA0CA6A" w14:textId="58FC7AA9" w:rsidR="0057163C" w:rsidRPr="00170422" w:rsidRDefault="00F37BF9">
            <w:pPr>
              <w:pStyle w:val="P68B1DB1-Normal12"/>
              <w:spacing w:before="100" w:beforeAutospacing="1" w:after="120"/>
              <w:rPr>
                <w:rFonts w:cs="Arial"/>
                <w:noProof/>
                <w:lang w:val="de-DE"/>
              </w:rPr>
            </w:pPr>
            <w:r w:rsidRPr="00170422">
              <w:rPr>
                <w:noProof/>
                <w:lang w:val="de-DE"/>
              </w:rPr>
              <w:t>Den öffentlichen Auftraggebern werden Instrumente für die technische/administrative Unterstützung zur Verfügung gestellt.</w:t>
            </w:r>
          </w:p>
        </w:tc>
      </w:tr>
      <w:tr w:rsidR="0057163C" w:rsidRPr="00170422" w14:paraId="67C1807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623C9" w14:textId="77777777" w:rsidR="0057163C" w:rsidRPr="00170422" w:rsidRDefault="00F37BF9">
            <w:pPr>
              <w:pStyle w:val="P68B1DB1-Normal11"/>
              <w:jc w:val="center"/>
              <w:rPr>
                <w:rFonts w:cs="Arial"/>
                <w:noProof/>
                <w:szCs w:val="20"/>
                <w:lang w:val="de-DE"/>
              </w:rPr>
            </w:pPr>
            <w:r w:rsidRPr="00170422">
              <w:rPr>
                <w:noProof/>
                <w:lang w:val="de-DE"/>
              </w:rPr>
              <w:t>M1C1-73quater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C31D"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w:t>
            </w:r>
            <w:r w:rsidRPr="00170422">
              <w:rPr>
                <w:noProof/>
                <w:lang w:val="de-DE"/>
              </w:rPr>
              <w:t xml:space="preserve">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551B5B"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75A95" w14:textId="77777777" w:rsidR="0057163C" w:rsidRPr="00170422" w:rsidRDefault="00F37BF9">
            <w:pPr>
              <w:pStyle w:val="P68B1DB1-Normal11"/>
              <w:spacing w:before="100" w:beforeAutospacing="1" w:after="120"/>
              <w:jc w:val="center"/>
              <w:rPr>
                <w:rFonts w:cs="Arial"/>
                <w:noProof/>
                <w:szCs w:val="20"/>
                <w:lang w:val="de-DE"/>
              </w:rPr>
            </w:pPr>
            <w:r w:rsidRPr="00170422">
              <w:rPr>
                <w:noProof/>
                <w:lang w:val="de-DE"/>
              </w:rPr>
              <w:t>Inkrafttreten von Leitlinien für die Vergabe von Aufträgen unterhalb des EU-Schwellenwerts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AEEE1" w14:textId="77777777" w:rsidR="0057163C" w:rsidRPr="00170422" w:rsidRDefault="00F37BF9">
            <w:pPr>
              <w:pStyle w:val="P68B1DB1-Normal11"/>
              <w:spacing w:before="100" w:beforeAutospacing="1" w:after="120"/>
              <w:jc w:val="center"/>
              <w:rPr>
                <w:rFonts w:cs="Arial"/>
                <w:noProof/>
                <w:szCs w:val="20"/>
                <w:lang w:val="de-DE"/>
              </w:rPr>
            </w:pPr>
            <w:r w:rsidRPr="00170422">
              <w:rPr>
                <w:noProof/>
                <w:lang w:val="de-DE"/>
              </w:rPr>
              <w:t>Inkrafttreten von Leitlinien für die Vergabe von Aufträgen unterhalb des EU-Schwellenwerts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1B050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9CCED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7B3C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795A99"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56FFB"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F5C633"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 xml:space="preserve">Erlass zur Vergabe von Aufträgen unterhalb der EU-Schwelle angenommen und im italienischen Amtsblatt veröffentlicht. In dem Rundschreiben wird klargestellt, dass öffentliche Auftraggeber offene und nichtoffene Verfahren für die Vergabe von </w:t>
            </w:r>
            <w:r w:rsidRPr="00170422">
              <w:rPr>
                <w:noProof/>
                <w:lang w:val="de-DE"/>
              </w:rPr>
              <w:t>Aufträgen unterhalb des EU-Schwellenwerts anwenden können.</w:t>
            </w:r>
          </w:p>
        </w:tc>
      </w:tr>
      <w:tr w:rsidR="0057163C" w:rsidRPr="00170422" w14:paraId="549F295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69812A" w14:textId="77777777" w:rsidR="0057163C" w:rsidRPr="00170422" w:rsidRDefault="00F37BF9">
            <w:pPr>
              <w:pStyle w:val="P68B1DB1-Normal11"/>
              <w:jc w:val="center"/>
              <w:rPr>
                <w:rFonts w:cs="Arial"/>
                <w:noProof/>
                <w:szCs w:val="20"/>
                <w:lang w:val="de-DE"/>
              </w:rPr>
            </w:pPr>
            <w:r w:rsidRPr="00170422">
              <w:rPr>
                <w:noProof/>
                <w:lang w:val="de-DE"/>
              </w:rPr>
              <w:t>M1C1-73quinquies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CE360"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BBFC8"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91055" w14:textId="77777777" w:rsidR="0057163C" w:rsidRPr="00170422" w:rsidRDefault="00F37BF9">
            <w:pPr>
              <w:pStyle w:val="P68B1DB1-Normal11"/>
              <w:spacing w:before="100" w:beforeAutospacing="1" w:after="120"/>
              <w:jc w:val="center"/>
              <w:rPr>
                <w:rFonts w:cs="Arial"/>
                <w:noProof/>
                <w:szCs w:val="20"/>
                <w:lang w:val="de-DE"/>
              </w:rPr>
            </w:pPr>
            <w:r w:rsidRPr="00170422">
              <w:rPr>
                <w:noProof/>
                <w:lang w:val="de-DE"/>
              </w:rPr>
              <w:t>Inkrafttreten neuer Rechtsvorschriften über die Projektfinanzierung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F45AF4" w14:textId="77777777" w:rsidR="0057163C" w:rsidRPr="00170422" w:rsidRDefault="00F37BF9">
            <w:pPr>
              <w:pStyle w:val="P68B1DB1-Normal12"/>
              <w:spacing w:before="100" w:beforeAutospacing="1" w:after="120"/>
              <w:jc w:val="center"/>
              <w:rPr>
                <w:rFonts w:cs="Arial"/>
                <w:noProof/>
                <w:lang w:val="de-DE"/>
              </w:rPr>
            </w:pPr>
            <w:r w:rsidRPr="00170422">
              <w:rPr>
                <w:noProof/>
                <w:lang w:val="de-DE"/>
              </w:rPr>
              <w:t>Gesetzliche Bestimmung über</w:t>
            </w:r>
            <w:r w:rsidRPr="00170422">
              <w:rPr>
                <w:noProof/>
                <w:lang w:val="de-DE"/>
              </w:rPr>
              <w:t xml:space="preserve"> das Inkrafttreten neuer Rechtsvorschriften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226D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A81A8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0DCD5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C1DFD"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672531"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A77B5" w14:textId="77777777" w:rsidR="0057163C" w:rsidRPr="00170422" w:rsidRDefault="00F37BF9">
            <w:pPr>
              <w:pStyle w:val="P68B1DB1-Normal12"/>
              <w:spacing w:before="100" w:beforeAutospacing="1" w:after="120"/>
              <w:rPr>
                <w:rFonts w:cs="Arial"/>
                <w:noProof/>
                <w:lang w:val="de-DE"/>
              </w:rPr>
            </w:pPr>
            <w:r w:rsidRPr="00170422">
              <w:rPr>
                <w:noProof/>
                <w:lang w:val="de-DE"/>
              </w:rPr>
              <w:t>Inkrafttreten neuer Rechtsvorschriften über die Projektfinanzierung zur Steigerung der Effizienz und des Wettbewerbs, insbesondere zur Verbesserung der Bestreitbarkei</w:t>
            </w:r>
            <w:r w:rsidRPr="00170422">
              <w:rPr>
                <w:noProof/>
                <w:lang w:val="de-DE"/>
              </w:rPr>
              <w:t>t von Konzessionen.</w:t>
            </w:r>
          </w:p>
        </w:tc>
      </w:tr>
      <w:tr w:rsidR="0057163C" w:rsidRPr="00170422" w14:paraId="2BE0521B"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5049" w14:textId="77777777" w:rsidR="0057163C" w:rsidRPr="00170422" w:rsidRDefault="00F37BF9">
            <w:pPr>
              <w:pStyle w:val="P68B1DB1-Normal11"/>
              <w:jc w:val="center"/>
              <w:rPr>
                <w:rFonts w:cs="Arial"/>
                <w:noProof/>
                <w:szCs w:val="20"/>
                <w:lang w:val="de-DE"/>
              </w:rPr>
            </w:pPr>
            <w:r w:rsidRPr="00170422">
              <w:rPr>
                <w:noProof/>
                <w:lang w:val="de-DE"/>
              </w:rPr>
              <w:t>M1C1-75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F049E"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1043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551" w14:textId="77777777" w:rsidR="0057163C" w:rsidRPr="00170422" w:rsidRDefault="00F37BF9">
            <w:pPr>
              <w:pStyle w:val="P68B1DB1-Normal11"/>
              <w:jc w:val="center"/>
              <w:rPr>
                <w:rFonts w:cs="Arial"/>
                <w:noProof/>
                <w:szCs w:val="20"/>
                <w:lang w:val="de-DE"/>
              </w:rPr>
            </w:pPr>
            <w:r w:rsidRPr="00170422">
              <w:rPr>
                <w:noProof/>
                <w:lang w:val="de-DE"/>
              </w:rPr>
              <w:t>Vollständiger Betrieb des nationalen eProcurement-Systems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A7BA5" w14:textId="77777777" w:rsidR="0057163C" w:rsidRPr="00170422" w:rsidRDefault="00F37BF9">
            <w:pPr>
              <w:pStyle w:val="P68B1DB1-Normal11"/>
              <w:jc w:val="center"/>
              <w:rPr>
                <w:rFonts w:cs="Arial"/>
                <w:noProof/>
                <w:szCs w:val="20"/>
                <w:lang w:val="de-DE"/>
              </w:rPr>
            </w:pPr>
            <w:r w:rsidRPr="00170422">
              <w:rPr>
                <w:noProof/>
                <w:lang w:val="de-DE"/>
              </w:rPr>
              <w:t xml:space="preserve">Verfügbarkeit der in der Durchführbarkeitsstudie festgelegten Funktionen </w:t>
            </w:r>
            <w:r w:rsidRPr="00170422">
              <w:rPr>
                <w:noProof/>
                <w:lang w:val="de-DE"/>
              </w:rPr>
              <w:t>(auszuarbeiten als Projektaufgabe 1)</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6642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BF65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5615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3E6E6"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DEA68"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16845A" w14:textId="77777777" w:rsidR="0057163C" w:rsidRPr="00170422" w:rsidRDefault="00F37BF9">
            <w:pPr>
              <w:pStyle w:val="P68B1DB1-Normal12"/>
              <w:spacing w:before="100" w:beforeAutospacing="1" w:after="120"/>
              <w:rPr>
                <w:rFonts w:cs="Arial"/>
                <w:noProof/>
                <w:lang w:val="de-DE"/>
              </w:rPr>
            </w:pPr>
            <w:r w:rsidRPr="00170422">
              <w:rPr>
                <w:noProof/>
                <w:lang w:val="de-DE"/>
              </w:rPr>
              <w:t>Das nationale eProcurement-System ist betriebsbereit und steht vollständig im Einklang mit den EU-Richtlinien über die öffentliche Auftragsvergabe und umfasst die vollständi</w:t>
            </w:r>
            <w:r w:rsidRPr="00170422">
              <w:rPr>
                <w:noProof/>
                <w:lang w:val="de-DE"/>
              </w:rPr>
              <w:t xml:space="preserve">ge Digitalisierung der Verfahren bis zur Vertragsausführung (intelligente Auftragsvergabe), ist mit den Verwaltungssystemen der öffentlichen Verwaltung interoperabel und umfasst eine digitale Habilitation der EO, Auktionssitzungen, maschinelles Lernen zur </w:t>
            </w:r>
            <w:r w:rsidRPr="00170422">
              <w:rPr>
                <w:noProof/>
                <w:lang w:val="de-DE"/>
              </w:rPr>
              <w:t>Erkennung von Trends, kritische Rohstoffe mit Chatbots, digitales Engagement und Statuskette.</w:t>
            </w:r>
          </w:p>
        </w:tc>
      </w:tr>
      <w:tr w:rsidR="0057163C" w:rsidRPr="00170422" w14:paraId="7D295CC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A8E61" w14:textId="77777777" w:rsidR="0057163C" w:rsidRPr="00170422" w:rsidRDefault="00F37BF9">
            <w:pPr>
              <w:pStyle w:val="P68B1DB1-Normal11"/>
              <w:jc w:val="center"/>
              <w:rPr>
                <w:rFonts w:cs="Arial"/>
                <w:noProof/>
                <w:szCs w:val="20"/>
                <w:lang w:val="de-DE"/>
              </w:rPr>
            </w:pPr>
            <w:r w:rsidRPr="00170422">
              <w:rPr>
                <w:noProof/>
                <w:lang w:val="de-DE"/>
              </w:rPr>
              <w:t>M1C1-75bis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F4FE66" w14:textId="77777777" w:rsidR="0057163C" w:rsidRPr="00170422" w:rsidRDefault="00F37BF9">
            <w:pPr>
              <w:pStyle w:val="P68B1DB1-Normal11"/>
              <w:jc w:val="center"/>
              <w:rPr>
                <w:rFonts w:cs="Arial"/>
                <w:noProof/>
                <w:szCs w:val="20"/>
                <w:lang w:val="de-DE"/>
              </w:rPr>
            </w:pPr>
            <w:r w:rsidRPr="00170422">
              <w:rPr>
                <w:noProof/>
                <w:lang w:val="de-DE"/>
              </w:rPr>
              <w:t>Investition 1.10: Unterstützung von Qualifikationen und eProcurement</w:t>
            </w:r>
          </w:p>
          <w:p w14:paraId="13D05CC2" w14:textId="77777777" w:rsidR="0057163C" w:rsidRPr="00170422" w:rsidRDefault="0057163C">
            <w:pPr>
              <w:jc w:val="center"/>
              <w:rPr>
                <w:rFonts w:ascii="Arial Narrow" w:hAnsi="Arial Narrow" w:cs="Arial"/>
                <w:noProof/>
                <w:color w:val="006100"/>
                <w:sz w:val="20"/>
                <w:szCs w:val="20"/>
                <w:lang w:val="de-DE"/>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833FD1"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33F763" w14:textId="77777777" w:rsidR="0057163C" w:rsidRPr="00170422" w:rsidRDefault="00F37BF9">
            <w:pPr>
              <w:pStyle w:val="P68B1DB1-Normal11"/>
              <w:jc w:val="center"/>
              <w:rPr>
                <w:rFonts w:cs="Arial"/>
                <w:noProof/>
                <w:szCs w:val="20"/>
                <w:lang w:val="de-DE"/>
              </w:rPr>
            </w:pPr>
            <w:r w:rsidRPr="00170422">
              <w:rPr>
                <w:noProof/>
                <w:lang w:val="de-DE"/>
              </w:rPr>
              <w:t>Unterstützung von Qualifikationen und eProcurement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66F3A" w14:textId="77777777" w:rsidR="0057163C" w:rsidRPr="00170422" w:rsidRDefault="00F37BF9">
            <w:pPr>
              <w:pStyle w:val="P68B1DB1-Normal11"/>
              <w:jc w:val="center"/>
              <w:rPr>
                <w:rFonts w:cs="Arial"/>
                <w:noProof/>
                <w:szCs w:val="20"/>
                <w:lang w:val="de-DE"/>
              </w:rPr>
            </w:pPr>
            <w:r w:rsidRPr="00170422">
              <w:rPr>
                <w:noProof/>
                <w:lang w:val="de-DE"/>
              </w:rPr>
              <w:t xml:space="preserve">Inbetriebnahme der Unterstützungsfunktion für die Auftragsvergabe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5CAE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44E62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3EBD9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C05A5"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718933"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91F7B" w14:textId="77777777" w:rsidR="0057163C" w:rsidRPr="00170422" w:rsidRDefault="00F37BF9">
            <w:pPr>
              <w:pStyle w:val="P68B1DB1-Normal12"/>
              <w:spacing w:before="100" w:beforeAutospacing="1" w:after="120"/>
              <w:rPr>
                <w:rFonts w:cs="Arial"/>
                <w:noProof/>
                <w:lang w:val="de-DE"/>
              </w:rPr>
            </w:pPr>
            <w:r w:rsidRPr="00170422">
              <w:rPr>
                <w:noProof/>
                <w:lang w:val="de-DE"/>
              </w:rPr>
              <w:t xml:space="preserve">Im Rahmen der Professionalisierungsstrategie für öffentliche Auftraggeber wird eine Unterstützungsfunktion für die Auftragsvergabe </w:t>
            </w:r>
            <w:r w:rsidRPr="00170422">
              <w:rPr>
                <w:noProof/>
                <w:lang w:val="de-DE"/>
              </w:rPr>
              <w:t>eingerichtet. Die Unterstützungsfunktion bei der Auftragsvergabe richtet sich an öffentliche Auftraggeber, um die Anforderungen des Anhangs II.4 des Gesetzbuchs über die Vergabe öffentlicher Aufträge zu erfüllen und sie bei der elektronischen Auftragsverga</w:t>
            </w:r>
            <w:r w:rsidRPr="00170422">
              <w:rPr>
                <w:noProof/>
                <w:lang w:val="de-DE"/>
              </w:rPr>
              <w:t>be zu unterstützen, den Erwerb digitaler Kompetenzen zu unterstützen und technische Unterstützung bei der Einführung der Digitalisierung der öffentlichen Auftragsvergabe, einschließlich der Nutzung dynamischer Beschaffungssysteme, zu leisten.</w:t>
            </w:r>
          </w:p>
        </w:tc>
      </w:tr>
      <w:tr w:rsidR="0057163C" w:rsidRPr="00170422" w14:paraId="5B566A2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8B60D" w14:textId="77777777" w:rsidR="0057163C" w:rsidRPr="00170422" w:rsidRDefault="00F37BF9">
            <w:pPr>
              <w:pStyle w:val="P68B1DB1-Normal11"/>
              <w:jc w:val="center"/>
              <w:rPr>
                <w:rFonts w:cs="Arial"/>
                <w:noProof/>
                <w:szCs w:val="20"/>
                <w:lang w:val="de-DE"/>
              </w:rPr>
            </w:pPr>
            <w:r w:rsidRPr="00170422">
              <w:rPr>
                <w:noProof/>
                <w:lang w:val="de-DE"/>
              </w:rPr>
              <w:t>M1C1-76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CEB76"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1E66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1FE9F" w14:textId="77777777" w:rsidR="0057163C" w:rsidRPr="00170422" w:rsidRDefault="00F37BF9">
            <w:pPr>
              <w:pStyle w:val="P68B1DB1-Normal12"/>
              <w:jc w:val="center"/>
              <w:rPr>
                <w:rFonts w:cs="Arial"/>
                <w:noProof/>
                <w:lang w:val="de-DE"/>
              </w:rPr>
            </w:pPr>
            <w:r w:rsidRPr="00170422">
              <w:rPr>
                <w:noProof/>
                <w:lang w:val="de-DE"/>
              </w:rPr>
              <w:t>Verringerung der durchschnittlichen Anzahl der Tage für die Bezahlung von Unternehmen durch die zentralen 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B212E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B6A2" w14:textId="77777777" w:rsidR="0057163C" w:rsidRPr="00170422" w:rsidRDefault="00F37BF9">
            <w:pPr>
              <w:pStyle w:val="P68B1DB1-Normal11"/>
              <w:jc w:val="center"/>
              <w:rPr>
                <w:rFonts w:cs="Arial"/>
                <w:noProof/>
                <w:szCs w:val="20"/>
                <w:lang w:val="de-DE"/>
              </w:rPr>
            </w:pPr>
            <w:r w:rsidRPr="00170422">
              <w:rPr>
                <w:noProof/>
                <w:lang w:val="de-DE"/>
              </w:rPr>
              <w:t>Gewichtete durchschnittli</w:t>
            </w:r>
            <w:r w:rsidRPr="00170422">
              <w:rPr>
                <w:noProof/>
                <w:lang w:val="de-DE"/>
              </w:rPr>
              <w:t>che 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748F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C6AC41"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CB1DDF"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5A8FD"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0B57F" w14:textId="432068DD" w:rsidR="0057163C" w:rsidRPr="00170422" w:rsidRDefault="00F37BF9">
            <w:pPr>
              <w:pStyle w:val="P68B1DB1-Normal12"/>
              <w:spacing w:before="100" w:beforeAutospacing="1" w:after="0" w:line="240" w:lineRule="auto"/>
              <w:rPr>
                <w:rFonts w:eastAsia="Times New Roman" w:cs="Times New Roman"/>
                <w:noProof/>
                <w:lang w:val="de-DE"/>
              </w:rPr>
            </w:pPr>
            <w:r w:rsidRPr="00170422">
              <w:rPr>
                <w:noProof/>
                <w:lang w:val="de-DE"/>
              </w:rPr>
              <w:t>Auf der Grundlage der Daten der Commercial Credit Platform („Piattaforma Crediti Commerciali“) zu im Jahr 2024 ausgestellten Rechnungen gelten für Zahlungen zentraler Behörden (</w:t>
            </w:r>
            <w:r w:rsidRPr="00170422">
              <w:rPr>
                <w:i/>
                <w:noProof/>
                <w:lang w:val="de-DE"/>
              </w:rPr>
              <w:t>Amministrazioni centrali</w:t>
            </w:r>
            <w:r w:rsidRPr="00170422">
              <w:rPr>
                <w:noProof/>
                <w:lang w:val="de-DE"/>
              </w:rPr>
              <w:t xml:space="preserve">) an </w:t>
            </w:r>
            <w:r w:rsidRPr="00170422">
              <w:rPr>
                <w:noProof/>
                <w:lang w:val="de-DE"/>
              </w:rPr>
              <w:t xml:space="preserve">Unternehmen folgende Indikatoren: </w:t>
            </w:r>
          </w:p>
          <w:p w14:paraId="63EF9CD4" w14:textId="77777777" w:rsidR="0057163C" w:rsidRPr="00170422" w:rsidRDefault="00F37BF9">
            <w:pPr>
              <w:pStyle w:val="P68B1DB1-Normal12"/>
              <w:spacing w:before="100" w:beforeAutospacing="1" w:after="0" w:line="240" w:lineRule="auto"/>
              <w:rPr>
                <w:rFonts w:eastAsia="Times New Roman" w:cs="Times New Roman"/>
                <w:noProof/>
                <w:lang w:val="de-DE"/>
              </w:rPr>
            </w:pPr>
            <w:r w:rsidRPr="00170422">
              <w:rPr>
                <w:noProof/>
                <w:lang w:val="de-DE"/>
              </w:rPr>
              <w:t xml:space="preserve">— für die gewogene durchschnittliche Zahlungsfrist („tempo medio di pagamento ponderato“): höchstens 30 Tage; </w:t>
            </w:r>
          </w:p>
          <w:p w14:paraId="7A606D18" w14:textId="68FA93C3" w:rsidR="0057163C" w:rsidRPr="00170422" w:rsidRDefault="00F37BF9">
            <w:pPr>
              <w:pStyle w:val="P68B1DB1-Normal12"/>
              <w:spacing w:before="100" w:beforeAutospacing="1" w:after="0" w:line="240" w:lineRule="auto"/>
              <w:rPr>
                <w:noProof/>
                <w:lang w:val="de-DE"/>
              </w:rPr>
            </w:pPr>
            <w:r w:rsidRPr="00170422">
              <w:rPr>
                <w:noProof/>
                <w:lang w:val="de-DE"/>
              </w:rPr>
              <w:t xml:space="preserve">— für die gewogene durchschnittliche Zahlungsfrist („tempo medio di ritardo ponderato“): höchstens 0 Tage. </w:t>
            </w:r>
          </w:p>
          <w:p w14:paraId="4E48D669" w14:textId="3D56874D" w:rsidR="0057163C" w:rsidRPr="00170422" w:rsidRDefault="00F37BF9">
            <w:pPr>
              <w:pStyle w:val="P68B1DB1-Normal12"/>
              <w:spacing w:before="100" w:beforeAutospacing="1" w:after="0" w:line="240" w:lineRule="auto"/>
              <w:rPr>
                <w:rFonts w:eastAsia="Times New Roman" w:cs="Times New Roman"/>
                <w:b/>
                <w:noProof/>
                <w:lang w:val="de-DE"/>
              </w:rPr>
            </w:pPr>
            <w:r w:rsidRPr="00170422">
              <w:rPr>
                <w:noProof/>
                <w:lang w:val="de-DE"/>
              </w:rPr>
              <w:t>Da</w:t>
            </w:r>
            <w:r w:rsidRPr="00170422">
              <w:rPr>
                <w:noProof/>
                <w:lang w:val="de-DE"/>
              </w:rPr>
              <w:t>rüber hinaus darf die Differenz zwischen der ungewichteten durchschnittlichen Zahlungsfrist („tempo medio di pagamento semplice“) und der gewichteten durchschnittlichen Zahlungsfrist 20 Tage nicht überschreiten, es sei denn, die ungewichtete durchschnittli</w:t>
            </w:r>
            <w:r w:rsidRPr="00170422">
              <w:rPr>
                <w:noProof/>
                <w:lang w:val="de-DE"/>
              </w:rPr>
              <w:t>che Zahlungsfrist beträgt weniger als 30 Tage.</w:t>
            </w:r>
          </w:p>
        </w:tc>
      </w:tr>
      <w:tr w:rsidR="0057163C" w:rsidRPr="00170422" w14:paraId="6D25A74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395F1" w14:textId="77777777" w:rsidR="0057163C" w:rsidRPr="00170422" w:rsidRDefault="00F37BF9">
            <w:pPr>
              <w:pStyle w:val="P68B1DB1-Normal11"/>
              <w:jc w:val="center"/>
              <w:rPr>
                <w:rFonts w:cs="Arial"/>
                <w:noProof/>
                <w:szCs w:val="20"/>
                <w:lang w:val="de-DE"/>
              </w:rPr>
            </w:pPr>
            <w:r w:rsidRPr="00170422">
              <w:rPr>
                <w:noProof/>
                <w:lang w:val="de-DE"/>
              </w:rPr>
              <w:t>M1C1-77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BF95E" w14:textId="77777777" w:rsidR="0057163C" w:rsidRPr="00170422" w:rsidRDefault="00F37BF9">
            <w:pPr>
              <w:pStyle w:val="P68B1DB1-Normal11"/>
              <w:jc w:val="center"/>
              <w:rPr>
                <w:rFonts w:cs="Arial"/>
                <w:noProof/>
                <w:szCs w:val="20"/>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6A7B8A"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248A8" w14:textId="77777777" w:rsidR="0057163C" w:rsidRPr="00170422" w:rsidRDefault="00F37BF9">
            <w:pPr>
              <w:pStyle w:val="P68B1DB1-Normal11"/>
              <w:jc w:val="center"/>
              <w:rPr>
                <w:rFonts w:cs="Arial"/>
                <w:noProof/>
                <w:szCs w:val="20"/>
                <w:lang w:val="de-DE"/>
              </w:rPr>
            </w:pPr>
            <w:r w:rsidRPr="00170422">
              <w:rPr>
                <w:noProof/>
                <w:lang w:val="de-DE"/>
              </w:rPr>
              <w:t xml:space="preserve">Verringerung der durchschnittlichen Anzahl der Tage für die Bezahlung von Unternehmen durch </w:t>
            </w:r>
            <w:r w:rsidRPr="00170422">
              <w:rPr>
                <w:noProof/>
                <w:lang w:val="de-DE"/>
              </w:rPr>
              <w:t>die regionalen 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7A219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82992" w14:textId="77777777" w:rsidR="0057163C" w:rsidRPr="00170422" w:rsidRDefault="00F37BF9">
            <w:pPr>
              <w:pStyle w:val="P68B1DB1-Normal11"/>
              <w:jc w:val="center"/>
              <w:rPr>
                <w:rFonts w:cs="Arial"/>
                <w:noProof/>
                <w:szCs w:val="20"/>
                <w:lang w:val="de-DE"/>
              </w:rPr>
            </w:pPr>
            <w:r w:rsidRPr="00170422">
              <w:rPr>
                <w:noProof/>
                <w:lang w:val="de-DE"/>
              </w:rPr>
              <w:t>Gewichtete durchschnittliche 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FC65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7EA12"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B6372"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C2DB04"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8F0AF" w14:textId="574F718F" w:rsidR="0057163C" w:rsidRPr="00170422" w:rsidRDefault="00F37BF9">
            <w:pPr>
              <w:pStyle w:val="P68B1DB1-Normal12"/>
              <w:spacing w:before="100" w:beforeAutospacing="1" w:after="0" w:line="240" w:lineRule="auto"/>
              <w:rPr>
                <w:noProof/>
                <w:lang w:val="de-DE"/>
              </w:rPr>
            </w:pPr>
            <w:r w:rsidRPr="00170422">
              <w:rPr>
                <w:noProof/>
                <w:lang w:val="de-DE"/>
              </w:rPr>
              <w:t xml:space="preserve">Auf der Grundlage der Daten der Commercial Credit Platform („Piattaforma Crediti Commerciali“) zu im Jahr 2024 ausgestellten Rechnungen gelten für </w:t>
            </w:r>
            <w:r w:rsidRPr="00170422">
              <w:rPr>
                <w:noProof/>
                <w:lang w:val="de-DE"/>
              </w:rPr>
              <w:t>Zahlungen regionaler Behörden (</w:t>
            </w:r>
            <w:r w:rsidRPr="00170422">
              <w:rPr>
                <w:i/>
                <w:noProof/>
                <w:lang w:val="de-DE"/>
              </w:rPr>
              <w:t>Regioni – Provinzautonome)</w:t>
            </w:r>
            <w:r w:rsidRPr="00170422">
              <w:rPr>
                <w:noProof/>
                <w:lang w:val="de-DE"/>
              </w:rPr>
              <w:t>an Unternehmen folgende Indikatoren:</w:t>
            </w:r>
          </w:p>
          <w:p w14:paraId="6616474F" w14:textId="77777777" w:rsidR="0057163C" w:rsidRPr="00170422" w:rsidRDefault="00F37BF9">
            <w:pPr>
              <w:pStyle w:val="ListParagraph"/>
              <w:numPr>
                <w:ilvl w:val="0"/>
                <w:numId w:val="69"/>
              </w:numPr>
              <w:spacing w:before="100" w:beforeAutospacing="1" w:after="0" w:line="240" w:lineRule="auto"/>
              <w:jc w:val="both"/>
              <w:rPr>
                <w:rFonts w:ascii="Arial Narrow" w:hAnsi="Arial Narrow" w:cs="Arial"/>
                <w:noProof/>
                <w:color w:val="006100"/>
                <w:sz w:val="20"/>
                <w:szCs w:val="20"/>
                <w:lang w:val="de-DE"/>
              </w:rPr>
            </w:pPr>
            <w:r w:rsidRPr="00170422">
              <w:rPr>
                <w:rFonts w:ascii="Arial Narrow" w:hAnsi="Arial Narrow"/>
                <w:noProof/>
                <w:color w:val="006100"/>
                <w:sz w:val="20"/>
                <w:lang w:val="de-DE"/>
              </w:rPr>
              <w:t>für die gewogene durchschnittliche Zahlungsfrist</w:t>
            </w:r>
            <w:r w:rsidRPr="00170422">
              <w:rPr>
                <w:noProof/>
                <w:lang w:val="de-DE"/>
              </w:rPr>
              <w:t xml:space="preserve"> </w:t>
            </w:r>
            <w:r w:rsidRPr="00170422">
              <w:rPr>
                <w:rFonts w:ascii="Arial Narrow" w:hAnsi="Arial Narrow"/>
                <w:noProof/>
                <w:color w:val="006100"/>
                <w:sz w:val="20"/>
                <w:lang w:val="de-DE"/>
              </w:rPr>
              <w:t xml:space="preserve">(„tempo medio di pagamento ponderato“): höchstens 30 Tage; </w:t>
            </w:r>
          </w:p>
          <w:p w14:paraId="7FBA8473" w14:textId="77777777" w:rsidR="0057163C" w:rsidRPr="00170422" w:rsidRDefault="00F37BF9">
            <w:pPr>
              <w:pStyle w:val="P68B1DB1-ListParagraph15"/>
              <w:numPr>
                <w:ilvl w:val="0"/>
                <w:numId w:val="69"/>
              </w:numPr>
              <w:spacing w:before="100" w:beforeAutospacing="1" w:after="120" w:line="240" w:lineRule="auto"/>
              <w:jc w:val="both"/>
              <w:rPr>
                <w:rFonts w:cs="Arial"/>
                <w:noProof/>
                <w:szCs w:val="20"/>
                <w:lang w:val="de-DE"/>
              </w:rPr>
            </w:pPr>
            <w:r w:rsidRPr="00170422">
              <w:rPr>
                <w:noProof/>
                <w:lang w:val="de-DE"/>
              </w:rPr>
              <w:t>für die gewogene durchschnittliche Zahlungsfrist („te</w:t>
            </w:r>
            <w:r w:rsidRPr="00170422">
              <w:rPr>
                <w:noProof/>
                <w:lang w:val="de-DE"/>
              </w:rPr>
              <w:t>mpo medio di ritardo ponderato“): höchstens 0 Tage.</w:t>
            </w:r>
          </w:p>
          <w:p w14:paraId="31783F6B" w14:textId="77777777" w:rsidR="0057163C" w:rsidRPr="00170422" w:rsidRDefault="00F37BF9">
            <w:pPr>
              <w:pStyle w:val="P68B1DB1-Normal17"/>
              <w:spacing w:before="100" w:beforeAutospacing="1"/>
              <w:rPr>
                <w:noProof/>
                <w:lang w:val="de-DE"/>
              </w:rPr>
            </w:pPr>
            <w:r w:rsidRPr="00170422">
              <w:rPr>
                <w:noProof/>
                <w:lang w:val="de-DE"/>
              </w:rPr>
              <w:t>Darüber hinaus darf die Differenz zwischen der ungewichteten durchschnittlichen Zahlungsfrist („tempo medio di pagamento semplice“) und der gewichteten durchschnittlichen Zahlungsfrist 20 Tage nicht übers</w:t>
            </w:r>
            <w:r w:rsidRPr="00170422">
              <w:rPr>
                <w:noProof/>
                <w:lang w:val="de-DE"/>
              </w:rPr>
              <w:t>chreiten, es sei denn, die ungewichtete durchschnittliche Zahlungsfrist beträgt weniger als 30 Tage.</w:t>
            </w:r>
          </w:p>
        </w:tc>
      </w:tr>
      <w:tr w:rsidR="0057163C" w:rsidRPr="00170422" w14:paraId="230B4D40"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F9D4B" w14:textId="77777777" w:rsidR="0057163C" w:rsidRPr="00170422" w:rsidRDefault="00F37BF9">
            <w:pPr>
              <w:pStyle w:val="P68B1DB1-Normal11"/>
              <w:jc w:val="center"/>
              <w:rPr>
                <w:rFonts w:cs="Arial"/>
                <w:noProof/>
                <w:szCs w:val="20"/>
                <w:lang w:val="de-DE"/>
              </w:rPr>
            </w:pPr>
            <w:r w:rsidRPr="00170422">
              <w:rPr>
                <w:noProof/>
                <w:lang w:val="de-DE"/>
              </w:rPr>
              <w:t>M1C1-78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2372A" w14:textId="77777777" w:rsidR="0057163C" w:rsidRPr="00170422" w:rsidRDefault="00F37BF9">
            <w:pPr>
              <w:pStyle w:val="P68B1DB1-Normal11"/>
              <w:jc w:val="center"/>
              <w:rPr>
                <w:rFonts w:cs="Arial"/>
                <w:noProof/>
                <w:szCs w:val="20"/>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B15D5"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1627A" w14:textId="77777777" w:rsidR="0057163C" w:rsidRPr="00170422" w:rsidRDefault="00F37BF9">
            <w:pPr>
              <w:pStyle w:val="P68B1DB1-Normal11"/>
              <w:jc w:val="center"/>
              <w:rPr>
                <w:rFonts w:cs="Arial"/>
                <w:noProof/>
                <w:szCs w:val="20"/>
                <w:lang w:val="de-DE"/>
              </w:rPr>
            </w:pPr>
            <w:r w:rsidRPr="00170422">
              <w:rPr>
                <w:noProof/>
                <w:lang w:val="de-DE"/>
              </w:rPr>
              <w:t xml:space="preserve">Verringerung der durchschnittlichen </w:t>
            </w:r>
            <w:r w:rsidRPr="00170422">
              <w:rPr>
                <w:noProof/>
                <w:lang w:val="de-DE"/>
              </w:rPr>
              <w:t>Anzahl der Tage für die Bezahlung von Unternehmen durch die lokalen 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0B8A7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050A1" w14:textId="520CB974" w:rsidR="0057163C" w:rsidRPr="00170422" w:rsidRDefault="00F37BF9">
            <w:pPr>
              <w:pStyle w:val="P68B1DB1-Normal11"/>
              <w:jc w:val="center"/>
              <w:rPr>
                <w:rFonts w:cs="Arial"/>
                <w:noProof/>
                <w:szCs w:val="20"/>
                <w:lang w:val="de-DE"/>
              </w:rPr>
            </w:pPr>
            <w:r w:rsidRPr="00170422">
              <w:rPr>
                <w:noProof/>
                <w:lang w:val="de-DE"/>
              </w:rPr>
              <w:t>Gewichtete durchschnittliche 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9219D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F60F91"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C00BEF"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6BCFE"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DD4F10" w14:textId="01A451C3" w:rsidR="0057163C" w:rsidRPr="00170422" w:rsidRDefault="00F37BF9">
            <w:pPr>
              <w:pStyle w:val="P68B1DB1-Normal12"/>
              <w:spacing w:before="100" w:beforeAutospacing="1" w:after="120"/>
              <w:rPr>
                <w:noProof/>
                <w:lang w:val="de-DE"/>
              </w:rPr>
            </w:pPr>
            <w:r w:rsidRPr="00170422">
              <w:rPr>
                <w:noProof/>
                <w:lang w:val="de-DE"/>
              </w:rPr>
              <w:t>Auf der Grundlage der Daten der Commercial Credit Platform („Piattaforma Crediti Commerciali“)</w:t>
            </w:r>
            <w:r w:rsidRPr="00170422">
              <w:rPr>
                <w:noProof/>
                <w:lang w:val="de-DE"/>
              </w:rPr>
              <w:t xml:space="preserve"> zu im Jahr 2024 ausgestellten Rechnungen gelten folgende Indikatoren für Zahlungen von lokalen Behörden (</w:t>
            </w:r>
            <w:r w:rsidRPr="00170422">
              <w:rPr>
                <w:i/>
                <w:noProof/>
                <w:lang w:val="de-DE"/>
              </w:rPr>
              <w:t>enti locali</w:t>
            </w:r>
            <w:r w:rsidRPr="00170422">
              <w:rPr>
                <w:noProof/>
                <w:lang w:val="de-DE"/>
              </w:rPr>
              <w:t>) an Unternehmen:</w:t>
            </w:r>
          </w:p>
          <w:p w14:paraId="192EFD25" w14:textId="17E15A71" w:rsidR="0057163C" w:rsidRPr="00170422" w:rsidRDefault="00F37BF9">
            <w:pPr>
              <w:pStyle w:val="P68B1DB1-ListParagraph18"/>
              <w:numPr>
                <w:ilvl w:val="0"/>
                <w:numId w:val="69"/>
              </w:numPr>
              <w:spacing w:before="100" w:beforeAutospacing="1" w:after="120" w:line="240" w:lineRule="auto"/>
              <w:jc w:val="both"/>
              <w:rPr>
                <w:rFonts w:ascii="Arial Narrow" w:hAnsi="Arial Narrow" w:cs="Arial"/>
                <w:noProof/>
                <w:szCs w:val="20"/>
                <w:lang w:val="de-DE"/>
              </w:rPr>
            </w:pPr>
            <w:r w:rsidRPr="00170422">
              <w:rPr>
                <w:rFonts w:ascii="Arial Narrow" w:hAnsi="Arial Narrow" w:cs="Arial"/>
                <w:noProof/>
                <w:szCs w:val="20"/>
                <w:lang w:val="de-DE"/>
              </w:rPr>
              <w:t>Für die gewogene durchschnittliche Zahlungsfrist („tempo medio di pagamento ponderato“):</w:t>
            </w:r>
            <w:r w:rsidRPr="00170422">
              <w:rPr>
                <w:rFonts w:ascii="Arial Narrow" w:hAnsi="Arial Narrow"/>
                <w:noProof/>
                <w:lang w:val="de-DE"/>
              </w:rPr>
              <w:t xml:space="preserve"> höchstens 30 Tage; </w:t>
            </w:r>
          </w:p>
          <w:p w14:paraId="3AB2303C" w14:textId="77777777" w:rsidR="0057163C" w:rsidRPr="00170422" w:rsidRDefault="00F37BF9">
            <w:pPr>
              <w:pStyle w:val="P68B1DB1-ListParagraph15"/>
              <w:numPr>
                <w:ilvl w:val="0"/>
                <w:numId w:val="69"/>
              </w:numPr>
              <w:spacing w:before="100" w:beforeAutospacing="1" w:after="120" w:line="240" w:lineRule="auto"/>
              <w:jc w:val="both"/>
              <w:rPr>
                <w:rFonts w:cs="Arial"/>
                <w:noProof/>
                <w:szCs w:val="20"/>
                <w:lang w:val="de-DE"/>
              </w:rPr>
            </w:pPr>
            <w:r w:rsidRPr="00170422">
              <w:rPr>
                <w:noProof/>
                <w:lang w:val="de-DE"/>
              </w:rPr>
              <w:t xml:space="preserve">für die </w:t>
            </w:r>
            <w:r w:rsidRPr="00170422">
              <w:rPr>
                <w:noProof/>
                <w:lang w:val="de-DE"/>
              </w:rPr>
              <w:t>gewogene durchschnittliche Zahlungsfrist („tempo medio di ritardo ponderato“): höchstens 0 Tage.</w:t>
            </w:r>
          </w:p>
          <w:p w14:paraId="60F145B0" w14:textId="0BC525DF" w:rsidR="0057163C" w:rsidRPr="00170422" w:rsidRDefault="00F37BF9">
            <w:pPr>
              <w:pStyle w:val="P68B1DB1-Normal17"/>
              <w:spacing w:before="100" w:beforeAutospacing="1"/>
              <w:rPr>
                <w:noProof/>
                <w:lang w:val="de-DE"/>
              </w:rPr>
            </w:pPr>
            <w:r w:rsidRPr="00170422">
              <w:rPr>
                <w:noProof/>
                <w:lang w:val="de-DE"/>
              </w:rPr>
              <w:t>Darüber hinaus darf die Differenz zwischen der ungewichteten durchschnittlichen Zahlungsfrist („tempo medio di pagamento semplice“) und der gewichteten durchsc</w:t>
            </w:r>
            <w:r w:rsidRPr="00170422">
              <w:rPr>
                <w:noProof/>
                <w:lang w:val="de-DE"/>
              </w:rPr>
              <w:t>hnittlichen Zahlungsfrist 20 Tage nicht überschreiten, es sei denn, die ungewichtete durchschnittliche Zahlungsfrist beträgt weniger als 30 Tage.</w:t>
            </w:r>
          </w:p>
        </w:tc>
      </w:tr>
      <w:tr w:rsidR="0057163C" w:rsidRPr="00170422" w14:paraId="3C0D497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9F61B3" w14:textId="77777777" w:rsidR="0057163C" w:rsidRPr="00170422" w:rsidRDefault="00F37BF9">
            <w:pPr>
              <w:pStyle w:val="P68B1DB1-Normal11"/>
              <w:jc w:val="center"/>
              <w:rPr>
                <w:rFonts w:cs="Arial"/>
                <w:noProof/>
                <w:szCs w:val="20"/>
                <w:lang w:val="de-DE"/>
              </w:rPr>
            </w:pPr>
            <w:r w:rsidRPr="00170422">
              <w:rPr>
                <w:noProof/>
                <w:lang w:val="de-DE"/>
              </w:rPr>
              <w:t>M1C1-79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3D484"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802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E2F58" w14:textId="77777777" w:rsidR="0057163C" w:rsidRPr="00170422" w:rsidRDefault="00F37BF9">
            <w:pPr>
              <w:pStyle w:val="P68B1DB1-Normal11"/>
              <w:jc w:val="center"/>
              <w:rPr>
                <w:rFonts w:cs="Arial"/>
                <w:noProof/>
                <w:szCs w:val="20"/>
                <w:lang w:val="de-DE"/>
              </w:rPr>
            </w:pPr>
            <w:r w:rsidRPr="00170422">
              <w:rPr>
                <w:noProof/>
                <w:lang w:val="de-DE"/>
              </w:rPr>
              <w:t>Verringerung der durchschnittlichen Anzahl der Tage für die Bezahlung von Unternehmen durch die Gesundheitsbehörden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2AF32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CAC8" w14:textId="77777777" w:rsidR="0057163C" w:rsidRPr="00170422" w:rsidRDefault="00F37BF9">
            <w:pPr>
              <w:pStyle w:val="P68B1DB1-Normal11"/>
              <w:rPr>
                <w:rFonts w:cs="Arial"/>
                <w:noProof/>
                <w:szCs w:val="20"/>
                <w:lang w:val="de-DE"/>
              </w:rPr>
            </w:pPr>
            <w:r w:rsidRPr="00170422">
              <w:rPr>
                <w:noProof/>
                <w:lang w:val="de-DE"/>
              </w:rPr>
              <w:t>Gewichtete durchschnittliche 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6033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552E8" w14:textId="77777777" w:rsidR="0057163C" w:rsidRPr="00170422" w:rsidRDefault="00F37BF9">
            <w:pPr>
              <w:pStyle w:val="P68B1DB1-Normal11"/>
              <w:jc w:val="center"/>
              <w:rPr>
                <w:rFonts w:cs="Arial"/>
                <w:noProof/>
                <w:szCs w:val="20"/>
                <w:lang w:val="de-DE"/>
              </w:rPr>
            </w:pPr>
            <w:r w:rsidRPr="00170422">
              <w:rPr>
                <w:noProof/>
                <w:lang w:val="de-DE"/>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A5B88"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654A9"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AB294" w14:textId="77777777" w:rsidR="0057163C" w:rsidRPr="00170422" w:rsidRDefault="00F37BF9">
            <w:pPr>
              <w:pStyle w:val="P68B1DB1-Normal12"/>
              <w:spacing w:before="100" w:beforeAutospacing="1" w:after="120"/>
              <w:rPr>
                <w:noProof/>
                <w:lang w:val="de-DE"/>
              </w:rPr>
            </w:pPr>
            <w:r w:rsidRPr="00170422">
              <w:rPr>
                <w:noProof/>
                <w:lang w:val="de-DE"/>
              </w:rPr>
              <w:t xml:space="preserve">Auf der Grundlage der Daten der Commercial Credit </w:t>
            </w:r>
            <w:r w:rsidRPr="00170422">
              <w:rPr>
                <w:noProof/>
                <w:lang w:val="de-DE"/>
              </w:rPr>
              <w:t>Platform („Piattaforma Crediti Commerciali“) zu im Jahr 2024 ausgestellten Rechnungen gelten folgende Indikatoren für Zahlungen von Gesundheitsbehörden (</w:t>
            </w:r>
            <w:r w:rsidRPr="00170422">
              <w:rPr>
                <w:i/>
                <w:noProof/>
                <w:lang w:val="de-DE"/>
              </w:rPr>
              <w:t>enti del Servizio sanitario nazionale</w:t>
            </w:r>
            <w:r w:rsidRPr="00170422">
              <w:rPr>
                <w:noProof/>
                <w:lang w:val="de-DE"/>
              </w:rPr>
              <w:t>) an Unternehmen:</w:t>
            </w:r>
          </w:p>
          <w:p w14:paraId="30D1DA24" w14:textId="77777777" w:rsidR="0057163C" w:rsidRPr="00170422" w:rsidRDefault="00F37BF9">
            <w:pPr>
              <w:pStyle w:val="P68B1DB1-Normal12"/>
              <w:spacing w:beforeAutospacing="1" w:after="120"/>
              <w:rPr>
                <w:noProof/>
                <w:lang w:val="de-DE"/>
              </w:rPr>
            </w:pPr>
            <w:r w:rsidRPr="00170422">
              <w:rPr>
                <w:noProof/>
                <w:lang w:val="de-DE"/>
              </w:rPr>
              <w:t>— für die gewogene durchschnittliche Zahlungsfri</w:t>
            </w:r>
            <w:r w:rsidRPr="00170422">
              <w:rPr>
                <w:noProof/>
                <w:lang w:val="de-DE"/>
              </w:rPr>
              <w:t xml:space="preserve">st („tempo medio di pagamento ponderato“): höchstens 60 Tage; </w:t>
            </w:r>
          </w:p>
          <w:p w14:paraId="7DAA7303" w14:textId="70038F08" w:rsidR="0057163C" w:rsidRPr="00170422" w:rsidRDefault="00F37BF9">
            <w:pPr>
              <w:pStyle w:val="P68B1DB1-Normal12"/>
              <w:spacing w:beforeAutospacing="1" w:after="120"/>
              <w:rPr>
                <w:noProof/>
                <w:lang w:val="de-DE"/>
              </w:rPr>
            </w:pPr>
            <w:r w:rsidRPr="00170422">
              <w:rPr>
                <w:noProof/>
                <w:lang w:val="de-DE"/>
              </w:rPr>
              <w:t xml:space="preserve">— für die gewogene durchschnittliche Zahlungsfrist („tempo medio di ritardo ponderato“): höchstens 0 Tage; </w:t>
            </w:r>
          </w:p>
          <w:p w14:paraId="0F0B356D" w14:textId="77777777" w:rsidR="0057163C" w:rsidRPr="00170422" w:rsidRDefault="00F37BF9">
            <w:pPr>
              <w:pStyle w:val="P68B1DB1-Normal12"/>
              <w:spacing w:beforeAutospacing="1" w:after="120"/>
              <w:rPr>
                <w:rFonts w:cs="Arial"/>
                <w:noProof/>
                <w:lang w:val="de-DE"/>
              </w:rPr>
            </w:pPr>
            <w:r w:rsidRPr="00170422">
              <w:rPr>
                <w:noProof/>
                <w:lang w:val="de-DE"/>
              </w:rPr>
              <w:t>Darüber hinaus darf die Differenz zwischen der ungewichteten durchschnittlichen Zahlu</w:t>
            </w:r>
            <w:r w:rsidRPr="00170422">
              <w:rPr>
                <w:noProof/>
                <w:lang w:val="de-DE"/>
              </w:rPr>
              <w:t>ngsfrist („tempo medio di pagamento semplice“) und der gewichteten durchschnittlichen Zahlungsfrist 30 Tage nicht überschreiten, es sei denn, die ungewichtete durchschnittliche Zahlungsfrist beträgt weniger als 60 Tage.</w:t>
            </w:r>
          </w:p>
        </w:tc>
      </w:tr>
      <w:tr w:rsidR="0057163C" w:rsidRPr="00170422" w14:paraId="2E25C6F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60CCF8" w14:textId="77777777" w:rsidR="0057163C" w:rsidRPr="00170422" w:rsidRDefault="00F37BF9">
            <w:pPr>
              <w:pStyle w:val="P68B1DB1-Normal11"/>
              <w:jc w:val="center"/>
              <w:rPr>
                <w:rFonts w:cs="Arial"/>
                <w:noProof/>
                <w:szCs w:val="20"/>
                <w:lang w:val="de-DE"/>
              </w:rPr>
            </w:pPr>
            <w:r w:rsidRPr="00170422">
              <w:rPr>
                <w:noProof/>
                <w:lang w:val="de-DE"/>
              </w:rPr>
              <w:t>M1C1-84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414B1" w14:textId="77777777" w:rsidR="0057163C" w:rsidRPr="00170422" w:rsidRDefault="00F37BF9">
            <w:pPr>
              <w:pStyle w:val="P68B1DB1-Normal11"/>
              <w:jc w:val="center"/>
              <w:rPr>
                <w:rFonts w:cs="Arial"/>
                <w:noProof/>
                <w:szCs w:val="20"/>
                <w:lang w:val="de-DE"/>
              </w:rPr>
            </w:pPr>
            <w:r w:rsidRPr="00170422">
              <w:rPr>
                <w:noProof/>
                <w:lang w:val="de-DE"/>
              </w:rPr>
              <w:t xml:space="preserve">Reform 1.10: Reform des </w:t>
            </w:r>
            <w:r w:rsidRPr="00170422">
              <w:rPr>
                <w:noProof/>
                <w:lang w:val="de-DE"/>
              </w:rPr>
              <w:t>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AB8E4"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406ED" w14:textId="77777777" w:rsidR="0057163C" w:rsidRPr="00170422" w:rsidRDefault="00F37BF9">
            <w:pPr>
              <w:pStyle w:val="P68B1DB1-Normal11"/>
              <w:jc w:val="center"/>
              <w:rPr>
                <w:rFonts w:cs="Arial"/>
                <w:noProof/>
                <w:szCs w:val="20"/>
                <w:lang w:val="de-DE"/>
              </w:rPr>
            </w:pPr>
            <w:r w:rsidRPr="00170422">
              <w:rPr>
                <w:noProof/>
                <w:lang w:val="de-DE"/>
              </w:rPr>
              <w:t>Durchschnittlicher Zeitraum zwischen der Veröffentlichung und der Auftragsvergabe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9A94E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03858"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E3F31" w14:textId="77777777" w:rsidR="0057163C" w:rsidRPr="00170422" w:rsidRDefault="00F37BF9">
            <w:pPr>
              <w:pStyle w:val="P68B1DB1-Normal11"/>
              <w:jc w:val="center"/>
              <w:rPr>
                <w:rFonts w:cs="Arial"/>
                <w:noProof/>
                <w:szCs w:val="20"/>
                <w:lang w:val="de-DE"/>
              </w:rPr>
            </w:pPr>
            <w:r w:rsidRPr="00170422">
              <w:rPr>
                <w:noProof/>
                <w:lang w:val="de-DE"/>
              </w:rPr>
              <w:t>139</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1B0FA0"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3311EB"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431EF6"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7C537" w14:textId="77777777" w:rsidR="0057163C" w:rsidRPr="00170422" w:rsidRDefault="00F37BF9">
            <w:pPr>
              <w:pStyle w:val="P68B1DB1-Normal12"/>
              <w:spacing w:before="100" w:beforeAutospacing="1" w:after="120"/>
              <w:rPr>
                <w:rFonts w:cs="Arial"/>
                <w:noProof/>
                <w:lang w:val="de-DE"/>
              </w:rPr>
            </w:pPr>
            <w:r w:rsidRPr="00170422">
              <w:rPr>
                <w:noProof/>
                <w:lang w:val="de-DE"/>
              </w:rPr>
              <w:t xml:space="preserve">Auf der Grundlage der im Amtsblatt der EU (TED-Datenbank) festgelegten Methoden </w:t>
            </w:r>
            <w:r w:rsidRPr="00170422">
              <w:rPr>
                <w:noProof/>
                <w:lang w:val="de-DE"/>
              </w:rPr>
              <w:t>und unter Verwendung von Daten aus der nationalen IT-Datenbank für öffentliche Aufträge (BDNCP), die von der ANAC verwaltet wird, wird die durchschnittliche Zeitspanne zwischen der Frist für die Einreichung der Angebote und der Auftragsvergabe bei Aufträge</w:t>
            </w:r>
            <w:r w:rsidRPr="00170422">
              <w:rPr>
                <w:noProof/>
                <w:lang w:val="de-DE"/>
              </w:rPr>
              <w:t xml:space="preserve">n, die die Schwellenwerte der EU-Vergaberichtlinien überschreiten, auf weniger als 100 Tage verkürzt. </w:t>
            </w:r>
          </w:p>
        </w:tc>
      </w:tr>
      <w:tr w:rsidR="0057163C" w:rsidRPr="00170422" w14:paraId="366E076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4DDE0B" w14:textId="77777777" w:rsidR="0057163C" w:rsidRPr="00170422" w:rsidRDefault="00F37BF9">
            <w:pPr>
              <w:pStyle w:val="P68B1DB1-Normal11"/>
              <w:jc w:val="center"/>
              <w:rPr>
                <w:rFonts w:cs="Arial"/>
                <w:noProof/>
                <w:szCs w:val="20"/>
                <w:lang w:val="de-DE"/>
              </w:rPr>
            </w:pPr>
            <w:r w:rsidRPr="00170422">
              <w:rPr>
                <w:noProof/>
                <w:lang w:val="de-DE"/>
              </w:rPr>
              <w:t>M1C1-84bis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C4BAD"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FFF31B"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E22AF" w14:textId="77777777" w:rsidR="0057163C" w:rsidRPr="00170422" w:rsidRDefault="00F37BF9">
            <w:pPr>
              <w:pStyle w:val="P68B1DB1-Normal11"/>
              <w:jc w:val="center"/>
              <w:rPr>
                <w:rFonts w:cs="Arial"/>
                <w:noProof/>
                <w:szCs w:val="20"/>
                <w:lang w:val="de-DE"/>
              </w:rPr>
            </w:pPr>
            <w:r w:rsidRPr="00170422">
              <w:rPr>
                <w:noProof/>
                <w:lang w:val="de-DE"/>
              </w:rPr>
              <w:t>Maßnahmen zur Beschleunigung der Entscheidungsfindung bei</w:t>
            </w:r>
            <w:r w:rsidRPr="00170422">
              <w:rPr>
                <w:noProof/>
                <w:lang w:val="de-DE"/>
              </w:rPr>
              <w:t xml:space="preserve"> der Auftragsvergabe durch öffentliche Auftraggeber</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55F2E" w14:textId="77777777" w:rsidR="0057163C" w:rsidRPr="00170422" w:rsidRDefault="00F37BF9">
            <w:pPr>
              <w:pStyle w:val="P68B1DB1-Normal12"/>
              <w:jc w:val="center"/>
              <w:rPr>
                <w:rFonts w:cs="Arial"/>
                <w:noProof/>
                <w:lang w:val="de-DE"/>
              </w:rPr>
            </w:pPr>
            <w:r w:rsidRPr="00170422">
              <w:rPr>
                <w:noProof/>
                <w:lang w:val="de-DE"/>
              </w:rPr>
              <w:t>Annahme von Maßnahmen im Zusammenhang mit der Schnelligkeit der Beschlussfassung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125C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21FE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1DA82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C87021"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826FEB"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C3A41" w14:textId="77777777" w:rsidR="0057163C" w:rsidRPr="00170422" w:rsidRDefault="00F37BF9">
            <w:pPr>
              <w:pStyle w:val="P68B1DB1-Normal12"/>
              <w:spacing w:before="100" w:beforeAutospacing="1" w:after="120"/>
              <w:rPr>
                <w:rFonts w:cs="Arial"/>
                <w:noProof/>
                <w:lang w:val="de-DE"/>
              </w:rPr>
            </w:pPr>
            <w:r w:rsidRPr="0085607C">
              <w:rPr>
                <w:noProof/>
                <w:lang w:val="it-IT"/>
              </w:rPr>
              <w:t xml:space="preserve">Die Cabina di regia gemäß Artikel. </w:t>
            </w:r>
            <w:r w:rsidRPr="00170422">
              <w:rPr>
                <w:noProof/>
                <w:lang w:val="de-DE"/>
              </w:rPr>
              <w:t>221 des Vergabegesetzbuchs erlässt nach An</w:t>
            </w:r>
            <w:r w:rsidRPr="00170422">
              <w:rPr>
                <w:noProof/>
                <w:lang w:val="de-DE"/>
              </w:rPr>
              <w:t>hörung der ANAC</w:t>
            </w:r>
          </w:p>
          <w:p w14:paraId="612385B6" w14:textId="77777777" w:rsidR="0057163C" w:rsidRPr="00170422" w:rsidRDefault="00F37BF9">
            <w:pPr>
              <w:pStyle w:val="P68B1DB1-Normal12"/>
              <w:spacing w:before="100" w:beforeAutospacing="1" w:after="120"/>
              <w:rPr>
                <w:rFonts w:cs="Arial"/>
                <w:noProof/>
                <w:lang w:val="de-DE"/>
              </w:rPr>
            </w:pPr>
            <w:r w:rsidRPr="00170422">
              <w:rPr>
                <w:noProof/>
                <w:lang w:val="de-DE"/>
              </w:rPr>
              <w:t>—eine Analyse zur Bewertung der Auswirkungen der eProcurement auf den Zeitplan für die Auftragsvergabe von der Frist für die Einreichung der Angebote bis zur Unterzeichnung des Vertrags;</w:t>
            </w:r>
          </w:p>
          <w:p w14:paraId="2ACD7681" w14:textId="77777777" w:rsidR="0057163C" w:rsidRPr="00170422" w:rsidRDefault="00F37BF9">
            <w:pPr>
              <w:pStyle w:val="P68B1DB1-Normal12"/>
              <w:spacing w:before="100" w:beforeAutospacing="1" w:after="120"/>
              <w:rPr>
                <w:rFonts w:cs="Arial"/>
                <w:noProof/>
                <w:lang w:val="de-DE"/>
              </w:rPr>
            </w:pPr>
            <w:r w:rsidRPr="00170422">
              <w:rPr>
                <w:noProof/>
                <w:lang w:val="de-DE"/>
              </w:rPr>
              <w:t>—ein Bericht über die Daten für 2024 für den TED-Indi</w:t>
            </w:r>
            <w:r w:rsidRPr="00170422">
              <w:rPr>
                <w:noProof/>
                <w:lang w:val="de-DE"/>
              </w:rPr>
              <w:t xml:space="preserve">kator „Geschwindigkeit der Entscheidung“; „Entscheidungsgeschwindigkeit“ den Zeitraum zwischen dem Ablauf der Frist für die Einreichung der Angebote und dem Datum der Vertragsunterzeichnung; </w:t>
            </w:r>
          </w:p>
          <w:p w14:paraId="2747EF1C" w14:textId="77777777" w:rsidR="0057163C" w:rsidRPr="00170422" w:rsidRDefault="00F37BF9">
            <w:pPr>
              <w:pStyle w:val="P68B1DB1-Normal12"/>
              <w:spacing w:before="100" w:beforeAutospacing="1" w:after="120"/>
              <w:rPr>
                <w:noProof/>
                <w:lang w:val="de-DE"/>
              </w:rPr>
            </w:pPr>
            <w:r w:rsidRPr="00170422">
              <w:rPr>
                <w:noProof/>
                <w:lang w:val="de-DE"/>
              </w:rPr>
              <w:t>— einen Bericht über bewährte Verfahren der öffentlichen Auftrag</w:t>
            </w:r>
            <w:r w:rsidRPr="00170422">
              <w:rPr>
                <w:noProof/>
                <w:lang w:val="de-DE"/>
              </w:rPr>
              <w:t>geber zur Verkürzung des Zeitplans für die Auftragsvergabe und über die Initiativen zur Verkürzung der Entscheidungsfrist.</w:t>
            </w:r>
          </w:p>
          <w:p w14:paraId="0DACBA26" w14:textId="77777777" w:rsidR="0057163C" w:rsidRPr="00170422" w:rsidRDefault="00F37BF9">
            <w:pPr>
              <w:pStyle w:val="P68B1DB1-Normal12"/>
              <w:spacing w:before="100" w:beforeAutospacing="1" w:after="120"/>
              <w:rPr>
                <w:rFonts w:cs="Arial"/>
                <w:noProof/>
                <w:lang w:val="de-DE"/>
              </w:rPr>
            </w:pPr>
            <w:r w:rsidRPr="00170422">
              <w:rPr>
                <w:noProof/>
                <w:lang w:val="de-DE"/>
              </w:rPr>
              <w:t>Qualifizierte öffentliche Auftraggeber mit einer durchschnittlichen Entscheidungsgeschwindigkeit von mehr als 160 Tagen in TED sind v</w:t>
            </w:r>
            <w:r w:rsidRPr="00170422">
              <w:rPr>
                <w:noProof/>
                <w:lang w:val="de-DE"/>
              </w:rPr>
              <w:t xml:space="preserve">erpflichtet, Korrekturmaßnahmen durchzuführen. </w:t>
            </w:r>
          </w:p>
        </w:tc>
      </w:tr>
      <w:tr w:rsidR="0057163C" w:rsidRPr="00170422" w14:paraId="268873F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1E5B06" w14:textId="77777777" w:rsidR="0057163C" w:rsidRPr="00170422" w:rsidRDefault="00F37BF9">
            <w:pPr>
              <w:pStyle w:val="P68B1DB1-Normal11"/>
              <w:jc w:val="center"/>
              <w:rPr>
                <w:rFonts w:cs="Arial"/>
                <w:noProof/>
                <w:szCs w:val="20"/>
                <w:lang w:val="de-DE"/>
              </w:rPr>
            </w:pPr>
            <w:r w:rsidRPr="00170422">
              <w:rPr>
                <w:noProof/>
                <w:lang w:val="de-DE"/>
              </w:rPr>
              <w:t>M1C1-85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6CAE6"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2AB9A"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AE08D1" w14:textId="77777777" w:rsidR="0057163C" w:rsidRPr="00170422" w:rsidRDefault="00F37BF9">
            <w:pPr>
              <w:pStyle w:val="P68B1DB1-Normal11"/>
              <w:jc w:val="center"/>
              <w:rPr>
                <w:rFonts w:cs="Arial"/>
                <w:noProof/>
                <w:szCs w:val="20"/>
                <w:lang w:val="de-DE"/>
              </w:rPr>
            </w:pPr>
            <w:r w:rsidRPr="00170422">
              <w:rPr>
                <w:noProof/>
                <w:lang w:val="de-DE"/>
              </w:rPr>
              <w:t>Durchschnittliche Zeitspanne zwischen der Auftragsvergabe und der Realisierung der Infrastruktur</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4F38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00F7D"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EE8C7" w14:textId="77777777"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5073E" w14:textId="77777777" w:rsidR="0057163C" w:rsidRPr="00170422" w:rsidRDefault="00F37BF9">
            <w:pPr>
              <w:pStyle w:val="P68B1DB1-Normal11"/>
              <w:jc w:val="center"/>
              <w:rPr>
                <w:rFonts w:cs="Arial"/>
                <w:noProof/>
                <w:szCs w:val="20"/>
                <w:lang w:val="de-DE"/>
              </w:rPr>
            </w:pPr>
            <w:r w:rsidRPr="00170422">
              <w:rPr>
                <w:noProof/>
                <w:lang w:val="de-DE"/>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38D32"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C8F6E"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F747C1" w14:textId="77777777" w:rsidR="0057163C" w:rsidRPr="00170422" w:rsidRDefault="00F37BF9">
            <w:pPr>
              <w:pStyle w:val="P68B1DB1-Normal12"/>
              <w:spacing w:before="100" w:beforeAutospacing="1" w:after="120"/>
              <w:rPr>
                <w:rFonts w:cs="Arial"/>
                <w:noProof/>
                <w:lang w:val="de-DE"/>
              </w:rPr>
            </w:pPr>
            <w:r w:rsidRPr="00170422">
              <w:rPr>
                <w:noProof/>
                <w:lang w:val="de-DE"/>
              </w:rPr>
              <w:t xml:space="preserve">Die durchschnittliche Zeitspanne zwischen der Vergabe des Auftrags und der Realisierung der Infrastruktur („Exekutivphase“) wird auf der Grundlage eines Vergleichs zwischen i) den zwischen dem 1. Januar und dem 31. Dezember 2019 vergebenen und </w:t>
            </w:r>
            <w:r w:rsidRPr="00170422">
              <w:rPr>
                <w:noProof/>
                <w:lang w:val="de-DE"/>
              </w:rPr>
              <w:t>bis zum 30. Juni 2021 abgeschlossenen Arbeiten und ii) den zwischen dem 1. Juli 2021 und dem 30. Juni 2022 vergebenen und bis zum 31. Dezember 2023 abgeschlossenen Arbeiten um mindestens 10 % verkürzt.</w:t>
            </w:r>
          </w:p>
        </w:tc>
      </w:tr>
      <w:tr w:rsidR="0057163C" w:rsidRPr="00170422" w14:paraId="1395373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D5445C" w14:textId="77777777" w:rsidR="0057163C" w:rsidRPr="00170422" w:rsidRDefault="00F37BF9">
            <w:pPr>
              <w:pStyle w:val="P68B1DB1-Normal11"/>
              <w:jc w:val="center"/>
              <w:rPr>
                <w:noProof/>
                <w:lang w:val="de-DE"/>
              </w:rPr>
            </w:pPr>
            <w:r w:rsidRPr="00170422">
              <w:rPr>
                <w:noProof/>
                <w:lang w:val="de-DE"/>
              </w:rPr>
              <w:t>M1C1-86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C6CC5" w14:textId="77777777" w:rsidR="0057163C" w:rsidRPr="00170422" w:rsidRDefault="00F37BF9">
            <w:pPr>
              <w:pStyle w:val="P68B1DB1-Normal11"/>
              <w:jc w:val="center"/>
              <w:rPr>
                <w:noProof/>
                <w:lang w:val="de-DE"/>
              </w:rPr>
            </w:pPr>
            <w:r w:rsidRPr="00170422">
              <w:rPr>
                <w:noProof/>
                <w:lang w:val="de-DE"/>
              </w:rPr>
              <w:t>Reform 1.10: Reform des Rechtsrahmens für das</w:t>
            </w:r>
            <w:r w:rsidRPr="00170422">
              <w:rPr>
                <w:noProof/>
                <w:lang w:val="de-DE"/>
              </w:rPr>
              <w:t xml:space="preserve">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571E5" w14:textId="77777777"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7F3E19" w14:textId="77777777" w:rsidR="0057163C" w:rsidRPr="00170422" w:rsidRDefault="00F37BF9">
            <w:pPr>
              <w:pStyle w:val="P68B1DB1-Normal11"/>
              <w:jc w:val="center"/>
              <w:rPr>
                <w:noProof/>
                <w:lang w:val="de-DE"/>
              </w:rPr>
            </w:pPr>
            <w:r w:rsidRPr="00170422">
              <w:rPr>
                <w:noProof/>
                <w:lang w:val="de-DE"/>
              </w:rPr>
              <w:t>Beamte, die im Rahmen der Professionalisierungsstrategie für öffentliche Auftraggeber geschult wurden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E321A" w14:textId="77777777"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54F460" w14:textId="77777777"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2FD40D" w14:textId="77777777" w:rsidR="0057163C" w:rsidRPr="00170422" w:rsidRDefault="00F37BF9">
            <w:pPr>
              <w:pStyle w:val="P68B1DB1-Normal11"/>
              <w:jc w:val="center"/>
              <w:rPr>
                <w:noProof/>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E6D401" w14:textId="77777777" w:rsidR="0057163C" w:rsidRPr="00170422" w:rsidRDefault="00F37BF9">
            <w:pPr>
              <w:pStyle w:val="P68B1DB1-Normal11"/>
              <w:jc w:val="center"/>
              <w:rPr>
                <w:noProof/>
                <w:lang w:val="de-DE"/>
              </w:rPr>
            </w:pPr>
            <w:r w:rsidRPr="00170422">
              <w:rPr>
                <w:noProof/>
                <w:lang w:val="de-DE"/>
              </w:rPr>
              <w:t>20 000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60300A" w14:textId="77777777" w:rsidR="0057163C" w:rsidRPr="00170422" w:rsidRDefault="00F37BF9">
            <w:pPr>
              <w:pStyle w:val="P68B1DB1-Normal11"/>
              <w:jc w:val="center"/>
              <w:rPr>
                <w:noProof/>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FA4E9" w14:textId="77777777" w:rsidR="0057163C" w:rsidRPr="00170422" w:rsidRDefault="00F37BF9">
            <w:pPr>
              <w:pStyle w:val="P68B1DB1-Normal11"/>
              <w:jc w:val="center"/>
              <w:rPr>
                <w:noProof/>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0637BE" w14:textId="77777777" w:rsidR="0057163C" w:rsidRPr="00170422" w:rsidRDefault="00F37BF9">
            <w:pPr>
              <w:pStyle w:val="P68B1DB1-Normal11"/>
              <w:spacing w:before="100" w:beforeAutospacing="1" w:after="120"/>
              <w:rPr>
                <w:noProof/>
                <w:lang w:val="de-DE"/>
              </w:rPr>
            </w:pPr>
            <w:r w:rsidRPr="00170422">
              <w:rPr>
                <w:noProof/>
                <w:lang w:val="de-DE"/>
              </w:rPr>
              <w:t xml:space="preserve">Mindestens 20000 Beamte wurden im Rahmen der Professionalisierungsstrategie für öffentliche Auftraggeber geschult. </w:t>
            </w:r>
          </w:p>
        </w:tc>
      </w:tr>
      <w:tr w:rsidR="0057163C" w:rsidRPr="00170422" w14:paraId="53C87EF7"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74D003" w14:textId="77777777" w:rsidR="0057163C" w:rsidRPr="00170422" w:rsidRDefault="00F37BF9">
            <w:pPr>
              <w:pStyle w:val="P68B1DB1-Normal11"/>
              <w:jc w:val="center"/>
              <w:rPr>
                <w:rFonts w:cs="Arial"/>
                <w:noProof/>
                <w:szCs w:val="20"/>
                <w:lang w:val="de-DE"/>
              </w:rPr>
            </w:pPr>
            <w:r w:rsidRPr="00170422">
              <w:rPr>
                <w:noProof/>
                <w:lang w:val="de-DE"/>
              </w:rPr>
              <w:t>M1C1-87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5CED6A"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CCBAF"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EEB9B0" w14:textId="77777777" w:rsidR="0057163C" w:rsidRPr="00170422" w:rsidRDefault="00F37BF9">
            <w:pPr>
              <w:pStyle w:val="P68B1DB1-Normal11"/>
              <w:jc w:val="center"/>
              <w:rPr>
                <w:rFonts w:cs="Arial"/>
                <w:noProof/>
                <w:szCs w:val="20"/>
                <w:lang w:val="de-DE"/>
              </w:rPr>
            </w:pPr>
            <w:r w:rsidRPr="00170422">
              <w:rPr>
                <w:noProof/>
                <w:lang w:val="de-DE"/>
              </w:rPr>
              <w:t xml:space="preserve">Öffentliche Auftraggeber, die dynamische </w:t>
            </w:r>
            <w:r w:rsidRPr="00170422">
              <w:rPr>
                <w:noProof/>
                <w:lang w:val="de-DE"/>
              </w:rPr>
              <w:t>Beschaffungssysteme verwenden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5668D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19B2F"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AB3D0E"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219E8" w14:textId="77777777" w:rsidR="0057163C" w:rsidRPr="00170422" w:rsidRDefault="00F37BF9">
            <w:pPr>
              <w:pStyle w:val="P68B1DB1-Normal11"/>
              <w:jc w:val="center"/>
              <w:rPr>
                <w:rFonts w:cs="Arial"/>
                <w:noProof/>
                <w:szCs w:val="20"/>
                <w:lang w:val="de-DE"/>
              </w:rPr>
            </w:pPr>
            <w:r w:rsidRPr="00170422">
              <w:rPr>
                <w:noProof/>
                <w:lang w:val="de-DE"/>
              </w:rPr>
              <w:t>15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88842"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5047E9"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E379E8" w14:textId="77777777" w:rsidR="0057163C" w:rsidRPr="00170422" w:rsidRDefault="00F37BF9">
            <w:pPr>
              <w:pStyle w:val="P68B1DB1-Normal12"/>
              <w:spacing w:before="100" w:beforeAutospacing="1" w:after="120"/>
              <w:rPr>
                <w:rFonts w:cs="Arial"/>
                <w:noProof/>
                <w:lang w:val="de-DE"/>
              </w:rPr>
            </w:pPr>
            <w:r w:rsidRPr="00170422">
              <w:rPr>
                <w:noProof/>
                <w:lang w:val="de-DE"/>
              </w:rPr>
              <w:t>Mindestens 15 % der öffentlichen Auftraggeber nutzen dynamische Beschaffungssysteme gemäß der EU-Richtlinie 2014/24 (Beobachtungsfrist von zwei Jahren und unter Berücksichtigung der T</w:t>
            </w:r>
            <w:r w:rsidRPr="00170422">
              <w:rPr>
                <w:noProof/>
                <w:lang w:val="de-DE"/>
              </w:rPr>
              <w:t>atsache, dass die Nutzung des DPS in Italien hauptsächlich auf Beschaffungen oberhalb des Schwellenwerts ausgerichtet ist, da die unter dem Schwellenwert liegenden Beschaffungen hauptsächlich über eMarketplace durchgeführt werden). Das Ziel bezieht sich au</w:t>
            </w:r>
            <w:r w:rsidRPr="00170422">
              <w:rPr>
                <w:noProof/>
                <w:lang w:val="de-DE"/>
              </w:rPr>
              <w:t>f zentrale öffentliche Auftraggeber (250 ZS, registriert am 30. April 2021 im nationalen e-Procurement-System, das von Consip im Namen des MEF verwaltet wird).</w:t>
            </w:r>
          </w:p>
        </w:tc>
      </w:tr>
      <w:tr w:rsidR="0057163C" w:rsidRPr="00170422" w14:paraId="64BD8E2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BA0B9" w14:textId="77777777" w:rsidR="0057163C" w:rsidRPr="00170422" w:rsidRDefault="00F37BF9">
            <w:pPr>
              <w:pStyle w:val="P68B1DB1-Normal11"/>
              <w:jc w:val="center"/>
              <w:rPr>
                <w:rFonts w:cs="Arial"/>
                <w:noProof/>
                <w:szCs w:val="20"/>
                <w:lang w:val="de-DE"/>
              </w:rPr>
            </w:pPr>
            <w:r w:rsidRPr="00170422">
              <w:rPr>
                <w:noProof/>
                <w:lang w:val="de-DE"/>
              </w:rPr>
              <w:t>M1C1-88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11AEA0" w14:textId="77777777" w:rsidR="0057163C" w:rsidRPr="00170422" w:rsidRDefault="00F37BF9">
            <w:pPr>
              <w:pStyle w:val="P68B1DB1-Normal12"/>
              <w:jc w:val="center"/>
              <w:rPr>
                <w:rFonts w:cs="Arial"/>
                <w:noProof/>
                <w:lang w:val="de-DE"/>
              </w:rPr>
            </w:pPr>
            <w:r w:rsidRPr="00170422">
              <w:rPr>
                <w:noProof/>
                <w:lang w:val="de-DE"/>
              </w:rPr>
              <w:t xml:space="preserve">Reform 1.11: Verringerung des Zahlungsverzugs durch öffentliche Verwaltungen und </w:t>
            </w:r>
            <w:r w:rsidRPr="00170422">
              <w:rPr>
                <w:noProof/>
                <w:lang w:val="de-DE"/>
              </w:rPr>
              <w:t>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650CA9"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395C0" w14:textId="77777777" w:rsidR="0057163C" w:rsidRPr="00170422" w:rsidRDefault="00F37BF9">
            <w:pPr>
              <w:pStyle w:val="P68B1DB1-Normal12"/>
              <w:jc w:val="center"/>
              <w:rPr>
                <w:rFonts w:cs="Arial"/>
                <w:noProof/>
                <w:lang w:val="de-DE"/>
              </w:rPr>
            </w:pPr>
            <w:r w:rsidRPr="00170422">
              <w:rPr>
                <w:noProof/>
                <w:lang w:val="de-DE"/>
              </w:rPr>
              <w:t>Verringerung der durchschnittlichen Anzahl der Tage für die Bezahlung von Unternehmen durch die zentralen 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B49F0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56C78" w14:textId="77777777" w:rsidR="0057163C" w:rsidRPr="00170422" w:rsidRDefault="00F37BF9">
            <w:pPr>
              <w:pStyle w:val="P68B1DB1-Normal11"/>
              <w:jc w:val="center"/>
              <w:rPr>
                <w:rFonts w:cs="Arial"/>
                <w:noProof/>
                <w:szCs w:val="20"/>
                <w:lang w:val="de-DE"/>
              </w:rPr>
            </w:pPr>
            <w:r w:rsidRPr="00170422">
              <w:rPr>
                <w:noProof/>
                <w:lang w:val="de-DE"/>
              </w:rPr>
              <w:t>Gewichtete durchschnittliche 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5EEF6B" w14:textId="77777777" w:rsidR="0057163C" w:rsidRPr="00170422" w:rsidRDefault="00F37BF9">
            <w:pPr>
              <w:pStyle w:val="P68B1DB1-Normal11"/>
              <w:jc w:val="center"/>
              <w:rPr>
                <w:rFonts w:cs="Arial"/>
                <w:noProof/>
                <w:szCs w:val="20"/>
                <w:lang w:val="de-DE"/>
              </w:rPr>
            </w:pPr>
            <w:r w:rsidRPr="00170422">
              <w:rPr>
                <w:noProof/>
                <w:lang w:val="de-DE"/>
              </w:rPr>
              <w:t xml:space="preserve"> 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9BB6"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4965AB"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E0EB7"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1741CB" w14:textId="77777777" w:rsidR="0057163C" w:rsidRPr="00170422" w:rsidRDefault="00F37BF9">
            <w:pPr>
              <w:spacing w:before="100" w:beforeAutospacing="1" w:after="120"/>
              <w:rPr>
                <w:rStyle w:val="CommentReference"/>
                <w:rFonts w:ascii="Arial Narrow" w:hAnsi="Arial Narrow"/>
                <w:i/>
                <w:noProof/>
                <w:color w:val="006100"/>
                <w:sz w:val="20"/>
                <w:szCs w:val="20"/>
                <w:lang w:val="de-DE"/>
              </w:rPr>
            </w:pPr>
            <w:r w:rsidRPr="00170422">
              <w:rPr>
                <w:rFonts w:ascii="Arial Narrow" w:hAnsi="Arial Narrow"/>
                <w:noProof/>
                <w:color w:val="006100"/>
                <w:sz w:val="20"/>
                <w:szCs w:val="20"/>
                <w:lang w:val="de-DE"/>
              </w:rPr>
              <w:t>Auf der Grundlage der Daten de</w:t>
            </w:r>
            <w:r w:rsidRPr="00170422">
              <w:rPr>
                <w:rFonts w:ascii="Arial Narrow" w:hAnsi="Arial Narrow"/>
                <w:noProof/>
                <w:color w:val="006100"/>
                <w:sz w:val="20"/>
                <w:szCs w:val="20"/>
                <w:lang w:val="de-DE"/>
              </w:rPr>
              <w:t>r Commercial Credit Platform („Piattaforma Crediti Commerciali“) zu im Jahr 2025 ausgestellten Rechnungen werden die folgenden Indikatoren für Zahlungen zentraler Behörden (</w:t>
            </w:r>
            <w:r w:rsidRPr="00170422">
              <w:rPr>
                <w:rFonts w:ascii="Arial Narrow" w:hAnsi="Arial Narrow"/>
                <w:i/>
                <w:noProof/>
                <w:color w:val="006100"/>
                <w:sz w:val="20"/>
                <w:szCs w:val="20"/>
                <w:lang w:val="de-DE"/>
              </w:rPr>
              <w:t>Amministrazioni centrali</w:t>
            </w:r>
            <w:r w:rsidRPr="00170422">
              <w:rPr>
                <w:rFonts w:ascii="Arial Narrow" w:hAnsi="Arial Narrow"/>
                <w:noProof/>
                <w:color w:val="006100"/>
                <w:sz w:val="20"/>
                <w:szCs w:val="20"/>
                <w:lang w:val="de-DE"/>
              </w:rPr>
              <w:t>) an Unternehmen ermittelt</w:t>
            </w:r>
            <w:r w:rsidRPr="00170422">
              <w:rPr>
                <w:rStyle w:val="CommentReference"/>
                <w:noProof/>
                <w:lang w:val="de-DE"/>
              </w:rPr>
              <w:t>:</w:t>
            </w:r>
          </w:p>
          <w:p w14:paraId="2343F53F" w14:textId="77777777" w:rsidR="0057163C" w:rsidRPr="00170422" w:rsidRDefault="00F37BF9">
            <w:pPr>
              <w:pStyle w:val="P68B1DB1-Normal12"/>
              <w:spacing w:before="100" w:beforeAutospacing="1" w:after="120"/>
              <w:rPr>
                <w:rFonts w:eastAsia="Times New Roman" w:cs="Times New Roman"/>
                <w:noProof/>
                <w:lang w:val="de-DE"/>
              </w:rPr>
            </w:pPr>
            <w:r w:rsidRPr="00170422">
              <w:rPr>
                <w:noProof/>
                <w:lang w:val="de-DE"/>
              </w:rPr>
              <w:t>— für die gewogene durchschni</w:t>
            </w:r>
            <w:r w:rsidRPr="00170422">
              <w:rPr>
                <w:noProof/>
                <w:lang w:val="de-DE"/>
              </w:rPr>
              <w:t xml:space="preserve">ttliche Zahlungsfrist („tempo medio di pagamento ponderato“): höchstens 30 Tage; </w:t>
            </w:r>
          </w:p>
          <w:p w14:paraId="01243181" w14:textId="53931506" w:rsidR="0057163C" w:rsidRPr="00170422" w:rsidRDefault="00F37BF9">
            <w:pPr>
              <w:pStyle w:val="P68B1DB1-Normal12"/>
              <w:spacing w:before="100" w:beforeAutospacing="1" w:after="120"/>
              <w:rPr>
                <w:noProof/>
                <w:lang w:val="de-DE"/>
              </w:rPr>
            </w:pPr>
            <w:r w:rsidRPr="00170422">
              <w:rPr>
                <w:noProof/>
                <w:lang w:val="de-DE"/>
              </w:rPr>
              <w:t xml:space="preserve">— für die gewogene durchschnittliche Zahlungsfrist („tempo medio di ritardo ponderato“): höchstens 0 Tage; </w:t>
            </w:r>
          </w:p>
          <w:p w14:paraId="648BDD81" w14:textId="77777777" w:rsidR="0057163C" w:rsidRPr="00170422" w:rsidRDefault="00F37BF9">
            <w:pPr>
              <w:pStyle w:val="P68B1DB1-Normal12"/>
              <w:spacing w:before="100" w:beforeAutospacing="1" w:after="120"/>
              <w:rPr>
                <w:rFonts w:cs="Arial"/>
                <w:noProof/>
                <w:lang w:val="de-DE"/>
              </w:rPr>
            </w:pPr>
            <w:r w:rsidRPr="00170422">
              <w:rPr>
                <w:noProof/>
                <w:lang w:val="de-DE"/>
              </w:rPr>
              <w:t>Darüber hinaus die Differenz zwischen der ungewichteten durchschni</w:t>
            </w:r>
            <w:r w:rsidRPr="00170422">
              <w:rPr>
                <w:noProof/>
                <w:lang w:val="de-DE"/>
              </w:rPr>
              <w:t xml:space="preserve">ttlichen Zahlungsfrist („tempo medio di pagamento semplice“): die gewichtete durchschnittliche Zahlungsfrist darf 15 Tage nicht überschreiten, es sei denn, die ungewichtete durchschnittliche Zahlungsfrist beträgt weniger als 30 Tage. </w:t>
            </w:r>
          </w:p>
        </w:tc>
      </w:tr>
      <w:tr w:rsidR="0057163C" w:rsidRPr="00170422" w14:paraId="35137D4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46ABA" w14:textId="77777777" w:rsidR="0057163C" w:rsidRPr="00170422" w:rsidRDefault="00F37BF9">
            <w:pPr>
              <w:pStyle w:val="P68B1DB1-Normal11"/>
              <w:jc w:val="center"/>
              <w:rPr>
                <w:rFonts w:cs="Arial"/>
                <w:noProof/>
                <w:szCs w:val="20"/>
                <w:lang w:val="de-DE"/>
              </w:rPr>
            </w:pPr>
            <w:r w:rsidRPr="00170422">
              <w:rPr>
                <w:noProof/>
                <w:lang w:val="de-DE"/>
              </w:rPr>
              <w:t>M1C1-89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F509D" w14:textId="77777777" w:rsidR="0057163C" w:rsidRPr="00170422" w:rsidRDefault="00F37BF9">
            <w:pPr>
              <w:pStyle w:val="P68B1DB1-Normal11"/>
              <w:jc w:val="center"/>
              <w:rPr>
                <w:rFonts w:cs="Arial"/>
                <w:noProof/>
                <w:szCs w:val="20"/>
                <w:lang w:val="de-DE"/>
              </w:rPr>
            </w:pPr>
            <w:r w:rsidRPr="00170422">
              <w:rPr>
                <w:noProof/>
                <w:lang w:val="de-DE"/>
              </w:rPr>
              <w:t>Reform 1.11:</w:t>
            </w:r>
            <w:r w:rsidRPr="00170422">
              <w:rPr>
                <w:noProof/>
                <w:lang w:val="de-DE"/>
              </w:rPr>
              <w:t xml:space="preserve">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47838"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C4C660" w14:textId="77777777" w:rsidR="0057163C" w:rsidRPr="00170422" w:rsidRDefault="00F37BF9">
            <w:pPr>
              <w:pStyle w:val="P68B1DB1-Normal11"/>
              <w:jc w:val="center"/>
              <w:rPr>
                <w:rFonts w:cs="Arial"/>
                <w:noProof/>
                <w:szCs w:val="20"/>
                <w:lang w:val="de-DE"/>
              </w:rPr>
            </w:pPr>
            <w:r w:rsidRPr="00170422">
              <w:rPr>
                <w:noProof/>
                <w:lang w:val="de-DE"/>
              </w:rPr>
              <w:t>Verringerung der durchschnittlichen Anzahl der Tage für die Bezahlung von Unternehmen durch die regionalen 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FB160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8923D9" w14:textId="77777777" w:rsidR="0057163C" w:rsidRPr="00170422" w:rsidRDefault="00F37BF9">
            <w:pPr>
              <w:pStyle w:val="P68B1DB1-Normal11"/>
              <w:jc w:val="center"/>
              <w:rPr>
                <w:rFonts w:cs="Arial"/>
                <w:noProof/>
                <w:szCs w:val="20"/>
                <w:lang w:val="de-DE"/>
              </w:rPr>
            </w:pPr>
            <w:r w:rsidRPr="00170422">
              <w:rPr>
                <w:noProof/>
                <w:lang w:val="de-DE"/>
              </w:rPr>
              <w:t xml:space="preserve">Gewichtete durchschnittliche </w:t>
            </w:r>
            <w:r w:rsidRPr="00170422">
              <w:rPr>
                <w:noProof/>
                <w:lang w:val="de-DE"/>
              </w:rPr>
              <w:t>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107B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9135"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99D41"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2C252"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C5996E" w14:textId="5DE866AC" w:rsidR="0057163C" w:rsidRPr="00170422" w:rsidRDefault="00F37BF9">
            <w:pPr>
              <w:pStyle w:val="P68B1DB1-Normal12"/>
              <w:spacing w:before="100" w:beforeAutospacing="1" w:after="120"/>
              <w:rPr>
                <w:noProof/>
                <w:lang w:val="de-DE"/>
              </w:rPr>
            </w:pPr>
            <w:r w:rsidRPr="00170422">
              <w:rPr>
                <w:noProof/>
                <w:lang w:val="de-DE"/>
              </w:rPr>
              <w:t>Auf der Grundlage der Daten der Commercial Credit Platform („Piattaforma Crediti Commerciali“) zu im Jahr 2025 ausgestellten Rechnungen sind die folgenden Indikatoren für Zahlungen regionaler Behörden (</w:t>
            </w:r>
            <w:r w:rsidRPr="00170422">
              <w:rPr>
                <w:i/>
                <w:noProof/>
                <w:lang w:val="de-DE"/>
              </w:rPr>
              <w:t xml:space="preserve">Regioni </w:t>
            </w:r>
            <w:r w:rsidRPr="00170422">
              <w:rPr>
                <w:i/>
                <w:noProof/>
                <w:lang w:val="de-DE"/>
              </w:rPr>
              <w:t>–</w:t>
            </w:r>
            <w:r w:rsidRPr="00170422">
              <w:rPr>
                <w:noProof/>
                <w:lang w:val="de-DE"/>
              </w:rPr>
              <w:t>Provinzautonome) an Unternehmen:</w:t>
            </w:r>
          </w:p>
          <w:p w14:paraId="669C0266" w14:textId="77777777" w:rsidR="0057163C" w:rsidRPr="00170422" w:rsidRDefault="00F37BF9">
            <w:pPr>
              <w:pStyle w:val="P68B1DB1-ListParagraph13"/>
              <w:numPr>
                <w:ilvl w:val="0"/>
                <w:numId w:val="70"/>
              </w:numPr>
              <w:spacing w:before="100" w:beforeAutospacing="1" w:after="120" w:line="240" w:lineRule="auto"/>
              <w:jc w:val="both"/>
              <w:rPr>
                <w:rFonts w:cs="Arial"/>
                <w:noProof/>
                <w:lang w:val="de-DE"/>
              </w:rPr>
            </w:pPr>
            <w:r w:rsidRPr="00170422">
              <w:rPr>
                <w:noProof/>
                <w:lang w:val="de-DE"/>
              </w:rPr>
              <w:t>für die gewogene durchschnittliche Zahlungsfrist („tempo medio di pagamento ponderato“): höchstens 30 Tage;</w:t>
            </w:r>
          </w:p>
          <w:p w14:paraId="0A15038F" w14:textId="77777777" w:rsidR="0057163C" w:rsidRPr="00170422" w:rsidRDefault="00F37BF9">
            <w:pPr>
              <w:pStyle w:val="P68B1DB1-ListParagraph13"/>
              <w:numPr>
                <w:ilvl w:val="0"/>
                <w:numId w:val="70"/>
              </w:numPr>
              <w:spacing w:before="100" w:beforeAutospacing="1" w:after="120" w:line="240" w:lineRule="auto"/>
              <w:jc w:val="both"/>
              <w:rPr>
                <w:rFonts w:cs="Arial"/>
                <w:noProof/>
                <w:lang w:val="de-DE"/>
              </w:rPr>
            </w:pPr>
            <w:r w:rsidRPr="00170422">
              <w:rPr>
                <w:noProof/>
                <w:lang w:val="de-DE"/>
              </w:rPr>
              <w:t>für die gewogene durchschnittliche Zahlungsfrist („tempo medio di ritardo ponderato“): höchstens 0 Tage.</w:t>
            </w:r>
          </w:p>
          <w:p w14:paraId="63364C21" w14:textId="77777777" w:rsidR="0057163C" w:rsidRPr="00170422" w:rsidRDefault="00F37BF9">
            <w:pPr>
              <w:pStyle w:val="P68B1DB1-Normal17"/>
              <w:spacing w:before="100" w:beforeAutospacing="1"/>
              <w:rPr>
                <w:noProof/>
                <w:lang w:val="de-DE"/>
              </w:rPr>
            </w:pPr>
            <w:r w:rsidRPr="00170422">
              <w:rPr>
                <w:noProof/>
                <w:lang w:val="de-DE"/>
              </w:rPr>
              <w:t>Darüber h</w:t>
            </w:r>
            <w:r w:rsidRPr="00170422">
              <w:rPr>
                <w:noProof/>
                <w:lang w:val="de-DE"/>
              </w:rPr>
              <w:t>inaus darf die Differenz zwischen der ungewichteten durchschnittlichen Zahlungsfrist („tempo medio di pagamento semplice“) und der gewichteten durchschnittlichen Zahlungsfrist 15 Tage nicht überschreiten, es sei denn, die ungewichtete durchschnittliche Zah</w:t>
            </w:r>
            <w:r w:rsidRPr="00170422">
              <w:rPr>
                <w:noProof/>
                <w:lang w:val="de-DE"/>
              </w:rPr>
              <w:t>lungsfrist beträgt weniger als 30 Tage.</w:t>
            </w:r>
          </w:p>
        </w:tc>
      </w:tr>
      <w:tr w:rsidR="0057163C" w:rsidRPr="00170422" w14:paraId="566EB07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B91CB3" w14:textId="77777777" w:rsidR="0057163C" w:rsidRPr="00170422" w:rsidRDefault="00F37BF9">
            <w:pPr>
              <w:pStyle w:val="P68B1DB1-Normal11"/>
              <w:jc w:val="center"/>
              <w:rPr>
                <w:rFonts w:cs="Arial"/>
                <w:noProof/>
                <w:szCs w:val="20"/>
                <w:lang w:val="de-DE"/>
              </w:rPr>
            </w:pPr>
            <w:r w:rsidRPr="00170422">
              <w:rPr>
                <w:noProof/>
                <w:lang w:val="de-DE"/>
              </w:rPr>
              <w:t>M1C1-90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EE30F" w14:textId="77777777" w:rsidR="0057163C" w:rsidRPr="00170422" w:rsidRDefault="00F37BF9">
            <w:pPr>
              <w:pStyle w:val="P68B1DB1-Normal11"/>
              <w:jc w:val="center"/>
              <w:rPr>
                <w:rFonts w:cs="Arial"/>
                <w:noProof/>
                <w:szCs w:val="20"/>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97CBC"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2FA4E" w14:textId="77777777" w:rsidR="0057163C" w:rsidRPr="00170422" w:rsidRDefault="00F37BF9">
            <w:pPr>
              <w:pStyle w:val="P68B1DB1-Normal11"/>
              <w:jc w:val="center"/>
              <w:rPr>
                <w:rFonts w:cs="Arial"/>
                <w:noProof/>
                <w:szCs w:val="20"/>
                <w:lang w:val="de-DE"/>
              </w:rPr>
            </w:pPr>
            <w:r w:rsidRPr="00170422">
              <w:rPr>
                <w:noProof/>
                <w:lang w:val="de-DE"/>
              </w:rPr>
              <w:t xml:space="preserve">Verringerung der durchschnittlichen Anzahl der Tage für die Bezahlung von Unternehmen durch die </w:t>
            </w:r>
            <w:r w:rsidRPr="00170422">
              <w:rPr>
                <w:noProof/>
                <w:lang w:val="de-DE"/>
              </w:rPr>
              <w:t>lokalen 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9838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671821" w14:textId="77777777" w:rsidR="0057163C" w:rsidRPr="00170422" w:rsidRDefault="00F37BF9">
            <w:pPr>
              <w:pStyle w:val="P68B1DB1-Normal11"/>
              <w:jc w:val="center"/>
              <w:rPr>
                <w:rFonts w:cs="Arial"/>
                <w:noProof/>
                <w:szCs w:val="20"/>
                <w:lang w:val="de-DE"/>
              </w:rPr>
            </w:pPr>
            <w:r w:rsidRPr="00170422">
              <w:rPr>
                <w:noProof/>
                <w:lang w:val="de-DE"/>
              </w:rPr>
              <w:t>Gewichtete durchschnittliche Zahlungsfrist (in Tagen)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154DCD" w14:textId="77777777" w:rsidR="0057163C" w:rsidRPr="00170422" w:rsidRDefault="00F37BF9">
            <w:pPr>
              <w:pStyle w:val="P68B1DB1-Normal11"/>
              <w:jc w:val="center"/>
              <w:rPr>
                <w:rFonts w:cs="Arial"/>
                <w:noProof/>
                <w:szCs w:val="20"/>
                <w:lang w:val="de-DE"/>
              </w:rPr>
            </w:pPr>
            <w:r w:rsidRPr="00170422">
              <w:rPr>
                <w:noProof/>
                <w:lang w:val="de-DE"/>
              </w:rPr>
              <w:t xml:space="preserve"> 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6AAEF" w14:textId="77777777" w:rsidR="0057163C" w:rsidRPr="00170422" w:rsidRDefault="00F37BF9">
            <w:pPr>
              <w:pStyle w:val="P68B1DB1-Normal11"/>
              <w:jc w:val="center"/>
              <w:rPr>
                <w:rFonts w:cs="Arial"/>
                <w:noProof/>
                <w:szCs w:val="20"/>
                <w:lang w:val="de-DE"/>
              </w:rPr>
            </w:pPr>
            <w:r w:rsidRPr="00170422">
              <w:rPr>
                <w:noProof/>
                <w:lang w:val="de-DE"/>
              </w:rPr>
              <w:t>30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E862C6"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21881"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2C6C9" w14:textId="3B40EA68" w:rsidR="0057163C" w:rsidRPr="00170422" w:rsidRDefault="00F37BF9">
            <w:pPr>
              <w:pStyle w:val="P68B1DB1-Normal12"/>
              <w:spacing w:before="100" w:beforeAutospacing="1" w:after="120"/>
              <w:rPr>
                <w:noProof/>
                <w:lang w:val="de-DE"/>
              </w:rPr>
            </w:pPr>
            <w:r w:rsidRPr="00170422">
              <w:rPr>
                <w:noProof/>
                <w:lang w:val="de-DE"/>
              </w:rPr>
              <w:t>Auf der Grundlage der Daten der Commercial Credit Platform („Piattaforma Crediti Commerciali“) zu im Jahr 2025 ausgestellten Rechnungen sind die folgende</w:t>
            </w:r>
            <w:r w:rsidRPr="00170422">
              <w:rPr>
                <w:noProof/>
                <w:lang w:val="de-DE"/>
              </w:rPr>
              <w:t>n Indikatoren für Zahlungen von lokalen Behörden (</w:t>
            </w:r>
            <w:r w:rsidRPr="00170422">
              <w:rPr>
                <w:i/>
                <w:noProof/>
                <w:lang w:val="de-DE"/>
              </w:rPr>
              <w:t>enti locali</w:t>
            </w:r>
            <w:r w:rsidRPr="00170422">
              <w:rPr>
                <w:noProof/>
                <w:lang w:val="de-DE"/>
              </w:rPr>
              <w:t>) an Unternehmen:</w:t>
            </w:r>
          </w:p>
          <w:p w14:paraId="5260D028" w14:textId="1ECC7F20" w:rsidR="0057163C" w:rsidRPr="00170422" w:rsidRDefault="00F37BF9">
            <w:pPr>
              <w:pStyle w:val="P68B1DB1-ListParagraph13"/>
              <w:numPr>
                <w:ilvl w:val="0"/>
                <w:numId w:val="71"/>
              </w:numPr>
              <w:spacing w:before="100" w:beforeAutospacing="1" w:after="120" w:line="240" w:lineRule="auto"/>
              <w:jc w:val="both"/>
              <w:rPr>
                <w:rFonts w:cs="Arial"/>
                <w:noProof/>
                <w:lang w:val="de-DE"/>
              </w:rPr>
            </w:pPr>
            <w:r w:rsidRPr="00170422">
              <w:rPr>
                <w:noProof/>
                <w:lang w:val="de-DE"/>
              </w:rPr>
              <w:t>für die gewogene durchschnittliche Zahlungsfrist („tempo medio di pagamento ponderato“): höchstens 30 Tage;</w:t>
            </w:r>
          </w:p>
          <w:p w14:paraId="671E5EC7" w14:textId="37B7BCA3" w:rsidR="0057163C" w:rsidRPr="00170422" w:rsidRDefault="00F37BF9">
            <w:pPr>
              <w:pStyle w:val="P68B1DB1-ListParagraph13"/>
              <w:numPr>
                <w:ilvl w:val="0"/>
                <w:numId w:val="71"/>
              </w:numPr>
              <w:spacing w:before="100" w:beforeAutospacing="1" w:after="120" w:line="240" w:lineRule="auto"/>
              <w:jc w:val="both"/>
              <w:rPr>
                <w:rFonts w:cs="Arial"/>
                <w:noProof/>
                <w:lang w:val="de-DE"/>
              </w:rPr>
            </w:pPr>
            <w:r w:rsidRPr="00170422">
              <w:rPr>
                <w:noProof/>
                <w:lang w:val="de-DE"/>
              </w:rPr>
              <w:t>für die gewogene durchschnittliche Zahlungsfrist („tempo medio di rit</w:t>
            </w:r>
            <w:r w:rsidRPr="00170422">
              <w:rPr>
                <w:noProof/>
                <w:lang w:val="de-DE"/>
              </w:rPr>
              <w:t>ardo ponderato“): höchstens 0 Tage.</w:t>
            </w:r>
          </w:p>
          <w:p w14:paraId="1326E6BE" w14:textId="77777777" w:rsidR="0057163C" w:rsidRPr="00170422" w:rsidRDefault="00F37BF9">
            <w:pPr>
              <w:pStyle w:val="P68B1DB1-Normal12"/>
              <w:spacing w:before="100" w:beforeAutospacing="1"/>
              <w:rPr>
                <w:rFonts w:cs="Arial"/>
                <w:noProof/>
                <w:lang w:val="de-DE"/>
              </w:rPr>
            </w:pPr>
            <w:r w:rsidRPr="00170422">
              <w:rPr>
                <w:noProof/>
                <w:lang w:val="de-DE"/>
              </w:rPr>
              <w:t>Darüber hinaus darf die Differenz zwischen der ungewichteten durchschnittlichen Zahlungsfrist („tempo medio di pagamento semplice“) und der gewichteten durchschnittlichen Zahlungsfrist 15 Tage nicht überschreiten, es sei</w:t>
            </w:r>
            <w:r w:rsidRPr="00170422">
              <w:rPr>
                <w:noProof/>
                <w:lang w:val="de-DE"/>
              </w:rPr>
              <w:t xml:space="preserve"> denn, die ungewichtete durchschnittliche Zahlungsfrist beträgt weniger als 30 Tage.</w:t>
            </w:r>
          </w:p>
        </w:tc>
      </w:tr>
      <w:tr w:rsidR="0057163C" w:rsidRPr="00170422" w14:paraId="6791A38C"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6380" w14:textId="77777777" w:rsidR="0057163C" w:rsidRPr="00170422" w:rsidRDefault="00F37BF9">
            <w:pPr>
              <w:pStyle w:val="P68B1DB1-Normal11"/>
              <w:jc w:val="center"/>
              <w:rPr>
                <w:rFonts w:cs="Arial"/>
                <w:noProof/>
                <w:szCs w:val="20"/>
                <w:lang w:val="de-DE"/>
              </w:rPr>
            </w:pPr>
            <w:r w:rsidRPr="00170422">
              <w:rPr>
                <w:noProof/>
                <w:lang w:val="de-DE"/>
              </w:rPr>
              <w:t>M1C1-91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A0E06" w14:textId="77777777" w:rsidR="0057163C" w:rsidRPr="00170422" w:rsidRDefault="00F37BF9">
            <w:pPr>
              <w:pStyle w:val="P68B1DB1-Normal12"/>
              <w:jc w:val="center"/>
              <w:rPr>
                <w:rFonts w:cs="Arial"/>
                <w:noProof/>
                <w:lang w:val="de-DE"/>
              </w:rPr>
            </w:pPr>
            <w:r w:rsidRPr="00170422">
              <w:rPr>
                <w:noProof/>
                <w:lang w:val="de-DE"/>
              </w:rPr>
              <w:t>Reform 1.11: Verringerung des Zahlungsverzugs durch öffentliche Verwaltungen und Gesundheitsbehörden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98E502"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6359F" w14:textId="77777777" w:rsidR="0057163C" w:rsidRPr="00170422" w:rsidRDefault="00F37BF9">
            <w:pPr>
              <w:pStyle w:val="P68B1DB1-Normal11"/>
              <w:jc w:val="center"/>
              <w:rPr>
                <w:rFonts w:cs="Arial"/>
                <w:noProof/>
                <w:szCs w:val="20"/>
                <w:lang w:val="de-DE"/>
              </w:rPr>
            </w:pPr>
            <w:r w:rsidRPr="00170422">
              <w:rPr>
                <w:noProof/>
                <w:lang w:val="de-DE"/>
              </w:rPr>
              <w:t xml:space="preserve">Verringerung der durchschnittlichen Anzahl der Tage für </w:t>
            </w:r>
            <w:r w:rsidRPr="00170422">
              <w:rPr>
                <w:noProof/>
                <w:lang w:val="de-DE"/>
              </w:rPr>
              <w:t>die Bezahlung von Unternehmen durch die Gesundheitsbehörden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9401E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AFA41" w14:textId="77777777" w:rsidR="0057163C" w:rsidRPr="00170422" w:rsidRDefault="00F37BF9">
            <w:pPr>
              <w:pStyle w:val="P68B1DB1-Normal12"/>
              <w:jc w:val="center"/>
              <w:rPr>
                <w:rFonts w:cs="Arial"/>
                <w:noProof/>
                <w:lang w:val="de-DE"/>
              </w:rPr>
            </w:pPr>
            <w:r w:rsidRPr="00170422">
              <w:rPr>
                <w:noProof/>
                <w:lang w:val="de-DE"/>
              </w:rPr>
              <w:t>Gewichtete durchschnittliche Zahlungsfrist (jn Tage)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FF4D9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008ED" w14:textId="77777777" w:rsidR="0057163C" w:rsidRPr="00170422" w:rsidRDefault="00F37BF9">
            <w:pPr>
              <w:pStyle w:val="P68B1DB1-Normal11"/>
              <w:jc w:val="center"/>
              <w:rPr>
                <w:rFonts w:cs="Arial"/>
                <w:noProof/>
                <w:szCs w:val="20"/>
                <w:lang w:val="de-DE"/>
              </w:rPr>
            </w:pPr>
            <w:r w:rsidRPr="00170422">
              <w:rPr>
                <w:noProof/>
                <w:lang w:val="de-DE"/>
              </w:rPr>
              <w:t>60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731DA0"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45F6F"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0E1D22" w14:textId="77777777" w:rsidR="0057163C" w:rsidRPr="00170422" w:rsidRDefault="00F37BF9">
            <w:pPr>
              <w:pStyle w:val="P68B1DB1-Normal12"/>
              <w:spacing w:before="100" w:beforeAutospacing="1" w:after="120"/>
              <w:rPr>
                <w:noProof/>
                <w:lang w:val="de-DE"/>
              </w:rPr>
            </w:pPr>
            <w:r w:rsidRPr="00170422">
              <w:rPr>
                <w:noProof/>
                <w:lang w:val="de-DE"/>
              </w:rPr>
              <w:t>Auf der Grundlage der Daten der Commercial Credit Platform („Piattaforma Crediti Commerciali“) zu im Jahr 2025 a</w:t>
            </w:r>
            <w:r w:rsidRPr="00170422">
              <w:rPr>
                <w:noProof/>
                <w:lang w:val="de-DE"/>
              </w:rPr>
              <w:t>usgestellten Rechnungen lauten die folgenden Indikatoren für Zahlungen von Gesundheitsbehörden (</w:t>
            </w:r>
            <w:r w:rsidRPr="00170422">
              <w:rPr>
                <w:i/>
                <w:noProof/>
                <w:lang w:val="de-DE"/>
              </w:rPr>
              <w:t>enti del Servizio sanitario nazionale</w:t>
            </w:r>
            <w:r w:rsidRPr="00170422">
              <w:rPr>
                <w:noProof/>
                <w:lang w:val="de-DE"/>
              </w:rPr>
              <w:t>) an Unternehmen:</w:t>
            </w:r>
          </w:p>
          <w:p w14:paraId="7F808C45" w14:textId="77777777" w:rsidR="0057163C" w:rsidRPr="00170422" w:rsidRDefault="00F37BF9">
            <w:pPr>
              <w:pStyle w:val="P68B1DB1-Normal12"/>
              <w:spacing w:beforeAutospacing="1" w:after="120"/>
              <w:rPr>
                <w:noProof/>
                <w:lang w:val="de-DE"/>
              </w:rPr>
            </w:pPr>
            <w:r w:rsidRPr="00170422">
              <w:rPr>
                <w:noProof/>
                <w:lang w:val="de-DE"/>
              </w:rPr>
              <w:t>— für die gewogene durchschnittliche Zahlungsfrist („tempo medio di pagamento ponderato“): höchstens 60 T</w:t>
            </w:r>
            <w:r w:rsidRPr="00170422">
              <w:rPr>
                <w:noProof/>
                <w:lang w:val="de-DE"/>
              </w:rPr>
              <w:t xml:space="preserve">age; </w:t>
            </w:r>
          </w:p>
          <w:p w14:paraId="01923B11" w14:textId="5BB0B5A8" w:rsidR="0057163C" w:rsidRPr="00170422" w:rsidRDefault="00F37BF9">
            <w:pPr>
              <w:pStyle w:val="P68B1DB1-Normal12"/>
              <w:spacing w:beforeAutospacing="1" w:after="120"/>
              <w:rPr>
                <w:noProof/>
                <w:lang w:val="de-DE"/>
              </w:rPr>
            </w:pPr>
            <w:r w:rsidRPr="00170422">
              <w:rPr>
                <w:noProof/>
                <w:lang w:val="de-DE"/>
              </w:rPr>
              <w:t xml:space="preserve">— für die gewogene durchschnittliche Zahlungsfrist („tempo medio di ritardo ponderato“): höchstens 0 Tage; </w:t>
            </w:r>
          </w:p>
          <w:p w14:paraId="61F0A25D" w14:textId="77777777" w:rsidR="0057163C" w:rsidRPr="00170422" w:rsidRDefault="00F37BF9">
            <w:pPr>
              <w:pStyle w:val="P68B1DB1-Normal12"/>
              <w:spacing w:before="100" w:beforeAutospacing="1" w:after="120"/>
              <w:rPr>
                <w:noProof/>
                <w:lang w:val="de-DE"/>
              </w:rPr>
            </w:pPr>
            <w:r w:rsidRPr="00170422">
              <w:rPr>
                <w:noProof/>
                <w:lang w:val="de-DE"/>
              </w:rPr>
              <w:t>Darüber hinaus darf die Differenz zwischen der ungewichteten durchschnittlichen Zahlungsfrist („tempo medio di pagamento semplice“) und der ge</w:t>
            </w:r>
            <w:r w:rsidRPr="00170422">
              <w:rPr>
                <w:noProof/>
                <w:lang w:val="de-DE"/>
              </w:rPr>
              <w:t>wichteten durchschnittlichen Zahlungsfrist 20 Tage nicht überschreiten, es sei denn, die ungewichtete durchschnittliche Zahlungsfrist beträgt weniger als 60 Tage.</w:t>
            </w:r>
          </w:p>
        </w:tc>
      </w:tr>
      <w:tr w:rsidR="0057163C" w:rsidRPr="00170422" w14:paraId="7125BB3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C2E64" w14:textId="61C60670" w:rsidR="0057163C" w:rsidRPr="00170422" w:rsidRDefault="00F37BF9">
            <w:pPr>
              <w:pStyle w:val="P68B1DB1-Normal11"/>
              <w:jc w:val="center"/>
              <w:rPr>
                <w:rFonts w:cs="Arial"/>
                <w:noProof/>
                <w:szCs w:val="20"/>
                <w:lang w:val="de-DE"/>
              </w:rPr>
            </w:pPr>
            <w:r w:rsidRPr="00170422">
              <w:rPr>
                <w:noProof/>
                <w:lang w:val="de-DE"/>
              </w:rPr>
              <w:t>M1C1-96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CC87D2"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8366CB"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B5BF9" w14:textId="7E3062D2" w:rsidR="0057163C" w:rsidRPr="00170422" w:rsidRDefault="00F37BF9">
            <w:pPr>
              <w:pStyle w:val="P68B1DB1-Normal11"/>
              <w:jc w:val="center"/>
              <w:rPr>
                <w:rFonts w:cs="Arial"/>
                <w:noProof/>
                <w:szCs w:val="20"/>
                <w:lang w:val="de-DE"/>
              </w:rPr>
            </w:pPr>
            <w:r w:rsidRPr="00170422">
              <w:rPr>
                <w:noProof/>
                <w:lang w:val="de-DE"/>
              </w:rPr>
              <w:t>Durchschnittlicher Zeitraum zwischen der Frist für den Eingang der Angebote und dem Datum der Vertragsunterzeichnung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464A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273F8D" w14:textId="45A56336"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BDE3FA" w14:textId="66C3C40A" w:rsidR="0057163C" w:rsidRPr="00170422" w:rsidRDefault="00F37BF9">
            <w:pPr>
              <w:pStyle w:val="P68B1DB1-Normal11"/>
              <w:jc w:val="center"/>
              <w:rPr>
                <w:rFonts w:cs="Arial"/>
                <w:noProof/>
                <w:szCs w:val="20"/>
                <w:lang w:val="de-DE"/>
              </w:rPr>
            </w:pPr>
            <w:r w:rsidRPr="00170422">
              <w:rPr>
                <w:noProof/>
                <w:lang w:val="de-DE"/>
              </w:rPr>
              <w:t>100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DFF344" w14:textId="3118E7FB" w:rsidR="0057163C" w:rsidRPr="00170422" w:rsidRDefault="00F37BF9">
            <w:pPr>
              <w:pStyle w:val="P68B1DB1-Normal12"/>
              <w:jc w:val="center"/>
              <w:rPr>
                <w:rFonts w:cs="Arial"/>
                <w:noProof/>
                <w:lang w:val="de-DE"/>
              </w:rPr>
            </w:pPr>
            <w:r w:rsidRPr="00170422">
              <w:rPr>
                <w:noProof/>
                <w:lang w:val="de-DE"/>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464E1"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EB1CD" w14:textId="77777777" w:rsidR="0057163C" w:rsidRPr="00170422" w:rsidRDefault="00F37BF9">
            <w:pPr>
              <w:pStyle w:val="P68B1DB1-Normal12"/>
              <w:jc w:val="center"/>
              <w:rPr>
                <w:rFonts w:cs="Arial"/>
                <w:noProof/>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F13FB3" w14:textId="1A78FD6C" w:rsidR="0057163C" w:rsidRPr="00170422" w:rsidRDefault="00F37BF9">
            <w:pPr>
              <w:pStyle w:val="P68B1DB1-Normal19"/>
              <w:spacing w:before="100" w:beforeAutospacing="1" w:after="120"/>
              <w:rPr>
                <w:rFonts w:ascii="Arial Narrow" w:hAnsi="Arial Narrow" w:cs="Arial"/>
                <w:noProof/>
                <w:lang w:val="de-DE"/>
              </w:rPr>
            </w:pPr>
            <w:r w:rsidRPr="00170422">
              <w:rPr>
                <w:rFonts w:ascii="Arial Narrow" w:hAnsi="Arial Narrow"/>
                <w:noProof/>
                <w:lang w:val="de-DE"/>
              </w:rPr>
              <w:t>Auf der Grundlage der Daten, die aus der nationalen IT-Datenbank eSender der ANAC Banca Dati N</w:t>
            </w:r>
            <w:r w:rsidRPr="00170422">
              <w:rPr>
                <w:rFonts w:ascii="Arial Narrow" w:hAnsi="Arial Narrow"/>
                <w:noProof/>
                <w:lang w:val="de-DE"/>
              </w:rPr>
              <w:t>azionale Contratti Pubblici und der Datenbank von TED extrahiert wurden, wird die durchschnittliche Zeitspanne zwischen der Frist für den Eingang der Angebote und dem Datum der Vertragsunterzeichnung über einen Zeitraum von zwölf Monaten, bei dem das Datum</w:t>
            </w:r>
            <w:r w:rsidRPr="00170422">
              <w:rPr>
                <w:rFonts w:ascii="Arial Narrow" w:hAnsi="Arial Narrow"/>
                <w:noProof/>
                <w:lang w:val="de-DE"/>
              </w:rPr>
              <w:t xml:space="preserve"> der Unterzeichnung des Vertrags zugrunde gelegt wird, der frühestens am 1.</w:t>
            </w:r>
            <w:r w:rsidRPr="00170422">
              <w:rPr>
                <w:rFonts w:ascii="Arial Narrow" w:eastAsia="Arial Narrow" w:hAnsi="Arial Narrow" w:cs="Arial Narrow"/>
                <w:noProof/>
                <w:vertAlign w:val="superscript"/>
                <w:lang w:val="de-DE"/>
              </w:rPr>
              <w:t>September</w:t>
            </w:r>
            <w:r w:rsidRPr="00170422">
              <w:rPr>
                <w:rFonts w:ascii="Arial Narrow" w:hAnsi="Arial Narrow"/>
                <w:noProof/>
                <w:lang w:val="de-DE"/>
              </w:rPr>
              <w:t xml:space="preserve"> 2024 beginnt, gegenüber dem im EU-Binnenmarktanzeiger veröffentlichten Indikator für die Entscheidungsgeschwindigkeit von 2018 für Aufträge oberhalb des Schwellenwerts der</w:t>
            </w:r>
            <w:r w:rsidRPr="00170422">
              <w:rPr>
                <w:rFonts w:ascii="Arial Narrow" w:hAnsi="Arial Narrow"/>
                <w:noProof/>
                <w:lang w:val="de-DE"/>
              </w:rPr>
              <w:t xml:space="preserve"> EU-Vergaberichtlinien um mindestens 20 % verkürzt.</w:t>
            </w:r>
          </w:p>
        </w:tc>
      </w:tr>
      <w:tr w:rsidR="0057163C" w:rsidRPr="00170422" w14:paraId="248E972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D5E97" w14:textId="77777777" w:rsidR="0057163C" w:rsidRPr="00170422" w:rsidRDefault="00F37BF9">
            <w:pPr>
              <w:pStyle w:val="P68B1DB1-Normal11"/>
              <w:jc w:val="center"/>
              <w:rPr>
                <w:noProof/>
                <w:szCs w:val="20"/>
                <w:lang w:val="de-DE"/>
              </w:rPr>
            </w:pPr>
            <w:r w:rsidRPr="00170422">
              <w:rPr>
                <w:noProof/>
                <w:lang w:val="de-DE"/>
              </w:rPr>
              <w:t>M1C1-97ter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2A6AF" w14:textId="77777777" w:rsidR="0057163C" w:rsidRPr="00170422" w:rsidRDefault="00F37BF9">
            <w:pPr>
              <w:pStyle w:val="P68B1DB1-Normal11"/>
              <w:jc w:val="center"/>
              <w:rPr>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7193FE" w14:textId="77777777" w:rsidR="0057163C" w:rsidRPr="00170422" w:rsidRDefault="00F37BF9">
            <w:pPr>
              <w:pStyle w:val="P68B1DB1-Normal12"/>
              <w:jc w:val="center"/>
              <w:rPr>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73A09" w14:textId="5B280DA0" w:rsidR="0057163C" w:rsidRPr="00170422" w:rsidRDefault="00F37BF9">
            <w:pPr>
              <w:pStyle w:val="P68B1DB1-Normal11"/>
              <w:jc w:val="center"/>
              <w:rPr>
                <w:noProof/>
                <w:szCs w:val="20"/>
                <w:lang w:val="de-DE"/>
              </w:rPr>
            </w:pPr>
            <w:r w:rsidRPr="00170422">
              <w:rPr>
                <w:noProof/>
                <w:lang w:val="de-DE"/>
              </w:rPr>
              <w:t>Maßnahmen im Zusammenhang mit der Ausführungsgeschwindigkeit</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A3F0B" w14:textId="77777777" w:rsidR="0057163C" w:rsidRPr="00170422" w:rsidRDefault="00F37BF9">
            <w:pPr>
              <w:pStyle w:val="P68B1DB1-Normal12"/>
              <w:jc w:val="center"/>
              <w:rPr>
                <w:noProof/>
                <w:lang w:val="de-DE"/>
              </w:rPr>
            </w:pPr>
            <w:r w:rsidRPr="00170422">
              <w:rPr>
                <w:noProof/>
                <w:lang w:val="de-DE"/>
              </w:rPr>
              <w:t xml:space="preserve">Annahme von Maßnahmen im Zusammenhang mit der </w:t>
            </w:r>
            <w:r w:rsidRPr="00170422">
              <w:rPr>
                <w:noProof/>
                <w:lang w:val="de-DE"/>
              </w:rPr>
              <w:t>Geschwindigkeit der Ausführung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3F52"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FAB7"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D14B9" w14:textId="77777777" w:rsidR="0057163C" w:rsidRPr="00170422" w:rsidRDefault="00F37BF9">
            <w:pPr>
              <w:pStyle w:val="P68B1DB1-Normal11"/>
              <w:jc w:val="center"/>
              <w:rPr>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A0D9AB" w14:textId="77777777" w:rsidR="0057163C" w:rsidRPr="00170422" w:rsidRDefault="00F37BF9">
            <w:pPr>
              <w:pStyle w:val="P68B1DB1-Normal11"/>
              <w:jc w:val="center"/>
              <w:rPr>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B5482" w14:textId="77777777" w:rsidR="0057163C" w:rsidRPr="00170422" w:rsidRDefault="00F37BF9">
            <w:pPr>
              <w:pStyle w:val="P68B1DB1-Normal11"/>
              <w:jc w:val="center"/>
              <w:rPr>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5BB78" w14:textId="61CC5F0D" w:rsidR="0057163C" w:rsidRPr="00170422" w:rsidRDefault="00F37BF9">
            <w:pPr>
              <w:pStyle w:val="P68B1DB1-ListParagraph13"/>
              <w:numPr>
                <w:ilvl w:val="0"/>
                <w:numId w:val="72"/>
              </w:numPr>
              <w:spacing w:before="100" w:beforeAutospacing="1" w:after="120" w:line="240" w:lineRule="auto"/>
              <w:ind w:left="245" w:hanging="284"/>
              <w:jc w:val="both"/>
              <w:rPr>
                <w:noProof/>
                <w:lang w:val="de-DE"/>
              </w:rPr>
            </w:pPr>
            <w:r w:rsidRPr="00170422">
              <w:rPr>
                <w:noProof/>
                <w:lang w:val="de-DE"/>
              </w:rPr>
              <w:t>Veröffentlichung neuer technischer Vorschriften für die Erhebung von Informationen für die digitale Überwachung der Ausführung öffentlicher Aufträge auf der Website von Agenzia pe</w:t>
            </w:r>
            <w:r w:rsidRPr="00170422">
              <w:rPr>
                <w:noProof/>
                <w:lang w:val="de-DE"/>
              </w:rPr>
              <w:t>r l’Italia Digitale (AGID).</w:t>
            </w:r>
          </w:p>
          <w:p w14:paraId="37A5C5EF" w14:textId="77777777" w:rsidR="0057163C" w:rsidRPr="00170422" w:rsidRDefault="0057163C">
            <w:pPr>
              <w:pStyle w:val="ListParagraph"/>
              <w:spacing w:before="100" w:beforeAutospacing="1"/>
              <w:ind w:left="245"/>
              <w:rPr>
                <w:rFonts w:ascii="Arial Narrow" w:hAnsi="Arial Narrow"/>
                <w:noProof/>
                <w:color w:val="006100"/>
                <w:sz w:val="20"/>
                <w:szCs w:val="20"/>
                <w:lang w:val="de-DE"/>
              </w:rPr>
            </w:pPr>
          </w:p>
          <w:p w14:paraId="6DA72568" w14:textId="786759C0" w:rsidR="0057163C" w:rsidRPr="00170422" w:rsidRDefault="00F37BF9">
            <w:pPr>
              <w:pStyle w:val="P68B1DB1-ListParagraph13"/>
              <w:numPr>
                <w:ilvl w:val="0"/>
                <w:numId w:val="72"/>
              </w:numPr>
              <w:spacing w:before="100" w:beforeAutospacing="1" w:after="120" w:line="240" w:lineRule="auto"/>
              <w:ind w:left="245" w:hanging="284"/>
              <w:jc w:val="both"/>
              <w:rPr>
                <w:noProof/>
                <w:lang w:val="de-DE"/>
              </w:rPr>
            </w:pPr>
            <w:r w:rsidRPr="00170422">
              <w:rPr>
                <w:noProof/>
                <w:lang w:val="de-DE"/>
              </w:rPr>
              <w:t>Unterzeichnung einer Vereinbarung zwischen dem Ministerium für Wirtschaft und Finanzen und der Autorità Nazionale Anticorruzione (ANAC) zur Einführung technischer Vorschriften für die Interoperabilität der Daten über die öffent</w:t>
            </w:r>
            <w:r w:rsidRPr="00170422">
              <w:rPr>
                <w:noProof/>
                <w:lang w:val="de-DE"/>
              </w:rPr>
              <w:t>lichen Finanzen und die Zahlungen für öffentliche Arbeiten mit der Datenbank der ANAC (Banca Dati Nazionale dei Contratti Pubblici).</w:t>
            </w:r>
          </w:p>
          <w:p w14:paraId="405300D7" w14:textId="77777777" w:rsidR="0057163C" w:rsidRPr="00170422" w:rsidRDefault="0057163C">
            <w:pPr>
              <w:pStyle w:val="ListParagraph"/>
              <w:rPr>
                <w:rFonts w:ascii="Arial Narrow" w:hAnsi="Arial Narrow"/>
                <w:noProof/>
                <w:color w:val="006100"/>
                <w:sz w:val="20"/>
                <w:szCs w:val="20"/>
                <w:lang w:val="de-DE"/>
              </w:rPr>
            </w:pPr>
          </w:p>
          <w:p w14:paraId="4B540DE6" w14:textId="48BACB6D" w:rsidR="0057163C" w:rsidRPr="00170422" w:rsidRDefault="00F37BF9">
            <w:pPr>
              <w:pStyle w:val="P68B1DB1-ListParagraph13"/>
              <w:numPr>
                <w:ilvl w:val="0"/>
                <w:numId w:val="72"/>
              </w:numPr>
              <w:spacing w:before="100" w:beforeAutospacing="1" w:after="120" w:line="240" w:lineRule="auto"/>
              <w:ind w:left="245" w:hanging="284"/>
              <w:jc w:val="both"/>
              <w:rPr>
                <w:noProof/>
                <w:lang w:val="de-DE"/>
              </w:rPr>
            </w:pPr>
            <w:r w:rsidRPr="00170422">
              <w:rPr>
                <w:noProof/>
                <w:lang w:val="de-DE"/>
              </w:rPr>
              <w:t>Inkrafttreten von Rechtsakten, die es öffentlichen Auftraggebern ermöglichen, die Einsparungen, die sich aus Vergaben unte</w:t>
            </w:r>
            <w:r w:rsidRPr="00170422">
              <w:rPr>
                <w:noProof/>
                <w:lang w:val="de-DE"/>
              </w:rPr>
              <w:t xml:space="preserve">rhalb des Grundpreises ergeben, zur Finanzierung von Boni für die vorzeitige Fertigstellung der Arbeiten vorzusehen und zu nutzen. </w:t>
            </w:r>
          </w:p>
          <w:p w14:paraId="72A60991" w14:textId="77777777" w:rsidR="0057163C" w:rsidRPr="00170422" w:rsidRDefault="0057163C">
            <w:pPr>
              <w:pStyle w:val="ListParagraph"/>
              <w:rPr>
                <w:rFonts w:ascii="Arial Narrow" w:hAnsi="Arial Narrow"/>
                <w:noProof/>
                <w:color w:val="006100"/>
                <w:sz w:val="20"/>
                <w:szCs w:val="20"/>
                <w:lang w:val="de-DE"/>
              </w:rPr>
            </w:pPr>
          </w:p>
          <w:p w14:paraId="66C9F7C9" w14:textId="543A8913" w:rsidR="0057163C" w:rsidRPr="00170422" w:rsidRDefault="00F37BF9">
            <w:pPr>
              <w:pStyle w:val="P68B1DB1-ListParagraph13"/>
              <w:numPr>
                <w:ilvl w:val="0"/>
                <w:numId w:val="72"/>
              </w:numPr>
              <w:spacing w:before="100" w:beforeAutospacing="1" w:after="120" w:line="240" w:lineRule="auto"/>
              <w:ind w:left="245" w:hanging="284"/>
              <w:jc w:val="both"/>
              <w:rPr>
                <w:noProof/>
                <w:lang w:val="de-DE"/>
              </w:rPr>
            </w:pPr>
            <w:r w:rsidRPr="00170422">
              <w:rPr>
                <w:noProof/>
                <w:lang w:val="de-DE"/>
              </w:rPr>
              <w:t>Veröffentlichung auf der Website des Ministeriums für Infrastruktur und Verkehr (MIT) von Leitlinien, die vom MIT nach Kons</w:t>
            </w:r>
            <w:r w:rsidRPr="00170422">
              <w:rPr>
                <w:noProof/>
                <w:lang w:val="de-DE"/>
              </w:rPr>
              <w:t>ultation der ANAC angenommen wurden, zu Klauseln über den vorzeitigen Abschluss von Bonuszahlungen und zum Musterinhalt von Kooperationsvereinbarungen gemäß Artikel 82bis des gesetzesvertretenden Dekrets 36/2023 (Gesetz über das öffentliche Beschaffungswes</w:t>
            </w:r>
            <w:r w:rsidRPr="00170422">
              <w:rPr>
                <w:noProof/>
                <w:lang w:val="de-DE"/>
              </w:rPr>
              <w:t xml:space="preserve">en), um die Fertigstellungszeit zu verkürzen. </w:t>
            </w:r>
          </w:p>
          <w:p w14:paraId="6D33BA73" w14:textId="77777777" w:rsidR="0057163C" w:rsidRPr="00170422" w:rsidRDefault="0057163C">
            <w:pPr>
              <w:pStyle w:val="ListParagraph"/>
              <w:rPr>
                <w:rFonts w:ascii="Arial Narrow" w:hAnsi="Arial Narrow"/>
                <w:noProof/>
                <w:color w:val="006100"/>
                <w:sz w:val="20"/>
                <w:szCs w:val="20"/>
                <w:lang w:val="de-DE"/>
              </w:rPr>
            </w:pPr>
          </w:p>
          <w:p w14:paraId="7484C536" w14:textId="64A970EC" w:rsidR="0057163C" w:rsidRPr="00170422" w:rsidRDefault="00F37BF9">
            <w:pPr>
              <w:pStyle w:val="P68B1DB1-ListParagraph13"/>
              <w:numPr>
                <w:ilvl w:val="0"/>
                <w:numId w:val="72"/>
              </w:numPr>
              <w:spacing w:before="100" w:beforeAutospacing="1" w:after="120" w:line="240" w:lineRule="auto"/>
              <w:ind w:left="245" w:hanging="284"/>
              <w:jc w:val="both"/>
              <w:rPr>
                <w:noProof/>
                <w:lang w:val="de-DE"/>
              </w:rPr>
            </w:pPr>
            <w:r w:rsidRPr="00170422">
              <w:rPr>
                <w:noProof/>
                <w:lang w:val="de-DE"/>
              </w:rPr>
              <w:t>Veröffentlichung von Leitlinien zur Unterstützung öffentlicher Auftraggeber bei der Nutzung des Gebäudeinformationsmodells (BIM) für öffentliche Arbeiten auf der Website des MIT.</w:t>
            </w:r>
          </w:p>
        </w:tc>
      </w:tr>
      <w:tr w:rsidR="0057163C" w:rsidRPr="00170422" w14:paraId="2B12BC57"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F08F" w14:textId="77777777" w:rsidR="0057163C" w:rsidRPr="00170422" w:rsidRDefault="00F37BF9">
            <w:pPr>
              <w:pStyle w:val="P68B1DB1-Normal11"/>
              <w:jc w:val="center"/>
              <w:rPr>
                <w:rFonts w:cs="Arial"/>
                <w:noProof/>
                <w:szCs w:val="20"/>
                <w:lang w:val="de-DE"/>
              </w:rPr>
            </w:pPr>
            <w:r w:rsidRPr="00170422">
              <w:rPr>
                <w:noProof/>
                <w:lang w:val="de-DE"/>
              </w:rPr>
              <w:t>M1C1-98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1656E" w14:textId="77777777" w:rsidR="0057163C" w:rsidRPr="00170422" w:rsidRDefault="00F37BF9">
            <w:pPr>
              <w:pStyle w:val="P68B1DB1-Normal11"/>
              <w:jc w:val="center"/>
              <w:rPr>
                <w:rFonts w:cs="Arial"/>
                <w:noProof/>
                <w:szCs w:val="20"/>
                <w:lang w:val="de-DE"/>
              </w:rPr>
            </w:pPr>
            <w:r w:rsidRPr="00170422">
              <w:rPr>
                <w:noProof/>
                <w:lang w:val="de-DE"/>
              </w:rPr>
              <w:t xml:space="preserve">Reform 1.10: Reform </w:t>
            </w:r>
            <w:r w:rsidRPr="00170422">
              <w:rPr>
                <w:noProof/>
                <w:lang w:val="de-DE"/>
              </w:rPr>
              <w:t>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D11BD"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6543" w14:textId="77777777" w:rsidR="0057163C" w:rsidRPr="00170422" w:rsidRDefault="00F37BF9">
            <w:pPr>
              <w:pStyle w:val="P68B1DB1-Normal11"/>
              <w:jc w:val="center"/>
              <w:rPr>
                <w:rFonts w:cs="Arial"/>
                <w:noProof/>
                <w:szCs w:val="20"/>
                <w:lang w:val="de-DE"/>
              </w:rPr>
            </w:pPr>
            <w:r w:rsidRPr="00170422">
              <w:rPr>
                <w:noProof/>
                <w:lang w:val="de-DE"/>
              </w:rPr>
              <w:t>Beamte, die im Rahmen der Professionalisierungsstrategie für öffentliche Auftraggeber geschult wurden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A0D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B4349"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610ACE" w14:textId="77777777" w:rsidR="0057163C" w:rsidRPr="00170422" w:rsidRDefault="00F37BF9">
            <w:pPr>
              <w:pStyle w:val="P68B1DB1-Normal11"/>
              <w:jc w:val="center"/>
              <w:rPr>
                <w:rFonts w:cs="Arial"/>
                <w:noProof/>
                <w:szCs w:val="20"/>
                <w:lang w:val="de-DE"/>
              </w:rPr>
            </w:pPr>
            <w:r w:rsidRPr="00170422">
              <w:rPr>
                <w:noProof/>
                <w:lang w:val="de-DE"/>
              </w:rPr>
              <w:t>20 000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E85F06" w14:textId="77777777" w:rsidR="0057163C" w:rsidRPr="00170422" w:rsidRDefault="00F37BF9">
            <w:pPr>
              <w:pStyle w:val="P68B1DB1-Normal11"/>
              <w:jc w:val="center"/>
              <w:rPr>
                <w:rFonts w:cs="Arial"/>
                <w:noProof/>
                <w:szCs w:val="20"/>
                <w:lang w:val="de-DE"/>
              </w:rPr>
            </w:pPr>
            <w:r w:rsidRPr="00170422">
              <w:rPr>
                <w:noProof/>
                <w:lang w:val="de-DE"/>
              </w:rPr>
              <w:t>40 000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2904"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3C755E"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54BD"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 xml:space="preserve">Mindestens 40000 Beamte wurden im Rahmen der </w:t>
            </w:r>
            <w:r w:rsidRPr="00170422">
              <w:rPr>
                <w:noProof/>
                <w:lang w:val="de-DE"/>
              </w:rPr>
              <w:t>Professionalisierungsstrategie für öffentliche Auftraggeber geschult.</w:t>
            </w:r>
          </w:p>
        </w:tc>
      </w:tr>
      <w:tr w:rsidR="0057163C" w:rsidRPr="00170422" w14:paraId="37C3BA6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D01BBE" w14:textId="77777777" w:rsidR="0057163C" w:rsidRPr="00170422" w:rsidRDefault="00F37BF9">
            <w:pPr>
              <w:pStyle w:val="P68B1DB1-Normal11"/>
              <w:jc w:val="center"/>
              <w:rPr>
                <w:rFonts w:cs="Arial"/>
                <w:noProof/>
                <w:szCs w:val="20"/>
                <w:lang w:val="de-DE"/>
              </w:rPr>
            </w:pPr>
            <w:r w:rsidRPr="00170422">
              <w:rPr>
                <w:noProof/>
                <w:lang w:val="de-DE"/>
              </w:rPr>
              <w:t>M1C1-98bis</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4FC1A" w14:textId="77777777" w:rsidR="0057163C" w:rsidRPr="00170422" w:rsidRDefault="00F37BF9">
            <w:pPr>
              <w:pStyle w:val="P68B1DB1-Normal11"/>
              <w:jc w:val="center"/>
              <w:rPr>
                <w:rFonts w:cs="Arial"/>
                <w:noProof/>
                <w:szCs w:val="20"/>
                <w:lang w:val="de-DE"/>
              </w:rPr>
            </w:pPr>
            <w:r w:rsidRPr="00170422">
              <w:rPr>
                <w:noProof/>
                <w:lang w:val="de-DE"/>
              </w:rPr>
              <w:t>Reform 1.10: Reform des Rechtsrahmens für das öffentliche 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82E23"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DED380" w14:textId="77777777" w:rsidR="0057163C" w:rsidRPr="00170422" w:rsidRDefault="00F37BF9">
            <w:pPr>
              <w:pStyle w:val="P68B1DB1-Normal11"/>
              <w:jc w:val="center"/>
              <w:rPr>
                <w:rFonts w:cs="Arial"/>
                <w:noProof/>
                <w:szCs w:val="20"/>
                <w:lang w:val="de-DE"/>
              </w:rPr>
            </w:pPr>
            <w:r w:rsidRPr="00170422">
              <w:rPr>
                <w:noProof/>
                <w:lang w:val="de-DE"/>
              </w:rPr>
              <w:t xml:space="preserve">Beamte, die im Rahmen der Professionalisierungsstrategie für öffentliche Auftraggeber geschult </w:t>
            </w:r>
            <w:r w:rsidRPr="00170422">
              <w:rPr>
                <w:noProof/>
                <w:lang w:val="de-DE"/>
              </w:rPr>
              <w:t>wurden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4A6B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5CDD27"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9CE1C2" w14:textId="77777777" w:rsidR="0057163C" w:rsidRPr="00170422" w:rsidRDefault="00F37BF9">
            <w:pPr>
              <w:pStyle w:val="P68B1DB1-Normal11"/>
              <w:jc w:val="center"/>
              <w:rPr>
                <w:rFonts w:cs="Arial"/>
                <w:noProof/>
                <w:szCs w:val="20"/>
                <w:lang w:val="de-DE"/>
              </w:rPr>
            </w:pPr>
            <w:r w:rsidRPr="00170422">
              <w:rPr>
                <w:noProof/>
                <w:lang w:val="de-DE"/>
              </w:rPr>
              <w:t>40 000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8D98FC" w14:textId="77777777" w:rsidR="0057163C" w:rsidRPr="00170422" w:rsidRDefault="00F37BF9">
            <w:pPr>
              <w:pStyle w:val="P68B1DB1-Normal11"/>
              <w:jc w:val="center"/>
              <w:rPr>
                <w:rFonts w:cs="Arial"/>
                <w:noProof/>
                <w:szCs w:val="20"/>
                <w:lang w:val="de-DE"/>
              </w:rPr>
            </w:pPr>
            <w:r w:rsidRPr="00170422">
              <w:rPr>
                <w:noProof/>
                <w:lang w:val="de-DE"/>
              </w:rPr>
              <w:t>60 000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2B64A" w14:textId="77777777" w:rsidR="0057163C" w:rsidRPr="00170422" w:rsidRDefault="00F37BF9">
            <w:pPr>
              <w:pStyle w:val="P68B1DB1-Normal12"/>
              <w:jc w:val="center"/>
              <w:rPr>
                <w:rFonts w:cs="Arial"/>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881E4F"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FF85FA" w14:textId="77777777" w:rsidR="0057163C" w:rsidRPr="00170422" w:rsidRDefault="00F37BF9">
            <w:pPr>
              <w:pStyle w:val="P68B1DB1-Normal12"/>
              <w:spacing w:before="100" w:beforeAutospacing="1" w:after="120"/>
              <w:rPr>
                <w:noProof/>
                <w:lang w:val="de-DE"/>
              </w:rPr>
            </w:pPr>
            <w:r w:rsidRPr="00170422">
              <w:rPr>
                <w:noProof/>
                <w:lang w:val="de-DE"/>
              </w:rPr>
              <w:t>Mindestens 60000 Beamte wurden im Rahmen der Professionalisierungsstrategie für öffentliche Auftraggeber geschult. Die Gesamtzahl der Beamten, die bereits in den Vorjahren ausgebildet wurden und deren Ausbildun</w:t>
            </w:r>
            <w:r w:rsidRPr="00170422">
              <w:rPr>
                <w:noProof/>
                <w:lang w:val="de-DE"/>
              </w:rPr>
              <w:t>g für die Ziele M1C1-86 und M1C1-98 gemeldet wurde, darf nur dann berücksichtigt werden, wenn sie eine höhere, spezialisierte oder fortgeschrittene Ausbildung absolviert haben.</w:t>
            </w:r>
          </w:p>
        </w:tc>
      </w:tr>
      <w:tr w:rsidR="0057163C" w:rsidRPr="00170422" w14:paraId="214E74A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D23776" w14:textId="77777777" w:rsidR="0057163C" w:rsidRPr="00170422" w:rsidRDefault="00F37BF9">
            <w:pPr>
              <w:pStyle w:val="P68B1DB1-Normal11"/>
              <w:jc w:val="center"/>
              <w:rPr>
                <w:rFonts w:cs="Arial"/>
                <w:noProof/>
                <w:szCs w:val="20"/>
                <w:lang w:val="de-DE"/>
              </w:rPr>
            </w:pPr>
            <w:r w:rsidRPr="00170422">
              <w:rPr>
                <w:noProof/>
                <w:lang w:val="de-DE"/>
              </w:rPr>
              <w:t>M1C1-99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69F5B" w14:textId="77777777" w:rsidR="0057163C" w:rsidRPr="00170422" w:rsidRDefault="00F37BF9">
            <w:pPr>
              <w:pStyle w:val="P68B1DB1-Normal11"/>
              <w:jc w:val="center"/>
              <w:rPr>
                <w:rFonts w:cs="Arial"/>
                <w:noProof/>
                <w:szCs w:val="20"/>
                <w:lang w:val="de-DE"/>
              </w:rPr>
            </w:pPr>
            <w:r w:rsidRPr="00170422">
              <w:rPr>
                <w:noProof/>
                <w:lang w:val="de-DE"/>
              </w:rPr>
              <w:t xml:space="preserve">Reform 1.10: Reform des Rechtsrahmens für das öffentliche </w:t>
            </w:r>
            <w:r w:rsidRPr="00170422">
              <w:rPr>
                <w:noProof/>
                <w:lang w:val="de-DE"/>
              </w:rPr>
              <w:t>Auftragswesen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C38B5"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38A4" w14:textId="77777777" w:rsidR="0057163C" w:rsidRPr="00170422" w:rsidRDefault="00F37BF9">
            <w:pPr>
              <w:pStyle w:val="P68B1DB1-Normal11"/>
              <w:jc w:val="center"/>
              <w:rPr>
                <w:rFonts w:cs="Arial"/>
                <w:noProof/>
                <w:szCs w:val="20"/>
                <w:lang w:val="de-DE"/>
              </w:rPr>
            </w:pPr>
            <w:r w:rsidRPr="00170422">
              <w:rPr>
                <w:noProof/>
                <w:lang w:val="de-DE"/>
              </w:rPr>
              <w:t>Öffentliche Auftraggeber, die dynamische Beschaffungssysteme verwenden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81D0F5" w14:textId="77777777" w:rsidR="0057163C" w:rsidRPr="00170422" w:rsidRDefault="00F37BF9">
            <w:pPr>
              <w:pStyle w:val="P68B1DB1-Normal11"/>
              <w:jc w:val="center"/>
              <w:rPr>
                <w:rFonts w:cs="Arial"/>
                <w:noProof/>
                <w:szCs w:val="20"/>
                <w:lang w:val="de-DE"/>
              </w:rPr>
            </w:pPr>
            <w:r w:rsidRPr="00170422">
              <w:rPr>
                <w:noProof/>
                <w:lang w:val="de-DE"/>
              </w:rPr>
              <w:t>Prozentsatz der zentralen öffentlichen Auftraggeber, die dynamische Beschaffungssysteme gemäß der EU-Richtlinie 2014/24 verwenden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3A17A1"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9400C" w14:textId="77777777" w:rsidR="0057163C" w:rsidRPr="00170422" w:rsidRDefault="00F37BF9">
            <w:pPr>
              <w:pStyle w:val="P68B1DB1-Normal11"/>
              <w:jc w:val="center"/>
              <w:rPr>
                <w:rFonts w:cs="Arial"/>
                <w:noProof/>
                <w:szCs w:val="20"/>
                <w:lang w:val="de-DE"/>
              </w:rPr>
            </w:pPr>
            <w:r w:rsidRPr="00170422">
              <w:rPr>
                <w:noProof/>
                <w:lang w:val="de-DE"/>
              </w:rPr>
              <w:t>15</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AEDEA" w14:textId="77777777" w:rsidR="0057163C" w:rsidRPr="00170422" w:rsidRDefault="00F37BF9">
            <w:pPr>
              <w:pStyle w:val="P68B1DB1-Normal11"/>
              <w:jc w:val="center"/>
              <w:rPr>
                <w:rFonts w:cs="Arial"/>
                <w:noProof/>
                <w:szCs w:val="20"/>
                <w:lang w:val="de-DE"/>
              </w:rPr>
            </w:pPr>
            <w:r w:rsidRPr="00170422">
              <w:rPr>
                <w:noProof/>
                <w:lang w:val="de-DE"/>
              </w:rPr>
              <w:t>20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561708" w14:textId="77777777" w:rsidR="0057163C" w:rsidRPr="00170422" w:rsidRDefault="00F37BF9">
            <w:pPr>
              <w:pStyle w:val="P68B1DB1-Normal11"/>
              <w:jc w:val="center"/>
              <w:rPr>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E4C78"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888B22" w14:textId="77777777" w:rsidR="0057163C" w:rsidRPr="00170422" w:rsidRDefault="00F37BF9">
            <w:pPr>
              <w:pStyle w:val="P68B1DB1-Normal12"/>
              <w:spacing w:before="100" w:beforeAutospacing="1" w:after="120"/>
              <w:rPr>
                <w:rFonts w:cs="Arial"/>
                <w:noProof/>
                <w:lang w:val="de-DE"/>
              </w:rPr>
            </w:pPr>
            <w:r w:rsidRPr="00170422">
              <w:rPr>
                <w:noProof/>
                <w:lang w:val="de-DE"/>
              </w:rPr>
              <w:t>Mindestens 20 % der öffentlichen Auftraggeber nutzen dynamische Beschaffungssysteme gemäß der Richtlinie 2014/24 (Beobachtungsfrist ab dem 1. Januar 2022). Bei den zentralen öffentlichen Auftraggebern handelt es sich um 250 öffentliche Verwaltungen (die am</w:t>
            </w:r>
            <w:r w:rsidRPr="00170422">
              <w:rPr>
                <w:noProof/>
                <w:lang w:val="de-DE"/>
              </w:rPr>
              <w:t xml:space="preserve"> 30. April 2021 im nationalen e-Procurement-System registriert wurden, das von Consip im Namen des MEF verwaltet wird).</w:t>
            </w:r>
          </w:p>
        </w:tc>
      </w:tr>
      <w:tr w:rsidR="0057163C" w:rsidRPr="00170422" w14:paraId="151ADB6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43D0FD" w14:textId="77777777" w:rsidR="0057163C" w:rsidRPr="00170422" w:rsidRDefault="00F37BF9">
            <w:pPr>
              <w:pStyle w:val="P68B1DB1-Normal11"/>
              <w:jc w:val="center"/>
              <w:rPr>
                <w:rFonts w:cs="Arial"/>
                <w:noProof/>
                <w:szCs w:val="20"/>
                <w:lang w:val="de-DE"/>
              </w:rPr>
            </w:pPr>
            <w:r w:rsidRPr="00170422">
              <w:rPr>
                <w:noProof/>
                <w:lang w:val="de-DE"/>
              </w:rPr>
              <w:t>M1C1-100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B53973" w14:textId="77777777" w:rsidR="0057163C" w:rsidRPr="00170422" w:rsidRDefault="00F37BF9">
            <w:pPr>
              <w:pStyle w:val="P68B1DB1-Normal11"/>
              <w:jc w:val="center"/>
              <w:rPr>
                <w:rFonts w:cs="Arial"/>
                <w:noProof/>
                <w:szCs w:val="20"/>
                <w:lang w:val="de-DE"/>
              </w:rPr>
            </w:pPr>
            <w:r w:rsidRPr="00170422">
              <w:rPr>
                <w:noProof/>
                <w:lang w:val="de-DE"/>
              </w:rPr>
              <w:t>Reform 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9CBD1"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CDF00" w14:textId="77777777" w:rsidR="0057163C" w:rsidRPr="00170422" w:rsidRDefault="00F37BF9">
            <w:pPr>
              <w:pStyle w:val="P68B1DB1-Normal11"/>
              <w:jc w:val="center"/>
              <w:rPr>
                <w:rFonts w:cs="Arial"/>
                <w:noProof/>
                <w:szCs w:val="20"/>
                <w:lang w:val="de-DE"/>
              </w:rPr>
            </w:pPr>
            <w:r w:rsidRPr="00170422">
              <w:rPr>
                <w:noProof/>
                <w:lang w:val="de-DE"/>
              </w:rPr>
              <w:t xml:space="preserve">Inkrafttreten von Rechtsvorschriften zur Verbesserung </w:t>
            </w:r>
            <w:r w:rsidRPr="00170422">
              <w:rPr>
                <w:noProof/>
                <w:lang w:val="de-DE"/>
              </w:rPr>
              <w:t>der Wirksamkeit der Ausgabenüberprüfung – Stärkung des Finanzministeriums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3E72F" w14:textId="77777777" w:rsidR="0057163C" w:rsidRPr="00170422" w:rsidRDefault="00F37BF9">
            <w:pPr>
              <w:pStyle w:val="P68B1DB1-Normal12"/>
              <w:jc w:val="center"/>
              <w:rPr>
                <w:rFonts w:cs="Arial"/>
                <w:noProof/>
                <w:lang w:val="de-DE"/>
              </w:rPr>
            </w:pPr>
            <w:r w:rsidRPr="00170422">
              <w:rPr>
                <w:noProof/>
                <w:lang w:val="de-DE"/>
              </w:rPr>
              <w:t>Gesetzliche Bestimmung über das Inkrafttreten des Gesetzes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88A3E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05C19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0BFC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2A3425"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1F5D23"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4DE8E" w14:textId="77777777" w:rsidR="0057163C" w:rsidRPr="00170422" w:rsidRDefault="00F37BF9">
            <w:pPr>
              <w:pStyle w:val="P68B1DB1-Normal12"/>
              <w:spacing w:before="100" w:beforeAutospacing="1" w:after="120"/>
              <w:rPr>
                <w:rFonts w:cs="Arial"/>
                <w:noProof/>
                <w:lang w:val="de-DE"/>
              </w:rPr>
            </w:pPr>
            <w:r w:rsidRPr="00170422">
              <w:rPr>
                <w:noProof/>
                <w:lang w:val="de-DE"/>
              </w:rPr>
              <w:t>Der überarbeitete Rahmen für Ausgabenüberprüfungen in zentralen staatlichen V</w:t>
            </w:r>
            <w:r w:rsidRPr="00170422">
              <w:rPr>
                <w:noProof/>
                <w:lang w:val="de-DE"/>
              </w:rPr>
              <w:t xml:space="preserve">erwaltungen (Ministerien) soll seine Wirksamkeit verbessern, indem die Rolle des Ministeriums für Wirtschaft und Finanzen gestärkt wird. Sie sieht insbesondere eine stärkere Rolle des Ministeriums für Wirtschaft und Finanzen bei der Ex-ante-Bewertung, den </w:t>
            </w:r>
            <w:r w:rsidRPr="00170422">
              <w:rPr>
                <w:noProof/>
                <w:lang w:val="de-DE"/>
              </w:rPr>
              <w:t>Überwachungsverfahren und der Ex-post-Bewertung vor, um die gründliche Durchführung der Überprüfungen und das Erreichen der angestrebten Ziele durchzusetzen.</w:t>
            </w:r>
          </w:p>
        </w:tc>
      </w:tr>
      <w:tr w:rsidR="0057163C" w:rsidRPr="00170422" w14:paraId="7DABC09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0EFBD" w14:textId="77777777" w:rsidR="0057163C" w:rsidRPr="00170422" w:rsidRDefault="00F37BF9">
            <w:pPr>
              <w:pStyle w:val="P68B1DB1-Normal11"/>
              <w:jc w:val="center"/>
              <w:rPr>
                <w:rFonts w:cs="Arial"/>
                <w:noProof/>
                <w:szCs w:val="20"/>
                <w:lang w:val="de-DE"/>
              </w:rPr>
            </w:pPr>
            <w:r w:rsidRPr="00170422">
              <w:rPr>
                <w:noProof/>
                <w:lang w:val="de-DE"/>
              </w:rPr>
              <w:t>M1C1-101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A0B44" w14:textId="77777777" w:rsidR="0057163C" w:rsidRPr="00170422" w:rsidRDefault="00F37BF9">
            <w:pPr>
              <w:pStyle w:val="P68B1DB1-Normal11"/>
              <w:jc w:val="center"/>
              <w:rPr>
                <w:rFonts w:cs="Arial"/>
                <w:noProof/>
                <w:szCs w:val="20"/>
                <w:lang w:val="de-DE"/>
              </w:rPr>
            </w:pPr>
            <w:r w:rsidRPr="00170422">
              <w:rPr>
                <w:noProof/>
                <w:lang w:val="de-DE"/>
              </w:rPr>
              <w:t>Reform 1.12:</w:t>
            </w:r>
          </w:p>
          <w:p w14:paraId="16EEEEDF" w14:textId="77777777" w:rsidR="0057163C" w:rsidRPr="00170422" w:rsidRDefault="00F37BF9">
            <w:pPr>
              <w:pStyle w:val="P68B1DB1-Normal11"/>
              <w:jc w:val="center"/>
              <w:rPr>
                <w:rFonts w:cs="Arial"/>
                <w:noProof/>
                <w:szCs w:val="20"/>
                <w:lang w:val="de-DE"/>
              </w:rPr>
            </w:pPr>
            <w:r w:rsidRPr="00170422">
              <w:rPr>
                <w:noProof/>
                <w:lang w:val="de-DE"/>
              </w:rPr>
              <w:t>Reform der Steuerverwaltung</w:t>
            </w:r>
          </w:p>
          <w:p w14:paraId="674E9935" w14:textId="77777777" w:rsidR="0057163C" w:rsidRPr="00170422" w:rsidRDefault="0057163C">
            <w:pPr>
              <w:jc w:val="center"/>
              <w:rPr>
                <w:rFonts w:ascii="Arial Narrow" w:hAnsi="Arial Narrow" w:cs="Arial"/>
                <w:noProof/>
                <w:color w:val="006100"/>
                <w:sz w:val="20"/>
                <w:szCs w:val="20"/>
                <w:lang w:val="de-DE"/>
              </w:rPr>
            </w:pP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868EF"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BE7B21" w14:textId="77777777" w:rsidR="0057163C" w:rsidRPr="00170422" w:rsidRDefault="00F37BF9">
            <w:pPr>
              <w:pStyle w:val="P68B1DB1-Normal12"/>
              <w:jc w:val="center"/>
              <w:rPr>
                <w:rFonts w:cs="Arial"/>
                <w:noProof/>
                <w:lang w:val="de-DE"/>
              </w:rPr>
            </w:pPr>
            <w:r w:rsidRPr="00170422">
              <w:rPr>
                <w:noProof/>
                <w:lang w:val="de-DE"/>
              </w:rPr>
              <w:t xml:space="preserve">Annahme einer Überprüfung </w:t>
            </w:r>
            <w:r w:rsidRPr="00170422">
              <w:rPr>
                <w:noProof/>
                <w:lang w:val="de-DE"/>
              </w:rPr>
              <w:t>möglicher Maßnahmen zur Bekämpfung der Steuerhinterziehung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686D1" w14:textId="77777777" w:rsidR="0057163C" w:rsidRPr="00170422" w:rsidRDefault="00F37BF9">
            <w:pPr>
              <w:pStyle w:val="P68B1DB1-Normal11"/>
              <w:jc w:val="center"/>
              <w:rPr>
                <w:rFonts w:cs="Arial"/>
                <w:noProof/>
                <w:szCs w:val="20"/>
                <w:lang w:val="de-DE"/>
              </w:rPr>
            </w:pPr>
            <w:r w:rsidRPr="00170422">
              <w:rPr>
                <w:noProof/>
                <w:lang w:val="de-DE"/>
              </w:rPr>
              <w:t>Veröffentlichung der 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ED3F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7AFD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31622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907CD1"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12C4C" w14:textId="77777777" w:rsidR="0057163C" w:rsidRPr="00170422" w:rsidRDefault="00F37BF9">
            <w:pPr>
              <w:pStyle w:val="P68B1DB1-Normal11"/>
              <w:jc w:val="center"/>
              <w:rPr>
                <w:rFonts w:cs="Arial"/>
                <w:noProof/>
                <w:szCs w:val="20"/>
                <w:lang w:val="de-DE"/>
              </w:rPr>
            </w:pPr>
            <w:r w:rsidRPr="00170422">
              <w:rPr>
                <w:noProof/>
                <w:lang w:val="de-DE"/>
              </w:rPr>
              <w:t>2021</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5FAA"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Einen Bericht anzunehmen, um die staatlichen Maßnahmen zur Verringerung der Steuerhinterziehung durch die unterlassene</w:t>
            </w:r>
            <w:r w:rsidRPr="00170422">
              <w:rPr>
                <w:noProof/>
                <w:lang w:val="de-DE"/>
              </w:rPr>
              <w:t xml:space="preserve"> Rechnungsstellung zu untermauern, insbesondere in den Sektoren, die am stärksten von Steuerhinterziehung betroffen sind, unter anderem durch gezielte Anreize für die Verbraucher.</w:t>
            </w:r>
          </w:p>
        </w:tc>
      </w:tr>
      <w:tr w:rsidR="0057163C" w:rsidRPr="00170422" w14:paraId="48FA3CE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076347" w14:textId="77777777" w:rsidR="0057163C" w:rsidRPr="00170422" w:rsidRDefault="00F37BF9">
            <w:pPr>
              <w:pStyle w:val="P68B1DB1-Normal11"/>
              <w:jc w:val="center"/>
              <w:rPr>
                <w:rFonts w:cs="Arial"/>
                <w:noProof/>
                <w:szCs w:val="20"/>
                <w:lang w:val="de-DE"/>
              </w:rPr>
            </w:pPr>
            <w:r w:rsidRPr="00170422">
              <w:rPr>
                <w:noProof/>
                <w:lang w:val="de-DE"/>
              </w:rPr>
              <w:t>M1C1-102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86426" w14:textId="77777777" w:rsidR="0057163C" w:rsidRPr="00170422" w:rsidRDefault="00F37BF9">
            <w:pPr>
              <w:pStyle w:val="P68B1DB1-Normal11"/>
              <w:jc w:val="center"/>
              <w:rPr>
                <w:rFonts w:cs="Arial"/>
                <w:noProof/>
                <w:szCs w:val="20"/>
                <w:lang w:val="de-DE"/>
              </w:rPr>
            </w:pPr>
            <w:r w:rsidRPr="00170422">
              <w:rPr>
                <w:noProof/>
                <w:lang w:val="de-DE"/>
              </w:rPr>
              <w:t>Reform 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6D8F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EBA20" w14:textId="77777777" w:rsidR="0057163C" w:rsidRPr="00170422" w:rsidRDefault="00F37BF9">
            <w:pPr>
              <w:pStyle w:val="P68B1DB1-Normal11"/>
              <w:jc w:val="center"/>
              <w:rPr>
                <w:rFonts w:cs="Arial"/>
                <w:noProof/>
                <w:szCs w:val="20"/>
                <w:lang w:val="de-DE"/>
              </w:rPr>
            </w:pPr>
            <w:r w:rsidRPr="00170422">
              <w:rPr>
                <w:noProof/>
                <w:lang w:val="de-DE"/>
              </w:rPr>
              <w:t>Annahme eines Berichts über die Wirksamkeit der Verfahren ausgewählter öffentlicher Verwaltungen bei der Ausarbeitung und Umsetzung von Sparplänen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972627" w14:textId="77777777" w:rsidR="0057163C" w:rsidRPr="00170422" w:rsidRDefault="00F37BF9">
            <w:pPr>
              <w:pStyle w:val="P68B1DB1-Normal11"/>
              <w:jc w:val="center"/>
              <w:rPr>
                <w:rFonts w:cs="Arial"/>
                <w:noProof/>
                <w:szCs w:val="20"/>
                <w:lang w:val="de-DE"/>
              </w:rPr>
            </w:pPr>
            <w:r w:rsidRPr="00170422">
              <w:rPr>
                <w:noProof/>
                <w:lang w:val="de-DE"/>
              </w:rPr>
              <w:t>Veröffentlichung des Berichts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F9FC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167A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1C9F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D8B82"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FDA2FD"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968F"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 xml:space="preserve">Der Bericht wird von </w:t>
            </w:r>
            <w:r w:rsidRPr="00170422">
              <w:rPr>
                <w:noProof/>
                <w:lang w:val="de-DE"/>
              </w:rPr>
              <w:t>der Rechnungsführungsabteilung des Finanzministeriums in Zusammenarbeit mit ausgewählten Verwaltungen erstellt, um</w:t>
            </w:r>
          </w:p>
          <w:p w14:paraId="1636ACD7" w14:textId="77777777" w:rsidR="0057163C" w:rsidRPr="00170422" w:rsidRDefault="00F37BF9">
            <w:pPr>
              <w:pStyle w:val="P68B1DB1-ListParagraph15"/>
              <w:numPr>
                <w:ilvl w:val="0"/>
                <w:numId w:val="22"/>
              </w:numPr>
              <w:spacing w:before="120" w:after="120" w:line="240" w:lineRule="auto"/>
              <w:ind w:left="324" w:hanging="283"/>
              <w:rPr>
                <w:rFonts w:cs="Arial"/>
                <w:noProof/>
                <w:szCs w:val="20"/>
                <w:lang w:val="de-DE"/>
              </w:rPr>
            </w:pPr>
            <w:r w:rsidRPr="00170422">
              <w:rPr>
                <w:noProof/>
                <w:lang w:val="de-DE"/>
              </w:rPr>
              <w:t>Bewertung ihrer Verfahren bei der Ausarbeitung und Umsetzung von Sparplänen.</w:t>
            </w:r>
          </w:p>
          <w:p w14:paraId="4A91731F" w14:textId="77777777" w:rsidR="0057163C" w:rsidRPr="00170422" w:rsidRDefault="00F37BF9">
            <w:pPr>
              <w:pStyle w:val="P68B1DB1-ListParagraph15"/>
              <w:numPr>
                <w:ilvl w:val="0"/>
                <w:numId w:val="22"/>
              </w:numPr>
              <w:spacing w:before="120" w:after="120" w:line="240" w:lineRule="auto"/>
              <w:ind w:left="324" w:hanging="283"/>
              <w:rPr>
                <w:rFonts w:cs="Arial"/>
                <w:noProof/>
                <w:szCs w:val="20"/>
                <w:lang w:val="de-DE"/>
              </w:rPr>
            </w:pPr>
            <w:r w:rsidRPr="00170422">
              <w:rPr>
                <w:noProof/>
                <w:lang w:val="de-DE"/>
              </w:rPr>
              <w:t>Festlegung von Leitlinien für alle öffentlichen Verwaltungen.</w:t>
            </w:r>
          </w:p>
        </w:tc>
      </w:tr>
      <w:tr w:rsidR="0057163C" w:rsidRPr="00170422" w14:paraId="04A2166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E9506" w14:textId="77777777" w:rsidR="0057163C" w:rsidRPr="00170422" w:rsidRDefault="00F37BF9">
            <w:pPr>
              <w:pStyle w:val="P68B1DB1-Normal11"/>
              <w:jc w:val="center"/>
              <w:rPr>
                <w:rFonts w:cs="Arial"/>
                <w:noProof/>
                <w:szCs w:val="20"/>
                <w:lang w:val="de-DE"/>
              </w:rPr>
            </w:pPr>
            <w:r w:rsidRPr="00170422">
              <w:rPr>
                <w:noProof/>
                <w:lang w:val="de-DE"/>
              </w:rPr>
              <w:t>M1C1-103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7E8BD"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8612B"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D48589" w14:textId="77777777" w:rsidR="0057163C" w:rsidRPr="00170422" w:rsidRDefault="00F37BF9">
            <w:pPr>
              <w:pStyle w:val="P68B1DB1-Normal11"/>
              <w:jc w:val="center"/>
              <w:rPr>
                <w:rFonts w:cs="Arial"/>
                <w:noProof/>
                <w:szCs w:val="20"/>
                <w:lang w:val="de-DE"/>
              </w:rPr>
            </w:pPr>
            <w:r w:rsidRPr="00170422">
              <w:rPr>
                <w:noProof/>
                <w:lang w:val="de-DE"/>
              </w:rPr>
              <w:t xml:space="preserve">Inkrafttreten des Primär- und Sekundärrechts und der Rechtsvorschriften sowie Abschluss von Verwaltungsverfahren zur Förderung der Steuerehrlichkeit und zur Verbesserung der Prüfungen und </w:t>
            </w:r>
            <w:r w:rsidRPr="00170422">
              <w:rPr>
                <w:noProof/>
                <w:lang w:val="de-DE"/>
              </w:rPr>
              <w:t>Kontrollen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13CD96" w14:textId="77777777" w:rsidR="0057163C" w:rsidRPr="00170422" w:rsidRDefault="00F37BF9">
            <w:pPr>
              <w:pStyle w:val="P68B1DB1-Normal12"/>
              <w:jc w:val="center"/>
              <w:rPr>
                <w:rFonts w:cs="Arial"/>
                <w:noProof/>
                <w:lang w:val="de-DE"/>
              </w:rPr>
            </w:pPr>
            <w:r w:rsidRPr="00170422">
              <w:rPr>
                <w:noProof/>
                <w:lang w:val="de-DE"/>
              </w:rPr>
              <w:t>Bestimmungen in den Rechts- und Verwaltungsvorschriften, aus denen das Inkrafttreten hervorgeht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2ADD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94BDD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4CB8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1111A"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9CD1D"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7EB3FE" w14:textId="77777777" w:rsidR="0057163C" w:rsidRPr="00170422" w:rsidRDefault="00F37BF9">
            <w:pPr>
              <w:pStyle w:val="P68B1DB1-Normal11"/>
              <w:spacing w:after="120"/>
              <w:rPr>
                <w:rFonts w:cs="Arial"/>
                <w:noProof/>
                <w:szCs w:val="20"/>
                <w:lang w:val="de-DE"/>
              </w:rPr>
            </w:pPr>
            <w:r w:rsidRPr="00170422">
              <w:rPr>
                <w:noProof/>
                <w:lang w:val="de-DE"/>
              </w:rPr>
              <w:t>Die Bestimmungen umfassen:</w:t>
            </w:r>
          </w:p>
          <w:p w14:paraId="1DCBE4AD" w14:textId="77777777" w:rsidR="0057163C" w:rsidRPr="00170422" w:rsidRDefault="00F37BF9">
            <w:pPr>
              <w:pStyle w:val="P68B1DB1-Normal12"/>
              <w:spacing w:after="120"/>
              <w:rPr>
                <w:rFonts w:cs="Arial"/>
                <w:noProof/>
                <w:lang w:val="de-DE"/>
              </w:rPr>
            </w:pPr>
            <w:r w:rsidRPr="00170422">
              <w:rPr>
                <w:noProof/>
                <w:lang w:val="de-DE"/>
              </w:rPr>
              <w:t>I) die vollständige Operationalisierung der Datenbank und der speziellen IT-Infrastr</w:t>
            </w:r>
            <w:r w:rsidRPr="00170422">
              <w:rPr>
                <w:noProof/>
                <w:lang w:val="de-DE"/>
              </w:rPr>
              <w:t>uktur für die Freigabe der vorbelegten Mehrwertsteuererklärung gemäß Artikel 4 Absatz 1 des Gesetzesdekrets Nr. 127/2015.</w:t>
            </w:r>
          </w:p>
          <w:p w14:paraId="32108CAD" w14:textId="77777777" w:rsidR="0057163C" w:rsidRPr="00170422" w:rsidRDefault="00F37BF9">
            <w:pPr>
              <w:pStyle w:val="P68B1DB1-Normal11"/>
              <w:spacing w:after="120"/>
              <w:rPr>
                <w:rFonts w:cs="Arial"/>
                <w:noProof/>
                <w:szCs w:val="20"/>
                <w:lang w:val="de-DE"/>
              </w:rPr>
            </w:pPr>
            <w:r w:rsidRPr="00170422">
              <w:rPr>
                <w:noProof/>
                <w:lang w:val="de-DE"/>
              </w:rPr>
              <w:t>II) die für die „Compliance-Briefe“ (Bereitstellung frühzeitiger Mitteilungen an Steuerpflichtige, bei denen Unregelmäßigkeiten festge</w:t>
            </w:r>
            <w:r w:rsidRPr="00170422">
              <w:rPr>
                <w:noProof/>
                <w:lang w:val="de-DE"/>
              </w:rPr>
              <w:t>stellt werden) verwendete Datenbank wird verbessert, um die Zahl falsch positiver Meldungen zu verringern und die Zahl der an Steuerpflichtige versandten Mitteilungen zu erhöhen.</w:t>
            </w:r>
          </w:p>
          <w:p w14:paraId="3FF19BCB" w14:textId="77777777" w:rsidR="0057163C" w:rsidRPr="00170422" w:rsidRDefault="00F37BF9">
            <w:pPr>
              <w:pStyle w:val="P68B1DB1-Normal12"/>
              <w:spacing w:after="120"/>
              <w:rPr>
                <w:rFonts w:cs="Arial"/>
                <w:noProof/>
                <w:lang w:val="de-DE"/>
              </w:rPr>
            </w:pPr>
            <w:r w:rsidRPr="00170422">
              <w:rPr>
                <w:noProof/>
                <w:lang w:val="de-DE"/>
              </w:rPr>
              <w:t>III) Inkrafttreten reformierter Rechtsvorschriften zur Gewährleistung wirksam</w:t>
            </w:r>
            <w:r w:rsidRPr="00170422">
              <w:rPr>
                <w:noProof/>
                <w:lang w:val="de-DE"/>
              </w:rPr>
              <w:t>er Verwaltungssanktionen im Falle der Weigerung privater Anbieter, elektronische Zahlungen zu akzeptieren (Artikel 23 des Gesetzesdekrets Nr. 124/2019, der nach der Umwandlung in ein Gesetz aufgehoben wurde, stellt einen Verweis dar).</w:t>
            </w:r>
          </w:p>
          <w:p w14:paraId="32F29782" w14:textId="77777777" w:rsidR="0057163C" w:rsidRPr="00170422" w:rsidRDefault="00F37BF9">
            <w:pPr>
              <w:pStyle w:val="P68B1DB1-Normal11"/>
              <w:spacing w:after="120"/>
              <w:rPr>
                <w:rFonts w:cs="Arial"/>
                <w:noProof/>
                <w:szCs w:val="20"/>
                <w:lang w:val="de-DE"/>
              </w:rPr>
            </w:pPr>
            <w:r w:rsidRPr="00170422">
              <w:rPr>
                <w:noProof/>
                <w:lang w:val="de-DE"/>
              </w:rPr>
              <w:t xml:space="preserve">IV) Abschluss des in </w:t>
            </w:r>
            <w:r w:rsidRPr="00170422">
              <w:rPr>
                <w:noProof/>
                <w:lang w:val="de-DE"/>
              </w:rPr>
              <w:t>Artikel 1 Absätze 681-686 des Gesetzes Nr. 160/2019 vorgesehenen Prozesses der Pseudonymisierung von Daten und Einrichtung einer digitalen Infrastruktur für die Analyse von Big Data, die durch die Interoperabilität vollständig pseudonymisierter Datenbanken</w:t>
            </w:r>
            <w:r w:rsidRPr="00170422">
              <w:rPr>
                <w:noProof/>
                <w:lang w:val="de-DE"/>
              </w:rPr>
              <w:t xml:space="preserve"> generiert werden, um die Wirksamkeit der dem Auswahlverfahren zugrunde liegenden Risikoanalyse zu erhöhen.</w:t>
            </w:r>
          </w:p>
          <w:p w14:paraId="1FAB2B1F" w14:textId="77777777" w:rsidR="0057163C" w:rsidRPr="00170422" w:rsidRDefault="00F37BF9">
            <w:pPr>
              <w:pStyle w:val="P68B1DB1-Normal12"/>
              <w:spacing w:after="120"/>
              <w:rPr>
                <w:rFonts w:cs="Arial"/>
                <w:noProof/>
                <w:lang w:val="de-DE"/>
              </w:rPr>
            </w:pPr>
            <w:r w:rsidRPr="00170422">
              <w:rPr>
                <w:noProof/>
                <w:lang w:val="de-DE"/>
              </w:rPr>
              <w:t>V) Inkrafttreten von Primär- und Sekundärrechtsvorschriften zur Umsetzung zusätzlicher wirksamer Maßnahmen auf der Grundlage der Ergebnisse der Über</w:t>
            </w:r>
            <w:r w:rsidRPr="00170422">
              <w:rPr>
                <w:noProof/>
                <w:lang w:val="de-DE"/>
              </w:rPr>
              <w:t>prüfung möglicher Maßnahmen zur Verringerung der Steuerhinterziehung durch die unterlassene Rechnungsstellung.</w:t>
            </w:r>
          </w:p>
        </w:tc>
      </w:tr>
      <w:tr w:rsidR="0057163C" w:rsidRPr="00170422" w14:paraId="4E03B82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18A70" w14:textId="77777777" w:rsidR="0057163C" w:rsidRPr="00170422" w:rsidRDefault="00F37BF9">
            <w:pPr>
              <w:pStyle w:val="P68B1DB1-Normal11"/>
              <w:jc w:val="center"/>
              <w:rPr>
                <w:rFonts w:cs="Arial"/>
                <w:noProof/>
                <w:szCs w:val="20"/>
                <w:lang w:val="de-DE"/>
              </w:rPr>
            </w:pPr>
            <w:r w:rsidRPr="00170422">
              <w:rPr>
                <w:noProof/>
                <w:lang w:val="de-DE"/>
              </w:rPr>
              <w:t>M1C1-104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8C68D" w14:textId="77777777" w:rsidR="0057163C" w:rsidRPr="00170422" w:rsidRDefault="00F37BF9">
            <w:pPr>
              <w:pStyle w:val="P68B1DB1-Normal11"/>
              <w:jc w:val="center"/>
              <w:rPr>
                <w:rFonts w:cs="Arial"/>
                <w:noProof/>
                <w:szCs w:val="20"/>
                <w:lang w:val="de-DE"/>
              </w:rPr>
            </w:pPr>
            <w:r w:rsidRPr="00170422">
              <w:rPr>
                <w:noProof/>
                <w:lang w:val="de-DE"/>
              </w:rPr>
              <w:t>Reform 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5DD3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4B0EB" w14:textId="77777777" w:rsidR="0057163C" w:rsidRPr="00170422" w:rsidRDefault="00F37BF9">
            <w:pPr>
              <w:pStyle w:val="P68B1DB1-Normal11"/>
              <w:jc w:val="center"/>
              <w:rPr>
                <w:rFonts w:cs="Arial"/>
                <w:noProof/>
                <w:szCs w:val="20"/>
                <w:lang w:val="de-DE"/>
              </w:rPr>
            </w:pPr>
            <w:r w:rsidRPr="00170422">
              <w:rPr>
                <w:noProof/>
                <w:lang w:val="de-DE"/>
              </w:rPr>
              <w:t xml:space="preserve">Annahme von Einsparzielen für Ausgabenüberprüfungen für die </w:t>
            </w:r>
            <w:r w:rsidRPr="00170422">
              <w:rPr>
                <w:noProof/>
                <w:lang w:val="de-DE"/>
              </w:rPr>
              <w:t>Jahre 2023-2025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13FFB7" w14:textId="77777777" w:rsidR="0057163C" w:rsidRPr="00170422" w:rsidRDefault="00F37BF9">
            <w:pPr>
              <w:pStyle w:val="P68B1DB1-Normal11"/>
              <w:jc w:val="center"/>
              <w:rPr>
                <w:rFonts w:cs="Arial"/>
                <w:noProof/>
                <w:szCs w:val="20"/>
                <w:lang w:val="de-DE"/>
              </w:rPr>
            </w:pPr>
            <w:r w:rsidRPr="00170422">
              <w:rPr>
                <w:noProof/>
                <w:lang w:val="de-DE"/>
              </w:rPr>
              <w:t>Quantitatives Einsparziel für die im Dokument über Wirtschaft und Finanzen definierten aggregierten zentralen staatlichen Verwaltungen – in Euro</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45C8E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81875"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0F2D9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53267"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B81F1"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34E35F" w14:textId="77777777" w:rsidR="0057163C" w:rsidRPr="00170422" w:rsidRDefault="00F37BF9">
            <w:pPr>
              <w:pStyle w:val="P68B1DB1-Normal12"/>
              <w:spacing w:before="100" w:beforeAutospacing="1" w:after="120"/>
              <w:rPr>
                <w:rFonts w:cs="Arial"/>
                <w:noProof/>
                <w:lang w:val="de-DE"/>
              </w:rPr>
            </w:pPr>
            <w:r w:rsidRPr="00170422">
              <w:rPr>
                <w:noProof/>
                <w:lang w:val="de-DE"/>
              </w:rPr>
              <w:t xml:space="preserve">Auf der Grundlage der Gesetzesdekrete 90 und 93 von 2016 </w:t>
            </w:r>
            <w:r w:rsidRPr="00170422">
              <w:rPr>
                <w:noProof/>
                <w:lang w:val="de-DE"/>
              </w:rPr>
              <w:t>und des Gesetzes 163/2016 wurden im Wirtschaftsfinanzdokument Ziele für die jährlichen Ausgabenüberprüfungen für die aggregierten zentralen staatlichen Verwaltungen für die Jahre 2023, 2024, 2025 festgelegt. Die Einsparziele müssen ein angemessenes Ambitio</w:t>
            </w:r>
            <w:r w:rsidRPr="00170422">
              <w:rPr>
                <w:noProof/>
                <w:lang w:val="de-DE"/>
              </w:rPr>
              <w:t>nsniveau widerspiegeln.</w:t>
            </w:r>
          </w:p>
        </w:tc>
      </w:tr>
      <w:tr w:rsidR="0057163C" w:rsidRPr="00170422" w14:paraId="646FA63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BDDAB" w14:textId="77777777" w:rsidR="0057163C" w:rsidRPr="00170422" w:rsidRDefault="00F37BF9">
            <w:pPr>
              <w:pStyle w:val="P68B1DB1-Normal11"/>
              <w:jc w:val="center"/>
              <w:rPr>
                <w:rFonts w:cs="Arial"/>
                <w:noProof/>
                <w:szCs w:val="20"/>
                <w:lang w:val="de-DE"/>
              </w:rPr>
            </w:pPr>
            <w:r w:rsidRPr="00170422">
              <w:rPr>
                <w:noProof/>
                <w:lang w:val="de-DE"/>
              </w:rPr>
              <w:t>M1C1-105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3E9D9"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9F0612"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8AB04" w14:textId="77777777" w:rsidR="0057163C" w:rsidRPr="00170422" w:rsidRDefault="00F37BF9">
            <w:pPr>
              <w:pStyle w:val="P68B1DB1-Normal11"/>
              <w:jc w:val="center"/>
              <w:rPr>
                <w:rFonts w:cs="Arial"/>
                <w:noProof/>
                <w:szCs w:val="20"/>
                <w:lang w:val="de-DE"/>
              </w:rPr>
            </w:pPr>
            <w:r w:rsidRPr="00170422">
              <w:rPr>
                <w:noProof/>
                <w:lang w:val="de-DE"/>
              </w:rPr>
              <w:t>Höhere Zahl von „Konformitätsschreiben“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85A76D"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74B472"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B6DED" w14:textId="77777777" w:rsidR="0057163C" w:rsidRPr="00170422" w:rsidRDefault="00F37BF9">
            <w:pPr>
              <w:pStyle w:val="P68B1DB1-Normal11"/>
              <w:jc w:val="center"/>
              <w:rPr>
                <w:rFonts w:cs="Arial"/>
                <w:noProof/>
                <w:szCs w:val="20"/>
                <w:lang w:val="de-DE"/>
              </w:rPr>
            </w:pPr>
            <w:r w:rsidRPr="00170422">
              <w:rPr>
                <w:noProof/>
                <w:lang w:val="de-DE"/>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F50853" w14:textId="77777777" w:rsidR="0057163C" w:rsidRPr="00170422" w:rsidRDefault="00F37BF9">
            <w:pPr>
              <w:pStyle w:val="P68B1DB1-Normal11"/>
              <w:jc w:val="center"/>
              <w:rPr>
                <w:rFonts w:cs="Arial"/>
                <w:noProof/>
                <w:szCs w:val="20"/>
                <w:lang w:val="de-DE"/>
              </w:rPr>
            </w:pPr>
            <w:r w:rsidRPr="00170422">
              <w:rPr>
                <w:noProof/>
                <w:lang w:val="de-DE"/>
              </w:rPr>
              <w:t>2 581 090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4D08DC"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995F2"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3D55" w14:textId="77777777" w:rsidR="0057163C" w:rsidRPr="00170422" w:rsidRDefault="00F37BF9">
            <w:pPr>
              <w:pStyle w:val="P68B1DB1-Normal12"/>
              <w:spacing w:before="100" w:beforeAutospacing="1" w:after="120"/>
              <w:rPr>
                <w:rFonts w:cs="Arial"/>
                <w:noProof/>
                <w:lang w:val="de-DE"/>
              </w:rPr>
            </w:pPr>
            <w:r w:rsidRPr="00170422">
              <w:rPr>
                <w:noProof/>
                <w:lang w:val="de-DE"/>
              </w:rPr>
              <w:t xml:space="preserve">Die Zahl der „Einhaltungsschreiben“, mit denen Steuerpflichtige frühzeitig </w:t>
            </w:r>
            <w:r w:rsidRPr="00170422">
              <w:rPr>
                <w:noProof/>
                <w:lang w:val="de-DE"/>
              </w:rPr>
              <w:t>informiert werden, bei denen Unregelmäßigkeiten festgestellt werden, wird gegenüber 2019 um mindestens 20 % erhöht.</w:t>
            </w:r>
          </w:p>
        </w:tc>
      </w:tr>
      <w:tr w:rsidR="0057163C" w:rsidRPr="00170422" w14:paraId="58A4A947"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9737D" w14:textId="77777777" w:rsidR="0057163C" w:rsidRPr="00170422" w:rsidRDefault="00F37BF9">
            <w:pPr>
              <w:pStyle w:val="P68B1DB1-Normal11"/>
              <w:jc w:val="center"/>
              <w:rPr>
                <w:rFonts w:cs="Arial"/>
                <w:noProof/>
                <w:szCs w:val="20"/>
                <w:lang w:val="de-DE"/>
              </w:rPr>
            </w:pPr>
            <w:r w:rsidRPr="00170422">
              <w:rPr>
                <w:noProof/>
                <w:lang w:val="de-DE"/>
              </w:rPr>
              <w:t>M1C1-106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E04984"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713540"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14D275" w14:textId="77777777" w:rsidR="0057163C" w:rsidRPr="00170422" w:rsidRDefault="00F37BF9">
            <w:pPr>
              <w:pStyle w:val="P68B1DB1-Normal11"/>
              <w:jc w:val="center"/>
              <w:rPr>
                <w:rFonts w:cs="Arial"/>
                <w:noProof/>
                <w:szCs w:val="20"/>
                <w:lang w:val="de-DE"/>
              </w:rPr>
            </w:pPr>
            <w:r w:rsidRPr="00170422">
              <w:rPr>
                <w:noProof/>
                <w:lang w:val="de-DE"/>
              </w:rPr>
              <w:t>Verringerung der Zahl falsch positiver „Konformitätsschreiben“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AB62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8B0CB4"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305A5" w14:textId="77777777" w:rsidR="0057163C" w:rsidRPr="00170422" w:rsidRDefault="00F37BF9">
            <w:pPr>
              <w:pStyle w:val="P68B1DB1-Normal11"/>
              <w:jc w:val="center"/>
              <w:rPr>
                <w:rFonts w:cs="Arial"/>
                <w:noProof/>
                <w:szCs w:val="20"/>
                <w:lang w:val="de-DE"/>
              </w:rPr>
            </w:pPr>
            <w:r w:rsidRPr="00170422">
              <w:rPr>
                <w:noProof/>
                <w:lang w:val="de-DE"/>
              </w:rPr>
              <w:t>126 500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C63E1" w14:textId="77777777" w:rsidR="0057163C" w:rsidRPr="00170422" w:rsidRDefault="00F37BF9">
            <w:pPr>
              <w:pStyle w:val="P68B1DB1-Normal11"/>
              <w:jc w:val="center"/>
              <w:rPr>
                <w:rFonts w:cs="Arial"/>
                <w:noProof/>
                <w:szCs w:val="20"/>
                <w:lang w:val="de-DE"/>
              </w:rPr>
            </w:pPr>
            <w:r w:rsidRPr="00170422">
              <w:rPr>
                <w:noProof/>
                <w:lang w:val="de-DE"/>
              </w:rPr>
              <w:t>132 825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809FE1"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25F5D"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9170E4"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Die Zahl der falsch-positiven „Übereinstimmungsschreiben“ (die eine frühzeitige Mitteilung an die Steuerpflichtigen ermöglichen, bei denen Anomalien aufgedeckt werden, bei denen nachträglich keine Betrugsfälle aufgedeckt wer</w:t>
            </w:r>
            <w:r w:rsidRPr="00170422">
              <w:rPr>
                <w:noProof/>
                <w:lang w:val="de-DE"/>
              </w:rPr>
              <w:t>den) wird gegenüber 2019 um mindestens 5 % verringert.</w:t>
            </w:r>
          </w:p>
        </w:tc>
      </w:tr>
      <w:tr w:rsidR="0057163C" w:rsidRPr="00170422" w14:paraId="5F6022A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FEE973" w14:textId="77777777" w:rsidR="0057163C" w:rsidRPr="00170422" w:rsidRDefault="00F37BF9">
            <w:pPr>
              <w:pStyle w:val="P68B1DB1-Normal11"/>
              <w:jc w:val="center"/>
              <w:rPr>
                <w:rFonts w:cs="Arial"/>
                <w:noProof/>
                <w:szCs w:val="20"/>
                <w:lang w:val="de-DE"/>
              </w:rPr>
            </w:pPr>
            <w:r w:rsidRPr="00170422">
              <w:rPr>
                <w:noProof/>
                <w:lang w:val="de-DE"/>
              </w:rPr>
              <w:t>M1C1-107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EC6C2"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BBC1F"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DCBB37" w14:textId="77777777" w:rsidR="0057163C" w:rsidRPr="00170422" w:rsidRDefault="00F37BF9">
            <w:pPr>
              <w:pStyle w:val="P68B1DB1-Normal11"/>
              <w:jc w:val="center"/>
              <w:rPr>
                <w:rFonts w:cs="Arial"/>
                <w:noProof/>
                <w:szCs w:val="20"/>
                <w:lang w:val="de-DE"/>
              </w:rPr>
            </w:pPr>
            <w:r w:rsidRPr="00170422">
              <w:rPr>
                <w:noProof/>
                <w:lang w:val="de-DE"/>
              </w:rPr>
              <w:t>Erhöhung der Steuereinnahmen durch „Compliance-Briefe“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7118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388578" w14:textId="77777777" w:rsidR="0057163C" w:rsidRPr="00170422" w:rsidRDefault="00F37BF9">
            <w:pPr>
              <w:pStyle w:val="P68B1DB1-Normal11"/>
              <w:jc w:val="center"/>
              <w:rPr>
                <w:rFonts w:cs="Arial"/>
                <w:noProof/>
                <w:szCs w:val="20"/>
                <w:lang w:val="de-DE"/>
              </w:rPr>
            </w:pPr>
            <w:r w:rsidRPr="00170422">
              <w:rPr>
                <w:noProof/>
                <w:lang w:val="de-DE"/>
              </w:rPr>
              <w:t>Euro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651820" w14:textId="77777777" w:rsidR="0057163C" w:rsidRPr="00170422" w:rsidRDefault="00F37BF9">
            <w:pPr>
              <w:pStyle w:val="P68B1DB1-Normal11"/>
              <w:jc w:val="center"/>
              <w:rPr>
                <w:rFonts w:cs="Arial"/>
                <w:noProof/>
                <w:szCs w:val="20"/>
                <w:lang w:val="de-DE"/>
              </w:rPr>
            </w:pPr>
            <w:r w:rsidRPr="00170422">
              <w:rPr>
                <w:noProof/>
                <w:lang w:val="de-DE"/>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5B3AB3" w14:textId="77777777" w:rsidR="0057163C" w:rsidRPr="00170422" w:rsidRDefault="00F37BF9">
            <w:pPr>
              <w:pStyle w:val="P68B1DB1-Normal11"/>
              <w:jc w:val="center"/>
              <w:rPr>
                <w:rFonts w:cs="Arial"/>
                <w:noProof/>
                <w:szCs w:val="20"/>
                <w:lang w:val="de-DE"/>
              </w:rPr>
            </w:pPr>
            <w:r w:rsidRPr="00170422">
              <w:rPr>
                <w:noProof/>
                <w:lang w:val="de-DE"/>
              </w:rPr>
              <w:t>2 449 500 000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7ABE9"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BADD0A" w14:textId="77777777" w:rsidR="0057163C" w:rsidRPr="00170422" w:rsidRDefault="00F37BF9">
            <w:pPr>
              <w:pStyle w:val="P68B1DB1-Normal11"/>
              <w:jc w:val="center"/>
              <w:rPr>
                <w:rFonts w:cs="Arial"/>
                <w:noProof/>
                <w:szCs w:val="20"/>
                <w:lang w:val="de-DE"/>
              </w:rPr>
            </w:pPr>
            <w:r w:rsidRPr="00170422">
              <w:rPr>
                <w:noProof/>
                <w:lang w:val="de-DE"/>
              </w:rPr>
              <w:t>2022</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EA8D7"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 xml:space="preserve">Die durch </w:t>
            </w:r>
            <w:r w:rsidRPr="00170422">
              <w:rPr>
                <w:noProof/>
                <w:lang w:val="de-DE"/>
              </w:rPr>
              <w:t>„Konformitätsschreiben“ erzielten Steuereinnahmen werden gegenüber 2019 um 15 % steigen.</w:t>
            </w:r>
          </w:p>
        </w:tc>
      </w:tr>
      <w:tr w:rsidR="0057163C" w:rsidRPr="00170422" w14:paraId="40619C52"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D9B97" w14:textId="77777777" w:rsidR="0057163C" w:rsidRPr="00170422" w:rsidRDefault="00F37BF9">
            <w:pPr>
              <w:pStyle w:val="P68B1DB1-Normal11"/>
              <w:jc w:val="center"/>
              <w:rPr>
                <w:rFonts w:cs="Arial"/>
                <w:noProof/>
                <w:szCs w:val="20"/>
                <w:lang w:val="de-DE"/>
              </w:rPr>
            </w:pPr>
            <w:r w:rsidRPr="00170422">
              <w:rPr>
                <w:noProof/>
                <w:lang w:val="de-DE"/>
              </w:rPr>
              <w:t>M1C1-108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69133" w14:textId="77777777" w:rsidR="0057163C" w:rsidRPr="00170422" w:rsidRDefault="00F37BF9">
            <w:pPr>
              <w:pStyle w:val="P68B1DB1-Normal11"/>
              <w:jc w:val="center"/>
              <w:rPr>
                <w:rFonts w:cs="Arial"/>
                <w:noProof/>
                <w:szCs w:val="20"/>
                <w:lang w:val="de-DE"/>
              </w:rPr>
            </w:pPr>
            <w:r w:rsidRPr="00170422">
              <w:rPr>
                <w:noProof/>
                <w:lang w:val="de-DE"/>
              </w:rPr>
              <w:t>Reform 1.15: Reform der Vorschriften für das öffentliche Rechnungswesen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5D24DA"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7213" w14:textId="77777777" w:rsidR="0057163C" w:rsidRPr="00170422" w:rsidRDefault="00F37BF9">
            <w:pPr>
              <w:pStyle w:val="P68B1DB1-Normal11"/>
              <w:jc w:val="center"/>
              <w:rPr>
                <w:rFonts w:cs="Arial"/>
                <w:noProof/>
                <w:szCs w:val="20"/>
                <w:lang w:val="de-DE"/>
              </w:rPr>
            </w:pPr>
            <w:r w:rsidRPr="00170422">
              <w:rPr>
                <w:noProof/>
                <w:lang w:val="de-DE"/>
              </w:rPr>
              <w:t xml:space="preserve">Billigung des konzeptionellen Rahmens, der Standards für die </w:t>
            </w:r>
            <w:r w:rsidRPr="00170422">
              <w:rPr>
                <w:noProof/>
                <w:lang w:val="de-DE"/>
              </w:rPr>
              <w:t>periodengerechte Rechnungsführung und des multidimensionalen Kontenplans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40332" w14:textId="77777777" w:rsidR="0057163C" w:rsidRPr="00170422" w:rsidRDefault="00F37BF9">
            <w:pPr>
              <w:pStyle w:val="P68B1DB1-Normal11"/>
              <w:jc w:val="center"/>
              <w:rPr>
                <w:rFonts w:cs="Arial"/>
                <w:noProof/>
                <w:szCs w:val="20"/>
                <w:lang w:val="de-DE"/>
              </w:rPr>
            </w:pPr>
            <w:r w:rsidRPr="00170422">
              <w:rPr>
                <w:noProof/>
                <w:lang w:val="de-DE"/>
              </w:rPr>
              <w:t>Beschluss der Abteilung Rechnungsführung des Finanzministeriums zur Genehmigung der Struktur für die Führung der periodischen Rechnungslegung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B512A"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15869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7EEA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C0456"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F5EF0"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70EDA" w14:textId="77777777" w:rsidR="0057163C" w:rsidRPr="00170422" w:rsidRDefault="00F37BF9">
            <w:pPr>
              <w:spacing w:before="100" w:beforeAutospacing="1" w:after="120"/>
              <w:rPr>
                <w:noProof/>
                <w:lang w:val="de-DE"/>
              </w:rPr>
            </w:pPr>
            <w:r w:rsidRPr="00170422">
              <w:rPr>
                <w:rFonts w:ascii="Arial Narrow" w:hAnsi="Arial Narrow"/>
                <w:noProof/>
                <w:color w:val="006100"/>
                <w:sz w:val="20"/>
                <w:lang w:val="de-DE"/>
              </w:rPr>
              <w:t>Fer</w:t>
            </w:r>
            <w:r w:rsidRPr="00170422">
              <w:rPr>
                <w:rFonts w:ascii="Arial Narrow" w:hAnsi="Arial Narrow"/>
                <w:noProof/>
                <w:color w:val="006100"/>
                <w:sz w:val="20"/>
                <w:lang w:val="de-DE"/>
              </w:rPr>
              <w:t>tigstellung eines konzeptionellen Rahmens als Referenz für das periodengerechte Rechnungsführungssystem gemäß den von Eurostat festgelegten qualitativen Merkmalen (EPSAS-Arbeitsgruppe);</w:t>
            </w:r>
            <w:r w:rsidRPr="00170422">
              <w:rPr>
                <w:rFonts w:ascii="Arial Narrow" w:hAnsi="Arial Narrow"/>
                <w:noProof/>
                <w:sz w:val="20"/>
                <w:lang w:val="de-DE"/>
              </w:rPr>
              <w:t xml:space="preserve"> </w:t>
            </w:r>
            <w:r w:rsidRPr="00170422">
              <w:rPr>
                <w:noProof/>
                <w:lang w:val="de-DE"/>
              </w:rPr>
              <w:t xml:space="preserve"> </w:t>
            </w:r>
          </w:p>
          <w:p w14:paraId="2E9B0861" w14:textId="51F167B5" w:rsidR="0057163C" w:rsidRPr="00170422" w:rsidRDefault="00F37BF9">
            <w:pPr>
              <w:pStyle w:val="P68B1DB1-Normal11"/>
              <w:spacing w:before="100" w:beforeAutospacing="1" w:after="120"/>
              <w:rPr>
                <w:noProof/>
                <w:lang w:val="de-DE"/>
              </w:rPr>
            </w:pPr>
            <w:r w:rsidRPr="00170422">
              <w:rPr>
                <w:noProof/>
                <w:lang w:val="de-DE"/>
              </w:rPr>
              <w:t>Festlegung von Standards für die periodengerechte Rechnungsführung a</w:t>
            </w:r>
            <w:r w:rsidRPr="00170422">
              <w:rPr>
                <w:noProof/>
                <w:lang w:val="de-DE"/>
              </w:rPr>
              <w:t xml:space="preserve">uf der Grundlage von IPSAS; </w:t>
            </w:r>
          </w:p>
          <w:p w14:paraId="2F99F53B" w14:textId="3F3D52B7" w:rsidR="0057163C" w:rsidRPr="00170422" w:rsidRDefault="00F37BF9">
            <w:pPr>
              <w:pStyle w:val="P68B1DB1-Normal11"/>
              <w:spacing w:before="100" w:beforeAutospacing="1" w:after="120"/>
              <w:rPr>
                <w:rFonts w:cs="Arial"/>
                <w:noProof/>
                <w:szCs w:val="20"/>
                <w:lang w:val="de-DE"/>
              </w:rPr>
            </w:pPr>
            <w:r w:rsidRPr="00170422">
              <w:rPr>
                <w:noProof/>
                <w:lang w:val="de-DE"/>
              </w:rPr>
              <w:t>Erstellung eines mehrdimensionalen und mehrstufigen Kontenplans.</w:t>
            </w:r>
          </w:p>
        </w:tc>
      </w:tr>
      <w:tr w:rsidR="0057163C" w:rsidRPr="00170422" w14:paraId="6F6A1E1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6BEFE" w14:textId="77777777" w:rsidR="0057163C" w:rsidRPr="00170422" w:rsidRDefault="00F37BF9">
            <w:pPr>
              <w:pStyle w:val="P68B1DB1-Normal11"/>
              <w:jc w:val="center"/>
              <w:rPr>
                <w:rFonts w:cs="Arial"/>
                <w:noProof/>
                <w:szCs w:val="20"/>
                <w:lang w:val="de-DE"/>
              </w:rPr>
            </w:pPr>
            <w:r w:rsidRPr="00170422">
              <w:rPr>
                <w:noProof/>
                <w:lang w:val="de-DE"/>
              </w:rPr>
              <w:t>M1C1-109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A01DF"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69B8E"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7A84BB" w14:textId="77777777" w:rsidR="0057163C" w:rsidRPr="00170422" w:rsidRDefault="00F37BF9">
            <w:pPr>
              <w:pStyle w:val="P68B1DB1-Normal11"/>
              <w:jc w:val="center"/>
              <w:rPr>
                <w:rFonts w:cs="Arial"/>
                <w:noProof/>
                <w:szCs w:val="20"/>
                <w:lang w:val="de-DE"/>
              </w:rPr>
            </w:pPr>
            <w:r w:rsidRPr="00170422">
              <w:rPr>
                <w:noProof/>
                <w:lang w:val="de-DE"/>
              </w:rPr>
              <w:t>Übermittlung der ersten vorab erstellten MwSt-Erklärungen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42D43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463D3"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67CAE"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9EFAE" w14:textId="77777777" w:rsidR="0057163C" w:rsidRPr="00170422" w:rsidRDefault="00F37BF9">
            <w:pPr>
              <w:pStyle w:val="P68B1DB1-Normal11"/>
              <w:jc w:val="center"/>
              <w:rPr>
                <w:rFonts w:cs="Arial"/>
                <w:noProof/>
                <w:szCs w:val="20"/>
                <w:lang w:val="de-DE"/>
              </w:rPr>
            </w:pPr>
            <w:r w:rsidRPr="00170422">
              <w:rPr>
                <w:noProof/>
                <w:lang w:val="de-DE"/>
              </w:rPr>
              <w:t>2 300 000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E990"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8FCD4"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F762"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 xml:space="preserve">Mindestens </w:t>
            </w:r>
            <w:r w:rsidRPr="00170422">
              <w:rPr>
                <w:noProof/>
                <w:lang w:val="de-DE"/>
              </w:rPr>
              <w:t>2300000 Steuerpflichtige erhalten vorab eine Mehrwertsteuererklärung für das Steuerjahr 2022.</w:t>
            </w:r>
          </w:p>
        </w:tc>
      </w:tr>
      <w:tr w:rsidR="0057163C" w:rsidRPr="00170422" w14:paraId="7606A65B"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10B6F0" w14:textId="77777777" w:rsidR="0057163C" w:rsidRPr="00170422" w:rsidRDefault="00F37BF9">
            <w:pPr>
              <w:pStyle w:val="P68B1DB1-Normal11"/>
              <w:jc w:val="center"/>
              <w:rPr>
                <w:rFonts w:cs="Arial"/>
                <w:noProof/>
                <w:szCs w:val="20"/>
                <w:lang w:val="de-DE"/>
              </w:rPr>
            </w:pPr>
            <w:r w:rsidRPr="00170422">
              <w:rPr>
                <w:noProof/>
                <w:lang w:val="de-DE"/>
              </w:rPr>
              <w:t>M1C1-110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4705A7" w14:textId="77777777" w:rsidR="0057163C" w:rsidRPr="00170422" w:rsidRDefault="00F37BF9">
            <w:pPr>
              <w:pStyle w:val="P68B1DB1-Normal11"/>
              <w:jc w:val="center"/>
              <w:rPr>
                <w:rFonts w:cs="Arial"/>
                <w:noProof/>
                <w:szCs w:val="20"/>
                <w:lang w:val="de-DE"/>
              </w:rPr>
            </w:pPr>
            <w:r w:rsidRPr="00170422">
              <w:rPr>
                <w:noProof/>
                <w:lang w:val="de-DE"/>
              </w:rPr>
              <w:t>Reform 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B0CA29"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484F5A" w14:textId="77777777" w:rsidR="0057163C" w:rsidRPr="00170422" w:rsidRDefault="00F37BF9">
            <w:pPr>
              <w:pStyle w:val="P68B1DB1-Normal11"/>
              <w:jc w:val="center"/>
              <w:rPr>
                <w:rFonts w:cs="Arial"/>
                <w:noProof/>
                <w:szCs w:val="20"/>
                <w:lang w:val="de-DE"/>
              </w:rPr>
            </w:pPr>
            <w:r w:rsidRPr="00170422">
              <w:rPr>
                <w:noProof/>
                <w:lang w:val="de-DE"/>
              </w:rPr>
              <w:t xml:space="preserve">Neueinstufung des allgemeinen Staatshaushalts in Bezug auf die Umweltausgaben </w:t>
            </w:r>
            <w:r w:rsidRPr="00170422">
              <w:rPr>
                <w:noProof/>
                <w:lang w:val="de-DE"/>
              </w:rPr>
              <w:t>und die Ausgaben zur Förderung der Gleichstellung der Geschlechter</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18FBF8" w14:textId="77777777" w:rsidR="0057163C" w:rsidRPr="00170422" w:rsidRDefault="00F37BF9">
            <w:pPr>
              <w:pStyle w:val="P68B1DB1-Normal11"/>
              <w:jc w:val="center"/>
              <w:rPr>
                <w:rFonts w:cs="Arial"/>
                <w:noProof/>
                <w:szCs w:val="20"/>
                <w:lang w:val="de-DE"/>
              </w:rPr>
            </w:pPr>
            <w:r w:rsidRPr="00170422">
              <w:rPr>
                <w:noProof/>
                <w:lang w:val="de-DE"/>
              </w:rPr>
              <w:t>Aufnahme der Neueinstufung des allgemeinen Staatshaushalts in Bezug auf die Umweltausgaben und die Ausgaben zur Förderung der Gleichstellung der Geschlechter in das Haushaltsgesetz 2024</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8755D9" w14:textId="77777777" w:rsidR="0057163C" w:rsidRPr="00170422" w:rsidRDefault="00F37BF9">
            <w:pPr>
              <w:pStyle w:val="P68B1DB1-Normal11"/>
              <w:jc w:val="center"/>
              <w:rPr>
                <w:rFonts w:cs="Arial"/>
                <w:noProof/>
                <w:szCs w:val="20"/>
                <w:lang w:val="de-DE"/>
              </w:rPr>
            </w:pPr>
            <w:r w:rsidRPr="00170422">
              <w:rPr>
                <w:noProof/>
                <w:lang w:val="de-DE"/>
              </w:rPr>
              <w:t>ENT</w:t>
            </w:r>
            <w:r w:rsidRPr="00170422">
              <w:rPr>
                <w:noProof/>
                <w:lang w:val="de-DE"/>
              </w:rPr>
              <w: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5504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169E7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C95AA6"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A7670C"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921E8" w14:textId="77777777" w:rsidR="0057163C" w:rsidRPr="00170422" w:rsidRDefault="00F37BF9">
            <w:pPr>
              <w:pStyle w:val="P68B1DB1-Normal12"/>
              <w:spacing w:before="100" w:beforeAutospacing="1" w:after="120"/>
              <w:rPr>
                <w:rFonts w:cs="Arial"/>
                <w:noProof/>
                <w:lang w:val="de-DE"/>
              </w:rPr>
            </w:pPr>
            <w:r w:rsidRPr="00170422">
              <w:rPr>
                <w:noProof/>
                <w:lang w:val="de-DE"/>
              </w:rPr>
              <w:t xml:space="preserve">Mit dem Haushaltsgesetz 2024 wird dem Parlament ein Haushalt für nachhaltige Entwicklung zur Verfügung gestellt, der aus der Klassifizierung des allgemeinen Staatshaushalts in Bezug auf die Umweltausgaben und die </w:t>
            </w:r>
            <w:r w:rsidRPr="00170422">
              <w:rPr>
                <w:noProof/>
                <w:lang w:val="de-DE"/>
              </w:rPr>
              <w:t>Ausgaben zur Förderung der Gleichstellung der Geschlechter besteht. Die Klassifizierung muss mit den Kriterien in Einklang stehen, die der Festlegung der Ziele für nachhaltige Entwicklung und den Zielen der Agenda 2030 zugrunde liegen.</w:t>
            </w:r>
          </w:p>
        </w:tc>
      </w:tr>
      <w:tr w:rsidR="0057163C" w:rsidRPr="00170422" w14:paraId="7A24A7B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28F288" w14:textId="77777777" w:rsidR="0057163C" w:rsidRPr="00170422" w:rsidRDefault="00F37BF9">
            <w:pPr>
              <w:pStyle w:val="P68B1DB1-Normal11"/>
              <w:jc w:val="center"/>
              <w:rPr>
                <w:rFonts w:cs="Arial"/>
                <w:noProof/>
                <w:szCs w:val="20"/>
                <w:lang w:val="de-DE"/>
              </w:rPr>
            </w:pPr>
            <w:r w:rsidRPr="00170422">
              <w:rPr>
                <w:noProof/>
                <w:lang w:val="de-DE"/>
              </w:rPr>
              <w:t>M1C1-111</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D46D0" w14:textId="77777777" w:rsidR="0057163C" w:rsidRPr="00170422" w:rsidRDefault="00F37BF9">
            <w:pPr>
              <w:pStyle w:val="P68B1DB1-Normal11"/>
              <w:jc w:val="center"/>
              <w:rPr>
                <w:rFonts w:cs="Arial"/>
                <w:noProof/>
                <w:szCs w:val="20"/>
                <w:lang w:val="de-DE"/>
              </w:rPr>
            </w:pPr>
            <w:r w:rsidRPr="00170422">
              <w:rPr>
                <w:noProof/>
                <w:lang w:val="de-DE"/>
              </w:rPr>
              <w:t xml:space="preserve">Reform </w:t>
            </w:r>
            <w:r w:rsidRPr="00170422">
              <w:rPr>
                <w:noProof/>
                <w:lang w:val="de-DE"/>
              </w:rPr>
              <w:t>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C279B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C37D3A" w14:textId="77777777" w:rsidR="0057163C" w:rsidRPr="00170422" w:rsidRDefault="00F37BF9">
            <w:pPr>
              <w:pStyle w:val="P68B1DB1-Normal11"/>
              <w:jc w:val="center"/>
              <w:rPr>
                <w:rFonts w:cs="Arial"/>
                <w:noProof/>
                <w:szCs w:val="20"/>
                <w:lang w:val="de-DE"/>
              </w:rPr>
            </w:pPr>
            <w:r w:rsidRPr="00170422">
              <w:rPr>
                <w:noProof/>
                <w:lang w:val="de-DE"/>
              </w:rPr>
              <w:t>Abschluss der jährlichen Ausgabenüberprüfung für 2023 unter Bezugnahme auf das für 2022 festgelegte Einsparziel für 2023</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7F290" w14:textId="77777777" w:rsidR="0057163C" w:rsidRPr="00170422" w:rsidRDefault="00F37BF9">
            <w:pPr>
              <w:pStyle w:val="P68B1DB1-Normal11"/>
              <w:jc w:val="center"/>
              <w:rPr>
                <w:rFonts w:cs="Arial"/>
                <w:noProof/>
                <w:szCs w:val="20"/>
                <w:lang w:val="de-DE"/>
              </w:rPr>
            </w:pPr>
            <w:r w:rsidRPr="00170422">
              <w:rPr>
                <w:noProof/>
                <w:lang w:val="de-DE"/>
              </w:rPr>
              <w:t xml:space="preserve">Annahme des Berichts des Finanzministeriums über die </w:t>
            </w:r>
            <w:r w:rsidRPr="00170422">
              <w:rPr>
                <w:noProof/>
                <w:lang w:val="de-DE"/>
              </w:rPr>
              <w:t>Ausgabenüberprüfung im Jahr 2023, in dem der Abschluss des Prozesses und die Erreichung des Ziels bescheinigt werden.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1145A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9A1C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0639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E8EA27"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6B956F"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0B729" w14:textId="77777777" w:rsidR="0057163C" w:rsidRPr="00170422" w:rsidRDefault="00F37BF9">
            <w:pPr>
              <w:pStyle w:val="P68B1DB1-Normal11"/>
              <w:spacing w:after="120"/>
              <w:rPr>
                <w:rFonts w:cs="Arial"/>
                <w:noProof/>
                <w:szCs w:val="20"/>
                <w:lang w:val="de-DE"/>
              </w:rPr>
            </w:pPr>
            <w:r w:rsidRPr="00170422">
              <w:rPr>
                <w:noProof/>
                <w:lang w:val="de-DE"/>
              </w:rPr>
              <w:t>Der Bericht des Finanzministeriums, der dem Ministerrat gemäß den Gesetzesdekreten 90 und 93 von 201</w:t>
            </w:r>
            <w:r w:rsidRPr="00170422">
              <w:rPr>
                <w:noProof/>
                <w:lang w:val="de-DE"/>
              </w:rPr>
              <w:t>6 und dem Gesetz 163/2016 zu übermitteln ist, muss</w:t>
            </w:r>
          </w:p>
          <w:p w14:paraId="7C8F9933" w14:textId="77777777" w:rsidR="0057163C" w:rsidRPr="00170422" w:rsidRDefault="00F37BF9">
            <w:pPr>
              <w:pStyle w:val="P68B1DB1-Normal11"/>
              <w:spacing w:after="120"/>
              <w:rPr>
                <w:rFonts w:cs="Arial"/>
                <w:noProof/>
                <w:szCs w:val="20"/>
                <w:lang w:val="de-DE"/>
              </w:rPr>
            </w:pPr>
            <w:r w:rsidRPr="00170422">
              <w:rPr>
                <w:noProof/>
                <w:lang w:val="de-DE"/>
              </w:rPr>
              <w:t>den Abschluss der Ausgabenüberprüfung für 2023 in Bezug auf die Bestimmung für den Ausgabenüberprüfungsrahmen zu bescheinigen.</w:t>
            </w:r>
          </w:p>
          <w:p w14:paraId="2BF53CA7" w14:textId="77777777" w:rsidR="0057163C" w:rsidRPr="00170422" w:rsidRDefault="00F37BF9">
            <w:pPr>
              <w:pStyle w:val="P68B1DB1-Normal11"/>
              <w:spacing w:after="120"/>
              <w:rPr>
                <w:rFonts w:cs="Arial"/>
                <w:noProof/>
                <w:szCs w:val="20"/>
                <w:lang w:val="de-DE"/>
              </w:rPr>
            </w:pPr>
            <w:r w:rsidRPr="00170422">
              <w:rPr>
                <w:noProof/>
                <w:lang w:val="de-DE"/>
              </w:rPr>
              <w:t>—zertifizieren, dass das im Jahr 2022 festgelegte Ziel erreicht wurde.</w:t>
            </w:r>
          </w:p>
        </w:tc>
      </w:tr>
      <w:tr w:rsidR="0057163C" w:rsidRPr="00170422" w14:paraId="73B8CC4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42D12C" w14:textId="77777777" w:rsidR="0057163C" w:rsidRPr="00170422" w:rsidRDefault="00F37BF9">
            <w:pPr>
              <w:pStyle w:val="P68B1DB1-Normal11"/>
              <w:jc w:val="center"/>
              <w:rPr>
                <w:rFonts w:cs="Arial"/>
                <w:noProof/>
                <w:szCs w:val="20"/>
                <w:lang w:val="de-DE"/>
              </w:rPr>
            </w:pPr>
            <w:r w:rsidRPr="00170422">
              <w:rPr>
                <w:noProof/>
                <w:lang w:val="de-DE"/>
              </w:rPr>
              <w:t>M1C1-112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F8017"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1DCFA"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74EF1" w14:textId="77777777" w:rsidR="0057163C" w:rsidRPr="00170422" w:rsidRDefault="00F37BF9">
            <w:pPr>
              <w:pStyle w:val="P68B1DB1-Normal12"/>
              <w:jc w:val="center"/>
              <w:rPr>
                <w:rFonts w:cs="Arial"/>
                <w:noProof/>
                <w:lang w:val="de-DE"/>
              </w:rPr>
            </w:pPr>
            <w:r w:rsidRPr="00170422">
              <w:rPr>
                <w:noProof/>
                <w:lang w:val="de-DE"/>
              </w:rPr>
              <w:t>Verbesserung der operativen Kapazitäten der Steuerverwaltung im Einklang mit den Einstellungszielen des „Leistungsplans 2021-2023“ der Agentur für Einnahmen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C518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BFDFE3" w14:textId="77777777" w:rsidR="0057163C" w:rsidRPr="00170422" w:rsidRDefault="00F37BF9">
            <w:pPr>
              <w:pStyle w:val="P68B1DB1-Normal11"/>
              <w:jc w:val="center"/>
              <w:rPr>
                <w:rFonts w:cs="Arial"/>
                <w:noProof/>
                <w:szCs w:val="20"/>
                <w:lang w:val="de-DE"/>
              </w:rPr>
            </w:pPr>
            <w:r w:rsidRPr="00170422">
              <w:rPr>
                <w:noProof/>
                <w:lang w:val="de-DE"/>
              </w:rPr>
              <w:t>Zahl der Einstellungen</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FCE474"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D4F994" w14:textId="77777777" w:rsidR="0057163C" w:rsidRPr="00170422" w:rsidRDefault="00F37BF9">
            <w:pPr>
              <w:pStyle w:val="P68B1DB1-Normal11"/>
              <w:jc w:val="center"/>
              <w:rPr>
                <w:rFonts w:cs="Arial"/>
                <w:noProof/>
                <w:szCs w:val="20"/>
                <w:lang w:val="de-DE"/>
              </w:rPr>
            </w:pPr>
            <w:r w:rsidRPr="00170422">
              <w:rPr>
                <w:noProof/>
                <w:lang w:val="de-DE"/>
              </w:rPr>
              <w:t>4 113</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76887"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1BAA4" w14:textId="77777777" w:rsidR="0057163C" w:rsidRPr="00170422" w:rsidRDefault="00F37BF9">
            <w:pPr>
              <w:pStyle w:val="P68B1DB1-Normal11"/>
              <w:jc w:val="center"/>
              <w:rPr>
                <w:rFonts w:cs="Arial"/>
                <w:noProof/>
                <w:szCs w:val="20"/>
                <w:lang w:val="de-DE"/>
              </w:rPr>
            </w:pPr>
            <w:r w:rsidRPr="00170422">
              <w:rPr>
                <w:noProof/>
                <w:lang w:val="de-DE"/>
              </w:rPr>
              <w:t>2024</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91F6E0" w14:textId="48489E32" w:rsidR="0057163C" w:rsidRPr="00170422" w:rsidRDefault="00F37BF9">
            <w:pPr>
              <w:pStyle w:val="P68B1DB1-Normal12"/>
              <w:spacing w:before="100" w:beforeAutospacing="1" w:after="120"/>
              <w:rPr>
                <w:rFonts w:cs="Arial"/>
                <w:noProof/>
                <w:lang w:val="de-DE"/>
              </w:rPr>
            </w:pPr>
            <w:r w:rsidRPr="00170422">
              <w:rPr>
                <w:noProof/>
                <w:lang w:val="de-DE"/>
              </w:rPr>
              <w:t>4113 neue Personaleinheiten werden von der Agentur für Einnahmen im Einklang mit den Einstellungszielen des „Leistungsplans 2021-2023“ eingestellt.</w:t>
            </w:r>
          </w:p>
        </w:tc>
      </w:tr>
      <w:tr w:rsidR="0057163C" w:rsidRPr="00170422" w14:paraId="0AB57553"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81EF5A" w14:textId="77777777" w:rsidR="0057163C" w:rsidRPr="00170422" w:rsidRDefault="00F37BF9">
            <w:pPr>
              <w:pStyle w:val="P68B1DB1-Normal11"/>
              <w:jc w:val="center"/>
              <w:rPr>
                <w:rFonts w:cs="Arial"/>
                <w:noProof/>
                <w:szCs w:val="20"/>
                <w:lang w:val="de-DE"/>
              </w:rPr>
            </w:pPr>
            <w:r w:rsidRPr="00170422">
              <w:rPr>
                <w:noProof/>
                <w:lang w:val="de-DE"/>
              </w:rPr>
              <w:t>M1C1-113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819A5"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8CD9DB"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8E9DC5" w14:textId="77777777" w:rsidR="0057163C" w:rsidRPr="00170422" w:rsidRDefault="00F37BF9">
            <w:pPr>
              <w:pStyle w:val="P68B1DB1-Normal11"/>
              <w:jc w:val="center"/>
              <w:rPr>
                <w:rFonts w:cs="Arial"/>
                <w:noProof/>
                <w:szCs w:val="20"/>
                <w:lang w:val="de-DE"/>
              </w:rPr>
            </w:pPr>
            <w:r w:rsidRPr="00170422">
              <w:rPr>
                <w:noProof/>
                <w:lang w:val="de-DE"/>
              </w:rPr>
              <w:t>Höhere Zahl von „Konformitätsschreiben“</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76809"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ED01A" w14:textId="77777777" w:rsidR="0057163C" w:rsidRPr="00170422" w:rsidRDefault="00F37BF9">
            <w:pPr>
              <w:pStyle w:val="P68B1DB1-Normal11"/>
              <w:jc w:val="center"/>
              <w:rPr>
                <w:rFonts w:cs="Arial"/>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23D14" w14:textId="77777777" w:rsidR="0057163C" w:rsidRPr="00170422" w:rsidRDefault="00F37BF9">
            <w:pPr>
              <w:pStyle w:val="P68B1DB1-Normal11"/>
              <w:jc w:val="center"/>
              <w:rPr>
                <w:rFonts w:cs="Arial"/>
                <w:noProof/>
                <w:szCs w:val="20"/>
                <w:lang w:val="de-DE"/>
              </w:rPr>
            </w:pPr>
            <w:r w:rsidRPr="00170422">
              <w:rPr>
                <w:noProof/>
                <w:lang w:val="de-DE"/>
              </w:rPr>
              <w:t>2 150 908</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5DF49F" w14:textId="77777777" w:rsidR="0057163C" w:rsidRPr="00170422" w:rsidRDefault="00F37BF9">
            <w:pPr>
              <w:pStyle w:val="P68B1DB1-Normal11"/>
              <w:jc w:val="center"/>
              <w:rPr>
                <w:rFonts w:cs="Arial"/>
                <w:noProof/>
                <w:szCs w:val="20"/>
                <w:lang w:val="de-DE"/>
              </w:rPr>
            </w:pPr>
            <w:r w:rsidRPr="00170422">
              <w:rPr>
                <w:noProof/>
                <w:lang w:val="de-DE"/>
              </w:rPr>
              <w:t>3 011 271</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E2EC2" w14:textId="77777777" w:rsidR="0057163C" w:rsidRPr="00170422" w:rsidRDefault="00F37BF9">
            <w:pPr>
              <w:pStyle w:val="P68B1DB1-Normal11"/>
              <w:jc w:val="center"/>
              <w:rPr>
                <w:rFonts w:cs="Arial"/>
                <w:noProof/>
                <w:szCs w:val="20"/>
                <w:lang w:val="de-DE"/>
              </w:rPr>
            </w:pPr>
            <w:r w:rsidRPr="00170422">
              <w:rPr>
                <w:noProof/>
                <w:lang w:val="de-DE"/>
              </w:rPr>
              <w:t xml:space="preserve"> 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4AEC1"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F9A1" w14:textId="77777777" w:rsidR="0057163C" w:rsidRPr="00170422" w:rsidRDefault="00F37BF9">
            <w:pPr>
              <w:pStyle w:val="P68B1DB1-Normal12"/>
              <w:spacing w:before="100" w:beforeAutospacing="1" w:after="120"/>
              <w:rPr>
                <w:rFonts w:cs="Arial"/>
                <w:noProof/>
                <w:lang w:val="de-DE"/>
              </w:rPr>
            </w:pPr>
            <w:r w:rsidRPr="00170422">
              <w:rPr>
                <w:noProof/>
                <w:lang w:val="de-DE"/>
              </w:rPr>
              <w:t>Die Zahl der „Einhaltungsschreiben“, mit denen Steuerpflichtige frühzeitig informiert werden, bei denen Unregelmäßigkeiten festgestellt werden, wird gegenüber 2019 um mindestens 40 % erhöht.</w:t>
            </w:r>
          </w:p>
        </w:tc>
      </w:tr>
      <w:tr w:rsidR="0057163C" w:rsidRPr="00170422" w14:paraId="7E8BD4CF"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2B0D7" w14:textId="77777777" w:rsidR="0057163C" w:rsidRPr="00170422" w:rsidRDefault="00F37BF9">
            <w:pPr>
              <w:pStyle w:val="P68B1DB1-Normal11"/>
              <w:jc w:val="center"/>
              <w:rPr>
                <w:rFonts w:cs="Arial"/>
                <w:noProof/>
                <w:szCs w:val="20"/>
                <w:lang w:val="de-DE"/>
              </w:rPr>
            </w:pPr>
            <w:r w:rsidRPr="00170422">
              <w:rPr>
                <w:noProof/>
                <w:lang w:val="de-DE"/>
              </w:rPr>
              <w:t>M1C1-114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271114"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C7188A"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52BAA" w14:textId="77777777" w:rsidR="0057163C" w:rsidRPr="00170422" w:rsidRDefault="00F37BF9">
            <w:pPr>
              <w:pStyle w:val="P68B1DB1-Normal11"/>
              <w:jc w:val="center"/>
              <w:rPr>
                <w:rFonts w:cs="Arial"/>
                <w:noProof/>
                <w:szCs w:val="20"/>
                <w:lang w:val="de-DE"/>
              </w:rPr>
            </w:pPr>
            <w:r w:rsidRPr="00170422">
              <w:rPr>
                <w:noProof/>
                <w:lang w:val="de-DE"/>
              </w:rPr>
              <w:t>Erhöhung der Steuereinnahmen durch „Compliance-Briefe“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69082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B8402" w14:textId="77777777" w:rsidR="0057163C" w:rsidRPr="00170422" w:rsidRDefault="00F37BF9">
            <w:pPr>
              <w:pStyle w:val="P68B1DB1-Normal11"/>
              <w:jc w:val="center"/>
              <w:rPr>
                <w:rFonts w:cs="Arial"/>
                <w:noProof/>
                <w:szCs w:val="20"/>
                <w:lang w:val="de-DE"/>
              </w:rPr>
            </w:pPr>
            <w:r w:rsidRPr="00170422">
              <w:rPr>
                <w:noProof/>
                <w:lang w:val="de-DE"/>
              </w:rPr>
              <w:t>Euro</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41C83" w14:textId="77777777" w:rsidR="0057163C" w:rsidRPr="00170422" w:rsidRDefault="00F37BF9">
            <w:pPr>
              <w:pStyle w:val="P68B1DB1-Normal11"/>
              <w:jc w:val="center"/>
              <w:rPr>
                <w:rFonts w:cs="Arial"/>
                <w:noProof/>
                <w:szCs w:val="20"/>
                <w:lang w:val="de-DE"/>
              </w:rPr>
            </w:pPr>
            <w:r w:rsidRPr="00170422">
              <w:rPr>
                <w:noProof/>
                <w:lang w:val="de-DE"/>
              </w:rPr>
              <w:t>2 130 000 000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B6BAFD" w14:textId="77777777" w:rsidR="0057163C" w:rsidRPr="00170422" w:rsidRDefault="00F37BF9">
            <w:pPr>
              <w:pStyle w:val="P68B1DB1-Normal11"/>
              <w:jc w:val="center"/>
              <w:rPr>
                <w:rFonts w:cs="Arial"/>
                <w:noProof/>
                <w:szCs w:val="20"/>
                <w:lang w:val="de-DE"/>
              </w:rPr>
            </w:pPr>
            <w:r w:rsidRPr="00170422">
              <w:rPr>
                <w:noProof/>
                <w:lang w:val="de-DE"/>
              </w:rPr>
              <w:t>2 769 000 000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3036E1" w14:textId="77777777" w:rsidR="0057163C" w:rsidRPr="00170422" w:rsidRDefault="00F37BF9">
            <w:pPr>
              <w:pStyle w:val="P68B1DB1-Normal11"/>
              <w:jc w:val="center"/>
              <w:rPr>
                <w:rFonts w:cs="Arial"/>
                <w:noProof/>
                <w:szCs w:val="20"/>
                <w:lang w:val="de-DE"/>
              </w:rPr>
            </w:pPr>
            <w:r w:rsidRPr="00170422">
              <w:rPr>
                <w:noProof/>
                <w:lang w:val="de-DE"/>
              </w:rPr>
              <w:t xml:space="preserve"> 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B62DB5" w14:textId="77777777" w:rsidR="0057163C" w:rsidRPr="00170422" w:rsidRDefault="00F37BF9">
            <w:pPr>
              <w:pStyle w:val="P68B1DB1-Normal11"/>
              <w:jc w:val="center"/>
              <w:rPr>
                <w:rFonts w:cs="Arial"/>
                <w:noProof/>
                <w:szCs w:val="20"/>
                <w:lang w:val="de-DE"/>
              </w:rPr>
            </w:pPr>
            <w:r w:rsidRPr="00170422">
              <w:rPr>
                <w:noProof/>
                <w:lang w:val="de-DE"/>
              </w:rPr>
              <w:t>2023</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435AC" w14:textId="77777777" w:rsidR="0057163C" w:rsidRPr="00170422" w:rsidRDefault="00F37BF9">
            <w:pPr>
              <w:pStyle w:val="P68B1DB1-Normal11"/>
              <w:spacing w:before="100" w:beforeAutospacing="1" w:after="120"/>
              <w:rPr>
                <w:rFonts w:cs="Arial"/>
                <w:noProof/>
                <w:szCs w:val="20"/>
                <w:lang w:val="de-DE"/>
              </w:rPr>
            </w:pPr>
            <w:r w:rsidRPr="00170422">
              <w:rPr>
                <w:noProof/>
                <w:lang w:val="de-DE"/>
              </w:rPr>
              <w:t xml:space="preserve">Die durch „Konformitätsschreiben“ erzielten Steuereinnahmen werden gegenüber 2019 um 30 % </w:t>
            </w:r>
            <w:r w:rsidRPr="00170422">
              <w:rPr>
                <w:noProof/>
                <w:lang w:val="de-DE"/>
              </w:rPr>
              <w:t>steigen.</w:t>
            </w:r>
          </w:p>
        </w:tc>
      </w:tr>
      <w:tr w:rsidR="0057163C" w:rsidRPr="00170422" w14:paraId="0228E01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FF46C" w14:textId="77777777" w:rsidR="0057163C" w:rsidRPr="00170422" w:rsidRDefault="00F37BF9">
            <w:pPr>
              <w:pStyle w:val="P68B1DB1-Normal11"/>
              <w:jc w:val="center"/>
              <w:rPr>
                <w:rFonts w:cs="Arial"/>
                <w:noProof/>
                <w:szCs w:val="20"/>
                <w:lang w:val="de-DE"/>
              </w:rPr>
            </w:pPr>
            <w:r w:rsidRPr="00170422">
              <w:rPr>
                <w:noProof/>
                <w:lang w:val="de-DE"/>
              </w:rPr>
              <w:t>M1C1-115</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00AA60" w14:textId="77777777" w:rsidR="0057163C" w:rsidRPr="00170422" w:rsidRDefault="00F37BF9">
            <w:pPr>
              <w:pStyle w:val="P68B1DB1-Normal11"/>
              <w:jc w:val="center"/>
              <w:rPr>
                <w:rFonts w:cs="Arial"/>
                <w:noProof/>
                <w:szCs w:val="20"/>
                <w:lang w:val="de-DE"/>
              </w:rPr>
            </w:pPr>
            <w:r w:rsidRPr="00170422">
              <w:rPr>
                <w:noProof/>
                <w:lang w:val="de-DE"/>
              </w:rPr>
              <w:t>Reform 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95083C"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993BA" w14:textId="77777777" w:rsidR="0057163C" w:rsidRPr="00170422" w:rsidRDefault="00F37BF9">
            <w:pPr>
              <w:pStyle w:val="P68B1DB1-Normal11"/>
              <w:jc w:val="center"/>
              <w:rPr>
                <w:rFonts w:cs="Arial"/>
                <w:noProof/>
                <w:szCs w:val="20"/>
                <w:lang w:val="de-DE"/>
              </w:rPr>
            </w:pPr>
            <w:r w:rsidRPr="00170422">
              <w:rPr>
                <w:noProof/>
                <w:lang w:val="de-DE"/>
              </w:rPr>
              <w:t>Abschluss der jährlichen Ausgabenüberprüfung für 2024 unter Bezugnahme auf das in den Jahren 2022 und 2023 festgelegte Einsparziel für 2024</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52DAC" w14:textId="77777777" w:rsidR="0057163C" w:rsidRPr="00170422" w:rsidRDefault="00F37BF9">
            <w:pPr>
              <w:pStyle w:val="P68B1DB1-Normal11"/>
              <w:jc w:val="center"/>
              <w:rPr>
                <w:rFonts w:cs="Arial"/>
                <w:noProof/>
                <w:szCs w:val="20"/>
                <w:lang w:val="de-DE"/>
              </w:rPr>
            </w:pPr>
            <w:r w:rsidRPr="00170422">
              <w:rPr>
                <w:noProof/>
                <w:lang w:val="de-DE"/>
              </w:rPr>
              <w:t xml:space="preserve">Annahme des Berichts des </w:t>
            </w:r>
            <w:r w:rsidRPr="00170422">
              <w:rPr>
                <w:noProof/>
                <w:lang w:val="de-DE"/>
              </w:rPr>
              <w:t>Finanzministeriums über die Ausgabenüberprüfung im Jahr 2024, in dem der Abschluss des Prozesses und die Erreichung des Ziels bescheinigt werden.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C5F6EE"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EBAF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77598B"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2EBBC"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0A54A7"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5E5DD7" w14:textId="77777777" w:rsidR="0057163C" w:rsidRPr="00170422" w:rsidRDefault="00F37BF9">
            <w:pPr>
              <w:pStyle w:val="P68B1DB1-Normal11"/>
              <w:spacing w:after="120"/>
              <w:rPr>
                <w:rFonts w:cs="Arial"/>
                <w:noProof/>
                <w:szCs w:val="20"/>
                <w:lang w:val="de-DE"/>
              </w:rPr>
            </w:pPr>
            <w:r w:rsidRPr="00170422">
              <w:rPr>
                <w:noProof/>
                <w:lang w:val="de-DE"/>
              </w:rPr>
              <w:t>Der Bericht des Finanzministeriums, der dem Ministerrat gemäß den Gesetz</w:t>
            </w:r>
            <w:r w:rsidRPr="00170422">
              <w:rPr>
                <w:noProof/>
                <w:lang w:val="de-DE"/>
              </w:rPr>
              <w:t>esdekreten 90 und 93 von 2016 und dem Gesetz 163/2016 zu übermitteln ist, muss</w:t>
            </w:r>
          </w:p>
          <w:p w14:paraId="5142CC68" w14:textId="77777777" w:rsidR="0057163C" w:rsidRPr="00170422" w:rsidRDefault="00F37BF9">
            <w:pPr>
              <w:pStyle w:val="P68B1DB1-Normal11"/>
              <w:spacing w:after="120"/>
              <w:rPr>
                <w:rFonts w:cs="Arial"/>
                <w:noProof/>
                <w:szCs w:val="20"/>
                <w:lang w:val="de-DE"/>
              </w:rPr>
            </w:pPr>
            <w:r w:rsidRPr="00170422">
              <w:rPr>
                <w:noProof/>
                <w:lang w:val="de-DE"/>
              </w:rPr>
              <w:t>— den Abschluss der Ausgabenüberprüfung für 2024 in Bezug auf die Bestimmung für den Ausgabenüberprüfungsrahmen zu bescheinigen.</w:t>
            </w:r>
          </w:p>
          <w:p w14:paraId="0AA8A0AE" w14:textId="77777777" w:rsidR="0057163C" w:rsidRPr="00170422" w:rsidRDefault="00F37BF9">
            <w:pPr>
              <w:pStyle w:val="P68B1DB1-Normal11"/>
              <w:spacing w:after="120"/>
              <w:rPr>
                <w:rFonts w:cs="Arial"/>
                <w:noProof/>
                <w:szCs w:val="20"/>
                <w:lang w:val="de-DE"/>
              </w:rPr>
            </w:pPr>
            <w:r w:rsidRPr="00170422">
              <w:rPr>
                <w:noProof/>
                <w:lang w:val="de-DE"/>
              </w:rPr>
              <w:t xml:space="preserve">— bescheinigen, dass das in den Jahren 2022 und </w:t>
            </w:r>
            <w:r w:rsidRPr="00170422">
              <w:rPr>
                <w:noProof/>
                <w:lang w:val="de-DE"/>
              </w:rPr>
              <w:t>2023 festgelegte Ziel erreicht wurde.</w:t>
            </w:r>
          </w:p>
        </w:tc>
      </w:tr>
      <w:tr w:rsidR="0057163C" w:rsidRPr="00170422" w14:paraId="2A97CFE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9CAFD" w14:textId="77777777" w:rsidR="0057163C" w:rsidRPr="00170422" w:rsidRDefault="00F37BF9">
            <w:pPr>
              <w:pStyle w:val="P68B1DB1-Normal11"/>
              <w:jc w:val="center"/>
              <w:rPr>
                <w:rFonts w:cs="Arial"/>
                <w:noProof/>
                <w:szCs w:val="20"/>
                <w:lang w:val="de-DE"/>
              </w:rPr>
            </w:pPr>
            <w:r w:rsidRPr="00170422">
              <w:rPr>
                <w:noProof/>
                <w:lang w:val="de-DE"/>
              </w:rPr>
              <w:t>M1C1-116</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5D36AF" w14:textId="77777777" w:rsidR="0057163C" w:rsidRPr="00170422" w:rsidRDefault="00F37BF9">
            <w:pPr>
              <w:pStyle w:val="P68B1DB1-Normal11"/>
              <w:jc w:val="center"/>
              <w:rPr>
                <w:rFonts w:cs="Arial"/>
                <w:noProof/>
                <w:szCs w:val="20"/>
                <w:lang w:val="de-DE"/>
              </w:rPr>
            </w:pPr>
            <w:r w:rsidRPr="00170422">
              <w:rPr>
                <w:noProof/>
                <w:lang w:val="de-DE"/>
              </w:rPr>
              <w:t>Reform 1.12: Reform der Steuerverwaltung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7C233"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1E436" w14:textId="77777777" w:rsidR="0057163C" w:rsidRPr="00170422" w:rsidRDefault="00F37BF9">
            <w:pPr>
              <w:pStyle w:val="P68B1DB1-Normal11"/>
              <w:jc w:val="center"/>
              <w:rPr>
                <w:rFonts w:cs="Arial"/>
                <w:noProof/>
                <w:szCs w:val="20"/>
                <w:lang w:val="de-DE"/>
              </w:rPr>
            </w:pPr>
            <w:r w:rsidRPr="00170422">
              <w:rPr>
                <w:noProof/>
                <w:lang w:val="de-DE"/>
              </w:rPr>
              <w:t>Verringerung der Steuerhinterziehung gemäß der Definition des Indikators „Gegenstand zur Umgehung“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8CC29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12B017" w14:textId="77777777" w:rsidR="0057163C" w:rsidRPr="00170422" w:rsidRDefault="00F37BF9">
            <w:pPr>
              <w:pStyle w:val="P68B1DB1-Normal11"/>
              <w:jc w:val="center"/>
              <w:rPr>
                <w:rFonts w:cs="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A3EE4"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4B972E" w14:textId="77777777" w:rsidR="0057163C" w:rsidRPr="00170422" w:rsidRDefault="00F37BF9">
            <w:pPr>
              <w:pStyle w:val="P68B1DB1-Normal12"/>
              <w:jc w:val="center"/>
              <w:rPr>
                <w:rFonts w:cs="Arial"/>
                <w:noProof/>
                <w:lang w:val="de-DE"/>
              </w:rPr>
            </w:pPr>
            <w:r w:rsidRPr="00170422">
              <w:rPr>
                <w:noProof/>
                <w:lang w:val="de-DE"/>
              </w:rPr>
              <w:t>—10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39E31" w14:textId="77777777" w:rsidR="0057163C" w:rsidRPr="00170422" w:rsidRDefault="00F37BF9">
            <w:pPr>
              <w:pStyle w:val="P68B1DB1-Normal11"/>
              <w:jc w:val="center"/>
              <w:rPr>
                <w:rFonts w:cs="Arial"/>
                <w:noProof/>
                <w:szCs w:val="20"/>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8BFE0" w14:textId="77777777" w:rsidR="0057163C" w:rsidRPr="00170422" w:rsidRDefault="00F37BF9">
            <w:pPr>
              <w:pStyle w:val="P68B1DB1-Normal11"/>
              <w:jc w:val="center"/>
              <w:rPr>
                <w:rFonts w:cs="Arial"/>
                <w:noProof/>
                <w:szCs w:val="20"/>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B5DACE" w14:textId="20827FDD" w:rsidR="0057163C" w:rsidRPr="00170422" w:rsidRDefault="00F37BF9">
            <w:pPr>
              <w:pStyle w:val="P68B1DB1-Normal12"/>
              <w:spacing w:before="100" w:beforeAutospacing="1" w:after="120"/>
              <w:rPr>
                <w:rFonts w:cs="Arial"/>
                <w:noProof/>
                <w:lang w:val="de-DE"/>
              </w:rPr>
            </w:pPr>
            <w:r w:rsidRPr="00170422">
              <w:rPr>
                <w:noProof/>
                <w:lang w:val="de-DE"/>
              </w:rPr>
              <w:t xml:space="preserve">In dem </w:t>
            </w:r>
            <w:r w:rsidRPr="00170422">
              <w:rPr>
                <w:noProof/>
                <w:lang w:val="de-DE"/>
              </w:rPr>
              <w:t>aktualisierten Bericht der Regierung über die Schattenwirtschaft, der 2025 gemäß Artikel 2 des Gesetzesdekrets Nr. 160/2015 veröffentlicht wurde, wird im Zeitraum 2022-2023 eine durchschnittliche Senkung aller Steuern ohne Immobiliensteuern („Imposta Munic</w:t>
            </w:r>
            <w:r w:rsidRPr="00170422">
              <w:rPr>
                <w:noProof/>
                <w:lang w:val="de-DE"/>
              </w:rPr>
              <w:t>ipale Unica“) und Verbrauchsteuern im Vergleich zu 2019 um durchschnittlich 10% bescheinigt.</w:t>
            </w:r>
          </w:p>
        </w:tc>
      </w:tr>
      <w:tr w:rsidR="0057163C" w:rsidRPr="00170422" w14:paraId="4763B434"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08EB1" w14:textId="77777777" w:rsidR="0057163C" w:rsidRPr="00170422" w:rsidRDefault="00F37BF9">
            <w:pPr>
              <w:pStyle w:val="P68B1DB1-Normal11"/>
              <w:jc w:val="center"/>
              <w:rPr>
                <w:rFonts w:cs="Arial"/>
                <w:noProof/>
                <w:szCs w:val="20"/>
                <w:lang w:val="de-DE"/>
              </w:rPr>
            </w:pPr>
            <w:r w:rsidRPr="00170422">
              <w:rPr>
                <w:noProof/>
                <w:lang w:val="de-DE"/>
              </w:rPr>
              <w:t>M1C1-117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EDCBE" w14:textId="77777777" w:rsidR="0057163C" w:rsidRPr="00170422" w:rsidRDefault="00F37BF9">
            <w:pPr>
              <w:pStyle w:val="P68B1DB1-Normal11"/>
              <w:spacing w:line="276" w:lineRule="auto"/>
              <w:jc w:val="center"/>
              <w:rPr>
                <w:rFonts w:cs="Arial"/>
                <w:noProof/>
                <w:szCs w:val="20"/>
                <w:lang w:val="de-DE"/>
              </w:rPr>
            </w:pPr>
            <w:r w:rsidRPr="00170422">
              <w:rPr>
                <w:noProof/>
                <w:lang w:val="de-DE"/>
              </w:rPr>
              <w:t>Reform 1.15:</w:t>
            </w:r>
          </w:p>
          <w:p w14:paraId="49A72097" w14:textId="77777777" w:rsidR="0057163C" w:rsidRPr="00170422" w:rsidRDefault="00F37BF9">
            <w:pPr>
              <w:pStyle w:val="P68B1DB1-Normal11"/>
              <w:spacing w:line="276" w:lineRule="auto"/>
              <w:jc w:val="center"/>
              <w:rPr>
                <w:rFonts w:cs="Arial"/>
                <w:noProof/>
                <w:szCs w:val="20"/>
                <w:lang w:val="de-DE"/>
              </w:rPr>
            </w:pPr>
            <w:r w:rsidRPr="00170422">
              <w:rPr>
                <w:noProof/>
                <w:lang w:val="de-DE"/>
              </w:rPr>
              <w:t>Reform der Vorschriften für das öffentliche Rechnungswesen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A2A35" w14:textId="77777777" w:rsidR="0057163C" w:rsidRPr="00170422" w:rsidRDefault="00F37BF9">
            <w:pPr>
              <w:pStyle w:val="P68B1DB1-Normal11"/>
              <w:jc w:val="center"/>
              <w:rPr>
                <w:rFonts w:cs="Arial"/>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1F591" w14:textId="77777777" w:rsidR="0057163C" w:rsidRPr="00170422" w:rsidRDefault="00F37BF9">
            <w:pPr>
              <w:pStyle w:val="P68B1DB1-Normal11"/>
              <w:jc w:val="center"/>
              <w:rPr>
                <w:rFonts w:cs="Arial"/>
                <w:noProof/>
                <w:szCs w:val="20"/>
                <w:lang w:val="de-DE"/>
              </w:rPr>
            </w:pPr>
            <w:r w:rsidRPr="00170422">
              <w:rPr>
                <w:noProof/>
                <w:lang w:val="de-DE"/>
              </w:rPr>
              <w:t xml:space="preserve">Schulung von Vertretern öffentlicher Einrichtungen </w:t>
            </w:r>
            <w:r w:rsidRPr="00170422">
              <w:rPr>
                <w:noProof/>
                <w:szCs w:val="20"/>
                <w:lang w:val="de-DE"/>
              </w:rPr>
              <w:t>zum</w:t>
            </w:r>
            <w:r w:rsidRPr="00170422">
              <w:rPr>
                <w:noProof/>
                <w:lang w:val="de-DE"/>
              </w:rPr>
              <w:t xml:space="preserve"> neuen periodengerechten Rechnungsführungssystem</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468BF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5AB0D" w14:textId="77777777" w:rsidR="0057163C" w:rsidRPr="00170422" w:rsidRDefault="00F37BF9">
            <w:pPr>
              <w:pStyle w:val="P68B1DB1-Normal11"/>
              <w:jc w:val="center"/>
              <w:rPr>
                <w:rFonts w:cs="Arial"/>
                <w:noProof/>
                <w:szCs w:val="20"/>
                <w:lang w:val="de-DE"/>
              </w:rPr>
            </w:pPr>
            <w:r w:rsidRPr="00170422">
              <w:rPr>
                <w:noProof/>
                <w:lang w:val="de-DE"/>
              </w:rPr>
              <w:t xml:space="preserve">Prozentuale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FDD66" w14:textId="77777777" w:rsidR="0057163C" w:rsidRPr="00170422" w:rsidRDefault="00F37BF9">
            <w:pPr>
              <w:pStyle w:val="P68B1DB1-Normal11"/>
              <w:jc w:val="center"/>
              <w:rPr>
                <w:rFonts w:cs="Arial"/>
                <w:noProof/>
                <w:szCs w:val="20"/>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D7D6D" w14:textId="77777777" w:rsidR="0057163C" w:rsidRPr="00170422" w:rsidRDefault="00F37BF9">
            <w:pPr>
              <w:pStyle w:val="P68B1DB1-Normal11"/>
              <w:jc w:val="center"/>
              <w:rPr>
                <w:rFonts w:cs="Arial"/>
                <w:noProof/>
                <w:szCs w:val="20"/>
                <w:lang w:val="de-DE"/>
              </w:rPr>
            </w:pPr>
            <w:r w:rsidRPr="00170422">
              <w:rPr>
                <w:noProof/>
                <w:lang w:val="de-DE"/>
              </w:rPr>
              <w:t>90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D1A3AD" w14:textId="77777777" w:rsidR="0057163C" w:rsidRPr="00170422" w:rsidRDefault="00F37BF9">
            <w:pPr>
              <w:pStyle w:val="P68B1DB1-Normal11"/>
              <w:jc w:val="center"/>
              <w:rPr>
                <w:rFonts w:cs="Arial"/>
                <w:noProof/>
                <w:szCs w:val="20"/>
                <w:lang w:val="de-DE"/>
              </w:rPr>
            </w:pPr>
            <w:r w:rsidRPr="00170422">
              <w:rPr>
                <w:noProof/>
                <w:lang w:val="de-DE"/>
              </w:rPr>
              <w:t>Q1</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FEF7"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1F869" w14:textId="77777777" w:rsidR="0057163C" w:rsidRPr="00170422" w:rsidRDefault="00F37BF9">
            <w:pPr>
              <w:pStyle w:val="P68B1DB1-Normal12"/>
              <w:rPr>
                <w:rFonts w:cs="Arial"/>
                <w:noProof/>
                <w:lang w:val="de-DE"/>
              </w:rPr>
            </w:pPr>
            <w:r w:rsidRPr="00170422">
              <w:rPr>
                <w:noProof/>
                <w:lang w:val="de-DE"/>
              </w:rPr>
              <w:t>Auf der Grundlage von Daten der zentralen digitalen Plattform für Schulungen zum neuen Rechnungsführungssystem wird die erste Runde von Schulungen zum neuen periodengerech</w:t>
            </w:r>
            <w:r w:rsidRPr="00170422">
              <w:rPr>
                <w:noProof/>
                <w:lang w:val="de-DE"/>
              </w:rPr>
              <w:t>ten Rechnungsführungssystem von Vertretern öffentlicher Stellen abgeschlossen, die mindestens 90 % der Primärausgaben des gesamten öffentlichen Sektors (ohne staatseigene Unternehmen) abdecken.</w:t>
            </w:r>
          </w:p>
        </w:tc>
      </w:tr>
      <w:tr w:rsidR="0057163C" w:rsidRPr="00170422" w14:paraId="1E96DCB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05037C" w14:textId="77777777" w:rsidR="0057163C" w:rsidRPr="00170422" w:rsidRDefault="00F37BF9">
            <w:pPr>
              <w:pStyle w:val="P68B1DB1-Normal12"/>
              <w:jc w:val="center"/>
              <w:rPr>
                <w:rFonts w:cs="Arial"/>
                <w:noProof/>
                <w:lang w:val="de-DE"/>
              </w:rPr>
            </w:pPr>
            <w:r w:rsidRPr="00170422">
              <w:rPr>
                <w:noProof/>
                <w:lang w:val="de-DE"/>
              </w:rPr>
              <w:t>M1C1-118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6388A8" w14:textId="77777777" w:rsidR="0057163C" w:rsidRPr="00170422" w:rsidRDefault="00F37BF9">
            <w:pPr>
              <w:pStyle w:val="P68B1DB1-Normal11"/>
              <w:spacing w:line="276" w:lineRule="auto"/>
              <w:jc w:val="center"/>
              <w:rPr>
                <w:rFonts w:cs="Arial"/>
                <w:noProof/>
                <w:szCs w:val="20"/>
                <w:lang w:val="de-DE"/>
              </w:rPr>
            </w:pPr>
            <w:bookmarkStart w:id="6" w:name="_Hlk160472732"/>
            <w:r w:rsidRPr="00170422">
              <w:rPr>
                <w:noProof/>
                <w:lang w:val="de-DE"/>
              </w:rPr>
              <w:t>Reform 1.15:</w:t>
            </w:r>
          </w:p>
          <w:p w14:paraId="637E825A" w14:textId="77777777" w:rsidR="0057163C" w:rsidRPr="00170422" w:rsidRDefault="00F37BF9">
            <w:pPr>
              <w:pStyle w:val="P68B1DB1-Normal11"/>
              <w:spacing w:line="276" w:lineRule="auto"/>
              <w:jc w:val="center"/>
              <w:rPr>
                <w:rFonts w:cs="Arial"/>
                <w:noProof/>
                <w:szCs w:val="20"/>
                <w:lang w:val="de-DE"/>
              </w:rPr>
            </w:pPr>
            <w:r w:rsidRPr="00170422">
              <w:rPr>
                <w:noProof/>
                <w:lang w:val="de-DE"/>
              </w:rPr>
              <w:t xml:space="preserve">Reform der Vorschriften für das </w:t>
            </w:r>
            <w:r w:rsidRPr="00170422">
              <w:rPr>
                <w:noProof/>
                <w:lang w:val="de-DE"/>
              </w:rPr>
              <w:t>öffentliche Rechnungswesen</w:t>
            </w:r>
            <w:bookmarkEnd w:id="6"/>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9123"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BA868" w14:textId="77777777" w:rsidR="0057163C" w:rsidRPr="00170422" w:rsidRDefault="00F37BF9">
            <w:pPr>
              <w:pStyle w:val="P68B1DB1-Normal12"/>
              <w:jc w:val="center"/>
              <w:rPr>
                <w:rFonts w:cs="Arial"/>
                <w:noProof/>
                <w:lang w:val="de-DE"/>
              </w:rPr>
            </w:pPr>
            <w:r w:rsidRPr="00170422">
              <w:rPr>
                <w:noProof/>
                <w:lang w:val="de-DE"/>
              </w:rPr>
              <w:t>Veröffentlichung von Abschlüssen und Inkrafttreten des Rechtsakts zur Reform der periodengerechten Rechnungsführung für öffentliche Stellen, die mindestens 90 % der Primärausgaben des gesamten öffentlichen Sektors, ab</w:t>
            </w:r>
            <w:r w:rsidRPr="00170422">
              <w:rPr>
                <w:noProof/>
                <w:lang w:val="de-DE"/>
              </w:rPr>
              <w:t xml:space="preserve">züglich staatseigener Unternehmen, abdecken. </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87C91" w14:textId="77777777" w:rsidR="0057163C" w:rsidRPr="00170422" w:rsidRDefault="00F37BF9">
            <w:pPr>
              <w:pStyle w:val="P68B1DB1-Normal12"/>
              <w:jc w:val="center"/>
              <w:rPr>
                <w:rFonts w:cs="Arial"/>
                <w:noProof/>
                <w:lang w:val="de-DE"/>
              </w:rPr>
            </w:pPr>
            <w:r w:rsidRPr="00170422">
              <w:rPr>
                <w:noProof/>
                <w:lang w:val="de-DE"/>
              </w:rPr>
              <w:t xml:space="preserve">Bestimmung im Gesetzgebungsakt, aus der das Inkrafttreten des Gesetzgebungsakts hervorgeht.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2F97E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3287F"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95771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0676DC"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AB707"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1C70F7" w14:textId="77777777" w:rsidR="0057163C" w:rsidRPr="00170422" w:rsidRDefault="00F37BF9">
            <w:pPr>
              <w:pStyle w:val="P68B1DB1-Normal12"/>
              <w:spacing w:after="120"/>
              <w:rPr>
                <w:rFonts w:cs="Arial"/>
                <w:noProof/>
                <w:lang w:val="de-DE"/>
              </w:rPr>
            </w:pPr>
            <w:r w:rsidRPr="00170422">
              <w:rPr>
                <w:noProof/>
                <w:lang w:val="de-DE"/>
              </w:rPr>
              <w:t>Als Pilotphase für den Rechtsakt über die öffentliche Rechnungslegung werden Ja</w:t>
            </w:r>
            <w:r w:rsidRPr="00170422">
              <w:rPr>
                <w:noProof/>
                <w:lang w:val="de-DE"/>
              </w:rPr>
              <w:t>hresabschlüsse der öffentlichen Verwaltung für öffentliche Stellen erstellt, die mindestens 90 % der Primärausgaben des gesamten öffentlichen Sektors, abzüglich staatseigener Unternehmen, abdecken.</w:t>
            </w:r>
          </w:p>
          <w:p w14:paraId="6026A35F" w14:textId="77777777" w:rsidR="0057163C" w:rsidRPr="00170422" w:rsidRDefault="00F37BF9">
            <w:pPr>
              <w:spacing w:after="120"/>
              <w:rPr>
                <w:rFonts w:ascii="Arial Narrow" w:hAnsi="Arial Narrow" w:cs="Arial"/>
                <w:noProof/>
                <w:color w:val="006100"/>
                <w:sz w:val="20"/>
                <w:szCs w:val="20"/>
                <w:lang w:val="de-DE"/>
              </w:rPr>
            </w:pPr>
            <w:r w:rsidRPr="00170422">
              <w:rPr>
                <w:rFonts w:ascii="Arial Narrow" w:hAnsi="Arial Narrow"/>
                <w:noProof/>
                <w:color w:val="006100"/>
                <w:sz w:val="20"/>
                <w:szCs w:val="20"/>
                <w:lang w:val="de-DE"/>
              </w:rPr>
              <w:t>Darüber hinaus tritt ein Rechtsakt in Kraft, in dem ein Fa</w:t>
            </w:r>
            <w:r w:rsidRPr="00170422">
              <w:rPr>
                <w:rFonts w:ascii="Arial Narrow" w:hAnsi="Arial Narrow"/>
                <w:noProof/>
                <w:color w:val="006100"/>
                <w:sz w:val="20"/>
                <w:szCs w:val="20"/>
                <w:lang w:val="de-DE"/>
              </w:rPr>
              <w:t>hrplan für die schrittweise Einführung des neuen Systems der periodengerechten Rechnungsführung festgelegt wird. Der Fahrplan sieht vor, dass bis 2030 (Haushaltsjahr) das neue periodengerechte Rechnungsführungssystem für öffentliche Stellen eingeführt wird</w:t>
            </w:r>
            <w:r w:rsidRPr="00170422">
              <w:rPr>
                <w:rFonts w:ascii="Arial Narrow" w:hAnsi="Arial Narrow"/>
                <w:noProof/>
                <w:color w:val="006100"/>
                <w:sz w:val="20"/>
                <w:szCs w:val="20"/>
                <w:lang w:val="de-DE"/>
              </w:rPr>
              <w:t>, das mindestens 90 % der Primärausgaben des gesamten öffentlichen Sektors abzüglich staatseigener Unternehmen abdeckt.</w:t>
            </w:r>
            <w:r w:rsidRPr="00170422">
              <w:rPr>
                <w:noProof/>
                <w:lang w:val="de-DE"/>
              </w:rPr>
              <w:br/>
            </w:r>
            <w:r w:rsidRPr="00170422">
              <w:rPr>
                <w:rFonts w:ascii="Arial Narrow" w:hAnsi="Arial Narrow"/>
                <w:noProof/>
                <w:color w:val="006100"/>
                <w:sz w:val="20"/>
                <w:szCs w:val="20"/>
                <w:lang w:val="de-DE"/>
              </w:rPr>
              <w:t>Der Rechtsakt schreibt auch die Organisation von Schulungsprogrammen für den Übergang zum neuen System der periodengerechten Rechnungsfü</w:t>
            </w:r>
            <w:r w:rsidRPr="00170422">
              <w:rPr>
                <w:rFonts w:ascii="Arial Narrow" w:hAnsi="Arial Narrow"/>
                <w:noProof/>
                <w:color w:val="006100"/>
                <w:sz w:val="20"/>
                <w:szCs w:val="20"/>
                <w:lang w:val="de-DE"/>
              </w:rPr>
              <w:t>hrung vor.</w:t>
            </w:r>
          </w:p>
          <w:p w14:paraId="45566614" w14:textId="77FB1438" w:rsidR="0057163C" w:rsidRPr="00170422" w:rsidRDefault="00F37BF9">
            <w:pPr>
              <w:pStyle w:val="P68B1DB1-Normal12"/>
              <w:spacing w:after="120"/>
              <w:rPr>
                <w:rFonts w:cs="Arial"/>
                <w:noProof/>
                <w:lang w:val="de-DE"/>
              </w:rPr>
            </w:pPr>
            <w:r w:rsidRPr="00170422">
              <w:rPr>
                <w:noProof/>
                <w:lang w:val="de-DE"/>
              </w:rPr>
              <w:t>Darüber hinaus werden Leitlinien für die Anwendung der einzelnen Rechnungslegungsstandards auf der Website des Ministeriums für Wirtschaft und Finanzen veröffentlicht.</w:t>
            </w:r>
          </w:p>
        </w:tc>
      </w:tr>
      <w:tr w:rsidR="0057163C" w:rsidRPr="00170422" w14:paraId="2BD46610"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D3A76" w14:textId="77777777" w:rsidR="0057163C" w:rsidRPr="00170422" w:rsidRDefault="00F37BF9">
            <w:pPr>
              <w:pStyle w:val="P68B1DB1-Normal11"/>
              <w:jc w:val="center"/>
              <w:rPr>
                <w:rFonts w:cs="Arial"/>
                <w:noProof/>
                <w:szCs w:val="20"/>
                <w:lang w:val="de-DE"/>
              </w:rPr>
            </w:pPr>
            <w:r w:rsidRPr="00170422">
              <w:rPr>
                <w:noProof/>
                <w:lang w:val="de-DE"/>
              </w:rPr>
              <w:t>M1C1-119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87145" w14:textId="77777777" w:rsidR="0057163C" w:rsidRPr="00170422" w:rsidRDefault="00F37BF9">
            <w:pPr>
              <w:pStyle w:val="P68B1DB1-Normal11"/>
              <w:spacing w:line="276" w:lineRule="auto"/>
              <w:jc w:val="center"/>
              <w:rPr>
                <w:rFonts w:cs="Arial"/>
                <w:noProof/>
                <w:szCs w:val="20"/>
                <w:lang w:val="de-DE"/>
              </w:rPr>
            </w:pPr>
            <w:r w:rsidRPr="00170422">
              <w:rPr>
                <w:noProof/>
                <w:lang w:val="de-DE"/>
              </w:rPr>
              <w:t>Reform 1.14:</w:t>
            </w:r>
          </w:p>
          <w:p w14:paraId="487E4AF1" w14:textId="77777777" w:rsidR="0057163C" w:rsidRPr="00170422" w:rsidRDefault="00F37BF9">
            <w:pPr>
              <w:pStyle w:val="P68B1DB1-Normal11"/>
              <w:spacing w:line="276" w:lineRule="auto"/>
              <w:jc w:val="center"/>
              <w:rPr>
                <w:rFonts w:cs="Arial"/>
                <w:noProof/>
                <w:szCs w:val="20"/>
                <w:lang w:val="de-DE"/>
              </w:rPr>
            </w:pPr>
            <w:r w:rsidRPr="00170422">
              <w:rPr>
                <w:noProof/>
                <w:lang w:val="de-DE"/>
              </w:rPr>
              <w:t xml:space="preserve">Reform des haushaltspolitischen Rahmens auf </w:t>
            </w:r>
            <w:r w:rsidRPr="00170422">
              <w:rPr>
                <w:noProof/>
                <w:lang w:val="de-DE"/>
              </w:rPr>
              <w:t>subnationaler Ebene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DE874"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9B6902" w14:textId="496FF43C" w:rsidR="0057163C" w:rsidRPr="00170422" w:rsidRDefault="00F37BF9">
            <w:pPr>
              <w:pStyle w:val="P68B1DB1-Normal12"/>
              <w:jc w:val="center"/>
              <w:rPr>
                <w:rFonts w:cs="Arial"/>
                <w:noProof/>
                <w:lang w:val="de-DE"/>
              </w:rPr>
            </w:pPr>
            <w:r w:rsidRPr="00170422">
              <w:rPr>
                <w:noProof/>
                <w:lang w:val="de-DE"/>
              </w:rPr>
              <w:t>Festlegung der Parameter für den regionalen Fiskalföderalismus</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8346B" w14:textId="063829FE" w:rsidR="0057163C" w:rsidRPr="00170422" w:rsidRDefault="00F37BF9">
            <w:pPr>
              <w:pStyle w:val="P68B1DB1-Normal12"/>
              <w:jc w:val="center"/>
              <w:rPr>
                <w:noProof/>
                <w:lang w:val="de-DE"/>
              </w:rPr>
            </w:pPr>
            <w:r w:rsidRPr="00170422">
              <w:rPr>
                <w:noProof/>
                <w:lang w:val="de-DE"/>
              </w:rPr>
              <w:t>Inkrafttreten des Rechtsakts zur Festlegung der Parameter für den fiskalischen Föderalismus für Regionen mit gewöhnlichem Status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F9350"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E31E81"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62EC8"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D620E" w14:textId="77777777" w:rsidR="0057163C" w:rsidRPr="00170422" w:rsidRDefault="00F37BF9">
            <w:pPr>
              <w:pStyle w:val="P68B1DB1-Normal12"/>
              <w:jc w:val="center"/>
              <w:rPr>
                <w:rFonts w:cs="Arial"/>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7A427"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149AE" w14:textId="767EED2F" w:rsidR="0057163C" w:rsidRPr="00170422" w:rsidRDefault="00F37BF9">
            <w:pPr>
              <w:pStyle w:val="P68B1DB1-Normal12"/>
              <w:spacing w:after="120"/>
              <w:rPr>
                <w:rFonts w:cs="Arial"/>
                <w:noProof/>
                <w:lang w:val="de-DE"/>
              </w:rPr>
            </w:pPr>
            <w:r w:rsidRPr="00170422">
              <w:rPr>
                <w:noProof/>
                <w:lang w:val="de-DE"/>
              </w:rPr>
              <w:t>Inkrafttreten von Rechtsakten, in denen die wesentlichen Dienstleistungsniveaus („livelli essenziali delle prestazioni“) für den fiskalischen Föderalismus für Regionen mit gewöhnlichem Status in mindestens zwei Politikbereichen festgelegt werden.</w:t>
            </w:r>
          </w:p>
        </w:tc>
      </w:tr>
      <w:tr w:rsidR="0057163C" w:rsidRPr="00170422" w14:paraId="0A607F28"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5C4317" w14:textId="77777777" w:rsidR="0057163C" w:rsidRPr="00170422" w:rsidRDefault="00F37BF9">
            <w:pPr>
              <w:pStyle w:val="P68B1DB1-Normal12"/>
              <w:jc w:val="center"/>
              <w:rPr>
                <w:rFonts w:cs="Arial"/>
                <w:noProof/>
                <w:lang w:val="de-DE"/>
              </w:rPr>
            </w:pPr>
            <w:r w:rsidRPr="00170422">
              <w:rPr>
                <w:noProof/>
                <w:lang w:val="de-DE"/>
              </w:rPr>
              <w:t>M1C1-120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868394" w14:textId="77777777" w:rsidR="0057163C" w:rsidRPr="00170422" w:rsidRDefault="00F37BF9">
            <w:pPr>
              <w:pStyle w:val="P68B1DB1-Normal11"/>
              <w:spacing w:line="276" w:lineRule="auto"/>
              <w:jc w:val="center"/>
              <w:rPr>
                <w:rFonts w:cs="Arial"/>
                <w:noProof/>
                <w:szCs w:val="20"/>
                <w:lang w:val="de-DE"/>
              </w:rPr>
            </w:pPr>
            <w:r w:rsidRPr="00170422">
              <w:rPr>
                <w:noProof/>
                <w:lang w:val="de-DE"/>
              </w:rPr>
              <w:t>Reform 1.14:</w:t>
            </w:r>
          </w:p>
          <w:p w14:paraId="37727D6A" w14:textId="77777777" w:rsidR="0057163C" w:rsidRPr="00170422" w:rsidRDefault="00F37BF9">
            <w:pPr>
              <w:pStyle w:val="P68B1DB1-Normal11"/>
              <w:spacing w:line="276" w:lineRule="auto"/>
              <w:jc w:val="center"/>
              <w:rPr>
                <w:rFonts w:cs="Arial"/>
                <w:noProof/>
                <w:szCs w:val="20"/>
                <w:lang w:val="de-DE"/>
              </w:rPr>
            </w:pPr>
            <w:r w:rsidRPr="00170422">
              <w:rPr>
                <w:noProof/>
                <w:lang w:val="de-DE"/>
              </w:rPr>
              <w:t>Reform des haushaltspolitischen Rahmens auf subnationaler Ebene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20B46"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74603" w14:textId="7E5E1E34" w:rsidR="0057163C" w:rsidRPr="00170422" w:rsidRDefault="00F37BF9">
            <w:pPr>
              <w:pStyle w:val="P68B1DB1-Normal12"/>
              <w:jc w:val="center"/>
              <w:rPr>
                <w:noProof/>
                <w:lang w:val="de-DE"/>
              </w:rPr>
            </w:pPr>
            <w:r w:rsidRPr="00170422">
              <w:rPr>
                <w:noProof/>
                <w:lang w:val="de-DE"/>
              </w:rPr>
              <w:t>Inkrafttreten des Rechtsakts zur Festlegung des Fiskalföderalismus für Provinzen und Großstädte.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5A2CD" w14:textId="7BB9B416" w:rsidR="0057163C" w:rsidRPr="00170422" w:rsidRDefault="00F37BF9">
            <w:pPr>
              <w:pStyle w:val="P68B1DB1-Normal12"/>
              <w:jc w:val="center"/>
              <w:rPr>
                <w:rFonts w:cs="Arial"/>
                <w:noProof/>
                <w:lang w:val="de-DE"/>
              </w:rPr>
            </w:pPr>
            <w:r w:rsidRPr="00170422">
              <w:rPr>
                <w:noProof/>
                <w:lang w:val="de-DE"/>
              </w:rPr>
              <w:t xml:space="preserve">Inkrafttreten des Rechtsakts zur Festlegung des </w:t>
            </w:r>
            <w:r w:rsidRPr="00170422">
              <w:rPr>
                <w:noProof/>
                <w:lang w:val="de-DE"/>
              </w:rPr>
              <w:t>Fiskalföderalismus für Provinzen und Großstädte.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4377C7"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6D6F3"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80F0F6"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A8C831" w14:textId="77777777" w:rsidR="0057163C" w:rsidRPr="00170422" w:rsidRDefault="00F37BF9">
            <w:pPr>
              <w:pStyle w:val="P68B1DB1-Normal12"/>
              <w:jc w:val="center"/>
              <w:rPr>
                <w:rFonts w:cs="Arial"/>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14A377"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FF7C2" w14:textId="1E3EB24B" w:rsidR="0057163C" w:rsidRPr="00170422" w:rsidRDefault="00F37BF9">
            <w:pPr>
              <w:pStyle w:val="P68B1DB1-Normal12"/>
              <w:rPr>
                <w:rFonts w:cs="Arial"/>
                <w:noProof/>
                <w:lang w:val="de-DE"/>
              </w:rPr>
            </w:pPr>
            <w:r w:rsidRPr="00170422">
              <w:rPr>
                <w:noProof/>
                <w:lang w:val="de-DE"/>
              </w:rPr>
              <w:t>Inkrafttreten von Rechtsakten für den Fiskalföderalismus für Provinzen und Großstädte.</w:t>
            </w:r>
          </w:p>
        </w:tc>
      </w:tr>
      <w:tr w:rsidR="0057163C" w:rsidRPr="00170422" w14:paraId="43CD2B0E"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CF128" w14:textId="77777777" w:rsidR="0057163C" w:rsidRPr="00170422" w:rsidRDefault="00F37BF9">
            <w:pPr>
              <w:pStyle w:val="P68B1DB1-Normal20"/>
              <w:jc w:val="center"/>
              <w:rPr>
                <w:rFonts w:hint="default"/>
                <w:noProof/>
                <w:lang w:val="de-DE"/>
              </w:rPr>
            </w:pPr>
            <w:r w:rsidRPr="00170422">
              <w:rPr>
                <w:rFonts w:hint="default"/>
                <w:noProof/>
                <w:lang w:val="de-DE"/>
              </w:rPr>
              <w:t>M1C1-121 bis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C44DB" w14:textId="7A3B890B" w:rsidR="0057163C" w:rsidRPr="00170422" w:rsidRDefault="00F37BF9">
            <w:pPr>
              <w:pStyle w:val="P68B1DB1-Normal11"/>
              <w:spacing w:after="200" w:line="276" w:lineRule="auto"/>
              <w:jc w:val="center"/>
              <w:rPr>
                <w:noProof/>
                <w:lang w:val="de-DE"/>
              </w:rPr>
            </w:pPr>
            <w:r w:rsidRPr="00170422">
              <w:rPr>
                <w:noProof/>
                <w:lang w:val="de-DE"/>
              </w:rPr>
              <w:t>Reform 1.12:</w:t>
            </w:r>
          </w:p>
          <w:p w14:paraId="284A3750" w14:textId="77777777" w:rsidR="0057163C" w:rsidRPr="00170422" w:rsidRDefault="00F37BF9">
            <w:pPr>
              <w:pStyle w:val="P68B1DB1-Normal20"/>
              <w:spacing w:line="276" w:lineRule="auto"/>
              <w:jc w:val="center"/>
              <w:rPr>
                <w:rFonts w:hint="default"/>
                <w:noProof/>
                <w:lang w:val="de-DE"/>
              </w:rPr>
            </w:pPr>
            <w:r w:rsidRPr="00170422">
              <w:rPr>
                <w:rFonts w:hint="default"/>
                <w:noProof/>
                <w:lang w:val="de-DE"/>
              </w:rPr>
              <w:t>Reform der Steuerverwaltung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38C2EB" w14:textId="77777777" w:rsidR="0057163C" w:rsidRPr="00170422" w:rsidRDefault="00F37BF9">
            <w:pPr>
              <w:pStyle w:val="P68B1DB1-Normal11"/>
              <w:jc w:val="center"/>
              <w:rPr>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7675" w14:textId="664ABC4A" w:rsidR="0057163C" w:rsidRPr="00170422" w:rsidRDefault="00F37BF9">
            <w:pPr>
              <w:pStyle w:val="P68B1DB1-Normal12"/>
              <w:jc w:val="center"/>
              <w:rPr>
                <w:noProof/>
                <w:lang w:val="de-DE"/>
              </w:rPr>
            </w:pPr>
            <w:r w:rsidRPr="00170422">
              <w:rPr>
                <w:noProof/>
                <w:lang w:val="de-DE"/>
              </w:rPr>
              <w:t>Inkrafttreten eines Rechtsakts zur Verbesserung der Steuererhebung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2C1D" w14:textId="42E2EC25" w:rsidR="0057163C" w:rsidRPr="00170422" w:rsidRDefault="00F37BF9">
            <w:pPr>
              <w:pStyle w:val="P68B1DB1-Normal20"/>
              <w:jc w:val="center"/>
              <w:rPr>
                <w:rFonts w:hint="default"/>
                <w:noProof/>
                <w:lang w:val="de-DE"/>
              </w:rPr>
            </w:pPr>
            <w:r w:rsidRPr="00170422">
              <w:rPr>
                <w:rFonts w:hint="default"/>
                <w:noProof/>
                <w:lang w:val="de-DE"/>
              </w:rPr>
              <w:t xml:space="preserve">Bestimmungen des Rechtsakts, aus denen das Inkrafttreten hervorgeht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C248F" w14:textId="4C95F40B" w:rsidR="0057163C" w:rsidRPr="00170422" w:rsidRDefault="00F37BF9">
            <w:pPr>
              <w:pStyle w:val="P68B1DB1-Normal11"/>
              <w:jc w:val="center"/>
              <w:rPr>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E35B7D" w14:textId="77777777" w:rsidR="0057163C" w:rsidRPr="00170422" w:rsidRDefault="00F37BF9">
            <w:pPr>
              <w:pStyle w:val="P68B1DB1-Normal11"/>
              <w:jc w:val="center"/>
              <w:rPr>
                <w:noProof/>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39A693" w14:textId="77777777" w:rsidR="0057163C" w:rsidRPr="00170422" w:rsidRDefault="00F37BF9">
            <w:pPr>
              <w:pStyle w:val="P68B1DB1-Normal11"/>
              <w:jc w:val="center"/>
              <w:rPr>
                <w:noProof/>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818EA" w14:textId="77777777"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095BD" w14:textId="77777777"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D2722" w14:textId="793FB981" w:rsidR="0057163C" w:rsidRPr="00170422" w:rsidRDefault="00F37BF9">
            <w:pPr>
              <w:pStyle w:val="P68B1DB1-Normal11"/>
              <w:rPr>
                <w:noProof/>
                <w:lang w:val="de-DE"/>
              </w:rPr>
            </w:pPr>
            <w:r w:rsidRPr="00170422">
              <w:rPr>
                <w:noProof/>
                <w:lang w:val="de-DE"/>
              </w:rPr>
              <w:t>Inkrafttreten eines Rechtsakts, der Folgendes vorsieht:</w:t>
            </w:r>
          </w:p>
          <w:p w14:paraId="1DF33B64" w14:textId="77777777" w:rsidR="0057163C" w:rsidRPr="00170422" w:rsidRDefault="00F37BF9">
            <w:pPr>
              <w:pStyle w:val="P68B1DB1-Normal12"/>
              <w:rPr>
                <w:noProof/>
                <w:lang w:val="de-DE"/>
              </w:rPr>
            </w:pPr>
            <w:r w:rsidRPr="00170422">
              <w:rPr>
                <w:noProof/>
                <w:lang w:val="de-DE"/>
              </w:rPr>
              <w:t>1. Daten aus der elektronischen Rechnungsstellung werden der für die Erhebung der nicht gezahlten Steuerschuld zuständigen Agentur („Agenzia Entrate Riscossione“) zur Verfügung gestellt;</w:t>
            </w:r>
          </w:p>
          <w:p w14:paraId="173A1E82" w14:textId="15BC7308" w:rsidR="0057163C" w:rsidRPr="00170422" w:rsidRDefault="00F37BF9">
            <w:pPr>
              <w:pStyle w:val="P68B1DB1-Normal12"/>
              <w:rPr>
                <w:noProof/>
                <w:lang w:val="de-DE"/>
              </w:rPr>
            </w:pPr>
            <w:r w:rsidRPr="00170422">
              <w:rPr>
                <w:noProof/>
                <w:lang w:val="de-DE"/>
              </w:rPr>
              <w:t>2. Steuerausgleiche sind nur zulässig, wenn die nicht gezahlten Steue</w:t>
            </w:r>
            <w:r w:rsidRPr="00170422">
              <w:rPr>
                <w:noProof/>
                <w:lang w:val="de-DE"/>
              </w:rPr>
              <w:t>rschulden 50 000 EUR nicht übersteigen.</w:t>
            </w:r>
          </w:p>
          <w:p w14:paraId="2BB11707" w14:textId="77777777" w:rsidR="0057163C" w:rsidRPr="00170422" w:rsidRDefault="00F37BF9">
            <w:pPr>
              <w:pStyle w:val="P68B1DB1-Normal12"/>
              <w:rPr>
                <w:noProof/>
                <w:lang w:val="de-DE"/>
              </w:rPr>
            </w:pPr>
            <w:r w:rsidRPr="00170422">
              <w:rPr>
                <w:noProof/>
                <w:lang w:val="de-DE"/>
              </w:rPr>
              <w:t>3. Die Agentur für Einnahmen ist berechtigt, Mitteilungen an Steuerpflichtige zu senden, wenn elektronische Rechnungen ausgestellt wurden, für denselben Zeitraum jedoch keine MwSt-Erklärung vorgelegt wurde.</w:t>
            </w:r>
          </w:p>
        </w:tc>
      </w:tr>
      <w:tr w:rsidR="0057163C" w:rsidRPr="00170422" w14:paraId="6C48EB51"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984D0" w14:textId="77777777" w:rsidR="0057163C" w:rsidRPr="00170422" w:rsidRDefault="00F37BF9">
            <w:pPr>
              <w:pStyle w:val="P68B1DB1-Normal11"/>
              <w:jc w:val="center"/>
              <w:rPr>
                <w:rFonts w:cs="Arial"/>
                <w:noProof/>
                <w:szCs w:val="20"/>
                <w:lang w:val="de-DE"/>
              </w:rPr>
            </w:pPr>
            <w:r w:rsidRPr="00170422">
              <w:rPr>
                <w:noProof/>
                <w:lang w:val="de-DE"/>
              </w:rPr>
              <w:t>M1C1-122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8F966" w14:textId="77777777" w:rsidR="0057163C" w:rsidRPr="00170422" w:rsidRDefault="00F37BF9">
            <w:pPr>
              <w:pStyle w:val="P68B1DB1-Normal11"/>
              <w:spacing w:line="276" w:lineRule="auto"/>
              <w:jc w:val="center"/>
              <w:rPr>
                <w:rFonts w:cs="Arial"/>
                <w:noProof/>
                <w:szCs w:val="20"/>
                <w:lang w:val="de-DE"/>
              </w:rPr>
            </w:pPr>
            <w:r w:rsidRPr="00170422">
              <w:rPr>
                <w:noProof/>
                <w:lang w:val="de-DE"/>
              </w:rPr>
              <w:t>Reform 1.13: Reform des Rahmens für die Ausgabenüberprüfung</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4B617" w14:textId="77777777" w:rsidR="0057163C" w:rsidRPr="00170422" w:rsidRDefault="00F37BF9">
            <w:pPr>
              <w:pStyle w:val="P68B1DB1-Normal11"/>
              <w:jc w:val="center"/>
              <w:rPr>
                <w:rFonts w:cs="Arial"/>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A69E5" w14:textId="77777777" w:rsidR="0057163C" w:rsidRPr="00170422" w:rsidRDefault="00F37BF9">
            <w:pPr>
              <w:pStyle w:val="P68B1DB1-Normal11"/>
              <w:jc w:val="center"/>
              <w:rPr>
                <w:rFonts w:cs="Arial"/>
                <w:noProof/>
                <w:szCs w:val="20"/>
                <w:lang w:val="de-DE"/>
              </w:rPr>
            </w:pPr>
            <w:r w:rsidRPr="00170422">
              <w:rPr>
                <w:noProof/>
                <w:lang w:val="de-DE"/>
              </w:rPr>
              <w:t>Abschluss der jährlichen Ausgabenüberprüfung für 2025 unter Bezugnahme auf das in den Jahren 2022, 2023 und 2024 festgelegte Einsparziel für 2025.</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525A" w14:textId="0EC28DFF" w:rsidR="0057163C" w:rsidRPr="00170422" w:rsidRDefault="00F37BF9">
            <w:pPr>
              <w:pStyle w:val="P68B1DB1-Normal11"/>
              <w:jc w:val="center"/>
              <w:rPr>
                <w:rFonts w:cs="Arial"/>
                <w:noProof/>
                <w:szCs w:val="20"/>
                <w:lang w:val="de-DE"/>
              </w:rPr>
            </w:pPr>
            <w:r w:rsidRPr="00170422">
              <w:rPr>
                <w:noProof/>
                <w:lang w:val="de-DE"/>
              </w:rPr>
              <w:t xml:space="preserve">Annahme des Berichts des </w:t>
            </w:r>
            <w:r w:rsidRPr="00170422">
              <w:rPr>
                <w:noProof/>
                <w:lang w:val="de-DE"/>
              </w:rPr>
              <w:t>Finanzministeriums über die Ausgabenüberprüfung im Jahr 2025</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4D3092"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4D1DC4"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7BC20C" w14:textId="77777777" w:rsidR="0057163C" w:rsidRPr="00170422" w:rsidRDefault="00F37BF9">
            <w:pPr>
              <w:pStyle w:val="P68B1DB1-Normal11"/>
              <w:jc w:val="center"/>
              <w:rPr>
                <w:rFonts w:cs="Arial"/>
                <w:noProof/>
                <w:szCs w:val="20"/>
                <w:lang w:val="de-DE"/>
              </w:rPr>
            </w:pPr>
            <w:r w:rsidRPr="00170422">
              <w:rPr>
                <w:noProof/>
                <w:lang w:val="de-DE"/>
              </w:rPr>
              <w:t>ENTFÄLLT.</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CFF1AB" w14:textId="77777777" w:rsidR="0057163C" w:rsidRPr="00170422" w:rsidRDefault="00F37BF9">
            <w:pPr>
              <w:pStyle w:val="P68B1DB1-Normal11"/>
              <w:jc w:val="center"/>
              <w:rPr>
                <w:rFonts w:cs="Arial"/>
                <w:noProof/>
                <w:szCs w:val="20"/>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70683" w14:textId="77777777" w:rsidR="0057163C" w:rsidRPr="00170422" w:rsidRDefault="00F37BF9">
            <w:pPr>
              <w:pStyle w:val="P68B1DB1-Normal11"/>
              <w:jc w:val="center"/>
              <w:rPr>
                <w:rFonts w:cs="Arial"/>
                <w:noProof/>
                <w:szCs w:val="20"/>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19DD1" w14:textId="77777777" w:rsidR="0057163C" w:rsidRPr="00170422" w:rsidRDefault="00F37BF9">
            <w:pPr>
              <w:pStyle w:val="P68B1DB1-Normal11"/>
              <w:spacing w:after="120"/>
              <w:rPr>
                <w:rFonts w:cs="Arial"/>
                <w:noProof/>
                <w:szCs w:val="20"/>
                <w:lang w:val="de-DE"/>
              </w:rPr>
            </w:pPr>
            <w:r w:rsidRPr="00170422">
              <w:rPr>
                <w:noProof/>
                <w:lang w:val="de-DE"/>
              </w:rPr>
              <w:t>Der Bericht des Finanzministeriums, der dem Ministerrat gemäß den Gesetzesdekreten 90 und 93 von 2016 und dem Gesetz 163/2016 zu übermitteln ist, muss</w:t>
            </w:r>
          </w:p>
          <w:p w14:paraId="1A5026AE" w14:textId="58CE1E77" w:rsidR="0057163C" w:rsidRPr="00170422" w:rsidRDefault="00F37BF9">
            <w:pPr>
              <w:pStyle w:val="P68B1DB1-Normal11"/>
              <w:spacing w:after="120"/>
              <w:rPr>
                <w:rFonts w:cs="Arial"/>
                <w:noProof/>
                <w:szCs w:val="20"/>
                <w:lang w:val="de-DE"/>
              </w:rPr>
            </w:pPr>
            <w:r w:rsidRPr="00170422">
              <w:rPr>
                <w:noProof/>
                <w:lang w:val="de-DE"/>
              </w:rPr>
              <w:t xml:space="preserve">— den </w:t>
            </w:r>
            <w:r w:rsidRPr="00170422">
              <w:rPr>
                <w:noProof/>
                <w:lang w:val="de-DE"/>
              </w:rPr>
              <w:t>Abschluss der Ausgabenüberprüfung für 2025 in Bezug auf die Bestimmung für den Ausgabenüberprüfungsrahmen zu bescheinigen.</w:t>
            </w:r>
          </w:p>
          <w:p w14:paraId="0FE8AD31" w14:textId="77777777" w:rsidR="0057163C" w:rsidRPr="00170422" w:rsidRDefault="00F37BF9">
            <w:pPr>
              <w:pStyle w:val="P68B1DB1-Normal11"/>
              <w:spacing w:after="120"/>
              <w:rPr>
                <w:rFonts w:cs="Arial"/>
                <w:noProof/>
                <w:szCs w:val="20"/>
                <w:lang w:val="de-DE"/>
              </w:rPr>
            </w:pPr>
            <w:r w:rsidRPr="00170422">
              <w:rPr>
                <w:noProof/>
                <w:lang w:val="de-DE"/>
              </w:rPr>
              <w:t>— bescheinigen, dass das in den Jahren 2022, 2023 und 2024 festgelegte Ziel erreicht wurde.</w:t>
            </w:r>
          </w:p>
        </w:tc>
      </w:tr>
      <w:tr w:rsidR="0057163C" w:rsidRPr="00170422" w14:paraId="30A2A568"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46914" w14:textId="537111DF" w:rsidR="0057163C" w:rsidRPr="00170422" w:rsidRDefault="00F37BF9">
            <w:pPr>
              <w:pStyle w:val="P68B1DB1-Normal11"/>
              <w:jc w:val="center"/>
              <w:rPr>
                <w:noProof/>
                <w:lang w:val="de-DE"/>
              </w:rPr>
            </w:pPr>
            <w:r w:rsidRPr="00170422">
              <w:rPr>
                <w:noProof/>
                <w:lang w:val="de-DE"/>
              </w:rPr>
              <w:t>M1C1-144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101F39" w14:textId="33C770A7" w:rsidR="0057163C" w:rsidRPr="00170422" w:rsidRDefault="00F37BF9">
            <w:pPr>
              <w:pStyle w:val="P68B1DB1-Normal11"/>
              <w:spacing w:line="276" w:lineRule="auto"/>
              <w:jc w:val="center"/>
              <w:rPr>
                <w:noProof/>
                <w:lang w:val="de-DE"/>
              </w:rPr>
            </w:pPr>
            <w:r w:rsidRPr="00170422">
              <w:rPr>
                <w:noProof/>
                <w:lang w:val="de-DE"/>
              </w:rPr>
              <w:t xml:space="preserve">Investition </w:t>
            </w:r>
            <w:bookmarkStart w:id="7" w:name="_Hlk197447732"/>
            <w:r w:rsidRPr="00170422">
              <w:rPr>
                <w:noProof/>
                <w:lang w:val="de-DE"/>
              </w:rPr>
              <w:t xml:space="preserve">1.4.2 – </w:t>
            </w:r>
            <w:r w:rsidRPr="00170422">
              <w:rPr>
                <w:noProof/>
                <w:lang w:val="de-DE"/>
              </w:rPr>
              <w:t>Einbeziehung der Bürger – Verbesserung der Zugänglichkeit digitaler öffentlicher Dienste</w:t>
            </w:r>
            <w:bookmarkEnd w:id="7"/>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8AAA52" w14:textId="05398BF1"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B4D2BF" w14:textId="0BBA44CA" w:rsidR="0057163C" w:rsidRPr="00170422" w:rsidRDefault="00F37BF9">
            <w:pPr>
              <w:pStyle w:val="P68B1DB1-Normal12"/>
              <w:jc w:val="center"/>
              <w:rPr>
                <w:noProof/>
                <w:lang w:val="de-DE"/>
              </w:rPr>
            </w:pPr>
            <w:r w:rsidRPr="00170422">
              <w:rPr>
                <w:noProof/>
                <w:lang w:val="de-DE"/>
              </w:rPr>
              <w:t>Verbesserte Zugänglichkeit digitaler öffentlicher Dienste/Eingriffe</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5C3C0" w14:textId="03EDC19E"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3378D6" w14:textId="532981C5"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AF8CA5" w14:textId="7A644552" w:rsidR="0057163C" w:rsidRPr="00170422" w:rsidRDefault="00F37BF9">
            <w:pPr>
              <w:pStyle w:val="P68B1DB1-Normal11"/>
              <w:jc w:val="center"/>
              <w:rPr>
                <w:noProof/>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38D26" w14:textId="73C4440F" w:rsidR="0057163C" w:rsidRPr="00170422" w:rsidRDefault="00F37BF9">
            <w:pPr>
              <w:pStyle w:val="P68B1DB1-Normal11"/>
              <w:jc w:val="center"/>
              <w:rPr>
                <w:noProof/>
                <w:lang w:val="de-DE"/>
              </w:rPr>
            </w:pPr>
            <w:r w:rsidRPr="00170422">
              <w:rPr>
                <w:noProof/>
                <w:lang w:val="de-DE"/>
              </w:rPr>
              <w:t>55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3AEAA2" w14:textId="4B73FB98" w:rsidR="0057163C" w:rsidRPr="00170422" w:rsidRDefault="00F37BF9">
            <w:pPr>
              <w:pStyle w:val="P68B1DB1-Normal12"/>
              <w:jc w:val="center"/>
              <w:rPr>
                <w:noProof/>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81E32" w14:textId="3B87D1B5" w:rsidR="0057163C" w:rsidRPr="00170422" w:rsidRDefault="00F37BF9">
            <w:pPr>
              <w:pStyle w:val="P68B1DB1-Normal12"/>
              <w:jc w:val="center"/>
              <w:rPr>
                <w:noProof/>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84DE46" w14:textId="77777777" w:rsidR="0057163C" w:rsidRPr="00170422" w:rsidRDefault="00F37BF9">
            <w:pPr>
              <w:pStyle w:val="P68B1DB1-Normal12"/>
              <w:rPr>
                <w:noProof/>
                <w:lang w:val="de-DE"/>
              </w:rPr>
            </w:pPr>
            <w:r w:rsidRPr="00170422">
              <w:rPr>
                <w:noProof/>
                <w:lang w:val="de-DE"/>
              </w:rPr>
              <w:t>Agenzia per l’Italia Digitale (AgID) unterstützt 55 loka</w:t>
            </w:r>
            <w:r w:rsidRPr="00170422">
              <w:rPr>
                <w:noProof/>
                <w:lang w:val="de-DE"/>
              </w:rPr>
              <w:t>le öffentliche Verwaltungen durch Vereinbarungen, die folgende Maßnahmen umfassen, die von den 55 lokalen öffentlichen Verwaltungen durchzuführen sind:</w:t>
            </w:r>
          </w:p>
          <w:p w14:paraId="5850153F" w14:textId="77777777" w:rsidR="0057163C" w:rsidRPr="00170422" w:rsidRDefault="00F37BF9">
            <w:pPr>
              <w:pStyle w:val="P68B1DB1-Normal12"/>
              <w:spacing w:after="120"/>
              <w:rPr>
                <w:noProof/>
                <w:lang w:val="de-DE"/>
              </w:rPr>
            </w:pPr>
            <w:r w:rsidRPr="00170422">
              <w:rPr>
                <w:noProof/>
                <w:lang w:val="de-DE"/>
              </w:rPr>
              <w:t>— Verringerung der Zahl der bei der Bewertung der einzelnen Verwaltungen festgestellten Fehler um 50 % b</w:t>
            </w:r>
            <w:r w:rsidRPr="00170422">
              <w:rPr>
                <w:noProof/>
                <w:lang w:val="de-DE"/>
              </w:rPr>
              <w:t>ei mindestens zwei digitalen Diensten.</w:t>
            </w:r>
          </w:p>
          <w:p w14:paraId="33BB39BC" w14:textId="134BE85B" w:rsidR="0057163C" w:rsidRPr="00170422" w:rsidRDefault="00F37BF9">
            <w:pPr>
              <w:pStyle w:val="P68B1DB1-Normal12"/>
              <w:spacing w:after="120"/>
              <w:rPr>
                <w:noProof/>
                <w:lang w:val="de-DE"/>
              </w:rPr>
            </w:pPr>
            <w:r w:rsidRPr="00170422">
              <w:rPr>
                <w:noProof/>
                <w:lang w:val="de-DE"/>
              </w:rPr>
              <w:t xml:space="preserve">— Bereitstellung einer Reihe unterstützender Technologien, die mindestens 50 % der Bedürfnisse der Palästinensischen Behörde mit Behinderungen abdecken, die in der von jeder Verwaltung vorgelegten Bewertung ermittelt </w:t>
            </w:r>
            <w:r w:rsidRPr="00170422">
              <w:rPr>
                <w:noProof/>
                <w:lang w:val="de-DE"/>
              </w:rPr>
              <w:t>wurden.</w:t>
            </w:r>
          </w:p>
        </w:tc>
      </w:tr>
      <w:tr w:rsidR="0057163C" w:rsidRPr="00170422" w14:paraId="5E98411D"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1A4780" w14:textId="689C444A" w:rsidR="0057163C" w:rsidRPr="00170422" w:rsidRDefault="00F37BF9">
            <w:pPr>
              <w:pStyle w:val="P68B1DB1-Normal11"/>
              <w:jc w:val="center"/>
              <w:rPr>
                <w:noProof/>
                <w:lang w:val="de-DE"/>
              </w:rPr>
            </w:pPr>
            <w:r w:rsidRPr="00170422">
              <w:rPr>
                <w:noProof/>
                <w:lang w:val="de-DE"/>
              </w:rPr>
              <w:t>M1C1-147</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35E159" w14:textId="4DF4C025" w:rsidR="0057163C" w:rsidRPr="00170422" w:rsidRDefault="00F37BF9">
            <w:pPr>
              <w:pStyle w:val="P68B1DB1-Normal11"/>
              <w:spacing w:line="276" w:lineRule="auto"/>
              <w:jc w:val="center"/>
              <w:rPr>
                <w:noProof/>
                <w:lang w:val="de-DE"/>
              </w:rPr>
            </w:pPr>
            <w:r w:rsidRPr="00170422">
              <w:rPr>
                <w:noProof/>
                <w:lang w:val="de-DE"/>
              </w:rPr>
              <w:t>Investition 1.2 – Cloud-Ermöglichung für lokale PA</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130A19" w14:textId="417C2F8C"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7710D0" w14:textId="5438DB1C" w:rsidR="0057163C" w:rsidRPr="00170422" w:rsidRDefault="00F37BF9">
            <w:pPr>
              <w:pStyle w:val="P68B1DB1-Normal11"/>
              <w:jc w:val="center"/>
              <w:rPr>
                <w:noProof/>
                <w:lang w:val="de-DE"/>
              </w:rPr>
            </w:pPr>
            <w:r w:rsidRPr="00170422">
              <w:rPr>
                <w:noProof/>
                <w:lang w:val="de-DE"/>
              </w:rPr>
              <w:t>Cloud-Ermöglichung für die lokale öffentliche Verwaltung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CCA16" w14:textId="243AA56E"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1959E" w14:textId="78E921C8"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5B040" w14:textId="22C1F809" w:rsidR="0057163C" w:rsidRPr="00170422" w:rsidRDefault="00F37BF9">
            <w:pPr>
              <w:pStyle w:val="P68B1DB1-Normal11"/>
              <w:jc w:val="center"/>
              <w:rPr>
                <w:noProof/>
                <w:lang w:val="de-DE"/>
              </w:rPr>
            </w:pPr>
            <w:r w:rsidRPr="00170422">
              <w:rPr>
                <w:noProof/>
                <w:lang w:val="de-DE"/>
              </w:rPr>
              <w:t>4 083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C79000" w14:textId="065526D9" w:rsidR="0057163C" w:rsidRPr="00170422" w:rsidRDefault="00F37BF9">
            <w:pPr>
              <w:pStyle w:val="P68B1DB1-Normal11"/>
              <w:jc w:val="center"/>
              <w:rPr>
                <w:noProof/>
                <w:lang w:val="de-DE"/>
              </w:rPr>
            </w:pPr>
            <w:r w:rsidRPr="00170422">
              <w:rPr>
                <w:noProof/>
                <w:lang w:val="de-DE"/>
              </w:rPr>
              <w:t>12 464</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EBF025" w14:textId="0BC00171"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68925B" w14:textId="6003FEC7"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C3B8E0" w14:textId="1451F103" w:rsidR="0057163C" w:rsidRPr="00170422" w:rsidRDefault="00F37BF9">
            <w:pPr>
              <w:pStyle w:val="P68B1DB1-Normal21"/>
              <w:spacing w:after="120"/>
              <w:rPr>
                <w:rFonts w:ascii="Arial Narrow" w:hAnsi="Arial Narrow"/>
                <w:noProof/>
                <w:lang w:val="de-DE"/>
              </w:rPr>
            </w:pPr>
            <w:r w:rsidRPr="00170422">
              <w:rPr>
                <w:rFonts w:ascii="Arial Narrow"/>
                <w:noProof/>
                <w:lang w:val="de-DE"/>
              </w:rPr>
              <w:t xml:space="preserve">Die Migration von </w:t>
            </w:r>
            <w:r w:rsidRPr="00170422">
              <w:rPr>
                <w:rFonts w:ascii="Arial Narrow" w:hAnsi="Arial Narrow"/>
                <w:noProof/>
                <w:lang w:val="de-DE"/>
              </w:rPr>
              <w:t xml:space="preserve">12464 lokalen öffentlichen Verwaltungen zu zertifizierten </w:t>
            </w:r>
            <w:r w:rsidRPr="00170422">
              <w:rPr>
                <w:rFonts w:ascii="Arial Narrow" w:hAnsi="Arial Narrow"/>
                <w:noProof/>
                <w:lang w:val="de-DE"/>
              </w:rPr>
              <w:t>Cloud-Umgebungen gilt als erreicht, wenn die Erprobung aller in jedem Migrationsplan enthaltenen Systeme, Datensätze und Anwendungen erfolgreich ist.</w:t>
            </w:r>
          </w:p>
        </w:tc>
      </w:tr>
      <w:tr w:rsidR="0057163C" w:rsidRPr="00170422" w14:paraId="36EEEEF9"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389DE7" w14:textId="644CE2FE" w:rsidR="0057163C" w:rsidRPr="00170422" w:rsidRDefault="00F37BF9">
            <w:pPr>
              <w:pStyle w:val="P68B1DB1-Normal11"/>
              <w:jc w:val="center"/>
              <w:rPr>
                <w:noProof/>
                <w:lang w:val="de-DE"/>
              </w:rPr>
            </w:pPr>
            <w:r w:rsidRPr="00170422">
              <w:rPr>
                <w:noProof/>
                <w:lang w:val="de-DE"/>
              </w:rPr>
              <w:t>M1C1-148</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0E9B95" w14:textId="74AD1AD0" w:rsidR="0057163C" w:rsidRPr="00170422" w:rsidRDefault="00F37BF9">
            <w:pPr>
              <w:pStyle w:val="P68B1DB1-Normal11"/>
              <w:spacing w:line="276" w:lineRule="auto"/>
              <w:jc w:val="center"/>
              <w:rPr>
                <w:noProof/>
                <w:lang w:val="de-DE"/>
              </w:rPr>
            </w:pPr>
            <w:r w:rsidRPr="00170422">
              <w:rPr>
                <w:noProof/>
                <w:lang w:val="de-DE"/>
              </w:rPr>
              <w:t xml:space="preserve">Investition 1.4.1 – Bürgererfahrung – Verbesserung der Qualität und Nutzbarkeit digitaler </w:t>
            </w:r>
            <w:r w:rsidRPr="00170422">
              <w:rPr>
                <w:noProof/>
                <w:lang w:val="de-DE"/>
              </w:rPr>
              <w:t>öffentlicher Dienste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7375EC" w14:textId="2FEA9706"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FD3EC" w14:textId="55B08597" w:rsidR="0057163C" w:rsidRPr="00170422" w:rsidRDefault="00F37BF9">
            <w:pPr>
              <w:pStyle w:val="P68B1DB1-Normal12"/>
              <w:jc w:val="center"/>
              <w:rPr>
                <w:noProof/>
                <w:lang w:val="de-DE"/>
              </w:rPr>
            </w:pPr>
            <w:r w:rsidRPr="00170422">
              <w:rPr>
                <w:noProof/>
                <w:lang w:val="de-DE"/>
              </w:rPr>
              <w:t>Verbesserung der Qualität und Nutzbarkeit digitaler öffentlicher Dienste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1E1E0" w14:textId="7001C579"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2F962" w14:textId="0F01A813" w:rsidR="0057163C" w:rsidRPr="00170422" w:rsidRDefault="00F37BF9">
            <w:pPr>
              <w:pStyle w:val="P68B1DB1-Normal11"/>
              <w:jc w:val="center"/>
              <w:rPr>
                <w:noProof/>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D6087A" w14:textId="4D9990C8" w:rsidR="0057163C" w:rsidRPr="00170422" w:rsidRDefault="00F37BF9">
            <w:pPr>
              <w:pStyle w:val="P68B1DB1-Normal11"/>
              <w:jc w:val="center"/>
              <w:rPr>
                <w:noProof/>
                <w:lang w:val="de-DE"/>
              </w:rPr>
            </w:pPr>
            <w:r w:rsidRPr="00170422">
              <w:rPr>
                <w:noProof/>
                <w:lang w:val="de-DE"/>
              </w:rPr>
              <w:t>40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103564" w14:textId="1754251F" w:rsidR="0057163C" w:rsidRPr="00170422" w:rsidRDefault="00F37BF9">
            <w:pPr>
              <w:pStyle w:val="P68B1DB1-Normal11"/>
              <w:jc w:val="center"/>
              <w:rPr>
                <w:noProof/>
                <w:lang w:val="de-DE"/>
              </w:rPr>
            </w:pPr>
            <w:r w:rsidRPr="00170422">
              <w:rPr>
                <w:noProof/>
                <w:lang w:val="de-DE"/>
              </w:rPr>
              <w:t>80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D2DF3" w14:textId="1220CF49"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8770F" w14:textId="0FBCDFC4"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1172D" w14:textId="00B8B315" w:rsidR="0057163C" w:rsidRPr="00170422" w:rsidRDefault="00F37BF9">
            <w:pPr>
              <w:pStyle w:val="P68B1DB1-Normal12"/>
              <w:spacing w:after="120"/>
              <w:rPr>
                <w:noProof/>
                <w:lang w:val="de-DE"/>
              </w:rPr>
            </w:pPr>
            <w:r w:rsidRPr="00170422">
              <w:rPr>
                <w:noProof/>
                <w:lang w:val="de-DE"/>
              </w:rPr>
              <w:t>Verwaltungen (Gemeinden, Primar- und Sekundarbildungseinrichtungen der 1. und</w:t>
            </w:r>
            <w:r w:rsidRPr="00170422">
              <w:rPr>
                <w:noProof/>
                <w:vertAlign w:val="superscript"/>
                <w:lang w:val="de-DE"/>
              </w:rPr>
              <w:t>2.</w:t>
            </w:r>
            <w:r w:rsidRPr="00170422">
              <w:rPr>
                <w:noProof/>
                <w:lang w:val="de-DE"/>
              </w:rPr>
              <w:t xml:space="preserve"> Klasse) müssen sich an ein gemeinsames</w:t>
            </w:r>
            <w:r w:rsidRPr="00170422">
              <w:rPr>
                <w:noProof/>
                <w:lang w:val="de-DE"/>
              </w:rPr>
              <w:t xml:space="preserve"> Modell und ein gemeinsames Designsystem für Websites und digitale Dienste halten, das die Interaktion der Nutzer vereinfacht und die Wartung erleichtert.</w:t>
            </w:r>
          </w:p>
          <w:p w14:paraId="623C1B44" w14:textId="6543034B" w:rsidR="0057163C" w:rsidRPr="00170422" w:rsidRDefault="00F37BF9">
            <w:pPr>
              <w:pStyle w:val="P68B1DB1-Normal12"/>
              <w:spacing w:after="120"/>
              <w:rPr>
                <w:noProof/>
                <w:lang w:val="de-DE"/>
              </w:rPr>
            </w:pPr>
            <w:r w:rsidRPr="00170422">
              <w:rPr>
                <w:noProof/>
                <w:lang w:val="de-DE"/>
              </w:rPr>
              <w:t>Gemeinden, die zum Ziel beitragen, gewährleisten die Einhaltung des gemeinsamen Modells und des gemei</w:t>
            </w:r>
            <w:r w:rsidRPr="00170422">
              <w:rPr>
                <w:noProof/>
                <w:lang w:val="de-DE"/>
              </w:rPr>
              <w:t>nsamen Gestaltungssystems für durchschnittlich mindestens 3,5 Dienste.</w:t>
            </w:r>
          </w:p>
        </w:tc>
      </w:tr>
      <w:tr w:rsidR="0057163C" w:rsidRPr="00170422" w14:paraId="67A1C710"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7F88D" w14:textId="4E798EC4" w:rsidR="0057163C" w:rsidRPr="00170422" w:rsidRDefault="00F37BF9">
            <w:pPr>
              <w:pStyle w:val="P68B1DB1-Normal12"/>
              <w:jc w:val="center"/>
              <w:rPr>
                <w:noProof/>
                <w:lang w:val="de-DE"/>
              </w:rPr>
            </w:pPr>
            <w:r w:rsidRPr="00170422">
              <w:rPr>
                <w:noProof/>
                <w:lang w:val="de-DE"/>
              </w:rPr>
              <w:t>M1C1-149</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57203F" w14:textId="2866DBA2" w:rsidR="0057163C" w:rsidRPr="00170422" w:rsidRDefault="00F37BF9">
            <w:pPr>
              <w:pStyle w:val="P68B1DB1-Normal12"/>
              <w:spacing w:line="276" w:lineRule="auto"/>
              <w:jc w:val="center"/>
              <w:rPr>
                <w:noProof/>
                <w:lang w:val="de-DE"/>
              </w:rPr>
            </w:pPr>
            <w:r w:rsidRPr="00170422">
              <w:rPr>
                <w:noProof/>
                <w:lang w:val="de-DE"/>
              </w:rPr>
              <w:t>Investition 1.4.3 – Ausbau der PagoPA-Plattformdienste und der „IO“-App</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D07CD" w14:textId="0D0494F2"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10123" w14:textId="03D2B925" w:rsidR="0057163C" w:rsidRPr="00170422" w:rsidRDefault="00F37BF9">
            <w:pPr>
              <w:pStyle w:val="P68B1DB1-Normal12"/>
              <w:jc w:val="center"/>
              <w:rPr>
                <w:noProof/>
                <w:lang w:val="de-DE"/>
              </w:rPr>
            </w:pPr>
            <w:r w:rsidRPr="00170422">
              <w:rPr>
                <w:noProof/>
                <w:lang w:val="de-DE"/>
              </w:rPr>
              <w:t>Ausbau der PagoPA-Plattformdienste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5885D" w14:textId="461580E1"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3D19F3" w14:textId="41FE19AB"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941AB" w14:textId="4C2B9E78" w:rsidR="0057163C" w:rsidRPr="00170422" w:rsidRDefault="00F37BF9">
            <w:pPr>
              <w:pStyle w:val="P68B1DB1-Normal12"/>
              <w:jc w:val="center"/>
              <w:rPr>
                <w:noProof/>
                <w:lang w:val="de-DE"/>
              </w:rPr>
            </w:pPr>
            <w:r w:rsidRPr="00170422">
              <w:rPr>
                <w:noProof/>
                <w:lang w:val="de-DE"/>
              </w:rPr>
              <w:t>11 450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8EE0C" w14:textId="406B4A45" w:rsidR="0057163C" w:rsidRPr="00170422" w:rsidRDefault="00F37BF9">
            <w:pPr>
              <w:pStyle w:val="P68B1DB1-Normal11"/>
              <w:jc w:val="center"/>
              <w:rPr>
                <w:noProof/>
                <w:lang w:val="de-DE"/>
              </w:rPr>
            </w:pPr>
            <w:r w:rsidRPr="00170422">
              <w:rPr>
                <w:noProof/>
                <w:lang w:val="de-DE"/>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D133A8" w14:textId="6F0D0963"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759B8" w14:textId="622E1060"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F9CFB3" w14:textId="2AB21EEC" w:rsidR="0057163C" w:rsidRPr="00170422" w:rsidRDefault="00F37BF9">
            <w:pPr>
              <w:pStyle w:val="P68B1DB1-Normal12"/>
              <w:spacing w:after="120"/>
              <w:rPr>
                <w:noProof/>
                <w:lang w:val="de-DE"/>
              </w:rPr>
            </w:pPr>
            <w:r w:rsidRPr="00170422">
              <w:rPr>
                <w:noProof/>
                <w:lang w:val="de-DE"/>
              </w:rPr>
              <w:t>Auf der PagoPA-Plattform müssen mindestens 14100 öffentliche Verwaltungen vertreten sein, die eine Reihe von Diensten anbieten: durchschnittlich 35 Dienstleistungen für Gemeinden, 15 für Regionen, 15 für Gesundheitsbehörden und 8 für Schulen und Universitä</w:t>
            </w:r>
            <w:r w:rsidRPr="00170422">
              <w:rPr>
                <w:noProof/>
                <w:lang w:val="de-DE"/>
              </w:rPr>
              <w:t>ten.</w:t>
            </w:r>
          </w:p>
        </w:tc>
      </w:tr>
      <w:tr w:rsidR="0057163C" w:rsidRPr="00170422" w14:paraId="43F7B6BA"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D589B" w14:textId="0A92F041" w:rsidR="0057163C" w:rsidRPr="00170422" w:rsidRDefault="00F37BF9">
            <w:pPr>
              <w:pStyle w:val="P68B1DB1-Normal11"/>
              <w:jc w:val="center"/>
              <w:rPr>
                <w:noProof/>
                <w:lang w:val="de-DE"/>
              </w:rPr>
            </w:pPr>
            <w:r w:rsidRPr="00170422">
              <w:rPr>
                <w:noProof/>
                <w:lang w:val="de-DE"/>
              </w:rPr>
              <w:t>M1C1-150</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CEB41" w14:textId="4217A822" w:rsidR="0057163C" w:rsidRPr="00170422" w:rsidRDefault="00F37BF9">
            <w:pPr>
              <w:pStyle w:val="P68B1DB1-Normal12"/>
              <w:spacing w:line="276" w:lineRule="auto"/>
              <w:jc w:val="center"/>
              <w:rPr>
                <w:noProof/>
                <w:lang w:val="de-DE"/>
              </w:rPr>
            </w:pPr>
            <w:r w:rsidRPr="00170422">
              <w:rPr>
                <w:noProof/>
                <w:lang w:val="de-DE"/>
              </w:rPr>
              <w:t>Investition 1.4.3 – Ausbau der PagoPA-Plattformdienste und der „IO“-App</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59F840" w14:textId="2099F4DF"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8EB5" w14:textId="4D53E4A7" w:rsidR="0057163C" w:rsidRPr="00170422" w:rsidRDefault="00F37BF9">
            <w:pPr>
              <w:pStyle w:val="P68B1DB1-Normal12"/>
              <w:jc w:val="center"/>
              <w:rPr>
                <w:noProof/>
                <w:lang w:val="de-DE"/>
              </w:rPr>
            </w:pPr>
            <w:r w:rsidRPr="00170422">
              <w:rPr>
                <w:noProof/>
                <w:lang w:val="de-DE"/>
              </w:rPr>
              <w:t>Ausweitung der Einführung der „IO“-App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909F55" w14:textId="2677CC1C"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D30BC" w14:textId="5CDE2829"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836041" w14:textId="51B78C81" w:rsidR="0057163C" w:rsidRPr="00170422" w:rsidRDefault="00F37BF9">
            <w:pPr>
              <w:pStyle w:val="P68B1DB1-Normal11"/>
              <w:jc w:val="center"/>
              <w:rPr>
                <w:noProof/>
                <w:lang w:val="de-DE"/>
              </w:rPr>
            </w:pPr>
            <w:r w:rsidRPr="00170422">
              <w:rPr>
                <w:noProof/>
                <w:lang w:val="de-DE"/>
              </w:rPr>
              <w:t>7 000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109427" w14:textId="09960204" w:rsidR="0057163C" w:rsidRPr="00170422" w:rsidRDefault="00F37BF9">
            <w:pPr>
              <w:pStyle w:val="P68B1DB1-Normal11"/>
              <w:jc w:val="center"/>
              <w:rPr>
                <w:noProof/>
                <w:lang w:val="de-DE"/>
              </w:rPr>
            </w:pPr>
            <w:r w:rsidRPr="00170422">
              <w:rPr>
                <w:noProof/>
                <w:lang w:val="de-DE"/>
              </w:rPr>
              <w:t>14 100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05D47" w14:textId="5AD7FC10"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76713" w14:textId="2AEDDCE3"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9A2E86" w14:textId="09609E24" w:rsidR="0057163C" w:rsidRPr="00170422" w:rsidRDefault="00F37BF9">
            <w:pPr>
              <w:pStyle w:val="P68B1DB1-Normal12"/>
              <w:spacing w:after="120"/>
              <w:rPr>
                <w:noProof/>
                <w:lang w:val="de-DE"/>
              </w:rPr>
            </w:pPr>
            <w:r w:rsidRPr="00170422">
              <w:rPr>
                <w:noProof/>
                <w:lang w:val="de-DE"/>
              </w:rPr>
              <w:t xml:space="preserve">In der „IO“-App müssen mindestens 14100 öffentliche Verwaltungen anwesend sein, die </w:t>
            </w:r>
            <w:r w:rsidRPr="00170422">
              <w:rPr>
                <w:noProof/>
                <w:lang w:val="de-DE"/>
              </w:rPr>
              <w:t>eine Reihe von Diensten anbieten: durchschnittlich 35 Dienstleistungen für Gemeinden, 15 für Regionen, 15 für Gesundheitsbehörden und 8 für Schulen und Universitäten.</w:t>
            </w:r>
          </w:p>
        </w:tc>
      </w:tr>
      <w:tr w:rsidR="0057163C" w:rsidRPr="00170422" w14:paraId="41B65626"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B8D272" w14:textId="03A05AF9" w:rsidR="0057163C" w:rsidRPr="00170422" w:rsidRDefault="00F37BF9">
            <w:pPr>
              <w:pStyle w:val="P68B1DB1-Normal11"/>
              <w:jc w:val="center"/>
              <w:rPr>
                <w:noProof/>
                <w:lang w:val="de-DE"/>
              </w:rPr>
            </w:pPr>
            <w:r w:rsidRPr="00170422">
              <w:rPr>
                <w:noProof/>
                <w:lang w:val="de-DE"/>
              </w:rPr>
              <w:t>M1C1-152</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E3009" w14:textId="39CEA7FF" w:rsidR="0057163C" w:rsidRPr="00170422" w:rsidRDefault="00F37BF9">
            <w:pPr>
              <w:pStyle w:val="P68B1DB1-Normal11"/>
              <w:spacing w:line="276" w:lineRule="auto"/>
              <w:jc w:val="center"/>
              <w:rPr>
                <w:noProof/>
                <w:szCs w:val="20"/>
                <w:lang w:val="de-DE"/>
              </w:rPr>
            </w:pPr>
            <w:r w:rsidRPr="00170422">
              <w:rPr>
                <w:noProof/>
                <w:lang w:val="de-DE"/>
              </w:rPr>
              <w:t>Investition 1.6.1 – Digitalisierung des Innenministeriums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35B432" w14:textId="480FBB8D"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E9D5B" w14:textId="1E9AE8DD" w:rsidR="0057163C" w:rsidRPr="00170422" w:rsidRDefault="00F37BF9">
            <w:pPr>
              <w:pStyle w:val="P68B1DB1-Normal12"/>
              <w:jc w:val="center"/>
              <w:rPr>
                <w:noProof/>
                <w:lang w:val="de-DE"/>
              </w:rPr>
            </w:pPr>
            <w:r w:rsidRPr="00170422">
              <w:rPr>
                <w:noProof/>
                <w:lang w:val="de-DE"/>
              </w:rPr>
              <w:t>Innenministerium</w:t>
            </w:r>
            <w:r w:rsidRPr="00170422">
              <w:rPr>
                <w:noProof/>
                <w:lang w:val="de-DE"/>
              </w:rPr>
              <w:t xml:space="preserve"> – neu entwickelte und digitalisierte Prozesse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F798EF" w14:textId="37E43B8E"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2B961" w14:textId="49CD852F"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7E8CB0" w14:textId="6C7B4AAA" w:rsidR="0057163C" w:rsidRPr="00170422" w:rsidRDefault="00F37BF9">
            <w:pPr>
              <w:pStyle w:val="P68B1DB1-Normal11"/>
              <w:jc w:val="center"/>
              <w:rPr>
                <w:noProof/>
                <w:lang w:val="de-DE"/>
              </w:rPr>
            </w:pPr>
            <w:r w:rsidRPr="00170422">
              <w:rPr>
                <w:noProof/>
                <w:lang w:val="de-DE"/>
              </w:rPr>
              <w:t>7</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E81C98" w14:textId="50EC5FDB" w:rsidR="0057163C" w:rsidRPr="00170422" w:rsidRDefault="00F37BF9">
            <w:pPr>
              <w:pStyle w:val="P68B1DB1-Normal11"/>
              <w:jc w:val="center"/>
              <w:rPr>
                <w:noProof/>
                <w:lang w:val="de-DE"/>
              </w:rPr>
            </w:pPr>
            <w:r w:rsidRPr="00170422">
              <w:rPr>
                <w:noProof/>
                <w:lang w:val="de-DE"/>
              </w:rPr>
              <w:t>45</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DD958" w14:textId="17263764"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7F4EA" w14:textId="3027C135"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B76B7" w14:textId="002BEBD8" w:rsidR="0057163C" w:rsidRPr="00170422" w:rsidRDefault="00F37BF9">
            <w:pPr>
              <w:pStyle w:val="P68B1DB1-Normal12"/>
              <w:spacing w:after="120"/>
              <w:rPr>
                <w:noProof/>
                <w:lang w:val="de-DE"/>
              </w:rPr>
            </w:pPr>
            <w:r w:rsidRPr="00170422">
              <w:rPr>
                <w:noProof/>
                <w:lang w:val="de-DE"/>
              </w:rPr>
              <w:t>Interne Prozesse werden neu konzipiert und digitalisiert.</w:t>
            </w:r>
          </w:p>
        </w:tc>
      </w:tr>
      <w:tr w:rsidR="0057163C" w:rsidRPr="00170422" w14:paraId="1919F518"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2D1E3" w14:textId="1252A1EE" w:rsidR="0057163C" w:rsidRPr="00170422" w:rsidRDefault="00F37BF9">
            <w:pPr>
              <w:pStyle w:val="P68B1DB1-Normal11"/>
              <w:jc w:val="center"/>
              <w:rPr>
                <w:noProof/>
                <w:lang w:val="de-DE"/>
              </w:rPr>
            </w:pPr>
            <w:r w:rsidRPr="00170422">
              <w:rPr>
                <w:noProof/>
                <w:lang w:val="de-DE"/>
              </w:rPr>
              <w:t>M1C1-153</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AAB952" w14:textId="071ADF49" w:rsidR="0057163C" w:rsidRPr="00170422" w:rsidRDefault="00F37BF9">
            <w:pPr>
              <w:pStyle w:val="P68B1DB1-Normal11"/>
              <w:spacing w:line="276" w:lineRule="auto"/>
              <w:jc w:val="center"/>
              <w:rPr>
                <w:noProof/>
                <w:lang w:val="de-DE"/>
              </w:rPr>
            </w:pPr>
            <w:r w:rsidRPr="00170422">
              <w:rPr>
                <w:noProof/>
                <w:lang w:val="de-DE"/>
              </w:rPr>
              <w:t>Investition 1.6.2 – Digitalisierung des Justizministeriums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94600C" w14:textId="2CF4B35C"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7D5C" w14:textId="4291A0F8" w:rsidR="0057163C" w:rsidRPr="00170422" w:rsidRDefault="00F37BF9">
            <w:pPr>
              <w:pStyle w:val="P68B1DB1-Normal11"/>
              <w:jc w:val="center"/>
              <w:rPr>
                <w:noProof/>
                <w:szCs w:val="20"/>
                <w:lang w:val="de-DE"/>
              </w:rPr>
            </w:pPr>
            <w:r w:rsidRPr="00170422">
              <w:rPr>
                <w:noProof/>
                <w:lang w:val="de-DE"/>
              </w:rPr>
              <w:t>Digitalisierte Gerichtsakten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6F376" w14:textId="67D92E0C"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6C2D1" w14:textId="11C8680A"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ECBAAC" w14:textId="504C0DC4" w:rsidR="0057163C" w:rsidRPr="00170422" w:rsidRDefault="00F37BF9">
            <w:pPr>
              <w:pStyle w:val="P68B1DB1-Normal11"/>
              <w:jc w:val="center"/>
              <w:rPr>
                <w:noProof/>
                <w:lang w:val="de-DE"/>
              </w:rPr>
            </w:pPr>
            <w:r w:rsidRPr="00170422">
              <w:rPr>
                <w:noProof/>
                <w:lang w:val="de-DE"/>
              </w:rPr>
              <w:t>3 500 000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21DF1" w14:textId="10B8F2A5" w:rsidR="0057163C" w:rsidRPr="00170422" w:rsidRDefault="00F37BF9">
            <w:pPr>
              <w:pStyle w:val="P68B1DB1-Normal11"/>
              <w:jc w:val="center"/>
              <w:rPr>
                <w:noProof/>
                <w:lang w:val="de-DE"/>
              </w:rPr>
            </w:pPr>
            <w:r w:rsidRPr="00170422">
              <w:rPr>
                <w:noProof/>
                <w:lang w:val="de-DE"/>
              </w:rPr>
              <w:t>7 750 000</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038F00" w14:textId="224160A3" w:rsidR="0057163C" w:rsidRPr="00170422" w:rsidRDefault="00F37BF9">
            <w:pPr>
              <w:pStyle w:val="P68B1DB1-Normal11"/>
              <w:jc w:val="center"/>
              <w:rPr>
                <w:noProof/>
                <w:lang w:val="de-DE"/>
              </w:rPr>
            </w:pPr>
            <w:r w:rsidRPr="00170422">
              <w:rPr>
                <w:noProof/>
                <w:lang w:val="de-DE"/>
              </w:rPr>
              <w:t>4. QUARTAL</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91D4C9" w14:textId="412505A3" w:rsidR="0057163C" w:rsidRPr="00170422" w:rsidRDefault="00F37BF9">
            <w:pPr>
              <w:pStyle w:val="P68B1DB1-Normal11"/>
              <w:jc w:val="center"/>
              <w:rPr>
                <w:noProof/>
                <w:lang w:val="de-DE"/>
              </w:rPr>
            </w:pPr>
            <w:r w:rsidRPr="00170422">
              <w:rPr>
                <w:noProof/>
                <w:lang w:val="de-DE"/>
              </w:rPr>
              <w:t>2025</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CD812" w14:textId="44560F70" w:rsidR="0057163C" w:rsidRPr="00170422" w:rsidRDefault="00F37BF9">
            <w:pPr>
              <w:pStyle w:val="P68B1DB1-Normal22"/>
              <w:spacing w:after="120"/>
              <w:rPr>
                <w:rFonts w:hAnsi="Arial Narrow" w:hint="default"/>
                <w:noProof/>
                <w:lang w:val="de-DE"/>
              </w:rPr>
            </w:pPr>
            <w:r w:rsidRPr="00170422">
              <w:rPr>
                <w:rFonts w:hint="default"/>
                <w:noProof/>
                <w:lang w:val="de-DE"/>
              </w:rPr>
              <w:t>Digitalisierung von 7750000 Gerichtsakten in den letzten 20</w:t>
            </w:r>
            <w:r w:rsidRPr="00170422">
              <w:rPr>
                <w:rFonts w:hint="default"/>
                <w:noProof/>
                <w:lang w:val="de-DE"/>
              </w:rPr>
              <w:t> </w:t>
            </w:r>
            <w:r w:rsidRPr="00170422">
              <w:rPr>
                <w:rFonts w:hint="default"/>
                <w:noProof/>
                <w:lang w:val="de-DE"/>
              </w:rPr>
              <w:t xml:space="preserve">Jahren (1.1.2006 </w:t>
            </w:r>
            <w:r w:rsidRPr="00170422">
              <w:rPr>
                <w:rFonts w:hint="default"/>
                <w:noProof/>
                <w:lang w:val="de-DE"/>
              </w:rPr>
              <w:t>–</w:t>
            </w:r>
            <w:r w:rsidRPr="00170422">
              <w:rPr>
                <w:rFonts w:hint="default"/>
                <w:noProof/>
                <w:lang w:val="de-DE"/>
              </w:rPr>
              <w:t xml:space="preserve"> 30.6.2026) im Zusammenhang mit abgeschlossenen oder laufenden Gerichtsverfahren.</w:t>
            </w:r>
          </w:p>
        </w:tc>
      </w:tr>
      <w:tr w:rsidR="0057163C" w:rsidRPr="00170422" w14:paraId="69BB1885" w14:textId="77777777" w:rsidTr="00D64E63">
        <w:trPr>
          <w:trHeight w:val="309"/>
        </w:trPr>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8D6F8E" w14:textId="349B11A2" w:rsidR="0057163C" w:rsidRPr="00170422" w:rsidRDefault="00F37BF9">
            <w:pPr>
              <w:pStyle w:val="P68B1DB1-Normal11"/>
              <w:jc w:val="center"/>
              <w:rPr>
                <w:noProof/>
                <w:lang w:val="de-DE"/>
              </w:rPr>
            </w:pPr>
            <w:r w:rsidRPr="00170422">
              <w:rPr>
                <w:noProof/>
                <w:lang w:val="de-DE"/>
              </w:rPr>
              <w:t>M1C1-154</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FD62AC" w14:textId="3C003471" w:rsidR="0057163C" w:rsidRPr="00170422" w:rsidRDefault="00F37BF9">
            <w:pPr>
              <w:pStyle w:val="P68B1DB1-Normal11"/>
              <w:spacing w:line="276" w:lineRule="auto"/>
              <w:jc w:val="center"/>
              <w:rPr>
                <w:noProof/>
                <w:lang w:val="de-DE"/>
              </w:rPr>
            </w:pPr>
            <w:r w:rsidRPr="00170422">
              <w:rPr>
                <w:noProof/>
                <w:lang w:val="de-DE"/>
              </w:rPr>
              <w:t xml:space="preserve">Investition 1.6.2 – Digitalisierung des </w:t>
            </w:r>
            <w:r w:rsidRPr="00170422">
              <w:rPr>
                <w:noProof/>
                <w:lang w:val="de-DE"/>
              </w:rPr>
              <w:t>Justizministeriums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F09EB" w14:textId="6EE89C8E" w:rsidR="0057163C" w:rsidRPr="00170422" w:rsidRDefault="00F37BF9">
            <w:pPr>
              <w:pStyle w:val="P68B1DB1-Normal11"/>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C675F" w14:textId="6CCAD4B1" w:rsidR="0057163C" w:rsidRPr="00170422" w:rsidRDefault="00F37BF9">
            <w:pPr>
              <w:pStyle w:val="P68B1DB1-Normal11"/>
              <w:jc w:val="center"/>
              <w:rPr>
                <w:noProof/>
                <w:szCs w:val="20"/>
                <w:lang w:val="de-DE"/>
              </w:rPr>
            </w:pPr>
            <w:r w:rsidRPr="00170422">
              <w:rPr>
                <w:noProof/>
                <w:lang w:val="de-DE"/>
              </w:rPr>
              <w:t>Justizdatensysteme für Wissen über den Seen T2</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4669AD" w14:textId="3C4E73BA"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50D43C" w14:textId="28BA6FED"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D918" w14:textId="1364AA45" w:rsidR="0057163C" w:rsidRPr="00170422" w:rsidRDefault="00F37BF9">
            <w:pPr>
              <w:pStyle w:val="P68B1DB1-Normal11"/>
              <w:jc w:val="center"/>
              <w:rPr>
                <w:noProof/>
                <w:lang w:val="de-DE"/>
              </w:rPr>
            </w:pPr>
            <w:r w:rsidRPr="00170422">
              <w:rPr>
                <w:noProof/>
                <w:lang w:val="de-DE"/>
              </w:rPr>
              <w:t>0</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971249" w14:textId="17E4E45F" w:rsidR="0057163C" w:rsidRPr="00170422" w:rsidRDefault="00F37BF9">
            <w:pPr>
              <w:pStyle w:val="P68B1DB1-Normal11"/>
              <w:jc w:val="center"/>
              <w:rPr>
                <w:noProof/>
                <w:lang w:val="de-DE"/>
              </w:rPr>
            </w:pPr>
            <w:r w:rsidRPr="00170422">
              <w:rPr>
                <w:noProof/>
                <w:lang w:val="de-DE"/>
              </w:rPr>
              <w:t>6</w:t>
            </w:r>
          </w:p>
        </w:tc>
        <w:tc>
          <w:tcPr>
            <w:tcW w:w="9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A54693" w14:textId="4319D90B" w:rsidR="0057163C" w:rsidRPr="00170422" w:rsidRDefault="00F37BF9">
            <w:pPr>
              <w:pStyle w:val="P68B1DB1-Normal11"/>
              <w:jc w:val="center"/>
              <w:rPr>
                <w:noProof/>
                <w:lang w:val="de-DE"/>
              </w:rPr>
            </w:pPr>
            <w:r w:rsidRPr="00170422">
              <w:rPr>
                <w:noProof/>
                <w:lang w:val="de-DE"/>
              </w:rPr>
              <w:t>Q2</w:t>
            </w:r>
          </w:p>
        </w:tc>
        <w:tc>
          <w:tcPr>
            <w:tcW w:w="85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14DE5" w14:textId="51A84E3E" w:rsidR="0057163C" w:rsidRPr="00170422" w:rsidRDefault="00F37BF9">
            <w:pPr>
              <w:pStyle w:val="P68B1DB1-Normal11"/>
              <w:jc w:val="center"/>
              <w:rPr>
                <w:noProof/>
                <w:lang w:val="de-DE"/>
              </w:rPr>
            </w:pPr>
            <w:r w:rsidRPr="00170422">
              <w:rPr>
                <w:noProof/>
                <w:lang w:val="de-DE"/>
              </w:rPr>
              <w:t>2026</w:t>
            </w:r>
          </w:p>
        </w:tc>
        <w:tc>
          <w:tcPr>
            <w:tcW w:w="32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CE72CC" w14:textId="4C91453C" w:rsidR="0057163C" w:rsidRPr="00170422" w:rsidRDefault="00F37BF9">
            <w:pPr>
              <w:pStyle w:val="P68B1DB1-Normal12"/>
              <w:spacing w:after="120"/>
              <w:rPr>
                <w:noProof/>
                <w:lang w:val="de-DE"/>
              </w:rPr>
            </w:pPr>
            <w:r w:rsidRPr="00170422">
              <w:rPr>
                <w:noProof/>
                <w:lang w:val="de-DE"/>
              </w:rPr>
              <w:t>Einführung von sechs neuen Wissenssystemen für den Datensee.</w:t>
            </w:r>
          </w:p>
          <w:p w14:paraId="4B16C085" w14:textId="77777777" w:rsidR="0057163C" w:rsidRPr="00170422" w:rsidRDefault="00F37BF9">
            <w:pPr>
              <w:pStyle w:val="P68B1DB1-ListParagraph15"/>
              <w:numPr>
                <w:ilvl w:val="0"/>
                <w:numId w:val="55"/>
              </w:numPr>
              <w:spacing w:after="0" w:line="240" w:lineRule="auto"/>
              <w:ind w:left="357" w:hanging="357"/>
              <w:contextualSpacing w:val="0"/>
              <w:rPr>
                <w:noProof/>
                <w:szCs w:val="20"/>
                <w:lang w:val="de-DE"/>
              </w:rPr>
            </w:pPr>
            <w:r w:rsidRPr="00170422">
              <w:rPr>
                <w:noProof/>
                <w:lang w:val="de-DE"/>
              </w:rPr>
              <w:t>Anonymisierungssystem für zivil- und strafrechtliche Verurteilungen</w:t>
            </w:r>
          </w:p>
          <w:p w14:paraId="42E481F0" w14:textId="77777777" w:rsidR="0057163C" w:rsidRPr="00170422" w:rsidRDefault="00F37BF9">
            <w:pPr>
              <w:pStyle w:val="P68B1DB1-ListParagraph15"/>
              <w:numPr>
                <w:ilvl w:val="0"/>
                <w:numId w:val="55"/>
              </w:numPr>
              <w:spacing w:after="0" w:line="240" w:lineRule="auto"/>
              <w:ind w:left="357" w:hanging="357"/>
              <w:contextualSpacing w:val="0"/>
              <w:rPr>
                <w:noProof/>
                <w:szCs w:val="20"/>
                <w:lang w:val="de-DE"/>
              </w:rPr>
            </w:pPr>
            <w:r w:rsidRPr="00170422">
              <w:rPr>
                <w:noProof/>
                <w:lang w:val="de-DE"/>
              </w:rPr>
              <w:t xml:space="preserve">Integriertes </w:t>
            </w:r>
            <w:r w:rsidRPr="00170422">
              <w:rPr>
                <w:noProof/>
                <w:lang w:val="de-DE"/>
              </w:rPr>
              <w:t>Grenzschutzsystem</w:t>
            </w:r>
          </w:p>
          <w:p w14:paraId="5359A2F0" w14:textId="77777777" w:rsidR="0057163C" w:rsidRPr="00170422" w:rsidRDefault="00F37BF9">
            <w:pPr>
              <w:pStyle w:val="P68B1DB1-ListParagraph15"/>
              <w:numPr>
                <w:ilvl w:val="0"/>
                <w:numId w:val="55"/>
              </w:numPr>
              <w:spacing w:after="0" w:line="240" w:lineRule="auto"/>
              <w:ind w:left="357" w:hanging="357"/>
              <w:contextualSpacing w:val="0"/>
              <w:rPr>
                <w:noProof/>
                <w:szCs w:val="20"/>
                <w:lang w:val="de-DE"/>
              </w:rPr>
            </w:pPr>
            <w:r w:rsidRPr="00170422">
              <w:rPr>
                <w:noProof/>
                <w:lang w:val="de-DE"/>
              </w:rPr>
              <w:t>Verwaltungs- und Analysesystem für Zivilprozesse</w:t>
            </w:r>
          </w:p>
          <w:p w14:paraId="30CCA75B" w14:textId="77777777" w:rsidR="0057163C" w:rsidRPr="00170422" w:rsidRDefault="00F37BF9">
            <w:pPr>
              <w:pStyle w:val="P68B1DB1-ListParagraph15"/>
              <w:numPr>
                <w:ilvl w:val="0"/>
                <w:numId w:val="55"/>
              </w:numPr>
              <w:spacing w:after="0" w:line="240" w:lineRule="auto"/>
              <w:ind w:left="357" w:hanging="357"/>
              <w:contextualSpacing w:val="0"/>
              <w:rPr>
                <w:noProof/>
                <w:szCs w:val="20"/>
                <w:lang w:val="de-DE"/>
              </w:rPr>
            </w:pPr>
            <w:r w:rsidRPr="00170422">
              <w:rPr>
                <w:noProof/>
                <w:lang w:val="de-DE"/>
              </w:rPr>
              <w:t>Verwaltungs- und Analysesystem für Strafverfahren</w:t>
            </w:r>
          </w:p>
          <w:p w14:paraId="363D238D" w14:textId="77777777" w:rsidR="0057163C" w:rsidRPr="00170422" w:rsidRDefault="00F37BF9">
            <w:pPr>
              <w:pStyle w:val="P68B1DB1-ListParagraph15"/>
              <w:numPr>
                <w:ilvl w:val="0"/>
                <w:numId w:val="55"/>
              </w:numPr>
              <w:spacing w:after="0" w:line="240" w:lineRule="auto"/>
              <w:ind w:left="357" w:hanging="357"/>
              <w:contextualSpacing w:val="0"/>
              <w:rPr>
                <w:noProof/>
                <w:szCs w:val="20"/>
                <w:lang w:val="de-DE"/>
              </w:rPr>
            </w:pPr>
            <w:r w:rsidRPr="00170422">
              <w:rPr>
                <w:noProof/>
                <w:lang w:val="de-DE"/>
              </w:rPr>
              <w:t>Fortgeschrittenes Statistiksystem für Zivil- und Strafverfahren</w:t>
            </w:r>
          </w:p>
          <w:p w14:paraId="6289BBBA" w14:textId="77777777" w:rsidR="0057163C" w:rsidRPr="00170422" w:rsidRDefault="00F37BF9">
            <w:pPr>
              <w:pStyle w:val="P68B1DB1-ListParagraph23"/>
              <w:numPr>
                <w:ilvl w:val="0"/>
                <w:numId w:val="55"/>
              </w:numPr>
              <w:spacing w:after="0" w:line="240" w:lineRule="auto"/>
              <w:ind w:left="357" w:hanging="357"/>
              <w:rPr>
                <w:noProof/>
                <w:lang w:val="de-DE"/>
              </w:rPr>
            </w:pPr>
            <w:r w:rsidRPr="00170422">
              <w:rPr>
                <w:noProof/>
                <w:lang w:val="de-DE"/>
              </w:rPr>
              <w:t>Automatisiertes System zur Identifizierung der Beziehung zwischen Opfern un</w:t>
            </w:r>
            <w:r w:rsidRPr="00170422">
              <w:rPr>
                <w:noProof/>
                <w:lang w:val="de-DE"/>
              </w:rPr>
              <w:t>d Straftätern.</w:t>
            </w:r>
          </w:p>
          <w:p w14:paraId="5F661186" w14:textId="77777777" w:rsidR="0057163C" w:rsidRPr="00170422" w:rsidRDefault="0057163C">
            <w:pPr>
              <w:spacing w:after="120"/>
              <w:rPr>
                <w:rFonts w:ascii="Arial Narrow" w:hAnsi="Arial Narrow"/>
                <w:noProof/>
                <w:color w:val="006100"/>
                <w:sz w:val="20"/>
                <w:szCs w:val="20"/>
                <w:lang w:val="de-DE"/>
              </w:rPr>
            </w:pPr>
          </w:p>
        </w:tc>
      </w:tr>
    </w:tbl>
    <w:p w14:paraId="44787D4F" w14:textId="77777777" w:rsidR="0057163C" w:rsidRPr="00170422" w:rsidRDefault="0057163C">
      <w:pPr>
        <w:tabs>
          <w:tab w:val="left" w:pos="4252"/>
        </w:tabs>
        <w:rPr>
          <w:i/>
          <w:noProof/>
          <w:lang w:val="de-DE"/>
        </w:rPr>
        <w:sectPr w:rsidR="0057163C" w:rsidRPr="00170422" w:rsidSect="005F11B9">
          <w:headerReference w:type="even" r:id="rId24"/>
          <w:headerReference w:type="default" r:id="rId25"/>
          <w:footerReference w:type="even" r:id="rId26"/>
          <w:footerReference w:type="default" r:id="rId27"/>
          <w:headerReference w:type="first" r:id="rId28"/>
          <w:footerReference w:type="first" r:id="rId29"/>
          <w:pgSz w:w="16838" w:h="11906" w:orient="landscape" w:code="9"/>
          <w:pgMar w:top="1134" w:right="1134" w:bottom="1134" w:left="1134" w:header="567" w:footer="567" w:gutter="0"/>
          <w:cols w:space="720"/>
          <w:docGrid w:linePitch="360"/>
        </w:sectPr>
      </w:pPr>
    </w:p>
    <w:p w14:paraId="5D6C1557" w14:textId="77777777" w:rsidR="0057163C" w:rsidRPr="00170422" w:rsidRDefault="00F37BF9">
      <w:pPr>
        <w:pStyle w:val="P68B1DB1-Heading34"/>
        <w:ind w:left="850" w:hanging="850"/>
        <w:rPr>
          <w:b/>
          <w:bCs/>
          <w:i/>
          <w:iCs/>
          <w:noProof/>
          <w:u w:val="single"/>
          <w:lang w:val="de-DE"/>
        </w:rPr>
      </w:pPr>
      <w:r w:rsidRPr="00170422">
        <w:rPr>
          <w:b/>
          <w:noProof/>
          <w:u w:val="single"/>
          <w:lang w:val="de-DE"/>
        </w:rPr>
        <w:t xml:space="preserve">A.3. </w:t>
      </w:r>
      <w:r w:rsidRPr="00170422">
        <w:rPr>
          <w:noProof/>
          <w:lang w:val="de-DE"/>
        </w:rPr>
        <w:t xml:space="preserve"> </w:t>
      </w:r>
      <w:r w:rsidRPr="00170422">
        <w:rPr>
          <w:b/>
          <w:noProof/>
          <w:u w:val="single"/>
          <w:lang w:val="de-DE"/>
        </w:rPr>
        <w:t xml:space="preserve">Beschreibung der Reformen und Investitionen (Darlehen) </w:t>
      </w:r>
    </w:p>
    <w:p w14:paraId="167B9C0D" w14:textId="77777777" w:rsidR="0057163C" w:rsidRPr="00170422" w:rsidRDefault="0057163C">
      <w:pPr>
        <w:spacing w:before="120" w:after="120"/>
        <w:jc w:val="both"/>
        <w:rPr>
          <w:b/>
          <w:noProof/>
          <w:lang w:val="de-DE"/>
        </w:rPr>
      </w:pPr>
    </w:p>
    <w:p w14:paraId="1F1E525A" w14:textId="77777777" w:rsidR="0057163C" w:rsidRPr="00170422" w:rsidRDefault="00F37BF9">
      <w:pPr>
        <w:pStyle w:val="P68B1DB1-Normal5"/>
        <w:spacing w:before="120" w:after="120"/>
        <w:jc w:val="both"/>
        <w:rPr>
          <w:noProof/>
          <w:lang w:val="de-DE"/>
        </w:rPr>
      </w:pPr>
      <w:r w:rsidRPr="00170422">
        <w:rPr>
          <w:noProof/>
          <w:lang w:val="de-DE"/>
        </w:rPr>
        <w:t>Investition 1.2 – Cloud-Ermöglichung für lokale PA</w:t>
      </w:r>
    </w:p>
    <w:p w14:paraId="6949FFF0" w14:textId="77777777" w:rsidR="0057163C" w:rsidRPr="00170422" w:rsidRDefault="00F37BF9">
      <w:pPr>
        <w:pStyle w:val="Descriptiontitle"/>
        <w:ind w:left="0"/>
        <w:rPr>
          <w:noProof/>
          <w:lang w:val="de-DE"/>
        </w:rPr>
      </w:pPr>
      <w:r w:rsidRPr="00170422">
        <w:rPr>
          <w:noProof/>
          <w:lang w:val="de-DE"/>
        </w:rPr>
        <w:t xml:space="preserve">Ziel dieser Investition ist es, die Datensätze und </w:t>
      </w:r>
      <w:r w:rsidRPr="00170422">
        <w:rPr>
          <w:noProof/>
          <w:lang w:val="de-DE"/>
        </w:rPr>
        <w:t xml:space="preserve">Anwendungen eines wesentlichen Teils der lokalen öffentlichen Verwaltung zu einer sicheren Cloud-Infrastruktur zu migrieren, damit jede Verwaltung innerhalb einer Reihe zertifizierter öffentlicher Cloud-Umgebungen frei wählen kann. </w:t>
      </w:r>
    </w:p>
    <w:p w14:paraId="56EC91B2" w14:textId="36132F47" w:rsidR="0057163C" w:rsidRPr="00170422" w:rsidRDefault="00F37BF9">
      <w:pPr>
        <w:pStyle w:val="Descriptiontitle"/>
        <w:ind w:left="0"/>
        <w:rPr>
          <w:noProof/>
          <w:lang w:val="de-DE"/>
        </w:rPr>
      </w:pPr>
      <w:r w:rsidRPr="00170422">
        <w:rPr>
          <w:noProof/>
          <w:lang w:val="de-DE"/>
        </w:rPr>
        <w:t>Die Maßnahme sieht auch</w:t>
      </w:r>
      <w:r w:rsidRPr="00170422">
        <w:rPr>
          <w:noProof/>
          <w:lang w:val="de-DE"/>
        </w:rPr>
        <w:t xml:space="preserve"> ein Unterstützungspaket für Behörden vor, das Folgendes umfasst: I) die erste Bewertung, ii) die für die Einleitung der Bemühungen erforderliche verfahrenstechnische/administrative Unterstützung, iii) die Verhandlungen über die erforderliche externe Unter</w:t>
      </w:r>
      <w:r w:rsidRPr="00170422">
        <w:rPr>
          <w:noProof/>
          <w:lang w:val="de-DE"/>
        </w:rPr>
        <w:t>stützung und iv) das allgemeine Projektmanagement während der Durchführung. Ein vom Ministerium für technologische Innovation und digitalen Wandel (MITD) beaufsichtigtes Team soll eine breite Liste qualifizierter Anbieter ermitteln und zertifizieren und ei</w:t>
      </w:r>
      <w:r w:rsidRPr="00170422">
        <w:rPr>
          <w:noProof/>
          <w:lang w:val="de-DE"/>
        </w:rPr>
        <w:t>ne Reihe von Standard-Unterstützungspaketen aushandeln, die auf die Größe der Verwaltung und der an der Migration beteiligten Dienste zugeschnitten sind.</w:t>
      </w:r>
    </w:p>
    <w:p w14:paraId="4C9E4F00" w14:textId="77777777" w:rsidR="0057163C" w:rsidRPr="00170422" w:rsidRDefault="00F37BF9">
      <w:pPr>
        <w:pStyle w:val="P68B1DB1-Descriptiontitle6"/>
        <w:ind w:left="0"/>
        <w:rPr>
          <w:noProof/>
          <w:lang w:val="de-DE"/>
        </w:rPr>
      </w:pPr>
      <w:r w:rsidRPr="00170422">
        <w:rPr>
          <w:noProof/>
          <w:lang w:val="de-DE"/>
        </w:rPr>
        <w:t>Investition 1.4 – Digitale Dienste und Erfahrungen der Bürger</w:t>
      </w:r>
    </w:p>
    <w:p w14:paraId="70499E12" w14:textId="77777777" w:rsidR="0057163C" w:rsidRPr="00170422" w:rsidRDefault="00F37BF9">
      <w:pPr>
        <w:pStyle w:val="Descriptiontitle"/>
        <w:ind w:left="0"/>
        <w:rPr>
          <w:noProof/>
          <w:lang w:val="de-DE"/>
        </w:rPr>
      </w:pPr>
      <w:r w:rsidRPr="00170422">
        <w:rPr>
          <w:noProof/>
          <w:lang w:val="de-DE"/>
        </w:rPr>
        <w:t>Ziel dieser Investition ist es, ein inte</w:t>
      </w:r>
      <w:r w:rsidRPr="00170422">
        <w:rPr>
          <w:noProof/>
          <w:lang w:val="de-DE"/>
        </w:rPr>
        <w:t xml:space="preserve">griertes und bürgerorientiertes Ökosystem digitaler öffentlicher Dienste zu entwickeln, ihre breite Anwendung in den zentralen und lokalen Verwaltungen sicherzustellen und die allgemeine Nutzererfahrung zu verbessern. </w:t>
      </w:r>
    </w:p>
    <w:p w14:paraId="53420808" w14:textId="3F4AE916" w:rsidR="0057163C" w:rsidRPr="00170422" w:rsidRDefault="00F37BF9">
      <w:pPr>
        <w:pStyle w:val="Descriptiontitle"/>
        <w:ind w:left="0"/>
        <w:rPr>
          <w:noProof/>
          <w:lang w:val="de-DE"/>
        </w:rPr>
      </w:pPr>
      <w:r w:rsidRPr="00170422">
        <w:rPr>
          <w:noProof/>
          <w:lang w:val="de-DE"/>
        </w:rPr>
        <w:t xml:space="preserve">Die Maßnahme: </w:t>
      </w:r>
    </w:p>
    <w:p w14:paraId="273AFF89" w14:textId="77777777" w:rsidR="0057163C" w:rsidRPr="00170422" w:rsidRDefault="00F37BF9">
      <w:pPr>
        <w:pStyle w:val="Descriptiontitle"/>
        <w:numPr>
          <w:ilvl w:val="0"/>
          <w:numId w:val="56"/>
        </w:numPr>
        <w:ind w:left="578" w:hanging="578"/>
        <w:rPr>
          <w:noProof/>
          <w:lang w:val="de-DE"/>
        </w:rPr>
      </w:pPr>
      <w:r w:rsidRPr="00170422">
        <w:rPr>
          <w:noProof/>
          <w:lang w:val="de-DE"/>
        </w:rPr>
        <w:t>definiert wiederverwen</w:t>
      </w:r>
      <w:r w:rsidRPr="00170422">
        <w:rPr>
          <w:noProof/>
          <w:lang w:val="de-DE"/>
        </w:rPr>
        <w:t>dbare Modelle für die Erbringung von Dienstleistungen, die die uneingeschränkte Barrierefreiheit gewährleisten (Investition 1.4.1 – Bürgererfahrung – Verbesserung der Qualität und Nutzbarkeit digitaler öffentlicher Dienste);</w:t>
      </w:r>
    </w:p>
    <w:p w14:paraId="1D6A0270" w14:textId="77777777" w:rsidR="0057163C" w:rsidRPr="00170422" w:rsidRDefault="00F37BF9">
      <w:pPr>
        <w:pStyle w:val="Descriptiontitle"/>
        <w:numPr>
          <w:ilvl w:val="0"/>
          <w:numId w:val="56"/>
        </w:numPr>
        <w:ind w:left="578" w:hanging="578"/>
        <w:rPr>
          <w:noProof/>
          <w:lang w:val="de-DE"/>
        </w:rPr>
      </w:pPr>
      <w:r w:rsidRPr="00170422">
        <w:rPr>
          <w:noProof/>
          <w:lang w:val="de-DE"/>
        </w:rPr>
        <w:t>Verbesserung der Zugänglichkeit</w:t>
      </w:r>
      <w:r w:rsidRPr="00170422">
        <w:rPr>
          <w:noProof/>
          <w:lang w:val="de-DE"/>
        </w:rPr>
        <w:t xml:space="preserve"> digitaler öffentlicher Dienste (Investition 1.4.2 – Inklusion der Bürger: Verbesserung der Zugänglichkeit digitaler öffentlicher Dienste);</w:t>
      </w:r>
    </w:p>
    <w:p w14:paraId="06EC4A19" w14:textId="77777777" w:rsidR="0057163C" w:rsidRPr="00170422" w:rsidRDefault="00F37BF9">
      <w:pPr>
        <w:pStyle w:val="Descriptiontitle"/>
        <w:numPr>
          <w:ilvl w:val="0"/>
          <w:numId w:val="56"/>
        </w:numPr>
        <w:ind w:left="578" w:hanging="578"/>
        <w:rPr>
          <w:noProof/>
          <w:lang w:val="de-DE"/>
        </w:rPr>
      </w:pPr>
      <w:r w:rsidRPr="00170422">
        <w:rPr>
          <w:noProof/>
          <w:lang w:val="de-DE"/>
        </w:rPr>
        <w:t>die Einführung der digitalen Anwendung für Zahlungen zwischen Bürgern und öffentlichen Verwaltungen (PagoPa) und die</w:t>
      </w:r>
      <w:r w:rsidRPr="00170422">
        <w:rPr>
          <w:noProof/>
          <w:lang w:val="de-DE"/>
        </w:rPr>
        <w:t xml:space="preserve"> Einführung der „IO“-App (Investition 1.4.3 – Ausbau der PagoPA-Plattformdienste und der „IO-App“);</w:t>
      </w:r>
    </w:p>
    <w:p w14:paraId="31E35888" w14:textId="77777777" w:rsidR="0057163C" w:rsidRPr="00170422" w:rsidRDefault="00F37BF9">
      <w:pPr>
        <w:pStyle w:val="Descriptiontitle"/>
        <w:numPr>
          <w:ilvl w:val="0"/>
          <w:numId w:val="56"/>
        </w:numPr>
        <w:ind w:left="578" w:hanging="578"/>
        <w:rPr>
          <w:noProof/>
          <w:lang w:val="de-DE"/>
        </w:rPr>
      </w:pPr>
      <w:r w:rsidRPr="00170422">
        <w:rPr>
          <w:noProof/>
          <w:lang w:val="de-DE"/>
        </w:rPr>
        <w:t>fördert die Einführung nationaler Plattformen für die digitale Identität (Sistema Pubblico di Identità Digitale, SPID und Carta d’Identità Elettronica, CIE)</w:t>
      </w:r>
      <w:r w:rsidRPr="00170422">
        <w:rPr>
          <w:noProof/>
          <w:lang w:val="de-DE"/>
        </w:rPr>
        <w:t xml:space="preserve"> und des nationalen Registers (Anagrafe nazionale della popolazione residente, ANPR) (Investition 1.4.4 – Ausweitung der nationalen Plattformen für die digitale Identität (SPID, CIE) und des nationalen Registers (ANPR));</w:t>
      </w:r>
    </w:p>
    <w:p w14:paraId="79C81CC3" w14:textId="77777777" w:rsidR="0057163C" w:rsidRPr="00170422" w:rsidRDefault="00F37BF9">
      <w:pPr>
        <w:pStyle w:val="Descriptiontitle"/>
        <w:numPr>
          <w:ilvl w:val="0"/>
          <w:numId w:val="56"/>
        </w:numPr>
        <w:ind w:left="578" w:hanging="578"/>
        <w:rPr>
          <w:noProof/>
          <w:lang w:val="de-DE"/>
        </w:rPr>
      </w:pPr>
      <w:r w:rsidRPr="00170422">
        <w:rPr>
          <w:noProof/>
          <w:lang w:val="de-DE"/>
        </w:rPr>
        <w:t>richtet eine einheitliche Plattform</w:t>
      </w:r>
      <w:r w:rsidRPr="00170422">
        <w:rPr>
          <w:noProof/>
          <w:lang w:val="de-DE"/>
        </w:rPr>
        <w:t xml:space="preserve"> für Mitteilungen ein (Investition 1.4.5 – Digitalisierung öffentlicher Bekanntmachungen);</w:t>
      </w:r>
    </w:p>
    <w:p w14:paraId="0D04705C" w14:textId="7673A939" w:rsidR="0057163C" w:rsidRPr="00170422" w:rsidRDefault="00F37BF9">
      <w:pPr>
        <w:pStyle w:val="Descriptiontitle"/>
        <w:numPr>
          <w:ilvl w:val="0"/>
          <w:numId w:val="56"/>
        </w:numPr>
        <w:ind w:left="578" w:hanging="578"/>
        <w:rPr>
          <w:noProof/>
          <w:lang w:val="de-DE"/>
        </w:rPr>
      </w:pPr>
      <w:r w:rsidRPr="00170422">
        <w:rPr>
          <w:noProof/>
          <w:lang w:val="de-DE"/>
        </w:rPr>
        <w:t xml:space="preserve">beinhaltet die Annahme von Mobility as a Service (MaaS) (Investition 1.4.6 – Mobilität als Dienstleistung für Italien, wobei diese letzte Maßnahme auf der Grundlage </w:t>
      </w:r>
      <w:r w:rsidRPr="00170422">
        <w:rPr>
          <w:noProof/>
          <w:lang w:val="de-DE"/>
        </w:rPr>
        <w:t>einer nicht rückzahlbaren finanziellen Unterstützung finanziert wird).</w:t>
      </w:r>
    </w:p>
    <w:p w14:paraId="7E573549" w14:textId="77777777" w:rsidR="0057163C" w:rsidRPr="00170422" w:rsidRDefault="00F37BF9">
      <w:pPr>
        <w:pStyle w:val="P68B1DB1-Normal5"/>
        <w:spacing w:before="120" w:after="120"/>
        <w:jc w:val="both"/>
        <w:rPr>
          <w:noProof/>
          <w:lang w:val="de-DE"/>
        </w:rPr>
      </w:pPr>
      <w:r w:rsidRPr="00170422">
        <w:rPr>
          <w:noProof/>
          <w:lang w:val="de-DE"/>
        </w:rPr>
        <w:t>Investition 1.6 – Digitaler Wandel großer zentraler Verwaltungen</w:t>
      </w:r>
    </w:p>
    <w:p w14:paraId="72A436BD" w14:textId="77777777" w:rsidR="0057163C" w:rsidRPr="00170422" w:rsidRDefault="00F37BF9">
      <w:pPr>
        <w:pStyle w:val="P68B1DB1-Normal7"/>
        <w:jc w:val="both"/>
        <w:rPr>
          <w:noProof/>
          <w:lang w:val="de-DE"/>
        </w:rPr>
      </w:pPr>
      <w:r w:rsidRPr="00170422">
        <w:rPr>
          <w:noProof/>
          <w:lang w:val="de-DE"/>
        </w:rPr>
        <w:t>Ziel dieser Investition ist es, die Effizienz und die Verfahren der wichtigsten zentralen Verwaltungen zu erhöhen und zu vereinfachen, darunter (i) das Nationale Institut für soziale Sicherheit (INPS) und das Nationale Institut für Unfallversicherung (INAI</w:t>
      </w:r>
      <w:r w:rsidRPr="00170422">
        <w:rPr>
          <w:noProof/>
          <w:lang w:val="de-DE"/>
        </w:rPr>
        <w:t xml:space="preserve">L), (ii) das Justizsystem, (iii) das Verteidigungsministerium, (iv) das Innenministerium und (v) die Finanzpolizei. Die Investition besteht in der Umgestaltung und Digitalisierung einer Reihe vorrangiger Prozesse, Tätigkeiten und Dienstleistungen in ihrem </w:t>
      </w:r>
      <w:r w:rsidRPr="00170422">
        <w:rPr>
          <w:noProof/>
          <w:lang w:val="de-DE"/>
        </w:rPr>
        <w:t>Zuständigkeitsbereich.</w:t>
      </w:r>
    </w:p>
    <w:p w14:paraId="04E83E33" w14:textId="77777777" w:rsidR="0057163C" w:rsidRPr="00170422" w:rsidRDefault="00F37BF9">
      <w:pPr>
        <w:rPr>
          <w:noProof/>
          <w:lang w:val="de-DE"/>
        </w:rPr>
        <w:sectPr w:rsidR="0057163C" w:rsidRPr="00170422" w:rsidSect="005F11B9">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pPr>
      <w:r w:rsidRPr="00170422">
        <w:rPr>
          <w:noProof/>
          <w:lang w:val="de-DE"/>
        </w:rPr>
        <w:br w:type="page"/>
      </w:r>
    </w:p>
    <w:p w14:paraId="20D4EF5E" w14:textId="77777777" w:rsidR="0057163C" w:rsidRPr="00170422" w:rsidRDefault="0057163C">
      <w:pPr>
        <w:rPr>
          <w:noProof/>
          <w:lang w:val="de-DE"/>
        </w:rPr>
      </w:pPr>
    </w:p>
    <w:p w14:paraId="3FB7696F" w14:textId="7A54AE0C" w:rsidR="0057163C" w:rsidRPr="00170422" w:rsidRDefault="00F37BF9">
      <w:pPr>
        <w:rPr>
          <w:noProof/>
          <w:lang w:val="de-DE"/>
        </w:rPr>
      </w:pPr>
      <w:r w:rsidRPr="00170422">
        <w:rPr>
          <w:rFonts w:ascii="Times New Roman" w:eastAsia="Times New Roman" w:hAnsi="Times New Roman" w:cs="Times New Roman"/>
          <w:b/>
          <w:noProof/>
          <w:u w:val="single"/>
          <w:lang w:val="de-DE"/>
        </w:rPr>
        <w:t xml:space="preserve">A.4. </w:t>
      </w:r>
      <w:r w:rsidRPr="00170422">
        <w:rPr>
          <w:rFonts w:ascii="Times New Roman" w:eastAsia="Times New Roman" w:hAnsi="Times New Roman" w:cs="Times New Roman"/>
          <w:noProof/>
          <w:lang w:val="de-DE"/>
        </w:rPr>
        <w:t xml:space="preserve"> </w:t>
      </w:r>
      <w:r w:rsidRPr="00170422">
        <w:rPr>
          <w:rFonts w:ascii="Times New Roman" w:eastAsia="Times New Roman" w:hAnsi="Times New Roman" w:cs="Times New Roman"/>
          <w:b/>
          <w:noProof/>
          <w:u w:val="single"/>
          <w:lang w:val="de-DE"/>
        </w:rPr>
        <w:t xml:space="preserve">Etappenziele, Zielwerte, Indikatoren und Zeitplan für die Überwachung und Durchführung des </w:t>
      </w:r>
      <w:r w:rsidRPr="00170422">
        <w:rPr>
          <w:rFonts w:ascii="Arial Narrow" w:hAnsi="Arial Narrow"/>
          <w:b/>
          <w:noProof/>
          <w:sz w:val="20"/>
          <w:lang w:val="de-DE"/>
        </w:rPr>
        <w:t>Darlehensabschnitts</w:t>
      </w:r>
    </w:p>
    <w:tbl>
      <w:tblPr>
        <w:tblW w:w="15678" w:type="dxa"/>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087"/>
        <w:gridCol w:w="1943"/>
        <w:gridCol w:w="1176"/>
        <w:gridCol w:w="1942"/>
        <w:gridCol w:w="1701"/>
        <w:gridCol w:w="1134"/>
        <w:gridCol w:w="1460"/>
        <w:gridCol w:w="1233"/>
        <w:gridCol w:w="793"/>
        <w:gridCol w:w="625"/>
        <w:gridCol w:w="2584"/>
      </w:tblGrid>
      <w:tr w:rsidR="0057163C" w:rsidRPr="00170422" w14:paraId="06ACB4D6" w14:textId="77777777" w:rsidTr="0051146E">
        <w:trPr>
          <w:trHeight w:val="774"/>
          <w:tblHeader/>
        </w:trPr>
        <w:tc>
          <w:tcPr>
            <w:tcW w:w="1087" w:type="dxa"/>
            <w:vMerge w:val="restart"/>
            <w:shd w:val="clear" w:color="auto" w:fill="BDD7EE"/>
            <w:vAlign w:val="center"/>
            <w:hideMark/>
          </w:tcPr>
          <w:p w14:paraId="23EFA29F" w14:textId="6FC07D17" w:rsidR="0057163C" w:rsidRPr="00170422" w:rsidRDefault="00F37BF9">
            <w:pPr>
              <w:pStyle w:val="P68B1DB1-Normal10"/>
              <w:jc w:val="center"/>
              <w:rPr>
                <w:noProof/>
                <w:szCs w:val="20"/>
                <w:lang w:val="de-DE"/>
              </w:rPr>
            </w:pPr>
            <w:r w:rsidRPr="00170422">
              <w:rPr>
                <w:noProof/>
                <w:lang w:val="de-DE"/>
              </w:rPr>
              <w:t>Laufende Nummer</w:t>
            </w:r>
          </w:p>
        </w:tc>
        <w:tc>
          <w:tcPr>
            <w:tcW w:w="1943" w:type="dxa"/>
            <w:vMerge w:val="restart"/>
            <w:shd w:val="clear" w:color="auto" w:fill="BDD7EE"/>
            <w:vAlign w:val="center"/>
            <w:hideMark/>
          </w:tcPr>
          <w:p w14:paraId="3B3E6D74" w14:textId="77777777" w:rsidR="0057163C" w:rsidRPr="00170422" w:rsidRDefault="00F37BF9">
            <w:pPr>
              <w:pStyle w:val="P68B1DB1-Normal10"/>
              <w:jc w:val="center"/>
              <w:rPr>
                <w:noProof/>
                <w:szCs w:val="20"/>
                <w:lang w:val="de-DE"/>
              </w:rPr>
            </w:pPr>
            <w:r w:rsidRPr="00170422">
              <w:rPr>
                <w:noProof/>
                <w:lang w:val="de-DE"/>
              </w:rPr>
              <w:t>Verbundene Maßnahme (Reform oder Investitio</w:t>
            </w:r>
            <w:r w:rsidRPr="00170422">
              <w:rPr>
                <w:noProof/>
                <w:lang w:val="de-DE"/>
              </w:rPr>
              <w:t>n)</w:t>
            </w:r>
          </w:p>
        </w:tc>
        <w:tc>
          <w:tcPr>
            <w:tcW w:w="1176" w:type="dxa"/>
            <w:vMerge w:val="restart"/>
            <w:shd w:val="clear" w:color="auto" w:fill="BDD7EE"/>
            <w:vAlign w:val="center"/>
            <w:hideMark/>
          </w:tcPr>
          <w:p w14:paraId="5BF15AF2" w14:textId="7CCE095C" w:rsidR="0057163C" w:rsidRPr="00170422" w:rsidRDefault="00F37BF9" w:rsidP="0051146E">
            <w:pPr>
              <w:pStyle w:val="P68B1DB1-Normal10"/>
              <w:jc w:val="center"/>
              <w:rPr>
                <w:noProof/>
                <w:szCs w:val="20"/>
                <w:lang w:val="de-DE"/>
              </w:rPr>
            </w:pPr>
            <w:r w:rsidRPr="00170422">
              <w:rPr>
                <w:noProof/>
                <w:lang w:val="de-DE"/>
              </w:rPr>
              <w:t>Meilenstein/Ziel</w:t>
            </w:r>
          </w:p>
        </w:tc>
        <w:tc>
          <w:tcPr>
            <w:tcW w:w="1942" w:type="dxa"/>
            <w:vMerge w:val="restart"/>
            <w:shd w:val="clear" w:color="auto" w:fill="BDD7EE"/>
            <w:vAlign w:val="center"/>
            <w:hideMark/>
          </w:tcPr>
          <w:p w14:paraId="553ADAD7" w14:textId="77777777" w:rsidR="0057163C" w:rsidRPr="00170422" w:rsidRDefault="00F37BF9">
            <w:pPr>
              <w:pStyle w:val="P68B1DB1-Normal10"/>
              <w:jc w:val="center"/>
              <w:rPr>
                <w:noProof/>
                <w:szCs w:val="20"/>
                <w:lang w:val="de-DE"/>
              </w:rPr>
            </w:pPr>
            <w:r w:rsidRPr="00170422">
              <w:rPr>
                <w:noProof/>
                <w:lang w:val="de-DE"/>
              </w:rPr>
              <w:t>Namen</w:t>
            </w:r>
          </w:p>
        </w:tc>
        <w:tc>
          <w:tcPr>
            <w:tcW w:w="1701" w:type="dxa"/>
            <w:vMerge w:val="restart"/>
            <w:shd w:val="clear" w:color="auto" w:fill="BDD7EE"/>
            <w:vAlign w:val="center"/>
            <w:hideMark/>
          </w:tcPr>
          <w:p w14:paraId="4DEA5DA5" w14:textId="1189B772"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51146E"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827" w:type="dxa"/>
            <w:gridSpan w:val="3"/>
            <w:shd w:val="clear" w:color="auto" w:fill="BDD7EE"/>
            <w:vAlign w:val="center"/>
            <w:hideMark/>
          </w:tcPr>
          <w:p w14:paraId="3317603A"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418" w:type="dxa"/>
            <w:gridSpan w:val="2"/>
            <w:shd w:val="clear" w:color="auto" w:fill="BDD7EE"/>
            <w:vAlign w:val="center"/>
            <w:hideMark/>
          </w:tcPr>
          <w:p w14:paraId="22D37062"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584" w:type="dxa"/>
            <w:vMerge w:val="restart"/>
            <w:shd w:val="clear" w:color="auto" w:fill="BDD7EE"/>
            <w:vAlign w:val="center"/>
            <w:hideMark/>
          </w:tcPr>
          <w:p w14:paraId="248B14E1"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4424822C" w14:textId="77777777" w:rsidTr="0051146E">
        <w:trPr>
          <w:trHeight w:val="686"/>
          <w:tblHeader/>
        </w:trPr>
        <w:tc>
          <w:tcPr>
            <w:tcW w:w="1087" w:type="dxa"/>
            <w:vMerge/>
            <w:vAlign w:val="center"/>
            <w:hideMark/>
          </w:tcPr>
          <w:p w14:paraId="2AA238F4" w14:textId="77777777" w:rsidR="0057163C" w:rsidRPr="00170422" w:rsidRDefault="0057163C">
            <w:pPr>
              <w:jc w:val="center"/>
              <w:rPr>
                <w:rFonts w:ascii="Arial Narrow" w:hAnsi="Arial Narrow"/>
                <w:b/>
                <w:noProof/>
                <w:sz w:val="20"/>
                <w:szCs w:val="20"/>
                <w:lang w:val="de-DE"/>
              </w:rPr>
            </w:pPr>
          </w:p>
        </w:tc>
        <w:tc>
          <w:tcPr>
            <w:tcW w:w="1943" w:type="dxa"/>
            <w:vMerge/>
            <w:vAlign w:val="center"/>
            <w:hideMark/>
          </w:tcPr>
          <w:p w14:paraId="2C6FBFDC" w14:textId="77777777" w:rsidR="0057163C" w:rsidRPr="00170422" w:rsidRDefault="0057163C">
            <w:pPr>
              <w:jc w:val="center"/>
              <w:rPr>
                <w:rFonts w:ascii="Arial Narrow" w:hAnsi="Arial Narrow"/>
                <w:b/>
                <w:noProof/>
                <w:sz w:val="20"/>
                <w:szCs w:val="20"/>
                <w:lang w:val="de-DE"/>
              </w:rPr>
            </w:pPr>
          </w:p>
        </w:tc>
        <w:tc>
          <w:tcPr>
            <w:tcW w:w="1176" w:type="dxa"/>
            <w:vMerge/>
            <w:vAlign w:val="center"/>
            <w:hideMark/>
          </w:tcPr>
          <w:p w14:paraId="56201EE1" w14:textId="77777777" w:rsidR="0057163C" w:rsidRPr="00170422" w:rsidRDefault="0057163C">
            <w:pPr>
              <w:jc w:val="center"/>
              <w:rPr>
                <w:rFonts w:ascii="Arial Narrow" w:hAnsi="Arial Narrow"/>
                <w:b/>
                <w:noProof/>
                <w:sz w:val="20"/>
                <w:szCs w:val="20"/>
                <w:lang w:val="de-DE"/>
              </w:rPr>
            </w:pPr>
          </w:p>
        </w:tc>
        <w:tc>
          <w:tcPr>
            <w:tcW w:w="1942" w:type="dxa"/>
            <w:vMerge/>
            <w:vAlign w:val="center"/>
            <w:hideMark/>
          </w:tcPr>
          <w:p w14:paraId="294D9447" w14:textId="77777777" w:rsidR="0057163C" w:rsidRPr="00170422" w:rsidRDefault="0057163C">
            <w:pPr>
              <w:jc w:val="center"/>
              <w:rPr>
                <w:rFonts w:ascii="Arial Narrow" w:hAnsi="Arial Narrow"/>
                <w:b/>
                <w:noProof/>
                <w:sz w:val="20"/>
                <w:szCs w:val="20"/>
                <w:lang w:val="de-DE"/>
              </w:rPr>
            </w:pPr>
          </w:p>
        </w:tc>
        <w:tc>
          <w:tcPr>
            <w:tcW w:w="1701" w:type="dxa"/>
            <w:vMerge/>
            <w:vAlign w:val="center"/>
            <w:hideMark/>
          </w:tcPr>
          <w:p w14:paraId="203E28E8" w14:textId="77777777" w:rsidR="0057163C" w:rsidRPr="00170422" w:rsidRDefault="0057163C">
            <w:pPr>
              <w:jc w:val="center"/>
              <w:rPr>
                <w:rFonts w:ascii="Arial Narrow" w:hAnsi="Arial Narrow"/>
                <w:b/>
                <w:noProof/>
                <w:sz w:val="20"/>
                <w:szCs w:val="20"/>
                <w:lang w:val="de-DE"/>
              </w:rPr>
            </w:pPr>
          </w:p>
        </w:tc>
        <w:tc>
          <w:tcPr>
            <w:tcW w:w="1134" w:type="dxa"/>
            <w:shd w:val="clear" w:color="auto" w:fill="BDD7EE"/>
            <w:vAlign w:val="center"/>
            <w:hideMark/>
          </w:tcPr>
          <w:p w14:paraId="18442F27" w14:textId="4697AB37" w:rsidR="0057163C" w:rsidRPr="00170422" w:rsidRDefault="00F37BF9">
            <w:pPr>
              <w:pStyle w:val="P68B1DB1-Normal10"/>
              <w:jc w:val="center"/>
              <w:rPr>
                <w:noProof/>
                <w:szCs w:val="20"/>
                <w:lang w:val="de-DE"/>
              </w:rPr>
            </w:pPr>
            <w:r w:rsidRPr="00170422">
              <w:rPr>
                <w:noProof/>
                <w:lang w:val="de-DE"/>
              </w:rPr>
              <w:t>Maßeinheit</w:t>
            </w:r>
          </w:p>
        </w:tc>
        <w:tc>
          <w:tcPr>
            <w:tcW w:w="1460" w:type="dxa"/>
            <w:shd w:val="clear" w:color="auto" w:fill="BDD7EE"/>
            <w:vAlign w:val="center"/>
            <w:hideMark/>
          </w:tcPr>
          <w:p w14:paraId="0AD1B0DB" w14:textId="77777777" w:rsidR="0057163C" w:rsidRPr="00170422" w:rsidRDefault="00F37BF9">
            <w:pPr>
              <w:pStyle w:val="P68B1DB1-Normal10"/>
              <w:jc w:val="center"/>
              <w:rPr>
                <w:noProof/>
                <w:szCs w:val="20"/>
                <w:lang w:val="de-DE"/>
              </w:rPr>
            </w:pPr>
            <w:r w:rsidRPr="00170422">
              <w:rPr>
                <w:noProof/>
                <w:lang w:val="de-DE"/>
              </w:rPr>
              <w:t>Ausgangslage</w:t>
            </w:r>
          </w:p>
        </w:tc>
        <w:tc>
          <w:tcPr>
            <w:tcW w:w="1233" w:type="dxa"/>
            <w:shd w:val="clear" w:color="auto" w:fill="BDD7EE"/>
            <w:vAlign w:val="center"/>
            <w:hideMark/>
          </w:tcPr>
          <w:p w14:paraId="297A7230" w14:textId="77777777" w:rsidR="0057163C" w:rsidRPr="00170422" w:rsidRDefault="00F37BF9">
            <w:pPr>
              <w:pStyle w:val="P68B1DB1-Normal10"/>
              <w:jc w:val="center"/>
              <w:rPr>
                <w:noProof/>
                <w:szCs w:val="20"/>
                <w:lang w:val="de-DE"/>
              </w:rPr>
            </w:pPr>
            <w:r w:rsidRPr="00170422">
              <w:rPr>
                <w:noProof/>
                <w:lang w:val="de-DE"/>
              </w:rPr>
              <w:t>Ziel</w:t>
            </w:r>
          </w:p>
        </w:tc>
        <w:tc>
          <w:tcPr>
            <w:tcW w:w="793" w:type="dxa"/>
            <w:shd w:val="clear" w:color="auto" w:fill="BDD7EE"/>
            <w:vAlign w:val="center"/>
            <w:hideMark/>
          </w:tcPr>
          <w:p w14:paraId="597B70DB" w14:textId="77777777" w:rsidR="0057163C" w:rsidRPr="00170422" w:rsidRDefault="00F37BF9">
            <w:pPr>
              <w:pStyle w:val="P68B1DB1-Normal10"/>
              <w:jc w:val="center"/>
              <w:rPr>
                <w:noProof/>
                <w:szCs w:val="20"/>
                <w:lang w:val="de-DE"/>
              </w:rPr>
            </w:pPr>
            <w:r w:rsidRPr="00170422">
              <w:rPr>
                <w:noProof/>
                <w:lang w:val="de-DE"/>
              </w:rPr>
              <w:t>Viertel</w:t>
            </w:r>
          </w:p>
        </w:tc>
        <w:tc>
          <w:tcPr>
            <w:tcW w:w="625" w:type="dxa"/>
            <w:shd w:val="clear" w:color="auto" w:fill="BDD7EE"/>
            <w:vAlign w:val="center"/>
            <w:hideMark/>
          </w:tcPr>
          <w:p w14:paraId="6FA55E18" w14:textId="77777777" w:rsidR="0057163C" w:rsidRPr="00170422" w:rsidRDefault="00F37BF9">
            <w:pPr>
              <w:pStyle w:val="P68B1DB1-Normal10"/>
              <w:jc w:val="center"/>
              <w:rPr>
                <w:noProof/>
                <w:szCs w:val="20"/>
                <w:lang w:val="de-DE"/>
              </w:rPr>
            </w:pPr>
            <w:r w:rsidRPr="00170422">
              <w:rPr>
                <w:noProof/>
                <w:lang w:val="de-DE"/>
              </w:rPr>
              <w:t>Jahre</w:t>
            </w:r>
          </w:p>
        </w:tc>
        <w:tc>
          <w:tcPr>
            <w:tcW w:w="2584" w:type="dxa"/>
            <w:vMerge/>
            <w:vAlign w:val="center"/>
            <w:hideMark/>
          </w:tcPr>
          <w:p w14:paraId="3617A512" w14:textId="77777777" w:rsidR="0057163C" w:rsidRPr="00170422" w:rsidRDefault="0057163C">
            <w:pPr>
              <w:rPr>
                <w:rFonts w:ascii="Arial Narrow" w:hAnsi="Arial Narrow"/>
                <w:b/>
                <w:noProof/>
                <w:sz w:val="20"/>
                <w:szCs w:val="20"/>
                <w:lang w:val="de-DE"/>
              </w:rPr>
            </w:pPr>
          </w:p>
        </w:tc>
      </w:tr>
      <w:tr w:rsidR="0057163C" w:rsidRPr="00170422" w14:paraId="33E2BB93" w14:textId="77777777" w:rsidTr="0051146E">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2BBA2" w14:textId="77777777" w:rsidR="0057163C" w:rsidRPr="00170422" w:rsidRDefault="00F37BF9">
            <w:pPr>
              <w:pStyle w:val="P68B1DB1-Normal11"/>
              <w:jc w:val="center"/>
              <w:rPr>
                <w:noProof/>
                <w:lang w:val="de-DE"/>
              </w:rPr>
            </w:pPr>
            <w:r w:rsidRPr="00170422">
              <w:rPr>
                <w:noProof/>
                <w:lang w:val="de-DE"/>
              </w:rPr>
              <w:t>M1C1-14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51409" w14:textId="77777777" w:rsidR="0057163C" w:rsidRPr="00170422" w:rsidRDefault="00F37BF9">
            <w:pPr>
              <w:pStyle w:val="P68B1DB1-Normal11"/>
              <w:jc w:val="center"/>
              <w:rPr>
                <w:noProof/>
                <w:lang w:val="de-DE"/>
              </w:rPr>
            </w:pPr>
            <w:r w:rsidRPr="00170422">
              <w:rPr>
                <w:noProof/>
                <w:lang w:val="de-DE"/>
              </w:rPr>
              <w:t>Investition 1.6.5: Digitalisierung des Staatsrats</w:t>
            </w:r>
          </w:p>
        </w:tc>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8378" w14:textId="77777777" w:rsidR="0057163C" w:rsidRPr="00170422" w:rsidRDefault="00F37BF9">
            <w:pPr>
              <w:pStyle w:val="P68B1DB1-Normal11"/>
              <w:jc w:val="center"/>
              <w:rPr>
                <w:noProof/>
                <w:lang w:val="de-DE"/>
              </w:rPr>
            </w:pPr>
            <w:r w:rsidRPr="00170422">
              <w:rPr>
                <w:noProof/>
                <w:lang w:val="de-DE"/>
              </w:rPr>
              <w:t>Ziel</w:t>
            </w:r>
          </w:p>
        </w:tc>
        <w:tc>
          <w:tcPr>
            <w:tcW w:w="19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668982" w14:textId="77777777" w:rsidR="0057163C" w:rsidRPr="00170422" w:rsidRDefault="00F37BF9">
            <w:pPr>
              <w:pStyle w:val="P68B1DB1-Normal11"/>
              <w:jc w:val="center"/>
              <w:rPr>
                <w:noProof/>
                <w:lang w:val="de-DE"/>
              </w:rPr>
            </w:pPr>
            <w:r w:rsidRPr="00170422">
              <w:rPr>
                <w:noProof/>
                <w:lang w:val="de-DE"/>
              </w:rPr>
              <w:t>Staatsrat – Gerichtliche Dokumente zur Auswertung im Datenlager T1 verfügbar</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B5FDD2" w14:textId="77777777" w:rsidR="0057163C" w:rsidRPr="00170422" w:rsidRDefault="00F37BF9">
            <w:pPr>
              <w:pStyle w:val="P68B1DB1-Normal11"/>
              <w:jc w:val="center"/>
              <w:rPr>
                <w:noProof/>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D7209B" w14:textId="77777777" w:rsidR="0057163C" w:rsidRPr="00170422" w:rsidRDefault="00F37BF9">
            <w:pPr>
              <w:pStyle w:val="P68B1DB1-Normal11"/>
              <w:jc w:val="center"/>
              <w:rPr>
                <w:noProof/>
                <w:lang w:val="de-DE"/>
              </w:rPr>
            </w:pPr>
            <w:r w:rsidRPr="00170422">
              <w:rPr>
                <w:noProof/>
                <w:lang w:val="de-DE"/>
              </w:rPr>
              <w:t>Anzahl</w:t>
            </w:r>
          </w:p>
        </w:tc>
        <w:tc>
          <w:tcPr>
            <w:tcW w:w="14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0AA071" w14:textId="77777777" w:rsidR="0057163C" w:rsidRPr="00170422" w:rsidRDefault="00F37BF9">
            <w:pPr>
              <w:pStyle w:val="P68B1DB1-Normal11"/>
              <w:jc w:val="center"/>
              <w:rPr>
                <w:noProof/>
                <w:lang w:val="de-DE"/>
              </w:rPr>
            </w:pPr>
            <w:r w:rsidRPr="00170422">
              <w:rPr>
                <w:noProof/>
                <w:lang w:val="de-DE"/>
              </w:rPr>
              <w:t>0</w:t>
            </w:r>
          </w:p>
        </w:tc>
        <w:tc>
          <w:tcPr>
            <w:tcW w:w="12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9E97C" w14:textId="77777777" w:rsidR="0057163C" w:rsidRPr="00170422" w:rsidRDefault="00F37BF9">
            <w:pPr>
              <w:pStyle w:val="P68B1DB1-Normal11"/>
              <w:jc w:val="center"/>
              <w:rPr>
                <w:noProof/>
                <w:lang w:val="de-DE"/>
              </w:rPr>
            </w:pPr>
            <w:r w:rsidRPr="00170422">
              <w:rPr>
                <w:noProof/>
                <w:lang w:val="de-DE"/>
              </w:rPr>
              <w:t>800 000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3F4378" w14:textId="77777777" w:rsidR="0057163C" w:rsidRPr="00170422" w:rsidRDefault="00F37BF9">
            <w:pPr>
              <w:pStyle w:val="P68B1DB1-Normal11"/>
              <w:jc w:val="center"/>
              <w:rPr>
                <w:noProof/>
                <w:lang w:val="de-DE"/>
              </w:rPr>
            </w:pPr>
            <w:r w:rsidRPr="00170422">
              <w:rPr>
                <w:noProof/>
                <w:lang w:val="de-DE"/>
              </w:rPr>
              <w:t>4. QUARTAL</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0C0B2B" w14:textId="77777777" w:rsidR="0057163C" w:rsidRPr="00170422" w:rsidRDefault="00F37BF9">
            <w:pPr>
              <w:pStyle w:val="P68B1DB1-Normal11"/>
              <w:jc w:val="center"/>
              <w:rPr>
                <w:noProof/>
                <w:lang w:val="de-DE"/>
              </w:rPr>
            </w:pPr>
            <w:r w:rsidRPr="00170422">
              <w:rPr>
                <w:noProof/>
                <w:lang w:val="de-DE"/>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15296B" w14:textId="77777777" w:rsidR="0057163C" w:rsidRPr="00170422" w:rsidRDefault="00F37BF9">
            <w:pPr>
              <w:pStyle w:val="P68B1DB1-Normal12"/>
              <w:spacing w:after="120"/>
              <w:rPr>
                <w:noProof/>
                <w:lang w:val="de-DE"/>
              </w:rPr>
            </w:pPr>
            <w:r w:rsidRPr="00170422">
              <w:rPr>
                <w:noProof/>
                <w:lang w:val="de-DE"/>
              </w:rPr>
              <w:t>Zahl der</w:t>
            </w:r>
            <w:r w:rsidRPr="00170422">
              <w:rPr>
                <w:noProof/>
                <w:lang w:val="de-DE"/>
              </w:rPr>
              <w:t xml:space="preserve"> Gerichtsdokumente im Zusammenhang mit dem System der Verwaltungsgerichtsbarkeit (z. B. Strafen, Stellungnahmen und Erlasse), für die Metadaten vollständig im Datenlager verfügbar sind.</w:t>
            </w:r>
          </w:p>
        </w:tc>
      </w:tr>
      <w:tr w:rsidR="0057163C" w:rsidRPr="00170422" w14:paraId="3DAB0791" w14:textId="77777777" w:rsidTr="0051146E">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B7BE" w14:textId="77777777" w:rsidR="0057163C" w:rsidRPr="00170422" w:rsidRDefault="00F37BF9">
            <w:pPr>
              <w:pStyle w:val="P68B1DB1-Normal11"/>
              <w:jc w:val="center"/>
              <w:rPr>
                <w:noProof/>
                <w:lang w:val="de-DE"/>
              </w:rPr>
            </w:pPr>
            <w:r w:rsidRPr="00170422">
              <w:rPr>
                <w:noProof/>
                <w:lang w:val="de-DE"/>
              </w:rPr>
              <w:t>M1C1-16</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FB67C" w14:textId="77777777" w:rsidR="0057163C" w:rsidRPr="00170422" w:rsidRDefault="00F37BF9">
            <w:pPr>
              <w:pStyle w:val="P68B1DB1-Normal11"/>
              <w:jc w:val="center"/>
              <w:rPr>
                <w:noProof/>
                <w:lang w:val="de-DE"/>
              </w:rPr>
            </w:pPr>
            <w:r w:rsidRPr="00170422">
              <w:rPr>
                <w:noProof/>
                <w:lang w:val="de-DE"/>
              </w:rPr>
              <w:t>Investition 1.6.5: Digitalisierung des Staatsrats</w:t>
            </w:r>
          </w:p>
        </w:tc>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8914F" w14:textId="77777777" w:rsidR="0057163C" w:rsidRPr="00170422" w:rsidRDefault="00F37BF9">
            <w:pPr>
              <w:pStyle w:val="P68B1DB1-Normal11"/>
              <w:jc w:val="center"/>
              <w:rPr>
                <w:noProof/>
                <w:lang w:val="de-DE"/>
              </w:rPr>
            </w:pPr>
            <w:r w:rsidRPr="00170422">
              <w:rPr>
                <w:noProof/>
                <w:lang w:val="de-DE"/>
              </w:rPr>
              <w:t>Ziel</w:t>
            </w:r>
          </w:p>
        </w:tc>
        <w:tc>
          <w:tcPr>
            <w:tcW w:w="19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B4A81" w14:textId="77777777" w:rsidR="0057163C" w:rsidRPr="00170422" w:rsidRDefault="00F37BF9">
            <w:pPr>
              <w:pStyle w:val="P68B1DB1-Normal11"/>
              <w:jc w:val="center"/>
              <w:rPr>
                <w:noProof/>
                <w:lang w:val="de-DE"/>
              </w:rPr>
            </w:pPr>
            <w:r w:rsidRPr="00170422">
              <w:rPr>
                <w:noProof/>
                <w:lang w:val="de-DE"/>
              </w:rPr>
              <w:t>Staatsrat – Gerichtliche Dokumente zur Auswertung im Datenlager T2 verfügbar</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F629A8" w14:textId="77777777" w:rsidR="0057163C" w:rsidRPr="00170422" w:rsidRDefault="00F37BF9">
            <w:pPr>
              <w:pStyle w:val="P68B1DB1-Normal11"/>
              <w:jc w:val="center"/>
              <w:rPr>
                <w:noProof/>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8CFFF" w14:textId="77777777" w:rsidR="0057163C" w:rsidRPr="00170422" w:rsidRDefault="00F37BF9">
            <w:pPr>
              <w:pStyle w:val="P68B1DB1-Normal11"/>
              <w:jc w:val="center"/>
              <w:rPr>
                <w:noProof/>
                <w:lang w:val="de-DE"/>
              </w:rPr>
            </w:pPr>
            <w:r w:rsidRPr="00170422">
              <w:rPr>
                <w:noProof/>
                <w:lang w:val="de-DE"/>
              </w:rPr>
              <w:t>Anzahl</w:t>
            </w:r>
          </w:p>
        </w:tc>
        <w:tc>
          <w:tcPr>
            <w:tcW w:w="14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404BCC" w14:textId="77777777" w:rsidR="0057163C" w:rsidRPr="00170422" w:rsidRDefault="00F37BF9">
            <w:pPr>
              <w:pStyle w:val="P68B1DB1-Normal11"/>
              <w:jc w:val="center"/>
              <w:rPr>
                <w:noProof/>
                <w:lang w:val="de-DE"/>
              </w:rPr>
            </w:pPr>
            <w:r w:rsidRPr="00170422">
              <w:rPr>
                <w:noProof/>
                <w:lang w:val="de-DE"/>
              </w:rPr>
              <w:t>800 000</w:t>
            </w:r>
          </w:p>
        </w:tc>
        <w:tc>
          <w:tcPr>
            <w:tcW w:w="12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A882A2" w14:textId="77777777" w:rsidR="0057163C" w:rsidRPr="00170422" w:rsidRDefault="00F37BF9">
            <w:pPr>
              <w:pStyle w:val="P68B1DB1-Normal11"/>
              <w:jc w:val="center"/>
              <w:rPr>
                <w:noProof/>
                <w:lang w:val="de-DE"/>
              </w:rPr>
            </w:pPr>
            <w:r w:rsidRPr="00170422">
              <w:rPr>
                <w:noProof/>
                <w:lang w:val="de-DE"/>
              </w:rPr>
              <w:t>2 500 000</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88386"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CAA37D" w14:textId="77777777" w:rsidR="0057163C" w:rsidRPr="00170422" w:rsidRDefault="00F37BF9">
            <w:pPr>
              <w:pStyle w:val="P68B1DB1-Normal11"/>
              <w:jc w:val="center"/>
              <w:rPr>
                <w:noProof/>
                <w:szCs w:val="20"/>
                <w:lang w:val="de-DE"/>
              </w:rPr>
            </w:pPr>
            <w:r w:rsidRPr="00170422">
              <w:rPr>
                <w:noProof/>
                <w:lang w:val="de-DE"/>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EEDD42" w14:textId="77777777" w:rsidR="0057163C" w:rsidRPr="00170422" w:rsidRDefault="00F37BF9">
            <w:pPr>
              <w:pStyle w:val="P68B1DB1-Normal12"/>
              <w:spacing w:after="120"/>
              <w:rPr>
                <w:noProof/>
                <w:lang w:val="de-DE"/>
              </w:rPr>
            </w:pPr>
            <w:r w:rsidRPr="00170422">
              <w:rPr>
                <w:noProof/>
                <w:lang w:val="de-DE"/>
              </w:rPr>
              <w:t>Zahl der Gerichtsdokumente im Zusammenhang mit dem System der Verwaltungsgerichtsbarkeit (z. B. Urteile, Stellungnahmen und Erla</w:t>
            </w:r>
            <w:r w:rsidRPr="00170422">
              <w:rPr>
                <w:noProof/>
                <w:lang w:val="de-DE"/>
              </w:rPr>
              <w:t>sse), für die Metadaten im Datenlager vollständig verfügbar sind.</w:t>
            </w:r>
          </w:p>
        </w:tc>
      </w:tr>
      <w:tr w:rsidR="0057163C" w:rsidRPr="00170422" w14:paraId="5BE708E7" w14:textId="77777777" w:rsidTr="0051146E">
        <w:trPr>
          <w:trHeight w:val="81"/>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4E104D" w14:textId="77777777" w:rsidR="0057163C" w:rsidRPr="00170422" w:rsidRDefault="00F37BF9">
            <w:pPr>
              <w:pStyle w:val="P68B1DB1-Normal11"/>
              <w:jc w:val="center"/>
              <w:rPr>
                <w:noProof/>
                <w:szCs w:val="20"/>
                <w:lang w:val="de-DE"/>
              </w:rPr>
            </w:pPr>
            <w:r w:rsidRPr="00170422">
              <w:rPr>
                <w:noProof/>
                <w:lang w:val="de-DE"/>
              </w:rPr>
              <w:t>M1C1-123</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D456E0" w14:textId="77777777" w:rsidR="0057163C" w:rsidRPr="00170422" w:rsidRDefault="00F37BF9">
            <w:pPr>
              <w:pStyle w:val="P68B1DB1-Normal11"/>
              <w:jc w:val="center"/>
              <w:rPr>
                <w:noProof/>
                <w:szCs w:val="20"/>
                <w:lang w:val="de-DE"/>
              </w:rPr>
            </w:pPr>
            <w:r w:rsidRPr="00170422">
              <w:rPr>
                <w:noProof/>
                <w:lang w:val="de-DE"/>
              </w:rPr>
              <w:t>Investition 1.6.3 – Digitalisierung der nationalen Sozialversicherungsanstalt (INPS) und des Nationalen Instituts für die Unfallversicherung (INAIL)</w:t>
            </w:r>
          </w:p>
        </w:tc>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5C7B6" w14:textId="77777777" w:rsidR="0057163C" w:rsidRPr="00170422" w:rsidRDefault="00F37BF9">
            <w:pPr>
              <w:pStyle w:val="P68B1DB1-Normal11"/>
              <w:jc w:val="center"/>
              <w:rPr>
                <w:noProof/>
                <w:szCs w:val="20"/>
                <w:lang w:val="de-DE"/>
              </w:rPr>
            </w:pPr>
            <w:r w:rsidRPr="00170422">
              <w:rPr>
                <w:noProof/>
                <w:lang w:val="de-DE"/>
              </w:rPr>
              <w:t>Ziel</w:t>
            </w:r>
          </w:p>
        </w:tc>
        <w:tc>
          <w:tcPr>
            <w:tcW w:w="19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9B602A" w14:textId="77777777" w:rsidR="0057163C" w:rsidRPr="00170422" w:rsidRDefault="00F37BF9">
            <w:pPr>
              <w:pStyle w:val="P68B1DB1-Normal11"/>
              <w:jc w:val="center"/>
              <w:rPr>
                <w:noProof/>
                <w:szCs w:val="20"/>
                <w:lang w:val="de-DE"/>
              </w:rPr>
            </w:pPr>
            <w:r w:rsidRPr="00170422">
              <w:rPr>
                <w:noProof/>
                <w:lang w:val="de-DE"/>
              </w:rPr>
              <w:t xml:space="preserve">INPS – </w:t>
            </w:r>
            <w:r w:rsidRPr="00170422">
              <w:rPr>
                <w:noProof/>
                <w:lang w:val="de-DE"/>
              </w:rPr>
              <w:t>Dienstleistungen/Inhalt T1 „ein Klick durch Technikgestaltung“</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C51D4D"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1D7FB"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C79D31" w14:textId="77777777" w:rsidR="0057163C" w:rsidRPr="00170422" w:rsidRDefault="00F37BF9">
            <w:pPr>
              <w:pStyle w:val="P68B1DB1-Normal11"/>
              <w:jc w:val="center"/>
              <w:rPr>
                <w:noProof/>
                <w:szCs w:val="20"/>
                <w:lang w:val="de-DE"/>
              </w:rPr>
            </w:pPr>
            <w:r w:rsidRPr="00170422">
              <w:rPr>
                <w:noProof/>
                <w:lang w:val="de-DE"/>
              </w:rPr>
              <w:t>0</w:t>
            </w:r>
          </w:p>
        </w:tc>
        <w:tc>
          <w:tcPr>
            <w:tcW w:w="12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E60E95" w14:textId="77777777" w:rsidR="0057163C" w:rsidRPr="00170422" w:rsidRDefault="00F37BF9">
            <w:pPr>
              <w:pStyle w:val="P68B1DB1-Normal11"/>
              <w:jc w:val="center"/>
              <w:rPr>
                <w:noProof/>
                <w:szCs w:val="20"/>
                <w:lang w:val="de-DE"/>
              </w:rPr>
            </w:pPr>
            <w:r w:rsidRPr="00170422">
              <w:rPr>
                <w:noProof/>
                <w:lang w:val="de-DE"/>
              </w:rPr>
              <w:t>35</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A434B"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8473ED" w14:textId="77777777" w:rsidR="0057163C" w:rsidRPr="00170422" w:rsidRDefault="00F37BF9">
            <w:pPr>
              <w:pStyle w:val="P68B1DB1-Normal11"/>
              <w:jc w:val="center"/>
              <w:rPr>
                <w:noProof/>
                <w:szCs w:val="20"/>
                <w:lang w:val="de-DE"/>
              </w:rPr>
            </w:pPr>
            <w:r w:rsidRPr="00170422">
              <w:rPr>
                <w:noProof/>
                <w:lang w:val="de-DE"/>
              </w:rPr>
              <w:t>2022</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604994" w14:textId="77777777" w:rsidR="0057163C" w:rsidRPr="00170422" w:rsidRDefault="00F37BF9">
            <w:pPr>
              <w:spacing w:after="120"/>
              <w:rPr>
                <w:rFonts w:ascii="Arial Narrow" w:hAnsi="Arial Narrow"/>
                <w:noProof/>
                <w:color w:val="006100"/>
                <w:sz w:val="20"/>
                <w:szCs w:val="20"/>
                <w:lang w:val="de-DE"/>
              </w:rPr>
            </w:pPr>
            <w:r w:rsidRPr="00170422">
              <w:rPr>
                <w:rFonts w:ascii="Arial Narrow" w:hAnsi="Arial Narrow"/>
                <w:noProof/>
                <w:color w:val="006100"/>
                <w:sz w:val="20"/>
                <w:szCs w:val="20"/>
                <w:lang w:val="de-DE"/>
              </w:rPr>
              <w:t>35 zusätzliche Dienste auf der institutionellen Website der INP (</w:t>
            </w:r>
            <w:hyperlink r:id="rId36">
              <w:r w:rsidR="0057163C" w:rsidRPr="00170422">
                <w:rPr>
                  <w:rStyle w:val="Hyperlink"/>
                  <w:rFonts w:ascii="Arial Narrow" w:hAnsi="Arial Narrow"/>
                  <w:noProof/>
                  <w:sz w:val="20"/>
                  <w:szCs w:val="20"/>
                  <w:lang w:val="de-DE"/>
                </w:rPr>
                <w:t>www.inps.it</w:t>
              </w:r>
            </w:hyperlink>
            <w:r w:rsidRPr="00170422">
              <w:rPr>
                <w:rFonts w:ascii="Arial Narrow" w:hAnsi="Arial Narrow"/>
                <w:noProof/>
                <w:color w:val="006100"/>
                <w:sz w:val="20"/>
                <w:szCs w:val="20"/>
                <w:lang w:val="de-DE"/>
              </w:rPr>
              <w:t>)</w:t>
            </w:r>
          </w:p>
          <w:p w14:paraId="1CF37D9F" w14:textId="77777777" w:rsidR="0057163C" w:rsidRPr="00170422" w:rsidRDefault="00F37BF9">
            <w:pPr>
              <w:pStyle w:val="P68B1DB1-Normal12"/>
              <w:spacing w:after="120"/>
              <w:rPr>
                <w:noProof/>
                <w:lang w:val="de-DE"/>
              </w:rPr>
            </w:pPr>
            <w:r w:rsidRPr="00170422">
              <w:rPr>
                <w:noProof/>
                <w:lang w:val="de-DE"/>
              </w:rPr>
              <w:t>Die Dienste müssen auf der institutio</w:t>
            </w:r>
            <w:r w:rsidRPr="00170422">
              <w:rPr>
                <w:noProof/>
                <w:lang w:val="de-DE"/>
              </w:rPr>
              <w:t>nellen Website durch eine geeignete Profilierungslogik zugänglich sein (das System wird Dienste von potenziellem Interesse auf der Grundlage des Alters, der Arbeitsmerkmale, der wahrgenommenen Vorteile und der Benutzergeschichte vorschlagen).</w:t>
            </w:r>
          </w:p>
          <w:p w14:paraId="442701D8" w14:textId="77777777" w:rsidR="0057163C" w:rsidRPr="00170422" w:rsidRDefault="00F37BF9">
            <w:pPr>
              <w:pStyle w:val="P68B1DB1-Normal11"/>
              <w:spacing w:after="120"/>
              <w:rPr>
                <w:noProof/>
                <w:szCs w:val="20"/>
                <w:lang w:val="de-DE"/>
              </w:rPr>
            </w:pPr>
            <w:r w:rsidRPr="00170422">
              <w:rPr>
                <w:noProof/>
                <w:lang w:val="de-DE"/>
              </w:rPr>
              <w:t>Die 35 Dienst</w:t>
            </w:r>
            <w:r w:rsidRPr="00170422">
              <w:rPr>
                <w:noProof/>
                <w:lang w:val="de-DE"/>
              </w:rPr>
              <w:t>leistungen beziehen sich auf die folgenden institutionellen Bereiche des INPS:</w:t>
            </w:r>
          </w:p>
          <w:p w14:paraId="277EA771" w14:textId="77777777" w:rsidR="0057163C" w:rsidRPr="00170422" w:rsidRDefault="00F37BF9">
            <w:pPr>
              <w:pStyle w:val="P68B1DB1-Normal11"/>
              <w:spacing w:after="120"/>
              <w:contextualSpacing/>
              <w:rPr>
                <w:noProof/>
                <w:szCs w:val="20"/>
                <w:lang w:val="de-DE"/>
              </w:rPr>
            </w:pPr>
            <w:r w:rsidRPr="00170422">
              <w:rPr>
                <w:noProof/>
                <w:lang w:val="de-DE"/>
              </w:rPr>
              <w:t>•Rentenleistungen</w:t>
            </w:r>
          </w:p>
          <w:p w14:paraId="40EA6A13" w14:textId="77777777" w:rsidR="0057163C" w:rsidRPr="00170422" w:rsidRDefault="00F37BF9">
            <w:pPr>
              <w:pStyle w:val="P68B1DB1-Normal11"/>
              <w:spacing w:after="120"/>
              <w:contextualSpacing/>
              <w:rPr>
                <w:noProof/>
                <w:szCs w:val="20"/>
                <w:lang w:val="de-DE"/>
              </w:rPr>
            </w:pPr>
            <w:r w:rsidRPr="00170422">
              <w:rPr>
                <w:noProof/>
                <w:lang w:val="de-DE"/>
              </w:rPr>
              <w:t>•Sozialschock-Absorber</w:t>
            </w:r>
          </w:p>
          <w:p w14:paraId="7BF43470" w14:textId="77777777" w:rsidR="0057163C" w:rsidRPr="00170422" w:rsidRDefault="00F37BF9">
            <w:pPr>
              <w:pStyle w:val="P68B1DB1-Normal11"/>
              <w:spacing w:after="120"/>
              <w:contextualSpacing/>
              <w:rPr>
                <w:noProof/>
                <w:szCs w:val="20"/>
                <w:lang w:val="de-DE"/>
              </w:rPr>
            </w:pPr>
            <w:r w:rsidRPr="00170422">
              <w:rPr>
                <w:noProof/>
                <w:lang w:val="de-DE"/>
              </w:rPr>
              <w:t>•Leistungen bei Arbeitslosigkeit</w:t>
            </w:r>
          </w:p>
          <w:p w14:paraId="628CAF36" w14:textId="77777777" w:rsidR="0057163C" w:rsidRPr="00170422" w:rsidRDefault="00F37BF9">
            <w:pPr>
              <w:pStyle w:val="P68B1DB1-Normal11"/>
              <w:spacing w:after="120"/>
              <w:contextualSpacing/>
              <w:rPr>
                <w:noProof/>
                <w:szCs w:val="20"/>
                <w:lang w:val="de-DE"/>
              </w:rPr>
            </w:pPr>
            <w:r w:rsidRPr="00170422">
              <w:rPr>
                <w:noProof/>
                <w:lang w:val="de-DE"/>
              </w:rPr>
              <w:t>•Behinderungsleistungen</w:t>
            </w:r>
          </w:p>
          <w:p w14:paraId="4A2A94A4" w14:textId="77777777" w:rsidR="0057163C" w:rsidRPr="00170422" w:rsidRDefault="00F37BF9">
            <w:pPr>
              <w:pStyle w:val="P68B1DB1-Normal11"/>
              <w:spacing w:after="120"/>
              <w:contextualSpacing/>
              <w:rPr>
                <w:noProof/>
                <w:szCs w:val="20"/>
                <w:lang w:val="de-DE"/>
              </w:rPr>
            </w:pPr>
            <w:r w:rsidRPr="00170422">
              <w:rPr>
                <w:noProof/>
                <w:lang w:val="de-DE"/>
              </w:rPr>
              <w:t>•Entlassungen</w:t>
            </w:r>
          </w:p>
          <w:p w14:paraId="5E95323D" w14:textId="77777777" w:rsidR="0057163C" w:rsidRPr="00170422" w:rsidRDefault="00F37BF9">
            <w:pPr>
              <w:pStyle w:val="P68B1DB1-Normal11"/>
              <w:spacing w:after="120"/>
              <w:contextualSpacing/>
              <w:rPr>
                <w:noProof/>
                <w:szCs w:val="20"/>
                <w:lang w:val="de-DE"/>
              </w:rPr>
            </w:pPr>
            <w:r w:rsidRPr="00170422">
              <w:rPr>
                <w:noProof/>
                <w:lang w:val="de-DE"/>
              </w:rPr>
              <w:t>•Einziehung von Unternehmensbeiträgen</w:t>
            </w:r>
          </w:p>
          <w:p w14:paraId="1CB5461F" w14:textId="77777777" w:rsidR="0057163C" w:rsidRPr="00170422" w:rsidRDefault="00F37BF9">
            <w:pPr>
              <w:pStyle w:val="P68B1DB1-Normal11"/>
              <w:spacing w:after="120"/>
              <w:contextualSpacing/>
              <w:rPr>
                <w:noProof/>
                <w:szCs w:val="20"/>
                <w:lang w:val="de-DE"/>
              </w:rPr>
            </w:pPr>
            <w:r w:rsidRPr="00170422">
              <w:rPr>
                <w:noProof/>
                <w:lang w:val="de-DE"/>
              </w:rPr>
              <w:t>•Dienstleistungen von Arbei</w:t>
            </w:r>
            <w:r w:rsidRPr="00170422">
              <w:rPr>
                <w:noProof/>
                <w:lang w:val="de-DE"/>
              </w:rPr>
              <w:t>tskräften in der Landwirtschaft</w:t>
            </w:r>
          </w:p>
          <w:p w14:paraId="714FE5AE" w14:textId="77777777" w:rsidR="0057163C" w:rsidRPr="00170422" w:rsidRDefault="00F37BF9">
            <w:pPr>
              <w:pStyle w:val="P68B1DB1-Normal12"/>
              <w:spacing w:after="120"/>
              <w:rPr>
                <w:noProof/>
                <w:lang w:val="de-DE"/>
              </w:rPr>
            </w:pPr>
            <w:r w:rsidRPr="00170422">
              <w:rPr>
                <w:noProof/>
                <w:lang w:val="de-DE"/>
              </w:rPr>
              <w:t>•Betrugsbekämpfungs-, Korruptions- und Transparenzdienste</w:t>
            </w:r>
          </w:p>
          <w:p w14:paraId="212B3CEC" w14:textId="77777777" w:rsidR="0057163C" w:rsidRPr="00170422" w:rsidRDefault="00F37BF9">
            <w:pPr>
              <w:pStyle w:val="P68B1DB1-Normal11"/>
              <w:spacing w:before="120" w:after="120"/>
              <w:rPr>
                <w:noProof/>
                <w:szCs w:val="20"/>
                <w:lang w:val="de-DE"/>
              </w:rPr>
            </w:pPr>
            <w:r w:rsidRPr="00170422">
              <w:rPr>
                <w:noProof/>
                <w:lang w:val="de-DE"/>
              </w:rPr>
              <w:t>In den aufgeführten institutionellen Bereichen werden die Dienste, die eingeführt werden sollen, die digitale Einreichung von Anträgen auf Dienstleistungen, die Überp</w:t>
            </w:r>
            <w:r w:rsidRPr="00170422">
              <w:rPr>
                <w:noProof/>
                <w:lang w:val="de-DE"/>
              </w:rPr>
              <w:t>rüfung der Voraussetzungen für den Nutzen, die Überwachung des Status der Nutzer in Bezug auf die Praxis, den proaktiven Vorschlag von Diensten auf der Grundlage der Bedürfnisse der Nutzer und die automatische Verlängerung der Vorteile ohne neue Anwendunge</w:t>
            </w:r>
            <w:r w:rsidRPr="00170422">
              <w:rPr>
                <w:noProof/>
                <w:lang w:val="de-DE"/>
              </w:rPr>
              <w:t>n betreffen.</w:t>
            </w:r>
          </w:p>
          <w:p w14:paraId="12CCF531" w14:textId="77777777" w:rsidR="0057163C" w:rsidRPr="00170422" w:rsidRDefault="00F37BF9">
            <w:pPr>
              <w:pStyle w:val="P68B1DB1-Normal12"/>
              <w:spacing w:after="120"/>
              <w:rPr>
                <w:noProof/>
                <w:lang w:val="de-DE"/>
              </w:rPr>
            </w:pPr>
            <w:r w:rsidRPr="00170422">
              <w:rPr>
                <w:noProof/>
                <w:lang w:val="de-DE"/>
              </w:rPr>
              <w:t>Schließlich werden Monitoring-Dashboards eingerichtet, die sowohl die Überwachung der erbrachten Vorteile durch das INPS als auch die datengestützte Unterstützung der politischen Entscheidungsträger ermöglichen.</w:t>
            </w:r>
          </w:p>
        </w:tc>
      </w:tr>
      <w:tr w:rsidR="0057163C" w:rsidRPr="00170422" w14:paraId="09E46D22" w14:textId="77777777" w:rsidTr="0051146E">
        <w:trPr>
          <w:trHeight w:val="309"/>
        </w:trPr>
        <w:tc>
          <w:tcPr>
            <w:tcW w:w="1087" w:type="dxa"/>
            <w:shd w:val="clear" w:color="auto" w:fill="C6EFCE"/>
            <w:noWrap/>
            <w:vAlign w:val="center"/>
          </w:tcPr>
          <w:p w14:paraId="494D7749" w14:textId="77777777" w:rsidR="0057163C" w:rsidRPr="00170422" w:rsidRDefault="00F37BF9">
            <w:pPr>
              <w:pStyle w:val="P68B1DB1-Normal11"/>
              <w:jc w:val="center"/>
              <w:rPr>
                <w:noProof/>
                <w:szCs w:val="20"/>
                <w:lang w:val="de-DE"/>
              </w:rPr>
            </w:pPr>
            <w:r w:rsidRPr="00170422">
              <w:rPr>
                <w:noProof/>
                <w:lang w:val="de-DE"/>
              </w:rPr>
              <w:t>M1C1-124</w:t>
            </w:r>
          </w:p>
        </w:tc>
        <w:tc>
          <w:tcPr>
            <w:tcW w:w="1943" w:type="dxa"/>
            <w:shd w:val="clear" w:color="auto" w:fill="C6EFCE"/>
            <w:noWrap/>
            <w:vAlign w:val="center"/>
          </w:tcPr>
          <w:p w14:paraId="3BE5FE8A" w14:textId="77777777" w:rsidR="0057163C" w:rsidRPr="00170422" w:rsidRDefault="00F37BF9">
            <w:pPr>
              <w:pStyle w:val="P68B1DB1-Normal11"/>
              <w:jc w:val="center"/>
              <w:rPr>
                <w:noProof/>
                <w:szCs w:val="20"/>
                <w:lang w:val="de-DE"/>
              </w:rPr>
            </w:pPr>
            <w:r w:rsidRPr="00170422">
              <w:rPr>
                <w:noProof/>
                <w:lang w:val="de-DE"/>
              </w:rPr>
              <w:t xml:space="preserve">Investition 1.6.3 – </w:t>
            </w:r>
            <w:r w:rsidRPr="00170422">
              <w:rPr>
                <w:noProof/>
                <w:lang w:val="de-DE"/>
              </w:rPr>
              <w:t>Digitalisierung der nationalen Sozialversicherungsanstalt (INPS) und des Nationalen Instituts für die Unfallversicherung (INAIL)</w:t>
            </w:r>
          </w:p>
        </w:tc>
        <w:tc>
          <w:tcPr>
            <w:tcW w:w="1176" w:type="dxa"/>
            <w:shd w:val="clear" w:color="auto" w:fill="C6EFCE"/>
            <w:noWrap/>
            <w:vAlign w:val="center"/>
          </w:tcPr>
          <w:p w14:paraId="0162D7DE"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48000A0F" w14:textId="77777777" w:rsidR="0057163C" w:rsidRPr="00170422" w:rsidRDefault="00F37BF9">
            <w:pPr>
              <w:pStyle w:val="P68B1DB1-Normal11"/>
              <w:jc w:val="center"/>
              <w:rPr>
                <w:noProof/>
                <w:szCs w:val="20"/>
                <w:lang w:val="de-DE"/>
              </w:rPr>
            </w:pPr>
            <w:r w:rsidRPr="00170422">
              <w:rPr>
                <w:noProof/>
                <w:lang w:val="de-DE"/>
              </w:rPr>
              <w:t>INPS – Arbeitnehmer mit verbesserten Kenntnissen im Bereich der Informations- und Kommunikationstechnologien (IKT) T1</w:t>
            </w:r>
          </w:p>
        </w:tc>
        <w:tc>
          <w:tcPr>
            <w:tcW w:w="1701" w:type="dxa"/>
            <w:shd w:val="clear" w:color="auto" w:fill="C6EFCE"/>
            <w:noWrap/>
            <w:vAlign w:val="center"/>
          </w:tcPr>
          <w:p w14:paraId="448EB3F2" w14:textId="77777777" w:rsidR="0057163C" w:rsidRPr="00170422" w:rsidRDefault="00F37BF9">
            <w:pPr>
              <w:pStyle w:val="P68B1DB1-Normal11"/>
              <w:jc w:val="center"/>
              <w:rPr>
                <w:noProof/>
                <w:szCs w:val="20"/>
                <w:lang w:val="de-DE"/>
              </w:rPr>
            </w:pPr>
            <w:r w:rsidRPr="00170422">
              <w:rPr>
                <w:noProof/>
                <w:lang w:val="de-DE"/>
              </w:rPr>
              <w:t>ENTF</w:t>
            </w:r>
            <w:r w:rsidRPr="00170422">
              <w:rPr>
                <w:noProof/>
                <w:lang w:val="de-DE"/>
              </w:rPr>
              <w:t>ÄLLT.</w:t>
            </w:r>
          </w:p>
        </w:tc>
        <w:tc>
          <w:tcPr>
            <w:tcW w:w="1134" w:type="dxa"/>
            <w:shd w:val="clear" w:color="auto" w:fill="C6EFCE"/>
            <w:noWrap/>
            <w:vAlign w:val="center"/>
          </w:tcPr>
          <w:p w14:paraId="319A2FB2"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03247EE8"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2A254973" w14:textId="77777777" w:rsidR="0057163C" w:rsidRPr="00170422" w:rsidRDefault="00F37BF9">
            <w:pPr>
              <w:pStyle w:val="P68B1DB1-Normal11"/>
              <w:jc w:val="center"/>
              <w:rPr>
                <w:noProof/>
                <w:szCs w:val="20"/>
                <w:lang w:val="de-DE"/>
              </w:rPr>
            </w:pPr>
            <w:r w:rsidRPr="00170422">
              <w:rPr>
                <w:noProof/>
                <w:lang w:val="de-DE"/>
              </w:rPr>
              <w:t>4 250</w:t>
            </w:r>
          </w:p>
        </w:tc>
        <w:tc>
          <w:tcPr>
            <w:tcW w:w="793" w:type="dxa"/>
            <w:shd w:val="clear" w:color="auto" w:fill="C6EFCE"/>
            <w:noWrap/>
            <w:vAlign w:val="center"/>
          </w:tcPr>
          <w:p w14:paraId="737F78F9"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7C50E223" w14:textId="77777777" w:rsidR="0057163C" w:rsidRPr="00170422" w:rsidRDefault="00F37BF9">
            <w:pPr>
              <w:pStyle w:val="P68B1DB1-Normal11"/>
              <w:jc w:val="center"/>
              <w:rPr>
                <w:noProof/>
                <w:szCs w:val="20"/>
                <w:lang w:val="de-DE"/>
              </w:rPr>
            </w:pPr>
            <w:r w:rsidRPr="00170422">
              <w:rPr>
                <w:noProof/>
                <w:lang w:val="de-DE"/>
              </w:rPr>
              <w:t>2022</w:t>
            </w:r>
          </w:p>
        </w:tc>
        <w:tc>
          <w:tcPr>
            <w:tcW w:w="2584" w:type="dxa"/>
            <w:shd w:val="clear" w:color="auto" w:fill="C6EFCE"/>
            <w:noWrap/>
            <w:vAlign w:val="center"/>
          </w:tcPr>
          <w:p w14:paraId="46005851" w14:textId="77777777" w:rsidR="0057163C" w:rsidRPr="00170422" w:rsidRDefault="00F37BF9">
            <w:pPr>
              <w:pStyle w:val="P68B1DB1-Normal12"/>
              <w:spacing w:after="120"/>
              <w:rPr>
                <w:noProof/>
                <w:lang w:val="de-DE"/>
              </w:rPr>
            </w:pPr>
            <w:r w:rsidRPr="00170422">
              <w:rPr>
                <w:noProof/>
                <w:lang w:val="de-DE"/>
              </w:rPr>
              <w:t>Mindestens 4250 INPS-Mitarbeiter wurden in Bezug auf ihre Informationen und mit zertifizierten verbesserten Kompetenzen in den folgenden Bereichen des europäischen Rahmens für elektronische Kompetenzen bewertet: I) Plan</w:t>
            </w:r>
            <w:r w:rsidRPr="00170422">
              <w:rPr>
                <w:noProof/>
                <w:lang w:val="de-DE"/>
              </w:rPr>
              <w:t>; II) Build; III) Run (iv) Enable; V) Verwaltung.</w:t>
            </w:r>
          </w:p>
          <w:p w14:paraId="16490228" w14:textId="77777777" w:rsidR="0057163C" w:rsidRPr="00170422" w:rsidRDefault="00F37BF9">
            <w:pPr>
              <w:pStyle w:val="P68B1DB1-Normal12"/>
              <w:spacing w:after="120"/>
              <w:rPr>
                <w:noProof/>
                <w:lang w:val="de-DE"/>
              </w:rPr>
            </w:pPr>
            <w:r w:rsidRPr="00170422">
              <w:rPr>
                <w:noProof/>
                <w:lang w:val="de-DE"/>
              </w:rPr>
              <w:t>Die Bereiche für die Verbesserung der Kompetenzen werden nach der Zielgruppe der Lernenden festgelegt.</w:t>
            </w:r>
          </w:p>
        </w:tc>
      </w:tr>
      <w:tr w:rsidR="0057163C" w:rsidRPr="00170422" w14:paraId="51709874" w14:textId="77777777" w:rsidTr="0051146E">
        <w:trPr>
          <w:trHeight w:val="309"/>
        </w:trPr>
        <w:tc>
          <w:tcPr>
            <w:tcW w:w="1087" w:type="dxa"/>
            <w:shd w:val="clear" w:color="auto" w:fill="C6EFCE"/>
            <w:noWrap/>
            <w:vAlign w:val="center"/>
          </w:tcPr>
          <w:p w14:paraId="1B3B7876" w14:textId="77777777" w:rsidR="0057163C" w:rsidRPr="00170422" w:rsidRDefault="00F37BF9">
            <w:pPr>
              <w:pStyle w:val="P68B1DB1-Normal11"/>
              <w:jc w:val="center"/>
              <w:rPr>
                <w:noProof/>
                <w:szCs w:val="20"/>
                <w:lang w:val="de-DE"/>
              </w:rPr>
            </w:pPr>
            <w:r w:rsidRPr="00170422">
              <w:rPr>
                <w:noProof/>
                <w:lang w:val="de-DE"/>
              </w:rPr>
              <w:t>M1C1-125</w:t>
            </w:r>
          </w:p>
        </w:tc>
        <w:tc>
          <w:tcPr>
            <w:tcW w:w="1943" w:type="dxa"/>
            <w:shd w:val="clear" w:color="auto" w:fill="C6EFCE"/>
            <w:noWrap/>
            <w:vAlign w:val="center"/>
          </w:tcPr>
          <w:p w14:paraId="538908CE" w14:textId="77777777" w:rsidR="0057163C" w:rsidRPr="00170422" w:rsidRDefault="00F37BF9">
            <w:pPr>
              <w:pStyle w:val="P68B1DB1-Normal11"/>
              <w:jc w:val="center"/>
              <w:rPr>
                <w:noProof/>
                <w:szCs w:val="20"/>
                <w:lang w:val="de-DE"/>
              </w:rPr>
            </w:pPr>
            <w:r w:rsidRPr="00170422">
              <w:rPr>
                <w:noProof/>
                <w:lang w:val="de-DE"/>
              </w:rPr>
              <w:t>Investition 1.2 – Cloud-Ermöglichung für lokale PA</w:t>
            </w:r>
          </w:p>
        </w:tc>
        <w:tc>
          <w:tcPr>
            <w:tcW w:w="1176" w:type="dxa"/>
            <w:shd w:val="clear" w:color="auto" w:fill="C6EFCE"/>
            <w:noWrap/>
            <w:vAlign w:val="center"/>
          </w:tcPr>
          <w:p w14:paraId="4B239AAE" w14:textId="77777777" w:rsidR="0057163C" w:rsidRPr="00170422" w:rsidRDefault="00F37BF9">
            <w:pPr>
              <w:pStyle w:val="P68B1DB1-Normal11"/>
              <w:jc w:val="center"/>
              <w:rPr>
                <w:noProof/>
                <w:szCs w:val="20"/>
                <w:lang w:val="de-DE"/>
              </w:rPr>
            </w:pPr>
            <w:r w:rsidRPr="00170422">
              <w:rPr>
                <w:noProof/>
                <w:lang w:val="de-DE"/>
              </w:rPr>
              <w:t>Meilenstein</w:t>
            </w:r>
          </w:p>
        </w:tc>
        <w:tc>
          <w:tcPr>
            <w:tcW w:w="1942" w:type="dxa"/>
            <w:shd w:val="clear" w:color="auto" w:fill="C6EFCE"/>
            <w:noWrap/>
            <w:vAlign w:val="center"/>
          </w:tcPr>
          <w:p w14:paraId="2FF1E8DE" w14:textId="77777777" w:rsidR="0057163C" w:rsidRPr="00170422" w:rsidRDefault="00F37BF9">
            <w:pPr>
              <w:pStyle w:val="P68B1DB1-Normal11"/>
              <w:jc w:val="center"/>
              <w:rPr>
                <w:noProof/>
                <w:szCs w:val="20"/>
                <w:lang w:val="de-DE"/>
              </w:rPr>
            </w:pPr>
            <w:r w:rsidRPr="00170422">
              <w:rPr>
                <w:noProof/>
                <w:lang w:val="de-DE"/>
              </w:rPr>
              <w:t xml:space="preserve">Vergabe (aller) öffentlicher </w:t>
            </w:r>
            <w:r w:rsidRPr="00170422">
              <w:rPr>
                <w:noProof/>
                <w:lang w:val="de-DE"/>
              </w:rPr>
              <w:t>Ausschreibungen für Cloud-Möglichkeiten für Ausschreibungen der lokalen öffentlichen Verwaltung</w:t>
            </w:r>
          </w:p>
        </w:tc>
        <w:tc>
          <w:tcPr>
            <w:tcW w:w="1701" w:type="dxa"/>
            <w:shd w:val="clear" w:color="auto" w:fill="C6EFCE"/>
            <w:noWrap/>
            <w:vAlign w:val="center"/>
          </w:tcPr>
          <w:p w14:paraId="6E7F5673" w14:textId="77777777" w:rsidR="0057163C" w:rsidRPr="00170422" w:rsidRDefault="00F37BF9">
            <w:pPr>
              <w:pStyle w:val="P68B1DB1-Normal11"/>
              <w:jc w:val="center"/>
              <w:rPr>
                <w:noProof/>
                <w:szCs w:val="20"/>
                <w:lang w:val="de-DE"/>
              </w:rPr>
            </w:pPr>
            <w:r w:rsidRPr="00170422">
              <w:rPr>
                <w:noProof/>
                <w:lang w:val="de-DE"/>
              </w:rPr>
              <w:t>Mitteilung über die Vergabe (aller) öffentlicher Aufträge für Cloud-Möglichkeiten für Ausschreibungen der lokalen öffentlichen Verwaltung</w:t>
            </w:r>
          </w:p>
        </w:tc>
        <w:tc>
          <w:tcPr>
            <w:tcW w:w="1134" w:type="dxa"/>
            <w:shd w:val="clear" w:color="auto" w:fill="C6EFCE"/>
            <w:noWrap/>
            <w:vAlign w:val="center"/>
          </w:tcPr>
          <w:p w14:paraId="262476C2" w14:textId="77777777" w:rsidR="0057163C" w:rsidRPr="00170422" w:rsidRDefault="00F37BF9">
            <w:pPr>
              <w:pStyle w:val="P68B1DB1-Normal11"/>
              <w:jc w:val="center"/>
              <w:rPr>
                <w:noProof/>
                <w:szCs w:val="20"/>
                <w:lang w:val="de-DE"/>
              </w:rPr>
            </w:pPr>
            <w:r w:rsidRPr="00170422">
              <w:rPr>
                <w:noProof/>
                <w:lang w:val="de-DE"/>
              </w:rPr>
              <w:t>ENTFÄLLT.</w:t>
            </w:r>
          </w:p>
        </w:tc>
        <w:tc>
          <w:tcPr>
            <w:tcW w:w="1460" w:type="dxa"/>
            <w:shd w:val="clear" w:color="auto" w:fill="C6EFCE"/>
            <w:noWrap/>
            <w:vAlign w:val="center"/>
          </w:tcPr>
          <w:p w14:paraId="5FECC96A" w14:textId="77777777" w:rsidR="0057163C" w:rsidRPr="00170422" w:rsidRDefault="00F37BF9">
            <w:pPr>
              <w:pStyle w:val="P68B1DB1-Normal11"/>
              <w:jc w:val="center"/>
              <w:rPr>
                <w:noProof/>
                <w:szCs w:val="20"/>
                <w:lang w:val="de-DE"/>
              </w:rPr>
            </w:pPr>
            <w:r w:rsidRPr="00170422">
              <w:rPr>
                <w:noProof/>
                <w:lang w:val="de-DE"/>
              </w:rPr>
              <w:t>ENTFÄLLT.</w:t>
            </w:r>
          </w:p>
        </w:tc>
        <w:tc>
          <w:tcPr>
            <w:tcW w:w="1233" w:type="dxa"/>
            <w:shd w:val="clear" w:color="auto" w:fill="C6EFCE"/>
            <w:noWrap/>
            <w:vAlign w:val="center"/>
          </w:tcPr>
          <w:p w14:paraId="19F7D8A7" w14:textId="77777777" w:rsidR="0057163C" w:rsidRPr="00170422" w:rsidRDefault="00F37BF9">
            <w:pPr>
              <w:pStyle w:val="P68B1DB1-Normal11"/>
              <w:jc w:val="center"/>
              <w:rPr>
                <w:noProof/>
                <w:szCs w:val="20"/>
                <w:lang w:val="de-DE"/>
              </w:rPr>
            </w:pPr>
            <w:r w:rsidRPr="00170422">
              <w:rPr>
                <w:noProof/>
                <w:lang w:val="de-DE"/>
              </w:rPr>
              <w:t>EN</w:t>
            </w:r>
            <w:r w:rsidRPr="00170422">
              <w:rPr>
                <w:noProof/>
                <w:lang w:val="de-DE"/>
              </w:rPr>
              <w:t>TFÄLLT.</w:t>
            </w:r>
          </w:p>
        </w:tc>
        <w:tc>
          <w:tcPr>
            <w:tcW w:w="793" w:type="dxa"/>
            <w:shd w:val="clear" w:color="auto" w:fill="C6EFCE"/>
            <w:noWrap/>
            <w:vAlign w:val="center"/>
          </w:tcPr>
          <w:p w14:paraId="543F3CC8" w14:textId="77777777" w:rsidR="0057163C" w:rsidRPr="00170422" w:rsidRDefault="00F37BF9">
            <w:pPr>
              <w:pStyle w:val="P68B1DB1-Normal11"/>
              <w:jc w:val="center"/>
              <w:rPr>
                <w:noProof/>
                <w:szCs w:val="20"/>
                <w:lang w:val="de-DE"/>
              </w:rPr>
            </w:pPr>
            <w:r w:rsidRPr="00170422">
              <w:rPr>
                <w:noProof/>
                <w:lang w:val="de-DE"/>
              </w:rPr>
              <w:t>Q1</w:t>
            </w:r>
          </w:p>
        </w:tc>
        <w:tc>
          <w:tcPr>
            <w:tcW w:w="625" w:type="dxa"/>
            <w:shd w:val="clear" w:color="auto" w:fill="C6EFCE"/>
            <w:noWrap/>
            <w:vAlign w:val="center"/>
          </w:tcPr>
          <w:p w14:paraId="190BB4C0"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7121F965" w14:textId="77777777" w:rsidR="0057163C" w:rsidRPr="00170422" w:rsidRDefault="00F37BF9">
            <w:pPr>
              <w:pStyle w:val="P68B1DB1-Normal12"/>
              <w:spacing w:after="120"/>
              <w:rPr>
                <w:noProof/>
                <w:lang w:val="de-DE"/>
              </w:rPr>
            </w:pPr>
            <w:r w:rsidRPr="00170422">
              <w:rPr>
                <w:noProof/>
                <w:lang w:val="de-DE"/>
              </w:rPr>
              <w:t>Benachrichtigung über die Vergabe (aller) öffentlicher Aufforderungen zur Einreichung von Vorschlägen für jede Art von öffentlicher Verwaltung (Gemeinden, Schulen, lokale Gesundheitsagenturen) zur Sammlung und Bewertung von Migrationsplänen</w:t>
            </w:r>
            <w:r w:rsidRPr="00170422">
              <w:rPr>
                <w:noProof/>
                <w:lang w:val="de-DE"/>
              </w:rPr>
              <w:t>. Die Veröffentlichung von drei speziellen Aufforderungen zur Einreichung von Vorschlägen soll es dem Ministerium für technologische Innovation und digitalen Wandel ermöglichen, die sehr spezifischen Bedürfnisse jeder Art der beteiligten öffentlichen Verwa</w:t>
            </w:r>
            <w:r w:rsidRPr="00170422">
              <w:rPr>
                <w:noProof/>
                <w:lang w:val="de-DE"/>
              </w:rPr>
              <w:t>ltung zu bewerten.</w:t>
            </w:r>
          </w:p>
          <w:p w14:paraId="3F699B1E" w14:textId="77777777" w:rsidR="0057163C" w:rsidRPr="00170422" w:rsidRDefault="00F37BF9">
            <w:pPr>
              <w:pStyle w:val="P68B1DB1-Normal11"/>
              <w:spacing w:after="120"/>
              <w:rPr>
                <w:noProof/>
                <w:szCs w:val="20"/>
                <w:lang w:val="de-DE"/>
              </w:rPr>
            </w:pPr>
            <w:r w:rsidRPr="00170422">
              <w:rPr>
                <w:noProof/>
                <w:lang w:val="de-DE"/>
              </w:rPr>
              <w:t xml:space="preserve">Vergebene Ausschreibungen (d. h. Veröffentlichung der Liste der öffentlichen Verwaltungen, die zur Finanzierung zugelassen sind) im Zusammenhang mit drei öffentlichen Aufforderungen zur Einreichung von Vorschlägen für Gemeinden, Schulen </w:t>
            </w:r>
            <w:r w:rsidRPr="00170422">
              <w:rPr>
                <w:noProof/>
                <w:lang w:val="de-DE"/>
              </w:rPr>
              <w:t>und lokale Gesundheitsagenturen zur Sammlung und Bewertung von Migrationsplänen im Einklang mit den technischen Leitlinien „Vermeidung erheblicher Beeinträchtigungen“ (2021/C58/01) durch Verwendung einer Ausschlussliste und der Anforderung der Einhaltung d</w:t>
            </w:r>
            <w:r w:rsidRPr="00170422">
              <w:rPr>
                <w:noProof/>
                <w:lang w:val="de-DE"/>
              </w:rPr>
              <w:t>er einschlägigen EU- und nationalen Umweltvorschriften.</w:t>
            </w:r>
          </w:p>
        </w:tc>
      </w:tr>
      <w:tr w:rsidR="0057163C" w:rsidRPr="00170422" w14:paraId="79DDC58D" w14:textId="77777777" w:rsidTr="0051146E">
        <w:trPr>
          <w:trHeight w:val="309"/>
        </w:trPr>
        <w:tc>
          <w:tcPr>
            <w:tcW w:w="1087" w:type="dxa"/>
            <w:shd w:val="clear" w:color="auto" w:fill="C6EFCE"/>
            <w:noWrap/>
            <w:vAlign w:val="center"/>
          </w:tcPr>
          <w:p w14:paraId="679569B6" w14:textId="77777777" w:rsidR="0057163C" w:rsidRPr="00170422" w:rsidRDefault="00F37BF9">
            <w:pPr>
              <w:pStyle w:val="P68B1DB1-Normal11"/>
              <w:jc w:val="center"/>
              <w:rPr>
                <w:noProof/>
                <w:szCs w:val="20"/>
                <w:lang w:val="de-DE"/>
              </w:rPr>
            </w:pPr>
            <w:r w:rsidRPr="00170422">
              <w:rPr>
                <w:noProof/>
                <w:lang w:val="de-DE"/>
              </w:rPr>
              <w:t>M1C1-126</w:t>
            </w:r>
          </w:p>
        </w:tc>
        <w:tc>
          <w:tcPr>
            <w:tcW w:w="1943" w:type="dxa"/>
            <w:shd w:val="clear" w:color="auto" w:fill="C6EFCE"/>
            <w:noWrap/>
            <w:vAlign w:val="center"/>
          </w:tcPr>
          <w:p w14:paraId="6A056792" w14:textId="77777777" w:rsidR="0057163C" w:rsidRPr="00170422" w:rsidRDefault="00F37BF9">
            <w:pPr>
              <w:pStyle w:val="P68B1DB1-Normal12"/>
              <w:jc w:val="center"/>
              <w:rPr>
                <w:noProof/>
                <w:lang w:val="de-DE"/>
              </w:rPr>
            </w:pPr>
            <w:r w:rsidRPr="00170422">
              <w:rPr>
                <w:noProof/>
                <w:lang w:val="de-DE"/>
              </w:rPr>
              <w:t>Investition 1.4.3 – Ausbau der PagoPA-Plattformdienste und der „IO“-App</w:t>
            </w:r>
          </w:p>
        </w:tc>
        <w:tc>
          <w:tcPr>
            <w:tcW w:w="1176" w:type="dxa"/>
            <w:shd w:val="clear" w:color="auto" w:fill="C6EFCE"/>
            <w:noWrap/>
            <w:vAlign w:val="center"/>
          </w:tcPr>
          <w:p w14:paraId="6C6340ED"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36BEABB9" w14:textId="77777777" w:rsidR="0057163C" w:rsidRPr="00170422" w:rsidRDefault="00F37BF9">
            <w:pPr>
              <w:pStyle w:val="P68B1DB1-Normal12"/>
              <w:jc w:val="center"/>
              <w:rPr>
                <w:noProof/>
                <w:lang w:val="de-DE"/>
              </w:rPr>
            </w:pPr>
            <w:r w:rsidRPr="00170422">
              <w:rPr>
                <w:noProof/>
                <w:lang w:val="de-DE"/>
              </w:rPr>
              <w:t>Ausbau der PagoPA-Plattformdienste T1</w:t>
            </w:r>
          </w:p>
        </w:tc>
        <w:tc>
          <w:tcPr>
            <w:tcW w:w="1701" w:type="dxa"/>
            <w:shd w:val="clear" w:color="auto" w:fill="C6EFCE"/>
            <w:noWrap/>
            <w:vAlign w:val="center"/>
          </w:tcPr>
          <w:p w14:paraId="4BCEBA23"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54C7BA10"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0D39E07E" w14:textId="77777777" w:rsidR="0057163C" w:rsidRPr="00170422" w:rsidRDefault="00F37BF9">
            <w:pPr>
              <w:pStyle w:val="P68B1DB1-Normal11"/>
              <w:jc w:val="center"/>
              <w:rPr>
                <w:noProof/>
                <w:szCs w:val="20"/>
                <w:lang w:val="de-DE"/>
              </w:rPr>
            </w:pPr>
            <w:r w:rsidRPr="00170422">
              <w:rPr>
                <w:noProof/>
                <w:lang w:val="de-DE"/>
              </w:rPr>
              <w:t>9 000</w:t>
            </w:r>
          </w:p>
        </w:tc>
        <w:tc>
          <w:tcPr>
            <w:tcW w:w="1233" w:type="dxa"/>
            <w:shd w:val="clear" w:color="auto" w:fill="C6EFCE"/>
            <w:noWrap/>
            <w:vAlign w:val="center"/>
          </w:tcPr>
          <w:p w14:paraId="0065EBBD" w14:textId="77777777" w:rsidR="0057163C" w:rsidRPr="00170422" w:rsidRDefault="00F37BF9">
            <w:pPr>
              <w:pStyle w:val="P68B1DB1-Normal11"/>
              <w:jc w:val="center"/>
              <w:rPr>
                <w:noProof/>
                <w:szCs w:val="20"/>
                <w:lang w:val="de-DE"/>
              </w:rPr>
            </w:pPr>
            <w:r w:rsidRPr="00170422">
              <w:rPr>
                <w:noProof/>
                <w:lang w:val="de-DE"/>
              </w:rPr>
              <w:t xml:space="preserve">11 450 </w:t>
            </w:r>
          </w:p>
        </w:tc>
        <w:tc>
          <w:tcPr>
            <w:tcW w:w="793" w:type="dxa"/>
            <w:shd w:val="clear" w:color="auto" w:fill="C6EFCE"/>
            <w:noWrap/>
            <w:vAlign w:val="center"/>
          </w:tcPr>
          <w:p w14:paraId="61115A58"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71C3D402"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00A94A7D" w14:textId="77777777" w:rsidR="0057163C" w:rsidRPr="00170422" w:rsidRDefault="00F37BF9">
            <w:pPr>
              <w:pStyle w:val="P68B1DB1-Normal11"/>
              <w:spacing w:after="120"/>
              <w:rPr>
                <w:noProof/>
                <w:szCs w:val="20"/>
                <w:lang w:val="de-DE"/>
              </w:rPr>
            </w:pPr>
            <w:r w:rsidRPr="00170422">
              <w:rPr>
                <w:noProof/>
                <w:lang w:val="de-DE"/>
              </w:rPr>
              <w:t>Erhöhung der Zahl der in die</w:t>
            </w:r>
            <w:r w:rsidRPr="00170422">
              <w:rPr>
                <w:noProof/>
                <w:lang w:val="de-DE"/>
              </w:rPr>
              <w:t xml:space="preserve"> Plattform integrierten Dienste für:</w:t>
            </w:r>
          </w:p>
          <w:p w14:paraId="799B5754" w14:textId="77777777" w:rsidR="0057163C" w:rsidRPr="00170422" w:rsidRDefault="00F37BF9">
            <w:pPr>
              <w:pStyle w:val="P68B1DB1-Normal11"/>
              <w:rPr>
                <w:noProof/>
                <w:szCs w:val="20"/>
                <w:lang w:val="de-DE"/>
              </w:rPr>
            </w:pPr>
            <w:r w:rsidRPr="00170422">
              <w:rPr>
                <w:noProof/>
                <w:lang w:val="de-DE"/>
              </w:rPr>
              <w:t>— öffentliche Verwaltungen bereits im Basisszenario (9000 Einrichtungen)</w:t>
            </w:r>
          </w:p>
          <w:p w14:paraId="57721B04" w14:textId="77777777" w:rsidR="0057163C" w:rsidRPr="00170422" w:rsidRDefault="00F37BF9">
            <w:pPr>
              <w:pStyle w:val="P68B1DB1-Normal11"/>
              <w:spacing w:after="120"/>
              <w:rPr>
                <w:noProof/>
                <w:szCs w:val="20"/>
                <w:lang w:val="de-DE"/>
              </w:rPr>
            </w:pPr>
            <w:r w:rsidRPr="00170422">
              <w:rPr>
                <w:noProof/>
                <w:lang w:val="de-DE"/>
              </w:rPr>
              <w:t>— neue öffentliche Verwaltungen, die sich der Plattform anschließen (2450 neue Einrichtungen).</w:t>
            </w:r>
          </w:p>
          <w:p w14:paraId="4F83443D" w14:textId="77777777" w:rsidR="0057163C" w:rsidRPr="00170422" w:rsidRDefault="00F37BF9">
            <w:pPr>
              <w:pStyle w:val="P68B1DB1-Normal12"/>
              <w:spacing w:before="120" w:after="120"/>
              <w:rPr>
                <w:noProof/>
                <w:lang w:val="de-DE"/>
              </w:rPr>
            </w:pPr>
            <w:r w:rsidRPr="00170422">
              <w:rPr>
                <w:noProof/>
                <w:lang w:val="de-DE"/>
              </w:rPr>
              <w:t>In beiden Fällen muss die Gesamtzahl der Dienste de</w:t>
            </w:r>
            <w:r w:rsidRPr="00170422">
              <w:rPr>
                <w:noProof/>
                <w:lang w:val="de-DE"/>
              </w:rPr>
              <w:t>r öffentlichen Verwaltungen, die der Plattform beitreten, gegenüber dem Basisszenario für 2021 (31.3.2021) um mindestens 20 % steigen. Die Zahl der zu integrierenden Dienste hängt von der Art der Verwaltung ab (das endgültige Ziel für 2026 besteht darin, d</w:t>
            </w:r>
            <w:r w:rsidRPr="00170422">
              <w:rPr>
                <w:noProof/>
                <w:lang w:val="de-DE"/>
              </w:rPr>
              <w:t>urchschnittlich 35 Dienstleistungen für Gemeinden, 15 Dienste für Regionen, 15 Dienste für Gesundheitsbehörden und 8 Dienste für Schulen und Universitäten zu erreichen).</w:t>
            </w:r>
          </w:p>
        </w:tc>
      </w:tr>
      <w:tr w:rsidR="0057163C" w:rsidRPr="00170422" w14:paraId="67341C36" w14:textId="77777777" w:rsidTr="0051146E">
        <w:trPr>
          <w:trHeight w:val="309"/>
        </w:trPr>
        <w:tc>
          <w:tcPr>
            <w:tcW w:w="1087" w:type="dxa"/>
            <w:shd w:val="clear" w:color="auto" w:fill="C6EFCE"/>
            <w:noWrap/>
            <w:vAlign w:val="center"/>
          </w:tcPr>
          <w:p w14:paraId="4BF0B9EB" w14:textId="77777777" w:rsidR="0057163C" w:rsidRPr="00170422" w:rsidRDefault="00F37BF9">
            <w:pPr>
              <w:pStyle w:val="P68B1DB1-Normal11"/>
              <w:jc w:val="center"/>
              <w:rPr>
                <w:noProof/>
                <w:szCs w:val="20"/>
                <w:lang w:val="de-DE"/>
              </w:rPr>
            </w:pPr>
            <w:r w:rsidRPr="00170422">
              <w:rPr>
                <w:noProof/>
                <w:lang w:val="de-DE"/>
              </w:rPr>
              <w:t>M1C1-127</w:t>
            </w:r>
          </w:p>
        </w:tc>
        <w:tc>
          <w:tcPr>
            <w:tcW w:w="1943" w:type="dxa"/>
            <w:shd w:val="clear" w:color="auto" w:fill="C6EFCE"/>
            <w:noWrap/>
            <w:vAlign w:val="center"/>
          </w:tcPr>
          <w:p w14:paraId="6D194469" w14:textId="77777777" w:rsidR="0057163C" w:rsidRPr="00170422" w:rsidRDefault="00F37BF9">
            <w:pPr>
              <w:pStyle w:val="P68B1DB1-Normal12"/>
              <w:jc w:val="center"/>
              <w:rPr>
                <w:noProof/>
                <w:lang w:val="de-DE"/>
              </w:rPr>
            </w:pPr>
            <w:r w:rsidRPr="00170422">
              <w:rPr>
                <w:noProof/>
                <w:lang w:val="de-DE"/>
              </w:rPr>
              <w:t>Investition 1.4.3 – Ausbau der PagoPA-Plattformdienste und der „IO“-App</w:t>
            </w:r>
          </w:p>
        </w:tc>
        <w:tc>
          <w:tcPr>
            <w:tcW w:w="1176" w:type="dxa"/>
            <w:shd w:val="clear" w:color="auto" w:fill="C6EFCE"/>
            <w:noWrap/>
            <w:vAlign w:val="center"/>
          </w:tcPr>
          <w:p w14:paraId="7D625A64"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41329E0C" w14:textId="77777777" w:rsidR="0057163C" w:rsidRPr="00170422" w:rsidRDefault="00F37BF9">
            <w:pPr>
              <w:pStyle w:val="P68B1DB1-Normal12"/>
              <w:jc w:val="center"/>
              <w:rPr>
                <w:noProof/>
                <w:lang w:val="de-DE"/>
              </w:rPr>
            </w:pPr>
            <w:r w:rsidRPr="00170422">
              <w:rPr>
                <w:noProof/>
                <w:lang w:val="de-DE"/>
              </w:rPr>
              <w:t>Ausweitung der Einführung der „IO“-App T1</w:t>
            </w:r>
          </w:p>
        </w:tc>
        <w:tc>
          <w:tcPr>
            <w:tcW w:w="1701" w:type="dxa"/>
            <w:shd w:val="clear" w:color="auto" w:fill="C6EFCE"/>
            <w:noWrap/>
            <w:vAlign w:val="center"/>
          </w:tcPr>
          <w:p w14:paraId="4DE6059B"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0C71DD95"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074E618B" w14:textId="77777777" w:rsidR="0057163C" w:rsidRPr="00170422" w:rsidRDefault="00F37BF9">
            <w:pPr>
              <w:pStyle w:val="P68B1DB1-Normal11"/>
              <w:jc w:val="center"/>
              <w:rPr>
                <w:noProof/>
                <w:szCs w:val="20"/>
                <w:lang w:val="de-DE"/>
              </w:rPr>
            </w:pPr>
            <w:r w:rsidRPr="00170422">
              <w:rPr>
                <w:noProof/>
                <w:lang w:val="de-DE"/>
              </w:rPr>
              <w:t>2 700</w:t>
            </w:r>
          </w:p>
        </w:tc>
        <w:tc>
          <w:tcPr>
            <w:tcW w:w="1233" w:type="dxa"/>
            <w:shd w:val="clear" w:color="auto" w:fill="C6EFCE"/>
            <w:noWrap/>
            <w:vAlign w:val="center"/>
          </w:tcPr>
          <w:p w14:paraId="6500BEC0" w14:textId="77777777" w:rsidR="0057163C" w:rsidRPr="00170422" w:rsidRDefault="00F37BF9">
            <w:pPr>
              <w:pStyle w:val="P68B1DB1-Normal11"/>
              <w:jc w:val="center"/>
              <w:rPr>
                <w:noProof/>
                <w:szCs w:val="20"/>
                <w:lang w:val="de-DE"/>
              </w:rPr>
            </w:pPr>
            <w:r w:rsidRPr="00170422">
              <w:rPr>
                <w:noProof/>
                <w:lang w:val="de-DE"/>
              </w:rPr>
              <w:t>7 000</w:t>
            </w:r>
          </w:p>
        </w:tc>
        <w:tc>
          <w:tcPr>
            <w:tcW w:w="793" w:type="dxa"/>
            <w:shd w:val="clear" w:color="auto" w:fill="C6EFCE"/>
            <w:noWrap/>
            <w:vAlign w:val="center"/>
          </w:tcPr>
          <w:p w14:paraId="68A2C0DC"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46CDB474"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5C909BA2" w14:textId="77777777" w:rsidR="0057163C" w:rsidRPr="00170422" w:rsidRDefault="00F37BF9">
            <w:pPr>
              <w:pStyle w:val="P68B1DB1-Normal11"/>
              <w:spacing w:after="120"/>
              <w:rPr>
                <w:noProof/>
                <w:szCs w:val="20"/>
                <w:lang w:val="de-DE"/>
              </w:rPr>
            </w:pPr>
            <w:r w:rsidRPr="00170422">
              <w:rPr>
                <w:noProof/>
                <w:lang w:val="de-DE"/>
              </w:rPr>
              <w:t>Erhöhung der Zahl der in „IO ‚App for:</w:t>
            </w:r>
          </w:p>
          <w:p w14:paraId="32AF795C" w14:textId="77777777" w:rsidR="0057163C" w:rsidRPr="00170422" w:rsidRDefault="00F37BF9">
            <w:pPr>
              <w:pStyle w:val="P68B1DB1-Normal11"/>
              <w:spacing w:before="120" w:after="120"/>
              <w:rPr>
                <w:noProof/>
                <w:szCs w:val="20"/>
                <w:lang w:val="de-DE"/>
              </w:rPr>
            </w:pPr>
            <w:r w:rsidRPr="00170422">
              <w:rPr>
                <w:noProof/>
                <w:lang w:val="de-DE"/>
              </w:rPr>
              <w:t>— öffentliche Verwaltungen bereits im Basisszenario (2700 Einrichtungen)</w:t>
            </w:r>
          </w:p>
          <w:p w14:paraId="10CF7A4B" w14:textId="77777777" w:rsidR="0057163C" w:rsidRPr="00170422" w:rsidRDefault="00F37BF9">
            <w:pPr>
              <w:pStyle w:val="P68B1DB1-Normal11"/>
              <w:spacing w:before="120" w:after="120"/>
              <w:rPr>
                <w:noProof/>
                <w:szCs w:val="20"/>
                <w:lang w:val="de-DE"/>
              </w:rPr>
            </w:pPr>
            <w:r w:rsidRPr="00170422">
              <w:rPr>
                <w:noProof/>
                <w:lang w:val="de-DE"/>
              </w:rPr>
              <w:t xml:space="preserve">— neue öffentliche Verwaltungen, die sich der Plattform </w:t>
            </w:r>
            <w:r w:rsidRPr="00170422">
              <w:rPr>
                <w:noProof/>
                <w:lang w:val="de-DE"/>
              </w:rPr>
              <w:t>anschließen (4300 neue Einrichtungen).</w:t>
            </w:r>
          </w:p>
          <w:p w14:paraId="029347BF" w14:textId="77777777" w:rsidR="0057163C" w:rsidRPr="00170422" w:rsidRDefault="00F37BF9">
            <w:pPr>
              <w:pStyle w:val="P68B1DB1-Normal12"/>
              <w:spacing w:before="120" w:after="120"/>
              <w:rPr>
                <w:noProof/>
                <w:lang w:val="de-DE"/>
              </w:rPr>
            </w:pPr>
            <w:r w:rsidRPr="00170422">
              <w:rPr>
                <w:noProof/>
                <w:lang w:val="de-DE"/>
              </w:rPr>
              <w:t xml:space="preserve">In beiden Fällen muss die Gesamtzahl der Dienste der öffentlichen Verwaltungen, die der Plattform beitreten, gegenüber dem Basisszenario für 2021 (31.3.2021) um mindestens 20 % steigen. Die Zahl der zu integrierenden </w:t>
            </w:r>
            <w:r w:rsidRPr="00170422">
              <w:rPr>
                <w:noProof/>
                <w:lang w:val="de-DE"/>
              </w:rPr>
              <w:t>Dienste hängt von der Art der Verwaltung ab (das endgültige Ziel für 2026 besteht darin, durchschnittlich 35 Dienstleistungen für Gemeinden, 15 Dienste für Regionen, 15 Dienste für Gesundheitsbehörden und 8 Dienste für Schulen und Universitäten zu erreiche</w:t>
            </w:r>
            <w:r w:rsidRPr="00170422">
              <w:rPr>
                <w:noProof/>
                <w:lang w:val="de-DE"/>
              </w:rPr>
              <w:t>n).</w:t>
            </w:r>
          </w:p>
        </w:tc>
      </w:tr>
      <w:tr w:rsidR="0057163C" w:rsidRPr="00170422" w14:paraId="6EDFFC6F" w14:textId="77777777" w:rsidTr="0051146E">
        <w:trPr>
          <w:trHeight w:val="309"/>
        </w:trPr>
        <w:tc>
          <w:tcPr>
            <w:tcW w:w="1087" w:type="dxa"/>
            <w:shd w:val="clear" w:color="auto" w:fill="C6EFCE"/>
            <w:noWrap/>
            <w:vAlign w:val="center"/>
          </w:tcPr>
          <w:p w14:paraId="552B3BCE" w14:textId="77777777" w:rsidR="0057163C" w:rsidRPr="00170422" w:rsidRDefault="00F37BF9">
            <w:pPr>
              <w:pStyle w:val="P68B1DB1-Normal11"/>
              <w:jc w:val="center"/>
              <w:rPr>
                <w:noProof/>
                <w:szCs w:val="20"/>
                <w:lang w:val="de-DE"/>
              </w:rPr>
            </w:pPr>
            <w:r w:rsidRPr="00170422">
              <w:rPr>
                <w:noProof/>
                <w:lang w:val="de-DE"/>
              </w:rPr>
              <w:t>M1C1-128</w:t>
            </w:r>
          </w:p>
        </w:tc>
        <w:tc>
          <w:tcPr>
            <w:tcW w:w="1943" w:type="dxa"/>
            <w:shd w:val="clear" w:color="auto" w:fill="C6EFCE"/>
            <w:noWrap/>
            <w:vAlign w:val="center"/>
          </w:tcPr>
          <w:p w14:paraId="76A225CC" w14:textId="77777777" w:rsidR="0057163C" w:rsidRPr="00170422" w:rsidRDefault="00F37BF9">
            <w:pPr>
              <w:pStyle w:val="P68B1DB1-Normal11"/>
              <w:jc w:val="center"/>
              <w:rPr>
                <w:noProof/>
                <w:szCs w:val="20"/>
                <w:lang w:val="de-DE"/>
              </w:rPr>
            </w:pPr>
            <w:r w:rsidRPr="00170422">
              <w:rPr>
                <w:noProof/>
                <w:lang w:val="de-DE"/>
              </w:rPr>
              <w:t>Investition 1.4.5 – Digitalisierung öffentlicher Bekanntmachungen</w:t>
            </w:r>
          </w:p>
        </w:tc>
        <w:tc>
          <w:tcPr>
            <w:tcW w:w="1176" w:type="dxa"/>
            <w:shd w:val="clear" w:color="auto" w:fill="C6EFCE"/>
            <w:noWrap/>
            <w:vAlign w:val="center"/>
          </w:tcPr>
          <w:p w14:paraId="45910CC1"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68A31583" w14:textId="77777777" w:rsidR="0057163C" w:rsidRPr="00170422" w:rsidRDefault="00F37BF9">
            <w:pPr>
              <w:pStyle w:val="P68B1DB1-Normal12"/>
              <w:jc w:val="center"/>
              <w:rPr>
                <w:noProof/>
                <w:lang w:val="de-DE"/>
              </w:rPr>
            </w:pPr>
            <w:r w:rsidRPr="00170422">
              <w:rPr>
                <w:noProof/>
                <w:lang w:val="de-DE"/>
              </w:rPr>
              <w:t>Ausweitung der digitalen öffentlichen Bekanntmachungen T1</w:t>
            </w:r>
          </w:p>
        </w:tc>
        <w:tc>
          <w:tcPr>
            <w:tcW w:w="1701" w:type="dxa"/>
            <w:shd w:val="clear" w:color="auto" w:fill="C6EFCE"/>
            <w:noWrap/>
            <w:vAlign w:val="center"/>
          </w:tcPr>
          <w:p w14:paraId="537D34C8"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055EAF9B"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1C8383B6"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7C608BA5" w14:textId="77777777" w:rsidR="0057163C" w:rsidRPr="00170422" w:rsidRDefault="00F37BF9">
            <w:pPr>
              <w:pStyle w:val="P68B1DB1-Normal11"/>
              <w:jc w:val="center"/>
              <w:rPr>
                <w:noProof/>
                <w:szCs w:val="20"/>
                <w:lang w:val="de-DE"/>
              </w:rPr>
            </w:pPr>
            <w:r w:rsidRPr="00170422">
              <w:rPr>
                <w:noProof/>
                <w:lang w:val="de-DE"/>
              </w:rPr>
              <w:t>800</w:t>
            </w:r>
          </w:p>
        </w:tc>
        <w:tc>
          <w:tcPr>
            <w:tcW w:w="793" w:type="dxa"/>
            <w:shd w:val="clear" w:color="auto" w:fill="C6EFCE"/>
            <w:noWrap/>
            <w:vAlign w:val="center"/>
          </w:tcPr>
          <w:p w14:paraId="1EDA316E"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33A6FF6F"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28A22130" w14:textId="77777777" w:rsidR="0057163C" w:rsidRPr="00170422" w:rsidRDefault="00F37BF9">
            <w:pPr>
              <w:pStyle w:val="P68B1DB1-Normal12"/>
              <w:spacing w:after="120"/>
              <w:rPr>
                <w:noProof/>
                <w:lang w:val="de-DE"/>
              </w:rPr>
            </w:pPr>
            <w:r w:rsidRPr="00170422">
              <w:rPr>
                <w:noProof/>
                <w:lang w:val="de-DE"/>
              </w:rPr>
              <w:t xml:space="preserve">Mindestens 800 zentrale öffentliche Verwaltungen und Gemeinden in Bezug </w:t>
            </w:r>
            <w:r w:rsidRPr="00170422">
              <w:rPr>
                <w:noProof/>
                <w:lang w:val="de-DE"/>
              </w:rPr>
              <w:t>auf die digitale Meldeplattform (DNP) stellen Bürgern, juristischen Personen, Verbänden und anderen öffentlichen oder privaten Einrichtungen digitale rechtsverbindliche Mitteilungen zur Verfügung.</w:t>
            </w:r>
          </w:p>
        </w:tc>
      </w:tr>
      <w:tr w:rsidR="0057163C" w:rsidRPr="00170422" w14:paraId="05933BF8" w14:textId="77777777" w:rsidTr="0051146E">
        <w:trPr>
          <w:trHeight w:val="309"/>
        </w:trPr>
        <w:tc>
          <w:tcPr>
            <w:tcW w:w="1087" w:type="dxa"/>
            <w:shd w:val="clear" w:color="auto" w:fill="C6EFCE"/>
            <w:noWrap/>
            <w:vAlign w:val="center"/>
          </w:tcPr>
          <w:p w14:paraId="21E431E7" w14:textId="77777777" w:rsidR="0057163C" w:rsidRPr="00170422" w:rsidRDefault="00F37BF9">
            <w:pPr>
              <w:pStyle w:val="P68B1DB1-Normal11"/>
              <w:jc w:val="center"/>
              <w:rPr>
                <w:noProof/>
                <w:szCs w:val="20"/>
                <w:lang w:val="de-DE"/>
              </w:rPr>
            </w:pPr>
            <w:r w:rsidRPr="00170422">
              <w:rPr>
                <w:noProof/>
                <w:lang w:val="de-DE"/>
              </w:rPr>
              <w:t>M1C1-129</w:t>
            </w:r>
          </w:p>
        </w:tc>
        <w:tc>
          <w:tcPr>
            <w:tcW w:w="1943" w:type="dxa"/>
            <w:shd w:val="clear" w:color="auto" w:fill="C6EFCE"/>
            <w:noWrap/>
            <w:vAlign w:val="center"/>
          </w:tcPr>
          <w:p w14:paraId="4A5B1CE5" w14:textId="77777777" w:rsidR="0057163C" w:rsidRPr="00170422" w:rsidRDefault="00F37BF9">
            <w:pPr>
              <w:pStyle w:val="P68B1DB1-Normal11"/>
              <w:jc w:val="center"/>
              <w:rPr>
                <w:noProof/>
                <w:szCs w:val="20"/>
                <w:lang w:val="de-DE"/>
              </w:rPr>
            </w:pPr>
            <w:r w:rsidRPr="00170422">
              <w:rPr>
                <w:noProof/>
                <w:lang w:val="de-DE"/>
              </w:rPr>
              <w:t xml:space="preserve">Investition 1.6.1 – Digitalisierung des </w:t>
            </w:r>
            <w:r w:rsidRPr="00170422">
              <w:rPr>
                <w:noProof/>
                <w:lang w:val="de-DE"/>
              </w:rPr>
              <w:t>Innenministeriums</w:t>
            </w:r>
          </w:p>
        </w:tc>
        <w:tc>
          <w:tcPr>
            <w:tcW w:w="1176" w:type="dxa"/>
            <w:shd w:val="clear" w:color="auto" w:fill="C6EFCE"/>
            <w:noWrap/>
            <w:vAlign w:val="center"/>
          </w:tcPr>
          <w:p w14:paraId="24705CF4"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05AAB55D" w14:textId="77777777" w:rsidR="0057163C" w:rsidRPr="00170422" w:rsidRDefault="00F37BF9">
            <w:pPr>
              <w:pStyle w:val="P68B1DB1-Normal11"/>
              <w:jc w:val="center"/>
              <w:rPr>
                <w:noProof/>
                <w:szCs w:val="20"/>
                <w:lang w:val="de-DE"/>
              </w:rPr>
            </w:pPr>
            <w:r w:rsidRPr="00170422">
              <w:rPr>
                <w:noProof/>
                <w:lang w:val="de-DE"/>
              </w:rPr>
              <w:t>Innenministerium – vollständig umgerüstete und digitalisierte Prozesse T1</w:t>
            </w:r>
          </w:p>
        </w:tc>
        <w:tc>
          <w:tcPr>
            <w:tcW w:w="1701" w:type="dxa"/>
            <w:shd w:val="clear" w:color="auto" w:fill="C6EFCE"/>
            <w:noWrap/>
            <w:vAlign w:val="center"/>
          </w:tcPr>
          <w:p w14:paraId="00FC7786"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7081EEC6"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43B20A62"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20451890" w14:textId="77777777" w:rsidR="0057163C" w:rsidRPr="00170422" w:rsidRDefault="00F37BF9">
            <w:pPr>
              <w:pStyle w:val="P68B1DB1-Normal11"/>
              <w:jc w:val="center"/>
              <w:rPr>
                <w:noProof/>
                <w:szCs w:val="20"/>
                <w:lang w:val="de-DE"/>
              </w:rPr>
            </w:pPr>
            <w:r w:rsidRPr="00170422">
              <w:rPr>
                <w:noProof/>
                <w:lang w:val="de-DE"/>
              </w:rPr>
              <w:t>7</w:t>
            </w:r>
          </w:p>
        </w:tc>
        <w:tc>
          <w:tcPr>
            <w:tcW w:w="793" w:type="dxa"/>
            <w:shd w:val="clear" w:color="auto" w:fill="C6EFCE"/>
            <w:noWrap/>
            <w:vAlign w:val="center"/>
          </w:tcPr>
          <w:p w14:paraId="15CC0051"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4E34D926"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5C7B69B5" w14:textId="77777777" w:rsidR="0057163C" w:rsidRPr="00170422" w:rsidRDefault="00F37BF9">
            <w:pPr>
              <w:pStyle w:val="P68B1DB1-Normal12"/>
              <w:spacing w:after="120"/>
              <w:rPr>
                <w:noProof/>
                <w:lang w:val="de-DE"/>
              </w:rPr>
            </w:pPr>
            <w:r w:rsidRPr="00170422">
              <w:rPr>
                <w:noProof/>
                <w:lang w:val="de-DE"/>
              </w:rPr>
              <w:t xml:space="preserve">Interne Verfahren und Prozesse wurden vollständig neu konzipiert (insgesamt 7 Prozesse bis zum 31. Dezember 2023) und </w:t>
            </w:r>
            <w:r w:rsidRPr="00170422">
              <w:rPr>
                <w:noProof/>
                <w:lang w:val="de-DE"/>
              </w:rPr>
              <w:t>können vollständig online abgeschlossen werden (z. B. Büroautomatisierung, Mobilitätsdienste und E-Learning).</w:t>
            </w:r>
          </w:p>
        </w:tc>
      </w:tr>
      <w:tr w:rsidR="0057163C" w:rsidRPr="00170422" w14:paraId="2204764B" w14:textId="77777777" w:rsidTr="0051146E">
        <w:trPr>
          <w:trHeight w:val="309"/>
        </w:trPr>
        <w:tc>
          <w:tcPr>
            <w:tcW w:w="1087" w:type="dxa"/>
            <w:shd w:val="clear" w:color="auto" w:fill="C6EFCE"/>
            <w:noWrap/>
            <w:vAlign w:val="center"/>
          </w:tcPr>
          <w:p w14:paraId="7C704C31" w14:textId="77777777" w:rsidR="0057163C" w:rsidRPr="00170422" w:rsidRDefault="00F37BF9">
            <w:pPr>
              <w:pStyle w:val="P68B1DB1-Normal11"/>
              <w:jc w:val="center"/>
              <w:rPr>
                <w:noProof/>
                <w:szCs w:val="20"/>
                <w:lang w:val="de-DE"/>
              </w:rPr>
            </w:pPr>
            <w:r w:rsidRPr="00170422">
              <w:rPr>
                <w:noProof/>
                <w:lang w:val="de-DE"/>
              </w:rPr>
              <w:t>M1C1-130</w:t>
            </w:r>
          </w:p>
        </w:tc>
        <w:tc>
          <w:tcPr>
            <w:tcW w:w="1943" w:type="dxa"/>
            <w:shd w:val="clear" w:color="auto" w:fill="C6EFCE"/>
            <w:noWrap/>
            <w:vAlign w:val="center"/>
          </w:tcPr>
          <w:p w14:paraId="7B27EF5B" w14:textId="77777777" w:rsidR="0057163C" w:rsidRPr="00170422" w:rsidRDefault="00F37BF9">
            <w:pPr>
              <w:pStyle w:val="P68B1DB1-Normal11"/>
              <w:jc w:val="center"/>
              <w:rPr>
                <w:noProof/>
                <w:szCs w:val="20"/>
                <w:lang w:val="de-DE"/>
              </w:rPr>
            </w:pPr>
            <w:r w:rsidRPr="00170422">
              <w:rPr>
                <w:noProof/>
                <w:lang w:val="de-DE"/>
              </w:rPr>
              <w:t>Investition 1.6.2 – Digitalisierung des Justizministeriums</w:t>
            </w:r>
          </w:p>
        </w:tc>
        <w:tc>
          <w:tcPr>
            <w:tcW w:w="1176" w:type="dxa"/>
            <w:shd w:val="clear" w:color="auto" w:fill="C6EFCE"/>
            <w:noWrap/>
            <w:vAlign w:val="center"/>
          </w:tcPr>
          <w:p w14:paraId="46166421"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640C1962" w14:textId="77777777" w:rsidR="0057163C" w:rsidRPr="00170422" w:rsidRDefault="00F37BF9">
            <w:pPr>
              <w:pStyle w:val="P68B1DB1-Normal11"/>
              <w:jc w:val="center"/>
              <w:rPr>
                <w:noProof/>
                <w:szCs w:val="20"/>
                <w:lang w:val="de-DE"/>
              </w:rPr>
            </w:pPr>
            <w:r w:rsidRPr="00170422">
              <w:rPr>
                <w:noProof/>
                <w:lang w:val="de-DE"/>
              </w:rPr>
              <w:t>Digitalisierte Gerichtsakten T1</w:t>
            </w:r>
          </w:p>
        </w:tc>
        <w:tc>
          <w:tcPr>
            <w:tcW w:w="1701" w:type="dxa"/>
            <w:shd w:val="clear" w:color="auto" w:fill="C6EFCE"/>
            <w:noWrap/>
            <w:vAlign w:val="center"/>
          </w:tcPr>
          <w:p w14:paraId="3F36A4CF"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2E5D7BBB"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5360894D"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39803D0B" w14:textId="77777777" w:rsidR="0057163C" w:rsidRPr="00170422" w:rsidRDefault="00F37BF9">
            <w:pPr>
              <w:pStyle w:val="P68B1DB1-Normal21"/>
              <w:jc w:val="center"/>
              <w:rPr>
                <w:rFonts w:ascii="Arial Narrow" w:hAnsi="Arial Narrow"/>
                <w:noProof/>
                <w:szCs w:val="20"/>
                <w:lang w:val="de-DE"/>
              </w:rPr>
            </w:pPr>
            <w:r w:rsidRPr="00170422">
              <w:rPr>
                <w:rFonts w:ascii="Arial Narrow" w:hAnsi="Arial Narrow"/>
                <w:noProof/>
                <w:lang w:val="de-DE"/>
              </w:rPr>
              <w:t>3 500</w:t>
            </w:r>
            <w:r w:rsidRPr="00170422">
              <w:rPr>
                <w:rFonts w:ascii="Arial Narrow"/>
                <w:noProof/>
                <w:lang w:val="de-DE"/>
              </w:rPr>
              <w:t xml:space="preserve"> 000</w:t>
            </w:r>
          </w:p>
        </w:tc>
        <w:tc>
          <w:tcPr>
            <w:tcW w:w="793" w:type="dxa"/>
            <w:shd w:val="clear" w:color="auto" w:fill="C6EFCE"/>
            <w:noWrap/>
            <w:vAlign w:val="center"/>
          </w:tcPr>
          <w:p w14:paraId="07B2A252"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6B09D6AA"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737D1E68" w14:textId="77777777" w:rsidR="0057163C" w:rsidRPr="00170422" w:rsidRDefault="00F37BF9">
            <w:pPr>
              <w:pStyle w:val="P68B1DB1-Normal22"/>
              <w:spacing w:after="120"/>
              <w:rPr>
                <w:rFonts w:hAnsi="Arial Narrow" w:hint="default"/>
                <w:noProof/>
                <w:lang w:val="de-DE"/>
              </w:rPr>
            </w:pPr>
            <w:r w:rsidRPr="00170422">
              <w:rPr>
                <w:rFonts w:hint="default"/>
                <w:noProof/>
                <w:lang w:val="de-DE"/>
              </w:rPr>
              <w:t>Digitalisierung von 3500000 Gerichtsakten in den letzten 20</w:t>
            </w:r>
            <w:r w:rsidRPr="00170422">
              <w:rPr>
                <w:rFonts w:hint="default"/>
                <w:noProof/>
                <w:lang w:val="de-DE"/>
              </w:rPr>
              <w:t> </w:t>
            </w:r>
            <w:r w:rsidRPr="00170422">
              <w:rPr>
                <w:rFonts w:hint="default"/>
                <w:noProof/>
                <w:lang w:val="de-DE"/>
              </w:rPr>
              <w:t xml:space="preserve">Jahren (1.1.2006 </w:t>
            </w:r>
            <w:r w:rsidRPr="00170422">
              <w:rPr>
                <w:rFonts w:hint="default"/>
                <w:noProof/>
                <w:lang w:val="de-DE"/>
              </w:rPr>
              <w:t>–</w:t>
            </w:r>
            <w:r w:rsidRPr="00170422">
              <w:rPr>
                <w:rFonts w:hint="default"/>
                <w:noProof/>
                <w:lang w:val="de-DE"/>
              </w:rPr>
              <w:t xml:space="preserve"> 30.6.2026) im Zusammenhang mit abgeschlossenen oder laufenden Gerichtsverfahren.</w:t>
            </w:r>
          </w:p>
        </w:tc>
      </w:tr>
      <w:tr w:rsidR="0057163C" w:rsidRPr="00170422" w14:paraId="068F25DD" w14:textId="77777777" w:rsidTr="0051146E">
        <w:trPr>
          <w:trHeight w:val="309"/>
        </w:trPr>
        <w:tc>
          <w:tcPr>
            <w:tcW w:w="1087" w:type="dxa"/>
            <w:shd w:val="clear" w:color="auto" w:fill="C6EFCE"/>
            <w:noWrap/>
            <w:vAlign w:val="center"/>
          </w:tcPr>
          <w:p w14:paraId="203ACE20" w14:textId="77777777" w:rsidR="0057163C" w:rsidRPr="00170422" w:rsidRDefault="00F37BF9">
            <w:pPr>
              <w:pStyle w:val="P68B1DB1-Normal11"/>
              <w:jc w:val="center"/>
              <w:rPr>
                <w:noProof/>
                <w:szCs w:val="20"/>
                <w:lang w:val="de-DE"/>
              </w:rPr>
            </w:pPr>
            <w:r w:rsidRPr="00170422">
              <w:rPr>
                <w:noProof/>
                <w:lang w:val="de-DE"/>
              </w:rPr>
              <w:t>M1C1-131</w:t>
            </w:r>
          </w:p>
        </w:tc>
        <w:tc>
          <w:tcPr>
            <w:tcW w:w="1943" w:type="dxa"/>
            <w:shd w:val="clear" w:color="auto" w:fill="C6EFCE"/>
            <w:noWrap/>
            <w:vAlign w:val="center"/>
          </w:tcPr>
          <w:p w14:paraId="0B0261EB" w14:textId="77777777" w:rsidR="0057163C" w:rsidRPr="00170422" w:rsidRDefault="00F37BF9">
            <w:pPr>
              <w:pStyle w:val="P68B1DB1-Normal11"/>
              <w:jc w:val="center"/>
              <w:rPr>
                <w:noProof/>
                <w:szCs w:val="20"/>
                <w:lang w:val="de-DE"/>
              </w:rPr>
            </w:pPr>
            <w:r w:rsidRPr="00170422">
              <w:rPr>
                <w:noProof/>
                <w:lang w:val="de-DE"/>
              </w:rPr>
              <w:t>Investition 1.6.2 – Digitalisierung des Justizministeriums</w:t>
            </w:r>
          </w:p>
        </w:tc>
        <w:tc>
          <w:tcPr>
            <w:tcW w:w="1176" w:type="dxa"/>
            <w:shd w:val="clear" w:color="auto" w:fill="C6EFCE"/>
            <w:noWrap/>
            <w:vAlign w:val="center"/>
          </w:tcPr>
          <w:p w14:paraId="75732200" w14:textId="77777777" w:rsidR="0057163C" w:rsidRPr="00170422" w:rsidRDefault="00F37BF9">
            <w:pPr>
              <w:pStyle w:val="P68B1DB1-Normal11"/>
              <w:jc w:val="center"/>
              <w:rPr>
                <w:noProof/>
                <w:szCs w:val="20"/>
                <w:lang w:val="de-DE"/>
              </w:rPr>
            </w:pPr>
            <w:r w:rsidRPr="00170422">
              <w:rPr>
                <w:noProof/>
                <w:lang w:val="de-DE"/>
              </w:rPr>
              <w:t>Meilenstein</w:t>
            </w:r>
          </w:p>
        </w:tc>
        <w:tc>
          <w:tcPr>
            <w:tcW w:w="1942" w:type="dxa"/>
            <w:shd w:val="clear" w:color="auto" w:fill="C6EFCE"/>
            <w:noWrap/>
            <w:vAlign w:val="center"/>
          </w:tcPr>
          <w:p w14:paraId="5CEC4B97" w14:textId="77777777" w:rsidR="0057163C" w:rsidRPr="00170422" w:rsidRDefault="00F37BF9">
            <w:pPr>
              <w:pStyle w:val="P68B1DB1-Normal11"/>
              <w:jc w:val="center"/>
              <w:rPr>
                <w:noProof/>
                <w:szCs w:val="20"/>
                <w:lang w:val="de-DE"/>
              </w:rPr>
            </w:pPr>
            <w:r w:rsidRPr="00170422">
              <w:rPr>
                <w:noProof/>
                <w:lang w:val="de-DE"/>
              </w:rPr>
              <w:t>Justizdatensysteme für Wissen über den Seen T1</w:t>
            </w:r>
          </w:p>
        </w:tc>
        <w:tc>
          <w:tcPr>
            <w:tcW w:w="1701" w:type="dxa"/>
            <w:shd w:val="clear" w:color="auto" w:fill="C6EFCE"/>
            <w:noWrap/>
            <w:vAlign w:val="center"/>
          </w:tcPr>
          <w:p w14:paraId="701CC7C7" w14:textId="77777777" w:rsidR="0057163C" w:rsidRPr="00170422" w:rsidRDefault="00F37BF9">
            <w:pPr>
              <w:pStyle w:val="P68B1DB1-Normal11"/>
              <w:jc w:val="center"/>
              <w:rPr>
                <w:noProof/>
                <w:szCs w:val="20"/>
                <w:lang w:val="de-DE"/>
              </w:rPr>
            </w:pPr>
            <w:r w:rsidRPr="00170422">
              <w:rPr>
                <w:noProof/>
                <w:lang w:val="de-DE"/>
              </w:rPr>
              <w:t>Bericht über den Beginn der Vertragserfüllung</w:t>
            </w:r>
          </w:p>
        </w:tc>
        <w:tc>
          <w:tcPr>
            <w:tcW w:w="1134" w:type="dxa"/>
            <w:shd w:val="clear" w:color="auto" w:fill="C6EFCE"/>
            <w:noWrap/>
            <w:vAlign w:val="center"/>
          </w:tcPr>
          <w:p w14:paraId="1B291B06" w14:textId="77777777" w:rsidR="0057163C" w:rsidRPr="00170422" w:rsidRDefault="00F37BF9">
            <w:pPr>
              <w:pStyle w:val="P68B1DB1-Normal11"/>
              <w:jc w:val="center"/>
              <w:rPr>
                <w:noProof/>
                <w:szCs w:val="20"/>
                <w:lang w:val="de-DE"/>
              </w:rPr>
            </w:pPr>
            <w:r w:rsidRPr="00170422">
              <w:rPr>
                <w:noProof/>
                <w:lang w:val="de-DE"/>
              </w:rPr>
              <w:t>ENTFÄLLT.</w:t>
            </w:r>
          </w:p>
        </w:tc>
        <w:tc>
          <w:tcPr>
            <w:tcW w:w="1460" w:type="dxa"/>
            <w:shd w:val="clear" w:color="auto" w:fill="C6EFCE"/>
            <w:noWrap/>
            <w:vAlign w:val="center"/>
          </w:tcPr>
          <w:p w14:paraId="12FE873B" w14:textId="77777777" w:rsidR="0057163C" w:rsidRPr="00170422" w:rsidRDefault="00F37BF9">
            <w:pPr>
              <w:pStyle w:val="P68B1DB1-Normal11"/>
              <w:jc w:val="center"/>
              <w:rPr>
                <w:noProof/>
                <w:szCs w:val="20"/>
                <w:lang w:val="de-DE"/>
              </w:rPr>
            </w:pPr>
            <w:r w:rsidRPr="00170422">
              <w:rPr>
                <w:noProof/>
                <w:lang w:val="de-DE"/>
              </w:rPr>
              <w:t>ENTFÄLLT.</w:t>
            </w:r>
          </w:p>
        </w:tc>
        <w:tc>
          <w:tcPr>
            <w:tcW w:w="1233" w:type="dxa"/>
            <w:shd w:val="clear" w:color="auto" w:fill="C6EFCE"/>
            <w:noWrap/>
            <w:vAlign w:val="center"/>
          </w:tcPr>
          <w:p w14:paraId="499691F0" w14:textId="77777777" w:rsidR="0057163C" w:rsidRPr="00170422" w:rsidRDefault="00F37BF9">
            <w:pPr>
              <w:pStyle w:val="P68B1DB1-Normal11"/>
              <w:jc w:val="center"/>
              <w:rPr>
                <w:noProof/>
                <w:szCs w:val="20"/>
                <w:lang w:val="de-DE"/>
              </w:rPr>
            </w:pPr>
            <w:r w:rsidRPr="00170422">
              <w:rPr>
                <w:noProof/>
                <w:lang w:val="de-DE"/>
              </w:rPr>
              <w:t>ENTFÄLLT.</w:t>
            </w:r>
          </w:p>
        </w:tc>
        <w:tc>
          <w:tcPr>
            <w:tcW w:w="793" w:type="dxa"/>
            <w:shd w:val="clear" w:color="auto" w:fill="C6EFCE"/>
            <w:noWrap/>
            <w:vAlign w:val="center"/>
          </w:tcPr>
          <w:p w14:paraId="3069842C"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5B00599C"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377A9668" w14:textId="77777777" w:rsidR="0057163C" w:rsidRPr="00170422" w:rsidRDefault="00F37BF9">
            <w:pPr>
              <w:pStyle w:val="P68B1DB1-Normal11"/>
              <w:spacing w:after="120"/>
              <w:rPr>
                <w:noProof/>
                <w:szCs w:val="20"/>
                <w:lang w:val="de-DE"/>
              </w:rPr>
            </w:pPr>
            <w:r w:rsidRPr="00170422">
              <w:rPr>
                <w:noProof/>
                <w:lang w:val="de-DE"/>
              </w:rPr>
              <w:t>Beginn der Ausführung des Vertrags über die Realisierung von sechs neuen Wissenssystemen für den Datensee:</w:t>
            </w:r>
          </w:p>
          <w:p w14:paraId="74E8DA5C" w14:textId="77777777" w:rsidR="0057163C" w:rsidRPr="00170422" w:rsidRDefault="00F37BF9">
            <w:pPr>
              <w:pStyle w:val="P68B1DB1-ListParagraph15"/>
              <w:numPr>
                <w:ilvl w:val="0"/>
                <w:numId w:val="54"/>
              </w:numPr>
              <w:spacing w:after="120" w:line="240" w:lineRule="auto"/>
              <w:ind w:left="357" w:hanging="357"/>
              <w:rPr>
                <w:noProof/>
                <w:szCs w:val="20"/>
                <w:lang w:val="de-DE"/>
              </w:rPr>
            </w:pPr>
            <w:r w:rsidRPr="00170422">
              <w:rPr>
                <w:noProof/>
                <w:lang w:val="de-DE"/>
              </w:rPr>
              <w:t>Anonymisie</w:t>
            </w:r>
            <w:r w:rsidRPr="00170422">
              <w:rPr>
                <w:noProof/>
                <w:lang w:val="de-DE"/>
              </w:rPr>
              <w:t>rungssystem für zivil- und strafrechtliche Verurteilungen</w:t>
            </w:r>
          </w:p>
          <w:p w14:paraId="240DFFAC" w14:textId="77777777" w:rsidR="0057163C" w:rsidRPr="00170422" w:rsidRDefault="00F37BF9">
            <w:pPr>
              <w:pStyle w:val="P68B1DB1-ListParagraph15"/>
              <w:numPr>
                <w:ilvl w:val="0"/>
                <w:numId w:val="54"/>
              </w:numPr>
              <w:spacing w:after="120" w:line="240" w:lineRule="auto"/>
              <w:ind w:left="357" w:hanging="357"/>
              <w:rPr>
                <w:noProof/>
                <w:szCs w:val="20"/>
                <w:lang w:val="de-DE"/>
              </w:rPr>
            </w:pPr>
            <w:r w:rsidRPr="00170422">
              <w:rPr>
                <w:noProof/>
                <w:lang w:val="de-DE"/>
              </w:rPr>
              <w:t>Integriertes Grenzschutzsystem</w:t>
            </w:r>
          </w:p>
          <w:p w14:paraId="481633E3" w14:textId="77777777" w:rsidR="0057163C" w:rsidRPr="00170422" w:rsidRDefault="00F37BF9">
            <w:pPr>
              <w:pStyle w:val="P68B1DB1-ListParagraph15"/>
              <w:numPr>
                <w:ilvl w:val="0"/>
                <w:numId w:val="54"/>
              </w:numPr>
              <w:spacing w:after="120" w:line="240" w:lineRule="auto"/>
              <w:ind w:left="357" w:hanging="357"/>
              <w:rPr>
                <w:noProof/>
                <w:szCs w:val="20"/>
                <w:lang w:val="de-DE"/>
              </w:rPr>
            </w:pPr>
            <w:r w:rsidRPr="00170422">
              <w:rPr>
                <w:noProof/>
                <w:lang w:val="de-DE"/>
              </w:rPr>
              <w:t>Verwaltungs- und Analysesystem für Zivilprozesse</w:t>
            </w:r>
          </w:p>
          <w:p w14:paraId="16D17378" w14:textId="77777777" w:rsidR="0057163C" w:rsidRPr="00170422" w:rsidRDefault="00F37BF9">
            <w:pPr>
              <w:pStyle w:val="P68B1DB1-ListParagraph15"/>
              <w:numPr>
                <w:ilvl w:val="0"/>
                <w:numId w:val="54"/>
              </w:numPr>
              <w:spacing w:after="120" w:line="240" w:lineRule="auto"/>
              <w:ind w:left="357" w:hanging="357"/>
              <w:rPr>
                <w:noProof/>
                <w:szCs w:val="20"/>
                <w:lang w:val="de-DE"/>
              </w:rPr>
            </w:pPr>
            <w:r w:rsidRPr="00170422">
              <w:rPr>
                <w:noProof/>
                <w:lang w:val="de-DE"/>
              </w:rPr>
              <w:t>Verwaltungs- und Analysesystem für Strafverfahren</w:t>
            </w:r>
          </w:p>
          <w:p w14:paraId="7C477A90" w14:textId="77777777" w:rsidR="0057163C" w:rsidRPr="00170422" w:rsidRDefault="00F37BF9">
            <w:pPr>
              <w:pStyle w:val="P68B1DB1-ListParagraph15"/>
              <w:numPr>
                <w:ilvl w:val="0"/>
                <w:numId w:val="54"/>
              </w:numPr>
              <w:spacing w:after="120" w:line="240" w:lineRule="auto"/>
              <w:ind w:left="357" w:hanging="357"/>
              <w:rPr>
                <w:noProof/>
                <w:szCs w:val="20"/>
                <w:lang w:val="de-DE"/>
              </w:rPr>
            </w:pPr>
            <w:r w:rsidRPr="00170422">
              <w:rPr>
                <w:noProof/>
                <w:lang w:val="de-DE"/>
              </w:rPr>
              <w:t>Fortgeschrittenes Statistiksystem für Zivil- und Strafverfahren</w:t>
            </w:r>
          </w:p>
          <w:p w14:paraId="5D35DA73" w14:textId="77777777" w:rsidR="0057163C" w:rsidRPr="00170422" w:rsidRDefault="00F37BF9">
            <w:pPr>
              <w:pStyle w:val="P68B1DB1-ListParagraph15"/>
              <w:numPr>
                <w:ilvl w:val="0"/>
                <w:numId w:val="54"/>
              </w:numPr>
              <w:spacing w:after="120" w:line="240" w:lineRule="auto"/>
              <w:ind w:left="357" w:hanging="357"/>
              <w:rPr>
                <w:noProof/>
                <w:szCs w:val="20"/>
                <w:lang w:val="de-DE"/>
              </w:rPr>
            </w:pPr>
            <w:r w:rsidRPr="00170422">
              <w:rPr>
                <w:noProof/>
                <w:lang w:val="de-DE"/>
              </w:rPr>
              <w:t>Auto</w:t>
            </w:r>
            <w:r w:rsidRPr="00170422">
              <w:rPr>
                <w:noProof/>
                <w:lang w:val="de-DE"/>
              </w:rPr>
              <w:t xml:space="preserve">matisiertes System zur Identifizierung der Beziehung zwischen Opfer und Schutz. </w:t>
            </w:r>
          </w:p>
          <w:p w14:paraId="760A5C98" w14:textId="77777777" w:rsidR="0057163C" w:rsidRPr="00170422" w:rsidRDefault="00F37BF9">
            <w:pPr>
              <w:pStyle w:val="P68B1DB1-Normal12"/>
              <w:spacing w:after="120"/>
              <w:rPr>
                <w:noProof/>
                <w:lang w:val="de-DE"/>
              </w:rPr>
            </w:pPr>
            <w:r w:rsidRPr="00170422">
              <w:rPr>
                <w:noProof/>
                <w:lang w:val="de-DE"/>
              </w:rPr>
              <w:t>Die Ausführung jedes öffentlichen Auftrags beginnt mit einem spezifischen Verwaltungsakt des für das Verfahren Verantwortlichen mit der Bezeichnung „Beginn der Ausführung“.</w:t>
            </w:r>
          </w:p>
        </w:tc>
      </w:tr>
      <w:tr w:rsidR="0057163C" w:rsidRPr="00170422" w14:paraId="52BD5D60" w14:textId="77777777" w:rsidTr="0051146E">
        <w:trPr>
          <w:trHeight w:val="309"/>
        </w:trPr>
        <w:tc>
          <w:tcPr>
            <w:tcW w:w="1087" w:type="dxa"/>
            <w:shd w:val="clear" w:color="auto" w:fill="C6EFCE"/>
            <w:noWrap/>
            <w:vAlign w:val="center"/>
          </w:tcPr>
          <w:p w14:paraId="3CAC3F77" w14:textId="77777777" w:rsidR="0057163C" w:rsidRPr="00170422" w:rsidRDefault="00F37BF9">
            <w:pPr>
              <w:pStyle w:val="P68B1DB1-Normal11"/>
              <w:jc w:val="center"/>
              <w:rPr>
                <w:noProof/>
                <w:szCs w:val="20"/>
                <w:lang w:val="de-DE"/>
              </w:rPr>
            </w:pPr>
            <w:r w:rsidRPr="00170422">
              <w:rPr>
                <w:noProof/>
                <w:lang w:val="de-DE"/>
              </w:rPr>
              <w:t>M1C1-132</w:t>
            </w:r>
          </w:p>
        </w:tc>
        <w:tc>
          <w:tcPr>
            <w:tcW w:w="1943" w:type="dxa"/>
            <w:shd w:val="clear" w:color="auto" w:fill="C6EFCE"/>
            <w:noWrap/>
            <w:vAlign w:val="center"/>
          </w:tcPr>
          <w:p w14:paraId="370B8A34" w14:textId="77777777" w:rsidR="0057163C" w:rsidRPr="00170422" w:rsidRDefault="00F37BF9">
            <w:pPr>
              <w:pStyle w:val="P68B1DB1-Normal11"/>
              <w:jc w:val="center"/>
              <w:rPr>
                <w:noProof/>
                <w:szCs w:val="20"/>
                <w:lang w:val="de-DE"/>
              </w:rPr>
            </w:pPr>
            <w:r w:rsidRPr="00170422">
              <w:rPr>
                <w:noProof/>
                <w:lang w:val="de-DE"/>
              </w:rPr>
              <w:t>Investition 1.6.3 – Digitalisierung der nationalen Sozialversicherungsanstalt (INPS) und des Nationalen Instituts für die Unfallversicherung (INAIL)</w:t>
            </w:r>
          </w:p>
        </w:tc>
        <w:tc>
          <w:tcPr>
            <w:tcW w:w="1176" w:type="dxa"/>
            <w:shd w:val="clear" w:color="auto" w:fill="C6EFCE"/>
            <w:noWrap/>
            <w:vAlign w:val="center"/>
          </w:tcPr>
          <w:p w14:paraId="50C1BBCA"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334E187D" w14:textId="77777777" w:rsidR="0057163C" w:rsidRPr="00170422" w:rsidRDefault="00F37BF9">
            <w:pPr>
              <w:pStyle w:val="P68B1DB1-Normal11"/>
              <w:jc w:val="center"/>
              <w:rPr>
                <w:noProof/>
                <w:szCs w:val="20"/>
                <w:lang w:val="de-DE"/>
              </w:rPr>
            </w:pPr>
            <w:r w:rsidRPr="00170422">
              <w:rPr>
                <w:noProof/>
                <w:lang w:val="de-DE"/>
              </w:rPr>
              <w:t>INPS – Dienstleistungen/Inhalt T2 „ein Klick durch Technikgestaltung“</w:t>
            </w:r>
          </w:p>
        </w:tc>
        <w:tc>
          <w:tcPr>
            <w:tcW w:w="1701" w:type="dxa"/>
            <w:shd w:val="clear" w:color="auto" w:fill="C6EFCE"/>
            <w:noWrap/>
            <w:vAlign w:val="center"/>
          </w:tcPr>
          <w:p w14:paraId="560E40A9"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7BD377A5"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7AA1F67D" w14:textId="77777777" w:rsidR="0057163C" w:rsidRPr="00170422" w:rsidRDefault="00F37BF9">
            <w:pPr>
              <w:pStyle w:val="P68B1DB1-Normal11"/>
              <w:jc w:val="center"/>
              <w:rPr>
                <w:noProof/>
                <w:szCs w:val="20"/>
                <w:lang w:val="de-DE"/>
              </w:rPr>
            </w:pPr>
            <w:r w:rsidRPr="00170422">
              <w:rPr>
                <w:noProof/>
                <w:lang w:val="de-DE"/>
              </w:rPr>
              <w:t>35</w:t>
            </w:r>
          </w:p>
        </w:tc>
        <w:tc>
          <w:tcPr>
            <w:tcW w:w="1233" w:type="dxa"/>
            <w:shd w:val="clear" w:color="auto" w:fill="C6EFCE"/>
            <w:noWrap/>
            <w:vAlign w:val="center"/>
          </w:tcPr>
          <w:p w14:paraId="327A1BDD" w14:textId="77777777" w:rsidR="0057163C" w:rsidRPr="00170422" w:rsidRDefault="00F37BF9">
            <w:pPr>
              <w:pStyle w:val="P68B1DB1-Normal11"/>
              <w:jc w:val="center"/>
              <w:rPr>
                <w:noProof/>
                <w:szCs w:val="20"/>
                <w:lang w:val="de-DE"/>
              </w:rPr>
            </w:pPr>
            <w:r w:rsidRPr="00170422">
              <w:rPr>
                <w:noProof/>
                <w:lang w:val="de-DE"/>
              </w:rPr>
              <w:t>70</w:t>
            </w:r>
          </w:p>
        </w:tc>
        <w:tc>
          <w:tcPr>
            <w:tcW w:w="793" w:type="dxa"/>
            <w:shd w:val="clear" w:color="auto" w:fill="C6EFCE"/>
            <w:noWrap/>
            <w:vAlign w:val="center"/>
          </w:tcPr>
          <w:p w14:paraId="118BA9E8"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3601DABC"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003133A5" w14:textId="77777777" w:rsidR="0057163C" w:rsidRPr="00170422" w:rsidRDefault="00F37BF9">
            <w:pPr>
              <w:pStyle w:val="P68B1DB1-Normal16"/>
              <w:spacing w:after="120"/>
              <w:rPr>
                <w:noProof/>
                <w:color w:val="006100"/>
                <w:lang w:val="de-DE"/>
              </w:rPr>
            </w:pPr>
            <w:r w:rsidRPr="00170422">
              <w:rPr>
                <w:noProof/>
                <w:color w:val="006100"/>
                <w:lang w:val="de-DE"/>
              </w:rPr>
              <w:t>35 zusätzliche Dienste auf der institutionellen Website von Inps (</w:t>
            </w:r>
            <w:hyperlink r:id="rId37">
              <w:r w:rsidR="0057163C" w:rsidRPr="00170422">
                <w:rPr>
                  <w:noProof/>
                  <w:color w:val="0000FF"/>
                  <w:u w:val="single"/>
                  <w:lang w:val="de-DE"/>
                </w:rPr>
                <w:t>www.inps.it</w:t>
              </w:r>
            </w:hyperlink>
            <w:r w:rsidRPr="00170422">
              <w:rPr>
                <w:noProof/>
                <w:color w:val="006100"/>
                <w:lang w:val="de-DE"/>
              </w:rPr>
              <w:t>)</w:t>
            </w:r>
          </w:p>
          <w:p w14:paraId="7A96F025" w14:textId="77777777" w:rsidR="0057163C" w:rsidRPr="00170422" w:rsidRDefault="00F37BF9">
            <w:pPr>
              <w:pStyle w:val="P68B1DB1-Normal12"/>
              <w:rPr>
                <w:noProof/>
                <w:lang w:val="de-DE"/>
              </w:rPr>
            </w:pPr>
            <w:r w:rsidRPr="00170422">
              <w:rPr>
                <w:noProof/>
                <w:lang w:val="de-DE"/>
              </w:rPr>
              <w:t>Die Dienste müssen auf der institutionellen Website durch eine geeignete Profilierungslogik zugänglich sein (das System m</w:t>
            </w:r>
            <w:r w:rsidRPr="00170422">
              <w:rPr>
                <w:noProof/>
                <w:lang w:val="de-DE"/>
              </w:rPr>
              <w:t>uss Dienste von potenziellem Interesse auf der Grundlage des Alters, der Arbeitsmerkmale, der wahrgenommenen Vorteile und der Benutzergeschichte vorschlagen).</w:t>
            </w:r>
          </w:p>
          <w:p w14:paraId="0B87A5EB" w14:textId="77777777" w:rsidR="0057163C" w:rsidRPr="00170422" w:rsidRDefault="00F37BF9">
            <w:pPr>
              <w:pStyle w:val="P68B1DB1-Normal11"/>
              <w:spacing w:before="120"/>
              <w:rPr>
                <w:noProof/>
                <w:szCs w:val="20"/>
                <w:lang w:val="de-DE"/>
              </w:rPr>
            </w:pPr>
            <w:r w:rsidRPr="00170422">
              <w:rPr>
                <w:noProof/>
                <w:lang w:val="de-DE"/>
              </w:rPr>
              <w:t>Die 35 Dienstleistungen beziehen sich auf die folgenden institutionellen Bereiche des INPS:</w:t>
            </w:r>
          </w:p>
          <w:p w14:paraId="6DF4EE94" w14:textId="77777777" w:rsidR="0057163C" w:rsidRPr="00170422" w:rsidRDefault="00F37BF9">
            <w:pPr>
              <w:pStyle w:val="P68B1DB1-Normal11"/>
              <w:ind w:left="292" w:hanging="76"/>
              <w:rPr>
                <w:noProof/>
                <w:szCs w:val="20"/>
                <w:lang w:val="de-DE"/>
              </w:rPr>
            </w:pPr>
            <w:r w:rsidRPr="00170422">
              <w:rPr>
                <w:noProof/>
                <w:lang w:val="de-DE"/>
              </w:rPr>
              <w:t>•Rent</w:t>
            </w:r>
            <w:r w:rsidRPr="00170422">
              <w:rPr>
                <w:noProof/>
                <w:lang w:val="de-DE"/>
              </w:rPr>
              <w:t>enleistungen</w:t>
            </w:r>
          </w:p>
          <w:p w14:paraId="6871852C" w14:textId="77777777" w:rsidR="0057163C" w:rsidRPr="00170422" w:rsidRDefault="00F37BF9">
            <w:pPr>
              <w:pStyle w:val="P68B1DB1-Normal11"/>
              <w:ind w:left="292" w:hanging="76"/>
              <w:rPr>
                <w:noProof/>
                <w:szCs w:val="20"/>
                <w:lang w:val="de-DE"/>
              </w:rPr>
            </w:pPr>
            <w:r w:rsidRPr="00170422">
              <w:rPr>
                <w:noProof/>
                <w:lang w:val="de-DE"/>
              </w:rPr>
              <w:t>•Sozialschock-Absorber</w:t>
            </w:r>
          </w:p>
          <w:p w14:paraId="660EC7EB" w14:textId="77777777" w:rsidR="0057163C" w:rsidRPr="00170422" w:rsidRDefault="00F37BF9">
            <w:pPr>
              <w:pStyle w:val="P68B1DB1-Normal11"/>
              <w:ind w:left="292" w:hanging="76"/>
              <w:rPr>
                <w:noProof/>
                <w:szCs w:val="20"/>
                <w:lang w:val="de-DE"/>
              </w:rPr>
            </w:pPr>
            <w:r w:rsidRPr="00170422">
              <w:rPr>
                <w:noProof/>
                <w:lang w:val="de-DE"/>
              </w:rPr>
              <w:t>•Leistungen bei Arbeitslosigkeit</w:t>
            </w:r>
          </w:p>
          <w:p w14:paraId="60186187" w14:textId="77777777" w:rsidR="0057163C" w:rsidRPr="00170422" w:rsidRDefault="00F37BF9">
            <w:pPr>
              <w:pStyle w:val="P68B1DB1-Normal11"/>
              <w:ind w:left="292" w:hanging="76"/>
              <w:rPr>
                <w:noProof/>
                <w:szCs w:val="20"/>
                <w:lang w:val="de-DE"/>
              </w:rPr>
            </w:pPr>
            <w:r w:rsidRPr="00170422">
              <w:rPr>
                <w:noProof/>
                <w:lang w:val="de-DE"/>
              </w:rPr>
              <w:t>•Behinderungsleistungen</w:t>
            </w:r>
          </w:p>
          <w:p w14:paraId="22626C1C" w14:textId="77777777" w:rsidR="0057163C" w:rsidRPr="00170422" w:rsidRDefault="00F37BF9">
            <w:pPr>
              <w:pStyle w:val="P68B1DB1-Normal11"/>
              <w:ind w:left="292" w:hanging="76"/>
              <w:rPr>
                <w:noProof/>
                <w:szCs w:val="20"/>
                <w:lang w:val="de-DE"/>
              </w:rPr>
            </w:pPr>
            <w:r w:rsidRPr="00170422">
              <w:rPr>
                <w:noProof/>
                <w:lang w:val="de-DE"/>
              </w:rPr>
              <w:t>•Entlassungen</w:t>
            </w:r>
          </w:p>
          <w:p w14:paraId="34DA2F83" w14:textId="77777777" w:rsidR="0057163C" w:rsidRPr="00170422" w:rsidRDefault="00F37BF9">
            <w:pPr>
              <w:pStyle w:val="P68B1DB1-Normal11"/>
              <w:ind w:left="292" w:hanging="76"/>
              <w:rPr>
                <w:noProof/>
                <w:szCs w:val="20"/>
                <w:lang w:val="de-DE"/>
              </w:rPr>
            </w:pPr>
            <w:r w:rsidRPr="00170422">
              <w:rPr>
                <w:noProof/>
                <w:lang w:val="de-DE"/>
              </w:rPr>
              <w:t>•Einziehung von Unternehmensbeiträgen</w:t>
            </w:r>
          </w:p>
          <w:p w14:paraId="315D770D" w14:textId="77777777" w:rsidR="0057163C" w:rsidRPr="00170422" w:rsidRDefault="00F37BF9">
            <w:pPr>
              <w:pStyle w:val="P68B1DB1-Normal11"/>
              <w:ind w:left="292" w:hanging="76"/>
              <w:rPr>
                <w:noProof/>
                <w:szCs w:val="20"/>
                <w:lang w:val="de-DE"/>
              </w:rPr>
            </w:pPr>
            <w:r w:rsidRPr="00170422">
              <w:rPr>
                <w:noProof/>
                <w:lang w:val="de-DE"/>
              </w:rPr>
              <w:t>•Dienstleistungen von Arbeitskräften in der Landwirtschaft</w:t>
            </w:r>
          </w:p>
          <w:p w14:paraId="69AD0BFB" w14:textId="77777777" w:rsidR="0057163C" w:rsidRPr="00170422" w:rsidRDefault="00F37BF9">
            <w:pPr>
              <w:pStyle w:val="P68B1DB1-Normal12"/>
              <w:ind w:left="292" w:hanging="76"/>
              <w:rPr>
                <w:noProof/>
                <w:lang w:val="de-DE"/>
              </w:rPr>
            </w:pPr>
            <w:r w:rsidRPr="00170422">
              <w:rPr>
                <w:noProof/>
                <w:lang w:val="de-DE"/>
              </w:rPr>
              <w:t>•Betrugsbekämpfungs-, Korruptions- und Transparenzd</w:t>
            </w:r>
            <w:r w:rsidRPr="00170422">
              <w:rPr>
                <w:noProof/>
                <w:lang w:val="de-DE"/>
              </w:rPr>
              <w:t>ienste</w:t>
            </w:r>
          </w:p>
          <w:p w14:paraId="2EB1895B" w14:textId="77777777" w:rsidR="0057163C" w:rsidRPr="00170422" w:rsidRDefault="00F37BF9">
            <w:pPr>
              <w:pStyle w:val="P68B1DB1-Normal11"/>
              <w:spacing w:before="120"/>
              <w:rPr>
                <w:noProof/>
                <w:szCs w:val="20"/>
                <w:lang w:val="de-DE"/>
              </w:rPr>
            </w:pPr>
            <w:r w:rsidRPr="00170422">
              <w:rPr>
                <w:noProof/>
                <w:lang w:val="de-DE"/>
              </w:rPr>
              <w:t>In den aufgeführten institutionellen Bereichen betreffen die Dienste, die eingeführt werden sollen, die digitale Einreichung von Dienstleistungsanfragen, die Überprüfung der Anforderungen an den Nutzen, die Überwachung des Status der Praxis durch di</w:t>
            </w:r>
            <w:r w:rsidRPr="00170422">
              <w:rPr>
                <w:noProof/>
                <w:lang w:val="de-DE"/>
              </w:rPr>
              <w:t>e Nutzer, den proaktiven Vorschlag von Diensten auf der Grundlage der Bedürfnisse der Nutzer und die automatische Verlängerung der Vorteile, ohne dass neue Anwendungen erforderlich sind.</w:t>
            </w:r>
          </w:p>
          <w:p w14:paraId="6BEF347C" w14:textId="77777777" w:rsidR="0057163C" w:rsidRPr="00170422" w:rsidRDefault="00F37BF9">
            <w:pPr>
              <w:pStyle w:val="P68B1DB1-Normal12"/>
              <w:spacing w:before="120" w:after="120"/>
              <w:rPr>
                <w:noProof/>
                <w:lang w:val="de-DE"/>
              </w:rPr>
            </w:pPr>
            <w:r w:rsidRPr="00170422">
              <w:rPr>
                <w:noProof/>
                <w:lang w:val="de-DE"/>
              </w:rPr>
              <w:t>Schließlich werden Monitoring-Dashboards eingerichtet, die sowohl die</w:t>
            </w:r>
            <w:r w:rsidRPr="00170422">
              <w:rPr>
                <w:noProof/>
                <w:lang w:val="de-DE"/>
              </w:rPr>
              <w:t xml:space="preserve"> Überwachung der erbrachten Vorteile durch das INPS als auch die datengestützte Unterstützung der politischen Entscheidungsträger ermöglichen.</w:t>
            </w:r>
          </w:p>
        </w:tc>
      </w:tr>
      <w:tr w:rsidR="0057163C" w:rsidRPr="00170422" w14:paraId="28E90062" w14:textId="77777777" w:rsidTr="0051146E">
        <w:trPr>
          <w:trHeight w:val="4119"/>
        </w:trPr>
        <w:tc>
          <w:tcPr>
            <w:tcW w:w="1087" w:type="dxa"/>
            <w:shd w:val="clear" w:color="auto" w:fill="C6EFCE"/>
            <w:noWrap/>
            <w:vAlign w:val="center"/>
          </w:tcPr>
          <w:p w14:paraId="45B40E1B" w14:textId="77777777" w:rsidR="0057163C" w:rsidRPr="00170422" w:rsidRDefault="00F37BF9">
            <w:pPr>
              <w:pStyle w:val="P68B1DB1-Normal11"/>
              <w:jc w:val="center"/>
              <w:rPr>
                <w:noProof/>
                <w:szCs w:val="20"/>
                <w:lang w:val="de-DE"/>
              </w:rPr>
            </w:pPr>
            <w:r w:rsidRPr="00170422">
              <w:rPr>
                <w:noProof/>
                <w:lang w:val="de-DE"/>
              </w:rPr>
              <w:t>M1C1-133</w:t>
            </w:r>
          </w:p>
        </w:tc>
        <w:tc>
          <w:tcPr>
            <w:tcW w:w="1943" w:type="dxa"/>
            <w:shd w:val="clear" w:color="auto" w:fill="C6EFCE"/>
            <w:noWrap/>
            <w:vAlign w:val="center"/>
          </w:tcPr>
          <w:p w14:paraId="278E00AB" w14:textId="77777777" w:rsidR="0057163C" w:rsidRPr="00170422" w:rsidRDefault="00F37BF9">
            <w:pPr>
              <w:pStyle w:val="P68B1DB1-Normal11"/>
              <w:jc w:val="center"/>
              <w:rPr>
                <w:noProof/>
                <w:szCs w:val="20"/>
                <w:lang w:val="de-DE"/>
              </w:rPr>
            </w:pPr>
            <w:r w:rsidRPr="00170422">
              <w:rPr>
                <w:noProof/>
                <w:lang w:val="de-DE"/>
              </w:rPr>
              <w:t>Investition 1.6.3 – Digitalisierung der nationalen Sozialversicherungsanstalt (INPS) und des Nationalen</w:t>
            </w:r>
            <w:r w:rsidRPr="00170422">
              <w:rPr>
                <w:noProof/>
                <w:lang w:val="de-DE"/>
              </w:rPr>
              <w:t xml:space="preserve"> Instituts für die Unfallversicherung (INAIL)</w:t>
            </w:r>
          </w:p>
        </w:tc>
        <w:tc>
          <w:tcPr>
            <w:tcW w:w="1176" w:type="dxa"/>
            <w:shd w:val="clear" w:color="auto" w:fill="C6EFCE"/>
            <w:noWrap/>
            <w:vAlign w:val="center"/>
          </w:tcPr>
          <w:p w14:paraId="0DBC7851"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126066E3" w14:textId="77777777" w:rsidR="0057163C" w:rsidRPr="00170422" w:rsidRDefault="00F37BF9">
            <w:pPr>
              <w:pStyle w:val="P68B1DB1-Normal11"/>
              <w:jc w:val="center"/>
              <w:rPr>
                <w:noProof/>
                <w:szCs w:val="20"/>
                <w:lang w:val="de-DE"/>
              </w:rPr>
            </w:pPr>
            <w:r w:rsidRPr="00170422">
              <w:rPr>
                <w:noProof/>
                <w:lang w:val="de-DE"/>
              </w:rPr>
              <w:t>INPS – Arbeitnehmer mit verbesserten Kenntnissen im Bereich der Informations- und Kommunikationstechnologien (IKT) T2</w:t>
            </w:r>
          </w:p>
        </w:tc>
        <w:tc>
          <w:tcPr>
            <w:tcW w:w="1701" w:type="dxa"/>
            <w:shd w:val="clear" w:color="auto" w:fill="C6EFCE"/>
            <w:noWrap/>
            <w:vAlign w:val="center"/>
          </w:tcPr>
          <w:p w14:paraId="1757D36E"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1F56E8F2"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6433586A" w14:textId="77777777" w:rsidR="0057163C" w:rsidRPr="00170422" w:rsidRDefault="00F37BF9">
            <w:pPr>
              <w:pStyle w:val="P68B1DB1-Normal11"/>
              <w:jc w:val="center"/>
              <w:rPr>
                <w:noProof/>
                <w:szCs w:val="20"/>
                <w:lang w:val="de-DE"/>
              </w:rPr>
            </w:pPr>
            <w:r w:rsidRPr="00170422">
              <w:rPr>
                <w:noProof/>
                <w:lang w:val="de-DE"/>
              </w:rPr>
              <w:t>4 250</w:t>
            </w:r>
          </w:p>
        </w:tc>
        <w:tc>
          <w:tcPr>
            <w:tcW w:w="1233" w:type="dxa"/>
            <w:shd w:val="clear" w:color="auto" w:fill="C6EFCE"/>
            <w:noWrap/>
            <w:vAlign w:val="center"/>
          </w:tcPr>
          <w:p w14:paraId="20D3C5CF" w14:textId="77777777" w:rsidR="0057163C" w:rsidRPr="00170422" w:rsidRDefault="00F37BF9">
            <w:pPr>
              <w:pStyle w:val="P68B1DB1-Normal11"/>
              <w:jc w:val="center"/>
              <w:rPr>
                <w:noProof/>
                <w:szCs w:val="20"/>
                <w:lang w:val="de-DE"/>
              </w:rPr>
            </w:pPr>
            <w:r w:rsidRPr="00170422">
              <w:rPr>
                <w:noProof/>
                <w:lang w:val="de-DE"/>
              </w:rPr>
              <w:t>8 500</w:t>
            </w:r>
          </w:p>
        </w:tc>
        <w:tc>
          <w:tcPr>
            <w:tcW w:w="793" w:type="dxa"/>
            <w:shd w:val="clear" w:color="auto" w:fill="C6EFCE"/>
            <w:noWrap/>
            <w:vAlign w:val="center"/>
          </w:tcPr>
          <w:p w14:paraId="77584DDE"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11B03C48"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310548BC" w14:textId="77777777" w:rsidR="0057163C" w:rsidRPr="00170422" w:rsidRDefault="00F37BF9">
            <w:pPr>
              <w:pStyle w:val="P68B1DB1-Normal12"/>
              <w:spacing w:after="120"/>
              <w:rPr>
                <w:noProof/>
                <w:lang w:val="de-DE"/>
              </w:rPr>
            </w:pPr>
            <w:r w:rsidRPr="00170422">
              <w:rPr>
                <w:noProof/>
                <w:lang w:val="de-DE"/>
              </w:rPr>
              <w:t>Weitere 4250 INPS-Mitarbeiter wurden mit z</w:t>
            </w:r>
            <w:r w:rsidRPr="00170422">
              <w:rPr>
                <w:noProof/>
                <w:lang w:val="de-DE"/>
              </w:rPr>
              <w:t>ertifizierten verbesserten Kompetenzen in den folgenden Bereichen des europäischen Rahmens für elektronische Kompetenzen bewertet: I) Plan; II) Build; III) Run (iv) Enable; V) Verwaltung.</w:t>
            </w:r>
          </w:p>
          <w:p w14:paraId="32C41F14" w14:textId="77777777" w:rsidR="0057163C" w:rsidRPr="00170422" w:rsidRDefault="00F37BF9">
            <w:pPr>
              <w:pStyle w:val="P68B1DB1-Normal12"/>
              <w:spacing w:after="120"/>
              <w:rPr>
                <w:noProof/>
                <w:lang w:val="de-DE"/>
              </w:rPr>
            </w:pPr>
            <w:r w:rsidRPr="00170422">
              <w:rPr>
                <w:noProof/>
                <w:lang w:val="de-DE"/>
              </w:rPr>
              <w:t>Die Bereiche für die Verbesserung der Kompetenzen werden entsprechen</w:t>
            </w:r>
            <w:r w:rsidRPr="00170422">
              <w:rPr>
                <w:noProof/>
                <w:lang w:val="de-DE"/>
              </w:rPr>
              <w:t>d der Zielgruppe der Lernenden festgelegt.</w:t>
            </w:r>
          </w:p>
        </w:tc>
      </w:tr>
      <w:tr w:rsidR="0057163C" w:rsidRPr="00170422" w14:paraId="4CF3B888" w14:textId="77777777" w:rsidTr="0051146E">
        <w:trPr>
          <w:trHeight w:val="1276"/>
        </w:trPr>
        <w:tc>
          <w:tcPr>
            <w:tcW w:w="108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C07956" w14:textId="77777777" w:rsidR="0057163C" w:rsidRPr="00170422" w:rsidRDefault="00F37BF9">
            <w:pPr>
              <w:pStyle w:val="P68B1DB1-Normal11"/>
              <w:jc w:val="center"/>
              <w:rPr>
                <w:noProof/>
                <w:szCs w:val="20"/>
                <w:lang w:val="de-DE"/>
              </w:rPr>
            </w:pPr>
            <w:r w:rsidRPr="00170422">
              <w:rPr>
                <w:noProof/>
                <w:lang w:val="de-DE"/>
              </w:rPr>
              <w:t>M1C1-134</w:t>
            </w:r>
          </w:p>
        </w:tc>
        <w:tc>
          <w:tcPr>
            <w:tcW w:w="19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B8187" w14:textId="77777777" w:rsidR="0057163C" w:rsidRPr="00170422" w:rsidRDefault="00F37BF9">
            <w:pPr>
              <w:pStyle w:val="P68B1DB1-Normal11"/>
              <w:jc w:val="center"/>
              <w:rPr>
                <w:noProof/>
                <w:szCs w:val="20"/>
                <w:lang w:val="de-DE"/>
              </w:rPr>
            </w:pPr>
            <w:r w:rsidRPr="00170422">
              <w:rPr>
                <w:noProof/>
                <w:lang w:val="de-DE"/>
              </w:rPr>
              <w:t>Investition 1.6.3 – Digitalisierung der nationalen Sozialversicherungsanstalt (INPS) und des Nationalen Instituts für die Unfallversicherung (INAIL)</w:t>
            </w:r>
          </w:p>
        </w:tc>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4F51A" w14:textId="77777777" w:rsidR="0057163C" w:rsidRPr="00170422" w:rsidRDefault="00F37BF9">
            <w:pPr>
              <w:pStyle w:val="P68B1DB1-Normal11"/>
              <w:jc w:val="center"/>
              <w:rPr>
                <w:noProof/>
                <w:szCs w:val="20"/>
                <w:lang w:val="de-DE"/>
              </w:rPr>
            </w:pPr>
            <w:r w:rsidRPr="00170422">
              <w:rPr>
                <w:noProof/>
                <w:lang w:val="de-DE"/>
              </w:rPr>
              <w:t>Ziel</w:t>
            </w:r>
          </w:p>
        </w:tc>
        <w:tc>
          <w:tcPr>
            <w:tcW w:w="194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5BD736" w14:textId="77777777" w:rsidR="0057163C" w:rsidRPr="00170422" w:rsidRDefault="00F37BF9">
            <w:pPr>
              <w:pStyle w:val="P68B1DB1-Normal11"/>
              <w:jc w:val="center"/>
              <w:rPr>
                <w:noProof/>
                <w:szCs w:val="20"/>
                <w:lang w:val="de-DE"/>
              </w:rPr>
            </w:pPr>
            <w:r w:rsidRPr="00170422">
              <w:rPr>
                <w:noProof/>
                <w:lang w:val="de-DE"/>
              </w:rPr>
              <w:t xml:space="preserve">INAIL – vollständig umgerüstete und </w:t>
            </w:r>
            <w:r w:rsidRPr="00170422">
              <w:rPr>
                <w:noProof/>
                <w:lang w:val="de-DE"/>
              </w:rPr>
              <w:t>digitalisierte Prozesse/Dienstleistungen T1</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C1A9E"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75FDBC"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93E313" w14:textId="77777777" w:rsidR="0057163C" w:rsidRPr="00170422" w:rsidRDefault="00F37BF9">
            <w:pPr>
              <w:pStyle w:val="P68B1DB1-Normal11"/>
              <w:jc w:val="center"/>
              <w:rPr>
                <w:noProof/>
                <w:szCs w:val="20"/>
                <w:lang w:val="de-DE"/>
              </w:rPr>
            </w:pPr>
            <w:r w:rsidRPr="00170422">
              <w:rPr>
                <w:noProof/>
                <w:lang w:val="de-DE"/>
              </w:rPr>
              <w:t>29</w:t>
            </w:r>
          </w:p>
        </w:tc>
        <w:tc>
          <w:tcPr>
            <w:tcW w:w="123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7B1836" w14:textId="77777777" w:rsidR="0057163C" w:rsidRPr="00170422" w:rsidRDefault="00F37BF9">
            <w:pPr>
              <w:pStyle w:val="P68B1DB1-Normal11"/>
              <w:jc w:val="center"/>
              <w:rPr>
                <w:noProof/>
                <w:szCs w:val="20"/>
                <w:lang w:val="de-DE"/>
              </w:rPr>
            </w:pPr>
            <w:r w:rsidRPr="00170422">
              <w:rPr>
                <w:noProof/>
                <w:lang w:val="de-DE"/>
              </w:rPr>
              <w:t>53</w:t>
            </w:r>
          </w:p>
        </w:tc>
        <w:tc>
          <w:tcPr>
            <w:tcW w:w="7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C8DF6"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ECEA4" w14:textId="77777777" w:rsidR="0057163C" w:rsidRPr="00170422" w:rsidRDefault="00F37BF9">
            <w:pPr>
              <w:pStyle w:val="P68B1DB1-Normal11"/>
              <w:jc w:val="center"/>
              <w:rPr>
                <w:noProof/>
                <w:szCs w:val="20"/>
                <w:lang w:val="de-DE"/>
              </w:rPr>
            </w:pPr>
            <w:r w:rsidRPr="00170422">
              <w:rPr>
                <w:noProof/>
                <w:lang w:val="de-DE"/>
              </w:rPr>
              <w:t>2023</w:t>
            </w:r>
          </w:p>
        </w:tc>
        <w:tc>
          <w:tcPr>
            <w:tcW w:w="25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0A2CDD" w14:textId="77777777" w:rsidR="0057163C" w:rsidRPr="00170422" w:rsidRDefault="00F37BF9">
            <w:pPr>
              <w:pStyle w:val="P68B1DB1-Normal12"/>
              <w:spacing w:after="120"/>
              <w:rPr>
                <w:noProof/>
                <w:lang w:val="de-DE"/>
              </w:rPr>
            </w:pPr>
            <w:r w:rsidRPr="00170422">
              <w:rPr>
                <w:noProof/>
                <w:lang w:val="de-DE"/>
              </w:rPr>
              <w:t xml:space="preserve">Ziel ist es, 53 (52 %) neu konzipierte institutionelle Prozesse und Dienstleistungen zu erreichen, um sie vollständig zu digitalisieren. </w:t>
            </w:r>
          </w:p>
          <w:p w14:paraId="5667F878" w14:textId="77777777" w:rsidR="0057163C" w:rsidRPr="00170422" w:rsidRDefault="00F37BF9">
            <w:pPr>
              <w:pStyle w:val="P68B1DB1-Normal12"/>
              <w:spacing w:after="120"/>
              <w:rPr>
                <w:noProof/>
                <w:lang w:val="de-DE"/>
              </w:rPr>
            </w:pPr>
            <w:r w:rsidRPr="00170422">
              <w:rPr>
                <w:noProof/>
                <w:lang w:val="de-DE"/>
              </w:rPr>
              <w:t>Die beteiligten INAIL-Bereiche sind</w:t>
            </w:r>
            <w:r w:rsidRPr="00170422">
              <w:rPr>
                <w:noProof/>
                <w:lang w:val="de-DE"/>
              </w:rPr>
              <w:t>: Versicherungs-, Sozial- und Gesundheitsdienstleistungen, Prävention und Sicherheit, Zertifizierungen und Überprüfungen.</w:t>
            </w:r>
          </w:p>
          <w:p w14:paraId="6DB3F9CB" w14:textId="77777777" w:rsidR="0057163C" w:rsidRPr="00170422" w:rsidRDefault="00F37BF9">
            <w:pPr>
              <w:pStyle w:val="P68B1DB1-Normal11"/>
              <w:spacing w:after="120"/>
              <w:rPr>
                <w:noProof/>
                <w:szCs w:val="20"/>
                <w:lang w:val="de-DE"/>
              </w:rPr>
            </w:pPr>
            <w:r w:rsidRPr="00170422">
              <w:rPr>
                <w:noProof/>
                <w:lang w:val="de-DE"/>
              </w:rPr>
              <w:t xml:space="preserve">Insbesondere wird das erwartete Ziel für jedes Gebiet oben dargelegt: </w:t>
            </w:r>
          </w:p>
          <w:p w14:paraId="2C82D7A9" w14:textId="77777777" w:rsidR="0057163C" w:rsidRPr="00170422" w:rsidRDefault="00F37BF9">
            <w:pPr>
              <w:pStyle w:val="P68B1DB1-ListParagraph15"/>
              <w:numPr>
                <w:ilvl w:val="0"/>
                <w:numId w:val="23"/>
              </w:numPr>
              <w:spacing w:before="120" w:after="120" w:line="240" w:lineRule="auto"/>
              <w:ind w:left="377" w:hanging="283"/>
              <w:rPr>
                <w:noProof/>
                <w:szCs w:val="20"/>
                <w:lang w:val="de-DE"/>
              </w:rPr>
            </w:pPr>
            <w:r w:rsidRPr="00170422">
              <w:rPr>
                <w:noProof/>
                <w:lang w:val="de-DE"/>
              </w:rPr>
              <w:t xml:space="preserve">Versicherung: 8 (25 %); </w:t>
            </w:r>
          </w:p>
          <w:p w14:paraId="32982C10" w14:textId="77777777" w:rsidR="0057163C" w:rsidRPr="00170422" w:rsidRDefault="00F37BF9">
            <w:pPr>
              <w:pStyle w:val="P68B1DB1-ListParagraph15"/>
              <w:numPr>
                <w:ilvl w:val="0"/>
                <w:numId w:val="23"/>
              </w:numPr>
              <w:spacing w:before="120" w:after="120" w:line="240" w:lineRule="auto"/>
              <w:ind w:left="377" w:hanging="283"/>
              <w:rPr>
                <w:noProof/>
                <w:szCs w:val="20"/>
                <w:lang w:val="de-DE"/>
              </w:rPr>
            </w:pPr>
            <w:r w:rsidRPr="00170422">
              <w:rPr>
                <w:noProof/>
                <w:lang w:val="de-DE"/>
              </w:rPr>
              <w:t>Sozial- und Gesundheitsdienste: 18 (50</w:t>
            </w:r>
            <w:r w:rsidRPr="00170422">
              <w:rPr>
                <w:noProof/>
                <w:lang w:val="de-DE"/>
              </w:rPr>
              <w:t> %);</w:t>
            </w:r>
          </w:p>
          <w:p w14:paraId="12DF2819" w14:textId="77777777" w:rsidR="0057163C" w:rsidRPr="00170422" w:rsidRDefault="00F37BF9">
            <w:pPr>
              <w:pStyle w:val="P68B1DB1-ListParagraph15"/>
              <w:numPr>
                <w:ilvl w:val="0"/>
                <w:numId w:val="23"/>
              </w:numPr>
              <w:spacing w:before="120" w:after="120" w:line="240" w:lineRule="auto"/>
              <w:ind w:left="377" w:hanging="283"/>
              <w:rPr>
                <w:noProof/>
                <w:szCs w:val="20"/>
                <w:lang w:val="de-DE"/>
              </w:rPr>
            </w:pPr>
            <w:r w:rsidRPr="00170422">
              <w:rPr>
                <w:noProof/>
                <w:lang w:val="de-DE"/>
              </w:rPr>
              <w:t>Prävention und Sicherheit: 9 (80 %);</w:t>
            </w:r>
          </w:p>
          <w:p w14:paraId="16120919" w14:textId="77777777" w:rsidR="0057163C" w:rsidRPr="00170422" w:rsidRDefault="00F37BF9">
            <w:pPr>
              <w:pStyle w:val="P68B1DB1-ListParagraph15"/>
              <w:numPr>
                <w:ilvl w:val="0"/>
                <w:numId w:val="23"/>
              </w:numPr>
              <w:spacing w:before="120" w:after="120" w:line="240" w:lineRule="auto"/>
              <w:ind w:left="377" w:hanging="283"/>
              <w:rPr>
                <w:noProof/>
                <w:szCs w:val="20"/>
                <w:lang w:val="de-DE"/>
              </w:rPr>
            </w:pPr>
            <w:r w:rsidRPr="00170422">
              <w:rPr>
                <w:noProof/>
                <w:lang w:val="de-DE"/>
              </w:rPr>
              <w:t>Zertifizierungen und Überprüfungen: 18 (80 %).</w:t>
            </w:r>
          </w:p>
        </w:tc>
      </w:tr>
      <w:tr w:rsidR="0057163C" w:rsidRPr="00170422" w14:paraId="49A83CDF" w14:textId="77777777" w:rsidTr="0051146E">
        <w:trPr>
          <w:trHeight w:val="309"/>
        </w:trPr>
        <w:tc>
          <w:tcPr>
            <w:tcW w:w="1087" w:type="dxa"/>
            <w:shd w:val="clear" w:color="auto" w:fill="C6EFCE"/>
            <w:noWrap/>
            <w:vAlign w:val="center"/>
          </w:tcPr>
          <w:p w14:paraId="3CFB18F1" w14:textId="77777777" w:rsidR="0057163C" w:rsidRPr="00170422" w:rsidRDefault="00F37BF9">
            <w:pPr>
              <w:pStyle w:val="P68B1DB1-Normal11"/>
              <w:jc w:val="center"/>
              <w:rPr>
                <w:noProof/>
                <w:szCs w:val="20"/>
                <w:lang w:val="de-DE"/>
              </w:rPr>
            </w:pPr>
            <w:r w:rsidRPr="00170422">
              <w:rPr>
                <w:noProof/>
                <w:lang w:val="de-DE"/>
              </w:rPr>
              <w:t>M1C1-135</w:t>
            </w:r>
          </w:p>
        </w:tc>
        <w:tc>
          <w:tcPr>
            <w:tcW w:w="1943" w:type="dxa"/>
            <w:shd w:val="clear" w:color="auto" w:fill="C6EFCE"/>
            <w:noWrap/>
            <w:vAlign w:val="center"/>
          </w:tcPr>
          <w:p w14:paraId="07F89FBC"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68149C07"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79B2A33D" w14:textId="77777777" w:rsidR="0057163C" w:rsidRPr="00170422" w:rsidRDefault="00F37BF9">
            <w:pPr>
              <w:pStyle w:val="P68B1DB1-Normal12"/>
              <w:jc w:val="center"/>
              <w:rPr>
                <w:noProof/>
                <w:lang w:val="de-DE"/>
              </w:rPr>
            </w:pPr>
            <w:r w:rsidRPr="00170422">
              <w:rPr>
                <w:noProof/>
                <w:lang w:val="de-DE"/>
              </w:rPr>
              <w:t>Verteidigungsministerium – Digitalisierung der Verfahren T1</w:t>
            </w:r>
          </w:p>
        </w:tc>
        <w:tc>
          <w:tcPr>
            <w:tcW w:w="1701" w:type="dxa"/>
            <w:shd w:val="clear" w:color="auto" w:fill="C6EFCE"/>
            <w:noWrap/>
            <w:vAlign w:val="center"/>
          </w:tcPr>
          <w:p w14:paraId="552D4E2D"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461CE74B"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5DE20501" w14:textId="77777777" w:rsidR="0057163C" w:rsidRPr="00170422" w:rsidRDefault="00F37BF9">
            <w:pPr>
              <w:pStyle w:val="P68B1DB1-Normal11"/>
              <w:jc w:val="center"/>
              <w:rPr>
                <w:noProof/>
                <w:szCs w:val="20"/>
                <w:lang w:val="de-DE"/>
              </w:rPr>
            </w:pPr>
            <w:r w:rsidRPr="00170422">
              <w:rPr>
                <w:noProof/>
                <w:lang w:val="de-DE"/>
              </w:rPr>
              <w:t>4</w:t>
            </w:r>
          </w:p>
        </w:tc>
        <w:tc>
          <w:tcPr>
            <w:tcW w:w="1233" w:type="dxa"/>
            <w:shd w:val="clear" w:color="auto" w:fill="C6EFCE"/>
            <w:noWrap/>
            <w:vAlign w:val="center"/>
          </w:tcPr>
          <w:p w14:paraId="42E6F29F" w14:textId="77777777" w:rsidR="0057163C" w:rsidRPr="00170422" w:rsidRDefault="00F37BF9">
            <w:pPr>
              <w:pStyle w:val="P68B1DB1-Normal11"/>
              <w:jc w:val="center"/>
              <w:rPr>
                <w:noProof/>
                <w:szCs w:val="20"/>
                <w:lang w:val="de-DE"/>
              </w:rPr>
            </w:pPr>
            <w:r w:rsidRPr="00170422">
              <w:rPr>
                <w:noProof/>
                <w:lang w:val="de-DE"/>
              </w:rPr>
              <w:t>15</w:t>
            </w:r>
          </w:p>
        </w:tc>
        <w:tc>
          <w:tcPr>
            <w:tcW w:w="793" w:type="dxa"/>
            <w:shd w:val="clear" w:color="auto" w:fill="C6EFCE"/>
            <w:noWrap/>
            <w:vAlign w:val="center"/>
          </w:tcPr>
          <w:p w14:paraId="30F68FE2" w14:textId="77777777" w:rsidR="0057163C" w:rsidRPr="00170422" w:rsidRDefault="00F37BF9">
            <w:pPr>
              <w:pStyle w:val="P68B1DB1-Normal11"/>
              <w:jc w:val="center"/>
              <w:rPr>
                <w:noProof/>
                <w:szCs w:val="20"/>
                <w:lang w:val="de-DE"/>
              </w:rPr>
            </w:pPr>
            <w:r w:rsidRPr="00170422">
              <w:rPr>
                <w:noProof/>
                <w:lang w:val="de-DE"/>
              </w:rPr>
              <w:t xml:space="preserve">4. </w:t>
            </w:r>
            <w:r w:rsidRPr="00170422">
              <w:rPr>
                <w:noProof/>
                <w:lang w:val="de-DE"/>
              </w:rPr>
              <w:t>QUARTAL</w:t>
            </w:r>
          </w:p>
        </w:tc>
        <w:tc>
          <w:tcPr>
            <w:tcW w:w="625" w:type="dxa"/>
            <w:shd w:val="clear" w:color="auto" w:fill="C6EFCE"/>
            <w:noWrap/>
            <w:vAlign w:val="center"/>
          </w:tcPr>
          <w:p w14:paraId="7DFAADEF"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14EFAC0D" w14:textId="77777777" w:rsidR="0057163C" w:rsidRPr="00170422" w:rsidRDefault="00F37BF9">
            <w:pPr>
              <w:pStyle w:val="P68B1DB1-Normal12"/>
              <w:spacing w:after="120"/>
              <w:rPr>
                <w:noProof/>
                <w:lang w:val="de-DE"/>
              </w:rPr>
            </w:pPr>
            <w:r w:rsidRPr="00170422">
              <w:rPr>
                <w:noProof/>
                <w:lang w:val="de-DE"/>
              </w:rPr>
              <w:t>Digitalisierung, Überarbeitung und Automatisierung von 15 Verfahren im Zusammenhang mit der Verwaltung des Verteidigungspersonals (wie Einstellung, Beschäftigung und Ruhestand, Gesundheit der Beschäftigten), ausgehend von einem Ausgangswert vo</w:t>
            </w:r>
            <w:r w:rsidRPr="00170422">
              <w:rPr>
                <w:noProof/>
                <w:lang w:val="de-DE"/>
              </w:rPr>
              <w:t>n vier bereits digitalisierten Verfahren.</w:t>
            </w:r>
          </w:p>
        </w:tc>
      </w:tr>
      <w:tr w:rsidR="0057163C" w:rsidRPr="00170422" w14:paraId="7402416C" w14:textId="77777777" w:rsidTr="0051146E">
        <w:trPr>
          <w:trHeight w:val="309"/>
        </w:trPr>
        <w:tc>
          <w:tcPr>
            <w:tcW w:w="1087" w:type="dxa"/>
            <w:shd w:val="clear" w:color="auto" w:fill="C6EFCE"/>
            <w:noWrap/>
            <w:vAlign w:val="center"/>
          </w:tcPr>
          <w:p w14:paraId="56342228" w14:textId="77777777" w:rsidR="0057163C" w:rsidRPr="00170422" w:rsidRDefault="00F37BF9">
            <w:pPr>
              <w:pStyle w:val="P68B1DB1-Normal11"/>
              <w:jc w:val="center"/>
              <w:rPr>
                <w:noProof/>
                <w:szCs w:val="20"/>
                <w:lang w:val="de-DE"/>
              </w:rPr>
            </w:pPr>
            <w:r w:rsidRPr="00170422">
              <w:rPr>
                <w:noProof/>
                <w:lang w:val="de-DE"/>
              </w:rPr>
              <w:t>M1C1-136</w:t>
            </w:r>
          </w:p>
        </w:tc>
        <w:tc>
          <w:tcPr>
            <w:tcW w:w="1943" w:type="dxa"/>
            <w:shd w:val="clear" w:color="auto" w:fill="C6EFCE"/>
            <w:noWrap/>
            <w:vAlign w:val="center"/>
          </w:tcPr>
          <w:p w14:paraId="290F4EFF"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4B5646C8"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47E63EB2" w14:textId="77777777" w:rsidR="0057163C" w:rsidRPr="00170422" w:rsidRDefault="00F37BF9">
            <w:pPr>
              <w:pStyle w:val="P68B1DB1-Normal12"/>
              <w:jc w:val="center"/>
              <w:rPr>
                <w:noProof/>
                <w:lang w:val="de-DE"/>
              </w:rPr>
            </w:pPr>
            <w:r w:rsidRPr="00170422">
              <w:rPr>
                <w:noProof/>
                <w:lang w:val="de-DE"/>
              </w:rPr>
              <w:t>Verteidigungsministerium – Digitalisierung der Zertifikate T1</w:t>
            </w:r>
          </w:p>
        </w:tc>
        <w:tc>
          <w:tcPr>
            <w:tcW w:w="1701" w:type="dxa"/>
            <w:shd w:val="clear" w:color="auto" w:fill="C6EFCE"/>
            <w:noWrap/>
            <w:vAlign w:val="center"/>
          </w:tcPr>
          <w:p w14:paraId="67001CE9"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0A620637" w14:textId="77777777" w:rsidR="0057163C" w:rsidRPr="00170422" w:rsidRDefault="00F37BF9">
            <w:pPr>
              <w:pStyle w:val="P68B1DB1-Normal11"/>
              <w:jc w:val="center"/>
              <w:rPr>
                <w:noProof/>
                <w:szCs w:val="20"/>
                <w:lang w:val="de-DE"/>
              </w:rPr>
            </w:pPr>
            <w:r w:rsidRPr="00170422">
              <w:rPr>
                <w:noProof/>
                <w:lang w:val="de-DE"/>
              </w:rPr>
              <w:t>Anzahl der digitalisierten Zertifikate</w:t>
            </w:r>
          </w:p>
        </w:tc>
        <w:tc>
          <w:tcPr>
            <w:tcW w:w="1460" w:type="dxa"/>
            <w:shd w:val="clear" w:color="auto" w:fill="C6EFCE"/>
            <w:noWrap/>
            <w:vAlign w:val="center"/>
          </w:tcPr>
          <w:p w14:paraId="6D953136" w14:textId="77777777" w:rsidR="0057163C" w:rsidRPr="00170422" w:rsidRDefault="00F37BF9">
            <w:pPr>
              <w:pStyle w:val="P68B1DB1-Normal11"/>
              <w:jc w:val="center"/>
              <w:rPr>
                <w:noProof/>
                <w:szCs w:val="20"/>
                <w:lang w:val="de-DE"/>
              </w:rPr>
            </w:pPr>
            <w:r w:rsidRPr="00170422">
              <w:rPr>
                <w:noProof/>
                <w:lang w:val="de-DE"/>
              </w:rPr>
              <w:t>190 000</w:t>
            </w:r>
          </w:p>
        </w:tc>
        <w:tc>
          <w:tcPr>
            <w:tcW w:w="1233" w:type="dxa"/>
            <w:shd w:val="clear" w:color="auto" w:fill="C6EFCE"/>
            <w:noWrap/>
            <w:vAlign w:val="center"/>
          </w:tcPr>
          <w:p w14:paraId="0F8DDE87" w14:textId="77777777" w:rsidR="0057163C" w:rsidRPr="00170422" w:rsidRDefault="00F37BF9">
            <w:pPr>
              <w:pStyle w:val="P68B1DB1-Normal11"/>
              <w:jc w:val="center"/>
              <w:rPr>
                <w:noProof/>
                <w:szCs w:val="20"/>
                <w:lang w:val="de-DE"/>
              </w:rPr>
            </w:pPr>
            <w:r w:rsidRPr="00170422">
              <w:rPr>
                <w:noProof/>
                <w:lang w:val="de-DE"/>
              </w:rPr>
              <w:t>450 000</w:t>
            </w:r>
          </w:p>
        </w:tc>
        <w:tc>
          <w:tcPr>
            <w:tcW w:w="793" w:type="dxa"/>
            <w:shd w:val="clear" w:color="auto" w:fill="C6EFCE"/>
            <w:noWrap/>
            <w:vAlign w:val="center"/>
          </w:tcPr>
          <w:p w14:paraId="509EA8E6" w14:textId="77777777" w:rsidR="0057163C" w:rsidRPr="00170422" w:rsidRDefault="00F37BF9">
            <w:pPr>
              <w:pStyle w:val="P68B1DB1-Normal11"/>
              <w:jc w:val="center"/>
              <w:rPr>
                <w:noProof/>
                <w:szCs w:val="20"/>
                <w:lang w:val="de-DE"/>
              </w:rPr>
            </w:pPr>
            <w:r w:rsidRPr="00170422">
              <w:rPr>
                <w:noProof/>
                <w:lang w:val="de-DE"/>
              </w:rPr>
              <w:t xml:space="preserve">4. </w:t>
            </w:r>
            <w:r w:rsidRPr="00170422">
              <w:rPr>
                <w:noProof/>
                <w:lang w:val="de-DE"/>
              </w:rPr>
              <w:t>QUARTAL</w:t>
            </w:r>
          </w:p>
        </w:tc>
        <w:tc>
          <w:tcPr>
            <w:tcW w:w="625" w:type="dxa"/>
            <w:shd w:val="clear" w:color="auto" w:fill="C6EFCE"/>
            <w:noWrap/>
            <w:vAlign w:val="center"/>
          </w:tcPr>
          <w:p w14:paraId="71C260CF"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4908DC8F" w14:textId="77777777" w:rsidR="0057163C" w:rsidRPr="00170422" w:rsidRDefault="00F37BF9">
            <w:pPr>
              <w:pStyle w:val="P68B1DB1-Normal12"/>
              <w:spacing w:after="120"/>
              <w:rPr>
                <w:noProof/>
                <w:lang w:val="de-DE"/>
              </w:rPr>
            </w:pPr>
            <w:r w:rsidRPr="00170422">
              <w:rPr>
                <w:noProof/>
                <w:lang w:val="de-DE"/>
              </w:rPr>
              <w:t xml:space="preserve">Zahl der vom Verteidigungsministerium ausgestellten digitalisierten Identitätsbescheinigungen (450000), die auf der Infrastruktur betrieben werden, ergänzt durch einen Standort für die Wiederherstellung nach einem Notfall, beginnend mit einem </w:t>
            </w:r>
            <w:r w:rsidRPr="00170422">
              <w:rPr>
                <w:noProof/>
                <w:lang w:val="de-DE"/>
              </w:rPr>
              <w:t>Basisszenario von 190000 bereits digitalisierten Zertifikaten.</w:t>
            </w:r>
          </w:p>
        </w:tc>
      </w:tr>
      <w:tr w:rsidR="0057163C" w:rsidRPr="00170422" w14:paraId="79E1D779" w14:textId="77777777" w:rsidTr="0051146E">
        <w:trPr>
          <w:trHeight w:val="309"/>
        </w:trPr>
        <w:tc>
          <w:tcPr>
            <w:tcW w:w="1087" w:type="dxa"/>
            <w:shd w:val="clear" w:color="auto" w:fill="C6EFCE"/>
            <w:noWrap/>
            <w:vAlign w:val="center"/>
          </w:tcPr>
          <w:p w14:paraId="1594C685" w14:textId="77777777" w:rsidR="0057163C" w:rsidRPr="00170422" w:rsidRDefault="00F37BF9">
            <w:pPr>
              <w:pStyle w:val="P68B1DB1-Normal11"/>
              <w:jc w:val="center"/>
              <w:rPr>
                <w:noProof/>
                <w:szCs w:val="20"/>
                <w:lang w:val="de-DE"/>
              </w:rPr>
            </w:pPr>
            <w:r w:rsidRPr="00170422">
              <w:rPr>
                <w:noProof/>
                <w:lang w:val="de-DE"/>
              </w:rPr>
              <w:t>M1C1-137</w:t>
            </w:r>
          </w:p>
        </w:tc>
        <w:tc>
          <w:tcPr>
            <w:tcW w:w="1943" w:type="dxa"/>
            <w:shd w:val="clear" w:color="auto" w:fill="C6EFCE"/>
            <w:noWrap/>
            <w:vAlign w:val="center"/>
          </w:tcPr>
          <w:p w14:paraId="0790A094"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526D1373" w14:textId="77777777" w:rsidR="0057163C" w:rsidRPr="00170422" w:rsidRDefault="00F37BF9">
            <w:pPr>
              <w:pStyle w:val="P68B1DB1-Normal11"/>
              <w:jc w:val="center"/>
              <w:rPr>
                <w:noProof/>
                <w:szCs w:val="20"/>
                <w:lang w:val="de-DE"/>
              </w:rPr>
            </w:pPr>
            <w:r w:rsidRPr="00170422">
              <w:rPr>
                <w:noProof/>
                <w:lang w:val="de-DE"/>
              </w:rPr>
              <w:t>Meilenstein</w:t>
            </w:r>
          </w:p>
        </w:tc>
        <w:tc>
          <w:tcPr>
            <w:tcW w:w="1942" w:type="dxa"/>
            <w:shd w:val="clear" w:color="auto" w:fill="C6EFCE"/>
            <w:noWrap/>
            <w:vAlign w:val="center"/>
          </w:tcPr>
          <w:p w14:paraId="3D8FF9C5" w14:textId="77777777" w:rsidR="0057163C" w:rsidRPr="00170422" w:rsidRDefault="00F37BF9">
            <w:pPr>
              <w:pStyle w:val="P68B1DB1-Normal12"/>
              <w:jc w:val="center"/>
              <w:rPr>
                <w:noProof/>
                <w:lang w:val="de-DE"/>
              </w:rPr>
            </w:pPr>
            <w:r w:rsidRPr="00170422">
              <w:rPr>
                <w:noProof/>
                <w:lang w:val="de-DE"/>
              </w:rPr>
              <w:t>Verteidigungsministerium – Inbetriebnahme institutioneller Webportale und Intranetportale</w:t>
            </w:r>
          </w:p>
        </w:tc>
        <w:tc>
          <w:tcPr>
            <w:tcW w:w="1701" w:type="dxa"/>
            <w:shd w:val="clear" w:color="auto" w:fill="C6EFCE"/>
            <w:noWrap/>
            <w:vAlign w:val="center"/>
          </w:tcPr>
          <w:p w14:paraId="576DCFFC" w14:textId="77777777" w:rsidR="0057163C" w:rsidRPr="00170422" w:rsidRDefault="00F37BF9">
            <w:pPr>
              <w:pStyle w:val="P68B1DB1-Normal11"/>
              <w:jc w:val="center"/>
              <w:rPr>
                <w:noProof/>
                <w:szCs w:val="20"/>
                <w:lang w:val="de-DE"/>
              </w:rPr>
            </w:pPr>
            <w:r w:rsidRPr="00170422">
              <w:rPr>
                <w:noProof/>
                <w:lang w:val="de-DE"/>
              </w:rPr>
              <w:t>Institutionelle</w:t>
            </w:r>
            <w:r w:rsidRPr="00170422">
              <w:rPr>
                <w:noProof/>
                <w:lang w:val="de-DE"/>
              </w:rPr>
              <w:t xml:space="preserve"> Webportale und Intranet-Webportale voll funktionsfähig</w:t>
            </w:r>
          </w:p>
        </w:tc>
        <w:tc>
          <w:tcPr>
            <w:tcW w:w="1134" w:type="dxa"/>
            <w:shd w:val="clear" w:color="auto" w:fill="C6EFCE"/>
            <w:noWrap/>
            <w:vAlign w:val="center"/>
          </w:tcPr>
          <w:p w14:paraId="2AD0D316" w14:textId="77777777" w:rsidR="0057163C" w:rsidRPr="00170422" w:rsidRDefault="00F37BF9">
            <w:pPr>
              <w:pStyle w:val="P68B1DB1-Normal11"/>
              <w:jc w:val="center"/>
              <w:rPr>
                <w:noProof/>
                <w:szCs w:val="20"/>
                <w:lang w:val="de-DE"/>
              </w:rPr>
            </w:pPr>
            <w:r w:rsidRPr="00170422">
              <w:rPr>
                <w:noProof/>
                <w:lang w:val="de-DE"/>
              </w:rPr>
              <w:t>ENTFÄLLT.</w:t>
            </w:r>
          </w:p>
        </w:tc>
        <w:tc>
          <w:tcPr>
            <w:tcW w:w="1460" w:type="dxa"/>
            <w:shd w:val="clear" w:color="auto" w:fill="C6EFCE"/>
            <w:noWrap/>
            <w:vAlign w:val="center"/>
          </w:tcPr>
          <w:p w14:paraId="283EB2FC" w14:textId="77777777" w:rsidR="0057163C" w:rsidRPr="00170422" w:rsidRDefault="00F37BF9">
            <w:pPr>
              <w:pStyle w:val="P68B1DB1-Normal11"/>
              <w:jc w:val="center"/>
              <w:rPr>
                <w:noProof/>
                <w:szCs w:val="20"/>
                <w:lang w:val="de-DE"/>
              </w:rPr>
            </w:pPr>
            <w:r w:rsidRPr="00170422">
              <w:rPr>
                <w:noProof/>
                <w:lang w:val="de-DE"/>
              </w:rPr>
              <w:t>ENTFÄLLT.</w:t>
            </w:r>
          </w:p>
        </w:tc>
        <w:tc>
          <w:tcPr>
            <w:tcW w:w="1233" w:type="dxa"/>
            <w:shd w:val="clear" w:color="auto" w:fill="C6EFCE"/>
            <w:noWrap/>
            <w:vAlign w:val="center"/>
          </w:tcPr>
          <w:p w14:paraId="086525AC" w14:textId="77777777" w:rsidR="0057163C" w:rsidRPr="00170422" w:rsidRDefault="00F37BF9">
            <w:pPr>
              <w:pStyle w:val="P68B1DB1-Normal11"/>
              <w:jc w:val="center"/>
              <w:rPr>
                <w:noProof/>
                <w:szCs w:val="20"/>
                <w:lang w:val="de-DE"/>
              </w:rPr>
            </w:pPr>
            <w:r w:rsidRPr="00170422">
              <w:rPr>
                <w:noProof/>
                <w:lang w:val="de-DE"/>
              </w:rPr>
              <w:t>ENTFÄLLT.</w:t>
            </w:r>
          </w:p>
        </w:tc>
        <w:tc>
          <w:tcPr>
            <w:tcW w:w="793" w:type="dxa"/>
            <w:shd w:val="clear" w:color="auto" w:fill="C6EFCE"/>
            <w:noWrap/>
            <w:vAlign w:val="center"/>
          </w:tcPr>
          <w:p w14:paraId="2B62ECD6"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0D248DCF"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4E60FD4A" w14:textId="77777777" w:rsidR="0057163C" w:rsidRPr="00170422" w:rsidRDefault="00F37BF9">
            <w:pPr>
              <w:pStyle w:val="P68B1DB1-Normal12"/>
              <w:spacing w:after="120"/>
              <w:rPr>
                <w:noProof/>
                <w:lang w:val="de-DE"/>
              </w:rPr>
            </w:pPr>
            <w:r w:rsidRPr="00170422">
              <w:rPr>
                <w:noProof/>
                <w:lang w:val="de-DE"/>
              </w:rPr>
              <w:t>Entwicklung und Umsetzung von i) institutionellen Webportalen und ii) Intranet-Portalen für besondere Erfordernisse der internen Kommunikation.</w:t>
            </w:r>
          </w:p>
        </w:tc>
      </w:tr>
      <w:tr w:rsidR="0057163C" w:rsidRPr="00170422" w14:paraId="2A3C9698" w14:textId="77777777" w:rsidTr="0051146E">
        <w:trPr>
          <w:trHeight w:val="309"/>
        </w:trPr>
        <w:tc>
          <w:tcPr>
            <w:tcW w:w="1087" w:type="dxa"/>
            <w:shd w:val="clear" w:color="auto" w:fill="C6EFCE"/>
            <w:noWrap/>
            <w:vAlign w:val="center"/>
          </w:tcPr>
          <w:p w14:paraId="681423C2" w14:textId="77777777" w:rsidR="0057163C" w:rsidRPr="00170422" w:rsidRDefault="00F37BF9">
            <w:pPr>
              <w:pStyle w:val="P68B1DB1-Normal11"/>
              <w:jc w:val="center"/>
              <w:rPr>
                <w:noProof/>
                <w:szCs w:val="20"/>
                <w:lang w:val="de-DE"/>
              </w:rPr>
            </w:pPr>
            <w:r w:rsidRPr="00170422">
              <w:rPr>
                <w:noProof/>
                <w:lang w:val="de-DE"/>
              </w:rPr>
              <w:t>M1C1-138</w:t>
            </w:r>
          </w:p>
        </w:tc>
        <w:tc>
          <w:tcPr>
            <w:tcW w:w="1943" w:type="dxa"/>
            <w:shd w:val="clear" w:color="auto" w:fill="C6EFCE"/>
            <w:noWrap/>
            <w:vAlign w:val="center"/>
          </w:tcPr>
          <w:p w14:paraId="67ACAB68"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66389E21"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251740AA" w14:textId="77777777" w:rsidR="0057163C" w:rsidRPr="00170422" w:rsidRDefault="00F37BF9">
            <w:pPr>
              <w:pStyle w:val="P68B1DB1-Normal12"/>
              <w:jc w:val="center"/>
              <w:rPr>
                <w:noProof/>
                <w:lang w:val="de-DE"/>
              </w:rPr>
            </w:pPr>
            <w:r w:rsidRPr="00170422">
              <w:rPr>
                <w:noProof/>
                <w:lang w:val="de-DE"/>
              </w:rPr>
              <w:t>Verteidigungsministerium – Migration von nicht missionskritischen Anwendungen in die Lösung für den vollständigen Informationsschutz durch Infrastrukturoffenheit (S.C.I.P.I.O.) T1</w:t>
            </w:r>
          </w:p>
        </w:tc>
        <w:tc>
          <w:tcPr>
            <w:tcW w:w="1701" w:type="dxa"/>
            <w:shd w:val="clear" w:color="auto" w:fill="C6EFCE"/>
            <w:noWrap/>
            <w:vAlign w:val="center"/>
          </w:tcPr>
          <w:p w14:paraId="08188A16"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307616AE"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3D50DCE4"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6236DBD6" w14:textId="77777777" w:rsidR="0057163C" w:rsidRPr="00170422" w:rsidRDefault="00F37BF9">
            <w:pPr>
              <w:pStyle w:val="P68B1DB1-Normal11"/>
              <w:jc w:val="center"/>
              <w:rPr>
                <w:noProof/>
                <w:szCs w:val="20"/>
                <w:lang w:val="de-DE"/>
              </w:rPr>
            </w:pPr>
            <w:r w:rsidRPr="00170422">
              <w:rPr>
                <w:noProof/>
                <w:lang w:val="de-DE"/>
              </w:rPr>
              <w:t>10</w:t>
            </w:r>
          </w:p>
        </w:tc>
        <w:tc>
          <w:tcPr>
            <w:tcW w:w="793" w:type="dxa"/>
            <w:shd w:val="clear" w:color="auto" w:fill="C6EFCE"/>
            <w:noWrap/>
            <w:vAlign w:val="center"/>
          </w:tcPr>
          <w:p w14:paraId="6D9C85BE"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28C3C488" w14:textId="77777777" w:rsidR="0057163C" w:rsidRPr="00170422" w:rsidRDefault="00F37BF9">
            <w:pPr>
              <w:pStyle w:val="P68B1DB1-Normal11"/>
              <w:jc w:val="center"/>
              <w:rPr>
                <w:noProof/>
                <w:szCs w:val="20"/>
                <w:lang w:val="de-DE"/>
              </w:rPr>
            </w:pPr>
            <w:r w:rsidRPr="00170422">
              <w:rPr>
                <w:noProof/>
                <w:lang w:val="de-DE"/>
              </w:rPr>
              <w:t>2023</w:t>
            </w:r>
          </w:p>
        </w:tc>
        <w:tc>
          <w:tcPr>
            <w:tcW w:w="2584" w:type="dxa"/>
            <w:shd w:val="clear" w:color="auto" w:fill="C6EFCE"/>
            <w:noWrap/>
            <w:vAlign w:val="center"/>
          </w:tcPr>
          <w:p w14:paraId="79576EA5" w14:textId="77777777" w:rsidR="0057163C" w:rsidRPr="00170422" w:rsidRDefault="00F37BF9">
            <w:pPr>
              <w:pStyle w:val="P68B1DB1-Normal11"/>
              <w:spacing w:after="120"/>
              <w:rPr>
                <w:noProof/>
                <w:szCs w:val="20"/>
                <w:lang w:val="de-DE"/>
              </w:rPr>
            </w:pPr>
            <w:r w:rsidRPr="00170422">
              <w:rPr>
                <w:noProof/>
                <w:lang w:val="de-DE"/>
              </w:rPr>
              <w:t>Anfängliche Migration und operative Verfügbarkeit kritischer Anwendungen, die nicht für den Betrieb bestimmt sind, zu neuen quelloffenen Infrastrukturen. Dazu gehören die Implementierung der Hardware-Umgebung, die Inst</w:t>
            </w:r>
            <w:r w:rsidRPr="00170422">
              <w:rPr>
                <w:noProof/>
                <w:lang w:val="de-DE"/>
              </w:rPr>
              <w:t>allation quelloffener Middleware-Komponenten und die Neugestaltung von Anwendungen.</w:t>
            </w:r>
          </w:p>
        </w:tc>
      </w:tr>
      <w:tr w:rsidR="0057163C" w:rsidRPr="00170422" w14:paraId="00AC4C35" w14:textId="77777777" w:rsidTr="0051146E">
        <w:trPr>
          <w:trHeight w:val="309"/>
        </w:trPr>
        <w:tc>
          <w:tcPr>
            <w:tcW w:w="1087" w:type="dxa"/>
            <w:shd w:val="clear" w:color="auto" w:fill="C6EFCE"/>
            <w:noWrap/>
            <w:vAlign w:val="center"/>
          </w:tcPr>
          <w:p w14:paraId="716A195C" w14:textId="77777777" w:rsidR="0057163C" w:rsidRPr="00170422" w:rsidRDefault="00F37BF9">
            <w:pPr>
              <w:pStyle w:val="P68B1DB1-Normal11"/>
              <w:jc w:val="center"/>
              <w:rPr>
                <w:noProof/>
                <w:szCs w:val="20"/>
                <w:lang w:val="de-DE"/>
              </w:rPr>
            </w:pPr>
            <w:r w:rsidRPr="00170422">
              <w:rPr>
                <w:noProof/>
                <w:lang w:val="de-DE"/>
              </w:rPr>
              <w:t>M1C1-139</w:t>
            </w:r>
          </w:p>
        </w:tc>
        <w:tc>
          <w:tcPr>
            <w:tcW w:w="1943" w:type="dxa"/>
            <w:shd w:val="clear" w:color="auto" w:fill="C6EFCE"/>
            <w:noWrap/>
            <w:vAlign w:val="center"/>
          </w:tcPr>
          <w:p w14:paraId="0E5BDDF4" w14:textId="77777777" w:rsidR="0057163C" w:rsidRPr="00170422" w:rsidRDefault="00F37BF9">
            <w:pPr>
              <w:pStyle w:val="P68B1DB1-Normal11"/>
              <w:jc w:val="center"/>
              <w:rPr>
                <w:noProof/>
                <w:szCs w:val="20"/>
                <w:lang w:val="de-DE"/>
              </w:rPr>
            </w:pPr>
            <w:r w:rsidRPr="00170422">
              <w:rPr>
                <w:noProof/>
                <w:lang w:val="de-DE"/>
              </w:rPr>
              <w:t>Investition 1.2 – Cloud-Ermöglichung für lokale PA</w:t>
            </w:r>
          </w:p>
        </w:tc>
        <w:tc>
          <w:tcPr>
            <w:tcW w:w="1176" w:type="dxa"/>
            <w:shd w:val="clear" w:color="auto" w:fill="C6EFCE"/>
            <w:noWrap/>
            <w:vAlign w:val="center"/>
          </w:tcPr>
          <w:p w14:paraId="755E931C"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483E7F39" w14:textId="77777777" w:rsidR="0057163C" w:rsidRPr="00170422" w:rsidRDefault="00F37BF9">
            <w:pPr>
              <w:pStyle w:val="P68B1DB1-Normal11"/>
              <w:jc w:val="center"/>
              <w:rPr>
                <w:noProof/>
                <w:szCs w:val="20"/>
                <w:lang w:val="de-DE"/>
              </w:rPr>
            </w:pPr>
            <w:r w:rsidRPr="00170422">
              <w:rPr>
                <w:noProof/>
                <w:lang w:val="de-DE"/>
              </w:rPr>
              <w:t>Cloud-Ermöglichung für die lokale öffentliche Verwaltung T1</w:t>
            </w:r>
          </w:p>
        </w:tc>
        <w:tc>
          <w:tcPr>
            <w:tcW w:w="1701" w:type="dxa"/>
            <w:shd w:val="clear" w:color="auto" w:fill="C6EFCE"/>
            <w:noWrap/>
            <w:vAlign w:val="center"/>
          </w:tcPr>
          <w:p w14:paraId="20A396D5"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3EDE3D26"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6EDCB77D"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24782AB3" w14:textId="77777777" w:rsidR="0057163C" w:rsidRPr="00170422" w:rsidRDefault="00F37BF9">
            <w:pPr>
              <w:pStyle w:val="P68B1DB1-Normal11"/>
              <w:jc w:val="center"/>
              <w:rPr>
                <w:noProof/>
                <w:szCs w:val="20"/>
                <w:lang w:val="de-DE"/>
              </w:rPr>
            </w:pPr>
            <w:r w:rsidRPr="00170422">
              <w:rPr>
                <w:noProof/>
                <w:lang w:val="de-DE"/>
              </w:rPr>
              <w:t>4 083</w:t>
            </w:r>
          </w:p>
        </w:tc>
        <w:tc>
          <w:tcPr>
            <w:tcW w:w="793" w:type="dxa"/>
            <w:shd w:val="clear" w:color="auto" w:fill="C6EFCE"/>
            <w:noWrap/>
            <w:vAlign w:val="center"/>
          </w:tcPr>
          <w:p w14:paraId="310AEB45" w14:textId="77777777" w:rsidR="0057163C" w:rsidRPr="00170422" w:rsidRDefault="00F37BF9">
            <w:pPr>
              <w:pStyle w:val="P68B1DB1-Normal11"/>
              <w:jc w:val="center"/>
              <w:rPr>
                <w:noProof/>
                <w:szCs w:val="20"/>
                <w:lang w:val="de-DE"/>
              </w:rPr>
            </w:pPr>
            <w:r w:rsidRPr="00170422">
              <w:rPr>
                <w:noProof/>
                <w:lang w:val="de-DE"/>
              </w:rPr>
              <w:t>Q3</w:t>
            </w:r>
          </w:p>
        </w:tc>
        <w:tc>
          <w:tcPr>
            <w:tcW w:w="625" w:type="dxa"/>
            <w:shd w:val="clear" w:color="auto" w:fill="C6EFCE"/>
            <w:noWrap/>
            <w:vAlign w:val="center"/>
          </w:tcPr>
          <w:p w14:paraId="0AF09288" w14:textId="77777777" w:rsidR="0057163C" w:rsidRPr="00170422" w:rsidRDefault="00F37BF9">
            <w:pPr>
              <w:pStyle w:val="P68B1DB1-Normal11"/>
              <w:jc w:val="center"/>
              <w:rPr>
                <w:noProof/>
                <w:szCs w:val="20"/>
                <w:lang w:val="de-DE"/>
              </w:rPr>
            </w:pPr>
            <w:r w:rsidRPr="00170422">
              <w:rPr>
                <w:noProof/>
                <w:lang w:val="de-DE"/>
              </w:rPr>
              <w:t>2024</w:t>
            </w:r>
          </w:p>
        </w:tc>
        <w:tc>
          <w:tcPr>
            <w:tcW w:w="2584" w:type="dxa"/>
            <w:shd w:val="clear" w:color="auto" w:fill="C6EFCE"/>
            <w:noWrap/>
            <w:vAlign w:val="center"/>
          </w:tcPr>
          <w:p w14:paraId="4A32246D" w14:textId="77777777" w:rsidR="0057163C" w:rsidRPr="00170422" w:rsidRDefault="00F37BF9">
            <w:pPr>
              <w:pStyle w:val="P68B1DB1-Normal21"/>
              <w:spacing w:after="120"/>
              <w:rPr>
                <w:rFonts w:ascii="Arial Narrow" w:hAnsi="Arial Narrow"/>
                <w:noProof/>
                <w:szCs w:val="20"/>
                <w:lang w:val="de-DE"/>
              </w:rPr>
            </w:pPr>
            <w:r w:rsidRPr="00170422">
              <w:rPr>
                <w:rFonts w:ascii="Arial Narrow" w:hAnsi="Arial Narrow"/>
                <w:noProof/>
                <w:lang w:val="de-DE"/>
              </w:rPr>
              <w:t xml:space="preserve">Die </w:t>
            </w:r>
            <w:r w:rsidRPr="00170422">
              <w:rPr>
                <w:rFonts w:ascii="Arial Narrow" w:hAnsi="Arial Narrow"/>
                <w:noProof/>
                <w:lang w:val="de-DE"/>
              </w:rPr>
              <w:t>Umstellung von 4083 lokalen öffentlichen Verwaltungen auf zertifizierte Cloud-Umgebungen gilt als erreicht, wenn die Erprobung aller in jedem Migrationsplan enthaltenen Systeme, Datensätze und Anwendungen erfolgreich ist.</w:t>
            </w:r>
          </w:p>
        </w:tc>
      </w:tr>
      <w:tr w:rsidR="0057163C" w:rsidRPr="00170422" w14:paraId="48B4C067" w14:textId="77777777" w:rsidTr="0051146E">
        <w:trPr>
          <w:trHeight w:val="309"/>
        </w:trPr>
        <w:tc>
          <w:tcPr>
            <w:tcW w:w="1087" w:type="dxa"/>
            <w:shd w:val="clear" w:color="auto" w:fill="C6EFCE"/>
            <w:noWrap/>
            <w:vAlign w:val="center"/>
          </w:tcPr>
          <w:p w14:paraId="6CF4423A" w14:textId="77777777" w:rsidR="0057163C" w:rsidRPr="00170422" w:rsidRDefault="00F37BF9">
            <w:pPr>
              <w:pStyle w:val="P68B1DB1-Normal11"/>
              <w:jc w:val="center"/>
              <w:rPr>
                <w:noProof/>
                <w:szCs w:val="20"/>
                <w:lang w:val="de-DE"/>
              </w:rPr>
            </w:pPr>
            <w:r w:rsidRPr="00170422">
              <w:rPr>
                <w:noProof/>
                <w:lang w:val="de-DE"/>
              </w:rPr>
              <w:t>M1C1-140</w:t>
            </w:r>
          </w:p>
        </w:tc>
        <w:tc>
          <w:tcPr>
            <w:tcW w:w="1943" w:type="dxa"/>
            <w:shd w:val="clear" w:color="auto" w:fill="C6EFCE"/>
            <w:noWrap/>
            <w:vAlign w:val="center"/>
          </w:tcPr>
          <w:p w14:paraId="719D9504" w14:textId="77777777" w:rsidR="0057163C" w:rsidRPr="00170422" w:rsidRDefault="00F37BF9">
            <w:pPr>
              <w:pStyle w:val="P68B1DB1-Normal11"/>
              <w:jc w:val="center"/>
              <w:rPr>
                <w:noProof/>
                <w:szCs w:val="20"/>
                <w:lang w:val="de-DE"/>
              </w:rPr>
            </w:pPr>
            <w:r w:rsidRPr="00170422">
              <w:rPr>
                <w:noProof/>
                <w:lang w:val="de-DE"/>
              </w:rPr>
              <w:t xml:space="preserve">Investition 1.4.1 – </w:t>
            </w:r>
            <w:r w:rsidRPr="00170422">
              <w:rPr>
                <w:noProof/>
                <w:lang w:val="de-DE"/>
              </w:rPr>
              <w:t>Bürgererfahrung – Verbesserung der Qualität und Nutzbarkeit digitaler öffentlicher Dienste</w:t>
            </w:r>
          </w:p>
        </w:tc>
        <w:tc>
          <w:tcPr>
            <w:tcW w:w="1176" w:type="dxa"/>
            <w:shd w:val="clear" w:color="auto" w:fill="C6EFCE"/>
            <w:noWrap/>
            <w:vAlign w:val="center"/>
          </w:tcPr>
          <w:p w14:paraId="456AC00D"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2B568778" w14:textId="77777777" w:rsidR="0057163C" w:rsidRPr="00170422" w:rsidRDefault="00F37BF9">
            <w:pPr>
              <w:pStyle w:val="P68B1DB1-Normal11"/>
              <w:jc w:val="center"/>
              <w:rPr>
                <w:noProof/>
                <w:szCs w:val="20"/>
                <w:lang w:val="de-DE"/>
              </w:rPr>
            </w:pPr>
            <w:r w:rsidRPr="00170422">
              <w:rPr>
                <w:noProof/>
                <w:lang w:val="de-DE"/>
              </w:rPr>
              <w:t>Verbesserung der Qualität und Nutzbarkeit digitaler öffentlicher Dienste T1</w:t>
            </w:r>
          </w:p>
        </w:tc>
        <w:tc>
          <w:tcPr>
            <w:tcW w:w="1701" w:type="dxa"/>
            <w:shd w:val="clear" w:color="auto" w:fill="C6EFCE"/>
            <w:noWrap/>
            <w:vAlign w:val="center"/>
          </w:tcPr>
          <w:p w14:paraId="3197CAC8"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274B1960" w14:textId="77777777" w:rsidR="0057163C" w:rsidRPr="00170422" w:rsidRDefault="00F37BF9">
            <w:pPr>
              <w:pStyle w:val="P68B1DB1-Normal11"/>
              <w:jc w:val="center"/>
              <w:rPr>
                <w:noProof/>
                <w:szCs w:val="20"/>
                <w:lang w:val="de-DE"/>
              </w:rPr>
            </w:pPr>
            <w:r w:rsidRPr="00170422">
              <w:rPr>
                <w:noProof/>
                <w:lang w:val="de-DE"/>
              </w:rPr>
              <w:t>Prozentuale</w:t>
            </w:r>
          </w:p>
        </w:tc>
        <w:tc>
          <w:tcPr>
            <w:tcW w:w="1460" w:type="dxa"/>
            <w:shd w:val="clear" w:color="auto" w:fill="C6EFCE"/>
            <w:noWrap/>
            <w:vAlign w:val="center"/>
          </w:tcPr>
          <w:p w14:paraId="07192CA1" w14:textId="77777777" w:rsidR="0057163C" w:rsidRPr="00170422" w:rsidRDefault="00F37BF9">
            <w:pPr>
              <w:pStyle w:val="P68B1DB1-Normal12"/>
              <w:jc w:val="center"/>
              <w:rPr>
                <w:noProof/>
                <w:lang w:val="de-DE"/>
              </w:rPr>
            </w:pPr>
            <w:r w:rsidRPr="00170422">
              <w:rPr>
                <w:noProof/>
                <w:lang w:val="de-DE"/>
              </w:rPr>
              <w:t>0</w:t>
            </w:r>
          </w:p>
        </w:tc>
        <w:tc>
          <w:tcPr>
            <w:tcW w:w="1233" w:type="dxa"/>
            <w:shd w:val="clear" w:color="auto" w:fill="C6EFCE"/>
            <w:noWrap/>
            <w:vAlign w:val="center"/>
          </w:tcPr>
          <w:p w14:paraId="6BD1CB2B" w14:textId="77777777" w:rsidR="0057163C" w:rsidRPr="00170422" w:rsidRDefault="00F37BF9">
            <w:pPr>
              <w:pStyle w:val="P68B1DB1-Normal11"/>
              <w:jc w:val="center"/>
              <w:rPr>
                <w:noProof/>
                <w:szCs w:val="20"/>
                <w:lang w:val="de-DE"/>
              </w:rPr>
            </w:pPr>
            <w:r w:rsidRPr="00170422">
              <w:rPr>
                <w:noProof/>
                <w:lang w:val="de-DE"/>
              </w:rPr>
              <w:t>40</w:t>
            </w:r>
          </w:p>
        </w:tc>
        <w:tc>
          <w:tcPr>
            <w:tcW w:w="793" w:type="dxa"/>
            <w:shd w:val="clear" w:color="auto" w:fill="C6EFCE"/>
            <w:noWrap/>
            <w:vAlign w:val="center"/>
          </w:tcPr>
          <w:p w14:paraId="6A6C10AD"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4EC8B7F4" w14:textId="77777777" w:rsidR="0057163C" w:rsidRPr="00170422" w:rsidRDefault="00F37BF9">
            <w:pPr>
              <w:pStyle w:val="P68B1DB1-Normal11"/>
              <w:jc w:val="center"/>
              <w:rPr>
                <w:noProof/>
                <w:szCs w:val="20"/>
                <w:lang w:val="de-DE"/>
              </w:rPr>
            </w:pPr>
            <w:r w:rsidRPr="00170422">
              <w:rPr>
                <w:noProof/>
                <w:lang w:val="de-DE"/>
              </w:rPr>
              <w:t>2024</w:t>
            </w:r>
          </w:p>
        </w:tc>
        <w:tc>
          <w:tcPr>
            <w:tcW w:w="2584" w:type="dxa"/>
            <w:shd w:val="clear" w:color="auto" w:fill="C6EFCE"/>
            <w:noWrap/>
            <w:vAlign w:val="center"/>
          </w:tcPr>
          <w:p w14:paraId="0545F631" w14:textId="77777777" w:rsidR="0057163C" w:rsidRPr="00170422" w:rsidRDefault="00F37BF9">
            <w:pPr>
              <w:pStyle w:val="P68B1DB1-Normal12"/>
              <w:spacing w:after="120"/>
              <w:rPr>
                <w:noProof/>
                <w:lang w:val="de-DE"/>
              </w:rPr>
            </w:pPr>
            <w:r w:rsidRPr="00170422">
              <w:rPr>
                <w:noProof/>
                <w:lang w:val="de-DE"/>
              </w:rPr>
              <w:t xml:space="preserve">Verwaltungen (Gemeinden, Primar- und </w:t>
            </w:r>
            <w:r w:rsidRPr="00170422">
              <w:rPr>
                <w:noProof/>
                <w:lang w:val="de-DE"/>
              </w:rPr>
              <w:t>Sekundarbereich von Bildungseinrichtungen der 1. und 2. Stufe und spezielle Einrichtungen im Bereich der Gesundheitsversorgung und des Kulturerbes) halten sich an ein gemeinsames Modell und ein gemeinsames Designsystem, das die Interaktion der Nutzer verei</w:t>
            </w:r>
            <w:r w:rsidRPr="00170422">
              <w:rPr>
                <w:noProof/>
                <w:lang w:val="de-DE"/>
              </w:rPr>
              <w:t xml:space="preserve">nfacht und die Wartung für die kommenden Jahre erleichtert. </w:t>
            </w:r>
          </w:p>
          <w:p w14:paraId="68027483" w14:textId="77777777" w:rsidR="0057163C" w:rsidRPr="00170422" w:rsidRDefault="00F37BF9">
            <w:pPr>
              <w:pStyle w:val="P68B1DB1-Normal11"/>
              <w:spacing w:after="120"/>
              <w:rPr>
                <w:noProof/>
                <w:szCs w:val="20"/>
                <w:lang w:val="de-DE"/>
              </w:rPr>
            </w:pPr>
            <w:r w:rsidRPr="00170422">
              <w:rPr>
                <w:noProof/>
                <w:lang w:val="de-DE"/>
              </w:rPr>
              <w:t xml:space="preserve">Die Einhaltung der gemeinsamen Gestaltung/des gemeinsamen Modells der Komponenten von Websites/Diensten besteht aus: </w:t>
            </w:r>
          </w:p>
          <w:p w14:paraId="413CC711" w14:textId="77777777" w:rsidR="0057163C" w:rsidRPr="00170422" w:rsidRDefault="00F37BF9">
            <w:pPr>
              <w:pStyle w:val="P68B1DB1-Normal12"/>
              <w:spacing w:after="120"/>
              <w:rPr>
                <w:noProof/>
                <w:lang w:val="de-DE"/>
              </w:rPr>
            </w:pPr>
            <w:r w:rsidRPr="00170422">
              <w:rPr>
                <w:noProof/>
                <w:lang w:val="de-DE"/>
              </w:rPr>
              <w:t>(1) Bewertung der eingereichten Projekte;</w:t>
            </w:r>
          </w:p>
          <w:p w14:paraId="53ADAC38" w14:textId="77777777" w:rsidR="0057163C" w:rsidRPr="00170422" w:rsidRDefault="00F37BF9">
            <w:pPr>
              <w:pStyle w:val="P68B1DB1-Normal11"/>
              <w:spacing w:after="120"/>
              <w:rPr>
                <w:noProof/>
                <w:szCs w:val="20"/>
                <w:lang w:val="de-DE"/>
              </w:rPr>
            </w:pPr>
            <w:r w:rsidRPr="00170422">
              <w:rPr>
                <w:noProof/>
                <w:lang w:val="de-DE"/>
              </w:rPr>
              <w:t>(2) Bewertung des Projektabschlusse</w:t>
            </w:r>
            <w:r w:rsidRPr="00170422">
              <w:rPr>
                <w:noProof/>
                <w:lang w:val="de-DE"/>
              </w:rPr>
              <w:t>s zu den wichtigsten Nutzbarkeitsparametern (digitale Nutzbarkeitswerte) über eine spezielle Plattform, die bereits verfügbar ist.</w:t>
            </w:r>
          </w:p>
        </w:tc>
      </w:tr>
      <w:tr w:rsidR="0057163C" w:rsidRPr="00170422" w14:paraId="04F0CD22" w14:textId="77777777" w:rsidTr="0051146E">
        <w:trPr>
          <w:trHeight w:val="309"/>
        </w:trPr>
        <w:tc>
          <w:tcPr>
            <w:tcW w:w="1087" w:type="dxa"/>
            <w:shd w:val="clear" w:color="auto" w:fill="C6EFCE"/>
            <w:noWrap/>
            <w:vAlign w:val="center"/>
          </w:tcPr>
          <w:p w14:paraId="59460403" w14:textId="77777777" w:rsidR="0057163C" w:rsidRPr="00170422" w:rsidRDefault="00F37BF9">
            <w:pPr>
              <w:pStyle w:val="P68B1DB1-Normal11"/>
              <w:jc w:val="center"/>
              <w:rPr>
                <w:noProof/>
                <w:szCs w:val="20"/>
                <w:lang w:val="de-DE"/>
              </w:rPr>
            </w:pPr>
            <w:r w:rsidRPr="00170422">
              <w:rPr>
                <w:noProof/>
                <w:lang w:val="de-DE"/>
              </w:rPr>
              <w:t>M1C1-141</w:t>
            </w:r>
          </w:p>
        </w:tc>
        <w:tc>
          <w:tcPr>
            <w:tcW w:w="1943" w:type="dxa"/>
            <w:shd w:val="clear" w:color="auto" w:fill="C6EFCE"/>
            <w:noWrap/>
            <w:vAlign w:val="center"/>
          </w:tcPr>
          <w:p w14:paraId="6E14C3B3"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2DA49759"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1E4F0BC6" w14:textId="77777777" w:rsidR="0057163C" w:rsidRPr="00170422" w:rsidRDefault="00F37BF9">
            <w:pPr>
              <w:pStyle w:val="P68B1DB1-Normal12"/>
              <w:jc w:val="center"/>
              <w:rPr>
                <w:noProof/>
                <w:lang w:val="de-DE"/>
              </w:rPr>
            </w:pPr>
            <w:r w:rsidRPr="00170422">
              <w:rPr>
                <w:noProof/>
                <w:lang w:val="de-DE"/>
              </w:rPr>
              <w:t xml:space="preserve">Digitalisierung der Verfahren des </w:t>
            </w:r>
            <w:r w:rsidRPr="00170422">
              <w:rPr>
                <w:noProof/>
                <w:lang w:val="de-DE"/>
              </w:rPr>
              <w:t>Verteidigungsministeriums T2</w:t>
            </w:r>
          </w:p>
        </w:tc>
        <w:tc>
          <w:tcPr>
            <w:tcW w:w="1701" w:type="dxa"/>
            <w:shd w:val="clear" w:color="auto" w:fill="C6EFCE"/>
            <w:noWrap/>
            <w:vAlign w:val="center"/>
          </w:tcPr>
          <w:p w14:paraId="5983679F"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212B1D8C"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0E195516" w14:textId="77777777" w:rsidR="0057163C" w:rsidRPr="00170422" w:rsidRDefault="00F37BF9">
            <w:pPr>
              <w:pStyle w:val="P68B1DB1-Normal11"/>
              <w:jc w:val="center"/>
              <w:rPr>
                <w:noProof/>
                <w:szCs w:val="20"/>
                <w:lang w:val="de-DE"/>
              </w:rPr>
            </w:pPr>
            <w:r w:rsidRPr="00170422">
              <w:rPr>
                <w:noProof/>
                <w:lang w:val="de-DE"/>
              </w:rPr>
              <w:t>15</w:t>
            </w:r>
          </w:p>
        </w:tc>
        <w:tc>
          <w:tcPr>
            <w:tcW w:w="1233" w:type="dxa"/>
            <w:shd w:val="clear" w:color="auto" w:fill="C6EFCE"/>
            <w:noWrap/>
            <w:vAlign w:val="center"/>
          </w:tcPr>
          <w:p w14:paraId="7CE1DC91" w14:textId="77777777" w:rsidR="0057163C" w:rsidRPr="00170422" w:rsidRDefault="00F37BF9">
            <w:pPr>
              <w:pStyle w:val="P68B1DB1-Normal11"/>
              <w:jc w:val="center"/>
              <w:rPr>
                <w:noProof/>
                <w:szCs w:val="20"/>
                <w:lang w:val="de-DE"/>
              </w:rPr>
            </w:pPr>
            <w:r w:rsidRPr="00170422">
              <w:rPr>
                <w:noProof/>
                <w:lang w:val="de-DE"/>
              </w:rPr>
              <w:t>20</w:t>
            </w:r>
          </w:p>
        </w:tc>
        <w:tc>
          <w:tcPr>
            <w:tcW w:w="793" w:type="dxa"/>
            <w:shd w:val="clear" w:color="auto" w:fill="C6EFCE"/>
            <w:noWrap/>
            <w:vAlign w:val="center"/>
          </w:tcPr>
          <w:p w14:paraId="7FD7B3FD"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1120E0EE" w14:textId="77777777" w:rsidR="0057163C" w:rsidRPr="00170422" w:rsidRDefault="00F37BF9">
            <w:pPr>
              <w:pStyle w:val="P68B1DB1-Normal11"/>
              <w:jc w:val="center"/>
              <w:rPr>
                <w:noProof/>
                <w:szCs w:val="20"/>
                <w:lang w:val="de-DE"/>
              </w:rPr>
            </w:pPr>
            <w:r w:rsidRPr="00170422">
              <w:rPr>
                <w:noProof/>
                <w:lang w:val="de-DE"/>
              </w:rPr>
              <w:t>2024</w:t>
            </w:r>
          </w:p>
        </w:tc>
        <w:tc>
          <w:tcPr>
            <w:tcW w:w="2584" w:type="dxa"/>
            <w:shd w:val="clear" w:color="auto" w:fill="C6EFCE"/>
            <w:noWrap/>
            <w:vAlign w:val="center"/>
          </w:tcPr>
          <w:p w14:paraId="3561D338" w14:textId="77777777" w:rsidR="0057163C" w:rsidRPr="00170422" w:rsidRDefault="00F37BF9">
            <w:pPr>
              <w:pStyle w:val="P68B1DB1-Normal12"/>
              <w:spacing w:after="120"/>
              <w:rPr>
                <w:noProof/>
                <w:lang w:val="de-DE"/>
              </w:rPr>
            </w:pPr>
            <w:r w:rsidRPr="00170422">
              <w:rPr>
                <w:noProof/>
                <w:lang w:val="de-DE"/>
              </w:rPr>
              <w:t xml:space="preserve">Digitalisierung, Überarbeitung und Automatisierung von 20 Verfahren im Zusammenhang mit der Verwaltung des Verteidigungspersonals (wie Einstellung, Beschäftigung und Ruhestand, Gesundheit </w:t>
            </w:r>
            <w:r w:rsidRPr="00170422">
              <w:rPr>
                <w:noProof/>
                <w:lang w:val="de-DE"/>
              </w:rPr>
              <w:t>der Beschäftigten), ausgehend von einem Ausgangswert von 15 bereits digitalisierten Verfahren mit Ziel 1.</w:t>
            </w:r>
          </w:p>
        </w:tc>
      </w:tr>
      <w:tr w:rsidR="0057163C" w:rsidRPr="00170422" w14:paraId="51DBA631" w14:textId="77777777" w:rsidTr="0051146E">
        <w:trPr>
          <w:trHeight w:val="309"/>
        </w:trPr>
        <w:tc>
          <w:tcPr>
            <w:tcW w:w="1087" w:type="dxa"/>
            <w:shd w:val="clear" w:color="auto" w:fill="C6EFCE"/>
            <w:noWrap/>
            <w:vAlign w:val="center"/>
          </w:tcPr>
          <w:p w14:paraId="24FA5743" w14:textId="77777777" w:rsidR="0057163C" w:rsidRPr="00170422" w:rsidRDefault="00F37BF9">
            <w:pPr>
              <w:pStyle w:val="P68B1DB1-Normal11"/>
              <w:jc w:val="center"/>
              <w:rPr>
                <w:noProof/>
                <w:szCs w:val="20"/>
                <w:lang w:val="de-DE"/>
              </w:rPr>
            </w:pPr>
            <w:r w:rsidRPr="00170422">
              <w:rPr>
                <w:noProof/>
                <w:lang w:val="de-DE"/>
              </w:rPr>
              <w:t>M1C1-142</w:t>
            </w:r>
          </w:p>
        </w:tc>
        <w:tc>
          <w:tcPr>
            <w:tcW w:w="1943" w:type="dxa"/>
            <w:shd w:val="clear" w:color="auto" w:fill="C6EFCE"/>
            <w:noWrap/>
            <w:vAlign w:val="center"/>
          </w:tcPr>
          <w:p w14:paraId="32F26AE0"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18FADC6F"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6AE7459E" w14:textId="77777777" w:rsidR="0057163C" w:rsidRPr="00170422" w:rsidRDefault="00F37BF9">
            <w:pPr>
              <w:pStyle w:val="P68B1DB1-Normal12"/>
              <w:jc w:val="center"/>
              <w:rPr>
                <w:noProof/>
                <w:lang w:val="de-DE"/>
              </w:rPr>
            </w:pPr>
            <w:r w:rsidRPr="00170422">
              <w:rPr>
                <w:noProof/>
                <w:lang w:val="de-DE"/>
              </w:rPr>
              <w:t>Digitalisierung der Zertifikate des Verteidigungsministeriums T2</w:t>
            </w:r>
          </w:p>
        </w:tc>
        <w:tc>
          <w:tcPr>
            <w:tcW w:w="1701" w:type="dxa"/>
            <w:shd w:val="clear" w:color="auto" w:fill="C6EFCE"/>
            <w:noWrap/>
            <w:vAlign w:val="center"/>
          </w:tcPr>
          <w:p w14:paraId="4566C08D"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11F5A855" w14:textId="77777777" w:rsidR="0057163C" w:rsidRPr="00170422" w:rsidRDefault="00F37BF9">
            <w:pPr>
              <w:pStyle w:val="P68B1DB1-Normal11"/>
              <w:jc w:val="center"/>
              <w:rPr>
                <w:noProof/>
                <w:szCs w:val="20"/>
                <w:lang w:val="de-DE"/>
              </w:rPr>
            </w:pPr>
            <w:r w:rsidRPr="00170422">
              <w:rPr>
                <w:noProof/>
                <w:lang w:val="de-DE"/>
              </w:rPr>
              <w:t>Anzahl der digitalisierten Zertifikate</w:t>
            </w:r>
          </w:p>
        </w:tc>
        <w:tc>
          <w:tcPr>
            <w:tcW w:w="1460" w:type="dxa"/>
            <w:shd w:val="clear" w:color="auto" w:fill="C6EFCE"/>
            <w:noWrap/>
            <w:vAlign w:val="center"/>
          </w:tcPr>
          <w:p w14:paraId="184786D2" w14:textId="77777777" w:rsidR="0057163C" w:rsidRPr="00170422" w:rsidRDefault="00F37BF9">
            <w:pPr>
              <w:pStyle w:val="P68B1DB1-Normal11"/>
              <w:jc w:val="center"/>
              <w:rPr>
                <w:noProof/>
                <w:szCs w:val="20"/>
                <w:lang w:val="de-DE"/>
              </w:rPr>
            </w:pPr>
            <w:r w:rsidRPr="00170422">
              <w:rPr>
                <w:noProof/>
                <w:lang w:val="de-DE"/>
              </w:rPr>
              <w:t>450 000</w:t>
            </w:r>
          </w:p>
        </w:tc>
        <w:tc>
          <w:tcPr>
            <w:tcW w:w="1233" w:type="dxa"/>
            <w:shd w:val="clear" w:color="auto" w:fill="C6EFCE"/>
            <w:noWrap/>
            <w:vAlign w:val="center"/>
          </w:tcPr>
          <w:p w14:paraId="0B0BD3C6" w14:textId="77777777" w:rsidR="0057163C" w:rsidRPr="00170422" w:rsidRDefault="00F37BF9">
            <w:pPr>
              <w:pStyle w:val="P68B1DB1-Normal11"/>
              <w:jc w:val="center"/>
              <w:rPr>
                <w:noProof/>
                <w:szCs w:val="20"/>
                <w:lang w:val="de-DE"/>
              </w:rPr>
            </w:pPr>
            <w:r w:rsidRPr="00170422">
              <w:rPr>
                <w:noProof/>
                <w:lang w:val="de-DE"/>
              </w:rPr>
              <w:t>750 000</w:t>
            </w:r>
          </w:p>
        </w:tc>
        <w:tc>
          <w:tcPr>
            <w:tcW w:w="793" w:type="dxa"/>
            <w:shd w:val="clear" w:color="auto" w:fill="C6EFCE"/>
            <w:noWrap/>
            <w:vAlign w:val="center"/>
          </w:tcPr>
          <w:p w14:paraId="5FC81038"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19232484" w14:textId="77777777" w:rsidR="0057163C" w:rsidRPr="00170422" w:rsidRDefault="00F37BF9">
            <w:pPr>
              <w:pStyle w:val="P68B1DB1-Normal11"/>
              <w:jc w:val="center"/>
              <w:rPr>
                <w:noProof/>
                <w:szCs w:val="20"/>
                <w:lang w:val="de-DE"/>
              </w:rPr>
            </w:pPr>
            <w:r w:rsidRPr="00170422">
              <w:rPr>
                <w:noProof/>
                <w:lang w:val="de-DE"/>
              </w:rPr>
              <w:t>2024</w:t>
            </w:r>
          </w:p>
        </w:tc>
        <w:tc>
          <w:tcPr>
            <w:tcW w:w="2584" w:type="dxa"/>
            <w:shd w:val="clear" w:color="auto" w:fill="C6EFCE"/>
            <w:noWrap/>
            <w:vAlign w:val="center"/>
          </w:tcPr>
          <w:p w14:paraId="743C8C34" w14:textId="77777777" w:rsidR="0057163C" w:rsidRPr="00170422" w:rsidRDefault="00F37BF9">
            <w:pPr>
              <w:pStyle w:val="P68B1DB1-Normal12"/>
              <w:spacing w:after="120"/>
              <w:rPr>
                <w:noProof/>
                <w:lang w:val="de-DE"/>
              </w:rPr>
            </w:pPr>
            <w:r w:rsidRPr="00170422">
              <w:rPr>
                <w:noProof/>
                <w:lang w:val="de-DE"/>
              </w:rPr>
              <w:t>Zahl der vom Verteidigungsministerium ausgestellten digitalisierten Identitätsbescheinigungen (750000), die an der Infrastruktur betrieben werden, ergänzt durch einen Standort</w:t>
            </w:r>
            <w:r w:rsidRPr="00170422">
              <w:rPr>
                <w:noProof/>
                <w:lang w:val="de-DE"/>
              </w:rPr>
              <w:t xml:space="preserve"> für die Wiederherstellung nach einem Notfall, beginnend mit einem Ausgangswert von 450000 bereits digitalisierten Zertifikaten mit Ziel 1.</w:t>
            </w:r>
          </w:p>
        </w:tc>
      </w:tr>
      <w:tr w:rsidR="0057163C" w:rsidRPr="00170422" w14:paraId="130A4FE3" w14:textId="77777777" w:rsidTr="0051146E">
        <w:trPr>
          <w:trHeight w:val="309"/>
        </w:trPr>
        <w:tc>
          <w:tcPr>
            <w:tcW w:w="1087" w:type="dxa"/>
            <w:shd w:val="clear" w:color="auto" w:fill="C6EFCE"/>
            <w:noWrap/>
            <w:vAlign w:val="center"/>
          </w:tcPr>
          <w:p w14:paraId="72839704" w14:textId="77777777" w:rsidR="0057163C" w:rsidRPr="00170422" w:rsidRDefault="00F37BF9">
            <w:pPr>
              <w:pStyle w:val="P68B1DB1-Normal11"/>
              <w:jc w:val="center"/>
              <w:rPr>
                <w:noProof/>
                <w:szCs w:val="20"/>
                <w:lang w:val="de-DE"/>
              </w:rPr>
            </w:pPr>
            <w:r w:rsidRPr="00170422">
              <w:rPr>
                <w:noProof/>
                <w:lang w:val="de-DE"/>
              </w:rPr>
              <w:t>M1C1-143</w:t>
            </w:r>
          </w:p>
        </w:tc>
        <w:tc>
          <w:tcPr>
            <w:tcW w:w="1943" w:type="dxa"/>
            <w:shd w:val="clear" w:color="auto" w:fill="C6EFCE"/>
            <w:noWrap/>
            <w:vAlign w:val="center"/>
          </w:tcPr>
          <w:p w14:paraId="3D455FE7" w14:textId="77777777" w:rsidR="0057163C" w:rsidRPr="00170422" w:rsidRDefault="00F37BF9">
            <w:pPr>
              <w:pStyle w:val="P68B1DB1-Normal12"/>
              <w:jc w:val="center"/>
              <w:rPr>
                <w:noProof/>
                <w:lang w:val="de-DE"/>
              </w:rPr>
            </w:pPr>
            <w:r w:rsidRPr="00170422">
              <w:rPr>
                <w:noProof/>
                <w:lang w:val="de-DE"/>
              </w:rPr>
              <w:t>Investition 1.6.4 – Digitalisierung des Verteidigungsministeriums</w:t>
            </w:r>
          </w:p>
        </w:tc>
        <w:tc>
          <w:tcPr>
            <w:tcW w:w="1176" w:type="dxa"/>
            <w:shd w:val="clear" w:color="auto" w:fill="C6EFCE"/>
            <w:noWrap/>
            <w:vAlign w:val="center"/>
          </w:tcPr>
          <w:p w14:paraId="297CE6AE"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37AA58CF" w14:textId="77777777" w:rsidR="0057163C" w:rsidRPr="00170422" w:rsidRDefault="00F37BF9">
            <w:pPr>
              <w:pStyle w:val="P68B1DB1-Normal12"/>
              <w:jc w:val="center"/>
              <w:rPr>
                <w:noProof/>
                <w:lang w:val="de-DE"/>
              </w:rPr>
            </w:pPr>
            <w:r w:rsidRPr="00170422">
              <w:rPr>
                <w:noProof/>
                <w:lang w:val="de-DE"/>
              </w:rPr>
              <w:t xml:space="preserve">Verteidigungsministerium – </w:t>
            </w:r>
            <w:r w:rsidRPr="00170422">
              <w:rPr>
                <w:noProof/>
                <w:lang w:val="de-DE"/>
              </w:rPr>
              <w:t>Migration von für die Mission kritischen und nicht missionskritischen Anwendungen zur Lösung des vollständigen Informationsschutzes durch Infrastrukturoffenheit (S.C.I.P.I.O.) T2</w:t>
            </w:r>
          </w:p>
        </w:tc>
        <w:tc>
          <w:tcPr>
            <w:tcW w:w="1701" w:type="dxa"/>
            <w:shd w:val="clear" w:color="auto" w:fill="C6EFCE"/>
            <w:noWrap/>
            <w:vAlign w:val="center"/>
          </w:tcPr>
          <w:p w14:paraId="1D1DCE80"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1B87BB0D"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411F9E31" w14:textId="77777777" w:rsidR="0057163C" w:rsidRPr="00170422" w:rsidRDefault="00F37BF9">
            <w:pPr>
              <w:pStyle w:val="P68B1DB1-Normal11"/>
              <w:jc w:val="center"/>
              <w:rPr>
                <w:noProof/>
                <w:szCs w:val="20"/>
                <w:lang w:val="de-DE"/>
              </w:rPr>
            </w:pPr>
            <w:r w:rsidRPr="00170422">
              <w:rPr>
                <w:noProof/>
                <w:lang w:val="de-DE"/>
              </w:rPr>
              <w:t>10</w:t>
            </w:r>
          </w:p>
        </w:tc>
        <w:tc>
          <w:tcPr>
            <w:tcW w:w="1233" w:type="dxa"/>
            <w:shd w:val="clear" w:color="auto" w:fill="C6EFCE"/>
            <w:noWrap/>
            <w:vAlign w:val="center"/>
          </w:tcPr>
          <w:p w14:paraId="750487AD" w14:textId="77777777" w:rsidR="0057163C" w:rsidRPr="00170422" w:rsidRDefault="00F37BF9">
            <w:pPr>
              <w:pStyle w:val="P68B1DB1-Normal11"/>
              <w:jc w:val="center"/>
              <w:rPr>
                <w:noProof/>
                <w:szCs w:val="20"/>
                <w:lang w:val="de-DE"/>
              </w:rPr>
            </w:pPr>
            <w:r w:rsidRPr="00170422">
              <w:rPr>
                <w:noProof/>
                <w:lang w:val="de-DE"/>
              </w:rPr>
              <w:t>15</w:t>
            </w:r>
          </w:p>
        </w:tc>
        <w:tc>
          <w:tcPr>
            <w:tcW w:w="793" w:type="dxa"/>
            <w:shd w:val="clear" w:color="auto" w:fill="C6EFCE"/>
            <w:noWrap/>
            <w:vAlign w:val="center"/>
          </w:tcPr>
          <w:p w14:paraId="49D5FBCC"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31299601" w14:textId="77777777" w:rsidR="0057163C" w:rsidRPr="00170422" w:rsidRDefault="00F37BF9">
            <w:pPr>
              <w:pStyle w:val="P68B1DB1-Normal11"/>
              <w:jc w:val="center"/>
              <w:rPr>
                <w:noProof/>
                <w:szCs w:val="20"/>
                <w:lang w:val="de-DE"/>
              </w:rPr>
            </w:pPr>
            <w:r w:rsidRPr="00170422">
              <w:rPr>
                <w:noProof/>
                <w:lang w:val="de-DE"/>
              </w:rPr>
              <w:t>2024</w:t>
            </w:r>
          </w:p>
        </w:tc>
        <w:tc>
          <w:tcPr>
            <w:tcW w:w="2584" w:type="dxa"/>
            <w:shd w:val="clear" w:color="auto" w:fill="C6EFCE"/>
            <w:noWrap/>
            <w:vAlign w:val="center"/>
          </w:tcPr>
          <w:p w14:paraId="236C767D" w14:textId="77777777" w:rsidR="0057163C" w:rsidRPr="00170422" w:rsidRDefault="00F37BF9">
            <w:pPr>
              <w:pStyle w:val="P68B1DB1-Normal12"/>
              <w:spacing w:after="120"/>
              <w:rPr>
                <w:noProof/>
                <w:lang w:val="de-DE"/>
              </w:rPr>
            </w:pPr>
            <w:r w:rsidRPr="00170422">
              <w:rPr>
                <w:noProof/>
                <w:lang w:val="de-DE"/>
              </w:rPr>
              <w:t>Endgültige Migration von vier missions</w:t>
            </w:r>
            <w:r w:rsidRPr="00170422">
              <w:rPr>
                <w:noProof/>
                <w:lang w:val="de-DE"/>
              </w:rPr>
              <w:t>kritischen und elf nicht missionskritischen Anwendungen zu neuen quelloffenen Infrastrukturen, einschließlich Einführung der Hardware-Umgebung, Installation von Open-Source-Komponenten von Middleware, Neugestaltung von Anwendungen, ausgehend von einem Ausg</w:t>
            </w:r>
            <w:r w:rsidRPr="00170422">
              <w:rPr>
                <w:noProof/>
                <w:lang w:val="de-DE"/>
              </w:rPr>
              <w:t>angswert von zehn bereits mit Ziel 1 migrierten.</w:t>
            </w:r>
          </w:p>
        </w:tc>
      </w:tr>
      <w:tr w:rsidR="0057163C" w:rsidRPr="00170422" w14:paraId="220A4F3C" w14:textId="77777777" w:rsidTr="0051146E">
        <w:trPr>
          <w:trHeight w:val="309"/>
        </w:trPr>
        <w:tc>
          <w:tcPr>
            <w:tcW w:w="1087" w:type="dxa"/>
            <w:shd w:val="clear" w:color="auto" w:fill="C6EFCE"/>
            <w:noWrap/>
            <w:vAlign w:val="center"/>
          </w:tcPr>
          <w:p w14:paraId="6097D069" w14:textId="77777777" w:rsidR="0057163C" w:rsidRPr="00170422" w:rsidRDefault="00F37BF9">
            <w:pPr>
              <w:pStyle w:val="P68B1DB1-Normal11"/>
              <w:jc w:val="center"/>
              <w:rPr>
                <w:noProof/>
                <w:szCs w:val="20"/>
                <w:lang w:val="de-DE"/>
              </w:rPr>
            </w:pPr>
            <w:r w:rsidRPr="00170422">
              <w:rPr>
                <w:noProof/>
                <w:lang w:val="de-DE"/>
              </w:rPr>
              <w:t>M1C1-145</w:t>
            </w:r>
          </w:p>
        </w:tc>
        <w:tc>
          <w:tcPr>
            <w:tcW w:w="1943" w:type="dxa"/>
            <w:shd w:val="clear" w:color="auto" w:fill="C6EFCE"/>
            <w:noWrap/>
            <w:vAlign w:val="center"/>
          </w:tcPr>
          <w:p w14:paraId="3B2333C5" w14:textId="77777777" w:rsidR="0057163C" w:rsidRPr="00170422" w:rsidRDefault="00F37BF9">
            <w:pPr>
              <w:pStyle w:val="P68B1DB1-Normal11"/>
              <w:jc w:val="center"/>
              <w:rPr>
                <w:noProof/>
                <w:szCs w:val="20"/>
                <w:lang w:val="de-DE"/>
              </w:rPr>
            </w:pPr>
            <w:r w:rsidRPr="00170422">
              <w:rPr>
                <w:noProof/>
                <w:lang w:val="de-DE"/>
              </w:rPr>
              <w:t>Investition 1.4.4 – Ausweitung der nationalen Plattformen für die digitale Identität (SPID, CIE) und des nationalen Registers (ANPR)</w:t>
            </w:r>
          </w:p>
        </w:tc>
        <w:tc>
          <w:tcPr>
            <w:tcW w:w="1176" w:type="dxa"/>
            <w:shd w:val="clear" w:color="auto" w:fill="C6EFCE"/>
            <w:noWrap/>
            <w:vAlign w:val="center"/>
          </w:tcPr>
          <w:p w14:paraId="5085EE6C"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3D18879E" w14:textId="77777777" w:rsidR="0057163C" w:rsidRPr="00170422" w:rsidRDefault="00F37BF9">
            <w:pPr>
              <w:pStyle w:val="P68B1DB1-Normal12"/>
              <w:jc w:val="center"/>
              <w:rPr>
                <w:noProof/>
                <w:lang w:val="de-DE"/>
              </w:rPr>
            </w:pPr>
            <w:r w:rsidRPr="00170422">
              <w:rPr>
                <w:noProof/>
                <w:lang w:val="de-DE"/>
              </w:rPr>
              <w:t xml:space="preserve">Nationale Plattform für die digitale Identität (CIE) und </w:t>
            </w:r>
            <w:r w:rsidRPr="00170422">
              <w:rPr>
                <w:noProof/>
                <w:lang w:val="de-DE"/>
              </w:rPr>
              <w:t>nationales Register (ANPR)</w:t>
            </w:r>
          </w:p>
        </w:tc>
        <w:tc>
          <w:tcPr>
            <w:tcW w:w="1701" w:type="dxa"/>
            <w:shd w:val="clear" w:color="auto" w:fill="C6EFCE"/>
            <w:noWrap/>
            <w:vAlign w:val="center"/>
          </w:tcPr>
          <w:p w14:paraId="71177ED4"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2D698154"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43934629" w14:textId="77777777" w:rsidR="0057163C" w:rsidRPr="00170422" w:rsidRDefault="00F37BF9">
            <w:pPr>
              <w:pStyle w:val="P68B1DB1-Normal11"/>
              <w:jc w:val="center"/>
              <w:rPr>
                <w:noProof/>
                <w:szCs w:val="20"/>
                <w:lang w:val="de-DE"/>
              </w:rPr>
            </w:pPr>
            <w:r w:rsidRPr="00170422">
              <w:rPr>
                <w:noProof/>
                <w:lang w:val="de-DE"/>
              </w:rPr>
              <w:t>9 700 000</w:t>
            </w:r>
          </w:p>
        </w:tc>
        <w:tc>
          <w:tcPr>
            <w:tcW w:w="1233" w:type="dxa"/>
            <w:shd w:val="clear" w:color="auto" w:fill="C6EFCE"/>
            <w:noWrap/>
            <w:vAlign w:val="center"/>
          </w:tcPr>
          <w:p w14:paraId="03F77A26" w14:textId="77777777" w:rsidR="0057163C" w:rsidRPr="00170422" w:rsidRDefault="00F37BF9">
            <w:pPr>
              <w:pStyle w:val="P68B1DB1-Normal11"/>
              <w:jc w:val="center"/>
              <w:rPr>
                <w:noProof/>
                <w:szCs w:val="20"/>
                <w:lang w:val="de-DE"/>
              </w:rPr>
            </w:pPr>
            <w:r w:rsidRPr="00170422">
              <w:rPr>
                <w:noProof/>
                <w:lang w:val="de-DE"/>
              </w:rPr>
              <w:t>42 300 000</w:t>
            </w:r>
          </w:p>
        </w:tc>
        <w:tc>
          <w:tcPr>
            <w:tcW w:w="793" w:type="dxa"/>
            <w:shd w:val="clear" w:color="auto" w:fill="C6EFCE"/>
            <w:noWrap/>
            <w:vAlign w:val="center"/>
          </w:tcPr>
          <w:p w14:paraId="4815C2D2" w14:textId="77777777" w:rsidR="0057163C" w:rsidRPr="00170422" w:rsidRDefault="00F37BF9">
            <w:pPr>
              <w:pStyle w:val="P68B1DB1-Normal11"/>
              <w:jc w:val="center"/>
              <w:rPr>
                <w:noProof/>
                <w:szCs w:val="20"/>
                <w:lang w:val="de-DE"/>
              </w:rPr>
            </w:pPr>
            <w:r w:rsidRPr="00170422">
              <w:rPr>
                <w:noProof/>
                <w:lang w:val="de-DE"/>
              </w:rPr>
              <w:t>4. QUARTAL</w:t>
            </w:r>
          </w:p>
        </w:tc>
        <w:tc>
          <w:tcPr>
            <w:tcW w:w="625" w:type="dxa"/>
            <w:shd w:val="clear" w:color="auto" w:fill="C6EFCE"/>
            <w:noWrap/>
            <w:vAlign w:val="center"/>
          </w:tcPr>
          <w:p w14:paraId="05DFC2EA" w14:textId="77777777" w:rsidR="0057163C" w:rsidRPr="00170422" w:rsidRDefault="00F37BF9">
            <w:pPr>
              <w:pStyle w:val="P68B1DB1-Normal11"/>
              <w:jc w:val="center"/>
              <w:rPr>
                <w:noProof/>
                <w:szCs w:val="20"/>
                <w:lang w:val="de-DE"/>
              </w:rPr>
            </w:pPr>
            <w:r w:rsidRPr="00170422">
              <w:rPr>
                <w:noProof/>
                <w:lang w:val="de-DE"/>
              </w:rPr>
              <w:t>2025</w:t>
            </w:r>
          </w:p>
        </w:tc>
        <w:tc>
          <w:tcPr>
            <w:tcW w:w="2584" w:type="dxa"/>
            <w:shd w:val="clear" w:color="auto" w:fill="C6EFCE"/>
            <w:noWrap/>
            <w:vAlign w:val="center"/>
          </w:tcPr>
          <w:p w14:paraId="74454F90" w14:textId="77777777" w:rsidR="0057163C" w:rsidRPr="00170422" w:rsidRDefault="00F37BF9">
            <w:pPr>
              <w:pStyle w:val="P68B1DB1-Normal12"/>
              <w:spacing w:after="120"/>
              <w:rPr>
                <w:noProof/>
                <w:lang w:val="de-DE"/>
              </w:rPr>
            </w:pPr>
            <w:r w:rsidRPr="00170422">
              <w:rPr>
                <w:noProof/>
                <w:lang w:val="de-DE"/>
              </w:rPr>
              <w:t>42300000 Personen mit gültigen digitalen Identitäten sind auf der nationalen Plattform für digitale Identität (CIE) registriert.</w:t>
            </w:r>
          </w:p>
        </w:tc>
      </w:tr>
      <w:tr w:rsidR="0057163C" w:rsidRPr="00170422" w14:paraId="79BB774B" w14:textId="77777777" w:rsidTr="0051146E">
        <w:trPr>
          <w:trHeight w:val="309"/>
        </w:trPr>
        <w:tc>
          <w:tcPr>
            <w:tcW w:w="1087" w:type="dxa"/>
            <w:shd w:val="clear" w:color="auto" w:fill="C6EFCE"/>
            <w:noWrap/>
            <w:vAlign w:val="center"/>
          </w:tcPr>
          <w:p w14:paraId="008E7775" w14:textId="77777777" w:rsidR="0057163C" w:rsidRPr="00170422" w:rsidRDefault="00F37BF9">
            <w:pPr>
              <w:pStyle w:val="P68B1DB1-Normal11"/>
              <w:jc w:val="center"/>
              <w:rPr>
                <w:noProof/>
                <w:szCs w:val="20"/>
                <w:lang w:val="de-DE"/>
              </w:rPr>
            </w:pPr>
            <w:r w:rsidRPr="00170422">
              <w:rPr>
                <w:noProof/>
                <w:lang w:val="de-DE"/>
              </w:rPr>
              <w:t>M1C1-146</w:t>
            </w:r>
          </w:p>
        </w:tc>
        <w:tc>
          <w:tcPr>
            <w:tcW w:w="1943" w:type="dxa"/>
            <w:shd w:val="clear" w:color="auto" w:fill="C6EFCE"/>
            <w:noWrap/>
            <w:vAlign w:val="center"/>
          </w:tcPr>
          <w:p w14:paraId="748981FE" w14:textId="77777777" w:rsidR="0057163C" w:rsidRPr="00170422" w:rsidRDefault="00F37BF9">
            <w:pPr>
              <w:pStyle w:val="P68B1DB1-Normal11"/>
              <w:jc w:val="center"/>
              <w:rPr>
                <w:noProof/>
                <w:szCs w:val="20"/>
                <w:lang w:val="de-DE"/>
              </w:rPr>
            </w:pPr>
            <w:r w:rsidRPr="00170422">
              <w:rPr>
                <w:noProof/>
                <w:lang w:val="de-DE"/>
              </w:rPr>
              <w:t xml:space="preserve">Investition 1.4.4 – Ausbau der </w:t>
            </w:r>
            <w:r w:rsidRPr="00170422">
              <w:rPr>
                <w:noProof/>
                <w:lang w:val="de-DE"/>
              </w:rPr>
              <w:t>nationalen Plattformen für die digitale Identität (SPID, CIE) und des nationalen Registers (ANPR)</w:t>
            </w:r>
          </w:p>
        </w:tc>
        <w:tc>
          <w:tcPr>
            <w:tcW w:w="1176" w:type="dxa"/>
            <w:shd w:val="clear" w:color="auto" w:fill="C6EFCE"/>
            <w:noWrap/>
            <w:vAlign w:val="center"/>
          </w:tcPr>
          <w:p w14:paraId="5A4CD9D8"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514E207D" w14:textId="77777777" w:rsidR="0057163C" w:rsidRPr="00170422" w:rsidRDefault="00F37BF9">
            <w:pPr>
              <w:pStyle w:val="P68B1DB1-Normal11"/>
              <w:jc w:val="center"/>
              <w:rPr>
                <w:noProof/>
                <w:szCs w:val="20"/>
                <w:lang w:val="de-DE"/>
              </w:rPr>
            </w:pPr>
            <w:r w:rsidRPr="00170422">
              <w:rPr>
                <w:noProof/>
                <w:lang w:val="de-DE"/>
              </w:rPr>
              <w:t xml:space="preserve">Nationale Plattformen für die digitale Identität (SPID) </w:t>
            </w:r>
          </w:p>
        </w:tc>
        <w:tc>
          <w:tcPr>
            <w:tcW w:w="1701" w:type="dxa"/>
            <w:shd w:val="clear" w:color="auto" w:fill="C6EFCE"/>
            <w:noWrap/>
            <w:vAlign w:val="center"/>
          </w:tcPr>
          <w:p w14:paraId="3D414044"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0B4B36EA"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5F866A0D" w14:textId="77777777" w:rsidR="0057163C" w:rsidRPr="00170422" w:rsidRDefault="00F37BF9">
            <w:pPr>
              <w:pStyle w:val="P68B1DB1-Normal11"/>
              <w:jc w:val="center"/>
              <w:rPr>
                <w:noProof/>
                <w:szCs w:val="20"/>
                <w:lang w:val="de-DE"/>
              </w:rPr>
            </w:pPr>
            <w:r w:rsidRPr="00170422">
              <w:rPr>
                <w:noProof/>
                <w:lang w:val="de-DE"/>
              </w:rPr>
              <w:t>0</w:t>
            </w:r>
          </w:p>
        </w:tc>
        <w:tc>
          <w:tcPr>
            <w:tcW w:w="1233" w:type="dxa"/>
            <w:shd w:val="clear" w:color="auto" w:fill="C6EFCE"/>
            <w:noWrap/>
            <w:vAlign w:val="center"/>
          </w:tcPr>
          <w:p w14:paraId="429F53A8" w14:textId="77777777" w:rsidR="0057163C" w:rsidRPr="00170422" w:rsidRDefault="00F37BF9">
            <w:pPr>
              <w:pStyle w:val="P68B1DB1-Normal24"/>
              <w:jc w:val="center"/>
              <w:rPr>
                <w:rFonts w:hAnsi="Arial Narrow" w:hint="default"/>
                <w:noProof/>
                <w:szCs w:val="20"/>
                <w:lang w:val="de-DE"/>
              </w:rPr>
            </w:pPr>
            <w:r w:rsidRPr="00170422">
              <w:rPr>
                <w:rFonts w:hint="default"/>
                <w:noProof/>
                <w:lang w:val="de-DE"/>
              </w:rPr>
              <w:t>10</w:t>
            </w:r>
            <w:r w:rsidRPr="00170422">
              <w:rPr>
                <w:rFonts w:hint="default"/>
                <w:noProof/>
                <w:lang w:val="de-DE"/>
              </w:rPr>
              <w:t> </w:t>
            </w:r>
            <w:r w:rsidRPr="00170422">
              <w:rPr>
                <w:rFonts w:hint="default"/>
                <w:noProof/>
                <w:lang w:val="de-DE"/>
              </w:rPr>
              <w:t>217</w:t>
            </w:r>
          </w:p>
        </w:tc>
        <w:tc>
          <w:tcPr>
            <w:tcW w:w="793" w:type="dxa"/>
            <w:shd w:val="clear" w:color="auto" w:fill="C6EFCE"/>
            <w:noWrap/>
            <w:vAlign w:val="center"/>
          </w:tcPr>
          <w:p w14:paraId="75593330" w14:textId="77777777" w:rsidR="0057163C" w:rsidRPr="00170422" w:rsidRDefault="00F37BF9">
            <w:pPr>
              <w:pStyle w:val="P68B1DB1-Normal11"/>
              <w:jc w:val="center"/>
              <w:rPr>
                <w:noProof/>
                <w:szCs w:val="20"/>
                <w:lang w:val="de-DE"/>
              </w:rPr>
            </w:pPr>
            <w:r w:rsidRPr="00170422">
              <w:rPr>
                <w:noProof/>
                <w:lang w:val="de-DE"/>
              </w:rPr>
              <w:t>Q2</w:t>
            </w:r>
          </w:p>
        </w:tc>
        <w:tc>
          <w:tcPr>
            <w:tcW w:w="625" w:type="dxa"/>
            <w:shd w:val="clear" w:color="auto" w:fill="C6EFCE"/>
            <w:noWrap/>
            <w:vAlign w:val="center"/>
          </w:tcPr>
          <w:p w14:paraId="7A0DAC80" w14:textId="77777777" w:rsidR="0057163C" w:rsidRPr="00170422" w:rsidRDefault="00F37BF9">
            <w:pPr>
              <w:pStyle w:val="P68B1DB1-Normal11"/>
              <w:jc w:val="center"/>
              <w:rPr>
                <w:noProof/>
                <w:szCs w:val="20"/>
                <w:lang w:val="de-DE"/>
              </w:rPr>
            </w:pPr>
            <w:r w:rsidRPr="00170422">
              <w:rPr>
                <w:noProof/>
                <w:lang w:val="de-DE"/>
              </w:rPr>
              <w:t>2025</w:t>
            </w:r>
          </w:p>
        </w:tc>
        <w:tc>
          <w:tcPr>
            <w:tcW w:w="2584" w:type="dxa"/>
            <w:shd w:val="clear" w:color="auto" w:fill="C6EFCE"/>
            <w:noWrap/>
            <w:vAlign w:val="center"/>
          </w:tcPr>
          <w:p w14:paraId="799F9246" w14:textId="77777777" w:rsidR="0057163C" w:rsidRPr="00170422" w:rsidRDefault="00F37BF9">
            <w:pPr>
              <w:pStyle w:val="P68B1DB1-Normal12"/>
              <w:spacing w:after="120"/>
              <w:rPr>
                <w:noProof/>
                <w:lang w:val="de-DE"/>
              </w:rPr>
            </w:pPr>
            <w:r w:rsidRPr="00170422">
              <w:rPr>
                <w:noProof/>
                <w:lang w:val="de-DE"/>
              </w:rPr>
              <w:t xml:space="preserve">10217 Einrichtungen haben die elektronische Identifizierung </w:t>
            </w:r>
            <w:r w:rsidRPr="00170422">
              <w:rPr>
                <w:noProof/>
                <w:lang w:val="de-DE"/>
              </w:rPr>
              <w:t>(eID) über das System für die öffentliche digitale Identität (SPID) nach dem 3. Dezember 2021 angenommen.</w:t>
            </w:r>
          </w:p>
        </w:tc>
      </w:tr>
      <w:tr w:rsidR="0057163C" w:rsidRPr="00170422" w14:paraId="66EF4704" w14:textId="77777777" w:rsidTr="0051146E">
        <w:trPr>
          <w:trHeight w:val="309"/>
        </w:trPr>
        <w:tc>
          <w:tcPr>
            <w:tcW w:w="1087" w:type="dxa"/>
            <w:shd w:val="clear" w:color="auto" w:fill="C6EFCE"/>
            <w:noWrap/>
            <w:vAlign w:val="center"/>
          </w:tcPr>
          <w:p w14:paraId="39CB895B" w14:textId="77777777" w:rsidR="0057163C" w:rsidRPr="00170422" w:rsidRDefault="00F37BF9">
            <w:pPr>
              <w:pStyle w:val="P68B1DB1-Normal11"/>
              <w:jc w:val="center"/>
              <w:rPr>
                <w:noProof/>
                <w:szCs w:val="20"/>
                <w:lang w:val="de-DE"/>
              </w:rPr>
            </w:pPr>
            <w:r w:rsidRPr="00170422">
              <w:rPr>
                <w:noProof/>
                <w:lang w:val="de-DE"/>
              </w:rPr>
              <w:t>M1C1-151</w:t>
            </w:r>
          </w:p>
        </w:tc>
        <w:tc>
          <w:tcPr>
            <w:tcW w:w="1943" w:type="dxa"/>
            <w:shd w:val="clear" w:color="auto" w:fill="C6EFCE"/>
            <w:noWrap/>
            <w:vAlign w:val="center"/>
          </w:tcPr>
          <w:p w14:paraId="506133CF" w14:textId="77777777" w:rsidR="0057163C" w:rsidRPr="00170422" w:rsidRDefault="00F37BF9">
            <w:pPr>
              <w:pStyle w:val="P68B1DB1-Normal11"/>
              <w:jc w:val="center"/>
              <w:rPr>
                <w:noProof/>
                <w:szCs w:val="20"/>
                <w:lang w:val="de-DE"/>
              </w:rPr>
            </w:pPr>
            <w:r w:rsidRPr="00170422">
              <w:rPr>
                <w:noProof/>
                <w:lang w:val="de-DE"/>
              </w:rPr>
              <w:t>Investition 1.4.5 – Digitalisierung öffentlicher Bekanntmachungen</w:t>
            </w:r>
          </w:p>
        </w:tc>
        <w:tc>
          <w:tcPr>
            <w:tcW w:w="1176" w:type="dxa"/>
            <w:shd w:val="clear" w:color="auto" w:fill="C6EFCE"/>
            <w:noWrap/>
            <w:vAlign w:val="center"/>
          </w:tcPr>
          <w:p w14:paraId="3C0D7E8A"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6CBC5503" w14:textId="77777777" w:rsidR="0057163C" w:rsidRPr="00170422" w:rsidRDefault="00F37BF9">
            <w:pPr>
              <w:pStyle w:val="P68B1DB1-Normal12"/>
              <w:jc w:val="center"/>
              <w:rPr>
                <w:noProof/>
                <w:lang w:val="de-DE"/>
              </w:rPr>
            </w:pPr>
            <w:r w:rsidRPr="00170422">
              <w:rPr>
                <w:noProof/>
                <w:lang w:val="de-DE"/>
              </w:rPr>
              <w:t>Annahme der digitalen Meldeplattform T2</w:t>
            </w:r>
          </w:p>
        </w:tc>
        <w:tc>
          <w:tcPr>
            <w:tcW w:w="1701" w:type="dxa"/>
            <w:shd w:val="clear" w:color="auto" w:fill="C6EFCE"/>
            <w:noWrap/>
            <w:vAlign w:val="center"/>
          </w:tcPr>
          <w:p w14:paraId="10164EFA"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42E07C1A"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3905BC86" w14:textId="77777777" w:rsidR="0057163C" w:rsidRPr="00170422" w:rsidRDefault="00F37BF9">
            <w:pPr>
              <w:pStyle w:val="P68B1DB1-Normal11"/>
              <w:jc w:val="center"/>
              <w:rPr>
                <w:noProof/>
                <w:szCs w:val="20"/>
                <w:lang w:val="de-DE"/>
              </w:rPr>
            </w:pPr>
            <w:r w:rsidRPr="00170422">
              <w:rPr>
                <w:noProof/>
                <w:lang w:val="de-DE"/>
              </w:rPr>
              <w:t>800</w:t>
            </w:r>
          </w:p>
        </w:tc>
        <w:tc>
          <w:tcPr>
            <w:tcW w:w="1233" w:type="dxa"/>
            <w:shd w:val="clear" w:color="auto" w:fill="C6EFCE"/>
            <w:noWrap/>
            <w:vAlign w:val="center"/>
          </w:tcPr>
          <w:p w14:paraId="2C1E3AAC" w14:textId="77777777" w:rsidR="0057163C" w:rsidRPr="00170422" w:rsidRDefault="00F37BF9">
            <w:pPr>
              <w:pStyle w:val="P68B1DB1-Normal11"/>
              <w:jc w:val="center"/>
              <w:rPr>
                <w:noProof/>
                <w:szCs w:val="20"/>
                <w:lang w:val="de-DE"/>
              </w:rPr>
            </w:pPr>
            <w:r w:rsidRPr="00170422">
              <w:rPr>
                <w:noProof/>
                <w:lang w:val="de-DE"/>
              </w:rPr>
              <w:t>6 400</w:t>
            </w:r>
          </w:p>
        </w:tc>
        <w:tc>
          <w:tcPr>
            <w:tcW w:w="793" w:type="dxa"/>
            <w:shd w:val="clear" w:color="auto" w:fill="C6EFCE"/>
            <w:noWrap/>
            <w:vAlign w:val="center"/>
          </w:tcPr>
          <w:p w14:paraId="1EBD91BB" w14:textId="77777777" w:rsidR="0057163C" w:rsidRPr="00170422" w:rsidRDefault="00F37BF9">
            <w:pPr>
              <w:pStyle w:val="P68B1DB1-Normal11"/>
              <w:jc w:val="center"/>
              <w:rPr>
                <w:noProof/>
                <w:szCs w:val="20"/>
                <w:lang w:val="de-DE"/>
              </w:rPr>
            </w:pPr>
            <w:r w:rsidRPr="00170422">
              <w:rPr>
                <w:noProof/>
                <w:lang w:val="de-DE"/>
              </w:rPr>
              <w:t>Q2</w:t>
            </w:r>
          </w:p>
        </w:tc>
        <w:tc>
          <w:tcPr>
            <w:tcW w:w="625" w:type="dxa"/>
            <w:shd w:val="clear" w:color="auto" w:fill="C6EFCE"/>
            <w:noWrap/>
            <w:vAlign w:val="center"/>
          </w:tcPr>
          <w:p w14:paraId="698C8414" w14:textId="77777777" w:rsidR="0057163C" w:rsidRPr="00170422" w:rsidRDefault="00F37BF9">
            <w:pPr>
              <w:pStyle w:val="P68B1DB1-Normal11"/>
              <w:jc w:val="center"/>
              <w:rPr>
                <w:noProof/>
                <w:szCs w:val="20"/>
                <w:lang w:val="de-DE"/>
              </w:rPr>
            </w:pPr>
            <w:r w:rsidRPr="00170422">
              <w:rPr>
                <w:noProof/>
                <w:lang w:val="de-DE"/>
              </w:rPr>
              <w:t>2026</w:t>
            </w:r>
          </w:p>
        </w:tc>
        <w:tc>
          <w:tcPr>
            <w:tcW w:w="2584" w:type="dxa"/>
            <w:shd w:val="clear" w:color="auto" w:fill="C6EFCE"/>
            <w:noWrap/>
            <w:vAlign w:val="center"/>
          </w:tcPr>
          <w:p w14:paraId="4EB3E89A" w14:textId="77777777" w:rsidR="0057163C" w:rsidRPr="00170422" w:rsidRDefault="00F37BF9">
            <w:pPr>
              <w:pStyle w:val="P68B1DB1-Normal12"/>
              <w:spacing w:after="120"/>
              <w:rPr>
                <w:noProof/>
                <w:lang w:val="de-DE"/>
              </w:rPr>
            </w:pPr>
            <w:r w:rsidRPr="00170422">
              <w:rPr>
                <w:noProof/>
                <w:lang w:val="de-DE"/>
              </w:rPr>
              <w:t>Mindestens 6400 öffentliche Verwaltungen nutzen die digitale Meldeplattform (DNP), um rechtsverbindliche digitale Mitteilungen an Bürgerinnen und Bürger, Unternehmen, Verbände und andere Einrichtungen zu senden.</w:t>
            </w:r>
          </w:p>
        </w:tc>
      </w:tr>
      <w:tr w:rsidR="0057163C" w:rsidRPr="00170422" w14:paraId="4221523A" w14:textId="77777777" w:rsidTr="0051146E">
        <w:trPr>
          <w:trHeight w:val="309"/>
        </w:trPr>
        <w:tc>
          <w:tcPr>
            <w:tcW w:w="1087" w:type="dxa"/>
            <w:shd w:val="clear" w:color="auto" w:fill="C6EFCE"/>
            <w:noWrap/>
            <w:vAlign w:val="center"/>
          </w:tcPr>
          <w:p w14:paraId="5FAB16ED" w14:textId="77777777" w:rsidR="0057163C" w:rsidRPr="00170422" w:rsidRDefault="00F37BF9">
            <w:pPr>
              <w:pStyle w:val="P68B1DB1-Normal12"/>
              <w:jc w:val="center"/>
              <w:rPr>
                <w:noProof/>
                <w:lang w:val="de-DE"/>
              </w:rPr>
            </w:pPr>
            <w:r w:rsidRPr="00170422">
              <w:rPr>
                <w:noProof/>
                <w:lang w:val="de-DE"/>
              </w:rPr>
              <w:t>M1C1-155</w:t>
            </w:r>
          </w:p>
        </w:tc>
        <w:tc>
          <w:tcPr>
            <w:tcW w:w="1943" w:type="dxa"/>
            <w:shd w:val="clear" w:color="auto" w:fill="C6EFCE"/>
            <w:noWrap/>
            <w:vAlign w:val="center"/>
          </w:tcPr>
          <w:p w14:paraId="419B63BB" w14:textId="77777777" w:rsidR="0057163C" w:rsidRPr="00170422" w:rsidRDefault="00F37BF9">
            <w:pPr>
              <w:pStyle w:val="P68B1DB1-Normal11"/>
              <w:jc w:val="center"/>
              <w:rPr>
                <w:noProof/>
                <w:szCs w:val="20"/>
                <w:lang w:val="de-DE"/>
              </w:rPr>
            </w:pPr>
            <w:r w:rsidRPr="00170422">
              <w:rPr>
                <w:noProof/>
                <w:lang w:val="de-DE"/>
              </w:rPr>
              <w:t xml:space="preserve">Investition 1.6.3 – </w:t>
            </w:r>
            <w:r w:rsidRPr="00170422">
              <w:rPr>
                <w:noProof/>
                <w:lang w:val="de-DE"/>
              </w:rPr>
              <w:t>Digitalisierung der nationalen Sozialversicherungsanstalt (INPS) und des Nationalen Instituts für die Unfallversicherung (INAIL)</w:t>
            </w:r>
          </w:p>
        </w:tc>
        <w:tc>
          <w:tcPr>
            <w:tcW w:w="1176" w:type="dxa"/>
            <w:shd w:val="clear" w:color="auto" w:fill="C6EFCE"/>
            <w:noWrap/>
            <w:vAlign w:val="center"/>
          </w:tcPr>
          <w:p w14:paraId="014DCA6A" w14:textId="77777777" w:rsidR="0057163C" w:rsidRPr="00170422" w:rsidRDefault="00F37BF9">
            <w:pPr>
              <w:pStyle w:val="P68B1DB1-Normal11"/>
              <w:jc w:val="center"/>
              <w:rPr>
                <w:noProof/>
                <w:szCs w:val="20"/>
                <w:lang w:val="de-DE"/>
              </w:rPr>
            </w:pPr>
            <w:r w:rsidRPr="00170422">
              <w:rPr>
                <w:noProof/>
                <w:lang w:val="de-DE"/>
              </w:rPr>
              <w:t>Ziel</w:t>
            </w:r>
          </w:p>
        </w:tc>
        <w:tc>
          <w:tcPr>
            <w:tcW w:w="1942" w:type="dxa"/>
            <w:shd w:val="clear" w:color="auto" w:fill="C6EFCE"/>
            <w:noWrap/>
            <w:vAlign w:val="center"/>
          </w:tcPr>
          <w:p w14:paraId="205AF0F1" w14:textId="77777777" w:rsidR="0057163C" w:rsidRPr="00170422" w:rsidRDefault="00F37BF9">
            <w:pPr>
              <w:pStyle w:val="P68B1DB1-Normal11"/>
              <w:jc w:val="center"/>
              <w:rPr>
                <w:noProof/>
                <w:szCs w:val="20"/>
                <w:lang w:val="de-DE"/>
              </w:rPr>
            </w:pPr>
            <w:r w:rsidRPr="00170422">
              <w:rPr>
                <w:noProof/>
                <w:lang w:val="de-DE"/>
              </w:rPr>
              <w:t>INAIL – Neu entwickelte und digitalisierte Prozesse/Dienste T2</w:t>
            </w:r>
          </w:p>
        </w:tc>
        <w:tc>
          <w:tcPr>
            <w:tcW w:w="1701" w:type="dxa"/>
            <w:shd w:val="clear" w:color="auto" w:fill="C6EFCE"/>
            <w:noWrap/>
            <w:vAlign w:val="center"/>
          </w:tcPr>
          <w:p w14:paraId="5BDA1C60"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597F7783" w14:textId="77777777" w:rsidR="0057163C" w:rsidRPr="00170422" w:rsidRDefault="00F37BF9">
            <w:pPr>
              <w:pStyle w:val="P68B1DB1-Normal11"/>
              <w:jc w:val="center"/>
              <w:rPr>
                <w:noProof/>
                <w:szCs w:val="20"/>
                <w:lang w:val="de-DE"/>
              </w:rPr>
            </w:pPr>
            <w:r w:rsidRPr="00170422">
              <w:rPr>
                <w:noProof/>
                <w:lang w:val="de-DE"/>
              </w:rPr>
              <w:t>Anzahl</w:t>
            </w:r>
          </w:p>
        </w:tc>
        <w:tc>
          <w:tcPr>
            <w:tcW w:w="1460" w:type="dxa"/>
            <w:shd w:val="clear" w:color="auto" w:fill="C6EFCE"/>
            <w:noWrap/>
            <w:vAlign w:val="center"/>
          </w:tcPr>
          <w:p w14:paraId="0A18BCA7" w14:textId="77777777" w:rsidR="0057163C" w:rsidRPr="00170422" w:rsidRDefault="00F37BF9">
            <w:pPr>
              <w:pStyle w:val="P68B1DB1-Normal11"/>
              <w:jc w:val="center"/>
              <w:rPr>
                <w:noProof/>
                <w:szCs w:val="20"/>
                <w:lang w:val="de-DE"/>
              </w:rPr>
            </w:pPr>
            <w:r w:rsidRPr="00170422">
              <w:rPr>
                <w:noProof/>
                <w:lang w:val="de-DE"/>
              </w:rPr>
              <w:t>53</w:t>
            </w:r>
          </w:p>
        </w:tc>
        <w:tc>
          <w:tcPr>
            <w:tcW w:w="1233" w:type="dxa"/>
            <w:shd w:val="clear" w:color="auto" w:fill="C6EFCE"/>
            <w:noWrap/>
            <w:vAlign w:val="center"/>
          </w:tcPr>
          <w:p w14:paraId="720A00E5" w14:textId="77777777" w:rsidR="0057163C" w:rsidRPr="00170422" w:rsidRDefault="00F37BF9">
            <w:pPr>
              <w:pStyle w:val="P68B1DB1-Normal11"/>
              <w:jc w:val="center"/>
              <w:rPr>
                <w:noProof/>
                <w:szCs w:val="20"/>
                <w:lang w:val="de-DE"/>
              </w:rPr>
            </w:pPr>
            <w:r w:rsidRPr="00170422">
              <w:rPr>
                <w:noProof/>
                <w:lang w:val="de-DE"/>
              </w:rPr>
              <w:t>82</w:t>
            </w:r>
          </w:p>
        </w:tc>
        <w:tc>
          <w:tcPr>
            <w:tcW w:w="793" w:type="dxa"/>
            <w:shd w:val="clear" w:color="auto" w:fill="C6EFCE"/>
            <w:noWrap/>
            <w:vAlign w:val="center"/>
          </w:tcPr>
          <w:p w14:paraId="04D1542C" w14:textId="77777777" w:rsidR="0057163C" w:rsidRPr="00170422" w:rsidRDefault="00F37BF9">
            <w:pPr>
              <w:pStyle w:val="P68B1DB1-Normal11"/>
              <w:jc w:val="center"/>
              <w:rPr>
                <w:noProof/>
                <w:szCs w:val="20"/>
                <w:lang w:val="de-DE"/>
              </w:rPr>
            </w:pPr>
            <w:r w:rsidRPr="00170422">
              <w:rPr>
                <w:noProof/>
                <w:lang w:val="de-DE"/>
              </w:rPr>
              <w:t>Q2</w:t>
            </w:r>
          </w:p>
        </w:tc>
        <w:tc>
          <w:tcPr>
            <w:tcW w:w="625" w:type="dxa"/>
            <w:shd w:val="clear" w:color="auto" w:fill="C6EFCE"/>
            <w:noWrap/>
            <w:vAlign w:val="center"/>
          </w:tcPr>
          <w:p w14:paraId="6D96BC93" w14:textId="77777777" w:rsidR="0057163C" w:rsidRPr="00170422" w:rsidRDefault="00F37BF9">
            <w:pPr>
              <w:pStyle w:val="P68B1DB1-Normal11"/>
              <w:jc w:val="center"/>
              <w:rPr>
                <w:noProof/>
                <w:szCs w:val="20"/>
                <w:lang w:val="de-DE"/>
              </w:rPr>
            </w:pPr>
            <w:r w:rsidRPr="00170422">
              <w:rPr>
                <w:noProof/>
                <w:lang w:val="de-DE"/>
              </w:rPr>
              <w:t>2026</w:t>
            </w:r>
          </w:p>
        </w:tc>
        <w:tc>
          <w:tcPr>
            <w:tcW w:w="2584" w:type="dxa"/>
            <w:shd w:val="clear" w:color="auto" w:fill="C6EFCE"/>
            <w:noWrap/>
            <w:vAlign w:val="center"/>
          </w:tcPr>
          <w:p w14:paraId="4ACD5421" w14:textId="77777777" w:rsidR="0057163C" w:rsidRPr="00170422" w:rsidRDefault="00F37BF9">
            <w:pPr>
              <w:pStyle w:val="P68B1DB1-Normal12"/>
              <w:spacing w:after="120"/>
              <w:rPr>
                <w:noProof/>
                <w:lang w:val="de-DE"/>
              </w:rPr>
            </w:pPr>
            <w:r w:rsidRPr="00170422">
              <w:rPr>
                <w:noProof/>
                <w:lang w:val="de-DE"/>
              </w:rPr>
              <w:t xml:space="preserve">82 Prozesse oder </w:t>
            </w:r>
            <w:r w:rsidRPr="00170422">
              <w:rPr>
                <w:noProof/>
                <w:lang w:val="de-DE"/>
              </w:rPr>
              <w:t>Dienstleistungen werden neu konzipiert und digitalisiert. Die beteiligten INAIL-Bereiche sind: Versicherungs-, Sozial- und Gesundheitsdienstleistungen, Prävention und Sicherheit, Zertifizierungen und Überprüfungen.</w:t>
            </w:r>
          </w:p>
        </w:tc>
      </w:tr>
    </w:tbl>
    <w:p w14:paraId="135C458D" w14:textId="77777777" w:rsidR="0057163C" w:rsidRPr="00170422" w:rsidRDefault="0057163C">
      <w:pPr>
        <w:pStyle w:val="Heading2"/>
        <w:rPr>
          <w:noProof/>
          <w:lang w:val="de-DE"/>
        </w:rPr>
      </w:pPr>
    </w:p>
    <w:p w14:paraId="471A4B70" w14:textId="77777777" w:rsidR="0057163C" w:rsidRPr="00170422" w:rsidRDefault="0057163C">
      <w:pPr>
        <w:rPr>
          <w:rFonts w:ascii="Times New Roman" w:eastAsia="Times New Roman" w:hAnsi="Times New Roman" w:cs="Times New Roman"/>
          <w:b/>
          <w:bCs/>
          <w:noProof/>
          <w:lang w:val="de-DE"/>
        </w:rPr>
        <w:sectPr w:rsidR="0057163C" w:rsidRPr="00170422" w:rsidSect="000A4766">
          <w:headerReference w:type="default" r:id="rId38"/>
          <w:footerReference w:type="default" r:id="rId39"/>
          <w:pgSz w:w="16838" w:h="11906" w:orient="landscape"/>
          <w:pgMar w:top="1440" w:right="1440" w:bottom="1440" w:left="1440" w:header="708" w:footer="708" w:gutter="0"/>
          <w:cols w:space="708"/>
          <w:docGrid w:linePitch="360"/>
        </w:sectPr>
      </w:pPr>
    </w:p>
    <w:p w14:paraId="426A21A3" w14:textId="5E2EF6D7" w:rsidR="0057163C" w:rsidRPr="00170422" w:rsidRDefault="00F37BF9">
      <w:pPr>
        <w:pStyle w:val="P68B1DB1-Heading23"/>
        <w:numPr>
          <w:ilvl w:val="0"/>
          <w:numId w:val="68"/>
        </w:numPr>
        <w:spacing w:line="279" w:lineRule="auto"/>
        <w:rPr>
          <w:bCs/>
          <w:noProof/>
          <w:lang w:val="de-DE"/>
        </w:rPr>
      </w:pPr>
      <w:r w:rsidRPr="00170422">
        <w:rPr>
          <w:noProof/>
          <w:lang w:val="de-DE"/>
        </w:rPr>
        <w:t>MISSION 1 – KOMPONENTE 2:</w:t>
      </w:r>
    </w:p>
    <w:p w14:paraId="7C99537C" w14:textId="77777777" w:rsidR="0057163C" w:rsidRPr="00170422" w:rsidRDefault="00F37BF9">
      <w:pPr>
        <w:pStyle w:val="P68B1DB1-Normal25"/>
        <w:spacing w:before="120" w:after="120"/>
        <w:jc w:val="both"/>
        <w:rPr>
          <w:bCs/>
          <w:noProof/>
          <w:lang w:val="de-DE"/>
        </w:rPr>
      </w:pPr>
      <w:r w:rsidRPr="00170422">
        <w:rPr>
          <w:noProof/>
          <w:lang w:val="de-DE"/>
        </w:rPr>
        <w:t>Schwerpunkt 1 – Digitalisierung, Innovation und Wettbewerbsfähigkeit des Produktionssystems</w:t>
      </w:r>
    </w:p>
    <w:p w14:paraId="2124C41E" w14:textId="77777777" w:rsidR="0057163C" w:rsidRPr="00170422" w:rsidRDefault="00F37BF9">
      <w:pPr>
        <w:pStyle w:val="P68B1DB1-Normal7"/>
        <w:spacing w:before="120" w:after="120"/>
        <w:jc w:val="both"/>
        <w:rPr>
          <w:noProof/>
          <w:lang w:val="de-DE"/>
        </w:rPr>
      </w:pPr>
      <w:r w:rsidRPr="00170422">
        <w:rPr>
          <w:noProof/>
          <w:lang w:val="de-DE"/>
        </w:rPr>
        <w:t xml:space="preserve">Schwerpunkt 1 der Komponente 2 von Mission 1 des italienischen Aufbau- und Resilienzplans betrifft Investitionen und </w:t>
      </w:r>
      <w:r w:rsidRPr="00170422">
        <w:rPr>
          <w:noProof/>
          <w:lang w:val="de-DE"/>
        </w:rPr>
        <w:t xml:space="preserve">Reformen, die hauptsächlich darauf abzielen, i) den digitalen Wandel und die Innovation des Produktionssystems durch Anreize für Investitionen in Technologien, Forschung, Entwicklung und Innovation zu unterstützen, II) Ausbau ultraschneller Breitband- und </w:t>
      </w:r>
      <w:r w:rsidRPr="00170422">
        <w:rPr>
          <w:noProof/>
          <w:lang w:val="de-DE"/>
        </w:rPr>
        <w:t>5G-Netze zur Verringerung der digitalen Kluft sowie Satellitenkonstellationen und -dienste; III) Förderung der Entwicklung strategischer Wertschöpfungsketten und Unterstützung der Wettbewerbsfähigkeit von Unternehmen mit Schwerpunkt auf KMU.</w:t>
      </w:r>
    </w:p>
    <w:p w14:paraId="1A848758" w14:textId="77777777" w:rsidR="0057163C" w:rsidRPr="00170422" w:rsidRDefault="00F37BF9">
      <w:pPr>
        <w:pStyle w:val="P68B1DB1-Normal7"/>
        <w:spacing w:before="120" w:after="120"/>
        <w:jc w:val="both"/>
        <w:rPr>
          <w:noProof/>
          <w:lang w:val="de-DE"/>
        </w:rPr>
      </w:pPr>
      <w:r w:rsidRPr="00170422">
        <w:rPr>
          <w:noProof/>
          <w:lang w:val="de-DE"/>
        </w:rPr>
        <w:t xml:space="preserve">Die Maßnahmen </w:t>
      </w:r>
      <w:r w:rsidRPr="00170422">
        <w:rPr>
          <w:noProof/>
          <w:lang w:val="de-DE"/>
        </w:rPr>
        <w:t>im Rahmen dieser Komponente zielen darauf ab, Lücken zu schließen, die sich aus dem Index für die digitale Wirtschaft und Gesellschaft (DESI) 2020 in Bezug auf den digitalen Wandel von Unternehmen und die Mängel bei der Konnektivität ergeben, um die sozial</w:t>
      </w:r>
      <w:r w:rsidRPr="00170422">
        <w:rPr>
          <w:noProof/>
          <w:lang w:val="de-DE"/>
        </w:rPr>
        <w:t>e und wirtschaftliche Widerstandsfähigkeit des Landes zu stärken.</w:t>
      </w:r>
    </w:p>
    <w:p w14:paraId="694909A4" w14:textId="77777777" w:rsidR="0057163C" w:rsidRPr="00170422" w:rsidRDefault="00F37BF9">
      <w:pPr>
        <w:pStyle w:val="P68B1DB1-Normal7"/>
        <w:spacing w:before="120" w:after="120"/>
        <w:jc w:val="both"/>
        <w:rPr>
          <w:noProof/>
          <w:lang w:val="de-DE"/>
        </w:rPr>
      </w:pPr>
      <w:r w:rsidRPr="00170422">
        <w:rPr>
          <w:noProof/>
          <w:lang w:val="de-DE"/>
        </w:rPr>
        <w:t>Die Investitionen und Reformen im Rahmen dieser Komponente tragen dazu bei, die länderspezifischen Empfehlungen an Italien in den Jahren 2020 und 2019 zur „Stärkung des Fernunterrichts und d</w:t>
      </w:r>
      <w:r w:rsidRPr="00170422">
        <w:rPr>
          <w:noProof/>
          <w:lang w:val="de-DE"/>
        </w:rPr>
        <w:t>er Kompetenzen im Fernunterricht, einschließlich digitaler Kompetenzen“ (länderspezifische Empfehlung 2, 2020), zur „Förderung privater Investitionen zur Förderung der wirtschaftlichen Erholung“ (länderspezifische Empfehlung 3, 2020) umzusetzen und „die In</w:t>
      </w:r>
      <w:r w:rsidRPr="00170422">
        <w:rPr>
          <w:noProof/>
          <w:lang w:val="de-DE"/>
        </w:rPr>
        <w:t>vestitionen in den ökologischen und digitalen Wandel zu konzentrieren, insbesondere in [...] verstärkte digitale Infrastrukturen, um die Erbringung wesentlicher Dienstleistungen sicherzustellen“ (länderspezifische Empfehlung 3, 2020), „Förderung der Weiter</w:t>
      </w:r>
      <w:r w:rsidRPr="00170422">
        <w:rPr>
          <w:noProof/>
          <w:lang w:val="de-DE"/>
        </w:rPr>
        <w:t>qualifizierung, auch durch Stärkung der digitalen Kompetenzen (länderspezifische Empfehlung 2, 2019), Ausrichtung der investitionsbezogenen Wirtschaftspolitik auf Forschung und Innovation und die Qualität der Infrastruktur, auch unter Berücksichtigung regi</w:t>
      </w:r>
      <w:r w:rsidRPr="00170422">
        <w:rPr>
          <w:noProof/>
          <w:lang w:val="de-DE"/>
        </w:rPr>
        <w:t xml:space="preserve">onaler Unterschiede“ (länderspezifische Empfehlung 3, 2019) und in gewissem Umfang „Unterstützung des Zugangs von innovativen und kleineren Unternehmen zu Finanzierung durch Nichtbanken“ (länderspezifische Empfehlung 5, 2019). </w:t>
      </w:r>
    </w:p>
    <w:p w14:paraId="3203CE24" w14:textId="77777777" w:rsidR="0057163C" w:rsidRPr="00170422" w:rsidRDefault="00F37BF9">
      <w:pPr>
        <w:pStyle w:val="P68B1DB1-Normal7"/>
        <w:spacing w:before="120" w:after="120"/>
        <w:jc w:val="both"/>
        <w:rPr>
          <w:noProof/>
          <w:lang w:val="de-DE"/>
        </w:rPr>
      </w:pPr>
      <w:r w:rsidRPr="00170422">
        <w:rPr>
          <w:noProof/>
          <w:lang w:val="de-DE"/>
        </w:rPr>
        <w:t>Es wird erwartet, dass keine</w:t>
      </w:r>
      <w:r w:rsidRPr="00170422">
        <w:rPr>
          <w:noProof/>
          <w:lang w:val="de-DE"/>
        </w:rPr>
        <w:t xml:space="preserve"> Maßnahme im Rahmen dieser Komponente eine erhebliche Beeinträchtigung der Umweltziele im Sinne des Artikels 17 der Verordnung (EU) 2020/852 verursacht, wobei die Beschreibung der Maßnahmen und der im Aufbau- und Resilienzplan festgelegten Abhilfemaßnahmen</w:t>
      </w:r>
      <w:r w:rsidRPr="00170422">
        <w:rPr>
          <w:noProof/>
          <w:lang w:val="de-DE"/>
        </w:rPr>
        <w:t xml:space="preserve"> im Einklang mit den technischen Leitlinien „Vermeidung erheblicher Beeinträchtigungen“ (2021/C58/01) zu berücksichtigen ist.</w:t>
      </w:r>
    </w:p>
    <w:p w14:paraId="570814B1" w14:textId="77777777" w:rsidR="0057163C" w:rsidRPr="00170422" w:rsidRDefault="00F37BF9">
      <w:pPr>
        <w:pStyle w:val="P68B1DB1-Normal25"/>
        <w:spacing w:before="120" w:after="120"/>
        <w:jc w:val="both"/>
        <w:rPr>
          <w:bCs/>
          <w:noProof/>
          <w:lang w:val="de-DE"/>
        </w:rPr>
      </w:pPr>
      <w:r w:rsidRPr="00170422">
        <w:rPr>
          <w:noProof/>
          <w:lang w:val="de-DE"/>
        </w:rPr>
        <w:t>Schwerpunkt 2 – Verbesserung der Rahmenbedingungen für Unternehmen und des Wettbewerbs</w:t>
      </w:r>
    </w:p>
    <w:p w14:paraId="6C0EAD6E" w14:textId="77777777" w:rsidR="0057163C" w:rsidRPr="00170422" w:rsidRDefault="00F37BF9">
      <w:pPr>
        <w:pStyle w:val="P68B1DB1-Normal7"/>
        <w:spacing w:before="120" w:after="120"/>
        <w:jc w:val="both"/>
        <w:rPr>
          <w:noProof/>
          <w:lang w:val="de-DE"/>
        </w:rPr>
      </w:pPr>
      <w:r w:rsidRPr="00170422">
        <w:rPr>
          <w:noProof/>
          <w:lang w:val="de-DE"/>
        </w:rPr>
        <w:t>Das Hauptziel von Schwerpunkt 2 der Kompone</w:t>
      </w:r>
      <w:r w:rsidRPr="00170422">
        <w:rPr>
          <w:noProof/>
          <w:lang w:val="de-DE"/>
        </w:rPr>
        <w:t>nte 2 von Mission 1 besteht darin, die Rahmenbedingungen für Unternehmen und die Rahmenbedingungen für den Wettbewerb zu verbessern, um eine effizientere Ressourcenallokation und Produktivitätssteigerungen zu fördern. Das wichtigste Instrument zur Erreichu</w:t>
      </w:r>
      <w:r w:rsidRPr="00170422">
        <w:rPr>
          <w:noProof/>
          <w:lang w:val="de-DE"/>
        </w:rPr>
        <w:t xml:space="preserve">ng dieser Ziele ist das jährliche Wettbewerbsgesetz, das jedes Jahr verabschiedet werden soll. </w:t>
      </w:r>
    </w:p>
    <w:p w14:paraId="0A203AB8" w14:textId="77777777" w:rsidR="0057163C" w:rsidRPr="00170422" w:rsidRDefault="00F37BF9">
      <w:pPr>
        <w:pStyle w:val="P68B1DB1-Normal7"/>
        <w:spacing w:before="120" w:after="120"/>
        <w:jc w:val="both"/>
        <w:rPr>
          <w:noProof/>
          <w:lang w:val="de-DE"/>
        </w:rPr>
      </w:pPr>
      <w:r w:rsidRPr="00170422">
        <w:rPr>
          <w:noProof/>
          <w:lang w:val="de-DE"/>
        </w:rPr>
        <w:t xml:space="preserve">Die Investitionen und Reformen im Rahmen dieser Komponente tragen dazu bei, die 2019 an Italien gerichteten länderspezifischen Empfehlungen zur „Bekämpfung von </w:t>
      </w:r>
      <w:r w:rsidRPr="00170422">
        <w:rPr>
          <w:noProof/>
          <w:lang w:val="de-DE"/>
        </w:rPr>
        <w:t>Wettbewerbsbeschränkungen [...], auch durch ein neues jährliches Wettbewerbsrecht“ (länderspezifische Empfehlung 3, 2019) umzusetzen.</w:t>
      </w:r>
    </w:p>
    <w:p w14:paraId="11794BBC" w14:textId="77777777" w:rsidR="0057163C" w:rsidRPr="00170422" w:rsidRDefault="00F37BF9">
      <w:pPr>
        <w:pStyle w:val="P68B1DB1-Heading39"/>
        <w:numPr>
          <w:ilvl w:val="2"/>
          <w:numId w:val="0"/>
        </w:numPr>
        <w:ind w:left="850" w:hanging="850"/>
        <w:rPr>
          <w:b/>
          <w:bCs/>
          <w:i/>
          <w:iCs/>
          <w:noProof/>
          <w:u w:val="single"/>
          <w:lang w:val="de-DE"/>
        </w:rPr>
      </w:pPr>
      <w:r w:rsidRPr="00170422">
        <w:rPr>
          <w:b/>
          <w:noProof/>
          <w:u w:val="single"/>
          <w:lang w:val="de-DE"/>
        </w:rPr>
        <w:t xml:space="preserve">B.1. </w:t>
      </w:r>
      <w:r w:rsidRPr="00170422">
        <w:rPr>
          <w:noProof/>
          <w:lang w:val="de-DE"/>
        </w:rPr>
        <w:t xml:space="preserve"> </w:t>
      </w:r>
      <w:r w:rsidRPr="00170422">
        <w:rPr>
          <w:b/>
          <w:noProof/>
          <w:u w:val="single"/>
          <w:lang w:val="de-DE"/>
        </w:rPr>
        <w:t>Beschreibung der Reformen und Investitionen für nicht rückzahlbare finanzielle Unterstützung</w:t>
      </w:r>
    </w:p>
    <w:p w14:paraId="755B292F" w14:textId="77777777" w:rsidR="0057163C" w:rsidRPr="00170422" w:rsidRDefault="00F37BF9">
      <w:pPr>
        <w:pStyle w:val="P68B1DB1-Normal26"/>
        <w:spacing w:before="120" w:after="120"/>
        <w:jc w:val="both"/>
        <w:rPr>
          <w:iCs/>
          <w:noProof/>
          <w:color w:val="156082" w:themeColor="accent1"/>
          <w:lang w:val="de-DE"/>
        </w:rPr>
      </w:pPr>
      <w:r w:rsidRPr="00170422">
        <w:rPr>
          <w:noProof/>
          <w:lang w:val="de-DE"/>
        </w:rPr>
        <w:t xml:space="preserve">Schwerpunkt 1 – </w:t>
      </w:r>
      <w:r w:rsidRPr="00170422">
        <w:rPr>
          <w:noProof/>
          <w:u w:val="single"/>
          <w:lang w:val="de-DE"/>
        </w:rPr>
        <w:t>Digital</w:t>
      </w:r>
      <w:r w:rsidRPr="00170422">
        <w:rPr>
          <w:noProof/>
          <w:u w:val="single"/>
          <w:lang w:val="de-DE"/>
        </w:rPr>
        <w:t>isierung, Innovation und Wettbewerbsfähigkeit des Produktionssystems</w:t>
      </w:r>
    </w:p>
    <w:p w14:paraId="4547F1A0" w14:textId="77777777" w:rsidR="0057163C" w:rsidRPr="00170422" w:rsidRDefault="00F37BF9">
      <w:pPr>
        <w:pStyle w:val="P68B1DB1-Normal5"/>
        <w:spacing w:before="120" w:after="120"/>
        <w:jc w:val="both"/>
        <w:rPr>
          <w:bCs/>
          <w:i/>
          <w:iCs/>
          <w:noProof/>
          <w:lang w:val="de-DE"/>
        </w:rPr>
      </w:pPr>
      <w:r w:rsidRPr="00170422">
        <w:rPr>
          <w:noProof/>
          <w:lang w:val="de-DE"/>
        </w:rPr>
        <w:t>Investition 1: Übergang 4.0</w:t>
      </w:r>
    </w:p>
    <w:p w14:paraId="740D6336" w14:textId="074A057D" w:rsidR="0057163C" w:rsidRPr="00170422" w:rsidRDefault="00F37BF9">
      <w:pPr>
        <w:pStyle w:val="P68B1DB1-Normal7"/>
        <w:jc w:val="both"/>
        <w:rPr>
          <w:b/>
          <w:noProof/>
          <w:lang w:val="de-DE"/>
        </w:rPr>
      </w:pPr>
      <w:r w:rsidRPr="00170422">
        <w:rPr>
          <w:noProof/>
          <w:lang w:val="de-DE"/>
        </w:rPr>
        <w:t xml:space="preserve">Ziel der Maßnahme ist es, den digitalen Wandel von Unternehmen zu unterstützen, indem Anreize für private Investitionen in Vermögenswerte und Tätigkeiten zur </w:t>
      </w:r>
      <w:r w:rsidRPr="00170422">
        <w:rPr>
          <w:noProof/>
          <w:lang w:val="de-DE"/>
        </w:rPr>
        <w:t xml:space="preserve">Förderung der Digitalisierung geschaffen werden. Bei der Maßnahme handelt es sich um eine Steuergutschriftregelung. </w:t>
      </w:r>
    </w:p>
    <w:p w14:paraId="40A3F186" w14:textId="77777777" w:rsidR="0057163C" w:rsidRPr="00170422" w:rsidRDefault="00F37BF9">
      <w:pPr>
        <w:pStyle w:val="P68B1DB1-Normal5"/>
        <w:spacing w:before="120" w:after="120"/>
        <w:jc w:val="both"/>
        <w:rPr>
          <w:bCs/>
          <w:noProof/>
          <w:lang w:val="de-DE"/>
        </w:rPr>
      </w:pPr>
      <w:r w:rsidRPr="00170422">
        <w:rPr>
          <w:noProof/>
          <w:lang w:val="de-DE"/>
        </w:rPr>
        <w:t xml:space="preserve">Reform 1: Reform des Systems des gewerblichen Eigentums </w:t>
      </w:r>
    </w:p>
    <w:p w14:paraId="6C757286" w14:textId="77777777" w:rsidR="0057163C" w:rsidRPr="00170422" w:rsidRDefault="00F37BF9">
      <w:pPr>
        <w:pStyle w:val="P68B1DB1-Normal27"/>
        <w:spacing w:before="120" w:after="120"/>
        <w:jc w:val="both"/>
        <w:rPr>
          <w:noProof/>
          <w:lang w:val="de-DE"/>
        </w:rPr>
      </w:pPr>
      <w:r w:rsidRPr="00170422">
        <w:rPr>
          <w:noProof/>
          <w:lang w:val="de-DE"/>
        </w:rPr>
        <w:t>Hauptziel der Reform ist es, das System des gewerblichen Eigentums an moderne Hera</w:t>
      </w:r>
      <w:r w:rsidRPr="00170422">
        <w:rPr>
          <w:noProof/>
          <w:lang w:val="de-DE"/>
        </w:rPr>
        <w:t>usforderungen anzupassen und sicherzustellen, dass das Innovationspotenzial zur Erholung und Resilienz des Landes beiträgt. Konkret sollen damit folgende Ziele verfolgt werden: Verbesserung des Systems zum Schutz des gewerblichen Eigentums; Förderung der N</w:t>
      </w:r>
      <w:r w:rsidRPr="00170422">
        <w:rPr>
          <w:noProof/>
          <w:lang w:val="de-DE"/>
        </w:rPr>
        <w:t>utzung und Verbreitung gewerblicher Schutzrechte, insbesondere durch KMU; Erleichterung des Zugangs zu immateriellen Vermögenswerten und ihrer gemeinsamen Nutzung bei gleichzeitiger Gewährleistung einer angemessenen Kapitalrendite; Gewährleistung einer str</w:t>
      </w:r>
      <w:r w:rsidRPr="00170422">
        <w:rPr>
          <w:noProof/>
          <w:lang w:val="de-DE"/>
        </w:rPr>
        <w:t>engeren Achtung des gewerblichen Eigentums; Stärkung der Rolle Italiens in europäischen und internationalen Foren für gewerbliches Eigentum.</w:t>
      </w:r>
    </w:p>
    <w:p w14:paraId="70B77E81" w14:textId="77777777" w:rsidR="0057163C" w:rsidRPr="00170422" w:rsidRDefault="00F37BF9">
      <w:pPr>
        <w:pStyle w:val="P68B1DB1-Normal27"/>
        <w:spacing w:before="120" w:after="120"/>
        <w:jc w:val="both"/>
        <w:rPr>
          <w:noProof/>
          <w:lang w:val="de-DE"/>
        </w:rPr>
      </w:pPr>
      <w:r w:rsidRPr="00170422">
        <w:rPr>
          <w:noProof/>
          <w:lang w:val="de-DE"/>
        </w:rPr>
        <w:t>Die Maßnahme betrifft die Reform des italienischen Gesetzbuchs über den gewerblichen Rechtsschutz, die mindestens f</w:t>
      </w:r>
      <w:r w:rsidRPr="00170422">
        <w:rPr>
          <w:noProof/>
          <w:lang w:val="de-DE"/>
        </w:rPr>
        <w:t>olgende Bereiche abdeckt: I) Überprüfung des Rechtsrahmens zur Stärkung des Schutzes gewerblicher Schutzrechte und Vereinfachung der Verfahren, ii) Stärkung der Unterstützung von Unternehmen und Forschungseinrichtungen, iii) Verbesserung der Entwicklung vo</w:t>
      </w:r>
      <w:r w:rsidRPr="00170422">
        <w:rPr>
          <w:noProof/>
          <w:lang w:val="de-DE"/>
        </w:rPr>
        <w:t xml:space="preserve">n Fähigkeiten und Kompetenzen, iv) Erleichterung des Wissenstransfers und v) Stärkung der Förderung innovativer Dienstleistungen. </w:t>
      </w:r>
    </w:p>
    <w:p w14:paraId="4A7D1692" w14:textId="77777777" w:rsidR="0057163C" w:rsidRPr="00170422" w:rsidRDefault="00F37BF9">
      <w:pPr>
        <w:pStyle w:val="P68B1DB1-Normal5"/>
        <w:spacing w:before="120" w:after="120"/>
        <w:jc w:val="both"/>
        <w:rPr>
          <w:bCs/>
          <w:noProof/>
          <w:lang w:val="de-DE"/>
        </w:rPr>
      </w:pPr>
      <w:r w:rsidRPr="00170422">
        <w:rPr>
          <w:noProof/>
          <w:lang w:val="de-DE"/>
        </w:rPr>
        <w:t>Investition 6: Investitionen in das System des gewerblichen Eigentums</w:t>
      </w:r>
    </w:p>
    <w:p w14:paraId="3BD7B4AF" w14:textId="77777777" w:rsidR="0057163C" w:rsidRPr="00170422" w:rsidRDefault="00F37BF9">
      <w:pPr>
        <w:pStyle w:val="P68B1DB1-Normal27"/>
        <w:spacing w:before="120" w:after="120"/>
        <w:jc w:val="both"/>
        <w:rPr>
          <w:noProof/>
          <w:lang w:val="de-DE"/>
        </w:rPr>
      </w:pPr>
      <w:r w:rsidRPr="00170422">
        <w:rPr>
          <w:noProof/>
          <w:lang w:val="de-DE"/>
        </w:rPr>
        <w:t>Ziel der Investition ist es, das System des gewerbliche</w:t>
      </w:r>
      <w:r w:rsidRPr="00170422">
        <w:rPr>
          <w:noProof/>
          <w:lang w:val="de-DE"/>
        </w:rPr>
        <w:t>n Eigentums zu unterstützen und dessen Reform, wie im Rahmen der Reform 1 dieser Komponente vorgesehen, zu begleiten. Die Maßnahme umfasst die finanzielle Unterstützung von Projekten von Unternehmen und Forschungseinrichtungen im Zusammenhang mit gewerblic</w:t>
      </w:r>
      <w:r w:rsidRPr="00170422">
        <w:rPr>
          <w:noProof/>
          <w:lang w:val="de-DE"/>
        </w:rPr>
        <w:t xml:space="preserve">hem Eigentum, wie z. B. patentbezogene Maßnahmen (Brevetti+), Programme zum Konzeptnachweis (POC) und die Stärkung von Technologietransferbüros (TTO). </w:t>
      </w:r>
    </w:p>
    <w:p w14:paraId="5D3B68A7" w14:textId="77777777" w:rsidR="0057163C" w:rsidRPr="00170422" w:rsidRDefault="00F37BF9">
      <w:pPr>
        <w:pStyle w:val="P68B1DB1-Normal28"/>
        <w:spacing w:before="120" w:after="120"/>
        <w:jc w:val="both"/>
        <w:rPr>
          <w:iCs/>
          <w:noProof/>
          <w:lang w:val="de-DE"/>
        </w:rPr>
      </w:pPr>
      <w:r w:rsidRPr="00170422">
        <w:rPr>
          <w:noProof/>
          <w:lang w:val="de-DE"/>
        </w:rPr>
        <w:t>Schwerpunkt 2 – Verbesserung der Rahmenbedingungen für Unternehmen und des Wettbewerbs</w:t>
      </w:r>
    </w:p>
    <w:p w14:paraId="4B2AA8A8" w14:textId="77777777" w:rsidR="0057163C" w:rsidRPr="00170422" w:rsidRDefault="0057163C">
      <w:pPr>
        <w:pStyle w:val="ListParagraph"/>
        <w:rPr>
          <w:b/>
          <w:noProof/>
          <w:lang w:val="de-DE"/>
        </w:rPr>
      </w:pPr>
    </w:p>
    <w:p w14:paraId="3E9514A4" w14:textId="77777777" w:rsidR="0057163C" w:rsidRPr="00170422" w:rsidRDefault="00F37BF9">
      <w:pPr>
        <w:pStyle w:val="P68B1DB1-Normal29"/>
        <w:spacing w:before="120" w:after="120"/>
        <w:jc w:val="both"/>
        <w:rPr>
          <w:noProof/>
          <w:lang w:val="de-DE"/>
        </w:rPr>
      </w:pPr>
      <w:r w:rsidRPr="00170422">
        <w:rPr>
          <w:noProof/>
          <w:lang w:val="de-DE"/>
        </w:rPr>
        <w:t xml:space="preserve">Reform 2: </w:t>
      </w:r>
      <w:r w:rsidRPr="00170422">
        <w:rPr>
          <w:noProof/>
          <w:lang w:val="de-DE"/>
        </w:rPr>
        <w:t>Jährliche Wettbewerbsgesetze für 2022, 2023, 2024 und 2025</w:t>
      </w:r>
    </w:p>
    <w:p w14:paraId="2366B68C" w14:textId="4E2FE26C" w:rsidR="0057163C" w:rsidRPr="00170422" w:rsidRDefault="00F37BF9">
      <w:pPr>
        <w:pStyle w:val="P68B1DB1-Normal7"/>
        <w:spacing w:before="120" w:after="120"/>
        <w:jc w:val="both"/>
        <w:rPr>
          <w:noProof/>
          <w:lang w:val="de-DE"/>
        </w:rPr>
      </w:pPr>
      <w:r w:rsidRPr="00170422">
        <w:rPr>
          <w:noProof/>
          <w:lang w:val="de-DE"/>
        </w:rPr>
        <w:t>Das Wettbewerbsgesetz wird jährlich verabschiedet, um die wettbewerblichen Verfahren für die Vergabe öffentlicher Dienstleistungsaufträge für lokale öffentliche Dienstleistungen (einschließlich Was</w:t>
      </w:r>
      <w:r w:rsidRPr="00170422">
        <w:rPr>
          <w:noProof/>
          <w:lang w:val="de-DE"/>
        </w:rPr>
        <w:t>ser-, Abfall- und ÖPNV) zu verschärfen, die ungerechtfertigte Verlängerung von Konzessionen an etablierte Betreiber in vielen Sektoren, einschließlich Häfen, Autobahnen, Wasserkraft und Regionalverkehr, zu vermeiden, eine ordnungsgemäße Regulierung öffentl</w:t>
      </w:r>
      <w:r w:rsidRPr="00170422">
        <w:rPr>
          <w:noProof/>
          <w:lang w:val="de-DE"/>
        </w:rPr>
        <w:t>icher Dienstleistungsaufträge vorzusehen, die die Vorschriften über die Zusammenrechnung überarbeiten und den allgemeinen Grundsatz der Verhältnismäßigkeit in Bezug auf die Dauer und den angemessenen Ausgleich von öffentlichen Dienstleistungsaufträgen anwe</w:t>
      </w:r>
      <w:r w:rsidRPr="00170422">
        <w:rPr>
          <w:noProof/>
          <w:lang w:val="de-DE"/>
        </w:rPr>
        <w:t>nden. Die Wettbewerbsgesetze unterstützen den Wettbewerb und die Verbesserung der Effizienz des Managements und der Qualität der Dienste im Regionalverkehr und erhöhen die Anreize für die Regionen, ihre öffentlichen Dienstleistungsaufträge für regionale Sc</w:t>
      </w:r>
      <w:r w:rsidRPr="00170422">
        <w:rPr>
          <w:noProof/>
          <w:lang w:val="de-DE"/>
        </w:rPr>
        <w:t xml:space="preserve">hienenverkehrsdienste auszuschreiben. </w:t>
      </w:r>
    </w:p>
    <w:p w14:paraId="3675DDB8" w14:textId="7893D362" w:rsidR="0057163C" w:rsidRPr="00170422" w:rsidRDefault="00F37BF9">
      <w:pPr>
        <w:pStyle w:val="P68B1DB1-Normal7"/>
        <w:spacing w:before="120" w:after="120"/>
        <w:jc w:val="both"/>
        <w:rPr>
          <w:noProof/>
          <w:lang w:val="de-DE"/>
        </w:rPr>
      </w:pPr>
      <w:r w:rsidRPr="00170422">
        <w:rPr>
          <w:noProof/>
          <w:lang w:val="de-DE"/>
        </w:rPr>
        <w:t>Die jährlichen Wettbewerbsgesetze umfassen wettbewerbsfördernde sektorspezifische Maßnahmen in mehreren Bereichen, darunter Energie (Strom, Gas und Wasser), Abfallwirtschaft, Verkehr (Häfen, Schiene und Autobahnen) un</w:t>
      </w:r>
      <w:r w:rsidRPr="00170422">
        <w:rPr>
          <w:noProof/>
          <w:lang w:val="de-DE"/>
        </w:rPr>
        <w:t>d Gesundheit, die die Investitionen und Reformen im Rahmen der Missionen 2, 3 und 6 ergänzen. Flankierende Maßnahmen zur Sicherstellung der Einführung des Wettbewerbs auf den Stromeinzelhandelsmärkten treten spätestens am 31. Dezember</w:t>
      </w:r>
      <w:r w:rsidRPr="00170422">
        <w:rPr>
          <w:noProof/>
          <w:vertAlign w:val="superscript"/>
          <w:lang w:val="de-DE"/>
        </w:rPr>
        <w:t>2022</w:t>
      </w:r>
      <w:r w:rsidRPr="00170422">
        <w:rPr>
          <w:noProof/>
          <w:lang w:val="de-DE"/>
        </w:rPr>
        <w:t xml:space="preserve"> in Kraft. Mit dem</w:t>
      </w:r>
      <w:r w:rsidRPr="00170422">
        <w:rPr>
          <w:noProof/>
          <w:lang w:val="de-DE"/>
        </w:rPr>
        <w:t xml:space="preserve"> jährlichen Wettbewerbsgesetz 2022 wird insbesondere der Ausbauplan für das Stromnetz angenommen und die Einführung intelligenter Stromzähler der</w:t>
      </w:r>
      <w:r w:rsidR="00FE51F3">
        <w:rPr>
          <w:noProof/>
          <w:lang w:val="de-DE"/>
        </w:rPr>
        <w:t xml:space="preserve"> zweiten</w:t>
      </w:r>
      <w:r w:rsidRPr="00170422">
        <w:rPr>
          <w:noProof/>
          <w:lang w:val="de-DE"/>
        </w:rPr>
        <w:t xml:space="preserve"> Generation gefördert, die bis zum 31.</w:t>
      </w:r>
      <w:r w:rsidR="00BE08F9">
        <w:rPr>
          <w:noProof/>
          <w:lang w:val="de-DE"/>
        </w:rPr>
        <w:t xml:space="preserve"> </w:t>
      </w:r>
      <w:r w:rsidR="00B80E47">
        <w:rPr>
          <w:noProof/>
          <w:lang w:val="de-DE"/>
        </w:rPr>
        <w:t>Dezember</w:t>
      </w:r>
      <w:r w:rsidRPr="00170422">
        <w:rPr>
          <w:noProof/>
          <w:lang w:val="de-DE"/>
        </w:rPr>
        <w:t xml:space="preserve"> 2025 in ganz Italien 33 Millionen Einheiten erreichen s</w:t>
      </w:r>
      <w:r w:rsidRPr="00170422">
        <w:rPr>
          <w:noProof/>
          <w:lang w:val="de-DE"/>
        </w:rPr>
        <w:t>ollen. Wettbewerbsfördernde Maßnahmen werden auch für elektrische Ladestationen eingeführt.</w:t>
      </w:r>
    </w:p>
    <w:p w14:paraId="62C7B2E9" w14:textId="77777777" w:rsidR="0057163C" w:rsidRPr="00170422" w:rsidRDefault="00F37BF9">
      <w:pPr>
        <w:pStyle w:val="P68B1DB1-Normal7"/>
        <w:jc w:val="both"/>
        <w:rPr>
          <w:noProof/>
          <w:lang w:val="de-DE"/>
        </w:rPr>
      </w:pPr>
      <w:r w:rsidRPr="00170422">
        <w:rPr>
          <w:noProof/>
          <w:lang w:val="de-DE"/>
        </w:rPr>
        <w:t>Darüber hinaus tragen die Gesetze zur Verbesserung der Rahmenbedingungen für Unternehmen bei, indem sie zumindest die Angleichung der Fusionskontrollvorschriften an</w:t>
      </w:r>
      <w:r w:rsidRPr="00170422">
        <w:rPr>
          <w:noProof/>
          <w:lang w:val="de-DE"/>
        </w:rPr>
        <w:t xml:space="preserve"> das EU-Recht, ii) die Konsolidierung, Digitalisierung und Professionalisierung der Marktüberwachungsbehörden, iii) eine Reform zur Vereinfachung und Erleichterung der Gründung von Start-up-Unternehmen und Risikokapitalaktivisten sowie die Förderung einer </w:t>
      </w:r>
      <w:r w:rsidRPr="00170422">
        <w:rPr>
          <w:noProof/>
          <w:lang w:val="de-DE"/>
        </w:rPr>
        <w:t>nationalen Strategie für den Technologietransfer, iv) die Verkürzung der Akkreditierungsfrist für die Bereitstellung von Informationen über Arbeitnehmer von sieben auf vier Tage, um die Zahl der Tage für die Gründung eines Unternehmens zu verringern.</w:t>
      </w:r>
    </w:p>
    <w:p w14:paraId="430098A4" w14:textId="3DC131A6" w:rsidR="0057163C" w:rsidRPr="00170422" w:rsidRDefault="0057163C">
      <w:pPr>
        <w:pStyle w:val="P68B1DB1-Normal7"/>
        <w:rPr>
          <w:b/>
          <w:noProof/>
          <w:lang w:val="de-DE"/>
        </w:rPr>
      </w:pPr>
    </w:p>
    <w:p w14:paraId="4339E884" w14:textId="4A1C83FF" w:rsidR="0057163C" w:rsidRPr="00170422" w:rsidRDefault="00F37BF9">
      <w:pPr>
        <w:pStyle w:val="P68B1DB1-Normal5"/>
        <w:rPr>
          <w:bCs/>
          <w:noProof/>
          <w:lang w:val="de-DE"/>
        </w:rPr>
      </w:pPr>
      <w:r w:rsidRPr="00170422">
        <w:rPr>
          <w:noProof/>
          <w:lang w:val="de-DE"/>
        </w:rPr>
        <w:t>Refo</w:t>
      </w:r>
      <w:r w:rsidRPr="00170422">
        <w:rPr>
          <w:noProof/>
          <w:lang w:val="de-DE"/>
        </w:rPr>
        <w:t xml:space="preserve">rm 3: Rationalisierung und Vereinfachung der Anreize für Unternehmen. </w:t>
      </w:r>
    </w:p>
    <w:p w14:paraId="22DD309F" w14:textId="78B92E7A" w:rsidR="0057163C" w:rsidRPr="00170422" w:rsidRDefault="00F37BF9">
      <w:pPr>
        <w:pStyle w:val="P68B1DB1-Normal7"/>
        <w:spacing w:before="120" w:after="120" w:line="278" w:lineRule="auto"/>
        <w:jc w:val="both"/>
        <w:rPr>
          <w:rFonts w:eastAsia="Times New Roman"/>
          <w:noProof/>
          <w:lang w:val="de-DE"/>
        </w:rPr>
      </w:pPr>
      <w:r w:rsidRPr="00170422">
        <w:rPr>
          <w:noProof/>
          <w:lang w:val="de-DE"/>
        </w:rPr>
        <w:t>Ziel der Reform ist es, das System nationaler Anreize für Unternehmen zu überprüfen, zu vereinfachen und zu straffen. Die Reform umfasst den Erlass von Rechtsakten sowie die Umstrukturi</w:t>
      </w:r>
      <w:r w:rsidRPr="00170422">
        <w:rPr>
          <w:noProof/>
          <w:lang w:val="de-DE"/>
        </w:rPr>
        <w:t xml:space="preserve">erung und Straffung a) der RNA (Nationales Beihilferegister) und b) der Plattform „ </w:t>
      </w:r>
      <w:r w:rsidRPr="00170422">
        <w:rPr>
          <w:i/>
          <w:noProof/>
          <w:lang w:val="de-DE"/>
        </w:rPr>
        <w:t>Incentivi.gov.it</w:t>
      </w:r>
      <w:r w:rsidRPr="00170422">
        <w:rPr>
          <w:noProof/>
          <w:lang w:val="de-DE"/>
        </w:rPr>
        <w:t>“.</w:t>
      </w:r>
    </w:p>
    <w:p w14:paraId="1A9F179C" w14:textId="77777777" w:rsidR="0057163C" w:rsidRPr="00170422" w:rsidRDefault="0057163C">
      <w:pPr>
        <w:jc w:val="both"/>
        <w:rPr>
          <w:noProof/>
          <w:lang w:val="de-DE"/>
        </w:rPr>
      </w:pPr>
    </w:p>
    <w:p w14:paraId="645978F6" w14:textId="77777777" w:rsidR="0057163C" w:rsidRPr="00170422" w:rsidRDefault="0057163C">
      <w:pPr>
        <w:spacing w:before="120" w:after="120"/>
        <w:jc w:val="both"/>
        <w:rPr>
          <w:noProof/>
          <w:lang w:val="de-DE"/>
        </w:rPr>
        <w:sectPr w:rsidR="0057163C" w:rsidRPr="00170422" w:rsidSect="00726CF9">
          <w:headerReference w:type="default" r:id="rId40"/>
          <w:footerReference w:type="default" r:id="rId41"/>
          <w:pgSz w:w="11906" w:h="16838"/>
          <w:pgMar w:top="1440" w:right="1440" w:bottom="1440" w:left="1440" w:header="708" w:footer="708" w:gutter="0"/>
          <w:cols w:space="708"/>
          <w:docGrid w:linePitch="360"/>
        </w:sectPr>
      </w:pPr>
    </w:p>
    <w:p w14:paraId="57826589" w14:textId="77777777" w:rsidR="0057163C" w:rsidRPr="00170422" w:rsidRDefault="00F37BF9">
      <w:pPr>
        <w:pStyle w:val="P68B1DB1-Heading39"/>
        <w:numPr>
          <w:ilvl w:val="2"/>
          <w:numId w:val="0"/>
        </w:numPr>
        <w:ind w:left="850" w:hanging="850"/>
        <w:rPr>
          <w:b/>
          <w:bCs/>
          <w:i/>
          <w:iCs/>
          <w:noProof/>
          <w:u w:val="single"/>
          <w:lang w:val="de-DE"/>
        </w:rPr>
      </w:pPr>
      <w:r w:rsidRPr="00170422">
        <w:rPr>
          <w:b/>
          <w:noProof/>
          <w:u w:val="single"/>
          <w:lang w:val="de-DE"/>
        </w:rPr>
        <w:t xml:space="preserve">B.2. </w:t>
      </w:r>
      <w:r w:rsidRPr="00170422">
        <w:rPr>
          <w:noProof/>
          <w:lang w:val="de-DE"/>
        </w:rPr>
        <w:t xml:space="preserve"> </w:t>
      </w:r>
      <w:r w:rsidRPr="00170422">
        <w:rPr>
          <w:b/>
          <w:noProof/>
          <w:u w:val="single"/>
          <w:lang w:val="de-DE"/>
        </w:rPr>
        <w:t xml:space="preserve">Etappenziele, Zielwerte, Indikatoren und Zeitplan für die Überwachung und Durchführung der </w:t>
      </w:r>
      <w:r w:rsidRPr="00170422">
        <w:rPr>
          <w:b/>
          <w:noProof/>
          <w:u w:val="single"/>
          <w:lang w:val="de-DE"/>
        </w:rPr>
        <w:t>nicht rückzahlbaren finanziellen Unterstützung</w:t>
      </w:r>
    </w:p>
    <w:tbl>
      <w:tblPr>
        <w:tblW w:w="154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134"/>
        <w:gridCol w:w="1559"/>
        <w:gridCol w:w="1843"/>
        <w:gridCol w:w="1359"/>
        <w:gridCol w:w="1476"/>
        <w:gridCol w:w="1134"/>
        <w:gridCol w:w="1021"/>
        <w:gridCol w:w="709"/>
        <w:gridCol w:w="2814"/>
      </w:tblGrid>
      <w:tr w:rsidR="0057163C" w:rsidRPr="00170422" w14:paraId="284A5699" w14:textId="77777777">
        <w:trPr>
          <w:trHeight w:val="300"/>
          <w:tblHeader/>
        </w:trPr>
        <w:tc>
          <w:tcPr>
            <w:tcW w:w="1135" w:type="dxa"/>
            <w:vMerge w:val="restart"/>
            <w:shd w:val="clear" w:color="auto" w:fill="BDD7EE"/>
            <w:vAlign w:val="center"/>
          </w:tcPr>
          <w:p w14:paraId="407E0F63" w14:textId="77777777" w:rsidR="0057163C" w:rsidRPr="00170422" w:rsidRDefault="00F37BF9">
            <w:pPr>
              <w:pStyle w:val="P68B1DB1-Normal10"/>
              <w:spacing w:before="120" w:after="120"/>
              <w:jc w:val="center"/>
              <w:rPr>
                <w:noProof/>
                <w:lang w:val="de-DE"/>
              </w:rPr>
            </w:pPr>
            <w:r w:rsidRPr="00170422">
              <w:rPr>
                <w:noProof/>
                <w:lang w:val="de-DE"/>
              </w:rPr>
              <w:t>Laufende Nummer</w:t>
            </w:r>
          </w:p>
        </w:tc>
        <w:tc>
          <w:tcPr>
            <w:tcW w:w="1276" w:type="dxa"/>
            <w:vMerge w:val="restart"/>
            <w:shd w:val="clear" w:color="auto" w:fill="BDD7EE"/>
            <w:vAlign w:val="center"/>
          </w:tcPr>
          <w:p w14:paraId="3F2121E8" w14:textId="553D309E" w:rsidR="0057163C" w:rsidRPr="00170422" w:rsidRDefault="00F27D70">
            <w:pPr>
              <w:pStyle w:val="P68B1DB1-Normal10"/>
              <w:spacing w:before="120" w:after="120"/>
              <w:jc w:val="center"/>
              <w:rPr>
                <w:noProof/>
                <w:lang w:val="de-DE"/>
              </w:rPr>
            </w:pPr>
            <w:r w:rsidRPr="00170422">
              <w:rPr>
                <w:noProof/>
                <w:lang w:val="de-DE"/>
              </w:rPr>
              <w:t>Maßnahme</w:t>
            </w:r>
          </w:p>
        </w:tc>
        <w:tc>
          <w:tcPr>
            <w:tcW w:w="1134" w:type="dxa"/>
            <w:vMerge w:val="restart"/>
            <w:shd w:val="clear" w:color="auto" w:fill="BDD7EE"/>
            <w:vAlign w:val="center"/>
          </w:tcPr>
          <w:p w14:paraId="751E8C0F" w14:textId="77777777" w:rsidR="0057163C" w:rsidRPr="00170422" w:rsidRDefault="00F37BF9">
            <w:pPr>
              <w:pStyle w:val="P68B1DB1-Normal10"/>
              <w:spacing w:before="120" w:after="120"/>
              <w:jc w:val="center"/>
              <w:rPr>
                <w:noProof/>
                <w:lang w:val="de-DE"/>
              </w:rPr>
            </w:pPr>
            <w:r w:rsidRPr="00170422">
              <w:rPr>
                <w:noProof/>
                <w:lang w:val="de-DE"/>
              </w:rPr>
              <w:t>Etappenziel/Zielwert</w:t>
            </w:r>
          </w:p>
        </w:tc>
        <w:tc>
          <w:tcPr>
            <w:tcW w:w="1559" w:type="dxa"/>
            <w:vMerge w:val="restart"/>
            <w:shd w:val="clear" w:color="auto" w:fill="BDD7EE"/>
            <w:vAlign w:val="center"/>
          </w:tcPr>
          <w:p w14:paraId="2FEFFFEE" w14:textId="77777777" w:rsidR="0057163C" w:rsidRPr="00170422" w:rsidRDefault="00F37BF9">
            <w:pPr>
              <w:pStyle w:val="P68B1DB1-Normal10"/>
              <w:spacing w:before="120" w:after="120"/>
              <w:jc w:val="center"/>
              <w:rPr>
                <w:noProof/>
                <w:lang w:val="de-DE"/>
              </w:rPr>
            </w:pPr>
            <w:r w:rsidRPr="00170422">
              <w:rPr>
                <w:noProof/>
                <w:lang w:val="de-DE"/>
              </w:rPr>
              <w:t>Namen</w:t>
            </w:r>
          </w:p>
        </w:tc>
        <w:tc>
          <w:tcPr>
            <w:tcW w:w="1843" w:type="dxa"/>
            <w:vMerge w:val="restart"/>
            <w:shd w:val="clear" w:color="auto" w:fill="BDD7EE"/>
            <w:vAlign w:val="center"/>
          </w:tcPr>
          <w:p w14:paraId="253A1744" w14:textId="77777777" w:rsidR="0057163C" w:rsidRPr="00170422" w:rsidRDefault="00F37BF9">
            <w:pPr>
              <w:spacing w:before="120" w:after="120"/>
              <w:jc w:val="center"/>
              <w:rPr>
                <w:rFonts w:ascii="Arial Narrow" w:hAnsi="Arial Narrow"/>
                <w:b/>
                <w:noProof/>
                <w:sz w:val="20"/>
                <w:lang w:val="de-DE"/>
              </w:rPr>
            </w:pPr>
            <w:r w:rsidRPr="00170422">
              <w:rPr>
                <w:rFonts w:ascii="Arial Narrow" w:hAnsi="Arial Narrow"/>
                <w:b/>
                <w:noProof/>
                <w:sz w:val="20"/>
                <w:lang w:val="de-DE"/>
              </w:rPr>
              <w:t>Etappenziel/Zielwert</w:t>
            </w:r>
            <w:r w:rsidRPr="00170422">
              <w:rPr>
                <w:noProof/>
                <w:lang w:val="de-DE"/>
              </w:rPr>
              <w:br/>
            </w:r>
            <w:r w:rsidRPr="00170422">
              <w:rPr>
                <w:rFonts w:ascii="Arial Narrow" w:hAnsi="Arial Narrow"/>
                <w:b/>
                <w:noProof/>
                <w:sz w:val="20"/>
                <w:lang w:val="de-DE"/>
              </w:rPr>
              <w:t>(für Etappenziele)</w:t>
            </w:r>
          </w:p>
        </w:tc>
        <w:tc>
          <w:tcPr>
            <w:tcW w:w="3969" w:type="dxa"/>
            <w:gridSpan w:val="3"/>
            <w:tcBorders>
              <w:top w:val="single" w:sz="4" w:space="0" w:color="auto"/>
              <w:left w:val="single" w:sz="4" w:space="0" w:color="auto"/>
              <w:bottom w:val="single" w:sz="4" w:space="0" w:color="auto"/>
              <w:right w:val="single" w:sz="4" w:space="0" w:color="auto"/>
            </w:tcBorders>
            <w:shd w:val="clear" w:color="auto" w:fill="BDD7EE"/>
            <w:vAlign w:val="center"/>
          </w:tcPr>
          <w:p w14:paraId="409B6252" w14:textId="77777777" w:rsidR="0057163C" w:rsidRPr="00170422" w:rsidRDefault="00F37BF9">
            <w:pPr>
              <w:spacing w:before="120" w:after="120"/>
              <w:jc w:val="center"/>
              <w:rPr>
                <w:rFonts w:ascii="Arial Narrow" w:hAnsi="Arial Narrow"/>
                <w:b/>
                <w:noProof/>
                <w:sz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730" w:type="dxa"/>
            <w:gridSpan w:val="2"/>
            <w:tcBorders>
              <w:top w:val="single" w:sz="4" w:space="0" w:color="auto"/>
              <w:left w:val="single" w:sz="4" w:space="0" w:color="auto"/>
              <w:bottom w:val="single" w:sz="4" w:space="0" w:color="auto"/>
              <w:right w:val="single" w:sz="4" w:space="0" w:color="auto"/>
            </w:tcBorders>
            <w:shd w:val="clear" w:color="auto" w:fill="BDD7EE"/>
            <w:vAlign w:val="center"/>
          </w:tcPr>
          <w:p w14:paraId="2417BCBB" w14:textId="77777777" w:rsidR="0057163C" w:rsidRPr="00170422" w:rsidRDefault="00F37BF9">
            <w:pPr>
              <w:pStyle w:val="P68B1DB1-Normal10"/>
              <w:spacing w:before="120" w:after="120"/>
              <w:jc w:val="center"/>
              <w:rPr>
                <w:noProof/>
                <w:lang w:val="de-DE"/>
              </w:rPr>
            </w:pPr>
            <w:r w:rsidRPr="00170422">
              <w:rPr>
                <w:noProof/>
                <w:lang w:val="de-DE"/>
              </w:rPr>
              <w:t>Vorläufiger Zeitplan für die Fertigstellung</w:t>
            </w:r>
          </w:p>
        </w:tc>
        <w:tc>
          <w:tcPr>
            <w:tcW w:w="2814" w:type="dxa"/>
            <w:vMerge w:val="restart"/>
            <w:tcBorders>
              <w:top w:val="single" w:sz="4" w:space="0" w:color="auto"/>
              <w:left w:val="single" w:sz="4" w:space="0" w:color="auto"/>
              <w:right w:val="single" w:sz="4" w:space="0" w:color="auto"/>
            </w:tcBorders>
            <w:shd w:val="clear" w:color="auto" w:fill="BDD7EE"/>
            <w:vAlign w:val="center"/>
          </w:tcPr>
          <w:p w14:paraId="3DB01CB6" w14:textId="77777777" w:rsidR="0057163C" w:rsidRPr="00170422" w:rsidRDefault="00F37BF9">
            <w:pPr>
              <w:pStyle w:val="P68B1DB1-Normal10"/>
              <w:spacing w:before="120" w:after="120"/>
              <w:rPr>
                <w:noProof/>
                <w:szCs w:val="20"/>
                <w:lang w:val="de-DE"/>
              </w:rPr>
            </w:pPr>
            <w:r w:rsidRPr="00170422">
              <w:rPr>
                <w:noProof/>
                <w:lang w:val="de-DE"/>
              </w:rPr>
              <w:t xml:space="preserve">Beschreibung der </w:t>
            </w:r>
            <w:r w:rsidRPr="00170422">
              <w:rPr>
                <w:noProof/>
                <w:lang w:val="de-DE"/>
              </w:rPr>
              <w:t>einzelnen Etappenziele und Zielvorgaben</w:t>
            </w:r>
          </w:p>
        </w:tc>
      </w:tr>
      <w:tr w:rsidR="0057163C" w:rsidRPr="00170422" w14:paraId="7D41F08B" w14:textId="77777777">
        <w:trPr>
          <w:trHeight w:val="300"/>
          <w:tblHeader/>
        </w:trPr>
        <w:tc>
          <w:tcPr>
            <w:tcW w:w="1135" w:type="dxa"/>
            <w:vMerge/>
            <w:vAlign w:val="center"/>
          </w:tcPr>
          <w:p w14:paraId="46E8F550" w14:textId="77777777" w:rsidR="0057163C" w:rsidRPr="00170422" w:rsidRDefault="0057163C">
            <w:pPr>
              <w:spacing w:before="120" w:after="120"/>
              <w:jc w:val="center"/>
              <w:rPr>
                <w:rFonts w:ascii="Arial Narrow" w:hAnsi="Arial Narrow"/>
                <w:noProof/>
                <w:sz w:val="20"/>
                <w:szCs w:val="20"/>
                <w:lang w:val="de-DE"/>
              </w:rPr>
            </w:pPr>
          </w:p>
        </w:tc>
        <w:tc>
          <w:tcPr>
            <w:tcW w:w="1276" w:type="dxa"/>
            <w:vMerge/>
            <w:vAlign w:val="center"/>
          </w:tcPr>
          <w:p w14:paraId="7217CDB5" w14:textId="77777777" w:rsidR="0057163C" w:rsidRPr="00170422" w:rsidRDefault="0057163C">
            <w:pPr>
              <w:spacing w:before="120" w:after="120"/>
              <w:jc w:val="center"/>
              <w:rPr>
                <w:rFonts w:ascii="Arial Narrow" w:hAnsi="Arial Narrow"/>
                <w:noProof/>
                <w:sz w:val="20"/>
                <w:szCs w:val="20"/>
                <w:lang w:val="de-DE"/>
              </w:rPr>
            </w:pPr>
          </w:p>
        </w:tc>
        <w:tc>
          <w:tcPr>
            <w:tcW w:w="1134" w:type="dxa"/>
            <w:vMerge/>
            <w:vAlign w:val="center"/>
          </w:tcPr>
          <w:p w14:paraId="163B9C2E" w14:textId="77777777" w:rsidR="0057163C" w:rsidRPr="00170422" w:rsidRDefault="0057163C">
            <w:pPr>
              <w:spacing w:before="120" w:after="120"/>
              <w:jc w:val="center"/>
              <w:rPr>
                <w:rFonts w:ascii="Arial Narrow" w:hAnsi="Arial Narrow"/>
                <w:noProof/>
                <w:sz w:val="20"/>
                <w:szCs w:val="20"/>
                <w:lang w:val="de-DE"/>
              </w:rPr>
            </w:pPr>
          </w:p>
        </w:tc>
        <w:tc>
          <w:tcPr>
            <w:tcW w:w="1559" w:type="dxa"/>
            <w:vMerge/>
            <w:vAlign w:val="center"/>
          </w:tcPr>
          <w:p w14:paraId="07E35B45" w14:textId="77777777" w:rsidR="0057163C" w:rsidRPr="00170422" w:rsidRDefault="0057163C">
            <w:pPr>
              <w:spacing w:before="120" w:after="120"/>
              <w:jc w:val="center"/>
              <w:rPr>
                <w:rFonts w:ascii="Arial Narrow" w:hAnsi="Arial Narrow"/>
                <w:noProof/>
                <w:sz w:val="20"/>
                <w:szCs w:val="20"/>
                <w:lang w:val="de-DE"/>
              </w:rPr>
            </w:pPr>
          </w:p>
        </w:tc>
        <w:tc>
          <w:tcPr>
            <w:tcW w:w="1843" w:type="dxa"/>
            <w:vMerge/>
            <w:vAlign w:val="center"/>
          </w:tcPr>
          <w:p w14:paraId="38310F47" w14:textId="77777777" w:rsidR="0057163C" w:rsidRPr="00170422" w:rsidRDefault="0057163C">
            <w:pPr>
              <w:spacing w:before="120" w:after="120"/>
              <w:jc w:val="center"/>
              <w:rPr>
                <w:rFonts w:ascii="Arial Narrow" w:hAnsi="Arial Narrow"/>
                <w:noProof/>
                <w:sz w:val="20"/>
                <w:szCs w:val="20"/>
                <w:lang w:val="de-DE"/>
              </w:rPr>
            </w:pPr>
          </w:p>
        </w:tc>
        <w:tc>
          <w:tcPr>
            <w:tcW w:w="1359" w:type="dxa"/>
            <w:tcBorders>
              <w:top w:val="single" w:sz="4" w:space="0" w:color="auto"/>
              <w:left w:val="single" w:sz="4" w:space="0" w:color="auto"/>
              <w:bottom w:val="single" w:sz="4" w:space="0" w:color="auto"/>
              <w:right w:val="single" w:sz="4" w:space="0" w:color="auto"/>
            </w:tcBorders>
            <w:shd w:val="clear" w:color="auto" w:fill="BDD7EE"/>
            <w:vAlign w:val="center"/>
          </w:tcPr>
          <w:p w14:paraId="4D23ECE3" w14:textId="77777777" w:rsidR="0057163C" w:rsidRPr="00170422" w:rsidRDefault="00F37BF9">
            <w:pPr>
              <w:pStyle w:val="P68B1DB1-Normal10"/>
              <w:spacing w:before="120" w:after="120"/>
              <w:jc w:val="center"/>
              <w:rPr>
                <w:noProof/>
                <w:lang w:val="de-DE"/>
              </w:rPr>
            </w:pPr>
            <w:r w:rsidRPr="00170422">
              <w:rPr>
                <w:noProof/>
                <w:lang w:val="de-DE"/>
              </w:rPr>
              <w:t>Maßeinheit</w:t>
            </w:r>
          </w:p>
        </w:tc>
        <w:tc>
          <w:tcPr>
            <w:tcW w:w="1476" w:type="dxa"/>
            <w:tcBorders>
              <w:top w:val="single" w:sz="4" w:space="0" w:color="auto"/>
              <w:left w:val="single" w:sz="4" w:space="0" w:color="auto"/>
              <w:bottom w:val="single" w:sz="4" w:space="0" w:color="auto"/>
              <w:right w:val="single" w:sz="4" w:space="0" w:color="auto"/>
            </w:tcBorders>
            <w:shd w:val="clear" w:color="auto" w:fill="BDD7EE"/>
            <w:vAlign w:val="center"/>
          </w:tcPr>
          <w:p w14:paraId="76438EFD" w14:textId="77777777" w:rsidR="0057163C" w:rsidRPr="00170422" w:rsidRDefault="00F37BF9">
            <w:pPr>
              <w:pStyle w:val="P68B1DB1-Normal10"/>
              <w:spacing w:before="120" w:after="120"/>
              <w:jc w:val="center"/>
              <w:rPr>
                <w:noProof/>
                <w:lang w:val="de-DE"/>
              </w:rPr>
            </w:pPr>
            <w:r w:rsidRPr="00170422">
              <w:rPr>
                <w:noProof/>
                <w:lang w:val="de-DE"/>
              </w:rPr>
              <w:t>Ausgangslage</w:t>
            </w:r>
          </w:p>
        </w:tc>
        <w:tc>
          <w:tcPr>
            <w:tcW w:w="1134" w:type="dxa"/>
            <w:tcBorders>
              <w:top w:val="single" w:sz="4" w:space="0" w:color="auto"/>
              <w:left w:val="single" w:sz="4" w:space="0" w:color="auto"/>
              <w:bottom w:val="single" w:sz="4" w:space="0" w:color="auto"/>
              <w:right w:val="single" w:sz="4" w:space="0" w:color="auto"/>
            </w:tcBorders>
            <w:shd w:val="clear" w:color="auto" w:fill="BDD7EE"/>
            <w:vAlign w:val="center"/>
          </w:tcPr>
          <w:p w14:paraId="18D1678A" w14:textId="77777777" w:rsidR="0057163C" w:rsidRPr="00170422" w:rsidRDefault="00F37BF9">
            <w:pPr>
              <w:pStyle w:val="P68B1DB1-Normal10"/>
              <w:spacing w:before="120" w:after="120"/>
              <w:jc w:val="center"/>
              <w:rPr>
                <w:noProof/>
                <w:lang w:val="de-DE"/>
              </w:rPr>
            </w:pPr>
            <w:r w:rsidRPr="00170422">
              <w:rPr>
                <w:noProof/>
                <w:lang w:val="de-DE"/>
              </w:rPr>
              <w:t>Ziel</w:t>
            </w:r>
          </w:p>
        </w:tc>
        <w:tc>
          <w:tcPr>
            <w:tcW w:w="1021" w:type="dxa"/>
            <w:tcBorders>
              <w:top w:val="single" w:sz="4" w:space="0" w:color="auto"/>
              <w:left w:val="single" w:sz="4" w:space="0" w:color="auto"/>
              <w:bottom w:val="single" w:sz="4" w:space="0" w:color="auto"/>
              <w:right w:val="single" w:sz="4" w:space="0" w:color="auto"/>
            </w:tcBorders>
            <w:shd w:val="clear" w:color="auto" w:fill="BDD7EE"/>
            <w:vAlign w:val="center"/>
          </w:tcPr>
          <w:p w14:paraId="347DD4B4" w14:textId="77777777" w:rsidR="0057163C" w:rsidRPr="00170422" w:rsidRDefault="00F37BF9">
            <w:pPr>
              <w:pStyle w:val="P68B1DB1-Normal10"/>
              <w:spacing w:before="120" w:after="120"/>
              <w:jc w:val="center"/>
              <w:rPr>
                <w:noProof/>
                <w:lang w:val="de-DE"/>
              </w:rPr>
            </w:pPr>
            <w:r w:rsidRPr="00170422">
              <w:rPr>
                <w:noProof/>
                <w:lang w:val="de-DE"/>
              </w:rPr>
              <w:t>Viertel</w:t>
            </w:r>
          </w:p>
        </w:tc>
        <w:tc>
          <w:tcPr>
            <w:tcW w:w="709" w:type="dxa"/>
            <w:tcBorders>
              <w:top w:val="single" w:sz="4" w:space="0" w:color="auto"/>
              <w:left w:val="single" w:sz="4" w:space="0" w:color="auto"/>
              <w:bottom w:val="single" w:sz="4" w:space="0" w:color="auto"/>
              <w:right w:val="single" w:sz="4" w:space="0" w:color="auto"/>
            </w:tcBorders>
            <w:shd w:val="clear" w:color="auto" w:fill="BDD7EE"/>
            <w:vAlign w:val="center"/>
          </w:tcPr>
          <w:p w14:paraId="5A55C060" w14:textId="77777777" w:rsidR="0057163C" w:rsidRPr="00170422" w:rsidRDefault="00F37BF9">
            <w:pPr>
              <w:pStyle w:val="P68B1DB1-Normal10"/>
              <w:spacing w:before="120" w:after="120"/>
              <w:jc w:val="center"/>
              <w:rPr>
                <w:noProof/>
                <w:lang w:val="de-DE"/>
              </w:rPr>
            </w:pPr>
            <w:r w:rsidRPr="00170422">
              <w:rPr>
                <w:noProof/>
                <w:lang w:val="de-DE"/>
              </w:rPr>
              <w:t>Jahre</w:t>
            </w:r>
          </w:p>
        </w:tc>
        <w:tc>
          <w:tcPr>
            <w:tcW w:w="2814" w:type="dxa"/>
            <w:vMerge/>
            <w:vAlign w:val="center"/>
          </w:tcPr>
          <w:p w14:paraId="26C20B8D" w14:textId="77777777" w:rsidR="0057163C" w:rsidRPr="00170422" w:rsidRDefault="0057163C">
            <w:pPr>
              <w:spacing w:before="120" w:after="120"/>
              <w:rPr>
                <w:rFonts w:ascii="Arial Narrow" w:hAnsi="Arial Narrow"/>
                <w:noProof/>
                <w:sz w:val="20"/>
                <w:szCs w:val="20"/>
                <w:lang w:val="de-DE"/>
              </w:rPr>
            </w:pPr>
          </w:p>
        </w:tc>
      </w:tr>
      <w:tr w:rsidR="0057163C" w:rsidRPr="00170422" w14:paraId="6F1B9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5B5F9E8" w14:textId="77777777" w:rsidR="0057163C" w:rsidRPr="00170422" w:rsidRDefault="00F37BF9">
            <w:pPr>
              <w:pStyle w:val="P68B1DB1-Normal11"/>
              <w:jc w:val="center"/>
              <w:rPr>
                <w:noProof/>
                <w:szCs w:val="20"/>
                <w:lang w:val="de-DE"/>
              </w:rPr>
            </w:pPr>
            <w:r w:rsidRPr="00170422">
              <w:rPr>
                <w:noProof/>
                <w:lang w:val="de-DE"/>
              </w:rPr>
              <w:t>M1C2-1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1412B66" w14:textId="77777777" w:rsidR="0057163C" w:rsidRPr="00170422" w:rsidRDefault="00F37BF9">
            <w:pPr>
              <w:pStyle w:val="P68B1DB1-Normal11"/>
              <w:jc w:val="center"/>
              <w:rPr>
                <w:noProof/>
                <w:szCs w:val="20"/>
                <w:lang w:val="de-DE"/>
              </w:rPr>
            </w:pPr>
            <w:r w:rsidRPr="00170422">
              <w:rPr>
                <w:noProof/>
                <w:lang w:val="de-DE"/>
              </w:rPr>
              <w:t>Investition 1: Übergang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C2AB409" w14:textId="77777777" w:rsidR="0057163C" w:rsidRPr="00170422" w:rsidRDefault="00F37BF9">
            <w:pPr>
              <w:pStyle w:val="P68B1DB1-Normal11"/>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D4977C9" w14:textId="77777777" w:rsidR="0057163C" w:rsidRPr="00170422" w:rsidRDefault="00F37BF9">
            <w:pPr>
              <w:pStyle w:val="P68B1DB1-Normal11"/>
              <w:jc w:val="center"/>
              <w:rPr>
                <w:noProof/>
                <w:szCs w:val="20"/>
                <w:lang w:val="de-DE"/>
              </w:rPr>
            </w:pPr>
            <w:r w:rsidRPr="00170422">
              <w:rPr>
                <w:noProof/>
                <w:lang w:val="de-DE"/>
              </w:rPr>
              <w:t xml:space="preserve">Inkrafttreten von Rechtsakten zur Bereitstellung von Steuergutschriften für den Übergang 4.0 für potenzielle </w:t>
            </w:r>
            <w:r w:rsidRPr="00170422">
              <w:rPr>
                <w:noProof/>
                <w:lang w:val="de-DE"/>
              </w:rPr>
              <w:t>Begünstigte und Einsetzung des Wissenschaftlichen Ausschusses</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68554E6" w14:textId="77777777" w:rsidR="0057163C" w:rsidRPr="00170422" w:rsidRDefault="00F37BF9">
            <w:pPr>
              <w:pStyle w:val="P68B1DB1-Normal11"/>
              <w:jc w:val="center"/>
              <w:rPr>
                <w:noProof/>
                <w:szCs w:val="20"/>
                <w:lang w:val="de-DE"/>
              </w:rPr>
            </w:pPr>
            <w:r w:rsidRPr="00170422">
              <w:rPr>
                <w:noProof/>
                <w:lang w:val="de-DE"/>
              </w:rPr>
              <w:t>Gesetzliche Bestimmung über das Inkrafttreten des Haushaltsgesetzes, die die Steuergutschriften ermöglicht, und Bestimmung in den entsprechenden Durchführungsrechtsakten, aus der hervorgeht, das</w:t>
            </w:r>
            <w:r w:rsidRPr="00170422">
              <w:rPr>
                <w:noProof/>
                <w:lang w:val="de-DE"/>
              </w:rPr>
              <w:t>s sie in Kraft treten</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416F790" w14:textId="77777777" w:rsidR="0057163C" w:rsidRPr="00170422" w:rsidRDefault="00F37BF9">
            <w:pPr>
              <w:pStyle w:val="P68B1DB1-Normal11"/>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241A65"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4154852" w14:textId="77777777" w:rsidR="0057163C" w:rsidRPr="00170422" w:rsidRDefault="00F37BF9">
            <w:pPr>
              <w:pStyle w:val="P68B1DB1-Normal11"/>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F842B08"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C73C96A" w14:textId="77777777" w:rsidR="0057163C" w:rsidRPr="00170422" w:rsidRDefault="00F37BF9">
            <w:pPr>
              <w:pStyle w:val="P68B1DB1-Normal11"/>
              <w:jc w:val="center"/>
              <w:rPr>
                <w:noProof/>
                <w:szCs w:val="20"/>
                <w:lang w:val="de-DE"/>
              </w:rPr>
            </w:pPr>
            <w:r w:rsidRPr="00170422">
              <w:rPr>
                <w:noProof/>
                <w:lang w:val="de-DE"/>
              </w:rPr>
              <w:t>2021</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102DCD9" w14:textId="77777777" w:rsidR="0057163C" w:rsidRPr="00170422" w:rsidRDefault="00F37BF9">
            <w:pPr>
              <w:pStyle w:val="P68B1DB1-Normal11"/>
              <w:rPr>
                <w:noProof/>
                <w:szCs w:val="20"/>
                <w:lang w:val="de-DE"/>
              </w:rPr>
            </w:pPr>
            <w:r w:rsidRPr="00170422">
              <w:rPr>
                <w:noProof/>
                <w:lang w:val="de-DE"/>
              </w:rPr>
              <w:t>Mit den Rechtsakten werden Steuergutschriften für den Übergang 4.0 potenziellen Begünstigten zur Verfügung gestellt. Dabei handelt es sich um Steuergutschriften für i) 4,0 (d. h. technolog</w:t>
            </w:r>
            <w:r w:rsidRPr="00170422">
              <w:rPr>
                <w:noProof/>
                <w:lang w:val="de-DE"/>
              </w:rPr>
              <w:t>isch fortgeschrittene) Sachanlagen, ii) 4.0 immaterielle Investitionsgüter, iii) immaterielle Standardinvestitionsgüter, iv) Forschungs-, Entwicklungs- und Innovationstätigkeiten und v) Ausbildungsmaßnahmen.</w:t>
            </w:r>
          </w:p>
          <w:p w14:paraId="55DF35B1" w14:textId="77777777" w:rsidR="0057163C" w:rsidRPr="00170422" w:rsidRDefault="00F37BF9">
            <w:pPr>
              <w:pStyle w:val="P68B1DB1-Normal11"/>
              <w:rPr>
                <w:noProof/>
                <w:szCs w:val="20"/>
                <w:lang w:val="de-DE"/>
              </w:rPr>
            </w:pPr>
            <w:r w:rsidRPr="00170422">
              <w:rPr>
                <w:noProof/>
                <w:lang w:val="de-DE"/>
              </w:rPr>
              <w:t>Die Steuergutschriften werden durch einen Beschl</w:t>
            </w:r>
            <w:r w:rsidRPr="00170422">
              <w:rPr>
                <w:noProof/>
                <w:lang w:val="de-DE"/>
              </w:rPr>
              <w:t>uss der Agentur für Einnahmen festgelegt, damit die Begünstigten die Steuergutschriften mit dem Zahlungsmodell F24 verwenden können. Durch Erlass eines Ministerialdekrets wird ein wissenschaftlicher Ausschuss eingesetzt, dem Sachverständige des Ministerium</w:t>
            </w:r>
            <w:r w:rsidRPr="00170422">
              <w:rPr>
                <w:noProof/>
                <w:lang w:val="de-DE"/>
              </w:rPr>
              <w:t>s für Wirtschaft und Finanzen, des Ministeriums für wirtschaftliche Entwicklung und der italienischen Zentralbank angehören, um die wirtschaftlichen Auswirkungen der Steuergutschriften für den Übergang 4.0 zu bewerten.</w:t>
            </w:r>
          </w:p>
        </w:tc>
      </w:tr>
      <w:tr w:rsidR="0057163C" w:rsidRPr="00170422" w14:paraId="25D263D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197588A" w14:textId="77777777" w:rsidR="0057163C" w:rsidRPr="00170422" w:rsidRDefault="00F37BF9">
            <w:pPr>
              <w:pStyle w:val="P68B1DB1-Normal11"/>
              <w:spacing w:before="120" w:after="120"/>
              <w:jc w:val="center"/>
              <w:rPr>
                <w:noProof/>
                <w:szCs w:val="20"/>
                <w:lang w:val="de-DE"/>
              </w:rPr>
            </w:pPr>
            <w:r w:rsidRPr="00170422">
              <w:rPr>
                <w:noProof/>
                <w:lang w:val="de-DE"/>
              </w:rPr>
              <w:t>M1C2-2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62C5842" w14:textId="77777777" w:rsidR="0057163C" w:rsidRPr="00170422" w:rsidRDefault="00F37BF9">
            <w:pPr>
              <w:pStyle w:val="P68B1DB1-Normal11"/>
              <w:spacing w:before="120" w:after="120"/>
              <w:jc w:val="center"/>
              <w:rPr>
                <w:noProof/>
                <w:szCs w:val="20"/>
                <w:lang w:val="de-DE"/>
              </w:rPr>
            </w:pPr>
            <w:r w:rsidRPr="00170422">
              <w:rPr>
                <w:noProof/>
                <w:lang w:val="de-DE"/>
              </w:rPr>
              <w:t>Investition 1: Übergang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E42C9AD"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33FA255" w14:textId="77777777" w:rsidR="0057163C" w:rsidRPr="00170422" w:rsidRDefault="00F37BF9">
            <w:pPr>
              <w:pStyle w:val="P68B1DB1-Normal11"/>
              <w:spacing w:before="120" w:after="120"/>
              <w:jc w:val="center"/>
              <w:rPr>
                <w:noProof/>
                <w:szCs w:val="20"/>
                <w:lang w:val="de-DE"/>
              </w:rPr>
            </w:pPr>
            <w:r w:rsidRPr="00170422">
              <w:rPr>
                <w:noProof/>
                <w:lang w:val="de-DE"/>
              </w:rPr>
              <w:t>Übergang 4.0 Steuergutschriften, die Unternehmen auf der Grundlage von im Zeitraum 2021-2022 vorgelegten Steuererklärungen gewährt werden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3B4337FF"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CC8166C"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310DD1D"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8FF7DFE" w14:textId="77777777" w:rsidR="0057163C" w:rsidRPr="00170422" w:rsidRDefault="00F37BF9">
            <w:pPr>
              <w:pStyle w:val="P68B1DB1-Normal11"/>
              <w:spacing w:before="120" w:after="120"/>
              <w:jc w:val="center"/>
              <w:rPr>
                <w:noProof/>
                <w:szCs w:val="20"/>
                <w:lang w:val="de-DE"/>
              </w:rPr>
            </w:pPr>
            <w:r w:rsidRPr="00170422">
              <w:rPr>
                <w:noProof/>
                <w:lang w:val="de-DE"/>
              </w:rPr>
              <w:t>69 900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C917F04"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74C2C57E" w14:textId="77777777" w:rsidR="0057163C" w:rsidRPr="00170422" w:rsidRDefault="00F37BF9">
            <w:pPr>
              <w:pStyle w:val="P68B1DB1-Normal11"/>
              <w:spacing w:before="120" w:after="120"/>
              <w:jc w:val="center"/>
              <w:rPr>
                <w:noProof/>
                <w:szCs w:val="20"/>
                <w:lang w:val="de-DE"/>
              </w:rPr>
            </w:pPr>
            <w:r w:rsidRPr="00170422">
              <w:rPr>
                <w:noProof/>
                <w:lang w:val="de-DE"/>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F1F7B84" w14:textId="62B60F86" w:rsidR="0057163C" w:rsidRPr="00170422" w:rsidRDefault="00F37BF9">
            <w:pPr>
              <w:pStyle w:val="P68B1DB1-Normal11"/>
              <w:rPr>
                <w:noProof/>
                <w:szCs w:val="20"/>
                <w:lang w:val="de-DE"/>
              </w:rPr>
            </w:pPr>
            <w:r w:rsidRPr="00170422">
              <w:rPr>
                <w:noProof/>
                <w:lang w:val="de-DE"/>
              </w:rPr>
              <w:t xml:space="preserve">Mindestens 69900 Steuergutschriften für den Übergang 4.0 wurden Unternehmen im </w:t>
            </w:r>
            <w:r w:rsidRPr="00170422">
              <w:rPr>
                <w:noProof/>
                <w:lang w:val="de-DE"/>
              </w:rPr>
              <w:t>Zusammenhang mit 4,0 materiellen Investitionsgütern, 4.0 immateriellen Investitionsgütern, standardmäßigen immateriellen Investitionsgütern, Forschungs-, Entwicklungs- und Innovationstätigkeiten oder Ausbildungsmaßnahmen gewährt. Eine Steuergutschrift gilt</w:t>
            </w:r>
            <w:r w:rsidRPr="00170422">
              <w:rPr>
                <w:noProof/>
                <w:lang w:val="de-DE"/>
              </w:rPr>
              <w:t xml:space="preserve"> mit Abgabe einer Steuererklärung als gewährt. Steuererklärungen sind zwischen dem 1. Januar 2021 und dem 31. Dezember 2022 abzugeben. Für Unternehmen, deren Steuerjahr nicht dem Kalenderjahr entspricht, wird das Ende des für die Abgabe der Steuererklärung</w:t>
            </w:r>
            <w:r w:rsidRPr="00170422">
              <w:rPr>
                <w:noProof/>
                <w:lang w:val="de-DE"/>
              </w:rPr>
              <w:t>en für alle oben genannten Steuergutschriften maßgeblichen Zeitraums vom 31. Dezember 2022 bis zum 30. November 2023 verlängert.</w:t>
            </w:r>
          </w:p>
        </w:tc>
      </w:tr>
      <w:tr w:rsidR="0057163C" w:rsidRPr="00170422" w14:paraId="0CEF98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34C6CA6" w14:textId="77777777" w:rsidR="0057163C" w:rsidRPr="00170422" w:rsidRDefault="00F37BF9">
            <w:pPr>
              <w:pStyle w:val="P68B1DB1-Normal11"/>
              <w:spacing w:before="120" w:after="120"/>
              <w:jc w:val="center"/>
              <w:rPr>
                <w:noProof/>
                <w:szCs w:val="20"/>
                <w:lang w:val="de-DE"/>
              </w:rPr>
            </w:pPr>
            <w:r w:rsidRPr="00170422">
              <w:rPr>
                <w:noProof/>
                <w:lang w:val="de-DE"/>
              </w:rPr>
              <w:t>M1C2-3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5F0CB5B" w14:textId="77777777" w:rsidR="0057163C" w:rsidRPr="00170422" w:rsidRDefault="00F37BF9">
            <w:pPr>
              <w:pStyle w:val="P68B1DB1-Normal11"/>
              <w:spacing w:before="120" w:after="120"/>
              <w:jc w:val="center"/>
              <w:rPr>
                <w:noProof/>
                <w:szCs w:val="20"/>
                <w:lang w:val="de-DE"/>
              </w:rPr>
            </w:pPr>
            <w:r w:rsidRPr="00170422">
              <w:rPr>
                <w:noProof/>
                <w:lang w:val="de-DE"/>
              </w:rPr>
              <w:t>Investition 1: Übergang 4.0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1B664F6"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D4BF16E" w14:textId="77777777" w:rsidR="0057163C" w:rsidRPr="00170422" w:rsidRDefault="00F37BF9">
            <w:pPr>
              <w:pStyle w:val="P68B1DB1-Normal11"/>
              <w:spacing w:before="120" w:after="120"/>
              <w:jc w:val="center"/>
              <w:rPr>
                <w:noProof/>
                <w:szCs w:val="20"/>
                <w:lang w:val="de-DE"/>
              </w:rPr>
            </w:pPr>
            <w:r w:rsidRPr="00170422">
              <w:rPr>
                <w:noProof/>
                <w:lang w:val="de-DE"/>
              </w:rPr>
              <w:t xml:space="preserve">Übergangs 4.0 Steuergutschriften, die Unternehmen auf der Grundlage von im Zeitraum </w:t>
            </w:r>
            <w:r w:rsidRPr="00170422">
              <w:rPr>
                <w:noProof/>
                <w:lang w:val="de-DE"/>
              </w:rPr>
              <w:t>2021-2023 vorgelegten Steuererklärungen gewährt werden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579EE6A"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1BC3019"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B8E15E2" w14:textId="77777777" w:rsidR="0057163C" w:rsidRPr="00170422" w:rsidRDefault="00F37BF9">
            <w:pPr>
              <w:pStyle w:val="P68B1DB1-Normal11"/>
              <w:spacing w:before="120" w:after="120"/>
              <w:jc w:val="center"/>
              <w:rPr>
                <w:noProof/>
                <w:szCs w:val="20"/>
                <w:lang w:val="de-DE"/>
              </w:rPr>
            </w:pPr>
            <w:r w:rsidRPr="00170422">
              <w:rPr>
                <w:noProof/>
                <w:lang w:val="de-DE"/>
              </w:rPr>
              <w:t>69 900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EA6108" w14:textId="77777777" w:rsidR="0057163C" w:rsidRPr="00170422" w:rsidRDefault="00F37BF9">
            <w:pPr>
              <w:pStyle w:val="P68B1DB1-Normal11"/>
              <w:spacing w:before="120" w:after="120"/>
              <w:jc w:val="center"/>
              <w:rPr>
                <w:noProof/>
                <w:szCs w:val="20"/>
                <w:lang w:val="de-DE"/>
              </w:rPr>
            </w:pPr>
            <w:r w:rsidRPr="00170422">
              <w:rPr>
                <w:noProof/>
                <w:lang w:val="de-DE"/>
              </w:rPr>
              <w:t>111 700</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3E995941"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C01FB4A" w14:textId="77777777" w:rsidR="0057163C" w:rsidRPr="00170422" w:rsidRDefault="00F37BF9">
            <w:pPr>
              <w:pStyle w:val="P68B1DB1-Normal11"/>
              <w:spacing w:before="120" w:after="120"/>
              <w:jc w:val="center"/>
              <w:rPr>
                <w:noProof/>
                <w:szCs w:val="20"/>
                <w:lang w:val="de-DE"/>
              </w:rPr>
            </w:pPr>
            <w:r w:rsidRPr="00170422">
              <w:rPr>
                <w:noProof/>
                <w:lang w:val="de-DE"/>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3121636" w14:textId="170A3FB2" w:rsidR="0057163C" w:rsidRPr="00170422" w:rsidRDefault="00F37BF9">
            <w:pPr>
              <w:pStyle w:val="P68B1DB1-Normal12"/>
              <w:rPr>
                <w:noProof/>
                <w:lang w:val="de-DE"/>
              </w:rPr>
            </w:pPr>
            <w:r w:rsidRPr="00170422">
              <w:rPr>
                <w:noProof/>
                <w:lang w:val="de-DE"/>
              </w:rPr>
              <w:t xml:space="preserve">Mindestens 111700 Steuergutschriften für den Übergang 4.0 wurden Unternehmen im Zusammenhang mit 4,0 materiellen Investitionsgütern, 4.0 immateriellen </w:t>
            </w:r>
            <w:r w:rsidRPr="00170422">
              <w:rPr>
                <w:noProof/>
                <w:lang w:val="de-DE"/>
              </w:rPr>
              <w:t>Investitionsgütern, standardmäßigen immateriellen Investitionsgütern, Forschungs-, Entwicklungs- und Innovationstätigkeiten oder Ausbildungsmaßnahmen gewährt. Eine Steuergutschrift gilt mit Abgabe einer Steuererklärung als gewährt. Steuererklärungen sind z</w:t>
            </w:r>
            <w:r w:rsidRPr="00170422">
              <w:rPr>
                <w:noProof/>
                <w:lang w:val="de-DE"/>
              </w:rPr>
              <w:t>wischen dem 1. Januar 2021 und dem 31. Dezember 2023 abzugeben. Für Unternehmen, deren Steuerjahr nicht dem Kalenderjahr entspricht, wird das Ende des betrachteten Zeitraums für die Abgabe der Steuererklärungen für alle oben genannten Steuergutschriften vo</w:t>
            </w:r>
            <w:r w:rsidRPr="00170422">
              <w:rPr>
                <w:noProof/>
                <w:lang w:val="de-DE"/>
              </w:rPr>
              <w:t>m 31. Dezember 2023 bis zum 30. November 2024 verlängert.</w:t>
            </w:r>
          </w:p>
          <w:p w14:paraId="37EABE4E" w14:textId="03774856" w:rsidR="0057163C" w:rsidRPr="00170422" w:rsidRDefault="00F37BF9">
            <w:pPr>
              <w:pStyle w:val="P68B1DB1-Normal12"/>
              <w:rPr>
                <w:noProof/>
                <w:lang w:val="de-DE"/>
              </w:rPr>
            </w:pPr>
            <w:r w:rsidRPr="00170422">
              <w:rPr>
                <w:noProof/>
                <w:lang w:val="de-DE"/>
              </w:rPr>
              <w:t>Der Ausgangswert bezieht sich auf die Zahl der Steuergutschriften für den Übergang 4.0, die Unternehmen auf der Grundlage von Steuererklärungen gewährt wurden, die zwischen dem 1. Januar 2021 und de</w:t>
            </w:r>
            <w:r w:rsidRPr="00170422">
              <w:rPr>
                <w:noProof/>
                <w:lang w:val="de-DE"/>
              </w:rPr>
              <w:t>m 31. Dezember 2022 für 4,0 materielle Investitionsgüter, 4.0 immaterielle Investitionsgüter und standardmäßige immaterielle Güter vorgelegt wurden, und auf der Grundlage von Steuererklärungen, die zwischen dem 1. Januar und dem 31. Dezember 2022 für Forsc</w:t>
            </w:r>
            <w:r w:rsidRPr="00170422">
              <w:rPr>
                <w:noProof/>
                <w:lang w:val="de-DE"/>
              </w:rPr>
              <w:t>hungs-, Entwicklungs- und Innovationstätigkeiten sowie Ausbildungstätigkeiten vorgelegt wurden. Für Unternehmen, deren Steuerjahr nicht dem Kalenderjahr entspricht, werden auch bis zum 30. November 2023 eingereichte Steuererklärungen in den Ausgangswert fü</w:t>
            </w:r>
            <w:r w:rsidRPr="00170422">
              <w:rPr>
                <w:noProof/>
                <w:lang w:val="de-DE"/>
              </w:rPr>
              <w:t>r alle oben genannten Steuergutschriften einbezogen.</w:t>
            </w:r>
          </w:p>
          <w:p w14:paraId="43938203" w14:textId="7F7C67A3" w:rsidR="0057163C" w:rsidRPr="00170422" w:rsidRDefault="00F37BF9">
            <w:pPr>
              <w:pStyle w:val="P68B1DB1-Normal12"/>
              <w:rPr>
                <w:noProof/>
                <w:lang w:val="de-DE"/>
              </w:rPr>
            </w:pPr>
            <w:r w:rsidRPr="00170422">
              <w:rPr>
                <w:noProof/>
                <w:lang w:val="de-DE"/>
              </w:rPr>
              <w:t>Unternehmen, die in den unter den ATECO-Codes 05, 06, 07 und 09 genannten Tätigkeitsbereichen tätig sind, werden für das Ziel nicht berücksichtigt. Darüber hinaus gibt es in Bezug auf Investitionen in ma</w:t>
            </w:r>
            <w:r w:rsidRPr="00170422">
              <w:rPr>
                <w:noProof/>
                <w:lang w:val="de-DE"/>
              </w:rPr>
              <w:t>terielle Investitionsgüter 4.0 sowie in Entwicklungs- und Innovationstätigkeiten keine Unternehmen, die in den unter ATECO-Codes 30 genannten Tätigkeitsbereichen tätig sind. 22, 29, 38, 41, 42, 43, 17, 01, 50, 19, 20, 51, 24, 49, 23 und 35 werden für das Z</w:t>
            </w:r>
            <w:r w:rsidRPr="00170422">
              <w:rPr>
                <w:noProof/>
                <w:lang w:val="de-DE"/>
              </w:rPr>
              <w:t>iel berücksichtigt.</w:t>
            </w:r>
          </w:p>
        </w:tc>
      </w:tr>
      <w:tr w:rsidR="0057163C" w:rsidRPr="00170422" w14:paraId="33FA2C6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EB8CBDE" w14:textId="77777777" w:rsidR="0057163C" w:rsidRPr="00170422" w:rsidRDefault="00F37BF9">
            <w:pPr>
              <w:pStyle w:val="P68B1DB1-Normal11"/>
              <w:spacing w:before="120" w:after="120"/>
              <w:jc w:val="center"/>
              <w:rPr>
                <w:noProof/>
                <w:szCs w:val="20"/>
                <w:lang w:val="de-DE"/>
              </w:rPr>
            </w:pPr>
            <w:r w:rsidRPr="00170422">
              <w:rPr>
                <w:noProof/>
                <w:lang w:val="de-DE"/>
              </w:rPr>
              <w:t>M1C2-4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271FE27" w14:textId="77777777" w:rsidR="0057163C" w:rsidRPr="00170422" w:rsidRDefault="00F37BF9">
            <w:pPr>
              <w:pStyle w:val="P68B1DB1-Normal11"/>
              <w:spacing w:before="120" w:after="120"/>
              <w:jc w:val="center"/>
              <w:rPr>
                <w:noProof/>
                <w:szCs w:val="20"/>
                <w:lang w:val="de-DE"/>
              </w:rPr>
            </w:pPr>
            <w:r w:rsidRPr="00170422">
              <w:rPr>
                <w:noProof/>
                <w:lang w:val="de-DE"/>
              </w:rPr>
              <w:t>Reform 1: Reform des Systems des gewerblichen Eigentums</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A301DB3"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2F0157F" w14:textId="77777777" w:rsidR="0057163C" w:rsidRPr="00170422" w:rsidRDefault="00F37BF9">
            <w:pPr>
              <w:pStyle w:val="P68B1DB1-Normal11"/>
              <w:spacing w:before="120" w:after="120"/>
              <w:jc w:val="center"/>
              <w:rPr>
                <w:noProof/>
                <w:szCs w:val="20"/>
                <w:lang w:val="de-DE"/>
              </w:rPr>
            </w:pPr>
            <w:r w:rsidRPr="00170422">
              <w:rPr>
                <w:noProof/>
                <w:lang w:val="de-DE"/>
              </w:rPr>
              <w:t xml:space="preserve">Inkrafttreten eines gesetzesvertretenden Dekrets zur Reform des italienischen Gesetzbuchs über den gewerblichen Rechtsschutz und der entsprechenden </w:t>
            </w:r>
            <w:r w:rsidRPr="00170422">
              <w:rPr>
                <w:noProof/>
                <w:lang w:val="de-DE"/>
              </w:rPr>
              <w:t>Durchführungsrechtsakte</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F758F31" w14:textId="77777777" w:rsidR="0057163C" w:rsidRPr="00170422" w:rsidRDefault="00F37BF9">
            <w:pPr>
              <w:pStyle w:val="P68B1DB1-Normal11"/>
              <w:spacing w:before="120" w:after="120"/>
              <w:jc w:val="center"/>
              <w:rPr>
                <w:noProof/>
                <w:szCs w:val="20"/>
                <w:lang w:val="de-DE"/>
              </w:rPr>
            </w:pPr>
            <w:r w:rsidRPr="00170422">
              <w:rPr>
                <w:noProof/>
                <w:lang w:val="de-DE"/>
              </w:rPr>
              <w:t>Gesetzliche Bestimmung über das Inkrafttreten des neuen Gesetzbuchs über den gewerblichen Rechtsschutz und Bestimmung in den entsprechenden Durchführungsrechtsakten, aus der ihr Inkrafttreten hervorgeht</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C030D6A"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C266158"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7712B89"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0B9FF3F3" w14:textId="77777777" w:rsidR="0057163C" w:rsidRPr="00170422" w:rsidRDefault="00F37BF9">
            <w:pPr>
              <w:pStyle w:val="P68B1DB1-Normal11"/>
              <w:spacing w:before="120" w:after="120"/>
              <w:jc w:val="center"/>
              <w:rPr>
                <w:noProof/>
                <w:szCs w:val="20"/>
                <w:lang w:val="de-DE"/>
              </w:rPr>
            </w:pPr>
            <w:r w:rsidRPr="00170422">
              <w:rPr>
                <w:noProof/>
                <w:lang w:val="de-DE"/>
              </w:rPr>
              <w:t>Q3</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25E6834" w14:textId="77777777" w:rsidR="0057163C" w:rsidRPr="00170422" w:rsidRDefault="00F37BF9">
            <w:pPr>
              <w:pStyle w:val="P68B1DB1-Normal11"/>
              <w:spacing w:before="120" w:after="120"/>
              <w:jc w:val="center"/>
              <w:rPr>
                <w:noProof/>
                <w:szCs w:val="20"/>
                <w:lang w:val="de-DE"/>
              </w:rPr>
            </w:pPr>
            <w:r w:rsidRPr="00170422">
              <w:rPr>
                <w:noProof/>
                <w:lang w:val="de-DE"/>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AD04BD6" w14:textId="77777777" w:rsidR="0057163C" w:rsidRPr="00170422" w:rsidRDefault="00F37BF9">
            <w:pPr>
              <w:pStyle w:val="P68B1DB1-Normal11"/>
              <w:rPr>
                <w:noProof/>
                <w:szCs w:val="20"/>
                <w:lang w:val="de-DE"/>
              </w:rPr>
            </w:pPr>
            <w:r w:rsidRPr="00170422">
              <w:rPr>
                <w:noProof/>
                <w:lang w:val="de-DE"/>
              </w:rPr>
              <w:t>Mit dem neuen Gesetzesdekret wird das italienische Gesetz über den gewerblichen Rechtsschutz (Gesetzesdekret Nr. 30 vom 10. Februar 2005) geändert und mindestens folgende Bereiche abgedeckt: (I) Überprüfung des Rechtsrahmens zur Stärkung des Schut</w:t>
            </w:r>
            <w:r w:rsidRPr="00170422">
              <w:rPr>
                <w:noProof/>
                <w:lang w:val="de-DE"/>
              </w:rPr>
              <w:t>zes gewerblicher Schutzrechte und zur Vereinfachung der Verfahren, (ii) Stärkung der Unterstützung von Unternehmen und Forschungseinrichtungen, (iii) Verbesserung der Entwicklung von Fähigkeiten und Kompetenzen, (iv) Erleichterung des Wissenstransfers, (v)</w:t>
            </w:r>
            <w:r w:rsidRPr="00170422">
              <w:rPr>
                <w:noProof/>
                <w:lang w:val="de-DE"/>
              </w:rPr>
              <w:t xml:space="preserve"> Stärkung der Förderung innovativer Dienstleistungen.</w:t>
            </w:r>
          </w:p>
        </w:tc>
      </w:tr>
      <w:tr w:rsidR="0057163C" w:rsidRPr="00170422" w14:paraId="7C16AE5D"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1F8564B3" w14:textId="77777777" w:rsidR="0057163C" w:rsidRPr="00170422" w:rsidRDefault="00F37BF9">
            <w:pPr>
              <w:pStyle w:val="P68B1DB1-Normal11"/>
              <w:spacing w:before="120" w:after="120"/>
              <w:jc w:val="center"/>
              <w:rPr>
                <w:noProof/>
                <w:szCs w:val="20"/>
                <w:lang w:val="de-DE"/>
              </w:rPr>
            </w:pPr>
            <w:r w:rsidRPr="00170422">
              <w:rPr>
                <w:noProof/>
                <w:lang w:val="de-DE"/>
              </w:rPr>
              <w:t>M1C2-5</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B74EA3D" w14:textId="77777777" w:rsidR="0057163C" w:rsidRPr="00170422" w:rsidRDefault="00F37BF9">
            <w:pPr>
              <w:pStyle w:val="P68B1DB1-Normal11"/>
              <w:spacing w:before="120" w:after="120"/>
              <w:jc w:val="center"/>
              <w:rPr>
                <w:noProof/>
                <w:szCs w:val="20"/>
                <w:lang w:val="de-DE"/>
              </w:rPr>
            </w:pPr>
            <w:r w:rsidRPr="00170422">
              <w:rPr>
                <w:noProof/>
                <w:lang w:val="de-DE"/>
              </w:rPr>
              <w:t>Investition 6: Investitionen in das System des gewerblichen Eigentums</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F4AFD61" w14:textId="77777777" w:rsidR="0057163C" w:rsidRPr="00170422" w:rsidRDefault="00F37BF9">
            <w:pPr>
              <w:pStyle w:val="P68B1DB1-Normal12"/>
              <w:spacing w:before="120" w:after="120"/>
              <w:rPr>
                <w:noProof/>
                <w:lang w:val="de-DE"/>
              </w:rPr>
            </w:pPr>
            <w:r w:rsidRPr="00170422">
              <w:rPr>
                <w:noProof/>
                <w:lang w:val="de-DE"/>
              </w:rPr>
              <w:t>Ziel</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AE73632" w14:textId="60B05D53" w:rsidR="0057163C" w:rsidRPr="00170422" w:rsidRDefault="00F37BF9">
            <w:pPr>
              <w:pStyle w:val="P68B1DB1-Normal12"/>
              <w:spacing w:before="120" w:after="120"/>
              <w:jc w:val="center"/>
              <w:rPr>
                <w:noProof/>
                <w:lang w:val="de-DE"/>
              </w:rPr>
            </w:pPr>
            <w:r w:rsidRPr="00170422">
              <w:rPr>
                <w:noProof/>
                <w:lang w:val="de-DE"/>
              </w:rPr>
              <w:t xml:space="preserve">Abschließende Tätigkeiten/Projektberichte für mindestens 254 Projekte im Zusammenhang mit gewerblichem Eigentum und </w:t>
            </w:r>
            <w:r w:rsidRPr="00170422">
              <w:rPr>
                <w:noProof/>
                <w:lang w:val="de-DE"/>
              </w:rPr>
              <w:t>Forschung.</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31712B3" w14:textId="77777777" w:rsidR="0057163C" w:rsidRPr="00170422" w:rsidRDefault="00F37BF9">
            <w:pPr>
              <w:pStyle w:val="P68B1DB1-Normal12"/>
              <w:spacing w:before="120" w:after="120"/>
              <w:jc w:val="center"/>
              <w:rPr>
                <w:noProof/>
                <w:lang w:val="de-DE"/>
              </w:rPr>
            </w:pPr>
            <w:r w:rsidRPr="00170422">
              <w:rPr>
                <w:noProof/>
                <w:lang w:val="de-DE"/>
              </w:rPr>
              <w:t>ENTFÄLLT.</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673544A7" w14:textId="77777777" w:rsidR="0057163C" w:rsidRPr="00170422" w:rsidRDefault="00F37BF9">
            <w:pPr>
              <w:pStyle w:val="P68B1DB1-Normal12"/>
              <w:spacing w:before="120" w:after="120"/>
              <w:jc w:val="center"/>
              <w:rPr>
                <w:noProof/>
                <w:lang w:val="de-DE"/>
              </w:rPr>
            </w:pPr>
            <w:r w:rsidRPr="00170422">
              <w:rPr>
                <w:noProof/>
                <w:lang w:val="de-DE"/>
              </w:rPr>
              <w:t>Anzahl</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1979C87" w14:textId="77777777" w:rsidR="0057163C" w:rsidRPr="00170422" w:rsidRDefault="00F37BF9">
            <w:pPr>
              <w:pStyle w:val="P68B1DB1-Normal12"/>
              <w:spacing w:before="120" w:after="120"/>
              <w:jc w:val="center"/>
              <w:rPr>
                <w:noProof/>
                <w:lang w:val="de-DE"/>
              </w:rPr>
            </w:pPr>
            <w:r w:rsidRPr="00170422">
              <w:rPr>
                <w:noProof/>
                <w:lang w:val="de-DE"/>
              </w:rPr>
              <w:t>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05CA310" w14:textId="77777777" w:rsidR="0057163C" w:rsidRPr="00170422" w:rsidRDefault="00F37BF9">
            <w:pPr>
              <w:pStyle w:val="P68B1DB1-Normal12"/>
              <w:spacing w:before="120" w:after="120"/>
              <w:jc w:val="center"/>
              <w:rPr>
                <w:noProof/>
                <w:lang w:val="de-DE"/>
              </w:rPr>
            </w:pPr>
            <w:r w:rsidRPr="00170422">
              <w:rPr>
                <w:noProof/>
                <w:lang w:val="de-DE"/>
              </w:rPr>
              <w:t>254</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CE8633E"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A344357" w14:textId="77777777" w:rsidR="0057163C" w:rsidRPr="00170422" w:rsidRDefault="00F37BF9">
            <w:pPr>
              <w:pStyle w:val="P68B1DB1-Normal11"/>
              <w:spacing w:before="120" w:after="120"/>
              <w:jc w:val="center"/>
              <w:rPr>
                <w:noProof/>
                <w:szCs w:val="20"/>
                <w:lang w:val="de-DE"/>
              </w:rPr>
            </w:pPr>
            <w:r w:rsidRPr="00170422">
              <w:rPr>
                <w:noProof/>
                <w:lang w:val="de-DE"/>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2081B93" w14:textId="77777777" w:rsidR="0057163C" w:rsidRPr="00170422" w:rsidRDefault="00F37BF9">
            <w:pPr>
              <w:pStyle w:val="P68B1DB1-Normal21"/>
              <w:spacing w:before="120" w:after="120" w:line="278" w:lineRule="auto"/>
              <w:rPr>
                <w:rFonts w:ascii="Arial Narrow" w:hAnsi="Arial Narrow"/>
                <w:noProof/>
                <w:szCs w:val="20"/>
                <w:lang w:val="de-DE"/>
              </w:rPr>
            </w:pPr>
            <w:r w:rsidRPr="00170422">
              <w:rPr>
                <w:rFonts w:ascii="Arial Narrow" w:hAnsi="Arial Narrow"/>
                <w:noProof/>
                <w:lang w:val="de-DE"/>
              </w:rPr>
              <w:t>Die von den begünstigten Einrichtungen unterzeichneten abschließenden Tätigkeiten/Projektberichte wurden für mindestens 254 Projekte im Bereich Forschung und gewerbliches Eigentum vorgelegt.</w:t>
            </w:r>
            <w:r w:rsidRPr="00170422">
              <w:rPr>
                <w:rFonts w:ascii="Arial Narrow" w:eastAsia="Arial Narrow" w:hAnsi="Arial Narrow" w:cs="Arial Narrow"/>
                <w:noProof/>
                <w:szCs w:val="20"/>
                <w:u w:val="single"/>
                <w:lang w:val="de-DE"/>
              </w:rPr>
              <w:t xml:space="preserve"> </w:t>
            </w:r>
            <w:r w:rsidRPr="00170422">
              <w:rPr>
                <w:rFonts w:ascii="Arial Narrow" w:hAnsi="Arial Narrow"/>
                <w:noProof/>
                <w:szCs w:val="20"/>
                <w:lang w:val="de-DE"/>
              </w:rPr>
              <w:t>.</w:t>
            </w:r>
          </w:p>
        </w:tc>
      </w:tr>
      <w:tr w:rsidR="0057163C" w:rsidRPr="00170422" w14:paraId="55C8254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D2C2F6F" w14:textId="77777777" w:rsidR="0057163C" w:rsidRPr="00170422" w:rsidRDefault="00F37BF9">
            <w:pPr>
              <w:pStyle w:val="P68B1DB1-Normal11"/>
              <w:spacing w:before="120" w:after="120"/>
              <w:jc w:val="center"/>
              <w:rPr>
                <w:noProof/>
                <w:szCs w:val="20"/>
                <w:lang w:val="de-DE"/>
              </w:rPr>
            </w:pPr>
            <w:r w:rsidRPr="00170422">
              <w:rPr>
                <w:noProof/>
                <w:lang w:val="de-DE"/>
              </w:rPr>
              <w:t>M1C2-6</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3245C5C" w14:textId="77777777" w:rsidR="0057163C" w:rsidRPr="00170422" w:rsidRDefault="00F37BF9">
            <w:pPr>
              <w:pStyle w:val="P68B1DB1-Normal11"/>
              <w:spacing w:before="120" w:after="120"/>
              <w:jc w:val="center"/>
              <w:rPr>
                <w:noProof/>
                <w:szCs w:val="20"/>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4F8279D"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4F1484FB" w14:textId="77777777" w:rsidR="0057163C" w:rsidRPr="00170422" w:rsidRDefault="00F37BF9">
            <w:pPr>
              <w:pStyle w:val="P68B1DB1-Normal11"/>
              <w:spacing w:before="120" w:after="120"/>
              <w:jc w:val="center"/>
              <w:rPr>
                <w:noProof/>
                <w:szCs w:val="20"/>
                <w:lang w:val="de-DE"/>
              </w:rPr>
            </w:pPr>
            <w:r w:rsidRPr="00170422">
              <w:rPr>
                <w:noProof/>
                <w:lang w:val="de-DE"/>
              </w:rPr>
              <w:t>Inkrafttreten des jährlichen Wettbewerbsrechts 2021</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13E6DF1" w14:textId="77777777" w:rsidR="0057163C" w:rsidRPr="00170422" w:rsidRDefault="00F37BF9">
            <w:pPr>
              <w:pStyle w:val="P68B1DB1-Normal11"/>
              <w:spacing w:before="120" w:after="120"/>
              <w:jc w:val="center"/>
              <w:rPr>
                <w:noProof/>
                <w:szCs w:val="20"/>
                <w:lang w:val="de-DE"/>
              </w:rPr>
            </w:pPr>
            <w:r w:rsidRPr="00170422">
              <w:rPr>
                <w:noProof/>
                <w:lang w:val="de-DE"/>
              </w:rPr>
              <w:t>Bestimmung über das Inkrafttreten des jährlichen Wettbewerbsrechts 2021.</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30CB1CF"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090E2453"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E943A9F"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1799E7FD"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0665A310" w14:textId="77777777" w:rsidR="0057163C" w:rsidRPr="00170422" w:rsidRDefault="00F37BF9">
            <w:pPr>
              <w:pStyle w:val="P68B1DB1-Normal11"/>
              <w:spacing w:before="120" w:after="120"/>
              <w:jc w:val="center"/>
              <w:rPr>
                <w:noProof/>
                <w:szCs w:val="20"/>
                <w:lang w:val="de-DE"/>
              </w:rPr>
            </w:pPr>
            <w:r w:rsidRPr="00170422">
              <w:rPr>
                <w:noProof/>
                <w:lang w:val="de-DE"/>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42D619A" w14:textId="77777777" w:rsidR="0057163C" w:rsidRPr="00170422" w:rsidRDefault="00F37BF9">
            <w:pPr>
              <w:pStyle w:val="P68B1DB1-Normal11"/>
              <w:spacing w:before="120" w:after="120"/>
              <w:rPr>
                <w:noProof/>
                <w:szCs w:val="20"/>
                <w:lang w:val="de-DE"/>
              </w:rPr>
            </w:pPr>
            <w:r w:rsidRPr="00170422">
              <w:rPr>
                <w:noProof/>
                <w:lang w:val="de-DE"/>
              </w:rPr>
              <w:t xml:space="preserve">Das jährliche Wettbewerbsgesetz </w:t>
            </w:r>
            <w:r w:rsidRPr="00170422">
              <w:rPr>
                <w:noProof/>
                <w:lang w:val="de-DE"/>
              </w:rPr>
              <w:t>enthält mindestens die folgenden Schlüsselelemente, deren Durchführungsmaßnahmen und (falls erforderlich) abgeleitete Rechtsvorschriften spätestens am 31. Dezember 2022 erlassen werden und in Kraft treten.</w:t>
            </w:r>
          </w:p>
          <w:p w14:paraId="5C05FAAE" w14:textId="705BF21E" w:rsidR="0057163C" w:rsidRPr="00170422" w:rsidRDefault="00F37BF9">
            <w:pPr>
              <w:spacing w:before="120" w:after="120"/>
              <w:rPr>
                <w:rFonts w:ascii="Arial Narrow" w:hAnsi="Arial Narrow"/>
                <w:noProof/>
                <w:color w:val="006100"/>
                <w:sz w:val="20"/>
                <w:szCs w:val="20"/>
                <w:lang w:val="de-DE"/>
              </w:rPr>
            </w:pPr>
            <w:r w:rsidRPr="00170422">
              <w:rPr>
                <w:rFonts w:ascii="Arial Narrow" w:hAnsi="Arial Narrow"/>
                <w:noProof/>
                <w:color w:val="006100"/>
                <w:sz w:val="20"/>
                <w:lang w:val="de-DE"/>
              </w:rPr>
              <w:t>Sie betrifft:</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Durchsetzung des Kartellrechts</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Lokale öffentliche Dienstleistungen</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Energie</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Verkehr</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Abfälle</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Unternehmensgründung</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Marktüberwachung</w:t>
            </w:r>
          </w:p>
          <w:p w14:paraId="6C6EC5B7" w14:textId="77777777" w:rsidR="0057163C" w:rsidRPr="00170422" w:rsidRDefault="00F37BF9">
            <w:pPr>
              <w:pStyle w:val="P68B1DB1-Normal11"/>
              <w:spacing w:before="120" w:after="120"/>
              <w:rPr>
                <w:noProof/>
                <w:szCs w:val="20"/>
                <w:lang w:val="de-DE"/>
              </w:rPr>
            </w:pPr>
            <w:r w:rsidRPr="00170422">
              <w:rPr>
                <w:noProof/>
                <w:lang w:val="de-DE"/>
              </w:rPr>
              <w:t>Durchsetzung des Kartellrechts:</w:t>
            </w:r>
          </w:p>
          <w:p w14:paraId="70A3FBE2" w14:textId="77777777" w:rsidR="0057163C" w:rsidRPr="00170422" w:rsidRDefault="00F37BF9">
            <w:pPr>
              <w:pStyle w:val="P68B1DB1-Normal11"/>
              <w:spacing w:before="120" w:after="120"/>
              <w:rPr>
                <w:noProof/>
                <w:szCs w:val="20"/>
                <w:lang w:val="de-DE"/>
              </w:rPr>
            </w:pPr>
            <w:r w:rsidRPr="00170422">
              <w:rPr>
                <w:noProof/>
                <w:lang w:val="de-DE"/>
              </w:rPr>
              <w:t>I. Beseitigung zusätzlicher Hindernisse für die Fusionskontrolle durch eine weitere Angleichung der</w:t>
            </w:r>
            <w:r w:rsidRPr="00170422">
              <w:rPr>
                <w:noProof/>
                <w:lang w:val="de-DE"/>
              </w:rPr>
              <w:t xml:space="preserve"> italienischen Fusionskontrollvorschriften an das EU-Recht.</w:t>
            </w:r>
          </w:p>
          <w:p w14:paraId="5E02F76C" w14:textId="77777777" w:rsidR="0057163C" w:rsidRPr="00170422" w:rsidRDefault="00F37BF9">
            <w:pPr>
              <w:pStyle w:val="P68B1DB1-Normal11"/>
              <w:spacing w:before="120" w:after="120"/>
              <w:rPr>
                <w:noProof/>
                <w:szCs w:val="20"/>
                <w:lang w:val="de-DE"/>
              </w:rPr>
            </w:pPr>
            <w:r w:rsidRPr="00170422">
              <w:rPr>
                <w:noProof/>
                <w:lang w:val="de-DE"/>
              </w:rPr>
              <w:t>Lokale öffentliche Dienstleistungen:</w:t>
            </w:r>
          </w:p>
          <w:p w14:paraId="32DAE0D9" w14:textId="77777777" w:rsidR="0057163C" w:rsidRPr="00170422" w:rsidRDefault="00F37BF9">
            <w:pPr>
              <w:pStyle w:val="P68B1DB1-Normal11"/>
              <w:spacing w:before="120" w:after="120"/>
              <w:rPr>
                <w:noProof/>
                <w:szCs w:val="20"/>
                <w:lang w:val="de-DE"/>
              </w:rPr>
            </w:pPr>
            <w:r w:rsidRPr="00170422">
              <w:rPr>
                <w:noProof/>
                <w:lang w:val="de-DE"/>
              </w:rPr>
              <w:t>II. Stärkung und breitere Anwendung des Grundsatzes des Wettbewerbs für lokale öffentliche Dienstleistungsaufträge, insbesondere in den Bereichen Abfall und ÖP</w:t>
            </w:r>
            <w:r w:rsidRPr="00170422">
              <w:rPr>
                <w:noProof/>
                <w:lang w:val="de-DE"/>
              </w:rPr>
              <w:t>NV.</w:t>
            </w:r>
          </w:p>
          <w:p w14:paraId="11F0ACEB" w14:textId="77777777" w:rsidR="0057163C" w:rsidRPr="00170422" w:rsidRDefault="00F37BF9">
            <w:pPr>
              <w:pStyle w:val="P68B1DB1-Normal11"/>
              <w:spacing w:before="120" w:after="120"/>
              <w:rPr>
                <w:noProof/>
                <w:szCs w:val="20"/>
                <w:lang w:val="de-DE"/>
              </w:rPr>
            </w:pPr>
            <w:r w:rsidRPr="00170422">
              <w:rPr>
                <w:noProof/>
                <w:lang w:val="de-DE"/>
              </w:rPr>
              <w:t>III. Begrenzung der Direktvergabe, indem lokale Behörden verpflichtet werden, jede Abweichung von der Ausschreibung öffentlicher Dienstleistungsaufträge zu begründen (gemäß Artikel 192 des Gesetzbuchs über die Vergabe öffentlicher Aufträge).</w:t>
            </w:r>
          </w:p>
          <w:p w14:paraId="59265CCE" w14:textId="77777777" w:rsidR="0057163C" w:rsidRPr="00170422" w:rsidRDefault="00F37BF9">
            <w:pPr>
              <w:pStyle w:val="P68B1DB1-Normal11"/>
              <w:spacing w:before="120" w:after="120"/>
              <w:rPr>
                <w:noProof/>
                <w:szCs w:val="20"/>
                <w:lang w:val="de-DE"/>
              </w:rPr>
            </w:pPr>
            <w:r w:rsidRPr="00170422">
              <w:rPr>
                <w:noProof/>
                <w:lang w:val="de-DE"/>
              </w:rPr>
              <w:t xml:space="preserve">IV. </w:t>
            </w:r>
            <w:r w:rsidRPr="00170422">
              <w:rPr>
                <w:noProof/>
                <w:lang w:val="de-DE"/>
              </w:rPr>
              <w:t>Angemessene Regulierung öffentlicher Dienstleistungsaufträge, indem Artikel 19 des Gesetzes 124/2015 als ein einziger Text über lokale öffentliche Dienstleistungen, insbesondere im Bereich der Abfallbewirtschaftung, umgesetzt wird.</w:t>
            </w:r>
          </w:p>
          <w:p w14:paraId="2FC335D6" w14:textId="42C650A7" w:rsidR="0057163C" w:rsidRPr="00170422" w:rsidRDefault="00F37BF9">
            <w:pPr>
              <w:pStyle w:val="P68B1DB1-Normal21"/>
              <w:spacing w:before="120" w:after="120"/>
              <w:rPr>
                <w:rFonts w:ascii="Arial Narrow" w:hAnsi="Arial Narrow"/>
                <w:noProof/>
                <w:szCs w:val="20"/>
                <w:lang w:val="de-DE"/>
              </w:rPr>
            </w:pPr>
            <w:r w:rsidRPr="00170422">
              <w:rPr>
                <w:rFonts w:ascii="Arial Narrow" w:hAnsi="Arial Narrow"/>
                <w:noProof/>
                <w:lang w:val="de-DE"/>
              </w:rPr>
              <w:t>v. Vorschriften und Aggr</w:t>
            </w:r>
            <w:r w:rsidRPr="00170422">
              <w:rPr>
                <w:rFonts w:ascii="Arial Narrow" w:hAnsi="Arial Narrow"/>
                <w:noProof/>
                <w:lang w:val="de-DE"/>
              </w:rPr>
              <w:t>egationsmechanismen schaffen Anreize für die Gewerkschaften der Gemeinden, um die Zahl der Auftraggeber und öffentlichen Auftraggeber zu verringern, indem sie an die optimalen territorialen Aggregationen („ambiti territoriali ottimali“) und die Gebiete und</w:t>
            </w:r>
            <w:r w:rsidRPr="00170422">
              <w:rPr>
                <w:rFonts w:ascii="Arial Narrow" w:hAnsi="Arial Narrow"/>
                <w:noProof/>
                <w:lang w:val="de-DE"/>
              </w:rPr>
              <w:t xml:space="preserve"> ein angemessenes Niveau der lokalen und regionalen öffentlichen Verkehrsdienste („bacini e livelli adeguati di servizi di trasporto pubblico locale e regionale“) mit mindestens 350000</w:t>
            </w:r>
            <w:r w:rsidRPr="00170422">
              <w:rPr>
                <w:rFonts w:ascii="Arial Narrow"/>
                <w:noProof/>
                <w:lang w:val="de-DE"/>
              </w:rPr>
              <w:t xml:space="preserve"> Einwohnern gekoppelt werden.</w:t>
            </w:r>
          </w:p>
          <w:p w14:paraId="6EF514E7" w14:textId="77777777" w:rsidR="0057163C" w:rsidRPr="00170422" w:rsidRDefault="00F37BF9">
            <w:pPr>
              <w:pStyle w:val="P68B1DB1-Normal11"/>
              <w:spacing w:before="120" w:after="120"/>
              <w:rPr>
                <w:noProof/>
                <w:szCs w:val="20"/>
                <w:lang w:val="de-DE"/>
              </w:rPr>
            </w:pPr>
            <w:r w:rsidRPr="00170422">
              <w:rPr>
                <w:noProof/>
                <w:lang w:val="de-DE"/>
              </w:rPr>
              <w:t>Der Rechtsakt über lokale öffentliche Dien</w:t>
            </w:r>
            <w:r w:rsidRPr="00170422">
              <w:rPr>
                <w:noProof/>
                <w:lang w:val="de-DE"/>
              </w:rPr>
              <w:t>ste, mit dem Artikel 19 des Gesetzes 124/2015 umgesetzt wird, muss mindestens</w:t>
            </w:r>
          </w:p>
          <w:p w14:paraId="4B2FCAAB" w14:textId="77777777" w:rsidR="0057163C" w:rsidRPr="00170422" w:rsidRDefault="00F37BF9">
            <w:pPr>
              <w:pStyle w:val="P68B1DB1-Normal11"/>
              <w:spacing w:before="120" w:after="120"/>
              <w:rPr>
                <w:noProof/>
                <w:szCs w:val="20"/>
                <w:lang w:val="de-DE"/>
              </w:rPr>
            </w:pPr>
            <w:r w:rsidRPr="00170422">
              <w:rPr>
                <w:noProof/>
                <w:lang w:val="de-DE"/>
              </w:rPr>
              <w:t>— Festlegung öffentlicher Dienstleistungen auf der Grundlage von Kriterien des EU-Rechts;</w:t>
            </w:r>
          </w:p>
          <w:p w14:paraId="037ED991" w14:textId="77777777" w:rsidR="0057163C" w:rsidRPr="00170422" w:rsidRDefault="00F37BF9">
            <w:pPr>
              <w:pStyle w:val="P68B1DB1-Normal11"/>
              <w:spacing w:before="120" w:after="120"/>
              <w:rPr>
                <w:noProof/>
                <w:szCs w:val="20"/>
                <w:lang w:val="de-DE"/>
              </w:rPr>
            </w:pPr>
            <w:r w:rsidRPr="00170422">
              <w:rPr>
                <w:noProof/>
                <w:lang w:val="de-DE"/>
              </w:rPr>
              <w:t>— allgemeine Grundsätze für die Erbringung, Regulierung und Verwaltung lokaler öffentlic</w:t>
            </w:r>
            <w:r w:rsidRPr="00170422">
              <w:rPr>
                <w:noProof/>
                <w:lang w:val="de-DE"/>
              </w:rPr>
              <w:t>her Dienstleistungen;</w:t>
            </w:r>
          </w:p>
          <w:p w14:paraId="346D422E" w14:textId="77777777" w:rsidR="0057163C" w:rsidRPr="00170422" w:rsidRDefault="00F37BF9">
            <w:pPr>
              <w:pStyle w:val="P68B1DB1-Normal11"/>
              <w:spacing w:before="120" w:after="120"/>
              <w:rPr>
                <w:noProof/>
                <w:szCs w:val="20"/>
                <w:lang w:val="de-DE"/>
              </w:rPr>
            </w:pPr>
            <w:r w:rsidRPr="00170422">
              <w:rPr>
                <w:noProof/>
                <w:lang w:val="de-DE"/>
              </w:rPr>
              <w:t>— einen allgemeinen Grundsatz der Verhältnismäßigkeit in Bezug auf die Dauer von öffentlichen Dienstleistungsaufträgen festlegen;</w:t>
            </w:r>
          </w:p>
          <w:p w14:paraId="5E90A285" w14:textId="77777777" w:rsidR="0057163C" w:rsidRPr="00170422" w:rsidRDefault="00F37BF9">
            <w:pPr>
              <w:pStyle w:val="P68B1DB1-Normal11"/>
              <w:spacing w:before="120" w:after="120"/>
              <w:rPr>
                <w:noProof/>
                <w:szCs w:val="20"/>
                <w:lang w:val="de-DE"/>
              </w:rPr>
            </w:pPr>
            <w:r w:rsidRPr="00170422">
              <w:rPr>
                <w:noProof/>
                <w:lang w:val="de-DE"/>
              </w:rPr>
              <w:t>— klare Trennung der Regulierungs- und Kontrollfunktionen und der Verwaltung öffentlicher Dienstleistung</w:t>
            </w:r>
            <w:r w:rsidRPr="00170422">
              <w:rPr>
                <w:noProof/>
                <w:lang w:val="de-DE"/>
              </w:rPr>
              <w:t>saufträge;</w:t>
            </w:r>
          </w:p>
          <w:p w14:paraId="6DB7B0EA" w14:textId="77777777" w:rsidR="0057163C" w:rsidRPr="00170422" w:rsidRDefault="00F37BF9">
            <w:pPr>
              <w:pStyle w:val="P68B1DB1-Normal11"/>
              <w:spacing w:before="120" w:after="120"/>
              <w:rPr>
                <w:noProof/>
                <w:szCs w:val="20"/>
                <w:lang w:val="de-DE"/>
              </w:rPr>
            </w:pPr>
            <w:r w:rsidRPr="00170422">
              <w:rPr>
                <w:noProof/>
                <w:lang w:val="de-DE"/>
              </w:rPr>
              <w:t>— dafür zu sorgen, dass die lokalen Behörden ihre Erhöhung der Anteile der teilnehmenden Unternehmen für In-House-Verleihungen rechtfertigen;</w:t>
            </w:r>
          </w:p>
          <w:p w14:paraId="3B0AF0BA" w14:textId="77777777" w:rsidR="0057163C" w:rsidRPr="00170422" w:rsidRDefault="00F37BF9">
            <w:pPr>
              <w:pStyle w:val="P68B1DB1-Normal11"/>
              <w:spacing w:before="120" w:after="120"/>
              <w:rPr>
                <w:noProof/>
                <w:szCs w:val="20"/>
                <w:lang w:val="de-DE"/>
              </w:rPr>
            </w:pPr>
            <w:r w:rsidRPr="00170422">
              <w:rPr>
                <w:noProof/>
                <w:lang w:val="de-DE"/>
              </w:rPr>
              <w:t>— einen angemessenen Ausgleich für öffentliche Dienstleistungsaufträge auf der Grundlage einer Kostenrechnung vorzusehen, die von unabhängigen Regulierungsbehörden überwacht wird (z. B. ARERA für Energie oder ART für Verkehr);</w:t>
            </w:r>
          </w:p>
          <w:p w14:paraId="2DC1E2D1" w14:textId="77777777" w:rsidR="0057163C" w:rsidRPr="00170422" w:rsidRDefault="00F37BF9">
            <w:pPr>
              <w:pStyle w:val="P68B1DB1-Normal11"/>
              <w:spacing w:before="120" w:after="120"/>
              <w:rPr>
                <w:noProof/>
                <w:szCs w:val="20"/>
                <w:lang w:val="de-DE"/>
              </w:rPr>
            </w:pPr>
            <w:r w:rsidRPr="00170422">
              <w:rPr>
                <w:noProof/>
                <w:lang w:val="de-DE"/>
              </w:rPr>
              <w:t>— Begrenzung der durchschnitt</w:t>
            </w:r>
            <w:r w:rsidRPr="00170422">
              <w:rPr>
                <w:noProof/>
                <w:lang w:val="de-DE"/>
              </w:rPr>
              <w:t>lichen Laufzeit von In-House-Verträgen und Verkürzung und Harmonisierung der Standardlaufzeit der ausgeschriebenen Aufträge zwischen den Bietern, sofern diese Laufzeit das wirtschaftliche und finanzielle Gleichgewicht der Verträge gewährleistet, auch auf d</w:t>
            </w:r>
            <w:r w:rsidRPr="00170422">
              <w:rPr>
                <w:noProof/>
                <w:lang w:val="de-DE"/>
              </w:rPr>
              <w:t>er Grundlage der von der Verkehrsbehörde festgelegten Kriterien.</w:t>
            </w:r>
          </w:p>
          <w:p w14:paraId="02273E33" w14:textId="77777777" w:rsidR="0057163C" w:rsidRPr="00170422" w:rsidRDefault="00F37BF9">
            <w:pPr>
              <w:pStyle w:val="P68B1DB1-Normal11"/>
              <w:spacing w:before="120" w:after="120"/>
              <w:rPr>
                <w:noProof/>
                <w:szCs w:val="20"/>
                <w:lang w:val="de-DE"/>
              </w:rPr>
            </w:pPr>
            <w:r w:rsidRPr="00170422">
              <w:rPr>
                <w:noProof/>
                <w:lang w:val="de-DE"/>
              </w:rPr>
              <w:t>Energie:</w:t>
            </w:r>
          </w:p>
          <w:p w14:paraId="3689EEF0"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VI.</w:t>
            </w:r>
            <w:r w:rsidRPr="00170422">
              <w:rPr>
                <w:noProof/>
                <w:lang w:val="de-DE"/>
              </w:rPr>
              <w:t xml:space="preserve"> </w:t>
            </w:r>
            <w:r w:rsidRPr="00170422">
              <w:rPr>
                <w:noProof/>
                <w:color w:val="006100"/>
                <w:sz w:val="20"/>
                <w:lang w:val="de-DE"/>
              </w:rPr>
              <w:t>Die Ausschreibung von Konzessionsverträgen für Wasserkraft verbindlich vorzuschreiben und den Rechtsrahmen für Wasserkraftkonzessionen festzulegen.</w:t>
            </w:r>
          </w:p>
          <w:p w14:paraId="64A040CF"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VII.</w:t>
            </w:r>
            <w:r w:rsidRPr="00170422">
              <w:rPr>
                <w:noProof/>
                <w:lang w:val="de-DE"/>
              </w:rPr>
              <w:t xml:space="preserve"> </w:t>
            </w:r>
            <w:r w:rsidRPr="00170422">
              <w:rPr>
                <w:noProof/>
                <w:color w:val="006100"/>
                <w:sz w:val="20"/>
                <w:lang w:val="de-DE"/>
              </w:rPr>
              <w:t>Die Ausschreibung von Kon</w:t>
            </w:r>
            <w:r w:rsidRPr="00170422">
              <w:rPr>
                <w:noProof/>
                <w:color w:val="006100"/>
                <w:sz w:val="20"/>
                <w:lang w:val="de-DE"/>
              </w:rPr>
              <w:t>zessionsverträgen für die Gasverteilung verbindlich vorzuschreiben.</w:t>
            </w:r>
          </w:p>
          <w:p w14:paraId="72E32AF3"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VIII.</w:t>
            </w:r>
            <w:r w:rsidRPr="00170422">
              <w:rPr>
                <w:noProof/>
                <w:lang w:val="de-DE"/>
              </w:rPr>
              <w:t xml:space="preserve"> </w:t>
            </w:r>
            <w:r w:rsidRPr="00170422">
              <w:rPr>
                <w:noProof/>
                <w:color w:val="006100"/>
                <w:sz w:val="20"/>
                <w:lang w:val="de-DE"/>
              </w:rPr>
              <w:t>Festlegung transparenter und diskriminierungsfreier Anforderungen für die Zuweisung öffentlicher Räume für elektrisches Laden oder für die Auswahl der Betreiber von Ladepunkten/Stati</w:t>
            </w:r>
            <w:r w:rsidRPr="00170422">
              <w:rPr>
                <w:noProof/>
                <w:color w:val="006100"/>
                <w:sz w:val="20"/>
                <w:lang w:val="de-DE"/>
              </w:rPr>
              <w:t>onen.</w:t>
            </w:r>
          </w:p>
          <w:p w14:paraId="0FF39FBF"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IX.</w:t>
            </w:r>
            <w:r w:rsidRPr="00170422">
              <w:rPr>
                <w:noProof/>
                <w:lang w:val="de-DE"/>
              </w:rPr>
              <w:t xml:space="preserve"> </w:t>
            </w:r>
            <w:r w:rsidRPr="00170422">
              <w:rPr>
                <w:noProof/>
                <w:color w:val="006100"/>
                <w:sz w:val="20"/>
                <w:lang w:val="de-DE"/>
              </w:rPr>
              <w:t>Abschaffung regulierter Tarife für die Stromversorgung für das Laden von Elektrofahrzeugen.</w:t>
            </w:r>
          </w:p>
          <w:p w14:paraId="1044126B" w14:textId="77777777" w:rsidR="0057163C" w:rsidRPr="00170422" w:rsidRDefault="00F37BF9">
            <w:pPr>
              <w:pStyle w:val="P68B1DB1-Normal11"/>
              <w:spacing w:before="120" w:after="120"/>
              <w:rPr>
                <w:noProof/>
                <w:szCs w:val="20"/>
                <w:lang w:val="de-DE"/>
              </w:rPr>
            </w:pPr>
            <w:r w:rsidRPr="00170422">
              <w:rPr>
                <w:noProof/>
                <w:lang w:val="de-DE"/>
              </w:rPr>
              <w:t>Der Wettbewerbsrahmen für Wasserkraftkonzessionen muss mindestens</w:t>
            </w:r>
          </w:p>
          <w:p w14:paraId="1E8356E9"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w:t>
            </w:r>
            <w:r w:rsidRPr="00170422">
              <w:rPr>
                <w:noProof/>
                <w:lang w:val="de-DE"/>
              </w:rPr>
              <w:t xml:space="preserve"> </w:t>
            </w:r>
            <w:r w:rsidRPr="00170422">
              <w:rPr>
                <w:noProof/>
                <w:color w:val="006100"/>
                <w:sz w:val="20"/>
                <w:lang w:val="de-DE"/>
              </w:rPr>
              <w:t xml:space="preserve">Fordern, dass wichtige Wasserkraftanlagen durch allgemeine und einheitliche Kriterien </w:t>
            </w:r>
            <w:r w:rsidRPr="00170422">
              <w:rPr>
                <w:noProof/>
                <w:color w:val="006100"/>
                <w:sz w:val="20"/>
                <w:lang w:val="de-DE"/>
              </w:rPr>
              <w:t>auf zentraler Ebene geregelt werden sollten.</w:t>
            </w:r>
          </w:p>
          <w:p w14:paraId="2FA9D96D"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w:t>
            </w:r>
            <w:r w:rsidRPr="00170422">
              <w:rPr>
                <w:noProof/>
                <w:lang w:val="de-DE"/>
              </w:rPr>
              <w:t xml:space="preserve"> </w:t>
            </w:r>
            <w:r w:rsidRPr="00170422">
              <w:rPr>
                <w:noProof/>
                <w:color w:val="006100"/>
                <w:sz w:val="20"/>
                <w:lang w:val="de-DE"/>
              </w:rPr>
              <w:t>Die Regionen müssen die wirtschaftlichen Kriterien festlegen, die der Laufzeit von Konzessionsverträgen zugrunde liegen.</w:t>
            </w:r>
          </w:p>
          <w:p w14:paraId="2206E797" w14:textId="77777777" w:rsidR="0057163C" w:rsidRPr="00170422" w:rsidRDefault="00F37BF9">
            <w:pPr>
              <w:pStyle w:val="P68B1DB1-Normal11"/>
              <w:spacing w:before="120" w:after="120"/>
              <w:rPr>
                <w:noProof/>
                <w:szCs w:val="20"/>
                <w:lang w:val="de-DE"/>
              </w:rPr>
            </w:pPr>
            <w:r w:rsidRPr="00170422">
              <w:rPr>
                <w:noProof/>
                <w:lang w:val="de-DE"/>
              </w:rPr>
              <w:t>—Ausstieg der Möglichkeit der Vertragsverlängerung (wie bereits vom italienischen Verfas</w:t>
            </w:r>
            <w:r w:rsidRPr="00170422">
              <w:rPr>
                <w:noProof/>
                <w:lang w:val="de-DE"/>
              </w:rPr>
              <w:t>sungsgericht entschieden).</w:t>
            </w:r>
          </w:p>
          <w:p w14:paraId="7DEF6025"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Die</w:t>
            </w:r>
            <w:r w:rsidRPr="00170422">
              <w:rPr>
                <w:noProof/>
                <w:lang w:val="de-DE"/>
              </w:rPr>
              <w:t xml:space="preserve"> </w:t>
            </w:r>
            <w:r w:rsidRPr="00170422">
              <w:rPr>
                <w:noProof/>
                <w:color w:val="006100"/>
                <w:sz w:val="20"/>
                <w:lang w:val="de-DE"/>
              </w:rPr>
              <w:t>Regionen müssen die Kriterien für den Zugang zu den Ausschreibungskriterien harmonisieren (um ein berechenbares Unternehmensumfeld zu schaffen).</w:t>
            </w:r>
          </w:p>
          <w:p w14:paraId="634878E7" w14:textId="77777777" w:rsidR="0057163C" w:rsidRPr="00170422" w:rsidRDefault="00F37BF9">
            <w:pPr>
              <w:pStyle w:val="P68B1DB1-Normal11"/>
              <w:spacing w:before="120" w:after="120"/>
              <w:rPr>
                <w:noProof/>
                <w:szCs w:val="20"/>
                <w:lang w:val="de-DE"/>
              </w:rPr>
            </w:pPr>
            <w:r w:rsidRPr="00170422">
              <w:rPr>
                <w:noProof/>
                <w:lang w:val="de-DE"/>
              </w:rPr>
              <w:t>Verkehr:</w:t>
            </w:r>
          </w:p>
          <w:p w14:paraId="6E5333B8"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 Festlegung</w:t>
            </w:r>
            <w:r w:rsidRPr="00170422">
              <w:rPr>
                <w:noProof/>
                <w:lang w:val="de-DE"/>
              </w:rPr>
              <w:t xml:space="preserve"> </w:t>
            </w:r>
            <w:r w:rsidRPr="00170422">
              <w:rPr>
                <w:noProof/>
                <w:color w:val="006100"/>
                <w:sz w:val="20"/>
                <w:lang w:val="de-DE"/>
              </w:rPr>
              <w:t xml:space="preserve">klarer, diskriminierungsfreier und transparenter </w:t>
            </w:r>
            <w:r w:rsidRPr="00170422">
              <w:rPr>
                <w:noProof/>
                <w:color w:val="006100"/>
                <w:sz w:val="20"/>
                <w:lang w:val="de-DE"/>
              </w:rPr>
              <w:t>Kriterien für die Vergabe von Hafenkonzessionen.</w:t>
            </w:r>
          </w:p>
          <w:p w14:paraId="08F41913"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XI.</w:t>
            </w:r>
            <w:r w:rsidRPr="00170422">
              <w:rPr>
                <w:noProof/>
                <w:lang w:val="de-DE"/>
              </w:rPr>
              <w:t xml:space="preserve"> </w:t>
            </w:r>
            <w:r w:rsidRPr="00170422">
              <w:rPr>
                <w:noProof/>
                <w:color w:val="006100"/>
                <w:sz w:val="20"/>
                <w:lang w:val="de-DE"/>
              </w:rPr>
              <w:t>Beseitigung von Hindernissen für Hafenkonzessionäre bei der Zusammenlegung von Hafenkonzessionen in mehreren großen und mittelgroßen Häfen.</w:t>
            </w:r>
          </w:p>
          <w:p w14:paraId="1772B1DD"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XII.</w:t>
            </w:r>
            <w:r w:rsidRPr="00170422">
              <w:rPr>
                <w:noProof/>
                <w:lang w:val="de-DE"/>
              </w:rPr>
              <w:t xml:space="preserve"> </w:t>
            </w:r>
            <w:r w:rsidRPr="00170422">
              <w:rPr>
                <w:noProof/>
                <w:color w:val="006100"/>
                <w:sz w:val="20"/>
                <w:lang w:val="de-DE"/>
              </w:rPr>
              <w:t>Hindernisse beseitigen, die die Konzessionäre daran hinder</w:t>
            </w:r>
            <w:r w:rsidRPr="00170422">
              <w:rPr>
                <w:noProof/>
                <w:color w:val="006100"/>
                <w:sz w:val="20"/>
                <w:lang w:val="de-DE"/>
              </w:rPr>
              <w:t>n, einige der Hafendienste selbst zu erbringen und ihre eigene Ausrüstung zu nutzen, unbeschadet der Sicherheit der Arbeitnehmer, sofern die einschlägigen Bedingungen, die zum Schutz der Sicherheit der Arbeitnehmer erforderlich sind, im Hinblick auf das Zi</w:t>
            </w:r>
            <w:r w:rsidRPr="00170422">
              <w:rPr>
                <w:noProof/>
                <w:color w:val="006100"/>
                <w:sz w:val="20"/>
                <w:lang w:val="de-DE"/>
              </w:rPr>
              <w:t>el der Gewährleistung der Sicherheit in den Hafengebieten erforderlich und verhältnismäßig sind.</w:t>
            </w:r>
          </w:p>
          <w:p w14:paraId="261E3B76"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XIII.</w:t>
            </w:r>
            <w:r w:rsidRPr="00170422">
              <w:rPr>
                <w:noProof/>
                <w:lang w:val="de-DE"/>
              </w:rPr>
              <w:t xml:space="preserve"> </w:t>
            </w:r>
            <w:r w:rsidRPr="00170422">
              <w:rPr>
                <w:noProof/>
                <w:color w:val="006100"/>
                <w:sz w:val="20"/>
                <w:lang w:val="de-DE"/>
              </w:rPr>
              <w:t>Vereinfachung der Überarbeitung der Verfahren für die Überarbeitung der Genehmigungspläne der Häfen.</w:t>
            </w:r>
          </w:p>
          <w:p w14:paraId="70DBDEFA"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XIV.</w:t>
            </w:r>
            <w:r w:rsidRPr="00170422">
              <w:rPr>
                <w:noProof/>
                <w:lang w:val="de-DE"/>
              </w:rPr>
              <w:t xml:space="preserve"> </w:t>
            </w:r>
            <w:r w:rsidRPr="00170422">
              <w:rPr>
                <w:noProof/>
                <w:color w:val="006100"/>
                <w:sz w:val="20"/>
                <w:lang w:val="de-DE"/>
              </w:rPr>
              <w:t>Umsetzung von Artikel 27 Komma 2 d des Gesetzes</w:t>
            </w:r>
            <w:r w:rsidRPr="00170422">
              <w:rPr>
                <w:noProof/>
                <w:color w:val="006100"/>
                <w:sz w:val="20"/>
                <w:lang w:val="de-DE"/>
              </w:rPr>
              <w:t>dekrets Nr. 50/2017, der Anreize für Regionen bietet, ihre regionalen Eisenbahnverträge auszuschreiben.</w:t>
            </w:r>
          </w:p>
          <w:p w14:paraId="3E06171B" w14:textId="77777777" w:rsidR="0057163C" w:rsidRPr="00170422" w:rsidRDefault="00F37BF9">
            <w:pPr>
              <w:pStyle w:val="P68B1DB1-Normal11"/>
              <w:spacing w:before="120" w:after="120"/>
              <w:rPr>
                <w:noProof/>
                <w:szCs w:val="20"/>
                <w:lang w:val="de-DE"/>
              </w:rPr>
            </w:pPr>
            <w:r w:rsidRPr="00170422">
              <w:rPr>
                <w:noProof/>
                <w:lang w:val="de-DE"/>
              </w:rPr>
              <w:t>Abfälle:</w:t>
            </w:r>
          </w:p>
          <w:p w14:paraId="0AB12B12"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XV.</w:t>
            </w:r>
            <w:r w:rsidRPr="00170422">
              <w:rPr>
                <w:noProof/>
                <w:lang w:val="de-DE"/>
              </w:rPr>
              <w:t xml:space="preserve"> </w:t>
            </w:r>
            <w:r w:rsidRPr="00170422">
              <w:rPr>
                <w:noProof/>
                <w:color w:val="006100"/>
                <w:sz w:val="20"/>
                <w:lang w:val="de-DE"/>
              </w:rPr>
              <w:t>Vereinfachung der Genehmigungsverfahren für Abfallbehandlungsanlagen.</w:t>
            </w:r>
          </w:p>
          <w:p w14:paraId="49CE1739" w14:textId="77777777" w:rsidR="0057163C" w:rsidRPr="00170422" w:rsidRDefault="00F37BF9">
            <w:pPr>
              <w:pStyle w:val="P68B1DB1-Normal11"/>
              <w:spacing w:before="120" w:after="120"/>
              <w:rPr>
                <w:noProof/>
                <w:szCs w:val="20"/>
                <w:lang w:val="de-DE"/>
              </w:rPr>
            </w:pPr>
            <w:r w:rsidRPr="00170422">
              <w:rPr>
                <w:noProof/>
                <w:lang w:val="de-DE"/>
              </w:rPr>
              <w:t>Unternehmensgründung:</w:t>
            </w:r>
          </w:p>
          <w:p w14:paraId="025DBCB4"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XVI.</w:t>
            </w:r>
            <w:r w:rsidRPr="00170422">
              <w:rPr>
                <w:noProof/>
                <w:lang w:val="de-DE"/>
              </w:rPr>
              <w:t xml:space="preserve"> </w:t>
            </w:r>
            <w:r w:rsidRPr="00170422">
              <w:rPr>
                <w:noProof/>
                <w:color w:val="006100"/>
                <w:sz w:val="20"/>
                <w:lang w:val="de-DE"/>
              </w:rPr>
              <w:t>Verkürzung der Akkreditierungszeit für die</w:t>
            </w:r>
            <w:r w:rsidRPr="00170422">
              <w:rPr>
                <w:noProof/>
                <w:color w:val="006100"/>
                <w:sz w:val="20"/>
                <w:lang w:val="de-DE"/>
              </w:rPr>
              <w:t xml:space="preserve"> Bereitstellung von Informationen über Arbeitnehmer von sieben auf vier Tage, um die Zahl der Tage für die Gründung eines Unternehmens zu verkürzen.</w:t>
            </w:r>
          </w:p>
          <w:p w14:paraId="611CF472" w14:textId="77777777" w:rsidR="0057163C" w:rsidRPr="00170422" w:rsidRDefault="00F37BF9">
            <w:pPr>
              <w:pStyle w:val="P68B1DB1-Normal11"/>
              <w:spacing w:before="120" w:after="120"/>
              <w:rPr>
                <w:noProof/>
                <w:szCs w:val="20"/>
                <w:lang w:val="de-DE"/>
              </w:rPr>
            </w:pPr>
            <w:r w:rsidRPr="00170422">
              <w:rPr>
                <w:noProof/>
                <w:lang w:val="de-DE"/>
              </w:rPr>
              <w:t>Marktüberwachung:</w:t>
            </w:r>
          </w:p>
          <w:p w14:paraId="2EDA95F4"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XVII.</w:t>
            </w:r>
            <w:r w:rsidRPr="00170422">
              <w:rPr>
                <w:noProof/>
                <w:lang w:val="de-DE"/>
              </w:rPr>
              <w:t xml:space="preserve"> </w:t>
            </w:r>
            <w:r w:rsidRPr="00170422">
              <w:rPr>
                <w:noProof/>
                <w:color w:val="006100"/>
                <w:sz w:val="20"/>
                <w:lang w:val="de-DE"/>
              </w:rPr>
              <w:t>Konsolidierung der nationalen Marktüberwachungsbehörden in höchstens zehn Agenturen</w:t>
            </w:r>
            <w:r w:rsidRPr="00170422">
              <w:rPr>
                <w:noProof/>
                <w:color w:val="006100"/>
                <w:sz w:val="20"/>
                <w:lang w:val="de-DE"/>
              </w:rPr>
              <w:t xml:space="preserve"> in den wichtigsten Regionen Italiens, wobei jede von ihnen alle Produktgruppen abdeckt und dem gemäß der Verordnung (EU) 2019/1020 eingerichteten zentralen Verbindungsbeamten („Warenpaket“) Bericht erstattet.</w:t>
            </w:r>
          </w:p>
          <w:p w14:paraId="12B788A3"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XVIII.</w:t>
            </w:r>
            <w:r w:rsidRPr="00170422">
              <w:rPr>
                <w:noProof/>
                <w:lang w:val="de-DE"/>
              </w:rPr>
              <w:t xml:space="preserve"> </w:t>
            </w:r>
            <w:r w:rsidRPr="00170422">
              <w:rPr>
                <w:noProof/>
                <w:color w:val="006100"/>
                <w:sz w:val="20"/>
                <w:lang w:val="de-DE"/>
              </w:rPr>
              <w:t>Die nationalen Marktüberwachungsbehörde</w:t>
            </w:r>
            <w:r w:rsidRPr="00170422">
              <w:rPr>
                <w:noProof/>
                <w:color w:val="006100"/>
                <w:sz w:val="20"/>
                <w:lang w:val="de-DE"/>
              </w:rPr>
              <w:t>n zu verpflichten, digitalisierte Produktinspektionen und -daten durchzuführen, künstliche Intelligenz anzuwenden, um gefährliche und illegale Produkte aufzuspüren und Trends und Risiken im Binnenmarkt zu ermitteln.</w:t>
            </w:r>
          </w:p>
          <w:p w14:paraId="26018446"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XIX.</w:t>
            </w:r>
            <w:r w:rsidRPr="00170422">
              <w:rPr>
                <w:noProof/>
                <w:lang w:val="de-DE"/>
              </w:rPr>
              <w:t xml:space="preserve"> </w:t>
            </w:r>
            <w:r w:rsidRPr="00170422">
              <w:rPr>
                <w:noProof/>
                <w:color w:val="006100"/>
                <w:sz w:val="20"/>
                <w:lang w:val="de-DE"/>
              </w:rPr>
              <w:t>Die nationalen Marktüberwachungsbeh</w:t>
            </w:r>
            <w:r w:rsidRPr="00170422">
              <w:rPr>
                <w:noProof/>
                <w:color w:val="006100"/>
                <w:sz w:val="20"/>
                <w:lang w:val="de-DE"/>
              </w:rPr>
              <w:t>örden dazu verpflichten, Schulungen und die Nutzung des Informations- und Kommunikationssystems für die europaweite Marktüberwachung vorzusehen.</w:t>
            </w:r>
          </w:p>
          <w:p w14:paraId="233C279B"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XX.</w:t>
            </w:r>
            <w:r w:rsidRPr="00170422">
              <w:rPr>
                <w:noProof/>
                <w:lang w:val="de-DE"/>
              </w:rPr>
              <w:t xml:space="preserve"> </w:t>
            </w:r>
            <w:r w:rsidRPr="00170422">
              <w:rPr>
                <w:noProof/>
                <w:color w:val="006100"/>
                <w:sz w:val="20"/>
                <w:lang w:val="de-DE"/>
              </w:rPr>
              <w:t xml:space="preserve">Einrichtung neuer akkreditierter Laboratorien für Produkttests für alle Produktgruppen. Diese Laboratorien </w:t>
            </w:r>
            <w:r w:rsidRPr="00170422">
              <w:rPr>
                <w:noProof/>
                <w:color w:val="006100"/>
                <w:sz w:val="20"/>
                <w:lang w:val="de-DE"/>
              </w:rPr>
              <w:t>führen Tests des elektronischen Handels, physische Laboruntersuchungen und gemeinsame Maßnahmen durch (Zoll-/Marktüberwachungsbehörden; zwei oder mehr nationale Marktüberwachungsbehörden, nationale und EU-Marktbehörden).</w:t>
            </w:r>
          </w:p>
        </w:tc>
      </w:tr>
      <w:tr w:rsidR="0057163C" w:rsidRPr="00170422" w14:paraId="771C2914"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7A4BB317" w14:textId="77777777" w:rsidR="0057163C" w:rsidRPr="00170422" w:rsidRDefault="00F37BF9">
            <w:pPr>
              <w:pStyle w:val="P68B1DB1-Normal11"/>
              <w:spacing w:before="120" w:after="120"/>
              <w:jc w:val="center"/>
              <w:rPr>
                <w:noProof/>
                <w:szCs w:val="20"/>
                <w:lang w:val="de-DE"/>
              </w:rPr>
            </w:pPr>
            <w:r w:rsidRPr="00170422">
              <w:rPr>
                <w:noProof/>
                <w:lang w:val="de-DE"/>
              </w:rPr>
              <w:t>M1C2-7</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45227B6E" w14:textId="77777777" w:rsidR="0057163C" w:rsidRPr="00170422" w:rsidRDefault="00F37BF9">
            <w:pPr>
              <w:pStyle w:val="P68B1DB1-Normal11"/>
              <w:spacing w:before="120" w:after="120"/>
              <w:jc w:val="center"/>
              <w:rPr>
                <w:noProof/>
                <w:szCs w:val="20"/>
                <w:lang w:val="de-DE"/>
              </w:rPr>
            </w:pPr>
            <w:r w:rsidRPr="00170422">
              <w:rPr>
                <w:noProof/>
                <w:lang w:val="de-DE"/>
              </w:rPr>
              <w:t xml:space="preserve">Reform 2: Jährliche </w:t>
            </w:r>
            <w:r w:rsidRPr="00170422">
              <w:rPr>
                <w:noProof/>
                <w:lang w:val="de-DE"/>
              </w:rPr>
              <w:t>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E61163"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335E86B" w14:textId="77777777" w:rsidR="0057163C" w:rsidRPr="00170422" w:rsidRDefault="00F37BF9">
            <w:pPr>
              <w:pStyle w:val="P68B1DB1-Normal11"/>
              <w:spacing w:before="120" w:after="120"/>
              <w:jc w:val="center"/>
              <w:rPr>
                <w:noProof/>
                <w:szCs w:val="20"/>
                <w:lang w:val="de-DE"/>
              </w:rPr>
            </w:pPr>
            <w:r w:rsidRPr="00170422">
              <w:rPr>
                <w:noProof/>
                <w:lang w:val="de-DE"/>
              </w:rPr>
              <w:t>Inkrafttreten aller energiebezogenen Durchführungsmaßnahmen und des abgeleiteten Rechts (falls erforderlich)</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6222876" w14:textId="77777777" w:rsidR="0057163C" w:rsidRPr="00170422" w:rsidRDefault="00F37BF9">
            <w:pPr>
              <w:pStyle w:val="P68B1DB1-Normal11"/>
              <w:spacing w:before="120" w:after="120"/>
              <w:jc w:val="center"/>
              <w:rPr>
                <w:noProof/>
                <w:szCs w:val="20"/>
                <w:lang w:val="de-DE"/>
              </w:rPr>
            </w:pPr>
            <w:r w:rsidRPr="00170422">
              <w:rPr>
                <w:noProof/>
                <w:lang w:val="de-DE"/>
              </w:rPr>
              <w:t>Inkrafttreten aller energiebezogenen Durchführungsmaßnahmen und des abgeleiteten Rechts (falls erforderlich)</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7771DAA" w14:textId="77777777" w:rsidR="0057163C" w:rsidRPr="00170422" w:rsidRDefault="00F37BF9">
            <w:pPr>
              <w:pStyle w:val="P68B1DB1-Normal11"/>
              <w:spacing w:before="120" w:after="120"/>
              <w:jc w:val="center"/>
              <w:rPr>
                <w:noProof/>
                <w:szCs w:val="20"/>
                <w:lang w:val="de-DE"/>
              </w:rPr>
            </w:pPr>
            <w:r w:rsidRPr="00170422">
              <w:rPr>
                <w:noProof/>
                <w:lang w:val="de-DE"/>
              </w:rPr>
              <w:t>ENTFÄLL</w:t>
            </w:r>
            <w:r w:rsidRPr="00170422">
              <w:rPr>
                <w:noProof/>
                <w:lang w:val="de-DE"/>
              </w:rPr>
              <w:t>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FBA0B0E"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F46DB26"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C520A16"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259BA31" w14:textId="77777777" w:rsidR="0057163C" w:rsidRPr="00170422" w:rsidRDefault="00F37BF9">
            <w:pPr>
              <w:pStyle w:val="P68B1DB1-Normal11"/>
              <w:spacing w:before="120" w:after="120"/>
              <w:jc w:val="center"/>
              <w:rPr>
                <w:noProof/>
                <w:szCs w:val="20"/>
                <w:lang w:val="de-DE"/>
              </w:rPr>
            </w:pPr>
            <w:r w:rsidRPr="00170422">
              <w:rPr>
                <w:noProof/>
                <w:lang w:val="de-DE"/>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2748DF97" w14:textId="77777777" w:rsidR="0057163C" w:rsidRPr="00170422" w:rsidRDefault="00F37BF9">
            <w:pPr>
              <w:pStyle w:val="P68B1DB1-Normal11"/>
              <w:spacing w:before="120" w:after="120"/>
              <w:rPr>
                <w:noProof/>
                <w:szCs w:val="20"/>
                <w:lang w:val="de-DE"/>
              </w:rPr>
            </w:pPr>
            <w:r w:rsidRPr="00170422">
              <w:rPr>
                <w:noProof/>
                <w:lang w:val="de-DE"/>
              </w:rPr>
              <w:t>Inkrafttreten aller energiebezogenen Durchführungsmaßnahmen und des abgeleiteten Rechts (falls erforderlich), um</w:t>
            </w:r>
          </w:p>
          <w:p w14:paraId="31B66C03"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I.</w:t>
            </w:r>
            <w:r w:rsidRPr="00170422">
              <w:rPr>
                <w:noProof/>
                <w:color w:val="006100"/>
                <w:sz w:val="20"/>
                <w:lang w:val="de-DE"/>
              </w:rPr>
              <w:t xml:space="preserve"> Die regulierten Preise für Kleinstunternehmen und Haushalte werden ab dem 1. Januar 2023 schrittweise abgeschafft.</w:t>
            </w:r>
          </w:p>
          <w:p w14:paraId="3E5A85DB" w14:textId="77777777" w:rsidR="0057163C" w:rsidRPr="00170422" w:rsidRDefault="00F37BF9">
            <w:pPr>
              <w:pStyle w:val="P68B1DB1-Normal30"/>
              <w:spacing w:before="120" w:after="120"/>
              <w:rPr>
                <w:noProof/>
                <w:color w:val="006100"/>
                <w:sz w:val="20"/>
                <w:szCs w:val="20"/>
                <w:lang w:val="de-DE"/>
              </w:rPr>
            </w:pPr>
            <w:r w:rsidRPr="00170422">
              <w:rPr>
                <w:noProof/>
                <w:color w:val="006100"/>
                <w:sz w:val="20"/>
                <w:lang w:val="de-DE"/>
              </w:rPr>
              <w:t>II.</w:t>
            </w:r>
            <w:r w:rsidRPr="00170422">
              <w:rPr>
                <w:noProof/>
                <w:lang w:val="de-DE"/>
              </w:rPr>
              <w:t xml:space="preserve"> </w:t>
            </w:r>
            <w:r w:rsidRPr="00170422">
              <w:rPr>
                <w:noProof/>
                <w:color w:val="006100"/>
                <w:sz w:val="20"/>
                <w:lang w:val="de-DE"/>
              </w:rPr>
              <w:t>Flankierende Maßnahmen ergreifen, um die Einführung des Wettbewerbs auf den Stromeinzelhandelsmärkten zu fördern.</w:t>
            </w:r>
          </w:p>
          <w:p w14:paraId="31CE0970" w14:textId="77777777" w:rsidR="0057163C" w:rsidRPr="00170422" w:rsidRDefault="00F37BF9">
            <w:pPr>
              <w:pStyle w:val="P68B1DB1-Normal11"/>
              <w:spacing w:before="120" w:after="120"/>
              <w:rPr>
                <w:noProof/>
                <w:szCs w:val="20"/>
                <w:lang w:val="de-DE"/>
              </w:rPr>
            </w:pPr>
            <w:r w:rsidRPr="00170422">
              <w:rPr>
                <w:noProof/>
                <w:lang w:val="de-DE"/>
              </w:rPr>
              <w:t>Die flankierenden Maßn</w:t>
            </w:r>
            <w:r w:rsidRPr="00170422">
              <w:rPr>
                <w:noProof/>
                <w:lang w:val="de-DE"/>
              </w:rPr>
              <w:t>ahmen, mit denen die Einführung des Wettbewerbs auf den Stromeinzelhandelsmärkten sichergestellt werden soll, müssen mindestens Folgendes vorsehen:</w:t>
            </w:r>
          </w:p>
          <w:p w14:paraId="484CD039" w14:textId="77777777" w:rsidR="0057163C" w:rsidRPr="00170422" w:rsidRDefault="00F37BF9">
            <w:pPr>
              <w:pStyle w:val="P68B1DB1-Normal11"/>
              <w:spacing w:before="120" w:after="120"/>
              <w:rPr>
                <w:noProof/>
                <w:szCs w:val="20"/>
                <w:lang w:val="de-DE"/>
              </w:rPr>
            </w:pPr>
            <w:r w:rsidRPr="00170422">
              <w:rPr>
                <w:noProof/>
                <w:lang w:val="de-DE"/>
              </w:rPr>
              <w:t>— Die Kundenbasis zu versteigern, um gleiche Wettbewerbsbedingungen für neue Marktteilnehmer zu schaffen.</w:t>
            </w:r>
          </w:p>
          <w:p w14:paraId="45DCFFEF" w14:textId="77777777" w:rsidR="0057163C" w:rsidRPr="00170422" w:rsidRDefault="00F37BF9">
            <w:pPr>
              <w:pStyle w:val="P68B1DB1-Normal11"/>
              <w:spacing w:before="120" w:after="120"/>
              <w:rPr>
                <w:noProof/>
                <w:szCs w:val="20"/>
                <w:lang w:val="de-DE"/>
              </w:rPr>
            </w:pPr>
            <w:r w:rsidRPr="00170422">
              <w:rPr>
                <w:noProof/>
                <w:lang w:val="de-DE"/>
              </w:rPr>
              <w:t xml:space="preserve">— </w:t>
            </w:r>
            <w:r w:rsidRPr="00170422">
              <w:rPr>
                <w:noProof/>
                <w:lang w:val="de-DE"/>
              </w:rPr>
              <w:t>Festsetzung einer Obergrenze als maximaler Marktanteil, der jedem Lieferanten zur Verfügung steht;</w:t>
            </w:r>
          </w:p>
          <w:p w14:paraId="4A535CE0" w14:textId="77777777" w:rsidR="0057163C" w:rsidRPr="00170422" w:rsidRDefault="00F37BF9">
            <w:pPr>
              <w:pStyle w:val="P68B1DB1-Normal11"/>
              <w:spacing w:before="120" w:after="120"/>
              <w:rPr>
                <w:noProof/>
                <w:szCs w:val="20"/>
                <w:lang w:val="de-DE"/>
              </w:rPr>
            </w:pPr>
            <w:r w:rsidRPr="00170422">
              <w:rPr>
                <w:noProof/>
                <w:lang w:val="de-DE"/>
              </w:rPr>
              <w:t>— Italienischen Verbrauchern die Möglichkeit geben, von ihrem Energieversorger die Offenlegung ihrer Abrechnungsdaten gegenüber Drittanbietern zu verlangen;</w:t>
            </w:r>
          </w:p>
          <w:p w14:paraId="7B1ECA2C" w14:textId="77777777" w:rsidR="0057163C" w:rsidRPr="00170422" w:rsidRDefault="00F37BF9">
            <w:pPr>
              <w:pStyle w:val="P68B1DB1-Normal11"/>
              <w:spacing w:before="120" w:after="120"/>
              <w:rPr>
                <w:noProof/>
                <w:szCs w:val="20"/>
                <w:lang w:val="de-DE"/>
              </w:rPr>
            </w:pPr>
            <w:r w:rsidRPr="00170422">
              <w:rPr>
                <w:noProof/>
                <w:lang w:val="de-DE"/>
              </w:rPr>
              <w:t>— Die Transparenz der Stromrechnung zu erhöhen, indem den Verbrauchern Zugang zu den Teilkomponenten des „Spesi per oneri di sistema“ gewährt wird;</w:t>
            </w:r>
          </w:p>
          <w:p w14:paraId="673F0127" w14:textId="77777777" w:rsidR="0057163C" w:rsidRPr="00170422" w:rsidRDefault="00F37BF9">
            <w:pPr>
              <w:pStyle w:val="P68B1DB1-Normal11"/>
              <w:spacing w:before="120" w:after="120"/>
              <w:rPr>
                <w:noProof/>
                <w:szCs w:val="20"/>
                <w:lang w:val="de-DE"/>
              </w:rPr>
            </w:pPr>
            <w:r w:rsidRPr="00170422">
              <w:rPr>
                <w:noProof/>
                <w:lang w:val="de-DE"/>
              </w:rPr>
              <w:t>— Die Verpflichtung der Versorger, Gebühren zu erheben, die nichts mit dem Energiesektor zu tun haben, aufzu</w:t>
            </w:r>
            <w:r w:rsidRPr="00170422">
              <w:rPr>
                <w:noProof/>
                <w:lang w:val="de-DE"/>
              </w:rPr>
              <w:t>heben.</w:t>
            </w:r>
          </w:p>
        </w:tc>
      </w:tr>
      <w:tr w:rsidR="0057163C" w:rsidRPr="00170422" w14:paraId="53226163"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E60E465" w14:textId="77777777" w:rsidR="0057163C" w:rsidRPr="00170422" w:rsidRDefault="00F37BF9">
            <w:pPr>
              <w:pStyle w:val="P68B1DB1-Normal11"/>
              <w:spacing w:before="120" w:after="120"/>
              <w:jc w:val="center"/>
              <w:rPr>
                <w:noProof/>
                <w:szCs w:val="20"/>
                <w:lang w:val="de-DE"/>
              </w:rPr>
            </w:pPr>
            <w:r w:rsidRPr="00170422">
              <w:rPr>
                <w:noProof/>
                <w:lang w:val="de-DE"/>
              </w:rPr>
              <w:t>M1C2-8</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626C18C" w14:textId="77777777" w:rsidR="0057163C" w:rsidRPr="00170422" w:rsidRDefault="00F37BF9">
            <w:pPr>
              <w:pStyle w:val="P68B1DB1-Normal11"/>
              <w:spacing w:before="120" w:after="120"/>
              <w:jc w:val="center"/>
              <w:rPr>
                <w:noProof/>
                <w:szCs w:val="20"/>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7DBDCF2"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8B7F586" w14:textId="77777777" w:rsidR="0057163C" w:rsidRPr="00170422" w:rsidRDefault="00F37BF9">
            <w:pPr>
              <w:pStyle w:val="P68B1DB1-Normal11"/>
              <w:spacing w:before="120" w:after="120"/>
              <w:jc w:val="center"/>
              <w:rPr>
                <w:noProof/>
                <w:szCs w:val="20"/>
                <w:lang w:val="de-DE"/>
              </w:rPr>
            </w:pPr>
            <w:r w:rsidRPr="00170422">
              <w:rPr>
                <w:noProof/>
                <w:lang w:val="de-DE"/>
              </w:rPr>
              <w:t>Inkrafttreten aller Durchführungsmaßnahmen (gegebenenfalls einschließlich abgeleiteter Rechtsvorschriften) für die wirksame Umsetzung und Anwendung der Maßnahmen, die sich aus dem jährlichen</w:t>
            </w:r>
            <w:r w:rsidRPr="00170422">
              <w:rPr>
                <w:noProof/>
                <w:lang w:val="de-DE"/>
              </w:rPr>
              <w:t xml:space="preserve"> Wettbewerbsrecht 2021 ergeben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452E5B4" w14:textId="77777777" w:rsidR="0057163C" w:rsidRPr="00170422" w:rsidRDefault="00F37BF9">
            <w:pPr>
              <w:pStyle w:val="P68B1DB1-Normal11"/>
              <w:spacing w:before="120" w:after="120"/>
              <w:jc w:val="center"/>
              <w:rPr>
                <w:noProof/>
                <w:szCs w:val="20"/>
                <w:lang w:val="de-DE"/>
              </w:rPr>
            </w:pPr>
            <w:r w:rsidRPr="00170422">
              <w:rPr>
                <w:noProof/>
                <w:lang w:val="de-DE"/>
              </w:rPr>
              <w:t>Inkrafttreten aller abgeleiteten Rechtsvorschriften, einschließlich aller erforderlichen Verordnungen für Maßnahmen, die sich aus dem jährlichen Wettbewerbsrecht 2021 ergeben</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5B4303EE"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4FA9DA0"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D7DC6A4"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D3A27F1"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1B2264" w14:textId="77777777" w:rsidR="0057163C" w:rsidRPr="00170422" w:rsidRDefault="00F37BF9">
            <w:pPr>
              <w:pStyle w:val="P68B1DB1-Normal11"/>
              <w:spacing w:before="120" w:after="120"/>
              <w:jc w:val="center"/>
              <w:rPr>
                <w:noProof/>
                <w:szCs w:val="20"/>
                <w:lang w:val="de-DE"/>
              </w:rPr>
            </w:pPr>
            <w:r w:rsidRPr="00170422">
              <w:rPr>
                <w:noProof/>
                <w:lang w:val="de-DE"/>
              </w:rPr>
              <w:t>2022</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B032800" w14:textId="77777777" w:rsidR="0057163C" w:rsidRPr="00170422" w:rsidRDefault="00F37BF9">
            <w:pPr>
              <w:pStyle w:val="P68B1DB1-Normal11"/>
              <w:spacing w:before="120" w:after="120"/>
              <w:rPr>
                <w:noProof/>
                <w:szCs w:val="20"/>
                <w:lang w:val="de-DE"/>
              </w:rPr>
            </w:pPr>
            <w:r w:rsidRPr="00170422">
              <w:rPr>
                <w:noProof/>
                <w:lang w:val="de-DE"/>
              </w:rPr>
              <w:t>Inkr</w:t>
            </w:r>
            <w:r w:rsidRPr="00170422">
              <w:rPr>
                <w:noProof/>
                <w:lang w:val="de-DE"/>
              </w:rPr>
              <w:t>afttreten aller Durchführungsmaßnahmen (gegebenenfalls einschließlich abgeleiteter Rechtsvorschriften) für die wirksame Umsetzung und Anwendung der Maßnahmen, die sich aus dem jährlichen Wettbewerbsrecht 2021 ergeben.</w:t>
            </w:r>
          </w:p>
        </w:tc>
      </w:tr>
      <w:tr w:rsidR="0057163C" w:rsidRPr="00170422" w14:paraId="69B0E160"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8FF078D" w14:textId="77777777" w:rsidR="0057163C" w:rsidRPr="00170422" w:rsidRDefault="00F37BF9">
            <w:pPr>
              <w:pStyle w:val="P68B1DB1-Normal11"/>
              <w:spacing w:before="120" w:after="120"/>
              <w:jc w:val="center"/>
              <w:rPr>
                <w:noProof/>
                <w:szCs w:val="20"/>
                <w:lang w:val="de-DE"/>
              </w:rPr>
            </w:pPr>
            <w:r w:rsidRPr="00170422">
              <w:rPr>
                <w:noProof/>
                <w:lang w:val="de-DE"/>
              </w:rPr>
              <w:t>M1C2-9</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1AD19E57" w14:textId="77777777" w:rsidR="0057163C" w:rsidRPr="00170422" w:rsidRDefault="00F37BF9">
            <w:pPr>
              <w:pStyle w:val="P68B1DB1-Normal11"/>
              <w:spacing w:before="120" w:after="120"/>
              <w:jc w:val="center"/>
              <w:rPr>
                <w:noProof/>
                <w:szCs w:val="20"/>
                <w:lang w:val="de-DE"/>
              </w:rPr>
            </w:pPr>
            <w:r w:rsidRPr="00170422">
              <w:rPr>
                <w:noProof/>
                <w:lang w:val="de-DE"/>
              </w:rPr>
              <w:t xml:space="preserve">Reform 2: Jährliche </w:t>
            </w:r>
            <w:r w:rsidRPr="00170422">
              <w:rPr>
                <w:noProof/>
                <w:lang w:val="de-DE"/>
              </w:rPr>
              <w:t>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6B43B94"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B5EA402" w14:textId="77777777" w:rsidR="0057163C" w:rsidRPr="00170422" w:rsidRDefault="00F37BF9">
            <w:pPr>
              <w:pStyle w:val="P68B1DB1-Normal11"/>
              <w:spacing w:before="120" w:after="120"/>
              <w:jc w:val="center"/>
              <w:rPr>
                <w:noProof/>
                <w:szCs w:val="20"/>
                <w:lang w:val="de-DE"/>
              </w:rPr>
            </w:pPr>
            <w:r w:rsidRPr="00170422">
              <w:rPr>
                <w:noProof/>
                <w:lang w:val="de-DE"/>
              </w:rPr>
              <w:t>Inkrafttreten des jährlichen Wettbewerbsgesetzes 2022</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8C6DBAE" w14:textId="77777777" w:rsidR="0057163C" w:rsidRPr="00170422" w:rsidRDefault="00F37BF9">
            <w:pPr>
              <w:pStyle w:val="P68B1DB1-Normal11"/>
              <w:spacing w:before="120" w:after="120"/>
              <w:jc w:val="center"/>
              <w:rPr>
                <w:noProof/>
                <w:szCs w:val="20"/>
                <w:lang w:val="de-DE"/>
              </w:rPr>
            </w:pPr>
            <w:r w:rsidRPr="00170422">
              <w:rPr>
                <w:noProof/>
                <w:lang w:val="de-DE"/>
              </w:rPr>
              <w:t>Bestimmung über das Inkrafttreten des jährlichen Wettbewerbsgesetzes 2022.</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FE6A542"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4E5EC957"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55EEBE5"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58C6923"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6AA3F5A" w14:textId="77777777" w:rsidR="0057163C" w:rsidRPr="00170422" w:rsidRDefault="00F37BF9">
            <w:pPr>
              <w:pStyle w:val="P68B1DB1-Normal11"/>
              <w:spacing w:before="120" w:after="120"/>
              <w:jc w:val="center"/>
              <w:rPr>
                <w:noProof/>
                <w:szCs w:val="20"/>
                <w:lang w:val="de-DE"/>
              </w:rPr>
            </w:pPr>
            <w:r w:rsidRPr="00170422">
              <w:rPr>
                <w:noProof/>
                <w:lang w:val="de-DE"/>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3C4D3F28" w14:textId="0E102418" w:rsidR="0057163C" w:rsidRPr="00170422" w:rsidRDefault="00F37BF9">
            <w:pPr>
              <w:spacing w:after="120"/>
              <w:rPr>
                <w:rFonts w:ascii="Arial Narrow" w:hAnsi="Arial Narrow"/>
                <w:noProof/>
                <w:color w:val="006100"/>
                <w:sz w:val="20"/>
                <w:szCs w:val="20"/>
                <w:lang w:val="de-DE"/>
              </w:rPr>
            </w:pPr>
            <w:r w:rsidRPr="00170422">
              <w:rPr>
                <w:rFonts w:ascii="Arial Narrow" w:hAnsi="Arial Narrow"/>
                <w:noProof/>
                <w:color w:val="006100"/>
                <w:sz w:val="20"/>
                <w:lang w:val="de-DE"/>
              </w:rPr>
              <w:t xml:space="preserve">Inkrafttreten des jährlichen Wettbewerbsrechts </w:t>
            </w:r>
            <w:r w:rsidRPr="00170422">
              <w:rPr>
                <w:rFonts w:ascii="Arial Narrow" w:hAnsi="Arial Narrow"/>
                <w:noProof/>
                <w:color w:val="006100"/>
                <w:sz w:val="20"/>
                <w:lang w:val="de-DE"/>
              </w:rPr>
              <w:t>2022</w:t>
            </w:r>
            <w:r w:rsidRPr="00170422">
              <w:rPr>
                <w:noProof/>
                <w:lang w:val="de-DE"/>
              </w:rPr>
              <w:t xml:space="preserve"> </w:t>
            </w:r>
            <w:r w:rsidRPr="00170422">
              <w:rPr>
                <w:noProof/>
                <w:lang w:val="de-DE"/>
              </w:rPr>
              <w:br/>
            </w:r>
            <w:r w:rsidRPr="00170422">
              <w:rPr>
                <w:rFonts w:ascii="Arial Narrow" w:hAnsi="Arial Narrow"/>
                <w:noProof/>
                <w:color w:val="006100"/>
                <w:sz w:val="20"/>
                <w:lang w:val="de-DE"/>
              </w:rPr>
              <w:t>Das jährliche Wettbewerbsrecht umfasst mindestens die folgenden Schlüsselelemente, deren Durchführungsmaßnahmen und (falls erforderlich) abgeleitete Rechtsvorschriften spätestens am 31. Dezember 2023 erlassen werden und in Kraft treten.</w:t>
            </w:r>
          </w:p>
          <w:p w14:paraId="7A7CA4BD" w14:textId="77777777" w:rsidR="0057163C" w:rsidRPr="00170422" w:rsidRDefault="00F37BF9">
            <w:pPr>
              <w:pStyle w:val="P68B1DB1-Normal11"/>
              <w:spacing w:before="120" w:after="120"/>
              <w:rPr>
                <w:noProof/>
                <w:szCs w:val="20"/>
                <w:lang w:val="de-DE"/>
              </w:rPr>
            </w:pPr>
            <w:r w:rsidRPr="00170422">
              <w:rPr>
                <w:noProof/>
                <w:lang w:val="de-DE"/>
              </w:rPr>
              <w:t xml:space="preserve">Er muss: </w:t>
            </w:r>
          </w:p>
          <w:p w14:paraId="1AC8E43E" w14:textId="2D791378" w:rsidR="0057163C" w:rsidRPr="00170422" w:rsidRDefault="00F37BF9">
            <w:pPr>
              <w:pStyle w:val="P68B1DB1-Normal11"/>
              <w:spacing w:before="120" w:after="120"/>
              <w:rPr>
                <w:noProof/>
                <w:szCs w:val="20"/>
                <w:lang w:val="de-DE"/>
              </w:rPr>
            </w:pPr>
            <w:r w:rsidRPr="00170422">
              <w:rPr>
                <w:b/>
                <w:noProof/>
                <w:lang w:val="de-DE"/>
              </w:rPr>
              <w:t>I)</w:t>
            </w:r>
            <w:r w:rsidRPr="00170422">
              <w:rPr>
                <w:noProof/>
                <w:lang w:val="de-DE"/>
              </w:rPr>
              <w:t xml:space="preserve"> </w:t>
            </w:r>
            <w:r w:rsidRPr="00170422">
              <w:rPr>
                <w:noProof/>
                <w:lang w:val="de-DE"/>
              </w:rPr>
              <w:t>Einführung eines klaren Verfahrens für die Annahme des Elektrizitätsnetzentwicklungsplans für das nächste Jahrzehnt</w:t>
            </w:r>
            <w:r w:rsidR="00F27D70" w:rsidRPr="00170422">
              <w:rPr>
                <w:noProof/>
                <w:lang w:val="de-DE"/>
              </w:rPr>
              <w:t xml:space="preserve"> </w:t>
            </w:r>
            <w:r w:rsidRPr="00170422">
              <w:rPr>
                <w:b/>
                <w:noProof/>
                <w:lang w:val="de-DE"/>
              </w:rPr>
              <w:t xml:space="preserve">innerhalb </w:t>
            </w:r>
            <w:r w:rsidRPr="00170422">
              <w:rPr>
                <w:noProof/>
                <w:lang w:val="de-DE"/>
              </w:rPr>
              <w:t>vorab festgelegter Fristen, in jedem Fall aber bis zum 31. Dezember des betreffenden Zeitraums (alle zwei Jahre)(*), der den Absch</w:t>
            </w:r>
            <w:r w:rsidRPr="00170422">
              <w:rPr>
                <w:noProof/>
                <w:lang w:val="de-DE"/>
              </w:rPr>
              <w:t>luss des Verfahrens gewährleistet und das Genehmigungsverfahren vereinfacht.</w:t>
            </w:r>
          </w:p>
          <w:p w14:paraId="27E8E27C" w14:textId="77777777" w:rsidR="0057163C" w:rsidRPr="00170422" w:rsidRDefault="00F37BF9">
            <w:pPr>
              <w:pStyle w:val="P68B1DB1-Normal11"/>
              <w:spacing w:before="120" w:after="120"/>
              <w:rPr>
                <w:noProof/>
                <w:szCs w:val="20"/>
                <w:lang w:val="de-DE"/>
              </w:rPr>
            </w:pPr>
            <w:r w:rsidRPr="00170422">
              <w:rPr>
                <w:noProof/>
                <w:lang w:val="de-DE"/>
              </w:rPr>
              <w:t>(*) Der Elektrizitätsnetzentwicklungsplan 2021 wird bis zum 31. Dezember 2023 angenommen.</w:t>
            </w:r>
          </w:p>
          <w:p w14:paraId="2C457F39" w14:textId="5662F5B5" w:rsidR="0057163C" w:rsidRPr="00170422" w:rsidRDefault="00F37BF9">
            <w:pPr>
              <w:pStyle w:val="P68B1DB1-Normal11"/>
              <w:spacing w:before="120" w:after="120"/>
              <w:rPr>
                <w:noProof/>
                <w:szCs w:val="20"/>
                <w:lang w:val="de-DE"/>
              </w:rPr>
            </w:pPr>
            <w:r w:rsidRPr="00170422">
              <w:rPr>
                <w:noProof/>
                <w:lang w:val="de-DE"/>
              </w:rPr>
              <w:t>die Einführung intelligenter Stromzähler der</w:t>
            </w:r>
            <w:r w:rsidR="00F27D70" w:rsidRPr="00170422">
              <w:rPr>
                <w:noProof/>
                <w:lang w:val="de-DE"/>
              </w:rPr>
              <w:t xml:space="preserve"> zweiten</w:t>
            </w:r>
            <w:r w:rsidRPr="00170422">
              <w:rPr>
                <w:noProof/>
                <w:lang w:val="de-DE"/>
              </w:rPr>
              <w:t xml:space="preserve"> Generation zu </w:t>
            </w:r>
            <w:r w:rsidRPr="00170422">
              <w:rPr>
                <w:bCs/>
                <w:noProof/>
                <w:lang w:val="de-DE"/>
              </w:rPr>
              <w:t>fördern</w:t>
            </w:r>
            <w:r w:rsidRPr="00170422">
              <w:rPr>
                <w:noProof/>
                <w:lang w:val="de-DE"/>
              </w:rPr>
              <w:t xml:space="preserve">; </w:t>
            </w:r>
          </w:p>
          <w:p w14:paraId="012E6ED3" w14:textId="77777777" w:rsidR="0057163C" w:rsidRPr="00170422" w:rsidRDefault="00F37BF9">
            <w:pPr>
              <w:pStyle w:val="P68B1DB1-Normal31"/>
              <w:rPr>
                <w:bCs/>
                <w:noProof/>
                <w:szCs w:val="20"/>
                <w:lang w:val="de-DE"/>
              </w:rPr>
            </w:pPr>
            <w:r w:rsidRPr="00170422">
              <w:rPr>
                <w:noProof/>
                <w:lang w:val="de-DE"/>
              </w:rPr>
              <w:t>Kartellrecht</w:t>
            </w:r>
            <w:r w:rsidRPr="00170422">
              <w:rPr>
                <w:noProof/>
                <w:lang w:val="de-DE"/>
              </w:rPr>
              <w:t>:</w:t>
            </w:r>
          </w:p>
          <w:p w14:paraId="6D5E4235" w14:textId="77777777" w:rsidR="0057163C" w:rsidRPr="00170422" w:rsidRDefault="00F37BF9">
            <w:pPr>
              <w:pStyle w:val="P68B1DB1-Normal11"/>
              <w:rPr>
                <w:bCs/>
                <w:noProof/>
                <w:szCs w:val="20"/>
                <w:lang w:val="de-DE"/>
              </w:rPr>
            </w:pPr>
            <w:r w:rsidRPr="00170422">
              <w:rPr>
                <w:b/>
                <w:noProof/>
                <w:lang w:val="de-DE"/>
              </w:rPr>
              <w:t>III)</w:t>
            </w:r>
            <w:r w:rsidRPr="00170422">
              <w:rPr>
                <w:noProof/>
                <w:lang w:val="de-DE"/>
              </w:rPr>
              <w:t xml:space="preserve"> die Dauer der Prüfung durch die italienische Wettbewerbsbehörde (</w:t>
            </w:r>
            <w:r w:rsidRPr="00170422">
              <w:rPr>
                <w:i/>
                <w:noProof/>
                <w:lang w:val="de-DE"/>
              </w:rPr>
              <w:t>Autorità Garante della Concorrenza e del Mercato</w:t>
            </w:r>
            <w:r w:rsidRPr="00170422">
              <w:rPr>
                <w:noProof/>
                <w:lang w:val="de-DE"/>
              </w:rPr>
              <w:t>) von Zusammenschlüssen, die den wirksamen Wettbewerb gemäß Artikel 6 des Gesetzes 287/1990 erheblich behindern können, von 45 Tagen auf</w:t>
            </w:r>
            <w:r w:rsidRPr="00170422">
              <w:rPr>
                <w:noProof/>
                <w:lang w:val="de-DE"/>
              </w:rPr>
              <w:t xml:space="preserve"> 90 Tage zu verlängern.</w:t>
            </w:r>
          </w:p>
          <w:p w14:paraId="541ED5E1" w14:textId="77777777" w:rsidR="0057163C" w:rsidRPr="00170422" w:rsidRDefault="00F37BF9">
            <w:pPr>
              <w:pStyle w:val="P68B1DB1-Normal31"/>
              <w:rPr>
                <w:bCs/>
                <w:noProof/>
                <w:szCs w:val="20"/>
                <w:lang w:val="de-DE"/>
              </w:rPr>
            </w:pPr>
            <w:r w:rsidRPr="00170422">
              <w:rPr>
                <w:noProof/>
                <w:lang w:val="de-DE"/>
              </w:rPr>
              <w:t>Einzelhandel:</w:t>
            </w:r>
          </w:p>
          <w:p w14:paraId="3DFFEA09" w14:textId="77777777" w:rsidR="0057163C" w:rsidRPr="00170422" w:rsidRDefault="00F37BF9">
            <w:pPr>
              <w:pStyle w:val="P68B1DB1-Normal11"/>
              <w:rPr>
                <w:bCs/>
                <w:noProof/>
                <w:szCs w:val="20"/>
                <w:lang w:val="de-DE"/>
              </w:rPr>
            </w:pPr>
            <w:r w:rsidRPr="00170422">
              <w:rPr>
                <w:b/>
                <w:noProof/>
                <w:lang w:val="de-DE"/>
              </w:rPr>
              <w:t xml:space="preserve">IV) </w:t>
            </w:r>
            <w:r w:rsidRPr="00170422">
              <w:rPr>
                <w:noProof/>
                <w:lang w:val="de-DE"/>
              </w:rPr>
              <w:t>Vereinfachung der Genehmigungsverfahren für Verkaufsförderung durch Unternehmen, die Verkaufsstellen in verschiedenen Gemeinden halten.</w:t>
            </w:r>
          </w:p>
          <w:p w14:paraId="1DC2382F" w14:textId="77777777" w:rsidR="0057163C" w:rsidRPr="00170422" w:rsidRDefault="00F37BF9">
            <w:pPr>
              <w:pStyle w:val="P68B1DB1-Normal31"/>
              <w:rPr>
                <w:bCs/>
                <w:noProof/>
                <w:szCs w:val="20"/>
                <w:lang w:val="de-DE"/>
              </w:rPr>
            </w:pPr>
            <w:r w:rsidRPr="00170422">
              <w:rPr>
                <w:noProof/>
                <w:lang w:val="de-DE"/>
              </w:rPr>
              <w:t>Arzneimittel:</w:t>
            </w:r>
          </w:p>
          <w:p w14:paraId="3EF21F8B" w14:textId="77777777" w:rsidR="0057163C" w:rsidRPr="00170422" w:rsidRDefault="00F37BF9">
            <w:pPr>
              <w:pStyle w:val="P68B1DB1-Normal11"/>
              <w:rPr>
                <w:noProof/>
                <w:szCs w:val="20"/>
                <w:lang w:val="de-DE"/>
              </w:rPr>
            </w:pPr>
            <w:r w:rsidRPr="00170422">
              <w:rPr>
                <w:b/>
                <w:noProof/>
                <w:lang w:val="de-DE"/>
              </w:rPr>
              <w:t>V)</w:t>
            </w:r>
            <w:r w:rsidRPr="00170422">
              <w:rPr>
                <w:noProof/>
                <w:lang w:val="de-DE"/>
              </w:rPr>
              <w:t xml:space="preserve"> Gewährleistung der Verhältnismäßigkeit der Zulassungsanforder</w:t>
            </w:r>
            <w:r w:rsidRPr="00170422">
              <w:rPr>
                <w:noProof/>
                <w:lang w:val="de-DE"/>
              </w:rPr>
              <w:t>ungen für den Verkauf galenischer Arzneimittel.</w:t>
            </w:r>
          </w:p>
        </w:tc>
      </w:tr>
      <w:tr w:rsidR="0057163C" w:rsidRPr="00170422" w14:paraId="06A0D7C6"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1C2FD76" w14:textId="77777777" w:rsidR="0057163C" w:rsidRPr="00170422" w:rsidRDefault="00F37BF9">
            <w:pPr>
              <w:pStyle w:val="P68B1DB1-Normal11"/>
              <w:spacing w:before="120" w:after="120"/>
              <w:jc w:val="center"/>
              <w:rPr>
                <w:noProof/>
                <w:szCs w:val="20"/>
                <w:lang w:val="de-DE"/>
              </w:rPr>
            </w:pPr>
            <w:r w:rsidRPr="00170422">
              <w:rPr>
                <w:noProof/>
                <w:lang w:val="de-DE"/>
              </w:rPr>
              <w:t>M1C2-10</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70826CAF" w14:textId="77777777" w:rsidR="0057163C" w:rsidRPr="00170422" w:rsidRDefault="00F37BF9">
            <w:pPr>
              <w:pStyle w:val="P68B1DB1-Normal11"/>
              <w:spacing w:before="120" w:after="120"/>
              <w:jc w:val="center"/>
              <w:rPr>
                <w:noProof/>
                <w:szCs w:val="20"/>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906717"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7CCFBE62" w14:textId="77777777" w:rsidR="0057163C" w:rsidRPr="00170422" w:rsidRDefault="00F37BF9">
            <w:pPr>
              <w:pStyle w:val="P68B1DB1-Normal11"/>
              <w:spacing w:before="120" w:after="120"/>
              <w:jc w:val="center"/>
              <w:rPr>
                <w:noProof/>
                <w:szCs w:val="20"/>
                <w:lang w:val="de-DE"/>
              </w:rPr>
            </w:pPr>
            <w:r w:rsidRPr="00170422">
              <w:rPr>
                <w:noProof/>
                <w:lang w:val="de-DE"/>
              </w:rPr>
              <w:t xml:space="preserve">Inkrafttreten aller Durchführungsmaßnahmen (gegebenenfalls einschließlich abgeleiteter Rechtsvorschriften) für die wirksame Umsetzung und Anwendung </w:t>
            </w:r>
            <w:r w:rsidRPr="00170422">
              <w:rPr>
                <w:noProof/>
                <w:lang w:val="de-DE"/>
              </w:rPr>
              <w:t>der Maßnahmen, die sich aus dem jährlichen Wettbewerbsrecht 2022 ergeben</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48C7BE6C" w14:textId="77777777" w:rsidR="0057163C" w:rsidRPr="00170422" w:rsidRDefault="00F37BF9">
            <w:pPr>
              <w:pStyle w:val="P68B1DB1-Normal11"/>
              <w:spacing w:before="120" w:after="120"/>
              <w:jc w:val="center"/>
              <w:rPr>
                <w:noProof/>
                <w:szCs w:val="20"/>
                <w:lang w:val="de-DE"/>
              </w:rPr>
            </w:pPr>
            <w:r w:rsidRPr="00170422">
              <w:rPr>
                <w:noProof/>
                <w:lang w:val="de-DE"/>
              </w:rPr>
              <w:t>Inkrafttreten aller abgeleiteten Rechtsvorschriften, einschließlich aller erforderlichen Verordnungen für Maßnahmen, die sich aus dem jährlichen Wettbewerbsrecht 2022 ergeben</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31E102C9" w14:textId="77777777" w:rsidR="0057163C" w:rsidRPr="00170422" w:rsidRDefault="00F37BF9">
            <w:pPr>
              <w:pStyle w:val="P68B1DB1-Normal11"/>
              <w:spacing w:before="120" w:after="120"/>
              <w:jc w:val="center"/>
              <w:rPr>
                <w:noProof/>
                <w:szCs w:val="20"/>
                <w:lang w:val="de-DE"/>
              </w:rPr>
            </w:pPr>
            <w:r w:rsidRPr="00170422">
              <w:rPr>
                <w:noProof/>
                <w:lang w:val="de-DE"/>
              </w:rPr>
              <w:t>ENTFÄLLT</w:t>
            </w:r>
            <w:r w:rsidRPr="00170422">
              <w:rPr>
                <w:noProof/>
                <w:lang w:val="de-DE"/>
              </w:rPr>
              <w: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034B2C9"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0BB93BA"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71EFDB7"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5AF849B1" w14:textId="77777777" w:rsidR="0057163C" w:rsidRPr="00170422" w:rsidRDefault="00F37BF9">
            <w:pPr>
              <w:pStyle w:val="P68B1DB1-Normal11"/>
              <w:spacing w:before="120" w:after="120"/>
              <w:jc w:val="center"/>
              <w:rPr>
                <w:noProof/>
                <w:szCs w:val="20"/>
                <w:lang w:val="de-DE"/>
              </w:rPr>
            </w:pPr>
            <w:r w:rsidRPr="00170422">
              <w:rPr>
                <w:noProof/>
                <w:lang w:val="de-DE"/>
              </w:rPr>
              <w:t>2023</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023000F1" w14:textId="77777777" w:rsidR="0057163C" w:rsidRPr="00170422" w:rsidRDefault="00F37BF9">
            <w:pPr>
              <w:pStyle w:val="P68B1DB1-Normal11"/>
              <w:spacing w:before="120" w:after="120"/>
              <w:rPr>
                <w:noProof/>
                <w:szCs w:val="20"/>
                <w:lang w:val="de-DE"/>
              </w:rPr>
            </w:pPr>
            <w:r w:rsidRPr="00170422">
              <w:rPr>
                <w:noProof/>
                <w:lang w:val="de-DE"/>
              </w:rPr>
              <w:t>Inkrafttreten aller abgeleiteten Rechtsvorschriften (falls erforderlich), einschließlich aller erforderlichen Verordnungen für die wirksame Umsetzung und Anwendung aller oben genannten Maßnahmen, die sich aus dem jährl</w:t>
            </w:r>
            <w:r w:rsidRPr="00170422">
              <w:rPr>
                <w:noProof/>
                <w:lang w:val="de-DE"/>
              </w:rPr>
              <w:t>ichen Wettbewerbsrecht 2022 ergeben.</w:t>
            </w:r>
          </w:p>
        </w:tc>
      </w:tr>
      <w:tr w:rsidR="0057163C" w:rsidRPr="00170422" w14:paraId="28FDD8FB"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3827F93" w14:textId="77777777" w:rsidR="0057163C" w:rsidRPr="00170422" w:rsidRDefault="00F37BF9">
            <w:pPr>
              <w:pStyle w:val="P68B1DB1-Normal11"/>
              <w:spacing w:before="120" w:after="120"/>
              <w:jc w:val="center"/>
              <w:rPr>
                <w:noProof/>
                <w:szCs w:val="20"/>
                <w:lang w:val="de-DE"/>
              </w:rPr>
            </w:pPr>
            <w:r w:rsidRPr="00170422">
              <w:rPr>
                <w:noProof/>
                <w:lang w:val="de-DE"/>
              </w:rPr>
              <w:t>M1C2-11</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20652787" w14:textId="77777777" w:rsidR="0057163C" w:rsidRPr="00170422" w:rsidRDefault="00F37BF9">
            <w:pPr>
              <w:pStyle w:val="P68B1DB1-Normal11"/>
              <w:spacing w:before="120" w:after="120"/>
              <w:jc w:val="center"/>
              <w:rPr>
                <w:noProof/>
                <w:szCs w:val="20"/>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3AA1745"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F4B98DF" w14:textId="77777777" w:rsidR="0057163C" w:rsidRPr="00170422" w:rsidRDefault="00F37BF9">
            <w:pPr>
              <w:pStyle w:val="P68B1DB1-Normal11"/>
              <w:spacing w:before="120" w:after="120"/>
              <w:jc w:val="center"/>
              <w:rPr>
                <w:noProof/>
                <w:szCs w:val="20"/>
                <w:lang w:val="de-DE"/>
              </w:rPr>
            </w:pPr>
            <w:r w:rsidRPr="00170422">
              <w:rPr>
                <w:noProof/>
                <w:lang w:val="de-DE"/>
              </w:rPr>
              <w:t>Inkrafttreten des jährlichen Wettbewerbsgesetzes 2023</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62345E94" w14:textId="77777777" w:rsidR="0057163C" w:rsidRPr="00170422" w:rsidRDefault="00F37BF9">
            <w:pPr>
              <w:pStyle w:val="P68B1DB1-Normal11"/>
              <w:spacing w:before="120" w:after="120"/>
              <w:jc w:val="center"/>
              <w:rPr>
                <w:noProof/>
                <w:szCs w:val="20"/>
                <w:lang w:val="de-DE"/>
              </w:rPr>
            </w:pPr>
            <w:r w:rsidRPr="00170422">
              <w:rPr>
                <w:noProof/>
                <w:lang w:val="de-DE"/>
              </w:rPr>
              <w:t>Bestimmung über das Inkrafttreten des jährlichen Wettbewerbsgesetzes 2023.</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0E1D3D1E"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2BE6A37"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DFD69F1"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DD61199"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86E0C9F" w14:textId="77777777" w:rsidR="0057163C" w:rsidRPr="00170422" w:rsidRDefault="00F37BF9">
            <w:pPr>
              <w:pStyle w:val="P68B1DB1-Normal11"/>
              <w:spacing w:before="120" w:after="120"/>
              <w:jc w:val="center"/>
              <w:rPr>
                <w:noProof/>
                <w:szCs w:val="20"/>
                <w:lang w:val="de-DE"/>
              </w:rPr>
            </w:pPr>
            <w:r w:rsidRPr="00170422">
              <w:rPr>
                <w:noProof/>
                <w:lang w:val="de-DE"/>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0E71B49" w14:textId="77777777" w:rsidR="0057163C" w:rsidRPr="00170422" w:rsidRDefault="00F37BF9">
            <w:pPr>
              <w:pStyle w:val="P68B1DB1-Normal11"/>
              <w:rPr>
                <w:noProof/>
                <w:szCs w:val="20"/>
                <w:lang w:val="de-DE"/>
              </w:rPr>
            </w:pPr>
            <w:r w:rsidRPr="00170422">
              <w:rPr>
                <w:noProof/>
                <w:lang w:val="de-DE"/>
              </w:rPr>
              <w:t>Inkrafttreten des jährlichen Wettbewerbsrechts 2023. Das jährliche Wettbewerbsrecht enthält mindestens die folgenden Schlüsselelemente, deren Durchführungsmaßnahmen und (falls erforderlich) abgeleitete Rechtsvorschriften spätestens am 31. D</w:t>
            </w:r>
            <w:r w:rsidRPr="00170422">
              <w:rPr>
                <w:noProof/>
                <w:lang w:val="de-DE"/>
              </w:rPr>
              <w:t>ezember 2024 erlassen werden und in Kraft treten.</w:t>
            </w:r>
          </w:p>
          <w:p w14:paraId="7D0E8C18" w14:textId="77777777" w:rsidR="0057163C" w:rsidRPr="00170422" w:rsidRDefault="00F37BF9">
            <w:pPr>
              <w:pStyle w:val="P68B1DB1-Normal11"/>
              <w:rPr>
                <w:noProof/>
                <w:szCs w:val="20"/>
                <w:lang w:val="de-DE"/>
              </w:rPr>
            </w:pPr>
            <w:r w:rsidRPr="00170422">
              <w:rPr>
                <w:noProof/>
                <w:lang w:val="de-DE"/>
              </w:rPr>
              <w:t>Sie umfasst zumindest folgende Maßnahmen:</w:t>
            </w:r>
          </w:p>
          <w:p w14:paraId="322166FC" w14:textId="77777777" w:rsidR="0057163C" w:rsidRPr="00170422" w:rsidRDefault="00F37BF9">
            <w:pPr>
              <w:pStyle w:val="P68B1DB1-Normal31"/>
              <w:rPr>
                <w:noProof/>
                <w:szCs w:val="20"/>
                <w:lang w:val="de-DE"/>
              </w:rPr>
            </w:pPr>
            <w:r w:rsidRPr="00170422">
              <w:rPr>
                <w:noProof/>
                <w:lang w:val="de-DE"/>
              </w:rPr>
              <w:t>Autobahnen:</w:t>
            </w:r>
          </w:p>
          <w:p w14:paraId="4678AB89" w14:textId="77777777" w:rsidR="0057163C" w:rsidRPr="00170422" w:rsidRDefault="00F37BF9">
            <w:pPr>
              <w:pStyle w:val="P68B1DB1-Normal11"/>
              <w:spacing w:after="120"/>
              <w:jc w:val="both"/>
              <w:rPr>
                <w:noProof/>
                <w:szCs w:val="20"/>
                <w:lang w:val="de-DE"/>
              </w:rPr>
            </w:pPr>
            <w:r w:rsidRPr="00170422">
              <w:rPr>
                <w:b/>
                <w:noProof/>
                <w:lang w:val="de-DE"/>
              </w:rPr>
              <w:t>I)</w:t>
            </w:r>
            <w:r w:rsidRPr="00170422">
              <w:rPr>
                <w:noProof/>
                <w:lang w:val="de-DE"/>
              </w:rPr>
              <w:t xml:space="preserve"> in Bezug auf den Zugang zu Konzessionen und die Vertragskündigung sieht das jährliche Wettbewerbsgesetz mindestens Folgendes vor:</w:t>
            </w:r>
          </w:p>
          <w:p w14:paraId="1E598661" w14:textId="77777777" w:rsidR="0057163C" w:rsidRPr="00170422" w:rsidRDefault="00F37BF9">
            <w:pPr>
              <w:pStyle w:val="P68B1DB1-Normal11"/>
              <w:spacing w:after="80"/>
              <w:ind w:left="340"/>
              <w:jc w:val="both"/>
              <w:rPr>
                <w:noProof/>
                <w:szCs w:val="20"/>
                <w:lang w:val="de-DE"/>
              </w:rPr>
            </w:pPr>
            <w:r w:rsidRPr="00170422">
              <w:rPr>
                <w:noProof/>
                <w:lang w:val="de-DE"/>
              </w:rPr>
              <w:t>— die Ausschreibung</w:t>
            </w:r>
            <w:r w:rsidRPr="00170422">
              <w:rPr>
                <w:noProof/>
                <w:lang w:val="de-DE"/>
              </w:rPr>
              <w:t xml:space="preserve"> von Konzessionsverträgen für Autobahnen verbindlich vorzuschreiben, unbeschadet der hausinternen Bereitstellung innerhalb der durch das EU-Recht festgelegten Grenzen(*); </w:t>
            </w:r>
          </w:p>
          <w:p w14:paraId="6B850862" w14:textId="77777777" w:rsidR="0057163C" w:rsidRPr="00170422" w:rsidRDefault="00F37BF9">
            <w:pPr>
              <w:pStyle w:val="P68B1DB1-Normal11"/>
              <w:autoSpaceDE w:val="0"/>
              <w:autoSpaceDN w:val="0"/>
              <w:adjustRightInd w:val="0"/>
              <w:spacing w:after="80"/>
              <w:ind w:left="340"/>
              <w:jc w:val="both"/>
              <w:rPr>
                <w:b/>
                <w:bCs/>
                <w:noProof/>
                <w:szCs w:val="20"/>
                <w:lang w:val="de-DE"/>
              </w:rPr>
            </w:pPr>
            <w:r w:rsidRPr="00170422">
              <w:rPr>
                <w:b/>
                <w:noProof/>
                <w:lang w:val="de-DE"/>
              </w:rPr>
              <w:t xml:space="preserve">— </w:t>
            </w:r>
            <w:r w:rsidRPr="00170422">
              <w:rPr>
                <w:noProof/>
                <w:lang w:val="de-DE"/>
              </w:rPr>
              <w:t>die Effizienz der Beschlussfassungsverfahren im Zusammenhang mit Konzessionsverträ</w:t>
            </w:r>
            <w:r w:rsidRPr="00170422">
              <w:rPr>
                <w:noProof/>
                <w:lang w:val="de-DE"/>
              </w:rPr>
              <w:t>gen zu verbessern;</w:t>
            </w:r>
          </w:p>
          <w:p w14:paraId="699F8CF0" w14:textId="77777777" w:rsidR="0057163C" w:rsidRPr="00170422" w:rsidRDefault="00F37BF9">
            <w:pPr>
              <w:pStyle w:val="P68B1DB1-Normal11"/>
              <w:spacing w:after="80"/>
              <w:ind w:left="340"/>
              <w:jc w:val="both"/>
              <w:rPr>
                <w:noProof/>
                <w:szCs w:val="20"/>
                <w:lang w:val="de-DE"/>
              </w:rPr>
            </w:pPr>
            <w:r w:rsidRPr="00170422">
              <w:rPr>
                <w:noProof/>
                <w:lang w:val="de-DE"/>
              </w:rPr>
              <w:t>— eine detaillierte und transparente Beschreibung des Gegenstands des Konzessionsvertrags verlangen</w:t>
            </w:r>
          </w:p>
          <w:p w14:paraId="28EEBE69" w14:textId="77777777" w:rsidR="0057163C" w:rsidRPr="00170422" w:rsidRDefault="00F37BF9">
            <w:pPr>
              <w:pStyle w:val="P68B1DB1-Normal11"/>
              <w:spacing w:after="80"/>
              <w:ind w:left="340"/>
              <w:jc w:val="both"/>
              <w:rPr>
                <w:noProof/>
                <w:szCs w:val="20"/>
                <w:lang w:val="de-DE"/>
              </w:rPr>
            </w:pPr>
            <w:r w:rsidRPr="00170422">
              <w:rPr>
                <w:noProof/>
                <w:lang w:val="de-DE"/>
              </w:rPr>
              <w:t>die Konzessionsbehörden zu verpflichten, Konzessionen für Autobahnabschnitte, die nach einem öffentlichen Verfahren vergeben werden, unte</w:t>
            </w:r>
            <w:r w:rsidRPr="00170422">
              <w:rPr>
                <w:noProof/>
                <w:lang w:val="de-DE"/>
              </w:rPr>
              <w:t>r Berücksichtigung der von der Regulierungsbehörde (</w:t>
            </w:r>
            <w:r w:rsidRPr="00170422">
              <w:rPr>
                <w:i/>
                <w:noProof/>
                <w:lang w:val="de-DE"/>
              </w:rPr>
              <w:t xml:space="preserve">Autorità di Regolazione dei Trasporti </w:t>
            </w:r>
            <w:r w:rsidRPr="00170422">
              <w:rPr>
                <w:noProof/>
                <w:lang w:val="de-DE"/>
              </w:rPr>
              <w:t xml:space="preserve">– ART) erstellten Schätzungen der Skaleneffizienz und der Kosten der Autobahnkonzessionäre zu vergeben; </w:t>
            </w:r>
          </w:p>
          <w:p w14:paraId="6A0B9935" w14:textId="77777777" w:rsidR="0057163C" w:rsidRPr="00170422" w:rsidRDefault="00F37BF9">
            <w:pPr>
              <w:pStyle w:val="P68B1DB1-Normal11"/>
              <w:spacing w:after="80"/>
              <w:ind w:left="340"/>
              <w:jc w:val="both"/>
              <w:rPr>
                <w:noProof/>
                <w:szCs w:val="20"/>
                <w:lang w:val="de-DE"/>
              </w:rPr>
            </w:pPr>
            <w:r w:rsidRPr="00170422">
              <w:rPr>
                <w:noProof/>
                <w:lang w:val="de-DE"/>
              </w:rPr>
              <w:t>— Verstärkung der Kontrollen durch das Infrastrukturministeri</w:t>
            </w:r>
            <w:r w:rsidRPr="00170422">
              <w:rPr>
                <w:noProof/>
                <w:lang w:val="de-DE"/>
              </w:rPr>
              <w:t>um in Bezug auf die Kosten und die Errichtung von Autobahninfrastrukturen;</w:t>
            </w:r>
          </w:p>
          <w:p w14:paraId="5A018901" w14:textId="77777777" w:rsidR="0057163C" w:rsidRPr="00170422" w:rsidRDefault="00F37BF9">
            <w:pPr>
              <w:pStyle w:val="P68B1DB1-Normal11"/>
              <w:spacing w:after="80"/>
              <w:ind w:left="340"/>
              <w:jc w:val="both"/>
              <w:rPr>
                <w:noProof/>
                <w:szCs w:val="20"/>
                <w:lang w:val="de-DE"/>
              </w:rPr>
            </w:pPr>
            <w:r w:rsidRPr="00170422">
              <w:rPr>
                <w:noProof/>
                <w:lang w:val="de-DE"/>
              </w:rPr>
              <w:t>— die automatische Verlängerung von Konzessionsverträgen zu verhindern, die technischen und administrativen Verfahren im Zusammenhang mit der regelmäßigen Aktualisierung der Wirtsch</w:t>
            </w:r>
            <w:r w:rsidRPr="00170422">
              <w:rPr>
                <w:noProof/>
                <w:lang w:val="de-DE"/>
              </w:rPr>
              <w:t>afts- und Finanzpläne und der jährlichen Umsetzung dieser Pläne zu verbessern und die Anwendung der in Artikel 193 des Gesetzbuchs über das öffentliche Beschaffungswesen geregelten Verfahren als Mittel zur Vergabe abgelaufener oder auslaufender Autobahnkon</w:t>
            </w:r>
            <w:r w:rsidRPr="00170422">
              <w:rPr>
                <w:noProof/>
                <w:lang w:val="de-DE"/>
              </w:rPr>
              <w:t>zessionsverträge zu untersagen;</w:t>
            </w:r>
          </w:p>
          <w:p w14:paraId="07F1C3C8" w14:textId="77777777" w:rsidR="0057163C" w:rsidRPr="00170422" w:rsidRDefault="00F37BF9">
            <w:pPr>
              <w:pStyle w:val="P68B1DB1-Normal11"/>
              <w:spacing w:after="80"/>
              <w:ind w:left="340"/>
              <w:jc w:val="both"/>
              <w:rPr>
                <w:noProof/>
                <w:szCs w:val="20"/>
                <w:lang w:val="de-DE"/>
              </w:rPr>
            </w:pPr>
            <w:r w:rsidRPr="00170422">
              <w:rPr>
                <w:noProof/>
                <w:lang w:val="de-DE"/>
              </w:rPr>
              <w:t xml:space="preserve">— die Regelung der Kündigungs- und Rücktrittsbedingungen zu vereinfachen/klarer zu gestalten, auch im Hinblick auf die Aufrechterhaltung eines angemessenen Niveaus der Dienstleistung; </w:t>
            </w:r>
          </w:p>
          <w:p w14:paraId="60F09005" w14:textId="77777777" w:rsidR="0057163C" w:rsidRPr="00170422" w:rsidRDefault="00F37BF9">
            <w:pPr>
              <w:pStyle w:val="P68B1DB1-Normal11"/>
              <w:spacing w:after="80"/>
              <w:ind w:left="340"/>
              <w:jc w:val="both"/>
              <w:rPr>
                <w:noProof/>
                <w:lang w:val="de-DE"/>
              </w:rPr>
            </w:pPr>
            <w:r w:rsidRPr="00170422">
              <w:rPr>
                <w:noProof/>
                <w:lang w:val="de-DE"/>
              </w:rPr>
              <w:t xml:space="preserve">— für die Beendigung des Vertrags im öffentlichen Interesse sieht das Gesetz zumindest eine angemessene Entschädigung vor, die es dem Konzessionsnehmer ermöglicht, nicht vollständig amortisierte Investitionen zurückzuerlangen. </w:t>
            </w:r>
          </w:p>
          <w:p w14:paraId="07D1EAC8" w14:textId="77777777" w:rsidR="0057163C" w:rsidRPr="00170422" w:rsidRDefault="0057163C">
            <w:pPr>
              <w:spacing w:after="80"/>
              <w:ind w:left="340"/>
              <w:jc w:val="both"/>
              <w:rPr>
                <w:rFonts w:ascii="Arial Narrow" w:hAnsi="Arial Narrow"/>
                <w:noProof/>
                <w:color w:val="006100"/>
                <w:sz w:val="20"/>
                <w:lang w:val="de-DE"/>
              </w:rPr>
            </w:pPr>
          </w:p>
          <w:p w14:paraId="1B28C1C4" w14:textId="77777777" w:rsidR="0057163C" w:rsidRPr="00170422" w:rsidRDefault="00F37BF9">
            <w:pPr>
              <w:pStyle w:val="P68B1DB1-Normal11"/>
              <w:spacing w:after="120"/>
              <w:jc w:val="both"/>
              <w:rPr>
                <w:noProof/>
                <w:lang w:val="de-DE"/>
              </w:rPr>
            </w:pPr>
            <w:r w:rsidRPr="00170422">
              <w:rPr>
                <w:b/>
                <w:noProof/>
                <w:lang w:val="de-DE"/>
              </w:rPr>
              <w:t>II)</w:t>
            </w:r>
            <w:r w:rsidRPr="00170422">
              <w:rPr>
                <w:noProof/>
                <w:lang w:val="de-DE"/>
              </w:rPr>
              <w:t xml:space="preserve"> in Bezug auf das Entgel</w:t>
            </w:r>
            <w:r w:rsidRPr="00170422">
              <w:rPr>
                <w:noProof/>
                <w:lang w:val="de-DE"/>
              </w:rPr>
              <w:t>tregelungsmodell muss das jährliche Wettbewerbsgesetz mindestens</w:t>
            </w:r>
          </w:p>
          <w:p w14:paraId="059E3E25" w14:textId="7D99FCF5" w:rsidR="0057163C" w:rsidRPr="00170422" w:rsidRDefault="00F37BF9">
            <w:pPr>
              <w:pStyle w:val="P68B1DB1-Normal11"/>
              <w:spacing w:after="80"/>
              <w:ind w:left="340"/>
              <w:jc w:val="both"/>
              <w:rPr>
                <w:noProof/>
                <w:szCs w:val="20"/>
                <w:lang w:val="de-DE"/>
              </w:rPr>
            </w:pPr>
            <w:r w:rsidRPr="00170422">
              <w:rPr>
                <w:noProof/>
                <w:lang w:val="de-DE"/>
              </w:rPr>
              <w:t>— Gewährleistung der fristgerechten und vollständigen Umsetzung des Entgeltregulierungsmodells von ART auf der Grundlage einer Price-Cap-Methode unter Berücksichtigung der regelmäßigen Aktual</w:t>
            </w:r>
            <w:r w:rsidRPr="00170422">
              <w:rPr>
                <w:noProof/>
                <w:lang w:val="de-DE"/>
              </w:rPr>
              <w:t>isierungen der mehrjährigen Wirtschafts- und Finanzplanung der Konzessionäre (wie von der zuständigen Regulierungsbehörde genehmigt) und der jährlichen Einführung dieser Pläne.</w:t>
            </w:r>
          </w:p>
          <w:p w14:paraId="22C2BEED" w14:textId="77777777" w:rsidR="0057163C" w:rsidRPr="00170422" w:rsidRDefault="0057163C">
            <w:pPr>
              <w:spacing w:after="80"/>
              <w:ind w:left="340"/>
              <w:jc w:val="both"/>
              <w:rPr>
                <w:rFonts w:ascii="Arial Narrow" w:hAnsi="Arial Narrow"/>
                <w:noProof/>
                <w:color w:val="006100"/>
                <w:sz w:val="20"/>
                <w:szCs w:val="20"/>
                <w:lang w:val="de-DE"/>
              </w:rPr>
            </w:pPr>
          </w:p>
          <w:p w14:paraId="24234764" w14:textId="7C19F419" w:rsidR="0057163C" w:rsidRPr="00170422" w:rsidRDefault="00F37BF9">
            <w:pPr>
              <w:pStyle w:val="P68B1DB1-Normal11"/>
              <w:spacing w:after="120"/>
              <w:jc w:val="both"/>
              <w:rPr>
                <w:noProof/>
                <w:szCs w:val="20"/>
                <w:lang w:val="de-DE"/>
              </w:rPr>
            </w:pPr>
            <w:r w:rsidRPr="00170422">
              <w:rPr>
                <w:b/>
                <w:noProof/>
                <w:lang w:val="de-DE"/>
              </w:rPr>
              <w:t>III)</w:t>
            </w:r>
            <w:r w:rsidRPr="00170422">
              <w:rPr>
                <w:noProof/>
                <w:lang w:val="de-DE"/>
              </w:rPr>
              <w:t xml:space="preserve"> in Bezug auf Nutzerrechte sieht das jährliche Wettbewerbsgesetz Folgendes</w:t>
            </w:r>
            <w:r w:rsidRPr="00170422">
              <w:rPr>
                <w:noProof/>
                <w:lang w:val="de-DE"/>
              </w:rPr>
              <w:t xml:space="preserve"> vor:</w:t>
            </w:r>
          </w:p>
          <w:p w14:paraId="78769121" w14:textId="77777777" w:rsidR="0057163C" w:rsidRPr="00170422" w:rsidRDefault="00F37BF9">
            <w:pPr>
              <w:pStyle w:val="P68B1DB1-Normal11"/>
              <w:spacing w:after="80"/>
              <w:ind w:left="340"/>
              <w:jc w:val="both"/>
              <w:rPr>
                <w:noProof/>
                <w:szCs w:val="20"/>
                <w:lang w:val="de-DE"/>
              </w:rPr>
            </w:pPr>
            <w:r w:rsidRPr="00170422">
              <w:rPr>
                <w:noProof/>
                <w:lang w:val="de-DE"/>
              </w:rPr>
              <w:t>— Gewährleistung der vollständigen und fristgerechten Umsetzung des Rechtsrahmens von ART in Bezug auf den Schutz der Nutzerrechte und die Bereitstellung eines angemessenen Dienstleistungsniveaus.</w:t>
            </w:r>
          </w:p>
          <w:p w14:paraId="77AA9BF7" w14:textId="77777777" w:rsidR="0057163C" w:rsidRPr="00170422" w:rsidRDefault="00F37BF9">
            <w:pPr>
              <w:pStyle w:val="P68B1DB1-Normal11"/>
              <w:jc w:val="both"/>
              <w:rPr>
                <w:noProof/>
                <w:szCs w:val="20"/>
                <w:lang w:val="de-DE"/>
              </w:rPr>
            </w:pPr>
            <w:r w:rsidRPr="00170422">
              <w:rPr>
                <w:b/>
                <w:noProof/>
                <w:lang w:val="de-DE"/>
              </w:rPr>
              <w:t>IV)</w:t>
            </w:r>
            <w:r w:rsidRPr="00170422">
              <w:rPr>
                <w:noProof/>
                <w:lang w:val="de-DE"/>
              </w:rPr>
              <w:t xml:space="preserve"> in Bezug auf die Auslagerung von Bauarbeiten muss</w:t>
            </w:r>
            <w:r w:rsidRPr="00170422">
              <w:rPr>
                <w:noProof/>
                <w:lang w:val="de-DE"/>
              </w:rPr>
              <w:t xml:space="preserve"> das jährliche Wettbewerbsgesetz mindestens </w:t>
            </w:r>
          </w:p>
          <w:p w14:paraId="672E5208" w14:textId="77777777" w:rsidR="0057163C" w:rsidRPr="00170422" w:rsidRDefault="00F37BF9">
            <w:pPr>
              <w:pStyle w:val="P68B1DB1-Normal11"/>
              <w:spacing w:after="80"/>
              <w:ind w:left="340"/>
              <w:jc w:val="both"/>
              <w:rPr>
                <w:noProof/>
                <w:szCs w:val="20"/>
                <w:lang w:val="de-DE"/>
              </w:rPr>
            </w:pPr>
            <w:r w:rsidRPr="00170422">
              <w:rPr>
                <w:noProof/>
                <w:lang w:val="de-DE"/>
              </w:rPr>
              <w:t xml:space="preserve">— Gemäß Artikel 186 Absatz 2 des gesetzesvertretenden Dekrets Nr. 36/2023 die Verpflichtung für Autobahnkonzessionäre, Dritten durch öffentliche Beweisverfahren zwischen 50 % und 60 % der Bau-, Dienstleistungs- </w:t>
            </w:r>
            <w:r w:rsidRPr="00170422">
              <w:rPr>
                <w:noProof/>
                <w:lang w:val="de-DE"/>
              </w:rPr>
              <w:t>und Lieferaufträge zu übertragen. Die Anteile werden anhand der Beträge der den Konzessionsunterlagen beigefügten Wirtschafts- und Finanzpläne berechnet.</w:t>
            </w:r>
          </w:p>
          <w:p w14:paraId="770DEE1F" w14:textId="77777777" w:rsidR="0057163C" w:rsidRPr="00170422" w:rsidRDefault="00F37BF9">
            <w:pPr>
              <w:pStyle w:val="P68B1DB1-Normal11"/>
              <w:jc w:val="both"/>
              <w:rPr>
                <w:noProof/>
                <w:szCs w:val="20"/>
                <w:lang w:val="de-DE"/>
              </w:rPr>
            </w:pPr>
            <w:r w:rsidRPr="00170422">
              <w:rPr>
                <w:noProof/>
                <w:lang w:val="de-DE"/>
              </w:rPr>
              <w:t>(*) soweit es sich um In-House-Betrauungen handelt, muss das Gesetz</w:t>
            </w:r>
          </w:p>
          <w:p w14:paraId="6C7506B5" w14:textId="77777777" w:rsidR="0057163C" w:rsidRPr="00170422" w:rsidRDefault="00F37BF9">
            <w:pPr>
              <w:pStyle w:val="P68B1DB1-Normal11"/>
              <w:spacing w:after="80"/>
              <w:ind w:left="340"/>
              <w:jc w:val="both"/>
              <w:rPr>
                <w:noProof/>
                <w:szCs w:val="20"/>
                <w:lang w:val="de-DE"/>
              </w:rPr>
            </w:pPr>
            <w:r w:rsidRPr="00170422">
              <w:rPr>
                <w:noProof/>
                <w:lang w:val="de-DE"/>
              </w:rPr>
              <w:t xml:space="preserve">— eine obligatorische </w:t>
            </w:r>
            <w:r w:rsidRPr="00170422">
              <w:rPr>
                <w:i/>
                <w:noProof/>
                <w:lang w:val="de-DE"/>
              </w:rPr>
              <w:t>Ex-ante-</w:t>
            </w:r>
            <w:r w:rsidRPr="00170422">
              <w:rPr>
                <w:noProof/>
                <w:lang w:val="de-DE"/>
              </w:rPr>
              <w:t xml:space="preserve"> Übe</w:t>
            </w:r>
            <w:r w:rsidRPr="00170422">
              <w:rPr>
                <w:noProof/>
                <w:lang w:val="de-DE"/>
              </w:rPr>
              <w:t>rprüfung der Rechtmäßigkeit der In-House-Betrauung vorschreiben und die Einleitung des Ausschreibungsverfahrens oder der In-House-Betrauungen ohne diese Überprüfung untersagen;</w:t>
            </w:r>
          </w:p>
          <w:p w14:paraId="608F39E0" w14:textId="77777777" w:rsidR="0057163C" w:rsidRPr="00170422" w:rsidRDefault="00F37BF9">
            <w:pPr>
              <w:pStyle w:val="P68B1DB1-Normal11"/>
              <w:spacing w:after="80"/>
              <w:ind w:left="340"/>
              <w:jc w:val="both"/>
              <w:rPr>
                <w:noProof/>
                <w:szCs w:val="20"/>
                <w:lang w:val="de-DE"/>
              </w:rPr>
            </w:pPr>
            <w:r w:rsidRPr="00170422">
              <w:rPr>
                <w:noProof/>
                <w:lang w:val="de-DE"/>
              </w:rPr>
              <w:t>— Betrauung der Behörde für die Regulierung des Verkehrs (ART) mit angemessenen</w:t>
            </w:r>
            <w:r w:rsidRPr="00170422">
              <w:rPr>
                <w:noProof/>
                <w:lang w:val="de-DE"/>
              </w:rPr>
              <w:t xml:space="preserve"> Instrumenten und Befugnissen zur Durchführung der oben genannten Überprüfungen und mit der (rechtlichen) Unterstützung der nationalen Antikorruptionsbehörde (ANAC);</w:t>
            </w:r>
          </w:p>
          <w:p w14:paraId="71AC2468" w14:textId="77777777" w:rsidR="0057163C" w:rsidRPr="00170422" w:rsidRDefault="00F37BF9">
            <w:pPr>
              <w:pStyle w:val="P68B1DB1-Normal11"/>
              <w:spacing w:after="80"/>
              <w:ind w:left="340"/>
              <w:jc w:val="both"/>
              <w:rPr>
                <w:noProof/>
                <w:szCs w:val="20"/>
                <w:lang w:val="de-DE"/>
              </w:rPr>
            </w:pPr>
            <w:r w:rsidRPr="00170422">
              <w:rPr>
                <w:noProof/>
                <w:lang w:val="de-DE"/>
              </w:rPr>
              <w:t>— vorschreiben, dass die Einrichtung von Ladestationen und die Einrichtung angemessener Pa</w:t>
            </w:r>
            <w:r w:rsidRPr="00170422">
              <w:rPr>
                <w:noProof/>
                <w:lang w:val="de-DE"/>
              </w:rPr>
              <w:t>rk- und Rastplätze für Güterverkehrsunternehmen in vollem Einklang mit dem von der ART entwickelten Rechtsrahmen erfolgen müssen.</w:t>
            </w:r>
          </w:p>
          <w:p w14:paraId="73FDA868" w14:textId="77777777" w:rsidR="0057163C" w:rsidRPr="00170422" w:rsidRDefault="00F37BF9">
            <w:pPr>
              <w:pStyle w:val="P68B1DB1-Normal31"/>
              <w:rPr>
                <w:noProof/>
                <w:szCs w:val="20"/>
                <w:lang w:val="de-DE"/>
              </w:rPr>
            </w:pPr>
            <w:r w:rsidRPr="00170422">
              <w:rPr>
                <w:noProof/>
                <w:lang w:val="de-DE"/>
              </w:rPr>
              <w:t>Versicherung:</w:t>
            </w:r>
          </w:p>
          <w:p w14:paraId="65329D15" w14:textId="77777777" w:rsidR="0057163C" w:rsidRPr="00170422" w:rsidRDefault="00F37BF9">
            <w:pPr>
              <w:pStyle w:val="P68B1DB1-Normal11"/>
              <w:rPr>
                <w:noProof/>
                <w:szCs w:val="20"/>
                <w:lang w:val="de-DE"/>
              </w:rPr>
            </w:pPr>
            <w:r w:rsidRPr="00170422">
              <w:rPr>
                <w:b/>
                <w:noProof/>
                <w:lang w:val="de-DE"/>
              </w:rPr>
              <w:t>V)</w:t>
            </w:r>
            <w:r w:rsidRPr="00170422">
              <w:rPr>
                <w:noProof/>
                <w:lang w:val="de-DE"/>
              </w:rPr>
              <w:t xml:space="preserve"> Inkrafttreten der erforderlichen Rechtsakte, um die Übertragbarkeit von Daten für schwarze Autoboxen zwischen</w:t>
            </w:r>
            <w:r w:rsidRPr="00170422">
              <w:rPr>
                <w:noProof/>
                <w:lang w:val="de-DE"/>
              </w:rPr>
              <w:t xml:space="preserve"> Versicherern zu ermöglichen;</w:t>
            </w:r>
          </w:p>
          <w:p w14:paraId="61C11FD8" w14:textId="77777777" w:rsidR="0057163C" w:rsidRPr="00170422" w:rsidRDefault="00F37BF9">
            <w:pPr>
              <w:pStyle w:val="P68B1DB1-Normal31"/>
              <w:rPr>
                <w:noProof/>
                <w:szCs w:val="20"/>
                <w:lang w:val="de-DE"/>
              </w:rPr>
            </w:pPr>
            <w:r w:rsidRPr="00170422">
              <w:rPr>
                <w:noProof/>
                <w:lang w:val="de-DE"/>
              </w:rPr>
              <w:t>Unternehmensgründung:</w:t>
            </w:r>
          </w:p>
          <w:p w14:paraId="48EF8CEA" w14:textId="77777777" w:rsidR="0057163C" w:rsidRPr="00170422" w:rsidRDefault="00F37BF9">
            <w:pPr>
              <w:pStyle w:val="P68B1DB1-Normal12"/>
              <w:jc w:val="both"/>
              <w:rPr>
                <w:noProof/>
                <w:lang w:val="de-DE"/>
              </w:rPr>
            </w:pPr>
            <w:r w:rsidRPr="00170422">
              <w:rPr>
                <w:b/>
                <w:noProof/>
                <w:lang w:val="de-DE"/>
              </w:rPr>
              <w:t>VI)</w:t>
            </w:r>
            <w:r w:rsidRPr="00170422">
              <w:rPr>
                <w:noProof/>
                <w:lang w:val="de-DE"/>
              </w:rPr>
              <w:t xml:space="preserve"> Überprüfung und Aktualisierung der Rechtsvorschriften über innovative Start-up-Unternehmen und Risikokapital (z. B. Start-up-Gesetz von 2012), um bestehende Rechtsvorschriften zu rationalisieren, die Definition von Start-up-Unternehmen zu überprüfen und I</w:t>
            </w:r>
            <w:r w:rsidRPr="00170422">
              <w:rPr>
                <w:noProof/>
                <w:lang w:val="de-DE"/>
              </w:rPr>
              <w:t>nvestitionen privater und institutioneller Investoren in Risikokapital zu fördern.</w:t>
            </w:r>
          </w:p>
        </w:tc>
      </w:tr>
      <w:tr w:rsidR="0057163C" w:rsidRPr="00170422" w14:paraId="15CCDCE1"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2D79E535" w14:textId="77777777" w:rsidR="0057163C" w:rsidRPr="00170422" w:rsidRDefault="00F37BF9">
            <w:pPr>
              <w:pStyle w:val="P68B1DB1-Normal12"/>
              <w:spacing w:before="120" w:after="120"/>
              <w:jc w:val="center"/>
              <w:rPr>
                <w:noProof/>
                <w:lang w:val="de-DE"/>
              </w:rPr>
            </w:pPr>
            <w:r w:rsidRPr="00170422">
              <w:rPr>
                <w:noProof/>
                <w:lang w:val="de-DE"/>
              </w:rPr>
              <w:t>M1C2-12</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385AFBCB" w14:textId="77777777" w:rsidR="0057163C" w:rsidRPr="00170422" w:rsidRDefault="00F37BF9">
            <w:pPr>
              <w:pStyle w:val="P68B1DB1-Normal11"/>
              <w:spacing w:before="120" w:after="120"/>
              <w:jc w:val="center"/>
              <w:rPr>
                <w:noProof/>
                <w:szCs w:val="20"/>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157A76E9"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6308C28" w14:textId="77777777" w:rsidR="0057163C" w:rsidRPr="00170422" w:rsidRDefault="00F37BF9">
            <w:pPr>
              <w:pStyle w:val="P68B1DB1-Normal11"/>
              <w:spacing w:before="120" w:after="120"/>
              <w:jc w:val="center"/>
              <w:rPr>
                <w:noProof/>
                <w:szCs w:val="20"/>
                <w:lang w:val="de-DE"/>
              </w:rPr>
            </w:pPr>
            <w:r w:rsidRPr="00170422">
              <w:rPr>
                <w:noProof/>
                <w:lang w:val="de-DE"/>
              </w:rPr>
              <w:t xml:space="preserve">Inkrafttreten von Durchführungsmaßnahmen (einschließlich des Sekundärrechts, falls erforderlich) zur Umsetzung und Anwendung der im jährlichen Wettbewerbsgesetz 2023 und in anderen Primärvorschriften festgelegten Maßnahmen </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F7DA742" w14:textId="77777777" w:rsidR="0057163C" w:rsidRPr="00170422" w:rsidRDefault="00F37BF9">
            <w:pPr>
              <w:pStyle w:val="P68B1DB1-Normal11"/>
              <w:spacing w:before="120" w:after="120"/>
              <w:jc w:val="center"/>
              <w:rPr>
                <w:noProof/>
                <w:szCs w:val="20"/>
                <w:lang w:val="de-DE"/>
              </w:rPr>
            </w:pPr>
            <w:r w:rsidRPr="00170422">
              <w:rPr>
                <w:noProof/>
                <w:lang w:val="de-DE"/>
              </w:rPr>
              <w:t>Inkrafttreten des Sekundärrechts</w:t>
            </w:r>
            <w:r w:rsidRPr="00170422">
              <w:rPr>
                <w:noProof/>
                <w:lang w:val="de-DE"/>
              </w:rPr>
              <w:t xml:space="preserve">, einschließlich aller erforderlichen Verordnungen für die Umsetzung und Anwendung der im jährlichen Wettbewerbsrecht 2023 und in </w:t>
            </w:r>
            <w:r w:rsidRPr="00170422">
              <w:rPr>
                <w:noProof/>
                <w:szCs w:val="20"/>
                <w:lang w:val="de-DE"/>
              </w:rPr>
              <w:t>anderen primären Rechtsvorschriften</w:t>
            </w:r>
            <w:r w:rsidRPr="00170422">
              <w:rPr>
                <w:noProof/>
                <w:lang w:val="de-DE"/>
              </w:rPr>
              <w:t xml:space="preserve"> festgelegten Maßnahmen</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28668D0"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296FEB99"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5AE261F"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44F94F6C"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B68CC1C" w14:textId="77777777" w:rsidR="0057163C" w:rsidRPr="00170422" w:rsidRDefault="00F37BF9">
            <w:pPr>
              <w:pStyle w:val="P68B1DB1-Normal11"/>
              <w:spacing w:before="120" w:after="120"/>
              <w:jc w:val="center"/>
              <w:rPr>
                <w:noProof/>
                <w:szCs w:val="20"/>
                <w:lang w:val="de-DE"/>
              </w:rPr>
            </w:pPr>
            <w:r w:rsidRPr="00170422">
              <w:rPr>
                <w:noProof/>
                <w:lang w:val="de-DE"/>
              </w:rPr>
              <w:t>2024</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6E6B1AE5" w14:textId="77777777" w:rsidR="0057163C" w:rsidRPr="00170422" w:rsidRDefault="00F37BF9">
            <w:pPr>
              <w:pStyle w:val="P68B1DB1-Normal12"/>
              <w:spacing w:before="120" w:after="120"/>
              <w:rPr>
                <w:noProof/>
                <w:lang w:val="de-DE"/>
              </w:rPr>
            </w:pPr>
            <w:r w:rsidRPr="00170422">
              <w:rPr>
                <w:noProof/>
                <w:lang w:val="de-DE"/>
              </w:rPr>
              <w:t>Inkrafttreten des Sek</w:t>
            </w:r>
            <w:r w:rsidRPr="00170422">
              <w:rPr>
                <w:noProof/>
                <w:lang w:val="de-DE"/>
              </w:rPr>
              <w:t>undärrechts (falls erforderlich), einschließlich der erforderlichen Vorschriften für die Umsetzung und Anwendung der im jährlichen Wettbewerbsgesetz 2023 festgelegten einschlägigen Maßnahmen.</w:t>
            </w:r>
          </w:p>
          <w:p w14:paraId="1DF3C365" w14:textId="77777777" w:rsidR="0057163C" w:rsidRPr="00170422" w:rsidRDefault="00F37BF9">
            <w:pPr>
              <w:pStyle w:val="P68B1DB1-Normal12"/>
              <w:spacing w:before="120" w:after="120"/>
              <w:rPr>
                <w:noProof/>
                <w:lang w:val="de-DE"/>
              </w:rPr>
            </w:pPr>
            <w:r w:rsidRPr="00170422">
              <w:rPr>
                <w:noProof/>
                <w:lang w:val="de-DE"/>
              </w:rPr>
              <w:t>Inkrafttreten der abgeleiteten Rechtsvorschriften über das Kaltb</w:t>
            </w:r>
            <w:r w:rsidRPr="00170422">
              <w:rPr>
                <w:noProof/>
                <w:lang w:val="de-DE"/>
              </w:rPr>
              <w:t>ügeln und Listen der Einzelhandelsverkäufer von Erdgas wie folgt:</w:t>
            </w:r>
          </w:p>
          <w:p w14:paraId="2B9BCB71" w14:textId="77777777" w:rsidR="0057163C" w:rsidRPr="00170422" w:rsidRDefault="00F37BF9">
            <w:pPr>
              <w:pStyle w:val="P68B1DB1-Normal12"/>
              <w:jc w:val="both"/>
              <w:rPr>
                <w:noProof/>
                <w:lang w:val="de-DE"/>
              </w:rPr>
            </w:pPr>
            <w:r w:rsidRPr="00170422">
              <w:rPr>
                <w:b/>
                <w:noProof/>
                <w:lang w:val="de-DE"/>
              </w:rPr>
              <w:t>Zum Kaltbügeln</w:t>
            </w:r>
            <w:r w:rsidRPr="00170422">
              <w:rPr>
                <w:noProof/>
                <w:lang w:val="de-DE"/>
              </w:rPr>
              <w:t xml:space="preserve">: </w:t>
            </w:r>
          </w:p>
          <w:p w14:paraId="12D8680C" w14:textId="77777777" w:rsidR="0057163C" w:rsidRPr="00170422" w:rsidRDefault="00F37BF9">
            <w:pPr>
              <w:pStyle w:val="P68B1DB1-Normal12"/>
              <w:rPr>
                <w:noProof/>
                <w:lang w:val="de-DE"/>
              </w:rPr>
            </w:pPr>
            <w:r w:rsidRPr="00170422">
              <w:rPr>
                <w:noProof/>
                <w:lang w:val="de-DE"/>
              </w:rPr>
              <w:t>Inkrafttreten regulatorischer Anreize für die Nutzung von Kaltbügeldiensten in Häfen.</w:t>
            </w:r>
          </w:p>
          <w:p w14:paraId="131C5E77" w14:textId="77777777" w:rsidR="0057163C" w:rsidRPr="00170422" w:rsidRDefault="00F37BF9">
            <w:pPr>
              <w:pStyle w:val="P68B1DB1-Normal32"/>
              <w:jc w:val="both"/>
              <w:rPr>
                <w:bCs/>
                <w:noProof/>
                <w:lang w:val="de-DE"/>
              </w:rPr>
            </w:pPr>
            <w:r w:rsidRPr="00170422">
              <w:rPr>
                <w:noProof/>
                <w:lang w:val="de-DE"/>
              </w:rPr>
              <w:t>Für die Liste der Erdgaseinzelhändler:</w:t>
            </w:r>
          </w:p>
          <w:p w14:paraId="4260C75C" w14:textId="77777777" w:rsidR="0057163C" w:rsidRPr="00170422" w:rsidRDefault="00F37BF9">
            <w:pPr>
              <w:pStyle w:val="P68B1DB1-Normal12"/>
              <w:jc w:val="both"/>
              <w:rPr>
                <w:noProof/>
                <w:lang w:val="de-DE"/>
              </w:rPr>
            </w:pPr>
            <w:r w:rsidRPr="00170422">
              <w:rPr>
                <w:noProof/>
                <w:lang w:val="de-DE"/>
              </w:rPr>
              <w:t>Inkrafttreten eines Sekundärrechts, in dem die K</w:t>
            </w:r>
            <w:r w:rsidRPr="00170422">
              <w:rPr>
                <w:noProof/>
                <w:lang w:val="de-DE"/>
              </w:rPr>
              <w:t>riterien und Anforderungen für den Zugang und die Dauerhaftigkeit der Unternehmen festgelegt werden, die in dem durch Art. 17 des Decreto legislativo Nr. 164/2000 aufgestellten Verzeichnis der Erdgaseinzelhändler aufgeführt sind, um die Transparenz zu erhö</w:t>
            </w:r>
            <w:r w:rsidRPr="00170422">
              <w:rPr>
                <w:noProof/>
                <w:lang w:val="de-DE"/>
              </w:rPr>
              <w:t>hen und die Auswahl der Verbraucher auf wettbewerbsorientierten Märkten zu fördern.</w:t>
            </w:r>
          </w:p>
        </w:tc>
      </w:tr>
      <w:tr w:rsidR="0057163C" w:rsidRPr="00170422" w14:paraId="36E17CC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6F427003" w14:textId="77777777" w:rsidR="0057163C" w:rsidRPr="00170422" w:rsidRDefault="00F37BF9">
            <w:pPr>
              <w:pStyle w:val="P68B1DB1-Normal12"/>
              <w:spacing w:before="120" w:after="120"/>
              <w:jc w:val="center"/>
              <w:rPr>
                <w:noProof/>
                <w:lang w:val="de-DE"/>
              </w:rPr>
            </w:pPr>
            <w:r w:rsidRPr="00170422">
              <w:rPr>
                <w:noProof/>
                <w:lang w:val="de-DE"/>
              </w:rPr>
              <w:t>M1C2-13</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2D01FD8" w14:textId="77777777" w:rsidR="0057163C" w:rsidRPr="00170422" w:rsidRDefault="00F37BF9">
            <w:pPr>
              <w:pStyle w:val="P68B1DB1-Normal11"/>
              <w:spacing w:before="120" w:after="120"/>
              <w:jc w:val="center"/>
              <w:rPr>
                <w:noProof/>
                <w:szCs w:val="20"/>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65628BF1"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09F7AAA" w14:textId="77777777" w:rsidR="0057163C" w:rsidRPr="00170422" w:rsidRDefault="00F37BF9">
            <w:pPr>
              <w:pStyle w:val="P68B1DB1-Normal11"/>
              <w:spacing w:before="120" w:after="120"/>
              <w:jc w:val="center"/>
              <w:rPr>
                <w:noProof/>
                <w:szCs w:val="20"/>
                <w:lang w:val="de-DE"/>
              </w:rPr>
            </w:pPr>
            <w:r w:rsidRPr="00170422">
              <w:rPr>
                <w:noProof/>
                <w:lang w:val="de-DE"/>
              </w:rPr>
              <w:t>Inkrafttreten des jährlichen Wettbewerbsgesetzes für 2025</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13184A1" w14:textId="77777777" w:rsidR="0057163C" w:rsidRPr="00170422" w:rsidRDefault="00F37BF9">
            <w:pPr>
              <w:pStyle w:val="P68B1DB1-Normal11"/>
              <w:spacing w:before="120" w:after="120"/>
              <w:jc w:val="center"/>
              <w:rPr>
                <w:noProof/>
                <w:szCs w:val="20"/>
                <w:lang w:val="de-DE"/>
              </w:rPr>
            </w:pPr>
            <w:r w:rsidRPr="00170422">
              <w:rPr>
                <w:noProof/>
                <w:lang w:val="de-DE"/>
              </w:rPr>
              <w:t xml:space="preserve">Bestimmung über das Inkrafttreten des jährlichen </w:t>
            </w:r>
            <w:r w:rsidRPr="00170422">
              <w:rPr>
                <w:noProof/>
                <w:lang w:val="de-DE"/>
              </w:rPr>
              <w:t>Wettbewerbsgesetzes für 2025.</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3B9E928"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E32871D"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33762672"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6ADC51F"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63700AB4" w14:textId="77777777" w:rsidR="0057163C" w:rsidRPr="00170422" w:rsidRDefault="00F37BF9">
            <w:pPr>
              <w:pStyle w:val="P68B1DB1-Normal11"/>
              <w:spacing w:before="120" w:after="120"/>
              <w:jc w:val="center"/>
              <w:rPr>
                <w:noProof/>
                <w:szCs w:val="20"/>
                <w:lang w:val="de-DE"/>
              </w:rPr>
            </w:pPr>
            <w:r w:rsidRPr="00170422">
              <w:rPr>
                <w:noProof/>
                <w:lang w:val="de-DE"/>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C57906D" w14:textId="77777777" w:rsidR="0057163C" w:rsidRPr="00170422" w:rsidRDefault="00F37BF9">
            <w:pPr>
              <w:pStyle w:val="P68B1DB1-Normal33"/>
              <w:spacing w:before="120" w:after="120"/>
              <w:rPr>
                <w:noProof/>
                <w:lang w:val="de-DE"/>
              </w:rPr>
            </w:pPr>
            <w:r w:rsidRPr="00170422">
              <w:rPr>
                <w:noProof/>
                <w:lang w:val="de-DE"/>
              </w:rPr>
              <w:t xml:space="preserve">Inkrafttreten des jährlichen Wettbewerbsgesetzes für 2025. </w:t>
            </w:r>
          </w:p>
          <w:p w14:paraId="264C9B29" w14:textId="77777777" w:rsidR="0057163C" w:rsidRPr="00170422" w:rsidRDefault="00F37BF9">
            <w:pPr>
              <w:pStyle w:val="P68B1DB1-Normal33"/>
              <w:spacing w:before="120" w:after="120"/>
              <w:rPr>
                <w:noProof/>
                <w:lang w:val="de-DE"/>
              </w:rPr>
            </w:pPr>
            <w:r w:rsidRPr="00170422">
              <w:rPr>
                <w:noProof/>
                <w:lang w:val="de-DE"/>
              </w:rPr>
              <w:t>Primär- und Sekundärrecht (einschließlich erforderlichenfalls Durchführungsrechtsakte) werden genehmigt und treten bis z</w:t>
            </w:r>
            <w:r w:rsidRPr="00170422">
              <w:rPr>
                <w:noProof/>
                <w:lang w:val="de-DE"/>
              </w:rPr>
              <w:t xml:space="preserve">um 4. Quartal 2025 in Kraft. </w:t>
            </w:r>
          </w:p>
          <w:p w14:paraId="63E94D82" w14:textId="77777777" w:rsidR="0057163C" w:rsidRPr="00170422" w:rsidRDefault="00F37BF9">
            <w:pPr>
              <w:pStyle w:val="P68B1DB1-Normal33"/>
              <w:spacing w:before="120" w:after="120"/>
              <w:rPr>
                <w:noProof/>
                <w:lang w:val="de-DE"/>
              </w:rPr>
            </w:pPr>
            <w:r w:rsidRPr="00170422">
              <w:rPr>
                <w:noProof/>
                <w:lang w:val="de-DE"/>
              </w:rPr>
              <w:t>Das jährliche Wettbewerbsrecht</w:t>
            </w:r>
          </w:p>
          <w:p w14:paraId="084F575C" w14:textId="77777777" w:rsidR="0057163C" w:rsidRPr="00170422" w:rsidRDefault="00F37BF9">
            <w:pPr>
              <w:pStyle w:val="P68B1DB1-Normal34"/>
              <w:spacing w:before="120" w:after="120"/>
              <w:rPr>
                <w:bCs/>
                <w:noProof/>
                <w:lang w:val="de-DE"/>
              </w:rPr>
            </w:pPr>
            <w:r w:rsidRPr="00170422">
              <w:rPr>
                <w:noProof/>
                <w:lang w:val="de-DE"/>
              </w:rPr>
              <w:t>I – Lokale öffentliche Dienstleistungen:</w:t>
            </w:r>
          </w:p>
          <w:p w14:paraId="66D723CF" w14:textId="77777777"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Einführung von Korrekturmaßnahmen und Sanktionen für Nichtannahme, Nichtveröffentlichung oder unvollständige Überwachung gemäß Artikel 30 des Gesetzesdekr</w:t>
            </w:r>
            <w:r w:rsidRPr="00170422">
              <w:rPr>
                <w:noProof/>
                <w:lang w:val="de-DE"/>
              </w:rPr>
              <w:t>ets 201/2022.</w:t>
            </w:r>
          </w:p>
          <w:p w14:paraId="6685AFA9" w14:textId="77777777"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Einführung von Korrekturmaßnahmen im Falle einer nicht zufrieden stellenden Verwaltung* des lokalen öffentlichen Dienstes. Diese Maßnahmen umfassen zumindest die Annahme von Plänen zur Verbesserung der Qualität und Kosteneffizienz sowie zur E</w:t>
            </w:r>
            <w:r w:rsidRPr="00170422">
              <w:rPr>
                <w:noProof/>
                <w:lang w:val="de-DE"/>
              </w:rPr>
              <w:t>rreichung aller vertraglichen Ziele. Die Reform sieht vor, dass die öffentlichen Auftraggeber die Korrekturmaßnahmen innerhalb festgelegter Fristen verlangen.</w:t>
            </w:r>
          </w:p>
          <w:p w14:paraId="6A043354" w14:textId="3F64517E"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Einführung von Transparenzpflichten in Bezug auf die oben genannten Korrekturmaßnahmen, Gewährlei</w:t>
            </w:r>
            <w:r w:rsidRPr="00170422">
              <w:rPr>
                <w:noProof/>
                <w:lang w:val="de-DE"/>
              </w:rPr>
              <w:t>stung und erforderlichenfalls Stärkung der Überwachungs- und Durchsetzungsbefugnisse der zuständigen Regulierungsbehörden/Behörden und Verpflichtung der zuständigen Behörde, dem Parlament jährlich einen Bericht über den Stand der Umsetzung der Korrekturmaß</w:t>
            </w:r>
            <w:r w:rsidRPr="00170422">
              <w:rPr>
                <w:noProof/>
                <w:lang w:val="de-DE"/>
              </w:rPr>
              <w:t xml:space="preserve">nahmen vorzulegen. </w:t>
            </w:r>
          </w:p>
          <w:p w14:paraId="3E321F24" w14:textId="77777777" w:rsidR="0057163C" w:rsidRPr="00170422" w:rsidRDefault="00F37BF9">
            <w:pPr>
              <w:pStyle w:val="P68B1DB1-Normal33"/>
              <w:spacing w:before="120" w:after="120"/>
              <w:rPr>
                <w:noProof/>
                <w:lang w:val="de-DE"/>
              </w:rPr>
            </w:pPr>
            <w:bookmarkStart w:id="8" w:name="_Hlk212535598"/>
            <w:r w:rsidRPr="00170422">
              <w:rPr>
                <w:noProof/>
                <w:lang w:val="de-DE"/>
              </w:rPr>
              <w:t>*</w:t>
            </w:r>
            <w:bookmarkEnd w:id="8"/>
            <w:r w:rsidRPr="00170422">
              <w:rPr>
                <w:noProof/>
                <w:lang w:val="de-DE"/>
              </w:rPr>
              <w:t xml:space="preserve"> Ein unbefriedigendes Management ist so zu definieren, dass er zumindest die Situationen abdeckt, in denen der Betreiber erhebliche Verluste erlitten hat, die seine wirtschaftliche und finanzielle Lebensfähigkeit gefährden könnten, ode</w:t>
            </w:r>
            <w:r w:rsidRPr="00170422">
              <w:rPr>
                <w:noProof/>
                <w:lang w:val="de-DE"/>
              </w:rPr>
              <w:t>r wenn die Qualität des Dienstes deutlich unter den sektorspezifischen Benchmarks liegt oder die Leistung deutlich unter den vertraglichen Zielen liegt.</w:t>
            </w:r>
          </w:p>
          <w:p w14:paraId="23E18B0F" w14:textId="77777777" w:rsidR="0057163C" w:rsidRPr="00170422" w:rsidRDefault="0057163C">
            <w:pPr>
              <w:spacing w:before="120" w:after="120"/>
              <w:rPr>
                <w:rFonts w:ascii="Arial Narrow" w:eastAsia="Times New Roman" w:hAnsi="Arial Narrow" w:cs="Segoe UI"/>
                <w:noProof/>
                <w:color w:val="006100"/>
                <w:sz w:val="20"/>
                <w:szCs w:val="20"/>
                <w:lang w:val="de-DE"/>
              </w:rPr>
            </w:pPr>
          </w:p>
          <w:p w14:paraId="1EA09644" w14:textId="77777777" w:rsidR="0057163C" w:rsidRPr="00170422" w:rsidRDefault="00F37BF9">
            <w:pPr>
              <w:pStyle w:val="P68B1DB1-Normal34"/>
              <w:spacing w:before="120" w:after="120"/>
              <w:rPr>
                <w:bCs/>
                <w:noProof/>
                <w:lang w:val="de-DE"/>
              </w:rPr>
            </w:pPr>
            <w:r w:rsidRPr="00170422">
              <w:rPr>
                <w:noProof/>
                <w:lang w:val="de-DE"/>
              </w:rPr>
              <w:t>II – Regionalverkehr:</w:t>
            </w:r>
          </w:p>
          <w:p w14:paraId="11B1840D" w14:textId="77777777" w:rsidR="0057163C" w:rsidRPr="00170422" w:rsidRDefault="00F37BF9">
            <w:pPr>
              <w:pStyle w:val="P68B1DB1-Normal33"/>
              <w:numPr>
                <w:ilvl w:val="0"/>
                <w:numId w:val="24"/>
              </w:numPr>
              <w:spacing w:before="120" w:after="120" w:line="279" w:lineRule="auto"/>
              <w:ind w:left="369" w:hanging="369"/>
              <w:rPr>
                <w:noProof/>
                <w:lang w:val="de-DE"/>
              </w:rPr>
            </w:pPr>
            <w:r w:rsidRPr="00170422">
              <w:rPr>
                <w:noProof/>
                <w:lang w:val="de-DE"/>
              </w:rPr>
              <w:t xml:space="preserve">Ausweitung der Anwendbarkeit von Artikel 14 Absätze auf den regionalen </w:t>
            </w:r>
            <w:r w:rsidRPr="00170422">
              <w:rPr>
                <w:noProof/>
                <w:lang w:val="de-DE"/>
              </w:rPr>
              <w:t>öffentlichen Verkehr (einschließlich der „internen Betreiber“ gemäß der Verordnung (EG) Nr. 1370/2007). 2 und 3, 17, 30 und 31 des Gesetzesdekrets 201/2022, wie oben überarbeitet.</w:t>
            </w:r>
          </w:p>
          <w:p w14:paraId="622395ED" w14:textId="77777777" w:rsidR="0057163C" w:rsidRPr="00170422" w:rsidRDefault="00F37BF9">
            <w:pPr>
              <w:pStyle w:val="P68B1DB1-Normal33"/>
              <w:numPr>
                <w:ilvl w:val="0"/>
                <w:numId w:val="24"/>
              </w:numPr>
              <w:spacing w:before="120" w:after="120" w:line="279" w:lineRule="auto"/>
              <w:ind w:left="369" w:hanging="369"/>
              <w:rPr>
                <w:noProof/>
                <w:lang w:val="de-DE"/>
              </w:rPr>
            </w:pPr>
            <w:r w:rsidRPr="00170422">
              <w:rPr>
                <w:noProof/>
                <w:lang w:val="de-DE"/>
              </w:rPr>
              <w:t>Überarbeitung von Artikel 9 des jährlichen Wettbewerbsgesetzes Nr. 118/2022,</w:t>
            </w:r>
            <w:r w:rsidRPr="00170422">
              <w:rPr>
                <w:noProof/>
                <w:lang w:val="de-DE"/>
              </w:rPr>
              <w:t xml:space="preserve"> um die Verpflichtung des Ministeriums für Infrastruktur und Verkehr (MIT) vorzusehen, ab 2026 jährlich einen angemessen gestaffelten Zeitplan für die Vergabeverfahren für alle auslaufenden Eisenbahnverträge zu veröffentlichen.</w:t>
            </w:r>
          </w:p>
          <w:p w14:paraId="0A3B8F93" w14:textId="77777777" w:rsidR="0057163C" w:rsidRPr="00170422" w:rsidRDefault="00F37BF9">
            <w:pPr>
              <w:pStyle w:val="P68B1DB1-Normal33"/>
              <w:numPr>
                <w:ilvl w:val="0"/>
                <w:numId w:val="24"/>
              </w:numPr>
              <w:spacing w:before="120" w:after="120" w:line="279" w:lineRule="auto"/>
              <w:ind w:left="369" w:hanging="369"/>
              <w:rPr>
                <w:noProof/>
                <w:lang w:val="de-DE"/>
              </w:rPr>
            </w:pPr>
            <w:r w:rsidRPr="00170422">
              <w:rPr>
                <w:noProof/>
                <w:lang w:val="de-DE"/>
              </w:rPr>
              <w:t>Verpflichtung von ART, bis z</w:t>
            </w:r>
            <w:r w:rsidRPr="00170422">
              <w:rPr>
                <w:noProof/>
                <w:lang w:val="de-DE"/>
              </w:rPr>
              <w:t>um zweiten Quartal 2026 eine öffentliche Konsultation im Hinblick auf die Annahme von Leitlinien für die Standardisierung von Vergabeverfahren für regionale Verkehrsdienste einzuleiten.</w:t>
            </w:r>
          </w:p>
          <w:p w14:paraId="29FFB227" w14:textId="77777777" w:rsidR="0057163C" w:rsidRPr="00170422" w:rsidRDefault="0057163C">
            <w:pPr>
              <w:spacing w:before="120" w:after="120"/>
              <w:rPr>
                <w:rFonts w:ascii="Arial Narrow" w:eastAsia="Times New Roman" w:hAnsi="Arial Narrow" w:cs="Segoe UI"/>
                <w:noProof/>
                <w:color w:val="006100"/>
                <w:sz w:val="20"/>
                <w:szCs w:val="20"/>
                <w:lang w:val="de-DE"/>
              </w:rPr>
            </w:pPr>
          </w:p>
          <w:p w14:paraId="51623B0A" w14:textId="77777777" w:rsidR="0057163C" w:rsidRPr="00170422" w:rsidRDefault="00F37BF9">
            <w:pPr>
              <w:pStyle w:val="P68B1DB1-Normal34"/>
              <w:spacing w:before="120" w:after="120"/>
              <w:rPr>
                <w:noProof/>
                <w:lang w:val="de-DE"/>
              </w:rPr>
            </w:pPr>
            <w:r w:rsidRPr="00170422">
              <w:rPr>
                <w:noProof/>
                <w:lang w:val="de-DE"/>
              </w:rPr>
              <w:t>III – Elektrische Ladestationen:</w:t>
            </w:r>
          </w:p>
          <w:p w14:paraId="407FC34D" w14:textId="77777777"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 xml:space="preserve">Sicherstellen, dass die Vergabe von </w:t>
            </w:r>
            <w:r w:rsidRPr="00170422">
              <w:rPr>
                <w:noProof/>
                <w:lang w:val="de-DE"/>
              </w:rPr>
              <w:t xml:space="preserve">Konzessionen für Stromladepunkte den Wettbewerb fördert, indem eine Vielzahl von Anbietern auf dem Markt gefördert wird. </w:t>
            </w:r>
          </w:p>
          <w:p w14:paraId="0074448E" w14:textId="77777777" w:rsidR="0057163C" w:rsidRPr="00170422" w:rsidRDefault="0057163C">
            <w:pPr>
              <w:spacing w:before="120" w:after="120"/>
              <w:rPr>
                <w:rFonts w:ascii="Arial Narrow" w:eastAsia="Times New Roman" w:hAnsi="Arial Narrow" w:cs="Segoe UI"/>
                <w:noProof/>
                <w:color w:val="006100"/>
                <w:sz w:val="20"/>
                <w:szCs w:val="20"/>
                <w:lang w:val="de-DE"/>
              </w:rPr>
            </w:pPr>
          </w:p>
          <w:p w14:paraId="0776BE6D" w14:textId="77777777" w:rsidR="0057163C" w:rsidRPr="00170422" w:rsidRDefault="00F37BF9">
            <w:pPr>
              <w:pStyle w:val="P68B1DB1-Normal34"/>
              <w:spacing w:before="120" w:after="120"/>
              <w:rPr>
                <w:bCs/>
                <w:noProof/>
                <w:lang w:val="de-DE"/>
              </w:rPr>
            </w:pPr>
            <w:r w:rsidRPr="00170422">
              <w:rPr>
                <w:noProof/>
                <w:lang w:val="de-DE"/>
              </w:rPr>
              <w:t>IV – Gesundheit:</w:t>
            </w:r>
          </w:p>
          <w:p w14:paraId="71740FF9" w14:textId="77777777" w:rsidR="0057163C" w:rsidRPr="00170422" w:rsidRDefault="00F37BF9">
            <w:pPr>
              <w:pStyle w:val="P68B1DB1-Normal12"/>
              <w:numPr>
                <w:ilvl w:val="0"/>
                <w:numId w:val="24"/>
              </w:numPr>
              <w:spacing w:before="120" w:after="120" w:line="279" w:lineRule="auto"/>
              <w:ind w:left="227" w:hanging="227"/>
              <w:rPr>
                <w:rFonts w:eastAsia="Arial Narrow" w:cs="Arial Narrow"/>
                <w:noProof/>
                <w:lang w:val="de-DE"/>
              </w:rPr>
            </w:pPr>
            <w:r w:rsidRPr="00170422">
              <w:rPr>
                <w:noProof/>
                <w:lang w:val="de-DE"/>
              </w:rPr>
              <w:t xml:space="preserve">Festlegung gemeinsamer Kriterien für vertragliche Vereinbarungen, um die wirksame Umsetzung der Artikel 8quater und </w:t>
            </w:r>
            <w:r w:rsidRPr="00170422">
              <w:rPr>
                <w:noProof/>
                <w:lang w:val="de-DE"/>
              </w:rPr>
              <w:t>8quinquies des gesetzesvertretenden Dekrets 502/1992 in der durch das Gesetz 118/2022 geänderten Fassung über die Akkreditierung privater Unternehmen im Gesundheitswesen zu gewährleisten und die Umsetzung von Vorschriften für offene und transparente Auswah</w:t>
            </w:r>
            <w:r w:rsidRPr="00170422">
              <w:rPr>
                <w:noProof/>
                <w:lang w:val="de-DE"/>
              </w:rPr>
              <w:t>lverfahren sicherzustellen.</w:t>
            </w:r>
          </w:p>
          <w:p w14:paraId="64489CAA" w14:textId="77777777" w:rsidR="0057163C" w:rsidRPr="00170422" w:rsidRDefault="00F37BF9">
            <w:pPr>
              <w:pStyle w:val="P68B1DB1-Normal34"/>
              <w:spacing w:before="120" w:after="120"/>
              <w:rPr>
                <w:bCs/>
                <w:noProof/>
                <w:lang w:val="de-DE"/>
              </w:rPr>
            </w:pPr>
            <w:r w:rsidRPr="00170422">
              <w:rPr>
                <w:noProof/>
                <w:lang w:val="de-DE"/>
              </w:rPr>
              <w:t>V. – Technologietransfer:</w:t>
            </w:r>
          </w:p>
          <w:p w14:paraId="50AF0F8E" w14:textId="77777777"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Das Ministerium für Unternehmen und Made in Italien und das Ministerium für Universität und Forschung zu verpflichten, bis zum zweiten Quartal 2026 eine nationale Strategie für den Technologietransfer u</w:t>
            </w:r>
            <w:r w:rsidRPr="00170422">
              <w:rPr>
                <w:noProof/>
                <w:lang w:val="de-DE"/>
              </w:rPr>
              <w:t xml:space="preserve">nd die Valorisierung von Wissen anzunehmen, um die Zuweisung der verfügbaren Ressourcen effizienter zu gestalten und eine koordinierte Strategie zwischen den verschiedenen Stiftungen und anderen im Bereich des Technologietransfers tätigen institutionellen </w:t>
            </w:r>
            <w:r w:rsidRPr="00170422">
              <w:rPr>
                <w:noProof/>
                <w:lang w:val="de-DE"/>
              </w:rPr>
              <w:t xml:space="preserve">Fächern zu fördern. Mit der Initiative werden Technologietransferbüros unterstützt und rationalisiert, auch durch die Förderung föderativer Initiativen oder anderer Maßnahmen zur Steigerung der Effizienz. </w:t>
            </w:r>
          </w:p>
          <w:p w14:paraId="66F4A6B5" w14:textId="77777777" w:rsidR="0057163C" w:rsidRPr="00170422" w:rsidRDefault="00F37BF9">
            <w:pPr>
              <w:pStyle w:val="P68B1DB1-Normal34"/>
              <w:spacing w:before="120" w:after="120"/>
              <w:rPr>
                <w:bCs/>
                <w:noProof/>
                <w:lang w:val="de-DE"/>
              </w:rPr>
            </w:pPr>
            <w:r w:rsidRPr="00170422">
              <w:rPr>
                <w:noProof/>
                <w:lang w:val="de-DE"/>
              </w:rPr>
              <w:t>VI – Reglementierte Berufe:</w:t>
            </w:r>
          </w:p>
          <w:p w14:paraId="52AC4BB7" w14:textId="77777777" w:rsidR="0057163C" w:rsidRPr="00170422" w:rsidRDefault="00F37BF9">
            <w:pPr>
              <w:pStyle w:val="P68B1DB1-ListParagraph35"/>
              <w:numPr>
                <w:ilvl w:val="0"/>
                <w:numId w:val="24"/>
              </w:numPr>
              <w:spacing w:before="120" w:after="120"/>
              <w:ind w:left="224" w:hanging="224"/>
              <w:jc w:val="both"/>
              <w:rPr>
                <w:noProof/>
                <w:lang w:val="de-DE"/>
              </w:rPr>
            </w:pPr>
            <w:r w:rsidRPr="00170422">
              <w:rPr>
                <w:noProof/>
                <w:lang w:val="de-DE"/>
              </w:rPr>
              <w:t xml:space="preserve">Vereinfachung der </w:t>
            </w:r>
            <w:r w:rsidRPr="00170422">
              <w:rPr>
                <w:noProof/>
                <w:lang w:val="de-DE"/>
              </w:rPr>
              <w:t>Anforderungen an die Gründung und Registrierung von Berufsgesellschaften.</w:t>
            </w:r>
          </w:p>
        </w:tc>
      </w:tr>
      <w:tr w:rsidR="0057163C" w:rsidRPr="00170422" w14:paraId="5DE1D86E"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037CBB35" w14:textId="77777777" w:rsidR="0057163C" w:rsidRPr="00170422" w:rsidRDefault="00F37BF9">
            <w:pPr>
              <w:pStyle w:val="P68B1DB1-Normal11"/>
              <w:spacing w:before="120" w:after="120"/>
              <w:jc w:val="center"/>
              <w:rPr>
                <w:noProof/>
                <w:szCs w:val="20"/>
                <w:lang w:val="de-DE"/>
              </w:rPr>
            </w:pPr>
            <w:r w:rsidRPr="00170422">
              <w:rPr>
                <w:noProof/>
                <w:lang w:val="de-DE"/>
              </w:rPr>
              <w:t>M1C2-13bis</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3269CB8" w14:textId="77777777" w:rsidR="0057163C" w:rsidRPr="00170422" w:rsidRDefault="00F37BF9">
            <w:pPr>
              <w:pStyle w:val="P68B1DB1-Normal11"/>
              <w:spacing w:before="120" w:after="120"/>
              <w:jc w:val="center"/>
              <w:rPr>
                <w:noProof/>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B572F16" w14:textId="77777777" w:rsidR="0057163C" w:rsidRPr="00170422" w:rsidRDefault="00F37BF9">
            <w:pPr>
              <w:pStyle w:val="P68B1DB1-Normal11"/>
              <w:spacing w:before="120" w:after="120"/>
              <w:jc w:val="center"/>
              <w:rPr>
                <w:noProof/>
                <w:lang w:val="de-DE"/>
              </w:rPr>
            </w:pPr>
            <w:r w:rsidRPr="00170422">
              <w:rPr>
                <w:noProof/>
                <w:lang w:val="de-DE"/>
              </w:rPr>
              <w:t>Meilenstein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AB63C94" w14:textId="77777777" w:rsidR="0057163C" w:rsidRPr="00170422" w:rsidRDefault="00F37BF9">
            <w:pPr>
              <w:pStyle w:val="P68B1DB1-Normal33"/>
              <w:spacing w:before="120" w:after="120"/>
              <w:jc w:val="center"/>
              <w:rPr>
                <w:noProof/>
                <w:lang w:val="de-DE"/>
              </w:rPr>
            </w:pPr>
            <w:r w:rsidRPr="00170422">
              <w:rPr>
                <w:noProof/>
                <w:lang w:val="de-DE"/>
              </w:rPr>
              <w:t xml:space="preserve">Inkrafttreten von Rechtsvorschriften (einschließlich abgeleiteter Rechtsvorschriften und Durchführungsrechtsakten zum </w:t>
            </w:r>
            <w:r w:rsidRPr="00170422">
              <w:rPr>
                <w:noProof/>
                <w:lang w:val="de-DE"/>
              </w:rPr>
              <w:t>jährlichen Wettbewerbsgesetz 2025) über Regionalbahnen und Technologietransfer</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7C3ECE95" w14:textId="77777777" w:rsidR="0057163C" w:rsidRPr="00170422" w:rsidRDefault="00F37BF9">
            <w:pPr>
              <w:pStyle w:val="P68B1DB1-Normal21"/>
              <w:spacing w:before="120" w:after="120"/>
              <w:jc w:val="center"/>
              <w:rPr>
                <w:rFonts w:ascii="Arial Narrow" w:hAnsi="Arial Narrow"/>
                <w:noProof/>
                <w:lang w:val="de-DE"/>
              </w:rPr>
            </w:pPr>
            <w:r w:rsidRPr="00170422">
              <w:rPr>
                <w:rFonts w:ascii="Arial Narrow" w:hAnsi="Arial Narrow"/>
                <w:noProof/>
                <w:lang w:val="de-DE"/>
              </w:rPr>
              <w:t>Bestimmung über</w:t>
            </w:r>
            <w:r w:rsidRPr="00170422">
              <w:rPr>
                <w:rFonts w:ascii="Arial Narrow" w:eastAsia="Times New Roman" w:hAnsi="Arial Narrow" w:cs="Segoe UI"/>
                <w:noProof/>
                <w:szCs w:val="20"/>
                <w:lang w:val="de-DE"/>
              </w:rPr>
              <w:t>das Inkrafttreten der Rechtsvorschriften (einschließlich abgeleiteter Rechtsvorschriften und Durchführungsrechtsakte zum jährlichen Wettbewerbsgesetz 2025) über R</w:t>
            </w:r>
            <w:r w:rsidRPr="00170422">
              <w:rPr>
                <w:rFonts w:ascii="Arial Narrow" w:eastAsia="Times New Roman" w:hAnsi="Arial Narrow" w:cs="Segoe UI"/>
                <w:noProof/>
                <w:szCs w:val="20"/>
                <w:lang w:val="de-DE"/>
              </w:rPr>
              <w:t>egionalbahnen und Technologietransfer</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0881BA6"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09969F9"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288357EA"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51D07968" w14:textId="77777777" w:rsidR="0057163C" w:rsidRPr="00170422" w:rsidRDefault="00F37BF9">
            <w:pPr>
              <w:pStyle w:val="P68B1DB1-Normal11"/>
              <w:spacing w:before="120" w:after="120"/>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5CE7CF9"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1D9D2F68" w14:textId="77777777" w:rsidR="0057163C" w:rsidRPr="00170422" w:rsidRDefault="00F37BF9">
            <w:pPr>
              <w:pStyle w:val="P68B1DB1-Normal33"/>
              <w:spacing w:before="120" w:after="120"/>
              <w:rPr>
                <w:noProof/>
                <w:lang w:val="de-DE"/>
              </w:rPr>
            </w:pPr>
            <w:r w:rsidRPr="00170422">
              <w:rPr>
                <w:noProof/>
                <w:lang w:val="de-DE"/>
              </w:rPr>
              <w:t xml:space="preserve">Inkrafttreten von Rechtsvorschriften (einschließlich abgeleiteter Rechtsvorschriften und Durchführungsrechtsakten) über Regionalbahnen und Technologietransfer. </w:t>
            </w:r>
          </w:p>
          <w:p w14:paraId="32305F2E" w14:textId="77777777"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 xml:space="preserve">Zum </w:t>
            </w:r>
            <w:r w:rsidRPr="00170422">
              <w:rPr>
                <w:b/>
                <w:noProof/>
                <w:lang w:val="de-DE"/>
              </w:rPr>
              <w:t>Regionalverkehr</w:t>
            </w:r>
            <w:r w:rsidRPr="00170422">
              <w:rPr>
                <w:noProof/>
                <w:lang w:val="de-DE"/>
              </w:rPr>
              <w:t>: alle regulatorischen Schritte (einschließlich des Ministerialdekrets zur Festlegung der Muster für den Zeitplan der Regionen für die Vergabeverfahren), die für die Veröffentlichung des Zeitplans des MIT für die Vergabeverfahren für alle auslaufenden Eise</w:t>
            </w:r>
            <w:r w:rsidRPr="00170422">
              <w:rPr>
                <w:noProof/>
                <w:lang w:val="de-DE"/>
              </w:rPr>
              <w:t>nbahnverträge erforderlich sind, werden beschlossen.</w:t>
            </w:r>
          </w:p>
          <w:p w14:paraId="04C03C9C" w14:textId="77777777" w:rsidR="0057163C" w:rsidRPr="00170422" w:rsidRDefault="00F37BF9">
            <w:pPr>
              <w:pStyle w:val="P68B1DB1-Normal33"/>
              <w:numPr>
                <w:ilvl w:val="0"/>
                <w:numId w:val="24"/>
              </w:numPr>
              <w:spacing w:before="120" w:after="120" w:line="279" w:lineRule="auto"/>
              <w:ind w:left="369" w:hanging="283"/>
              <w:rPr>
                <w:noProof/>
                <w:lang w:val="de-DE"/>
              </w:rPr>
            </w:pPr>
            <w:r w:rsidRPr="00170422">
              <w:rPr>
                <w:noProof/>
                <w:lang w:val="de-DE"/>
              </w:rPr>
              <w:t xml:space="preserve">Zum </w:t>
            </w:r>
            <w:r w:rsidRPr="00170422">
              <w:rPr>
                <w:b/>
                <w:noProof/>
                <w:lang w:val="de-DE"/>
              </w:rPr>
              <w:t>Technologietransfer</w:t>
            </w:r>
            <w:r w:rsidRPr="00170422">
              <w:rPr>
                <w:noProof/>
                <w:lang w:val="de-DE"/>
              </w:rPr>
              <w:t>: das Ministerium für Unternehmen und Made in Italien und das Ministerium für Universität und Forschung verabschieden die in Milestone M1C2-13 vorgesehene nationale Strategie.</w:t>
            </w:r>
          </w:p>
        </w:tc>
      </w:tr>
      <w:tr w:rsidR="0057163C" w:rsidRPr="00170422" w14:paraId="2742ADAC"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3C38D0CC" w14:textId="77777777" w:rsidR="0057163C" w:rsidRPr="00170422" w:rsidRDefault="00F37BF9">
            <w:pPr>
              <w:pStyle w:val="P68B1DB1-Normal11"/>
              <w:spacing w:before="120" w:after="120"/>
              <w:jc w:val="center"/>
              <w:rPr>
                <w:noProof/>
                <w:lang w:val="de-DE"/>
              </w:rPr>
            </w:pPr>
            <w:r w:rsidRPr="00170422">
              <w:rPr>
                <w:noProof/>
                <w:lang w:val="de-DE"/>
              </w:rPr>
              <w:t>M1C2-14</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6AAEFDF8" w14:textId="77777777" w:rsidR="0057163C" w:rsidRPr="00170422" w:rsidRDefault="00F37BF9">
            <w:pPr>
              <w:pStyle w:val="P68B1DB1-Normal11"/>
              <w:spacing w:before="120" w:after="120"/>
              <w:jc w:val="center"/>
              <w:rPr>
                <w:noProof/>
                <w:lang w:val="de-DE"/>
              </w:rPr>
            </w:pPr>
            <w:r w:rsidRPr="00170422">
              <w:rPr>
                <w:noProof/>
                <w:lang w:val="de-DE"/>
              </w:rPr>
              <w:t>Reform 2: Jährliche Wettbewerbsgesetze</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56520775" w14:textId="77777777" w:rsidR="0057163C" w:rsidRPr="00170422" w:rsidRDefault="00F37BF9">
            <w:pPr>
              <w:pStyle w:val="P68B1DB1-Normal11"/>
              <w:spacing w:before="120" w:after="120"/>
              <w:jc w:val="center"/>
              <w:rPr>
                <w:noProof/>
                <w:lang w:val="de-DE"/>
              </w:rPr>
            </w:pPr>
            <w:r w:rsidRPr="00170422">
              <w:rPr>
                <w:noProof/>
                <w:lang w:val="de-DE"/>
              </w:rPr>
              <w:t>Ziel</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3F4F0B7" w14:textId="77777777" w:rsidR="0057163C" w:rsidRPr="00170422" w:rsidRDefault="00F37BF9">
            <w:pPr>
              <w:pStyle w:val="P68B1DB1-Normal11"/>
              <w:spacing w:before="120" w:after="120"/>
              <w:jc w:val="center"/>
              <w:rPr>
                <w:rFonts w:eastAsia="Times New Roman" w:cs="Segoe UI"/>
                <w:noProof/>
                <w:szCs w:val="20"/>
                <w:lang w:val="de-DE"/>
              </w:rPr>
            </w:pPr>
            <w:r w:rsidRPr="00170422">
              <w:rPr>
                <w:noProof/>
                <w:lang w:val="de-DE"/>
              </w:rPr>
              <w:t>Einführung von Millionen intelligenter 2G-Messgeräte.</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06C374D3"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13657C0D" w14:textId="77777777" w:rsidR="0057163C" w:rsidRPr="00170422" w:rsidRDefault="00F37BF9">
            <w:pPr>
              <w:pStyle w:val="P68B1DB1-Normal11"/>
              <w:spacing w:before="120" w:after="120"/>
              <w:jc w:val="center"/>
              <w:rPr>
                <w:noProof/>
                <w:lang w:val="de-DE"/>
              </w:rPr>
            </w:pPr>
            <w:r w:rsidRPr="00170422">
              <w:rPr>
                <w:noProof/>
                <w:lang w:val="de-DE"/>
              </w:rPr>
              <w:t>Anzahl</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3754B772" w14:textId="77777777" w:rsidR="0057163C" w:rsidRPr="00170422" w:rsidRDefault="00F37BF9">
            <w:pPr>
              <w:pStyle w:val="P68B1DB1-Normal11"/>
              <w:spacing w:before="120" w:after="120"/>
              <w:jc w:val="center"/>
              <w:rPr>
                <w:noProof/>
                <w:lang w:val="de-DE"/>
              </w:rPr>
            </w:pPr>
            <w:r w:rsidRPr="00170422">
              <w:rPr>
                <w:noProof/>
                <w:lang w:val="de-DE"/>
              </w:rPr>
              <w:t>20</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80E5725" w14:textId="77777777" w:rsidR="0057163C" w:rsidRPr="00170422" w:rsidRDefault="00F37BF9">
            <w:pPr>
              <w:pStyle w:val="P68B1DB1-Normal11"/>
              <w:spacing w:before="120" w:after="120"/>
              <w:jc w:val="center"/>
              <w:rPr>
                <w:noProof/>
                <w:lang w:val="de-DE"/>
              </w:rPr>
            </w:pPr>
            <w:r w:rsidRPr="00170422">
              <w:rPr>
                <w:noProof/>
                <w:lang w:val="de-DE"/>
              </w:rPr>
              <w:t>33</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69321243" w14:textId="77777777" w:rsidR="0057163C" w:rsidRPr="00170422" w:rsidRDefault="00F37BF9">
            <w:pPr>
              <w:pStyle w:val="P68B1DB1-Normal11"/>
              <w:spacing w:before="120" w:after="120"/>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40F37CCA" w14:textId="77777777" w:rsidR="0057163C" w:rsidRPr="00170422" w:rsidRDefault="00F37BF9">
            <w:pPr>
              <w:pStyle w:val="P68B1DB1-Normal11"/>
              <w:spacing w:before="120" w:after="120"/>
              <w:jc w:val="center"/>
              <w:rPr>
                <w:noProof/>
                <w:lang w:val="de-DE"/>
              </w:rPr>
            </w:pPr>
            <w:r w:rsidRPr="00170422">
              <w:rPr>
                <w:noProof/>
                <w:lang w:val="de-DE"/>
              </w:rPr>
              <w:t>2025</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5807332A" w14:textId="77777777" w:rsidR="0057163C" w:rsidRPr="00170422" w:rsidRDefault="00F37BF9">
            <w:pPr>
              <w:pStyle w:val="P68B1DB1-Normal11"/>
              <w:spacing w:before="120" w:after="120"/>
              <w:rPr>
                <w:rFonts w:eastAsia="Times New Roman" w:cs="Segoe UI"/>
                <w:noProof/>
                <w:szCs w:val="20"/>
                <w:lang w:val="de-DE"/>
              </w:rPr>
            </w:pPr>
            <w:r w:rsidRPr="00170422">
              <w:rPr>
                <w:noProof/>
                <w:lang w:val="de-DE"/>
              </w:rPr>
              <w:t>Es werden mindestens 33 Millionen intelligente 2G-Messgeräte eingeführt.</w:t>
            </w:r>
          </w:p>
        </w:tc>
      </w:tr>
      <w:tr w:rsidR="0057163C" w:rsidRPr="00170422" w14:paraId="3A7FF93A"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440D6A0A" w14:textId="77777777" w:rsidR="0057163C" w:rsidRPr="00170422" w:rsidRDefault="00F37BF9">
            <w:pPr>
              <w:pStyle w:val="P68B1DB1-Normal12"/>
              <w:jc w:val="center"/>
              <w:rPr>
                <w:noProof/>
                <w:lang w:val="de-DE"/>
              </w:rPr>
            </w:pPr>
            <w:r w:rsidRPr="00170422">
              <w:rPr>
                <w:noProof/>
                <w:lang w:val="de-DE"/>
              </w:rPr>
              <w:t>M1C2-14bis</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A9D135" w14:textId="178A4276" w:rsidR="0057163C" w:rsidRPr="00170422" w:rsidRDefault="00F37BF9">
            <w:pPr>
              <w:pStyle w:val="P68B1DB1-Normal11"/>
              <w:jc w:val="center"/>
              <w:rPr>
                <w:noProof/>
                <w:szCs w:val="20"/>
                <w:lang w:val="de-DE"/>
              </w:rPr>
            </w:pPr>
            <w:r w:rsidRPr="00170422">
              <w:rPr>
                <w:noProof/>
                <w:lang w:val="de-DE"/>
              </w:rPr>
              <w:t xml:space="preserve">Reform 3:  </w:t>
            </w:r>
            <w:r w:rsidRPr="00170422">
              <w:rPr>
                <w:noProof/>
                <w:lang w:val="de-DE"/>
              </w:rPr>
              <w:t>Rationalisierung und Vereinfachung der Anreize für Unternehmen.</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ACBB458" w14:textId="77777777" w:rsidR="0057163C" w:rsidRPr="00170422" w:rsidRDefault="00F37BF9">
            <w:pPr>
              <w:pStyle w:val="P68B1DB1-Normal11"/>
              <w:jc w:val="center"/>
              <w:rPr>
                <w:noProof/>
                <w:szCs w:val="20"/>
                <w:lang w:val="de-DE"/>
              </w:rPr>
            </w:pPr>
            <w:r w:rsidRPr="00170422">
              <w:rPr>
                <w:noProof/>
                <w:lang w:val="de-DE"/>
              </w:rPr>
              <w:t xml:space="preserve">Meilenstein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6ED9212F" w14:textId="7FC3C00A" w:rsidR="0057163C" w:rsidRPr="00170422" w:rsidRDefault="00F37BF9">
            <w:pPr>
              <w:pStyle w:val="P68B1DB1-Normal11"/>
              <w:jc w:val="both"/>
              <w:rPr>
                <w:noProof/>
                <w:szCs w:val="20"/>
                <w:lang w:val="de-DE"/>
              </w:rPr>
            </w:pPr>
            <w:r w:rsidRPr="00170422">
              <w:rPr>
                <w:noProof/>
                <w:lang w:val="de-DE"/>
              </w:rPr>
              <w:t>Inkrafttreten eines Ermächtigungsrechtsakts</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5B5011C9" w14:textId="13AB2A1C" w:rsidR="0057163C" w:rsidRPr="00170422" w:rsidRDefault="00F37BF9">
            <w:pPr>
              <w:pStyle w:val="P68B1DB1-Normal11"/>
              <w:jc w:val="both"/>
              <w:rPr>
                <w:noProof/>
                <w:szCs w:val="20"/>
                <w:lang w:val="de-DE"/>
              </w:rPr>
            </w:pPr>
            <w:r w:rsidRPr="00170422">
              <w:rPr>
                <w:noProof/>
                <w:lang w:val="de-DE"/>
              </w:rPr>
              <w:t>Inkrafttreten eines Ermächtigungsakts für die Reform der Anreize für Unternehmen</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29C73BAA"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5B48B4F5"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00B803E8"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2E7A8BB0" w14:textId="77777777" w:rsidR="0057163C" w:rsidRPr="00170422" w:rsidRDefault="00F37BF9">
            <w:pPr>
              <w:pStyle w:val="P68B1DB1-Normal11"/>
              <w:jc w:val="center"/>
              <w:rPr>
                <w:noProof/>
                <w:szCs w:val="20"/>
                <w:lang w:val="de-DE"/>
              </w:rPr>
            </w:pPr>
            <w:r w:rsidRPr="00170422">
              <w:rPr>
                <w:noProof/>
                <w:lang w:val="de-DE"/>
              </w:rPr>
              <w:t xml:space="preserve">Q2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2E4D9F74" w14:textId="77777777" w:rsidR="0057163C" w:rsidRPr="00170422" w:rsidRDefault="00F37BF9">
            <w:pPr>
              <w:pStyle w:val="P68B1DB1-Normal11"/>
              <w:jc w:val="center"/>
              <w:rPr>
                <w:noProof/>
                <w:szCs w:val="20"/>
                <w:lang w:val="de-DE"/>
              </w:rPr>
            </w:pPr>
            <w:r w:rsidRPr="00170422">
              <w:rPr>
                <w:noProof/>
                <w:lang w:val="de-DE"/>
              </w:rPr>
              <w:t xml:space="preserve">2025 </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72EAF32D" w14:textId="2E245B4C" w:rsidR="0057163C" w:rsidRPr="00170422" w:rsidRDefault="00F37BF9">
            <w:pPr>
              <w:pStyle w:val="P68B1DB1-Normal11"/>
              <w:jc w:val="both"/>
              <w:rPr>
                <w:rFonts w:eastAsia="Calibri" w:cs="Calibri"/>
                <w:noProof/>
                <w:szCs w:val="20"/>
                <w:highlight w:val="yellow"/>
                <w:lang w:val="de-DE"/>
              </w:rPr>
            </w:pPr>
            <w:r w:rsidRPr="00170422">
              <w:rPr>
                <w:noProof/>
                <w:lang w:val="de-DE"/>
              </w:rPr>
              <w:t>Inkrafttreten eines Ermächtigungsakts (</w:t>
            </w:r>
            <w:r w:rsidRPr="00170422">
              <w:rPr>
                <w:i/>
                <w:noProof/>
                <w:lang w:val="de-DE"/>
              </w:rPr>
              <w:t>legge delega</w:t>
            </w:r>
            <w:r w:rsidRPr="00170422">
              <w:rPr>
                <w:noProof/>
                <w:lang w:val="de-DE"/>
              </w:rPr>
              <w:t>), mit dem die Regierung beauftragt wird, das Anreizsystem für Unternehmen zu überarbeiten.</w:t>
            </w:r>
          </w:p>
        </w:tc>
      </w:tr>
      <w:tr w:rsidR="0057163C" w:rsidRPr="00170422" w14:paraId="32F28D77" w14:textId="77777777">
        <w:trPr>
          <w:trHeight w:val="300"/>
        </w:trPr>
        <w:tc>
          <w:tcPr>
            <w:tcW w:w="1135" w:type="dxa"/>
            <w:tcBorders>
              <w:top w:val="single" w:sz="4" w:space="0" w:color="auto"/>
              <w:left w:val="single" w:sz="4" w:space="0" w:color="auto"/>
              <w:bottom w:val="single" w:sz="4" w:space="0" w:color="auto"/>
              <w:right w:val="single" w:sz="4" w:space="0" w:color="auto"/>
            </w:tcBorders>
            <w:shd w:val="clear" w:color="auto" w:fill="C6EFCE"/>
            <w:vAlign w:val="center"/>
          </w:tcPr>
          <w:p w14:paraId="5A88E948" w14:textId="684999C0" w:rsidR="0057163C" w:rsidRPr="00170422" w:rsidRDefault="00F37BF9">
            <w:pPr>
              <w:pStyle w:val="P68B1DB1-Normal11"/>
              <w:jc w:val="center"/>
              <w:rPr>
                <w:noProof/>
                <w:szCs w:val="20"/>
                <w:lang w:val="de-DE"/>
              </w:rPr>
            </w:pPr>
            <w:r w:rsidRPr="00170422">
              <w:rPr>
                <w:noProof/>
                <w:lang w:val="de-DE"/>
              </w:rPr>
              <w:t>M1C2-14ter</w:t>
            </w:r>
          </w:p>
        </w:tc>
        <w:tc>
          <w:tcPr>
            <w:tcW w:w="1276" w:type="dxa"/>
            <w:tcBorders>
              <w:top w:val="single" w:sz="4" w:space="0" w:color="auto"/>
              <w:left w:val="single" w:sz="4" w:space="0" w:color="auto"/>
              <w:bottom w:val="single" w:sz="4" w:space="0" w:color="auto"/>
              <w:right w:val="single" w:sz="4" w:space="0" w:color="auto"/>
            </w:tcBorders>
            <w:shd w:val="clear" w:color="auto" w:fill="C6EFCE"/>
            <w:vAlign w:val="center"/>
          </w:tcPr>
          <w:p w14:paraId="516A465F" w14:textId="77777777" w:rsidR="0057163C" w:rsidRPr="00170422" w:rsidRDefault="00F37BF9">
            <w:pPr>
              <w:pStyle w:val="P68B1DB1-Normal11"/>
              <w:jc w:val="center"/>
              <w:rPr>
                <w:noProof/>
                <w:szCs w:val="20"/>
                <w:lang w:val="de-DE"/>
              </w:rPr>
            </w:pPr>
            <w:r w:rsidRPr="00170422">
              <w:rPr>
                <w:noProof/>
                <w:lang w:val="de-DE"/>
              </w:rPr>
              <w:t>Reform 3: Rationalisierung und Vereinfachung der Anreize für Unternehmen.</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751A94D5" w14:textId="77777777" w:rsidR="0057163C" w:rsidRPr="00170422" w:rsidRDefault="00F37BF9">
            <w:pPr>
              <w:pStyle w:val="P68B1DB1-Normal11"/>
              <w:jc w:val="center"/>
              <w:rPr>
                <w:noProof/>
                <w:szCs w:val="20"/>
                <w:lang w:val="de-DE"/>
              </w:rPr>
            </w:pPr>
            <w:r w:rsidRPr="00170422">
              <w:rPr>
                <w:noProof/>
                <w:lang w:val="de-DE"/>
              </w:rPr>
              <w:t xml:space="preserve">Meilenstein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7CCA5EB" w14:textId="251719CF" w:rsidR="0057163C" w:rsidRPr="00170422" w:rsidRDefault="00F37BF9">
            <w:pPr>
              <w:pStyle w:val="P68B1DB1-Normal11"/>
              <w:jc w:val="center"/>
              <w:rPr>
                <w:noProof/>
                <w:szCs w:val="20"/>
                <w:lang w:val="de-DE"/>
              </w:rPr>
            </w:pPr>
            <w:r w:rsidRPr="00170422">
              <w:rPr>
                <w:noProof/>
                <w:lang w:val="de-DE"/>
              </w:rPr>
              <w:t xml:space="preserve">Inkrafttreten </w:t>
            </w:r>
            <w:r w:rsidRPr="00170422">
              <w:rPr>
                <w:noProof/>
                <w:lang w:val="de-DE"/>
              </w:rPr>
              <w:t>des Primärrechts</w:t>
            </w:r>
          </w:p>
        </w:tc>
        <w:tc>
          <w:tcPr>
            <w:tcW w:w="1843" w:type="dxa"/>
            <w:tcBorders>
              <w:top w:val="single" w:sz="4" w:space="0" w:color="auto"/>
              <w:left w:val="single" w:sz="4" w:space="0" w:color="auto"/>
              <w:bottom w:val="single" w:sz="4" w:space="0" w:color="auto"/>
              <w:right w:val="single" w:sz="4" w:space="0" w:color="auto"/>
            </w:tcBorders>
            <w:shd w:val="clear" w:color="auto" w:fill="C6EFCE"/>
            <w:vAlign w:val="center"/>
          </w:tcPr>
          <w:p w14:paraId="2105E9A3" w14:textId="2607A497" w:rsidR="0057163C" w:rsidRPr="00170422" w:rsidRDefault="00F37BF9">
            <w:pPr>
              <w:pStyle w:val="P68B1DB1-Normal11"/>
              <w:jc w:val="center"/>
              <w:rPr>
                <w:noProof/>
                <w:szCs w:val="20"/>
                <w:lang w:val="de-DE"/>
              </w:rPr>
            </w:pPr>
            <w:r w:rsidRPr="00170422">
              <w:rPr>
                <w:noProof/>
                <w:lang w:val="de-DE"/>
              </w:rPr>
              <w:t>Inkrafttreten des Primärrechts für die Reform der Unternehmensanreize</w:t>
            </w:r>
          </w:p>
        </w:tc>
        <w:tc>
          <w:tcPr>
            <w:tcW w:w="1359" w:type="dxa"/>
            <w:tcBorders>
              <w:top w:val="single" w:sz="4" w:space="0" w:color="auto"/>
              <w:left w:val="single" w:sz="4" w:space="0" w:color="auto"/>
              <w:bottom w:val="single" w:sz="4" w:space="0" w:color="auto"/>
              <w:right w:val="single" w:sz="4" w:space="0" w:color="auto"/>
            </w:tcBorders>
            <w:shd w:val="clear" w:color="auto" w:fill="C6EFCE"/>
            <w:vAlign w:val="center"/>
          </w:tcPr>
          <w:p w14:paraId="7AE0CDB4"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476" w:type="dxa"/>
            <w:tcBorders>
              <w:top w:val="single" w:sz="4" w:space="0" w:color="auto"/>
              <w:left w:val="single" w:sz="4" w:space="0" w:color="auto"/>
              <w:bottom w:val="single" w:sz="4" w:space="0" w:color="auto"/>
              <w:right w:val="single" w:sz="4" w:space="0" w:color="auto"/>
            </w:tcBorders>
            <w:shd w:val="clear" w:color="auto" w:fill="C6EFCE"/>
            <w:vAlign w:val="center"/>
          </w:tcPr>
          <w:p w14:paraId="1D407B23"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134" w:type="dxa"/>
            <w:tcBorders>
              <w:top w:val="single" w:sz="4" w:space="0" w:color="auto"/>
              <w:left w:val="single" w:sz="4" w:space="0" w:color="auto"/>
              <w:bottom w:val="single" w:sz="4" w:space="0" w:color="auto"/>
              <w:right w:val="single" w:sz="4" w:space="0" w:color="auto"/>
            </w:tcBorders>
            <w:shd w:val="clear" w:color="auto" w:fill="C6EFCE"/>
            <w:vAlign w:val="center"/>
          </w:tcPr>
          <w:p w14:paraId="4DC0B439"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021" w:type="dxa"/>
            <w:tcBorders>
              <w:top w:val="single" w:sz="4" w:space="0" w:color="auto"/>
              <w:left w:val="single" w:sz="4" w:space="0" w:color="auto"/>
              <w:bottom w:val="single" w:sz="4" w:space="0" w:color="auto"/>
              <w:right w:val="single" w:sz="4" w:space="0" w:color="auto"/>
            </w:tcBorders>
            <w:shd w:val="clear" w:color="auto" w:fill="C6EFCE"/>
            <w:vAlign w:val="center"/>
          </w:tcPr>
          <w:p w14:paraId="74CEC59F" w14:textId="77777777" w:rsidR="0057163C" w:rsidRPr="00170422" w:rsidRDefault="00F37BF9">
            <w:pPr>
              <w:pStyle w:val="P68B1DB1-Normal11"/>
              <w:jc w:val="center"/>
              <w:rPr>
                <w:noProof/>
                <w:szCs w:val="20"/>
                <w:lang w:val="de-DE"/>
              </w:rPr>
            </w:pPr>
            <w:r w:rsidRPr="00170422">
              <w:rPr>
                <w:noProof/>
                <w:lang w:val="de-DE"/>
              </w:rPr>
              <w:t xml:space="preserve">Q2 </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3B805993" w14:textId="77777777" w:rsidR="0057163C" w:rsidRPr="00170422" w:rsidRDefault="00F37BF9">
            <w:pPr>
              <w:pStyle w:val="P68B1DB1-Normal11"/>
              <w:jc w:val="center"/>
              <w:rPr>
                <w:noProof/>
                <w:szCs w:val="20"/>
                <w:lang w:val="de-DE"/>
              </w:rPr>
            </w:pPr>
            <w:r w:rsidRPr="00170422">
              <w:rPr>
                <w:noProof/>
                <w:lang w:val="de-DE"/>
              </w:rPr>
              <w:t>2026</w:t>
            </w:r>
          </w:p>
        </w:tc>
        <w:tc>
          <w:tcPr>
            <w:tcW w:w="2814" w:type="dxa"/>
            <w:tcBorders>
              <w:top w:val="single" w:sz="4" w:space="0" w:color="auto"/>
              <w:left w:val="single" w:sz="4" w:space="0" w:color="auto"/>
              <w:bottom w:val="single" w:sz="4" w:space="0" w:color="auto"/>
              <w:right w:val="single" w:sz="4" w:space="0" w:color="auto"/>
            </w:tcBorders>
            <w:shd w:val="clear" w:color="auto" w:fill="C6EFCE"/>
            <w:vAlign w:val="center"/>
          </w:tcPr>
          <w:p w14:paraId="45F93D22" w14:textId="1AD1DACE" w:rsidR="0057163C" w:rsidRPr="00170422" w:rsidRDefault="00F37BF9">
            <w:pPr>
              <w:pStyle w:val="P68B1DB1-Normal11"/>
              <w:spacing w:before="160" w:line="278" w:lineRule="auto"/>
              <w:jc w:val="both"/>
              <w:rPr>
                <w:noProof/>
                <w:szCs w:val="20"/>
                <w:lang w:val="de-DE"/>
              </w:rPr>
            </w:pPr>
            <w:r w:rsidRPr="00170422">
              <w:rPr>
                <w:noProof/>
                <w:lang w:val="de-DE"/>
              </w:rPr>
              <w:t>Inkrafttreten des Primärrechts zur Umsetzung des Ermächtigungsakts (</w:t>
            </w:r>
            <w:r w:rsidRPr="00170422">
              <w:rPr>
                <w:i/>
                <w:noProof/>
                <w:lang w:val="de-DE"/>
              </w:rPr>
              <w:t>legge delega</w:t>
            </w:r>
            <w:r w:rsidRPr="00170422">
              <w:rPr>
                <w:noProof/>
                <w:lang w:val="de-DE"/>
              </w:rPr>
              <w:t xml:space="preserve">), mit dem die Regierung beauftragt wird, das </w:t>
            </w:r>
            <w:r w:rsidRPr="00170422">
              <w:rPr>
                <w:noProof/>
                <w:lang w:val="de-DE"/>
              </w:rPr>
              <w:t>Anreizsystem für Unternehmen zu überarbeiten.</w:t>
            </w:r>
          </w:p>
          <w:p w14:paraId="05AB2E4D" w14:textId="70D619CC" w:rsidR="0057163C" w:rsidRPr="00170422" w:rsidRDefault="00F37BF9">
            <w:pPr>
              <w:pStyle w:val="P68B1DB1-Normal11"/>
              <w:jc w:val="both"/>
              <w:rPr>
                <w:noProof/>
                <w:lang w:val="de-DE"/>
              </w:rPr>
            </w:pPr>
            <w:r w:rsidRPr="00170422">
              <w:rPr>
                <w:noProof/>
                <w:lang w:val="de-DE"/>
              </w:rPr>
              <w:t>Die Rechtsvorschriften betreffen sowohl den Rechtsrahmen für Anreize (d. h. „Codice degli incentivi“) als auch die Rationalisierung der Anreize auf nationaler Ebene.</w:t>
            </w:r>
          </w:p>
          <w:p w14:paraId="131BF77F" w14:textId="27131054" w:rsidR="0057163C" w:rsidRPr="00170422" w:rsidRDefault="00F37BF9">
            <w:pPr>
              <w:pStyle w:val="P68B1DB1-Normal11"/>
              <w:jc w:val="both"/>
              <w:rPr>
                <w:noProof/>
                <w:szCs w:val="20"/>
                <w:lang w:val="de-DE"/>
              </w:rPr>
            </w:pPr>
            <w:bookmarkStart w:id="9" w:name="_Hlk212581611"/>
            <w:r w:rsidRPr="00170422">
              <w:rPr>
                <w:noProof/>
                <w:lang w:val="de-DE"/>
              </w:rPr>
              <w:t>Zusätzliche Funktionen für a) die RNA (Natio</w:t>
            </w:r>
            <w:r w:rsidRPr="00170422">
              <w:rPr>
                <w:noProof/>
                <w:lang w:val="de-DE"/>
              </w:rPr>
              <w:t>nales Beihilferegister) und b) die Plattform „Incentivi.gov.it“ sind online zugänglich.</w:t>
            </w:r>
            <w:bookmarkEnd w:id="9"/>
          </w:p>
        </w:tc>
      </w:tr>
    </w:tbl>
    <w:p w14:paraId="1E29EF44" w14:textId="7E703426" w:rsidR="0057163C" w:rsidRPr="00170422" w:rsidRDefault="00F37BF9">
      <w:pPr>
        <w:spacing w:before="120" w:after="120"/>
        <w:jc w:val="both"/>
        <w:rPr>
          <w:noProof/>
          <w:lang w:val="de-DE"/>
        </w:rPr>
      </w:pPr>
      <w:r w:rsidRPr="00170422">
        <w:rPr>
          <w:noProof/>
          <w:lang w:val="de-DE"/>
        </w:rPr>
        <w:t xml:space="preserve"> </w:t>
      </w:r>
      <w:r w:rsidRPr="00170422">
        <w:rPr>
          <w:noProof/>
          <w:lang w:val="de-DE"/>
        </w:rPr>
        <w:br/>
      </w:r>
    </w:p>
    <w:p w14:paraId="49CCBFCC" w14:textId="77777777" w:rsidR="0057163C" w:rsidRPr="00170422" w:rsidRDefault="0057163C">
      <w:pPr>
        <w:spacing w:before="120" w:after="120"/>
        <w:ind w:left="709"/>
        <w:jc w:val="both"/>
        <w:rPr>
          <w:rFonts w:eastAsia="Calibri"/>
          <w:noProof/>
          <w:lang w:val="de-DE"/>
        </w:rPr>
      </w:pPr>
    </w:p>
    <w:p w14:paraId="4EE6C282" w14:textId="77777777" w:rsidR="0057163C" w:rsidRPr="00170422" w:rsidRDefault="0057163C">
      <w:pPr>
        <w:spacing w:before="120" w:after="120"/>
        <w:ind w:left="709"/>
        <w:jc w:val="both"/>
        <w:rPr>
          <w:noProof/>
          <w:lang w:val="de-DE"/>
        </w:rPr>
        <w:sectPr w:rsidR="0057163C" w:rsidRPr="00170422" w:rsidSect="005F11B9">
          <w:headerReference w:type="even" r:id="rId42"/>
          <w:headerReference w:type="default" r:id="rId43"/>
          <w:footerReference w:type="even" r:id="rId44"/>
          <w:footerReference w:type="default" r:id="rId45"/>
          <w:headerReference w:type="first" r:id="rId46"/>
          <w:footerReference w:type="first" r:id="rId47"/>
          <w:pgSz w:w="16839" w:h="11907" w:orient="landscape"/>
          <w:pgMar w:top="1134" w:right="1134" w:bottom="1134" w:left="1134" w:header="567" w:footer="567" w:gutter="0"/>
          <w:cols w:space="720"/>
          <w:docGrid w:linePitch="360"/>
        </w:sectPr>
      </w:pPr>
    </w:p>
    <w:p w14:paraId="05C0E76C" w14:textId="77777777" w:rsidR="0057163C" w:rsidRPr="00170422" w:rsidRDefault="00F37BF9">
      <w:pPr>
        <w:pStyle w:val="P68B1DB1-Heading39"/>
        <w:numPr>
          <w:ilvl w:val="2"/>
          <w:numId w:val="0"/>
        </w:numPr>
        <w:ind w:left="850" w:hanging="850"/>
        <w:rPr>
          <w:b/>
          <w:bCs/>
          <w:i/>
          <w:iCs/>
          <w:noProof/>
          <w:color w:val="156082" w:themeColor="accent1"/>
          <w:u w:val="single"/>
          <w:lang w:val="de-DE"/>
        </w:rPr>
      </w:pPr>
      <w:r w:rsidRPr="00170422">
        <w:rPr>
          <w:b/>
          <w:noProof/>
          <w:u w:val="single"/>
          <w:lang w:val="de-DE"/>
        </w:rPr>
        <w:t xml:space="preserve">B.3. </w:t>
      </w:r>
      <w:r w:rsidRPr="00170422">
        <w:rPr>
          <w:noProof/>
          <w:lang w:val="de-DE"/>
        </w:rPr>
        <w:t xml:space="preserve"> </w:t>
      </w:r>
      <w:r w:rsidRPr="00170422">
        <w:rPr>
          <w:b/>
          <w:noProof/>
          <w:u w:val="single"/>
          <w:lang w:val="de-DE"/>
        </w:rPr>
        <w:t xml:space="preserve">Beschreibung der Reformen und Investitionen (Darlehen) </w:t>
      </w:r>
    </w:p>
    <w:p w14:paraId="547AC6D1" w14:textId="77777777" w:rsidR="0057163C" w:rsidRPr="00170422" w:rsidRDefault="00F37BF9">
      <w:pPr>
        <w:pStyle w:val="P68B1DB1-Normal5"/>
        <w:spacing w:before="120" w:after="120"/>
        <w:jc w:val="both"/>
        <w:rPr>
          <w:bCs/>
          <w:i/>
          <w:iCs/>
          <w:noProof/>
          <w:lang w:val="de-DE"/>
        </w:rPr>
      </w:pPr>
      <w:r w:rsidRPr="00170422">
        <w:rPr>
          <w:noProof/>
          <w:lang w:val="de-DE"/>
        </w:rPr>
        <w:t xml:space="preserve">Investition 2: Innovation und Technologie der Mikroelektronik </w:t>
      </w:r>
    </w:p>
    <w:p w14:paraId="052A1CB1" w14:textId="77777777" w:rsidR="0057163C" w:rsidRPr="00170422" w:rsidRDefault="00F37BF9">
      <w:pPr>
        <w:pStyle w:val="P68B1DB1-Normal7"/>
        <w:spacing w:before="120" w:after="120"/>
        <w:jc w:val="both"/>
        <w:rPr>
          <w:noProof/>
          <w:lang w:val="de-DE"/>
        </w:rPr>
      </w:pPr>
      <w:r w:rsidRPr="00170422">
        <w:rPr>
          <w:noProof/>
          <w:lang w:val="de-DE"/>
        </w:rPr>
        <w:t xml:space="preserve">Ziel der Investition ist es, die Entwicklung der strategischen Wertschöpfungskette der Mikroelektronik durch Investitionen in Silicon Carbide-Substrate zu unterstützen. Die Investition besteht </w:t>
      </w:r>
      <w:r w:rsidRPr="00170422">
        <w:rPr>
          <w:noProof/>
          <w:lang w:val="de-DE"/>
        </w:rPr>
        <w:t>in der Realisierung zusätzlicher Produktionskapazitäten für 8-Zoll-Silizium-Carbid-Substrate.</w:t>
      </w:r>
    </w:p>
    <w:p w14:paraId="3B9B60D5" w14:textId="77777777" w:rsidR="0057163C" w:rsidRPr="00170422" w:rsidRDefault="00F37BF9">
      <w:pPr>
        <w:pStyle w:val="P68B1DB1-Normal5"/>
        <w:spacing w:before="120" w:after="120"/>
        <w:jc w:val="both"/>
        <w:rPr>
          <w:bCs/>
          <w:noProof/>
          <w:lang w:val="de-DE"/>
        </w:rPr>
      </w:pPr>
      <w:r w:rsidRPr="00170422">
        <w:rPr>
          <w:noProof/>
          <w:lang w:val="de-DE"/>
        </w:rPr>
        <w:t>Investition 3: Wissenschaftsexzellenz. Schnelle Internetverbindungen (Ultrabreitband und 5G)</w:t>
      </w:r>
    </w:p>
    <w:p w14:paraId="52DE9D80" w14:textId="77777777" w:rsidR="0057163C" w:rsidRPr="00170422" w:rsidRDefault="00F37BF9">
      <w:pPr>
        <w:pStyle w:val="P68B1DB1-Normal7"/>
        <w:spacing w:after="120"/>
        <w:jc w:val="both"/>
        <w:rPr>
          <w:noProof/>
          <w:lang w:val="de-DE"/>
        </w:rPr>
      </w:pPr>
      <w:r w:rsidRPr="00170422">
        <w:rPr>
          <w:noProof/>
          <w:lang w:val="de-DE"/>
        </w:rPr>
        <w:t>Ziel der Investition ist die Fertigstellung des nationalen ultraschne</w:t>
      </w:r>
      <w:r w:rsidRPr="00170422">
        <w:rPr>
          <w:noProof/>
          <w:lang w:val="de-DE"/>
        </w:rPr>
        <w:t xml:space="preserve">llen Telekommunikationsnetzes und des 5G-Telekommunikationsnetzes im gesamten Staatsgebiet. Diese Investitionen dürften erheblich zur Verwirklichung der Ziele des digitalen Wandels und zur Verringerung der digitalen Kluft in Italien beitragen. </w:t>
      </w:r>
    </w:p>
    <w:p w14:paraId="414D1456" w14:textId="77777777" w:rsidR="0057163C" w:rsidRPr="00170422" w:rsidRDefault="00F37BF9">
      <w:pPr>
        <w:pStyle w:val="P68B1DB1-Normal7"/>
        <w:spacing w:after="120"/>
        <w:jc w:val="both"/>
        <w:rPr>
          <w:noProof/>
          <w:lang w:val="de-DE"/>
        </w:rPr>
      </w:pPr>
      <w:r w:rsidRPr="00170422">
        <w:rPr>
          <w:noProof/>
          <w:lang w:val="de-DE"/>
        </w:rPr>
        <w:t>Die Investi</w:t>
      </w:r>
      <w:r w:rsidRPr="00170422">
        <w:rPr>
          <w:noProof/>
          <w:lang w:val="de-DE"/>
        </w:rPr>
        <w:t>tion umfasst die Vergabe von Konzessionen und umfasst fünf schnellere Anschlussprojekte:</w:t>
      </w:r>
    </w:p>
    <w:p w14:paraId="4512031B" w14:textId="4A920EA0" w:rsidR="0057163C" w:rsidRPr="00170422" w:rsidRDefault="00F37BF9">
      <w:pPr>
        <w:pStyle w:val="P68B1DB1-ListParagraph36"/>
        <w:numPr>
          <w:ilvl w:val="0"/>
          <w:numId w:val="50"/>
        </w:numPr>
        <w:spacing w:after="0" w:line="240" w:lineRule="auto"/>
        <w:jc w:val="both"/>
        <w:rPr>
          <w:rFonts w:eastAsiaTheme="minorEastAsia" w:hint="default"/>
          <w:noProof/>
          <w:lang w:val="de-DE"/>
        </w:rPr>
      </w:pPr>
      <w:r w:rsidRPr="00170422">
        <w:rPr>
          <w:rFonts w:hint="default"/>
          <w:noProof/>
          <w:lang w:val="de-DE"/>
        </w:rPr>
        <w:t>„Italia a 1 Giga, die 1 Gigabit/s im Download und 200 Mbit/s für Upload-Anschlüsse in grauen und schwarzen Zugangszonen der nächsten Generation (NGA) bereitstellt. Die</w:t>
      </w:r>
      <w:r w:rsidRPr="00170422">
        <w:rPr>
          <w:rFonts w:hint="default"/>
          <w:noProof/>
          <w:lang w:val="de-DE"/>
        </w:rPr>
        <w:t>se Gebiete werden nach Abschluss einer Kartierung festgelegt;</w:t>
      </w:r>
    </w:p>
    <w:p w14:paraId="5F0DF0CF" w14:textId="6047E46B" w:rsidR="0057163C" w:rsidRPr="00170422" w:rsidRDefault="00F37BF9">
      <w:pPr>
        <w:pStyle w:val="P68B1DB1-ListParagraph36"/>
        <w:numPr>
          <w:ilvl w:val="0"/>
          <w:numId w:val="50"/>
        </w:numPr>
        <w:spacing w:after="0" w:line="240" w:lineRule="auto"/>
        <w:jc w:val="both"/>
        <w:rPr>
          <w:rFonts w:eastAsiaTheme="minorEastAsia" w:hint="default"/>
          <w:noProof/>
          <w:lang w:val="de-DE"/>
        </w:rPr>
      </w:pPr>
      <w:r w:rsidRPr="00170422">
        <w:rPr>
          <w:rFonts w:hint="default"/>
          <w:noProof/>
          <w:lang w:val="de-DE"/>
        </w:rPr>
        <w:t>„Italia 5G: Bereitstellung von 5G-Anschlüssen in Gebieten mit Marktversagen, d. h. Gebieten, in denen keine Mobilfunknetze aufgebaut wurden; oder nur 3G-Netze verfügbar sind und in naher Zukunft</w:t>
      </w:r>
      <w:r w:rsidRPr="00170422">
        <w:rPr>
          <w:rFonts w:hint="default"/>
          <w:noProof/>
          <w:lang w:val="de-DE"/>
        </w:rPr>
        <w:t xml:space="preserve"> keine 4G- und/oder 5G-Mobilfunknetze geplant sind; oder ein nachgewiesenes Marktversagen vorliegt;</w:t>
      </w:r>
    </w:p>
    <w:p w14:paraId="34DC1269" w14:textId="100D6445" w:rsidR="0057163C" w:rsidRPr="00170422" w:rsidRDefault="00F37BF9">
      <w:pPr>
        <w:pStyle w:val="P68B1DB1-ListParagraph36"/>
        <w:numPr>
          <w:ilvl w:val="0"/>
          <w:numId w:val="50"/>
        </w:numPr>
        <w:spacing w:after="0" w:line="240" w:lineRule="auto"/>
        <w:jc w:val="both"/>
        <w:rPr>
          <w:rFonts w:eastAsiaTheme="minorEastAsia" w:hint="default"/>
          <w:noProof/>
          <w:lang w:val="de-DE"/>
        </w:rPr>
      </w:pPr>
      <w:r w:rsidRPr="00170422">
        <w:rPr>
          <w:rFonts w:hint="default"/>
          <w:noProof/>
          <w:lang w:val="de-DE"/>
        </w:rPr>
        <w:t>„Vernetzte Schulen“, die Schulgebäude mit einer Breitbandanbindung von 1 Gigabit/s versorgen;</w:t>
      </w:r>
    </w:p>
    <w:p w14:paraId="79BB1E7B" w14:textId="77777777" w:rsidR="0057163C" w:rsidRPr="00170422" w:rsidRDefault="00F37BF9">
      <w:pPr>
        <w:pStyle w:val="P68B1DB1-ListParagraph36"/>
        <w:numPr>
          <w:ilvl w:val="0"/>
          <w:numId w:val="50"/>
        </w:numPr>
        <w:spacing w:after="0" w:line="240" w:lineRule="auto"/>
        <w:jc w:val="both"/>
        <w:rPr>
          <w:rFonts w:eastAsiaTheme="minorEastAsia" w:hint="default"/>
          <w:noProof/>
          <w:lang w:val="de-DE"/>
        </w:rPr>
      </w:pPr>
      <w:r w:rsidRPr="00170422">
        <w:rPr>
          <w:rFonts w:hint="default"/>
          <w:noProof/>
          <w:lang w:val="de-DE"/>
        </w:rPr>
        <w:t>„Vernetzte Gesundheitseinrichtungen“ (die Bereitstellung von B</w:t>
      </w:r>
      <w:r w:rsidRPr="00170422">
        <w:rPr>
          <w:rFonts w:hint="default"/>
          <w:noProof/>
          <w:lang w:val="de-DE"/>
        </w:rPr>
        <w:t>reitbandanschlüssen mit Geschwindigkeiten bis 1 Gigabit/s für öffentliche Gesundheitseinrichtungen),</w:t>
      </w:r>
    </w:p>
    <w:p w14:paraId="1A8D5ACF" w14:textId="6CCC6968" w:rsidR="0057163C" w:rsidRPr="00170422" w:rsidRDefault="00F37BF9">
      <w:pPr>
        <w:pStyle w:val="P68B1DB1-ListParagraph36"/>
        <w:numPr>
          <w:ilvl w:val="0"/>
          <w:numId w:val="50"/>
        </w:numPr>
        <w:spacing w:after="0" w:line="240" w:lineRule="auto"/>
        <w:jc w:val="both"/>
        <w:rPr>
          <w:rFonts w:hint="default"/>
          <w:noProof/>
          <w:lang w:val="de-DE"/>
        </w:rPr>
      </w:pPr>
      <w:r w:rsidRPr="00170422">
        <w:rPr>
          <w:rFonts w:hint="default"/>
          <w:noProof/>
          <w:lang w:val="de-DE"/>
        </w:rPr>
        <w:t>„Vernetzte kleinere Inseln“, die Ultrabreitbandanbindung für ausgewählte kleinere Inseln ohne Glasfaserverbindungen zum Kontinent bieten.</w:t>
      </w:r>
    </w:p>
    <w:p w14:paraId="3BE17012" w14:textId="77777777" w:rsidR="0057163C" w:rsidRPr="00170422" w:rsidRDefault="0057163C">
      <w:pPr>
        <w:pStyle w:val="ListParagraph"/>
        <w:spacing w:after="0"/>
        <w:rPr>
          <w:noProof/>
          <w:lang w:val="de-DE"/>
        </w:rPr>
      </w:pPr>
    </w:p>
    <w:p w14:paraId="52953735" w14:textId="77777777" w:rsidR="0057163C" w:rsidRPr="00170422" w:rsidRDefault="00F37BF9">
      <w:pPr>
        <w:pStyle w:val="P68B1DB1-Normal5"/>
        <w:spacing w:before="120" w:after="120"/>
        <w:jc w:val="both"/>
        <w:rPr>
          <w:bCs/>
          <w:noProof/>
          <w:lang w:val="de-DE"/>
        </w:rPr>
      </w:pPr>
      <w:r w:rsidRPr="00170422">
        <w:rPr>
          <w:noProof/>
          <w:lang w:val="de-DE"/>
        </w:rPr>
        <w:t xml:space="preserve">Investition 4: </w:t>
      </w:r>
      <w:r w:rsidRPr="00170422">
        <w:rPr>
          <w:noProof/>
          <w:lang w:val="de-DE"/>
        </w:rPr>
        <w:t>Satellitentechnologie und Weltraumwirtschaft</w:t>
      </w:r>
    </w:p>
    <w:p w14:paraId="4173CFD5" w14:textId="7B7AB171" w:rsidR="0057163C" w:rsidRPr="00170422" w:rsidRDefault="00F37BF9">
      <w:pPr>
        <w:pStyle w:val="P68B1DB1-Normal7"/>
        <w:jc w:val="both"/>
        <w:rPr>
          <w:noProof/>
          <w:lang w:val="de-DE"/>
        </w:rPr>
      </w:pPr>
      <w:r w:rsidRPr="00170422">
        <w:rPr>
          <w:noProof/>
          <w:lang w:val="de-DE"/>
        </w:rPr>
        <w:t xml:space="preserve">Das Ziel der Investition besteht darin, Satellitenverbindungen im Hinblick auf den digitalen und ökologischen Wandel zu entwickeln und einen Beitrag zur Entwicklung des Raumfahrtsektors zu leisten. </w:t>
      </w:r>
      <w:r w:rsidRPr="00170422">
        <w:rPr>
          <w:noProof/>
          <w:color w:val="000000" w:themeColor="text1"/>
          <w:lang w:val="de-DE"/>
        </w:rPr>
        <w:t>Die Investiti</w:t>
      </w:r>
      <w:r w:rsidRPr="00170422">
        <w:rPr>
          <w:noProof/>
          <w:color w:val="000000" w:themeColor="text1"/>
          <w:lang w:val="de-DE"/>
        </w:rPr>
        <w:t xml:space="preserve">on </w:t>
      </w:r>
      <w:r w:rsidRPr="00170422">
        <w:rPr>
          <w:noProof/>
          <w:lang w:val="de-DE"/>
        </w:rPr>
        <w:t>besteht aus vier Projekten:</w:t>
      </w:r>
    </w:p>
    <w:p w14:paraId="12F90795" w14:textId="77777777" w:rsidR="0057163C" w:rsidRPr="00170422" w:rsidRDefault="00F37BF9">
      <w:pPr>
        <w:pStyle w:val="P68B1DB1-ListParagraph37"/>
        <w:numPr>
          <w:ilvl w:val="0"/>
          <w:numId w:val="52"/>
        </w:numPr>
        <w:spacing w:after="0" w:line="240" w:lineRule="auto"/>
        <w:jc w:val="both"/>
        <w:rPr>
          <w:rFonts w:eastAsiaTheme="minorEastAsia"/>
          <w:noProof/>
          <w:lang w:val="de-DE"/>
        </w:rPr>
      </w:pPr>
      <w:r w:rsidRPr="00170422">
        <w:rPr>
          <w:noProof/>
          <w:lang w:val="de-DE"/>
        </w:rPr>
        <w:t xml:space="preserve">SATCOM, </w:t>
      </w:r>
    </w:p>
    <w:p w14:paraId="76A49380" w14:textId="77777777" w:rsidR="0057163C" w:rsidRPr="00170422" w:rsidRDefault="00F37BF9">
      <w:pPr>
        <w:pStyle w:val="P68B1DB1-ListParagraph37"/>
        <w:numPr>
          <w:ilvl w:val="0"/>
          <w:numId w:val="52"/>
        </w:numPr>
        <w:spacing w:after="0" w:line="240" w:lineRule="auto"/>
        <w:jc w:val="both"/>
        <w:rPr>
          <w:rFonts w:eastAsiaTheme="minorEastAsia"/>
          <w:noProof/>
          <w:lang w:val="de-DE"/>
        </w:rPr>
      </w:pPr>
      <w:r w:rsidRPr="00170422">
        <w:rPr>
          <w:noProof/>
          <w:lang w:val="de-DE"/>
        </w:rPr>
        <w:t xml:space="preserve">Erdbeobachtung (EO), </w:t>
      </w:r>
    </w:p>
    <w:p w14:paraId="22BB946E" w14:textId="77777777" w:rsidR="0057163C" w:rsidRPr="00170422" w:rsidRDefault="00F37BF9">
      <w:pPr>
        <w:pStyle w:val="P68B1DB1-ListParagraph37"/>
        <w:numPr>
          <w:ilvl w:val="0"/>
          <w:numId w:val="52"/>
        </w:numPr>
        <w:spacing w:after="0" w:line="240" w:lineRule="auto"/>
        <w:jc w:val="both"/>
        <w:rPr>
          <w:rFonts w:eastAsiaTheme="minorEastAsia"/>
          <w:noProof/>
          <w:lang w:val="de-DE"/>
        </w:rPr>
      </w:pPr>
      <w:r w:rsidRPr="00170422">
        <w:rPr>
          <w:noProof/>
          <w:lang w:val="de-DE"/>
        </w:rPr>
        <w:t xml:space="preserve">Raumfahrtindustrie, </w:t>
      </w:r>
    </w:p>
    <w:p w14:paraId="113A0E6A" w14:textId="77777777" w:rsidR="0057163C" w:rsidRPr="00170422" w:rsidRDefault="00F37BF9">
      <w:pPr>
        <w:pStyle w:val="P68B1DB1-ListParagraph37"/>
        <w:numPr>
          <w:ilvl w:val="0"/>
          <w:numId w:val="52"/>
        </w:numPr>
        <w:spacing w:after="0" w:line="240" w:lineRule="auto"/>
        <w:jc w:val="both"/>
        <w:rPr>
          <w:rFonts w:eastAsiaTheme="minorEastAsia"/>
          <w:noProof/>
          <w:lang w:val="de-DE"/>
        </w:rPr>
      </w:pPr>
      <w:r w:rsidRPr="00170422">
        <w:rPr>
          <w:noProof/>
          <w:lang w:val="de-DE"/>
        </w:rPr>
        <w:t>In-Orbit-Wirtschaft.</w:t>
      </w:r>
    </w:p>
    <w:p w14:paraId="7B47B2CC" w14:textId="77777777" w:rsidR="0057163C" w:rsidRPr="00170422" w:rsidRDefault="00F37BF9">
      <w:pPr>
        <w:pStyle w:val="P68B1DB1-Normal7"/>
        <w:spacing w:before="120" w:after="120"/>
        <w:jc w:val="both"/>
        <w:rPr>
          <w:noProof/>
          <w:lang w:val="de-DE"/>
        </w:rPr>
      </w:pPr>
      <w:r w:rsidRPr="00170422">
        <w:rPr>
          <w:noProof/>
          <w:lang w:val="de-DE"/>
        </w:rPr>
        <w:t>Es ist vorgesehen, dass die Investition keine militärischen oder verteidigungspolitischen Ziele und Implikationen besitzt.</w:t>
      </w:r>
    </w:p>
    <w:p w14:paraId="08A34874" w14:textId="77777777" w:rsidR="0057163C" w:rsidRPr="00170422" w:rsidRDefault="00F37BF9">
      <w:pPr>
        <w:pStyle w:val="P68B1DB1-Normal5"/>
        <w:spacing w:before="120" w:after="120"/>
        <w:jc w:val="both"/>
        <w:rPr>
          <w:bCs/>
          <w:noProof/>
          <w:lang w:val="de-DE"/>
        </w:rPr>
      </w:pPr>
      <w:r w:rsidRPr="00170422">
        <w:rPr>
          <w:noProof/>
          <w:lang w:val="de-DE"/>
        </w:rPr>
        <w:t xml:space="preserve">Investition 5: Strategien für die industrielle Lieferkette und Internationalisierung </w:t>
      </w:r>
    </w:p>
    <w:p w14:paraId="7B1F45DB" w14:textId="77777777" w:rsidR="0057163C" w:rsidRPr="00170422" w:rsidRDefault="00F37BF9">
      <w:pPr>
        <w:pStyle w:val="P68B1DB1-Normal7"/>
        <w:jc w:val="both"/>
        <w:rPr>
          <w:noProof/>
          <w:lang w:val="de-DE"/>
        </w:rPr>
      </w:pPr>
      <w:r w:rsidRPr="00170422">
        <w:rPr>
          <w:noProof/>
          <w:lang w:val="de-DE"/>
        </w:rPr>
        <w:t>Ziel der Investition ist es, die industriellen Lieferketten zu stärken, insbesondere durch Erleichterung des Zugangs zu Finanzmitteln, und die Wettbewerbsfähigkeit von Un</w:t>
      </w:r>
      <w:r w:rsidRPr="00170422">
        <w:rPr>
          <w:noProof/>
          <w:lang w:val="de-DE"/>
        </w:rPr>
        <w:t>ternehmen (insbesondere KMU) zu fördern, insbesondere durch Unterstützung ihrer Internationalisierung und Stärkung ihrer Widerstandsfähigkeit nach der COVID-19-Krise.</w:t>
      </w:r>
    </w:p>
    <w:p w14:paraId="79C7D9D7" w14:textId="77777777" w:rsidR="0057163C" w:rsidRPr="00170422" w:rsidRDefault="00F37BF9">
      <w:pPr>
        <w:pStyle w:val="P68B1DB1-Normal7"/>
        <w:jc w:val="both"/>
        <w:rPr>
          <w:noProof/>
          <w:lang w:val="de-DE"/>
        </w:rPr>
      </w:pPr>
      <w:r w:rsidRPr="00170422">
        <w:rPr>
          <w:noProof/>
          <w:lang w:val="de-DE"/>
        </w:rPr>
        <w:t>Die Investition besteht aus zwei Interventionslinien:</w:t>
      </w:r>
    </w:p>
    <w:p w14:paraId="02FD13E8" w14:textId="77777777" w:rsidR="0057163C" w:rsidRPr="00170422" w:rsidRDefault="00F37BF9">
      <w:pPr>
        <w:pStyle w:val="P68B1DB1-ListParagraph37"/>
        <w:numPr>
          <w:ilvl w:val="3"/>
          <w:numId w:val="58"/>
        </w:numPr>
        <w:spacing w:before="120" w:after="120" w:line="240" w:lineRule="auto"/>
        <w:ind w:left="1134"/>
        <w:jc w:val="both"/>
        <w:rPr>
          <w:rFonts w:eastAsiaTheme="minorEastAsia"/>
          <w:noProof/>
          <w:lang w:val="de-DE"/>
        </w:rPr>
      </w:pPr>
      <w:r w:rsidRPr="00170422">
        <w:rPr>
          <w:noProof/>
          <w:lang w:val="de-DE"/>
        </w:rPr>
        <w:t>Refinanzierung des von SIMEST verwa</w:t>
      </w:r>
      <w:r w:rsidRPr="00170422">
        <w:rPr>
          <w:noProof/>
          <w:lang w:val="de-DE"/>
        </w:rPr>
        <w:t>lteten Fonds 394/81. Er besteht aus der Refinanzierung eines bestehenden Fonds, der derzeit von der öffentlichen Stelle SIMEST verwaltet wird und mit dem Unternehmen, insbesondere KMU, finanziell unterstützt werden, um ihre Internationalisierung durch vers</w:t>
      </w:r>
      <w:r w:rsidRPr="00170422">
        <w:rPr>
          <w:noProof/>
          <w:lang w:val="de-DE"/>
        </w:rPr>
        <w:t xml:space="preserve">chiedene Instrumente wie Programme für den Zugang zu ausländischen Märkten und die Entwicklung des elektronischen Handels zu unterstützen. </w:t>
      </w:r>
    </w:p>
    <w:p w14:paraId="41F15611" w14:textId="77777777" w:rsidR="0057163C" w:rsidRPr="00170422" w:rsidRDefault="00F37BF9">
      <w:pPr>
        <w:pStyle w:val="P68B1DB1-ListParagraph37"/>
        <w:numPr>
          <w:ilvl w:val="3"/>
          <w:numId w:val="58"/>
        </w:numPr>
        <w:spacing w:before="120" w:after="120" w:line="240" w:lineRule="auto"/>
        <w:ind w:left="1134"/>
        <w:jc w:val="both"/>
        <w:rPr>
          <w:rFonts w:eastAsiaTheme="minorEastAsia"/>
          <w:noProof/>
          <w:lang w:val="de-DE"/>
        </w:rPr>
      </w:pPr>
      <w:r w:rsidRPr="00170422">
        <w:rPr>
          <w:noProof/>
          <w:lang w:val="de-DE"/>
        </w:rPr>
        <w:t>Wettbewerbsfähigkeit und Widerstandsfähigkeit der Lieferketten. Es besteht aus der finanziellen Unterstützung von Un</w:t>
      </w:r>
      <w:r w:rsidRPr="00170422">
        <w:rPr>
          <w:noProof/>
          <w:lang w:val="de-DE"/>
        </w:rPr>
        <w:t xml:space="preserve">ternehmen über das Instrument des Entwicklungsvertrags für Projekte im Zusammenhang mit wichtigen strategischen Wertschöpfungsketten, wie industrielle Entwicklungsprogramme, Umweltschutzprogramme, nachhaltige Mobilität und Tourismusaktivitäten. </w:t>
      </w:r>
    </w:p>
    <w:p w14:paraId="627F9927" w14:textId="77777777" w:rsidR="0057163C" w:rsidRPr="00170422" w:rsidRDefault="00F37BF9">
      <w:pPr>
        <w:pStyle w:val="P68B1DB1-Normal7"/>
        <w:spacing w:after="120"/>
        <w:jc w:val="both"/>
        <w:rPr>
          <w:noProof/>
          <w:lang w:val="de-DE"/>
        </w:rPr>
      </w:pPr>
      <w:r w:rsidRPr="00170422">
        <w:rPr>
          <w:noProof/>
          <w:lang w:val="de-DE"/>
        </w:rPr>
        <w:t>Die oben g</w:t>
      </w:r>
      <w:r w:rsidRPr="00170422">
        <w:rPr>
          <w:noProof/>
          <w:lang w:val="de-DE"/>
        </w:rPr>
        <w:t>enannten Interventionen werden im Einklang mit der Investitionspolitik im Einklang mit den Zielen der Verordnung (EU) 2021/241 durchgeführt, auch in Bezug auf die Anwendung des Grundsatzes der „Vermeidung erheblicher Beeinträchtigungen“, wie in den technis</w:t>
      </w:r>
      <w:r w:rsidRPr="00170422">
        <w:rPr>
          <w:noProof/>
          <w:lang w:val="de-DE"/>
        </w:rPr>
        <w:t>chen Leitlinien „Vermeidung erheblicher Beeinträchtigungen“ (2021/C58/01) näher ausgeführt.</w:t>
      </w:r>
    </w:p>
    <w:p w14:paraId="542348E1" w14:textId="77777777" w:rsidR="0057163C" w:rsidRPr="00170422" w:rsidRDefault="00F37BF9">
      <w:pPr>
        <w:pStyle w:val="P68B1DB1-Normal7"/>
        <w:spacing w:after="120"/>
        <w:jc w:val="both"/>
        <w:rPr>
          <w:noProof/>
          <w:lang w:val="de-DE"/>
        </w:rPr>
      </w:pPr>
      <w:r w:rsidRPr="00170422">
        <w:rPr>
          <w:noProof/>
          <w:lang w:val="de-DE"/>
        </w:rPr>
        <w:t>Um sicherzustellen, dass die Maßnahme den technischen Leitlinien „Vermeidung erheblicher Beeinträchtigungen“ (2021/C58/01) entspricht, müssen die rechtliche Vereinb</w:t>
      </w:r>
      <w:r w:rsidRPr="00170422">
        <w:rPr>
          <w:noProof/>
          <w:lang w:val="de-DE"/>
        </w:rPr>
        <w:t xml:space="preserve">arung zwischen Italien und der betrauten Einrichtung oder dem für das Finanzinstrument zuständigen Finanzmittler und die anschließende Investitionspolitik des Finanzinstruments </w:t>
      </w:r>
    </w:p>
    <w:p w14:paraId="68AFC62A" w14:textId="77777777" w:rsidR="0057163C" w:rsidRPr="00170422" w:rsidRDefault="00F37BF9">
      <w:pPr>
        <w:pStyle w:val="P68B1DB1-ListParagraph36"/>
        <w:numPr>
          <w:ilvl w:val="0"/>
          <w:numId w:val="51"/>
        </w:numPr>
        <w:spacing w:after="0" w:line="240" w:lineRule="auto"/>
        <w:jc w:val="both"/>
        <w:rPr>
          <w:rFonts w:eastAsiaTheme="minorEastAsia" w:hint="default"/>
          <w:noProof/>
          <w:lang w:val="de-DE"/>
        </w:rPr>
      </w:pPr>
      <w:r w:rsidRPr="00170422">
        <w:rPr>
          <w:rFonts w:hint="default"/>
          <w:noProof/>
          <w:lang w:val="de-DE"/>
        </w:rPr>
        <w:t>die Anwendung der technischen Leitlinien der Kommission zur Nachhaltigkeitsprü</w:t>
      </w:r>
      <w:r w:rsidRPr="00170422">
        <w:rPr>
          <w:rFonts w:hint="default"/>
          <w:noProof/>
          <w:lang w:val="de-DE"/>
        </w:rPr>
        <w:t>fung für den Fonds „InvestEU“ verlangen; und</w:t>
      </w:r>
    </w:p>
    <w:p w14:paraId="3A521EB6" w14:textId="77777777" w:rsidR="0057163C" w:rsidRPr="00170422" w:rsidRDefault="00F37BF9">
      <w:pPr>
        <w:pStyle w:val="P68B1DB1-ListParagraph37"/>
        <w:numPr>
          <w:ilvl w:val="0"/>
          <w:numId w:val="51"/>
        </w:numPr>
        <w:spacing w:after="0" w:line="240" w:lineRule="auto"/>
        <w:jc w:val="both"/>
        <w:rPr>
          <w:rFonts w:eastAsiaTheme="minorEastAsia"/>
          <w:noProof/>
          <w:lang w:val="de-DE"/>
        </w:rPr>
      </w:pPr>
      <w:r w:rsidRPr="00170422">
        <w:rPr>
          <w:noProof/>
          <w:lang w:val="de-DE"/>
        </w:rPr>
        <w:t>die folgende Liste von Tätigkeiten und Vermögenswerten von der Förderfähigkeit auszuschließen:</w:t>
      </w:r>
      <w:r w:rsidRPr="00170422">
        <w:rPr>
          <w:noProof/>
          <w:color w:val="FF0000"/>
          <w:lang w:val="de-DE"/>
        </w:rPr>
        <w:t xml:space="preserve"> </w:t>
      </w:r>
      <w:r w:rsidRPr="00170422">
        <w:rPr>
          <w:noProof/>
          <w:lang w:val="de-DE"/>
        </w:rPr>
        <w:t>I) Tätigkeiten und Vermögenswerte im Zusammenhang mit fossilen Brennstoffen, einschließlich nachgelagerter Nutzung</w:t>
      </w:r>
      <w:r w:rsidRPr="00170422">
        <w:rPr>
          <w:noProof/>
          <w:vertAlign w:val="superscript"/>
          <w:lang w:val="de-DE"/>
        </w:rPr>
        <w:footnoteReference w:id="2"/>
      </w:r>
      <w:r w:rsidRPr="00170422">
        <w:rPr>
          <w:noProof/>
          <w:lang w:val="de-DE"/>
        </w:rPr>
        <w:t>;</w:t>
      </w:r>
      <w:r w:rsidRPr="00170422">
        <w:rPr>
          <w:noProof/>
          <w:lang w:val="de-DE"/>
        </w:rPr>
        <w:t xml:space="preserve"> II) Tätigkeiten und Vermögenswerte im Rahmen des EU-Emissionshandelssystems (EHS), mit denen prognostizierte Treibhausgasemissionen erreicht werden, die nicht unter den einschlägigen Referenzwerten liegen</w:t>
      </w:r>
      <w:r w:rsidRPr="00170422">
        <w:rPr>
          <w:noProof/>
          <w:vertAlign w:val="superscript"/>
          <w:lang w:val="de-DE"/>
        </w:rPr>
        <w:footnoteReference w:id="3"/>
      </w:r>
      <w:r w:rsidRPr="00170422">
        <w:rPr>
          <w:noProof/>
          <w:lang w:val="de-DE"/>
        </w:rPr>
        <w:t>; III) Tätigkeiten und Vermögenswerte im Zusammenh</w:t>
      </w:r>
      <w:r w:rsidRPr="00170422">
        <w:rPr>
          <w:noProof/>
          <w:lang w:val="de-DE"/>
        </w:rPr>
        <w:t>ang mit Abfalldeponien, Verbrennungsanlagen</w:t>
      </w:r>
      <w:r w:rsidRPr="00170422">
        <w:rPr>
          <w:noProof/>
          <w:vertAlign w:val="superscript"/>
          <w:lang w:val="de-DE"/>
        </w:rPr>
        <w:footnoteReference w:id="4"/>
      </w:r>
      <w:r w:rsidRPr="00170422">
        <w:rPr>
          <w:noProof/>
          <w:lang w:val="de-DE"/>
        </w:rPr>
        <w:t xml:space="preserve"> und Anlagen zur mechanisch-biologischen Behandlung</w:t>
      </w:r>
      <w:r w:rsidRPr="00170422">
        <w:rPr>
          <w:noProof/>
          <w:vertAlign w:val="superscript"/>
          <w:lang w:val="de-DE"/>
        </w:rPr>
        <w:footnoteReference w:id="5"/>
      </w:r>
      <w:r w:rsidRPr="00170422">
        <w:rPr>
          <w:noProof/>
          <w:lang w:val="de-DE"/>
        </w:rPr>
        <w:t>; und iv) Tätigkeiten und Vermögenswerte, bei denen die langfristige Entsorgung von Abfällen die Umwelt schädigen kann; und</w:t>
      </w:r>
    </w:p>
    <w:p w14:paraId="7B7103B4" w14:textId="77777777" w:rsidR="0057163C" w:rsidRPr="00170422" w:rsidRDefault="00F37BF9">
      <w:pPr>
        <w:pStyle w:val="P68B1DB1-ListParagraph37"/>
        <w:numPr>
          <w:ilvl w:val="0"/>
          <w:numId w:val="51"/>
        </w:numPr>
        <w:spacing w:after="0" w:line="240" w:lineRule="auto"/>
        <w:jc w:val="both"/>
        <w:rPr>
          <w:rFonts w:eastAsiaTheme="minorEastAsia"/>
          <w:noProof/>
          <w:lang w:val="de-DE"/>
        </w:rPr>
      </w:pPr>
      <w:r w:rsidRPr="00170422">
        <w:rPr>
          <w:noProof/>
          <w:lang w:val="de-DE"/>
        </w:rPr>
        <w:t>verlangen, dass die betraute Einrich</w:t>
      </w:r>
      <w:r w:rsidRPr="00170422">
        <w:rPr>
          <w:noProof/>
          <w:lang w:val="de-DE"/>
        </w:rPr>
        <w:t>tung oder der Finanzintermediär bei allen Transaktionen, einschließlich derjenigen, die von der Nachhaltigkeitsprüfung ausgenommen sind, die Einhaltung der einschlägigen EU- und nationalen Umweltvorschriften für die Projekte überprüft.</w:t>
      </w:r>
    </w:p>
    <w:p w14:paraId="39A81D8E" w14:textId="77777777" w:rsidR="0057163C" w:rsidRPr="00170422" w:rsidRDefault="0057163C">
      <w:pPr>
        <w:rPr>
          <w:rFonts w:ascii="Times New Roman" w:hAnsi="Times New Roman" w:cs="Times New Roman"/>
          <w:b/>
          <w:noProof/>
          <w:u w:val="single"/>
          <w:lang w:val="de-DE"/>
        </w:rPr>
      </w:pPr>
    </w:p>
    <w:p w14:paraId="0182B285" w14:textId="77777777" w:rsidR="0057163C" w:rsidRPr="00170422" w:rsidRDefault="00F37BF9">
      <w:pPr>
        <w:pStyle w:val="P68B1DB1-Normal5"/>
        <w:spacing w:before="120" w:after="120"/>
        <w:jc w:val="both"/>
        <w:rPr>
          <w:noProof/>
          <w:lang w:val="de-DE"/>
        </w:rPr>
      </w:pPr>
      <w:r w:rsidRPr="00170422">
        <w:rPr>
          <w:noProof/>
          <w:lang w:val="de-DE"/>
        </w:rPr>
        <w:t>Investition 7: Nati</w:t>
      </w:r>
      <w:r w:rsidRPr="00170422">
        <w:rPr>
          <w:noProof/>
          <w:lang w:val="de-DE"/>
        </w:rPr>
        <w:t>onaler Konnektivitätsfonds</w:t>
      </w:r>
    </w:p>
    <w:p w14:paraId="4B4681A6" w14:textId="77777777" w:rsidR="0057163C" w:rsidRPr="00170422" w:rsidRDefault="00F37BF9">
      <w:pPr>
        <w:pStyle w:val="P68B1DB1-Normal7"/>
        <w:spacing w:line="240" w:lineRule="auto"/>
        <w:jc w:val="both"/>
        <w:rPr>
          <w:rFonts w:eastAsia="Calibri"/>
          <w:noProof/>
          <w:lang w:val="de-DE"/>
        </w:rPr>
      </w:pPr>
      <w:r w:rsidRPr="00170422">
        <w:rPr>
          <w:noProof/>
          <w:lang w:val="de-DE"/>
        </w:rPr>
        <w:t xml:space="preserve">Diese Maßnahme besteht in einer öffentlichen Investition in eine Zuschussregelung „Nationaler Konnektivitätsfonds“, um Anreize für private Investitionen zu schaffen und den Zugang zu Finanzmitteln im Sektor der </w:t>
      </w:r>
      <w:r w:rsidRPr="00170422">
        <w:rPr>
          <w:noProof/>
          <w:lang w:val="de-DE"/>
        </w:rPr>
        <w:t>Ultrabreitbandnetzinfrastruktur Italiens zu verbessern. Die Regelung wird in Form von Zuschüssen direkt an den privaten Sektor durchgeführt.</w:t>
      </w:r>
    </w:p>
    <w:p w14:paraId="6AE89921" w14:textId="77777777" w:rsidR="0057163C" w:rsidRPr="00170422" w:rsidRDefault="00F37BF9">
      <w:pPr>
        <w:pStyle w:val="P68B1DB1-Normal38"/>
        <w:spacing w:line="240" w:lineRule="auto"/>
        <w:jc w:val="both"/>
        <w:rPr>
          <w:noProof/>
          <w:lang w:val="de-DE"/>
        </w:rPr>
      </w:pPr>
      <w:r w:rsidRPr="00170422">
        <w:rPr>
          <w:noProof/>
          <w:lang w:val="de-DE"/>
        </w:rPr>
        <w:t>Das Programm wird von Invitalia S.p.A. als Durchführungspartner verwaltet. Die Regelung umfasst die folgende Warenl</w:t>
      </w:r>
      <w:r w:rsidRPr="00170422">
        <w:rPr>
          <w:noProof/>
          <w:lang w:val="de-DE"/>
        </w:rPr>
        <w:t>inie:</w:t>
      </w:r>
    </w:p>
    <w:p w14:paraId="784764A5" w14:textId="77777777" w:rsidR="0057163C" w:rsidRPr="00170422" w:rsidRDefault="00F37BF9">
      <w:pPr>
        <w:pStyle w:val="P68B1DB1-Normal38"/>
        <w:keepNext/>
        <w:numPr>
          <w:ilvl w:val="0"/>
          <w:numId w:val="73"/>
        </w:numPr>
        <w:spacing w:line="240" w:lineRule="auto"/>
        <w:contextualSpacing/>
        <w:jc w:val="both"/>
        <w:rPr>
          <w:noProof/>
          <w:lang w:val="de-DE"/>
        </w:rPr>
      </w:pPr>
      <w:r w:rsidRPr="00170422">
        <w:rPr>
          <w:noProof/>
          <w:lang w:val="de-DE"/>
        </w:rPr>
        <w:t xml:space="preserve">Einen Zuschuss zur Deckung der Rentabilitätslücke, der mindestens 30 % der privaten Kofinanzierung der Gesamtkosten des Projekts erfordert. </w:t>
      </w:r>
    </w:p>
    <w:p w14:paraId="65ED103D" w14:textId="77777777" w:rsidR="0057163C" w:rsidRPr="00170422" w:rsidRDefault="00F37BF9">
      <w:pPr>
        <w:pStyle w:val="P68B1DB1-Normal38"/>
        <w:spacing w:line="240" w:lineRule="auto"/>
        <w:jc w:val="both"/>
        <w:rPr>
          <w:noProof/>
          <w:lang w:val="de-DE"/>
        </w:rPr>
      </w:pPr>
      <w:r w:rsidRPr="00170422">
        <w:rPr>
          <w:noProof/>
          <w:lang w:val="de-DE"/>
        </w:rPr>
        <w:t>Zur Durchführung der Investition in die Regelung unterzeichnen Italien und Invitalia S.p.A. ein Durchführungs</w:t>
      </w:r>
      <w:r w:rsidRPr="00170422">
        <w:rPr>
          <w:noProof/>
          <w:lang w:val="de-DE"/>
        </w:rPr>
        <w:t>abkommen, das Folgendes enthält:</w:t>
      </w:r>
    </w:p>
    <w:p w14:paraId="5294EF91" w14:textId="77777777" w:rsidR="0057163C" w:rsidRPr="00170422" w:rsidRDefault="00F37BF9">
      <w:pPr>
        <w:pStyle w:val="P68B1DB1-ListParagraph39"/>
        <w:numPr>
          <w:ilvl w:val="0"/>
          <w:numId w:val="181"/>
        </w:numPr>
        <w:jc w:val="both"/>
        <w:rPr>
          <w:rFonts w:eastAsia="Times New Roman"/>
          <w:noProof/>
          <w:lang w:val="de-DE"/>
        </w:rPr>
      </w:pPr>
      <w:r w:rsidRPr="00170422">
        <w:rPr>
          <w:noProof/>
          <w:lang w:val="de-DE"/>
        </w:rPr>
        <w:t>Beschreibung des Entscheidungsprozesses der Regelung: Die endgültige Entscheidung über die Vergabe des Systems wird von einem Investitionsausschuss oder einem anderen gleichwertigen Leitungsgremium getroffen und mit der Meh</w:t>
      </w:r>
      <w:r w:rsidRPr="00170422">
        <w:rPr>
          <w:noProof/>
          <w:lang w:val="de-DE"/>
        </w:rPr>
        <w:t>rheit der Stimmen der von der Regierung unabhängigen Mitglieder genehmigt.</w:t>
      </w:r>
    </w:p>
    <w:p w14:paraId="36B76DBC" w14:textId="77777777" w:rsidR="0057163C" w:rsidRPr="00170422" w:rsidRDefault="00F37BF9">
      <w:pPr>
        <w:pStyle w:val="P68B1DB1-ListParagraph39"/>
        <w:numPr>
          <w:ilvl w:val="0"/>
          <w:numId w:val="181"/>
        </w:numPr>
        <w:jc w:val="both"/>
        <w:rPr>
          <w:noProof/>
          <w:lang w:val="de-DE"/>
        </w:rPr>
      </w:pPr>
      <w:r w:rsidRPr="00170422">
        <w:rPr>
          <w:noProof/>
          <w:lang w:val="de-DE"/>
        </w:rPr>
        <w:t>Kernanforderungen der damit verbundenen Finanzhilfepolitik,</w:t>
      </w:r>
      <w:r w:rsidRPr="00170422">
        <w:rPr>
          <w:b/>
          <w:noProof/>
          <w:lang w:val="de-DE"/>
        </w:rPr>
        <w:t xml:space="preserve"> </w:t>
      </w:r>
      <w:r w:rsidRPr="00170422">
        <w:rPr>
          <w:noProof/>
          <w:lang w:val="de-DE"/>
        </w:rPr>
        <w:t>die Folgendes umfassen:</w:t>
      </w:r>
    </w:p>
    <w:p w14:paraId="43919C71" w14:textId="35D3368B" w:rsidR="0057163C" w:rsidRPr="00170422" w:rsidRDefault="00F37BF9">
      <w:pPr>
        <w:pStyle w:val="P68B1DB1-ListParagraph39"/>
        <w:numPr>
          <w:ilvl w:val="0"/>
          <w:numId w:val="183"/>
        </w:numPr>
        <w:jc w:val="both"/>
        <w:rPr>
          <w:noProof/>
          <w:lang w:val="de-DE"/>
        </w:rPr>
      </w:pPr>
      <w:r w:rsidRPr="00170422">
        <w:rPr>
          <w:noProof/>
          <w:lang w:val="de-DE"/>
        </w:rPr>
        <w:t xml:space="preserve">Die Beschreibung der gewährten Finanzhilfen und der förderfähigen Endbegünstigten. </w:t>
      </w:r>
    </w:p>
    <w:p w14:paraId="442B6202" w14:textId="77777777" w:rsidR="0057163C" w:rsidRPr="00170422" w:rsidRDefault="00F37BF9">
      <w:pPr>
        <w:pStyle w:val="P68B1DB1-ListParagraph39"/>
        <w:numPr>
          <w:ilvl w:val="0"/>
          <w:numId w:val="183"/>
        </w:numPr>
        <w:jc w:val="both"/>
        <w:rPr>
          <w:noProof/>
          <w:lang w:val="de-DE"/>
        </w:rPr>
      </w:pPr>
      <w:r w:rsidRPr="00170422">
        <w:rPr>
          <w:noProof/>
          <w:lang w:val="de-DE"/>
        </w:rPr>
        <w:t>Die Anforderu</w:t>
      </w:r>
      <w:r w:rsidRPr="00170422">
        <w:rPr>
          <w:noProof/>
          <w:lang w:val="de-DE"/>
        </w:rPr>
        <w:t>ng, dass alle geförderten Investitionen wirtschaftlich tragfähig sind.</w:t>
      </w:r>
    </w:p>
    <w:p w14:paraId="4F5BC117" w14:textId="77777777" w:rsidR="0057163C" w:rsidRPr="00170422" w:rsidRDefault="00F37BF9">
      <w:pPr>
        <w:pStyle w:val="P68B1DB1-ListParagraph40"/>
        <w:numPr>
          <w:ilvl w:val="0"/>
          <w:numId w:val="183"/>
        </w:numPr>
        <w:jc w:val="both"/>
        <w:rPr>
          <w:rFonts w:eastAsia="Calibri" w:cs="Times New Roman"/>
          <w:noProof/>
          <w:lang w:val="de-DE"/>
        </w:rPr>
      </w:pPr>
      <w:r w:rsidRPr="00170422">
        <w:rPr>
          <w:noProof/>
          <w:lang w:val="de-DE"/>
        </w:rPr>
        <w:t>Die Anforderung, den Grundsatz der „Vermeidung erheblicher Beeinträchtigungen“ (DNSH) gemäß den technischen Leitlinien zur Vermeidung erheblicher Beeinträchtigungen (2021/C58/01) einzuh</w:t>
      </w:r>
      <w:r w:rsidRPr="00170422">
        <w:rPr>
          <w:noProof/>
          <w:lang w:val="de-DE"/>
        </w:rPr>
        <w:t>alten: Insbesondere schließt die Finanzhilfepolitik die folgende Liste von Tätigkeiten und Vermögenswerten von der Förderfähigkeit aus: Tätigkeiten und Vermögenswerte im Zusammenhang mit fossilen Brennstoffen, einschließlich nachgelagerter Nutzung,</w:t>
      </w:r>
      <w:r w:rsidRPr="00170422">
        <w:rPr>
          <w:noProof/>
          <w:vertAlign w:val="superscript"/>
          <w:lang w:val="de-DE"/>
        </w:rPr>
        <w:footnoteReference w:id="6"/>
      </w:r>
      <w:r w:rsidRPr="00170422">
        <w:rPr>
          <w:noProof/>
          <w:lang w:val="de-DE"/>
        </w:rPr>
        <w:t>ii) Tät</w:t>
      </w:r>
      <w:r w:rsidRPr="00170422">
        <w:rPr>
          <w:noProof/>
          <w:lang w:val="de-DE"/>
        </w:rPr>
        <w:t>igkeiten und Vermögenswerte im Rahmen des EU-Emissionshandelssystems (EHS), mit denen prognostizierte Treibhausgasemissionen erreicht werden, die nicht unter den einschlägigen Richtwerten liegen,</w:t>
      </w:r>
      <w:r w:rsidRPr="00170422">
        <w:rPr>
          <w:noProof/>
          <w:vertAlign w:val="superscript"/>
          <w:lang w:val="de-DE"/>
        </w:rPr>
        <w:footnoteReference w:id="7"/>
      </w:r>
      <w:r w:rsidRPr="00170422">
        <w:rPr>
          <w:noProof/>
          <w:lang w:val="de-DE"/>
        </w:rPr>
        <w:t>iii) Tätigkeiten und Vermögenswerte im Zusammenhang mit Abfa</w:t>
      </w:r>
      <w:r w:rsidRPr="00170422">
        <w:rPr>
          <w:noProof/>
          <w:lang w:val="de-DE"/>
        </w:rPr>
        <w:t>lldeponien, Verbrennungsanlagen</w:t>
      </w:r>
      <w:r w:rsidRPr="00170422">
        <w:rPr>
          <w:noProof/>
          <w:vertAlign w:val="superscript"/>
          <w:lang w:val="de-DE"/>
        </w:rPr>
        <w:footnoteReference w:id="8"/>
      </w:r>
      <w:r w:rsidRPr="00170422">
        <w:rPr>
          <w:noProof/>
          <w:lang w:val="de-DE"/>
        </w:rPr>
        <w:t xml:space="preserve"> und mechanisch-biologischen Behandlungsanlagen</w:t>
      </w:r>
      <w:r w:rsidRPr="00170422">
        <w:rPr>
          <w:noProof/>
          <w:vertAlign w:val="superscript"/>
          <w:lang w:val="de-DE"/>
        </w:rPr>
        <w:footnoteReference w:id="9"/>
      </w:r>
      <w:r w:rsidRPr="00170422">
        <w:rPr>
          <w:noProof/>
          <w:lang w:val="de-DE"/>
        </w:rPr>
        <w:t xml:space="preserve">. </w:t>
      </w:r>
    </w:p>
    <w:p w14:paraId="0E0B6B72" w14:textId="77777777" w:rsidR="0057163C" w:rsidRPr="00170422" w:rsidRDefault="00F37BF9">
      <w:pPr>
        <w:pStyle w:val="P68B1DB1-ListParagraph39"/>
        <w:numPr>
          <w:ilvl w:val="0"/>
          <w:numId w:val="183"/>
        </w:numPr>
        <w:jc w:val="both"/>
        <w:rPr>
          <w:bCs/>
          <w:noProof/>
          <w:lang w:val="de-DE"/>
        </w:rPr>
      </w:pPr>
      <w:r w:rsidRPr="00170422">
        <w:rPr>
          <w:noProof/>
          <w:lang w:val="de-DE"/>
        </w:rPr>
        <w:t>Die Anforderung, dass die Endbegünstigten der Regelung keine Unterstützung aus anderen Instrumenten der Union erhalten dürfen, um dieselben Kosten zu decken.</w:t>
      </w:r>
    </w:p>
    <w:p w14:paraId="6725B0F4" w14:textId="77777777" w:rsidR="0057163C" w:rsidRPr="00170422" w:rsidRDefault="00F37BF9">
      <w:pPr>
        <w:pStyle w:val="P68B1DB1-ListParagraph39"/>
        <w:numPr>
          <w:ilvl w:val="0"/>
          <w:numId w:val="181"/>
        </w:numPr>
        <w:jc w:val="both"/>
        <w:rPr>
          <w:noProof/>
          <w:lang w:val="de-DE"/>
        </w:rPr>
      </w:pPr>
      <w:r w:rsidRPr="00170422">
        <w:rPr>
          <w:noProof/>
          <w:lang w:val="de-DE"/>
        </w:rPr>
        <w:t>Den unter das D</w:t>
      </w:r>
      <w:r w:rsidRPr="00170422">
        <w:rPr>
          <w:noProof/>
          <w:lang w:val="de-DE"/>
        </w:rPr>
        <w:t>urchführungsabkommen fallenden Betrag, die Gebührenstruktur für den Durchführungspartner und die Anforderung, etwaige ungenutzte Einnahmen aus dem System, auch nach 2026, für dieselben politischen Zwecke zu verwenden.</w:t>
      </w:r>
    </w:p>
    <w:p w14:paraId="2C0277DA" w14:textId="77777777" w:rsidR="0057163C" w:rsidRPr="00170422" w:rsidRDefault="00F37BF9">
      <w:pPr>
        <w:pStyle w:val="P68B1DB1-ListParagraph39"/>
        <w:numPr>
          <w:ilvl w:val="0"/>
          <w:numId w:val="181"/>
        </w:numPr>
        <w:jc w:val="both"/>
        <w:rPr>
          <w:noProof/>
          <w:lang w:val="de-DE"/>
        </w:rPr>
      </w:pPr>
      <w:r w:rsidRPr="00170422">
        <w:rPr>
          <w:noProof/>
          <w:lang w:val="de-DE"/>
        </w:rPr>
        <w:t>Überwachungs-, Prüf- und Kontrollanfor</w:t>
      </w:r>
      <w:r w:rsidRPr="00170422">
        <w:rPr>
          <w:noProof/>
          <w:lang w:val="de-DE"/>
        </w:rPr>
        <w:t>derungen, einschließlich:</w:t>
      </w:r>
    </w:p>
    <w:p w14:paraId="75BCBFA8" w14:textId="77777777" w:rsidR="0057163C" w:rsidRPr="00170422" w:rsidRDefault="00F37BF9">
      <w:pPr>
        <w:pStyle w:val="P68B1DB1-Normal38"/>
        <w:numPr>
          <w:ilvl w:val="0"/>
          <w:numId w:val="74"/>
        </w:numPr>
        <w:spacing w:line="240" w:lineRule="auto"/>
        <w:jc w:val="both"/>
        <w:rPr>
          <w:noProof/>
          <w:lang w:val="de-DE"/>
        </w:rPr>
      </w:pPr>
      <w:r w:rsidRPr="00170422">
        <w:rPr>
          <w:noProof/>
          <w:lang w:val="de-DE"/>
        </w:rPr>
        <w:t>Die Beschreibung des Überwachungssystems des Durchführungspartners zur Berichterstattung über die mobilisierten Finanzhilfen.</w:t>
      </w:r>
    </w:p>
    <w:p w14:paraId="65118B96" w14:textId="77777777" w:rsidR="0057163C" w:rsidRPr="00170422" w:rsidRDefault="00F37BF9">
      <w:pPr>
        <w:pStyle w:val="P68B1DB1-Normal38"/>
        <w:numPr>
          <w:ilvl w:val="0"/>
          <w:numId w:val="74"/>
        </w:numPr>
        <w:jc w:val="both"/>
        <w:rPr>
          <w:noProof/>
          <w:lang w:val="de-DE"/>
        </w:rPr>
      </w:pPr>
      <w:r w:rsidRPr="00170422">
        <w:rPr>
          <w:noProof/>
          <w:lang w:val="de-DE"/>
        </w:rPr>
        <w:t>Die Beschreibung der Verfahren des Durchführungspartners, die die Prävention, Aufdeckung und Behebung vo</w:t>
      </w:r>
      <w:r w:rsidRPr="00170422">
        <w:rPr>
          <w:noProof/>
          <w:lang w:val="de-DE"/>
        </w:rPr>
        <w:t xml:space="preserve">n Betrug, Korruption und Interessenkonflikten gewährleisten. </w:t>
      </w:r>
    </w:p>
    <w:p w14:paraId="6D24E78F" w14:textId="77777777" w:rsidR="0057163C" w:rsidRPr="00170422" w:rsidRDefault="00F37BF9">
      <w:pPr>
        <w:pStyle w:val="P68B1DB1-Normal38"/>
        <w:numPr>
          <w:ilvl w:val="0"/>
          <w:numId w:val="74"/>
        </w:numPr>
        <w:jc w:val="both"/>
        <w:rPr>
          <w:noProof/>
          <w:lang w:val="de-DE"/>
        </w:rPr>
      </w:pPr>
      <w:r w:rsidRPr="00170422">
        <w:rPr>
          <w:noProof/>
          <w:lang w:val="de-DE"/>
        </w:rPr>
        <w:t>Die Verpflichtung, die Förderfähigkeit jedes Vorhabens gemäß den Anforderungen des Durchführungsabkommens zu überprüfen, bevor eine Finanzhilfe für ein Vorhaben gewährt wird.</w:t>
      </w:r>
    </w:p>
    <w:p w14:paraId="3BD452A2" w14:textId="77777777" w:rsidR="0057163C" w:rsidRPr="00170422" w:rsidRDefault="00F37BF9">
      <w:pPr>
        <w:numPr>
          <w:ilvl w:val="0"/>
          <w:numId w:val="74"/>
        </w:numPr>
        <w:spacing w:line="240" w:lineRule="auto"/>
        <w:jc w:val="both"/>
        <w:rPr>
          <w:rFonts w:ascii="Times New Roman" w:eastAsia="Calibri" w:hAnsi="Times New Roman" w:cs="Times New Roman"/>
          <w:noProof/>
          <w:lang w:val="de-DE"/>
        </w:rPr>
      </w:pPr>
      <w:r w:rsidRPr="00170422">
        <w:rPr>
          <w:rFonts w:ascii="Times New Roman" w:eastAsia="Calibri" w:hAnsi="Times New Roman" w:cs="Times New Roman"/>
          <w:noProof/>
          <w:lang w:val="de-DE"/>
        </w:rPr>
        <w:t>Die Verpflichtung z</w:t>
      </w:r>
      <w:r w:rsidRPr="00170422">
        <w:rPr>
          <w:rFonts w:ascii="Times New Roman" w:eastAsia="Calibri" w:hAnsi="Times New Roman" w:cs="Times New Roman"/>
          <w:noProof/>
          <w:lang w:val="de-DE"/>
        </w:rPr>
        <w:t>ur Durchführung risikobasierter Ex-post-Prüfungen im Einklang mit einem Prüfplan von Invitalia S.p.A.</w:t>
      </w:r>
      <w:r w:rsidRPr="00170422">
        <w:rPr>
          <w:rFonts w:ascii="Calibri" w:eastAsia="Calibri" w:hAnsi="Calibri" w:cs="Times New Roman"/>
          <w:noProof/>
          <w:lang w:val="de-DE"/>
        </w:rPr>
        <w:t xml:space="preserve"> </w:t>
      </w:r>
      <w:r w:rsidRPr="00170422">
        <w:rPr>
          <w:rFonts w:ascii="Times New Roman" w:eastAsia="Calibri" w:hAnsi="Times New Roman" w:cs="Times New Roman"/>
          <w:noProof/>
          <w:lang w:val="de-DE"/>
        </w:rPr>
        <w:t>Bei diesen Prüfungen wird Folgendes überprüft: i) die Wirksamkeit der Kontrollsysteme, einschließlich der Aufdeckung von Betrug, Korruption und I</w:t>
      </w:r>
      <w:r w:rsidRPr="00170422">
        <w:rPr>
          <w:rFonts w:ascii="Times New Roman" w:eastAsia="Calibri" w:hAnsi="Times New Roman" w:cs="Times New Roman"/>
          <w:noProof/>
          <w:lang w:val="de-DE"/>
        </w:rPr>
        <w:t>nteressenkonflikten; II) Einhaltung des DNSH-Grundsatzes, der Vorschriften über staatliche Beihilfen; und iii) die Anforderung, dass die Endbegünstigten der Regelung keine Unterstützung aus anderen Instrumenten der Union erhalten haben, um dieselben Kosten</w:t>
      </w:r>
      <w:r w:rsidRPr="00170422">
        <w:rPr>
          <w:rFonts w:ascii="Times New Roman" w:eastAsia="Calibri" w:hAnsi="Times New Roman" w:cs="Times New Roman"/>
          <w:noProof/>
          <w:lang w:val="de-DE"/>
        </w:rPr>
        <w:t xml:space="preserve"> zu decken, eingehalten wird. Bei den Prüfungen wird auch die Rechtmäßigkeit der Transaktionen und die Einhaltung der Bedingungen des geltenden Durchführungsabkommens und der geltenden Finanzhilfevereinbarungen überprüft.</w:t>
      </w:r>
    </w:p>
    <w:p w14:paraId="18598E38" w14:textId="4B5C0901" w:rsidR="0057163C" w:rsidRPr="00170422" w:rsidRDefault="0057163C">
      <w:pPr>
        <w:pStyle w:val="P68B1DB1-Normal7"/>
        <w:rPr>
          <w:b/>
          <w:noProof/>
          <w:lang w:val="de-DE"/>
        </w:rPr>
      </w:pPr>
    </w:p>
    <w:p w14:paraId="628B5B01" w14:textId="26F822BE" w:rsidR="0057163C" w:rsidRPr="00170422" w:rsidRDefault="00F37BF9">
      <w:pPr>
        <w:pStyle w:val="P68B1DB1-Normal5"/>
        <w:spacing w:before="120" w:after="120"/>
        <w:jc w:val="both"/>
        <w:rPr>
          <w:noProof/>
          <w:lang w:val="de-DE"/>
        </w:rPr>
      </w:pPr>
      <w:r w:rsidRPr="00170422">
        <w:rPr>
          <w:noProof/>
          <w:lang w:val="de-DE"/>
        </w:rPr>
        <w:t>Investition 8: InvestEU-Mitglieds</w:t>
      </w:r>
      <w:r w:rsidRPr="00170422">
        <w:rPr>
          <w:noProof/>
          <w:lang w:val="de-DE"/>
        </w:rPr>
        <w:t>taaten-Kompartment</w:t>
      </w:r>
    </w:p>
    <w:p w14:paraId="172F2FB9" w14:textId="255F4B5C" w:rsidR="0057163C" w:rsidRPr="00170422" w:rsidRDefault="00F37BF9">
      <w:pPr>
        <w:pStyle w:val="P68B1DB1-Normal7"/>
        <w:spacing w:after="120" w:line="276" w:lineRule="auto"/>
        <w:jc w:val="both"/>
        <w:rPr>
          <w:noProof/>
          <w:lang w:val="de-DE"/>
        </w:rPr>
      </w:pPr>
      <w:bookmarkStart w:id="10" w:name="_Hlk212036381"/>
      <w:r w:rsidRPr="00170422">
        <w:rPr>
          <w:noProof/>
          <w:lang w:val="de-DE"/>
        </w:rPr>
        <w:t xml:space="preserve">Diese Maßnahme besteht aus einer öffentlichen Investition in der Mitgliedstaaten-Komponente von InvestEU, um Anreize für private Investitionen zu schaffen und den Zugang zu Finanzmitteln in Sektoren zu verbessern, zu denen unter anderem </w:t>
      </w:r>
      <w:r w:rsidRPr="00170422">
        <w:rPr>
          <w:noProof/>
          <w:lang w:val="de-DE"/>
        </w:rPr>
        <w:t>das verarbeitende Gewerbe und das Baugewerbe gehören können. Der Beitrag zur InvestEU-Mitgliedstaaten-Komponente wird verwendet, um die Wettbewerbsfähigkeit von KMU, anderen Unternehmen und der italienischen Wirtschaft insgesamt zu stärken, indem beispiels</w:t>
      </w:r>
      <w:r w:rsidRPr="00170422">
        <w:rPr>
          <w:noProof/>
          <w:lang w:val="de-DE"/>
        </w:rPr>
        <w:t>weise soziale und nachhaltige Infrastrukturprojekte sowie Initiativen in den Bereichen Forschung, Innovation und Digitalisierung unterstützt werden. Dieses Finanzprodukt dient beispielsweise der Bereitstellung von Garantien, Darlehen und Beteiligungskapita</w:t>
      </w:r>
      <w:r w:rsidRPr="00170422">
        <w:rPr>
          <w:noProof/>
          <w:lang w:val="de-DE"/>
        </w:rPr>
        <w:t>l direkt oder über Intermediäre für den privaten Sektor sowie für öffentliche Stellen, die ähnliche Tätigkeiten ausüben.</w:t>
      </w:r>
    </w:p>
    <w:p w14:paraId="08469770" w14:textId="77777777" w:rsidR="0057163C" w:rsidRPr="00170422" w:rsidRDefault="00F37BF9">
      <w:pPr>
        <w:pStyle w:val="P68B1DB1-Normal7"/>
        <w:spacing w:after="120" w:line="276" w:lineRule="auto"/>
        <w:jc w:val="both"/>
        <w:rPr>
          <w:noProof/>
          <w:lang w:val="de-DE"/>
        </w:rPr>
      </w:pPr>
      <w:r w:rsidRPr="00170422">
        <w:rPr>
          <w:noProof/>
          <w:lang w:val="de-DE"/>
        </w:rPr>
        <w:t>Eine Garantievereinbarung zwischen der Kommission und einem (oder mehreren) Durchführungspartner(n), die gemäß den einschlägigen Bestim</w:t>
      </w:r>
      <w:r w:rsidRPr="00170422">
        <w:rPr>
          <w:noProof/>
          <w:lang w:val="de-DE"/>
        </w:rPr>
        <w:t xml:space="preserve">mungen der Verordnung (EU) 2021/523 des Europäischen Parlaments und des Rates vom 24. März 2021 zur Einrichtung des Programms „InvestEU“ und zur Änderung der Verordnung (EU) 2015/1017 ausgewählt wurden, tritt in Kraft. </w:t>
      </w:r>
    </w:p>
    <w:p w14:paraId="172C6541" w14:textId="77777777" w:rsidR="0057163C" w:rsidRPr="00170422" w:rsidRDefault="00F37BF9">
      <w:pPr>
        <w:pStyle w:val="P68B1DB1-Normal7"/>
        <w:spacing w:after="120" w:line="276" w:lineRule="auto"/>
        <w:jc w:val="both"/>
        <w:rPr>
          <w:noProof/>
          <w:lang w:val="de-DE"/>
        </w:rPr>
      </w:pPr>
      <w:r w:rsidRPr="00170422">
        <w:rPr>
          <w:noProof/>
          <w:lang w:val="de-DE"/>
        </w:rPr>
        <w:t>Italien unterzeichnet mit der Europä</w:t>
      </w:r>
      <w:r w:rsidRPr="00170422">
        <w:rPr>
          <w:noProof/>
          <w:lang w:val="de-DE"/>
        </w:rPr>
        <w:t>ischen Kommission eine Beitragsvereinbarung, die Folgendes enthält:</w:t>
      </w:r>
    </w:p>
    <w:p w14:paraId="73A7A3B7" w14:textId="77777777" w:rsidR="0057163C" w:rsidRPr="00170422" w:rsidRDefault="00F37BF9">
      <w:pPr>
        <w:pStyle w:val="P68B1DB1-ListParagraph37"/>
        <w:numPr>
          <w:ilvl w:val="0"/>
          <w:numId w:val="75"/>
        </w:numPr>
        <w:rPr>
          <w:noProof/>
          <w:lang w:val="de-DE"/>
        </w:rPr>
      </w:pPr>
      <w:r w:rsidRPr="00170422">
        <w:rPr>
          <w:noProof/>
          <w:lang w:val="de-DE"/>
        </w:rPr>
        <w:t xml:space="preserve">Der/die vorgeschlagene(n) Durchführungspartner. </w:t>
      </w:r>
    </w:p>
    <w:p w14:paraId="1A0AC24C" w14:textId="77777777" w:rsidR="0057163C" w:rsidRPr="00170422" w:rsidRDefault="00F37BF9">
      <w:pPr>
        <w:pStyle w:val="ListParagraph"/>
        <w:numPr>
          <w:ilvl w:val="0"/>
          <w:numId w:val="75"/>
        </w:numPr>
        <w:rPr>
          <w:rFonts w:ascii="Times New Roman" w:hAnsi="Times New Roman" w:cs="Times New Roman"/>
          <w:noProof/>
          <w:lang w:val="de-DE"/>
        </w:rPr>
      </w:pPr>
      <w:r w:rsidRPr="00170422">
        <w:rPr>
          <w:rFonts w:ascii="Times New Roman" w:hAnsi="Times New Roman" w:cs="Times New Roman"/>
          <w:noProof/>
          <w:lang w:val="de-DE"/>
        </w:rPr>
        <w:t>Die Anforderung der Einhaltung der technischen Leitlinien zur Vermeidung erheblicher Beeinträchtigungen (2023/C111). Erforderlichenfalls sc</w:t>
      </w:r>
      <w:r w:rsidRPr="00170422">
        <w:rPr>
          <w:rFonts w:ascii="Times New Roman" w:hAnsi="Times New Roman" w:cs="Times New Roman"/>
          <w:noProof/>
          <w:lang w:val="de-DE"/>
        </w:rPr>
        <w:t>hließen die geänderten Garantievereinbarungen folgende Liste von Tätigkeiten und Vermögenswerten von der Förderfähigkeit aus: I) Tätigkeiten und Vermögenswerte im Zusammenhang mit fossilen Brennstoffen, einschließlich nachgelagerter Nutzung</w:t>
      </w:r>
      <w:r w:rsidRPr="00170422">
        <w:rPr>
          <w:rStyle w:val="FootnoteReference"/>
          <w:rFonts w:ascii="Times New Roman" w:hAnsi="Times New Roman" w:cs="Times New Roman"/>
          <w:noProof/>
          <w:lang w:val="de-DE"/>
        </w:rPr>
        <w:footnoteReference w:id="10"/>
      </w:r>
      <w:r w:rsidRPr="00170422">
        <w:rPr>
          <w:rFonts w:ascii="Times New Roman" w:hAnsi="Times New Roman" w:cs="Times New Roman"/>
          <w:noProof/>
          <w:lang w:val="de-DE"/>
        </w:rPr>
        <w:t>; II) Tätigkeit</w:t>
      </w:r>
      <w:r w:rsidRPr="00170422">
        <w:rPr>
          <w:rFonts w:ascii="Times New Roman" w:hAnsi="Times New Roman" w:cs="Times New Roman"/>
          <w:noProof/>
          <w:lang w:val="de-DE"/>
        </w:rPr>
        <w:t>en und Vermögenswerte im Rahmen des EU-Emissionshandelssystems (EHS), mit denen prognostizierte Treibhausgasemissionen erreicht werden, die nicht unter den einschlägigen Referenzwerten liegen</w:t>
      </w:r>
      <w:r w:rsidRPr="00170422">
        <w:rPr>
          <w:rStyle w:val="FootnoteReference"/>
          <w:rFonts w:ascii="Times New Roman" w:hAnsi="Times New Roman" w:cs="Times New Roman"/>
          <w:noProof/>
          <w:lang w:val="de-DE"/>
        </w:rPr>
        <w:footnoteReference w:id="11"/>
      </w:r>
      <w:r w:rsidRPr="00170422">
        <w:rPr>
          <w:rFonts w:ascii="Times New Roman" w:hAnsi="Times New Roman" w:cs="Times New Roman"/>
          <w:noProof/>
          <w:lang w:val="de-DE"/>
        </w:rPr>
        <w:t>; III) Tätigkeiten und Vermögenswerte im Zusammenhang mit Abfall</w:t>
      </w:r>
      <w:r w:rsidRPr="00170422">
        <w:rPr>
          <w:rFonts w:ascii="Times New Roman" w:hAnsi="Times New Roman" w:cs="Times New Roman"/>
          <w:noProof/>
          <w:lang w:val="de-DE"/>
        </w:rPr>
        <w:t>deponien, Verbrennungsanlagen</w:t>
      </w:r>
      <w:r w:rsidRPr="00170422">
        <w:rPr>
          <w:rStyle w:val="FootnoteReference"/>
          <w:rFonts w:ascii="Times New Roman" w:hAnsi="Times New Roman" w:cs="Times New Roman"/>
          <w:noProof/>
          <w:lang w:val="de-DE"/>
        </w:rPr>
        <w:footnoteReference w:id="12"/>
      </w:r>
      <w:r w:rsidRPr="00170422">
        <w:rPr>
          <w:rFonts w:ascii="Times New Roman" w:hAnsi="Times New Roman" w:cs="Times New Roman"/>
          <w:noProof/>
          <w:lang w:val="de-DE"/>
        </w:rPr>
        <w:t xml:space="preserve"> und Anlagen zur mechanisch-biologischen Behandlung</w:t>
      </w:r>
      <w:r w:rsidRPr="00170422">
        <w:rPr>
          <w:rStyle w:val="FootnoteReference"/>
          <w:rFonts w:ascii="Times New Roman" w:hAnsi="Times New Roman" w:cs="Times New Roman"/>
          <w:noProof/>
          <w:lang w:val="de-DE"/>
        </w:rPr>
        <w:footnoteReference w:id="13"/>
      </w:r>
      <w:r w:rsidRPr="00170422">
        <w:rPr>
          <w:rFonts w:ascii="Times New Roman" w:hAnsi="Times New Roman" w:cs="Times New Roman"/>
          <w:noProof/>
          <w:lang w:val="de-DE"/>
        </w:rPr>
        <w:t>.</w:t>
      </w:r>
    </w:p>
    <w:p w14:paraId="29CCA58B" w14:textId="77777777" w:rsidR="0057163C" w:rsidRPr="00170422" w:rsidRDefault="00F37BF9">
      <w:pPr>
        <w:pStyle w:val="P68B1DB1-ListParagraph37"/>
        <w:numPr>
          <w:ilvl w:val="0"/>
          <w:numId w:val="75"/>
        </w:numPr>
        <w:spacing w:after="120" w:line="276" w:lineRule="auto"/>
        <w:jc w:val="both"/>
        <w:rPr>
          <w:noProof/>
          <w:lang w:val="de-DE"/>
        </w:rPr>
      </w:pPr>
      <w:r w:rsidRPr="00170422">
        <w:rPr>
          <w:noProof/>
          <w:lang w:val="de-DE"/>
        </w:rPr>
        <w:t>Die Beschreibung des Überwachungssystems für die Berichterstattung über die mobilisierten Mittel.</w:t>
      </w:r>
    </w:p>
    <w:bookmarkEnd w:id="10"/>
    <w:p w14:paraId="2AF7875C" w14:textId="77777777" w:rsidR="0057163C" w:rsidRPr="00170422" w:rsidRDefault="0057163C">
      <w:pPr>
        <w:spacing w:line="240" w:lineRule="auto"/>
        <w:jc w:val="both"/>
        <w:rPr>
          <w:rFonts w:ascii="Times New Roman" w:eastAsia="Calibri" w:hAnsi="Times New Roman" w:cs="Times New Roman"/>
          <w:noProof/>
          <w:lang w:val="de-DE"/>
        </w:rPr>
      </w:pPr>
    </w:p>
    <w:p w14:paraId="7510A14C" w14:textId="455C9A2A" w:rsidR="0057163C" w:rsidRPr="00170422" w:rsidRDefault="00F37BF9">
      <w:pPr>
        <w:pStyle w:val="P68B1DB1-Normal5"/>
        <w:spacing w:before="120" w:after="120"/>
        <w:jc w:val="both"/>
        <w:rPr>
          <w:bCs/>
          <w:i/>
          <w:iCs/>
          <w:noProof/>
          <w:lang w:val="de-DE"/>
        </w:rPr>
      </w:pPr>
      <w:r w:rsidRPr="00170422">
        <w:rPr>
          <w:noProof/>
          <w:lang w:val="de-DE"/>
        </w:rPr>
        <w:t xml:space="preserve">Investition 9: Ausgeweitete Maßnahme: Übergang 4.0 </w:t>
      </w:r>
    </w:p>
    <w:p w14:paraId="1A08C863" w14:textId="0D1890E1" w:rsidR="0057163C" w:rsidRPr="00170422" w:rsidRDefault="00F37BF9">
      <w:pPr>
        <w:pStyle w:val="P68B1DB1-Normal7"/>
        <w:spacing w:before="120" w:after="120"/>
        <w:jc w:val="both"/>
        <w:rPr>
          <w:noProof/>
          <w:lang w:val="de-DE"/>
        </w:rPr>
        <w:sectPr w:rsidR="0057163C" w:rsidRPr="00170422" w:rsidSect="005F11B9">
          <w:headerReference w:type="even" r:id="rId48"/>
          <w:headerReference w:type="default" r:id="rId49"/>
          <w:footerReference w:type="even" r:id="rId50"/>
          <w:footerReference w:type="default" r:id="rId51"/>
          <w:headerReference w:type="first" r:id="rId52"/>
          <w:footerReference w:type="first" r:id="rId53"/>
          <w:pgSz w:w="11907" w:h="16838" w:code="12"/>
          <w:pgMar w:top="1134" w:right="1134" w:bottom="1134" w:left="1134" w:header="567" w:footer="567" w:gutter="0"/>
          <w:cols w:space="720"/>
          <w:docGrid w:linePitch="360"/>
        </w:sectPr>
      </w:pPr>
      <w:r w:rsidRPr="00170422">
        <w:rPr>
          <w:noProof/>
          <w:lang w:val="de-DE"/>
        </w:rPr>
        <w:t>Ziel der Maßnahme ist es, den digitalen Wandel von Unternehmen zu unterstützen, indem Anreize für private Investitionen in Vermögenswerte und Tätigkeiten zur Förderung der Digitalisierung geschaffen werden.</w:t>
      </w:r>
      <w:r w:rsidRPr="00170422">
        <w:rPr>
          <w:noProof/>
          <w:lang w:val="de-DE"/>
        </w:rPr>
        <w:t xml:space="preserve"> Bei der Maßnahme handelt es sich um eine Steuergutschriftregelung.</w:t>
      </w:r>
    </w:p>
    <w:p w14:paraId="5DFC4778" w14:textId="77777777" w:rsidR="0057163C" w:rsidRPr="00170422" w:rsidRDefault="00F37BF9">
      <w:pPr>
        <w:pStyle w:val="P68B1DB1-Heading39"/>
        <w:numPr>
          <w:ilvl w:val="2"/>
          <w:numId w:val="0"/>
        </w:numPr>
        <w:ind w:left="850" w:hanging="850"/>
        <w:rPr>
          <w:b/>
          <w:bCs/>
          <w:i/>
          <w:iCs/>
          <w:noProof/>
          <w:u w:val="single"/>
          <w:lang w:val="de-DE"/>
        </w:rPr>
      </w:pPr>
      <w:r w:rsidRPr="00170422">
        <w:rPr>
          <w:b/>
          <w:noProof/>
          <w:u w:val="single"/>
          <w:lang w:val="de-DE"/>
        </w:rPr>
        <w:t xml:space="preserve">B.4.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985"/>
        <w:gridCol w:w="1275"/>
        <w:gridCol w:w="1276"/>
        <w:gridCol w:w="1276"/>
        <w:gridCol w:w="1134"/>
        <w:gridCol w:w="1417"/>
        <w:gridCol w:w="738"/>
        <w:gridCol w:w="850"/>
        <w:gridCol w:w="709"/>
        <w:gridCol w:w="3232"/>
      </w:tblGrid>
      <w:tr w:rsidR="0057163C" w:rsidRPr="00170422" w14:paraId="5BA5649F" w14:textId="77777777">
        <w:trPr>
          <w:trHeight w:val="315"/>
          <w:tblHeader/>
        </w:trPr>
        <w:tc>
          <w:tcPr>
            <w:tcW w:w="1418" w:type="dxa"/>
            <w:vMerge w:val="restart"/>
            <w:shd w:val="clear" w:color="auto" w:fill="BDD7EE"/>
            <w:vAlign w:val="center"/>
          </w:tcPr>
          <w:p w14:paraId="324EA7B4" w14:textId="77777777" w:rsidR="0057163C" w:rsidRPr="00170422" w:rsidRDefault="00F37BF9">
            <w:pPr>
              <w:pStyle w:val="P68B1DB1-Normal10"/>
              <w:spacing w:before="120" w:after="120"/>
              <w:jc w:val="center"/>
              <w:rPr>
                <w:noProof/>
                <w:color w:val="006100"/>
                <w:szCs w:val="20"/>
                <w:lang w:val="de-DE"/>
              </w:rPr>
            </w:pPr>
            <w:r w:rsidRPr="00170422">
              <w:rPr>
                <w:noProof/>
                <w:lang w:val="de-DE"/>
              </w:rPr>
              <w:t>Laufende Nummer</w:t>
            </w:r>
          </w:p>
        </w:tc>
        <w:tc>
          <w:tcPr>
            <w:tcW w:w="1985" w:type="dxa"/>
            <w:vMerge w:val="restart"/>
            <w:shd w:val="clear" w:color="auto" w:fill="BDD7EE"/>
            <w:vAlign w:val="center"/>
          </w:tcPr>
          <w:p w14:paraId="0E846774" w14:textId="3F4C5335" w:rsidR="0057163C" w:rsidRPr="00170422" w:rsidRDefault="00F27D70">
            <w:pPr>
              <w:pStyle w:val="P68B1DB1-Normal10"/>
              <w:spacing w:before="120" w:after="120"/>
              <w:jc w:val="center"/>
              <w:rPr>
                <w:noProof/>
                <w:color w:val="006100"/>
                <w:szCs w:val="20"/>
                <w:lang w:val="de-DE"/>
              </w:rPr>
            </w:pPr>
            <w:r w:rsidRPr="00170422">
              <w:rPr>
                <w:noProof/>
                <w:lang w:val="de-DE"/>
              </w:rPr>
              <w:t>Maßnahme</w:t>
            </w:r>
          </w:p>
        </w:tc>
        <w:tc>
          <w:tcPr>
            <w:tcW w:w="1275" w:type="dxa"/>
            <w:vMerge w:val="restart"/>
            <w:shd w:val="clear" w:color="auto" w:fill="BDD7EE"/>
            <w:vAlign w:val="center"/>
          </w:tcPr>
          <w:p w14:paraId="0881966D" w14:textId="24D2576A" w:rsidR="0057163C" w:rsidRPr="00170422" w:rsidRDefault="00F37BF9">
            <w:pPr>
              <w:pStyle w:val="P68B1DB1-Normal10"/>
              <w:spacing w:before="120" w:after="120"/>
              <w:jc w:val="center"/>
              <w:rPr>
                <w:noProof/>
                <w:color w:val="006100"/>
                <w:szCs w:val="20"/>
                <w:lang w:val="de-DE"/>
              </w:rPr>
            </w:pPr>
            <w:r w:rsidRPr="00170422">
              <w:rPr>
                <w:noProof/>
                <w:lang w:val="de-DE"/>
              </w:rPr>
              <w:t>Etappenziel/</w:t>
            </w:r>
            <w:r w:rsidR="005508B9" w:rsidRPr="00170422">
              <w:rPr>
                <w:noProof/>
                <w:lang w:val="de-DE"/>
              </w:rPr>
              <w:br/>
            </w:r>
            <w:r w:rsidRPr="00170422">
              <w:rPr>
                <w:noProof/>
                <w:lang w:val="de-DE"/>
              </w:rPr>
              <w:t>Zielwert</w:t>
            </w:r>
          </w:p>
        </w:tc>
        <w:tc>
          <w:tcPr>
            <w:tcW w:w="1276" w:type="dxa"/>
            <w:vMerge w:val="restart"/>
            <w:shd w:val="clear" w:color="auto" w:fill="BDD7EE"/>
            <w:vAlign w:val="center"/>
          </w:tcPr>
          <w:p w14:paraId="6E74796F" w14:textId="77777777" w:rsidR="0057163C" w:rsidRPr="00170422" w:rsidRDefault="00F37BF9">
            <w:pPr>
              <w:pStyle w:val="P68B1DB1-Normal10"/>
              <w:spacing w:before="120" w:after="120"/>
              <w:jc w:val="center"/>
              <w:rPr>
                <w:noProof/>
                <w:color w:val="006100"/>
                <w:szCs w:val="20"/>
                <w:lang w:val="de-DE"/>
              </w:rPr>
            </w:pPr>
            <w:r w:rsidRPr="00170422">
              <w:rPr>
                <w:noProof/>
                <w:lang w:val="de-DE"/>
              </w:rPr>
              <w:t>Namen</w:t>
            </w:r>
          </w:p>
        </w:tc>
        <w:tc>
          <w:tcPr>
            <w:tcW w:w="1276" w:type="dxa"/>
            <w:vMerge w:val="restart"/>
            <w:shd w:val="clear" w:color="auto" w:fill="BDD7EE"/>
            <w:vAlign w:val="center"/>
          </w:tcPr>
          <w:p w14:paraId="05638D1E" w14:textId="34704524" w:rsidR="0057163C" w:rsidRPr="00170422" w:rsidRDefault="00F37BF9">
            <w:pPr>
              <w:spacing w:before="120" w:after="120"/>
              <w:jc w:val="center"/>
              <w:rPr>
                <w:rFonts w:ascii="Arial Narrow" w:hAnsi="Arial Narrow"/>
                <w:noProof/>
                <w:color w:val="006100"/>
                <w:sz w:val="20"/>
                <w:szCs w:val="20"/>
                <w:lang w:val="de-DE"/>
              </w:rPr>
            </w:pPr>
            <w:r w:rsidRPr="00170422">
              <w:rPr>
                <w:rFonts w:ascii="Arial Narrow" w:hAnsi="Arial Narrow"/>
                <w:b/>
                <w:noProof/>
                <w:sz w:val="20"/>
                <w:lang w:val="de-DE"/>
              </w:rPr>
              <w:t>Etappenziel/</w:t>
            </w:r>
            <w:r w:rsidR="005508B9"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t xml:space="preserve"> </w:t>
            </w:r>
            <w:r w:rsidRPr="00170422">
              <w:rPr>
                <w:noProof/>
                <w:lang w:val="de-DE"/>
              </w:rPr>
              <w:br/>
            </w:r>
            <w:r w:rsidRPr="00170422">
              <w:rPr>
                <w:rFonts w:ascii="Arial Narrow" w:hAnsi="Arial Narrow"/>
                <w:b/>
                <w:noProof/>
                <w:sz w:val="20"/>
                <w:lang w:val="de-DE"/>
              </w:rPr>
              <w:t xml:space="preserve">(für </w:t>
            </w:r>
            <w:r w:rsidRPr="00170422">
              <w:rPr>
                <w:rFonts w:ascii="Arial Narrow" w:hAnsi="Arial Narrow"/>
                <w:b/>
                <w:noProof/>
                <w:sz w:val="20"/>
                <w:lang w:val="de-DE"/>
              </w:rPr>
              <w:t>Etappenziele)</w:t>
            </w:r>
          </w:p>
        </w:tc>
        <w:tc>
          <w:tcPr>
            <w:tcW w:w="3289" w:type="dxa"/>
            <w:gridSpan w:val="3"/>
            <w:shd w:val="clear" w:color="auto" w:fill="BDD7EE"/>
            <w:vAlign w:val="center"/>
          </w:tcPr>
          <w:p w14:paraId="572959B1" w14:textId="1DF0DB3C" w:rsidR="0057163C" w:rsidRPr="00170422" w:rsidRDefault="00F37BF9">
            <w:pPr>
              <w:spacing w:before="120" w:after="120"/>
              <w:jc w:val="center"/>
              <w:rPr>
                <w:rFonts w:ascii="Arial Narrow" w:hAnsi="Arial Narrow"/>
                <w:noProof/>
                <w:color w:val="006100"/>
                <w:sz w:val="20"/>
                <w:szCs w:val="20"/>
                <w:lang w:val="de-DE"/>
              </w:rPr>
            </w:pPr>
            <w:r w:rsidRPr="00170422">
              <w:rPr>
                <w:rFonts w:ascii="Arial Narrow" w:hAnsi="Arial Narrow"/>
                <w:b/>
                <w:noProof/>
                <w:sz w:val="20"/>
                <w:lang w:val="de-DE"/>
              </w:rPr>
              <w:t>Qualitative Indikatoren (</w:t>
            </w:r>
            <w:r w:rsidRPr="00170422">
              <w:rPr>
                <w:noProof/>
                <w:lang w:val="de-DE"/>
              </w:rPr>
              <w:t>für Etappenziele)</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b/>
                <w:noProof/>
                <w:sz w:val="20"/>
                <w:lang w:val="de-DE"/>
              </w:rPr>
              <w:t>(für Ziele)</w:t>
            </w:r>
          </w:p>
        </w:tc>
        <w:tc>
          <w:tcPr>
            <w:tcW w:w="1559" w:type="dxa"/>
            <w:gridSpan w:val="2"/>
            <w:shd w:val="clear" w:color="auto" w:fill="BDD7EE"/>
            <w:vAlign w:val="center"/>
          </w:tcPr>
          <w:p w14:paraId="6862B211" w14:textId="77777777" w:rsidR="0057163C" w:rsidRPr="00170422" w:rsidRDefault="00F37BF9">
            <w:pPr>
              <w:pStyle w:val="P68B1DB1-Normal10"/>
              <w:spacing w:before="120" w:after="120"/>
              <w:jc w:val="center"/>
              <w:rPr>
                <w:noProof/>
                <w:color w:val="006100"/>
                <w:szCs w:val="20"/>
                <w:lang w:val="de-DE"/>
              </w:rPr>
            </w:pPr>
            <w:r w:rsidRPr="00170422">
              <w:rPr>
                <w:noProof/>
                <w:lang w:val="de-DE"/>
              </w:rPr>
              <w:t>Vorläufiger Zeitplan für die Fertigstellung</w:t>
            </w:r>
          </w:p>
        </w:tc>
        <w:tc>
          <w:tcPr>
            <w:tcW w:w="3232" w:type="dxa"/>
            <w:vMerge w:val="restart"/>
            <w:shd w:val="clear" w:color="auto" w:fill="BDD7EE"/>
            <w:vAlign w:val="center"/>
          </w:tcPr>
          <w:p w14:paraId="2D561D0E" w14:textId="77777777" w:rsidR="0057163C" w:rsidRPr="00170422" w:rsidRDefault="00F37BF9">
            <w:pPr>
              <w:pStyle w:val="P68B1DB1-Normal10"/>
              <w:spacing w:before="120" w:after="120"/>
              <w:jc w:val="center"/>
              <w:rPr>
                <w:bCs/>
                <w:noProof/>
                <w:szCs w:val="20"/>
                <w:lang w:val="de-DE"/>
              </w:rPr>
            </w:pPr>
            <w:r w:rsidRPr="00170422">
              <w:rPr>
                <w:noProof/>
                <w:lang w:val="de-DE"/>
              </w:rPr>
              <w:t>Beschreibung der einzelnen Etappenziele und Zielvorgaben</w:t>
            </w:r>
          </w:p>
        </w:tc>
      </w:tr>
      <w:tr w:rsidR="0057163C" w:rsidRPr="00170422" w14:paraId="29BA27AD" w14:textId="77777777" w:rsidTr="005508B9">
        <w:trPr>
          <w:trHeight w:val="315"/>
          <w:tblHeader/>
        </w:trPr>
        <w:tc>
          <w:tcPr>
            <w:tcW w:w="1418" w:type="dxa"/>
            <w:vMerge/>
            <w:vAlign w:val="center"/>
          </w:tcPr>
          <w:p w14:paraId="73120CFD" w14:textId="77777777" w:rsidR="0057163C" w:rsidRPr="00170422" w:rsidRDefault="0057163C">
            <w:pPr>
              <w:spacing w:before="120" w:after="120"/>
              <w:jc w:val="center"/>
              <w:rPr>
                <w:rFonts w:ascii="Arial Narrow" w:hAnsi="Arial Narrow"/>
                <w:noProof/>
                <w:color w:val="006100"/>
                <w:sz w:val="20"/>
                <w:szCs w:val="20"/>
                <w:lang w:val="de-DE"/>
              </w:rPr>
            </w:pPr>
          </w:p>
        </w:tc>
        <w:tc>
          <w:tcPr>
            <w:tcW w:w="1985" w:type="dxa"/>
            <w:vMerge/>
            <w:vAlign w:val="center"/>
          </w:tcPr>
          <w:p w14:paraId="16892EF6" w14:textId="77777777" w:rsidR="0057163C" w:rsidRPr="00170422" w:rsidRDefault="0057163C">
            <w:pPr>
              <w:spacing w:before="120" w:after="120"/>
              <w:jc w:val="center"/>
              <w:rPr>
                <w:rFonts w:ascii="Arial Narrow" w:hAnsi="Arial Narrow"/>
                <w:noProof/>
                <w:color w:val="006100"/>
                <w:sz w:val="20"/>
                <w:szCs w:val="20"/>
                <w:lang w:val="de-DE"/>
              </w:rPr>
            </w:pPr>
          </w:p>
        </w:tc>
        <w:tc>
          <w:tcPr>
            <w:tcW w:w="1275" w:type="dxa"/>
            <w:vMerge/>
            <w:vAlign w:val="center"/>
          </w:tcPr>
          <w:p w14:paraId="27DB6052" w14:textId="77777777" w:rsidR="0057163C" w:rsidRPr="00170422" w:rsidRDefault="0057163C">
            <w:pPr>
              <w:spacing w:before="120" w:after="120"/>
              <w:jc w:val="center"/>
              <w:rPr>
                <w:rFonts w:ascii="Arial Narrow" w:hAnsi="Arial Narrow"/>
                <w:noProof/>
                <w:color w:val="006100"/>
                <w:sz w:val="20"/>
                <w:szCs w:val="20"/>
                <w:lang w:val="de-DE"/>
              </w:rPr>
            </w:pPr>
          </w:p>
        </w:tc>
        <w:tc>
          <w:tcPr>
            <w:tcW w:w="1276" w:type="dxa"/>
            <w:vMerge/>
            <w:vAlign w:val="center"/>
          </w:tcPr>
          <w:p w14:paraId="260AF22C" w14:textId="77777777" w:rsidR="0057163C" w:rsidRPr="00170422" w:rsidRDefault="0057163C">
            <w:pPr>
              <w:spacing w:before="120" w:after="120"/>
              <w:jc w:val="center"/>
              <w:rPr>
                <w:rFonts w:ascii="Arial Narrow" w:hAnsi="Arial Narrow"/>
                <w:noProof/>
                <w:color w:val="006100"/>
                <w:sz w:val="20"/>
                <w:szCs w:val="20"/>
                <w:lang w:val="de-DE"/>
              </w:rPr>
            </w:pPr>
          </w:p>
        </w:tc>
        <w:tc>
          <w:tcPr>
            <w:tcW w:w="1276" w:type="dxa"/>
            <w:vMerge/>
            <w:vAlign w:val="center"/>
          </w:tcPr>
          <w:p w14:paraId="0CF9474C" w14:textId="77777777" w:rsidR="0057163C" w:rsidRPr="00170422" w:rsidRDefault="0057163C">
            <w:pPr>
              <w:spacing w:before="120" w:after="120"/>
              <w:jc w:val="center"/>
              <w:rPr>
                <w:rFonts w:ascii="Arial Narrow" w:hAnsi="Arial Narrow"/>
                <w:noProof/>
                <w:color w:val="006100"/>
                <w:sz w:val="20"/>
                <w:szCs w:val="20"/>
                <w:lang w:val="de-DE"/>
              </w:rPr>
            </w:pPr>
          </w:p>
        </w:tc>
        <w:tc>
          <w:tcPr>
            <w:tcW w:w="1134" w:type="dxa"/>
            <w:shd w:val="clear" w:color="auto" w:fill="BDD7EE"/>
            <w:vAlign w:val="center"/>
          </w:tcPr>
          <w:p w14:paraId="5230E2C2" w14:textId="77777777" w:rsidR="0057163C" w:rsidRPr="00170422" w:rsidRDefault="00F37BF9">
            <w:pPr>
              <w:pStyle w:val="P68B1DB1-Normal10"/>
              <w:spacing w:before="120" w:after="120"/>
              <w:jc w:val="center"/>
              <w:rPr>
                <w:noProof/>
                <w:color w:val="006100"/>
                <w:szCs w:val="20"/>
                <w:lang w:val="de-DE"/>
              </w:rPr>
            </w:pPr>
            <w:r w:rsidRPr="00170422">
              <w:rPr>
                <w:noProof/>
                <w:lang w:val="de-DE"/>
              </w:rPr>
              <w:t>Maßeinheit</w:t>
            </w:r>
          </w:p>
        </w:tc>
        <w:tc>
          <w:tcPr>
            <w:tcW w:w="1417" w:type="dxa"/>
            <w:shd w:val="clear" w:color="auto" w:fill="BDD7EE"/>
            <w:vAlign w:val="center"/>
          </w:tcPr>
          <w:p w14:paraId="38781680" w14:textId="77777777" w:rsidR="0057163C" w:rsidRPr="00170422" w:rsidRDefault="00F37BF9">
            <w:pPr>
              <w:pStyle w:val="P68B1DB1-Normal10"/>
              <w:spacing w:before="120" w:after="120"/>
              <w:jc w:val="center"/>
              <w:rPr>
                <w:noProof/>
                <w:color w:val="006100"/>
                <w:szCs w:val="20"/>
                <w:lang w:val="de-DE"/>
              </w:rPr>
            </w:pPr>
            <w:r w:rsidRPr="00170422">
              <w:rPr>
                <w:noProof/>
                <w:lang w:val="de-DE"/>
              </w:rPr>
              <w:t>Ausgangslage</w:t>
            </w:r>
          </w:p>
        </w:tc>
        <w:tc>
          <w:tcPr>
            <w:tcW w:w="738" w:type="dxa"/>
            <w:shd w:val="clear" w:color="auto" w:fill="BDD7EE"/>
            <w:vAlign w:val="center"/>
          </w:tcPr>
          <w:p w14:paraId="72040729" w14:textId="77777777" w:rsidR="0057163C" w:rsidRPr="00170422" w:rsidRDefault="00F37BF9">
            <w:pPr>
              <w:pStyle w:val="P68B1DB1-Normal10"/>
              <w:spacing w:before="120" w:after="120"/>
              <w:jc w:val="center"/>
              <w:rPr>
                <w:noProof/>
                <w:color w:val="006100"/>
                <w:szCs w:val="20"/>
                <w:lang w:val="de-DE"/>
              </w:rPr>
            </w:pPr>
            <w:r w:rsidRPr="00170422">
              <w:rPr>
                <w:noProof/>
                <w:lang w:val="de-DE"/>
              </w:rPr>
              <w:t>Ziel</w:t>
            </w:r>
          </w:p>
        </w:tc>
        <w:tc>
          <w:tcPr>
            <w:tcW w:w="850" w:type="dxa"/>
            <w:shd w:val="clear" w:color="auto" w:fill="BDD7EE"/>
            <w:vAlign w:val="center"/>
          </w:tcPr>
          <w:p w14:paraId="1F93A7DB" w14:textId="77777777" w:rsidR="0057163C" w:rsidRPr="00170422" w:rsidRDefault="00F37BF9">
            <w:pPr>
              <w:pStyle w:val="P68B1DB1-Normal10"/>
              <w:spacing w:before="120" w:after="120"/>
              <w:jc w:val="center"/>
              <w:rPr>
                <w:noProof/>
                <w:color w:val="006100"/>
                <w:szCs w:val="20"/>
                <w:lang w:val="de-DE"/>
              </w:rPr>
            </w:pPr>
            <w:r w:rsidRPr="00170422">
              <w:rPr>
                <w:noProof/>
                <w:lang w:val="de-DE"/>
              </w:rPr>
              <w:t>Viertel</w:t>
            </w:r>
          </w:p>
        </w:tc>
        <w:tc>
          <w:tcPr>
            <w:tcW w:w="709" w:type="dxa"/>
            <w:shd w:val="clear" w:color="auto" w:fill="BDD7EE"/>
            <w:vAlign w:val="center"/>
          </w:tcPr>
          <w:p w14:paraId="7E9B4F0D" w14:textId="77777777" w:rsidR="0057163C" w:rsidRPr="00170422" w:rsidRDefault="00F37BF9">
            <w:pPr>
              <w:pStyle w:val="P68B1DB1-Normal10"/>
              <w:spacing w:before="120" w:after="120"/>
              <w:jc w:val="center"/>
              <w:rPr>
                <w:noProof/>
                <w:color w:val="006100"/>
                <w:szCs w:val="20"/>
                <w:lang w:val="de-DE"/>
              </w:rPr>
            </w:pPr>
            <w:r w:rsidRPr="00170422">
              <w:rPr>
                <w:noProof/>
                <w:lang w:val="de-DE"/>
              </w:rPr>
              <w:t>Jahre</w:t>
            </w:r>
          </w:p>
        </w:tc>
        <w:tc>
          <w:tcPr>
            <w:tcW w:w="3232" w:type="dxa"/>
            <w:vMerge/>
            <w:vAlign w:val="center"/>
          </w:tcPr>
          <w:p w14:paraId="2734A567" w14:textId="77777777" w:rsidR="0057163C" w:rsidRPr="00170422" w:rsidRDefault="0057163C">
            <w:pPr>
              <w:spacing w:before="120" w:after="120"/>
              <w:rPr>
                <w:rFonts w:ascii="Arial Narrow" w:hAnsi="Arial Narrow"/>
                <w:noProof/>
                <w:color w:val="006100"/>
                <w:sz w:val="20"/>
                <w:szCs w:val="20"/>
                <w:lang w:val="de-DE"/>
              </w:rPr>
            </w:pPr>
          </w:p>
        </w:tc>
      </w:tr>
      <w:tr w:rsidR="0057163C" w:rsidRPr="00170422" w14:paraId="57EB5263" w14:textId="77777777" w:rsidTr="005508B9">
        <w:trPr>
          <w:trHeight w:val="315"/>
        </w:trPr>
        <w:tc>
          <w:tcPr>
            <w:tcW w:w="1418" w:type="dxa"/>
            <w:shd w:val="clear" w:color="auto" w:fill="C6EFCE"/>
            <w:vAlign w:val="center"/>
          </w:tcPr>
          <w:p w14:paraId="6590E7B8" w14:textId="77777777" w:rsidR="0057163C" w:rsidRPr="00170422" w:rsidRDefault="00F37BF9">
            <w:pPr>
              <w:pStyle w:val="P68B1DB1-Normal12"/>
              <w:spacing w:before="120" w:after="120"/>
              <w:jc w:val="center"/>
              <w:rPr>
                <w:noProof/>
                <w:lang w:val="de-DE"/>
              </w:rPr>
            </w:pPr>
            <w:r w:rsidRPr="00170422">
              <w:rPr>
                <w:noProof/>
                <w:lang w:val="de-DE"/>
              </w:rPr>
              <w:t>M1C2-15</w:t>
            </w:r>
          </w:p>
        </w:tc>
        <w:tc>
          <w:tcPr>
            <w:tcW w:w="1985" w:type="dxa"/>
            <w:shd w:val="clear" w:color="auto" w:fill="C6EFCE"/>
            <w:vAlign w:val="center"/>
          </w:tcPr>
          <w:p w14:paraId="03166FD0" w14:textId="77777777" w:rsidR="0057163C" w:rsidRPr="00170422" w:rsidRDefault="00F37BF9">
            <w:pPr>
              <w:pStyle w:val="P68B1DB1-Normal11"/>
              <w:spacing w:before="120" w:after="120"/>
              <w:jc w:val="center"/>
              <w:rPr>
                <w:noProof/>
                <w:szCs w:val="20"/>
                <w:lang w:val="de-DE"/>
              </w:rPr>
            </w:pPr>
            <w:r w:rsidRPr="00170422">
              <w:rPr>
                <w:noProof/>
                <w:lang w:val="de-DE"/>
              </w:rPr>
              <w:t>Investition 2: Innovation</w:t>
            </w:r>
            <w:r w:rsidRPr="00170422">
              <w:rPr>
                <w:noProof/>
                <w:lang w:val="de-DE"/>
              </w:rPr>
              <w:t xml:space="preserve"> und Technologie der Mikroelektronik</w:t>
            </w:r>
          </w:p>
        </w:tc>
        <w:tc>
          <w:tcPr>
            <w:tcW w:w="1275" w:type="dxa"/>
            <w:shd w:val="clear" w:color="auto" w:fill="C6EFCE"/>
            <w:vAlign w:val="center"/>
          </w:tcPr>
          <w:p w14:paraId="0ECC3C9B"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4C3DC912" w14:textId="77777777" w:rsidR="0057163C" w:rsidRPr="00170422" w:rsidRDefault="00F37BF9">
            <w:pPr>
              <w:pStyle w:val="P68B1DB1-Normal11"/>
              <w:spacing w:before="120" w:after="120"/>
              <w:jc w:val="center"/>
              <w:rPr>
                <w:noProof/>
                <w:szCs w:val="20"/>
                <w:lang w:val="de-DE"/>
              </w:rPr>
            </w:pPr>
            <w:r w:rsidRPr="00170422">
              <w:rPr>
                <w:noProof/>
                <w:lang w:val="de-DE"/>
              </w:rPr>
              <w:t>Produktionskapazität von Siliziumkarbidsubstraten</w:t>
            </w:r>
          </w:p>
        </w:tc>
        <w:tc>
          <w:tcPr>
            <w:tcW w:w="1276" w:type="dxa"/>
            <w:shd w:val="clear" w:color="auto" w:fill="C6EFCE"/>
            <w:vAlign w:val="center"/>
          </w:tcPr>
          <w:p w14:paraId="7957A24F"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31FAAAAF"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7872CA52"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66C8A851" w14:textId="77777777" w:rsidR="0057163C" w:rsidRPr="00170422" w:rsidRDefault="00F37BF9">
            <w:pPr>
              <w:pStyle w:val="P68B1DB1-Normal12"/>
              <w:spacing w:before="120" w:after="120"/>
              <w:jc w:val="center"/>
              <w:rPr>
                <w:noProof/>
                <w:lang w:val="de-DE"/>
              </w:rPr>
            </w:pPr>
            <w:r w:rsidRPr="00170422">
              <w:rPr>
                <w:noProof/>
                <w:lang w:val="de-DE"/>
              </w:rPr>
              <w:t xml:space="preserve">197 028 </w:t>
            </w:r>
          </w:p>
        </w:tc>
        <w:tc>
          <w:tcPr>
            <w:tcW w:w="850" w:type="dxa"/>
            <w:shd w:val="clear" w:color="auto" w:fill="C6EFCE"/>
            <w:vAlign w:val="center"/>
          </w:tcPr>
          <w:p w14:paraId="3AEE276F"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shd w:val="clear" w:color="auto" w:fill="C6EFCE"/>
            <w:vAlign w:val="center"/>
          </w:tcPr>
          <w:p w14:paraId="5D6B9867" w14:textId="77777777" w:rsidR="0057163C" w:rsidRPr="00170422" w:rsidRDefault="00F37BF9">
            <w:pPr>
              <w:pStyle w:val="P68B1DB1-Normal11"/>
              <w:spacing w:before="120" w:after="120"/>
              <w:jc w:val="center"/>
              <w:rPr>
                <w:noProof/>
                <w:szCs w:val="20"/>
                <w:lang w:val="de-DE"/>
              </w:rPr>
            </w:pPr>
            <w:r w:rsidRPr="00170422">
              <w:rPr>
                <w:noProof/>
                <w:lang w:val="de-DE"/>
              </w:rPr>
              <w:t>2026</w:t>
            </w:r>
          </w:p>
        </w:tc>
        <w:tc>
          <w:tcPr>
            <w:tcW w:w="3232" w:type="dxa"/>
            <w:shd w:val="clear" w:color="auto" w:fill="C6EFCE"/>
            <w:vAlign w:val="center"/>
          </w:tcPr>
          <w:p w14:paraId="03C28169" w14:textId="4F88E30B" w:rsidR="0057163C" w:rsidRPr="00170422" w:rsidRDefault="00F37BF9">
            <w:pPr>
              <w:pStyle w:val="P68B1DB1-Normal12"/>
              <w:spacing w:before="120" w:after="120"/>
              <w:rPr>
                <w:noProof/>
                <w:lang w:val="de-DE"/>
              </w:rPr>
            </w:pPr>
            <w:r w:rsidRPr="00170422">
              <w:rPr>
                <w:noProof/>
                <w:lang w:val="de-DE"/>
              </w:rPr>
              <w:t>Realisierung einer zusätzlichen Produktionskapazität von mindestens 1 970 288 Zoll-Siliziumkarbidsubstraten/Jahr.</w:t>
            </w:r>
          </w:p>
        </w:tc>
      </w:tr>
      <w:tr w:rsidR="0057163C" w:rsidRPr="00170422" w14:paraId="3A0ABC22" w14:textId="77777777" w:rsidTr="005508B9">
        <w:trPr>
          <w:trHeight w:val="315"/>
        </w:trPr>
        <w:tc>
          <w:tcPr>
            <w:tcW w:w="1418" w:type="dxa"/>
            <w:shd w:val="clear" w:color="auto" w:fill="C6EFCE"/>
            <w:vAlign w:val="center"/>
          </w:tcPr>
          <w:p w14:paraId="79C49779" w14:textId="77777777" w:rsidR="0057163C" w:rsidRPr="00170422" w:rsidRDefault="00F37BF9">
            <w:pPr>
              <w:pStyle w:val="P68B1DB1-Normal11"/>
              <w:spacing w:before="120" w:after="120"/>
              <w:jc w:val="center"/>
              <w:rPr>
                <w:noProof/>
                <w:szCs w:val="20"/>
                <w:lang w:val="de-DE"/>
              </w:rPr>
            </w:pPr>
            <w:r w:rsidRPr="00170422">
              <w:rPr>
                <w:noProof/>
                <w:lang w:val="de-DE"/>
              </w:rPr>
              <w:t>M1C2-16</w:t>
            </w:r>
          </w:p>
        </w:tc>
        <w:tc>
          <w:tcPr>
            <w:tcW w:w="1985" w:type="dxa"/>
            <w:shd w:val="clear" w:color="auto" w:fill="C6EFCE"/>
            <w:vAlign w:val="center"/>
          </w:tcPr>
          <w:p w14:paraId="05F3F24C" w14:textId="77777777" w:rsidR="0057163C" w:rsidRPr="00170422" w:rsidRDefault="00F37BF9">
            <w:pPr>
              <w:pStyle w:val="P68B1DB1-Normal11"/>
              <w:spacing w:before="120" w:after="120"/>
              <w:jc w:val="center"/>
              <w:rPr>
                <w:noProof/>
                <w:szCs w:val="20"/>
                <w:lang w:val="de-DE"/>
              </w:rPr>
            </w:pPr>
            <w:r w:rsidRPr="00170422">
              <w:rPr>
                <w:noProof/>
                <w:lang w:val="de-DE"/>
              </w:rPr>
              <w:t>Investition 3: Wissenschaftsexzellenz. Schnelle Internetverbindungen (Ultrabreitband und 5G)</w:t>
            </w:r>
          </w:p>
        </w:tc>
        <w:tc>
          <w:tcPr>
            <w:tcW w:w="1275" w:type="dxa"/>
            <w:shd w:val="clear" w:color="auto" w:fill="C6EFCE"/>
            <w:vAlign w:val="center"/>
          </w:tcPr>
          <w:p w14:paraId="7AA31277"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276" w:type="dxa"/>
            <w:shd w:val="clear" w:color="auto" w:fill="C6EFCE"/>
            <w:vAlign w:val="center"/>
          </w:tcPr>
          <w:p w14:paraId="5D085CA9" w14:textId="77777777" w:rsidR="0057163C" w:rsidRPr="00170422" w:rsidRDefault="00F37BF9">
            <w:pPr>
              <w:pStyle w:val="P68B1DB1-Normal11"/>
              <w:spacing w:before="120" w:after="120"/>
              <w:jc w:val="center"/>
              <w:rPr>
                <w:noProof/>
                <w:szCs w:val="20"/>
                <w:lang w:val="de-DE"/>
              </w:rPr>
            </w:pPr>
            <w:r w:rsidRPr="00170422">
              <w:rPr>
                <w:noProof/>
                <w:lang w:val="de-DE"/>
              </w:rPr>
              <w:t>Vergabe aller öffentlichen Aufträge für schnellere Anschlussprojekte</w:t>
            </w:r>
          </w:p>
        </w:tc>
        <w:tc>
          <w:tcPr>
            <w:tcW w:w="1276" w:type="dxa"/>
            <w:shd w:val="clear" w:color="auto" w:fill="C6EFCE"/>
            <w:vAlign w:val="center"/>
          </w:tcPr>
          <w:p w14:paraId="24D79BEF" w14:textId="77777777" w:rsidR="0057163C" w:rsidRPr="00170422" w:rsidRDefault="00F37BF9">
            <w:pPr>
              <w:pStyle w:val="P68B1DB1-Normal11"/>
              <w:spacing w:before="120" w:after="120"/>
              <w:jc w:val="center"/>
              <w:rPr>
                <w:noProof/>
                <w:szCs w:val="20"/>
                <w:lang w:val="de-DE"/>
              </w:rPr>
            </w:pPr>
            <w:r w:rsidRPr="00170422">
              <w:rPr>
                <w:noProof/>
                <w:lang w:val="de-DE"/>
              </w:rPr>
              <w:t xml:space="preserve">Mitteilung über die Vergabe aller öffentlichen Aufträge für Projekte zur </w:t>
            </w:r>
            <w:r w:rsidRPr="00170422">
              <w:rPr>
                <w:noProof/>
                <w:lang w:val="de-DE"/>
              </w:rPr>
              <w:t>schnelleren Anbindung</w:t>
            </w:r>
          </w:p>
        </w:tc>
        <w:tc>
          <w:tcPr>
            <w:tcW w:w="1134" w:type="dxa"/>
            <w:shd w:val="clear" w:color="auto" w:fill="C6EFCE"/>
            <w:vAlign w:val="center"/>
          </w:tcPr>
          <w:p w14:paraId="7E85DFCF"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17" w:type="dxa"/>
            <w:shd w:val="clear" w:color="auto" w:fill="C6EFCE"/>
            <w:vAlign w:val="center"/>
          </w:tcPr>
          <w:p w14:paraId="70E80D0B"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738" w:type="dxa"/>
            <w:shd w:val="clear" w:color="auto" w:fill="C6EFCE"/>
            <w:vAlign w:val="center"/>
          </w:tcPr>
          <w:p w14:paraId="11496126"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850" w:type="dxa"/>
            <w:shd w:val="clear" w:color="auto" w:fill="C6EFCE"/>
            <w:vAlign w:val="center"/>
          </w:tcPr>
          <w:p w14:paraId="4720B5E9"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shd w:val="clear" w:color="auto" w:fill="C6EFCE"/>
            <w:vAlign w:val="center"/>
          </w:tcPr>
          <w:p w14:paraId="4CEF93F2" w14:textId="77777777" w:rsidR="0057163C" w:rsidRPr="00170422" w:rsidRDefault="00F37BF9">
            <w:pPr>
              <w:pStyle w:val="P68B1DB1-Normal11"/>
              <w:spacing w:before="120" w:after="120"/>
              <w:jc w:val="center"/>
              <w:rPr>
                <w:noProof/>
                <w:szCs w:val="20"/>
                <w:lang w:val="de-DE"/>
              </w:rPr>
            </w:pPr>
            <w:r w:rsidRPr="00170422">
              <w:rPr>
                <w:noProof/>
                <w:lang w:val="de-DE"/>
              </w:rPr>
              <w:t>2022</w:t>
            </w:r>
          </w:p>
        </w:tc>
        <w:tc>
          <w:tcPr>
            <w:tcW w:w="3232" w:type="dxa"/>
            <w:shd w:val="clear" w:color="auto" w:fill="C6EFCE"/>
            <w:vAlign w:val="center"/>
          </w:tcPr>
          <w:p w14:paraId="1E0B7EC3" w14:textId="77777777" w:rsidR="0057163C" w:rsidRPr="00170422" w:rsidRDefault="00F37BF9">
            <w:pPr>
              <w:pStyle w:val="P68B1DB1-Normal11"/>
              <w:spacing w:before="120" w:after="120"/>
              <w:rPr>
                <w:noProof/>
                <w:szCs w:val="20"/>
                <w:lang w:val="de-DE"/>
              </w:rPr>
            </w:pPr>
            <w:r w:rsidRPr="00170422">
              <w:rPr>
                <w:noProof/>
                <w:lang w:val="de-DE"/>
              </w:rPr>
              <w:t>Mitteilung über die Vergabe aller öffentlichen Aufträge für Projekte zur schnelleren Anbindung, die i) „Italia a 1 Giga“, ii) „Italia 5G“, iii) „Connected schools“ und iv) „vernetzte Gesundheitsei</w:t>
            </w:r>
            <w:r w:rsidRPr="00170422">
              <w:rPr>
                <w:noProof/>
                <w:lang w:val="de-DE"/>
              </w:rPr>
              <w:t>nrichtungen“ umfassen; und v) „Vernetzte kleinere Inseln“.</w:t>
            </w:r>
          </w:p>
        </w:tc>
      </w:tr>
      <w:tr w:rsidR="0057163C" w:rsidRPr="00170422" w14:paraId="521189F1" w14:textId="77777777" w:rsidTr="005508B9">
        <w:trPr>
          <w:trHeight w:val="315"/>
        </w:trPr>
        <w:tc>
          <w:tcPr>
            <w:tcW w:w="1418" w:type="dxa"/>
            <w:shd w:val="clear" w:color="auto" w:fill="C6EFCE"/>
            <w:vAlign w:val="center"/>
          </w:tcPr>
          <w:p w14:paraId="48E02E28" w14:textId="77777777" w:rsidR="0057163C" w:rsidRPr="00170422" w:rsidRDefault="00F37BF9">
            <w:pPr>
              <w:pStyle w:val="P68B1DB1-Normal12"/>
              <w:spacing w:before="120" w:after="120"/>
              <w:jc w:val="center"/>
              <w:rPr>
                <w:noProof/>
                <w:lang w:val="de-DE"/>
              </w:rPr>
            </w:pPr>
            <w:r w:rsidRPr="00170422">
              <w:rPr>
                <w:noProof/>
                <w:lang w:val="de-DE"/>
              </w:rPr>
              <w:t>M1C2-17</w:t>
            </w:r>
          </w:p>
        </w:tc>
        <w:tc>
          <w:tcPr>
            <w:tcW w:w="1985" w:type="dxa"/>
            <w:shd w:val="clear" w:color="auto" w:fill="C6EFCE"/>
            <w:vAlign w:val="center"/>
          </w:tcPr>
          <w:p w14:paraId="5B578B26" w14:textId="77777777" w:rsidR="0057163C" w:rsidRPr="00170422" w:rsidRDefault="00F37BF9">
            <w:pPr>
              <w:pStyle w:val="P68B1DB1-Normal11"/>
              <w:spacing w:before="120" w:after="120"/>
              <w:jc w:val="center"/>
              <w:rPr>
                <w:noProof/>
                <w:szCs w:val="20"/>
                <w:lang w:val="de-DE"/>
              </w:rPr>
            </w:pPr>
            <w:r w:rsidRPr="00170422">
              <w:rPr>
                <w:noProof/>
                <w:lang w:val="de-DE"/>
              </w:rPr>
              <w:t>Investition 3: Wissenschaftsexzellenz. Schnelle Internetverbindungen (Ultrabreitband und 5G)</w:t>
            </w:r>
          </w:p>
        </w:tc>
        <w:tc>
          <w:tcPr>
            <w:tcW w:w="1275" w:type="dxa"/>
            <w:shd w:val="clear" w:color="auto" w:fill="C6EFCE"/>
            <w:vAlign w:val="center"/>
          </w:tcPr>
          <w:p w14:paraId="488209BF"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3FBCAF2A" w14:textId="77777777" w:rsidR="0057163C" w:rsidRPr="00170422" w:rsidRDefault="00F37BF9">
            <w:pPr>
              <w:pStyle w:val="P68B1DB1-Normal11"/>
              <w:spacing w:before="120" w:after="120"/>
              <w:jc w:val="center"/>
              <w:rPr>
                <w:noProof/>
                <w:szCs w:val="20"/>
                <w:lang w:val="de-DE"/>
              </w:rPr>
            </w:pPr>
            <w:r w:rsidRPr="00170422">
              <w:rPr>
                <w:noProof/>
                <w:lang w:val="de-DE"/>
              </w:rPr>
              <w:t>Hausnummern mit 1 Gbit/s-Konnektivität</w:t>
            </w:r>
          </w:p>
        </w:tc>
        <w:tc>
          <w:tcPr>
            <w:tcW w:w="1276" w:type="dxa"/>
            <w:shd w:val="clear" w:color="auto" w:fill="C6EFCE"/>
            <w:vAlign w:val="center"/>
          </w:tcPr>
          <w:p w14:paraId="4498C2BD"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33739664"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745D49F9"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39EBD8E2" w14:textId="5804872E" w:rsidR="0057163C" w:rsidRPr="00170422" w:rsidRDefault="00F37BF9">
            <w:pPr>
              <w:pStyle w:val="P68B1DB1-Normal11"/>
              <w:spacing w:before="120" w:after="120"/>
              <w:jc w:val="center"/>
              <w:rPr>
                <w:noProof/>
                <w:szCs w:val="20"/>
                <w:lang w:val="de-DE"/>
              </w:rPr>
            </w:pPr>
            <w:r w:rsidRPr="00170422">
              <w:rPr>
                <w:noProof/>
                <w:lang w:val="de-DE"/>
              </w:rPr>
              <w:t>2 692 905</w:t>
            </w:r>
          </w:p>
        </w:tc>
        <w:tc>
          <w:tcPr>
            <w:tcW w:w="850" w:type="dxa"/>
            <w:shd w:val="clear" w:color="auto" w:fill="C6EFCE"/>
            <w:vAlign w:val="center"/>
          </w:tcPr>
          <w:p w14:paraId="27EC20A8"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shd w:val="clear" w:color="auto" w:fill="C6EFCE"/>
            <w:vAlign w:val="center"/>
          </w:tcPr>
          <w:p w14:paraId="28AD9C9B" w14:textId="77777777" w:rsidR="0057163C" w:rsidRPr="00170422" w:rsidRDefault="00F37BF9">
            <w:pPr>
              <w:pStyle w:val="P68B1DB1-Normal11"/>
              <w:spacing w:before="120" w:after="120"/>
              <w:jc w:val="center"/>
              <w:rPr>
                <w:noProof/>
                <w:szCs w:val="20"/>
                <w:lang w:val="de-DE"/>
              </w:rPr>
            </w:pPr>
            <w:r w:rsidRPr="00170422">
              <w:rPr>
                <w:noProof/>
                <w:lang w:val="de-DE"/>
              </w:rPr>
              <w:t>2026</w:t>
            </w:r>
          </w:p>
        </w:tc>
        <w:tc>
          <w:tcPr>
            <w:tcW w:w="3232" w:type="dxa"/>
            <w:shd w:val="clear" w:color="auto" w:fill="C6EFCE"/>
            <w:vAlign w:val="center"/>
          </w:tcPr>
          <w:p w14:paraId="275DBC67" w14:textId="4DE365B9" w:rsidR="0057163C" w:rsidRPr="00170422" w:rsidRDefault="00F37BF9">
            <w:pPr>
              <w:pStyle w:val="P68B1DB1-Normal11"/>
              <w:rPr>
                <w:noProof/>
                <w:szCs w:val="20"/>
                <w:lang w:val="de-DE"/>
              </w:rPr>
            </w:pPr>
            <w:r w:rsidRPr="00170422">
              <w:rPr>
                <w:noProof/>
                <w:szCs w:val="20"/>
                <w:lang w:val="de-DE"/>
              </w:rPr>
              <w:t xml:space="preserve">Mindestens </w:t>
            </w:r>
            <w:r w:rsidRPr="00170422">
              <w:rPr>
                <w:noProof/>
                <w:szCs w:val="20"/>
                <w:lang w:val="de-DE"/>
              </w:rPr>
              <w:t>2692905 Hausnummern</w:t>
            </w:r>
            <w:r w:rsidRPr="00170422">
              <w:rPr>
                <w:noProof/>
                <w:lang w:val="de-DE"/>
              </w:rPr>
              <w:t xml:space="preserve">  (davon mindestens 266782 verstreute Haushalte, d. h. in abgelegenen Gebieten gelegen), die mit mindestens 1 Gbit/s über Fiber-the-Home/Gebäude (FTTH/B), festen drahtlosen Zugang (FWA) verbunden sind </w:t>
            </w:r>
          </w:p>
        </w:tc>
      </w:tr>
      <w:tr w:rsidR="0057163C" w:rsidRPr="00170422" w14:paraId="177D2AA3" w14:textId="77777777" w:rsidTr="005508B9">
        <w:trPr>
          <w:trHeight w:val="315"/>
        </w:trPr>
        <w:tc>
          <w:tcPr>
            <w:tcW w:w="1418" w:type="dxa"/>
            <w:shd w:val="clear" w:color="auto" w:fill="C6EFCE"/>
            <w:vAlign w:val="center"/>
          </w:tcPr>
          <w:p w14:paraId="05E5CA2E" w14:textId="77777777" w:rsidR="0057163C" w:rsidRPr="00170422" w:rsidRDefault="00F37BF9">
            <w:pPr>
              <w:pStyle w:val="P68B1DB1-Normal11"/>
              <w:spacing w:before="120" w:after="120"/>
              <w:jc w:val="center"/>
              <w:rPr>
                <w:noProof/>
                <w:szCs w:val="20"/>
                <w:lang w:val="de-DE"/>
              </w:rPr>
            </w:pPr>
            <w:r w:rsidRPr="00170422">
              <w:rPr>
                <w:noProof/>
                <w:lang w:val="de-DE"/>
              </w:rPr>
              <w:t>M1C2-18</w:t>
            </w:r>
          </w:p>
        </w:tc>
        <w:tc>
          <w:tcPr>
            <w:tcW w:w="1985" w:type="dxa"/>
            <w:shd w:val="clear" w:color="auto" w:fill="C6EFCE"/>
            <w:vAlign w:val="center"/>
          </w:tcPr>
          <w:p w14:paraId="5B8A0234" w14:textId="77777777" w:rsidR="0057163C" w:rsidRPr="00170422" w:rsidRDefault="00F37BF9">
            <w:pPr>
              <w:pStyle w:val="P68B1DB1-Normal11"/>
              <w:spacing w:before="120" w:after="120"/>
              <w:jc w:val="center"/>
              <w:rPr>
                <w:noProof/>
                <w:szCs w:val="20"/>
                <w:lang w:val="de-DE"/>
              </w:rPr>
            </w:pPr>
            <w:r w:rsidRPr="00170422">
              <w:rPr>
                <w:noProof/>
                <w:lang w:val="de-DE"/>
              </w:rPr>
              <w:t xml:space="preserve">Investition 3: </w:t>
            </w:r>
            <w:r w:rsidRPr="00170422">
              <w:rPr>
                <w:noProof/>
                <w:lang w:val="de-DE"/>
              </w:rPr>
              <w:t>Wissenschaftsexzellenz. Schnelle Internetverbindungen (Ultrabreitband und 5G)</w:t>
            </w:r>
          </w:p>
        </w:tc>
        <w:tc>
          <w:tcPr>
            <w:tcW w:w="1275" w:type="dxa"/>
            <w:shd w:val="clear" w:color="auto" w:fill="C6EFCE"/>
            <w:vAlign w:val="center"/>
          </w:tcPr>
          <w:p w14:paraId="58836745"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441DAEDD" w14:textId="77777777" w:rsidR="0057163C" w:rsidRPr="00170422" w:rsidRDefault="00F37BF9">
            <w:pPr>
              <w:pStyle w:val="P68B1DB1-Normal11"/>
              <w:spacing w:before="120" w:after="120"/>
              <w:jc w:val="center"/>
              <w:rPr>
                <w:noProof/>
                <w:szCs w:val="20"/>
                <w:lang w:val="de-DE"/>
              </w:rPr>
            </w:pPr>
            <w:r w:rsidRPr="00170422">
              <w:rPr>
                <w:noProof/>
                <w:lang w:val="de-DE"/>
              </w:rPr>
              <w:t>Schulgebäude und Gesundheitseinrichtungen mit einer Konnektivität von 1 Gbit/s</w:t>
            </w:r>
          </w:p>
        </w:tc>
        <w:tc>
          <w:tcPr>
            <w:tcW w:w="1276" w:type="dxa"/>
            <w:shd w:val="clear" w:color="auto" w:fill="C6EFCE"/>
            <w:vAlign w:val="center"/>
          </w:tcPr>
          <w:p w14:paraId="41CA243C"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02DCE45F"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6F31CA6E"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642FC776" w14:textId="77777777" w:rsidR="0057163C" w:rsidRPr="00170422" w:rsidRDefault="00F37BF9">
            <w:pPr>
              <w:pStyle w:val="P68B1DB1-Normal11"/>
              <w:spacing w:before="120" w:after="120"/>
              <w:jc w:val="center"/>
              <w:rPr>
                <w:noProof/>
                <w:szCs w:val="20"/>
                <w:lang w:val="de-DE"/>
              </w:rPr>
            </w:pPr>
            <w:r w:rsidRPr="00170422">
              <w:rPr>
                <w:noProof/>
                <w:lang w:val="de-DE"/>
              </w:rPr>
              <w:t>17 700</w:t>
            </w:r>
          </w:p>
        </w:tc>
        <w:tc>
          <w:tcPr>
            <w:tcW w:w="850" w:type="dxa"/>
            <w:shd w:val="clear" w:color="auto" w:fill="C6EFCE"/>
            <w:vAlign w:val="center"/>
          </w:tcPr>
          <w:p w14:paraId="1803E132"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shd w:val="clear" w:color="auto" w:fill="C6EFCE"/>
            <w:vAlign w:val="center"/>
          </w:tcPr>
          <w:p w14:paraId="67E30125" w14:textId="77777777" w:rsidR="0057163C" w:rsidRPr="00170422" w:rsidRDefault="00F37BF9">
            <w:pPr>
              <w:pStyle w:val="P68B1DB1-Normal11"/>
              <w:spacing w:before="120" w:after="120"/>
              <w:jc w:val="center"/>
              <w:rPr>
                <w:noProof/>
                <w:szCs w:val="20"/>
                <w:lang w:val="de-DE"/>
              </w:rPr>
            </w:pPr>
            <w:r w:rsidRPr="00170422">
              <w:rPr>
                <w:noProof/>
                <w:lang w:val="de-DE"/>
              </w:rPr>
              <w:t>2026</w:t>
            </w:r>
          </w:p>
        </w:tc>
        <w:tc>
          <w:tcPr>
            <w:tcW w:w="3232" w:type="dxa"/>
            <w:shd w:val="clear" w:color="auto" w:fill="C6EFCE"/>
            <w:vAlign w:val="center"/>
          </w:tcPr>
          <w:p w14:paraId="0AAFDB4F" w14:textId="77777777" w:rsidR="0057163C" w:rsidRPr="00170422" w:rsidRDefault="00F37BF9">
            <w:pPr>
              <w:pStyle w:val="P68B1DB1-Normal11"/>
              <w:spacing w:before="120" w:after="120"/>
              <w:rPr>
                <w:noProof/>
                <w:szCs w:val="20"/>
                <w:lang w:val="de-DE"/>
              </w:rPr>
            </w:pPr>
            <w:r w:rsidRPr="00170422">
              <w:rPr>
                <w:noProof/>
                <w:lang w:val="de-DE"/>
              </w:rPr>
              <w:t xml:space="preserve">Mindestens 9000 Schulen und 8700 öffentliche </w:t>
            </w:r>
            <w:r w:rsidRPr="00170422">
              <w:rPr>
                <w:noProof/>
                <w:lang w:val="de-DE"/>
              </w:rPr>
              <w:t>Gesundheitseinrichtungen mit einer Konnektivität von mindestens 1 Gbit/s.</w:t>
            </w:r>
          </w:p>
        </w:tc>
      </w:tr>
      <w:tr w:rsidR="0057163C" w:rsidRPr="00170422" w14:paraId="1397F3B4" w14:textId="77777777" w:rsidTr="005508B9">
        <w:trPr>
          <w:trHeight w:val="315"/>
        </w:trPr>
        <w:tc>
          <w:tcPr>
            <w:tcW w:w="1418" w:type="dxa"/>
            <w:shd w:val="clear" w:color="auto" w:fill="C6EFCE"/>
            <w:vAlign w:val="center"/>
          </w:tcPr>
          <w:p w14:paraId="37D966E3" w14:textId="77777777" w:rsidR="0057163C" w:rsidRPr="00170422" w:rsidRDefault="00F37BF9">
            <w:pPr>
              <w:pStyle w:val="P68B1DB1-Normal11"/>
              <w:spacing w:before="120" w:after="120"/>
              <w:jc w:val="center"/>
              <w:rPr>
                <w:noProof/>
                <w:szCs w:val="20"/>
                <w:lang w:val="de-DE"/>
              </w:rPr>
            </w:pPr>
            <w:r w:rsidRPr="00170422">
              <w:rPr>
                <w:noProof/>
                <w:lang w:val="de-DE"/>
              </w:rPr>
              <w:t>M1C2-19</w:t>
            </w:r>
          </w:p>
        </w:tc>
        <w:tc>
          <w:tcPr>
            <w:tcW w:w="1985" w:type="dxa"/>
            <w:shd w:val="clear" w:color="auto" w:fill="C6EFCE"/>
            <w:vAlign w:val="center"/>
          </w:tcPr>
          <w:p w14:paraId="2A4CEABB" w14:textId="77777777" w:rsidR="0057163C" w:rsidRPr="00170422" w:rsidRDefault="00F37BF9">
            <w:pPr>
              <w:pStyle w:val="P68B1DB1-Normal11"/>
              <w:spacing w:before="120" w:after="120"/>
              <w:jc w:val="center"/>
              <w:rPr>
                <w:noProof/>
                <w:szCs w:val="20"/>
                <w:lang w:val="de-DE"/>
              </w:rPr>
            </w:pPr>
            <w:r w:rsidRPr="00170422">
              <w:rPr>
                <w:noProof/>
                <w:lang w:val="de-DE"/>
              </w:rPr>
              <w:t>Investition 3: Wissenschaftsexzellenz. Schnelle Internetverbindungen (Ultrabreitband und 5G)</w:t>
            </w:r>
          </w:p>
        </w:tc>
        <w:tc>
          <w:tcPr>
            <w:tcW w:w="1275" w:type="dxa"/>
            <w:shd w:val="clear" w:color="auto" w:fill="C6EFCE"/>
            <w:vAlign w:val="center"/>
          </w:tcPr>
          <w:p w14:paraId="63D5E0B9"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1F1AFC6A" w14:textId="77777777" w:rsidR="0057163C" w:rsidRPr="00170422" w:rsidRDefault="00F37BF9">
            <w:pPr>
              <w:pStyle w:val="P68B1DB1-Normal11"/>
              <w:spacing w:before="120" w:after="120"/>
              <w:jc w:val="center"/>
              <w:rPr>
                <w:noProof/>
                <w:szCs w:val="20"/>
                <w:lang w:val="de-DE"/>
              </w:rPr>
            </w:pPr>
            <w:r w:rsidRPr="00170422">
              <w:rPr>
                <w:noProof/>
                <w:lang w:val="de-DE"/>
              </w:rPr>
              <w:t>Inseln mit Ultrabreitbandanbindung</w:t>
            </w:r>
          </w:p>
        </w:tc>
        <w:tc>
          <w:tcPr>
            <w:tcW w:w="1276" w:type="dxa"/>
            <w:shd w:val="clear" w:color="auto" w:fill="C6EFCE"/>
            <w:vAlign w:val="center"/>
          </w:tcPr>
          <w:p w14:paraId="695234DD"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11C2F1A2"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7EBC842D"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2127B89F" w14:textId="77777777" w:rsidR="0057163C" w:rsidRPr="00170422" w:rsidRDefault="00F37BF9">
            <w:pPr>
              <w:pStyle w:val="P68B1DB1-Normal11"/>
              <w:spacing w:before="120" w:after="120"/>
              <w:jc w:val="center"/>
              <w:rPr>
                <w:noProof/>
                <w:szCs w:val="20"/>
                <w:lang w:val="de-DE"/>
              </w:rPr>
            </w:pPr>
            <w:r w:rsidRPr="00170422">
              <w:rPr>
                <w:noProof/>
                <w:lang w:val="de-DE"/>
              </w:rPr>
              <w:t>18</w:t>
            </w:r>
          </w:p>
        </w:tc>
        <w:tc>
          <w:tcPr>
            <w:tcW w:w="850" w:type="dxa"/>
            <w:shd w:val="clear" w:color="auto" w:fill="C6EFCE"/>
            <w:vAlign w:val="center"/>
          </w:tcPr>
          <w:p w14:paraId="0BE2726C"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shd w:val="clear" w:color="auto" w:fill="C6EFCE"/>
            <w:vAlign w:val="center"/>
          </w:tcPr>
          <w:p w14:paraId="094C57BA" w14:textId="77777777" w:rsidR="0057163C" w:rsidRPr="00170422" w:rsidRDefault="00F37BF9">
            <w:pPr>
              <w:pStyle w:val="P68B1DB1-Normal11"/>
              <w:spacing w:before="120" w:after="120"/>
              <w:jc w:val="center"/>
              <w:rPr>
                <w:noProof/>
                <w:szCs w:val="20"/>
                <w:lang w:val="de-DE"/>
              </w:rPr>
            </w:pPr>
            <w:r w:rsidRPr="00170422">
              <w:rPr>
                <w:noProof/>
                <w:lang w:val="de-DE"/>
              </w:rPr>
              <w:t>2024</w:t>
            </w:r>
          </w:p>
        </w:tc>
        <w:tc>
          <w:tcPr>
            <w:tcW w:w="3232" w:type="dxa"/>
            <w:shd w:val="clear" w:color="auto" w:fill="C6EFCE"/>
            <w:vAlign w:val="center"/>
          </w:tcPr>
          <w:p w14:paraId="50CE40C7" w14:textId="77777777" w:rsidR="0057163C" w:rsidRPr="00170422" w:rsidRDefault="00F37BF9">
            <w:pPr>
              <w:pStyle w:val="P68B1DB1-Normal11"/>
              <w:spacing w:before="120" w:after="120"/>
              <w:rPr>
                <w:noProof/>
                <w:szCs w:val="20"/>
                <w:lang w:val="de-DE"/>
              </w:rPr>
            </w:pPr>
            <w:r w:rsidRPr="00170422">
              <w:rPr>
                <w:noProof/>
                <w:lang w:val="de-DE"/>
              </w:rPr>
              <w:t>Mindestens 18 weitere Inseln ohne Glasfaserverbindungen zum Kontinent bieten über neue optische Backhaul-Anschlüsse eine Ultrabreitbandanbindung.</w:t>
            </w:r>
          </w:p>
        </w:tc>
      </w:tr>
      <w:tr w:rsidR="0057163C" w:rsidRPr="00170422" w14:paraId="484C4603" w14:textId="77777777" w:rsidTr="005508B9">
        <w:trPr>
          <w:trHeight w:val="315"/>
        </w:trPr>
        <w:tc>
          <w:tcPr>
            <w:tcW w:w="1418" w:type="dxa"/>
            <w:shd w:val="clear" w:color="auto" w:fill="C6EFCE"/>
            <w:vAlign w:val="center"/>
          </w:tcPr>
          <w:p w14:paraId="476CF8F6" w14:textId="77777777" w:rsidR="0057163C" w:rsidRPr="00170422" w:rsidRDefault="00F37BF9">
            <w:pPr>
              <w:pStyle w:val="P68B1DB1-Normal11"/>
              <w:spacing w:before="120" w:after="120"/>
              <w:jc w:val="center"/>
              <w:rPr>
                <w:noProof/>
                <w:szCs w:val="20"/>
                <w:lang w:val="de-DE"/>
              </w:rPr>
            </w:pPr>
            <w:r w:rsidRPr="00170422">
              <w:rPr>
                <w:noProof/>
                <w:lang w:val="de-DE"/>
              </w:rPr>
              <w:t>M1C2-20</w:t>
            </w:r>
          </w:p>
        </w:tc>
        <w:tc>
          <w:tcPr>
            <w:tcW w:w="1985" w:type="dxa"/>
            <w:shd w:val="clear" w:color="auto" w:fill="C6EFCE"/>
            <w:vAlign w:val="center"/>
          </w:tcPr>
          <w:p w14:paraId="3A97D487" w14:textId="77777777" w:rsidR="0057163C" w:rsidRPr="00170422" w:rsidRDefault="00F37BF9">
            <w:pPr>
              <w:pStyle w:val="P68B1DB1-Normal11"/>
              <w:spacing w:before="120" w:after="120"/>
              <w:jc w:val="center"/>
              <w:rPr>
                <w:noProof/>
                <w:szCs w:val="20"/>
                <w:lang w:val="de-DE"/>
              </w:rPr>
            </w:pPr>
            <w:r w:rsidRPr="00170422">
              <w:rPr>
                <w:noProof/>
                <w:lang w:val="de-DE"/>
              </w:rPr>
              <w:t>Investition 3: Wissenschaftsexzellenz. Schnelle Internetverbindungen (Ultrabreitband und 5G)</w:t>
            </w:r>
          </w:p>
        </w:tc>
        <w:tc>
          <w:tcPr>
            <w:tcW w:w="1275" w:type="dxa"/>
            <w:shd w:val="clear" w:color="auto" w:fill="C6EFCE"/>
            <w:vAlign w:val="center"/>
          </w:tcPr>
          <w:p w14:paraId="6DC10CBE"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2212BCBA" w14:textId="77777777" w:rsidR="0057163C" w:rsidRPr="00170422" w:rsidRDefault="00F37BF9">
            <w:pPr>
              <w:pStyle w:val="P68B1DB1-Normal11"/>
              <w:spacing w:before="120" w:after="120"/>
              <w:jc w:val="center"/>
              <w:rPr>
                <w:noProof/>
                <w:szCs w:val="20"/>
                <w:lang w:val="de-DE"/>
              </w:rPr>
            </w:pPr>
            <w:r w:rsidRPr="00170422">
              <w:rPr>
                <w:noProof/>
                <w:lang w:val="de-DE"/>
              </w:rPr>
              <w:t>Außerstädtische Straßen und Korridore mit 5G-Abdeckung möglich</w:t>
            </w:r>
          </w:p>
        </w:tc>
        <w:tc>
          <w:tcPr>
            <w:tcW w:w="1276" w:type="dxa"/>
            <w:shd w:val="clear" w:color="auto" w:fill="C6EFCE"/>
            <w:vAlign w:val="center"/>
          </w:tcPr>
          <w:p w14:paraId="43DEEE08"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5A5E872A"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7774436D"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424B9F63" w14:textId="77777777" w:rsidR="0057163C" w:rsidRPr="00170422" w:rsidRDefault="00F37BF9">
            <w:pPr>
              <w:pStyle w:val="P68B1DB1-Normal11"/>
              <w:spacing w:before="120" w:line="257" w:lineRule="auto"/>
              <w:jc w:val="center"/>
              <w:rPr>
                <w:noProof/>
                <w:szCs w:val="20"/>
                <w:lang w:val="de-DE"/>
              </w:rPr>
            </w:pPr>
            <w:r w:rsidRPr="00170422">
              <w:rPr>
                <w:noProof/>
                <w:lang w:val="de-DE"/>
              </w:rPr>
              <w:t>12 600</w:t>
            </w:r>
          </w:p>
        </w:tc>
        <w:tc>
          <w:tcPr>
            <w:tcW w:w="850" w:type="dxa"/>
            <w:shd w:val="clear" w:color="auto" w:fill="C6EFCE"/>
            <w:vAlign w:val="center"/>
          </w:tcPr>
          <w:p w14:paraId="6A2E7D4B"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shd w:val="clear" w:color="auto" w:fill="C6EFCE"/>
            <w:vAlign w:val="center"/>
          </w:tcPr>
          <w:p w14:paraId="14898868" w14:textId="77777777" w:rsidR="0057163C" w:rsidRPr="00170422" w:rsidRDefault="00F37BF9">
            <w:pPr>
              <w:pStyle w:val="P68B1DB1-Normal11"/>
              <w:spacing w:before="120" w:after="120"/>
              <w:jc w:val="center"/>
              <w:rPr>
                <w:noProof/>
                <w:szCs w:val="20"/>
                <w:lang w:val="de-DE"/>
              </w:rPr>
            </w:pPr>
            <w:r w:rsidRPr="00170422">
              <w:rPr>
                <w:noProof/>
                <w:lang w:val="de-DE"/>
              </w:rPr>
              <w:t>2026</w:t>
            </w:r>
          </w:p>
        </w:tc>
        <w:tc>
          <w:tcPr>
            <w:tcW w:w="3232" w:type="dxa"/>
            <w:shd w:val="clear" w:color="auto" w:fill="C6EFCE"/>
            <w:vAlign w:val="center"/>
          </w:tcPr>
          <w:p w14:paraId="7B42AF4E" w14:textId="77777777" w:rsidR="0057163C" w:rsidRPr="00170422" w:rsidRDefault="00F37BF9">
            <w:pPr>
              <w:pStyle w:val="P68B1DB1-Normal11"/>
              <w:spacing w:before="120" w:after="120"/>
              <w:rPr>
                <w:noProof/>
                <w:szCs w:val="20"/>
                <w:lang w:val="de-DE"/>
              </w:rPr>
            </w:pPr>
            <w:r w:rsidRPr="00170422">
              <w:rPr>
                <w:noProof/>
                <w:lang w:val="de-DE"/>
              </w:rPr>
              <w:t>Mindestens 12 600 km außerstädtische Straßen und Korridore mit 5G-Abdeckung möglich.</w:t>
            </w:r>
          </w:p>
        </w:tc>
      </w:tr>
      <w:tr w:rsidR="0057163C" w:rsidRPr="00170422" w14:paraId="3AD10E37" w14:textId="77777777" w:rsidTr="005508B9">
        <w:trPr>
          <w:trHeight w:val="315"/>
        </w:trPr>
        <w:tc>
          <w:tcPr>
            <w:tcW w:w="1418" w:type="dxa"/>
            <w:shd w:val="clear" w:color="auto" w:fill="C6EFCE"/>
            <w:vAlign w:val="center"/>
          </w:tcPr>
          <w:p w14:paraId="3126B28A" w14:textId="77777777" w:rsidR="0057163C" w:rsidRPr="00170422" w:rsidRDefault="00F37BF9">
            <w:pPr>
              <w:pStyle w:val="P68B1DB1-Normal11"/>
              <w:spacing w:before="120" w:after="120"/>
              <w:jc w:val="center"/>
              <w:rPr>
                <w:noProof/>
                <w:szCs w:val="20"/>
                <w:lang w:val="de-DE"/>
              </w:rPr>
            </w:pPr>
            <w:r w:rsidRPr="00170422">
              <w:rPr>
                <w:noProof/>
                <w:lang w:val="de-DE"/>
              </w:rPr>
              <w:t>M1C2-21</w:t>
            </w:r>
          </w:p>
        </w:tc>
        <w:tc>
          <w:tcPr>
            <w:tcW w:w="1985" w:type="dxa"/>
            <w:shd w:val="clear" w:color="auto" w:fill="C6EFCE"/>
            <w:vAlign w:val="center"/>
          </w:tcPr>
          <w:p w14:paraId="349C1C9E" w14:textId="77777777" w:rsidR="0057163C" w:rsidRPr="00170422" w:rsidRDefault="00F37BF9">
            <w:pPr>
              <w:pStyle w:val="P68B1DB1-Normal11"/>
              <w:spacing w:before="120" w:after="120"/>
              <w:jc w:val="center"/>
              <w:rPr>
                <w:noProof/>
                <w:szCs w:val="20"/>
                <w:lang w:val="de-DE"/>
              </w:rPr>
            </w:pPr>
            <w:r w:rsidRPr="00170422">
              <w:rPr>
                <w:noProof/>
                <w:lang w:val="de-DE"/>
              </w:rPr>
              <w:t xml:space="preserve">Investition 3: Wissenschaftsexzellenz. Schnelle </w:t>
            </w:r>
            <w:r w:rsidRPr="00170422">
              <w:rPr>
                <w:noProof/>
                <w:lang w:val="de-DE"/>
              </w:rPr>
              <w:t>Internetverbindungen (Ultrabreitband und 5G)</w:t>
            </w:r>
          </w:p>
        </w:tc>
        <w:tc>
          <w:tcPr>
            <w:tcW w:w="1275" w:type="dxa"/>
            <w:shd w:val="clear" w:color="auto" w:fill="C6EFCE"/>
            <w:vAlign w:val="center"/>
          </w:tcPr>
          <w:p w14:paraId="6402B3FC"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56BFBB8A" w14:textId="77777777" w:rsidR="0057163C" w:rsidRPr="00170422" w:rsidRDefault="00F37BF9">
            <w:pPr>
              <w:pStyle w:val="P68B1DB1-Normal11"/>
              <w:spacing w:before="120" w:after="120"/>
              <w:jc w:val="center"/>
              <w:rPr>
                <w:noProof/>
                <w:szCs w:val="20"/>
                <w:lang w:val="de-DE"/>
              </w:rPr>
            </w:pPr>
            <w:r w:rsidRPr="00170422">
              <w:rPr>
                <w:noProof/>
                <w:lang w:val="de-DE"/>
              </w:rPr>
              <w:t>Mit 5G-Versorgung ausgestattete Gebiete mit Marktversagen</w:t>
            </w:r>
          </w:p>
        </w:tc>
        <w:tc>
          <w:tcPr>
            <w:tcW w:w="1276" w:type="dxa"/>
            <w:shd w:val="clear" w:color="auto" w:fill="C6EFCE"/>
            <w:vAlign w:val="center"/>
          </w:tcPr>
          <w:p w14:paraId="148A73AE"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1E8485D2"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5D0E9830"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13F14D8B" w14:textId="77777777" w:rsidR="0057163C" w:rsidRPr="00170422" w:rsidRDefault="00F37BF9">
            <w:pPr>
              <w:pStyle w:val="P68B1DB1-Normal11"/>
              <w:spacing w:before="120" w:after="120"/>
              <w:jc w:val="center"/>
              <w:rPr>
                <w:noProof/>
                <w:szCs w:val="20"/>
                <w:lang w:val="de-DE"/>
              </w:rPr>
            </w:pPr>
            <w:r w:rsidRPr="00170422">
              <w:rPr>
                <w:noProof/>
                <w:lang w:val="de-DE"/>
              </w:rPr>
              <w:t>1 400</w:t>
            </w:r>
          </w:p>
        </w:tc>
        <w:tc>
          <w:tcPr>
            <w:tcW w:w="850" w:type="dxa"/>
            <w:shd w:val="clear" w:color="auto" w:fill="C6EFCE"/>
            <w:vAlign w:val="center"/>
          </w:tcPr>
          <w:p w14:paraId="2B389AC0" w14:textId="77777777" w:rsidR="0057163C" w:rsidRPr="00170422" w:rsidRDefault="00F37BF9">
            <w:pPr>
              <w:pStyle w:val="P68B1DB1-Normal11"/>
              <w:spacing w:before="120" w:after="120"/>
              <w:jc w:val="center"/>
              <w:rPr>
                <w:noProof/>
                <w:szCs w:val="20"/>
                <w:lang w:val="de-DE"/>
              </w:rPr>
            </w:pPr>
            <w:r w:rsidRPr="00170422">
              <w:rPr>
                <w:noProof/>
                <w:lang w:val="de-DE"/>
              </w:rPr>
              <w:t>Q2</w:t>
            </w:r>
          </w:p>
        </w:tc>
        <w:tc>
          <w:tcPr>
            <w:tcW w:w="709" w:type="dxa"/>
            <w:shd w:val="clear" w:color="auto" w:fill="C6EFCE"/>
            <w:vAlign w:val="center"/>
          </w:tcPr>
          <w:p w14:paraId="359575A4" w14:textId="77777777" w:rsidR="0057163C" w:rsidRPr="00170422" w:rsidRDefault="00F37BF9">
            <w:pPr>
              <w:pStyle w:val="P68B1DB1-Normal11"/>
              <w:spacing w:before="120" w:after="120"/>
              <w:jc w:val="center"/>
              <w:rPr>
                <w:noProof/>
                <w:szCs w:val="20"/>
                <w:lang w:val="de-DE"/>
              </w:rPr>
            </w:pPr>
            <w:r w:rsidRPr="00170422">
              <w:rPr>
                <w:noProof/>
                <w:lang w:val="de-DE"/>
              </w:rPr>
              <w:t>2026</w:t>
            </w:r>
          </w:p>
        </w:tc>
        <w:tc>
          <w:tcPr>
            <w:tcW w:w="3232" w:type="dxa"/>
            <w:shd w:val="clear" w:color="auto" w:fill="C6EFCE"/>
            <w:vAlign w:val="center"/>
          </w:tcPr>
          <w:p w14:paraId="41CEEFC4" w14:textId="77777777" w:rsidR="0057163C" w:rsidRPr="00170422" w:rsidRDefault="00F37BF9">
            <w:pPr>
              <w:pStyle w:val="P68B1DB1-Normal11"/>
              <w:spacing w:before="120" w:after="120"/>
              <w:rPr>
                <w:noProof/>
                <w:szCs w:val="20"/>
                <w:lang w:val="de-DE"/>
              </w:rPr>
            </w:pPr>
            <w:r w:rsidRPr="00170422">
              <w:rPr>
                <w:noProof/>
                <w:lang w:val="de-DE"/>
              </w:rPr>
              <w:t xml:space="preserve">Mindestens weitere 1 400 km² mit Marktversagen besiedelte Gebiete, die mit 5G-Abdeckung ausgestattet sind, davon </w:t>
            </w:r>
            <w:r w:rsidRPr="00170422">
              <w:rPr>
                <w:noProof/>
                <w:lang w:val="de-DE"/>
              </w:rPr>
              <w:t>mindestens 500 km² mit 5G-Abdeckung.</w:t>
            </w:r>
          </w:p>
        </w:tc>
      </w:tr>
      <w:tr w:rsidR="0057163C" w:rsidRPr="00170422" w14:paraId="4936033D" w14:textId="77777777" w:rsidTr="005508B9">
        <w:trPr>
          <w:trHeight w:val="315"/>
        </w:trPr>
        <w:tc>
          <w:tcPr>
            <w:tcW w:w="1418" w:type="dxa"/>
            <w:shd w:val="clear" w:color="auto" w:fill="C6EFCE"/>
            <w:vAlign w:val="center"/>
          </w:tcPr>
          <w:p w14:paraId="011B2FEC" w14:textId="77777777" w:rsidR="0057163C" w:rsidRPr="00170422" w:rsidRDefault="00F37BF9">
            <w:pPr>
              <w:pStyle w:val="P68B1DB1-Normal11"/>
              <w:spacing w:before="120" w:after="120"/>
              <w:jc w:val="center"/>
              <w:rPr>
                <w:noProof/>
                <w:szCs w:val="20"/>
                <w:lang w:val="de-DE"/>
              </w:rPr>
            </w:pPr>
            <w:r w:rsidRPr="00170422">
              <w:rPr>
                <w:noProof/>
                <w:lang w:val="de-DE"/>
              </w:rPr>
              <w:t>M1C2-22</w:t>
            </w:r>
          </w:p>
        </w:tc>
        <w:tc>
          <w:tcPr>
            <w:tcW w:w="1985" w:type="dxa"/>
            <w:shd w:val="clear" w:color="auto" w:fill="C6EFCE"/>
            <w:vAlign w:val="center"/>
          </w:tcPr>
          <w:p w14:paraId="0B0A1F58" w14:textId="77777777" w:rsidR="0057163C" w:rsidRPr="00170422" w:rsidRDefault="00F37BF9">
            <w:pPr>
              <w:pStyle w:val="P68B1DB1-Normal11"/>
              <w:spacing w:before="120" w:after="120"/>
              <w:jc w:val="center"/>
              <w:rPr>
                <w:noProof/>
                <w:szCs w:val="20"/>
                <w:lang w:val="de-DE"/>
              </w:rPr>
            </w:pPr>
            <w:r w:rsidRPr="00170422">
              <w:rPr>
                <w:noProof/>
                <w:lang w:val="de-DE"/>
              </w:rPr>
              <w:t>Investition 4: Satellitentechnologie und Weltraumwirtschaft</w:t>
            </w:r>
          </w:p>
        </w:tc>
        <w:tc>
          <w:tcPr>
            <w:tcW w:w="1275" w:type="dxa"/>
            <w:shd w:val="clear" w:color="auto" w:fill="C6EFCE"/>
            <w:vAlign w:val="center"/>
          </w:tcPr>
          <w:p w14:paraId="1E6125B3"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276" w:type="dxa"/>
            <w:shd w:val="clear" w:color="auto" w:fill="C6EFCE"/>
            <w:vAlign w:val="center"/>
          </w:tcPr>
          <w:p w14:paraId="0FF001E2" w14:textId="77777777" w:rsidR="0057163C" w:rsidRPr="00170422" w:rsidRDefault="00F37BF9">
            <w:pPr>
              <w:pStyle w:val="P68B1DB1-Normal11"/>
              <w:spacing w:before="120" w:after="120"/>
              <w:jc w:val="center"/>
              <w:rPr>
                <w:noProof/>
                <w:szCs w:val="20"/>
                <w:lang w:val="de-DE"/>
              </w:rPr>
            </w:pPr>
            <w:r w:rsidRPr="00170422">
              <w:rPr>
                <w:noProof/>
                <w:lang w:val="de-DE"/>
              </w:rPr>
              <w:t>Vergabe aller öffentlichen Aufträge für Satellitentechnologie- und Weltraumprojekte</w:t>
            </w:r>
          </w:p>
        </w:tc>
        <w:tc>
          <w:tcPr>
            <w:tcW w:w="1276" w:type="dxa"/>
            <w:shd w:val="clear" w:color="auto" w:fill="C6EFCE"/>
            <w:vAlign w:val="center"/>
          </w:tcPr>
          <w:p w14:paraId="0584FFA1" w14:textId="77777777" w:rsidR="0057163C" w:rsidRPr="00170422" w:rsidRDefault="00F37BF9">
            <w:pPr>
              <w:pStyle w:val="P68B1DB1-Normal11"/>
              <w:spacing w:before="120" w:after="120"/>
              <w:jc w:val="center"/>
              <w:rPr>
                <w:noProof/>
                <w:szCs w:val="20"/>
                <w:lang w:val="de-DE"/>
              </w:rPr>
            </w:pPr>
            <w:r w:rsidRPr="00170422">
              <w:rPr>
                <w:noProof/>
                <w:lang w:val="de-DE"/>
              </w:rPr>
              <w:t xml:space="preserve">Mitteilung über die Vergabe sämtlicher öffentlicher </w:t>
            </w:r>
            <w:r w:rsidRPr="00170422">
              <w:rPr>
                <w:noProof/>
                <w:lang w:val="de-DE"/>
              </w:rPr>
              <w:t>Aufträge für Satellitentechnologie- und Weltraumprojekte</w:t>
            </w:r>
          </w:p>
        </w:tc>
        <w:tc>
          <w:tcPr>
            <w:tcW w:w="1134" w:type="dxa"/>
            <w:shd w:val="clear" w:color="auto" w:fill="C6EFCE"/>
            <w:vAlign w:val="center"/>
          </w:tcPr>
          <w:p w14:paraId="5A4F6804"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17" w:type="dxa"/>
            <w:shd w:val="clear" w:color="auto" w:fill="C6EFCE"/>
            <w:vAlign w:val="center"/>
          </w:tcPr>
          <w:p w14:paraId="33563D34"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738" w:type="dxa"/>
            <w:shd w:val="clear" w:color="auto" w:fill="C6EFCE"/>
            <w:vAlign w:val="center"/>
          </w:tcPr>
          <w:p w14:paraId="0E76CAA9"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850" w:type="dxa"/>
            <w:shd w:val="clear" w:color="auto" w:fill="C6EFCE"/>
            <w:vAlign w:val="center"/>
          </w:tcPr>
          <w:p w14:paraId="7E4975E8" w14:textId="77777777" w:rsidR="0057163C" w:rsidRPr="00170422" w:rsidRDefault="00F37BF9">
            <w:pPr>
              <w:pStyle w:val="P68B1DB1-Normal11"/>
              <w:spacing w:before="120" w:after="120"/>
              <w:jc w:val="center"/>
              <w:rPr>
                <w:noProof/>
                <w:szCs w:val="20"/>
                <w:lang w:val="de-DE"/>
              </w:rPr>
            </w:pPr>
            <w:r w:rsidRPr="00170422">
              <w:rPr>
                <w:noProof/>
                <w:lang w:val="de-DE"/>
              </w:rPr>
              <w:t>Q1</w:t>
            </w:r>
          </w:p>
        </w:tc>
        <w:tc>
          <w:tcPr>
            <w:tcW w:w="709" w:type="dxa"/>
            <w:shd w:val="clear" w:color="auto" w:fill="C6EFCE"/>
            <w:vAlign w:val="center"/>
          </w:tcPr>
          <w:p w14:paraId="633D2E2E" w14:textId="77777777" w:rsidR="0057163C" w:rsidRPr="00170422" w:rsidRDefault="00F37BF9">
            <w:pPr>
              <w:pStyle w:val="P68B1DB1-Normal11"/>
              <w:spacing w:before="120" w:after="120"/>
              <w:jc w:val="center"/>
              <w:rPr>
                <w:noProof/>
                <w:szCs w:val="20"/>
                <w:lang w:val="de-DE"/>
              </w:rPr>
            </w:pPr>
            <w:r w:rsidRPr="00170422">
              <w:rPr>
                <w:noProof/>
                <w:lang w:val="de-DE"/>
              </w:rPr>
              <w:t>2023</w:t>
            </w:r>
          </w:p>
        </w:tc>
        <w:tc>
          <w:tcPr>
            <w:tcW w:w="3232" w:type="dxa"/>
            <w:shd w:val="clear" w:color="auto" w:fill="C6EFCE"/>
            <w:vAlign w:val="center"/>
          </w:tcPr>
          <w:p w14:paraId="3D217FF1" w14:textId="77777777" w:rsidR="0057163C" w:rsidRPr="00170422" w:rsidRDefault="00F37BF9">
            <w:pPr>
              <w:pStyle w:val="P68B1DB1-Normal11"/>
              <w:spacing w:before="120" w:after="120"/>
              <w:rPr>
                <w:noProof/>
                <w:szCs w:val="20"/>
                <w:lang w:val="de-DE"/>
              </w:rPr>
            </w:pPr>
            <w:r w:rsidRPr="00170422">
              <w:rPr>
                <w:noProof/>
                <w:lang w:val="de-DE"/>
              </w:rPr>
              <w:t>Mitteilung über die Vergabe aller öffentlichen Aufträge für Satellitentechnologie- und Weltraumprojekte, die i) Satcom, ii) Erdbeobachtung, iii) Weltraumwerkstat</w:t>
            </w:r>
            <w:r w:rsidRPr="00170422">
              <w:rPr>
                <w:noProof/>
                <w:lang w:val="de-DE"/>
              </w:rPr>
              <w:t>t und iv) In-Orbit-Wirtschaft umfassen.</w:t>
            </w:r>
          </w:p>
        </w:tc>
      </w:tr>
      <w:tr w:rsidR="0057163C" w:rsidRPr="00170422" w14:paraId="7D2AE63D" w14:textId="77777777" w:rsidTr="005508B9">
        <w:trPr>
          <w:trHeight w:val="315"/>
        </w:trPr>
        <w:tc>
          <w:tcPr>
            <w:tcW w:w="1418" w:type="dxa"/>
            <w:shd w:val="clear" w:color="auto" w:fill="C6EFCE"/>
            <w:vAlign w:val="center"/>
          </w:tcPr>
          <w:p w14:paraId="382707F6" w14:textId="77777777" w:rsidR="0057163C" w:rsidRPr="00170422" w:rsidRDefault="00F37BF9">
            <w:pPr>
              <w:pStyle w:val="P68B1DB1-Normal12"/>
              <w:spacing w:before="120" w:after="120"/>
              <w:jc w:val="center"/>
              <w:rPr>
                <w:noProof/>
                <w:lang w:val="de-DE"/>
              </w:rPr>
            </w:pPr>
            <w:r w:rsidRPr="00170422">
              <w:rPr>
                <w:noProof/>
                <w:lang w:val="de-DE"/>
              </w:rPr>
              <w:t>M1C2-23 bis</w:t>
            </w:r>
          </w:p>
        </w:tc>
        <w:tc>
          <w:tcPr>
            <w:tcW w:w="1985" w:type="dxa"/>
            <w:shd w:val="clear" w:color="auto" w:fill="C6EFCE"/>
            <w:vAlign w:val="center"/>
          </w:tcPr>
          <w:p w14:paraId="4C69492D" w14:textId="77777777" w:rsidR="0057163C" w:rsidRPr="00170422" w:rsidRDefault="00F37BF9">
            <w:pPr>
              <w:pStyle w:val="P68B1DB1-Normal11"/>
              <w:spacing w:before="120" w:after="120"/>
              <w:jc w:val="center"/>
              <w:rPr>
                <w:noProof/>
                <w:lang w:val="de-DE"/>
              </w:rPr>
            </w:pPr>
            <w:r w:rsidRPr="00170422">
              <w:rPr>
                <w:noProof/>
                <w:lang w:val="de-DE"/>
              </w:rPr>
              <w:t>Investition 4: Satellitentechnologie und Weltraumwirtschaft</w:t>
            </w:r>
          </w:p>
        </w:tc>
        <w:tc>
          <w:tcPr>
            <w:tcW w:w="1275" w:type="dxa"/>
            <w:shd w:val="clear" w:color="auto" w:fill="C6EFCE"/>
            <w:vAlign w:val="center"/>
          </w:tcPr>
          <w:p w14:paraId="7E2910E5" w14:textId="77777777" w:rsidR="0057163C" w:rsidRPr="00170422" w:rsidRDefault="00F37BF9">
            <w:pPr>
              <w:pStyle w:val="P68B1DB1-Normal11"/>
              <w:spacing w:before="120" w:after="120"/>
              <w:jc w:val="center"/>
              <w:rPr>
                <w:noProof/>
                <w:lang w:val="de-DE"/>
              </w:rPr>
            </w:pPr>
            <w:r w:rsidRPr="00170422">
              <w:rPr>
                <w:noProof/>
                <w:lang w:val="de-DE"/>
              </w:rPr>
              <w:t>Meilenstein</w:t>
            </w:r>
          </w:p>
        </w:tc>
        <w:tc>
          <w:tcPr>
            <w:tcW w:w="1276" w:type="dxa"/>
            <w:shd w:val="clear" w:color="auto" w:fill="C6EFCE"/>
            <w:vAlign w:val="center"/>
          </w:tcPr>
          <w:p w14:paraId="087A2153" w14:textId="707F9726" w:rsidR="0057163C" w:rsidRPr="00170422" w:rsidRDefault="00F37BF9">
            <w:pPr>
              <w:pStyle w:val="P68B1DB1-Normal11"/>
              <w:spacing w:before="120" w:after="120"/>
              <w:jc w:val="center"/>
              <w:rPr>
                <w:noProof/>
                <w:lang w:val="de-DE"/>
              </w:rPr>
            </w:pPr>
            <w:r w:rsidRPr="00170422">
              <w:rPr>
                <w:noProof/>
                <w:lang w:val="de-DE"/>
              </w:rPr>
              <w:t>Ssatellite-Technologie und Weltraumprojekte</w:t>
            </w:r>
          </w:p>
        </w:tc>
        <w:tc>
          <w:tcPr>
            <w:tcW w:w="1276" w:type="dxa"/>
            <w:shd w:val="clear" w:color="auto" w:fill="C6EFCE"/>
            <w:vAlign w:val="center"/>
          </w:tcPr>
          <w:p w14:paraId="505D11A4" w14:textId="69D69300" w:rsidR="0057163C" w:rsidRPr="00170422" w:rsidRDefault="00F37BF9">
            <w:pPr>
              <w:pStyle w:val="P68B1DB1-Normal11"/>
              <w:spacing w:before="120" w:after="120"/>
              <w:jc w:val="center"/>
              <w:rPr>
                <w:noProof/>
                <w:lang w:val="de-DE"/>
              </w:rPr>
            </w:pPr>
            <w:r w:rsidRPr="00170422">
              <w:rPr>
                <w:noProof/>
                <w:lang w:val="de-DE"/>
              </w:rPr>
              <w:t xml:space="preserve">Abschlussberichte für Satellitentechnologie- und Weltraumprojekte und Nachweis des </w:t>
            </w:r>
            <w:r w:rsidRPr="00170422">
              <w:rPr>
                <w:noProof/>
                <w:lang w:val="de-DE"/>
              </w:rPr>
              <w:t>Transfers</w:t>
            </w:r>
          </w:p>
        </w:tc>
        <w:tc>
          <w:tcPr>
            <w:tcW w:w="1134" w:type="dxa"/>
            <w:shd w:val="clear" w:color="auto" w:fill="C6EFCE"/>
            <w:vAlign w:val="center"/>
          </w:tcPr>
          <w:p w14:paraId="1D7AAC07"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1417" w:type="dxa"/>
            <w:shd w:val="clear" w:color="auto" w:fill="C6EFCE"/>
            <w:vAlign w:val="center"/>
          </w:tcPr>
          <w:p w14:paraId="06264E28"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738" w:type="dxa"/>
            <w:shd w:val="clear" w:color="auto" w:fill="C6EFCE"/>
            <w:vAlign w:val="center"/>
          </w:tcPr>
          <w:p w14:paraId="0690FE32"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850" w:type="dxa"/>
            <w:shd w:val="clear" w:color="auto" w:fill="C6EFCE"/>
            <w:vAlign w:val="center"/>
          </w:tcPr>
          <w:p w14:paraId="03747758" w14:textId="77777777" w:rsidR="0057163C" w:rsidRPr="00170422" w:rsidRDefault="00F37BF9">
            <w:pPr>
              <w:pStyle w:val="P68B1DB1-Normal11"/>
              <w:spacing w:before="120" w:after="120"/>
              <w:jc w:val="center"/>
              <w:rPr>
                <w:noProof/>
                <w:lang w:val="de-DE"/>
              </w:rPr>
            </w:pPr>
            <w:r w:rsidRPr="00170422">
              <w:rPr>
                <w:noProof/>
                <w:lang w:val="de-DE"/>
              </w:rPr>
              <w:t>Q2</w:t>
            </w:r>
          </w:p>
        </w:tc>
        <w:tc>
          <w:tcPr>
            <w:tcW w:w="709" w:type="dxa"/>
            <w:shd w:val="clear" w:color="auto" w:fill="C6EFCE"/>
            <w:vAlign w:val="center"/>
          </w:tcPr>
          <w:p w14:paraId="261320C5"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3232" w:type="dxa"/>
            <w:shd w:val="clear" w:color="auto" w:fill="C6EFCE"/>
            <w:vAlign w:val="center"/>
          </w:tcPr>
          <w:p w14:paraId="46DCE914" w14:textId="4208D90E" w:rsidR="0057163C" w:rsidRPr="00170422" w:rsidRDefault="00F37BF9">
            <w:pPr>
              <w:pStyle w:val="P68B1DB1-Normal12"/>
              <w:spacing w:before="120" w:after="120"/>
              <w:rPr>
                <w:noProof/>
                <w:lang w:val="de-DE"/>
              </w:rPr>
            </w:pPr>
            <w:r w:rsidRPr="00170422">
              <w:rPr>
                <w:noProof/>
                <w:lang w:val="de-DE"/>
              </w:rPr>
              <w:t xml:space="preserve">Die Abschlussberichte werden für folgende Tätigkeiten vorgelegt: </w:t>
            </w:r>
          </w:p>
          <w:p w14:paraId="23E670FF" w14:textId="77777777" w:rsidR="0057163C" w:rsidRPr="00170422" w:rsidRDefault="00F37BF9">
            <w:pPr>
              <w:pStyle w:val="P68B1DB1-Normal12"/>
              <w:spacing w:before="120" w:after="120"/>
              <w:ind w:left="313" w:hanging="313"/>
              <w:rPr>
                <w:noProof/>
                <w:lang w:val="de-DE"/>
              </w:rPr>
            </w:pPr>
            <w:r w:rsidRPr="00170422">
              <w:rPr>
                <w:noProof/>
                <w:lang w:val="de-DE"/>
              </w:rPr>
              <w:t>1.</w:t>
            </w:r>
            <w:r w:rsidRPr="00170422">
              <w:rPr>
                <w:noProof/>
                <w:lang w:val="de-DE"/>
              </w:rPr>
              <w:tab/>
              <w:t>SATCOM: Entwicklung von Technologien und Systemen mit doppeltem Verwendungszweck für die Bereitstellung hochsicherer Satellitenkommunikatio</w:t>
            </w:r>
            <w:r w:rsidRPr="00170422">
              <w:rPr>
                <w:noProof/>
                <w:lang w:val="de-DE"/>
              </w:rPr>
              <w:t xml:space="preserve">nsdienste für staatliche Zwecke. </w:t>
            </w:r>
          </w:p>
          <w:p w14:paraId="5A899A1C" w14:textId="6D44BCB4" w:rsidR="0057163C" w:rsidRPr="00170422" w:rsidRDefault="00F37BF9">
            <w:pPr>
              <w:spacing w:before="120" w:after="120"/>
              <w:ind w:left="313" w:hanging="313"/>
              <w:rPr>
                <w:rFonts w:ascii="Arial Narrow" w:hAnsi="Arial Narrow"/>
                <w:noProof/>
                <w:color w:val="006100"/>
                <w:sz w:val="20"/>
                <w:szCs w:val="20"/>
                <w:lang w:val="de-DE"/>
              </w:rPr>
            </w:pPr>
            <w:r w:rsidRPr="00170422">
              <w:rPr>
                <w:rFonts w:ascii="Arial Narrow" w:hAnsi="Arial Narrow"/>
                <w:noProof/>
                <w:color w:val="006100"/>
                <w:sz w:val="20"/>
                <w:szCs w:val="20"/>
                <w:lang w:val="de-DE"/>
              </w:rPr>
              <w:t>2.</w:t>
            </w:r>
            <w:r w:rsidRPr="00170422">
              <w:rPr>
                <w:noProof/>
                <w:lang w:val="de-DE"/>
              </w:rPr>
              <w:tab/>
            </w:r>
            <w:r w:rsidRPr="00170422">
              <w:rPr>
                <w:rFonts w:ascii="Arial Narrow" w:hAnsi="Arial Narrow"/>
                <w:noProof/>
                <w:color w:val="006100"/>
                <w:sz w:val="20"/>
                <w:szCs w:val="20"/>
                <w:lang w:val="de-DE"/>
              </w:rPr>
              <w:t>Erdbeobachtung (Earth Observation, EO); dieses Projekt besteht i) aus vorgelagerten Tätigkeiten einschließlich Spezifikation, Entwurf, Herstellung einer Multisensorkonstellation von Konstellationen für die Fernerkundung</w:t>
            </w:r>
            <w:r w:rsidRPr="00170422">
              <w:rPr>
                <w:rFonts w:ascii="Arial Narrow" w:hAnsi="Arial Narrow"/>
                <w:noProof/>
                <w:color w:val="006100"/>
                <w:sz w:val="20"/>
                <w:szCs w:val="20"/>
                <w:lang w:val="de-DE"/>
              </w:rPr>
              <w:t xml:space="preserve"> (Synthetic Aperture Radar, SAR, hyperspektral, optisch) und Beschaffung von Starts mit Schwerpunkt auf der Überwachung von Land, Meer und Atmosphäre; mindestens eine Konstellation oder ein Konzeptnachweis für Konstellationen befindet sich in der Umlaufbah</w:t>
            </w:r>
            <w:r w:rsidRPr="00170422">
              <w:rPr>
                <w:rFonts w:ascii="Arial Narrow" w:hAnsi="Arial Narrow"/>
                <w:noProof/>
                <w:color w:val="006100"/>
                <w:sz w:val="20"/>
                <w:szCs w:val="20"/>
                <w:lang w:val="de-DE"/>
              </w:rPr>
              <w:t>n, ii) nachgelagerte Tätigkeiten: Cyber Italy Project, Marketplace und damit verbundene Dienstleistungen.</w:t>
            </w:r>
          </w:p>
          <w:p w14:paraId="6BEA1C34" w14:textId="77777777" w:rsidR="0057163C" w:rsidRPr="00170422" w:rsidRDefault="00F37BF9">
            <w:pPr>
              <w:pStyle w:val="P68B1DB1-Normal12"/>
              <w:spacing w:before="120" w:after="120"/>
              <w:ind w:left="313" w:hanging="313"/>
              <w:rPr>
                <w:noProof/>
                <w:lang w:val="de-DE"/>
              </w:rPr>
            </w:pPr>
            <w:r w:rsidRPr="00170422">
              <w:rPr>
                <w:noProof/>
                <w:lang w:val="de-DE"/>
              </w:rPr>
              <w:t>3.</w:t>
            </w:r>
            <w:r w:rsidRPr="00170422">
              <w:rPr>
                <w:noProof/>
                <w:lang w:val="de-DE"/>
              </w:rPr>
              <w:tab/>
              <w:t>Space Factory, bestehend aus zwei Teilprojekten: I) Weltraumwerk 4.0: (integrierte Fertigungs-, Montage-, Integrations- und Teststrecken (M-AIT) kl</w:t>
            </w:r>
            <w:r w:rsidRPr="00170422">
              <w:rPr>
                <w:noProof/>
                <w:lang w:val="de-DE"/>
              </w:rPr>
              <w:t>einer Satelliten); II) Zugang zum Weltraum: FuE und Prototypen für die Realisierung umweltfreundlicher Technologien für die künftige Generation von Schub- und Trägerraketen.</w:t>
            </w:r>
          </w:p>
          <w:p w14:paraId="667FA26A" w14:textId="01082694" w:rsidR="0057163C" w:rsidRPr="00170422" w:rsidRDefault="00F37BF9">
            <w:pPr>
              <w:spacing w:before="120" w:after="120"/>
              <w:ind w:left="313" w:hanging="313"/>
              <w:rPr>
                <w:rFonts w:ascii="Arial Narrow" w:hAnsi="Arial Narrow"/>
                <w:noProof/>
                <w:color w:val="006100"/>
                <w:sz w:val="20"/>
                <w:szCs w:val="20"/>
                <w:lang w:val="de-DE"/>
              </w:rPr>
            </w:pPr>
            <w:r w:rsidRPr="00170422">
              <w:rPr>
                <w:rFonts w:ascii="Arial Narrow" w:hAnsi="Arial Narrow"/>
                <w:noProof/>
                <w:color w:val="006100"/>
                <w:sz w:val="20"/>
                <w:szCs w:val="20"/>
                <w:lang w:val="de-DE"/>
              </w:rPr>
              <w:t>4.</w:t>
            </w:r>
            <w:r w:rsidRPr="00170422">
              <w:rPr>
                <w:noProof/>
                <w:lang w:val="de-DE"/>
              </w:rPr>
              <w:tab/>
            </w:r>
            <w:r w:rsidRPr="00170422">
              <w:rPr>
                <w:rFonts w:ascii="Arial Narrow" w:hAnsi="Arial Narrow"/>
                <w:noProof/>
                <w:color w:val="006100"/>
                <w:sz w:val="20"/>
                <w:szCs w:val="20"/>
                <w:lang w:val="de-DE"/>
              </w:rPr>
              <w:t>In-Orbit-Wirtschaft: Tätigkeiten zur Demonstration von Technologien für die Ins</w:t>
            </w:r>
            <w:r w:rsidRPr="00170422">
              <w:rPr>
                <w:rFonts w:ascii="Arial Narrow" w:hAnsi="Arial Narrow"/>
                <w:noProof/>
                <w:color w:val="006100"/>
                <w:sz w:val="20"/>
                <w:szCs w:val="20"/>
                <w:lang w:val="de-DE"/>
              </w:rPr>
              <w:t>tandhaltung in der Umlaufbahn; die Erhöhung der nationalen Kapazität zur Beobachtung und Verfolgung von Objekten im Weltraum (SST); Konzeption und Herstellung von Vermögenswerten für den Erwerb, die Verwaltung und die Bereitstellung des Datendienstes zur U</w:t>
            </w:r>
            <w:r w:rsidRPr="00170422">
              <w:rPr>
                <w:rFonts w:ascii="Arial Narrow" w:hAnsi="Arial Narrow"/>
                <w:noProof/>
                <w:color w:val="006100"/>
                <w:sz w:val="20"/>
                <w:szCs w:val="20"/>
                <w:lang w:val="de-DE"/>
              </w:rPr>
              <w:t>nterstützung des Weltraumverkehrsmanagements.</w:t>
            </w:r>
          </w:p>
          <w:p w14:paraId="0F48F6A6" w14:textId="773CA1B3" w:rsidR="0057163C" w:rsidRPr="00170422" w:rsidRDefault="00F37BF9">
            <w:pPr>
              <w:pStyle w:val="P68B1DB1-Normal11"/>
              <w:spacing w:before="120" w:after="120"/>
              <w:rPr>
                <w:noProof/>
                <w:szCs w:val="20"/>
                <w:lang w:val="de-DE"/>
              </w:rPr>
            </w:pPr>
            <w:r w:rsidRPr="00170422">
              <w:rPr>
                <w:noProof/>
                <w:szCs w:val="20"/>
                <w:lang w:val="de-DE"/>
              </w:rPr>
              <w:t>An die Durchführungsstellen werden Zahlungsaufträge in  Höhe von insgesamt mindestens 1 340 000 000 EUR erteilt.</w:t>
            </w:r>
          </w:p>
        </w:tc>
      </w:tr>
      <w:tr w:rsidR="0057163C" w:rsidRPr="00170422" w14:paraId="7D9152BB" w14:textId="77777777" w:rsidTr="005508B9">
        <w:trPr>
          <w:trHeight w:val="315"/>
        </w:trPr>
        <w:tc>
          <w:tcPr>
            <w:tcW w:w="1418" w:type="dxa"/>
            <w:shd w:val="clear" w:color="auto" w:fill="C6EFCE"/>
            <w:vAlign w:val="center"/>
          </w:tcPr>
          <w:p w14:paraId="7D615C75" w14:textId="77777777" w:rsidR="0057163C" w:rsidRPr="00170422" w:rsidRDefault="00F37BF9">
            <w:pPr>
              <w:pStyle w:val="P68B1DB1-Normal11"/>
              <w:spacing w:before="120" w:after="120"/>
              <w:jc w:val="center"/>
              <w:rPr>
                <w:noProof/>
                <w:szCs w:val="20"/>
                <w:lang w:val="de-DE"/>
              </w:rPr>
            </w:pPr>
            <w:r w:rsidRPr="00170422">
              <w:rPr>
                <w:noProof/>
                <w:lang w:val="de-DE"/>
              </w:rPr>
              <w:t>M1C2-26</w:t>
            </w:r>
          </w:p>
        </w:tc>
        <w:tc>
          <w:tcPr>
            <w:tcW w:w="1985" w:type="dxa"/>
            <w:shd w:val="clear" w:color="auto" w:fill="C6EFCE"/>
            <w:vAlign w:val="center"/>
          </w:tcPr>
          <w:p w14:paraId="1B24F3CF" w14:textId="77777777" w:rsidR="0057163C" w:rsidRPr="00170422" w:rsidRDefault="00F37BF9">
            <w:pPr>
              <w:pStyle w:val="P68B1DB1-Normal11"/>
              <w:spacing w:before="120" w:after="120"/>
              <w:jc w:val="center"/>
              <w:rPr>
                <w:noProof/>
                <w:szCs w:val="20"/>
                <w:lang w:val="de-DE"/>
              </w:rPr>
            </w:pPr>
            <w:r w:rsidRPr="00170422">
              <w:rPr>
                <w:noProof/>
                <w:lang w:val="de-DE"/>
              </w:rPr>
              <w:t xml:space="preserve">Investition 5.1: Refinanzierung und Neugestaltung des von SIMEST verwalteten Fonds </w:t>
            </w:r>
            <w:r w:rsidRPr="00170422">
              <w:rPr>
                <w:noProof/>
                <w:lang w:val="de-DE"/>
              </w:rPr>
              <w:t>394/81</w:t>
            </w:r>
          </w:p>
        </w:tc>
        <w:tc>
          <w:tcPr>
            <w:tcW w:w="1275" w:type="dxa"/>
            <w:shd w:val="clear" w:color="auto" w:fill="C6EFCE"/>
            <w:vAlign w:val="center"/>
          </w:tcPr>
          <w:p w14:paraId="73AA170D"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276" w:type="dxa"/>
            <w:shd w:val="clear" w:color="auto" w:fill="C6EFCE"/>
            <w:vAlign w:val="center"/>
          </w:tcPr>
          <w:p w14:paraId="5F43392B" w14:textId="77777777" w:rsidR="0057163C" w:rsidRPr="00170422" w:rsidRDefault="00F37BF9">
            <w:pPr>
              <w:pStyle w:val="P68B1DB1-Normal11"/>
              <w:spacing w:before="120" w:after="120"/>
              <w:jc w:val="center"/>
              <w:rPr>
                <w:noProof/>
                <w:szCs w:val="20"/>
                <w:lang w:val="de-DE"/>
              </w:rPr>
            </w:pPr>
            <w:r w:rsidRPr="00170422">
              <w:rPr>
                <w:noProof/>
                <w:lang w:val="de-DE"/>
              </w:rPr>
              <w:t>Inkrafttreten der Refinanzierung des Fonds 394/81 und Annahme der Investitionspolitik</w:t>
            </w:r>
          </w:p>
        </w:tc>
        <w:tc>
          <w:tcPr>
            <w:tcW w:w="1276" w:type="dxa"/>
            <w:shd w:val="clear" w:color="auto" w:fill="C6EFCE"/>
            <w:vAlign w:val="center"/>
          </w:tcPr>
          <w:p w14:paraId="30F512BE" w14:textId="77777777" w:rsidR="0057163C" w:rsidRPr="00170422" w:rsidRDefault="00F37BF9">
            <w:pPr>
              <w:pStyle w:val="P68B1DB1-Normal11"/>
              <w:spacing w:before="120" w:after="120"/>
              <w:jc w:val="center"/>
              <w:rPr>
                <w:noProof/>
                <w:szCs w:val="20"/>
                <w:lang w:val="de-DE"/>
              </w:rPr>
            </w:pPr>
            <w:r w:rsidRPr="00170422">
              <w:rPr>
                <w:noProof/>
                <w:lang w:val="de-DE"/>
              </w:rPr>
              <w:t>Gesetzliche Bestimmung über das Inkrafttreten der Gesetzesverordnung(en) zur Refinanzierung der Zuschuss- und Darlehenskomponente des Fonds 394/81</w:t>
            </w:r>
          </w:p>
          <w:p w14:paraId="44DCE0FC" w14:textId="77777777" w:rsidR="0057163C" w:rsidRPr="00170422" w:rsidRDefault="00F37BF9">
            <w:pPr>
              <w:pStyle w:val="P68B1DB1-Normal11"/>
              <w:spacing w:before="120" w:after="120"/>
              <w:jc w:val="center"/>
              <w:rPr>
                <w:noProof/>
                <w:szCs w:val="20"/>
                <w:lang w:val="de-DE"/>
              </w:rPr>
            </w:pPr>
            <w:r w:rsidRPr="00170422">
              <w:rPr>
                <w:noProof/>
                <w:lang w:val="de-DE"/>
              </w:rPr>
              <w:t>Genehmigung des Beschlusses des Verwaltungsrats zur Festlegung der Auswahlkriterien für die zu finanzierenden Projekte</w:t>
            </w:r>
          </w:p>
        </w:tc>
        <w:tc>
          <w:tcPr>
            <w:tcW w:w="1134" w:type="dxa"/>
            <w:shd w:val="clear" w:color="auto" w:fill="C6EFCE"/>
            <w:vAlign w:val="center"/>
          </w:tcPr>
          <w:p w14:paraId="68AFF4D8"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17" w:type="dxa"/>
            <w:shd w:val="clear" w:color="auto" w:fill="C6EFCE"/>
            <w:vAlign w:val="center"/>
          </w:tcPr>
          <w:p w14:paraId="4150DF61"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738" w:type="dxa"/>
            <w:shd w:val="clear" w:color="auto" w:fill="C6EFCE"/>
            <w:vAlign w:val="center"/>
          </w:tcPr>
          <w:p w14:paraId="56966F11"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850" w:type="dxa"/>
            <w:shd w:val="clear" w:color="auto" w:fill="C6EFCE"/>
            <w:vAlign w:val="center"/>
          </w:tcPr>
          <w:p w14:paraId="642FCF6B" w14:textId="77777777" w:rsidR="0057163C" w:rsidRPr="00170422" w:rsidRDefault="00F37BF9">
            <w:pPr>
              <w:pStyle w:val="P68B1DB1-Normal11"/>
              <w:spacing w:before="120" w:after="120"/>
              <w:jc w:val="center"/>
              <w:rPr>
                <w:noProof/>
                <w:szCs w:val="20"/>
                <w:lang w:val="de-DE"/>
              </w:rPr>
            </w:pPr>
            <w:r w:rsidRPr="00170422">
              <w:rPr>
                <w:noProof/>
                <w:lang w:val="de-DE"/>
              </w:rPr>
              <w:t>Q3</w:t>
            </w:r>
          </w:p>
        </w:tc>
        <w:tc>
          <w:tcPr>
            <w:tcW w:w="709" w:type="dxa"/>
            <w:shd w:val="clear" w:color="auto" w:fill="C6EFCE"/>
            <w:vAlign w:val="center"/>
          </w:tcPr>
          <w:p w14:paraId="19351976" w14:textId="77777777" w:rsidR="0057163C" w:rsidRPr="00170422" w:rsidRDefault="00F37BF9">
            <w:pPr>
              <w:pStyle w:val="P68B1DB1-Normal11"/>
              <w:spacing w:before="120" w:after="120"/>
              <w:jc w:val="center"/>
              <w:rPr>
                <w:noProof/>
                <w:szCs w:val="20"/>
                <w:lang w:val="de-DE"/>
              </w:rPr>
            </w:pPr>
            <w:r w:rsidRPr="00170422">
              <w:rPr>
                <w:noProof/>
                <w:lang w:val="de-DE"/>
              </w:rPr>
              <w:t>2021</w:t>
            </w:r>
          </w:p>
        </w:tc>
        <w:tc>
          <w:tcPr>
            <w:tcW w:w="3232" w:type="dxa"/>
            <w:shd w:val="clear" w:color="auto" w:fill="C6EFCE"/>
            <w:vAlign w:val="center"/>
          </w:tcPr>
          <w:p w14:paraId="251E7253" w14:textId="77777777" w:rsidR="0057163C" w:rsidRPr="00170422" w:rsidRDefault="00F37BF9">
            <w:pPr>
              <w:pStyle w:val="P68B1DB1-Normal11"/>
              <w:spacing w:before="120"/>
              <w:rPr>
                <w:noProof/>
                <w:szCs w:val="20"/>
                <w:lang w:val="de-DE"/>
              </w:rPr>
            </w:pPr>
            <w:r w:rsidRPr="00170422">
              <w:rPr>
                <w:noProof/>
                <w:lang w:val="de-DE"/>
              </w:rPr>
              <w:t>Die Rechtsverordnung(en) sehen die Refinanzierung der Zuschuss- und Darlehenskomponente des Fonds 3</w:t>
            </w:r>
            <w:r w:rsidRPr="00170422">
              <w:rPr>
                <w:noProof/>
                <w:lang w:val="de-DE"/>
              </w:rPr>
              <w:t>94/81 vor. Der Vorstand des Fonds genehmigt einen Beschluss zur Festlegung der Anlagepolitik.</w:t>
            </w:r>
          </w:p>
          <w:p w14:paraId="1C14A54F" w14:textId="77777777" w:rsidR="0057163C" w:rsidRPr="00170422" w:rsidRDefault="00F37BF9">
            <w:pPr>
              <w:pStyle w:val="P68B1DB1-Normal11"/>
              <w:spacing w:before="120"/>
              <w:rPr>
                <w:noProof/>
                <w:szCs w:val="20"/>
                <w:lang w:val="de-DE"/>
              </w:rPr>
            </w:pPr>
            <w:r w:rsidRPr="00170422">
              <w:rPr>
                <w:noProof/>
                <w:lang w:val="de-DE"/>
              </w:rPr>
              <w:t>Die Anlagepolitik im Zusammenhang mit der Refinanzierung des Fonds 394/81 legt mindestens Folgendes fest: I) Art und Umfang der unterstützten Projekte, die mit de</w:t>
            </w:r>
            <w:r w:rsidRPr="00170422">
              <w:rPr>
                <w:noProof/>
                <w:lang w:val="de-DE"/>
              </w:rPr>
              <w:t>n Zielen der Verordnung (EU) 2021/241 im Einklang stehen; die Leistungsbeschreibung umfasst Förderfähigkeitskriterien, um die Einhaltung der technischen Leitlinien „Vermeidung erheblicher Beeinträchtigungen“ (2021/C58/01) der im Rahmen dieser Maßnahme gefö</w:t>
            </w:r>
            <w:r w:rsidRPr="00170422">
              <w:rPr>
                <w:noProof/>
                <w:lang w:val="de-DE"/>
              </w:rPr>
              <w:t>rderten Projekte durch die Verwendung einer Nachhaltigkeitsprüfung, einer Ausschlussliste und der Anforderung der Einhaltung der einschlägigen EU- und nationalen Umweltvorschriften sicherzustellen, ii) die Art der unterstützten Vorhaben, iii) die zu unters</w:t>
            </w:r>
            <w:r w:rsidRPr="00170422">
              <w:rPr>
                <w:noProof/>
                <w:lang w:val="de-DE"/>
              </w:rPr>
              <w:t>tützenden Begünstigten mit einer Prävalenz von KMU und ihre Förderkriterien, iv) Bestimmungen über die Reinvestition potenzieller Rückflüsse für ähnliche politische Ziele auch über 2026 hinaus, wenn sie nicht zur Wiederverwendung von Zinssätzen aus Darlehe</w:t>
            </w:r>
            <w:r w:rsidRPr="00170422">
              <w:rPr>
                <w:noProof/>
                <w:lang w:val="de-DE"/>
              </w:rPr>
              <w:t>n im Rahmen der Verordnung (EU) 2021/241 verwendet werden.</w:t>
            </w:r>
          </w:p>
          <w:p w14:paraId="5F16824B" w14:textId="77777777" w:rsidR="0057163C" w:rsidRPr="00170422" w:rsidRDefault="00F37BF9">
            <w:pPr>
              <w:pStyle w:val="P68B1DB1-Normal11"/>
              <w:spacing w:before="120"/>
              <w:rPr>
                <w:noProof/>
                <w:szCs w:val="20"/>
                <w:lang w:val="de-DE"/>
              </w:rPr>
            </w:pPr>
            <w:r w:rsidRPr="00170422">
              <w:rPr>
                <w:noProof/>
                <w:lang w:val="de-DE"/>
              </w:rPr>
              <w:t>Die vertragliche Vereinbarung mit der betrauten Einrichtung oder dem Finanzintermediär erfordert die Verwendung der technischen Leitlinien „Vermeidung erheblicher Beeinträchtigungen“ (2021/C58/01).</w:t>
            </w:r>
          </w:p>
        </w:tc>
      </w:tr>
      <w:tr w:rsidR="0057163C" w:rsidRPr="00170422" w14:paraId="6A390C78" w14:textId="77777777" w:rsidTr="005508B9">
        <w:trPr>
          <w:trHeight w:val="315"/>
        </w:trPr>
        <w:tc>
          <w:tcPr>
            <w:tcW w:w="1418" w:type="dxa"/>
            <w:shd w:val="clear" w:color="auto" w:fill="C6EFCE"/>
            <w:vAlign w:val="center"/>
          </w:tcPr>
          <w:p w14:paraId="4B1FC7D2" w14:textId="77777777" w:rsidR="0057163C" w:rsidRPr="00170422" w:rsidRDefault="00F37BF9">
            <w:pPr>
              <w:pStyle w:val="P68B1DB1-Normal11"/>
              <w:spacing w:before="120" w:after="120"/>
              <w:jc w:val="center"/>
              <w:rPr>
                <w:noProof/>
                <w:szCs w:val="20"/>
                <w:lang w:val="de-DE"/>
              </w:rPr>
            </w:pPr>
            <w:r w:rsidRPr="00170422">
              <w:rPr>
                <w:noProof/>
                <w:lang w:val="de-DE"/>
              </w:rPr>
              <w:t>M1C2-27</w:t>
            </w:r>
          </w:p>
        </w:tc>
        <w:tc>
          <w:tcPr>
            <w:tcW w:w="1985" w:type="dxa"/>
            <w:shd w:val="clear" w:color="auto" w:fill="C6EFCE"/>
            <w:vAlign w:val="center"/>
          </w:tcPr>
          <w:p w14:paraId="1D418EBF" w14:textId="77777777" w:rsidR="0057163C" w:rsidRPr="00170422" w:rsidRDefault="00F37BF9">
            <w:pPr>
              <w:pStyle w:val="P68B1DB1-Normal11"/>
              <w:spacing w:before="120" w:after="120"/>
              <w:jc w:val="center"/>
              <w:rPr>
                <w:noProof/>
                <w:szCs w:val="20"/>
                <w:lang w:val="de-DE"/>
              </w:rPr>
            </w:pPr>
            <w:r w:rsidRPr="00170422">
              <w:rPr>
                <w:noProof/>
                <w:lang w:val="de-DE"/>
              </w:rPr>
              <w:t>Investition 5.1: Refinanzierung und Neugestaltung des von SIMEST verwalteten Fonds 394/81</w:t>
            </w:r>
          </w:p>
        </w:tc>
        <w:tc>
          <w:tcPr>
            <w:tcW w:w="1275" w:type="dxa"/>
            <w:shd w:val="clear" w:color="auto" w:fill="C6EFCE"/>
            <w:vAlign w:val="center"/>
          </w:tcPr>
          <w:p w14:paraId="770DE57D"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6B29DDC6" w14:textId="77777777" w:rsidR="0057163C" w:rsidRPr="00170422" w:rsidRDefault="00F37BF9">
            <w:pPr>
              <w:pStyle w:val="P68B1DB1-Normal11"/>
              <w:spacing w:before="120" w:after="120"/>
              <w:jc w:val="center"/>
              <w:rPr>
                <w:noProof/>
                <w:szCs w:val="20"/>
                <w:lang w:val="de-DE"/>
              </w:rPr>
            </w:pPr>
            <w:r w:rsidRPr="00170422">
              <w:rPr>
                <w:noProof/>
                <w:lang w:val="de-DE"/>
              </w:rPr>
              <w:t>KMU, die Unterstützung aus dem Fonds 394/81 erhalten haben</w:t>
            </w:r>
          </w:p>
        </w:tc>
        <w:tc>
          <w:tcPr>
            <w:tcW w:w="1276" w:type="dxa"/>
            <w:shd w:val="clear" w:color="auto" w:fill="C6EFCE"/>
            <w:vAlign w:val="center"/>
          </w:tcPr>
          <w:p w14:paraId="402DEE64"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134" w:type="dxa"/>
            <w:shd w:val="clear" w:color="auto" w:fill="C6EFCE"/>
            <w:vAlign w:val="center"/>
          </w:tcPr>
          <w:p w14:paraId="3D1F36BD" w14:textId="77777777" w:rsidR="0057163C" w:rsidRPr="00170422" w:rsidRDefault="00F37BF9">
            <w:pPr>
              <w:pStyle w:val="P68B1DB1-Normal11"/>
              <w:spacing w:before="120" w:after="120"/>
              <w:jc w:val="center"/>
              <w:rPr>
                <w:noProof/>
                <w:szCs w:val="20"/>
                <w:lang w:val="de-DE"/>
              </w:rPr>
            </w:pPr>
            <w:r w:rsidRPr="00170422">
              <w:rPr>
                <w:noProof/>
                <w:lang w:val="de-DE"/>
              </w:rPr>
              <w:t>Anzahl</w:t>
            </w:r>
          </w:p>
        </w:tc>
        <w:tc>
          <w:tcPr>
            <w:tcW w:w="1417" w:type="dxa"/>
            <w:shd w:val="clear" w:color="auto" w:fill="C6EFCE"/>
            <w:vAlign w:val="center"/>
          </w:tcPr>
          <w:p w14:paraId="7183C447"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738" w:type="dxa"/>
            <w:shd w:val="clear" w:color="auto" w:fill="C6EFCE"/>
            <w:vAlign w:val="center"/>
          </w:tcPr>
          <w:p w14:paraId="670DCCE7" w14:textId="77777777" w:rsidR="0057163C" w:rsidRPr="00170422" w:rsidRDefault="00F37BF9">
            <w:pPr>
              <w:pStyle w:val="P68B1DB1-Normal11"/>
              <w:spacing w:before="120" w:after="120"/>
              <w:jc w:val="center"/>
              <w:rPr>
                <w:noProof/>
                <w:szCs w:val="20"/>
                <w:lang w:val="de-DE"/>
              </w:rPr>
            </w:pPr>
            <w:r w:rsidRPr="00170422">
              <w:rPr>
                <w:noProof/>
                <w:lang w:val="de-DE"/>
              </w:rPr>
              <w:t>4 000</w:t>
            </w:r>
          </w:p>
        </w:tc>
        <w:tc>
          <w:tcPr>
            <w:tcW w:w="850" w:type="dxa"/>
            <w:shd w:val="clear" w:color="auto" w:fill="C6EFCE"/>
            <w:vAlign w:val="center"/>
          </w:tcPr>
          <w:p w14:paraId="177AB687" w14:textId="77777777" w:rsidR="0057163C" w:rsidRPr="00170422" w:rsidRDefault="00F37BF9">
            <w:pPr>
              <w:pStyle w:val="P68B1DB1-Normal11"/>
              <w:spacing w:before="120" w:after="120"/>
              <w:jc w:val="center"/>
              <w:rPr>
                <w:noProof/>
                <w:szCs w:val="20"/>
                <w:lang w:val="de-DE"/>
              </w:rPr>
            </w:pPr>
            <w:r w:rsidRPr="00170422">
              <w:rPr>
                <w:noProof/>
                <w:lang w:val="de-DE"/>
              </w:rPr>
              <w:t>4. QUARTAL</w:t>
            </w:r>
          </w:p>
        </w:tc>
        <w:tc>
          <w:tcPr>
            <w:tcW w:w="709" w:type="dxa"/>
            <w:shd w:val="clear" w:color="auto" w:fill="C6EFCE"/>
            <w:vAlign w:val="center"/>
          </w:tcPr>
          <w:p w14:paraId="59B90F24" w14:textId="77777777" w:rsidR="0057163C" w:rsidRPr="00170422" w:rsidRDefault="00F37BF9">
            <w:pPr>
              <w:pStyle w:val="P68B1DB1-Normal11"/>
              <w:spacing w:before="120" w:after="120"/>
              <w:jc w:val="center"/>
              <w:rPr>
                <w:noProof/>
                <w:szCs w:val="20"/>
                <w:lang w:val="de-DE"/>
              </w:rPr>
            </w:pPr>
            <w:r w:rsidRPr="00170422">
              <w:rPr>
                <w:noProof/>
                <w:lang w:val="de-DE"/>
              </w:rPr>
              <w:t>2021</w:t>
            </w:r>
          </w:p>
        </w:tc>
        <w:tc>
          <w:tcPr>
            <w:tcW w:w="3232" w:type="dxa"/>
            <w:shd w:val="clear" w:color="auto" w:fill="C6EFCE"/>
            <w:vAlign w:val="center"/>
          </w:tcPr>
          <w:p w14:paraId="2B86B777" w14:textId="77777777" w:rsidR="0057163C" w:rsidRPr="00170422" w:rsidRDefault="00F37BF9">
            <w:pPr>
              <w:pStyle w:val="P68B1DB1-Normal11"/>
              <w:spacing w:before="120" w:after="120"/>
              <w:rPr>
                <w:noProof/>
                <w:szCs w:val="20"/>
                <w:lang w:val="de-DE"/>
              </w:rPr>
            </w:pPr>
            <w:r w:rsidRPr="00170422">
              <w:rPr>
                <w:noProof/>
                <w:lang w:val="de-DE"/>
              </w:rPr>
              <w:t>Mindestens 4000 zusätzliche KMU erhielten ab dem 1.</w:t>
            </w:r>
            <w:r w:rsidRPr="00170422">
              <w:rPr>
                <w:noProof/>
                <w:lang w:val="de-DE"/>
              </w:rPr>
              <w:t xml:space="preserve"> Januar 2021 Unterstützung aus dem Fonds 394/81.</w:t>
            </w:r>
          </w:p>
        </w:tc>
      </w:tr>
      <w:tr w:rsidR="0057163C" w:rsidRPr="00170422" w14:paraId="11BF1FAE" w14:textId="77777777" w:rsidTr="005508B9">
        <w:trPr>
          <w:trHeight w:val="315"/>
        </w:trPr>
        <w:tc>
          <w:tcPr>
            <w:tcW w:w="1418" w:type="dxa"/>
            <w:shd w:val="clear" w:color="auto" w:fill="C6EFCE"/>
            <w:vAlign w:val="center"/>
          </w:tcPr>
          <w:p w14:paraId="29A0594C" w14:textId="77777777" w:rsidR="0057163C" w:rsidRPr="00170422" w:rsidRDefault="00F37BF9">
            <w:pPr>
              <w:pStyle w:val="P68B1DB1-Normal11"/>
              <w:spacing w:before="120" w:after="120"/>
              <w:jc w:val="center"/>
              <w:rPr>
                <w:noProof/>
                <w:szCs w:val="20"/>
                <w:lang w:val="de-DE"/>
              </w:rPr>
            </w:pPr>
            <w:r w:rsidRPr="00170422">
              <w:rPr>
                <w:noProof/>
                <w:lang w:val="de-DE"/>
              </w:rPr>
              <w:t>M1C2-28</w:t>
            </w:r>
          </w:p>
        </w:tc>
        <w:tc>
          <w:tcPr>
            <w:tcW w:w="1985" w:type="dxa"/>
            <w:shd w:val="clear" w:color="auto" w:fill="C6EFCE"/>
            <w:vAlign w:val="center"/>
          </w:tcPr>
          <w:p w14:paraId="078E7C33" w14:textId="77777777" w:rsidR="0057163C" w:rsidRPr="00170422" w:rsidRDefault="00F37BF9">
            <w:pPr>
              <w:pStyle w:val="P68B1DB1-Normal11"/>
              <w:spacing w:before="120" w:after="120"/>
              <w:jc w:val="center"/>
              <w:rPr>
                <w:noProof/>
                <w:szCs w:val="20"/>
                <w:lang w:val="de-DE"/>
              </w:rPr>
            </w:pPr>
            <w:r w:rsidRPr="00170422">
              <w:rPr>
                <w:noProof/>
                <w:lang w:val="de-DE"/>
              </w:rPr>
              <w:t>Investition 5.2: Wettbewerbsfähigkeit und Widerstandsfähigkeit der Lieferketten</w:t>
            </w:r>
          </w:p>
        </w:tc>
        <w:tc>
          <w:tcPr>
            <w:tcW w:w="1275" w:type="dxa"/>
            <w:shd w:val="clear" w:color="auto" w:fill="C6EFCE"/>
            <w:vAlign w:val="center"/>
          </w:tcPr>
          <w:p w14:paraId="003F5DDD" w14:textId="77777777" w:rsidR="0057163C" w:rsidRPr="00170422" w:rsidRDefault="00F37BF9">
            <w:pPr>
              <w:pStyle w:val="P68B1DB1-Normal11"/>
              <w:spacing w:before="120" w:after="120"/>
              <w:jc w:val="center"/>
              <w:rPr>
                <w:noProof/>
                <w:szCs w:val="20"/>
                <w:lang w:val="de-DE"/>
              </w:rPr>
            </w:pPr>
            <w:r w:rsidRPr="00170422">
              <w:rPr>
                <w:noProof/>
                <w:lang w:val="de-DE"/>
              </w:rPr>
              <w:t>Meilenstein</w:t>
            </w:r>
          </w:p>
        </w:tc>
        <w:tc>
          <w:tcPr>
            <w:tcW w:w="1276" w:type="dxa"/>
            <w:shd w:val="clear" w:color="auto" w:fill="C6EFCE"/>
            <w:vAlign w:val="center"/>
          </w:tcPr>
          <w:p w14:paraId="1A0096A4" w14:textId="77777777" w:rsidR="0057163C" w:rsidRPr="00170422" w:rsidRDefault="00F37BF9">
            <w:pPr>
              <w:pStyle w:val="P68B1DB1-Normal11"/>
              <w:spacing w:before="120" w:after="120"/>
              <w:jc w:val="center"/>
              <w:rPr>
                <w:noProof/>
                <w:szCs w:val="20"/>
                <w:lang w:val="de-DE"/>
              </w:rPr>
            </w:pPr>
            <w:r w:rsidRPr="00170422">
              <w:rPr>
                <w:noProof/>
                <w:lang w:val="de-DE"/>
              </w:rPr>
              <w:t>Inkrafttreten eines Dekrets, das die Investitionspolitik der Entwicklungsverträge umfasst</w:t>
            </w:r>
          </w:p>
        </w:tc>
        <w:tc>
          <w:tcPr>
            <w:tcW w:w="1276" w:type="dxa"/>
            <w:shd w:val="clear" w:color="auto" w:fill="C6EFCE"/>
            <w:vAlign w:val="center"/>
          </w:tcPr>
          <w:p w14:paraId="239FE3A1" w14:textId="77777777" w:rsidR="0057163C" w:rsidRPr="00170422" w:rsidRDefault="00F37BF9">
            <w:pPr>
              <w:pStyle w:val="P68B1DB1-Normal11"/>
              <w:spacing w:before="120" w:after="120"/>
              <w:jc w:val="center"/>
              <w:rPr>
                <w:noProof/>
                <w:szCs w:val="20"/>
                <w:lang w:val="de-DE"/>
              </w:rPr>
            </w:pPr>
            <w:r w:rsidRPr="00170422">
              <w:rPr>
                <w:noProof/>
                <w:lang w:val="de-DE"/>
              </w:rPr>
              <w:t xml:space="preserve">Gesetzliche </w:t>
            </w:r>
            <w:r w:rsidRPr="00170422">
              <w:rPr>
                <w:noProof/>
                <w:lang w:val="de-DE"/>
              </w:rPr>
              <w:t>Bestimmung über das Inkrafttreten des Dekrets</w:t>
            </w:r>
          </w:p>
        </w:tc>
        <w:tc>
          <w:tcPr>
            <w:tcW w:w="1134" w:type="dxa"/>
            <w:shd w:val="clear" w:color="auto" w:fill="C6EFCE"/>
            <w:vAlign w:val="center"/>
          </w:tcPr>
          <w:p w14:paraId="47EC555C"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1417" w:type="dxa"/>
            <w:shd w:val="clear" w:color="auto" w:fill="C6EFCE"/>
            <w:vAlign w:val="center"/>
          </w:tcPr>
          <w:p w14:paraId="50938D7A"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738" w:type="dxa"/>
            <w:shd w:val="clear" w:color="auto" w:fill="C6EFCE"/>
            <w:vAlign w:val="center"/>
          </w:tcPr>
          <w:p w14:paraId="47A7601B"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850" w:type="dxa"/>
            <w:shd w:val="clear" w:color="auto" w:fill="C6EFCE"/>
            <w:vAlign w:val="center"/>
          </w:tcPr>
          <w:p w14:paraId="7B1EBD07" w14:textId="77777777" w:rsidR="0057163C" w:rsidRPr="00170422" w:rsidRDefault="00F37BF9">
            <w:pPr>
              <w:pStyle w:val="P68B1DB1-Normal11"/>
              <w:spacing w:before="120" w:after="120"/>
              <w:jc w:val="center"/>
              <w:rPr>
                <w:noProof/>
                <w:szCs w:val="20"/>
                <w:lang w:val="de-DE"/>
              </w:rPr>
            </w:pPr>
            <w:r w:rsidRPr="00170422">
              <w:rPr>
                <w:noProof/>
                <w:lang w:val="de-DE"/>
              </w:rPr>
              <w:t>Q1</w:t>
            </w:r>
          </w:p>
        </w:tc>
        <w:tc>
          <w:tcPr>
            <w:tcW w:w="709" w:type="dxa"/>
            <w:shd w:val="clear" w:color="auto" w:fill="C6EFCE"/>
            <w:vAlign w:val="center"/>
          </w:tcPr>
          <w:p w14:paraId="6546B1D9" w14:textId="77777777" w:rsidR="0057163C" w:rsidRPr="00170422" w:rsidRDefault="00F37BF9">
            <w:pPr>
              <w:pStyle w:val="P68B1DB1-Normal11"/>
              <w:spacing w:before="120" w:after="120"/>
              <w:jc w:val="center"/>
              <w:rPr>
                <w:noProof/>
                <w:szCs w:val="20"/>
                <w:lang w:val="de-DE"/>
              </w:rPr>
            </w:pPr>
            <w:r w:rsidRPr="00170422">
              <w:rPr>
                <w:noProof/>
                <w:lang w:val="de-DE"/>
              </w:rPr>
              <w:t>2022</w:t>
            </w:r>
          </w:p>
        </w:tc>
        <w:tc>
          <w:tcPr>
            <w:tcW w:w="3232" w:type="dxa"/>
            <w:shd w:val="clear" w:color="auto" w:fill="C6EFCE"/>
            <w:vAlign w:val="center"/>
          </w:tcPr>
          <w:p w14:paraId="6421B8DB" w14:textId="77777777" w:rsidR="0057163C" w:rsidRPr="00170422" w:rsidRDefault="00F37BF9">
            <w:pPr>
              <w:pStyle w:val="P68B1DB1-Normal11"/>
              <w:rPr>
                <w:noProof/>
                <w:szCs w:val="20"/>
                <w:lang w:val="de-DE"/>
              </w:rPr>
            </w:pPr>
            <w:r w:rsidRPr="00170422">
              <w:rPr>
                <w:noProof/>
                <w:lang w:val="de-DE"/>
              </w:rPr>
              <w:t>In der Investitionspolitik der Entwicklungsverträge wird mindestens Folgendes festgelegt: I) Art und Umfang der unterstützten Projekte, die mit den Zielen der Verordnung (E</w:t>
            </w:r>
            <w:r w:rsidRPr="00170422">
              <w:rPr>
                <w:noProof/>
                <w:lang w:val="de-DE"/>
              </w:rPr>
              <w:t>U) 2021/241 im Einklang stehen; die Leistungsbeschreibung umfasst Förderkriterien, um die Einhaltung der technischen Leitlinien „Vermeidung erheblicher Beeinträchtigungen“ (2021/C58/01) der im Rahmen dieser Maßnahme geförderten Projekte durch die Verwendun</w:t>
            </w:r>
            <w:r w:rsidRPr="00170422">
              <w:rPr>
                <w:noProof/>
                <w:lang w:val="de-DE"/>
              </w:rPr>
              <w:t>g einer Nachhaltigkeitsprüfung, einer Ausschlussliste und der Anforderung der Einhaltung der einschlägigen EU- und nationalen Umweltvorschriften sicherzustellen, ii) die Art der unterstützten Vorhaben, iii) die zu unterstützenden Begünstigten und ihre Förd</w:t>
            </w:r>
            <w:r w:rsidRPr="00170422">
              <w:rPr>
                <w:noProof/>
                <w:lang w:val="de-DE"/>
              </w:rPr>
              <w:t xml:space="preserve">erfähigkeitskriterien, iv) Bestimmungen zur Reinvestition potenzieller Rückflüsse für ähnliche politische Ziele auch über 2026 hinaus, falls sie nicht zur Wiederverwendung von Zinssätzen aus Darlehen, die gemäß der Verordnung (EU) 2021/241 gewährt wurden, </w:t>
            </w:r>
            <w:r w:rsidRPr="00170422">
              <w:rPr>
                <w:noProof/>
                <w:lang w:val="de-DE"/>
              </w:rPr>
              <w:t>verwendet werden.</w:t>
            </w:r>
          </w:p>
          <w:p w14:paraId="7CBDA064" w14:textId="77777777" w:rsidR="0057163C" w:rsidRPr="00170422" w:rsidRDefault="00F37BF9">
            <w:pPr>
              <w:pStyle w:val="P68B1DB1-Normal11"/>
              <w:rPr>
                <w:noProof/>
                <w:szCs w:val="20"/>
                <w:lang w:val="de-DE"/>
              </w:rPr>
            </w:pPr>
            <w:r w:rsidRPr="00170422">
              <w:rPr>
                <w:noProof/>
                <w:lang w:val="de-DE"/>
              </w:rPr>
              <w:t>Die vertragliche Vereinbarung mit der betrauten Einrichtung oder dem Finanzintermediär erfordert die Verwendung der technischen Leitlinien „Vermeidung erheblicher Beeinträchtigungen“ (2021/C58/01).</w:t>
            </w:r>
          </w:p>
        </w:tc>
      </w:tr>
      <w:tr w:rsidR="0057163C" w:rsidRPr="00170422" w14:paraId="2CFBC3AF" w14:textId="77777777" w:rsidTr="005508B9">
        <w:trPr>
          <w:trHeight w:val="315"/>
        </w:trPr>
        <w:tc>
          <w:tcPr>
            <w:tcW w:w="1418" w:type="dxa"/>
            <w:shd w:val="clear" w:color="auto" w:fill="C6EFCE"/>
            <w:vAlign w:val="center"/>
          </w:tcPr>
          <w:p w14:paraId="6C2F19B8" w14:textId="77777777" w:rsidR="0057163C" w:rsidRPr="00170422" w:rsidRDefault="00F37BF9">
            <w:pPr>
              <w:pStyle w:val="P68B1DB1-Normal11"/>
              <w:spacing w:before="120" w:after="120"/>
              <w:jc w:val="center"/>
              <w:rPr>
                <w:noProof/>
                <w:szCs w:val="20"/>
                <w:lang w:val="de-DE"/>
              </w:rPr>
            </w:pPr>
            <w:r w:rsidRPr="00170422">
              <w:rPr>
                <w:noProof/>
                <w:lang w:val="de-DE"/>
              </w:rPr>
              <w:t>M1C2-29</w:t>
            </w:r>
          </w:p>
        </w:tc>
        <w:tc>
          <w:tcPr>
            <w:tcW w:w="1985" w:type="dxa"/>
            <w:shd w:val="clear" w:color="auto" w:fill="C6EFCE"/>
            <w:vAlign w:val="center"/>
          </w:tcPr>
          <w:p w14:paraId="65FA9AEE" w14:textId="77777777" w:rsidR="0057163C" w:rsidRPr="00170422" w:rsidRDefault="00F37BF9">
            <w:pPr>
              <w:pStyle w:val="P68B1DB1-Normal11"/>
              <w:spacing w:before="120" w:after="120"/>
              <w:jc w:val="center"/>
              <w:rPr>
                <w:noProof/>
                <w:szCs w:val="20"/>
                <w:lang w:val="de-DE"/>
              </w:rPr>
            </w:pPr>
            <w:r w:rsidRPr="00170422">
              <w:rPr>
                <w:noProof/>
                <w:lang w:val="de-DE"/>
              </w:rPr>
              <w:t xml:space="preserve">Investition 5.2: </w:t>
            </w:r>
            <w:r w:rsidRPr="00170422">
              <w:rPr>
                <w:noProof/>
                <w:lang w:val="de-DE"/>
              </w:rPr>
              <w:t>Wettbewerbsfähigkeit und Widerstandsfähigkeit der Lieferketten</w:t>
            </w:r>
          </w:p>
        </w:tc>
        <w:tc>
          <w:tcPr>
            <w:tcW w:w="1275" w:type="dxa"/>
            <w:shd w:val="clear" w:color="auto" w:fill="C6EFCE"/>
            <w:vAlign w:val="center"/>
          </w:tcPr>
          <w:p w14:paraId="5A169CA9" w14:textId="77777777" w:rsidR="0057163C" w:rsidRPr="00170422" w:rsidRDefault="00F37BF9">
            <w:pPr>
              <w:pStyle w:val="P68B1DB1-Normal11"/>
              <w:spacing w:before="120" w:after="120"/>
              <w:jc w:val="center"/>
              <w:rPr>
                <w:noProof/>
                <w:szCs w:val="20"/>
                <w:lang w:val="de-DE"/>
              </w:rPr>
            </w:pPr>
            <w:r w:rsidRPr="00170422">
              <w:rPr>
                <w:noProof/>
                <w:lang w:val="de-DE"/>
              </w:rPr>
              <w:t>Ziel</w:t>
            </w:r>
          </w:p>
        </w:tc>
        <w:tc>
          <w:tcPr>
            <w:tcW w:w="1276" w:type="dxa"/>
            <w:shd w:val="clear" w:color="auto" w:fill="C6EFCE"/>
            <w:vAlign w:val="center"/>
          </w:tcPr>
          <w:p w14:paraId="3084F76E" w14:textId="77777777" w:rsidR="0057163C" w:rsidRPr="00170422" w:rsidRDefault="00F37BF9">
            <w:pPr>
              <w:pStyle w:val="P68B1DB1-Normal11"/>
              <w:spacing w:before="120" w:after="120"/>
              <w:jc w:val="center"/>
              <w:rPr>
                <w:noProof/>
                <w:szCs w:val="20"/>
                <w:lang w:val="de-DE"/>
              </w:rPr>
            </w:pPr>
            <w:r w:rsidRPr="00170422">
              <w:rPr>
                <w:noProof/>
                <w:lang w:val="de-DE"/>
              </w:rPr>
              <w:t>Genehmigte Entwicklungsverträge</w:t>
            </w:r>
          </w:p>
        </w:tc>
        <w:tc>
          <w:tcPr>
            <w:tcW w:w="1276" w:type="dxa"/>
            <w:shd w:val="clear" w:color="auto" w:fill="C6EFCE"/>
            <w:vAlign w:val="center"/>
          </w:tcPr>
          <w:p w14:paraId="78151059"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vAlign w:val="center"/>
          </w:tcPr>
          <w:p w14:paraId="5B211AEB"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vAlign w:val="center"/>
          </w:tcPr>
          <w:p w14:paraId="20129B7D" w14:textId="77777777" w:rsidR="0057163C" w:rsidRPr="00170422" w:rsidRDefault="00F37BF9">
            <w:pPr>
              <w:pStyle w:val="P68B1DB1-Normal11"/>
              <w:jc w:val="center"/>
              <w:rPr>
                <w:noProof/>
                <w:lang w:val="de-DE"/>
              </w:rPr>
            </w:pPr>
            <w:r w:rsidRPr="00170422">
              <w:rPr>
                <w:noProof/>
                <w:lang w:val="de-DE"/>
              </w:rPr>
              <w:t>0</w:t>
            </w:r>
          </w:p>
        </w:tc>
        <w:tc>
          <w:tcPr>
            <w:tcW w:w="738" w:type="dxa"/>
            <w:shd w:val="clear" w:color="auto" w:fill="C6EFCE"/>
            <w:vAlign w:val="center"/>
          </w:tcPr>
          <w:p w14:paraId="04E3D664" w14:textId="77777777" w:rsidR="0057163C" w:rsidRPr="00170422" w:rsidRDefault="00F37BF9">
            <w:pPr>
              <w:pStyle w:val="P68B1DB1-Normal11"/>
              <w:jc w:val="center"/>
              <w:rPr>
                <w:noProof/>
                <w:lang w:val="de-DE"/>
              </w:rPr>
            </w:pPr>
            <w:r w:rsidRPr="00170422">
              <w:rPr>
                <w:noProof/>
                <w:lang w:val="de-DE"/>
              </w:rPr>
              <w:t>40</w:t>
            </w:r>
          </w:p>
        </w:tc>
        <w:tc>
          <w:tcPr>
            <w:tcW w:w="850" w:type="dxa"/>
            <w:shd w:val="clear" w:color="auto" w:fill="C6EFCE"/>
            <w:vAlign w:val="center"/>
          </w:tcPr>
          <w:p w14:paraId="33A474D9"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vAlign w:val="center"/>
          </w:tcPr>
          <w:p w14:paraId="47237D5A" w14:textId="77777777" w:rsidR="0057163C" w:rsidRPr="00170422" w:rsidRDefault="00F37BF9">
            <w:pPr>
              <w:pStyle w:val="P68B1DB1-Normal11"/>
              <w:spacing w:before="120" w:after="120"/>
              <w:jc w:val="center"/>
              <w:rPr>
                <w:noProof/>
                <w:szCs w:val="20"/>
                <w:lang w:val="de-DE"/>
              </w:rPr>
            </w:pPr>
            <w:r w:rsidRPr="00170422">
              <w:rPr>
                <w:noProof/>
                <w:lang w:val="de-DE"/>
              </w:rPr>
              <w:t>2023</w:t>
            </w:r>
          </w:p>
        </w:tc>
        <w:tc>
          <w:tcPr>
            <w:tcW w:w="3232" w:type="dxa"/>
            <w:shd w:val="clear" w:color="auto" w:fill="C6EFCE"/>
            <w:vAlign w:val="center"/>
          </w:tcPr>
          <w:p w14:paraId="378CBB57" w14:textId="77777777" w:rsidR="0057163C" w:rsidRPr="00170422" w:rsidRDefault="00F37BF9">
            <w:pPr>
              <w:pStyle w:val="P68B1DB1-Normal11"/>
              <w:spacing w:before="120" w:after="120"/>
              <w:rPr>
                <w:noProof/>
                <w:szCs w:val="20"/>
                <w:lang w:val="de-DE"/>
              </w:rPr>
            </w:pPr>
            <w:r w:rsidRPr="00170422">
              <w:rPr>
                <w:noProof/>
                <w:lang w:val="de-DE"/>
              </w:rPr>
              <w:t>Mindestens 40 Entwicklungsverträge wurden im Einklang mit ihrer Investitionspolitik genehmigt. Die zufrieden stellende</w:t>
            </w:r>
            <w:r w:rsidRPr="00170422">
              <w:rPr>
                <w:noProof/>
                <w:lang w:val="de-DE"/>
              </w:rPr>
              <w:t xml:space="preserve"> Erreichung des Ziels hängt auch von der Aktivierung von Investitionen in Höhe von mindestens 1 500 Mio. EUR ab.</w:t>
            </w:r>
          </w:p>
        </w:tc>
      </w:tr>
      <w:tr w:rsidR="0057163C" w:rsidRPr="00170422" w14:paraId="7340B532" w14:textId="77777777" w:rsidTr="005508B9">
        <w:trPr>
          <w:trHeight w:val="315"/>
        </w:trPr>
        <w:tc>
          <w:tcPr>
            <w:tcW w:w="1418" w:type="dxa"/>
            <w:shd w:val="clear" w:color="auto" w:fill="C6EFCE"/>
            <w:vAlign w:val="center"/>
          </w:tcPr>
          <w:p w14:paraId="518EEA90" w14:textId="77777777" w:rsidR="0057163C" w:rsidRPr="00170422" w:rsidRDefault="00F37BF9">
            <w:pPr>
              <w:pStyle w:val="P68B1DB1-Normal11"/>
              <w:spacing w:before="120" w:after="120"/>
              <w:jc w:val="center"/>
              <w:rPr>
                <w:noProof/>
                <w:lang w:val="de-DE"/>
              </w:rPr>
            </w:pPr>
            <w:r w:rsidRPr="00170422">
              <w:rPr>
                <w:noProof/>
                <w:lang w:val="de-DE"/>
              </w:rPr>
              <w:t>M1C2-30</w:t>
            </w:r>
          </w:p>
        </w:tc>
        <w:tc>
          <w:tcPr>
            <w:tcW w:w="1985" w:type="dxa"/>
            <w:shd w:val="clear" w:color="auto" w:fill="C6EFCE"/>
            <w:vAlign w:val="center"/>
          </w:tcPr>
          <w:p w14:paraId="72C975EB" w14:textId="77777777" w:rsidR="0057163C" w:rsidRPr="00170422" w:rsidRDefault="00F37BF9">
            <w:pPr>
              <w:pStyle w:val="P68B1DB1-Normal11"/>
              <w:spacing w:before="120" w:after="120"/>
              <w:jc w:val="center"/>
              <w:rPr>
                <w:noProof/>
                <w:lang w:val="de-DE"/>
              </w:rPr>
            </w:pPr>
            <w:r w:rsidRPr="00170422">
              <w:rPr>
                <w:noProof/>
                <w:lang w:val="de-DE"/>
              </w:rPr>
              <w:t>Investition 7: Nationaler Konnektivitätsfonds</w:t>
            </w:r>
          </w:p>
        </w:tc>
        <w:tc>
          <w:tcPr>
            <w:tcW w:w="1275" w:type="dxa"/>
            <w:shd w:val="clear" w:color="auto" w:fill="C6EFCE"/>
            <w:vAlign w:val="center"/>
          </w:tcPr>
          <w:p w14:paraId="35BDAFE2" w14:textId="77777777" w:rsidR="0057163C" w:rsidRPr="00170422" w:rsidRDefault="00F37BF9">
            <w:pPr>
              <w:pStyle w:val="P68B1DB1-Normal11"/>
              <w:spacing w:before="120" w:after="120"/>
              <w:jc w:val="center"/>
              <w:rPr>
                <w:noProof/>
                <w:lang w:val="de-DE"/>
              </w:rPr>
            </w:pPr>
            <w:r w:rsidRPr="00170422">
              <w:rPr>
                <w:noProof/>
                <w:lang w:val="de-DE"/>
              </w:rPr>
              <w:t>Meilenstein</w:t>
            </w:r>
          </w:p>
        </w:tc>
        <w:tc>
          <w:tcPr>
            <w:tcW w:w="1276" w:type="dxa"/>
            <w:shd w:val="clear" w:color="auto" w:fill="C6EFCE"/>
          </w:tcPr>
          <w:p w14:paraId="49114027" w14:textId="77777777" w:rsidR="0057163C" w:rsidRPr="00170422" w:rsidRDefault="00F37BF9">
            <w:pPr>
              <w:pStyle w:val="P68B1DB1-Normal11"/>
              <w:spacing w:before="120" w:after="120"/>
              <w:jc w:val="center"/>
              <w:rPr>
                <w:noProof/>
                <w:lang w:val="de-DE"/>
              </w:rPr>
            </w:pPr>
            <w:r w:rsidRPr="00170422">
              <w:rPr>
                <w:noProof/>
                <w:lang w:val="de-DE"/>
              </w:rPr>
              <w:t>Durchführungsvereinbarung</w:t>
            </w:r>
          </w:p>
        </w:tc>
        <w:tc>
          <w:tcPr>
            <w:tcW w:w="1276" w:type="dxa"/>
            <w:shd w:val="clear" w:color="auto" w:fill="C6EFCE"/>
          </w:tcPr>
          <w:p w14:paraId="35D6E3D9" w14:textId="77777777" w:rsidR="0057163C" w:rsidRPr="00170422" w:rsidRDefault="00F37BF9">
            <w:pPr>
              <w:pStyle w:val="P68B1DB1-Normal11"/>
              <w:jc w:val="center"/>
              <w:rPr>
                <w:noProof/>
                <w:lang w:val="de-DE"/>
              </w:rPr>
            </w:pPr>
            <w:r w:rsidRPr="00170422">
              <w:rPr>
                <w:noProof/>
                <w:lang w:val="de-DE"/>
              </w:rPr>
              <w:t>Inkrafttreten des Durchführungsübereinkommens</w:t>
            </w:r>
          </w:p>
        </w:tc>
        <w:tc>
          <w:tcPr>
            <w:tcW w:w="1134" w:type="dxa"/>
            <w:shd w:val="clear" w:color="auto" w:fill="C6EFCE"/>
            <w:vAlign w:val="center"/>
          </w:tcPr>
          <w:p w14:paraId="0FEFC0D8" w14:textId="77777777" w:rsidR="0057163C" w:rsidRPr="00170422" w:rsidRDefault="00F37BF9">
            <w:pPr>
              <w:pStyle w:val="P68B1DB1-Normal11"/>
              <w:jc w:val="center"/>
              <w:rPr>
                <w:noProof/>
                <w:lang w:val="de-DE"/>
              </w:rPr>
            </w:pPr>
            <w:r w:rsidRPr="00170422">
              <w:rPr>
                <w:noProof/>
                <w:lang w:val="de-DE"/>
              </w:rPr>
              <w:t>ENTFÄLLT.</w:t>
            </w:r>
          </w:p>
        </w:tc>
        <w:tc>
          <w:tcPr>
            <w:tcW w:w="1417" w:type="dxa"/>
            <w:shd w:val="clear" w:color="auto" w:fill="C6EFCE"/>
            <w:vAlign w:val="center"/>
          </w:tcPr>
          <w:p w14:paraId="7BC5DD1B" w14:textId="77777777" w:rsidR="0057163C" w:rsidRPr="00170422" w:rsidRDefault="00F37BF9">
            <w:pPr>
              <w:pStyle w:val="P68B1DB1-Normal11"/>
              <w:jc w:val="center"/>
              <w:rPr>
                <w:noProof/>
                <w:lang w:val="de-DE"/>
              </w:rPr>
            </w:pPr>
            <w:r w:rsidRPr="00170422">
              <w:rPr>
                <w:noProof/>
                <w:lang w:val="de-DE"/>
              </w:rPr>
              <w:t>ENTFÄLLT.</w:t>
            </w:r>
          </w:p>
        </w:tc>
        <w:tc>
          <w:tcPr>
            <w:tcW w:w="738" w:type="dxa"/>
            <w:shd w:val="clear" w:color="auto" w:fill="C6EFCE"/>
            <w:vAlign w:val="center"/>
          </w:tcPr>
          <w:p w14:paraId="70C04F50" w14:textId="77777777" w:rsidR="0057163C" w:rsidRPr="00170422" w:rsidRDefault="00F37BF9">
            <w:pPr>
              <w:pStyle w:val="P68B1DB1-Normal11"/>
              <w:jc w:val="center"/>
              <w:rPr>
                <w:noProof/>
                <w:lang w:val="de-DE"/>
              </w:rPr>
            </w:pPr>
            <w:r w:rsidRPr="00170422">
              <w:rPr>
                <w:noProof/>
                <w:lang w:val="de-DE"/>
              </w:rPr>
              <w:t>ENTFÄLLT.</w:t>
            </w:r>
          </w:p>
        </w:tc>
        <w:tc>
          <w:tcPr>
            <w:tcW w:w="850" w:type="dxa"/>
            <w:shd w:val="clear" w:color="auto" w:fill="C6EFCE"/>
            <w:vAlign w:val="center"/>
          </w:tcPr>
          <w:p w14:paraId="1CAFAFAB" w14:textId="77777777" w:rsidR="0057163C" w:rsidRPr="00170422" w:rsidRDefault="00F37BF9">
            <w:pPr>
              <w:pStyle w:val="P68B1DB1-Normal11"/>
              <w:jc w:val="center"/>
              <w:rPr>
                <w:noProof/>
                <w:lang w:val="de-DE"/>
              </w:rPr>
            </w:pPr>
            <w:r w:rsidRPr="00170422">
              <w:rPr>
                <w:noProof/>
                <w:lang w:val="de-DE"/>
              </w:rPr>
              <w:t>4. QUARTAL</w:t>
            </w:r>
          </w:p>
        </w:tc>
        <w:tc>
          <w:tcPr>
            <w:tcW w:w="709" w:type="dxa"/>
            <w:shd w:val="clear" w:color="auto" w:fill="C6EFCE"/>
            <w:vAlign w:val="center"/>
          </w:tcPr>
          <w:p w14:paraId="1AF2F37D" w14:textId="77777777" w:rsidR="0057163C" w:rsidRPr="00170422" w:rsidRDefault="00F37BF9">
            <w:pPr>
              <w:pStyle w:val="P68B1DB1-Normal11"/>
              <w:spacing w:before="120" w:after="120"/>
              <w:jc w:val="center"/>
              <w:rPr>
                <w:noProof/>
                <w:lang w:val="de-DE"/>
              </w:rPr>
            </w:pPr>
            <w:r w:rsidRPr="00170422">
              <w:rPr>
                <w:noProof/>
                <w:lang w:val="de-DE"/>
              </w:rPr>
              <w:t>2025</w:t>
            </w:r>
          </w:p>
        </w:tc>
        <w:tc>
          <w:tcPr>
            <w:tcW w:w="3232" w:type="dxa"/>
            <w:shd w:val="clear" w:color="auto" w:fill="C6EFCE"/>
          </w:tcPr>
          <w:p w14:paraId="7573B702" w14:textId="77777777" w:rsidR="0057163C" w:rsidRPr="00170422" w:rsidRDefault="00F37BF9">
            <w:pPr>
              <w:pStyle w:val="P68B1DB1-Normal11"/>
              <w:spacing w:before="120" w:after="120"/>
              <w:rPr>
                <w:noProof/>
                <w:lang w:val="de-DE"/>
              </w:rPr>
            </w:pPr>
            <w:r w:rsidRPr="00170422">
              <w:rPr>
                <w:noProof/>
                <w:lang w:val="de-DE"/>
              </w:rPr>
              <w:t>Inkrafttreten des Durchführungsübereinkommens.</w:t>
            </w:r>
          </w:p>
        </w:tc>
      </w:tr>
      <w:tr w:rsidR="0057163C" w:rsidRPr="00170422" w14:paraId="5B1E8EC8" w14:textId="77777777" w:rsidTr="005508B9">
        <w:trPr>
          <w:trHeight w:val="315"/>
        </w:trPr>
        <w:tc>
          <w:tcPr>
            <w:tcW w:w="1418" w:type="dxa"/>
            <w:shd w:val="clear" w:color="auto" w:fill="C6EFCE"/>
            <w:vAlign w:val="center"/>
          </w:tcPr>
          <w:p w14:paraId="1474278B" w14:textId="77777777" w:rsidR="0057163C" w:rsidRPr="00170422" w:rsidRDefault="00F37BF9">
            <w:pPr>
              <w:pStyle w:val="P68B1DB1-Normal11"/>
              <w:spacing w:before="120" w:after="120"/>
              <w:jc w:val="center"/>
              <w:rPr>
                <w:noProof/>
                <w:lang w:val="de-DE"/>
              </w:rPr>
            </w:pPr>
            <w:r w:rsidRPr="00170422">
              <w:rPr>
                <w:noProof/>
                <w:lang w:val="de-DE"/>
              </w:rPr>
              <w:t>M1C2-31</w:t>
            </w:r>
          </w:p>
        </w:tc>
        <w:tc>
          <w:tcPr>
            <w:tcW w:w="1985" w:type="dxa"/>
            <w:shd w:val="clear" w:color="auto" w:fill="C6EFCE"/>
            <w:vAlign w:val="center"/>
          </w:tcPr>
          <w:p w14:paraId="471DB405" w14:textId="77777777" w:rsidR="0057163C" w:rsidRPr="00170422" w:rsidRDefault="00F37BF9">
            <w:pPr>
              <w:pStyle w:val="P68B1DB1-Normal11"/>
              <w:spacing w:before="120" w:after="120"/>
              <w:jc w:val="center"/>
              <w:rPr>
                <w:noProof/>
                <w:lang w:val="de-DE"/>
              </w:rPr>
            </w:pPr>
            <w:r w:rsidRPr="00170422">
              <w:rPr>
                <w:noProof/>
                <w:lang w:val="de-DE"/>
              </w:rPr>
              <w:t>Investition 7: Nationaler Konnektivitätsfonds</w:t>
            </w:r>
          </w:p>
        </w:tc>
        <w:tc>
          <w:tcPr>
            <w:tcW w:w="1275" w:type="dxa"/>
            <w:shd w:val="clear" w:color="auto" w:fill="C6EFCE"/>
            <w:vAlign w:val="center"/>
          </w:tcPr>
          <w:p w14:paraId="59900A51" w14:textId="77777777" w:rsidR="0057163C" w:rsidRPr="00170422" w:rsidRDefault="00F37BF9">
            <w:pPr>
              <w:pStyle w:val="P68B1DB1-Normal11"/>
              <w:spacing w:before="120" w:after="120"/>
              <w:jc w:val="center"/>
              <w:rPr>
                <w:noProof/>
                <w:lang w:val="de-DE"/>
              </w:rPr>
            </w:pPr>
            <w:r w:rsidRPr="00170422">
              <w:rPr>
                <w:noProof/>
                <w:lang w:val="de-DE"/>
              </w:rPr>
              <w:t>Meilenstein</w:t>
            </w:r>
          </w:p>
        </w:tc>
        <w:tc>
          <w:tcPr>
            <w:tcW w:w="1276" w:type="dxa"/>
            <w:shd w:val="clear" w:color="auto" w:fill="C6EFCE"/>
          </w:tcPr>
          <w:p w14:paraId="05E8B1DA" w14:textId="77777777" w:rsidR="0057163C" w:rsidRPr="00170422" w:rsidRDefault="00F37BF9">
            <w:pPr>
              <w:pStyle w:val="P68B1DB1-Normal11"/>
              <w:spacing w:before="120" w:after="120"/>
              <w:jc w:val="center"/>
              <w:rPr>
                <w:noProof/>
                <w:lang w:val="de-DE"/>
              </w:rPr>
            </w:pPr>
            <w:r w:rsidRPr="00170422">
              <w:rPr>
                <w:noProof/>
                <w:lang w:val="de-DE"/>
              </w:rPr>
              <w:t>Mit den Endbegünstigten unterzeichnete rechtliche Vereinbarungen und Abschluss der Investitionen</w:t>
            </w:r>
          </w:p>
        </w:tc>
        <w:tc>
          <w:tcPr>
            <w:tcW w:w="1276" w:type="dxa"/>
            <w:shd w:val="clear" w:color="auto" w:fill="C6EFCE"/>
          </w:tcPr>
          <w:p w14:paraId="4AFBA54D" w14:textId="77777777" w:rsidR="0057163C" w:rsidRPr="00170422" w:rsidRDefault="00F37BF9">
            <w:pPr>
              <w:pStyle w:val="P68B1DB1-Normal11"/>
              <w:jc w:val="center"/>
              <w:rPr>
                <w:noProof/>
                <w:lang w:val="de-DE"/>
              </w:rPr>
            </w:pPr>
            <w:r w:rsidRPr="00170422">
              <w:rPr>
                <w:noProof/>
                <w:lang w:val="de-DE"/>
              </w:rPr>
              <w:t>Unterzeichnete rechtliche Vereinbarungen und Übertragungsbescheinigung</w:t>
            </w:r>
          </w:p>
        </w:tc>
        <w:tc>
          <w:tcPr>
            <w:tcW w:w="1134" w:type="dxa"/>
            <w:shd w:val="clear" w:color="auto" w:fill="C6EFCE"/>
            <w:vAlign w:val="center"/>
          </w:tcPr>
          <w:p w14:paraId="33016226" w14:textId="77777777" w:rsidR="0057163C" w:rsidRPr="00170422" w:rsidRDefault="00F37BF9">
            <w:pPr>
              <w:pStyle w:val="P68B1DB1-Normal11"/>
              <w:jc w:val="center"/>
              <w:rPr>
                <w:noProof/>
                <w:lang w:val="de-DE"/>
              </w:rPr>
            </w:pPr>
            <w:r w:rsidRPr="00170422">
              <w:rPr>
                <w:noProof/>
                <w:lang w:val="de-DE"/>
              </w:rPr>
              <w:t>ENTFÄLLT.</w:t>
            </w:r>
          </w:p>
        </w:tc>
        <w:tc>
          <w:tcPr>
            <w:tcW w:w="1417" w:type="dxa"/>
            <w:shd w:val="clear" w:color="auto" w:fill="C6EFCE"/>
            <w:vAlign w:val="center"/>
          </w:tcPr>
          <w:p w14:paraId="571F2A37" w14:textId="77777777" w:rsidR="0057163C" w:rsidRPr="00170422" w:rsidRDefault="00F37BF9">
            <w:pPr>
              <w:pStyle w:val="P68B1DB1-Normal11"/>
              <w:jc w:val="center"/>
              <w:rPr>
                <w:noProof/>
                <w:lang w:val="de-DE"/>
              </w:rPr>
            </w:pPr>
            <w:r w:rsidRPr="00170422">
              <w:rPr>
                <w:noProof/>
                <w:lang w:val="de-DE"/>
              </w:rPr>
              <w:t>ENTFÄLLT.</w:t>
            </w:r>
          </w:p>
        </w:tc>
        <w:tc>
          <w:tcPr>
            <w:tcW w:w="738" w:type="dxa"/>
            <w:shd w:val="clear" w:color="auto" w:fill="C6EFCE"/>
            <w:vAlign w:val="center"/>
          </w:tcPr>
          <w:p w14:paraId="61A354B9" w14:textId="77777777" w:rsidR="0057163C" w:rsidRPr="00170422" w:rsidRDefault="00F37BF9">
            <w:pPr>
              <w:pStyle w:val="P68B1DB1-Normal11"/>
              <w:jc w:val="center"/>
              <w:rPr>
                <w:noProof/>
                <w:lang w:val="de-DE"/>
              </w:rPr>
            </w:pPr>
            <w:r w:rsidRPr="00170422">
              <w:rPr>
                <w:noProof/>
                <w:lang w:val="de-DE"/>
              </w:rPr>
              <w:t>ENTFÄLLT.</w:t>
            </w:r>
          </w:p>
        </w:tc>
        <w:tc>
          <w:tcPr>
            <w:tcW w:w="850" w:type="dxa"/>
            <w:shd w:val="clear" w:color="auto" w:fill="C6EFCE"/>
            <w:vAlign w:val="center"/>
          </w:tcPr>
          <w:p w14:paraId="51F627C1" w14:textId="77777777" w:rsidR="0057163C" w:rsidRPr="00170422" w:rsidRDefault="00F37BF9">
            <w:pPr>
              <w:pStyle w:val="P68B1DB1-Normal11"/>
              <w:jc w:val="center"/>
              <w:rPr>
                <w:noProof/>
                <w:lang w:val="de-DE"/>
              </w:rPr>
            </w:pPr>
            <w:r w:rsidRPr="00170422">
              <w:rPr>
                <w:noProof/>
                <w:lang w:val="de-DE"/>
              </w:rPr>
              <w:t>Q2</w:t>
            </w:r>
          </w:p>
        </w:tc>
        <w:tc>
          <w:tcPr>
            <w:tcW w:w="709" w:type="dxa"/>
            <w:shd w:val="clear" w:color="auto" w:fill="C6EFCE"/>
            <w:vAlign w:val="center"/>
          </w:tcPr>
          <w:p w14:paraId="6B5FFC30"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3232" w:type="dxa"/>
            <w:shd w:val="clear" w:color="auto" w:fill="C6EFCE"/>
          </w:tcPr>
          <w:p w14:paraId="5C5ABEEA" w14:textId="77777777" w:rsidR="0057163C" w:rsidRPr="00170422" w:rsidRDefault="00F37BF9">
            <w:pPr>
              <w:pStyle w:val="P68B1DB1-Normal11"/>
              <w:spacing w:line="240" w:lineRule="auto"/>
              <w:jc w:val="both"/>
              <w:rPr>
                <w:noProof/>
                <w:lang w:val="de-DE"/>
              </w:rPr>
            </w:pPr>
            <w:r w:rsidRPr="00170422">
              <w:rPr>
                <w:noProof/>
                <w:lang w:val="de-DE"/>
              </w:rPr>
              <w:t xml:space="preserve">Invitalia S.p.A. muss mit Endbegünstigten gesetzliche Finanzhilfevereinbarungen über einen Betrag geschlossen haben, der erforderlich ist, um 100 % der ARF-Investitionen in das Programm zu verwenden (unter Berücksichtigung der Verwaltungsgebühren). </w:t>
            </w:r>
          </w:p>
          <w:p w14:paraId="205AEC0E" w14:textId="0784C4E8" w:rsidR="0057163C" w:rsidRPr="00170422" w:rsidRDefault="00F37BF9">
            <w:pPr>
              <w:pStyle w:val="P68B1DB1-Normal11"/>
              <w:spacing w:before="120" w:after="120"/>
              <w:rPr>
                <w:noProof/>
                <w:lang w:val="de-DE"/>
              </w:rPr>
            </w:pPr>
            <w:r w:rsidRPr="00170422">
              <w:rPr>
                <w:noProof/>
                <w:lang w:val="de-DE"/>
              </w:rPr>
              <w:t>Italie</w:t>
            </w:r>
            <w:r w:rsidRPr="00170422">
              <w:rPr>
                <w:noProof/>
                <w:lang w:val="de-DE"/>
              </w:rPr>
              <w:t>n überträgt 733 402 818 EUR an die Invitalia S.p.A. für die Fazilität.</w:t>
            </w:r>
          </w:p>
        </w:tc>
      </w:tr>
      <w:tr w:rsidR="0057163C" w:rsidRPr="00170422" w14:paraId="098ED12A" w14:textId="77777777" w:rsidTr="005508B9">
        <w:trPr>
          <w:trHeight w:val="315"/>
        </w:trPr>
        <w:tc>
          <w:tcPr>
            <w:tcW w:w="1418" w:type="dxa"/>
            <w:shd w:val="clear" w:color="auto" w:fill="C6EFCE"/>
            <w:vAlign w:val="center"/>
          </w:tcPr>
          <w:p w14:paraId="3E586340" w14:textId="77777777" w:rsidR="0057163C" w:rsidRPr="00170422" w:rsidRDefault="00F37BF9">
            <w:pPr>
              <w:pStyle w:val="P68B1DB1-Normal11"/>
              <w:spacing w:before="120" w:after="120"/>
              <w:jc w:val="center"/>
              <w:rPr>
                <w:noProof/>
                <w:lang w:val="de-DE"/>
              </w:rPr>
            </w:pPr>
            <w:r w:rsidRPr="00170422">
              <w:rPr>
                <w:noProof/>
                <w:lang w:val="de-DE"/>
              </w:rPr>
              <w:t>M1C2-32</w:t>
            </w:r>
          </w:p>
        </w:tc>
        <w:tc>
          <w:tcPr>
            <w:tcW w:w="1985" w:type="dxa"/>
            <w:shd w:val="clear" w:color="auto" w:fill="C6EFCE"/>
            <w:vAlign w:val="center"/>
          </w:tcPr>
          <w:p w14:paraId="5FE46ADC" w14:textId="77777777" w:rsidR="0057163C" w:rsidRPr="00170422" w:rsidRDefault="00F37BF9">
            <w:pPr>
              <w:pStyle w:val="P68B1DB1-Normal11"/>
              <w:spacing w:before="120" w:after="120"/>
              <w:jc w:val="center"/>
              <w:rPr>
                <w:noProof/>
                <w:lang w:val="de-DE"/>
              </w:rPr>
            </w:pPr>
            <w:r w:rsidRPr="00170422">
              <w:rPr>
                <w:noProof/>
                <w:lang w:val="de-DE"/>
              </w:rPr>
              <w:t>Investition 8: InvestEU-Mitgliedstaaten-Kompartment</w:t>
            </w:r>
          </w:p>
          <w:p w14:paraId="58E4673E" w14:textId="77777777" w:rsidR="0057163C" w:rsidRPr="00170422" w:rsidRDefault="0057163C">
            <w:pPr>
              <w:spacing w:before="120" w:after="120"/>
              <w:jc w:val="center"/>
              <w:rPr>
                <w:rFonts w:ascii="Arial Narrow" w:hAnsi="Arial Narrow"/>
                <w:noProof/>
                <w:color w:val="006100"/>
                <w:sz w:val="20"/>
                <w:lang w:val="de-DE"/>
              </w:rPr>
            </w:pPr>
          </w:p>
        </w:tc>
        <w:tc>
          <w:tcPr>
            <w:tcW w:w="1275" w:type="dxa"/>
            <w:shd w:val="clear" w:color="auto" w:fill="C6EFCE"/>
            <w:vAlign w:val="center"/>
          </w:tcPr>
          <w:p w14:paraId="4D598FE3" w14:textId="77777777" w:rsidR="0057163C" w:rsidRPr="00170422" w:rsidRDefault="00F37BF9">
            <w:pPr>
              <w:pStyle w:val="P68B1DB1-Normal11"/>
              <w:spacing w:before="120" w:after="120"/>
              <w:jc w:val="center"/>
              <w:rPr>
                <w:noProof/>
                <w:lang w:val="de-DE"/>
              </w:rPr>
            </w:pPr>
            <w:r w:rsidRPr="00170422">
              <w:rPr>
                <w:noProof/>
                <w:lang w:val="de-DE"/>
              </w:rPr>
              <w:t>Meilenstein</w:t>
            </w:r>
          </w:p>
        </w:tc>
        <w:tc>
          <w:tcPr>
            <w:tcW w:w="1276" w:type="dxa"/>
            <w:shd w:val="clear" w:color="auto" w:fill="C6EFCE"/>
            <w:vAlign w:val="center"/>
          </w:tcPr>
          <w:p w14:paraId="7B4DAB20" w14:textId="77777777" w:rsidR="0057163C" w:rsidRPr="00170422" w:rsidRDefault="00F37BF9">
            <w:pPr>
              <w:pStyle w:val="P68B1DB1-Normal11"/>
              <w:spacing w:before="120" w:after="120"/>
              <w:jc w:val="center"/>
              <w:rPr>
                <w:noProof/>
                <w:lang w:val="de-DE"/>
              </w:rPr>
            </w:pPr>
            <w:r w:rsidRPr="00170422">
              <w:rPr>
                <w:noProof/>
                <w:lang w:val="de-DE"/>
              </w:rPr>
              <w:t>Unterzeichnung der Beitragsvereinbarung zwischen der Regierung Italiens und der Europäischen Kommission</w:t>
            </w:r>
          </w:p>
        </w:tc>
        <w:tc>
          <w:tcPr>
            <w:tcW w:w="1276" w:type="dxa"/>
            <w:shd w:val="clear" w:color="auto" w:fill="C6EFCE"/>
            <w:vAlign w:val="center"/>
          </w:tcPr>
          <w:p w14:paraId="6DAAE1D5" w14:textId="77777777" w:rsidR="0057163C" w:rsidRPr="00170422" w:rsidRDefault="00F37BF9">
            <w:pPr>
              <w:pStyle w:val="P68B1DB1-Normal11"/>
              <w:jc w:val="center"/>
              <w:rPr>
                <w:noProof/>
                <w:lang w:val="de-DE"/>
              </w:rPr>
            </w:pPr>
            <w:r w:rsidRPr="00170422">
              <w:rPr>
                <w:noProof/>
                <w:lang w:val="de-DE"/>
              </w:rPr>
              <w:t>Unterzeichnung der Beitragsvereinbarung</w:t>
            </w:r>
          </w:p>
        </w:tc>
        <w:tc>
          <w:tcPr>
            <w:tcW w:w="1134" w:type="dxa"/>
            <w:shd w:val="clear" w:color="auto" w:fill="C6EFCE"/>
            <w:vAlign w:val="center"/>
          </w:tcPr>
          <w:p w14:paraId="4FA6A848" w14:textId="77777777" w:rsidR="0057163C" w:rsidRPr="00170422" w:rsidRDefault="00F37BF9">
            <w:pPr>
              <w:pStyle w:val="P68B1DB1-Normal11"/>
              <w:jc w:val="center"/>
              <w:rPr>
                <w:noProof/>
                <w:lang w:val="de-DE"/>
              </w:rPr>
            </w:pPr>
            <w:r w:rsidRPr="00170422">
              <w:rPr>
                <w:noProof/>
                <w:lang w:val="de-DE"/>
              </w:rPr>
              <w:t>ENTFÄLLT.</w:t>
            </w:r>
          </w:p>
        </w:tc>
        <w:tc>
          <w:tcPr>
            <w:tcW w:w="1417" w:type="dxa"/>
            <w:shd w:val="clear" w:color="auto" w:fill="C6EFCE"/>
            <w:vAlign w:val="center"/>
          </w:tcPr>
          <w:p w14:paraId="4792AE65"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738" w:type="dxa"/>
            <w:shd w:val="clear" w:color="auto" w:fill="C6EFCE"/>
            <w:vAlign w:val="center"/>
          </w:tcPr>
          <w:p w14:paraId="6139232B" w14:textId="77777777" w:rsidR="0057163C" w:rsidRPr="00170422" w:rsidRDefault="00F37BF9">
            <w:pPr>
              <w:pStyle w:val="P68B1DB1-Normal11"/>
              <w:jc w:val="center"/>
              <w:rPr>
                <w:noProof/>
                <w:lang w:val="de-DE"/>
              </w:rPr>
            </w:pPr>
            <w:r w:rsidRPr="00170422">
              <w:rPr>
                <w:noProof/>
                <w:lang w:val="de-DE"/>
              </w:rPr>
              <w:t>ENTFÄLLT.</w:t>
            </w:r>
          </w:p>
        </w:tc>
        <w:tc>
          <w:tcPr>
            <w:tcW w:w="850" w:type="dxa"/>
            <w:shd w:val="clear" w:color="auto" w:fill="C6EFCE"/>
            <w:vAlign w:val="center"/>
          </w:tcPr>
          <w:p w14:paraId="68071796" w14:textId="77777777" w:rsidR="0057163C" w:rsidRPr="00170422" w:rsidRDefault="00F37BF9">
            <w:pPr>
              <w:pStyle w:val="P68B1DB1-Normal11"/>
              <w:jc w:val="center"/>
              <w:rPr>
                <w:noProof/>
                <w:lang w:val="de-DE"/>
              </w:rPr>
            </w:pPr>
            <w:r w:rsidRPr="00170422">
              <w:rPr>
                <w:noProof/>
                <w:lang w:val="de-DE"/>
              </w:rPr>
              <w:t>Q1</w:t>
            </w:r>
          </w:p>
        </w:tc>
        <w:tc>
          <w:tcPr>
            <w:tcW w:w="709" w:type="dxa"/>
            <w:shd w:val="clear" w:color="auto" w:fill="C6EFCE"/>
            <w:vAlign w:val="center"/>
          </w:tcPr>
          <w:p w14:paraId="7320D611"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3232" w:type="dxa"/>
            <w:shd w:val="clear" w:color="auto" w:fill="C6EFCE"/>
            <w:vAlign w:val="center"/>
          </w:tcPr>
          <w:p w14:paraId="4DC13EB0" w14:textId="25037650" w:rsidR="0057163C" w:rsidRPr="00170422" w:rsidRDefault="00F37BF9">
            <w:pPr>
              <w:pStyle w:val="P68B1DB1-Normal11"/>
              <w:spacing w:line="240" w:lineRule="auto"/>
              <w:jc w:val="both"/>
              <w:rPr>
                <w:noProof/>
                <w:lang w:val="de-DE"/>
              </w:rPr>
            </w:pPr>
            <w:r w:rsidRPr="00170422">
              <w:rPr>
                <w:noProof/>
                <w:lang w:val="de-DE"/>
              </w:rPr>
              <w:t xml:space="preserve">Unterzeichnung der Beitragsvereinbarung zwischen der Regierung Italiens und der Europäischen Kommission über einen Betrag von 500 000 000 EUR. </w:t>
            </w:r>
          </w:p>
        </w:tc>
      </w:tr>
      <w:tr w:rsidR="0057163C" w:rsidRPr="00170422" w14:paraId="6243DCB5" w14:textId="77777777" w:rsidTr="005508B9">
        <w:trPr>
          <w:trHeight w:val="315"/>
        </w:trPr>
        <w:tc>
          <w:tcPr>
            <w:tcW w:w="1418" w:type="dxa"/>
            <w:shd w:val="clear" w:color="auto" w:fill="C6EFCE"/>
            <w:vAlign w:val="center"/>
          </w:tcPr>
          <w:p w14:paraId="46FAE8F6" w14:textId="77777777" w:rsidR="0057163C" w:rsidRPr="00170422" w:rsidRDefault="00F37BF9">
            <w:pPr>
              <w:pStyle w:val="P68B1DB1-Normal11"/>
              <w:spacing w:before="120" w:after="120"/>
              <w:jc w:val="center"/>
              <w:rPr>
                <w:noProof/>
                <w:lang w:val="de-DE"/>
              </w:rPr>
            </w:pPr>
            <w:r w:rsidRPr="00170422">
              <w:rPr>
                <w:noProof/>
                <w:lang w:val="de-DE"/>
              </w:rPr>
              <w:t>M1C2-33</w:t>
            </w:r>
          </w:p>
        </w:tc>
        <w:tc>
          <w:tcPr>
            <w:tcW w:w="1985" w:type="dxa"/>
            <w:shd w:val="clear" w:color="auto" w:fill="C6EFCE"/>
            <w:vAlign w:val="center"/>
          </w:tcPr>
          <w:p w14:paraId="22C801C2" w14:textId="77777777" w:rsidR="0057163C" w:rsidRPr="00170422" w:rsidRDefault="00F37BF9">
            <w:pPr>
              <w:pStyle w:val="P68B1DB1-Normal11"/>
              <w:spacing w:before="120" w:after="120"/>
              <w:jc w:val="center"/>
              <w:rPr>
                <w:noProof/>
                <w:lang w:val="de-DE"/>
              </w:rPr>
            </w:pPr>
            <w:r w:rsidRPr="00170422">
              <w:rPr>
                <w:noProof/>
                <w:lang w:val="de-DE"/>
              </w:rPr>
              <w:t xml:space="preserve">Investition 8: </w:t>
            </w:r>
            <w:r w:rsidRPr="00170422">
              <w:rPr>
                <w:noProof/>
                <w:lang w:val="de-DE"/>
              </w:rPr>
              <w:t>InvestEU-Mitgliedstaaten-Kompartment</w:t>
            </w:r>
          </w:p>
        </w:tc>
        <w:tc>
          <w:tcPr>
            <w:tcW w:w="1275" w:type="dxa"/>
            <w:shd w:val="clear" w:color="auto" w:fill="C6EFCE"/>
            <w:vAlign w:val="center"/>
          </w:tcPr>
          <w:p w14:paraId="6DF82187" w14:textId="77777777" w:rsidR="0057163C" w:rsidRPr="00170422" w:rsidRDefault="00F37BF9">
            <w:pPr>
              <w:pStyle w:val="P68B1DB1-Normal12"/>
              <w:spacing w:before="120" w:after="120"/>
              <w:jc w:val="center"/>
              <w:rPr>
                <w:noProof/>
                <w:lang w:val="de-DE"/>
              </w:rPr>
            </w:pPr>
            <w:r w:rsidRPr="00170422">
              <w:rPr>
                <w:noProof/>
                <w:lang w:val="de-DE"/>
              </w:rPr>
              <w:t>Ziel</w:t>
            </w:r>
          </w:p>
        </w:tc>
        <w:tc>
          <w:tcPr>
            <w:tcW w:w="1276" w:type="dxa"/>
            <w:shd w:val="clear" w:color="auto" w:fill="C6EFCE"/>
            <w:vAlign w:val="center"/>
          </w:tcPr>
          <w:p w14:paraId="632B1EC5" w14:textId="77777777" w:rsidR="0057163C" w:rsidRPr="00170422" w:rsidRDefault="00F37BF9">
            <w:pPr>
              <w:pStyle w:val="P68B1DB1-Normal12"/>
              <w:spacing w:before="120" w:after="120"/>
              <w:jc w:val="center"/>
              <w:rPr>
                <w:noProof/>
                <w:lang w:val="de-DE"/>
              </w:rPr>
            </w:pPr>
            <w:r w:rsidRPr="00170422">
              <w:rPr>
                <w:noProof/>
                <w:lang w:val="de-DE"/>
              </w:rPr>
              <w:t>Vom InvestEU-Investitionsausschuss genehmigte Finanzierungen oder Investitionen.</w:t>
            </w:r>
          </w:p>
        </w:tc>
        <w:tc>
          <w:tcPr>
            <w:tcW w:w="1276" w:type="dxa"/>
            <w:shd w:val="clear" w:color="auto" w:fill="C6EFCE"/>
            <w:vAlign w:val="center"/>
          </w:tcPr>
          <w:p w14:paraId="0848469C" w14:textId="77777777" w:rsidR="0057163C" w:rsidRPr="00170422" w:rsidRDefault="00F37BF9">
            <w:pPr>
              <w:pStyle w:val="P68B1DB1-Normal12"/>
              <w:jc w:val="center"/>
              <w:rPr>
                <w:noProof/>
                <w:lang w:val="de-DE"/>
              </w:rPr>
            </w:pPr>
            <w:r w:rsidRPr="00170422">
              <w:rPr>
                <w:noProof/>
                <w:lang w:val="de-DE"/>
              </w:rPr>
              <w:t>ENTFÄLLT.</w:t>
            </w:r>
          </w:p>
        </w:tc>
        <w:tc>
          <w:tcPr>
            <w:tcW w:w="1134" w:type="dxa"/>
            <w:shd w:val="clear" w:color="auto" w:fill="C6EFCE"/>
            <w:vAlign w:val="center"/>
          </w:tcPr>
          <w:p w14:paraId="57C97662" w14:textId="77777777" w:rsidR="0057163C" w:rsidRPr="00170422" w:rsidRDefault="00F37BF9">
            <w:pPr>
              <w:pStyle w:val="P68B1DB1-Normal12"/>
              <w:jc w:val="center"/>
              <w:rPr>
                <w:noProof/>
                <w:lang w:val="de-DE"/>
              </w:rPr>
            </w:pPr>
            <w:r w:rsidRPr="00170422">
              <w:rPr>
                <w:noProof/>
                <w:lang w:val="de-DE"/>
              </w:rPr>
              <w:t>Prozentuale</w:t>
            </w:r>
          </w:p>
        </w:tc>
        <w:tc>
          <w:tcPr>
            <w:tcW w:w="1417" w:type="dxa"/>
            <w:shd w:val="clear" w:color="auto" w:fill="C6EFCE"/>
            <w:vAlign w:val="center"/>
          </w:tcPr>
          <w:p w14:paraId="66CF71C7" w14:textId="77777777" w:rsidR="0057163C" w:rsidRPr="00170422" w:rsidRDefault="00F37BF9">
            <w:pPr>
              <w:pStyle w:val="P68B1DB1-Normal12"/>
              <w:jc w:val="center"/>
              <w:rPr>
                <w:noProof/>
                <w:lang w:val="de-DE"/>
              </w:rPr>
            </w:pPr>
            <w:r w:rsidRPr="00170422">
              <w:rPr>
                <w:noProof/>
                <w:lang w:val="de-DE"/>
              </w:rPr>
              <w:t>0</w:t>
            </w:r>
          </w:p>
        </w:tc>
        <w:tc>
          <w:tcPr>
            <w:tcW w:w="738" w:type="dxa"/>
            <w:shd w:val="clear" w:color="auto" w:fill="C6EFCE"/>
            <w:vAlign w:val="center"/>
          </w:tcPr>
          <w:p w14:paraId="3F4CD9E0" w14:textId="77777777" w:rsidR="0057163C" w:rsidRPr="00170422" w:rsidRDefault="00F37BF9">
            <w:pPr>
              <w:pStyle w:val="P68B1DB1-Normal12"/>
              <w:jc w:val="center"/>
              <w:rPr>
                <w:noProof/>
                <w:lang w:val="de-DE"/>
              </w:rPr>
            </w:pPr>
            <w:r w:rsidRPr="00170422">
              <w:rPr>
                <w:noProof/>
                <w:lang w:val="de-DE"/>
              </w:rPr>
              <w:t>100</w:t>
            </w:r>
          </w:p>
        </w:tc>
        <w:tc>
          <w:tcPr>
            <w:tcW w:w="850" w:type="dxa"/>
            <w:shd w:val="clear" w:color="auto" w:fill="C6EFCE"/>
            <w:vAlign w:val="center"/>
          </w:tcPr>
          <w:p w14:paraId="024F4683" w14:textId="77777777" w:rsidR="0057163C" w:rsidRPr="00170422" w:rsidRDefault="00F37BF9">
            <w:pPr>
              <w:pStyle w:val="P68B1DB1-Normal12"/>
              <w:jc w:val="center"/>
              <w:rPr>
                <w:noProof/>
                <w:lang w:val="de-DE"/>
              </w:rPr>
            </w:pPr>
            <w:r w:rsidRPr="00170422">
              <w:rPr>
                <w:noProof/>
                <w:lang w:val="de-DE"/>
              </w:rPr>
              <w:t>Q2</w:t>
            </w:r>
          </w:p>
        </w:tc>
        <w:tc>
          <w:tcPr>
            <w:tcW w:w="709" w:type="dxa"/>
            <w:shd w:val="clear" w:color="auto" w:fill="C6EFCE"/>
            <w:vAlign w:val="center"/>
          </w:tcPr>
          <w:p w14:paraId="3650C4CA" w14:textId="77777777" w:rsidR="0057163C" w:rsidRPr="00170422" w:rsidRDefault="00F37BF9">
            <w:pPr>
              <w:pStyle w:val="P68B1DB1-Normal12"/>
              <w:spacing w:before="120" w:after="120"/>
              <w:jc w:val="center"/>
              <w:rPr>
                <w:noProof/>
                <w:lang w:val="de-DE"/>
              </w:rPr>
            </w:pPr>
            <w:r w:rsidRPr="00170422">
              <w:rPr>
                <w:noProof/>
                <w:lang w:val="de-DE"/>
              </w:rPr>
              <w:t>2026</w:t>
            </w:r>
          </w:p>
        </w:tc>
        <w:tc>
          <w:tcPr>
            <w:tcW w:w="3232" w:type="dxa"/>
            <w:shd w:val="clear" w:color="auto" w:fill="C6EFCE"/>
            <w:vAlign w:val="center"/>
          </w:tcPr>
          <w:p w14:paraId="539A51E0" w14:textId="77777777" w:rsidR="0057163C" w:rsidRPr="00170422" w:rsidRDefault="00F37BF9">
            <w:pPr>
              <w:pStyle w:val="P68B1DB1-Normal12"/>
              <w:spacing w:line="240" w:lineRule="auto"/>
              <w:jc w:val="both"/>
              <w:rPr>
                <w:noProof/>
                <w:lang w:val="de-DE"/>
              </w:rPr>
            </w:pPr>
            <w:r w:rsidRPr="00170422">
              <w:rPr>
                <w:noProof/>
                <w:lang w:val="de-DE"/>
              </w:rPr>
              <w:t xml:space="preserve">Finanzierungen oder Investitionen in Höhe von 100 % des Gesamtbetrags der dem Instrument </w:t>
            </w:r>
            <w:r w:rsidRPr="00170422">
              <w:rPr>
                <w:noProof/>
                <w:lang w:val="de-DE"/>
              </w:rPr>
              <w:t>zugewiesenen ARF-Mittel müssen vom InvestEU-Investitionsausschuss genehmigt worden sein.</w:t>
            </w:r>
          </w:p>
        </w:tc>
      </w:tr>
      <w:tr w:rsidR="0057163C" w:rsidRPr="00170422" w14:paraId="703454DD" w14:textId="77777777" w:rsidTr="005508B9">
        <w:trPr>
          <w:trHeight w:val="315"/>
        </w:trPr>
        <w:tc>
          <w:tcPr>
            <w:tcW w:w="1418" w:type="dxa"/>
            <w:shd w:val="clear" w:color="auto" w:fill="C6EFCE"/>
            <w:vAlign w:val="center"/>
          </w:tcPr>
          <w:p w14:paraId="6076FFE4" w14:textId="77777777" w:rsidR="0057163C" w:rsidRPr="00170422" w:rsidRDefault="00F37BF9">
            <w:pPr>
              <w:pStyle w:val="P68B1DB1-Normal11"/>
              <w:spacing w:before="120" w:after="120"/>
              <w:jc w:val="center"/>
              <w:rPr>
                <w:noProof/>
                <w:lang w:val="de-DE"/>
              </w:rPr>
            </w:pPr>
            <w:r w:rsidRPr="00170422">
              <w:rPr>
                <w:noProof/>
                <w:lang w:val="de-DE"/>
              </w:rPr>
              <w:t>M1C2-34</w:t>
            </w:r>
          </w:p>
        </w:tc>
        <w:tc>
          <w:tcPr>
            <w:tcW w:w="1985" w:type="dxa"/>
            <w:shd w:val="clear" w:color="auto" w:fill="C6EFCE"/>
            <w:vAlign w:val="center"/>
          </w:tcPr>
          <w:p w14:paraId="5043BC7F" w14:textId="5AEA94FA" w:rsidR="0057163C" w:rsidRPr="00170422" w:rsidRDefault="00F37BF9">
            <w:pPr>
              <w:pStyle w:val="P68B1DB1-Normal11"/>
              <w:spacing w:before="120" w:after="120"/>
              <w:jc w:val="center"/>
              <w:rPr>
                <w:noProof/>
                <w:lang w:val="de-DE"/>
              </w:rPr>
            </w:pPr>
            <w:r w:rsidRPr="00170422">
              <w:rPr>
                <w:noProof/>
                <w:lang w:val="de-DE"/>
              </w:rPr>
              <w:t>Investition 9: Ausgeweitete Maßnahme: Übergang 4.0</w:t>
            </w:r>
          </w:p>
        </w:tc>
        <w:tc>
          <w:tcPr>
            <w:tcW w:w="1275" w:type="dxa"/>
            <w:shd w:val="clear" w:color="auto" w:fill="C6EFCE"/>
            <w:vAlign w:val="center"/>
          </w:tcPr>
          <w:p w14:paraId="51A338D7" w14:textId="77777777" w:rsidR="0057163C" w:rsidRPr="00170422" w:rsidRDefault="00F37BF9">
            <w:pPr>
              <w:pStyle w:val="P68B1DB1-Normal11"/>
              <w:spacing w:before="120" w:after="120"/>
              <w:jc w:val="center"/>
              <w:rPr>
                <w:rFonts w:cs="Times New Roman"/>
                <w:noProof/>
                <w:szCs w:val="20"/>
                <w:lang w:val="de-DE"/>
              </w:rPr>
            </w:pPr>
            <w:r w:rsidRPr="00170422">
              <w:rPr>
                <w:noProof/>
                <w:lang w:val="de-DE"/>
              </w:rPr>
              <w:t>Ziel</w:t>
            </w:r>
          </w:p>
        </w:tc>
        <w:tc>
          <w:tcPr>
            <w:tcW w:w="1276" w:type="dxa"/>
            <w:shd w:val="clear" w:color="auto" w:fill="C6EFCE"/>
            <w:vAlign w:val="center"/>
          </w:tcPr>
          <w:p w14:paraId="7DC86EBD" w14:textId="77777777" w:rsidR="0057163C" w:rsidRPr="00170422" w:rsidRDefault="00F37BF9">
            <w:pPr>
              <w:pStyle w:val="P68B1DB1-Normal11"/>
              <w:spacing w:before="120" w:after="120"/>
              <w:jc w:val="center"/>
              <w:rPr>
                <w:rFonts w:cs="Times New Roman"/>
                <w:noProof/>
                <w:szCs w:val="20"/>
                <w:lang w:val="de-DE"/>
              </w:rPr>
            </w:pPr>
            <w:r w:rsidRPr="00170422">
              <w:rPr>
                <w:noProof/>
                <w:lang w:val="de-DE"/>
              </w:rPr>
              <w:t xml:space="preserve">Übergangs 4.0 Steuergutschriften für Unternehmen auf der Grundlage von 2021-2026 vorgelegten </w:t>
            </w:r>
            <w:r w:rsidRPr="00170422">
              <w:rPr>
                <w:noProof/>
                <w:lang w:val="de-DE"/>
              </w:rPr>
              <w:t>Dokumenten</w:t>
            </w:r>
          </w:p>
        </w:tc>
        <w:tc>
          <w:tcPr>
            <w:tcW w:w="1276" w:type="dxa"/>
            <w:shd w:val="clear" w:color="auto" w:fill="C6EFCE"/>
            <w:vAlign w:val="center"/>
          </w:tcPr>
          <w:p w14:paraId="0D4D3250" w14:textId="77777777" w:rsidR="0057163C" w:rsidRPr="00170422" w:rsidRDefault="00F37BF9">
            <w:pPr>
              <w:pStyle w:val="P68B1DB1-Normal11"/>
              <w:jc w:val="center"/>
              <w:rPr>
                <w:rFonts w:cs="Times New Roman"/>
                <w:noProof/>
                <w:szCs w:val="20"/>
                <w:lang w:val="de-DE"/>
              </w:rPr>
            </w:pPr>
            <w:r w:rsidRPr="00170422">
              <w:rPr>
                <w:noProof/>
                <w:lang w:val="de-DE"/>
              </w:rPr>
              <w:t>ENTFÄLLT.</w:t>
            </w:r>
          </w:p>
        </w:tc>
        <w:tc>
          <w:tcPr>
            <w:tcW w:w="1134" w:type="dxa"/>
            <w:shd w:val="clear" w:color="auto" w:fill="C6EFCE"/>
            <w:vAlign w:val="center"/>
          </w:tcPr>
          <w:p w14:paraId="658FDF08" w14:textId="77777777" w:rsidR="0057163C" w:rsidRPr="00170422" w:rsidRDefault="00F37BF9">
            <w:pPr>
              <w:pStyle w:val="P68B1DB1-Normal11"/>
              <w:jc w:val="center"/>
              <w:rPr>
                <w:rFonts w:cs="Times New Roman"/>
                <w:noProof/>
                <w:szCs w:val="20"/>
                <w:lang w:val="de-DE"/>
              </w:rPr>
            </w:pPr>
            <w:r w:rsidRPr="00170422">
              <w:rPr>
                <w:noProof/>
                <w:lang w:val="de-DE"/>
              </w:rPr>
              <w:t>Anzahl</w:t>
            </w:r>
          </w:p>
        </w:tc>
        <w:tc>
          <w:tcPr>
            <w:tcW w:w="1417" w:type="dxa"/>
            <w:shd w:val="clear" w:color="auto" w:fill="C6EFCE"/>
            <w:vAlign w:val="center"/>
          </w:tcPr>
          <w:p w14:paraId="5B6C2A0B" w14:textId="77777777" w:rsidR="0057163C" w:rsidRPr="00170422" w:rsidRDefault="00F37BF9">
            <w:pPr>
              <w:pStyle w:val="P68B1DB1-Normal11"/>
              <w:jc w:val="center"/>
              <w:rPr>
                <w:rFonts w:cs="Times New Roman"/>
                <w:noProof/>
                <w:szCs w:val="20"/>
                <w:lang w:val="de-DE"/>
              </w:rPr>
            </w:pPr>
            <w:r w:rsidRPr="00170422">
              <w:rPr>
                <w:noProof/>
                <w:lang w:val="de-DE"/>
              </w:rPr>
              <w:t>0</w:t>
            </w:r>
          </w:p>
        </w:tc>
        <w:tc>
          <w:tcPr>
            <w:tcW w:w="738" w:type="dxa"/>
            <w:shd w:val="clear" w:color="auto" w:fill="C6EFCE"/>
            <w:vAlign w:val="center"/>
          </w:tcPr>
          <w:p w14:paraId="5F95D6AA" w14:textId="2A5D7B7F" w:rsidR="0057163C" w:rsidRPr="00170422" w:rsidRDefault="00F37BF9">
            <w:pPr>
              <w:pStyle w:val="P68B1DB1-Normal11"/>
              <w:jc w:val="center"/>
              <w:rPr>
                <w:rFonts w:cs="Times New Roman"/>
                <w:noProof/>
                <w:szCs w:val="20"/>
                <w:lang w:val="de-DE"/>
              </w:rPr>
            </w:pPr>
            <w:r w:rsidRPr="00170422">
              <w:rPr>
                <w:noProof/>
                <w:lang w:val="de-DE"/>
              </w:rPr>
              <w:t>50 942</w:t>
            </w:r>
          </w:p>
        </w:tc>
        <w:tc>
          <w:tcPr>
            <w:tcW w:w="850" w:type="dxa"/>
            <w:shd w:val="clear" w:color="auto" w:fill="C6EFCE"/>
            <w:vAlign w:val="center"/>
          </w:tcPr>
          <w:p w14:paraId="12591C77" w14:textId="3F81E489" w:rsidR="0057163C" w:rsidRPr="00170422" w:rsidRDefault="00F37BF9">
            <w:pPr>
              <w:pStyle w:val="P68B1DB1-Normal11"/>
              <w:jc w:val="center"/>
              <w:rPr>
                <w:rFonts w:cs="Times New Roman"/>
                <w:noProof/>
                <w:szCs w:val="20"/>
                <w:lang w:val="de-DE"/>
              </w:rPr>
            </w:pPr>
            <w:r w:rsidRPr="00170422">
              <w:rPr>
                <w:noProof/>
                <w:lang w:val="de-DE"/>
              </w:rPr>
              <w:t>Q2</w:t>
            </w:r>
          </w:p>
        </w:tc>
        <w:tc>
          <w:tcPr>
            <w:tcW w:w="709" w:type="dxa"/>
            <w:shd w:val="clear" w:color="auto" w:fill="C6EFCE"/>
            <w:vAlign w:val="center"/>
          </w:tcPr>
          <w:p w14:paraId="7FA5B980" w14:textId="4A6D42A9" w:rsidR="0057163C" w:rsidRPr="00170422" w:rsidRDefault="00F37BF9">
            <w:pPr>
              <w:pStyle w:val="P68B1DB1-Normal11"/>
              <w:spacing w:before="120" w:after="120"/>
              <w:jc w:val="center"/>
              <w:rPr>
                <w:rFonts w:cs="Times New Roman"/>
                <w:noProof/>
                <w:szCs w:val="20"/>
                <w:lang w:val="de-DE"/>
              </w:rPr>
            </w:pPr>
            <w:r w:rsidRPr="00170422">
              <w:rPr>
                <w:noProof/>
                <w:lang w:val="de-DE"/>
              </w:rPr>
              <w:t>2026</w:t>
            </w:r>
          </w:p>
        </w:tc>
        <w:tc>
          <w:tcPr>
            <w:tcW w:w="3232" w:type="dxa"/>
            <w:shd w:val="clear" w:color="auto" w:fill="C6EFCE"/>
            <w:vAlign w:val="center"/>
          </w:tcPr>
          <w:p w14:paraId="13CA4D27" w14:textId="31120B7C" w:rsidR="0057163C" w:rsidRPr="00170422" w:rsidRDefault="00F37BF9">
            <w:pPr>
              <w:pStyle w:val="P68B1DB1-Normal11"/>
              <w:rPr>
                <w:noProof/>
                <w:szCs w:val="20"/>
                <w:lang w:val="de-DE"/>
              </w:rPr>
            </w:pPr>
            <w:r w:rsidRPr="00170422">
              <w:rPr>
                <w:noProof/>
                <w:szCs w:val="20"/>
                <w:lang w:val="de-DE"/>
              </w:rPr>
              <w:t xml:space="preserve">Mindestens 50942 Steuergutschriften für den Übergang 4.0 wurden Unternehmen im Zusammenhang mit 4,0 materiellen Investitionsgütern, 4.0 immateriellen Investitionsgütern, standardmäßigen immateriellen </w:t>
            </w:r>
            <w:r w:rsidRPr="00170422">
              <w:rPr>
                <w:noProof/>
                <w:szCs w:val="20"/>
                <w:lang w:val="de-DE"/>
              </w:rPr>
              <w:t xml:space="preserve">Investitionsgütern, Forschung, Entwicklung und Innovation gewährt. Eine Steuergutschrift gilt mit der Vorlage einer Steuererklärung oder </w:t>
            </w:r>
            <w:r w:rsidRPr="00170422">
              <w:rPr>
                <w:noProof/>
                <w:lang w:val="de-DE"/>
              </w:rPr>
              <w:t>mit der Vorlage der ausgefüllten Formulare für die Jahre 2024 und 2025 bei der Gestore Servizi Energetici (im Folgenden</w:t>
            </w:r>
            <w:r w:rsidRPr="00170422">
              <w:rPr>
                <w:noProof/>
                <w:lang w:val="de-DE"/>
              </w:rPr>
              <w:t xml:space="preserve"> „GSE“) als gewährt</w:t>
            </w:r>
            <w:r w:rsidRPr="00170422">
              <w:rPr>
                <w:noProof/>
                <w:szCs w:val="20"/>
                <w:lang w:val="de-DE"/>
              </w:rPr>
              <w:t xml:space="preserve">. Steuererklärungen sind zwischen dem 1. Januar 2021 und dem 31. Dezember 2024 abzugeben. Für Unternehmen, deren Steuerjahr nicht dem Kalenderjahr entspricht, wird das Ende des betrachteten Zeitraums für die Abgabe der Steuererklärungen </w:t>
            </w:r>
            <w:r w:rsidRPr="00170422">
              <w:rPr>
                <w:noProof/>
                <w:szCs w:val="20"/>
                <w:lang w:val="de-DE"/>
              </w:rPr>
              <w:t>für alle oben genannten Steuergutschriften vom 31. Dezember 2024 bis zum 30. November 2025 verlängert.</w:t>
            </w:r>
          </w:p>
          <w:p w14:paraId="52FE8923" w14:textId="77777777" w:rsidR="0057163C" w:rsidRPr="00170422" w:rsidRDefault="00F37BF9">
            <w:pPr>
              <w:pStyle w:val="P68B1DB1-Normal11"/>
              <w:rPr>
                <w:noProof/>
                <w:szCs w:val="20"/>
                <w:lang w:val="de-DE"/>
              </w:rPr>
            </w:pPr>
            <w:r w:rsidRPr="00170422">
              <w:rPr>
                <w:noProof/>
                <w:lang w:val="de-DE"/>
              </w:rPr>
              <w:t>Die ausgefüllten Formulare sind der GSE bis zum 31. Januar 2026 vorzulegen.</w:t>
            </w:r>
          </w:p>
          <w:p w14:paraId="09DFF7DB" w14:textId="7AB97DFE" w:rsidR="0057163C" w:rsidRPr="00170422" w:rsidRDefault="00F37BF9">
            <w:pPr>
              <w:pStyle w:val="P68B1DB1-Normal12"/>
              <w:spacing w:line="240" w:lineRule="auto"/>
              <w:jc w:val="both"/>
              <w:rPr>
                <w:rFonts w:cs="Times New Roman"/>
                <w:noProof/>
                <w:lang w:val="de-DE"/>
              </w:rPr>
            </w:pPr>
            <w:r w:rsidRPr="00170422">
              <w:rPr>
                <w:noProof/>
                <w:lang w:val="de-DE"/>
              </w:rPr>
              <w:t>Unternehmen, die in den unter den ATECO-Codes 05, 06, 07 und 09 genannten Tät</w:t>
            </w:r>
            <w:r w:rsidRPr="00170422">
              <w:rPr>
                <w:noProof/>
                <w:lang w:val="de-DE"/>
              </w:rPr>
              <w:t>igkeitsbereichen tätig sind, werden für das Ziel nicht berücksichtigt. Darüber hinaus gibt es in Bezug auf Investitionen in materielle Investitionsgüter 4.0 sowie in Entwicklungs- und Innovationstätigkeiten keine Unternehmen, die in den unter ATECO-Codes 3</w:t>
            </w:r>
            <w:r w:rsidRPr="00170422">
              <w:rPr>
                <w:noProof/>
                <w:lang w:val="de-DE"/>
              </w:rPr>
              <w:t>0 genannten Tätigkeitsbereichen tätig sind. 22, 29, 38, 41, 42, 43, 17, 01, 50, 19, 20, 51, 24, 49, 23 und 35 werden für das Ziel berücksichtigt.</w:t>
            </w:r>
          </w:p>
        </w:tc>
      </w:tr>
    </w:tbl>
    <w:p w14:paraId="2942058E" w14:textId="77777777" w:rsidR="0057163C" w:rsidRPr="00170422" w:rsidRDefault="0057163C">
      <w:pPr>
        <w:spacing w:before="120" w:after="120"/>
        <w:jc w:val="both"/>
        <w:rPr>
          <w:b/>
          <w:noProof/>
          <w:lang w:val="de-DE"/>
        </w:rPr>
        <w:sectPr w:rsidR="0057163C" w:rsidRPr="00170422" w:rsidSect="005A558B">
          <w:headerReference w:type="even" r:id="rId54"/>
          <w:headerReference w:type="default" r:id="rId55"/>
          <w:footerReference w:type="even" r:id="rId56"/>
          <w:footerReference w:type="default" r:id="rId57"/>
          <w:headerReference w:type="first" r:id="rId58"/>
          <w:footerReference w:type="first" r:id="rId59"/>
          <w:pgSz w:w="16838" w:h="11906" w:orient="landscape"/>
          <w:pgMar w:top="1440" w:right="1440" w:bottom="1440" w:left="1440" w:header="708" w:footer="708" w:gutter="0"/>
          <w:cols w:space="708"/>
          <w:docGrid w:linePitch="360"/>
        </w:sectPr>
      </w:pPr>
    </w:p>
    <w:p w14:paraId="2F00BD3E" w14:textId="77777777" w:rsidR="0057163C" w:rsidRPr="00170422" w:rsidRDefault="00F37BF9">
      <w:pPr>
        <w:pStyle w:val="P68B1DB1-Heading23"/>
        <w:ind w:left="1080"/>
        <w:rPr>
          <w:noProof/>
          <w:u w:val="single"/>
          <w:lang w:val="de-DE"/>
        </w:rPr>
      </w:pPr>
      <w:r w:rsidRPr="00170422">
        <w:rPr>
          <w:noProof/>
          <w:lang w:val="de-DE"/>
        </w:rPr>
        <w:t xml:space="preserve">C. MISSION 1 KOMPONENTE 3: Tourismus und Kultur 4.0. </w:t>
      </w:r>
    </w:p>
    <w:p w14:paraId="4A68B1F0" w14:textId="77777777" w:rsidR="0057163C" w:rsidRPr="00170422" w:rsidRDefault="00F37BF9">
      <w:pPr>
        <w:pStyle w:val="P68B1DB1-Normal8"/>
        <w:spacing w:before="120" w:after="120"/>
        <w:jc w:val="both"/>
        <w:rPr>
          <w:noProof/>
          <w:lang w:val="de-DE"/>
        </w:rPr>
      </w:pPr>
      <w:r w:rsidRPr="00170422">
        <w:rPr>
          <w:noProof/>
          <w:lang w:val="de-DE"/>
        </w:rPr>
        <w:t>Diese Komponente des italienischen Aufbau- und Resilienzplans konzentriert sich auf die Wiederbelebung zweier stark von der COVID-19-Krise betroffener Sektoren: Kultur und Tourismus. Die Maßnahmen im Zu</w:t>
      </w:r>
      <w:r w:rsidRPr="00170422">
        <w:rPr>
          <w:noProof/>
          <w:lang w:val="de-DE"/>
        </w:rPr>
        <w:t>sammenhang mit dem Kultursektor zielen darauf ab, Kulturstätten sowohl digital als auch physisch zugänglicher, energieeffizienter und sicherer im Hinblick auf Naturkatastrophen zu machen, die Erholung der Kultur- und Kreativbranche zu unterstützen, unter a</w:t>
      </w:r>
      <w:r w:rsidRPr="00170422">
        <w:rPr>
          <w:noProof/>
          <w:lang w:val="de-DE"/>
        </w:rPr>
        <w:t>nderem durch die Förderung der Attraktivität kleiner Kulturstätten und der ländlichen Architektur sowie zur Stärkung des territorialen Zusammenhalts. Es sind drei Maßnahmenpakete vorgesehen: I) Maßnahmen zur Entwicklung des kulturellen Erbes der nächsten G</w:t>
      </w:r>
      <w:r w:rsidRPr="00170422">
        <w:rPr>
          <w:noProof/>
          <w:lang w:val="de-DE"/>
        </w:rPr>
        <w:t>eneration, einschließlich Investitionen für den digitalen Wandel und zur Verbesserung der Energieeffizienz von Kulturstätten, ii) kulturgestützte Regeneration kleiner historischer Stätten, religiöser und ländlicher Stätten; III) Interventionen für die Kult</w:t>
      </w:r>
      <w:r w:rsidRPr="00170422">
        <w:rPr>
          <w:noProof/>
          <w:lang w:val="de-DE"/>
        </w:rPr>
        <w:t>ur- und Kreativwirtschaft 4.0. Maßnahmen im Zusammenhang mit dem Tourismus zielen darauf ab, die Wettbewerbsfähigkeit der Branche zu steigern, unter anderem durch die Verringerung der Fragmentierung des Sektors und die Steigerung der Skaleneffekte, die Ver</w:t>
      </w:r>
      <w:r w:rsidRPr="00170422">
        <w:rPr>
          <w:noProof/>
          <w:lang w:val="de-DE"/>
        </w:rPr>
        <w:t>besserung und Verbesserung der Standards des Gastgewerbes, die Förderung digitaler Innovationen und der Nutzung neuer Technologien durch die Betreiber und die Unterstützung des ökologischen Wandels in der Branche. In diesem Zusammenhang sind Maßnahmen vorg</w:t>
      </w:r>
      <w:r w:rsidRPr="00170422">
        <w:rPr>
          <w:noProof/>
          <w:lang w:val="de-DE"/>
        </w:rPr>
        <w:t xml:space="preserve">esehen, um Unternehmen, einschließlich KMU, die in der Tourismusbranche tätig sind, und Tourismusunternehmen zu unterstützen, unter anderem durch Investitionen in digitale Instrumente. </w:t>
      </w:r>
    </w:p>
    <w:p w14:paraId="2D7F29CB" w14:textId="77777777" w:rsidR="0057163C" w:rsidRPr="00170422" w:rsidRDefault="00F37BF9">
      <w:pPr>
        <w:pStyle w:val="P68B1DB1-Normal8"/>
        <w:spacing w:before="120" w:after="120"/>
        <w:jc w:val="both"/>
        <w:rPr>
          <w:noProof/>
          <w:lang w:val="de-DE"/>
        </w:rPr>
      </w:pPr>
      <w:r w:rsidRPr="00170422">
        <w:rPr>
          <w:noProof/>
          <w:lang w:val="de-DE"/>
        </w:rPr>
        <w:t xml:space="preserve">Die Investitionen und Reformen im Rahmen dieser Komponente tragen zur </w:t>
      </w:r>
      <w:r w:rsidRPr="00170422">
        <w:rPr>
          <w:noProof/>
          <w:lang w:val="de-DE"/>
        </w:rPr>
        <w:t>Umsetzung der an Italien gerichteten länderspezifischen Empfehlungen bei, insbesondere zur Notwendigkeit, „private Investitionen zur Förderung der wirtschaftlichen Erholung zu fördern und die Investitionen auf den ökologischen und digitalen Wandel zu konze</w:t>
      </w:r>
      <w:r w:rsidRPr="00170422">
        <w:rPr>
          <w:noProof/>
          <w:lang w:val="de-DE"/>
        </w:rPr>
        <w:t>ntrieren“ (länderspezifische Empfehlung 3, 2020). Sie unterstützen auch den sozialen und territorialen Zusammenhalt und die Wettbewerbsfähigkeit der italienischen Wirtschaft und fördern gleichzeitig die Digitalisierung und Nachhaltigkeit der Tourismusbranc</w:t>
      </w:r>
      <w:r w:rsidRPr="00170422">
        <w:rPr>
          <w:noProof/>
          <w:lang w:val="de-DE"/>
        </w:rPr>
        <w:t xml:space="preserve">he. </w:t>
      </w:r>
    </w:p>
    <w:p w14:paraId="02730FEA" w14:textId="77777777" w:rsidR="0057163C" w:rsidRPr="00170422" w:rsidRDefault="00F37BF9">
      <w:pPr>
        <w:pStyle w:val="P68B1DB1-Heading341"/>
        <w:ind w:left="850" w:hanging="850"/>
        <w:rPr>
          <w:rFonts w:ascii="Times New Roman" w:eastAsia="Times New Roman" w:hAnsi="Times New Roman" w:cs="Times New Roman"/>
          <w:b/>
          <w:bCs/>
          <w:i/>
          <w:iCs/>
          <w:noProof/>
          <w:u w:val="single"/>
          <w:lang w:val="de-DE"/>
        </w:rPr>
      </w:pPr>
      <w:r w:rsidRPr="00170422">
        <w:rPr>
          <w:rFonts w:ascii="Times New Roman" w:eastAsia="Times New Roman" w:hAnsi="Times New Roman" w:cs="Times New Roman"/>
          <w:b/>
          <w:noProof/>
          <w:u w:val="single"/>
          <w:lang w:val="de-DE"/>
        </w:rPr>
        <w:t xml:space="preserve">C.1. </w:t>
      </w:r>
      <w:r w:rsidRPr="00170422">
        <w:rPr>
          <w:rFonts w:ascii="Times New Roman" w:hAnsi="Times New Roman" w:cs="Times New Roman"/>
          <w:noProof/>
          <w:lang w:val="de-DE"/>
        </w:rPr>
        <w:t xml:space="preserve"> </w:t>
      </w:r>
      <w:r w:rsidRPr="00170422">
        <w:rPr>
          <w:rFonts w:ascii="Times New Roman" w:eastAsia="Times New Roman" w:hAnsi="Times New Roman" w:cs="Times New Roman"/>
          <w:b/>
          <w:noProof/>
          <w:u w:val="single"/>
          <w:lang w:val="de-DE"/>
        </w:rPr>
        <w:t>Beschreibung der Reformen und Investitionen für nicht rückzahlbare finanzielle Unterstützung</w:t>
      </w:r>
    </w:p>
    <w:p w14:paraId="13363C35" w14:textId="77777777" w:rsidR="0057163C" w:rsidRPr="00170422" w:rsidRDefault="00F37BF9">
      <w:pPr>
        <w:pStyle w:val="P68B1DB1-Normal29"/>
        <w:spacing w:before="120" w:after="120"/>
        <w:jc w:val="both"/>
        <w:rPr>
          <w:bCs/>
          <w:noProof/>
          <w:lang w:val="de-DE"/>
        </w:rPr>
      </w:pPr>
      <w:r w:rsidRPr="00170422">
        <w:rPr>
          <w:noProof/>
          <w:lang w:val="de-DE"/>
        </w:rPr>
        <w:t xml:space="preserve">Investition 1.1 Digitale Strategie und Plattformen des Kulturerbes </w:t>
      </w:r>
    </w:p>
    <w:p w14:paraId="22B07993" w14:textId="2C1201FB" w:rsidR="0057163C" w:rsidRPr="00170422" w:rsidRDefault="00F37BF9">
      <w:pPr>
        <w:pStyle w:val="P68B1DB1-Normal8"/>
        <w:spacing w:before="120" w:after="120"/>
        <w:jc w:val="both"/>
        <w:rPr>
          <w:noProof/>
          <w:lang w:val="de-DE"/>
        </w:rPr>
      </w:pPr>
      <w:r w:rsidRPr="00170422">
        <w:rPr>
          <w:noProof/>
          <w:lang w:val="de-DE"/>
        </w:rPr>
        <w:t>Ziel dieser Maßnahme ist es, das italienische Kulturerbe zu digitalisieren und den Z</w:t>
      </w:r>
      <w:r w:rsidRPr="00170422">
        <w:rPr>
          <w:noProof/>
          <w:lang w:val="de-DE"/>
        </w:rPr>
        <w:t>ugang zu kulturellen Ressourcen und digitalen Dienstleistungen zu ermöglichen. Die Maßnahme besteht in der Schaffung einer digitalen Infrastruktur für die Sammlung, Integration und Speicherung digitaler Ressourcen und deren Bereitstellung für die öffentlic</w:t>
      </w:r>
      <w:r w:rsidRPr="00170422">
        <w:rPr>
          <w:noProof/>
          <w:lang w:val="de-DE"/>
        </w:rPr>
        <w:t>he Nutzung über spezielle Plattformen.</w:t>
      </w:r>
    </w:p>
    <w:p w14:paraId="6734CF59" w14:textId="77777777" w:rsidR="0057163C" w:rsidRPr="00170422" w:rsidRDefault="00F37BF9">
      <w:pPr>
        <w:pStyle w:val="P68B1DB1-Normal29"/>
        <w:spacing w:before="120" w:after="120"/>
        <w:jc w:val="both"/>
        <w:rPr>
          <w:bCs/>
          <w:noProof/>
          <w:lang w:val="de-DE"/>
        </w:rPr>
      </w:pPr>
      <w:r w:rsidRPr="00170422">
        <w:rPr>
          <w:noProof/>
          <w:lang w:val="de-DE"/>
        </w:rPr>
        <w:t>Investition 1.2: Beseitigung physischer und kognitiver Barrieren in Museen, Bibliotheken und Archiven, um einen breiteren Zugang zur Kultur und eine breitere Teilhabe daran zu ermöglichen</w:t>
      </w:r>
    </w:p>
    <w:p w14:paraId="70036617" w14:textId="5A85E535" w:rsidR="0057163C" w:rsidRPr="00170422" w:rsidRDefault="00F37BF9">
      <w:pPr>
        <w:pStyle w:val="P68B1DB1-Normal8"/>
        <w:spacing w:before="120" w:after="120"/>
        <w:jc w:val="both"/>
        <w:rPr>
          <w:noProof/>
          <w:lang w:val="de-DE"/>
        </w:rPr>
      </w:pPr>
      <w:r w:rsidRPr="00170422">
        <w:rPr>
          <w:noProof/>
          <w:lang w:val="de-DE"/>
        </w:rPr>
        <w:t xml:space="preserve">Ziel dieser Maßnahme ist es, </w:t>
      </w:r>
      <w:r w:rsidRPr="00170422">
        <w:rPr>
          <w:noProof/>
          <w:lang w:val="de-DE"/>
        </w:rPr>
        <w:t>den physischen und kognitiven Zugang zu einer Reihe italienischer Kultureinrichtungen zu ermöglichen. Die Maßnahme besteht in der Beseitigung architektonischer und kognitiver Barrieren in italienischen Kultureinrichtungen.</w:t>
      </w:r>
    </w:p>
    <w:p w14:paraId="4D707B9D" w14:textId="77777777" w:rsidR="0057163C" w:rsidRPr="00170422" w:rsidRDefault="00F37BF9">
      <w:pPr>
        <w:pStyle w:val="P68B1DB1-Normal8"/>
        <w:rPr>
          <w:b/>
          <w:bCs/>
          <w:noProof/>
          <w:lang w:val="de-DE"/>
        </w:rPr>
      </w:pPr>
      <w:r w:rsidRPr="00170422">
        <w:rPr>
          <w:noProof/>
          <w:lang w:val="de-DE"/>
        </w:rPr>
        <w:br w:type="page"/>
      </w:r>
    </w:p>
    <w:p w14:paraId="6F43083B" w14:textId="77777777" w:rsidR="0057163C" w:rsidRPr="00170422" w:rsidRDefault="00F37BF9">
      <w:pPr>
        <w:pStyle w:val="P68B1DB1-Normal29"/>
        <w:spacing w:before="120" w:after="120"/>
        <w:jc w:val="both"/>
        <w:rPr>
          <w:bCs/>
          <w:noProof/>
          <w:lang w:val="de-DE"/>
        </w:rPr>
      </w:pPr>
      <w:r w:rsidRPr="00170422">
        <w:rPr>
          <w:noProof/>
          <w:lang w:val="de-DE"/>
        </w:rPr>
        <w:t>Investition 1.3: Verbesserung d</w:t>
      </w:r>
      <w:r w:rsidRPr="00170422">
        <w:rPr>
          <w:noProof/>
          <w:lang w:val="de-DE"/>
        </w:rPr>
        <w:t>er Energieeffizienz in Kinos, Theatern und Museen</w:t>
      </w:r>
    </w:p>
    <w:p w14:paraId="799FA33C" w14:textId="5DB71112" w:rsidR="0057163C" w:rsidRPr="00170422" w:rsidRDefault="00F37BF9">
      <w:pPr>
        <w:pStyle w:val="P68B1DB1-Normal8"/>
        <w:spacing w:before="120" w:after="120"/>
        <w:jc w:val="both"/>
        <w:rPr>
          <w:noProof/>
          <w:lang w:val="de-DE"/>
        </w:rPr>
      </w:pPr>
      <w:r w:rsidRPr="00170422">
        <w:rPr>
          <w:noProof/>
          <w:lang w:val="de-DE"/>
        </w:rPr>
        <w:t>Ziel dieser Maßnahme ist die Steigerung der Energieeffizienz von Kultur- und Kreativräumen wie öffentlichen und privaten Museen, Kinos und Theatern. Die Maßnahme umfasst Energieeffizienzmaßnahmen in Kultur-</w:t>
      </w:r>
      <w:r w:rsidRPr="00170422">
        <w:rPr>
          <w:noProof/>
          <w:lang w:val="de-DE"/>
        </w:rPr>
        <w:t xml:space="preserve"> und Kreativräumen.</w:t>
      </w:r>
    </w:p>
    <w:p w14:paraId="7C4632E6" w14:textId="77777777" w:rsidR="0057163C" w:rsidRPr="00170422" w:rsidRDefault="00F37BF9">
      <w:pPr>
        <w:pStyle w:val="P68B1DB1-Normal29"/>
        <w:spacing w:before="120" w:after="120"/>
        <w:jc w:val="both"/>
        <w:rPr>
          <w:noProof/>
          <w:lang w:val="de-DE"/>
        </w:rPr>
      </w:pPr>
      <w:r w:rsidRPr="00170422">
        <w:rPr>
          <w:noProof/>
          <w:lang w:val="de-DE"/>
        </w:rPr>
        <w:t>Reform 3.1: Annahme von Umweltmindestkriterien für kulturelle Veranstaltungen</w:t>
      </w:r>
    </w:p>
    <w:p w14:paraId="2C1B965F" w14:textId="77777777" w:rsidR="0057163C" w:rsidRPr="00170422" w:rsidRDefault="00F37BF9">
      <w:pPr>
        <w:pStyle w:val="P68B1DB1-Normal8"/>
        <w:spacing w:before="120" w:after="120"/>
        <w:jc w:val="both"/>
        <w:rPr>
          <w:noProof/>
          <w:lang w:val="de-DE"/>
        </w:rPr>
      </w:pPr>
      <w:r w:rsidRPr="00170422">
        <w:rPr>
          <w:noProof/>
          <w:lang w:val="de-DE"/>
        </w:rPr>
        <w:t>Ziel der Reform ist es, den ökologischen Fußabdruck kultureller Veranstaltungen (wie Ausstellungen, Festivals, Kulturveranstaltungen und Musikveranstaltungen)</w:t>
      </w:r>
      <w:r w:rsidRPr="00170422">
        <w:rPr>
          <w:noProof/>
          <w:lang w:val="de-DE"/>
        </w:rPr>
        <w:t xml:space="preserve"> zu verbessern, indem soziale und ökologische Kriterien in die Vergabe öffentlicher Aufträge für von der Behörde finanzierte, geförderte oder organisierte kulturelle Veranstaltungen aufgenommen werden.</w:t>
      </w:r>
    </w:p>
    <w:p w14:paraId="396474E2" w14:textId="77777777" w:rsidR="0057163C" w:rsidRPr="00170422" w:rsidRDefault="00F37BF9">
      <w:pPr>
        <w:pStyle w:val="P68B1DB1-Normal42"/>
        <w:spacing w:before="120" w:after="120"/>
        <w:jc w:val="both"/>
        <w:rPr>
          <w:noProof/>
          <w:lang w:val="de-DE"/>
        </w:rPr>
      </w:pPr>
      <w:r w:rsidRPr="00170422">
        <w:rPr>
          <w:noProof/>
          <w:lang w:val="de-DE"/>
        </w:rPr>
        <w:t>Investition 3.3: Aufbau von Kapazitäten für Kulturakte</w:t>
      </w:r>
      <w:r w:rsidRPr="00170422">
        <w:rPr>
          <w:noProof/>
          <w:lang w:val="de-DE"/>
        </w:rPr>
        <w:t xml:space="preserve">ure zur Bewältigung des digitalen und ökologischen Wandels </w:t>
      </w:r>
    </w:p>
    <w:p w14:paraId="5DE4C8AF" w14:textId="77777777" w:rsidR="0057163C" w:rsidRPr="00170422" w:rsidRDefault="00F37BF9">
      <w:pPr>
        <w:pStyle w:val="P68B1DB1-Normal8"/>
        <w:spacing w:before="120" w:after="120"/>
        <w:jc w:val="both"/>
        <w:rPr>
          <w:noProof/>
          <w:lang w:val="de-DE"/>
        </w:rPr>
      </w:pPr>
      <w:r w:rsidRPr="00170422">
        <w:rPr>
          <w:noProof/>
          <w:lang w:val="de-DE"/>
        </w:rPr>
        <w:t xml:space="preserve">Das übergeordnete Ziel der Investition besteht darin, die Erholung des Kultur- und Kreativsektors zu unterstützen. Dabei handelt es sich um zwei Interventionen. </w:t>
      </w:r>
    </w:p>
    <w:p w14:paraId="2CF3BF76" w14:textId="77777777" w:rsidR="0057163C" w:rsidRPr="00170422" w:rsidRDefault="00F37BF9">
      <w:pPr>
        <w:pStyle w:val="P68B1DB1-Normal7"/>
        <w:spacing w:before="120" w:after="120"/>
        <w:jc w:val="both"/>
        <w:rPr>
          <w:rFonts w:eastAsia="Times New Roman"/>
          <w:noProof/>
          <w:lang w:val="de-DE"/>
        </w:rPr>
      </w:pPr>
      <w:r w:rsidRPr="00170422">
        <w:rPr>
          <w:noProof/>
          <w:lang w:val="de-DE"/>
        </w:rPr>
        <w:t xml:space="preserve">Die erste Maßnahme (Unterstützung </w:t>
      </w:r>
      <w:r w:rsidRPr="00170422">
        <w:rPr>
          <w:noProof/>
          <w:lang w:val="de-DE"/>
        </w:rPr>
        <w:t>der Erholung kultureller Aktivitäten durch die Förderung von Innovation und der Nutzung digitaler Technologien entlang der gesamten Wertschöpfungskette) zielt darauf ab, Kultur- und Kreativakteure bei der Umsetzung digitaler Strategien und dem Ausbau ihrer</w:t>
      </w:r>
      <w:r w:rsidRPr="00170422">
        <w:rPr>
          <w:noProof/>
          <w:lang w:val="de-DE"/>
        </w:rPr>
        <w:t xml:space="preserve"> Managementkapazitäten zu unterstützen.</w:t>
      </w:r>
    </w:p>
    <w:p w14:paraId="1E04DC33" w14:textId="77777777" w:rsidR="0057163C" w:rsidRPr="00170422" w:rsidRDefault="00F37BF9">
      <w:pPr>
        <w:pStyle w:val="P68B1DB1-Normal7"/>
        <w:spacing w:before="120" w:after="120"/>
        <w:jc w:val="both"/>
        <w:rPr>
          <w:rFonts w:eastAsia="Times New Roman"/>
          <w:noProof/>
          <w:lang w:val="de-DE"/>
        </w:rPr>
      </w:pPr>
      <w:r w:rsidRPr="00170422">
        <w:rPr>
          <w:noProof/>
          <w:lang w:val="de-DE"/>
        </w:rPr>
        <w:t xml:space="preserve">Die zweite Maßnahme (Förderung eines grünen Ansatzes in der gesamten Kultur- und Kreativwirtschaft) zielt darauf ab, einen ökologisch nachhaltigen Ansatz in der gesamten Kette zu fördern, den ökologischen Fußabdruck </w:t>
      </w:r>
      <w:r w:rsidRPr="00170422">
        <w:rPr>
          <w:noProof/>
          <w:lang w:val="de-DE"/>
        </w:rPr>
        <w:t>zu verringern und innovatives und inklusives Ökodesign, auch im Zusammenhang mit der Kreislaufwirtschaft, zu fördern, um die Öffentlichkeit zu einem verantwortungsbewussteren Umweltverhalten zu bewegen.</w:t>
      </w:r>
    </w:p>
    <w:p w14:paraId="3B804B32" w14:textId="77777777" w:rsidR="0057163C" w:rsidRPr="00170422" w:rsidRDefault="00F37BF9">
      <w:pPr>
        <w:jc w:val="both"/>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Um sicherzustellen, dass die Maßnahme den technischen</w:t>
      </w:r>
      <w:r w:rsidRPr="00170422">
        <w:rPr>
          <w:rFonts w:ascii="Times New Roman" w:eastAsia="Times New Roman" w:hAnsi="Times New Roman" w:cs="Times New Roman"/>
          <w:noProof/>
          <w:lang w:val="de-DE"/>
        </w:rPr>
        <w:t xml:space="preserve"> Leitlinien „Vermeidung erheblicher Beeinträchtigungen“ (2021/C58/01) entspricht, schließen die in den Leistungsbeschreibungen für künftige Aufforderungen zur Einreichung von Projektvorschlägen enthaltenen Förderkriterien die folgende Liste von Tätigkeiten</w:t>
      </w:r>
      <w:r w:rsidRPr="00170422">
        <w:rPr>
          <w:rFonts w:ascii="Times New Roman" w:eastAsia="Times New Roman" w:hAnsi="Times New Roman" w:cs="Times New Roman"/>
          <w:noProof/>
          <w:lang w:val="de-DE"/>
        </w:rPr>
        <w:t xml:space="preserve"> aus: I) Tätigkeiten im Zusammenhang mit fossilen Brennstoffen, einschließlich nachgelagerter Nutzung</w:t>
      </w:r>
      <w:r w:rsidRPr="00170422">
        <w:rPr>
          <w:rStyle w:val="FootnoteReference"/>
          <w:rFonts w:ascii="Times New Roman" w:eastAsia="Times New Roman" w:hAnsi="Times New Roman" w:cs="Times New Roman"/>
          <w:noProof/>
          <w:lang w:val="de-DE"/>
        </w:rPr>
        <w:footnoteReference w:id="14"/>
      </w:r>
      <w:r w:rsidRPr="00170422">
        <w:rPr>
          <w:rFonts w:ascii="Times New Roman" w:eastAsia="Times New Roman" w:hAnsi="Times New Roman" w:cs="Times New Roman"/>
          <w:noProof/>
          <w:lang w:val="de-DE"/>
        </w:rPr>
        <w:t>; II) Tätigkeiten im Rahmen des EU-Emissionshandelssystems (EHS), mit denen prognostizierte Treibhausgasemissionen erreicht werden, die nicht unter den ei</w:t>
      </w:r>
      <w:r w:rsidRPr="00170422">
        <w:rPr>
          <w:rFonts w:ascii="Times New Roman" w:eastAsia="Times New Roman" w:hAnsi="Times New Roman" w:cs="Times New Roman"/>
          <w:noProof/>
          <w:lang w:val="de-DE"/>
        </w:rPr>
        <w:t>nschlägigen Referenzwerten liegen</w:t>
      </w:r>
      <w:r w:rsidRPr="00170422">
        <w:rPr>
          <w:rStyle w:val="FootnoteReference"/>
          <w:rFonts w:ascii="Times New Roman" w:eastAsia="Times New Roman" w:hAnsi="Times New Roman" w:cs="Times New Roman"/>
          <w:noProof/>
          <w:lang w:val="de-DE"/>
        </w:rPr>
        <w:footnoteReference w:id="15"/>
      </w:r>
      <w:r w:rsidRPr="00170422">
        <w:rPr>
          <w:rFonts w:ascii="Times New Roman" w:eastAsia="Times New Roman" w:hAnsi="Times New Roman" w:cs="Times New Roman"/>
          <w:noProof/>
          <w:lang w:val="de-DE"/>
        </w:rPr>
        <w:t>; III) Tätigkeiten im Zusammenhang mit Abfalldeponien, Verbrennungsanlagen</w:t>
      </w:r>
      <w:r w:rsidRPr="00170422">
        <w:rPr>
          <w:rStyle w:val="FootnoteReference"/>
          <w:rFonts w:ascii="Times New Roman" w:eastAsia="Times New Roman" w:hAnsi="Times New Roman" w:cs="Times New Roman"/>
          <w:noProof/>
          <w:lang w:val="de-DE"/>
        </w:rPr>
        <w:footnoteReference w:id="16"/>
      </w:r>
      <w:r w:rsidRPr="00170422">
        <w:rPr>
          <w:rFonts w:ascii="Times New Roman" w:eastAsia="Times New Roman" w:hAnsi="Times New Roman" w:cs="Times New Roman"/>
          <w:noProof/>
          <w:lang w:val="de-DE"/>
        </w:rPr>
        <w:t xml:space="preserve"> und Anlagen zur mechanisch-biologischen Behandlung</w:t>
      </w:r>
      <w:r w:rsidRPr="00170422">
        <w:rPr>
          <w:rStyle w:val="FootnoteReference"/>
          <w:rFonts w:ascii="Times New Roman" w:eastAsia="Times New Roman" w:hAnsi="Times New Roman" w:cs="Times New Roman"/>
          <w:noProof/>
          <w:lang w:val="de-DE"/>
        </w:rPr>
        <w:footnoteReference w:id="17"/>
      </w:r>
      <w:r w:rsidRPr="00170422">
        <w:rPr>
          <w:rFonts w:ascii="Times New Roman" w:eastAsia="Times New Roman" w:hAnsi="Times New Roman" w:cs="Times New Roman"/>
          <w:noProof/>
          <w:lang w:val="de-DE"/>
        </w:rPr>
        <w:t>; und iv) Tätigkeiten, bei denen die langfristige Beseitigung von Abfällen der Umwelt schaden k</w:t>
      </w:r>
      <w:r w:rsidRPr="00170422">
        <w:rPr>
          <w:rFonts w:ascii="Times New Roman" w:eastAsia="Times New Roman" w:hAnsi="Times New Roman" w:cs="Times New Roman"/>
          <w:noProof/>
          <w:lang w:val="de-DE"/>
        </w:rPr>
        <w:t>ann. In der Leistungsbeschreibung wird darüber hinaus vorgeschrieben, dass nur Tätigkeiten ausgewählt werden dürfen, die mit den einschlägigen Umweltvorschriften der EU und der Mitgliedstaaten im Einklang stehen.</w:t>
      </w:r>
    </w:p>
    <w:p w14:paraId="43D19F9F" w14:textId="0388A4CF" w:rsidR="0057163C" w:rsidRPr="00170422" w:rsidRDefault="00F37BF9">
      <w:pPr>
        <w:pStyle w:val="P68B1DB1-Normal29"/>
        <w:rPr>
          <w:i/>
          <w:noProof/>
          <w:lang w:val="de-DE"/>
        </w:rPr>
      </w:pPr>
      <w:bookmarkStart w:id="11" w:name="_Hlk160472807"/>
      <w:r w:rsidRPr="00170422">
        <w:rPr>
          <w:noProof/>
          <w:lang w:val="de-DE"/>
        </w:rPr>
        <w:t>Investition 4.1: Digitale Tourismus-Hub</w:t>
      </w:r>
    </w:p>
    <w:bookmarkEnd w:id="11"/>
    <w:p w14:paraId="5BE56429" w14:textId="22F2A0D8" w:rsidR="0057163C" w:rsidRPr="00170422" w:rsidRDefault="00F37BF9">
      <w:pPr>
        <w:pStyle w:val="P68B1DB1-Normal8"/>
        <w:spacing w:before="120" w:after="120"/>
        <w:jc w:val="both"/>
        <w:rPr>
          <w:rStyle w:val="eop"/>
          <w:rFonts w:eastAsiaTheme="majorEastAsia"/>
          <w:noProof/>
          <w:snapToGrid w:val="0"/>
          <w:color w:val="000000"/>
          <w:sz w:val="0"/>
          <w:szCs w:val="0"/>
          <w:u w:color="000000"/>
          <w:bdr w:val="none" w:sz="0" w:space="0" w:color="000000"/>
          <w:shd w:val="clear" w:color="000000" w:fill="000000"/>
          <w:lang w:val="de-DE"/>
        </w:rPr>
      </w:pPr>
      <w:r w:rsidRPr="00170422">
        <w:rPr>
          <w:noProof/>
          <w:lang w:val="de-DE"/>
        </w:rPr>
        <w:t>Ziel dieser Maßnahme ist es, das gesamte Tourismusökosystem in die Lage zu versetzen, sein eigenes Angebot zu erweitern, zu integrieren und zu verbreiten. Die Maßnahme besteht in der Einrichtung eines digitalen Tourismus-Hubs, das über eine spezielle Inter</w:t>
      </w:r>
      <w:r w:rsidRPr="00170422">
        <w:rPr>
          <w:noProof/>
          <w:lang w:val="de-DE"/>
        </w:rPr>
        <w:t>netplattform zugänglich ist.</w:t>
      </w:r>
    </w:p>
    <w:p w14:paraId="0A406B17" w14:textId="77777777" w:rsidR="0057163C" w:rsidRPr="00170422" w:rsidRDefault="00F37BF9">
      <w:pPr>
        <w:pStyle w:val="P68B1DB1-Normal42"/>
        <w:jc w:val="both"/>
        <w:rPr>
          <w:noProof/>
          <w:lang w:val="de-DE"/>
        </w:rPr>
      </w:pPr>
      <w:r w:rsidRPr="00170422">
        <w:rPr>
          <w:noProof/>
          <w:lang w:val="de-DE"/>
        </w:rPr>
        <w:t>Reform 4.1: Reglementierung der Berufe des Fremdenführers</w:t>
      </w:r>
    </w:p>
    <w:p w14:paraId="6458FDF0" w14:textId="77777777" w:rsidR="0057163C" w:rsidRPr="00170422" w:rsidRDefault="00F37BF9">
      <w:pPr>
        <w:spacing w:before="120" w:after="120"/>
        <w:jc w:val="both"/>
        <w:rPr>
          <w:rFonts w:eastAsiaTheme="majorEastAsia" w:cstheme="majorBidi"/>
          <w:b/>
          <w:noProof/>
          <w:color w:val="0F4761" w:themeColor="accent1" w:themeShade="BF"/>
          <w:sz w:val="28"/>
          <w:szCs w:val="28"/>
          <w:u w:val="single"/>
          <w:lang w:val="de-DE"/>
        </w:rPr>
      </w:pPr>
      <w:r w:rsidRPr="00170422">
        <w:rPr>
          <w:rFonts w:ascii="Times New Roman" w:eastAsia="Times New Roman" w:hAnsi="Times New Roman" w:cs="Times New Roman"/>
          <w:noProof/>
          <w:lang w:val="de-DE"/>
        </w:rPr>
        <w:t>Die Investition in das digitale Tourismuszentrum wird durch eine Reform zur Straffung der Vorschriften für Fremdenführer ergänzt. Die Maßnahme sieht unter gebührender Be</w:t>
      </w:r>
      <w:r w:rsidRPr="00170422">
        <w:rPr>
          <w:rFonts w:ascii="Times New Roman" w:eastAsia="Times New Roman" w:hAnsi="Times New Roman" w:cs="Times New Roman"/>
          <w:noProof/>
          <w:lang w:val="de-DE"/>
        </w:rPr>
        <w:t>rücksichtigung der lokalen Rechtsvorschriften eine Berufsorganisation für Fremdenführer und deren Herkunftsgebiet vor. Die systematische und einheitliche Anwendung der Reform würde es ermöglichen, die Grundprinzipien des Berufs zu regulieren und das Niveau</w:t>
      </w:r>
      <w:r w:rsidRPr="00170422">
        <w:rPr>
          <w:rFonts w:ascii="Times New Roman" w:eastAsia="Times New Roman" w:hAnsi="Times New Roman" w:cs="Times New Roman"/>
          <w:noProof/>
          <w:lang w:val="de-DE"/>
        </w:rPr>
        <w:t xml:space="preserve"> der Dienstleistungserbringung im gesamten Staatsgebiet zu vereinheitlichen, was sich positiv auf den Markt auswirken würde. Die</w:t>
      </w:r>
      <w:r w:rsidRPr="00170422">
        <w:rPr>
          <w:noProof/>
          <w:lang w:val="de-DE"/>
        </w:rPr>
        <w:t xml:space="preserve"> </w:t>
      </w:r>
      <w:r w:rsidRPr="00170422">
        <w:rPr>
          <w:rFonts w:ascii="Times New Roman" w:eastAsia="Times New Roman" w:hAnsi="Times New Roman" w:cs="Times New Roman"/>
          <w:noProof/>
          <w:lang w:val="de-DE"/>
        </w:rPr>
        <w:t>Reform umfasst Aus- und Weiterbildungsmaßnahmen, um das Angebot bestmöglich zu unterstützen.</w:t>
      </w:r>
    </w:p>
    <w:p w14:paraId="4512BCF3" w14:textId="77777777" w:rsidR="0057163C" w:rsidRPr="00170422" w:rsidRDefault="0057163C">
      <w:pPr>
        <w:pStyle w:val="Heading3"/>
        <w:ind w:left="850" w:hanging="850"/>
        <w:rPr>
          <w:b/>
          <w:noProof/>
          <w:u w:val="single"/>
          <w:lang w:val="de-DE"/>
        </w:rPr>
        <w:sectPr w:rsidR="0057163C" w:rsidRPr="00170422" w:rsidSect="005F11B9">
          <w:headerReference w:type="default" r:id="rId60"/>
          <w:footerReference w:type="default" r:id="rId61"/>
          <w:pgSz w:w="11906" w:h="16838"/>
          <w:pgMar w:top="1440" w:right="1440" w:bottom="1440" w:left="1440" w:header="708" w:footer="708" w:gutter="0"/>
          <w:cols w:space="708"/>
          <w:docGrid w:linePitch="360"/>
        </w:sectPr>
      </w:pPr>
    </w:p>
    <w:p w14:paraId="7AE78B2B"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C.2. </w:t>
      </w:r>
      <w:r w:rsidRPr="00170422">
        <w:rPr>
          <w:noProof/>
          <w:lang w:val="de-DE"/>
        </w:rPr>
        <w:t xml:space="preserve"> </w:t>
      </w:r>
      <w:r w:rsidRPr="00170422">
        <w:rPr>
          <w:b/>
          <w:noProof/>
          <w:u w:val="single"/>
          <w:lang w:val="de-DE"/>
        </w:rPr>
        <w:t>Etappenziele, Zielwerte, Indikatoren und Zeitplan für die Überwachung und Durchführung der nicht rückzahlbaren finanziellen Unterstützung</w:t>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1705"/>
        <w:gridCol w:w="1277"/>
        <w:gridCol w:w="1277"/>
        <w:gridCol w:w="1415"/>
        <w:gridCol w:w="1135"/>
        <w:gridCol w:w="1418"/>
        <w:gridCol w:w="1132"/>
        <w:gridCol w:w="851"/>
        <w:gridCol w:w="851"/>
        <w:gridCol w:w="3228"/>
      </w:tblGrid>
      <w:tr w:rsidR="0057163C" w:rsidRPr="00170422" w14:paraId="7D4E2920" w14:textId="77777777" w:rsidTr="00744AB7">
        <w:trPr>
          <w:trHeight w:val="1013"/>
          <w:tblHeader/>
          <w:jc w:val="center"/>
        </w:trPr>
        <w:tc>
          <w:tcPr>
            <w:tcW w:w="366" w:type="pct"/>
            <w:vMerge w:val="restart"/>
            <w:shd w:val="clear" w:color="auto" w:fill="BDD7EE"/>
            <w:vAlign w:val="center"/>
          </w:tcPr>
          <w:p w14:paraId="1FD2E91C" w14:textId="77777777" w:rsidR="0057163C" w:rsidRPr="00170422" w:rsidRDefault="00F37BF9">
            <w:pPr>
              <w:pStyle w:val="P68B1DB1-Normal10"/>
              <w:spacing w:after="200" w:line="276" w:lineRule="auto"/>
              <w:rPr>
                <w:bCs/>
                <w:noProof/>
                <w:szCs w:val="20"/>
                <w:lang w:val="de-DE"/>
              </w:rPr>
            </w:pPr>
            <w:r w:rsidRPr="00170422">
              <w:rPr>
                <w:noProof/>
                <w:lang w:val="de-DE"/>
              </w:rPr>
              <w:t>Laufende Nummer</w:t>
            </w:r>
          </w:p>
        </w:tc>
        <w:tc>
          <w:tcPr>
            <w:tcW w:w="553" w:type="pct"/>
            <w:vMerge w:val="restart"/>
            <w:shd w:val="clear" w:color="auto" w:fill="BDD7EE"/>
            <w:vAlign w:val="center"/>
          </w:tcPr>
          <w:p w14:paraId="79458DA4" w14:textId="06DDA849" w:rsidR="0057163C" w:rsidRPr="00170422" w:rsidRDefault="00F27D70">
            <w:pPr>
              <w:pStyle w:val="P68B1DB1-Normal10"/>
              <w:jc w:val="center"/>
              <w:rPr>
                <w:noProof/>
                <w:szCs w:val="20"/>
                <w:lang w:val="de-DE"/>
              </w:rPr>
            </w:pPr>
            <w:r w:rsidRPr="00170422">
              <w:rPr>
                <w:noProof/>
                <w:lang w:val="de-DE"/>
              </w:rPr>
              <w:t>Maßnahme</w:t>
            </w:r>
          </w:p>
        </w:tc>
        <w:tc>
          <w:tcPr>
            <w:tcW w:w="414" w:type="pct"/>
            <w:vMerge w:val="restart"/>
            <w:shd w:val="clear" w:color="auto" w:fill="BDD7EE"/>
            <w:vAlign w:val="center"/>
          </w:tcPr>
          <w:p w14:paraId="7C57CECD" w14:textId="15226C9B" w:rsidR="0057163C" w:rsidRPr="00170422" w:rsidRDefault="00F37BF9">
            <w:pPr>
              <w:pStyle w:val="P68B1DB1-Normal10"/>
              <w:jc w:val="center"/>
              <w:rPr>
                <w:noProof/>
                <w:szCs w:val="20"/>
                <w:lang w:val="de-DE"/>
              </w:rPr>
            </w:pPr>
            <w:r w:rsidRPr="00170422">
              <w:rPr>
                <w:noProof/>
                <w:lang w:val="de-DE"/>
              </w:rPr>
              <w:t>Etappenziel/</w:t>
            </w:r>
            <w:r w:rsidR="00744AB7" w:rsidRPr="00170422">
              <w:rPr>
                <w:noProof/>
                <w:lang w:val="de-DE"/>
              </w:rPr>
              <w:br/>
            </w:r>
            <w:r w:rsidRPr="00170422">
              <w:rPr>
                <w:noProof/>
                <w:lang w:val="de-DE"/>
              </w:rPr>
              <w:t>Zielwert</w:t>
            </w:r>
          </w:p>
        </w:tc>
        <w:tc>
          <w:tcPr>
            <w:tcW w:w="414" w:type="pct"/>
            <w:vMerge w:val="restart"/>
            <w:shd w:val="clear" w:color="auto" w:fill="BDD7EE"/>
            <w:vAlign w:val="center"/>
          </w:tcPr>
          <w:p w14:paraId="4FA582FC" w14:textId="77777777" w:rsidR="0057163C" w:rsidRPr="00170422" w:rsidRDefault="00F37BF9">
            <w:pPr>
              <w:pStyle w:val="P68B1DB1-Normal10"/>
              <w:jc w:val="center"/>
              <w:rPr>
                <w:noProof/>
                <w:szCs w:val="20"/>
                <w:lang w:val="de-DE"/>
              </w:rPr>
            </w:pPr>
            <w:r w:rsidRPr="00170422">
              <w:rPr>
                <w:noProof/>
                <w:lang w:val="de-DE"/>
              </w:rPr>
              <w:t>Namen</w:t>
            </w:r>
          </w:p>
        </w:tc>
        <w:tc>
          <w:tcPr>
            <w:tcW w:w="459" w:type="pct"/>
            <w:vMerge w:val="restart"/>
            <w:shd w:val="clear" w:color="auto" w:fill="BDD7EE"/>
            <w:vAlign w:val="center"/>
          </w:tcPr>
          <w:p w14:paraId="1B9EE8C6" w14:textId="320DFC03"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744AB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t xml:space="preserve"> </w:t>
            </w:r>
            <w:r w:rsidRPr="00170422">
              <w:rPr>
                <w:noProof/>
                <w:lang w:val="de-DE"/>
              </w:rPr>
              <w:br/>
            </w:r>
            <w:r w:rsidRPr="00170422">
              <w:rPr>
                <w:rFonts w:ascii="Arial Narrow" w:hAnsi="Arial Narrow"/>
                <w:b/>
                <w:noProof/>
                <w:sz w:val="20"/>
                <w:lang w:val="de-DE"/>
              </w:rPr>
              <w:t>(für Etappenziele)</w:t>
            </w:r>
          </w:p>
        </w:tc>
        <w:tc>
          <w:tcPr>
            <w:tcW w:w="1195" w:type="pct"/>
            <w:gridSpan w:val="3"/>
            <w:shd w:val="clear" w:color="auto" w:fill="BDD7EE"/>
            <w:vAlign w:val="center"/>
          </w:tcPr>
          <w:p w14:paraId="3A54A4A2" w14:textId="0D955196"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t xml:space="preserve"> </w:t>
            </w:r>
            <w:r w:rsidRPr="00170422">
              <w:rPr>
                <w:noProof/>
                <w:lang w:val="de-DE"/>
              </w:rPr>
              <w:br/>
            </w:r>
            <w:r w:rsidRPr="00170422">
              <w:rPr>
                <w:rFonts w:ascii="Arial Narrow" w:hAnsi="Arial Narrow"/>
                <w:b/>
                <w:noProof/>
                <w:sz w:val="20"/>
                <w:lang w:val="de-DE"/>
              </w:rPr>
              <w:t>(für Ziele)</w:t>
            </w:r>
          </w:p>
        </w:tc>
        <w:tc>
          <w:tcPr>
            <w:tcW w:w="552" w:type="pct"/>
            <w:gridSpan w:val="2"/>
            <w:shd w:val="clear" w:color="auto" w:fill="BDD7EE"/>
            <w:vAlign w:val="center"/>
          </w:tcPr>
          <w:p w14:paraId="5C3CB73D"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1047" w:type="pct"/>
            <w:vMerge w:val="restart"/>
            <w:shd w:val="clear" w:color="auto" w:fill="BDD7EE"/>
            <w:vAlign w:val="center"/>
          </w:tcPr>
          <w:p w14:paraId="204E7794" w14:textId="77777777" w:rsidR="0057163C" w:rsidRPr="00170422" w:rsidRDefault="00F37BF9">
            <w:pPr>
              <w:pStyle w:val="P68B1DB1-Normal10"/>
              <w:rPr>
                <w:noProof/>
                <w:szCs w:val="20"/>
                <w:lang w:val="de-DE"/>
              </w:rPr>
            </w:pPr>
            <w:r w:rsidRPr="00170422">
              <w:rPr>
                <w:noProof/>
                <w:lang w:val="de-DE"/>
              </w:rPr>
              <w:t>Beschreibung der einzelnen Etappenziele und Zielvorgaben</w:t>
            </w:r>
          </w:p>
        </w:tc>
      </w:tr>
      <w:tr w:rsidR="0057163C" w:rsidRPr="00170422" w14:paraId="46AD13C3" w14:textId="77777777" w:rsidTr="00744AB7">
        <w:trPr>
          <w:trHeight w:val="363"/>
          <w:tblHeader/>
          <w:jc w:val="center"/>
        </w:trPr>
        <w:tc>
          <w:tcPr>
            <w:tcW w:w="366" w:type="pct"/>
            <w:vMerge/>
            <w:vAlign w:val="center"/>
            <w:hideMark/>
          </w:tcPr>
          <w:p w14:paraId="3A8CB1F4" w14:textId="77777777" w:rsidR="0057163C" w:rsidRPr="00170422" w:rsidRDefault="0057163C">
            <w:pPr>
              <w:spacing w:after="200" w:line="276" w:lineRule="auto"/>
              <w:rPr>
                <w:rFonts w:ascii="Arial Narrow" w:hAnsi="Arial Narrow"/>
                <w:b/>
                <w:noProof/>
                <w:sz w:val="20"/>
                <w:szCs w:val="20"/>
                <w:lang w:val="de-DE"/>
              </w:rPr>
            </w:pPr>
          </w:p>
        </w:tc>
        <w:tc>
          <w:tcPr>
            <w:tcW w:w="553" w:type="pct"/>
            <w:vMerge/>
            <w:vAlign w:val="center"/>
            <w:hideMark/>
          </w:tcPr>
          <w:p w14:paraId="4293A4E6" w14:textId="77777777" w:rsidR="0057163C" w:rsidRPr="00170422" w:rsidRDefault="0057163C">
            <w:pPr>
              <w:jc w:val="center"/>
              <w:rPr>
                <w:rFonts w:ascii="Arial Narrow" w:hAnsi="Arial Narrow"/>
                <w:b/>
                <w:noProof/>
                <w:sz w:val="20"/>
                <w:szCs w:val="20"/>
                <w:lang w:val="de-DE"/>
              </w:rPr>
            </w:pPr>
          </w:p>
        </w:tc>
        <w:tc>
          <w:tcPr>
            <w:tcW w:w="414" w:type="pct"/>
            <w:vMerge/>
            <w:vAlign w:val="center"/>
            <w:hideMark/>
          </w:tcPr>
          <w:p w14:paraId="3529DB6E" w14:textId="77777777" w:rsidR="0057163C" w:rsidRPr="00170422" w:rsidRDefault="0057163C">
            <w:pPr>
              <w:jc w:val="center"/>
              <w:rPr>
                <w:rFonts w:ascii="Arial Narrow" w:hAnsi="Arial Narrow"/>
                <w:b/>
                <w:noProof/>
                <w:sz w:val="20"/>
                <w:szCs w:val="20"/>
                <w:lang w:val="de-DE"/>
              </w:rPr>
            </w:pPr>
          </w:p>
        </w:tc>
        <w:tc>
          <w:tcPr>
            <w:tcW w:w="414" w:type="pct"/>
            <w:vMerge/>
            <w:vAlign w:val="center"/>
            <w:hideMark/>
          </w:tcPr>
          <w:p w14:paraId="21D3D691" w14:textId="77777777" w:rsidR="0057163C" w:rsidRPr="00170422" w:rsidRDefault="0057163C">
            <w:pPr>
              <w:jc w:val="center"/>
              <w:rPr>
                <w:rFonts w:ascii="Arial Narrow" w:hAnsi="Arial Narrow"/>
                <w:b/>
                <w:noProof/>
                <w:sz w:val="20"/>
                <w:szCs w:val="20"/>
                <w:lang w:val="de-DE"/>
              </w:rPr>
            </w:pPr>
          </w:p>
        </w:tc>
        <w:tc>
          <w:tcPr>
            <w:tcW w:w="459" w:type="pct"/>
            <w:vMerge/>
            <w:vAlign w:val="center"/>
            <w:hideMark/>
          </w:tcPr>
          <w:p w14:paraId="56DB36B7" w14:textId="77777777" w:rsidR="0057163C" w:rsidRPr="00170422" w:rsidRDefault="0057163C">
            <w:pPr>
              <w:jc w:val="center"/>
              <w:rPr>
                <w:rFonts w:ascii="Arial Narrow" w:hAnsi="Arial Narrow"/>
                <w:b/>
                <w:noProof/>
                <w:sz w:val="20"/>
                <w:szCs w:val="20"/>
                <w:lang w:val="de-DE"/>
              </w:rPr>
            </w:pPr>
          </w:p>
        </w:tc>
        <w:tc>
          <w:tcPr>
            <w:tcW w:w="368" w:type="pct"/>
            <w:shd w:val="clear" w:color="auto" w:fill="BDD7EE"/>
            <w:vAlign w:val="center"/>
            <w:hideMark/>
          </w:tcPr>
          <w:p w14:paraId="32CEF39B" w14:textId="77777777" w:rsidR="0057163C" w:rsidRPr="00170422" w:rsidRDefault="00F37BF9">
            <w:pPr>
              <w:pStyle w:val="P68B1DB1-Normal10"/>
              <w:jc w:val="center"/>
              <w:rPr>
                <w:noProof/>
                <w:szCs w:val="20"/>
                <w:lang w:val="de-DE"/>
              </w:rPr>
            </w:pPr>
            <w:r w:rsidRPr="00170422">
              <w:rPr>
                <w:noProof/>
                <w:lang w:val="de-DE"/>
              </w:rPr>
              <w:t>Maßeinheit</w:t>
            </w:r>
          </w:p>
        </w:tc>
        <w:tc>
          <w:tcPr>
            <w:tcW w:w="460" w:type="pct"/>
            <w:shd w:val="clear" w:color="auto" w:fill="BDD7EE"/>
            <w:vAlign w:val="center"/>
            <w:hideMark/>
          </w:tcPr>
          <w:p w14:paraId="48645514" w14:textId="77777777" w:rsidR="0057163C" w:rsidRPr="00170422" w:rsidRDefault="00F37BF9">
            <w:pPr>
              <w:pStyle w:val="P68B1DB1-Normal10"/>
              <w:jc w:val="center"/>
              <w:rPr>
                <w:noProof/>
                <w:szCs w:val="20"/>
                <w:lang w:val="de-DE"/>
              </w:rPr>
            </w:pPr>
            <w:r w:rsidRPr="00170422">
              <w:rPr>
                <w:noProof/>
                <w:lang w:val="de-DE"/>
              </w:rPr>
              <w:t>Ausgangslage</w:t>
            </w:r>
          </w:p>
        </w:tc>
        <w:tc>
          <w:tcPr>
            <w:tcW w:w="367" w:type="pct"/>
            <w:shd w:val="clear" w:color="auto" w:fill="BDD7EE"/>
            <w:vAlign w:val="center"/>
            <w:hideMark/>
          </w:tcPr>
          <w:p w14:paraId="4C20BCF4" w14:textId="77777777" w:rsidR="0057163C" w:rsidRPr="00170422" w:rsidRDefault="00F37BF9">
            <w:pPr>
              <w:pStyle w:val="P68B1DB1-Normal10"/>
              <w:jc w:val="center"/>
              <w:rPr>
                <w:noProof/>
                <w:szCs w:val="20"/>
                <w:lang w:val="de-DE"/>
              </w:rPr>
            </w:pPr>
            <w:r w:rsidRPr="00170422">
              <w:rPr>
                <w:noProof/>
                <w:lang w:val="de-DE"/>
              </w:rPr>
              <w:t>Ziel</w:t>
            </w:r>
          </w:p>
        </w:tc>
        <w:tc>
          <w:tcPr>
            <w:tcW w:w="276" w:type="pct"/>
            <w:shd w:val="clear" w:color="auto" w:fill="BDD7EE"/>
            <w:vAlign w:val="center"/>
            <w:hideMark/>
          </w:tcPr>
          <w:p w14:paraId="1EFDAA92" w14:textId="77777777" w:rsidR="0057163C" w:rsidRPr="00170422" w:rsidRDefault="00F37BF9">
            <w:pPr>
              <w:pStyle w:val="P68B1DB1-Normal10"/>
              <w:jc w:val="center"/>
              <w:rPr>
                <w:noProof/>
                <w:szCs w:val="20"/>
                <w:lang w:val="de-DE"/>
              </w:rPr>
            </w:pPr>
            <w:r w:rsidRPr="00170422">
              <w:rPr>
                <w:noProof/>
                <w:lang w:val="de-DE"/>
              </w:rPr>
              <w:t>Viertel</w:t>
            </w:r>
          </w:p>
        </w:tc>
        <w:tc>
          <w:tcPr>
            <w:tcW w:w="276" w:type="pct"/>
            <w:shd w:val="clear" w:color="auto" w:fill="BDD7EE"/>
            <w:vAlign w:val="center"/>
            <w:hideMark/>
          </w:tcPr>
          <w:p w14:paraId="048552EC" w14:textId="77777777" w:rsidR="0057163C" w:rsidRPr="00170422" w:rsidRDefault="00F37BF9">
            <w:pPr>
              <w:pStyle w:val="P68B1DB1-Normal10"/>
              <w:jc w:val="center"/>
              <w:rPr>
                <w:noProof/>
                <w:szCs w:val="20"/>
                <w:lang w:val="de-DE"/>
              </w:rPr>
            </w:pPr>
            <w:r w:rsidRPr="00170422">
              <w:rPr>
                <w:noProof/>
                <w:lang w:val="de-DE"/>
              </w:rPr>
              <w:t>Jahre</w:t>
            </w:r>
          </w:p>
        </w:tc>
        <w:tc>
          <w:tcPr>
            <w:tcW w:w="1047" w:type="pct"/>
            <w:vMerge/>
            <w:vAlign w:val="center"/>
            <w:hideMark/>
          </w:tcPr>
          <w:p w14:paraId="09CADDD6" w14:textId="77777777" w:rsidR="0057163C" w:rsidRPr="00170422" w:rsidRDefault="0057163C">
            <w:pPr>
              <w:rPr>
                <w:rFonts w:ascii="Arial Narrow" w:hAnsi="Arial Narrow"/>
                <w:b/>
                <w:noProof/>
                <w:sz w:val="20"/>
                <w:szCs w:val="20"/>
                <w:lang w:val="de-DE"/>
              </w:rPr>
            </w:pPr>
          </w:p>
        </w:tc>
      </w:tr>
      <w:tr w:rsidR="0057163C" w:rsidRPr="00170422" w14:paraId="75EFAF18" w14:textId="77777777" w:rsidTr="00744AB7">
        <w:trPr>
          <w:trHeight w:val="309"/>
          <w:jc w:val="center"/>
        </w:trPr>
        <w:tc>
          <w:tcPr>
            <w:tcW w:w="366" w:type="pct"/>
            <w:shd w:val="clear" w:color="auto" w:fill="C6EFCE"/>
            <w:noWrap/>
            <w:vAlign w:val="center"/>
            <w:hideMark/>
          </w:tcPr>
          <w:p w14:paraId="78DC0271" w14:textId="77777777" w:rsidR="0057163C" w:rsidRPr="00170422" w:rsidRDefault="00F37BF9">
            <w:pPr>
              <w:pStyle w:val="P68B1DB1-Normal12"/>
              <w:jc w:val="center"/>
              <w:rPr>
                <w:noProof/>
                <w:lang w:val="de-DE"/>
              </w:rPr>
            </w:pPr>
            <w:r w:rsidRPr="00170422">
              <w:rPr>
                <w:noProof/>
                <w:lang w:val="de-DE"/>
              </w:rPr>
              <w:t>M1C3-2</w:t>
            </w:r>
          </w:p>
        </w:tc>
        <w:tc>
          <w:tcPr>
            <w:tcW w:w="553" w:type="pct"/>
            <w:shd w:val="clear" w:color="auto" w:fill="C6EFCE"/>
            <w:noWrap/>
            <w:vAlign w:val="center"/>
            <w:hideMark/>
          </w:tcPr>
          <w:p w14:paraId="2B56AAC1" w14:textId="77777777" w:rsidR="0057163C" w:rsidRPr="00170422" w:rsidRDefault="00F37BF9">
            <w:pPr>
              <w:pStyle w:val="P68B1DB1-Normal11"/>
              <w:jc w:val="center"/>
              <w:rPr>
                <w:noProof/>
                <w:szCs w:val="20"/>
                <w:lang w:val="de-DE"/>
              </w:rPr>
            </w:pPr>
            <w:r w:rsidRPr="00170422">
              <w:rPr>
                <w:noProof/>
                <w:lang w:val="de-DE"/>
              </w:rPr>
              <w:t>Investitionen – 1.1 Digitale Strategie und Plattformen für das Kulturerbe</w:t>
            </w:r>
          </w:p>
        </w:tc>
        <w:tc>
          <w:tcPr>
            <w:tcW w:w="414" w:type="pct"/>
            <w:shd w:val="clear" w:color="auto" w:fill="C6EFCE"/>
            <w:noWrap/>
            <w:vAlign w:val="center"/>
            <w:hideMark/>
          </w:tcPr>
          <w:p w14:paraId="36E171C6" w14:textId="77777777" w:rsidR="0057163C" w:rsidRPr="00170422" w:rsidRDefault="00F37BF9">
            <w:pPr>
              <w:pStyle w:val="P68B1DB1-Normal11"/>
              <w:jc w:val="center"/>
              <w:rPr>
                <w:noProof/>
                <w:szCs w:val="20"/>
                <w:lang w:val="de-DE"/>
              </w:rPr>
            </w:pPr>
            <w:r w:rsidRPr="00170422">
              <w:rPr>
                <w:noProof/>
                <w:lang w:val="de-DE"/>
              </w:rPr>
              <w:t>Ziel</w:t>
            </w:r>
          </w:p>
        </w:tc>
        <w:tc>
          <w:tcPr>
            <w:tcW w:w="414" w:type="pct"/>
            <w:shd w:val="clear" w:color="auto" w:fill="C6EFCE"/>
            <w:noWrap/>
            <w:vAlign w:val="center"/>
            <w:hideMark/>
          </w:tcPr>
          <w:p w14:paraId="01D69399" w14:textId="0D2A4DD8" w:rsidR="0057163C" w:rsidRPr="00170422" w:rsidRDefault="00F37BF9">
            <w:pPr>
              <w:pStyle w:val="P68B1DB1-Normal11"/>
              <w:jc w:val="center"/>
              <w:rPr>
                <w:noProof/>
                <w:szCs w:val="20"/>
                <w:lang w:val="de-DE"/>
              </w:rPr>
            </w:pPr>
            <w:r w:rsidRPr="00170422">
              <w:rPr>
                <w:noProof/>
                <w:lang w:val="de-DE"/>
              </w:rPr>
              <w:t>Veröffentlichte digitale Ressourcen und Medienressourcen</w:t>
            </w:r>
          </w:p>
        </w:tc>
        <w:tc>
          <w:tcPr>
            <w:tcW w:w="459" w:type="pct"/>
            <w:shd w:val="clear" w:color="auto" w:fill="C6EFCE"/>
            <w:noWrap/>
            <w:vAlign w:val="center"/>
            <w:hideMark/>
          </w:tcPr>
          <w:p w14:paraId="1FE8FFD1"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shd w:val="clear" w:color="auto" w:fill="C6EFCE"/>
            <w:noWrap/>
            <w:vAlign w:val="center"/>
            <w:hideMark/>
          </w:tcPr>
          <w:p w14:paraId="48AAC759" w14:textId="77777777" w:rsidR="0057163C" w:rsidRPr="00170422" w:rsidRDefault="00F37BF9">
            <w:pPr>
              <w:pStyle w:val="P68B1DB1-Normal11"/>
              <w:jc w:val="center"/>
              <w:rPr>
                <w:noProof/>
                <w:szCs w:val="20"/>
                <w:lang w:val="de-DE"/>
              </w:rPr>
            </w:pPr>
            <w:r w:rsidRPr="00170422">
              <w:rPr>
                <w:noProof/>
                <w:lang w:val="de-DE"/>
              </w:rPr>
              <w:t>Anzahl</w:t>
            </w:r>
          </w:p>
        </w:tc>
        <w:tc>
          <w:tcPr>
            <w:tcW w:w="460" w:type="pct"/>
            <w:shd w:val="clear" w:color="auto" w:fill="C6EFCE"/>
            <w:noWrap/>
            <w:vAlign w:val="center"/>
            <w:hideMark/>
          </w:tcPr>
          <w:p w14:paraId="5AAE8AAE" w14:textId="77777777" w:rsidR="0057163C" w:rsidRPr="00170422" w:rsidRDefault="00F37BF9">
            <w:pPr>
              <w:pStyle w:val="P68B1DB1-Normal11"/>
              <w:jc w:val="center"/>
              <w:rPr>
                <w:noProof/>
                <w:szCs w:val="20"/>
                <w:lang w:val="de-DE"/>
              </w:rPr>
            </w:pPr>
            <w:r w:rsidRPr="00170422">
              <w:rPr>
                <w:noProof/>
                <w:lang w:val="de-DE"/>
              </w:rPr>
              <w:t>0</w:t>
            </w:r>
          </w:p>
        </w:tc>
        <w:tc>
          <w:tcPr>
            <w:tcW w:w="367" w:type="pct"/>
            <w:shd w:val="clear" w:color="auto" w:fill="C6EFCE"/>
            <w:noWrap/>
            <w:vAlign w:val="center"/>
            <w:hideMark/>
          </w:tcPr>
          <w:p w14:paraId="750B1DE2" w14:textId="77777777" w:rsidR="0057163C" w:rsidRPr="00170422" w:rsidRDefault="00F37BF9">
            <w:pPr>
              <w:pStyle w:val="P68B1DB1-Normal11"/>
              <w:jc w:val="center"/>
              <w:rPr>
                <w:noProof/>
                <w:szCs w:val="20"/>
                <w:lang w:val="de-DE"/>
              </w:rPr>
            </w:pPr>
            <w:r w:rsidRPr="00170422">
              <w:rPr>
                <w:noProof/>
                <w:lang w:val="de-DE"/>
              </w:rPr>
              <w:t>65 000 000</w:t>
            </w:r>
          </w:p>
        </w:tc>
        <w:tc>
          <w:tcPr>
            <w:tcW w:w="276" w:type="pct"/>
            <w:shd w:val="clear" w:color="auto" w:fill="C6EFCE"/>
            <w:noWrap/>
            <w:vAlign w:val="center"/>
            <w:hideMark/>
          </w:tcPr>
          <w:p w14:paraId="46865DCA" w14:textId="77777777" w:rsidR="0057163C" w:rsidRPr="00170422" w:rsidRDefault="00F37BF9">
            <w:pPr>
              <w:pStyle w:val="P68B1DB1-Normal11"/>
              <w:jc w:val="center"/>
              <w:rPr>
                <w:noProof/>
                <w:szCs w:val="20"/>
                <w:lang w:val="de-DE"/>
              </w:rPr>
            </w:pPr>
            <w:r w:rsidRPr="00170422">
              <w:rPr>
                <w:noProof/>
                <w:lang w:val="de-DE"/>
              </w:rPr>
              <w:t>4. QUARTAL</w:t>
            </w:r>
          </w:p>
        </w:tc>
        <w:tc>
          <w:tcPr>
            <w:tcW w:w="276" w:type="pct"/>
            <w:shd w:val="clear" w:color="auto" w:fill="C6EFCE"/>
            <w:noWrap/>
            <w:vAlign w:val="center"/>
            <w:hideMark/>
          </w:tcPr>
          <w:p w14:paraId="61F0665F" w14:textId="474A164B" w:rsidR="0057163C" w:rsidRPr="00170422" w:rsidRDefault="00F37BF9">
            <w:pPr>
              <w:pStyle w:val="P68B1DB1-Normal11"/>
              <w:jc w:val="center"/>
              <w:rPr>
                <w:noProof/>
                <w:szCs w:val="20"/>
                <w:lang w:val="de-DE"/>
              </w:rPr>
            </w:pPr>
            <w:r w:rsidRPr="00170422">
              <w:rPr>
                <w:noProof/>
                <w:lang w:val="de-DE"/>
              </w:rPr>
              <w:t>2025</w:t>
            </w:r>
          </w:p>
        </w:tc>
        <w:tc>
          <w:tcPr>
            <w:tcW w:w="1047" w:type="pct"/>
            <w:shd w:val="clear" w:color="auto" w:fill="C6EFCE"/>
            <w:noWrap/>
            <w:vAlign w:val="center"/>
            <w:hideMark/>
          </w:tcPr>
          <w:p w14:paraId="5E942F83" w14:textId="54CBFA77" w:rsidR="0057163C" w:rsidRPr="00170422" w:rsidRDefault="00F37BF9">
            <w:pPr>
              <w:pStyle w:val="P68B1DB1-Normal11"/>
              <w:rPr>
                <w:noProof/>
                <w:szCs w:val="20"/>
                <w:lang w:val="de-DE"/>
              </w:rPr>
            </w:pPr>
            <w:r w:rsidRPr="00170422">
              <w:rPr>
                <w:noProof/>
                <w:lang w:val="de-DE"/>
              </w:rPr>
              <w:t>Es werden mindestens 65000000 digitale Medienressourcen veröffentlicht.</w:t>
            </w:r>
          </w:p>
        </w:tc>
      </w:tr>
      <w:tr w:rsidR="0057163C" w:rsidRPr="00170422" w14:paraId="2A98186A" w14:textId="77777777" w:rsidTr="00744AB7">
        <w:trPr>
          <w:trHeight w:val="309"/>
          <w:jc w:val="center"/>
        </w:trPr>
        <w:tc>
          <w:tcPr>
            <w:tcW w:w="366" w:type="pct"/>
            <w:shd w:val="clear" w:color="auto" w:fill="C6EFCE"/>
            <w:noWrap/>
            <w:vAlign w:val="center"/>
            <w:hideMark/>
          </w:tcPr>
          <w:p w14:paraId="071D2B40" w14:textId="77777777" w:rsidR="0057163C" w:rsidRPr="00170422" w:rsidRDefault="00F37BF9">
            <w:pPr>
              <w:pStyle w:val="P68B1DB1-Normal12"/>
              <w:jc w:val="center"/>
              <w:rPr>
                <w:noProof/>
                <w:lang w:val="de-DE"/>
              </w:rPr>
            </w:pPr>
            <w:r w:rsidRPr="00170422">
              <w:rPr>
                <w:noProof/>
                <w:lang w:val="de-DE"/>
              </w:rPr>
              <w:t>M1C3-3</w:t>
            </w:r>
          </w:p>
        </w:tc>
        <w:tc>
          <w:tcPr>
            <w:tcW w:w="553" w:type="pct"/>
            <w:shd w:val="clear" w:color="auto" w:fill="C6EFCE"/>
            <w:noWrap/>
            <w:vAlign w:val="center"/>
            <w:hideMark/>
          </w:tcPr>
          <w:p w14:paraId="0510EFB9" w14:textId="77777777" w:rsidR="0057163C" w:rsidRPr="00170422" w:rsidRDefault="00F37BF9">
            <w:pPr>
              <w:pStyle w:val="P68B1DB1-Normal11"/>
              <w:jc w:val="center"/>
              <w:rPr>
                <w:noProof/>
                <w:szCs w:val="20"/>
                <w:lang w:val="de-DE"/>
              </w:rPr>
            </w:pPr>
            <w:r w:rsidRPr="00170422">
              <w:rPr>
                <w:noProof/>
                <w:lang w:val="de-DE"/>
              </w:rPr>
              <w:t>Investitionen – 1.2 Beseitigung physischer und kognitiver Barrieren in Museen, Bibliotheken und Archiven, um einen breiteren Zugang zur Kultur und eine breitere Teilhabe daran zu ermöglichen</w:t>
            </w:r>
          </w:p>
        </w:tc>
        <w:tc>
          <w:tcPr>
            <w:tcW w:w="414" w:type="pct"/>
            <w:shd w:val="clear" w:color="auto" w:fill="C6EFCE"/>
            <w:noWrap/>
            <w:vAlign w:val="center"/>
            <w:hideMark/>
          </w:tcPr>
          <w:p w14:paraId="75C94BE5" w14:textId="77777777" w:rsidR="0057163C" w:rsidRPr="00170422" w:rsidRDefault="00F37BF9">
            <w:pPr>
              <w:pStyle w:val="P68B1DB1-Normal11"/>
              <w:jc w:val="center"/>
              <w:rPr>
                <w:noProof/>
                <w:szCs w:val="20"/>
                <w:lang w:val="de-DE"/>
              </w:rPr>
            </w:pPr>
            <w:r w:rsidRPr="00170422">
              <w:rPr>
                <w:noProof/>
                <w:lang w:val="de-DE"/>
              </w:rPr>
              <w:t>Ziel</w:t>
            </w:r>
          </w:p>
        </w:tc>
        <w:tc>
          <w:tcPr>
            <w:tcW w:w="414" w:type="pct"/>
            <w:shd w:val="clear" w:color="auto" w:fill="C6EFCE"/>
            <w:noWrap/>
            <w:vAlign w:val="center"/>
            <w:hideMark/>
          </w:tcPr>
          <w:p w14:paraId="4671792A" w14:textId="77777777" w:rsidR="0057163C" w:rsidRPr="00170422" w:rsidRDefault="00F37BF9">
            <w:pPr>
              <w:pStyle w:val="P68B1DB1-Normal11"/>
              <w:jc w:val="center"/>
              <w:rPr>
                <w:noProof/>
                <w:szCs w:val="20"/>
                <w:lang w:val="de-DE"/>
              </w:rPr>
            </w:pPr>
            <w:r w:rsidRPr="00170422">
              <w:rPr>
                <w:noProof/>
                <w:lang w:val="de-DE"/>
              </w:rPr>
              <w:t xml:space="preserve">Maßnahmen zur Beseitigung physischer und kognitiver Barrieren in </w:t>
            </w:r>
            <w:r w:rsidRPr="00170422">
              <w:rPr>
                <w:noProof/>
                <w:szCs w:val="20"/>
                <w:lang w:val="de-DE"/>
              </w:rPr>
              <w:t>Museen, Denkmälern, archäologischen Gebieten und Parks, Archiven und Bibliotheken</w:t>
            </w:r>
          </w:p>
        </w:tc>
        <w:tc>
          <w:tcPr>
            <w:tcW w:w="459" w:type="pct"/>
            <w:shd w:val="clear" w:color="auto" w:fill="C6EFCE"/>
            <w:noWrap/>
            <w:vAlign w:val="center"/>
            <w:hideMark/>
          </w:tcPr>
          <w:p w14:paraId="0A422C88"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shd w:val="clear" w:color="auto" w:fill="C6EFCE"/>
            <w:noWrap/>
            <w:vAlign w:val="center"/>
            <w:hideMark/>
          </w:tcPr>
          <w:p w14:paraId="27B322F1" w14:textId="77777777" w:rsidR="0057163C" w:rsidRPr="00170422" w:rsidRDefault="00F37BF9">
            <w:pPr>
              <w:pStyle w:val="P68B1DB1-Normal11"/>
              <w:jc w:val="center"/>
              <w:rPr>
                <w:noProof/>
                <w:szCs w:val="20"/>
                <w:lang w:val="de-DE"/>
              </w:rPr>
            </w:pPr>
            <w:r w:rsidRPr="00170422">
              <w:rPr>
                <w:noProof/>
                <w:lang w:val="de-DE"/>
              </w:rPr>
              <w:t>Anzahl</w:t>
            </w:r>
          </w:p>
        </w:tc>
        <w:tc>
          <w:tcPr>
            <w:tcW w:w="460" w:type="pct"/>
            <w:shd w:val="clear" w:color="auto" w:fill="C6EFCE"/>
            <w:noWrap/>
            <w:vAlign w:val="center"/>
            <w:hideMark/>
          </w:tcPr>
          <w:p w14:paraId="1E50409C" w14:textId="77777777" w:rsidR="0057163C" w:rsidRPr="00170422" w:rsidRDefault="00F37BF9">
            <w:pPr>
              <w:pStyle w:val="P68B1DB1-Normal11"/>
              <w:jc w:val="center"/>
              <w:rPr>
                <w:noProof/>
                <w:szCs w:val="20"/>
                <w:lang w:val="de-DE"/>
              </w:rPr>
            </w:pPr>
            <w:r w:rsidRPr="00170422">
              <w:rPr>
                <w:noProof/>
                <w:lang w:val="de-DE"/>
              </w:rPr>
              <w:t>0</w:t>
            </w:r>
          </w:p>
        </w:tc>
        <w:tc>
          <w:tcPr>
            <w:tcW w:w="367" w:type="pct"/>
            <w:shd w:val="clear" w:color="auto" w:fill="C6EFCE"/>
            <w:noWrap/>
            <w:vAlign w:val="center"/>
            <w:hideMark/>
          </w:tcPr>
          <w:p w14:paraId="07CB57F9" w14:textId="77777777" w:rsidR="0057163C" w:rsidRPr="00170422" w:rsidRDefault="00F37BF9">
            <w:pPr>
              <w:pStyle w:val="P68B1DB1-Normal11"/>
              <w:jc w:val="center"/>
              <w:rPr>
                <w:noProof/>
                <w:szCs w:val="20"/>
                <w:lang w:val="de-DE"/>
              </w:rPr>
            </w:pPr>
            <w:r w:rsidRPr="00170422">
              <w:rPr>
                <w:noProof/>
                <w:lang w:val="de-DE"/>
              </w:rPr>
              <w:t>617</w:t>
            </w:r>
          </w:p>
        </w:tc>
        <w:tc>
          <w:tcPr>
            <w:tcW w:w="276" w:type="pct"/>
            <w:shd w:val="clear" w:color="auto" w:fill="C6EFCE"/>
            <w:noWrap/>
            <w:vAlign w:val="center"/>
            <w:hideMark/>
          </w:tcPr>
          <w:p w14:paraId="1EFAA0E2" w14:textId="77777777" w:rsidR="0057163C" w:rsidRPr="00170422" w:rsidRDefault="00F37BF9">
            <w:pPr>
              <w:pStyle w:val="P68B1DB1-Normal11"/>
              <w:jc w:val="center"/>
              <w:rPr>
                <w:noProof/>
                <w:szCs w:val="20"/>
                <w:lang w:val="de-DE"/>
              </w:rPr>
            </w:pPr>
            <w:r w:rsidRPr="00170422">
              <w:rPr>
                <w:noProof/>
                <w:lang w:val="de-DE"/>
              </w:rPr>
              <w:t>Q2</w:t>
            </w:r>
          </w:p>
        </w:tc>
        <w:tc>
          <w:tcPr>
            <w:tcW w:w="276" w:type="pct"/>
            <w:shd w:val="clear" w:color="auto" w:fill="C6EFCE"/>
            <w:noWrap/>
            <w:vAlign w:val="center"/>
            <w:hideMark/>
          </w:tcPr>
          <w:p w14:paraId="0FFAC523" w14:textId="77777777" w:rsidR="0057163C" w:rsidRPr="00170422" w:rsidRDefault="00F37BF9">
            <w:pPr>
              <w:pStyle w:val="P68B1DB1-Normal11"/>
              <w:jc w:val="center"/>
              <w:rPr>
                <w:noProof/>
                <w:szCs w:val="20"/>
                <w:lang w:val="de-DE"/>
              </w:rPr>
            </w:pPr>
            <w:r w:rsidRPr="00170422">
              <w:rPr>
                <w:noProof/>
                <w:lang w:val="de-DE"/>
              </w:rPr>
              <w:t>2026</w:t>
            </w:r>
          </w:p>
        </w:tc>
        <w:tc>
          <w:tcPr>
            <w:tcW w:w="1047" w:type="pct"/>
            <w:shd w:val="clear" w:color="auto" w:fill="C6EFCE"/>
            <w:noWrap/>
            <w:vAlign w:val="center"/>
            <w:hideMark/>
          </w:tcPr>
          <w:p w14:paraId="45FA338A" w14:textId="79DF277A" w:rsidR="0057163C" w:rsidRPr="00170422" w:rsidRDefault="00F37BF9">
            <w:pPr>
              <w:pStyle w:val="P68B1DB1-Normal12"/>
              <w:rPr>
                <w:noProof/>
                <w:lang w:val="de-DE"/>
              </w:rPr>
            </w:pPr>
            <w:r w:rsidRPr="00170422">
              <w:rPr>
                <w:noProof/>
                <w:lang w:val="de-DE"/>
              </w:rPr>
              <w:t xml:space="preserve">Die Bescheinigungen über den Abschluss der Arbeiten werden für mindestens 617 </w:t>
            </w:r>
            <w:r w:rsidRPr="00170422">
              <w:rPr>
                <w:noProof/>
                <w:lang w:val="de-DE"/>
              </w:rPr>
              <w:t>Museen, Denkmäler, archäologische Bereiche und Parks, Archive und Bibliotheken ausgestellt.</w:t>
            </w:r>
          </w:p>
        </w:tc>
      </w:tr>
      <w:tr w:rsidR="0057163C" w:rsidRPr="00170422" w14:paraId="463F85FC" w14:textId="77777777" w:rsidTr="00744AB7">
        <w:trPr>
          <w:trHeight w:val="309"/>
          <w:jc w:val="center"/>
        </w:trPr>
        <w:tc>
          <w:tcPr>
            <w:tcW w:w="366" w:type="pct"/>
            <w:shd w:val="clear" w:color="auto" w:fill="C6EFCE"/>
            <w:noWrap/>
            <w:vAlign w:val="center"/>
            <w:hideMark/>
          </w:tcPr>
          <w:p w14:paraId="27ED67D6" w14:textId="77777777" w:rsidR="0057163C" w:rsidRPr="00170422" w:rsidRDefault="00F37BF9">
            <w:pPr>
              <w:pStyle w:val="P68B1DB1-Normal11"/>
              <w:jc w:val="center"/>
              <w:rPr>
                <w:noProof/>
                <w:szCs w:val="20"/>
                <w:lang w:val="de-DE"/>
              </w:rPr>
            </w:pPr>
            <w:r w:rsidRPr="00170422">
              <w:rPr>
                <w:noProof/>
                <w:lang w:val="de-DE"/>
              </w:rPr>
              <w:t>M1C3-4</w:t>
            </w:r>
          </w:p>
        </w:tc>
        <w:tc>
          <w:tcPr>
            <w:tcW w:w="553" w:type="pct"/>
            <w:shd w:val="clear" w:color="auto" w:fill="C6EFCE"/>
            <w:noWrap/>
            <w:vAlign w:val="center"/>
            <w:hideMark/>
          </w:tcPr>
          <w:p w14:paraId="59B5419A" w14:textId="77777777" w:rsidR="0057163C" w:rsidRPr="00170422" w:rsidRDefault="00F37BF9">
            <w:pPr>
              <w:pStyle w:val="P68B1DB1-Normal11"/>
              <w:jc w:val="center"/>
              <w:rPr>
                <w:noProof/>
                <w:szCs w:val="20"/>
                <w:lang w:val="de-DE"/>
              </w:rPr>
            </w:pPr>
            <w:r w:rsidRPr="00170422">
              <w:rPr>
                <w:noProof/>
                <w:lang w:val="de-DE"/>
              </w:rPr>
              <w:t>Investitionen – 1.3 Verbesserung der Energieeffizienz in Kinos, Theatern und Museen</w:t>
            </w:r>
          </w:p>
        </w:tc>
        <w:tc>
          <w:tcPr>
            <w:tcW w:w="414" w:type="pct"/>
            <w:shd w:val="clear" w:color="auto" w:fill="C6EFCE"/>
            <w:noWrap/>
            <w:vAlign w:val="center"/>
            <w:hideMark/>
          </w:tcPr>
          <w:p w14:paraId="19A28804" w14:textId="77777777" w:rsidR="0057163C" w:rsidRPr="00170422" w:rsidRDefault="00F37BF9">
            <w:pPr>
              <w:pStyle w:val="P68B1DB1-Normal11"/>
              <w:jc w:val="center"/>
              <w:rPr>
                <w:noProof/>
                <w:szCs w:val="20"/>
                <w:lang w:val="de-DE"/>
              </w:rPr>
            </w:pPr>
            <w:r w:rsidRPr="00170422">
              <w:rPr>
                <w:noProof/>
                <w:lang w:val="de-DE"/>
              </w:rPr>
              <w:t>Ziel</w:t>
            </w:r>
          </w:p>
        </w:tc>
        <w:tc>
          <w:tcPr>
            <w:tcW w:w="414" w:type="pct"/>
            <w:shd w:val="clear" w:color="auto" w:fill="C6EFCE"/>
            <w:noWrap/>
            <w:vAlign w:val="center"/>
            <w:hideMark/>
          </w:tcPr>
          <w:p w14:paraId="0B48B77B" w14:textId="20B929AD" w:rsidR="0057163C" w:rsidRPr="00170422" w:rsidRDefault="00F37BF9">
            <w:pPr>
              <w:pStyle w:val="P68B1DB1-Normal11"/>
              <w:jc w:val="center"/>
              <w:rPr>
                <w:noProof/>
                <w:szCs w:val="20"/>
                <w:lang w:val="de-DE"/>
              </w:rPr>
            </w:pPr>
            <w:r w:rsidRPr="00170422">
              <w:rPr>
                <w:noProof/>
                <w:lang w:val="de-DE"/>
              </w:rPr>
              <w:t xml:space="preserve">Abschluss der Interventionen in staatlichen Museen und </w:t>
            </w:r>
            <w:r w:rsidRPr="00170422">
              <w:rPr>
                <w:noProof/>
                <w:lang w:val="de-DE"/>
              </w:rPr>
              <w:t>Kulturstätten, Theaterhallen und Kinos (erste Serie)</w:t>
            </w:r>
          </w:p>
        </w:tc>
        <w:tc>
          <w:tcPr>
            <w:tcW w:w="459" w:type="pct"/>
            <w:shd w:val="clear" w:color="auto" w:fill="C6EFCE"/>
            <w:noWrap/>
            <w:vAlign w:val="center"/>
            <w:hideMark/>
          </w:tcPr>
          <w:p w14:paraId="7FB39BBB"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shd w:val="clear" w:color="auto" w:fill="C6EFCE"/>
            <w:noWrap/>
            <w:vAlign w:val="center"/>
            <w:hideMark/>
          </w:tcPr>
          <w:p w14:paraId="286A6206" w14:textId="77777777" w:rsidR="0057163C" w:rsidRPr="00170422" w:rsidRDefault="00F37BF9">
            <w:pPr>
              <w:pStyle w:val="P68B1DB1-Normal11"/>
              <w:jc w:val="center"/>
              <w:rPr>
                <w:noProof/>
                <w:szCs w:val="20"/>
                <w:lang w:val="de-DE"/>
              </w:rPr>
            </w:pPr>
            <w:r w:rsidRPr="00170422">
              <w:rPr>
                <w:noProof/>
                <w:lang w:val="de-DE"/>
              </w:rPr>
              <w:t>Anzahl</w:t>
            </w:r>
          </w:p>
        </w:tc>
        <w:tc>
          <w:tcPr>
            <w:tcW w:w="460" w:type="pct"/>
            <w:shd w:val="clear" w:color="auto" w:fill="C6EFCE"/>
            <w:noWrap/>
            <w:vAlign w:val="center"/>
            <w:hideMark/>
          </w:tcPr>
          <w:p w14:paraId="143F5B38" w14:textId="77777777" w:rsidR="0057163C" w:rsidRPr="00170422" w:rsidRDefault="00F37BF9">
            <w:pPr>
              <w:pStyle w:val="P68B1DB1-Normal11"/>
              <w:jc w:val="center"/>
              <w:rPr>
                <w:noProof/>
                <w:szCs w:val="20"/>
                <w:lang w:val="de-DE"/>
              </w:rPr>
            </w:pPr>
            <w:r w:rsidRPr="00170422">
              <w:rPr>
                <w:noProof/>
                <w:lang w:val="de-DE"/>
              </w:rPr>
              <w:t>0</w:t>
            </w:r>
          </w:p>
        </w:tc>
        <w:tc>
          <w:tcPr>
            <w:tcW w:w="367" w:type="pct"/>
            <w:shd w:val="clear" w:color="auto" w:fill="C6EFCE"/>
            <w:noWrap/>
            <w:vAlign w:val="center"/>
            <w:hideMark/>
          </w:tcPr>
          <w:p w14:paraId="5D9B416B" w14:textId="77777777" w:rsidR="0057163C" w:rsidRPr="00170422" w:rsidRDefault="00F37BF9">
            <w:pPr>
              <w:pStyle w:val="P68B1DB1-Normal11"/>
              <w:jc w:val="center"/>
              <w:rPr>
                <w:noProof/>
                <w:szCs w:val="20"/>
                <w:lang w:val="de-DE"/>
              </w:rPr>
            </w:pPr>
            <w:r w:rsidRPr="00170422">
              <w:rPr>
                <w:noProof/>
                <w:lang w:val="de-DE"/>
              </w:rPr>
              <w:t>80</w:t>
            </w:r>
          </w:p>
        </w:tc>
        <w:tc>
          <w:tcPr>
            <w:tcW w:w="276" w:type="pct"/>
            <w:shd w:val="clear" w:color="auto" w:fill="C6EFCE"/>
            <w:noWrap/>
            <w:vAlign w:val="center"/>
            <w:hideMark/>
          </w:tcPr>
          <w:p w14:paraId="28298A0D" w14:textId="77777777" w:rsidR="0057163C" w:rsidRPr="00170422" w:rsidRDefault="00F37BF9">
            <w:pPr>
              <w:pStyle w:val="P68B1DB1-Normal11"/>
              <w:jc w:val="center"/>
              <w:rPr>
                <w:noProof/>
                <w:szCs w:val="20"/>
                <w:lang w:val="de-DE"/>
              </w:rPr>
            </w:pPr>
            <w:r w:rsidRPr="00170422">
              <w:rPr>
                <w:noProof/>
                <w:lang w:val="de-DE"/>
              </w:rPr>
              <w:t>Q3</w:t>
            </w:r>
          </w:p>
        </w:tc>
        <w:tc>
          <w:tcPr>
            <w:tcW w:w="276" w:type="pct"/>
            <w:shd w:val="clear" w:color="auto" w:fill="C6EFCE"/>
            <w:noWrap/>
            <w:vAlign w:val="center"/>
            <w:hideMark/>
          </w:tcPr>
          <w:p w14:paraId="5CA1E8F1" w14:textId="77777777" w:rsidR="0057163C" w:rsidRPr="00170422" w:rsidRDefault="00F37BF9">
            <w:pPr>
              <w:pStyle w:val="P68B1DB1-Normal11"/>
              <w:jc w:val="center"/>
              <w:rPr>
                <w:noProof/>
                <w:szCs w:val="20"/>
                <w:lang w:val="de-DE"/>
              </w:rPr>
            </w:pPr>
            <w:r w:rsidRPr="00170422">
              <w:rPr>
                <w:noProof/>
                <w:lang w:val="de-DE"/>
              </w:rPr>
              <w:t>2023</w:t>
            </w:r>
          </w:p>
        </w:tc>
        <w:tc>
          <w:tcPr>
            <w:tcW w:w="1047" w:type="pct"/>
            <w:shd w:val="clear" w:color="auto" w:fill="C6EFCE"/>
            <w:noWrap/>
            <w:vAlign w:val="center"/>
            <w:hideMark/>
          </w:tcPr>
          <w:p w14:paraId="4A7245AF" w14:textId="77777777" w:rsidR="0057163C" w:rsidRPr="00170422" w:rsidRDefault="00F37BF9">
            <w:pPr>
              <w:pStyle w:val="P68B1DB1-Normal11"/>
              <w:rPr>
                <w:noProof/>
                <w:szCs w:val="20"/>
                <w:lang w:val="de-DE"/>
              </w:rPr>
            </w:pPr>
            <w:r w:rsidRPr="00170422">
              <w:rPr>
                <w:noProof/>
                <w:lang w:val="de-DE"/>
              </w:rPr>
              <w:t>Der Indikator bezieht sich auf die Zahl der Interventionen, die durch die Bescheinigung der ordnungsgemäßen Ausführung der Arbeiten nachgewiesen wurden.</w:t>
            </w:r>
          </w:p>
          <w:p w14:paraId="1CE82624" w14:textId="77777777" w:rsidR="0057163C" w:rsidRPr="00170422" w:rsidRDefault="00F37BF9">
            <w:pPr>
              <w:pStyle w:val="P68B1DB1-Normal11"/>
              <w:rPr>
                <w:noProof/>
                <w:szCs w:val="20"/>
                <w:lang w:val="de-DE"/>
              </w:rPr>
            </w:pPr>
            <w:r w:rsidRPr="00170422">
              <w:rPr>
                <w:noProof/>
                <w:lang w:val="de-DE"/>
              </w:rPr>
              <w:t xml:space="preserve">Die zu ergänzende </w:t>
            </w:r>
            <w:r w:rsidRPr="00170422">
              <w:rPr>
                <w:noProof/>
                <w:lang w:val="de-DE"/>
              </w:rPr>
              <w:t>Interventionskategorie umfasst:</w:t>
            </w:r>
          </w:p>
          <w:p w14:paraId="110BE535" w14:textId="77777777" w:rsidR="0057163C" w:rsidRPr="00170422" w:rsidRDefault="00F37BF9">
            <w:pPr>
              <w:ind w:left="315" w:hanging="315"/>
              <w:rPr>
                <w:rFonts w:ascii="Arial Narrow" w:hAnsi="Arial Narrow"/>
                <w:noProof/>
                <w:color w:val="006100"/>
                <w:sz w:val="20"/>
                <w:szCs w:val="20"/>
                <w:lang w:val="de-DE"/>
              </w:rPr>
            </w:pPr>
            <w:r w:rsidRPr="00170422">
              <w:rPr>
                <w:rFonts w:ascii="Arial Narrow" w:hAnsi="Arial Narrow"/>
                <w:noProof/>
                <w:color w:val="003A00"/>
                <w:sz w:val="20"/>
                <w:lang w:val="de-DE"/>
              </w:rPr>
              <w:t>-</w:t>
            </w:r>
            <w:r w:rsidRPr="00170422">
              <w:rPr>
                <w:noProof/>
                <w:color w:val="003A00"/>
                <w:lang w:val="de-DE"/>
              </w:rPr>
              <w:t xml:space="preserve"> </w:t>
            </w:r>
            <w:r w:rsidRPr="00170422">
              <w:rPr>
                <w:rFonts w:ascii="Arial Narrow" w:hAnsi="Arial Narrow"/>
                <w:noProof/>
                <w:color w:val="006100"/>
                <w:sz w:val="20"/>
                <w:lang w:val="de-DE"/>
              </w:rPr>
              <w:t>technische und wirtschaftliche und finanzielle Planung, Energieaudits, erste Umweltanalysen, Umweltverträglichkeitsprüfungen, Entlastungen und Bewertungen zur Ermittlung kritischer Probleme, Ermittlung der sich daraus erge</w:t>
            </w:r>
            <w:r w:rsidRPr="00170422">
              <w:rPr>
                <w:rFonts w:ascii="Arial Narrow" w:hAnsi="Arial Narrow"/>
                <w:noProof/>
                <w:color w:val="006100"/>
                <w:sz w:val="20"/>
                <w:lang w:val="de-DE"/>
              </w:rPr>
              <w:t>benden Maßnahmen zur Verbesserung der Energieeffizienz;</w:t>
            </w:r>
          </w:p>
          <w:p w14:paraId="1064E997" w14:textId="77777777" w:rsidR="0057163C" w:rsidRPr="00170422" w:rsidRDefault="00F37BF9">
            <w:pPr>
              <w:ind w:left="315" w:hanging="315"/>
              <w:rPr>
                <w:rFonts w:ascii="Arial Narrow" w:hAnsi="Arial Narrow"/>
                <w:noProof/>
                <w:color w:val="006100"/>
                <w:sz w:val="20"/>
                <w:szCs w:val="20"/>
                <w:lang w:val="de-DE"/>
              </w:rPr>
            </w:pPr>
            <w:r w:rsidRPr="00170422">
              <w:rPr>
                <w:rFonts w:ascii="Arial Narrow" w:hAnsi="Arial Narrow"/>
                <w:noProof/>
                <w:color w:val="003A00"/>
                <w:sz w:val="20"/>
                <w:lang w:val="de-DE"/>
              </w:rPr>
              <w:t>-</w:t>
            </w:r>
            <w:r w:rsidRPr="00170422">
              <w:rPr>
                <w:noProof/>
                <w:color w:val="003A00"/>
                <w:lang w:val="de-DE"/>
              </w:rPr>
              <w:t xml:space="preserve"> </w:t>
            </w:r>
            <w:r w:rsidRPr="00170422">
              <w:rPr>
                <w:rFonts w:ascii="Arial Narrow" w:hAnsi="Arial Narrow"/>
                <w:noProof/>
                <w:color w:val="006100"/>
                <w:sz w:val="20"/>
                <w:lang w:val="de-DE"/>
              </w:rPr>
              <w:t>Interventionen an der Gebäudehülle;</w:t>
            </w:r>
          </w:p>
          <w:p w14:paraId="0A61F656" w14:textId="77777777" w:rsidR="0057163C" w:rsidRPr="00170422" w:rsidRDefault="00F37BF9">
            <w:pPr>
              <w:ind w:left="315" w:hanging="315"/>
              <w:rPr>
                <w:rFonts w:ascii="Arial Narrow" w:hAnsi="Arial Narrow"/>
                <w:noProof/>
                <w:color w:val="006100"/>
                <w:sz w:val="20"/>
                <w:szCs w:val="20"/>
                <w:lang w:val="de-DE"/>
              </w:rPr>
            </w:pPr>
            <w:r w:rsidRPr="00170422">
              <w:rPr>
                <w:rFonts w:ascii="Arial Narrow" w:hAnsi="Arial Narrow"/>
                <w:noProof/>
                <w:color w:val="003A00"/>
                <w:sz w:val="20"/>
                <w:lang w:val="de-DE"/>
              </w:rPr>
              <w:t>-</w:t>
            </w:r>
            <w:r w:rsidRPr="00170422">
              <w:rPr>
                <w:noProof/>
                <w:color w:val="003A00"/>
                <w:lang w:val="de-DE"/>
              </w:rPr>
              <w:t xml:space="preserve"> </w:t>
            </w:r>
            <w:r w:rsidRPr="00170422">
              <w:rPr>
                <w:rFonts w:ascii="Arial Narrow" w:hAnsi="Arial Narrow"/>
                <w:noProof/>
                <w:color w:val="006100"/>
                <w:sz w:val="20"/>
                <w:lang w:val="de-DE"/>
              </w:rPr>
              <w:t xml:space="preserve">Eingriffe in den Austausch/Erwerb von Ausrüstung, Werkzeugen, Systemen, Geräten, digitaler Anwendungssoftware sowie Zubehörinstrumenten für ihren Betrieb, </w:t>
            </w:r>
            <w:r w:rsidRPr="00170422">
              <w:rPr>
                <w:rFonts w:ascii="Arial Narrow" w:hAnsi="Arial Narrow"/>
                <w:noProof/>
                <w:color w:val="006100"/>
                <w:sz w:val="20"/>
                <w:lang w:val="de-DE"/>
              </w:rPr>
              <w:t>Erwerb von Patenten, Lizenzen und Know-how;</w:t>
            </w:r>
          </w:p>
          <w:p w14:paraId="6B3408B9" w14:textId="77777777" w:rsidR="0057163C" w:rsidRPr="00170422" w:rsidRDefault="00F37BF9">
            <w:pPr>
              <w:ind w:left="315" w:hanging="315"/>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color w:val="003A00"/>
                <w:lang w:val="de-DE"/>
              </w:rPr>
              <w:t xml:space="preserve"> </w:t>
            </w:r>
            <w:r w:rsidRPr="00170422">
              <w:rPr>
                <w:rFonts w:ascii="Arial Narrow" w:hAnsi="Arial Narrow"/>
                <w:noProof/>
                <w:color w:val="006100"/>
                <w:sz w:val="20"/>
                <w:lang w:val="de-DE"/>
              </w:rPr>
              <w:t>Installation intelligenter Systeme zur Fernsteuerung, Regulierung, Verwaltung, Überwachung und Optimierung des Energieverbrauchs (intelligente Gebäude) und Schadstoffemissionen, auch durch den Einsatz technolog</w:t>
            </w:r>
            <w:r w:rsidRPr="00170422">
              <w:rPr>
                <w:rFonts w:ascii="Arial Narrow" w:hAnsi="Arial Narrow"/>
                <w:noProof/>
                <w:color w:val="006100"/>
                <w:sz w:val="20"/>
                <w:lang w:val="de-DE"/>
              </w:rPr>
              <w:t>ischer Mixe.</w:t>
            </w:r>
          </w:p>
        </w:tc>
      </w:tr>
      <w:tr w:rsidR="0057163C" w:rsidRPr="00170422" w14:paraId="2FF17127" w14:textId="77777777" w:rsidTr="00744AB7">
        <w:trPr>
          <w:trHeight w:val="309"/>
          <w:jc w:val="center"/>
        </w:trPr>
        <w:tc>
          <w:tcPr>
            <w:tcW w:w="366" w:type="pct"/>
            <w:shd w:val="clear" w:color="auto" w:fill="C6EFCE"/>
            <w:noWrap/>
            <w:vAlign w:val="center"/>
            <w:hideMark/>
          </w:tcPr>
          <w:p w14:paraId="0E03FA3A" w14:textId="77777777" w:rsidR="0057163C" w:rsidRPr="00170422" w:rsidRDefault="00F37BF9">
            <w:pPr>
              <w:pStyle w:val="P68B1DB1-Normal11"/>
              <w:jc w:val="center"/>
              <w:rPr>
                <w:noProof/>
                <w:szCs w:val="20"/>
                <w:lang w:val="de-DE"/>
              </w:rPr>
            </w:pPr>
            <w:r w:rsidRPr="00170422">
              <w:rPr>
                <w:noProof/>
                <w:lang w:val="de-DE"/>
              </w:rPr>
              <w:t>M1C3-5</w:t>
            </w:r>
          </w:p>
        </w:tc>
        <w:tc>
          <w:tcPr>
            <w:tcW w:w="553" w:type="pct"/>
            <w:shd w:val="clear" w:color="auto" w:fill="C6EFCE"/>
            <w:noWrap/>
            <w:vAlign w:val="center"/>
            <w:hideMark/>
          </w:tcPr>
          <w:p w14:paraId="49A34934" w14:textId="77777777" w:rsidR="0057163C" w:rsidRPr="00170422" w:rsidRDefault="00F37BF9">
            <w:pPr>
              <w:pStyle w:val="P68B1DB1-Normal11"/>
              <w:jc w:val="center"/>
              <w:rPr>
                <w:noProof/>
                <w:szCs w:val="20"/>
                <w:lang w:val="de-DE"/>
              </w:rPr>
            </w:pPr>
            <w:r w:rsidRPr="00170422">
              <w:rPr>
                <w:noProof/>
                <w:lang w:val="de-DE"/>
              </w:rPr>
              <w:t>Investitionen – 1.3 Verbesserung der Energieeffizienz in Kinos, Theatern und Museen</w:t>
            </w:r>
          </w:p>
        </w:tc>
        <w:tc>
          <w:tcPr>
            <w:tcW w:w="414" w:type="pct"/>
            <w:shd w:val="clear" w:color="auto" w:fill="C6EFCE"/>
            <w:noWrap/>
            <w:vAlign w:val="center"/>
            <w:hideMark/>
          </w:tcPr>
          <w:p w14:paraId="183C2A55" w14:textId="77777777" w:rsidR="0057163C" w:rsidRPr="00170422" w:rsidRDefault="00F37BF9">
            <w:pPr>
              <w:pStyle w:val="P68B1DB1-Normal11"/>
              <w:jc w:val="center"/>
              <w:rPr>
                <w:noProof/>
                <w:szCs w:val="20"/>
                <w:lang w:val="de-DE"/>
              </w:rPr>
            </w:pPr>
            <w:r w:rsidRPr="00170422">
              <w:rPr>
                <w:noProof/>
                <w:lang w:val="de-DE"/>
              </w:rPr>
              <w:t>Ziel</w:t>
            </w:r>
          </w:p>
        </w:tc>
        <w:tc>
          <w:tcPr>
            <w:tcW w:w="414" w:type="pct"/>
            <w:shd w:val="clear" w:color="auto" w:fill="C6EFCE"/>
            <w:noWrap/>
            <w:vAlign w:val="center"/>
            <w:hideMark/>
          </w:tcPr>
          <w:p w14:paraId="5730BB92" w14:textId="126454CC" w:rsidR="0057163C" w:rsidRPr="00170422" w:rsidRDefault="00F37BF9">
            <w:pPr>
              <w:pStyle w:val="P68B1DB1-Normal11"/>
              <w:jc w:val="center"/>
              <w:rPr>
                <w:noProof/>
                <w:szCs w:val="20"/>
                <w:lang w:val="de-DE"/>
              </w:rPr>
            </w:pPr>
            <w:r w:rsidRPr="00170422">
              <w:rPr>
                <w:noProof/>
                <w:lang w:val="de-DE"/>
              </w:rPr>
              <w:t>Abschluss der Interventionen in staatlichen Museen und Kulturstätten, Theaterhallen und Kinos (zweite Serie)</w:t>
            </w:r>
          </w:p>
        </w:tc>
        <w:tc>
          <w:tcPr>
            <w:tcW w:w="459" w:type="pct"/>
            <w:shd w:val="clear" w:color="auto" w:fill="C6EFCE"/>
            <w:noWrap/>
            <w:vAlign w:val="center"/>
            <w:hideMark/>
          </w:tcPr>
          <w:p w14:paraId="0398AED4"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shd w:val="clear" w:color="auto" w:fill="C6EFCE"/>
            <w:noWrap/>
            <w:vAlign w:val="center"/>
            <w:hideMark/>
          </w:tcPr>
          <w:p w14:paraId="1377A5E1" w14:textId="77777777" w:rsidR="0057163C" w:rsidRPr="00170422" w:rsidRDefault="00F37BF9">
            <w:pPr>
              <w:pStyle w:val="P68B1DB1-Normal11"/>
              <w:jc w:val="center"/>
              <w:rPr>
                <w:noProof/>
                <w:szCs w:val="20"/>
                <w:lang w:val="de-DE"/>
              </w:rPr>
            </w:pPr>
            <w:r w:rsidRPr="00170422">
              <w:rPr>
                <w:noProof/>
                <w:lang w:val="de-DE"/>
              </w:rPr>
              <w:t>Anzahl</w:t>
            </w:r>
          </w:p>
        </w:tc>
        <w:tc>
          <w:tcPr>
            <w:tcW w:w="460" w:type="pct"/>
            <w:shd w:val="clear" w:color="auto" w:fill="C6EFCE"/>
            <w:noWrap/>
            <w:vAlign w:val="center"/>
            <w:hideMark/>
          </w:tcPr>
          <w:p w14:paraId="70235851" w14:textId="77777777" w:rsidR="0057163C" w:rsidRPr="00170422" w:rsidRDefault="00F37BF9">
            <w:pPr>
              <w:pStyle w:val="P68B1DB1-Normal11"/>
              <w:jc w:val="center"/>
              <w:rPr>
                <w:noProof/>
                <w:szCs w:val="20"/>
                <w:lang w:val="de-DE"/>
              </w:rPr>
            </w:pPr>
            <w:r w:rsidRPr="00170422">
              <w:rPr>
                <w:noProof/>
                <w:lang w:val="de-DE"/>
              </w:rPr>
              <w:t>80</w:t>
            </w:r>
          </w:p>
        </w:tc>
        <w:tc>
          <w:tcPr>
            <w:tcW w:w="367" w:type="pct"/>
            <w:shd w:val="clear" w:color="auto" w:fill="C6EFCE"/>
            <w:noWrap/>
            <w:vAlign w:val="center"/>
            <w:hideMark/>
          </w:tcPr>
          <w:p w14:paraId="17000261" w14:textId="77777777" w:rsidR="0057163C" w:rsidRPr="00170422" w:rsidRDefault="00F37BF9">
            <w:pPr>
              <w:pStyle w:val="P68B1DB1-Normal12"/>
              <w:jc w:val="center"/>
              <w:rPr>
                <w:noProof/>
                <w:lang w:val="de-DE"/>
              </w:rPr>
            </w:pPr>
            <w:r w:rsidRPr="00170422">
              <w:rPr>
                <w:noProof/>
                <w:lang w:val="de-DE"/>
              </w:rPr>
              <w:t>420</w:t>
            </w:r>
          </w:p>
        </w:tc>
        <w:tc>
          <w:tcPr>
            <w:tcW w:w="276" w:type="pct"/>
            <w:shd w:val="clear" w:color="auto" w:fill="C6EFCE"/>
            <w:noWrap/>
            <w:vAlign w:val="center"/>
            <w:hideMark/>
          </w:tcPr>
          <w:p w14:paraId="76680CE4" w14:textId="77777777" w:rsidR="0057163C" w:rsidRPr="00170422" w:rsidRDefault="00F37BF9">
            <w:pPr>
              <w:pStyle w:val="P68B1DB1-Normal11"/>
              <w:jc w:val="center"/>
              <w:rPr>
                <w:noProof/>
                <w:szCs w:val="20"/>
                <w:lang w:val="de-DE"/>
              </w:rPr>
            </w:pPr>
            <w:r w:rsidRPr="00170422">
              <w:rPr>
                <w:noProof/>
                <w:lang w:val="de-DE"/>
              </w:rPr>
              <w:t>4. QUARTAL</w:t>
            </w:r>
          </w:p>
        </w:tc>
        <w:tc>
          <w:tcPr>
            <w:tcW w:w="276" w:type="pct"/>
            <w:shd w:val="clear" w:color="auto" w:fill="C6EFCE"/>
            <w:noWrap/>
            <w:vAlign w:val="center"/>
            <w:hideMark/>
          </w:tcPr>
          <w:p w14:paraId="10C375E0" w14:textId="77777777" w:rsidR="0057163C" w:rsidRPr="00170422" w:rsidRDefault="00F37BF9">
            <w:pPr>
              <w:pStyle w:val="P68B1DB1-Normal11"/>
              <w:jc w:val="center"/>
              <w:rPr>
                <w:noProof/>
                <w:szCs w:val="20"/>
                <w:lang w:val="de-DE"/>
              </w:rPr>
            </w:pPr>
            <w:r w:rsidRPr="00170422">
              <w:rPr>
                <w:noProof/>
                <w:lang w:val="de-DE"/>
              </w:rPr>
              <w:t>2025</w:t>
            </w:r>
          </w:p>
        </w:tc>
        <w:tc>
          <w:tcPr>
            <w:tcW w:w="1047" w:type="pct"/>
            <w:shd w:val="clear" w:color="auto" w:fill="C6EFCE"/>
            <w:noWrap/>
            <w:vAlign w:val="center"/>
            <w:hideMark/>
          </w:tcPr>
          <w:p w14:paraId="1C0B80F0" w14:textId="6CE4E192" w:rsidR="0057163C" w:rsidRPr="00170422" w:rsidRDefault="00F37BF9">
            <w:pPr>
              <w:pStyle w:val="P68B1DB1-Normal11"/>
              <w:rPr>
                <w:noProof/>
                <w:szCs w:val="20"/>
                <w:lang w:val="de-DE"/>
              </w:rPr>
            </w:pPr>
            <w:r w:rsidRPr="00170422">
              <w:rPr>
                <w:noProof/>
                <w:lang w:val="de-DE"/>
              </w:rPr>
              <w:t xml:space="preserve">Die Bescheinigungen über den Abschluss der Arbeiten werden für mindestens 340 Interventionen </w:t>
            </w:r>
            <w:r w:rsidRPr="00170422">
              <w:rPr>
                <w:noProof/>
                <w:szCs w:val="20"/>
                <w:lang w:val="de-DE"/>
              </w:rPr>
              <w:t>ausgestellt</w:t>
            </w:r>
            <w:r w:rsidRPr="00170422">
              <w:rPr>
                <w:noProof/>
                <w:lang w:val="de-DE"/>
              </w:rPr>
              <w:t>, darunter:</w:t>
            </w:r>
          </w:p>
          <w:p w14:paraId="005E341C" w14:textId="791CAEC1" w:rsidR="0057163C" w:rsidRPr="00170422" w:rsidRDefault="00F37BF9">
            <w:pPr>
              <w:pStyle w:val="P68B1DB1-ListParagraph15"/>
              <w:numPr>
                <w:ilvl w:val="0"/>
                <w:numId w:val="171"/>
              </w:numPr>
              <w:rPr>
                <w:noProof/>
                <w:szCs w:val="20"/>
                <w:lang w:val="de-DE"/>
              </w:rPr>
            </w:pPr>
            <w:r w:rsidRPr="00170422">
              <w:rPr>
                <w:noProof/>
                <w:lang w:val="de-DE"/>
              </w:rPr>
              <w:t>technische und wirtschaftliche und finanzielle Planung, Energieaudits, erste Umweltanalysen, Umweltverträglichkeitsprüfungen, Entlastun</w:t>
            </w:r>
            <w:r w:rsidRPr="00170422">
              <w:rPr>
                <w:noProof/>
                <w:lang w:val="de-DE"/>
              </w:rPr>
              <w:t>gen und Bewertungen zur Ermittlung kritischer Probleme, Ermittlung der sich daraus ergebenden Maßnahmen zur Verbesserung der Energieeffizienz;</w:t>
            </w:r>
          </w:p>
          <w:p w14:paraId="3901BD23" w14:textId="490B671A" w:rsidR="0057163C" w:rsidRPr="00170422" w:rsidRDefault="00F37BF9">
            <w:pPr>
              <w:pStyle w:val="P68B1DB1-ListParagraph15"/>
              <w:numPr>
                <w:ilvl w:val="0"/>
                <w:numId w:val="171"/>
              </w:numPr>
              <w:rPr>
                <w:noProof/>
                <w:szCs w:val="20"/>
                <w:lang w:val="de-DE"/>
              </w:rPr>
            </w:pPr>
            <w:r w:rsidRPr="00170422">
              <w:rPr>
                <w:noProof/>
                <w:lang w:val="de-DE"/>
              </w:rPr>
              <w:t>Interventionen an der Gebäudehülle;</w:t>
            </w:r>
          </w:p>
          <w:p w14:paraId="12C1AC94" w14:textId="0821BFBE" w:rsidR="0057163C" w:rsidRPr="00170422" w:rsidRDefault="00F37BF9">
            <w:pPr>
              <w:pStyle w:val="P68B1DB1-ListParagraph15"/>
              <w:numPr>
                <w:ilvl w:val="0"/>
                <w:numId w:val="171"/>
              </w:numPr>
              <w:rPr>
                <w:noProof/>
                <w:szCs w:val="20"/>
                <w:lang w:val="de-DE"/>
              </w:rPr>
            </w:pPr>
            <w:r w:rsidRPr="00170422">
              <w:rPr>
                <w:noProof/>
                <w:lang w:val="de-DE"/>
              </w:rPr>
              <w:t>Eingriffe in den Austausch/Erwerb von Ausrüstung, Werkzeugen, Systemen, Gerät</w:t>
            </w:r>
            <w:r w:rsidRPr="00170422">
              <w:rPr>
                <w:noProof/>
                <w:lang w:val="de-DE"/>
              </w:rPr>
              <w:t>en, digitaler Anwendungssoftware sowie Zubehörinstrumenten für ihren Betrieb, Erwerb von Patenten, Lizenzen und Know-how;</w:t>
            </w:r>
          </w:p>
          <w:p w14:paraId="2B0668DB" w14:textId="625E5BD6" w:rsidR="0057163C" w:rsidRPr="00170422" w:rsidRDefault="00F37BF9">
            <w:pPr>
              <w:pStyle w:val="P68B1DB1-ListParagraph15"/>
              <w:numPr>
                <w:ilvl w:val="0"/>
                <w:numId w:val="171"/>
              </w:numPr>
              <w:rPr>
                <w:noProof/>
                <w:szCs w:val="20"/>
                <w:lang w:val="de-DE"/>
              </w:rPr>
            </w:pPr>
            <w:r w:rsidRPr="00170422">
              <w:rPr>
                <w:noProof/>
                <w:lang w:val="de-DE"/>
              </w:rPr>
              <w:t>Installation intelligenter Systeme zur Fernsteuerung, Regulierung, Verwaltung, Überwachung und Optimierung des Energieverbrauchs (inte</w:t>
            </w:r>
            <w:r w:rsidRPr="00170422">
              <w:rPr>
                <w:noProof/>
                <w:lang w:val="de-DE"/>
              </w:rPr>
              <w:t>lligente Gebäude) und Schadstoffemissionen, auch durch den Einsatz technologischer Mixe.</w:t>
            </w:r>
          </w:p>
        </w:tc>
      </w:tr>
      <w:tr w:rsidR="0057163C" w:rsidRPr="00170422" w14:paraId="368B173B" w14:textId="77777777" w:rsidTr="00744AB7">
        <w:trPr>
          <w:trHeight w:val="309"/>
          <w:jc w:val="center"/>
        </w:trPr>
        <w:tc>
          <w:tcPr>
            <w:tcW w:w="366" w:type="pct"/>
            <w:shd w:val="clear" w:color="auto" w:fill="C6EFCE"/>
            <w:noWrap/>
            <w:vAlign w:val="center"/>
          </w:tcPr>
          <w:p w14:paraId="5C8EA59B" w14:textId="77777777" w:rsidR="0057163C" w:rsidRPr="00170422" w:rsidRDefault="00F37BF9">
            <w:pPr>
              <w:pStyle w:val="P68B1DB1-Normal11"/>
              <w:jc w:val="center"/>
              <w:rPr>
                <w:noProof/>
                <w:lang w:val="de-DE"/>
              </w:rPr>
            </w:pPr>
            <w:r w:rsidRPr="00170422">
              <w:rPr>
                <w:noProof/>
                <w:lang w:val="de-DE"/>
              </w:rPr>
              <w:t>M1C3-6</w:t>
            </w:r>
          </w:p>
        </w:tc>
        <w:tc>
          <w:tcPr>
            <w:tcW w:w="553" w:type="pct"/>
            <w:shd w:val="clear" w:color="auto" w:fill="C6EFCE"/>
            <w:noWrap/>
            <w:vAlign w:val="center"/>
          </w:tcPr>
          <w:p w14:paraId="67740D3D" w14:textId="58F601B3" w:rsidR="0057163C" w:rsidRPr="00170422" w:rsidRDefault="00F37BF9">
            <w:pPr>
              <w:pStyle w:val="P68B1DB1-Normal11"/>
              <w:jc w:val="center"/>
              <w:rPr>
                <w:noProof/>
                <w:lang w:val="de-DE"/>
              </w:rPr>
            </w:pPr>
            <w:r w:rsidRPr="00170422">
              <w:rPr>
                <w:noProof/>
                <w:lang w:val="de-DE"/>
              </w:rPr>
              <w:t>Reform – 3.1 Umweltmindestkriterien für kulturelle Veranstaltungen</w:t>
            </w:r>
          </w:p>
        </w:tc>
        <w:tc>
          <w:tcPr>
            <w:tcW w:w="414" w:type="pct"/>
            <w:shd w:val="clear" w:color="auto" w:fill="C6EFCE"/>
            <w:noWrap/>
            <w:vAlign w:val="center"/>
          </w:tcPr>
          <w:p w14:paraId="6A2CC682" w14:textId="77777777" w:rsidR="0057163C" w:rsidRPr="00170422" w:rsidRDefault="00F37BF9">
            <w:pPr>
              <w:pStyle w:val="P68B1DB1-Normal11"/>
              <w:jc w:val="center"/>
              <w:rPr>
                <w:noProof/>
                <w:lang w:val="de-DE"/>
              </w:rPr>
            </w:pPr>
            <w:r w:rsidRPr="00170422">
              <w:rPr>
                <w:noProof/>
                <w:lang w:val="de-DE"/>
              </w:rPr>
              <w:t>Meilenstein</w:t>
            </w:r>
          </w:p>
        </w:tc>
        <w:tc>
          <w:tcPr>
            <w:tcW w:w="414" w:type="pct"/>
            <w:shd w:val="clear" w:color="auto" w:fill="C6EFCE"/>
            <w:noWrap/>
            <w:vAlign w:val="center"/>
          </w:tcPr>
          <w:p w14:paraId="52C851E7" w14:textId="77777777" w:rsidR="0057163C" w:rsidRPr="00170422" w:rsidRDefault="00F37BF9">
            <w:pPr>
              <w:pStyle w:val="P68B1DB1-Normal11"/>
              <w:jc w:val="center"/>
              <w:rPr>
                <w:noProof/>
                <w:lang w:val="de-DE"/>
              </w:rPr>
            </w:pPr>
            <w:r w:rsidRPr="00170422">
              <w:rPr>
                <w:noProof/>
                <w:lang w:val="de-DE"/>
              </w:rPr>
              <w:t xml:space="preserve">Inkrafttreten eines Dekrets zur Festlegung sozialer und ökologischer Kriterien </w:t>
            </w:r>
            <w:r w:rsidRPr="00170422">
              <w:rPr>
                <w:noProof/>
                <w:lang w:val="de-DE"/>
              </w:rPr>
              <w:t>bei öffentlichen Ausschreibungen für öffentlich finanzierte Kulturveranstaltungen</w:t>
            </w:r>
          </w:p>
        </w:tc>
        <w:tc>
          <w:tcPr>
            <w:tcW w:w="459" w:type="pct"/>
            <w:shd w:val="clear" w:color="auto" w:fill="C6EFCE"/>
            <w:noWrap/>
            <w:vAlign w:val="center"/>
          </w:tcPr>
          <w:p w14:paraId="69FADB3D" w14:textId="77777777" w:rsidR="0057163C" w:rsidRPr="00170422" w:rsidRDefault="00F37BF9">
            <w:pPr>
              <w:pStyle w:val="P68B1DB1-Normal11"/>
              <w:jc w:val="center"/>
              <w:rPr>
                <w:noProof/>
                <w:lang w:val="de-DE"/>
              </w:rPr>
            </w:pPr>
            <w:r w:rsidRPr="00170422">
              <w:rPr>
                <w:noProof/>
                <w:lang w:val="de-DE"/>
              </w:rPr>
              <w:t>Bestimmung im Dekret über das Inkrafttreten eines Dekrets über die Festlegung von Umweltmindestkriterien für kulturelle Veranstaltungen</w:t>
            </w:r>
          </w:p>
        </w:tc>
        <w:tc>
          <w:tcPr>
            <w:tcW w:w="368" w:type="pct"/>
            <w:shd w:val="clear" w:color="auto" w:fill="C6EFCE"/>
            <w:noWrap/>
            <w:vAlign w:val="center"/>
          </w:tcPr>
          <w:p w14:paraId="57B9A892" w14:textId="77777777" w:rsidR="0057163C" w:rsidRPr="00170422" w:rsidRDefault="00F37BF9">
            <w:pPr>
              <w:pStyle w:val="P68B1DB1-Normal11"/>
              <w:jc w:val="center"/>
              <w:rPr>
                <w:noProof/>
                <w:lang w:val="de-DE"/>
              </w:rPr>
            </w:pPr>
            <w:r w:rsidRPr="00170422">
              <w:rPr>
                <w:noProof/>
                <w:lang w:val="de-DE"/>
              </w:rPr>
              <w:t>ENTFÄLLT.</w:t>
            </w:r>
          </w:p>
        </w:tc>
        <w:tc>
          <w:tcPr>
            <w:tcW w:w="460" w:type="pct"/>
            <w:shd w:val="clear" w:color="auto" w:fill="C6EFCE"/>
            <w:noWrap/>
            <w:vAlign w:val="center"/>
          </w:tcPr>
          <w:p w14:paraId="0884DB15" w14:textId="77777777" w:rsidR="0057163C" w:rsidRPr="00170422" w:rsidRDefault="00F37BF9">
            <w:pPr>
              <w:pStyle w:val="P68B1DB1-Normal11"/>
              <w:jc w:val="center"/>
              <w:rPr>
                <w:noProof/>
                <w:lang w:val="de-DE"/>
              </w:rPr>
            </w:pPr>
            <w:r w:rsidRPr="00170422">
              <w:rPr>
                <w:noProof/>
                <w:lang w:val="de-DE"/>
              </w:rPr>
              <w:t>ENTFÄLLT.</w:t>
            </w:r>
          </w:p>
        </w:tc>
        <w:tc>
          <w:tcPr>
            <w:tcW w:w="367" w:type="pct"/>
            <w:shd w:val="clear" w:color="auto" w:fill="C6EFCE"/>
            <w:noWrap/>
            <w:vAlign w:val="center"/>
          </w:tcPr>
          <w:p w14:paraId="6BD579A3" w14:textId="77777777" w:rsidR="0057163C" w:rsidRPr="00170422" w:rsidRDefault="00F37BF9">
            <w:pPr>
              <w:pStyle w:val="P68B1DB1-Normal11"/>
              <w:jc w:val="center"/>
              <w:rPr>
                <w:noProof/>
                <w:lang w:val="de-DE"/>
              </w:rPr>
            </w:pPr>
            <w:r w:rsidRPr="00170422">
              <w:rPr>
                <w:noProof/>
                <w:lang w:val="de-DE"/>
              </w:rPr>
              <w:t>ENTFÄLLT.</w:t>
            </w:r>
          </w:p>
        </w:tc>
        <w:tc>
          <w:tcPr>
            <w:tcW w:w="276" w:type="pct"/>
            <w:shd w:val="clear" w:color="auto" w:fill="C6EFCE"/>
            <w:noWrap/>
            <w:vAlign w:val="center"/>
          </w:tcPr>
          <w:p w14:paraId="77A84737" w14:textId="77777777" w:rsidR="0057163C" w:rsidRPr="00170422" w:rsidRDefault="00F37BF9">
            <w:pPr>
              <w:pStyle w:val="P68B1DB1-Normal11"/>
              <w:jc w:val="center"/>
              <w:rPr>
                <w:noProof/>
                <w:lang w:val="de-DE"/>
              </w:rPr>
            </w:pPr>
            <w:r w:rsidRPr="00170422">
              <w:rPr>
                <w:noProof/>
                <w:lang w:val="de-DE"/>
              </w:rPr>
              <w:t xml:space="preserve">4. </w:t>
            </w:r>
            <w:r w:rsidRPr="00170422">
              <w:rPr>
                <w:noProof/>
                <w:lang w:val="de-DE"/>
              </w:rPr>
              <w:t>QUARTAL</w:t>
            </w:r>
          </w:p>
        </w:tc>
        <w:tc>
          <w:tcPr>
            <w:tcW w:w="276" w:type="pct"/>
            <w:shd w:val="clear" w:color="auto" w:fill="C6EFCE"/>
            <w:noWrap/>
            <w:vAlign w:val="center"/>
          </w:tcPr>
          <w:p w14:paraId="0DC1037E" w14:textId="77777777" w:rsidR="0057163C" w:rsidRPr="00170422" w:rsidRDefault="00F37BF9">
            <w:pPr>
              <w:pStyle w:val="P68B1DB1-Normal11"/>
              <w:jc w:val="center"/>
              <w:rPr>
                <w:noProof/>
                <w:lang w:val="de-DE"/>
              </w:rPr>
            </w:pPr>
            <w:r w:rsidRPr="00170422">
              <w:rPr>
                <w:noProof/>
                <w:lang w:val="de-DE"/>
              </w:rPr>
              <w:t>2022</w:t>
            </w:r>
          </w:p>
        </w:tc>
        <w:tc>
          <w:tcPr>
            <w:tcW w:w="1047" w:type="pct"/>
            <w:shd w:val="clear" w:color="auto" w:fill="C6EFCE"/>
            <w:noWrap/>
            <w:vAlign w:val="center"/>
          </w:tcPr>
          <w:p w14:paraId="40AFABA6" w14:textId="77777777" w:rsidR="0057163C" w:rsidRPr="00170422" w:rsidRDefault="00F37BF9">
            <w:pPr>
              <w:pStyle w:val="P68B1DB1-Normal11"/>
              <w:rPr>
                <w:noProof/>
                <w:szCs w:val="20"/>
                <w:lang w:val="de-DE"/>
              </w:rPr>
            </w:pPr>
            <w:r w:rsidRPr="00170422">
              <w:rPr>
                <w:noProof/>
                <w:lang w:val="de-DE"/>
              </w:rPr>
              <w:t>Für folgende Aspekte werden Kriterien festgelegt: Verringerung der Verwendung von Papier und Druck, Verwendung umweltfreundlicher Materialien, Aufbau von Stufen aus recycelten und wiederverwendeten Materialien und nachhaltigen Ausstattungsgege</w:t>
            </w:r>
            <w:r w:rsidRPr="00170422">
              <w:rPr>
                <w:noProof/>
                <w:lang w:val="de-DE"/>
              </w:rPr>
              <w:t xml:space="preserve">nständen, umweltschonende Werbeartikel, Auswahl des Standorts auf der Grundlage des Schutzes der biologischen Vielfalt, kostengünstige Catering-Dienste, Transport zum Erreichen der Veranstaltung und Materialtransport, Energieverbrauch für die Organisation </w:t>
            </w:r>
            <w:r w:rsidRPr="00170422">
              <w:rPr>
                <w:noProof/>
                <w:lang w:val="de-DE"/>
              </w:rPr>
              <w:t>der Veranstaltung.</w:t>
            </w:r>
          </w:p>
          <w:p w14:paraId="2E58E5F5" w14:textId="77777777" w:rsidR="0057163C" w:rsidRPr="00170422" w:rsidRDefault="00F37BF9">
            <w:pPr>
              <w:pStyle w:val="P68B1DB1-Normal11"/>
              <w:rPr>
                <w:noProof/>
                <w:szCs w:val="20"/>
                <w:lang w:val="de-DE"/>
              </w:rPr>
            </w:pPr>
            <w:r w:rsidRPr="00170422">
              <w:rPr>
                <w:noProof/>
                <w:lang w:val="de-DE"/>
              </w:rPr>
              <w:t>Zu den sozialen Kriterien zur Förderung der Zugänglichkeit und Inklusion gehören: Förderung der Barrierefreiheit für Menschen mit Behinderungen; Förderung von Beschäftigungsmöglichkeiten für junge Menschen, Langzeitarbeitslose, Angehörig</w:t>
            </w:r>
            <w:r w:rsidRPr="00170422">
              <w:rPr>
                <w:noProof/>
                <w:lang w:val="de-DE"/>
              </w:rPr>
              <w:t>e benachteiligter Gruppen (z. B. Wanderarbeitnehmer und ethnische Minderheiten) und Menschen mit Behinderungen; Gewährleistung eines gleichberechtigten Zugangs zu öffentlichen Aufträgen für Unternehmen, deren Eigentümer oder Beschäftigte ethnischen Gruppen</w:t>
            </w:r>
            <w:r w:rsidRPr="00170422">
              <w:rPr>
                <w:noProof/>
                <w:lang w:val="de-DE"/>
              </w:rPr>
              <w:t xml:space="preserve"> oder Minderheiten angehören, wie Genossenschaften, Sozialunternehmen und gemeinnützigen Organisationen; Förderung „menschenwürdiger Arbeit“ im Sinne des Rechts auf produktive und frei gewählte Arbeit, auf grundlegende Prinzipien und Rechte bei der Arbeit,</w:t>
            </w:r>
            <w:r w:rsidRPr="00170422">
              <w:rPr>
                <w:noProof/>
                <w:lang w:val="de-DE"/>
              </w:rPr>
              <w:t xml:space="preserve"> auf angemessene Löhne, sozialen Schutz und sozialen Dialog.</w:t>
            </w:r>
          </w:p>
          <w:p w14:paraId="237ABC00" w14:textId="77777777" w:rsidR="0057163C" w:rsidRPr="00170422" w:rsidRDefault="00F37BF9">
            <w:pPr>
              <w:pStyle w:val="P68B1DB1-Normal11"/>
              <w:rPr>
                <w:noProof/>
                <w:lang w:val="de-DE"/>
              </w:rPr>
            </w:pPr>
            <w:r w:rsidRPr="00170422">
              <w:rPr>
                <w:noProof/>
                <w:lang w:val="de-DE"/>
              </w:rPr>
              <w:t>Die Reform umfasst kulturelle Veranstaltungen wie Ausstellungen, Festivals und Veranstaltungen der darstellenden Kunst.</w:t>
            </w:r>
          </w:p>
        </w:tc>
      </w:tr>
      <w:tr w:rsidR="0057163C" w:rsidRPr="00170422" w14:paraId="2BB5FE4C" w14:textId="77777777" w:rsidTr="00744AB7">
        <w:trPr>
          <w:trHeight w:val="309"/>
          <w:jc w:val="center"/>
        </w:trPr>
        <w:tc>
          <w:tcPr>
            <w:tcW w:w="366" w:type="pct"/>
            <w:shd w:val="clear" w:color="auto" w:fill="C6EFCE"/>
            <w:noWrap/>
            <w:vAlign w:val="center"/>
            <w:hideMark/>
          </w:tcPr>
          <w:p w14:paraId="1106F400" w14:textId="77777777" w:rsidR="0057163C" w:rsidRPr="00170422" w:rsidRDefault="00F37BF9">
            <w:pPr>
              <w:pStyle w:val="P68B1DB1-Normal11"/>
              <w:jc w:val="center"/>
              <w:rPr>
                <w:noProof/>
                <w:szCs w:val="20"/>
                <w:lang w:val="de-DE"/>
              </w:rPr>
            </w:pPr>
            <w:r w:rsidRPr="00170422">
              <w:rPr>
                <w:noProof/>
                <w:lang w:val="de-DE"/>
              </w:rPr>
              <w:t>M1C3-7</w:t>
            </w:r>
          </w:p>
        </w:tc>
        <w:tc>
          <w:tcPr>
            <w:tcW w:w="553" w:type="pct"/>
            <w:shd w:val="clear" w:color="auto" w:fill="C6EFCE"/>
            <w:noWrap/>
            <w:vAlign w:val="center"/>
            <w:hideMark/>
          </w:tcPr>
          <w:p w14:paraId="52CB5501" w14:textId="77777777" w:rsidR="0057163C" w:rsidRPr="00170422" w:rsidRDefault="00F37BF9">
            <w:pPr>
              <w:pStyle w:val="P68B1DB1-Normal11"/>
              <w:jc w:val="center"/>
              <w:rPr>
                <w:noProof/>
                <w:szCs w:val="20"/>
                <w:lang w:val="de-DE"/>
              </w:rPr>
            </w:pPr>
            <w:r w:rsidRPr="00170422">
              <w:rPr>
                <w:noProof/>
                <w:lang w:val="de-DE"/>
              </w:rPr>
              <w:t xml:space="preserve">Investitionen – 3.3 Aufbau von Kapazitäten für Kulturakteure zur </w:t>
            </w:r>
            <w:r w:rsidRPr="00170422">
              <w:rPr>
                <w:noProof/>
                <w:lang w:val="de-DE"/>
              </w:rPr>
              <w:t>Bewältigung des digitalen und ökologischen Wandels.</w:t>
            </w:r>
          </w:p>
        </w:tc>
        <w:tc>
          <w:tcPr>
            <w:tcW w:w="414" w:type="pct"/>
            <w:shd w:val="clear" w:color="auto" w:fill="C6EFCE"/>
            <w:noWrap/>
            <w:vAlign w:val="center"/>
            <w:hideMark/>
          </w:tcPr>
          <w:p w14:paraId="5D88D942" w14:textId="77777777" w:rsidR="0057163C" w:rsidRPr="00170422" w:rsidRDefault="00F37BF9">
            <w:pPr>
              <w:pStyle w:val="P68B1DB1-Normal11"/>
              <w:jc w:val="center"/>
              <w:rPr>
                <w:noProof/>
                <w:szCs w:val="20"/>
                <w:lang w:val="de-DE"/>
              </w:rPr>
            </w:pPr>
            <w:r w:rsidRPr="00170422">
              <w:rPr>
                <w:noProof/>
                <w:lang w:val="de-DE"/>
              </w:rPr>
              <w:t>Meilenstein</w:t>
            </w:r>
          </w:p>
        </w:tc>
        <w:tc>
          <w:tcPr>
            <w:tcW w:w="414" w:type="pct"/>
            <w:shd w:val="clear" w:color="auto" w:fill="C6EFCE"/>
            <w:noWrap/>
            <w:vAlign w:val="center"/>
            <w:hideMark/>
          </w:tcPr>
          <w:p w14:paraId="6603A745" w14:textId="70AC0B83" w:rsidR="0057163C" w:rsidRPr="00170422" w:rsidRDefault="00F37BF9">
            <w:pPr>
              <w:pStyle w:val="P68B1DB1-Normal11"/>
              <w:jc w:val="center"/>
              <w:rPr>
                <w:noProof/>
                <w:szCs w:val="20"/>
                <w:lang w:val="de-DE"/>
              </w:rPr>
            </w:pPr>
            <w:r w:rsidRPr="00170422">
              <w:rPr>
                <w:noProof/>
                <w:lang w:val="de-DE"/>
              </w:rPr>
              <w:t>Vergabe aller öffentlichen Aufträge an die Durchführungsorganisation/die Begünstigten für alle Interventionen zur Bewältigung des digitalen und ökologischen Wandels von Kulturakteuren</w:t>
            </w:r>
          </w:p>
        </w:tc>
        <w:tc>
          <w:tcPr>
            <w:tcW w:w="459" w:type="pct"/>
            <w:shd w:val="clear" w:color="auto" w:fill="C6EFCE"/>
            <w:noWrap/>
            <w:vAlign w:val="center"/>
            <w:hideMark/>
          </w:tcPr>
          <w:p w14:paraId="3534EA4B" w14:textId="77777777" w:rsidR="0057163C" w:rsidRPr="00170422" w:rsidRDefault="00F37BF9">
            <w:pPr>
              <w:pStyle w:val="P68B1DB1-Normal11"/>
              <w:jc w:val="center"/>
              <w:rPr>
                <w:noProof/>
                <w:szCs w:val="20"/>
                <w:lang w:val="de-DE"/>
              </w:rPr>
            </w:pPr>
            <w:r w:rsidRPr="00170422">
              <w:rPr>
                <w:noProof/>
                <w:lang w:val="de-DE"/>
              </w:rPr>
              <w:t>Mitteilu</w:t>
            </w:r>
            <w:r w:rsidRPr="00170422">
              <w:rPr>
                <w:noProof/>
                <w:lang w:val="de-DE"/>
              </w:rPr>
              <w:t>ng über die Vergabe aller öffentlichen Aufträge für die Organisationen und Netze, die für die Durchführung der Maßnahmen zum Kapazitätsaufbau zuständig sind</w:t>
            </w:r>
          </w:p>
        </w:tc>
        <w:tc>
          <w:tcPr>
            <w:tcW w:w="368" w:type="pct"/>
            <w:shd w:val="clear" w:color="auto" w:fill="C6EFCE"/>
            <w:noWrap/>
            <w:vAlign w:val="center"/>
            <w:hideMark/>
          </w:tcPr>
          <w:p w14:paraId="4A0D0C1F" w14:textId="77777777" w:rsidR="0057163C" w:rsidRPr="00170422" w:rsidRDefault="00F37BF9">
            <w:pPr>
              <w:pStyle w:val="P68B1DB1-Normal11"/>
              <w:jc w:val="center"/>
              <w:rPr>
                <w:noProof/>
                <w:szCs w:val="20"/>
                <w:lang w:val="de-DE"/>
              </w:rPr>
            </w:pPr>
            <w:r w:rsidRPr="00170422">
              <w:rPr>
                <w:noProof/>
                <w:lang w:val="de-DE"/>
              </w:rPr>
              <w:t>ENTFÄLLT.</w:t>
            </w:r>
          </w:p>
        </w:tc>
        <w:tc>
          <w:tcPr>
            <w:tcW w:w="460" w:type="pct"/>
            <w:shd w:val="clear" w:color="auto" w:fill="C6EFCE"/>
            <w:noWrap/>
            <w:vAlign w:val="center"/>
            <w:hideMark/>
          </w:tcPr>
          <w:p w14:paraId="7196E909" w14:textId="77777777" w:rsidR="0057163C" w:rsidRPr="00170422" w:rsidRDefault="00F37BF9">
            <w:pPr>
              <w:pStyle w:val="P68B1DB1-Normal11"/>
              <w:jc w:val="center"/>
              <w:rPr>
                <w:noProof/>
                <w:szCs w:val="20"/>
                <w:lang w:val="de-DE"/>
              </w:rPr>
            </w:pPr>
            <w:r w:rsidRPr="00170422">
              <w:rPr>
                <w:noProof/>
                <w:lang w:val="de-DE"/>
              </w:rPr>
              <w:t>ENTFÄLLT.</w:t>
            </w:r>
          </w:p>
        </w:tc>
        <w:tc>
          <w:tcPr>
            <w:tcW w:w="367" w:type="pct"/>
            <w:shd w:val="clear" w:color="auto" w:fill="C6EFCE"/>
            <w:noWrap/>
            <w:vAlign w:val="center"/>
            <w:hideMark/>
          </w:tcPr>
          <w:p w14:paraId="4576EE10" w14:textId="77777777" w:rsidR="0057163C" w:rsidRPr="00170422" w:rsidRDefault="00F37BF9">
            <w:pPr>
              <w:pStyle w:val="P68B1DB1-Normal11"/>
              <w:jc w:val="center"/>
              <w:rPr>
                <w:noProof/>
                <w:szCs w:val="20"/>
                <w:lang w:val="de-DE"/>
              </w:rPr>
            </w:pPr>
            <w:r w:rsidRPr="00170422">
              <w:rPr>
                <w:noProof/>
                <w:lang w:val="de-DE"/>
              </w:rPr>
              <w:t>ENTFÄLLT.</w:t>
            </w:r>
          </w:p>
        </w:tc>
        <w:tc>
          <w:tcPr>
            <w:tcW w:w="276" w:type="pct"/>
            <w:shd w:val="clear" w:color="auto" w:fill="C6EFCE"/>
            <w:noWrap/>
            <w:vAlign w:val="center"/>
            <w:hideMark/>
          </w:tcPr>
          <w:p w14:paraId="7E97B5F3" w14:textId="77777777" w:rsidR="0057163C" w:rsidRPr="00170422" w:rsidRDefault="00F37BF9">
            <w:pPr>
              <w:pStyle w:val="P68B1DB1-Normal11"/>
              <w:jc w:val="center"/>
              <w:rPr>
                <w:noProof/>
                <w:szCs w:val="20"/>
                <w:lang w:val="de-DE"/>
              </w:rPr>
            </w:pPr>
            <w:r w:rsidRPr="00170422">
              <w:rPr>
                <w:noProof/>
                <w:lang w:val="de-DE"/>
              </w:rPr>
              <w:t>4. QUARTAL</w:t>
            </w:r>
          </w:p>
        </w:tc>
        <w:tc>
          <w:tcPr>
            <w:tcW w:w="276" w:type="pct"/>
            <w:shd w:val="clear" w:color="auto" w:fill="C6EFCE"/>
            <w:noWrap/>
            <w:vAlign w:val="center"/>
            <w:hideMark/>
          </w:tcPr>
          <w:p w14:paraId="1D2C18D3" w14:textId="77777777" w:rsidR="0057163C" w:rsidRPr="00170422" w:rsidRDefault="00F37BF9">
            <w:pPr>
              <w:pStyle w:val="P68B1DB1-Normal11"/>
              <w:jc w:val="center"/>
              <w:rPr>
                <w:noProof/>
                <w:szCs w:val="20"/>
                <w:lang w:val="de-DE"/>
              </w:rPr>
            </w:pPr>
            <w:r w:rsidRPr="00170422">
              <w:rPr>
                <w:noProof/>
                <w:lang w:val="de-DE"/>
              </w:rPr>
              <w:t>2023</w:t>
            </w:r>
          </w:p>
        </w:tc>
        <w:tc>
          <w:tcPr>
            <w:tcW w:w="1047" w:type="pct"/>
            <w:shd w:val="clear" w:color="auto" w:fill="C6EFCE"/>
            <w:noWrap/>
            <w:vAlign w:val="center"/>
            <w:hideMark/>
          </w:tcPr>
          <w:p w14:paraId="3FC11FB5" w14:textId="77777777" w:rsidR="0057163C" w:rsidRPr="00170422" w:rsidRDefault="00F37BF9">
            <w:pPr>
              <w:pStyle w:val="P68B1DB1-Normal11"/>
              <w:rPr>
                <w:noProof/>
                <w:szCs w:val="20"/>
                <w:lang w:val="de-DE"/>
              </w:rPr>
            </w:pPr>
            <w:r w:rsidRPr="00170422">
              <w:rPr>
                <w:noProof/>
                <w:lang w:val="de-DE"/>
              </w:rPr>
              <w:t>Bei den ausgewählten Durchführungsstellen handelt es sich um spezialisierte Organisationen oder Netzwerke, die über Fähigkeiten und Erfahrungen sowohl im Bereich der Ausbildung als auch in den Bereichen Kulturproduktion, Umwelt, Kulturmanagement und Ausbil</w:t>
            </w:r>
            <w:r w:rsidRPr="00170422">
              <w:rPr>
                <w:noProof/>
                <w:lang w:val="de-DE"/>
              </w:rPr>
              <w:t>dung verfügen.</w:t>
            </w:r>
          </w:p>
          <w:p w14:paraId="6EEA4069" w14:textId="1342987A" w:rsidR="0057163C" w:rsidRPr="00170422" w:rsidRDefault="00F37BF9">
            <w:pPr>
              <w:pStyle w:val="P68B1DB1-Normal11"/>
              <w:rPr>
                <w:noProof/>
                <w:szCs w:val="20"/>
                <w:lang w:val="de-DE"/>
              </w:rPr>
            </w:pPr>
            <w:r w:rsidRPr="00170422">
              <w:rPr>
                <w:noProof/>
                <w:lang w:val="de-DE"/>
              </w:rPr>
              <w:t>Die Mitteilung über die Vergabe aller öffentlichen Aufträge für Projekte, die im Rahmen der wettbewerblichen Aufforderungen zur Einreichung von Vorschlägen ausgewählt wurden, muss mit den technischen Leitlinien „Vermeidung erheblicher Beeint</w:t>
            </w:r>
            <w:r w:rsidRPr="00170422">
              <w:rPr>
                <w:noProof/>
                <w:lang w:val="de-DE"/>
              </w:rPr>
              <w:t>rächtigungen“ (2021/C58/01) im Einklang stehen, indem eine Ausschlussliste verwendet wird und die einschlägigen Umweltvorschriften der EU und der Mitgliedstaaten eingehalten werden.</w:t>
            </w:r>
          </w:p>
        </w:tc>
      </w:tr>
      <w:tr w:rsidR="0057163C" w:rsidRPr="00170422" w14:paraId="3FF8D711" w14:textId="77777777" w:rsidTr="00744AB7">
        <w:trPr>
          <w:trHeight w:val="309"/>
          <w:jc w:val="center"/>
        </w:trPr>
        <w:tc>
          <w:tcPr>
            <w:tcW w:w="366" w:type="pct"/>
            <w:shd w:val="clear" w:color="auto" w:fill="C6EFCE"/>
            <w:noWrap/>
            <w:vAlign w:val="center"/>
          </w:tcPr>
          <w:p w14:paraId="7FE970B6" w14:textId="77777777" w:rsidR="0057163C" w:rsidRPr="00170422" w:rsidRDefault="00F37BF9">
            <w:pPr>
              <w:pStyle w:val="P68B1DB1-Normal11"/>
              <w:jc w:val="center"/>
              <w:rPr>
                <w:noProof/>
                <w:lang w:val="de-DE"/>
              </w:rPr>
            </w:pPr>
            <w:r w:rsidRPr="00170422">
              <w:rPr>
                <w:noProof/>
                <w:lang w:val="de-DE"/>
              </w:rPr>
              <w:t>M1C3-8</w:t>
            </w:r>
          </w:p>
        </w:tc>
        <w:tc>
          <w:tcPr>
            <w:tcW w:w="553" w:type="pct"/>
            <w:shd w:val="clear" w:color="auto" w:fill="C6EFCE"/>
            <w:noWrap/>
            <w:vAlign w:val="center"/>
          </w:tcPr>
          <w:p w14:paraId="399604C8" w14:textId="77777777" w:rsidR="0057163C" w:rsidRPr="00170422" w:rsidRDefault="00F37BF9">
            <w:pPr>
              <w:pStyle w:val="P68B1DB1-Normal11"/>
              <w:jc w:val="center"/>
              <w:rPr>
                <w:noProof/>
                <w:lang w:val="de-DE"/>
              </w:rPr>
            </w:pPr>
            <w:r w:rsidRPr="00170422">
              <w:rPr>
                <w:noProof/>
                <w:lang w:val="de-DE"/>
              </w:rPr>
              <w:t>Investitionen – 4.1 Digitales Tourismuszentrum</w:t>
            </w:r>
          </w:p>
        </w:tc>
        <w:tc>
          <w:tcPr>
            <w:tcW w:w="414" w:type="pct"/>
            <w:shd w:val="clear" w:color="auto" w:fill="C6EFCE"/>
            <w:noWrap/>
            <w:vAlign w:val="center"/>
          </w:tcPr>
          <w:p w14:paraId="4B424080" w14:textId="77777777" w:rsidR="0057163C" w:rsidRPr="00170422" w:rsidRDefault="00F37BF9">
            <w:pPr>
              <w:pStyle w:val="P68B1DB1-Normal11"/>
              <w:jc w:val="center"/>
              <w:rPr>
                <w:noProof/>
                <w:lang w:val="de-DE"/>
              </w:rPr>
            </w:pPr>
            <w:r w:rsidRPr="00170422">
              <w:rPr>
                <w:noProof/>
                <w:lang w:val="de-DE"/>
              </w:rPr>
              <w:t>Meilenstein</w:t>
            </w:r>
          </w:p>
        </w:tc>
        <w:tc>
          <w:tcPr>
            <w:tcW w:w="414" w:type="pct"/>
            <w:shd w:val="clear" w:color="auto" w:fill="C6EFCE"/>
            <w:noWrap/>
            <w:vAlign w:val="center"/>
          </w:tcPr>
          <w:p w14:paraId="47B15228" w14:textId="77777777" w:rsidR="0057163C" w:rsidRPr="00170422" w:rsidRDefault="00F37BF9">
            <w:pPr>
              <w:pStyle w:val="P68B1DB1-Normal11"/>
              <w:spacing w:line="276" w:lineRule="auto"/>
              <w:jc w:val="center"/>
              <w:rPr>
                <w:noProof/>
                <w:lang w:val="de-DE"/>
              </w:rPr>
            </w:pPr>
            <w:r w:rsidRPr="00170422">
              <w:rPr>
                <w:noProof/>
                <w:lang w:val="de-DE"/>
              </w:rPr>
              <w:t>Auftragsvergabe für die Entwicklung des digitalen Tourismusportals</w:t>
            </w:r>
          </w:p>
        </w:tc>
        <w:tc>
          <w:tcPr>
            <w:tcW w:w="459" w:type="pct"/>
            <w:shd w:val="clear" w:color="auto" w:fill="C6EFCE"/>
            <w:noWrap/>
            <w:vAlign w:val="center"/>
          </w:tcPr>
          <w:p w14:paraId="78A99255" w14:textId="77777777" w:rsidR="0057163C" w:rsidRPr="00170422" w:rsidRDefault="00F37BF9">
            <w:pPr>
              <w:pStyle w:val="P68B1DB1-Normal11"/>
              <w:jc w:val="center"/>
              <w:rPr>
                <w:noProof/>
                <w:lang w:val="de-DE"/>
              </w:rPr>
            </w:pPr>
            <w:r w:rsidRPr="00170422">
              <w:rPr>
                <w:noProof/>
                <w:lang w:val="de-DE"/>
              </w:rPr>
              <w:t>Mitteilung über die Vergabe aller öffentlichen Aufträge für die Entwicklung des digitalen Tourismusportals</w:t>
            </w:r>
          </w:p>
        </w:tc>
        <w:tc>
          <w:tcPr>
            <w:tcW w:w="368" w:type="pct"/>
            <w:shd w:val="clear" w:color="auto" w:fill="C6EFCE"/>
            <w:noWrap/>
            <w:vAlign w:val="center"/>
          </w:tcPr>
          <w:p w14:paraId="1C5FC3DD" w14:textId="77777777" w:rsidR="0057163C" w:rsidRPr="00170422" w:rsidRDefault="00F37BF9">
            <w:pPr>
              <w:pStyle w:val="P68B1DB1-Normal11"/>
              <w:jc w:val="center"/>
              <w:rPr>
                <w:noProof/>
                <w:lang w:val="de-DE"/>
              </w:rPr>
            </w:pPr>
            <w:r w:rsidRPr="00170422">
              <w:rPr>
                <w:noProof/>
                <w:lang w:val="de-DE"/>
              </w:rPr>
              <w:t>ENTFÄLLT.</w:t>
            </w:r>
          </w:p>
        </w:tc>
        <w:tc>
          <w:tcPr>
            <w:tcW w:w="460" w:type="pct"/>
            <w:shd w:val="clear" w:color="auto" w:fill="C6EFCE"/>
            <w:noWrap/>
            <w:vAlign w:val="center"/>
          </w:tcPr>
          <w:p w14:paraId="20E9A7DD" w14:textId="77777777" w:rsidR="0057163C" w:rsidRPr="00170422" w:rsidRDefault="00F37BF9">
            <w:pPr>
              <w:pStyle w:val="P68B1DB1-Normal11"/>
              <w:jc w:val="center"/>
              <w:rPr>
                <w:noProof/>
                <w:lang w:val="de-DE"/>
              </w:rPr>
            </w:pPr>
            <w:r w:rsidRPr="00170422">
              <w:rPr>
                <w:noProof/>
                <w:lang w:val="de-DE"/>
              </w:rPr>
              <w:t>ENTFÄLLT.</w:t>
            </w:r>
          </w:p>
        </w:tc>
        <w:tc>
          <w:tcPr>
            <w:tcW w:w="367" w:type="pct"/>
            <w:shd w:val="clear" w:color="auto" w:fill="C6EFCE"/>
            <w:noWrap/>
            <w:vAlign w:val="center"/>
          </w:tcPr>
          <w:p w14:paraId="3ED99410" w14:textId="77777777" w:rsidR="0057163C" w:rsidRPr="00170422" w:rsidRDefault="00F37BF9">
            <w:pPr>
              <w:pStyle w:val="P68B1DB1-Normal11"/>
              <w:jc w:val="center"/>
              <w:rPr>
                <w:noProof/>
                <w:lang w:val="de-DE"/>
              </w:rPr>
            </w:pPr>
            <w:r w:rsidRPr="00170422">
              <w:rPr>
                <w:noProof/>
                <w:lang w:val="de-DE"/>
              </w:rPr>
              <w:t>ENTFÄLLT.</w:t>
            </w:r>
          </w:p>
        </w:tc>
        <w:tc>
          <w:tcPr>
            <w:tcW w:w="276" w:type="pct"/>
            <w:shd w:val="clear" w:color="auto" w:fill="C6EFCE"/>
            <w:noWrap/>
            <w:vAlign w:val="center"/>
          </w:tcPr>
          <w:p w14:paraId="3C120E4B" w14:textId="77777777" w:rsidR="0057163C" w:rsidRPr="00170422" w:rsidRDefault="00F37BF9">
            <w:pPr>
              <w:pStyle w:val="P68B1DB1-Normal11"/>
              <w:jc w:val="center"/>
              <w:rPr>
                <w:noProof/>
                <w:lang w:val="de-DE"/>
              </w:rPr>
            </w:pPr>
            <w:r w:rsidRPr="00170422">
              <w:rPr>
                <w:noProof/>
                <w:lang w:val="de-DE"/>
              </w:rPr>
              <w:t>4. QUARTAL</w:t>
            </w:r>
          </w:p>
        </w:tc>
        <w:tc>
          <w:tcPr>
            <w:tcW w:w="276" w:type="pct"/>
            <w:shd w:val="clear" w:color="auto" w:fill="C6EFCE"/>
            <w:noWrap/>
            <w:vAlign w:val="center"/>
          </w:tcPr>
          <w:p w14:paraId="1BBB1CFA" w14:textId="77777777" w:rsidR="0057163C" w:rsidRPr="00170422" w:rsidRDefault="00F37BF9">
            <w:pPr>
              <w:pStyle w:val="P68B1DB1-Normal11"/>
              <w:jc w:val="center"/>
              <w:rPr>
                <w:noProof/>
                <w:lang w:val="de-DE"/>
              </w:rPr>
            </w:pPr>
            <w:r w:rsidRPr="00170422">
              <w:rPr>
                <w:noProof/>
                <w:lang w:val="de-DE"/>
              </w:rPr>
              <w:t>2021</w:t>
            </w:r>
          </w:p>
        </w:tc>
        <w:tc>
          <w:tcPr>
            <w:tcW w:w="1047" w:type="pct"/>
            <w:shd w:val="clear" w:color="auto" w:fill="C6EFCE"/>
            <w:noWrap/>
            <w:vAlign w:val="center"/>
          </w:tcPr>
          <w:p w14:paraId="74537277" w14:textId="77777777" w:rsidR="0057163C" w:rsidRPr="00170422" w:rsidRDefault="00F37BF9">
            <w:pPr>
              <w:pStyle w:val="P68B1DB1-Normal11"/>
              <w:rPr>
                <w:noProof/>
                <w:szCs w:val="20"/>
                <w:lang w:val="de-DE"/>
              </w:rPr>
            </w:pPr>
            <w:r w:rsidRPr="00170422">
              <w:rPr>
                <w:noProof/>
                <w:lang w:val="de-DE"/>
              </w:rPr>
              <w:t xml:space="preserve">Mitteilung über die Vergabe (aller) </w:t>
            </w:r>
            <w:r w:rsidRPr="00170422">
              <w:rPr>
                <w:noProof/>
                <w:lang w:val="de-DE"/>
              </w:rPr>
              <w:t>öffentlicher Aufträge für die Entwicklung des digitalen Tourismusportals.</w:t>
            </w:r>
          </w:p>
          <w:p w14:paraId="405B42A8" w14:textId="77777777" w:rsidR="0057163C" w:rsidRPr="00170422" w:rsidRDefault="00F37BF9">
            <w:pPr>
              <w:pStyle w:val="P68B1DB1-Normal11"/>
              <w:rPr>
                <w:noProof/>
                <w:szCs w:val="20"/>
                <w:lang w:val="de-DE"/>
              </w:rPr>
            </w:pPr>
            <w:r w:rsidRPr="00170422">
              <w:rPr>
                <w:noProof/>
                <w:lang w:val="de-DE"/>
              </w:rPr>
              <w:t>Mit dem digitalen Tourismusportal wird das derzeitige Portal Italia.it durch die Einführung einer Cloud und einer offenen Architektur modernisiert, wodurch die Vernetzung mit dem Öko</w:t>
            </w:r>
            <w:r w:rsidRPr="00170422">
              <w:rPr>
                <w:noProof/>
                <w:lang w:val="de-DE"/>
              </w:rPr>
              <w:t>system stark gefördert wird. Das aufgerüstete Portal umfasst: Schaffung einer neuen Front-End-Schnittstelle und eines neuen Navigationsbaums; Überprüfung des Layouts, der Struktur und der Funktionen der Abschnitte, Seiten und Artikel; Einführung von Karten</w:t>
            </w:r>
            <w:r w:rsidRPr="00170422">
              <w:rPr>
                <w:noProof/>
                <w:lang w:val="de-DE"/>
              </w:rPr>
              <w:t xml:space="preserve">; mehrsprachige Verwaltung (zum Zeitpunkt der Umstellung wird das Portal in italienischer und englischer Sprache vorgestellt). Die Integration der anderen, derzeit unterstützten Sprachen wird in den Monaten erwartet, die unmittelbar auf die Inbetriebnahme </w:t>
            </w:r>
            <w:r w:rsidRPr="00170422">
              <w:rPr>
                <w:noProof/>
                <w:lang w:val="de-DE"/>
              </w:rPr>
              <w:t>folgen.</w:t>
            </w:r>
          </w:p>
          <w:p w14:paraId="0818F197" w14:textId="7CE04BC5" w:rsidR="0057163C" w:rsidRPr="00170422" w:rsidRDefault="00F37BF9">
            <w:pPr>
              <w:pStyle w:val="P68B1DB1-Normal11"/>
              <w:rPr>
                <w:noProof/>
                <w:lang w:val="de-DE"/>
              </w:rPr>
            </w:pPr>
            <w:r w:rsidRPr="00170422">
              <w:rPr>
                <w:noProof/>
                <w:lang w:val="de-DE"/>
              </w:rPr>
              <w:t>Vergabe der Aufträge an die im Rahmen der wettbewerblichen Aufforderungen zur Einreichung von Vorschlägen ausgewählten Projekte im Einklang mit den technischen Leitlinien „Vermeidung erheblicher Beeinträchtigungen“ (2021/C58/01) durch Verwendung ei</w:t>
            </w:r>
            <w:r w:rsidRPr="00170422">
              <w:rPr>
                <w:noProof/>
                <w:lang w:val="de-DE"/>
              </w:rPr>
              <w:t>ner Ausschlussliste und der Anforderung der Einhaltung der einschlägigen EU- und nationalen Umweltvorschriften.</w:t>
            </w:r>
          </w:p>
        </w:tc>
      </w:tr>
      <w:tr w:rsidR="0057163C" w:rsidRPr="00170422" w14:paraId="1EB0A82B" w14:textId="77777777" w:rsidTr="00744AB7">
        <w:trPr>
          <w:trHeight w:val="309"/>
          <w:jc w:val="center"/>
        </w:trPr>
        <w:tc>
          <w:tcPr>
            <w:tcW w:w="366" w:type="pct"/>
            <w:shd w:val="clear" w:color="auto" w:fill="C6EFCE"/>
            <w:noWrap/>
            <w:vAlign w:val="center"/>
          </w:tcPr>
          <w:p w14:paraId="485F7D45" w14:textId="77777777" w:rsidR="0057163C" w:rsidRPr="00170422" w:rsidRDefault="00F37BF9">
            <w:pPr>
              <w:pStyle w:val="P68B1DB1-Normal11"/>
              <w:jc w:val="center"/>
              <w:rPr>
                <w:noProof/>
                <w:lang w:val="de-DE"/>
              </w:rPr>
            </w:pPr>
            <w:r w:rsidRPr="00170422">
              <w:rPr>
                <w:noProof/>
                <w:lang w:val="de-DE"/>
              </w:rPr>
              <w:t>M1C3-9</w:t>
            </w:r>
          </w:p>
        </w:tc>
        <w:tc>
          <w:tcPr>
            <w:tcW w:w="553" w:type="pct"/>
            <w:shd w:val="clear" w:color="auto" w:fill="C6EFCE"/>
            <w:noWrap/>
            <w:vAlign w:val="center"/>
          </w:tcPr>
          <w:p w14:paraId="12558E98" w14:textId="43C7C166" w:rsidR="0057163C" w:rsidRPr="00170422" w:rsidRDefault="00F37BF9">
            <w:pPr>
              <w:pStyle w:val="P68B1DB1-Normal11"/>
              <w:jc w:val="center"/>
              <w:rPr>
                <w:noProof/>
                <w:lang w:val="de-DE"/>
              </w:rPr>
            </w:pPr>
            <w:r w:rsidRPr="00170422">
              <w:rPr>
                <w:noProof/>
                <w:lang w:val="de-DE"/>
              </w:rPr>
              <w:t>Investition 4.1 Digitales Tourismuszentrum</w:t>
            </w:r>
          </w:p>
        </w:tc>
        <w:tc>
          <w:tcPr>
            <w:tcW w:w="414" w:type="pct"/>
            <w:shd w:val="clear" w:color="auto" w:fill="C6EFCE"/>
            <w:noWrap/>
            <w:vAlign w:val="center"/>
          </w:tcPr>
          <w:p w14:paraId="774C1E7A" w14:textId="77777777" w:rsidR="0057163C" w:rsidRPr="00170422" w:rsidRDefault="00F37BF9">
            <w:pPr>
              <w:pStyle w:val="P68B1DB1-Normal11"/>
              <w:jc w:val="center"/>
              <w:rPr>
                <w:noProof/>
                <w:lang w:val="de-DE"/>
              </w:rPr>
            </w:pPr>
            <w:r w:rsidRPr="00170422">
              <w:rPr>
                <w:noProof/>
                <w:lang w:val="de-DE"/>
              </w:rPr>
              <w:t>Ziel</w:t>
            </w:r>
          </w:p>
        </w:tc>
        <w:tc>
          <w:tcPr>
            <w:tcW w:w="414" w:type="pct"/>
            <w:shd w:val="clear" w:color="auto" w:fill="C6EFCE"/>
            <w:noWrap/>
            <w:vAlign w:val="center"/>
          </w:tcPr>
          <w:p w14:paraId="3E3A368A" w14:textId="77777777" w:rsidR="0057163C" w:rsidRPr="00170422" w:rsidRDefault="00F37BF9">
            <w:pPr>
              <w:pStyle w:val="P68B1DB1-Normal11"/>
              <w:spacing w:line="276" w:lineRule="auto"/>
              <w:jc w:val="center"/>
              <w:rPr>
                <w:noProof/>
                <w:lang w:val="de-DE"/>
              </w:rPr>
            </w:pPr>
            <w:r w:rsidRPr="00170422">
              <w:rPr>
                <w:noProof/>
                <w:lang w:val="de-DE"/>
              </w:rPr>
              <w:t>Registrierung von Tourismusunternehmen im digitalen Tourismus-Hub</w:t>
            </w:r>
          </w:p>
        </w:tc>
        <w:tc>
          <w:tcPr>
            <w:tcW w:w="459" w:type="pct"/>
            <w:shd w:val="clear" w:color="auto" w:fill="C6EFCE"/>
            <w:noWrap/>
            <w:vAlign w:val="center"/>
          </w:tcPr>
          <w:p w14:paraId="5A4B2EAA" w14:textId="77777777" w:rsidR="0057163C" w:rsidRPr="00170422" w:rsidRDefault="00F37BF9">
            <w:pPr>
              <w:pStyle w:val="P68B1DB1-Normal11"/>
              <w:jc w:val="center"/>
              <w:rPr>
                <w:noProof/>
                <w:lang w:val="de-DE"/>
              </w:rPr>
            </w:pPr>
            <w:r w:rsidRPr="00170422">
              <w:rPr>
                <w:noProof/>
                <w:lang w:val="de-DE"/>
              </w:rPr>
              <w:t>ENTFÄLLT.</w:t>
            </w:r>
          </w:p>
        </w:tc>
        <w:tc>
          <w:tcPr>
            <w:tcW w:w="368" w:type="pct"/>
            <w:shd w:val="clear" w:color="auto" w:fill="C6EFCE"/>
            <w:noWrap/>
            <w:vAlign w:val="center"/>
          </w:tcPr>
          <w:p w14:paraId="114A0421" w14:textId="77777777" w:rsidR="0057163C" w:rsidRPr="00170422" w:rsidRDefault="00F37BF9">
            <w:pPr>
              <w:pStyle w:val="P68B1DB1-Normal11"/>
              <w:jc w:val="center"/>
              <w:rPr>
                <w:noProof/>
                <w:lang w:val="de-DE"/>
              </w:rPr>
            </w:pPr>
            <w:r w:rsidRPr="00170422">
              <w:rPr>
                <w:noProof/>
                <w:lang w:val="de-DE"/>
              </w:rPr>
              <w:t>Anzahl</w:t>
            </w:r>
          </w:p>
        </w:tc>
        <w:tc>
          <w:tcPr>
            <w:tcW w:w="460" w:type="pct"/>
            <w:shd w:val="clear" w:color="auto" w:fill="C6EFCE"/>
            <w:noWrap/>
            <w:vAlign w:val="center"/>
          </w:tcPr>
          <w:p w14:paraId="5F8D2DB1" w14:textId="77777777" w:rsidR="0057163C" w:rsidRPr="00170422" w:rsidRDefault="00F37BF9">
            <w:pPr>
              <w:pStyle w:val="P68B1DB1-Normal11"/>
              <w:jc w:val="center"/>
              <w:rPr>
                <w:noProof/>
                <w:lang w:val="de-DE"/>
              </w:rPr>
            </w:pPr>
            <w:r w:rsidRPr="00170422">
              <w:rPr>
                <w:noProof/>
                <w:lang w:val="de-DE"/>
              </w:rPr>
              <w:t>0</w:t>
            </w:r>
          </w:p>
        </w:tc>
        <w:tc>
          <w:tcPr>
            <w:tcW w:w="367" w:type="pct"/>
            <w:shd w:val="clear" w:color="auto" w:fill="C6EFCE"/>
            <w:noWrap/>
            <w:vAlign w:val="center"/>
          </w:tcPr>
          <w:p w14:paraId="461ED8FC" w14:textId="77777777" w:rsidR="0057163C" w:rsidRPr="00170422" w:rsidRDefault="00F37BF9">
            <w:pPr>
              <w:pStyle w:val="P68B1DB1-Normal11"/>
              <w:jc w:val="center"/>
              <w:rPr>
                <w:noProof/>
                <w:lang w:val="de-DE"/>
              </w:rPr>
            </w:pPr>
            <w:r w:rsidRPr="00170422">
              <w:rPr>
                <w:noProof/>
                <w:lang w:val="de-DE"/>
              </w:rPr>
              <w:t>20 000</w:t>
            </w:r>
          </w:p>
        </w:tc>
        <w:tc>
          <w:tcPr>
            <w:tcW w:w="276" w:type="pct"/>
            <w:shd w:val="clear" w:color="auto" w:fill="C6EFCE"/>
            <w:noWrap/>
            <w:vAlign w:val="center"/>
          </w:tcPr>
          <w:p w14:paraId="287714CA" w14:textId="77777777" w:rsidR="0057163C" w:rsidRPr="00170422" w:rsidRDefault="00F37BF9">
            <w:pPr>
              <w:pStyle w:val="P68B1DB1-Normal11"/>
              <w:jc w:val="center"/>
              <w:rPr>
                <w:noProof/>
                <w:lang w:val="de-DE"/>
              </w:rPr>
            </w:pPr>
            <w:r w:rsidRPr="00170422">
              <w:rPr>
                <w:noProof/>
                <w:lang w:val="de-DE"/>
              </w:rPr>
              <w:t>Q2</w:t>
            </w:r>
          </w:p>
        </w:tc>
        <w:tc>
          <w:tcPr>
            <w:tcW w:w="276" w:type="pct"/>
            <w:shd w:val="clear" w:color="auto" w:fill="C6EFCE"/>
            <w:noWrap/>
            <w:vAlign w:val="center"/>
          </w:tcPr>
          <w:p w14:paraId="7B6549AB" w14:textId="77777777" w:rsidR="0057163C" w:rsidRPr="00170422" w:rsidRDefault="00F37BF9">
            <w:pPr>
              <w:pStyle w:val="P68B1DB1-Normal11"/>
              <w:jc w:val="center"/>
              <w:rPr>
                <w:noProof/>
                <w:lang w:val="de-DE"/>
              </w:rPr>
            </w:pPr>
            <w:r w:rsidRPr="00170422">
              <w:rPr>
                <w:noProof/>
                <w:lang w:val="de-DE"/>
              </w:rPr>
              <w:t>2024</w:t>
            </w:r>
          </w:p>
        </w:tc>
        <w:tc>
          <w:tcPr>
            <w:tcW w:w="1047" w:type="pct"/>
            <w:shd w:val="clear" w:color="auto" w:fill="C6EFCE"/>
            <w:noWrap/>
            <w:vAlign w:val="center"/>
          </w:tcPr>
          <w:p w14:paraId="77C81F7A" w14:textId="77777777" w:rsidR="0057163C" w:rsidRPr="00170422" w:rsidRDefault="00F37BF9">
            <w:pPr>
              <w:pStyle w:val="P68B1DB1-Normal11"/>
              <w:spacing w:line="256" w:lineRule="auto"/>
              <w:jc w:val="both"/>
              <w:rPr>
                <w:rFonts w:eastAsia="Arial Narrow" w:cs="Arial Narrow"/>
                <w:noProof/>
                <w:szCs w:val="20"/>
                <w:lang w:val="de-DE"/>
              </w:rPr>
            </w:pPr>
            <w:r w:rsidRPr="00170422">
              <w:rPr>
                <w:noProof/>
                <w:lang w:val="de-DE"/>
              </w:rPr>
              <w:t>Die Zahl der im Drehkreuz registrierten Tourismusunternehmen (einschließlich Hotels, Reiseveranstaltern und Unternehmen gemäß ATECO-Codes 55.00.00); 56.00 UHR; 79.00.00 und andere Strukturen des Sektors) mindestens 20 000 EUR betragen.</w:t>
            </w:r>
          </w:p>
          <w:p w14:paraId="536C7CFC" w14:textId="77777777" w:rsidR="0057163C" w:rsidRPr="00170422" w:rsidRDefault="00F37BF9">
            <w:pPr>
              <w:pStyle w:val="P68B1DB1-Normal11"/>
              <w:spacing w:line="256" w:lineRule="auto"/>
              <w:jc w:val="both"/>
              <w:rPr>
                <w:rFonts w:eastAsia="Arial Narrow" w:cs="Arial Narrow"/>
                <w:noProof/>
                <w:szCs w:val="20"/>
                <w:lang w:val="de-DE"/>
              </w:rPr>
            </w:pPr>
            <w:r w:rsidRPr="00170422">
              <w:rPr>
                <w:noProof/>
                <w:lang w:val="de-DE"/>
              </w:rPr>
              <w:t>Minde</w:t>
            </w:r>
            <w:r w:rsidRPr="00170422">
              <w:rPr>
                <w:noProof/>
                <w:lang w:val="de-DE"/>
              </w:rPr>
              <w:t>stens 7400 Tourismusunternehmen (d. h. 37 % von 20000) müssen sich im Süden befinden.</w:t>
            </w:r>
          </w:p>
          <w:p w14:paraId="0403BE85" w14:textId="77777777" w:rsidR="0057163C" w:rsidRPr="00170422" w:rsidRDefault="0057163C">
            <w:pPr>
              <w:rPr>
                <w:rFonts w:ascii="Arial Narrow" w:hAnsi="Arial Narrow"/>
                <w:noProof/>
                <w:color w:val="006100"/>
                <w:sz w:val="20"/>
                <w:lang w:val="de-DE"/>
              </w:rPr>
            </w:pPr>
          </w:p>
        </w:tc>
      </w:tr>
      <w:tr w:rsidR="0057163C" w:rsidRPr="00170422" w14:paraId="1698F795" w14:textId="77777777" w:rsidTr="00744AB7">
        <w:trPr>
          <w:trHeight w:val="309"/>
          <w:jc w:val="center"/>
        </w:trPr>
        <w:tc>
          <w:tcPr>
            <w:tcW w:w="366" w:type="pct"/>
            <w:shd w:val="clear" w:color="auto" w:fill="C6EFCE"/>
            <w:noWrap/>
            <w:vAlign w:val="center"/>
          </w:tcPr>
          <w:p w14:paraId="369AFEAF" w14:textId="77777777" w:rsidR="0057163C" w:rsidRPr="00170422" w:rsidRDefault="00F37BF9">
            <w:pPr>
              <w:pStyle w:val="P68B1DB1-Normal11"/>
              <w:jc w:val="center"/>
              <w:rPr>
                <w:noProof/>
                <w:lang w:val="de-DE"/>
              </w:rPr>
            </w:pPr>
            <w:r w:rsidRPr="00170422">
              <w:rPr>
                <w:noProof/>
                <w:lang w:val="de-DE"/>
              </w:rPr>
              <w:t>M1C3-10</w:t>
            </w:r>
          </w:p>
        </w:tc>
        <w:tc>
          <w:tcPr>
            <w:tcW w:w="553" w:type="pct"/>
            <w:shd w:val="clear" w:color="auto" w:fill="C6EFCE"/>
            <w:noWrap/>
            <w:vAlign w:val="center"/>
          </w:tcPr>
          <w:p w14:paraId="732955AA" w14:textId="77777777" w:rsidR="0057163C" w:rsidRPr="00170422" w:rsidRDefault="00F37BF9">
            <w:pPr>
              <w:pStyle w:val="P68B1DB1-Normal11"/>
              <w:jc w:val="center"/>
              <w:rPr>
                <w:noProof/>
                <w:szCs w:val="20"/>
                <w:lang w:val="de-DE"/>
              </w:rPr>
            </w:pPr>
            <w:r w:rsidRPr="00170422">
              <w:rPr>
                <w:noProof/>
                <w:lang w:val="de-DE"/>
              </w:rPr>
              <w:t>Reform 4.1 Reglementierung der Berufe von Fremdenführern.</w:t>
            </w:r>
          </w:p>
          <w:p w14:paraId="13C84FA6" w14:textId="77777777" w:rsidR="0057163C" w:rsidRPr="00170422" w:rsidRDefault="0057163C">
            <w:pPr>
              <w:jc w:val="center"/>
              <w:rPr>
                <w:rFonts w:ascii="Arial Narrow" w:hAnsi="Arial Narrow"/>
                <w:noProof/>
                <w:color w:val="006100"/>
                <w:sz w:val="20"/>
                <w:lang w:val="de-DE"/>
              </w:rPr>
            </w:pPr>
          </w:p>
        </w:tc>
        <w:tc>
          <w:tcPr>
            <w:tcW w:w="414" w:type="pct"/>
            <w:shd w:val="clear" w:color="auto" w:fill="C6EFCE"/>
            <w:noWrap/>
            <w:vAlign w:val="center"/>
          </w:tcPr>
          <w:p w14:paraId="06A45492" w14:textId="77777777" w:rsidR="0057163C" w:rsidRPr="00170422" w:rsidRDefault="00F37BF9">
            <w:pPr>
              <w:pStyle w:val="P68B1DB1-Normal11"/>
              <w:jc w:val="center"/>
              <w:rPr>
                <w:noProof/>
                <w:lang w:val="de-DE"/>
              </w:rPr>
            </w:pPr>
            <w:r w:rsidRPr="00170422">
              <w:rPr>
                <w:noProof/>
                <w:lang w:val="de-DE"/>
              </w:rPr>
              <w:t>Meilenstein</w:t>
            </w:r>
          </w:p>
        </w:tc>
        <w:tc>
          <w:tcPr>
            <w:tcW w:w="414" w:type="pct"/>
            <w:shd w:val="clear" w:color="auto" w:fill="C6EFCE"/>
            <w:noWrap/>
            <w:vAlign w:val="center"/>
          </w:tcPr>
          <w:p w14:paraId="694D2088" w14:textId="77777777" w:rsidR="0057163C" w:rsidRPr="00170422" w:rsidRDefault="00F37BF9">
            <w:pPr>
              <w:pStyle w:val="P68B1DB1-Normal11"/>
              <w:spacing w:line="276" w:lineRule="auto"/>
              <w:jc w:val="center"/>
              <w:rPr>
                <w:noProof/>
                <w:lang w:val="de-DE"/>
              </w:rPr>
            </w:pPr>
            <w:r w:rsidRPr="00170422">
              <w:rPr>
                <w:noProof/>
                <w:lang w:val="de-DE"/>
              </w:rPr>
              <w:t>Festlegung einer nationalen Norm für Fremdenführer</w:t>
            </w:r>
          </w:p>
        </w:tc>
        <w:tc>
          <w:tcPr>
            <w:tcW w:w="459" w:type="pct"/>
            <w:shd w:val="clear" w:color="auto" w:fill="C6EFCE"/>
            <w:noWrap/>
            <w:vAlign w:val="center"/>
          </w:tcPr>
          <w:p w14:paraId="4EE5E3C9" w14:textId="77777777" w:rsidR="0057163C" w:rsidRPr="00170422" w:rsidRDefault="00F37BF9">
            <w:pPr>
              <w:pStyle w:val="P68B1DB1-Normal11"/>
              <w:jc w:val="center"/>
              <w:rPr>
                <w:noProof/>
                <w:lang w:val="de-DE"/>
              </w:rPr>
            </w:pPr>
            <w:r w:rsidRPr="00170422">
              <w:rPr>
                <w:noProof/>
                <w:lang w:val="de-DE"/>
              </w:rPr>
              <w:t xml:space="preserve">Die Festlegung des nationalen </w:t>
            </w:r>
            <w:r w:rsidRPr="00170422">
              <w:rPr>
                <w:noProof/>
                <w:lang w:val="de-DE"/>
              </w:rPr>
              <w:t>Mindeststandards bedeutet nicht die Schaffung eines neuen reglementierten Berufs.</w:t>
            </w:r>
          </w:p>
        </w:tc>
        <w:tc>
          <w:tcPr>
            <w:tcW w:w="368" w:type="pct"/>
            <w:shd w:val="clear" w:color="auto" w:fill="C6EFCE"/>
            <w:noWrap/>
            <w:vAlign w:val="center"/>
          </w:tcPr>
          <w:p w14:paraId="646082D0" w14:textId="77777777" w:rsidR="0057163C" w:rsidRPr="00170422" w:rsidRDefault="00F37BF9">
            <w:pPr>
              <w:pStyle w:val="P68B1DB1-Normal11"/>
              <w:jc w:val="center"/>
              <w:rPr>
                <w:noProof/>
                <w:lang w:val="de-DE"/>
              </w:rPr>
            </w:pPr>
            <w:r w:rsidRPr="00170422">
              <w:rPr>
                <w:noProof/>
                <w:lang w:val="de-DE"/>
              </w:rPr>
              <w:t>ENTFÄLLT.</w:t>
            </w:r>
          </w:p>
        </w:tc>
        <w:tc>
          <w:tcPr>
            <w:tcW w:w="460" w:type="pct"/>
            <w:shd w:val="clear" w:color="auto" w:fill="C6EFCE"/>
            <w:noWrap/>
            <w:vAlign w:val="center"/>
          </w:tcPr>
          <w:p w14:paraId="65875BDF" w14:textId="77777777" w:rsidR="0057163C" w:rsidRPr="00170422" w:rsidRDefault="00F37BF9">
            <w:pPr>
              <w:pStyle w:val="P68B1DB1-Normal11"/>
              <w:jc w:val="center"/>
              <w:rPr>
                <w:noProof/>
                <w:lang w:val="de-DE"/>
              </w:rPr>
            </w:pPr>
            <w:r w:rsidRPr="00170422">
              <w:rPr>
                <w:noProof/>
                <w:lang w:val="de-DE"/>
              </w:rPr>
              <w:t>ENTFÄLLT.</w:t>
            </w:r>
          </w:p>
        </w:tc>
        <w:tc>
          <w:tcPr>
            <w:tcW w:w="367" w:type="pct"/>
            <w:shd w:val="clear" w:color="auto" w:fill="C6EFCE"/>
            <w:noWrap/>
            <w:vAlign w:val="center"/>
          </w:tcPr>
          <w:p w14:paraId="14DC72F3" w14:textId="77777777" w:rsidR="0057163C" w:rsidRPr="00170422" w:rsidRDefault="00F37BF9">
            <w:pPr>
              <w:pStyle w:val="P68B1DB1-Normal11"/>
              <w:jc w:val="center"/>
              <w:rPr>
                <w:noProof/>
                <w:lang w:val="de-DE"/>
              </w:rPr>
            </w:pPr>
            <w:r w:rsidRPr="00170422">
              <w:rPr>
                <w:noProof/>
                <w:lang w:val="de-DE"/>
              </w:rPr>
              <w:t>ENTFÄLLT.</w:t>
            </w:r>
          </w:p>
        </w:tc>
        <w:tc>
          <w:tcPr>
            <w:tcW w:w="276" w:type="pct"/>
            <w:shd w:val="clear" w:color="auto" w:fill="C6EFCE"/>
            <w:noWrap/>
            <w:vAlign w:val="center"/>
          </w:tcPr>
          <w:p w14:paraId="68328E32" w14:textId="77777777" w:rsidR="0057163C" w:rsidRPr="00170422" w:rsidRDefault="00F37BF9">
            <w:pPr>
              <w:pStyle w:val="P68B1DB1-Normal11"/>
              <w:jc w:val="center"/>
              <w:rPr>
                <w:noProof/>
                <w:szCs w:val="20"/>
                <w:lang w:val="de-DE"/>
              </w:rPr>
            </w:pPr>
            <w:r w:rsidRPr="00170422">
              <w:rPr>
                <w:noProof/>
                <w:lang w:val="de-DE"/>
              </w:rPr>
              <w:t>Q2</w:t>
            </w:r>
          </w:p>
          <w:p w14:paraId="7685FDA9" w14:textId="77777777" w:rsidR="0057163C" w:rsidRPr="00170422" w:rsidRDefault="0057163C">
            <w:pPr>
              <w:jc w:val="center"/>
              <w:rPr>
                <w:rFonts w:ascii="Arial Narrow" w:hAnsi="Arial Narrow"/>
                <w:noProof/>
                <w:color w:val="006100"/>
                <w:sz w:val="20"/>
                <w:lang w:val="de-DE"/>
              </w:rPr>
            </w:pPr>
          </w:p>
        </w:tc>
        <w:tc>
          <w:tcPr>
            <w:tcW w:w="276" w:type="pct"/>
            <w:shd w:val="clear" w:color="auto" w:fill="C6EFCE"/>
            <w:noWrap/>
            <w:vAlign w:val="center"/>
          </w:tcPr>
          <w:p w14:paraId="0D613302" w14:textId="77777777" w:rsidR="0057163C" w:rsidRPr="00170422" w:rsidRDefault="00F37BF9">
            <w:pPr>
              <w:pStyle w:val="P68B1DB1-Normal11"/>
              <w:jc w:val="center"/>
              <w:rPr>
                <w:noProof/>
                <w:szCs w:val="20"/>
                <w:lang w:val="de-DE"/>
              </w:rPr>
            </w:pPr>
            <w:r w:rsidRPr="00170422">
              <w:rPr>
                <w:noProof/>
                <w:lang w:val="de-DE"/>
              </w:rPr>
              <w:t>2024</w:t>
            </w:r>
          </w:p>
          <w:p w14:paraId="64EE9BE1" w14:textId="77777777" w:rsidR="0057163C" w:rsidRPr="00170422" w:rsidRDefault="0057163C">
            <w:pPr>
              <w:jc w:val="center"/>
              <w:rPr>
                <w:rFonts w:ascii="Arial Narrow" w:hAnsi="Arial Narrow"/>
                <w:noProof/>
                <w:color w:val="006100"/>
                <w:sz w:val="20"/>
                <w:lang w:val="de-DE"/>
              </w:rPr>
            </w:pPr>
          </w:p>
        </w:tc>
        <w:tc>
          <w:tcPr>
            <w:tcW w:w="1047" w:type="pct"/>
            <w:shd w:val="clear" w:color="auto" w:fill="C6EFCE"/>
            <w:noWrap/>
            <w:vAlign w:val="center"/>
          </w:tcPr>
          <w:p w14:paraId="30DF03DF" w14:textId="77777777" w:rsidR="0057163C" w:rsidRPr="00170422" w:rsidRDefault="00F37BF9">
            <w:pPr>
              <w:pStyle w:val="P68B1DB1-Normal11"/>
              <w:rPr>
                <w:noProof/>
                <w:szCs w:val="20"/>
                <w:lang w:val="de-DE"/>
              </w:rPr>
            </w:pPr>
            <w:r w:rsidRPr="00170422">
              <w:rPr>
                <w:noProof/>
                <w:lang w:val="de-DE"/>
              </w:rPr>
              <w:t>Die Festlegung des nationalen Mindeststandards bedeutet nicht die Schaffung eines neuen reglementierten Berufs.</w:t>
            </w:r>
          </w:p>
          <w:p w14:paraId="76A44286" w14:textId="77777777" w:rsidR="0057163C" w:rsidRPr="00170422" w:rsidRDefault="00F37BF9">
            <w:pPr>
              <w:pStyle w:val="P68B1DB1-Normal11"/>
              <w:rPr>
                <w:noProof/>
                <w:lang w:val="de-DE"/>
              </w:rPr>
            </w:pPr>
            <w:r w:rsidRPr="00170422">
              <w:rPr>
                <w:noProof/>
                <w:lang w:val="de-DE"/>
              </w:rPr>
              <w:t xml:space="preserve">Die Reform sieht auch </w:t>
            </w:r>
            <w:r w:rsidRPr="00170422">
              <w:rPr>
                <w:noProof/>
                <w:lang w:val="de-DE"/>
              </w:rPr>
              <w:t>Schulungen und berufliche Aktualisierungen vor, um das Angebot besser zu unterstützen. Die Reform gilt als Methode für den Erwerb einer einzigartigen beruflichen Qualifikation, die auf nationaler Ebene durch ein nationales Gesetz und die anschließende Umse</w:t>
            </w:r>
            <w:r w:rsidRPr="00170422">
              <w:rPr>
                <w:noProof/>
                <w:lang w:val="de-DE"/>
              </w:rPr>
              <w:t>tzung von Ministerialerlassen zur Vereinbarung von Staatsregionen mit einheitlichen Standards angenommen wurde.</w:t>
            </w:r>
          </w:p>
        </w:tc>
      </w:tr>
      <w:tr w:rsidR="0057163C" w:rsidRPr="00170422" w14:paraId="65763C2F" w14:textId="77777777" w:rsidTr="00744AB7">
        <w:trPr>
          <w:trHeight w:val="309"/>
          <w:jc w:val="center"/>
        </w:trPr>
        <w:tc>
          <w:tcPr>
            <w:tcW w:w="366" w:type="pct"/>
            <w:shd w:val="clear" w:color="auto" w:fill="C6EFCE"/>
            <w:noWrap/>
            <w:vAlign w:val="center"/>
          </w:tcPr>
          <w:p w14:paraId="055ECDFF" w14:textId="77777777" w:rsidR="0057163C" w:rsidRPr="00170422" w:rsidRDefault="00F37BF9">
            <w:pPr>
              <w:pStyle w:val="P68B1DB1-Normal11"/>
              <w:jc w:val="center"/>
              <w:rPr>
                <w:noProof/>
                <w:szCs w:val="20"/>
                <w:lang w:val="de-DE"/>
              </w:rPr>
            </w:pPr>
            <w:r w:rsidRPr="00170422">
              <w:rPr>
                <w:noProof/>
                <w:lang w:val="de-DE"/>
              </w:rPr>
              <w:t>M1C3-11</w:t>
            </w:r>
          </w:p>
        </w:tc>
        <w:tc>
          <w:tcPr>
            <w:tcW w:w="553" w:type="pct"/>
            <w:shd w:val="clear" w:color="auto" w:fill="C6EFCE"/>
            <w:noWrap/>
            <w:vAlign w:val="center"/>
          </w:tcPr>
          <w:p w14:paraId="21117253" w14:textId="77777777" w:rsidR="0057163C" w:rsidRPr="00170422" w:rsidRDefault="00F37BF9">
            <w:pPr>
              <w:pStyle w:val="P68B1DB1-Normal11"/>
              <w:jc w:val="center"/>
              <w:rPr>
                <w:noProof/>
                <w:szCs w:val="20"/>
                <w:lang w:val="de-DE"/>
              </w:rPr>
            </w:pPr>
            <w:r w:rsidRPr="00170422">
              <w:rPr>
                <w:noProof/>
                <w:lang w:val="de-DE"/>
              </w:rPr>
              <w:t>Investition 1.3 – Verbesserung der Energieeffizienz in Kinos, Theatern und Museen</w:t>
            </w:r>
          </w:p>
        </w:tc>
        <w:tc>
          <w:tcPr>
            <w:tcW w:w="414" w:type="pct"/>
            <w:shd w:val="clear" w:color="auto" w:fill="C6EFCE"/>
            <w:noWrap/>
            <w:vAlign w:val="center"/>
          </w:tcPr>
          <w:p w14:paraId="355BA6F4" w14:textId="77777777" w:rsidR="0057163C" w:rsidRPr="00170422" w:rsidRDefault="00F37BF9">
            <w:pPr>
              <w:pStyle w:val="P68B1DB1-Normal11"/>
              <w:jc w:val="center"/>
              <w:rPr>
                <w:noProof/>
                <w:szCs w:val="20"/>
                <w:lang w:val="de-DE"/>
              </w:rPr>
            </w:pPr>
            <w:r w:rsidRPr="00170422">
              <w:rPr>
                <w:noProof/>
                <w:lang w:val="de-DE"/>
              </w:rPr>
              <w:t>Meilenstein</w:t>
            </w:r>
          </w:p>
        </w:tc>
        <w:tc>
          <w:tcPr>
            <w:tcW w:w="414" w:type="pct"/>
            <w:shd w:val="clear" w:color="auto" w:fill="C6EFCE"/>
            <w:noWrap/>
            <w:vAlign w:val="center"/>
          </w:tcPr>
          <w:p w14:paraId="1820BF73"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Inkrafttreten des Dekrets des </w:t>
            </w:r>
            <w:r w:rsidRPr="00170422">
              <w:rPr>
                <w:noProof/>
                <w:lang w:val="de-DE"/>
              </w:rPr>
              <w:t>Kulturministeriums über die Zuweisung von Mitteln:</w:t>
            </w:r>
          </w:p>
          <w:p w14:paraId="3B5D6C54" w14:textId="77777777" w:rsidR="0057163C" w:rsidRPr="00170422" w:rsidRDefault="00F37BF9">
            <w:pPr>
              <w:pStyle w:val="P68B1DB1-Normal11"/>
              <w:spacing w:line="276" w:lineRule="auto"/>
              <w:jc w:val="center"/>
              <w:rPr>
                <w:noProof/>
                <w:szCs w:val="20"/>
                <w:lang w:val="de-DE"/>
              </w:rPr>
            </w:pPr>
            <w:r w:rsidRPr="00170422">
              <w:rPr>
                <w:noProof/>
                <w:lang w:val="de-DE"/>
              </w:rPr>
              <w:t>Verbesserung der Energieeffizienz an kulturellen Orten</w:t>
            </w:r>
          </w:p>
          <w:p w14:paraId="0A11AC49" w14:textId="77777777" w:rsidR="0057163C" w:rsidRPr="00170422" w:rsidRDefault="0057163C">
            <w:pPr>
              <w:jc w:val="center"/>
              <w:rPr>
                <w:rFonts w:ascii="Arial Narrow" w:hAnsi="Arial Narrow"/>
                <w:noProof/>
                <w:color w:val="006100"/>
                <w:sz w:val="20"/>
                <w:szCs w:val="20"/>
                <w:lang w:val="de-DE"/>
              </w:rPr>
            </w:pPr>
          </w:p>
        </w:tc>
        <w:tc>
          <w:tcPr>
            <w:tcW w:w="459" w:type="pct"/>
            <w:shd w:val="clear" w:color="auto" w:fill="C6EFCE"/>
            <w:noWrap/>
            <w:vAlign w:val="center"/>
          </w:tcPr>
          <w:p w14:paraId="630B10DC" w14:textId="77777777" w:rsidR="0057163C" w:rsidRPr="00170422" w:rsidRDefault="00F37BF9">
            <w:pPr>
              <w:pStyle w:val="P68B1DB1-Normal11"/>
              <w:jc w:val="center"/>
              <w:rPr>
                <w:noProof/>
                <w:szCs w:val="20"/>
                <w:lang w:val="de-DE"/>
              </w:rPr>
            </w:pPr>
            <w:r w:rsidRPr="00170422">
              <w:rPr>
                <w:noProof/>
                <w:lang w:val="de-DE"/>
              </w:rPr>
              <w:t>Bestimmung im Dekret über das Inkrafttreten</w:t>
            </w:r>
            <w:r w:rsidRPr="00170422">
              <w:rPr>
                <w:noProof/>
                <w:lang w:val="de-DE"/>
              </w:rPr>
              <w:t xml:space="preserve"> des Dekrets des Ministeriums für Kultur (MIC) über die Zuweisung von Ressourcen zur Verbesserung der Energieeffizienz in Kulturstätten</w:t>
            </w:r>
          </w:p>
          <w:p w14:paraId="3A92A56F" w14:textId="77777777" w:rsidR="0057163C" w:rsidRPr="00170422" w:rsidRDefault="0057163C">
            <w:pPr>
              <w:jc w:val="center"/>
              <w:rPr>
                <w:rFonts w:ascii="Arial Narrow" w:hAnsi="Arial Narrow"/>
                <w:noProof/>
                <w:color w:val="006100"/>
                <w:sz w:val="20"/>
                <w:szCs w:val="20"/>
                <w:lang w:val="de-DE"/>
              </w:rPr>
            </w:pPr>
          </w:p>
        </w:tc>
        <w:tc>
          <w:tcPr>
            <w:tcW w:w="368" w:type="pct"/>
            <w:shd w:val="clear" w:color="auto" w:fill="C6EFCE"/>
            <w:noWrap/>
            <w:vAlign w:val="center"/>
          </w:tcPr>
          <w:p w14:paraId="26E1612D" w14:textId="77777777" w:rsidR="0057163C" w:rsidRPr="00170422" w:rsidRDefault="00F37BF9">
            <w:pPr>
              <w:pStyle w:val="P68B1DB1-Normal11"/>
              <w:jc w:val="center"/>
              <w:rPr>
                <w:noProof/>
                <w:szCs w:val="20"/>
                <w:lang w:val="de-DE"/>
              </w:rPr>
            </w:pPr>
            <w:r w:rsidRPr="00170422">
              <w:rPr>
                <w:noProof/>
                <w:lang w:val="de-DE"/>
              </w:rPr>
              <w:t>ENTFÄLLT.</w:t>
            </w:r>
          </w:p>
        </w:tc>
        <w:tc>
          <w:tcPr>
            <w:tcW w:w="460" w:type="pct"/>
            <w:shd w:val="clear" w:color="auto" w:fill="C6EFCE"/>
            <w:noWrap/>
            <w:vAlign w:val="center"/>
          </w:tcPr>
          <w:p w14:paraId="2F59CAA0" w14:textId="77777777" w:rsidR="0057163C" w:rsidRPr="00170422" w:rsidRDefault="00F37BF9">
            <w:pPr>
              <w:pStyle w:val="P68B1DB1-Normal11"/>
              <w:jc w:val="center"/>
              <w:rPr>
                <w:noProof/>
                <w:szCs w:val="20"/>
                <w:lang w:val="de-DE"/>
              </w:rPr>
            </w:pPr>
            <w:r w:rsidRPr="00170422">
              <w:rPr>
                <w:noProof/>
                <w:lang w:val="de-DE"/>
              </w:rPr>
              <w:t>ENTFÄLLT.</w:t>
            </w:r>
          </w:p>
        </w:tc>
        <w:tc>
          <w:tcPr>
            <w:tcW w:w="367" w:type="pct"/>
            <w:shd w:val="clear" w:color="auto" w:fill="C6EFCE"/>
            <w:noWrap/>
            <w:vAlign w:val="center"/>
          </w:tcPr>
          <w:p w14:paraId="22BF1659" w14:textId="77777777" w:rsidR="0057163C" w:rsidRPr="00170422" w:rsidRDefault="00F37BF9">
            <w:pPr>
              <w:pStyle w:val="P68B1DB1-Normal11"/>
              <w:jc w:val="center"/>
              <w:rPr>
                <w:noProof/>
                <w:szCs w:val="20"/>
                <w:lang w:val="de-DE"/>
              </w:rPr>
            </w:pPr>
            <w:r w:rsidRPr="00170422">
              <w:rPr>
                <w:noProof/>
                <w:lang w:val="de-DE"/>
              </w:rPr>
              <w:t>ENTFÄLLT.</w:t>
            </w:r>
          </w:p>
        </w:tc>
        <w:tc>
          <w:tcPr>
            <w:tcW w:w="276" w:type="pct"/>
            <w:shd w:val="clear" w:color="auto" w:fill="C6EFCE"/>
            <w:noWrap/>
            <w:vAlign w:val="center"/>
          </w:tcPr>
          <w:p w14:paraId="17C90CFB" w14:textId="77777777" w:rsidR="0057163C" w:rsidRPr="00170422" w:rsidRDefault="00F37BF9">
            <w:pPr>
              <w:pStyle w:val="P68B1DB1-Normal11"/>
              <w:jc w:val="center"/>
              <w:rPr>
                <w:noProof/>
                <w:szCs w:val="20"/>
                <w:lang w:val="de-DE"/>
              </w:rPr>
            </w:pPr>
            <w:r w:rsidRPr="00170422">
              <w:rPr>
                <w:noProof/>
                <w:lang w:val="de-DE"/>
              </w:rPr>
              <w:t>Q2</w:t>
            </w:r>
          </w:p>
        </w:tc>
        <w:tc>
          <w:tcPr>
            <w:tcW w:w="276" w:type="pct"/>
            <w:shd w:val="clear" w:color="auto" w:fill="C6EFCE"/>
            <w:noWrap/>
            <w:vAlign w:val="center"/>
          </w:tcPr>
          <w:p w14:paraId="1703B8F3" w14:textId="77777777" w:rsidR="0057163C" w:rsidRPr="00170422" w:rsidRDefault="00F37BF9">
            <w:pPr>
              <w:pStyle w:val="P68B1DB1-Normal11"/>
              <w:jc w:val="center"/>
              <w:rPr>
                <w:noProof/>
                <w:szCs w:val="20"/>
                <w:lang w:val="de-DE"/>
              </w:rPr>
            </w:pPr>
            <w:r w:rsidRPr="00170422">
              <w:rPr>
                <w:noProof/>
                <w:lang w:val="de-DE"/>
              </w:rPr>
              <w:t>2022</w:t>
            </w:r>
          </w:p>
        </w:tc>
        <w:tc>
          <w:tcPr>
            <w:tcW w:w="1047" w:type="pct"/>
            <w:shd w:val="clear" w:color="auto" w:fill="C6EFCE"/>
            <w:noWrap/>
            <w:vAlign w:val="center"/>
          </w:tcPr>
          <w:p w14:paraId="04DB0BDC" w14:textId="77777777" w:rsidR="0057163C" w:rsidRPr="00170422" w:rsidRDefault="00F37BF9">
            <w:pPr>
              <w:pStyle w:val="P68B1DB1-Normal11"/>
              <w:rPr>
                <w:noProof/>
                <w:szCs w:val="20"/>
                <w:lang w:val="de-DE"/>
              </w:rPr>
            </w:pPr>
            <w:r w:rsidRPr="00170422">
              <w:rPr>
                <w:noProof/>
                <w:lang w:val="de-DE"/>
              </w:rPr>
              <w:t>Kulturstätten sind Kinos, Theater und Museen.</w:t>
            </w:r>
          </w:p>
          <w:p w14:paraId="6262B8A2" w14:textId="2E15DF2A" w:rsidR="0057163C" w:rsidRPr="00170422" w:rsidRDefault="00F37BF9">
            <w:pPr>
              <w:pStyle w:val="P68B1DB1-Normal11"/>
              <w:rPr>
                <w:noProof/>
                <w:szCs w:val="20"/>
                <w:lang w:val="de-DE"/>
              </w:rPr>
            </w:pPr>
            <w:r w:rsidRPr="00170422">
              <w:rPr>
                <w:noProof/>
                <w:lang w:val="de-DE"/>
              </w:rPr>
              <w:t>(INV. 1.3) Im Hinblick auf Museen u</w:t>
            </w:r>
            <w:r w:rsidRPr="00170422">
              <w:rPr>
                <w:noProof/>
                <w:lang w:val="de-DE"/>
              </w:rPr>
              <w:t>nd Kulturstätten zur Verbesserung der Energieeffizienz wird die Maßnahme durch die Anerkennung der Projektvorschläge im staatlichen Kulturministerium (MiC) im Ziel-1-Fall durchgeführt. Andernfalls erfolgt die Ermittlung nichtstaatlicher Einrichtungen in de</w:t>
            </w:r>
            <w:r w:rsidRPr="00170422">
              <w:rPr>
                <w:noProof/>
                <w:lang w:val="de-DE"/>
              </w:rPr>
              <w:t>n Ziel-2- und Ziel-3-Fällen im Wege von Ausschreibungen.</w:t>
            </w:r>
          </w:p>
          <w:p w14:paraId="00520429" w14:textId="61533135" w:rsidR="0057163C" w:rsidRPr="00170422" w:rsidRDefault="00F37BF9">
            <w:pPr>
              <w:pStyle w:val="P68B1DB1-Normal11"/>
              <w:rPr>
                <w:noProof/>
                <w:szCs w:val="20"/>
                <w:lang w:val="de-DE"/>
              </w:rPr>
            </w:pPr>
            <w:r w:rsidRPr="00170422">
              <w:rPr>
                <w:noProof/>
                <w:lang w:val="de-DE"/>
              </w:rPr>
              <w:t>Die Vergabe der Aufträge an die im Rahmen der wettbewerblichen Aufforderungen zur Einreichung von Vorschlägen ausgewählten Projekte erfolgt im Einklang mit den technischen Leitlinien „Vermeidung erhe</w:t>
            </w:r>
            <w:r w:rsidRPr="00170422">
              <w:rPr>
                <w:noProof/>
                <w:lang w:val="de-DE"/>
              </w:rPr>
              <w:t>blicher Beeinträchtigungen“ (2021/C58/01), indem eine Ausschlussliste verwendet wird und die einschlägigen Umweltvorschriften der EU und der Mitgliedstaaten eingehalten werden.</w:t>
            </w:r>
          </w:p>
        </w:tc>
      </w:tr>
    </w:tbl>
    <w:p w14:paraId="03EFC620" w14:textId="77777777" w:rsidR="0057163C" w:rsidRPr="00170422" w:rsidRDefault="0057163C">
      <w:pPr>
        <w:spacing w:before="120" w:after="120"/>
        <w:ind w:left="709"/>
        <w:jc w:val="both"/>
        <w:rPr>
          <w:noProof/>
          <w:lang w:val="de-DE"/>
        </w:rPr>
      </w:pPr>
    </w:p>
    <w:p w14:paraId="20905C78" w14:textId="77777777" w:rsidR="0057163C" w:rsidRPr="00170422" w:rsidRDefault="0057163C">
      <w:pPr>
        <w:spacing w:before="120" w:after="120"/>
        <w:ind w:left="709"/>
        <w:jc w:val="both"/>
        <w:rPr>
          <w:noProof/>
          <w:lang w:val="de-DE"/>
        </w:rPr>
        <w:sectPr w:rsidR="0057163C" w:rsidRPr="00170422" w:rsidSect="005F11B9">
          <w:headerReference w:type="default" r:id="rId62"/>
          <w:footerReference w:type="default" r:id="rId63"/>
          <w:pgSz w:w="16839" w:h="11907" w:orient="landscape"/>
          <w:pgMar w:top="1134" w:right="1134" w:bottom="1134" w:left="1134" w:header="567" w:footer="567" w:gutter="0"/>
          <w:cols w:space="720"/>
          <w:docGrid w:linePitch="360"/>
        </w:sectPr>
      </w:pPr>
    </w:p>
    <w:p w14:paraId="5D382CD3" w14:textId="4F939F36" w:rsidR="0057163C" w:rsidRPr="00170422" w:rsidRDefault="00F37BF9">
      <w:pPr>
        <w:pStyle w:val="P68B1DB1-Heading39"/>
        <w:ind w:left="850" w:hanging="850"/>
        <w:rPr>
          <w:b/>
          <w:bCs/>
          <w:i/>
          <w:iCs/>
          <w:noProof/>
          <w:u w:val="single"/>
          <w:lang w:val="de-DE"/>
        </w:rPr>
      </w:pPr>
      <w:r w:rsidRPr="00170422">
        <w:rPr>
          <w:b/>
          <w:noProof/>
          <w:u w:val="single"/>
          <w:lang w:val="de-DE"/>
        </w:rPr>
        <w:t xml:space="preserve">C3. </w:t>
      </w:r>
      <w:r w:rsidRPr="00170422">
        <w:rPr>
          <w:noProof/>
          <w:lang w:val="de-DE"/>
        </w:rPr>
        <w:t xml:space="preserve"> </w:t>
      </w:r>
      <w:r w:rsidRPr="00170422">
        <w:rPr>
          <w:b/>
          <w:noProof/>
          <w:u w:val="single"/>
          <w:lang w:val="de-DE"/>
        </w:rPr>
        <w:t xml:space="preserve">Beschreibung der Reformen und Investitionen (Darlehen) </w:t>
      </w:r>
    </w:p>
    <w:p w14:paraId="4F1C948F" w14:textId="77777777" w:rsidR="0057163C" w:rsidRPr="00170422" w:rsidRDefault="0057163C">
      <w:pPr>
        <w:jc w:val="both"/>
        <w:rPr>
          <w:rFonts w:ascii="Times New Roman" w:hAnsi="Times New Roman" w:cs="Times New Roman"/>
          <w:b/>
          <w:noProof/>
          <w:lang w:val="de-DE"/>
        </w:rPr>
      </w:pPr>
    </w:p>
    <w:p w14:paraId="167C2019" w14:textId="77777777" w:rsidR="0057163C" w:rsidRPr="00170422" w:rsidRDefault="00F37BF9">
      <w:pPr>
        <w:pStyle w:val="P68B1DB1-Normal29"/>
        <w:rPr>
          <w:i/>
          <w:noProof/>
          <w:lang w:val="de-DE"/>
        </w:rPr>
      </w:pPr>
      <w:r w:rsidRPr="00170422">
        <w:rPr>
          <w:noProof/>
          <w:lang w:val="de-DE"/>
        </w:rPr>
        <w:t>Investition 4.1: Digitale Tourismus-Hub</w:t>
      </w:r>
    </w:p>
    <w:p w14:paraId="32E81302" w14:textId="2BCC3B12" w:rsidR="0057163C" w:rsidRPr="00170422" w:rsidRDefault="00F37BF9">
      <w:pPr>
        <w:pStyle w:val="P68B1DB1-Normal8"/>
        <w:spacing w:before="120" w:after="120"/>
        <w:jc w:val="both"/>
        <w:rPr>
          <w:rFonts w:eastAsiaTheme="majorEastAsia"/>
          <w:noProof/>
          <w:snapToGrid w:val="0"/>
          <w:color w:val="000000"/>
          <w:sz w:val="0"/>
          <w:szCs w:val="0"/>
          <w:u w:color="000000"/>
          <w:bdr w:val="none" w:sz="0" w:space="0" w:color="000000"/>
          <w:shd w:val="clear" w:color="000000" w:fill="000000"/>
          <w:lang w:val="de-DE"/>
        </w:rPr>
      </w:pPr>
      <w:r w:rsidRPr="00170422">
        <w:rPr>
          <w:noProof/>
          <w:lang w:val="de-DE"/>
        </w:rPr>
        <w:t xml:space="preserve">Ziel dieser Maßnahme ist es, das gesamte Tourismusökosystem in die Lage zu versetzen, sein eigenes Angebot zu erweitern, zu integrieren und zu verbreiten. Die </w:t>
      </w:r>
      <w:r w:rsidRPr="00170422">
        <w:rPr>
          <w:noProof/>
          <w:lang w:val="de-DE"/>
        </w:rPr>
        <w:t>Maßnahme besteht in der Einrichtung eines digitalen Tourismus-Hubs, das über eine spezielle Internetplattform zugänglich ist.</w:t>
      </w:r>
    </w:p>
    <w:p w14:paraId="0C2E08D9" w14:textId="77777777" w:rsidR="0057163C" w:rsidRPr="00170422" w:rsidRDefault="00F37BF9">
      <w:pPr>
        <w:pStyle w:val="P68B1DB1-Normal5"/>
        <w:jc w:val="both"/>
        <w:rPr>
          <w:noProof/>
          <w:lang w:val="de-DE"/>
        </w:rPr>
      </w:pPr>
      <w:r w:rsidRPr="00170422">
        <w:rPr>
          <w:noProof/>
          <w:lang w:val="de-DE"/>
        </w:rPr>
        <w:t>Investition 2.1: Attraktivität kleiner historischer Städte</w:t>
      </w:r>
    </w:p>
    <w:p w14:paraId="5D162D7E" w14:textId="5502F250" w:rsidR="0057163C" w:rsidRPr="00170422" w:rsidRDefault="00F37BF9">
      <w:pPr>
        <w:pStyle w:val="P68B1DB1-Normal7"/>
        <w:jc w:val="both"/>
        <w:rPr>
          <w:noProof/>
          <w:lang w:val="de-DE"/>
        </w:rPr>
      </w:pPr>
      <w:r w:rsidRPr="00170422">
        <w:rPr>
          <w:noProof/>
          <w:lang w:val="de-DE"/>
        </w:rPr>
        <w:t>Ziel dieser Maßnahme ist die Förderung der wirtschaftlichen und soziale</w:t>
      </w:r>
      <w:r w:rsidRPr="00170422">
        <w:rPr>
          <w:noProof/>
          <w:lang w:val="de-DE"/>
        </w:rPr>
        <w:t>n Entwicklung benachteiligter Gebiete auf der Grundlage der kulturellen Wiederbelebung von Kleinstädten und insbesondere des Wachstums der lokalen Wirtschaft und des Tourismus. Die Investition besteht in der Unterstützung kultureller, sozialer und touristi</w:t>
      </w:r>
      <w:r w:rsidRPr="00170422">
        <w:rPr>
          <w:noProof/>
          <w:lang w:val="de-DE"/>
        </w:rPr>
        <w:t xml:space="preserve">scher Infrastrukturen, Dienstleistungen und Aktivitäten. </w:t>
      </w:r>
    </w:p>
    <w:p w14:paraId="36DC319C" w14:textId="77777777" w:rsidR="0057163C" w:rsidRPr="00170422" w:rsidRDefault="00F37BF9">
      <w:pPr>
        <w:pStyle w:val="P68B1DB1-Normal5"/>
        <w:spacing w:after="120"/>
        <w:jc w:val="both"/>
        <w:rPr>
          <w:bCs/>
          <w:noProof/>
          <w:lang w:val="de-DE"/>
        </w:rPr>
      </w:pPr>
      <w:r w:rsidRPr="00170422">
        <w:rPr>
          <w:noProof/>
          <w:lang w:val="de-DE"/>
        </w:rPr>
        <w:t xml:space="preserve">Investition 2.2: Schutz und Verbesserung der ländlichen Architektur und Landschaft </w:t>
      </w:r>
    </w:p>
    <w:p w14:paraId="38680AA9" w14:textId="1BD97C44" w:rsidR="0057163C" w:rsidRPr="00170422" w:rsidRDefault="00F37BF9">
      <w:pPr>
        <w:pStyle w:val="P68B1DB1-Normal7"/>
        <w:spacing w:after="120"/>
        <w:jc w:val="both"/>
        <w:rPr>
          <w:noProof/>
          <w:lang w:val="de-DE"/>
        </w:rPr>
      </w:pPr>
      <w:r w:rsidRPr="00170422">
        <w:rPr>
          <w:noProof/>
          <w:lang w:val="de-DE"/>
        </w:rPr>
        <w:t>Ziel dieser Maßnahme ist die Verbesserung des ländlichen Raums und des ländlichen Raums. Die Maßnahme besteht in d</w:t>
      </w:r>
      <w:r w:rsidRPr="00170422">
        <w:rPr>
          <w:noProof/>
          <w:lang w:val="de-DE"/>
        </w:rPr>
        <w:t>er Förderung der Sanierung privater ländlicher Gebäude.</w:t>
      </w:r>
    </w:p>
    <w:p w14:paraId="0A6DB8D5" w14:textId="77777777" w:rsidR="0057163C" w:rsidRPr="00170422" w:rsidRDefault="00F37BF9">
      <w:pPr>
        <w:pStyle w:val="P68B1DB1-Normal5"/>
        <w:spacing w:after="120"/>
        <w:jc w:val="both"/>
        <w:rPr>
          <w:noProof/>
          <w:lang w:val="de-DE"/>
        </w:rPr>
      </w:pPr>
      <w:r w:rsidRPr="00170422">
        <w:rPr>
          <w:noProof/>
          <w:lang w:val="de-DE"/>
        </w:rPr>
        <w:t xml:space="preserve">Investition 2.3: Programme zur Verbesserung der Identität von Orten, Parks und historischen Gärten </w:t>
      </w:r>
    </w:p>
    <w:p w14:paraId="2E588923" w14:textId="06524A22" w:rsidR="0057163C" w:rsidRPr="00170422" w:rsidRDefault="00F37BF9">
      <w:pPr>
        <w:pStyle w:val="P68B1DB1-Normal7"/>
        <w:spacing w:after="120"/>
        <w:jc w:val="both"/>
        <w:rPr>
          <w:noProof/>
          <w:lang w:val="de-DE"/>
        </w:rPr>
      </w:pPr>
      <w:r w:rsidRPr="00170422">
        <w:rPr>
          <w:noProof/>
          <w:lang w:val="de-DE"/>
        </w:rPr>
        <w:t>Ziel dieser Maßnahme ist es, historische Parks und Gärten zu erhalten und zu verbessern, ihr kulture</w:t>
      </w:r>
      <w:r w:rsidRPr="00170422">
        <w:rPr>
          <w:noProof/>
          <w:lang w:val="de-DE"/>
        </w:rPr>
        <w:t>lles und historisches Erbe zu schützen und gleichzeitig die Zugänglichkeit, die Sicherheit und den öffentlichen Genuss zu verbessern. Die Maßnahme umfasst die Renovierung historischer Parks und Gärten, die Unterstützung der Wiederherstellung, der nachhalti</w:t>
      </w:r>
      <w:r w:rsidRPr="00170422">
        <w:rPr>
          <w:noProof/>
          <w:lang w:val="de-DE"/>
        </w:rPr>
        <w:t>gen Bewirtschaftung und der beruflichen Bildung, die langfristige Erhaltung und die Stärkung ihrer kulturellen, bildungsbezogenen und ökologischen Rolle.</w:t>
      </w:r>
    </w:p>
    <w:p w14:paraId="1591E1AE" w14:textId="77777777" w:rsidR="0057163C" w:rsidRPr="00170422" w:rsidRDefault="00F37BF9">
      <w:pPr>
        <w:pStyle w:val="P68B1DB1-Normal5"/>
        <w:spacing w:after="120"/>
        <w:jc w:val="both"/>
        <w:rPr>
          <w:noProof/>
          <w:lang w:val="de-DE"/>
        </w:rPr>
      </w:pPr>
      <w:r w:rsidRPr="00170422">
        <w:rPr>
          <w:noProof/>
          <w:lang w:val="de-DE"/>
        </w:rPr>
        <w:t>Investition 2.4: Seismische Sicherheit von Gebetsstätten, Restaurierung des FEC-Erbes und Schutzeinric</w:t>
      </w:r>
      <w:r w:rsidRPr="00170422">
        <w:rPr>
          <w:noProof/>
          <w:lang w:val="de-DE"/>
        </w:rPr>
        <w:t>htungen für Kunstwerke (Recovery Art)</w:t>
      </w:r>
    </w:p>
    <w:p w14:paraId="188B7B26" w14:textId="1DF29D7F" w:rsidR="0057163C" w:rsidRPr="00170422" w:rsidRDefault="00F37BF9">
      <w:pPr>
        <w:pStyle w:val="P68B1DB1-Normal7"/>
        <w:spacing w:after="120"/>
        <w:jc w:val="both"/>
        <w:rPr>
          <w:b/>
          <w:noProof/>
          <w:u w:val="single"/>
          <w:lang w:val="de-DE"/>
        </w:rPr>
      </w:pPr>
      <w:r w:rsidRPr="00170422">
        <w:rPr>
          <w:noProof/>
          <w:lang w:val="de-DE"/>
        </w:rPr>
        <w:t>Ziel dieser Maßnahme ist es, das seismische Risiko für Gebetsstätten zu verringern. Die Investition besteht in der Aufstellung eines Plans zur Verhütung von Erdbeben, der Durchführung der seismischen Nachrüstung von Go</w:t>
      </w:r>
      <w:r w:rsidRPr="00170422">
        <w:rPr>
          <w:noProof/>
          <w:lang w:val="de-DE"/>
        </w:rPr>
        <w:t>tteshäusern, der Restaurierung von Kulturgütern (</w:t>
      </w:r>
      <w:r w:rsidRPr="00170422">
        <w:rPr>
          <w:i/>
          <w:noProof/>
          <w:lang w:val="de-DE"/>
        </w:rPr>
        <w:t>Fondo Edifici di</w:t>
      </w:r>
      <w:r w:rsidRPr="00170422">
        <w:rPr>
          <w:noProof/>
          <w:lang w:val="de-DE"/>
        </w:rPr>
        <w:t>Culto) und dem Bau von Unterkünften für Kunstwerke.</w:t>
      </w:r>
    </w:p>
    <w:p w14:paraId="3A00175A" w14:textId="77777777" w:rsidR="0057163C" w:rsidRPr="00170422" w:rsidRDefault="00F37BF9">
      <w:pPr>
        <w:pStyle w:val="P68B1DB1-Normal5"/>
        <w:spacing w:after="120"/>
        <w:jc w:val="both"/>
        <w:rPr>
          <w:noProof/>
          <w:lang w:val="de-DE"/>
        </w:rPr>
      </w:pPr>
      <w:r w:rsidRPr="00170422">
        <w:rPr>
          <w:noProof/>
          <w:lang w:val="de-DE"/>
        </w:rPr>
        <w:t>Investition 4.2: Mittel für die Wettbewerbsfähigkeit von Tourismusunternehmen</w:t>
      </w:r>
    </w:p>
    <w:p w14:paraId="308CBA87" w14:textId="77777777" w:rsidR="0057163C" w:rsidRPr="00170422" w:rsidRDefault="00F37BF9">
      <w:pPr>
        <w:pStyle w:val="P68B1DB1-Normal7"/>
        <w:spacing w:after="120"/>
        <w:jc w:val="both"/>
        <w:rPr>
          <w:noProof/>
          <w:lang w:val="de-DE"/>
        </w:rPr>
      </w:pPr>
      <w:r w:rsidRPr="00170422">
        <w:rPr>
          <w:noProof/>
          <w:lang w:val="de-DE"/>
        </w:rPr>
        <w:t>Mit der Maßnahme sollen Unternehmen unterstützt werden, die i</w:t>
      </w:r>
      <w:r w:rsidRPr="00170422">
        <w:rPr>
          <w:noProof/>
          <w:lang w:val="de-DE"/>
        </w:rPr>
        <w:t>m Tourismussektor tätig sind. Sie umfasst eine Steuergutschrift für Arbeiten zur Verbesserung der Unterbringungsmöglichkeiten, einen Garantiefonds zur Erleichterung des Zugangs zu Krediten für Unternehmen in der Branche (über einen speziellen Abschnitt des</w:t>
      </w:r>
      <w:r w:rsidRPr="00170422">
        <w:rPr>
          <w:noProof/>
          <w:lang w:val="de-DE"/>
        </w:rPr>
        <w:t xml:space="preserve"> KMU-Garantiefonds), die Aktivierung des Thematischen Tourismusfonds der EIB zur Unterstützung innovativer Investitionen in der Branche und einen Beteiligungsfonds (Nationaler Tourismusfonds) für die Sanierung von Immobilien mit hohem touristischem Potenzi</w:t>
      </w:r>
      <w:r w:rsidRPr="00170422">
        <w:rPr>
          <w:noProof/>
          <w:lang w:val="de-DE"/>
        </w:rPr>
        <w:t>al. Ein zusätzliches Finanzinstrument (FRI – Fondo Rotativo) ergänzt die oben genannten Maßnahmen zur Unterstützung von Unternehmen, die in der Tourismusbranche tätig sind. Die oben genannten Interventionen werden im Einklang mit der Investitionspolitik im</w:t>
      </w:r>
      <w:r w:rsidRPr="00170422">
        <w:rPr>
          <w:noProof/>
          <w:lang w:val="de-DE"/>
        </w:rPr>
        <w:t xml:space="preserve"> Einklang mit den Zielen der Verordnung (EU) 2021/241 durchgeführt, auch in Bezug auf die Anwendung des Grundsatzes der „Vermeidung erheblicher Beeinträchtigungen“, wie in den technischen Leitlinien für die Anwendung des Grundsatzes der „Vermeidung erhebli</w:t>
      </w:r>
      <w:r w:rsidRPr="00170422">
        <w:rPr>
          <w:noProof/>
          <w:lang w:val="de-DE"/>
        </w:rPr>
        <w:t>cher Beeinträchtigungen“ im Rahmen der Verordnung über die Aufbau- und Resilienzfazilität (2021/C58/01) näher ausgeführt.</w:t>
      </w:r>
    </w:p>
    <w:p w14:paraId="5AA675FB" w14:textId="77777777" w:rsidR="0057163C" w:rsidRPr="00170422" w:rsidRDefault="00F37BF9">
      <w:pPr>
        <w:pStyle w:val="P68B1DB1-Text143"/>
        <w:spacing w:before="0"/>
        <w:ind w:left="0"/>
        <w:rPr>
          <w:noProof/>
          <w:lang w:val="de-DE"/>
        </w:rPr>
      </w:pPr>
      <w:r w:rsidRPr="00170422">
        <w:rPr>
          <w:noProof/>
          <w:lang w:val="de-DE"/>
        </w:rPr>
        <w:t>Um sicherzustellen, dass die Maßnahme den technischen Leitlinien „Vermeidung erheblicher Beeinträchtigungen“ (2021/C58/01) entspricht,</w:t>
      </w:r>
      <w:r w:rsidRPr="00170422">
        <w:rPr>
          <w:noProof/>
          <w:lang w:val="de-DE"/>
        </w:rPr>
        <w:t xml:space="preserve"> </w:t>
      </w:r>
    </w:p>
    <w:p w14:paraId="2696B952" w14:textId="77777777" w:rsidR="0057163C" w:rsidRPr="00170422" w:rsidRDefault="00F37BF9">
      <w:pPr>
        <w:pStyle w:val="P68B1DB1-Text143"/>
        <w:numPr>
          <w:ilvl w:val="0"/>
          <w:numId w:val="53"/>
        </w:numPr>
        <w:spacing w:before="0"/>
        <w:ind w:left="567" w:hanging="283"/>
        <w:rPr>
          <w:noProof/>
          <w:lang w:val="de-DE"/>
        </w:rPr>
      </w:pPr>
      <w:r w:rsidRPr="00170422">
        <w:rPr>
          <w:noProof/>
          <w:lang w:val="de-DE"/>
        </w:rPr>
        <w:t>die Anwendung der technischen Leitlinien der Kommission zur Nachhaltigkeitsprüfung für den Fonds „InvestEU“ verlangen; und</w:t>
      </w:r>
    </w:p>
    <w:p w14:paraId="7F50539B" w14:textId="77777777" w:rsidR="0057163C" w:rsidRPr="00170422" w:rsidRDefault="00F37BF9">
      <w:pPr>
        <w:pStyle w:val="Text1"/>
        <w:numPr>
          <w:ilvl w:val="0"/>
          <w:numId w:val="53"/>
        </w:numPr>
        <w:spacing w:before="0"/>
        <w:ind w:left="567" w:hanging="283"/>
        <w:rPr>
          <w:noProof/>
          <w:sz w:val="22"/>
          <w:szCs w:val="22"/>
          <w:lang w:val="de-DE"/>
        </w:rPr>
      </w:pPr>
      <w:r w:rsidRPr="00170422">
        <w:rPr>
          <w:noProof/>
          <w:sz w:val="22"/>
          <w:szCs w:val="22"/>
          <w:lang w:val="de-DE"/>
        </w:rPr>
        <w:t>die folgende Liste von Tätigkeiten ausschließen: I) Tätigkeiten im Zusammenhang mit fossilen Brennstoffen, einschließlich nachgelag</w:t>
      </w:r>
      <w:r w:rsidRPr="00170422">
        <w:rPr>
          <w:noProof/>
          <w:sz w:val="22"/>
          <w:szCs w:val="22"/>
          <w:lang w:val="de-DE"/>
        </w:rPr>
        <w:t>erter Nutzung</w:t>
      </w:r>
      <w:r w:rsidRPr="00170422">
        <w:rPr>
          <w:rStyle w:val="FootnoteReference"/>
          <w:noProof/>
          <w:sz w:val="22"/>
          <w:szCs w:val="22"/>
          <w:lang w:val="de-DE"/>
        </w:rPr>
        <w:footnoteReference w:id="18"/>
      </w:r>
      <w:r w:rsidRPr="00170422">
        <w:rPr>
          <w:noProof/>
          <w:sz w:val="22"/>
          <w:szCs w:val="22"/>
          <w:lang w:val="de-DE"/>
        </w:rPr>
        <w:t>; II) Tätigkeiten im Rahmen des EU-Emissionshandelssystems (EHS), mit denen prognostizierte Treibhausgasemissionen erreicht werden, die nicht unter den einschlägigen Referenzwerten liegen</w:t>
      </w:r>
      <w:r w:rsidRPr="00170422">
        <w:rPr>
          <w:rStyle w:val="FootnoteReference"/>
          <w:noProof/>
          <w:sz w:val="22"/>
          <w:szCs w:val="22"/>
          <w:lang w:val="de-DE"/>
        </w:rPr>
        <w:footnoteReference w:id="19"/>
      </w:r>
      <w:r w:rsidRPr="00170422">
        <w:rPr>
          <w:noProof/>
          <w:sz w:val="22"/>
          <w:szCs w:val="22"/>
          <w:lang w:val="de-DE"/>
        </w:rPr>
        <w:t>; III) Tätigkeiten im Zusammenhang mit Abfalldeponien,</w:t>
      </w:r>
      <w:r w:rsidRPr="00170422">
        <w:rPr>
          <w:noProof/>
          <w:sz w:val="22"/>
          <w:szCs w:val="22"/>
          <w:lang w:val="de-DE"/>
        </w:rPr>
        <w:t xml:space="preserve"> Verbrennungsanlagen</w:t>
      </w:r>
      <w:r w:rsidRPr="00170422">
        <w:rPr>
          <w:rStyle w:val="FootnoteReference"/>
          <w:noProof/>
          <w:sz w:val="22"/>
          <w:szCs w:val="22"/>
          <w:lang w:val="de-DE"/>
        </w:rPr>
        <w:footnoteReference w:id="20"/>
      </w:r>
      <w:r w:rsidRPr="00170422">
        <w:rPr>
          <w:noProof/>
          <w:sz w:val="22"/>
          <w:szCs w:val="22"/>
          <w:lang w:val="de-DE"/>
        </w:rPr>
        <w:t xml:space="preserve"> und Anlagen zur mechanisch-biologischen Behandlung</w:t>
      </w:r>
      <w:r w:rsidRPr="00170422">
        <w:rPr>
          <w:rStyle w:val="FootnoteReference"/>
          <w:noProof/>
          <w:sz w:val="22"/>
          <w:szCs w:val="22"/>
          <w:lang w:val="de-DE"/>
        </w:rPr>
        <w:footnoteReference w:id="21"/>
      </w:r>
      <w:r w:rsidRPr="00170422">
        <w:rPr>
          <w:noProof/>
          <w:sz w:val="22"/>
          <w:szCs w:val="22"/>
          <w:lang w:val="de-DE"/>
        </w:rPr>
        <w:t>; und iv) Tätigkeiten, bei denen die langfristige Entsorgung von Abfällen die Umwelt schädigen kann; und</w:t>
      </w:r>
    </w:p>
    <w:p w14:paraId="47A452D3" w14:textId="77777777" w:rsidR="0057163C" w:rsidRPr="00170422" w:rsidRDefault="00F37BF9">
      <w:pPr>
        <w:pStyle w:val="P68B1DB1-Text143"/>
        <w:numPr>
          <w:ilvl w:val="0"/>
          <w:numId w:val="53"/>
        </w:numPr>
        <w:spacing w:before="0"/>
        <w:ind w:left="567" w:hanging="283"/>
        <w:rPr>
          <w:noProof/>
          <w:lang w:val="de-DE"/>
        </w:rPr>
      </w:pPr>
      <w:r w:rsidRPr="00170422">
        <w:rPr>
          <w:noProof/>
          <w:lang w:val="de-DE"/>
        </w:rPr>
        <w:t xml:space="preserve">verlangen, dass die betraute Einrichtung oder der Finanzintermediär bei allen </w:t>
      </w:r>
      <w:r w:rsidRPr="00170422">
        <w:rPr>
          <w:noProof/>
          <w:lang w:val="de-DE"/>
        </w:rPr>
        <w:t>Transaktionen, einschließlich derjenigen, die von der Nachhaltigkeitsprüfung ausgenommen sind, die Einhaltung der einschlägigen EU- und nationalen Umweltvorschriften für die Projekte überprüft.</w:t>
      </w:r>
    </w:p>
    <w:p w14:paraId="060A49B0" w14:textId="77777777" w:rsidR="0057163C" w:rsidRPr="00170422" w:rsidRDefault="00F37BF9">
      <w:pPr>
        <w:pStyle w:val="P68B1DB1-Normal5"/>
        <w:spacing w:after="120"/>
        <w:jc w:val="both"/>
        <w:rPr>
          <w:bCs/>
          <w:noProof/>
          <w:lang w:val="de-DE"/>
        </w:rPr>
      </w:pPr>
      <w:r w:rsidRPr="00170422">
        <w:rPr>
          <w:noProof/>
          <w:lang w:val="de-DE"/>
        </w:rPr>
        <w:t>Investition 3.2: Entwicklung der Filmindustrie (Projekt Cineci</w:t>
      </w:r>
      <w:r w:rsidRPr="00170422">
        <w:rPr>
          <w:noProof/>
          <w:lang w:val="de-DE"/>
        </w:rPr>
        <w:t>ttà)</w:t>
      </w:r>
    </w:p>
    <w:p w14:paraId="53B9A107" w14:textId="7F90CBE0" w:rsidR="0057163C" w:rsidRPr="00170422" w:rsidRDefault="00F37BF9">
      <w:pPr>
        <w:pStyle w:val="P68B1DB1-Normal7"/>
        <w:spacing w:after="120"/>
        <w:jc w:val="both"/>
        <w:rPr>
          <w:noProof/>
          <w:lang w:val="de-DE"/>
        </w:rPr>
      </w:pPr>
      <w:r w:rsidRPr="00170422">
        <w:rPr>
          <w:noProof/>
          <w:lang w:val="de-DE"/>
        </w:rPr>
        <w:t xml:space="preserve">Ziel dieser Maßnahme ist die Steigerung der Wettbewerbsfähigkeit des italienischen Film- und audiovisuellen Sektors. Die Investition besteht in der Renovierung von Studios und dem Bau neuer Studios, um die Produktionstätigkeiten zu verbessern. Dies </w:t>
      </w:r>
      <w:r w:rsidRPr="00170422">
        <w:rPr>
          <w:noProof/>
          <w:lang w:val="de-DE"/>
        </w:rPr>
        <w:t>kann unter anderem den Einsatz neuer Technologien, die Erhaltung und Digitalisierung des audiovisuellen Erbes im Versuchszentrum für Kinematografie sowie die Stärkung der beruflichen Profile und Kompetenzen in der Branche durch Schulungsmaßnahmen von Cinec</w:t>
      </w:r>
      <w:r w:rsidRPr="00170422">
        <w:rPr>
          <w:noProof/>
          <w:lang w:val="de-DE"/>
        </w:rPr>
        <w:t>ittà und dem Versuchszentrum für Kinematografie umfassen.</w:t>
      </w:r>
    </w:p>
    <w:p w14:paraId="13637D4F" w14:textId="77777777" w:rsidR="0057163C" w:rsidRPr="00170422" w:rsidRDefault="00F37BF9">
      <w:pPr>
        <w:pStyle w:val="P68B1DB1-Normal29"/>
        <w:spacing w:after="120"/>
        <w:jc w:val="both"/>
        <w:rPr>
          <w:bCs/>
          <w:noProof/>
          <w:lang w:val="de-DE"/>
        </w:rPr>
      </w:pPr>
      <w:r w:rsidRPr="00170422">
        <w:rPr>
          <w:noProof/>
          <w:lang w:val="de-DE"/>
        </w:rPr>
        <w:t>Investition 4.3: Caput Mundi Next Generation EU für touristische Großveranstaltungen.</w:t>
      </w:r>
    </w:p>
    <w:p w14:paraId="0687DB3F" w14:textId="70EA6029" w:rsidR="0057163C" w:rsidRPr="00170422" w:rsidRDefault="00F37BF9">
      <w:pPr>
        <w:pStyle w:val="P68B1DB1-Normal8"/>
        <w:tabs>
          <w:tab w:val="left" w:pos="1340"/>
          <w:tab w:val="left" w:pos="1341"/>
        </w:tabs>
        <w:spacing w:after="120"/>
        <w:ind w:right="-7"/>
        <w:jc w:val="both"/>
        <w:rPr>
          <w:noProof/>
          <w:lang w:val="de-DE"/>
        </w:rPr>
      </w:pPr>
      <w:r w:rsidRPr="00170422">
        <w:rPr>
          <w:noProof/>
          <w:lang w:val="de-DE"/>
        </w:rPr>
        <w:t>Ziel dieser Maßnahme ist es, die Erfahrungen mit touristischen Großveranstaltungen und die Nachhaltigkeit des To</w:t>
      </w:r>
      <w:r w:rsidRPr="00170422">
        <w:rPr>
          <w:noProof/>
          <w:lang w:val="de-DE"/>
        </w:rPr>
        <w:t>urismus durch die Renovierung von Denkmälern, die Schaffung touristischer und kultureller Alternativen zu überfüllten Gebieten, die Digitalisierung kultureller und touristischer Dienstleistungen und die Verbesserung von Grünflächen zu verbessern. Die Inves</w:t>
      </w:r>
      <w:r w:rsidRPr="00170422">
        <w:rPr>
          <w:noProof/>
          <w:lang w:val="de-DE"/>
        </w:rPr>
        <w:t>tition besteht in der Annahme und Umsetzung des Programms „Caput Mundi“, das die Wiederherstellung kultureller und historischer Vermögenswerte, die Renovierung von Grünflächen und historischen Einrichtungen sowie die Schaffung digitaler Dienstleistungen fü</w:t>
      </w:r>
      <w:r w:rsidRPr="00170422">
        <w:rPr>
          <w:noProof/>
          <w:lang w:val="de-DE"/>
        </w:rPr>
        <w:t>r den Tourismus umfasst.</w:t>
      </w:r>
    </w:p>
    <w:p w14:paraId="6ACB0B86" w14:textId="1F27D7B8" w:rsidR="0057163C" w:rsidRPr="00170422" w:rsidRDefault="0057163C">
      <w:pPr>
        <w:tabs>
          <w:tab w:val="left" w:pos="1340"/>
          <w:tab w:val="left" w:pos="1341"/>
        </w:tabs>
        <w:spacing w:after="120"/>
        <w:ind w:right="-7"/>
        <w:jc w:val="both"/>
        <w:rPr>
          <w:noProof/>
          <w:lang w:val="de-DE"/>
        </w:rPr>
        <w:sectPr w:rsidR="0057163C" w:rsidRPr="00170422" w:rsidSect="005F11B9">
          <w:headerReference w:type="even" r:id="rId64"/>
          <w:headerReference w:type="default" r:id="rId65"/>
          <w:footerReference w:type="even" r:id="rId66"/>
          <w:footerReference w:type="default" r:id="rId67"/>
          <w:headerReference w:type="first" r:id="rId68"/>
          <w:footerReference w:type="first" r:id="rId69"/>
          <w:pgSz w:w="11907" w:h="16839"/>
          <w:pgMar w:top="1134" w:right="1134" w:bottom="1134" w:left="1134" w:header="567" w:footer="567" w:gutter="0"/>
          <w:cols w:space="720"/>
          <w:docGrid w:linePitch="360"/>
        </w:sectPr>
      </w:pPr>
    </w:p>
    <w:p w14:paraId="0A860CFE"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C.4.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18"/>
        <w:gridCol w:w="1243"/>
        <w:gridCol w:w="1378"/>
        <w:gridCol w:w="1518"/>
        <w:gridCol w:w="1074"/>
        <w:gridCol w:w="1419"/>
        <w:gridCol w:w="1132"/>
        <w:gridCol w:w="852"/>
        <w:gridCol w:w="706"/>
        <w:gridCol w:w="2653"/>
      </w:tblGrid>
      <w:tr w:rsidR="0057163C" w:rsidRPr="00170422" w14:paraId="4B130771" w14:textId="77777777" w:rsidTr="00744AB7">
        <w:trPr>
          <w:trHeight w:val="313"/>
          <w:tblHeader/>
          <w:jc w:val="center"/>
        </w:trPr>
        <w:tc>
          <w:tcPr>
            <w:tcW w:w="377" w:type="pct"/>
            <w:vMerge w:val="restart"/>
            <w:shd w:val="clear" w:color="auto" w:fill="BDD7EE"/>
            <w:noWrap/>
            <w:vAlign w:val="center"/>
          </w:tcPr>
          <w:p w14:paraId="53AD22BF" w14:textId="77777777" w:rsidR="0057163C" w:rsidRPr="00170422" w:rsidRDefault="0057163C">
            <w:pPr>
              <w:jc w:val="center"/>
              <w:rPr>
                <w:rFonts w:ascii="Arial Narrow" w:hAnsi="Arial Narrow"/>
                <w:noProof/>
                <w:sz w:val="20"/>
                <w:szCs w:val="20"/>
                <w:lang w:val="de-DE"/>
              </w:rPr>
            </w:pPr>
          </w:p>
          <w:p w14:paraId="341AD540" w14:textId="77777777" w:rsidR="0057163C" w:rsidRPr="00170422" w:rsidRDefault="00F37BF9">
            <w:pPr>
              <w:pStyle w:val="P68B1DB1-Normal10"/>
              <w:jc w:val="center"/>
              <w:rPr>
                <w:noProof/>
                <w:szCs w:val="20"/>
                <w:lang w:val="de-DE"/>
              </w:rPr>
            </w:pPr>
            <w:r w:rsidRPr="00170422">
              <w:rPr>
                <w:noProof/>
                <w:lang w:val="de-DE"/>
              </w:rPr>
              <w:t>Laufende Nummer</w:t>
            </w:r>
          </w:p>
        </w:tc>
        <w:tc>
          <w:tcPr>
            <w:tcW w:w="520" w:type="pct"/>
            <w:vMerge w:val="restart"/>
            <w:shd w:val="clear" w:color="auto" w:fill="BDD7EE"/>
            <w:noWrap/>
            <w:vAlign w:val="center"/>
          </w:tcPr>
          <w:p w14:paraId="0473C641"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426" w:type="pct"/>
            <w:vMerge w:val="restart"/>
            <w:shd w:val="clear" w:color="auto" w:fill="BDD7EE"/>
            <w:noWrap/>
            <w:vAlign w:val="center"/>
          </w:tcPr>
          <w:p w14:paraId="68896275" w14:textId="77777777" w:rsidR="0057163C" w:rsidRPr="00170422" w:rsidRDefault="00F37BF9">
            <w:pPr>
              <w:pStyle w:val="P68B1DB1-Normal10"/>
              <w:jc w:val="center"/>
              <w:rPr>
                <w:noProof/>
                <w:szCs w:val="20"/>
                <w:lang w:val="de-DE"/>
              </w:rPr>
            </w:pPr>
            <w:r w:rsidRPr="00170422">
              <w:rPr>
                <w:noProof/>
                <w:lang w:val="de-DE"/>
              </w:rPr>
              <w:t>Etappenziel/Zielwert</w:t>
            </w:r>
          </w:p>
        </w:tc>
        <w:tc>
          <w:tcPr>
            <w:tcW w:w="472" w:type="pct"/>
            <w:vMerge w:val="restart"/>
            <w:shd w:val="clear" w:color="auto" w:fill="BDD7EE"/>
            <w:noWrap/>
            <w:vAlign w:val="center"/>
          </w:tcPr>
          <w:p w14:paraId="79932134" w14:textId="77777777" w:rsidR="0057163C" w:rsidRPr="00170422" w:rsidRDefault="00F37BF9">
            <w:pPr>
              <w:pStyle w:val="P68B1DB1-Normal10"/>
              <w:jc w:val="center"/>
              <w:rPr>
                <w:noProof/>
                <w:szCs w:val="20"/>
                <w:lang w:val="de-DE"/>
              </w:rPr>
            </w:pPr>
            <w:r w:rsidRPr="00170422">
              <w:rPr>
                <w:noProof/>
                <w:lang w:val="de-DE"/>
              </w:rPr>
              <w:t>Namen</w:t>
            </w:r>
          </w:p>
        </w:tc>
        <w:tc>
          <w:tcPr>
            <w:tcW w:w="520" w:type="pct"/>
            <w:vMerge w:val="restart"/>
            <w:shd w:val="clear" w:color="auto" w:fill="BDD7EE"/>
            <w:noWrap/>
            <w:vAlign w:val="center"/>
          </w:tcPr>
          <w:p w14:paraId="1C6DCE04" w14:textId="5CDE6CF9"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744AB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1242" w:type="pct"/>
            <w:gridSpan w:val="3"/>
            <w:shd w:val="clear" w:color="auto" w:fill="BDD7EE"/>
            <w:noWrap/>
            <w:vAlign w:val="center"/>
          </w:tcPr>
          <w:p w14:paraId="3B852853" w14:textId="77777777" w:rsidR="0057163C" w:rsidRPr="00170422" w:rsidRDefault="00F37BF9">
            <w:pPr>
              <w:jc w:val="center"/>
              <w:rPr>
                <w:rFonts w:ascii="Arial Narrow" w:hAnsi="Arial Narrow"/>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534" w:type="pct"/>
            <w:gridSpan w:val="2"/>
            <w:shd w:val="clear" w:color="auto" w:fill="BDD7EE"/>
            <w:noWrap/>
            <w:vAlign w:val="center"/>
          </w:tcPr>
          <w:p w14:paraId="7E68CCD1"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909" w:type="pct"/>
            <w:vMerge w:val="restart"/>
            <w:shd w:val="clear" w:color="auto" w:fill="BDD7EE"/>
            <w:noWrap/>
            <w:vAlign w:val="center"/>
          </w:tcPr>
          <w:p w14:paraId="158677DF" w14:textId="77777777" w:rsidR="0057163C" w:rsidRPr="00170422" w:rsidRDefault="0057163C">
            <w:pPr>
              <w:jc w:val="center"/>
              <w:rPr>
                <w:rFonts w:ascii="Arial Narrow" w:eastAsia="Calibri" w:hAnsi="Arial Narrow"/>
                <w:noProof/>
                <w:color w:val="006100"/>
                <w:sz w:val="20"/>
                <w:szCs w:val="20"/>
                <w:lang w:val="de-DE"/>
              </w:rPr>
            </w:pPr>
          </w:p>
          <w:p w14:paraId="62B168EC" w14:textId="77777777" w:rsidR="0057163C" w:rsidRPr="00170422" w:rsidRDefault="00F37BF9">
            <w:pPr>
              <w:pStyle w:val="P68B1DB1-Normal10"/>
              <w:jc w:val="center"/>
              <w:rPr>
                <w:rFonts w:eastAsia="Calibri"/>
                <w:noProof/>
                <w:color w:val="006100"/>
                <w:szCs w:val="20"/>
                <w:lang w:val="de-DE"/>
              </w:rPr>
            </w:pPr>
            <w:r w:rsidRPr="00170422">
              <w:rPr>
                <w:noProof/>
                <w:lang w:val="de-DE"/>
              </w:rPr>
              <w:t>Beschreibung der einzelnen Etappenziele und Zielvorgaben</w:t>
            </w:r>
          </w:p>
        </w:tc>
      </w:tr>
      <w:tr w:rsidR="0057163C" w:rsidRPr="00170422" w14:paraId="482EC076" w14:textId="77777777" w:rsidTr="00744AB7">
        <w:trPr>
          <w:trHeight w:val="313"/>
          <w:tblHeader/>
          <w:jc w:val="center"/>
        </w:trPr>
        <w:tc>
          <w:tcPr>
            <w:tcW w:w="377" w:type="pct"/>
            <w:vMerge/>
            <w:noWrap/>
            <w:vAlign w:val="center"/>
          </w:tcPr>
          <w:p w14:paraId="34114E7F" w14:textId="77777777" w:rsidR="0057163C" w:rsidRPr="00170422" w:rsidRDefault="0057163C">
            <w:pPr>
              <w:jc w:val="center"/>
              <w:rPr>
                <w:rFonts w:ascii="Arial Narrow" w:hAnsi="Arial Narrow"/>
                <w:noProof/>
                <w:sz w:val="20"/>
                <w:szCs w:val="20"/>
                <w:lang w:val="de-DE"/>
              </w:rPr>
            </w:pPr>
          </w:p>
        </w:tc>
        <w:tc>
          <w:tcPr>
            <w:tcW w:w="520" w:type="pct"/>
            <w:vMerge/>
            <w:noWrap/>
            <w:vAlign w:val="center"/>
          </w:tcPr>
          <w:p w14:paraId="16FD2CD0" w14:textId="77777777" w:rsidR="0057163C" w:rsidRPr="00170422" w:rsidRDefault="0057163C">
            <w:pPr>
              <w:jc w:val="center"/>
              <w:rPr>
                <w:rFonts w:ascii="Arial Narrow" w:hAnsi="Arial Narrow"/>
                <w:noProof/>
                <w:sz w:val="20"/>
                <w:szCs w:val="20"/>
                <w:lang w:val="de-DE"/>
              </w:rPr>
            </w:pPr>
          </w:p>
        </w:tc>
        <w:tc>
          <w:tcPr>
            <w:tcW w:w="426" w:type="pct"/>
            <w:vMerge/>
            <w:noWrap/>
            <w:vAlign w:val="center"/>
          </w:tcPr>
          <w:p w14:paraId="09ACF6C4" w14:textId="77777777" w:rsidR="0057163C" w:rsidRPr="00170422" w:rsidRDefault="0057163C">
            <w:pPr>
              <w:jc w:val="center"/>
              <w:rPr>
                <w:rFonts w:ascii="Arial Narrow" w:hAnsi="Arial Narrow"/>
                <w:noProof/>
                <w:sz w:val="20"/>
                <w:szCs w:val="20"/>
                <w:lang w:val="de-DE"/>
              </w:rPr>
            </w:pPr>
          </w:p>
        </w:tc>
        <w:tc>
          <w:tcPr>
            <w:tcW w:w="472" w:type="pct"/>
            <w:vMerge/>
            <w:noWrap/>
            <w:vAlign w:val="center"/>
          </w:tcPr>
          <w:p w14:paraId="4B837074" w14:textId="77777777" w:rsidR="0057163C" w:rsidRPr="00170422" w:rsidRDefault="0057163C">
            <w:pPr>
              <w:jc w:val="center"/>
              <w:rPr>
                <w:rFonts w:ascii="Arial Narrow" w:hAnsi="Arial Narrow"/>
                <w:noProof/>
                <w:sz w:val="20"/>
                <w:szCs w:val="20"/>
                <w:lang w:val="de-DE"/>
              </w:rPr>
            </w:pPr>
          </w:p>
        </w:tc>
        <w:tc>
          <w:tcPr>
            <w:tcW w:w="520" w:type="pct"/>
            <w:vMerge/>
            <w:noWrap/>
            <w:vAlign w:val="center"/>
          </w:tcPr>
          <w:p w14:paraId="0C7DF546" w14:textId="77777777" w:rsidR="0057163C" w:rsidRPr="00170422" w:rsidRDefault="0057163C">
            <w:pPr>
              <w:jc w:val="center"/>
              <w:rPr>
                <w:rFonts w:ascii="Arial Narrow" w:eastAsia="Calibri" w:hAnsi="Arial Narrow"/>
                <w:noProof/>
                <w:sz w:val="20"/>
                <w:szCs w:val="20"/>
                <w:lang w:val="de-DE"/>
              </w:rPr>
            </w:pPr>
          </w:p>
        </w:tc>
        <w:tc>
          <w:tcPr>
            <w:tcW w:w="368" w:type="pct"/>
            <w:shd w:val="clear" w:color="auto" w:fill="BDD7EE"/>
            <w:noWrap/>
            <w:vAlign w:val="center"/>
          </w:tcPr>
          <w:p w14:paraId="57373DD1" w14:textId="77777777" w:rsidR="0057163C" w:rsidRPr="00170422" w:rsidRDefault="00F37BF9">
            <w:pPr>
              <w:pStyle w:val="P68B1DB1-Normal10"/>
              <w:jc w:val="center"/>
              <w:rPr>
                <w:noProof/>
                <w:szCs w:val="20"/>
                <w:lang w:val="de-DE"/>
              </w:rPr>
            </w:pPr>
            <w:r w:rsidRPr="00170422">
              <w:rPr>
                <w:noProof/>
                <w:lang w:val="de-DE"/>
              </w:rPr>
              <w:t>Maßeinheit</w:t>
            </w:r>
          </w:p>
        </w:tc>
        <w:tc>
          <w:tcPr>
            <w:tcW w:w="486" w:type="pct"/>
            <w:shd w:val="clear" w:color="auto" w:fill="BDD7EE"/>
            <w:noWrap/>
            <w:vAlign w:val="center"/>
          </w:tcPr>
          <w:p w14:paraId="7D4B6E63" w14:textId="77777777" w:rsidR="0057163C" w:rsidRPr="00170422" w:rsidRDefault="00F37BF9">
            <w:pPr>
              <w:pStyle w:val="P68B1DB1-Normal10"/>
              <w:jc w:val="center"/>
              <w:rPr>
                <w:noProof/>
                <w:szCs w:val="20"/>
                <w:lang w:val="de-DE"/>
              </w:rPr>
            </w:pPr>
            <w:r w:rsidRPr="00170422">
              <w:rPr>
                <w:noProof/>
                <w:lang w:val="de-DE"/>
              </w:rPr>
              <w:t>Ausgangslage</w:t>
            </w:r>
          </w:p>
        </w:tc>
        <w:tc>
          <w:tcPr>
            <w:tcW w:w="388" w:type="pct"/>
            <w:shd w:val="clear" w:color="auto" w:fill="BDD7EE"/>
            <w:noWrap/>
            <w:vAlign w:val="center"/>
          </w:tcPr>
          <w:p w14:paraId="51D6C8A5" w14:textId="77777777" w:rsidR="0057163C" w:rsidRPr="00170422" w:rsidRDefault="00F37BF9">
            <w:pPr>
              <w:pStyle w:val="P68B1DB1-Normal10"/>
              <w:jc w:val="center"/>
              <w:rPr>
                <w:noProof/>
                <w:szCs w:val="20"/>
                <w:lang w:val="de-DE"/>
              </w:rPr>
            </w:pPr>
            <w:r w:rsidRPr="00170422">
              <w:rPr>
                <w:noProof/>
                <w:lang w:val="de-DE"/>
              </w:rPr>
              <w:t>Ziel</w:t>
            </w:r>
          </w:p>
        </w:tc>
        <w:tc>
          <w:tcPr>
            <w:tcW w:w="292" w:type="pct"/>
            <w:shd w:val="clear" w:color="auto" w:fill="BDD7EE"/>
            <w:noWrap/>
            <w:vAlign w:val="center"/>
          </w:tcPr>
          <w:p w14:paraId="37DC455F" w14:textId="77777777" w:rsidR="0057163C" w:rsidRPr="00170422" w:rsidRDefault="00F37BF9">
            <w:pPr>
              <w:pStyle w:val="P68B1DB1-Normal10"/>
              <w:jc w:val="center"/>
              <w:rPr>
                <w:noProof/>
                <w:szCs w:val="20"/>
                <w:lang w:val="de-DE"/>
              </w:rPr>
            </w:pPr>
            <w:r w:rsidRPr="00170422">
              <w:rPr>
                <w:noProof/>
                <w:lang w:val="de-DE"/>
              </w:rPr>
              <w:t>Viertel</w:t>
            </w:r>
          </w:p>
        </w:tc>
        <w:tc>
          <w:tcPr>
            <w:tcW w:w="242" w:type="pct"/>
            <w:shd w:val="clear" w:color="auto" w:fill="BDD7EE"/>
            <w:noWrap/>
            <w:vAlign w:val="center"/>
          </w:tcPr>
          <w:p w14:paraId="185E28C7" w14:textId="77777777" w:rsidR="0057163C" w:rsidRPr="00170422" w:rsidRDefault="00F37BF9">
            <w:pPr>
              <w:pStyle w:val="P68B1DB1-Normal10"/>
              <w:jc w:val="center"/>
              <w:rPr>
                <w:noProof/>
                <w:szCs w:val="20"/>
                <w:lang w:val="de-DE"/>
              </w:rPr>
            </w:pPr>
            <w:r w:rsidRPr="00170422">
              <w:rPr>
                <w:noProof/>
                <w:lang w:val="de-DE"/>
              </w:rPr>
              <w:t>Jahre</w:t>
            </w:r>
          </w:p>
        </w:tc>
        <w:tc>
          <w:tcPr>
            <w:tcW w:w="909" w:type="pct"/>
            <w:vMerge/>
            <w:noWrap/>
            <w:vAlign w:val="center"/>
          </w:tcPr>
          <w:p w14:paraId="6F4F16E8" w14:textId="77777777" w:rsidR="0057163C" w:rsidRPr="00170422" w:rsidRDefault="0057163C">
            <w:pPr>
              <w:jc w:val="center"/>
              <w:rPr>
                <w:rFonts w:ascii="Arial Narrow" w:eastAsia="Calibri" w:hAnsi="Arial Narrow"/>
                <w:noProof/>
                <w:color w:val="006100"/>
                <w:sz w:val="20"/>
                <w:szCs w:val="20"/>
                <w:lang w:val="de-DE"/>
              </w:rPr>
            </w:pPr>
          </w:p>
        </w:tc>
      </w:tr>
      <w:tr w:rsidR="00744AB7" w:rsidRPr="00170422" w14:paraId="655A0098"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9A4436" w14:textId="77777777" w:rsidR="0057163C" w:rsidRPr="00170422" w:rsidRDefault="00F37BF9">
            <w:pPr>
              <w:pStyle w:val="P68B1DB1-Normal11"/>
              <w:jc w:val="center"/>
              <w:rPr>
                <w:noProof/>
                <w:lang w:val="de-DE"/>
              </w:rPr>
            </w:pPr>
            <w:r w:rsidRPr="00170422">
              <w:rPr>
                <w:noProof/>
                <w:lang w:val="de-DE"/>
              </w:rPr>
              <w:t>M1C3-9bis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37A12F" w14:textId="0FFAE26E" w:rsidR="0057163C" w:rsidRPr="00170422" w:rsidRDefault="00F37BF9">
            <w:pPr>
              <w:pStyle w:val="P68B1DB1-Normal11"/>
              <w:jc w:val="center"/>
              <w:rPr>
                <w:noProof/>
                <w:lang w:val="de-DE"/>
              </w:rPr>
            </w:pPr>
            <w:r w:rsidRPr="00170422">
              <w:rPr>
                <w:noProof/>
                <w:lang w:val="de-DE"/>
              </w:rPr>
              <w:t>Investition 4.1 Digitales Tourismuszentrum</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2F728D" w14:textId="77777777" w:rsidR="0057163C" w:rsidRPr="00170422" w:rsidRDefault="00F37BF9">
            <w:pPr>
              <w:pStyle w:val="P68B1DB1-Normal11"/>
              <w:jc w:val="center"/>
              <w:rPr>
                <w:noProof/>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A430B" w14:textId="26CD5A5F" w:rsidR="0057163C" w:rsidRPr="00170422" w:rsidRDefault="00F37BF9">
            <w:pPr>
              <w:pStyle w:val="P68B1DB1-Normal11"/>
              <w:jc w:val="center"/>
              <w:rPr>
                <w:noProof/>
                <w:lang w:val="de-DE"/>
              </w:rPr>
            </w:pPr>
            <w:r w:rsidRPr="00170422">
              <w:rPr>
                <w:noProof/>
                <w:lang w:val="de-DE"/>
              </w:rPr>
              <w:t xml:space="preserve">Registrierung von Tourismusunternehmen im digitalen Tourismuszentrum und Zugang zu den von der Plattform erbrachten Dienstleistungen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FAE334"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EAEC14"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66F78DB" w14:textId="77777777" w:rsidR="0057163C" w:rsidRPr="00170422" w:rsidRDefault="00F37BF9">
            <w:pPr>
              <w:pStyle w:val="P68B1DB1-Normal11"/>
              <w:jc w:val="center"/>
              <w:rPr>
                <w:noProof/>
                <w:lang w:val="de-DE"/>
              </w:rPr>
            </w:pPr>
            <w:r w:rsidRPr="00170422">
              <w:rPr>
                <w:noProof/>
                <w:lang w:val="de-DE"/>
              </w:rPr>
              <w:t>20 000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7C4F3C" w14:textId="77777777" w:rsidR="0057163C" w:rsidRPr="00170422" w:rsidRDefault="00F37BF9">
            <w:pPr>
              <w:pStyle w:val="P68B1DB1-Normal11"/>
              <w:jc w:val="center"/>
              <w:rPr>
                <w:noProof/>
                <w:lang w:val="de-DE"/>
              </w:rPr>
            </w:pPr>
            <w:r w:rsidRPr="00170422">
              <w:rPr>
                <w:noProof/>
                <w:lang w:val="de-DE"/>
              </w:rPr>
              <w:t>35 000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4F89D4C" w14:textId="77777777" w:rsidR="0057163C" w:rsidRPr="00170422" w:rsidRDefault="00F37BF9">
            <w:pPr>
              <w:pStyle w:val="P68B1DB1-Normal11"/>
              <w:jc w:val="center"/>
              <w:rPr>
                <w:noProof/>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B720AF" w14:textId="77777777" w:rsidR="0057163C" w:rsidRPr="00170422" w:rsidRDefault="00F37BF9">
            <w:pPr>
              <w:pStyle w:val="P68B1DB1-Normal11"/>
              <w:jc w:val="center"/>
              <w:rPr>
                <w:noProof/>
                <w:lang w:val="de-DE"/>
              </w:rPr>
            </w:pPr>
            <w:r w:rsidRPr="00170422">
              <w:rPr>
                <w:noProof/>
                <w:lang w:val="de-DE"/>
              </w:rPr>
              <w:t>2025</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6DBCA2" w14:textId="6BD5043B" w:rsidR="0057163C" w:rsidRPr="00170422" w:rsidRDefault="00F37BF9">
            <w:pPr>
              <w:pStyle w:val="P68B1DB1-Normal11"/>
              <w:rPr>
                <w:rFonts w:eastAsia="Arial Narrow" w:cs="Arial Narrow"/>
                <w:noProof/>
                <w:szCs w:val="20"/>
                <w:lang w:val="de-DE"/>
              </w:rPr>
            </w:pPr>
            <w:r w:rsidRPr="00170422">
              <w:rPr>
                <w:noProof/>
                <w:lang w:val="de-DE"/>
              </w:rPr>
              <w:t>Mindestens 35000 Tourismusbetreiber müssen in der Plattform registriert sein (zu denen unter anderem Hotel- und Reiseveranstalter und Unternehmen im Sinne der ATECO-Codes 55.00.00 gehören können; 56.00 UHR; 79.00.00 und andere Strukturen des Sektors).</w:t>
            </w:r>
            <w:r w:rsidRPr="00170422">
              <w:rPr>
                <w:noProof/>
                <w:lang w:val="de-DE"/>
              </w:rPr>
              <w:t xml:space="preserve"> </w:t>
            </w:r>
          </w:p>
          <w:p w14:paraId="38EA4B46" w14:textId="77777777" w:rsidR="0057163C" w:rsidRPr="00170422" w:rsidRDefault="00F37BF9">
            <w:pPr>
              <w:pStyle w:val="P68B1DB1-Normal12"/>
              <w:rPr>
                <w:noProof/>
                <w:lang w:val="de-DE"/>
              </w:rPr>
            </w:pPr>
            <w:r w:rsidRPr="00170422">
              <w:rPr>
                <w:noProof/>
                <w:lang w:val="de-DE"/>
              </w:rPr>
              <w:t xml:space="preserve">Die folgenden Dienstleistungen sind für Tourismusbetreiber zugänglich, die im digitalen Tourismus-Hub registriert sind: </w:t>
            </w:r>
          </w:p>
          <w:p w14:paraId="0F568DA8" w14:textId="2F10C222" w:rsidR="0057163C" w:rsidRPr="00170422" w:rsidRDefault="00F37BF9">
            <w:pPr>
              <w:pStyle w:val="P68B1DB1-ListParagraph23"/>
              <w:numPr>
                <w:ilvl w:val="0"/>
                <w:numId w:val="76"/>
              </w:numPr>
              <w:spacing w:line="278" w:lineRule="auto"/>
              <w:rPr>
                <w:noProof/>
                <w:lang w:val="de-DE"/>
              </w:rPr>
            </w:pPr>
            <w:r w:rsidRPr="00170422">
              <w:rPr>
                <w:noProof/>
                <w:lang w:val="de-DE"/>
              </w:rPr>
              <w:t xml:space="preserve">Kommunikationsdienste für Tourismusunternehmen, um ihr Angebot vorzuschlagen;  </w:t>
            </w:r>
          </w:p>
          <w:p w14:paraId="0685159D" w14:textId="30F4611A" w:rsidR="0057163C" w:rsidRPr="00170422" w:rsidRDefault="00F37BF9">
            <w:pPr>
              <w:pStyle w:val="P68B1DB1-ListParagraph15"/>
              <w:numPr>
                <w:ilvl w:val="0"/>
                <w:numId w:val="76"/>
              </w:numPr>
              <w:spacing w:line="278" w:lineRule="auto"/>
              <w:rPr>
                <w:noProof/>
                <w:lang w:val="de-DE"/>
              </w:rPr>
            </w:pPr>
            <w:r w:rsidRPr="00170422">
              <w:rPr>
                <w:noProof/>
                <w:lang w:val="de-DE"/>
              </w:rPr>
              <w:t>Datenanalyseinstrumente und Vorhersagemodelle zur Unt</w:t>
            </w:r>
            <w:r w:rsidRPr="00170422">
              <w:rPr>
                <w:noProof/>
                <w:lang w:val="de-DE"/>
              </w:rPr>
              <w:t xml:space="preserve">erstützung der datengesteuerten Entscheidungsfindung; </w:t>
            </w:r>
          </w:p>
          <w:p w14:paraId="3A9AE8A0" w14:textId="77777777" w:rsidR="0057163C" w:rsidRPr="00170422" w:rsidRDefault="00F37BF9">
            <w:pPr>
              <w:pStyle w:val="P68B1DB1-ListParagraph23"/>
              <w:numPr>
                <w:ilvl w:val="0"/>
                <w:numId w:val="76"/>
              </w:numPr>
              <w:spacing w:line="278" w:lineRule="auto"/>
              <w:rPr>
                <w:noProof/>
                <w:lang w:val="de-DE"/>
              </w:rPr>
            </w:pPr>
            <w:r w:rsidRPr="00170422">
              <w:rPr>
                <w:noProof/>
                <w:lang w:val="de-DE"/>
              </w:rPr>
              <w:t xml:space="preserve">Weiterbildungs- und Umschulungsmaßnahmen; </w:t>
            </w:r>
          </w:p>
          <w:p w14:paraId="63DB0BA1" w14:textId="77777777" w:rsidR="0057163C" w:rsidRPr="00170422" w:rsidRDefault="00F37BF9">
            <w:pPr>
              <w:pStyle w:val="P68B1DB1-ListParagraph13"/>
              <w:numPr>
                <w:ilvl w:val="0"/>
                <w:numId w:val="76"/>
              </w:numPr>
              <w:spacing w:line="278" w:lineRule="auto"/>
              <w:rPr>
                <w:noProof/>
                <w:lang w:val="de-DE"/>
              </w:rPr>
            </w:pPr>
            <w:r w:rsidRPr="00170422">
              <w:rPr>
                <w:noProof/>
                <w:lang w:val="de-DE"/>
              </w:rPr>
              <w:t>Dienstleistungen für KMU im Tourismusbereich zur Innovationsförderung.</w:t>
            </w:r>
          </w:p>
        </w:tc>
      </w:tr>
      <w:tr w:rsidR="00744AB7" w:rsidRPr="00170422" w14:paraId="1DA0EB9E"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D5B0A5" w14:textId="77777777" w:rsidR="0057163C" w:rsidRPr="00170422" w:rsidRDefault="00F37BF9">
            <w:pPr>
              <w:pStyle w:val="P68B1DB1-Normal11"/>
              <w:jc w:val="center"/>
              <w:rPr>
                <w:noProof/>
                <w:szCs w:val="20"/>
                <w:lang w:val="de-DE"/>
              </w:rPr>
            </w:pPr>
            <w:r w:rsidRPr="00170422">
              <w:rPr>
                <w:noProof/>
                <w:lang w:val="de-DE"/>
              </w:rPr>
              <w:t>M1C3-12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E67339" w14:textId="77777777" w:rsidR="0057163C" w:rsidRPr="00170422" w:rsidRDefault="00F37BF9">
            <w:pPr>
              <w:pStyle w:val="P68B1DB1-Normal11"/>
              <w:jc w:val="center"/>
              <w:rPr>
                <w:noProof/>
                <w:szCs w:val="20"/>
                <w:lang w:val="de-DE"/>
              </w:rPr>
            </w:pPr>
            <w:r w:rsidRPr="00170422">
              <w:rPr>
                <w:noProof/>
                <w:lang w:val="de-DE"/>
              </w:rPr>
              <w:t>Investition 2.1 – Attraktivität einer kleinen historischen Stadt</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DF1DE9"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8B4311" w14:textId="77777777" w:rsidR="0057163C" w:rsidRPr="00170422" w:rsidRDefault="00F37BF9">
            <w:pPr>
              <w:pStyle w:val="P68B1DB1-Normal11"/>
              <w:jc w:val="center"/>
              <w:rPr>
                <w:noProof/>
                <w:szCs w:val="20"/>
                <w:lang w:val="de-DE"/>
              </w:rPr>
            </w:pPr>
            <w:r w:rsidRPr="00170422">
              <w:rPr>
                <w:noProof/>
                <w:lang w:val="de-DE"/>
              </w:rPr>
              <w:t>Inkrafttreten des Dekrets des Kulturministeriums über die Zuweisung von Mitteln an Gemeinden für die Attraktivität kleiner historischer Städte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8D1B1" w14:textId="77777777" w:rsidR="0057163C" w:rsidRPr="00170422" w:rsidRDefault="00F37BF9">
            <w:pPr>
              <w:pStyle w:val="P68B1DB1-Normal11"/>
              <w:jc w:val="center"/>
              <w:rPr>
                <w:noProof/>
                <w:szCs w:val="20"/>
                <w:lang w:val="de-DE"/>
              </w:rPr>
            </w:pPr>
            <w:r w:rsidRPr="00170422">
              <w:rPr>
                <w:noProof/>
                <w:lang w:val="de-DE"/>
              </w:rPr>
              <w:t>Bestimmung in der Verordnung über das Inkrafttreten des Dekrets des Kulturministeriums über die Zuweisung von Mit</w:t>
            </w:r>
            <w:r w:rsidRPr="00170422">
              <w:rPr>
                <w:noProof/>
                <w:lang w:val="de-DE"/>
              </w:rPr>
              <w:t>teln an Gemeinden für die Attraktivität kleiner historischer Städte</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B1706E" w14:textId="77777777" w:rsidR="0057163C" w:rsidRPr="00170422" w:rsidRDefault="00F37BF9">
            <w:pPr>
              <w:pStyle w:val="P68B1DB1-Normal11"/>
              <w:jc w:val="center"/>
              <w:rPr>
                <w:noProof/>
                <w:szCs w:val="20"/>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312FC" w14:textId="77777777" w:rsidR="0057163C" w:rsidRPr="00170422" w:rsidRDefault="00F37BF9">
            <w:pPr>
              <w:pStyle w:val="P68B1DB1-Normal11"/>
              <w:jc w:val="center"/>
              <w:rPr>
                <w:noProof/>
                <w:szCs w:val="20"/>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B6C4462" w14:textId="77777777" w:rsidR="0057163C" w:rsidRPr="00170422" w:rsidRDefault="00F37BF9">
            <w:pPr>
              <w:pStyle w:val="P68B1DB1-Normal11"/>
              <w:jc w:val="center"/>
              <w:rPr>
                <w:noProof/>
                <w:szCs w:val="20"/>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8840BC"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D286408"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926AF0" w14:textId="77777777" w:rsidR="0057163C" w:rsidRPr="00170422" w:rsidRDefault="00F37BF9">
            <w:pPr>
              <w:pStyle w:val="P68B1DB1-Normal11"/>
              <w:rPr>
                <w:noProof/>
                <w:szCs w:val="20"/>
                <w:lang w:val="de-DE"/>
              </w:rPr>
            </w:pPr>
            <w:r w:rsidRPr="00170422">
              <w:rPr>
                <w:noProof/>
                <w:lang w:val="de-DE"/>
              </w:rPr>
              <w:t>Das Dekret des Kulturministeriums weist den Gemeinden Mittel für die Attraktivität kleiner historischer Städte zu.</w:t>
            </w:r>
          </w:p>
          <w:p w14:paraId="091D3F79" w14:textId="77777777" w:rsidR="0057163C" w:rsidRPr="00170422" w:rsidRDefault="00F37BF9">
            <w:pPr>
              <w:pStyle w:val="P68B1DB1-Normal11"/>
              <w:rPr>
                <w:noProof/>
                <w:szCs w:val="20"/>
                <w:lang w:val="de-DE"/>
              </w:rPr>
            </w:pPr>
            <w:r w:rsidRPr="00170422">
              <w:rPr>
                <w:noProof/>
                <w:lang w:val="de-DE"/>
              </w:rPr>
              <w:t>Die an der Steigerung der Attraktiv</w:t>
            </w:r>
            <w:r w:rsidRPr="00170422">
              <w:rPr>
                <w:noProof/>
                <w:lang w:val="de-DE"/>
              </w:rPr>
              <w:t>ität kleiner historischer Städte beteiligten Gemeinden beziehen sich auf die 250 Gemeinden/Dörfer, die dem Kulturministerium die Interventionsprogramme übermittelt haben.</w:t>
            </w:r>
          </w:p>
          <w:p w14:paraId="4218C6F8" w14:textId="77777777" w:rsidR="0057163C" w:rsidRPr="00170422" w:rsidRDefault="00F37BF9">
            <w:pPr>
              <w:pStyle w:val="P68B1DB1-Normal44"/>
              <w:rPr>
                <w:rFonts w:hAnsi="Arial Narrow"/>
                <w:noProof/>
                <w:szCs w:val="20"/>
                <w:lang w:val="de-DE"/>
              </w:rPr>
            </w:pPr>
            <w:r w:rsidRPr="00170422">
              <w:rPr>
                <w:noProof/>
                <w:lang w:val="de-DE"/>
              </w:rPr>
              <w:t>Die Kriterien f</w:t>
            </w:r>
            <w:r w:rsidRPr="00170422">
              <w:rPr>
                <w:noProof/>
                <w:lang w:val="de-DE"/>
              </w:rPr>
              <w:t>ü</w:t>
            </w:r>
            <w:r w:rsidRPr="00170422">
              <w:rPr>
                <w:noProof/>
                <w:lang w:val="de-DE"/>
              </w:rPr>
              <w:t>r die Auswahl der 250 D</w:t>
            </w:r>
            <w:r w:rsidRPr="00170422">
              <w:rPr>
                <w:noProof/>
                <w:lang w:val="de-DE"/>
              </w:rPr>
              <w:t>ö</w:t>
            </w:r>
            <w:r w:rsidRPr="00170422">
              <w:rPr>
                <w:noProof/>
                <w:lang w:val="de-DE"/>
              </w:rPr>
              <w:t xml:space="preserve">rfer (Inv. 2.1) wird von MiC, Regionen, ANCI </w:t>
            </w:r>
            <w:r w:rsidRPr="00170422">
              <w:rPr>
                <w:noProof/>
                <w:lang w:val="de-DE"/>
              </w:rPr>
              <w:t>und internen Bereichen geteilt, die vorl</w:t>
            </w:r>
            <w:r w:rsidRPr="00170422">
              <w:rPr>
                <w:noProof/>
                <w:lang w:val="de-DE"/>
              </w:rPr>
              <w:t>ä</w:t>
            </w:r>
            <w:r w:rsidRPr="00170422">
              <w:rPr>
                <w:noProof/>
                <w:lang w:val="de-DE"/>
              </w:rPr>
              <w:t>ufig ermitteln sie die Gebiete, die aufgrund der Komplementarit</w:t>
            </w:r>
            <w:r w:rsidRPr="00170422">
              <w:rPr>
                <w:noProof/>
                <w:lang w:val="de-DE"/>
              </w:rPr>
              <w:t>ä</w:t>
            </w:r>
            <w:r w:rsidRPr="00170422">
              <w:rPr>
                <w:noProof/>
                <w:lang w:val="de-DE"/>
              </w:rPr>
              <w:t>t der verschiedenen Programme f</w:t>
            </w:r>
            <w:r w:rsidRPr="00170422">
              <w:rPr>
                <w:noProof/>
                <w:lang w:val="de-DE"/>
              </w:rPr>
              <w:t>ü</w:t>
            </w:r>
            <w:r w:rsidRPr="00170422">
              <w:rPr>
                <w:noProof/>
                <w:lang w:val="de-DE"/>
              </w:rPr>
              <w:t>r eine F</w:t>
            </w:r>
            <w:r w:rsidRPr="00170422">
              <w:rPr>
                <w:noProof/>
                <w:lang w:val="de-DE"/>
              </w:rPr>
              <w:t>ö</w:t>
            </w:r>
            <w:r w:rsidRPr="00170422">
              <w:rPr>
                <w:noProof/>
                <w:lang w:val="de-DE"/>
              </w:rPr>
              <w:t>rderung (Inv2.1) in Betracht kommen. Danach erfolgt die Auswahl der D</w:t>
            </w:r>
            <w:r w:rsidRPr="00170422">
              <w:rPr>
                <w:noProof/>
                <w:lang w:val="de-DE"/>
              </w:rPr>
              <w:t>ö</w:t>
            </w:r>
            <w:r w:rsidRPr="00170422">
              <w:rPr>
                <w:noProof/>
                <w:lang w:val="de-DE"/>
              </w:rPr>
              <w:t>rfer auf der Grundlage a) territorialer,</w:t>
            </w:r>
            <w:r w:rsidRPr="00170422">
              <w:rPr>
                <w:noProof/>
                <w:lang w:val="de-DE"/>
              </w:rPr>
              <w:t xml:space="preserve"> wirtschaftlicher und sozialer Kriterien (statistische Indikatoren), b) der F</w:t>
            </w:r>
            <w:r w:rsidRPr="00170422">
              <w:rPr>
                <w:noProof/>
                <w:lang w:val="de-DE"/>
              </w:rPr>
              <w:t>ä</w:t>
            </w:r>
            <w:r w:rsidRPr="00170422">
              <w:rPr>
                <w:noProof/>
                <w:lang w:val="de-DE"/>
              </w:rPr>
              <w:t>higkeit des Projekts, sich auf die touristische Attraktivit</w:t>
            </w:r>
            <w:r w:rsidRPr="00170422">
              <w:rPr>
                <w:noProof/>
                <w:lang w:val="de-DE"/>
              </w:rPr>
              <w:t>ä</w:t>
            </w:r>
            <w:r w:rsidRPr="00170422">
              <w:rPr>
                <w:noProof/>
                <w:lang w:val="de-DE"/>
              </w:rPr>
              <w:t>t zu auswirken und die kulturelle Teilhabe zu erh</w:t>
            </w:r>
            <w:r w:rsidRPr="00170422">
              <w:rPr>
                <w:noProof/>
                <w:lang w:val="de-DE"/>
              </w:rPr>
              <w:t>ö</w:t>
            </w:r>
            <w:r w:rsidRPr="00170422">
              <w:rPr>
                <w:noProof/>
                <w:lang w:val="de-DE"/>
              </w:rPr>
              <w:t>hen. Dabei werden folgende statistische Indikatoren ber</w:t>
            </w:r>
            <w:r w:rsidRPr="00170422">
              <w:rPr>
                <w:noProof/>
                <w:lang w:val="de-DE"/>
              </w:rPr>
              <w:t>ü</w:t>
            </w:r>
            <w:r w:rsidRPr="00170422">
              <w:rPr>
                <w:noProof/>
                <w:lang w:val="de-DE"/>
              </w:rPr>
              <w:t xml:space="preserve">cksichtigt: </w:t>
            </w:r>
            <w:r w:rsidRPr="00170422">
              <w:rPr>
                <w:noProof/>
                <w:lang w:val="de-DE"/>
              </w:rPr>
              <w:t>demografische Gr</w:t>
            </w:r>
            <w:r w:rsidRPr="00170422">
              <w:rPr>
                <w:noProof/>
                <w:lang w:val="de-DE"/>
              </w:rPr>
              <w:t>öß</w:t>
            </w:r>
            <w:r w:rsidRPr="00170422">
              <w:rPr>
                <w:noProof/>
                <w:lang w:val="de-DE"/>
              </w:rPr>
              <w:t>e (Gemeinden mit Pop. &amp; 5000 Inhab.) und Trend; Touristenstr</w:t>
            </w:r>
            <w:r w:rsidRPr="00170422">
              <w:rPr>
                <w:noProof/>
                <w:lang w:val="de-DE"/>
              </w:rPr>
              <w:t>ö</w:t>
            </w:r>
            <w:r w:rsidRPr="00170422">
              <w:rPr>
                <w:noProof/>
                <w:lang w:val="de-DE"/>
              </w:rPr>
              <w:t>me, Museumsbesucher; Koh</w:t>
            </w:r>
            <w:r w:rsidRPr="00170422">
              <w:rPr>
                <w:noProof/>
                <w:lang w:val="de-DE"/>
              </w:rPr>
              <w:t>ä</w:t>
            </w:r>
            <w:r w:rsidRPr="00170422">
              <w:rPr>
                <w:noProof/>
                <w:lang w:val="de-DE"/>
              </w:rPr>
              <w:t>renz des touristischen Angebots (Hotels und andere Hotels, B&amp; B, Zimmer und Mietunterk</w:t>
            </w:r>
            <w:r w:rsidRPr="00170422">
              <w:rPr>
                <w:noProof/>
                <w:lang w:val="de-DE"/>
              </w:rPr>
              <w:t>ü</w:t>
            </w:r>
            <w:r w:rsidRPr="00170422">
              <w:rPr>
                <w:noProof/>
                <w:lang w:val="de-DE"/>
              </w:rPr>
              <w:t>nfte); die demografische Entwicklung der Gemeinde; Grad der kultu</w:t>
            </w:r>
            <w:r w:rsidRPr="00170422">
              <w:rPr>
                <w:noProof/>
                <w:lang w:val="de-DE"/>
              </w:rPr>
              <w:t>rellen Teilhabe der Bev</w:t>
            </w:r>
            <w:r w:rsidRPr="00170422">
              <w:rPr>
                <w:noProof/>
                <w:lang w:val="de-DE"/>
              </w:rPr>
              <w:t>ö</w:t>
            </w:r>
            <w:r w:rsidRPr="00170422">
              <w:rPr>
                <w:noProof/>
                <w:lang w:val="de-DE"/>
              </w:rPr>
              <w:t>lkerung; die Koh</w:t>
            </w:r>
            <w:r w:rsidRPr="00170422">
              <w:rPr>
                <w:noProof/>
                <w:lang w:val="de-DE"/>
              </w:rPr>
              <w:t>ä</w:t>
            </w:r>
            <w:r w:rsidRPr="00170422">
              <w:rPr>
                <w:noProof/>
                <w:lang w:val="de-DE"/>
              </w:rPr>
              <w:t>renz der (gewinnorientierten und gemeinn</w:t>
            </w:r>
            <w:r w:rsidRPr="00170422">
              <w:rPr>
                <w:noProof/>
                <w:lang w:val="de-DE"/>
              </w:rPr>
              <w:t>ü</w:t>
            </w:r>
            <w:r w:rsidRPr="00170422">
              <w:rPr>
                <w:noProof/>
                <w:lang w:val="de-DE"/>
              </w:rPr>
              <w:t>tzigen) Kultur-, Kreativ- und Tourismusunternehmen und der damit verbundenen Besch</w:t>
            </w:r>
            <w:r w:rsidRPr="00170422">
              <w:rPr>
                <w:noProof/>
                <w:lang w:val="de-DE"/>
              </w:rPr>
              <w:t>ä</w:t>
            </w:r>
            <w:r w:rsidRPr="00170422">
              <w:rPr>
                <w:noProof/>
                <w:lang w:val="de-DE"/>
              </w:rPr>
              <w:t>ftigten.</w:t>
            </w:r>
          </w:p>
          <w:p w14:paraId="4B95F2E8" w14:textId="2A3DF89D" w:rsidR="0057163C" w:rsidRPr="00170422" w:rsidRDefault="00F37BF9">
            <w:pPr>
              <w:pStyle w:val="P68B1DB1-Normal11"/>
              <w:rPr>
                <w:noProof/>
                <w:szCs w:val="20"/>
                <w:lang w:val="de-DE"/>
              </w:rPr>
            </w:pPr>
            <w:r w:rsidRPr="00170422">
              <w:rPr>
                <w:noProof/>
                <w:lang w:val="de-DE"/>
              </w:rPr>
              <w:t xml:space="preserve">Die Vergabe der Aufträge an die im Rahmen der wettbewerblichen Aufforderungen zur </w:t>
            </w:r>
            <w:r w:rsidRPr="00170422">
              <w:rPr>
                <w:noProof/>
                <w:lang w:val="de-DE"/>
              </w:rPr>
              <w:t xml:space="preserve">Einreichung von Vorschlägen ausgewählten Projekte umfasst Folgendes: </w:t>
            </w:r>
          </w:p>
          <w:p w14:paraId="52948DD0" w14:textId="77777777" w:rsidR="0057163C" w:rsidRPr="00170422" w:rsidRDefault="00F37BF9">
            <w:pPr>
              <w:pStyle w:val="P68B1DB1-Normal11"/>
              <w:rPr>
                <w:noProof/>
                <w:szCs w:val="20"/>
                <w:lang w:val="de-DE"/>
              </w:rPr>
            </w:pPr>
            <w:r w:rsidRPr="00170422">
              <w:rPr>
                <w:noProof/>
                <w:lang w:val="de-DE"/>
              </w:rPr>
              <w:t xml:space="preserve">a) Förderkriterien, mit denen sichergestellt wird, dass die ausgewählten Projekte den technischen Leitlinien „Vermeidung erheblicher Beeinträchtigungen“ (2021/C58/01) entsprechen, indem </w:t>
            </w:r>
            <w:r w:rsidRPr="00170422">
              <w:rPr>
                <w:noProof/>
                <w:lang w:val="de-DE"/>
              </w:rPr>
              <w:t xml:space="preserve">eine Ausschlussliste verwendet wird und die einschlägigen Umweltvorschriften der EU und der Mitgliedstaaten eingehalten werden. </w:t>
            </w:r>
          </w:p>
          <w:p w14:paraId="2811551B" w14:textId="77777777" w:rsidR="0057163C" w:rsidRPr="00170422" w:rsidRDefault="00F37BF9">
            <w:pPr>
              <w:pStyle w:val="P68B1DB1-Normal11"/>
              <w:rPr>
                <w:noProof/>
                <w:szCs w:val="20"/>
                <w:lang w:val="de-DE"/>
              </w:rPr>
            </w:pPr>
            <w:r w:rsidRPr="00170422">
              <w:rPr>
                <w:noProof/>
                <w:lang w:val="de-DE"/>
              </w:rPr>
              <w:t>B) Verpflichtung, dass der Klimaschutzbeitrag der Investition nach der Methode in Anhang VI der Verordnung (EU) 2021/241 mindes</w:t>
            </w:r>
            <w:r w:rsidRPr="00170422">
              <w:rPr>
                <w:noProof/>
                <w:lang w:val="de-DE"/>
              </w:rPr>
              <w:t xml:space="preserve">tens 25 % der Gesamtkosten der aus der Aufbau- und Resilienzfazilität unterstützten Investition ausmachen muss. </w:t>
            </w:r>
          </w:p>
          <w:p w14:paraId="3BFABFE8" w14:textId="77777777" w:rsidR="0057163C" w:rsidRPr="00170422" w:rsidRDefault="00F37BF9">
            <w:pPr>
              <w:pStyle w:val="P68B1DB1-Normal11"/>
              <w:rPr>
                <w:noProof/>
                <w:szCs w:val="20"/>
                <w:lang w:val="de-DE"/>
              </w:rPr>
            </w:pPr>
            <w:r w:rsidRPr="00170422">
              <w:rPr>
                <w:noProof/>
                <w:lang w:val="de-DE"/>
              </w:rPr>
              <w:t>C) Verpflichtung, über die Durchführung der Maßnahme zur Hälfte der Laufzeit der Regelung und über das Ende der Regelung Bericht zu erstatten.</w:t>
            </w:r>
          </w:p>
        </w:tc>
      </w:tr>
      <w:tr w:rsidR="00744AB7" w:rsidRPr="00170422" w14:paraId="6C49B51E"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17BD90D" w14:textId="77777777" w:rsidR="0057163C" w:rsidRPr="00170422" w:rsidRDefault="00F37BF9">
            <w:pPr>
              <w:pStyle w:val="P68B1DB1-Normal11"/>
              <w:jc w:val="center"/>
              <w:rPr>
                <w:noProof/>
                <w:szCs w:val="20"/>
                <w:lang w:val="de-DE"/>
              </w:rPr>
            </w:pPr>
            <w:r w:rsidRPr="00170422">
              <w:rPr>
                <w:noProof/>
                <w:lang w:val="de-DE"/>
              </w:rPr>
              <w:t>M1C3-13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429A98" w14:textId="77777777" w:rsidR="0057163C" w:rsidRPr="00170422" w:rsidRDefault="00F37BF9">
            <w:pPr>
              <w:pStyle w:val="P68B1DB1-Normal11"/>
              <w:jc w:val="center"/>
              <w:rPr>
                <w:noProof/>
                <w:szCs w:val="20"/>
                <w:lang w:val="de-DE"/>
              </w:rPr>
            </w:pPr>
            <w:r w:rsidRPr="00170422">
              <w:rPr>
                <w:noProof/>
                <w:lang w:val="de-DE"/>
              </w:rPr>
              <w:t>Investition 2.2 – Schutz und Verbesserung der ländlichen Architektur und Landschaft</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1318F03"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FA9C08D" w14:textId="1D918A91" w:rsidR="0057163C" w:rsidRPr="00170422" w:rsidRDefault="00F37BF9">
            <w:pPr>
              <w:pStyle w:val="P68B1DB1-Normal11"/>
              <w:jc w:val="center"/>
              <w:rPr>
                <w:noProof/>
                <w:szCs w:val="20"/>
                <w:lang w:val="de-DE"/>
              </w:rPr>
            </w:pPr>
            <w:r w:rsidRPr="00170422">
              <w:rPr>
                <w:noProof/>
                <w:lang w:val="de-DE"/>
              </w:rPr>
              <w:t>Inkrafttreten des Dekrets des Kulturministeriums über die Zuweisung von Ressourcen für den Schutz und die Verbesserung der ländlichen</w:t>
            </w:r>
            <w:r w:rsidRPr="00170422">
              <w:rPr>
                <w:noProof/>
                <w:lang w:val="de-DE"/>
              </w:rPr>
              <w:t xml:space="preserve"> Architektur und Landschaft</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6AF92B" w14:textId="06EB866F" w:rsidR="0057163C" w:rsidRPr="00170422" w:rsidRDefault="00F37BF9">
            <w:pPr>
              <w:pStyle w:val="P68B1DB1-Normal11"/>
              <w:jc w:val="center"/>
              <w:rPr>
                <w:noProof/>
                <w:szCs w:val="20"/>
                <w:lang w:val="de-DE"/>
              </w:rPr>
            </w:pPr>
            <w:r w:rsidRPr="00170422">
              <w:rPr>
                <w:noProof/>
                <w:lang w:val="de-DE"/>
              </w:rPr>
              <w:t>Bestimmung in der Verordnung über das Inkrafttreten des Dekrets des Ministeriums für Kultur (MIC) über die Zuweisung von Mitteln für den Schutz und die Verbesserung der ländlichen Architektur und Landschaft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E5C0AF" w14:textId="77777777" w:rsidR="0057163C" w:rsidRPr="00170422" w:rsidRDefault="00F37BF9">
            <w:pPr>
              <w:pStyle w:val="P68B1DB1-Normal11"/>
              <w:jc w:val="center"/>
              <w:rPr>
                <w:noProof/>
                <w:szCs w:val="20"/>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1DE027" w14:textId="77777777" w:rsidR="0057163C" w:rsidRPr="00170422" w:rsidRDefault="00F37BF9">
            <w:pPr>
              <w:pStyle w:val="P68B1DB1-Normal11"/>
              <w:jc w:val="center"/>
              <w:rPr>
                <w:noProof/>
                <w:szCs w:val="20"/>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2D0532" w14:textId="77777777" w:rsidR="0057163C" w:rsidRPr="00170422" w:rsidRDefault="00F37BF9">
            <w:pPr>
              <w:pStyle w:val="P68B1DB1-Normal11"/>
              <w:jc w:val="center"/>
              <w:rPr>
                <w:noProof/>
                <w:szCs w:val="20"/>
                <w:lang w:val="de-DE"/>
              </w:rPr>
            </w:pPr>
            <w:r w:rsidRPr="00170422">
              <w:rPr>
                <w:noProof/>
                <w:lang w:val="de-DE"/>
              </w:rPr>
              <w:t>E</w:t>
            </w:r>
            <w:r w:rsidRPr="00170422">
              <w:rPr>
                <w:noProof/>
                <w:lang w:val="de-DE"/>
              </w:rPr>
              <w:t>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2D1E83"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6F86F25"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2EF43B" w14:textId="7EE4B228" w:rsidR="0057163C" w:rsidRPr="00170422" w:rsidRDefault="00F37BF9">
            <w:pPr>
              <w:pStyle w:val="P68B1DB1-Normal11"/>
              <w:rPr>
                <w:noProof/>
                <w:szCs w:val="20"/>
                <w:lang w:val="de-DE"/>
              </w:rPr>
            </w:pPr>
            <w:r w:rsidRPr="00170422">
              <w:rPr>
                <w:noProof/>
                <w:lang w:val="de-DE"/>
              </w:rPr>
              <w:t xml:space="preserve">Das Dekret des Kulturministeriums weist die Mittel für den Schutz und die Verbesserung der ländlichen Architektur und Landschaft zu. </w:t>
            </w:r>
          </w:p>
          <w:p w14:paraId="565C67DB" w14:textId="77777777" w:rsidR="0057163C" w:rsidRPr="00170422" w:rsidRDefault="00F37BF9">
            <w:pPr>
              <w:pStyle w:val="P68B1DB1-Normal11"/>
              <w:rPr>
                <w:noProof/>
                <w:szCs w:val="20"/>
                <w:lang w:val="de-DE"/>
              </w:rPr>
            </w:pPr>
            <w:r w:rsidRPr="00170422">
              <w:rPr>
                <w:noProof/>
                <w:lang w:val="de-DE"/>
              </w:rPr>
              <w:t>Zum Schutz und zur Verbesserung der ländlichen Architektur und Landschaft (Inv 2.2) ist bei der Auswahl d</w:t>
            </w:r>
            <w:r w:rsidRPr="00170422">
              <w:rPr>
                <w:noProof/>
                <w:lang w:val="de-DE"/>
              </w:rPr>
              <w:t>er wiederzuerlangenden Vermögenswerte die Fähigkeit der Investition zu bevorzugen, Auswirkungen auf die Erhaltungsziele der Landschaftswerte zu erzielen. Vorrang erhalten:</w:t>
            </w:r>
          </w:p>
          <w:p w14:paraId="32091008" w14:textId="26777488" w:rsidR="0057163C" w:rsidRPr="00170422" w:rsidRDefault="00F37BF9">
            <w:pPr>
              <w:pStyle w:val="P68B1DB1-Normal11"/>
              <w:rPr>
                <w:noProof/>
                <w:szCs w:val="20"/>
                <w:lang w:val="de-DE"/>
              </w:rPr>
            </w:pPr>
            <w:r w:rsidRPr="00170422">
              <w:rPr>
                <w:noProof/>
                <w:lang w:val="de-DE"/>
              </w:rPr>
              <w:t>— für Vermögenswerte, die sich in Gebieten mit hohem Landschaftswert befinden (Vermö</w:t>
            </w:r>
            <w:r w:rsidRPr="00170422">
              <w:rPr>
                <w:noProof/>
                <w:lang w:val="de-DE"/>
              </w:rPr>
              <w:t>genswerte, die sich in Gebieten von Landschaftsinteresse oder von besonderem öffentlichem Interesse befinden (Art. 42-139 des DLgs 42/2004), für Landschaften, die der UNESCO-Anerkennung unterliegen, FAO GIAHS;</w:t>
            </w:r>
          </w:p>
          <w:p w14:paraId="20B8C3B9" w14:textId="77777777" w:rsidR="0057163C" w:rsidRPr="00170422" w:rsidRDefault="00F37BF9">
            <w:pPr>
              <w:pStyle w:val="P68B1DB1-Normal11"/>
              <w:rPr>
                <w:noProof/>
                <w:szCs w:val="20"/>
                <w:lang w:val="de-DE"/>
              </w:rPr>
            </w:pPr>
            <w:r w:rsidRPr="00170422">
              <w:rPr>
                <w:noProof/>
                <w:lang w:val="de-DE"/>
              </w:rPr>
              <w:t>— für Vermögenswerte, die bereits für die öffe</w:t>
            </w:r>
            <w:r w:rsidRPr="00170422">
              <w:rPr>
                <w:noProof/>
                <w:lang w:val="de-DE"/>
              </w:rPr>
              <w:t>ntliche Nutzung verfügbar sind oder deren Zugänglichkeit der Eigentümer auch innerhalb lokaler und integrierter Schaltungen und Netze akzeptiert;</w:t>
            </w:r>
          </w:p>
          <w:p w14:paraId="6B394840" w14:textId="77777777" w:rsidR="0057163C" w:rsidRPr="00170422" w:rsidRDefault="00F37BF9">
            <w:pPr>
              <w:pStyle w:val="P68B1DB1-Normal11"/>
              <w:rPr>
                <w:noProof/>
                <w:szCs w:val="20"/>
                <w:lang w:val="de-DE"/>
              </w:rPr>
            </w:pPr>
            <w:r w:rsidRPr="00170422">
              <w:rPr>
                <w:noProof/>
                <w:lang w:val="de-DE"/>
              </w:rPr>
              <w:t xml:space="preserve">— „Flächenprojekte“, die nach aggregierten Themen dargestellt werden und in der Lage sind, die Verwirklichung </w:t>
            </w:r>
            <w:r w:rsidRPr="00170422">
              <w:rPr>
                <w:noProof/>
                <w:lang w:val="de-DE"/>
              </w:rPr>
              <w:t>der Ziele für die Landschaftssanierung wirksamer zu gewährleisten;</w:t>
            </w:r>
          </w:p>
          <w:p w14:paraId="0F95BA5C" w14:textId="77777777" w:rsidR="0057163C" w:rsidRPr="00170422" w:rsidRDefault="00F37BF9">
            <w:pPr>
              <w:pStyle w:val="P68B1DB1-Normal11"/>
              <w:rPr>
                <w:noProof/>
                <w:szCs w:val="20"/>
                <w:lang w:val="de-DE"/>
              </w:rPr>
            </w:pPr>
            <w:r w:rsidRPr="00170422">
              <w:rPr>
                <w:noProof/>
                <w:lang w:val="de-DE"/>
              </w:rPr>
              <w:t>— Projekte in Gebieten, die die Integration und Synergien mit anderen Kandidaten für das PNRR und andere Pläne/Projekte territorialer Art fördern, die vom nationalen Planungsministerium (Ku</w:t>
            </w:r>
            <w:r w:rsidRPr="00170422">
              <w:rPr>
                <w:noProof/>
                <w:lang w:val="de-DE"/>
              </w:rPr>
              <w:t>lturministerium) unterstützt werden.</w:t>
            </w:r>
          </w:p>
          <w:p w14:paraId="7E1B1FAE" w14:textId="77777777" w:rsidR="0057163C" w:rsidRPr="00170422" w:rsidRDefault="00F37BF9">
            <w:pPr>
              <w:pStyle w:val="P68B1DB1-Normal11"/>
              <w:rPr>
                <w:noProof/>
                <w:szCs w:val="20"/>
                <w:lang w:val="de-DE"/>
              </w:rPr>
            </w:pPr>
            <w:r w:rsidRPr="00170422">
              <w:rPr>
                <w:noProof/>
                <w:lang w:val="de-DE"/>
              </w:rPr>
              <w:t>Für die Definition der Arten der ländlichen Architektur, die Gegenstand der Intervention sind, kann das Dekret des MiBAC vom 6. Oktober 2005 (in Durchführung des Gesetzes Nr. 378 vom 24. Dezember 2003 – Schutz und Verbe</w:t>
            </w:r>
            <w:r w:rsidRPr="00170422">
              <w:rPr>
                <w:noProof/>
                <w:lang w:val="de-DE"/>
              </w:rPr>
              <w:t>sserung der ländlichen Architektur) als Referenz dienen. Vorläufig können die Kriterien Folgendes betreffen: den Stand der Erhaltung der Vermögenswerte, den Umfang der Nutzung und die Rolle, die diese Vermögenswerte im territorialen und städtischen Kontext</w:t>
            </w:r>
            <w:r w:rsidRPr="00170422">
              <w:rPr>
                <w:noProof/>
                <w:lang w:val="de-DE"/>
              </w:rPr>
              <w:t xml:space="preserve"> spielen.</w:t>
            </w:r>
          </w:p>
          <w:p w14:paraId="719B4241" w14:textId="4FBE428C" w:rsidR="0057163C" w:rsidRPr="00170422" w:rsidRDefault="00F37BF9">
            <w:pPr>
              <w:pStyle w:val="P68B1DB1-Normal11"/>
              <w:rPr>
                <w:noProof/>
                <w:szCs w:val="20"/>
                <w:lang w:val="de-DE"/>
              </w:rPr>
            </w:pPr>
            <w:r w:rsidRPr="00170422">
              <w:rPr>
                <w:noProof/>
                <w:lang w:val="de-DE"/>
              </w:rPr>
              <w:t>Die Vergabe der Aufträge an die im Rahmen der wettbewerblichen Aufforderungen zur Einreichung von Vorschlägen ausgewählten Projekte erfolgt im Einklang mit den technischen Leitlinien „Vermeidung erheblicher Beeinträchtigungen“ (2021/C58/01), inde</w:t>
            </w:r>
            <w:r w:rsidRPr="00170422">
              <w:rPr>
                <w:noProof/>
                <w:lang w:val="de-DE"/>
              </w:rPr>
              <w:t>m eine Ausschlussliste verwendet wird und die einschlägigen Umweltvorschriften der EU und der Mitgliedstaaten eingehalten werden.</w:t>
            </w:r>
          </w:p>
        </w:tc>
      </w:tr>
      <w:tr w:rsidR="00744AB7" w:rsidRPr="00170422" w14:paraId="0356F0BB"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2B62354" w14:textId="77777777" w:rsidR="0057163C" w:rsidRPr="00170422" w:rsidRDefault="00F37BF9">
            <w:pPr>
              <w:pStyle w:val="P68B1DB1-Normal11"/>
              <w:jc w:val="center"/>
              <w:rPr>
                <w:noProof/>
                <w:szCs w:val="20"/>
                <w:lang w:val="de-DE"/>
              </w:rPr>
            </w:pPr>
            <w:r w:rsidRPr="00170422">
              <w:rPr>
                <w:noProof/>
                <w:lang w:val="de-DE"/>
              </w:rPr>
              <w:t>M1C3-14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07628DB" w14:textId="77777777" w:rsidR="0057163C" w:rsidRPr="00170422" w:rsidRDefault="00F37BF9">
            <w:pPr>
              <w:pStyle w:val="P68B1DB1-Normal11"/>
              <w:jc w:val="center"/>
              <w:rPr>
                <w:noProof/>
                <w:szCs w:val="20"/>
                <w:lang w:val="de-DE"/>
              </w:rPr>
            </w:pPr>
            <w:r w:rsidRPr="00170422">
              <w:rPr>
                <w:noProof/>
                <w:lang w:val="de-DE"/>
              </w:rPr>
              <w:t>Investition 2.3 – Programme zur Verbesserung der Identität von Orten, Parks und historischen Gärten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0A1D25"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0CE824" w14:textId="77777777" w:rsidR="0057163C" w:rsidRPr="00170422" w:rsidRDefault="00F37BF9">
            <w:pPr>
              <w:pStyle w:val="P68B1DB1-Normal11"/>
              <w:jc w:val="center"/>
              <w:rPr>
                <w:noProof/>
                <w:szCs w:val="20"/>
                <w:lang w:val="de-DE"/>
              </w:rPr>
            </w:pPr>
            <w:r w:rsidRPr="00170422">
              <w:rPr>
                <w:noProof/>
                <w:lang w:val="de-DE"/>
              </w:rPr>
              <w:t>Inkrafttreten des Dekrets des Kulturministeriums über die Zuweisung von Mitteln: für Projekte zur Verbesserung der Identität von Orten, Parks und historischen Gärten</w:t>
            </w:r>
          </w:p>
          <w:p w14:paraId="1D3267E6" w14:textId="77777777" w:rsidR="0057163C" w:rsidRPr="00170422" w:rsidRDefault="0057163C">
            <w:pPr>
              <w:jc w:val="center"/>
              <w:rPr>
                <w:rFonts w:ascii="Arial Narrow" w:hAnsi="Arial Narrow"/>
                <w:noProof/>
                <w:color w:val="006100"/>
                <w:sz w:val="20"/>
                <w:szCs w:val="20"/>
                <w:lang w:val="de-DE"/>
              </w:rPr>
            </w:pP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C8AC96" w14:textId="77777777" w:rsidR="0057163C" w:rsidRPr="00170422" w:rsidRDefault="00F37BF9">
            <w:pPr>
              <w:pStyle w:val="P68B1DB1-Normal11"/>
              <w:jc w:val="center"/>
              <w:rPr>
                <w:noProof/>
                <w:szCs w:val="20"/>
                <w:lang w:val="de-DE"/>
              </w:rPr>
            </w:pPr>
            <w:r w:rsidRPr="00170422">
              <w:rPr>
                <w:noProof/>
                <w:lang w:val="de-DE"/>
              </w:rPr>
              <w:t>Bestimmung im Dekret über das Inkrafttreten des Dekrets des Kulturministeriums über die Z</w:t>
            </w:r>
            <w:r w:rsidRPr="00170422">
              <w:rPr>
                <w:noProof/>
                <w:lang w:val="de-DE"/>
              </w:rPr>
              <w:t>uweisung von Mitteln für Projekte zur Verbesserung der Identität von Orten, Parks und historischen Gärten</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91BBA6" w14:textId="77777777" w:rsidR="0057163C" w:rsidRPr="00170422" w:rsidRDefault="00F37BF9">
            <w:pPr>
              <w:pStyle w:val="P68B1DB1-Normal11"/>
              <w:jc w:val="center"/>
              <w:rPr>
                <w:noProof/>
                <w:szCs w:val="20"/>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D8C23F" w14:textId="77777777" w:rsidR="0057163C" w:rsidRPr="00170422" w:rsidRDefault="00F37BF9">
            <w:pPr>
              <w:pStyle w:val="P68B1DB1-Normal11"/>
              <w:jc w:val="center"/>
              <w:rPr>
                <w:noProof/>
                <w:szCs w:val="20"/>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DA0B6F0" w14:textId="77777777" w:rsidR="0057163C" w:rsidRPr="00170422" w:rsidRDefault="00F37BF9">
            <w:pPr>
              <w:pStyle w:val="P68B1DB1-Normal11"/>
              <w:jc w:val="center"/>
              <w:rPr>
                <w:noProof/>
                <w:szCs w:val="20"/>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996FD0A"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76392E"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7C7DAB" w14:textId="77777777" w:rsidR="0057163C" w:rsidRPr="00170422" w:rsidRDefault="00F37BF9">
            <w:pPr>
              <w:pStyle w:val="P68B1DB1-Normal11"/>
              <w:rPr>
                <w:noProof/>
                <w:szCs w:val="20"/>
                <w:lang w:val="de-DE"/>
              </w:rPr>
            </w:pPr>
            <w:r w:rsidRPr="00170422">
              <w:rPr>
                <w:noProof/>
                <w:lang w:val="de-DE"/>
              </w:rPr>
              <w:t>Das Dekret des Kulturministeriums weist den zuständigen Verwaltungen die Mittel für Projekte zur Verbesserung de</w:t>
            </w:r>
            <w:r w:rsidRPr="00170422">
              <w:rPr>
                <w:noProof/>
                <w:lang w:val="de-DE"/>
              </w:rPr>
              <w:t>r Identität von Orten, Parks und historischen Gärten zu.</w:t>
            </w:r>
          </w:p>
          <w:p w14:paraId="4CEDC86F" w14:textId="77777777" w:rsidR="0057163C" w:rsidRPr="00170422" w:rsidRDefault="00F37BF9">
            <w:pPr>
              <w:pStyle w:val="P68B1DB1-Normal11"/>
              <w:rPr>
                <w:noProof/>
                <w:szCs w:val="20"/>
                <w:lang w:val="de-DE"/>
              </w:rPr>
            </w:pPr>
            <w:r w:rsidRPr="00170422">
              <w:rPr>
                <w:noProof/>
                <w:lang w:val="de-DE"/>
              </w:rPr>
              <w:t>Historische Parks und Gärten (Inv. 2.3) Gegenstand einer Intervention sind ausschließlich geschützte Kulturgüter, für die ein künstlerisches oder historisches Interesse erklärt wurde. Sie können sowo</w:t>
            </w:r>
            <w:r w:rsidRPr="00170422">
              <w:rPr>
                <w:noProof/>
                <w:lang w:val="de-DE"/>
              </w:rPr>
              <w:t xml:space="preserve">hl dem Staatsministerium für Kultur (MiC) als auch nichtstaatlichen Vermögenswerten gehören. Die Auswahl erfolgt auf der Grundlage von Kriterien, die von einer fachwissenschaftlichen Koordinierungsgruppe festgelegt werden, die sich aus Vertretern von MiC, </w:t>
            </w:r>
            <w:r w:rsidRPr="00170422">
              <w:rPr>
                <w:noProof/>
                <w:lang w:val="de-DE"/>
              </w:rPr>
              <w:t>Universität, ANCI und Branchenverbänden zusammensetzt.</w:t>
            </w:r>
          </w:p>
          <w:p w14:paraId="592F36D2" w14:textId="510BD717" w:rsidR="0057163C" w:rsidRPr="00170422" w:rsidRDefault="00F37BF9">
            <w:pPr>
              <w:pStyle w:val="P68B1DB1-Normal11"/>
              <w:rPr>
                <w:noProof/>
                <w:szCs w:val="20"/>
                <w:lang w:val="de-DE"/>
              </w:rPr>
            </w:pPr>
            <w:r w:rsidRPr="00170422">
              <w:rPr>
                <w:noProof/>
                <w:lang w:val="de-DE"/>
              </w:rPr>
              <w:t>Die Vergabe der Aufträge an die im Rahmen der wettbewerblichen Aufforderungen zur Einreichung von Vorschlägen ausgewählten Projekte erfolgt im Einklang mit den technischen Leitlinien „Vermeidung erhebl</w:t>
            </w:r>
            <w:r w:rsidRPr="00170422">
              <w:rPr>
                <w:noProof/>
                <w:lang w:val="de-DE"/>
              </w:rPr>
              <w:t>icher Beeinträchtigungen“ (2021/C58/01), indem eine Ausschlussliste verwendet wird und die einschlägigen Umweltvorschriften der EU und der Mitgliedstaaten eingehalten werden.</w:t>
            </w:r>
          </w:p>
        </w:tc>
      </w:tr>
      <w:tr w:rsidR="00744AB7" w:rsidRPr="00170422" w14:paraId="70D4F0EC"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5DF2A0" w14:textId="77777777" w:rsidR="0057163C" w:rsidRPr="00170422" w:rsidRDefault="00F37BF9">
            <w:pPr>
              <w:pStyle w:val="P68B1DB1-Normal11"/>
              <w:jc w:val="center"/>
              <w:rPr>
                <w:noProof/>
                <w:szCs w:val="20"/>
                <w:lang w:val="de-DE"/>
              </w:rPr>
            </w:pPr>
            <w:r w:rsidRPr="00170422">
              <w:rPr>
                <w:noProof/>
                <w:lang w:val="de-DE"/>
              </w:rPr>
              <w:t>M1C3-15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31C2E8" w14:textId="77777777" w:rsidR="0057163C" w:rsidRPr="00170422" w:rsidRDefault="00F37BF9">
            <w:pPr>
              <w:pStyle w:val="P68B1DB1-Normal11"/>
              <w:jc w:val="center"/>
              <w:rPr>
                <w:noProof/>
                <w:szCs w:val="20"/>
                <w:lang w:val="de-DE"/>
              </w:rPr>
            </w:pPr>
            <w:r w:rsidRPr="00170422">
              <w:rPr>
                <w:noProof/>
                <w:lang w:val="de-DE"/>
              </w:rPr>
              <w:t>Investition 2.4 – Seismische Sicherheit von Gebetsstätten, Restaurierung</w:t>
            </w:r>
            <w:r w:rsidRPr="00170422">
              <w:rPr>
                <w:noProof/>
                <w:lang w:val="de-DE"/>
              </w:rPr>
              <w:t xml:space="preserve"> des FEC-Erbes und Schutzeinrichtungen für Kunstwerke</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40F35DD"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D096CF" w14:textId="33E88D20" w:rsidR="0057163C" w:rsidRPr="00170422" w:rsidRDefault="00F37BF9">
            <w:pPr>
              <w:pStyle w:val="P68B1DB1-Normal11"/>
              <w:jc w:val="center"/>
              <w:rPr>
                <w:noProof/>
                <w:szCs w:val="20"/>
                <w:lang w:val="de-DE"/>
              </w:rPr>
            </w:pPr>
            <w:r w:rsidRPr="00170422">
              <w:rPr>
                <w:noProof/>
                <w:lang w:val="de-DE"/>
              </w:rPr>
              <w:t xml:space="preserve">Inkrafttreten des Dekrets des Kulturministeriums über die Zuweisung von Ressourcen für seismische Sicherheit anstelle von Gebetsstätten und der Restaurierung des kulturellen Erbes (Fondo </w:t>
            </w:r>
            <w:r w:rsidRPr="00170422">
              <w:rPr>
                <w:noProof/>
                <w:lang w:val="de-DE"/>
              </w:rPr>
              <w:t>Edifici di Culto)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297680" w14:textId="6FCDDC18" w:rsidR="0057163C" w:rsidRPr="00170422" w:rsidRDefault="00F37BF9">
            <w:pPr>
              <w:pStyle w:val="P68B1DB1-Normal11"/>
              <w:jc w:val="center"/>
              <w:rPr>
                <w:noProof/>
                <w:szCs w:val="20"/>
                <w:lang w:val="de-DE"/>
              </w:rPr>
            </w:pPr>
            <w:r w:rsidRPr="00170422">
              <w:rPr>
                <w:noProof/>
                <w:lang w:val="de-DE"/>
              </w:rPr>
              <w:t>Bestimmung im Dekret über das Inkrafttreten des Dekrets des Kulturministeriums über die Zuweisung von Mitteln für die seismische Sicherheit anstelle von Gebetsstätten und der Restaurierung des kulturellen Erbes (Fondo Edifici di Culto)</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B3CF90" w14:textId="77777777" w:rsidR="0057163C" w:rsidRPr="00170422" w:rsidRDefault="00F37BF9">
            <w:pPr>
              <w:pStyle w:val="P68B1DB1-Normal11"/>
              <w:jc w:val="center"/>
              <w:rPr>
                <w:noProof/>
                <w:szCs w:val="20"/>
                <w:lang w:val="de-DE"/>
              </w:rPr>
            </w:pPr>
            <w:r w:rsidRPr="00170422">
              <w:rPr>
                <w:noProof/>
                <w:lang w:val="de-DE"/>
              </w:rPr>
              <w:t>EN</w:t>
            </w:r>
            <w:r w:rsidRPr="00170422">
              <w:rPr>
                <w:noProof/>
                <w:lang w:val="de-DE"/>
              </w:rPr>
              <w:t>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2E9097" w14:textId="77777777" w:rsidR="0057163C" w:rsidRPr="00170422" w:rsidRDefault="00F37BF9">
            <w:pPr>
              <w:pStyle w:val="P68B1DB1-Normal11"/>
              <w:jc w:val="center"/>
              <w:rPr>
                <w:noProof/>
                <w:szCs w:val="20"/>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6DE36C" w14:textId="77777777" w:rsidR="0057163C" w:rsidRPr="00170422" w:rsidRDefault="00F37BF9">
            <w:pPr>
              <w:pStyle w:val="P68B1DB1-Normal11"/>
              <w:jc w:val="center"/>
              <w:rPr>
                <w:noProof/>
                <w:szCs w:val="20"/>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BA75AA"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409C8D"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1A07C9" w14:textId="35AADBD6" w:rsidR="0057163C" w:rsidRPr="00170422" w:rsidRDefault="00F37BF9">
            <w:pPr>
              <w:pStyle w:val="P68B1DB1-Normal11"/>
              <w:rPr>
                <w:noProof/>
                <w:szCs w:val="20"/>
                <w:lang w:val="de-DE"/>
              </w:rPr>
            </w:pPr>
            <w:r w:rsidRPr="00170422">
              <w:rPr>
                <w:noProof/>
                <w:lang w:val="de-DE"/>
              </w:rPr>
              <w:t>Der Erlass des Ministeriums für Kultur bestimmt die Durchführungsstelle sowie die Förderfähigkeit und Finanzierung von Gebäuden, die Gegenstand von Eingriffen und Typologie sind.</w:t>
            </w:r>
          </w:p>
          <w:p w14:paraId="6FA992EB" w14:textId="77777777" w:rsidR="0057163C" w:rsidRPr="00170422" w:rsidRDefault="00F37BF9">
            <w:pPr>
              <w:pStyle w:val="P68B1DB1-Normal11"/>
              <w:rPr>
                <w:noProof/>
                <w:szCs w:val="20"/>
                <w:lang w:val="de-DE"/>
              </w:rPr>
            </w:pPr>
            <w:r w:rsidRPr="00170422">
              <w:rPr>
                <w:noProof/>
                <w:lang w:val="de-DE"/>
              </w:rPr>
              <w:t>(INV 2.4) Die seismischen Präventions- un</w:t>
            </w:r>
            <w:r w:rsidRPr="00170422">
              <w:rPr>
                <w:noProof/>
                <w:lang w:val="de-DE"/>
              </w:rPr>
              <w:t>d Sicherheitsmaßnahmen an Gebetsstätten betreffen die Gebiete, die von mehreren Erdbeben betroffen waren, von denen ab 2009 Regionen Italiens betroffen waren (Abruzzen, Latium, Marken und Umbrien).</w:t>
            </w:r>
          </w:p>
          <w:p w14:paraId="57763210" w14:textId="77777777" w:rsidR="0057163C" w:rsidRPr="00170422" w:rsidRDefault="00F37BF9">
            <w:pPr>
              <w:pStyle w:val="P68B1DB1-Normal11"/>
              <w:rPr>
                <w:noProof/>
                <w:szCs w:val="20"/>
                <w:lang w:val="de-DE"/>
              </w:rPr>
            </w:pPr>
            <w:r w:rsidRPr="00170422">
              <w:rPr>
                <w:noProof/>
                <w:lang w:val="de-DE"/>
              </w:rPr>
              <w:t>Die Interventionen des Fondo Edifici di Culto (Fondo Edifi</w:t>
            </w:r>
            <w:r w:rsidRPr="00170422">
              <w:rPr>
                <w:noProof/>
                <w:lang w:val="de-DE"/>
              </w:rPr>
              <w:t>ci di Culto) werden auf der Grundlage des Stands der Erhaltung des Erbes des FEC (Fondo Edifici di Culto) ausgewählt.</w:t>
            </w:r>
          </w:p>
          <w:p w14:paraId="6C6B70D8" w14:textId="4E476C37" w:rsidR="0057163C" w:rsidRPr="00170422" w:rsidRDefault="00F37BF9">
            <w:pPr>
              <w:pStyle w:val="P68B1DB1-Normal11"/>
              <w:rPr>
                <w:noProof/>
                <w:szCs w:val="20"/>
                <w:lang w:val="de-DE"/>
              </w:rPr>
            </w:pPr>
            <w:r w:rsidRPr="00170422">
              <w:rPr>
                <w:noProof/>
                <w:lang w:val="de-DE"/>
              </w:rPr>
              <w:t>Die Vergabe der Aufträge an die im Rahmen der wettbewerblichen Aufforderungen zur Einreichung von Vorschlägen ausgewählten Projekte erfolg</w:t>
            </w:r>
            <w:r w:rsidRPr="00170422">
              <w:rPr>
                <w:noProof/>
                <w:lang w:val="de-DE"/>
              </w:rPr>
              <w:t>t im Einklang mit den technischen Leitlinien „Vermeidung erheblicher Beeinträchtigungen“ (2021/C58/01), indem eine Ausschlussliste verwendet wird und die einschlägigen Umweltvorschriften der EU und der Mitgliedstaaten eingehalten werden.</w:t>
            </w:r>
          </w:p>
        </w:tc>
      </w:tr>
      <w:tr w:rsidR="00744AB7" w:rsidRPr="00170422" w14:paraId="06926804" w14:textId="77777777" w:rsidTr="00744AB7">
        <w:trPr>
          <w:trHeight w:val="313"/>
          <w:jc w:val="center"/>
        </w:trPr>
        <w:tc>
          <w:tcPr>
            <w:tcW w:w="377" w:type="pct"/>
            <w:shd w:val="clear" w:color="auto" w:fill="C6EFCE"/>
            <w:noWrap/>
            <w:vAlign w:val="center"/>
            <w:hideMark/>
          </w:tcPr>
          <w:p w14:paraId="342B81A6" w14:textId="77777777" w:rsidR="0057163C" w:rsidRPr="00170422" w:rsidRDefault="00F37BF9">
            <w:pPr>
              <w:pStyle w:val="P68B1DB1-Normal11"/>
              <w:jc w:val="center"/>
              <w:rPr>
                <w:noProof/>
                <w:szCs w:val="20"/>
                <w:lang w:val="de-DE"/>
              </w:rPr>
            </w:pPr>
            <w:r w:rsidRPr="00170422">
              <w:rPr>
                <w:noProof/>
                <w:lang w:val="de-DE"/>
              </w:rPr>
              <w:t>M1C3-16</w:t>
            </w:r>
          </w:p>
        </w:tc>
        <w:tc>
          <w:tcPr>
            <w:tcW w:w="520" w:type="pct"/>
            <w:shd w:val="clear" w:color="auto" w:fill="C6EFCE"/>
            <w:noWrap/>
            <w:vAlign w:val="center"/>
          </w:tcPr>
          <w:p w14:paraId="04199726" w14:textId="77777777" w:rsidR="0057163C" w:rsidRPr="00170422" w:rsidRDefault="00F37BF9">
            <w:pPr>
              <w:pStyle w:val="P68B1DB1-Normal11"/>
              <w:jc w:val="center"/>
              <w:rPr>
                <w:noProof/>
                <w:szCs w:val="20"/>
                <w:lang w:val="de-DE"/>
              </w:rPr>
            </w:pPr>
            <w:r w:rsidRPr="00170422">
              <w:rPr>
                <w:noProof/>
                <w:lang w:val="de-DE"/>
              </w:rPr>
              <w:t>Investitionen – 2.1 Attraktivität kleiner historischer Städte</w:t>
            </w:r>
          </w:p>
        </w:tc>
        <w:tc>
          <w:tcPr>
            <w:tcW w:w="426" w:type="pct"/>
            <w:shd w:val="clear" w:color="auto" w:fill="C6EFCE"/>
            <w:noWrap/>
            <w:vAlign w:val="center"/>
            <w:hideMark/>
          </w:tcPr>
          <w:p w14:paraId="64C8381C"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shd w:val="clear" w:color="auto" w:fill="C6EFCE"/>
            <w:noWrap/>
            <w:vAlign w:val="center"/>
          </w:tcPr>
          <w:p w14:paraId="701D89EC" w14:textId="2E7D0A3E" w:rsidR="0057163C" w:rsidRPr="00170422" w:rsidRDefault="00F37BF9">
            <w:pPr>
              <w:pStyle w:val="P68B1DB1-Normal12"/>
              <w:jc w:val="center"/>
              <w:rPr>
                <w:noProof/>
                <w:lang w:val="de-DE"/>
              </w:rPr>
            </w:pPr>
            <w:r w:rsidRPr="00170422">
              <w:rPr>
                <w:noProof/>
                <w:lang w:val="de-DE"/>
              </w:rPr>
              <w:t>Annahme von Erlassen zur Auflistung von Unternehmen, die Unterstützung in kleinen historischen Städten erhalten haben</w:t>
            </w:r>
          </w:p>
        </w:tc>
        <w:tc>
          <w:tcPr>
            <w:tcW w:w="520" w:type="pct"/>
            <w:shd w:val="clear" w:color="auto" w:fill="C6EFCE"/>
            <w:noWrap/>
            <w:vAlign w:val="center"/>
            <w:hideMark/>
          </w:tcPr>
          <w:p w14:paraId="38411753" w14:textId="0DFEB907" w:rsidR="0057163C" w:rsidRPr="00170422" w:rsidRDefault="00F37BF9">
            <w:pPr>
              <w:pStyle w:val="P68B1DB1-Normal11"/>
              <w:jc w:val="center"/>
              <w:rPr>
                <w:noProof/>
                <w:szCs w:val="20"/>
                <w:lang w:val="de-DE"/>
              </w:rPr>
            </w:pPr>
            <w:r w:rsidRPr="00170422">
              <w:rPr>
                <w:noProof/>
                <w:lang w:val="de-DE"/>
              </w:rPr>
              <w:t>Erlass von Erlass(en) zur Auflistung der geförderten Unternehmen</w:t>
            </w:r>
          </w:p>
        </w:tc>
        <w:tc>
          <w:tcPr>
            <w:tcW w:w="368" w:type="pct"/>
            <w:shd w:val="clear" w:color="auto" w:fill="C6EFCE"/>
            <w:noWrap/>
            <w:vAlign w:val="center"/>
            <w:hideMark/>
          </w:tcPr>
          <w:p w14:paraId="342896E8" w14:textId="77777777" w:rsidR="0057163C" w:rsidRPr="00170422" w:rsidRDefault="00F37BF9">
            <w:pPr>
              <w:pStyle w:val="P68B1DB1-Normal11"/>
              <w:jc w:val="center"/>
              <w:rPr>
                <w:noProof/>
                <w:szCs w:val="20"/>
                <w:lang w:val="de-DE"/>
              </w:rPr>
            </w:pPr>
            <w:r w:rsidRPr="00170422">
              <w:rPr>
                <w:noProof/>
                <w:lang w:val="de-DE"/>
              </w:rPr>
              <w:t>ENTFÄLLT.</w:t>
            </w:r>
          </w:p>
        </w:tc>
        <w:tc>
          <w:tcPr>
            <w:tcW w:w="486" w:type="pct"/>
            <w:shd w:val="clear" w:color="auto" w:fill="C6EFCE"/>
            <w:noWrap/>
            <w:vAlign w:val="center"/>
          </w:tcPr>
          <w:p w14:paraId="14320E43" w14:textId="77777777" w:rsidR="0057163C" w:rsidRPr="00170422" w:rsidRDefault="00F37BF9">
            <w:pPr>
              <w:pStyle w:val="P68B1DB1-Normal11"/>
              <w:jc w:val="center"/>
              <w:rPr>
                <w:noProof/>
                <w:szCs w:val="20"/>
                <w:lang w:val="de-DE"/>
              </w:rPr>
            </w:pPr>
            <w:r w:rsidRPr="00170422">
              <w:rPr>
                <w:noProof/>
                <w:lang w:val="de-DE"/>
              </w:rPr>
              <w:t>ENTFÄLLT.</w:t>
            </w:r>
          </w:p>
        </w:tc>
        <w:tc>
          <w:tcPr>
            <w:tcW w:w="388" w:type="pct"/>
            <w:shd w:val="clear" w:color="auto" w:fill="C6EFCE"/>
            <w:noWrap/>
            <w:vAlign w:val="center"/>
          </w:tcPr>
          <w:p w14:paraId="5F59DADB" w14:textId="77777777" w:rsidR="0057163C" w:rsidRPr="00170422" w:rsidRDefault="00F37BF9">
            <w:pPr>
              <w:pStyle w:val="P68B1DB1-Normal11"/>
              <w:jc w:val="center"/>
              <w:rPr>
                <w:noProof/>
                <w:szCs w:val="20"/>
                <w:lang w:val="de-DE"/>
              </w:rPr>
            </w:pPr>
            <w:r w:rsidRPr="00170422">
              <w:rPr>
                <w:noProof/>
                <w:lang w:val="de-DE"/>
              </w:rPr>
              <w:t>ENTFÄLLT.</w:t>
            </w:r>
          </w:p>
        </w:tc>
        <w:tc>
          <w:tcPr>
            <w:tcW w:w="292" w:type="pct"/>
            <w:shd w:val="clear" w:color="auto" w:fill="C6EFCE"/>
            <w:noWrap/>
            <w:vAlign w:val="center"/>
            <w:hideMark/>
          </w:tcPr>
          <w:p w14:paraId="152DFE72" w14:textId="77777777" w:rsidR="0057163C" w:rsidRPr="00170422" w:rsidRDefault="00F37BF9">
            <w:pPr>
              <w:pStyle w:val="P68B1DB1-Normal11"/>
              <w:jc w:val="center"/>
              <w:rPr>
                <w:noProof/>
                <w:szCs w:val="20"/>
                <w:lang w:val="de-DE"/>
              </w:rPr>
            </w:pPr>
            <w:r w:rsidRPr="00170422">
              <w:rPr>
                <w:noProof/>
                <w:lang w:val="de-DE"/>
              </w:rPr>
              <w:t>Q2</w:t>
            </w:r>
          </w:p>
        </w:tc>
        <w:tc>
          <w:tcPr>
            <w:tcW w:w="242" w:type="pct"/>
            <w:shd w:val="clear" w:color="auto" w:fill="C6EFCE"/>
            <w:noWrap/>
            <w:vAlign w:val="center"/>
            <w:hideMark/>
          </w:tcPr>
          <w:p w14:paraId="20870AB2" w14:textId="77777777" w:rsidR="0057163C" w:rsidRPr="00170422" w:rsidRDefault="00F37BF9">
            <w:pPr>
              <w:pStyle w:val="P68B1DB1-Normal11"/>
              <w:jc w:val="center"/>
              <w:rPr>
                <w:noProof/>
                <w:szCs w:val="20"/>
                <w:lang w:val="de-DE"/>
              </w:rPr>
            </w:pPr>
            <w:r w:rsidRPr="00170422">
              <w:rPr>
                <w:noProof/>
                <w:lang w:val="de-DE"/>
              </w:rPr>
              <w:t>2025</w:t>
            </w:r>
          </w:p>
        </w:tc>
        <w:tc>
          <w:tcPr>
            <w:tcW w:w="909" w:type="pct"/>
            <w:shd w:val="clear" w:color="auto" w:fill="C6EFCE"/>
            <w:noWrap/>
            <w:vAlign w:val="center"/>
            <w:hideMark/>
          </w:tcPr>
          <w:p w14:paraId="77B219BD" w14:textId="36E136A5" w:rsidR="0057163C" w:rsidRPr="00170422" w:rsidRDefault="00F37BF9">
            <w:pPr>
              <w:pStyle w:val="P68B1DB1-Normal11"/>
              <w:rPr>
                <w:noProof/>
                <w:szCs w:val="20"/>
                <w:lang w:val="de-DE"/>
              </w:rPr>
            </w:pPr>
            <w:r w:rsidRPr="00170422">
              <w:rPr>
                <w:noProof/>
                <w:szCs w:val="20"/>
                <w:lang w:val="de-DE"/>
              </w:rPr>
              <w:t>Erlass von Erlassen, in denen mindestens 1800 Unternehmen aufgeführt sind, die in kleinen historischen Städten gefördert wurden.</w:t>
            </w:r>
          </w:p>
        </w:tc>
      </w:tr>
      <w:tr w:rsidR="00744AB7" w:rsidRPr="00170422" w14:paraId="19ADE278"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AD1AC6" w14:textId="77777777" w:rsidR="0057163C" w:rsidRPr="00170422" w:rsidRDefault="00F37BF9">
            <w:pPr>
              <w:pStyle w:val="P68B1DB1-Normal11"/>
              <w:jc w:val="center"/>
              <w:rPr>
                <w:noProof/>
                <w:lang w:val="de-DE"/>
              </w:rPr>
            </w:pPr>
            <w:bookmarkStart w:id="12" w:name="_Hlk212582527"/>
            <w:r w:rsidRPr="00170422">
              <w:rPr>
                <w:noProof/>
                <w:lang w:val="de-DE"/>
              </w:rPr>
              <w:t>M1C3-16bis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0E8F60C" w14:textId="77777777" w:rsidR="0057163C" w:rsidRPr="00170422" w:rsidRDefault="00F37BF9">
            <w:pPr>
              <w:pStyle w:val="P68B1DB1-Normal11"/>
              <w:jc w:val="center"/>
              <w:rPr>
                <w:noProof/>
                <w:lang w:val="de-DE"/>
              </w:rPr>
            </w:pPr>
            <w:r w:rsidRPr="00170422">
              <w:rPr>
                <w:noProof/>
                <w:lang w:val="de-DE"/>
              </w:rPr>
              <w:t>Investitionen – 2.1 Attraktivität kleiner historischer Städte</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33F536" w14:textId="77777777" w:rsidR="0057163C" w:rsidRPr="00170422" w:rsidRDefault="00F37BF9">
            <w:pPr>
              <w:pStyle w:val="P68B1DB1-Normal11"/>
              <w:jc w:val="center"/>
              <w:rPr>
                <w:noProof/>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530411" w14:textId="6EEDF39C" w:rsidR="0057163C" w:rsidRPr="00170422" w:rsidRDefault="00F37BF9">
            <w:pPr>
              <w:pStyle w:val="P68B1DB1-Normal12"/>
              <w:jc w:val="center"/>
              <w:rPr>
                <w:noProof/>
                <w:lang w:val="de-DE"/>
              </w:rPr>
            </w:pPr>
            <w:r w:rsidRPr="00170422">
              <w:rPr>
                <w:noProof/>
                <w:lang w:val="de-DE"/>
              </w:rPr>
              <w:t>Maßnahmen</w:t>
            </w:r>
            <w:r w:rsidRPr="00170422">
              <w:rPr>
                <w:noProof/>
                <w:lang w:val="de-DE"/>
              </w:rPr>
              <w:t xml:space="preserve"> zur kulturellen Erneuerung kleiner historischer Städte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3CFC5C9"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E3800C"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B3FF88"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06EE" w14:textId="41E5B80D" w:rsidR="0057163C" w:rsidRPr="00170422" w:rsidRDefault="00F37BF9">
            <w:pPr>
              <w:pStyle w:val="P68B1DB1-Normal11"/>
              <w:jc w:val="center"/>
              <w:rPr>
                <w:noProof/>
                <w:lang w:val="de-DE"/>
              </w:rPr>
            </w:pPr>
            <w:r w:rsidRPr="00170422">
              <w:rPr>
                <w:noProof/>
                <w:lang w:val="de-DE"/>
              </w:rPr>
              <w:t>3 250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299C27C" w14:textId="77777777" w:rsidR="0057163C" w:rsidRPr="00170422" w:rsidRDefault="00F37BF9">
            <w:pPr>
              <w:pStyle w:val="P68B1DB1-Normal11"/>
              <w:jc w:val="center"/>
              <w:rPr>
                <w:noProof/>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6E9CA" w14:textId="77777777" w:rsidR="0057163C" w:rsidRPr="00170422" w:rsidRDefault="00F37BF9">
            <w:pPr>
              <w:pStyle w:val="P68B1DB1-Normal11"/>
              <w:jc w:val="center"/>
              <w:rPr>
                <w:noProof/>
                <w:lang w:val="de-DE"/>
              </w:rPr>
            </w:pPr>
            <w:r w:rsidRPr="00170422">
              <w:rPr>
                <w:noProof/>
                <w:lang w:val="de-DE"/>
              </w:rPr>
              <w:t>2026</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E9AF4CA" w14:textId="2E9B9F64" w:rsidR="0057163C" w:rsidRPr="00170422" w:rsidRDefault="00F37BF9">
            <w:pPr>
              <w:pStyle w:val="P68B1DB1-Normal12"/>
              <w:rPr>
                <w:noProof/>
                <w:lang w:val="de-DE"/>
              </w:rPr>
            </w:pPr>
            <w:r w:rsidRPr="00170422">
              <w:rPr>
                <w:noProof/>
                <w:lang w:val="de-DE"/>
              </w:rPr>
              <w:t>Die Bescheinigungen über den Abschluss der Arbeiten oder die Bescheinigungen über die Erbringung von Dienstleistungen oder Lieferungen werden für mindestens 3250 Inter</w:t>
            </w:r>
            <w:r w:rsidRPr="00170422">
              <w:rPr>
                <w:noProof/>
                <w:lang w:val="de-DE"/>
              </w:rPr>
              <w:t>ventionen ausgestellt, davon 400 in Zeile A.</w:t>
            </w:r>
          </w:p>
        </w:tc>
      </w:tr>
      <w:bookmarkEnd w:id="12"/>
      <w:tr w:rsidR="00744AB7" w:rsidRPr="00170422" w14:paraId="16E08C99"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ED5DD73" w14:textId="77777777" w:rsidR="0057163C" w:rsidRPr="00170422" w:rsidRDefault="00F37BF9">
            <w:pPr>
              <w:pStyle w:val="P68B1DB1-Normal11"/>
              <w:jc w:val="center"/>
              <w:rPr>
                <w:noProof/>
                <w:szCs w:val="20"/>
                <w:lang w:val="de-DE"/>
              </w:rPr>
            </w:pPr>
            <w:r w:rsidRPr="00170422">
              <w:rPr>
                <w:noProof/>
                <w:lang w:val="de-DE"/>
              </w:rPr>
              <w:t>M1C3-17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9D6609" w14:textId="77777777" w:rsidR="0057163C" w:rsidRPr="00170422" w:rsidRDefault="00F37BF9">
            <w:pPr>
              <w:pStyle w:val="P68B1DB1-Normal11"/>
              <w:jc w:val="center"/>
              <w:rPr>
                <w:noProof/>
                <w:szCs w:val="20"/>
                <w:lang w:val="de-DE"/>
              </w:rPr>
            </w:pPr>
            <w:r w:rsidRPr="00170422">
              <w:rPr>
                <w:noProof/>
                <w:lang w:val="de-DE"/>
              </w:rPr>
              <w:t>Investitionen – 2.2 Schutz und Verbesserung der ländlichen Architektur und Landschaft</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603845"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5B701B" w14:textId="528F73D9" w:rsidR="0057163C" w:rsidRPr="00170422" w:rsidRDefault="00F37BF9">
            <w:pPr>
              <w:pStyle w:val="P68B1DB1-Normal11"/>
              <w:jc w:val="center"/>
              <w:rPr>
                <w:noProof/>
                <w:szCs w:val="20"/>
                <w:lang w:val="de-DE"/>
              </w:rPr>
            </w:pPr>
            <w:r w:rsidRPr="00170422">
              <w:rPr>
                <w:noProof/>
                <w:lang w:val="de-DE"/>
              </w:rPr>
              <w:t>Interventionen zum Schutz und zur Verbesserung der ländlichen Architektur und Landschaft</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E888C2"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D36939" w14:textId="77777777" w:rsidR="0057163C" w:rsidRPr="00170422" w:rsidRDefault="00F37BF9">
            <w:pPr>
              <w:pStyle w:val="P68B1DB1-Normal11"/>
              <w:jc w:val="center"/>
              <w:rPr>
                <w:noProof/>
                <w:szCs w:val="20"/>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787505" w14:textId="77777777" w:rsidR="0057163C" w:rsidRPr="00170422" w:rsidRDefault="00F37BF9">
            <w:pPr>
              <w:pStyle w:val="P68B1DB1-Normal11"/>
              <w:jc w:val="center"/>
              <w:rPr>
                <w:noProof/>
                <w:szCs w:val="20"/>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2DF4F8" w14:textId="77777777" w:rsidR="0057163C" w:rsidRPr="00170422" w:rsidRDefault="00F37BF9">
            <w:pPr>
              <w:pStyle w:val="P68B1DB1-Normal11"/>
              <w:jc w:val="center"/>
              <w:rPr>
                <w:noProof/>
                <w:szCs w:val="20"/>
                <w:lang w:val="de-DE"/>
              </w:rPr>
            </w:pPr>
            <w:r w:rsidRPr="00170422">
              <w:rPr>
                <w:noProof/>
                <w:lang w:val="de-DE"/>
              </w:rPr>
              <w:t>3 900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B91C1" w14:textId="77777777" w:rsidR="0057163C" w:rsidRPr="00170422" w:rsidRDefault="00F37BF9">
            <w:pPr>
              <w:pStyle w:val="P68B1DB1-Normal12"/>
              <w:jc w:val="center"/>
              <w:rPr>
                <w:noProof/>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B373C6" w14:textId="77777777" w:rsidR="0057163C" w:rsidRPr="00170422" w:rsidRDefault="00F37BF9">
            <w:pPr>
              <w:pStyle w:val="P68B1DB1-Normal12"/>
              <w:jc w:val="center"/>
              <w:rPr>
                <w:noProof/>
                <w:lang w:val="de-DE"/>
              </w:rPr>
            </w:pPr>
            <w:r w:rsidRPr="00170422">
              <w:rPr>
                <w:noProof/>
                <w:lang w:val="de-DE"/>
              </w:rPr>
              <w:t>2026</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AA7F40" w14:textId="1FA50961" w:rsidR="0057163C" w:rsidRPr="00170422" w:rsidRDefault="00F37BF9">
            <w:pPr>
              <w:pStyle w:val="P68B1DB1-Normal11"/>
              <w:rPr>
                <w:noProof/>
                <w:szCs w:val="20"/>
                <w:lang w:val="de-DE"/>
              </w:rPr>
            </w:pPr>
            <w:r w:rsidRPr="00170422">
              <w:rPr>
                <w:noProof/>
                <w:lang w:val="de-DE"/>
              </w:rPr>
              <w:t>Die Bescheinigungen über den Abschluss der Arbeiten für die Eingriffe an mindestens 3900 Anlagen werden ausgestellt.</w:t>
            </w:r>
          </w:p>
        </w:tc>
      </w:tr>
      <w:tr w:rsidR="00744AB7" w:rsidRPr="00170422" w14:paraId="4364A278" w14:textId="77777777" w:rsidTr="00744AB7">
        <w:trPr>
          <w:trHeight w:val="364"/>
          <w:jc w:val="center"/>
        </w:trPr>
        <w:tc>
          <w:tcPr>
            <w:tcW w:w="377" w:type="pct"/>
            <w:shd w:val="clear" w:color="auto" w:fill="C6EFCE"/>
            <w:noWrap/>
            <w:vAlign w:val="center"/>
            <w:hideMark/>
          </w:tcPr>
          <w:p w14:paraId="3F7E94F6" w14:textId="77777777" w:rsidR="0057163C" w:rsidRPr="00170422" w:rsidRDefault="00F37BF9">
            <w:pPr>
              <w:pStyle w:val="P68B1DB1-Normal12"/>
              <w:jc w:val="center"/>
              <w:rPr>
                <w:noProof/>
                <w:lang w:val="de-DE"/>
              </w:rPr>
            </w:pPr>
            <w:r w:rsidRPr="00170422">
              <w:rPr>
                <w:noProof/>
                <w:lang w:val="de-DE"/>
              </w:rPr>
              <w:t>M1C3-18</w:t>
            </w:r>
          </w:p>
        </w:tc>
        <w:tc>
          <w:tcPr>
            <w:tcW w:w="520" w:type="pct"/>
            <w:shd w:val="clear" w:color="auto" w:fill="C6EFCE"/>
            <w:noWrap/>
            <w:vAlign w:val="center"/>
            <w:hideMark/>
          </w:tcPr>
          <w:p w14:paraId="762570DD" w14:textId="77777777" w:rsidR="0057163C" w:rsidRPr="00170422" w:rsidRDefault="00F37BF9">
            <w:pPr>
              <w:pStyle w:val="P68B1DB1-Normal12"/>
              <w:jc w:val="center"/>
              <w:rPr>
                <w:noProof/>
                <w:lang w:val="de-DE"/>
              </w:rPr>
            </w:pPr>
            <w:r w:rsidRPr="00170422">
              <w:rPr>
                <w:noProof/>
                <w:lang w:val="de-DE"/>
              </w:rPr>
              <w:t>Investition 2.3 Programme zur Verbesserung der Identität von Orten, Parks und historischen Gärten</w:t>
            </w:r>
          </w:p>
        </w:tc>
        <w:tc>
          <w:tcPr>
            <w:tcW w:w="426" w:type="pct"/>
            <w:shd w:val="clear" w:color="auto" w:fill="C6EFCE"/>
            <w:noWrap/>
            <w:vAlign w:val="center"/>
            <w:hideMark/>
          </w:tcPr>
          <w:p w14:paraId="1567C3C7" w14:textId="77777777" w:rsidR="0057163C" w:rsidRPr="00170422" w:rsidRDefault="00F37BF9">
            <w:pPr>
              <w:pStyle w:val="P68B1DB1-Normal11"/>
              <w:jc w:val="center"/>
              <w:rPr>
                <w:noProof/>
                <w:szCs w:val="20"/>
                <w:lang w:val="de-DE"/>
              </w:rPr>
            </w:pPr>
            <w:r w:rsidRPr="00170422">
              <w:rPr>
                <w:noProof/>
                <w:lang w:val="de-DE"/>
              </w:rPr>
              <w:t>Ziel</w:t>
            </w:r>
          </w:p>
        </w:tc>
        <w:tc>
          <w:tcPr>
            <w:tcW w:w="472" w:type="pct"/>
            <w:shd w:val="clear" w:color="auto" w:fill="C6EFCE"/>
            <w:noWrap/>
            <w:vAlign w:val="center"/>
            <w:hideMark/>
          </w:tcPr>
          <w:p w14:paraId="48CE5593" w14:textId="77777777" w:rsidR="0057163C" w:rsidRPr="00170422" w:rsidRDefault="00F37BF9">
            <w:pPr>
              <w:pStyle w:val="P68B1DB1-Normal11"/>
              <w:jc w:val="center"/>
              <w:rPr>
                <w:noProof/>
                <w:szCs w:val="20"/>
                <w:lang w:val="de-DE"/>
              </w:rPr>
            </w:pPr>
            <w:r w:rsidRPr="00170422">
              <w:rPr>
                <w:noProof/>
                <w:lang w:val="de-DE"/>
              </w:rPr>
              <w:t xml:space="preserve">Zahl der </w:t>
            </w:r>
            <w:r w:rsidRPr="00170422">
              <w:rPr>
                <w:noProof/>
                <w:lang w:val="de-DE"/>
              </w:rPr>
              <w:t>neuqualifizierten Parks und historischen Gärten</w:t>
            </w:r>
          </w:p>
        </w:tc>
        <w:tc>
          <w:tcPr>
            <w:tcW w:w="520" w:type="pct"/>
            <w:shd w:val="clear" w:color="auto" w:fill="C6EFCE"/>
            <w:noWrap/>
            <w:vAlign w:val="center"/>
            <w:hideMark/>
          </w:tcPr>
          <w:p w14:paraId="2EB5CFA8"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shd w:val="clear" w:color="auto" w:fill="C6EFCE"/>
            <w:noWrap/>
            <w:vAlign w:val="center"/>
            <w:hideMark/>
          </w:tcPr>
          <w:p w14:paraId="0FEC1F0D" w14:textId="77777777" w:rsidR="0057163C" w:rsidRPr="00170422" w:rsidRDefault="00F37BF9">
            <w:pPr>
              <w:pStyle w:val="P68B1DB1-Normal11"/>
              <w:jc w:val="center"/>
              <w:rPr>
                <w:noProof/>
                <w:szCs w:val="20"/>
                <w:lang w:val="de-DE"/>
              </w:rPr>
            </w:pPr>
            <w:r w:rsidRPr="00170422">
              <w:rPr>
                <w:noProof/>
                <w:lang w:val="de-DE"/>
              </w:rPr>
              <w:t>Anzahl</w:t>
            </w:r>
          </w:p>
        </w:tc>
        <w:tc>
          <w:tcPr>
            <w:tcW w:w="486" w:type="pct"/>
            <w:shd w:val="clear" w:color="auto" w:fill="C6EFCE"/>
            <w:noWrap/>
            <w:vAlign w:val="center"/>
            <w:hideMark/>
          </w:tcPr>
          <w:p w14:paraId="706FDFFB" w14:textId="77777777" w:rsidR="0057163C" w:rsidRPr="00170422" w:rsidRDefault="00F37BF9">
            <w:pPr>
              <w:pStyle w:val="P68B1DB1-Normal11"/>
              <w:jc w:val="center"/>
              <w:rPr>
                <w:noProof/>
                <w:szCs w:val="20"/>
                <w:lang w:val="de-DE"/>
              </w:rPr>
            </w:pPr>
            <w:r w:rsidRPr="00170422">
              <w:rPr>
                <w:noProof/>
                <w:lang w:val="de-DE"/>
              </w:rPr>
              <w:t>0</w:t>
            </w:r>
          </w:p>
        </w:tc>
        <w:tc>
          <w:tcPr>
            <w:tcW w:w="388" w:type="pct"/>
            <w:shd w:val="clear" w:color="auto" w:fill="C6EFCE"/>
            <w:noWrap/>
            <w:vAlign w:val="center"/>
            <w:hideMark/>
          </w:tcPr>
          <w:p w14:paraId="0EF08B1C" w14:textId="77777777" w:rsidR="0057163C" w:rsidRPr="00170422" w:rsidRDefault="00F37BF9">
            <w:pPr>
              <w:pStyle w:val="P68B1DB1-Normal12"/>
              <w:jc w:val="center"/>
              <w:rPr>
                <w:noProof/>
                <w:lang w:val="de-DE"/>
              </w:rPr>
            </w:pPr>
            <w:r w:rsidRPr="00170422">
              <w:rPr>
                <w:noProof/>
                <w:lang w:val="de-DE"/>
              </w:rPr>
              <w:t>100</w:t>
            </w:r>
          </w:p>
        </w:tc>
        <w:tc>
          <w:tcPr>
            <w:tcW w:w="292" w:type="pct"/>
            <w:shd w:val="clear" w:color="auto" w:fill="C6EFCE"/>
            <w:noWrap/>
            <w:vAlign w:val="center"/>
            <w:hideMark/>
          </w:tcPr>
          <w:p w14:paraId="3D156C71" w14:textId="77777777" w:rsidR="0057163C" w:rsidRPr="00170422" w:rsidRDefault="00F37BF9">
            <w:pPr>
              <w:pStyle w:val="P68B1DB1-Normal12"/>
              <w:jc w:val="center"/>
              <w:rPr>
                <w:noProof/>
                <w:lang w:val="de-DE"/>
              </w:rPr>
            </w:pPr>
            <w:r w:rsidRPr="00170422">
              <w:rPr>
                <w:noProof/>
                <w:lang w:val="de-DE"/>
              </w:rPr>
              <w:t>4. QUARTAL</w:t>
            </w:r>
          </w:p>
        </w:tc>
        <w:tc>
          <w:tcPr>
            <w:tcW w:w="242" w:type="pct"/>
            <w:shd w:val="clear" w:color="auto" w:fill="C6EFCE"/>
            <w:noWrap/>
            <w:vAlign w:val="center"/>
            <w:hideMark/>
          </w:tcPr>
          <w:p w14:paraId="79EDF886" w14:textId="77777777" w:rsidR="0057163C" w:rsidRPr="00170422" w:rsidRDefault="00F37BF9">
            <w:pPr>
              <w:pStyle w:val="P68B1DB1-Normal12"/>
              <w:jc w:val="center"/>
              <w:rPr>
                <w:noProof/>
                <w:lang w:val="de-DE"/>
              </w:rPr>
            </w:pPr>
            <w:r w:rsidRPr="00170422">
              <w:rPr>
                <w:noProof/>
                <w:lang w:val="de-DE"/>
              </w:rPr>
              <w:t>2025</w:t>
            </w:r>
          </w:p>
        </w:tc>
        <w:tc>
          <w:tcPr>
            <w:tcW w:w="909" w:type="pct"/>
            <w:shd w:val="clear" w:color="auto" w:fill="C6EFCE"/>
            <w:noWrap/>
            <w:vAlign w:val="center"/>
            <w:hideMark/>
          </w:tcPr>
          <w:p w14:paraId="520C7801" w14:textId="6009C63C" w:rsidR="0057163C" w:rsidRPr="00170422" w:rsidRDefault="00F37BF9">
            <w:pPr>
              <w:pStyle w:val="P68B1DB1-Normal12"/>
              <w:rPr>
                <w:noProof/>
                <w:lang w:val="de-DE"/>
              </w:rPr>
            </w:pPr>
            <w:r w:rsidRPr="00170422">
              <w:rPr>
                <w:noProof/>
                <w:lang w:val="de-DE"/>
              </w:rPr>
              <w:t>Es werden Bescheinigungen über den Abschluss der Arbeiten zur Umschulung von mindestens 100 Parks und historischen Gärten ausgestellt.</w:t>
            </w:r>
          </w:p>
        </w:tc>
      </w:tr>
      <w:tr w:rsidR="00744AB7" w:rsidRPr="00170422" w14:paraId="79A9B412"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B9A2D9" w14:textId="77777777" w:rsidR="0057163C" w:rsidRPr="00170422" w:rsidRDefault="00F37BF9">
            <w:pPr>
              <w:pStyle w:val="P68B1DB1-Normal11"/>
              <w:jc w:val="center"/>
              <w:rPr>
                <w:noProof/>
                <w:szCs w:val="20"/>
                <w:lang w:val="de-DE"/>
              </w:rPr>
            </w:pPr>
            <w:r w:rsidRPr="00170422">
              <w:rPr>
                <w:noProof/>
                <w:lang w:val="de-DE"/>
              </w:rPr>
              <w:t>M1C3-19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1CBA" w14:textId="77777777" w:rsidR="0057163C" w:rsidRPr="00170422" w:rsidRDefault="00F37BF9">
            <w:pPr>
              <w:pStyle w:val="P68B1DB1-Normal11"/>
              <w:jc w:val="center"/>
              <w:rPr>
                <w:noProof/>
                <w:szCs w:val="20"/>
                <w:lang w:val="de-DE"/>
              </w:rPr>
            </w:pPr>
            <w:r w:rsidRPr="00170422">
              <w:rPr>
                <w:noProof/>
                <w:lang w:val="de-DE"/>
              </w:rPr>
              <w:t xml:space="preserve">Investition – 2.4 </w:t>
            </w:r>
            <w:r w:rsidRPr="00170422">
              <w:rPr>
                <w:noProof/>
                <w:lang w:val="de-DE"/>
              </w:rPr>
              <w:t>Seismische Sicherheit von Gebetsstätten, Restaurierung des Erbes des FEC (Fondo Edifici di Culto) und Schutzräume für Kunstwerke (Recovery Art)</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FC065"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B44BEB4" w14:textId="7206E52E" w:rsidR="0057163C" w:rsidRPr="00170422" w:rsidRDefault="00F37BF9">
            <w:pPr>
              <w:pStyle w:val="P68B1DB1-Normal11"/>
              <w:jc w:val="center"/>
              <w:rPr>
                <w:noProof/>
                <w:szCs w:val="20"/>
                <w:lang w:val="de-DE"/>
              </w:rPr>
            </w:pPr>
            <w:r w:rsidRPr="00170422">
              <w:rPr>
                <w:noProof/>
                <w:lang w:val="de-DE"/>
              </w:rPr>
              <w:t xml:space="preserve">Interventionen zur seismischen Sicherheit an Gebetsstätten, Restaurierung des Erbes des FEC (Fondo Edifici di Culto) und Schutzeinrichtungen für Kunstwerke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54DB55"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6EFA7C" w14:textId="77777777" w:rsidR="0057163C" w:rsidRPr="00170422" w:rsidRDefault="00F37BF9">
            <w:pPr>
              <w:pStyle w:val="P68B1DB1-Normal11"/>
              <w:jc w:val="center"/>
              <w:rPr>
                <w:noProof/>
                <w:szCs w:val="20"/>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8C4024" w14:textId="77777777" w:rsidR="0057163C" w:rsidRPr="00170422" w:rsidRDefault="00F37BF9">
            <w:pPr>
              <w:pStyle w:val="P68B1DB1-Normal11"/>
              <w:jc w:val="center"/>
              <w:rPr>
                <w:noProof/>
                <w:szCs w:val="20"/>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85576D" w14:textId="77777777" w:rsidR="0057163C" w:rsidRPr="00170422" w:rsidRDefault="00F37BF9">
            <w:pPr>
              <w:pStyle w:val="P68B1DB1-Normal11"/>
              <w:jc w:val="center"/>
              <w:rPr>
                <w:noProof/>
                <w:szCs w:val="20"/>
                <w:lang w:val="de-DE"/>
              </w:rPr>
            </w:pPr>
            <w:r w:rsidRPr="00170422">
              <w:rPr>
                <w:noProof/>
                <w:lang w:val="de-DE"/>
              </w:rPr>
              <w:t>700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77F333"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9B616" w14:textId="77777777" w:rsidR="0057163C" w:rsidRPr="00170422" w:rsidRDefault="00F37BF9">
            <w:pPr>
              <w:pStyle w:val="P68B1DB1-Normal11"/>
              <w:jc w:val="center"/>
              <w:rPr>
                <w:noProof/>
                <w:szCs w:val="20"/>
                <w:lang w:val="de-DE"/>
              </w:rPr>
            </w:pPr>
            <w:r w:rsidRPr="00170422">
              <w:rPr>
                <w:noProof/>
                <w:lang w:val="de-DE"/>
              </w:rPr>
              <w:t>2026</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C87FC" w14:textId="0D92F972" w:rsidR="0057163C" w:rsidRPr="00170422" w:rsidRDefault="00F37BF9">
            <w:pPr>
              <w:pStyle w:val="P68B1DB1-Normal12"/>
              <w:rPr>
                <w:noProof/>
                <w:lang w:val="de-DE"/>
              </w:rPr>
            </w:pPr>
            <w:r w:rsidRPr="00170422">
              <w:rPr>
                <w:noProof/>
                <w:lang w:val="de-DE"/>
              </w:rPr>
              <w:t>Die Bescheinigungen über den Abschluss der Arbeiten werden für minde</w:t>
            </w:r>
            <w:r w:rsidRPr="00170422">
              <w:rPr>
                <w:noProof/>
                <w:lang w:val="de-DE"/>
              </w:rPr>
              <w:t>stens 700 Eingriffe ausgestellt, davon mindestens drei Schutzräume für Kunstwerke.</w:t>
            </w:r>
          </w:p>
        </w:tc>
      </w:tr>
      <w:tr w:rsidR="00744AB7" w:rsidRPr="00170422" w14:paraId="0DA051CB"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E1B75" w14:textId="77777777" w:rsidR="0057163C" w:rsidRPr="00170422" w:rsidRDefault="00F37BF9">
            <w:pPr>
              <w:pStyle w:val="P68B1DB1-Normal11"/>
              <w:jc w:val="center"/>
              <w:rPr>
                <w:noProof/>
                <w:szCs w:val="20"/>
                <w:lang w:val="de-DE"/>
              </w:rPr>
            </w:pPr>
            <w:r w:rsidRPr="00170422">
              <w:rPr>
                <w:noProof/>
                <w:lang w:val="de-DE"/>
              </w:rPr>
              <w:t>M1C3-20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2060B2" w14:textId="77777777" w:rsidR="0057163C" w:rsidRPr="00170422" w:rsidRDefault="00F37BF9">
            <w:pPr>
              <w:pStyle w:val="P68B1DB1-Normal11"/>
              <w:jc w:val="center"/>
              <w:rPr>
                <w:noProof/>
                <w:szCs w:val="20"/>
                <w:lang w:val="de-DE"/>
              </w:rPr>
            </w:pPr>
            <w:r w:rsidRPr="00170422">
              <w:rPr>
                <w:noProof/>
                <w:lang w:val="de-DE"/>
              </w:rPr>
              <w:t>Investition – 3.2 Entwicklung der Filmindustrie (Projekt Cinecittà)</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2A7CFC"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098DBD" w14:textId="77777777" w:rsidR="0057163C" w:rsidRPr="00170422" w:rsidRDefault="00F37BF9">
            <w:pPr>
              <w:pStyle w:val="P68B1DB1-Normal11"/>
              <w:jc w:val="center"/>
              <w:rPr>
                <w:noProof/>
                <w:szCs w:val="20"/>
                <w:lang w:val="de-DE"/>
              </w:rPr>
            </w:pPr>
            <w:r w:rsidRPr="00170422">
              <w:rPr>
                <w:noProof/>
                <w:lang w:val="de-DE"/>
              </w:rPr>
              <w:t xml:space="preserve">Unterzeichnung der Verträge zwischen der Durchführungsstelle Cinecittà SPA und den </w:t>
            </w:r>
            <w:r w:rsidRPr="00170422">
              <w:rPr>
                <w:noProof/>
                <w:lang w:val="de-DE"/>
              </w:rPr>
              <w:t>Unternehmen über den Bau von neun Studios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8F5C5C" w14:textId="77777777" w:rsidR="0057163C" w:rsidRPr="00170422" w:rsidRDefault="00F37BF9">
            <w:pPr>
              <w:pStyle w:val="P68B1DB1-Normal11"/>
              <w:jc w:val="center"/>
              <w:rPr>
                <w:noProof/>
                <w:szCs w:val="20"/>
                <w:lang w:val="de-DE"/>
              </w:rPr>
            </w:pPr>
            <w:r w:rsidRPr="00170422">
              <w:rPr>
                <w:noProof/>
                <w:lang w:val="de-DE"/>
              </w:rPr>
              <w:t>Unterzeichnung der Verträge</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D700F3" w14:textId="77777777" w:rsidR="0057163C" w:rsidRPr="00170422" w:rsidRDefault="00F37BF9">
            <w:pPr>
              <w:pStyle w:val="P68B1DB1-Normal11"/>
              <w:spacing w:before="120" w:after="120"/>
              <w:jc w:val="center"/>
              <w:rPr>
                <w:noProof/>
                <w:szCs w:val="20"/>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4C47B7" w14:textId="77777777" w:rsidR="0057163C" w:rsidRPr="00170422" w:rsidRDefault="00F37BF9">
            <w:pPr>
              <w:pStyle w:val="P68B1DB1-Normal11"/>
              <w:jc w:val="center"/>
              <w:rPr>
                <w:noProof/>
                <w:szCs w:val="20"/>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67FE5D" w14:textId="77777777" w:rsidR="0057163C" w:rsidRPr="00170422" w:rsidRDefault="00F37BF9">
            <w:pPr>
              <w:pStyle w:val="P68B1DB1-Normal11"/>
              <w:jc w:val="center"/>
              <w:rPr>
                <w:noProof/>
                <w:szCs w:val="20"/>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96092E"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EB09EB" w14:textId="77777777" w:rsidR="0057163C" w:rsidRPr="00170422" w:rsidRDefault="00F37BF9">
            <w:pPr>
              <w:pStyle w:val="P68B1DB1-Normal11"/>
              <w:jc w:val="center"/>
              <w:rPr>
                <w:noProof/>
                <w:szCs w:val="20"/>
                <w:lang w:val="de-DE"/>
              </w:rPr>
            </w:pPr>
            <w:r w:rsidRPr="00170422">
              <w:rPr>
                <w:noProof/>
                <w:lang w:val="de-DE"/>
              </w:rPr>
              <w:t>2023</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E85EE8" w14:textId="77777777" w:rsidR="0057163C" w:rsidRPr="00170422" w:rsidRDefault="00F37BF9">
            <w:pPr>
              <w:pStyle w:val="P68B1DB1-Normal11"/>
              <w:rPr>
                <w:noProof/>
                <w:szCs w:val="20"/>
                <w:lang w:val="de-DE"/>
              </w:rPr>
            </w:pPr>
            <w:r w:rsidRPr="00170422">
              <w:rPr>
                <w:noProof/>
                <w:lang w:val="de-DE"/>
              </w:rPr>
              <w:t xml:space="preserve">Unterzeichnung der Verträge zwischen der Durchführungsstelle Cinecittà SPA und den Unternehmen über den Bau von neun Studios. </w:t>
            </w:r>
          </w:p>
          <w:p w14:paraId="608D985C" w14:textId="77777777" w:rsidR="0057163C" w:rsidRPr="00170422" w:rsidRDefault="00F37BF9">
            <w:pPr>
              <w:pStyle w:val="P68B1DB1-Normal11"/>
              <w:rPr>
                <w:noProof/>
                <w:szCs w:val="20"/>
                <w:lang w:val="de-DE"/>
              </w:rPr>
            </w:pPr>
            <w:r w:rsidRPr="00170422">
              <w:rPr>
                <w:noProof/>
                <w:lang w:val="de-DE"/>
              </w:rPr>
              <w:t>Diese Maßnahme umfass</w:t>
            </w:r>
            <w:r w:rsidRPr="00170422">
              <w:rPr>
                <w:noProof/>
                <w:lang w:val="de-DE"/>
              </w:rPr>
              <w:t>t den Bau neuer Studios, die Wiederherstellung bestehender Studios, Investitionen in neue digitale Technologien, Systeme und Dienstleistungen zur Stärkung der Filmstudios von Cinecittà, die von Cinecittà SPA verwaltet werden.</w:t>
            </w:r>
          </w:p>
          <w:p w14:paraId="331AF676" w14:textId="77777777" w:rsidR="0057163C" w:rsidRPr="00170422" w:rsidRDefault="00F37BF9">
            <w:pPr>
              <w:pStyle w:val="P68B1DB1-Normal11"/>
              <w:rPr>
                <w:noProof/>
                <w:szCs w:val="20"/>
                <w:lang w:val="de-DE"/>
              </w:rPr>
            </w:pPr>
            <w:r w:rsidRPr="00170422">
              <w:rPr>
                <w:noProof/>
                <w:lang w:val="de-DE"/>
              </w:rPr>
              <w:t>Der Vertrag zwischen der Durch</w:t>
            </w:r>
            <w:r w:rsidRPr="00170422">
              <w:rPr>
                <w:noProof/>
                <w:lang w:val="de-DE"/>
              </w:rPr>
              <w:t>führungsstelle Cinecittà SPA und den Unternehmen enthält Auswahlkriterien/Förderkriterien für die Einhaltung der Technischen Leitlinien für die Anwendung des Grundsatzes der „Vermeidung erheblicher Beeinträchtigungen“ (2021/C 58/01) für geförderte Vermögen</w:t>
            </w:r>
            <w:r w:rsidRPr="00170422">
              <w:rPr>
                <w:noProof/>
                <w:lang w:val="de-DE"/>
              </w:rPr>
              <w:t>swerte/Tätigkeiten und/oder Unternehmen.</w:t>
            </w:r>
          </w:p>
          <w:p w14:paraId="2C6DDC11" w14:textId="77777777" w:rsidR="0057163C" w:rsidRPr="00170422" w:rsidRDefault="00F37BF9">
            <w:pPr>
              <w:pStyle w:val="P68B1DB1-Normal11"/>
              <w:rPr>
                <w:noProof/>
                <w:lang w:val="de-DE"/>
              </w:rPr>
            </w:pPr>
            <w:r w:rsidRPr="00170422">
              <w:rPr>
                <w:noProof/>
                <w:lang w:val="de-DE"/>
              </w:rPr>
              <w:t xml:space="preserve">Verpflichtung/Ziel, 20 % in Vermögenswerte/Tätigkeiten und/oder Unternehmen, die die Auswahlkriterien für die digitale Markierung erfüllen, und 70 % in Auswahlkriterien für die Verfolgung klimabezogener Ausgaben zu </w:t>
            </w:r>
            <w:r w:rsidRPr="00170422">
              <w:rPr>
                <w:noProof/>
                <w:lang w:val="de-DE"/>
              </w:rPr>
              <w:t>investieren.</w:t>
            </w:r>
          </w:p>
        </w:tc>
      </w:tr>
      <w:tr w:rsidR="00744AB7" w:rsidRPr="00170422" w14:paraId="556F0A5D"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E9583" w14:textId="77777777" w:rsidR="0057163C" w:rsidRPr="00170422" w:rsidRDefault="00F37BF9">
            <w:pPr>
              <w:pStyle w:val="P68B1DB1-Normal11"/>
              <w:jc w:val="center"/>
              <w:rPr>
                <w:noProof/>
                <w:szCs w:val="20"/>
                <w:lang w:val="de-DE"/>
              </w:rPr>
            </w:pPr>
            <w:r w:rsidRPr="00170422">
              <w:rPr>
                <w:noProof/>
                <w:lang w:val="de-DE"/>
              </w:rPr>
              <w:t>M1C3-21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F6AA857" w14:textId="77777777" w:rsidR="0057163C" w:rsidRPr="00170422" w:rsidRDefault="00F37BF9">
            <w:pPr>
              <w:pStyle w:val="P68B1DB1-Normal12"/>
              <w:jc w:val="center"/>
              <w:rPr>
                <w:noProof/>
                <w:lang w:val="de-DE"/>
              </w:rPr>
            </w:pPr>
            <w:r w:rsidRPr="00170422">
              <w:rPr>
                <w:noProof/>
                <w:lang w:val="de-DE"/>
              </w:rPr>
              <w:t>Investition – 3.2 Entwicklung der Filmindustrie (Projekt Cinecittà)</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C90513" w14:textId="77777777" w:rsidR="0057163C" w:rsidRPr="00170422" w:rsidRDefault="00F37BF9">
            <w:pPr>
              <w:pStyle w:val="P68B1DB1-Normal12"/>
              <w:jc w:val="center"/>
              <w:rPr>
                <w:noProof/>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D459DB" w14:textId="77777777" w:rsidR="0057163C" w:rsidRPr="00170422" w:rsidRDefault="00F37BF9">
            <w:pPr>
              <w:pStyle w:val="P68B1DB1-Normal12"/>
              <w:jc w:val="center"/>
              <w:rPr>
                <w:noProof/>
                <w:lang w:val="de-DE"/>
              </w:rPr>
            </w:pPr>
            <w:r w:rsidRPr="00170422">
              <w:rPr>
                <w:noProof/>
                <w:lang w:val="de-DE"/>
              </w:rPr>
              <w:t>Anzahl der errichteten oder renovierten Studios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08809FE" w14:textId="77777777" w:rsidR="0057163C" w:rsidRPr="00170422" w:rsidRDefault="00F37BF9">
            <w:pPr>
              <w:pStyle w:val="P68B1DB1-Normal11"/>
              <w:jc w:val="center"/>
              <w:rPr>
                <w:noProof/>
                <w:szCs w:val="20"/>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F40A2D" w14:textId="77777777" w:rsidR="0057163C" w:rsidRPr="00170422" w:rsidRDefault="00F37BF9">
            <w:pPr>
              <w:pStyle w:val="P68B1DB1-Normal11"/>
              <w:jc w:val="center"/>
              <w:rPr>
                <w:noProof/>
                <w:szCs w:val="20"/>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6371CF7" w14:textId="77777777" w:rsidR="0057163C" w:rsidRPr="00170422" w:rsidRDefault="00F37BF9">
            <w:pPr>
              <w:pStyle w:val="P68B1DB1-Normal11"/>
              <w:jc w:val="center"/>
              <w:rPr>
                <w:noProof/>
                <w:szCs w:val="20"/>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B5F078B" w14:textId="77777777" w:rsidR="0057163C" w:rsidRPr="00170422" w:rsidRDefault="00F37BF9">
            <w:pPr>
              <w:pStyle w:val="P68B1DB1-Normal11"/>
              <w:jc w:val="center"/>
              <w:rPr>
                <w:noProof/>
                <w:szCs w:val="20"/>
                <w:lang w:val="de-DE"/>
              </w:rPr>
            </w:pPr>
            <w:r w:rsidRPr="00170422">
              <w:rPr>
                <w:noProof/>
                <w:lang w:val="de-DE"/>
              </w:rPr>
              <w:t>9</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B15B35" w14:textId="77777777" w:rsidR="0057163C" w:rsidRPr="00170422" w:rsidRDefault="00F37BF9">
            <w:pPr>
              <w:pStyle w:val="P68B1DB1-Normal12"/>
              <w:jc w:val="center"/>
              <w:rPr>
                <w:noProof/>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04AF89" w14:textId="77777777" w:rsidR="0057163C" w:rsidRPr="00170422" w:rsidRDefault="00F37BF9">
            <w:pPr>
              <w:pStyle w:val="P68B1DB1-Normal12"/>
              <w:jc w:val="center"/>
              <w:rPr>
                <w:noProof/>
                <w:lang w:val="de-DE"/>
              </w:rPr>
            </w:pPr>
            <w:r w:rsidRPr="00170422">
              <w:rPr>
                <w:noProof/>
                <w:lang w:val="de-DE"/>
              </w:rPr>
              <w:t>2026</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CEE5D9" w14:textId="714D04B0" w:rsidR="0057163C" w:rsidRPr="00170422" w:rsidRDefault="00F37BF9">
            <w:pPr>
              <w:pStyle w:val="P68B1DB1-Normal12"/>
              <w:spacing w:line="257" w:lineRule="auto"/>
              <w:rPr>
                <w:noProof/>
                <w:lang w:val="de-DE"/>
              </w:rPr>
            </w:pPr>
            <w:r w:rsidRPr="00170422">
              <w:rPr>
                <w:noProof/>
                <w:lang w:val="de-DE"/>
              </w:rPr>
              <w:t xml:space="preserve">Für den Bau oder die Renovierung von mindestens neun Studios werden Bescheinigungen über den Abschluss der Arbeiten ausgestellt. </w:t>
            </w:r>
          </w:p>
          <w:p w14:paraId="4C2C2AB4" w14:textId="794EB0E4" w:rsidR="0057163C" w:rsidRPr="00170422" w:rsidRDefault="00F37BF9">
            <w:pPr>
              <w:spacing w:line="257" w:lineRule="auto"/>
              <w:rPr>
                <w:rFonts w:ascii="Arial Narrow" w:hAnsi="Arial Narrow"/>
                <w:noProof/>
                <w:color w:val="006100"/>
                <w:sz w:val="20"/>
                <w:szCs w:val="20"/>
                <w:lang w:val="de-DE"/>
              </w:rPr>
            </w:pPr>
            <w:r w:rsidRPr="00170422">
              <w:rPr>
                <w:rFonts w:ascii="Arial Narrow" w:hAnsi="Arial Narrow"/>
                <w:noProof/>
                <w:color w:val="006100"/>
                <w:sz w:val="20"/>
                <w:szCs w:val="20"/>
                <w:lang w:val="de-DE"/>
              </w:rPr>
              <w:t>Lieferung von Waren, Dienstleistungen und Bauarbeiten für das Zentrum für experimentelle Kinematografie in den folgenden Linie</w:t>
            </w:r>
            <w:r w:rsidRPr="00170422">
              <w:rPr>
                <w:rFonts w:ascii="Arial Narrow" w:hAnsi="Arial Narrow"/>
                <w:noProof/>
                <w:color w:val="006100"/>
                <w:sz w:val="20"/>
                <w:szCs w:val="20"/>
                <w:lang w:val="de-DE"/>
              </w:rPr>
              <w:t>n:</w:t>
            </w:r>
            <w:r w:rsidRPr="00170422">
              <w:rPr>
                <w:noProof/>
                <w:lang w:val="de-DE"/>
              </w:rPr>
              <w:t xml:space="preserve"> I</w:t>
            </w:r>
            <w:r w:rsidRPr="00170422">
              <w:rPr>
                <w:rFonts w:ascii="Arial Narrow" w:hAnsi="Arial Narrow"/>
                <w:noProof/>
                <w:color w:val="006100"/>
                <w:sz w:val="20"/>
                <w:szCs w:val="20"/>
                <w:lang w:val="de-DE"/>
              </w:rPr>
              <w:t>) Erstellung eines virtuellen Live-Sets; II) E-Learning-Plattform für Kinofilme; III) Digitalisierung von Lern- und Lehrtätigkeiten; IV) Digitalisierung und Erhaltung des audiovisuellen Erbes.</w:t>
            </w:r>
          </w:p>
        </w:tc>
      </w:tr>
      <w:tr w:rsidR="00744AB7" w:rsidRPr="00170422" w14:paraId="0E694112"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ED7CDC" w14:textId="77777777" w:rsidR="0057163C" w:rsidRPr="00170422" w:rsidRDefault="00F37BF9">
            <w:pPr>
              <w:pStyle w:val="P68B1DB1-Normal11"/>
              <w:jc w:val="center"/>
              <w:rPr>
                <w:noProof/>
                <w:lang w:val="de-DE"/>
              </w:rPr>
            </w:pPr>
            <w:r w:rsidRPr="00170422">
              <w:rPr>
                <w:noProof/>
                <w:lang w:val="de-DE"/>
              </w:rPr>
              <w:t>M1C3-22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DBCD0D" w14:textId="5AE50A78" w:rsidR="0057163C" w:rsidRPr="00170422" w:rsidRDefault="00F37BF9">
            <w:pPr>
              <w:pStyle w:val="P68B1DB1-Normal11"/>
              <w:jc w:val="center"/>
              <w:rPr>
                <w:noProof/>
                <w:szCs w:val="20"/>
                <w:lang w:val="de-DE"/>
              </w:rPr>
            </w:pPr>
            <w:r w:rsidRPr="00170422">
              <w:rPr>
                <w:noProof/>
                <w:lang w:val="de-DE"/>
              </w:rPr>
              <w:t xml:space="preserve">Investitionen 4.2 Fonds für die </w:t>
            </w:r>
            <w:r w:rsidRPr="00170422">
              <w:rPr>
                <w:noProof/>
                <w:lang w:val="de-DE"/>
              </w:rPr>
              <w:t>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6505A"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D556470" w14:textId="77777777" w:rsidR="0057163C" w:rsidRPr="00170422" w:rsidRDefault="00F37BF9">
            <w:pPr>
              <w:pStyle w:val="P68B1DB1-Normal11"/>
              <w:jc w:val="center"/>
              <w:rPr>
                <w:noProof/>
                <w:szCs w:val="20"/>
                <w:lang w:val="de-DE"/>
              </w:rPr>
            </w:pPr>
            <w:r w:rsidRPr="00170422">
              <w:rPr>
                <w:noProof/>
                <w:lang w:val="de-DE"/>
              </w:rPr>
              <w:t>Investitionspolitik für:</w:t>
            </w:r>
          </w:p>
          <w:p w14:paraId="6FFAEB0F" w14:textId="1FCF9050" w:rsidR="0057163C" w:rsidRPr="00170422" w:rsidRDefault="00F37BF9">
            <w:pPr>
              <w:pStyle w:val="P68B1DB1-Normal11"/>
              <w:jc w:val="center"/>
              <w:rPr>
                <w:noProof/>
                <w:szCs w:val="20"/>
                <w:lang w:val="de-DE"/>
              </w:rPr>
            </w:pPr>
            <w:r w:rsidRPr="00170422">
              <w:rPr>
                <w:noProof/>
                <w:lang w:val="de-DE"/>
              </w:rPr>
              <w:t>thematischer Fonds der Europäischen Investitionsbank;</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8189E81" w14:textId="77777777" w:rsidR="0057163C" w:rsidRPr="00170422" w:rsidRDefault="00F37BF9">
            <w:pPr>
              <w:pStyle w:val="P68B1DB1-Normal11"/>
              <w:jc w:val="center"/>
              <w:rPr>
                <w:noProof/>
                <w:lang w:val="de-DE"/>
              </w:rPr>
            </w:pPr>
            <w:r w:rsidRPr="00170422">
              <w:rPr>
                <w:noProof/>
                <w:lang w:val="de-DE"/>
              </w:rPr>
              <w:t>Annahme der Investitionspolitik</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857EAD" w14:textId="77777777" w:rsidR="0057163C" w:rsidRPr="00170422" w:rsidRDefault="00F37BF9">
            <w:pPr>
              <w:pStyle w:val="P68B1DB1-Normal11"/>
              <w:jc w:val="center"/>
              <w:rPr>
                <w:noProof/>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3597516" w14:textId="77777777" w:rsidR="0057163C" w:rsidRPr="00170422" w:rsidRDefault="00F37BF9">
            <w:pPr>
              <w:pStyle w:val="P68B1DB1-Normal11"/>
              <w:jc w:val="center"/>
              <w:rPr>
                <w:noProof/>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ED9659" w14:textId="77777777" w:rsidR="0057163C" w:rsidRPr="00170422" w:rsidRDefault="00F37BF9">
            <w:pPr>
              <w:pStyle w:val="P68B1DB1-Normal11"/>
              <w:jc w:val="center"/>
              <w:rPr>
                <w:noProof/>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ADA780"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2FFCB2B" w14:textId="77777777" w:rsidR="0057163C" w:rsidRPr="00170422" w:rsidRDefault="00F37BF9">
            <w:pPr>
              <w:pStyle w:val="P68B1DB1-Normal11"/>
              <w:jc w:val="center"/>
              <w:rPr>
                <w:noProof/>
                <w:szCs w:val="20"/>
                <w:lang w:val="de-DE"/>
              </w:rPr>
            </w:pPr>
            <w:r w:rsidRPr="00170422">
              <w:rPr>
                <w:noProof/>
                <w:lang w:val="de-DE"/>
              </w:rPr>
              <w:t>2021</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21F927" w14:textId="77777777" w:rsidR="0057163C" w:rsidRPr="00170422" w:rsidRDefault="00F37BF9">
            <w:pPr>
              <w:pStyle w:val="P68B1DB1-Normal12"/>
              <w:spacing w:line="257" w:lineRule="auto"/>
              <w:rPr>
                <w:noProof/>
                <w:lang w:val="de-DE"/>
              </w:rPr>
            </w:pPr>
            <w:r w:rsidRPr="00170422">
              <w:rPr>
                <w:noProof/>
                <w:lang w:val="de-DE"/>
              </w:rPr>
              <w:t xml:space="preserve">In der Anlagepolitik wird mindestens </w:t>
            </w:r>
            <w:r w:rsidRPr="00170422">
              <w:rPr>
                <w:noProof/>
                <w:lang w:val="de-DE"/>
              </w:rPr>
              <w:t>Folgendes festgelegt: die Art, den Umfang und die unterstützten Vorhaben, die zu unterstützenden Begünstigten, die Förderkriterien der finanziellen Begünstigten und ihre Auswahl im Rahmen einer offenen Aufforderung zur Einreichung von Vorschlägen; und Best</w:t>
            </w:r>
            <w:r w:rsidRPr="00170422">
              <w:rPr>
                <w:noProof/>
                <w:lang w:val="de-DE"/>
              </w:rPr>
              <w:t>immungen zur Reinvestition potenzieller Rückflüsse für dieselben politischen Ziele.</w:t>
            </w:r>
          </w:p>
          <w:p w14:paraId="1460206B" w14:textId="7B7AE3EE" w:rsidR="0057163C" w:rsidRPr="00170422" w:rsidRDefault="00F37BF9">
            <w:pPr>
              <w:pStyle w:val="P68B1DB1-Normal12"/>
              <w:spacing w:line="257" w:lineRule="auto"/>
              <w:rPr>
                <w:noProof/>
                <w:lang w:val="de-DE"/>
              </w:rPr>
            </w:pPr>
            <w:r w:rsidRPr="00170422">
              <w:rPr>
                <w:noProof/>
                <w:lang w:val="de-DE"/>
              </w:rPr>
              <w:t>Die Investitionspolitik sieht vor, dass 50 % des Fonds für Energieeffizienzmaßnahmen bestimmt sind.</w:t>
            </w:r>
          </w:p>
          <w:p w14:paraId="46C854C7" w14:textId="77777777" w:rsidR="0057163C" w:rsidRPr="00170422" w:rsidRDefault="00F37BF9">
            <w:pPr>
              <w:pStyle w:val="P68B1DB1-Normal12"/>
              <w:spacing w:line="257" w:lineRule="auto"/>
              <w:rPr>
                <w:noProof/>
                <w:lang w:val="de-DE"/>
              </w:rPr>
            </w:pPr>
            <w:r w:rsidRPr="00170422">
              <w:rPr>
                <w:noProof/>
                <w:lang w:val="de-DE"/>
              </w:rPr>
              <w:t xml:space="preserve">Die Investitionspolitik umfasst Auswahlkriterien, um die Einhaltung der </w:t>
            </w:r>
            <w:r w:rsidRPr="00170422">
              <w:rPr>
                <w:noProof/>
                <w:lang w:val="de-DE"/>
              </w:rPr>
              <w:t>technischen Leitlinien „Vermeidung erheblicher Beeinträchtigungen“ (2021/C58/01) der im Rahmen dieser Maßnahme unterstützten Transaktionen durch die Verwendung einer Nachhaltigkeitsprüfung, einer Ausschlussliste und der Anforderung der Einhaltung der einsc</w:t>
            </w:r>
            <w:r w:rsidRPr="00170422">
              <w:rPr>
                <w:noProof/>
                <w:lang w:val="de-DE"/>
              </w:rPr>
              <w:t>hlägigen Umweltvorschriften der EU und der Mitgliedstaaten sicherzustellen.</w:t>
            </w:r>
          </w:p>
        </w:tc>
      </w:tr>
      <w:tr w:rsidR="00744AB7" w:rsidRPr="00170422" w14:paraId="121B83FE"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6F1FCCB" w14:textId="77777777" w:rsidR="0057163C" w:rsidRPr="00170422" w:rsidRDefault="00F37BF9">
            <w:pPr>
              <w:pStyle w:val="P68B1DB1-Normal11"/>
              <w:jc w:val="center"/>
              <w:rPr>
                <w:noProof/>
                <w:lang w:val="de-DE"/>
              </w:rPr>
            </w:pPr>
            <w:r w:rsidRPr="00170422">
              <w:rPr>
                <w:noProof/>
                <w:lang w:val="de-DE"/>
              </w:rPr>
              <w:t>M1C3-23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C7BECDC" w14:textId="450899BA" w:rsidR="0057163C" w:rsidRPr="00170422" w:rsidRDefault="00F37BF9">
            <w:pPr>
              <w:pStyle w:val="P68B1DB1-Normal11"/>
              <w:jc w:val="center"/>
              <w:rPr>
                <w:noProof/>
                <w:szCs w:val="20"/>
                <w:lang w:val="de-DE"/>
              </w:rPr>
            </w:pPr>
            <w:r w:rsidRPr="00170422">
              <w:rPr>
                <w:noProof/>
                <w:lang w:val="de-DE"/>
              </w:rPr>
              <w:t>Investition 4.2: Mittel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3A8A29"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349B8" w14:textId="77777777" w:rsidR="0057163C" w:rsidRPr="00170422" w:rsidRDefault="00F37BF9">
            <w:pPr>
              <w:pStyle w:val="P68B1DB1-Normal11"/>
              <w:jc w:val="center"/>
              <w:rPr>
                <w:noProof/>
                <w:szCs w:val="20"/>
                <w:lang w:val="de-DE"/>
              </w:rPr>
            </w:pPr>
            <w:r w:rsidRPr="00170422">
              <w:rPr>
                <w:noProof/>
                <w:lang w:val="de-DE"/>
              </w:rPr>
              <w:t>Investitionspolitik für den Nationalen Tourismusfonds,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5BFF761" w14:textId="77777777" w:rsidR="0057163C" w:rsidRPr="00170422" w:rsidRDefault="00F37BF9">
            <w:pPr>
              <w:pStyle w:val="P68B1DB1-Normal11"/>
              <w:jc w:val="center"/>
              <w:rPr>
                <w:noProof/>
                <w:lang w:val="de-DE"/>
              </w:rPr>
            </w:pPr>
            <w:r w:rsidRPr="00170422">
              <w:rPr>
                <w:noProof/>
                <w:lang w:val="de-DE"/>
              </w:rPr>
              <w:t xml:space="preserve">Annahme der </w:t>
            </w:r>
            <w:r w:rsidRPr="00170422">
              <w:rPr>
                <w:noProof/>
                <w:lang w:val="de-DE"/>
              </w:rPr>
              <w:t>Investitionspolitik</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820E6B" w14:textId="77777777" w:rsidR="0057163C" w:rsidRPr="00170422" w:rsidRDefault="00F37BF9">
            <w:pPr>
              <w:pStyle w:val="P68B1DB1-Normal11"/>
              <w:jc w:val="center"/>
              <w:rPr>
                <w:noProof/>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6FF1F8" w14:textId="77777777" w:rsidR="0057163C" w:rsidRPr="00170422" w:rsidRDefault="00F37BF9">
            <w:pPr>
              <w:pStyle w:val="P68B1DB1-Normal11"/>
              <w:jc w:val="center"/>
              <w:rPr>
                <w:noProof/>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A27B6D" w14:textId="77777777" w:rsidR="0057163C" w:rsidRPr="00170422" w:rsidRDefault="00F37BF9">
            <w:pPr>
              <w:pStyle w:val="P68B1DB1-Normal11"/>
              <w:jc w:val="center"/>
              <w:rPr>
                <w:noProof/>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65F79E"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D914E7" w14:textId="77777777" w:rsidR="0057163C" w:rsidRPr="00170422" w:rsidRDefault="00F37BF9">
            <w:pPr>
              <w:pStyle w:val="P68B1DB1-Normal11"/>
              <w:jc w:val="center"/>
              <w:rPr>
                <w:noProof/>
                <w:szCs w:val="20"/>
                <w:lang w:val="de-DE"/>
              </w:rPr>
            </w:pPr>
            <w:r w:rsidRPr="00170422">
              <w:rPr>
                <w:noProof/>
                <w:lang w:val="de-DE"/>
              </w:rPr>
              <w:t>2021</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03DE13" w14:textId="77777777" w:rsidR="0057163C" w:rsidRPr="00170422" w:rsidRDefault="00F37BF9">
            <w:pPr>
              <w:pStyle w:val="P68B1DB1-Normal11"/>
              <w:rPr>
                <w:noProof/>
                <w:szCs w:val="20"/>
                <w:lang w:val="de-DE"/>
              </w:rPr>
            </w:pPr>
            <w:r w:rsidRPr="00170422">
              <w:rPr>
                <w:noProof/>
                <w:lang w:val="de-DE"/>
              </w:rPr>
              <w:t>Der Fonds ist für den Erwerb, die Umstrukturierung und die Umschulung italienischer Immobilien bestimmt, um die Entwicklung des Tourismus in den am stärksten von der Krise betroffenen Gebiet</w:t>
            </w:r>
            <w:r w:rsidRPr="00170422">
              <w:rPr>
                <w:noProof/>
                <w:lang w:val="de-DE"/>
              </w:rPr>
              <w:t xml:space="preserve">en oder Randgebieten (Küstengebiete, kleinere Inseln, Gebiete in äußerster Randlage sowie ländliche Gebiete und Berggebiete) zu unterstützen. </w:t>
            </w:r>
          </w:p>
          <w:p w14:paraId="556B57FE" w14:textId="77777777" w:rsidR="0057163C" w:rsidRPr="00170422" w:rsidRDefault="00F37BF9">
            <w:pPr>
              <w:pStyle w:val="P68B1DB1-Normal11"/>
              <w:spacing w:line="257" w:lineRule="auto"/>
              <w:rPr>
                <w:noProof/>
                <w:szCs w:val="20"/>
                <w:lang w:val="de-DE"/>
              </w:rPr>
            </w:pPr>
            <w:r w:rsidRPr="00170422">
              <w:rPr>
                <w:noProof/>
                <w:lang w:val="de-DE"/>
              </w:rPr>
              <w:t>Die Investitionspolitik umfasst Auswahlkriterien, um die Einhaltung der technischen Leitlinien „Vermeidung erhebl</w:t>
            </w:r>
            <w:r w:rsidRPr="00170422">
              <w:rPr>
                <w:noProof/>
                <w:lang w:val="de-DE"/>
              </w:rPr>
              <w:t>icher Beeinträchtigungen“ (2021/C58/01) der im Rahmen dieser Maßnahme unterstützten Transaktionen durch die Verwendung einer Nachhaltigkeitsprüfung, einer Ausschlussliste und der Anforderung der Einhaltung der einschlägigen Umweltvorschriften der EU und de</w:t>
            </w:r>
            <w:r w:rsidRPr="00170422">
              <w:rPr>
                <w:noProof/>
                <w:lang w:val="de-DE"/>
              </w:rPr>
              <w:t>r Mitgliedstaaten sicherzustellen.</w:t>
            </w:r>
          </w:p>
        </w:tc>
      </w:tr>
      <w:tr w:rsidR="00744AB7" w:rsidRPr="00170422" w14:paraId="1292A384"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A35D26" w14:textId="77777777" w:rsidR="0057163C" w:rsidRPr="00170422" w:rsidRDefault="00F37BF9">
            <w:pPr>
              <w:pStyle w:val="P68B1DB1-Normal11"/>
              <w:jc w:val="center"/>
              <w:rPr>
                <w:noProof/>
                <w:lang w:val="de-DE"/>
              </w:rPr>
            </w:pPr>
            <w:r w:rsidRPr="00170422">
              <w:rPr>
                <w:noProof/>
                <w:lang w:val="de-DE"/>
              </w:rPr>
              <w:t>M1C3-24</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A394548" w14:textId="75FE4C29" w:rsidR="0057163C" w:rsidRPr="00170422" w:rsidRDefault="00F37BF9">
            <w:pPr>
              <w:pStyle w:val="P68B1DB1-Normal11"/>
              <w:jc w:val="center"/>
              <w:rPr>
                <w:noProof/>
                <w:szCs w:val="20"/>
                <w:lang w:val="de-DE"/>
              </w:rPr>
            </w:pPr>
            <w:r w:rsidRPr="00170422">
              <w:rPr>
                <w:noProof/>
                <w:lang w:val="de-DE"/>
              </w:rPr>
              <w:t>Investitionen 4.2 Fonds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223CA21"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20E07D8" w14:textId="77777777" w:rsidR="0057163C" w:rsidRPr="00170422" w:rsidRDefault="00F37BF9">
            <w:pPr>
              <w:pStyle w:val="P68B1DB1-Normal11"/>
              <w:jc w:val="center"/>
              <w:rPr>
                <w:noProof/>
                <w:szCs w:val="20"/>
                <w:lang w:val="de-DE"/>
              </w:rPr>
            </w:pPr>
            <w:r w:rsidRPr="00170422">
              <w:rPr>
                <w:noProof/>
                <w:lang w:val="de-DE"/>
              </w:rPr>
              <w:t>Investitionspolitik für: KMU-Garantiefonds,</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F4F9141" w14:textId="77777777" w:rsidR="0057163C" w:rsidRPr="00170422" w:rsidRDefault="00F37BF9">
            <w:pPr>
              <w:pStyle w:val="P68B1DB1-Normal11"/>
              <w:jc w:val="center"/>
              <w:rPr>
                <w:noProof/>
                <w:lang w:val="de-DE"/>
              </w:rPr>
            </w:pPr>
            <w:r w:rsidRPr="00170422">
              <w:rPr>
                <w:noProof/>
                <w:lang w:val="de-DE"/>
              </w:rPr>
              <w:t>Annahme der Investitionspolitik</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A8455C3" w14:textId="77777777" w:rsidR="0057163C" w:rsidRPr="00170422" w:rsidRDefault="00F37BF9">
            <w:pPr>
              <w:pStyle w:val="P68B1DB1-Normal11"/>
              <w:jc w:val="center"/>
              <w:rPr>
                <w:noProof/>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DB0105" w14:textId="77777777" w:rsidR="0057163C" w:rsidRPr="00170422" w:rsidRDefault="00F37BF9">
            <w:pPr>
              <w:pStyle w:val="P68B1DB1-Normal11"/>
              <w:jc w:val="center"/>
              <w:rPr>
                <w:noProof/>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9C2D4DC" w14:textId="77777777" w:rsidR="0057163C" w:rsidRPr="00170422" w:rsidRDefault="00F37BF9">
            <w:pPr>
              <w:pStyle w:val="P68B1DB1-Normal11"/>
              <w:jc w:val="center"/>
              <w:rPr>
                <w:noProof/>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6CF707"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4DB217" w14:textId="77777777" w:rsidR="0057163C" w:rsidRPr="00170422" w:rsidRDefault="00F37BF9">
            <w:pPr>
              <w:pStyle w:val="P68B1DB1-Normal11"/>
              <w:jc w:val="center"/>
              <w:rPr>
                <w:noProof/>
                <w:szCs w:val="20"/>
                <w:lang w:val="de-DE"/>
              </w:rPr>
            </w:pPr>
            <w:r w:rsidRPr="00170422">
              <w:rPr>
                <w:noProof/>
                <w:lang w:val="de-DE"/>
              </w:rPr>
              <w:t>2021</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60196" w14:textId="34872376" w:rsidR="0057163C" w:rsidRPr="00170422" w:rsidRDefault="00F37BF9">
            <w:pPr>
              <w:pStyle w:val="P68B1DB1-Normal11"/>
              <w:rPr>
                <w:noProof/>
                <w:szCs w:val="20"/>
                <w:lang w:val="de-DE"/>
              </w:rPr>
            </w:pPr>
            <w:r w:rsidRPr="00170422">
              <w:rPr>
                <w:noProof/>
                <w:lang w:val="de-DE"/>
              </w:rPr>
              <w:t>Die Investitionspolitik sieht vor, dass 50 % des Fonds für Energieeffizienzmaßnahmen bestimmt sind.</w:t>
            </w:r>
          </w:p>
          <w:p w14:paraId="25679A2E" w14:textId="77777777" w:rsidR="0057163C" w:rsidRPr="00170422" w:rsidRDefault="00F37BF9">
            <w:pPr>
              <w:pStyle w:val="P68B1DB1-Normal11"/>
              <w:spacing w:line="257" w:lineRule="auto"/>
              <w:rPr>
                <w:noProof/>
                <w:szCs w:val="20"/>
                <w:lang w:val="de-DE"/>
              </w:rPr>
            </w:pPr>
            <w:r w:rsidRPr="00170422">
              <w:rPr>
                <w:noProof/>
                <w:lang w:val="de-DE"/>
              </w:rPr>
              <w:t>Die Investitionspolitik umfasst Auswahlkriterien, um die Einhaltung der technischen Leitlinien „Vermeidung erheblicher Beeinträchtigungen“ (2021/C58/01) der</w:t>
            </w:r>
            <w:r w:rsidRPr="00170422">
              <w:rPr>
                <w:noProof/>
                <w:lang w:val="de-DE"/>
              </w:rPr>
              <w:t xml:space="preserve"> im Rahmen dieser Maßnahme unterstützten Transaktionen durch die Verwendung einer Nachhaltigkeitsprüfung, einer Ausschlussliste und der Anforderung der Einhaltung der einschlägigen Umweltvorschriften der EU und der Mitgliedstaaten sicherzustellen.</w:t>
            </w:r>
          </w:p>
        </w:tc>
      </w:tr>
      <w:tr w:rsidR="00744AB7" w:rsidRPr="00170422" w14:paraId="5EE8F5C9"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97B966" w14:textId="77777777" w:rsidR="0057163C" w:rsidRPr="00170422" w:rsidRDefault="00F37BF9">
            <w:pPr>
              <w:pStyle w:val="P68B1DB1-Normal11"/>
              <w:jc w:val="center"/>
              <w:rPr>
                <w:noProof/>
                <w:lang w:val="de-DE"/>
              </w:rPr>
            </w:pPr>
            <w:r w:rsidRPr="00170422">
              <w:rPr>
                <w:noProof/>
                <w:lang w:val="de-DE"/>
              </w:rPr>
              <w:t>M1C3-25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B04B9B" w14:textId="5B7A3998" w:rsidR="0057163C" w:rsidRPr="00170422" w:rsidRDefault="00F37BF9">
            <w:pPr>
              <w:pStyle w:val="P68B1DB1-Normal11"/>
              <w:jc w:val="center"/>
              <w:rPr>
                <w:noProof/>
                <w:szCs w:val="20"/>
                <w:lang w:val="de-DE"/>
              </w:rPr>
            </w:pPr>
            <w:r w:rsidRPr="00170422">
              <w:rPr>
                <w:noProof/>
                <w:lang w:val="de-DE"/>
              </w:rPr>
              <w:t>Investition 4.2: Mittel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515313"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ECCA9B" w14:textId="77777777" w:rsidR="0057163C" w:rsidRPr="00170422" w:rsidRDefault="00F37BF9">
            <w:pPr>
              <w:pStyle w:val="P68B1DB1-Normal11"/>
              <w:jc w:val="center"/>
              <w:rPr>
                <w:noProof/>
                <w:szCs w:val="20"/>
                <w:lang w:val="de-DE"/>
              </w:rPr>
            </w:pPr>
            <w:r w:rsidRPr="00170422">
              <w:rPr>
                <w:noProof/>
                <w:lang w:val="de-DE"/>
              </w:rPr>
              <w:t>Investitionspolitik für den Fondo Rotativo</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02579D1" w14:textId="77777777" w:rsidR="0057163C" w:rsidRPr="00170422" w:rsidRDefault="00F37BF9">
            <w:pPr>
              <w:pStyle w:val="P68B1DB1-Normal11"/>
              <w:jc w:val="center"/>
              <w:rPr>
                <w:noProof/>
                <w:lang w:val="de-DE"/>
              </w:rPr>
            </w:pPr>
            <w:r w:rsidRPr="00170422">
              <w:rPr>
                <w:noProof/>
                <w:lang w:val="de-DE"/>
              </w:rPr>
              <w:t>Annahme der Investitionspolitik</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8BF3B24" w14:textId="77777777" w:rsidR="0057163C" w:rsidRPr="00170422" w:rsidRDefault="00F37BF9">
            <w:pPr>
              <w:pStyle w:val="P68B1DB1-Normal11"/>
              <w:jc w:val="center"/>
              <w:rPr>
                <w:noProof/>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4CA359" w14:textId="77777777" w:rsidR="0057163C" w:rsidRPr="00170422" w:rsidRDefault="00F37BF9">
            <w:pPr>
              <w:pStyle w:val="P68B1DB1-Normal11"/>
              <w:jc w:val="center"/>
              <w:rPr>
                <w:noProof/>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39447" w14:textId="77777777" w:rsidR="0057163C" w:rsidRPr="00170422" w:rsidRDefault="00F37BF9">
            <w:pPr>
              <w:pStyle w:val="P68B1DB1-Normal11"/>
              <w:jc w:val="center"/>
              <w:rPr>
                <w:noProof/>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FC46E0"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37EC79" w14:textId="77777777" w:rsidR="0057163C" w:rsidRPr="00170422" w:rsidRDefault="00F37BF9">
            <w:pPr>
              <w:pStyle w:val="P68B1DB1-Normal11"/>
              <w:jc w:val="center"/>
              <w:rPr>
                <w:noProof/>
                <w:szCs w:val="20"/>
                <w:lang w:val="de-DE"/>
              </w:rPr>
            </w:pPr>
            <w:r w:rsidRPr="00170422">
              <w:rPr>
                <w:noProof/>
                <w:lang w:val="de-DE"/>
              </w:rPr>
              <w:t>2021</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77A36B" w14:textId="3F684567" w:rsidR="0057163C" w:rsidRPr="00170422" w:rsidRDefault="00F37BF9">
            <w:pPr>
              <w:pStyle w:val="P68B1DB1-Normal11"/>
              <w:rPr>
                <w:noProof/>
                <w:szCs w:val="20"/>
                <w:lang w:val="de-DE"/>
              </w:rPr>
            </w:pPr>
            <w:r w:rsidRPr="00170422">
              <w:rPr>
                <w:noProof/>
                <w:lang w:val="de-DE"/>
              </w:rPr>
              <w:t>Die Investitionspolitik sieht vor, dass 50 %</w:t>
            </w:r>
            <w:r w:rsidRPr="00170422">
              <w:rPr>
                <w:noProof/>
                <w:lang w:val="de-DE"/>
              </w:rPr>
              <w:t xml:space="preserve"> des Fonds für Energieeffizienzmaßnahmen bestimmt sind.</w:t>
            </w:r>
          </w:p>
          <w:p w14:paraId="56C501F5" w14:textId="77777777" w:rsidR="0057163C" w:rsidRPr="00170422" w:rsidRDefault="00F37BF9">
            <w:pPr>
              <w:pStyle w:val="P68B1DB1-Normal11"/>
              <w:spacing w:line="257" w:lineRule="auto"/>
              <w:rPr>
                <w:noProof/>
                <w:szCs w:val="20"/>
                <w:lang w:val="de-DE"/>
              </w:rPr>
            </w:pPr>
            <w:r w:rsidRPr="00170422">
              <w:rPr>
                <w:noProof/>
                <w:lang w:val="de-DE"/>
              </w:rPr>
              <w:t>Die Investitionspolitik umfasst Auswahlkriterien, um die Einhaltung der technischen Leitlinien „Vermeidung erheblicher Beeinträchtigungen“ (2021/C58/01) der im Rahmen dieser Maßnahme unterstützten Tra</w:t>
            </w:r>
            <w:r w:rsidRPr="00170422">
              <w:rPr>
                <w:noProof/>
                <w:lang w:val="de-DE"/>
              </w:rPr>
              <w:t>nsaktionen durch die Verwendung einer Nachhaltigkeitsprüfung, einer Ausschlussliste und der Anforderung der Einhaltung der einschlägigen Umweltvorschriften der EU und der Mitgliedstaaten sicherzustellen.</w:t>
            </w:r>
          </w:p>
        </w:tc>
      </w:tr>
      <w:tr w:rsidR="00744AB7" w:rsidRPr="00170422" w14:paraId="573441B2"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A29FB6F" w14:textId="77777777" w:rsidR="0057163C" w:rsidRPr="00170422" w:rsidRDefault="00F37BF9">
            <w:pPr>
              <w:pStyle w:val="P68B1DB1-Normal11"/>
              <w:jc w:val="center"/>
              <w:rPr>
                <w:noProof/>
                <w:lang w:val="de-DE"/>
              </w:rPr>
            </w:pPr>
            <w:r w:rsidRPr="00170422">
              <w:rPr>
                <w:noProof/>
                <w:lang w:val="de-DE"/>
              </w:rPr>
              <w:t>M1C3-26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79F9BE1" w14:textId="59455459" w:rsidR="0057163C" w:rsidRPr="00170422" w:rsidRDefault="00F37BF9">
            <w:pPr>
              <w:pStyle w:val="P68B1DB1-Normal11"/>
              <w:jc w:val="center"/>
              <w:rPr>
                <w:noProof/>
                <w:szCs w:val="20"/>
                <w:lang w:val="de-DE"/>
              </w:rPr>
            </w:pPr>
            <w:r w:rsidRPr="00170422">
              <w:rPr>
                <w:noProof/>
                <w:lang w:val="de-DE"/>
              </w:rPr>
              <w:t xml:space="preserve">Investition 4.2: Mittel für die </w:t>
            </w:r>
            <w:r w:rsidRPr="00170422">
              <w:rPr>
                <w:noProof/>
                <w:lang w:val="de-DE"/>
              </w:rPr>
              <w:t>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2BD650"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C99127" w14:textId="77777777" w:rsidR="0057163C" w:rsidRPr="00170422" w:rsidRDefault="00F37BF9">
            <w:pPr>
              <w:pStyle w:val="P68B1DB1-Normal11"/>
              <w:jc w:val="center"/>
              <w:rPr>
                <w:noProof/>
                <w:szCs w:val="20"/>
                <w:lang w:val="de-DE"/>
              </w:rPr>
            </w:pPr>
            <w:r w:rsidRPr="00170422">
              <w:rPr>
                <w:noProof/>
                <w:lang w:val="de-DE"/>
              </w:rPr>
              <w:t>Inkrafttreten des Durchführungserlasses über die Steuergutschrift für die Sanierung von Unterkünften.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D27A0E" w14:textId="77777777" w:rsidR="0057163C" w:rsidRPr="00170422" w:rsidRDefault="00F37BF9">
            <w:pPr>
              <w:pStyle w:val="P68B1DB1-Normal11"/>
              <w:jc w:val="center"/>
              <w:rPr>
                <w:noProof/>
                <w:lang w:val="de-DE"/>
              </w:rPr>
            </w:pPr>
            <w:r w:rsidRPr="00170422">
              <w:rPr>
                <w:noProof/>
                <w:lang w:val="de-DE"/>
              </w:rPr>
              <w:t xml:space="preserve">Gesetzliche Bestimmung über das Inkrafttreten des Haushaltsgesetzes, die die Steuergutschriften </w:t>
            </w:r>
            <w:r w:rsidRPr="00170422">
              <w:rPr>
                <w:noProof/>
                <w:lang w:val="de-DE"/>
              </w:rPr>
              <w:t>ermöglicht, und Bestimmung in den entsprechenden Durchführungsrechtsakten, aus der hervorgeht, dass sie in Kraft treten</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A152B6" w14:textId="77777777" w:rsidR="0057163C" w:rsidRPr="00170422" w:rsidRDefault="00F37BF9">
            <w:pPr>
              <w:pStyle w:val="P68B1DB1-Normal11"/>
              <w:jc w:val="center"/>
              <w:rPr>
                <w:noProof/>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CEEF1FA" w14:textId="77777777" w:rsidR="0057163C" w:rsidRPr="00170422" w:rsidRDefault="00F37BF9">
            <w:pPr>
              <w:pStyle w:val="P68B1DB1-Normal11"/>
              <w:jc w:val="center"/>
              <w:rPr>
                <w:noProof/>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C5BFD7" w14:textId="77777777" w:rsidR="0057163C" w:rsidRPr="00170422" w:rsidRDefault="00F37BF9">
            <w:pPr>
              <w:pStyle w:val="P68B1DB1-Normal11"/>
              <w:jc w:val="center"/>
              <w:rPr>
                <w:noProof/>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5D6189"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F73BB15" w14:textId="77777777" w:rsidR="0057163C" w:rsidRPr="00170422" w:rsidRDefault="00F37BF9">
            <w:pPr>
              <w:pStyle w:val="P68B1DB1-Normal11"/>
              <w:jc w:val="center"/>
              <w:rPr>
                <w:noProof/>
                <w:szCs w:val="20"/>
                <w:lang w:val="de-DE"/>
              </w:rPr>
            </w:pPr>
            <w:r w:rsidRPr="00170422">
              <w:rPr>
                <w:noProof/>
                <w:lang w:val="de-DE"/>
              </w:rPr>
              <w:t>2021</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5DCE733" w14:textId="77777777" w:rsidR="0057163C" w:rsidRPr="00170422" w:rsidRDefault="00F37BF9">
            <w:pPr>
              <w:pStyle w:val="P68B1DB1-Normal11"/>
              <w:rPr>
                <w:noProof/>
                <w:szCs w:val="20"/>
                <w:lang w:val="de-DE"/>
              </w:rPr>
            </w:pPr>
            <w:r w:rsidRPr="00170422">
              <w:rPr>
                <w:noProof/>
                <w:lang w:val="de-DE"/>
              </w:rPr>
              <w:t>Das Referenzrecht für die Gewährung der Steuergutschrift ist das Gesetz Nr. 83 vom 31. Mai</w:t>
            </w:r>
            <w:r w:rsidRPr="00170422">
              <w:rPr>
                <w:noProof/>
                <w:lang w:val="de-DE"/>
              </w:rPr>
              <w:t xml:space="preserve"> 2014, mit dem die Anerkennung einer Steuergutschrift für Maßnahmen zur Sanierung von Beherbergungsbetrieben eingeführt wurde.</w:t>
            </w:r>
          </w:p>
          <w:p w14:paraId="169E6FD0" w14:textId="77777777" w:rsidR="0057163C" w:rsidRPr="00170422" w:rsidRDefault="00F37BF9">
            <w:pPr>
              <w:pStyle w:val="P68B1DB1-Normal11"/>
              <w:spacing w:line="257" w:lineRule="auto"/>
              <w:rPr>
                <w:noProof/>
                <w:szCs w:val="20"/>
                <w:lang w:val="de-DE"/>
              </w:rPr>
            </w:pPr>
            <w:r w:rsidRPr="00170422">
              <w:rPr>
                <w:noProof/>
                <w:lang w:val="de-DE"/>
              </w:rPr>
              <w:t>Auswahl-/Förderkriterien für die Einhaltung der technischen Leitlinien zur Vermeidung erheblicher Beeinträchtigungen (2021/C58/01</w:t>
            </w:r>
            <w:r w:rsidRPr="00170422">
              <w:rPr>
                <w:noProof/>
                <w:lang w:val="de-DE"/>
              </w:rPr>
              <w:t>) in Bezug auf geförderte Vermögenswerte/Tätigkeiten und Begünstigte, die zumindest die Verwendung einer Ausschlussliste und die Einhaltung des einschlägigen EU- und nationalen Umweltrechts der unterstützten Vermögenswerte/Tätigkeiten und Begünstigten erfo</w:t>
            </w:r>
            <w:r w:rsidRPr="00170422">
              <w:rPr>
                <w:noProof/>
                <w:lang w:val="de-DE"/>
              </w:rPr>
              <w:t>rdern und die Einhaltung sicherstellen.</w:t>
            </w:r>
          </w:p>
        </w:tc>
      </w:tr>
      <w:tr w:rsidR="00744AB7" w:rsidRPr="00170422" w14:paraId="7488B062"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C94047" w14:textId="77777777" w:rsidR="0057163C" w:rsidRPr="00170422" w:rsidRDefault="00F37BF9">
            <w:pPr>
              <w:pStyle w:val="P68B1DB1-Normal11"/>
              <w:jc w:val="center"/>
              <w:rPr>
                <w:noProof/>
                <w:lang w:val="de-DE"/>
              </w:rPr>
            </w:pPr>
            <w:r w:rsidRPr="00170422">
              <w:rPr>
                <w:noProof/>
                <w:lang w:val="de-DE"/>
              </w:rPr>
              <w:t>M1C3-27</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5B3ABDF" w14:textId="77777777" w:rsidR="0057163C" w:rsidRPr="00170422" w:rsidRDefault="00F37BF9">
            <w:pPr>
              <w:pStyle w:val="P68B1DB1-Normal11"/>
              <w:jc w:val="center"/>
              <w:rPr>
                <w:noProof/>
                <w:szCs w:val="20"/>
                <w:lang w:val="de-DE"/>
              </w:rPr>
            </w:pPr>
            <w:r w:rsidRPr="00170422">
              <w:rPr>
                <w:noProof/>
                <w:lang w:val="de-DE"/>
              </w:rPr>
              <w:t>Investition – 4.3 Caput Mundi-Next Generation EU für touristische Großveranstaltungen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8D5802D"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5B63FB6" w14:textId="68DA3C5F" w:rsidR="0057163C" w:rsidRPr="00170422" w:rsidRDefault="00F37BF9">
            <w:pPr>
              <w:pStyle w:val="P68B1DB1-Normal11"/>
              <w:jc w:val="center"/>
              <w:rPr>
                <w:noProof/>
                <w:szCs w:val="20"/>
                <w:lang w:val="de-DE"/>
              </w:rPr>
            </w:pPr>
            <w:r w:rsidRPr="00170422">
              <w:rPr>
                <w:noProof/>
                <w:lang w:val="de-DE"/>
              </w:rPr>
              <w:t xml:space="preserve">Zahl der Kultur- und Tourismusstätten, deren Umschulung im Durchschnitt 50 % der Anteile von Stato Avanzamento </w:t>
            </w:r>
            <w:r w:rsidRPr="00170422">
              <w:rPr>
                <w:noProof/>
                <w:lang w:val="de-DE"/>
              </w:rPr>
              <w:t>Lavori (SAL) erreichte (erste Gruppe)</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BB6EB95"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3786B08"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AEB25A"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FCF31F" w14:textId="77777777" w:rsidR="0057163C" w:rsidRPr="00170422" w:rsidRDefault="00F37BF9">
            <w:pPr>
              <w:pStyle w:val="P68B1DB1-Normal11"/>
              <w:jc w:val="center"/>
              <w:rPr>
                <w:noProof/>
                <w:lang w:val="de-DE"/>
              </w:rPr>
            </w:pPr>
            <w:r w:rsidRPr="00170422">
              <w:rPr>
                <w:noProof/>
                <w:lang w:val="de-DE"/>
              </w:rPr>
              <w:t>100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007D098"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6DA1317" w14:textId="77777777" w:rsidR="0057163C" w:rsidRPr="00170422" w:rsidRDefault="00F37BF9">
            <w:pPr>
              <w:pStyle w:val="P68B1DB1-Normal11"/>
              <w:jc w:val="center"/>
              <w:rPr>
                <w:noProof/>
                <w:szCs w:val="20"/>
                <w:lang w:val="de-DE"/>
              </w:rPr>
            </w:pPr>
            <w:r w:rsidRPr="00170422">
              <w:rPr>
                <w:noProof/>
                <w:lang w:val="de-DE"/>
              </w:rPr>
              <w:t>2024</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1B11DA" w14:textId="77777777" w:rsidR="0057163C" w:rsidRPr="00170422" w:rsidRDefault="00F37BF9">
            <w:pPr>
              <w:pStyle w:val="P68B1DB1-Normal12"/>
              <w:spacing w:line="257" w:lineRule="auto"/>
              <w:rPr>
                <w:noProof/>
                <w:lang w:val="de-DE"/>
              </w:rPr>
            </w:pPr>
            <w:r w:rsidRPr="00170422">
              <w:rPr>
                <w:noProof/>
                <w:lang w:val="de-DE"/>
              </w:rPr>
              <w:t>Das Ziel wird erreicht, wenn der durchschnittliche Umschulungsfortschritt von 100 kulturellen und touristischen Stätten 50 % des im Stato Avanzamento Lavori (SAL) angegebenen Aufs</w:t>
            </w:r>
            <w:r w:rsidRPr="00170422">
              <w:rPr>
                <w:noProof/>
                <w:lang w:val="de-DE"/>
              </w:rPr>
              <w:t>tiegsstatus erreicht.</w:t>
            </w:r>
          </w:p>
        </w:tc>
      </w:tr>
      <w:tr w:rsidR="00744AB7" w:rsidRPr="00170422" w14:paraId="37F831A3"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AE397CA" w14:textId="77777777" w:rsidR="0057163C" w:rsidRPr="00170422" w:rsidRDefault="00F37BF9">
            <w:pPr>
              <w:pStyle w:val="P68B1DB1-Normal11"/>
              <w:jc w:val="center"/>
              <w:rPr>
                <w:noProof/>
                <w:lang w:val="de-DE"/>
              </w:rPr>
            </w:pPr>
            <w:r w:rsidRPr="00170422">
              <w:rPr>
                <w:noProof/>
                <w:lang w:val="de-DE"/>
              </w:rPr>
              <w:t>M1C3-28</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42E158" w14:textId="53C1D118" w:rsidR="0057163C" w:rsidRPr="00170422" w:rsidRDefault="00F37BF9">
            <w:pPr>
              <w:pStyle w:val="P68B1DB1-Normal11"/>
              <w:jc w:val="center"/>
              <w:rPr>
                <w:noProof/>
                <w:szCs w:val="20"/>
                <w:lang w:val="de-DE"/>
              </w:rPr>
            </w:pPr>
            <w:r w:rsidRPr="00170422">
              <w:rPr>
                <w:noProof/>
                <w:lang w:val="de-DE"/>
              </w:rPr>
              <w:t>Investition 4.2: Mittel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8CBD951"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F5CC4ED" w14:textId="77777777" w:rsidR="0057163C" w:rsidRPr="00170422" w:rsidRDefault="00F37BF9">
            <w:pPr>
              <w:pStyle w:val="P68B1DB1-Normal12"/>
              <w:jc w:val="center"/>
              <w:rPr>
                <w:noProof/>
                <w:lang w:val="de-DE"/>
              </w:rPr>
            </w:pPr>
            <w:r w:rsidRPr="00170422">
              <w:rPr>
                <w:noProof/>
                <w:lang w:val="de-DE"/>
              </w:rPr>
              <w:t>Zahl der durch die Finanzhilfe und/oder die Steuergutschrift für Infrastrukturen und/oder Dienstleistungen unterstützten Unternehmen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BA365"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B837BA"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A3EB2D7"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25F9488" w14:textId="77777777" w:rsidR="0057163C" w:rsidRPr="00170422" w:rsidRDefault="00F37BF9">
            <w:pPr>
              <w:pStyle w:val="P68B1DB1-Normal11"/>
              <w:jc w:val="center"/>
              <w:rPr>
                <w:noProof/>
                <w:lang w:val="de-DE"/>
              </w:rPr>
            </w:pPr>
            <w:r w:rsidRPr="00170422">
              <w:rPr>
                <w:noProof/>
                <w:lang w:val="de-DE"/>
              </w:rPr>
              <w:t>2 700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2089C"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A13565" w14:textId="77777777" w:rsidR="0057163C" w:rsidRPr="00170422" w:rsidRDefault="00F37BF9">
            <w:pPr>
              <w:pStyle w:val="P68B1DB1-Normal11"/>
              <w:jc w:val="center"/>
              <w:rPr>
                <w:noProof/>
                <w:szCs w:val="20"/>
                <w:lang w:val="de-DE"/>
              </w:rPr>
            </w:pPr>
            <w:r w:rsidRPr="00170422">
              <w:rPr>
                <w:noProof/>
                <w:lang w:val="de-DE"/>
              </w:rPr>
              <w:t>2025</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613341" w14:textId="7418F39F" w:rsidR="0057163C" w:rsidRPr="00170422" w:rsidRDefault="00F37BF9">
            <w:pPr>
              <w:pStyle w:val="P68B1DB1-Normal12"/>
              <w:rPr>
                <w:noProof/>
                <w:lang w:val="de-DE"/>
              </w:rPr>
            </w:pPr>
            <w:r w:rsidRPr="00170422">
              <w:rPr>
                <w:noProof/>
                <w:lang w:val="de-DE"/>
              </w:rPr>
              <w:t>Erlass(e) über die Gewährung der Steuergutschrift und/oder des Zuschusses an mindestens 2700 Unternehmen, die in Infrastrukturen und/oder Dienstleistungen investiert haben, wie durch die Wiederaufnahme des Auszahlungsantrags</w:t>
            </w:r>
            <w:r w:rsidRPr="00170422">
              <w:rPr>
                <w:noProof/>
                <w:lang w:val="de-DE"/>
              </w:rPr>
              <w:t xml:space="preserve"> herabgestuft.</w:t>
            </w:r>
          </w:p>
        </w:tc>
      </w:tr>
      <w:tr w:rsidR="00744AB7" w:rsidRPr="00170422" w14:paraId="22C0C9B4"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4F8C8" w14:textId="77777777" w:rsidR="0057163C" w:rsidRPr="00170422" w:rsidRDefault="00F37BF9">
            <w:pPr>
              <w:pStyle w:val="P68B1DB1-Normal11"/>
              <w:jc w:val="center"/>
              <w:rPr>
                <w:noProof/>
                <w:lang w:val="de-DE"/>
              </w:rPr>
            </w:pPr>
            <w:r w:rsidRPr="00170422">
              <w:rPr>
                <w:noProof/>
                <w:lang w:val="de-DE"/>
              </w:rPr>
              <w:t>M1C3-29</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918DDD5" w14:textId="7C471C29" w:rsidR="0057163C" w:rsidRPr="00170422" w:rsidRDefault="00F37BF9">
            <w:pPr>
              <w:pStyle w:val="P68B1DB1-Normal11"/>
              <w:jc w:val="center"/>
              <w:rPr>
                <w:noProof/>
                <w:szCs w:val="20"/>
                <w:lang w:val="de-DE"/>
              </w:rPr>
            </w:pPr>
            <w:r w:rsidRPr="00170422">
              <w:rPr>
                <w:noProof/>
                <w:lang w:val="de-DE"/>
              </w:rPr>
              <w:t>Investition 4.2: Mittel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311AB"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C98611" w14:textId="77777777" w:rsidR="0057163C" w:rsidRPr="00170422" w:rsidRDefault="00F37BF9">
            <w:pPr>
              <w:pStyle w:val="P68B1DB1-Normal11"/>
              <w:jc w:val="center"/>
              <w:rPr>
                <w:noProof/>
                <w:szCs w:val="20"/>
                <w:lang w:val="de-DE"/>
              </w:rPr>
            </w:pPr>
            <w:r w:rsidRPr="00170422">
              <w:rPr>
                <w:noProof/>
                <w:lang w:val="de-DE"/>
              </w:rPr>
              <w:t>Anzahl der Tourismusprojekte, die aus den thematischen Fonds der Europäischen Investitionsbank unterstützt werden sollen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82915CF"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36AC05"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72258A"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170449" w14:textId="77777777" w:rsidR="0057163C" w:rsidRPr="00170422" w:rsidRDefault="00F37BF9">
            <w:pPr>
              <w:pStyle w:val="P68B1DB1-Normal11"/>
              <w:jc w:val="center"/>
              <w:rPr>
                <w:noProof/>
                <w:lang w:val="de-DE"/>
              </w:rPr>
            </w:pPr>
            <w:r w:rsidRPr="00170422">
              <w:rPr>
                <w:noProof/>
                <w:lang w:val="de-DE"/>
              </w:rPr>
              <w:t>70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0C469A"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4FD52DE" w14:textId="77777777" w:rsidR="0057163C" w:rsidRPr="00170422" w:rsidRDefault="00F37BF9">
            <w:pPr>
              <w:pStyle w:val="P68B1DB1-Normal11"/>
              <w:jc w:val="center"/>
              <w:rPr>
                <w:noProof/>
                <w:szCs w:val="20"/>
                <w:lang w:val="de-DE"/>
              </w:rPr>
            </w:pPr>
            <w:r w:rsidRPr="00170422">
              <w:rPr>
                <w:noProof/>
                <w:lang w:val="de-DE"/>
              </w:rPr>
              <w:t>2026</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560EF14" w14:textId="77777777" w:rsidR="0057163C" w:rsidRPr="00170422" w:rsidRDefault="00F37BF9">
            <w:pPr>
              <w:pStyle w:val="P68B1DB1-Normal12"/>
              <w:spacing w:line="257" w:lineRule="auto"/>
              <w:rPr>
                <w:noProof/>
                <w:lang w:val="de-DE"/>
              </w:rPr>
            </w:pPr>
            <w:r w:rsidRPr="00170422">
              <w:rPr>
                <w:noProof/>
                <w:lang w:val="de-DE"/>
              </w:rPr>
              <w:t>Die ausgewählten Finanzintermediäre haben mit den Endbegünstigten rechtliche Finanzierungsvereinbarungen für die Unterstützung von mindestens 70 Tourismusprojekten über die thematischen Fonds der EIB geschlossen.</w:t>
            </w:r>
          </w:p>
        </w:tc>
      </w:tr>
      <w:tr w:rsidR="00744AB7" w:rsidRPr="00170422" w14:paraId="40FA4892"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906C68C" w14:textId="77777777" w:rsidR="0057163C" w:rsidRPr="00170422" w:rsidRDefault="00F37BF9">
            <w:pPr>
              <w:pStyle w:val="P68B1DB1-Normal11"/>
              <w:jc w:val="center"/>
              <w:rPr>
                <w:noProof/>
                <w:lang w:val="de-DE"/>
              </w:rPr>
            </w:pPr>
            <w:r w:rsidRPr="00170422">
              <w:rPr>
                <w:noProof/>
                <w:lang w:val="de-DE"/>
              </w:rPr>
              <w:t>M1C3-30</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FBBFA0" w14:textId="4F104568" w:rsidR="0057163C" w:rsidRPr="00170422" w:rsidRDefault="00F37BF9">
            <w:pPr>
              <w:pStyle w:val="P68B1DB1-Normal11"/>
              <w:jc w:val="center"/>
              <w:rPr>
                <w:noProof/>
                <w:szCs w:val="20"/>
                <w:lang w:val="de-DE"/>
              </w:rPr>
            </w:pPr>
            <w:r w:rsidRPr="00170422">
              <w:rPr>
                <w:noProof/>
                <w:lang w:val="de-DE"/>
              </w:rPr>
              <w:t xml:space="preserve">Investition 4.2: Mittel für </w:t>
            </w:r>
            <w:r w:rsidRPr="00170422">
              <w:rPr>
                <w:noProof/>
                <w:lang w:val="de-DE"/>
              </w:rPr>
              <w:t>die Wettbewerbsfähigkeit des Tourismus</w:t>
            </w:r>
          </w:p>
          <w:p w14:paraId="1BF34401" w14:textId="77777777" w:rsidR="0057163C" w:rsidRPr="00170422" w:rsidRDefault="00F37BF9">
            <w:pPr>
              <w:pStyle w:val="P68B1DB1-Normal11"/>
              <w:jc w:val="center"/>
              <w:rPr>
                <w:noProof/>
                <w:szCs w:val="20"/>
                <w:lang w:val="de-DE"/>
              </w:rPr>
            </w:pPr>
            <w:r w:rsidRPr="00170422">
              <w:rPr>
                <w:noProof/>
                <w:lang w:val="de-DE"/>
              </w:rPr>
              <w:t>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849CF9"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086E8A8" w14:textId="77777777" w:rsidR="0057163C" w:rsidRPr="00170422" w:rsidRDefault="00F37BF9">
            <w:pPr>
              <w:pStyle w:val="P68B1DB1-Normal11"/>
              <w:jc w:val="center"/>
              <w:rPr>
                <w:noProof/>
                <w:szCs w:val="20"/>
                <w:lang w:val="de-DE"/>
              </w:rPr>
            </w:pPr>
            <w:r w:rsidRPr="00170422">
              <w:rPr>
                <w:noProof/>
                <w:lang w:val="de-DE"/>
              </w:rPr>
              <w:t>Thematische Fonds der Europäischen Investitionsbank:</w:t>
            </w:r>
          </w:p>
          <w:p w14:paraId="72983398" w14:textId="4B286C2E" w:rsidR="0057163C" w:rsidRPr="00170422" w:rsidRDefault="00F37BF9">
            <w:pPr>
              <w:pStyle w:val="P68B1DB1-Normal44"/>
              <w:jc w:val="center"/>
              <w:rPr>
                <w:rFonts w:hAnsi="Arial Narrow"/>
                <w:noProof/>
                <w:szCs w:val="20"/>
                <w:lang w:val="de-DE"/>
              </w:rPr>
            </w:pPr>
            <w:r w:rsidRPr="00170422">
              <w:rPr>
                <w:noProof/>
                <w:lang w:val="de-DE"/>
              </w:rPr>
              <w:t>Auszahlung an den Fonds in H</w:t>
            </w:r>
            <w:r w:rsidRPr="00170422">
              <w:rPr>
                <w:noProof/>
                <w:lang w:val="de-DE"/>
              </w:rPr>
              <w:t>ö</w:t>
            </w:r>
            <w:r w:rsidRPr="00170422">
              <w:rPr>
                <w:noProof/>
                <w:lang w:val="de-DE"/>
              </w:rPr>
              <w:t>he von insgesamt 350</w:t>
            </w:r>
            <w:r w:rsidRPr="00170422">
              <w:rPr>
                <w:noProof/>
                <w:lang w:val="de-DE"/>
              </w:rPr>
              <w:t> </w:t>
            </w:r>
            <w:r w:rsidRPr="00170422">
              <w:rPr>
                <w:noProof/>
                <w:lang w:val="de-DE"/>
              </w:rPr>
              <w:t>000</w:t>
            </w:r>
            <w:r w:rsidRPr="00170422">
              <w:rPr>
                <w:noProof/>
                <w:lang w:val="de-DE"/>
              </w:rPr>
              <w:t> </w:t>
            </w:r>
            <w:r w:rsidRPr="00170422">
              <w:rPr>
                <w:noProof/>
                <w:lang w:val="de-DE"/>
              </w:rPr>
              <w:t>000</w:t>
            </w:r>
            <w:r w:rsidRPr="00170422">
              <w:rPr>
                <w:noProof/>
                <w:lang w:val="de-DE"/>
              </w:rPr>
              <w:t> </w:t>
            </w:r>
            <w:r w:rsidRPr="00170422">
              <w:rPr>
                <w:noProof/>
                <w:lang w:val="de-DE"/>
              </w:rPr>
              <w:t>EUR</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0041C2"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E78CEA"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15B3E4"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9A3053A" w14:textId="77777777" w:rsidR="0057163C" w:rsidRPr="00170422" w:rsidRDefault="00F37BF9">
            <w:pPr>
              <w:pStyle w:val="P68B1DB1-Normal11"/>
              <w:jc w:val="center"/>
              <w:rPr>
                <w:noProof/>
                <w:lang w:val="de-DE"/>
              </w:rPr>
            </w:pPr>
            <w:r w:rsidRPr="00170422">
              <w:rPr>
                <w:noProof/>
                <w:lang w:val="de-DE"/>
              </w:rPr>
              <w:t>350 000 000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E0C3BEB"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63628A"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C81C81" w14:textId="77777777" w:rsidR="0057163C" w:rsidRPr="00170422" w:rsidRDefault="00F37BF9">
            <w:pPr>
              <w:pStyle w:val="P68B1DB1-Normal11"/>
              <w:spacing w:line="257" w:lineRule="auto"/>
              <w:rPr>
                <w:noProof/>
                <w:szCs w:val="20"/>
                <w:lang w:val="de-DE"/>
              </w:rPr>
            </w:pPr>
            <w:r w:rsidRPr="00170422">
              <w:rPr>
                <w:noProof/>
                <w:lang w:val="de-DE"/>
              </w:rPr>
              <w:t>Die Auszahlung erfolgt im Einklang mit</w:t>
            </w:r>
            <w:r w:rsidRPr="00170422">
              <w:rPr>
                <w:noProof/>
                <w:lang w:val="de-DE"/>
              </w:rPr>
              <w:t xml:space="preserve"> der im Meilenstein festgelegten Investitionspolitik.</w:t>
            </w:r>
          </w:p>
        </w:tc>
      </w:tr>
      <w:tr w:rsidR="00744AB7" w:rsidRPr="00170422" w14:paraId="43F1D047"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BEDC5C" w14:textId="77777777" w:rsidR="0057163C" w:rsidRPr="00170422" w:rsidRDefault="00F37BF9">
            <w:pPr>
              <w:pStyle w:val="P68B1DB1-Normal11"/>
              <w:jc w:val="center"/>
              <w:rPr>
                <w:noProof/>
                <w:lang w:val="de-DE"/>
              </w:rPr>
            </w:pPr>
            <w:r w:rsidRPr="00170422">
              <w:rPr>
                <w:noProof/>
                <w:lang w:val="de-DE"/>
              </w:rPr>
              <w:t>M1C3-31</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1188EAA" w14:textId="3E439201" w:rsidR="0057163C" w:rsidRPr="00170422" w:rsidRDefault="00F37BF9">
            <w:pPr>
              <w:pStyle w:val="P68B1DB1-Normal11"/>
              <w:jc w:val="center"/>
              <w:rPr>
                <w:noProof/>
                <w:szCs w:val="20"/>
                <w:lang w:val="de-DE"/>
              </w:rPr>
            </w:pPr>
            <w:r w:rsidRPr="00170422">
              <w:rPr>
                <w:noProof/>
                <w:lang w:val="de-DE"/>
              </w:rPr>
              <w:t>Investition 4.2: Mittel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25D00C"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B305B" w14:textId="77777777" w:rsidR="0057163C" w:rsidRPr="00170422" w:rsidRDefault="0057163C">
            <w:pPr>
              <w:jc w:val="center"/>
              <w:rPr>
                <w:rFonts w:ascii="Arial Narrow" w:hAnsi="Arial Narrow"/>
                <w:noProof/>
                <w:color w:val="006100"/>
                <w:sz w:val="20"/>
                <w:szCs w:val="20"/>
                <w:lang w:val="de-DE"/>
              </w:rPr>
            </w:pPr>
          </w:p>
          <w:p w14:paraId="496ADE49" w14:textId="77777777" w:rsidR="0057163C" w:rsidRPr="00170422" w:rsidRDefault="00F37BF9">
            <w:pPr>
              <w:pStyle w:val="P68B1DB1-Normal11"/>
              <w:jc w:val="center"/>
              <w:rPr>
                <w:noProof/>
                <w:szCs w:val="20"/>
                <w:lang w:val="de-DE"/>
              </w:rPr>
            </w:pPr>
            <w:r w:rsidRPr="00170422">
              <w:rPr>
                <w:noProof/>
                <w:lang w:val="de-DE"/>
              </w:rPr>
              <w:t>Nationaler Tourismusfonds:</w:t>
            </w:r>
          </w:p>
          <w:p w14:paraId="23DE7E72" w14:textId="5C0BA327" w:rsidR="0057163C" w:rsidRPr="00170422" w:rsidRDefault="00F37BF9">
            <w:pPr>
              <w:pStyle w:val="P68B1DB1-Normal21"/>
              <w:jc w:val="center"/>
              <w:rPr>
                <w:rFonts w:ascii="Arial Narrow" w:hAnsi="Arial Narrow"/>
                <w:noProof/>
                <w:szCs w:val="20"/>
                <w:lang w:val="de-DE"/>
              </w:rPr>
            </w:pPr>
            <w:r w:rsidRPr="00170422">
              <w:rPr>
                <w:rFonts w:ascii="Arial Narrow" w:hAnsi="Arial Narrow"/>
                <w:noProof/>
                <w:lang w:val="de-DE"/>
              </w:rPr>
              <w:t xml:space="preserve">Auszahlung von insgesamt 150 000 000 EUR an den Fonds zur </w:t>
            </w:r>
            <w:r w:rsidRPr="00170422">
              <w:rPr>
                <w:rFonts w:ascii="Arial Narrow" w:hAnsi="Arial Narrow"/>
                <w:noProof/>
                <w:lang w:val="de-DE"/>
              </w:rPr>
              <w:t>Eigenkapitalunterstützung</w:t>
            </w:r>
            <w:r w:rsidRPr="00170422">
              <w:rPr>
                <w:rFonts w:ascii="Arial Narrow"/>
                <w:noProof/>
                <w:lang w:val="de-DE"/>
              </w:rPr>
              <w:t xml:space="preserve">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A5B2C8"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8748D"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92C3385"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FC1372E" w14:textId="77777777" w:rsidR="0057163C" w:rsidRPr="00170422" w:rsidRDefault="00F37BF9">
            <w:pPr>
              <w:pStyle w:val="P68B1DB1-Normal11"/>
              <w:jc w:val="center"/>
              <w:rPr>
                <w:noProof/>
                <w:lang w:val="de-DE"/>
              </w:rPr>
            </w:pPr>
            <w:r w:rsidRPr="00170422">
              <w:rPr>
                <w:noProof/>
                <w:lang w:val="de-DE"/>
              </w:rPr>
              <w:t>150 000 000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26EAC96"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ADFDE44"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95EC67E" w14:textId="77777777" w:rsidR="0057163C" w:rsidRPr="00170422" w:rsidRDefault="00F37BF9">
            <w:pPr>
              <w:pStyle w:val="P68B1DB1-Normal11"/>
              <w:spacing w:line="257" w:lineRule="auto"/>
              <w:rPr>
                <w:noProof/>
                <w:szCs w:val="20"/>
                <w:lang w:val="de-DE"/>
              </w:rPr>
            </w:pPr>
            <w:r w:rsidRPr="00170422">
              <w:rPr>
                <w:noProof/>
                <w:lang w:val="de-DE"/>
              </w:rPr>
              <w:t>Die Auszahlung erfolgt im Einklang mit der im Meilenstein festgelegten Investitionspolitik.</w:t>
            </w:r>
          </w:p>
        </w:tc>
      </w:tr>
      <w:tr w:rsidR="00744AB7" w:rsidRPr="00170422" w14:paraId="20CD9656"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ECFFB0D" w14:textId="77777777" w:rsidR="0057163C" w:rsidRPr="00170422" w:rsidRDefault="00F37BF9">
            <w:pPr>
              <w:pStyle w:val="P68B1DB1-Normal11"/>
              <w:jc w:val="center"/>
              <w:rPr>
                <w:noProof/>
                <w:lang w:val="de-DE"/>
              </w:rPr>
            </w:pPr>
            <w:r w:rsidRPr="00170422">
              <w:rPr>
                <w:noProof/>
                <w:lang w:val="de-DE"/>
              </w:rPr>
              <w:t>M1C3-32</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BDEF198" w14:textId="4145076E" w:rsidR="0057163C" w:rsidRPr="00170422" w:rsidRDefault="00F37BF9">
            <w:pPr>
              <w:pStyle w:val="P68B1DB1-Normal11"/>
              <w:jc w:val="center"/>
              <w:rPr>
                <w:noProof/>
                <w:szCs w:val="20"/>
                <w:lang w:val="de-DE"/>
              </w:rPr>
            </w:pPr>
            <w:r w:rsidRPr="00170422">
              <w:rPr>
                <w:noProof/>
                <w:lang w:val="de-DE"/>
              </w:rPr>
              <w:t>Investition 4.2: Mittel 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2E74630"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1DDA50" w14:textId="77777777" w:rsidR="0057163C" w:rsidRPr="00170422" w:rsidRDefault="00F37BF9">
            <w:pPr>
              <w:pStyle w:val="P68B1DB1-Normal11"/>
              <w:jc w:val="center"/>
              <w:rPr>
                <w:noProof/>
                <w:szCs w:val="20"/>
                <w:lang w:val="de-DE"/>
              </w:rPr>
            </w:pPr>
            <w:r w:rsidRPr="00170422">
              <w:rPr>
                <w:noProof/>
                <w:lang w:val="de-DE"/>
              </w:rPr>
              <w:t>Zahl der durch den KMU-Garantiefonds zu unterstützenden Unternehmen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4D2513"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D9426F7"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7A79C22"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41DAC59" w14:textId="77777777" w:rsidR="0057163C" w:rsidRPr="00170422" w:rsidRDefault="00F37BF9">
            <w:pPr>
              <w:pStyle w:val="P68B1DB1-Normal11"/>
              <w:jc w:val="center"/>
              <w:rPr>
                <w:noProof/>
                <w:lang w:val="de-DE"/>
              </w:rPr>
            </w:pPr>
            <w:r w:rsidRPr="00170422">
              <w:rPr>
                <w:noProof/>
                <w:lang w:val="de-DE"/>
              </w:rPr>
              <w:t>1 000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169D708"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46B1BC2" w14:textId="77777777" w:rsidR="0057163C" w:rsidRPr="00170422" w:rsidRDefault="00F37BF9">
            <w:pPr>
              <w:pStyle w:val="P68B1DB1-Normal11"/>
              <w:jc w:val="center"/>
              <w:rPr>
                <w:noProof/>
                <w:szCs w:val="20"/>
                <w:lang w:val="de-DE"/>
              </w:rPr>
            </w:pPr>
            <w:r w:rsidRPr="00170422">
              <w:rPr>
                <w:noProof/>
                <w:lang w:val="de-DE"/>
              </w:rPr>
              <w:t>2025</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C14B0C0" w14:textId="4CE6D14F" w:rsidR="0057163C" w:rsidRPr="00170422" w:rsidRDefault="00F37BF9">
            <w:pPr>
              <w:pStyle w:val="P68B1DB1-Normal11"/>
              <w:spacing w:line="257" w:lineRule="auto"/>
              <w:rPr>
                <w:noProof/>
                <w:szCs w:val="20"/>
                <w:lang w:val="de-DE"/>
              </w:rPr>
            </w:pPr>
            <w:r w:rsidRPr="00170422">
              <w:rPr>
                <w:noProof/>
                <w:lang w:val="de-DE"/>
              </w:rPr>
              <w:t>Das Ergebnisschreiben, mit dem die Garantie gewährt wird, wird für mindestens 1000 Unternehmen ausgestellt.</w:t>
            </w:r>
          </w:p>
        </w:tc>
      </w:tr>
      <w:tr w:rsidR="00744AB7" w:rsidRPr="00170422" w14:paraId="5A4524FC"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0A0D19E4" w14:textId="77777777" w:rsidR="0057163C" w:rsidRPr="00170422" w:rsidRDefault="00F37BF9">
            <w:pPr>
              <w:pStyle w:val="P68B1DB1-Normal11"/>
              <w:jc w:val="center"/>
              <w:rPr>
                <w:noProof/>
                <w:lang w:val="de-DE"/>
              </w:rPr>
            </w:pPr>
            <w:r w:rsidRPr="00170422">
              <w:rPr>
                <w:noProof/>
                <w:lang w:val="de-DE"/>
              </w:rPr>
              <w:t>M1C3-33</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3A6FF98" w14:textId="3E30A5BF" w:rsidR="0057163C" w:rsidRPr="00170422" w:rsidRDefault="00F37BF9">
            <w:pPr>
              <w:pStyle w:val="P68B1DB1-Normal11"/>
              <w:jc w:val="center"/>
              <w:rPr>
                <w:noProof/>
                <w:szCs w:val="20"/>
                <w:lang w:val="de-DE"/>
              </w:rPr>
            </w:pPr>
            <w:r w:rsidRPr="00170422">
              <w:rPr>
                <w:noProof/>
                <w:lang w:val="de-DE"/>
              </w:rPr>
              <w:t xml:space="preserve">Investitionen 4.2 Fonds </w:t>
            </w:r>
            <w:r w:rsidRPr="00170422">
              <w:rPr>
                <w:noProof/>
                <w:lang w:val="de-DE"/>
              </w:rPr>
              <w:t>für die Wettbewerbsfähigkeit von Tourismusunternehmen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8A833CD"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7D8012F" w14:textId="6B53771C"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szCs w:val="20"/>
                <w:lang w:val="de-DE"/>
              </w:rPr>
              <w:t xml:space="preserve">Fondo Rotativo: </w:t>
            </w:r>
            <w:r w:rsidRPr="00170422">
              <w:rPr>
                <w:noProof/>
                <w:lang w:val="de-DE"/>
              </w:rPr>
              <w:br/>
            </w:r>
            <w:r w:rsidRPr="00170422">
              <w:rPr>
                <w:rFonts w:ascii="Arial Narrow" w:hAnsi="Arial Narrow"/>
                <w:noProof/>
                <w:color w:val="006100"/>
                <w:sz w:val="20"/>
                <w:szCs w:val="20"/>
                <w:lang w:val="de-DE"/>
              </w:rPr>
              <w:t xml:space="preserve">Mit Endbegünstigten unterzeichnete rechtliche Vereinbarungen </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4B24D61"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74F4BE5"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81F58DF"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5A14432" w14:textId="77777777" w:rsidR="0057163C" w:rsidRPr="00170422" w:rsidRDefault="00F37BF9">
            <w:pPr>
              <w:pStyle w:val="P68B1DB1-Normal11"/>
              <w:jc w:val="center"/>
              <w:rPr>
                <w:noProof/>
                <w:lang w:val="de-DE"/>
              </w:rPr>
            </w:pPr>
            <w:r w:rsidRPr="00170422">
              <w:rPr>
                <w:noProof/>
                <w:lang w:val="de-DE"/>
              </w:rPr>
              <w:t>300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6C1FC31" w14:textId="77777777" w:rsidR="0057163C" w:rsidRPr="00170422" w:rsidRDefault="00F37BF9">
            <w:pPr>
              <w:pStyle w:val="P68B1DB1-Normal11"/>
              <w:jc w:val="center"/>
              <w:rPr>
                <w:noProof/>
                <w:szCs w:val="20"/>
                <w:lang w:val="de-DE"/>
              </w:rPr>
            </w:pPr>
            <w:r w:rsidRPr="00170422">
              <w:rPr>
                <w:noProof/>
                <w:lang w:val="de-DE"/>
              </w:rPr>
              <w:t>4. QUARTAL</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AF4CF52" w14:textId="77777777" w:rsidR="0057163C" w:rsidRPr="00170422" w:rsidRDefault="00F37BF9">
            <w:pPr>
              <w:pStyle w:val="P68B1DB1-Normal11"/>
              <w:jc w:val="center"/>
              <w:rPr>
                <w:noProof/>
                <w:szCs w:val="20"/>
                <w:lang w:val="de-DE"/>
              </w:rPr>
            </w:pPr>
            <w:r w:rsidRPr="00170422">
              <w:rPr>
                <w:noProof/>
                <w:lang w:val="de-DE"/>
              </w:rPr>
              <w:t>2025</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CC26FBB" w14:textId="7C0D6E7F" w:rsidR="0057163C" w:rsidRPr="00170422" w:rsidRDefault="00F37BF9">
            <w:pPr>
              <w:pStyle w:val="P68B1DB1-Normal11"/>
              <w:spacing w:line="257" w:lineRule="auto"/>
              <w:rPr>
                <w:noProof/>
                <w:szCs w:val="20"/>
                <w:lang w:val="de-DE"/>
              </w:rPr>
            </w:pPr>
            <w:r w:rsidRPr="00170422">
              <w:rPr>
                <w:noProof/>
                <w:szCs w:val="20"/>
                <w:lang w:val="de-DE"/>
              </w:rPr>
              <w:t>Unterzeichnung rechtlicher Finanzierungsvereinbarungen zur</w:t>
            </w:r>
            <w:r w:rsidRPr="00170422">
              <w:rPr>
                <w:noProof/>
                <w:lang w:val="de-DE"/>
              </w:rPr>
              <w:t xml:space="preserve"> Unterstützung von mindestens 300 Unternehmen über den Fondo Rotativo.</w:t>
            </w:r>
          </w:p>
        </w:tc>
      </w:tr>
      <w:tr w:rsidR="00744AB7" w:rsidRPr="00170422" w14:paraId="25A0D830"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01BC95" w14:textId="77777777" w:rsidR="0057163C" w:rsidRPr="00170422" w:rsidRDefault="00F37BF9">
            <w:pPr>
              <w:pStyle w:val="P68B1DB1-Normal11"/>
              <w:jc w:val="center"/>
              <w:rPr>
                <w:noProof/>
                <w:lang w:val="de-DE"/>
              </w:rPr>
            </w:pPr>
            <w:r w:rsidRPr="00170422">
              <w:rPr>
                <w:noProof/>
                <w:lang w:val="de-DE"/>
              </w:rPr>
              <w:t>M1C3-35</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AC5ED7" w14:textId="77777777" w:rsidR="0057163C" w:rsidRPr="00170422" w:rsidRDefault="00F37BF9">
            <w:pPr>
              <w:pStyle w:val="P68B1DB1-Normal11"/>
              <w:jc w:val="center"/>
              <w:rPr>
                <w:noProof/>
                <w:szCs w:val="20"/>
                <w:lang w:val="de-DE"/>
              </w:rPr>
            </w:pPr>
            <w:r w:rsidRPr="00170422">
              <w:rPr>
                <w:noProof/>
                <w:lang w:val="de-DE"/>
              </w:rPr>
              <w:t>— Investitionen – 4.3 Caput Mundi-Next Generation EU für touristische Großveranstaltungen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CBF5F94" w14:textId="77777777" w:rsidR="0057163C" w:rsidRPr="00170422" w:rsidRDefault="00F37BF9">
            <w:pPr>
              <w:pStyle w:val="P68B1DB1-Normal11"/>
              <w:jc w:val="center"/>
              <w:rPr>
                <w:noProof/>
                <w:szCs w:val="20"/>
                <w:lang w:val="de-DE"/>
              </w:rPr>
            </w:pPr>
            <w:r w:rsidRPr="00170422">
              <w:rPr>
                <w:noProof/>
                <w:lang w:val="de-DE"/>
              </w:rPr>
              <w:t>Meilenstein</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4C2AC2C" w14:textId="2A54EBC2" w:rsidR="0057163C" w:rsidRPr="00170422" w:rsidRDefault="00F37BF9">
            <w:pPr>
              <w:pStyle w:val="P68B1DB1-Normal11"/>
              <w:jc w:val="center"/>
              <w:rPr>
                <w:noProof/>
                <w:szCs w:val="20"/>
                <w:lang w:val="de-DE"/>
              </w:rPr>
            </w:pPr>
            <w:r w:rsidRPr="00170422">
              <w:rPr>
                <w:noProof/>
                <w:lang w:val="de-DE"/>
              </w:rPr>
              <w:t xml:space="preserve">Unterzeichnung jeder Vereinbarung über sechs Projekte zwischen einem </w:t>
            </w:r>
            <w:r w:rsidRPr="00170422">
              <w:rPr>
                <w:noProof/>
                <w:lang w:val="de-DE"/>
              </w:rPr>
              <w:t>Tourismusministerium und Begünstigten/Durchführungsstellen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B53F41E" w14:textId="16E5416E" w:rsidR="0057163C" w:rsidRPr="00170422" w:rsidRDefault="00F37BF9">
            <w:pPr>
              <w:pStyle w:val="P68B1DB1-Normal11"/>
              <w:jc w:val="center"/>
              <w:rPr>
                <w:noProof/>
                <w:lang w:val="de-DE"/>
              </w:rPr>
            </w:pPr>
            <w:r w:rsidRPr="00170422">
              <w:rPr>
                <w:noProof/>
                <w:lang w:val="de-DE"/>
              </w:rPr>
              <w:t>Veröffentlichung der Programmvereinbarung zwischen dem Ministerium für Tourismus, der Gemeinde Rom und den anderen beteiligten Akteuren</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6EC8FE75" w14:textId="77777777" w:rsidR="0057163C" w:rsidRPr="00170422" w:rsidRDefault="00F37BF9">
            <w:pPr>
              <w:pStyle w:val="P68B1DB1-Normal11"/>
              <w:jc w:val="center"/>
              <w:rPr>
                <w:noProof/>
                <w:lang w:val="de-DE"/>
              </w:rPr>
            </w:pPr>
            <w:r w:rsidRPr="00170422">
              <w:rPr>
                <w:noProof/>
                <w:lang w:val="de-DE"/>
              </w:rPr>
              <w:t>ENTFÄLLT.</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FD6CD5C" w14:textId="77777777" w:rsidR="0057163C" w:rsidRPr="00170422" w:rsidRDefault="00F37BF9">
            <w:pPr>
              <w:pStyle w:val="P68B1DB1-Normal11"/>
              <w:jc w:val="center"/>
              <w:rPr>
                <w:noProof/>
                <w:lang w:val="de-DE"/>
              </w:rPr>
            </w:pPr>
            <w:r w:rsidRPr="00170422">
              <w:rPr>
                <w:noProof/>
                <w:lang w:val="de-DE"/>
              </w:rPr>
              <w:t>ENTFÄLLT.</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E9109D4" w14:textId="77777777" w:rsidR="0057163C" w:rsidRPr="00170422" w:rsidRDefault="00F37BF9">
            <w:pPr>
              <w:pStyle w:val="P68B1DB1-Normal11"/>
              <w:jc w:val="center"/>
              <w:rPr>
                <w:noProof/>
                <w:lang w:val="de-DE"/>
              </w:rPr>
            </w:pPr>
            <w:r w:rsidRPr="00170422">
              <w:rPr>
                <w:noProof/>
                <w:lang w:val="de-DE"/>
              </w:rPr>
              <w:t>ENTFÄLLT.</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D32E7D3"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F47361" w14:textId="77777777" w:rsidR="0057163C" w:rsidRPr="00170422" w:rsidRDefault="00F37BF9">
            <w:pPr>
              <w:pStyle w:val="P68B1DB1-Normal11"/>
              <w:jc w:val="center"/>
              <w:rPr>
                <w:noProof/>
                <w:szCs w:val="20"/>
                <w:lang w:val="de-DE"/>
              </w:rPr>
            </w:pPr>
            <w:r w:rsidRPr="00170422">
              <w:rPr>
                <w:noProof/>
                <w:lang w:val="de-DE"/>
              </w:rPr>
              <w:t>2022</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0FB0F1A" w14:textId="0297E2E8"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Die Vereinbarungen werd</w:t>
            </w:r>
            <w:r w:rsidRPr="00170422">
              <w:rPr>
                <w:rFonts w:ascii="Arial Narrow" w:hAnsi="Arial Narrow"/>
                <w:noProof/>
                <w:color w:val="006100"/>
                <w:sz w:val="20"/>
                <w:lang w:val="de-DE"/>
              </w:rPr>
              <w:t>en für die folgenden sechs Projekte unterzeichnet:</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1) römisches Kulturerbe für die nächste Generation der EU; 2) von Pagan Rom nach Christian Rom – Jubilee; 3) #Lacittàcondivisa; 4) #Mitingodiverde; 5) Roma 4.0; 6) #Amanotesa</w:t>
            </w:r>
          </w:p>
          <w:p w14:paraId="4A7F417F" w14:textId="17E8A17F" w:rsidR="0057163C" w:rsidRPr="00170422" w:rsidRDefault="00F37BF9">
            <w:pPr>
              <w:pStyle w:val="P68B1DB1-Normal11"/>
              <w:rPr>
                <w:noProof/>
                <w:szCs w:val="20"/>
                <w:lang w:val="de-DE"/>
              </w:rPr>
            </w:pPr>
            <w:r w:rsidRPr="00170422">
              <w:rPr>
                <w:noProof/>
                <w:lang w:val="de-DE"/>
              </w:rPr>
              <w:t>Die Liste der Begünstigten/Durchführungsstellen umfasst: Rom-Hauptstadt; Archäologisches Superintendence für das Kultur-, Umwelt- und Landschaftserbe von Rom (MIC); Archäologischer Park des Colosseums; Archäologischer Park der Appia Antica; Diokese Rom; Mi</w:t>
            </w:r>
            <w:r w:rsidRPr="00170422">
              <w:rPr>
                <w:noProof/>
                <w:lang w:val="de-DE"/>
              </w:rPr>
              <w:t>nisterium für Tourismus Region Latium.</w:t>
            </w:r>
          </w:p>
          <w:p w14:paraId="0F0071F1" w14:textId="77777777" w:rsidR="0057163C" w:rsidRPr="00170422" w:rsidRDefault="00F37BF9">
            <w:pPr>
              <w:pStyle w:val="P68B1DB1-Normal11"/>
              <w:rPr>
                <w:noProof/>
                <w:szCs w:val="20"/>
                <w:lang w:val="de-DE"/>
              </w:rPr>
            </w:pPr>
            <w:r w:rsidRPr="00170422">
              <w:rPr>
                <w:noProof/>
                <w:lang w:val="de-DE"/>
              </w:rPr>
              <w:t>Vor der Ausschreibung werden die Auswahl- und Zuschlagskriterien sowie die Besonderheiten der Projekte mit den entsprechenden Ressourcen festgelegt.</w:t>
            </w:r>
          </w:p>
          <w:p w14:paraId="1F1FE4FF" w14:textId="528835FE" w:rsidR="0057163C" w:rsidRPr="00170422" w:rsidRDefault="00F37BF9">
            <w:pPr>
              <w:pStyle w:val="P68B1DB1-Normal11"/>
              <w:spacing w:line="257" w:lineRule="auto"/>
              <w:rPr>
                <w:noProof/>
                <w:szCs w:val="20"/>
                <w:lang w:val="de-DE"/>
              </w:rPr>
            </w:pPr>
            <w:r w:rsidRPr="00170422">
              <w:rPr>
                <w:noProof/>
                <w:lang w:val="de-DE"/>
              </w:rPr>
              <w:t>Die Vergabe der Aufträge an die im Rahmen der wettbewerblichen Auffo</w:t>
            </w:r>
            <w:r w:rsidRPr="00170422">
              <w:rPr>
                <w:noProof/>
                <w:lang w:val="de-DE"/>
              </w:rPr>
              <w:t>rderungen zur Einreichung von Vorschlägen ausgewählten Projekte erfolgt im Einklang mit den technischen Leitlinien „Vermeidung erheblicher Beeinträchtigungen“ (2021/C58/01), indem eine Ausschlussliste verwendet wird und die einschlägigen Umweltvorschriften</w:t>
            </w:r>
            <w:r w:rsidRPr="00170422">
              <w:rPr>
                <w:noProof/>
                <w:lang w:val="de-DE"/>
              </w:rPr>
              <w:t xml:space="preserve"> der EU und der Mitgliedstaaten eingehalten werden.</w:t>
            </w:r>
          </w:p>
        </w:tc>
      </w:tr>
      <w:tr w:rsidR="00744AB7" w:rsidRPr="00170422" w14:paraId="05070697" w14:textId="77777777" w:rsidTr="00744AB7">
        <w:trPr>
          <w:trHeight w:val="313"/>
          <w:jc w:val="center"/>
        </w:trPr>
        <w:tc>
          <w:tcPr>
            <w:tcW w:w="377"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6928334" w14:textId="77777777" w:rsidR="0057163C" w:rsidRPr="00170422" w:rsidRDefault="00F37BF9">
            <w:pPr>
              <w:pStyle w:val="P68B1DB1-Normal11"/>
              <w:jc w:val="center"/>
              <w:rPr>
                <w:noProof/>
                <w:lang w:val="de-DE"/>
              </w:rPr>
            </w:pPr>
            <w:r w:rsidRPr="00170422">
              <w:rPr>
                <w:noProof/>
                <w:lang w:val="de-DE"/>
              </w:rPr>
              <w:t>M1C3-36</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DC02C98" w14:textId="4E8C2C3C" w:rsidR="0057163C" w:rsidRPr="00170422" w:rsidRDefault="00F37BF9">
            <w:pPr>
              <w:pStyle w:val="P68B1DB1-Normal11"/>
              <w:jc w:val="center"/>
              <w:rPr>
                <w:noProof/>
                <w:szCs w:val="20"/>
                <w:lang w:val="de-DE"/>
              </w:rPr>
            </w:pPr>
            <w:r w:rsidRPr="00170422">
              <w:rPr>
                <w:noProof/>
                <w:lang w:val="de-DE"/>
              </w:rPr>
              <w:t>Investitionen – 4.3 Kaput Mundi-Next Generation EU für touristische Großveranstaltungen</w:t>
            </w:r>
          </w:p>
        </w:tc>
        <w:tc>
          <w:tcPr>
            <w:tcW w:w="42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07BA0BB" w14:textId="77777777" w:rsidR="0057163C" w:rsidRPr="00170422" w:rsidRDefault="00F37BF9">
            <w:pPr>
              <w:pStyle w:val="P68B1DB1-Normal11"/>
              <w:jc w:val="center"/>
              <w:rPr>
                <w:noProof/>
                <w:szCs w:val="20"/>
                <w:lang w:val="de-DE"/>
              </w:rPr>
            </w:pPr>
            <w:r w:rsidRPr="00170422">
              <w:rPr>
                <w:noProof/>
                <w:lang w:val="de-DE"/>
              </w:rPr>
              <w:t>Ziel</w:t>
            </w:r>
          </w:p>
        </w:tc>
        <w:tc>
          <w:tcPr>
            <w:tcW w:w="47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11D1F3CA" w14:textId="77777777" w:rsidR="0057163C" w:rsidRPr="00170422" w:rsidRDefault="00F37BF9">
            <w:pPr>
              <w:pStyle w:val="P68B1DB1-Normal12"/>
              <w:jc w:val="center"/>
              <w:rPr>
                <w:noProof/>
                <w:lang w:val="de-DE"/>
              </w:rPr>
            </w:pPr>
            <w:r w:rsidRPr="00170422">
              <w:rPr>
                <w:noProof/>
                <w:lang w:val="de-DE"/>
              </w:rPr>
              <w:t>Anzahl der Interventionen in kulturellen und touristischen Stätten</w:t>
            </w:r>
          </w:p>
        </w:tc>
        <w:tc>
          <w:tcPr>
            <w:tcW w:w="520"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3E82354B" w14:textId="77777777" w:rsidR="0057163C" w:rsidRPr="00170422" w:rsidRDefault="00F37BF9">
            <w:pPr>
              <w:pStyle w:val="P68B1DB1-Normal11"/>
              <w:jc w:val="center"/>
              <w:rPr>
                <w:noProof/>
                <w:lang w:val="de-DE"/>
              </w:rPr>
            </w:pPr>
            <w:r w:rsidRPr="00170422">
              <w:rPr>
                <w:noProof/>
                <w:lang w:val="de-DE"/>
              </w:rPr>
              <w:t>ENTFÄLLT.</w:t>
            </w:r>
          </w:p>
        </w:tc>
        <w:tc>
          <w:tcPr>
            <w:tcW w:w="36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24435ED5" w14:textId="77777777" w:rsidR="0057163C" w:rsidRPr="00170422" w:rsidRDefault="00F37BF9">
            <w:pPr>
              <w:pStyle w:val="P68B1DB1-Normal11"/>
              <w:jc w:val="center"/>
              <w:rPr>
                <w:noProof/>
                <w:lang w:val="de-DE"/>
              </w:rPr>
            </w:pPr>
            <w:r w:rsidRPr="00170422">
              <w:rPr>
                <w:noProof/>
                <w:lang w:val="de-DE"/>
              </w:rPr>
              <w:t>Anzahl</w:t>
            </w:r>
          </w:p>
        </w:tc>
        <w:tc>
          <w:tcPr>
            <w:tcW w:w="486"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799CA06" w14:textId="77777777" w:rsidR="0057163C" w:rsidRPr="00170422" w:rsidRDefault="00F37BF9">
            <w:pPr>
              <w:pStyle w:val="P68B1DB1-Normal11"/>
              <w:jc w:val="center"/>
              <w:rPr>
                <w:noProof/>
                <w:lang w:val="de-DE"/>
              </w:rPr>
            </w:pPr>
            <w:r w:rsidRPr="00170422">
              <w:rPr>
                <w:noProof/>
                <w:lang w:val="de-DE"/>
              </w:rPr>
              <w:t>0</w:t>
            </w:r>
          </w:p>
        </w:tc>
        <w:tc>
          <w:tcPr>
            <w:tcW w:w="388"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1E82E4E" w14:textId="77777777" w:rsidR="0057163C" w:rsidRPr="00170422" w:rsidRDefault="00F37BF9">
            <w:pPr>
              <w:pStyle w:val="P68B1DB1-Normal11"/>
              <w:jc w:val="center"/>
              <w:rPr>
                <w:noProof/>
                <w:lang w:val="de-DE"/>
              </w:rPr>
            </w:pPr>
            <w:r w:rsidRPr="00170422">
              <w:rPr>
                <w:noProof/>
                <w:lang w:val="de-DE"/>
              </w:rPr>
              <w:t>200</w:t>
            </w:r>
          </w:p>
        </w:tc>
        <w:tc>
          <w:tcPr>
            <w:tcW w:w="29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73455647" w14:textId="77777777" w:rsidR="0057163C" w:rsidRPr="00170422" w:rsidRDefault="00F37BF9">
            <w:pPr>
              <w:pStyle w:val="P68B1DB1-Normal11"/>
              <w:jc w:val="center"/>
              <w:rPr>
                <w:noProof/>
                <w:szCs w:val="20"/>
                <w:lang w:val="de-DE"/>
              </w:rPr>
            </w:pPr>
            <w:r w:rsidRPr="00170422">
              <w:rPr>
                <w:noProof/>
                <w:lang w:val="de-DE"/>
              </w:rPr>
              <w:t>Q2</w:t>
            </w:r>
          </w:p>
        </w:tc>
        <w:tc>
          <w:tcPr>
            <w:tcW w:w="242"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460BCA05" w14:textId="77777777" w:rsidR="0057163C" w:rsidRPr="00170422" w:rsidRDefault="00F37BF9">
            <w:pPr>
              <w:pStyle w:val="P68B1DB1-Normal11"/>
              <w:jc w:val="center"/>
              <w:rPr>
                <w:noProof/>
                <w:szCs w:val="20"/>
                <w:lang w:val="de-DE"/>
              </w:rPr>
            </w:pPr>
            <w:r w:rsidRPr="00170422">
              <w:rPr>
                <w:noProof/>
                <w:lang w:val="de-DE"/>
              </w:rPr>
              <w:t>2026</w:t>
            </w:r>
          </w:p>
        </w:tc>
        <w:tc>
          <w:tcPr>
            <w:tcW w:w="909" w:type="pct"/>
            <w:tcBorders>
              <w:top w:val="single" w:sz="4" w:space="0" w:color="auto"/>
              <w:left w:val="single" w:sz="4" w:space="0" w:color="auto"/>
              <w:bottom w:val="single" w:sz="4" w:space="0" w:color="auto"/>
              <w:right w:val="single" w:sz="4" w:space="0" w:color="auto"/>
            </w:tcBorders>
            <w:shd w:val="clear" w:color="auto" w:fill="C6EFCE"/>
            <w:noWrap/>
            <w:vAlign w:val="center"/>
          </w:tcPr>
          <w:p w14:paraId="5B41C3F2" w14:textId="7289E744" w:rsidR="0057163C" w:rsidRPr="00170422" w:rsidRDefault="00F37BF9">
            <w:pPr>
              <w:pStyle w:val="P68B1DB1-Normal12"/>
              <w:rPr>
                <w:noProof/>
                <w:lang w:val="de-DE"/>
              </w:rPr>
            </w:pPr>
            <w:r w:rsidRPr="00170422">
              <w:rPr>
                <w:noProof/>
                <w:lang w:val="de-DE"/>
              </w:rPr>
              <w:t xml:space="preserve">Die </w:t>
            </w:r>
            <w:r w:rsidRPr="00170422">
              <w:rPr>
                <w:noProof/>
                <w:lang w:val="de-DE"/>
              </w:rPr>
              <w:t>Bescheinigungen über den Abschluss der Arbeiten oder Dienstleistungen werden für mindestens 200 im Caput-Mundi-Programm aufgeführte Interventionen ausgestellt.</w:t>
            </w:r>
          </w:p>
        </w:tc>
      </w:tr>
    </w:tbl>
    <w:p w14:paraId="79948301" w14:textId="77777777" w:rsidR="0057163C" w:rsidRPr="00170422" w:rsidRDefault="0057163C">
      <w:pPr>
        <w:tabs>
          <w:tab w:val="left" w:pos="4908"/>
        </w:tabs>
        <w:rPr>
          <w:noProof/>
          <w:lang w:val="de-DE"/>
        </w:rPr>
      </w:pPr>
    </w:p>
    <w:p w14:paraId="5CA6D409" w14:textId="77777777" w:rsidR="0057163C" w:rsidRPr="00170422" w:rsidRDefault="00F37BF9">
      <w:pPr>
        <w:tabs>
          <w:tab w:val="left" w:pos="2220"/>
        </w:tabs>
        <w:rPr>
          <w:noProof/>
          <w:lang w:val="de-DE"/>
        </w:rPr>
        <w:sectPr w:rsidR="0057163C" w:rsidRPr="00170422" w:rsidSect="005A558B">
          <w:headerReference w:type="even" r:id="rId70"/>
          <w:headerReference w:type="default" r:id="rId71"/>
          <w:footerReference w:type="even" r:id="rId72"/>
          <w:footerReference w:type="default" r:id="rId73"/>
          <w:headerReference w:type="first" r:id="rId74"/>
          <w:footerReference w:type="first" r:id="rId75"/>
          <w:pgSz w:w="16838" w:h="11906" w:orient="landscape"/>
          <w:pgMar w:top="1440" w:right="1440" w:bottom="1440" w:left="1440" w:header="709" w:footer="709" w:gutter="0"/>
          <w:cols w:space="708"/>
          <w:docGrid w:linePitch="360"/>
        </w:sectPr>
      </w:pPr>
      <w:r w:rsidRPr="00170422">
        <w:rPr>
          <w:noProof/>
          <w:lang w:val="de-DE"/>
        </w:rPr>
        <w:tab/>
      </w:r>
    </w:p>
    <w:p w14:paraId="0B5F1EA7" w14:textId="77777777" w:rsidR="0057163C" w:rsidRPr="00170422" w:rsidRDefault="00F37BF9">
      <w:pPr>
        <w:pStyle w:val="P68B1DB1-Heading23"/>
        <w:rPr>
          <w:bCs/>
          <w:noProof/>
          <w:lang w:val="de-DE"/>
        </w:rPr>
      </w:pPr>
      <w:r w:rsidRPr="00170422">
        <w:rPr>
          <w:noProof/>
          <w:lang w:val="de-DE"/>
        </w:rPr>
        <w:t xml:space="preserve">D. MISSION 2 KOMPONENTE 1: </w:t>
      </w:r>
      <w:r w:rsidRPr="00170422">
        <w:rPr>
          <w:noProof/>
          <w:lang w:val="de-DE"/>
        </w:rPr>
        <w:t>Kreislaufwirtschaft, Agrar- und Lebensmittelwirtschaft und ökologischer Wandel </w:t>
      </w:r>
    </w:p>
    <w:p w14:paraId="5B27AD68" w14:textId="2F7A0401"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 xml:space="preserve">Diese Komponente des italienischen Aufbau- und Resilienzplans umfasst Investitionen und Reformen in den Bereichen Abfallbewirtschaftung, Kreislaufwirtschaft, Unterstützung der </w:t>
      </w:r>
      <w:r w:rsidRPr="00170422">
        <w:rPr>
          <w:noProof/>
          <w:lang w:val="de-DE"/>
        </w:rPr>
        <w:t>Agrar- und Lebensmittelwertschöpfungsketten und des ökologischen Wandels. Diese Reformen und Investitionen werden durch Reformen zur Stärkung des Wettbewerbs in der Abfallbewirtschaftung und lokalen öffentlichen Dienstleistungen im Rahmen der Reformkompone</w:t>
      </w:r>
      <w:r w:rsidRPr="00170422">
        <w:rPr>
          <w:noProof/>
          <w:lang w:val="de-DE"/>
        </w:rPr>
        <w:t xml:space="preserve">nte „Unternehmensumfeld“ und zur Verbesserung des Wasserverbrauchs in der Landwirtschaft ergänzt. Diese Komponente entspricht den länderspezifischen Empfehlungen, Investitionen in den ökologischen Wandel, auch in die Kreislaufwirtschaft, zu konzentrieren. </w:t>
      </w:r>
      <w:r w:rsidRPr="00170422">
        <w:rPr>
          <w:noProof/>
          <w:lang w:val="de-DE"/>
        </w:rPr>
        <w:t> </w:t>
      </w:r>
    </w:p>
    <w:p w14:paraId="1C34463A" w14:textId="77777777"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Die Investitionen und Reformen im Rahmen dieser Komponente sollen dazu beitragen, die länderspezifischen Empfehlungen an Italien in den Jahren 2020 und 2019 umzusetzen, in denen es darum geht, „die Investitionen auf den ökologischen und digitalen Wandel,</w:t>
      </w:r>
      <w:r w:rsidRPr="00170422">
        <w:rPr>
          <w:noProof/>
          <w:lang w:val="de-DE"/>
        </w:rPr>
        <w:t xml:space="preserve"> insbesondere in die Abfall- und Wasserwirtschaft, zu konzentrieren“ (länderspezifische Empfehlung 3, 2020) und „die investitionsbezogene Wirtschaftspolitik auf [...] und die Qualität der Infrastruktur zu konzentrieren, wobei auch regionale Unterschiede zu</w:t>
      </w:r>
      <w:r w:rsidRPr="00170422">
        <w:rPr>
          <w:noProof/>
          <w:lang w:val="de-DE"/>
        </w:rPr>
        <w:t xml:space="preserve"> berücksichtigen sind“ (länderspezifische Empfehlung 3, 2019). </w:t>
      </w:r>
    </w:p>
    <w:p w14:paraId="7FDA1781" w14:textId="77777777" w:rsidR="0057163C" w:rsidRPr="00170422" w:rsidRDefault="00F37BF9">
      <w:pPr>
        <w:pStyle w:val="P68B1DB1-Normal45"/>
        <w:spacing w:after="0" w:line="240" w:lineRule="auto"/>
        <w:jc w:val="both"/>
        <w:textAlignment w:val="baseline"/>
        <w:rPr>
          <w:noProof/>
          <w:lang w:val="de-DE"/>
        </w:rPr>
      </w:pPr>
      <w:r w:rsidRPr="00170422">
        <w:rPr>
          <w:noProof/>
          <w:lang w:val="de-DE"/>
        </w:rPr>
        <w:t>Es wird davon ausgegangen, dass keine Maßnahme in dieser Komponente die Umweltziele im Sinne von Artikel 17 der Verordnung (EU) 2020/852 erheblich beeinträchtigt, wobei die Beschreibung der Ma</w:t>
      </w:r>
      <w:r w:rsidRPr="00170422">
        <w:rPr>
          <w:noProof/>
          <w:lang w:val="de-DE"/>
        </w:rPr>
        <w:t>ßnahmen und der Risikominderungsschritte, die im Aufbau- und Resilienzplan im Einklang mit den Technischen Leitlinien für die Anwendung des Grundsatzes der „Vermeidung erheblicher Beeinträchtigungen“ (2021/C58/01) festgelegt sind, berücksichtigt wird. </w:t>
      </w:r>
    </w:p>
    <w:p w14:paraId="1C76D193" w14:textId="33A8CAE9"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noProof/>
          <w:lang w:val="de-DE"/>
        </w:rPr>
        <w:t xml:space="preserve"> </w:t>
      </w:r>
    </w:p>
    <w:p w14:paraId="1552B837" w14:textId="72D8D022" w:rsidR="0057163C" w:rsidRPr="00170422" w:rsidRDefault="00F37BF9">
      <w:pPr>
        <w:pStyle w:val="P68B1DB1-Heading347"/>
        <w:ind w:left="850" w:hanging="850"/>
        <w:rPr>
          <w:bCs/>
          <w:noProof/>
          <w:lang w:val="de-DE"/>
        </w:rPr>
      </w:pPr>
      <w:r w:rsidRPr="00170422">
        <w:rPr>
          <w:noProof/>
          <w:lang w:val="de-DE"/>
        </w:rPr>
        <w:t>D</w:t>
      </w:r>
      <w:r w:rsidRPr="00170422">
        <w:rPr>
          <w:noProof/>
          <w:lang w:val="de-DE"/>
        </w:rPr>
        <w:t xml:space="preserve">.1. </w:t>
      </w:r>
      <w:r w:rsidRPr="00170422">
        <w:rPr>
          <w:noProof/>
          <w:lang w:val="de-DE"/>
        </w:rPr>
        <w:tab/>
        <w:t xml:space="preserve">Beschreibung der Reformen und Investitionen für nicht rückzahlbare finanzielle Unterstützung </w:t>
      </w:r>
    </w:p>
    <w:p w14:paraId="4DC36F08" w14:textId="77777777" w:rsidR="0057163C" w:rsidRPr="00170422" w:rsidRDefault="0057163C">
      <w:pPr>
        <w:spacing w:after="0" w:line="240" w:lineRule="auto"/>
        <w:jc w:val="both"/>
        <w:textAlignment w:val="baseline"/>
        <w:rPr>
          <w:rFonts w:ascii="Times New Roman" w:eastAsia="Times New Roman" w:hAnsi="Times New Roman" w:cs="Times New Roman"/>
          <w:i/>
          <w:iCs/>
          <w:noProof/>
          <w:kern w:val="0"/>
          <w:sz w:val="24"/>
          <w:szCs w:val="24"/>
          <w:lang w:val="de-DE"/>
          <w14:ligatures w14:val="none"/>
        </w:rPr>
      </w:pPr>
    </w:p>
    <w:p w14:paraId="2171D838" w14:textId="0CB730DB" w:rsidR="0057163C" w:rsidRPr="00170422" w:rsidRDefault="00F37BF9">
      <w:pPr>
        <w:pStyle w:val="P68B1DB1-Normal48"/>
        <w:spacing w:after="0" w:line="240" w:lineRule="auto"/>
        <w:jc w:val="both"/>
        <w:textAlignment w:val="baseline"/>
        <w:rPr>
          <w:rFonts w:ascii="Segoe UI" w:hAnsi="Segoe UI" w:cs="Segoe UI"/>
          <w:iCs/>
          <w:noProof/>
          <w:sz w:val="18"/>
          <w:szCs w:val="18"/>
          <w:lang w:val="de-DE"/>
        </w:rPr>
      </w:pPr>
      <w:r w:rsidRPr="00170422">
        <w:rPr>
          <w:noProof/>
          <w:lang w:val="de-DE"/>
        </w:rPr>
        <w:t xml:space="preserve">Kreislaufwirtschaft </w:t>
      </w:r>
    </w:p>
    <w:p w14:paraId="2B8E09C9" w14:textId="77777777" w:rsidR="0057163C" w:rsidRPr="00170422" w:rsidRDefault="0057163C">
      <w:pPr>
        <w:spacing w:after="0" w:line="240" w:lineRule="auto"/>
        <w:jc w:val="both"/>
        <w:textAlignment w:val="baseline"/>
        <w:rPr>
          <w:rFonts w:ascii="Times New Roman" w:eastAsia="Times New Roman" w:hAnsi="Times New Roman" w:cs="Times New Roman"/>
          <w:b/>
          <w:bCs/>
          <w:noProof/>
          <w:kern w:val="0"/>
          <w:sz w:val="24"/>
          <w:szCs w:val="24"/>
          <w:lang w:val="de-DE"/>
          <w14:ligatures w14:val="none"/>
        </w:rPr>
      </w:pPr>
    </w:p>
    <w:p w14:paraId="2780A5B3" w14:textId="5D875328"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Reform 1.1 – Nationale Strategie für die Kreislaufwirtschaft</w:t>
      </w:r>
      <w:r w:rsidRPr="00170422">
        <w:rPr>
          <w:noProof/>
          <w:lang w:val="de-DE"/>
        </w:rPr>
        <w:t> </w:t>
      </w:r>
    </w:p>
    <w:p w14:paraId="0D619733" w14:textId="77777777"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 xml:space="preserve">Diese Reform umfasst die Annahme einer umfassenden nationalen Strategie </w:t>
      </w:r>
      <w:r w:rsidRPr="00170422">
        <w:rPr>
          <w:noProof/>
          <w:lang w:val="de-DE"/>
        </w:rPr>
        <w:t>für die Kreislaufwirtschaft, die ein neues digitales System zur Rückverfolgbarkeit von Abfällen umfasst, steuerliche Anreize zur Unterstützung von Recyclingtätigkeiten und der Verwendung von Sekundärrohstoffen, eine Überarbeitung der Umweltsteuer, das Rech</w:t>
      </w:r>
      <w:r w:rsidRPr="00170422">
        <w:rPr>
          <w:noProof/>
          <w:lang w:val="de-DE"/>
        </w:rPr>
        <w:t>t auf Wiederverwendung und Reparatur, die Reform des Systems der erweiterten Herstellerverantwortung und des Systems von Konsortien, die Unterstützung bestehender Regulierungsinstrumente (z. B. die Rechtsvorschriften über das Ende der Abfalleigenschaft und</w:t>
      </w:r>
      <w:r w:rsidRPr="00170422">
        <w:rPr>
          <w:noProof/>
          <w:lang w:val="de-DE"/>
        </w:rPr>
        <w:t xml:space="preserve"> die Mindestumweltkriterien im Rahmen der umweltgerechten Vergabe öffentlicher Aufträge) und die Unterstützung des Projekts zur Industriesymbiose. Bei der Reform des Systems der erweiterten Herstellerverantwortung und des Systems von Konsortien wird auch a</w:t>
      </w:r>
      <w:r w:rsidRPr="00170422">
        <w:rPr>
          <w:noProof/>
          <w:lang w:val="de-DE"/>
        </w:rPr>
        <w:t xml:space="preserve">uf die Notwendigkeit einer effizienteren Nutzung des Umweltbeitrags eingegangen, um die Anwendung transparenter und nichtdiskriminierender Kriterien sicherzustellen. Unter dem Vorsitz des Ministeriums für den ökologischen Wandel (MITE) wird ein spezielles </w:t>
      </w:r>
      <w:r w:rsidRPr="00170422">
        <w:rPr>
          <w:noProof/>
          <w:lang w:val="de-DE"/>
        </w:rPr>
        <w:t>Aufsichtsorgan eingerichtet, das das Funktionieren und die Wirksamkeit der Konsortialsysteme überwacht. Die Maßnahme betrifft alle Konsortien (nicht nur das CONAI-Verpackungssystem). </w:t>
      </w:r>
    </w:p>
    <w:p w14:paraId="5172A763" w14:textId="77777777" w:rsidR="0057163C" w:rsidRPr="00170422" w:rsidRDefault="0057163C">
      <w:pPr>
        <w:tabs>
          <w:tab w:val="left" w:pos="2220"/>
        </w:tabs>
        <w:rPr>
          <w:noProof/>
          <w:lang w:val="de-DE"/>
        </w:rPr>
      </w:pPr>
    </w:p>
    <w:p w14:paraId="2A835416" w14:textId="77777777"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Reform 1.3 – Technische Unterstützung für lokale Behörden</w:t>
      </w:r>
      <w:r w:rsidRPr="00170422">
        <w:rPr>
          <w:noProof/>
          <w:lang w:val="de-DE"/>
        </w:rPr>
        <w:t> </w:t>
      </w:r>
    </w:p>
    <w:p w14:paraId="0B3D89C4" w14:textId="77777777" w:rsidR="0057163C" w:rsidRPr="00170422" w:rsidRDefault="00F37BF9">
      <w:pPr>
        <w:pStyle w:val="P68B1DB1-Normal45"/>
        <w:spacing w:after="0" w:line="240" w:lineRule="auto"/>
        <w:jc w:val="both"/>
        <w:textAlignment w:val="baseline"/>
        <w:rPr>
          <w:noProof/>
          <w:lang w:val="de-DE"/>
        </w:rPr>
      </w:pPr>
      <w:r w:rsidRPr="00170422">
        <w:rPr>
          <w:noProof/>
          <w:lang w:val="de-DE"/>
        </w:rPr>
        <w:t>Diese Reform</w:t>
      </w:r>
      <w:r w:rsidRPr="00170422">
        <w:rPr>
          <w:noProof/>
          <w:lang w:val="de-DE"/>
        </w:rPr>
        <w:t xml:space="preserve"> besteht in der technischen Unterstützung der lokalen Behörden durch die Regierung bei der Umsetzung von Umweltvorschriften auf EU- und nationaler Ebene, bei der Ausarbeitung von Plänen und Projekten im Bereich der Abfallbewirtschaftung und bei Ausschreibu</w:t>
      </w:r>
      <w:r w:rsidRPr="00170422">
        <w:rPr>
          <w:noProof/>
          <w:lang w:val="de-DE"/>
        </w:rPr>
        <w:t>ngsverfahren. Die Unterstützung für Ausschreibungsverfahren stellt sicher, dass Konzessionen im Bereich der Abfallbewirtschaftung auf transparente und diskriminierungsfreie Weise vergeben werden, wodurch die Wettbewerbsprozesse verbessert werden, um besser</w:t>
      </w:r>
      <w:r w:rsidRPr="00170422">
        <w:rPr>
          <w:noProof/>
          <w:lang w:val="de-DE"/>
        </w:rPr>
        <w:t>e Standards für öffentliche Dienstleistungen zu erreichen. Mit dieser Reform wird daher die Umsetzung der im Rahmen der Reform der Rahmenbedingungen für Unternehmen vorgeschlagenen Reformen der Abfallbewirtschaftung unterstützt. Die technische Unterstützun</w:t>
      </w:r>
      <w:r w:rsidRPr="00170422">
        <w:rPr>
          <w:noProof/>
          <w:lang w:val="de-DE"/>
        </w:rPr>
        <w:t>g erstreckt sich auch auf die umweltgerechte Vergabe öffentlicher Aufträge. </w:t>
      </w:r>
    </w:p>
    <w:p w14:paraId="141314B5"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52DAD967" w14:textId="63D5C66A"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Investition 2.1 – Logistikplan für die Sektoren Agrar- und Ernährungswirtschaft, Fischerei und Aquakultur, Forstwirtschaft, Blumenzucht und Pflanzenzucht</w:t>
      </w:r>
      <w:r w:rsidRPr="00170422">
        <w:rPr>
          <w:noProof/>
          <w:lang w:val="de-DE"/>
        </w:rPr>
        <w:t> </w:t>
      </w:r>
    </w:p>
    <w:p w14:paraId="30D31CE9" w14:textId="46F35EED" w:rsidR="0057163C" w:rsidRPr="00170422" w:rsidRDefault="00F37BF9">
      <w:pPr>
        <w:pStyle w:val="P68B1DB1-Normal45"/>
        <w:spacing w:after="0" w:line="240" w:lineRule="auto"/>
        <w:jc w:val="both"/>
        <w:textAlignment w:val="baseline"/>
        <w:rPr>
          <w:noProof/>
          <w:lang w:val="de-DE"/>
        </w:rPr>
      </w:pPr>
      <w:r w:rsidRPr="00170422">
        <w:rPr>
          <w:noProof/>
          <w:lang w:val="de-DE"/>
        </w:rPr>
        <w:t>Ziel dieser Investition</w:t>
      </w:r>
      <w:r w:rsidRPr="00170422">
        <w:rPr>
          <w:noProof/>
          <w:lang w:val="de-DE"/>
        </w:rPr>
        <w:t xml:space="preserve"> ist es, die Verringerung der Emissionen in der Transport- und Logistikphase im Agrar- und Lebensmittelsektor zu fördern, die Digitalisierung des Sektors und die Nutzung erneuerbarer Energien voranzutreiben. Bei dieser Maßnahme handelt es sich um die Gewäh</w:t>
      </w:r>
      <w:r w:rsidRPr="00170422">
        <w:rPr>
          <w:noProof/>
          <w:lang w:val="de-DE"/>
        </w:rPr>
        <w:t xml:space="preserve">rung von Unterstützung für materielle und immaterielle Investitionen. </w:t>
      </w:r>
    </w:p>
    <w:p w14:paraId="65F89003"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2E08DDFA" w14:textId="77777777"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Investition 2.2 – Agro-Solarpark</w:t>
      </w:r>
      <w:r w:rsidRPr="00170422">
        <w:rPr>
          <w:noProof/>
          <w:lang w:val="de-DE"/>
        </w:rPr>
        <w:t> </w:t>
      </w:r>
    </w:p>
    <w:p w14:paraId="253896AA" w14:textId="77777777" w:rsidR="0057163C" w:rsidRPr="00170422" w:rsidRDefault="00F37BF9">
      <w:pPr>
        <w:pStyle w:val="P68B1DB1-Normal45"/>
        <w:spacing w:after="0" w:line="240" w:lineRule="auto"/>
        <w:jc w:val="both"/>
        <w:textAlignment w:val="baseline"/>
        <w:rPr>
          <w:noProof/>
          <w:lang w:val="de-DE"/>
        </w:rPr>
      </w:pPr>
      <w:r w:rsidRPr="00170422">
        <w:rPr>
          <w:noProof/>
          <w:lang w:val="de-DE"/>
        </w:rPr>
        <w:t>Ziel dieser Investition ist es, die Nachhaltigkeit und Wettbewerbsfähigkeit des Agrarsektors zu erhöhen. Bei dieser Maßnahme handelt es sich um die Ge</w:t>
      </w:r>
      <w:r w:rsidRPr="00170422">
        <w:rPr>
          <w:noProof/>
          <w:lang w:val="de-DE"/>
        </w:rPr>
        <w:t>währung von Unterstützung für Investitionen in die Strukturen der Landwirtschaft, der Viehzucht und der Agroindustrie zur Installation von Solarpaneelen sowie ergänzende Interventionen. </w:t>
      </w:r>
    </w:p>
    <w:p w14:paraId="224CC0BC"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06F8BF3E" w14:textId="2D339E0D"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Investition 2.3 – Innovation und Mechanisierung im Agrar- und Lebens</w:t>
      </w:r>
      <w:r w:rsidRPr="00170422">
        <w:rPr>
          <w:b/>
          <w:noProof/>
          <w:lang w:val="de-DE"/>
        </w:rPr>
        <w:t>mittelsektor</w:t>
      </w:r>
      <w:r w:rsidRPr="00170422">
        <w:rPr>
          <w:noProof/>
          <w:lang w:val="de-DE"/>
        </w:rPr>
        <w:t xml:space="preserve"> </w:t>
      </w:r>
    </w:p>
    <w:p w14:paraId="0FCD6BF1" w14:textId="1A00BDA1" w:rsidR="0057163C" w:rsidRPr="00170422" w:rsidRDefault="00F37BF9">
      <w:pPr>
        <w:pStyle w:val="P68B1DB1-Normal45"/>
        <w:spacing w:after="0" w:line="240" w:lineRule="auto"/>
        <w:jc w:val="both"/>
        <w:textAlignment w:val="baseline"/>
        <w:rPr>
          <w:noProof/>
          <w:lang w:val="de-DE"/>
        </w:rPr>
      </w:pPr>
      <w:r w:rsidRPr="00170422">
        <w:rPr>
          <w:noProof/>
          <w:lang w:val="de-DE"/>
        </w:rPr>
        <w:t xml:space="preserve">Ziel dieser Investition ist es, Innovationen im Agrar- und Lebensmittelsektor zu fördern. Diese Maßnahme besteht in der Gewährung von Beihilfen für Investitionen in materielle und immaterielle Vermögenswerte. </w:t>
      </w:r>
    </w:p>
    <w:p w14:paraId="65001F7E"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56B2BBCA" w14:textId="77777777" w:rsidR="0057163C" w:rsidRPr="00170422" w:rsidRDefault="00F37BF9">
      <w:pPr>
        <w:pStyle w:val="P68B1DB1-Normal46"/>
        <w:spacing w:after="0" w:line="240" w:lineRule="auto"/>
        <w:textAlignment w:val="baseline"/>
        <w:rPr>
          <w:rFonts w:ascii="Segoe UI" w:hAnsi="Segoe UI" w:cs="Segoe UI"/>
          <w:noProof/>
          <w:sz w:val="18"/>
          <w:szCs w:val="18"/>
          <w:lang w:val="de-DE"/>
        </w:rPr>
      </w:pPr>
      <w:r w:rsidRPr="00170422">
        <w:rPr>
          <w:b/>
          <w:noProof/>
          <w:lang w:val="de-DE"/>
        </w:rPr>
        <w:t>Investition 3.3 – Kultur und Se</w:t>
      </w:r>
      <w:r w:rsidRPr="00170422">
        <w:rPr>
          <w:b/>
          <w:noProof/>
          <w:lang w:val="de-DE"/>
        </w:rPr>
        <w:t>nsibilisierung für Umweltthemen und -herausforderungen</w:t>
      </w:r>
      <w:r w:rsidRPr="00170422">
        <w:rPr>
          <w:noProof/>
          <w:lang w:val="de-DE"/>
        </w:rPr>
        <w:t> </w:t>
      </w:r>
    </w:p>
    <w:p w14:paraId="21DB19EA" w14:textId="0EEC83F9" w:rsidR="0057163C" w:rsidRPr="00170422" w:rsidRDefault="00F37BF9">
      <w:pPr>
        <w:pStyle w:val="P68B1DB1-Normal45"/>
        <w:spacing w:after="0" w:line="240" w:lineRule="auto"/>
        <w:jc w:val="both"/>
        <w:textAlignment w:val="baseline"/>
        <w:rPr>
          <w:noProof/>
          <w:lang w:val="de-DE"/>
        </w:rPr>
      </w:pPr>
      <w:r w:rsidRPr="00170422">
        <w:rPr>
          <w:noProof/>
          <w:lang w:val="de-DE"/>
        </w:rPr>
        <w:t>Ziel dieser Investition ist die Gestaltung und Herstellung digitaler Inhalte, um das Bewusstsein für die Herausforderungen in den Bereichen Umwelt und Klima zu schärfen. Die Investition besteht in der</w:t>
      </w:r>
      <w:r w:rsidRPr="00170422">
        <w:rPr>
          <w:noProof/>
          <w:lang w:val="de-DE"/>
        </w:rPr>
        <w:t xml:space="preserve"> Einrichtung einer Plattform ohne Online-Abonnement, um ein Archiv für Bildungs- und Freizeitmaterialien zu umweltbezogenen Themen zu schaffen. </w:t>
      </w:r>
    </w:p>
    <w:p w14:paraId="2F31477F" w14:textId="77777777" w:rsidR="0057163C" w:rsidRPr="00170422" w:rsidRDefault="0057163C">
      <w:pPr>
        <w:spacing w:after="0" w:line="240" w:lineRule="auto"/>
        <w:jc w:val="both"/>
        <w:textAlignment w:val="baseline"/>
        <w:rPr>
          <w:rFonts w:ascii="Times New Roman" w:eastAsia="Times New Roman" w:hAnsi="Times New Roman" w:cs="Times New Roman"/>
          <w:noProof/>
          <w:kern w:val="0"/>
          <w:sz w:val="24"/>
          <w:szCs w:val="24"/>
          <w:lang w:val="de-DE"/>
          <w14:ligatures w14:val="none"/>
        </w:rPr>
      </w:pPr>
    </w:p>
    <w:p w14:paraId="51ADAF0C" w14:textId="77777777" w:rsidR="0057163C" w:rsidRPr="00170422" w:rsidRDefault="0057163C">
      <w:pPr>
        <w:spacing w:after="0" w:line="240" w:lineRule="auto"/>
        <w:jc w:val="both"/>
        <w:textAlignment w:val="baseline"/>
        <w:rPr>
          <w:rFonts w:ascii="Times New Roman" w:eastAsia="Times New Roman" w:hAnsi="Times New Roman" w:cs="Times New Roman"/>
          <w:noProof/>
          <w:kern w:val="0"/>
          <w:sz w:val="24"/>
          <w:szCs w:val="24"/>
          <w:lang w:val="de-DE"/>
          <w14:ligatures w14:val="none"/>
        </w:rPr>
        <w:sectPr w:rsidR="0057163C" w:rsidRPr="00170422" w:rsidSect="00726CF9">
          <w:headerReference w:type="default" r:id="rId76"/>
          <w:footerReference w:type="default" r:id="rId77"/>
          <w:pgSz w:w="11906" w:h="16838"/>
          <w:pgMar w:top="1440" w:right="1440" w:bottom="1440" w:left="1440" w:header="708" w:footer="708" w:gutter="0"/>
          <w:cols w:space="708"/>
          <w:docGrid w:linePitch="360"/>
        </w:sectPr>
      </w:pPr>
    </w:p>
    <w:p w14:paraId="333CFE1E"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58D88F4F" w14:textId="77777777" w:rsidR="0057163C" w:rsidRPr="00170422" w:rsidRDefault="00F37BF9">
      <w:pPr>
        <w:pStyle w:val="P68B1DB1-Heading347"/>
        <w:ind w:left="850" w:hanging="850"/>
        <w:rPr>
          <w:bCs/>
          <w:noProof/>
          <w:lang w:val="de-DE"/>
        </w:rPr>
      </w:pPr>
      <w:r w:rsidRPr="00170422">
        <w:rPr>
          <w:noProof/>
          <w:lang w:val="de-DE"/>
        </w:rPr>
        <w:t xml:space="preserve">D.2. </w:t>
      </w:r>
      <w:r w:rsidRPr="00170422">
        <w:rPr>
          <w:noProof/>
          <w:lang w:val="de-DE"/>
        </w:rPr>
        <w:tab/>
        <w:t>Etappenziele, Zielwerte, Indikatoren und Zeitplan fü</w:t>
      </w:r>
      <w:r w:rsidRPr="00170422">
        <w:rPr>
          <w:noProof/>
          <w:lang w:val="de-DE"/>
        </w:rPr>
        <w:t>r die Überwachung und Durchführung der nicht rückzahlbaren finanziellen Unterstützung </w:t>
      </w:r>
    </w:p>
    <w:tbl>
      <w:tblPr>
        <w:tblW w:w="1516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03"/>
        <w:gridCol w:w="1597"/>
        <w:gridCol w:w="1633"/>
        <w:gridCol w:w="1599"/>
        <w:gridCol w:w="1759"/>
        <w:gridCol w:w="1044"/>
        <w:gridCol w:w="1177"/>
        <w:gridCol w:w="1108"/>
        <w:gridCol w:w="878"/>
        <w:gridCol w:w="571"/>
        <w:gridCol w:w="2699"/>
      </w:tblGrid>
      <w:tr w:rsidR="0057163C" w:rsidRPr="00170422" w14:paraId="4FFB539A" w14:textId="77777777">
        <w:trPr>
          <w:trHeight w:val="300"/>
          <w:tblHeader/>
        </w:trPr>
        <w:tc>
          <w:tcPr>
            <w:tcW w:w="1276" w:type="dxa"/>
            <w:vMerge w:val="restart"/>
            <w:shd w:val="clear" w:color="auto" w:fill="BDD7EE"/>
            <w:vAlign w:val="center"/>
            <w:hideMark/>
          </w:tcPr>
          <w:p w14:paraId="06FEAAE3"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Laufende Nummer</w:t>
            </w:r>
            <w:r w:rsidRPr="00170422">
              <w:rPr>
                <w:noProof/>
                <w:lang w:val="de-DE"/>
              </w:rPr>
              <w:t> </w:t>
            </w:r>
          </w:p>
        </w:tc>
        <w:tc>
          <w:tcPr>
            <w:tcW w:w="1418" w:type="dxa"/>
            <w:vMerge w:val="restart"/>
            <w:shd w:val="clear" w:color="auto" w:fill="BDD7EE"/>
            <w:vAlign w:val="center"/>
            <w:hideMark/>
          </w:tcPr>
          <w:p w14:paraId="72EE6A21"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Verbundene Maßnahme (Reform oder Investition)</w:t>
            </w:r>
            <w:r w:rsidRPr="00170422">
              <w:rPr>
                <w:noProof/>
                <w:lang w:val="de-DE"/>
              </w:rPr>
              <w:t> </w:t>
            </w:r>
          </w:p>
        </w:tc>
        <w:tc>
          <w:tcPr>
            <w:tcW w:w="1276" w:type="dxa"/>
            <w:vMerge w:val="restart"/>
            <w:shd w:val="clear" w:color="auto" w:fill="BDD7EE"/>
            <w:vAlign w:val="center"/>
            <w:hideMark/>
          </w:tcPr>
          <w:p w14:paraId="3F6A5F83"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Etappenziel/Zielwert</w:t>
            </w:r>
            <w:r w:rsidRPr="00170422">
              <w:rPr>
                <w:noProof/>
                <w:lang w:val="de-DE"/>
              </w:rPr>
              <w:t> </w:t>
            </w:r>
          </w:p>
        </w:tc>
        <w:tc>
          <w:tcPr>
            <w:tcW w:w="1701" w:type="dxa"/>
            <w:vMerge w:val="restart"/>
            <w:shd w:val="clear" w:color="auto" w:fill="BDD7EE"/>
            <w:vAlign w:val="center"/>
            <w:hideMark/>
          </w:tcPr>
          <w:p w14:paraId="6EDEF13D"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Namen</w:t>
            </w:r>
            <w:r w:rsidRPr="00170422">
              <w:rPr>
                <w:noProof/>
                <w:lang w:val="de-DE"/>
              </w:rPr>
              <w:t> </w:t>
            </w:r>
          </w:p>
        </w:tc>
        <w:tc>
          <w:tcPr>
            <w:tcW w:w="1771" w:type="dxa"/>
            <w:vMerge w:val="restart"/>
            <w:shd w:val="clear" w:color="auto" w:fill="BDD7EE"/>
            <w:vAlign w:val="center"/>
            <w:hideMark/>
          </w:tcPr>
          <w:p w14:paraId="79D9AA64" w14:textId="7C373D79"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Etappenziel/Zielwert</w:t>
            </w:r>
            <w:r w:rsidRPr="00170422">
              <w:rPr>
                <w:noProof/>
                <w:lang w:val="de-DE"/>
              </w:rPr>
              <w:br/>
            </w:r>
            <w:r w:rsidRPr="00170422">
              <w:rPr>
                <w:b/>
                <w:noProof/>
                <w:lang w:val="de-DE"/>
              </w:rPr>
              <w:t>(für Etappenziele)</w:t>
            </w:r>
            <w:r w:rsidRPr="00170422">
              <w:rPr>
                <w:noProof/>
                <w:lang w:val="de-DE"/>
              </w:rPr>
              <w:t> </w:t>
            </w:r>
          </w:p>
        </w:tc>
        <w:tc>
          <w:tcPr>
            <w:tcW w:w="3338" w:type="dxa"/>
            <w:gridSpan w:val="3"/>
            <w:shd w:val="clear" w:color="auto" w:fill="BDD7EE"/>
            <w:vAlign w:val="center"/>
            <w:hideMark/>
          </w:tcPr>
          <w:p w14:paraId="2E6ABAA3" w14:textId="6612BE6F"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 xml:space="preserve">Qualitative Indikatoren (für </w:t>
            </w:r>
            <w:r w:rsidRPr="00170422">
              <w:rPr>
                <w:b/>
                <w:noProof/>
                <w:lang w:val="de-DE"/>
              </w:rPr>
              <w:t>Etappenziele)</w:t>
            </w:r>
            <w:r w:rsidRPr="00170422">
              <w:rPr>
                <w:noProof/>
                <w:lang w:val="de-DE"/>
              </w:rPr>
              <w:br/>
            </w:r>
            <w:r w:rsidRPr="00170422">
              <w:rPr>
                <w:b/>
                <w:noProof/>
                <w:lang w:val="de-DE"/>
              </w:rPr>
              <w:t>(für Ziele)</w:t>
            </w:r>
            <w:r w:rsidRPr="00170422">
              <w:rPr>
                <w:noProof/>
                <w:lang w:val="de-DE"/>
              </w:rPr>
              <w:t> </w:t>
            </w:r>
          </w:p>
        </w:tc>
        <w:tc>
          <w:tcPr>
            <w:tcW w:w="1508" w:type="dxa"/>
            <w:gridSpan w:val="2"/>
            <w:shd w:val="clear" w:color="auto" w:fill="BDD7EE"/>
            <w:vAlign w:val="center"/>
            <w:hideMark/>
          </w:tcPr>
          <w:p w14:paraId="4F86BFE1"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Vorläufiger Zeitplan für die Fertigstellung</w:t>
            </w:r>
            <w:r w:rsidRPr="00170422">
              <w:rPr>
                <w:noProof/>
                <w:lang w:val="de-DE"/>
              </w:rPr>
              <w:t> </w:t>
            </w:r>
          </w:p>
        </w:tc>
        <w:tc>
          <w:tcPr>
            <w:tcW w:w="2880" w:type="dxa"/>
            <w:vMerge w:val="restart"/>
            <w:shd w:val="clear" w:color="auto" w:fill="BDD7EE"/>
            <w:vAlign w:val="center"/>
            <w:hideMark/>
          </w:tcPr>
          <w:p w14:paraId="7F7BEB35" w14:textId="77777777" w:rsidR="0057163C" w:rsidRPr="00170422" w:rsidRDefault="00F37BF9">
            <w:pPr>
              <w:pStyle w:val="P68B1DB1-Normal49"/>
              <w:spacing w:after="0" w:line="240" w:lineRule="auto"/>
              <w:textAlignment w:val="baseline"/>
              <w:rPr>
                <w:rFonts w:ascii="Times New Roman" w:hAnsi="Times New Roman"/>
                <w:noProof/>
                <w:sz w:val="24"/>
                <w:szCs w:val="24"/>
                <w:lang w:val="de-DE"/>
              </w:rPr>
            </w:pPr>
            <w:r w:rsidRPr="00170422">
              <w:rPr>
                <w:b/>
                <w:noProof/>
                <w:lang w:val="de-DE"/>
              </w:rPr>
              <w:t>Beschreibung der einzelnen Etappenziele und Zielvorgaben</w:t>
            </w:r>
            <w:r w:rsidRPr="00170422">
              <w:rPr>
                <w:noProof/>
                <w:lang w:val="de-DE"/>
              </w:rPr>
              <w:t> </w:t>
            </w:r>
          </w:p>
        </w:tc>
      </w:tr>
      <w:tr w:rsidR="0057163C" w:rsidRPr="00170422" w14:paraId="5CC718B7" w14:textId="77777777">
        <w:trPr>
          <w:trHeight w:val="300"/>
          <w:tblHeader/>
        </w:trPr>
        <w:tc>
          <w:tcPr>
            <w:tcW w:w="1276" w:type="dxa"/>
            <w:vMerge/>
            <w:vAlign w:val="center"/>
            <w:hideMark/>
          </w:tcPr>
          <w:p w14:paraId="77C324D1"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418" w:type="dxa"/>
            <w:vMerge/>
            <w:vAlign w:val="center"/>
            <w:hideMark/>
          </w:tcPr>
          <w:p w14:paraId="14685905"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276" w:type="dxa"/>
            <w:vMerge/>
            <w:vAlign w:val="center"/>
            <w:hideMark/>
          </w:tcPr>
          <w:p w14:paraId="022BC84C"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701" w:type="dxa"/>
            <w:vMerge/>
            <w:vAlign w:val="center"/>
            <w:hideMark/>
          </w:tcPr>
          <w:p w14:paraId="64AFB6EB"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771" w:type="dxa"/>
            <w:vMerge/>
            <w:vAlign w:val="center"/>
            <w:hideMark/>
          </w:tcPr>
          <w:p w14:paraId="44092EC3"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098" w:type="dxa"/>
            <w:shd w:val="clear" w:color="auto" w:fill="BDD7EE"/>
            <w:vAlign w:val="center"/>
            <w:hideMark/>
          </w:tcPr>
          <w:p w14:paraId="2F53D412"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Maßeinheit</w:t>
            </w:r>
            <w:r w:rsidRPr="00170422">
              <w:rPr>
                <w:noProof/>
                <w:lang w:val="de-DE"/>
              </w:rPr>
              <w:t> </w:t>
            </w:r>
          </w:p>
        </w:tc>
        <w:tc>
          <w:tcPr>
            <w:tcW w:w="1043" w:type="dxa"/>
            <w:shd w:val="clear" w:color="auto" w:fill="BDD7EE"/>
            <w:vAlign w:val="center"/>
            <w:hideMark/>
          </w:tcPr>
          <w:p w14:paraId="3DFB793A"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Ausgangslage</w:t>
            </w:r>
            <w:r w:rsidRPr="00170422">
              <w:rPr>
                <w:noProof/>
                <w:lang w:val="de-DE"/>
              </w:rPr>
              <w:t> </w:t>
            </w:r>
          </w:p>
        </w:tc>
        <w:tc>
          <w:tcPr>
            <w:tcW w:w="1197" w:type="dxa"/>
            <w:shd w:val="clear" w:color="auto" w:fill="BDD7EE"/>
            <w:vAlign w:val="center"/>
            <w:hideMark/>
          </w:tcPr>
          <w:p w14:paraId="736672DE"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Ziel</w:t>
            </w:r>
            <w:r w:rsidRPr="00170422">
              <w:rPr>
                <w:noProof/>
                <w:lang w:val="de-DE"/>
              </w:rPr>
              <w:t> </w:t>
            </w:r>
          </w:p>
        </w:tc>
        <w:tc>
          <w:tcPr>
            <w:tcW w:w="900" w:type="dxa"/>
            <w:shd w:val="clear" w:color="auto" w:fill="BDD7EE"/>
            <w:vAlign w:val="center"/>
            <w:hideMark/>
          </w:tcPr>
          <w:p w14:paraId="3C51B5D2"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Viertel</w:t>
            </w:r>
            <w:r w:rsidRPr="00170422">
              <w:rPr>
                <w:noProof/>
                <w:lang w:val="de-DE"/>
              </w:rPr>
              <w:t> </w:t>
            </w:r>
          </w:p>
        </w:tc>
        <w:tc>
          <w:tcPr>
            <w:tcW w:w="608" w:type="dxa"/>
            <w:shd w:val="clear" w:color="auto" w:fill="BDD7EE"/>
            <w:vAlign w:val="center"/>
            <w:hideMark/>
          </w:tcPr>
          <w:p w14:paraId="25B906D7"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Jahre</w:t>
            </w:r>
            <w:r w:rsidRPr="00170422">
              <w:rPr>
                <w:noProof/>
                <w:lang w:val="de-DE"/>
              </w:rPr>
              <w:t> </w:t>
            </w:r>
          </w:p>
        </w:tc>
        <w:tc>
          <w:tcPr>
            <w:tcW w:w="2880" w:type="dxa"/>
            <w:vMerge/>
            <w:vAlign w:val="center"/>
            <w:hideMark/>
          </w:tcPr>
          <w:p w14:paraId="46483FDF"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r>
      <w:tr w:rsidR="0057163C" w:rsidRPr="00170422" w14:paraId="029204D0" w14:textId="77777777">
        <w:trPr>
          <w:trHeight w:val="300"/>
        </w:trPr>
        <w:tc>
          <w:tcPr>
            <w:tcW w:w="1276" w:type="dxa"/>
            <w:shd w:val="clear" w:color="auto" w:fill="C6EFCE"/>
            <w:vAlign w:val="center"/>
            <w:hideMark/>
          </w:tcPr>
          <w:p w14:paraId="5D0C01F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 </w:t>
            </w:r>
          </w:p>
        </w:tc>
        <w:tc>
          <w:tcPr>
            <w:tcW w:w="1418" w:type="dxa"/>
            <w:shd w:val="clear" w:color="auto" w:fill="C6EFCE"/>
            <w:vAlign w:val="center"/>
            <w:hideMark/>
          </w:tcPr>
          <w:p w14:paraId="30B53B2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Reform 1.1 – Nationale Strategie für die Kreislaufwirtschaft </w:t>
            </w:r>
          </w:p>
        </w:tc>
        <w:tc>
          <w:tcPr>
            <w:tcW w:w="1276" w:type="dxa"/>
            <w:shd w:val="clear" w:color="auto" w:fill="C6EFCE"/>
            <w:vAlign w:val="center"/>
            <w:hideMark/>
          </w:tcPr>
          <w:p w14:paraId="33AA09E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701" w:type="dxa"/>
            <w:shd w:val="clear" w:color="auto" w:fill="C6EFCE"/>
            <w:vAlign w:val="center"/>
            <w:hideMark/>
          </w:tcPr>
          <w:p w14:paraId="1D4A9D2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Inkrafttreten des Ministerialdekrets zur Annahme der nationalen Strategie für die Kreislaufwirtschaft </w:t>
            </w:r>
          </w:p>
        </w:tc>
        <w:tc>
          <w:tcPr>
            <w:tcW w:w="1771" w:type="dxa"/>
            <w:shd w:val="clear" w:color="auto" w:fill="C6EFCE"/>
            <w:vAlign w:val="center"/>
            <w:hideMark/>
          </w:tcPr>
          <w:p w14:paraId="527B26B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Bestimmung im Ministerialdekret über das Inkrafttreten </w:t>
            </w:r>
          </w:p>
        </w:tc>
        <w:tc>
          <w:tcPr>
            <w:tcW w:w="1098" w:type="dxa"/>
            <w:shd w:val="clear" w:color="auto" w:fill="C6EFCE"/>
            <w:vAlign w:val="center"/>
            <w:hideMark/>
          </w:tcPr>
          <w:p w14:paraId="59896D5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43" w:type="dxa"/>
            <w:shd w:val="clear" w:color="auto" w:fill="C6EFCE"/>
            <w:vAlign w:val="center"/>
            <w:hideMark/>
          </w:tcPr>
          <w:p w14:paraId="083445D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197" w:type="dxa"/>
            <w:shd w:val="clear" w:color="auto" w:fill="C6EFCE"/>
            <w:vAlign w:val="center"/>
            <w:hideMark/>
          </w:tcPr>
          <w:p w14:paraId="5867715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00" w:type="dxa"/>
            <w:shd w:val="clear" w:color="auto" w:fill="C6EFCE"/>
            <w:vAlign w:val="center"/>
            <w:hideMark/>
          </w:tcPr>
          <w:p w14:paraId="1374E21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0612560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2022 </w:t>
            </w:r>
          </w:p>
        </w:tc>
        <w:tc>
          <w:tcPr>
            <w:tcW w:w="2880" w:type="dxa"/>
            <w:shd w:val="clear" w:color="auto" w:fill="C6EFCE"/>
            <w:vAlign w:val="center"/>
            <w:hideMark/>
          </w:tcPr>
          <w:p w14:paraId="087A79C6"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Der Ministerialerlass zur Annahme der nat</w:t>
            </w:r>
            <w:r w:rsidRPr="00170422">
              <w:rPr>
                <w:noProof/>
                <w:lang w:val="de-DE"/>
              </w:rPr>
              <w:t>ionalen Strategie für die Kreislaufwirtschaft enthält mindestens folgende Maßnahmen: </w:t>
            </w:r>
          </w:p>
          <w:p w14:paraId="5D9E5BBF"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 xml:space="preserve">ein neues digitales System zur Rückverfolgbarkeit von Abfällen, das einerseits die Entwicklung des Sekundärmarkts für Rohstoffe (durch die Schaffung eines klaren Rahmens </w:t>
            </w:r>
            <w:r w:rsidRPr="00170422">
              <w:rPr>
                <w:noProof/>
                <w:lang w:val="de-DE"/>
              </w:rPr>
              <w:t>für die Versorgung mit Sekundärrohstoffen) andererseits die Kontrollbehörden bei der Verhinderung und Bekämpfung der illegalen Abfallbewirtschaftung unterstützen soll. </w:t>
            </w:r>
          </w:p>
          <w:p w14:paraId="1F329EC8"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steuerliche Anreize zur Unterstützung von Recyclingtätigkeiten und der Verwendung von S</w:t>
            </w:r>
            <w:r w:rsidRPr="00170422">
              <w:rPr>
                <w:noProof/>
                <w:lang w:val="de-DE"/>
              </w:rPr>
              <w:t>ekundärrohstoffen; </w:t>
            </w:r>
          </w:p>
          <w:p w14:paraId="740223D0" w14:textId="77777777" w:rsidR="0057163C" w:rsidRPr="00170422" w:rsidRDefault="00F37BF9">
            <w:pPr>
              <w:pStyle w:val="P68B1DB1-ListParagraph52"/>
              <w:numPr>
                <w:ilvl w:val="0"/>
                <w:numId w:val="176"/>
              </w:numPr>
              <w:spacing w:after="0" w:line="240" w:lineRule="auto"/>
              <w:textAlignment w:val="baseline"/>
              <w:rPr>
                <w:rFonts w:cs="Times New Roman"/>
                <w:noProof/>
                <w:lang w:val="de-DE"/>
              </w:rPr>
            </w:pPr>
            <w:r w:rsidRPr="00170422">
              <w:rPr>
                <w:noProof/>
                <w:lang w:val="de-DE"/>
              </w:rPr>
              <w:t>eine Überarbeitung des Umweltsteuersystems für Abfälle, um das Recycling einfacher zu gestalten als die Deponierung und Verbrennung im gesamten Staatsgebiet; </w:t>
            </w:r>
          </w:p>
          <w:p w14:paraId="1124D581"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Recht auf Wiederverwendung und Reparatur; </w:t>
            </w:r>
          </w:p>
          <w:p w14:paraId="4D1F81EA"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Reform des Systems der erweiterten</w:t>
            </w:r>
            <w:r w:rsidRPr="00170422">
              <w:rPr>
                <w:noProof/>
                <w:lang w:val="de-DE"/>
              </w:rPr>
              <w:t xml:space="preserve"> Herstellerverantwortung (Erweiterte Herstellerverantwortung) und des Systems von Konsortien, um die Verwirklichung der EU-Ziele durch die Einrichtung eines spezifischen Aufsichtsgremiums unter dem Vorsitz des MITE zu unterstützen, mit dem Ziel, das Funkti</w:t>
            </w:r>
            <w:r w:rsidRPr="00170422">
              <w:rPr>
                <w:noProof/>
                <w:lang w:val="de-DE"/>
              </w:rPr>
              <w:t>onieren und die Wirksamkeit der Konsortiensysteme zu überwachen; </w:t>
            </w:r>
          </w:p>
          <w:p w14:paraId="4CC7D5DC" w14:textId="78209471"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Unterstützung der bestehenden Regulierungsinstrumente: Ende der Abfallgesetzgebung (national und regional), Mindestumweltkriterien (CAM) im Rahmen des umweltorientierten öffentlichen Beschaf</w:t>
            </w:r>
            <w:r w:rsidRPr="00170422">
              <w:rPr>
                <w:noProof/>
                <w:lang w:val="de-DE"/>
              </w:rPr>
              <w:t>fungswesens. Bei der Entwicklung/Aktualisierung von Elektro- und Elektronik-Altgeräten werden insbesondere Bau-, Textil- und Kunststoffabfälle sowie Elektro- und Elektronik-Altgeräte (WEEE) berücksichtigt. </w:t>
            </w:r>
          </w:p>
          <w:p w14:paraId="29642952"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Unterstützung des Projekts „Industriesymbiose“ du</w:t>
            </w:r>
            <w:r w:rsidRPr="00170422">
              <w:rPr>
                <w:noProof/>
                <w:lang w:val="de-DE"/>
              </w:rPr>
              <w:t>rch Regulierungs- und Finanzinstrumente.) </w:t>
            </w:r>
          </w:p>
        </w:tc>
      </w:tr>
      <w:tr w:rsidR="0057163C" w:rsidRPr="00170422" w14:paraId="4383217E" w14:textId="77777777">
        <w:trPr>
          <w:trHeight w:val="300"/>
        </w:trPr>
        <w:tc>
          <w:tcPr>
            <w:tcW w:w="1276" w:type="dxa"/>
            <w:shd w:val="clear" w:color="auto" w:fill="C6EFCE"/>
            <w:vAlign w:val="center"/>
            <w:hideMark/>
          </w:tcPr>
          <w:p w14:paraId="36CF40C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 </w:t>
            </w:r>
          </w:p>
        </w:tc>
        <w:tc>
          <w:tcPr>
            <w:tcW w:w="1418" w:type="dxa"/>
            <w:shd w:val="clear" w:color="auto" w:fill="C6EFCE"/>
            <w:vAlign w:val="center"/>
            <w:hideMark/>
          </w:tcPr>
          <w:p w14:paraId="47F417D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Reform 1.3 – Technische Unterstützung für lokale Behörden </w:t>
            </w:r>
          </w:p>
        </w:tc>
        <w:tc>
          <w:tcPr>
            <w:tcW w:w="1276" w:type="dxa"/>
            <w:shd w:val="clear" w:color="auto" w:fill="C6EFCE"/>
            <w:vAlign w:val="center"/>
            <w:hideMark/>
          </w:tcPr>
          <w:p w14:paraId="7A444B6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701" w:type="dxa"/>
            <w:shd w:val="clear" w:color="auto" w:fill="C6EFCE"/>
            <w:vAlign w:val="center"/>
            <w:hideMark/>
          </w:tcPr>
          <w:p w14:paraId="290DB19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Genehmigung der Einigung über die Entwicklung des Aktionsplans für den Aufbau von Kapazitäten zur Unterstützung lokaler Behörden </w:t>
            </w:r>
          </w:p>
        </w:tc>
        <w:tc>
          <w:tcPr>
            <w:tcW w:w="1771" w:type="dxa"/>
            <w:shd w:val="clear" w:color="auto" w:fill="C6EFCE"/>
            <w:vAlign w:val="center"/>
            <w:hideMark/>
          </w:tcPr>
          <w:p w14:paraId="0D63D65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Veröffentlichung der genehmigten Vereinbarung auf der Website des Ministeriums </w:t>
            </w:r>
          </w:p>
        </w:tc>
        <w:tc>
          <w:tcPr>
            <w:tcW w:w="1098" w:type="dxa"/>
            <w:shd w:val="clear" w:color="auto" w:fill="C6EFCE"/>
            <w:vAlign w:val="center"/>
            <w:hideMark/>
          </w:tcPr>
          <w:p w14:paraId="4A22763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43" w:type="dxa"/>
            <w:shd w:val="clear" w:color="auto" w:fill="C6EFCE"/>
            <w:vAlign w:val="center"/>
            <w:hideMark/>
          </w:tcPr>
          <w:p w14:paraId="271DCEB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197" w:type="dxa"/>
            <w:shd w:val="clear" w:color="auto" w:fill="C6EFCE"/>
            <w:vAlign w:val="center"/>
            <w:hideMark/>
          </w:tcPr>
          <w:p w14:paraId="3D8FCE7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00" w:type="dxa"/>
            <w:shd w:val="clear" w:color="auto" w:fill="C6EFCE"/>
            <w:vAlign w:val="center"/>
            <w:hideMark/>
          </w:tcPr>
          <w:p w14:paraId="50F0ADD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3C498ED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2022 </w:t>
            </w:r>
          </w:p>
        </w:tc>
        <w:tc>
          <w:tcPr>
            <w:tcW w:w="2880" w:type="dxa"/>
            <w:shd w:val="clear" w:color="auto" w:fill="C6EFCE"/>
            <w:vAlign w:val="center"/>
            <w:hideMark/>
          </w:tcPr>
          <w:p w14:paraId="6CFA5686" w14:textId="14EBB761"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Die Vereinbarung über die Entwicklung des Aktionsplans für den Aufbau von Kapazitäten zur Unterstützung der lokalen Behörden bei der </w:t>
            </w:r>
            <w:r w:rsidRPr="00170422">
              <w:rPr>
                <w:noProof/>
                <w:lang w:val="de-DE"/>
              </w:rPr>
              <w:t xml:space="preserve">Umsetzung der im Gesetz (Gesetzesdekret Nr. 50/2016 über die Vergabe öffentlicher Aufträge) festgelegten Mindestumweltkriterien (CAM) im Rahmen des umweltorientierten öffentlichen Beschaffungswesens (GPP) und der Einleitung der Unterstützungsmaßnahme wird </w:t>
            </w:r>
            <w:r w:rsidRPr="00170422">
              <w:rPr>
                <w:noProof/>
                <w:lang w:val="de-DE"/>
              </w:rPr>
              <w:t>genehmigt. </w:t>
            </w:r>
          </w:p>
          <w:p w14:paraId="5AD65341"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Die technische Unterstützung der lokalen Behörden (Regionen, Provinzen und Gemeinden) wird von der Regierung (Ministerium für den ökologischen Wandel, Ministerium für wirtschaftliche Entwicklung und andere relevante) über die Hausunternehmen si</w:t>
            </w:r>
            <w:r w:rsidRPr="00170422">
              <w:rPr>
                <w:noProof/>
                <w:lang w:val="de-DE"/>
              </w:rPr>
              <w:t>chergestellt. Die technische Unterstützung umfasst Folgendes: </w:t>
            </w:r>
          </w:p>
          <w:p w14:paraId="6B44D920"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technische Hilfe bei der Umsetzung von Umweltvorschriften auf EU-Ebene und auf nationaler Ebene; </w:t>
            </w:r>
          </w:p>
          <w:p w14:paraId="4B4A8BC6"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Unterstützung bei der Ausarbeitung von Plänen und Projekten im Bereich der Abfallbewirtschaftun</w:t>
            </w:r>
            <w:r w:rsidRPr="00170422">
              <w:rPr>
                <w:noProof/>
                <w:lang w:val="de-DE"/>
              </w:rPr>
              <w:t>g; </w:t>
            </w:r>
          </w:p>
          <w:p w14:paraId="05E0FB2F" w14:textId="77777777" w:rsidR="0057163C" w:rsidRPr="00170422" w:rsidRDefault="00F37BF9">
            <w:pPr>
              <w:pStyle w:val="P68B1DB1-ListParagraph51"/>
              <w:numPr>
                <w:ilvl w:val="0"/>
                <w:numId w:val="176"/>
              </w:numPr>
              <w:spacing w:after="0" w:line="240" w:lineRule="auto"/>
              <w:textAlignment w:val="baseline"/>
              <w:rPr>
                <w:noProof/>
                <w:lang w:val="de-DE"/>
              </w:rPr>
            </w:pPr>
            <w:r w:rsidRPr="00170422">
              <w:rPr>
                <w:noProof/>
                <w:lang w:val="de-DE"/>
              </w:rPr>
              <w:t xml:space="preserve">Förderung von Ausschreibungsverfahren, auch um sicherzustellen, dass Konzessionen im Bereich der Abfallbewirtschaftung auf transparente und diskriminierungsfreie Weise vergeben werden, wodurch Wettbewerbsprozesse gefördert werden, um bessere Standards </w:t>
            </w:r>
            <w:r w:rsidRPr="00170422">
              <w:rPr>
                <w:noProof/>
                <w:lang w:val="de-DE"/>
              </w:rPr>
              <w:t>für öffentliche Dienstleistungen zu erreichen. </w:t>
            </w:r>
          </w:p>
          <w:p w14:paraId="2310DBCB" w14:textId="77777777" w:rsidR="0057163C" w:rsidRPr="00170422" w:rsidRDefault="00F37BF9">
            <w:pPr>
              <w:pStyle w:val="P68B1DB1-Normal50"/>
              <w:spacing w:after="0" w:line="240" w:lineRule="auto"/>
              <w:ind w:left="330"/>
              <w:textAlignment w:val="baseline"/>
              <w:rPr>
                <w:rFonts w:ascii="Times New Roman" w:hAnsi="Times New Roman"/>
                <w:noProof/>
                <w:sz w:val="24"/>
                <w:szCs w:val="24"/>
                <w:lang w:val="de-DE"/>
              </w:rPr>
            </w:pPr>
            <w:r w:rsidRPr="00170422">
              <w:rPr>
                <w:noProof/>
                <w:lang w:val="de-DE"/>
              </w:rPr>
              <w:t> </w:t>
            </w:r>
          </w:p>
          <w:p w14:paraId="58CCCA8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Das Ministerium für den ökologischen Wandel arbeitet einen spezifischen Aktionsplan für den Aufbau von Kapazitäten aus, um lokale Behörden und professionelle öffentliche Auftraggeber bei der Anwendung der i</w:t>
            </w:r>
            <w:r w:rsidRPr="00170422">
              <w:rPr>
                <w:noProof/>
                <w:lang w:val="de-DE"/>
              </w:rPr>
              <w:t>m Gesetz (Gesetzesdekret Nr. 50/2016 über öffentliche Ausschreibungen) festgelegten Mindestumweltkriterien auf Ausschreibungsverfahren im Rahmen des umweltorientierten öffentlichen Beschaffungswesens zu unterstützen. </w:t>
            </w:r>
          </w:p>
        </w:tc>
      </w:tr>
      <w:tr w:rsidR="0057163C" w:rsidRPr="00170422" w14:paraId="32236AD3" w14:textId="77777777">
        <w:trPr>
          <w:trHeight w:val="300"/>
        </w:trPr>
        <w:tc>
          <w:tcPr>
            <w:tcW w:w="1276" w:type="dxa"/>
            <w:shd w:val="clear" w:color="auto" w:fill="C6EFCE"/>
            <w:vAlign w:val="center"/>
            <w:hideMark/>
          </w:tcPr>
          <w:p w14:paraId="18A8C74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M2C1-3 </w:t>
            </w:r>
          </w:p>
        </w:tc>
        <w:tc>
          <w:tcPr>
            <w:tcW w:w="1418" w:type="dxa"/>
            <w:shd w:val="clear" w:color="auto" w:fill="C6EFCE"/>
            <w:vAlign w:val="center"/>
            <w:hideMark/>
          </w:tcPr>
          <w:p w14:paraId="1DF2975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2.1: Logistikplan</w:t>
            </w:r>
            <w:r w:rsidRPr="00170422">
              <w:rPr>
                <w:noProof/>
                <w:lang w:val="de-DE"/>
              </w:rPr>
              <w:t xml:space="preserve"> für die Sektoren Agrar- und Ernährungswirtschaft, Fischerei und Aquakultur, Forstwirtschaft, Blumenzucht und Pflanzenzucht </w:t>
            </w:r>
          </w:p>
        </w:tc>
        <w:tc>
          <w:tcPr>
            <w:tcW w:w="1276" w:type="dxa"/>
            <w:shd w:val="clear" w:color="auto" w:fill="C6EFCE"/>
            <w:vAlign w:val="center"/>
            <w:hideMark/>
          </w:tcPr>
          <w:p w14:paraId="7EA57BB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701" w:type="dxa"/>
            <w:shd w:val="clear" w:color="auto" w:fill="C6EFCE"/>
            <w:vAlign w:val="center"/>
            <w:hideMark/>
          </w:tcPr>
          <w:p w14:paraId="2D87E66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Veröffentlichung der endgültigen Rangfolge im Rahmen der logistischen Anreizregelung </w:t>
            </w:r>
          </w:p>
        </w:tc>
        <w:tc>
          <w:tcPr>
            <w:tcW w:w="1771" w:type="dxa"/>
            <w:shd w:val="clear" w:color="auto" w:fill="C6EFCE"/>
            <w:vAlign w:val="center"/>
            <w:hideMark/>
          </w:tcPr>
          <w:p w14:paraId="519F163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Veröffentlichung auf der Website</w:t>
            </w:r>
            <w:r w:rsidRPr="00170422">
              <w:rPr>
                <w:noProof/>
                <w:lang w:val="de-DE"/>
              </w:rPr>
              <w:t xml:space="preserve"> des Ministeriums oder anderen Unterstützungskanälen </w:t>
            </w:r>
          </w:p>
        </w:tc>
        <w:tc>
          <w:tcPr>
            <w:tcW w:w="1098" w:type="dxa"/>
            <w:shd w:val="clear" w:color="auto" w:fill="C6EFCE"/>
            <w:vAlign w:val="center"/>
            <w:hideMark/>
          </w:tcPr>
          <w:p w14:paraId="5F23640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43" w:type="dxa"/>
            <w:shd w:val="clear" w:color="auto" w:fill="C6EFCE"/>
            <w:vAlign w:val="center"/>
            <w:hideMark/>
          </w:tcPr>
          <w:p w14:paraId="6BC0BDD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197" w:type="dxa"/>
            <w:shd w:val="clear" w:color="auto" w:fill="C6EFCE"/>
            <w:vAlign w:val="center"/>
            <w:hideMark/>
          </w:tcPr>
          <w:p w14:paraId="5C402A3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00" w:type="dxa"/>
            <w:shd w:val="clear" w:color="auto" w:fill="C6EFCE"/>
            <w:vAlign w:val="center"/>
            <w:hideMark/>
          </w:tcPr>
          <w:p w14:paraId="24A0478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608" w:type="dxa"/>
            <w:shd w:val="clear" w:color="auto" w:fill="C6EFCE"/>
            <w:vAlign w:val="center"/>
            <w:hideMark/>
          </w:tcPr>
          <w:p w14:paraId="33E53E8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2022 </w:t>
            </w:r>
          </w:p>
        </w:tc>
        <w:tc>
          <w:tcPr>
            <w:tcW w:w="2880" w:type="dxa"/>
            <w:shd w:val="clear" w:color="auto" w:fill="C6EFCE"/>
            <w:vAlign w:val="center"/>
            <w:hideMark/>
          </w:tcPr>
          <w:p w14:paraId="7C9C2F6E"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Die endgültige Rangfolge wird in der Genehmigungsverordnung festgelegt. </w:t>
            </w:r>
          </w:p>
          <w:p w14:paraId="0ED49B3B" w14:textId="31E6AF53"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Die logistische Anreizregelung umfasst Folgendes: </w:t>
            </w:r>
          </w:p>
          <w:p w14:paraId="0D53DB1D" w14:textId="77777777" w:rsidR="0057163C" w:rsidRPr="00170422" w:rsidRDefault="00F37BF9">
            <w:pPr>
              <w:pStyle w:val="P68B1DB1-Normal53"/>
              <w:spacing w:after="0" w:line="240" w:lineRule="auto"/>
              <w:textAlignment w:val="baseline"/>
              <w:rPr>
                <w:rFonts w:ascii="Times New Roman" w:hAnsi="Times New Roman" w:cs="Times New Roman"/>
                <w:noProof/>
                <w:sz w:val="24"/>
                <w:szCs w:val="24"/>
                <w:lang w:val="de-DE"/>
              </w:rPr>
            </w:pPr>
            <w:r w:rsidRPr="00170422">
              <w:rPr>
                <w:noProof/>
                <w:lang w:val="de-DE"/>
              </w:rPr>
              <w:t xml:space="preserve">a) Förderkriterien, mit </w:t>
            </w:r>
            <w:r w:rsidRPr="00170422">
              <w:rPr>
                <w:noProof/>
                <w:lang w:val="de-DE"/>
              </w:rPr>
              <w:t>denen sichergestellt wird, dass die ausgewählten Projekte den technischen Leitlinien „Vermeidung erheblicher Beeinträchtigungen“ (2021/C58/01) entsprechen, indem eine Ausschlussliste verwendet wird und die einschlägigen Umweltvorschriften der EU und der Mi</w:t>
            </w:r>
            <w:r w:rsidRPr="00170422">
              <w:rPr>
                <w:noProof/>
                <w:lang w:val="de-DE"/>
              </w:rPr>
              <w:t>tgliedstaaten eingehalten werden. </w:t>
            </w:r>
          </w:p>
          <w:p w14:paraId="65098F3F" w14:textId="77777777" w:rsidR="0057163C" w:rsidRPr="00170422" w:rsidRDefault="00F37BF9">
            <w:pPr>
              <w:pStyle w:val="P68B1DB1-Normal53"/>
              <w:spacing w:after="0" w:line="240" w:lineRule="auto"/>
              <w:textAlignment w:val="baseline"/>
              <w:rPr>
                <w:rFonts w:ascii="Times New Roman" w:hAnsi="Times New Roman" w:cs="Times New Roman"/>
                <w:noProof/>
                <w:sz w:val="24"/>
                <w:szCs w:val="24"/>
                <w:lang w:val="de-DE"/>
              </w:rPr>
            </w:pPr>
            <w:r w:rsidRPr="00170422">
              <w:rPr>
                <w:noProof/>
                <w:lang w:val="de-DE"/>
              </w:rPr>
              <w:t>B) Verpflichtung, dass der Klimaschutzbeitrag der Investition nach der Methode in Anhang VI der Verordnung (EU) 2021/241 mindestens 32 % der Gesamtkosten der aus der Aufbau- und Resilienzfazilität unterstützten Investitio</w:t>
            </w:r>
            <w:r w:rsidRPr="00170422">
              <w:rPr>
                <w:noProof/>
                <w:lang w:val="de-DE"/>
              </w:rPr>
              <w:t>n ausmachen muss. </w:t>
            </w:r>
          </w:p>
          <w:p w14:paraId="3AC94811"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C) Verpflichtung, dass der digitale Beitrag der Investition nach der Methode in Anhang VII der Verordnung (EU) 2021/241 mindestens 27 % der Gesamtkosten der aus der Aufbau- und Resilienzfazilität unterstützten Investition ausmachen muss.</w:t>
            </w:r>
            <w:r w:rsidRPr="00170422">
              <w:rPr>
                <w:noProof/>
                <w:lang w:val="de-DE"/>
              </w:rPr>
              <w:t> </w:t>
            </w:r>
          </w:p>
          <w:p w14:paraId="56DE8865"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 Verpflichtung, über die Durchführung der Maßnahme nach der Hälfte der Laufzeit der Regelung und dem Auslaufen der Regelung Bericht zu erstatten. </w:t>
            </w:r>
          </w:p>
        </w:tc>
      </w:tr>
      <w:tr w:rsidR="0057163C" w:rsidRPr="00170422" w14:paraId="648E6FBA" w14:textId="77777777">
        <w:trPr>
          <w:trHeight w:val="300"/>
        </w:trPr>
        <w:tc>
          <w:tcPr>
            <w:tcW w:w="1276" w:type="dxa"/>
            <w:shd w:val="clear" w:color="auto" w:fill="C6EFCE"/>
            <w:vAlign w:val="center"/>
            <w:hideMark/>
          </w:tcPr>
          <w:p w14:paraId="13C5FC3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M2C1-4 </w:t>
            </w:r>
          </w:p>
        </w:tc>
        <w:tc>
          <w:tcPr>
            <w:tcW w:w="1418" w:type="dxa"/>
            <w:shd w:val="clear" w:color="auto" w:fill="C6EFCE"/>
            <w:vAlign w:val="center"/>
            <w:hideMark/>
          </w:tcPr>
          <w:p w14:paraId="2D69A27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2.2: AGRI-Solarpark </w:t>
            </w:r>
          </w:p>
        </w:tc>
        <w:tc>
          <w:tcPr>
            <w:tcW w:w="1276" w:type="dxa"/>
            <w:shd w:val="clear" w:color="auto" w:fill="C6EFCE"/>
            <w:vAlign w:val="center"/>
            <w:hideMark/>
          </w:tcPr>
          <w:p w14:paraId="488AC34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0E72C4B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Zuweisung der Mittel an die Begünstigten in % der </w:t>
            </w:r>
            <w:r w:rsidRPr="00170422">
              <w:rPr>
                <w:noProof/>
                <w:lang w:val="de-DE"/>
              </w:rPr>
              <w:t>Gesamtmittel für die Investition </w:t>
            </w:r>
          </w:p>
        </w:tc>
        <w:tc>
          <w:tcPr>
            <w:tcW w:w="1771" w:type="dxa"/>
            <w:shd w:val="clear" w:color="auto" w:fill="C6EFCE"/>
            <w:vAlign w:val="center"/>
            <w:hideMark/>
          </w:tcPr>
          <w:p w14:paraId="63F1DB0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506D668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Prozentuale </w:t>
            </w:r>
          </w:p>
        </w:tc>
        <w:tc>
          <w:tcPr>
            <w:tcW w:w="1043" w:type="dxa"/>
            <w:shd w:val="clear" w:color="auto" w:fill="C6EFCE"/>
            <w:vAlign w:val="center"/>
            <w:hideMark/>
          </w:tcPr>
          <w:p w14:paraId="1002221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1197" w:type="dxa"/>
            <w:shd w:val="clear" w:color="auto" w:fill="C6EFCE"/>
            <w:vAlign w:val="center"/>
            <w:hideMark/>
          </w:tcPr>
          <w:p w14:paraId="3CE324F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30 </w:t>
            </w:r>
          </w:p>
        </w:tc>
        <w:tc>
          <w:tcPr>
            <w:tcW w:w="900" w:type="dxa"/>
            <w:shd w:val="clear" w:color="auto" w:fill="C6EFCE"/>
            <w:vAlign w:val="center"/>
            <w:hideMark/>
          </w:tcPr>
          <w:p w14:paraId="710E430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608" w:type="dxa"/>
            <w:shd w:val="clear" w:color="auto" w:fill="C6EFCE"/>
            <w:vAlign w:val="center"/>
            <w:hideMark/>
          </w:tcPr>
          <w:p w14:paraId="4B2DD32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2022 </w:t>
            </w:r>
          </w:p>
        </w:tc>
        <w:tc>
          <w:tcPr>
            <w:tcW w:w="2880" w:type="dxa"/>
            <w:shd w:val="clear" w:color="auto" w:fill="C6EFCE"/>
            <w:vAlign w:val="center"/>
            <w:hideMark/>
          </w:tcPr>
          <w:p w14:paraId="3809A1BC"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Ermittlung der begünstigten Projekte, deren Gesamtwert mindestens 30 % der gesamten für die Investition bereitgestellten Finanzmittel ausmacht. Die Investition wird nach zwe</w:t>
            </w:r>
            <w:r w:rsidRPr="00170422">
              <w:rPr>
                <w:noProof/>
                <w:lang w:val="de-DE"/>
              </w:rPr>
              <w:t>i unterschiedlichen Verfahren durchgeführt, die bereits bestehen und refinanziert werden. Diese Verfahren sehen die Auszahlung von Darlehen an Unternehmen vor, die die Anforderungen erfüllen und den Antrag stellen. </w:t>
            </w:r>
          </w:p>
        </w:tc>
      </w:tr>
      <w:tr w:rsidR="0057163C" w:rsidRPr="00170422" w14:paraId="5BE973E3" w14:textId="77777777">
        <w:trPr>
          <w:trHeight w:val="300"/>
        </w:trPr>
        <w:tc>
          <w:tcPr>
            <w:tcW w:w="1276" w:type="dxa"/>
            <w:shd w:val="clear" w:color="auto" w:fill="C6EFCE"/>
            <w:vAlign w:val="center"/>
            <w:hideMark/>
          </w:tcPr>
          <w:p w14:paraId="476128E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M2C1-5 </w:t>
            </w:r>
          </w:p>
        </w:tc>
        <w:tc>
          <w:tcPr>
            <w:tcW w:w="1418" w:type="dxa"/>
            <w:shd w:val="clear" w:color="auto" w:fill="C6EFCE"/>
            <w:vAlign w:val="center"/>
            <w:hideMark/>
          </w:tcPr>
          <w:p w14:paraId="756A38A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2.2: </w:t>
            </w:r>
            <w:r w:rsidRPr="00170422">
              <w:rPr>
                <w:noProof/>
                <w:lang w:val="de-DE"/>
              </w:rPr>
              <w:t>AGRI-Solarpark </w:t>
            </w:r>
          </w:p>
        </w:tc>
        <w:tc>
          <w:tcPr>
            <w:tcW w:w="1276" w:type="dxa"/>
            <w:shd w:val="clear" w:color="auto" w:fill="C6EFCE"/>
            <w:vAlign w:val="center"/>
            <w:hideMark/>
          </w:tcPr>
          <w:p w14:paraId="070CFEC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18968EC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Zuweisung der Mittel an die Begünstigten in % der Gesamtmittel für die Investition </w:t>
            </w:r>
          </w:p>
        </w:tc>
        <w:tc>
          <w:tcPr>
            <w:tcW w:w="1771" w:type="dxa"/>
            <w:shd w:val="clear" w:color="auto" w:fill="C6EFCE"/>
            <w:vAlign w:val="center"/>
            <w:hideMark/>
          </w:tcPr>
          <w:p w14:paraId="62F03F8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35C1488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Prozentuale </w:t>
            </w:r>
          </w:p>
        </w:tc>
        <w:tc>
          <w:tcPr>
            <w:tcW w:w="1043" w:type="dxa"/>
            <w:shd w:val="clear" w:color="auto" w:fill="C6EFCE"/>
            <w:vAlign w:val="center"/>
            <w:hideMark/>
          </w:tcPr>
          <w:p w14:paraId="5309196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19 </w:t>
            </w:r>
          </w:p>
        </w:tc>
        <w:tc>
          <w:tcPr>
            <w:tcW w:w="1197" w:type="dxa"/>
            <w:shd w:val="clear" w:color="auto" w:fill="C6EFCE"/>
            <w:vAlign w:val="center"/>
            <w:hideMark/>
          </w:tcPr>
          <w:p w14:paraId="1F201F2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32 </w:t>
            </w:r>
          </w:p>
        </w:tc>
        <w:tc>
          <w:tcPr>
            <w:tcW w:w="900" w:type="dxa"/>
            <w:shd w:val="clear" w:color="auto" w:fill="C6EFCE"/>
            <w:vAlign w:val="center"/>
            <w:hideMark/>
          </w:tcPr>
          <w:p w14:paraId="2E58888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608" w:type="dxa"/>
            <w:shd w:val="clear" w:color="auto" w:fill="C6EFCE"/>
            <w:vAlign w:val="center"/>
            <w:hideMark/>
          </w:tcPr>
          <w:p w14:paraId="157B00C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2023 </w:t>
            </w:r>
          </w:p>
        </w:tc>
        <w:tc>
          <w:tcPr>
            <w:tcW w:w="2880" w:type="dxa"/>
            <w:shd w:val="clear" w:color="auto" w:fill="C6EFCE"/>
            <w:vAlign w:val="center"/>
            <w:hideMark/>
          </w:tcPr>
          <w:p w14:paraId="2AD8D829"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Die begünstigten Projekte, deren Gesamtwert mindestens 32 % der gesamten für die Investition </w:t>
            </w:r>
            <w:r w:rsidRPr="00170422">
              <w:rPr>
                <w:noProof/>
                <w:lang w:val="de-DE"/>
              </w:rPr>
              <w:t>bereitgestellten Finanzmittel ausmacht, sind anzugeben. Das Vergabeverfahren sieht die Auszahlung von Zuschüssen oder anderen Anreizen für Unternehmen vor, die die Anforderungen erfüllen und den Antrag einreichen. </w:t>
            </w:r>
          </w:p>
        </w:tc>
      </w:tr>
      <w:tr w:rsidR="0057163C" w:rsidRPr="00170422" w14:paraId="4BD923E8" w14:textId="77777777">
        <w:trPr>
          <w:trHeight w:val="300"/>
        </w:trPr>
        <w:tc>
          <w:tcPr>
            <w:tcW w:w="1276" w:type="dxa"/>
            <w:shd w:val="clear" w:color="auto" w:fill="C6EFCE"/>
            <w:vAlign w:val="center"/>
            <w:hideMark/>
          </w:tcPr>
          <w:p w14:paraId="260FA0E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M2C1-6 </w:t>
            </w:r>
          </w:p>
        </w:tc>
        <w:tc>
          <w:tcPr>
            <w:tcW w:w="1418" w:type="dxa"/>
            <w:shd w:val="clear" w:color="auto" w:fill="C6EFCE"/>
            <w:vAlign w:val="center"/>
            <w:hideMark/>
          </w:tcPr>
          <w:p w14:paraId="409BDAA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2.2: AGRI-Solarpark </w:t>
            </w:r>
          </w:p>
        </w:tc>
        <w:tc>
          <w:tcPr>
            <w:tcW w:w="1276" w:type="dxa"/>
            <w:shd w:val="clear" w:color="auto" w:fill="C6EFCE"/>
            <w:vAlign w:val="center"/>
            <w:hideMark/>
          </w:tcPr>
          <w:p w14:paraId="361F859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7253EA2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Zuweisung der Mittel an die Begünstigten in % der Gesamtmittel für die Investition </w:t>
            </w:r>
          </w:p>
        </w:tc>
        <w:tc>
          <w:tcPr>
            <w:tcW w:w="1771" w:type="dxa"/>
            <w:shd w:val="clear" w:color="auto" w:fill="C6EFCE"/>
            <w:vAlign w:val="center"/>
            <w:hideMark/>
          </w:tcPr>
          <w:p w14:paraId="184B029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10AFDAB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Prozentuale </w:t>
            </w:r>
          </w:p>
        </w:tc>
        <w:tc>
          <w:tcPr>
            <w:tcW w:w="1043" w:type="dxa"/>
            <w:shd w:val="clear" w:color="auto" w:fill="C6EFCE"/>
            <w:vAlign w:val="center"/>
            <w:hideMark/>
          </w:tcPr>
          <w:p w14:paraId="456743C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32 </w:t>
            </w:r>
          </w:p>
        </w:tc>
        <w:tc>
          <w:tcPr>
            <w:tcW w:w="1197" w:type="dxa"/>
            <w:shd w:val="clear" w:color="auto" w:fill="C6EFCE"/>
            <w:vAlign w:val="center"/>
            <w:hideMark/>
          </w:tcPr>
          <w:p w14:paraId="259EF45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63.5 </w:t>
            </w:r>
          </w:p>
        </w:tc>
        <w:tc>
          <w:tcPr>
            <w:tcW w:w="900" w:type="dxa"/>
            <w:shd w:val="clear" w:color="auto" w:fill="C6EFCE"/>
            <w:vAlign w:val="center"/>
            <w:hideMark/>
          </w:tcPr>
          <w:p w14:paraId="5E10946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3D1A3BB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2024 </w:t>
            </w:r>
          </w:p>
        </w:tc>
        <w:tc>
          <w:tcPr>
            <w:tcW w:w="2880" w:type="dxa"/>
            <w:shd w:val="clear" w:color="auto" w:fill="C6EFCE"/>
            <w:vAlign w:val="center"/>
            <w:hideMark/>
          </w:tcPr>
          <w:p w14:paraId="32719E78" w14:textId="79E0C7A2"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Ermittlung der begünstigten Projekte, deren Gesamtwert mindestens 63,5 % der gesamten für die Investition </w:t>
            </w:r>
            <w:r w:rsidRPr="00170422">
              <w:rPr>
                <w:noProof/>
                <w:lang w:val="de-DE"/>
              </w:rPr>
              <w:t>bereitgestellten Finanzmittel ausmacht. Das Vergabeverfahren sieht die Auszahlung von Finanzhilfen oder anderen Anreizen für Unternehmen vor, die die Anforderungen erfüllen und den Antrag stellen. </w:t>
            </w:r>
          </w:p>
        </w:tc>
      </w:tr>
      <w:tr w:rsidR="0057163C" w:rsidRPr="00170422" w14:paraId="4C1A1547" w14:textId="77777777">
        <w:trPr>
          <w:trHeight w:val="300"/>
        </w:trPr>
        <w:tc>
          <w:tcPr>
            <w:tcW w:w="1276" w:type="dxa"/>
            <w:shd w:val="clear" w:color="auto" w:fill="C6EFCE"/>
            <w:vAlign w:val="center"/>
            <w:hideMark/>
          </w:tcPr>
          <w:p w14:paraId="64434B9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M2C1-6bis </w:t>
            </w:r>
          </w:p>
        </w:tc>
        <w:tc>
          <w:tcPr>
            <w:tcW w:w="1418" w:type="dxa"/>
            <w:shd w:val="clear" w:color="auto" w:fill="C6EFCE"/>
            <w:vAlign w:val="center"/>
            <w:hideMark/>
          </w:tcPr>
          <w:p w14:paraId="04B8485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2.2: AGRI-Solarpark </w:t>
            </w:r>
          </w:p>
        </w:tc>
        <w:tc>
          <w:tcPr>
            <w:tcW w:w="1276" w:type="dxa"/>
            <w:shd w:val="clear" w:color="auto" w:fill="C6EFCE"/>
            <w:vAlign w:val="center"/>
            <w:hideMark/>
          </w:tcPr>
          <w:p w14:paraId="2CBCBD1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5FAF537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Zuweisung der Mittel an die Begünstigten in % der Gesamtmittel für die Investition </w:t>
            </w:r>
          </w:p>
        </w:tc>
        <w:tc>
          <w:tcPr>
            <w:tcW w:w="1771" w:type="dxa"/>
            <w:shd w:val="clear" w:color="auto" w:fill="C6EFCE"/>
            <w:vAlign w:val="center"/>
            <w:hideMark/>
          </w:tcPr>
          <w:p w14:paraId="64216E2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718B559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Prozentuale </w:t>
            </w:r>
          </w:p>
        </w:tc>
        <w:tc>
          <w:tcPr>
            <w:tcW w:w="1043" w:type="dxa"/>
            <w:shd w:val="clear" w:color="auto" w:fill="C6EFCE"/>
            <w:vAlign w:val="center"/>
            <w:hideMark/>
          </w:tcPr>
          <w:p w14:paraId="095F34A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63.5 </w:t>
            </w:r>
          </w:p>
        </w:tc>
        <w:tc>
          <w:tcPr>
            <w:tcW w:w="1197" w:type="dxa"/>
            <w:shd w:val="clear" w:color="auto" w:fill="C6EFCE"/>
            <w:vAlign w:val="center"/>
            <w:hideMark/>
          </w:tcPr>
          <w:p w14:paraId="2473F0D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100 </w:t>
            </w:r>
          </w:p>
        </w:tc>
        <w:tc>
          <w:tcPr>
            <w:tcW w:w="900" w:type="dxa"/>
            <w:shd w:val="clear" w:color="auto" w:fill="C6EFCE"/>
            <w:vAlign w:val="center"/>
            <w:hideMark/>
          </w:tcPr>
          <w:p w14:paraId="0EEC345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608" w:type="dxa"/>
            <w:shd w:val="clear" w:color="auto" w:fill="C6EFCE"/>
            <w:vAlign w:val="center"/>
            <w:hideMark/>
          </w:tcPr>
          <w:p w14:paraId="16A0B03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2024 </w:t>
            </w:r>
          </w:p>
        </w:tc>
        <w:tc>
          <w:tcPr>
            <w:tcW w:w="2880" w:type="dxa"/>
            <w:shd w:val="clear" w:color="auto" w:fill="C6EFCE"/>
            <w:vAlign w:val="center"/>
            <w:hideMark/>
          </w:tcPr>
          <w:p w14:paraId="2D951A2E"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Ermittlung der begünstigten Projekte, deren Gesamtwert mindestens 100 % der zusätzlichen Finanzmittel für die Investiti</w:t>
            </w:r>
            <w:r w:rsidRPr="00170422">
              <w:rPr>
                <w:noProof/>
                <w:lang w:val="de-DE"/>
              </w:rPr>
              <w:t>on ausmacht. Das Vergabeverfahren sieht die Auszahlung von Finanzhilfen oder anderen Anreizen für Unternehmen vor, die die Anforderungen erfüllen und den Antrag einreichen. </w:t>
            </w:r>
          </w:p>
        </w:tc>
      </w:tr>
      <w:tr w:rsidR="0057163C" w:rsidRPr="00170422" w14:paraId="74D05FB3" w14:textId="77777777">
        <w:trPr>
          <w:trHeight w:val="300"/>
        </w:trPr>
        <w:tc>
          <w:tcPr>
            <w:tcW w:w="1276" w:type="dxa"/>
            <w:shd w:val="clear" w:color="auto" w:fill="C6EFCE"/>
            <w:vAlign w:val="center"/>
            <w:hideMark/>
          </w:tcPr>
          <w:p w14:paraId="1FAF11F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M2C1-7 </w:t>
            </w:r>
          </w:p>
        </w:tc>
        <w:tc>
          <w:tcPr>
            <w:tcW w:w="1418" w:type="dxa"/>
            <w:shd w:val="clear" w:color="auto" w:fill="C6EFCE"/>
            <w:vAlign w:val="center"/>
            <w:hideMark/>
          </w:tcPr>
          <w:p w14:paraId="1A51346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2.3: Innovation und Mechanisierung im Agrar- und </w:t>
            </w:r>
            <w:r w:rsidRPr="00170422">
              <w:rPr>
                <w:noProof/>
                <w:lang w:val="de-DE"/>
              </w:rPr>
              <w:t>Lebensmittelsektor </w:t>
            </w:r>
          </w:p>
        </w:tc>
        <w:tc>
          <w:tcPr>
            <w:tcW w:w="1276" w:type="dxa"/>
            <w:shd w:val="clear" w:color="auto" w:fill="C6EFCE"/>
            <w:vAlign w:val="center"/>
            <w:hideMark/>
          </w:tcPr>
          <w:p w14:paraId="38534C8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6EAC727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Veröffentlichung der endgültigen Rankings mit Angabe der Endempfänger. </w:t>
            </w:r>
          </w:p>
        </w:tc>
        <w:tc>
          <w:tcPr>
            <w:tcW w:w="1771" w:type="dxa"/>
            <w:shd w:val="clear" w:color="auto" w:fill="C6EFCE"/>
            <w:vAlign w:val="center"/>
            <w:hideMark/>
          </w:tcPr>
          <w:p w14:paraId="68B1519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75941DF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043" w:type="dxa"/>
            <w:shd w:val="clear" w:color="auto" w:fill="C6EFCE"/>
            <w:vAlign w:val="center"/>
            <w:hideMark/>
          </w:tcPr>
          <w:p w14:paraId="4E4D8BB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1197" w:type="dxa"/>
            <w:shd w:val="clear" w:color="auto" w:fill="C6EFCE"/>
            <w:vAlign w:val="center"/>
            <w:hideMark/>
          </w:tcPr>
          <w:p w14:paraId="0FF55AA0" w14:textId="0EEFE9E2" w:rsidR="0057163C" w:rsidRPr="00170422" w:rsidRDefault="00F37BF9">
            <w:pPr>
              <w:pStyle w:val="P68B1DB1-Normal54"/>
              <w:spacing w:after="0" w:line="240" w:lineRule="auto"/>
              <w:jc w:val="center"/>
              <w:textAlignment w:val="baseline"/>
              <w:rPr>
                <w:rFonts w:ascii="Times New Roman" w:eastAsia="Times New Roman" w:hAnsi="Times New Roman" w:cs="Times New Roman"/>
                <w:noProof/>
                <w:sz w:val="24"/>
                <w:szCs w:val="24"/>
                <w:lang w:val="de-DE"/>
              </w:rPr>
            </w:pPr>
            <w:r w:rsidRPr="00170422">
              <w:rPr>
                <w:rFonts w:ascii="Arial Narrow" w:eastAsia="Times New Roman" w:hAnsi="Arial"/>
                <w:noProof/>
                <w:lang w:val="de-DE"/>
              </w:rPr>
              <w:t xml:space="preserve">10 </w:t>
            </w:r>
            <w:r w:rsidRPr="00170422">
              <w:rPr>
                <w:rFonts w:ascii="Arial Narrow" w:eastAsia="Times New Roman" w:hAnsi="Arial Narrow" w:cs="Times New Roman"/>
                <w:noProof/>
                <w:lang w:val="de-DE"/>
              </w:rPr>
              <w:t xml:space="preserve">000 </w:t>
            </w:r>
          </w:p>
        </w:tc>
        <w:tc>
          <w:tcPr>
            <w:tcW w:w="900" w:type="dxa"/>
            <w:shd w:val="clear" w:color="auto" w:fill="C6EFCE"/>
            <w:vAlign w:val="center"/>
            <w:hideMark/>
          </w:tcPr>
          <w:p w14:paraId="52A2649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608" w:type="dxa"/>
            <w:shd w:val="clear" w:color="auto" w:fill="C6EFCE"/>
            <w:vAlign w:val="center"/>
            <w:hideMark/>
          </w:tcPr>
          <w:p w14:paraId="3AFAFFF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2024 </w:t>
            </w:r>
          </w:p>
        </w:tc>
        <w:tc>
          <w:tcPr>
            <w:tcW w:w="2880" w:type="dxa"/>
            <w:shd w:val="clear" w:color="auto" w:fill="C6EFCE"/>
            <w:vAlign w:val="center"/>
            <w:hideMark/>
          </w:tcPr>
          <w:p w14:paraId="4A3A0576" w14:textId="29454414" w:rsidR="0057163C" w:rsidRPr="00170422" w:rsidRDefault="00F37BF9">
            <w:pPr>
              <w:pStyle w:val="P68B1DB1-Normal54"/>
              <w:spacing w:after="0" w:line="240" w:lineRule="auto"/>
              <w:textAlignment w:val="baseline"/>
              <w:rPr>
                <w:rFonts w:ascii="Times New Roman" w:eastAsia="Times New Roman" w:hAnsi="Times New Roman" w:cs="Times New Roman"/>
                <w:noProof/>
                <w:sz w:val="24"/>
                <w:szCs w:val="24"/>
                <w:lang w:val="de-DE"/>
              </w:rPr>
            </w:pPr>
            <w:r w:rsidRPr="00170422">
              <w:rPr>
                <w:rFonts w:ascii="Arial Narrow" w:eastAsia="Times New Roman" w:hAnsi="Arial"/>
                <w:noProof/>
                <w:lang w:val="de-DE"/>
              </w:rPr>
              <w:t xml:space="preserve">Ermittlung von mindestens </w:t>
            </w:r>
            <w:r w:rsidRPr="00170422">
              <w:rPr>
                <w:rFonts w:ascii="Arial Narrow" w:eastAsia="Times New Roman" w:hAnsi="Arial Narrow" w:cs="Times New Roman"/>
                <w:noProof/>
                <w:lang w:val="de-DE"/>
              </w:rPr>
              <w:t xml:space="preserve">10000 Endempfängern für Investitionen in Innovation in der Kreislaufwirtschaft und Bioökonomie. </w:t>
            </w:r>
          </w:p>
          <w:p w14:paraId="2EF06732"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Bei den Investitionen ist mindestens einer der folgenden Aspekte zu berücksichtigen: </w:t>
            </w:r>
          </w:p>
          <w:p w14:paraId="57B3AF25"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Ersetzung von mehr </w:t>
            </w:r>
          </w:p>
          <w:p w14:paraId="2353114F"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umweltschädliche Geländefahrzeuge </w:t>
            </w:r>
          </w:p>
          <w:p w14:paraId="44CBC8A2"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Einführung von</w:t>
            </w:r>
            <w:r w:rsidRPr="00170422">
              <w:rPr>
                <w:noProof/>
                <w:lang w:val="de-DE"/>
              </w:rPr>
              <w:t xml:space="preserve"> Präzisionslandwirtschaft und Maschinen für die Landwirtschaft 4.0 </w:t>
            </w:r>
          </w:p>
          <w:p w14:paraId="58DCCCE3"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Ersatz veralteter Anlagen für Olivenmühlen </w:t>
            </w:r>
          </w:p>
          <w:p w14:paraId="29ACF8B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Zur Einhaltung von Do-No— </w:t>
            </w:r>
          </w:p>
          <w:p w14:paraId="6BCEF6B9"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Geländefahrzeuge, die nach dem Prinzip signifikanter Arme emissionsfrei sind oder ausschließlich mit Biomethan betr</w:t>
            </w:r>
            <w:r w:rsidRPr="00170422">
              <w:rPr>
                <w:noProof/>
                <w:lang w:val="de-DE"/>
              </w:rPr>
              <w:t>ieben werden, müssen die Kriterien der Richtlinie 2018/2001 (RED II-Richtlinie) erfüllen. </w:t>
            </w:r>
          </w:p>
          <w:p w14:paraId="7DDBFA69"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Biokraftstoff- und Biomethan-Gas- und Biokraftstoffhersteller müssen Zertifikate (Nachweis der Nachhaltigkeit) vorlegen, die von unabhängigen Bewertern gemäß der Ric</w:t>
            </w:r>
            <w:r w:rsidRPr="00170422">
              <w:rPr>
                <w:noProof/>
                <w:lang w:val="de-DE"/>
              </w:rPr>
              <w:t>htlinie 2018/2001 ausgestellt werden. </w:t>
            </w:r>
          </w:p>
          <w:p w14:paraId="7B227ADD"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Der Betreiber erwirbt Herkunftsnachweise, die dem erwarteten Kraftstoffverbrauch entsprechen. </w:t>
            </w:r>
          </w:p>
        </w:tc>
      </w:tr>
      <w:tr w:rsidR="0057163C" w:rsidRPr="00170422" w14:paraId="54CE5655" w14:textId="77777777">
        <w:trPr>
          <w:trHeight w:val="300"/>
        </w:trPr>
        <w:tc>
          <w:tcPr>
            <w:tcW w:w="1276" w:type="dxa"/>
            <w:shd w:val="clear" w:color="auto" w:fill="C6EFCE"/>
            <w:vAlign w:val="center"/>
            <w:hideMark/>
          </w:tcPr>
          <w:p w14:paraId="78F45A1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M2C1-8 </w:t>
            </w:r>
          </w:p>
        </w:tc>
        <w:tc>
          <w:tcPr>
            <w:tcW w:w="1418" w:type="dxa"/>
            <w:shd w:val="clear" w:color="auto" w:fill="C6EFCE"/>
            <w:vAlign w:val="center"/>
            <w:hideMark/>
          </w:tcPr>
          <w:p w14:paraId="5132607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2.3: Innovation und Mechanisierung im Agrar- und Lebensmittelsektor </w:t>
            </w:r>
          </w:p>
        </w:tc>
        <w:tc>
          <w:tcPr>
            <w:tcW w:w="1276" w:type="dxa"/>
            <w:shd w:val="clear" w:color="auto" w:fill="C6EFCE"/>
            <w:vAlign w:val="center"/>
            <w:hideMark/>
          </w:tcPr>
          <w:p w14:paraId="14AB327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06BB971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Förderung von </w:t>
            </w:r>
            <w:r w:rsidRPr="00170422">
              <w:rPr>
                <w:noProof/>
                <w:lang w:val="de-DE"/>
              </w:rPr>
              <w:t>Investitionen in Innovationen in der Kreislaufwirtschaft und der Bioökonomie </w:t>
            </w:r>
          </w:p>
        </w:tc>
        <w:tc>
          <w:tcPr>
            <w:tcW w:w="1771" w:type="dxa"/>
            <w:shd w:val="clear" w:color="auto" w:fill="C6EFCE"/>
            <w:vAlign w:val="center"/>
            <w:hideMark/>
          </w:tcPr>
          <w:p w14:paraId="659EEB2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1CAFDC5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043" w:type="dxa"/>
            <w:shd w:val="clear" w:color="auto" w:fill="C6EFCE"/>
            <w:vAlign w:val="center"/>
            <w:hideMark/>
          </w:tcPr>
          <w:p w14:paraId="21A4865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1197" w:type="dxa"/>
            <w:shd w:val="clear" w:color="auto" w:fill="C6EFCE"/>
            <w:vAlign w:val="center"/>
            <w:hideMark/>
          </w:tcPr>
          <w:p w14:paraId="3FC1984F" w14:textId="11770B13" w:rsidR="0057163C" w:rsidRPr="00170422" w:rsidRDefault="00F37BF9">
            <w:pPr>
              <w:pStyle w:val="P68B1DB1-Normal21"/>
              <w:spacing w:after="0" w:line="240" w:lineRule="auto"/>
              <w:jc w:val="center"/>
              <w:textAlignment w:val="baseline"/>
              <w:rPr>
                <w:rFonts w:ascii="Times New Roman" w:eastAsia="Times New Roman" w:hAnsi="Times New Roman" w:cs="Times New Roman"/>
                <w:noProof/>
                <w:kern w:val="0"/>
                <w:sz w:val="24"/>
                <w:szCs w:val="24"/>
                <w:lang w:val="de-DE"/>
                <w14:ligatures w14:val="none"/>
              </w:rPr>
            </w:pPr>
            <w:r w:rsidRPr="00170422">
              <w:rPr>
                <w:rFonts w:ascii="Arial Narrow" w:eastAsia="Times New Roman" w:hAnsi="Arial Narrow" w:cs="Times New Roman"/>
                <w:noProof/>
                <w:kern w:val="0"/>
                <w:szCs w:val="20"/>
                <w:lang w:val="de-DE"/>
                <w14:ligatures w14:val="none"/>
              </w:rPr>
              <w:t>10</w:t>
            </w:r>
            <w:r w:rsidRPr="00170422">
              <w:rPr>
                <w:rFonts w:ascii="Arial Narrow" w:hAnsi="Arial Narrow"/>
                <w:noProof/>
                <w:lang w:val="de-DE"/>
              </w:rPr>
              <w:t xml:space="preserve"> </w:t>
            </w:r>
            <w:r w:rsidRPr="00170422">
              <w:rPr>
                <w:rFonts w:ascii="Arial Narrow" w:eastAsia="Times New Roman" w:hAnsi="Arial Narrow" w:cs="Times New Roman"/>
                <w:noProof/>
                <w:kern w:val="0"/>
                <w:szCs w:val="20"/>
                <w:lang w:val="de-DE"/>
                <w14:ligatures w14:val="none"/>
              </w:rPr>
              <w:t xml:space="preserve">000 </w:t>
            </w:r>
          </w:p>
        </w:tc>
        <w:tc>
          <w:tcPr>
            <w:tcW w:w="900" w:type="dxa"/>
            <w:shd w:val="clear" w:color="auto" w:fill="C6EFCE"/>
            <w:vAlign w:val="center"/>
            <w:hideMark/>
          </w:tcPr>
          <w:p w14:paraId="00FCE21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007A92E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2026 </w:t>
            </w:r>
          </w:p>
        </w:tc>
        <w:tc>
          <w:tcPr>
            <w:tcW w:w="2880" w:type="dxa"/>
            <w:shd w:val="clear" w:color="auto" w:fill="C6EFCE"/>
            <w:vAlign w:val="center"/>
            <w:hideMark/>
          </w:tcPr>
          <w:p w14:paraId="796370A0" w14:textId="34D5F792" w:rsidR="0057163C" w:rsidRPr="00170422" w:rsidRDefault="00F37BF9">
            <w:pPr>
              <w:pStyle w:val="P68B1DB1-Normal21"/>
              <w:spacing w:after="0" w:line="240" w:lineRule="auto"/>
              <w:textAlignment w:val="baseline"/>
              <w:rPr>
                <w:rFonts w:ascii="Times New Roman" w:eastAsia="Times New Roman" w:hAnsi="Times New Roman" w:cs="Times New Roman"/>
                <w:noProof/>
                <w:kern w:val="0"/>
                <w:sz w:val="24"/>
                <w:szCs w:val="24"/>
                <w:lang w:val="de-DE"/>
                <w14:ligatures w14:val="none"/>
              </w:rPr>
            </w:pPr>
            <w:r w:rsidRPr="00170422">
              <w:rPr>
                <w:rFonts w:ascii="Arial Narrow" w:eastAsia="Times New Roman" w:hAnsi="Arial Narrow" w:cs="Times New Roman"/>
                <w:noProof/>
                <w:kern w:val="0"/>
                <w:szCs w:val="20"/>
                <w:lang w:val="de-DE"/>
                <w14:ligatures w14:val="none"/>
              </w:rPr>
              <w:t>Abschlussbescheinigungen oder „Bescheinigungen über die regelmäßige Durchführung</w:t>
            </w:r>
            <w:r w:rsidRPr="00170422">
              <w:rPr>
                <w:rFonts w:ascii="Arial Narrow" w:eastAsia="Times New Roman" w:hAnsi="Arial Narrow" w:cs="Times New Roman"/>
                <w:i/>
                <w:noProof/>
                <w:kern w:val="0"/>
                <w:szCs w:val="20"/>
                <w:lang w:val="de-DE"/>
                <w14:ligatures w14:val="none"/>
              </w:rPr>
              <w:t xml:space="preserve">“ </w:t>
            </w:r>
            <w:r w:rsidRPr="00170422">
              <w:rPr>
                <w:rFonts w:ascii="Arial Narrow" w:eastAsia="Times New Roman" w:hAnsi="Arial Narrow" w:cs="Times New Roman"/>
                <w:noProof/>
                <w:kern w:val="0"/>
                <w:szCs w:val="20"/>
                <w:lang w:val="de-DE"/>
                <w14:ligatures w14:val="none"/>
              </w:rPr>
              <w:t>(„Attestazione di regolare esecuzione“) für mindestens 1</w:t>
            </w:r>
            <w:r w:rsidRPr="00170422">
              <w:rPr>
                <w:rFonts w:ascii="Arial Narrow" w:eastAsia="Times New Roman" w:hAnsi="Arial Narrow" w:cs="Times New Roman"/>
                <w:noProof/>
                <w:kern w:val="0"/>
                <w:szCs w:val="20"/>
                <w:lang w:val="de-DE"/>
                <w14:ligatures w14:val="none"/>
              </w:rPr>
              <w:t>0000 Innovationsprojekte</w:t>
            </w:r>
            <w:r w:rsidRPr="00170422">
              <w:rPr>
                <w:rFonts w:ascii="Arial Narrow" w:hAnsi="Arial Narrow"/>
                <w:noProof/>
                <w:lang w:val="de-DE"/>
              </w:rPr>
              <w:t xml:space="preserve"> </w:t>
            </w:r>
            <w:r w:rsidRPr="00170422">
              <w:rPr>
                <w:rFonts w:ascii="Arial Narrow" w:eastAsia="Times New Roman" w:hAnsi="Arial Narrow" w:cs="Times New Roman"/>
                <w:noProof/>
                <w:kern w:val="0"/>
                <w:szCs w:val="20"/>
                <w:lang w:val="de-DE"/>
                <w14:ligatures w14:val="none"/>
              </w:rPr>
              <w:t xml:space="preserve">in den Bereichen Kreislaufwirtschaft und Bioökonomie, für die eine finanzielle Unterstützung gewährt wird. </w:t>
            </w:r>
          </w:p>
          <w:p w14:paraId="76E4B05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Bei den geförderten Investitionen handelt es sich um: </w:t>
            </w:r>
          </w:p>
          <w:p w14:paraId="3E4E78E3" w14:textId="77777777" w:rsidR="0057163C" w:rsidRPr="00170422" w:rsidRDefault="00F37BF9">
            <w:pPr>
              <w:pStyle w:val="P68B1DB1-Normal55"/>
              <w:spacing w:after="0" w:line="240" w:lineRule="auto"/>
              <w:textAlignment w:val="baseline"/>
              <w:rPr>
                <w:rFonts w:ascii="Times New Roman" w:hAnsi="Times New Roman"/>
                <w:noProof/>
                <w:sz w:val="24"/>
                <w:szCs w:val="24"/>
                <w:lang w:val="de-DE"/>
              </w:rPr>
            </w:pPr>
            <w:r w:rsidRPr="00170422">
              <w:rPr>
                <w:noProof/>
                <w:color w:val="006100"/>
                <w:sz w:val="20"/>
                <w:szCs w:val="20"/>
                <w:lang w:val="de-DE"/>
              </w:rPr>
              <w:t>-</w:t>
            </w:r>
            <w:r w:rsidRPr="00170422">
              <w:rPr>
                <w:noProof/>
                <w:sz w:val="24"/>
                <w:szCs w:val="24"/>
                <w:lang w:val="de-DE"/>
              </w:rPr>
              <w:t xml:space="preserve"> </w:t>
            </w:r>
            <w:r w:rsidRPr="00170422">
              <w:rPr>
                <w:noProof/>
                <w:color w:val="006100"/>
                <w:sz w:val="20"/>
                <w:szCs w:val="20"/>
                <w:lang w:val="de-DE"/>
              </w:rPr>
              <w:t xml:space="preserve">Austausch umweltfreundlicherer Geländefahrzeuge </w:t>
            </w:r>
          </w:p>
          <w:p w14:paraId="6380709C" w14:textId="77777777" w:rsidR="0057163C" w:rsidRPr="00170422" w:rsidRDefault="00F37BF9">
            <w:pPr>
              <w:pStyle w:val="P68B1DB1-Normal55"/>
              <w:spacing w:after="0" w:line="240" w:lineRule="auto"/>
              <w:textAlignment w:val="baseline"/>
              <w:rPr>
                <w:rFonts w:ascii="Times New Roman" w:hAnsi="Times New Roman"/>
                <w:noProof/>
                <w:sz w:val="24"/>
                <w:szCs w:val="24"/>
                <w:lang w:val="de-DE"/>
              </w:rPr>
            </w:pPr>
            <w:r w:rsidRPr="00170422">
              <w:rPr>
                <w:noProof/>
                <w:color w:val="006100"/>
                <w:sz w:val="20"/>
                <w:szCs w:val="20"/>
                <w:lang w:val="de-DE"/>
              </w:rPr>
              <w:t>-</w:t>
            </w:r>
            <w:r w:rsidRPr="00170422">
              <w:rPr>
                <w:noProof/>
                <w:sz w:val="24"/>
                <w:szCs w:val="24"/>
                <w:lang w:val="de-DE"/>
              </w:rPr>
              <w:t xml:space="preserve"> </w:t>
            </w:r>
            <w:r w:rsidRPr="00170422">
              <w:rPr>
                <w:noProof/>
                <w:color w:val="006100"/>
                <w:sz w:val="20"/>
                <w:szCs w:val="20"/>
                <w:lang w:val="de-DE"/>
              </w:rPr>
              <w:t>Einführung der</w:t>
            </w:r>
            <w:r w:rsidRPr="00170422">
              <w:rPr>
                <w:noProof/>
                <w:color w:val="006100"/>
                <w:sz w:val="20"/>
                <w:szCs w:val="20"/>
                <w:lang w:val="de-DE"/>
              </w:rPr>
              <w:t xml:space="preserve"> Präzisionslandwirtschaft </w:t>
            </w:r>
          </w:p>
          <w:p w14:paraId="516CE9D6" w14:textId="77777777" w:rsidR="0057163C" w:rsidRPr="00170422" w:rsidRDefault="00F37BF9">
            <w:pPr>
              <w:pStyle w:val="P68B1DB1-Normal55"/>
              <w:spacing w:after="0" w:line="240" w:lineRule="auto"/>
              <w:textAlignment w:val="baseline"/>
              <w:rPr>
                <w:rFonts w:ascii="Times New Roman" w:hAnsi="Times New Roman"/>
                <w:noProof/>
                <w:sz w:val="24"/>
                <w:szCs w:val="24"/>
                <w:lang w:val="de-DE"/>
              </w:rPr>
            </w:pPr>
            <w:r w:rsidRPr="00170422">
              <w:rPr>
                <w:noProof/>
                <w:color w:val="006100"/>
                <w:sz w:val="20"/>
                <w:szCs w:val="20"/>
                <w:lang w:val="de-DE"/>
              </w:rPr>
              <w:t>—</w:t>
            </w:r>
            <w:r w:rsidRPr="00170422">
              <w:rPr>
                <w:noProof/>
                <w:sz w:val="24"/>
                <w:szCs w:val="24"/>
                <w:lang w:val="de-DE"/>
              </w:rPr>
              <w:t xml:space="preserve"> </w:t>
            </w:r>
            <w:r w:rsidRPr="00170422">
              <w:rPr>
                <w:noProof/>
                <w:color w:val="006100"/>
                <w:sz w:val="20"/>
                <w:szCs w:val="20"/>
                <w:lang w:val="de-DE"/>
              </w:rPr>
              <w:t xml:space="preserve">Ersetzung veralteter Anlagen für Olivenmühlen </w:t>
            </w:r>
          </w:p>
          <w:p w14:paraId="5A53966D"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Um dem Grundsatz „No-Significant-Harm“ zu entsprechen, müssen Geländefahrzeuge emissionsfrei sein oder ausschließlich mit Biomethan betrieben werden, das die Kriterien der Richtlin</w:t>
            </w:r>
            <w:r w:rsidRPr="00170422">
              <w:rPr>
                <w:noProof/>
                <w:lang w:val="de-DE"/>
              </w:rPr>
              <w:t>ie 2018/2001 (RED II-Richtlinie) erfüllt. </w:t>
            </w:r>
          </w:p>
          <w:p w14:paraId="53BEABB6"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Biokraftstoff- und Biomethan-Gas- und Biokraftstoffhersteller müssen Zertifikate (Nachweis der Nachhaltigkeit) vorlegen, die von unabhängigen Bewertern gemäß der Richtlinie 2018/2001 ausgestellt werden. Der Betrei</w:t>
            </w:r>
            <w:r w:rsidRPr="00170422">
              <w:rPr>
                <w:noProof/>
                <w:lang w:val="de-DE"/>
              </w:rPr>
              <w:t>ber erwirbt Herkunftsnachweise, die dem erwarteten Kraftstoffverbrauch entsprechen. </w:t>
            </w:r>
          </w:p>
        </w:tc>
      </w:tr>
      <w:tr w:rsidR="0057163C" w:rsidRPr="00170422" w14:paraId="7FC61F80" w14:textId="77777777">
        <w:trPr>
          <w:trHeight w:val="300"/>
        </w:trPr>
        <w:tc>
          <w:tcPr>
            <w:tcW w:w="1276" w:type="dxa"/>
            <w:shd w:val="clear" w:color="auto" w:fill="C6EFCE"/>
            <w:vAlign w:val="center"/>
            <w:hideMark/>
          </w:tcPr>
          <w:p w14:paraId="0AD2E65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M2C1-9 </w:t>
            </w:r>
          </w:p>
        </w:tc>
        <w:tc>
          <w:tcPr>
            <w:tcW w:w="1418" w:type="dxa"/>
            <w:shd w:val="clear" w:color="auto" w:fill="C6EFCE"/>
            <w:vAlign w:val="center"/>
            <w:hideMark/>
          </w:tcPr>
          <w:p w14:paraId="57DAEA1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2.2: AGRI-Solarpark </w:t>
            </w:r>
          </w:p>
        </w:tc>
        <w:tc>
          <w:tcPr>
            <w:tcW w:w="1276" w:type="dxa"/>
            <w:shd w:val="clear" w:color="auto" w:fill="C6EFCE"/>
            <w:vAlign w:val="center"/>
            <w:hideMark/>
          </w:tcPr>
          <w:p w14:paraId="04549DA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3D30C2D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Voltaische Stromerzeugung im AGRI-Bereich </w:t>
            </w:r>
          </w:p>
        </w:tc>
        <w:tc>
          <w:tcPr>
            <w:tcW w:w="1771" w:type="dxa"/>
            <w:shd w:val="clear" w:color="auto" w:fill="C6EFCE"/>
            <w:vAlign w:val="center"/>
            <w:hideMark/>
          </w:tcPr>
          <w:p w14:paraId="12AFB4A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79B16E5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kW </w:t>
            </w:r>
          </w:p>
        </w:tc>
        <w:tc>
          <w:tcPr>
            <w:tcW w:w="1043" w:type="dxa"/>
            <w:shd w:val="clear" w:color="auto" w:fill="C6EFCE"/>
            <w:vAlign w:val="center"/>
            <w:hideMark/>
          </w:tcPr>
          <w:p w14:paraId="26E3B28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1197" w:type="dxa"/>
            <w:shd w:val="clear" w:color="auto" w:fill="C6EFCE"/>
            <w:vAlign w:val="center"/>
            <w:hideMark/>
          </w:tcPr>
          <w:p w14:paraId="0844256F" w14:textId="1E3B4A99" w:rsidR="0057163C" w:rsidRPr="00170422" w:rsidRDefault="00F37BF9">
            <w:pPr>
              <w:pStyle w:val="P68B1DB1-Normal21"/>
              <w:spacing w:after="0" w:line="240" w:lineRule="auto"/>
              <w:jc w:val="center"/>
              <w:textAlignment w:val="baseline"/>
              <w:rPr>
                <w:rFonts w:ascii="Times New Roman" w:eastAsia="Times New Roman" w:hAnsi="Times New Roman" w:cs="Times New Roman"/>
                <w:noProof/>
                <w:kern w:val="0"/>
                <w:sz w:val="24"/>
                <w:szCs w:val="24"/>
                <w:lang w:val="de-DE"/>
                <w14:ligatures w14:val="none"/>
              </w:rPr>
            </w:pPr>
            <w:r w:rsidRPr="00170422">
              <w:rPr>
                <w:rFonts w:ascii="Arial Narrow" w:eastAsia="Times New Roman" w:hAnsi="Arial Narrow" w:cs="Times New Roman"/>
                <w:noProof/>
                <w:kern w:val="0"/>
                <w:szCs w:val="20"/>
                <w:lang w:val="de-DE"/>
                <w14:ligatures w14:val="none"/>
              </w:rPr>
              <w:t>1</w:t>
            </w:r>
            <w:r w:rsidRPr="00170422">
              <w:rPr>
                <w:rFonts w:ascii="Arial Narrow" w:hAnsi="Arial Narrow"/>
                <w:noProof/>
                <w:lang w:val="de-DE"/>
              </w:rPr>
              <w:t xml:space="preserve"> </w:t>
            </w:r>
            <w:r w:rsidRPr="00170422">
              <w:rPr>
                <w:rFonts w:ascii="Arial Narrow" w:eastAsia="Times New Roman" w:hAnsi="Arial Narrow" w:cs="Times New Roman"/>
                <w:noProof/>
                <w:kern w:val="0"/>
                <w:szCs w:val="20"/>
                <w:lang w:val="de-DE"/>
                <w14:ligatures w14:val="none"/>
              </w:rPr>
              <w:t>550</w:t>
            </w:r>
            <w:r w:rsidRPr="00170422">
              <w:rPr>
                <w:rFonts w:ascii="Arial Narrow" w:hAnsi="Arial Narrow"/>
                <w:noProof/>
                <w:lang w:val="de-DE"/>
              </w:rPr>
              <w:t xml:space="preserve"> </w:t>
            </w:r>
            <w:r w:rsidRPr="00170422">
              <w:rPr>
                <w:rFonts w:ascii="Arial Narrow" w:eastAsia="Times New Roman" w:hAnsi="Arial Narrow" w:cs="Times New Roman"/>
                <w:noProof/>
                <w:kern w:val="0"/>
                <w:szCs w:val="20"/>
                <w:lang w:val="de-DE"/>
                <w14:ligatures w14:val="none"/>
              </w:rPr>
              <w:t xml:space="preserve">000 </w:t>
            </w:r>
          </w:p>
        </w:tc>
        <w:tc>
          <w:tcPr>
            <w:tcW w:w="900" w:type="dxa"/>
            <w:shd w:val="clear" w:color="auto" w:fill="C6EFCE"/>
            <w:vAlign w:val="center"/>
            <w:hideMark/>
          </w:tcPr>
          <w:p w14:paraId="395CBEA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360A263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2026 </w:t>
            </w:r>
          </w:p>
        </w:tc>
        <w:tc>
          <w:tcPr>
            <w:tcW w:w="2880" w:type="dxa"/>
            <w:shd w:val="clear" w:color="auto" w:fill="C6EFCE"/>
            <w:vAlign w:val="center"/>
            <w:hideMark/>
          </w:tcPr>
          <w:p w14:paraId="3E69E6C0" w14:textId="419F5F79" w:rsidR="0057163C" w:rsidRPr="00170422" w:rsidRDefault="00F37BF9">
            <w:pPr>
              <w:pStyle w:val="P68B1DB1-Normal21"/>
              <w:spacing w:after="0" w:line="240" w:lineRule="auto"/>
              <w:textAlignment w:val="baseline"/>
              <w:rPr>
                <w:rFonts w:ascii="Times New Roman" w:eastAsia="Times New Roman" w:hAnsi="Times New Roman" w:cs="Times New Roman"/>
                <w:noProof/>
                <w:kern w:val="0"/>
                <w:sz w:val="24"/>
                <w:szCs w:val="24"/>
                <w:lang w:val="de-DE"/>
                <w14:ligatures w14:val="none"/>
              </w:rPr>
            </w:pPr>
            <w:r w:rsidRPr="00170422">
              <w:rPr>
                <w:rFonts w:ascii="Arial Narrow" w:eastAsia="Times New Roman" w:hAnsi="Arial Narrow" w:cs="Times New Roman"/>
                <w:noProof/>
                <w:kern w:val="0"/>
                <w:szCs w:val="20"/>
                <w:lang w:val="de-DE"/>
                <w14:ligatures w14:val="none"/>
              </w:rPr>
              <w:t xml:space="preserve">Installationsbescheinigungen für </w:t>
            </w:r>
            <w:r w:rsidRPr="00170422">
              <w:rPr>
                <w:rFonts w:ascii="Arial Narrow" w:eastAsia="Times New Roman" w:hAnsi="Arial Narrow" w:cs="Times New Roman"/>
                <w:noProof/>
                <w:kern w:val="0"/>
                <w:szCs w:val="20"/>
                <w:lang w:val="de-DE"/>
                <w14:ligatures w14:val="none"/>
              </w:rPr>
              <w:t>installierte Solarstromerzeugungskapazität von mindestens  1550000 kW.</w:t>
            </w:r>
          </w:p>
        </w:tc>
      </w:tr>
      <w:tr w:rsidR="0057163C" w:rsidRPr="00170422" w14:paraId="14215262" w14:textId="77777777">
        <w:trPr>
          <w:trHeight w:val="300"/>
        </w:trPr>
        <w:tc>
          <w:tcPr>
            <w:tcW w:w="1276" w:type="dxa"/>
            <w:shd w:val="clear" w:color="auto" w:fill="C6EFCE"/>
            <w:vAlign w:val="center"/>
            <w:hideMark/>
          </w:tcPr>
          <w:p w14:paraId="07136FA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M2C1-11 </w:t>
            </w:r>
          </w:p>
        </w:tc>
        <w:tc>
          <w:tcPr>
            <w:tcW w:w="1418" w:type="dxa"/>
            <w:shd w:val="clear" w:color="auto" w:fill="C6EFCE"/>
            <w:vAlign w:val="center"/>
            <w:hideMark/>
          </w:tcPr>
          <w:p w14:paraId="0FAE8E9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3.3: Kultur und Sensibilisierung für Umweltthemen und -herausforderungen </w:t>
            </w:r>
          </w:p>
        </w:tc>
        <w:tc>
          <w:tcPr>
            <w:tcW w:w="1276" w:type="dxa"/>
            <w:shd w:val="clear" w:color="auto" w:fill="C6EFCE"/>
            <w:vAlign w:val="center"/>
            <w:hideMark/>
          </w:tcPr>
          <w:p w14:paraId="36A1108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701" w:type="dxa"/>
            <w:shd w:val="clear" w:color="auto" w:fill="C6EFCE"/>
            <w:vAlign w:val="center"/>
            <w:hideMark/>
          </w:tcPr>
          <w:p w14:paraId="5C048E9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Start der Internetplattform und Verträge mit Autoren </w:t>
            </w:r>
          </w:p>
        </w:tc>
        <w:tc>
          <w:tcPr>
            <w:tcW w:w="1771" w:type="dxa"/>
            <w:shd w:val="clear" w:color="auto" w:fill="C6EFCE"/>
            <w:vAlign w:val="center"/>
            <w:hideMark/>
          </w:tcPr>
          <w:p w14:paraId="35DF3ED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Mitteilung über die </w:t>
            </w:r>
            <w:r w:rsidRPr="00170422">
              <w:rPr>
                <w:noProof/>
                <w:lang w:val="de-DE"/>
              </w:rPr>
              <w:t>Unterzeichnung eines Vertrags mit den Produzenten von Inhalten </w:t>
            </w:r>
          </w:p>
        </w:tc>
        <w:tc>
          <w:tcPr>
            <w:tcW w:w="1098" w:type="dxa"/>
            <w:shd w:val="clear" w:color="auto" w:fill="C6EFCE"/>
            <w:vAlign w:val="center"/>
            <w:hideMark/>
          </w:tcPr>
          <w:p w14:paraId="507AFEA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43" w:type="dxa"/>
            <w:shd w:val="clear" w:color="auto" w:fill="C6EFCE"/>
            <w:vAlign w:val="center"/>
            <w:hideMark/>
          </w:tcPr>
          <w:p w14:paraId="1988DF4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197" w:type="dxa"/>
            <w:shd w:val="clear" w:color="auto" w:fill="C6EFCE"/>
            <w:vAlign w:val="center"/>
            <w:hideMark/>
          </w:tcPr>
          <w:p w14:paraId="32EA9BF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00" w:type="dxa"/>
            <w:shd w:val="clear" w:color="auto" w:fill="C6EFCE"/>
            <w:vAlign w:val="center"/>
            <w:hideMark/>
          </w:tcPr>
          <w:p w14:paraId="6D6EC95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4E2E202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2022 </w:t>
            </w:r>
          </w:p>
        </w:tc>
        <w:tc>
          <w:tcPr>
            <w:tcW w:w="2880" w:type="dxa"/>
            <w:shd w:val="clear" w:color="auto" w:fill="C6EFCE"/>
            <w:vAlign w:val="center"/>
            <w:hideMark/>
          </w:tcPr>
          <w:p w14:paraId="5A94A8EC"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Öffentliche Inbetriebnahme der Internetplattform und Unterzeichnung der endgültigen Vereinbarungen mit den „Inhaltsproduzenten“. Ziel der Projekte is</w:t>
            </w:r>
            <w:r w:rsidRPr="00170422">
              <w:rPr>
                <w:noProof/>
                <w:lang w:val="de-DE"/>
              </w:rPr>
              <w:t>t die Entwicklung von mindestens 180 Podcasts, schulspezifischen Videounterrichts und Videoinhalten, die auf der Internetplattform zum ökologischen Wandel produziert und verfügbar sind. </w:t>
            </w:r>
          </w:p>
        </w:tc>
      </w:tr>
      <w:tr w:rsidR="0057163C" w:rsidRPr="00170422" w14:paraId="1F216D18" w14:textId="77777777">
        <w:trPr>
          <w:trHeight w:val="300"/>
        </w:trPr>
        <w:tc>
          <w:tcPr>
            <w:tcW w:w="1276" w:type="dxa"/>
            <w:shd w:val="clear" w:color="auto" w:fill="C6EFCE"/>
            <w:vAlign w:val="center"/>
            <w:hideMark/>
          </w:tcPr>
          <w:p w14:paraId="5D623B9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M2C1-12 </w:t>
            </w:r>
          </w:p>
        </w:tc>
        <w:tc>
          <w:tcPr>
            <w:tcW w:w="1418" w:type="dxa"/>
            <w:shd w:val="clear" w:color="auto" w:fill="C6EFCE"/>
            <w:vAlign w:val="center"/>
            <w:hideMark/>
          </w:tcPr>
          <w:p w14:paraId="1C95D0D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3.3: Kultur und Sensibilisierung für </w:t>
            </w:r>
            <w:r w:rsidRPr="00170422">
              <w:rPr>
                <w:noProof/>
                <w:lang w:val="de-DE"/>
              </w:rPr>
              <w:t>Umweltthemen und -herausforderungen </w:t>
            </w:r>
          </w:p>
        </w:tc>
        <w:tc>
          <w:tcPr>
            <w:tcW w:w="1276" w:type="dxa"/>
            <w:shd w:val="clear" w:color="auto" w:fill="C6EFCE"/>
            <w:vAlign w:val="center"/>
            <w:hideMark/>
          </w:tcPr>
          <w:p w14:paraId="3A79F45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701" w:type="dxa"/>
            <w:shd w:val="clear" w:color="auto" w:fill="C6EFCE"/>
            <w:vAlign w:val="center"/>
            <w:hideMark/>
          </w:tcPr>
          <w:p w14:paraId="73A0845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Podcasts zum ökologischen Wandel </w:t>
            </w:r>
          </w:p>
        </w:tc>
        <w:tc>
          <w:tcPr>
            <w:tcW w:w="1771" w:type="dxa"/>
            <w:shd w:val="clear" w:color="auto" w:fill="C6EFCE"/>
            <w:vAlign w:val="center"/>
            <w:hideMark/>
          </w:tcPr>
          <w:p w14:paraId="70015D9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098" w:type="dxa"/>
            <w:shd w:val="clear" w:color="auto" w:fill="C6EFCE"/>
            <w:vAlign w:val="center"/>
            <w:hideMark/>
          </w:tcPr>
          <w:p w14:paraId="7F71147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043" w:type="dxa"/>
            <w:shd w:val="clear" w:color="auto" w:fill="C6EFCE"/>
            <w:vAlign w:val="center"/>
            <w:hideMark/>
          </w:tcPr>
          <w:p w14:paraId="302A2D1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1197" w:type="dxa"/>
            <w:shd w:val="clear" w:color="auto" w:fill="C6EFCE"/>
            <w:vAlign w:val="center"/>
            <w:hideMark/>
          </w:tcPr>
          <w:p w14:paraId="5D1160F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180 </w:t>
            </w:r>
          </w:p>
        </w:tc>
        <w:tc>
          <w:tcPr>
            <w:tcW w:w="900" w:type="dxa"/>
            <w:shd w:val="clear" w:color="auto" w:fill="C6EFCE"/>
            <w:vAlign w:val="center"/>
            <w:hideMark/>
          </w:tcPr>
          <w:p w14:paraId="7EC1BCB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608" w:type="dxa"/>
            <w:shd w:val="clear" w:color="auto" w:fill="C6EFCE"/>
            <w:vAlign w:val="center"/>
            <w:hideMark/>
          </w:tcPr>
          <w:p w14:paraId="6972BD2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2025 </w:t>
            </w:r>
          </w:p>
        </w:tc>
        <w:tc>
          <w:tcPr>
            <w:tcW w:w="2880" w:type="dxa"/>
            <w:shd w:val="clear" w:color="auto" w:fill="C6EFCE"/>
            <w:vAlign w:val="center"/>
            <w:hideMark/>
          </w:tcPr>
          <w:p w14:paraId="71CEA1C8" w14:textId="4D315FE4"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Mindestens 180 Podcasts auf der Internetplattform veröffentlicht. </w:t>
            </w:r>
          </w:p>
        </w:tc>
      </w:tr>
    </w:tbl>
    <w:p w14:paraId="2D9B727B" w14:textId="733117AA" w:rsidR="0057163C" w:rsidRPr="00170422" w:rsidRDefault="0057163C">
      <w:pPr>
        <w:spacing w:after="0" w:line="240" w:lineRule="auto"/>
        <w:ind w:left="705"/>
        <w:jc w:val="both"/>
        <w:textAlignment w:val="baseline"/>
        <w:rPr>
          <w:rFonts w:ascii="Segoe UI" w:eastAsia="Times New Roman" w:hAnsi="Segoe UI" w:cs="Segoe UI"/>
          <w:noProof/>
          <w:kern w:val="0"/>
          <w:sz w:val="18"/>
          <w:szCs w:val="18"/>
          <w:lang w:val="de-DE"/>
          <w14:ligatures w14:val="none"/>
        </w:rPr>
      </w:pPr>
    </w:p>
    <w:p w14:paraId="60AE2574" w14:textId="77777777" w:rsidR="0057163C" w:rsidRPr="00170422" w:rsidRDefault="0057163C">
      <w:pPr>
        <w:rPr>
          <w:noProof/>
          <w:lang w:val="de-DE"/>
        </w:rPr>
        <w:sectPr w:rsidR="0057163C" w:rsidRPr="00170422" w:rsidSect="004E142E">
          <w:headerReference w:type="default" r:id="rId78"/>
          <w:footerReference w:type="default" r:id="rId79"/>
          <w:pgSz w:w="16838" w:h="11906" w:orient="landscape"/>
          <w:pgMar w:top="1440" w:right="1440" w:bottom="1440" w:left="1440" w:header="708" w:footer="708" w:gutter="0"/>
          <w:cols w:space="708"/>
          <w:docGrid w:linePitch="360"/>
        </w:sectPr>
      </w:pPr>
    </w:p>
    <w:p w14:paraId="73206D04" w14:textId="667739FA" w:rsidR="0057163C" w:rsidRPr="00170422" w:rsidRDefault="00F37BF9">
      <w:pPr>
        <w:pStyle w:val="P68B1DB1-Heading347"/>
        <w:ind w:left="850" w:hanging="850"/>
        <w:rPr>
          <w:bCs/>
          <w:noProof/>
          <w:lang w:val="de-DE"/>
        </w:rPr>
      </w:pPr>
      <w:r w:rsidRPr="00170422">
        <w:rPr>
          <w:noProof/>
          <w:lang w:val="de-DE"/>
        </w:rPr>
        <w:t xml:space="preserve">D.3. </w:t>
      </w:r>
      <w:r w:rsidRPr="00170422">
        <w:rPr>
          <w:noProof/>
          <w:lang w:val="de-DE"/>
        </w:rPr>
        <w:tab/>
      </w:r>
      <w:r w:rsidRPr="00170422">
        <w:rPr>
          <w:noProof/>
          <w:lang w:val="de-DE"/>
        </w:rPr>
        <w:t xml:space="preserve">Beschreibung der Reformen und Investitionen (Darlehen) </w:t>
      </w:r>
    </w:p>
    <w:p w14:paraId="2F53F0E2" w14:textId="77777777" w:rsidR="0057163C" w:rsidRPr="00170422" w:rsidRDefault="0057163C">
      <w:pPr>
        <w:spacing w:after="0" w:line="240" w:lineRule="auto"/>
        <w:ind w:left="840" w:hanging="840"/>
        <w:textAlignment w:val="baseline"/>
        <w:rPr>
          <w:rFonts w:ascii="Segoe UI" w:eastAsia="Times New Roman" w:hAnsi="Segoe UI" w:cs="Segoe UI"/>
          <w:noProof/>
          <w:color w:val="0F4761"/>
          <w:kern w:val="0"/>
          <w:sz w:val="18"/>
          <w:szCs w:val="18"/>
          <w:lang w:val="de-DE"/>
          <w14:ligatures w14:val="none"/>
        </w:rPr>
      </w:pPr>
    </w:p>
    <w:p w14:paraId="3E032A6A" w14:textId="77777777"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Reform 1.2 – Nationales Abfallwirtschaftsprogramm</w:t>
      </w:r>
      <w:r w:rsidRPr="00170422">
        <w:rPr>
          <w:noProof/>
          <w:lang w:val="de-DE"/>
        </w:rPr>
        <w:t> </w:t>
      </w:r>
    </w:p>
    <w:p w14:paraId="1A7EF702" w14:textId="767379BE" w:rsidR="0057163C" w:rsidRPr="00170422" w:rsidRDefault="00F37BF9">
      <w:pPr>
        <w:pStyle w:val="P68B1DB1-Normal45"/>
        <w:spacing w:after="0" w:line="240" w:lineRule="auto"/>
        <w:jc w:val="both"/>
        <w:textAlignment w:val="baseline"/>
        <w:rPr>
          <w:noProof/>
          <w:lang w:val="de-DE"/>
        </w:rPr>
      </w:pPr>
      <w:r w:rsidRPr="00170422">
        <w:rPr>
          <w:noProof/>
          <w:lang w:val="de-DE"/>
        </w:rPr>
        <w:t>Diese Reform besteht in der Annahme eines breit angelegten nationalen Programms für die Abfallbewirtschaftung, das auf den höchsten Stand der Vorber</w:t>
      </w:r>
      <w:r w:rsidRPr="00170422">
        <w:rPr>
          <w:noProof/>
          <w:lang w:val="de-DE"/>
        </w:rPr>
        <w:t>eitung zur Wiederverwendung, des Recyclings und der Verwertung von Abfällen abzielt, die Anpassung des Netzes der für die integrierte Abfallbewirtschaftung erforderlichen Anlagen, die Minimierung der endgültigen Beseitigung als End- und Restoption, die Ein</w:t>
      </w:r>
      <w:r w:rsidRPr="00170422">
        <w:rPr>
          <w:noProof/>
          <w:lang w:val="de-DE"/>
        </w:rPr>
        <w:t>richtung von Überwachungssystemen, die Verhinderung der Einleitung neuer Vertragsverletzungsverfahren gegen Italien, die Bekämpfung der geringen Abfallsammlung, die Verhinderung der Deponierung und die Gewährleistung der Komplementarität mit regionalen Abf</w:t>
      </w:r>
      <w:r w:rsidRPr="00170422">
        <w:rPr>
          <w:noProof/>
          <w:lang w:val="de-DE"/>
        </w:rPr>
        <w:t xml:space="preserve">allprogrammen, um die Verwirklichung der europäischen und nationalen abfallrechtlichen Ziele zu ermöglichen und gegen illegale Abfallablagerung und Verbrennung im Freien vorzugehen. </w:t>
      </w:r>
    </w:p>
    <w:p w14:paraId="16A53130"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13D6BAAE" w14:textId="77777777" w:rsidR="0057163C" w:rsidRPr="00170422" w:rsidRDefault="00F37BF9">
      <w:pPr>
        <w:pStyle w:val="P68B1DB1-Normal56"/>
        <w:spacing w:after="0" w:line="240" w:lineRule="auto"/>
        <w:jc w:val="both"/>
        <w:textAlignment w:val="baseline"/>
        <w:rPr>
          <w:bCs/>
          <w:noProof/>
          <w:lang w:val="de-DE"/>
        </w:rPr>
      </w:pPr>
      <w:r w:rsidRPr="00170422">
        <w:rPr>
          <w:noProof/>
          <w:lang w:val="de-DE"/>
        </w:rPr>
        <w:t>Investition 1.1 – Errichtung neuer Abfallbewirtschaftungsanlagen und Mod</w:t>
      </w:r>
      <w:r w:rsidRPr="00170422">
        <w:rPr>
          <w:noProof/>
          <w:lang w:val="de-DE"/>
        </w:rPr>
        <w:t>ernisierung bestehender Anlagen und Kreislaufwirtschaft „Leitprojekte“ </w:t>
      </w:r>
    </w:p>
    <w:p w14:paraId="2FC46C78" w14:textId="28502A7B" w:rsidR="0057163C" w:rsidRPr="00170422" w:rsidRDefault="00F37BF9">
      <w:pPr>
        <w:pStyle w:val="P68B1DB1-Normal45"/>
        <w:spacing w:after="0" w:line="240" w:lineRule="auto"/>
        <w:jc w:val="both"/>
        <w:textAlignment w:val="baseline"/>
        <w:rPr>
          <w:noProof/>
          <w:lang w:val="de-DE"/>
        </w:rPr>
      </w:pPr>
      <w:r w:rsidRPr="00170422">
        <w:rPr>
          <w:noProof/>
          <w:lang w:val="de-DE"/>
        </w:rPr>
        <w:t>Ziel dieser Investition ist es, die Abfallbewirtschaftung zu verbessern und die Kreislaufwirtschaft zu unterstützen. Die Investition besteht in der Finanzierung von Projekten zum Bau n</w:t>
      </w:r>
      <w:r w:rsidRPr="00170422">
        <w:rPr>
          <w:noProof/>
          <w:lang w:val="de-DE"/>
        </w:rPr>
        <w:t>euer Behandlungs-/Recyclinganlagen oder zur Modernisierung bestehender Anlagen sowie zur Unterstützung und Digitalisierung der getrennten Sammlung verschiedener Abfallströme. </w:t>
      </w:r>
    </w:p>
    <w:p w14:paraId="1D820778" w14:textId="77777777" w:rsidR="0057163C" w:rsidRPr="00170422" w:rsidRDefault="00F37BF9">
      <w:pPr>
        <w:pStyle w:val="P68B1DB1-Normal46"/>
        <w:spacing w:after="0" w:line="240" w:lineRule="auto"/>
        <w:ind w:left="360"/>
        <w:jc w:val="both"/>
        <w:textAlignment w:val="baseline"/>
        <w:rPr>
          <w:rFonts w:ascii="Segoe UI" w:hAnsi="Segoe UI" w:cs="Segoe UI"/>
          <w:noProof/>
          <w:sz w:val="18"/>
          <w:szCs w:val="18"/>
          <w:lang w:val="de-DE"/>
        </w:rPr>
      </w:pPr>
      <w:r w:rsidRPr="00170422">
        <w:rPr>
          <w:noProof/>
          <w:lang w:val="de-DE"/>
        </w:rPr>
        <w:t> </w:t>
      </w:r>
    </w:p>
    <w:p w14:paraId="20655233" w14:textId="77777777"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Investition 2.1 – Logistikplan für die Sektoren Agrar- und Ernährungswirtschaf</w:t>
      </w:r>
      <w:r w:rsidRPr="00170422">
        <w:rPr>
          <w:b/>
          <w:noProof/>
          <w:lang w:val="de-DE"/>
        </w:rPr>
        <w:t>t, Fischerei und Aquakultur, Forstwirtschaft, Blumenzucht und Pflanzenzucht</w:t>
      </w:r>
      <w:r w:rsidRPr="00170422">
        <w:rPr>
          <w:noProof/>
          <w:lang w:val="de-DE"/>
        </w:rPr>
        <w:t> </w:t>
      </w:r>
    </w:p>
    <w:p w14:paraId="6A0F2C91" w14:textId="46324793" w:rsidR="0057163C" w:rsidRPr="00170422" w:rsidRDefault="00F37BF9">
      <w:pPr>
        <w:pStyle w:val="P68B1DB1-Normal45"/>
        <w:spacing w:after="0" w:line="240" w:lineRule="auto"/>
        <w:jc w:val="both"/>
        <w:textAlignment w:val="baseline"/>
        <w:rPr>
          <w:noProof/>
          <w:lang w:val="de-DE"/>
        </w:rPr>
      </w:pPr>
      <w:r w:rsidRPr="00170422">
        <w:rPr>
          <w:noProof/>
          <w:lang w:val="de-DE"/>
        </w:rPr>
        <w:t>Ziel dieser Investition ist es, die Verringerung der Emissionen in der Transport- und Logistikphase im Agrar- und Lebensmittelsektor zu fördern, die Digitalisierung des Sektors un</w:t>
      </w:r>
      <w:r w:rsidRPr="00170422">
        <w:rPr>
          <w:noProof/>
          <w:lang w:val="de-DE"/>
        </w:rPr>
        <w:t xml:space="preserve">d die Nutzung erneuerbarer Energien voranzutreiben. Bei dieser Maßnahme handelt es sich um die Gewährung von Unterstützung für materielle und immaterielle Investitionen. </w:t>
      </w:r>
    </w:p>
    <w:p w14:paraId="45E36576"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632D9FCC" w14:textId="11F0B96F" w:rsidR="0057163C" w:rsidRPr="00170422" w:rsidRDefault="00F37BF9">
      <w:pPr>
        <w:pStyle w:val="P68B1DB1-Normal56"/>
        <w:spacing w:after="0" w:line="240" w:lineRule="auto"/>
        <w:jc w:val="both"/>
        <w:textAlignment w:val="baseline"/>
        <w:rPr>
          <w:rFonts w:ascii="Segoe UI" w:hAnsi="Segoe UI" w:cs="Segoe UI"/>
          <w:noProof/>
          <w:sz w:val="18"/>
          <w:szCs w:val="18"/>
          <w:lang w:val="de-DE"/>
        </w:rPr>
      </w:pPr>
      <w:r w:rsidRPr="00170422">
        <w:rPr>
          <w:noProof/>
          <w:lang w:val="de-DE"/>
        </w:rPr>
        <w:t>Investition 3.1 – Grüne Inseln</w:t>
      </w:r>
    </w:p>
    <w:p w14:paraId="1EE4DA36" w14:textId="7AC0557B" w:rsidR="0057163C" w:rsidRPr="00170422" w:rsidRDefault="00F37BF9">
      <w:pPr>
        <w:pStyle w:val="P68B1DB1-Normal45"/>
        <w:spacing w:after="0" w:line="240" w:lineRule="auto"/>
        <w:jc w:val="both"/>
        <w:textAlignment w:val="baseline"/>
        <w:rPr>
          <w:noProof/>
          <w:lang w:val="de-DE"/>
        </w:rPr>
      </w:pPr>
      <w:r w:rsidRPr="00170422">
        <w:rPr>
          <w:noProof/>
          <w:lang w:val="de-DE"/>
        </w:rPr>
        <w:t xml:space="preserve">Ziel dieser Maßnahme ist es, den ökologischen Wandel </w:t>
      </w:r>
      <w:r w:rsidRPr="00170422">
        <w:rPr>
          <w:noProof/>
          <w:lang w:val="de-DE"/>
        </w:rPr>
        <w:t>auf 19 nicht vernetzten kleinen Inseln in Italien zu unterstützen. Diese Investition besteht in der Finanzierung und Durchführung von Projekten in den Bereichen Energie (die unter anderem erneuerbare Energien, Netze oder Energieeffizienz umfassen können, W</w:t>
      </w:r>
      <w:r w:rsidRPr="00170422">
        <w:rPr>
          <w:noProof/>
          <w:lang w:val="de-DE"/>
        </w:rPr>
        <w:t>asser (zu denen unter anderem Entsalzung gehören kann), Verkehr (zu denen unter anderem Radwege, emissionsfreie Busse oder Boote gehören können, aber nicht darauf beschränkt sind) und Abfall (einschließlich, aber nicht beschränkt auf die Trennung von Abfäl</w:t>
      </w:r>
      <w:r w:rsidRPr="00170422">
        <w:rPr>
          <w:noProof/>
          <w:lang w:val="de-DE"/>
        </w:rPr>
        <w:t xml:space="preserve">len) auf den 19 nicht miteinander verbundenen kleinen Inseln. </w:t>
      </w:r>
    </w:p>
    <w:p w14:paraId="1BEC0B03" w14:textId="77777777" w:rsidR="0057163C" w:rsidRPr="00170422" w:rsidRDefault="0057163C">
      <w:pPr>
        <w:spacing w:after="0" w:line="240" w:lineRule="auto"/>
        <w:jc w:val="both"/>
        <w:textAlignment w:val="baseline"/>
        <w:rPr>
          <w:rFonts w:ascii="Segoe UI" w:eastAsia="Times New Roman" w:hAnsi="Segoe UI" w:cs="Segoe UI"/>
          <w:noProof/>
          <w:kern w:val="0"/>
          <w:sz w:val="18"/>
          <w:szCs w:val="18"/>
          <w:lang w:val="de-DE"/>
          <w14:ligatures w14:val="none"/>
        </w:rPr>
      </w:pPr>
    </w:p>
    <w:p w14:paraId="4C94178B" w14:textId="3F9C52F5" w:rsidR="0057163C" w:rsidRPr="00170422" w:rsidRDefault="00F37BF9">
      <w:pPr>
        <w:pStyle w:val="P68B1DB1-Normal56"/>
        <w:spacing w:after="0" w:line="240" w:lineRule="auto"/>
        <w:jc w:val="both"/>
        <w:textAlignment w:val="baseline"/>
        <w:rPr>
          <w:rFonts w:ascii="Segoe UI" w:hAnsi="Segoe UI" w:cs="Segoe UI"/>
          <w:noProof/>
          <w:sz w:val="18"/>
          <w:szCs w:val="18"/>
          <w:lang w:val="de-DE"/>
        </w:rPr>
      </w:pPr>
      <w:r w:rsidRPr="00170422">
        <w:rPr>
          <w:noProof/>
          <w:lang w:val="de-DE"/>
        </w:rPr>
        <w:t>Investition 3.2 – Grüne Gemeinschaften</w:t>
      </w:r>
    </w:p>
    <w:p w14:paraId="13E10020" w14:textId="6FF4291A"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Ziel dieser Investition ist es, den ökologischen Wandel in ländlichen Gebieten und Berggebieten (sogenannte „grüne Gemeinschaften“) zu unterstützen. Dies</w:t>
      </w:r>
      <w:r w:rsidRPr="00170422">
        <w:rPr>
          <w:noProof/>
          <w:lang w:val="de-DE"/>
        </w:rPr>
        <w:t>e Investition besteht in der Unterstützung von Projekten in den „Grünen Gemeinschaften“.</w:t>
      </w:r>
    </w:p>
    <w:p w14:paraId="39CE84A5" w14:textId="77777777"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noProof/>
          <w:lang w:val="de-DE"/>
        </w:rPr>
        <w:t> </w:t>
      </w:r>
    </w:p>
    <w:p w14:paraId="42C3908C" w14:textId="77777777" w:rsidR="0057163C" w:rsidRPr="00170422" w:rsidRDefault="00F37BF9">
      <w:pPr>
        <w:pStyle w:val="P68B1DB1-Normal46"/>
        <w:spacing w:after="0" w:line="240" w:lineRule="auto"/>
        <w:jc w:val="both"/>
        <w:textAlignment w:val="baseline"/>
        <w:rPr>
          <w:rFonts w:ascii="Segoe UI" w:hAnsi="Segoe UI" w:cs="Segoe UI"/>
          <w:noProof/>
          <w:sz w:val="18"/>
          <w:szCs w:val="18"/>
          <w:lang w:val="de-DE"/>
        </w:rPr>
      </w:pPr>
      <w:r w:rsidRPr="00170422">
        <w:rPr>
          <w:b/>
          <w:noProof/>
          <w:lang w:val="de-DE"/>
        </w:rPr>
        <w:t xml:space="preserve">Investition 3.4 – Fondo Rotativo Contratti di Filiera (FCF) zur Unterstützung von Lieferkettenverträgen in den Sektoren Agrar- und Ernährungswirtschaft, Fischerei </w:t>
      </w:r>
      <w:r w:rsidRPr="00170422">
        <w:rPr>
          <w:b/>
          <w:noProof/>
          <w:lang w:val="de-DE"/>
        </w:rPr>
        <w:t>und Aquakultur, Forstwirtschaft, Blumenzucht und Pflanzenzucht</w:t>
      </w:r>
      <w:r w:rsidRPr="00170422">
        <w:rPr>
          <w:noProof/>
          <w:lang w:val="de-DE"/>
        </w:rPr>
        <w:t> </w:t>
      </w:r>
    </w:p>
    <w:p w14:paraId="638D2632" w14:textId="64B5230A"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Diese Maßnahme besteht in einer öffentlichen Investition in eine Fazilität, den Fondo Rotativo Contratti di Filiera (FCF), um Anreize für private Investitionen zu schaffen und den Zugang zu Fi</w:t>
      </w:r>
      <w:r w:rsidRPr="00170422">
        <w:rPr>
          <w:noProof/>
          <w:lang w:val="de-DE"/>
        </w:rPr>
        <w:t>nanzmitteln im Agrar- und Lebensmittelsektor, Fischerei und Aquakultur, Forstwirtschaft, Blumenzucht und Pflanzenzucht in Italien zu verbessern. Die Fazilität wird in Form von Zuschüssen und zinsvergünstigten Darlehen direkt über ISMEA (Istituto di Servizi</w:t>
      </w:r>
      <w:r w:rsidRPr="00170422">
        <w:rPr>
          <w:noProof/>
          <w:lang w:val="de-DE"/>
        </w:rPr>
        <w:t xml:space="preserve"> per il Mercato Agricolo Alimentare) betrieben. </w:t>
      </w:r>
    </w:p>
    <w:p w14:paraId="38FF361D" w14:textId="77777777"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Die Fazilität wird von ISMEA als Durchführungspartner verwaltet. Die Fazilität umfasst die folgenden Produktlinien: </w:t>
      </w:r>
    </w:p>
    <w:p w14:paraId="31CBCA3B" w14:textId="77777777" w:rsidR="0057163C" w:rsidRPr="00170422" w:rsidRDefault="00F37BF9">
      <w:pPr>
        <w:pStyle w:val="P68B1DB1-Normal45"/>
        <w:numPr>
          <w:ilvl w:val="0"/>
          <w:numId w:val="111"/>
        </w:numPr>
        <w:spacing w:after="0" w:line="240" w:lineRule="auto"/>
        <w:ind w:left="1080" w:firstLine="0"/>
        <w:jc w:val="both"/>
        <w:textAlignment w:val="baseline"/>
        <w:rPr>
          <w:noProof/>
          <w:lang w:val="de-DE"/>
        </w:rPr>
      </w:pPr>
      <w:r w:rsidRPr="00170422">
        <w:rPr>
          <w:noProof/>
          <w:lang w:val="de-DE"/>
        </w:rPr>
        <w:t xml:space="preserve">Unterstützung von Unternehmen, Unternehmensgruppen oder landwirtschaftlichen </w:t>
      </w:r>
      <w:r w:rsidRPr="00170422">
        <w:rPr>
          <w:noProof/>
          <w:lang w:val="de-DE"/>
        </w:rPr>
        <w:t>Erzeugervereinigungen sowie Forschungs- und Wissensverbreitungsorganisationen in den Sektoren Agrar- und Ernährungswirtschaft, Fischerei und Aquakultur, Forstwirtschaft, Blumenzucht und Pflanzenzucht durch Verbesserung der Produktionsprozesse durch Aufnahm</w:t>
      </w:r>
      <w:r w:rsidRPr="00170422">
        <w:rPr>
          <w:noProof/>
          <w:lang w:val="de-DE"/>
        </w:rPr>
        <w:t>e einer Kombination von Tätigkeiten aus folgenden Bereichen: </w:t>
      </w:r>
    </w:p>
    <w:p w14:paraId="721A0F26" w14:textId="77777777" w:rsidR="0057163C" w:rsidRPr="00170422" w:rsidRDefault="00F37BF9">
      <w:pPr>
        <w:pStyle w:val="P68B1DB1-Normal45"/>
        <w:numPr>
          <w:ilvl w:val="0"/>
          <w:numId w:val="112"/>
        </w:numPr>
        <w:spacing w:after="0" w:line="240" w:lineRule="auto"/>
        <w:ind w:left="1800" w:firstLine="0"/>
        <w:jc w:val="both"/>
        <w:textAlignment w:val="baseline"/>
        <w:rPr>
          <w:noProof/>
          <w:lang w:val="de-DE"/>
        </w:rPr>
      </w:pPr>
      <w:r w:rsidRPr="00170422">
        <w:rPr>
          <w:noProof/>
          <w:lang w:val="de-DE"/>
        </w:rPr>
        <w:t>Verbesserung der ökologischen Nachhaltigkeit von Produktionsprozessen durch Investitionen in materielle und immaterielle Vermögenswerte, um die Effizienz des Energie-, Wasser- und Ressourcenverb</w:t>
      </w:r>
      <w:r w:rsidRPr="00170422">
        <w:rPr>
          <w:noProof/>
          <w:lang w:val="de-DE"/>
        </w:rPr>
        <w:t>rauchs der angestrebten Produktionsprozesse erheblich zu steigern; </w:t>
      </w:r>
    </w:p>
    <w:p w14:paraId="6CC41D36" w14:textId="7BFF3397" w:rsidR="0057163C" w:rsidRPr="00170422" w:rsidRDefault="00F37BF9">
      <w:pPr>
        <w:pStyle w:val="P68B1DB1-Normal45"/>
        <w:numPr>
          <w:ilvl w:val="0"/>
          <w:numId w:val="113"/>
        </w:numPr>
        <w:spacing w:after="0" w:line="240" w:lineRule="auto"/>
        <w:ind w:left="1800" w:firstLine="0"/>
        <w:jc w:val="both"/>
        <w:textAlignment w:val="baseline"/>
        <w:rPr>
          <w:noProof/>
          <w:lang w:val="de-DE"/>
        </w:rPr>
      </w:pPr>
      <w:r w:rsidRPr="00170422">
        <w:rPr>
          <w:noProof/>
          <w:lang w:val="de-DE"/>
        </w:rPr>
        <w:t>Investitionen in Wissens-, Ausbildungs-, Forschungs- und Innovationsprojekte, Technologietransfer- und Entwicklungsprojekte, die auch die Neuorganisation der Beziehungen zwischen den versc</w:t>
      </w:r>
      <w:r w:rsidRPr="00170422">
        <w:rPr>
          <w:noProof/>
          <w:lang w:val="de-DE"/>
        </w:rPr>
        <w:t xml:space="preserve">hiedenen Akteuren der Lieferkette unterstützen können, um die Nachhaltigkeit der Produktionsprozesse zu verbessern; </w:t>
      </w:r>
    </w:p>
    <w:p w14:paraId="3AA19CED" w14:textId="77777777" w:rsidR="0057163C" w:rsidRPr="00170422" w:rsidRDefault="00F37BF9">
      <w:pPr>
        <w:pStyle w:val="P68B1DB1-Normal45"/>
        <w:numPr>
          <w:ilvl w:val="0"/>
          <w:numId w:val="114"/>
        </w:numPr>
        <w:spacing w:after="0" w:line="240" w:lineRule="auto"/>
        <w:ind w:left="1800" w:firstLine="0"/>
        <w:jc w:val="both"/>
        <w:textAlignment w:val="baseline"/>
        <w:rPr>
          <w:noProof/>
          <w:lang w:val="de-DE"/>
        </w:rPr>
      </w:pPr>
      <w:r w:rsidRPr="00170422">
        <w:rPr>
          <w:noProof/>
          <w:lang w:val="de-DE"/>
        </w:rPr>
        <w:t>Investitionen in die Digitalisierung von Unternehmen, einschließlich des elektronischen Handels und neuer Technologien; </w:t>
      </w:r>
    </w:p>
    <w:p w14:paraId="650DF0C2" w14:textId="77777777" w:rsidR="0057163C" w:rsidRPr="00170422" w:rsidRDefault="00F37BF9">
      <w:pPr>
        <w:pStyle w:val="P68B1DB1-Normal45"/>
        <w:numPr>
          <w:ilvl w:val="0"/>
          <w:numId w:val="115"/>
        </w:numPr>
        <w:spacing w:after="0" w:line="240" w:lineRule="auto"/>
        <w:ind w:left="1800" w:firstLine="0"/>
        <w:jc w:val="both"/>
        <w:textAlignment w:val="baseline"/>
        <w:rPr>
          <w:noProof/>
          <w:lang w:val="de-DE"/>
        </w:rPr>
      </w:pPr>
      <w:r w:rsidRPr="00170422">
        <w:rPr>
          <w:noProof/>
          <w:lang w:val="de-DE"/>
        </w:rPr>
        <w:t>Installation von P</w:t>
      </w:r>
      <w:r w:rsidRPr="00170422">
        <w:rPr>
          <w:noProof/>
          <w:lang w:val="de-DE"/>
        </w:rPr>
        <w:t>hotovoltaik- und Solarpaneelen </w:t>
      </w:r>
    </w:p>
    <w:p w14:paraId="62DA3950" w14:textId="086B1B53"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 xml:space="preserve">Ziel der Maßnahme ist es, die Treibhausgasemissionen, die Lebensmittelverschwendung und den Einsatz von Pestiziden und antimikrobiellen Mitteln zu verringern, die Energieeffizienz zu verbessern und die Erzeugung und Nutzung </w:t>
      </w:r>
      <w:r w:rsidRPr="00170422">
        <w:rPr>
          <w:noProof/>
          <w:lang w:val="de-DE"/>
        </w:rPr>
        <w:t>erneuerbarer Energien zu steigern.  </w:t>
      </w:r>
    </w:p>
    <w:p w14:paraId="68D58F0C" w14:textId="77777777"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Zur Durchführung der Investition in die Fazilität unterzeichnen das Ministerium und das ISMEA ein Durchführungsabkommen, das Folgendes enthält: </w:t>
      </w:r>
    </w:p>
    <w:p w14:paraId="63DDA928" w14:textId="77777777" w:rsidR="0057163C" w:rsidRPr="00170422" w:rsidRDefault="00F37BF9">
      <w:pPr>
        <w:pStyle w:val="P68B1DB1-Normal45"/>
        <w:numPr>
          <w:ilvl w:val="0"/>
          <w:numId w:val="116"/>
        </w:numPr>
        <w:spacing w:after="0" w:line="240" w:lineRule="auto"/>
        <w:ind w:left="1080" w:firstLine="0"/>
        <w:jc w:val="both"/>
        <w:textAlignment w:val="baseline"/>
        <w:rPr>
          <w:noProof/>
          <w:lang w:val="de-DE"/>
        </w:rPr>
      </w:pPr>
      <w:r w:rsidRPr="00170422">
        <w:rPr>
          <w:noProof/>
          <w:lang w:val="de-DE"/>
        </w:rPr>
        <w:t>Beschreibung des Entscheidungsprozesses der Fazilität: Die endgültige Investitionsentscheidung der Fazilität wird von einem Investitionsausschuss oder einem anderen einschlägigen gleichwertigen Leitungsgremium getroffen und mit der Mehrheit der Stimmen der</w:t>
      </w:r>
      <w:r w:rsidRPr="00170422">
        <w:rPr>
          <w:noProof/>
          <w:lang w:val="de-DE"/>
        </w:rPr>
        <w:t xml:space="preserve"> von der Regierung unabhängigen Mitglieder genehmigt. </w:t>
      </w:r>
    </w:p>
    <w:p w14:paraId="49AF4FA7" w14:textId="77777777" w:rsidR="0057163C" w:rsidRPr="00170422" w:rsidRDefault="00F37BF9">
      <w:pPr>
        <w:pStyle w:val="P68B1DB1-Normal45"/>
        <w:numPr>
          <w:ilvl w:val="0"/>
          <w:numId w:val="117"/>
        </w:numPr>
        <w:spacing w:after="0" w:line="240" w:lineRule="auto"/>
        <w:ind w:left="1080" w:firstLine="0"/>
        <w:jc w:val="both"/>
        <w:textAlignment w:val="baseline"/>
        <w:rPr>
          <w:noProof/>
          <w:lang w:val="de-DE"/>
        </w:rPr>
      </w:pPr>
      <w:r w:rsidRPr="00170422">
        <w:rPr>
          <w:noProof/>
          <w:lang w:val="de-DE"/>
        </w:rPr>
        <w:t>Kernanforderungen der zugehörigen Anlagepolitik, die Folgendes umfassen: </w:t>
      </w:r>
    </w:p>
    <w:p w14:paraId="658F97A0" w14:textId="77777777" w:rsidR="0057163C" w:rsidRPr="00170422" w:rsidRDefault="00F37BF9">
      <w:pPr>
        <w:pStyle w:val="P68B1DB1-Normal45"/>
        <w:numPr>
          <w:ilvl w:val="0"/>
          <w:numId w:val="118"/>
        </w:numPr>
        <w:spacing w:after="0" w:line="240" w:lineRule="auto"/>
        <w:ind w:left="1800" w:firstLine="0"/>
        <w:jc w:val="both"/>
        <w:textAlignment w:val="baseline"/>
        <w:rPr>
          <w:noProof/>
          <w:lang w:val="de-DE"/>
        </w:rPr>
      </w:pPr>
      <w:r w:rsidRPr="00170422">
        <w:rPr>
          <w:noProof/>
          <w:lang w:val="de-DE"/>
        </w:rPr>
        <w:t>Die Beschreibung des/der Finanzprodukt(s) und der förderfähigen Endbegünstigten. </w:t>
      </w:r>
    </w:p>
    <w:p w14:paraId="50B8CCC9" w14:textId="77777777" w:rsidR="0057163C" w:rsidRPr="00170422" w:rsidRDefault="00F37BF9">
      <w:pPr>
        <w:pStyle w:val="P68B1DB1-Normal45"/>
        <w:numPr>
          <w:ilvl w:val="0"/>
          <w:numId w:val="119"/>
        </w:numPr>
        <w:spacing w:after="0" w:line="240" w:lineRule="auto"/>
        <w:ind w:left="1800" w:firstLine="0"/>
        <w:jc w:val="both"/>
        <w:textAlignment w:val="baseline"/>
        <w:rPr>
          <w:noProof/>
          <w:lang w:val="de-DE"/>
        </w:rPr>
      </w:pPr>
      <w:r w:rsidRPr="00170422">
        <w:rPr>
          <w:noProof/>
          <w:lang w:val="de-DE"/>
        </w:rPr>
        <w:t>Die Anforderung, dass alle geförderten Invest</w:t>
      </w:r>
      <w:r w:rsidRPr="00170422">
        <w:rPr>
          <w:noProof/>
          <w:lang w:val="de-DE"/>
        </w:rPr>
        <w:t>itionen wirtschaftlich tragfähig sind. </w:t>
      </w:r>
    </w:p>
    <w:p w14:paraId="5C9517EE" w14:textId="1389AA56" w:rsidR="0057163C" w:rsidRPr="00170422" w:rsidRDefault="00F37BF9">
      <w:pPr>
        <w:numPr>
          <w:ilvl w:val="0"/>
          <w:numId w:val="120"/>
        </w:numPr>
        <w:spacing w:after="0" w:line="240" w:lineRule="auto"/>
        <w:ind w:left="1800" w:firstLine="0"/>
        <w:jc w:val="both"/>
        <w:textAlignment w:val="baseline"/>
        <w:rPr>
          <w:rFonts w:ascii="Times New Roman" w:eastAsia="Times New Roman" w:hAnsi="Times New Roman" w:cs="Times New Roman"/>
          <w:noProof/>
          <w:kern w:val="0"/>
          <w:lang w:val="de-DE"/>
          <w14:ligatures w14:val="none"/>
        </w:rPr>
      </w:pPr>
      <w:r w:rsidRPr="00170422">
        <w:rPr>
          <w:rFonts w:ascii="Times New Roman" w:eastAsia="Times New Roman" w:hAnsi="Times New Roman" w:cs="Times New Roman"/>
          <w:noProof/>
          <w:kern w:val="0"/>
          <w:lang w:val="de-DE"/>
          <w14:ligatures w14:val="none"/>
        </w:rPr>
        <w:t>Die Anforderung, den Grundsatz der „Vermeidung erheblicher Beeinträchtigungen“ (DNSH) gemäß den technischen Leitlinien zur Vermeidung erheblicher Beeinträchtigungen (2021/C58/01) einzuhalten. Insbesondere schließt di</w:t>
      </w:r>
      <w:r w:rsidRPr="00170422">
        <w:rPr>
          <w:rFonts w:ascii="Times New Roman" w:eastAsia="Times New Roman" w:hAnsi="Times New Roman" w:cs="Times New Roman"/>
          <w:noProof/>
          <w:kern w:val="0"/>
          <w:lang w:val="de-DE"/>
          <w14:ligatures w14:val="none"/>
        </w:rPr>
        <w:t>e Anlagepolitik die folgende Liste von Tätigkeiten und Vermögenswerten von der Förderfähigkeit aus: Tätigkeiten und Vermögenswerte im Zusammenhang mit fossilen Brennstoffen, einschließlich nachgelagerter Nutzung,</w:t>
      </w:r>
      <w:r w:rsidRPr="00170422">
        <w:rPr>
          <w:rStyle w:val="FootnoteReference"/>
          <w:rFonts w:ascii="Times New Roman" w:eastAsia="Times New Roman" w:hAnsi="Times New Roman" w:cs="Times New Roman"/>
          <w:noProof/>
          <w:kern w:val="0"/>
          <w:lang w:val="de-DE"/>
          <w14:ligatures w14:val="none"/>
        </w:rPr>
        <w:footnoteReference w:id="22"/>
      </w:r>
      <w:r w:rsidRPr="00170422">
        <w:rPr>
          <w:rFonts w:ascii="Times New Roman" w:eastAsia="Times New Roman" w:hAnsi="Times New Roman" w:cs="Times New Roman"/>
          <w:noProof/>
          <w:kern w:val="0"/>
          <w:lang w:val="de-DE"/>
          <w14:ligatures w14:val="none"/>
        </w:rPr>
        <w:t>ii) Tätigkeiten und Vermögenswerte im Rahme</w:t>
      </w:r>
      <w:r w:rsidRPr="00170422">
        <w:rPr>
          <w:rFonts w:ascii="Times New Roman" w:eastAsia="Times New Roman" w:hAnsi="Times New Roman" w:cs="Times New Roman"/>
          <w:noProof/>
          <w:kern w:val="0"/>
          <w:lang w:val="de-DE"/>
          <w14:ligatures w14:val="none"/>
        </w:rPr>
        <w:t>n des EU-Emissionshandelssystems (EHS), mit denen prognostizierte Treibhausgasemissionen erreicht werden, die nicht unter den einschlägigen Richtwerten liegen,</w:t>
      </w:r>
      <w:r w:rsidRPr="00170422">
        <w:rPr>
          <w:rStyle w:val="FootnoteReference"/>
          <w:rFonts w:ascii="Times New Roman" w:eastAsia="Times New Roman" w:hAnsi="Times New Roman" w:cs="Times New Roman"/>
          <w:noProof/>
          <w:kern w:val="0"/>
          <w:lang w:val="de-DE"/>
          <w14:ligatures w14:val="none"/>
        </w:rPr>
        <w:footnoteReference w:id="23"/>
      </w:r>
      <w:r w:rsidRPr="00170422">
        <w:rPr>
          <w:rFonts w:ascii="Times New Roman" w:eastAsia="Times New Roman" w:hAnsi="Times New Roman" w:cs="Times New Roman"/>
          <w:noProof/>
          <w:kern w:val="0"/>
          <w:lang w:val="de-DE"/>
          <w14:ligatures w14:val="none"/>
        </w:rPr>
        <w:t>iii) Tätigkeiten und Vermögenswerte im Zusammenhang mit Abfalldeponien, Verbrennungsanlagen</w:t>
      </w:r>
      <w:r w:rsidRPr="00170422">
        <w:rPr>
          <w:rStyle w:val="FootnoteReference"/>
          <w:rFonts w:ascii="Times New Roman" w:eastAsia="Times New Roman" w:hAnsi="Times New Roman" w:cs="Times New Roman"/>
          <w:noProof/>
          <w:kern w:val="0"/>
          <w:lang w:val="de-DE"/>
          <w14:ligatures w14:val="none"/>
        </w:rPr>
        <w:footnoteReference w:id="24"/>
      </w:r>
      <w:r w:rsidRPr="00170422">
        <w:rPr>
          <w:rFonts w:ascii="Times New Roman" w:eastAsia="Times New Roman" w:hAnsi="Times New Roman" w:cs="Times New Roman"/>
          <w:noProof/>
          <w:kern w:val="0"/>
          <w:lang w:val="de-DE"/>
          <w14:ligatures w14:val="none"/>
        </w:rPr>
        <w:t xml:space="preserve"> und</w:t>
      </w:r>
      <w:r w:rsidRPr="00170422">
        <w:rPr>
          <w:rFonts w:ascii="Times New Roman" w:eastAsia="Times New Roman" w:hAnsi="Times New Roman" w:cs="Times New Roman"/>
          <w:noProof/>
          <w:kern w:val="0"/>
          <w:lang w:val="de-DE"/>
          <w14:ligatures w14:val="none"/>
        </w:rPr>
        <w:t xml:space="preserve"> mechanisch-biologischen Behandlungsanlagen</w:t>
      </w:r>
      <w:r w:rsidRPr="00170422">
        <w:rPr>
          <w:rStyle w:val="FootnoteReference"/>
          <w:rFonts w:ascii="Times New Roman" w:eastAsia="Times New Roman" w:hAnsi="Times New Roman" w:cs="Times New Roman"/>
          <w:noProof/>
          <w:kern w:val="0"/>
          <w:lang w:val="de-DE"/>
          <w14:ligatures w14:val="none"/>
        </w:rPr>
        <w:footnoteReference w:id="25"/>
      </w:r>
      <w:r w:rsidRPr="00170422">
        <w:rPr>
          <w:rFonts w:ascii="Times New Roman" w:eastAsia="Times New Roman" w:hAnsi="Times New Roman" w:cs="Times New Roman"/>
          <w:noProof/>
          <w:kern w:val="0"/>
          <w:lang w:val="de-DE"/>
          <w14:ligatures w14:val="none"/>
        </w:rPr>
        <w:t xml:space="preserve">. </w:t>
      </w:r>
    </w:p>
    <w:p w14:paraId="5EC3E84A" w14:textId="77777777" w:rsidR="0057163C" w:rsidRPr="00170422" w:rsidRDefault="00F37BF9">
      <w:pPr>
        <w:pStyle w:val="P68B1DB1-Normal45"/>
        <w:numPr>
          <w:ilvl w:val="0"/>
          <w:numId w:val="121"/>
        </w:numPr>
        <w:spacing w:after="0" w:line="240" w:lineRule="auto"/>
        <w:ind w:left="1800" w:firstLine="0"/>
        <w:jc w:val="both"/>
        <w:textAlignment w:val="baseline"/>
        <w:rPr>
          <w:noProof/>
          <w:lang w:val="de-DE"/>
        </w:rPr>
      </w:pPr>
      <w:r w:rsidRPr="00170422">
        <w:rPr>
          <w:noProof/>
          <w:lang w:val="de-DE"/>
        </w:rPr>
        <w:t>Die Anforderung, dass die Endbegünstigten der Fazilität keine Unterstützung aus anderen Instrumenten der Union erhalten dürfen, um dieselben Kosten zu decken. </w:t>
      </w:r>
    </w:p>
    <w:p w14:paraId="1CB34F21" w14:textId="77777777" w:rsidR="0057163C" w:rsidRPr="00170422" w:rsidRDefault="00F37BF9">
      <w:pPr>
        <w:pStyle w:val="P68B1DB1-Normal45"/>
        <w:numPr>
          <w:ilvl w:val="0"/>
          <w:numId w:val="122"/>
        </w:numPr>
        <w:spacing w:after="0" w:line="240" w:lineRule="auto"/>
        <w:ind w:left="1080" w:firstLine="0"/>
        <w:jc w:val="both"/>
        <w:textAlignment w:val="baseline"/>
        <w:rPr>
          <w:noProof/>
          <w:lang w:val="de-DE"/>
        </w:rPr>
      </w:pPr>
      <w:r w:rsidRPr="00170422">
        <w:rPr>
          <w:noProof/>
          <w:lang w:val="de-DE"/>
        </w:rPr>
        <w:t xml:space="preserve">Der unter die Durchführungsvereinbarung fallende </w:t>
      </w:r>
      <w:r w:rsidRPr="00170422">
        <w:rPr>
          <w:noProof/>
          <w:lang w:val="de-DE"/>
        </w:rPr>
        <w:t>Betrag, die Gebührenstruktur für den Durchführungspartner und die Anforderung, etwaige Rückflüsse entsprechend der Investitionspolitik der Fazilität zu reinvestieren. </w:t>
      </w:r>
    </w:p>
    <w:p w14:paraId="25EF5C36" w14:textId="77777777" w:rsidR="0057163C" w:rsidRPr="00170422" w:rsidRDefault="00F37BF9">
      <w:pPr>
        <w:pStyle w:val="P68B1DB1-Normal45"/>
        <w:numPr>
          <w:ilvl w:val="0"/>
          <w:numId w:val="123"/>
        </w:numPr>
        <w:spacing w:after="0" w:line="240" w:lineRule="auto"/>
        <w:ind w:left="1080" w:firstLine="0"/>
        <w:jc w:val="both"/>
        <w:textAlignment w:val="baseline"/>
        <w:rPr>
          <w:noProof/>
          <w:lang w:val="de-DE"/>
        </w:rPr>
      </w:pPr>
      <w:r w:rsidRPr="00170422">
        <w:rPr>
          <w:noProof/>
          <w:lang w:val="de-DE"/>
        </w:rPr>
        <w:t>Überwachungs-, Prüf- und Kontrollanforderungen, einschließlich: </w:t>
      </w:r>
    </w:p>
    <w:p w14:paraId="6AB1586F" w14:textId="77777777" w:rsidR="0057163C" w:rsidRPr="00170422" w:rsidRDefault="00F37BF9">
      <w:pPr>
        <w:pStyle w:val="P68B1DB1-Normal45"/>
        <w:numPr>
          <w:ilvl w:val="0"/>
          <w:numId w:val="124"/>
        </w:numPr>
        <w:spacing w:after="0" w:line="240" w:lineRule="auto"/>
        <w:ind w:left="1800" w:firstLine="0"/>
        <w:jc w:val="both"/>
        <w:textAlignment w:val="baseline"/>
        <w:rPr>
          <w:noProof/>
          <w:lang w:val="de-DE"/>
        </w:rPr>
      </w:pPr>
      <w:r w:rsidRPr="00170422">
        <w:rPr>
          <w:noProof/>
          <w:lang w:val="de-DE"/>
        </w:rPr>
        <w:t xml:space="preserve">Die Beschreibung des </w:t>
      </w:r>
      <w:r w:rsidRPr="00170422">
        <w:rPr>
          <w:noProof/>
          <w:lang w:val="de-DE"/>
        </w:rPr>
        <w:t>Überwachungssystems des Durchführungspartners zur Berichterstattung über die mobilisierten Investitionen. </w:t>
      </w:r>
    </w:p>
    <w:p w14:paraId="309A8BD8" w14:textId="2ACB576C" w:rsidR="0057163C" w:rsidRPr="00170422" w:rsidRDefault="00F37BF9">
      <w:pPr>
        <w:pStyle w:val="P68B1DB1-Normal45"/>
        <w:numPr>
          <w:ilvl w:val="0"/>
          <w:numId w:val="125"/>
        </w:numPr>
        <w:spacing w:after="0" w:line="240" w:lineRule="auto"/>
        <w:ind w:left="1800" w:firstLine="0"/>
        <w:jc w:val="both"/>
        <w:textAlignment w:val="baseline"/>
        <w:rPr>
          <w:noProof/>
          <w:lang w:val="de-DE"/>
        </w:rPr>
      </w:pPr>
      <w:r w:rsidRPr="00170422">
        <w:rPr>
          <w:noProof/>
          <w:lang w:val="de-DE"/>
        </w:rPr>
        <w:t>Die Beschreibung der Verfahren des Durchführungspartners, die die Prävention, Aufdeckung und Behebung von Betrug, Korruption und Interessenkonflikten</w:t>
      </w:r>
      <w:r w:rsidRPr="00170422">
        <w:rPr>
          <w:noProof/>
          <w:lang w:val="de-DE"/>
        </w:rPr>
        <w:t xml:space="preserve"> gewährleisten. </w:t>
      </w:r>
    </w:p>
    <w:p w14:paraId="33F39810" w14:textId="77777777" w:rsidR="0057163C" w:rsidRPr="00170422" w:rsidRDefault="00F37BF9">
      <w:pPr>
        <w:pStyle w:val="P68B1DB1-Normal45"/>
        <w:numPr>
          <w:ilvl w:val="0"/>
          <w:numId w:val="126"/>
        </w:numPr>
        <w:spacing w:after="0" w:line="240" w:lineRule="auto"/>
        <w:ind w:left="1800" w:firstLine="0"/>
        <w:jc w:val="both"/>
        <w:textAlignment w:val="baseline"/>
        <w:rPr>
          <w:noProof/>
          <w:lang w:val="de-DE"/>
        </w:rPr>
      </w:pPr>
      <w:r w:rsidRPr="00170422">
        <w:rPr>
          <w:noProof/>
          <w:lang w:val="de-DE"/>
        </w:rPr>
        <w:t>Die Verpflichtung, die Förderfähigkeit jeder Maßnahme im Einklang mit den Anforderungen des Durchführungsübereinkommens zu überprüfen, bevor sie sich zur Finanzierung einer Operation verpflichtet. </w:t>
      </w:r>
    </w:p>
    <w:p w14:paraId="231D794D" w14:textId="6BB3FF4B" w:rsidR="0057163C" w:rsidRPr="00170422" w:rsidRDefault="00F37BF9">
      <w:pPr>
        <w:pStyle w:val="P68B1DB1-Normal45"/>
        <w:numPr>
          <w:ilvl w:val="0"/>
          <w:numId w:val="127"/>
        </w:numPr>
        <w:spacing w:after="0" w:line="240" w:lineRule="auto"/>
        <w:ind w:left="1800" w:firstLine="0"/>
        <w:jc w:val="both"/>
        <w:textAlignment w:val="baseline"/>
        <w:rPr>
          <w:noProof/>
          <w:lang w:val="de-DE"/>
        </w:rPr>
      </w:pPr>
      <w:r w:rsidRPr="00170422">
        <w:rPr>
          <w:noProof/>
          <w:lang w:val="de-DE"/>
        </w:rPr>
        <w:t>Die Verpflichtung zur Durchführung risiko</w:t>
      </w:r>
      <w:r w:rsidRPr="00170422">
        <w:rPr>
          <w:noProof/>
          <w:lang w:val="de-DE"/>
        </w:rPr>
        <w:t>basierter Ex-post-Prüfungen gemäß einem Auditplan von ISMEA. Bei diesen Prüfungen wird Folgendes überprüft: i) die Wirksamkeit der Kontrollsysteme, einschließlich der Aufdeckung von Betrug, Korruption und Interessenkonflikten; II) Einhaltung des Grundsatze</w:t>
      </w:r>
      <w:r w:rsidRPr="00170422">
        <w:rPr>
          <w:noProof/>
          <w:lang w:val="de-DE"/>
        </w:rPr>
        <w:t>s der Vermeidung erheblicher Beeinträchtigungen, der Vorschriften für staatliche Beihilfen, der Klima- und Digitalzielanforderungen gemäß Anhang VI der ARF-Verordnung und Anhang VII der ARF-Verordnung; und iii) dass die Anforderung, dass die Endbegünstigte</w:t>
      </w:r>
      <w:r w:rsidRPr="00170422">
        <w:rPr>
          <w:noProof/>
          <w:lang w:val="de-DE"/>
        </w:rPr>
        <w:t>n der Fazilität keine Unterstützung aus anderen Instrumenten der Union erhalten haben, um dieselben Kosten zu decken, eingehalten wird. Bei den Prüfungen wird auch die Rechtmäßigkeit der Vorgänge und die Einhaltung der Bedingungen des geltenden Durchführun</w:t>
      </w:r>
      <w:r w:rsidRPr="00170422">
        <w:rPr>
          <w:noProof/>
          <w:lang w:val="de-DE"/>
        </w:rPr>
        <w:t xml:space="preserve">gsübereinkommens und der Finanzierungsvereinbarungen überprüft. </w:t>
      </w:r>
    </w:p>
    <w:p w14:paraId="3CC3507F" w14:textId="77777777" w:rsidR="0057163C" w:rsidRPr="00170422" w:rsidRDefault="00F37BF9">
      <w:pPr>
        <w:pStyle w:val="P68B1DB1-Normal45"/>
        <w:spacing w:after="0" w:line="240" w:lineRule="auto"/>
        <w:ind w:left="1440"/>
        <w:jc w:val="both"/>
        <w:textAlignment w:val="baseline"/>
        <w:rPr>
          <w:rFonts w:ascii="Segoe UI" w:hAnsi="Segoe UI" w:cs="Segoe UI"/>
          <w:noProof/>
          <w:lang w:val="de-DE"/>
        </w:rPr>
      </w:pPr>
      <w:r w:rsidRPr="00170422">
        <w:rPr>
          <w:noProof/>
          <w:lang w:val="de-DE"/>
        </w:rPr>
        <w:t> </w:t>
      </w:r>
    </w:p>
    <w:p w14:paraId="2BF3E397" w14:textId="24B89634" w:rsidR="0057163C" w:rsidRPr="00170422" w:rsidRDefault="00F37BF9">
      <w:pPr>
        <w:numPr>
          <w:ilvl w:val="0"/>
          <w:numId w:val="128"/>
        </w:numPr>
        <w:spacing w:after="0" w:line="240" w:lineRule="auto"/>
        <w:ind w:left="1080" w:firstLine="0"/>
        <w:jc w:val="both"/>
        <w:textAlignment w:val="baseline"/>
        <w:rPr>
          <w:rFonts w:ascii="Times New Roman" w:eastAsia="Times New Roman" w:hAnsi="Times New Roman" w:cs="Times New Roman"/>
          <w:noProof/>
          <w:kern w:val="0"/>
          <w:lang w:val="de-DE"/>
          <w14:ligatures w14:val="none"/>
        </w:rPr>
      </w:pPr>
      <w:r w:rsidRPr="00170422">
        <w:rPr>
          <w:rFonts w:ascii="Times New Roman" w:eastAsia="Times New Roman" w:hAnsi="Times New Roman" w:cs="Times New Roman"/>
          <w:noProof/>
          <w:kern w:val="0"/>
          <w:lang w:val="de-DE"/>
          <w14:ligatures w14:val="none"/>
        </w:rPr>
        <w:t>Anforderungen an Klimainvestitionen des Durchführungspartners: mindestens 1 848 000 000,00 EUR</w:t>
      </w:r>
      <w:r w:rsidRPr="00170422">
        <w:rPr>
          <w:rFonts w:ascii="Arial Narrow" w:hAnsi="Arial Narrow"/>
          <w:noProof/>
          <w:color w:val="006100"/>
          <w:lang w:val="de-DE"/>
        </w:rPr>
        <w:t xml:space="preserve"> </w:t>
      </w:r>
      <w:r w:rsidRPr="00170422">
        <w:rPr>
          <w:rFonts w:ascii="Times New Roman" w:eastAsia="Times New Roman" w:hAnsi="Times New Roman" w:cs="Times New Roman"/>
          <w:noProof/>
          <w:kern w:val="0"/>
          <w:lang w:val="de-DE"/>
          <w14:ligatures w14:val="none"/>
        </w:rPr>
        <w:t>der</w:t>
      </w:r>
      <w:r w:rsidRPr="00170422">
        <w:rPr>
          <w:rFonts w:ascii="Arial Narrow" w:hAnsi="Arial Narrow"/>
          <w:noProof/>
          <w:color w:val="006100"/>
          <w:lang w:val="de-DE"/>
        </w:rPr>
        <w:t xml:space="preserve">  </w:t>
      </w:r>
      <w:r w:rsidRPr="00170422">
        <w:rPr>
          <w:rFonts w:ascii="Times New Roman" w:eastAsia="Times New Roman" w:hAnsi="Times New Roman" w:cs="Times New Roman"/>
          <w:noProof/>
          <w:kern w:val="0"/>
          <w:lang w:val="de-DE"/>
          <w14:ligatures w14:val="none"/>
        </w:rPr>
        <w:t xml:space="preserve">ARF-Investitionen in die Fazilität tragen zu den Klimaschutzzielen gemäß Anhang VI der </w:t>
      </w:r>
      <w:r w:rsidRPr="00170422">
        <w:rPr>
          <w:rFonts w:ascii="Times New Roman" w:eastAsia="Times New Roman" w:hAnsi="Times New Roman" w:cs="Times New Roman"/>
          <w:noProof/>
          <w:kern w:val="0"/>
          <w:lang w:val="de-DE"/>
          <w14:ligatures w14:val="none"/>
        </w:rPr>
        <w:t>ARF-Verordnung bei.</w:t>
      </w:r>
      <w:r w:rsidRPr="00170422">
        <w:rPr>
          <w:rFonts w:ascii="Arial Narrow" w:hAnsi="Arial Narrow"/>
          <w:noProof/>
          <w:color w:val="006100"/>
          <w:lang w:val="de-DE"/>
        </w:rPr>
        <w:t xml:space="preserve"> </w:t>
      </w:r>
      <w:r w:rsidRPr="00170422">
        <w:rPr>
          <w:rStyle w:val="FootnoteReference"/>
          <w:rFonts w:ascii="Times New Roman" w:eastAsia="Times New Roman" w:hAnsi="Times New Roman" w:cs="Times New Roman"/>
          <w:noProof/>
          <w:kern w:val="0"/>
          <w:lang w:val="de-DE"/>
          <w14:ligatures w14:val="none"/>
        </w:rPr>
        <w:footnoteReference w:id="26"/>
      </w:r>
    </w:p>
    <w:p w14:paraId="2BC20A17" w14:textId="77777777" w:rsidR="0057163C" w:rsidRPr="00170422" w:rsidRDefault="0057163C">
      <w:pPr>
        <w:spacing w:after="0" w:line="240" w:lineRule="auto"/>
        <w:jc w:val="both"/>
        <w:textAlignment w:val="baseline"/>
        <w:rPr>
          <w:rFonts w:ascii="Times New Roman" w:eastAsia="Times New Roman" w:hAnsi="Times New Roman" w:cs="Times New Roman"/>
          <w:noProof/>
          <w:kern w:val="0"/>
          <w:sz w:val="24"/>
          <w:szCs w:val="24"/>
          <w:lang w:val="de-DE"/>
          <w14:ligatures w14:val="none"/>
        </w:rPr>
      </w:pPr>
    </w:p>
    <w:p w14:paraId="5D467C2F" w14:textId="1D6461B8" w:rsidR="0057163C" w:rsidRPr="00170422" w:rsidRDefault="00F37BF9">
      <w:pPr>
        <w:pStyle w:val="P68B1DB1-Normal56"/>
        <w:spacing w:after="0" w:line="240" w:lineRule="auto"/>
        <w:jc w:val="both"/>
        <w:textAlignment w:val="baseline"/>
        <w:rPr>
          <w:rFonts w:ascii="Segoe UI" w:hAnsi="Segoe UI" w:cs="Segoe UI"/>
          <w:noProof/>
          <w:sz w:val="18"/>
          <w:szCs w:val="18"/>
          <w:lang w:val="de-DE"/>
        </w:rPr>
      </w:pPr>
      <w:r w:rsidRPr="00170422">
        <w:rPr>
          <w:noProof/>
          <w:lang w:val="de-DE"/>
        </w:rPr>
        <w:t xml:space="preserve">Investition 4 – Agrar-Solarpark-Fazilität </w:t>
      </w:r>
    </w:p>
    <w:p w14:paraId="7417060A" w14:textId="563955D3"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Diese Maßnahme besteht aus einer öffentlichen Investition in eine Zuschussregelung, die Agro-Solarpark-Fazilität, um Anreize für private Investitionen zu schaffen und den Zugang zu Finanzmit</w:t>
      </w:r>
      <w:r w:rsidRPr="00170422">
        <w:rPr>
          <w:noProof/>
          <w:lang w:val="de-DE"/>
        </w:rPr>
        <w:t xml:space="preserve">teln im Agrar- und Industriesektor Italiens zu verbessern. Die Regelung wird in Form von Zuschüssen direkt an den privaten Sektor durchgeführt. </w:t>
      </w:r>
    </w:p>
    <w:p w14:paraId="324FAE36" w14:textId="77777777"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Die Regelung wird von Gestore Servizi Energetici S.p.A. (GSE) als Durchführungspartner verwaltet. Im Rahmen der</w:t>
      </w:r>
      <w:r w:rsidRPr="00170422">
        <w:rPr>
          <w:noProof/>
          <w:lang w:val="de-DE"/>
        </w:rPr>
        <w:t xml:space="preserve"> Regelung wird ein Zuschuss gewährt, der einen Teil der Projektkosten deckt. Mit der Regelung werden Investitionen in die Strukturen des Landwirtschafts-, Viehzucht- und Agroindustriesektors, die Installation von Solarpaneelen sowie ergänzende Intervention</w:t>
      </w:r>
      <w:r w:rsidRPr="00170422">
        <w:rPr>
          <w:noProof/>
          <w:lang w:val="de-DE"/>
        </w:rPr>
        <w:t>en unterstützt. Die Mitgliedschaft im Netzwerk „rete del lavoro agricolo di qualità“ wird bei der Bewertung der Projektvorschläge positiv berücksichtigt. </w:t>
      </w:r>
    </w:p>
    <w:p w14:paraId="35DB1BC5" w14:textId="77777777" w:rsidR="0057163C" w:rsidRPr="00170422" w:rsidRDefault="00F37BF9">
      <w:pPr>
        <w:pStyle w:val="P68B1DB1-Normal45"/>
        <w:spacing w:after="0" w:line="240" w:lineRule="auto"/>
        <w:jc w:val="both"/>
        <w:textAlignment w:val="baseline"/>
        <w:rPr>
          <w:rFonts w:ascii="Segoe UI" w:hAnsi="Segoe UI" w:cs="Segoe UI"/>
          <w:noProof/>
          <w:lang w:val="de-DE"/>
        </w:rPr>
      </w:pPr>
      <w:r w:rsidRPr="00170422">
        <w:rPr>
          <w:noProof/>
          <w:lang w:val="de-DE"/>
        </w:rPr>
        <w:t xml:space="preserve">Zur Durchführung der Investition in die Regelung unterzeichnen Italien und GSE ein </w:t>
      </w:r>
      <w:r w:rsidRPr="00170422">
        <w:rPr>
          <w:noProof/>
          <w:lang w:val="de-DE"/>
        </w:rPr>
        <w:t>Durchführungsabkommen, das Folgendes enthält: </w:t>
      </w:r>
    </w:p>
    <w:p w14:paraId="31C5195A" w14:textId="36DEABC5" w:rsidR="0057163C" w:rsidRPr="00170422" w:rsidRDefault="00F37BF9">
      <w:pPr>
        <w:pStyle w:val="P68B1DB1-Normal45"/>
        <w:numPr>
          <w:ilvl w:val="0"/>
          <w:numId w:val="98"/>
        </w:numPr>
        <w:spacing w:after="0" w:line="240" w:lineRule="auto"/>
        <w:ind w:firstLine="0"/>
        <w:jc w:val="both"/>
        <w:textAlignment w:val="baseline"/>
        <w:rPr>
          <w:noProof/>
          <w:lang w:val="de-DE"/>
        </w:rPr>
      </w:pPr>
      <w:r w:rsidRPr="00170422">
        <w:rPr>
          <w:noProof/>
          <w:lang w:val="de-DE"/>
        </w:rPr>
        <w:t>Beschreibung des Entscheidungsprozesses der Regelung: Die endgültige Entscheidung über die Vergabe des Systems wird von einem Investitionsausschuss oder einem anderen gleichwertigen Leitungsgremium getroffen u</w:t>
      </w:r>
      <w:r w:rsidRPr="00170422">
        <w:rPr>
          <w:noProof/>
          <w:lang w:val="de-DE"/>
        </w:rPr>
        <w:t>nd mit der Mehrheit der Stimmen der von der Regierung unabhängigen Mitglieder genehmigt. </w:t>
      </w:r>
    </w:p>
    <w:p w14:paraId="59554255" w14:textId="77777777" w:rsidR="0057163C" w:rsidRPr="00170422" w:rsidRDefault="0057163C">
      <w:pPr>
        <w:spacing w:after="0" w:line="240" w:lineRule="auto"/>
        <w:ind w:left="720"/>
        <w:jc w:val="both"/>
        <w:textAlignment w:val="baseline"/>
        <w:rPr>
          <w:rFonts w:ascii="Times New Roman" w:eastAsia="Times New Roman" w:hAnsi="Times New Roman" w:cs="Times New Roman"/>
          <w:noProof/>
          <w:kern w:val="0"/>
          <w:lang w:val="de-DE"/>
          <w14:ligatures w14:val="none"/>
        </w:rPr>
      </w:pPr>
    </w:p>
    <w:p w14:paraId="716A61CA" w14:textId="77777777" w:rsidR="0057163C" w:rsidRPr="00170422" w:rsidRDefault="00F37BF9">
      <w:pPr>
        <w:pStyle w:val="P68B1DB1-Normal45"/>
        <w:numPr>
          <w:ilvl w:val="0"/>
          <w:numId w:val="99"/>
        </w:numPr>
        <w:spacing w:after="0" w:line="240" w:lineRule="auto"/>
        <w:ind w:firstLine="0"/>
        <w:jc w:val="both"/>
        <w:textAlignment w:val="baseline"/>
        <w:rPr>
          <w:noProof/>
          <w:lang w:val="de-DE"/>
        </w:rPr>
      </w:pPr>
      <w:r w:rsidRPr="00170422">
        <w:rPr>
          <w:noProof/>
          <w:lang w:val="de-DE"/>
        </w:rPr>
        <w:t>Kernanforderungen der damit verbundenen Finanzhilfepolitik,</w:t>
      </w:r>
      <w:r w:rsidRPr="00170422">
        <w:rPr>
          <w:b/>
          <w:noProof/>
          <w:lang w:val="de-DE"/>
        </w:rPr>
        <w:t xml:space="preserve"> </w:t>
      </w:r>
      <w:r w:rsidRPr="00170422">
        <w:rPr>
          <w:noProof/>
          <w:lang w:val="de-DE"/>
        </w:rPr>
        <w:t>die Folgendes umfassen: </w:t>
      </w:r>
    </w:p>
    <w:p w14:paraId="19368942" w14:textId="414117EB" w:rsidR="0057163C" w:rsidRPr="00170422" w:rsidRDefault="00F37BF9">
      <w:pPr>
        <w:pStyle w:val="P68B1DB1-Normal45"/>
        <w:numPr>
          <w:ilvl w:val="0"/>
          <w:numId w:val="100"/>
        </w:numPr>
        <w:spacing w:after="0" w:line="240" w:lineRule="auto"/>
        <w:ind w:left="1200" w:firstLine="0"/>
        <w:jc w:val="both"/>
        <w:textAlignment w:val="baseline"/>
        <w:rPr>
          <w:noProof/>
          <w:lang w:val="de-DE"/>
        </w:rPr>
      </w:pPr>
      <w:r w:rsidRPr="00170422">
        <w:rPr>
          <w:noProof/>
          <w:lang w:val="de-DE"/>
        </w:rPr>
        <w:t xml:space="preserve">Die Beschreibung der gewährten Finanzhilfen und der förderfähigen </w:t>
      </w:r>
      <w:r w:rsidRPr="00170422">
        <w:rPr>
          <w:noProof/>
          <w:lang w:val="de-DE"/>
        </w:rPr>
        <w:t>Endbegünstigten.</w:t>
      </w:r>
    </w:p>
    <w:p w14:paraId="5C3C5AA7" w14:textId="77777777" w:rsidR="0057163C" w:rsidRPr="00170422" w:rsidRDefault="00F37BF9">
      <w:pPr>
        <w:pStyle w:val="P68B1DB1-Normal45"/>
        <w:numPr>
          <w:ilvl w:val="0"/>
          <w:numId w:val="101"/>
        </w:numPr>
        <w:spacing w:after="0" w:line="240" w:lineRule="auto"/>
        <w:ind w:left="1200" w:firstLine="0"/>
        <w:jc w:val="both"/>
        <w:textAlignment w:val="baseline"/>
        <w:rPr>
          <w:noProof/>
          <w:lang w:val="de-DE"/>
        </w:rPr>
      </w:pPr>
      <w:r w:rsidRPr="00170422">
        <w:rPr>
          <w:noProof/>
          <w:lang w:val="de-DE"/>
        </w:rPr>
        <w:t>Die Anforderung, dass alle geförderten Investitionen wirtschaftlich tragfähig sind</w:t>
      </w:r>
      <w:r w:rsidRPr="00170422">
        <w:rPr>
          <w:b/>
          <w:noProof/>
          <w:lang w:val="de-DE"/>
        </w:rPr>
        <w:t>.</w:t>
      </w:r>
      <w:r w:rsidRPr="00170422">
        <w:rPr>
          <w:noProof/>
          <w:lang w:val="de-DE"/>
        </w:rPr>
        <w:t> </w:t>
      </w:r>
    </w:p>
    <w:p w14:paraId="126EA2EB" w14:textId="121CAD10" w:rsidR="0057163C" w:rsidRPr="00170422" w:rsidRDefault="00F37BF9">
      <w:pPr>
        <w:numPr>
          <w:ilvl w:val="0"/>
          <w:numId w:val="102"/>
        </w:numPr>
        <w:spacing w:after="0" w:line="240" w:lineRule="auto"/>
        <w:ind w:left="1200" w:firstLine="0"/>
        <w:jc w:val="both"/>
        <w:textAlignment w:val="baseline"/>
        <w:rPr>
          <w:rFonts w:ascii="Times New Roman" w:eastAsia="Times New Roman" w:hAnsi="Times New Roman" w:cs="Times New Roman"/>
          <w:noProof/>
          <w:kern w:val="0"/>
          <w:lang w:val="de-DE"/>
          <w14:ligatures w14:val="none"/>
        </w:rPr>
      </w:pPr>
      <w:r w:rsidRPr="00170422">
        <w:rPr>
          <w:rFonts w:ascii="Times New Roman" w:eastAsia="Times New Roman" w:hAnsi="Times New Roman" w:cs="Times New Roman"/>
          <w:noProof/>
          <w:kern w:val="0"/>
          <w:lang w:val="de-DE"/>
          <w14:ligatures w14:val="none"/>
        </w:rPr>
        <w:t>Die Anforderung, den Grundsatz der „Vermeidung erheblicher Beeinträchtigungen“ (DNSH) gemäß den technischen Leitlinien zur Vermeidung erheblicher Beeinträ</w:t>
      </w:r>
      <w:r w:rsidRPr="00170422">
        <w:rPr>
          <w:rFonts w:ascii="Times New Roman" w:eastAsia="Times New Roman" w:hAnsi="Times New Roman" w:cs="Times New Roman"/>
          <w:noProof/>
          <w:kern w:val="0"/>
          <w:lang w:val="de-DE"/>
          <w14:ligatures w14:val="none"/>
        </w:rPr>
        <w:t xml:space="preserve">chtigungen (2021/C58/01) einzuhalten. Insbesondere schließt die Finanzhilfepolitik die folgende Liste von Tätigkeiten und Vermögenswerten von der Förderfähigkeit aus: Tätigkeiten und Vermögenswerte im Zusammenhang mit fossilen Brennstoffen, einschließlich </w:t>
      </w:r>
      <w:r w:rsidRPr="00170422">
        <w:rPr>
          <w:rFonts w:ascii="Times New Roman" w:eastAsia="Times New Roman" w:hAnsi="Times New Roman" w:cs="Times New Roman"/>
          <w:noProof/>
          <w:kern w:val="0"/>
          <w:lang w:val="de-DE"/>
          <w14:ligatures w14:val="none"/>
        </w:rPr>
        <w:t>nachgelagerter Nutzung,</w:t>
      </w:r>
      <w:r w:rsidRPr="00170422">
        <w:rPr>
          <w:rStyle w:val="FootnoteReference"/>
          <w:rFonts w:ascii="Times New Roman" w:eastAsia="Times New Roman" w:hAnsi="Times New Roman" w:cs="Times New Roman"/>
          <w:noProof/>
          <w:kern w:val="0"/>
          <w:lang w:val="de-DE"/>
          <w14:ligatures w14:val="none"/>
        </w:rPr>
        <w:footnoteReference w:id="27"/>
      </w:r>
      <w:r w:rsidRPr="00170422">
        <w:rPr>
          <w:rFonts w:ascii="Times New Roman" w:eastAsia="Times New Roman" w:hAnsi="Times New Roman" w:cs="Times New Roman"/>
          <w:noProof/>
          <w:kern w:val="0"/>
          <w:lang w:val="de-DE"/>
          <w14:ligatures w14:val="none"/>
        </w:rPr>
        <w:t>ii) Tätigkeiten und Vermögenswerte im Rahmen des EU-Emissionshandelssystems (EHS), mit denen prognostizierte Treibhausgasemissionen erreicht werden, die nicht unter den einschlägigen Richtwerten liegen,</w:t>
      </w:r>
      <w:r w:rsidRPr="00170422">
        <w:rPr>
          <w:rStyle w:val="FootnoteReference"/>
          <w:rFonts w:ascii="Times New Roman" w:eastAsia="Times New Roman" w:hAnsi="Times New Roman" w:cs="Times New Roman"/>
          <w:noProof/>
          <w:kern w:val="0"/>
          <w:lang w:val="de-DE"/>
          <w14:ligatures w14:val="none"/>
        </w:rPr>
        <w:footnoteReference w:id="28"/>
      </w:r>
      <w:r w:rsidRPr="00170422">
        <w:rPr>
          <w:rFonts w:ascii="Times New Roman" w:eastAsia="Times New Roman" w:hAnsi="Times New Roman" w:cs="Times New Roman"/>
          <w:noProof/>
          <w:kern w:val="0"/>
          <w:lang w:val="de-DE"/>
          <w14:ligatures w14:val="none"/>
        </w:rPr>
        <w:t>iii) Tätigkeiten und Vermögen</w:t>
      </w:r>
      <w:r w:rsidRPr="00170422">
        <w:rPr>
          <w:rFonts w:ascii="Times New Roman" w:eastAsia="Times New Roman" w:hAnsi="Times New Roman" w:cs="Times New Roman"/>
          <w:noProof/>
          <w:kern w:val="0"/>
          <w:lang w:val="de-DE"/>
          <w14:ligatures w14:val="none"/>
        </w:rPr>
        <w:t>swerte im Zusammenhang mit Abfalldeponien, Verbrennungsanlagen</w:t>
      </w:r>
      <w:r w:rsidRPr="00170422">
        <w:rPr>
          <w:rStyle w:val="FootnoteReference"/>
          <w:rFonts w:ascii="Times New Roman" w:eastAsia="Times New Roman" w:hAnsi="Times New Roman" w:cs="Times New Roman"/>
          <w:noProof/>
          <w:kern w:val="0"/>
          <w:lang w:val="de-DE"/>
          <w14:ligatures w14:val="none"/>
        </w:rPr>
        <w:footnoteReference w:id="29"/>
      </w:r>
      <w:r w:rsidRPr="00170422">
        <w:rPr>
          <w:rFonts w:ascii="Times New Roman" w:eastAsia="Times New Roman" w:hAnsi="Times New Roman" w:cs="Times New Roman"/>
          <w:noProof/>
          <w:kern w:val="0"/>
          <w:lang w:val="de-DE"/>
          <w14:ligatures w14:val="none"/>
        </w:rPr>
        <w:t xml:space="preserve"> und mechanisch-biologischen Behandlungsanlagen</w:t>
      </w:r>
      <w:r w:rsidRPr="00170422">
        <w:rPr>
          <w:rStyle w:val="FootnoteReference"/>
          <w:rFonts w:ascii="Times New Roman" w:eastAsia="Times New Roman" w:hAnsi="Times New Roman" w:cs="Times New Roman"/>
          <w:noProof/>
          <w:kern w:val="0"/>
          <w:lang w:val="de-DE"/>
          <w14:ligatures w14:val="none"/>
        </w:rPr>
        <w:footnoteReference w:id="30"/>
      </w:r>
      <w:r w:rsidRPr="00170422">
        <w:rPr>
          <w:rFonts w:ascii="Times New Roman" w:eastAsia="Times New Roman" w:hAnsi="Times New Roman" w:cs="Times New Roman"/>
          <w:noProof/>
          <w:kern w:val="0"/>
          <w:lang w:val="de-DE"/>
          <w14:ligatures w14:val="none"/>
        </w:rPr>
        <w:t xml:space="preserve">. </w:t>
      </w:r>
    </w:p>
    <w:p w14:paraId="396CDA94" w14:textId="77777777" w:rsidR="0057163C" w:rsidRPr="00170422" w:rsidRDefault="00F37BF9">
      <w:pPr>
        <w:pStyle w:val="P68B1DB1-Normal45"/>
        <w:numPr>
          <w:ilvl w:val="0"/>
          <w:numId w:val="103"/>
        </w:numPr>
        <w:spacing w:after="0" w:line="240" w:lineRule="auto"/>
        <w:ind w:left="1200" w:firstLine="0"/>
        <w:jc w:val="both"/>
        <w:textAlignment w:val="baseline"/>
        <w:rPr>
          <w:noProof/>
          <w:lang w:val="de-DE"/>
        </w:rPr>
      </w:pPr>
      <w:r w:rsidRPr="00170422">
        <w:rPr>
          <w:noProof/>
          <w:lang w:val="de-DE"/>
        </w:rPr>
        <w:t>Die Anforderung, dass die Endbegünstigten der Regelung keine Unterstützung aus anderen Instrumenten der Union erhalten dürfen, um dieselben Ko</w:t>
      </w:r>
      <w:r w:rsidRPr="00170422">
        <w:rPr>
          <w:noProof/>
          <w:lang w:val="de-DE"/>
        </w:rPr>
        <w:t>sten zu decken. </w:t>
      </w:r>
    </w:p>
    <w:p w14:paraId="57DAE864" w14:textId="77777777" w:rsidR="0057163C" w:rsidRPr="00170422" w:rsidRDefault="0057163C">
      <w:pPr>
        <w:spacing w:after="0" w:line="240" w:lineRule="auto"/>
        <w:ind w:left="1200"/>
        <w:jc w:val="both"/>
        <w:textAlignment w:val="baseline"/>
        <w:rPr>
          <w:rFonts w:ascii="Times New Roman" w:eastAsia="Times New Roman" w:hAnsi="Times New Roman" w:cs="Times New Roman"/>
          <w:noProof/>
          <w:kern w:val="0"/>
          <w:lang w:val="de-DE"/>
          <w14:ligatures w14:val="none"/>
        </w:rPr>
      </w:pPr>
    </w:p>
    <w:p w14:paraId="200A2500" w14:textId="77777777" w:rsidR="0057163C" w:rsidRPr="00170422" w:rsidRDefault="00F37BF9">
      <w:pPr>
        <w:pStyle w:val="P68B1DB1-Normal45"/>
        <w:numPr>
          <w:ilvl w:val="0"/>
          <w:numId w:val="104"/>
        </w:numPr>
        <w:spacing w:after="0" w:line="240" w:lineRule="auto"/>
        <w:ind w:firstLine="0"/>
        <w:jc w:val="both"/>
        <w:textAlignment w:val="baseline"/>
        <w:rPr>
          <w:noProof/>
          <w:lang w:val="de-DE"/>
        </w:rPr>
      </w:pPr>
      <w:r w:rsidRPr="00170422">
        <w:rPr>
          <w:noProof/>
          <w:lang w:val="de-DE"/>
        </w:rPr>
        <w:t>Den unter das Durchführungsabkommen fallenden Betrag, die Gebührenstruktur für den Durchführungspartner und die Anforderung, etwaige ungenutzte Einnahmen aus dem System, auch nach 2026, für dieselben politischen Zwecke zu verwenden. </w:t>
      </w:r>
    </w:p>
    <w:p w14:paraId="48F36893" w14:textId="77777777" w:rsidR="0057163C" w:rsidRPr="00170422" w:rsidRDefault="0057163C">
      <w:pPr>
        <w:spacing w:after="0" w:line="240" w:lineRule="auto"/>
        <w:ind w:left="720"/>
        <w:jc w:val="both"/>
        <w:textAlignment w:val="baseline"/>
        <w:rPr>
          <w:rFonts w:ascii="Times New Roman" w:eastAsia="Times New Roman" w:hAnsi="Times New Roman" w:cs="Times New Roman"/>
          <w:noProof/>
          <w:kern w:val="0"/>
          <w:lang w:val="de-DE"/>
          <w14:ligatures w14:val="none"/>
        </w:rPr>
      </w:pPr>
    </w:p>
    <w:p w14:paraId="403A448C" w14:textId="77777777" w:rsidR="0057163C" w:rsidRPr="00170422" w:rsidRDefault="00F37BF9">
      <w:pPr>
        <w:pStyle w:val="P68B1DB1-Normal45"/>
        <w:numPr>
          <w:ilvl w:val="0"/>
          <w:numId w:val="105"/>
        </w:numPr>
        <w:spacing w:after="0" w:line="240" w:lineRule="auto"/>
        <w:ind w:firstLine="0"/>
        <w:jc w:val="both"/>
        <w:textAlignment w:val="baseline"/>
        <w:rPr>
          <w:noProof/>
          <w:lang w:val="de-DE"/>
        </w:rPr>
      </w:pPr>
      <w:r w:rsidRPr="00170422">
        <w:rPr>
          <w:noProof/>
          <w:lang w:val="de-DE"/>
        </w:rPr>
        <w:t>Überwachungs-, Prüf- und Kontrollanforderungen, einschließlich: </w:t>
      </w:r>
    </w:p>
    <w:p w14:paraId="166476A5" w14:textId="77777777" w:rsidR="0057163C" w:rsidRPr="00170422" w:rsidRDefault="00F37BF9">
      <w:pPr>
        <w:pStyle w:val="P68B1DB1-Normal45"/>
        <w:numPr>
          <w:ilvl w:val="0"/>
          <w:numId w:val="106"/>
        </w:numPr>
        <w:spacing w:after="0" w:line="240" w:lineRule="auto"/>
        <w:ind w:left="1800" w:firstLine="0"/>
        <w:jc w:val="both"/>
        <w:textAlignment w:val="baseline"/>
        <w:rPr>
          <w:noProof/>
          <w:lang w:val="de-DE"/>
        </w:rPr>
      </w:pPr>
      <w:r w:rsidRPr="00170422">
        <w:rPr>
          <w:noProof/>
          <w:lang w:val="de-DE"/>
        </w:rPr>
        <w:t>Die Beschreibung des Überwachungssystems des Durchführungspartners zur Berichterstattung über die mobilisierten Finanzhilfen. </w:t>
      </w:r>
    </w:p>
    <w:p w14:paraId="27284BDE" w14:textId="4CFAD125" w:rsidR="0057163C" w:rsidRPr="00170422" w:rsidRDefault="00F37BF9">
      <w:pPr>
        <w:pStyle w:val="P68B1DB1-Normal45"/>
        <w:numPr>
          <w:ilvl w:val="0"/>
          <w:numId w:val="107"/>
        </w:numPr>
        <w:spacing w:after="0" w:line="240" w:lineRule="auto"/>
        <w:ind w:left="1800" w:firstLine="0"/>
        <w:jc w:val="both"/>
        <w:textAlignment w:val="baseline"/>
        <w:rPr>
          <w:noProof/>
          <w:lang w:val="de-DE"/>
        </w:rPr>
      </w:pPr>
      <w:r w:rsidRPr="00170422">
        <w:rPr>
          <w:noProof/>
          <w:lang w:val="de-DE"/>
        </w:rPr>
        <w:t>Die Beschreibung der Verfahren des Durchführungspartners, die di</w:t>
      </w:r>
      <w:r w:rsidRPr="00170422">
        <w:rPr>
          <w:noProof/>
          <w:lang w:val="de-DE"/>
        </w:rPr>
        <w:t xml:space="preserve">e Prävention, Aufdeckung und Behebung von Betrug, Korruption und Interessenkonflikten gewährleisten. </w:t>
      </w:r>
    </w:p>
    <w:p w14:paraId="4FF358C4" w14:textId="2D171529" w:rsidR="0057163C" w:rsidRPr="00170422" w:rsidRDefault="00F37BF9">
      <w:pPr>
        <w:pStyle w:val="P68B1DB1-Normal45"/>
        <w:numPr>
          <w:ilvl w:val="0"/>
          <w:numId w:val="108"/>
        </w:numPr>
        <w:spacing w:after="0" w:line="240" w:lineRule="auto"/>
        <w:ind w:left="1800" w:firstLine="0"/>
        <w:jc w:val="both"/>
        <w:textAlignment w:val="baseline"/>
        <w:rPr>
          <w:noProof/>
          <w:lang w:val="de-DE"/>
        </w:rPr>
      </w:pPr>
      <w:r w:rsidRPr="00170422">
        <w:rPr>
          <w:noProof/>
          <w:lang w:val="de-DE"/>
        </w:rPr>
        <w:t>Die Verpflichtung, die Förderfähigkeit jedes Vorhabens gemäß den Anforderungen des Durchführungsabkommens zu überprüfen, bevor eine Finanzhilfe für ein Vo</w:t>
      </w:r>
      <w:r w:rsidRPr="00170422">
        <w:rPr>
          <w:noProof/>
          <w:lang w:val="de-DE"/>
        </w:rPr>
        <w:t>rhaben gewährt wird. </w:t>
      </w:r>
    </w:p>
    <w:p w14:paraId="69939624" w14:textId="5B5B386B" w:rsidR="0057163C" w:rsidRPr="00170422" w:rsidRDefault="0057163C">
      <w:pPr>
        <w:pStyle w:val="P68B1DB1-Normal45"/>
        <w:rPr>
          <w:noProof/>
          <w:lang w:val="de-DE"/>
        </w:rPr>
      </w:pPr>
    </w:p>
    <w:p w14:paraId="45A13E3B" w14:textId="255C1545" w:rsidR="0057163C" w:rsidRPr="00170422" w:rsidRDefault="00F37BF9">
      <w:pPr>
        <w:pStyle w:val="P68B1DB1-Normal45"/>
        <w:numPr>
          <w:ilvl w:val="0"/>
          <w:numId w:val="109"/>
        </w:numPr>
        <w:spacing w:after="0" w:line="240" w:lineRule="auto"/>
        <w:ind w:left="1800" w:firstLine="0"/>
        <w:jc w:val="both"/>
        <w:textAlignment w:val="baseline"/>
        <w:rPr>
          <w:noProof/>
          <w:lang w:val="de-DE"/>
        </w:rPr>
      </w:pPr>
      <w:r w:rsidRPr="00170422">
        <w:rPr>
          <w:noProof/>
          <w:lang w:val="de-DE"/>
        </w:rPr>
        <w:t>Die Verpflichtung zur Durchführung risikobasierter Ex-post-Prüfungen gemäß einem Prüfplan der GSE. Bei diesen Prüfungen wird Folgendes überprüft: i) die Wirksamkeit der Kontrollsysteme, einschließlich der Aufdeckung von Betrug, Korru</w:t>
      </w:r>
      <w:r w:rsidRPr="00170422">
        <w:rPr>
          <w:noProof/>
          <w:lang w:val="de-DE"/>
        </w:rPr>
        <w:t>ption und Interessenkonflikten; II) Einhaltung des DNSH-Grundsatzes, der Vorschriften über staatliche Beihilfen und der Klimazielvorgaben; und iii) die Anforderung, dass die Endbegünstigten der Regelung keine Unterstützung aus anderen Instrumenten der Unio</w:t>
      </w:r>
      <w:r w:rsidRPr="00170422">
        <w:rPr>
          <w:noProof/>
          <w:lang w:val="de-DE"/>
        </w:rPr>
        <w:t>n erhalten haben, um dieselben Kosten zu decken, eingehalten wird. Bei den Prüfungen wird auch die Rechtmäßigkeit der Transaktionen und die Einhaltung der Bedingungen der geltenden Finanzhilfevereinbarungen im Rahmen der Durchführungsvereinbarung überprüft</w:t>
      </w:r>
      <w:r w:rsidRPr="00170422">
        <w:rPr>
          <w:noProof/>
          <w:lang w:val="de-DE"/>
        </w:rPr>
        <w:t xml:space="preserve">. </w:t>
      </w:r>
    </w:p>
    <w:p w14:paraId="1D3F6D98" w14:textId="77777777" w:rsidR="0057163C" w:rsidRPr="00170422" w:rsidRDefault="0057163C">
      <w:pPr>
        <w:spacing w:after="0" w:line="240" w:lineRule="auto"/>
        <w:ind w:left="1800"/>
        <w:jc w:val="both"/>
        <w:textAlignment w:val="baseline"/>
        <w:rPr>
          <w:rFonts w:ascii="Times New Roman" w:eastAsia="Times New Roman" w:hAnsi="Times New Roman" w:cs="Times New Roman"/>
          <w:noProof/>
          <w:kern w:val="0"/>
          <w:lang w:val="de-DE"/>
          <w14:ligatures w14:val="none"/>
        </w:rPr>
      </w:pPr>
    </w:p>
    <w:p w14:paraId="55DD2DE8" w14:textId="6F63F003" w:rsidR="0057163C" w:rsidRPr="00170422" w:rsidRDefault="00F37BF9">
      <w:pPr>
        <w:numPr>
          <w:ilvl w:val="0"/>
          <w:numId w:val="110"/>
        </w:numPr>
        <w:spacing w:after="0" w:line="240" w:lineRule="auto"/>
        <w:ind w:firstLine="0"/>
        <w:textAlignment w:val="baseline"/>
        <w:rPr>
          <w:rFonts w:ascii="Times New Roman" w:eastAsia="Times New Roman" w:hAnsi="Times New Roman" w:cs="Times New Roman"/>
          <w:noProof/>
          <w:kern w:val="0"/>
          <w:lang w:val="de-DE"/>
          <w14:ligatures w14:val="none"/>
        </w:rPr>
      </w:pPr>
      <w:r w:rsidRPr="00170422">
        <w:rPr>
          <w:rFonts w:ascii="Times New Roman" w:eastAsia="Times New Roman" w:hAnsi="Times New Roman" w:cs="Times New Roman"/>
          <w:noProof/>
          <w:kern w:val="0"/>
          <w:lang w:val="de-DE"/>
          <w14:ligatures w14:val="none"/>
        </w:rPr>
        <w:t xml:space="preserve">Anforderungen an Klimainvestitionen des Durchführungspartners: mindestens 633000000 </w:t>
      </w:r>
      <w:r w:rsidRPr="00170422">
        <w:rPr>
          <w:rFonts w:ascii="Times New Roman" w:eastAsia="Times New Roman" w:hAnsi="Times New Roman" w:cs="Times New Roman"/>
          <w:noProof/>
          <w:lang w:val="de-DE"/>
        </w:rPr>
        <w:t>EUR</w:t>
      </w:r>
      <w:r w:rsidRPr="00170422">
        <w:rPr>
          <w:rFonts w:ascii="Arial Narrow" w:hAnsi="Arial Narrow"/>
          <w:noProof/>
          <w:color w:val="006100"/>
          <w:lang w:val="de-DE"/>
        </w:rPr>
        <w:t xml:space="preserve"> </w:t>
      </w:r>
      <w:r w:rsidRPr="00170422">
        <w:rPr>
          <w:rFonts w:ascii="Times New Roman" w:eastAsia="Times New Roman" w:hAnsi="Times New Roman" w:cs="Times New Roman"/>
          <w:noProof/>
          <w:lang w:val="de-DE"/>
        </w:rPr>
        <w:t>der</w:t>
      </w:r>
      <w:r w:rsidRPr="00170422">
        <w:rPr>
          <w:rFonts w:ascii="Arial Narrow" w:hAnsi="Arial Narrow"/>
          <w:noProof/>
          <w:color w:val="006100"/>
          <w:lang w:val="de-DE"/>
        </w:rPr>
        <w:t xml:space="preserve"> </w:t>
      </w:r>
      <w:r w:rsidRPr="00170422">
        <w:rPr>
          <w:rFonts w:ascii="Times New Roman" w:eastAsia="Times New Roman" w:hAnsi="Times New Roman" w:cs="Times New Roman"/>
          <w:noProof/>
          <w:kern w:val="0"/>
          <w:lang w:val="de-DE"/>
          <w14:ligatures w14:val="none"/>
        </w:rPr>
        <w:t xml:space="preserve">ARF </w:t>
      </w:r>
      <w:r w:rsidRPr="00170422">
        <w:rPr>
          <w:rFonts w:ascii="Times New Roman" w:eastAsia="Times New Roman" w:hAnsi="Times New Roman" w:cs="Times New Roman"/>
          <w:noProof/>
          <w:lang w:val="de-DE"/>
        </w:rPr>
        <w:t>-Investitionen in das Programm tragen zu den Klimaschutzzielen gemäß Anhang VI der ARF-Verordnung bei</w:t>
      </w:r>
      <w:r w:rsidRPr="00170422">
        <w:rPr>
          <w:rStyle w:val="FootnoteReference"/>
          <w:rFonts w:ascii="Times New Roman" w:eastAsia="Times New Roman" w:hAnsi="Times New Roman" w:cs="Times New Roman"/>
          <w:noProof/>
          <w:lang w:val="de-DE"/>
        </w:rPr>
        <w:footnoteReference w:id="31"/>
      </w:r>
      <w:r w:rsidRPr="00170422">
        <w:rPr>
          <w:rFonts w:ascii="Times New Roman" w:eastAsia="Times New Roman" w:hAnsi="Times New Roman" w:cs="Times New Roman"/>
          <w:noProof/>
          <w:lang w:val="de-DE"/>
        </w:rPr>
        <w:t>.</w:t>
      </w:r>
      <w:r w:rsidRPr="00170422">
        <w:rPr>
          <w:rFonts w:ascii="Times New Roman" w:eastAsia="Times New Roman" w:hAnsi="Times New Roman" w:cs="Times New Roman"/>
          <w:noProof/>
          <w:kern w:val="0"/>
          <w:lang w:val="de-DE"/>
          <w14:ligatures w14:val="none"/>
        </w:rPr>
        <w:t xml:space="preserve"> </w:t>
      </w:r>
    </w:p>
    <w:p w14:paraId="64314F0B" w14:textId="77777777" w:rsidR="0057163C" w:rsidRPr="00170422" w:rsidRDefault="0057163C">
      <w:pPr>
        <w:rPr>
          <w:noProof/>
          <w:lang w:val="de-DE"/>
        </w:rPr>
        <w:sectPr w:rsidR="0057163C" w:rsidRPr="00170422" w:rsidSect="00726CF9">
          <w:headerReference w:type="default" r:id="rId80"/>
          <w:footerReference w:type="default" r:id="rId81"/>
          <w:pgSz w:w="11906" w:h="16838"/>
          <w:pgMar w:top="1440" w:right="1440" w:bottom="1440" w:left="1440" w:header="708" w:footer="708" w:gutter="0"/>
          <w:cols w:space="708"/>
          <w:docGrid w:linePitch="360"/>
        </w:sectPr>
      </w:pPr>
    </w:p>
    <w:p w14:paraId="05139FE8" w14:textId="601C9F8E" w:rsidR="0057163C" w:rsidRPr="00170422" w:rsidRDefault="00F37BF9">
      <w:pPr>
        <w:pStyle w:val="P68B1DB1-Heading347"/>
        <w:ind w:left="850" w:hanging="850"/>
        <w:rPr>
          <w:bCs/>
          <w:noProof/>
          <w:lang w:val="de-DE"/>
        </w:rPr>
      </w:pPr>
      <w:r w:rsidRPr="00170422">
        <w:rPr>
          <w:noProof/>
          <w:lang w:val="de-DE"/>
        </w:rPr>
        <w:t xml:space="preserve">D.4. </w:t>
      </w:r>
      <w:r w:rsidRPr="00170422">
        <w:rPr>
          <w:noProof/>
          <w:lang w:val="de-DE"/>
        </w:rPr>
        <w:tab/>
        <w:t xml:space="preserve">Etappenziele, Zielwerte, Indikatoren und Zeitplan für die Überwachung und Durchführung (Darlehen)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9"/>
        <w:gridCol w:w="1983"/>
        <w:gridCol w:w="1260"/>
        <w:gridCol w:w="1988"/>
        <w:gridCol w:w="1904"/>
        <w:gridCol w:w="954"/>
        <w:gridCol w:w="1249"/>
        <w:gridCol w:w="850"/>
        <w:gridCol w:w="567"/>
        <w:gridCol w:w="567"/>
        <w:gridCol w:w="2056"/>
      </w:tblGrid>
      <w:tr w:rsidR="0057163C" w:rsidRPr="00170422" w14:paraId="76E1AA8C" w14:textId="77777777" w:rsidTr="00A25317">
        <w:trPr>
          <w:trHeight w:val="300"/>
          <w:tblHeader/>
        </w:trPr>
        <w:tc>
          <w:tcPr>
            <w:tcW w:w="869" w:type="dxa"/>
            <w:vMerge w:val="restart"/>
            <w:shd w:val="clear" w:color="auto" w:fill="BDD7EE"/>
            <w:vAlign w:val="center"/>
            <w:hideMark/>
          </w:tcPr>
          <w:p w14:paraId="5CEA3DE7"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Laufende Nummer</w:t>
            </w:r>
            <w:r w:rsidRPr="00170422">
              <w:rPr>
                <w:noProof/>
                <w:lang w:val="de-DE"/>
              </w:rPr>
              <w:t> </w:t>
            </w:r>
          </w:p>
        </w:tc>
        <w:tc>
          <w:tcPr>
            <w:tcW w:w="1983" w:type="dxa"/>
            <w:vMerge w:val="restart"/>
            <w:shd w:val="clear" w:color="auto" w:fill="BDD7EE"/>
            <w:vAlign w:val="center"/>
            <w:hideMark/>
          </w:tcPr>
          <w:p w14:paraId="2155B0B8"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Verbundene Maßnahme (Reform oder Investition)</w:t>
            </w:r>
            <w:r w:rsidRPr="00170422">
              <w:rPr>
                <w:noProof/>
                <w:lang w:val="de-DE"/>
              </w:rPr>
              <w:t> </w:t>
            </w:r>
          </w:p>
        </w:tc>
        <w:tc>
          <w:tcPr>
            <w:tcW w:w="1260" w:type="dxa"/>
            <w:vMerge w:val="restart"/>
            <w:shd w:val="clear" w:color="auto" w:fill="BDD7EE"/>
            <w:vAlign w:val="center"/>
            <w:hideMark/>
          </w:tcPr>
          <w:p w14:paraId="6F694899" w14:textId="58F92C24"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Etappenziel/</w:t>
            </w:r>
            <w:r w:rsidR="00A25317" w:rsidRPr="00170422">
              <w:rPr>
                <w:b/>
                <w:noProof/>
                <w:lang w:val="de-DE"/>
              </w:rPr>
              <w:br/>
            </w:r>
            <w:r w:rsidRPr="00170422">
              <w:rPr>
                <w:b/>
                <w:noProof/>
                <w:lang w:val="de-DE"/>
              </w:rPr>
              <w:t>Zielwert</w:t>
            </w:r>
            <w:r w:rsidRPr="00170422">
              <w:rPr>
                <w:noProof/>
                <w:lang w:val="de-DE"/>
              </w:rPr>
              <w:t> </w:t>
            </w:r>
          </w:p>
        </w:tc>
        <w:tc>
          <w:tcPr>
            <w:tcW w:w="1988" w:type="dxa"/>
            <w:vMerge w:val="restart"/>
            <w:shd w:val="clear" w:color="auto" w:fill="BDD7EE"/>
            <w:vAlign w:val="center"/>
            <w:hideMark/>
          </w:tcPr>
          <w:p w14:paraId="351319E8"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Namen</w:t>
            </w:r>
            <w:r w:rsidRPr="00170422">
              <w:rPr>
                <w:noProof/>
                <w:lang w:val="de-DE"/>
              </w:rPr>
              <w:t> </w:t>
            </w:r>
          </w:p>
        </w:tc>
        <w:tc>
          <w:tcPr>
            <w:tcW w:w="1904" w:type="dxa"/>
            <w:vMerge w:val="restart"/>
            <w:shd w:val="clear" w:color="auto" w:fill="BDD7EE"/>
            <w:vAlign w:val="center"/>
            <w:hideMark/>
          </w:tcPr>
          <w:p w14:paraId="38D5AABB" w14:textId="419B0BE1"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Etappenziel/Zielwert</w:t>
            </w:r>
            <w:r w:rsidRPr="00170422">
              <w:rPr>
                <w:noProof/>
                <w:lang w:val="de-DE"/>
              </w:rPr>
              <w:br/>
            </w:r>
            <w:r w:rsidRPr="00170422">
              <w:rPr>
                <w:b/>
                <w:noProof/>
                <w:lang w:val="de-DE"/>
              </w:rPr>
              <w:t>(für Etappenziele)</w:t>
            </w:r>
            <w:r w:rsidRPr="00170422">
              <w:rPr>
                <w:noProof/>
                <w:lang w:val="de-DE"/>
              </w:rPr>
              <w:t> </w:t>
            </w:r>
          </w:p>
        </w:tc>
        <w:tc>
          <w:tcPr>
            <w:tcW w:w="3053" w:type="dxa"/>
            <w:gridSpan w:val="3"/>
            <w:shd w:val="clear" w:color="auto" w:fill="BDD7EE"/>
            <w:vAlign w:val="center"/>
            <w:hideMark/>
          </w:tcPr>
          <w:p w14:paraId="78038C6A" w14:textId="149C21DC"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Qualitative Indi</w:t>
            </w:r>
            <w:r w:rsidRPr="00170422">
              <w:rPr>
                <w:b/>
                <w:noProof/>
                <w:lang w:val="de-DE"/>
              </w:rPr>
              <w:t>katoren (für Etappenziele)</w:t>
            </w:r>
            <w:r w:rsidRPr="00170422">
              <w:rPr>
                <w:noProof/>
                <w:lang w:val="de-DE"/>
              </w:rPr>
              <w:br/>
            </w:r>
            <w:r w:rsidRPr="00170422">
              <w:rPr>
                <w:b/>
                <w:noProof/>
                <w:lang w:val="de-DE"/>
              </w:rPr>
              <w:t>(für Ziele)</w:t>
            </w:r>
            <w:r w:rsidRPr="00170422">
              <w:rPr>
                <w:noProof/>
                <w:lang w:val="de-DE"/>
              </w:rPr>
              <w:t> </w:t>
            </w:r>
          </w:p>
        </w:tc>
        <w:tc>
          <w:tcPr>
            <w:tcW w:w="1134" w:type="dxa"/>
            <w:gridSpan w:val="2"/>
            <w:shd w:val="clear" w:color="auto" w:fill="BDD7EE"/>
            <w:vAlign w:val="center"/>
            <w:hideMark/>
          </w:tcPr>
          <w:p w14:paraId="3B2EBF76"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Vorläufiger Zeitplan für die Fertigstellung</w:t>
            </w:r>
            <w:r w:rsidRPr="00170422">
              <w:rPr>
                <w:noProof/>
                <w:lang w:val="de-DE"/>
              </w:rPr>
              <w:t> </w:t>
            </w:r>
          </w:p>
        </w:tc>
        <w:tc>
          <w:tcPr>
            <w:tcW w:w="2056" w:type="dxa"/>
            <w:vMerge w:val="restart"/>
            <w:shd w:val="clear" w:color="auto" w:fill="BDD7EE"/>
            <w:vAlign w:val="center"/>
            <w:hideMark/>
          </w:tcPr>
          <w:p w14:paraId="0B73DC93"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Beschreibung der einzelnen Etappenziele und Zielvorgaben</w:t>
            </w:r>
            <w:r w:rsidRPr="00170422">
              <w:rPr>
                <w:noProof/>
                <w:lang w:val="de-DE"/>
              </w:rPr>
              <w:t> </w:t>
            </w:r>
          </w:p>
        </w:tc>
      </w:tr>
      <w:tr w:rsidR="00A25317" w:rsidRPr="00170422" w14:paraId="3A5DDCE8" w14:textId="77777777" w:rsidTr="00A25317">
        <w:trPr>
          <w:trHeight w:val="300"/>
          <w:tblHeader/>
        </w:trPr>
        <w:tc>
          <w:tcPr>
            <w:tcW w:w="869" w:type="dxa"/>
            <w:vMerge/>
            <w:vAlign w:val="center"/>
            <w:hideMark/>
          </w:tcPr>
          <w:p w14:paraId="4A58B113"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983" w:type="dxa"/>
            <w:vMerge/>
            <w:vAlign w:val="center"/>
            <w:hideMark/>
          </w:tcPr>
          <w:p w14:paraId="478DF540"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260" w:type="dxa"/>
            <w:vMerge/>
            <w:vAlign w:val="center"/>
            <w:hideMark/>
          </w:tcPr>
          <w:p w14:paraId="2C067FCD"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988" w:type="dxa"/>
            <w:vMerge/>
            <w:vAlign w:val="center"/>
            <w:hideMark/>
          </w:tcPr>
          <w:p w14:paraId="1061B65D"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1904" w:type="dxa"/>
            <w:vMerge/>
            <w:vAlign w:val="center"/>
            <w:hideMark/>
          </w:tcPr>
          <w:p w14:paraId="0F9DCDED"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c>
          <w:tcPr>
            <w:tcW w:w="954" w:type="dxa"/>
            <w:shd w:val="clear" w:color="auto" w:fill="BDD7EE"/>
            <w:vAlign w:val="center"/>
            <w:hideMark/>
          </w:tcPr>
          <w:p w14:paraId="33F1C328"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Maßeinheit</w:t>
            </w:r>
            <w:r w:rsidRPr="00170422">
              <w:rPr>
                <w:noProof/>
                <w:lang w:val="de-DE"/>
              </w:rPr>
              <w:t> </w:t>
            </w:r>
          </w:p>
        </w:tc>
        <w:tc>
          <w:tcPr>
            <w:tcW w:w="1249" w:type="dxa"/>
            <w:shd w:val="clear" w:color="auto" w:fill="BDD7EE"/>
            <w:vAlign w:val="center"/>
            <w:hideMark/>
          </w:tcPr>
          <w:p w14:paraId="5CD8A900"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Ausgangslage</w:t>
            </w:r>
            <w:r w:rsidRPr="00170422">
              <w:rPr>
                <w:noProof/>
                <w:lang w:val="de-DE"/>
              </w:rPr>
              <w:t> </w:t>
            </w:r>
          </w:p>
        </w:tc>
        <w:tc>
          <w:tcPr>
            <w:tcW w:w="850" w:type="dxa"/>
            <w:shd w:val="clear" w:color="auto" w:fill="BDD7EE"/>
            <w:vAlign w:val="center"/>
            <w:hideMark/>
          </w:tcPr>
          <w:p w14:paraId="7ED84C2C"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Ziel</w:t>
            </w:r>
            <w:r w:rsidRPr="00170422">
              <w:rPr>
                <w:noProof/>
                <w:lang w:val="de-DE"/>
              </w:rPr>
              <w:t> </w:t>
            </w:r>
          </w:p>
        </w:tc>
        <w:tc>
          <w:tcPr>
            <w:tcW w:w="567" w:type="dxa"/>
            <w:shd w:val="clear" w:color="auto" w:fill="BDD7EE"/>
            <w:vAlign w:val="center"/>
            <w:hideMark/>
          </w:tcPr>
          <w:p w14:paraId="4AEF38C2"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Viertel</w:t>
            </w:r>
            <w:r w:rsidRPr="00170422">
              <w:rPr>
                <w:noProof/>
                <w:lang w:val="de-DE"/>
              </w:rPr>
              <w:t> </w:t>
            </w:r>
          </w:p>
        </w:tc>
        <w:tc>
          <w:tcPr>
            <w:tcW w:w="567" w:type="dxa"/>
            <w:shd w:val="clear" w:color="auto" w:fill="BDD7EE"/>
            <w:vAlign w:val="center"/>
            <w:hideMark/>
          </w:tcPr>
          <w:p w14:paraId="56613F38"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b/>
                <w:noProof/>
                <w:lang w:val="de-DE"/>
              </w:rPr>
              <w:t>Jahre</w:t>
            </w:r>
            <w:r w:rsidRPr="00170422">
              <w:rPr>
                <w:noProof/>
                <w:lang w:val="de-DE"/>
              </w:rPr>
              <w:t> </w:t>
            </w:r>
          </w:p>
        </w:tc>
        <w:tc>
          <w:tcPr>
            <w:tcW w:w="2056" w:type="dxa"/>
            <w:vMerge/>
            <w:vAlign w:val="center"/>
            <w:hideMark/>
          </w:tcPr>
          <w:p w14:paraId="6BC331E4" w14:textId="77777777" w:rsidR="0057163C" w:rsidRPr="00170422" w:rsidRDefault="0057163C">
            <w:pPr>
              <w:spacing w:after="0" w:line="240" w:lineRule="auto"/>
              <w:rPr>
                <w:rFonts w:ascii="Times New Roman" w:eastAsia="Times New Roman" w:hAnsi="Times New Roman" w:cs="Times New Roman"/>
                <w:noProof/>
                <w:kern w:val="0"/>
                <w:sz w:val="24"/>
                <w:szCs w:val="24"/>
                <w:lang w:val="de-DE"/>
                <w14:ligatures w14:val="none"/>
              </w:rPr>
            </w:pPr>
          </w:p>
        </w:tc>
      </w:tr>
      <w:tr w:rsidR="00A25317" w:rsidRPr="00170422" w14:paraId="6016973A" w14:textId="77777777" w:rsidTr="00A25317">
        <w:trPr>
          <w:trHeight w:val="300"/>
        </w:trPr>
        <w:tc>
          <w:tcPr>
            <w:tcW w:w="869" w:type="dxa"/>
            <w:shd w:val="clear" w:color="auto" w:fill="C6EFCE"/>
            <w:vAlign w:val="center"/>
            <w:hideMark/>
          </w:tcPr>
          <w:p w14:paraId="3DF08B7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M2C1-13 </w:t>
            </w:r>
          </w:p>
        </w:tc>
        <w:tc>
          <w:tcPr>
            <w:tcW w:w="1983" w:type="dxa"/>
            <w:shd w:val="clear" w:color="auto" w:fill="C6EFCE"/>
            <w:vAlign w:val="center"/>
            <w:hideMark/>
          </w:tcPr>
          <w:p w14:paraId="5023569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Reform 1.2 – Nationales </w:t>
            </w:r>
            <w:r w:rsidRPr="00170422">
              <w:rPr>
                <w:noProof/>
                <w:lang w:val="de-DE"/>
              </w:rPr>
              <w:t>Abfallwirtschaftsprogramm </w:t>
            </w:r>
          </w:p>
        </w:tc>
        <w:tc>
          <w:tcPr>
            <w:tcW w:w="1260" w:type="dxa"/>
            <w:shd w:val="clear" w:color="auto" w:fill="C6EFCE"/>
            <w:vAlign w:val="center"/>
            <w:hideMark/>
          </w:tcPr>
          <w:p w14:paraId="76BE543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7EB2C9D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Inkrafttreten des Ministerialerlasses über das Nationale Abfallbewirtschaftungsprogramm </w:t>
            </w:r>
          </w:p>
        </w:tc>
        <w:tc>
          <w:tcPr>
            <w:tcW w:w="1904" w:type="dxa"/>
            <w:shd w:val="clear" w:color="auto" w:fill="C6EFCE"/>
            <w:vAlign w:val="center"/>
            <w:hideMark/>
          </w:tcPr>
          <w:p w14:paraId="2BF6AFC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Gesetzliche Bestimmung, die das Inkrafttreten angibt </w:t>
            </w:r>
          </w:p>
        </w:tc>
        <w:tc>
          <w:tcPr>
            <w:tcW w:w="954" w:type="dxa"/>
            <w:shd w:val="clear" w:color="auto" w:fill="C6EFCE"/>
            <w:vAlign w:val="center"/>
            <w:hideMark/>
          </w:tcPr>
          <w:p w14:paraId="31C30BD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249" w:type="dxa"/>
            <w:shd w:val="clear" w:color="auto" w:fill="C6EFCE"/>
            <w:vAlign w:val="center"/>
            <w:hideMark/>
          </w:tcPr>
          <w:p w14:paraId="22A9EBB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6BC445D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63B8F13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490AEB8D" w14:textId="24D97BF8"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2022</w:t>
            </w:r>
          </w:p>
        </w:tc>
        <w:tc>
          <w:tcPr>
            <w:tcW w:w="2056" w:type="dxa"/>
            <w:shd w:val="clear" w:color="auto" w:fill="C6EFCE"/>
            <w:vAlign w:val="center"/>
            <w:hideMark/>
          </w:tcPr>
          <w:p w14:paraId="42FB63E1"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Der Ministerialerlass über das </w:t>
            </w:r>
            <w:r w:rsidRPr="00170422">
              <w:rPr>
                <w:noProof/>
                <w:lang w:val="de-DE"/>
              </w:rPr>
              <w:t>Nationale Abfallbewirtschaftungsprogramm enthält mindestens folgende Ziele: </w:t>
            </w:r>
          </w:p>
          <w:p w14:paraId="4133788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die größtmögliche Vorbereitung zur Wiederverwendung, das Recycling und die Verwertung von Abfällen zu erreichen, zumindest die in Artikel 181 des gesetzesvertretenden Dekrets 152/</w:t>
            </w:r>
            <w:r w:rsidRPr="00170422">
              <w:rPr>
                <w:noProof/>
                <w:lang w:val="de-DE"/>
              </w:rPr>
              <w:t>06 festgelegten Ziele zu erreichen und auch die Systeme der erweiterten Herstellerverantwortung zu berücksichtigen; </w:t>
            </w:r>
          </w:p>
          <w:p w14:paraId="6EA4431C" w14:textId="77777777" w:rsidR="0057163C" w:rsidRPr="00170422" w:rsidRDefault="00F37BF9">
            <w:pPr>
              <w:pStyle w:val="P68B1DB1-Normal50"/>
              <w:numPr>
                <w:ilvl w:val="0"/>
                <w:numId w:val="129"/>
              </w:numPr>
              <w:spacing w:after="0" w:line="240" w:lineRule="auto"/>
              <w:ind w:firstLine="0"/>
              <w:textAlignment w:val="baseline"/>
              <w:rPr>
                <w:noProof/>
                <w:lang w:val="de-DE"/>
              </w:rPr>
            </w:pPr>
            <w:r w:rsidRPr="00170422">
              <w:rPr>
                <w:noProof/>
                <w:lang w:val="de-DE"/>
              </w:rPr>
              <w:t>Anpassung des Netzes der für die integrierte Abfallbewirtschaftung erforderlichen Anlagen im Hinblick auf die Entwicklung der Kreislaufwirt</w:t>
            </w:r>
            <w:r w:rsidRPr="00170422">
              <w:rPr>
                <w:noProof/>
                <w:lang w:val="de-DE"/>
              </w:rPr>
              <w:t xml:space="preserve">schaft, um die erforderlichen Kapazitäten zur Erreichung der unter Buchstabe a genannten Ziele zu gewährleisten und folglich die Endlagerung als letzte und verbleibende Option im Einklang mit dem Grundsatz der Nähe und unter Berücksichtigung der im Rahmen </w:t>
            </w:r>
            <w:r w:rsidRPr="00170422">
              <w:rPr>
                <w:noProof/>
                <w:lang w:val="de-DE"/>
              </w:rPr>
              <w:t>der nationalen Abfallvermeidungsplanung gemäß Artikel 180 des Gesetzesdekrets 152/06 festgelegten Abfallvermeidungsziele zu minimieren; </w:t>
            </w:r>
          </w:p>
          <w:p w14:paraId="2EAF887A" w14:textId="77777777" w:rsidR="0057163C" w:rsidRPr="00170422" w:rsidRDefault="00F37BF9">
            <w:pPr>
              <w:pStyle w:val="P68B1DB1-Normal50"/>
              <w:numPr>
                <w:ilvl w:val="0"/>
                <w:numId w:val="130"/>
              </w:numPr>
              <w:spacing w:after="0" w:line="240" w:lineRule="auto"/>
              <w:ind w:firstLine="0"/>
              <w:textAlignment w:val="baseline"/>
              <w:rPr>
                <w:noProof/>
                <w:lang w:val="de-DE"/>
              </w:rPr>
            </w:pPr>
            <w:r w:rsidRPr="00170422">
              <w:rPr>
                <w:noProof/>
                <w:lang w:val="de-DE"/>
              </w:rPr>
              <w:t xml:space="preserve">Einführung einer angemessenen Überwachung der Durchführung des Programms, damit die Einhaltung der Ziele des Programms </w:t>
            </w:r>
            <w:r w:rsidRPr="00170422">
              <w:rPr>
                <w:noProof/>
                <w:lang w:val="de-DE"/>
              </w:rPr>
              <w:t>ständig überprüft werden kann und ob gegebenenfalls Korrekturinstrumente für die Durchführung der geplanten Maßnahmen eingeführt werden müssen; </w:t>
            </w:r>
          </w:p>
          <w:p w14:paraId="1F137B2D" w14:textId="77777777" w:rsidR="0057163C" w:rsidRPr="00170422" w:rsidRDefault="00F37BF9">
            <w:pPr>
              <w:pStyle w:val="P68B1DB1-Normal50"/>
              <w:numPr>
                <w:ilvl w:val="0"/>
                <w:numId w:val="131"/>
              </w:numPr>
              <w:spacing w:after="0" w:line="240" w:lineRule="auto"/>
              <w:ind w:firstLine="0"/>
              <w:textAlignment w:val="baseline"/>
              <w:rPr>
                <w:noProof/>
                <w:lang w:val="de-DE"/>
              </w:rPr>
            </w:pPr>
            <w:r w:rsidRPr="00170422">
              <w:rPr>
                <w:noProof/>
                <w:lang w:val="de-DE"/>
              </w:rPr>
              <w:t>die Einleitung neuer Vertragsverletzungsverfahren gegen die Italienische Republik wegen Nichtumsetzung der euro</w:t>
            </w:r>
            <w:r w:rsidRPr="00170422">
              <w:rPr>
                <w:noProof/>
                <w:lang w:val="de-DE"/>
              </w:rPr>
              <w:t>päischen Vorschriften über die Planung von Abfallzyklen zu verhindern; </w:t>
            </w:r>
          </w:p>
          <w:p w14:paraId="4969326E" w14:textId="77777777" w:rsidR="0057163C" w:rsidRPr="00170422" w:rsidRDefault="00F37BF9">
            <w:pPr>
              <w:pStyle w:val="P68B1DB1-Normal50"/>
              <w:numPr>
                <w:ilvl w:val="0"/>
                <w:numId w:val="132"/>
              </w:numPr>
              <w:spacing w:after="0" w:line="240" w:lineRule="auto"/>
              <w:ind w:firstLine="0"/>
              <w:textAlignment w:val="baseline"/>
              <w:rPr>
                <w:noProof/>
                <w:lang w:val="de-DE"/>
              </w:rPr>
            </w:pPr>
            <w:r w:rsidRPr="00170422">
              <w:rPr>
                <w:noProof/>
                <w:lang w:val="de-DE"/>
              </w:rPr>
              <w:t>Bekämpfung der geringen Abfallsammlung und Eindämmung der Deponierung (siehe auch die nationale Strategie für die Kreislaufwirtschaft); </w:t>
            </w:r>
          </w:p>
          <w:p w14:paraId="63C091EE" w14:textId="77777777" w:rsidR="0057163C" w:rsidRPr="00170422" w:rsidRDefault="00F37BF9">
            <w:pPr>
              <w:pStyle w:val="P68B1DB1-Normal50"/>
              <w:numPr>
                <w:ilvl w:val="0"/>
                <w:numId w:val="133"/>
              </w:numPr>
              <w:spacing w:after="0" w:line="240" w:lineRule="auto"/>
              <w:ind w:firstLine="0"/>
              <w:textAlignment w:val="baseline"/>
              <w:rPr>
                <w:noProof/>
                <w:lang w:val="de-DE"/>
              </w:rPr>
            </w:pPr>
            <w:r w:rsidRPr="00170422">
              <w:rPr>
                <w:noProof/>
                <w:lang w:val="de-DE"/>
              </w:rPr>
              <w:t xml:space="preserve">die regionale Abfallbewirtschaftungsanlage </w:t>
            </w:r>
            <w:r w:rsidRPr="00170422">
              <w:rPr>
                <w:noProof/>
                <w:lang w:val="de-DE"/>
              </w:rPr>
              <w:t>ergänzt das nationale Abfallbewirtschaftungsprogramm; </w:t>
            </w:r>
          </w:p>
          <w:p w14:paraId="6DAB4DD8" w14:textId="77777777" w:rsidR="0057163C" w:rsidRPr="00170422" w:rsidRDefault="00F37BF9">
            <w:pPr>
              <w:pStyle w:val="P68B1DB1-Normal50"/>
              <w:numPr>
                <w:ilvl w:val="0"/>
                <w:numId w:val="134"/>
              </w:numPr>
              <w:spacing w:after="0" w:line="240" w:lineRule="auto"/>
              <w:ind w:firstLine="0"/>
              <w:textAlignment w:val="baseline"/>
              <w:rPr>
                <w:noProof/>
                <w:lang w:val="de-DE"/>
              </w:rPr>
            </w:pPr>
            <w:r w:rsidRPr="00170422">
              <w:rPr>
                <w:noProof/>
                <w:lang w:val="de-DE"/>
              </w:rPr>
              <w:t xml:space="preserve">die Lücken in der Abfallbewirtschaftung und die regionale Kluft in Bezug auf die Kapazität der Anlagen und die Qualitätsstandards, die zwischen den verschiedenen Regionen und Gebieten des nationalen </w:t>
            </w:r>
            <w:r w:rsidRPr="00170422">
              <w:rPr>
                <w:noProof/>
                <w:lang w:val="de-DE"/>
              </w:rPr>
              <w:t>Hoheitsgebiets bestehen, zu schließen, um Verzögerungen zu beheben; </w:t>
            </w:r>
          </w:p>
          <w:p w14:paraId="5FD6575F" w14:textId="77777777" w:rsidR="0057163C" w:rsidRPr="00170422" w:rsidRDefault="00F37BF9">
            <w:pPr>
              <w:pStyle w:val="P68B1DB1-Normal50"/>
              <w:numPr>
                <w:ilvl w:val="0"/>
                <w:numId w:val="135"/>
              </w:numPr>
              <w:spacing w:after="0" w:line="240" w:lineRule="auto"/>
              <w:ind w:firstLine="0"/>
              <w:textAlignment w:val="baseline"/>
              <w:rPr>
                <w:noProof/>
                <w:lang w:val="de-DE"/>
              </w:rPr>
            </w:pPr>
            <w:r w:rsidRPr="00170422">
              <w:rPr>
                <w:noProof/>
                <w:lang w:val="de-DE"/>
              </w:rPr>
              <w:t>Verwirklichung der derzeitigen und der neuen Ziele, die in den europäischen und nationalen Rechtsvorschriften vorgesehen sind; </w:t>
            </w:r>
          </w:p>
          <w:p w14:paraId="3CE2B3C0" w14:textId="44CBC3AC" w:rsidR="0057163C" w:rsidRPr="00170422" w:rsidRDefault="00F37BF9">
            <w:pPr>
              <w:pStyle w:val="P68B1DB1-Normal50"/>
              <w:numPr>
                <w:ilvl w:val="0"/>
                <w:numId w:val="136"/>
              </w:numPr>
              <w:spacing w:after="0" w:line="240" w:lineRule="auto"/>
              <w:ind w:firstLine="0"/>
              <w:textAlignment w:val="baseline"/>
              <w:rPr>
                <w:noProof/>
                <w:lang w:val="de-DE"/>
              </w:rPr>
            </w:pPr>
            <w:r w:rsidRPr="00170422">
              <w:rPr>
                <w:noProof/>
                <w:lang w:val="de-DE"/>
              </w:rPr>
              <w:t>um die illegale Abfallablagerung und die Verbrennung im Fre</w:t>
            </w:r>
            <w:r w:rsidRPr="00170422">
              <w:rPr>
                <w:noProof/>
                <w:lang w:val="de-DE"/>
              </w:rPr>
              <w:t>ien (z. B. im Gebiet Terra dei Fuochi) durch Maßnahmen zu bekämpfen, darunter die Einführung eines neuen Systems zur Rückverfolgbarkeit von Abfällen, soll ein unterstütztes globales Überwachungssystem zur Bekämpfung illegaler Deponien mithilfe von Satellit</w:t>
            </w:r>
            <w:r w:rsidRPr="00170422">
              <w:rPr>
                <w:noProof/>
                <w:lang w:val="de-DE"/>
              </w:rPr>
              <w:t>en, Drohnen und Technologien der künstlichen Intelligenz (KI) entwickelt werden. </w:t>
            </w:r>
          </w:p>
        </w:tc>
      </w:tr>
      <w:tr w:rsidR="00A25317" w:rsidRPr="00170422" w14:paraId="4E9BAAC6" w14:textId="77777777" w:rsidTr="00A25317">
        <w:trPr>
          <w:trHeight w:val="300"/>
        </w:trPr>
        <w:tc>
          <w:tcPr>
            <w:tcW w:w="869" w:type="dxa"/>
            <w:shd w:val="clear" w:color="auto" w:fill="C6EFCE"/>
            <w:vAlign w:val="center"/>
            <w:hideMark/>
          </w:tcPr>
          <w:p w14:paraId="5DB47B0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M2C1-14 </w:t>
            </w:r>
          </w:p>
        </w:tc>
        <w:tc>
          <w:tcPr>
            <w:tcW w:w="1983" w:type="dxa"/>
            <w:shd w:val="clear" w:color="auto" w:fill="C6EFCE"/>
            <w:vAlign w:val="center"/>
            <w:hideMark/>
          </w:tcPr>
          <w:p w14:paraId="6FE108D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1.1 – Errichtung neuer Abfallbewirtschaftungsanlagen und Modernisierung bestehender Anlagen; </w:t>
            </w:r>
          </w:p>
          <w:p w14:paraId="271D3AF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1.2 – Leitinitiativen für die </w:t>
            </w:r>
            <w:r w:rsidRPr="00170422">
              <w:rPr>
                <w:noProof/>
                <w:lang w:val="de-DE"/>
              </w:rPr>
              <w:t>Kreislaufwirtschaft </w:t>
            </w:r>
          </w:p>
        </w:tc>
        <w:tc>
          <w:tcPr>
            <w:tcW w:w="1260" w:type="dxa"/>
            <w:shd w:val="clear" w:color="auto" w:fill="C6EFCE"/>
            <w:vAlign w:val="center"/>
            <w:hideMark/>
          </w:tcPr>
          <w:p w14:paraId="276C9A6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0C6C5ED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Inkrafttreten des Ministerialdekrets. </w:t>
            </w:r>
          </w:p>
        </w:tc>
        <w:tc>
          <w:tcPr>
            <w:tcW w:w="1904" w:type="dxa"/>
            <w:shd w:val="clear" w:color="auto" w:fill="C6EFCE"/>
            <w:vAlign w:val="center"/>
            <w:hideMark/>
          </w:tcPr>
          <w:p w14:paraId="347F873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Annahme des Ministerialdekrets zur Genehmigung der Auswahlkriterien für die von den Gemeinden vorgeschlagenen Projekte. </w:t>
            </w:r>
          </w:p>
        </w:tc>
        <w:tc>
          <w:tcPr>
            <w:tcW w:w="954" w:type="dxa"/>
            <w:shd w:val="clear" w:color="auto" w:fill="C6EFCE"/>
            <w:vAlign w:val="center"/>
            <w:hideMark/>
          </w:tcPr>
          <w:p w14:paraId="1B7347C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Veröffentlichung in der Gazzetta Ufficiale </w:t>
            </w:r>
          </w:p>
        </w:tc>
        <w:tc>
          <w:tcPr>
            <w:tcW w:w="1249" w:type="dxa"/>
            <w:shd w:val="clear" w:color="auto" w:fill="C6EFCE"/>
            <w:vAlign w:val="center"/>
            <w:hideMark/>
          </w:tcPr>
          <w:p w14:paraId="3094C43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5637D9D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37AD6DA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Q3 </w:t>
            </w:r>
          </w:p>
        </w:tc>
        <w:tc>
          <w:tcPr>
            <w:tcW w:w="567" w:type="dxa"/>
            <w:shd w:val="clear" w:color="auto" w:fill="C6EFCE"/>
            <w:vAlign w:val="center"/>
            <w:hideMark/>
          </w:tcPr>
          <w:p w14:paraId="1354FB10"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2021 </w:t>
            </w:r>
          </w:p>
        </w:tc>
        <w:tc>
          <w:tcPr>
            <w:tcW w:w="2056" w:type="dxa"/>
            <w:shd w:val="clear" w:color="auto" w:fill="C6EFCE"/>
            <w:vAlign w:val="center"/>
            <w:hideMark/>
          </w:tcPr>
          <w:p w14:paraId="3E30424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Das Ministerialdekret über die Genehmigung der Kriterien für die Auswahl der von den Gemeinden vorgeschlagenen Projekte tritt in Kraft. </w:t>
            </w:r>
          </w:p>
          <w:p w14:paraId="5C6C1AE6"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In der Ministerialverordnung wird festgelegt, dass die Projekte unter den folgenden Kriterien ausg</w:t>
            </w:r>
            <w:r w:rsidRPr="00170422">
              <w:rPr>
                <w:noProof/>
                <w:lang w:val="de-DE"/>
              </w:rPr>
              <w:t>ewählt werden: </w:t>
            </w:r>
          </w:p>
          <w:p w14:paraId="3A50D9B9" w14:textId="77777777" w:rsidR="0057163C" w:rsidRPr="00170422" w:rsidRDefault="00F37BF9">
            <w:pPr>
              <w:pStyle w:val="P68B1DB1-Normal50"/>
              <w:numPr>
                <w:ilvl w:val="0"/>
                <w:numId w:val="137"/>
              </w:numPr>
              <w:spacing w:after="0" w:line="240" w:lineRule="auto"/>
              <w:ind w:left="780" w:firstLine="0"/>
              <w:textAlignment w:val="baseline"/>
              <w:rPr>
                <w:noProof/>
                <w:lang w:val="de-DE"/>
              </w:rPr>
            </w:pPr>
            <w:r w:rsidRPr="00170422">
              <w:rPr>
                <w:noProof/>
                <w:lang w:val="de-DE"/>
              </w:rPr>
              <w:t>Kohärenz mit den Rechtsvorschriften der EU und der Mitgliedstaaten sowie mit dem europäischen Aktionsplan für die Kreislaufwirtschaft, </w:t>
            </w:r>
          </w:p>
          <w:p w14:paraId="4ABD64D3" w14:textId="77777777" w:rsidR="0057163C" w:rsidRPr="00170422" w:rsidRDefault="00F37BF9">
            <w:pPr>
              <w:pStyle w:val="P68B1DB1-Normal50"/>
              <w:numPr>
                <w:ilvl w:val="0"/>
                <w:numId w:val="138"/>
              </w:numPr>
              <w:spacing w:after="0" w:line="240" w:lineRule="auto"/>
              <w:ind w:left="780" w:firstLine="0"/>
              <w:textAlignment w:val="baseline"/>
              <w:rPr>
                <w:noProof/>
                <w:lang w:val="de-DE"/>
              </w:rPr>
            </w:pPr>
            <w:r w:rsidRPr="00170422">
              <w:rPr>
                <w:noProof/>
                <w:lang w:val="de-DE"/>
              </w:rPr>
              <w:t>Erwartete Verbesserung der Recyclingziele </w:t>
            </w:r>
          </w:p>
          <w:p w14:paraId="5ED1CB97" w14:textId="77777777" w:rsidR="0057163C" w:rsidRPr="00170422" w:rsidRDefault="00F37BF9">
            <w:pPr>
              <w:pStyle w:val="P68B1DB1-Normal50"/>
              <w:numPr>
                <w:ilvl w:val="0"/>
                <w:numId w:val="139"/>
              </w:numPr>
              <w:spacing w:after="0" w:line="240" w:lineRule="auto"/>
              <w:ind w:left="780" w:firstLine="0"/>
              <w:textAlignment w:val="baseline"/>
              <w:rPr>
                <w:noProof/>
                <w:lang w:val="de-DE"/>
              </w:rPr>
            </w:pPr>
            <w:r w:rsidRPr="00170422">
              <w:rPr>
                <w:noProof/>
                <w:lang w:val="de-DE"/>
              </w:rPr>
              <w:t>Kohärenz mit regionalen und nationalen Planungsinstrumenten, </w:t>
            </w:r>
          </w:p>
          <w:p w14:paraId="317C5100" w14:textId="77777777" w:rsidR="0057163C" w:rsidRPr="00170422" w:rsidRDefault="00F37BF9">
            <w:pPr>
              <w:pStyle w:val="P68B1DB1-Normal50"/>
              <w:numPr>
                <w:ilvl w:val="0"/>
                <w:numId w:val="140"/>
              </w:numPr>
              <w:spacing w:after="0" w:line="240" w:lineRule="auto"/>
              <w:ind w:left="780" w:firstLine="0"/>
              <w:textAlignment w:val="baseline"/>
              <w:rPr>
                <w:noProof/>
                <w:lang w:val="de-DE"/>
              </w:rPr>
            </w:pPr>
            <w:r w:rsidRPr="00170422">
              <w:rPr>
                <w:noProof/>
                <w:lang w:val="de-DE"/>
              </w:rPr>
              <w:t>Beitrag zur Lösung von EU-Verstößen, Synergien mit anderen sektoralen Planungen (z. B. PNIEC) und/oder anderen Bestandteilen des Plans, innovative Technologien, die auf umfassenden Erfahrungen beruhen; </w:t>
            </w:r>
          </w:p>
          <w:p w14:paraId="093C2B1F" w14:textId="77777777" w:rsidR="0057163C" w:rsidRPr="00170422" w:rsidRDefault="00F37BF9">
            <w:pPr>
              <w:pStyle w:val="P68B1DB1-Normal50"/>
              <w:numPr>
                <w:ilvl w:val="0"/>
                <w:numId w:val="141"/>
              </w:numPr>
              <w:spacing w:after="0" w:line="240" w:lineRule="auto"/>
              <w:ind w:left="780" w:firstLine="0"/>
              <w:textAlignment w:val="baseline"/>
              <w:rPr>
                <w:noProof/>
                <w:lang w:val="de-DE"/>
              </w:rPr>
            </w:pPr>
            <w:r w:rsidRPr="00170422">
              <w:rPr>
                <w:noProof/>
                <w:lang w:val="de-DE"/>
              </w:rPr>
              <w:t>Fachliche Qualität des Vorschlags. </w:t>
            </w:r>
          </w:p>
          <w:p w14:paraId="644EE7A0" w14:textId="77777777" w:rsidR="0057163C" w:rsidRPr="00170422" w:rsidRDefault="00F37BF9">
            <w:pPr>
              <w:pStyle w:val="P68B1DB1-Normal50"/>
              <w:numPr>
                <w:ilvl w:val="0"/>
                <w:numId w:val="142"/>
              </w:numPr>
              <w:spacing w:after="0" w:line="240" w:lineRule="auto"/>
              <w:ind w:left="780" w:firstLine="0"/>
              <w:textAlignment w:val="baseline"/>
              <w:rPr>
                <w:noProof/>
                <w:lang w:val="de-DE"/>
              </w:rPr>
            </w:pPr>
            <w:r w:rsidRPr="00170422">
              <w:rPr>
                <w:noProof/>
                <w:lang w:val="de-DE"/>
              </w:rPr>
              <w:t xml:space="preserve">Kohärenz und </w:t>
            </w:r>
            <w:r w:rsidRPr="00170422">
              <w:rPr>
                <w:noProof/>
                <w:lang w:val="de-DE"/>
              </w:rPr>
              <w:t>Komplementarität mit kohäsionspolitischen Programmen und ähnlichen Projekten, die durch andere EU- und nationale Instrumente finanziert werden </w:t>
            </w:r>
          </w:p>
          <w:p w14:paraId="4218DB23"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Die Interventionen umfassen im Einklang mit dem DNSH-Grundsatz keine Investitionen in Deponien, Entsorgungsanlag</w:t>
            </w:r>
            <w:r w:rsidRPr="00170422">
              <w:rPr>
                <w:noProof/>
                <w:lang w:val="de-DE"/>
              </w:rPr>
              <w:t>en, Mechanische biologische/mechanische Behandlungsanlagen oder Verbrennungsanlagen. </w:t>
            </w:r>
          </w:p>
        </w:tc>
      </w:tr>
      <w:tr w:rsidR="00A25317" w:rsidRPr="00170422" w14:paraId="02456C9D" w14:textId="77777777" w:rsidTr="00A25317">
        <w:trPr>
          <w:trHeight w:val="300"/>
        </w:trPr>
        <w:tc>
          <w:tcPr>
            <w:tcW w:w="869" w:type="dxa"/>
            <w:shd w:val="clear" w:color="auto" w:fill="C6EFCE"/>
            <w:vAlign w:val="center"/>
            <w:hideMark/>
          </w:tcPr>
          <w:p w14:paraId="44F35EB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M2C1-15 </w:t>
            </w:r>
          </w:p>
        </w:tc>
        <w:tc>
          <w:tcPr>
            <w:tcW w:w="1983" w:type="dxa"/>
            <w:shd w:val="clear" w:color="auto" w:fill="C6EFCE"/>
            <w:vAlign w:val="center"/>
            <w:hideMark/>
          </w:tcPr>
          <w:p w14:paraId="4784BAA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Reform 1.2 </w:t>
            </w:r>
          </w:p>
          <w:p w14:paraId="49F9EA1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Nationales Abfallbewirtschaftungsprogramm </w:t>
            </w:r>
          </w:p>
          <w:p w14:paraId="1396687F" w14:textId="77777777" w:rsidR="0057163C" w:rsidRPr="00170422" w:rsidRDefault="00F37BF9">
            <w:pPr>
              <w:pStyle w:val="P68B1DB1-Normal49"/>
              <w:spacing w:after="0" w:line="240" w:lineRule="auto"/>
              <w:jc w:val="center"/>
              <w:textAlignment w:val="baseline"/>
              <w:rPr>
                <w:rFonts w:ascii="Times New Roman" w:hAnsi="Times New Roman"/>
                <w:noProof/>
                <w:sz w:val="24"/>
                <w:szCs w:val="24"/>
                <w:lang w:val="de-DE"/>
              </w:rPr>
            </w:pPr>
            <w:r w:rsidRPr="00170422">
              <w:rPr>
                <w:noProof/>
                <w:lang w:val="de-DE"/>
              </w:rPr>
              <w:t> </w:t>
            </w:r>
          </w:p>
        </w:tc>
        <w:tc>
          <w:tcPr>
            <w:tcW w:w="1260" w:type="dxa"/>
            <w:shd w:val="clear" w:color="auto" w:fill="C6EFCE"/>
            <w:vAlign w:val="center"/>
            <w:hideMark/>
          </w:tcPr>
          <w:p w14:paraId="0C33987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326C0BC1" w14:textId="2347A32A"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Verringerung unregelmäßiger Deponien (T1) </w:t>
            </w:r>
          </w:p>
        </w:tc>
        <w:tc>
          <w:tcPr>
            <w:tcW w:w="1904" w:type="dxa"/>
            <w:shd w:val="clear" w:color="auto" w:fill="C6EFCE"/>
            <w:vAlign w:val="center"/>
            <w:hideMark/>
          </w:tcPr>
          <w:p w14:paraId="760BC9B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3D478E0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249" w:type="dxa"/>
            <w:shd w:val="clear" w:color="auto" w:fill="C6EFCE"/>
            <w:vAlign w:val="center"/>
            <w:hideMark/>
          </w:tcPr>
          <w:p w14:paraId="7D20CD9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33 </w:t>
            </w:r>
          </w:p>
        </w:tc>
        <w:tc>
          <w:tcPr>
            <w:tcW w:w="850" w:type="dxa"/>
            <w:shd w:val="clear" w:color="auto" w:fill="C6EFCE"/>
            <w:vAlign w:val="center"/>
            <w:hideMark/>
          </w:tcPr>
          <w:p w14:paraId="6E7C811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11 </w:t>
            </w:r>
          </w:p>
        </w:tc>
        <w:tc>
          <w:tcPr>
            <w:tcW w:w="567" w:type="dxa"/>
            <w:shd w:val="clear" w:color="auto" w:fill="C6EFCE"/>
            <w:vAlign w:val="center"/>
            <w:hideMark/>
          </w:tcPr>
          <w:p w14:paraId="3970F17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3CEB9521"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2024 </w:t>
            </w:r>
          </w:p>
        </w:tc>
        <w:tc>
          <w:tcPr>
            <w:tcW w:w="2056" w:type="dxa"/>
            <w:shd w:val="clear" w:color="auto" w:fill="C6EFCE"/>
            <w:vAlign w:val="center"/>
            <w:hideMark/>
          </w:tcPr>
          <w:p w14:paraId="34C4F05A" w14:textId="77777777" w:rsidR="0057163C" w:rsidRPr="00170422" w:rsidRDefault="00F37BF9">
            <w:pPr>
              <w:pStyle w:val="P68B1DB1-Normal50"/>
              <w:spacing w:after="0" w:line="240" w:lineRule="auto"/>
              <w:jc w:val="both"/>
              <w:textAlignment w:val="baseline"/>
              <w:rPr>
                <w:rFonts w:ascii="Times New Roman" w:hAnsi="Times New Roman"/>
                <w:noProof/>
                <w:sz w:val="24"/>
                <w:szCs w:val="24"/>
                <w:lang w:val="de-DE"/>
              </w:rPr>
            </w:pPr>
            <w:r w:rsidRPr="00170422">
              <w:rPr>
                <w:noProof/>
                <w:lang w:val="de-DE"/>
              </w:rPr>
              <w:t>Verringerung der Zahl unregelmäßiger Deponien, die Gegenstand des Vertragsverletzungsverfahrens NIF 2003/2077 waren, von 33 auf 11 (d. h. um mindestens 66 %). </w:t>
            </w:r>
          </w:p>
        </w:tc>
      </w:tr>
      <w:tr w:rsidR="00A25317" w:rsidRPr="00170422" w14:paraId="2518F62B" w14:textId="77777777" w:rsidTr="00A25317">
        <w:trPr>
          <w:trHeight w:val="300"/>
        </w:trPr>
        <w:tc>
          <w:tcPr>
            <w:tcW w:w="869" w:type="dxa"/>
            <w:shd w:val="clear" w:color="auto" w:fill="C6EFCE"/>
            <w:vAlign w:val="center"/>
            <w:hideMark/>
          </w:tcPr>
          <w:p w14:paraId="3C64743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M2C1-15bis </w:t>
            </w:r>
          </w:p>
        </w:tc>
        <w:tc>
          <w:tcPr>
            <w:tcW w:w="1983" w:type="dxa"/>
            <w:shd w:val="clear" w:color="auto" w:fill="C6EFCE"/>
            <w:vAlign w:val="center"/>
            <w:hideMark/>
          </w:tcPr>
          <w:p w14:paraId="74CA354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Reform 1.2 </w:t>
            </w:r>
          </w:p>
          <w:p w14:paraId="0C6A952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Nationales Abfallbewirtschaftungsprogramm: </w:t>
            </w:r>
          </w:p>
        </w:tc>
        <w:tc>
          <w:tcPr>
            <w:tcW w:w="1260" w:type="dxa"/>
            <w:shd w:val="clear" w:color="auto" w:fill="C6EFCE"/>
            <w:vAlign w:val="center"/>
            <w:hideMark/>
          </w:tcPr>
          <w:p w14:paraId="6FE7A63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24E18C8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Verringerung </w:t>
            </w:r>
            <w:r w:rsidRPr="00170422">
              <w:rPr>
                <w:noProof/>
                <w:lang w:val="de-DE"/>
              </w:rPr>
              <w:t>unregelmäßiger Deponien (T2) </w:t>
            </w:r>
          </w:p>
        </w:tc>
        <w:tc>
          <w:tcPr>
            <w:tcW w:w="1904" w:type="dxa"/>
            <w:shd w:val="clear" w:color="auto" w:fill="C6EFCE"/>
            <w:vAlign w:val="center"/>
            <w:hideMark/>
          </w:tcPr>
          <w:p w14:paraId="7BD85E5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36A75CBC" w14:textId="77CC0E48"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Anzahl </w:t>
            </w:r>
          </w:p>
        </w:tc>
        <w:tc>
          <w:tcPr>
            <w:tcW w:w="1249" w:type="dxa"/>
            <w:shd w:val="clear" w:color="auto" w:fill="C6EFCE"/>
            <w:vAlign w:val="center"/>
            <w:hideMark/>
          </w:tcPr>
          <w:p w14:paraId="4D9D765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34 </w:t>
            </w:r>
          </w:p>
        </w:tc>
        <w:tc>
          <w:tcPr>
            <w:tcW w:w="850" w:type="dxa"/>
            <w:shd w:val="clear" w:color="auto" w:fill="C6EFCE"/>
            <w:vAlign w:val="center"/>
            <w:hideMark/>
          </w:tcPr>
          <w:p w14:paraId="2CD1732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14 </w:t>
            </w:r>
          </w:p>
        </w:tc>
        <w:tc>
          <w:tcPr>
            <w:tcW w:w="567" w:type="dxa"/>
            <w:shd w:val="clear" w:color="auto" w:fill="C6EFCE"/>
            <w:vAlign w:val="center"/>
            <w:hideMark/>
          </w:tcPr>
          <w:p w14:paraId="7A3B2B3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567" w:type="dxa"/>
            <w:shd w:val="clear" w:color="auto" w:fill="C6EFCE"/>
            <w:vAlign w:val="center"/>
            <w:hideMark/>
          </w:tcPr>
          <w:p w14:paraId="4AF659A3"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2023 </w:t>
            </w:r>
          </w:p>
        </w:tc>
        <w:tc>
          <w:tcPr>
            <w:tcW w:w="2056" w:type="dxa"/>
            <w:shd w:val="clear" w:color="auto" w:fill="C6EFCE"/>
            <w:vAlign w:val="center"/>
            <w:hideMark/>
          </w:tcPr>
          <w:p w14:paraId="67D9AEEF"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Verringerung der Zahl unregelmäßiger Deponien, die Gegenstand des Vertragsverletzungsverfahrens 2011/2215 waren, von 34 auf 14 (d. h. um mindestens 60 %). </w:t>
            </w:r>
          </w:p>
        </w:tc>
      </w:tr>
      <w:tr w:rsidR="00A25317" w:rsidRPr="00170422" w14:paraId="2D6C225D" w14:textId="77777777" w:rsidTr="00A25317">
        <w:trPr>
          <w:trHeight w:val="300"/>
        </w:trPr>
        <w:tc>
          <w:tcPr>
            <w:tcW w:w="869" w:type="dxa"/>
            <w:shd w:val="clear" w:color="auto" w:fill="C6EFCE"/>
            <w:vAlign w:val="center"/>
            <w:hideMark/>
          </w:tcPr>
          <w:p w14:paraId="49A8A65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M2C1-15ter </w:t>
            </w:r>
          </w:p>
        </w:tc>
        <w:tc>
          <w:tcPr>
            <w:tcW w:w="1983" w:type="dxa"/>
            <w:shd w:val="clear" w:color="auto" w:fill="C6EFCE"/>
            <w:vAlign w:val="center"/>
            <w:hideMark/>
          </w:tcPr>
          <w:p w14:paraId="66012AF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w:t>
            </w:r>
            <w:r w:rsidRPr="00170422">
              <w:rPr>
                <w:noProof/>
                <w:lang w:val="de-DE"/>
              </w:rPr>
              <w:t>1.1 – Errichtung neuer Abfallbewirtschaftungsanlagen und Modernisierung bestehender Anlagen </w:t>
            </w:r>
          </w:p>
        </w:tc>
        <w:tc>
          <w:tcPr>
            <w:tcW w:w="1260" w:type="dxa"/>
            <w:shd w:val="clear" w:color="auto" w:fill="C6EFCE"/>
            <w:vAlign w:val="center"/>
            <w:hideMark/>
          </w:tcPr>
          <w:p w14:paraId="55DA591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3499926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Verringerung der regionalen Unterschiede bei der getrennten Sammlung </w:t>
            </w:r>
          </w:p>
        </w:tc>
        <w:tc>
          <w:tcPr>
            <w:tcW w:w="1904" w:type="dxa"/>
            <w:shd w:val="clear" w:color="auto" w:fill="C6EFCE"/>
            <w:vAlign w:val="center"/>
            <w:hideMark/>
          </w:tcPr>
          <w:p w14:paraId="0291CC8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2E60852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Prozentpunkte </w:t>
            </w:r>
          </w:p>
        </w:tc>
        <w:tc>
          <w:tcPr>
            <w:tcW w:w="1249" w:type="dxa"/>
            <w:shd w:val="clear" w:color="auto" w:fill="C6EFCE"/>
            <w:vAlign w:val="center"/>
            <w:hideMark/>
          </w:tcPr>
          <w:p w14:paraId="47E1EE4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22.8 </w:t>
            </w:r>
          </w:p>
        </w:tc>
        <w:tc>
          <w:tcPr>
            <w:tcW w:w="850" w:type="dxa"/>
            <w:shd w:val="clear" w:color="auto" w:fill="C6EFCE"/>
            <w:vAlign w:val="center"/>
            <w:hideMark/>
          </w:tcPr>
          <w:p w14:paraId="417F365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20 </w:t>
            </w:r>
          </w:p>
        </w:tc>
        <w:tc>
          <w:tcPr>
            <w:tcW w:w="567" w:type="dxa"/>
            <w:shd w:val="clear" w:color="auto" w:fill="C6EFCE"/>
            <w:vAlign w:val="center"/>
            <w:hideMark/>
          </w:tcPr>
          <w:p w14:paraId="4853AC6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567" w:type="dxa"/>
            <w:shd w:val="clear" w:color="auto" w:fill="C6EFCE"/>
            <w:vAlign w:val="center"/>
            <w:hideMark/>
          </w:tcPr>
          <w:p w14:paraId="4D0A93C2"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2023 </w:t>
            </w:r>
          </w:p>
        </w:tc>
        <w:tc>
          <w:tcPr>
            <w:tcW w:w="2056" w:type="dxa"/>
            <w:shd w:val="clear" w:color="auto" w:fill="C6EFCE"/>
            <w:vAlign w:val="center"/>
            <w:hideMark/>
          </w:tcPr>
          <w:p w14:paraId="29D3623A"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Die Differenz zwischen dem nationalen Durchschnitt und der Region mit der schlechtesten Leistung bei der getrennten Sammlung wird auf 20 Prozentpunkte verringert. </w:t>
            </w:r>
          </w:p>
        </w:tc>
      </w:tr>
      <w:tr w:rsidR="00A25317" w:rsidRPr="00170422" w14:paraId="4900FD9D" w14:textId="77777777" w:rsidTr="00A25317">
        <w:trPr>
          <w:trHeight w:val="300"/>
        </w:trPr>
        <w:tc>
          <w:tcPr>
            <w:tcW w:w="869" w:type="dxa"/>
            <w:shd w:val="clear" w:color="auto" w:fill="C6EFCE"/>
            <w:vAlign w:val="center"/>
            <w:hideMark/>
          </w:tcPr>
          <w:p w14:paraId="286F14B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M2C1-15-Quader </w:t>
            </w:r>
          </w:p>
        </w:tc>
        <w:tc>
          <w:tcPr>
            <w:tcW w:w="1983" w:type="dxa"/>
            <w:shd w:val="clear" w:color="auto" w:fill="C6EFCE"/>
            <w:vAlign w:val="center"/>
            <w:hideMark/>
          </w:tcPr>
          <w:p w14:paraId="487A7C8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1.1 – Errichtung neuer Abfallbewirtschaftungsanlagen und </w:t>
            </w:r>
            <w:r w:rsidRPr="00170422">
              <w:rPr>
                <w:noProof/>
                <w:lang w:val="de-DE"/>
              </w:rPr>
              <w:t>Modernisierung bestehender Anlagen </w:t>
            </w:r>
          </w:p>
        </w:tc>
        <w:tc>
          <w:tcPr>
            <w:tcW w:w="1260" w:type="dxa"/>
            <w:shd w:val="clear" w:color="auto" w:fill="C6EFCE"/>
            <w:vAlign w:val="center"/>
            <w:hideMark/>
          </w:tcPr>
          <w:p w14:paraId="1E08554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40BB956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Inkrafttreten der Verpflichtung zur getrennten Sammlung von Bioabfällen </w:t>
            </w:r>
          </w:p>
        </w:tc>
        <w:tc>
          <w:tcPr>
            <w:tcW w:w="1904" w:type="dxa"/>
            <w:shd w:val="clear" w:color="auto" w:fill="C6EFCE"/>
            <w:vAlign w:val="center"/>
            <w:hideMark/>
          </w:tcPr>
          <w:p w14:paraId="775E59E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Gesetzliche Bestimmung, die das Inkrafttreten angibt </w:t>
            </w:r>
          </w:p>
        </w:tc>
        <w:tc>
          <w:tcPr>
            <w:tcW w:w="954" w:type="dxa"/>
            <w:shd w:val="clear" w:color="auto" w:fill="C6EFCE"/>
            <w:vAlign w:val="center"/>
            <w:hideMark/>
          </w:tcPr>
          <w:p w14:paraId="79AB6DB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249" w:type="dxa"/>
            <w:shd w:val="clear" w:color="auto" w:fill="C6EFCE"/>
            <w:vAlign w:val="center"/>
            <w:hideMark/>
          </w:tcPr>
          <w:p w14:paraId="409E243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0DDFEDC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62B1D40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567" w:type="dxa"/>
            <w:shd w:val="clear" w:color="auto" w:fill="C6EFCE"/>
            <w:vAlign w:val="center"/>
            <w:hideMark/>
          </w:tcPr>
          <w:p w14:paraId="5B208149"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2023 </w:t>
            </w:r>
          </w:p>
        </w:tc>
        <w:tc>
          <w:tcPr>
            <w:tcW w:w="2056" w:type="dxa"/>
            <w:shd w:val="clear" w:color="auto" w:fill="C6EFCE"/>
            <w:vAlign w:val="center"/>
            <w:hideMark/>
          </w:tcPr>
          <w:p w14:paraId="090CBED1"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Die Verpflichtung zur </w:t>
            </w:r>
            <w:r w:rsidRPr="00170422">
              <w:rPr>
                <w:noProof/>
                <w:lang w:val="de-DE"/>
              </w:rPr>
              <w:t>getrennten Sammlung von Bioabfällen ist gemäß dem EU-Aktionsplan für die Kreislaufwirtschaft bis zum 31. Dezember 2023 in Kraft. </w:t>
            </w:r>
          </w:p>
        </w:tc>
      </w:tr>
      <w:tr w:rsidR="00A25317" w:rsidRPr="00170422" w14:paraId="10C9A573" w14:textId="77777777" w:rsidTr="00A25317">
        <w:trPr>
          <w:trHeight w:val="300"/>
        </w:trPr>
        <w:tc>
          <w:tcPr>
            <w:tcW w:w="869" w:type="dxa"/>
            <w:shd w:val="clear" w:color="auto" w:fill="C6EFCE"/>
            <w:vAlign w:val="center"/>
            <w:hideMark/>
          </w:tcPr>
          <w:p w14:paraId="460E57E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M2C1-16 </w:t>
            </w:r>
          </w:p>
        </w:tc>
        <w:tc>
          <w:tcPr>
            <w:tcW w:w="1983" w:type="dxa"/>
            <w:shd w:val="clear" w:color="auto" w:fill="C6EFCE"/>
            <w:vAlign w:val="center"/>
            <w:hideMark/>
          </w:tcPr>
          <w:p w14:paraId="2F4E6FDD" w14:textId="23089295"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Reform 1.2 </w:t>
            </w:r>
          </w:p>
          <w:p w14:paraId="6F26474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Nationales Abfallbewirtschaftungsprogramm </w:t>
            </w:r>
          </w:p>
        </w:tc>
        <w:tc>
          <w:tcPr>
            <w:tcW w:w="1260" w:type="dxa"/>
            <w:shd w:val="clear" w:color="auto" w:fill="C6EFCE"/>
            <w:vAlign w:val="center"/>
            <w:hideMark/>
          </w:tcPr>
          <w:p w14:paraId="2A8A42E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153510A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Unregelmäßige Deponien </w:t>
            </w:r>
          </w:p>
        </w:tc>
        <w:tc>
          <w:tcPr>
            <w:tcW w:w="1904" w:type="dxa"/>
            <w:shd w:val="clear" w:color="auto" w:fill="C6EFCE"/>
            <w:vAlign w:val="center"/>
            <w:hideMark/>
          </w:tcPr>
          <w:p w14:paraId="2FCC98C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570D05E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249" w:type="dxa"/>
            <w:shd w:val="clear" w:color="auto" w:fill="C6EFCE"/>
            <w:vAlign w:val="center"/>
            <w:hideMark/>
          </w:tcPr>
          <w:p w14:paraId="29A7FD9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11 </w:t>
            </w:r>
          </w:p>
        </w:tc>
        <w:tc>
          <w:tcPr>
            <w:tcW w:w="850" w:type="dxa"/>
            <w:shd w:val="clear" w:color="auto" w:fill="C6EFCE"/>
            <w:vAlign w:val="center"/>
            <w:hideMark/>
          </w:tcPr>
          <w:p w14:paraId="2CB8EDD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567" w:type="dxa"/>
            <w:shd w:val="clear" w:color="auto" w:fill="C6EFCE"/>
            <w:vAlign w:val="center"/>
            <w:hideMark/>
          </w:tcPr>
          <w:p w14:paraId="4D8A06D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4335FC04"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2026 </w:t>
            </w:r>
          </w:p>
        </w:tc>
        <w:tc>
          <w:tcPr>
            <w:tcW w:w="2056" w:type="dxa"/>
            <w:shd w:val="clear" w:color="auto" w:fill="C6EFCE"/>
            <w:vAlign w:val="center"/>
            <w:hideMark/>
          </w:tcPr>
          <w:p w14:paraId="0911F3F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Verringerung der Zahl unregelmäßiger Deponien, die Gegenstand des Vertragsverletzungsverfahrens 2003/2077 waren, von 11 auf 0. </w:t>
            </w:r>
          </w:p>
        </w:tc>
      </w:tr>
      <w:tr w:rsidR="00A25317" w:rsidRPr="00170422" w14:paraId="083E0108" w14:textId="77777777" w:rsidTr="00A25317">
        <w:trPr>
          <w:trHeight w:val="300"/>
        </w:trPr>
        <w:tc>
          <w:tcPr>
            <w:tcW w:w="869" w:type="dxa"/>
            <w:shd w:val="clear" w:color="auto" w:fill="C6EFCE"/>
            <w:vAlign w:val="center"/>
            <w:hideMark/>
          </w:tcPr>
          <w:p w14:paraId="22DCE84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M2C1-16bis </w:t>
            </w:r>
          </w:p>
        </w:tc>
        <w:tc>
          <w:tcPr>
            <w:tcW w:w="1983" w:type="dxa"/>
            <w:shd w:val="clear" w:color="auto" w:fill="C6EFCE"/>
            <w:vAlign w:val="center"/>
            <w:hideMark/>
          </w:tcPr>
          <w:p w14:paraId="0FC78173" w14:textId="6E4F4EC3"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Reform 1.2 </w:t>
            </w:r>
          </w:p>
          <w:p w14:paraId="73BDDF3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Nationales Abfallbewirtschaftungsprogramm </w:t>
            </w:r>
          </w:p>
        </w:tc>
        <w:tc>
          <w:tcPr>
            <w:tcW w:w="1260" w:type="dxa"/>
            <w:shd w:val="clear" w:color="auto" w:fill="C6EFCE"/>
            <w:vAlign w:val="center"/>
            <w:hideMark/>
          </w:tcPr>
          <w:p w14:paraId="5628EA9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7ABB8F5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Unregelmäßige Deponien </w:t>
            </w:r>
          </w:p>
        </w:tc>
        <w:tc>
          <w:tcPr>
            <w:tcW w:w="1904" w:type="dxa"/>
            <w:shd w:val="clear" w:color="auto" w:fill="C6EFCE"/>
            <w:vAlign w:val="center"/>
            <w:hideMark/>
          </w:tcPr>
          <w:p w14:paraId="0876240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3751792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249" w:type="dxa"/>
            <w:shd w:val="clear" w:color="auto" w:fill="C6EFCE"/>
            <w:vAlign w:val="center"/>
            <w:hideMark/>
          </w:tcPr>
          <w:p w14:paraId="4BA1F87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14 </w:t>
            </w:r>
          </w:p>
        </w:tc>
        <w:tc>
          <w:tcPr>
            <w:tcW w:w="850" w:type="dxa"/>
            <w:shd w:val="clear" w:color="auto" w:fill="C6EFCE"/>
            <w:vAlign w:val="center"/>
            <w:hideMark/>
          </w:tcPr>
          <w:p w14:paraId="1FC55CD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9 </w:t>
            </w:r>
          </w:p>
        </w:tc>
        <w:tc>
          <w:tcPr>
            <w:tcW w:w="567" w:type="dxa"/>
            <w:shd w:val="clear" w:color="auto" w:fill="C6EFCE"/>
            <w:vAlign w:val="center"/>
            <w:hideMark/>
          </w:tcPr>
          <w:p w14:paraId="7186C69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5A7D9B0C"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2024 </w:t>
            </w:r>
          </w:p>
        </w:tc>
        <w:tc>
          <w:tcPr>
            <w:tcW w:w="2056" w:type="dxa"/>
            <w:shd w:val="clear" w:color="auto" w:fill="C6EFCE"/>
            <w:vAlign w:val="center"/>
            <w:hideMark/>
          </w:tcPr>
          <w:p w14:paraId="1FB1EF82"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Verringerung der Zahl unregelmäßiger Deponien, die Gegenstand des Vertragsverletzungsverfahrens 2011/2215 waren, von 14 auf 9 (d. h. mindestens 75 %) </w:t>
            </w:r>
          </w:p>
        </w:tc>
      </w:tr>
      <w:tr w:rsidR="00A25317" w:rsidRPr="00170422" w14:paraId="535C9794" w14:textId="77777777" w:rsidTr="00A25317">
        <w:trPr>
          <w:trHeight w:val="300"/>
        </w:trPr>
        <w:tc>
          <w:tcPr>
            <w:tcW w:w="869" w:type="dxa"/>
            <w:shd w:val="clear" w:color="auto" w:fill="C6EFCE"/>
            <w:vAlign w:val="center"/>
            <w:hideMark/>
          </w:tcPr>
          <w:p w14:paraId="4DBA493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M2C1-16ter </w:t>
            </w:r>
          </w:p>
        </w:tc>
        <w:tc>
          <w:tcPr>
            <w:tcW w:w="1983" w:type="dxa"/>
            <w:shd w:val="clear" w:color="auto" w:fill="C6EFCE"/>
            <w:vAlign w:val="center"/>
            <w:hideMark/>
          </w:tcPr>
          <w:p w14:paraId="7E980E2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w:t>
            </w:r>
          </w:p>
          <w:p w14:paraId="2A65124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1.1 – Errichtung neuer Abfallbewirtschaftungsanlagen und </w:t>
            </w:r>
            <w:r w:rsidRPr="00170422">
              <w:rPr>
                <w:noProof/>
                <w:lang w:val="de-DE"/>
              </w:rPr>
              <w:t>Modernisierung bestehender Anlagen </w:t>
            </w:r>
          </w:p>
        </w:tc>
        <w:tc>
          <w:tcPr>
            <w:tcW w:w="1260" w:type="dxa"/>
            <w:shd w:val="clear" w:color="auto" w:fill="C6EFCE"/>
            <w:vAlign w:val="center"/>
            <w:hideMark/>
          </w:tcPr>
          <w:p w14:paraId="027B8C6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58C63E5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Regionale Unterschiede bei den Quoten der getrennten Sammlung </w:t>
            </w:r>
          </w:p>
        </w:tc>
        <w:tc>
          <w:tcPr>
            <w:tcW w:w="1904" w:type="dxa"/>
            <w:shd w:val="clear" w:color="auto" w:fill="C6EFCE"/>
            <w:vAlign w:val="center"/>
            <w:hideMark/>
          </w:tcPr>
          <w:p w14:paraId="48531B5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374C301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Prozentpunkte </w:t>
            </w:r>
          </w:p>
        </w:tc>
        <w:tc>
          <w:tcPr>
            <w:tcW w:w="1249" w:type="dxa"/>
            <w:shd w:val="clear" w:color="auto" w:fill="C6EFCE"/>
            <w:vAlign w:val="center"/>
            <w:hideMark/>
          </w:tcPr>
          <w:p w14:paraId="00DCF21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28,4 </w:t>
            </w:r>
          </w:p>
        </w:tc>
        <w:tc>
          <w:tcPr>
            <w:tcW w:w="850" w:type="dxa"/>
            <w:shd w:val="clear" w:color="auto" w:fill="C6EFCE"/>
            <w:vAlign w:val="center"/>
            <w:hideMark/>
          </w:tcPr>
          <w:p w14:paraId="374118A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20 </w:t>
            </w:r>
          </w:p>
        </w:tc>
        <w:tc>
          <w:tcPr>
            <w:tcW w:w="567" w:type="dxa"/>
            <w:shd w:val="clear" w:color="auto" w:fill="C6EFCE"/>
            <w:vAlign w:val="center"/>
            <w:hideMark/>
          </w:tcPr>
          <w:p w14:paraId="575AA70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567" w:type="dxa"/>
            <w:shd w:val="clear" w:color="auto" w:fill="C6EFCE"/>
            <w:vAlign w:val="center"/>
            <w:hideMark/>
          </w:tcPr>
          <w:p w14:paraId="4BC6112E"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2024 </w:t>
            </w:r>
          </w:p>
        </w:tc>
        <w:tc>
          <w:tcPr>
            <w:tcW w:w="2056" w:type="dxa"/>
            <w:shd w:val="clear" w:color="auto" w:fill="C6EFCE"/>
            <w:vAlign w:val="center"/>
            <w:hideMark/>
          </w:tcPr>
          <w:p w14:paraId="088DEB8E"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Der Unterschied bei den getrennten Abfallsammlungen zwischen dem Durchschnitt der drei </w:t>
            </w:r>
            <w:r w:rsidRPr="00170422">
              <w:rPr>
                <w:noProof/>
                <w:lang w:val="de-DE"/>
              </w:rPr>
              <w:t>leistungsstärksten Regionen (Veneto, Trentino, Sardinien) und dem Durchschnitt der Regionen mit der schlechtesten Leistung (Basilicata, Kalabrien und Sicilia) gemäß dem ISPRA-Bericht 2020 wird auf 20 Prozentpunkte verringert. </w:t>
            </w:r>
          </w:p>
          <w:p w14:paraId="479251E5" w14:textId="738D7BEF"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Um das Ziel zufrieden stellen</w:t>
            </w:r>
            <w:r w:rsidRPr="00170422">
              <w:rPr>
                <w:noProof/>
                <w:lang w:val="de-DE"/>
              </w:rPr>
              <w:t>d zu erreichen, müssen auch der nationale Durchschnitt und der Durchschnitt der drei im ISPRA-Bericht 2020 genannten leistungsfähigsten Regionen (Veneto, Trentino, Sardinien) in Bezug auf die getrennte Abfallsammlung im Vergleich zu den im ISPRA-Bericht 20</w:t>
            </w:r>
            <w:r w:rsidRPr="00170422">
              <w:rPr>
                <w:noProof/>
                <w:lang w:val="de-DE"/>
              </w:rPr>
              <w:t>20 enthaltenen Daten steigen. </w:t>
            </w:r>
          </w:p>
        </w:tc>
      </w:tr>
      <w:tr w:rsidR="00A25317" w:rsidRPr="00170422" w14:paraId="5912E85C" w14:textId="77777777" w:rsidTr="00A25317">
        <w:trPr>
          <w:trHeight w:val="300"/>
        </w:trPr>
        <w:tc>
          <w:tcPr>
            <w:tcW w:w="869" w:type="dxa"/>
            <w:shd w:val="clear" w:color="auto" w:fill="C6EFCE"/>
            <w:vAlign w:val="center"/>
            <w:hideMark/>
          </w:tcPr>
          <w:p w14:paraId="124387F3"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M2C1-16quater </w:t>
            </w:r>
          </w:p>
        </w:tc>
        <w:tc>
          <w:tcPr>
            <w:tcW w:w="1983" w:type="dxa"/>
            <w:shd w:val="clear" w:color="auto" w:fill="C6EFCE"/>
            <w:vAlign w:val="center"/>
            <w:hideMark/>
          </w:tcPr>
          <w:p w14:paraId="43C3338B"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Investition 1.1 – Errichtung neuer Abfallbewirtschaftungsanlagen und Modernisierung bestehender Anlagen sowie „Leitprojekte“ der Kreislaufwirtschaft </w:t>
            </w:r>
          </w:p>
          <w:p w14:paraId="53C099AA" w14:textId="35C8259D" w:rsidR="0057163C" w:rsidRPr="00170422" w:rsidRDefault="00F37BF9">
            <w:pPr>
              <w:pStyle w:val="P68B1DB1-Normal50"/>
              <w:spacing w:after="0" w:line="240" w:lineRule="auto"/>
              <w:jc w:val="center"/>
              <w:textAlignment w:val="baseline"/>
              <w:rPr>
                <w:noProof/>
                <w:lang w:val="de-DE"/>
              </w:rPr>
            </w:pPr>
            <w:r w:rsidRPr="00170422">
              <w:rPr>
                <w:noProof/>
                <w:lang w:val="de-DE"/>
              </w:rPr>
              <w:t> </w:t>
            </w:r>
          </w:p>
        </w:tc>
        <w:tc>
          <w:tcPr>
            <w:tcW w:w="1260" w:type="dxa"/>
            <w:shd w:val="clear" w:color="auto" w:fill="C6EFCE"/>
            <w:vAlign w:val="center"/>
            <w:hideMark/>
          </w:tcPr>
          <w:p w14:paraId="1ED3EC92"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Ziel </w:t>
            </w:r>
          </w:p>
        </w:tc>
        <w:tc>
          <w:tcPr>
            <w:tcW w:w="1988" w:type="dxa"/>
            <w:shd w:val="clear" w:color="auto" w:fill="C6EFCE"/>
            <w:vAlign w:val="center"/>
            <w:hideMark/>
          </w:tcPr>
          <w:p w14:paraId="43276066"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 Abgeschlossene Projekte </w:t>
            </w:r>
          </w:p>
        </w:tc>
        <w:tc>
          <w:tcPr>
            <w:tcW w:w="1904" w:type="dxa"/>
            <w:shd w:val="clear" w:color="auto" w:fill="C6EFCE"/>
            <w:vAlign w:val="center"/>
            <w:hideMark/>
          </w:tcPr>
          <w:p w14:paraId="58AA0E35"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ENTFÄLLT. </w:t>
            </w:r>
          </w:p>
        </w:tc>
        <w:tc>
          <w:tcPr>
            <w:tcW w:w="954" w:type="dxa"/>
            <w:shd w:val="clear" w:color="auto" w:fill="C6EFCE"/>
            <w:vAlign w:val="center"/>
            <w:hideMark/>
          </w:tcPr>
          <w:p w14:paraId="0EEFE957"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 Anzahl </w:t>
            </w:r>
          </w:p>
        </w:tc>
        <w:tc>
          <w:tcPr>
            <w:tcW w:w="1249" w:type="dxa"/>
            <w:shd w:val="clear" w:color="auto" w:fill="C6EFCE"/>
            <w:vAlign w:val="center"/>
            <w:hideMark/>
          </w:tcPr>
          <w:p w14:paraId="24D7592B"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0 </w:t>
            </w:r>
          </w:p>
        </w:tc>
        <w:tc>
          <w:tcPr>
            <w:tcW w:w="850" w:type="dxa"/>
            <w:shd w:val="clear" w:color="auto" w:fill="C6EFCE"/>
            <w:vAlign w:val="center"/>
            <w:hideMark/>
          </w:tcPr>
          <w:p w14:paraId="748480B0"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584 </w:t>
            </w:r>
          </w:p>
        </w:tc>
        <w:tc>
          <w:tcPr>
            <w:tcW w:w="567" w:type="dxa"/>
            <w:shd w:val="clear" w:color="auto" w:fill="C6EFCE"/>
            <w:vAlign w:val="center"/>
            <w:hideMark/>
          </w:tcPr>
          <w:p w14:paraId="1A49D760" w14:textId="77777777" w:rsidR="0057163C" w:rsidRPr="00170422" w:rsidRDefault="00F37BF9">
            <w:pPr>
              <w:pStyle w:val="P68B1DB1-Normal50"/>
              <w:spacing w:after="0" w:line="240" w:lineRule="auto"/>
              <w:jc w:val="center"/>
              <w:textAlignment w:val="baseline"/>
              <w:rPr>
                <w:noProof/>
                <w:lang w:val="de-DE"/>
              </w:rPr>
            </w:pPr>
            <w:r w:rsidRPr="00170422">
              <w:rPr>
                <w:noProof/>
                <w:lang w:val="de-DE"/>
              </w:rPr>
              <w:t>Q2 </w:t>
            </w:r>
          </w:p>
        </w:tc>
        <w:tc>
          <w:tcPr>
            <w:tcW w:w="567" w:type="dxa"/>
            <w:shd w:val="clear" w:color="auto" w:fill="C6EFCE"/>
            <w:vAlign w:val="center"/>
            <w:hideMark/>
          </w:tcPr>
          <w:p w14:paraId="1DD84609" w14:textId="77777777" w:rsidR="0057163C" w:rsidRPr="00170422" w:rsidRDefault="00F37BF9">
            <w:pPr>
              <w:pStyle w:val="P68B1DB1-Normal50"/>
              <w:spacing w:after="0" w:line="240" w:lineRule="auto"/>
              <w:textAlignment w:val="baseline"/>
              <w:rPr>
                <w:noProof/>
                <w:lang w:val="de-DE"/>
              </w:rPr>
            </w:pPr>
            <w:r w:rsidRPr="00170422">
              <w:rPr>
                <w:noProof/>
                <w:lang w:val="de-DE"/>
              </w:rPr>
              <w:t>2026 </w:t>
            </w:r>
          </w:p>
        </w:tc>
        <w:tc>
          <w:tcPr>
            <w:tcW w:w="2056" w:type="dxa"/>
            <w:shd w:val="clear" w:color="auto" w:fill="C6EFCE"/>
            <w:vAlign w:val="center"/>
            <w:hideMark/>
          </w:tcPr>
          <w:p w14:paraId="0D0377AD" w14:textId="53BFEBBD" w:rsidR="0057163C" w:rsidRPr="00170422" w:rsidRDefault="00F37BF9">
            <w:pPr>
              <w:pStyle w:val="P68B1DB1-Normal50"/>
              <w:spacing w:after="0" w:line="240" w:lineRule="auto"/>
              <w:jc w:val="both"/>
              <w:textAlignment w:val="baseline"/>
              <w:rPr>
                <w:noProof/>
                <w:lang w:val="de-DE"/>
              </w:rPr>
            </w:pPr>
            <w:r w:rsidRPr="00170422">
              <w:rPr>
                <w:noProof/>
                <w:lang w:val="de-DE"/>
              </w:rPr>
              <w:t>Abschlussbescheinigungen oder Lieferbescheinigungen für mindestens 584 Projekte, davon mindestens 90 Projekte für Abfallentsorgungsanlagen.</w:t>
            </w:r>
          </w:p>
        </w:tc>
      </w:tr>
      <w:tr w:rsidR="00A25317" w:rsidRPr="00170422" w14:paraId="0381B4C0" w14:textId="77777777" w:rsidTr="00A25317">
        <w:trPr>
          <w:trHeight w:val="300"/>
        </w:trPr>
        <w:tc>
          <w:tcPr>
            <w:tcW w:w="869" w:type="dxa"/>
            <w:shd w:val="clear" w:color="auto" w:fill="C6EFCE"/>
            <w:vAlign w:val="center"/>
            <w:hideMark/>
          </w:tcPr>
          <w:p w14:paraId="4568FA5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M2C1-10 </w:t>
            </w:r>
          </w:p>
        </w:tc>
        <w:tc>
          <w:tcPr>
            <w:tcW w:w="1983" w:type="dxa"/>
            <w:shd w:val="clear" w:color="auto" w:fill="C6EFCE"/>
            <w:vAlign w:val="center"/>
            <w:hideMark/>
          </w:tcPr>
          <w:p w14:paraId="6758010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2.1: Logistikplan für die Sektoren Agrar- und Ernährungswirtschaft, Fischerei </w:t>
            </w:r>
            <w:r w:rsidRPr="00170422">
              <w:rPr>
                <w:noProof/>
                <w:lang w:val="de-DE"/>
              </w:rPr>
              <w:t>und Aquakultur, Forstwirtschaft, Blumenzucht und Pflanzenzucht </w:t>
            </w:r>
          </w:p>
        </w:tc>
        <w:tc>
          <w:tcPr>
            <w:tcW w:w="1260" w:type="dxa"/>
            <w:shd w:val="clear" w:color="auto" w:fill="C6EFCE"/>
            <w:vAlign w:val="center"/>
            <w:hideMark/>
          </w:tcPr>
          <w:p w14:paraId="362BDF8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4C2A24A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Materielle und immaterielle Investitionen in den Bereichen Agrar- und Ernährungswirtschaft, Fischerei und Aquakultur, Forstwirtschaft, Blumenzucht und Pflanzenzucht. </w:t>
            </w:r>
          </w:p>
        </w:tc>
        <w:tc>
          <w:tcPr>
            <w:tcW w:w="1904" w:type="dxa"/>
            <w:shd w:val="clear" w:color="auto" w:fill="C6EFCE"/>
            <w:vAlign w:val="center"/>
            <w:hideMark/>
          </w:tcPr>
          <w:p w14:paraId="07CD6E9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6F177E3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w:t>
            </w:r>
          </w:p>
        </w:tc>
        <w:tc>
          <w:tcPr>
            <w:tcW w:w="1249" w:type="dxa"/>
            <w:shd w:val="clear" w:color="auto" w:fill="C6EFCE"/>
            <w:vAlign w:val="center"/>
            <w:hideMark/>
          </w:tcPr>
          <w:p w14:paraId="735250D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850" w:type="dxa"/>
            <w:shd w:val="clear" w:color="auto" w:fill="C6EFCE"/>
            <w:vAlign w:val="center"/>
            <w:hideMark/>
          </w:tcPr>
          <w:p w14:paraId="37F3EC9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72 </w:t>
            </w:r>
          </w:p>
        </w:tc>
        <w:tc>
          <w:tcPr>
            <w:tcW w:w="567" w:type="dxa"/>
            <w:shd w:val="clear" w:color="auto" w:fill="C6EFCE"/>
            <w:vAlign w:val="center"/>
            <w:hideMark/>
          </w:tcPr>
          <w:p w14:paraId="23C86EB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5B4D3B99"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2026 </w:t>
            </w:r>
          </w:p>
        </w:tc>
        <w:tc>
          <w:tcPr>
            <w:tcW w:w="2056" w:type="dxa"/>
            <w:shd w:val="clear" w:color="auto" w:fill="C6EFCE"/>
            <w:vAlign w:val="center"/>
            <w:hideMark/>
          </w:tcPr>
          <w:p w14:paraId="3CF44ED9"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Abschlussbescheinigungen oder „Bescheinigungen über die regelmäßige Ausführung</w:t>
            </w:r>
            <w:r w:rsidRPr="00170422">
              <w:rPr>
                <w:i/>
                <w:noProof/>
                <w:lang w:val="de-DE"/>
              </w:rPr>
              <w:t xml:space="preserve">“ </w:t>
            </w:r>
            <w:r w:rsidRPr="00170422">
              <w:rPr>
                <w:noProof/>
                <w:lang w:val="de-DE"/>
              </w:rPr>
              <w:t>(„Attestazione di regolare esecuzione“) für mindestens 72 materielle und immaterielle Investitionen in den Sektoren Agrar- und Ernährungswirtschaft, Fischerei</w:t>
            </w:r>
            <w:r w:rsidRPr="00170422">
              <w:rPr>
                <w:noProof/>
                <w:lang w:val="de-DE"/>
              </w:rPr>
              <w:t xml:space="preserve"> und Aquakultur, Forstwirtschaft, Blumenzucht und Pflanzenzucht. </w:t>
            </w:r>
          </w:p>
        </w:tc>
      </w:tr>
      <w:tr w:rsidR="00A25317" w:rsidRPr="00170422" w14:paraId="7CBA3C6C" w14:textId="77777777" w:rsidTr="00A25317">
        <w:trPr>
          <w:trHeight w:val="300"/>
        </w:trPr>
        <w:tc>
          <w:tcPr>
            <w:tcW w:w="869" w:type="dxa"/>
            <w:shd w:val="clear" w:color="auto" w:fill="C6EFCE"/>
            <w:vAlign w:val="center"/>
            <w:hideMark/>
          </w:tcPr>
          <w:p w14:paraId="3501504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M2C1-18 </w:t>
            </w:r>
          </w:p>
        </w:tc>
        <w:tc>
          <w:tcPr>
            <w:tcW w:w="1983" w:type="dxa"/>
            <w:shd w:val="clear" w:color="auto" w:fill="C6EFCE"/>
            <w:vAlign w:val="center"/>
            <w:hideMark/>
          </w:tcPr>
          <w:p w14:paraId="0E7157D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3.1: Grüne Inseln </w:t>
            </w:r>
          </w:p>
        </w:tc>
        <w:tc>
          <w:tcPr>
            <w:tcW w:w="1260" w:type="dxa"/>
            <w:shd w:val="clear" w:color="auto" w:fill="C6EFCE"/>
            <w:vAlign w:val="center"/>
            <w:hideMark/>
          </w:tcPr>
          <w:p w14:paraId="2D436E6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0EEE5D9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Inkrafttreten des Direktorialdekrets </w:t>
            </w:r>
          </w:p>
        </w:tc>
        <w:tc>
          <w:tcPr>
            <w:tcW w:w="1904" w:type="dxa"/>
            <w:shd w:val="clear" w:color="auto" w:fill="C6EFCE"/>
            <w:vAlign w:val="center"/>
            <w:hideMark/>
          </w:tcPr>
          <w:p w14:paraId="69889E2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Bestimmung im Dekret über das Inkrafttreten des Gesetzes </w:t>
            </w:r>
          </w:p>
        </w:tc>
        <w:tc>
          <w:tcPr>
            <w:tcW w:w="954" w:type="dxa"/>
            <w:shd w:val="clear" w:color="auto" w:fill="C6EFCE"/>
            <w:vAlign w:val="center"/>
            <w:hideMark/>
          </w:tcPr>
          <w:p w14:paraId="3929130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249" w:type="dxa"/>
            <w:shd w:val="clear" w:color="auto" w:fill="C6EFCE"/>
            <w:vAlign w:val="center"/>
            <w:hideMark/>
          </w:tcPr>
          <w:p w14:paraId="77CB652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50F48E2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50FECAF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Q3 </w:t>
            </w:r>
          </w:p>
        </w:tc>
        <w:tc>
          <w:tcPr>
            <w:tcW w:w="567" w:type="dxa"/>
            <w:shd w:val="clear" w:color="auto" w:fill="C6EFCE"/>
            <w:vAlign w:val="center"/>
            <w:hideMark/>
          </w:tcPr>
          <w:p w14:paraId="59BDE456"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2022 </w:t>
            </w:r>
          </w:p>
        </w:tc>
        <w:tc>
          <w:tcPr>
            <w:tcW w:w="2056" w:type="dxa"/>
            <w:shd w:val="clear" w:color="auto" w:fill="C6EFCE"/>
            <w:vAlign w:val="center"/>
            <w:hideMark/>
          </w:tcPr>
          <w:p w14:paraId="64ED9952"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Mit dem Direktorialdekret wird die Rangfolge der Projekte in Bezug auf die Ergebnisse der öffentlichen Bekanntmachung genehmigt. Das Auswahlverfahren umfasst Folgendes: </w:t>
            </w:r>
          </w:p>
          <w:p w14:paraId="0A1FD614"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a) Förderkriterien, mit denen sichergestellt wird, dass die ausgewählten Projekt</w:t>
            </w:r>
            <w:r w:rsidRPr="00170422">
              <w:rPr>
                <w:noProof/>
                <w:lang w:val="de-DE"/>
              </w:rPr>
              <w:t>e den technischen Leitlinien „Vermeidung erheblicher Beeinträchtigungen“ (2021/C58/01) entsprechen, indem eine Ausschlussliste verwendet wird und die einschlägigen Umweltvorschriften der EU und der Mitgliedstaaten eingehalten werden. </w:t>
            </w:r>
          </w:p>
          <w:p w14:paraId="02647757" w14:textId="77777777" w:rsidR="0057163C" w:rsidRPr="00170422" w:rsidRDefault="00F37BF9">
            <w:pPr>
              <w:pStyle w:val="P68B1DB1-Normal53"/>
              <w:spacing w:after="0" w:line="240" w:lineRule="auto"/>
              <w:textAlignment w:val="baseline"/>
              <w:rPr>
                <w:rFonts w:ascii="Times New Roman" w:hAnsi="Times New Roman" w:cs="Times New Roman"/>
                <w:noProof/>
                <w:sz w:val="24"/>
                <w:szCs w:val="24"/>
                <w:lang w:val="de-DE"/>
              </w:rPr>
            </w:pPr>
            <w:r w:rsidRPr="00170422">
              <w:rPr>
                <w:noProof/>
                <w:lang w:val="de-DE"/>
              </w:rPr>
              <w:t>B) Verpflichtung, das</w:t>
            </w:r>
            <w:r w:rsidRPr="00170422">
              <w:rPr>
                <w:noProof/>
                <w:lang w:val="de-DE"/>
              </w:rPr>
              <w:t>s der Klimaschutzbeitrag der Investition nach der Methode in Anhang VI der Verordnung (EU) 2021/241 mindestens 37 % der Gesamtkosten der aus der Aufbau- und Resilienzfazilität unterstützten Investition ausmachen muss. </w:t>
            </w:r>
          </w:p>
          <w:p w14:paraId="6342EF50"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C) Verpflichtung, über die Durchführu</w:t>
            </w:r>
            <w:r w:rsidRPr="00170422">
              <w:rPr>
                <w:noProof/>
                <w:lang w:val="de-DE"/>
              </w:rPr>
              <w:t>ng der Maßnahme zur Hälfte der Laufzeit der Regelung und über das Ende der Regelung Bericht zu erstatten. </w:t>
            </w:r>
          </w:p>
          <w:p w14:paraId="19E3BE70"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Mögliche Interventionsbereiche sind: </w:t>
            </w:r>
          </w:p>
          <w:p w14:paraId="510D8828"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die integrierte und zertifizierte Bewirtschaftung des agroforstwirtschaftlichen Erbes („auch durch den Austausc</w:t>
            </w:r>
            <w:r w:rsidRPr="00170422">
              <w:rPr>
                <w:noProof/>
                <w:lang w:val="de-DE"/>
              </w:rPr>
              <w:t>h von Gutschriften aus der Abscheidung von Kohlendioxid, der Bewirtschaftung der biologischen Vielfalt und der Zertifizierung der Holzlieferkette“); </w:t>
            </w:r>
          </w:p>
          <w:p w14:paraId="0F2D4C96"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integrierte und zertifizierte Bewirtschaftung der Wasserressourcen; </w:t>
            </w:r>
          </w:p>
          <w:p w14:paraId="57DFD91A"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Erzeugung von Energie aus lokalen ern</w:t>
            </w:r>
            <w:r w:rsidRPr="00170422">
              <w:rPr>
                <w:noProof/>
                <w:lang w:val="de-DE"/>
              </w:rPr>
              <w:t>euerbaren Quellen wie Mikrowasserkraftwerken, Biomasse, Biogas, Windkraft, Kraft-Wärme-Kopplung und Biomethan; </w:t>
            </w:r>
          </w:p>
          <w:p w14:paraId="4198A6A4"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Entwicklung eines nachhaltigen Tourismus („zur Verbesserung lokaler Produkte“); </w:t>
            </w:r>
          </w:p>
          <w:p w14:paraId="183DC682"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Bau und nachhaltige Bewirtschaftung des Gebäudebestands und der</w:t>
            </w:r>
            <w:r w:rsidRPr="00170422">
              <w:rPr>
                <w:noProof/>
                <w:lang w:val="de-DE"/>
              </w:rPr>
              <w:t xml:space="preserve"> Infrastruktur eines modernen Berges; </w:t>
            </w:r>
          </w:p>
          <w:p w14:paraId="14F53668"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Energieeffizienz und intelligente Integration von Anlagen und Netzen; </w:t>
            </w:r>
          </w:p>
          <w:p w14:paraId="1E34EAB5"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die nachhaltige Entwicklung von Produktionstätigkeiten (Null-Abfallerzeugung); </w:t>
            </w:r>
          </w:p>
          <w:p w14:paraId="6F1CDAB2" w14:textId="77777777"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Integration von Mobilitätsdiensten; </w:t>
            </w:r>
          </w:p>
          <w:p w14:paraId="40FEE0AA" w14:textId="71FA0C8B" w:rsidR="0057163C" w:rsidRPr="00170422" w:rsidRDefault="00F37BF9">
            <w:pPr>
              <w:pStyle w:val="P68B1DB1-Normal50"/>
              <w:numPr>
                <w:ilvl w:val="0"/>
                <w:numId w:val="143"/>
              </w:numPr>
              <w:tabs>
                <w:tab w:val="clear" w:pos="720"/>
              </w:tabs>
              <w:spacing w:after="0" w:line="240" w:lineRule="auto"/>
              <w:ind w:left="163" w:firstLine="0"/>
              <w:textAlignment w:val="baseline"/>
              <w:rPr>
                <w:noProof/>
                <w:lang w:val="de-DE"/>
              </w:rPr>
            </w:pPr>
            <w:r w:rsidRPr="00170422">
              <w:rPr>
                <w:noProof/>
                <w:lang w:val="de-DE"/>
              </w:rPr>
              <w:t>die Entwicklung eines nachhaltigen Modells landwirtschaftlicher Betriebe („das auch energieunabhängig ist durch die Erzeugung und Nutzung von Energie aus erneuerbaren Quellen im Elektro-, Wärme- und Verkehrssektor“). </w:t>
            </w:r>
          </w:p>
          <w:p w14:paraId="0CFDB94B" w14:textId="15D86BA6"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Das Biomethan muss den Nachhaltigkeits</w:t>
            </w:r>
            <w:r w:rsidRPr="00170422">
              <w:rPr>
                <w:noProof/>
                <w:lang w:val="de-DE"/>
              </w:rPr>
              <w:t>kriterien und den Kriterien für die Einsparung von Treibhausgasemissionen gemäß den Artikeln 29-31 und den Vorschriften für Biokraftstoffe auf Lebens- und Futtermitteln gemäß Artikel 26 der Erneuerbare-Energien-Richtlinie (EU) 2018/2001 (RED II) und den da</w:t>
            </w:r>
            <w:r w:rsidRPr="00170422">
              <w:rPr>
                <w:noProof/>
                <w:lang w:val="de-DE"/>
              </w:rPr>
              <w:t>mit zusammenhängenden Durchführungsrechtsakten und delegierten Rechtsakten entsprechen, damit die Maßnahme dem Grundsatz „keine nennenswerten Wärme“ und den einschlägigen Anforderungen in Anhang VI Fußnote 8 der Verordnung (EU) 2021/241 entsprechen kann. </w:t>
            </w:r>
          </w:p>
        </w:tc>
      </w:tr>
      <w:tr w:rsidR="00A25317" w:rsidRPr="00170422" w14:paraId="58B7B3F9" w14:textId="77777777" w:rsidTr="00A25317">
        <w:trPr>
          <w:trHeight w:val="300"/>
        </w:trPr>
        <w:tc>
          <w:tcPr>
            <w:tcW w:w="869" w:type="dxa"/>
            <w:shd w:val="clear" w:color="auto" w:fill="C6EFCE"/>
            <w:vAlign w:val="center"/>
            <w:hideMark/>
          </w:tcPr>
          <w:p w14:paraId="0FACF4B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M2C1-19 </w:t>
            </w:r>
          </w:p>
        </w:tc>
        <w:tc>
          <w:tcPr>
            <w:tcW w:w="1983" w:type="dxa"/>
            <w:shd w:val="clear" w:color="auto" w:fill="C6EFCE"/>
            <w:vAlign w:val="center"/>
            <w:hideMark/>
          </w:tcPr>
          <w:p w14:paraId="7934151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3.1: Grüne Inseln </w:t>
            </w:r>
          </w:p>
        </w:tc>
        <w:tc>
          <w:tcPr>
            <w:tcW w:w="1260" w:type="dxa"/>
            <w:shd w:val="clear" w:color="auto" w:fill="C6EFCE"/>
            <w:vAlign w:val="center"/>
            <w:hideMark/>
          </w:tcPr>
          <w:p w14:paraId="5E194D8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0BBFDC6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Durchführung integrierter Projekte auf kleinen Inseln </w:t>
            </w:r>
          </w:p>
        </w:tc>
        <w:tc>
          <w:tcPr>
            <w:tcW w:w="1904" w:type="dxa"/>
            <w:shd w:val="clear" w:color="auto" w:fill="C6EFCE"/>
            <w:vAlign w:val="center"/>
            <w:hideMark/>
          </w:tcPr>
          <w:p w14:paraId="5A783E2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51F44D7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Zahl der kleinen Inseln </w:t>
            </w:r>
          </w:p>
        </w:tc>
        <w:tc>
          <w:tcPr>
            <w:tcW w:w="1249" w:type="dxa"/>
            <w:shd w:val="clear" w:color="auto" w:fill="C6EFCE"/>
            <w:vAlign w:val="center"/>
            <w:hideMark/>
          </w:tcPr>
          <w:p w14:paraId="244D4B3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850" w:type="dxa"/>
            <w:shd w:val="clear" w:color="auto" w:fill="C6EFCE"/>
            <w:vAlign w:val="center"/>
            <w:hideMark/>
          </w:tcPr>
          <w:p w14:paraId="444A52A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19 </w:t>
            </w:r>
          </w:p>
        </w:tc>
        <w:tc>
          <w:tcPr>
            <w:tcW w:w="567" w:type="dxa"/>
            <w:shd w:val="clear" w:color="auto" w:fill="C6EFCE"/>
            <w:vAlign w:val="center"/>
            <w:hideMark/>
          </w:tcPr>
          <w:p w14:paraId="725248F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59C69D5F"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2026 </w:t>
            </w:r>
          </w:p>
        </w:tc>
        <w:tc>
          <w:tcPr>
            <w:tcW w:w="2056" w:type="dxa"/>
            <w:shd w:val="clear" w:color="auto" w:fill="C6EFCE"/>
            <w:vAlign w:val="center"/>
            <w:hideMark/>
          </w:tcPr>
          <w:p w14:paraId="33903DC6" w14:textId="2AA68178"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Bescheinigungen über den Abschluss der Arbeiten an integrierten Projekten auf 19 kleinen Inseln, an </w:t>
            </w:r>
            <w:r w:rsidRPr="00170422">
              <w:rPr>
                <w:noProof/>
                <w:lang w:val="de-DE"/>
              </w:rPr>
              <w:t>denen mindestens drei verschiedene Interventionskategorien unter den nachstehend aufgeführten förderfähigen Interventionen beteiligt sind. </w:t>
            </w:r>
          </w:p>
          <w:p w14:paraId="3F9E9CDC"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Förderfähig sind folgende Interventionen: </w:t>
            </w:r>
          </w:p>
          <w:p w14:paraId="42F48C26"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Energieeffizienzinterventionen; </w:t>
            </w:r>
          </w:p>
          <w:p w14:paraId="3AB15AAF"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Schaffung und/oder Ausbau kollektiver Mo</w:t>
            </w:r>
            <w:r w:rsidRPr="00170422">
              <w:rPr>
                <w:noProof/>
                <w:lang w:val="de-DE"/>
              </w:rPr>
              <w:t>bilitätsdienste und Ladeinfrastrukturen; mit Strom betriebene Busse und Boote; Unterkünfte für öffentliche Verkehrsdienste; Carsharing, Fahrrad-Sharing, E-Scooter-Sharing; </w:t>
            </w:r>
          </w:p>
          <w:p w14:paraId="40F0ACFD"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Bau und/oder Anpassung von Radwegen, Bau von Schutzräumen; </w:t>
            </w:r>
          </w:p>
          <w:p w14:paraId="6C292F56"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 xml:space="preserve">getrennte Sammlung mit </w:t>
            </w:r>
            <w:r w:rsidRPr="00170422">
              <w:rPr>
                <w:noProof/>
                <w:lang w:val="de-DE"/>
              </w:rPr>
              <w:t>Verbesserung der Sammelsysteme; </w:t>
            </w:r>
          </w:p>
          <w:p w14:paraId="0309F6C0"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Bau/Modernisierung ökologischer Inseln mit zugehörigem Wiederverwendungszentrum; </w:t>
            </w:r>
          </w:p>
          <w:p w14:paraId="304BC4A5"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Entsalzungsanlagen; </w:t>
            </w:r>
          </w:p>
          <w:p w14:paraId="65C3BDD1"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Anlagen zur Stromerzeugung aus erneuerbaren Energien, zu denen unter anderem Photovoltaik-, Offshore-Windenergie oder Me</w:t>
            </w:r>
            <w:r w:rsidRPr="00170422">
              <w:rPr>
                <w:noProof/>
                <w:lang w:val="de-DE"/>
              </w:rPr>
              <w:t>eresenergie (z. B. Wellen- oder Gezeitenenergie) gehören können; </w:t>
            </w:r>
          </w:p>
          <w:p w14:paraId="2155DD89"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Energieeffizienzmaßnahmen zur Senkung der Stromnachfrage; </w:t>
            </w:r>
          </w:p>
          <w:p w14:paraId="762085BE"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Eingriffe in das Stromnetz und die damit verbundenen Infrastrukturen, zu denen unter anderem Speichervorrichtungen, die Integration</w:t>
            </w:r>
            <w:r w:rsidRPr="00170422">
              <w:rPr>
                <w:noProof/>
                <w:lang w:val="de-DE"/>
              </w:rPr>
              <w:t xml:space="preserve"> des Stromsystems in das Wassersystem der Insel, intelligente Netze, innovative Energiemanagement- oder -überwachungssysteme gehören können. </w:t>
            </w:r>
          </w:p>
        </w:tc>
      </w:tr>
      <w:tr w:rsidR="00A25317" w:rsidRPr="00170422" w14:paraId="4C79B7B7" w14:textId="77777777" w:rsidTr="00A25317">
        <w:trPr>
          <w:trHeight w:val="300"/>
        </w:trPr>
        <w:tc>
          <w:tcPr>
            <w:tcW w:w="869" w:type="dxa"/>
            <w:shd w:val="clear" w:color="auto" w:fill="C6EFCE"/>
            <w:vAlign w:val="center"/>
            <w:hideMark/>
          </w:tcPr>
          <w:p w14:paraId="1A802B4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M2C1-20 </w:t>
            </w:r>
          </w:p>
        </w:tc>
        <w:tc>
          <w:tcPr>
            <w:tcW w:w="1983" w:type="dxa"/>
            <w:shd w:val="clear" w:color="auto" w:fill="C6EFCE"/>
            <w:vAlign w:val="center"/>
            <w:hideMark/>
          </w:tcPr>
          <w:p w14:paraId="420A0CA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3.2: Grüne Gemeinschaften </w:t>
            </w:r>
          </w:p>
        </w:tc>
        <w:tc>
          <w:tcPr>
            <w:tcW w:w="1260" w:type="dxa"/>
            <w:shd w:val="clear" w:color="auto" w:fill="C6EFCE"/>
            <w:vAlign w:val="center"/>
            <w:hideMark/>
          </w:tcPr>
          <w:p w14:paraId="1693464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2AFC81DD" w14:textId="50C19AFB"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Vergabe von (allen) öffentlichen Aufträgen für die </w:t>
            </w:r>
            <w:r w:rsidRPr="00170422">
              <w:rPr>
                <w:noProof/>
                <w:lang w:val="de-DE"/>
              </w:rPr>
              <w:t>Auswahl grüner Gemeinschaften </w:t>
            </w:r>
          </w:p>
        </w:tc>
        <w:tc>
          <w:tcPr>
            <w:tcW w:w="1904" w:type="dxa"/>
            <w:shd w:val="clear" w:color="auto" w:fill="C6EFCE"/>
            <w:vAlign w:val="center"/>
            <w:hideMark/>
          </w:tcPr>
          <w:p w14:paraId="340ED43A" w14:textId="2E63667A"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Mitteilung über die Vergabe (aller) öffentlicher Aufträge für die Auswahl grüner Gemeinschaften </w:t>
            </w:r>
          </w:p>
        </w:tc>
        <w:tc>
          <w:tcPr>
            <w:tcW w:w="954" w:type="dxa"/>
            <w:shd w:val="clear" w:color="auto" w:fill="C6EFCE"/>
            <w:vAlign w:val="center"/>
            <w:hideMark/>
          </w:tcPr>
          <w:p w14:paraId="37F07FD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249" w:type="dxa"/>
            <w:shd w:val="clear" w:color="auto" w:fill="C6EFCE"/>
            <w:vAlign w:val="center"/>
            <w:hideMark/>
          </w:tcPr>
          <w:p w14:paraId="20658C5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72C4A2C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7CA6156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Q3 </w:t>
            </w:r>
          </w:p>
        </w:tc>
        <w:tc>
          <w:tcPr>
            <w:tcW w:w="567" w:type="dxa"/>
            <w:shd w:val="clear" w:color="auto" w:fill="C6EFCE"/>
            <w:vAlign w:val="center"/>
            <w:hideMark/>
          </w:tcPr>
          <w:p w14:paraId="0A8FA0D5"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2022 </w:t>
            </w:r>
          </w:p>
        </w:tc>
        <w:tc>
          <w:tcPr>
            <w:tcW w:w="2056" w:type="dxa"/>
            <w:shd w:val="clear" w:color="auto" w:fill="C6EFCE"/>
            <w:vAlign w:val="center"/>
            <w:hideMark/>
          </w:tcPr>
          <w:p w14:paraId="4319B676"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Mitteilung des Vergabeverfahrens für die Finanzhilfen, die Förderfähigkeitskriterien </w:t>
            </w:r>
            <w:r w:rsidRPr="00170422">
              <w:rPr>
                <w:noProof/>
                <w:lang w:val="de-DE"/>
              </w:rPr>
              <w:t>enthalten sollte, mit denen sichergestellt wird, dass die ausgewählten Projekte den technischen Leitlinien „Vermeidung erheblicher Beeinträchtigungen“ (2021/C58/01) entsprechen, indem eine Ausschlussliste verwendet wird und die einschlägigen Umweltvorschri</w:t>
            </w:r>
            <w:r w:rsidRPr="00170422">
              <w:rPr>
                <w:noProof/>
                <w:lang w:val="de-DE"/>
              </w:rPr>
              <w:t>ften der EU und der Mitgliedstaaten eingehalten werden. </w:t>
            </w:r>
          </w:p>
        </w:tc>
      </w:tr>
      <w:tr w:rsidR="00A25317" w:rsidRPr="00170422" w14:paraId="55CCFAC1" w14:textId="77777777" w:rsidTr="00A25317">
        <w:trPr>
          <w:trHeight w:val="300"/>
        </w:trPr>
        <w:tc>
          <w:tcPr>
            <w:tcW w:w="869" w:type="dxa"/>
            <w:shd w:val="clear" w:color="auto" w:fill="C6EFCE"/>
            <w:vAlign w:val="center"/>
            <w:hideMark/>
          </w:tcPr>
          <w:p w14:paraId="7489C21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M2C1-21 </w:t>
            </w:r>
          </w:p>
        </w:tc>
        <w:tc>
          <w:tcPr>
            <w:tcW w:w="1983" w:type="dxa"/>
            <w:shd w:val="clear" w:color="auto" w:fill="C6EFCE"/>
            <w:vAlign w:val="center"/>
            <w:hideMark/>
          </w:tcPr>
          <w:p w14:paraId="63E6F72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3.2: Grüne Gemeinschaften </w:t>
            </w:r>
          </w:p>
        </w:tc>
        <w:tc>
          <w:tcPr>
            <w:tcW w:w="1260" w:type="dxa"/>
            <w:shd w:val="clear" w:color="auto" w:fill="C6EFCE"/>
            <w:vAlign w:val="center"/>
            <w:hideMark/>
          </w:tcPr>
          <w:p w14:paraId="2EA5032A" w14:textId="365F2140"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w:t>
            </w:r>
          </w:p>
        </w:tc>
        <w:tc>
          <w:tcPr>
            <w:tcW w:w="1988" w:type="dxa"/>
            <w:shd w:val="clear" w:color="auto" w:fill="C6EFCE"/>
            <w:vAlign w:val="center"/>
            <w:hideMark/>
          </w:tcPr>
          <w:p w14:paraId="0B77343C" w14:textId="1B09747C"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Abgeschlossene Projekte in den Grünen Gemeinschaften</w:t>
            </w:r>
          </w:p>
        </w:tc>
        <w:tc>
          <w:tcPr>
            <w:tcW w:w="1904" w:type="dxa"/>
            <w:shd w:val="clear" w:color="auto" w:fill="C6EFCE"/>
            <w:vAlign w:val="center"/>
            <w:hideMark/>
          </w:tcPr>
          <w:p w14:paraId="771B8A54"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954" w:type="dxa"/>
            <w:shd w:val="clear" w:color="auto" w:fill="C6EFCE"/>
            <w:vAlign w:val="center"/>
            <w:hideMark/>
          </w:tcPr>
          <w:p w14:paraId="7696C2FB" w14:textId="5D044DEB"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Anzahl Vorhaben</w:t>
            </w:r>
          </w:p>
        </w:tc>
        <w:tc>
          <w:tcPr>
            <w:tcW w:w="1249" w:type="dxa"/>
            <w:shd w:val="clear" w:color="auto" w:fill="C6EFCE"/>
            <w:vAlign w:val="center"/>
            <w:hideMark/>
          </w:tcPr>
          <w:p w14:paraId="10C30AC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850" w:type="dxa"/>
            <w:shd w:val="clear" w:color="auto" w:fill="C6EFCE"/>
            <w:vAlign w:val="center"/>
            <w:hideMark/>
          </w:tcPr>
          <w:p w14:paraId="25821871" w14:textId="092E0AD0"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410</w:t>
            </w:r>
          </w:p>
        </w:tc>
        <w:tc>
          <w:tcPr>
            <w:tcW w:w="567" w:type="dxa"/>
            <w:shd w:val="clear" w:color="auto" w:fill="C6EFCE"/>
            <w:vAlign w:val="center"/>
            <w:hideMark/>
          </w:tcPr>
          <w:p w14:paraId="0AF062D9" w14:textId="46618A41"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w:t>
            </w:r>
          </w:p>
        </w:tc>
        <w:tc>
          <w:tcPr>
            <w:tcW w:w="567" w:type="dxa"/>
            <w:shd w:val="clear" w:color="auto" w:fill="C6EFCE"/>
            <w:vAlign w:val="center"/>
            <w:hideMark/>
          </w:tcPr>
          <w:p w14:paraId="430CD05C" w14:textId="2701BE66"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2026</w:t>
            </w:r>
          </w:p>
        </w:tc>
        <w:tc>
          <w:tcPr>
            <w:tcW w:w="2056" w:type="dxa"/>
            <w:shd w:val="clear" w:color="auto" w:fill="C6EFCE"/>
            <w:vAlign w:val="center"/>
            <w:hideMark/>
          </w:tcPr>
          <w:p w14:paraId="5DA235BB" w14:textId="08F22048"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Abschluss von mindestens 410 Projekten in den </w:t>
            </w:r>
            <w:r w:rsidRPr="00170422">
              <w:rPr>
                <w:noProof/>
                <w:lang w:val="de-DE"/>
              </w:rPr>
              <w:t>Grünen Gemeinschaften, bescheinigt durch folgende Bescheinigungen: </w:t>
            </w:r>
          </w:p>
          <w:p w14:paraId="32F43EBF"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Bescheinigung über den ordnungsgemäßen Abschluss der Arbeiten oder </w:t>
            </w:r>
          </w:p>
          <w:p w14:paraId="5F17E9DF" w14:textId="16612840"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Bescheinigung über die Validierung der Konformität/ordnungsgemäße Ausführung bei der Beschaffung von Waren und bei der B</w:t>
            </w:r>
            <w:r w:rsidRPr="00170422">
              <w:rPr>
                <w:noProof/>
                <w:lang w:val="de-DE"/>
              </w:rPr>
              <w:t>eschaffung oder Erbringung von Dienstleistungen.</w:t>
            </w:r>
          </w:p>
          <w:p w14:paraId="3373EA9A" w14:textId="6649EEC4"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Die Projekte betreffen folgende Bereiche: </w:t>
            </w:r>
          </w:p>
          <w:p w14:paraId="00FBE094" w14:textId="37E18509"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integrierte und zertifizierte Bewirtschaftung des agroforstwirtschaftlichen Erbes;</w:t>
            </w:r>
          </w:p>
          <w:p w14:paraId="59E33DF1"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integrierte und zertifizierte Bewirtschaftung der Wasserressourcen; </w:t>
            </w:r>
          </w:p>
          <w:p w14:paraId="7DCC3EE2"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Erzeugung vo</w:t>
            </w:r>
            <w:r w:rsidRPr="00170422">
              <w:rPr>
                <w:noProof/>
                <w:lang w:val="de-DE"/>
              </w:rPr>
              <w:t>n Energie aus lokalen erneuerbaren Quellen wie Mikrowasserkraftwerken, Biomasse, Biogas, Windkraft, Kraft-Wärme-Kopplung und Biomethan; </w:t>
            </w:r>
          </w:p>
          <w:p w14:paraId="1F9564D5" w14:textId="237E69D2"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 xml:space="preserve">Entwicklung eines nachhaltigen Tourismus; </w:t>
            </w:r>
          </w:p>
          <w:p w14:paraId="4149F541"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Bau und nachhaltige Bewirtschaftung des Gebäudebestands und der Infrastruktu</w:t>
            </w:r>
            <w:r w:rsidRPr="00170422">
              <w:rPr>
                <w:noProof/>
                <w:lang w:val="de-DE"/>
              </w:rPr>
              <w:t>r eines modernen Berges; </w:t>
            </w:r>
          </w:p>
          <w:p w14:paraId="4D528917"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Energieeffizienz und intelligente Integration von Anlagen und Netzen; </w:t>
            </w:r>
          </w:p>
          <w:p w14:paraId="72622652" w14:textId="77777777" w:rsidR="0057163C" w:rsidRPr="00170422" w:rsidRDefault="00F37BF9">
            <w:pPr>
              <w:pStyle w:val="P68B1DB1-Normal50"/>
              <w:numPr>
                <w:ilvl w:val="0"/>
                <w:numId w:val="152"/>
              </w:numPr>
              <w:tabs>
                <w:tab w:val="clear" w:pos="720"/>
              </w:tabs>
              <w:spacing w:after="0" w:line="240" w:lineRule="auto"/>
              <w:ind w:left="735" w:hanging="572"/>
              <w:textAlignment w:val="baseline"/>
              <w:rPr>
                <w:rFonts w:ascii="Times New Roman" w:hAnsi="Times New Roman"/>
                <w:noProof/>
                <w:sz w:val="24"/>
                <w:szCs w:val="24"/>
                <w:lang w:val="de-DE"/>
              </w:rPr>
            </w:pPr>
            <w:r w:rsidRPr="00170422">
              <w:rPr>
                <w:noProof/>
                <w:lang w:val="de-DE"/>
              </w:rPr>
              <w:t>die nachhaltige Entwicklung von Produktionstätigkeiten (Null-Abfallerzeugung); </w:t>
            </w:r>
          </w:p>
          <w:p w14:paraId="45075153" w14:textId="251B7D45" w:rsidR="0057163C" w:rsidRPr="00170422" w:rsidRDefault="00F37BF9">
            <w:pPr>
              <w:pStyle w:val="P68B1DB1-Normal50"/>
              <w:numPr>
                <w:ilvl w:val="0"/>
                <w:numId w:val="152"/>
              </w:numPr>
              <w:tabs>
                <w:tab w:val="clear" w:pos="720"/>
              </w:tabs>
              <w:spacing w:after="0" w:line="240" w:lineRule="auto"/>
              <w:ind w:left="735" w:hanging="572"/>
              <w:textAlignment w:val="baseline"/>
              <w:rPr>
                <w:noProof/>
                <w:lang w:val="de-DE"/>
              </w:rPr>
            </w:pPr>
            <w:r w:rsidRPr="00170422">
              <w:rPr>
                <w:noProof/>
                <w:lang w:val="de-DE"/>
              </w:rPr>
              <w:t>Integration von Mobilitätsdiensten;</w:t>
            </w:r>
          </w:p>
          <w:p w14:paraId="53649C4C" w14:textId="108F5983" w:rsidR="0057163C" w:rsidRPr="00170422" w:rsidRDefault="00F37BF9">
            <w:pPr>
              <w:pStyle w:val="P68B1DB1-Normal50"/>
              <w:numPr>
                <w:ilvl w:val="0"/>
                <w:numId w:val="152"/>
              </w:numPr>
              <w:tabs>
                <w:tab w:val="clear" w:pos="720"/>
              </w:tabs>
              <w:spacing w:after="0" w:line="240" w:lineRule="auto"/>
              <w:ind w:left="735" w:hanging="572"/>
              <w:textAlignment w:val="baseline"/>
              <w:rPr>
                <w:rFonts w:ascii="Times New Roman" w:hAnsi="Times New Roman"/>
                <w:noProof/>
                <w:sz w:val="24"/>
                <w:szCs w:val="24"/>
                <w:lang w:val="de-DE"/>
              </w:rPr>
            </w:pPr>
            <w:r w:rsidRPr="00170422">
              <w:rPr>
                <w:noProof/>
                <w:lang w:val="de-DE"/>
              </w:rPr>
              <w:t>Entwicklung eines nachhaltigen Betriebsmode</w:t>
            </w:r>
            <w:r w:rsidRPr="00170422">
              <w:rPr>
                <w:noProof/>
                <w:lang w:val="de-DE"/>
              </w:rPr>
              <w:t xml:space="preserve">lls. </w:t>
            </w:r>
          </w:p>
        </w:tc>
      </w:tr>
      <w:tr w:rsidR="00A25317" w:rsidRPr="00170422" w14:paraId="28641D38" w14:textId="77777777" w:rsidTr="00A25317">
        <w:trPr>
          <w:trHeight w:val="300"/>
        </w:trPr>
        <w:tc>
          <w:tcPr>
            <w:tcW w:w="869" w:type="dxa"/>
            <w:shd w:val="clear" w:color="auto" w:fill="C6EFCE"/>
            <w:vAlign w:val="center"/>
            <w:hideMark/>
          </w:tcPr>
          <w:p w14:paraId="33BCB49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M2C1-22 </w:t>
            </w:r>
          </w:p>
        </w:tc>
        <w:tc>
          <w:tcPr>
            <w:tcW w:w="1983" w:type="dxa"/>
            <w:shd w:val="clear" w:color="auto" w:fill="C6EFCE"/>
            <w:vAlign w:val="center"/>
            <w:hideMark/>
          </w:tcPr>
          <w:p w14:paraId="69684BE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3.4: Fondo Contratti di Filiera (FCF) zur Unterstützung von Lieferkettenverträgen in den Sektoren Agrar- und Ernährungswirtschaft, Fischerei und Aquakultur, Forstwirtschaft, Blumenzucht und Pflanzenzucht </w:t>
            </w:r>
          </w:p>
        </w:tc>
        <w:tc>
          <w:tcPr>
            <w:tcW w:w="1260" w:type="dxa"/>
            <w:shd w:val="clear" w:color="auto" w:fill="C6EFCE"/>
            <w:vAlign w:val="center"/>
            <w:hideMark/>
          </w:tcPr>
          <w:p w14:paraId="613501A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498E80D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Durchführungsvereinbarung </w:t>
            </w:r>
          </w:p>
        </w:tc>
        <w:tc>
          <w:tcPr>
            <w:tcW w:w="1904" w:type="dxa"/>
            <w:shd w:val="clear" w:color="auto" w:fill="C6EFCE"/>
            <w:vAlign w:val="center"/>
            <w:hideMark/>
          </w:tcPr>
          <w:p w14:paraId="7AF0E7D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Inkrafttreten des Durchführungsübereinkommens </w:t>
            </w:r>
          </w:p>
        </w:tc>
        <w:tc>
          <w:tcPr>
            <w:tcW w:w="954" w:type="dxa"/>
            <w:shd w:val="clear" w:color="auto" w:fill="C6EFCE"/>
            <w:vAlign w:val="center"/>
            <w:hideMark/>
          </w:tcPr>
          <w:p w14:paraId="06FBA829"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249" w:type="dxa"/>
            <w:shd w:val="clear" w:color="auto" w:fill="C6EFCE"/>
            <w:vAlign w:val="center"/>
            <w:hideMark/>
          </w:tcPr>
          <w:p w14:paraId="7F6EDA13"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5AB0F90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524F1BC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3FEA442A"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2024 </w:t>
            </w:r>
          </w:p>
        </w:tc>
        <w:tc>
          <w:tcPr>
            <w:tcW w:w="2056" w:type="dxa"/>
            <w:shd w:val="clear" w:color="auto" w:fill="C6EFCE"/>
            <w:vAlign w:val="center"/>
            <w:hideMark/>
          </w:tcPr>
          <w:p w14:paraId="1945DE0B"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Inkrafttreten des Durchführungsübereinkommens. </w:t>
            </w:r>
          </w:p>
        </w:tc>
      </w:tr>
      <w:tr w:rsidR="00A25317" w:rsidRPr="00170422" w14:paraId="75398209" w14:textId="77777777" w:rsidTr="00A25317">
        <w:trPr>
          <w:trHeight w:val="300"/>
        </w:trPr>
        <w:tc>
          <w:tcPr>
            <w:tcW w:w="869" w:type="dxa"/>
            <w:shd w:val="clear" w:color="auto" w:fill="C6EFCE"/>
            <w:vAlign w:val="center"/>
            <w:hideMark/>
          </w:tcPr>
          <w:p w14:paraId="23C1C34A"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M2C1-23 </w:t>
            </w:r>
          </w:p>
        </w:tc>
        <w:tc>
          <w:tcPr>
            <w:tcW w:w="1983" w:type="dxa"/>
            <w:shd w:val="clear" w:color="auto" w:fill="C6EFCE"/>
            <w:vAlign w:val="center"/>
            <w:hideMark/>
          </w:tcPr>
          <w:p w14:paraId="5B6DAE78"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3.4: Fondo Contratti di Filiera (FCF) zur Unterstützung von </w:t>
            </w:r>
            <w:r w:rsidRPr="00170422">
              <w:rPr>
                <w:noProof/>
                <w:lang w:val="de-DE"/>
              </w:rPr>
              <w:t>Lieferkettenverträgen in den Sektoren Agrar- und Ernährungswirtschaft, Fischerei und Aquakultur, Forstwirtschaft, Blumenzucht und Pflanzenzucht </w:t>
            </w:r>
          </w:p>
        </w:tc>
        <w:tc>
          <w:tcPr>
            <w:tcW w:w="1260" w:type="dxa"/>
            <w:shd w:val="clear" w:color="auto" w:fill="C6EFCE"/>
            <w:vAlign w:val="center"/>
            <w:hideMark/>
          </w:tcPr>
          <w:p w14:paraId="19CB217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20CF8CFA" w14:textId="6669C364"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An ISMEA übertragene Mittel und Änderung der Durchführungsvereinbarung </w:t>
            </w:r>
          </w:p>
        </w:tc>
        <w:tc>
          <w:tcPr>
            <w:tcW w:w="1904" w:type="dxa"/>
            <w:shd w:val="clear" w:color="auto" w:fill="C6EFCE"/>
            <w:vAlign w:val="center"/>
            <w:hideMark/>
          </w:tcPr>
          <w:p w14:paraId="556015E1" w14:textId="6C05CEB1"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Bescheinigung über die </w:t>
            </w:r>
            <w:r w:rsidRPr="00170422">
              <w:rPr>
                <w:noProof/>
                <w:lang w:val="de-DE"/>
              </w:rPr>
              <w:t>Übertragung und Änderung der Durchführungsvereinbarung </w:t>
            </w:r>
          </w:p>
        </w:tc>
        <w:tc>
          <w:tcPr>
            <w:tcW w:w="954" w:type="dxa"/>
            <w:shd w:val="clear" w:color="auto" w:fill="C6EFCE"/>
            <w:vAlign w:val="center"/>
            <w:hideMark/>
          </w:tcPr>
          <w:p w14:paraId="6234486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1249" w:type="dxa"/>
            <w:shd w:val="clear" w:color="auto" w:fill="C6EFCE"/>
            <w:vAlign w:val="center"/>
            <w:hideMark/>
          </w:tcPr>
          <w:p w14:paraId="0AC9A3CF"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749DE54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6871037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567" w:type="dxa"/>
            <w:shd w:val="clear" w:color="auto" w:fill="C6EFCE"/>
            <w:vAlign w:val="center"/>
            <w:hideMark/>
          </w:tcPr>
          <w:p w14:paraId="529FF5FA"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2025 </w:t>
            </w:r>
          </w:p>
        </w:tc>
        <w:tc>
          <w:tcPr>
            <w:tcW w:w="2056" w:type="dxa"/>
            <w:shd w:val="clear" w:color="auto" w:fill="C6EFCE"/>
            <w:vAlign w:val="center"/>
            <w:hideMark/>
          </w:tcPr>
          <w:p w14:paraId="39C50F89" w14:textId="2458E7B6" w:rsidR="0057163C" w:rsidRPr="00170422" w:rsidRDefault="00F37BF9">
            <w:pPr>
              <w:pStyle w:val="P68B1DB1-Normal54"/>
              <w:spacing w:after="0" w:line="240" w:lineRule="auto"/>
              <w:textAlignment w:val="baseline"/>
              <w:rPr>
                <w:rFonts w:ascii="Times New Roman" w:eastAsia="Times New Roman" w:hAnsi="Times New Roman" w:cs="Times New Roman"/>
                <w:noProof/>
                <w:sz w:val="24"/>
                <w:szCs w:val="24"/>
                <w:lang w:val="de-DE"/>
              </w:rPr>
            </w:pPr>
            <w:r w:rsidRPr="00170422">
              <w:rPr>
                <w:rFonts w:ascii="Arial Narrow" w:eastAsia="Times New Roman" w:hAnsi="Arial"/>
                <w:noProof/>
                <w:lang w:val="de-DE"/>
              </w:rPr>
              <w:t xml:space="preserve">Italien </w:t>
            </w:r>
            <w:r w:rsidRPr="00170422">
              <w:rPr>
                <w:rFonts w:ascii="Arial Narrow" w:eastAsia="Times New Roman" w:hAnsi="Arial"/>
                <w:noProof/>
                <w:lang w:val="de-DE"/>
              </w:rPr>
              <w:t>ü</w:t>
            </w:r>
            <w:r w:rsidRPr="00170422">
              <w:rPr>
                <w:rFonts w:ascii="Arial Narrow" w:eastAsia="Times New Roman" w:hAnsi="Arial"/>
                <w:noProof/>
                <w:lang w:val="de-DE"/>
              </w:rPr>
              <w:t>bertr</w:t>
            </w:r>
            <w:r w:rsidRPr="00170422">
              <w:rPr>
                <w:rFonts w:ascii="Arial Narrow" w:eastAsia="Times New Roman" w:hAnsi="Arial"/>
                <w:noProof/>
                <w:lang w:val="de-DE"/>
              </w:rPr>
              <w:t>ä</w:t>
            </w:r>
            <w:r w:rsidRPr="00170422">
              <w:rPr>
                <w:rFonts w:ascii="Arial Narrow" w:eastAsia="Times New Roman" w:hAnsi="Arial"/>
                <w:noProof/>
                <w:lang w:val="de-DE"/>
              </w:rPr>
              <w:t>gt dem ISMEA zus</w:t>
            </w:r>
            <w:r w:rsidRPr="00170422">
              <w:rPr>
                <w:rFonts w:ascii="Arial Narrow" w:eastAsia="Times New Roman" w:hAnsi="Arial"/>
                <w:noProof/>
                <w:lang w:val="de-DE"/>
              </w:rPr>
              <w:t>ä</w:t>
            </w:r>
            <w:r w:rsidRPr="00170422">
              <w:rPr>
                <w:rFonts w:ascii="Arial Narrow" w:eastAsia="Times New Roman" w:hAnsi="Arial"/>
                <w:noProof/>
                <w:lang w:val="de-DE"/>
              </w:rPr>
              <w:t>tzliche 2</w:t>
            </w:r>
            <w:r w:rsidRPr="00170422">
              <w:rPr>
                <w:rFonts w:ascii="Arial Narrow" w:eastAsia="Times New Roman" w:hAnsi="Arial"/>
                <w:noProof/>
                <w:lang w:val="de-DE"/>
              </w:rPr>
              <w:t> </w:t>
            </w:r>
            <w:r w:rsidRPr="00170422">
              <w:rPr>
                <w:rFonts w:ascii="Arial Narrow" w:eastAsia="Times New Roman" w:hAnsi="Arial"/>
                <w:noProof/>
                <w:lang w:val="de-DE"/>
              </w:rPr>
              <w:t>000</w:t>
            </w:r>
            <w:r w:rsidRPr="00170422">
              <w:rPr>
                <w:rFonts w:ascii="Arial Narrow" w:eastAsia="Times New Roman" w:hAnsi="Arial"/>
                <w:noProof/>
                <w:lang w:val="de-DE"/>
              </w:rPr>
              <w:t> </w:t>
            </w:r>
            <w:r w:rsidRPr="00170422">
              <w:rPr>
                <w:rFonts w:ascii="Arial Narrow" w:eastAsia="Times New Roman" w:hAnsi="Arial"/>
                <w:noProof/>
                <w:lang w:val="de-DE"/>
              </w:rPr>
              <w:t>000</w:t>
            </w:r>
            <w:r w:rsidRPr="00170422">
              <w:rPr>
                <w:rFonts w:ascii="Arial Narrow" w:eastAsia="Times New Roman" w:hAnsi="Arial"/>
                <w:noProof/>
                <w:lang w:val="de-DE"/>
              </w:rPr>
              <w:t> </w:t>
            </w:r>
            <w:r w:rsidRPr="00170422">
              <w:rPr>
                <w:rFonts w:ascii="Arial Narrow" w:eastAsia="Times New Roman" w:hAnsi="Arial"/>
                <w:noProof/>
                <w:lang w:val="de-DE"/>
              </w:rPr>
              <w:t>000,00</w:t>
            </w:r>
            <w:r w:rsidRPr="00170422">
              <w:rPr>
                <w:rFonts w:ascii="Arial Narrow" w:eastAsia="Times New Roman" w:hAnsi="Arial"/>
                <w:noProof/>
                <w:lang w:val="de-DE"/>
              </w:rPr>
              <w:t> </w:t>
            </w:r>
            <w:r w:rsidRPr="00170422">
              <w:rPr>
                <w:rFonts w:ascii="Arial Narrow" w:eastAsia="Times New Roman" w:hAnsi="Arial"/>
                <w:noProof/>
                <w:lang w:val="de-DE"/>
              </w:rPr>
              <w:t>EUR f</w:t>
            </w:r>
            <w:r w:rsidRPr="00170422">
              <w:rPr>
                <w:rFonts w:ascii="Arial Narrow" w:eastAsia="Times New Roman" w:hAnsi="Arial"/>
                <w:noProof/>
                <w:lang w:val="de-DE"/>
              </w:rPr>
              <w:t>ü</w:t>
            </w:r>
            <w:r w:rsidRPr="00170422">
              <w:rPr>
                <w:rFonts w:ascii="Arial Narrow" w:eastAsia="Times New Roman" w:hAnsi="Arial"/>
                <w:noProof/>
                <w:lang w:val="de-DE"/>
              </w:rPr>
              <w:t>r die Fazilit</w:t>
            </w:r>
            <w:r w:rsidRPr="00170422">
              <w:rPr>
                <w:rFonts w:ascii="Arial Narrow" w:eastAsia="Times New Roman" w:hAnsi="Arial"/>
                <w:noProof/>
                <w:lang w:val="de-DE"/>
              </w:rPr>
              <w:t>ä</w:t>
            </w:r>
            <w:r w:rsidRPr="00170422">
              <w:rPr>
                <w:rFonts w:ascii="Arial Narrow" w:eastAsia="Times New Roman" w:hAnsi="Arial"/>
                <w:noProof/>
                <w:lang w:val="de-DE"/>
              </w:rPr>
              <w:t xml:space="preserve">t. </w:t>
            </w:r>
            <w:r w:rsidRPr="00170422">
              <w:rPr>
                <w:rFonts w:ascii="Arial Narrow" w:eastAsia="Times New Roman" w:hAnsi="Arial Narrow" w:cs="Times New Roman"/>
                <w:noProof/>
                <w:lang w:val="de-DE"/>
              </w:rPr>
              <w:t xml:space="preserve"> </w:t>
            </w:r>
          </w:p>
          <w:p w14:paraId="57F1E05F"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Änderung des Gesamtbetrags der Finanzierung und der </w:t>
            </w:r>
            <w:r w:rsidRPr="00170422">
              <w:rPr>
                <w:noProof/>
                <w:lang w:val="de-DE"/>
              </w:rPr>
              <w:t>Verwaltungsgebühr der Durchführungsvereinbarung. </w:t>
            </w:r>
          </w:p>
        </w:tc>
      </w:tr>
      <w:tr w:rsidR="00A25317" w:rsidRPr="00170422" w14:paraId="0F5003D8" w14:textId="77777777" w:rsidTr="00A25317">
        <w:trPr>
          <w:trHeight w:val="300"/>
        </w:trPr>
        <w:tc>
          <w:tcPr>
            <w:tcW w:w="869" w:type="dxa"/>
            <w:shd w:val="clear" w:color="auto" w:fill="C6EFCE"/>
            <w:vAlign w:val="center"/>
            <w:hideMark/>
          </w:tcPr>
          <w:p w14:paraId="3A3E983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M2C1-24 </w:t>
            </w:r>
          </w:p>
        </w:tc>
        <w:tc>
          <w:tcPr>
            <w:tcW w:w="1983" w:type="dxa"/>
            <w:shd w:val="clear" w:color="auto" w:fill="C6EFCE"/>
            <w:vAlign w:val="center"/>
            <w:hideMark/>
          </w:tcPr>
          <w:p w14:paraId="0E6172A2"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Investition 3.4: Fondo Contratti di Filiera (FCF) zur Unterstützung von Lieferkettenverträgen in den Sektoren Agrar- und Ernährungswirtschaft, Fischerei und Aquakultur, Forstwirtschaft, </w:t>
            </w:r>
            <w:r w:rsidRPr="00170422">
              <w:rPr>
                <w:noProof/>
                <w:lang w:val="de-DE"/>
              </w:rPr>
              <w:t>Blumenzucht und Pflanzenzucht </w:t>
            </w:r>
          </w:p>
        </w:tc>
        <w:tc>
          <w:tcPr>
            <w:tcW w:w="1260" w:type="dxa"/>
            <w:shd w:val="clear" w:color="auto" w:fill="C6EFCE"/>
            <w:vAlign w:val="center"/>
            <w:hideMark/>
          </w:tcPr>
          <w:p w14:paraId="4B777AB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Ziel </w:t>
            </w:r>
          </w:p>
        </w:tc>
        <w:tc>
          <w:tcPr>
            <w:tcW w:w="1988" w:type="dxa"/>
            <w:shd w:val="clear" w:color="auto" w:fill="C6EFCE"/>
            <w:vAlign w:val="center"/>
            <w:hideMark/>
          </w:tcPr>
          <w:p w14:paraId="41AC358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Rechtliche Vereinbarungen mit Endbegünstigten </w:t>
            </w:r>
          </w:p>
        </w:tc>
        <w:tc>
          <w:tcPr>
            <w:tcW w:w="1904" w:type="dxa"/>
            <w:shd w:val="clear" w:color="auto" w:fill="C6EFCE"/>
            <w:vAlign w:val="center"/>
            <w:hideMark/>
          </w:tcPr>
          <w:p w14:paraId="068E0424" w14:textId="12007045"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ENTFÄLLT. </w:t>
            </w:r>
          </w:p>
        </w:tc>
        <w:tc>
          <w:tcPr>
            <w:tcW w:w="954" w:type="dxa"/>
            <w:shd w:val="clear" w:color="auto" w:fill="C6EFCE"/>
            <w:vAlign w:val="center"/>
            <w:hideMark/>
          </w:tcPr>
          <w:p w14:paraId="11417DDF" w14:textId="63016F4C"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xml:space="preserve">Prozentuale </w:t>
            </w:r>
          </w:p>
        </w:tc>
        <w:tc>
          <w:tcPr>
            <w:tcW w:w="1249" w:type="dxa"/>
            <w:shd w:val="clear" w:color="auto" w:fill="C6EFCE"/>
            <w:vAlign w:val="center"/>
            <w:hideMark/>
          </w:tcPr>
          <w:p w14:paraId="18868E9C"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0 </w:t>
            </w:r>
          </w:p>
        </w:tc>
        <w:tc>
          <w:tcPr>
            <w:tcW w:w="850" w:type="dxa"/>
            <w:shd w:val="clear" w:color="auto" w:fill="C6EFCE"/>
            <w:vAlign w:val="center"/>
            <w:hideMark/>
          </w:tcPr>
          <w:p w14:paraId="7D19ABCB"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100 </w:t>
            </w:r>
          </w:p>
        </w:tc>
        <w:tc>
          <w:tcPr>
            <w:tcW w:w="567" w:type="dxa"/>
            <w:shd w:val="clear" w:color="auto" w:fill="C6EFCE"/>
            <w:vAlign w:val="center"/>
            <w:hideMark/>
          </w:tcPr>
          <w:p w14:paraId="5CE082A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Q2 </w:t>
            </w:r>
          </w:p>
        </w:tc>
        <w:tc>
          <w:tcPr>
            <w:tcW w:w="567" w:type="dxa"/>
            <w:shd w:val="clear" w:color="auto" w:fill="C6EFCE"/>
            <w:vAlign w:val="center"/>
            <w:hideMark/>
          </w:tcPr>
          <w:p w14:paraId="2C004C4E"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2026 </w:t>
            </w:r>
          </w:p>
        </w:tc>
        <w:tc>
          <w:tcPr>
            <w:tcW w:w="2056" w:type="dxa"/>
            <w:shd w:val="clear" w:color="auto" w:fill="C6EFCE"/>
            <w:vAlign w:val="center"/>
            <w:hideMark/>
          </w:tcPr>
          <w:p w14:paraId="227C22CE" w14:textId="4917B16B"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 xml:space="preserve">ISMEA hat mit den Endbegünstigten rechtliche Finanzierungsvereinbarungen über einen Betrag geschlossen, der erforderlich ist, um </w:t>
            </w:r>
            <w:r w:rsidRPr="00170422">
              <w:rPr>
                <w:noProof/>
                <w:lang w:val="de-DE"/>
              </w:rPr>
              <w:t>100 % der ARF-Investitionen in die Fazilität zu verwenden (unter Berücksichtigung der Verwaltungsgebühren). ISMEA erstellt einen Bericht, in dem der Anteil dieser Finanzierung, der zu den Klimazielen beiträgt, nach der Methode in Anhang VI im Einzelnen ang</w:t>
            </w:r>
            <w:r w:rsidRPr="00170422">
              <w:rPr>
                <w:noProof/>
                <w:lang w:val="de-DE"/>
              </w:rPr>
              <w:t>egeben wird. </w:t>
            </w:r>
          </w:p>
        </w:tc>
      </w:tr>
      <w:tr w:rsidR="00A25317" w:rsidRPr="00170422" w14:paraId="21ADD27B" w14:textId="77777777" w:rsidTr="00A25317">
        <w:trPr>
          <w:trHeight w:val="300"/>
        </w:trPr>
        <w:tc>
          <w:tcPr>
            <w:tcW w:w="869" w:type="dxa"/>
            <w:shd w:val="clear" w:color="auto" w:fill="C6EFCE"/>
            <w:vAlign w:val="center"/>
            <w:hideMark/>
          </w:tcPr>
          <w:p w14:paraId="0BB02221"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M2C1-25 </w:t>
            </w:r>
          </w:p>
        </w:tc>
        <w:tc>
          <w:tcPr>
            <w:tcW w:w="1983" w:type="dxa"/>
            <w:shd w:val="clear" w:color="auto" w:fill="C6EFCE"/>
            <w:vAlign w:val="center"/>
            <w:hideMark/>
          </w:tcPr>
          <w:p w14:paraId="7F1A095A" w14:textId="2CFE248C"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Investition 3.4: Fondo Contratti di Filiera (FCF) zur Unterstützung von Lieferkettenverträgen in den Sektoren Agrar- und Ernährungswirtschaft, Fischerei und Aquakultur, Forstwirtschaft, Blumenzucht und Pflanzenzucht </w:t>
            </w:r>
          </w:p>
        </w:tc>
        <w:tc>
          <w:tcPr>
            <w:tcW w:w="1260" w:type="dxa"/>
            <w:shd w:val="clear" w:color="auto" w:fill="C6EFCE"/>
            <w:vAlign w:val="center"/>
            <w:hideMark/>
          </w:tcPr>
          <w:p w14:paraId="24E5B8D5"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Meilenstein </w:t>
            </w:r>
          </w:p>
        </w:tc>
        <w:tc>
          <w:tcPr>
            <w:tcW w:w="1988" w:type="dxa"/>
            <w:shd w:val="clear" w:color="auto" w:fill="C6EFCE"/>
            <w:vAlign w:val="center"/>
            <w:hideMark/>
          </w:tcPr>
          <w:p w14:paraId="1BF0960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Das Ministerium hat den Gesamtbetrag der Mittel übertragen </w:t>
            </w:r>
          </w:p>
        </w:tc>
        <w:tc>
          <w:tcPr>
            <w:tcW w:w="1904" w:type="dxa"/>
            <w:shd w:val="clear" w:color="auto" w:fill="C6EFCE"/>
            <w:vAlign w:val="center"/>
            <w:hideMark/>
          </w:tcPr>
          <w:p w14:paraId="77B84B6E"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Übertragungsbescheinigung </w:t>
            </w:r>
          </w:p>
        </w:tc>
        <w:tc>
          <w:tcPr>
            <w:tcW w:w="954" w:type="dxa"/>
            <w:shd w:val="clear" w:color="auto" w:fill="C6EFCE"/>
            <w:vAlign w:val="center"/>
            <w:hideMark/>
          </w:tcPr>
          <w:p w14:paraId="7432A056"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 ENTFÄLLT. </w:t>
            </w:r>
          </w:p>
        </w:tc>
        <w:tc>
          <w:tcPr>
            <w:tcW w:w="1249" w:type="dxa"/>
            <w:shd w:val="clear" w:color="auto" w:fill="C6EFCE"/>
            <w:vAlign w:val="center"/>
            <w:hideMark/>
          </w:tcPr>
          <w:p w14:paraId="553DFA4D"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850" w:type="dxa"/>
            <w:shd w:val="clear" w:color="auto" w:fill="C6EFCE"/>
            <w:vAlign w:val="center"/>
            <w:hideMark/>
          </w:tcPr>
          <w:p w14:paraId="45B84DF0"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ENTFÄLLT. </w:t>
            </w:r>
          </w:p>
        </w:tc>
        <w:tc>
          <w:tcPr>
            <w:tcW w:w="567" w:type="dxa"/>
            <w:shd w:val="clear" w:color="auto" w:fill="C6EFCE"/>
            <w:vAlign w:val="center"/>
            <w:hideMark/>
          </w:tcPr>
          <w:p w14:paraId="4A92D497" w14:textId="77777777" w:rsidR="0057163C" w:rsidRPr="00170422" w:rsidRDefault="00F37BF9">
            <w:pPr>
              <w:pStyle w:val="P68B1DB1-Normal50"/>
              <w:spacing w:after="0" w:line="240" w:lineRule="auto"/>
              <w:jc w:val="center"/>
              <w:textAlignment w:val="baseline"/>
              <w:rPr>
                <w:rFonts w:ascii="Times New Roman" w:hAnsi="Times New Roman"/>
                <w:noProof/>
                <w:sz w:val="24"/>
                <w:szCs w:val="24"/>
                <w:lang w:val="de-DE"/>
              </w:rPr>
            </w:pPr>
            <w:r w:rsidRPr="00170422">
              <w:rPr>
                <w:noProof/>
                <w:lang w:val="de-DE"/>
              </w:rPr>
              <w:t>4. QUARTAL </w:t>
            </w:r>
          </w:p>
        </w:tc>
        <w:tc>
          <w:tcPr>
            <w:tcW w:w="567" w:type="dxa"/>
            <w:shd w:val="clear" w:color="auto" w:fill="C6EFCE"/>
            <w:vAlign w:val="center"/>
            <w:hideMark/>
          </w:tcPr>
          <w:p w14:paraId="7DF28DFA" w14:textId="77777777" w:rsidR="0057163C" w:rsidRPr="00170422" w:rsidRDefault="00F37BF9">
            <w:pPr>
              <w:pStyle w:val="P68B1DB1-Normal50"/>
              <w:spacing w:after="0" w:line="240" w:lineRule="auto"/>
              <w:textAlignment w:val="baseline"/>
              <w:rPr>
                <w:rFonts w:ascii="Times New Roman" w:hAnsi="Times New Roman"/>
                <w:noProof/>
                <w:sz w:val="24"/>
                <w:szCs w:val="24"/>
                <w:lang w:val="de-DE"/>
              </w:rPr>
            </w:pPr>
            <w:r w:rsidRPr="00170422">
              <w:rPr>
                <w:noProof/>
                <w:lang w:val="de-DE"/>
              </w:rPr>
              <w:t>2024 </w:t>
            </w:r>
          </w:p>
        </w:tc>
        <w:tc>
          <w:tcPr>
            <w:tcW w:w="2056" w:type="dxa"/>
            <w:shd w:val="clear" w:color="auto" w:fill="C6EFCE"/>
            <w:vAlign w:val="center"/>
            <w:hideMark/>
          </w:tcPr>
          <w:p w14:paraId="5D3DA9F4" w14:textId="1D7B9845" w:rsidR="0057163C" w:rsidRPr="00170422" w:rsidRDefault="00F37BF9">
            <w:pPr>
              <w:pStyle w:val="P68B1DB1-Normal57"/>
              <w:spacing w:after="0" w:line="240" w:lineRule="auto"/>
              <w:textAlignment w:val="baseline"/>
              <w:rPr>
                <w:rFonts w:ascii="Times New Roman" w:hAnsi="Times New Roman" w:cs="Times New Roman"/>
                <w:noProof/>
                <w:sz w:val="24"/>
                <w:szCs w:val="24"/>
                <w:lang w:val="de-DE"/>
              </w:rPr>
            </w:pPr>
            <w:r w:rsidRPr="00170422">
              <w:rPr>
                <w:noProof/>
                <w:lang w:val="de-DE"/>
              </w:rPr>
              <w:t xml:space="preserve">Italien </w:t>
            </w:r>
            <w:r w:rsidRPr="00170422">
              <w:rPr>
                <w:noProof/>
                <w:lang w:val="de-DE"/>
              </w:rPr>
              <w:t>ü</w:t>
            </w:r>
            <w:r w:rsidRPr="00170422">
              <w:rPr>
                <w:noProof/>
                <w:lang w:val="de-DE"/>
              </w:rPr>
              <w:t>bertr</w:t>
            </w:r>
            <w:r w:rsidRPr="00170422">
              <w:rPr>
                <w:noProof/>
                <w:lang w:val="de-DE"/>
              </w:rPr>
              <w:t>ä</w:t>
            </w:r>
            <w:r w:rsidRPr="00170422">
              <w:rPr>
                <w:noProof/>
                <w:lang w:val="de-DE"/>
              </w:rPr>
              <w:t>gt dem ISMEA 1</w:t>
            </w:r>
            <w:r w:rsidRPr="00170422">
              <w:rPr>
                <w:noProof/>
                <w:lang w:val="de-DE"/>
              </w:rPr>
              <w:t> </w:t>
            </w:r>
            <w:r w:rsidRPr="00170422">
              <w:rPr>
                <w:noProof/>
                <w:lang w:val="de-DE"/>
              </w:rPr>
              <w:t>960</w:t>
            </w:r>
            <w:r w:rsidRPr="00170422">
              <w:rPr>
                <w:noProof/>
                <w:lang w:val="de-DE"/>
              </w:rPr>
              <w:t> </w:t>
            </w:r>
            <w:r w:rsidRPr="00170422">
              <w:rPr>
                <w:noProof/>
                <w:lang w:val="de-DE"/>
              </w:rPr>
              <w:t>000</w:t>
            </w:r>
            <w:r w:rsidRPr="00170422">
              <w:rPr>
                <w:noProof/>
                <w:lang w:val="de-DE"/>
              </w:rPr>
              <w:t> </w:t>
            </w:r>
            <w:r w:rsidRPr="00170422">
              <w:rPr>
                <w:noProof/>
                <w:lang w:val="de-DE"/>
              </w:rPr>
              <w:t>000,00</w:t>
            </w:r>
            <w:r w:rsidRPr="00170422">
              <w:rPr>
                <w:noProof/>
                <w:lang w:val="de-DE"/>
              </w:rPr>
              <w:t> </w:t>
            </w:r>
            <w:r w:rsidRPr="00170422">
              <w:rPr>
                <w:noProof/>
                <w:lang w:val="de-DE"/>
              </w:rPr>
              <w:t>EUR f</w:t>
            </w:r>
            <w:r w:rsidRPr="00170422">
              <w:rPr>
                <w:noProof/>
                <w:lang w:val="de-DE"/>
              </w:rPr>
              <w:t>ü</w:t>
            </w:r>
            <w:r w:rsidRPr="00170422">
              <w:rPr>
                <w:noProof/>
                <w:lang w:val="de-DE"/>
              </w:rPr>
              <w:t>r die Fazilit</w:t>
            </w:r>
            <w:r w:rsidRPr="00170422">
              <w:rPr>
                <w:noProof/>
                <w:lang w:val="de-DE"/>
              </w:rPr>
              <w:t>ä</w:t>
            </w:r>
            <w:r w:rsidRPr="00170422">
              <w:rPr>
                <w:noProof/>
                <w:lang w:val="de-DE"/>
              </w:rPr>
              <w:t>t.</w:t>
            </w:r>
          </w:p>
        </w:tc>
      </w:tr>
      <w:tr w:rsidR="00A25317" w:rsidRPr="00170422" w14:paraId="6FDFC0B2" w14:textId="77777777" w:rsidTr="00A25317">
        <w:trPr>
          <w:trHeight w:val="300"/>
        </w:trPr>
        <w:tc>
          <w:tcPr>
            <w:tcW w:w="869" w:type="dxa"/>
            <w:shd w:val="clear" w:color="auto" w:fill="C6EFCE"/>
            <w:vAlign w:val="center"/>
          </w:tcPr>
          <w:p w14:paraId="16E15655" w14:textId="2C16F587" w:rsidR="0057163C" w:rsidRPr="00170422" w:rsidRDefault="00F37BF9">
            <w:pPr>
              <w:pStyle w:val="P68B1DB1-Normal50"/>
              <w:spacing w:after="0" w:line="240" w:lineRule="auto"/>
              <w:jc w:val="center"/>
              <w:textAlignment w:val="baseline"/>
              <w:rPr>
                <w:noProof/>
                <w:lang w:val="de-DE"/>
              </w:rPr>
            </w:pPr>
            <w:r w:rsidRPr="00170422">
              <w:rPr>
                <w:noProof/>
                <w:lang w:val="de-DE"/>
              </w:rPr>
              <w:t>M2C1-26 </w:t>
            </w:r>
          </w:p>
        </w:tc>
        <w:tc>
          <w:tcPr>
            <w:tcW w:w="1983" w:type="dxa"/>
            <w:shd w:val="clear" w:color="auto" w:fill="C6EFCE"/>
            <w:vAlign w:val="center"/>
          </w:tcPr>
          <w:p w14:paraId="5DB9BBD7" w14:textId="07D6186F" w:rsidR="0057163C" w:rsidRPr="00170422" w:rsidRDefault="00F37BF9">
            <w:pPr>
              <w:pStyle w:val="P68B1DB1-Normal50"/>
              <w:spacing w:after="0" w:line="240" w:lineRule="auto"/>
              <w:jc w:val="center"/>
              <w:textAlignment w:val="baseline"/>
              <w:rPr>
                <w:noProof/>
                <w:lang w:val="de-DE"/>
              </w:rPr>
            </w:pPr>
            <w:r w:rsidRPr="00170422">
              <w:rPr>
                <w:noProof/>
                <w:lang w:val="de-DE"/>
              </w:rPr>
              <w:t xml:space="preserve">Investition 4: </w:t>
            </w:r>
            <w:r w:rsidRPr="00170422">
              <w:rPr>
                <w:noProof/>
                <w:lang w:val="de-DE"/>
              </w:rPr>
              <w:t>Agrar-Solarpark-Fazilität </w:t>
            </w:r>
          </w:p>
        </w:tc>
        <w:tc>
          <w:tcPr>
            <w:tcW w:w="1260" w:type="dxa"/>
            <w:shd w:val="clear" w:color="auto" w:fill="C6EFCE"/>
          </w:tcPr>
          <w:p w14:paraId="39681374" w14:textId="3B740C60" w:rsidR="0057163C" w:rsidRPr="00170422" w:rsidRDefault="00F37BF9">
            <w:pPr>
              <w:pStyle w:val="P68B1DB1-Normal50"/>
              <w:spacing w:after="0" w:line="240" w:lineRule="auto"/>
              <w:jc w:val="center"/>
              <w:textAlignment w:val="baseline"/>
              <w:rPr>
                <w:noProof/>
                <w:lang w:val="de-DE"/>
              </w:rPr>
            </w:pPr>
            <w:r w:rsidRPr="00170422">
              <w:rPr>
                <w:noProof/>
                <w:lang w:val="de-DE"/>
              </w:rPr>
              <w:t>Meilenstein </w:t>
            </w:r>
          </w:p>
        </w:tc>
        <w:tc>
          <w:tcPr>
            <w:tcW w:w="1988" w:type="dxa"/>
            <w:shd w:val="clear" w:color="auto" w:fill="C6EFCE"/>
          </w:tcPr>
          <w:p w14:paraId="68BF15A4" w14:textId="6E0BA599" w:rsidR="0057163C" w:rsidRPr="00170422" w:rsidRDefault="00F37BF9">
            <w:pPr>
              <w:pStyle w:val="P68B1DB1-Normal50"/>
              <w:spacing w:after="0" w:line="240" w:lineRule="auto"/>
              <w:jc w:val="center"/>
              <w:textAlignment w:val="baseline"/>
              <w:rPr>
                <w:noProof/>
                <w:lang w:val="de-DE"/>
              </w:rPr>
            </w:pPr>
            <w:r w:rsidRPr="00170422">
              <w:rPr>
                <w:noProof/>
                <w:lang w:val="de-DE"/>
              </w:rPr>
              <w:t>Durchführungsvereinbarung </w:t>
            </w:r>
          </w:p>
        </w:tc>
        <w:tc>
          <w:tcPr>
            <w:tcW w:w="1904" w:type="dxa"/>
            <w:shd w:val="clear" w:color="auto" w:fill="C6EFCE"/>
          </w:tcPr>
          <w:p w14:paraId="05AE1FE1" w14:textId="4FDCDFE8" w:rsidR="0057163C" w:rsidRPr="00170422" w:rsidRDefault="00F37BF9">
            <w:pPr>
              <w:pStyle w:val="P68B1DB1-Normal50"/>
              <w:spacing w:after="0" w:line="240" w:lineRule="auto"/>
              <w:jc w:val="center"/>
              <w:textAlignment w:val="baseline"/>
              <w:rPr>
                <w:noProof/>
                <w:lang w:val="de-DE"/>
              </w:rPr>
            </w:pPr>
            <w:r w:rsidRPr="00170422">
              <w:rPr>
                <w:noProof/>
                <w:lang w:val="de-DE"/>
              </w:rPr>
              <w:t>Inkrafttreten des Durchführungsübereinkommens </w:t>
            </w:r>
          </w:p>
        </w:tc>
        <w:tc>
          <w:tcPr>
            <w:tcW w:w="954" w:type="dxa"/>
            <w:shd w:val="clear" w:color="auto" w:fill="C6EFCE"/>
          </w:tcPr>
          <w:p w14:paraId="0409B26A" w14:textId="6786B4E6" w:rsidR="0057163C" w:rsidRPr="00170422" w:rsidRDefault="00F37BF9">
            <w:pPr>
              <w:pStyle w:val="P68B1DB1-Normal50"/>
              <w:spacing w:after="0" w:line="240" w:lineRule="auto"/>
              <w:jc w:val="center"/>
              <w:textAlignment w:val="baseline"/>
              <w:rPr>
                <w:noProof/>
                <w:lang w:val="de-DE"/>
              </w:rPr>
            </w:pPr>
            <w:r w:rsidRPr="00170422">
              <w:rPr>
                <w:noProof/>
                <w:lang w:val="de-DE"/>
              </w:rPr>
              <w:t> ENTFÄLLT. </w:t>
            </w:r>
          </w:p>
        </w:tc>
        <w:tc>
          <w:tcPr>
            <w:tcW w:w="1249" w:type="dxa"/>
            <w:shd w:val="clear" w:color="auto" w:fill="C6EFCE"/>
          </w:tcPr>
          <w:p w14:paraId="030E3E6A" w14:textId="272E224E" w:rsidR="0057163C" w:rsidRPr="00170422" w:rsidRDefault="00F37BF9">
            <w:pPr>
              <w:pStyle w:val="P68B1DB1-Normal50"/>
              <w:spacing w:after="0" w:line="240" w:lineRule="auto"/>
              <w:jc w:val="center"/>
              <w:textAlignment w:val="baseline"/>
              <w:rPr>
                <w:noProof/>
                <w:lang w:val="de-DE"/>
              </w:rPr>
            </w:pPr>
            <w:r w:rsidRPr="00170422">
              <w:rPr>
                <w:noProof/>
                <w:lang w:val="de-DE"/>
              </w:rPr>
              <w:t xml:space="preserve">ENTFÄLLT. </w:t>
            </w:r>
          </w:p>
        </w:tc>
        <w:tc>
          <w:tcPr>
            <w:tcW w:w="850" w:type="dxa"/>
            <w:shd w:val="clear" w:color="auto" w:fill="C6EFCE"/>
          </w:tcPr>
          <w:p w14:paraId="547D1AEF" w14:textId="45E3BA01" w:rsidR="0057163C" w:rsidRPr="00170422" w:rsidRDefault="00F37BF9">
            <w:pPr>
              <w:pStyle w:val="P68B1DB1-Normal50"/>
              <w:spacing w:after="0" w:line="240" w:lineRule="auto"/>
              <w:jc w:val="center"/>
              <w:textAlignment w:val="baseline"/>
              <w:rPr>
                <w:noProof/>
                <w:lang w:val="de-DE"/>
              </w:rPr>
            </w:pPr>
            <w:r w:rsidRPr="00170422">
              <w:rPr>
                <w:noProof/>
                <w:lang w:val="de-DE"/>
              </w:rPr>
              <w:t xml:space="preserve">ENTFÄLLT. </w:t>
            </w:r>
          </w:p>
        </w:tc>
        <w:tc>
          <w:tcPr>
            <w:tcW w:w="567" w:type="dxa"/>
            <w:shd w:val="clear" w:color="auto" w:fill="C6EFCE"/>
          </w:tcPr>
          <w:p w14:paraId="5E7F2608" w14:textId="30EE4EBD" w:rsidR="0057163C" w:rsidRPr="00170422" w:rsidRDefault="00F37BF9">
            <w:pPr>
              <w:pStyle w:val="P68B1DB1-Normal50"/>
              <w:spacing w:after="0" w:line="240" w:lineRule="auto"/>
              <w:jc w:val="center"/>
              <w:textAlignment w:val="baseline"/>
              <w:rPr>
                <w:noProof/>
                <w:lang w:val="de-DE"/>
              </w:rPr>
            </w:pPr>
            <w:r w:rsidRPr="00170422">
              <w:rPr>
                <w:noProof/>
                <w:lang w:val="de-DE"/>
              </w:rPr>
              <w:t>4. QUARTAL </w:t>
            </w:r>
          </w:p>
        </w:tc>
        <w:tc>
          <w:tcPr>
            <w:tcW w:w="567" w:type="dxa"/>
            <w:shd w:val="clear" w:color="auto" w:fill="C6EFCE"/>
          </w:tcPr>
          <w:p w14:paraId="4EE2DE44" w14:textId="414F6B6C" w:rsidR="0057163C" w:rsidRPr="00170422" w:rsidRDefault="00F37BF9">
            <w:pPr>
              <w:pStyle w:val="P68B1DB1-Normal50"/>
              <w:spacing w:after="0" w:line="240" w:lineRule="auto"/>
              <w:textAlignment w:val="baseline"/>
              <w:rPr>
                <w:noProof/>
                <w:lang w:val="de-DE"/>
              </w:rPr>
            </w:pPr>
            <w:r w:rsidRPr="00170422">
              <w:rPr>
                <w:noProof/>
                <w:lang w:val="de-DE"/>
              </w:rPr>
              <w:t>2025 </w:t>
            </w:r>
          </w:p>
        </w:tc>
        <w:tc>
          <w:tcPr>
            <w:tcW w:w="2056" w:type="dxa"/>
            <w:shd w:val="clear" w:color="auto" w:fill="C6EFCE"/>
          </w:tcPr>
          <w:p w14:paraId="7075BCFA" w14:textId="4C639BCB" w:rsidR="0057163C" w:rsidRPr="00170422" w:rsidRDefault="00F37BF9">
            <w:pPr>
              <w:pStyle w:val="P68B1DB1-Normal50"/>
              <w:spacing w:after="0" w:line="240" w:lineRule="auto"/>
              <w:textAlignment w:val="baseline"/>
              <w:rPr>
                <w:noProof/>
                <w:lang w:val="de-DE"/>
              </w:rPr>
            </w:pPr>
            <w:r w:rsidRPr="00170422">
              <w:rPr>
                <w:noProof/>
                <w:lang w:val="de-DE"/>
              </w:rPr>
              <w:t>Inkrafttreten des Durchführungsübereinkommens.</w:t>
            </w:r>
          </w:p>
        </w:tc>
      </w:tr>
      <w:tr w:rsidR="00A25317" w:rsidRPr="00170422" w14:paraId="3FD2F3DC" w14:textId="77777777" w:rsidTr="00A25317">
        <w:trPr>
          <w:trHeight w:val="300"/>
        </w:trPr>
        <w:tc>
          <w:tcPr>
            <w:tcW w:w="869" w:type="dxa"/>
            <w:shd w:val="clear" w:color="auto" w:fill="C6EFCE"/>
            <w:vAlign w:val="center"/>
          </w:tcPr>
          <w:p w14:paraId="578F7C2F" w14:textId="01631D0E" w:rsidR="0057163C" w:rsidRPr="00170422" w:rsidRDefault="00F37BF9">
            <w:pPr>
              <w:pStyle w:val="P68B1DB1-Normal50"/>
              <w:spacing w:after="0" w:line="240" w:lineRule="auto"/>
              <w:jc w:val="center"/>
              <w:textAlignment w:val="baseline"/>
              <w:rPr>
                <w:noProof/>
                <w:lang w:val="de-DE"/>
              </w:rPr>
            </w:pPr>
            <w:r w:rsidRPr="00170422">
              <w:rPr>
                <w:noProof/>
                <w:lang w:val="de-DE"/>
              </w:rPr>
              <w:t>M2C1-27 </w:t>
            </w:r>
          </w:p>
        </w:tc>
        <w:tc>
          <w:tcPr>
            <w:tcW w:w="1983" w:type="dxa"/>
            <w:shd w:val="clear" w:color="auto" w:fill="C6EFCE"/>
            <w:vAlign w:val="center"/>
          </w:tcPr>
          <w:p w14:paraId="369C0C1D" w14:textId="525E49A6" w:rsidR="0057163C" w:rsidRPr="00170422" w:rsidRDefault="00F37BF9">
            <w:pPr>
              <w:pStyle w:val="P68B1DB1-Normal50"/>
              <w:spacing w:after="0" w:line="240" w:lineRule="auto"/>
              <w:jc w:val="center"/>
              <w:textAlignment w:val="baseline"/>
              <w:rPr>
                <w:noProof/>
                <w:lang w:val="de-DE"/>
              </w:rPr>
            </w:pPr>
            <w:r w:rsidRPr="00170422">
              <w:rPr>
                <w:noProof/>
                <w:lang w:val="de-DE"/>
              </w:rPr>
              <w:t xml:space="preserve">Investition 4: </w:t>
            </w:r>
            <w:r w:rsidRPr="00170422">
              <w:rPr>
                <w:noProof/>
                <w:lang w:val="de-DE"/>
              </w:rPr>
              <w:t>Agrar-Solarpark-Fazilität </w:t>
            </w:r>
          </w:p>
        </w:tc>
        <w:tc>
          <w:tcPr>
            <w:tcW w:w="1260" w:type="dxa"/>
            <w:shd w:val="clear" w:color="auto" w:fill="C6EFCE"/>
          </w:tcPr>
          <w:p w14:paraId="1B8983BD" w14:textId="063C3B8D" w:rsidR="0057163C" w:rsidRPr="00170422" w:rsidRDefault="00F37BF9">
            <w:pPr>
              <w:pStyle w:val="P68B1DB1-Normal50"/>
              <w:spacing w:after="0" w:line="240" w:lineRule="auto"/>
              <w:jc w:val="center"/>
              <w:textAlignment w:val="baseline"/>
              <w:rPr>
                <w:noProof/>
                <w:lang w:val="de-DE"/>
              </w:rPr>
            </w:pPr>
            <w:r w:rsidRPr="00170422">
              <w:rPr>
                <w:noProof/>
                <w:lang w:val="de-DE"/>
              </w:rPr>
              <w:t>Meilenstein </w:t>
            </w:r>
          </w:p>
        </w:tc>
        <w:tc>
          <w:tcPr>
            <w:tcW w:w="1988" w:type="dxa"/>
            <w:shd w:val="clear" w:color="auto" w:fill="C6EFCE"/>
          </w:tcPr>
          <w:p w14:paraId="058F9CEA" w14:textId="4FC551C9" w:rsidR="0057163C" w:rsidRPr="00170422" w:rsidRDefault="00F37BF9">
            <w:pPr>
              <w:pStyle w:val="P68B1DB1-Normal50"/>
              <w:spacing w:after="0" w:line="240" w:lineRule="auto"/>
              <w:jc w:val="center"/>
              <w:textAlignment w:val="baseline"/>
              <w:rPr>
                <w:noProof/>
                <w:lang w:val="de-DE"/>
              </w:rPr>
            </w:pPr>
            <w:r w:rsidRPr="00170422">
              <w:rPr>
                <w:noProof/>
                <w:lang w:val="de-DE"/>
              </w:rPr>
              <w:t>Mit den Endbegünstigten unterzeichnete rechtliche Vereinbarungen und Abschluss der Investitionen </w:t>
            </w:r>
          </w:p>
        </w:tc>
        <w:tc>
          <w:tcPr>
            <w:tcW w:w="1904" w:type="dxa"/>
            <w:shd w:val="clear" w:color="auto" w:fill="C6EFCE"/>
          </w:tcPr>
          <w:p w14:paraId="718379C6" w14:textId="5FDF6362" w:rsidR="0057163C" w:rsidRPr="00170422" w:rsidRDefault="00F37BF9">
            <w:pPr>
              <w:pStyle w:val="P68B1DB1-Normal50"/>
              <w:spacing w:after="0" w:line="240" w:lineRule="auto"/>
              <w:jc w:val="center"/>
              <w:textAlignment w:val="baseline"/>
              <w:rPr>
                <w:noProof/>
                <w:lang w:val="de-DE"/>
              </w:rPr>
            </w:pPr>
            <w:r w:rsidRPr="00170422">
              <w:rPr>
                <w:noProof/>
                <w:lang w:val="de-DE"/>
              </w:rPr>
              <w:t>Unterzeichnete rechtliche Vereinbarungen und Übertragungsbescheinigung </w:t>
            </w:r>
          </w:p>
        </w:tc>
        <w:tc>
          <w:tcPr>
            <w:tcW w:w="954" w:type="dxa"/>
            <w:shd w:val="clear" w:color="auto" w:fill="C6EFCE"/>
          </w:tcPr>
          <w:p w14:paraId="5BE386AE" w14:textId="17F49EDD" w:rsidR="0057163C" w:rsidRPr="00170422" w:rsidRDefault="00F37BF9">
            <w:pPr>
              <w:pStyle w:val="P68B1DB1-Normal50"/>
              <w:spacing w:after="0" w:line="240" w:lineRule="auto"/>
              <w:jc w:val="center"/>
              <w:textAlignment w:val="baseline"/>
              <w:rPr>
                <w:noProof/>
                <w:lang w:val="de-DE"/>
              </w:rPr>
            </w:pPr>
            <w:r w:rsidRPr="00170422">
              <w:rPr>
                <w:noProof/>
                <w:lang w:val="de-DE"/>
              </w:rPr>
              <w:t>ENTFÄLLT. </w:t>
            </w:r>
          </w:p>
        </w:tc>
        <w:tc>
          <w:tcPr>
            <w:tcW w:w="1249" w:type="dxa"/>
            <w:shd w:val="clear" w:color="auto" w:fill="C6EFCE"/>
          </w:tcPr>
          <w:p w14:paraId="42B2B4D3" w14:textId="1E7F4C38" w:rsidR="0057163C" w:rsidRPr="00170422" w:rsidRDefault="00F37BF9">
            <w:pPr>
              <w:pStyle w:val="P68B1DB1-Normal50"/>
              <w:spacing w:after="0" w:line="240" w:lineRule="auto"/>
              <w:jc w:val="center"/>
              <w:textAlignment w:val="baseline"/>
              <w:rPr>
                <w:noProof/>
                <w:lang w:val="de-DE"/>
              </w:rPr>
            </w:pPr>
            <w:r w:rsidRPr="00170422">
              <w:rPr>
                <w:noProof/>
                <w:lang w:val="de-DE"/>
              </w:rPr>
              <w:t>ENTFÄLLT. </w:t>
            </w:r>
          </w:p>
        </w:tc>
        <w:tc>
          <w:tcPr>
            <w:tcW w:w="850" w:type="dxa"/>
            <w:shd w:val="clear" w:color="auto" w:fill="C6EFCE"/>
          </w:tcPr>
          <w:p w14:paraId="5CCFE6E8" w14:textId="149BC235" w:rsidR="0057163C" w:rsidRPr="00170422" w:rsidRDefault="00F37BF9">
            <w:pPr>
              <w:pStyle w:val="P68B1DB1-Normal50"/>
              <w:spacing w:after="0" w:line="240" w:lineRule="auto"/>
              <w:jc w:val="center"/>
              <w:textAlignment w:val="baseline"/>
              <w:rPr>
                <w:noProof/>
                <w:lang w:val="de-DE"/>
              </w:rPr>
            </w:pPr>
            <w:r w:rsidRPr="00170422">
              <w:rPr>
                <w:noProof/>
                <w:lang w:val="de-DE"/>
              </w:rPr>
              <w:t>ENTFÄLLT. </w:t>
            </w:r>
          </w:p>
        </w:tc>
        <w:tc>
          <w:tcPr>
            <w:tcW w:w="567" w:type="dxa"/>
            <w:shd w:val="clear" w:color="auto" w:fill="C6EFCE"/>
          </w:tcPr>
          <w:p w14:paraId="2EDA2D78" w14:textId="36763822" w:rsidR="0057163C" w:rsidRPr="00170422" w:rsidRDefault="00F37BF9">
            <w:pPr>
              <w:pStyle w:val="P68B1DB1-Normal50"/>
              <w:spacing w:after="0" w:line="240" w:lineRule="auto"/>
              <w:jc w:val="center"/>
              <w:textAlignment w:val="baseline"/>
              <w:rPr>
                <w:noProof/>
                <w:lang w:val="de-DE"/>
              </w:rPr>
            </w:pPr>
            <w:r w:rsidRPr="00170422">
              <w:rPr>
                <w:noProof/>
                <w:lang w:val="de-DE"/>
              </w:rPr>
              <w:t>Q2 </w:t>
            </w:r>
          </w:p>
        </w:tc>
        <w:tc>
          <w:tcPr>
            <w:tcW w:w="567" w:type="dxa"/>
            <w:shd w:val="clear" w:color="auto" w:fill="C6EFCE"/>
          </w:tcPr>
          <w:p w14:paraId="030F309C" w14:textId="705431C3" w:rsidR="0057163C" w:rsidRPr="00170422" w:rsidRDefault="00F37BF9">
            <w:pPr>
              <w:pStyle w:val="P68B1DB1-Normal50"/>
              <w:spacing w:after="0" w:line="240" w:lineRule="auto"/>
              <w:textAlignment w:val="baseline"/>
              <w:rPr>
                <w:noProof/>
                <w:lang w:val="de-DE"/>
              </w:rPr>
            </w:pPr>
            <w:r w:rsidRPr="00170422">
              <w:rPr>
                <w:noProof/>
                <w:lang w:val="de-DE"/>
              </w:rPr>
              <w:t>2026 </w:t>
            </w:r>
          </w:p>
        </w:tc>
        <w:tc>
          <w:tcPr>
            <w:tcW w:w="2056" w:type="dxa"/>
            <w:shd w:val="clear" w:color="auto" w:fill="C6EFCE"/>
          </w:tcPr>
          <w:p w14:paraId="7F967BCA" w14:textId="77777777" w:rsidR="0057163C" w:rsidRPr="00170422" w:rsidRDefault="00F37BF9">
            <w:pPr>
              <w:pStyle w:val="P68B1DB1-Normal50"/>
              <w:spacing w:after="0" w:line="240" w:lineRule="auto"/>
              <w:jc w:val="both"/>
              <w:textAlignment w:val="baseline"/>
              <w:rPr>
                <w:noProof/>
                <w:lang w:val="de-DE"/>
              </w:rPr>
            </w:pPr>
            <w:r w:rsidRPr="00170422">
              <w:rPr>
                <w:noProof/>
                <w:lang w:val="de-DE"/>
              </w:rPr>
              <w:t>GSE</w:t>
            </w:r>
            <w:r w:rsidRPr="00170422">
              <w:rPr>
                <w:noProof/>
                <w:lang w:val="de-DE"/>
              </w:rPr>
              <w:t xml:space="preserve"> muss mit den Endbegünstigten rechtliche Finanzhilfevereinbarungen über einen Betrag geschlossen haben, der erforderlich ist, um 100 % der ARF-Investitionen für das Programm zu verwenden (unter Berücksichtigung der Verwaltungsgebühren). </w:t>
            </w:r>
          </w:p>
          <w:p w14:paraId="27F573C6" w14:textId="4B1802D2" w:rsidR="0057163C" w:rsidRPr="00170422" w:rsidRDefault="00F37BF9">
            <w:pPr>
              <w:pStyle w:val="P68B1DB1-Normal50"/>
              <w:spacing w:after="0" w:line="240" w:lineRule="auto"/>
              <w:jc w:val="both"/>
              <w:textAlignment w:val="baseline"/>
              <w:rPr>
                <w:noProof/>
                <w:lang w:val="de-DE"/>
              </w:rPr>
            </w:pPr>
            <w:r w:rsidRPr="00170422">
              <w:rPr>
                <w:noProof/>
                <w:lang w:val="de-DE"/>
              </w:rPr>
              <w:t>Mindestens 6330000</w:t>
            </w:r>
            <w:r w:rsidRPr="00170422">
              <w:rPr>
                <w:noProof/>
                <w:lang w:val="de-DE"/>
              </w:rPr>
              <w:t>00 dieser Finanzmittel tragen nach der Methode in Anhang VI der ARF-Verordnung zu den Klimazielen bei.</w:t>
            </w:r>
          </w:p>
          <w:p w14:paraId="78C8863E" w14:textId="13498A45" w:rsidR="0057163C" w:rsidRPr="00170422" w:rsidRDefault="00F37BF9">
            <w:pPr>
              <w:pStyle w:val="P68B1DB1-Normal50"/>
              <w:spacing w:after="0" w:line="240" w:lineRule="auto"/>
              <w:jc w:val="both"/>
              <w:textAlignment w:val="baseline"/>
              <w:rPr>
                <w:noProof/>
                <w:lang w:val="de-DE"/>
              </w:rPr>
            </w:pPr>
            <w:r w:rsidRPr="00170422">
              <w:rPr>
                <w:noProof/>
                <w:lang w:val="de-DE"/>
              </w:rPr>
              <w:t>Italien überträgt 789 000 000 EUR für die Fazilität an die GSE. </w:t>
            </w:r>
          </w:p>
        </w:tc>
      </w:tr>
    </w:tbl>
    <w:p w14:paraId="24706E2F" w14:textId="77777777" w:rsidR="0057163C" w:rsidRPr="00170422" w:rsidRDefault="00F37BF9">
      <w:pPr>
        <w:pStyle w:val="P68B1DB1-Normal58"/>
        <w:spacing w:after="0" w:line="240" w:lineRule="auto"/>
        <w:textAlignment w:val="baseline"/>
        <w:rPr>
          <w:rFonts w:ascii="Segoe UI" w:hAnsi="Segoe UI"/>
          <w:noProof/>
          <w:sz w:val="18"/>
          <w:szCs w:val="18"/>
          <w:lang w:val="de-DE"/>
        </w:rPr>
      </w:pPr>
      <w:r w:rsidRPr="00170422">
        <w:rPr>
          <w:noProof/>
          <w:lang w:val="de-DE"/>
        </w:rPr>
        <w:t> </w:t>
      </w:r>
    </w:p>
    <w:p w14:paraId="34A3002B" w14:textId="77777777" w:rsidR="0057163C" w:rsidRPr="00170422" w:rsidRDefault="0057163C">
      <w:pPr>
        <w:tabs>
          <w:tab w:val="left" w:pos="2220"/>
        </w:tabs>
        <w:rPr>
          <w:noProof/>
          <w:lang w:val="de-DE"/>
        </w:rPr>
        <w:sectPr w:rsidR="0057163C" w:rsidRPr="00170422" w:rsidSect="004E142E">
          <w:headerReference w:type="default" r:id="rId82"/>
          <w:footerReference w:type="default" r:id="rId83"/>
          <w:pgSz w:w="16838" w:h="11906" w:orient="landscape"/>
          <w:pgMar w:top="1440" w:right="1440" w:bottom="1440" w:left="1440" w:header="708" w:footer="708" w:gutter="0"/>
          <w:cols w:space="708"/>
          <w:docGrid w:linePitch="360"/>
        </w:sectPr>
      </w:pPr>
    </w:p>
    <w:p w14:paraId="087EC4DA" w14:textId="77777777" w:rsidR="0057163C" w:rsidRPr="00170422" w:rsidRDefault="00F37BF9">
      <w:pPr>
        <w:pStyle w:val="P68B1DB1-Heading23"/>
        <w:ind w:left="1080"/>
        <w:rPr>
          <w:noProof/>
          <w:lang w:val="de-DE"/>
        </w:rPr>
      </w:pPr>
      <w:r w:rsidRPr="00170422">
        <w:rPr>
          <w:noProof/>
          <w:lang w:val="de-DE"/>
        </w:rPr>
        <w:t xml:space="preserve">E. MISSION 2 KOMPONENTE 2: </w:t>
      </w:r>
      <w:r w:rsidRPr="00170422">
        <w:rPr>
          <w:noProof/>
          <w:lang w:val="de-DE"/>
        </w:rPr>
        <w:t>Energiewende und nachhaltige Mobilität</w:t>
      </w:r>
    </w:p>
    <w:p w14:paraId="02529273" w14:textId="77777777" w:rsidR="0057163C" w:rsidRPr="00170422" w:rsidRDefault="00F37BF9">
      <w:pPr>
        <w:pStyle w:val="P68B1DB1-Normal7"/>
        <w:spacing w:before="120" w:after="120"/>
        <w:jc w:val="both"/>
        <w:rPr>
          <w:noProof/>
          <w:lang w:val="de-DE"/>
        </w:rPr>
      </w:pPr>
      <w:r w:rsidRPr="00170422">
        <w:rPr>
          <w:noProof/>
          <w:lang w:val="de-DE"/>
        </w:rPr>
        <w:t xml:space="preserve">Diese Komponente des italienischen Aufbau- und Resilienzplans umfasst Investitionen und Reformen im Bereich der Energiewende. Sie umfasst Reformen zur Erleichterung der Genehmigung von Projekten im Bereich der </w:t>
      </w:r>
      <w:r w:rsidRPr="00170422">
        <w:rPr>
          <w:noProof/>
          <w:lang w:val="de-DE"/>
        </w:rPr>
        <w:t>erneuerbaren Energiequellen. Die Komponente umfasst Investitionen in die Lieferkette für erneuerbare Energien, Wasserstoff, Biomethananlagen und intelligente Netze. Diese Reformen und Investitionen werden durch Reformen zur Stärkung des Wettbewerbs auf dem</w:t>
      </w:r>
      <w:r w:rsidRPr="00170422">
        <w:rPr>
          <w:noProof/>
          <w:lang w:val="de-DE"/>
        </w:rPr>
        <w:t xml:space="preserve"> Strommarkt im Rahmen der Reformkomponente „Unternehmensumfeld“ ergänzt.</w:t>
      </w:r>
    </w:p>
    <w:p w14:paraId="34C9028C" w14:textId="77777777" w:rsidR="0057163C" w:rsidRPr="00170422" w:rsidRDefault="00F37BF9">
      <w:pPr>
        <w:pStyle w:val="P68B1DB1-Normal7"/>
        <w:spacing w:before="120" w:after="120"/>
        <w:jc w:val="both"/>
        <w:rPr>
          <w:noProof/>
          <w:lang w:val="de-DE"/>
        </w:rPr>
      </w:pPr>
      <w:r w:rsidRPr="00170422">
        <w:rPr>
          <w:noProof/>
          <w:lang w:val="de-DE"/>
        </w:rPr>
        <w:t>Diese Komponente umfasst auch Investitionen und Reformen im Bereich der nachhaltigen Mobilität. Sie umfasst Reformen zur Erleichterung der Genehmigung von Projekten für nachhaltige Mo</w:t>
      </w:r>
      <w:r w:rsidRPr="00170422">
        <w:rPr>
          <w:noProof/>
          <w:lang w:val="de-DE"/>
        </w:rPr>
        <w:t>bilität. Die Komponente umfasst Investitionen in den Bau von Radwegen und Infrastrukturen für den schnellen Transit von U-Bahn/Straßen/Busen sowie in die Beschaffung emissionsfreier Busse, Fahrzeuge, Brandbekämpfungs- und Flughafenfahrzeuge. Diese Reformen</w:t>
      </w:r>
      <w:r w:rsidRPr="00170422">
        <w:rPr>
          <w:noProof/>
          <w:lang w:val="de-DE"/>
        </w:rPr>
        <w:t xml:space="preserve"> und Investitionen werden durch Reformen zur Abschaffung regulierter Preise für elektrisches Laden und zur Stärkung des Wettbewerbs bei Ladepunktenkonzessionen, Regionalbahnen und ÖPNV im Rahmen der Reformkomponente „Unternehmensumfeld“ ergänzt. </w:t>
      </w:r>
    </w:p>
    <w:p w14:paraId="1E737441" w14:textId="77777777" w:rsidR="0057163C" w:rsidRPr="00170422" w:rsidRDefault="00F37BF9">
      <w:pPr>
        <w:pStyle w:val="P68B1DB1-Normal7"/>
        <w:spacing w:before="120" w:after="120"/>
        <w:jc w:val="both"/>
        <w:rPr>
          <w:noProof/>
          <w:lang w:val="de-DE"/>
        </w:rPr>
      </w:pPr>
      <w:r w:rsidRPr="00170422">
        <w:rPr>
          <w:noProof/>
          <w:lang w:val="de-DE"/>
        </w:rPr>
        <w:t>Die Inves</w:t>
      </w:r>
      <w:r w:rsidRPr="00170422">
        <w:rPr>
          <w:noProof/>
          <w:lang w:val="de-DE"/>
        </w:rPr>
        <w:t>titionen und Reformen im Rahmen dieser Komponente tragen zur Umsetzung der länderspezifischen Empfehlungen der Jahre 2020 und 2019 an Italien bei, wonach „die Investitionen auf den ökologischen und digitalen Wandel, insbesondere in saubere und effiziente E</w:t>
      </w:r>
      <w:r w:rsidRPr="00170422">
        <w:rPr>
          <w:noProof/>
          <w:lang w:val="de-DE"/>
        </w:rPr>
        <w:t>nergieerzeugung und -nutzung [...] nachhaltiger öffentlicher Verkehrsmittel“ (länderspezifische Empfehlung 3, 2020) ausgerichtet werden müssen und „die investitionsbezogene Wirtschaftspolitik auf [...] und die Qualität der Infrastruktur ausgerichtet werden</w:t>
      </w:r>
      <w:r w:rsidRPr="00170422">
        <w:rPr>
          <w:noProof/>
          <w:lang w:val="de-DE"/>
        </w:rPr>
        <w:t xml:space="preserve"> muss, wobei auch regionale Unterschiede zu berücksichtigen sind“ (länderspezifische Empfehlung 3, 2019).</w:t>
      </w:r>
    </w:p>
    <w:p w14:paraId="4E3F9F5B" w14:textId="77777777" w:rsidR="0057163C" w:rsidRPr="00170422" w:rsidRDefault="00F37BF9">
      <w:pPr>
        <w:pStyle w:val="P68B1DB1-Normal7"/>
        <w:spacing w:before="120" w:after="120" w:line="257" w:lineRule="auto"/>
        <w:jc w:val="both"/>
        <w:rPr>
          <w:noProof/>
          <w:lang w:val="de-DE"/>
        </w:rPr>
      </w:pPr>
      <w:r w:rsidRPr="00170422">
        <w:rPr>
          <w:noProof/>
          <w:lang w:val="de-DE"/>
        </w:rPr>
        <w:t xml:space="preserve">Die Komponente unterstützt die Leitlinien für Italien zur Umsetzung seines nationalen Energie- und Klimaplans (SWD(2020) 911 final), in denen Italien </w:t>
      </w:r>
      <w:r w:rsidRPr="00170422">
        <w:rPr>
          <w:noProof/>
          <w:lang w:val="de-DE"/>
        </w:rPr>
        <w:t>aufgefordert wurde, bestehende Anlagen für erneuerbare Energien, insbesondere bestehende Windkraftanlagen, zu fördern, umzugestalten und zu repowerieren und innovative Offshore-Energie im gesamten Mittelmeerraum zu erkunden.</w:t>
      </w:r>
    </w:p>
    <w:p w14:paraId="79D1334E" w14:textId="355BD092" w:rsidR="0057163C" w:rsidRPr="00170422" w:rsidRDefault="00F37BF9">
      <w:pPr>
        <w:pStyle w:val="P68B1DB1-Normal7"/>
        <w:spacing w:before="120" w:after="120"/>
        <w:jc w:val="both"/>
        <w:rPr>
          <w:noProof/>
          <w:lang w:val="de-DE"/>
        </w:rPr>
      </w:pPr>
      <w:r w:rsidRPr="00170422">
        <w:rPr>
          <w:noProof/>
          <w:lang w:val="de-DE"/>
        </w:rPr>
        <w:t>Es wird davon ausgegangen, dass</w:t>
      </w:r>
      <w:r w:rsidRPr="00170422">
        <w:rPr>
          <w:noProof/>
          <w:lang w:val="de-DE"/>
        </w:rPr>
        <w:t xml:space="preserve"> keine Maßnahme in dieser Komponente die Umweltziele im Sinne von Artikel 17 der Verordnung (EU) 2020/852 erheblich beeinträchtigt, wobei die Beschreibung der Maßnahmen und der Risikominderungsschritte, die im Aufbau- und Resilienzplan im Einklang mit den </w:t>
      </w:r>
      <w:r w:rsidRPr="00170422">
        <w:rPr>
          <w:noProof/>
          <w:lang w:val="de-DE"/>
        </w:rPr>
        <w:t xml:space="preserve">Technischen Leitlinien für die Anwendung des Grundsatzes der „Vermeidung erheblicher Beeinträchtigungen“ (2021/C58/01) festgelegt sind, berücksichtigt wird. </w:t>
      </w:r>
    </w:p>
    <w:p w14:paraId="69AA41F3" w14:textId="77777777" w:rsidR="0057163C" w:rsidRPr="00170422" w:rsidRDefault="00F37BF9">
      <w:pPr>
        <w:pStyle w:val="P68B1DB1-Heading359"/>
        <w:ind w:left="850" w:hanging="850"/>
        <w:rPr>
          <w:b/>
          <w:bCs/>
          <w:i/>
          <w:iCs/>
          <w:noProof/>
          <w:color w:val="156082" w:themeColor="accent1"/>
          <w:u w:val="single"/>
          <w:lang w:val="de-DE"/>
        </w:rPr>
      </w:pPr>
      <w:r w:rsidRPr="00170422">
        <w:rPr>
          <w:b/>
          <w:noProof/>
          <w:u w:val="single"/>
          <w:lang w:val="de-DE"/>
        </w:rPr>
        <w:t xml:space="preserve">E.1. </w:t>
      </w:r>
      <w:r w:rsidRPr="00170422">
        <w:rPr>
          <w:noProof/>
          <w:lang w:val="de-DE"/>
        </w:rPr>
        <w:t xml:space="preserve"> </w:t>
      </w:r>
      <w:r w:rsidRPr="00170422">
        <w:rPr>
          <w:b/>
          <w:noProof/>
          <w:u w:val="single"/>
          <w:lang w:val="de-DE"/>
        </w:rPr>
        <w:t>Beschreibung der Reformen und Investitionen für nicht rückzahlbare finanzielle Unterstützung</w:t>
      </w:r>
    </w:p>
    <w:p w14:paraId="43B108FA" w14:textId="77777777" w:rsidR="0057163C" w:rsidRPr="00170422" w:rsidRDefault="00F37BF9">
      <w:pPr>
        <w:pStyle w:val="P68B1DB1-Normal5"/>
        <w:spacing w:before="120" w:after="120"/>
        <w:jc w:val="both"/>
        <w:rPr>
          <w:noProof/>
          <w:lang w:val="de-DE"/>
        </w:rPr>
      </w:pPr>
      <w:r w:rsidRPr="00170422">
        <w:rPr>
          <w:noProof/>
          <w:lang w:val="de-DE"/>
        </w:rPr>
        <w:t>Reform 1 – Vereinfachung der Genehmigungsverfahren für erneuerbare Onshore- und Offshore-Anlagen und neuer Rechtsrahmen zur Förderung der Erzeugung aus erneuerbaren Quellen und der Dauer und Verlängerung der Förderfähigkeit der derzeitigen Förderregelunge</w:t>
      </w:r>
      <w:r w:rsidRPr="00170422">
        <w:rPr>
          <w:noProof/>
          <w:lang w:val="de-DE"/>
        </w:rPr>
        <w:t>n</w:t>
      </w:r>
    </w:p>
    <w:p w14:paraId="79B248C4" w14:textId="77777777" w:rsidR="0057163C" w:rsidRPr="00170422" w:rsidRDefault="00F37BF9">
      <w:pPr>
        <w:pStyle w:val="P68B1DB1-Normal7"/>
        <w:spacing w:before="120" w:after="120"/>
        <w:jc w:val="both"/>
        <w:rPr>
          <w:noProof/>
          <w:lang w:val="de-DE"/>
        </w:rPr>
      </w:pPr>
      <w:r w:rsidRPr="00170422">
        <w:rPr>
          <w:noProof/>
          <w:lang w:val="de-DE"/>
        </w:rPr>
        <w:t>Diese Reform umfasst:</w:t>
      </w:r>
    </w:p>
    <w:p w14:paraId="479E8143" w14:textId="3231CA44"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das Inkrafttreten von Vereinfachungsmaßnahmen für Anlagen zur Nutzung erneuerbarer Energiequellen und das Repowering und die Umgestaltung bestehender Anlagen im Einklang mit den Bestimmungen des Gesetzesdekrets Nr. 76 vom 17. Juli 2</w:t>
      </w:r>
      <w:r w:rsidRPr="00170422">
        <w:rPr>
          <w:noProof/>
          <w:lang w:val="de-DE"/>
        </w:rPr>
        <w:t xml:space="preserve">020 („Vereinfachungserlass“); </w:t>
      </w:r>
    </w:p>
    <w:p w14:paraId="26D1BD22"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Erlass eines mit den Regionen und den anderen betroffenen staatlichen Verwaltungen abgestimmten Dekrets zur Festlegung von Kriterien für die Ermittlung der Gebiete, die für die Errichtung von Anlagen zur Erzeugung erneuerbare</w:t>
      </w:r>
      <w:r w:rsidRPr="00170422">
        <w:rPr>
          <w:noProof/>
          <w:lang w:val="de-DE"/>
        </w:rPr>
        <w:t xml:space="preserve">r Energien für eine zusätzliche Kapazität zur Erzeugung erneuerbarer Energie von mindestens 73 GW geeignet und nicht geeignet sind, um die Ziele der Entwicklung erneuerbarer Energiequellen zu erreichen; </w:t>
      </w:r>
    </w:p>
    <w:p w14:paraId="57519A5E"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die Vollendung des Mechanismus zur Förderung erneuer</w:t>
      </w:r>
      <w:r w:rsidRPr="00170422">
        <w:rPr>
          <w:noProof/>
          <w:lang w:val="de-DE"/>
        </w:rPr>
        <w:t>barer Energiequellen auch für zusätzliche Technologien, die nicht ausgereift sind oder hohe Betriebskosten verursachen, und die Verlängerung der Auktionsfrist für den sogenannten RES1-Mechanismus unter Wahrung des Grundsatzes des wettbewerbsorientierten Zu</w:t>
      </w:r>
      <w:r w:rsidRPr="00170422">
        <w:rPr>
          <w:noProof/>
          <w:lang w:val="de-DE"/>
        </w:rPr>
        <w:t xml:space="preserve">gangs; </w:t>
      </w:r>
    </w:p>
    <w:p w14:paraId="709BD9E4"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Bestimmungen zur Förderung von Investitionen in Speichersysteme im gesetzesvertretenden Dekret zur Umsetzung der Richtlinie (EU) 2019/944 mit gemeinsamen Vorschriften für den Elektrizitätsbinnenmarkt.</w:t>
      </w:r>
    </w:p>
    <w:p w14:paraId="5D1F197A" w14:textId="77777777" w:rsidR="0057163C" w:rsidRPr="00170422" w:rsidRDefault="00F37BF9">
      <w:pPr>
        <w:pStyle w:val="P68B1DB1-Normal5"/>
        <w:spacing w:before="120" w:after="120"/>
        <w:jc w:val="both"/>
        <w:rPr>
          <w:noProof/>
          <w:lang w:val="de-DE"/>
        </w:rPr>
      </w:pPr>
      <w:r w:rsidRPr="00170422">
        <w:rPr>
          <w:noProof/>
          <w:lang w:val="de-DE"/>
        </w:rPr>
        <w:t>Reform 2 – Neue Rechtsvorschriften zur Förderun</w:t>
      </w:r>
      <w:r w:rsidRPr="00170422">
        <w:rPr>
          <w:noProof/>
          <w:lang w:val="de-DE"/>
        </w:rPr>
        <w:t>g der Erzeugung und des Verbrauchs von erneuerbarem Gas</w:t>
      </w:r>
    </w:p>
    <w:p w14:paraId="0D213763" w14:textId="77777777" w:rsidR="0057163C" w:rsidRPr="00170422" w:rsidRDefault="00F37BF9">
      <w:pPr>
        <w:pStyle w:val="P68B1DB1-Normal7"/>
        <w:spacing w:before="120" w:after="120"/>
        <w:jc w:val="both"/>
        <w:rPr>
          <w:noProof/>
          <w:lang w:val="de-DE"/>
        </w:rPr>
      </w:pPr>
      <w:r w:rsidRPr="00170422">
        <w:rPr>
          <w:noProof/>
          <w:lang w:val="de-DE"/>
        </w:rPr>
        <w:t>Diese Reform besteht darin, die Unterstützung für sauberes Biomethan zu verstärken, indem Rechtsvorschriften erlassen werden, um den Umfang der für eine Förderung in Betracht kommenden Biomethanprojek</w:t>
      </w:r>
      <w:r w:rsidRPr="00170422">
        <w:rPr>
          <w:noProof/>
          <w:lang w:val="de-DE"/>
        </w:rPr>
        <w:t>te zu erweitern und den Zeitraum für die Verfügbarkeit von Zuschüssen zu verlängern. Das Biomethan muss die in der Erneuerbare-Energien-Richtlinie (EU) 2018/2001 (RED II) festgelegten Kriterien erfüllen, damit die Maßnahme dem Grundsatz „Vermeidung erhebli</w:t>
      </w:r>
      <w:r w:rsidRPr="00170422">
        <w:rPr>
          <w:noProof/>
          <w:lang w:val="de-DE"/>
        </w:rPr>
        <w:t>cher Wärme“ und den einschlägigen Anforderungen in Anhang VI Fußnote 8 der Verordnung (EU) 2021/241 entsprechen kann.</w:t>
      </w:r>
    </w:p>
    <w:p w14:paraId="4E56912E" w14:textId="77777777" w:rsidR="0057163C" w:rsidRPr="00170422" w:rsidRDefault="00F37BF9">
      <w:pPr>
        <w:pStyle w:val="P68B1DB1-Normal5"/>
        <w:spacing w:before="120" w:after="120"/>
        <w:jc w:val="both"/>
        <w:rPr>
          <w:noProof/>
          <w:lang w:val="de-DE"/>
        </w:rPr>
      </w:pPr>
      <w:r w:rsidRPr="00170422">
        <w:rPr>
          <w:noProof/>
          <w:lang w:val="de-DE"/>
        </w:rPr>
        <w:t>Reform 3 – Verwaltungsvereinfachung und Abbau regulatorischer Hindernisse für die Einführung von Wasserstoff</w:t>
      </w:r>
    </w:p>
    <w:p w14:paraId="6A0C5EBC" w14:textId="77777777" w:rsidR="0057163C" w:rsidRPr="00170422" w:rsidRDefault="00F37BF9">
      <w:pPr>
        <w:pStyle w:val="P68B1DB1-Normal7"/>
        <w:spacing w:before="120" w:after="120"/>
        <w:jc w:val="both"/>
        <w:rPr>
          <w:noProof/>
          <w:lang w:val="de-DE"/>
        </w:rPr>
      </w:pPr>
      <w:r w:rsidRPr="00170422">
        <w:rPr>
          <w:noProof/>
          <w:lang w:val="de-DE"/>
        </w:rPr>
        <w:t>Diese Reform besteht im Inkra</w:t>
      </w:r>
      <w:r w:rsidRPr="00170422">
        <w:rPr>
          <w:noProof/>
          <w:lang w:val="de-DE"/>
        </w:rPr>
        <w:t>fttreten eines Rechtsrahmens zur Förderung von Wasserstoff als erneuerbare Energiequelle. Dieser Rechtsrahmen muss Folgendes enthalten:</w:t>
      </w:r>
    </w:p>
    <w:p w14:paraId="779B4802"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Technische Sicherheitsvorschriften für die Erzeugung, den Transport, (technische und regulatorische Kriterien für die Ei</w:t>
      </w:r>
      <w:r w:rsidRPr="00170422">
        <w:rPr>
          <w:noProof/>
          <w:lang w:val="de-DE"/>
        </w:rPr>
        <w:t>nführung von Wasserstoff in das Erdgasnetz), die Speicherung und die Nutzung von Wasserstoff;</w:t>
      </w:r>
    </w:p>
    <w:p w14:paraId="1B265C48" w14:textId="1E5D4663"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Ein beschleunigtes Genehmigungsverfahren mit einer einzigen Anlaufstelle zur Erlangung der Genehmigung für den Bau und Betrieb einer kleinen Wasserstoffproduktion</w:t>
      </w:r>
      <w:r w:rsidRPr="00170422">
        <w:rPr>
          <w:noProof/>
          <w:lang w:val="de-DE"/>
        </w:rPr>
        <w:t xml:space="preserve">sanlage (für Elektrolyseure mit einer Leistung von weniger als 1-5 MW; die Speicherschwelle wird in den genannten technischen Sicherheitsvorschriften für Wasserstoff festgelegt). </w:t>
      </w:r>
    </w:p>
    <w:p w14:paraId="29AEEAD5"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Regulierung der Beteiligung von Wasserstofferzeugungsanlagen an Netzdiensten</w:t>
      </w:r>
      <w:r w:rsidRPr="00170422">
        <w:rPr>
          <w:noProof/>
          <w:lang w:val="de-DE"/>
        </w:rPr>
        <w:t>. Die Energieregulierungsbehörde (ARERA) wird beauftragt, nach Konsultation der Interessenträger eine spezifische Regulierungsmaßnahme zu erlassen.</w:t>
      </w:r>
    </w:p>
    <w:p w14:paraId="3673BB75"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Ein System von Herkunftsnachweisen für erneuerbaren Wasserstoff, um den Verbrauchern Preissignale zu geben.</w:t>
      </w:r>
    </w:p>
    <w:p w14:paraId="10EB3553" w14:textId="77777777" w:rsidR="0057163C" w:rsidRPr="00170422" w:rsidRDefault="00F37BF9">
      <w:pPr>
        <w:pStyle w:val="P68B1DB1-Normal7"/>
        <w:numPr>
          <w:ilvl w:val="0"/>
          <w:numId w:val="26"/>
        </w:numPr>
        <w:spacing w:before="120" w:after="120"/>
        <w:ind w:left="360"/>
        <w:contextualSpacing/>
        <w:jc w:val="both"/>
        <w:rPr>
          <w:noProof/>
          <w:lang w:val="de-DE"/>
        </w:rPr>
      </w:pPr>
      <w:r w:rsidRPr="00170422">
        <w:rPr>
          <w:noProof/>
          <w:lang w:val="de-DE"/>
        </w:rPr>
        <w:t>Verfahren und/oder Kriterien zur Festlegung der ausgewählten Betankungsgebiete entlang der Autobahnen zur Optimierung des Standorts der Tankstellen zur Schaffung von H2-Korridoren für Lastkraftwagen, beginnend mit den nordirischen Regionen bis zum Po-Tal u</w:t>
      </w:r>
      <w:r w:rsidRPr="00170422">
        <w:rPr>
          <w:noProof/>
          <w:lang w:val="de-DE"/>
        </w:rPr>
        <w:t xml:space="preserve">nd den Logistikknotenpunkten und den Hauptautobahnen entlang der Halbinsel. </w:t>
      </w:r>
    </w:p>
    <w:p w14:paraId="2A695F03" w14:textId="77777777" w:rsidR="0057163C" w:rsidRPr="00170422" w:rsidRDefault="00F37BF9">
      <w:pPr>
        <w:pStyle w:val="P68B1DB1-Normal7"/>
        <w:numPr>
          <w:ilvl w:val="0"/>
          <w:numId w:val="26"/>
        </w:numPr>
        <w:spacing w:before="120" w:after="120"/>
        <w:ind w:left="357" w:hanging="357"/>
        <w:jc w:val="both"/>
        <w:rPr>
          <w:noProof/>
          <w:lang w:val="de-DE"/>
        </w:rPr>
      </w:pPr>
      <w:r w:rsidRPr="00170422">
        <w:rPr>
          <w:noProof/>
          <w:lang w:val="de-DE"/>
        </w:rPr>
        <w:t>Die Koordinierung des zehnjährigen Entwicklungsplans des nationalen Fernleitungsnetzbetreibers (ÜNB) mit den Plänen anderer europäischer ÜNB zur Entwicklung gemeinsamer Normen für</w:t>
      </w:r>
      <w:r w:rsidRPr="00170422">
        <w:rPr>
          <w:noProof/>
          <w:lang w:val="de-DE"/>
        </w:rPr>
        <w:t xml:space="preserve"> den Wasserstofftransport mittels bestehender Gaspipelines oder spezieller Rohrleitungen.</w:t>
      </w:r>
    </w:p>
    <w:p w14:paraId="276EAFDD" w14:textId="77777777" w:rsidR="0057163C" w:rsidRPr="00170422" w:rsidRDefault="00F37BF9">
      <w:pPr>
        <w:pStyle w:val="P68B1DB1-Normal5"/>
        <w:spacing w:before="120" w:after="120"/>
        <w:jc w:val="both"/>
        <w:rPr>
          <w:noProof/>
          <w:lang w:val="de-DE"/>
        </w:rPr>
      </w:pPr>
      <w:r w:rsidRPr="00170422">
        <w:rPr>
          <w:noProof/>
          <w:lang w:val="de-DE"/>
        </w:rPr>
        <w:t>Reform 4 – Maßnahmen zur Förderung der Wettbewerbsfähigkeit von Wasserstoff</w:t>
      </w:r>
    </w:p>
    <w:p w14:paraId="5C5D667C" w14:textId="77777777" w:rsidR="0057163C" w:rsidRPr="00170422" w:rsidRDefault="00F37BF9">
      <w:pPr>
        <w:pStyle w:val="P68B1DB1-Normal7"/>
        <w:spacing w:before="120" w:after="120"/>
        <w:jc w:val="both"/>
        <w:rPr>
          <w:noProof/>
          <w:lang w:val="de-DE"/>
        </w:rPr>
      </w:pPr>
      <w:r w:rsidRPr="00170422">
        <w:rPr>
          <w:noProof/>
          <w:lang w:val="de-DE"/>
        </w:rPr>
        <w:t xml:space="preserve">Diese Reform besteht in der Annahme steuerlicher Maßnahmen zur Schaffung von Anreizen für </w:t>
      </w:r>
      <w:r w:rsidRPr="00170422">
        <w:rPr>
          <w:noProof/>
          <w:lang w:val="de-DE"/>
        </w:rPr>
        <w:t xml:space="preserve">die Erzeugung und/oder Nutzung von Wasserstoff im Einklang mit den EU-Vorschriften zur Besteuerung und zur Umsetzung der RED II-Richtlinie. Mit dieser Maßnahme soll die Wasserstofferzeugung auf der Grundlage von Elektrolyse mit erneuerbaren Energiequellen </w:t>
      </w:r>
      <w:r w:rsidRPr="00170422">
        <w:rPr>
          <w:noProof/>
          <w:lang w:val="de-DE"/>
        </w:rPr>
        <w:t>im Sinne der Richtlinie (EU) 2018/2001 (Erneuerbare-Energien-Richtlinie) oder Netzstrom gefördert werden.“</w:t>
      </w:r>
    </w:p>
    <w:p w14:paraId="06317B8B" w14:textId="77777777" w:rsidR="0057163C" w:rsidRPr="00170422" w:rsidRDefault="00F37BF9">
      <w:pPr>
        <w:pStyle w:val="P68B1DB1-Normal5"/>
        <w:spacing w:after="200" w:line="276" w:lineRule="auto"/>
        <w:rPr>
          <w:noProof/>
          <w:lang w:val="de-DE"/>
        </w:rPr>
      </w:pPr>
      <w:r w:rsidRPr="00170422">
        <w:rPr>
          <w:noProof/>
          <w:lang w:val="de-DE"/>
        </w:rPr>
        <w:t>Reform 5 – Intelligente Verfahren für die Projektbewertung im Bereich der öffentlichen Nahverkehrssysteme mit ortsfesten Anlagen und im schnellen Mas</w:t>
      </w:r>
      <w:r w:rsidRPr="00170422">
        <w:rPr>
          <w:noProof/>
          <w:lang w:val="de-DE"/>
        </w:rPr>
        <w:t>sentransport</w:t>
      </w:r>
    </w:p>
    <w:p w14:paraId="335D2477" w14:textId="77777777" w:rsidR="0057163C" w:rsidRPr="00170422" w:rsidRDefault="00F37BF9">
      <w:pPr>
        <w:pStyle w:val="P68B1DB1-Normal7"/>
        <w:spacing w:before="120" w:after="120"/>
        <w:jc w:val="both"/>
        <w:rPr>
          <w:noProof/>
          <w:lang w:val="de-DE"/>
        </w:rPr>
      </w:pPr>
      <w:r w:rsidRPr="00170422">
        <w:rPr>
          <w:noProof/>
          <w:lang w:val="de-DE"/>
        </w:rPr>
        <w:t xml:space="preserve">Diese Reform besteht in der Verabschiedung von Rechtsvorschriften, in denen klare Zuständigkeiten für die Genehmigung von ÖPNV-Projekten festgelegt werden, und einer Vereinfachung des Zahlungsverfahrens. </w:t>
      </w:r>
    </w:p>
    <w:p w14:paraId="5B609108" w14:textId="77777777" w:rsidR="0057163C" w:rsidRPr="00170422" w:rsidRDefault="00F37BF9">
      <w:pPr>
        <w:pStyle w:val="P68B1DB1-Normal5"/>
        <w:spacing w:before="120" w:after="120"/>
        <w:jc w:val="both"/>
        <w:rPr>
          <w:bCs/>
          <w:noProof/>
          <w:lang w:val="de-DE"/>
        </w:rPr>
      </w:pPr>
      <w:r w:rsidRPr="00170422">
        <w:rPr>
          <w:noProof/>
          <w:lang w:val="de-DE"/>
        </w:rPr>
        <w:t>Investition 2.1 – Stärkung intelligent</w:t>
      </w:r>
      <w:r w:rsidRPr="00170422">
        <w:rPr>
          <w:noProof/>
          <w:lang w:val="de-DE"/>
        </w:rPr>
        <w:t>er Netze</w:t>
      </w:r>
    </w:p>
    <w:p w14:paraId="22A8B5B4" w14:textId="77777777" w:rsidR="0057163C" w:rsidRPr="00170422" w:rsidRDefault="00F37BF9">
      <w:pPr>
        <w:pStyle w:val="P68B1DB1-Normal7"/>
        <w:spacing w:before="120" w:after="120"/>
        <w:jc w:val="both"/>
        <w:rPr>
          <w:noProof/>
          <w:lang w:val="de-DE"/>
        </w:rPr>
      </w:pPr>
      <w:r w:rsidRPr="00170422">
        <w:rPr>
          <w:noProof/>
          <w:lang w:val="de-DE"/>
        </w:rPr>
        <w:t>Ziel dieser Investition ist die Modernisierung der Infrastruktur und die Digitalisierung des Stromverteilungsnetzes. Die Investition besteht in der Gewährung von Zuschüssen an Verteilernetzbetreiber zur Finanzierung von Interventionen, die die Auf</w:t>
      </w:r>
      <w:r w:rsidRPr="00170422">
        <w:rPr>
          <w:noProof/>
          <w:lang w:val="de-DE"/>
        </w:rPr>
        <w:t>nahmekapazität des Verteilernetzes sowie die den Haushalten zur Verfügung stehenden Kapazitäten zur Elektrifizierung ihres Energieverbrauchs erhöhen.</w:t>
      </w:r>
    </w:p>
    <w:p w14:paraId="3D4F6D0B" w14:textId="362332DD" w:rsidR="0057163C" w:rsidRPr="00170422" w:rsidRDefault="00F37BF9">
      <w:pPr>
        <w:pStyle w:val="P68B1DB1-Normal5"/>
        <w:spacing w:before="120" w:after="120"/>
        <w:jc w:val="both"/>
        <w:rPr>
          <w:bCs/>
          <w:noProof/>
          <w:lang w:val="de-DE"/>
        </w:rPr>
      </w:pPr>
      <w:r w:rsidRPr="00170422">
        <w:rPr>
          <w:noProof/>
          <w:lang w:val="de-DE"/>
        </w:rPr>
        <w:t>Investition 2.2 – Maßnahmen zur Erhöhung der Widerstandsfähigkeit des Stromnetzes</w:t>
      </w:r>
    </w:p>
    <w:p w14:paraId="2B1710BF" w14:textId="77BAA317" w:rsidR="0057163C" w:rsidRPr="00170422" w:rsidRDefault="00F37BF9">
      <w:pPr>
        <w:pStyle w:val="P68B1DB1-Normal7"/>
        <w:spacing w:before="120" w:after="120"/>
        <w:jc w:val="both"/>
        <w:rPr>
          <w:noProof/>
          <w:lang w:val="de-DE"/>
        </w:rPr>
      </w:pPr>
      <w:r w:rsidRPr="00170422">
        <w:rPr>
          <w:noProof/>
          <w:lang w:val="de-DE"/>
        </w:rPr>
        <w:t xml:space="preserve">Ziel dieser Investition </w:t>
      </w:r>
      <w:r w:rsidRPr="00170422">
        <w:rPr>
          <w:noProof/>
          <w:lang w:val="de-DE"/>
        </w:rPr>
        <w:t>ist es, das Stromnetz gegenüber extremen Wetterereignissen widerstandsfähig zu machen und so die Wahrscheinlichkeit längerer Unterbrechungen der Stromversorgung zu verringern. Die Investition besteht in der Gewährung von Zuschüssen an Übertragungs- und Ver</w:t>
      </w:r>
      <w:r w:rsidRPr="00170422">
        <w:rPr>
          <w:noProof/>
          <w:lang w:val="de-DE"/>
        </w:rPr>
        <w:t>teilernetzbetreiber für Arbeiten an der Strominfrastruktur.</w:t>
      </w:r>
    </w:p>
    <w:p w14:paraId="174CC013" w14:textId="77777777" w:rsidR="0057163C" w:rsidRPr="00170422" w:rsidRDefault="00F37BF9">
      <w:pPr>
        <w:pStyle w:val="P68B1DB1-Normal5"/>
        <w:spacing w:before="120" w:after="120"/>
        <w:jc w:val="both"/>
        <w:rPr>
          <w:noProof/>
          <w:lang w:val="de-DE"/>
        </w:rPr>
      </w:pPr>
      <w:r w:rsidRPr="00170422">
        <w:rPr>
          <w:noProof/>
          <w:lang w:val="de-DE"/>
        </w:rPr>
        <w:t>Investition 4.1 – Investitionen in sanfte Mobilität (nationaler Plan für den Zyklusweg)</w:t>
      </w:r>
    </w:p>
    <w:p w14:paraId="020318A8" w14:textId="267D1A3E" w:rsidR="0057163C" w:rsidRPr="00170422" w:rsidRDefault="00F37BF9">
      <w:pPr>
        <w:pStyle w:val="P68B1DB1-Normal7"/>
        <w:spacing w:before="120" w:after="120"/>
        <w:jc w:val="both"/>
        <w:rPr>
          <w:noProof/>
          <w:lang w:val="de-DE"/>
        </w:rPr>
      </w:pPr>
      <w:r w:rsidRPr="00170422">
        <w:rPr>
          <w:noProof/>
          <w:lang w:val="de-DE"/>
        </w:rPr>
        <w:t>Ziel dieser Investition ist der Aufbau von Radwegen, um den Pendlerverkehr zwischen Standorten in Metropolre</w:t>
      </w:r>
      <w:r w:rsidRPr="00170422">
        <w:rPr>
          <w:noProof/>
          <w:lang w:val="de-DE"/>
        </w:rPr>
        <w:t>gionen oder Städten, in denen Universitäten angesiedelt sind, zu erleichtern. Diese Investition besteht in den Bau von mindestens 1 261 km Radwegen in Metropolregionen und touristischen Radwegen.</w:t>
      </w:r>
    </w:p>
    <w:p w14:paraId="768B7461" w14:textId="6B60F77B" w:rsidR="0057163C" w:rsidRPr="00170422" w:rsidRDefault="00F37BF9">
      <w:pPr>
        <w:pStyle w:val="P68B1DB1-Normal5"/>
        <w:spacing w:before="120" w:after="120"/>
        <w:jc w:val="both"/>
        <w:rPr>
          <w:bCs/>
          <w:noProof/>
          <w:lang w:val="de-DE"/>
        </w:rPr>
      </w:pPr>
      <w:r w:rsidRPr="00170422">
        <w:rPr>
          <w:noProof/>
          <w:lang w:val="de-DE"/>
        </w:rPr>
        <w:t>Investition 4.3 – Installation von Ladeinfrastrukturen</w:t>
      </w:r>
    </w:p>
    <w:p w14:paraId="1A9D0795" w14:textId="0D736120" w:rsidR="0057163C" w:rsidRPr="00170422" w:rsidRDefault="00F37BF9">
      <w:pPr>
        <w:pStyle w:val="P68B1DB1-Normal7"/>
        <w:spacing w:before="120" w:after="120"/>
        <w:jc w:val="both"/>
        <w:rPr>
          <w:noProof/>
          <w:lang w:val="de-DE"/>
        </w:rPr>
      </w:pPr>
      <w:r w:rsidRPr="00170422">
        <w:rPr>
          <w:noProof/>
          <w:lang w:val="de-DE"/>
        </w:rPr>
        <w:t xml:space="preserve">Ziel </w:t>
      </w:r>
      <w:r w:rsidRPr="00170422">
        <w:rPr>
          <w:noProof/>
          <w:lang w:val="de-DE"/>
        </w:rPr>
        <w:t>dieser Investition ist es, die Dekarbonisierung des Verkehrssektors zu unterstützen. Diese Investition besteht in der Finanzierung der Errichtung schneller öffentlicher Ladestationen auf Freiwegen und städtischen Gebieten.</w:t>
      </w:r>
    </w:p>
    <w:p w14:paraId="512DB2D0" w14:textId="2A085DB7" w:rsidR="0057163C" w:rsidRPr="00170422" w:rsidRDefault="00F37BF9">
      <w:pPr>
        <w:pStyle w:val="P68B1DB1-Normal5"/>
        <w:spacing w:after="120"/>
        <w:jc w:val="both"/>
        <w:rPr>
          <w:bCs/>
          <w:noProof/>
          <w:lang w:val="de-DE"/>
        </w:rPr>
      </w:pPr>
      <w:r w:rsidRPr="00170422">
        <w:rPr>
          <w:noProof/>
          <w:lang w:val="de-DE"/>
        </w:rPr>
        <w:t xml:space="preserve">Investition 4.4.1 – Stärkung der </w:t>
      </w:r>
      <w:r w:rsidRPr="00170422">
        <w:rPr>
          <w:noProof/>
          <w:lang w:val="de-DE"/>
        </w:rPr>
        <w:t>emissionsfreien Busflotte des regionalen öffentlichen Verkehrs</w:t>
      </w:r>
    </w:p>
    <w:p w14:paraId="6131C7C0" w14:textId="77777777" w:rsidR="0057163C" w:rsidRPr="00170422" w:rsidRDefault="00F37BF9">
      <w:pPr>
        <w:pStyle w:val="P68B1DB1-Normal7"/>
        <w:spacing w:after="120"/>
        <w:jc w:val="both"/>
        <w:rPr>
          <w:noProof/>
          <w:lang w:val="de-DE"/>
        </w:rPr>
      </w:pPr>
      <w:r w:rsidRPr="00170422">
        <w:rPr>
          <w:noProof/>
          <w:lang w:val="de-DE"/>
        </w:rPr>
        <w:t>Ziel der Investition ist die Verringerung der Treibhausgasemissionen und die Modernisierung der öffentlichen Busflotte. Diese Investition besteht in der Beschaffung emissionsfreier Busse und de</w:t>
      </w:r>
      <w:r w:rsidRPr="00170422">
        <w:rPr>
          <w:noProof/>
          <w:lang w:val="de-DE"/>
        </w:rPr>
        <w:t>r Errichtung von Ladestationen.</w:t>
      </w:r>
    </w:p>
    <w:p w14:paraId="4ED4E15C" w14:textId="77777777" w:rsidR="0057163C" w:rsidRPr="00170422" w:rsidRDefault="00F37BF9">
      <w:pPr>
        <w:pStyle w:val="P68B1DB1-Normal5"/>
        <w:spacing w:before="120" w:after="120"/>
        <w:jc w:val="both"/>
        <w:rPr>
          <w:bCs/>
          <w:noProof/>
          <w:lang w:val="de-DE"/>
        </w:rPr>
      </w:pPr>
      <w:r w:rsidRPr="00170422">
        <w:rPr>
          <w:noProof/>
          <w:lang w:val="de-DE"/>
        </w:rPr>
        <w:t xml:space="preserve">Investition 4.4.3 – Erneuerungsflotte für die Staatsfeuerwehr </w:t>
      </w:r>
    </w:p>
    <w:p w14:paraId="57D66163" w14:textId="2B183825" w:rsidR="0057163C" w:rsidRPr="00170422" w:rsidRDefault="00F37BF9">
      <w:pPr>
        <w:spacing w:after="120"/>
        <w:jc w:val="both"/>
        <w:rPr>
          <w:rFonts w:ascii="Times New Roman" w:hAnsi="Times New Roman" w:cs="Times New Roman"/>
          <w:noProof/>
          <w:lang w:val="de-DE"/>
        </w:rPr>
      </w:pPr>
      <w:r w:rsidRPr="00170422">
        <w:rPr>
          <w:rFonts w:ascii="Times New Roman" w:hAnsi="Times New Roman" w:cs="Times New Roman"/>
          <w:noProof/>
          <w:lang w:val="de-DE"/>
        </w:rPr>
        <w:t>Ziel der Investition ist die Verringerung der Treibhausgasemissionen und die Modernisierung der Feuerwehrflotte. Diese Investition besteht in der Beschaffung von</w:t>
      </w:r>
      <w:r w:rsidRPr="00170422">
        <w:rPr>
          <w:rFonts w:ascii="Times New Roman" w:hAnsi="Times New Roman" w:cs="Times New Roman"/>
          <w:noProof/>
          <w:lang w:val="de-DE"/>
        </w:rPr>
        <w:t xml:space="preserve"> mindestens</w:t>
      </w:r>
      <w:r w:rsidRPr="00170422">
        <w:rPr>
          <w:noProof/>
          <w:color w:val="006100"/>
          <w:sz w:val="20"/>
          <w:szCs w:val="20"/>
          <w:lang w:val="de-DE"/>
        </w:rPr>
        <w:t xml:space="preserve"> </w:t>
      </w:r>
      <w:r w:rsidRPr="00170422">
        <w:rPr>
          <w:rFonts w:ascii="Times New Roman" w:hAnsi="Times New Roman" w:cs="Times New Roman"/>
          <w:noProof/>
          <w:lang w:val="de-DE"/>
        </w:rPr>
        <w:t>3800 Fahrzeugen für die nationale Feuerwehr.</w:t>
      </w:r>
    </w:p>
    <w:p w14:paraId="377F68EB" w14:textId="77777777" w:rsidR="0057163C" w:rsidRPr="00170422" w:rsidRDefault="00F37BF9">
      <w:pPr>
        <w:pStyle w:val="P68B1DB1-Normal5"/>
        <w:rPr>
          <w:bCs/>
          <w:noProof/>
          <w:lang w:val="de-DE"/>
        </w:rPr>
      </w:pPr>
      <w:r w:rsidRPr="00170422">
        <w:rPr>
          <w:noProof/>
          <w:lang w:val="de-DE"/>
        </w:rPr>
        <w:t>Investition 4.5 – Programm zur Erneuerung der Flotte privater und leichter Nutzfahrzeuge mit Elektrofahrzeugen</w:t>
      </w:r>
    </w:p>
    <w:p w14:paraId="2DE8DE88" w14:textId="77777777" w:rsidR="0057163C" w:rsidRPr="00170422" w:rsidRDefault="00F37BF9">
      <w:pPr>
        <w:pStyle w:val="P68B1DB1-Normal7"/>
        <w:rPr>
          <w:noProof/>
          <w:lang w:val="de-DE"/>
        </w:rPr>
      </w:pPr>
      <w:r w:rsidRPr="00170422">
        <w:rPr>
          <w:noProof/>
          <w:lang w:val="de-DE"/>
        </w:rPr>
        <w:t xml:space="preserve">Diese Investition zielt darauf ab, die Treibhausgasemissionen und die Luftverschmutzung </w:t>
      </w:r>
      <w:r w:rsidRPr="00170422">
        <w:rPr>
          <w:noProof/>
          <w:lang w:val="de-DE"/>
        </w:rPr>
        <w:t>durch den Straßenverkehr in städtischen Gebieten zu verringern. Bei dieser Investition handelt es sich um ein Car-Scrpping-System, bei dem ein thermisches Fahrzeug zurückgegeben und durch ein neu erworbenes emissionsfreies Fahrzeug ersetzt wird.</w:t>
      </w:r>
    </w:p>
    <w:p w14:paraId="6EE4F270" w14:textId="77777777" w:rsidR="0057163C" w:rsidRPr="00170422" w:rsidRDefault="00F37BF9">
      <w:pPr>
        <w:pStyle w:val="P68B1DB1-Normal29"/>
        <w:spacing w:before="120" w:after="120"/>
        <w:jc w:val="both"/>
        <w:rPr>
          <w:bCs/>
          <w:noProof/>
          <w:lang w:val="de-DE"/>
        </w:rPr>
      </w:pPr>
      <w:r w:rsidRPr="00170422">
        <w:rPr>
          <w:noProof/>
          <w:lang w:val="de-DE"/>
        </w:rPr>
        <w:t>Investitio</w:t>
      </w:r>
      <w:r w:rsidRPr="00170422">
        <w:rPr>
          <w:noProof/>
          <w:lang w:val="de-DE"/>
        </w:rPr>
        <w:t>n 5.4 – Kapitalzufuhr in den von CDP Venture Capital SGR verwalteten Fonds für den grünen Wandel („GTF“)</w:t>
      </w:r>
    </w:p>
    <w:p w14:paraId="60359F7B" w14:textId="77777777" w:rsidR="0057163C" w:rsidRPr="00170422" w:rsidRDefault="00F37BF9">
      <w:pPr>
        <w:pStyle w:val="P68B1DB1-Normal8"/>
        <w:spacing w:line="240" w:lineRule="auto"/>
        <w:jc w:val="both"/>
        <w:rPr>
          <w:noProof/>
          <w:lang w:val="de-DE"/>
        </w:rPr>
      </w:pPr>
      <w:r w:rsidRPr="00170422">
        <w:rPr>
          <w:noProof/>
          <w:lang w:val="de-DE"/>
        </w:rPr>
        <w:t xml:space="preserve">Mit dieser Maßnahme soll das Wachstumspotenzial der italienischen Wirtschaft gefördert werden, indem Anreize für private Investitionen geschaffen, der </w:t>
      </w:r>
      <w:r w:rsidRPr="00170422">
        <w:rPr>
          <w:noProof/>
          <w:lang w:val="de-DE"/>
        </w:rPr>
        <w:t>Zugang zu Finanzmitteln für am ökologischen Wandel beteiligte Start-up-Unternehmen verbessert und der Risikokapitalmarkt in diesem Sektor ausgebaut wird. Die Maßnahme besteht in einer Kapitalzuführung in Höhe von 250 000 000 EUR in den von CDP Venture Capi</w:t>
      </w:r>
      <w:r w:rsidRPr="00170422">
        <w:rPr>
          <w:noProof/>
          <w:lang w:val="de-DE"/>
        </w:rPr>
        <w:t xml:space="preserve">tal SGR verwalteten Fonds für den grünen Wandel („GTF“). </w:t>
      </w:r>
    </w:p>
    <w:p w14:paraId="3DD3515B" w14:textId="61FA2EDF" w:rsidR="0057163C" w:rsidRPr="00170422" w:rsidRDefault="00F37BF9">
      <w:pPr>
        <w:pStyle w:val="P68B1DB1-LegalNumPar260"/>
        <w:numPr>
          <w:ilvl w:val="0"/>
          <w:numId w:val="0"/>
        </w:numPr>
        <w:spacing w:line="259" w:lineRule="auto"/>
        <w:jc w:val="both"/>
        <w:rPr>
          <w:noProof/>
          <w:lang w:val="de-DE"/>
        </w:rPr>
      </w:pPr>
      <w:r w:rsidRPr="00170422">
        <w:rPr>
          <w:noProof/>
          <w:lang w:val="de-DE"/>
        </w:rPr>
        <w:t>CDP Venture Capital SGR verfolgt eine Anlagestrategie für die Nutzung des Eigenkapitals. Die Anlagestrategie enthält eine Beschreibung des/der Finanzprodukt(s) mit der voraussichtlichen Art der förd</w:t>
      </w:r>
      <w:r w:rsidRPr="00170422">
        <w:rPr>
          <w:noProof/>
          <w:lang w:val="de-DE"/>
        </w:rPr>
        <w:t>erfähigen Endempfänger, die das Eigenkapital voraussichtlich unterstützen wird, einschließlich des voraussichtlichen Zeitplans für die Durchführung von 15 Jahren und der Verwaltungsgebühr von höchstens 13 %.</w:t>
      </w:r>
      <w:r w:rsidRPr="00170422">
        <w:rPr>
          <w:noProof/>
          <w:vertAlign w:val="superscript"/>
          <w:lang w:val="de-DE"/>
        </w:rPr>
        <w:footnoteReference w:id="32"/>
      </w:r>
      <w:r w:rsidRPr="00170422">
        <w:rPr>
          <w:noProof/>
          <w:lang w:val="de-DE"/>
        </w:rPr>
        <w:t xml:space="preserve"> Der GTF wird durch direkte oder indirekte Unter</w:t>
      </w:r>
      <w:r w:rsidRPr="00170422">
        <w:rPr>
          <w:noProof/>
          <w:lang w:val="de-DE"/>
        </w:rPr>
        <w:t>stützung in Form von Eigenkapital, Quasi-Eigenkapital, Fremd- oder Quasi-Schuldtiteln betrieben.</w:t>
      </w:r>
      <w:r w:rsidRPr="00170422">
        <w:rPr>
          <w:noProof/>
          <w:vertAlign w:val="superscript"/>
          <w:lang w:val="de-DE"/>
        </w:rPr>
        <w:footnoteReference w:id="33"/>
      </w:r>
      <w:r w:rsidRPr="00170422">
        <w:rPr>
          <w:noProof/>
          <w:lang w:val="de-DE"/>
        </w:rPr>
        <w:t xml:space="preserve"> CDP Venture Capital SGR wendet das in den Leitlinien „Linee Guida per le attività di rendicontazione e controllo dei Fondi DTF e GTF e GTF“ beschriebene Prüfu</w:t>
      </w:r>
      <w:r w:rsidRPr="00170422">
        <w:rPr>
          <w:noProof/>
          <w:lang w:val="de-DE"/>
        </w:rPr>
        <w:t>ngs- und Kontrollsystem für die Verwendung des Eigenkapitals an. Die Investitionspolitik schreibt vor, dass Finanzprodukte, die mit dem Eigenkapital unterstützt werden, dem Grundsatz der „Vermeidung erheblicher Beeinträchtigungen“ (DNSH) gemäß den technisc</w:t>
      </w:r>
      <w:r w:rsidRPr="00170422">
        <w:rPr>
          <w:noProof/>
          <w:lang w:val="de-DE"/>
        </w:rPr>
        <w:t>hen Leitlinien zur Vermeidung erheblicher Beeinträchtigungen (2021/C58/01) entsprechen müssen. Insbesondere im Falle der allgemeinen Unterstützung von Start-up-Unternehmen schließt die Investitionspolitik Unternehmen mit einem wesentlichen Schwerpunkt</w:t>
      </w:r>
      <w:r w:rsidRPr="00170422">
        <w:rPr>
          <w:noProof/>
          <w:vertAlign w:val="superscript"/>
          <w:lang w:val="de-DE"/>
        </w:rPr>
        <w:footnoteReference w:id="34"/>
      </w:r>
      <w:r w:rsidRPr="00170422">
        <w:rPr>
          <w:noProof/>
          <w:lang w:val="de-DE"/>
        </w:rPr>
        <w:t xml:space="preserve"> in </w:t>
      </w:r>
      <w:r w:rsidRPr="00170422">
        <w:rPr>
          <w:noProof/>
          <w:lang w:val="de-DE"/>
        </w:rPr>
        <w:t>folgenden Sektoren aus: I) auf fossilen Brennstoffen basierende Energieerzeugung und damit verbundene Tätigkeiten</w:t>
      </w:r>
      <w:r w:rsidRPr="00170422">
        <w:rPr>
          <w:noProof/>
          <w:vertAlign w:val="superscript"/>
          <w:lang w:val="de-DE"/>
        </w:rPr>
        <w:footnoteReference w:id="35"/>
      </w:r>
      <w:r w:rsidRPr="00170422">
        <w:rPr>
          <w:noProof/>
          <w:lang w:val="de-DE"/>
        </w:rPr>
        <w:t>; II) energieintensive und/oder CO2-Emissionen verursachende Industrien</w:t>
      </w:r>
      <w:r w:rsidRPr="00170422">
        <w:rPr>
          <w:noProof/>
          <w:vertAlign w:val="superscript"/>
          <w:lang w:val="de-DE"/>
        </w:rPr>
        <w:footnoteReference w:id="36"/>
      </w:r>
      <w:r w:rsidRPr="00170422">
        <w:rPr>
          <w:noProof/>
          <w:lang w:val="de-DE"/>
        </w:rPr>
        <w:t>; III) Herstellung, Vermietung oder Verkauf umweltschädlicher Fahrzeug</w:t>
      </w:r>
      <w:r w:rsidRPr="00170422">
        <w:rPr>
          <w:noProof/>
          <w:lang w:val="de-DE"/>
        </w:rPr>
        <w:t>e</w:t>
      </w:r>
      <w:r w:rsidRPr="00170422">
        <w:rPr>
          <w:noProof/>
          <w:vertAlign w:val="superscript"/>
          <w:lang w:val="de-DE"/>
        </w:rPr>
        <w:footnoteReference w:id="37"/>
      </w:r>
      <w:r w:rsidRPr="00170422">
        <w:rPr>
          <w:noProof/>
          <w:lang w:val="de-DE"/>
        </w:rPr>
        <w:t>; IV) Abfallsammlung, Abfallbehandlung und -entsorgung</w:t>
      </w:r>
      <w:r w:rsidRPr="00170422">
        <w:rPr>
          <w:noProof/>
          <w:vertAlign w:val="superscript"/>
          <w:lang w:val="de-DE"/>
        </w:rPr>
        <w:footnoteReference w:id="38"/>
      </w:r>
      <w:r w:rsidRPr="00170422">
        <w:rPr>
          <w:noProof/>
          <w:lang w:val="de-DE"/>
        </w:rPr>
        <w:t>, v) Aufbereitung von Kernbrennstoffen, Erzeugung von Kernenergie. Darüber hinaus erfordert die Investitionspolitik die Einhaltung der einschlägigen Umweltvorschriften der EU und der Mitgliedstaaten.</w:t>
      </w:r>
    </w:p>
    <w:p w14:paraId="23DD6B8B" w14:textId="77777777" w:rsidR="0057163C" w:rsidRPr="00170422" w:rsidRDefault="0057163C">
      <w:pPr>
        <w:rPr>
          <w:rFonts w:ascii="Times New Roman" w:hAnsi="Times New Roman" w:cs="Times New Roman"/>
          <w:noProof/>
          <w:lang w:val="de-DE"/>
        </w:rPr>
      </w:pPr>
    </w:p>
    <w:p w14:paraId="59ADD51B" w14:textId="77777777" w:rsidR="0057163C" w:rsidRPr="00170422" w:rsidRDefault="0057163C">
      <w:pPr>
        <w:rPr>
          <w:rFonts w:ascii="Times New Roman" w:hAnsi="Times New Roman" w:cs="Times New Roman"/>
          <w:noProof/>
          <w:lang w:val="de-DE"/>
        </w:rPr>
        <w:sectPr w:rsidR="0057163C" w:rsidRPr="00170422" w:rsidSect="00726CF9">
          <w:headerReference w:type="default" r:id="rId84"/>
          <w:footerReference w:type="default" r:id="rId85"/>
          <w:pgSz w:w="11906" w:h="16838"/>
          <w:pgMar w:top="1440" w:right="1440" w:bottom="1440" w:left="1440" w:header="708" w:footer="708" w:gutter="0"/>
          <w:cols w:space="708"/>
          <w:docGrid w:linePitch="360"/>
        </w:sectPr>
      </w:pPr>
    </w:p>
    <w:p w14:paraId="7CD55482"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E.2. </w:t>
      </w:r>
      <w:r w:rsidRPr="00170422">
        <w:rPr>
          <w:noProof/>
          <w:lang w:val="de-DE"/>
        </w:rPr>
        <w:t xml:space="preserve"> </w:t>
      </w:r>
      <w:r w:rsidRPr="00170422">
        <w:rPr>
          <w:b/>
          <w:noProof/>
          <w:u w:val="single"/>
          <w:lang w:val="de-DE"/>
        </w:rPr>
        <w:t>Etappenziele, Zielwerte, Indikatoren und Zeitplan für die Überwachung und Durchführung der nicht rückzahlbaren finanziellen Unterstützung</w:t>
      </w:r>
    </w:p>
    <w:tbl>
      <w:tblPr>
        <w:tblW w:w="15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682"/>
        <w:gridCol w:w="1309"/>
        <w:gridCol w:w="1192"/>
        <w:gridCol w:w="1374"/>
        <w:gridCol w:w="1267"/>
        <w:gridCol w:w="1412"/>
        <w:gridCol w:w="982"/>
        <w:gridCol w:w="975"/>
        <w:gridCol w:w="698"/>
        <w:gridCol w:w="3675"/>
      </w:tblGrid>
      <w:tr w:rsidR="0057163C" w:rsidRPr="00170422" w14:paraId="05895A6C" w14:textId="77777777" w:rsidTr="00A25317">
        <w:trPr>
          <w:trHeight w:val="300"/>
          <w:tblHeader/>
          <w:jc w:val="center"/>
        </w:trPr>
        <w:tc>
          <w:tcPr>
            <w:tcW w:w="1101" w:type="dxa"/>
            <w:vMerge w:val="restart"/>
            <w:shd w:val="clear" w:color="auto" w:fill="BDD7EE"/>
            <w:noWrap/>
            <w:vAlign w:val="center"/>
          </w:tcPr>
          <w:p w14:paraId="1F17E80E"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Laufende Nummer</w:t>
            </w:r>
          </w:p>
        </w:tc>
        <w:tc>
          <w:tcPr>
            <w:tcW w:w="1682" w:type="dxa"/>
            <w:vMerge w:val="restart"/>
            <w:shd w:val="clear" w:color="auto" w:fill="BDD7EE"/>
            <w:noWrap/>
            <w:vAlign w:val="center"/>
          </w:tcPr>
          <w:p w14:paraId="732E190E"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 xml:space="preserve">Verbundene Maßnahme (Reform oder </w:t>
            </w:r>
            <w:r w:rsidRPr="00170422">
              <w:rPr>
                <w:noProof/>
                <w:lang w:val="de-DE"/>
              </w:rPr>
              <w:t>Investition)</w:t>
            </w:r>
          </w:p>
        </w:tc>
        <w:tc>
          <w:tcPr>
            <w:tcW w:w="1309" w:type="dxa"/>
            <w:vMerge w:val="restart"/>
            <w:shd w:val="clear" w:color="auto" w:fill="BDD7EE"/>
            <w:noWrap/>
            <w:vAlign w:val="center"/>
          </w:tcPr>
          <w:p w14:paraId="4A842239" w14:textId="28699EDC" w:rsidR="0057163C" w:rsidRPr="00170422" w:rsidRDefault="00F37BF9">
            <w:pPr>
              <w:pStyle w:val="P68B1DB1-Normal10"/>
              <w:spacing w:line="276" w:lineRule="auto"/>
              <w:jc w:val="center"/>
              <w:rPr>
                <w:noProof/>
                <w:color w:val="006100"/>
                <w:szCs w:val="20"/>
                <w:lang w:val="de-DE"/>
              </w:rPr>
            </w:pPr>
            <w:r w:rsidRPr="00170422">
              <w:rPr>
                <w:noProof/>
                <w:lang w:val="de-DE"/>
              </w:rPr>
              <w:t>Etappenziel/</w:t>
            </w:r>
            <w:r w:rsidR="00A25317" w:rsidRPr="00170422">
              <w:rPr>
                <w:noProof/>
                <w:lang w:val="de-DE"/>
              </w:rPr>
              <w:br/>
            </w:r>
            <w:r w:rsidRPr="00170422">
              <w:rPr>
                <w:noProof/>
                <w:lang w:val="de-DE"/>
              </w:rPr>
              <w:t>Zielwert</w:t>
            </w:r>
          </w:p>
        </w:tc>
        <w:tc>
          <w:tcPr>
            <w:tcW w:w="1192" w:type="dxa"/>
            <w:vMerge w:val="restart"/>
            <w:shd w:val="clear" w:color="auto" w:fill="BDD7EE"/>
            <w:noWrap/>
            <w:vAlign w:val="center"/>
          </w:tcPr>
          <w:p w14:paraId="4A21D387"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Namen</w:t>
            </w:r>
          </w:p>
        </w:tc>
        <w:tc>
          <w:tcPr>
            <w:tcW w:w="1374" w:type="dxa"/>
            <w:vMerge w:val="restart"/>
            <w:shd w:val="clear" w:color="auto" w:fill="BDD7EE"/>
            <w:noWrap/>
            <w:vAlign w:val="center"/>
          </w:tcPr>
          <w:p w14:paraId="0EBCAE53" w14:textId="770033C9" w:rsidR="0057163C" w:rsidRPr="00170422" w:rsidRDefault="00F37BF9">
            <w:pPr>
              <w:spacing w:line="276" w:lineRule="auto"/>
              <w:jc w:val="center"/>
              <w:rPr>
                <w:rFonts w:ascii="Arial Narrow" w:hAnsi="Arial Narrow"/>
                <w:noProof/>
                <w:color w:val="006100"/>
                <w:sz w:val="20"/>
                <w:szCs w:val="20"/>
                <w:lang w:val="de-DE"/>
              </w:rPr>
            </w:pPr>
            <w:r w:rsidRPr="00170422">
              <w:rPr>
                <w:rFonts w:ascii="Arial Narrow" w:hAnsi="Arial Narrow"/>
                <w:b/>
                <w:noProof/>
                <w:sz w:val="20"/>
                <w:lang w:val="de-DE"/>
              </w:rPr>
              <w:t>Etappenziel/</w:t>
            </w:r>
            <w:r w:rsidR="00A2531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661" w:type="dxa"/>
            <w:gridSpan w:val="3"/>
            <w:shd w:val="clear" w:color="auto" w:fill="BDD7EE"/>
            <w:noWrap/>
            <w:vAlign w:val="center"/>
          </w:tcPr>
          <w:p w14:paraId="7778562E" w14:textId="77777777" w:rsidR="0057163C" w:rsidRPr="00170422" w:rsidRDefault="00F37BF9">
            <w:pPr>
              <w:spacing w:line="276" w:lineRule="auto"/>
              <w:jc w:val="center"/>
              <w:rPr>
                <w:rFonts w:ascii="Arial Narrow" w:hAnsi="Arial Narrow"/>
                <w:noProof/>
                <w:color w:val="006100"/>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673" w:type="dxa"/>
            <w:gridSpan w:val="2"/>
            <w:shd w:val="clear" w:color="auto" w:fill="BDD7EE"/>
            <w:noWrap/>
            <w:vAlign w:val="center"/>
          </w:tcPr>
          <w:p w14:paraId="5E8F0D1C"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Vorläufiger Zeitplan für die Fertigstellung</w:t>
            </w:r>
          </w:p>
        </w:tc>
        <w:tc>
          <w:tcPr>
            <w:tcW w:w="3675" w:type="dxa"/>
            <w:vMerge w:val="restart"/>
            <w:shd w:val="clear" w:color="auto" w:fill="BDD7EE"/>
            <w:noWrap/>
            <w:vAlign w:val="center"/>
          </w:tcPr>
          <w:p w14:paraId="30F6C251" w14:textId="77777777" w:rsidR="0057163C" w:rsidRPr="00170422" w:rsidRDefault="00F37BF9">
            <w:pPr>
              <w:pStyle w:val="P68B1DB1-Normal10"/>
              <w:spacing w:after="120"/>
              <w:rPr>
                <w:noProof/>
                <w:color w:val="006100"/>
                <w:szCs w:val="20"/>
                <w:lang w:val="de-DE"/>
              </w:rPr>
            </w:pPr>
            <w:r w:rsidRPr="00170422">
              <w:rPr>
                <w:noProof/>
                <w:lang w:val="de-DE"/>
              </w:rPr>
              <w:t>Beschreibung der einzelnen Etappenziele und Zielvorgaben</w:t>
            </w:r>
          </w:p>
        </w:tc>
      </w:tr>
      <w:tr w:rsidR="0057163C" w:rsidRPr="00170422" w14:paraId="169065AF" w14:textId="77777777" w:rsidTr="00A25317">
        <w:trPr>
          <w:trHeight w:val="300"/>
          <w:tblHeader/>
          <w:jc w:val="center"/>
        </w:trPr>
        <w:tc>
          <w:tcPr>
            <w:tcW w:w="1101" w:type="dxa"/>
            <w:vMerge/>
            <w:noWrap/>
            <w:vAlign w:val="center"/>
          </w:tcPr>
          <w:p w14:paraId="015E8F2B" w14:textId="77777777" w:rsidR="0057163C" w:rsidRPr="00170422" w:rsidRDefault="0057163C">
            <w:pPr>
              <w:spacing w:line="276" w:lineRule="auto"/>
              <w:jc w:val="center"/>
              <w:rPr>
                <w:rFonts w:ascii="Arial Narrow" w:hAnsi="Arial Narrow"/>
                <w:noProof/>
                <w:color w:val="006100"/>
                <w:sz w:val="20"/>
                <w:szCs w:val="20"/>
                <w:lang w:val="de-DE"/>
              </w:rPr>
            </w:pPr>
          </w:p>
        </w:tc>
        <w:tc>
          <w:tcPr>
            <w:tcW w:w="1682" w:type="dxa"/>
            <w:vMerge/>
            <w:noWrap/>
            <w:vAlign w:val="center"/>
          </w:tcPr>
          <w:p w14:paraId="23A7255C" w14:textId="77777777" w:rsidR="0057163C" w:rsidRPr="00170422" w:rsidRDefault="0057163C">
            <w:pPr>
              <w:spacing w:line="276" w:lineRule="auto"/>
              <w:jc w:val="center"/>
              <w:rPr>
                <w:rFonts w:ascii="Arial Narrow" w:hAnsi="Arial Narrow"/>
                <w:noProof/>
                <w:color w:val="006100"/>
                <w:sz w:val="20"/>
                <w:szCs w:val="20"/>
                <w:lang w:val="de-DE"/>
              </w:rPr>
            </w:pPr>
          </w:p>
        </w:tc>
        <w:tc>
          <w:tcPr>
            <w:tcW w:w="1309" w:type="dxa"/>
            <w:vMerge/>
            <w:noWrap/>
            <w:vAlign w:val="center"/>
          </w:tcPr>
          <w:p w14:paraId="5E5111DD" w14:textId="77777777" w:rsidR="0057163C" w:rsidRPr="00170422" w:rsidRDefault="0057163C">
            <w:pPr>
              <w:spacing w:line="276" w:lineRule="auto"/>
              <w:jc w:val="center"/>
              <w:rPr>
                <w:rFonts w:ascii="Arial Narrow" w:hAnsi="Arial Narrow"/>
                <w:noProof/>
                <w:color w:val="006100"/>
                <w:sz w:val="20"/>
                <w:szCs w:val="20"/>
                <w:lang w:val="de-DE"/>
              </w:rPr>
            </w:pPr>
          </w:p>
        </w:tc>
        <w:tc>
          <w:tcPr>
            <w:tcW w:w="1192" w:type="dxa"/>
            <w:vMerge/>
            <w:noWrap/>
            <w:vAlign w:val="center"/>
          </w:tcPr>
          <w:p w14:paraId="67272FA6" w14:textId="77777777" w:rsidR="0057163C" w:rsidRPr="00170422" w:rsidRDefault="0057163C">
            <w:pPr>
              <w:spacing w:line="276" w:lineRule="auto"/>
              <w:jc w:val="center"/>
              <w:rPr>
                <w:rFonts w:ascii="Arial Narrow" w:hAnsi="Arial Narrow"/>
                <w:noProof/>
                <w:color w:val="006100"/>
                <w:sz w:val="20"/>
                <w:szCs w:val="20"/>
                <w:lang w:val="de-DE"/>
              </w:rPr>
            </w:pPr>
          </w:p>
        </w:tc>
        <w:tc>
          <w:tcPr>
            <w:tcW w:w="1374" w:type="dxa"/>
            <w:vMerge/>
            <w:noWrap/>
            <w:vAlign w:val="center"/>
          </w:tcPr>
          <w:p w14:paraId="655BEC16" w14:textId="77777777" w:rsidR="0057163C" w:rsidRPr="00170422" w:rsidRDefault="0057163C">
            <w:pPr>
              <w:spacing w:line="276" w:lineRule="auto"/>
              <w:jc w:val="center"/>
              <w:rPr>
                <w:rFonts w:ascii="Arial Narrow" w:hAnsi="Arial Narrow"/>
                <w:noProof/>
                <w:color w:val="006100"/>
                <w:sz w:val="20"/>
                <w:szCs w:val="20"/>
                <w:lang w:val="de-DE"/>
              </w:rPr>
            </w:pPr>
          </w:p>
        </w:tc>
        <w:tc>
          <w:tcPr>
            <w:tcW w:w="1267" w:type="dxa"/>
            <w:shd w:val="clear" w:color="auto" w:fill="BDD7EE"/>
            <w:noWrap/>
            <w:vAlign w:val="center"/>
          </w:tcPr>
          <w:p w14:paraId="127D00B4"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Maßeinheit</w:t>
            </w:r>
          </w:p>
        </w:tc>
        <w:tc>
          <w:tcPr>
            <w:tcW w:w="1412" w:type="dxa"/>
            <w:shd w:val="clear" w:color="auto" w:fill="BDD7EE"/>
            <w:noWrap/>
            <w:vAlign w:val="center"/>
          </w:tcPr>
          <w:p w14:paraId="6090C4C4"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Ausgangslage</w:t>
            </w:r>
          </w:p>
        </w:tc>
        <w:tc>
          <w:tcPr>
            <w:tcW w:w="982" w:type="dxa"/>
            <w:shd w:val="clear" w:color="auto" w:fill="BDD7EE"/>
            <w:noWrap/>
            <w:vAlign w:val="center"/>
          </w:tcPr>
          <w:p w14:paraId="2CD98911"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Ziel</w:t>
            </w:r>
          </w:p>
        </w:tc>
        <w:tc>
          <w:tcPr>
            <w:tcW w:w="975" w:type="dxa"/>
            <w:shd w:val="clear" w:color="auto" w:fill="BDD7EE"/>
            <w:noWrap/>
            <w:vAlign w:val="center"/>
          </w:tcPr>
          <w:p w14:paraId="306C204D"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Viertel</w:t>
            </w:r>
          </w:p>
        </w:tc>
        <w:tc>
          <w:tcPr>
            <w:tcW w:w="698" w:type="dxa"/>
            <w:shd w:val="clear" w:color="auto" w:fill="BDD7EE"/>
            <w:noWrap/>
            <w:vAlign w:val="center"/>
          </w:tcPr>
          <w:p w14:paraId="3F1FFC9E" w14:textId="77777777" w:rsidR="0057163C" w:rsidRPr="00170422" w:rsidRDefault="00F37BF9">
            <w:pPr>
              <w:pStyle w:val="P68B1DB1-Normal10"/>
              <w:spacing w:line="276" w:lineRule="auto"/>
              <w:jc w:val="center"/>
              <w:rPr>
                <w:noProof/>
                <w:color w:val="006100"/>
                <w:szCs w:val="20"/>
                <w:lang w:val="de-DE"/>
              </w:rPr>
            </w:pPr>
            <w:r w:rsidRPr="00170422">
              <w:rPr>
                <w:noProof/>
                <w:lang w:val="de-DE"/>
              </w:rPr>
              <w:t>Jahre</w:t>
            </w:r>
          </w:p>
        </w:tc>
        <w:tc>
          <w:tcPr>
            <w:tcW w:w="3675" w:type="dxa"/>
            <w:vMerge/>
            <w:noWrap/>
            <w:vAlign w:val="center"/>
          </w:tcPr>
          <w:p w14:paraId="492B20A6" w14:textId="77777777" w:rsidR="0057163C" w:rsidRPr="00170422" w:rsidRDefault="0057163C">
            <w:pPr>
              <w:spacing w:after="120"/>
              <w:rPr>
                <w:rFonts w:ascii="Arial Narrow" w:hAnsi="Arial Narrow"/>
                <w:noProof/>
                <w:color w:val="006100"/>
                <w:sz w:val="20"/>
                <w:szCs w:val="20"/>
                <w:lang w:val="de-DE"/>
              </w:rPr>
            </w:pPr>
          </w:p>
        </w:tc>
      </w:tr>
      <w:tr w:rsidR="0057163C" w:rsidRPr="00170422" w14:paraId="6659BBB6"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99BB33" w14:textId="77777777" w:rsidR="0057163C" w:rsidRPr="00170422" w:rsidRDefault="00F37BF9">
            <w:pPr>
              <w:pStyle w:val="P68B1DB1-Normal11"/>
              <w:spacing w:line="276" w:lineRule="auto"/>
              <w:jc w:val="center"/>
              <w:rPr>
                <w:noProof/>
                <w:szCs w:val="20"/>
                <w:lang w:val="de-DE"/>
              </w:rPr>
            </w:pPr>
            <w:r w:rsidRPr="00170422">
              <w:rPr>
                <w:noProof/>
                <w:lang w:val="de-DE"/>
              </w:rPr>
              <w:t>M2C2-6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AF5816" w14:textId="77777777" w:rsidR="0057163C" w:rsidRPr="00170422" w:rsidRDefault="00F37BF9">
            <w:pPr>
              <w:pStyle w:val="P68B1DB1-Normal11"/>
              <w:spacing w:line="276" w:lineRule="auto"/>
              <w:jc w:val="center"/>
              <w:rPr>
                <w:noProof/>
                <w:szCs w:val="20"/>
                <w:lang w:val="de-DE"/>
              </w:rPr>
            </w:pPr>
            <w:r w:rsidRPr="00170422">
              <w:rPr>
                <w:noProof/>
                <w:lang w:val="de-DE"/>
              </w:rPr>
              <w:t>Reform 1: Vereinfachung der Genehmigungsverfahren für erneuerbare Onshore- und Offshore-Anlagen und neuer Rechtsrahmen</w:t>
            </w:r>
            <w:r w:rsidRPr="00170422">
              <w:rPr>
                <w:noProof/>
                <w:lang w:val="de-DE"/>
              </w:rPr>
              <w:t xml:space="preserve"> zur Förderung der Erzeugung aus erneuerbaren Quellen und der Dauer und Verlängerung der Förderfähigkeit der derzeitigen Förderregelungen</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D3258D"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458E1"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Inkrafttreten eines Rechtsrahmens zur Vereinfachung der Genehmigungsverfahren für den Bau von Anlagen für </w:t>
            </w:r>
            <w:r w:rsidRPr="00170422">
              <w:rPr>
                <w:noProof/>
                <w:lang w:val="de-DE"/>
              </w:rPr>
              <w:t>erneuerbare Onshore- und Offshore-Energien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E29497" w14:textId="77777777" w:rsidR="0057163C" w:rsidRPr="00170422" w:rsidRDefault="00F37BF9">
            <w:pPr>
              <w:pStyle w:val="P68B1DB1-Normal11"/>
              <w:spacing w:line="276" w:lineRule="auto"/>
              <w:jc w:val="center"/>
              <w:rPr>
                <w:noProof/>
                <w:szCs w:val="20"/>
                <w:lang w:val="de-DE"/>
              </w:rPr>
            </w:pPr>
            <w:r w:rsidRPr="00170422">
              <w:rPr>
                <w:noProof/>
                <w:lang w:val="de-DE"/>
              </w:rPr>
              <w:t>Gesetzliche Bestimmung über das Inkrafttreten des Gesetzes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B519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563D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734CF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BE237"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022CF3" w14:textId="77777777" w:rsidR="0057163C" w:rsidRPr="00170422" w:rsidRDefault="00F37BF9">
            <w:pPr>
              <w:pStyle w:val="P68B1DB1-Normal11"/>
              <w:spacing w:line="276" w:lineRule="auto"/>
              <w:jc w:val="center"/>
              <w:rPr>
                <w:noProof/>
                <w:szCs w:val="20"/>
                <w:lang w:val="de-DE"/>
              </w:rPr>
            </w:pPr>
            <w:r w:rsidRPr="00170422">
              <w:rPr>
                <w:noProof/>
                <w:lang w:val="de-DE"/>
              </w:rPr>
              <w:t>2024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33F5E" w14:textId="77777777" w:rsidR="0057163C" w:rsidRPr="00170422" w:rsidRDefault="00F37BF9">
            <w:pPr>
              <w:pStyle w:val="P68B1DB1-Normal11"/>
              <w:spacing w:after="120"/>
              <w:rPr>
                <w:noProof/>
                <w:szCs w:val="20"/>
                <w:lang w:val="de-DE"/>
              </w:rPr>
            </w:pPr>
            <w:r w:rsidRPr="00170422">
              <w:rPr>
                <w:noProof/>
                <w:lang w:val="de-DE"/>
              </w:rPr>
              <w:t>Der Rechtsrahmen umfasst folgende Ziele:</w:t>
            </w:r>
          </w:p>
          <w:p w14:paraId="3422D1DD" w14:textId="77777777" w:rsidR="0057163C" w:rsidRPr="00170422" w:rsidRDefault="00F37BF9">
            <w:pPr>
              <w:pStyle w:val="P68B1DB1-Normal11"/>
              <w:numPr>
                <w:ilvl w:val="0"/>
                <w:numId w:val="28"/>
              </w:numPr>
              <w:pBdr>
                <w:top w:val="nil"/>
                <w:left w:val="nil"/>
                <w:bottom w:val="nil"/>
                <w:right w:val="nil"/>
                <w:between w:val="nil"/>
              </w:pBdr>
              <w:spacing w:after="120" w:line="240" w:lineRule="auto"/>
              <w:rPr>
                <w:noProof/>
                <w:szCs w:val="20"/>
                <w:lang w:val="de-DE"/>
              </w:rPr>
            </w:pPr>
            <w:r w:rsidRPr="00170422">
              <w:rPr>
                <w:noProof/>
                <w:lang w:val="de-DE"/>
              </w:rPr>
              <w:t>das Inkrafttreten von Vereinfachungsmaßnahmen für Anlagen zur Nutzung erneu</w:t>
            </w:r>
            <w:r w:rsidRPr="00170422">
              <w:rPr>
                <w:noProof/>
                <w:lang w:val="de-DE"/>
              </w:rPr>
              <w:t>erbarer Energiequellen und das Repowering und die Umgestaltung bestehender Anlagen im Einklang mit den Bestimmungen des Gesetzesdekrets Nr. 76 vom 17. Juli 2020 („Vereinfachungserlass“);</w:t>
            </w:r>
          </w:p>
          <w:p w14:paraId="36D9E786" w14:textId="5768A3EC" w:rsidR="0057163C" w:rsidRPr="00170422" w:rsidRDefault="00F37BF9">
            <w:pPr>
              <w:pStyle w:val="P68B1DB1-Normal11"/>
              <w:numPr>
                <w:ilvl w:val="0"/>
                <w:numId w:val="28"/>
              </w:numPr>
              <w:pBdr>
                <w:top w:val="nil"/>
                <w:left w:val="nil"/>
                <w:bottom w:val="nil"/>
                <w:right w:val="nil"/>
                <w:between w:val="nil"/>
              </w:pBdr>
              <w:spacing w:after="120" w:line="240" w:lineRule="auto"/>
              <w:rPr>
                <w:noProof/>
                <w:szCs w:val="20"/>
                <w:lang w:val="de-DE"/>
              </w:rPr>
            </w:pPr>
            <w:r w:rsidRPr="00170422">
              <w:rPr>
                <w:noProof/>
                <w:lang w:val="de-DE"/>
              </w:rPr>
              <w:t>Erlass eines mit den Regionen und den anderen betroffenen staatlichen</w:t>
            </w:r>
            <w:r w:rsidRPr="00170422">
              <w:rPr>
                <w:noProof/>
                <w:lang w:val="de-DE"/>
              </w:rPr>
              <w:t xml:space="preserve"> Verwaltungen abgestimmten Dekrets zur Festlegung von Kriterien für die Ermittlung der Gebiete, die für die Errichtung von Anlagen zur Erzeugung erneuerbarer Energien für eine zusätzliche Kapazität zur Erzeugung erneuerbarer Energie von mindestens 73 GW ge</w:t>
            </w:r>
            <w:r w:rsidRPr="00170422">
              <w:rPr>
                <w:noProof/>
                <w:lang w:val="de-DE"/>
              </w:rPr>
              <w:t>eignet und nicht geeignet sind, um die Ziele der Entwicklung erneuerbarer Energiequellen zu erreichen;</w:t>
            </w:r>
          </w:p>
          <w:p w14:paraId="6093CA28" w14:textId="77777777" w:rsidR="0057163C" w:rsidRPr="00170422" w:rsidRDefault="00F37BF9">
            <w:pPr>
              <w:pStyle w:val="P68B1DB1-Normal11"/>
              <w:numPr>
                <w:ilvl w:val="0"/>
                <w:numId w:val="28"/>
              </w:numPr>
              <w:pBdr>
                <w:top w:val="nil"/>
                <w:left w:val="nil"/>
                <w:bottom w:val="nil"/>
                <w:right w:val="nil"/>
                <w:between w:val="nil"/>
              </w:pBdr>
              <w:spacing w:after="120" w:line="240" w:lineRule="auto"/>
              <w:rPr>
                <w:noProof/>
                <w:szCs w:val="20"/>
                <w:lang w:val="de-DE"/>
              </w:rPr>
            </w:pPr>
            <w:r w:rsidRPr="00170422">
              <w:rPr>
                <w:noProof/>
                <w:lang w:val="de-DE"/>
              </w:rPr>
              <w:t>die Vollendung des Mechanismus zur Förderung erneuerbarer Energiequellen auch für zusätzliche Technologien, die nicht ausgereift sind oder hohe Betriebsk</w:t>
            </w:r>
            <w:r w:rsidRPr="00170422">
              <w:rPr>
                <w:noProof/>
                <w:lang w:val="de-DE"/>
              </w:rPr>
              <w:t>osten verursachen, und die Verlängerung der Auktionsfrist für den sogenannten RES1-Mechanismus unter Wahrung des Grundsatzes des wettbewerbsorientierten Zugangs;</w:t>
            </w:r>
          </w:p>
          <w:p w14:paraId="20BF4F81" w14:textId="77777777" w:rsidR="0057163C" w:rsidRPr="00170422" w:rsidRDefault="00F37BF9">
            <w:pPr>
              <w:pStyle w:val="P68B1DB1-Normal11"/>
              <w:numPr>
                <w:ilvl w:val="0"/>
                <w:numId w:val="28"/>
              </w:numPr>
              <w:pBdr>
                <w:top w:val="nil"/>
                <w:left w:val="nil"/>
                <w:bottom w:val="nil"/>
                <w:right w:val="nil"/>
                <w:between w:val="nil"/>
              </w:pBdr>
              <w:spacing w:after="120" w:line="240" w:lineRule="auto"/>
              <w:rPr>
                <w:noProof/>
                <w:szCs w:val="20"/>
                <w:lang w:val="de-DE"/>
              </w:rPr>
            </w:pPr>
            <w:r w:rsidRPr="00170422">
              <w:rPr>
                <w:noProof/>
                <w:lang w:val="de-DE"/>
              </w:rPr>
              <w:t>Bestimmungen zur Förderung von Investitionen in Speichersysteme im gesetzesvertretenden Dekret</w:t>
            </w:r>
            <w:r w:rsidRPr="00170422">
              <w:rPr>
                <w:noProof/>
                <w:lang w:val="de-DE"/>
              </w:rPr>
              <w:t xml:space="preserve"> zur Umsetzung der Richtlinie (EU) 2019/944 mit gemeinsamen Vorschriften für den Elektrizitätsbinnenmarkt.</w:t>
            </w:r>
          </w:p>
        </w:tc>
      </w:tr>
      <w:tr w:rsidR="0057163C" w:rsidRPr="00170422" w14:paraId="61C47640"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29A2" w14:textId="77777777" w:rsidR="0057163C" w:rsidRPr="00170422" w:rsidRDefault="00F37BF9">
            <w:pPr>
              <w:pStyle w:val="P68B1DB1-Normal11"/>
              <w:spacing w:line="276" w:lineRule="auto"/>
              <w:jc w:val="center"/>
              <w:rPr>
                <w:noProof/>
                <w:szCs w:val="20"/>
                <w:lang w:val="de-DE"/>
              </w:rPr>
            </w:pPr>
            <w:r w:rsidRPr="00170422">
              <w:rPr>
                <w:noProof/>
                <w:lang w:val="de-DE"/>
              </w:rPr>
              <w:t>M2C2-7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E0F0A4" w14:textId="77777777" w:rsidR="0057163C" w:rsidRPr="00170422" w:rsidRDefault="00F37BF9">
            <w:pPr>
              <w:pStyle w:val="P68B1DB1-Normal11"/>
              <w:spacing w:line="276" w:lineRule="auto"/>
              <w:jc w:val="center"/>
              <w:rPr>
                <w:noProof/>
                <w:szCs w:val="20"/>
                <w:lang w:val="de-DE"/>
              </w:rPr>
            </w:pPr>
            <w:r w:rsidRPr="00170422">
              <w:rPr>
                <w:noProof/>
                <w:lang w:val="de-DE"/>
              </w:rPr>
              <w:t>Reform 2 Neue Rechtsvorschriften zur Förderung der Erzeugung und des Verbrauchs von erneuerbarem Gas</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7C6D4F"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7A7692"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Inkrafttreten eines </w:t>
            </w:r>
            <w:r w:rsidRPr="00170422">
              <w:rPr>
                <w:noProof/>
                <w:lang w:val="de-DE"/>
              </w:rPr>
              <w:t>gesetzesvertretenden Dekrets zur Förderung der Nutzung von erneuerbarem Gas für die Nutzung von Biomethan im Verkehrs-, Industrie- und Wohnungssektor sowie eines Durchführungserlasses, in dem die Bedingungen und Kriterien für seine Nutzung und das neue Anr</w:t>
            </w:r>
            <w:r w:rsidRPr="00170422">
              <w:rPr>
                <w:noProof/>
                <w:lang w:val="de-DE"/>
              </w:rPr>
              <w:t>eizsystem festgelegt sind.</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239714" w14:textId="77777777" w:rsidR="0057163C" w:rsidRPr="00170422" w:rsidRDefault="00F37BF9">
            <w:pPr>
              <w:pStyle w:val="P68B1DB1-Normal11"/>
              <w:spacing w:line="276" w:lineRule="auto"/>
              <w:jc w:val="center"/>
              <w:rPr>
                <w:noProof/>
                <w:szCs w:val="20"/>
                <w:lang w:val="de-DE"/>
              </w:rPr>
            </w:pPr>
            <w:r w:rsidRPr="00170422">
              <w:rPr>
                <w:noProof/>
                <w:lang w:val="de-DE"/>
              </w:rPr>
              <w:t xml:space="preserve">Gesetzliche Bestimmung über das Inkrafttreten des Gesetzes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67C484" w14:textId="77777777" w:rsidR="0057163C" w:rsidRPr="00170422" w:rsidRDefault="00F37BF9">
            <w:pPr>
              <w:pStyle w:val="P68B1DB1-Normal11"/>
              <w:spacing w:line="276" w:lineRule="auto"/>
              <w:jc w:val="center"/>
              <w:rPr>
                <w:noProof/>
                <w:szCs w:val="20"/>
                <w:lang w:val="de-DE"/>
              </w:rPr>
            </w:pPr>
            <w:r w:rsidRPr="00170422">
              <w:rPr>
                <w:noProof/>
                <w:lang w:val="de-DE"/>
              </w:rPr>
              <w:t xml:space="preserve">ENTFÄLLT. </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AC52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9A7B2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72748A"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D8A8E"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93AD0" w14:textId="77777777" w:rsidR="0057163C" w:rsidRPr="00170422" w:rsidRDefault="00F37BF9">
            <w:pPr>
              <w:pStyle w:val="P68B1DB1-Normal11"/>
              <w:spacing w:after="120"/>
              <w:rPr>
                <w:noProof/>
                <w:szCs w:val="20"/>
                <w:lang w:val="de-DE"/>
              </w:rPr>
            </w:pPr>
            <w:r w:rsidRPr="00170422">
              <w:rPr>
                <w:noProof/>
                <w:lang w:val="de-DE"/>
              </w:rPr>
              <w:t>Die gesetzesvertretende Verordnung umfasst insbesondere:</w:t>
            </w:r>
          </w:p>
          <w:p w14:paraId="6981ED24" w14:textId="77777777" w:rsidR="0057163C" w:rsidRPr="00170422" w:rsidRDefault="00F37BF9">
            <w:pPr>
              <w:pStyle w:val="P68B1DB1-Normal11"/>
              <w:spacing w:after="120"/>
              <w:rPr>
                <w:noProof/>
                <w:szCs w:val="20"/>
                <w:lang w:val="de-DE"/>
              </w:rPr>
            </w:pPr>
            <w:r w:rsidRPr="00170422">
              <w:rPr>
                <w:noProof/>
                <w:lang w:val="de-DE"/>
              </w:rPr>
              <w:t>1- legislative Änderung für ein vereinfachtes Genehmigungsverfahr</w:t>
            </w:r>
            <w:r w:rsidRPr="00170422">
              <w:rPr>
                <w:noProof/>
                <w:lang w:val="de-DE"/>
              </w:rPr>
              <w:t>en und Änderung des derzeitigen Finanzhilfemechanismus, um i) den Umfang der Förderfähigkeit zu erweitern und ii) den Zeitraum für die Bereitstellung von Finanzhilfen zu verlängern und iii) die Einspeisung in den Tarif und den Herkunftsnachweis für erneuer</w:t>
            </w:r>
            <w:r w:rsidRPr="00170422">
              <w:rPr>
                <w:noProof/>
                <w:lang w:val="de-DE"/>
              </w:rPr>
              <w:t>bares Gas vorzusehen</w:t>
            </w:r>
          </w:p>
          <w:p w14:paraId="38736508" w14:textId="77777777" w:rsidR="0057163C" w:rsidRPr="00170422" w:rsidRDefault="00F37BF9">
            <w:pPr>
              <w:pStyle w:val="P68B1DB1-Normal11"/>
              <w:spacing w:after="120"/>
              <w:rPr>
                <w:noProof/>
                <w:szCs w:val="20"/>
                <w:lang w:val="de-DE"/>
              </w:rPr>
            </w:pPr>
            <w:r w:rsidRPr="00170422">
              <w:rPr>
                <w:noProof/>
                <w:lang w:val="de-DE"/>
              </w:rPr>
              <w:t xml:space="preserve">2-Die Umsetzung der RED II-Richtlinie durch gesetzesvertretendes Dekret </w:t>
            </w:r>
          </w:p>
          <w:p w14:paraId="3DF7AD69" w14:textId="77777777" w:rsidR="0057163C" w:rsidRPr="00170422" w:rsidRDefault="00F37BF9">
            <w:pPr>
              <w:pStyle w:val="P68B1DB1-Normal11"/>
              <w:spacing w:after="120"/>
              <w:rPr>
                <w:noProof/>
                <w:szCs w:val="20"/>
                <w:lang w:val="de-DE"/>
              </w:rPr>
            </w:pPr>
            <w:r w:rsidRPr="00170422">
              <w:rPr>
                <w:noProof/>
                <w:lang w:val="de-DE"/>
              </w:rPr>
              <w:t>3-Die allgemeine Koordinierung würde vom Ministero della Transizione Ecologica (MiTE) mit Unterstützung der anderen Verwaltungen mit beratender Funktion erfolgen:</w:t>
            </w:r>
            <w:r w:rsidRPr="00170422">
              <w:rPr>
                <w:noProof/>
                <w:lang w:val="de-DE"/>
              </w:rPr>
              <w:t xml:space="preserve"> Landwirtschaftsministerium (MIPAAF), Ministerium für Wirtschaft und Finanzen (MEF) und Gestore Servizi Energetici.</w:t>
            </w:r>
          </w:p>
        </w:tc>
      </w:tr>
      <w:tr w:rsidR="0057163C" w:rsidRPr="00170422" w14:paraId="3A1D46E1"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95EAD" w14:textId="77777777" w:rsidR="0057163C" w:rsidRPr="00170422" w:rsidRDefault="00F37BF9">
            <w:pPr>
              <w:pStyle w:val="P68B1DB1-Normal11"/>
              <w:spacing w:line="276" w:lineRule="auto"/>
              <w:jc w:val="center"/>
              <w:rPr>
                <w:noProof/>
                <w:szCs w:val="20"/>
                <w:lang w:val="de-DE"/>
              </w:rPr>
            </w:pPr>
            <w:r w:rsidRPr="00170422">
              <w:rPr>
                <w:noProof/>
                <w:lang w:val="de-DE"/>
              </w:rPr>
              <w:t>M2C2-8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B1DC21" w14:textId="77777777" w:rsidR="0057163C" w:rsidRPr="00170422" w:rsidRDefault="00F37BF9">
            <w:pPr>
              <w:pStyle w:val="P68B1DB1-Normal11"/>
              <w:spacing w:line="276" w:lineRule="auto"/>
              <w:jc w:val="center"/>
              <w:rPr>
                <w:noProof/>
                <w:szCs w:val="20"/>
                <w:lang w:val="de-DE"/>
              </w:rPr>
            </w:pPr>
            <w:r w:rsidRPr="00170422">
              <w:rPr>
                <w:noProof/>
                <w:lang w:val="de-DE"/>
              </w:rPr>
              <w:t>Investition 2.1 Stärkung intelligenter Netze</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6AA31"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BE939" w14:textId="77777777" w:rsidR="0057163C" w:rsidRPr="00170422" w:rsidRDefault="00F37BF9">
            <w:pPr>
              <w:pStyle w:val="P68B1DB1-Normal11"/>
              <w:spacing w:line="276" w:lineRule="auto"/>
              <w:jc w:val="center"/>
              <w:rPr>
                <w:noProof/>
                <w:szCs w:val="20"/>
                <w:lang w:val="de-DE"/>
              </w:rPr>
            </w:pPr>
            <w:r w:rsidRPr="00170422">
              <w:rPr>
                <w:noProof/>
                <w:lang w:val="de-DE"/>
              </w:rPr>
              <w:t>Vergabe (aller) öffentlicher Aufträge zur Erhöhung der Netzkapazität</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BF1E39" w14:textId="77777777" w:rsidR="0057163C" w:rsidRPr="00170422" w:rsidRDefault="00F37BF9">
            <w:pPr>
              <w:pStyle w:val="P68B1DB1-Normal11"/>
              <w:spacing w:line="276" w:lineRule="auto"/>
              <w:jc w:val="center"/>
              <w:rPr>
                <w:noProof/>
                <w:szCs w:val="20"/>
                <w:lang w:val="de-DE"/>
              </w:rPr>
            </w:pPr>
            <w:r w:rsidRPr="00170422">
              <w:rPr>
                <w:noProof/>
                <w:lang w:val="de-DE"/>
              </w:rPr>
              <w:t>Mitteilung über die Vergabe (aller) öffentlicher Aufträge für</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F76DE9"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7190"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518D22"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039CE"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64F67"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10BC5" w14:textId="77777777" w:rsidR="0057163C" w:rsidRPr="00170422" w:rsidRDefault="00F37BF9">
            <w:pPr>
              <w:pStyle w:val="P68B1DB1-Normal11"/>
              <w:spacing w:after="120"/>
              <w:rPr>
                <w:noProof/>
                <w:szCs w:val="20"/>
                <w:lang w:val="de-DE"/>
              </w:rPr>
            </w:pPr>
            <w:r w:rsidRPr="00170422">
              <w:rPr>
                <w:noProof/>
                <w:lang w:val="de-DE"/>
              </w:rPr>
              <w:t>Mitteilung über die Vergabe (aller) öffentlicher Aufträge zur Erhöhung der Netzkapazität für die Verteilung erneuerbarer Energien und die Elektrifiz</w:t>
            </w:r>
            <w:r w:rsidRPr="00170422">
              <w:rPr>
                <w:noProof/>
                <w:lang w:val="de-DE"/>
              </w:rPr>
              <w:t>ierung des Energieverbrauchs</w:t>
            </w:r>
          </w:p>
        </w:tc>
      </w:tr>
      <w:tr w:rsidR="0057163C" w:rsidRPr="00170422" w14:paraId="79316910"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5E12D6" w14:textId="5672A7EB" w:rsidR="0057163C" w:rsidRPr="00170422" w:rsidRDefault="00F37BF9">
            <w:pPr>
              <w:pStyle w:val="P68B1DB1-Normal11"/>
              <w:spacing w:line="276" w:lineRule="auto"/>
              <w:jc w:val="center"/>
              <w:rPr>
                <w:noProof/>
                <w:lang w:val="de-DE"/>
              </w:rPr>
            </w:pPr>
            <w:r w:rsidRPr="00170422">
              <w:rPr>
                <w:noProof/>
                <w:lang w:val="de-DE"/>
              </w:rPr>
              <w:t>M2C2-10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0559DD" w14:textId="07A0D11E" w:rsidR="0057163C" w:rsidRPr="00170422" w:rsidRDefault="00F37BF9">
            <w:pPr>
              <w:pStyle w:val="P68B1DB1-Normal11"/>
              <w:spacing w:line="276" w:lineRule="auto"/>
              <w:jc w:val="center"/>
              <w:rPr>
                <w:noProof/>
                <w:lang w:val="de-DE"/>
              </w:rPr>
            </w:pPr>
            <w:r w:rsidRPr="00170422">
              <w:rPr>
                <w:noProof/>
                <w:lang w:val="de-DE"/>
              </w:rPr>
              <w:t>Investition 2.1 Stärkung intelligenter Netze</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516A7" w14:textId="3F833135" w:rsidR="0057163C" w:rsidRPr="00170422" w:rsidRDefault="00F37BF9">
            <w:pPr>
              <w:pStyle w:val="P68B1DB1-Normal11"/>
              <w:spacing w:line="276" w:lineRule="auto"/>
              <w:jc w:val="center"/>
              <w:rPr>
                <w:noProof/>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2D451" w14:textId="270398C5" w:rsidR="0057163C" w:rsidRPr="00170422" w:rsidRDefault="00F37BF9">
            <w:pPr>
              <w:pStyle w:val="P68B1DB1-Normal11"/>
              <w:spacing w:line="276" w:lineRule="auto"/>
              <w:jc w:val="center"/>
              <w:rPr>
                <w:noProof/>
                <w:lang w:val="de-DE"/>
              </w:rPr>
            </w:pPr>
            <w:r w:rsidRPr="00170422">
              <w:rPr>
                <w:noProof/>
                <w:lang w:val="de-DE"/>
              </w:rPr>
              <w:t>Intelligente Netze – Erhöhung der Netzkapazität und Elektrifizierung des Energieverbrauchs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A80FF3" w14:textId="5008813A" w:rsidR="0057163C" w:rsidRPr="00170422" w:rsidRDefault="00F37BF9">
            <w:pPr>
              <w:pStyle w:val="P68B1DB1-Normal11"/>
              <w:spacing w:line="276" w:lineRule="auto"/>
              <w:jc w:val="center"/>
              <w:rPr>
                <w:noProof/>
                <w:lang w:val="de-DE"/>
              </w:rPr>
            </w:pPr>
            <w:r w:rsidRPr="00170422">
              <w:rPr>
                <w:noProof/>
                <w:lang w:val="de-DE"/>
              </w:rPr>
              <w:t>Einbau- oder Abnahmeprüfberichte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78C61B" w14:textId="77777777" w:rsidR="0057163C" w:rsidRPr="00170422" w:rsidRDefault="0057163C">
            <w:pPr>
              <w:spacing w:line="276" w:lineRule="auto"/>
              <w:jc w:val="center"/>
              <w:rPr>
                <w:rFonts w:ascii="Arial Narrow" w:hAnsi="Arial Narrow"/>
                <w:noProof/>
                <w:color w:val="006100"/>
                <w:sz w:val="20"/>
                <w:lang w:val="de-DE"/>
              </w:rPr>
            </w:pP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B1B4" w14:textId="77777777" w:rsidR="0057163C" w:rsidRPr="00170422" w:rsidRDefault="0057163C">
            <w:pPr>
              <w:spacing w:line="276" w:lineRule="auto"/>
              <w:jc w:val="center"/>
              <w:rPr>
                <w:rFonts w:ascii="Arial Narrow" w:hAnsi="Arial Narrow"/>
                <w:noProof/>
                <w:color w:val="006100"/>
                <w:sz w:val="20"/>
                <w:lang w:val="de-DE"/>
              </w:rPr>
            </w:pP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3391" w14:textId="77777777" w:rsidR="0057163C" w:rsidRPr="00170422" w:rsidRDefault="0057163C">
            <w:pPr>
              <w:spacing w:line="276" w:lineRule="auto"/>
              <w:jc w:val="center"/>
              <w:rPr>
                <w:rFonts w:ascii="Arial Narrow" w:hAnsi="Arial Narrow"/>
                <w:noProof/>
                <w:color w:val="006100"/>
                <w:sz w:val="20"/>
                <w:lang w:val="de-DE"/>
              </w:rPr>
            </w:pP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0E7BD" w14:textId="715268BB" w:rsidR="0057163C" w:rsidRPr="00170422" w:rsidRDefault="00F37BF9">
            <w:pPr>
              <w:pStyle w:val="P68B1DB1-Normal11"/>
              <w:spacing w:line="276" w:lineRule="auto"/>
              <w:jc w:val="center"/>
              <w:rPr>
                <w:noProof/>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F721FE" w14:textId="0188C5E6" w:rsidR="0057163C" w:rsidRPr="00170422" w:rsidRDefault="00F37BF9">
            <w:pPr>
              <w:pStyle w:val="P68B1DB1-Normal11"/>
              <w:spacing w:line="276" w:lineRule="auto"/>
              <w:jc w:val="center"/>
              <w:rPr>
                <w:noProof/>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CB4AF" w14:textId="77777777" w:rsidR="0057163C" w:rsidRPr="00170422" w:rsidRDefault="00F37BF9">
            <w:pPr>
              <w:pStyle w:val="P68B1DB1-Normal12"/>
              <w:rPr>
                <w:noProof/>
                <w:lang w:val="de-DE"/>
              </w:rPr>
            </w:pPr>
            <w:r w:rsidRPr="00170422">
              <w:rPr>
                <w:noProof/>
                <w:lang w:val="de-DE"/>
              </w:rPr>
              <w:t>Einbau- oder</w:t>
            </w:r>
            <w:r w:rsidRPr="00170422">
              <w:rPr>
                <w:noProof/>
                <w:lang w:val="de-DE"/>
              </w:rPr>
              <w:t xml:space="preserve"> Abnahmeprüfberichte für Eingriffe, die zu Folgendem geführt haben:</w:t>
            </w:r>
          </w:p>
          <w:p w14:paraId="234C9D41" w14:textId="77777777" w:rsidR="0057163C" w:rsidRPr="00170422" w:rsidRDefault="00F37BF9">
            <w:pPr>
              <w:pStyle w:val="P68B1DB1-Normal21"/>
              <w:rPr>
                <w:rFonts w:ascii="Arial Narrow" w:hAnsi="Arial Narrow"/>
                <w:noProof/>
                <w:lang w:val="de-DE"/>
              </w:rPr>
            </w:pPr>
            <w:r w:rsidRPr="00170422">
              <w:rPr>
                <w:rFonts w:ascii="Arial Narrow" w:hAnsi="Arial Narrow"/>
                <w:noProof/>
                <w:szCs w:val="20"/>
                <w:lang w:val="de-DE"/>
              </w:rPr>
              <w:t>—</w:t>
            </w:r>
            <w:r w:rsidRPr="00170422">
              <w:rPr>
                <w:rFonts w:ascii="Arial Narrow"/>
                <w:noProof/>
                <w:lang w:val="de-DE"/>
              </w:rPr>
              <w:t>eine Erh</w:t>
            </w:r>
            <w:r w:rsidRPr="00170422">
              <w:rPr>
                <w:rFonts w:ascii="Arial Narrow"/>
                <w:noProof/>
                <w:lang w:val="de-DE"/>
              </w:rPr>
              <w:t>ö</w:t>
            </w:r>
            <w:r w:rsidRPr="00170422">
              <w:rPr>
                <w:rFonts w:ascii="Arial Narrow"/>
                <w:noProof/>
                <w:lang w:val="de-DE"/>
              </w:rPr>
              <w:t>hung der Aufnahmekapazit</w:t>
            </w:r>
            <w:r w:rsidRPr="00170422">
              <w:rPr>
                <w:rFonts w:ascii="Arial Narrow"/>
                <w:noProof/>
                <w:lang w:val="de-DE"/>
              </w:rPr>
              <w:t>ä</w:t>
            </w:r>
            <w:r w:rsidRPr="00170422">
              <w:rPr>
                <w:rFonts w:ascii="Arial Narrow"/>
                <w:noProof/>
                <w:lang w:val="de-DE"/>
              </w:rPr>
              <w:t>t des Netzes um mindestens 4</w:t>
            </w:r>
            <w:r w:rsidRPr="00170422">
              <w:rPr>
                <w:rFonts w:ascii="Arial Narrow"/>
                <w:noProof/>
                <w:lang w:val="de-DE"/>
              </w:rPr>
              <w:t> </w:t>
            </w:r>
            <w:r w:rsidRPr="00170422">
              <w:rPr>
                <w:rFonts w:ascii="Arial Narrow"/>
                <w:noProof/>
                <w:lang w:val="de-DE"/>
              </w:rPr>
              <w:t>000</w:t>
            </w:r>
            <w:r w:rsidRPr="00170422">
              <w:rPr>
                <w:rFonts w:ascii="Arial Narrow"/>
                <w:noProof/>
                <w:lang w:val="de-DE"/>
              </w:rPr>
              <w:t> </w:t>
            </w:r>
            <w:r w:rsidRPr="00170422">
              <w:rPr>
                <w:rFonts w:ascii="Arial Narrow"/>
                <w:noProof/>
                <w:lang w:val="de-DE"/>
              </w:rPr>
              <w:t>MW, bescheinigt durch einen oder mehrere unabh</w:t>
            </w:r>
            <w:r w:rsidRPr="00170422">
              <w:rPr>
                <w:rFonts w:ascii="Arial Narrow"/>
                <w:noProof/>
                <w:lang w:val="de-DE"/>
              </w:rPr>
              <w:t>ä</w:t>
            </w:r>
            <w:r w:rsidRPr="00170422">
              <w:rPr>
                <w:rFonts w:ascii="Arial Narrow"/>
                <w:noProof/>
                <w:lang w:val="de-DE"/>
              </w:rPr>
              <w:t>ngige Ingenieurberichte,</w:t>
            </w:r>
          </w:p>
          <w:p w14:paraId="59DFC911" w14:textId="5C32ABF3" w:rsidR="0057163C" w:rsidRPr="00170422" w:rsidRDefault="00F37BF9">
            <w:pPr>
              <w:pStyle w:val="P68B1DB1-Normal11"/>
              <w:spacing w:after="120"/>
              <w:rPr>
                <w:noProof/>
                <w:lang w:val="de-DE"/>
              </w:rPr>
            </w:pPr>
            <w:r w:rsidRPr="00170422">
              <w:rPr>
                <w:noProof/>
                <w:lang w:val="de-DE"/>
              </w:rPr>
              <w:t>—Erhöhung der Höchstleistung für den Netzverbrau</w:t>
            </w:r>
            <w:r w:rsidRPr="00170422">
              <w:rPr>
                <w:noProof/>
                <w:lang w:val="de-DE"/>
              </w:rPr>
              <w:t>ch an einer Anzahl von Lieferpunkten, die mindestens 1500000 Einwohnern entspricht, wie durch einen oder mehrere unabhängige Ingenieurberichte bescheinigt.</w:t>
            </w:r>
            <w:r w:rsidRPr="00170422">
              <w:rPr>
                <w:noProof/>
                <w:szCs w:val="20"/>
                <w:lang w:val="de-DE"/>
              </w:rPr>
              <w:t xml:space="preserve"> </w:t>
            </w:r>
          </w:p>
        </w:tc>
      </w:tr>
      <w:tr w:rsidR="0057163C" w:rsidRPr="00170422" w14:paraId="497E6D53"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4F611" w14:textId="77777777" w:rsidR="0057163C" w:rsidRPr="00170422" w:rsidRDefault="00F37BF9">
            <w:pPr>
              <w:pStyle w:val="P68B1DB1-Normal11"/>
              <w:spacing w:line="276" w:lineRule="auto"/>
              <w:jc w:val="center"/>
              <w:rPr>
                <w:noProof/>
                <w:szCs w:val="20"/>
                <w:lang w:val="de-DE"/>
              </w:rPr>
            </w:pPr>
            <w:r w:rsidRPr="00170422">
              <w:rPr>
                <w:noProof/>
                <w:lang w:val="de-DE"/>
              </w:rPr>
              <w:t>M2C2-12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092DC" w14:textId="77777777" w:rsidR="0057163C" w:rsidRPr="00170422" w:rsidRDefault="00F37BF9">
            <w:pPr>
              <w:pStyle w:val="P68B1DB1-Normal11"/>
              <w:spacing w:line="276" w:lineRule="auto"/>
              <w:jc w:val="center"/>
              <w:rPr>
                <w:noProof/>
                <w:szCs w:val="20"/>
                <w:lang w:val="de-DE"/>
              </w:rPr>
            </w:pPr>
            <w:r w:rsidRPr="00170422">
              <w:rPr>
                <w:noProof/>
                <w:lang w:val="de-DE"/>
              </w:rPr>
              <w:t>Investition 2.2 Interventionen zur Erhöhung der Widerstandsfähigkeit des Stromnetzes</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9EF3F7"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20FBE" w14:textId="77777777" w:rsidR="0057163C" w:rsidRPr="00170422" w:rsidRDefault="00F37BF9">
            <w:pPr>
              <w:pStyle w:val="P68B1DB1-Normal11"/>
              <w:spacing w:line="276" w:lineRule="auto"/>
              <w:jc w:val="center"/>
              <w:rPr>
                <w:noProof/>
                <w:szCs w:val="20"/>
                <w:lang w:val="de-DE"/>
              </w:rPr>
            </w:pPr>
            <w:r w:rsidRPr="00170422">
              <w:rPr>
                <w:noProof/>
                <w:lang w:val="de-DE"/>
              </w:rPr>
              <w:t>Vergabe der Projekte zur Erhöhung der Widerstandsfähigkeit des Stromnetzes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22AAAB" w14:textId="77777777" w:rsidR="0057163C" w:rsidRPr="00170422" w:rsidRDefault="00F37BF9">
            <w:pPr>
              <w:pStyle w:val="P68B1DB1-Normal11"/>
              <w:spacing w:line="276" w:lineRule="auto"/>
              <w:jc w:val="center"/>
              <w:rPr>
                <w:noProof/>
                <w:szCs w:val="20"/>
                <w:lang w:val="de-DE"/>
              </w:rPr>
            </w:pPr>
            <w:r w:rsidRPr="00170422">
              <w:rPr>
                <w:noProof/>
                <w:lang w:val="de-DE"/>
              </w:rPr>
              <w:t>Mitteilung über die Vergabe der Projekte</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A0FE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41011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D3461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52FFB"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E9689"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61E441" w14:textId="2F524DD6" w:rsidR="0057163C" w:rsidRPr="00170422" w:rsidRDefault="00F37BF9">
            <w:pPr>
              <w:pStyle w:val="P68B1DB1-Normal11"/>
              <w:spacing w:after="120"/>
              <w:rPr>
                <w:noProof/>
                <w:szCs w:val="20"/>
                <w:lang w:val="de-DE"/>
              </w:rPr>
            </w:pPr>
            <w:r w:rsidRPr="00170422">
              <w:rPr>
                <w:noProof/>
                <w:lang w:val="de-DE"/>
              </w:rPr>
              <w:t xml:space="preserve">Vergabe der Projekte zur Erhöhung der Widerstandsfähigkeit des Stromnetzes um </w:t>
            </w:r>
            <w:r w:rsidRPr="00170422">
              <w:rPr>
                <w:noProof/>
                <w:lang w:val="de-DE"/>
              </w:rPr>
              <w:t>mindestens 4 000 km, um die Häufigkeit und Dauer von Energieausfällen infolge extremer Wetterbedingungen zu verringern.</w:t>
            </w:r>
          </w:p>
        </w:tc>
      </w:tr>
      <w:tr w:rsidR="0057163C" w:rsidRPr="00170422" w14:paraId="666D2E77"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39C18F" w14:textId="010CCF81" w:rsidR="0057163C" w:rsidRPr="00170422" w:rsidRDefault="00F37BF9">
            <w:pPr>
              <w:pStyle w:val="P68B1DB1-Normal12"/>
              <w:spacing w:line="276" w:lineRule="auto"/>
              <w:jc w:val="center"/>
              <w:rPr>
                <w:noProof/>
                <w:lang w:val="de-DE"/>
              </w:rPr>
            </w:pPr>
            <w:r w:rsidRPr="00170422">
              <w:rPr>
                <w:noProof/>
                <w:lang w:val="de-DE"/>
              </w:rPr>
              <w:t>M2C2-13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379FE" w14:textId="63812DED" w:rsidR="0057163C" w:rsidRPr="00170422" w:rsidRDefault="00F37BF9">
            <w:pPr>
              <w:pStyle w:val="P68B1DB1-Normal11"/>
              <w:spacing w:line="276" w:lineRule="auto"/>
              <w:jc w:val="center"/>
              <w:rPr>
                <w:noProof/>
                <w:lang w:val="de-DE"/>
              </w:rPr>
            </w:pPr>
            <w:r w:rsidRPr="00170422">
              <w:rPr>
                <w:noProof/>
                <w:lang w:val="de-DE"/>
              </w:rPr>
              <w:t>Investition 2.2 Interventionen zur Erhöhung der Widerstandsfähigkeit des Stromnetzes</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BE674" w14:textId="6DCBC16D" w:rsidR="0057163C" w:rsidRPr="00170422" w:rsidRDefault="00F37BF9">
            <w:pPr>
              <w:pStyle w:val="P68B1DB1-Normal11"/>
              <w:spacing w:line="276" w:lineRule="auto"/>
              <w:jc w:val="center"/>
              <w:rPr>
                <w:noProof/>
                <w:lang w:val="de-DE"/>
              </w:rPr>
            </w:pPr>
            <w:r w:rsidRPr="00170422">
              <w:rPr>
                <w:noProof/>
                <w:lang w:val="de-DE"/>
              </w:rPr>
              <w:t>Ziel</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34E089" w14:textId="3CC86038" w:rsidR="0057163C" w:rsidRPr="00170422" w:rsidRDefault="00F37BF9">
            <w:pPr>
              <w:pStyle w:val="P68B1DB1-Normal11"/>
              <w:spacing w:line="276" w:lineRule="auto"/>
              <w:jc w:val="center"/>
              <w:rPr>
                <w:noProof/>
                <w:lang w:val="de-DE"/>
              </w:rPr>
            </w:pPr>
            <w:r w:rsidRPr="00170422">
              <w:rPr>
                <w:noProof/>
                <w:lang w:val="de-DE"/>
              </w:rPr>
              <w:t>Erhöhung der Widerstandsfähigkeit des</w:t>
            </w:r>
            <w:r w:rsidRPr="00170422">
              <w:rPr>
                <w:noProof/>
                <w:lang w:val="de-DE"/>
              </w:rPr>
              <w:t xml:space="preserve"> Stromnetzes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96ACEE" w14:textId="646583C7" w:rsidR="0057163C" w:rsidRPr="00170422" w:rsidRDefault="00F37BF9">
            <w:pPr>
              <w:pStyle w:val="P68B1DB1-Normal11"/>
              <w:spacing w:line="276" w:lineRule="auto"/>
              <w:jc w:val="center"/>
              <w:rPr>
                <w:noProof/>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4F30A" w14:textId="5FB753D1" w:rsidR="0057163C" w:rsidRPr="00170422" w:rsidRDefault="00F37BF9">
            <w:pPr>
              <w:pStyle w:val="P68B1DB1-Normal11"/>
              <w:spacing w:line="276" w:lineRule="auto"/>
              <w:jc w:val="center"/>
              <w:rPr>
                <w:noProof/>
                <w:lang w:val="de-DE"/>
              </w:rPr>
            </w:pPr>
            <w:r w:rsidRPr="00170422">
              <w:rPr>
                <w:noProof/>
                <w:lang w:val="de-DE"/>
              </w:rPr>
              <w:t>Anzahl</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9C9289" w14:textId="1717595C" w:rsidR="0057163C" w:rsidRPr="00170422" w:rsidRDefault="00F37BF9">
            <w:pPr>
              <w:pStyle w:val="P68B1DB1-Normal11"/>
              <w:spacing w:line="276" w:lineRule="auto"/>
              <w:jc w:val="center"/>
              <w:rPr>
                <w:noProof/>
                <w:lang w:val="de-DE"/>
              </w:rPr>
            </w:pPr>
            <w:r w:rsidRPr="00170422">
              <w:rPr>
                <w:noProof/>
                <w:lang w:val="de-DE"/>
              </w:rPr>
              <w:t>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E6BAE" w14:textId="75CBEF7E" w:rsidR="0057163C" w:rsidRPr="00170422" w:rsidRDefault="00F37BF9">
            <w:pPr>
              <w:pStyle w:val="P68B1DB1-Normal11"/>
              <w:spacing w:line="276" w:lineRule="auto"/>
              <w:jc w:val="center"/>
              <w:rPr>
                <w:noProof/>
                <w:lang w:val="de-DE"/>
              </w:rPr>
            </w:pPr>
            <w:r w:rsidRPr="00170422">
              <w:rPr>
                <w:noProof/>
                <w:lang w:val="de-DE"/>
              </w:rPr>
              <w:t>4 000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65F136" w14:textId="2BAFA325" w:rsidR="0057163C" w:rsidRPr="00170422" w:rsidRDefault="00F37BF9">
            <w:pPr>
              <w:pStyle w:val="P68B1DB1-Normal11"/>
              <w:spacing w:line="276" w:lineRule="auto"/>
              <w:jc w:val="center"/>
              <w:rPr>
                <w:noProof/>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E3A052" w14:textId="0C128B5A" w:rsidR="0057163C" w:rsidRPr="00170422" w:rsidRDefault="00F37BF9">
            <w:pPr>
              <w:pStyle w:val="P68B1DB1-Normal11"/>
              <w:spacing w:line="276" w:lineRule="auto"/>
              <w:jc w:val="center"/>
              <w:rPr>
                <w:noProof/>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8A65B8" w14:textId="6DB9D17A" w:rsidR="0057163C" w:rsidRPr="00170422" w:rsidRDefault="00F37BF9">
            <w:pPr>
              <w:pStyle w:val="P68B1DB1-Normal12"/>
              <w:spacing w:after="120"/>
              <w:rPr>
                <w:noProof/>
                <w:lang w:val="de-DE"/>
              </w:rPr>
            </w:pPr>
            <w:r w:rsidRPr="00170422">
              <w:rPr>
                <w:noProof/>
                <w:lang w:val="de-DE"/>
              </w:rPr>
              <w:t>Bescheinigungen über den Abschluss von Arbeiten, die einer Erhöhung der Widerstandsfähigkeit um mindestens 4 000 km Stromnetz entsprechen, wie durch einen oder mehrere unabhängige Ingenieurberichte bescheinigt.</w:t>
            </w:r>
          </w:p>
        </w:tc>
      </w:tr>
      <w:tr w:rsidR="0057163C" w:rsidRPr="00170422" w14:paraId="39CBF95D"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4EF95" w14:textId="77777777" w:rsidR="0057163C" w:rsidRPr="00170422" w:rsidRDefault="00F37BF9">
            <w:pPr>
              <w:pStyle w:val="P68B1DB1-Normal11"/>
              <w:spacing w:line="276" w:lineRule="auto"/>
              <w:jc w:val="center"/>
              <w:rPr>
                <w:noProof/>
                <w:szCs w:val="20"/>
                <w:lang w:val="de-DE"/>
              </w:rPr>
            </w:pPr>
            <w:r w:rsidRPr="00170422">
              <w:rPr>
                <w:noProof/>
                <w:lang w:val="de-DE"/>
              </w:rPr>
              <w:t>M2C2-14</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7E639" w14:textId="77777777" w:rsidR="0057163C" w:rsidRPr="00170422" w:rsidRDefault="00F37BF9">
            <w:pPr>
              <w:pStyle w:val="P68B1DB1-Normal11"/>
              <w:spacing w:line="276" w:lineRule="auto"/>
              <w:jc w:val="center"/>
              <w:rPr>
                <w:noProof/>
                <w:szCs w:val="20"/>
                <w:lang w:val="de-DE"/>
              </w:rPr>
            </w:pPr>
            <w:r w:rsidRPr="00170422">
              <w:rPr>
                <w:noProof/>
                <w:lang w:val="de-DE"/>
              </w:rPr>
              <w:t>Investition 3.3 Wasserstofftests für den Straßenverkehr</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7C9EF"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FABCA1" w14:textId="77777777" w:rsidR="0057163C" w:rsidRPr="00170422" w:rsidRDefault="00F37BF9">
            <w:pPr>
              <w:pStyle w:val="P68B1DB1-Normal11"/>
              <w:spacing w:line="276" w:lineRule="auto"/>
              <w:jc w:val="center"/>
              <w:rPr>
                <w:noProof/>
                <w:szCs w:val="20"/>
                <w:lang w:val="de-DE"/>
              </w:rPr>
            </w:pPr>
            <w:r w:rsidRPr="00170422">
              <w:rPr>
                <w:noProof/>
                <w:lang w:val="de-DE"/>
              </w:rPr>
              <w:t>Vergabe (aller) öffentlicher Aufträge für die Entwicklung von Aufladestationen auf Wasserstoffbasis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3280E" w14:textId="77777777" w:rsidR="0057163C" w:rsidRPr="00170422" w:rsidRDefault="00F37BF9">
            <w:pPr>
              <w:pStyle w:val="P68B1DB1-Normal11"/>
              <w:spacing w:line="276" w:lineRule="auto"/>
              <w:jc w:val="center"/>
              <w:rPr>
                <w:noProof/>
                <w:szCs w:val="20"/>
                <w:lang w:val="de-DE"/>
              </w:rPr>
            </w:pPr>
            <w:r w:rsidRPr="00170422">
              <w:rPr>
                <w:noProof/>
                <w:lang w:val="de-DE"/>
              </w:rPr>
              <w:t xml:space="preserve">Mitteilung über die Vergabe (aller) öffentlicher Aufträge für die Entwicklung von mindestens 40 Aufladestationen auf Wasserstoffbasis </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C48A6F"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FFAD0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9CA95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18A434"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602A92"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4DE80D" w14:textId="77777777" w:rsidR="0057163C" w:rsidRPr="00170422" w:rsidRDefault="00F37BF9">
            <w:pPr>
              <w:pStyle w:val="P68B1DB1-Normal11"/>
              <w:spacing w:after="120"/>
              <w:rPr>
                <w:noProof/>
                <w:szCs w:val="20"/>
                <w:lang w:val="de-DE"/>
              </w:rPr>
            </w:pPr>
            <w:r w:rsidRPr="00170422">
              <w:rPr>
                <w:noProof/>
                <w:lang w:val="de-DE"/>
              </w:rPr>
              <w:t>Mitteilung über die Vergabe (aller) öffentlicher Aufträge für die Entwicklung von m</w:t>
            </w:r>
            <w:r w:rsidRPr="00170422">
              <w:rPr>
                <w:noProof/>
                <w:lang w:val="de-DE"/>
              </w:rPr>
              <w:t>indestens 40 Aufladestationen auf der Grundlage von Wasserstoff im Einklang mit der Richtlinie 2014/94/EU über die Infrastruktur für alternative Kraftstoffe.</w:t>
            </w:r>
          </w:p>
        </w:tc>
      </w:tr>
      <w:tr w:rsidR="0057163C" w:rsidRPr="00170422" w14:paraId="463D14A9"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A38EE" w14:textId="77777777" w:rsidR="0057163C" w:rsidRPr="00170422" w:rsidRDefault="00F37BF9">
            <w:pPr>
              <w:pStyle w:val="P68B1DB1-Normal11"/>
              <w:spacing w:line="276" w:lineRule="auto"/>
              <w:jc w:val="center"/>
              <w:rPr>
                <w:noProof/>
                <w:szCs w:val="20"/>
                <w:lang w:val="de-DE"/>
              </w:rPr>
            </w:pPr>
            <w:r w:rsidRPr="00170422">
              <w:rPr>
                <w:noProof/>
                <w:lang w:val="de-DE"/>
              </w:rPr>
              <w:t>M2C2-16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D6DBA1" w14:textId="77777777" w:rsidR="0057163C" w:rsidRPr="00170422" w:rsidRDefault="00F37BF9">
            <w:pPr>
              <w:pStyle w:val="P68B1DB1-Normal11"/>
              <w:spacing w:line="276" w:lineRule="auto"/>
              <w:jc w:val="center"/>
              <w:rPr>
                <w:noProof/>
                <w:szCs w:val="20"/>
                <w:lang w:val="de-DE"/>
              </w:rPr>
            </w:pPr>
            <w:r w:rsidRPr="00170422">
              <w:rPr>
                <w:noProof/>
                <w:lang w:val="de-DE"/>
              </w:rPr>
              <w:t>Investition 3.4 Wasserstofftests für die Eisenbahnmobilität</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B468CE"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25A550" w14:textId="77777777" w:rsidR="0057163C" w:rsidRPr="00170422" w:rsidRDefault="00F37BF9">
            <w:pPr>
              <w:pStyle w:val="P68B1DB1-Normal11"/>
              <w:spacing w:line="276" w:lineRule="auto"/>
              <w:jc w:val="center"/>
              <w:rPr>
                <w:noProof/>
                <w:szCs w:val="20"/>
                <w:lang w:val="de-DE"/>
              </w:rPr>
            </w:pPr>
            <w:r w:rsidRPr="00170422">
              <w:rPr>
                <w:noProof/>
                <w:lang w:val="de-DE"/>
              </w:rPr>
              <w:t xml:space="preserve">Zuweisung von </w:t>
            </w:r>
            <w:r w:rsidRPr="00170422">
              <w:rPr>
                <w:noProof/>
                <w:lang w:val="de-DE"/>
              </w:rPr>
              <w:t>Mitteln für Wasserstofftests für die Eisenbahnmobilität</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43DF48" w14:textId="77777777" w:rsidR="0057163C" w:rsidRPr="00170422" w:rsidRDefault="00F37BF9">
            <w:pPr>
              <w:pStyle w:val="P68B1DB1-Normal11"/>
              <w:spacing w:line="276" w:lineRule="auto"/>
              <w:jc w:val="center"/>
              <w:rPr>
                <w:noProof/>
                <w:szCs w:val="20"/>
                <w:lang w:val="de-DE"/>
              </w:rPr>
            </w:pPr>
            <w:r w:rsidRPr="00170422">
              <w:rPr>
                <w:noProof/>
                <w:lang w:val="de-DE"/>
              </w:rPr>
              <w:t>Mitteilung der Mittelzuweisung</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9923E"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C1A2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135A6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7EEE6B"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8D34AC"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2A8500" w14:textId="77777777" w:rsidR="0057163C" w:rsidRPr="00170422" w:rsidRDefault="00F37BF9">
            <w:pPr>
              <w:pStyle w:val="P68B1DB1-Normal11"/>
              <w:spacing w:after="120"/>
              <w:rPr>
                <w:noProof/>
                <w:szCs w:val="20"/>
                <w:lang w:val="de-DE"/>
              </w:rPr>
            </w:pPr>
            <w:r w:rsidRPr="00170422">
              <w:rPr>
                <w:noProof/>
                <w:lang w:val="de-DE"/>
              </w:rPr>
              <w:t>Zuweisung von Mitteln nach den Verfahren und Kriterien, die für den Bau von zehn Wasserstofftankstellen für Eisenbahnen an sechs Ei</w:t>
            </w:r>
            <w:r w:rsidRPr="00170422">
              <w:rPr>
                <w:noProof/>
                <w:lang w:val="de-DE"/>
              </w:rPr>
              <w:t>senbahnstrecken festgelegt wurden.</w:t>
            </w:r>
          </w:p>
        </w:tc>
      </w:tr>
      <w:tr w:rsidR="0057163C" w:rsidRPr="00170422" w14:paraId="65F01B65"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E720F" w14:textId="77777777" w:rsidR="0057163C" w:rsidRPr="00170422" w:rsidRDefault="00F37BF9">
            <w:pPr>
              <w:pStyle w:val="P68B1DB1-Normal11"/>
              <w:spacing w:line="276" w:lineRule="auto"/>
              <w:jc w:val="center"/>
              <w:rPr>
                <w:noProof/>
                <w:szCs w:val="20"/>
                <w:lang w:val="de-DE"/>
              </w:rPr>
            </w:pPr>
            <w:r w:rsidRPr="00170422">
              <w:rPr>
                <w:noProof/>
                <w:lang w:val="de-DE"/>
              </w:rPr>
              <w:t>M2C2-18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A7B0C" w14:textId="77777777" w:rsidR="0057163C" w:rsidRPr="00170422" w:rsidRDefault="00F37BF9">
            <w:pPr>
              <w:pStyle w:val="P68B1DB1-Normal11"/>
              <w:spacing w:line="276" w:lineRule="auto"/>
              <w:jc w:val="center"/>
              <w:rPr>
                <w:noProof/>
                <w:szCs w:val="20"/>
                <w:lang w:val="de-DE"/>
              </w:rPr>
            </w:pPr>
            <w:r w:rsidRPr="00170422">
              <w:rPr>
                <w:noProof/>
                <w:lang w:val="de-DE"/>
              </w:rPr>
              <w:t>Investition 3.5 Wasserstoffforschung und -entwicklung</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CF4DC9"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7C400" w14:textId="77777777" w:rsidR="0057163C" w:rsidRPr="00170422" w:rsidRDefault="00F37BF9">
            <w:pPr>
              <w:pStyle w:val="P68B1DB1-Normal11"/>
              <w:spacing w:line="276" w:lineRule="auto"/>
              <w:jc w:val="center"/>
              <w:rPr>
                <w:noProof/>
                <w:szCs w:val="20"/>
                <w:lang w:val="de-DE"/>
              </w:rPr>
            </w:pPr>
            <w:r w:rsidRPr="00170422">
              <w:rPr>
                <w:noProof/>
                <w:lang w:val="de-DE"/>
              </w:rPr>
              <w:t>Vergabe aller öffentlichen FuE-Aufträge für Wasserstoffforschungsprojekte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5725BE" w14:textId="77777777" w:rsidR="0057163C" w:rsidRPr="00170422" w:rsidRDefault="00F37BF9">
            <w:pPr>
              <w:pStyle w:val="P68B1DB1-Normal11"/>
              <w:spacing w:line="276" w:lineRule="auto"/>
              <w:jc w:val="center"/>
              <w:rPr>
                <w:noProof/>
                <w:szCs w:val="20"/>
                <w:lang w:val="de-DE"/>
              </w:rPr>
            </w:pPr>
            <w:r w:rsidRPr="00170422">
              <w:rPr>
                <w:noProof/>
                <w:lang w:val="de-DE"/>
              </w:rPr>
              <w:t xml:space="preserve">Mitteilung über die Vergabe der Aufträge für Forschung und Entwicklung </w:t>
            </w:r>
            <w:r w:rsidRPr="00170422">
              <w:rPr>
                <w:noProof/>
                <w:lang w:val="de-DE"/>
              </w:rPr>
              <w:t>im Bereich Wasserstoff</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4FB98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8D18CF"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D697B"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4894E"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D43780"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61EBE4" w14:textId="257D4A7A" w:rsidR="0057163C" w:rsidRPr="00170422" w:rsidRDefault="00F37BF9">
            <w:pPr>
              <w:pStyle w:val="P68B1DB1-Normal11"/>
              <w:spacing w:after="120"/>
              <w:rPr>
                <w:noProof/>
                <w:szCs w:val="20"/>
                <w:lang w:val="de-DE"/>
              </w:rPr>
            </w:pPr>
            <w:r w:rsidRPr="00170422">
              <w:rPr>
                <w:noProof/>
                <w:lang w:val="de-DE"/>
              </w:rPr>
              <w:t xml:space="preserve">Mitteilung über die Vergabe von FuE-Verträgen, die darauf abzielen, die Kenntnisse über die Umsetzung des Wasserstoffvektors in der Erzeugungs-, Speicher- und Verteilungsphase zu verbessern. Die </w:t>
            </w:r>
            <w:r w:rsidRPr="00170422">
              <w:rPr>
                <w:noProof/>
                <w:lang w:val="de-DE"/>
              </w:rPr>
              <w:t>Verträge umfassen mindestens vier Forschungsdimensionen:</w:t>
            </w:r>
          </w:p>
          <w:p w14:paraId="69A33AC1" w14:textId="77777777" w:rsidR="0057163C" w:rsidRPr="00170422" w:rsidRDefault="00F37BF9">
            <w:pPr>
              <w:pStyle w:val="P68B1DB1-Normal11"/>
              <w:spacing w:after="120"/>
              <w:rPr>
                <w:noProof/>
                <w:szCs w:val="20"/>
                <w:lang w:val="de-DE"/>
              </w:rPr>
            </w:pPr>
            <w:r w:rsidRPr="00170422">
              <w:rPr>
                <w:noProof/>
                <w:lang w:val="de-DE"/>
              </w:rPr>
              <w:t>a) Erzeugung von grünem und sauberem Wasserstoff</w:t>
            </w:r>
          </w:p>
          <w:p w14:paraId="3611EF68" w14:textId="77777777" w:rsidR="0057163C" w:rsidRPr="00170422" w:rsidRDefault="00F37BF9">
            <w:pPr>
              <w:pStyle w:val="P68B1DB1-Normal11"/>
              <w:spacing w:after="120"/>
              <w:rPr>
                <w:noProof/>
                <w:szCs w:val="20"/>
                <w:lang w:val="de-DE"/>
              </w:rPr>
            </w:pPr>
            <w:r w:rsidRPr="00170422">
              <w:rPr>
                <w:noProof/>
                <w:lang w:val="de-DE"/>
              </w:rPr>
              <w:t>innovative Technologien für die Speicherung, den Transport und die Umwandlung von Wasserstoff in Derivate und E-Fuels</w:t>
            </w:r>
          </w:p>
          <w:p w14:paraId="691A34D5" w14:textId="77777777" w:rsidR="0057163C" w:rsidRPr="00170422" w:rsidRDefault="00F37BF9">
            <w:pPr>
              <w:pStyle w:val="P68B1DB1-Normal11"/>
              <w:spacing w:after="120"/>
              <w:rPr>
                <w:noProof/>
                <w:szCs w:val="20"/>
                <w:lang w:val="de-DE"/>
              </w:rPr>
            </w:pPr>
            <w:r w:rsidRPr="00170422">
              <w:rPr>
                <w:noProof/>
                <w:lang w:val="de-DE"/>
              </w:rPr>
              <w:t>C) Brennstoffzellen für stationä</w:t>
            </w:r>
            <w:r w:rsidRPr="00170422">
              <w:rPr>
                <w:noProof/>
                <w:lang w:val="de-DE"/>
              </w:rPr>
              <w:t>re Anwendungen und Mobilitätsanwendungen</w:t>
            </w:r>
          </w:p>
          <w:p w14:paraId="2D69B73B" w14:textId="77777777" w:rsidR="0057163C" w:rsidRPr="00170422" w:rsidRDefault="00F37BF9">
            <w:pPr>
              <w:pStyle w:val="P68B1DB1-Normal11"/>
              <w:spacing w:after="120"/>
              <w:rPr>
                <w:noProof/>
                <w:szCs w:val="20"/>
                <w:lang w:val="de-DE"/>
              </w:rPr>
            </w:pPr>
            <w:r w:rsidRPr="00170422">
              <w:rPr>
                <w:noProof/>
                <w:lang w:val="de-DE"/>
              </w:rPr>
              <w:t>integrierte intelligente Managementsysteme zur Erhöhung der Widerstandsfähigkeit und Zuverlässigkeit intelligenter wasserstoffbasierter Infrastrukturen</w:t>
            </w:r>
          </w:p>
          <w:p w14:paraId="4BA722D5" w14:textId="77777777" w:rsidR="0057163C" w:rsidRPr="00170422" w:rsidRDefault="00F37BF9">
            <w:pPr>
              <w:pStyle w:val="P68B1DB1-Normal11"/>
              <w:spacing w:after="120"/>
              <w:rPr>
                <w:noProof/>
                <w:szCs w:val="20"/>
                <w:lang w:val="de-DE"/>
              </w:rPr>
            </w:pPr>
            <w:r w:rsidRPr="00170422">
              <w:rPr>
                <w:noProof/>
                <w:lang w:val="de-DE"/>
              </w:rPr>
              <w:t>Diese Maßnahme unterstützt die Erzeugung von Wasserstoff auf de</w:t>
            </w:r>
            <w:r w:rsidRPr="00170422">
              <w:rPr>
                <w:noProof/>
                <w:lang w:val="de-DE"/>
              </w:rPr>
              <w:t xml:space="preserve">r Grundlage von Elektrolyse unter Nutzung erneuerbarer Energiequellen im Sinne der Richtlinie (EU) 2018/2001 (Erneuerbare-Energien-Richtlinie) oder von Netzstrom oder Wasserstofftätigkeiten, die die Anforderung von 73,4 % für Treibhausgaseinsparungen über </w:t>
            </w:r>
            <w:r w:rsidRPr="00170422">
              <w:rPr>
                <w:noProof/>
                <w:lang w:val="de-DE"/>
              </w:rPr>
              <w:t>den gesamten Lebenszyklus erfüllen, was zu Treibhausgasemissionen über den gesamten Lebenszyklus von weniger als 3 t CO2-Äq/tH2 und zu 70 % für wasserstoffbasierte synthetische Kraftstoffe im Vergleich zu einem Vergleichswert für fossile Brennstoffe von 94</w:t>
            </w:r>
            <w:r w:rsidRPr="00170422">
              <w:rPr>
                <w:noProof/>
                <w:lang w:val="de-DE"/>
              </w:rPr>
              <w:t> g CO2-Äq/MJ führt, analog zu dem in Artikel 25 Absatz 2 und Anhang V der Richtlinie (EU) 2018/2001 festgelegten Ansatz.</w:t>
            </w:r>
          </w:p>
        </w:tc>
      </w:tr>
      <w:tr w:rsidR="0057163C" w:rsidRPr="00170422" w14:paraId="268B3B51"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7DF9C" w14:textId="77777777" w:rsidR="0057163C" w:rsidRPr="00170422" w:rsidRDefault="00F37BF9">
            <w:pPr>
              <w:pStyle w:val="P68B1DB1-Normal11"/>
              <w:spacing w:line="276" w:lineRule="auto"/>
              <w:jc w:val="center"/>
              <w:rPr>
                <w:noProof/>
                <w:szCs w:val="20"/>
                <w:lang w:val="de-DE"/>
              </w:rPr>
            </w:pPr>
            <w:r w:rsidRPr="00170422">
              <w:rPr>
                <w:noProof/>
                <w:lang w:val="de-DE"/>
              </w:rPr>
              <w:t>M2C2-20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2A4F6C" w14:textId="77777777" w:rsidR="0057163C" w:rsidRPr="00170422" w:rsidRDefault="00F37BF9">
            <w:pPr>
              <w:pStyle w:val="P68B1DB1-Normal11"/>
              <w:spacing w:line="276" w:lineRule="auto"/>
              <w:jc w:val="center"/>
              <w:rPr>
                <w:noProof/>
                <w:szCs w:val="20"/>
                <w:lang w:val="de-DE"/>
              </w:rPr>
            </w:pPr>
            <w:r w:rsidRPr="00170422">
              <w:rPr>
                <w:noProof/>
                <w:lang w:val="de-DE"/>
              </w:rPr>
              <w:t>Reform 3 Verwaltungsvereinfachung und Abbau regulatorischer Hindernisse für die Einführung von Wasserstoff</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59D5B"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E26B99" w14:textId="77777777" w:rsidR="0057163C" w:rsidRPr="00170422" w:rsidRDefault="00F37BF9">
            <w:pPr>
              <w:pStyle w:val="P68B1DB1-Normal11"/>
              <w:spacing w:line="276" w:lineRule="auto"/>
              <w:jc w:val="center"/>
              <w:rPr>
                <w:noProof/>
                <w:szCs w:val="20"/>
                <w:lang w:val="de-DE"/>
              </w:rPr>
            </w:pPr>
            <w:r w:rsidRPr="00170422">
              <w:rPr>
                <w:noProof/>
                <w:lang w:val="de-DE"/>
              </w:rPr>
              <w:t>Inkrafttreten der erforderlichen legislativen Maßnahmen</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6A79F" w14:textId="77777777" w:rsidR="0057163C" w:rsidRPr="00170422" w:rsidRDefault="00F37BF9">
            <w:pPr>
              <w:pStyle w:val="P68B1DB1-Normal11"/>
              <w:spacing w:line="276" w:lineRule="auto"/>
              <w:jc w:val="center"/>
              <w:rPr>
                <w:noProof/>
                <w:szCs w:val="20"/>
                <w:lang w:val="de-DE"/>
              </w:rPr>
            </w:pPr>
            <w:r w:rsidRPr="00170422">
              <w:rPr>
                <w:noProof/>
                <w:lang w:val="de-DE"/>
              </w:rPr>
              <w:t>Gesetzliche Bestimmung über das Inkrafttreten des Gesetzes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994CD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591EB"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5BDEF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516C7"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C78591"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5BEB23" w14:textId="77777777" w:rsidR="0057163C" w:rsidRPr="00170422" w:rsidRDefault="00F37BF9">
            <w:pPr>
              <w:pStyle w:val="P68B1DB1-Normal11"/>
              <w:spacing w:after="120"/>
              <w:rPr>
                <w:noProof/>
                <w:szCs w:val="20"/>
                <w:lang w:val="de-DE"/>
              </w:rPr>
            </w:pPr>
            <w:r w:rsidRPr="00170422">
              <w:rPr>
                <w:noProof/>
                <w:lang w:val="de-DE"/>
              </w:rPr>
              <w:t>Die erforderlichen legislativen Maßnahmen enthalten i) Sicherheitsvorschriften für die Erzeugung, den T</w:t>
            </w:r>
            <w:r w:rsidRPr="00170422">
              <w:rPr>
                <w:noProof/>
                <w:lang w:val="de-DE"/>
              </w:rPr>
              <w:t>ransport und die Speicherung von Wasserstoff, ii) die Vereinfachung der Verfahren für den Aufbau kleiner Strukturen für die Erzeugung von grünem Wasserstoff und iii) Maßnahmen in Bezug auf die Bedingungen für den Bau von Wiederladestationen auf der Grundla</w:t>
            </w:r>
            <w:r w:rsidRPr="00170422">
              <w:rPr>
                <w:noProof/>
                <w:lang w:val="de-DE"/>
              </w:rPr>
              <w:t>ge von Wasserstoff.</w:t>
            </w:r>
          </w:p>
          <w:p w14:paraId="315860ED" w14:textId="77777777" w:rsidR="0057163C" w:rsidRPr="00170422" w:rsidRDefault="00F37BF9">
            <w:pPr>
              <w:pStyle w:val="P68B1DB1-Normal11"/>
              <w:spacing w:after="120"/>
              <w:rPr>
                <w:noProof/>
                <w:szCs w:val="20"/>
                <w:lang w:val="de-DE"/>
              </w:rPr>
            </w:pPr>
            <w:r w:rsidRPr="00170422">
              <w:rPr>
                <w:noProof/>
                <w:lang w:val="de-DE"/>
              </w:rPr>
              <w:t>Mit dieser Maßnahme werden nur Wasserstofftätigkeiten unterstützt, die der Anforderung von Einsparungen von Treibhausgasemissionen über den gesamten Lebenszyklus von 73,4 % für Wasserstoff entsprechen, was 3 t CO2-Äq/tH2 ergibt.</w:t>
            </w:r>
          </w:p>
        </w:tc>
      </w:tr>
      <w:tr w:rsidR="0057163C" w:rsidRPr="00170422" w14:paraId="00D5CF48"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6F5663" w14:textId="77777777" w:rsidR="0057163C" w:rsidRPr="00170422" w:rsidRDefault="00F37BF9">
            <w:pPr>
              <w:pStyle w:val="P68B1DB1-Normal11"/>
              <w:spacing w:line="276" w:lineRule="auto"/>
              <w:jc w:val="center"/>
              <w:rPr>
                <w:noProof/>
                <w:szCs w:val="20"/>
                <w:lang w:val="de-DE"/>
              </w:rPr>
            </w:pPr>
            <w:r w:rsidRPr="00170422">
              <w:rPr>
                <w:noProof/>
                <w:lang w:val="de-DE"/>
              </w:rPr>
              <w:t>M2C2-21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1E424" w14:textId="77777777" w:rsidR="0057163C" w:rsidRPr="00170422" w:rsidRDefault="00F37BF9">
            <w:pPr>
              <w:pStyle w:val="P68B1DB1-Normal11"/>
              <w:spacing w:line="276" w:lineRule="auto"/>
              <w:jc w:val="center"/>
              <w:rPr>
                <w:noProof/>
                <w:szCs w:val="20"/>
                <w:lang w:val="de-DE"/>
              </w:rPr>
            </w:pPr>
            <w:r w:rsidRPr="00170422">
              <w:rPr>
                <w:noProof/>
                <w:lang w:val="de-DE"/>
              </w:rPr>
              <w:t>Reform 4 Maßnahmen zur Förderung der Wettbewerbsfähigkeit von Wasserstoff</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A9FA31"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FFDB8" w14:textId="77777777" w:rsidR="0057163C" w:rsidRPr="00170422" w:rsidRDefault="00F37BF9">
            <w:pPr>
              <w:pStyle w:val="P68B1DB1-Normal11"/>
              <w:spacing w:line="276" w:lineRule="auto"/>
              <w:jc w:val="center"/>
              <w:rPr>
                <w:noProof/>
                <w:szCs w:val="20"/>
                <w:lang w:val="de-DE"/>
              </w:rPr>
            </w:pPr>
            <w:r w:rsidRPr="00170422">
              <w:rPr>
                <w:noProof/>
                <w:lang w:val="de-DE"/>
              </w:rPr>
              <w:t>Inkrafttreten steuerlicher Anreize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56677" w14:textId="77777777" w:rsidR="0057163C" w:rsidRPr="00170422" w:rsidRDefault="00F37BF9">
            <w:pPr>
              <w:pStyle w:val="P68B1DB1-Normal11"/>
              <w:spacing w:line="276" w:lineRule="auto"/>
              <w:jc w:val="center"/>
              <w:rPr>
                <w:noProof/>
                <w:szCs w:val="20"/>
                <w:lang w:val="de-DE"/>
              </w:rPr>
            </w:pPr>
            <w:r w:rsidRPr="00170422">
              <w:rPr>
                <w:noProof/>
                <w:lang w:val="de-DE"/>
              </w:rPr>
              <w:t>Gesetzliche Bestimmung über das Inkrafttreten des Gesetzes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98CF5B" w14:textId="77777777" w:rsidR="0057163C" w:rsidRPr="00170422" w:rsidRDefault="00F37BF9">
            <w:pPr>
              <w:pStyle w:val="P68B1DB1-Normal11"/>
              <w:spacing w:line="276" w:lineRule="auto"/>
              <w:jc w:val="center"/>
              <w:rPr>
                <w:noProof/>
                <w:szCs w:val="20"/>
                <w:lang w:val="de-DE"/>
              </w:rPr>
            </w:pPr>
            <w:r w:rsidRPr="00170422">
              <w:rPr>
                <w:noProof/>
                <w:lang w:val="de-DE"/>
              </w:rPr>
              <w:t>N.A.</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78DBC"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E5173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B7D851"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27EA1"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0D337" w14:textId="77777777" w:rsidR="0057163C" w:rsidRPr="00170422" w:rsidRDefault="00F37BF9">
            <w:pPr>
              <w:pStyle w:val="P68B1DB1-Normal11"/>
              <w:spacing w:after="120"/>
              <w:rPr>
                <w:noProof/>
                <w:szCs w:val="20"/>
                <w:lang w:val="de-DE"/>
              </w:rPr>
            </w:pPr>
            <w:r w:rsidRPr="00170422">
              <w:rPr>
                <w:noProof/>
                <w:lang w:val="de-DE"/>
              </w:rPr>
              <w:t xml:space="preserve">Das Gesetz sieht steuerliche </w:t>
            </w:r>
            <w:r w:rsidRPr="00170422">
              <w:rPr>
                <w:noProof/>
                <w:lang w:val="de-DE"/>
              </w:rPr>
              <w:t>Anreize zur Förderung der Erzeugung von grünem Wasserstoff und zur Förderung des Verbrauchs von grünem Wasserstoff im Verkehrssektor vor.</w:t>
            </w:r>
          </w:p>
          <w:p w14:paraId="31E38799" w14:textId="77777777" w:rsidR="0057163C" w:rsidRPr="00170422" w:rsidRDefault="00F37BF9">
            <w:pPr>
              <w:pStyle w:val="P68B1DB1-Normal11"/>
              <w:spacing w:after="120"/>
              <w:rPr>
                <w:noProof/>
                <w:szCs w:val="20"/>
                <w:lang w:val="de-DE"/>
              </w:rPr>
            </w:pPr>
            <w:r w:rsidRPr="00170422">
              <w:rPr>
                <w:noProof/>
                <w:lang w:val="de-DE"/>
              </w:rPr>
              <w:t>Mit dieser Maßnahme werden nur Wasserstofftätigkeiten unterstützt, die der Anforderung von Einsparungen von Treibhausg</w:t>
            </w:r>
            <w:r w:rsidRPr="00170422">
              <w:rPr>
                <w:noProof/>
                <w:lang w:val="de-DE"/>
              </w:rPr>
              <w:t>asemissionen über den gesamten Lebenszyklus von 73,4 % für Wasserstoff entsprechen, was 3 t CO2-Äq/tH2 ergibt.</w:t>
            </w:r>
          </w:p>
        </w:tc>
      </w:tr>
      <w:tr w:rsidR="0057163C" w:rsidRPr="00170422" w14:paraId="167F15F1"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7D9BD7" w14:textId="77777777" w:rsidR="0057163C" w:rsidRPr="00170422" w:rsidRDefault="00F37BF9">
            <w:pPr>
              <w:pStyle w:val="P68B1DB1-Normal11"/>
              <w:spacing w:line="276" w:lineRule="auto"/>
              <w:jc w:val="center"/>
              <w:rPr>
                <w:noProof/>
                <w:szCs w:val="20"/>
                <w:lang w:val="de-DE"/>
              </w:rPr>
            </w:pPr>
            <w:r w:rsidRPr="00170422">
              <w:rPr>
                <w:noProof/>
                <w:lang w:val="de-DE"/>
              </w:rPr>
              <w:t>M2C2-22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05C69" w14:textId="77777777" w:rsidR="0057163C" w:rsidRPr="00170422" w:rsidRDefault="00F37BF9">
            <w:pPr>
              <w:pStyle w:val="P68B1DB1-Normal11"/>
              <w:spacing w:line="276" w:lineRule="auto"/>
              <w:jc w:val="center"/>
              <w:rPr>
                <w:noProof/>
                <w:szCs w:val="20"/>
                <w:lang w:val="de-DE"/>
              </w:rPr>
            </w:pPr>
            <w:r w:rsidRPr="00170422">
              <w:rPr>
                <w:noProof/>
                <w:lang w:val="de-DE"/>
              </w:rPr>
              <w:t>Investition 4.1 Investitionen in sanfte Mobilität (Nationaler Plan für den Zyklusweg)</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18E9" w14:textId="77777777" w:rsidR="0057163C" w:rsidRPr="00170422" w:rsidRDefault="00F37BF9">
            <w:pPr>
              <w:pStyle w:val="P68B1DB1-Normal11"/>
              <w:spacing w:line="276" w:lineRule="auto"/>
              <w:jc w:val="center"/>
              <w:rPr>
                <w:noProof/>
                <w:szCs w:val="20"/>
                <w:lang w:val="de-DE"/>
              </w:rPr>
            </w:pPr>
            <w:r w:rsidRPr="00170422">
              <w:rPr>
                <w:noProof/>
                <w:lang w:val="de-DE"/>
              </w:rPr>
              <w:t>Zielvorgabe:</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A68AA6" w14:textId="77777777" w:rsidR="0057163C" w:rsidRPr="00170422" w:rsidRDefault="00F37BF9">
            <w:pPr>
              <w:pStyle w:val="P68B1DB1-Normal11"/>
              <w:spacing w:line="276" w:lineRule="auto"/>
              <w:jc w:val="center"/>
              <w:rPr>
                <w:noProof/>
                <w:szCs w:val="20"/>
                <w:lang w:val="de-DE"/>
              </w:rPr>
            </w:pPr>
            <w:r w:rsidRPr="00170422">
              <w:rPr>
                <w:noProof/>
                <w:lang w:val="de-DE"/>
              </w:rPr>
              <w:t>Radwege T1</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21BA46"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F40391" w14:textId="77777777" w:rsidR="0057163C" w:rsidRPr="00170422" w:rsidRDefault="00F37BF9">
            <w:pPr>
              <w:pStyle w:val="P68B1DB1-Normal11"/>
              <w:spacing w:line="276" w:lineRule="auto"/>
              <w:jc w:val="center"/>
              <w:rPr>
                <w:noProof/>
                <w:szCs w:val="20"/>
                <w:lang w:val="de-DE"/>
              </w:rPr>
            </w:pPr>
            <w:r w:rsidRPr="00170422">
              <w:rPr>
                <w:noProof/>
                <w:lang w:val="de-DE"/>
              </w:rPr>
              <w:t>Kilometer</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9C058"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94D4AC" w14:textId="77777777" w:rsidR="0057163C" w:rsidRPr="00170422" w:rsidRDefault="00F37BF9">
            <w:pPr>
              <w:pStyle w:val="P68B1DB1-Normal11"/>
              <w:spacing w:line="276" w:lineRule="auto"/>
              <w:jc w:val="center"/>
              <w:rPr>
                <w:noProof/>
                <w:szCs w:val="20"/>
                <w:lang w:val="de-DE"/>
              </w:rPr>
            </w:pPr>
            <w:r w:rsidRPr="00170422">
              <w:rPr>
                <w:noProof/>
                <w:lang w:val="de-DE"/>
              </w:rPr>
              <w:t>200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FA91E"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F7CD8C"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55231" w14:textId="77777777" w:rsidR="0057163C" w:rsidRPr="00170422" w:rsidRDefault="00F37BF9">
            <w:pPr>
              <w:pStyle w:val="P68B1DB1-Normal11"/>
              <w:spacing w:after="120"/>
              <w:rPr>
                <w:noProof/>
                <w:szCs w:val="20"/>
                <w:lang w:val="de-DE"/>
              </w:rPr>
            </w:pPr>
            <w:r w:rsidRPr="00170422">
              <w:rPr>
                <w:noProof/>
                <w:lang w:val="de-DE"/>
              </w:rPr>
              <w:t>Fertigstellung von mindestens 200 km Radwegen in Ballungsräumen gemäß der Beschreibung der Maßnahme oder Städten, in denen Universitäten untergebracht sind.</w:t>
            </w:r>
          </w:p>
        </w:tc>
      </w:tr>
      <w:tr w:rsidR="0057163C" w:rsidRPr="00170422" w14:paraId="0B1E9B75"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7986DC" w14:textId="77777777" w:rsidR="0057163C" w:rsidRPr="00170422" w:rsidRDefault="00F37BF9">
            <w:pPr>
              <w:pStyle w:val="P68B1DB1-Normal11"/>
              <w:spacing w:line="276" w:lineRule="auto"/>
              <w:jc w:val="center"/>
              <w:rPr>
                <w:noProof/>
                <w:szCs w:val="20"/>
                <w:lang w:val="de-DE"/>
              </w:rPr>
            </w:pPr>
            <w:r w:rsidRPr="00170422">
              <w:rPr>
                <w:noProof/>
                <w:lang w:val="de-DE"/>
              </w:rPr>
              <w:t>M2C2-23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376443" w14:textId="77777777" w:rsidR="0057163C" w:rsidRPr="00170422" w:rsidRDefault="00F37BF9">
            <w:pPr>
              <w:pStyle w:val="P68B1DB1-Normal11"/>
              <w:spacing w:line="276" w:lineRule="auto"/>
              <w:jc w:val="center"/>
              <w:rPr>
                <w:noProof/>
                <w:szCs w:val="20"/>
                <w:lang w:val="de-DE"/>
              </w:rPr>
            </w:pPr>
            <w:r w:rsidRPr="00170422">
              <w:rPr>
                <w:noProof/>
                <w:lang w:val="de-DE"/>
              </w:rPr>
              <w:t>Investition 4.1 Investitionen in sanfte Mobilität (Nationaler Plan für den</w:t>
            </w:r>
            <w:r w:rsidRPr="00170422">
              <w:rPr>
                <w:noProof/>
                <w:lang w:val="de-DE"/>
              </w:rPr>
              <w:t xml:space="preserve"> Zyklusweg)</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0E3CFA"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6061B" w14:textId="77777777" w:rsidR="0057163C" w:rsidRPr="00170422" w:rsidRDefault="00F37BF9">
            <w:pPr>
              <w:pStyle w:val="P68B1DB1-Normal11"/>
              <w:spacing w:line="276" w:lineRule="auto"/>
              <w:jc w:val="center"/>
              <w:rPr>
                <w:noProof/>
                <w:szCs w:val="20"/>
                <w:lang w:val="de-DE"/>
              </w:rPr>
            </w:pPr>
            <w:r w:rsidRPr="00170422">
              <w:rPr>
                <w:noProof/>
                <w:lang w:val="de-DE"/>
              </w:rPr>
              <w:t>Radwege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6517FE"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6517A" w14:textId="77777777" w:rsidR="0057163C" w:rsidRPr="00170422" w:rsidRDefault="00F37BF9">
            <w:pPr>
              <w:pStyle w:val="P68B1DB1-Normal11"/>
              <w:spacing w:line="276" w:lineRule="auto"/>
              <w:jc w:val="center"/>
              <w:rPr>
                <w:noProof/>
                <w:szCs w:val="20"/>
                <w:lang w:val="de-DE"/>
              </w:rPr>
            </w:pPr>
            <w:r w:rsidRPr="00170422">
              <w:rPr>
                <w:noProof/>
                <w:lang w:val="de-DE"/>
              </w:rPr>
              <w:t>Kilometer</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085DE" w14:textId="77777777" w:rsidR="0057163C" w:rsidRPr="00170422" w:rsidRDefault="00F37BF9">
            <w:pPr>
              <w:pStyle w:val="P68B1DB1-Normal11"/>
              <w:spacing w:line="276" w:lineRule="auto"/>
              <w:jc w:val="center"/>
              <w:rPr>
                <w:noProof/>
                <w:szCs w:val="20"/>
                <w:lang w:val="de-DE"/>
              </w:rPr>
            </w:pPr>
            <w:r w:rsidRPr="00170422">
              <w:rPr>
                <w:noProof/>
                <w:lang w:val="de-DE"/>
              </w:rPr>
              <w:t>200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C799A" w14:textId="648E5A32" w:rsidR="0057163C" w:rsidRPr="00170422" w:rsidRDefault="00F37BF9">
            <w:pPr>
              <w:pStyle w:val="P68B1DB1-Normal11"/>
              <w:spacing w:line="276" w:lineRule="auto"/>
              <w:jc w:val="center"/>
              <w:rPr>
                <w:noProof/>
                <w:szCs w:val="20"/>
                <w:lang w:val="de-DE"/>
              </w:rPr>
            </w:pPr>
            <w:r w:rsidRPr="00170422">
              <w:rPr>
                <w:noProof/>
                <w:szCs w:val="20"/>
                <w:lang w:val="de-DE"/>
              </w:rPr>
              <w:t>1</w:t>
            </w:r>
            <w:r w:rsidRPr="00170422">
              <w:rPr>
                <w:noProof/>
                <w:lang w:val="de-DE"/>
              </w:rPr>
              <w:t xml:space="preserve"> </w:t>
            </w:r>
            <w:r w:rsidRPr="00170422">
              <w:rPr>
                <w:noProof/>
                <w:szCs w:val="20"/>
                <w:lang w:val="de-DE"/>
              </w:rPr>
              <w:t>261</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1EE9F"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C3656"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D3C49" w14:textId="58C27959" w:rsidR="0057163C" w:rsidRPr="00170422" w:rsidRDefault="00F37BF9">
            <w:pPr>
              <w:pStyle w:val="P68B1DB1-Normal11"/>
              <w:spacing w:after="120"/>
              <w:rPr>
                <w:noProof/>
                <w:szCs w:val="20"/>
                <w:lang w:val="de-DE"/>
              </w:rPr>
            </w:pPr>
            <w:r w:rsidRPr="00170422">
              <w:rPr>
                <w:noProof/>
                <w:szCs w:val="20"/>
                <w:lang w:val="de-DE"/>
              </w:rPr>
              <w:t>Für den Bau von mindestens 1261 km Radspuren in Ballungsräumen und touristischen Radwegen werden Bescheinigungen über den Abschluss der Arbeiten ausgestellt.</w:t>
            </w:r>
          </w:p>
        </w:tc>
      </w:tr>
      <w:tr w:rsidR="0057163C" w:rsidRPr="00170422" w14:paraId="3BC6C350"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E904D" w14:textId="77777777" w:rsidR="0057163C" w:rsidRPr="00170422" w:rsidRDefault="00F37BF9">
            <w:pPr>
              <w:pStyle w:val="P68B1DB1-Normal11"/>
              <w:spacing w:line="276" w:lineRule="auto"/>
              <w:jc w:val="center"/>
              <w:rPr>
                <w:noProof/>
                <w:szCs w:val="20"/>
                <w:lang w:val="de-DE"/>
              </w:rPr>
            </w:pPr>
            <w:r w:rsidRPr="00170422">
              <w:rPr>
                <w:noProof/>
                <w:lang w:val="de-DE"/>
              </w:rPr>
              <w:t>M2C2-27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32A7AC"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4.3 </w:t>
            </w:r>
            <w:r w:rsidRPr="00170422">
              <w:rPr>
                <w:noProof/>
                <w:lang w:val="de-DE"/>
              </w:rPr>
              <w:t>Installation von Ladeinfrastrukturen</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575930"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548E6" w14:textId="77777777" w:rsidR="0057163C" w:rsidRPr="00170422" w:rsidRDefault="00F37BF9">
            <w:pPr>
              <w:pStyle w:val="P68B1DB1-Normal11"/>
              <w:spacing w:line="276" w:lineRule="auto"/>
              <w:jc w:val="center"/>
              <w:rPr>
                <w:noProof/>
                <w:szCs w:val="20"/>
                <w:lang w:val="de-DE"/>
              </w:rPr>
            </w:pPr>
            <w:r w:rsidRPr="00170422">
              <w:rPr>
                <w:noProof/>
                <w:lang w:val="de-DE"/>
              </w:rPr>
              <w:t>Vergabe sämtlicher öffentlicher Aufträge für die Installation von Ladeinfrastrukturen M1</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CA7DD0" w14:textId="77777777" w:rsidR="0057163C" w:rsidRPr="00170422" w:rsidRDefault="00F37BF9">
            <w:pPr>
              <w:pStyle w:val="P68B1DB1-Normal11"/>
              <w:spacing w:line="276" w:lineRule="auto"/>
              <w:jc w:val="center"/>
              <w:rPr>
                <w:noProof/>
                <w:szCs w:val="20"/>
                <w:lang w:val="de-DE"/>
              </w:rPr>
            </w:pPr>
            <w:r w:rsidRPr="00170422">
              <w:rPr>
                <w:noProof/>
                <w:lang w:val="de-DE"/>
              </w:rPr>
              <w:t>Mitteilung über die Vergabe sämtlicher öffentlicher Aufträge für die Installation von Ladeinfrastrukturen</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4981BC"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02D5B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CDFE8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AAAFEE"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2BEEFD"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7C3C39" w14:textId="763991FA" w:rsidR="0057163C" w:rsidRPr="00170422" w:rsidRDefault="00F37BF9">
            <w:pPr>
              <w:pStyle w:val="P68B1DB1-Normal11"/>
              <w:spacing w:after="120"/>
              <w:rPr>
                <w:noProof/>
                <w:szCs w:val="20"/>
                <w:lang w:val="de-DE"/>
              </w:rPr>
            </w:pPr>
            <w:r w:rsidRPr="00170422">
              <w:rPr>
                <w:noProof/>
                <w:lang w:val="de-DE"/>
              </w:rPr>
              <w:t>Mitteilung über die Vergabe aller öffentlichen Aufträge zum Bau von mindestens 4700 Ladestationen in städtischen Gebieten (alle Gemeinden).</w:t>
            </w:r>
          </w:p>
          <w:p w14:paraId="1A1F3F29" w14:textId="77777777" w:rsidR="0057163C" w:rsidRPr="00170422" w:rsidRDefault="00F37BF9">
            <w:pPr>
              <w:pStyle w:val="P68B1DB1-Normal11"/>
              <w:spacing w:after="120"/>
              <w:rPr>
                <w:noProof/>
                <w:szCs w:val="20"/>
                <w:lang w:val="de-DE"/>
              </w:rPr>
            </w:pPr>
            <w:r w:rsidRPr="00170422">
              <w:rPr>
                <w:noProof/>
                <w:lang w:val="de-DE"/>
              </w:rPr>
              <w:t>Das Projekt kann auch Pilot-Ladestationen zur Energiespeicherung umfassen.</w:t>
            </w:r>
          </w:p>
        </w:tc>
      </w:tr>
      <w:tr w:rsidR="0057163C" w:rsidRPr="00170422" w14:paraId="2DD940AA"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3FAF79" w14:textId="77777777" w:rsidR="0057163C" w:rsidRPr="00170422" w:rsidRDefault="00F37BF9">
            <w:pPr>
              <w:pStyle w:val="P68B1DB1-Normal12"/>
              <w:spacing w:line="276" w:lineRule="auto"/>
              <w:jc w:val="center"/>
              <w:rPr>
                <w:noProof/>
                <w:lang w:val="de-DE"/>
              </w:rPr>
            </w:pPr>
            <w:r w:rsidRPr="00170422">
              <w:rPr>
                <w:noProof/>
                <w:lang w:val="de-DE"/>
              </w:rPr>
              <w:t>M2C2-28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3BA5E0" w14:textId="77777777" w:rsidR="0057163C" w:rsidRPr="00170422" w:rsidRDefault="00F37BF9">
            <w:pPr>
              <w:pStyle w:val="P68B1DB1-Normal11"/>
              <w:spacing w:line="276" w:lineRule="auto"/>
              <w:jc w:val="center"/>
              <w:rPr>
                <w:noProof/>
                <w:szCs w:val="20"/>
                <w:lang w:val="de-DE"/>
              </w:rPr>
            </w:pPr>
            <w:r w:rsidRPr="00170422">
              <w:rPr>
                <w:noProof/>
                <w:lang w:val="de-DE"/>
              </w:rPr>
              <w:t>Investition 4.3 Installation von Ladeinfrastrukturen</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5751F4"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EFAD5F" w14:textId="77777777" w:rsidR="0057163C" w:rsidRPr="00170422" w:rsidRDefault="00F37BF9">
            <w:pPr>
              <w:pStyle w:val="P68B1DB1-Normal11"/>
              <w:spacing w:line="276" w:lineRule="auto"/>
              <w:jc w:val="center"/>
              <w:rPr>
                <w:noProof/>
                <w:szCs w:val="20"/>
                <w:lang w:val="de-DE"/>
              </w:rPr>
            </w:pPr>
            <w:r w:rsidRPr="00170422">
              <w:rPr>
                <w:noProof/>
                <w:lang w:val="de-DE"/>
              </w:rPr>
              <w:t xml:space="preserve">Vergabe öffentlicher Aufträge für die Errichtung von Ladeinfrastrukturen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DAE40A" w14:textId="3710E5DB" w:rsidR="0057163C" w:rsidRPr="00170422" w:rsidRDefault="00F37BF9">
            <w:pPr>
              <w:pStyle w:val="P68B1DB1-Normal11"/>
              <w:spacing w:line="276" w:lineRule="auto"/>
              <w:jc w:val="center"/>
              <w:rPr>
                <w:noProof/>
                <w:szCs w:val="20"/>
                <w:lang w:val="de-DE"/>
              </w:rPr>
            </w:pPr>
            <w:r w:rsidRPr="00170422">
              <w:rPr>
                <w:noProof/>
                <w:lang w:val="de-DE"/>
              </w:rPr>
              <w:t>Vergabe öffentlicher Aufträge für die Errichtung von Ladeinfrastrukturen</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B14E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770D"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CE9E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C5A432"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90062" w14:textId="77777777" w:rsidR="0057163C" w:rsidRPr="00170422" w:rsidRDefault="00F37BF9">
            <w:pPr>
              <w:pStyle w:val="P68B1DB1-Normal11"/>
              <w:spacing w:line="276" w:lineRule="auto"/>
              <w:jc w:val="center"/>
              <w:rPr>
                <w:noProof/>
                <w:szCs w:val="20"/>
                <w:lang w:val="de-DE"/>
              </w:rPr>
            </w:pPr>
            <w:r w:rsidRPr="00170422">
              <w:rPr>
                <w:noProof/>
                <w:lang w:val="de-DE"/>
              </w:rPr>
              <w:t>202</w:t>
            </w:r>
            <w:r w:rsidRPr="00170422">
              <w:rPr>
                <w:noProof/>
                <w:lang w:val="de-DE"/>
              </w:rPr>
              <w:t>4</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D090F0" w14:textId="77777777" w:rsidR="0057163C" w:rsidRPr="00170422" w:rsidRDefault="00F37BF9">
            <w:pPr>
              <w:pStyle w:val="P68B1DB1-Normal21"/>
              <w:spacing w:after="120"/>
              <w:rPr>
                <w:rFonts w:ascii="Arial Narrow" w:hAnsi="Arial Narrow"/>
                <w:noProof/>
                <w:szCs w:val="20"/>
                <w:lang w:val="de-DE"/>
              </w:rPr>
            </w:pPr>
            <w:r w:rsidRPr="00170422">
              <w:rPr>
                <w:rFonts w:ascii="Arial Narrow" w:hAnsi="Arial Narrow"/>
                <w:noProof/>
                <w:szCs w:val="20"/>
                <w:lang w:val="de-DE"/>
              </w:rPr>
              <w:t>Vergabe der Aufträge für den Bau von mindestens 2100 Schnellladestationen an Freiwegen und mindestens 9900</w:t>
            </w:r>
            <w:r w:rsidRPr="00170422">
              <w:rPr>
                <w:noProof/>
                <w:lang w:val="de-DE"/>
              </w:rPr>
              <w:t xml:space="preserve"> </w:t>
            </w:r>
            <w:r w:rsidRPr="00170422">
              <w:rPr>
                <w:rFonts w:ascii="Arial Narrow" w:hAnsi="Arial Narrow"/>
                <w:noProof/>
                <w:szCs w:val="20"/>
                <w:lang w:val="de-DE"/>
              </w:rPr>
              <w:t>in städtischen Gebieten.</w:t>
            </w:r>
          </w:p>
          <w:p w14:paraId="4354F8CA" w14:textId="77777777" w:rsidR="0057163C" w:rsidRPr="00170422" w:rsidRDefault="0057163C">
            <w:pPr>
              <w:spacing w:after="120"/>
              <w:rPr>
                <w:rFonts w:ascii="Arial Narrow" w:hAnsi="Arial Narrow"/>
                <w:noProof/>
                <w:color w:val="006100"/>
                <w:sz w:val="20"/>
                <w:szCs w:val="20"/>
                <w:lang w:val="de-DE"/>
              </w:rPr>
            </w:pPr>
          </w:p>
        </w:tc>
      </w:tr>
      <w:tr w:rsidR="0057163C" w:rsidRPr="00170422" w14:paraId="793429A4"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28716" w14:textId="77777777" w:rsidR="0057163C" w:rsidRPr="00170422" w:rsidRDefault="00F37BF9">
            <w:pPr>
              <w:pStyle w:val="P68B1DB1-Normal12"/>
              <w:spacing w:line="276" w:lineRule="auto"/>
              <w:jc w:val="center"/>
              <w:rPr>
                <w:noProof/>
                <w:lang w:val="de-DE"/>
              </w:rPr>
            </w:pPr>
            <w:r w:rsidRPr="00170422">
              <w:rPr>
                <w:noProof/>
                <w:lang w:val="de-DE"/>
              </w:rPr>
              <w:t>M2C2-29</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551BDA" w14:textId="77777777" w:rsidR="0057163C" w:rsidRPr="00170422" w:rsidRDefault="00F37BF9">
            <w:pPr>
              <w:pStyle w:val="P68B1DB1-Normal12"/>
              <w:spacing w:line="276" w:lineRule="auto"/>
              <w:jc w:val="center"/>
              <w:rPr>
                <w:noProof/>
                <w:lang w:val="de-DE"/>
              </w:rPr>
            </w:pPr>
            <w:r w:rsidRPr="00170422">
              <w:rPr>
                <w:noProof/>
                <w:lang w:val="de-DE"/>
              </w:rPr>
              <w:t>Investition 4.3 Installation von Ladeinfrastrukturen</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1A5144" w14:textId="77777777" w:rsidR="0057163C" w:rsidRPr="00170422" w:rsidRDefault="00F37BF9">
            <w:pPr>
              <w:pStyle w:val="P68B1DB1-Normal12"/>
              <w:spacing w:line="276" w:lineRule="auto"/>
              <w:jc w:val="center"/>
              <w:rPr>
                <w:noProof/>
                <w:lang w:val="de-DE"/>
              </w:rPr>
            </w:pPr>
            <w:r w:rsidRPr="00170422">
              <w:rPr>
                <w:noProof/>
                <w:lang w:val="de-DE"/>
              </w:rPr>
              <w:t>Ziel</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AC6ABC" w14:textId="77777777" w:rsidR="0057163C" w:rsidRPr="00170422" w:rsidRDefault="00F37BF9">
            <w:pPr>
              <w:pStyle w:val="P68B1DB1-Normal12"/>
              <w:spacing w:line="276" w:lineRule="auto"/>
              <w:jc w:val="center"/>
              <w:rPr>
                <w:noProof/>
                <w:lang w:val="de-DE"/>
              </w:rPr>
            </w:pPr>
            <w:r w:rsidRPr="00170422">
              <w:rPr>
                <w:noProof/>
                <w:lang w:val="de-DE"/>
              </w:rPr>
              <w:t xml:space="preserve">Anzahl der Schnellladestationen </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75748"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C4CB6" w14:textId="77777777" w:rsidR="0057163C" w:rsidRPr="00170422" w:rsidRDefault="00F37BF9">
            <w:pPr>
              <w:pStyle w:val="P68B1DB1-Normal12"/>
              <w:spacing w:line="276" w:lineRule="auto"/>
              <w:jc w:val="center"/>
              <w:rPr>
                <w:noProof/>
                <w:lang w:val="de-DE"/>
              </w:rPr>
            </w:pPr>
            <w:r w:rsidRPr="00170422">
              <w:rPr>
                <w:noProof/>
                <w:lang w:val="de-DE"/>
              </w:rPr>
              <w:t>Anzahl</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796CB" w14:textId="77777777" w:rsidR="0057163C" w:rsidRPr="00170422" w:rsidRDefault="00F37BF9">
            <w:pPr>
              <w:pStyle w:val="P68B1DB1-Normal12"/>
              <w:spacing w:line="276" w:lineRule="auto"/>
              <w:jc w:val="center"/>
              <w:rPr>
                <w:noProof/>
                <w:lang w:val="de-DE"/>
              </w:rPr>
            </w:pPr>
            <w:r w:rsidRPr="00170422">
              <w:rPr>
                <w:noProof/>
                <w:lang w:val="de-DE"/>
              </w:rPr>
              <w:t>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0B7D3" w14:textId="4332BBDD" w:rsidR="0057163C" w:rsidRPr="00170422" w:rsidRDefault="00F37BF9">
            <w:pPr>
              <w:pStyle w:val="P68B1DB1-Normal11"/>
              <w:spacing w:line="276" w:lineRule="auto"/>
              <w:jc w:val="center"/>
              <w:rPr>
                <w:noProof/>
                <w:szCs w:val="20"/>
                <w:lang w:val="de-DE"/>
              </w:rPr>
            </w:pPr>
            <w:r w:rsidRPr="00170422">
              <w:rPr>
                <w:noProof/>
                <w:szCs w:val="20"/>
                <w:lang w:val="de-DE"/>
              </w:rPr>
              <w:t>10</w:t>
            </w:r>
            <w:r w:rsidRPr="00170422">
              <w:rPr>
                <w:noProof/>
                <w:lang w:val="de-DE"/>
              </w:rPr>
              <w:t xml:space="preserve"> </w:t>
            </w:r>
            <w:r w:rsidRPr="00170422">
              <w:rPr>
                <w:noProof/>
                <w:szCs w:val="20"/>
                <w:lang w:val="de-DE"/>
              </w:rPr>
              <w:t>368</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D778" w14:textId="77777777" w:rsidR="0057163C" w:rsidRPr="00170422" w:rsidRDefault="00F37BF9">
            <w:pPr>
              <w:pStyle w:val="P68B1DB1-Normal12"/>
              <w:spacing w:line="276" w:lineRule="auto"/>
              <w:jc w:val="center"/>
              <w:rPr>
                <w:noProof/>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EEAD0" w14:textId="77777777" w:rsidR="0057163C" w:rsidRPr="00170422" w:rsidRDefault="00F37BF9">
            <w:pPr>
              <w:pStyle w:val="P68B1DB1-Normal12"/>
              <w:spacing w:line="276" w:lineRule="auto"/>
              <w:jc w:val="center"/>
              <w:rPr>
                <w:noProof/>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30DB3" w14:textId="09110CF5" w:rsidR="0057163C" w:rsidRPr="00170422" w:rsidRDefault="00F37BF9">
            <w:pPr>
              <w:pStyle w:val="P68B1DB1-Normal11"/>
              <w:spacing w:after="120"/>
              <w:jc w:val="both"/>
              <w:rPr>
                <w:noProof/>
                <w:szCs w:val="20"/>
                <w:lang w:val="de-DE"/>
              </w:rPr>
            </w:pPr>
            <w:r w:rsidRPr="00170422">
              <w:rPr>
                <w:noProof/>
                <w:szCs w:val="20"/>
                <w:lang w:val="de-DE"/>
              </w:rPr>
              <w:t>Für mindestens 10368 Schnellladestationen für Elektrofahrzeuge an Freiwegen oder städtischen Gebieten werden Installations- und Abnahmebescheinigungen für die vom Projektträger geschätzten Anschlusskosten vorgelegt.</w:t>
            </w:r>
          </w:p>
          <w:p w14:paraId="73E0268F" w14:textId="7B1E8C1B" w:rsidR="0057163C" w:rsidRPr="00170422" w:rsidRDefault="00F37BF9">
            <w:pPr>
              <w:pStyle w:val="P68B1DB1-Normal12"/>
              <w:spacing w:after="120"/>
              <w:jc w:val="both"/>
              <w:rPr>
                <w:noProof/>
                <w:lang w:val="de-DE"/>
              </w:rPr>
            </w:pPr>
            <w:r w:rsidRPr="00170422">
              <w:rPr>
                <w:noProof/>
                <w:lang w:val="de-DE"/>
              </w:rPr>
              <w:t>Die Ladeinfrastruktur für E</w:t>
            </w:r>
            <w:r w:rsidRPr="00170422">
              <w:rPr>
                <w:noProof/>
                <w:lang w:val="de-DE"/>
              </w:rPr>
              <w:t xml:space="preserve">lektrofahrzeuge muss mindestens 175 kW in Freistraßen und 90 kW in städtischen Gebieten betragen. </w:t>
            </w:r>
          </w:p>
        </w:tc>
      </w:tr>
      <w:tr w:rsidR="0057163C" w:rsidRPr="00170422" w14:paraId="3838C670"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2E75C8" w14:textId="77777777" w:rsidR="0057163C" w:rsidRPr="00170422" w:rsidRDefault="00F37BF9">
            <w:pPr>
              <w:pStyle w:val="P68B1DB1-Normal12"/>
              <w:spacing w:line="276" w:lineRule="auto"/>
              <w:jc w:val="center"/>
              <w:rPr>
                <w:noProof/>
                <w:lang w:val="de-DE"/>
              </w:rPr>
            </w:pPr>
            <w:r w:rsidRPr="00170422">
              <w:rPr>
                <w:noProof/>
                <w:lang w:val="de-DE"/>
              </w:rPr>
              <w:t>M2C2-30</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696793" w14:textId="77777777" w:rsidR="0057163C" w:rsidRPr="00170422" w:rsidRDefault="00F37BF9">
            <w:pPr>
              <w:pStyle w:val="P68B1DB1-Normal12"/>
              <w:spacing w:line="276" w:lineRule="auto"/>
              <w:jc w:val="center"/>
              <w:rPr>
                <w:noProof/>
                <w:lang w:val="de-DE"/>
              </w:rPr>
            </w:pPr>
            <w:r w:rsidRPr="00170422">
              <w:rPr>
                <w:noProof/>
                <w:lang w:val="de-DE"/>
              </w:rPr>
              <w:t>Investition 4.5 – Programm zur Erneuerung der Flotte privater und leichter Nutzfahrzeuge mit Elektrofahrzeugen</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B75E26" w14:textId="77777777" w:rsidR="0057163C" w:rsidRPr="00170422" w:rsidRDefault="00F37BF9">
            <w:pPr>
              <w:pStyle w:val="P68B1DB1-Normal12"/>
              <w:spacing w:line="276" w:lineRule="auto"/>
              <w:jc w:val="center"/>
              <w:rPr>
                <w:noProof/>
                <w:lang w:val="de-DE"/>
              </w:rPr>
            </w:pPr>
            <w:r w:rsidRPr="00170422">
              <w:rPr>
                <w:noProof/>
                <w:lang w:val="de-DE"/>
              </w:rPr>
              <w:t>Ziel </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A3B949" w14:textId="77777777" w:rsidR="0057163C" w:rsidRPr="00170422" w:rsidRDefault="00F37BF9">
            <w:pPr>
              <w:pStyle w:val="P68B1DB1-Normal12"/>
              <w:spacing w:line="276" w:lineRule="auto"/>
              <w:jc w:val="center"/>
              <w:rPr>
                <w:noProof/>
                <w:lang w:val="de-DE"/>
              </w:rPr>
            </w:pPr>
            <w:r w:rsidRPr="00170422">
              <w:rPr>
                <w:noProof/>
                <w:lang w:val="de-DE"/>
              </w:rPr>
              <w:t>Anzahl der gekauften Fahrzeuge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80B6C"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B0947" w14:textId="77777777" w:rsidR="0057163C" w:rsidRPr="00170422" w:rsidRDefault="00F37BF9">
            <w:pPr>
              <w:pStyle w:val="P68B1DB1-Normal12"/>
              <w:spacing w:line="276" w:lineRule="auto"/>
              <w:jc w:val="center"/>
              <w:rPr>
                <w:noProof/>
                <w:lang w:val="de-DE"/>
              </w:rPr>
            </w:pPr>
            <w:r w:rsidRPr="00170422">
              <w:rPr>
                <w:noProof/>
                <w:lang w:val="de-DE"/>
              </w:rPr>
              <w:t>Anzahl</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F9082" w14:textId="77777777" w:rsidR="0057163C" w:rsidRPr="00170422" w:rsidRDefault="00F37BF9">
            <w:pPr>
              <w:pStyle w:val="P68B1DB1-Normal12"/>
              <w:spacing w:line="276" w:lineRule="auto"/>
              <w:jc w:val="center"/>
              <w:rPr>
                <w:noProof/>
                <w:lang w:val="de-DE"/>
              </w:rPr>
            </w:pPr>
            <w:r w:rsidRPr="00170422">
              <w:rPr>
                <w:noProof/>
                <w:lang w:val="de-DE"/>
              </w:rPr>
              <w:t>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7890B" w14:textId="793877EC" w:rsidR="0057163C" w:rsidRPr="00170422" w:rsidRDefault="00F37BF9">
            <w:pPr>
              <w:pStyle w:val="P68B1DB1-Normal11"/>
              <w:spacing w:line="276" w:lineRule="auto"/>
              <w:jc w:val="center"/>
              <w:rPr>
                <w:noProof/>
                <w:szCs w:val="20"/>
                <w:lang w:val="de-DE"/>
              </w:rPr>
            </w:pPr>
            <w:r w:rsidRPr="00170422">
              <w:rPr>
                <w:noProof/>
                <w:szCs w:val="20"/>
                <w:lang w:val="de-DE"/>
              </w:rPr>
              <w:t>30</w:t>
            </w:r>
            <w:r w:rsidRPr="00170422">
              <w:rPr>
                <w:noProof/>
                <w:lang w:val="de-DE"/>
              </w:rPr>
              <w:t xml:space="preserve"> </w:t>
            </w:r>
            <w:r w:rsidRPr="00170422">
              <w:rPr>
                <w:noProof/>
                <w:szCs w:val="20"/>
                <w:lang w:val="de-DE"/>
              </w:rPr>
              <w:t>830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13F36" w14:textId="77777777" w:rsidR="0057163C" w:rsidRPr="00170422" w:rsidRDefault="00F37BF9">
            <w:pPr>
              <w:pStyle w:val="P68B1DB1-Normal12"/>
              <w:spacing w:line="276" w:lineRule="auto"/>
              <w:jc w:val="center"/>
              <w:rPr>
                <w:noProof/>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3011E" w14:textId="77777777" w:rsidR="0057163C" w:rsidRPr="00170422" w:rsidRDefault="00F37BF9">
            <w:pPr>
              <w:pStyle w:val="P68B1DB1-Normal12"/>
              <w:spacing w:line="276" w:lineRule="auto"/>
              <w:jc w:val="center"/>
              <w:rPr>
                <w:noProof/>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E912D" w14:textId="4F650512" w:rsidR="0057163C" w:rsidRPr="00170422" w:rsidRDefault="00F37BF9">
            <w:pPr>
              <w:pStyle w:val="P68B1DB1-Normal11"/>
              <w:spacing w:after="120"/>
              <w:rPr>
                <w:noProof/>
                <w:szCs w:val="20"/>
                <w:lang w:val="de-DE"/>
              </w:rPr>
            </w:pPr>
            <w:r w:rsidRPr="00170422">
              <w:rPr>
                <w:noProof/>
                <w:szCs w:val="20"/>
                <w:lang w:val="de-DE"/>
              </w:rPr>
              <w:t>Verträge über den Kauf von mindestens</w:t>
            </w:r>
            <w:r w:rsidRPr="00170422">
              <w:rPr>
                <w:noProof/>
                <w:lang w:val="de-DE"/>
              </w:rPr>
              <w:t xml:space="preserve"> </w:t>
            </w:r>
            <w:r w:rsidRPr="00170422">
              <w:rPr>
                <w:noProof/>
                <w:szCs w:val="20"/>
                <w:lang w:val="de-DE"/>
              </w:rPr>
              <w:t>30830 emissionsfreien Fahrzeugen.</w:t>
            </w:r>
          </w:p>
          <w:p w14:paraId="66442471" w14:textId="77777777" w:rsidR="0057163C" w:rsidRPr="00170422" w:rsidRDefault="00F37BF9">
            <w:pPr>
              <w:pStyle w:val="P68B1DB1-Normal12"/>
              <w:spacing w:after="120"/>
              <w:jc w:val="both"/>
              <w:rPr>
                <w:noProof/>
                <w:lang w:val="de-DE"/>
              </w:rPr>
            </w:pPr>
            <w:r w:rsidRPr="00170422">
              <w:rPr>
                <w:noProof/>
                <w:lang w:val="de-DE"/>
              </w:rPr>
              <w:t>Für jedes Fahrzeug ist auch eine Abwrackbescheinigung vorzulegen, in der die Verschrottung eines Wärmefahrzeugs ausgewiesen wird.</w:t>
            </w:r>
          </w:p>
          <w:p w14:paraId="5F36ECA0" w14:textId="77777777" w:rsidR="0057163C" w:rsidRPr="00170422" w:rsidRDefault="00F37BF9">
            <w:pPr>
              <w:pStyle w:val="P68B1DB1-Normal12"/>
              <w:spacing w:after="120"/>
              <w:rPr>
                <w:noProof/>
                <w:lang w:val="de-DE"/>
              </w:rPr>
            </w:pPr>
            <w:r w:rsidRPr="00170422">
              <w:rPr>
                <w:noProof/>
                <w:lang w:val="de-DE"/>
              </w:rPr>
              <w:t xml:space="preserve">Die Regelung zielt </w:t>
            </w:r>
            <w:r w:rsidRPr="00170422">
              <w:rPr>
                <w:noProof/>
                <w:lang w:val="de-DE"/>
              </w:rPr>
              <w:t>auf Folgendes ab:</w:t>
            </w:r>
          </w:p>
          <w:p w14:paraId="59208D57" w14:textId="77777777" w:rsidR="0057163C" w:rsidRPr="00170422" w:rsidRDefault="00F37BF9">
            <w:pPr>
              <w:pStyle w:val="P68B1DB1-Normal12"/>
              <w:spacing w:after="120"/>
              <w:rPr>
                <w:noProof/>
                <w:lang w:val="de-DE"/>
              </w:rPr>
            </w:pPr>
            <w:r w:rsidRPr="00170422">
              <w:rPr>
                <w:noProof/>
                <w:lang w:val="de-DE"/>
              </w:rPr>
              <w:t>• Einzelpersonen, die in funktionalen städtischen Gebieten leben. Für Einzelpersonen kommen nur Fahrzeuge der Klasse M1 in Betracht. Nur Fahrzeuge der Klasse M1 sind zulässig.</w:t>
            </w:r>
          </w:p>
          <w:p w14:paraId="50DB2CEE" w14:textId="77777777" w:rsidR="0057163C" w:rsidRPr="00170422" w:rsidRDefault="00F37BF9">
            <w:pPr>
              <w:pStyle w:val="P68B1DB1-Normal12"/>
              <w:spacing w:after="120"/>
              <w:rPr>
                <w:noProof/>
                <w:lang w:val="de-DE"/>
              </w:rPr>
            </w:pPr>
            <w:r w:rsidRPr="00170422">
              <w:rPr>
                <w:noProof/>
                <w:lang w:val="de-DE"/>
              </w:rPr>
              <w:t>• Kleinstunternehmen im Sinne von Artikel 2 Nummer 9 der Veror</w:t>
            </w:r>
            <w:r w:rsidRPr="00170422">
              <w:rPr>
                <w:noProof/>
                <w:lang w:val="de-DE"/>
              </w:rPr>
              <w:t>dnung (EU) 2023/955 mit Sitz in funktionalen städtischen Gebieten. Bei Kleinstunternehmen sind nur Fahrzeuge der Klassen N1 und N2 förderfähig.</w:t>
            </w:r>
          </w:p>
          <w:p w14:paraId="035776A3" w14:textId="780A7376" w:rsidR="0057163C" w:rsidRPr="00170422" w:rsidRDefault="00F37BF9">
            <w:pPr>
              <w:pStyle w:val="P68B1DB1-Normal11"/>
              <w:spacing w:after="120"/>
              <w:rPr>
                <w:noProof/>
                <w:szCs w:val="20"/>
                <w:lang w:val="de-DE"/>
              </w:rPr>
            </w:pPr>
            <w:r w:rsidRPr="00170422">
              <w:rPr>
                <w:noProof/>
                <w:szCs w:val="20"/>
                <w:lang w:val="de-DE"/>
              </w:rPr>
              <w:t>Für Privatfahrzeuge (M1) beträgt der Anreiz höchstens 11 000 EUR je</w:t>
            </w:r>
            <w:r w:rsidRPr="00170422">
              <w:rPr>
                <w:noProof/>
                <w:lang w:val="de-DE"/>
              </w:rPr>
              <w:t xml:space="preserve"> </w:t>
            </w:r>
            <w:r w:rsidRPr="00170422">
              <w:rPr>
                <w:noProof/>
                <w:szCs w:val="20"/>
                <w:lang w:val="de-DE"/>
              </w:rPr>
              <w:t>Neufahrzeug für Personen mit einem Indikator</w:t>
            </w:r>
            <w:r w:rsidRPr="00170422">
              <w:rPr>
                <w:noProof/>
                <w:szCs w:val="20"/>
                <w:lang w:val="de-DE"/>
              </w:rPr>
              <w:t xml:space="preserve"> für die gleichwertige wirtschaftliche Lage (ISEE – Indicatore della Situazione Economica Equivalente) von höchstens 30 000 EUR und</w:t>
            </w:r>
            <w:r w:rsidRPr="00170422">
              <w:rPr>
                <w:noProof/>
                <w:lang w:val="de-DE"/>
              </w:rPr>
              <w:t xml:space="preserve"> </w:t>
            </w:r>
            <w:r w:rsidRPr="00170422">
              <w:rPr>
                <w:noProof/>
                <w:szCs w:val="20"/>
                <w:lang w:val="de-DE"/>
              </w:rPr>
              <w:t>höchstens 9 000 EUR pro</w:t>
            </w:r>
            <w:r w:rsidRPr="00170422">
              <w:rPr>
                <w:noProof/>
                <w:lang w:val="de-DE"/>
              </w:rPr>
              <w:t xml:space="preserve"> </w:t>
            </w:r>
            <w:r w:rsidRPr="00170422">
              <w:rPr>
                <w:noProof/>
                <w:szCs w:val="20"/>
                <w:lang w:val="de-DE"/>
              </w:rPr>
              <w:t xml:space="preserve">Neufahrzeug für Personen mit einem ISEE- Wert von mehr als 30 000 EUR, aber weniger als 40 000 EUR. </w:t>
            </w:r>
            <w:r w:rsidRPr="00170422">
              <w:rPr>
                <w:noProof/>
                <w:szCs w:val="20"/>
                <w:lang w:val="de-DE"/>
              </w:rPr>
              <w:t>Für Nutzfahrzeuge (N1 und N2) deckt der Anreiz bis zu 30 % des Kaufpreises bis zu einer Obergrenze von 20 000 EUR</w:t>
            </w:r>
            <w:r w:rsidRPr="00170422">
              <w:rPr>
                <w:noProof/>
                <w:lang w:val="de-DE"/>
              </w:rPr>
              <w:t xml:space="preserve"> </w:t>
            </w:r>
            <w:r w:rsidRPr="00170422">
              <w:rPr>
                <w:noProof/>
                <w:szCs w:val="20"/>
                <w:lang w:val="de-DE"/>
              </w:rPr>
              <w:t xml:space="preserve">pro Neufahrzeug ab. </w:t>
            </w:r>
          </w:p>
          <w:p w14:paraId="4D6F0C54" w14:textId="3A4B7752" w:rsidR="0057163C" w:rsidRPr="00170422" w:rsidRDefault="00F37BF9">
            <w:pPr>
              <w:pStyle w:val="P68B1DB1-Normal12"/>
              <w:spacing w:after="120"/>
              <w:rPr>
                <w:noProof/>
                <w:lang w:val="de-DE"/>
              </w:rPr>
            </w:pPr>
            <w:r w:rsidRPr="00170422">
              <w:rPr>
                <w:noProof/>
                <w:lang w:val="de-DE"/>
              </w:rPr>
              <w:t>Das System zielt ausschließlich auf den Erwerb emissionsfreier Fahrzeuge ab.</w:t>
            </w:r>
          </w:p>
        </w:tc>
      </w:tr>
      <w:tr w:rsidR="0057163C" w:rsidRPr="00170422" w14:paraId="7E77C348"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17AF2" w14:textId="77777777" w:rsidR="0057163C" w:rsidRPr="00170422" w:rsidRDefault="00F37BF9">
            <w:pPr>
              <w:pStyle w:val="P68B1DB1-Normal11"/>
              <w:spacing w:line="276" w:lineRule="auto"/>
              <w:jc w:val="center"/>
              <w:rPr>
                <w:noProof/>
                <w:szCs w:val="20"/>
                <w:lang w:val="de-DE"/>
              </w:rPr>
            </w:pPr>
            <w:r w:rsidRPr="00170422">
              <w:rPr>
                <w:noProof/>
                <w:lang w:val="de-DE"/>
              </w:rPr>
              <w:t>M2C2-33</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7681F7" w14:textId="53EE5FA8" w:rsidR="0057163C" w:rsidRPr="00170422" w:rsidRDefault="00F37BF9">
            <w:pPr>
              <w:pStyle w:val="P68B1DB1-Normal11"/>
              <w:spacing w:line="276" w:lineRule="auto"/>
              <w:jc w:val="center"/>
              <w:rPr>
                <w:noProof/>
                <w:szCs w:val="20"/>
                <w:lang w:val="de-DE"/>
              </w:rPr>
            </w:pPr>
            <w:r w:rsidRPr="00170422">
              <w:rPr>
                <w:noProof/>
                <w:lang w:val="de-DE"/>
              </w:rPr>
              <w:t xml:space="preserve">Investition 4.4.2: Stärkung der </w:t>
            </w:r>
            <w:r w:rsidRPr="00170422">
              <w:rPr>
                <w:noProof/>
                <w:lang w:val="de-DE"/>
              </w:rPr>
              <w:t>regionalen Eisenbahnflotte des öffentlichen Verkehrs mit emissionsfreien Zügen und Universaldienst</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649181"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F0B96" w14:textId="77777777" w:rsidR="0057163C" w:rsidRPr="00170422" w:rsidRDefault="00F37BF9">
            <w:pPr>
              <w:pStyle w:val="P68B1DB1-Normal11"/>
              <w:spacing w:line="276" w:lineRule="auto"/>
              <w:jc w:val="center"/>
              <w:rPr>
                <w:noProof/>
                <w:szCs w:val="20"/>
                <w:lang w:val="de-DE"/>
              </w:rPr>
            </w:pPr>
            <w:r w:rsidRPr="00170422">
              <w:rPr>
                <w:noProof/>
                <w:lang w:val="de-DE"/>
              </w:rPr>
              <w:t xml:space="preserve">Vergabe aller öffentlichen Aufträge zur Stärkung der regionalen Eisenbahnflotte des öffentlichen Verkehrs mit emissionsfreien Zügen und </w:t>
            </w:r>
            <w:r w:rsidRPr="00170422">
              <w:rPr>
                <w:noProof/>
                <w:lang w:val="de-DE"/>
              </w:rPr>
              <w:t>Universaldienst</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DC2793" w14:textId="77777777" w:rsidR="0057163C" w:rsidRPr="00170422" w:rsidRDefault="00F37BF9">
            <w:pPr>
              <w:pStyle w:val="P68B1DB1-Normal11"/>
              <w:spacing w:line="276" w:lineRule="auto"/>
              <w:jc w:val="center"/>
              <w:rPr>
                <w:noProof/>
                <w:szCs w:val="20"/>
                <w:lang w:val="de-DE"/>
              </w:rPr>
            </w:pPr>
            <w:r w:rsidRPr="00170422">
              <w:rPr>
                <w:noProof/>
                <w:lang w:val="de-DE"/>
              </w:rPr>
              <w:t>Mitteilung über die Vergabe aller öffentlichen Aufträge für die regionale Eisenbahnflotte des öffentlichen Personennahverkehrs durch emissionsfreie Züge und den Universaldienst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E7011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12B76"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8D4DD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03A9A"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4E556"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EE158" w14:textId="77777777" w:rsidR="0057163C" w:rsidRPr="00170422" w:rsidRDefault="00F37BF9">
            <w:pPr>
              <w:spacing w:after="120"/>
              <w:jc w:val="center"/>
              <w:rPr>
                <w:rFonts w:ascii="Arial Narrow" w:hAnsi="Arial Narrow"/>
                <w:noProof/>
                <w:color w:val="006100"/>
                <w:sz w:val="20"/>
                <w:szCs w:val="20"/>
                <w:lang w:val="de-DE"/>
              </w:rPr>
            </w:pPr>
            <w:r w:rsidRPr="00170422">
              <w:rPr>
                <w:rFonts w:ascii="Arial Narrow" w:hAnsi="Arial Narrow"/>
                <w:noProof/>
                <w:color w:val="006100"/>
                <w:sz w:val="20"/>
                <w:szCs w:val="20"/>
                <w:lang w:val="de-DE"/>
              </w:rPr>
              <w:t>Mitteilung über die Verga</w:t>
            </w:r>
            <w:r w:rsidRPr="00170422">
              <w:rPr>
                <w:rFonts w:ascii="Arial Narrow" w:hAnsi="Arial Narrow"/>
                <w:noProof/>
                <w:color w:val="006100"/>
                <w:sz w:val="20"/>
                <w:szCs w:val="20"/>
                <w:lang w:val="de-DE"/>
              </w:rPr>
              <w:t>be aller öffentlichen Aufträge für den Erwerb emissionsfreier Züge</w:t>
            </w:r>
            <w:r w:rsidRPr="00170422">
              <w:rPr>
                <w:rStyle w:val="FootnoteReference"/>
                <w:rFonts w:ascii="Arial Narrow" w:hAnsi="Arial Narrow"/>
                <w:noProof/>
                <w:color w:val="006100"/>
                <w:sz w:val="20"/>
                <w:szCs w:val="20"/>
                <w:lang w:val="de-DE"/>
              </w:rPr>
              <w:footnoteReference w:id="39"/>
            </w:r>
            <w:r w:rsidRPr="00170422">
              <w:rPr>
                <w:rFonts w:ascii="Arial Narrow" w:hAnsi="Arial Narrow"/>
                <w:noProof/>
                <w:lang w:val="de-DE"/>
              </w:rPr>
              <w:t>.</w:t>
            </w:r>
          </w:p>
        </w:tc>
      </w:tr>
      <w:tr w:rsidR="0057163C" w:rsidRPr="00170422" w14:paraId="5A4CD785"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CB675" w14:textId="6E0D63D3" w:rsidR="0057163C" w:rsidRPr="00170422" w:rsidRDefault="00F37BF9">
            <w:pPr>
              <w:pStyle w:val="P68B1DB1-Normal12"/>
              <w:spacing w:line="276" w:lineRule="auto"/>
              <w:jc w:val="center"/>
              <w:rPr>
                <w:noProof/>
                <w:lang w:val="de-DE"/>
              </w:rPr>
            </w:pPr>
            <w:r w:rsidRPr="00170422">
              <w:rPr>
                <w:noProof/>
                <w:lang w:val="de-DE"/>
              </w:rPr>
              <w:t>M2C2-35</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20878A" w14:textId="12BB7E1B" w:rsidR="0057163C" w:rsidRPr="00170422" w:rsidRDefault="00F37BF9">
            <w:pPr>
              <w:pStyle w:val="P68B1DB1-Normal14"/>
              <w:spacing w:line="276" w:lineRule="auto"/>
              <w:jc w:val="center"/>
              <w:rPr>
                <w:noProof/>
                <w:color w:val="006100"/>
                <w:szCs w:val="20"/>
                <w:lang w:val="de-DE"/>
              </w:rPr>
            </w:pPr>
            <w:r w:rsidRPr="00170422">
              <w:rPr>
                <w:noProof/>
                <w:color w:val="006100"/>
                <w:lang w:val="de-DE"/>
              </w:rPr>
              <w:t>Investition 4.4.1: Stärkung der Busflotte des regionalen öffentlichen Verkehrs durch</w:t>
            </w:r>
            <w:r w:rsidRPr="00170422">
              <w:rPr>
                <w:noProof/>
                <w:lang w:val="de-DE"/>
              </w:rPr>
              <w:t xml:space="preserve"> </w:t>
            </w:r>
            <w:r w:rsidRPr="00170422">
              <w:rPr>
                <w:noProof/>
                <w:color w:val="006100"/>
                <w:lang w:val="de-DE"/>
              </w:rPr>
              <w:t>emissionsfreie Busse</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FC753B" w14:textId="3DE18D61" w:rsidR="0057163C" w:rsidRPr="00170422" w:rsidRDefault="00F37BF9">
            <w:pPr>
              <w:pStyle w:val="P68B1DB1-Normal11"/>
              <w:spacing w:line="276" w:lineRule="auto"/>
              <w:jc w:val="center"/>
              <w:rPr>
                <w:noProof/>
                <w:lang w:val="de-DE"/>
              </w:rPr>
            </w:pPr>
            <w:r w:rsidRPr="00170422">
              <w:rPr>
                <w:noProof/>
                <w:lang w:val="de-DE"/>
              </w:rPr>
              <w:t>Ziel</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29FF79" w14:textId="10F9853A" w:rsidR="0057163C" w:rsidRPr="00170422" w:rsidRDefault="00F37BF9">
            <w:pPr>
              <w:pStyle w:val="P68B1DB1-Normal11"/>
              <w:spacing w:line="276" w:lineRule="auto"/>
              <w:jc w:val="center"/>
              <w:rPr>
                <w:noProof/>
                <w:lang w:val="de-DE"/>
              </w:rPr>
            </w:pPr>
            <w:r w:rsidRPr="00170422">
              <w:rPr>
                <w:noProof/>
                <w:lang w:val="de-DE"/>
              </w:rPr>
              <w:t>Anzahl der registrierten emissionsfreien Busse T2</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3A90C9" w14:textId="4F78C462" w:rsidR="0057163C" w:rsidRPr="00170422" w:rsidRDefault="00F37BF9">
            <w:pPr>
              <w:pStyle w:val="P68B1DB1-Normal11"/>
              <w:spacing w:line="276" w:lineRule="auto"/>
              <w:jc w:val="center"/>
              <w:rPr>
                <w:noProof/>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D141F8" w14:textId="6712B3EC" w:rsidR="0057163C" w:rsidRPr="00170422" w:rsidRDefault="00F37BF9">
            <w:pPr>
              <w:pStyle w:val="P68B1DB1-Normal11"/>
              <w:spacing w:line="276" w:lineRule="auto"/>
              <w:jc w:val="center"/>
              <w:rPr>
                <w:noProof/>
                <w:lang w:val="de-DE"/>
              </w:rPr>
            </w:pPr>
            <w:r w:rsidRPr="00170422">
              <w:rPr>
                <w:noProof/>
                <w:lang w:val="de-DE"/>
              </w:rPr>
              <w:t>Anzahl</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C7D7F" w14:textId="538D5A25" w:rsidR="0057163C" w:rsidRPr="00170422" w:rsidRDefault="00F37BF9">
            <w:pPr>
              <w:pStyle w:val="P68B1DB1-Normal11"/>
              <w:spacing w:line="276" w:lineRule="auto"/>
              <w:jc w:val="center"/>
              <w:rPr>
                <w:noProof/>
                <w:lang w:val="de-DE"/>
              </w:rPr>
            </w:pPr>
            <w:r w:rsidRPr="00170422">
              <w:rPr>
                <w:noProof/>
                <w:lang w:val="de-DE"/>
              </w:rPr>
              <w:t>800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71FAB" w14:textId="70C82F7B" w:rsidR="0057163C" w:rsidRPr="00170422" w:rsidRDefault="00F37BF9">
            <w:pPr>
              <w:pStyle w:val="P68B1DB1-Normal11"/>
              <w:spacing w:line="276" w:lineRule="auto"/>
              <w:jc w:val="center"/>
              <w:rPr>
                <w:noProof/>
                <w:lang w:val="de-DE"/>
              </w:rPr>
            </w:pPr>
            <w:r w:rsidRPr="00170422">
              <w:rPr>
                <w:noProof/>
                <w:lang w:val="de-DE"/>
              </w:rPr>
              <w:t>3 000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16B53F" w14:textId="4AD26D0E" w:rsidR="0057163C" w:rsidRPr="00170422" w:rsidRDefault="00F37BF9">
            <w:pPr>
              <w:pStyle w:val="P68B1DB1-Normal11"/>
              <w:spacing w:line="276" w:lineRule="auto"/>
              <w:jc w:val="center"/>
              <w:rPr>
                <w:noProof/>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33E85C" w14:textId="05AE972B" w:rsidR="0057163C" w:rsidRPr="00170422" w:rsidRDefault="00F37BF9">
            <w:pPr>
              <w:pStyle w:val="P68B1DB1-Normal11"/>
              <w:spacing w:line="276" w:lineRule="auto"/>
              <w:jc w:val="center"/>
              <w:rPr>
                <w:noProof/>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EA0160" w14:textId="30897E84" w:rsidR="0057163C" w:rsidRPr="00170422" w:rsidRDefault="00F37BF9">
            <w:pPr>
              <w:pStyle w:val="P68B1DB1-Normal12"/>
              <w:rPr>
                <w:noProof/>
                <w:lang w:val="de-DE"/>
              </w:rPr>
            </w:pPr>
            <w:r w:rsidRPr="00170422">
              <w:rPr>
                <w:noProof/>
                <w:lang w:val="de-DE"/>
              </w:rPr>
              <w:t>Registrierung von mindestens 3000 emissionsfreien Bussen.</w:t>
            </w:r>
          </w:p>
          <w:p w14:paraId="4D65ED49" w14:textId="4D436E8E" w:rsidR="0057163C" w:rsidRPr="00170422" w:rsidRDefault="00F37BF9">
            <w:pPr>
              <w:pStyle w:val="P68B1DB1-Normal12"/>
              <w:spacing w:after="120"/>
              <w:rPr>
                <w:noProof/>
                <w:lang w:val="de-DE"/>
              </w:rPr>
            </w:pPr>
            <w:r w:rsidRPr="00170422">
              <w:rPr>
                <w:noProof/>
                <w:lang w:val="de-DE"/>
              </w:rPr>
              <w:t>Zulässige Busse gehören nach UNECE-Normen zur Fahrzeugklasse M2 und M3 und sind entweder Elektro- oder Wasserstoff-Brennstoffzellen.</w:t>
            </w:r>
          </w:p>
        </w:tc>
      </w:tr>
      <w:tr w:rsidR="0057163C" w:rsidRPr="00170422" w14:paraId="57BDD6E9"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87B2FE" w14:textId="035E8B9E" w:rsidR="0057163C" w:rsidRPr="00170422" w:rsidRDefault="00F37BF9">
            <w:pPr>
              <w:pStyle w:val="P68B1DB1-Normal11"/>
              <w:spacing w:line="276" w:lineRule="auto"/>
              <w:jc w:val="center"/>
              <w:rPr>
                <w:noProof/>
                <w:lang w:val="de-DE"/>
              </w:rPr>
            </w:pPr>
            <w:r w:rsidRPr="00170422">
              <w:rPr>
                <w:noProof/>
                <w:lang w:val="de-DE"/>
              </w:rPr>
              <w:t>M2C2-35 ter</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EABA53" w14:textId="0F22C79A" w:rsidR="0057163C" w:rsidRPr="00170422" w:rsidRDefault="00F37BF9">
            <w:pPr>
              <w:pStyle w:val="P68B1DB1-Normal12"/>
              <w:spacing w:line="276" w:lineRule="auto"/>
              <w:jc w:val="center"/>
              <w:rPr>
                <w:noProof/>
                <w:lang w:val="de-DE"/>
              </w:rPr>
            </w:pPr>
            <w:r w:rsidRPr="00170422">
              <w:rPr>
                <w:noProof/>
                <w:lang w:val="de-DE"/>
              </w:rPr>
              <w:t xml:space="preserve">Investition 4.4.1: Stärkung der </w:t>
            </w:r>
            <w:r w:rsidRPr="00170422">
              <w:rPr>
                <w:noProof/>
                <w:lang w:val="de-DE"/>
              </w:rPr>
              <w:t>Busflotte des regionalen öffentlichen Verkehrs durch emissionsfreie Busse</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AEC54" w14:textId="049C24C2" w:rsidR="0057163C" w:rsidRPr="00170422" w:rsidRDefault="00F37BF9">
            <w:pPr>
              <w:pStyle w:val="P68B1DB1-Normal11"/>
              <w:spacing w:line="276" w:lineRule="auto"/>
              <w:jc w:val="center"/>
              <w:rPr>
                <w:noProof/>
                <w:lang w:val="de-DE"/>
              </w:rPr>
            </w:pPr>
            <w:r w:rsidRPr="00170422">
              <w:rPr>
                <w:noProof/>
                <w:lang w:val="de-DE"/>
              </w:rPr>
              <w:t>Ziel</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4914C1" w14:textId="4B9E7B67" w:rsidR="0057163C" w:rsidRPr="00170422" w:rsidRDefault="00F37BF9">
            <w:pPr>
              <w:pStyle w:val="P68B1DB1-Normal11"/>
              <w:spacing w:line="276" w:lineRule="auto"/>
              <w:jc w:val="center"/>
              <w:rPr>
                <w:noProof/>
                <w:lang w:val="de-DE"/>
              </w:rPr>
            </w:pPr>
            <w:r w:rsidRPr="00170422">
              <w:rPr>
                <w:noProof/>
                <w:lang w:val="de-DE"/>
              </w:rPr>
              <w:t>Anzahl der Ladestationen für emissionsfreie und emissionsarme Busse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ADF979" w14:textId="77777777" w:rsidR="0057163C" w:rsidRPr="00170422" w:rsidRDefault="0057163C">
            <w:pPr>
              <w:spacing w:line="276" w:lineRule="auto"/>
              <w:jc w:val="center"/>
              <w:rPr>
                <w:rFonts w:ascii="Arial Narrow" w:hAnsi="Arial Narrow"/>
                <w:noProof/>
                <w:color w:val="006100"/>
                <w:sz w:val="20"/>
                <w:lang w:val="de-DE"/>
              </w:rPr>
            </w:pP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4843C3" w14:textId="6D49BD00" w:rsidR="0057163C" w:rsidRPr="00170422" w:rsidRDefault="00F37BF9">
            <w:pPr>
              <w:pStyle w:val="P68B1DB1-Normal11"/>
              <w:spacing w:line="276" w:lineRule="auto"/>
              <w:jc w:val="center"/>
              <w:rPr>
                <w:noProof/>
                <w:lang w:val="de-DE"/>
              </w:rPr>
            </w:pPr>
            <w:r w:rsidRPr="00170422">
              <w:rPr>
                <w:noProof/>
                <w:lang w:val="de-DE"/>
              </w:rPr>
              <w:t>Anzahl</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5C8181" w14:textId="40E49E6A" w:rsidR="0057163C" w:rsidRPr="00170422" w:rsidRDefault="00F37BF9">
            <w:pPr>
              <w:pStyle w:val="P68B1DB1-Normal11"/>
              <w:spacing w:line="276" w:lineRule="auto"/>
              <w:jc w:val="center"/>
              <w:rPr>
                <w:noProof/>
                <w:lang w:val="de-DE"/>
              </w:rPr>
            </w:pPr>
            <w:r w:rsidRPr="00170422">
              <w:rPr>
                <w:noProof/>
                <w:lang w:val="de-DE"/>
              </w:rPr>
              <w:t>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E120D6" w14:textId="1D9E1443" w:rsidR="0057163C" w:rsidRPr="00170422" w:rsidRDefault="00F37BF9">
            <w:pPr>
              <w:pStyle w:val="P68B1DB1-Normal44"/>
              <w:spacing w:line="276" w:lineRule="auto"/>
              <w:jc w:val="center"/>
              <w:rPr>
                <w:rFonts w:hAnsi="Arial Narrow"/>
                <w:noProof/>
                <w:lang w:val="de-DE"/>
              </w:rPr>
            </w:pPr>
            <w:r w:rsidRPr="00170422">
              <w:rPr>
                <w:noProof/>
                <w:lang w:val="de-DE"/>
              </w:rPr>
              <w:t>1</w:t>
            </w:r>
            <w:r w:rsidRPr="00170422">
              <w:rPr>
                <w:noProof/>
                <w:lang w:val="de-DE"/>
              </w:rPr>
              <w:t> </w:t>
            </w:r>
            <w:r w:rsidRPr="00170422">
              <w:rPr>
                <w:noProof/>
                <w:lang w:val="de-DE"/>
              </w:rPr>
              <w:t>000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565AA" w14:textId="547C1A51" w:rsidR="0057163C" w:rsidRPr="00170422" w:rsidRDefault="00F37BF9">
            <w:pPr>
              <w:pStyle w:val="P68B1DB1-Normal11"/>
              <w:spacing w:line="276" w:lineRule="auto"/>
              <w:jc w:val="center"/>
              <w:rPr>
                <w:noProof/>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A263D" w14:textId="380A764F" w:rsidR="0057163C" w:rsidRPr="00170422" w:rsidRDefault="00F37BF9">
            <w:pPr>
              <w:pStyle w:val="P68B1DB1-Normal11"/>
              <w:spacing w:line="276" w:lineRule="auto"/>
              <w:jc w:val="center"/>
              <w:rPr>
                <w:noProof/>
                <w:lang w:val="de-DE"/>
              </w:rPr>
            </w:pPr>
            <w:r w:rsidRPr="00170422">
              <w:rPr>
                <w:noProof/>
                <w:lang w:val="de-DE"/>
              </w:rPr>
              <w:t>2026</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69D92F" w14:textId="0E673CAA" w:rsidR="0057163C" w:rsidRPr="00170422" w:rsidRDefault="00F37BF9">
            <w:pPr>
              <w:pStyle w:val="P68B1DB1-Normal61"/>
              <w:spacing w:after="120"/>
              <w:rPr>
                <w:rFonts w:hAnsi="Arial Narrow"/>
                <w:noProof/>
                <w:lang w:val="de-DE"/>
              </w:rPr>
            </w:pPr>
            <w:r w:rsidRPr="00170422">
              <w:rPr>
                <w:noProof/>
                <w:lang w:val="de-DE"/>
              </w:rPr>
              <w:t>F</w:t>
            </w:r>
            <w:r w:rsidRPr="00170422">
              <w:rPr>
                <w:noProof/>
                <w:lang w:val="de-DE"/>
              </w:rPr>
              <w:t>ü</w:t>
            </w:r>
            <w:r w:rsidRPr="00170422">
              <w:rPr>
                <w:noProof/>
                <w:lang w:val="de-DE"/>
              </w:rPr>
              <w:t>r mindestens 1000 Ladepunkte ausgestellte Installations- und Anschlussbescheinigung</w:t>
            </w:r>
            <w:r w:rsidRPr="00170422">
              <w:rPr>
                <w:noProof/>
                <w:lang w:val="de-DE"/>
              </w:rPr>
              <w:t>en oder Vertr</w:t>
            </w:r>
            <w:r w:rsidRPr="00170422">
              <w:rPr>
                <w:noProof/>
                <w:lang w:val="de-DE"/>
              </w:rPr>
              <w:t>ä</w:t>
            </w:r>
            <w:r w:rsidRPr="00170422">
              <w:rPr>
                <w:noProof/>
                <w:lang w:val="de-DE"/>
              </w:rPr>
              <w:t xml:space="preserve">ge </w:t>
            </w:r>
            <w:r w:rsidRPr="00170422">
              <w:rPr>
                <w:noProof/>
                <w:lang w:val="de-DE"/>
              </w:rPr>
              <w:t>ü</w:t>
            </w:r>
            <w:r w:rsidRPr="00170422">
              <w:rPr>
                <w:noProof/>
                <w:lang w:val="de-DE"/>
              </w:rPr>
              <w:t>ber die zus</w:t>
            </w:r>
            <w:r w:rsidRPr="00170422">
              <w:rPr>
                <w:noProof/>
                <w:lang w:val="de-DE"/>
              </w:rPr>
              <w:t>ä</w:t>
            </w:r>
            <w:r w:rsidRPr="00170422">
              <w:rPr>
                <w:noProof/>
                <w:lang w:val="de-DE"/>
              </w:rPr>
              <w:t>tzliche Stromversorgung.</w:t>
            </w:r>
          </w:p>
        </w:tc>
      </w:tr>
      <w:tr w:rsidR="0057163C" w:rsidRPr="00170422" w14:paraId="66E2326F"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F97D18" w14:textId="21594AAC" w:rsidR="0057163C" w:rsidRPr="00170422" w:rsidRDefault="00F37BF9">
            <w:pPr>
              <w:pStyle w:val="P68B1DB1-Normal12"/>
              <w:spacing w:line="276" w:lineRule="auto"/>
              <w:jc w:val="center"/>
              <w:rPr>
                <w:noProof/>
                <w:lang w:val="de-DE"/>
              </w:rPr>
            </w:pPr>
            <w:r w:rsidRPr="00170422">
              <w:rPr>
                <w:noProof/>
                <w:lang w:val="de-DE"/>
              </w:rPr>
              <w:t>M2C2-36</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40EEF7" w14:textId="7992731C" w:rsidR="0057163C" w:rsidRPr="00170422" w:rsidRDefault="00F37BF9">
            <w:pPr>
              <w:pStyle w:val="P68B1DB1-Normal11"/>
              <w:spacing w:line="276" w:lineRule="auto"/>
              <w:jc w:val="center"/>
              <w:rPr>
                <w:noProof/>
                <w:szCs w:val="20"/>
                <w:lang w:val="de-DE"/>
              </w:rPr>
            </w:pPr>
            <w:r w:rsidRPr="00170422">
              <w:rPr>
                <w:noProof/>
                <w:lang w:val="de-DE"/>
              </w:rPr>
              <w:t>Investition 4.4.3: Erneuerungsflotte für den Nationalen Feuerwehrkommando</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C4D21" w14:textId="0256F615" w:rsidR="0057163C" w:rsidRPr="00170422" w:rsidRDefault="00F37BF9">
            <w:pPr>
              <w:pStyle w:val="P68B1DB1-Normal11"/>
              <w:spacing w:line="276" w:lineRule="auto"/>
              <w:jc w:val="center"/>
              <w:rPr>
                <w:noProof/>
                <w:lang w:val="de-DE"/>
              </w:rPr>
            </w:pPr>
            <w:r w:rsidRPr="00170422">
              <w:rPr>
                <w:noProof/>
                <w:lang w:val="de-DE"/>
              </w:rPr>
              <w:t>Ziel</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7A4D4" w14:textId="5D2B2F50" w:rsidR="0057163C" w:rsidRPr="00170422" w:rsidRDefault="00F37BF9">
            <w:pPr>
              <w:pStyle w:val="P68B1DB1-Normal11"/>
              <w:spacing w:line="276" w:lineRule="auto"/>
              <w:jc w:val="center"/>
              <w:rPr>
                <w:noProof/>
                <w:lang w:val="de-DE"/>
              </w:rPr>
            </w:pPr>
            <w:r w:rsidRPr="00170422">
              <w:rPr>
                <w:noProof/>
                <w:lang w:val="de-DE"/>
              </w:rPr>
              <w:t>Zahl der sauberen Fahrzeuge für die Erneuerungsflotte für den Befehl der nationalen Feuerwehr</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B61E9" w14:textId="5CC2E5EE" w:rsidR="0057163C" w:rsidRPr="00170422" w:rsidRDefault="00F37BF9">
            <w:pPr>
              <w:pStyle w:val="P68B1DB1-Normal11"/>
              <w:spacing w:line="276" w:lineRule="auto"/>
              <w:jc w:val="center"/>
              <w:rPr>
                <w:noProof/>
                <w:lang w:val="de-DE"/>
              </w:rPr>
            </w:pPr>
            <w:r w:rsidRPr="00170422">
              <w:rPr>
                <w:noProof/>
                <w:lang w:val="de-DE"/>
              </w:rPr>
              <w:t>ENTFÄLLT.</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B7FC17" w14:textId="3BFBD273" w:rsidR="0057163C" w:rsidRPr="00170422" w:rsidRDefault="00F37BF9">
            <w:pPr>
              <w:pStyle w:val="P68B1DB1-Normal11"/>
              <w:spacing w:line="276" w:lineRule="auto"/>
              <w:jc w:val="center"/>
              <w:rPr>
                <w:noProof/>
                <w:lang w:val="de-DE"/>
              </w:rPr>
            </w:pPr>
            <w:r w:rsidRPr="00170422">
              <w:rPr>
                <w:noProof/>
                <w:lang w:val="de-DE"/>
              </w:rPr>
              <w:t>Anzahl</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ECD07" w14:textId="46C54A56" w:rsidR="0057163C" w:rsidRPr="00170422" w:rsidRDefault="00F37BF9">
            <w:pPr>
              <w:pStyle w:val="P68B1DB1-Normal11"/>
              <w:spacing w:line="276" w:lineRule="auto"/>
              <w:jc w:val="center"/>
              <w:rPr>
                <w:noProof/>
                <w:lang w:val="de-DE"/>
              </w:rPr>
            </w:pPr>
            <w:r w:rsidRPr="00170422">
              <w:rPr>
                <w:noProof/>
                <w:lang w:val="de-DE"/>
              </w:rPr>
              <w:t>0</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1C7B1B" w14:textId="19C1A6CD" w:rsidR="0057163C" w:rsidRPr="00170422" w:rsidRDefault="00F37BF9">
            <w:pPr>
              <w:pStyle w:val="P68B1DB1-Normal44"/>
              <w:spacing w:line="276" w:lineRule="auto"/>
              <w:jc w:val="center"/>
              <w:rPr>
                <w:rFonts w:hAnsi="Arial Narrow"/>
                <w:noProof/>
                <w:lang w:val="de-DE"/>
              </w:rPr>
            </w:pPr>
            <w:r w:rsidRPr="00170422">
              <w:rPr>
                <w:noProof/>
                <w:lang w:val="de-DE"/>
              </w:rPr>
              <w:t>3</w:t>
            </w:r>
            <w:r w:rsidRPr="00170422">
              <w:rPr>
                <w:noProof/>
                <w:lang w:val="de-DE"/>
              </w:rPr>
              <w:t> </w:t>
            </w:r>
            <w:r w:rsidRPr="00170422">
              <w:rPr>
                <w:noProof/>
                <w:lang w:val="de-DE"/>
              </w:rPr>
              <w:t>800</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AB9480" w14:textId="3528CCFB" w:rsidR="0057163C" w:rsidRPr="00170422" w:rsidRDefault="00F37BF9">
            <w:pPr>
              <w:pStyle w:val="P68B1DB1-Normal12"/>
              <w:spacing w:line="276" w:lineRule="auto"/>
              <w:jc w:val="center"/>
              <w:rPr>
                <w:noProof/>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6CB63C" w14:textId="794C9019" w:rsidR="0057163C" w:rsidRPr="00170422" w:rsidRDefault="00F37BF9">
            <w:pPr>
              <w:pStyle w:val="P68B1DB1-Normal12"/>
              <w:spacing w:line="276" w:lineRule="auto"/>
              <w:jc w:val="center"/>
              <w:rPr>
                <w:noProof/>
                <w:lang w:val="de-DE"/>
              </w:rPr>
            </w:pPr>
            <w:r w:rsidRPr="00170422">
              <w:rPr>
                <w:noProof/>
                <w:lang w:val="de-DE"/>
              </w:rPr>
              <w:t>2025</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103E6" w14:textId="6EA8972A" w:rsidR="0057163C" w:rsidRPr="00170422" w:rsidRDefault="00F37BF9">
            <w:pPr>
              <w:pStyle w:val="P68B1DB1-Normal11"/>
              <w:spacing w:after="120"/>
              <w:jc w:val="both"/>
              <w:rPr>
                <w:noProof/>
                <w:szCs w:val="20"/>
                <w:lang w:val="de-DE"/>
              </w:rPr>
            </w:pPr>
            <w:r w:rsidRPr="00170422">
              <w:rPr>
                <w:noProof/>
                <w:szCs w:val="20"/>
                <w:lang w:val="de-DE"/>
              </w:rPr>
              <w:t>Zulassung von mindestens 3800</w:t>
            </w:r>
            <w:r w:rsidRPr="00170422">
              <w:rPr>
                <w:noProof/>
                <w:lang w:val="de-DE"/>
              </w:rPr>
              <w:t xml:space="preserve"> </w:t>
            </w:r>
            <w:r w:rsidRPr="00170422">
              <w:rPr>
                <w:noProof/>
                <w:szCs w:val="20"/>
                <w:lang w:val="de-DE"/>
              </w:rPr>
              <w:t>sauberen Fahrzeugen für die Erneuerungsflotte für den Nationalen Feuerwehrkommando.</w:t>
            </w:r>
          </w:p>
          <w:p w14:paraId="1E3F48ED" w14:textId="503658F6" w:rsidR="0057163C" w:rsidRPr="00170422" w:rsidRDefault="00F37BF9">
            <w:pPr>
              <w:pStyle w:val="P68B1DB1-Normal11"/>
              <w:spacing w:after="120"/>
              <w:jc w:val="both"/>
              <w:rPr>
                <w:noProof/>
                <w:szCs w:val="20"/>
                <w:lang w:val="de-DE"/>
              </w:rPr>
            </w:pPr>
            <w:r w:rsidRPr="00170422">
              <w:rPr>
                <w:noProof/>
                <w:szCs w:val="20"/>
                <w:lang w:val="de-DE"/>
              </w:rPr>
              <w:t>Mindestens 3500</w:t>
            </w:r>
            <w:r w:rsidRPr="00170422">
              <w:rPr>
                <w:noProof/>
                <w:lang w:val="de-DE"/>
              </w:rPr>
              <w:t xml:space="preserve"> </w:t>
            </w:r>
            <w:r w:rsidRPr="00170422">
              <w:rPr>
                <w:noProof/>
                <w:szCs w:val="20"/>
                <w:lang w:val="de-DE"/>
              </w:rPr>
              <w:t>Fahrzeuge müssen zu 100 % elektrisch sein, während die übrigen Fahrzeuge mit Biokraftstoff oder Biometha</w:t>
            </w:r>
            <w:r w:rsidRPr="00170422">
              <w:rPr>
                <w:noProof/>
                <w:szCs w:val="20"/>
                <w:lang w:val="de-DE"/>
              </w:rPr>
              <w:t>n betrieben werden müssen.</w:t>
            </w:r>
          </w:p>
          <w:p w14:paraId="7CDD72AD" w14:textId="1D958594" w:rsidR="0057163C" w:rsidRPr="00170422" w:rsidRDefault="00F37BF9">
            <w:pPr>
              <w:pStyle w:val="P68B1DB1-Normal12"/>
              <w:jc w:val="both"/>
              <w:rPr>
                <w:noProof/>
                <w:lang w:val="de-DE"/>
              </w:rPr>
            </w:pPr>
            <w:r w:rsidRPr="00170422">
              <w:rPr>
                <w:noProof/>
                <w:lang w:val="de-DE"/>
              </w:rPr>
              <w:t>Biokraftstoffhersteller müssen von unabhängigen Bewertern ausgestellte Zertifikate (Nachhaltigkeitsnachweis) vorlegen, die Teil freiwilliger Systeme sind, die von der Kommission oder nationalen Systemen im Einklang mit Artikel 30</w:t>
            </w:r>
            <w:r w:rsidRPr="00170422">
              <w:rPr>
                <w:noProof/>
                <w:lang w:val="de-DE"/>
              </w:rPr>
              <w:t xml:space="preserve"> Absätze 1, 4 oder 6 der Richtlinie 2018/2001 anerkannt wurden. </w:t>
            </w:r>
          </w:p>
          <w:p w14:paraId="56855B18" w14:textId="77777777" w:rsidR="0057163C" w:rsidRPr="00170422" w:rsidRDefault="00F37BF9">
            <w:pPr>
              <w:pStyle w:val="P68B1DB1-Normal12"/>
              <w:jc w:val="both"/>
              <w:rPr>
                <w:noProof/>
                <w:lang w:val="de-DE"/>
              </w:rPr>
            </w:pPr>
            <w:r w:rsidRPr="00170422">
              <w:rPr>
                <w:noProof/>
                <w:lang w:val="de-DE"/>
              </w:rPr>
              <w:t xml:space="preserve">Darüber hinaus muss in dem mit dem Biomethanlieferanten unterzeichneten Vertrag festgelegt werden, dass der Betreiber Herkunftsnachweise für die erwartete Brennstoffnutzung erwirbt. </w:t>
            </w:r>
          </w:p>
          <w:p w14:paraId="4997FD6E" w14:textId="5504987C" w:rsidR="0057163C" w:rsidRPr="00170422" w:rsidRDefault="00F37BF9">
            <w:pPr>
              <w:pStyle w:val="P68B1DB1-Normal12"/>
              <w:spacing w:after="120"/>
              <w:rPr>
                <w:noProof/>
                <w:lang w:val="de-DE"/>
              </w:rPr>
            </w:pPr>
            <w:r w:rsidRPr="00170422">
              <w:rPr>
                <w:noProof/>
                <w:lang w:val="de-DE"/>
              </w:rPr>
              <w:t>Fahrzeug</w:t>
            </w:r>
            <w:r w:rsidRPr="00170422">
              <w:rPr>
                <w:noProof/>
                <w:lang w:val="de-DE"/>
              </w:rPr>
              <w:t>e, die mit Biokraftstoff betrieben werden, müssen für B100 typgenehmigt sein.</w:t>
            </w:r>
          </w:p>
        </w:tc>
      </w:tr>
      <w:tr w:rsidR="0057163C" w:rsidRPr="00170422" w14:paraId="1A0B2942"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8BAAF3" w14:textId="77777777" w:rsidR="0057163C" w:rsidRPr="00170422" w:rsidRDefault="00F37BF9">
            <w:pPr>
              <w:pStyle w:val="P68B1DB1-Normal11"/>
              <w:spacing w:line="276" w:lineRule="auto"/>
              <w:jc w:val="center"/>
              <w:rPr>
                <w:noProof/>
                <w:szCs w:val="20"/>
                <w:lang w:val="de-DE"/>
              </w:rPr>
            </w:pPr>
            <w:r w:rsidRPr="00170422">
              <w:rPr>
                <w:noProof/>
                <w:lang w:val="de-DE"/>
              </w:rPr>
              <w:t>M2C2-37</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A079E" w14:textId="77777777" w:rsidR="0057163C" w:rsidRPr="00170422" w:rsidRDefault="00F37BF9">
            <w:pPr>
              <w:pStyle w:val="P68B1DB1-Normal11"/>
              <w:spacing w:line="276" w:lineRule="auto"/>
              <w:jc w:val="center"/>
              <w:rPr>
                <w:noProof/>
                <w:szCs w:val="20"/>
                <w:lang w:val="de-DE"/>
              </w:rPr>
            </w:pPr>
            <w:r w:rsidRPr="00170422">
              <w:rPr>
                <w:noProof/>
                <w:lang w:val="de-DE"/>
              </w:rPr>
              <w:t>Reform 5: Intelligentere Verfahren für die Projektbewertung im Bereich des öffentlichen Nahverkehrs mit ortsfesten Anlagen und im Bereich des schnellen Massentransports</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72FBFC"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39C63D" w14:textId="77777777" w:rsidR="0057163C" w:rsidRPr="00170422" w:rsidRDefault="00F37BF9">
            <w:pPr>
              <w:pStyle w:val="P68B1DB1-Normal11"/>
              <w:spacing w:line="276" w:lineRule="auto"/>
              <w:jc w:val="center"/>
              <w:rPr>
                <w:noProof/>
                <w:szCs w:val="20"/>
                <w:lang w:val="de-DE"/>
              </w:rPr>
            </w:pPr>
            <w:r w:rsidRPr="00170422">
              <w:rPr>
                <w:noProof/>
                <w:lang w:val="de-DE"/>
              </w:rPr>
              <w:t>Inkrafttreten eines Gesetzesdekrets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770E3E" w14:textId="77777777" w:rsidR="0057163C" w:rsidRPr="00170422" w:rsidRDefault="00F37BF9">
            <w:pPr>
              <w:pStyle w:val="P68B1DB1-Normal11"/>
              <w:spacing w:line="276" w:lineRule="auto"/>
              <w:jc w:val="center"/>
              <w:rPr>
                <w:noProof/>
                <w:szCs w:val="20"/>
                <w:lang w:val="de-DE"/>
              </w:rPr>
            </w:pPr>
            <w:r w:rsidRPr="00170422">
              <w:rPr>
                <w:noProof/>
                <w:lang w:val="de-DE"/>
              </w:rPr>
              <w:t>Gesetzliche Bestimmung über das Inkrafttreten des Gesetzesdekrets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A329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22E0E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1B044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7F8954"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4598B"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AC176B" w14:textId="77777777" w:rsidR="0057163C" w:rsidRPr="00170422" w:rsidRDefault="00F37BF9">
            <w:pPr>
              <w:pStyle w:val="P68B1DB1-Normal11"/>
              <w:spacing w:after="120"/>
              <w:rPr>
                <w:noProof/>
                <w:szCs w:val="20"/>
                <w:lang w:val="de-DE"/>
              </w:rPr>
            </w:pPr>
            <w:r w:rsidRPr="00170422">
              <w:rPr>
                <w:noProof/>
                <w:lang w:val="de-DE"/>
              </w:rPr>
              <w:t xml:space="preserve">Das Gesetzesdekret vereinfacht die Bewertungskriterien für Projekte im Zusammenhang mit dem </w:t>
            </w:r>
            <w:r w:rsidRPr="00170422">
              <w:rPr>
                <w:noProof/>
                <w:lang w:val="de-DE"/>
              </w:rPr>
              <w:t>öffentlichen Nahverkehr und beschleunigt das Planungs- und Genehmigungsverfahren.</w:t>
            </w:r>
          </w:p>
        </w:tc>
      </w:tr>
      <w:tr w:rsidR="0057163C" w:rsidRPr="00170422" w14:paraId="3E30BA9F"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A8419" w14:textId="77777777" w:rsidR="0057163C" w:rsidRPr="00170422" w:rsidRDefault="00F37BF9">
            <w:pPr>
              <w:pStyle w:val="P68B1DB1-Normal11"/>
              <w:spacing w:line="276" w:lineRule="auto"/>
              <w:jc w:val="center"/>
              <w:rPr>
                <w:noProof/>
                <w:szCs w:val="20"/>
                <w:lang w:val="de-DE"/>
              </w:rPr>
            </w:pPr>
            <w:r w:rsidRPr="00170422">
              <w:rPr>
                <w:noProof/>
                <w:lang w:val="de-DE"/>
              </w:rPr>
              <w:t>M2C2-38</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EA72A0" w14:textId="77777777" w:rsidR="0057163C" w:rsidRPr="00170422" w:rsidRDefault="00F37BF9">
            <w:pPr>
              <w:pStyle w:val="P68B1DB1-Normal11"/>
              <w:spacing w:line="276" w:lineRule="auto"/>
              <w:jc w:val="center"/>
              <w:rPr>
                <w:noProof/>
                <w:szCs w:val="20"/>
                <w:lang w:val="de-DE"/>
              </w:rPr>
            </w:pPr>
            <w:r w:rsidRPr="00170422">
              <w:rPr>
                <w:noProof/>
                <w:lang w:val="de-DE"/>
              </w:rPr>
              <w:t>Investition 5.1: Erneuerbare Energien und Batterien</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3C18CE"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03E8B" w14:textId="77777777" w:rsidR="0057163C" w:rsidRPr="00170422" w:rsidRDefault="00F37BF9">
            <w:pPr>
              <w:pStyle w:val="P68B1DB1-Normal11"/>
              <w:spacing w:line="276" w:lineRule="auto"/>
              <w:jc w:val="center"/>
              <w:rPr>
                <w:noProof/>
                <w:szCs w:val="20"/>
                <w:lang w:val="de-DE"/>
              </w:rPr>
            </w:pPr>
            <w:r w:rsidRPr="00170422">
              <w:rPr>
                <w:noProof/>
                <w:lang w:val="de-DE"/>
              </w:rPr>
              <w:t>Inkrafttreten eines Ministerialdekrets</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BC650B" w14:textId="77777777" w:rsidR="0057163C" w:rsidRPr="00170422" w:rsidRDefault="00F37BF9">
            <w:pPr>
              <w:pStyle w:val="P68B1DB1-Normal11"/>
              <w:spacing w:line="276" w:lineRule="auto"/>
              <w:jc w:val="center"/>
              <w:rPr>
                <w:noProof/>
                <w:szCs w:val="20"/>
                <w:lang w:val="de-DE"/>
              </w:rPr>
            </w:pPr>
            <w:r w:rsidRPr="00170422">
              <w:rPr>
                <w:noProof/>
                <w:lang w:val="de-DE"/>
              </w:rPr>
              <w:t xml:space="preserve">Gesetzliche Bestimmung über das Inkrafttreten des </w:t>
            </w:r>
            <w:r w:rsidRPr="00170422">
              <w:rPr>
                <w:noProof/>
                <w:lang w:val="de-DE"/>
              </w:rPr>
              <w:t>Ministerialdekrets</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7D107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ED8B4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53222"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610842"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6B7E0"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8D56F" w14:textId="77777777" w:rsidR="0057163C" w:rsidRPr="00170422" w:rsidRDefault="00F37BF9">
            <w:pPr>
              <w:pStyle w:val="P68B1DB1-Normal11"/>
              <w:spacing w:after="120"/>
              <w:rPr>
                <w:noProof/>
                <w:szCs w:val="20"/>
                <w:lang w:val="de-DE"/>
              </w:rPr>
            </w:pPr>
            <w:r w:rsidRPr="00170422">
              <w:rPr>
                <w:noProof/>
                <w:lang w:val="de-DE"/>
              </w:rPr>
              <w:t xml:space="preserve">In dem Ministerialdekret werden die Höhe der verfügbaren Ressourcen, die Zugangsanforderungen der Begünstigten, die Fördervoraussetzungen für Programme und Projekte, die förderfähigen Ausgaben sowie </w:t>
            </w:r>
            <w:r w:rsidRPr="00170422">
              <w:rPr>
                <w:noProof/>
                <w:lang w:val="de-DE"/>
              </w:rPr>
              <w:t>die Form und die Intensität der Beihilfen für die Entwicklung hocheffizienter PV-Panels und für die Entwicklung von Batterien festgelegt.</w:t>
            </w:r>
          </w:p>
        </w:tc>
      </w:tr>
      <w:tr w:rsidR="0057163C" w:rsidRPr="00170422" w14:paraId="37647D61"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74418C" w14:textId="77777777" w:rsidR="0057163C" w:rsidRPr="00170422" w:rsidRDefault="00F37BF9">
            <w:pPr>
              <w:pStyle w:val="P68B1DB1-Normal11"/>
              <w:spacing w:line="276" w:lineRule="auto"/>
              <w:jc w:val="center"/>
              <w:rPr>
                <w:noProof/>
                <w:szCs w:val="20"/>
                <w:lang w:val="de-DE"/>
              </w:rPr>
            </w:pPr>
            <w:r w:rsidRPr="00170422">
              <w:rPr>
                <w:noProof/>
                <w:lang w:val="de-DE"/>
              </w:rPr>
              <w:t>M2C2-41</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038540" w14:textId="77777777" w:rsidR="0057163C" w:rsidRPr="00170422" w:rsidRDefault="00F37BF9">
            <w:pPr>
              <w:pStyle w:val="P68B1DB1-Normal11"/>
              <w:spacing w:line="276" w:lineRule="auto"/>
              <w:jc w:val="center"/>
              <w:rPr>
                <w:noProof/>
                <w:szCs w:val="20"/>
                <w:lang w:val="de-DE"/>
              </w:rPr>
            </w:pPr>
            <w:r w:rsidRPr="00170422">
              <w:rPr>
                <w:noProof/>
                <w:lang w:val="de-DE"/>
              </w:rPr>
              <w:t>Investition 5.3: Elektrobusse</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1BEFF3"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D0EEF4"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Inkrafttreten eines Ministerialdekrets, in dem die Höhe der </w:t>
            </w:r>
            <w:r w:rsidRPr="00170422">
              <w:rPr>
                <w:noProof/>
                <w:lang w:val="de-DE"/>
              </w:rPr>
              <w:t>verfügbaren Ressourcen festgelegt wird, um den Zweck der Intervention zu erreichen (Lieferkette für Busse)</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6BF0E3" w14:textId="77777777" w:rsidR="0057163C" w:rsidRPr="00170422" w:rsidRDefault="00F37BF9">
            <w:pPr>
              <w:pStyle w:val="P68B1DB1-Normal11"/>
              <w:spacing w:line="276" w:lineRule="auto"/>
              <w:jc w:val="center"/>
              <w:rPr>
                <w:noProof/>
                <w:szCs w:val="20"/>
                <w:lang w:val="de-DE"/>
              </w:rPr>
            </w:pPr>
            <w:r w:rsidRPr="00170422">
              <w:rPr>
                <w:noProof/>
                <w:lang w:val="de-DE"/>
              </w:rPr>
              <w:t>Bestimmung im Ministerialdekret über das Inkrafttreten</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052409"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4329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55324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6B7D0"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76A796"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081D9B" w14:textId="77777777" w:rsidR="0057163C" w:rsidRPr="00170422" w:rsidRDefault="00F37BF9">
            <w:pPr>
              <w:pStyle w:val="P68B1DB1-Normal11"/>
              <w:spacing w:after="120"/>
              <w:rPr>
                <w:noProof/>
                <w:szCs w:val="20"/>
                <w:lang w:val="de-DE"/>
              </w:rPr>
            </w:pPr>
            <w:r w:rsidRPr="00170422">
              <w:rPr>
                <w:noProof/>
                <w:lang w:val="de-DE"/>
              </w:rPr>
              <w:t>In dem Ministerialdekret wird der Umfang der ver</w:t>
            </w:r>
            <w:r w:rsidRPr="00170422">
              <w:rPr>
                <w:noProof/>
                <w:lang w:val="de-DE"/>
              </w:rPr>
              <w:t>fügbaren Ressourcen für die Durchführung von etwa 45 Projekten zum industriellen Wandel durch „Entwicklungsverträge“ festgelegt.</w:t>
            </w:r>
          </w:p>
        </w:tc>
      </w:tr>
      <w:tr w:rsidR="0057163C" w:rsidRPr="00170422" w14:paraId="1993D4B4" w14:textId="77777777" w:rsidTr="00A25317">
        <w:trPr>
          <w:trHeight w:val="300"/>
          <w:jc w:val="center"/>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2AC350" w14:textId="77777777" w:rsidR="0057163C" w:rsidRPr="00170422" w:rsidRDefault="00F37BF9">
            <w:pPr>
              <w:pStyle w:val="P68B1DB1-Normal11"/>
              <w:spacing w:line="276" w:lineRule="auto"/>
              <w:jc w:val="center"/>
              <w:rPr>
                <w:noProof/>
                <w:szCs w:val="20"/>
                <w:lang w:val="de-DE"/>
              </w:rPr>
            </w:pPr>
            <w:r w:rsidRPr="00170422">
              <w:rPr>
                <w:noProof/>
                <w:lang w:val="de-DE"/>
              </w:rPr>
              <w:t>M2C2-42</w:t>
            </w:r>
          </w:p>
        </w:tc>
        <w:tc>
          <w:tcPr>
            <w:tcW w:w="16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939C11" w14:textId="77777777" w:rsidR="0057163C" w:rsidRPr="00170422" w:rsidRDefault="00F37BF9">
            <w:pPr>
              <w:pStyle w:val="P68B1DB1-Normal11"/>
              <w:spacing w:line="276" w:lineRule="auto"/>
              <w:jc w:val="center"/>
              <w:rPr>
                <w:noProof/>
                <w:szCs w:val="20"/>
                <w:lang w:val="de-DE"/>
              </w:rPr>
            </w:pPr>
            <w:r w:rsidRPr="00170422">
              <w:rPr>
                <w:noProof/>
                <w:lang w:val="de-DE"/>
              </w:rPr>
              <w:t>Investition 5.4: Kapitalzuführung in den Fonds für den grünen Wandel („GTF“)</w:t>
            </w:r>
          </w:p>
        </w:tc>
        <w:tc>
          <w:tcPr>
            <w:tcW w:w="13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7275E"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19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0E3045" w14:textId="77777777" w:rsidR="0057163C" w:rsidRPr="00170422" w:rsidRDefault="00F37BF9">
            <w:pPr>
              <w:pStyle w:val="P68B1DB1-Normal11"/>
              <w:spacing w:line="276" w:lineRule="auto"/>
              <w:jc w:val="center"/>
              <w:rPr>
                <w:noProof/>
                <w:szCs w:val="20"/>
                <w:lang w:val="de-DE"/>
              </w:rPr>
            </w:pPr>
            <w:r w:rsidRPr="00170422">
              <w:rPr>
                <w:noProof/>
                <w:lang w:val="de-DE"/>
              </w:rPr>
              <w:t xml:space="preserve">Unterzeichnung der </w:t>
            </w:r>
            <w:r w:rsidRPr="00170422">
              <w:rPr>
                <w:noProof/>
                <w:lang w:val="de-DE"/>
              </w:rPr>
              <w:t>Finanzvereinbarung</w:t>
            </w:r>
          </w:p>
        </w:tc>
        <w:tc>
          <w:tcPr>
            <w:tcW w:w="137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5E88DB" w14:textId="77777777" w:rsidR="0057163C" w:rsidRPr="00170422" w:rsidRDefault="00F37BF9">
            <w:pPr>
              <w:pStyle w:val="P68B1DB1-Normal11"/>
              <w:spacing w:line="276" w:lineRule="auto"/>
              <w:jc w:val="center"/>
              <w:rPr>
                <w:noProof/>
                <w:szCs w:val="20"/>
                <w:lang w:val="de-DE"/>
              </w:rPr>
            </w:pPr>
            <w:r w:rsidRPr="00170422">
              <w:rPr>
                <w:noProof/>
                <w:lang w:val="de-DE"/>
              </w:rPr>
              <w:t>Mitteilung über die Unterzeichnung der Finanzvereinbarung</w:t>
            </w:r>
          </w:p>
        </w:tc>
        <w:tc>
          <w:tcPr>
            <w:tcW w:w="12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B4FF7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B9642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8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30F0C"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9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4F6A9"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6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9766D2"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36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504D52" w14:textId="77777777" w:rsidR="0057163C" w:rsidRPr="00170422" w:rsidRDefault="00F37BF9">
            <w:pPr>
              <w:pStyle w:val="P68B1DB1-Normal11"/>
              <w:spacing w:after="120"/>
              <w:rPr>
                <w:noProof/>
                <w:szCs w:val="20"/>
                <w:lang w:val="de-DE"/>
              </w:rPr>
            </w:pPr>
            <w:r w:rsidRPr="00170422">
              <w:rPr>
                <w:noProof/>
                <w:lang w:val="de-DE"/>
              </w:rPr>
              <w:t>In der Finanzvereinbarung werden die indirekten Investitionen in die Finanzierung von VC-Fonds-Verwaltern mit Investitionen und Unternehmen/S</w:t>
            </w:r>
            <w:r w:rsidRPr="00170422">
              <w:rPr>
                <w:noProof/>
                <w:lang w:val="de-DE"/>
              </w:rPr>
              <w:t>tart-up-Unternehmen im Einklang mit den Zielen des ökologischen Wandels festgelegt, das Kapital für Forscher und Start-up-Unternehmen erweitert, die Maßnahmen aktiver Risikokapitalfonds gestärkt und neue und innovative Unternehmungen in Partnerschaft mit U</w:t>
            </w:r>
            <w:r w:rsidRPr="00170422">
              <w:rPr>
                <w:noProof/>
                <w:lang w:val="de-DE"/>
              </w:rPr>
              <w:t>nternehmen entwickelt.</w:t>
            </w:r>
          </w:p>
          <w:p w14:paraId="327D913B" w14:textId="77777777" w:rsidR="0057163C" w:rsidRPr="00170422" w:rsidRDefault="00F37BF9">
            <w:pPr>
              <w:pStyle w:val="P68B1DB1-Normal11"/>
              <w:spacing w:after="120"/>
              <w:rPr>
                <w:noProof/>
                <w:szCs w:val="20"/>
                <w:lang w:val="de-DE"/>
              </w:rPr>
            </w:pPr>
            <w:r w:rsidRPr="00170422">
              <w:rPr>
                <w:noProof/>
                <w:lang w:val="de-DE"/>
              </w:rPr>
              <w:t>Die Finanzvereinbarung muss Folgendes enthalten:</w:t>
            </w:r>
          </w:p>
          <w:p w14:paraId="1639415A" w14:textId="77777777" w:rsidR="0057163C" w:rsidRPr="00170422" w:rsidRDefault="00F37BF9">
            <w:pPr>
              <w:pStyle w:val="P68B1DB1-ListParagraph15"/>
              <w:numPr>
                <w:ilvl w:val="0"/>
                <w:numId w:val="27"/>
              </w:numPr>
              <w:spacing w:after="120" w:line="240" w:lineRule="auto"/>
              <w:ind w:left="296"/>
              <w:contextualSpacing w:val="0"/>
              <w:rPr>
                <w:noProof/>
                <w:szCs w:val="20"/>
                <w:lang w:val="de-DE"/>
              </w:rPr>
            </w:pPr>
            <w:r w:rsidRPr="00170422">
              <w:rPr>
                <w:noProof/>
                <w:lang w:val="de-DE"/>
              </w:rPr>
              <w:t>eine Investitionspolitik,</w:t>
            </w:r>
          </w:p>
          <w:p w14:paraId="2D8CE706" w14:textId="77777777" w:rsidR="0057163C" w:rsidRPr="00170422" w:rsidRDefault="00F37BF9">
            <w:pPr>
              <w:pStyle w:val="P68B1DB1-ListParagraph15"/>
              <w:numPr>
                <w:ilvl w:val="0"/>
                <w:numId w:val="27"/>
              </w:numPr>
              <w:spacing w:after="120" w:line="240" w:lineRule="auto"/>
              <w:ind w:left="296"/>
              <w:contextualSpacing w:val="0"/>
              <w:rPr>
                <w:noProof/>
                <w:szCs w:val="20"/>
                <w:lang w:val="de-DE"/>
              </w:rPr>
            </w:pPr>
            <w:r w:rsidRPr="00170422">
              <w:rPr>
                <w:noProof/>
                <w:lang w:val="de-DE"/>
              </w:rPr>
              <w:t>Zulassungskriterien,</w:t>
            </w:r>
          </w:p>
          <w:p w14:paraId="1187960B" w14:textId="77777777" w:rsidR="0057163C" w:rsidRPr="00170422" w:rsidRDefault="00F37BF9">
            <w:pPr>
              <w:pStyle w:val="P68B1DB1-Normal11"/>
              <w:spacing w:after="120"/>
              <w:rPr>
                <w:noProof/>
                <w:szCs w:val="20"/>
                <w:lang w:val="de-DE"/>
              </w:rPr>
            </w:pPr>
            <w:r w:rsidRPr="00170422">
              <w:rPr>
                <w:noProof/>
                <w:lang w:val="de-DE"/>
              </w:rPr>
              <w:t>Einhaltung der technischen Leitlinien „Vermeidung erheblicher Beeinträchtigungen“ (2021/C58/01) der im Rahmen dieser Maßnahme unterstützt</w:t>
            </w:r>
            <w:r w:rsidRPr="00170422">
              <w:rPr>
                <w:noProof/>
                <w:lang w:val="de-DE"/>
              </w:rPr>
              <w:t>en Transaktionen durch Verwendung einer Nachhaltigkeitsprüfung, einer Ausschlussliste und der Anforderung der Einhaltung der einschlägigen EU- und nationalen Umweltvorschriften.</w:t>
            </w:r>
          </w:p>
        </w:tc>
      </w:tr>
    </w:tbl>
    <w:p w14:paraId="5753B36A" w14:textId="77777777" w:rsidR="0057163C" w:rsidRPr="00170422" w:rsidRDefault="0057163C">
      <w:pPr>
        <w:spacing w:before="120" w:after="120"/>
        <w:jc w:val="both"/>
        <w:rPr>
          <w:noProof/>
          <w:lang w:val="de-DE"/>
        </w:rPr>
        <w:sectPr w:rsidR="0057163C" w:rsidRPr="00170422" w:rsidSect="005F11B9">
          <w:headerReference w:type="even" r:id="rId86"/>
          <w:headerReference w:type="default" r:id="rId87"/>
          <w:footerReference w:type="even" r:id="rId88"/>
          <w:footerReference w:type="default" r:id="rId89"/>
          <w:headerReference w:type="first" r:id="rId90"/>
          <w:footerReference w:type="first" r:id="rId91"/>
          <w:pgSz w:w="16839" w:h="11907" w:orient="landscape"/>
          <w:pgMar w:top="1134" w:right="1134" w:bottom="1134" w:left="1134" w:header="567" w:footer="567" w:gutter="0"/>
          <w:cols w:space="720"/>
          <w:docGrid w:linePitch="360"/>
        </w:sectPr>
      </w:pPr>
    </w:p>
    <w:p w14:paraId="4116C1EC"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E.3. </w:t>
      </w:r>
      <w:r w:rsidRPr="00170422">
        <w:rPr>
          <w:noProof/>
          <w:lang w:val="de-DE"/>
        </w:rPr>
        <w:t xml:space="preserve"> </w:t>
      </w:r>
      <w:r w:rsidRPr="00170422">
        <w:rPr>
          <w:b/>
          <w:noProof/>
          <w:u w:val="single"/>
          <w:lang w:val="de-DE"/>
        </w:rPr>
        <w:t xml:space="preserve">Beschreibung der Reformen und Investitionen (Darlehen) </w:t>
      </w:r>
    </w:p>
    <w:p w14:paraId="211A6177" w14:textId="77777777" w:rsidR="0057163C" w:rsidRPr="00170422" w:rsidRDefault="00F37BF9">
      <w:pPr>
        <w:pStyle w:val="P68B1DB1-Normal5"/>
        <w:spacing w:before="120" w:after="120"/>
        <w:jc w:val="both"/>
        <w:rPr>
          <w:noProof/>
          <w:lang w:val="de-DE"/>
        </w:rPr>
      </w:pPr>
      <w:r w:rsidRPr="00170422">
        <w:rPr>
          <w:noProof/>
          <w:lang w:val="de-DE"/>
        </w:rPr>
        <w:t>Investition 1.1 – Entwicklung agrarvoltaischer Systeme</w:t>
      </w:r>
    </w:p>
    <w:p w14:paraId="0C19C6D5" w14:textId="7D662254" w:rsidR="0057163C" w:rsidRPr="00170422" w:rsidRDefault="00F37BF9">
      <w:pPr>
        <w:pStyle w:val="P68B1DB1-Normal7"/>
        <w:spacing w:line="240" w:lineRule="auto"/>
        <w:jc w:val="both"/>
        <w:rPr>
          <w:rFonts w:eastAsia="Calibri"/>
          <w:noProof/>
          <w:lang w:val="de-DE"/>
        </w:rPr>
      </w:pPr>
      <w:r w:rsidRPr="00170422">
        <w:rPr>
          <w:noProof/>
          <w:lang w:val="de-DE"/>
        </w:rPr>
        <w:t>Diese Maßnahme besteht aus einer öffentlichen Investition in eine Zuschussregelung, um Anreize für private Investitionen zu schaffen und den Zuga</w:t>
      </w:r>
      <w:r w:rsidRPr="00170422">
        <w:rPr>
          <w:noProof/>
          <w:lang w:val="de-DE"/>
        </w:rPr>
        <w:t xml:space="preserve">ng zu Finanzmitteln im Sektor Landwirtschaft und erneuerbare Energien in Italien zu verbessern. Die Regelung wird durch die direkte Gewährung von Zuschüssen an den privaten Sektor durchgeführt. </w:t>
      </w:r>
    </w:p>
    <w:p w14:paraId="53EDA07C" w14:textId="6C9CFB55" w:rsidR="0057163C" w:rsidRPr="00170422" w:rsidRDefault="00F37BF9">
      <w:pPr>
        <w:spacing w:line="240" w:lineRule="auto"/>
        <w:jc w:val="both"/>
        <w:rPr>
          <w:rFonts w:ascii="Times New Roman" w:eastAsia="Calibri" w:hAnsi="Times New Roman" w:cs="Times New Roman"/>
          <w:noProof/>
          <w:lang w:val="de-DE"/>
        </w:rPr>
      </w:pPr>
      <w:r w:rsidRPr="00170422">
        <w:rPr>
          <w:rFonts w:ascii="Times New Roman" w:eastAsia="Calibri" w:hAnsi="Times New Roman" w:cs="Times New Roman"/>
          <w:noProof/>
          <w:lang w:val="de-DE"/>
        </w:rPr>
        <w:t>Die Regelung wird von Gestore Servizi Energetici S.p.A. (GSE)</w:t>
      </w:r>
      <w:r w:rsidRPr="00170422">
        <w:rPr>
          <w:rFonts w:ascii="Times New Roman" w:eastAsia="Calibri" w:hAnsi="Times New Roman" w:cs="Times New Roman"/>
          <w:noProof/>
          <w:lang w:val="de-DE"/>
        </w:rPr>
        <w:t xml:space="preserve"> als Durchführungspartner verwaltet. Im Rahmen der Regelung wird ein Zuschuss gewährt, der einen Teil der Projektkosten deckt. Im Rahmen der Regelung wird der Bau von agrovoltaischen Systemen unterstützt, die aus der Installation von Photovoltaikanlagen au</w:t>
      </w:r>
      <w:r w:rsidRPr="00170422">
        <w:rPr>
          <w:rFonts w:ascii="Times New Roman" w:eastAsia="Calibri" w:hAnsi="Times New Roman" w:cs="Times New Roman"/>
          <w:noProof/>
          <w:lang w:val="de-DE"/>
        </w:rPr>
        <w:t>f landwirtschaftlichen Flächen zusammen mit Messgeräten zur Überwachung der zugrunde liegenden landwirtschaftlichen Tätigkeit bestehen</w:t>
      </w:r>
      <w:r w:rsidRPr="00170422">
        <w:rPr>
          <w:rStyle w:val="FootnoteReference"/>
          <w:rFonts w:ascii="Times New Roman" w:eastAsia="Calibri" w:hAnsi="Times New Roman" w:cs="Times New Roman"/>
          <w:noProof/>
          <w:lang w:val="de-DE"/>
        </w:rPr>
        <w:footnoteReference w:id="40"/>
      </w:r>
      <w:r w:rsidRPr="00170422">
        <w:rPr>
          <w:rFonts w:ascii="Times New Roman" w:eastAsia="Calibri" w:hAnsi="Times New Roman" w:cs="Times New Roman"/>
          <w:noProof/>
          <w:lang w:val="de-DE"/>
        </w:rPr>
        <w:t>.</w:t>
      </w:r>
    </w:p>
    <w:p w14:paraId="5E329D58" w14:textId="77777777" w:rsidR="0057163C" w:rsidRPr="00170422" w:rsidRDefault="00F37BF9">
      <w:pPr>
        <w:pStyle w:val="P68B1DB1-Normal38"/>
        <w:spacing w:line="240" w:lineRule="auto"/>
        <w:jc w:val="both"/>
        <w:rPr>
          <w:noProof/>
          <w:lang w:val="de-DE"/>
        </w:rPr>
      </w:pPr>
      <w:r w:rsidRPr="00170422">
        <w:rPr>
          <w:noProof/>
          <w:lang w:val="de-DE"/>
        </w:rPr>
        <w:t>Zur Durchführung der Investition in die Regelung unterzeichnen Italien und GSE ein Durchführungsabkommen, das Folgendes</w:t>
      </w:r>
      <w:r w:rsidRPr="00170422">
        <w:rPr>
          <w:noProof/>
          <w:lang w:val="de-DE"/>
        </w:rPr>
        <w:t xml:space="preserve"> enthält:</w:t>
      </w:r>
    </w:p>
    <w:p w14:paraId="56CB332D" w14:textId="77777777" w:rsidR="0057163C" w:rsidRPr="00170422" w:rsidRDefault="00F37BF9">
      <w:pPr>
        <w:pStyle w:val="P68B1DB1-Normal38"/>
        <w:numPr>
          <w:ilvl w:val="0"/>
          <w:numId w:val="18"/>
        </w:numPr>
        <w:jc w:val="both"/>
        <w:rPr>
          <w:rFonts w:eastAsia="Times New Roman"/>
          <w:noProof/>
          <w:lang w:val="de-DE"/>
        </w:rPr>
      </w:pPr>
      <w:r w:rsidRPr="00170422">
        <w:rPr>
          <w:noProof/>
          <w:lang w:val="de-DE"/>
        </w:rPr>
        <w:t>Beschreibung des Entscheidungsprozesses der Regelung: Die endgültige Entscheidung über die Vergabe des Systems wird von einem Investitionsausschuss oder einem anderen gleichwertigen Leitungsgremium getroffen und mit der Mehrheit der Stimmen der v</w:t>
      </w:r>
      <w:r w:rsidRPr="00170422">
        <w:rPr>
          <w:noProof/>
          <w:lang w:val="de-DE"/>
        </w:rPr>
        <w:t>on der Regierung unabhängigen Mitglieder genehmigt.</w:t>
      </w:r>
    </w:p>
    <w:p w14:paraId="4C772900" w14:textId="77777777" w:rsidR="0057163C" w:rsidRPr="00170422" w:rsidRDefault="00F37BF9">
      <w:pPr>
        <w:pStyle w:val="P68B1DB1-LegalNumPar62"/>
        <w:spacing w:line="259" w:lineRule="auto"/>
        <w:jc w:val="both"/>
        <w:rPr>
          <w:noProof/>
          <w:lang w:val="de-DE"/>
        </w:rPr>
      </w:pPr>
      <w:r w:rsidRPr="00170422">
        <w:rPr>
          <w:noProof/>
          <w:lang w:val="de-DE"/>
        </w:rPr>
        <w:t>Kernanforderungen der damit verbundenen Finanzhilfepolitik,</w:t>
      </w:r>
      <w:r w:rsidRPr="00170422">
        <w:rPr>
          <w:b/>
          <w:noProof/>
          <w:lang w:val="de-DE"/>
        </w:rPr>
        <w:t xml:space="preserve"> </w:t>
      </w:r>
      <w:r w:rsidRPr="00170422">
        <w:rPr>
          <w:noProof/>
          <w:lang w:val="de-DE"/>
        </w:rPr>
        <w:t>die Folgendes umfassen:</w:t>
      </w:r>
    </w:p>
    <w:p w14:paraId="126CD52C" w14:textId="77777777" w:rsidR="0057163C" w:rsidRPr="00170422" w:rsidRDefault="00F37BF9">
      <w:pPr>
        <w:pStyle w:val="P68B1DB1-LegalNumPar263"/>
        <w:spacing w:line="259" w:lineRule="auto"/>
        <w:jc w:val="both"/>
        <w:rPr>
          <w:noProof/>
          <w:lang w:val="de-DE"/>
        </w:rPr>
      </w:pPr>
      <w:r w:rsidRPr="00170422">
        <w:rPr>
          <w:noProof/>
          <w:lang w:val="de-DE"/>
        </w:rPr>
        <w:t>Die Beschreibung der gewährten Finanzhilfen und der förderfähigen Endbegünstigten.</w:t>
      </w:r>
    </w:p>
    <w:p w14:paraId="743AA93C" w14:textId="77777777" w:rsidR="0057163C" w:rsidRPr="00170422" w:rsidRDefault="00F37BF9">
      <w:pPr>
        <w:pStyle w:val="P68B1DB1-LegalNumPar263"/>
        <w:spacing w:line="259" w:lineRule="auto"/>
        <w:jc w:val="both"/>
        <w:rPr>
          <w:noProof/>
          <w:lang w:val="de-DE"/>
        </w:rPr>
      </w:pPr>
      <w:r w:rsidRPr="00170422">
        <w:rPr>
          <w:noProof/>
          <w:lang w:val="de-DE"/>
        </w:rPr>
        <w:t>Die Anforderung, dass alle geförderte</w:t>
      </w:r>
      <w:r w:rsidRPr="00170422">
        <w:rPr>
          <w:noProof/>
          <w:lang w:val="de-DE"/>
        </w:rPr>
        <w:t>n Investitionen wirtschaftlich tragfähig sind</w:t>
      </w:r>
      <w:r w:rsidRPr="00170422">
        <w:rPr>
          <w:b/>
          <w:noProof/>
          <w:lang w:val="de-DE"/>
        </w:rPr>
        <w:t>.</w:t>
      </w:r>
    </w:p>
    <w:p w14:paraId="097B621B" w14:textId="77777777" w:rsidR="0057163C" w:rsidRPr="00170422" w:rsidRDefault="00F37BF9">
      <w:pPr>
        <w:pStyle w:val="P68B1DB1-LegalNumPar264"/>
        <w:spacing w:line="259" w:lineRule="auto"/>
        <w:jc w:val="both"/>
        <w:rPr>
          <w:rFonts w:eastAsia="Calibri" w:cs="Times New Roman"/>
          <w:noProof/>
          <w:lang w:val="de-DE"/>
        </w:rPr>
      </w:pPr>
      <w:r w:rsidRPr="00170422">
        <w:rPr>
          <w:noProof/>
          <w:lang w:val="de-DE"/>
        </w:rPr>
        <w:t>Die Anforderung, den Grundsatz der „Vermeidung erheblicher Beeinträchtigungen“ (DNSH) gemäß den technischen Leitlinien zur Vermeidung erheblicher Beeinträchtigungen (2021/C58/01) einzuhalten. Insbesondere schl</w:t>
      </w:r>
      <w:r w:rsidRPr="00170422">
        <w:rPr>
          <w:noProof/>
          <w:lang w:val="de-DE"/>
        </w:rPr>
        <w:t>ießt die Finanzhilfepolitik die folgende Liste von Tätigkeiten und Vermögenswerten von der Förderfähigkeit aus: Tätigkeiten und Vermögenswerte im Zusammenhang mit fossilen Brennstoffen, einschließlich nachgelagerter Nutzung,</w:t>
      </w:r>
      <w:r w:rsidRPr="00170422">
        <w:rPr>
          <w:noProof/>
          <w:vertAlign w:val="superscript"/>
          <w:lang w:val="de-DE"/>
        </w:rPr>
        <w:footnoteReference w:id="41"/>
      </w:r>
      <w:r w:rsidRPr="00170422">
        <w:rPr>
          <w:noProof/>
          <w:lang w:val="de-DE"/>
        </w:rPr>
        <w:t>ii) Tätigkeiten und Vermögenswe</w:t>
      </w:r>
      <w:r w:rsidRPr="00170422">
        <w:rPr>
          <w:noProof/>
          <w:lang w:val="de-DE"/>
        </w:rPr>
        <w:t>rte im Rahmen des EU-Emissionshandelssystems (EHS), mit denen prognostizierte Treibhausgasemissionen erreicht werden, die nicht unter den einschlägigen Richtwerten liegen,</w:t>
      </w:r>
      <w:r w:rsidRPr="00170422">
        <w:rPr>
          <w:noProof/>
          <w:vertAlign w:val="superscript"/>
          <w:lang w:val="de-DE"/>
        </w:rPr>
        <w:footnoteReference w:id="42"/>
      </w:r>
      <w:r w:rsidRPr="00170422">
        <w:rPr>
          <w:noProof/>
          <w:lang w:val="de-DE"/>
        </w:rPr>
        <w:t>iii) Tätigkeiten und Vermögenswerte im Zusammenhang mit Abfalldeponien, Verbrennungs</w:t>
      </w:r>
      <w:r w:rsidRPr="00170422">
        <w:rPr>
          <w:noProof/>
          <w:lang w:val="de-DE"/>
        </w:rPr>
        <w:t>anlagen</w:t>
      </w:r>
      <w:r w:rsidRPr="00170422">
        <w:rPr>
          <w:noProof/>
          <w:vertAlign w:val="superscript"/>
          <w:lang w:val="de-DE"/>
        </w:rPr>
        <w:footnoteReference w:id="43"/>
      </w:r>
      <w:r w:rsidRPr="00170422">
        <w:rPr>
          <w:noProof/>
          <w:lang w:val="de-DE"/>
        </w:rPr>
        <w:t xml:space="preserve"> und mechanisch-biologischen Behandlungsanlagen</w:t>
      </w:r>
      <w:r w:rsidRPr="00170422">
        <w:rPr>
          <w:noProof/>
          <w:vertAlign w:val="superscript"/>
          <w:lang w:val="de-DE"/>
        </w:rPr>
        <w:footnoteReference w:id="44"/>
      </w:r>
      <w:r w:rsidRPr="00170422">
        <w:rPr>
          <w:noProof/>
          <w:lang w:val="de-DE"/>
        </w:rPr>
        <w:t xml:space="preserve">. </w:t>
      </w:r>
    </w:p>
    <w:p w14:paraId="5D6F4A4C" w14:textId="77777777" w:rsidR="0057163C" w:rsidRPr="00170422" w:rsidRDefault="00F37BF9">
      <w:pPr>
        <w:pStyle w:val="P68B1DB1-LegalNumPar263"/>
        <w:spacing w:line="259" w:lineRule="auto"/>
        <w:jc w:val="both"/>
        <w:rPr>
          <w:noProof/>
          <w:lang w:val="de-DE"/>
        </w:rPr>
      </w:pPr>
      <w:r w:rsidRPr="00170422">
        <w:rPr>
          <w:noProof/>
          <w:lang w:val="de-DE"/>
        </w:rPr>
        <w:t>Die Anforderung, dass die Endbegünstigten der Regelung keine Unterstützung aus anderen Instrumenten der Union erhalten dürfen, um dieselben Kosten zu decken.</w:t>
      </w:r>
    </w:p>
    <w:p w14:paraId="1182310F" w14:textId="77777777" w:rsidR="0057163C" w:rsidRPr="00170422" w:rsidRDefault="00F37BF9">
      <w:pPr>
        <w:pStyle w:val="P68B1DB1-LegalNumPar62"/>
        <w:spacing w:line="259" w:lineRule="auto"/>
        <w:jc w:val="both"/>
        <w:rPr>
          <w:noProof/>
          <w:lang w:val="de-DE"/>
        </w:rPr>
      </w:pPr>
      <w:r w:rsidRPr="00170422">
        <w:rPr>
          <w:noProof/>
          <w:lang w:val="de-DE"/>
        </w:rPr>
        <w:t>Den unter das Durchführungsabkommen fal</w:t>
      </w:r>
      <w:r w:rsidRPr="00170422">
        <w:rPr>
          <w:noProof/>
          <w:lang w:val="de-DE"/>
        </w:rPr>
        <w:t>lenden Betrag, die Gebührenstruktur für den Durchführungspartner und die Anforderung, etwaige ungenutzte Einnahmen aus dem System, auch nach 2026, für dieselben politischen Zwecke zu verwenden.</w:t>
      </w:r>
    </w:p>
    <w:p w14:paraId="4AA0D20F" w14:textId="77777777" w:rsidR="0057163C" w:rsidRPr="00170422" w:rsidRDefault="00F37BF9">
      <w:pPr>
        <w:pStyle w:val="P68B1DB1-LegalNumPar62"/>
        <w:spacing w:line="259" w:lineRule="auto"/>
        <w:jc w:val="both"/>
        <w:rPr>
          <w:noProof/>
          <w:lang w:val="de-DE"/>
        </w:rPr>
      </w:pPr>
      <w:r w:rsidRPr="00170422">
        <w:rPr>
          <w:noProof/>
          <w:lang w:val="de-DE"/>
        </w:rPr>
        <w:t>Überwachungs-, Prüf- und Kontrollanforderungen, einschließlich</w:t>
      </w:r>
      <w:r w:rsidRPr="00170422">
        <w:rPr>
          <w:noProof/>
          <w:lang w:val="de-DE"/>
        </w:rPr>
        <w:t>:</w:t>
      </w:r>
    </w:p>
    <w:p w14:paraId="16A7597A" w14:textId="77777777" w:rsidR="0057163C" w:rsidRPr="00170422" w:rsidRDefault="00F37BF9">
      <w:pPr>
        <w:pStyle w:val="P68B1DB1-ListParagraph39"/>
        <w:numPr>
          <w:ilvl w:val="0"/>
          <w:numId w:val="74"/>
        </w:numPr>
        <w:spacing w:before="120" w:after="120" w:line="240" w:lineRule="auto"/>
        <w:jc w:val="both"/>
        <w:rPr>
          <w:noProof/>
          <w:lang w:val="de-DE"/>
        </w:rPr>
      </w:pPr>
      <w:r w:rsidRPr="00170422">
        <w:rPr>
          <w:noProof/>
          <w:lang w:val="de-DE"/>
        </w:rPr>
        <w:t>Die Beschreibung des Überwachungssystems des Durchführungspartners zur Berichterstattung über die mobilisierten Subventionen.</w:t>
      </w:r>
    </w:p>
    <w:p w14:paraId="2D20507F" w14:textId="77777777" w:rsidR="0057163C" w:rsidRPr="00170422" w:rsidRDefault="00F37BF9">
      <w:pPr>
        <w:pStyle w:val="P68B1DB1-Normal38"/>
        <w:numPr>
          <w:ilvl w:val="0"/>
          <w:numId w:val="74"/>
        </w:numPr>
        <w:jc w:val="both"/>
        <w:rPr>
          <w:noProof/>
          <w:lang w:val="de-DE"/>
        </w:rPr>
      </w:pPr>
      <w:r w:rsidRPr="00170422">
        <w:rPr>
          <w:noProof/>
          <w:lang w:val="de-DE"/>
        </w:rPr>
        <w:t xml:space="preserve">Die Beschreibung der Verfahren des Durchführungspartners, die die Prävention, Aufdeckung und Behebung von Betrug, Korruption und Interessenkonflikten gewährleisten. </w:t>
      </w:r>
    </w:p>
    <w:p w14:paraId="4BBCF44C" w14:textId="77777777" w:rsidR="0057163C" w:rsidRPr="00170422" w:rsidRDefault="00F37BF9">
      <w:pPr>
        <w:pStyle w:val="P68B1DB1-Normal38"/>
        <w:numPr>
          <w:ilvl w:val="0"/>
          <w:numId w:val="74"/>
        </w:numPr>
        <w:jc w:val="both"/>
        <w:rPr>
          <w:noProof/>
          <w:lang w:val="de-DE"/>
        </w:rPr>
      </w:pPr>
      <w:r w:rsidRPr="00170422">
        <w:rPr>
          <w:noProof/>
          <w:lang w:val="de-DE"/>
        </w:rPr>
        <w:t>Die Verpflichtung, die Förderfähigkeit jedes Vorhabens im Einklang mit den Anforderungen d</w:t>
      </w:r>
      <w:r w:rsidRPr="00170422">
        <w:rPr>
          <w:noProof/>
          <w:lang w:val="de-DE"/>
        </w:rPr>
        <w:t>es Durchführungsabkommens zu überprüfen, bevor ein Zuschuss für ein Vorhaben gewährt wird.</w:t>
      </w:r>
    </w:p>
    <w:p w14:paraId="2AF4F17C" w14:textId="77777777" w:rsidR="0057163C" w:rsidRPr="00170422" w:rsidRDefault="00F37BF9">
      <w:pPr>
        <w:pStyle w:val="P68B1DB1-Normal38"/>
        <w:numPr>
          <w:ilvl w:val="0"/>
          <w:numId w:val="74"/>
        </w:numPr>
        <w:spacing w:line="240" w:lineRule="auto"/>
        <w:jc w:val="both"/>
        <w:rPr>
          <w:noProof/>
          <w:lang w:val="de-DE"/>
        </w:rPr>
      </w:pPr>
      <w:r w:rsidRPr="00170422">
        <w:rPr>
          <w:noProof/>
          <w:lang w:val="de-DE"/>
        </w:rPr>
        <w:t>Die Verpflichtung zur Durchführung risikobasierter Ex-post-Prüfungen gemäß einem Prüfplan der GSE. Bei diesen Audits wird Folgendes überprüft:</w:t>
      </w:r>
    </w:p>
    <w:p w14:paraId="11E0EEC7" w14:textId="77777777" w:rsidR="0057163C" w:rsidRPr="00170422" w:rsidRDefault="00F37BF9">
      <w:pPr>
        <w:pStyle w:val="P68B1DB1-Normal38"/>
        <w:spacing w:line="240" w:lineRule="auto"/>
        <w:ind w:left="1440"/>
        <w:jc w:val="both"/>
        <w:rPr>
          <w:noProof/>
          <w:lang w:val="de-DE"/>
        </w:rPr>
      </w:pPr>
      <w:r w:rsidRPr="00170422">
        <w:rPr>
          <w:noProof/>
          <w:lang w:val="de-DE"/>
        </w:rPr>
        <w:t>I) dass die Kontrollsy</w:t>
      </w:r>
      <w:r w:rsidRPr="00170422">
        <w:rPr>
          <w:noProof/>
          <w:lang w:val="de-DE"/>
        </w:rPr>
        <w:t>steme wirksam sind, einschließlich der Aufdeckung von Betrug, Korruption und Interessenkonflikten;</w:t>
      </w:r>
    </w:p>
    <w:p w14:paraId="7D34FBC4" w14:textId="77777777" w:rsidR="0057163C" w:rsidRPr="00170422" w:rsidRDefault="00F37BF9">
      <w:pPr>
        <w:pStyle w:val="P68B1DB1-Normal38"/>
        <w:spacing w:line="240" w:lineRule="auto"/>
        <w:ind w:left="1440"/>
        <w:jc w:val="both"/>
        <w:rPr>
          <w:noProof/>
          <w:lang w:val="de-DE"/>
        </w:rPr>
      </w:pPr>
      <w:r w:rsidRPr="00170422">
        <w:rPr>
          <w:noProof/>
          <w:lang w:val="de-DE"/>
        </w:rPr>
        <w:t>II) Einhaltung des DNSH-Grundsatzes, der Vorschriften über staatliche Beihilfen und der Klimazielvorgaben; und</w:t>
      </w:r>
    </w:p>
    <w:p w14:paraId="74AB863C" w14:textId="77777777" w:rsidR="0057163C" w:rsidRPr="00170422" w:rsidRDefault="00F37BF9">
      <w:pPr>
        <w:pStyle w:val="P68B1DB1-Normal38"/>
        <w:spacing w:line="240" w:lineRule="auto"/>
        <w:ind w:left="1440"/>
        <w:jc w:val="both"/>
        <w:rPr>
          <w:noProof/>
          <w:lang w:val="de-DE"/>
        </w:rPr>
      </w:pPr>
      <w:r w:rsidRPr="00170422">
        <w:rPr>
          <w:noProof/>
          <w:lang w:val="de-DE"/>
        </w:rPr>
        <w:t>III) dass die Anforderung, dass die Endbegünst</w:t>
      </w:r>
      <w:r w:rsidRPr="00170422">
        <w:rPr>
          <w:noProof/>
          <w:lang w:val="de-DE"/>
        </w:rPr>
        <w:t>igten der Regelung keine Unterstützung aus anderen Instrumenten der Union erhalten haben, um dieselben Kosten zu decken, eingehalten wird. Bei den Prüfungen wird auch die Rechtmäßigkeit der Vorgänge und die Einhaltung der Bedingungen der geltenden Finanzhi</w:t>
      </w:r>
      <w:r w:rsidRPr="00170422">
        <w:rPr>
          <w:noProof/>
          <w:lang w:val="de-DE"/>
        </w:rPr>
        <w:t xml:space="preserve">lfevereinbarungen des Durchführungsabkommens überprüft. </w:t>
      </w:r>
    </w:p>
    <w:p w14:paraId="5991D141" w14:textId="77777777" w:rsidR="0057163C" w:rsidRPr="00170422" w:rsidRDefault="00F37BF9">
      <w:pPr>
        <w:pStyle w:val="P68B1DB1-Normal5"/>
        <w:spacing w:before="120" w:after="120"/>
        <w:jc w:val="both"/>
        <w:rPr>
          <w:noProof/>
          <w:lang w:val="de-DE"/>
        </w:rPr>
      </w:pPr>
      <w:r w:rsidRPr="00170422">
        <w:rPr>
          <w:noProof/>
          <w:lang w:val="de-DE"/>
        </w:rPr>
        <w:t>Investition 1.2 – Förderung erneuerbarer Energien für Energiegemeinschaften und gemeinsam handelnde Eigenverbraucher erneuerbarer Energien</w:t>
      </w:r>
    </w:p>
    <w:p w14:paraId="4A15A0A0" w14:textId="6541857D" w:rsidR="0057163C" w:rsidRPr="00170422" w:rsidRDefault="00F37BF9">
      <w:pPr>
        <w:spacing w:before="120" w:after="120"/>
        <w:jc w:val="both"/>
        <w:rPr>
          <w:rFonts w:ascii="Times New Roman" w:eastAsia="MS Mincho" w:hAnsi="Times New Roman" w:cs="Times New Roman"/>
          <w:noProof/>
          <w:lang w:val="de-DE"/>
        </w:rPr>
      </w:pPr>
      <w:r w:rsidRPr="00170422">
        <w:rPr>
          <w:rFonts w:ascii="Times New Roman" w:eastAsia="MS Mincho" w:hAnsi="Times New Roman" w:cs="Times New Roman"/>
          <w:noProof/>
          <w:lang w:val="de-DE"/>
        </w:rPr>
        <w:t>Diese Maßnahme besteht aus einer öffentlichen Investition in</w:t>
      </w:r>
      <w:r w:rsidRPr="00170422">
        <w:rPr>
          <w:rFonts w:ascii="Times New Roman" w:eastAsia="MS Mincho" w:hAnsi="Times New Roman" w:cs="Times New Roman"/>
          <w:noProof/>
          <w:lang w:val="de-DE"/>
        </w:rPr>
        <w:t xml:space="preserve"> eine Zuschussregelung, um Anreize für private Investitionen zu schaffen und den Zugang zu Finanzmitteln in Italien zu verbessern, um die Installation neuer Stromerzeugungskapazitäten für kollektive Konfigurationen und Erneuerbare-Energie-Gemeinschaften in</w:t>
      </w:r>
      <w:r w:rsidRPr="00170422">
        <w:rPr>
          <w:rFonts w:ascii="Times New Roman" w:eastAsia="MS Mincho" w:hAnsi="Times New Roman" w:cs="Times New Roman"/>
          <w:noProof/>
          <w:lang w:val="de-DE"/>
        </w:rPr>
        <w:t xml:space="preserve"> Gemeinden mit weniger als 50000 Einwohnern</w:t>
      </w:r>
      <w:r w:rsidRPr="00170422">
        <w:rPr>
          <w:rFonts w:ascii="Arial Narrow" w:hAnsi="Arial Narrow"/>
          <w:noProof/>
          <w:color w:val="006100"/>
          <w:sz w:val="20"/>
          <w:lang w:val="de-DE"/>
        </w:rPr>
        <w:t xml:space="preserve"> </w:t>
      </w:r>
      <w:r w:rsidRPr="00170422">
        <w:rPr>
          <w:rFonts w:ascii="Times New Roman" w:eastAsia="MS Mincho" w:hAnsi="Times New Roman" w:cs="Times New Roman"/>
          <w:noProof/>
          <w:lang w:val="de-DE"/>
        </w:rPr>
        <w:t>zu fördern</w:t>
      </w:r>
      <w:r w:rsidRPr="00170422">
        <w:rPr>
          <w:rStyle w:val="FootnoteReference"/>
          <w:rFonts w:ascii="Times New Roman" w:hAnsi="Times New Roman" w:cs="Times New Roman"/>
          <w:noProof/>
          <w:lang w:val="de-DE"/>
        </w:rPr>
        <w:footnoteReference w:id="45"/>
      </w:r>
      <w:r w:rsidRPr="00170422">
        <w:rPr>
          <w:rFonts w:ascii="Times New Roman" w:eastAsia="MS Mincho" w:hAnsi="Times New Roman" w:cs="Times New Roman"/>
          <w:noProof/>
          <w:lang w:val="de-DE"/>
        </w:rPr>
        <w:t xml:space="preserve">. Im Rahmen der Regelung werden Zuschüsse direkt an den privaten Sektor sowie an öffentliche Stellen, die ähnliche Tätigkeiten ausüben, gewährt. </w:t>
      </w:r>
    </w:p>
    <w:p w14:paraId="3ABFF730" w14:textId="77777777" w:rsidR="0057163C" w:rsidRPr="00170422" w:rsidRDefault="00F37BF9">
      <w:pPr>
        <w:pStyle w:val="P68B1DB1-Normal65"/>
        <w:spacing w:before="120" w:after="120"/>
        <w:jc w:val="both"/>
        <w:rPr>
          <w:noProof/>
          <w:lang w:val="de-DE"/>
        </w:rPr>
      </w:pPr>
      <w:r w:rsidRPr="00170422">
        <w:rPr>
          <w:noProof/>
          <w:lang w:val="de-DE"/>
        </w:rPr>
        <w:t>Die Regelung wird von der Gestore dei Servizi Energetic</w:t>
      </w:r>
      <w:r w:rsidRPr="00170422">
        <w:rPr>
          <w:noProof/>
          <w:lang w:val="de-DE"/>
        </w:rPr>
        <w:t>he S.p.A. [im Folgenden GSE] als Durchführungspartner verwaltet. Die Regelung umfasst die folgende Warenlinie:</w:t>
      </w:r>
    </w:p>
    <w:p w14:paraId="717AB6D7" w14:textId="69A1598F" w:rsidR="0057163C" w:rsidRPr="00170422" w:rsidRDefault="00F37BF9">
      <w:pPr>
        <w:pStyle w:val="P68B1DB1-Normal65"/>
        <w:numPr>
          <w:ilvl w:val="0"/>
          <w:numId w:val="83"/>
        </w:numPr>
        <w:spacing w:before="120" w:after="120" w:line="279" w:lineRule="auto"/>
        <w:jc w:val="both"/>
        <w:rPr>
          <w:noProof/>
          <w:lang w:val="de-DE"/>
        </w:rPr>
      </w:pPr>
      <w:r w:rsidRPr="00170422">
        <w:rPr>
          <w:noProof/>
          <w:lang w:val="de-DE"/>
        </w:rPr>
        <w:t>Zuschuss zur Deckung von maximal 40 % der Projektkosten für den Bau von erneuerbaren Energiequellen und Erzeugungsanlagen, möglicherweise gekoppe</w:t>
      </w:r>
      <w:r w:rsidRPr="00170422">
        <w:rPr>
          <w:noProof/>
          <w:lang w:val="de-DE"/>
        </w:rPr>
        <w:t>lt mit Energiespeicherung.</w:t>
      </w:r>
    </w:p>
    <w:p w14:paraId="0BC53E1C" w14:textId="77777777" w:rsidR="0057163C" w:rsidRPr="00170422" w:rsidRDefault="00F37BF9">
      <w:pPr>
        <w:pStyle w:val="P68B1DB1-Normal65"/>
        <w:spacing w:before="120" w:after="120"/>
        <w:jc w:val="both"/>
        <w:rPr>
          <w:noProof/>
          <w:lang w:val="de-DE"/>
        </w:rPr>
      </w:pPr>
      <w:r w:rsidRPr="00170422">
        <w:rPr>
          <w:noProof/>
          <w:lang w:val="de-DE"/>
        </w:rPr>
        <w:t>Zur Durchführung der Investition in die Regelung unterzeichnen Italien und die GSE ein Durchführungsabkommen, das Folgendes enthält:</w:t>
      </w:r>
    </w:p>
    <w:p w14:paraId="28EC7025" w14:textId="77777777" w:rsidR="0057163C" w:rsidRPr="00170422" w:rsidRDefault="00F37BF9">
      <w:pPr>
        <w:pStyle w:val="P68B1DB1-Normal65"/>
        <w:numPr>
          <w:ilvl w:val="0"/>
          <w:numId w:val="82"/>
        </w:numPr>
        <w:spacing w:before="120" w:after="120" w:line="279" w:lineRule="auto"/>
        <w:jc w:val="both"/>
        <w:rPr>
          <w:noProof/>
          <w:lang w:val="de-DE"/>
        </w:rPr>
      </w:pPr>
      <w:r w:rsidRPr="00170422">
        <w:rPr>
          <w:noProof/>
          <w:lang w:val="de-DE"/>
        </w:rPr>
        <w:t>Beschreibung des Entscheidungsprozesses der Regelung: Die endgültige Entscheidung über die Verga</w:t>
      </w:r>
      <w:r w:rsidRPr="00170422">
        <w:rPr>
          <w:noProof/>
          <w:lang w:val="de-DE"/>
        </w:rPr>
        <w:t>be des Systems wird von einem Investitionsausschuss oder einem anderen gleichwertigen Leitungsgremium getroffen und mit der Mehrheit der Stimmen der von der Regierung unabhängigen Mitglieder genehmigt.</w:t>
      </w:r>
    </w:p>
    <w:p w14:paraId="11970938" w14:textId="77777777" w:rsidR="0057163C" w:rsidRPr="00170422" w:rsidRDefault="00F37BF9">
      <w:pPr>
        <w:pStyle w:val="P68B1DB1-Normal65"/>
        <w:numPr>
          <w:ilvl w:val="0"/>
          <w:numId w:val="82"/>
        </w:numPr>
        <w:spacing w:before="120" w:after="120" w:line="279" w:lineRule="auto"/>
        <w:jc w:val="both"/>
        <w:rPr>
          <w:noProof/>
          <w:lang w:val="de-DE"/>
        </w:rPr>
      </w:pPr>
      <w:r w:rsidRPr="00170422">
        <w:rPr>
          <w:noProof/>
          <w:lang w:val="de-DE"/>
        </w:rPr>
        <w:t>Kernanforderungen der damit verbundenen Fina</w:t>
      </w:r>
      <w:r w:rsidRPr="00170422">
        <w:rPr>
          <w:noProof/>
          <w:lang w:val="de-DE"/>
        </w:rPr>
        <w:t>nzhilfepolitik,</w:t>
      </w:r>
      <w:r w:rsidRPr="00170422">
        <w:rPr>
          <w:b/>
          <w:noProof/>
          <w:lang w:val="de-DE"/>
        </w:rPr>
        <w:t xml:space="preserve"> </w:t>
      </w:r>
      <w:r w:rsidRPr="00170422">
        <w:rPr>
          <w:noProof/>
          <w:lang w:val="de-DE"/>
        </w:rPr>
        <w:t>die Folgendes umfassen:</w:t>
      </w:r>
    </w:p>
    <w:p w14:paraId="6A4971A6" w14:textId="77777777" w:rsidR="0057163C" w:rsidRPr="00170422" w:rsidRDefault="00F37BF9">
      <w:pPr>
        <w:pStyle w:val="P68B1DB1-ListParagraph37"/>
        <w:numPr>
          <w:ilvl w:val="1"/>
          <w:numId w:val="81"/>
        </w:numPr>
        <w:spacing w:after="0" w:line="257" w:lineRule="auto"/>
        <w:ind w:left="953" w:hanging="477"/>
        <w:jc w:val="both"/>
        <w:rPr>
          <w:noProof/>
          <w:lang w:val="de-DE"/>
        </w:rPr>
      </w:pPr>
      <w:r w:rsidRPr="00170422">
        <w:rPr>
          <w:noProof/>
          <w:lang w:val="de-DE"/>
        </w:rPr>
        <w:t xml:space="preserve">Die Beschreibung der gewährten Finanzhilfen und der förderfähigen Endbegünstigten. </w:t>
      </w:r>
    </w:p>
    <w:p w14:paraId="1E99D203" w14:textId="77777777" w:rsidR="0057163C" w:rsidRPr="00170422" w:rsidRDefault="00F37BF9">
      <w:pPr>
        <w:pStyle w:val="P68B1DB1-ListParagraph37"/>
        <w:numPr>
          <w:ilvl w:val="1"/>
          <w:numId w:val="81"/>
        </w:numPr>
        <w:spacing w:after="0" w:line="257" w:lineRule="auto"/>
        <w:ind w:left="953" w:hanging="477"/>
        <w:jc w:val="both"/>
        <w:rPr>
          <w:noProof/>
          <w:lang w:val="de-DE"/>
        </w:rPr>
      </w:pPr>
      <w:r w:rsidRPr="00170422">
        <w:rPr>
          <w:noProof/>
          <w:lang w:val="de-DE"/>
        </w:rPr>
        <w:t>Die Anforderung, dass alle geförderten Investitionen wirtschaftlich tragfähig sind.</w:t>
      </w:r>
    </w:p>
    <w:p w14:paraId="0E1A755D" w14:textId="505C8B25" w:rsidR="0057163C" w:rsidRPr="00170422" w:rsidRDefault="00F37BF9">
      <w:pPr>
        <w:pStyle w:val="ListParagraph"/>
        <w:numPr>
          <w:ilvl w:val="1"/>
          <w:numId w:val="81"/>
        </w:numPr>
        <w:spacing w:after="0" w:line="257" w:lineRule="auto"/>
        <w:ind w:left="953" w:hanging="477"/>
        <w:jc w:val="both"/>
        <w:rPr>
          <w:rFonts w:ascii="Times New Roman" w:hAnsi="Times New Roman" w:cs="Times New Roman"/>
          <w:noProof/>
          <w:lang w:val="de-DE"/>
        </w:rPr>
      </w:pPr>
      <w:r w:rsidRPr="00170422">
        <w:rPr>
          <w:rFonts w:ascii="Times New Roman" w:hAnsi="Times New Roman" w:cs="Times New Roman"/>
          <w:noProof/>
          <w:lang w:val="de-DE"/>
        </w:rPr>
        <w:t xml:space="preserve">Die Anforderung, den Grundsatz der „Vermeidung </w:t>
      </w:r>
      <w:r w:rsidRPr="00170422">
        <w:rPr>
          <w:rFonts w:ascii="Times New Roman" w:hAnsi="Times New Roman" w:cs="Times New Roman"/>
          <w:noProof/>
          <w:lang w:val="de-DE"/>
        </w:rPr>
        <w:t>erheblicher Beeinträchtigungen“ (DNSH) gemäß den technischen Leitlinien zur Vermeidung erheblicher Beeinträchtigungen (2021/C58/01) einzuhalten. Insbesondere schließt die Finanzhilfepolitik die folgende Liste von Tätigkeiten und Vermögenswerten von der För</w:t>
      </w:r>
      <w:r w:rsidRPr="00170422">
        <w:rPr>
          <w:rFonts w:ascii="Times New Roman" w:hAnsi="Times New Roman" w:cs="Times New Roman"/>
          <w:noProof/>
          <w:lang w:val="de-DE"/>
        </w:rPr>
        <w:t>derfähigkeit aus: Tätigkeiten und Vermögenswerte im Zusammenhang mit fossilen Brennstoffen, einschließlich nachgelagerter Nutzung,</w:t>
      </w:r>
      <w:r w:rsidRPr="00170422">
        <w:rPr>
          <w:rFonts w:ascii="Times New Roman" w:hAnsi="Times New Roman" w:cs="Times New Roman"/>
          <w:noProof/>
          <w:vertAlign w:val="superscript"/>
          <w:lang w:val="de-DE"/>
        </w:rPr>
        <w:footnoteReference w:id="46"/>
      </w:r>
      <w:r w:rsidRPr="00170422">
        <w:rPr>
          <w:rFonts w:ascii="Times New Roman" w:hAnsi="Times New Roman" w:cs="Times New Roman"/>
          <w:noProof/>
          <w:vertAlign w:val="superscript"/>
          <w:lang w:val="de-DE"/>
        </w:rPr>
        <w:t>i</w:t>
      </w:r>
      <w:r w:rsidR="001F2F9F" w:rsidRPr="00170422">
        <w:rPr>
          <w:rFonts w:ascii="Times New Roman" w:hAnsi="Times New Roman" w:cs="Times New Roman"/>
          <w:noProof/>
          <w:lang w:val="de-DE"/>
        </w:rPr>
        <w:t xml:space="preserve">ii) </w:t>
      </w:r>
      <w:r w:rsidRPr="00170422">
        <w:rPr>
          <w:rFonts w:ascii="Times New Roman" w:hAnsi="Times New Roman" w:cs="Times New Roman"/>
          <w:noProof/>
          <w:lang w:val="de-DE"/>
        </w:rPr>
        <w:t>Tätigkeiten und Vermögenswerte im Rahmen des EU-Emissionshandelssystems (EHS), mit denen prognostizierte Treibhausgasemi</w:t>
      </w:r>
      <w:r w:rsidRPr="00170422">
        <w:rPr>
          <w:rFonts w:ascii="Times New Roman" w:hAnsi="Times New Roman" w:cs="Times New Roman"/>
          <w:noProof/>
          <w:lang w:val="de-DE"/>
        </w:rPr>
        <w:t>ssionen erreicht werden, die nicht unter den einschlägigen Richtwerten liegen,</w:t>
      </w:r>
      <w:r w:rsidRPr="00170422">
        <w:rPr>
          <w:rFonts w:ascii="Times New Roman" w:hAnsi="Times New Roman" w:cs="Times New Roman"/>
          <w:noProof/>
          <w:vertAlign w:val="superscript"/>
          <w:lang w:val="de-DE"/>
        </w:rPr>
        <w:footnoteReference w:id="47"/>
      </w:r>
      <w:r w:rsidR="001F2F9F" w:rsidRPr="00170422">
        <w:rPr>
          <w:rFonts w:ascii="Times New Roman" w:hAnsi="Times New Roman" w:cs="Times New Roman"/>
          <w:noProof/>
          <w:lang w:val="de-DE"/>
        </w:rPr>
        <w:t>iii)</w:t>
      </w:r>
      <w:r w:rsidRPr="00170422">
        <w:rPr>
          <w:rFonts w:ascii="Times New Roman" w:hAnsi="Times New Roman" w:cs="Times New Roman"/>
          <w:noProof/>
          <w:lang w:val="de-DE"/>
        </w:rPr>
        <w:t>Tätigkeiten und Vermögenswerte im Zusammenhang mit Abfalldeponien, Verbrennungsanlagen</w:t>
      </w:r>
      <w:r w:rsidRPr="00170422">
        <w:rPr>
          <w:rFonts w:ascii="Times New Roman" w:hAnsi="Times New Roman" w:cs="Times New Roman"/>
          <w:noProof/>
          <w:vertAlign w:val="superscript"/>
          <w:lang w:val="de-DE"/>
        </w:rPr>
        <w:footnoteReference w:id="48"/>
      </w:r>
      <w:r w:rsidRPr="00170422">
        <w:rPr>
          <w:rFonts w:ascii="Times New Roman" w:hAnsi="Times New Roman" w:cs="Times New Roman"/>
          <w:noProof/>
          <w:lang w:val="de-DE"/>
        </w:rPr>
        <w:t xml:space="preserve"> und mechanisch-biologischen Behandlungsanlagen</w:t>
      </w:r>
      <w:r w:rsidRPr="00170422">
        <w:rPr>
          <w:rFonts w:ascii="Times New Roman" w:hAnsi="Times New Roman" w:cs="Times New Roman"/>
          <w:noProof/>
          <w:vertAlign w:val="superscript"/>
          <w:lang w:val="de-DE"/>
        </w:rPr>
        <w:footnoteReference w:id="49"/>
      </w:r>
      <w:r w:rsidRPr="00170422">
        <w:rPr>
          <w:rFonts w:ascii="Times New Roman" w:hAnsi="Times New Roman" w:cs="Times New Roman"/>
          <w:noProof/>
          <w:lang w:val="de-DE"/>
        </w:rPr>
        <w:t xml:space="preserve">. </w:t>
      </w:r>
    </w:p>
    <w:p w14:paraId="28153413" w14:textId="77777777" w:rsidR="0057163C" w:rsidRPr="00170422" w:rsidRDefault="00F37BF9">
      <w:pPr>
        <w:pStyle w:val="P68B1DB1-ListParagraph37"/>
        <w:numPr>
          <w:ilvl w:val="1"/>
          <w:numId w:val="81"/>
        </w:numPr>
        <w:spacing w:after="0" w:line="257" w:lineRule="auto"/>
        <w:ind w:left="953" w:hanging="477"/>
        <w:jc w:val="both"/>
        <w:rPr>
          <w:noProof/>
          <w:lang w:val="de-DE"/>
        </w:rPr>
      </w:pPr>
      <w:r w:rsidRPr="00170422">
        <w:rPr>
          <w:noProof/>
          <w:lang w:val="de-DE"/>
        </w:rPr>
        <w:t>Die Anforderung, dass die Endbegüns</w:t>
      </w:r>
      <w:r w:rsidRPr="00170422">
        <w:rPr>
          <w:noProof/>
          <w:lang w:val="de-DE"/>
        </w:rPr>
        <w:t>tigten der Regelung keine Unterstützung aus anderen Instrumenten der Union erhalten dürfen, um dieselben Kosten zu decken.</w:t>
      </w:r>
    </w:p>
    <w:p w14:paraId="507B74B9" w14:textId="77777777" w:rsidR="0057163C" w:rsidRPr="00170422" w:rsidRDefault="00F37BF9">
      <w:pPr>
        <w:pStyle w:val="P68B1DB1-ListParagraph37"/>
        <w:numPr>
          <w:ilvl w:val="0"/>
          <w:numId w:val="82"/>
        </w:numPr>
        <w:spacing w:after="0" w:line="257" w:lineRule="auto"/>
        <w:jc w:val="both"/>
        <w:rPr>
          <w:noProof/>
          <w:lang w:val="de-DE"/>
        </w:rPr>
      </w:pPr>
      <w:r w:rsidRPr="00170422">
        <w:rPr>
          <w:noProof/>
          <w:lang w:val="de-DE"/>
        </w:rPr>
        <w:t xml:space="preserve">Den unter das Durchführungsabkommen fallenden Betrag, die Gebührenstruktur für den Durchführungspartner und die Anforderung, etwaige </w:t>
      </w:r>
      <w:r w:rsidRPr="00170422">
        <w:rPr>
          <w:noProof/>
          <w:lang w:val="de-DE"/>
        </w:rPr>
        <w:t>ungenutzte Einnahmen aus dem System, auch nach 2026, für dieselben politischen Zwecke zu verwenden.</w:t>
      </w:r>
    </w:p>
    <w:p w14:paraId="2B39C369" w14:textId="77777777" w:rsidR="0057163C" w:rsidRPr="00170422" w:rsidRDefault="00F37BF9">
      <w:pPr>
        <w:pStyle w:val="P68B1DB1-ListParagraph37"/>
        <w:numPr>
          <w:ilvl w:val="0"/>
          <w:numId w:val="82"/>
        </w:numPr>
        <w:spacing w:after="0" w:line="257" w:lineRule="auto"/>
        <w:jc w:val="both"/>
        <w:rPr>
          <w:noProof/>
          <w:lang w:val="de-DE"/>
        </w:rPr>
      </w:pPr>
      <w:r w:rsidRPr="00170422">
        <w:rPr>
          <w:noProof/>
          <w:lang w:val="de-DE"/>
        </w:rPr>
        <w:t>Überwachungs-, Prüf- und Kontrollanforderungen, einschließlich:</w:t>
      </w:r>
    </w:p>
    <w:p w14:paraId="620A63B1" w14:textId="77777777" w:rsidR="0057163C" w:rsidRPr="00170422" w:rsidRDefault="00F37BF9">
      <w:pPr>
        <w:pStyle w:val="P68B1DB1-ListParagraph36"/>
        <w:numPr>
          <w:ilvl w:val="0"/>
          <w:numId w:val="80"/>
        </w:numPr>
        <w:spacing w:after="0" w:line="240" w:lineRule="auto"/>
        <w:ind w:left="1440"/>
        <w:jc w:val="both"/>
        <w:rPr>
          <w:rFonts w:hint="default"/>
          <w:noProof/>
          <w:lang w:val="de-DE"/>
        </w:rPr>
      </w:pPr>
      <w:r w:rsidRPr="00170422">
        <w:rPr>
          <w:rFonts w:hint="default"/>
          <w:noProof/>
          <w:lang w:val="de-DE"/>
        </w:rPr>
        <w:t>Die Beschreibung des Überwachungssystems des Durchführungspartners zur Berichterstattung übe</w:t>
      </w:r>
      <w:r w:rsidRPr="00170422">
        <w:rPr>
          <w:rFonts w:hint="default"/>
          <w:noProof/>
          <w:lang w:val="de-DE"/>
        </w:rPr>
        <w:t>r die mobilisierten Finanzhilfen.</w:t>
      </w:r>
    </w:p>
    <w:p w14:paraId="439F6141" w14:textId="77777777" w:rsidR="0057163C" w:rsidRPr="00170422" w:rsidRDefault="00F37BF9">
      <w:pPr>
        <w:pStyle w:val="P68B1DB1-ListParagraph36"/>
        <w:numPr>
          <w:ilvl w:val="0"/>
          <w:numId w:val="80"/>
        </w:numPr>
        <w:spacing w:after="0" w:line="257" w:lineRule="auto"/>
        <w:ind w:left="1440"/>
        <w:jc w:val="both"/>
        <w:rPr>
          <w:rFonts w:hint="default"/>
          <w:noProof/>
          <w:lang w:val="de-DE"/>
        </w:rPr>
      </w:pPr>
      <w:r w:rsidRPr="00170422">
        <w:rPr>
          <w:rFonts w:hint="default"/>
          <w:noProof/>
          <w:lang w:val="de-DE"/>
        </w:rPr>
        <w:t>Die Beschreibung der Verfahren des Durchführungspartners, die die Prävention, Aufdeckung und Behebung von Betrug, Korruption und Interessenkonflikten gewährleisten.</w:t>
      </w:r>
    </w:p>
    <w:p w14:paraId="5462E04A" w14:textId="77777777" w:rsidR="0057163C" w:rsidRPr="00170422" w:rsidRDefault="00F37BF9">
      <w:pPr>
        <w:pStyle w:val="P68B1DB1-ListParagraph37"/>
        <w:numPr>
          <w:ilvl w:val="0"/>
          <w:numId w:val="80"/>
        </w:numPr>
        <w:spacing w:after="0" w:line="257" w:lineRule="auto"/>
        <w:ind w:left="1440"/>
        <w:jc w:val="both"/>
        <w:rPr>
          <w:noProof/>
          <w:lang w:val="de-DE"/>
        </w:rPr>
      </w:pPr>
      <w:r w:rsidRPr="00170422">
        <w:rPr>
          <w:noProof/>
          <w:lang w:val="de-DE"/>
        </w:rPr>
        <w:t>Die Verpflichtung, die Förderfähigkeit jedes Vorhabens ge</w:t>
      </w:r>
      <w:r w:rsidRPr="00170422">
        <w:rPr>
          <w:noProof/>
          <w:lang w:val="de-DE"/>
        </w:rPr>
        <w:t>mäß den Anforderungen des Durchführungsabkommens zu überprüfen, bevor eine Finanzhilfe für ein Vorhaben gewährt wird.</w:t>
      </w:r>
    </w:p>
    <w:p w14:paraId="3F08FB05" w14:textId="77777777" w:rsidR="0057163C" w:rsidRPr="00170422" w:rsidRDefault="00F37BF9">
      <w:pPr>
        <w:pStyle w:val="P68B1DB1-ListParagraph37"/>
        <w:numPr>
          <w:ilvl w:val="0"/>
          <w:numId w:val="80"/>
        </w:numPr>
        <w:spacing w:after="0" w:line="257" w:lineRule="auto"/>
        <w:ind w:left="1440"/>
        <w:jc w:val="both"/>
        <w:rPr>
          <w:noProof/>
          <w:lang w:val="de-DE"/>
        </w:rPr>
      </w:pPr>
      <w:r w:rsidRPr="00170422">
        <w:rPr>
          <w:noProof/>
          <w:lang w:val="de-DE"/>
        </w:rPr>
        <w:t>Die Verpflichtung zur Durchführung risikobasierter Ex-post-Prüfungen gemäß einem Prüfplan der GSE. Bei diesen Prüfungen wird Folgendes übe</w:t>
      </w:r>
      <w:r w:rsidRPr="00170422">
        <w:rPr>
          <w:noProof/>
          <w:lang w:val="de-DE"/>
        </w:rPr>
        <w:t>rprüft: i) die Wirksamkeit der Kontrollsysteme, einschließlich der Aufdeckung von Betrug, Korruption und Interessenkonflikten; II) Einhaltung des DNSH-Grundsatzes, der Vorschriften über staatliche Beihilfen; und iii) die Anforderung, dass die Endbegünstigt</w:t>
      </w:r>
      <w:r w:rsidRPr="00170422">
        <w:rPr>
          <w:noProof/>
          <w:lang w:val="de-DE"/>
        </w:rPr>
        <w:t>en der Regelung keine Unterstützung aus anderen Instrumenten der Union erhalten haben, um dieselben Kosten zu decken, eingehalten wird. Bei den Prüfungen wird auch die Rechtmäßigkeit der Transaktionen und die Einhaltung der Bedingungen des geltenden Durchf</w:t>
      </w:r>
      <w:r w:rsidRPr="00170422">
        <w:rPr>
          <w:noProof/>
          <w:lang w:val="de-DE"/>
        </w:rPr>
        <w:t xml:space="preserve">ührungsabkommens und der geltenden Finanzhilfevereinbarungen überprüft. </w:t>
      </w:r>
    </w:p>
    <w:p w14:paraId="46CB81FA" w14:textId="77777777" w:rsidR="0057163C" w:rsidRPr="00170422" w:rsidRDefault="00F37BF9">
      <w:pPr>
        <w:pStyle w:val="P68B1DB1-Normal5"/>
        <w:spacing w:before="120" w:after="120"/>
        <w:jc w:val="both"/>
        <w:rPr>
          <w:bCs/>
          <w:noProof/>
          <w:lang w:val="de-DE"/>
        </w:rPr>
      </w:pPr>
      <w:r w:rsidRPr="00170422">
        <w:rPr>
          <w:noProof/>
          <w:lang w:val="de-DE"/>
        </w:rPr>
        <w:t>Investition 1.4 – Entwicklung von Biomethan nach Kriterien für die Förderung der Kreislaufwirtschaft</w:t>
      </w:r>
    </w:p>
    <w:p w14:paraId="08463994" w14:textId="3B1EA517" w:rsidR="0057163C" w:rsidRPr="00170422" w:rsidRDefault="00F37BF9">
      <w:pPr>
        <w:jc w:val="both"/>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Diese Maßnahme besteht in einer öffentlichen Investition in eine Zuschussregelung,</w:t>
      </w:r>
      <w:r w:rsidRPr="00170422">
        <w:rPr>
          <w:rFonts w:ascii="Times New Roman" w:eastAsia="Times New Roman" w:hAnsi="Times New Roman" w:cs="Times New Roman"/>
          <w:noProof/>
          <w:lang w:val="de-DE"/>
        </w:rPr>
        <w:t xml:space="preserve"> um Anreize für private Investitionen zu schaffen und den Zugang zu Finanzmitteln für die Biomethanerzeugung in Italien zu verbessern. Die Regelung wird in Form von Zuschüssen direkt an den privaten Sektor durchgeführt</w:t>
      </w:r>
      <w:r w:rsidRPr="00170422">
        <w:rPr>
          <w:rStyle w:val="FootnoteReference"/>
          <w:rFonts w:ascii="Times New Roman" w:hAnsi="Times New Roman" w:cs="Times New Roman"/>
          <w:noProof/>
          <w:lang w:val="de-DE"/>
        </w:rPr>
        <w:footnoteReference w:id="50"/>
      </w:r>
      <w:r w:rsidRPr="00170422">
        <w:rPr>
          <w:rFonts w:ascii="Times New Roman" w:hAnsi="Times New Roman" w:cs="Times New Roman"/>
          <w:noProof/>
          <w:lang w:val="de-DE"/>
        </w:rPr>
        <w:t xml:space="preserve">. </w:t>
      </w:r>
    </w:p>
    <w:p w14:paraId="091B8982" w14:textId="77777777" w:rsidR="0057163C" w:rsidRPr="00170422" w:rsidRDefault="00F37BF9">
      <w:pPr>
        <w:pStyle w:val="P68B1DB1-Normal8"/>
        <w:jc w:val="both"/>
        <w:rPr>
          <w:noProof/>
          <w:lang w:val="de-DE"/>
        </w:rPr>
      </w:pPr>
      <w:r w:rsidRPr="00170422">
        <w:rPr>
          <w:noProof/>
          <w:lang w:val="de-DE"/>
        </w:rPr>
        <w:t xml:space="preserve">Die Regelung wird von Gestore dei </w:t>
      </w:r>
      <w:r w:rsidRPr="00170422">
        <w:rPr>
          <w:noProof/>
          <w:lang w:val="de-DE"/>
        </w:rPr>
        <w:t xml:space="preserve">Servizi Energetici (GSE) als Durchführungspartner verwaltet. Die Regelung umfasst folgende Produktlinien: </w:t>
      </w:r>
    </w:p>
    <w:p w14:paraId="3430D15D" w14:textId="77777777" w:rsidR="0057163C" w:rsidRPr="00170422" w:rsidRDefault="00F37BF9">
      <w:pPr>
        <w:pStyle w:val="P68B1DB1-ListParagraph37"/>
        <w:numPr>
          <w:ilvl w:val="0"/>
          <w:numId w:val="79"/>
        </w:numPr>
        <w:spacing w:after="0" w:line="240" w:lineRule="auto"/>
        <w:jc w:val="both"/>
        <w:rPr>
          <w:noProof/>
          <w:lang w:val="de-DE"/>
        </w:rPr>
      </w:pPr>
      <w:r w:rsidRPr="00170422">
        <w:rPr>
          <w:noProof/>
          <w:lang w:val="de-DE"/>
        </w:rPr>
        <w:t>Förderung des Baus neuer Anlagen zur Erzeugung von Biomethan. Das Biomethan muss die in der Richtlinie 2018/2001 (RED II-Richtlinie) festgelegten Kri</w:t>
      </w:r>
      <w:r w:rsidRPr="00170422">
        <w:rPr>
          <w:noProof/>
          <w:lang w:val="de-DE"/>
        </w:rPr>
        <w:t>terien erfüllen, damit die Maßnahme dem Grundsatz „No-Significant-Harm“ und den einschlägigen Anforderungen der Fußnote 8 des Anhangs VI der Verordnung (EU) 2021/241 entsprechen kann.</w:t>
      </w:r>
    </w:p>
    <w:p w14:paraId="6DE8F823" w14:textId="77777777" w:rsidR="0057163C" w:rsidRPr="00170422" w:rsidRDefault="0057163C">
      <w:pPr>
        <w:spacing w:after="0"/>
        <w:jc w:val="both"/>
        <w:rPr>
          <w:rFonts w:ascii="Times New Roman" w:hAnsi="Times New Roman" w:cs="Times New Roman"/>
          <w:noProof/>
          <w:lang w:val="de-DE"/>
        </w:rPr>
      </w:pPr>
    </w:p>
    <w:p w14:paraId="1D845858" w14:textId="77777777" w:rsidR="0057163C" w:rsidRPr="00170422" w:rsidRDefault="00F37BF9">
      <w:pPr>
        <w:pStyle w:val="P68B1DB1-ListParagraph36"/>
        <w:numPr>
          <w:ilvl w:val="0"/>
          <w:numId w:val="79"/>
        </w:numPr>
        <w:spacing w:after="0" w:line="240" w:lineRule="auto"/>
        <w:jc w:val="both"/>
        <w:rPr>
          <w:rFonts w:hint="default"/>
          <w:noProof/>
          <w:lang w:val="de-DE"/>
        </w:rPr>
      </w:pPr>
      <w:r w:rsidRPr="00170422">
        <w:rPr>
          <w:rFonts w:hint="default"/>
          <w:noProof/>
          <w:lang w:val="de-DE"/>
        </w:rPr>
        <w:t xml:space="preserve">Umstellung und Verbesserung der Effizienz bestehender </w:t>
      </w:r>
      <w:r w:rsidRPr="00170422">
        <w:rPr>
          <w:rFonts w:hint="default"/>
          <w:noProof/>
          <w:lang w:val="de-DE"/>
        </w:rPr>
        <w:t>landwirtschaftlicher Biogasanlagen (einschließlich organischer Siedlungsabfälle) hin zur Erzeugung von Biomethan für Verkehr, Industrie und Heizung. Das Biomethan muss die in der Richtlinie 2018/2001 (RED II-Richtlinie) festgelegten Kriterien erfüllen, dam</w:t>
      </w:r>
      <w:r w:rsidRPr="00170422">
        <w:rPr>
          <w:rFonts w:hint="default"/>
          <w:noProof/>
          <w:lang w:val="de-DE"/>
        </w:rPr>
        <w:t>it die Maßnahme dem Grundsatz „No-Significant-Harm“ und den einschlägigen Anforderungen der Fußnote 8 des Anhangs VI der Verordnung (EU) 2021/241 entsprechen kann.</w:t>
      </w:r>
    </w:p>
    <w:p w14:paraId="793DF01F" w14:textId="77777777" w:rsidR="0057163C" w:rsidRPr="00170422" w:rsidRDefault="0057163C">
      <w:pPr>
        <w:pStyle w:val="ListParagraph"/>
        <w:spacing w:after="0"/>
        <w:ind w:hanging="360"/>
        <w:rPr>
          <w:rFonts w:ascii="Times New Roman" w:hAnsi="Times New Roman" w:cs="Times New Roman"/>
          <w:noProof/>
          <w:lang w:val="de-DE"/>
        </w:rPr>
      </w:pPr>
    </w:p>
    <w:p w14:paraId="5831D264" w14:textId="77777777" w:rsidR="0057163C" w:rsidRPr="00170422" w:rsidRDefault="00F37BF9">
      <w:pPr>
        <w:pStyle w:val="P68B1DB1-Normal7"/>
        <w:spacing w:after="0"/>
        <w:rPr>
          <w:noProof/>
          <w:lang w:val="de-DE"/>
        </w:rPr>
      </w:pPr>
      <w:r w:rsidRPr="00170422">
        <w:rPr>
          <w:noProof/>
          <w:lang w:val="de-DE"/>
        </w:rPr>
        <w:t>Zur Durchführung der Investition in die Regelung unterzeichnen Italien und GSE ein Durchfüh</w:t>
      </w:r>
      <w:r w:rsidRPr="00170422">
        <w:rPr>
          <w:noProof/>
          <w:lang w:val="de-DE"/>
        </w:rPr>
        <w:t>rungsabkommen, das Folgendes enthält:</w:t>
      </w:r>
    </w:p>
    <w:p w14:paraId="0A612D5C" w14:textId="77777777" w:rsidR="0057163C" w:rsidRPr="00170422" w:rsidRDefault="00F37BF9">
      <w:pPr>
        <w:pStyle w:val="P68B1DB1-ListParagraph37"/>
        <w:numPr>
          <w:ilvl w:val="0"/>
          <w:numId w:val="78"/>
        </w:numPr>
        <w:spacing w:before="120" w:after="0" w:line="257" w:lineRule="auto"/>
        <w:jc w:val="both"/>
        <w:rPr>
          <w:noProof/>
          <w:lang w:val="de-DE"/>
        </w:rPr>
      </w:pPr>
      <w:r w:rsidRPr="00170422">
        <w:rPr>
          <w:noProof/>
          <w:lang w:val="de-DE"/>
        </w:rPr>
        <w:t>Beschreibung des Entscheidungsprozesses der Regelung: Die endgültige Entscheidung über die Vergabe des Systems wird von einem Investitionsausschuss oder einem anderen gleichwertigen Leitungsgremium getroffen und mit de</w:t>
      </w:r>
      <w:r w:rsidRPr="00170422">
        <w:rPr>
          <w:noProof/>
          <w:lang w:val="de-DE"/>
        </w:rPr>
        <w:t>r Mehrheit der Stimmen der von der Regierung unabhängigen Mitglieder genehmigt.</w:t>
      </w:r>
    </w:p>
    <w:p w14:paraId="4D15CC88" w14:textId="77777777" w:rsidR="0057163C" w:rsidRPr="00170422" w:rsidRDefault="00F37BF9">
      <w:pPr>
        <w:pStyle w:val="P68B1DB1-ListParagraph37"/>
        <w:numPr>
          <w:ilvl w:val="0"/>
          <w:numId w:val="78"/>
        </w:numPr>
        <w:spacing w:before="120" w:after="0" w:line="257" w:lineRule="auto"/>
        <w:jc w:val="both"/>
        <w:rPr>
          <w:noProof/>
          <w:lang w:val="de-DE"/>
        </w:rPr>
      </w:pPr>
      <w:r w:rsidRPr="00170422">
        <w:rPr>
          <w:noProof/>
          <w:lang w:val="de-DE"/>
        </w:rPr>
        <w:t>Kernanforderungen der damit verbundenen Finanzhilfepolitik,</w:t>
      </w:r>
      <w:r w:rsidRPr="00170422">
        <w:rPr>
          <w:b/>
          <w:noProof/>
          <w:lang w:val="de-DE"/>
        </w:rPr>
        <w:t xml:space="preserve"> </w:t>
      </w:r>
      <w:r w:rsidRPr="00170422">
        <w:rPr>
          <w:noProof/>
          <w:lang w:val="de-DE"/>
        </w:rPr>
        <w:t>die Folgendes umfassen:</w:t>
      </w:r>
    </w:p>
    <w:p w14:paraId="58545A64" w14:textId="77777777" w:rsidR="0057163C" w:rsidRPr="00170422" w:rsidRDefault="00F37BF9">
      <w:pPr>
        <w:pStyle w:val="P68B1DB1-ListParagraph37"/>
        <w:numPr>
          <w:ilvl w:val="1"/>
          <w:numId w:val="78"/>
        </w:numPr>
        <w:spacing w:after="0" w:line="257" w:lineRule="auto"/>
        <w:ind w:left="953" w:hanging="477"/>
        <w:jc w:val="both"/>
        <w:rPr>
          <w:noProof/>
          <w:lang w:val="de-DE"/>
        </w:rPr>
      </w:pPr>
      <w:r w:rsidRPr="00170422">
        <w:rPr>
          <w:noProof/>
          <w:lang w:val="de-DE"/>
        </w:rPr>
        <w:t>Die Beschreibung der gewährten Finanzhilfen und der förderfähigen Endbegünstigten.</w:t>
      </w:r>
    </w:p>
    <w:p w14:paraId="371C9821" w14:textId="77777777" w:rsidR="0057163C" w:rsidRPr="00170422" w:rsidRDefault="00F37BF9">
      <w:pPr>
        <w:pStyle w:val="P68B1DB1-ListParagraph37"/>
        <w:numPr>
          <w:ilvl w:val="1"/>
          <w:numId w:val="78"/>
        </w:numPr>
        <w:spacing w:after="0" w:line="257" w:lineRule="auto"/>
        <w:ind w:left="953" w:hanging="477"/>
        <w:jc w:val="both"/>
        <w:rPr>
          <w:noProof/>
          <w:lang w:val="de-DE"/>
        </w:rPr>
      </w:pPr>
      <w:r w:rsidRPr="00170422">
        <w:rPr>
          <w:noProof/>
          <w:lang w:val="de-DE"/>
        </w:rPr>
        <w:t>Die Anfor</w:t>
      </w:r>
      <w:r w:rsidRPr="00170422">
        <w:rPr>
          <w:noProof/>
          <w:lang w:val="de-DE"/>
        </w:rPr>
        <w:t>derung, dass alle geförderten Investitionen wirtschaftlich tragfähig sind.</w:t>
      </w:r>
    </w:p>
    <w:p w14:paraId="5F04EFBF" w14:textId="77777777" w:rsidR="0057163C" w:rsidRPr="00170422" w:rsidRDefault="00F37BF9">
      <w:pPr>
        <w:pStyle w:val="ListParagraph"/>
        <w:numPr>
          <w:ilvl w:val="1"/>
          <w:numId w:val="78"/>
        </w:numPr>
        <w:spacing w:after="0" w:line="257" w:lineRule="auto"/>
        <w:ind w:left="953" w:hanging="477"/>
        <w:jc w:val="both"/>
        <w:rPr>
          <w:rFonts w:ascii="Times New Roman" w:hAnsi="Times New Roman" w:cs="Times New Roman"/>
          <w:noProof/>
          <w:lang w:val="de-DE"/>
        </w:rPr>
      </w:pPr>
      <w:r w:rsidRPr="00170422">
        <w:rPr>
          <w:rFonts w:ascii="Times New Roman" w:hAnsi="Times New Roman" w:cs="Times New Roman"/>
          <w:noProof/>
          <w:lang w:val="de-DE"/>
        </w:rPr>
        <w:t>Die Anforderung, den Grundsatz der „Vermeidung erheblicher Beeinträchtigungen“ (DNSH) gemäß den technischen Leitlinien zur Vermeidung erheblicher Beeinträchtigungen (2021/C58/01) ei</w:t>
      </w:r>
      <w:r w:rsidRPr="00170422">
        <w:rPr>
          <w:rFonts w:ascii="Times New Roman" w:hAnsi="Times New Roman" w:cs="Times New Roman"/>
          <w:noProof/>
          <w:lang w:val="de-DE"/>
        </w:rPr>
        <w:t>nzuhalten. Insbesondere schließt die Finanzhilfepolitik die folgende Liste von Tätigkeiten und Vermögenswerten von der Förderfähigkeit aus: Tätigkeiten und Vermögenswerte im Zusammenhang mit fossilen Brennstoffen, einschließlich nachgelagerter Nutzung,</w:t>
      </w:r>
      <w:r w:rsidRPr="00170422">
        <w:rPr>
          <w:rStyle w:val="FootnoteReference"/>
          <w:rFonts w:ascii="Times New Roman" w:hAnsi="Times New Roman" w:cs="Times New Roman"/>
          <w:noProof/>
          <w:lang w:val="de-DE"/>
        </w:rPr>
        <w:footnoteReference w:id="51"/>
      </w:r>
      <w:r w:rsidRPr="00170422">
        <w:rPr>
          <w:rFonts w:ascii="Times New Roman" w:hAnsi="Times New Roman" w:cs="Times New Roman"/>
          <w:noProof/>
          <w:lang w:val="de-DE"/>
        </w:rPr>
        <w:t>ii)</w:t>
      </w:r>
      <w:r w:rsidRPr="00170422">
        <w:rPr>
          <w:rFonts w:ascii="Times New Roman" w:hAnsi="Times New Roman" w:cs="Times New Roman"/>
          <w:noProof/>
          <w:lang w:val="de-DE"/>
        </w:rPr>
        <w:t xml:space="preserve"> Tätigkeiten und Vermögenswerte im Rahmen des EU-Emissionshandelssystems (EHS), mit denen prognostizierte Treibhausgasemissionen erreicht werden, die nicht unter den einschlägigen Richtwerten liegen,</w:t>
      </w:r>
      <w:r w:rsidRPr="00170422">
        <w:rPr>
          <w:rStyle w:val="FootnoteReference"/>
          <w:rFonts w:ascii="Times New Roman" w:hAnsi="Times New Roman" w:cs="Times New Roman"/>
          <w:noProof/>
          <w:lang w:val="de-DE"/>
        </w:rPr>
        <w:footnoteReference w:id="52"/>
      </w:r>
      <w:r w:rsidRPr="00170422">
        <w:rPr>
          <w:rFonts w:ascii="Times New Roman" w:hAnsi="Times New Roman" w:cs="Times New Roman"/>
          <w:noProof/>
          <w:lang w:val="de-DE"/>
        </w:rPr>
        <w:t xml:space="preserve">iii) Tätigkeiten und Vermögenswerte im Zusammenhang mit </w:t>
      </w:r>
      <w:r w:rsidRPr="00170422">
        <w:rPr>
          <w:rFonts w:ascii="Times New Roman" w:hAnsi="Times New Roman" w:cs="Times New Roman"/>
          <w:noProof/>
          <w:lang w:val="de-DE"/>
        </w:rPr>
        <w:t>Abfalldeponien, Verbrennungsanlagen</w:t>
      </w:r>
      <w:r w:rsidRPr="00170422">
        <w:rPr>
          <w:rStyle w:val="FootnoteReference"/>
          <w:rFonts w:ascii="Times New Roman" w:hAnsi="Times New Roman" w:cs="Times New Roman"/>
          <w:noProof/>
          <w:lang w:val="de-DE"/>
        </w:rPr>
        <w:footnoteReference w:id="53"/>
      </w:r>
      <w:r w:rsidRPr="00170422">
        <w:rPr>
          <w:rFonts w:ascii="Times New Roman" w:hAnsi="Times New Roman" w:cs="Times New Roman"/>
          <w:noProof/>
          <w:lang w:val="de-DE"/>
        </w:rPr>
        <w:t xml:space="preserve"> und mechanisch-biologischen Behandlungsanlagen</w:t>
      </w:r>
      <w:r w:rsidRPr="00170422">
        <w:rPr>
          <w:rStyle w:val="FootnoteReference"/>
          <w:rFonts w:ascii="Times New Roman" w:hAnsi="Times New Roman" w:cs="Times New Roman"/>
          <w:noProof/>
          <w:lang w:val="de-DE"/>
        </w:rPr>
        <w:footnoteReference w:id="54"/>
      </w:r>
      <w:r w:rsidRPr="00170422">
        <w:rPr>
          <w:rFonts w:ascii="Times New Roman" w:hAnsi="Times New Roman" w:cs="Times New Roman"/>
          <w:noProof/>
          <w:lang w:val="de-DE"/>
        </w:rPr>
        <w:t xml:space="preserve">. </w:t>
      </w:r>
    </w:p>
    <w:p w14:paraId="5B6E5058" w14:textId="77777777" w:rsidR="0057163C" w:rsidRPr="00170422" w:rsidRDefault="00F37BF9">
      <w:pPr>
        <w:pStyle w:val="P68B1DB1-ListParagraph37"/>
        <w:numPr>
          <w:ilvl w:val="1"/>
          <w:numId w:val="78"/>
        </w:numPr>
        <w:spacing w:after="0" w:line="257" w:lineRule="auto"/>
        <w:ind w:left="953" w:hanging="477"/>
        <w:jc w:val="both"/>
        <w:rPr>
          <w:noProof/>
          <w:lang w:val="de-DE"/>
        </w:rPr>
      </w:pPr>
      <w:r w:rsidRPr="00170422">
        <w:rPr>
          <w:noProof/>
          <w:lang w:val="de-DE"/>
        </w:rPr>
        <w:t>Die Anforderung, dass die Endbegünstigten der Regelung keine Unterstützung aus anderen Instrumenten der Union erhalten dürfen, um dieselben Kosten zu decken.</w:t>
      </w:r>
    </w:p>
    <w:p w14:paraId="320D37A1" w14:textId="77777777" w:rsidR="0057163C" w:rsidRPr="00170422" w:rsidRDefault="00F37BF9">
      <w:pPr>
        <w:pStyle w:val="P68B1DB1-ListParagraph37"/>
        <w:numPr>
          <w:ilvl w:val="0"/>
          <w:numId w:val="78"/>
        </w:numPr>
        <w:spacing w:after="0" w:line="257" w:lineRule="auto"/>
        <w:ind w:left="476" w:hanging="476"/>
        <w:jc w:val="both"/>
        <w:rPr>
          <w:noProof/>
          <w:lang w:val="de-DE"/>
        </w:rPr>
      </w:pPr>
      <w:r w:rsidRPr="00170422">
        <w:rPr>
          <w:noProof/>
          <w:lang w:val="de-DE"/>
        </w:rPr>
        <w:t xml:space="preserve">Den unter </w:t>
      </w:r>
      <w:r w:rsidRPr="00170422">
        <w:rPr>
          <w:noProof/>
          <w:lang w:val="de-DE"/>
        </w:rPr>
        <w:t>das Durchführungsabkommen fallenden Betrag, die Gebührenstruktur für den Durchführungspartner und die Anforderung, etwaige ungenutzte Einnahmen aus dem System, auch nach 2026, für dieselben politischen Zwecke zu verwenden.</w:t>
      </w:r>
    </w:p>
    <w:p w14:paraId="401BF866" w14:textId="77777777" w:rsidR="0057163C" w:rsidRPr="00170422" w:rsidRDefault="00F37BF9">
      <w:pPr>
        <w:pStyle w:val="P68B1DB1-ListParagraph37"/>
        <w:numPr>
          <w:ilvl w:val="0"/>
          <w:numId w:val="78"/>
        </w:numPr>
        <w:spacing w:after="0" w:line="257" w:lineRule="auto"/>
        <w:ind w:left="476" w:hanging="476"/>
        <w:jc w:val="both"/>
        <w:rPr>
          <w:noProof/>
          <w:lang w:val="de-DE"/>
        </w:rPr>
      </w:pPr>
      <w:r w:rsidRPr="00170422">
        <w:rPr>
          <w:noProof/>
          <w:lang w:val="de-DE"/>
        </w:rPr>
        <w:t>Überwachungs-, Prüf- und Kontroll</w:t>
      </w:r>
      <w:r w:rsidRPr="00170422">
        <w:rPr>
          <w:noProof/>
          <w:lang w:val="de-DE"/>
        </w:rPr>
        <w:t>anforderungen, einschließlich:</w:t>
      </w:r>
    </w:p>
    <w:p w14:paraId="0C1543E3" w14:textId="77777777" w:rsidR="0057163C" w:rsidRPr="00170422" w:rsidRDefault="00F37BF9">
      <w:pPr>
        <w:pStyle w:val="P68B1DB1-ListParagraph36"/>
        <w:numPr>
          <w:ilvl w:val="0"/>
          <w:numId w:val="77"/>
        </w:numPr>
        <w:spacing w:after="0" w:line="240" w:lineRule="auto"/>
        <w:ind w:left="1440"/>
        <w:jc w:val="both"/>
        <w:rPr>
          <w:rFonts w:hint="default"/>
          <w:noProof/>
          <w:lang w:val="de-DE"/>
        </w:rPr>
      </w:pPr>
      <w:r w:rsidRPr="00170422">
        <w:rPr>
          <w:rFonts w:hint="default"/>
          <w:noProof/>
          <w:lang w:val="de-DE"/>
        </w:rPr>
        <w:t>Die Beschreibung des Überwachungssystems des Durchführungspartners zur Berichterstattung über die mobilisierten Subventionen.</w:t>
      </w:r>
    </w:p>
    <w:p w14:paraId="26DA2559" w14:textId="77777777" w:rsidR="0057163C" w:rsidRPr="00170422" w:rsidRDefault="00F37BF9">
      <w:pPr>
        <w:pStyle w:val="P68B1DB1-ListParagraph36"/>
        <w:numPr>
          <w:ilvl w:val="0"/>
          <w:numId w:val="77"/>
        </w:numPr>
        <w:spacing w:after="0" w:line="257" w:lineRule="auto"/>
        <w:ind w:left="1440"/>
        <w:jc w:val="both"/>
        <w:rPr>
          <w:rFonts w:hint="default"/>
          <w:noProof/>
          <w:lang w:val="de-DE"/>
        </w:rPr>
      </w:pPr>
      <w:r w:rsidRPr="00170422">
        <w:rPr>
          <w:rFonts w:hint="default"/>
          <w:noProof/>
          <w:lang w:val="de-DE"/>
        </w:rPr>
        <w:t xml:space="preserve">Die Beschreibung der Verfahren des Durchführungspartners, die die Prävention, Aufdeckung und Behebung von Betrug, Korruption und Interessenkonflikten gewährleisten. </w:t>
      </w:r>
    </w:p>
    <w:p w14:paraId="19D77E8F" w14:textId="77777777" w:rsidR="0057163C" w:rsidRPr="00170422" w:rsidRDefault="00F37BF9">
      <w:pPr>
        <w:pStyle w:val="P68B1DB1-ListParagraph37"/>
        <w:numPr>
          <w:ilvl w:val="0"/>
          <w:numId w:val="77"/>
        </w:numPr>
        <w:spacing w:after="0" w:line="257" w:lineRule="auto"/>
        <w:ind w:left="1440"/>
        <w:jc w:val="both"/>
        <w:rPr>
          <w:noProof/>
          <w:lang w:val="de-DE"/>
        </w:rPr>
      </w:pPr>
      <w:r w:rsidRPr="00170422">
        <w:rPr>
          <w:noProof/>
          <w:lang w:val="de-DE"/>
        </w:rPr>
        <w:t>Die Verpflichtung, die Förderfähigkeit jedes Vorhabens im Einklang mit den Anforderungen d</w:t>
      </w:r>
      <w:r w:rsidRPr="00170422">
        <w:rPr>
          <w:noProof/>
          <w:lang w:val="de-DE"/>
        </w:rPr>
        <w:t>es Durchführungsabkommens zu überprüfen, bevor ein Zuschuss für ein Vorhaben gewährt wird.</w:t>
      </w:r>
    </w:p>
    <w:p w14:paraId="5692CAAD" w14:textId="77777777" w:rsidR="0057163C" w:rsidRPr="00170422" w:rsidRDefault="00F37BF9">
      <w:pPr>
        <w:pStyle w:val="P68B1DB1-ListParagraph37"/>
        <w:numPr>
          <w:ilvl w:val="0"/>
          <w:numId w:val="77"/>
        </w:numPr>
        <w:spacing w:after="0" w:line="240" w:lineRule="auto"/>
        <w:ind w:left="1440"/>
        <w:jc w:val="both"/>
        <w:rPr>
          <w:noProof/>
          <w:lang w:val="de-DE"/>
        </w:rPr>
      </w:pPr>
      <w:r w:rsidRPr="00170422">
        <w:rPr>
          <w:noProof/>
          <w:lang w:val="de-DE"/>
        </w:rPr>
        <w:t xml:space="preserve">Die Verpflichtung zur Durchführung risikobasierter Ex-post-Prüfungen gemäß einem Prüfplan der GSE. Bei diesen Prüfungen wird Folgendes überprüft: i) die Wirksamkeit </w:t>
      </w:r>
      <w:r w:rsidRPr="00170422">
        <w:rPr>
          <w:noProof/>
          <w:lang w:val="de-DE"/>
        </w:rPr>
        <w:t>der Kontrollsysteme, einschließlich der Aufdeckung von Betrug, Korruption und Interessenkonflikten; II) Einhaltung des DNSH-Grundsatzes, der Vorschriften über staatliche Beihilfen und der Klimazielvorgaben; und iii) die Anforderung, dass die Endbegünstigte</w:t>
      </w:r>
      <w:r w:rsidRPr="00170422">
        <w:rPr>
          <w:noProof/>
          <w:lang w:val="de-DE"/>
        </w:rPr>
        <w:t>n der Regelung keine Unterstützung aus anderen Instrumenten der Union erhalten haben, um dieselben Kosten zu decken, eingehalten wird. Bei den Prüfungen wird auch die Rechtmäßigkeit der Vorgänge und die Einhaltung der Bedingungen der geltenden Finanzhilfev</w:t>
      </w:r>
      <w:r w:rsidRPr="00170422">
        <w:rPr>
          <w:noProof/>
          <w:lang w:val="de-DE"/>
        </w:rPr>
        <w:t xml:space="preserve">ereinbarungen des Durchführungsabkommens überprüft. </w:t>
      </w:r>
    </w:p>
    <w:p w14:paraId="6075CB16" w14:textId="77777777" w:rsidR="0057163C" w:rsidRPr="00170422" w:rsidRDefault="00F37BF9">
      <w:pPr>
        <w:pStyle w:val="P68B1DB1-Normal5"/>
        <w:spacing w:before="120" w:after="120"/>
        <w:jc w:val="both"/>
        <w:rPr>
          <w:bCs/>
          <w:noProof/>
          <w:lang w:val="de-DE"/>
        </w:rPr>
      </w:pPr>
      <w:r w:rsidRPr="00170422">
        <w:rPr>
          <w:noProof/>
          <w:lang w:val="de-DE"/>
        </w:rPr>
        <w:t>Investition 2.1 – Stärkung intelligenter Netze</w:t>
      </w:r>
    </w:p>
    <w:p w14:paraId="21FD05BA" w14:textId="77777777" w:rsidR="0057163C" w:rsidRPr="00170422" w:rsidRDefault="00F37BF9">
      <w:pPr>
        <w:pStyle w:val="P68B1DB1-Normal7"/>
        <w:spacing w:before="120" w:after="120"/>
        <w:jc w:val="both"/>
        <w:rPr>
          <w:noProof/>
          <w:lang w:val="de-DE"/>
        </w:rPr>
      </w:pPr>
      <w:r w:rsidRPr="00170422">
        <w:rPr>
          <w:noProof/>
          <w:lang w:val="de-DE"/>
        </w:rPr>
        <w:t>Ziel dieser Investition ist die Modernisierung der Infrastruktur und die Digitalisierung des Stromverteilungsnetzes. Die Investition besteht in der Gewährun</w:t>
      </w:r>
      <w:r w:rsidRPr="00170422">
        <w:rPr>
          <w:noProof/>
          <w:lang w:val="de-DE"/>
        </w:rPr>
        <w:t>g von Zuschüssen an Verteilernetzbetreiber zur Finanzierung von Interventionen, die die Aufnahmekapazität des Verteilernetzes sowie die den Haushalten zur Verfügung stehenden Kapazitäten zur Elektrifizierung ihres Energieverbrauchs erhöhen.</w:t>
      </w:r>
    </w:p>
    <w:p w14:paraId="02D17848" w14:textId="77777777" w:rsidR="0057163C" w:rsidRPr="00170422" w:rsidRDefault="00F37BF9">
      <w:pPr>
        <w:pStyle w:val="P68B1DB1-Normal5"/>
        <w:spacing w:before="120" w:after="120"/>
        <w:jc w:val="both"/>
        <w:rPr>
          <w:bCs/>
          <w:noProof/>
          <w:lang w:val="de-DE"/>
        </w:rPr>
      </w:pPr>
      <w:r w:rsidRPr="00170422">
        <w:rPr>
          <w:noProof/>
          <w:lang w:val="de-DE"/>
        </w:rPr>
        <w:t>Investition 2.2</w:t>
      </w:r>
      <w:r w:rsidRPr="00170422">
        <w:rPr>
          <w:noProof/>
          <w:lang w:val="de-DE"/>
        </w:rPr>
        <w:t xml:space="preserve"> – Maßnahmen zur Erhöhung der Widerstandsfähigkeit des Stromnetzes</w:t>
      </w:r>
    </w:p>
    <w:p w14:paraId="39000F1D" w14:textId="49C3F4A6" w:rsidR="0057163C" w:rsidRPr="00170422" w:rsidRDefault="00F37BF9">
      <w:pPr>
        <w:pStyle w:val="P68B1DB1-Normal7"/>
        <w:spacing w:before="120" w:after="120"/>
        <w:jc w:val="both"/>
        <w:rPr>
          <w:noProof/>
          <w:lang w:val="de-DE"/>
        </w:rPr>
      </w:pPr>
      <w:r w:rsidRPr="00170422">
        <w:rPr>
          <w:noProof/>
          <w:lang w:val="de-DE"/>
        </w:rPr>
        <w:t>Ziel dieser Investition ist es, die Widerstandsfähigkeit des Stromnetzes gegenüber extremen Wetterereignissen zu verbessern und so die Wahrscheinlichkeit längerer Unterbrechungen der Stromv</w:t>
      </w:r>
      <w:r w:rsidRPr="00170422">
        <w:rPr>
          <w:noProof/>
          <w:lang w:val="de-DE"/>
        </w:rPr>
        <w:t>ersorgung zu verringern. Die Investition besteht in der Gewährung von Zuschüssen an Übertragungs- und Verteilernetzbetreiber für Arbeiten an der Strominfrastruktur.</w:t>
      </w:r>
    </w:p>
    <w:p w14:paraId="5250A4C7" w14:textId="77777777" w:rsidR="0057163C" w:rsidRPr="00170422" w:rsidRDefault="00F37BF9">
      <w:pPr>
        <w:pStyle w:val="P68B1DB1-Normal5"/>
        <w:rPr>
          <w:noProof/>
          <w:lang w:val="de-DE"/>
        </w:rPr>
      </w:pPr>
      <w:r w:rsidRPr="00170422">
        <w:rPr>
          <w:noProof/>
          <w:lang w:val="de-DE"/>
        </w:rPr>
        <w:t>Investition 3.1 – Wasserstoffproduktion in Industriebrachen (Hydrogen Valleys)</w:t>
      </w:r>
    </w:p>
    <w:p w14:paraId="7ACE3D95" w14:textId="77777777" w:rsidR="0057163C" w:rsidRPr="00170422" w:rsidRDefault="00F37BF9">
      <w:pPr>
        <w:pStyle w:val="P68B1DB1-Normal7"/>
        <w:spacing w:before="120" w:after="120"/>
        <w:jc w:val="both"/>
        <w:rPr>
          <w:noProof/>
          <w:lang w:val="de-DE"/>
        </w:rPr>
      </w:pPr>
      <w:r w:rsidRPr="00170422">
        <w:rPr>
          <w:noProof/>
          <w:lang w:val="de-DE"/>
        </w:rPr>
        <w:t xml:space="preserve">Ziel dieser </w:t>
      </w:r>
      <w:r w:rsidRPr="00170422">
        <w:rPr>
          <w:noProof/>
          <w:lang w:val="de-DE"/>
        </w:rPr>
        <w:t>Investition ist die Schaffung neuer Wasserstofftäler, d. h. die lokale Erzeugung und Nutzung von erneuerbarem Wasserstoff in der Industrie, in KMU und im Nahverkehr. Die Investition besteht in der Gewährung von Zuschüssen für die Durchführung von Projekten</w:t>
      </w:r>
      <w:r w:rsidRPr="00170422">
        <w:rPr>
          <w:noProof/>
          <w:lang w:val="de-DE"/>
        </w:rPr>
        <w:t xml:space="preserve"> zur Erzeugung von Wasserstoff in aufgegebenen Industriegebieten. </w:t>
      </w:r>
    </w:p>
    <w:p w14:paraId="551D6E6B" w14:textId="77777777" w:rsidR="0057163C" w:rsidRPr="00170422" w:rsidRDefault="00F37BF9">
      <w:pPr>
        <w:pStyle w:val="P68B1DB1-Normal5"/>
        <w:spacing w:before="120" w:after="120"/>
        <w:jc w:val="both"/>
        <w:rPr>
          <w:bCs/>
          <w:noProof/>
          <w:lang w:val="de-DE"/>
        </w:rPr>
      </w:pPr>
      <w:r w:rsidRPr="00170422">
        <w:rPr>
          <w:noProof/>
          <w:lang w:val="de-DE"/>
        </w:rPr>
        <w:t>Investition 3.2 – Wasserstoffnutzung in schwer zu dekarbonisierenden Industrien</w:t>
      </w:r>
    </w:p>
    <w:p w14:paraId="6521F149" w14:textId="77777777" w:rsidR="0057163C" w:rsidRPr="00170422" w:rsidRDefault="00F37BF9">
      <w:pPr>
        <w:pStyle w:val="P68B1DB1-Normal7"/>
        <w:spacing w:before="120" w:after="120"/>
        <w:jc w:val="both"/>
        <w:rPr>
          <w:b/>
          <w:bCs/>
          <w:noProof/>
          <w:lang w:val="de-DE"/>
        </w:rPr>
      </w:pPr>
      <w:r w:rsidRPr="00170422">
        <w:rPr>
          <w:noProof/>
          <w:lang w:val="de-DE"/>
        </w:rPr>
        <w:t xml:space="preserve">Diese Investition besteht in der Förderung von Forschung, Entwicklung und Innovation im Bereich industrielle </w:t>
      </w:r>
      <w:r w:rsidRPr="00170422">
        <w:rPr>
          <w:noProof/>
          <w:lang w:val="de-DE"/>
        </w:rPr>
        <w:t>Prozesse zur Entwicklung von Initiativen zur Nutzung von Wasserstoff in Industriezweigen, die Methan als Energiequelle für thermische Energie nutzen (Zement, Papierfabriken, Keramik, Glasindustrie usw.). Der Sektor für fossile Brennstoffe wie Ölraffinerien</w:t>
      </w:r>
      <w:r w:rsidRPr="00170422">
        <w:rPr>
          <w:noProof/>
          <w:lang w:val="de-DE"/>
        </w:rPr>
        <w:t xml:space="preserve"> ist nicht förderfähig. Mit dieser Maßnahme soll die Wasserstofferzeugung auf der Grundlage von Elektrolyse mit erneuerbaren Energiequellen im Sinne der Richtlinie (EU) 2018/2001 (Erneuerbare-Energien-Richtlinie) oder Netzstrom gefördert werden.“</w:t>
      </w:r>
      <w:r w:rsidRPr="00170422">
        <w:rPr>
          <w:b/>
          <w:noProof/>
          <w:lang w:val="de-DE"/>
        </w:rPr>
        <w:t xml:space="preserve"> </w:t>
      </w:r>
    </w:p>
    <w:p w14:paraId="6232655E" w14:textId="77777777" w:rsidR="0057163C" w:rsidRPr="00170422" w:rsidRDefault="00F37BF9">
      <w:pPr>
        <w:pStyle w:val="P68B1DB1-Normal7"/>
        <w:spacing w:before="120" w:after="120"/>
        <w:jc w:val="both"/>
        <w:rPr>
          <w:noProof/>
          <w:lang w:val="de-DE"/>
        </w:rPr>
      </w:pPr>
      <w:r w:rsidRPr="00170422">
        <w:rPr>
          <w:noProof/>
          <w:lang w:val="de-DE"/>
        </w:rPr>
        <w:t>Um siche</w:t>
      </w:r>
      <w:r w:rsidRPr="00170422">
        <w:rPr>
          <w:noProof/>
          <w:lang w:val="de-DE"/>
        </w:rPr>
        <w:t>rzustellen, dass die Maßnahme mit dem Grundsatz der „Vermeidung erheblicher Beeinträchtigungen“ im Rahmen der Aufbau- und Resilienzfazilität gemäß den technischen Leitlinien für die Vermeidung erheblicher Beeinträchtigungen (2021/C58/01) im Einklang steht,</w:t>
      </w:r>
      <w:r w:rsidRPr="00170422">
        <w:rPr>
          <w:noProof/>
          <w:lang w:val="de-DE"/>
        </w:rPr>
        <w:t xml:space="preserve"> schließen die Förderfähigkeitskriterien in künftigen Aufforderungen Tätigkeiten im Rahmen des EU-Emissionshandelssystems (EHS) aus, mit denen prognostizierte Treibhausgasemissionen erreicht werden, die nicht unter den einschlägigen Richtwerten liegen. Wer</w:t>
      </w:r>
      <w:r w:rsidRPr="00170422">
        <w:rPr>
          <w:noProof/>
          <w:lang w:val="de-DE"/>
        </w:rPr>
        <w:t xml:space="preserve">den mit der Tätigkeit prognostizierte Treibhausgasemissionen erreicht, die nicht wesentlich niedriger, aber immer noch unter den einschlägigen Referenzwerten liegen, so ist eine Begründung dafür vorzulegen, warum dies nicht möglich ist. Die Richtwerte für </w:t>
      </w:r>
      <w:r w:rsidRPr="00170422">
        <w:rPr>
          <w:noProof/>
          <w:lang w:val="de-DE"/>
        </w:rPr>
        <w:t>die kostenlose Zuteilung von Zertifikaten für Tätigkeiten, die unter das Emissionshandelssystem fallen, sind in der Durchführungsverordnung (EU) 2021/447 der Kommission festgelegt.</w:t>
      </w:r>
    </w:p>
    <w:p w14:paraId="4267BDE9" w14:textId="77777777" w:rsidR="0057163C" w:rsidRPr="00170422" w:rsidRDefault="00F37BF9">
      <w:pPr>
        <w:pStyle w:val="P68B1DB1-Normal5"/>
        <w:spacing w:before="120" w:after="120"/>
        <w:jc w:val="both"/>
        <w:rPr>
          <w:bCs/>
          <w:noProof/>
          <w:lang w:val="de-DE"/>
        </w:rPr>
      </w:pPr>
      <w:r w:rsidRPr="00170422">
        <w:rPr>
          <w:noProof/>
          <w:lang w:val="de-DE"/>
        </w:rPr>
        <w:t>Investition 3.4 – Wasserstoffprüfung für die Mobilität im Schienenverkehr u</w:t>
      </w:r>
      <w:r w:rsidRPr="00170422">
        <w:rPr>
          <w:noProof/>
          <w:lang w:val="de-DE"/>
        </w:rPr>
        <w:t>nd den Straßenverkehr</w:t>
      </w:r>
    </w:p>
    <w:p w14:paraId="20ED69AA" w14:textId="77777777" w:rsidR="0057163C" w:rsidRPr="00170422" w:rsidRDefault="00F37BF9">
      <w:pPr>
        <w:pStyle w:val="P68B1DB1-Normal66"/>
        <w:spacing w:before="120" w:after="120"/>
        <w:jc w:val="both"/>
        <w:rPr>
          <w:noProof/>
          <w:lang w:val="de-DE"/>
        </w:rPr>
      </w:pPr>
      <w:r w:rsidRPr="00170422">
        <w:rPr>
          <w:noProof/>
          <w:lang w:val="de-DE"/>
        </w:rPr>
        <w:t xml:space="preserve">Ziel dieser Investition ist es, zur Nutzung von Wasserstoff für Betankungszwecke beizutragen. </w:t>
      </w:r>
    </w:p>
    <w:p w14:paraId="4EFB6650" w14:textId="34AC143E" w:rsidR="0057163C" w:rsidRPr="00170422" w:rsidRDefault="00F37BF9">
      <w:pPr>
        <w:pStyle w:val="P68B1DB1-Normal7"/>
        <w:spacing w:before="120" w:after="120"/>
        <w:jc w:val="both"/>
        <w:rPr>
          <w:noProof/>
          <w:lang w:val="de-DE"/>
        </w:rPr>
      </w:pPr>
      <w:r w:rsidRPr="00170422">
        <w:rPr>
          <w:noProof/>
          <w:lang w:val="de-DE"/>
        </w:rPr>
        <w:t>Diese Investition besteht in der Errichtung von wasserstoffbasierten Tankstellen für den Schienenverkehr, die sich vorzugsweise in der Nähe</w:t>
      </w:r>
      <w:r w:rsidRPr="00170422">
        <w:rPr>
          <w:noProof/>
          <w:lang w:val="de-DE"/>
        </w:rPr>
        <w:t xml:space="preserve"> lokaler Anlagen zur Erzeugung von erneuerbarem Wasserstoff und/oder Wasserstofftankstellen auf Autobahnen befinden, sowie in wasserstoffbasierten Tankstellen für den Straßenverkehr.</w:t>
      </w:r>
    </w:p>
    <w:p w14:paraId="1D90F6D0" w14:textId="77777777" w:rsidR="0057163C" w:rsidRPr="00170422" w:rsidRDefault="00F37BF9">
      <w:pPr>
        <w:pStyle w:val="P68B1DB1-Normal5"/>
        <w:spacing w:before="120" w:after="120" w:line="278" w:lineRule="auto"/>
        <w:jc w:val="both"/>
        <w:rPr>
          <w:bCs/>
          <w:noProof/>
          <w:lang w:val="de-DE"/>
        </w:rPr>
      </w:pPr>
      <w:r w:rsidRPr="00170422">
        <w:rPr>
          <w:noProof/>
          <w:lang w:val="de-DE"/>
        </w:rPr>
        <w:t>Investition 3.5 – Wasserstoffforschung und -entwicklung</w:t>
      </w:r>
    </w:p>
    <w:p w14:paraId="5D5944AE" w14:textId="77777777" w:rsidR="0057163C" w:rsidRPr="00170422" w:rsidRDefault="00F37BF9">
      <w:pPr>
        <w:pStyle w:val="P68B1DB1-Normal7"/>
        <w:spacing w:before="120" w:after="120" w:line="278" w:lineRule="auto"/>
        <w:jc w:val="both"/>
        <w:rPr>
          <w:noProof/>
          <w:lang w:val="de-DE"/>
        </w:rPr>
      </w:pPr>
      <w:r w:rsidRPr="00170422">
        <w:rPr>
          <w:noProof/>
          <w:lang w:val="de-DE"/>
        </w:rPr>
        <w:t>Ziel dieser Inves</w:t>
      </w:r>
      <w:r w:rsidRPr="00170422">
        <w:rPr>
          <w:noProof/>
          <w:lang w:val="de-DE"/>
        </w:rPr>
        <w:t>tition ist es, Forschung und Entwicklung entlang der Wasserstoff-Wertschöpfungskette zu unterstützen. Die Investition besteht in der Unterstützung von Forschungs- und Entwicklungsprojekten im Bereich Wasserstoff, die die Erzeugung von grünem Wasserstoff, d</w:t>
      </w:r>
      <w:r w:rsidRPr="00170422">
        <w:rPr>
          <w:noProof/>
          <w:lang w:val="de-DE"/>
        </w:rPr>
        <w:t xml:space="preserve">ie Wasserstoffspeicherung, den Transport und die Umwandlung in Derivate und E-Fuels, Brennstoffzellen und integrierte intelligente Managementsysteme für wasserstoffbasierte Infrastruktur betreffen. </w:t>
      </w:r>
    </w:p>
    <w:p w14:paraId="44ACAD1D" w14:textId="77777777" w:rsidR="0057163C" w:rsidRPr="00170422" w:rsidRDefault="00F37BF9">
      <w:pPr>
        <w:pStyle w:val="P68B1DB1-Normal5"/>
        <w:spacing w:before="120" w:after="120" w:line="278" w:lineRule="auto"/>
        <w:jc w:val="both"/>
        <w:rPr>
          <w:bCs/>
          <w:noProof/>
          <w:lang w:val="de-DE"/>
        </w:rPr>
      </w:pPr>
      <w:r w:rsidRPr="00170422">
        <w:rPr>
          <w:noProof/>
          <w:lang w:val="de-DE"/>
        </w:rPr>
        <w:t xml:space="preserve">Investition 4.2 – Entwicklung schneller </w:t>
      </w:r>
      <w:r w:rsidRPr="00170422">
        <w:rPr>
          <w:noProof/>
          <w:lang w:val="de-DE"/>
        </w:rPr>
        <w:t>Massentransportsysteme</w:t>
      </w:r>
    </w:p>
    <w:p w14:paraId="2F7A0C93" w14:textId="77777777" w:rsidR="0057163C" w:rsidRPr="00170422" w:rsidRDefault="00F37BF9">
      <w:pPr>
        <w:pStyle w:val="P68B1DB1-Normal7"/>
        <w:spacing w:after="120"/>
        <w:ind w:right="4"/>
        <w:jc w:val="both"/>
        <w:rPr>
          <w:noProof/>
          <w:lang w:val="de-DE"/>
        </w:rPr>
      </w:pPr>
      <w:r w:rsidRPr="00170422">
        <w:rPr>
          <w:noProof/>
          <w:lang w:val="de-DE"/>
        </w:rPr>
        <w:t xml:space="preserve">Ziel der Maßnahme ist es, den schnellen Massenverkehr zu erhöhen und eine Verlagerung vom Autoverkehr auf den öffentlichen Verkehr zu fördern. Diese Investition umfasst den Bau neuer und den Ausbau bestehender Strecken von schnellen </w:t>
      </w:r>
      <w:r w:rsidRPr="00170422">
        <w:rPr>
          <w:noProof/>
          <w:lang w:val="de-DE"/>
        </w:rPr>
        <w:t xml:space="preserve">Massentransportsystemen, die Modernisierung der Infrastruktur für schnelle Massentransportsysteme und den Erwerb emissionsfreier Fahrzeuge für schnelle Massentransportsysteme. </w:t>
      </w:r>
    </w:p>
    <w:p w14:paraId="78413179" w14:textId="77777777" w:rsidR="0057163C" w:rsidRPr="00170422" w:rsidRDefault="00F37BF9">
      <w:pPr>
        <w:pStyle w:val="P68B1DB1-Normal5"/>
        <w:spacing w:after="120"/>
        <w:jc w:val="both"/>
        <w:rPr>
          <w:bCs/>
          <w:noProof/>
          <w:lang w:val="de-DE"/>
        </w:rPr>
      </w:pPr>
      <w:bookmarkStart w:id="13" w:name="_Hlk151064119"/>
      <w:r w:rsidRPr="00170422">
        <w:rPr>
          <w:noProof/>
          <w:lang w:val="de-DE"/>
        </w:rPr>
        <w:t>Investition 4.4.1 – Stärkung der emissionsfreien Busflotte des regionalen öffen</w:t>
      </w:r>
      <w:r w:rsidRPr="00170422">
        <w:rPr>
          <w:noProof/>
          <w:lang w:val="de-DE"/>
        </w:rPr>
        <w:t>tlichen Verkehrs</w:t>
      </w:r>
    </w:p>
    <w:p w14:paraId="7813F97F" w14:textId="528350C0" w:rsidR="0057163C" w:rsidRPr="00170422" w:rsidRDefault="00F37BF9">
      <w:pPr>
        <w:pStyle w:val="P68B1DB1-Normal7"/>
        <w:spacing w:after="120"/>
        <w:jc w:val="both"/>
        <w:rPr>
          <w:noProof/>
          <w:lang w:val="de-DE"/>
        </w:rPr>
      </w:pPr>
      <w:r w:rsidRPr="00170422">
        <w:rPr>
          <w:noProof/>
          <w:lang w:val="de-DE"/>
        </w:rPr>
        <w:t>Ziel der Investition ist die Verringerung der Treibhausgasemissionen und die Modernisierung der öffentlichen Busflotte. Diese Investition besteht in der Beschaffung emissionsfreier Busse und der Errichtung von Ladestationen.</w:t>
      </w:r>
    </w:p>
    <w:bookmarkEnd w:id="13"/>
    <w:p w14:paraId="315777CC" w14:textId="77777777" w:rsidR="0057163C" w:rsidRPr="00170422" w:rsidRDefault="00F37BF9">
      <w:pPr>
        <w:pStyle w:val="P68B1DB1-Normal5"/>
        <w:spacing w:before="120" w:after="120"/>
        <w:jc w:val="both"/>
        <w:rPr>
          <w:noProof/>
          <w:lang w:val="de-DE"/>
        </w:rPr>
      </w:pPr>
      <w:r w:rsidRPr="00170422">
        <w:rPr>
          <w:noProof/>
          <w:lang w:val="de-DE"/>
        </w:rPr>
        <w:t>Investition 4.</w:t>
      </w:r>
      <w:r w:rsidRPr="00170422">
        <w:rPr>
          <w:noProof/>
          <w:lang w:val="de-DE"/>
        </w:rPr>
        <w:t>4.2 – Stärkung der regionalen Eisenbahnflotte des öffentlichen Verkehrs durch emissionsfreie Züge und Universaldienste</w:t>
      </w:r>
    </w:p>
    <w:p w14:paraId="039B8DED" w14:textId="77777777" w:rsidR="0057163C" w:rsidRPr="00170422" w:rsidRDefault="00F37BF9">
      <w:pPr>
        <w:pStyle w:val="P68B1DB1-Normal7"/>
        <w:spacing w:before="120" w:after="120"/>
        <w:jc w:val="both"/>
        <w:rPr>
          <w:b/>
          <w:noProof/>
          <w:lang w:val="de-DE"/>
        </w:rPr>
      </w:pPr>
      <w:r w:rsidRPr="00170422">
        <w:rPr>
          <w:noProof/>
          <w:lang w:val="de-DE"/>
        </w:rPr>
        <w:t>Ziel der Investition ist die Verringerung der Treibhausgasemissionen des Schienenverkehrs und die Modernisierung der Eisenbahnflotte. Die</w:t>
      </w:r>
      <w:r w:rsidRPr="00170422">
        <w:rPr>
          <w:noProof/>
          <w:lang w:val="de-DE"/>
        </w:rPr>
        <w:t>se Investition besteht in der Registrierung von mindestens 97 emissionsfreien Personenzügen.</w:t>
      </w:r>
    </w:p>
    <w:p w14:paraId="01A07526" w14:textId="77777777" w:rsidR="0057163C" w:rsidRPr="00170422" w:rsidRDefault="00F37BF9">
      <w:pPr>
        <w:pStyle w:val="P68B1DB1-Normal5"/>
        <w:spacing w:before="120" w:after="120"/>
        <w:jc w:val="both"/>
        <w:rPr>
          <w:bCs/>
          <w:noProof/>
          <w:lang w:val="de-DE"/>
        </w:rPr>
      </w:pPr>
      <w:r w:rsidRPr="00170422">
        <w:rPr>
          <w:noProof/>
          <w:lang w:val="de-DE"/>
        </w:rPr>
        <w:t xml:space="preserve">Investition 4.4.3 – Erneuerungsflotte für die Staatsfeuerwehr </w:t>
      </w:r>
    </w:p>
    <w:p w14:paraId="03BAE130" w14:textId="77777777" w:rsidR="0057163C" w:rsidRPr="00170422" w:rsidRDefault="00F37BF9">
      <w:pPr>
        <w:spacing w:after="120"/>
        <w:jc w:val="both"/>
        <w:rPr>
          <w:rFonts w:ascii="Times New Roman" w:hAnsi="Times New Roman" w:cs="Times New Roman"/>
          <w:noProof/>
          <w:lang w:val="de-DE"/>
        </w:rPr>
      </w:pPr>
      <w:r w:rsidRPr="00170422">
        <w:rPr>
          <w:rFonts w:ascii="Times New Roman" w:hAnsi="Times New Roman" w:cs="Times New Roman"/>
          <w:noProof/>
          <w:lang w:val="de-DE"/>
        </w:rPr>
        <w:t>Ziel der Investition ist die Verringerung der Treibhausgasemissionen und die Modernisierung der Feue</w:t>
      </w:r>
      <w:r w:rsidRPr="00170422">
        <w:rPr>
          <w:rFonts w:ascii="Times New Roman" w:hAnsi="Times New Roman" w:cs="Times New Roman"/>
          <w:noProof/>
          <w:lang w:val="de-DE"/>
        </w:rPr>
        <w:t>rwehrflotte. Diese Investition besteht in der Beschaffung von mindestens</w:t>
      </w:r>
      <w:r w:rsidRPr="00170422">
        <w:rPr>
          <w:noProof/>
          <w:color w:val="006100"/>
          <w:sz w:val="20"/>
          <w:szCs w:val="20"/>
          <w:lang w:val="de-DE"/>
        </w:rPr>
        <w:t xml:space="preserve"> </w:t>
      </w:r>
      <w:r w:rsidRPr="00170422">
        <w:rPr>
          <w:rFonts w:ascii="Times New Roman" w:hAnsi="Times New Roman" w:cs="Times New Roman"/>
          <w:noProof/>
          <w:lang w:val="de-DE"/>
        </w:rPr>
        <w:t>3800 Fahrzeugen für die nationale Feuerwehr.</w:t>
      </w:r>
    </w:p>
    <w:p w14:paraId="335DB2A0" w14:textId="77777777" w:rsidR="0057163C" w:rsidRPr="00170422" w:rsidRDefault="00F37BF9">
      <w:pPr>
        <w:pStyle w:val="P68B1DB1-Normal5"/>
        <w:spacing w:after="120"/>
        <w:jc w:val="both"/>
        <w:rPr>
          <w:noProof/>
          <w:lang w:val="de-DE"/>
        </w:rPr>
      </w:pPr>
      <w:r w:rsidRPr="00170422">
        <w:rPr>
          <w:noProof/>
          <w:lang w:val="de-DE"/>
        </w:rPr>
        <w:t>Investition 5.1 – Unterstützung des Produktionssystems für den ökologischen Wandel, Netto-Null-Technologien sowie Wettbewerbsfähigkeit und</w:t>
      </w:r>
      <w:r w:rsidRPr="00170422">
        <w:rPr>
          <w:noProof/>
          <w:lang w:val="de-DE"/>
        </w:rPr>
        <w:t xml:space="preserve"> Resilienz strategischer Lieferketten</w:t>
      </w:r>
    </w:p>
    <w:p w14:paraId="2C9A6E57" w14:textId="44373AEE" w:rsidR="0057163C" w:rsidRPr="00170422" w:rsidRDefault="00F37BF9">
      <w:pPr>
        <w:pStyle w:val="P68B1DB1-Normal7"/>
        <w:spacing w:before="120" w:after="120"/>
        <w:jc w:val="both"/>
        <w:rPr>
          <w:noProof/>
          <w:lang w:val="de-DE"/>
        </w:rPr>
      </w:pPr>
      <w:r w:rsidRPr="00170422">
        <w:rPr>
          <w:noProof/>
          <w:lang w:val="de-DE"/>
        </w:rPr>
        <w:t>Diese Maßnahme umfasst zwei Teilinvestitionen.</w:t>
      </w:r>
    </w:p>
    <w:p w14:paraId="3B87BB5D" w14:textId="77777777" w:rsidR="0057163C" w:rsidRPr="00170422" w:rsidRDefault="00F37BF9">
      <w:pPr>
        <w:pStyle w:val="P68B1DB1-Normal5"/>
        <w:spacing w:before="120" w:after="120"/>
        <w:jc w:val="both"/>
        <w:rPr>
          <w:noProof/>
          <w:lang w:val="de-DE"/>
        </w:rPr>
      </w:pPr>
      <w:r w:rsidRPr="00170422">
        <w:rPr>
          <w:noProof/>
          <w:lang w:val="de-DE"/>
        </w:rPr>
        <w:t>Teilinvestition 1:</w:t>
      </w:r>
    </w:p>
    <w:p w14:paraId="612BA002" w14:textId="77777777" w:rsidR="0057163C" w:rsidRPr="00170422" w:rsidRDefault="00F37BF9">
      <w:pPr>
        <w:pStyle w:val="P68B1DB1-Normal7"/>
        <w:spacing w:after="120"/>
        <w:jc w:val="both"/>
        <w:rPr>
          <w:rFonts w:eastAsia="Calibri"/>
          <w:noProof/>
          <w:lang w:val="de-DE"/>
        </w:rPr>
      </w:pPr>
      <w:r w:rsidRPr="00170422">
        <w:rPr>
          <w:noProof/>
          <w:lang w:val="de-DE"/>
        </w:rPr>
        <w:t>Diese Teilinvestition besteht aus einer öffentlichen Investition in eine Fazilität „Netto-Null-Technologien“, um Anreize für private Investitionen zu sc</w:t>
      </w:r>
      <w:r w:rsidRPr="00170422">
        <w:rPr>
          <w:noProof/>
          <w:lang w:val="de-DE"/>
        </w:rPr>
        <w:t xml:space="preserve">haffen und den Zugang zu Finanzmitteln in den Bereichen Energieeffizienz, Erzeugung von Energie aus erneuerbaren Quellen für den Eigenverbrauch und nachhaltige Umgestaltung des Produktionsprozesses zu verbessern. </w:t>
      </w:r>
    </w:p>
    <w:p w14:paraId="61A65E51" w14:textId="77777777" w:rsidR="0057163C" w:rsidRPr="00170422" w:rsidRDefault="00F37BF9">
      <w:pPr>
        <w:pStyle w:val="P68B1DB1-Normal7"/>
        <w:spacing w:after="120"/>
        <w:jc w:val="both"/>
        <w:rPr>
          <w:noProof/>
          <w:lang w:val="de-DE"/>
        </w:rPr>
      </w:pPr>
      <w:r w:rsidRPr="00170422">
        <w:rPr>
          <w:noProof/>
          <w:lang w:val="de-DE"/>
        </w:rPr>
        <w:t>Mit der Investition wird Folgendes unterst</w:t>
      </w:r>
      <w:r w:rsidRPr="00170422">
        <w:rPr>
          <w:noProof/>
          <w:lang w:val="de-DE"/>
        </w:rPr>
        <w:t>ützt:</w:t>
      </w:r>
    </w:p>
    <w:p w14:paraId="4D37AEC8" w14:textId="15DCA3DD" w:rsidR="0057163C" w:rsidRPr="00170422" w:rsidRDefault="00F37BF9">
      <w:pPr>
        <w:pStyle w:val="P68B1DB1-ListParagraph37"/>
        <w:numPr>
          <w:ilvl w:val="0"/>
          <w:numId w:val="63"/>
        </w:numPr>
        <w:spacing w:after="120" w:line="240" w:lineRule="auto"/>
        <w:jc w:val="both"/>
        <w:rPr>
          <w:noProof/>
          <w:lang w:val="de-DE"/>
        </w:rPr>
      </w:pPr>
      <w:r w:rsidRPr="00170422">
        <w:rPr>
          <w:noProof/>
          <w:lang w:val="de-DE"/>
        </w:rPr>
        <w:t>den ökologischen Wandel des nationalen Produktionssystems auf verschiedenen Ebenen durch Unterstützung von Investitionen in die Stärkung der Produktionsketten für Geräte und ihrer direkten und indirekten Komponenten, die für den ökologischen Wandel r</w:t>
      </w:r>
      <w:r w:rsidRPr="00170422">
        <w:rPr>
          <w:noProof/>
          <w:lang w:val="de-DE"/>
        </w:rPr>
        <w:t xml:space="preserve">elevant sind (z. B. Batterie- und Energiespeicherung, Solar- und Windtechnologien, Wärmepumpen und Technologien für geothermische Energie, Wasserstofftechnologien und Einrichtungen für die CO2-Abscheidung und -Speicherung), </w:t>
      </w:r>
    </w:p>
    <w:p w14:paraId="4BDB2110" w14:textId="77777777" w:rsidR="0057163C" w:rsidRPr="00170422" w:rsidRDefault="00F37BF9">
      <w:pPr>
        <w:pStyle w:val="P68B1DB1-ListParagraph37"/>
        <w:numPr>
          <w:ilvl w:val="0"/>
          <w:numId w:val="63"/>
        </w:numPr>
        <w:spacing w:after="120" w:line="240" w:lineRule="auto"/>
        <w:jc w:val="both"/>
        <w:rPr>
          <w:noProof/>
          <w:lang w:val="de-DE"/>
        </w:rPr>
      </w:pPr>
      <w:r w:rsidRPr="00170422">
        <w:rPr>
          <w:noProof/>
          <w:lang w:val="de-DE"/>
        </w:rPr>
        <w:t>die Energieeffizienz von Produk</w:t>
      </w:r>
      <w:r w:rsidRPr="00170422">
        <w:rPr>
          <w:noProof/>
          <w:lang w:val="de-DE"/>
        </w:rPr>
        <w:t>tionsprozessen (auch durch die Erzeugung von Elektrizität aus erneuerbaren Quellen für den Eigenverbrauch mit Ausnahme von Biomasse),</w:t>
      </w:r>
    </w:p>
    <w:p w14:paraId="309034B6" w14:textId="77777777" w:rsidR="0057163C" w:rsidRPr="00170422" w:rsidRDefault="00F37BF9">
      <w:pPr>
        <w:pStyle w:val="P68B1DB1-ListParagraph37"/>
        <w:numPr>
          <w:ilvl w:val="0"/>
          <w:numId w:val="63"/>
        </w:numPr>
        <w:spacing w:after="120" w:line="240" w:lineRule="auto"/>
        <w:jc w:val="both"/>
        <w:rPr>
          <w:noProof/>
          <w:lang w:val="de-DE"/>
        </w:rPr>
      </w:pPr>
      <w:r w:rsidRPr="00170422">
        <w:rPr>
          <w:noProof/>
          <w:lang w:val="de-DE"/>
        </w:rPr>
        <w:t>die Nachhaltigkeit der Produktionsprozesse, auch im Hinblick auf die Kreislaufwirtschaft und eine effizientere Ressourcenn</w:t>
      </w:r>
      <w:r w:rsidRPr="00170422">
        <w:rPr>
          <w:noProof/>
          <w:lang w:val="de-DE"/>
        </w:rPr>
        <w:t>utzung.</w:t>
      </w:r>
    </w:p>
    <w:p w14:paraId="2742F20D" w14:textId="77777777" w:rsidR="0057163C" w:rsidRPr="00170422" w:rsidRDefault="00F37BF9">
      <w:pPr>
        <w:pStyle w:val="P68B1DB1-Normal7"/>
        <w:spacing w:after="120"/>
        <w:jc w:val="both"/>
        <w:rPr>
          <w:noProof/>
          <w:lang w:val="de-DE"/>
        </w:rPr>
      </w:pPr>
      <w:r w:rsidRPr="00170422">
        <w:rPr>
          <w:noProof/>
          <w:lang w:val="de-DE"/>
        </w:rPr>
        <w:t>Die Investition i) umfasst die folgenden Produktlinien:</w:t>
      </w:r>
    </w:p>
    <w:p w14:paraId="4E4C9E96" w14:textId="4C87223C" w:rsidR="0057163C" w:rsidRPr="00170422" w:rsidRDefault="00F37BF9">
      <w:pPr>
        <w:pStyle w:val="P68B1DB1-Normal7"/>
        <w:spacing w:after="120"/>
        <w:jc w:val="both"/>
        <w:rPr>
          <w:noProof/>
          <w:lang w:val="de-DE"/>
        </w:rPr>
      </w:pPr>
      <w:r w:rsidRPr="00170422">
        <w:rPr>
          <w:noProof/>
          <w:lang w:val="de-DE"/>
        </w:rPr>
        <w:t>—</w:t>
      </w:r>
      <w:r w:rsidRPr="00170422">
        <w:rPr>
          <w:noProof/>
          <w:lang w:val="de-DE"/>
        </w:rPr>
        <w:tab/>
        <w:t xml:space="preserve">Der erste Schwerpunkt liegt auf der Herstellung von Photovoltaik- oder Windenergietechnologien und soll die Produktionskapazität für Photovoltaik- oder Windenergietechnologien um mindestens </w:t>
      </w:r>
      <w:r w:rsidRPr="00170422">
        <w:rPr>
          <w:noProof/>
          <w:lang w:val="de-DE"/>
        </w:rPr>
        <w:t xml:space="preserve">4 GW/Jahr erhöhen. </w:t>
      </w:r>
    </w:p>
    <w:p w14:paraId="6C6CAD5E" w14:textId="77777777" w:rsidR="0057163C" w:rsidRPr="00170422" w:rsidRDefault="00F37BF9">
      <w:pPr>
        <w:pStyle w:val="P68B1DB1-Normal7"/>
        <w:spacing w:after="120"/>
        <w:jc w:val="both"/>
        <w:rPr>
          <w:noProof/>
          <w:lang w:val="de-DE"/>
        </w:rPr>
      </w:pPr>
      <w:r w:rsidRPr="00170422">
        <w:rPr>
          <w:noProof/>
          <w:lang w:val="de-DE"/>
        </w:rPr>
        <w:t>—</w:t>
      </w:r>
      <w:r w:rsidRPr="00170422">
        <w:rPr>
          <w:noProof/>
          <w:lang w:val="de-DE"/>
        </w:rPr>
        <w:tab/>
        <w:t>Der zweite Schwerpunkt liegt auf der Herstellung von Batterien und soll die Produktionskapazität von Batterien um mindestens 28 GW/Jahr erhöhen.</w:t>
      </w:r>
    </w:p>
    <w:p w14:paraId="2043D6ED" w14:textId="77777777" w:rsidR="0057163C" w:rsidRPr="00170422" w:rsidRDefault="00F37BF9">
      <w:pPr>
        <w:pStyle w:val="P68B1DB1-Normal7"/>
        <w:spacing w:after="120"/>
        <w:jc w:val="both"/>
        <w:rPr>
          <w:noProof/>
          <w:lang w:val="de-DE"/>
        </w:rPr>
      </w:pPr>
      <w:r w:rsidRPr="00170422">
        <w:rPr>
          <w:noProof/>
          <w:lang w:val="de-DE"/>
        </w:rPr>
        <w:t>Die Fazilität wird in Form von nicht rückzahlbaren Zuschüssen, zinsvergünstigten Darlehen</w:t>
      </w:r>
      <w:r w:rsidRPr="00170422">
        <w:rPr>
          <w:noProof/>
          <w:lang w:val="de-DE"/>
        </w:rPr>
        <w:t xml:space="preserve"> und Zinszuschüssen direkt für den Privatsektor eingesetzt. </w:t>
      </w:r>
    </w:p>
    <w:p w14:paraId="65990B9A" w14:textId="77777777" w:rsidR="0057163C" w:rsidRPr="00170422" w:rsidRDefault="00F37BF9">
      <w:pPr>
        <w:pStyle w:val="P68B1DB1-Normal7"/>
        <w:spacing w:after="120"/>
        <w:jc w:val="both"/>
        <w:rPr>
          <w:noProof/>
          <w:lang w:val="de-DE"/>
        </w:rPr>
      </w:pPr>
      <w:r w:rsidRPr="00170422">
        <w:rPr>
          <w:noProof/>
          <w:lang w:val="de-DE"/>
        </w:rPr>
        <w:t>Die Fazilität wird von Invitalia S.p.A. als Durchführungspartner verwaltet. Die Fazilität umfasst folgende Finanzierungsinstrumente:</w:t>
      </w:r>
    </w:p>
    <w:p w14:paraId="3B5EF40E" w14:textId="77777777" w:rsidR="0057163C" w:rsidRPr="00170422" w:rsidRDefault="00F37BF9">
      <w:pPr>
        <w:pStyle w:val="ListParagraph"/>
        <w:numPr>
          <w:ilvl w:val="0"/>
          <w:numId w:val="25"/>
        </w:numPr>
        <w:spacing w:after="120" w:line="240" w:lineRule="auto"/>
        <w:jc w:val="both"/>
        <w:rPr>
          <w:rFonts w:ascii="Times New Roman" w:hAnsi="Times New Roman" w:cs="Times New Roman"/>
          <w:noProof/>
          <w:lang w:val="de-DE"/>
        </w:rPr>
      </w:pPr>
      <w:r w:rsidRPr="00170422">
        <w:rPr>
          <w:rFonts w:ascii="Times New Roman" w:hAnsi="Times New Roman" w:cs="Times New Roman"/>
          <w:noProof/>
          <w:lang w:val="de-DE"/>
        </w:rPr>
        <w:t xml:space="preserve">Entwicklungsvertrag, mit dem Projekte im Bereich der </w:t>
      </w:r>
      <w:r w:rsidRPr="00170422">
        <w:rPr>
          <w:rFonts w:ascii="Times New Roman" w:hAnsi="Times New Roman" w:cs="Times New Roman"/>
          <w:noProof/>
          <w:lang w:val="de-DE"/>
        </w:rPr>
        <w:t>Netto-Null-Technologien im Wert von mehr als</w:t>
      </w:r>
      <w:r w:rsidRPr="00170422">
        <w:rPr>
          <w:rFonts w:ascii="Times New Roman" w:hAnsi="Times New Roman" w:cs="Times New Roman"/>
          <w:noProof/>
          <w:color w:val="006100"/>
          <w:sz w:val="20"/>
          <w:lang w:val="de-DE"/>
        </w:rPr>
        <w:t xml:space="preserve">  </w:t>
      </w:r>
      <w:r w:rsidRPr="00170422">
        <w:rPr>
          <w:rFonts w:ascii="Times New Roman" w:hAnsi="Times New Roman" w:cs="Times New Roman"/>
          <w:noProof/>
          <w:lang w:val="de-DE"/>
        </w:rPr>
        <w:t>20000000 EUR durch die Gewährung von Zuschüssen, Zinszuschüssen und zinsvergünstigten Darlehen unterstützt werden.</w:t>
      </w:r>
    </w:p>
    <w:p w14:paraId="44C58026" w14:textId="77777777" w:rsidR="0057163C" w:rsidRPr="00170422" w:rsidRDefault="00F37BF9">
      <w:pPr>
        <w:pStyle w:val="ListParagraph"/>
        <w:numPr>
          <w:ilvl w:val="0"/>
          <w:numId w:val="25"/>
        </w:numPr>
        <w:spacing w:after="120" w:line="240" w:lineRule="auto"/>
        <w:jc w:val="both"/>
        <w:rPr>
          <w:rFonts w:ascii="Times New Roman" w:hAnsi="Times New Roman" w:cs="Times New Roman"/>
          <w:noProof/>
          <w:lang w:val="de-DE"/>
        </w:rPr>
      </w:pPr>
      <w:r w:rsidRPr="00170422">
        <w:rPr>
          <w:rFonts w:ascii="Times New Roman" w:hAnsi="Times New Roman" w:cs="Times New Roman"/>
          <w:noProof/>
          <w:lang w:val="de-DE"/>
        </w:rPr>
        <w:t>Fonds für den industriellen Wandel, mit dem Projekte zwischen</w:t>
      </w:r>
      <w:r w:rsidRPr="00170422">
        <w:rPr>
          <w:rFonts w:ascii="Times New Roman" w:hAnsi="Times New Roman" w:cs="Times New Roman"/>
          <w:noProof/>
          <w:color w:val="006100"/>
          <w:sz w:val="20"/>
          <w:lang w:val="de-DE"/>
        </w:rPr>
        <w:t xml:space="preserve">  </w:t>
      </w:r>
      <w:r w:rsidRPr="00170422">
        <w:rPr>
          <w:rFonts w:ascii="Times New Roman" w:hAnsi="Times New Roman" w:cs="Times New Roman"/>
          <w:noProof/>
          <w:lang w:val="de-DE"/>
        </w:rPr>
        <w:t>3000000 EUR und</w:t>
      </w:r>
      <w:r w:rsidRPr="00170422">
        <w:rPr>
          <w:rFonts w:ascii="Times New Roman" w:hAnsi="Times New Roman" w:cs="Times New Roman"/>
          <w:noProof/>
          <w:color w:val="006100"/>
          <w:sz w:val="20"/>
          <w:lang w:val="de-DE"/>
        </w:rPr>
        <w:t xml:space="preserve">  </w:t>
      </w:r>
      <w:r w:rsidRPr="00170422">
        <w:rPr>
          <w:rFonts w:ascii="Times New Roman" w:hAnsi="Times New Roman" w:cs="Times New Roman"/>
          <w:noProof/>
          <w:lang w:val="de-DE"/>
        </w:rPr>
        <w:t xml:space="preserve">20000000 EUR </w:t>
      </w:r>
      <w:r w:rsidRPr="00170422">
        <w:rPr>
          <w:rFonts w:ascii="Times New Roman" w:hAnsi="Times New Roman" w:cs="Times New Roman"/>
          <w:noProof/>
          <w:lang w:val="de-DE"/>
        </w:rPr>
        <w:t>durch Finanzhilfen unterstützt werden.</w:t>
      </w:r>
    </w:p>
    <w:p w14:paraId="67D1FB15" w14:textId="77777777" w:rsidR="0057163C" w:rsidRPr="00170422" w:rsidRDefault="00F37BF9">
      <w:pPr>
        <w:pStyle w:val="P68B1DB1-Normal7"/>
        <w:spacing w:after="120"/>
        <w:jc w:val="both"/>
        <w:rPr>
          <w:noProof/>
          <w:lang w:val="de-DE"/>
        </w:rPr>
      </w:pPr>
      <w:r w:rsidRPr="00170422">
        <w:rPr>
          <w:noProof/>
          <w:lang w:val="de-DE"/>
        </w:rPr>
        <w:t>Zur Durchführung der Investition in die Fazilität unterzeichnen Italien und Invitalia S.p.A. ein Durchführungsabkommen, das Folgendes enthält:</w:t>
      </w:r>
    </w:p>
    <w:p w14:paraId="7D9A4731" w14:textId="77777777" w:rsidR="0057163C" w:rsidRPr="00170422" w:rsidRDefault="00F37BF9">
      <w:pPr>
        <w:pStyle w:val="P68B1DB1-ListParagraph37"/>
        <w:numPr>
          <w:ilvl w:val="3"/>
          <w:numId w:val="42"/>
        </w:numPr>
        <w:spacing w:after="120" w:line="240" w:lineRule="auto"/>
        <w:ind w:left="709"/>
        <w:jc w:val="both"/>
        <w:rPr>
          <w:noProof/>
          <w:lang w:val="de-DE"/>
        </w:rPr>
      </w:pPr>
      <w:r w:rsidRPr="00170422">
        <w:rPr>
          <w:noProof/>
          <w:lang w:val="de-DE"/>
        </w:rPr>
        <w:t>Beschreibung des Entscheidungsprozesses der Fazilität: Die endgültigen Inv</w:t>
      </w:r>
      <w:r w:rsidRPr="00170422">
        <w:rPr>
          <w:noProof/>
          <w:lang w:val="de-DE"/>
        </w:rPr>
        <w:t>estitions- und Vergabebeschlüsse der Fazilität werden von einem Investitionsausschuss oder einem anderen einschlägigen gleichwertigen Leitungsgremium gefasst und mit der Mehrheit der Stimmen der von der Regierung unabhängigen Mitglieder genehmigt.</w:t>
      </w:r>
    </w:p>
    <w:p w14:paraId="22AA1897" w14:textId="77777777" w:rsidR="0057163C" w:rsidRPr="00170422" w:rsidRDefault="00F37BF9">
      <w:pPr>
        <w:pStyle w:val="P68B1DB1-ListParagraph37"/>
        <w:numPr>
          <w:ilvl w:val="3"/>
          <w:numId w:val="42"/>
        </w:numPr>
        <w:spacing w:after="120" w:line="240" w:lineRule="auto"/>
        <w:ind w:left="709"/>
        <w:jc w:val="both"/>
        <w:rPr>
          <w:noProof/>
          <w:lang w:val="de-DE"/>
        </w:rPr>
      </w:pPr>
      <w:r w:rsidRPr="00170422">
        <w:rPr>
          <w:noProof/>
          <w:lang w:val="de-DE"/>
        </w:rPr>
        <w:t>Kernanfo</w:t>
      </w:r>
      <w:r w:rsidRPr="00170422">
        <w:rPr>
          <w:noProof/>
          <w:lang w:val="de-DE"/>
        </w:rPr>
        <w:t>rderungen der zugehörigen Anlagepolitik, die Folgendes umfassen:</w:t>
      </w:r>
    </w:p>
    <w:p w14:paraId="727E2102" w14:textId="77777777" w:rsidR="0057163C" w:rsidRPr="00170422" w:rsidRDefault="00F37BF9">
      <w:pPr>
        <w:pStyle w:val="P68B1DB1-ListParagraph37"/>
        <w:numPr>
          <w:ilvl w:val="4"/>
          <w:numId w:val="42"/>
        </w:numPr>
        <w:spacing w:after="120" w:line="240" w:lineRule="auto"/>
        <w:ind w:left="1276"/>
        <w:jc w:val="both"/>
        <w:rPr>
          <w:noProof/>
          <w:lang w:val="de-DE"/>
        </w:rPr>
      </w:pPr>
      <w:r w:rsidRPr="00170422">
        <w:rPr>
          <w:noProof/>
          <w:lang w:val="de-DE"/>
        </w:rPr>
        <w:t xml:space="preserve">Die Beschreibung der Finanzprodukte und förderfähigen Endbegünstigten. </w:t>
      </w:r>
    </w:p>
    <w:p w14:paraId="6BC546DB" w14:textId="77777777" w:rsidR="0057163C" w:rsidRPr="00170422" w:rsidRDefault="00F37BF9">
      <w:pPr>
        <w:pStyle w:val="P68B1DB1-ListParagraph37"/>
        <w:numPr>
          <w:ilvl w:val="4"/>
          <w:numId w:val="42"/>
        </w:numPr>
        <w:spacing w:after="120" w:line="240" w:lineRule="auto"/>
        <w:ind w:left="1276"/>
        <w:jc w:val="both"/>
        <w:rPr>
          <w:noProof/>
          <w:lang w:val="de-DE"/>
        </w:rPr>
      </w:pPr>
      <w:r w:rsidRPr="00170422">
        <w:rPr>
          <w:noProof/>
          <w:lang w:val="de-DE"/>
        </w:rPr>
        <w:t xml:space="preserve">Die Anforderung, dass alle geförderten Investitionen wirtschaftlich tragfähig sind. </w:t>
      </w:r>
    </w:p>
    <w:p w14:paraId="0A3C2697" w14:textId="77777777" w:rsidR="0057163C" w:rsidRPr="00170422" w:rsidRDefault="00F37BF9">
      <w:pPr>
        <w:pStyle w:val="ListParagraph"/>
        <w:numPr>
          <w:ilvl w:val="4"/>
          <w:numId w:val="42"/>
        </w:numPr>
        <w:spacing w:after="120" w:line="240" w:lineRule="auto"/>
        <w:ind w:left="1276"/>
        <w:jc w:val="both"/>
        <w:rPr>
          <w:rFonts w:ascii="Times New Roman" w:hAnsi="Times New Roman" w:cs="Times New Roman"/>
          <w:noProof/>
          <w:lang w:val="de-DE"/>
        </w:rPr>
      </w:pPr>
      <w:r w:rsidRPr="00170422">
        <w:rPr>
          <w:rFonts w:ascii="Times New Roman" w:hAnsi="Times New Roman" w:cs="Times New Roman"/>
          <w:noProof/>
          <w:lang w:val="de-DE"/>
        </w:rPr>
        <w:t>Die Anforderung, den Grundsatz der</w:t>
      </w:r>
      <w:r w:rsidRPr="00170422">
        <w:rPr>
          <w:rFonts w:ascii="Times New Roman" w:hAnsi="Times New Roman" w:cs="Times New Roman"/>
          <w:noProof/>
          <w:lang w:val="de-DE"/>
        </w:rPr>
        <w:t xml:space="preserve"> „Vermeidung erheblicher Beeinträchtigungen“ (DNSH) gemäß den technischen Leitlinien zur Vermeidung erheblicher Beeinträchtigungen (2021/C58/01) einzuhalten. Insbesondere schließt die Anlagepolitik die folgende Liste von Tätigkeiten und Vermögenswerten von</w:t>
      </w:r>
      <w:r w:rsidRPr="00170422">
        <w:rPr>
          <w:rFonts w:ascii="Times New Roman" w:hAnsi="Times New Roman" w:cs="Times New Roman"/>
          <w:noProof/>
          <w:lang w:val="de-DE"/>
        </w:rPr>
        <w:t xml:space="preserve"> der Förderfähigkeit aus: Tätigkeiten und Vermögenswerte im Zusammenhang mit fossilen Brennstoffen, einschließlich nachgelagerter Nutzung,</w:t>
      </w:r>
      <w:r w:rsidRPr="00170422">
        <w:rPr>
          <w:rStyle w:val="FootnoteReference"/>
          <w:rFonts w:ascii="Times New Roman" w:hAnsi="Times New Roman" w:cs="Times New Roman"/>
          <w:noProof/>
          <w:lang w:val="de-DE"/>
        </w:rPr>
        <w:footnoteReference w:id="55"/>
      </w:r>
      <w:r w:rsidRPr="00170422">
        <w:rPr>
          <w:rFonts w:ascii="Times New Roman" w:hAnsi="Times New Roman" w:cs="Times New Roman"/>
          <w:noProof/>
          <w:lang w:val="de-DE"/>
        </w:rPr>
        <w:t>ii) Tätigkeiten und Vermögenswerte im Rahmen des EU-Emissionshandelssystems (EHS), mit denen prognostizierte Treibhau</w:t>
      </w:r>
      <w:r w:rsidRPr="00170422">
        <w:rPr>
          <w:rFonts w:ascii="Times New Roman" w:hAnsi="Times New Roman" w:cs="Times New Roman"/>
          <w:noProof/>
          <w:lang w:val="de-DE"/>
        </w:rPr>
        <w:t>sgasemissionen erreicht werden, die nicht unter den einschlägigen Richtwerten liegen,</w:t>
      </w:r>
      <w:r w:rsidRPr="00170422">
        <w:rPr>
          <w:rStyle w:val="FootnoteReference"/>
          <w:rFonts w:ascii="Times New Roman" w:hAnsi="Times New Roman" w:cs="Times New Roman"/>
          <w:noProof/>
          <w:lang w:val="de-DE"/>
        </w:rPr>
        <w:footnoteReference w:id="56"/>
      </w:r>
      <w:r w:rsidRPr="00170422">
        <w:rPr>
          <w:rFonts w:ascii="Times New Roman" w:hAnsi="Times New Roman" w:cs="Times New Roman"/>
          <w:noProof/>
          <w:lang w:val="de-DE"/>
        </w:rPr>
        <w:t>iii) Tätigkeiten und Vermögenswerte im Zusammenhang mit Abfalldeponien, Verbrennungsanlagen</w:t>
      </w:r>
      <w:r w:rsidRPr="00170422">
        <w:rPr>
          <w:rStyle w:val="FootnoteReference"/>
          <w:rFonts w:ascii="Times New Roman" w:hAnsi="Times New Roman" w:cs="Times New Roman"/>
          <w:noProof/>
          <w:lang w:val="de-DE"/>
        </w:rPr>
        <w:footnoteReference w:id="57"/>
      </w:r>
      <w:r w:rsidRPr="00170422">
        <w:rPr>
          <w:rFonts w:ascii="Times New Roman" w:hAnsi="Times New Roman" w:cs="Times New Roman"/>
          <w:noProof/>
          <w:lang w:val="de-DE"/>
        </w:rPr>
        <w:t xml:space="preserve"> und mechanisch-biologischen Behandlungsanlagen</w:t>
      </w:r>
      <w:r w:rsidRPr="00170422">
        <w:rPr>
          <w:rStyle w:val="FootnoteReference"/>
          <w:rFonts w:ascii="Times New Roman" w:hAnsi="Times New Roman" w:cs="Times New Roman"/>
          <w:noProof/>
          <w:lang w:val="de-DE"/>
        </w:rPr>
        <w:footnoteReference w:id="58"/>
      </w:r>
      <w:r w:rsidRPr="00170422">
        <w:rPr>
          <w:rFonts w:ascii="Times New Roman" w:hAnsi="Times New Roman" w:cs="Times New Roman"/>
          <w:noProof/>
          <w:lang w:val="de-DE"/>
        </w:rPr>
        <w:t xml:space="preserve">. </w:t>
      </w:r>
    </w:p>
    <w:p w14:paraId="40A1190A" w14:textId="77777777" w:rsidR="0057163C" w:rsidRPr="00170422" w:rsidRDefault="00F37BF9">
      <w:pPr>
        <w:pStyle w:val="P68B1DB1-ListParagraph37"/>
        <w:numPr>
          <w:ilvl w:val="4"/>
          <w:numId w:val="42"/>
        </w:numPr>
        <w:spacing w:after="120" w:line="240" w:lineRule="auto"/>
        <w:ind w:left="1276"/>
        <w:jc w:val="both"/>
        <w:rPr>
          <w:noProof/>
          <w:lang w:val="de-DE"/>
        </w:rPr>
      </w:pPr>
      <w:r w:rsidRPr="00170422">
        <w:rPr>
          <w:noProof/>
          <w:lang w:val="de-DE"/>
        </w:rPr>
        <w:t>Die Anforderung, dass die E</w:t>
      </w:r>
      <w:r w:rsidRPr="00170422">
        <w:rPr>
          <w:noProof/>
          <w:lang w:val="de-DE"/>
        </w:rPr>
        <w:t>ndbegünstigten der Fazilität keine Unterstützung aus anderen Instrumenten der Union erhalten dürfen, um dieselben Kosten zu decken.</w:t>
      </w:r>
    </w:p>
    <w:p w14:paraId="7F4A7895" w14:textId="77777777" w:rsidR="0057163C" w:rsidRPr="00170422" w:rsidRDefault="00F37BF9">
      <w:pPr>
        <w:pStyle w:val="P68B1DB1-ListParagraph37"/>
        <w:numPr>
          <w:ilvl w:val="3"/>
          <w:numId w:val="42"/>
        </w:numPr>
        <w:spacing w:after="120" w:line="240" w:lineRule="auto"/>
        <w:ind w:left="709"/>
        <w:jc w:val="both"/>
        <w:rPr>
          <w:noProof/>
          <w:lang w:val="de-DE"/>
        </w:rPr>
      </w:pPr>
      <w:r w:rsidRPr="00170422">
        <w:rPr>
          <w:noProof/>
          <w:lang w:val="de-DE"/>
        </w:rPr>
        <w:t>Der unter die Durchführungsvereinbarung fallende Betrag, die Gebührenstruktur für den Durchführungspartner und die Anforderu</w:t>
      </w:r>
      <w:r w:rsidRPr="00170422">
        <w:rPr>
          <w:noProof/>
          <w:lang w:val="de-DE"/>
        </w:rPr>
        <w:t>ng, etwaige Rückflüsse entsprechend der Investitionspolitik der Fazilität zu reinvestieren.</w:t>
      </w:r>
    </w:p>
    <w:p w14:paraId="6700F82B" w14:textId="77777777" w:rsidR="0057163C" w:rsidRPr="00170422" w:rsidRDefault="00F37BF9">
      <w:pPr>
        <w:pStyle w:val="P68B1DB1-ListParagraph37"/>
        <w:numPr>
          <w:ilvl w:val="3"/>
          <w:numId w:val="42"/>
        </w:numPr>
        <w:spacing w:after="120" w:line="240" w:lineRule="auto"/>
        <w:ind w:left="709"/>
        <w:jc w:val="both"/>
        <w:rPr>
          <w:noProof/>
          <w:lang w:val="de-DE"/>
        </w:rPr>
      </w:pPr>
      <w:r w:rsidRPr="00170422">
        <w:rPr>
          <w:noProof/>
          <w:lang w:val="de-DE"/>
        </w:rPr>
        <w:t>Überwachungs-, Prüf- und Kontrollanforderungen, einschließlich:</w:t>
      </w:r>
    </w:p>
    <w:p w14:paraId="2B3D7632" w14:textId="77777777" w:rsidR="0057163C" w:rsidRPr="00170422" w:rsidRDefault="00F37BF9">
      <w:pPr>
        <w:pStyle w:val="P68B1DB1-ListParagraph36"/>
        <w:numPr>
          <w:ilvl w:val="4"/>
          <w:numId w:val="42"/>
        </w:numPr>
        <w:spacing w:after="120" w:line="240" w:lineRule="auto"/>
        <w:ind w:left="1276"/>
        <w:jc w:val="both"/>
        <w:rPr>
          <w:rFonts w:hint="default"/>
          <w:noProof/>
          <w:lang w:val="de-DE"/>
        </w:rPr>
      </w:pPr>
      <w:r w:rsidRPr="00170422">
        <w:rPr>
          <w:rFonts w:hint="default"/>
          <w:noProof/>
          <w:lang w:val="de-DE"/>
        </w:rPr>
        <w:t>Die Beschreibung des Überwachungssystems des Durchführungspartners zur Berichterstattung über die mo</w:t>
      </w:r>
      <w:r w:rsidRPr="00170422">
        <w:rPr>
          <w:rFonts w:hint="default"/>
          <w:noProof/>
          <w:lang w:val="de-DE"/>
        </w:rPr>
        <w:t>bilisierten Investitionen.</w:t>
      </w:r>
    </w:p>
    <w:p w14:paraId="6FEC1734" w14:textId="77777777" w:rsidR="0057163C" w:rsidRPr="00170422" w:rsidRDefault="00F37BF9">
      <w:pPr>
        <w:pStyle w:val="P68B1DB1-ListParagraph36"/>
        <w:numPr>
          <w:ilvl w:val="4"/>
          <w:numId w:val="42"/>
        </w:numPr>
        <w:spacing w:after="120" w:line="240" w:lineRule="auto"/>
        <w:ind w:left="1276"/>
        <w:jc w:val="both"/>
        <w:rPr>
          <w:rFonts w:hint="default"/>
          <w:noProof/>
          <w:lang w:val="de-DE"/>
        </w:rPr>
      </w:pPr>
      <w:r w:rsidRPr="00170422">
        <w:rPr>
          <w:rFonts w:hint="default"/>
          <w:noProof/>
          <w:lang w:val="de-DE"/>
        </w:rPr>
        <w:t xml:space="preserve">Die Beschreibung der Verfahren des Durchführungspartners, die die Prävention, Aufdeckung und Behebung von Betrug, Korruption und Interessenkonflikten gewährleisten. </w:t>
      </w:r>
    </w:p>
    <w:p w14:paraId="4F432B30" w14:textId="77777777" w:rsidR="0057163C" w:rsidRPr="00170422" w:rsidRDefault="00F37BF9">
      <w:pPr>
        <w:pStyle w:val="P68B1DB1-ListParagraph37"/>
        <w:numPr>
          <w:ilvl w:val="4"/>
          <w:numId w:val="42"/>
        </w:numPr>
        <w:spacing w:after="120" w:line="240" w:lineRule="auto"/>
        <w:ind w:left="1276"/>
        <w:jc w:val="both"/>
        <w:rPr>
          <w:noProof/>
          <w:lang w:val="de-DE"/>
        </w:rPr>
      </w:pPr>
      <w:r w:rsidRPr="00170422">
        <w:rPr>
          <w:noProof/>
          <w:lang w:val="de-DE"/>
        </w:rPr>
        <w:t>Die Verpflichtung, die Förderfähigkeit jeder Maßnahme im Einkla</w:t>
      </w:r>
      <w:r w:rsidRPr="00170422">
        <w:rPr>
          <w:noProof/>
          <w:lang w:val="de-DE"/>
        </w:rPr>
        <w:t>ng mit den Anforderungen des Durchführungsübereinkommens zu überprüfen, bevor sie sich zur Finanzierung einer Operation verpflichtet.</w:t>
      </w:r>
    </w:p>
    <w:p w14:paraId="5EDCAFAB" w14:textId="77777777" w:rsidR="0057163C" w:rsidRPr="00170422" w:rsidRDefault="00F37BF9">
      <w:pPr>
        <w:pStyle w:val="P68B1DB1-ListParagraph37"/>
        <w:numPr>
          <w:ilvl w:val="4"/>
          <w:numId w:val="42"/>
        </w:numPr>
        <w:spacing w:after="120" w:line="240" w:lineRule="auto"/>
        <w:ind w:left="1276"/>
        <w:jc w:val="both"/>
        <w:rPr>
          <w:noProof/>
          <w:lang w:val="de-DE"/>
        </w:rPr>
      </w:pPr>
      <w:r w:rsidRPr="00170422">
        <w:rPr>
          <w:noProof/>
          <w:lang w:val="de-DE"/>
        </w:rPr>
        <w:t>Die Verpflichtung zur Durchführung risikobasierter Ex-post-Prüfungen gemäß einem Auditplan der Invitalia S.p.A.</w:t>
      </w:r>
    </w:p>
    <w:p w14:paraId="534C2E27" w14:textId="77777777" w:rsidR="0057163C" w:rsidRPr="00170422" w:rsidRDefault="00F37BF9">
      <w:pPr>
        <w:pStyle w:val="P68B1DB1-ListParagraph37"/>
        <w:numPr>
          <w:ilvl w:val="5"/>
          <w:numId w:val="42"/>
        </w:numPr>
        <w:spacing w:after="120" w:line="240" w:lineRule="auto"/>
        <w:ind w:left="1985"/>
        <w:jc w:val="both"/>
        <w:rPr>
          <w:noProof/>
          <w:lang w:val="de-DE"/>
        </w:rPr>
      </w:pPr>
      <w:r w:rsidRPr="00170422">
        <w:rPr>
          <w:noProof/>
          <w:lang w:val="de-DE"/>
        </w:rPr>
        <w:t>dass die K</w:t>
      </w:r>
      <w:r w:rsidRPr="00170422">
        <w:rPr>
          <w:noProof/>
          <w:lang w:val="de-DE"/>
        </w:rPr>
        <w:t>ontrollsysteme wirksam sind, einschließlich der Aufdeckung von Betrug, Korruption und Interessenkonflikten;</w:t>
      </w:r>
    </w:p>
    <w:p w14:paraId="2C9371C0" w14:textId="77777777" w:rsidR="0057163C" w:rsidRPr="00170422" w:rsidRDefault="00F37BF9">
      <w:pPr>
        <w:pStyle w:val="P68B1DB1-ListParagraph37"/>
        <w:numPr>
          <w:ilvl w:val="5"/>
          <w:numId w:val="42"/>
        </w:numPr>
        <w:spacing w:after="120" w:line="240" w:lineRule="auto"/>
        <w:ind w:left="1985"/>
        <w:jc w:val="both"/>
        <w:rPr>
          <w:noProof/>
          <w:lang w:val="de-DE"/>
        </w:rPr>
      </w:pPr>
      <w:r w:rsidRPr="00170422">
        <w:rPr>
          <w:noProof/>
          <w:lang w:val="de-DE"/>
        </w:rPr>
        <w:t xml:space="preserve">Einhaltung des DNSH-Grundsatzes, der Vorschriften über staatliche Beihilfen und der Klimazielvorgaben; und </w:t>
      </w:r>
    </w:p>
    <w:p w14:paraId="2F7F9596" w14:textId="77777777" w:rsidR="0057163C" w:rsidRPr="00170422" w:rsidRDefault="00F37BF9">
      <w:pPr>
        <w:pStyle w:val="P68B1DB1-ListParagraph37"/>
        <w:numPr>
          <w:ilvl w:val="5"/>
          <w:numId w:val="42"/>
        </w:numPr>
        <w:spacing w:after="120" w:line="240" w:lineRule="auto"/>
        <w:ind w:left="1985"/>
        <w:jc w:val="both"/>
        <w:rPr>
          <w:noProof/>
          <w:lang w:val="de-DE"/>
        </w:rPr>
      </w:pPr>
      <w:r w:rsidRPr="00170422">
        <w:rPr>
          <w:noProof/>
          <w:lang w:val="de-DE"/>
        </w:rPr>
        <w:t xml:space="preserve">die Anforderung, dass die </w:t>
      </w:r>
      <w:r w:rsidRPr="00170422">
        <w:rPr>
          <w:noProof/>
          <w:lang w:val="de-DE"/>
        </w:rPr>
        <w:t>Endbegünstigten der Fazilität keine Unterstützung aus anderen Instrumenten der Union erhalten haben, um dieselben Kosten zu decken, wird eingehalten. Bei den Prüfungen wird auch die Rechtmäßigkeit der Vorgänge und die Einhaltung der Bedingungen des geltend</w:t>
      </w:r>
      <w:r w:rsidRPr="00170422">
        <w:rPr>
          <w:noProof/>
          <w:lang w:val="de-DE"/>
        </w:rPr>
        <w:t xml:space="preserve">en Durchführungsabkommens überprüft. </w:t>
      </w:r>
    </w:p>
    <w:p w14:paraId="4C9A763B" w14:textId="77777777"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noProof/>
          <w:lang w:val="de-DE"/>
        </w:rPr>
        <w:t>5. Anforderungen an Klimainvestitionen des Durchführungspartners: mindestens 460 000 000 EUR</w:t>
      </w:r>
      <w:r w:rsidRPr="00170422">
        <w:rPr>
          <w:rFonts w:ascii="Times New Roman" w:hAnsi="Times New Roman" w:cs="Times New Roman"/>
          <w:noProof/>
          <w:color w:val="006100"/>
          <w:sz w:val="20"/>
          <w:szCs w:val="20"/>
          <w:lang w:val="de-DE"/>
        </w:rPr>
        <w:t xml:space="preserve"> </w:t>
      </w:r>
      <w:r w:rsidRPr="00170422">
        <w:rPr>
          <w:rFonts w:ascii="Times New Roman" w:hAnsi="Times New Roman" w:cs="Times New Roman"/>
          <w:noProof/>
          <w:lang w:val="de-DE"/>
        </w:rPr>
        <w:t>der</w:t>
      </w:r>
      <w:r w:rsidRPr="00170422">
        <w:rPr>
          <w:rFonts w:ascii="Times New Roman" w:hAnsi="Times New Roman" w:cs="Times New Roman"/>
          <w:noProof/>
          <w:color w:val="006100"/>
          <w:sz w:val="20"/>
          <w:szCs w:val="20"/>
          <w:lang w:val="de-DE"/>
        </w:rPr>
        <w:t xml:space="preserve"> </w:t>
      </w:r>
      <w:r w:rsidRPr="00170422">
        <w:rPr>
          <w:rFonts w:ascii="Times New Roman" w:hAnsi="Times New Roman" w:cs="Times New Roman"/>
          <w:noProof/>
          <w:lang w:val="de-DE"/>
        </w:rPr>
        <w:t>ARF-Investitionen in die Fazilität tragen zu den Klimaschutzzielen gemäß Anhang VI der ARF-Verordnung bei</w:t>
      </w:r>
      <w:r w:rsidRPr="00170422">
        <w:rPr>
          <w:rStyle w:val="FootnoteReference"/>
          <w:rFonts w:ascii="Times New Roman" w:hAnsi="Times New Roman" w:cs="Times New Roman"/>
          <w:noProof/>
          <w:lang w:val="de-DE"/>
        </w:rPr>
        <w:footnoteReference w:id="59"/>
      </w:r>
      <w:r w:rsidRPr="00170422">
        <w:rPr>
          <w:rFonts w:ascii="Times New Roman" w:hAnsi="Times New Roman" w:cs="Times New Roman"/>
          <w:noProof/>
          <w:lang w:val="de-DE"/>
        </w:rPr>
        <w:t>.</w:t>
      </w:r>
    </w:p>
    <w:p w14:paraId="5CB68DFF" w14:textId="77777777" w:rsidR="0057163C" w:rsidRPr="00170422" w:rsidRDefault="00F37BF9">
      <w:pPr>
        <w:pStyle w:val="P68B1DB1-Normal5"/>
        <w:spacing w:before="120" w:after="120"/>
        <w:jc w:val="both"/>
        <w:rPr>
          <w:noProof/>
          <w:lang w:val="de-DE"/>
        </w:rPr>
      </w:pPr>
      <w:r w:rsidRPr="00170422">
        <w:rPr>
          <w:noProof/>
          <w:lang w:val="de-DE"/>
        </w:rPr>
        <w:t>Teilinvestition 2:</w:t>
      </w:r>
    </w:p>
    <w:p w14:paraId="6272644C" w14:textId="77777777" w:rsidR="0057163C" w:rsidRPr="00170422" w:rsidRDefault="00F37BF9">
      <w:pPr>
        <w:pStyle w:val="P68B1DB1-Normal7"/>
        <w:spacing w:before="120" w:after="120"/>
        <w:jc w:val="both"/>
        <w:rPr>
          <w:noProof/>
          <w:lang w:val="de-DE"/>
        </w:rPr>
      </w:pPr>
      <w:r w:rsidRPr="00170422">
        <w:rPr>
          <w:noProof/>
          <w:lang w:val="de-DE"/>
        </w:rPr>
        <w:t>Diese Teilinvestition besteht aus einer öffentlichen Investition in eine Fazilität „Wettbewerbsfähigkeit und Resilienz strategischer Lieferketten“, um Anreize für private Investitionen zu schaffen und den Zugang zu Finanzmitteln zur Stär</w:t>
      </w:r>
      <w:r w:rsidRPr="00170422">
        <w:rPr>
          <w:noProof/>
          <w:lang w:val="de-DE"/>
        </w:rPr>
        <w:t>kung der industriellen Lieferketten zu verbessern.</w:t>
      </w:r>
    </w:p>
    <w:p w14:paraId="597EB0B1" w14:textId="77777777" w:rsidR="0057163C" w:rsidRPr="00170422" w:rsidRDefault="00F37BF9">
      <w:pPr>
        <w:pStyle w:val="P68B1DB1-Normal7"/>
        <w:spacing w:after="120"/>
        <w:jc w:val="both"/>
        <w:rPr>
          <w:noProof/>
          <w:lang w:val="de-DE"/>
        </w:rPr>
      </w:pPr>
      <w:r w:rsidRPr="00170422">
        <w:rPr>
          <w:noProof/>
          <w:lang w:val="de-DE"/>
        </w:rPr>
        <w:t>Mit der Investition werden Projekte im Zusammenhang mit wichtigen strategischen Wertschöpfungsketten wie industrielle Entwicklungsprogramme und Programme zur Entwicklung des Umweltschutzes unterstützt.</w:t>
      </w:r>
    </w:p>
    <w:p w14:paraId="6C4D6485" w14:textId="77777777" w:rsidR="0057163C" w:rsidRPr="00170422" w:rsidRDefault="00F37BF9">
      <w:pPr>
        <w:pStyle w:val="P68B1DB1-Normal7"/>
        <w:spacing w:after="120"/>
        <w:jc w:val="both"/>
        <w:rPr>
          <w:noProof/>
          <w:lang w:val="de-DE"/>
        </w:rPr>
      </w:pPr>
      <w:r w:rsidRPr="00170422">
        <w:rPr>
          <w:noProof/>
          <w:lang w:val="de-DE"/>
        </w:rPr>
        <w:t>Die</w:t>
      </w:r>
      <w:r w:rsidRPr="00170422">
        <w:rPr>
          <w:noProof/>
          <w:lang w:val="de-DE"/>
        </w:rPr>
        <w:t xml:space="preserve"> Fazilität wird in Form von nicht rückzahlbaren Zuschüssen, zinsvergünstigten Darlehen und Zinszuschüssen direkt für den Privatsektor eingesetzt.</w:t>
      </w:r>
    </w:p>
    <w:p w14:paraId="70162392" w14:textId="77777777" w:rsidR="0057163C" w:rsidRPr="00170422" w:rsidRDefault="00F37BF9">
      <w:pPr>
        <w:pStyle w:val="P68B1DB1-Normal7"/>
        <w:spacing w:after="120"/>
        <w:jc w:val="both"/>
        <w:rPr>
          <w:noProof/>
          <w:lang w:val="de-DE"/>
        </w:rPr>
      </w:pPr>
      <w:r w:rsidRPr="00170422">
        <w:rPr>
          <w:noProof/>
          <w:lang w:val="de-DE"/>
        </w:rPr>
        <w:t xml:space="preserve">Die Fazilität wird von Invitalia S.p.A. als Durchführungspartner verwaltet. </w:t>
      </w:r>
    </w:p>
    <w:p w14:paraId="1C5F8F8D" w14:textId="77777777" w:rsidR="0057163C" w:rsidRPr="00170422" w:rsidRDefault="00F37BF9">
      <w:pPr>
        <w:pStyle w:val="P68B1DB1-Normal7"/>
        <w:spacing w:after="120"/>
        <w:jc w:val="both"/>
        <w:rPr>
          <w:noProof/>
          <w:lang w:val="de-DE"/>
        </w:rPr>
      </w:pPr>
      <w:r w:rsidRPr="00170422">
        <w:rPr>
          <w:noProof/>
          <w:lang w:val="de-DE"/>
        </w:rPr>
        <w:t xml:space="preserve">Zur Durchführung der Investition </w:t>
      </w:r>
      <w:r w:rsidRPr="00170422">
        <w:rPr>
          <w:noProof/>
          <w:lang w:val="de-DE"/>
        </w:rPr>
        <w:t>in die Fazilität unterzeichnen Italien und Invitalia ein Durchführungsabkommen, das Folgendes enthält:</w:t>
      </w:r>
    </w:p>
    <w:p w14:paraId="58764336" w14:textId="77777777" w:rsidR="0057163C" w:rsidRPr="00170422" w:rsidRDefault="00F37BF9">
      <w:pPr>
        <w:pStyle w:val="P68B1DB1-ListParagraph37"/>
        <w:numPr>
          <w:ilvl w:val="0"/>
          <w:numId w:val="60"/>
        </w:numPr>
        <w:spacing w:after="120" w:line="240" w:lineRule="auto"/>
        <w:jc w:val="both"/>
        <w:rPr>
          <w:noProof/>
          <w:lang w:val="de-DE"/>
        </w:rPr>
      </w:pPr>
      <w:r w:rsidRPr="00170422">
        <w:rPr>
          <w:noProof/>
          <w:lang w:val="de-DE"/>
        </w:rPr>
        <w:t>Beschreibung des Entscheidungsprozesses der Fazilität: Die endgültigen Investitions- und Vergabebeschlüsse der Fazilität werden von einem Investitionsaus</w:t>
      </w:r>
      <w:r w:rsidRPr="00170422">
        <w:rPr>
          <w:noProof/>
          <w:lang w:val="de-DE"/>
        </w:rPr>
        <w:t>schuss oder einem anderen einschlägigen gleichwertigen Leitungsgremium gefasst und mit der Mehrheit der Stimmen der von der Regierung unabhängigen Mitglieder genehmigt.</w:t>
      </w:r>
    </w:p>
    <w:p w14:paraId="04A5C01C" w14:textId="77777777" w:rsidR="0057163C" w:rsidRPr="00170422" w:rsidRDefault="00F37BF9">
      <w:pPr>
        <w:pStyle w:val="P68B1DB1-ListParagraph37"/>
        <w:numPr>
          <w:ilvl w:val="0"/>
          <w:numId w:val="60"/>
        </w:numPr>
        <w:spacing w:after="120" w:line="240" w:lineRule="auto"/>
        <w:jc w:val="both"/>
        <w:rPr>
          <w:noProof/>
          <w:lang w:val="de-DE"/>
        </w:rPr>
      </w:pPr>
      <w:r w:rsidRPr="00170422">
        <w:rPr>
          <w:noProof/>
          <w:lang w:val="de-DE"/>
        </w:rPr>
        <w:t>Kernanforderungen der zugehörigen Anlagepolitik, die Folgendes umfassen:</w:t>
      </w:r>
    </w:p>
    <w:p w14:paraId="65C7B72E" w14:textId="77777777" w:rsidR="0057163C" w:rsidRPr="00170422" w:rsidRDefault="00F37BF9">
      <w:pPr>
        <w:pStyle w:val="P68B1DB1-ListParagraph37"/>
        <w:numPr>
          <w:ilvl w:val="0"/>
          <w:numId w:val="61"/>
        </w:numPr>
        <w:spacing w:after="120" w:line="240" w:lineRule="auto"/>
        <w:jc w:val="both"/>
        <w:rPr>
          <w:noProof/>
          <w:lang w:val="de-DE"/>
        </w:rPr>
      </w:pPr>
      <w:r w:rsidRPr="00170422">
        <w:rPr>
          <w:noProof/>
          <w:lang w:val="de-DE"/>
        </w:rPr>
        <w:t>Die Beschreibu</w:t>
      </w:r>
      <w:r w:rsidRPr="00170422">
        <w:rPr>
          <w:noProof/>
          <w:lang w:val="de-DE"/>
        </w:rPr>
        <w:t xml:space="preserve">ng des/der Finanzprodukt(s) und der förderfähigen Endbegünstigten. </w:t>
      </w:r>
    </w:p>
    <w:p w14:paraId="39CB44B7" w14:textId="77777777" w:rsidR="0057163C" w:rsidRPr="00170422" w:rsidRDefault="00F37BF9">
      <w:pPr>
        <w:pStyle w:val="P68B1DB1-ListParagraph37"/>
        <w:numPr>
          <w:ilvl w:val="0"/>
          <w:numId w:val="61"/>
        </w:numPr>
        <w:spacing w:after="120" w:line="240" w:lineRule="auto"/>
        <w:jc w:val="both"/>
        <w:rPr>
          <w:noProof/>
          <w:lang w:val="de-DE"/>
        </w:rPr>
      </w:pPr>
      <w:r w:rsidRPr="00170422">
        <w:rPr>
          <w:noProof/>
          <w:lang w:val="de-DE"/>
        </w:rPr>
        <w:t xml:space="preserve">Die Anforderung, dass alle geförderten Investitionen wirtschaftlich tragfähig sind. </w:t>
      </w:r>
    </w:p>
    <w:p w14:paraId="4617F4A0" w14:textId="77777777" w:rsidR="0057163C" w:rsidRPr="00170422" w:rsidRDefault="00F37BF9">
      <w:pPr>
        <w:pStyle w:val="ListParagraph"/>
        <w:numPr>
          <w:ilvl w:val="0"/>
          <w:numId w:val="61"/>
        </w:numPr>
        <w:spacing w:after="120" w:line="240" w:lineRule="auto"/>
        <w:jc w:val="both"/>
        <w:rPr>
          <w:rFonts w:ascii="Times New Roman" w:hAnsi="Times New Roman" w:cs="Times New Roman"/>
          <w:noProof/>
          <w:lang w:val="de-DE"/>
        </w:rPr>
      </w:pPr>
      <w:r w:rsidRPr="00170422">
        <w:rPr>
          <w:rFonts w:ascii="Times New Roman" w:hAnsi="Times New Roman" w:cs="Times New Roman"/>
          <w:noProof/>
          <w:lang w:val="de-DE"/>
        </w:rPr>
        <w:t>Die Anforderung, den Grundsatz der „Vermeidung erheblicher Beeinträchtigungen“ (DNSH) gemäß den technis</w:t>
      </w:r>
      <w:r w:rsidRPr="00170422">
        <w:rPr>
          <w:rFonts w:ascii="Times New Roman" w:hAnsi="Times New Roman" w:cs="Times New Roman"/>
          <w:noProof/>
          <w:lang w:val="de-DE"/>
        </w:rPr>
        <w:t>chen Leitlinien zur Vermeidung erheblicher Beeinträchtigungen (2021/C58/01) einzuhalten. Insbesondere schließt die Anlagepolitik die folgende Liste von Tätigkeiten und Vermögenswerten von der Förderfähigkeit aus: Tätigkeiten und Vermögenswerte im Zusammenh</w:t>
      </w:r>
      <w:r w:rsidRPr="00170422">
        <w:rPr>
          <w:rFonts w:ascii="Times New Roman" w:hAnsi="Times New Roman" w:cs="Times New Roman"/>
          <w:noProof/>
          <w:lang w:val="de-DE"/>
        </w:rPr>
        <w:t>ang mit fossilen Brennstoffen, einschließlich nachgelagerter Nutzung,</w:t>
      </w:r>
      <w:r w:rsidRPr="00170422">
        <w:rPr>
          <w:rStyle w:val="FootnoteReference"/>
          <w:rFonts w:ascii="Times New Roman" w:hAnsi="Times New Roman" w:cs="Times New Roman"/>
          <w:noProof/>
          <w:lang w:val="de-DE"/>
        </w:rPr>
        <w:footnoteReference w:id="60"/>
      </w:r>
      <w:r w:rsidRPr="00170422">
        <w:rPr>
          <w:rFonts w:ascii="Times New Roman" w:hAnsi="Times New Roman" w:cs="Times New Roman"/>
          <w:noProof/>
          <w:lang w:val="de-DE"/>
        </w:rPr>
        <w:t>ii) Tätigkeiten und Vermögenswerte im Rahmen des EU-Emissionshandelssystems (EHS), mit denen prognostizierte Treibhausgasemissionen erreicht werden, die nicht unter den einschlägigen Ric</w:t>
      </w:r>
      <w:r w:rsidRPr="00170422">
        <w:rPr>
          <w:rFonts w:ascii="Times New Roman" w:hAnsi="Times New Roman" w:cs="Times New Roman"/>
          <w:noProof/>
          <w:lang w:val="de-DE"/>
        </w:rPr>
        <w:t>htwerten liegen,</w:t>
      </w:r>
      <w:r w:rsidRPr="00170422">
        <w:rPr>
          <w:rStyle w:val="FootnoteReference"/>
          <w:rFonts w:ascii="Times New Roman" w:hAnsi="Times New Roman" w:cs="Times New Roman"/>
          <w:noProof/>
          <w:lang w:val="de-DE"/>
        </w:rPr>
        <w:footnoteReference w:id="61"/>
      </w:r>
      <w:r w:rsidRPr="00170422">
        <w:rPr>
          <w:rFonts w:ascii="Times New Roman" w:hAnsi="Times New Roman" w:cs="Times New Roman"/>
          <w:noProof/>
          <w:lang w:val="de-DE"/>
        </w:rPr>
        <w:t>iii) Tätigkeiten und Vermögenswerte im Zusammenhang mit Abfalldeponien, Verbrennungsanlagen</w:t>
      </w:r>
      <w:r w:rsidRPr="00170422">
        <w:rPr>
          <w:rStyle w:val="FootnoteReference"/>
          <w:rFonts w:ascii="Times New Roman" w:hAnsi="Times New Roman" w:cs="Times New Roman"/>
          <w:noProof/>
          <w:lang w:val="de-DE"/>
        </w:rPr>
        <w:footnoteReference w:id="62"/>
      </w:r>
      <w:r w:rsidRPr="00170422">
        <w:rPr>
          <w:rFonts w:ascii="Times New Roman" w:hAnsi="Times New Roman" w:cs="Times New Roman"/>
          <w:noProof/>
          <w:lang w:val="de-DE"/>
        </w:rPr>
        <w:t xml:space="preserve"> und mechanisch-biologischen Behandlungsanlagen</w:t>
      </w:r>
      <w:r w:rsidRPr="00170422">
        <w:rPr>
          <w:rStyle w:val="FootnoteReference"/>
          <w:rFonts w:ascii="Times New Roman" w:hAnsi="Times New Roman" w:cs="Times New Roman"/>
          <w:noProof/>
          <w:lang w:val="de-DE"/>
        </w:rPr>
        <w:footnoteReference w:id="63"/>
      </w:r>
      <w:r w:rsidRPr="00170422">
        <w:rPr>
          <w:rFonts w:ascii="Times New Roman" w:hAnsi="Times New Roman" w:cs="Times New Roman"/>
          <w:noProof/>
          <w:lang w:val="de-DE"/>
        </w:rPr>
        <w:t xml:space="preserve">. </w:t>
      </w:r>
    </w:p>
    <w:p w14:paraId="2010774B" w14:textId="77777777" w:rsidR="0057163C" w:rsidRPr="00170422" w:rsidRDefault="00F37BF9">
      <w:pPr>
        <w:pStyle w:val="P68B1DB1-ListParagraph37"/>
        <w:numPr>
          <w:ilvl w:val="0"/>
          <w:numId w:val="61"/>
        </w:numPr>
        <w:spacing w:after="120" w:line="240" w:lineRule="auto"/>
        <w:jc w:val="both"/>
        <w:rPr>
          <w:noProof/>
          <w:lang w:val="de-DE"/>
        </w:rPr>
      </w:pPr>
      <w:r w:rsidRPr="00170422">
        <w:rPr>
          <w:noProof/>
          <w:lang w:val="de-DE"/>
        </w:rPr>
        <w:t>Die Anforderung, dass die Endbegünstigten der Fazilität keine Unterstützung aus anderen Instrume</w:t>
      </w:r>
      <w:r w:rsidRPr="00170422">
        <w:rPr>
          <w:noProof/>
          <w:lang w:val="de-DE"/>
        </w:rPr>
        <w:t>nten der Union erhalten dürfen, um dieselben Kosten zu decken.</w:t>
      </w:r>
    </w:p>
    <w:p w14:paraId="32BD3191" w14:textId="77777777" w:rsidR="0057163C" w:rsidRPr="00170422" w:rsidRDefault="00F37BF9">
      <w:pPr>
        <w:pStyle w:val="P68B1DB1-ListParagraph37"/>
        <w:numPr>
          <w:ilvl w:val="0"/>
          <w:numId w:val="60"/>
        </w:numPr>
        <w:spacing w:after="120" w:line="240" w:lineRule="auto"/>
        <w:jc w:val="both"/>
        <w:rPr>
          <w:noProof/>
          <w:lang w:val="de-DE"/>
        </w:rPr>
      </w:pPr>
      <w:r w:rsidRPr="00170422">
        <w:rPr>
          <w:noProof/>
          <w:lang w:val="de-DE"/>
        </w:rPr>
        <w:t>Der unter die Durchführungsvereinbarung fallende Betrag, die Gebührenstruktur für den Durchführungspartner und die Anforderung, etwaige Rückflüsse entsprechend der Investitionspolitik der Fazil</w:t>
      </w:r>
      <w:r w:rsidRPr="00170422">
        <w:rPr>
          <w:noProof/>
          <w:lang w:val="de-DE"/>
        </w:rPr>
        <w:t>ität zu reinvestieren.</w:t>
      </w:r>
    </w:p>
    <w:p w14:paraId="1F235FCB" w14:textId="77777777" w:rsidR="0057163C" w:rsidRPr="00170422" w:rsidRDefault="00F37BF9">
      <w:pPr>
        <w:pStyle w:val="P68B1DB1-ListParagraph37"/>
        <w:numPr>
          <w:ilvl w:val="0"/>
          <w:numId w:val="60"/>
        </w:numPr>
        <w:spacing w:after="120" w:line="240" w:lineRule="auto"/>
        <w:jc w:val="both"/>
        <w:rPr>
          <w:noProof/>
          <w:lang w:val="de-DE"/>
        </w:rPr>
      </w:pPr>
      <w:r w:rsidRPr="00170422">
        <w:rPr>
          <w:noProof/>
          <w:lang w:val="de-DE"/>
        </w:rPr>
        <w:t>Überwachungs-, Prüf- und Kontrollanforderungen, einschließlich:</w:t>
      </w:r>
    </w:p>
    <w:p w14:paraId="2B1EB99A" w14:textId="77777777" w:rsidR="0057163C" w:rsidRPr="00170422" w:rsidRDefault="00F37BF9">
      <w:pPr>
        <w:pStyle w:val="P68B1DB1-ListParagraph36"/>
        <w:numPr>
          <w:ilvl w:val="1"/>
          <w:numId w:val="62"/>
        </w:numPr>
        <w:spacing w:after="120" w:line="240" w:lineRule="auto"/>
        <w:jc w:val="both"/>
        <w:rPr>
          <w:rFonts w:hint="default"/>
          <w:noProof/>
          <w:lang w:val="de-DE"/>
        </w:rPr>
      </w:pPr>
      <w:r w:rsidRPr="00170422">
        <w:rPr>
          <w:rFonts w:hint="default"/>
          <w:noProof/>
          <w:lang w:val="de-DE"/>
        </w:rPr>
        <w:t>Die Beschreibung des Überwachungssystems des Durchführungspartners zur Berichterstattung über die mobilisierten Investitionen.</w:t>
      </w:r>
    </w:p>
    <w:p w14:paraId="54C30E07" w14:textId="77777777" w:rsidR="0057163C" w:rsidRPr="00170422" w:rsidRDefault="00F37BF9">
      <w:pPr>
        <w:pStyle w:val="P68B1DB1-ListParagraph36"/>
        <w:numPr>
          <w:ilvl w:val="1"/>
          <w:numId w:val="62"/>
        </w:numPr>
        <w:spacing w:after="120" w:line="240" w:lineRule="auto"/>
        <w:jc w:val="both"/>
        <w:rPr>
          <w:rFonts w:hint="default"/>
          <w:noProof/>
          <w:lang w:val="de-DE"/>
        </w:rPr>
      </w:pPr>
      <w:r w:rsidRPr="00170422">
        <w:rPr>
          <w:rFonts w:hint="default"/>
          <w:noProof/>
          <w:lang w:val="de-DE"/>
        </w:rPr>
        <w:t xml:space="preserve">Die Beschreibung der Verfahren des Durchführungspartners, die die Prävention, Aufdeckung und Behebung von Betrug, Korruption und Interessenkonflikten gewährleisten. </w:t>
      </w:r>
    </w:p>
    <w:p w14:paraId="59FE0E83" w14:textId="77777777" w:rsidR="0057163C" w:rsidRPr="00170422" w:rsidRDefault="00F37BF9">
      <w:pPr>
        <w:pStyle w:val="P68B1DB1-ListParagraph37"/>
        <w:numPr>
          <w:ilvl w:val="1"/>
          <w:numId w:val="62"/>
        </w:numPr>
        <w:spacing w:after="120" w:line="240" w:lineRule="auto"/>
        <w:jc w:val="both"/>
        <w:rPr>
          <w:noProof/>
          <w:lang w:val="de-DE"/>
        </w:rPr>
      </w:pPr>
      <w:r w:rsidRPr="00170422">
        <w:rPr>
          <w:noProof/>
          <w:lang w:val="de-DE"/>
        </w:rPr>
        <w:t>Die Verpflichtung, die Förderfähigkeit jeder Maßnahme im Einklang mit den Anforderungen de</w:t>
      </w:r>
      <w:r w:rsidRPr="00170422">
        <w:rPr>
          <w:noProof/>
          <w:lang w:val="de-DE"/>
        </w:rPr>
        <w:t>s Durchführungsübereinkommens zu überprüfen, bevor sie sich zur Finanzierung einer Operation verpflichtet.</w:t>
      </w:r>
    </w:p>
    <w:p w14:paraId="027FADFB" w14:textId="77777777" w:rsidR="0057163C" w:rsidRPr="00170422" w:rsidRDefault="00F37BF9">
      <w:pPr>
        <w:pStyle w:val="P68B1DB1-ListParagraph37"/>
        <w:numPr>
          <w:ilvl w:val="1"/>
          <w:numId w:val="62"/>
        </w:numPr>
        <w:spacing w:after="120" w:line="240" w:lineRule="auto"/>
        <w:jc w:val="both"/>
        <w:rPr>
          <w:noProof/>
          <w:lang w:val="de-DE"/>
        </w:rPr>
      </w:pPr>
      <w:r w:rsidRPr="00170422">
        <w:rPr>
          <w:noProof/>
          <w:lang w:val="de-DE"/>
        </w:rPr>
        <w:t>Die Verpflichtung zur Durchführung risikobasierter Ex-post-Prüfungen gemäß einem Auditplan des BSG Invitalia. Bei diesen Audits wird Folgendes überpr</w:t>
      </w:r>
      <w:r w:rsidRPr="00170422">
        <w:rPr>
          <w:noProof/>
          <w:lang w:val="de-DE"/>
        </w:rPr>
        <w:t>üft:</w:t>
      </w:r>
    </w:p>
    <w:p w14:paraId="7742295B" w14:textId="77777777" w:rsidR="0057163C" w:rsidRPr="00170422" w:rsidRDefault="00F37BF9">
      <w:pPr>
        <w:pStyle w:val="P68B1DB1-ListParagraph37"/>
        <w:numPr>
          <w:ilvl w:val="2"/>
          <w:numId w:val="62"/>
        </w:numPr>
        <w:spacing w:after="120" w:line="240" w:lineRule="auto"/>
        <w:jc w:val="both"/>
        <w:rPr>
          <w:noProof/>
          <w:lang w:val="de-DE"/>
        </w:rPr>
      </w:pPr>
      <w:r w:rsidRPr="00170422">
        <w:rPr>
          <w:noProof/>
          <w:lang w:val="de-DE"/>
        </w:rPr>
        <w:t>dass die Kontrollsysteme wirksam sind, einschließlich der Aufdeckung von Betrug, Korruption und Interessenkonflikten;</w:t>
      </w:r>
    </w:p>
    <w:p w14:paraId="40398A96" w14:textId="77777777" w:rsidR="0057163C" w:rsidRPr="00170422" w:rsidRDefault="00F37BF9">
      <w:pPr>
        <w:pStyle w:val="P68B1DB1-ListParagraph37"/>
        <w:numPr>
          <w:ilvl w:val="2"/>
          <w:numId w:val="62"/>
        </w:numPr>
        <w:spacing w:after="120" w:line="240" w:lineRule="auto"/>
        <w:jc w:val="both"/>
        <w:rPr>
          <w:noProof/>
          <w:lang w:val="de-DE"/>
        </w:rPr>
      </w:pPr>
      <w:r w:rsidRPr="00170422">
        <w:rPr>
          <w:noProof/>
          <w:lang w:val="de-DE"/>
        </w:rPr>
        <w:t xml:space="preserve">Einhaltung des DNSH-Grundsatzes, der Vorschriften über staatliche Beihilfen und der Klimazielvorgaben; und </w:t>
      </w:r>
    </w:p>
    <w:p w14:paraId="13932B43" w14:textId="11BC446D" w:rsidR="0057163C" w:rsidRPr="00170422" w:rsidRDefault="00F37BF9">
      <w:pPr>
        <w:pStyle w:val="P68B1DB1-ListParagraph37"/>
        <w:numPr>
          <w:ilvl w:val="2"/>
          <w:numId w:val="62"/>
        </w:numPr>
        <w:spacing w:after="120" w:line="240" w:lineRule="auto"/>
        <w:jc w:val="both"/>
        <w:rPr>
          <w:noProof/>
          <w:lang w:val="de-DE"/>
        </w:rPr>
      </w:pPr>
      <w:r w:rsidRPr="00170422">
        <w:rPr>
          <w:noProof/>
          <w:lang w:val="de-DE"/>
        </w:rPr>
        <w:t>die Anforderung, dass die</w:t>
      </w:r>
      <w:r w:rsidRPr="00170422">
        <w:rPr>
          <w:noProof/>
          <w:lang w:val="de-DE"/>
        </w:rPr>
        <w:t xml:space="preserve"> Endbegünstigten der Fazilität keine Unterstützung aus anderen Instrumenten der Union erhalten haben, um dieselben Kosten zu decken, wird eingehalten. Bei den Prüfungen wird auch die Rechtmäßigkeit der Vorgänge und die Einhaltung der Bedingungen des gelten</w:t>
      </w:r>
      <w:r w:rsidRPr="00170422">
        <w:rPr>
          <w:noProof/>
          <w:lang w:val="de-DE"/>
        </w:rPr>
        <w:t>den Durchführungsabkommens überprüft.</w:t>
      </w:r>
    </w:p>
    <w:p w14:paraId="0FEF5986" w14:textId="77777777" w:rsidR="0057163C" w:rsidRPr="00170422" w:rsidRDefault="00F37BF9">
      <w:pPr>
        <w:pStyle w:val="P68B1DB1-Normal29"/>
        <w:spacing w:before="120" w:after="120"/>
        <w:jc w:val="both"/>
        <w:rPr>
          <w:noProof/>
          <w:lang w:val="de-DE"/>
        </w:rPr>
      </w:pPr>
      <w:r w:rsidRPr="00170422">
        <w:rPr>
          <w:noProof/>
          <w:lang w:val="de-DE"/>
        </w:rPr>
        <w:t>Investition 5.2 – Entwicklung einer internationalen, industriellen und FuE-Führung im Bereich Wasserstoff</w:t>
      </w:r>
    </w:p>
    <w:p w14:paraId="6C4A1549" w14:textId="77777777" w:rsidR="0057163C" w:rsidRPr="00170422" w:rsidRDefault="00F37BF9">
      <w:pPr>
        <w:pStyle w:val="P68B1DB1-Normal8"/>
        <w:spacing w:before="120" w:after="120"/>
        <w:jc w:val="both"/>
        <w:rPr>
          <w:noProof/>
          <w:lang w:val="de-DE"/>
        </w:rPr>
      </w:pPr>
      <w:r w:rsidRPr="00170422">
        <w:rPr>
          <w:noProof/>
          <w:lang w:val="de-DE"/>
        </w:rPr>
        <w:t>Ziel dieser Investition ist es, die Wasserstoff-Wertschöpfungskette in Italien zu unterstützen. Diese Investitio</w:t>
      </w:r>
      <w:r w:rsidRPr="00170422">
        <w:rPr>
          <w:noProof/>
          <w:lang w:val="de-DE"/>
        </w:rPr>
        <w:t>n besteht in der Finanzierung 1) wichtige Vorhaben von gemeinsamem europäischem Interesse (IPCEI) zur Steigerung der Produktionskapazitäten für Elektrolyseure, 2) zusätzliche Projekte für die Herstellung von Elektrolyseuren, 3) industrielle Investitionen z</w:t>
      </w:r>
      <w:r w:rsidRPr="00170422">
        <w:rPr>
          <w:noProof/>
          <w:lang w:val="de-DE"/>
        </w:rPr>
        <w:t xml:space="preserve">ur Unterstützung der Wasserstoff-Wertschöpfungskette, einschließlich FuE und Ausbildung. </w:t>
      </w:r>
    </w:p>
    <w:p w14:paraId="711F86C8" w14:textId="77777777" w:rsidR="0057163C" w:rsidRPr="00170422" w:rsidRDefault="00F37BF9">
      <w:pPr>
        <w:pStyle w:val="P68B1DB1-Normal29"/>
        <w:spacing w:before="120" w:after="120"/>
        <w:jc w:val="both"/>
        <w:rPr>
          <w:noProof/>
          <w:lang w:val="de-DE"/>
        </w:rPr>
      </w:pPr>
      <w:r w:rsidRPr="00170422">
        <w:rPr>
          <w:noProof/>
          <w:lang w:val="de-DE"/>
        </w:rPr>
        <w:t>Investition 5.3 – Entwicklung einer internationalen, industriellen und FuE-Führung im Bereich Elektrobusse</w:t>
      </w:r>
    </w:p>
    <w:p w14:paraId="61828AD5" w14:textId="7E99D44C" w:rsidR="0057163C" w:rsidRPr="00170422" w:rsidRDefault="00F37BF9">
      <w:pPr>
        <w:pStyle w:val="P68B1DB1-Normal8"/>
        <w:spacing w:before="120" w:after="120"/>
        <w:jc w:val="both"/>
        <w:rPr>
          <w:noProof/>
          <w:lang w:val="de-DE"/>
        </w:rPr>
      </w:pPr>
      <w:r w:rsidRPr="00170422">
        <w:rPr>
          <w:noProof/>
          <w:lang w:val="de-DE"/>
        </w:rPr>
        <w:t xml:space="preserve">Mit dieser Investition sollen etwa 45 Projekte unterstützt </w:t>
      </w:r>
      <w:r w:rsidRPr="00170422">
        <w:rPr>
          <w:noProof/>
          <w:lang w:val="de-DE"/>
        </w:rPr>
        <w:t>werden, mit denen der digitale und grüne Wandel der Busindustrie hin zu produktbezogenen Elektrobussen und vernetzten Bussen gefördert werden kann. Mit diesen Investitionen sollen auch Investitionen in die Erneuerung der Elektrobusflotte (ohne Hybridbusse)</w:t>
      </w:r>
      <w:r w:rsidRPr="00170422">
        <w:rPr>
          <w:noProof/>
          <w:lang w:val="de-DE"/>
        </w:rPr>
        <w:t xml:space="preserve"> unterstützt werden.</w:t>
      </w:r>
    </w:p>
    <w:p w14:paraId="68150809" w14:textId="77777777" w:rsidR="0057163C" w:rsidRPr="00170422" w:rsidRDefault="00F37BF9">
      <w:pPr>
        <w:pStyle w:val="P68B1DB1-Normal29"/>
        <w:spacing w:before="120" w:after="120"/>
        <w:jc w:val="both"/>
        <w:rPr>
          <w:bCs/>
          <w:noProof/>
          <w:lang w:val="de-DE"/>
        </w:rPr>
      </w:pPr>
      <w:r w:rsidRPr="00170422">
        <w:rPr>
          <w:noProof/>
          <w:lang w:val="de-DE"/>
        </w:rPr>
        <w:t>Investition 5.4 – Kapitalzufuhr in den von CDP Venture Capital SGR verwalteten Fonds für den grünen Wandel („GTF“)</w:t>
      </w:r>
    </w:p>
    <w:p w14:paraId="09E22860" w14:textId="77777777" w:rsidR="0057163C" w:rsidRPr="00170422" w:rsidRDefault="00F37BF9">
      <w:pPr>
        <w:pStyle w:val="P68B1DB1-Normal8"/>
        <w:spacing w:line="240" w:lineRule="auto"/>
        <w:jc w:val="both"/>
        <w:rPr>
          <w:noProof/>
          <w:lang w:val="de-DE"/>
        </w:rPr>
      </w:pPr>
      <w:r w:rsidRPr="00170422">
        <w:rPr>
          <w:noProof/>
          <w:lang w:val="de-DE"/>
        </w:rPr>
        <w:t>Mit dieser Maßnahme soll das Wachstumspotenzial der italienischen Wirtschaft gefördert werden, indem Anreize für private</w:t>
      </w:r>
      <w:r w:rsidRPr="00170422">
        <w:rPr>
          <w:noProof/>
          <w:lang w:val="de-DE"/>
        </w:rPr>
        <w:t xml:space="preserve"> Investitionen geschaffen, der Zugang zu Finanzmitteln für am ökologischen Wandel beteiligte Start-up-Unternehmen verbessert und der Risikokapitalmarkt in diesem Sektor ausgebaut wird. Die Maßnahme besteht in einer Kapitalzuführung in Höhe von 250 000 000 </w:t>
      </w:r>
      <w:r w:rsidRPr="00170422">
        <w:rPr>
          <w:noProof/>
          <w:lang w:val="de-DE"/>
        </w:rPr>
        <w:t xml:space="preserve">EUR in den von CDP Venture Capital SGR verwalteten Fonds für den grünen Wandel („GTF“). </w:t>
      </w:r>
    </w:p>
    <w:p w14:paraId="29197E15" w14:textId="688F627B" w:rsidR="0057163C" w:rsidRPr="00170422" w:rsidRDefault="00F37BF9">
      <w:pPr>
        <w:pStyle w:val="P68B1DB1-LegalNumPar260"/>
        <w:numPr>
          <w:ilvl w:val="0"/>
          <w:numId w:val="0"/>
        </w:numPr>
        <w:spacing w:line="259" w:lineRule="auto"/>
        <w:jc w:val="both"/>
        <w:rPr>
          <w:noProof/>
          <w:lang w:val="de-DE"/>
        </w:rPr>
      </w:pPr>
      <w:r w:rsidRPr="00170422">
        <w:rPr>
          <w:noProof/>
          <w:lang w:val="de-DE"/>
        </w:rPr>
        <w:t>CDP Venture Capital SGR verfolgt eine Anlagestrategie für die Nutzung des Eigenkapitals. Die Anlagepolitik enthält eine Beschreibung des/der Finanzprodukt(s) mit der v</w:t>
      </w:r>
      <w:r w:rsidRPr="00170422">
        <w:rPr>
          <w:noProof/>
          <w:lang w:val="de-DE"/>
        </w:rPr>
        <w:t>oraussichtlichen Art der förderfähigen Endempfänger</w:t>
      </w:r>
      <w:bookmarkStart w:id="14" w:name="_Hlk198572061"/>
      <w:r w:rsidRPr="00170422">
        <w:rPr>
          <w:noProof/>
          <w:lang w:val="de-DE"/>
        </w:rPr>
        <w:t>, die das Eigenkapital voraussichtlich unterstützen wird</w:t>
      </w:r>
      <w:bookmarkEnd w:id="14"/>
      <w:r w:rsidRPr="00170422">
        <w:rPr>
          <w:noProof/>
          <w:lang w:val="de-DE"/>
        </w:rPr>
        <w:t xml:space="preserve">, </w:t>
      </w:r>
      <w:bookmarkStart w:id="15" w:name="_Hlk198538454"/>
      <w:r w:rsidRPr="00170422">
        <w:rPr>
          <w:noProof/>
          <w:lang w:val="de-DE"/>
        </w:rPr>
        <w:t>einschließlich des voraussichtlichen Zeitplans für die Durchführung von 15 Jahren und der Verwaltungsgebühr von höchstens 13 %</w:t>
      </w:r>
      <w:bookmarkEnd w:id="15"/>
      <w:r w:rsidRPr="00170422">
        <w:rPr>
          <w:noProof/>
          <w:lang w:val="de-DE"/>
        </w:rPr>
        <w:t>.</w:t>
      </w:r>
      <w:r w:rsidRPr="00170422">
        <w:rPr>
          <w:noProof/>
          <w:vertAlign w:val="superscript"/>
          <w:lang w:val="de-DE"/>
        </w:rPr>
        <w:footnoteReference w:id="64"/>
      </w:r>
      <w:r w:rsidRPr="00170422">
        <w:rPr>
          <w:noProof/>
          <w:lang w:val="de-DE"/>
        </w:rPr>
        <w:t xml:space="preserve"> Der GTF wird durch</w:t>
      </w:r>
      <w:r w:rsidRPr="00170422">
        <w:rPr>
          <w:noProof/>
          <w:lang w:val="de-DE"/>
        </w:rPr>
        <w:t xml:space="preserve"> direkte oder indirekte Unterstützung in Form von Eigenkapital, Quasi-Eigenkapital, Fremd- oder Quasi-Schuldtiteln betrieben.</w:t>
      </w:r>
      <w:r w:rsidRPr="00170422">
        <w:rPr>
          <w:noProof/>
          <w:vertAlign w:val="superscript"/>
          <w:lang w:val="de-DE"/>
        </w:rPr>
        <w:footnoteReference w:id="65"/>
      </w:r>
      <w:r w:rsidRPr="00170422">
        <w:rPr>
          <w:noProof/>
          <w:lang w:val="de-DE"/>
        </w:rPr>
        <w:t xml:space="preserve"> CDP Venture Capital SGR wendet das in den Leitlinien „Linee Guida per le attività di rendicontazione e controllo dei Fondi DTF e </w:t>
      </w:r>
      <w:r w:rsidRPr="00170422">
        <w:rPr>
          <w:noProof/>
          <w:lang w:val="de-DE"/>
        </w:rPr>
        <w:t>GTF e GTF“ beschriebene Prüfungs- und Kontrollsystem für die Verwendung des Eigenkapitals an. Die Investitionspolitik schreibt vor, dass Finanzprodukte, die mit dem Eigenkapital unterstützt werden, dem Grundsatz der „Vermeidung erheblicher Beeinträchtigung</w:t>
      </w:r>
      <w:r w:rsidRPr="00170422">
        <w:rPr>
          <w:noProof/>
          <w:lang w:val="de-DE"/>
        </w:rPr>
        <w:t xml:space="preserve">en“ (DNSH) gemäß den technischen Leitlinien zur Vermeidung erheblicher Beeinträchtigungen (2021/C58/01) entsprechen müssen. Insbesondere im Falle der allgemeinen Unterstützung von Start-up-Unternehmen schließt die Investitionspolitik Unternehmen mit einem </w:t>
      </w:r>
      <w:r w:rsidRPr="00170422">
        <w:rPr>
          <w:noProof/>
          <w:lang w:val="de-DE"/>
        </w:rPr>
        <w:t>wesentlichen Schwerpunkt</w:t>
      </w:r>
      <w:r w:rsidRPr="00170422">
        <w:rPr>
          <w:noProof/>
          <w:vertAlign w:val="superscript"/>
          <w:lang w:val="de-DE"/>
        </w:rPr>
        <w:footnoteReference w:id="66"/>
      </w:r>
      <w:r w:rsidRPr="00170422">
        <w:rPr>
          <w:noProof/>
          <w:lang w:val="de-DE"/>
        </w:rPr>
        <w:t xml:space="preserve"> in folgenden Sektoren aus: I) auf fossilen Brennstoffen basierende Energieerzeugung und damit verbundene Tätigkeiten</w:t>
      </w:r>
      <w:r w:rsidRPr="00170422">
        <w:rPr>
          <w:noProof/>
          <w:vertAlign w:val="superscript"/>
          <w:lang w:val="de-DE"/>
        </w:rPr>
        <w:footnoteReference w:id="67"/>
      </w:r>
      <w:r w:rsidRPr="00170422">
        <w:rPr>
          <w:noProof/>
          <w:lang w:val="de-DE"/>
        </w:rPr>
        <w:t>; II) energieintensive und/oder CO2-Emissionen verursachende Industrien</w:t>
      </w:r>
      <w:r w:rsidRPr="00170422">
        <w:rPr>
          <w:noProof/>
          <w:vertAlign w:val="superscript"/>
          <w:lang w:val="de-DE"/>
        </w:rPr>
        <w:footnoteReference w:id="68"/>
      </w:r>
      <w:r w:rsidRPr="00170422">
        <w:rPr>
          <w:noProof/>
          <w:lang w:val="de-DE"/>
        </w:rPr>
        <w:t>; III) Herstellung, Vermietung oder Verka</w:t>
      </w:r>
      <w:r w:rsidRPr="00170422">
        <w:rPr>
          <w:noProof/>
          <w:lang w:val="de-DE"/>
        </w:rPr>
        <w:t>uf umweltschädlicher Fahrzeuge</w:t>
      </w:r>
      <w:r w:rsidRPr="00170422">
        <w:rPr>
          <w:noProof/>
          <w:vertAlign w:val="superscript"/>
          <w:lang w:val="de-DE"/>
        </w:rPr>
        <w:footnoteReference w:id="69"/>
      </w:r>
      <w:r w:rsidRPr="00170422">
        <w:rPr>
          <w:noProof/>
          <w:lang w:val="de-DE"/>
        </w:rPr>
        <w:t>; IV) Abfallsammlung, Abfallbehandlung und -entsorgung</w:t>
      </w:r>
      <w:r w:rsidRPr="00170422">
        <w:rPr>
          <w:noProof/>
          <w:vertAlign w:val="superscript"/>
          <w:lang w:val="de-DE"/>
        </w:rPr>
        <w:footnoteReference w:id="70"/>
      </w:r>
      <w:r w:rsidRPr="00170422">
        <w:rPr>
          <w:noProof/>
          <w:lang w:val="de-DE"/>
        </w:rPr>
        <w:t>, v) Aufbereitung von Kernbrennstoffen, Erzeugung von Kernenergie. Darüber hinaus erfordert die Investitionspolitik die Einhaltung der einschlägigen Umweltvorschriften de</w:t>
      </w:r>
      <w:r w:rsidRPr="00170422">
        <w:rPr>
          <w:noProof/>
          <w:lang w:val="de-DE"/>
        </w:rPr>
        <w:t>r EU und der Mitgliedstaaten.</w:t>
      </w:r>
    </w:p>
    <w:p w14:paraId="027ACCD4" w14:textId="0756D441" w:rsidR="0057163C" w:rsidRPr="00170422" w:rsidRDefault="00F37BF9">
      <w:pPr>
        <w:pStyle w:val="P68B1DB1-LegalNumPar260"/>
        <w:numPr>
          <w:ilvl w:val="0"/>
          <w:numId w:val="0"/>
        </w:numPr>
        <w:spacing w:line="259" w:lineRule="auto"/>
        <w:jc w:val="both"/>
        <w:rPr>
          <w:noProof/>
          <w:lang w:val="de-DE"/>
        </w:rPr>
        <w:sectPr w:rsidR="0057163C" w:rsidRPr="00170422" w:rsidSect="005F11B9">
          <w:headerReference w:type="even" r:id="rId92"/>
          <w:headerReference w:type="default" r:id="rId93"/>
          <w:footerReference w:type="even" r:id="rId94"/>
          <w:footerReference w:type="default" r:id="rId95"/>
          <w:headerReference w:type="first" r:id="rId96"/>
          <w:footerReference w:type="first" r:id="rId97"/>
          <w:pgSz w:w="11907" w:h="16839"/>
          <w:pgMar w:top="1134" w:right="1134" w:bottom="1134" w:left="1134" w:header="567" w:footer="567" w:gutter="0"/>
          <w:cols w:space="720"/>
          <w:docGrid w:linePitch="360"/>
        </w:sectPr>
      </w:pPr>
      <w:r w:rsidRPr="00170422">
        <w:rPr>
          <w:noProof/>
          <w:lang w:val="de-DE"/>
        </w:rPr>
        <w:t xml:space="preserve"> </w:t>
      </w:r>
    </w:p>
    <w:p w14:paraId="1C9D170A" w14:textId="77777777" w:rsidR="0057163C" w:rsidRPr="00170422" w:rsidRDefault="0057163C">
      <w:pPr>
        <w:spacing w:before="120" w:after="120"/>
        <w:jc w:val="both"/>
        <w:rPr>
          <w:rFonts w:ascii="Times New Roman" w:eastAsia="Times New Roman" w:hAnsi="Times New Roman" w:cs="Times New Roman"/>
          <w:noProof/>
          <w:lang w:val="de-DE"/>
        </w:rPr>
      </w:pPr>
    </w:p>
    <w:p w14:paraId="51899CDE" w14:textId="77777777" w:rsidR="0057163C" w:rsidRPr="00170422" w:rsidRDefault="00F37BF9">
      <w:pPr>
        <w:pStyle w:val="P68B1DB1-Heading341"/>
        <w:ind w:left="850" w:hanging="850"/>
        <w:rPr>
          <w:noProof/>
          <w:lang w:val="de-DE"/>
        </w:rPr>
      </w:pPr>
      <w:r w:rsidRPr="00170422">
        <w:rPr>
          <w:rFonts w:ascii="Times New Roman" w:eastAsia="Times New Roman" w:hAnsi="Times New Roman" w:cs="Times New Roman"/>
          <w:b/>
          <w:noProof/>
          <w:u w:val="single"/>
          <w:lang w:val="de-DE"/>
        </w:rPr>
        <w:t xml:space="preserve">E.4. </w:t>
      </w:r>
      <w:r w:rsidRPr="00170422">
        <w:rPr>
          <w:noProof/>
          <w:lang w:val="de-DE"/>
        </w:rPr>
        <w:t xml:space="preserve"> </w:t>
      </w:r>
      <w:r w:rsidRPr="00170422">
        <w:rPr>
          <w:rFonts w:ascii="Times New Roman" w:eastAsia="Times New Roman" w:hAnsi="Times New Roman" w:cs="Times New Roman"/>
          <w:b/>
          <w:noProof/>
          <w:u w:val="single"/>
          <w:lang w:val="de-DE"/>
        </w:rPr>
        <w:t xml:space="preserve">Etappenziele, Zielwerte, Indikatoren und Zeitplan für die Überwachung und Durchführung (Darlehen)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1"/>
        <w:gridCol w:w="2218"/>
        <w:gridCol w:w="1199"/>
        <w:gridCol w:w="1472"/>
        <w:gridCol w:w="1363"/>
        <w:gridCol w:w="1098"/>
        <w:gridCol w:w="1454"/>
        <w:gridCol w:w="850"/>
        <w:gridCol w:w="851"/>
        <w:gridCol w:w="709"/>
        <w:gridCol w:w="2600"/>
      </w:tblGrid>
      <w:tr w:rsidR="00A25317" w:rsidRPr="00170422" w14:paraId="2F01B201" w14:textId="77777777" w:rsidTr="00A25317">
        <w:trPr>
          <w:trHeight w:val="927"/>
          <w:tblHeader/>
          <w:jc w:val="center"/>
        </w:trPr>
        <w:tc>
          <w:tcPr>
            <w:tcW w:w="961" w:type="dxa"/>
            <w:vMerge w:val="restart"/>
            <w:shd w:val="clear" w:color="auto" w:fill="BDD7EE"/>
            <w:vAlign w:val="center"/>
            <w:hideMark/>
          </w:tcPr>
          <w:p w14:paraId="2753E05E" w14:textId="761352A0" w:rsidR="0057163C" w:rsidRPr="00170422" w:rsidRDefault="00A25317">
            <w:pPr>
              <w:pStyle w:val="P68B1DB1-Normal14"/>
              <w:jc w:val="center"/>
              <w:rPr>
                <w:b/>
                <w:bCs/>
                <w:noProof/>
                <w:szCs w:val="20"/>
                <w:lang w:val="de-DE"/>
              </w:rPr>
            </w:pPr>
            <w:r w:rsidRPr="00170422">
              <w:rPr>
                <w:b/>
                <w:bCs/>
                <w:noProof/>
                <w:lang w:val="de-DE"/>
              </w:rPr>
              <w:t>Laufende Nummer</w:t>
            </w:r>
          </w:p>
        </w:tc>
        <w:tc>
          <w:tcPr>
            <w:tcW w:w="2218" w:type="dxa"/>
            <w:vMerge w:val="restart"/>
            <w:shd w:val="clear" w:color="auto" w:fill="BDD7EE"/>
            <w:vAlign w:val="center"/>
            <w:hideMark/>
          </w:tcPr>
          <w:p w14:paraId="57D34951" w14:textId="77777777" w:rsidR="0057163C" w:rsidRPr="00170422" w:rsidRDefault="00F37BF9">
            <w:pPr>
              <w:pStyle w:val="P68B1DB1-Normal10"/>
              <w:jc w:val="center"/>
              <w:rPr>
                <w:noProof/>
                <w:szCs w:val="20"/>
                <w:lang w:val="de-DE"/>
              </w:rPr>
            </w:pPr>
            <w:r w:rsidRPr="00170422">
              <w:rPr>
                <w:noProof/>
                <w:lang w:val="de-DE"/>
              </w:rPr>
              <w:t xml:space="preserve">Verbundene Maßnahme (Reform oder </w:t>
            </w:r>
            <w:r w:rsidRPr="00170422">
              <w:rPr>
                <w:noProof/>
                <w:lang w:val="de-DE"/>
              </w:rPr>
              <w:t>Investition)</w:t>
            </w:r>
          </w:p>
        </w:tc>
        <w:tc>
          <w:tcPr>
            <w:tcW w:w="1199" w:type="dxa"/>
            <w:vMerge w:val="restart"/>
            <w:shd w:val="clear" w:color="auto" w:fill="BDD7EE"/>
            <w:vAlign w:val="center"/>
            <w:hideMark/>
          </w:tcPr>
          <w:p w14:paraId="5FB09A17" w14:textId="77777777" w:rsidR="0057163C" w:rsidRPr="00170422" w:rsidRDefault="00F37BF9">
            <w:pPr>
              <w:pStyle w:val="P68B1DB1-Normal10"/>
              <w:jc w:val="center"/>
              <w:rPr>
                <w:noProof/>
                <w:szCs w:val="20"/>
                <w:lang w:val="de-DE"/>
              </w:rPr>
            </w:pPr>
            <w:r w:rsidRPr="00170422">
              <w:rPr>
                <w:noProof/>
                <w:lang w:val="de-DE"/>
              </w:rPr>
              <w:t>Etappenziel/Zielwert</w:t>
            </w:r>
          </w:p>
        </w:tc>
        <w:tc>
          <w:tcPr>
            <w:tcW w:w="1472" w:type="dxa"/>
            <w:vMerge w:val="restart"/>
            <w:shd w:val="clear" w:color="auto" w:fill="BDD7EE"/>
            <w:vAlign w:val="center"/>
            <w:hideMark/>
          </w:tcPr>
          <w:p w14:paraId="15145341" w14:textId="77777777" w:rsidR="0057163C" w:rsidRPr="00170422" w:rsidRDefault="00F37BF9">
            <w:pPr>
              <w:pStyle w:val="P68B1DB1-Normal10"/>
              <w:jc w:val="center"/>
              <w:rPr>
                <w:noProof/>
                <w:szCs w:val="20"/>
                <w:lang w:val="de-DE"/>
              </w:rPr>
            </w:pPr>
            <w:r w:rsidRPr="00170422">
              <w:rPr>
                <w:noProof/>
                <w:lang w:val="de-DE"/>
              </w:rPr>
              <w:t>Namen</w:t>
            </w:r>
          </w:p>
        </w:tc>
        <w:tc>
          <w:tcPr>
            <w:tcW w:w="1363" w:type="dxa"/>
            <w:vMerge w:val="restart"/>
            <w:shd w:val="clear" w:color="auto" w:fill="BDD7EE"/>
            <w:vAlign w:val="center"/>
            <w:hideMark/>
          </w:tcPr>
          <w:p w14:paraId="47CA917F" w14:textId="37023D24"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A25317" w:rsidRPr="00170422">
              <w:rPr>
                <w:rFonts w:ascii="Arial Narrow" w:hAnsi="Arial Narrow"/>
                <w:b/>
                <w:noProof/>
                <w:sz w:val="20"/>
                <w:lang w:val="de-DE"/>
              </w:rPr>
              <w:br/>
            </w:r>
            <w:r w:rsidRPr="00170422">
              <w:rPr>
                <w:rFonts w:ascii="Arial Narrow" w:hAnsi="Arial Narrow"/>
                <w:b/>
                <w:noProof/>
                <w:sz w:val="20"/>
                <w:lang w:val="de-DE"/>
              </w:rPr>
              <w:t>Zielwert</w:t>
            </w:r>
            <w:r w:rsidRPr="00170422">
              <w:rPr>
                <w:rFonts w:ascii="Arial Narrow" w:hAnsi="Arial Narrow"/>
                <w:noProof/>
                <w:lang w:val="de-DE"/>
              </w:rPr>
              <w:t xml:space="preserve"> </w:t>
            </w:r>
            <w:r w:rsidRPr="00170422">
              <w:rPr>
                <w:noProof/>
                <w:lang w:val="de-DE"/>
              </w:rPr>
              <w:br/>
            </w:r>
            <w:r w:rsidRPr="00170422">
              <w:rPr>
                <w:rFonts w:ascii="Arial Narrow" w:hAnsi="Arial Narrow"/>
                <w:b/>
                <w:noProof/>
                <w:sz w:val="20"/>
                <w:lang w:val="de-DE"/>
              </w:rPr>
              <w:t>(für Etappenziele)</w:t>
            </w:r>
          </w:p>
        </w:tc>
        <w:tc>
          <w:tcPr>
            <w:tcW w:w="3402" w:type="dxa"/>
            <w:gridSpan w:val="3"/>
            <w:shd w:val="clear" w:color="auto" w:fill="BDD7EE"/>
            <w:vAlign w:val="center"/>
            <w:hideMark/>
          </w:tcPr>
          <w:p w14:paraId="413C8769"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60" w:type="dxa"/>
            <w:gridSpan w:val="2"/>
            <w:shd w:val="clear" w:color="auto" w:fill="BDD7EE"/>
            <w:vAlign w:val="center"/>
            <w:hideMark/>
          </w:tcPr>
          <w:p w14:paraId="4A238B8E"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600" w:type="dxa"/>
            <w:vMerge w:val="restart"/>
            <w:shd w:val="clear" w:color="auto" w:fill="BDD7EE"/>
            <w:vAlign w:val="center"/>
            <w:hideMark/>
          </w:tcPr>
          <w:p w14:paraId="50AD9A35" w14:textId="77777777" w:rsidR="0057163C" w:rsidRPr="00170422" w:rsidRDefault="00F37BF9">
            <w:pPr>
              <w:pStyle w:val="P68B1DB1-Normal10"/>
              <w:rPr>
                <w:noProof/>
                <w:szCs w:val="20"/>
                <w:lang w:val="de-DE"/>
              </w:rPr>
            </w:pPr>
            <w:r w:rsidRPr="00170422">
              <w:rPr>
                <w:noProof/>
                <w:lang w:val="de-DE"/>
              </w:rPr>
              <w:t>Beschreibung der einzelnen Etappenziele und Zielvorgaben</w:t>
            </w:r>
          </w:p>
        </w:tc>
      </w:tr>
      <w:tr w:rsidR="00A25317" w:rsidRPr="00170422" w14:paraId="3F5B04CC" w14:textId="77777777" w:rsidTr="00A25317">
        <w:trPr>
          <w:trHeight w:val="771"/>
          <w:tblHeader/>
          <w:jc w:val="center"/>
        </w:trPr>
        <w:tc>
          <w:tcPr>
            <w:tcW w:w="961" w:type="dxa"/>
            <w:vMerge/>
            <w:vAlign w:val="center"/>
            <w:hideMark/>
          </w:tcPr>
          <w:p w14:paraId="6F16A687" w14:textId="77777777" w:rsidR="0057163C" w:rsidRPr="00170422" w:rsidRDefault="0057163C">
            <w:pPr>
              <w:jc w:val="center"/>
              <w:rPr>
                <w:rFonts w:ascii="Arial Narrow" w:hAnsi="Arial Narrow"/>
                <w:b/>
                <w:bCs/>
                <w:noProof/>
                <w:sz w:val="20"/>
                <w:szCs w:val="20"/>
                <w:lang w:val="de-DE"/>
              </w:rPr>
            </w:pPr>
          </w:p>
        </w:tc>
        <w:tc>
          <w:tcPr>
            <w:tcW w:w="2218" w:type="dxa"/>
            <w:vMerge/>
            <w:vAlign w:val="center"/>
            <w:hideMark/>
          </w:tcPr>
          <w:p w14:paraId="52FF84E6" w14:textId="77777777" w:rsidR="0057163C" w:rsidRPr="00170422" w:rsidRDefault="0057163C">
            <w:pPr>
              <w:jc w:val="center"/>
              <w:rPr>
                <w:rFonts w:ascii="Arial Narrow" w:hAnsi="Arial Narrow"/>
                <w:b/>
                <w:bCs/>
                <w:noProof/>
                <w:sz w:val="20"/>
                <w:szCs w:val="20"/>
                <w:lang w:val="de-DE"/>
              </w:rPr>
            </w:pPr>
          </w:p>
        </w:tc>
        <w:tc>
          <w:tcPr>
            <w:tcW w:w="1199" w:type="dxa"/>
            <w:vMerge/>
            <w:vAlign w:val="center"/>
            <w:hideMark/>
          </w:tcPr>
          <w:p w14:paraId="2F9A4F23" w14:textId="77777777" w:rsidR="0057163C" w:rsidRPr="00170422" w:rsidRDefault="0057163C">
            <w:pPr>
              <w:jc w:val="center"/>
              <w:rPr>
                <w:rFonts w:ascii="Arial Narrow" w:hAnsi="Arial Narrow"/>
                <w:b/>
                <w:bCs/>
                <w:noProof/>
                <w:sz w:val="20"/>
                <w:szCs w:val="20"/>
                <w:lang w:val="de-DE"/>
              </w:rPr>
            </w:pPr>
          </w:p>
        </w:tc>
        <w:tc>
          <w:tcPr>
            <w:tcW w:w="1472" w:type="dxa"/>
            <w:vMerge/>
            <w:vAlign w:val="center"/>
            <w:hideMark/>
          </w:tcPr>
          <w:p w14:paraId="4DDAB48D" w14:textId="77777777" w:rsidR="0057163C" w:rsidRPr="00170422" w:rsidRDefault="0057163C">
            <w:pPr>
              <w:jc w:val="center"/>
              <w:rPr>
                <w:rFonts w:ascii="Arial Narrow" w:hAnsi="Arial Narrow"/>
                <w:b/>
                <w:bCs/>
                <w:noProof/>
                <w:sz w:val="20"/>
                <w:szCs w:val="20"/>
                <w:lang w:val="de-DE"/>
              </w:rPr>
            </w:pPr>
          </w:p>
        </w:tc>
        <w:tc>
          <w:tcPr>
            <w:tcW w:w="1363" w:type="dxa"/>
            <w:vMerge/>
            <w:vAlign w:val="center"/>
            <w:hideMark/>
          </w:tcPr>
          <w:p w14:paraId="5A4D5FF6" w14:textId="77777777" w:rsidR="0057163C" w:rsidRPr="00170422" w:rsidRDefault="0057163C">
            <w:pPr>
              <w:jc w:val="center"/>
              <w:rPr>
                <w:rFonts w:ascii="Arial Narrow" w:hAnsi="Arial Narrow"/>
                <w:b/>
                <w:bCs/>
                <w:noProof/>
                <w:sz w:val="20"/>
                <w:szCs w:val="20"/>
                <w:lang w:val="de-DE"/>
              </w:rPr>
            </w:pPr>
          </w:p>
        </w:tc>
        <w:tc>
          <w:tcPr>
            <w:tcW w:w="1098" w:type="dxa"/>
            <w:shd w:val="clear" w:color="auto" w:fill="BDD7EE"/>
            <w:vAlign w:val="center"/>
            <w:hideMark/>
          </w:tcPr>
          <w:p w14:paraId="656738EE" w14:textId="77777777" w:rsidR="0057163C" w:rsidRPr="00170422" w:rsidRDefault="00F37BF9">
            <w:pPr>
              <w:pStyle w:val="P68B1DB1-Normal10"/>
              <w:jc w:val="center"/>
              <w:rPr>
                <w:noProof/>
                <w:szCs w:val="20"/>
                <w:lang w:val="de-DE"/>
              </w:rPr>
            </w:pPr>
            <w:r w:rsidRPr="00170422">
              <w:rPr>
                <w:noProof/>
                <w:lang w:val="de-DE"/>
              </w:rPr>
              <w:t>Maßeinheit</w:t>
            </w:r>
          </w:p>
        </w:tc>
        <w:tc>
          <w:tcPr>
            <w:tcW w:w="1454" w:type="dxa"/>
            <w:shd w:val="clear" w:color="auto" w:fill="BDD7EE"/>
            <w:vAlign w:val="center"/>
            <w:hideMark/>
          </w:tcPr>
          <w:p w14:paraId="43FFF720" w14:textId="77777777" w:rsidR="0057163C" w:rsidRPr="00170422" w:rsidRDefault="00F37BF9">
            <w:pPr>
              <w:pStyle w:val="P68B1DB1-Normal10"/>
              <w:jc w:val="center"/>
              <w:rPr>
                <w:noProof/>
                <w:szCs w:val="20"/>
                <w:lang w:val="de-DE"/>
              </w:rPr>
            </w:pPr>
            <w:r w:rsidRPr="00170422">
              <w:rPr>
                <w:noProof/>
                <w:lang w:val="de-DE"/>
              </w:rPr>
              <w:t>Ausgangslage</w:t>
            </w:r>
          </w:p>
        </w:tc>
        <w:tc>
          <w:tcPr>
            <w:tcW w:w="850" w:type="dxa"/>
            <w:shd w:val="clear" w:color="auto" w:fill="BDD7EE"/>
            <w:vAlign w:val="center"/>
            <w:hideMark/>
          </w:tcPr>
          <w:p w14:paraId="4DB85958" w14:textId="77777777" w:rsidR="0057163C" w:rsidRPr="00170422" w:rsidRDefault="00F37BF9">
            <w:pPr>
              <w:pStyle w:val="P68B1DB1-Normal10"/>
              <w:jc w:val="center"/>
              <w:rPr>
                <w:noProof/>
                <w:szCs w:val="20"/>
                <w:lang w:val="de-DE"/>
              </w:rPr>
            </w:pPr>
            <w:r w:rsidRPr="00170422">
              <w:rPr>
                <w:noProof/>
                <w:lang w:val="de-DE"/>
              </w:rPr>
              <w:t>Ziel</w:t>
            </w:r>
          </w:p>
        </w:tc>
        <w:tc>
          <w:tcPr>
            <w:tcW w:w="851" w:type="dxa"/>
            <w:shd w:val="clear" w:color="auto" w:fill="BDD7EE"/>
            <w:vAlign w:val="center"/>
            <w:hideMark/>
          </w:tcPr>
          <w:p w14:paraId="34487330" w14:textId="77777777" w:rsidR="0057163C" w:rsidRPr="00170422" w:rsidRDefault="00F37BF9">
            <w:pPr>
              <w:pStyle w:val="P68B1DB1-Normal10"/>
              <w:jc w:val="center"/>
              <w:rPr>
                <w:noProof/>
                <w:szCs w:val="20"/>
                <w:lang w:val="de-DE"/>
              </w:rPr>
            </w:pPr>
            <w:r w:rsidRPr="00170422">
              <w:rPr>
                <w:noProof/>
                <w:lang w:val="de-DE"/>
              </w:rPr>
              <w:t>Viertel</w:t>
            </w:r>
          </w:p>
        </w:tc>
        <w:tc>
          <w:tcPr>
            <w:tcW w:w="709" w:type="dxa"/>
            <w:shd w:val="clear" w:color="auto" w:fill="BDD7EE"/>
            <w:vAlign w:val="center"/>
            <w:hideMark/>
          </w:tcPr>
          <w:p w14:paraId="5A77D9B1" w14:textId="77777777" w:rsidR="0057163C" w:rsidRPr="00170422" w:rsidRDefault="00F37BF9">
            <w:pPr>
              <w:pStyle w:val="P68B1DB1-Normal10"/>
              <w:jc w:val="center"/>
              <w:rPr>
                <w:noProof/>
                <w:szCs w:val="20"/>
                <w:lang w:val="de-DE"/>
              </w:rPr>
            </w:pPr>
            <w:r w:rsidRPr="00170422">
              <w:rPr>
                <w:noProof/>
                <w:lang w:val="de-DE"/>
              </w:rPr>
              <w:t>Jahre</w:t>
            </w:r>
          </w:p>
        </w:tc>
        <w:tc>
          <w:tcPr>
            <w:tcW w:w="2600" w:type="dxa"/>
            <w:vMerge/>
            <w:vAlign w:val="center"/>
            <w:hideMark/>
          </w:tcPr>
          <w:p w14:paraId="42E752A9" w14:textId="77777777" w:rsidR="0057163C" w:rsidRPr="00170422" w:rsidRDefault="0057163C">
            <w:pPr>
              <w:rPr>
                <w:rFonts w:ascii="Arial Narrow" w:hAnsi="Arial Narrow"/>
                <w:b/>
                <w:bCs/>
                <w:noProof/>
                <w:sz w:val="20"/>
                <w:szCs w:val="20"/>
                <w:lang w:val="de-DE"/>
              </w:rPr>
            </w:pPr>
          </w:p>
        </w:tc>
      </w:tr>
      <w:tr w:rsidR="00A25317" w:rsidRPr="00170422" w14:paraId="1ED45E99"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D3D310" w14:textId="77777777" w:rsidR="0057163C" w:rsidRPr="00170422" w:rsidRDefault="00F37BF9">
            <w:pPr>
              <w:pStyle w:val="P68B1DB1-Normal12"/>
              <w:jc w:val="center"/>
              <w:rPr>
                <w:noProof/>
                <w:lang w:val="de-DE"/>
              </w:rPr>
            </w:pPr>
            <w:bookmarkStart w:id="16" w:name="_Hlk212539687"/>
            <w:r w:rsidRPr="00170422">
              <w:rPr>
                <w:noProof/>
                <w:lang w:val="de-DE"/>
              </w:rPr>
              <w:t>M2C2-5</w:t>
            </w:r>
            <w:bookmarkEnd w:id="16"/>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54D531" w14:textId="77777777" w:rsidR="0057163C" w:rsidRPr="00170422" w:rsidRDefault="00F37BF9">
            <w:pPr>
              <w:pStyle w:val="P68B1DB1-Normal12"/>
              <w:jc w:val="center"/>
              <w:rPr>
                <w:noProof/>
                <w:lang w:val="de-DE"/>
              </w:rPr>
            </w:pPr>
            <w:r w:rsidRPr="00170422">
              <w:rPr>
                <w:noProof/>
                <w:lang w:val="de-DE"/>
              </w:rPr>
              <w:t>Investition 1.4 Entwicklung von Biomethan nach Kriterien für die Förderung der Kreislaufwirtschaft</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83A47A" w14:textId="77777777" w:rsidR="0057163C" w:rsidRPr="00170422" w:rsidRDefault="00F37BF9">
            <w:pPr>
              <w:pStyle w:val="P68B1DB1-Normal12"/>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99078" w14:textId="5FC1EF2F" w:rsidR="0057163C" w:rsidRPr="00170422" w:rsidRDefault="00F37BF9">
            <w:pPr>
              <w:pStyle w:val="P68B1DB1-Normal12"/>
              <w:jc w:val="center"/>
              <w:rPr>
                <w:noProof/>
                <w:lang w:val="de-DE"/>
              </w:rPr>
            </w:pPr>
            <w:r w:rsidRPr="00170422">
              <w:rPr>
                <w:noProof/>
                <w:lang w:val="de-DE"/>
              </w:rPr>
              <w:t xml:space="preserve">Durchführungsvereinbarung, mit Endbegünstigten unterzeichnete rechtliche Vereinbarungen und Abschluss </w:t>
            </w:r>
            <w:r w:rsidRPr="00170422">
              <w:rPr>
                <w:noProof/>
                <w:lang w:val="de-DE"/>
              </w:rPr>
              <w:t>der Investitionen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38359E" w14:textId="77777777" w:rsidR="0057163C" w:rsidRPr="00170422" w:rsidRDefault="00F37BF9">
            <w:pPr>
              <w:pStyle w:val="P68B1DB1-Normal12"/>
              <w:jc w:val="center"/>
              <w:rPr>
                <w:noProof/>
                <w:lang w:val="de-DE"/>
              </w:rPr>
            </w:pPr>
            <w:r w:rsidRPr="00170422">
              <w:rPr>
                <w:noProof/>
                <w:lang w:val="de-DE"/>
              </w:rPr>
              <w:t xml:space="preserve">Inkrafttreten der Durchführungsvereinbarung, der unterzeichneten rechtlichen Vereinbarungen und der Übertragungsbescheinigung </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6DC911" w14:textId="2116C041" w:rsidR="0057163C" w:rsidRPr="00170422" w:rsidRDefault="00F37BF9">
            <w:pPr>
              <w:pStyle w:val="P68B1DB1-Normal12"/>
              <w:jc w:val="center"/>
              <w:rPr>
                <w:noProof/>
                <w:lang w:val="de-DE"/>
              </w:rPr>
            </w:pPr>
            <w:r w:rsidRPr="00170422">
              <w:rPr>
                <w:noProof/>
                <w:lang w:val="de-DE"/>
              </w:rPr>
              <w:t xml:space="preserve">ENTFÄLLT. </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C73C68" w14:textId="511808CE" w:rsidR="0057163C" w:rsidRPr="00170422" w:rsidRDefault="00F37BF9">
            <w:pPr>
              <w:pStyle w:val="P68B1DB1-Normal12"/>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55A90" w14:textId="2216B6EF" w:rsidR="0057163C" w:rsidRPr="00170422" w:rsidRDefault="00F37BF9">
            <w:pPr>
              <w:pStyle w:val="P68B1DB1-Normal12"/>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503F05" w14:textId="01B41373" w:rsidR="0057163C" w:rsidRPr="00170422" w:rsidRDefault="00F37BF9">
            <w:pPr>
              <w:pStyle w:val="P68B1DB1-Normal12"/>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8E94A3" w14:textId="4C19ABFF" w:rsidR="0057163C" w:rsidRPr="00170422" w:rsidRDefault="00F37BF9">
            <w:pPr>
              <w:pStyle w:val="P68B1DB1-Normal12"/>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18D1CA" w14:textId="58E4A4B1" w:rsidR="0057163C" w:rsidRPr="00170422" w:rsidRDefault="00F37BF9">
            <w:pPr>
              <w:pStyle w:val="P68B1DB1-Normal12"/>
              <w:rPr>
                <w:noProof/>
                <w:lang w:val="de-DE"/>
              </w:rPr>
            </w:pPr>
            <w:r w:rsidRPr="00170422">
              <w:rPr>
                <w:noProof/>
                <w:lang w:val="de-DE"/>
              </w:rPr>
              <w:t>Inkrafttreten der Durchführungsvereinbarung.</w:t>
            </w:r>
          </w:p>
          <w:p w14:paraId="60352BC4" w14:textId="78E8B911" w:rsidR="0057163C" w:rsidRPr="00170422" w:rsidRDefault="00F37BF9">
            <w:pPr>
              <w:pStyle w:val="P68B1DB1-Normal12"/>
              <w:rPr>
                <w:noProof/>
                <w:lang w:val="de-DE"/>
              </w:rPr>
            </w:pPr>
            <w:r w:rsidRPr="00170422">
              <w:rPr>
                <w:noProof/>
                <w:lang w:val="de-DE"/>
              </w:rPr>
              <w:t>Italien überträgt 2 236 020</w:t>
            </w:r>
            <w:r w:rsidRPr="00170422">
              <w:rPr>
                <w:noProof/>
                <w:lang w:val="de-DE"/>
              </w:rPr>
              <w:t> 000 EUR für die Fazilität an die GSE.</w:t>
            </w:r>
          </w:p>
          <w:p w14:paraId="72DCE1EE" w14:textId="0FE830D4" w:rsidR="0057163C" w:rsidRPr="00170422" w:rsidRDefault="00F37BF9">
            <w:pPr>
              <w:pStyle w:val="P68B1DB1-Normal12"/>
              <w:rPr>
                <w:noProof/>
                <w:lang w:val="de-DE"/>
              </w:rPr>
            </w:pPr>
            <w:r w:rsidRPr="00170422">
              <w:rPr>
                <w:noProof/>
                <w:lang w:val="de-DE"/>
              </w:rPr>
              <w:t>Die GSE muss mit den Endbegünstigten rechtliche Finanzhilfevereinbarungen über einen Betrag geschlossen haben, der erforderlich ist, um 100 % der ARF-Investitionen für das Programm zu verwenden (unter Berücksichtigung</w:t>
            </w:r>
            <w:r w:rsidRPr="00170422">
              <w:rPr>
                <w:noProof/>
                <w:lang w:val="de-DE"/>
              </w:rPr>
              <w:t xml:space="preserve"> der Verwaltungsgebühren). </w:t>
            </w:r>
          </w:p>
        </w:tc>
      </w:tr>
      <w:tr w:rsidR="00A25317" w:rsidRPr="00170422" w14:paraId="3A251113"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DE63A" w14:textId="77777777" w:rsidR="0057163C" w:rsidRPr="00170422" w:rsidRDefault="00F37BF9">
            <w:pPr>
              <w:pStyle w:val="P68B1DB1-Normal11"/>
              <w:jc w:val="center"/>
              <w:rPr>
                <w:noProof/>
                <w:lang w:val="de-DE"/>
              </w:rPr>
            </w:pPr>
            <w:r w:rsidRPr="00170422">
              <w:rPr>
                <w:noProof/>
                <w:lang w:val="de-DE"/>
              </w:rPr>
              <w:t>M2C2-9</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62652" w14:textId="77777777" w:rsidR="0057163C" w:rsidRPr="00170422" w:rsidRDefault="00F37BF9">
            <w:pPr>
              <w:pStyle w:val="P68B1DB1-Normal11"/>
              <w:jc w:val="center"/>
              <w:rPr>
                <w:noProof/>
                <w:lang w:val="de-DE"/>
              </w:rPr>
            </w:pPr>
            <w:r w:rsidRPr="00170422">
              <w:rPr>
                <w:noProof/>
                <w:lang w:val="de-DE"/>
              </w:rPr>
              <w:t>Investition 2.1 Stärkung intelligenter Netze</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E8FD2B" w14:textId="77777777" w:rsidR="0057163C" w:rsidRPr="00170422" w:rsidRDefault="00F37BF9">
            <w:pPr>
              <w:pStyle w:val="P68B1DB1-Normal11"/>
              <w:jc w:val="center"/>
              <w:rPr>
                <w:noProof/>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52B3E" w14:textId="77777777" w:rsidR="0057163C" w:rsidRPr="00170422" w:rsidRDefault="00F37BF9">
            <w:pPr>
              <w:pStyle w:val="P68B1DB1-Normal11"/>
              <w:jc w:val="center"/>
              <w:rPr>
                <w:noProof/>
                <w:lang w:val="de-DE"/>
              </w:rPr>
            </w:pPr>
            <w:r w:rsidRPr="00170422">
              <w:rPr>
                <w:noProof/>
                <w:lang w:val="de-DE"/>
              </w:rPr>
              <w:t>Intelligente Netze – Ausbau der Netzkapazität für die Verteilung erneuerbarer Energien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98D472" w14:textId="77777777" w:rsidR="0057163C" w:rsidRPr="00170422" w:rsidRDefault="00F37BF9">
            <w:pPr>
              <w:pStyle w:val="P68B1DB1-Normal11"/>
              <w:jc w:val="center"/>
              <w:rPr>
                <w:noProof/>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1AFAF8" w14:textId="77777777" w:rsidR="0057163C" w:rsidRPr="00170422" w:rsidRDefault="00F37BF9">
            <w:pPr>
              <w:pStyle w:val="P68B1DB1-Normal11"/>
              <w:jc w:val="center"/>
              <w:rPr>
                <w:noProof/>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AE8F6" w14:textId="77777777" w:rsidR="0057163C" w:rsidRPr="00170422" w:rsidRDefault="00F37BF9">
            <w:pPr>
              <w:pStyle w:val="P68B1DB1-Normal11"/>
              <w:jc w:val="center"/>
              <w:rPr>
                <w:noProof/>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22B9" w14:textId="2D5F0903" w:rsidR="0057163C" w:rsidRPr="00170422" w:rsidRDefault="00F37BF9">
            <w:pPr>
              <w:pStyle w:val="P68B1DB1-Normal11"/>
              <w:jc w:val="center"/>
              <w:rPr>
                <w:noProof/>
                <w:lang w:val="de-DE"/>
              </w:rPr>
            </w:pPr>
            <w:r w:rsidRPr="00170422">
              <w:rPr>
                <w:noProof/>
                <w:lang w:val="de-DE"/>
              </w:rPr>
              <w:t>1 000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08E8B4" w14:textId="77777777" w:rsidR="0057163C" w:rsidRPr="00170422" w:rsidRDefault="00F37BF9">
            <w:pPr>
              <w:pStyle w:val="P68B1DB1-Normal11"/>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3FE88"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D889A4" w14:textId="77777777" w:rsidR="0057163C" w:rsidRPr="00170422" w:rsidRDefault="00F37BF9">
            <w:pPr>
              <w:pStyle w:val="P68B1DB1-Normal44"/>
              <w:rPr>
                <w:rFonts w:hAnsi="Arial Narrow"/>
                <w:noProof/>
                <w:lang w:val="de-DE"/>
              </w:rPr>
            </w:pPr>
            <w:r w:rsidRPr="00170422">
              <w:rPr>
                <w:noProof/>
                <w:lang w:val="de-DE"/>
              </w:rPr>
              <w:t>Erh</w:t>
            </w:r>
            <w:r w:rsidRPr="00170422">
              <w:rPr>
                <w:noProof/>
                <w:lang w:val="de-DE"/>
              </w:rPr>
              <w:t>ö</w:t>
            </w:r>
            <w:r w:rsidRPr="00170422">
              <w:rPr>
                <w:noProof/>
                <w:lang w:val="de-DE"/>
              </w:rPr>
              <w:t>hung der Netzkapazit</w:t>
            </w:r>
            <w:r w:rsidRPr="00170422">
              <w:rPr>
                <w:noProof/>
                <w:lang w:val="de-DE"/>
              </w:rPr>
              <w:t>ä</w:t>
            </w:r>
            <w:r w:rsidRPr="00170422">
              <w:rPr>
                <w:noProof/>
                <w:lang w:val="de-DE"/>
              </w:rPr>
              <w:t>t f</w:t>
            </w:r>
            <w:r w:rsidRPr="00170422">
              <w:rPr>
                <w:noProof/>
                <w:lang w:val="de-DE"/>
              </w:rPr>
              <w:t>ü</w:t>
            </w:r>
            <w:r w:rsidRPr="00170422">
              <w:rPr>
                <w:noProof/>
                <w:lang w:val="de-DE"/>
              </w:rPr>
              <w:t xml:space="preserve">r die </w:t>
            </w:r>
            <w:r w:rsidRPr="00170422">
              <w:rPr>
                <w:noProof/>
                <w:lang w:val="de-DE"/>
              </w:rPr>
              <w:t>Verteilung erneuerbarer Energien um mindestens 1</w:t>
            </w:r>
            <w:r w:rsidRPr="00170422">
              <w:rPr>
                <w:noProof/>
                <w:lang w:val="de-DE"/>
              </w:rPr>
              <w:t> </w:t>
            </w:r>
            <w:r w:rsidRPr="00170422">
              <w:rPr>
                <w:noProof/>
                <w:lang w:val="de-DE"/>
              </w:rPr>
              <w:t>000</w:t>
            </w:r>
            <w:r w:rsidRPr="00170422">
              <w:rPr>
                <w:noProof/>
                <w:lang w:val="de-DE"/>
              </w:rPr>
              <w:t> </w:t>
            </w:r>
            <w:r w:rsidRPr="00170422">
              <w:rPr>
                <w:noProof/>
                <w:lang w:val="de-DE"/>
              </w:rPr>
              <w:t>MW</w:t>
            </w:r>
          </w:p>
        </w:tc>
      </w:tr>
      <w:tr w:rsidR="00A25317" w:rsidRPr="00170422" w14:paraId="56101D80"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01A0D2" w14:textId="77777777" w:rsidR="0057163C" w:rsidRPr="00170422" w:rsidRDefault="00F37BF9">
            <w:pPr>
              <w:pStyle w:val="P68B1DB1-Normal11"/>
              <w:jc w:val="center"/>
              <w:rPr>
                <w:noProof/>
                <w:lang w:val="de-DE"/>
              </w:rPr>
            </w:pPr>
            <w:r w:rsidRPr="00170422">
              <w:rPr>
                <w:noProof/>
                <w:lang w:val="de-DE"/>
              </w:rPr>
              <w:t>M2C2-17</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83659E" w14:textId="77777777" w:rsidR="0057163C" w:rsidRPr="00170422" w:rsidRDefault="00F37BF9">
            <w:pPr>
              <w:pStyle w:val="P68B1DB1-Normal12"/>
              <w:jc w:val="center"/>
              <w:rPr>
                <w:noProof/>
                <w:lang w:val="de-DE"/>
              </w:rPr>
            </w:pPr>
            <w:r w:rsidRPr="00170422">
              <w:rPr>
                <w:noProof/>
                <w:lang w:val="de-DE"/>
              </w:rPr>
              <w:t>Investition 3.4 Wasserstofftests für die Mobilität im Schienenverkehr und den Straßenverkehr</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DE2341" w14:textId="77777777" w:rsidR="0057163C" w:rsidRPr="00170422" w:rsidRDefault="00F37BF9">
            <w:pPr>
              <w:pStyle w:val="P68B1DB1-Normal11"/>
              <w:jc w:val="center"/>
              <w:rPr>
                <w:noProof/>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FB720A" w14:textId="77777777" w:rsidR="0057163C" w:rsidRPr="00170422" w:rsidRDefault="00F37BF9">
            <w:pPr>
              <w:pStyle w:val="P68B1DB1-Normal12"/>
              <w:jc w:val="center"/>
              <w:rPr>
                <w:noProof/>
                <w:lang w:val="de-DE"/>
              </w:rPr>
            </w:pPr>
            <w:r w:rsidRPr="00170422">
              <w:rPr>
                <w:noProof/>
                <w:lang w:val="de-DE"/>
              </w:rPr>
              <w:t>Anzahl der gebauten Wasserstofftankstellen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52EC63" w14:textId="77777777" w:rsidR="0057163C" w:rsidRPr="00170422" w:rsidRDefault="00F37BF9">
            <w:pPr>
              <w:pStyle w:val="P68B1DB1-Normal11"/>
              <w:jc w:val="center"/>
              <w:rPr>
                <w:noProof/>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34417" w14:textId="77777777" w:rsidR="0057163C" w:rsidRPr="00170422" w:rsidRDefault="00F37BF9">
            <w:pPr>
              <w:pStyle w:val="P68B1DB1-Normal11"/>
              <w:jc w:val="center"/>
              <w:rPr>
                <w:noProof/>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140D" w14:textId="77777777" w:rsidR="0057163C" w:rsidRPr="00170422" w:rsidRDefault="00F37BF9">
            <w:pPr>
              <w:pStyle w:val="P68B1DB1-Normal11"/>
              <w:jc w:val="center"/>
              <w:rPr>
                <w:noProof/>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460D91" w14:textId="20214810" w:rsidR="0057163C" w:rsidRPr="00170422" w:rsidRDefault="00F37BF9">
            <w:pPr>
              <w:pStyle w:val="P68B1DB1-Normal12"/>
              <w:jc w:val="center"/>
              <w:rPr>
                <w:noProof/>
                <w:lang w:val="de-DE"/>
              </w:rPr>
            </w:pPr>
            <w:r w:rsidRPr="00170422">
              <w:rPr>
                <w:noProof/>
                <w:lang w:val="de-DE"/>
              </w:rPr>
              <w:t>29</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833B29"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1524F"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3F864E" w14:textId="3E829DD4" w:rsidR="0057163C" w:rsidRPr="00170422" w:rsidRDefault="00F37BF9">
            <w:pPr>
              <w:pStyle w:val="P68B1DB1-Normal12"/>
              <w:spacing w:after="120"/>
              <w:rPr>
                <w:noProof/>
                <w:lang w:val="de-DE"/>
              </w:rPr>
            </w:pPr>
            <w:r w:rsidRPr="00170422">
              <w:rPr>
                <w:noProof/>
                <w:lang w:val="de-DE"/>
              </w:rPr>
              <w:t xml:space="preserve">Für den Bau von </w:t>
            </w:r>
            <w:r w:rsidRPr="00170422">
              <w:rPr>
                <w:noProof/>
                <w:lang w:val="de-DE"/>
              </w:rPr>
              <w:t>mindestens acht wasserstoffbasierten Tankstellen auf mindestens fünf Eisenbahnstrecken und für mindestens 21 Wasserstofftankstellen für den Straßenverkehr werden Abschlussbescheinigungen ausgestellt.</w:t>
            </w:r>
          </w:p>
        </w:tc>
      </w:tr>
      <w:tr w:rsidR="00A25317" w:rsidRPr="00170422" w14:paraId="1999AC37"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48960F" w14:textId="77777777" w:rsidR="0057163C" w:rsidRPr="00170422" w:rsidRDefault="00F37BF9">
            <w:pPr>
              <w:pStyle w:val="P68B1DB1-Normal12"/>
              <w:jc w:val="center"/>
              <w:rPr>
                <w:noProof/>
                <w:lang w:val="de-DE"/>
              </w:rPr>
            </w:pPr>
            <w:r w:rsidRPr="00170422">
              <w:rPr>
                <w:noProof/>
                <w:lang w:val="de-DE"/>
              </w:rPr>
              <w:t>M2C2-19</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1A021" w14:textId="77777777" w:rsidR="0057163C" w:rsidRPr="00170422" w:rsidRDefault="00F37BF9">
            <w:pPr>
              <w:pStyle w:val="P68B1DB1-Normal11"/>
              <w:jc w:val="center"/>
              <w:rPr>
                <w:noProof/>
                <w:lang w:val="de-DE"/>
              </w:rPr>
            </w:pPr>
            <w:r w:rsidRPr="00170422">
              <w:rPr>
                <w:noProof/>
                <w:lang w:val="de-DE"/>
              </w:rPr>
              <w:t xml:space="preserve">Investition 3.5 Wasserstoffforschung und </w:t>
            </w:r>
            <w:r w:rsidRPr="00170422">
              <w:rPr>
                <w:noProof/>
                <w:lang w:val="de-DE"/>
              </w:rPr>
              <w:t>-entwicklung</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58F44C" w14:textId="77777777" w:rsidR="0057163C" w:rsidRPr="00170422" w:rsidRDefault="00F37BF9">
            <w:pPr>
              <w:pStyle w:val="P68B1DB1-Normal11"/>
              <w:jc w:val="center"/>
              <w:rPr>
                <w:noProof/>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0C714" w14:textId="77777777" w:rsidR="0057163C" w:rsidRPr="00170422" w:rsidRDefault="00F37BF9">
            <w:pPr>
              <w:pStyle w:val="P68B1DB1-Normal11"/>
              <w:jc w:val="center"/>
              <w:rPr>
                <w:noProof/>
                <w:lang w:val="de-DE"/>
              </w:rPr>
            </w:pPr>
            <w:r w:rsidRPr="00170422">
              <w:rPr>
                <w:noProof/>
                <w:lang w:val="de-DE"/>
              </w:rPr>
              <w:t>Anzahl der Projekte für Forschung und Entwicklung im Bereich Wasserstoff</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01F7F8" w14:textId="77777777" w:rsidR="0057163C" w:rsidRPr="00170422" w:rsidRDefault="00F37BF9">
            <w:pPr>
              <w:pStyle w:val="P68B1DB1-Normal11"/>
              <w:jc w:val="center"/>
              <w:rPr>
                <w:noProof/>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92DDA8" w14:textId="77777777" w:rsidR="0057163C" w:rsidRPr="00170422" w:rsidRDefault="00F37BF9">
            <w:pPr>
              <w:pStyle w:val="P68B1DB1-Normal11"/>
              <w:jc w:val="center"/>
              <w:rPr>
                <w:noProof/>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4E3379" w14:textId="77777777" w:rsidR="0057163C" w:rsidRPr="00170422" w:rsidRDefault="00F37BF9">
            <w:pPr>
              <w:pStyle w:val="P68B1DB1-Normal11"/>
              <w:jc w:val="center"/>
              <w:rPr>
                <w:noProof/>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980B2" w14:textId="77777777" w:rsidR="0057163C" w:rsidRPr="00170422" w:rsidRDefault="00F37BF9">
            <w:pPr>
              <w:pStyle w:val="P68B1DB1-Normal11"/>
              <w:jc w:val="center"/>
              <w:rPr>
                <w:noProof/>
                <w:lang w:val="de-DE"/>
              </w:rPr>
            </w:pPr>
            <w:r w:rsidRPr="00170422">
              <w:rPr>
                <w:noProof/>
                <w:lang w:val="de-DE"/>
              </w:rPr>
              <w:t>10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B2168"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ED461C"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A763E7" w14:textId="2A67BC44" w:rsidR="0057163C" w:rsidRPr="00170422" w:rsidRDefault="00F37BF9">
            <w:pPr>
              <w:pStyle w:val="P68B1DB1-Normal12"/>
              <w:spacing w:after="120"/>
              <w:rPr>
                <w:noProof/>
                <w:lang w:val="de-DE"/>
              </w:rPr>
            </w:pPr>
            <w:r w:rsidRPr="00170422">
              <w:rPr>
                <w:noProof/>
                <w:lang w:val="de-DE"/>
              </w:rPr>
              <w:t xml:space="preserve">Berichte über den Abschluss von Forschungstätigkeiten für mindestens 10 FuE-Projekte in den folgenden Bereichen: </w:t>
            </w:r>
          </w:p>
          <w:p w14:paraId="25B09CEA" w14:textId="77777777" w:rsidR="0057163C" w:rsidRPr="00170422" w:rsidRDefault="00F37BF9">
            <w:pPr>
              <w:pStyle w:val="P68B1DB1-Normal12"/>
              <w:spacing w:after="120"/>
              <w:rPr>
                <w:noProof/>
                <w:lang w:val="de-DE"/>
              </w:rPr>
            </w:pPr>
            <w:r w:rsidRPr="00170422">
              <w:rPr>
                <w:noProof/>
                <w:lang w:val="de-DE"/>
              </w:rPr>
              <w:t>a) Erzeugung von grün</w:t>
            </w:r>
            <w:r w:rsidRPr="00170422">
              <w:rPr>
                <w:noProof/>
                <w:lang w:val="de-DE"/>
              </w:rPr>
              <w:t>em Wasserstoff</w:t>
            </w:r>
          </w:p>
          <w:p w14:paraId="03808A90" w14:textId="77777777" w:rsidR="0057163C" w:rsidRPr="00170422" w:rsidRDefault="00F37BF9">
            <w:pPr>
              <w:pStyle w:val="P68B1DB1-Normal12"/>
              <w:spacing w:after="120"/>
              <w:rPr>
                <w:noProof/>
                <w:lang w:val="de-DE"/>
              </w:rPr>
            </w:pPr>
            <w:r w:rsidRPr="00170422">
              <w:rPr>
                <w:noProof/>
                <w:lang w:val="de-DE"/>
              </w:rPr>
              <w:t>Wasserstoffspeicherung, -transport und -umwandlung in Derivate und E-Fuels</w:t>
            </w:r>
          </w:p>
          <w:p w14:paraId="755069B6" w14:textId="77777777" w:rsidR="0057163C" w:rsidRPr="00170422" w:rsidRDefault="00F37BF9">
            <w:pPr>
              <w:pStyle w:val="P68B1DB1-Normal12"/>
              <w:spacing w:after="120"/>
              <w:rPr>
                <w:noProof/>
                <w:lang w:val="de-DE"/>
              </w:rPr>
            </w:pPr>
            <w:r w:rsidRPr="00170422">
              <w:rPr>
                <w:noProof/>
                <w:lang w:val="de-DE"/>
              </w:rPr>
              <w:t xml:space="preserve">C) Brennstoffzellen </w:t>
            </w:r>
          </w:p>
          <w:p w14:paraId="418154A9" w14:textId="53B05575" w:rsidR="0057163C" w:rsidRPr="00170422" w:rsidRDefault="00F37BF9">
            <w:pPr>
              <w:pStyle w:val="P68B1DB1-Normal12"/>
              <w:spacing w:after="120"/>
              <w:rPr>
                <w:noProof/>
                <w:lang w:val="de-DE"/>
              </w:rPr>
            </w:pPr>
            <w:r w:rsidRPr="00170422">
              <w:rPr>
                <w:noProof/>
                <w:lang w:val="de-DE"/>
              </w:rPr>
              <w:t>integriertes intelligentes Management für intelligente wasserstoffbasierte Infrastrukturen</w:t>
            </w:r>
          </w:p>
        </w:tc>
      </w:tr>
      <w:tr w:rsidR="00A25317" w:rsidRPr="00170422" w14:paraId="1248F73E"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708522" w14:textId="77777777" w:rsidR="0057163C" w:rsidRPr="00170422" w:rsidRDefault="00F37BF9">
            <w:pPr>
              <w:pStyle w:val="P68B1DB1-Normal11"/>
              <w:jc w:val="center"/>
              <w:rPr>
                <w:noProof/>
                <w:lang w:val="de-DE"/>
              </w:rPr>
            </w:pPr>
            <w:r w:rsidRPr="00170422">
              <w:rPr>
                <w:noProof/>
                <w:lang w:val="de-DE"/>
              </w:rPr>
              <w:t>M2C2-24</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B04A4E" w14:textId="77777777" w:rsidR="0057163C" w:rsidRPr="00170422" w:rsidRDefault="00F37BF9">
            <w:pPr>
              <w:pStyle w:val="P68B1DB1-Normal11"/>
              <w:jc w:val="center"/>
              <w:rPr>
                <w:noProof/>
                <w:lang w:val="de-DE"/>
              </w:rPr>
            </w:pPr>
            <w:r w:rsidRPr="00170422">
              <w:rPr>
                <w:noProof/>
                <w:lang w:val="de-DE"/>
              </w:rPr>
              <w:t xml:space="preserve">Investition 4.2 Entwicklung schneller Massentransportsysteme </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F942F"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84C70A" w14:textId="77777777" w:rsidR="0057163C" w:rsidRPr="00170422" w:rsidRDefault="00F37BF9">
            <w:pPr>
              <w:pStyle w:val="P68B1DB1-Normal11"/>
              <w:jc w:val="center"/>
              <w:rPr>
                <w:noProof/>
                <w:szCs w:val="20"/>
                <w:lang w:val="de-DE"/>
              </w:rPr>
            </w:pPr>
            <w:r w:rsidRPr="00170422">
              <w:rPr>
                <w:noProof/>
                <w:lang w:val="de-DE"/>
              </w:rPr>
              <w:t>Vergabe aller öffentlichen Aufträge für den Aufbau der</w:t>
            </w:r>
            <w:r w:rsidRPr="00170422">
              <w:rPr>
                <w:noProof/>
                <w:shd w:val="clear" w:color="auto" w:fill="E6E6E6"/>
                <w:lang w:val="de-DE"/>
              </w:rPr>
              <w:t xml:space="preserve"> </w:t>
            </w:r>
            <w:r w:rsidRPr="00170422">
              <w:rPr>
                <w:noProof/>
                <w:lang w:val="de-DE"/>
              </w:rPr>
              <w:t xml:space="preserve">Infrastruktur für schnelle Massentransportsysteme </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476C4" w14:textId="77777777" w:rsidR="0057163C" w:rsidRPr="00170422" w:rsidRDefault="00F37BF9">
            <w:pPr>
              <w:pStyle w:val="P68B1DB1-Normal11"/>
              <w:jc w:val="center"/>
              <w:rPr>
                <w:noProof/>
                <w:lang w:val="de-DE"/>
              </w:rPr>
            </w:pPr>
            <w:r w:rsidRPr="00170422">
              <w:rPr>
                <w:noProof/>
                <w:lang w:val="de-DE"/>
              </w:rPr>
              <w:t>Mitteilung über die Vergabe aller öffentlichen Aufträge</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DD1685"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5B392"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B6DE47"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7A1565" w14:textId="77777777" w:rsidR="0057163C" w:rsidRPr="00170422" w:rsidRDefault="00F37BF9">
            <w:pPr>
              <w:pStyle w:val="P68B1DB1-Normal11"/>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93A818" w14:textId="77777777" w:rsidR="0057163C" w:rsidRPr="00170422" w:rsidRDefault="00F37BF9">
            <w:pPr>
              <w:pStyle w:val="P68B1DB1-Normal11"/>
              <w:jc w:val="center"/>
              <w:rPr>
                <w:noProof/>
                <w:lang w:val="de-DE"/>
              </w:rPr>
            </w:pPr>
            <w:r w:rsidRPr="00170422">
              <w:rPr>
                <w:noProof/>
                <w:lang w:val="de-DE"/>
              </w:rPr>
              <w:t>2023</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489D8" w14:textId="77777777" w:rsidR="0057163C" w:rsidRPr="00170422" w:rsidRDefault="00F37BF9">
            <w:pPr>
              <w:pStyle w:val="P68B1DB1-Normal11"/>
              <w:rPr>
                <w:noProof/>
                <w:lang w:val="de-DE"/>
              </w:rPr>
            </w:pPr>
            <w:r w:rsidRPr="00170422">
              <w:rPr>
                <w:noProof/>
                <w:lang w:val="de-DE"/>
              </w:rPr>
              <w:t>Mitteilung über die Vergabe aller öffentlichen Aufträge für den Bau von Infrastrukturvorhaben im Sinne der Beschreibung der Maßnahme.</w:t>
            </w:r>
          </w:p>
        </w:tc>
      </w:tr>
      <w:tr w:rsidR="00A25317" w:rsidRPr="00170422" w14:paraId="11E82CB5"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1BBD9" w14:textId="77777777" w:rsidR="0057163C" w:rsidRPr="00170422" w:rsidRDefault="00F37BF9">
            <w:pPr>
              <w:pStyle w:val="P68B1DB1-Normal11"/>
              <w:jc w:val="center"/>
              <w:rPr>
                <w:noProof/>
                <w:lang w:val="de-DE"/>
              </w:rPr>
            </w:pPr>
            <w:r w:rsidRPr="00170422">
              <w:rPr>
                <w:noProof/>
                <w:lang w:val="de-DE"/>
              </w:rPr>
              <w:t>M2C2-25</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D041C2" w14:textId="77777777" w:rsidR="0057163C" w:rsidRPr="00170422" w:rsidRDefault="00F37BF9">
            <w:pPr>
              <w:pStyle w:val="P68B1DB1-Normal11"/>
              <w:jc w:val="center"/>
              <w:rPr>
                <w:noProof/>
                <w:lang w:val="de-DE"/>
              </w:rPr>
            </w:pPr>
            <w:r w:rsidRPr="00170422">
              <w:rPr>
                <w:noProof/>
                <w:lang w:val="de-DE"/>
              </w:rPr>
              <w:t>Investition 4.2 Entwicklung schneller Massentransportsysteme</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785B9"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1C04F" w14:textId="77777777" w:rsidR="0057163C" w:rsidRPr="00170422" w:rsidRDefault="00F37BF9">
            <w:pPr>
              <w:pStyle w:val="P68B1DB1-Normal14"/>
              <w:jc w:val="center"/>
              <w:rPr>
                <w:noProof/>
                <w:color w:val="006100"/>
                <w:lang w:val="de-DE"/>
              </w:rPr>
            </w:pPr>
            <w:r w:rsidRPr="00170422">
              <w:rPr>
                <w:noProof/>
                <w:color w:val="006100"/>
                <w:lang w:val="de-DE"/>
              </w:rPr>
              <w:t>Vergabe</w:t>
            </w:r>
            <w:r w:rsidRPr="00170422">
              <w:rPr>
                <w:noProof/>
                <w:lang w:val="de-DE"/>
              </w:rPr>
              <w:t xml:space="preserve"> </w:t>
            </w:r>
            <w:r w:rsidRPr="00170422">
              <w:rPr>
                <w:noProof/>
                <w:color w:val="006100"/>
                <w:lang w:val="de-DE"/>
              </w:rPr>
              <w:t xml:space="preserve">aller </w:t>
            </w:r>
            <w:r w:rsidRPr="00170422">
              <w:rPr>
                <w:noProof/>
                <w:color w:val="006100"/>
                <w:lang w:val="de-DE"/>
              </w:rPr>
              <w:t>öffentlichen Aufträge für die Beschaffung emissionsfreier Fahrzeuge und Maßnahmen zur Modernisierung der Infrastruktur von schnellen Massentransportsystemen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4B4FB8" w14:textId="77777777" w:rsidR="0057163C" w:rsidRPr="00170422" w:rsidRDefault="00F37BF9">
            <w:pPr>
              <w:pStyle w:val="P68B1DB1-Normal11"/>
              <w:jc w:val="center"/>
              <w:rPr>
                <w:noProof/>
                <w:lang w:val="de-DE"/>
              </w:rPr>
            </w:pPr>
            <w:r w:rsidRPr="00170422">
              <w:rPr>
                <w:noProof/>
                <w:lang w:val="de-DE"/>
              </w:rPr>
              <w:t xml:space="preserve">Mitteilung über die Vergabe aller öffentlichen Aufträge </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E2873"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A29F1D"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F057B"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239E5" w14:textId="77777777" w:rsidR="0057163C" w:rsidRPr="00170422" w:rsidRDefault="00F37BF9">
            <w:pPr>
              <w:pStyle w:val="P68B1DB1-Normal11"/>
              <w:jc w:val="center"/>
              <w:rPr>
                <w:noProof/>
                <w:szCs w:val="20"/>
                <w:lang w:val="de-DE"/>
              </w:rPr>
            </w:pPr>
            <w:r w:rsidRPr="00170422">
              <w:rPr>
                <w:noProof/>
                <w:lang w:val="de-DE"/>
              </w:rPr>
              <w:t>Q3</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3C38F"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6215BA" w14:textId="77777777" w:rsidR="0057163C" w:rsidRPr="00170422" w:rsidRDefault="00F37BF9">
            <w:pPr>
              <w:pStyle w:val="P68B1DB1-Normal14"/>
              <w:rPr>
                <w:noProof/>
                <w:lang w:val="de-DE"/>
              </w:rPr>
            </w:pPr>
            <w:r w:rsidRPr="00170422">
              <w:rPr>
                <w:noProof/>
                <w:color w:val="006100"/>
                <w:lang w:val="de-DE"/>
              </w:rPr>
              <w:t>Mitt</w:t>
            </w:r>
            <w:r w:rsidRPr="00170422">
              <w:rPr>
                <w:noProof/>
                <w:color w:val="006100"/>
                <w:lang w:val="de-DE"/>
              </w:rPr>
              <w:t>eilung über die Vergabe aller</w:t>
            </w:r>
            <w:r w:rsidRPr="00170422">
              <w:rPr>
                <w:noProof/>
                <w:lang w:val="de-DE"/>
              </w:rPr>
              <w:t xml:space="preserve"> </w:t>
            </w:r>
            <w:r w:rsidRPr="00170422">
              <w:rPr>
                <w:noProof/>
                <w:color w:val="006100"/>
                <w:lang w:val="de-DE"/>
              </w:rPr>
              <w:t>öffentlichen Aufträge für die Beschaffung von mindestens 85 Fahrzeugeinheiten und mindestens fünf Interventionen für die Modernisierung der Infrastruktur von schnellen Massentransportsystemen, wie in der Beschreibung der Maßna</w:t>
            </w:r>
            <w:r w:rsidRPr="00170422">
              <w:rPr>
                <w:noProof/>
                <w:color w:val="006100"/>
                <w:lang w:val="de-DE"/>
              </w:rPr>
              <w:t>hme definiert.</w:t>
            </w:r>
          </w:p>
        </w:tc>
      </w:tr>
      <w:tr w:rsidR="00A25317" w:rsidRPr="00170422" w14:paraId="5EF261F6"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07CEB5" w14:textId="77777777" w:rsidR="0057163C" w:rsidRPr="00170422" w:rsidRDefault="00F37BF9">
            <w:pPr>
              <w:pStyle w:val="P68B1DB1-Normal12"/>
              <w:jc w:val="center"/>
              <w:rPr>
                <w:noProof/>
                <w:lang w:val="de-DE"/>
              </w:rPr>
            </w:pPr>
            <w:r w:rsidRPr="00170422">
              <w:rPr>
                <w:noProof/>
                <w:lang w:val="de-DE"/>
              </w:rPr>
              <w:t>M2C2-26</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91BD03" w14:textId="77777777" w:rsidR="0057163C" w:rsidRPr="00170422" w:rsidRDefault="00F37BF9">
            <w:pPr>
              <w:pStyle w:val="P68B1DB1-Normal11"/>
              <w:jc w:val="center"/>
              <w:rPr>
                <w:noProof/>
                <w:lang w:val="de-DE"/>
              </w:rPr>
            </w:pPr>
            <w:r w:rsidRPr="00170422">
              <w:rPr>
                <w:noProof/>
                <w:lang w:val="de-DE"/>
              </w:rPr>
              <w:t>Investition 4.2 Entwicklung schneller Massentransportsysteme</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CEBF7" w14:textId="77777777" w:rsidR="0057163C" w:rsidRPr="00170422" w:rsidRDefault="00F37BF9">
            <w:pPr>
              <w:pStyle w:val="P68B1DB1-Normal12"/>
              <w:jc w:val="center"/>
              <w:rPr>
                <w:noProof/>
                <w:lang w:val="de-DE"/>
              </w:rPr>
            </w:pPr>
            <w:r w:rsidRPr="00170422">
              <w:rPr>
                <w:noProof/>
                <w:lang w:val="de-DE"/>
              </w:rPr>
              <w:t xml:space="preserve">Meilenstein </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52E55" w14:textId="461FE16F" w:rsidR="0057163C" w:rsidRPr="00170422" w:rsidRDefault="00F37BF9">
            <w:pPr>
              <w:pStyle w:val="P68B1DB1-Normal12"/>
              <w:jc w:val="center"/>
              <w:rPr>
                <w:noProof/>
                <w:lang w:val="de-DE"/>
              </w:rPr>
            </w:pPr>
            <w:r w:rsidRPr="00170422">
              <w:rPr>
                <w:noProof/>
                <w:lang w:val="de-DE"/>
              </w:rPr>
              <w:t>Öffentliche Infrastruktur für die rasche Entwicklung des Massentransports, gebaute oder ausgebaute Schienenfahrzeuge</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8F5749" w14:textId="50184467" w:rsidR="0057163C" w:rsidRPr="00170422" w:rsidRDefault="00F37BF9">
            <w:pPr>
              <w:pStyle w:val="P68B1DB1-Normal12"/>
              <w:jc w:val="center"/>
              <w:rPr>
                <w:rFonts w:eastAsia="Arial Narrow" w:cs="Arial Narrow"/>
                <w:noProof/>
                <w:lang w:val="de-DE"/>
              </w:rPr>
            </w:pPr>
            <w:r w:rsidRPr="00170422">
              <w:rPr>
                <w:noProof/>
                <w:lang w:val="de-DE"/>
              </w:rPr>
              <w:t xml:space="preserve">Ausstellung von Abschluss- oder </w:t>
            </w:r>
            <w:r w:rsidRPr="00170422">
              <w:rPr>
                <w:noProof/>
                <w:lang w:val="de-DE"/>
              </w:rPr>
              <w:t>Registrierungsbescheinigungen</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144E49" w14:textId="4E04FE88"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0BF3ED" w14:textId="53C56BBC" w:rsidR="0057163C" w:rsidRPr="00170422" w:rsidRDefault="00F37BF9">
            <w:pPr>
              <w:pStyle w:val="P68B1DB1-Normal12"/>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99A7C8" w14:textId="108831CF" w:rsidR="0057163C" w:rsidRPr="00170422" w:rsidRDefault="00F37BF9">
            <w:pPr>
              <w:pStyle w:val="P68B1DB1-Normal12"/>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C697F3"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BFF529"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2CDBFF" w14:textId="329A4C08" w:rsidR="0057163C" w:rsidRPr="00170422" w:rsidRDefault="00F37BF9">
            <w:pPr>
              <w:pStyle w:val="P68B1DB1-ListParagraph13"/>
              <w:numPr>
                <w:ilvl w:val="0"/>
                <w:numId w:val="84"/>
              </w:numPr>
              <w:spacing w:before="120" w:after="120" w:line="240" w:lineRule="auto"/>
              <w:jc w:val="both"/>
              <w:rPr>
                <w:noProof/>
                <w:lang w:val="de-DE"/>
              </w:rPr>
            </w:pPr>
            <w:r w:rsidRPr="00170422">
              <w:rPr>
                <w:noProof/>
                <w:lang w:val="de-DE"/>
              </w:rPr>
              <w:t>Abschlussbescheinigungen für mindestens 186 km öffentliche Verkehrsinfrastruktur in funktionalen städtischen Gebieten.</w:t>
            </w:r>
          </w:p>
          <w:p w14:paraId="660095A8" w14:textId="5F308ED7" w:rsidR="0057163C" w:rsidRPr="00170422" w:rsidRDefault="00F37BF9">
            <w:pPr>
              <w:pStyle w:val="P68B1DB1-ListParagraph13"/>
              <w:numPr>
                <w:ilvl w:val="0"/>
                <w:numId w:val="84"/>
              </w:numPr>
              <w:spacing w:before="120" w:after="120" w:line="240" w:lineRule="auto"/>
              <w:jc w:val="both"/>
              <w:rPr>
                <w:noProof/>
                <w:lang w:val="de-DE"/>
              </w:rPr>
            </w:pPr>
            <w:r w:rsidRPr="00170422">
              <w:rPr>
                <w:noProof/>
                <w:lang w:val="de-DE"/>
              </w:rPr>
              <w:t xml:space="preserve">Registrierung von mindestens 311 Einheiten emissionsfreier Fahrzeuge </w:t>
            </w:r>
            <w:r w:rsidRPr="00170422">
              <w:rPr>
                <w:noProof/>
                <w:lang w:val="de-DE"/>
              </w:rPr>
              <w:t>für einen schnellen Massentransport in funktionalen städtischen Gebieten.</w:t>
            </w:r>
          </w:p>
          <w:p w14:paraId="3F7A4DEF" w14:textId="35EE7F5A" w:rsidR="0057163C" w:rsidRPr="00170422" w:rsidRDefault="00F37BF9">
            <w:pPr>
              <w:pStyle w:val="P68B1DB1-ListParagraph13"/>
              <w:numPr>
                <w:ilvl w:val="0"/>
                <w:numId w:val="84"/>
              </w:numPr>
              <w:spacing w:before="120" w:after="120" w:line="240" w:lineRule="auto"/>
              <w:jc w:val="both"/>
              <w:rPr>
                <w:noProof/>
                <w:lang w:val="de-DE"/>
              </w:rPr>
            </w:pPr>
            <w:r w:rsidRPr="00170422">
              <w:rPr>
                <w:noProof/>
                <w:lang w:val="de-DE"/>
              </w:rPr>
              <w:t>Abschlussbescheinigung, ausgestellt für mindestens 10 Modernisierungsmaßnahmen für die Infrastruktur für den schnellen Massentransport, einschließlich ihrer Digitalisierung. Zu diese</w:t>
            </w:r>
            <w:r w:rsidRPr="00170422">
              <w:rPr>
                <w:noProof/>
                <w:lang w:val="de-DE"/>
              </w:rPr>
              <w:t>n Maßnahmen gehören die Modernisierung von U-Bahnhöfen und der U-Bahn-Infrastruktur, Signalsysteme für Eisenbahn- oder Straßenbahnen sowie öffentliche Transitdepots.</w:t>
            </w:r>
          </w:p>
          <w:p w14:paraId="4A489E6C" w14:textId="57A427D6" w:rsidR="0057163C" w:rsidRPr="00170422" w:rsidRDefault="00F37BF9">
            <w:pPr>
              <w:pStyle w:val="P68B1DB1-Normal11"/>
              <w:rPr>
                <w:noProof/>
                <w:lang w:val="de-DE"/>
              </w:rPr>
            </w:pPr>
            <w:r w:rsidRPr="00170422">
              <w:rPr>
                <w:noProof/>
                <w:lang w:val="de-DE"/>
              </w:rPr>
              <w:t>Die Investition darf nicht den Bau oder die Modernisierung von Straßen außerhalb des Inter</w:t>
            </w:r>
            <w:r w:rsidRPr="00170422">
              <w:rPr>
                <w:noProof/>
                <w:lang w:val="de-DE"/>
              </w:rPr>
              <w:t>ventionsbereichs umfassen, es sei denn, diese sind integraler Bestandteil der Infrastruktur, die den Betrieb emissionsfreier Fahrzeuge ermöglicht.</w:t>
            </w:r>
          </w:p>
        </w:tc>
      </w:tr>
      <w:tr w:rsidR="00A25317" w:rsidRPr="00170422" w14:paraId="1E4F27E7"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A4F436" w14:textId="77777777" w:rsidR="0057163C" w:rsidRPr="00170422" w:rsidRDefault="00F37BF9">
            <w:pPr>
              <w:pStyle w:val="P68B1DB1-Normal11"/>
              <w:jc w:val="center"/>
              <w:rPr>
                <w:noProof/>
                <w:lang w:val="de-DE"/>
              </w:rPr>
            </w:pPr>
            <w:r w:rsidRPr="00170422">
              <w:rPr>
                <w:noProof/>
                <w:lang w:val="de-DE"/>
              </w:rPr>
              <w:t>M2C2-31</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3966ED" w14:textId="77777777" w:rsidR="0057163C" w:rsidRPr="00170422" w:rsidRDefault="00F37BF9">
            <w:pPr>
              <w:pStyle w:val="P68B1DB1-Normal11"/>
              <w:jc w:val="center"/>
              <w:rPr>
                <w:noProof/>
                <w:lang w:val="de-DE"/>
              </w:rPr>
            </w:pPr>
            <w:r w:rsidRPr="00170422">
              <w:rPr>
                <w:noProof/>
                <w:lang w:val="de-DE"/>
              </w:rPr>
              <w:t>Investition 4.4.3: Erneuerungsflotte für den Nationalen Feuerwehrkommando</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2E6B7D"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E68A2" w14:textId="77777777" w:rsidR="0057163C" w:rsidRPr="00170422" w:rsidRDefault="00F37BF9">
            <w:pPr>
              <w:pStyle w:val="P68B1DB1-Normal11"/>
              <w:jc w:val="center"/>
              <w:rPr>
                <w:noProof/>
                <w:lang w:val="de-DE"/>
              </w:rPr>
            </w:pPr>
            <w:r w:rsidRPr="00170422">
              <w:rPr>
                <w:noProof/>
                <w:lang w:val="de-DE"/>
              </w:rPr>
              <w:t xml:space="preserve">Vergabe aller </w:t>
            </w:r>
            <w:r w:rsidRPr="00170422">
              <w:rPr>
                <w:noProof/>
                <w:lang w:val="de-DE"/>
              </w:rPr>
              <w:t>öffentlichen Aufträge für die Erneuerung der Flotte für den Befehl der nationalen Feuerwehr</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100F8" w14:textId="77777777" w:rsidR="0057163C" w:rsidRPr="00170422" w:rsidRDefault="00F37BF9">
            <w:pPr>
              <w:pStyle w:val="P68B1DB1-Normal11"/>
              <w:jc w:val="center"/>
              <w:rPr>
                <w:noProof/>
                <w:lang w:val="de-DE"/>
              </w:rPr>
            </w:pPr>
            <w:r w:rsidRPr="00170422">
              <w:rPr>
                <w:noProof/>
                <w:lang w:val="de-DE"/>
              </w:rPr>
              <w:t>Mitteilung über die Vergabe aller Aufträge für die Erneuerungsflotte für den Befehl der Nationalen Feuerwehr</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6EF613"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E2F16C"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490C0" w14:textId="77777777" w:rsidR="0057163C" w:rsidRPr="00170422" w:rsidRDefault="00F37BF9">
            <w:pPr>
              <w:pStyle w:val="P68B1DB1-Normal11"/>
              <w:jc w:val="center"/>
              <w:rPr>
                <w:noProof/>
                <w:lang w:val="de-DE"/>
              </w:rPr>
            </w:pPr>
            <w:r w:rsidRPr="00170422">
              <w:rPr>
                <w:noProof/>
                <w:lang w:val="de-DE"/>
              </w:rPr>
              <w:t>N.A.</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211C2"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00AA2"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94A372" w14:textId="77777777" w:rsidR="0057163C" w:rsidRPr="00170422" w:rsidRDefault="00F37BF9">
            <w:pPr>
              <w:pStyle w:val="P68B1DB1-Normal11"/>
              <w:rPr>
                <w:noProof/>
                <w:lang w:val="de-DE"/>
              </w:rPr>
            </w:pPr>
            <w:r w:rsidRPr="00170422">
              <w:rPr>
                <w:noProof/>
                <w:lang w:val="de-DE"/>
              </w:rPr>
              <w:t>Mitteilung über die Ve</w:t>
            </w:r>
            <w:r w:rsidRPr="00170422">
              <w:rPr>
                <w:noProof/>
                <w:lang w:val="de-DE"/>
              </w:rPr>
              <w:t>rgabe aller öffentlichen Aufträge für den Erwerb von Fahrzeugen der nationalen Feuerwehr.</w:t>
            </w:r>
          </w:p>
        </w:tc>
      </w:tr>
      <w:tr w:rsidR="00A25317" w:rsidRPr="00170422" w14:paraId="6E2E9D52"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A9A70" w14:textId="77777777" w:rsidR="0057163C" w:rsidRPr="00170422" w:rsidRDefault="00F37BF9">
            <w:pPr>
              <w:pStyle w:val="P68B1DB1-Normal11"/>
              <w:jc w:val="center"/>
              <w:rPr>
                <w:noProof/>
                <w:lang w:val="de-DE"/>
              </w:rPr>
            </w:pPr>
            <w:r w:rsidRPr="00170422">
              <w:rPr>
                <w:noProof/>
                <w:lang w:val="de-DE"/>
              </w:rPr>
              <w:t>M2C2-32</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C3AC81" w14:textId="77777777" w:rsidR="0057163C" w:rsidRPr="00170422" w:rsidRDefault="00F37BF9">
            <w:pPr>
              <w:pStyle w:val="P68B1DB1-Normal11"/>
              <w:jc w:val="center"/>
              <w:rPr>
                <w:noProof/>
                <w:lang w:val="de-DE"/>
              </w:rPr>
            </w:pPr>
            <w:r w:rsidRPr="00170422">
              <w:rPr>
                <w:noProof/>
                <w:lang w:val="de-DE"/>
              </w:rPr>
              <w:t>Investition 4.4.1: Stärkung der regionalen Busflotte des öffentlichen Nahverkehrs mit emissionsfreien Niedrigstbussen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BDA755"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932E2" w14:textId="77777777" w:rsidR="0057163C" w:rsidRPr="00170422" w:rsidRDefault="00F37BF9">
            <w:pPr>
              <w:pStyle w:val="P68B1DB1-Normal11"/>
              <w:jc w:val="center"/>
              <w:rPr>
                <w:noProof/>
                <w:lang w:val="de-DE"/>
              </w:rPr>
            </w:pPr>
            <w:r w:rsidRPr="00170422">
              <w:rPr>
                <w:noProof/>
                <w:lang w:val="de-DE"/>
              </w:rPr>
              <w:t>Vergabe aller</w:t>
            </w:r>
            <w:r w:rsidRPr="00170422">
              <w:rPr>
                <w:noProof/>
                <w:lang w:val="de-DE"/>
              </w:rPr>
              <w:t xml:space="preserve"> öffentlichen Aufträge zur Stärkung der regionalen öffentlichen Verkehrsbusflotte mit emissionsfreien Niederflurbussen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1DB1F" w14:textId="77777777" w:rsidR="0057163C" w:rsidRPr="00170422" w:rsidRDefault="00F37BF9">
            <w:pPr>
              <w:pStyle w:val="P68B1DB1-Normal11"/>
              <w:jc w:val="center"/>
              <w:rPr>
                <w:noProof/>
                <w:lang w:val="de-DE"/>
              </w:rPr>
            </w:pPr>
            <w:r w:rsidRPr="00170422">
              <w:rPr>
                <w:noProof/>
                <w:lang w:val="de-DE"/>
              </w:rPr>
              <w:t xml:space="preserve">Mitteilung über die Vergabe aller Aufträge </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3017FE"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153C0C"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AD6ADC"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E92CDF" w14:textId="77777777" w:rsidR="0057163C" w:rsidRPr="00170422" w:rsidRDefault="00F37BF9">
            <w:pPr>
              <w:pStyle w:val="P68B1DB1-Normal11"/>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6B54A1" w14:textId="77777777" w:rsidR="0057163C" w:rsidRPr="00170422" w:rsidRDefault="00F37BF9">
            <w:pPr>
              <w:pStyle w:val="P68B1DB1-Normal11"/>
              <w:jc w:val="center"/>
              <w:rPr>
                <w:noProof/>
                <w:lang w:val="de-DE"/>
              </w:rPr>
            </w:pPr>
            <w:r w:rsidRPr="00170422">
              <w:rPr>
                <w:noProof/>
                <w:lang w:val="de-DE"/>
              </w:rPr>
              <w:t>2023</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9A9ABA" w14:textId="68878985" w:rsidR="0057163C" w:rsidRPr="00170422" w:rsidRDefault="00F37BF9">
            <w:pPr>
              <w:pStyle w:val="P68B1DB1-Normal11"/>
              <w:rPr>
                <w:noProof/>
                <w:lang w:val="de-DE"/>
              </w:rPr>
            </w:pPr>
            <w:r w:rsidRPr="00170422">
              <w:rPr>
                <w:noProof/>
                <w:lang w:val="de-DE"/>
              </w:rPr>
              <w:t>Mitteilung über die Vergabe öffentlicher Aufträ</w:t>
            </w:r>
            <w:r w:rsidRPr="00170422">
              <w:rPr>
                <w:noProof/>
                <w:lang w:val="de-DE"/>
              </w:rPr>
              <w:t>ge für den Erwerb von mindestens 3000 emissionsfreien Niederflurbussen.</w:t>
            </w:r>
          </w:p>
        </w:tc>
      </w:tr>
      <w:tr w:rsidR="00A25317" w:rsidRPr="00170422" w14:paraId="0AD27A62"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564522" w14:textId="77777777" w:rsidR="0057163C" w:rsidRPr="00170422" w:rsidRDefault="00F37BF9">
            <w:pPr>
              <w:pStyle w:val="P68B1DB1-Normal11"/>
              <w:jc w:val="center"/>
              <w:rPr>
                <w:noProof/>
                <w:lang w:val="de-DE"/>
              </w:rPr>
            </w:pPr>
            <w:r w:rsidRPr="00170422">
              <w:rPr>
                <w:noProof/>
                <w:lang w:val="de-DE"/>
              </w:rPr>
              <w:t>M2C2-34</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6E405" w14:textId="77777777" w:rsidR="0057163C" w:rsidRPr="00170422" w:rsidRDefault="00F37BF9">
            <w:pPr>
              <w:pStyle w:val="P68B1DB1-Normal11"/>
              <w:jc w:val="center"/>
              <w:rPr>
                <w:noProof/>
                <w:lang w:val="de-DE"/>
              </w:rPr>
            </w:pPr>
            <w:r w:rsidRPr="00170422">
              <w:rPr>
                <w:noProof/>
                <w:lang w:val="de-DE"/>
              </w:rPr>
              <w:t>Investition 4.4.1: Stärkung der regionalen Busflotte des öffentlichen Nahverkehrs mit emissionsfreien Niedrigstbussen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867646" w14:textId="77777777" w:rsidR="0057163C" w:rsidRPr="00170422" w:rsidRDefault="00F37BF9">
            <w:pPr>
              <w:pStyle w:val="P68B1DB1-Normal11"/>
              <w:jc w:val="center"/>
              <w:rPr>
                <w:noProof/>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428D4" w14:textId="77777777" w:rsidR="0057163C" w:rsidRPr="00170422" w:rsidRDefault="00F37BF9">
            <w:pPr>
              <w:pStyle w:val="P68B1DB1-Normal11"/>
              <w:jc w:val="center"/>
              <w:rPr>
                <w:noProof/>
                <w:lang w:val="de-DE"/>
              </w:rPr>
            </w:pPr>
            <w:r w:rsidRPr="00170422">
              <w:rPr>
                <w:noProof/>
                <w:lang w:val="de-DE"/>
              </w:rPr>
              <w:t xml:space="preserve">Anzahl der registrierten emissionsfreien </w:t>
            </w:r>
            <w:r w:rsidRPr="00170422">
              <w:rPr>
                <w:noProof/>
                <w:lang w:val="de-DE"/>
              </w:rPr>
              <w:t>Niederflurbusse T1</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4F3F35" w14:textId="77777777" w:rsidR="0057163C" w:rsidRPr="00170422" w:rsidRDefault="00F37BF9">
            <w:pPr>
              <w:pStyle w:val="P68B1DB1-Normal11"/>
              <w:jc w:val="center"/>
              <w:rPr>
                <w:noProof/>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38A733" w14:textId="77777777" w:rsidR="0057163C" w:rsidRPr="00170422" w:rsidRDefault="00F37BF9">
            <w:pPr>
              <w:pStyle w:val="P68B1DB1-Normal11"/>
              <w:jc w:val="center"/>
              <w:rPr>
                <w:noProof/>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732C4A" w14:textId="77777777" w:rsidR="0057163C" w:rsidRPr="00170422" w:rsidRDefault="00F37BF9">
            <w:pPr>
              <w:pStyle w:val="P68B1DB1-Normal11"/>
              <w:jc w:val="center"/>
              <w:rPr>
                <w:noProof/>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76E7C6" w14:textId="77777777" w:rsidR="0057163C" w:rsidRPr="00170422" w:rsidRDefault="00F37BF9">
            <w:pPr>
              <w:pStyle w:val="P68B1DB1-Normal11"/>
              <w:jc w:val="center"/>
              <w:rPr>
                <w:noProof/>
                <w:lang w:val="de-DE"/>
              </w:rPr>
            </w:pPr>
            <w:r w:rsidRPr="00170422">
              <w:rPr>
                <w:noProof/>
                <w:lang w:val="de-DE"/>
              </w:rPr>
              <w:t>800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68F6A" w14:textId="77777777" w:rsidR="0057163C" w:rsidRPr="00170422" w:rsidRDefault="00F37BF9">
            <w:pPr>
              <w:pStyle w:val="P68B1DB1-Normal11"/>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8B259"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EB5D5" w14:textId="77777777" w:rsidR="0057163C" w:rsidRPr="00170422" w:rsidRDefault="00F37BF9">
            <w:pPr>
              <w:pStyle w:val="P68B1DB1-Normal11"/>
              <w:rPr>
                <w:noProof/>
                <w:lang w:val="de-DE"/>
              </w:rPr>
            </w:pPr>
            <w:r w:rsidRPr="00170422">
              <w:rPr>
                <w:noProof/>
                <w:lang w:val="de-DE"/>
              </w:rPr>
              <w:t>Registrierung von mindestens 800 emissionsfreien emissionsarmen Bussen, die im Rahmen von M2C2-32 zur Stärkung der jeweiligen Flotte beschafft werden.</w:t>
            </w:r>
          </w:p>
        </w:tc>
      </w:tr>
      <w:tr w:rsidR="00A25317" w:rsidRPr="00170422" w14:paraId="4B95E251"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ADB873" w14:textId="77777777" w:rsidR="0057163C" w:rsidRPr="00170422" w:rsidRDefault="00F37BF9">
            <w:pPr>
              <w:pStyle w:val="P68B1DB1-Normal12"/>
              <w:jc w:val="center"/>
              <w:rPr>
                <w:noProof/>
                <w:lang w:val="de-DE"/>
              </w:rPr>
            </w:pPr>
            <w:r w:rsidRPr="00170422">
              <w:rPr>
                <w:noProof/>
                <w:lang w:val="de-DE"/>
              </w:rPr>
              <w:t>M2C2-34bis</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89EC1E" w14:textId="4F991156" w:rsidR="0057163C" w:rsidRPr="00170422" w:rsidRDefault="00F37BF9">
            <w:pPr>
              <w:pStyle w:val="P68B1DB1-Normal11"/>
              <w:jc w:val="center"/>
              <w:rPr>
                <w:noProof/>
                <w:lang w:val="de-DE"/>
              </w:rPr>
            </w:pPr>
            <w:r w:rsidRPr="00170422">
              <w:rPr>
                <w:noProof/>
                <w:lang w:val="de-DE"/>
              </w:rPr>
              <w:t xml:space="preserve">Investition 4.4.2: Stärkung der </w:t>
            </w:r>
            <w:r w:rsidRPr="00170422">
              <w:rPr>
                <w:noProof/>
                <w:lang w:val="de-DE"/>
              </w:rPr>
              <w:t>regionalen Eisenbahnflotte des öffentlichen Verkehrs mit emissionsfreien Zügen und Universaldienst</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341AA8" w14:textId="77777777" w:rsidR="0057163C" w:rsidRPr="00170422" w:rsidRDefault="00F37BF9">
            <w:pPr>
              <w:pStyle w:val="P68B1DB1-Normal11"/>
              <w:jc w:val="center"/>
              <w:rPr>
                <w:noProof/>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EF7E44" w14:textId="77777777" w:rsidR="0057163C" w:rsidRPr="00170422" w:rsidRDefault="00F37BF9">
            <w:pPr>
              <w:pStyle w:val="P68B1DB1-Normal12"/>
              <w:jc w:val="center"/>
              <w:rPr>
                <w:noProof/>
                <w:lang w:val="de-DE"/>
              </w:rPr>
            </w:pPr>
            <w:r w:rsidRPr="00170422">
              <w:rPr>
                <w:noProof/>
                <w:lang w:val="de-DE"/>
              </w:rPr>
              <w:t xml:space="preserve">Anzahl emissionsfreier Züge </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CBCB5F" w14:textId="77777777" w:rsidR="0057163C" w:rsidRPr="00170422" w:rsidRDefault="00F37BF9">
            <w:pPr>
              <w:pStyle w:val="P68B1DB1-Normal11"/>
              <w:jc w:val="center"/>
              <w:rPr>
                <w:noProof/>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45DF18" w14:textId="77777777" w:rsidR="0057163C" w:rsidRPr="00170422" w:rsidRDefault="00F37BF9">
            <w:pPr>
              <w:pStyle w:val="P68B1DB1-Normal11"/>
              <w:jc w:val="center"/>
              <w:rPr>
                <w:noProof/>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8C5E8D" w14:textId="77777777" w:rsidR="0057163C" w:rsidRPr="00170422" w:rsidRDefault="00F37BF9">
            <w:pPr>
              <w:pStyle w:val="P68B1DB1-Normal11"/>
              <w:jc w:val="center"/>
              <w:rPr>
                <w:noProof/>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144853" w14:textId="77777777" w:rsidR="0057163C" w:rsidRPr="00170422" w:rsidRDefault="00F37BF9">
            <w:pPr>
              <w:pStyle w:val="P68B1DB1-Normal11"/>
              <w:jc w:val="center"/>
              <w:rPr>
                <w:noProof/>
                <w:lang w:val="de-DE"/>
              </w:rPr>
            </w:pPr>
            <w:r w:rsidRPr="00170422">
              <w:rPr>
                <w:noProof/>
                <w:lang w:val="de-DE"/>
              </w:rPr>
              <w:t>25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770CB"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1EF104"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10F50D" w14:textId="77777777" w:rsidR="0057163C" w:rsidRPr="00170422" w:rsidRDefault="00F37BF9">
            <w:pPr>
              <w:pStyle w:val="P68B1DB1-Normal12"/>
              <w:rPr>
                <w:noProof/>
                <w:lang w:val="de-DE"/>
              </w:rPr>
            </w:pPr>
            <w:r w:rsidRPr="00170422">
              <w:rPr>
                <w:noProof/>
                <w:lang w:val="de-DE"/>
              </w:rPr>
              <w:t>Lieferung von mindestens 25 emissionsfreien Zügen.</w:t>
            </w:r>
          </w:p>
        </w:tc>
      </w:tr>
      <w:tr w:rsidR="00A25317" w:rsidRPr="00170422" w14:paraId="27D75847"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0335D1" w14:textId="77777777" w:rsidR="0057163C" w:rsidRPr="00170422" w:rsidRDefault="00F37BF9">
            <w:pPr>
              <w:pStyle w:val="P68B1DB1-Normal12"/>
              <w:jc w:val="center"/>
              <w:rPr>
                <w:noProof/>
                <w:lang w:val="de-DE"/>
              </w:rPr>
            </w:pPr>
            <w:r w:rsidRPr="00170422">
              <w:rPr>
                <w:noProof/>
                <w:lang w:val="de-DE"/>
              </w:rPr>
              <w:t xml:space="preserve">M2C2-35 bis </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4912F" w14:textId="3E3AECDB" w:rsidR="0057163C" w:rsidRPr="00170422" w:rsidRDefault="00F37BF9">
            <w:pPr>
              <w:pStyle w:val="P68B1DB1-Normal11"/>
              <w:jc w:val="center"/>
              <w:rPr>
                <w:noProof/>
                <w:lang w:val="de-DE"/>
              </w:rPr>
            </w:pPr>
            <w:r w:rsidRPr="00170422">
              <w:rPr>
                <w:noProof/>
                <w:lang w:val="de-DE"/>
              </w:rPr>
              <w:t xml:space="preserve">Investition 4.4.2: </w:t>
            </w:r>
            <w:r w:rsidRPr="00170422">
              <w:rPr>
                <w:noProof/>
                <w:lang w:val="de-DE"/>
              </w:rPr>
              <w:t>Stärkung der regionalen Eisenbahnflotte des öffentlichen Verkehrs mit emissionsfreien Zügen und Universaldienst</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B26E06" w14:textId="77777777" w:rsidR="0057163C" w:rsidRPr="00170422" w:rsidRDefault="00F37BF9">
            <w:pPr>
              <w:pStyle w:val="P68B1DB1-Normal11"/>
              <w:jc w:val="center"/>
              <w:rPr>
                <w:noProof/>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33ADA0" w14:textId="77777777" w:rsidR="0057163C" w:rsidRPr="00170422" w:rsidRDefault="00F37BF9">
            <w:pPr>
              <w:pStyle w:val="P68B1DB1-Normal12"/>
              <w:jc w:val="center"/>
              <w:rPr>
                <w:noProof/>
                <w:lang w:val="de-DE"/>
              </w:rPr>
            </w:pPr>
            <w:r w:rsidRPr="00170422">
              <w:rPr>
                <w:noProof/>
                <w:lang w:val="de-DE"/>
              </w:rPr>
              <w:t xml:space="preserve">Anzahl der zugelassenen Züge </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98BDF9" w14:textId="77777777" w:rsidR="0057163C" w:rsidRPr="00170422" w:rsidRDefault="00F37BF9">
            <w:pPr>
              <w:pStyle w:val="P68B1DB1-Normal12"/>
              <w:jc w:val="center"/>
              <w:rPr>
                <w:noProof/>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BCD40B" w14:textId="77777777" w:rsidR="0057163C" w:rsidRPr="00170422" w:rsidRDefault="00F37BF9">
            <w:pPr>
              <w:pStyle w:val="P68B1DB1-Normal11"/>
              <w:jc w:val="center"/>
              <w:rPr>
                <w:noProof/>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1F9AFC" w14:textId="77777777" w:rsidR="0057163C" w:rsidRPr="00170422" w:rsidRDefault="00F37BF9">
            <w:pPr>
              <w:pStyle w:val="P68B1DB1-Normal11"/>
              <w:jc w:val="center"/>
              <w:rPr>
                <w:noProof/>
                <w:lang w:val="de-DE"/>
              </w:rPr>
            </w:pPr>
            <w:r w:rsidRPr="00170422">
              <w:rPr>
                <w:noProof/>
                <w:lang w:val="de-DE"/>
              </w:rPr>
              <w:t>25</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89B273" w14:textId="77777777" w:rsidR="0057163C" w:rsidRPr="00170422" w:rsidRDefault="00F37BF9">
            <w:pPr>
              <w:pStyle w:val="P68B1DB1-Normal12"/>
              <w:jc w:val="center"/>
              <w:rPr>
                <w:noProof/>
                <w:lang w:val="de-DE"/>
              </w:rPr>
            </w:pPr>
            <w:r w:rsidRPr="00170422">
              <w:rPr>
                <w:noProof/>
                <w:lang w:val="de-DE"/>
              </w:rPr>
              <w:t>97</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FDE1D"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8CD96"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C9BFFF" w14:textId="4D945CCE" w:rsidR="0057163C" w:rsidRPr="00170422" w:rsidRDefault="00F37BF9">
            <w:pPr>
              <w:pStyle w:val="P68B1DB1-Normal12"/>
              <w:spacing w:after="120"/>
              <w:rPr>
                <w:noProof/>
                <w:lang w:val="de-DE"/>
              </w:rPr>
            </w:pPr>
            <w:r w:rsidRPr="00170422">
              <w:rPr>
                <w:noProof/>
                <w:lang w:val="de-DE"/>
              </w:rPr>
              <w:t>Registrierung von mindestens 97 emissionsfreien Zügen. Förderfähig sind elektr</w:t>
            </w:r>
            <w:r w:rsidRPr="00170422">
              <w:rPr>
                <w:noProof/>
                <w:lang w:val="de-DE"/>
              </w:rPr>
              <w:t>ische Züge, Wasserstoff-Brennstoffzellen und bis zu 20 bimodale Züge.</w:t>
            </w:r>
          </w:p>
        </w:tc>
      </w:tr>
      <w:tr w:rsidR="00A25317" w:rsidRPr="00170422" w14:paraId="202C9C5B"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FFA0F" w14:textId="77777777" w:rsidR="0057163C" w:rsidRPr="00170422" w:rsidRDefault="00F37BF9">
            <w:pPr>
              <w:pStyle w:val="P68B1DB1-Normal11"/>
              <w:jc w:val="center"/>
              <w:rPr>
                <w:noProof/>
                <w:lang w:val="de-DE"/>
              </w:rPr>
            </w:pPr>
            <w:r w:rsidRPr="00170422">
              <w:rPr>
                <w:noProof/>
                <w:lang w:val="de-DE"/>
              </w:rPr>
              <w:t>M2C2-38bis</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F8FB07" w14:textId="77777777" w:rsidR="0057163C" w:rsidRPr="00170422" w:rsidRDefault="00F37BF9">
            <w:pPr>
              <w:pStyle w:val="P68B1DB1-Normal11"/>
              <w:jc w:val="center"/>
              <w:rPr>
                <w:noProof/>
                <w:lang w:val="de-DE"/>
              </w:rPr>
            </w:pPr>
            <w:r w:rsidRPr="00170422">
              <w:rPr>
                <w:noProof/>
                <w:lang w:val="de-DE"/>
              </w:rPr>
              <w:t>Investition 5.1. Unterstützung des Produktionssystems für den ökologischen Wandel, Netto-Null-Technologien sowie Wettbewerbsfähigkeit und Resilienz strategischer Lieferketten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C2EC67"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3C904" w14:textId="77777777" w:rsidR="0057163C" w:rsidRPr="00170422" w:rsidRDefault="00F37BF9">
            <w:pPr>
              <w:pStyle w:val="P68B1DB1-Normal11"/>
              <w:jc w:val="center"/>
              <w:rPr>
                <w:noProof/>
                <w:lang w:val="de-DE"/>
              </w:rPr>
            </w:pPr>
            <w:r w:rsidRPr="00170422">
              <w:rPr>
                <w:noProof/>
                <w:lang w:val="de-DE"/>
              </w:rPr>
              <w:t>Durchführungsvereinbarung</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36EA1" w14:textId="77777777" w:rsidR="0057163C" w:rsidRPr="00170422" w:rsidRDefault="00F37BF9">
            <w:pPr>
              <w:pStyle w:val="P68B1DB1-Normal11"/>
              <w:jc w:val="center"/>
              <w:rPr>
                <w:noProof/>
                <w:lang w:val="de-DE"/>
              </w:rPr>
            </w:pPr>
            <w:r w:rsidRPr="00170422">
              <w:rPr>
                <w:noProof/>
                <w:lang w:val="de-DE"/>
              </w:rPr>
              <w:t>Inkrafttreten des Durchführungsübereinkommens</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67E310"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7ECF15"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DB0C40"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1F938"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2D0DC"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C3309D" w14:textId="77777777" w:rsidR="0057163C" w:rsidRPr="00170422" w:rsidRDefault="00F37BF9">
            <w:pPr>
              <w:pStyle w:val="P68B1DB1-Normal11"/>
              <w:rPr>
                <w:noProof/>
                <w:lang w:val="de-DE"/>
              </w:rPr>
            </w:pPr>
            <w:r w:rsidRPr="00170422">
              <w:rPr>
                <w:noProof/>
                <w:lang w:val="de-DE"/>
              </w:rPr>
              <w:t>Inkrafttreten des Durchführungsübereinkommens.</w:t>
            </w:r>
          </w:p>
        </w:tc>
      </w:tr>
      <w:tr w:rsidR="00A25317" w:rsidRPr="00170422" w14:paraId="632B61C0"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7704B2" w14:textId="77777777" w:rsidR="0057163C" w:rsidRPr="00170422" w:rsidRDefault="00F37BF9">
            <w:pPr>
              <w:pStyle w:val="P68B1DB1-Normal11"/>
              <w:jc w:val="center"/>
              <w:rPr>
                <w:noProof/>
                <w:lang w:val="de-DE"/>
              </w:rPr>
            </w:pPr>
            <w:r w:rsidRPr="00170422">
              <w:rPr>
                <w:noProof/>
                <w:lang w:val="de-DE"/>
              </w:rPr>
              <w:t>M2C2-39</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C13B7" w14:textId="77777777" w:rsidR="0057163C" w:rsidRPr="00170422" w:rsidRDefault="00F37BF9">
            <w:pPr>
              <w:pStyle w:val="P68B1DB1-Normal11"/>
              <w:jc w:val="center"/>
              <w:rPr>
                <w:noProof/>
                <w:lang w:val="de-DE"/>
              </w:rPr>
            </w:pPr>
            <w:r w:rsidRPr="00170422">
              <w:rPr>
                <w:noProof/>
                <w:lang w:val="de-DE"/>
              </w:rPr>
              <w:t xml:space="preserve">Investition 5.1 Unterstützung des Produktionssystems für den </w:t>
            </w:r>
            <w:r w:rsidRPr="00170422">
              <w:rPr>
                <w:noProof/>
                <w:lang w:val="de-DE"/>
              </w:rPr>
              <w:t>ökologischen Wandel, Netto-Null-Technologien sowie Wettbewerbsfähigkeit und Resilienz strategischer Lieferketten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D3CFB"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693970" w14:textId="77777777" w:rsidR="0057163C" w:rsidRPr="00170422" w:rsidRDefault="00F37BF9">
            <w:pPr>
              <w:pStyle w:val="P68B1DB1-Normal11"/>
              <w:jc w:val="center"/>
              <w:rPr>
                <w:noProof/>
                <w:lang w:val="de-DE"/>
              </w:rPr>
            </w:pPr>
            <w:r w:rsidRPr="00170422">
              <w:rPr>
                <w:noProof/>
                <w:lang w:val="de-DE"/>
              </w:rPr>
              <w:t>Das italienische Ministerium für Unternehmen und Made hat die Mittelübertragung an Invitalia S.p.A. abgeschlossen.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CD1F68" w14:textId="77777777" w:rsidR="0057163C" w:rsidRPr="00170422" w:rsidRDefault="00F37BF9">
            <w:pPr>
              <w:pStyle w:val="P68B1DB1-Normal11"/>
              <w:jc w:val="center"/>
              <w:rPr>
                <w:noProof/>
                <w:lang w:val="de-DE"/>
              </w:rPr>
            </w:pPr>
            <w:r w:rsidRPr="00170422">
              <w:rPr>
                <w:noProof/>
                <w:lang w:val="de-DE"/>
              </w:rPr>
              <w:t xml:space="preserve">Übertragungsbescheinigung </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3AA894"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220C4"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FC15E"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F9F58A" w14:textId="77777777" w:rsidR="0057163C" w:rsidRPr="00170422" w:rsidRDefault="00F37BF9">
            <w:pPr>
              <w:pStyle w:val="P68B1DB1-Normal11"/>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4D6010"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6B10BE" w14:textId="77777777" w:rsidR="0057163C" w:rsidRPr="00170422" w:rsidRDefault="00F37BF9">
            <w:pPr>
              <w:pStyle w:val="P68B1DB1-Normal44"/>
              <w:spacing w:before="120" w:after="120"/>
              <w:rPr>
                <w:rFonts w:hAnsi="Arial Narrow"/>
                <w:noProof/>
                <w:lang w:val="de-DE"/>
              </w:rPr>
            </w:pPr>
            <w:r w:rsidRPr="00170422">
              <w:rPr>
                <w:noProof/>
                <w:lang w:val="de-DE"/>
              </w:rPr>
              <w:t xml:space="preserve">Italien </w:t>
            </w:r>
            <w:r w:rsidRPr="00170422">
              <w:rPr>
                <w:noProof/>
                <w:lang w:val="de-DE"/>
              </w:rPr>
              <w:t>ü</w:t>
            </w:r>
            <w:r w:rsidRPr="00170422">
              <w:rPr>
                <w:noProof/>
                <w:lang w:val="de-DE"/>
              </w:rPr>
              <w:t>bertr</w:t>
            </w:r>
            <w:r w:rsidRPr="00170422">
              <w:rPr>
                <w:noProof/>
                <w:lang w:val="de-DE"/>
              </w:rPr>
              <w:t>ä</w:t>
            </w:r>
            <w:r w:rsidRPr="00170422">
              <w:rPr>
                <w:noProof/>
                <w:lang w:val="de-DE"/>
              </w:rPr>
              <w:t>gt 3</w:t>
            </w:r>
            <w:r w:rsidRPr="00170422">
              <w:rPr>
                <w:noProof/>
                <w:lang w:val="de-DE"/>
              </w:rPr>
              <w:t> </w:t>
            </w:r>
            <w:r w:rsidRPr="00170422">
              <w:rPr>
                <w:noProof/>
                <w:lang w:val="de-DE"/>
              </w:rPr>
              <w:t>500</w:t>
            </w:r>
            <w:r w:rsidRPr="00170422">
              <w:rPr>
                <w:noProof/>
                <w:lang w:val="de-DE"/>
              </w:rPr>
              <w:t> </w:t>
            </w:r>
            <w:r w:rsidRPr="00170422">
              <w:rPr>
                <w:noProof/>
                <w:lang w:val="de-DE"/>
              </w:rPr>
              <w:t>000</w:t>
            </w:r>
            <w:r w:rsidRPr="00170422">
              <w:rPr>
                <w:noProof/>
                <w:lang w:val="de-DE"/>
              </w:rPr>
              <w:t> </w:t>
            </w:r>
            <w:r w:rsidRPr="00170422">
              <w:rPr>
                <w:noProof/>
                <w:lang w:val="de-DE"/>
              </w:rPr>
              <w:t>000</w:t>
            </w:r>
            <w:r w:rsidRPr="00170422">
              <w:rPr>
                <w:noProof/>
                <w:lang w:val="de-DE"/>
              </w:rPr>
              <w:t> </w:t>
            </w:r>
            <w:r w:rsidRPr="00170422">
              <w:rPr>
                <w:noProof/>
                <w:lang w:val="de-DE"/>
              </w:rPr>
              <w:t>EUR an Invitalia f</w:t>
            </w:r>
            <w:r w:rsidRPr="00170422">
              <w:rPr>
                <w:noProof/>
                <w:lang w:val="de-DE"/>
              </w:rPr>
              <w:t>ü</w:t>
            </w:r>
            <w:r w:rsidRPr="00170422">
              <w:rPr>
                <w:noProof/>
                <w:lang w:val="de-DE"/>
              </w:rPr>
              <w:t>r die Fazilit</w:t>
            </w:r>
            <w:r w:rsidRPr="00170422">
              <w:rPr>
                <w:noProof/>
                <w:lang w:val="de-DE"/>
              </w:rPr>
              <w:t>ä</w:t>
            </w:r>
            <w:r w:rsidRPr="00170422">
              <w:rPr>
                <w:noProof/>
                <w:lang w:val="de-DE"/>
              </w:rPr>
              <w:t>t.</w:t>
            </w:r>
          </w:p>
          <w:p w14:paraId="5D6E1513" w14:textId="77777777" w:rsidR="0057163C" w:rsidRPr="00170422" w:rsidRDefault="0057163C">
            <w:pPr>
              <w:rPr>
                <w:rFonts w:ascii="Arial Narrow" w:hAnsi="Arial Narrow"/>
                <w:noProof/>
                <w:sz w:val="20"/>
                <w:lang w:val="de-DE"/>
              </w:rPr>
            </w:pPr>
          </w:p>
        </w:tc>
      </w:tr>
      <w:tr w:rsidR="00A25317" w:rsidRPr="00170422" w14:paraId="49B359F5"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51F984" w14:textId="77777777" w:rsidR="0057163C" w:rsidRPr="00170422" w:rsidRDefault="00F37BF9">
            <w:pPr>
              <w:pStyle w:val="P68B1DB1-Normal11"/>
              <w:jc w:val="center"/>
              <w:rPr>
                <w:noProof/>
                <w:szCs w:val="20"/>
                <w:lang w:val="de-DE"/>
              </w:rPr>
            </w:pPr>
            <w:r w:rsidRPr="00170422">
              <w:rPr>
                <w:noProof/>
                <w:lang w:val="de-DE"/>
              </w:rPr>
              <w:t>M2C2-40</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DDEC9B" w14:textId="77777777" w:rsidR="0057163C" w:rsidRPr="00170422" w:rsidRDefault="00F37BF9">
            <w:pPr>
              <w:pStyle w:val="P68B1DB1-Normal11"/>
              <w:jc w:val="center"/>
              <w:rPr>
                <w:noProof/>
                <w:lang w:val="de-DE"/>
              </w:rPr>
            </w:pPr>
            <w:r w:rsidRPr="00170422">
              <w:rPr>
                <w:noProof/>
                <w:lang w:val="de-DE"/>
              </w:rPr>
              <w:t xml:space="preserve">Investition 5.1. Unterstützung des Produktionssystems für den ökologischen Wandel, </w:t>
            </w:r>
            <w:r w:rsidRPr="00170422">
              <w:rPr>
                <w:noProof/>
                <w:lang w:val="de-DE"/>
              </w:rPr>
              <w:t>Netto-Null-Technologien sowie Wettbewerbsfähigkeit und Resilienz strategischer Lieferketten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AE43A"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A270E5" w14:textId="77777777" w:rsidR="0057163C" w:rsidRPr="00170422" w:rsidRDefault="00F37BF9">
            <w:pPr>
              <w:pStyle w:val="P68B1DB1-Normal11"/>
              <w:jc w:val="center"/>
              <w:rPr>
                <w:noProof/>
                <w:lang w:val="de-DE"/>
              </w:rPr>
            </w:pPr>
            <w:r w:rsidRPr="00170422">
              <w:rPr>
                <w:noProof/>
                <w:lang w:val="de-DE"/>
              </w:rPr>
              <w:t>Änderung der Durchführungsvereinbarung, der mit den Endbegünstigten unterzeichneten rechtlichen Vereinbarungen und des Abschlusses der Investitionen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03C72" w14:textId="77777777" w:rsidR="0057163C" w:rsidRPr="00170422" w:rsidRDefault="00F37BF9">
            <w:pPr>
              <w:pStyle w:val="P68B1DB1-Normal11"/>
              <w:jc w:val="center"/>
              <w:rPr>
                <w:noProof/>
                <w:lang w:val="de-DE"/>
              </w:rPr>
            </w:pPr>
            <w:r w:rsidRPr="00170422">
              <w:rPr>
                <w:noProof/>
                <w:lang w:val="de-DE"/>
              </w:rPr>
              <w:t>Inkrafttreten der geänderten Durchführungsvereinbarung, der mit den Endbegünstigten unterzeichneten rechtlichen Vereinbarungen und der Übertragungsbescheinigung</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B8B4"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9C2AE" w14:textId="77777777" w:rsidR="0057163C" w:rsidRPr="00170422" w:rsidRDefault="00F37BF9">
            <w:pPr>
              <w:pStyle w:val="P68B1DB1-Normal11"/>
              <w:jc w:val="center"/>
              <w:rPr>
                <w:noProof/>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E7FA1" w14:textId="77777777" w:rsidR="0057163C" w:rsidRPr="00170422" w:rsidRDefault="00F37BF9">
            <w:pPr>
              <w:pStyle w:val="P68B1DB1-Normal11"/>
              <w:jc w:val="center"/>
              <w:rPr>
                <w:noProof/>
                <w:lang w:val="de-DE"/>
              </w:rPr>
            </w:pPr>
            <w:r w:rsidRPr="00170422">
              <w:rPr>
                <w:noProof/>
                <w:lang w:val="de-DE"/>
              </w:rPr>
              <w:t>100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304FA"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D2BB37"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65295D" w14:textId="77777777" w:rsidR="0057163C" w:rsidRPr="00170422" w:rsidRDefault="00F37BF9">
            <w:pPr>
              <w:pStyle w:val="P68B1DB1-Normal11"/>
              <w:spacing w:before="120" w:after="120"/>
              <w:rPr>
                <w:noProof/>
                <w:lang w:val="de-DE"/>
              </w:rPr>
            </w:pPr>
            <w:r w:rsidRPr="00170422">
              <w:rPr>
                <w:noProof/>
                <w:lang w:val="de-DE"/>
              </w:rPr>
              <w:t>Änderung der Durchführungsvereinbarung.</w:t>
            </w:r>
          </w:p>
          <w:p w14:paraId="36F09C58" w14:textId="20605199" w:rsidR="0057163C" w:rsidRPr="00170422" w:rsidRDefault="00F37BF9">
            <w:pPr>
              <w:pStyle w:val="P68B1DB1-Normal11"/>
              <w:spacing w:before="120" w:after="120"/>
              <w:rPr>
                <w:noProof/>
                <w:lang w:val="de-DE"/>
              </w:rPr>
            </w:pPr>
            <w:r w:rsidRPr="00170422">
              <w:rPr>
                <w:noProof/>
                <w:lang w:val="de-DE"/>
              </w:rPr>
              <w:t>Italien überträgt 400 000 000 E</w:t>
            </w:r>
            <w:r w:rsidRPr="00170422">
              <w:rPr>
                <w:noProof/>
                <w:lang w:val="de-DE"/>
              </w:rPr>
              <w:t>UR an Invitalia für die Fazilität.</w:t>
            </w:r>
          </w:p>
          <w:p w14:paraId="47AAA15A" w14:textId="63780104" w:rsidR="0057163C" w:rsidRPr="00170422" w:rsidRDefault="00F37BF9">
            <w:pPr>
              <w:pStyle w:val="P68B1DB1-Normal21"/>
              <w:spacing w:before="120" w:after="120"/>
              <w:rPr>
                <w:rFonts w:ascii="Arial Narrow" w:hAnsi="Arial Narrow"/>
                <w:noProof/>
                <w:szCs w:val="20"/>
                <w:lang w:val="de-DE"/>
              </w:rPr>
            </w:pPr>
            <w:r w:rsidRPr="00170422">
              <w:rPr>
                <w:rFonts w:ascii="Arial Narrow" w:hAnsi="Arial Narrow"/>
                <w:noProof/>
                <w:lang w:val="de-DE"/>
              </w:rPr>
              <w:t>Invitalia hat mit Endbegünstigten rechtliche Finanzierungsvereinbarungen über einen Betrag geschlossen, der erforderlich ist, um 100 % der ARF-</w:t>
            </w:r>
            <w:r w:rsidRPr="00170422">
              <w:rPr>
                <w:rFonts w:ascii="Arial Narrow"/>
                <w:noProof/>
                <w:lang w:val="de-DE"/>
              </w:rPr>
              <w:t xml:space="preserve"> Investitionen in H</w:t>
            </w:r>
            <w:r w:rsidRPr="00170422">
              <w:rPr>
                <w:rFonts w:ascii="Arial Narrow"/>
                <w:noProof/>
                <w:lang w:val="de-DE"/>
              </w:rPr>
              <w:t>ö</w:t>
            </w:r>
            <w:r w:rsidRPr="00170422">
              <w:rPr>
                <w:rFonts w:ascii="Arial Narrow"/>
                <w:noProof/>
                <w:lang w:val="de-DE"/>
              </w:rPr>
              <w:t>he von 3</w:t>
            </w:r>
            <w:r w:rsidRPr="00170422">
              <w:rPr>
                <w:rFonts w:ascii="Arial Narrow"/>
                <w:noProof/>
                <w:lang w:val="de-DE"/>
              </w:rPr>
              <w:t> </w:t>
            </w:r>
            <w:r w:rsidRPr="00170422">
              <w:rPr>
                <w:rFonts w:ascii="Arial Narrow"/>
                <w:noProof/>
                <w:lang w:val="de-DE"/>
              </w:rPr>
              <w:t>900</w:t>
            </w:r>
            <w:r w:rsidRPr="00170422">
              <w:rPr>
                <w:rFonts w:ascii="Arial Narrow"/>
                <w:noProof/>
                <w:lang w:val="de-DE"/>
              </w:rPr>
              <w:t> </w:t>
            </w:r>
            <w:r w:rsidRPr="00170422">
              <w:rPr>
                <w:rFonts w:ascii="Arial Narrow"/>
                <w:noProof/>
                <w:lang w:val="de-DE"/>
              </w:rPr>
              <w:t>000</w:t>
            </w:r>
            <w:r w:rsidRPr="00170422">
              <w:rPr>
                <w:rFonts w:ascii="Arial Narrow"/>
                <w:noProof/>
                <w:lang w:val="de-DE"/>
              </w:rPr>
              <w:t> </w:t>
            </w:r>
            <w:r w:rsidRPr="00170422">
              <w:rPr>
                <w:rFonts w:ascii="Arial Narrow"/>
                <w:noProof/>
                <w:lang w:val="de-DE"/>
              </w:rPr>
              <w:t>000</w:t>
            </w:r>
            <w:r w:rsidRPr="00170422">
              <w:rPr>
                <w:rFonts w:ascii="Arial Narrow"/>
                <w:noProof/>
                <w:lang w:val="de-DE"/>
              </w:rPr>
              <w:t> </w:t>
            </w:r>
            <w:r w:rsidRPr="00170422">
              <w:rPr>
                <w:rFonts w:ascii="Arial Narrow"/>
                <w:noProof/>
                <w:lang w:val="de-DE"/>
              </w:rPr>
              <w:t>EUR (unter Ber</w:t>
            </w:r>
            <w:r w:rsidRPr="00170422">
              <w:rPr>
                <w:rFonts w:ascii="Arial Narrow"/>
                <w:noProof/>
                <w:lang w:val="de-DE"/>
              </w:rPr>
              <w:t>ü</w:t>
            </w:r>
            <w:r w:rsidRPr="00170422">
              <w:rPr>
                <w:rFonts w:ascii="Arial Narrow"/>
                <w:noProof/>
                <w:lang w:val="de-DE"/>
              </w:rPr>
              <w:t xml:space="preserve">cksichtigung </w:t>
            </w:r>
            <w:r w:rsidRPr="00170422">
              <w:rPr>
                <w:rFonts w:ascii="Arial Narrow" w:hAnsi="Arial Narrow"/>
                <w:noProof/>
                <w:szCs w:val="20"/>
                <w:lang w:val="de-DE"/>
              </w:rPr>
              <w:t>der Verwa</w:t>
            </w:r>
            <w:r w:rsidRPr="00170422">
              <w:rPr>
                <w:rFonts w:ascii="Arial Narrow" w:hAnsi="Arial Narrow"/>
                <w:noProof/>
                <w:szCs w:val="20"/>
                <w:lang w:val="de-DE"/>
              </w:rPr>
              <w:t xml:space="preserve">ltungsgebühren) zu verwenden. </w:t>
            </w:r>
            <w:bookmarkStart w:id="17" w:name="_Hlk212583418"/>
            <w:r w:rsidRPr="00170422">
              <w:rPr>
                <w:rFonts w:ascii="Arial Narrow" w:hAnsi="Arial Narrow"/>
                <w:noProof/>
                <w:szCs w:val="20"/>
                <w:lang w:val="de-DE"/>
              </w:rPr>
              <w:t>Mindestens 460 Mio. EUR dieser Finanzierung sollen nach der Methode in Anhang VI der ARF-Verordnung zu den Klimazielen beitragen.</w:t>
            </w:r>
            <w:bookmarkEnd w:id="17"/>
          </w:p>
          <w:p w14:paraId="77FCDB2D" w14:textId="77777777" w:rsidR="0057163C" w:rsidRPr="00170422" w:rsidRDefault="00F37BF9">
            <w:pPr>
              <w:pStyle w:val="P68B1DB1-Normal12"/>
              <w:spacing w:before="120" w:after="120"/>
              <w:rPr>
                <w:noProof/>
                <w:lang w:val="de-DE"/>
              </w:rPr>
            </w:pPr>
            <w:r w:rsidRPr="00170422">
              <w:rPr>
                <w:noProof/>
                <w:lang w:val="de-DE"/>
              </w:rPr>
              <w:t xml:space="preserve">Insbesondere: </w:t>
            </w:r>
          </w:p>
          <w:p w14:paraId="3A713340" w14:textId="04BC23CC" w:rsidR="0057163C" w:rsidRPr="00170422" w:rsidRDefault="00F37BF9">
            <w:pPr>
              <w:pStyle w:val="P68B1DB1-Normal12"/>
              <w:spacing w:before="120" w:after="120"/>
              <w:rPr>
                <w:noProof/>
                <w:lang w:val="de-DE"/>
              </w:rPr>
            </w:pPr>
            <w:r w:rsidRPr="00170422">
              <w:rPr>
                <w:noProof/>
                <w:lang w:val="de-DE"/>
              </w:rPr>
              <w:t>—Mindestens 700 000 000 EUR für die Teilinvestition 1 Netto-Null-Technologien;</w:t>
            </w:r>
          </w:p>
          <w:p w14:paraId="23C7F94A" w14:textId="5B3658DF" w:rsidR="0057163C" w:rsidRPr="00170422" w:rsidRDefault="00F37BF9">
            <w:pPr>
              <w:pStyle w:val="P68B1DB1-Normal11"/>
              <w:rPr>
                <w:noProof/>
                <w:lang w:val="de-DE"/>
              </w:rPr>
            </w:pPr>
            <w:r w:rsidRPr="00170422">
              <w:rPr>
                <w:noProof/>
                <w:lang w:val="de-DE"/>
              </w:rPr>
              <w:t>—D</w:t>
            </w:r>
            <w:r w:rsidRPr="00170422">
              <w:rPr>
                <w:noProof/>
                <w:lang w:val="de-DE"/>
              </w:rPr>
              <w:t>ie verbleibenden ARF-Investitionen werden der Teilinvestition 2 Wettbewerbsfähigkeit und Resilienz strategischer Lieferketten, einschließlich Halbleiterprojekten, zugewiesen. Im Rahmen der Teilinvestition 2 wird ein Höchstbetrag von 400 000 000 EUR für die</w:t>
            </w:r>
            <w:r w:rsidRPr="00170422">
              <w:rPr>
                <w:noProof/>
                <w:lang w:val="de-DE"/>
              </w:rPr>
              <w:t xml:space="preserve"> Agrarindustrie und den Agrar- und Lebensmittelsektor bereitgestellt.</w:t>
            </w:r>
          </w:p>
        </w:tc>
      </w:tr>
      <w:tr w:rsidR="00A25317" w:rsidRPr="00170422" w14:paraId="3A58B0AA"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8EF030" w14:textId="77777777" w:rsidR="0057163C" w:rsidRPr="00170422" w:rsidRDefault="00F37BF9">
            <w:pPr>
              <w:pStyle w:val="P68B1DB1-Normal11"/>
              <w:jc w:val="center"/>
              <w:rPr>
                <w:noProof/>
                <w:lang w:val="de-DE"/>
              </w:rPr>
            </w:pPr>
            <w:r w:rsidRPr="00170422">
              <w:rPr>
                <w:noProof/>
                <w:lang w:val="de-DE"/>
              </w:rPr>
              <w:t>M2C2-42bis</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A10F4C" w14:textId="77777777" w:rsidR="0057163C" w:rsidRPr="00170422" w:rsidRDefault="00F37BF9">
            <w:pPr>
              <w:pStyle w:val="P68B1DB1-Normal11"/>
              <w:jc w:val="both"/>
              <w:rPr>
                <w:noProof/>
                <w:lang w:val="de-DE"/>
              </w:rPr>
            </w:pPr>
            <w:r w:rsidRPr="00170422">
              <w:rPr>
                <w:noProof/>
                <w:lang w:val="de-DE"/>
              </w:rPr>
              <w:t>Investition 5.4 – Eigenkapitalzufuhr in den Fonds für den grünen Wandel (GTF)</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D49061" w14:textId="77777777" w:rsidR="0057163C" w:rsidRPr="00170422" w:rsidRDefault="00F37BF9">
            <w:pPr>
              <w:pStyle w:val="P68B1DB1-Normal11"/>
              <w:jc w:val="both"/>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3C04C" w14:textId="77777777" w:rsidR="0057163C" w:rsidRPr="00170422" w:rsidRDefault="00F37BF9">
            <w:pPr>
              <w:pStyle w:val="P68B1DB1-Normal11"/>
              <w:jc w:val="both"/>
              <w:rPr>
                <w:noProof/>
                <w:lang w:val="de-DE"/>
              </w:rPr>
            </w:pPr>
            <w:r w:rsidRPr="00170422">
              <w:rPr>
                <w:noProof/>
                <w:lang w:val="de-DE"/>
              </w:rPr>
              <w:t>Kapitalzuführung in den Fonds für den grünen Wandel</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50325" w14:textId="77777777" w:rsidR="0057163C" w:rsidRPr="00170422" w:rsidRDefault="00F37BF9">
            <w:pPr>
              <w:pStyle w:val="P68B1DB1-Normal11"/>
              <w:jc w:val="center"/>
              <w:rPr>
                <w:noProof/>
                <w:lang w:val="de-DE"/>
              </w:rPr>
            </w:pPr>
            <w:r w:rsidRPr="00170422">
              <w:rPr>
                <w:noProof/>
                <w:lang w:val="de-DE"/>
              </w:rPr>
              <w:t>Übertragungsbescheinigung</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66CA0"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71E2DC" w14:textId="77777777" w:rsidR="0057163C" w:rsidRPr="00170422" w:rsidRDefault="00F37BF9">
            <w:pPr>
              <w:pStyle w:val="P68B1DB1-Normal11"/>
              <w:jc w:val="center"/>
              <w:rPr>
                <w:noProof/>
                <w:lang w:val="de-DE"/>
              </w:rPr>
            </w:pPr>
            <w:r w:rsidRPr="00170422">
              <w:rPr>
                <w:noProof/>
                <w:lang w:val="de-DE"/>
              </w:rPr>
              <w:t xml:space="preserve"> 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8D642"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E085A2"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7361A8" w14:textId="77777777" w:rsidR="0057163C" w:rsidRPr="00170422" w:rsidRDefault="00F37BF9">
            <w:pPr>
              <w:pStyle w:val="P68B1DB1-Normal11"/>
              <w:jc w:val="center"/>
              <w:rPr>
                <w:noProof/>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7640A6" w14:textId="77777777" w:rsidR="0057163C" w:rsidRPr="00170422" w:rsidRDefault="00F37BF9">
            <w:pPr>
              <w:spacing w:after="120"/>
              <w:jc w:val="both"/>
              <w:rPr>
                <w:rFonts w:ascii="Arial Narrow" w:hAnsi="Arial Narrow"/>
                <w:noProof/>
                <w:color w:val="006100"/>
                <w:sz w:val="20"/>
                <w:szCs w:val="20"/>
                <w:lang w:val="de-DE"/>
              </w:rPr>
            </w:pPr>
            <w:r w:rsidRPr="00170422">
              <w:rPr>
                <w:rFonts w:ascii="Arial Narrow" w:hAnsi="Arial Narrow"/>
                <w:noProof/>
                <w:color w:val="006100"/>
                <w:sz w:val="20"/>
                <w:szCs w:val="20"/>
                <w:lang w:val="de-DE"/>
              </w:rPr>
              <w:t>Italien überträgt 250 000 000 EUR</w:t>
            </w:r>
            <w:r w:rsidRPr="00170422">
              <w:rPr>
                <w:noProof/>
                <w:sz w:val="23"/>
                <w:szCs w:val="23"/>
                <w:lang w:val="de-DE"/>
              </w:rPr>
              <w:t xml:space="preserve">  </w:t>
            </w:r>
            <w:r w:rsidRPr="00170422">
              <w:rPr>
                <w:rFonts w:ascii="Arial Narrow" w:hAnsi="Arial Narrow"/>
                <w:noProof/>
                <w:color w:val="006100"/>
                <w:sz w:val="20"/>
                <w:szCs w:val="20"/>
                <w:lang w:val="de-DE"/>
              </w:rPr>
              <w:t>an die GTF.</w:t>
            </w:r>
          </w:p>
          <w:p w14:paraId="1E9AF93F" w14:textId="77777777" w:rsidR="0057163C" w:rsidRPr="00170422" w:rsidRDefault="00F37BF9">
            <w:pPr>
              <w:pStyle w:val="P68B1DB1-Normal12"/>
              <w:rPr>
                <w:noProof/>
                <w:lang w:val="de-DE"/>
              </w:rPr>
            </w:pPr>
            <w:r w:rsidRPr="00170422">
              <w:rPr>
                <w:noProof/>
                <w:lang w:val="de-DE"/>
              </w:rPr>
              <w:t>Darüber hinaus muss die Investitionspolitik („Accordo Finanziario“) der Beschreibung der Maßnahme entsprechen.</w:t>
            </w:r>
          </w:p>
        </w:tc>
      </w:tr>
      <w:tr w:rsidR="00A25317" w:rsidRPr="00170422" w14:paraId="0263B7BD"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7E4E3C" w14:textId="77777777" w:rsidR="0057163C" w:rsidRPr="00170422" w:rsidRDefault="00F37BF9">
            <w:pPr>
              <w:pStyle w:val="P68B1DB1-Normal11"/>
              <w:jc w:val="center"/>
              <w:rPr>
                <w:noProof/>
                <w:lang w:val="de-DE"/>
              </w:rPr>
            </w:pPr>
            <w:r w:rsidRPr="00170422">
              <w:rPr>
                <w:noProof/>
                <w:lang w:val="de-DE"/>
              </w:rPr>
              <w:t>M2C2-43</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8C43E4" w14:textId="77777777" w:rsidR="0057163C" w:rsidRPr="00170422" w:rsidRDefault="00F37BF9">
            <w:pPr>
              <w:pStyle w:val="P68B1DB1-Normal11"/>
              <w:jc w:val="both"/>
              <w:rPr>
                <w:noProof/>
                <w:lang w:val="de-DE"/>
              </w:rPr>
            </w:pPr>
            <w:r w:rsidRPr="00170422">
              <w:rPr>
                <w:noProof/>
                <w:lang w:val="de-DE"/>
              </w:rPr>
              <w:t xml:space="preserve">Investition 5.4: Kapitalzuführung in den </w:t>
            </w:r>
            <w:r w:rsidRPr="00170422">
              <w:rPr>
                <w:noProof/>
                <w:lang w:val="de-DE"/>
              </w:rPr>
              <w:t>Fonds für den grünen Wandel („GTF“)</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179" w14:textId="77777777" w:rsidR="0057163C" w:rsidRPr="00170422" w:rsidRDefault="00F37BF9">
            <w:pPr>
              <w:pStyle w:val="P68B1DB1-Normal11"/>
              <w:jc w:val="both"/>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39263" w14:textId="77777777" w:rsidR="0057163C" w:rsidRPr="00170422" w:rsidRDefault="00F37BF9">
            <w:pPr>
              <w:pStyle w:val="P68B1DB1-Normal11"/>
              <w:jc w:val="both"/>
              <w:rPr>
                <w:noProof/>
                <w:lang w:val="de-DE"/>
              </w:rPr>
            </w:pPr>
            <w:r w:rsidRPr="00170422">
              <w:rPr>
                <w:noProof/>
                <w:lang w:val="de-DE"/>
              </w:rPr>
              <w:t>Verabschiedung eines Berichts</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38428" w14:textId="77777777" w:rsidR="0057163C" w:rsidRPr="00170422" w:rsidRDefault="00F37BF9">
            <w:pPr>
              <w:pStyle w:val="P68B1DB1-Normal11"/>
              <w:jc w:val="center"/>
              <w:rPr>
                <w:noProof/>
                <w:lang w:val="de-DE"/>
              </w:rPr>
            </w:pPr>
            <w:r w:rsidRPr="00170422">
              <w:rPr>
                <w:noProof/>
                <w:lang w:val="de-DE"/>
              </w:rPr>
              <w:t>Verabschiedung eines Berichts</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A1C21B" w14:textId="77777777" w:rsidR="0057163C" w:rsidRPr="00170422" w:rsidRDefault="00F37BF9">
            <w:pPr>
              <w:pStyle w:val="P68B1DB1-Normal11"/>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A05BE7"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F27B72" w14:textId="77777777" w:rsidR="0057163C" w:rsidRPr="00170422" w:rsidRDefault="00F37BF9">
            <w:pPr>
              <w:pStyle w:val="P68B1DB1-Normal11"/>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85AD"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F31FB5"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141EC5" w14:textId="77777777" w:rsidR="0057163C" w:rsidRPr="00170422" w:rsidRDefault="00F37BF9">
            <w:pPr>
              <w:pStyle w:val="P68B1DB1-Normal11"/>
              <w:spacing w:after="120"/>
              <w:rPr>
                <w:noProof/>
                <w:lang w:val="de-DE"/>
              </w:rPr>
            </w:pPr>
            <w:r w:rsidRPr="00170422">
              <w:rPr>
                <w:noProof/>
                <w:lang w:val="de-DE"/>
              </w:rPr>
              <w:t>Italien legt einen Bericht vor, in dem die von der GTF zur Umsetzung der Investitionspolitik ergriffenen Maßna</w:t>
            </w:r>
            <w:r w:rsidRPr="00170422">
              <w:rPr>
                <w:noProof/>
                <w:lang w:val="de-DE"/>
              </w:rPr>
              <w:t>hmen dargelegt werden, einschließlich der Schritte, die zur Umsetzung der Finanzprodukte ergriffen wurden, die mit dem Eigenkapital voraussichtlich unterstützt werden, sowie der voraussichtlichen Schritte zur weiteren Umsetzung dieser Produkte.</w:t>
            </w:r>
          </w:p>
          <w:p w14:paraId="4EED585D" w14:textId="77777777" w:rsidR="0057163C" w:rsidRPr="00170422" w:rsidRDefault="00F37BF9">
            <w:pPr>
              <w:pStyle w:val="P68B1DB1-Normal11"/>
              <w:spacing w:after="120"/>
              <w:jc w:val="both"/>
              <w:rPr>
                <w:noProof/>
                <w:szCs w:val="20"/>
                <w:lang w:val="de-DE"/>
              </w:rPr>
            </w:pPr>
            <w:r w:rsidRPr="00170422">
              <w:rPr>
                <w:noProof/>
                <w:lang w:val="de-DE"/>
              </w:rPr>
              <w:t>In dem Beri</w:t>
            </w:r>
            <w:r w:rsidRPr="00170422">
              <w:rPr>
                <w:noProof/>
                <w:lang w:val="de-DE"/>
              </w:rPr>
              <w:t>cht sind auch die Beträge anzugeben, die direkt/indirekt in jedes Finanzprodukt investiert wurden.</w:t>
            </w:r>
          </w:p>
        </w:tc>
      </w:tr>
      <w:tr w:rsidR="00A25317" w:rsidRPr="00170422" w14:paraId="64450C95"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8C79DE" w14:textId="77777777" w:rsidR="0057163C" w:rsidRPr="00170422" w:rsidRDefault="00F37BF9">
            <w:pPr>
              <w:pStyle w:val="P68B1DB1-Normal11"/>
              <w:jc w:val="center"/>
              <w:rPr>
                <w:noProof/>
                <w:szCs w:val="20"/>
                <w:lang w:val="de-DE"/>
              </w:rPr>
            </w:pPr>
            <w:r w:rsidRPr="00170422">
              <w:rPr>
                <w:noProof/>
                <w:lang w:val="de-DE"/>
              </w:rPr>
              <w:t>M2C2-44</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C19F0" w14:textId="77777777" w:rsidR="0057163C" w:rsidRPr="00170422" w:rsidRDefault="00F37BF9">
            <w:pPr>
              <w:pStyle w:val="P68B1DB1-Normal11"/>
              <w:jc w:val="center"/>
              <w:rPr>
                <w:noProof/>
                <w:szCs w:val="20"/>
                <w:lang w:val="de-DE"/>
              </w:rPr>
            </w:pPr>
            <w:r w:rsidRPr="00170422">
              <w:rPr>
                <w:noProof/>
                <w:lang w:val="de-DE"/>
              </w:rPr>
              <w:t>Investition 1.1 Entwicklung von Agrarvoltaiksystemen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EBBFF7" w14:textId="77777777" w:rsidR="0057163C" w:rsidRPr="00170422" w:rsidRDefault="00F37BF9">
            <w:pPr>
              <w:pStyle w:val="P68B1DB1-Normal11"/>
              <w:jc w:val="center"/>
              <w:rPr>
                <w:noProof/>
                <w:szCs w:val="20"/>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302DE9" w14:textId="77777777" w:rsidR="0057163C" w:rsidRPr="00170422" w:rsidRDefault="00F37BF9">
            <w:pPr>
              <w:pStyle w:val="P68B1DB1-Normal11"/>
              <w:jc w:val="center"/>
              <w:rPr>
                <w:noProof/>
                <w:szCs w:val="20"/>
                <w:lang w:val="de-DE"/>
              </w:rPr>
            </w:pPr>
            <w:r w:rsidRPr="00170422">
              <w:rPr>
                <w:noProof/>
                <w:lang w:val="de-DE"/>
              </w:rPr>
              <w:t>Vergabe aller öffentlichen Aufträge für die Installation von Photovoltaikmodulen in</w:t>
            </w:r>
            <w:r w:rsidRPr="00170422">
              <w:rPr>
                <w:noProof/>
                <w:lang w:val="de-DE"/>
              </w:rPr>
              <w:t xml:space="preserve"> agrovoltaischen Systemen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5E32E9" w14:textId="77777777" w:rsidR="0057163C" w:rsidRPr="00170422" w:rsidRDefault="00F37BF9">
            <w:pPr>
              <w:pStyle w:val="P68B1DB1-Normal67"/>
              <w:jc w:val="center"/>
              <w:rPr>
                <w:rFonts w:eastAsia="Arial Narrow"/>
                <w:noProof/>
                <w:lang w:val="de-DE"/>
              </w:rPr>
            </w:pPr>
            <w:r w:rsidRPr="00170422">
              <w:rPr>
                <w:noProof/>
                <w:lang w:val="de-DE"/>
              </w:rPr>
              <w:t>Veröffentlichung der Zulassungsdekrete mit der Vergabe (Aufgabe) aller öffentlichen Aufträge für die Installation von Photovoltaikmodulen in agrovoltaischen Systemen</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D40ABC" w14:textId="77777777" w:rsidR="0057163C" w:rsidRPr="00170422" w:rsidRDefault="00F37BF9">
            <w:pPr>
              <w:pStyle w:val="P68B1DB1-Normal11"/>
              <w:jc w:val="center"/>
              <w:rPr>
                <w:noProof/>
                <w:szCs w:val="20"/>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AC8BF8"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824904"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37E077"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AB100C" w14:textId="77777777" w:rsidR="0057163C" w:rsidRPr="00170422" w:rsidRDefault="00F37BF9">
            <w:pPr>
              <w:pStyle w:val="P68B1DB1-Normal11"/>
              <w:jc w:val="center"/>
              <w:rPr>
                <w:noProof/>
                <w:szCs w:val="20"/>
                <w:lang w:val="de-DE"/>
              </w:rPr>
            </w:pPr>
            <w:r w:rsidRPr="00170422">
              <w:rPr>
                <w:noProof/>
                <w:lang w:val="de-DE"/>
              </w:rPr>
              <w:t>2024</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9935588" w14:textId="77777777" w:rsidR="0057163C" w:rsidRPr="00170422" w:rsidRDefault="00F37BF9">
            <w:pPr>
              <w:pStyle w:val="P68B1DB1-Normal12"/>
              <w:rPr>
                <w:noProof/>
                <w:lang w:val="de-DE"/>
              </w:rPr>
            </w:pPr>
            <w:r w:rsidRPr="00170422">
              <w:rPr>
                <w:noProof/>
                <w:lang w:val="de-DE"/>
              </w:rPr>
              <w:t xml:space="preserve">Veröffentlichung der Zulassungsdekrete mit der Vergabe (Bewilligung) aller öffentlichen Aufträge für die Installation von Photovoltaikmodulen und Messgeräten in agrovoltaischen Systemen. </w:t>
            </w:r>
          </w:p>
        </w:tc>
      </w:tr>
      <w:tr w:rsidR="00A25317" w:rsidRPr="00170422" w14:paraId="5337BA2E"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A996" w14:textId="77777777" w:rsidR="0057163C" w:rsidRPr="00170422" w:rsidRDefault="00F37BF9">
            <w:pPr>
              <w:pStyle w:val="P68B1DB1-Normal11"/>
              <w:jc w:val="center"/>
              <w:rPr>
                <w:noProof/>
                <w:lang w:val="de-DE"/>
              </w:rPr>
            </w:pPr>
            <w:r w:rsidRPr="00170422">
              <w:rPr>
                <w:noProof/>
                <w:lang w:val="de-DE"/>
              </w:rPr>
              <w:t>M2C2-45</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76CA30" w14:textId="77777777" w:rsidR="0057163C" w:rsidRPr="00170422" w:rsidRDefault="00F37BF9">
            <w:pPr>
              <w:pStyle w:val="P68B1DB1-Normal11"/>
              <w:jc w:val="center"/>
              <w:rPr>
                <w:noProof/>
                <w:lang w:val="de-DE"/>
              </w:rPr>
            </w:pPr>
            <w:r w:rsidRPr="00170422">
              <w:rPr>
                <w:noProof/>
                <w:lang w:val="de-DE"/>
              </w:rPr>
              <w:t>Entwicklung von Agrarvoltaiksystemen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378674"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2DE302" w14:textId="77777777" w:rsidR="0057163C" w:rsidRPr="00170422" w:rsidRDefault="00F37BF9">
            <w:pPr>
              <w:pStyle w:val="P68B1DB1-Normal11"/>
              <w:jc w:val="center"/>
              <w:rPr>
                <w:noProof/>
                <w:lang w:val="de-DE"/>
              </w:rPr>
            </w:pPr>
            <w:r w:rsidRPr="00170422">
              <w:rPr>
                <w:noProof/>
                <w:lang w:val="de-DE"/>
              </w:rPr>
              <w:t>Durchführungsvereinbarung, mit Endbegünstigten unterzeichnete rechtliche Vereinbarungen und Abschluss der Investitionen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ABFE3" w14:textId="77777777" w:rsidR="0057163C" w:rsidRPr="00170422" w:rsidRDefault="00F37BF9">
            <w:pPr>
              <w:pStyle w:val="P68B1DB1-Normal11"/>
              <w:jc w:val="center"/>
              <w:rPr>
                <w:noProof/>
                <w:lang w:val="de-DE"/>
              </w:rPr>
            </w:pPr>
            <w:r w:rsidRPr="00170422">
              <w:rPr>
                <w:noProof/>
                <w:lang w:val="de-DE"/>
              </w:rPr>
              <w:t>Inkrafttreten der Durchführungsvereinbarung, der unterzeichneten rechtlichen Vereinbarungen, der Übertragungsbescheinigung</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501A32" w14:textId="77777777" w:rsidR="0057163C" w:rsidRPr="00170422" w:rsidRDefault="0057163C">
            <w:pPr>
              <w:jc w:val="center"/>
              <w:rPr>
                <w:rFonts w:ascii="Arial Narrow" w:hAnsi="Arial Narrow"/>
                <w:noProof/>
                <w:color w:val="006100"/>
                <w:sz w:val="20"/>
                <w:lang w:val="de-DE"/>
              </w:rPr>
            </w:pP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9A284" w14:textId="77777777" w:rsidR="0057163C" w:rsidRPr="00170422" w:rsidRDefault="0057163C">
            <w:pPr>
              <w:jc w:val="center"/>
              <w:rPr>
                <w:rFonts w:ascii="Arial Narrow" w:hAnsi="Arial Narrow"/>
                <w:noProof/>
                <w:color w:val="006100"/>
                <w:sz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C7E31" w14:textId="77777777" w:rsidR="0057163C" w:rsidRPr="00170422" w:rsidRDefault="0057163C">
            <w:pPr>
              <w:jc w:val="center"/>
              <w:rPr>
                <w:rFonts w:ascii="Arial Narrow" w:hAnsi="Arial Narrow"/>
                <w:noProof/>
                <w:color w:val="006100"/>
                <w:sz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1FF48"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B530E"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8E417D" w14:textId="77777777" w:rsidR="0057163C" w:rsidRPr="00170422" w:rsidRDefault="00F37BF9">
            <w:pPr>
              <w:pStyle w:val="P68B1DB1-Normal12"/>
              <w:rPr>
                <w:noProof/>
                <w:lang w:val="de-DE"/>
              </w:rPr>
            </w:pPr>
            <w:r w:rsidRPr="00170422">
              <w:rPr>
                <w:noProof/>
                <w:lang w:val="de-DE"/>
              </w:rPr>
              <w:t>In</w:t>
            </w:r>
            <w:r w:rsidRPr="00170422">
              <w:rPr>
                <w:noProof/>
                <w:lang w:val="de-DE"/>
              </w:rPr>
              <w:t>krafttreten der Durchführungsvereinbarung.</w:t>
            </w:r>
          </w:p>
          <w:p w14:paraId="2C732690" w14:textId="455F2313" w:rsidR="0057163C" w:rsidRPr="00170422" w:rsidRDefault="00F37BF9">
            <w:pPr>
              <w:pStyle w:val="P68B1DB1-Normal12"/>
              <w:rPr>
                <w:noProof/>
                <w:lang w:val="de-DE"/>
              </w:rPr>
            </w:pPr>
            <w:r w:rsidRPr="00170422">
              <w:rPr>
                <w:noProof/>
                <w:lang w:val="de-DE"/>
              </w:rPr>
              <w:t>Italien überträgt 1 099 000 000 EUR für die Fazilität an die GSE.</w:t>
            </w:r>
          </w:p>
          <w:p w14:paraId="589B2718" w14:textId="7BE0FBE3" w:rsidR="0057163C" w:rsidRPr="00170422" w:rsidRDefault="00F37BF9">
            <w:pPr>
              <w:pStyle w:val="P68B1DB1-Normal12"/>
              <w:rPr>
                <w:noProof/>
                <w:lang w:val="de-DE"/>
              </w:rPr>
            </w:pPr>
            <w:r w:rsidRPr="00170422">
              <w:rPr>
                <w:noProof/>
                <w:lang w:val="de-DE"/>
              </w:rPr>
              <w:t>Die GSE muss mit den Endbegünstigten rechtliche Finanzhilfevereinbarungen über einen Betrag geschlossen haben, der erforderlich ist, um 100 % der A</w:t>
            </w:r>
            <w:r w:rsidRPr="00170422">
              <w:rPr>
                <w:noProof/>
                <w:lang w:val="de-DE"/>
              </w:rPr>
              <w:t xml:space="preserve">RF-Investitionen für das Programm zu verwenden (unter Berücksichtigung der Verwaltungsgebühren). </w:t>
            </w:r>
          </w:p>
        </w:tc>
      </w:tr>
      <w:tr w:rsidR="00A25317" w:rsidRPr="00170422" w14:paraId="0966369D"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3EAA58" w14:textId="77777777" w:rsidR="0057163C" w:rsidRPr="00170422" w:rsidRDefault="00F37BF9">
            <w:pPr>
              <w:pStyle w:val="P68B1DB1-Normal12"/>
              <w:jc w:val="center"/>
              <w:rPr>
                <w:noProof/>
                <w:lang w:val="de-DE"/>
              </w:rPr>
            </w:pPr>
            <w:r w:rsidRPr="00170422">
              <w:rPr>
                <w:noProof/>
                <w:lang w:val="de-DE"/>
              </w:rPr>
              <w:t>M2C2-47</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19BB79" w14:textId="77777777" w:rsidR="0057163C" w:rsidRPr="00170422" w:rsidRDefault="00F37BF9">
            <w:pPr>
              <w:pStyle w:val="P68B1DB1-Normal11"/>
              <w:jc w:val="center"/>
              <w:rPr>
                <w:noProof/>
                <w:lang w:val="de-DE"/>
              </w:rPr>
            </w:pPr>
            <w:r w:rsidRPr="00170422">
              <w:rPr>
                <w:noProof/>
                <w:lang w:val="de-DE"/>
              </w:rPr>
              <w:t>Investition 1.2 Förderung erneuerbarer Energien für Energiegemeinschaften und gemeinsam handelnde Eigenverbraucher erneuerbarer Energien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39F211" w14:textId="77777777" w:rsidR="0057163C" w:rsidRPr="00170422" w:rsidRDefault="00F37BF9">
            <w:pPr>
              <w:pStyle w:val="P68B1DB1-Normal11"/>
              <w:jc w:val="center"/>
              <w:rPr>
                <w:noProof/>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8393C" w14:textId="77777777" w:rsidR="0057163C" w:rsidRPr="00170422" w:rsidRDefault="00F37BF9">
            <w:pPr>
              <w:pStyle w:val="P68B1DB1-Normal11"/>
              <w:jc w:val="center"/>
              <w:rPr>
                <w:noProof/>
                <w:lang w:val="de-DE"/>
              </w:rPr>
            </w:pPr>
            <w:r w:rsidRPr="00170422">
              <w:rPr>
                <w:noProof/>
                <w:lang w:val="de-DE"/>
              </w:rPr>
              <w:t>Durchführungsvereinbarung, mit Endbegünstigten unterzeichnete rechtliche Vereinbarungen und Abschluss der Investitionen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8A270" w14:textId="77777777" w:rsidR="0057163C" w:rsidRPr="00170422" w:rsidRDefault="00F37BF9">
            <w:pPr>
              <w:pStyle w:val="P68B1DB1-Normal11"/>
              <w:jc w:val="center"/>
              <w:rPr>
                <w:noProof/>
                <w:szCs w:val="20"/>
                <w:lang w:val="de-DE"/>
              </w:rPr>
            </w:pPr>
            <w:r w:rsidRPr="00170422">
              <w:rPr>
                <w:noProof/>
                <w:lang w:val="de-DE"/>
              </w:rPr>
              <w:t>Inkrafttreten der Durchführungsvereinbarung, der unterzeichneten rechtlichen Vereinbarungen und der Übertragungsbescheinigung</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CC9541" w14:textId="77777777" w:rsidR="0057163C" w:rsidRPr="00170422" w:rsidRDefault="00F37BF9">
            <w:pPr>
              <w:pStyle w:val="P68B1DB1-Normal12"/>
              <w:jc w:val="center"/>
              <w:rPr>
                <w:noProof/>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86AE0A" w14:textId="77777777" w:rsidR="0057163C" w:rsidRPr="00170422" w:rsidRDefault="00F37BF9">
            <w:pPr>
              <w:pStyle w:val="P68B1DB1-Normal12"/>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F7DCB" w14:textId="77777777" w:rsidR="0057163C" w:rsidRPr="00170422" w:rsidRDefault="00F37BF9">
            <w:pPr>
              <w:pStyle w:val="P68B1DB1-Normal12"/>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198527" w14:textId="77777777" w:rsidR="0057163C" w:rsidRPr="00170422" w:rsidRDefault="00F37BF9">
            <w:pPr>
              <w:pStyle w:val="P68B1DB1-Normal11"/>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15E9AF" w14:textId="77777777" w:rsidR="0057163C" w:rsidRPr="00170422" w:rsidRDefault="00F37BF9">
            <w:pPr>
              <w:pStyle w:val="P68B1DB1-Normal11"/>
              <w:jc w:val="center"/>
              <w:rPr>
                <w:noProof/>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2A11C" w14:textId="77777777" w:rsidR="0057163C" w:rsidRPr="00170422" w:rsidRDefault="00F37BF9">
            <w:pPr>
              <w:pStyle w:val="P68B1DB1-Normal11"/>
              <w:rPr>
                <w:noProof/>
                <w:lang w:val="de-DE"/>
              </w:rPr>
            </w:pPr>
            <w:r w:rsidRPr="00170422">
              <w:rPr>
                <w:noProof/>
                <w:lang w:val="de-DE"/>
              </w:rPr>
              <w:t>Inkrafttreten der Durchführungsvereinbarung.</w:t>
            </w:r>
          </w:p>
          <w:p w14:paraId="29DB9467" w14:textId="42BAE8A4" w:rsidR="0057163C" w:rsidRPr="00170422" w:rsidRDefault="00F37BF9">
            <w:pPr>
              <w:pStyle w:val="P68B1DB1-Normal12"/>
              <w:rPr>
                <w:noProof/>
                <w:lang w:val="de-DE"/>
              </w:rPr>
            </w:pPr>
            <w:r w:rsidRPr="00170422">
              <w:rPr>
                <w:noProof/>
                <w:lang w:val="de-DE"/>
              </w:rPr>
              <w:t>Italien überträgt 795 500 000 EUR für die Fazilität an die GSE.</w:t>
            </w:r>
          </w:p>
          <w:p w14:paraId="67D8F61A" w14:textId="55149862" w:rsidR="0057163C" w:rsidRPr="00170422" w:rsidRDefault="00F37BF9">
            <w:pPr>
              <w:pStyle w:val="P68B1DB1-Normal11"/>
              <w:rPr>
                <w:noProof/>
                <w:szCs w:val="20"/>
                <w:lang w:val="de-DE"/>
              </w:rPr>
            </w:pPr>
            <w:r w:rsidRPr="00170422">
              <w:rPr>
                <w:noProof/>
                <w:lang w:val="de-DE"/>
              </w:rPr>
              <w:t>Die GSE hat mit den Endbegünstigten rechtliche Finanzhilfevereinbarungen über einen Betrag geschlossen, der erforderlic</w:t>
            </w:r>
            <w:r w:rsidRPr="00170422">
              <w:rPr>
                <w:noProof/>
                <w:lang w:val="de-DE"/>
              </w:rPr>
              <w:t xml:space="preserve">h ist, um mindestens 100 % der ARF-Investitionen in das Programm zu verwenden (unter Berücksichtigung der Verwaltungsgebühren). </w:t>
            </w:r>
          </w:p>
        </w:tc>
      </w:tr>
      <w:tr w:rsidR="00A25317" w:rsidRPr="00170422" w14:paraId="26FE3D63"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9DF7B" w14:textId="77777777" w:rsidR="0057163C" w:rsidRPr="00170422" w:rsidRDefault="00F37BF9">
            <w:pPr>
              <w:pStyle w:val="P68B1DB1-Normal11"/>
              <w:jc w:val="center"/>
              <w:rPr>
                <w:noProof/>
                <w:szCs w:val="20"/>
                <w:lang w:val="de-DE"/>
              </w:rPr>
            </w:pPr>
            <w:r w:rsidRPr="00170422">
              <w:rPr>
                <w:noProof/>
                <w:lang w:val="de-DE"/>
              </w:rPr>
              <w:t>M2C2-48</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F3F3B" w14:textId="77777777" w:rsidR="0057163C" w:rsidRPr="00170422" w:rsidRDefault="00F37BF9">
            <w:pPr>
              <w:pStyle w:val="P68B1DB1-Normal11"/>
              <w:jc w:val="center"/>
              <w:rPr>
                <w:noProof/>
                <w:szCs w:val="20"/>
                <w:lang w:val="de-DE"/>
              </w:rPr>
            </w:pPr>
            <w:r w:rsidRPr="00170422">
              <w:rPr>
                <w:noProof/>
                <w:lang w:val="de-DE"/>
              </w:rPr>
              <w:t>Investition 3.1 Herstellung von Wasserstoff in Industriebrachen (Hydrogen Valleys)</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9BA90" w14:textId="77777777" w:rsidR="0057163C" w:rsidRPr="00170422" w:rsidRDefault="00F37BF9">
            <w:pPr>
              <w:pStyle w:val="P68B1DB1-Normal11"/>
              <w:jc w:val="center"/>
              <w:rPr>
                <w:noProof/>
                <w:szCs w:val="20"/>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76F12A" w14:textId="77777777" w:rsidR="0057163C" w:rsidRPr="00170422" w:rsidRDefault="00F37BF9">
            <w:pPr>
              <w:pStyle w:val="P68B1DB1-Normal11"/>
              <w:jc w:val="center"/>
              <w:rPr>
                <w:noProof/>
                <w:szCs w:val="20"/>
                <w:lang w:val="de-DE"/>
              </w:rPr>
            </w:pPr>
            <w:r w:rsidRPr="00170422">
              <w:rPr>
                <w:noProof/>
                <w:lang w:val="de-DE"/>
              </w:rPr>
              <w:t xml:space="preserve">Vergabe des gesamten </w:t>
            </w:r>
            <w:r w:rsidRPr="00170422">
              <w:rPr>
                <w:noProof/>
                <w:lang w:val="de-DE"/>
              </w:rPr>
              <w:t>öffentlichen Auftrags für die Projekte zur Erzeugung von Wasserstoff in aufgegebenen Industriegebieten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EC3B5" w14:textId="77777777" w:rsidR="0057163C" w:rsidRPr="00170422" w:rsidRDefault="00F37BF9">
            <w:pPr>
              <w:pStyle w:val="P68B1DB1-Normal11"/>
              <w:jc w:val="center"/>
              <w:rPr>
                <w:noProof/>
                <w:szCs w:val="20"/>
                <w:lang w:val="de-DE"/>
              </w:rPr>
            </w:pPr>
            <w:r w:rsidRPr="00170422">
              <w:rPr>
                <w:noProof/>
                <w:lang w:val="de-DE"/>
              </w:rPr>
              <w:t>Mitteilung über die Vergabe sämtlicher öffentlicher Aufträge für die Wasserstofferzeugung in aufgegebenen Industriezentren</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6BC5D" w14:textId="77777777" w:rsidR="0057163C" w:rsidRPr="00170422" w:rsidRDefault="00F37BF9">
            <w:pPr>
              <w:pStyle w:val="P68B1DB1-Normal11"/>
              <w:jc w:val="center"/>
              <w:rPr>
                <w:noProof/>
                <w:szCs w:val="20"/>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250BD0"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42DDBD"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4177D2" w14:textId="77777777" w:rsidR="0057163C" w:rsidRPr="00170422" w:rsidRDefault="00F37BF9">
            <w:pPr>
              <w:pStyle w:val="P68B1DB1-Normal11"/>
              <w:jc w:val="center"/>
              <w:rPr>
                <w:noProof/>
                <w:szCs w:val="20"/>
                <w:lang w:val="de-DE"/>
              </w:rPr>
            </w:pPr>
            <w:r w:rsidRPr="00170422">
              <w:rPr>
                <w:noProof/>
                <w:lang w:val="de-DE"/>
              </w:rPr>
              <w:t>Q1</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E9D29" w14:textId="77777777" w:rsidR="0057163C" w:rsidRPr="00170422" w:rsidRDefault="00F37BF9">
            <w:pPr>
              <w:pStyle w:val="P68B1DB1-Normal11"/>
              <w:jc w:val="center"/>
              <w:rPr>
                <w:noProof/>
                <w:szCs w:val="20"/>
                <w:lang w:val="de-DE"/>
              </w:rPr>
            </w:pPr>
            <w:r w:rsidRPr="00170422">
              <w:rPr>
                <w:noProof/>
                <w:lang w:val="de-DE"/>
              </w:rPr>
              <w:t>2023</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0020FC" w14:textId="77777777" w:rsidR="0057163C" w:rsidRPr="00170422" w:rsidRDefault="00F37BF9">
            <w:pPr>
              <w:pStyle w:val="P68B1DB1-Normal14"/>
              <w:rPr>
                <w:noProof/>
                <w:color w:val="006100"/>
                <w:szCs w:val="20"/>
                <w:lang w:val="de-DE"/>
              </w:rPr>
            </w:pPr>
            <w:r w:rsidRPr="00170422">
              <w:rPr>
                <w:noProof/>
                <w:color w:val="006100"/>
                <w:lang w:val="de-DE"/>
              </w:rPr>
              <w:t>Vergabe der Projekte für die Wasserstofferzeugung in aufgegebenen Industriezentren. Die Erzeugung von grünem Wasserstoff mit weniger als 3 t CO2-Äq./tH2 wird finanziert, um das bestmögliche Ergebnis in Bezug auf die Dekarbonisierung zu erzielen.</w:t>
            </w:r>
            <w:r w:rsidRPr="00170422">
              <w:rPr>
                <w:noProof/>
                <w:lang w:val="de-DE"/>
              </w:rPr>
              <w:t xml:space="preserve"> </w:t>
            </w:r>
            <w:r w:rsidRPr="00170422">
              <w:rPr>
                <w:noProof/>
                <w:color w:val="006100"/>
                <w:lang w:val="de-DE"/>
              </w:rPr>
              <w:t>Di</w:t>
            </w:r>
            <w:r w:rsidRPr="00170422">
              <w:rPr>
                <w:noProof/>
                <w:color w:val="006100"/>
                <w:lang w:val="de-DE"/>
              </w:rPr>
              <w:t>ese Maßnahme unterstützt die Erzeugung von Wasserstoff auf der Grundlage von Elektrolyse aus erneuerbaren Energiequellen im Sinne der Richtlinie (EU) 2018/2001 (Erneuerbare-Energien-Richtlinie) oder Netzstrom</w:t>
            </w:r>
            <w:r w:rsidRPr="00170422">
              <w:rPr>
                <w:noProof/>
                <w:lang w:val="de-DE"/>
              </w:rPr>
              <w:t>.</w:t>
            </w:r>
          </w:p>
        </w:tc>
      </w:tr>
      <w:tr w:rsidR="00A25317" w:rsidRPr="00170422" w14:paraId="6D59FE80"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85D0A4" w14:textId="77777777" w:rsidR="0057163C" w:rsidRPr="00170422" w:rsidRDefault="00F37BF9">
            <w:pPr>
              <w:pStyle w:val="P68B1DB1-Normal11"/>
              <w:jc w:val="center"/>
              <w:rPr>
                <w:noProof/>
                <w:szCs w:val="20"/>
                <w:lang w:val="de-DE"/>
              </w:rPr>
            </w:pPr>
            <w:r w:rsidRPr="00170422">
              <w:rPr>
                <w:noProof/>
                <w:lang w:val="de-DE"/>
              </w:rPr>
              <w:t>M2C2-49</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A1D69A" w14:textId="77777777" w:rsidR="0057163C" w:rsidRPr="00170422" w:rsidRDefault="00F37BF9">
            <w:pPr>
              <w:pStyle w:val="P68B1DB1-Normal11"/>
              <w:jc w:val="center"/>
              <w:rPr>
                <w:noProof/>
                <w:szCs w:val="20"/>
                <w:lang w:val="de-DE"/>
              </w:rPr>
            </w:pPr>
            <w:r w:rsidRPr="00170422">
              <w:rPr>
                <w:noProof/>
                <w:lang w:val="de-DE"/>
              </w:rPr>
              <w:t xml:space="preserve">Investition 3.1 Herstellung von </w:t>
            </w:r>
            <w:r w:rsidRPr="00170422">
              <w:rPr>
                <w:noProof/>
                <w:lang w:val="de-DE"/>
              </w:rPr>
              <w:t>Wasserstoff in Industriebrachen (Hydrogen Valleys)</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B2C688" w14:textId="77777777" w:rsidR="0057163C" w:rsidRPr="00170422" w:rsidRDefault="00F37BF9">
            <w:pPr>
              <w:pStyle w:val="P68B1DB1-Normal11"/>
              <w:jc w:val="center"/>
              <w:rPr>
                <w:noProof/>
                <w:szCs w:val="20"/>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775886" w14:textId="77777777" w:rsidR="0057163C" w:rsidRPr="00170422" w:rsidRDefault="00F37BF9">
            <w:pPr>
              <w:pStyle w:val="P68B1DB1-Normal11"/>
              <w:jc w:val="center"/>
              <w:rPr>
                <w:noProof/>
                <w:szCs w:val="20"/>
                <w:lang w:val="de-DE"/>
              </w:rPr>
            </w:pPr>
            <w:r w:rsidRPr="00170422">
              <w:rPr>
                <w:noProof/>
                <w:lang w:val="de-DE"/>
              </w:rPr>
              <w:t>Durchgeführte Projekte</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8BF61B" w14:textId="77777777" w:rsidR="0057163C" w:rsidRPr="00170422" w:rsidRDefault="00F37BF9">
            <w:pPr>
              <w:pStyle w:val="P68B1DB1-Normal11"/>
              <w:jc w:val="center"/>
              <w:rPr>
                <w:noProof/>
                <w:szCs w:val="20"/>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D3317" w14:textId="77777777" w:rsidR="0057163C" w:rsidRPr="00170422" w:rsidRDefault="00F37BF9">
            <w:pPr>
              <w:pStyle w:val="P68B1DB1-Normal11"/>
              <w:jc w:val="center"/>
              <w:rPr>
                <w:noProof/>
                <w:szCs w:val="20"/>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4DC58E" w14:textId="77777777" w:rsidR="0057163C" w:rsidRPr="00170422" w:rsidRDefault="00F37BF9">
            <w:pPr>
              <w:pStyle w:val="P68B1DB1-Normal11"/>
              <w:jc w:val="center"/>
              <w:rPr>
                <w:noProof/>
                <w:szCs w:val="20"/>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A0CE60" w14:textId="77777777" w:rsidR="0057163C" w:rsidRPr="00170422" w:rsidRDefault="00F37BF9">
            <w:pPr>
              <w:pStyle w:val="P68B1DB1-Normal11"/>
              <w:jc w:val="center"/>
              <w:rPr>
                <w:noProof/>
                <w:szCs w:val="20"/>
                <w:lang w:val="de-DE"/>
              </w:rPr>
            </w:pPr>
            <w:r w:rsidRPr="00170422">
              <w:rPr>
                <w:noProof/>
                <w:lang w:val="de-DE"/>
              </w:rPr>
              <w:t>10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1A0108" w14:textId="77777777" w:rsidR="0057163C" w:rsidRPr="00170422" w:rsidRDefault="00F37BF9">
            <w:pPr>
              <w:pStyle w:val="P68B1DB1-Normal11"/>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A666AD" w14:textId="77777777" w:rsidR="0057163C" w:rsidRPr="00170422" w:rsidRDefault="00F37BF9">
            <w:pPr>
              <w:pStyle w:val="P68B1DB1-Normal11"/>
              <w:jc w:val="center"/>
              <w:rPr>
                <w:noProof/>
                <w:szCs w:val="20"/>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BDBB5D" w14:textId="77777777" w:rsidR="0057163C" w:rsidRPr="00170422" w:rsidRDefault="00F37BF9">
            <w:pPr>
              <w:pStyle w:val="P68B1DB1-Normal11"/>
              <w:spacing w:after="120"/>
              <w:rPr>
                <w:noProof/>
                <w:lang w:val="de-DE"/>
              </w:rPr>
            </w:pPr>
            <w:r w:rsidRPr="00170422">
              <w:rPr>
                <w:noProof/>
                <w:lang w:val="de-DE"/>
              </w:rPr>
              <w:t xml:space="preserve">Abschlussbescheinigungen für 10 Wasserstofftalprojekte, einschließlich der Installation von 10 Elektrolyseuren mit einer Leistung von jeweils </w:t>
            </w:r>
            <w:r w:rsidRPr="00170422">
              <w:rPr>
                <w:noProof/>
                <w:lang w:val="de-DE"/>
              </w:rPr>
              <w:t>mindestens 1 MW.</w:t>
            </w:r>
          </w:p>
          <w:p w14:paraId="463EAC04" w14:textId="177BC647" w:rsidR="0057163C" w:rsidRPr="00170422" w:rsidRDefault="00F37BF9">
            <w:pPr>
              <w:pStyle w:val="P68B1DB1-Normal11"/>
              <w:spacing w:after="120"/>
              <w:rPr>
                <w:noProof/>
                <w:szCs w:val="20"/>
                <w:lang w:val="de-DE"/>
              </w:rPr>
            </w:pPr>
            <w:r w:rsidRPr="00170422">
              <w:rPr>
                <w:noProof/>
                <w:lang w:val="de-DE"/>
              </w:rPr>
              <w:t>Für die Elektrolyseure, die einen Netzanschluss benötigen, werden die vom Projektträger akzeptierten Kostenschätzungen für den Anschluss erstellt.</w:t>
            </w:r>
          </w:p>
        </w:tc>
      </w:tr>
      <w:tr w:rsidR="00A25317" w:rsidRPr="00170422" w14:paraId="78E5612A"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567AB" w14:textId="77777777" w:rsidR="0057163C" w:rsidRPr="00170422" w:rsidRDefault="00F37BF9">
            <w:pPr>
              <w:pStyle w:val="P68B1DB1-Normal12"/>
              <w:jc w:val="center"/>
              <w:rPr>
                <w:noProof/>
                <w:lang w:val="de-DE"/>
              </w:rPr>
            </w:pPr>
            <w:r w:rsidRPr="00170422">
              <w:rPr>
                <w:noProof/>
                <w:lang w:val="de-DE"/>
              </w:rPr>
              <w:t>M2C2-50</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E6C5A5" w14:textId="77777777" w:rsidR="0057163C" w:rsidRPr="00170422" w:rsidRDefault="00F37BF9">
            <w:pPr>
              <w:pStyle w:val="P68B1DB1-Normal11"/>
              <w:jc w:val="center"/>
              <w:rPr>
                <w:noProof/>
                <w:szCs w:val="20"/>
                <w:lang w:val="de-DE"/>
              </w:rPr>
            </w:pPr>
            <w:r w:rsidRPr="00170422">
              <w:rPr>
                <w:noProof/>
                <w:lang w:val="de-DE"/>
              </w:rPr>
              <w:t>Investition 3.2 Wasserstoffnutzung in schwer zu dekarbonisierenden Industrien</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38F91A" w14:textId="77777777" w:rsidR="0057163C" w:rsidRPr="00170422" w:rsidRDefault="00F37BF9">
            <w:pPr>
              <w:pStyle w:val="P68B1DB1-Normal11"/>
              <w:jc w:val="center"/>
              <w:rPr>
                <w:noProof/>
                <w:szCs w:val="20"/>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909B9" w14:textId="77777777" w:rsidR="0057163C" w:rsidRPr="00170422" w:rsidRDefault="00F37BF9">
            <w:pPr>
              <w:pStyle w:val="P68B1DB1-Normal11"/>
              <w:jc w:val="center"/>
              <w:rPr>
                <w:noProof/>
                <w:szCs w:val="20"/>
                <w:lang w:val="de-DE"/>
              </w:rPr>
            </w:pPr>
            <w:r w:rsidRPr="00170422">
              <w:rPr>
                <w:noProof/>
                <w:lang w:val="de-DE"/>
              </w:rPr>
              <w:t>Einigung zur Förderung des Übergangs von Methan zu grünem Wasserstoff</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B6EFA6" w14:textId="77777777" w:rsidR="0057163C" w:rsidRPr="00170422" w:rsidRDefault="00F37BF9">
            <w:pPr>
              <w:pStyle w:val="P68B1DB1-Normal11"/>
              <w:jc w:val="center"/>
              <w:rPr>
                <w:noProof/>
                <w:szCs w:val="20"/>
                <w:lang w:val="de-DE"/>
              </w:rPr>
            </w:pPr>
            <w:r w:rsidRPr="00170422">
              <w:rPr>
                <w:noProof/>
                <w:lang w:val="de-DE"/>
              </w:rPr>
              <w:t>Unterzeichnung des Abkommens</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148D4C" w14:textId="77777777" w:rsidR="0057163C" w:rsidRPr="00170422" w:rsidRDefault="00F37BF9">
            <w:pPr>
              <w:pStyle w:val="P68B1DB1-Normal11"/>
              <w:jc w:val="center"/>
              <w:rPr>
                <w:noProof/>
                <w:szCs w:val="20"/>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7D55DC"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5383B5"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085BB" w14:textId="77777777" w:rsidR="0057163C" w:rsidRPr="00170422" w:rsidRDefault="00F37BF9">
            <w:pPr>
              <w:pStyle w:val="P68B1DB1-Normal11"/>
              <w:jc w:val="center"/>
              <w:rPr>
                <w:noProof/>
                <w:szCs w:val="20"/>
                <w:lang w:val="de-DE"/>
              </w:rPr>
            </w:pPr>
            <w:r w:rsidRPr="00170422">
              <w:rPr>
                <w:noProof/>
                <w:lang w:val="de-DE"/>
              </w:rPr>
              <w:t>Q1</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71BA4" w14:textId="77777777" w:rsidR="0057163C" w:rsidRPr="00170422" w:rsidRDefault="00F37BF9">
            <w:pPr>
              <w:pStyle w:val="P68B1DB1-Normal11"/>
              <w:jc w:val="center"/>
              <w:rPr>
                <w:noProof/>
                <w:szCs w:val="20"/>
                <w:lang w:val="de-DE"/>
              </w:rPr>
            </w:pPr>
            <w:r w:rsidRPr="00170422">
              <w:rPr>
                <w:noProof/>
                <w:lang w:val="de-DE"/>
              </w:rPr>
              <w:t>2023</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FC5212" w14:textId="77777777" w:rsidR="0057163C" w:rsidRPr="00170422" w:rsidRDefault="00F37BF9">
            <w:pPr>
              <w:pStyle w:val="P68B1DB1-Normal14"/>
              <w:rPr>
                <w:noProof/>
                <w:color w:val="006100"/>
                <w:szCs w:val="20"/>
                <w:lang w:val="de-DE"/>
              </w:rPr>
            </w:pPr>
            <w:r w:rsidRPr="00170422">
              <w:rPr>
                <w:noProof/>
                <w:color w:val="006100"/>
                <w:lang w:val="de-DE"/>
              </w:rPr>
              <w:t xml:space="preserve">Unterzeichnung der Vereinbarung mit den ausgewählten Projektträgern zur Förderung des Übergangs von Methan </w:t>
            </w:r>
            <w:r w:rsidRPr="00170422">
              <w:rPr>
                <w:noProof/>
                <w:color w:val="006100"/>
                <w:lang w:val="de-DE"/>
              </w:rPr>
              <w:t>zu grünem Wasserstoff. Die Projekte sind zum Teil dem FuI-Prozess zur Entwicklung und zum Teil der Realisierung und Erprobung eines industriellen Prototyps unter Verwendung von Wasserstoff gewidmet.</w:t>
            </w:r>
            <w:r w:rsidRPr="00170422">
              <w:rPr>
                <w:noProof/>
                <w:lang w:val="de-DE"/>
              </w:rPr>
              <w:t xml:space="preserve"> </w:t>
            </w:r>
            <w:r w:rsidRPr="00170422">
              <w:rPr>
                <w:noProof/>
                <w:color w:val="006100"/>
                <w:lang w:val="de-DE"/>
              </w:rPr>
              <w:t>Mit dieser Maßnahme wird die Wasserstofferzeugung auf der</w:t>
            </w:r>
            <w:r w:rsidRPr="00170422">
              <w:rPr>
                <w:noProof/>
                <w:color w:val="006100"/>
                <w:lang w:val="de-DE"/>
              </w:rPr>
              <w:t xml:space="preserve"> Grundlage von Elektrolyse unter Nutzung erneuerbarer Energiequellen im Sinne der Richtlinie (EU) 2018/2001 (Erneuerbare-Richtlinie) oder Netzstrom unterstützt.</w:t>
            </w:r>
          </w:p>
        </w:tc>
      </w:tr>
      <w:tr w:rsidR="00A25317" w:rsidRPr="00170422" w14:paraId="095C9F2C"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CD864A" w14:textId="77777777" w:rsidR="0057163C" w:rsidRPr="00170422" w:rsidRDefault="00F37BF9">
            <w:pPr>
              <w:pStyle w:val="P68B1DB1-Normal11"/>
              <w:jc w:val="center"/>
              <w:rPr>
                <w:noProof/>
                <w:szCs w:val="20"/>
                <w:lang w:val="de-DE"/>
              </w:rPr>
            </w:pPr>
            <w:r w:rsidRPr="00170422">
              <w:rPr>
                <w:noProof/>
                <w:lang w:val="de-DE"/>
              </w:rPr>
              <w:t>M2C2-52</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A58C70" w14:textId="77777777" w:rsidR="0057163C" w:rsidRPr="00170422" w:rsidRDefault="00F37BF9">
            <w:pPr>
              <w:pStyle w:val="P68B1DB1-Normal11"/>
              <w:jc w:val="center"/>
              <w:rPr>
                <w:noProof/>
                <w:szCs w:val="20"/>
                <w:lang w:val="de-DE"/>
              </w:rPr>
            </w:pPr>
            <w:r w:rsidRPr="00170422">
              <w:rPr>
                <w:noProof/>
                <w:lang w:val="de-DE"/>
              </w:rPr>
              <w:t>Investition 5.2 Wasserstoff</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09906E" w14:textId="77777777" w:rsidR="0057163C" w:rsidRPr="00170422" w:rsidRDefault="00F37BF9">
            <w:pPr>
              <w:pStyle w:val="P68B1DB1-Normal11"/>
              <w:jc w:val="center"/>
              <w:rPr>
                <w:noProof/>
                <w:szCs w:val="20"/>
                <w:lang w:val="de-DE"/>
              </w:rPr>
            </w:pPr>
            <w:r w:rsidRPr="00170422">
              <w:rPr>
                <w:noProof/>
                <w:lang w:val="de-DE"/>
              </w:rPr>
              <w:t>Meilenstein</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6D3F5" w14:textId="77777777" w:rsidR="0057163C" w:rsidRPr="00170422" w:rsidRDefault="00F37BF9">
            <w:pPr>
              <w:pStyle w:val="P68B1DB1-Normal11"/>
              <w:jc w:val="center"/>
              <w:rPr>
                <w:noProof/>
                <w:szCs w:val="20"/>
                <w:lang w:val="de-DE"/>
              </w:rPr>
            </w:pPr>
            <w:r w:rsidRPr="00170422">
              <w:rPr>
                <w:noProof/>
                <w:lang w:val="de-DE"/>
              </w:rPr>
              <w:t>Herstellung von Elektrolyseuren</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E2B8E" w14:textId="77777777" w:rsidR="0057163C" w:rsidRPr="00170422" w:rsidRDefault="00F37BF9">
            <w:pPr>
              <w:pStyle w:val="P68B1DB1-Normal11"/>
              <w:jc w:val="center"/>
              <w:rPr>
                <w:noProof/>
                <w:szCs w:val="20"/>
                <w:lang w:val="de-DE"/>
              </w:rPr>
            </w:pPr>
            <w:r w:rsidRPr="00170422">
              <w:rPr>
                <w:noProof/>
                <w:lang w:val="de-DE"/>
              </w:rPr>
              <w:t xml:space="preserve">Mitteilung </w:t>
            </w:r>
            <w:r w:rsidRPr="00170422">
              <w:rPr>
                <w:noProof/>
                <w:lang w:val="de-DE"/>
              </w:rPr>
              <w:t>über die Veröffentlichung aller öffentlichen Aufträge</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49C05A" w14:textId="77777777" w:rsidR="0057163C" w:rsidRPr="00170422" w:rsidRDefault="00F37BF9">
            <w:pPr>
              <w:pStyle w:val="P68B1DB1-Normal11"/>
              <w:jc w:val="center"/>
              <w:rPr>
                <w:noProof/>
                <w:szCs w:val="20"/>
                <w:lang w:val="de-DE"/>
              </w:rPr>
            </w:pPr>
            <w:r w:rsidRPr="00170422">
              <w:rPr>
                <w:noProof/>
                <w:lang w:val="de-DE"/>
              </w:rPr>
              <w:t>ENTFÄLLT.</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650767"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D9B190"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DD587" w14:textId="77777777" w:rsidR="0057163C" w:rsidRPr="00170422" w:rsidRDefault="00F37BF9">
            <w:pPr>
              <w:pStyle w:val="P68B1DB1-Normal11"/>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758252" w14:textId="77777777" w:rsidR="0057163C" w:rsidRPr="00170422" w:rsidRDefault="00F37BF9">
            <w:pPr>
              <w:pStyle w:val="P68B1DB1-Normal11"/>
              <w:jc w:val="center"/>
              <w:rPr>
                <w:noProof/>
                <w:szCs w:val="20"/>
                <w:lang w:val="de-DE"/>
              </w:rPr>
            </w:pPr>
            <w:r w:rsidRPr="00170422">
              <w:rPr>
                <w:noProof/>
                <w:lang w:val="de-DE"/>
              </w:rPr>
              <w:t>2022</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155B4D" w14:textId="77777777" w:rsidR="0057163C" w:rsidRPr="00170422" w:rsidRDefault="00F37BF9">
            <w:pPr>
              <w:pStyle w:val="P68B1DB1-Normal11"/>
              <w:rPr>
                <w:noProof/>
                <w:szCs w:val="20"/>
                <w:lang w:val="de-DE"/>
              </w:rPr>
            </w:pPr>
            <w:r w:rsidRPr="00170422">
              <w:rPr>
                <w:noProof/>
                <w:lang w:val="de-DE"/>
              </w:rPr>
              <w:t xml:space="preserve">Vergabe des Auftrags für den Bau einer Industrieanlage zur Herstellung von Elektrolyseuren. </w:t>
            </w:r>
          </w:p>
        </w:tc>
      </w:tr>
      <w:tr w:rsidR="00A25317" w:rsidRPr="00170422" w14:paraId="2F6F8428" w14:textId="77777777" w:rsidTr="00A25317">
        <w:trPr>
          <w:trHeight w:val="309"/>
          <w:jc w:val="center"/>
        </w:trPr>
        <w:tc>
          <w:tcPr>
            <w:tcW w:w="96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531AC0" w14:textId="77777777" w:rsidR="0057163C" w:rsidRPr="00170422" w:rsidRDefault="00F37BF9">
            <w:pPr>
              <w:pStyle w:val="P68B1DB1-Normal12"/>
              <w:jc w:val="center"/>
              <w:rPr>
                <w:noProof/>
                <w:lang w:val="de-DE"/>
              </w:rPr>
            </w:pPr>
            <w:r w:rsidRPr="00170422">
              <w:rPr>
                <w:noProof/>
                <w:lang w:val="de-DE"/>
              </w:rPr>
              <w:t>M2C2-53</w:t>
            </w:r>
          </w:p>
        </w:tc>
        <w:tc>
          <w:tcPr>
            <w:tcW w:w="22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360155" w14:textId="77777777" w:rsidR="0057163C" w:rsidRPr="00170422" w:rsidRDefault="00F37BF9">
            <w:pPr>
              <w:pStyle w:val="P68B1DB1-Normal11"/>
              <w:jc w:val="center"/>
              <w:rPr>
                <w:noProof/>
                <w:szCs w:val="20"/>
                <w:lang w:val="de-DE"/>
              </w:rPr>
            </w:pPr>
            <w:r w:rsidRPr="00170422">
              <w:rPr>
                <w:noProof/>
                <w:lang w:val="de-DE"/>
              </w:rPr>
              <w:t>Investition 5.2 Wasserstoff</w:t>
            </w:r>
          </w:p>
        </w:tc>
        <w:tc>
          <w:tcPr>
            <w:tcW w:w="11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DDDB98" w14:textId="77777777" w:rsidR="0057163C" w:rsidRPr="00170422" w:rsidRDefault="00F37BF9">
            <w:pPr>
              <w:pStyle w:val="P68B1DB1-Normal11"/>
              <w:jc w:val="center"/>
              <w:rPr>
                <w:noProof/>
                <w:szCs w:val="20"/>
                <w:lang w:val="de-DE"/>
              </w:rPr>
            </w:pPr>
            <w:r w:rsidRPr="00170422">
              <w:rPr>
                <w:noProof/>
                <w:lang w:val="de-DE"/>
              </w:rPr>
              <w:t>Ziel</w:t>
            </w:r>
          </w:p>
        </w:tc>
        <w:tc>
          <w:tcPr>
            <w:tcW w:w="147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3E1529" w14:textId="77777777" w:rsidR="0057163C" w:rsidRPr="00170422" w:rsidRDefault="00F37BF9">
            <w:pPr>
              <w:pStyle w:val="P68B1DB1-Normal11"/>
              <w:jc w:val="center"/>
              <w:rPr>
                <w:noProof/>
                <w:szCs w:val="20"/>
                <w:lang w:val="de-DE"/>
              </w:rPr>
            </w:pPr>
            <w:r w:rsidRPr="00170422">
              <w:rPr>
                <w:noProof/>
                <w:lang w:val="de-DE"/>
              </w:rPr>
              <w:t xml:space="preserve">Gebaute Industrieanlage(n) </w:t>
            </w:r>
          </w:p>
        </w:tc>
        <w:tc>
          <w:tcPr>
            <w:tcW w:w="136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E8F8D" w14:textId="77777777" w:rsidR="0057163C" w:rsidRPr="00170422" w:rsidRDefault="00F37BF9">
            <w:pPr>
              <w:pStyle w:val="P68B1DB1-Normal11"/>
              <w:jc w:val="center"/>
              <w:rPr>
                <w:noProof/>
                <w:szCs w:val="20"/>
                <w:lang w:val="de-DE"/>
              </w:rPr>
            </w:pPr>
            <w:r w:rsidRPr="00170422">
              <w:rPr>
                <w:noProof/>
                <w:lang w:val="de-DE"/>
              </w:rPr>
              <w:t>ENTFÄLLT.</w:t>
            </w:r>
          </w:p>
        </w:tc>
        <w:tc>
          <w:tcPr>
            <w:tcW w:w="109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95DCE8" w14:textId="77777777" w:rsidR="0057163C" w:rsidRPr="00170422" w:rsidRDefault="00F37BF9">
            <w:pPr>
              <w:pStyle w:val="P68B1DB1-Normal11"/>
              <w:jc w:val="center"/>
              <w:rPr>
                <w:noProof/>
                <w:szCs w:val="20"/>
                <w:lang w:val="de-DE"/>
              </w:rPr>
            </w:pPr>
            <w:r w:rsidRPr="00170422">
              <w:rPr>
                <w:noProof/>
                <w:lang w:val="de-DE"/>
              </w:rPr>
              <w:t>Anzahl</w:t>
            </w:r>
          </w:p>
        </w:tc>
        <w:tc>
          <w:tcPr>
            <w:tcW w:w="145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486B19" w14:textId="77777777" w:rsidR="0057163C" w:rsidRPr="00170422" w:rsidRDefault="00F37BF9">
            <w:pPr>
              <w:pStyle w:val="P68B1DB1-Normal11"/>
              <w:jc w:val="center"/>
              <w:rPr>
                <w:noProof/>
                <w:szCs w:val="20"/>
                <w:lang w:val="de-DE"/>
              </w:rPr>
            </w:pPr>
            <w:r w:rsidRPr="00170422">
              <w:rPr>
                <w:noProof/>
                <w:lang w:val="de-DE"/>
              </w:rPr>
              <w:t>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18E7B" w14:textId="77777777" w:rsidR="0057163C" w:rsidRPr="00170422" w:rsidRDefault="00F37BF9">
            <w:pPr>
              <w:pStyle w:val="P68B1DB1-Normal11"/>
              <w:jc w:val="center"/>
              <w:rPr>
                <w:noProof/>
                <w:szCs w:val="20"/>
                <w:lang w:val="de-DE"/>
              </w:rPr>
            </w:pPr>
            <w:r w:rsidRPr="00170422">
              <w:rPr>
                <w:noProof/>
                <w:lang w:val="de-DE"/>
              </w:rPr>
              <w:t>1</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03AF06" w14:textId="77777777" w:rsidR="0057163C" w:rsidRPr="00170422" w:rsidRDefault="00F37BF9">
            <w:pPr>
              <w:pStyle w:val="P68B1DB1-Normal11"/>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E1E59" w14:textId="77777777" w:rsidR="0057163C" w:rsidRPr="00170422" w:rsidRDefault="00F37BF9">
            <w:pPr>
              <w:pStyle w:val="P68B1DB1-Normal11"/>
              <w:jc w:val="center"/>
              <w:rPr>
                <w:noProof/>
                <w:szCs w:val="20"/>
                <w:lang w:val="de-DE"/>
              </w:rPr>
            </w:pPr>
            <w:r w:rsidRPr="00170422">
              <w:rPr>
                <w:noProof/>
                <w:lang w:val="de-DE"/>
              </w:rPr>
              <w:t>2026</w:t>
            </w:r>
          </w:p>
        </w:tc>
        <w:tc>
          <w:tcPr>
            <w:tcW w:w="260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8CA3A9" w14:textId="02725E73" w:rsidR="0057163C" w:rsidRPr="00170422" w:rsidRDefault="00F37BF9">
            <w:pPr>
              <w:pStyle w:val="P68B1DB1-Normal12"/>
              <w:rPr>
                <w:noProof/>
                <w:lang w:val="de-DE"/>
              </w:rPr>
            </w:pPr>
            <w:r w:rsidRPr="00170422">
              <w:rPr>
                <w:noProof/>
                <w:lang w:val="de-DE"/>
              </w:rPr>
              <w:t>Abschlussbescheinigungen für den Bau von mindestens einer Industrieanlage zur Herstellung von Elektrolyseuren oder modularen Schornsteinen. Die Gesamtproduktionskapazität der Anlage(n) muss mindestens 890 MW/Jahr betragen.</w:t>
            </w:r>
          </w:p>
        </w:tc>
      </w:tr>
    </w:tbl>
    <w:p w14:paraId="3C108043" w14:textId="77777777" w:rsidR="0057163C" w:rsidRPr="00170422" w:rsidRDefault="0057163C">
      <w:pPr>
        <w:rPr>
          <w:noProof/>
          <w:lang w:val="de-DE"/>
        </w:rPr>
        <w:sectPr w:rsidR="0057163C" w:rsidRPr="00170422" w:rsidSect="005A558B">
          <w:headerReference w:type="default" r:id="rId98"/>
          <w:footerReference w:type="default" r:id="rId99"/>
          <w:pgSz w:w="16838" w:h="11906" w:orient="landscape"/>
          <w:pgMar w:top="1440" w:right="1440" w:bottom="1440" w:left="1440" w:header="708" w:footer="708" w:gutter="0"/>
          <w:cols w:space="708"/>
          <w:docGrid w:linePitch="360"/>
        </w:sectPr>
      </w:pPr>
    </w:p>
    <w:p w14:paraId="4EBCA40F" w14:textId="6296DC50" w:rsidR="0057163C" w:rsidRPr="00170422" w:rsidRDefault="00F37BF9">
      <w:pPr>
        <w:pStyle w:val="P68B1DB1-Heading23"/>
        <w:ind w:left="1080"/>
        <w:rPr>
          <w:noProof/>
          <w:lang w:val="de-DE"/>
        </w:rPr>
      </w:pPr>
      <w:r w:rsidRPr="00170422">
        <w:rPr>
          <w:noProof/>
          <w:lang w:val="de-DE"/>
        </w:rPr>
        <w:t>F. MISSION 2 COMPONENT 3 – Energieeffizienz und Umschulung von Gebäuden</w:t>
      </w:r>
    </w:p>
    <w:p w14:paraId="35EEBAED" w14:textId="77777777" w:rsidR="0057163C" w:rsidRPr="00170422" w:rsidRDefault="00F37BF9">
      <w:pPr>
        <w:pStyle w:val="P68B1DB1-Normal7"/>
        <w:spacing w:before="120" w:after="120"/>
        <w:jc w:val="both"/>
        <w:rPr>
          <w:noProof/>
          <w:lang w:val="de-DE"/>
        </w:rPr>
      </w:pPr>
      <w:r w:rsidRPr="00170422">
        <w:rPr>
          <w:noProof/>
          <w:lang w:val="de-DE"/>
        </w:rPr>
        <w:t xml:space="preserve">Die Energieeffizienz ist der Eckpfeiler dieser Komponente, die in drei Hauptsäulen gegliedert ist. </w:t>
      </w:r>
    </w:p>
    <w:p w14:paraId="2285EA05" w14:textId="77777777" w:rsidR="0057163C" w:rsidRPr="00170422" w:rsidRDefault="00F37BF9">
      <w:pPr>
        <w:pStyle w:val="P68B1DB1-Normal7"/>
        <w:numPr>
          <w:ilvl w:val="0"/>
          <w:numId w:val="29"/>
        </w:numPr>
        <w:spacing w:before="120" w:after="120" w:line="240" w:lineRule="auto"/>
        <w:ind w:left="360"/>
        <w:contextualSpacing/>
        <w:jc w:val="both"/>
        <w:rPr>
          <w:noProof/>
          <w:lang w:val="de-DE"/>
        </w:rPr>
      </w:pPr>
      <w:r w:rsidRPr="00170422">
        <w:rPr>
          <w:noProof/>
          <w:lang w:val="de-DE"/>
        </w:rPr>
        <w:t xml:space="preserve">Die erste Säule besteht in der </w:t>
      </w:r>
      <w:r w:rsidRPr="00170422">
        <w:rPr>
          <w:noProof/>
          <w:lang w:val="de-DE"/>
        </w:rPr>
        <w:t>Einführung eines vorübergehenden Anreizes für die energetische und eismische Sanierung von Privatimmobilien durch einen steuerlichen Abzug der für die Interventionen entstandenen Kosten. Förderfähig sind Maßnahmen, die die Gesamtenergieeffizienz der Wohnun</w:t>
      </w:r>
      <w:r w:rsidRPr="00170422">
        <w:rPr>
          <w:noProof/>
          <w:lang w:val="de-DE"/>
        </w:rPr>
        <w:t xml:space="preserve">g um mindestens zwei Kategorien des Energieausweises erhöhen und eine durchschnittliche Verbesserung des Energieverbrauchs von über 30 % bewirken. </w:t>
      </w:r>
    </w:p>
    <w:p w14:paraId="066F8614" w14:textId="77777777" w:rsidR="0057163C" w:rsidRPr="00170422" w:rsidRDefault="00F37BF9">
      <w:pPr>
        <w:pStyle w:val="P68B1DB1-Normal7"/>
        <w:numPr>
          <w:ilvl w:val="0"/>
          <w:numId w:val="29"/>
        </w:numPr>
        <w:spacing w:before="120" w:after="120" w:line="240" w:lineRule="auto"/>
        <w:ind w:left="360"/>
        <w:contextualSpacing/>
        <w:jc w:val="both"/>
        <w:rPr>
          <w:noProof/>
          <w:lang w:val="de-DE"/>
        </w:rPr>
      </w:pPr>
      <w:r w:rsidRPr="00170422">
        <w:rPr>
          <w:noProof/>
          <w:lang w:val="de-DE"/>
        </w:rPr>
        <w:t>Die zweite Säule dieser Komponente ist die Verbesserung der Effizienz und Sicherheit öffentlicher Schulen un</w:t>
      </w:r>
      <w:r w:rsidRPr="00170422">
        <w:rPr>
          <w:noProof/>
          <w:lang w:val="de-DE"/>
        </w:rPr>
        <w:t>d juristischer Zitatel.</w:t>
      </w:r>
    </w:p>
    <w:p w14:paraId="7F7772F2" w14:textId="77777777" w:rsidR="0057163C" w:rsidRPr="00170422" w:rsidRDefault="00F37BF9">
      <w:pPr>
        <w:pStyle w:val="P68B1DB1-Normal7"/>
        <w:numPr>
          <w:ilvl w:val="0"/>
          <w:numId w:val="29"/>
        </w:numPr>
        <w:spacing w:before="120" w:after="120" w:line="240" w:lineRule="auto"/>
        <w:ind w:left="360"/>
        <w:contextualSpacing/>
        <w:jc w:val="both"/>
        <w:rPr>
          <w:noProof/>
          <w:lang w:val="de-DE"/>
        </w:rPr>
      </w:pPr>
      <w:r w:rsidRPr="00170422">
        <w:rPr>
          <w:noProof/>
          <w:lang w:val="de-DE"/>
        </w:rPr>
        <w:t xml:space="preserve">Die dritte Säule zielt darauf ab, den Bau und den Ausbau effizienter Fernwärmenetze in städtischen Gebieten zu fördern. </w:t>
      </w:r>
    </w:p>
    <w:p w14:paraId="2481AB45" w14:textId="77777777" w:rsidR="0057163C" w:rsidRPr="00170422" w:rsidRDefault="00F37BF9">
      <w:pPr>
        <w:pStyle w:val="P68B1DB1-Normal7"/>
        <w:spacing w:before="120" w:after="120"/>
        <w:jc w:val="both"/>
        <w:rPr>
          <w:noProof/>
          <w:lang w:val="de-DE"/>
        </w:rPr>
      </w:pPr>
      <w:r w:rsidRPr="00170422">
        <w:rPr>
          <w:noProof/>
          <w:lang w:val="de-DE"/>
        </w:rPr>
        <w:t>Darüber hinaus gibt es eine Reihe von Reformen, um die Durchführung von Projekten zur Verbesserung der Energiee</w:t>
      </w:r>
      <w:r w:rsidRPr="00170422">
        <w:rPr>
          <w:noProof/>
          <w:lang w:val="de-DE"/>
        </w:rPr>
        <w:t xml:space="preserve">ffizienz von Gebäuden zu vereinfachen und zu beschleunigen. </w:t>
      </w:r>
    </w:p>
    <w:p w14:paraId="1D944B90" w14:textId="76982F28" w:rsidR="0057163C" w:rsidRPr="00170422" w:rsidRDefault="00F37BF9">
      <w:pPr>
        <w:pStyle w:val="P68B1DB1-Normal7"/>
        <w:spacing w:before="120" w:after="120"/>
        <w:jc w:val="both"/>
        <w:rPr>
          <w:noProof/>
          <w:lang w:val="de-DE"/>
        </w:rPr>
      </w:pPr>
      <w:r w:rsidRPr="00170422">
        <w:rPr>
          <w:noProof/>
          <w:lang w:val="de-DE"/>
        </w:rPr>
        <w:t>Diese Komponente dürfte in hohem Maße zur Erreichung der Klima- und Energieziele Italiens für 2030 beitragen, da der zivile Sektor für fast die Hälfte des gesamten Energieverbrauchs in Italien ve</w:t>
      </w:r>
      <w:r w:rsidRPr="00170422">
        <w:rPr>
          <w:noProof/>
          <w:lang w:val="de-DE"/>
        </w:rPr>
        <w:t>rantwortlich ist. Die meisten Gebäude wurden vor der Annahme der Kriterien für Energieeinsparungen und dem Inkrafttreten der entsprechenden Rechtsvorschriften gebaut, sodass der Bedarf in Bezug auf Energieeffizienz und die Anpassung an seismische Risiken e</w:t>
      </w:r>
      <w:r w:rsidRPr="00170422">
        <w:rPr>
          <w:noProof/>
          <w:lang w:val="de-DE"/>
        </w:rPr>
        <w:t xml:space="preserve">rheblich ist. </w:t>
      </w:r>
    </w:p>
    <w:p w14:paraId="5D239074" w14:textId="77777777" w:rsidR="0057163C" w:rsidRPr="00170422" w:rsidRDefault="00F37BF9">
      <w:pPr>
        <w:pStyle w:val="P68B1DB1-Normal7"/>
        <w:spacing w:before="120" w:after="120"/>
        <w:jc w:val="both"/>
        <w:rPr>
          <w:noProof/>
          <w:lang w:val="de-DE"/>
        </w:rPr>
      </w:pPr>
      <w:r w:rsidRPr="00170422">
        <w:rPr>
          <w:noProof/>
          <w:lang w:val="de-DE"/>
        </w:rPr>
        <w:t>Diese Komponente entspricht einem Teil der länderspezifischen Empfehlung 3 aus dem Jahr 2020, in der der Rat Italien empfohlen hat, Maßnahmen zu ergreifen, um „Investitionen in den ökologischen und digitalen Wandel, insbesondere in die Wasse</w:t>
      </w:r>
      <w:r w:rsidRPr="00170422">
        <w:rPr>
          <w:noProof/>
          <w:lang w:val="de-DE"/>
        </w:rPr>
        <w:t>rbewirtschaftung, sowie in die Stärkung der digitalen Infrastruktur zu lenken, um die Erbringung wesentlicher Dienstleistungen sicherzustellen“. Sie geht auch auf die länderspezifischen Empfehlungen 3 von 2019 ein („Schwerpunkt der investitionsbezogenen Wi</w:t>
      </w:r>
      <w:r w:rsidRPr="00170422">
        <w:rPr>
          <w:noProof/>
          <w:lang w:val="de-DE"/>
        </w:rPr>
        <w:t xml:space="preserve">rtschaftspolitik auf die Qualität der Infrastruktur unter Berücksichtigung regionaler Unterschiede. [...] und Verbesserung der Wirksamkeit der öffentlichen Verwaltung [...] durch Beschleunigung der Digitalisierung und Steigerung der Effizienz und Qualität </w:t>
      </w:r>
      <w:r w:rsidRPr="00170422">
        <w:rPr>
          <w:noProof/>
          <w:lang w:val="de-DE"/>
        </w:rPr>
        <w:t>lokaler öffentlicher Dienstleistungen“).</w:t>
      </w:r>
    </w:p>
    <w:p w14:paraId="3869945F" w14:textId="77777777" w:rsidR="0057163C" w:rsidRPr="00170422" w:rsidRDefault="00F37BF9">
      <w:pPr>
        <w:pStyle w:val="P68B1DB1-Normal7"/>
        <w:spacing w:before="120" w:after="120"/>
        <w:jc w:val="both"/>
        <w:rPr>
          <w:noProof/>
          <w:lang w:val="de-DE"/>
        </w:rPr>
      </w:pPr>
      <w:r w:rsidRPr="00170422">
        <w:rPr>
          <w:noProof/>
          <w:lang w:val="de-DE"/>
        </w:rPr>
        <w:t>Es wird davon ausgegangen, dass keine Maßnahme in dieser Komponente die Umweltziele im Sinne von Artikel 17 der Verordnung (EU) 2020/852 erheblich beeinträchtigt, wobei die Beschreibung der Maßnahmen und der Risikom</w:t>
      </w:r>
      <w:r w:rsidRPr="00170422">
        <w:rPr>
          <w:noProof/>
          <w:lang w:val="de-DE"/>
        </w:rPr>
        <w:t xml:space="preserve">inderungsschritte, die im Aufbau- und Resilienzplan im Einklang mit den Technischen Leitlinien für die Anwendung des Grundsatzes der „Vermeidung erheblicher Beeinträchtigungen“ (2021/C58/01) festgelegt sind, berücksichtigt wird. </w:t>
      </w:r>
    </w:p>
    <w:p w14:paraId="456DDF5F"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F.1. </w:t>
      </w:r>
      <w:r w:rsidRPr="00170422">
        <w:rPr>
          <w:noProof/>
          <w:lang w:val="de-DE"/>
        </w:rPr>
        <w:t xml:space="preserve"> </w:t>
      </w:r>
      <w:r w:rsidRPr="00170422">
        <w:rPr>
          <w:b/>
          <w:noProof/>
          <w:u w:val="single"/>
          <w:lang w:val="de-DE"/>
        </w:rPr>
        <w:t xml:space="preserve">Beschreibung der </w:t>
      </w:r>
      <w:r w:rsidRPr="00170422">
        <w:rPr>
          <w:b/>
          <w:noProof/>
          <w:u w:val="single"/>
          <w:lang w:val="de-DE"/>
        </w:rPr>
        <w:t>Reformen und Investitionen für nicht rückzahlbare finanzielle Unterstützung</w:t>
      </w:r>
    </w:p>
    <w:p w14:paraId="231F17B4"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2.1: Stärkung des Ökobonus für Energieeffizienz</w:t>
      </w:r>
    </w:p>
    <w:p w14:paraId="7ADD2636" w14:textId="5A1DD616" w:rsidR="0057163C" w:rsidRPr="00170422" w:rsidRDefault="00F37BF9">
      <w:pPr>
        <w:pStyle w:val="P68B1DB1-Normal7"/>
        <w:spacing w:before="120" w:after="120"/>
        <w:jc w:val="both"/>
        <w:rPr>
          <w:noProof/>
          <w:lang w:val="de-DE"/>
        </w:rPr>
      </w:pPr>
      <w:r w:rsidRPr="00170422">
        <w:rPr>
          <w:noProof/>
          <w:lang w:val="de-DE"/>
        </w:rPr>
        <w:t xml:space="preserve">Ziel dieser Maßnahme ist es, die energetische Renovierung von Wohngebäuden zu unterstützen. Die Maßnahme besteht darin, </w:t>
      </w:r>
      <w:r w:rsidRPr="00170422">
        <w:rPr>
          <w:noProof/>
          <w:lang w:val="de-DE"/>
        </w:rPr>
        <w:t>bestimmten Kategorien von Organisationen und Haushalten Unterstützung in Form eines Steuerabzugs oder alternativ zum Instrument des Steuerabzugs in Form von Finanzinstrumenten (sogenannter „Kreditübertragung“ und „Rechnungsnachlass“) zu gewähren.</w:t>
      </w:r>
    </w:p>
    <w:p w14:paraId="263625F9" w14:textId="77777777" w:rsidR="0057163C" w:rsidRPr="00170422" w:rsidRDefault="00F37BF9">
      <w:pPr>
        <w:pStyle w:val="P68B1DB1-Normal5"/>
        <w:spacing w:before="120" w:after="120"/>
        <w:jc w:val="both"/>
        <w:rPr>
          <w:bCs/>
          <w:noProof/>
          <w:lang w:val="de-DE"/>
        </w:rPr>
      </w:pPr>
      <w:r w:rsidRPr="00170422">
        <w:rPr>
          <w:noProof/>
          <w:lang w:val="de-DE"/>
        </w:rPr>
        <w:t>Reform 1.</w:t>
      </w:r>
      <w:r w:rsidRPr="00170422">
        <w:rPr>
          <w:noProof/>
          <w:lang w:val="de-DE"/>
        </w:rPr>
        <w:t>1 – Vereinfachung und Beschleunigung der Verfahren für Energieeffizienzmaßnahmen</w:t>
      </w:r>
    </w:p>
    <w:p w14:paraId="065B94EE" w14:textId="77777777" w:rsidR="0057163C" w:rsidRPr="00170422" w:rsidRDefault="00F37BF9">
      <w:pPr>
        <w:pStyle w:val="P68B1DB1-Normal7"/>
        <w:spacing w:before="120" w:after="120"/>
        <w:jc w:val="both"/>
        <w:rPr>
          <w:noProof/>
          <w:lang w:val="de-DE"/>
        </w:rPr>
      </w:pPr>
      <w:r w:rsidRPr="00170422">
        <w:rPr>
          <w:noProof/>
          <w:lang w:val="de-DE"/>
        </w:rPr>
        <w:t>Mit dieser Reform sollen die Verfahren für die Durchführung von Maßnahmen im Zusammenhang mit der Energieeffizienz vereinfacht und beschleunigt werden. Es umfasst vier wichtig</w:t>
      </w:r>
      <w:r w:rsidRPr="00170422">
        <w:rPr>
          <w:noProof/>
          <w:lang w:val="de-DE"/>
        </w:rPr>
        <w:t>e Maßnahmen:</w:t>
      </w:r>
    </w:p>
    <w:p w14:paraId="026D2F47" w14:textId="77777777" w:rsidR="0057163C" w:rsidRPr="00170422" w:rsidRDefault="00F37BF9">
      <w:pPr>
        <w:pStyle w:val="P68B1DB1-Normal7"/>
        <w:numPr>
          <w:ilvl w:val="0"/>
          <w:numId w:val="30"/>
        </w:numPr>
        <w:spacing w:before="120" w:after="120" w:line="240" w:lineRule="auto"/>
        <w:ind w:left="357" w:hanging="357"/>
        <w:contextualSpacing/>
        <w:jc w:val="both"/>
        <w:rPr>
          <w:noProof/>
          <w:lang w:val="de-DE"/>
        </w:rPr>
      </w:pPr>
      <w:r w:rsidRPr="00170422">
        <w:rPr>
          <w:b/>
          <w:noProof/>
          <w:lang w:val="de-DE"/>
        </w:rPr>
        <w:t xml:space="preserve">Einführung des nationalen Portals für die Energieeffizienz von Gebäuden: </w:t>
      </w:r>
      <w:r w:rsidRPr="00170422">
        <w:rPr>
          <w:noProof/>
          <w:lang w:val="de-DE"/>
        </w:rPr>
        <w:t>Das Portal unterstützt Bürger und Betreiber bei der Verwaltung von Energieeffizienzprojekten und ist eine einfache Quelle für den Zugang zu Informationen für Entscheidung</w:t>
      </w:r>
      <w:r w:rsidRPr="00170422">
        <w:rPr>
          <w:noProof/>
          <w:lang w:val="de-DE"/>
        </w:rPr>
        <w:t>sträger. Er enthält Informationen über die Gesamtenergieeffizienz des nationalen Gebäudebestands, die Unternehmen und Bürgern bei ihren Entscheidungen zur Verbesserung der Gesamtenergieeffizienz ihrer Immobilien helfen sollen. Es wird eine zentrale Anlaufs</w:t>
      </w:r>
      <w:r w:rsidRPr="00170422">
        <w:rPr>
          <w:noProof/>
          <w:lang w:val="de-DE"/>
        </w:rPr>
        <w:t>telle eingerichtet, die Bürgern und Unternehmen Unterstützung und alle nützlichen Informationen in Bezug auf die Erfassung der Energieversorgung von Gebäuden, die Einhaltung der sektorspezifischen Vorschriften, die Bewertung des Effizienzpotenzials und die</w:t>
      </w:r>
      <w:r w:rsidRPr="00170422">
        <w:rPr>
          <w:noProof/>
          <w:lang w:val="de-DE"/>
        </w:rPr>
        <w:t xml:space="preserve"> Auswahl der Prioritäten für Maßnahmen, einschließlich schrittweiser Sanierungspläne, die Auswahl der für diesen Zweck am besten geeigneten Werbeinstrumente und die Ausbildung beruflicher Fähigkeiten bietet. </w:t>
      </w:r>
    </w:p>
    <w:p w14:paraId="31BB6ED7" w14:textId="77777777" w:rsidR="0057163C" w:rsidRPr="00170422" w:rsidRDefault="00F37BF9">
      <w:pPr>
        <w:pStyle w:val="P68B1DB1-Normal7"/>
        <w:numPr>
          <w:ilvl w:val="0"/>
          <w:numId w:val="30"/>
        </w:numPr>
        <w:spacing w:before="120" w:after="120" w:line="240" w:lineRule="auto"/>
        <w:ind w:left="357" w:hanging="357"/>
        <w:contextualSpacing/>
        <w:jc w:val="both"/>
        <w:rPr>
          <w:b/>
          <w:noProof/>
          <w:lang w:val="de-DE"/>
        </w:rPr>
      </w:pPr>
      <w:r w:rsidRPr="00170422">
        <w:rPr>
          <w:b/>
          <w:noProof/>
          <w:lang w:val="de-DE"/>
        </w:rPr>
        <w:t xml:space="preserve">Stärkung der Tätigkeiten des Informations- und </w:t>
      </w:r>
      <w:r w:rsidRPr="00170422">
        <w:rPr>
          <w:b/>
          <w:noProof/>
          <w:lang w:val="de-DE"/>
        </w:rPr>
        <w:t xml:space="preserve">Ausbildungsplans für den zivilen Sektor – Der </w:t>
      </w:r>
      <w:r w:rsidRPr="00170422">
        <w:rPr>
          <w:noProof/>
          <w:lang w:val="de-DE"/>
        </w:rPr>
        <w:t>Informations- und Ausbildungsplan trägt der Notwendigkeit Rechnung, sowohl spezifische Initiativen zur Schließung der Informationslücke der Endnutzer im Wohnsektor als auch geeignete Schulungsmaßnahmen zu Anrei</w:t>
      </w:r>
      <w:r w:rsidRPr="00170422">
        <w:rPr>
          <w:noProof/>
          <w:lang w:val="de-DE"/>
        </w:rPr>
        <w:t>zen und zu den wirksamsten Maßnahmen für Unternehmen, die Energiedienstleistungen anbieten, die Interventionen durchführen, und für Condominium-Administratoren zu entwickeln. Der Plan wird unter Berücksichtigung des sich aus der Superbonus-Maßnahme ergeben</w:t>
      </w:r>
      <w:r w:rsidRPr="00170422">
        <w:rPr>
          <w:noProof/>
          <w:lang w:val="de-DE"/>
        </w:rPr>
        <w:t>den Bedarfs ausgearbeitet, um seine Wirksamkeit zu maximieren und die Grundlagen für eine dauerhafte Kultur der Effizienz im Bauwesen zu schaffen.</w:t>
      </w:r>
      <w:r w:rsidRPr="00170422">
        <w:rPr>
          <w:b/>
          <w:noProof/>
          <w:lang w:val="de-DE"/>
        </w:rPr>
        <w:t xml:space="preserve"> </w:t>
      </w:r>
    </w:p>
    <w:p w14:paraId="7E9802D9" w14:textId="77777777" w:rsidR="0057163C" w:rsidRPr="00170422" w:rsidRDefault="00F37BF9">
      <w:pPr>
        <w:pStyle w:val="P68B1DB1-Normal7"/>
        <w:numPr>
          <w:ilvl w:val="0"/>
          <w:numId w:val="30"/>
        </w:numPr>
        <w:spacing w:before="120" w:after="120" w:line="240" w:lineRule="auto"/>
        <w:ind w:left="357" w:hanging="357"/>
        <w:contextualSpacing/>
        <w:jc w:val="both"/>
        <w:rPr>
          <w:noProof/>
          <w:lang w:val="de-DE"/>
        </w:rPr>
      </w:pPr>
      <w:r w:rsidRPr="00170422">
        <w:rPr>
          <w:b/>
          <w:noProof/>
          <w:lang w:val="de-DE"/>
        </w:rPr>
        <w:t xml:space="preserve">Aktualisierung und Stärkung des Nationalen Energieeffizienzfonds: </w:t>
      </w:r>
      <w:r w:rsidRPr="00170422">
        <w:rPr>
          <w:noProof/>
          <w:lang w:val="de-DE"/>
        </w:rPr>
        <w:t>Mit der Überarbeitung der Verordnungen übe</w:t>
      </w:r>
      <w:r w:rsidRPr="00170422">
        <w:rPr>
          <w:noProof/>
          <w:lang w:val="de-DE"/>
        </w:rPr>
        <w:t>r die Einrichtung und Verwaltung des Nationalen Energieeffizienzfonds (Artikel 15 des Gesetzesdekrets Nr. 102/2014 und des interministeriellen Dekrets vom 22. Dezember 2017) treten Änderungen in Kraft, um die Verbesserung und verstärkte Nutzung der verfügb</w:t>
      </w:r>
      <w:r w:rsidRPr="00170422">
        <w:rPr>
          <w:noProof/>
          <w:lang w:val="de-DE"/>
        </w:rPr>
        <w:t xml:space="preserve">aren Ressourcen zu fördern. </w:t>
      </w:r>
    </w:p>
    <w:p w14:paraId="5C05EB22" w14:textId="77777777" w:rsidR="0057163C" w:rsidRPr="00170422" w:rsidRDefault="00F37BF9">
      <w:pPr>
        <w:pStyle w:val="P68B1DB1-Normal7"/>
        <w:numPr>
          <w:ilvl w:val="0"/>
          <w:numId w:val="30"/>
        </w:numPr>
        <w:spacing w:before="120" w:after="120" w:line="240" w:lineRule="auto"/>
        <w:ind w:left="357" w:hanging="357"/>
        <w:contextualSpacing/>
        <w:jc w:val="both"/>
        <w:rPr>
          <w:noProof/>
          <w:lang w:val="de-DE"/>
        </w:rPr>
      </w:pPr>
      <w:r w:rsidRPr="00170422">
        <w:rPr>
          <w:b/>
          <w:noProof/>
          <w:lang w:val="de-DE"/>
        </w:rPr>
        <w:t xml:space="preserve">Beschleunigung der Durchführungsphase von Projekten, die im Rahmen des zentralen Programms für öffentliche Entwicklung (EPAC) finanziert werden: Es wird eine Überprüfung der </w:t>
      </w:r>
      <w:r w:rsidRPr="00170422">
        <w:rPr>
          <w:noProof/>
          <w:lang w:val="de-DE"/>
        </w:rPr>
        <w:t>Rechtsvorschriften durchgeführt, um eine effizientere</w:t>
      </w:r>
      <w:r w:rsidRPr="00170422">
        <w:rPr>
          <w:noProof/>
          <w:lang w:val="de-DE"/>
        </w:rPr>
        <w:t xml:space="preserve"> Verwaltung der Ressourcen zu fördern, die speziell für das Programm zur Verbesserung der Qualifikation von Gebäuden der zentralen öffentlichen Verwaltung (PREPAC) vorgesehen sind.</w:t>
      </w:r>
    </w:p>
    <w:p w14:paraId="5BCAB7CB" w14:textId="38E98E5A" w:rsidR="0057163C" w:rsidRPr="00170422" w:rsidRDefault="0057163C">
      <w:pPr>
        <w:numPr>
          <w:ilvl w:val="0"/>
          <w:numId w:val="30"/>
        </w:numPr>
        <w:spacing w:before="120" w:after="120" w:line="240" w:lineRule="auto"/>
        <w:ind w:left="357" w:hanging="357"/>
        <w:contextualSpacing/>
        <w:jc w:val="both"/>
        <w:rPr>
          <w:rFonts w:ascii="Times New Roman" w:hAnsi="Times New Roman" w:cs="Times New Roman"/>
          <w:noProof/>
          <w:lang w:val="de-DE"/>
        </w:rPr>
        <w:sectPr w:rsidR="0057163C" w:rsidRPr="00170422" w:rsidSect="005F11B9">
          <w:headerReference w:type="default" r:id="rId100"/>
          <w:footerReference w:type="default" r:id="rId101"/>
          <w:pgSz w:w="11906" w:h="16838"/>
          <w:pgMar w:top="1440" w:right="1440" w:bottom="1440" w:left="1440" w:header="708" w:footer="708" w:gutter="0"/>
          <w:cols w:space="708"/>
          <w:docGrid w:linePitch="360"/>
        </w:sectPr>
      </w:pPr>
    </w:p>
    <w:p w14:paraId="0C67A6EB" w14:textId="15E665A6" w:rsidR="0057163C" w:rsidRPr="00170422" w:rsidRDefault="00F37BF9">
      <w:pPr>
        <w:pStyle w:val="P68B1DB1-Heading368"/>
        <w:ind w:left="850" w:hanging="850"/>
        <w:rPr>
          <w:noProof/>
          <w:lang w:val="de-DE"/>
        </w:rPr>
      </w:pPr>
      <w:r w:rsidRPr="00170422">
        <w:rPr>
          <w:noProof/>
          <w:lang w:val="de-DE"/>
        </w:rPr>
        <w:t xml:space="preserve">F.2. </w:t>
      </w:r>
      <w:r w:rsidRPr="00170422">
        <w:rPr>
          <w:noProof/>
          <w:lang w:val="de-DE"/>
        </w:rPr>
        <w:tab/>
        <w:t>Etappenziele, Ziel</w:t>
      </w:r>
      <w:r w:rsidRPr="00170422">
        <w:rPr>
          <w:noProof/>
          <w:lang w:val="de-DE"/>
        </w:rPr>
        <w:t>werte, Indikatoren und Zeitplan für die Überwachung und Durchführung der nicht rückzahlbaren finanziellen Unterstützung</w:t>
      </w:r>
    </w:p>
    <w:p w14:paraId="35F5C65B" w14:textId="77777777" w:rsidR="0057163C" w:rsidRPr="00170422" w:rsidRDefault="0057163C">
      <w:pPr>
        <w:spacing w:before="120" w:after="120"/>
        <w:ind w:left="709"/>
        <w:jc w:val="both"/>
        <w:rPr>
          <w:noProof/>
          <w:lang w:val="de-DE"/>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1275"/>
        <w:gridCol w:w="585"/>
        <w:gridCol w:w="994"/>
        <w:gridCol w:w="710"/>
        <w:gridCol w:w="3902"/>
      </w:tblGrid>
      <w:tr w:rsidR="0057163C" w:rsidRPr="00170422" w14:paraId="7287959F" w14:textId="77777777">
        <w:trPr>
          <w:cantSplit/>
          <w:trHeight w:val="300"/>
          <w:tblHeader/>
          <w:jc w:val="center"/>
        </w:trPr>
        <w:tc>
          <w:tcPr>
            <w:tcW w:w="1123" w:type="dxa"/>
            <w:vMerge w:val="restart"/>
            <w:shd w:val="clear" w:color="auto" w:fill="BBD2EA"/>
            <w:vAlign w:val="center"/>
          </w:tcPr>
          <w:p w14:paraId="000551F7" w14:textId="77777777" w:rsidR="0057163C" w:rsidRPr="00170422" w:rsidRDefault="00F37BF9">
            <w:pPr>
              <w:pStyle w:val="Other10"/>
              <w:jc w:val="center"/>
              <w:rPr>
                <w:rFonts w:ascii="Arial Narrow" w:hAnsi="Arial Narrow" w:cs="Arial"/>
                <w:noProof/>
                <w:sz w:val="20"/>
                <w:szCs w:val="20"/>
                <w:lang w:val="de-DE"/>
              </w:rPr>
            </w:pPr>
            <w:bookmarkStart w:id="18" w:name="_Hlk132960760"/>
            <w:r w:rsidRPr="00170422">
              <w:rPr>
                <w:rStyle w:val="Other1"/>
                <w:rFonts w:ascii="Arial Narrow" w:hAnsi="Arial Narrow" w:cs="Arial"/>
                <w:b/>
                <w:noProof/>
                <w:color w:val="000000" w:themeColor="text1"/>
                <w:sz w:val="20"/>
                <w:szCs w:val="20"/>
                <w:lang w:val="de-DE"/>
              </w:rPr>
              <w:t>Laufende Nummer</w:t>
            </w:r>
          </w:p>
        </w:tc>
        <w:tc>
          <w:tcPr>
            <w:tcW w:w="1574" w:type="dxa"/>
            <w:vMerge w:val="restart"/>
            <w:shd w:val="clear" w:color="auto" w:fill="BBD2EA"/>
            <w:vAlign w:val="center"/>
          </w:tcPr>
          <w:p w14:paraId="67262ED8"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Verwandte</w:t>
            </w:r>
          </w:p>
          <w:p w14:paraId="3EE00490"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Maßnahme (Reform oder Investitionen)</w:t>
            </w:r>
          </w:p>
        </w:tc>
        <w:tc>
          <w:tcPr>
            <w:tcW w:w="1133" w:type="dxa"/>
            <w:vMerge w:val="restart"/>
            <w:shd w:val="clear" w:color="auto" w:fill="BBD2EA"/>
            <w:vAlign w:val="center"/>
          </w:tcPr>
          <w:p w14:paraId="331BE5D3" w14:textId="5EB7636B"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Etappenziel/</w:t>
            </w:r>
            <w:r w:rsidR="00FA0FA3" w:rsidRPr="00170422">
              <w:rPr>
                <w:rStyle w:val="Other1"/>
                <w:rFonts w:ascii="Arial Narrow" w:hAnsi="Arial Narrow" w:cs="Arial"/>
                <w:b/>
                <w:noProof/>
                <w:color w:val="000000" w:themeColor="text1"/>
                <w:sz w:val="20"/>
                <w:szCs w:val="20"/>
                <w:lang w:val="de-DE"/>
              </w:rPr>
              <w:br/>
            </w:r>
            <w:r w:rsidRPr="00170422">
              <w:rPr>
                <w:rStyle w:val="Other1"/>
                <w:rFonts w:ascii="Arial Narrow" w:hAnsi="Arial Narrow" w:cs="Arial"/>
                <w:b/>
                <w:noProof/>
                <w:color w:val="000000" w:themeColor="text1"/>
                <w:sz w:val="20"/>
                <w:szCs w:val="20"/>
                <w:lang w:val="de-DE"/>
              </w:rPr>
              <w:t>Zielwert</w:t>
            </w:r>
          </w:p>
        </w:tc>
        <w:tc>
          <w:tcPr>
            <w:tcW w:w="1843" w:type="dxa"/>
            <w:vMerge w:val="restart"/>
            <w:shd w:val="clear" w:color="auto" w:fill="BBD2EA"/>
            <w:vAlign w:val="center"/>
          </w:tcPr>
          <w:p w14:paraId="504C9D81"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Namen</w:t>
            </w:r>
          </w:p>
        </w:tc>
        <w:tc>
          <w:tcPr>
            <w:tcW w:w="1560" w:type="dxa"/>
            <w:vMerge w:val="restart"/>
            <w:shd w:val="clear" w:color="auto" w:fill="BBD2EA"/>
            <w:vAlign w:val="center"/>
          </w:tcPr>
          <w:p w14:paraId="26432D24"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Qualitative Indikatoren (für Etappenziele)</w:t>
            </w:r>
          </w:p>
        </w:tc>
        <w:tc>
          <w:tcPr>
            <w:tcW w:w="3116" w:type="dxa"/>
            <w:gridSpan w:val="3"/>
            <w:shd w:val="clear" w:color="auto" w:fill="BBD2EA"/>
            <w:vAlign w:val="center"/>
          </w:tcPr>
          <w:p w14:paraId="7A27784B"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Quantitative Indikatoren (für Ziele)</w:t>
            </w:r>
          </w:p>
        </w:tc>
        <w:tc>
          <w:tcPr>
            <w:tcW w:w="1704" w:type="dxa"/>
            <w:gridSpan w:val="2"/>
            <w:shd w:val="clear" w:color="auto" w:fill="BBD2EA"/>
            <w:vAlign w:val="center"/>
          </w:tcPr>
          <w:p w14:paraId="573EDA9E"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Vorläufiger Zeitplan für die Fertigstellung</w:t>
            </w:r>
          </w:p>
        </w:tc>
        <w:tc>
          <w:tcPr>
            <w:tcW w:w="3902" w:type="dxa"/>
            <w:vMerge w:val="restart"/>
            <w:shd w:val="clear" w:color="auto" w:fill="BBD2EA"/>
            <w:vAlign w:val="center"/>
          </w:tcPr>
          <w:p w14:paraId="2155C587" w14:textId="77777777" w:rsidR="0057163C" w:rsidRPr="00170422" w:rsidRDefault="00F37BF9">
            <w:pPr>
              <w:pStyle w:val="Other10"/>
              <w:ind w:firstLine="22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Beschreibung der einzelnen Etappenziele und Zielvorgaben</w:t>
            </w:r>
          </w:p>
        </w:tc>
      </w:tr>
      <w:tr w:rsidR="0057163C" w:rsidRPr="00170422" w14:paraId="22ACB0E6" w14:textId="77777777" w:rsidTr="00FA0FA3">
        <w:trPr>
          <w:cantSplit/>
          <w:trHeight w:val="300"/>
          <w:tblHeader/>
          <w:jc w:val="center"/>
        </w:trPr>
        <w:tc>
          <w:tcPr>
            <w:tcW w:w="1123" w:type="dxa"/>
            <w:vMerge/>
            <w:vAlign w:val="center"/>
          </w:tcPr>
          <w:p w14:paraId="5683DCD6" w14:textId="77777777" w:rsidR="0057163C" w:rsidRPr="00170422" w:rsidRDefault="0057163C">
            <w:pPr>
              <w:jc w:val="center"/>
              <w:rPr>
                <w:rFonts w:ascii="Arial Narrow" w:hAnsi="Arial Narrow" w:cs="Arial"/>
                <w:noProof/>
                <w:sz w:val="20"/>
                <w:szCs w:val="20"/>
                <w:lang w:val="de-DE"/>
              </w:rPr>
            </w:pPr>
          </w:p>
        </w:tc>
        <w:tc>
          <w:tcPr>
            <w:tcW w:w="1574" w:type="dxa"/>
            <w:vMerge/>
            <w:vAlign w:val="center"/>
          </w:tcPr>
          <w:p w14:paraId="1BBBE31F" w14:textId="77777777" w:rsidR="0057163C" w:rsidRPr="00170422" w:rsidRDefault="0057163C">
            <w:pPr>
              <w:jc w:val="center"/>
              <w:rPr>
                <w:rFonts w:ascii="Arial Narrow" w:hAnsi="Arial Narrow" w:cs="Arial"/>
                <w:noProof/>
                <w:sz w:val="20"/>
                <w:szCs w:val="20"/>
                <w:lang w:val="de-DE"/>
              </w:rPr>
            </w:pPr>
          </w:p>
        </w:tc>
        <w:tc>
          <w:tcPr>
            <w:tcW w:w="1133" w:type="dxa"/>
            <w:vMerge/>
            <w:vAlign w:val="center"/>
          </w:tcPr>
          <w:p w14:paraId="1204ECE3" w14:textId="77777777" w:rsidR="0057163C" w:rsidRPr="00170422" w:rsidRDefault="0057163C">
            <w:pPr>
              <w:jc w:val="center"/>
              <w:rPr>
                <w:rFonts w:ascii="Arial Narrow" w:hAnsi="Arial Narrow" w:cs="Arial"/>
                <w:noProof/>
                <w:sz w:val="20"/>
                <w:szCs w:val="20"/>
                <w:lang w:val="de-DE"/>
              </w:rPr>
            </w:pPr>
          </w:p>
        </w:tc>
        <w:tc>
          <w:tcPr>
            <w:tcW w:w="1843" w:type="dxa"/>
            <w:vMerge/>
            <w:vAlign w:val="center"/>
          </w:tcPr>
          <w:p w14:paraId="62008506" w14:textId="77777777" w:rsidR="0057163C" w:rsidRPr="00170422" w:rsidRDefault="0057163C">
            <w:pPr>
              <w:jc w:val="center"/>
              <w:rPr>
                <w:rFonts w:ascii="Arial Narrow" w:hAnsi="Arial Narrow" w:cs="Arial"/>
                <w:noProof/>
                <w:sz w:val="20"/>
                <w:szCs w:val="20"/>
                <w:lang w:val="de-DE"/>
              </w:rPr>
            </w:pPr>
          </w:p>
        </w:tc>
        <w:tc>
          <w:tcPr>
            <w:tcW w:w="1560" w:type="dxa"/>
            <w:vMerge/>
            <w:vAlign w:val="center"/>
          </w:tcPr>
          <w:p w14:paraId="48FC18BC" w14:textId="77777777" w:rsidR="0057163C" w:rsidRPr="00170422" w:rsidRDefault="0057163C">
            <w:pPr>
              <w:jc w:val="center"/>
              <w:rPr>
                <w:rFonts w:ascii="Arial Narrow" w:hAnsi="Arial Narrow" w:cs="Arial"/>
                <w:noProof/>
                <w:sz w:val="20"/>
                <w:szCs w:val="20"/>
                <w:lang w:val="de-DE"/>
              </w:rPr>
            </w:pPr>
          </w:p>
        </w:tc>
        <w:tc>
          <w:tcPr>
            <w:tcW w:w="1256" w:type="dxa"/>
            <w:shd w:val="clear" w:color="auto" w:fill="BBD2EA"/>
            <w:vAlign w:val="center"/>
          </w:tcPr>
          <w:p w14:paraId="0A4DD12C"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Maßeinheit</w:t>
            </w:r>
          </w:p>
        </w:tc>
        <w:tc>
          <w:tcPr>
            <w:tcW w:w="1275" w:type="dxa"/>
            <w:shd w:val="clear" w:color="auto" w:fill="BBD2EA"/>
            <w:vAlign w:val="center"/>
          </w:tcPr>
          <w:p w14:paraId="665E3589"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Ausgangslage</w:t>
            </w:r>
          </w:p>
        </w:tc>
        <w:tc>
          <w:tcPr>
            <w:tcW w:w="585" w:type="dxa"/>
            <w:shd w:val="clear" w:color="auto" w:fill="BBD2EA"/>
            <w:vAlign w:val="center"/>
          </w:tcPr>
          <w:p w14:paraId="4738BD95" w14:textId="77777777" w:rsidR="0057163C" w:rsidRPr="00170422" w:rsidRDefault="00F37BF9" w:rsidP="00FA0FA3">
            <w:pPr>
              <w:pStyle w:val="Other10"/>
              <w:ind w:firstLine="28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Ziel</w:t>
            </w:r>
          </w:p>
        </w:tc>
        <w:tc>
          <w:tcPr>
            <w:tcW w:w="994" w:type="dxa"/>
            <w:shd w:val="clear" w:color="auto" w:fill="BBD2EA"/>
            <w:vAlign w:val="center"/>
          </w:tcPr>
          <w:p w14:paraId="66CDDDC9"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Viertel</w:t>
            </w:r>
          </w:p>
        </w:tc>
        <w:tc>
          <w:tcPr>
            <w:tcW w:w="710" w:type="dxa"/>
            <w:shd w:val="clear" w:color="auto" w:fill="BBD2EA"/>
            <w:vAlign w:val="center"/>
          </w:tcPr>
          <w:p w14:paraId="02C24E00"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Jahre</w:t>
            </w:r>
          </w:p>
        </w:tc>
        <w:tc>
          <w:tcPr>
            <w:tcW w:w="3902" w:type="dxa"/>
            <w:vMerge/>
            <w:vAlign w:val="center"/>
          </w:tcPr>
          <w:p w14:paraId="733711A4" w14:textId="77777777" w:rsidR="0057163C" w:rsidRPr="00170422" w:rsidRDefault="0057163C">
            <w:pPr>
              <w:jc w:val="center"/>
              <w:rPr>
                <w:rFonts w:ascii="Arial Narrow" w:hAnsi="Arial Narrow" w:cs="Arial"/>
                <w:noProof/>
                <w:sz w:val="20"/>
                <w:szCs w:val="20"/>
                <w:lang w:val="de-DE"/>
              </w:rPr>
            </w:pPr>
          </w:p>
        </w:tc>
      </w:tr>
      <w:tr w:rsidR="0057163C" w:rsidRPr="00170422" w14:paraId="49704447" w14:textId="77777777" w:rsidTr="00FA0FA3">
        <w:trPr>
          <w:cantSplit/>
          <w:trHeight w:val="300"/>
          <w:jc w:val="center"/>
        </w:trPr>
        <w:tc>
          <w:tcPr>
            <w:tcW w:w="1123" w:type="dxa"/>
            <w:shd w:val="clear" w:color="auto" w:fill="C6EFCD"/>
            <w:vAlign w:val="center"/>
          </w:tcPr>
          <w:p w14:paraId="560B3CBF" w14:textId="66CA4BAF" w:rsidR="0057163C" w:rsidRPr="00170422" w:rsidRDefault="00F37BF9">
            <w:pPr>
              <w:pStyle w:val="P68B1DB1-Other1069"/>
              <w:jc w:val="center"/>
              <w:rPr>
                <w:rFonts w:cs="Arial"/>
                <w:noProof/>
                <w:lang w:val="de-DE"/>
              </w:rPr>
            </w:pPr>
            <w:r w:rsidRPr="00170422">
              <w:rPr>
                <w:noProof/>
                <w:lang w:val="de-DE"/>
              </w:rPr>
              <w:t>M2C3-1</w:t>
            </w:r>
          </w:p>
        </w:tc>
        <w:tc>
          <w:tcPr>
            <w:tcW w:w="1574" w:type="dxa"/>
            <w:shd w:val="clear" w:color="auto" w:fill="C6EFCD"/>
            <w:vAlign w:val="center"/>
          </w:tcPr>
          <w:p w14:paraId="08265963" w14:textId="169959F6" w:rsidR="0057163C" w:rsidRPr="00170422" w:rsidRDefault="00F37BF9">
            <w:pPr>
              <w:pStyle w:val="P68B1DB1-Other1069"/>
              <w:jc w:val="center"/>
              <w:rPr>
                <w:rStyle w:val="Other1"/>
                <w:rFonts w:cs="Arial"/>
                <w:noProof/>
                <w:lang w:val="de-DE"/>
              </w:rPr>
            </w:pPr>
            <w:r w:rsidRPr="00170422">
              <w:rPr>
                <w:noProof/>
                <w:lang w:val="de-DE"/>
              </w:rPr>
              <w:t>Investition 2.1 – Stärkung des Ökobonus für Energieeffizienz</w:t>
            </w:r>
          </w:p>
        </w:tc>
        <w:tc>
          <w:tcPr>
            <w:tcW w:w="1133" w:type="dxa"/>
            <w:shd w:val="clear" w:color="auto" w:fill="C6EFCD"/>
            <w:vAlign w:val="center"/>
          </w:tcPr>
          <w:p w14:paraId="423FD0F4" w14:textId="4B11DEA0" w:rsidR="0057163C" w:rsidRPr="00170422" w:rsidRDefault="00F37BF9">
            <w:pPr>
              <w:pStyle w:val="P68B1DB1-Other1069"/>
              <w:jc w:val="center"/>
              <w:rPr>
                <w:rStyle w:val="Other1"/>
                <w:rFonts w:cs="Arial"/>
                <w:noProof/>
                <w:lang w:val="de-DE"/>
              </w:rPr>
            </w:pPr>
            <w:r w:rsidRPr="00170422">
              <w:rPr>
                <w:noProof/>
                <w:lang w:val="de-DE"/>
              </w:rPr>
              <w:t>Meilenstein</w:t>
            </w:r>
          </w:p>
        </w:tc>
        <w:tc>
          <w:tcPr>
            <w:tcW w:w="1843" w:type="dxa"/>
            <w:shd w:val="clear" w:color="auto" w:fill="C6EFCD"/>
            <w:vAlign w:val="center"/>
          </w:tcPr>
          <w:p w14:paraId="253FFE01" w14:textId="07967193" w:rsidR="0057163C" w:rsidRPr="00170422" w:rsidRDefault="00F37BF9">
            <w:pPr>
              <w:pStyle w:val="P68B1DB1-Other1069"/>
              <w:jc w:val="center"/>
              <w:rPr>
                <w:rStyle w:val="Other1"/>
                <w:rFonts w:cs="Arial"/>
                <w:noProof/>
                <w:lang w:val="de-DE"/>
              </w:rPr>
            </w:pPr>
            <w:r w:rsidRPr="00170422">
              <w:rPr>
                <w:noProof/>
                <w:lang w:val="de-DE"/>
              </w:rPr>
              <w:t>Inkrafttreten der Verlängerung des Superbonus</w:t>
            </w:r>
          </w:p>
        </w:tc>
        <w:tc>
          <w:tcPr>
            <w:tcW w:w="1560" w:type="dxa"/>
            <w:shd w:val="clear" w:color="auto" w:fill="C6EFCD"/>
            <w:vAlign w:val="center"/>
          </w:tcPr>
          <w:p w14:paraId="23002C47" w14:textId="318FD8E3" w:rsidR="0057163C" w:rsidRPr="00170422" w:rsidRDefault="00F37BF9">
            <w:pPr>
              <w:pStyle w:val="P68B1DB1-Other1069"/>
              <w:jc w:val="center"/>
              <w:rPr>
                <w:rStyle w:val="Other1"/>
                <w:rFonts w:cs="Arial"/>
                <w:noProof/>
                <w:lang w:val="de-DE"/>
              </w:rPr>
            </w:pPr>
            <w:r w:rsidRPr="00170422">
              <w:rPr>
                <w:noProof/>
                <w:lang w:val="de-DE"/>
              </w:rPr>
              <w:t>Bestimmung in dem/den Rechtsakt(en), aus der/denen das Inkrafttreten hervorgeht</w:t>
            </w:r>
          </w:p>
        </w:tc>
        <w:tc>
          <w:tcPr>
            <w:tcW w:w="1256" w:type="dxa"/>
            <w:shd w:val="clear" w:color="auto" w:fill="C6EFCD"/>
            <w:vAlign w:val="center"/>
          </w:tcPr>
          <w:p w14:paraId="58AF774F" w14:textId="7680570D" w:rsidR="0057163C" w:rsidRPr="00170422" w:rsidRDefault="00F37BF9">
            <w:pPr>
              <w:pStyle w:val="P68B1DB1-Other1069"/>
              <w:jc w:val="center"/>
              <w:rPr>
                <w:noProof/>
                <w:lang w:val="de-DE"/>
              </w:rPr>
            </w:pPr>
            <w:r w:rsidRPr="00170422">
              <w:rPr>
                <w:noProof/>
                <w:lang w:val="de-DE"/>
              </w:rPr>
              <w:t>ENTFÄLLT.</w:t>
            </w:r>
          </w:p>
        </w:tc>
        <w:tc>
          <w:tcPr>
            <w:tcW w:w="1275" w:type="dxa"/>
            <w:shd w:val="clear" w:color="auto" w:fill="C6EFCD"/>
            <w:vAlign w:val="center"/>
          </w:tcPr>
          <w:p w14:paraId="5E80F188" w14:textId="34987EB7" w:rsidR="0057163C" w:rsidRPr="00170422" w:rsidRDefault="00F37BF9">
            <w:pPr>
              <w:pStyle w:val="P68B1DB1-Other1069"/>
              <w:jc w:val="center"/>
              <w:rPr>
                <w:noProof/>
                <w:lang w:val="de-DE"/>
              </w:rPr>
            </w:pPr>
            <w:r w:rsidRPr="00170422">
              <w:rPr>
                <w:noProof/>
                <w:lang w:val="de-DE"/>
              </w:rPr>
              <w:t>ENTFÄLLT.</w:t>
            </w:r>
          </w:p>
        </w:tc>
        <w:tc>
          <w:tcPr>
            <w:tcW w:w="585" w:type="dxa"/>
            <w:shd w:val="clear" w:color="auto" w:fill="C6EFCD"/>
            <w:vAlign w:val="center"/>
          </w:tcPr>
          <w:p w14:paraId="13BED476" w14:textId="59420905" w:rsidR="0057163C" w:rsidRPr="00170422" w:rsidRDefault="00F37BF9">
            <w:pPr>
              <w:pStyle w:val="P68B1DB1-Other1069"/>
              <w:jc w:val="center"/>
              <w:rPr>
                <w:noProof/>
                <w:lang w:val="de-DE"/>
              </w:rPr>
            </w:pPr>
            <w:r w:rsidRPr="00170422">
              <w:rPr>
                <w:noProof/>
                <w:lang w:val="de-DE"/>
              </w:rPr>
              <w:t>ENTFÄLLT.</w:t>
            </w:r>
          </w:p>
        </w:tc>
        <w:tc>
          <w:tcPr>
            <w:tcW w:w="994" w:type="dxa"/>
            <w:shd w:val="clear" w:color="auto" w:fill="C6EFCD"/>
            <w:vAlign w:val="center"/>
          </w:tcPr>
          <w:p w14:paraId="1AE9757B" w14:textId="5560FD26" w:rsidR="0057163C" w:rsidRPr="00170422" w:rsidRDefault="00F37BF9">
            <w:pPr>
              <w:pStyle w:val="P68B1DB1-Other1069"/>
              <w:jc w:val="center"/>
              <w:rPr>
                <w:rFonts w:cs="Arial"/>
                <w:noProof/>
                <w:lang w:val="de-DE"/>
              </w:rPr>
            </w:pPr>
            <w:r w:rsidRPr="00170422">
              <w:rPr>
                <w:noProof/>
                <w:lang w:val="de-DE"/>
              </w:rPr>
              <w:t>4. QUARTAL</w:t>
            </w:r>
          </w:p>
        </w:tc>
        <w:tc>
          <w:tcPr>
            <w:tcW w:w="710" w:type="dxa"/>
            <w:shd w:val="clear" w:color="auto" w:fill="C6EFCD"/>
            <w:vAlign w:val="center"/>
          </w:tcPr>
          <w:p w14:paraId="094CB585" w14:textId="04DC9012" w:rsidR="0057163C" w:rsidRPr="00170422" w:rsidRDefault="00F37BF9">
            <w:pPr>
              <w:pStyle w:val="P68B1DB1-Other1069"/>
              <w:jc w:val="center"/>
              <w:rPr>
                <w:rFonts w:cs="Arial"/>
                <w:noProof/>
                <w:lang w:val="de-DE"/>
              </w:rPr>
            </w:pPr>
            <w:r w:rsidRPr="00170422">
              <w:rPr>
                <w:noProof/>
                <w:lang w:val="de-DE"/>
              </w:rPr>
              <w:t>2021</w:t>
            </w:r>
          </w:p>
        </w:tc>
        <w:tc>
          <w:tcPr>
            <w:tcW w:w="3902" w:type="dxa"/>
            <w:shd w:val="clear" w:color="auto" w:fill="C6EFCD"/>
          </w:tcPr>
          <w:p w14:paraId="5EDC6DE1" w14:textId="1C8FC048" w:rsidR="0057163C" w:rsidRPr="00170422" w:rsidRDefault="00F37BF9">
            <w:pPr>
              <w:pStyle w:val="P68B1DB1-Other1069"/>
              <w:rPr>
                <w:rFonts w:cs="Arial"/>
                <w:noProof/>
                <w:lang w:val="de-DE"/>
              </w:rPr>
            </w:pPr>
            <w:r w:rsidRPr="00170422">
              <w:rPr>
                <w:noProof/>
                <w:lang w:val="de-DE"/>
              </w:rPr>
              <w:t>Mit dem/den Rechtsakt(en) werden die Ökobonus- und ismabonus-Leistungen</w:t>
            </w:r>
            <w:r w:rsidRPr="00170422">
              <w:rPr>
                <w:noProof/>
                <w:lang w:val="de-DE"/>
              </w:rPr>
              <w:t xml:space="preserve"> bis zum 31. Dezember 2022 für Condominium und bis zum 30. Juni 2023 für den sozialen Wohnungsbau verlängert.</w:t>
            </w:r>
          </w:p>
        </w:tc>
      </w:tr>
      <w:tr w:rsidR="0057163C" w:rsidRPr="00170422" w14:paraId="4B03D9BA" w14:textId="77777777" w:rsidTr="00FA0FA3">
        <w:trPr>
          <w:cantSplit/>
          <w:trHeight w:val="300"/>
          <w:jc w:val="center"/>
        </w:trPr>
        <w:tc>
          <w:tcPr>
            <w:tcW w:w="1123" w:type="dxa"/>
            <w:shd w:val="clear" w:color="auto" w:fill="C6EFCD"/>
            <w:vAlign w:val="center"/>
          </w:tcPr>
          <w:p w14:paraId="72F83513" w14:textId="5A3559C1" w:rsidR="0057163C" w:rsidRPr="00170422" w:rsidRDefault="00F37BF9">
            <w:pPr>
              <w:pStyle w:val="P68B1DB1-Other1069"/>
              <w:jc w:val="center"/>
              <w:rPr>
                <w:rFonts w:cs="Arial"/>
                <w:noProof/>
                <w:lang w:val="de-DE"/>
              </w:rPr>
            </w:pPr>
            <w:r w:rsidRPr="00170422">
              <w:rPr>
                <w:noProof/>
                <w:lang w:val="de-DE"/>
              </w:rPr>
              <w:t>M2C3-2</w:t>
            </w:r>
          </w:p>
        </w:tc>
        <w:tc>
          <w:tcPr>
            <w:tcW w:w="1574" w:type="dxa"/>
            <w:shd w:val="clear" w:color="auto" w:fill="C6EFCD"/>
            <w:vAlign w:val="center"/>
          </w:tcPr>
          <w:p w14:paraId="37191F93" w14:textId="4BC123F1" w:rsidR="0057163C" w:rsidRPr="00170422" w:rsidRDefault="00F37BF9">
            <w:pPr>
              <w:pStyle w:val="P68B1DB1-Other1069"/>
              <w:jc w:val="center"/>
              <w:rPr>
                <w:rStyle w:val="Other1"/>
                <w:rFonts w:cs="Arial"/>
                <w:noProof/>
                <w:lang w:val="de-DE"/>
              </w:rPr>
            </w:pPr>
            <w:r w:rsidRPr="00170422">
              <w:rPr>
                <w:noProof/>
                <w:lang w:val="de-DE"/>
              </w:rPr>
              <w:t>Investition 2.1 – Stärkung des Ökobonus für Energieeffizienz</w:t>
            </w:r>
          </w:p>
        </w:tc>
        <w:tc>
          <w:tcPr>
            <w:tcW w:w="1133" w:type="dxa"/>
            <w:shd w:val="clear" w:color="auto" w:fill="C6EFCD"/>
            <w:vAlign w:val="center"/>
          </w:tcPr>
          <w:p w14:paraId="59DD260A" w14:textId="4B8CC4CB" w:rsidR="0057163C" w:rsidRPr="00170422" w:rsidRDefault="00F37BF9">
            <w:pPr>
              <w:pStyle w:val="P68B1DB1-Other1069"/>
              <w:jc w:val="center"/>
              <w:rPr>
                <w:rFonts w:cs="Arial"/>
                <w:noProof/>
                <w:lang w:val="de-DE"/>
              </w:rPr>
            </w:pPr>
            <w:r w:rsidRPr="00170422">
              <w:rPr>
                <w:noProof/>
                <w:lang w:val="de-DE"/>
              </w:rPr>
              <w:t>Ziel</w:t>
            </w:r>
          </w:p>
        </w:tc>
        <w:tc>
          <w:tcPr>
            <w:tcW w:w="1843" w:type="dxa"/>
            <w:shd w:val="clear" w:color="auto" w:fill="C6EFCD"/>
            <w:vAlign w:val="center"/>
          </w:tcPr>
          <w:p w14:paraId="14092D18" w14:textId="72667D54" w:rsidR="0057163C" w:rsidRPr="00170422" w:rsidRDefault="00F37BF9">
            <w:pPr>
              <w:pStyle w:val="P68B1DB1-Other1069"/>
              <w:jc w:val="center"/>
              <w:rPr>
                <w:rStyle w:val="Other1"/>
                <w:rFonts w:cs="Arial"/>
                <w:noProof/>
                <w:lang w:val="de-DE"/>
              </w:rPr>
            </w:pPr>
            <w:r w:rsidRPr="00170422">
              <w:rPr>
                <w:noProof/>
                <w:lang w:val="de-DE"/>
              </w:rPr>
              <w:t>Gebäuderenovierung Superbonus T1</w:t>
            </w:r>
          </w:p>
        </w:tc>
        <w:tc>
          <w:tcPr>
            <w:tcW w:w="1560" w:type="dxa"/>
            <w:shd w:val="clear" w:color="auto" w:fill="C6EFCD"/>
            <w:vAlign w:val="center"/>
          </w:tcPr>
          <w:p w14:paraId="3F13B4EE" w14:textId="60E2FAB2" w:rsidR="0057163C" w:rsidRPr="00170422" w:rsidRDefault="00F37BF9">
            <w:pPr>
              <w:pStyle w:val="P68B1DB1-Other1069"/>
              <w:jc w:val="center"/>
              <w:rPr>
                <w:rFonts w:cs="Arial"/>
                <w:noProof/>
                <w:lang w:val="de-DE"/>
              </w:rPr>
            </w:pPr>
            <w:r w:rsidRPr="00170422">
              <w:rPr>
                <w:noProof/>
                <w:lang w:val="de-DE"/>
              </w:rPr>
              <w:t>ENTFÄLLT.</w:t>
            </w:r>
          </w:p>
        </w:tc>
        <w:tc>
          <w:tcPr>
            <w:tcW w:w="1256" w:type="dxa"/>
            <w:shd w:val="clear" w:color="auto" w:fill="C6EFCD"/>
            <w:vAlign w:val="center"/>
          </w:tcPr>
          <w:p w14:paraId="7210E5AD" w14:textId="141CE4F2" w:rsidR="0057163C" w:rsidRPr="00170422" w:rsidRDefault="00F37BF9">
            <w:pPr>
              <w:pStyle w:val="P68B1DB1-Other1069"/>
              <w:jc w:val="center"/>
              <w:rPr>
                <w:rFonts w:cs="Arial"/>
                <w:noProof/>
                <w:lang w:val="de-DE"/>
              </w:rPr>
            </w:pPr>
            <w:r w:rsidRPr="00170422">
              <w:rPr>
                <w:noProof/>
                <w:lang w:val="de-DE"/>
              </w:rPr>
              <w:t>Anzahl</w:t>
            </w:r>
          </w:p>
        </w:tc>
        <w:tc>
          <w:tcPr>
            <w:tcW w:w="1275" w:type="dxa"/>
            <w:shd w:val="clear" w:color="auto" w:fill="C6EFCD"/>
            <w:vAlign w:val="center"/>
          </w:tcPr>
          <w:p w14:paraId="0D48082D" w14:textId="04B475AC" w:rsidR="0057163C" w:rsidRPr="00170422" w:rsidRDefault="00F37BF9">
            <w:pPr>
              <w:pStyle w:val="P68B1DB1-Other1069"/>
              <w:jc w:val="center"/>
              <w:rPr>
                <w:rFonts w:cs="Arial"/>
                <w:noProof/>
                <w:lang w:val="de-DE"/>
              </w:rPr>
            </w:pPr>
            <w:r w:rsidRPr="00170422">
              <w:rPr>
                <w:noProof/>
                <w:lang w:val="de-DE"/>
              </w:rPr>
              <w:t>0</w:t>
            </w:r>
          </w:p>
        </w:tc>
        <w:tc>
          <w:tcPr>
            <w:tcW w:w="585" w:type="dxa"/>
            <w:shd w:val="clear" w:color="auto" w:fill="C6EFCD"/>
            <w:vAlign w:val="center"/>
          </w:tcPr>
          <w:p w14:paraId="1F6E503C" w14:textId="3795401B" w:rsidR="0057163C" w:rsidRPr="00170422" w:rsidRDefault="00F37BF9">
            <w:pPr>
              <w:pStyle w:val="P68B1DB1-Other1069"/>
              <w:jc w:val="center"/>
              <w:rPr>
                <w:rFonts w:cs="Arial"/>
                <w:noProof/>
                <w:lang w:val="de-DE"/>
              </w:rPr>
            </w:pPr>
            <w:r w:rsidRPr="00170422">
              <w:rPr>
                <w:noProof/>
                <w:lang w:val="de-DE"/>
              </w:rPr>
              <w:t>17 000 000</w:t>
            </w:r>
          </w:p>
        </w:tc>
        <w:tc>
          <w:tcPr>
            <w:tcW w:w="994" w:type="dxa"/>
            <w:shd w:val="clear" w:color="auto" w:fill="C6EFCD"/>
            <w:vAlign w:val="center"/>
          </w:tcPr>
          <w:p w14:paraId="6608D5E0" w14:textId="65777DEF" w:rsidR="0057163C" w:rsidRPr="00170422" w:rsidRDefault="00F37BF9">
            <w:pPr>
              <w:pStyle w:val="P68B1DB1-Other1069"/>
              <w:jc w:val="center"/>
              <w:rPr>
                <w:rFonts w:cs="Arial"/>
                <w:noProof/>
                <w:lang w:val="de-DE"/>
              </w:rPr>
            </w:pPr>
            <w:r w:rsidRPr="00170422">
              <w:rPr>
                <w:noProof/>
                <w:lang w:val="de-DE"/>
              </w:rPr>
              <w:t>Q2</w:t>
            </w:r>
          </w:p>
        </w:tc>
        <w:tc>
          <w:tcPr>
            <w:tcW w:w="710" w:type="dxa"/>
            <w:shd w:val="clear" w:color="auto" w:fill="C6EFCD"/>
            <w:vAlign w:val="center"/>
          </w:tcPr>
          <w:p w14:paraId="7C01E889" w14:textId="34272366" w:rsidR="0057163C" w:rsidRPr="00170422" w:rsidRDefault="00F37BF9">
            <w:pPr>
              <w:pStyle w:val="P68B1DB1-Other1069"/>
              <w:jc w:val="center"/>
              <w:rPr>
                <w:rFonts w:cs="Arial"/>
                <w:noProof/>
                <w:lang w:val="de-DE"/>
              </w:rPr>
            </w:pPr>
            <w:r w:rsidRPr="00170422">
              <w:rPr>
                <w:noProof/>
                <w:lang w:val="de-DE"/>
              </w:rPr>
              <w:t>2023</w:t>
            </w:r>
          </w:p>
        </w:tc>
        <w:tc>
          <w:tcPr>
            <w:tcW w:w="3902" w:type="dxa"/>
            <w:shd w:val="clear" w:color="auto" w:fill="C6EFCD"/>
          </w:tcPr>
          <w:p w14:paraId="7042BAC4" w14:textId="32072631" w:rsidR="0057163C" w:rsidRPr="00170422" w:rsidRDefault="00F37BF9">
            <w:pPr>
              <w:pStyle w:val="P68B1DB1-Other1069"/>
              <w:rPr>
                <w:rFonts w:cs="Arial"/>
                <w:noProof/>
                <w:lang w:val="de-DE"/>
              </w:rPr>
            </w:pPr>
            <w:r w:rsidRPr="00170422">
              <w:rPr>
                <w:noProof/>
                <w:lang w:val="de-DE"/>
              </w:rPr>
              <w:t>Vollständige Gebäuderenovierung für (mindestens 17000000 Quadratmeter, die zu Primärenergieeinsparungen von mindestens 40 % führen und mindestens zwei Kategorien im Energieeffizienzausweis erhöhen.</w:t>
            </w:r>
          </w:p>
        </w:tc>
      </w:tr>
      <w:tr w:rsidR="0057163C" w:rsidRPr="00170422" w14:paraId="60FA6456" w14:textId="77777777" w:rsidTr="00FA0FA3">
        <w:trPr>
          <w:cantSplit/>
          <w:trHeight w:val="300"/>
          <w:jc w:val="center"/>
        </w:trPr>
        <w:tc>
          <w:tcPr>
            <w:tcW w:w="1123" w:type="dxa"/>
            <w:shd w:val="clear" w:color="auto" w:fill="C6EFCD"/>
            <w:vAlign w:val="center"/>
          </w:tcPr>
          <w:p w14:paraId="6DC49D64" w14:textId="25F6B46A" w:rsidR="0057163C" w:rsidRPr="00170422" w:rsidRDefault="00F37BF9">
            <w:pPr>
              <w:pStyle w:val="P68B1DB1-Other1069"/>
              <w:jc w:val="center"/>
              <w:rPr>
                <w:rFonts w:cs="Arial"/>
                <w:noProof/>
                <w:lang w:val="de-DE"/>
              </w:rPr>
            </w:pPr>
            <w:r w:rsidRPr="00170422">
              <w:rPr>
                <w:noProof/>
                <w:lang w:val="de-DE"/>
              </w:rPr>
              <w:t>M2C3-3</w:t>
            </w:r>
          </w:p>
        </w:tc>
        <w:tc>
          <w:tcPr>
            <w:tcW w:w="1574" w:type="dxa"/>
            <w:shd w:val="clear" w:color="auto" w:fill="C6EFCD"/>
            <w:vAlign w:val="center"/>
          </w:tcPr>
          <w:p w14:paraId="2AD709F4" w14:textId="0474029B" w:rsidR="0057163C" w:rsidRPr="00170422" w:rsidRDefault="00F37BF9">
            <w:pPr>
              <w:pStyle w:val="P68B1DB1-Other1069"/>
              <w:jc w:val="center"/>
              <w:rPr>
                <w:rStyle w:val="Other1"/>
                <w:rFonts w:cs="Arial"/>
                <w:noProof/>
                <w:lang w:val="de-DE"/>
              </w:rPr>
            </w:pPr>
            <w:r w:rsidRPr="00170422">
              <w:rPr>
                <w:noProof/>
                <w:lang w:val="de-DE"/>
              </w:rPr>
              <w:t xml:space="preserve">Investition 2.1 – Stärkung des Ökobonus für </w:t>
            </w:r>
            <w:r w:rsidRPr="00170422">
              <w:rPr>
                <w:noProof/>
                <w:lang w:val="de-DE"/>
              </w:rPr>
              <w:t>Energieeffizienz</w:t>
            </w:r>
          </w:p>
        </w:tc>
        <w:tc>
          <w:tcPr>
            <w:tcW w:w="1133" w:type="dxa"/>
            <w:shd w:val="clear" w:color="auto" w:fill="C6EFCD"/>
            <w:vAlign w:val="center"/>
          </w:tcPr>
          <w:p w14:paraId="16A59C9A" w14:textId="71949B58" w:rsidR="0057163C" w:rsidRPr="00170422" w:rsidRDefault="00F37BF9">
            <w:pPr>
              <w:pStyle w:val="P68B1DB1-Other1069"/>
              <w:jc w:val="center"/>
              <w:rPr>
                <w:rFonts w:cs="Arial"/>
                <w:noProof/>
                <w:lang w:val="de-DE"/>
              </w:rPr>
            </w:pPr>
            <w:r w:rsidRPr="00170422">
              <w:rPr>
                <w:noProof/>
                <w:lang w:val="de-DE"/>
              </w:rPr>
              <w:t>Ziel</w:t>
            </w:r>
          </w:p>
        </w:tc>
        <w:tc>
          <w:tcPr>
            <w:tcW w:w="1843" w:type="dxa"/>
            <w:shd w:val="clear" w:color="auto" w:fill="C6EFCD"/>
            <w:vAlign w:val="center"/>
          </w:tcPr>
          <w:p w14:paraId="6A7573F1" w14:textId="6D187128" w:rsidR="0057163C" w:rsidRPr="00170422" w:rsidRDefault="00F37BF9">
            <w:pPr>
              <w:pStyle w:val="P68B1DB1-Other1069"/>
              <w:jc w:val="center"/>
              <w:rPr>
                <w:rStyle w:val="Other1"/>
                <w:rFonts w:cs="Arial"/>
                <w:noProof/>
                <w:lang w:val="de-DE"/>
              </w:rPr>
            </w:pPr>
            <w:r w:rsidRPr="00170422">
              <w:rPr>
                <w:noProof/>
                <w:lang w:val="de-DE"/>
              </w:rPr>
              <w:t>Gebäuderenovierung Superbonus T2</w:t>
            </w:r>
          </w:p>
        </w:tc>
        <w:tc>
          <w:tcPr>
            <w:tcW w:w="1560" w:type="dxa"/>
            <w:shd w:val="clear" w:color="auto" w:fill="C6EFCD"/>
            <w:vAlign w:val="center"/>
          </w:tcPr>
          <w:p w14:paraId="36EDE700" w14:textId="5DBA04D7" w:rsidR="0057163C" w:rsidRPr="00170422" w:rsidRDefault="00F37BF9">
            <w:pPr>
              <w:pStyle w:val="P68B1DB1-Other1069"/>
              <w:jc w:val="center"/>
              <w:rPr>
                <w:rFonts w:cs="Arial"/>
                <w:noProof/>
                <w:lang w:val="de-DE"/>
              </w:rPr>
            </w:pPr>
            <w:r w:rsidRPr="00170422">
              <w:rPr>
                <w:noProof/>
                <w:lang w:val="de-DE"/>
              </w:rPr>
              <w:t>ENTFÄLLT.</w:t>
            </w:r>
          </w:p>
        </w:tc>
        <w:tc>
          <w:tcPr>
            <w:tcW w:w="1256" w:type="dxa"/>
            <w:shd w:val="clear" w:color="auto" w:fill="C6EFCD"/>
            <w:vAlign w:val="center"/>
          </w:tcPr>
          <w:p w14:paraId="5FC3CDE7" w14:textId="3387E2B2" w:rsidR="0057163C" w:rsidRPr="00170422" w:rsidRDefault="00F37BF9">
            <w:pPr>
              <w:pStyle w:val="P68B1DB1-Other1069"/>
              <w:jc w:val="center"/>
              <w:rPr>
                <w:rFonts w:cs="Arial"/>
                <w:noProof/>
                <w:lang w:val="de-DE"/>
              </w:rPr>
            </w:pPr>
            <w:r w:rsidRPr="00170422">
              <w:rPr>
                <w:noProof/>
                <w:lang w:val="de-DE"/>
              </w:rPr>
              <w:t>Anzahl</w:t>
            </w:r>
          </w:p>
        </w:tc>
        <w:tc>
          <w:tcPr>
            <w:tcW w:w="1275" w:type="dxa"/>
            <w:shd w:val="clear" w:color="auto" w:fill="C6EFCD"/>
            <w:vAlign w:val="center"/>
          </w:tcPr>
          <w:p w14:paraId="75BF0E20" w14:textId="2C79906E" w:rsidR="0057163C" w:rsidRPr="00170422" w:rsidRDefault="00F37BF9">
            <w:pPr>
              <w:pStyle w:val="P68B1DB1-Other1069"/>
              <w:jc w:val="center"/>
              <w:rPr>
                <w:rFonts w:cs="Arial"/>
                <w:noProof/>
                <w:lang w:val="de-DE"/>
              </w:rPr>
            </w:pPr>
            <w:r w:rsidRPr="00170422">
              <w:rPr>
                <w:noProof/>
                <w:lang w:val="de-DE"/>
              </w:rPr>
              <w:t>17 000 000</w:t>
            </w:r>
          </w:p>
        </w:tc>
        <w:tc>
          <w:tcPr>
            <w:tcW w:w="585" w:type="dxa"/>
            <w:shd w:val="clear" w:color="auto" w:fill="C6EFCD"/>
            <w:vAlign w:val="center"/>
          </w:tcPr>
          <w:p w14:paraId="3D8DE174" w14:textId="0EF9BFA0" w:rsidR="0057163C" w:rsidRPr="00170422" w:rsidRDefault="00F37BF9">
            <w:pPr>
              <w:pStyle w:val="P68B1DB1-Other1069"/>
              <w:jc w:val="center"/>
              <w:rPr>
                <w:rFonts w:cs="Arial"/>
                <w:noProof/>
                <w:lang w:val="de-DE"/>
              </w:rPr>
            </w:pPr>
            <w:r w:rsidRPr="00170422">
              <w:rPr>
                <w:noProof/>
                <w:lang w:val="de-DE"/>
              </w:rPr>
              <w:t>35 800 000</w:t>
            </w:r>
          </w:p>
        </w:tc>
        <w:tc>
          <w:tcPr>
            <w:tcW w:w="994" w:type="dxa"/>
            <w:shd w:val="clear" w:color="auto" w:fill="C6EFCD"/>
            <w:vAlign w:val="center"/>
          </w:tcPr>
          <w:p w14:paraId="070EF47D" w14:textId="16EF7171" w:rsidR="0057163C" w:rsidRPr="00170422" w:rsidRDefault="00F37BF9">
            <w:pPr>
              <w:pStyle w:val="P68B1DB1-Other1069"/>
              <w:jc w:val="center"/>
              <w:rPr>
                <w:rFonts w:cs="Arial"/>
                <w:noProof/>
                <w:lang w:val="de-DE"/>
              </w:rPr>
            </w:pPr>
            <w:r w:rsidRPr="00170422">
              <w:rPr>
                <w:noProof/>
                <w:lang w:val="de-DE"/>
              </w:rPr>
              <w:t>4. QUARTAL</w:t>
            </w:r>
          </w:p>
        </w:tc>
        <w:tc>
          <w:tcPr>
            <w:tcW w:w="710" w:type="dxa"/>
            <w:shd w:val="clear" w:color="auto" w:fill="C6EFCD"/>
            <w:vAlign w:val="center"/>
          </w:tcPr>
          <w:p w14:paraId="63C60E9D" w14:textId="7ADFAE06" w:rsidR="0057163C" w:rsidRPr="00170422" w:rsidRDefault="00F37BF9">
            <w:pPr>
              <w:pStyle w:val="P68B1DB1-Other1069"/>
              <w:jc w:val="center"/>
              <w:rPr>
                <w:rFonts w:cs="Arial"/>
                <w:noProof/>
                <w:lang w:val="de-DE"/>
              </w:rPr>
            </w:pPr>
            <w:r w:rsidRPr="00170422">
              <w:rPr>
                <w:noProof/>
                <w:lang w:val="de-DE"/>
              </w:rPr>
              <w:t>2025</w:t>
            </w:r>
          </w:p>
        </w:tc>
        <w:tc>
          <w:tcPr>
            <w:tcW w:w="3902" w:type="dxa"/>
            <w:shd w:val="clear" w:color="auto" w:fill="C6EFCD"/>
          </w:tcPr>
          <w:p w14:paraId="0681AB9B" w14:textId="5E4AE060" w:rsidR="0057163C" w:rsidRPr="00170422" w:rsidRDefault="00F37BF9">
            <w:pPr>
              <w:pStyle w:val="P68B1DB1-Other1069"/>
              <w:rPr>
                <w:noProof/>
                <w:lang w:val="de-DE"/>
              </w:rPr>
            </w:pPr>
            <w:r w:rsidRPr="00170422">
              <w:rPr>
                <w:noProof/>
                <w:lang w:val="de-DE"/>
              </w:rPr>
              <w:t xml:space="preserve">Es werden Zertifizierungen („asseverazioni“) ausgestellt, mit denen eine Gebäuderenovierung von mindestens 35800000 Quadratmetern bescheinigt </w:t>
            </w:r>
            <w:r w:rsidRPr="00170422">
              <w:rPr>
                <w:noProof/>
                <w:lang w:val="de-DE"/>
              </w:rPr>
              <w:t xml:space="preserve">wird, die zu Primärenergieeinsparungen von mindestens 40 % führen, wodurch mindestens zwei Kategorien des Energieeffizienzausweises (Energieleistungszertifizierung im Sinne des Dekrets 63/2013) erhöht werden. </w:t>
            </w:r>
          </w:p>
          <w:p w14:paraId="390CA5D6" w14:textId="77777777" w:rsidR="0057163C" w:rsidRPr="00170422" w:rsidRDefault="0057163C">
            <w:pPr>
              <w:pStyle w:val="Other10"/>
              <w:rPr>
                <w:rFonts w:ascii="Arial Narrow" w:hAnsi="Arial Narrow"/>
                <w:noProof/>
                <w:sz w:val="20"/>
                <w:szCs w:val="20"/>
                <w:lang w:val="de-DE"/>
              </w:rPr>
            </w:pPr>
          </w:p>
          <w:p w14:paraId="7FED8816" w14:textId="37A110C2" w:rsidR="0057163C" w:rsidRPr="00170422" w:rsidRDefault="00F37BF9">
            <w:pPr>
              <w:pStyle w:val="P68B1DB1-Other1069"/>
              <w:rPr>
                <w:noProof/>
                <w:lang w:val="de-DE"/>
              </w:rPr>
            </w:pPr>
            <w:r w:rsidRPr="00170422">
              <w:rPr>
                <w:noProof/>
                <w:lang w:val="de-DE"/>
              </w:rPr>
              <w:t>Wenn Gasheizkessel als der gewählte Ersatz be</w:t>
            </w:r>
            <w:r w:rsidRPr="00170422">
              <w:rPr>
                <w:noProof/>
                <w:lang w:val="de-DE"/>
              </w:rPr>
              <w:t>stehender ineffizienter Gas-, Kohle- und Ölheizkessel installiert werden, müssen sie eine A-Leistung aufweisen. Die Kosten für die Installation von Gasheizkesseln machen höchstens 20 % der Gesamtkosten des Renovierungsprogramms aus.</w:t>
            </w:r>
          </w:p>
          <w:p w14:paraId="259C7274" w14:textId="77777777" w:rsidR="0057163C" w:rsidRPr="00170422" w:rsidRDefault="0057163C">
            <w:pPr>
              <w:pStyle w:val="Other10"/>
              <w:rPr>
                <w:rFonts w:ascii="Arial Narrow" w:hAnsi="Arial Narrow"/>
                <w:noProof/>
                <w:sz w:val="20"/>
                <w:szCs w:val="20"/>
                <w:lang w:val="de-DE"/>
              </w:rPr>
            </w:pPr>
          </w:p>
          <w:p w14:paraId="402B8782" w14:textId="0A046722" w:rsidR="0057163C" w:rsidRPr="00170422" w:rsidRDefault="00F37BF9">
            <w:pPr>
              <w:pStyle w:val="P68B1DB1-Other1069"/>
              <w:rPr>
                <w:rStyle w:val="Other1"/>
                <w:rFonts w:cs="Arial"/>
                <w:noProof/>
                <w:lang w:val="de-DE"/>
              </w:rPr>
            </w:pPr>
            <w:r w:rsidRPr="00170422">
              <w:rPr>
                <w:noProof/>
                <w:lang w:val="de-DE"/>
              </w:rPr>
              <w:t>Die geschätzten Gesamt</w:t>
            </w:r>
            <w:r w:rsidRPr="00170422">
              <w:rPr>
                <w:noProof/>
                <w:lang w:val="de-DE"/>
              </w:rPr>
              <w:t>energieeinsparungen, die durch die Interventionen erzielt werden, belaufen sich auf mindestens 191 kt RÖE.</w:t>
            </w:r>
          </w:p>
        </w:tc>
      </w:tr>
      <w:tr w:rsidR="0057163C" w:rsidRPr="00170422" w14:paraId="764FDB8A" w14:textId="77777777" w:rsidTr="00FA0FA3">
        <w:trPr>
          <w:cantSplit/>
          <w:trHeight w:val="300"/>
          <w:jc w:val="center"/>
        </w:trPr>
        <w:tc>
          <w:tcPr>
            <w:tcW w:w="1123" w:type="dxa"/>
            <w:shd w:val="clear" w:color="auto" w:fill="C6EFCD"/>
            <w:vAlign w:val="center"/>
          </w:tcPr>
          <w:p w14:paraId="00E8167B" w14:textId="149B8798" w:rsidR="0057163C" w:rsidRPr="00170422" w:rsidRDefault="00F37BF9">
            <w:pPr>
              <w:pStyle w:val="P68B1DB1-Other1069"/>
              <w:jc w:val="center"/>
              <w:rPr>
                <w:rFonts w:cs="Arial"/>
                <w:noProof/>
                <w:lang w:val="de-DE"/>
              </w:rPr>
            </w:pPr>
            <w:r w:rsidRPr="00170422">
              <w:rPr>
                <w:noProof/>
                <w:lang w:val="de-DE"/>
              </w:rPr>
              <w:t>M2C3-4</w:t>
            </w:r>
          </w:p>
        </w:tc>
        <w:tc>
          <w:tcPr>
            <w:tcW w:w="1574" w:type="dxa"/>
            <w:shd w:val="clear" w:color="auto" w:fill="C6EFCD"/>
            <w:vAlign w:val="center"/>
          </w:tcPr>
          <w:p w14:paraId="62B31AFD" w14:textId="2DAD9189" w:rsidR="0057163C" w:rsidRPr="00170422" w:rsidRDefault="00F37BF9">
            <w:pPr>
              <w:pStyle w:val="P68B1DB1-Other1069"/>
              <w:jc w:val="center"/>
              <w:rPr>
                <w:rStyle w:val="Other1"/>
                <w:rFonts w:cs="Arial"/>
                <w:noProof/>
                <w:lang w:val="de-DE"/>
              </w:rPr>
            </w:pPr>
            <w:r w:rsidRPr="00170422">
              <w:rPr>
                <w:noProof/>
                <w:lang w:val="de-DE"/>
              </w:rPr>
              <w:t>Reform 1.1: Vereinfachung und Beschleunigung der Verfahren für Energieeffizienzmaßnahmen</w:t>
            </w:r>
          </w:p>
        </w:tc>
        <w:tc>
          <w:tcPr>
            <w:tcW w:w="1133" w:type="dxa"/>
            <w:shd w:val="clear" w:color="auto" w:fill="C6EFCD"/>
            <w:vAlign w:val="center"/>
          </w:tcPr>
          <w:p w14:paraId="0C1F3F7F" w14:textId="76B4FAE6" w:rsidR="0057163C" w:rsidRPr="00170422" w:rsidRDefault="00F37BF9">
            <w:pPr>
              <w:pStyle w:val="P68B1DB1-Other1069"/>
              <w:jc w:val="center"/>
              <w:rPr>
                <w:rStyle w:val="Other1"/>
                <w:rFonts w:cs="Arial"/>
                <w:noProof/>
                <w:lang w:val="de-DE"/>
              </w:rPr>
            </w:pPr>
            <w:r w:rsidRPr="00170422">
              <w:rPr>
                <w:noProof/>
                <w:lang w:val="de-DE"/>
              </w:rPr>
              <w:t>Meilenstein</w:t>
            </w:r>
          </w:p>
        </w:tc>
        <w:tc>
          <w:tcPr>
            <w:tcW w:w="1843" w:type="dxa"/>
            <w:shd w:val="clear" w:color="auto" w:fill="C6EFCD"/>
            <w:vAlign w:val="center"/>
          </w:tcPr>
          <w:p w14:paraId="25D39313" w14:textId="180A4A5C" w:rsidR="0057163C" w:rsidRPr="00170422" w:rsidRDefault="00F37BF9">
            <w:pPr>
              <w:pStyle w:val="P68B1DB1-Other1069"/>
              <w:jc w:val="center"/>
              <w:rPr>
                <w:rStyle w:val="Other1"/>
                <w:rFonts w:cs="Arial"/>
                <w:noProof/>
                <w:lang w:val="de-DE"/>
              </w:rPr>
            </w:pPr>
            <w:r w:rsidRPr="00170422">
              <w:rPr>
                <w:noProof/>
                <w:lang w:val="de-DE"/>
              </w:rPr>
              <w:t xml:space="preserve">Vereinfachung und Beschleunigung der </w:t>
            </w:r>
            <w:r w:rsidRPr="00170422">
              <w:rPr>
                <w:noProof/>
                <w:lang w:val="de-DE"/>
              </w:rPr>
              <w:t>Verfahren für Energieeffizienzmaßnahmen</w:t>
            </w:r>
          </w:p>
        </w:tc>
        <w:tc>
          <w:tcPr>
            <w:tcW w:w="1560" w:type="dxa"/>
            <w:shd w:val="clear" w:color="auto" w:fill="C6EFCD"/>
            <w:vAlign w:val="center"/>
          </w:tcPr>
          <w:p w14:paraId="40BE12A0" w14:textId="7F1084C7" w:rsidR="0057163C" w:rsidRPr="00170422" w:rsidRDefault="00F37BF9">
            <w:pPr>
              <w:pStyle w:val="P68B1DB1-Other1069"/>
              <w:jc w:val="center"/>
              <w:rPr>
                <w:rStyle w:val="Other1"/>
                <w:rFonts w:cs="Arial"/>
                <w:noProof/>
                <w:lang w:val="de-DE"/>
              </w:rPr>
            </w:pPr>
            <w:r w:rsidRPr="00170422">
              <w:rPr>
                <w:noProof/>
                <w:lang w:val="de-DE"/>
              </w:rPr>
              <w:t>Bestimmung in dem/den Rechtsakt(en), aus der/denen das Inkrafttreten hervorgeht</w:t>
            </w:r>
          </w:p>
        </w:tc>
        <w:tc>
          <w:tcPr>
            <w:tcW w:w="1256" w:type="dxa"/>
            <w:shd w:val="clear" w:color="auto" w:fill="C6EFCD"/>
            <w:vAlign w:val="center"/>
          </w:tcPr>
          <w:p w14:paraId="56DD4BFB" w14:textId="1250DF31" w:rsidR="0057163C" w:rsidRPr="00170422" w:rsidRDefault="00F37BF9">
            <w:pPr>
              <w:pStyle w:val="P68B1DB1-Other1069"/>
              <w:jc w:val="center"/>
              <w:rPr>
                <w:noProof/>
                <w:lang w:val="de-DE"/>
              </w:rPr>
            </w:pPr>
            <w:r w:rsidRPr="00170422">
              <w:rPr>
                <w:noProof/>
                <w:lang w:val="de-DE"/>
              </w:rPr>
              <w:t>ENTFÄLLT.</w:t>
            </w:r>
          </w:p>
        </w:tc>
        <w:tc>
          <w:tcPr>
            <w:tcW w:w="1275" w:type="dxa"/>
            <w:shd w:val="clear" w:color="auto" w:fill="C6EFCD"/>
            <w:vAlign w:val="center"/>
          </w:tcPr>
          <w:p w14:paraId="02B8BD72" w14:textId="438F27E7" w:rsidR="0057163C" w:rsidRPr="00170422" w:rsidRDefault="00F37BF9">
            <w:pPr>
              <w:pStyle w:val="P68B1DB1-Other1069"/>
              <w:jc w:val="center"/>
              <w:rPr>
                <w:noProof/>
                <w:lang w:val="de-DE"/>
              </w:rPr>
            </w:pPr>
            <w:r w:rsidRPr="00170422">
              <w:rPr>
                <w:noProof/>
                <w:lang w:val="de-DE"/>
              </w:rPr>
              <w:t>ENTFÄLLT.</w:t>
            </w:r>
          </w:p>
        </w:tc>
        <w:tc>
          <w:tcPr>
            <w:tcW w:w="585" w:type="dxa"/>
            <w:shd w:val="clear" w:color="auto" w:fill="C6EFCD"/>
            <w:vAlign w:val="center"/>
          </w:tcPr>
          <w:p w14:paraId="0448690D" w14:textId="65FA9F3C" w:rsidR="0057163C" w:rsidRPr="00170422" w:rsidRDefault="00F37BF9">
            <w:pPr>
              <w:pStyle w:val="P68B1DB1-Other1069"/>
              <w:jc w:val="center"/>
              <w:rPr>
                <w:noProof/>
                <w:lang w:val="de-DE"/>
              </w:rPr>
            </w:pPr>
            <w:r w:rsidRPr="00170422">
              <w:rPr>
                <w:noProof/>
                <w:lang w:val="de-DE"/>
              </w:rPr>
              <w:t>ENTFÄLLT.</w:t>
            </w:r>
          </w:p>
        </w:tc>
        <w:tc>
          <w:tcPr>
            <w:tcW w:w="994" w:type="dxa"/>
            <w:shd w:val="clear" w:color="auto" w:fill="C6EFCD"/>
            <w:vAlign w:val="center"/>
          </w:tcPr>
          <w:p w14:paraId="68F2D8C3" w14:textId="5ABBA43A" w:rsidR="0057163C" w:rsidRPr="00170422" w:rsidRDefault="00F37BF9">
            <w:pPr>
              <w:pStyle w:val="P68B1DB1-Other1069"/>
              <w:jc w:val="center"/>
              <w:rPr>
                <w:rFonts w:cs="Arial"/>
                <w:noProof/>
                <w:lang w:val="de-DE"/>
              </w:rPr>
            </w:pPr>
            <w:r w:rsidRPr="00170422">
              <w:rPr>
                <w:noProof/>
                <w:lang w:val="de-DE"/>
              </w:rPr>
              <w:t>Q2</w:t>
            </w:r>
          </w:p>
        </w:tc>
        <w:tc>
          <w:tcPr>
            <w:tcW w:w="710" w:type="dxa"/>
            <w:shd w:val="clear" w:color="auto" w:fill="C6EFCD"/>
            <w:vAlign w:val="center"/>
          </w:tcPr>
          <w:p w14:paraId="477294C9" w14:textId="6B982055" w:rsidR="0057163C" w:rsidRPr="00170422" w:rsidRDefault="00F37BF9">
            <w:pPr>
              <w:pStyle w:val="P68B1DB1-Other1069"/>
              <w:jc w:val="center"/>
              <w:rPr>
                <w:rFonts w:cs="Arial"/>
                <w:noProof/>
                <w:lang w:val="de-DE"/>
              </w:rPr>
            </w:pPr>
            <w:r w:rsidRPr="00170422">
              <w:rPr>
                <w:noProof/>
                <w:lang w:val="de-DE"/>
              </w:rPr>
              <w:t>2022</w:t>
            </w:r>
          </w:p>
        </w:tc>
        <w:tc>
          <w:tcPr>
            <w:tcW w:w="3902" w:type="dxa"/>
            <w:shd w:val="clear" w:color="auto" w:fill="C6EFCD"/>
          </w:tcPr>
          <w:p w14:paraId="781EA6CF" w14:textId="77777777" w:rsidR="0057163C" w:rsidRPr="00170422" w:rsidRDefault="00F37BF9">
            <w:pPr>
              <w:pStyle w:val="P68B1DB1-Other1069"/>
              <w:rPr>
                <w:noProof/>
                <w:lang w:val="de-DE"/>
              </w:rPr>
            </w:pPr>
            <w:r w:rsidRPr="00170422">
              <w:rPr>
                <w:noProof/>
                <w:lang w:val="de-DE"/>
              </w:rPr>
              <w:t xml:space="preserve">Mit dem/den Rechtsakt(en) werden die Verfahren für Energieeffizienzinterventionen vereinfacht und </w:t>
            </w:r>
            <w:r w:rsidRPr="00170422">
              <w:rPr>
                <w:noProof/>
                <w:lang w:val="de-DE"/>
              </w:rPr>
              <w:t>beschleunigt, indem</w:t>
            </w:r>
          </w:p>
          <w:p w14:paraId="4E455EDA" w14:textId="77777777" w:rsidR="0057163C" w:rsidRPr="00170422" w:rsidRDefault="0057163C">
            <w:pPr>
              <w:pStyle w:val="Other10"/>
              <w:rPr>
                <w:rFonts w:ascii="Arial Narrow" w:hAnsi="Arial Narrow"/>
                <w:noProof/>
                <w:sz w:val="20"/>
                <w:szCs w:val="20"/>
                <w:lang w:val="de-DE"/>
              </w:rPr>
            </w:pPr>
          </w:p>
          <w:p w14:paraId="5654BBBE" w14:textId="77777777" w:rsidR="0057163C" w:rsidRPr="00170422" w:rsidRDefault="00F37BF9">
            <w:pPr>
              <w:pStyle w:val="P68B1DB1-ListParagraph13"/>
              <w:numPr>
                <w:ilvl w:val="0"/>
                <w:numId w:val="31"/>
              </w:numPr>
              <w:spacing w:before="120" w:after="120" w:line="276" w:lineRule="auto"/>
              <w:rPr>
                <w:noProof/>
                <w:lang w:val="de-DE"/>
              </w:rPr>
            </w:pPr>
            <w:r w:rsidRPr="00170422">
              <w:rPr>
                <w:noProof/>
                <w:lang w:val="de-DE"/>
              </w:rPr>
              <w:t>Einrichtung eines nationalen Portals für die Energieeffizienz von Gebäuden</w:t>
            </w:r>
          </w:p>
          <w:p w14:paraId="0BB34D1B" w14:textId="77777777" w:rsidR="0057163C" w:rsidRPr="00170422" w:rsidRDefault="00F37BF9">
            <w:pPr>
              <w:pStyle w:val="P68B1DB1-ListParagraph13"/>
              <w:numPr>
                <w:ilvl w:val="0"/>
                <w:numId w:val="31"/>
              </w:numPr>
              <w:spacing w:before="120" w:after="120" w:line="276" w:lineRule="auto"/>
              <w:rPr>
                <w:noProof/>
                <w:lang w:val="de-DE"/>
              </w:rPr>
            </w:pPr>
            <w:r w:rsidRPr="00170422">
              <w:rPr>
                <w:noProof/>
                <w:lang w:val="de-DE"/>
              </w:rPr>
              <w:t>Verstärkung der Maßnahmen des Informations- und Ausbildungsplans für den zivilen Sektor</w:t>
            </w:r>
          </w:p>
          <w:p w14:paraId="3734E5CA" w14:textId="77777777" w:rsidR="0057163C" w:rsidRPr="00170422" w:rsidRDefault="00F37BF9">
            <w:pPr>
              <w:pStyle w:val="P68B1DB1-ListParagraph13"/>
              <w:numPr>
                <w:ilvl w:val="0"/>
                <w:numId w:val="31"/>
              </w:numPr>
              <w:spacing w:before="120" w:after="120" w:line="276" w:lineRule="auto"/>
              <w:rPr>
                <w:noProof/>
                <w:lang w:val="de-DE"/>
              </w:rPr>
            </w:pPr>
            <w:r w:rsidRPr="00170422">
              <w:rPr>
                <w:noProof/>
                <w:lang w:val="de-DE"/>
              </w:rPr>
              <w:t>Aktualisierung und Stärkung des Nationalen Energieeffizienzfonds</w:t>
            </w:r>
          </w:p>
          <w:p w14:paraId="11C2B96A" w14:textId="03605180" w:rsidR="0057163C" w:rsidRPr="00170422" w:rsidRDefault="00F37BF9">
            <w:pPr>
              <w:pStyle w:val="P68B1DB1-ListParagraph13"/>
              <w:numPr>
                <w:ilvl w:val="0"/>
                <w:numId w:val="31"/>
              </w:numPr>
              <w:spacing w:before="120" w:after="120" w:line="276" w:lineRule="auto"/>
              <w:rPr>
                <w:rFonts w:cs="Arial"/>
                <w:noProof/>
                <w:lang w:val="de-DE"/>
              </w:rPr>
            </w:pPr>
            <w:r w:rsidRPr="00170422">
              <w:rPr>
                <w:noProof/>
                <w:lang w:val="de-DE"/>
              </w:rPr>
              <w:t>Beschle</w:t>
            </w:r>
            <w:r w:rsidRPr="00170422">
              <w:rPr>
                <w:noProof/>
                <w:lang w:val="de-DE"/>
              </w:rPr>
              <w:t>unigung der Durchführungsphase der im Rahmen des PREPAC-Programms finanzierten Projekte</w:t>
            </w:r>
          </w:p>
        </w:tc>
      </w:tr>
      <w:bookmarkEnd w:id="18"/>
    </w:tbl>
    <w:p w14:paraId="2ABFE4DB" w14:textId="77777777" w:rsidR="0057163C" w:rsidRPr="00170422" w:rsidRDefault="0057163C">
      <w:pPr>
        <w:spacing w:before="120" w:after="120"/>
        <w:ind w:left="709"/>
        <w:jc w:val="both"/>
        <w:rPr>
          <w:noProof/>
          <w:lang w:val="de-DE"/>
        </w:rPr>
      </w:pPr>
    </w:p>
    <w:p w14:paraId="7198DB20" w14:textId="77777777" w:rsidR="0057163C" w:rsidRPr="00170422" w:rsidRDefault="0057163C">
      <w:pPr>
        <w:spacing w:before="120" w:after="120"/>
        <w:ind w:left="709"/>
        <w:jc w:val="both"/>
        <w:rPr>
          <w:noProof/>
          <w:lang w:val="de-DE"/>
        </w:rPr>
        <w:sectPr w:rsidR="0057163C" w:rsidRPr="00170422" w:rsidSect="005F11B9">
          <w:headerReference w:type="even" r:id="rId102"/>
          <w:headerReference w:type="default" r:id="rId103"/>
          <w:footerReference w:type="even" r:id="rId104"/>
          <w:footerReference w:type="default" r:id="rId105"/>
          <w:headerReference w:type="first" r:id="rId106"/>
          <w:footerReference w:type="first" r:id="rId107"/>
          <w:pgSz w:w="16839" w:h="11907" w:orient="landscape"/>
          <w:pgMar w:top="1134" w:right="1134" w:bottom="1134" w:left="1134" w:header="567" w:footer="567" w:gutter="0"/>
          <w:cols w:space="720"/>
          <w:docGrid w:linePitch="360"/>
        </w:sectPr>
      </w:pPr>
    </w:p>
    <w:p w14:paraId="101B4600"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F.3. </w:t>
      </w:r>
      <w:r w:rsidRPr="00170422">
        <w:rPr>
          <w:noProof/>
          <w:lang w:val="de-DE"/>
        </w:rPr>
        <w:t xml:space="preserve"> </w:t>
      </w:r>
      <w:r w:rsidRPr="00170422">
        <w:rPr>
          <w:b/>
          <w:noProof/>
          <w:u w:val="single"/>
          <w:lang w:val="de-DE"/>
        </w:rPr>
        <w:t xml:space="preserve">Beschreibung der Reformen und Investitionen (Darlehen) </w:t>
      </w:r>
    </w:p>
    <w:p w14:paraId="01592CB8" w14:textId="77777777" w:rsidR="0057163C" w:rsidRPr="00170422" w:rsidRDefault="00F37BF9">
      <w:pPr>
        <w:pStyle w:val="P68B1DB1-Normal70"/>
        <w:spacing w:before="120" w:after="120"/>
        <w:jc w:val="both"/>
        <w:rPr>
          <w:rFonts w:eastAsia="Calibri"/>
          <w:noProof/>
          <w:color w:val="156082" w:themeColor="accent1"/>
          <w:lang w:val="de-DE"/>
        </w:rPr>
      </w:pPr>
      <w:r w:rsidRPr="00170422">
        <w:rPr>
          <w:noProof/>
          <w:lang w:val="de-DE"/>
        </w:rPr>
        <w:t xml:space="preserve">Investition 1.1: Bau neuer Schulen durch Austausch von Gebäuden </w:t>
      </w:r>
    </w:p>
    <w:p w14:paraId="55154398" w14:textId="77777777" w:rsidR="0057163C" w:rsidRPr="00170422" w:rsidRDefault="00F37BF9">
      <w:pPr>
        <w:pStyle w:val="P68B1DB1-Normal7"/>
        <w:spacing w:before="120" w:after="120"/>
        <w:jc w:val="both"/>
        <w:rPr>
          <w:noProof/>
          <w:lang w:val="de-DE"/>
        </w:rPr>
      </w:pPr>
      <w:r w:rsidRPr="00170422">
        <w:rPr>
          <w:noProof/>
          <w:lang w:val="de-DE"/>
        </w:rPr>
        <w:t>Ziel der Maßnahme ist die Schaffung moderner und nachhaltiger Schulstrukturen, insbesondere durch Senkung des Energieverbrauchs und Erhöhung der seismischen Sicherheit. Diese Maßnahme besteht</w:t>
      </w:r>
      <w:r w:rsidRPr="00170422">
        <w:rPr>
          <w:noProof/>
          <w:lang w:val="de-DE"/>
        </w:rPr>
        <w:t xml:space="preserve"> darin, einen Teil des Gebäudebestands öffentlicher Schulen zu ersetzen.</w:t>
      </w:r>
    </w:p>
    <w:p w14:paraId="2BCEF344" w14:textId="77777777" w:rsidR="0057163C" w:rsidRPr="00170422" w:rsidRDefault="00F37BF9">
      <w:pPr>
        <w:pStyle w:val="P68B1DB1-Normal5"/>
        <w:spacing w:before="120" w:after="120"/>
        <w:jc w:val="both"/>
        <w:rPr>
          <w:rFonts w:eastAsia="Calibri"/>
          <w:bCs/>
          <w:noProof/>
          <w:lang w:val="de-DE"/>
        </w:rPr>
      </w:pPr>
      <w:r w:rsidRPr="00170422">
        <w:rPr>
          <w:noProof/>
          <w:lang w:val="de-DE"/>
        </w:rPr>
        <w:t>Investition 1.2 – Qualifizierung öffentlicher Immobilien, die ganz oder teilweise von der Rechtspflege genutzt werden</w:t>
      </w:r>
    </w:p>
    <w:p w14:paraId="3D573CDD" w14:textId="454FADA1" w:rsidR="0057163C" w:rsidRPr="00170422" w:rsidRDefault="00F37BF9">
      <w:pPr>
        <w:pStyle w:val="P68B1DB1-Normal7"/>
        <w:spacing w:before="120" w:after="120"/>
        <w:jc w:val="both"/>
        <w:rPr>
          <w:b/>
          <w:bCs/>
          <w:noProof/>
          <w:u w:val="single"/>
          <w:lang w:val="de-DE"/>
        </w:rPr>
      </w:pPr>
      <w:r w:rsidRPr="00170422">
        <w:rPr>
          <w:noProof/>
          <w:lang w:val="de-DE"/>
        </w:rPr>
        <w:t>Ziel der Maßnahme ist es, Gebäude, die ganz oder teilweise von de</w:t>
      </w:r>
      <w:r w:rsidRPr="00170422">
        <w:rPr>
          <w:noProof/>
          <w:lang w:val="de-DE"/>
        </w:rPr>
        <w:t>r Rechtspflege genutzt werden, zu requalifizieren und zu modernisieren. Die Maßnahme umfasst die Durchführung von Renovierungs- und Umschulungsarbeiten an Immobilien, die sich in mehreren italienischen Gemeinden befinden, einschließlich, aber nicht beschrä</w:t>
      </w:r>
      <w:r w:rsidRPr="00170422">
        <w:rPr>
          <w:noProof/>
          <w:lang w:val="de-DE"/>
        </w:rPr>
        <w:t>nkt auf Maßnahmen zur Verbesserung der Energieeffizienz.</w:t>
      </w:r>
    </w:p>
    <w:p w14:paraId="56C6B6DC" w14:textId="77777777" w:rsidR="0057163C" w:rsidRPr="00170422" w:rsidRDefault="00F37BF9">
      <w:pPr>
        <w:pStyle w:val="P68B1DB1-Normal5"/>
        <w:spacing w:before="120" w:after="120"/>
        <w:jc w:val="both"/>
        <w:rPr>
          <w:rFonts w:eastAsia="Calibri"/>
          <w:bCs/>
          <w:noProof/>
          <w:lang w:val="de-DE"/>
        </w:rPr>
      </w:pPr>
      <w:r w:rsidRPr="00170422">
        <w:rPr>
          <w:noProof/>
          <w:lang w:val="de-DE"/>
        </w:rPr>
        <w:t>Investition 3.1: Förderung effizienter Fernwärme</w:t>
      </w:r>
    </w:p>
    <w:p w14:paraId="723900FA" w14:textId="621064D9" w:rsidR="0057163C" w:rsidRPr="00170422" w:rsidRDefault="00F37BF9">
      <w:pPr>
        <w:pStyle w:val="P68B1DB1-Normal7"/>
        <w:spacing w:before="120" w:after="120"/>
        <w:jc w:val="both"/>
        <w:rPr>
          <w:b/>
          <w:noProof/>
          <w:sz w:val="24"/>
          <w:szCs w:val="24"/>
          <w:u w:val="single"/>
          <w:lang w:val="de-DE"/>
        </w:rPr>
        <w:sectPr w:rsidR="0057163C" w:rsidRPr="00170422" w:rsidSect="005F11B9">
          <w:headerReference w:type="even" r:id="rId108"/>
          <w:headerReference w:type="default" r:id="rId109"/>
          <w:footerReference w:type="even" r:id="rId110"/>
          <w:footerReference w:type="default" r:id="rId111"/>
          <w:headerReference w:type="first" r:id="rId112"/>
          <w:footerReference w:type="first" r:id="rId113"/>
          <w:pgSz w:w="11907" w:h="16839"/>
          <w:pgMar w:top="1134" w:right="1134" w:bottom="1134" w:left="1134" w:header="567" w:footer="567" w:gutter="0"/>
          <w:cols w:space="720"/>
          <w:docGrid w:linePitch="360"/>
        </w:sectPr>
      </w:pPr>
      <w:r w:rsidRPr="00170422">
        <w:rPr>
          <w:noProof/>
          <w:lang w:val="de-DE"/>
        </w:rPr>
        <w:t>Ziel der Maßnahme ist es, die Nutzung effizienter Fernwärme auf der Grundlage der Verteilu</w:t>
      </w:r>
      <w:r w:rsidRPr="00170422">
        <w:rPr>
          <w:noProof/>
          <w:lang w:val="de-DE"/>
        </w:rPr>
        <w:t>ng von Wärme aus erneuerbaren Quellen, Abwärme oder KWK in Hochleistungsanlagen auszuweiten. Die Maßnahme besteht in der Finanzierung von Projekten im Zusammenhang mit dem Bau neuer oder dem Ausbau bestehender Fernwärmenetze, wobei Projekten Vorrang einger</w:t>
      </w:r>
      <w:r w:rsidRPr="00170422">
        <w:rPr>
          <w:noProof/>
          <w:lang w:val="de-DE"/>
        </w:rPr>
        <w:t>äumt wird, die die größten Einsparungen bei nicht erneuerbaren Primärenergie gewährleisten.</w:t>
      </w:r>
      <w:r w:rsidRPr="00170422">
        <w:rPr>
          <w:b/>
          <w:noProof/>
          <w:sz w:val="24"/>
          <w:szCs w:val="24"/>
          <w:u w:val="single"/>
          <w:lang w:val="de-DE"/>
        </w:rPr>
        <w:t xml:space="preserve"> </w:t>
      </w:r>
    </w:p>
    <w:p w14:paraId="223989E4" w14:textId="29F9B6B8" w:rsidR="0057163C" w:rsidRPr="00170422" w:rsidRDefault="00F37BF9">
      <w:pPr>
        <w:pStyle w:val="P68B1DB1-Heading368"/>
        <w:ind w:left="850" w:hanging="850"/>
        <w:rPr>
          <w:noProof/>
          <w:lang w:val="de-DE"/>
        </w:rPr>
      </w:pPr>
      <w:r w:rsidRPr="00170422">
        <w:rPr>
          <w:noProof/>
          <w:lang w:val="de-DE"/>
        </w:rPr>
        <w:t xml:space="preserve">F.4. </w:t>
      </w:r>
      <w:r w:rsidRPr="00170422">
        <w:rPr>
          <w:noProof/>
          <w:lang w:val="de-DE"/>
        </w:rPr>
        <w:tab/>
        <w:t>Etappenziele, Zielwerte, Indikatoren und Zeitplan für die Überwachung und Durchführung (Darlehen)</w:t>
      </w:r>
    </w:p>
    <w:p w14:paraId="583B494E" w14:textId="77777777" w:rsidR="0057163C" w:rsidRPr="00170422" w:rsidRDefault="0057163C">
      <w:pPr>
        <w:spacing w:before="120" w:after="120"/>
        <w:jc w:val="both"/>
        <w:rPr>
          <w:rFonts w:ascii="Times New Roman" w:hAnsi="Times New Roman" w:cs="Times New Roman"/>
          <w:noProof/>
          <w:lang w:val="de-DE"/>
        </w:rPr>
      </w:pPr>
    </w:p>
    <w:tbl>
      <w:tblPr>
        <w:tblOverlap w:val="never"/>
        <w:tblW w:w="15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3"/>
        <w:gridCol w:w="1574"/>
        <w:gridCol w:w="1133"/>
        <w:gridCol w:w="1843"/>
        <w:gridCol w:w="1560"/>
        <w:gridCol w:w="1256"/>
        <w:gridCol w:w="1157"/>
        <w:gridCol w:w="703"/>
        <w:gridCol w:w="994"/>
        <w:gridCol w:w="710"/>
        <w:gridCol w:w="3902"/>
      </w:tblGrid>
      <w:tr w:rsidR="0057163C" w:rsidRPr="00170422" w14:paraId="70170A06" w14:textId="77777777">
        <w:trPr>
          <w:cantSplit/>
          <w:trHeight w:val="300"/>
          <w:tblHeader/>
          <w:jc w:val="center"/>
        </w:trPr>
        <w:tc>
          <w:tcPr>
            <w:tcW w:w="1123" w:type="dxa"/>
            <w:vMerge w:val="restart"/>
            <w:shd w:val="clear" w:color="auto" w:fill="BBD2EA"/>
            <w:vAlign w:val="center"/>
          </w:tcPr>
          <w:p w14:paraId="02A367C7"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Laufende Nummer</w:t>
            </w:r>
          </w:p>
        </w:tc>
        <w:tc>
          <w:tcPr>
            <w:tcW w:w="1574" w:type="dxa"/>
            <w:vMerge w:val="restart"/>
            <w:shd w:val="clear" w:color="auto" w:fill="BBD2EA"/>
            <w:vAlign w:val="center"/>
          </w:tcPr>
          <w:p w14:paraId="51D0EDB2"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Verwandte</w:t>
            </w:r>
          </w:p>
          <w:p w14:paraId="573BAC8B"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 xml:space="preserve">Maßnahme (Reform oder </w:t>
            </w:r>
            <w:r w:rsidRPr="00170422">
              <w:rPr>
                <w:rStyle w:val="Other1"/>
                <w:rFonts w:ascii="Arial Narrow" w:hAnsi="Arial Narrow" w:cs="Arial"/>
                <w:b/>
                <w:noProof/>
                <w:color w:val="000000" w:themeColor="text1"/>
                <w:sz w:val="20"/>
                <w:szCs w:val="20"/>
                <w:lang w:val="de-DE"/>
              </w:rPr>
              <w:t>Investitionen)</w:t>
            </w:r>
          </w:p>
        </w:tc>
        <w:tc>
          <w:tcPr>
            <w:tcW w:w="1133" w:type="dxa"/>
            <w:vMerge w:val="restart"/>
            <w:shd w:val="clear" w:color="auto" w:fill="BBD2EA"/>
            <w:vAlign w:val="center"/>
          </w:tcPr>
          <w:p w14:paraId="27572A0A" w14:textId="29210CC3"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Etappenziel/</w:t>
            </w:r>
            <w:r w:rsidR="00AC496B" w:rsidRPr="00170422">
              <w:rPr>
                <w:rStyle w:val="Other1"/>
                <w:rFonts w:ascii="Arial Narrow" w:hAnsi="Arial Narrow" w:cs="Arial"/>
                <w:b/>
                <w:noProof/>
                <w:color w:val="000000" w:themeColor="text1"/>
                <w:sz w:val="20"/>
                <w:szCs w:val="20"/>
                <w:lang w:val="de-DE"/>
              </w:rPr>
              <w:br/>
            </w:r>
            <w:r w:rsidRPr="00170422">
              <w:rPr>
                <w:rStyle w:val="Other1"/>
                <w:rFonts w:ascii="Arial Narrow" w:hAnsi="Arial Narrow" w:cs="Arial"/>
                <w:b/>
                <w:noProof/>
                <w:color w:val="000000" w:themeColor="text1"/>
                <w:sz w:val="20"/>
                <w:szCs w:val="20"/>
                <w:lang w:val="de-DE"/>
              </w:rPr>
              <w:t>Zielwert</w:t>
            </w:r>
          </w:p>
        </w:tc>
        <w:tc>
          <w:tcPr>
            <w:tcW w:w="1843" w:type="dxa"/>
            <w:vMerge w:val="restart"/>
            <w:shd w:val="clear" w:color="auto" w:fill="BBD2EA"/>
            <w:vAlign w:val="center"/>
          </w:tcPr>
          <w:p w14:paraId="55F4776E"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Namen</w:t>
            </w:r>
          </w:p>
        </w:tc>
        <w:tc>
          <w:tcPr>
            <w:tcW w:w="1560" w:type="dxa"/>
            <w:vMerge w:val="restart"/>
            <w:shd w:val="clear" w:color="auto" w:fill="BBD2EA"/>
            <w:vAlign w:val="center"/>
          </w:tcPr>
          <w:p w14:paraId="1E96A0D6"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Qualitative Indikatoren (für Etappenziele)</w:t>
            </w:r>
          </w:p>
        </w:tc>
        <w:tc>
          <w:tcPr>
            <w:tcW w:w="3116" w:type="dxa"/>
            <w:gridSpan w:val="3"/>
            <w:shd w:val="clear" w:color="auto" w:fill="BBD2EA"/>
            <w:vAlign w:val="center"/>
          </w:tcPr>
          <w:p w14:paraId="13A4FE79"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Quantitative Indikatoren (für Ziele)</w:t>
            </w:r>
          </w:p>
        </w:tc>
        <w:tc>
          <w:tcPr>
            <w:tcW w:w="1704" w:type="dxa"/>
            <w:gridSpan w:val="2"/>
            <w:shd w:val="clear" w:color="auto" w:fill="BBD2EA"/>
            <w:vAlign w:val="center"/>
          </w:tcPr>
          <w:p w14:paraId="3BC31B6F"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Vorläufiger Zeitplan für die Fertigstellung</w:t>
            </w:r>
          </w:p>
        </w:tc>
        <w:tc>
          <w:tcPr>
            <w:tcW w:w="3902" w:type="dxa"/>
            <w:vMerge w:val="restart"/>
            <w:shd w:val="clear" w:color="auto" w:fill="BBD2EA"/>
            <w:vAlign w:val="center"/>
          </w:tcPr>
          <w:p w14:paraId="470042FF" w14:textId="77777777" w:rsidR="0057163C" w:rsidRPr="00170422" w:rsidRDefault="00F37BF9">
            <w:pPr>
              <w:pStyle w:val="Other10"/>
              <w:ind w:firstLine="22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Beschreibung der einzelnen Etappenziele und Zielvorgaben</w:t>
            </w:r>
          </w:p>
        </w:tc>
      </w:tr>
      <w:tr w:rsidR="0057163C" w:rsidRPr="00170422" w14:paraId="766D9935" w14:textId="77777777" w:rsidTr="00AC496B">
        <w:trPr>
          <w:cantSplit/>
          <w:trHeight w:val="300"/>
          <w:tblHeader/>
          <w:jc w:val="center"/>
        </w:trPr>
        <w:tc>
          <w:tcPr>
            <w:tcW w:w="1123" w:type="dxa"/>
            <w:vMerge/>
            <w:vAlign w:val="center"/>
          </w:tcPr>
          <w:p w14:paraId="3EE87CC5" w14:textId="77777777" w:rsidR="0057163C" w:rsidRPr="00170422" w:rsidRDefault="0057163C">
            <w:pPr>
              <w:jc w:val="center"/>
              <w:rPr>
                <w:rFonts w:ascii="Arial Narrow" w:hAnsi="Arial Narrow" w:cs="Arial"/>
                <w:noProof/>
                <w:sz w:val="20"/>
                <w:szCs w:val="20"/>
                <w:lang w:val="de-DE"/>
              </w:rPr>
            </w:pPr>
          </w:p>
        </w:tc>
        <w:tc>
          <w:tcPr>
            <w:tcW w:w="1574" w:type="dxa"/>
            <w:vMerge/>
            <w:vAlign w:val="center"/>
          </w:tcPr>
          <w:p w14:paraId="78075D51" w14:textId="77777777" w:rsidR="0057163C" w:rsidRPr="00170422" w:rsidRDefault="0057163C">
            <w:pPr>
              <w:jc w:val="center"/>
              <w:rPr>
                <w:rFonts w:ascii="Arial Narrow" w:hAnsi="Arial Narrow" w:cs="Arial"/>
                <w:noProof/>
                <w:sz w:val="20"/>
                <w:szCs w:val="20"/>
                <w:lang w:val="de-DE"/>
              </w:rPr>
            </w:pPr>
          </w:p>
        </w:tc>
        <w:tc>
          <w:tcPr>
            <w:tcW w:w="1133" w:type="dxa"/>
            <w:vMerge/>
            <w:vAlign w:val="center"/>
          </w:tcPr>
          <w:p w14:paraId="4D93DEC4" w14:textId="77777777" w:rsidR="0057163C" w:rsidRPr="00170422" w:rsidRDefault="0057163C">
            <w:pPr>
              <w:jc w:val="center"/>
              <w:rPr>
                <w:rFonts w:ascii="Arial Narrow" w:hAnsi="Arial Narrow" w:cs="Arial"/>
                <w:noProof/>
                <w:sz w:val="20"/>
                <w:szCs w:val="20"/>
                <w:lang w:val="de-DE"/>
              </w:rPr>
            </w:pPr>
          </w:p>
        </w:tc>
        <w:tc>
          <w:tcPr>
            <w:tcW w:w="1843" w:type="dxa"/>
            <w:vMerge/>
            <w:vAlign w:val="center"/>
          </w:tcPr>
          <w:p w14:paraId="3CD5E63C" w14:textId="77777777" w:rsidR="0057163C" w:rsidRPr="00170422" w:rsidRDefault="0057163C">
            <w:pPr>
              <w:jc w:val="center"/>
              <w:rPr>
                <w:rFonts w:ascii="Arial Narrow" w:hAnsi="Arial Narrow" w:cs="Arial"/>
                <w:noProof/>
                <w:sz w:val="20"/>
                <w:szCs w:val="20"/>
                <w:lang w:val="de-DE"/>
              </w:rPr>
            </w:pPr>
          </w:p>
        </w:tc>
        <w:tc>
          <w:tcPr>
            <w:tcW w:w="1560" w:type="dxa"/>
            <w:vMerge/>
            <w:vAlign w:val="center"/>
          </w:tcPr>
          <w:p w14:paraId="74EE6E40" w14:textId="77777777" w:rsidR="0057163C" w:rsidRPr="00170422" w:rsidRDefault="0057163C">
            <w:pPr>
              <w:jc w:val="center"/>
              <w:rPr>
                <w:rFonts w:ascii="Arial Narrow" w:hAnsi="Arial Narrow" w:cs="Arial"/>
                <w:noProof/>
                <w:sz w:val="20"/>
                <w:szCs w:val="20"/>
                <w:lang w:val="de-DE"/>
              </w:rPr>
            </w:pPr>
          </w:p>
        </w:tc>
        <w:tc>
          <w:tcPr>
            <w:tcW w:w="1256" w:type="dxa"/>
            <w:shd w:val="clear" w:color="auto" w:fill="BBD2EA"/>
            <w:vAlign w:val="center"/>
          </w:tcPr>
          <w:p w14:paraId="7A088103"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Maßeinheit</w:t>
            </w:r>
          </w:p>
        </w:tc>
        <w:tc>
          <w:tcPr>
            <w:tcW w:w="1157" w:type="dxa"/>
            <w:shd w:val="clear" w:color="auto" w:fill="BBD2EA"/>
            <w:vAlign w:val="center"/>
          </w:tcPr>
          <w:p w14:paraId="334A425B"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Ausgangslage</w:t>
            </w:r>
          </w:p>
        </w:tc>
        <w:tc>
          <w:tcPr>
            <w:tcW w:w="703" w:type="dxa"/>
            <w:shd w:val="clear" w:color="auto" w:fill="BBD2EA"/>
            <w:vAlign w:val="center"/>
          </w:tcPr>
          <w:p w14:paraId="42E0770C" w14:textId="77777777" w:rsidR="0057163C" w:rsidRPr="00170422" w:rsidRDefault="00F37BF9">
            <w:pPr>
              <w:pStyle w:val="Other10"/>
              <w:ind w:firstLine="28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Ziel</w:t>
            </w:r>
          </w:p>
        </w:tc>
        <w:tc>
          <w:tcPr>
            <w:tcW w:w="994" w:type="dxa"/>
            <w:shd w:val="clear" w:color="auto" w:fill="BBD2EA"/>
            <w:vAlign w:val="center"/>
          </w:tcPr>
          <w:p w14:paraId="3843E6F8"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Viertel</w:t>
            </w:r>
          </w:p>
        </w:tc>
        <w:tc>
          <w:tcPr>
            <w:tcW w:w="710" w:type="dxa"/>
            <w:shd w:val="clear" w:color="auto" w:fill="BBD2EA"/>
            <w:vAlign w:val="center"/>
          </w:tcPr>
          <w:p w14:paraId="2000893E" w14:textId="77777777" w:rsidR="0057163C" w:rsidRPr="00170422" w:rsidRDefault="00F37BF9">
            <w:pPr>
              <w:pStyle w:val="Other10"/>
              <w:jc w:val="center"/>
              <w:rPr>
                <w:rFonts w:ascii="Arial Narrow" w:hAnsi="Arial Narrow" w:cs="Arial"/>
                <w:noProof/>
                <w:sz w:val="20"/>
                <w:szCs w:val="20"/>
                <w:lang w:val="de-DE"/>
              </w:rPr>
            </w:pPr>
            <w:r w:rsidRPr="00170422">
              <w:rPr>
                <w:rStyle w:val="Other1"/>
                <w:rFonts w:ascii="Arial Narrow" w:hAnsi="Arial Narrow" w:cs="Arial"/>
                <w:b/>
                <w:noProof/>
                <w:color w:val="000000" w:themeColor="text1"/>
                <w:sz w:val="20"/>
                <w:szCs w:val="20"/>
                <w:lang w:val="de-DE"/>
              </w:rPr>
              <w:t>Jahre</w:t>
            </w:r>
          </w:p>
        </w:tc>
        <w:tc>
          <w:tcPr>
            <w:tcW w:w="3902" w:type="dxa"/>
            <w:vMerge/>
            <w:vAlign w:val="center"/>
          </w:tcPr>
          <w:p w14:paraId="4F9DDE7F" w14:textId="77777777" w:rsidR="0057163C" w:rsidRPr="00170422" w:rsidRDefault="0057163C">
            <w:pPr>
              <w:jc w:val="center"/>
              <w:rPr>
                <w:rFonts w:ascii="Arial Narrow" w:hAnsi="Arial Narrow" w:cs="Arial"/>
                <w:noProof/>
                <w:sz w:val="20"/>
                <w:szCs w:val="20"/>
                <w:lang w:val="de-DE"/>
              </w:rPr>
            </w:pPr>
          </w:p>
        </w:tc>
      </w:tr>
      <w:tr w:rsidR="0057163C" w:rsidRPr="00170422" w14:paraId="02F0B870" w14:textId="77777777" w:rsidTr="00AC496B">
        <w:trPr>
          <w:cantSplit/>
          <w:trHeight w:val="300"/>
          <w:jc w:val="center"/>
        </w:trPr>
        <w:tc>
          <w:tcPr>
            <w:tcW w:w="1123" w:type="dxa"/>
            <w:shd w:val="clear" w:color="auto" w:fill="C6EFCD"/>
            <w:vAlign w:val="center"/>
          </w:tcPr>
          <w:p w14:paraId="659B75BF" w14:textId="55B1FF3C" w:rsidR="0057163C" w:rsidRPr="00170422" w:rsidRDefault="00F37BF9">
            <w:pPr>
              <w:pStyle w:val="P68B1DB1-Other1069"/>
              <w:jc w:val="center"/>
              <w:rPr>
                <w:rFonts w:cs="Arial"/>
                <w:noProof/>
                <w:lang w:val="de-DE"/>
              </w:rPr>
            </w:pPr>
            <w:r w:rsidRPr="00170422">
              <w:rPr>
                <w:noProof/>
                <w:lang w:val="de-DE"/>
              </w:rPr>
              <w:t>M2C3-5</w:t>
            </w:r>
          </w:p>
        </w:tc>
        <w:tc>
          <w:tcPr>
            <w:tcW w:w="1574" w:type="dxa"/>
            <w:shd w:val="clear" w:color="auto" w:fill="C6EFCD"/>
            <w:vAlign w:val="center"/>
          </w:tcPr>
          <w:p w14:paraId="18010505" w14:textId="00195232" w:rsidR="0057163C" w:rsidRPr="00170422" w:rsidRDefault="00F37BF9">
            <w:pPr>
              <w:pStyle w:val="P68B1DB1-Other1069"/>
              <w:jc w:val="center"/>
              <w:rPr>
                <w:rStyle w:val="Other1"/>
                <w:rFonts w:cs="Arial"/>
                <w:noProof/>
                <w:lang w:val="de-DE"/>
              </w:rPr>
            </w:pPr>
            <w:r w:rsidRPr="00170422">
              <w:rPr>
                <w:noProof/>
                <w:lang w:val="de-DE"/>
              </w:rPr>
              <w:t>Investition 1.1: Bau neuer Schulen durch Austausch von Gebäuden</w:t>
            </w:r>
          </w:p>
        </w:tc>
        <w:tc>
          <w:tcPr>
            <w:tcW w:w="1133" w:type="dxa"/>
            <w:shd w:val="clear" w:color="auto" w:fill="C6EFCD"/>
            <w:vAlign w:val="center"/>
          </w:tcPr>
          <w:p w14:paraId="7A2A421E" w14:textId="269A6781" w:rsidR="0057163C" w:rsidRPr="00170422" w:rsidRDefault="00F37BF9">
            <w:pPr>
              <w:pStyle w:val="P68B1DB1-Other1069"/>
              <w:jc w:val="center"/>
              <w:rPr>
                <w:rStyle w:val="Other1"/>
                <w:rFonts w:cs="Arial"/>
                <w:noProof/>
                <w:lang w:val="de-DE"/>
              </w:rPr>
            </w:pPr>
            <w:r w:rsidRPr="00170422">
              <w:rPr>
                <w:noProof/>
                <w:lang w:val="de-DE"/>
              </w:rPr>
              <w:t>Meilenstein</w:t>
            </w:r>
          </w:p>
        </w:tc>
        <w:tc>
          <w:tcPr>
            <w:tcW w:w="1843" w:type="dxa"/>
            <w:shd w:val="clear" w:color="auto" w:fill="C6EFCD"/>
            <w:vAlign w:val="center"/>
          </w:tcPr>
          <w:p w14:paraId="423766AB" w14:textId="6672EFE0" w:rsidR="0057163C" w:rsidRPr="00170422" w:rsidRDefault="00F37BF9">
            <w:pPr>
              <w:pStyle w:val="P68B1DB1-Other1069"/>
              <w:jc w:val="center"/>
              <w:rPr>
                <w:rStyle w:val="Other1"/>
                <w:rFonts w:cs="Arial"/>
                <w:noProof/>
                <w:lang w:val="de-DE"/>
              </w:rPr>
            </w:pPr>
            <w:r w:rsidRPr="00170422">
              <w:rPr>
                <w:noProof/>
                <w:lang w:val="de-DE"/>
              </w:rPr>
              <w:t xml:space="preserve">Vergabe aller öffentlichen Aufträge für den Bau neuer Schulen durch Ersetzung von Gebäuden zur Verbesserung der Energieversorgung in Schulgebäuden im </w:t>
            </w:r>
            <w:r w:rsidRPr="00170422">
              <w:rPr>
                <w:noProof/>
                <w:lang w:val="de-DE"/>
              </w:rPr>
              <w:t>Anschluss an eine öffentliche Ausschreibung</w:t>
            </w:r>
          </w:p>
        </w:tc>
        <w:tc>
          <w:tcPr>
            <w:tcW w:w="1560" w:type="dxa"/>
            <w:shd w:val="clear" w:color="auto" w:fill="C6EFCD"/>
            <w:vAlign w:val="center"/>
          </w:tcPr>
          <w:p w14:paraId="626A8C01" w14:textId="60B939AB" w:rsidR="0057163C" w:rsidRPr="00170422" w:rsidRDefault="00F37BF9">
            <w:pPr>
              <w:pStyle w:val="P68B1DB1-Other1069"/>
              <w:jc w:val="center"/>
              <w:rPr>
                <w:rStyle w:val="Other1"/>
                <w:rFonts w:cs="Arial"/>
                <w:noProof/>
                <w:lang w:val="de-DE"/>
              </w:rPr>
            </w:pPr>
            <w:r w:rsidRPr="00170422">
              <w:rPr>
                <w:noProof/>
                <w:lang w:val="de-DE"/>
              </w:rPr>
              <w:t>Mitteilung über die Vergabe aller öffentlichen Aufträge im Rahmen eines öffentlichen Ausschreibungsverfahrens</w:t>
            </w:r>
          </w:p>
        </w:tc>
        <w:tc>
          <w:tcPr>
            <w:tcW w:w="1256" w:type="dxa"/>
            <w:shd w:val="clear" w:color="auto" w:fill="C6EFCD"/>
            <w:vAlign w:val="center"/>
          </w:tcPr>
          <w:p w14:paraId="2C89F30F" w14:textId="3CE638DA" w:rsidR="0057163C" w:rsidRPr="00170422" w:rsidRDefault="00F37BF9">
            <w:pPr>
              <w:pStyle w:val="P68B1DB1-Other1069"/>
              <w:jc w:val="center"/>
              <w:rPr>
                <w:noProof/>
                <w:lang w:val="de-DE"/>
              </w:rPr>
            </w:pPr>
            <w:r w:rsidRPr="00170422">
              <w:rPr>
                <w:noProof/>
                <w:lang w:val="de-DE"/>
              </w:rPr>
              <w:t>ENTFÄLLT.</w:t>
            </w:r>
          </w:p>
        </w:tc>
        <w:tc>
          <w:tcPr>
            <w:tcW w:w="1157" w:type="dxa"/>
            <w:shd w:val="clear" w:color="auto" w:fill="C6EFCD"/>
            <w:vAlign w:val="center"/>
          </w:tcPr>
          <w:p w14:paraId="433E411E" w14:textId="671FD3F7" w:rsidR="0057163C" w:rsidRPr="00170422" w:rsidRDefault="00F37BF9">
            <w:pPr>
              <w:pStyle w:val="P68B1DB1-Other1069"/>
              <w:jc w:val="center"/>
              <w:rPr>
                <w:noProof/>
                <w:lang w:val="de-DE"/>
              </w:rPr>
            </w:pPr>
            <w:r w:rsidRPr="00170422">
              <w:rPr>
                <w:noProof/>
                <w:lang w:val="de-DE"/>
              </w:rPr>
              <w:t>ENTFÄLLT.</w:t>
            </w:r>
          </w:p>
        </w:tc>
        <w:tc>
          <w:tcPr>
            <w:tcW w:w="703" w:type="dxa"/>
            <w:shd w:val="clear" w:color="auto" w:fill="C6EFCD"/>
            <w:vAlign w:val="center"/>
          </w:tcPr>
          <w:p w14:paraId="4654FE5B" w14:textId="4B13A397" w:rsidR="0057163C" w:rsidRPr="00170422" w:rsidRDefault="00F37BF9">
            <w:pPr>
              <w:pStyle w:val="P68B1DB1-Other1069"/>
              <w:jc w:val="center"/>
              <w:rPr>
                <w:noProof/>
                <w:lang w:val="de-DE"/>
              </w:rPr>
            </w:pPr>
            <w:r w:rsidRPr="00170422">
              <w:rPr>
                <w:noProof/>
                <w:lang w:val="de-DE"/>
              </w:rPr>
              <w:t>ENTFÄLLT.</w:t>
            </w:r>
          </w:p>
        </w:tc>
        <w:tc>
          <w:tcPr>
            <w:tcW w:w="994" w:type="dxa"/>
            <w:shd w:val="clear" w:color="auto" w:fill="C6EFCD"/>
            <w:vAlign w:val="center"/>
          </w:tcPr>
          <w:p w14:paraId="45AEB676" w14:textId="4B77B12B" w:rsidR="0057163C" w:rsidRPr="00170422" w:rsidRDefault="00F37BF9">
            <w:pPr>
              <w:pStyle w:val="P68B1DB1-Other1069"/>
              <w:jc w:val="center"/>
              <w:rPr>
                <w:rFonts w:cs="Arial"/>
                <w:noProof/>
                <w:lang w:val="de-DE"/>
              </w:rPr>
            </w:pPr>
            <w:r w:rsidRPr="00170422">
              <w:rPr>
                <w:noProof/>
                <w:lang w:val="de-DE"/>
              </w:rPr>
              <w:t>Q3</w:t>
            </w:r>
          </w:p>
        </w:tc>
        <w:tc>
          <w:tcPr>
            <w:tcW w:w="710" w:type="dxa"/>
            <w:shd w:val="clear" w:color="auto" w:fill="C6EFCD"/>
            <w:vAlign w:val="center"/>
          </w:tcPr>
          <w:p w14:paraId="5A9A98B1" w14:textId="49D4AC3E" w:rsidR="0057163C" w:rsidRPr="00170422" w:rsidRDefault="00F37BF9">
            <w:pPr>
              <w:pStyle w:val="P68B1DB1-Other1069"/>
              <w:jc w:val="center"/>
              <w:rPr>
                <w:rFonts w:cs="Arial"/>
                <w:noProof/>
                <w:lang w:val="de-DE"/>
              </w:rPr>
            </w:pPr>
            <w:r w:rsidRPr="00170422">
              <w:rPr>
                <w:noProof/>
                <w:lang w:val="de-DE"/>
              </w:rPr>
              <w:t>2023</w:t>
            </w:r>
          </w:p>
        </w:tc>
        <w:tc>
          <w:tcPr>
            <w:tcW w:w="3902" w:type="dxa"/>
            <w:shd w:val="clear" w:color="auto" w:fill="C6EFCD"/>
          </w:tcPr>
          <w:p w14:paraId="77E0B79B" w14:textId="2141E118" w:rsidR="0057163C" w:rsidRPr="00170422" w:rsidRDefault="00F37BF9">
            <w:pPr>
              <w:pStyle w:val="P68B1DB1-Other1069"/>
              <w:rPr>
                <w:rFonts w:cs="Arial"/>
                <w:noProof/>
                <w:lang w:val="de-DE"/>
              </w:rPr>
            </w:pPr>
            <w:r w:rsidRPr="00170422">
              <w:rPr>
                <w:noProof/>
                <w:lang w:val="de-DE"/>
              </w:rPr>
              <w:t>Mitteilung über die Vergabe aller öffentlichen Aufträge für neue Schulen, die für eine Finanzierung in Betracht kommen und von den lokalen Gebietskörperschaften formalisiert werden und einer Gesamtfläche von mindestens 400000 Quadratmetern entsprechen</w:t>
            </w:r>
          </w:p>
        </w:tc>
      </w:tr>
      <w:tr w:rsidR="0057163C" w:rsidRPr="00170422" w14:paraId="1FDC172A" w14:textId="77777777" w:rsidTr="00AC496B">
        <w:trPr>
          <w:cantSplit/>
          <w:trHeight w:val="300"/>
          <w:jc w:val="center"/>
        </w:trPr>
        <w:tc>
          <w:tcPr>
            <w:tcW w:w="1123" w:type="dxa"/>
            <w:shd w:val="clear" w:color="auto" w:fill="C6EFCD"/>
            <w:vAlign w:val="center"/>
          </w:tcPr>
          <w:p w14:paraId="67E04F5E" w14:textId="7504287D" w:rsidR="0057163C" w:rsidRPr="00170422" w:rsidRDefault="00F37BF9">
            <w:pPr>
              <w:pStyle w:val="P68B1DB1-Other1069"/>
              <w:jc w:val="center"/>
              <w:rPr>
                <w:rFonts w:cs="Arial"/>
                <w:noProof/>
                <w:lang w:val="de-DE"/>
              </w:rPr>
            </w:pPr>
            <w:r w:rsidRPr="00170422">
              <w:rPr>
                <w:noProof/>
                <w:lang w:val="de-DE"/>
              </w:rPr>
              <w:t>M2C3-6</w:t>
            </w:r>
          </w:p>
        </w:tc>
        <w:tc>
          <w:tcPr>
            <w:tcW w:w="1574" w:type="dxa"/>
            <w:shd w:val="clear" w:color="auto" w:fill="C6EFCD"/>
            <w:vAlign w:val="center"/>
          </w:tcPr>
          <w:p w14:paraId="2351A936" w14:textId="3B923F7E" w:rsidR="0057163C" w:rsidRPr="00170422" w:rsidRDefault="00F37BF9">
            <w:pPr>
              <w:pStyle w:val="P68B1DB1-Other1069"/>
              <w:jc w:val="center"/>
              <w:rPr>
                <w:rStyle w:val="Other1"/>
                <w:rFonts w:cs="Arial"/>
                <w:noProof/>
                <w:lang w:val="de-DE"/>
              </w:rPr>
            </w:pPr>
            <w:r w:rsidRPr="00170422">
              <w:rPr>
                <w:noProof/>
                <w:lang w:val="de-DE"/>
              </w:rPr>
              <w:t>Investition 1.1: Bau neuer Schulen durch Austausch von Gebäuden</w:t>
            </w:r>
          </w:p>
        </w:tc>
        <w:tc>
          <w:tcPr>
            <w:tcW w:w="1133" w:type="dxa"/>
            <w:shd w:val="clear" w:color="auto" w:fill="C6EFCD"/>
            <w:vAlign w:val="center"/>
          </w:tcPr>
          <w:p w14:paraId="0ED541DB" w14:textId="749A96D1" w:rsidR="0057163C" w:rsidRPr="00170422" w:rsidRDefault="00F37BF9">
            <w:pPr>
              <w:pStyle w:val="P68B1DB1-Other1069"/>
              <w:jc w:val="center"/>
              <w:rPr>
                <w:rFonts w:cs="Arial"/>
                <w:noProof/>
                <w:lang w:val="de-DE"/>
              </w:rPr>
            </w:pPr>
            <w:r w:rsidRPr="00170422">
              <w:rPr>
                <w:noProof/>
                <w:lang w:val="de-DE"/>
              </w:rPr>
              <w:t>Ziel</w:t>
            </w:r>
          </w:p>
        </w:tc>
        <w:tc>
          <w:tcPr>
            <w:tcW w:w="1843" w:type="dxa"/>
            <w:shd w:val="clear" w:color="auto" w:fill="C6EFCD"/>
            <w:vAlign w:val="center"/>
          </w:tcPr>
          <w:p w14:paraId="264C1BBE" w14:textId="6998CC28" w:rsidR="0057163C" w:rsidRPr="00170422" w:rsidRDefault="00F37BF9">
            <w:pPr>
              <w:pStyle w:val="P68B1DB1-Other1069"/>
              <w:jc w:val="center"/>
              <w:rPr>
                <w:rStyle w:val="Other1"/>
                <w:rFonts w:cs="Arial"/>
                <w:noProof/>
                <w:lang w:val="de-DE"/>
              </w:rPr>
            </w:pPr>
            <w:r w:rsidRPr="00170422">
              <w:rPr>
                <w:noProof/>
                <w:lang w:val="de-DE"/>
              </w:rPr>
              <w:t>Mindestens 166 neue Schulen werden durch den Austausch von Gebäuden gebaut.</w:t>
            </w:r>
          </w:p>
        </w:tc>
        <w:tc>
          <w:tcPr>
            <w:tcW w:w="1560" w:type="dxa"/>
            <w:shd w:val="clear" w:color="auto" w:fill="C6EFCD"/>
            <w:vAlign w:val="center"/>
          </w:tcPr>
          <w:p w14:paraId="50D10FCE" w14:textId="25DCFAAB" w:rsidR="0057163C" w:rsidRPr="00170422" w:rsidRDefault="00F37BF9">
            <w:pPr>
              <w:pStyle w:val="P68B1DB1-Other1069"/>
              <w:jc w:val="center"/>
              <w:rPr>
                <w:rFonts w:cs="Arial"/>
                <w:noProof/>
                <w:lang w:val="de-DE"/>
              </w:rPr>
            </w:pPr>
            <w:r w:rsidRPr="00170422">
              <w:rPr>
                <w:noProof/>
                <w:lang w:val="de-DE"/>
              </w:rPr>
              <w:t>ENTFÄLLT.</w:t>
            </w:r>
          </w:p>
        </w:tc>
        <w:tc>
          <w:tcPr>
            <w:tcW w:w="1256" w:type="dxa"/>
            <w:shd w:val="clear" w:color="auto" w:fill="C6EFCD"/>
            <w:vAlign w:val="center"/>
          </w:tcPr>
          <w:p w14:paraId="7F582C1F" w14:textId="29892752" w:rsidR="0057163C" w:rsidRPr="00170422" w:rsidRDefault="00F37BF9">
            <w:pPr>
              <w:pStyle w:val="P68B1DB1-Other1069"/>
              <w:jc w:val="center"/>
              <w:rPr>
                <w:rFonts w:cs="Arial"/>
                <w:noProof/>
                <w:lang w:val="de-DE"/>
              </w:rPr>
            </w:pPr>
            <w:r w:rsidRPr="00170422">
              <w:rPr>
                <w:noProof/>
                <w:lang w:val="de-DE"/>
              </w:rPr>
              <w:t>Anzahl</w:t>
            </w:r>
          </w:p>
        </w:tc>
        <w:tc>
          <w:tcPr>
            <w:tcW w:w="1157" w:type="dxa"/>
            <w:shd w:val="clear" w:color="auto" w:fill="C6EFCD"/>
            <w:vAlign w:val="center"/>
          </w:tcPr>
          <w:p w14:paraId="74A19CBE" w14:textId="0DB64D48" w:rsidR="0057163C" w:rsidRPr="00170422" w:rsidRDefault="00F37BF9">
            <w:pPr>
              <w:pStyle w:val="P68B1DB1-Other1069"/>
              <w:jc w:val="center"/>
              <w:rPr>
                <w:rFonts w:cs="Arial"/>
                <w:noProof/>
                <w:lang w:val="de-DE"/>
              </w:rPr>
            </w:pPr>
            <w:r w:rsidRPr="00170422">
              <w:rPr>
                <w:noProof/>
                <w:lang w:val="de-DE"/>
              </w:rPr>
              <w:t>0</w:t>
            </w:r>
          </w:p>
        </w:tc>
        <w:tc>
          <w:tcPr>
            <w:tcW w:w="703" w:type="dxa"/>
            <w:shd w:val="clear" w:color="auto" w:fill="C6EFCD"/>
            <w:vAlign w:val="center"/>
          </w:tcPr>
          <w:p w14:paraId="77070C0C" w14:textId="25BF8A7D" w:rsidR="0057163C" w:rsidRPr="00170422" w:rsidRDefault="00F37BF9">
            <w:pPr>
              <w:pStyle w:val="P68B1DB1-Other1069"/>
              <w:jc w:val="center"/>
              <w:rPr>
                <w:rFonts w:cs="Arial"/>
                <w:noProof/>
                <w:lang w:val="de-DE"/>
              </w:rPr>
            </w:pPr>
            <w:r w:rsidRPr="00170422">
              <w:rPr>
                <w:noProof/>
                <w:lang w:val="de-DE"/>
              </w:rPr>
              <w:t>166</w:t>
            </w:r>
          </w:p>
        </w:tc>
        <w:tc>
          <w:tcPr>
            <w:tcW w:w="994" w:type="dxa"/>
            <w:shd w:val="clear" w:color="auto" w:fill="C6EFCD"/>
            <w:vAlign w:val="center"/>
          </w:tcPr>
          <w:p w14:paraId="64661F45" w14:textId="4030B441" w:rsidR="0057163C" w:rsidRPr="00170422" w:rsidRDefault="00F37BF9">
            <w:pPr>
              <w:pStyle w:val="P68B1DB1-Other1069"/>
              <w:jc w:val="center"/>
              <w:rPr>
                <w:rFonts w:cs="Arial"/>
                <w:noProof/>
                <w:lang w:val="de-DE"/>
              </w:rPr>
            </w:pPr>
            <w:r w:rsidRPr="00170422">
              <w:rPr>
                <w:noProof/>
                <w:lang w:val="de-DE"/>
              </w:rPr>
              <w:t>Q1</w:t>
            </w:r>
          </w:p>
        </w:tc>
        <w:tc>
          <w:tcPr>
            <w:tcW w:w="710" w:type="dxa"/>
            <w:shd w:val="clear" w:color="auto" w:fill="C6EFCD"/>
            <w:vAlign w:val="center"/>
          </w:tcPr>
          <w:p w14:paraId="3CCA7E19" w14:textId="277FE919" w:rsidR="0057163C" w:rsidRPr="00170422" w:rsidRDefault="00F37BF9">
            <w:pPr>
              <w:pStyle w:val="P68B1DB1-Other1069"/>
              <w:jc w:val="center"/>
              <w:rPr>
                <w:rFonts w:cs="Arial"/>
                <w:noProof/>
                <w:lang w:val="de-DE"/>
              </w:rPr>
            </w:pPr>
            <w:r w:rsidRPr="00170422">
              <w:rPr>
                <w:noProof/>
                <w:lang w:val="de-DE"/>
              </w:rPr>
              <w:t>2026</w:t>
            </w:r>
          </w:p>
        </w:tc>
        <w:tc>
          <w:tcPr>
            <w:tcW w:w="3902" w:type="dxa"/>
            <w:shd w:val="clear" w:color="auto" w:fill="C6EFCD"/>
          </w:tcPr>
          <w:p w14:paraId="0E850D4A" w14:textId="77777777" w:rsidR="0057163C" w:rsidRPr="00170422" w:rsidRDefault="00F37BF9">
            <w:pPr>
              <w:pStyle w:val="P68B1DB1-Other1069"/>
              <w:rPr>
                <w:noProof/>
                <w:lang w:val="de-DE"/>
              </w:rPr>
            </w:pPr>
            <w:r w:rsidRPr="00170422">
              <w:rPr>
                <w:noProof/>
                <w:lang w:val="de-DE"/>
              </w:rPr>
              <w:t xml:space="preserve">Abschlussbescheinigungen für den Bau von mindestens 166 neuen Schulen </w:t>
            </w:r>
            <w:r w:rsidRPr="00170422">
              <w:rPr>
                <w:noProof/>
                <w:lang w:val="de-DE"/>
              </w:rPr>
              <w:t>durch Austausch von Gebäuden.</w:t>
            </w:r>
          </w:p>
          <w:p w14:paraId="527A07AD" w14:textId="77777777" w:rsidR="0057163C" w:rsidRPr="00170422" w:rsidRDefault="0057163C">
            <w:pPr>
              <w:pStyle w:val="Other10"/>
              <w:rPr>
                <w:rFonts w:ascii="Arial Narrow" w:hAnsi="Arial Narrow"/>
                <w:noProof/>
                <w:sz w:val="20"/>
                <w:szCs w:val="20"/>
                <w:lang w:val="de-DE"/>
              </w:rPr>
            </w:pPr>
          </w:p>
          <w:p w14:paraId="3F544B5D" w14:textId="2E85483F" w:rsidR="0057163C" w:rsidRPr="00170422" w:rsidRDefault="00F37BF9">
            <w:pPr>
              <w:pStyle w:val="P68B1DB1-Other1069"/>
              <w:rPr>
                <w:rFonts w:cs="Arial"/>
                <w:noProof/>
                <w:lang w:val="de-DE"/>
              </w:rPr>
            </w:pPr>
            <w:r w:rsidRPr="00170422">
              <w:rPr>
                <w:noProof/>
                <w:lang w:val="de-DE"/>
              </w:rPr>
              <w:t>Der Primärenergieverbrauch der 166 neuen Schulen muss mindestens 20 % niedriger sein als die Anforderung an Niedrigstenergiegebäude, wie aus der Ausstellung von Ausweisen über die Gesamtenergieeffizienz hervorgeht.</w:t>
            </w:r>
          </w:p>
        </w:tc>
      </w:tr>
      <w:tr w:rsidR="0057163C" w:rsidRPr="00170422" w14:paraId="12B61452" w14:textId="77777777" w:rsidTr="00AC496B">
        <w:trPr>
          <w:cantSplit/>
          <w:trHeight w:val="300"/>
          <w:jc w:val="center"/>
        </w:trPr>
        <w:tc>
          <w:tcPr>
            <w:tcW w:w="1123" w:type="dxa"/>
            <w:shd w:val="clear" w:color="auto" w:fill="C6EFCD"/>
            <w:vAlign w:val="center"/>
          </w:tcPr>
          <w:p w14:paraId="59715AB5" w14:textId="44CB2FC7" w:rsidR="0057163C" w:rsidRPr="00170422" w:rsidRDefault="00F37BF9">
            <w:pPr>
              <w:pStyle w:val="P68B1DB1-Other1069"/>
              <w:jc w:val="center"/>
              <w:rPr>
                <w:rFonts w:cs="Arial"/>
                <w:noProof/>
                <w:lang w:val="de-DE"/>
              </w:rPr>
            </w:pPr>
            <w:r w:rsidRPr="00170422">
              <w:rPr>
                <w:noProof/>
                <w:lang w:val="de-DE"/>
              </w:rPr>
              <w:t>M2C3-7</w:t>
            </w:r>
          </w:p>
        </w:tc>
        <w:tc>
          <w:tcPr>
            <w:tcW w:w="1574" w:type="dxa"/>
            <w:shd w:val="clear" w:color="auto" w:fill="C6EFCD"/>
            <w:vAlign w:val="center"/>
          </w:tcPr>
          <w:p w14:paraId="6CB1B149" w14:textId="41F4ABE0" w:rsidR="0057163C" w:rsidRPr="00170422" w:rsidRDefault="00F37BF9">
            <w:pPr>
              <w:pStyle w:val="P68B1DB1-Other1069"/>
              <w:jc w:val="center"/>
              <w:rPr>
                <w:rStyle w:val="Other1"/>
                <w:rFonts w:cs="Arial"/>
                <w:noProof/>
                <w:lang w:val="de-DE"/>
              </w:rPr>
            </w:pPr>
            <w:r w:rsidRPr="00170422">
              <w:rPr>
                <w:noProof/>
                <w:lang w:val="de-DE"/>
              </w:rPr>
              <w:t>Investition 1.2 – Bau von Gebäuden, Umschulung und Stärkung des Immobilienvermögens der Rechtspflege</w:t>
            </w:r>
          </w:p>
        </w:tc>
        <w:tc>
          <w:tcPr>
            <w:tcW w:w="1133" w:type="dxa"/>
            <w:shd w:val="clear" w:color="auto" w:fill="C6EFCD"/>
            <w:vAlign w:val="center"/>
          </w:tcPr>
          <w:p w14:paraId="77EB2E0F" w14:textId="62728E42" w:rsidR="0057163C" w:rsidRPr="00170422" w:rsidRDefault="00F37BF9">
            <w:pPr>
              <w:pStyle w:val="P68B1DB1-Other1069"/>
              <w:jc w:val="center"/>
              <w:rPr>
                <w:rFonts w:cs="Arial"/>
                <w:noProof/>
                <w:lang w:val="de-DE"/>
              </w:rPr>
            </w:pPr>
            <w:r w:rsidRPr="00170422">
              <w:rPr>
                <w:noProof/>
                <w:lang w:val="de-DE"/>
              </w:rPr>
              <w:t>Meilenstein</w:t>
            </w:r>
          </w:p>
        </w:tc>
        <w:tc>
          <w:tcPr>
            <w:tcW w:w="1843" w:type="dxa"/>
            <w:shd w:val="clear" w:color="auto" w:fill="C6EFCD"/>
            <w:vAlign w:val="center"/>
          </w:tcPr>
          <w:p w14:paraId="1452EF10" w14:textId="5FC86AAB" w:rsidR="0057163C" w:rsidRPr="00170422" w:rsidRDefault="00F37BF9">
            <w:pPr>
              <w:pStyle w:val="P68B1DB1-Other1069"/>
              <w:jc w:val="center"/>
              <w:rPr>
                <w:rStyle w:val="Other1"/>
                <w:rFonts w:cs="Arial"/>
                <w:noProof/>
                <w:lang w:val="de-DE"/>
              </w:rPr>
            </w:pPr>
            <w:r w:rsidRPr="00170422">
              <w:rPr>
                <w:noProof/>
                <w:lang w:val="de-DE"/>
              </w:rPr>
              <w:t xml:space="preserve">Die Vergabe aller öffentlichen Aufträge für den Bau neuer Gebäude, die Neuqualifizierung und die Stärkung des Immobilienvermögens der </w:t>
            </w:r>
            <w:r w:rsidRPr="00170422">
              <w:rPr>
                <w:noProof/>
                <w:lang w:val="de-DE"/>
              </w:rPr>
              <w:t>Rechtspflege wird vom öffentlichen Auftraggeber im Anschluss an eine öffentliche Ausschreibung unterzeichnet.</w:t>
            </w:r>
          </w:p>
        </w:tc>
        <w:tc>
          <w:tcPr>
            <w:tcW w:w="1560" w:type="dxa"/>
            <w:shd w:val="clear" w:color="auto" w:fill="C6EFCD"/>
            <w:vAlign w:val="center"/>
          </w:tcPr>
          <w:p w14:paraId="4CA9E4CC" w14:textId="26B10328" w:rsidR="0057163C" w:rsidRPr="00170422" w:rsidRDefault="00F37BF9">
            <w:pPr>
              <w:pStyle w:val="P68B1DB1-Other1069"/>
              <w:jc w:val="center"/>
              <w:rPr>
                <w:rFonts w:cs="Arial"/>
                <w:noProof/>
                <w:lang w:val="de-DE"/>
              </w:rPr>
            </w:pPr>
            <w:r w:rsidRPr="00170422">
              <w:rPr>
                <w:noProof/>
                <w:lang w:val="de-DE"/>
              </w:rPr>
              <w:t>Mitteilung über die Vergabe aller öffentlichen Aufträge im Rahmen eines öffentlichen Ausschreibungsverfahrens</w:t>
            </w:r>
          </w:p>
        </w:tc>
        <w:tc>
          <w:tcPr>
            <w:tcW w:w="1256" w:type="dxa"/>
            <w:shd w:val="clear" w:color="auto" w:fill="C6EFCD"/>
            <w:vAlign w:val="center"/>
          </w:tcPr>
          <w:p w14:paraId="2CBB317D" w14:textId="6FD2D19F" w:rsidR="0057163C" w:rsidRPr="00170422" w:rsidRDefault="00F37BF9">
            <w:pPr>
              <w:pStyle w:val="P68B1DB1-Other1069"/>
              <w:jc w:val="center"/>
              <w:rPr>
                <w:rFonts w:cs="Arial"/>
                <w:noProof/>
                <w:lang w:val="de-DE"/>
              </w:rPr>
            </w:pPr>
            <w:r w:rsidRPr="00170422">
              <w:rPr>
                <w:noProof/>
                <w:lang w:val="de-DE"/>
              </w:rPr>
              <w:t>ENTFÄLLT.</w:t>
            </w:r>
          </w:p>
        </w:tc>
        <w:tc>
          <w:tcPr>
            <w:tcW w:w="1157" w:type="dxa"/>
            <w:shd w:val="clear" w:color="auto" w:fill="C6EFCD"/>
            <w:vAlign w:val="center"/>
          </w:tcPr>
          <w:p w14:paraId="246657E9" w14:textId="05C0B488" w:rsidR="0057163C" w:rsidRPr="00170422" w:rsidRDefault="00F37BF9">
            <w:pPr>
              <w:pStyle w:val="P68B1DB1-Other1069"/>
              <w:jc w:val="center"/>
              <w:rPr>
                <w:rFonts w:cs="Arial"/>
                <w:noProof/>
                <w:lang w:val="de-DE"/>
              </w:rPr>
            </w:pPr>
            <w:r w:rsidRPr="00170422">
              <w:rPr>
                <w:noProof/>
                <w:lang w:val="de-DE"/>
              </w:rPr>
              <w:t>ENTFÄLLT.</w:t>
            </w:r>
          </w:p>
        </w:tc>
        <w:tc>
          <w:tcPr>
            <w:tcW w:w="703" w:type="dxa"/>
            <w:shd w:val="clear" w:color="auto" w:fill="C6EFCD"/>
            <w:vAlign w:val="center"/>
          </w:tcPr>
          <w:p w14:paraId="054754C6" w14:textId="4CDA6AF2" w:rsidR="0057163C" w:rsidRPr="00170422" w:rsidRDefault="00F37BF9">
            <w:pPr>
              <w:pStyle w:val="P68B1DB1-Other1069"/>
              <w:jc w:val="center"/>
              <w:rPr>
                <w:rFonts w:cs="Arial"/>
                <w:noProof/>
                <w:lang w:val="de-DE"/>
              </w:rPr>
            </w:pPr>
            <w:r w:rsidRPr="00170422">
              <w:rPr>
                <w:noProof/>
                <w:lang w:val="de-DE"/>
              </w:rPr>
              <w:t>ENTFÄLLT.</w:t>
            </w:r>
          </w:p>
        </w:tc>
        <w:tc>
          <w:tcPr>
            <w:tcW w:w="994" w:type="dxa"/>
            <w:shd w:val="clear" w:color="auto" w:fill="C6EFCD"/>
            <w:vAlign w:val="center"/>
          </w:tcPr>
          <w:p w14:paraId="1C8BDC37" w14:textId="72459FD3" w:rsidR="0057163C" w:rsidRPr="00170422" w:rsidRDefault="00F37BF9">
            <w:pPr>
              <w:pStyle w:val="P68B1DB1-Other1069"/>
              <w:jc w:val="center"/>
              <w:rPr>
                <w:rFonts w:cs="Arial"/>
                <w:noProof/>
                <w:lang w:val="de-DE"/>
              </w:rPr>
            </w:pPr>
            <w:r w:rsidRPr="00170422">
              <w:rPr>
                <w:noProof/>
                <w:lang w:val="de-DE"/>
              </w:rPr>
              <w:t>4. QUA</w:t>
            </w:r>
            <w:r w:rsidRPr="00170422">
              <w:rPr>
                <w:noProof/>
                <w:lang w:val="de-DE"/>
              </w:rPr>
              <w:t>RTAL</w:t>
            </w:r>
          </w:p>
        </w:tc>
        <w:tc>
          <w:tcPr>
            <w:tcW w:w="710" w:type="dxa"/>
            <w:shd w:val="clear" w:color="auto" w:fill="C6EFCD"/>
            <w:vAlign w:val="center"/>
          </w:tcPr>
          <w:p w14:paraId="3C8BEADE" w14:textId="741160A7" w:rsidR="0057163C" w:rsidRPr="00170422" w:rsidRDefault="00F37BF9">
            <w:pPr>
              <w:pStyle w:val="P68B1DB1-Other1069"/>
              <w:jc w:val="center"/>
              <w:rPr>
                <w:rFonts w:cs="Arial"/>
                <w:noProof/>
                <w:lang w:val="de-DE"/>
              </w:rPr>
            </w:pPr>
            <w:r w:rsidRPr="00170422">
              <w:rPr>
                <w:noProof/>
                <w:lang w:val="de-DE"/>
              </w:rPr>
              <w:t>2023</w:t>
            </w:r>
          </w:p>
        </w:tc>
        <w:tc>
          <w:tcPr>
            <w:tcW w:w="3902" w:type="dxa"/>
            <w:shd w:val="clear" w:color="auto" w:fill="C6EFCD"/>
          </w:tcPr>
          <w:p w14:paraId="7B80AE92" w14:textId="59B5E260" w:rsidR="0057163C" w:rsidRPr="00170422" w:rsidRDefault="00F37BF9">
            <w:pPr>
              <w:pStyle w:val="P68B1DB1-Other1069"/>
              <w:rPr>
                <w:rStyle w:val="Other1"/>
                <w:rFonts w:cs="Arial"/>
                <w:noProof/>
                <w:lang w:val="de-DE"/>
              </w:rPr>
            </w:pPr>
            <w:r w:rsidRPr="00170422">
              <w:rPr>
                <w:noProof/>
                <w:lang w:val="de-DE"/>
              </w:rPr>
              <w:t>Mitteilung über die Vergabe aller öffentlichen Aufträge über den Bau von Gebäuden, die Neuqualifizierung und die Stärkung des Immobilienvermögens der Rechtspflege.</w:t>
            </w:r>
          </w:p>
        </w:tc>
      </w:tr>
      <w:tr w:rsidR="0057163C" w:rsidRPr="00170422" w14:paraId="7DB75A60" w14:textId="77777777" w:rsidTr="00AC496B">
        <w:trPr>
          <w:cantSplit/>
          <w:trHeight w:val="300"/>
          <w:jc w:val="center"/>
        </w:trPr>
        <w:tc>
          <w:tcPr>
            <w:tcW w:w="1123" w:type="dxa"/>
            <w:shd w:val="clear" w:color="auto" w:fill="C6EFCD"/>
            <w:vAlign w:val="center"/>
          </w:tcPr>
          <w:p w14:paraId="6E365C3D" w14:textId="5E7AA3B9" w:rsidR="0057163C" w:rsidRPr="00170422" w:rsidRDefault="00F37BF9">
            <w:pPr>
              <w:pStyle w:val="P68B1DB1-Other1069"/>
              <w:jc w:val="center"/>
              <w:rPr>
                <w:rFonts w:cs="Arial"/>
                <w:noProof/>
                <w:lang w:val="de-DE"/>
              </w:rPr>
            </w:pPr>
            <w:r w:rsidRPr="00170422">
              <w:rPr>
                <w:noProof/>
                <w:lang w:val="de-DE"/>
              </w:rPr>
              <w:t>M2C3-8</w:t>
            </w:r>
          </w:p>
        </w:tc>
        <w:tc>
          <w:tcPr>
            <w:tcW w:w="1574" w:type="dxa"/>
            <w:shd w:val="clear" w:color="auto" w:fill="C6EFCD"/>
            <w:vAlign w:val="center"/>
          </w:tcPr>
          <w:p w14:paraId="367D70D2" w14:textId="21E7CCBF" w:rsidR="0057163C" w:rsidRPr="00170422" w:rsidRDefault="00F37BF9">
            <w:pPr>
              <w:pStyle w:val="P68B1DB1-Other1069"/>
              <w:jc w:val="center"/>
              <w:rPr>
                <w:rStyle w:val="Other1"/>
                <w:rFonts w:cs="Arial"/>
                <w:noProof/>
                <w:lang w:val="de-DE"/>
              </w:rPr>
            </w:pPr>
            <w:r w:rsidRPr="00170422">
              <w:rPr>
                <w:noProof/>
                <w:lang w:val="de-DE"/>
              </w:rPr>
              <w:t>Investition</w:t>
            </w:r>
            <w:r w:rsidRPr="00170422">
              <w:rPr>
                <w:noProof/>
                <w:lang w:val="de-DE"/>
              </w:rPr>
              <w:t xml:space="preserve"> 1.2 – Qualifizierung öffentlicher Immobilien, die ganz oder teilweise von der Rechtspflege genutzt werden</w:t>
            </w:r>
          </w:p>
        </w:tc>
        <w:tc>
          <w:tcPr>
            <w:tcW w:w="1133" w:type="dxa"/>
            <w:shd w:val="clear" w:color="auto" w:fill="C6EFCD"/>
            <w:vAlign w:val="center"/>
          </w:tcPr>
          <w:p w14:paraId="055DE80F" w14:textId="54A67B60" w:rsidR="0057163C" w:rsidRPr="00170422" w:rsidRDefault="00F37BF9">
            <w:pPr>
              <w:pStyle w:val="P68B1DB1-Other1069"/>
              <w:jc w:val="center"/>
              <w:rPr>
                <w:rStyle w:val="Other1"/>
                <w:rFonts w:cs="Arial"/>
                <w:noProof/>
                <w:lang w:val="de-DE"/>
              </w:rPr>
            </w:pPr>
            <w:r w:rsidRPr="00170422">
              <w:rPr>
                <w:noProof/>
                <w:lang w:val="de-DE"/>
              </w:rPr>
              <w:t>Ziel</w:t>
            </w:r>
          </w:p>
        </w:tc>
        <w:tc>
          <w:tcPr>
            <w:tcW w:w="1843" w:type="dxa"/>
            <w:shd w:val="clear" w:color="auto" w:fill="C6EFCD"/>
            <w:vAlign w:val="center"/>
          </w:tcPr>
          <w:p w14:paraId="7E9C2AA9" w14:textId="6269488E" w:rsidR="0057163C" w:rsidRPr="00170422" w:rsidRDefault="00F37BF9">
            <w:pPr>
              <w:pStyle w:val="P68B1DB1-Other1069"/>
              <w:jc w:val="center"/>
              <w:rPr>
                <w:rStyle w:val="Other1"/>
                <w:rFonts w:cs="Arial"/>
                <w:noProof/>
                <w:lang w:val="de-DE"/>
              </w:rPr>
            </w:pPr>
            <w:r w:rsidRPr="00170422">
              <w:rPr>
                <w:noProof/>
                <w:lang w:val="de-DE"/>
              </w:rPr>
              <w:t>Arbeiten im Umfang von mindestens 289000 Quadratmetern öffentlicher Immobilien</w:t>
            </w:r>
          </w:p>
        </w:tc>
        <w:tc>
          <w:tcPr>
            <w:tcW w:w="1560" w:type="dxa"/>
            <w:shd w:val="clear" w:color="auto" w:fill="C6EFCD"/>
            <w:vAlign w:val="center"/>
          </w:tcPr>
          <w:p w14:paraId="481DA3D5" w14:textId="242CD523" w:rsidR="0057163C" w:rsidRPr="00170422" w:rsidRDefault="00F37BF9">
            <w:pPr>
              <w:pStyle w:val="P68B1DB1-Other1069"/>
              <w:jc w:val="center"/>
              <w:rPr>
                <w:rStyle w:val="Other1"/>
                <w:rFonts w:cs="Arial"/>
                <w:noProof/>
                <w:lang w:val="de-DE"/>
              </w:rPr>
            </w:pPr>
            <w:r w:rsidRPr="00170422">
              <w:rPr>
                <w:noProof/>
                <w:lang w:val="de-DE"/>
              </w:rPr>
              <w:t>ENTFÄLLT.</w:t>
            </w:r>
          </w:p>
        </w:tc>
        <w:tc>
          <w:tcPr>
            <w:tcW w:w="1256" w:type="dxa"/>
            <w:shd w:val="clear" w:color="auto" w:fill="C6EFCD"/>
            <w:vAlign w:val="center"/>
          </w:tcPr>
          <w:p w14:paraId="342307C2" w14:textId="66F95FC7" w:rsidR="0057163C" w:rsidRPr="00170422" w:rsidRDefault="00F37BF9">
            <w:pPr>
              <w:pStyle w:val="P68B1DB1-Other1069"/>
              <w:jc w:val="center"/>
              <w:rPr>
                <w:noProof/>
                <w:lang w:val="de-DE"/>
              </w:rPr>
            </w:pPr>
            <w:r w:rsidRPr="00170422">
              <w:rPr>
                <w:noProof/>
                <w:lang w:val="de-DE"/>
              </w:rPr>
              <w:t>Anzahl</w:t>
            </w:r>
          </w:p>
        </w:tc>
        <w:tc>
          <w:tcPr>
            <w:tcW w:w="1157" w:type="dxa"/>
            <w:shd w:val="clear" w:color="auto" w:fill="C6EFCD"/>
            <w:vAlign w:val="center"/>
          </w:tcPr>
          <w:p w14:paraId="3EED6E1A" w14:textId="07DC3AC0" w:rsidR="0057163C" w:rsidRPr="00170422" w:rsidRDefault="00F37BF9">
            <w:pPr>
              <w:pStyle w:val="P68B1DB1-Other1069"/>
              <w:jc w:val="center"/>
              <w:rPr>
                <w:noProof/>
                <w:lang w:val="de-DE"/>
              </w:rPr>
            </w:pPr>
            <w:r w:rsidRPr="00170422">
              <w:rPr>
                <w:noProof/>
                <w:lang w:val="de-DE"/>
              </w:rPr>
              <w:t>0</w:t>
            </w:r>
          </w:p>
        </w:tc>
        <w:tc>
          <w:tcPr>
            <w:tcW w:w="703" w:type="dxa"/>
            <w:shd w:val="clear" w:color="auto" w:fill="C6EFCD"/>
            <w:vAlign w:val="center"/>
          </w:tcPr>
          <w:p w14:paraId="35A5A001" w14:textId="6CC7DB82" w:rsidR="0057163C" w:rsidRPr="00170422" w:rsidRDefault="00F37BF9">
            <w:pPr>
              <w:pStyle w:val="P68B1DB1-Other1069"/>
              <w:jc w:val="center"/>
              <w:rPr>
                <w:noProof/>
                <w:lang w:val="de-DE"/>
              </w:rPr>
            </w:pPr>
            <w:r w:rsidRPr="00170422">
              <w:rPr>
                <w:noProof/>
                <w:lang w:val="de-DE"/>
              </w:rPr>
              <w:t>289 000</w:t>
            </w:r>
          </w:p>
        </w:tc>
        <w:tc>
          <w:tcPr>
            <w:tcW w:w="994" w:type="dxa"/>
            <w:shd w:val="clear" w:color="auto" w:fill="C6EFCD"/>
            <w:vAlign w:val="center"/>
          </w:tcPr>
          <w:p w14:paraId="2DF827EC" w14:textId="2981C5A0" w:rsidR="0057163C" w:rsidRPr="00170422" w:rsidRDefault="00F37BF9">
            <w:pPr>
              <w:pStyle w:val="P68B1DB1-Other1069"/>
              <w:jc w:val="center"/>
              <w:rPr>
                <w:rFonts w:cs="Arial"/>
                <w:noProof/>
                <w:lang w:val="de-DE"/>
              </w:rPr>
            </w:pPr>
            <w:r w:rsidRPr="00170422">
              <w:rPr>
                <w:noProof/>
                <w:lang w:val="de-DE"/>
              </w:rPr>
              <w:t>Q1</w:t>
            </w:r>
          </w:p>
        </w:tc>
        <w:tc>
          <w:tcPr>
            <w:tcW w:w="710" w:type="dxa"/>
            <w:shd w:val="clear" w:color="auto" w:fill="C6EFCD"/>
            <w:vAlign w:val="center"/>
          </w:tcPr>
          <w:p w14:paraId="24204F3E" w14:textId="728746B1" w:rsidR="0057163C" w:rsidRPr="00170422" w:rsidRDefault="00F37BF9">
            <w:pPr>
              <w:pStyle w:val="P68B1DB1-Other1069"/>
              <w:jc w:val="center"/>
              <w:rPr>
                <w:rFonts w:cs="Arial"/>
                <w:noProof/>
                <w:lang w:val="de-DE"/>
              </w:rPr>
            </w:pPr>
            <w:r w:rsidRPr="00170422">
              <w:rPr>
                <w:noProof/>
                <w:lang w:val="de-DE"/>
              </w:rPr>
              <w:t>2026</w:t>
            </w:r>
          </w:p>
        </w:tc>
        <w:tc>
          <w:tcPr>
            <w:tcW w:w="3902" w:type="dxa"/>
            <w:shd w:val="clear" w:color="auto" w:fill="C6EFCD"/>
          </w:tcPr>
          <w:p w14:paraId="528970C0" w14:textId="798EA747" w:rsidR="0057163C" w:rsidRPr="00170422" w:rsidRDefault="00F37BF9">
            <w:pPr>
              <w:pStyle w:val="P68B1DB1-Other1069"/>
              <w:rPr>
                <w:rFonts w:cs="Arial"/>
                <w:noProof/>
                <w:lang w:val="de-DE"/>
              </w:rPr>
            </w:pPr>
            <w:r w:rsidRPr="00170422">
              <w:rPr>
                <w:noProof/>
                <w:lang w:val="de-DE"/>
              </w:rPr>
              <w:t xml:space="preserve">Bescheinigungen über den </w:t>
            </w:r>
            <w:r w:rsidRPr="00170422">
              <w:rPr>
                <w:noProof/>
                <w:lang w:val="de-DE"/>
              </w:rPr>
              <w:t>Abschluss von Arbeiten für mindestens 289000 Quadratmeter öffentliche Immobilien, die ganz oder teilweise von der Rechtspflege genutzt werden, werden ausgestellt.</w:t>
            </w:r>
          </w:p>
        </w:tc>
      </w:tr>
      <w:tr w:rsidR="0057163C" w:rsidRPr="00170422" w14:paraId="1D575B72" w14:textId="77777777" w:rsidTr="00AC496B">
        <w:trPr>
          <w:cantSplit/>
          <w:trHeight w:val="300"/>
          <w:jc w:val="center"/>
        </w:trPr>
        <w:tc>
          <w:tcPr>
            <w:tcW w:w="1123" w:type="dxa"/>
            <w:shd w:val="clear" w:color="auto" w:fill="C6EFCD"/>
            <w:vAlign w:val="center"/>
          </w:tcPr>
          <w:p w14:paraId="281AA1C3" w14:textId="0B527F29" w:rsidR="0057163C" w:rsidRPr="00170422" w:rsidRDefault="00F37BF9">
            <w:pPr>
              <w:pStyle w:val="P68B1DB1-Other1069"/>
              <w:jc w:val="center"/>
              <w:rPr>
                <w:rFonts w:cs="Arial"/>
                <w:noProof/>
                <w:lang w:val="de-DE"/>
              </w:rPr>
            </w:pPr>
            <w:r w:rsidRPr="00170422">
              <w:rPr>
                <w:noProof/>
                <w:lang w:val="de-DE"/>
              </w:rPr>
              <w:t>M2C3-9</w:t>
            </w:r>
          </w:p>
        </w:tc>
        <w:tc>
          <w:tcPr>
            <w:tcW w:w="1574" w:type="dxa"/>
            <w:shd w:val="clear" w:color="auto" w:fill="C6EFCD"/>
            <w:vAlign w:val="center"/>
          </w:tcPr>
          <w:p w14:paraId="20BC6D8D" w14:textId="76E4FF6A" w:rsidR="0057163C" w:rsidRPr="00170422" w:rsidRDefault="00F37BF9">
            <w:pPr>
              <w:pStyle w:val="P68B1DB1-Other1069"/>
              <w:jc w:val="center"/>
              <w:rPr>
                <w:rStyle w:val="Other1"/>
                <w:rFonts w:cs="Arial"/>
                <w:noProof/>
                <w:lang w:val="de-DE"/>
              </w:rPr>
            </w:pPr>
            <w:r w:rsidRPr="00170422">
              <w:rPr>
                <w:noProof/>
                <w:lang w:val="de-DE"/>
              </w:rPr>
              <w:t>Investition 3.1: Förderung effizienter Fernwärme</w:t>
            </w:r>
          </w:p>
        </w:tc>
        <w:tc>
          <w:tcPr>
            <w:tcW w:w="1133" w:type="dxa"/>
            <w:shd w:val="clear" w:color="auto" w:fill="C6EFCD"/>
            <w:vAlign w:val="center"/>
          </w:tcPr>
          <w:p w14:paraId="77C382CA" w14:textId="4A277633" w:rsidR="0057163C" w:rsidRPr="00170422" w:rsidRDefault="00F37BF9">
            <w:pPr>
              <w:pStyle w:val="P68B1DB1-Other1069"/>
              <w:jc w:val="center"/>
              <w:rPr>
                <w:rStyle w:val="Other1"/>
                <w:rFonts w:cs="Arial"/>
                <w:noProof/>
                <w:lang w:val="de-DE"/>
              </w:rPr>
            </w:pPr>
            <w:r w:rsidRPr="00170422">
              <w:rPr>
                <w:noProof/>
                <w:lang w:val="de-DE"/>
              </w:rPr>
              <w:t>Meilenstein</w:t>
            </w:r>
          </w:p>
        </w:tc>
        <w:tc>
          <w:tcPr>
            <w:tcW w:w="1843" w:type="dxa"/>
            <w:shd w:val="clear" w:color="auto" w:fill="C6EFCD"/>
            <w:vAlign w:val="center"/>
          </w:tcPr>
          <w:p w14:paraId="227D694C" w14:textId="66EE638F" w:rsidR="0057163C" w:rsidRPr="00170422" w:rsidRDefault="00F37BF9">
            <w:pPr>
              <w:pStyle w:val="P68B1DB1-Other1069"/>
              <w:jc w:val="center"/>
              <w:rPr>
                <w:rStyle w:val="Other1"/>
                <w:rFonts w:cs="Arial"/>
                <w:noProof/>
                <w:lang w:val="de-DE"/>
              </w:rPr>
            </w:pPr>
            <w:r w:rsidRPr="00170422">
              <w:rPr>
                <w:noProof/>
                <w:lang w:val="de-DE"/>
              </w:rPr>
              <w:t xml:space="preserve">Aufträge zur </w:t>
            </w:r>
            <w:r w:rsidRPr="00170422">
              <w:rPr>
                <w:noProof/>
                <w:lang w:val="de-DE"/>
              </w:rPr>
              <w:t>Verbesserung der Wärmenetze werden vom Ministerium für ökologischen Wandel nach einem öffentlichen Ausschreibungsverfahren vergeben.</w:t>
            </w:r>
          </w:p>
        </w:tc>
        <w:tc>
          <w:tcPr>
            <w:tcW w:w="1560" w:type="dxa"/>
            <w:shd w:val="clear" w:color="auto" w:fill="C6EFCD"/>
            <w:vAlign w:val="center"/>
          </w:tcPr>
          <w:p w14:paraId="403D45AD" w14:textId="626E4767" w:rsidR="0057163C" w:rsidRPr="00170422" w:rsidRDefault="00F37BF9">
            <w:pPr>
              <w:pStyle w:val="P68B1DB1-Other1069"/>
              <w:jc w:val="center"/>
              <w:rPr>
                <w:rStyle w:val="Other1"/>
                <w:rFonts w:cs="Arial"/>
                <w:noProof/>
                <w:lang w:val="de-DE"/>
              </w:rPr>
            </w:pPr>
            <w:r w:rsidRPr="00170422">
              <w:rPr>
                <w:noProof/>
                <w:lang w:val="de-DE"/>
              </w:rPr>
              <w:t>Mitteilung über die Vergabe aller öffentlichen Aufträge im Rahmen eines öffentlichen Ausschreibungsverfahrens</w:t>
            </w:r>
          </w:p>
        </w:tc>
        <w:tc>
          <w:tcPr>
            <w:tcW w:w="1256" w:type="dxa"/>
            <w:shd w:val="clear" w:color="auto" w:fill="C6EFCD"/>
            <w:vAlign w:val="center"/>
          </w:tcPr>
          <w:p w14:paraId="09A6D91D" w14:textId="3BB62E2F" w:rsidR="0057163C" w:rsidRPr="00170422" w:rsidRDefault="00F37BF9">
            <w:pPr>
              <w:pStyle w:val="P68B1DB1-Other1069"/>
              <w:jc w:val="center"/>
              <w:rPr>
                <w:noProof/>
                <w:lang w:val="de-DE"/>
              </w:rPr>
            </w:pPr>
            <w:r w:rsidRPr="00170422">
              <w:rPr>
                <w:noProof/>
                <w:lang w:val="de-DE"/>
              </w:rPr>
              <w:t>ENTFÄLLT.</w:t>
            </w:r>
          </w:p>
        </w:tc>
        <w:tc>
          <w:tcPr>
            <w:tcW w:w="1157" w:type="dxa"/>
            <w:shd w:val="clear" w:color="auto" w:fill="C6EFCD"/>
            <w:vAlign w:val="center"/>
          </w:tcPr>
          <w:p w14:paraId="60E3EA27" w14:textId="57168CE7" w:rsidR="0057163C" w:rsidRPr="00170422" w:rsidRDefault="00F37BF9">
            <w:pPr>
              <w:pStyle w:val="P68B1DB1-Other1069"/>
              <w:jc w:val="center"/>
              <w:rPr>
                <w:noProof/>
                <w:lang w:val="de-DE"/>
              </w:rPr>
            </w:pPr>
            <w:r w:rsidRPr="00170422">
              <w:rPr>
                <w:noProof/>
                <w:lang w:val="de-DE"/>
              </w:rPr>
              <w:t>ENT</w:t>
            </w:r>
            <w:r w:rsidRPr="00170422">
              <w:rPr>
                <w:noProof/>
                <w:lang w:val="de-DE"/>
              </w:rPr>
              <w:t>FÄLLT.</w:t>
            </w:r>
          </w:p>
        </w:tc>
        <w:tc>
          <w:tcPr>
            <w:tcW w:w="703" w:type="dxa"/>
            <w:shd w:val="clear" w:color="auto" w:fill="C6EFCD"/>
            <w:vAlign w:val="center"/>
          </w:tcPr>
          <w:p w14:paraId="229AB1FC" w14:textId="17284CDE" w:rsidR="0057163C" w:rsidRPr="00170422" w:rsidRDefault="00F37BF9">
            <w:pPr>
              <w:pStyle w:val="P68B1DB1-Other1069"/>
              <w:jc w:val="center"/>
              <w:rPr>
                <w:noProof/>
                <w:lang w:val="de-DE"/>
              </w:rPr>
            </w:pPr>
            <w:r w:rsidRPr="00170422">
              <w:rPr>
                <w:noProof/>
                <w:lang w:val="de-DE"/>
              </w:rPr>
              <w:t>ENTFÄLLT.</w:t>
            </w:r>
          </w:p>
        </w:tc>
        <w:tc>
          <w:tcPr>
            <w:tcW w:w="994" w:type="dxa"/>
            <w:shd w:val="clear" w:color="auto" w:fill="C6EFCD"/>
            <w:vAlign w:val="center"/>
          </w:tcPr>
          <w:p w14:paraId="23AAE5E4" w14:textId="0019970D" w:rsidR="0057163C" w:rsidRPr="00170422" w:rsidRDefault="00F37BF9">
            <w:pPr>
              <w:pStyle w:val="P68B1DB1-Other1069"/>
              <w:jc w:val="center"/>
              <w:rPr>
                <w:rFonts w:cs="Arial"/>
                <w:noProof/>
                <w:lang w:val="de-DE"/>
              </w:rPr>
            </w:pPr>
            <w:r w:rsidRPr="00170422">
              <w:rPr>
                <w:noProof/>
                <w:lang w:val="de-DE"/>
              </w:rPr>
              <w:t>4. QUARTAL</w:t>
            </w:r>
          </w:p>
        </w:tc>
        <w:tc>
          <w:tcPr>
            <w:tcW w:w="710" w:type="dxa"/>
            <w:shd w:val="clear" w:color="auto" w:fill="C6EFCD"/>
            <w:vAlign w:val="center"/>
          </w:tcPr>
          <w:p w14:paraId="6E423165" w14:textId="70C47C40" w:rsidR="0057163C" w:rsidRPr="00170422" w:rsidRDefault="00F37BF9">
            <w:pPr>
              <w:pStyle w:val="P68B1DB1-Other1069"/>
              <w:jc w:val="center"/>
              <w:rPr>
                <w:rFonts w:cs="Arial"/>
                <w:noProof/>
                <w:lang w:val="de-DE"/>
              </w:rPr>
            </w:pPr>
            <w:r w:rsidRPr="00170422">
              <w:rPr>
                <w:noProof/>
                <w:lang w:val="de-DE"/>
              </w:rPr>
              <w:t>2022</w:t>
            </w:r>
          </w:p>
        </w:tc>
        <w:tc>
          <w:tcPr>
            <w:tcW w:w="3902" w:type="dxa"/>
            <w:shd w:val="clear" w:color="auto" w:fill="C6EFCD"/>
          </w:tcPr>
          <w:p w14:paraId="0B6A92A1" w14:textId="77777777" w:rsidR="0057163C" w:rsidRPr="00170422" w:rsidRDefault="00F37BF9">
            <w:pPr>
              <w:pStyle w:val="P68B1DB1-Other1069"/>
              <w:rPr>
                <w:noProof/>
                <w:lang w:val="de-DE"/>
              </w:rPr>
            </w:pPr>
            <w:r w:rsidRPr="00170422">
              <w:rPr>
                <w:noProof/>
                <w:lang w:val="de-DE"/>
              </w:rPr>
              <w:t>Vergabe aller öffentlichen Aufträge für den Bau neuer Fernwärmenetze oder den Ausbau bestehender Fernwärmenetze, einschließlich der Anforderung, den Energieverbrauch zu senken.</w:t>
            </w:r>
          </w:p>
          <w:p w14:paraId="0241140F" w14:textId="77777777" w:rsidR="0057163C" w:rsidRPr="00170422" w:rsidRDefault="0057163C">
            <w:pPr>
              <w:pStyle w:val="Other10"/>
              <w:rPr>
                <w:rFonts w:ascii="Arial Narrow" w:hAnsi="Arial Narrow"/>
                <w:noProof/>
                <w:sz w:val="20"/>
                <w:szCs w:val="20"/>
                <w:lang w:val="de-DE"/>
              </w:rPr>
            </w:pPr>
          </w:p>
          <w:p w14:paraId="7C6DDA29" w14:textId="15AB4610" w:rsidR="0057163C" w:rsidRPr="00170422" w:rsidRDefault="00F37BF9">
            <w:pPr>
              <w:pStyle w:val="P68B1DB1-Other1071"/>
              <w:rPr>
                <w:rFonts w:cs="Arial"/>
                <w:noProof/>
                <w:szCs w:val="20"/>
                <w:lang w:val="de-DE"/>
              </w:rPr>
            </w:pPr>
            <w:r w:rsidRPr="00170422">
              <w:rPr>
                <w:noProof/>
                <w:lang w:val="de-DE"/>
              </w:rPr>
              <w:t>Vergabe der Aufträge an die im Rahmen der wet</w:t>
            </w:r>
            <w:r w:rsidRPr="00170422">
              <w:rPr>
                <w:noProof/>
                <w:lang w:val="de-DE"/>
              </w:rPr>
              <w:t>tbewerblichen Aufforderungen zur Einreichung von Vorschlägen ausgewählten Projekte im Einklang mit den technischen Leitlinien „Vermeidung erheblicher Beeinträchtigungen“ (2021/C58/01) durch Verwendung einer Ausschlussliste und der Anforderung der Einhaltun</w:t>
            </w:r>
            <w:r w:rsidRPr="00170422">
              <w:rPr>
                <w:noProof/>
                <w:lang w:val="de-DE"/>
              </w:rPr>
              <w:t>g der einschlägigen EU- und nationalen Umweltvorschriften.</w:t>
            </w:r>
          </w:p>
        </w:tc>
      </w:tr>
      <w:tr w:rsidR="0057163C" w:rsidRPr="00170422" w14:paraId="25DF86C3" w14:textId="77777777" w:rsidTr="00AC496B">
        <w:trPr>
          <w:cantSplit/>
          <w:trHeight w:val="300"/>
          <w:jc w:val="center"/>
        </w:trPr>
        <w:tc>
          <w:tcPr>
            <w:tcW w:w="1123" w:type="dxa"/>
            <w:shd w:val="clear" w:color="auto" w:fill="C6EFCD"/>
            <w:vAlign w:val="center"/>
          </w:tcPr>
          <w:p w14:paraId="537CEDF8" w14:textId="1D96E7D6" w:rsidR="0057163C" w:rsidRPr="00170422" w:rsidRDefault="00F37BF9">
            <w:pPr>
              <w:pStyle w:val="P68B1DB1-Other1069"/>
              <w:jc w:val="center"/>
              <w:rPr>
                <w:rFonts w:cs="Arial"/>
                <w:noProof/>
                <w:lang w:val="de-DE"/>
              </w:rPr>
            </w:pPr>
            <w:r w:rsidRPr="00170422">
              <w:rPr>
                <w:noProof/>
                <w:lang w:val="de-DE"/>
              </w:rPr>
              <w:t>M2C3-10</w:t>
            </w:r>
          </w:p>
        </w:tc>
        <w:tc>
          <w:tcPr>
            <w:tcW w:w="1574" w:type="dxa"/>
            <w:shd w:val="clear" w:color="auto" w:fill="C6EFCD"/>
            <w:vAlign w:val="center"/>
          </w:tcPr>
          <w:p w14:paraId="7AC22CD0" w14:textId="4148C93F" w:rsidR="0057163C" w:rsidRPr="00170422" w:rsidRDefault="00F37BF9">
            <w:pPr>
              <w:pStyle w:val="P68B1DB1-Other1069"/>
              <w:jc w:val="center"/>
              <w:rPr>
                <w:rStyle w:val="Other1"/>
                <w:rFonts w:cs="Arial"/>
                <w:noProof/>
                <w:lang w:val="de-DE"/>
              </w:rPr>
            </w:pPr>
            <w:r w:rsidRPr="00170422">
              <w:rPr>
                <w:noProof/>
                <w:lang w:val="de-DE"/>
              </w:rPr>
              <w:t>Investition 3.1: Förderung effizienter Fernwärme</w:t>
            </w:r>
          </w:p>
        </w:tc>
        <w:tc>
          <w:tcPr>
            <w:tcW w:w="1133" w:type="dxa"/>
            <w:shd w:val="clear" w:color="auto" w:fill="C6EFCD"/>
            <w:vAlign w:val="center"/>
          </w:tcPr>
          <w:p w14:paraId="063E3315" w14:textId="205D3AD3" w:rsidR="0057163C" w:rsidRPr="00170422" w:rsidRDefault="00F37BF9">
            <w:pPr>
              <w:pStyle w:val="P68B1DB1-Other1069"/>
              <w:jc w:val="center"/>
              <w:rPr>
                <w:rStyle w:val="Other1"/>
                <w:rFonts w:cs="Arial"/>
                <w:noProof/>
                <w:lang w:val="de-DE"/>
              </w:rPr>
            </w:pPr>
            <w:r w:rsidRPr="00170422">
              <w:rPr>
                <w:noProof/>
                <w:lang w:val="de-DE"/>
              </w:rPr>
              <w:t>Ziel</w:t>
            </w:r>
          </w:p>
        </w:tc>
        <w:tc>
          <w:tcPr>
            <w:tcW w:w="1843" w:type="dxa"/>
            <w:shd w:val="clear" w:color="auto" w:fill="C6EFCD"/>
            <w:vAlign w:val="center"/>
          </w:tcPr>
          <w:p w14:paraId="1B3A6880" w14:textId="33A66853" w:rsidR="0057163C" w:rsidRPr="00170422" w:rsidRDefault="00F37BF9">
            <w:pPr>
              <w:pStyle w:val="P68B1DB1-Other1069"/>
              <w:jc w:val="center"/>
              <w:rPr>
                <w:rStyle w:val="Other1"/>
                <w:rFonts w:cs="Arial"/>
                <w:noProof/>
                <w:lang w:val="de-DE"/>
              </w:rPr>
            </w:pPr>
            <w:r w:rsidRPr="00170422">
              <w:rPr>
                <w:noProof/>
                <w:lang w:val="de-DE"/>
              </w:rPr>
              <w:t>Bau oder Ausbau von Fernwärmenetzen zur Senkung des Energieverbrauchs</w:t>
            </w:r>
          </w:p>
        </w:tc>
        <w:tc>
          <w:tcPr>
            <w:tcW w:w="1560" w:type="dxa"/>
            <w:shd w:val="clear" w:color="auto" w:fill="C6EFCD"/>
            <w:vAlign w:val="center"/>
          </w:tcPr>
          <w:p w14:paraId="2AC7AEFF" w14:textId="11FD106C" w:rsidR="0057163C" w:rsidRPr="00170422" w:rsidRDefault="00F37BF9">
            <w:pPr>
              <w:pStyle w:val="P68B1DB1-Other1069"/>
              <w:jc w:val="center"/>
              <w:rPr>
                <w:rStyle w:val="Other1"/>
                <w:rFonts w:cs="Arial"/>
                <w:noProof/>
                <w:lang w:val="de-DE"/>
              </w:rPr>
            </w:pPr>
            <w:r w:rsidRPr="00170422">
              <w:rPr>
                <w:noProof/>
                <w:lang w:val="de-DE"/>
              </w:rPr>
              <w:t>ENTFÄLLT.</w:t>
            </w:r>
          </w:p>
        </w:tc>
        <w:tc>
          <w:tcPr>
            <w:tcW w:w="1256" w:type="dxa"/>
            <w:shd w:val="clear" w:color="auto" w:fill="C6EFCD"/>
            <w:vAlign w:val="center"/>
          </w:tcPr>
          <w:p w14:paraId="499144D4" w14:textId="346BB1AA" w:rsidR="0057163C" w:rsidRPr="00170422" w:rsidRDefault="00F37BF9">
            <w:pPr>
              <w:pStyle w:val="P68B1DB1-Other1069"/>
              <w:jc w:val="center"/>
              <w:rPr>
                <w:noProof/>
                <w:lang w:val="de-DE"/>
              </w:rPr>
            </w:pPr>
            <w:r w:rsidRPr="00170422">
              <w:rPr>
                <w:noProof/>
                <w:lang w:val="de-DE"/>
              </w:rPr>
              <w:t>KT RÖE</w:t>
            </w:r>
          </w:p>
        </w:tc>
        <w:tc>
          <w:tcPr>
            <w:tcW w:w="1157" w:type="dxa"/>
            <w:shd w:val="clear" w:color="auto" w:fill="C6EFCD"/>
            <w:vAlign w:val="center"/>
          </w:tcPr>
          <w:p w14:paraId="650A4AD6" w14:textId="228B839A" w:rsidR="0057163C" w:rsidRPr="00170422" w:rsidRDefault="00F37BF9">
            <w:pPr>
              <w:pStyle w:val="P68B1DB1-Other1069"/>
              <w:jc w:val="center"/>
              <w:rPr>
                <w:noProof/>
                <w:lang w:val="de-DE"/>
              </w:rPr>
            </w:pPr>
            <w:r w:rsidRPr="00170422">
              <w:rPr>
                <w:noProof/>
                <w:lang w:val="de-DE"/>
              </w:rPr>
              <w:t>0</w:t>
            </w:r>
          </w:p>
        </w:tc>
        <w:tc>
          <w:tcPr>
            <w:tcW w:w="703" w:type="dxa"/>
            <w:shd w:val="clear" w:color="auto" w:fill="C6EFCD"/>
            <w:vAlign w:val="center"/>
          </w:tcPr>
          <w:p w14:paraId="56E5DB11" w14:textId="7C115170" w:rsidR="0057163C" w:rsidRPr="00170422" w:rsidRDefault="00F37BF9">
            <w:pPr>
              <w:pStyle w:val="P68B1DB1-Other1069"/>
              <w:jc w:val="center"/>
              <w:rPr>
                <w:noProof/>
                <w:lang w:val="de-DE"/>
              </w:rPr>
            </w:pPr>
            <w:r w:rsidRPr="00170422">
              <w:rPr>
                <w:noProof/>
                <w:lang w:val="de-DE"/>
              </w:rPr>
              <w:t>30</w:t>
            </w:r>
          </w:p>
        </w:tc>
        <w:tc>
          <w:tcPr>
            <w:tcW w:w="994" w:type="dxa"/>
            <w:shd w:val="clear" w:color="auto" w:fill="C6EFCD"/>
            <w:vAlign w:val="center"/>
          </w:tcPr>
          <w:p w14:paraId="4B120786" w14:textId="25BB8651" w:rsidR="0057163C" w:rsidRPr="00170422" w:rsidRDefault="00F37BF9">
            <w:pPr>
              <w:pStyle w:val="P68B1DB1-Other1069"/>
              <w:jc w:val="center"/>
              <w:rPr>
                <w:rFonts w:cs="Arial"/>
                <w:noProof/>
                <w:lang w:val="de-DE"/>
              </w:rPr>
            </w:pPr>
            <w:r w:rsidRPr="00170422">
              <w:rPr>
                <w:noProof/>
                <w:lang w:val="de-DE"/>
              </w:rPr>
              <w:t>Q1</w:t>
            </w:r>
          </w:p>
        </w:tc>
        <w:tc>
          <w:tcPr>
            <w:tcW w:w="710" w:type="dxa"/>
            <w:shd w:val="clear" w:color="auto" w:fill="C6EFCD"/>
            <w:vAlign w:val="center"/>
          </w:tcPr>
          <w:p w14:paraId="0DB76C2F" w14:textId="261CA81F" w:rsidR="0057163C" w:rsidRPr="00170422" w:rsidRDefault="00F37BF9">
            <w:pPr>
              <w:pStyle w:val="P68B1DB1-Other1069"/>
              <w:jc w:val="center"/>
              <w:rPr>
                <w:rFonts w:cs="Arial"/>
                <w:noProof/>
                <w:lang w:val="de-DE"/>
              </w:rPr>
            </w:pPr>
            <w:r w:rsidRPr="00170422">
              <w:rPr>
                <w:noProof/>
                <w:lang w:val="de-DE"/>
              </w:rPr>
              <w:t>2026</w:t>
            </w:r>
          </w:p>
        </w:tc>
        <w:tc>
          <w:tcPr>
            <w:tcW w:w="3902" w:type="dxa"/>
            <w:shd w:val="clear" w:color="auto" w:fill="C6EFCD"/>
          </w:tcPr>
          <w:p w14:paraId="15132EB1" w14:textId="280E001F" w:rsidR="0057163C" w:rsidRPr="00170422" w:rsidRDefault="00F37BF9">
            <w:pPr>
              <w:pStyle w:val="P68B1DB1-Normal11"/>
              <w:spacing w:after="120"/>
              <w:rPr>
                <w:noProof/>
                <w:lang w:val="de-DE"/>
              </w:rPr>
            </w:pPr>
            <w:r w:rsidRPr="00170422">
              <w:rPr>
                <w:noProof/>
                <w:lang w:val="de-DE"/>
              </w:rPr>
              <w:t xml:space="preserve">Bescheinigungen über den Abschluss von Arbeiten zum Bau neuer Fernwärmenetze oder die Erweiterung bestehender Netze werden ausgestellt, um den Energieverbrauch um mindestens 30 KTOE pro Jahr zu senken, was durch einen Bericht eines unabhängigen Ingenieurs </w:t>
            </w:r>
            <w:r w:rsidRPr="00170422">
              <w:rPr>
                <w:noProof/>
                <w:lang w:val="de-DE"/>
              </w:rPr>
              <w:t xml:space="preserve">bescheinigt wird. </w:t>
            </w:r>
          </w:p>
          <w:p w14:paraId="53025886" w14:textId="4A96C512" w:rsidR="0057163C" w:rsidRPr="00170422" w:rsidRDefault="00F37BF9">
            <w:pPr>
              <w:pStyle w:val="P68B1DB1-Normal12"/>
              <w:spacing w:after="120"/>
              <w:rPr>
                <w:noProof/>
                <w:lang w:val="de-DE"/>
              </w:rPr>
            </w:pPr>
            <w:r w:rsidRPr="00170422">
              <w:rPr>
                <w:noProof/>
                <w:lang w:val="de-DE"/>
              </w:rPr>
              <w:t>Die Investition muss die in Fußnote 9 des Anhangs VI der Verordnung 241/2021/EU über die Aufbau- und Resilienzfazilität festgelegten Bedingungen erfüllen.</w:t>
            </w:r>
          </w:p>
          <w:p w14:paraId="50BE0C02" w14:textId="52F3755D" w:rsidR="0057163C" w:rsidRPr="00170422" w:rsidRDefault="00F37BF9">
            <w:pPr>
              <w:pStyle w:val="P68B1DB1-Other1069"/>
              <w:rPr>
                <w:rFonts w:cs="Arial"/>
                <w:noProof/>
                <w:lang w:val="de-DE"/>
              </w:rPr>
            </w:pPr>
            <w:r w:rsidRPr="00170422">
              <w:rPr>
                <w:noProof/>
                <w:lang w:val="de-DE"/>
              </w:rPr>
              <w:t>Um förderfähig zu sein, müssen Fernwärmesysteme Wärme aus erneuerbaren Quellen, Ab</w:t>
            </w:r>
            <w:r w:rsidRPr="00170422">
              <w:rPr>
                <w:noProof/>
                <w:lang w:val="de-DE"/>
              </w:rPr>
              <w:t>wärme oder KWK in Hochleistungsanlagen als Hauptwärmequelle nutzen. Fossile Brennstoffe dürfen ausschließlich als Reserve verwendet werden.</w:t>
            </w:r>
          </w:p>
        </w:tc>
      </w:tr>
    </w:tbl>
    <w:p w14:paraId="7A3CF2D4" w14:textId="77777777" w:rsidR="0057163C" w:rsidRPr="00170422" w:rsidRDefault="0057163C">
      <w:pPr>
        <w:tabs>
          <w:tab w:val="left" w:pos="4252"/>
        </w:tabs>
        <w:rPr>
          <w:i/>
          <w:noProof/>
          <w:lang w:val="de-DE"/>
        </w:rPr>
        <w:sectPr w:rsidR="0057163C" w:rsidRPr="00170422" w:rsidSect="006C4CAC">
          <w:headerReference w:type="even" r:id="rId114"/>
          <w:headerReference w:type="default" r:id="rId115"/>
          <w:footerReference w:type="even" r:id="rId116"/>
          <w:footerReference w:type="default" r:id="rId117"/>
          <w:headerReference w:type="first" r:id="rId118"/>
          <w:footerReference w:type="first" r:id="rId119"/>
          <w:pgSz w:w="16838" w:h="11906" w:orient="landscape"/>
          <w:pgMar w:top="1440" w:right="1440" w:bottom="1440" w:left="1440" w:header="708" w:footer="708" w:gutter="0"/>
          <w:cols w:space="708"/>
          <w:docGrid w:linePitch="360"/>
        </w:sectPr>
      </w:pPr>
    </w:p>
    <w:p w14:paraId="4AA1843D" w14:textId="77777777" w:rsidR="0057163C" w:rsidRPr="00170422" w:rsidRDefault="00F37BF9">
      <w:pPr>
        <w:pStyle w:val="P68B1DB1-Heading23"/>
        <w:ind w:left="1080"/>
        <w:rPr>
          <w:noProof/>
          <w:lang w:val="de-DE"/>
        </w:rPr>
      </w:pPr>
      <w:r w:rsidRPr="00170422">
        <w:rPr>
          <w:noProof/>
          <w:lang w:val="de-DE"/>
        </w:rPr>
        <w:t xml:space="preserve">G. MISSION 2 COMPONENT 4 – Territoriale Planung und </w:t>
      </w:r>
      <w:r w:rsidRPr="00170422">
        <w:rPr>
          <w:noProof/>
          <w:lang w:val="de-DE"/>
        </w:rPr>
        <w:t>Wasserressourcen</w:t>
      </w:r>
    </w:p>
    <w:p w14:paraId="315AFA18" w14:textId="77777777" w:rsidR="0057163C" w:rsidRPr="00170422" w:rsidRDefault="00F37BF9">
      <w:pPr>
        <w:pStyle w:val="P68B1DB1-Times1272"/>
        <w:rPr>
          <w:noProof/>
          <w:lang w:val="de-DE"/>
        </w:rPr>
      </w:pPr>
      <w:r w:rsidRPr="00170422">
        <w:rPr>
          <w:noProof/>
          <w:lang w:val="de-DE"/>
        </w:rPr>
        <w:t>Ziel dieser Komponente des italienischen Aufbau- und Resilienzplans ist es, eine Reihe lang anhaltender Schwachstellen im Zusammenhang mit der Bewirtschaftung der Wasserressourcen und hydrogeologischen Risiken in Italien zu beheben und ein</w:t>
      </w:r>
      <w:r w:rsidRPr="00170422">
        <w:rPr>
          <w:noProof/>
          <w:lang w:val="de-DE"/>
        </w:rPr>
        <w:t>e Reihe von Maßnahmen zur Erhaltung der biologischen Vielfalt zu ergreifen. Dies soll durch eine umfassende und ausgewogene Kombination von Reformen und Investitionen in diesen verschiedenen Dimensionen erreicht werden.</w:t>
      </w:r>
    </w:p>
    <w:p w14:paraId="0A392DB5" w14:textId="2AA29ED0" w:rsidR="0057163C" w:rsidRPr="00170422" w:rsidRDefault="00F37BF9">
      <w:pPr>
        <w:pStyle w:val="P68B1DB1-Times1272"/>
        <w:rPr>
          <w:noProof/>
          <w:lang w:val="de-DE"/>
        </w:rPr>
      </w:pPr>
      <w:r w:rsidRPr="00170422">
        <w:rPr>
          <w:noProof/>
          <w:lang w:val="de-DE"/>
        </w:rPr>
        <w:t>Was die Reformen betrifft, so schläg</w:t>
      </w:r>
      <w:r w:rsidRPr="00170422">
        <w:rPr>
          <w:noProof/>
          <w:lang w:val="de-DE"/>
        </w:rPr>
        <w:t>t die Komponente eine Reihe von Maßnahmen vor, die in erster Linie darauf abzielen, die Effizienz der Bewirtschaftung der Wasserressourcen zu verbessern, indem die Fragmentierung des Sektors verringert, eine angemessene Preispolitik eingeführt und eine Rei</w:t>
      </w:r>
      <w:r w:rsidRPr="00170422">
        <w:rPr>
          <w:noProof/>
          <w:lang w:val="de-DE"/>
        </w:rPr>
        <w:t>he von Anreizen zur Lösung der bestehenden Probleme im Zusammenhang mit der Abwasserbewirtschaftung gesetzt wird. Die Reformen dieser Komponente umfassen auch eine Reihe von Maßnahmen zur Vereinfachung der Konzeption und Durchführung von Projekten im Zusam</w:t>
      </w:r>
      <w:r w:rsidRPr="00170422">
        <w:rPr>
          <w:noProof/>
          <w:lang w:val="de-DE"/>
        </w:rPr>
        <w:t>menhang mit der Wasserinfrastruktur und der Bewirtschaftung und Verringerung hydrologischer Risiken.</w:t>
      </w:r>
    </w:p>
    <w:p w14:paraId="4E9B3B11" w14:textId="77777777" w:rsidR="0057163C" w:rsidRPr="00170422" w:rsidRDefault="00F37BF9">
      <w:pPr>
        <w:pStyle w:val="P68B1DB1-Times1272"/>
        <w:rPr>
          <w:noProof/>
          <w:lang w:val="de-DE"/>
        </w:rPr>
      </w:pPr>
      <w:r w:rsidRPr="00170422">
        <w:rPr>
          <w:noProof/>
          <w:lang w:val="de-DE"/>
        </w:rPr>
        <w:t>Die mit dieser Komponente verbundenen Investitionen sollen dazu beitragen, das hydrogeologische Risiko in Italien sowohl unter dem Gesichtspunkt der Präven</w:t>
      </w:r>
      <w:r w:rsidRPr="00170422">
        <w:rPr>
          <w:noProof/>
          <w:lang w:val="de-DE"/>
        </w:rPr>
        <w:t>tion als auch der Anpassung zu mindern und besser zu steuern, und darauf abzielen, die Wasserinfrastruktur widerstandsfähiger zu machen. Darüber hinaus zielen sie darauf ab, die Bewirtschaftung der Wasserressourcen durch eine bessere Abwasserbewirtschaftun</w:t>
      </w:r>
      <w:r w:rsidRPr="00170422">
        <w:rPr>
          <w:noProof/>
          <w:lang w:val="de-DE"/>
        </w:rPr>
        <w:t>g und eine erhebliche Verringerung von Wasserleckagen, auch im Agrarsektor, erheblich zu verbessern. Die Investitionen stärken die Digitalisierung dieser Sektoren und machen sie energieeffizienter und besser an den Klimawandel angepasst. Diese Komponente u</w:t>
      </w:r>
      <w:r w:rsidRPr="00170422">
        <w:rPr>
          <w:noProof/>
          <w:lang w:val="de-DE"/>
        </w:rPr>
        <w:t>mfasst auch eine Reihe von Maßnahmen zur Erhaltung der biologischen Vielfalt und der Grünflächen im Einklang mit der „Biodiversitätsstrategie der EU für 2030“.</w:t>
      </w:r>
    </w:p>
    <w:p w14:paraId="3435CB80" w14:textId="77777777" w:rsidR="0057163C" w:rsidRPr="00170422" w:rsidRDefault="00F37BF9">
      <w:pPr>
        <w:pStyle w:val="P68B1DB1-Times1273"/>
        <w:rPr>
          <w:rFonts w:ascii="Times New Roman" w:hAnsi="Times New Roman" w:cs="Times New Roman"/>
          <w:noProof/>
          <w:lang w:val="de-DE"/>
        </w:rPr>
      </w:pPr>
      <w:r w:rsidRPr="00170422">
        <w:rPr>
          <w:rFonts w:ascii="Times New Roman" w:hAnsi="Times New Roman" w:cs="Times New Roman"/>
          <w:noProof/>
          <w:lang w:val="de-DE"/>
        </w:rPr>
        <w:t>Diese Komponente entspricht einem Teil der</w:t>
      </w:r>
      <w:r w:rsidRPr="00170422">
        <w:rPr>
          <w:rFonts w:ascii="Arial Narrow" w:hAnsi="Arial Narrow"/>
          <w:noProof/>
          <w:color w:val="006100"/>
          <w:lang w:val="de-DE"/>
        </w:rPr>
        <w:t xml:space="preserve"> </w:t>
      </w:r>
      <w:r w:rsidRPr="00170422">
        <w:rPr>
          <w:rFonts w:ascii="Times New Roman" w:hAnsi="Times New Roman" w:cs="Times New Roman"/>
          <w:noProof/>
          <w:lang w:val="de-DE"/>
        </w:rPr>
        <w:t>länderspezifischen Empfehlung 3 aus dem Jahr 2020, in</w:t>
      </w:r>
      <w:r w:rsidRPr="00170422">
        <w:rPr>
          <w:rFonts w:ascii="Times New Roman" w:hAnsi="Times New Roman" w:cs="Times New Roman"/>
          <w:noProof/>
          <w:lang w:val="de-DE"/>
        </w:rPr>
        <w:t xml:space="preserve"> der der Rat der Europäischen Union Italien empfohlen hat, Maßnahmen zu ergreifen, um „Investitionen in den ökologischen und digitalen Wandel, insbesondere in die [...] Wasserbewirtschaftung, sowie in eine verstärkte digitale Infrastruktur zur Gewährleistu</w:t>
      </w:r>
      <w:r w:rsidRPr="00170422">
        <w:rPr>
          <w:rFonts w:ascii="Times New Roman" w:hAnsi="Times New Roman" w:cs="Times New Roman"/>
          <w:noProof/>
          <w:lang w:val="de-DE"/>
        </w:rPr>
        <w:t>ng der Erbringung wesentlicher Dienstleistungen zu konzentrieren“. Sie geht auch auf Teile der länderspezifischen Empfehlung 3 von 2019 ein („Schwerpunkt der investitionsbezogenen Wirtschaftspolitik auf die Qualität der Infrastruktur unter Berücksichtigung</w:t>
      </w:r>
      <w:r w:rsidRPr="00170422">
        <w:rPr>
          <w:rFonts w:ascii="Times New Roman" w:hAnsi="Times New Roman" w:cs="Times New Roman"/>
          <w:noProof/>
          <w:lang w:val="de-DE"/>
        </w:rPr>
        <w:t xml:space="preserve"> regionaler Unterschiede. [...] und Verbesserung der Wirksamkeit der öffentlichen Verwaltung [...] durch Beschleunigung der Digitalisierung und Steigerung der Effizienz und Qualität lokaler öffentlicher Dienstleistungen“).</w:t>
      </w:r>
    </w:p>
    <w:p w14:paraId="5F6A38E6" w14:textId="4EEF0492" w:rsidR="0057163C" w:rsidRPr="00170422" w:rsidRDefault="00F37BF9">
      <w:pPr>
        <w:pStyle w:val="P68B1DB1-Times1272"/>
        <w:rPr>
          <w:b/>
          <w:noProof/>
          <w:u w:val="single"/>
          <w:lang w:val="de-DE"/>
        </w:rPr>
      </w:pPr>
      <w:r w:rsidRPr="00170422">
        <w:rPr>
          <w:noProof/>
          <w:lang w:val="de-DE"/>
        </w:rPr>
        <w:t>Es wird davon ausgegangen, dass k</w:t>
      </w:r>
      <w:r w:rsidRPr="00170422">
        <w:rPr>
          <w:noProof/>
          <w:lang w:val="de-DE"/>
        </w:rPr>
        <w:t>eine Maßnahme in dieser Komponente die Umweltziele im Sinne von Artikel 17 der Verordnung (EU) 2020/852 erheblich beeinträchtigt, wobei die Beschreibung der Maßnahmen und der Risikominderungsschritte, die im Aufbau- und Resilienzplan im Einklang mit den Te</w:t>
      </w:r>
      <w:r w:rsidRPr="00170422">
        <w:rPr>
          <w:noProof/>
          <w:lang w:val="de-DE"/>
        </w:rPr>
        <w:t>chnischen Leitlinien für die Anwendung des Grundsatzes der „Vermeidung erheblicher Beeinträchtigungen“ (2021/C58/01) festgelegt sind, berücksichtigt wird.</w:t>
      </w:r>
    </w:p>
    <w:p w14:paraId="0915BAEE" w14:textId="77777777" w:rsidR="0057163C" w:rsidRPr="00170422" w:rsidRDefault="00F37BF9">
      <w:pPr>
        <w:pStyle w:val="P68B1DB1-Heading368"/>
        <w:ind w:left="850" w:hanging="850"/>
        <w:rPr>
          <w:noProof/>
          <w:lang w:val="de-DE"/>
        </w:rPr>
      </w:pPr>
      <w:r w:rsidRPr="00170422">
        <w:rPr>
          <w:noProof/>
          <w:lang w:val="de-DE"/>
        </w:rPr>
        <w:t xml:space="preserve">G.1. </w:t>
      </w:r>
      <w:r w:rsidRPr="00170422">
        <w:rPr>
          <w:noProof/>
          <w:lang w:val="de-DE"/>
        </w:rPr>
        <w:tab/>
        <w:t>Beschreibung der Reformen und Investitionen für nicht rückzahlbare finanzielle Unterstützung</w:t>
      </w:r>
    </w:p>
    <w:p w14:paraId="21B0FB1A" w14:textId="77777777" w:rsidR="0057163C" w:rsidRPr="00170422" w:rsidRDefault="00F37BF9">
      <w:pPr>
        <w:pStyle w:val="P68B1DB1-Times1274"/>
        <w:rPr>
          <w:bCs/>
          <w:noProof/>
          <w:lang w:val="de-DE"/>
        </w:rPr>
      </w:pPr>
      <w:r w:rsidRPr="00170422">
        <w:rPr>
          <w:noProof/>
          <w:lang w:val="de-DE"/>
        </w:rPr>
        <w:t>Re</w:t>
      </w:r>
      <w:r w:rsidRPr="00170422">
        <w:rPr>
          <w:noProof/>
          <w:lang w:val="de-DE"/>
        </w:rPr>
        <w:t xml:space="preserve">form 2.1 – Vereinfachung und Beschleunigung der Verfahren für die Durchführung von Interventionen gegen hydrogeologische Instabilität </w:t>
      </w:r>
    </w:p>
    <w:p w14:paraId="1D9DE898" w14:textId="77777777" w:rsidR="0057163C" w:rsidRPr="00170422" w:rsidRDefault="00F37BF9">
      <w:pPr>
        <w:pStyle w:val="P68B1DB1-Times1272"/>
        <w:rPr>
          <w:noProof/>
          <w:lang w:val="de-DE"/>
        </w:rPr>
      </w:pPr>
      <w:r w:rsidRPr="00170422">
        <w:rPr>
          <w:noProof/>
          <w:lang w:val="de-DE"/>
        </w:rPr>
        <w:t xml:space="preserve">Ziel dieser Reform ist es, die bestehenden Schwachstellen bei der Steuerung hydrogeologischer Risiken zu beseitigen, auf </w:t>
      </w:r>
      <w:r w:rsidRPr="00170422">
        <w:rPr>
          <w:noProof/>
          <w:lang w:val="de-DE"/>
        </w:rPr>
        <w:t>die der italienische Rechnungshof hingewiesen hat. Sie umfasst die Vereinfachung und Beschleunigung der Verfahren für die Durchführung von Projekten in diesem Bereich, einschließlich der Festlegung von Höchstfristen für jede Phase; Priorisierung von Interv</w:t>
      </w:r>
      <w:r w:rsidRPr="00170422">
        <w:rPr>
          <w:noProof/>
          <w:lang w:val="de-DE"/>
        </w:rPr>
        <w:t xml:space="preserve">entionen im Einklang mit der nationalen Risikobewertung und Artikel 6 des Beschlusses Nr. 1313/2013/EU, der Bewertung der Risikomanagementfähigkeiten und dem Grundsatz der Vermeidung erheblicher Beeinträchtigungen; Aufstellung eines Plans zur Erhöhung der </w:t>
      </w:r>
      <w:r w:rsidRPr="00170422">
        <w:rPr>
          <w:noProof/>
          <w:lang w:val="de-DE"/>
        </w:rPr>
        <w:t>Verwaltungskapazität der für die Durchführung dieser Projekte zuständigen Stellen und Stärkung der Koordinierung zwischen den verschiedenen beteiligten Regierungsebenen, unter anderem durch Straffung des Informationsflusses.</w:t>
      </w:r>
    </w:p>
    <w:p w14:paraId="4DF0C205" w14:textId="77777777" w:rsidR="0057163C" w:rsidRPr="00170422" w:rsidRDefault="00F37BF9">
      <w:pPr>
        <w:pStyle w:val="P68B1DB1-Times1274"/>
        <w:rPr>
          <w:bCs/>
          <w:noProof/>
          <w:lang w:val="de-DE"/>
        </w:rPr>
      </w:pPr>
      <w:r w:rsidRPr="00170422">
        <w:rPr>
          <w:noProof/>
          <w:lang w:val="de-DE"/>
        </w:rPr>
        <w:t>Reform 2 – Reform des Rechtsrah</w:t>
      </w:r>
      <w:r w:rsidRPr="00170422">
        <w:rPr>
          <w:noProof/>
          <w:lang w:val="de-DE"/>
        </w:rPr>
        <w:t xml:space="preserve">mens für eine bessere Bewirtschaftung und nachhaltige Wassernutzung </w:t>
      </w:r>
    </w:p>
    <w:p w14:paraId="28501980" w14:textId="77777777" w:rsidR="0057163C" w:rsidRPr="00170422" w:rsidRDefault="00F37BF9">
      <w:pPr>
        <w:pStyle w:val="P68B1DB1-Times1275"/>
        <w:rPr>
          <w:noProof/>
          <w:sz w:val="22"/>
          <w:szCs w:val="22"/>
          <w:lang w:val="de-DE"/>
        </w:rPr>
      </w:pPr>
      <w:r w:rsidRPr="00170422">
        <w:rPr>
          <w:noProof/>
          <w:lang w:val="de-DE"/>
        </w:rPr>
        <w:t xml:space="preserve">Ziel </w:t>
      </w:r>
      <w:r w:rsidRPr="00170422">
        <w:rPr>
          <w:noProof/>
          <w:sz w:val="22"/>
          <w:szCs w:val="22"/>
          <w:lang w:val="de-DE"/>
        </w:rPr>
        <w:t>dieser Reform ist es, die langfristigen Probleme im Wassersektor in Italien anzugehen, die in vielen laufenden Vertragsverletzungsverfahren wegen Nichteinhaltung der Richtlinie 91/27</w:t>
      </w:r>
      <w:r w:rsidRPr="00170422">
        <w:rPr>
          <w:noProof/>
          <w:sz w:val="22"/>
          <w:szCs w:val="22"/>
          <w:lang w:val="de-DE"/>
        </w:rPr>
        <w:t>1/EWG des Rates, in einer übermäßigen Fragmentierung des Sektors und in Ermangelung angemessener Anreize und Preispolitik zum Ausdruck kommen. Die geplanten Maßnahmen dürften die Fragmentierung des Sektors erheblich verringern, indem sie die Zahl der Betre</w:t>
      </w:r>
      <w:r w:rsidRPr="00170422">
        <w:rPr>
          <w:noProof/>
          <w:sz w:val="22"/>
          <w:szCs w:val="22"/>
          <w:lang w:val="de-DE"/>
        </w:rPr>
        <w:t xml:space="preserve">iber verringern und Größenvorteile fördern, Anreize zur Verringerung von Wasserleckagen und des übermäßigen Wasserverbrauchs durch die Landwirtschaft setzen und angemessene Preispolitiken für einen nachhaltigeren Wasserverbrauch festlegen. </w:t>
      </w:r>
    </w:p>
    <w:p w14:paraId="23EF1B9E" w14:textId="3BB35227" w:rsidR="0057163C" w:rsidRPr="00170422" w:rsidRDefault="00F37BF9">
      <w:pPr>
        <w:pStyle w:val="P68B1DB1-Times1272"/>
        <w:rPr>
          <w:noProof/>
          <w:lang w:val="de-DE"/>
        </w:rPr>
      </w:pPr>
      <w:r w:rsidRPr="00170422">
        <w:rPr>
          <w:noProof/>
          <w:lang w:val="de-DE"/>
        </w:rPr>
        <w:t>Mit den Regione</w:t>
      </w:r>
      <w:r w:rsidRPr="00170422">
        <w:rPr>
          <w:noProof/>
          <w:lang w:val="de-DE"/>
        </w:rPr>
        <w:t>n Kampanien, Kalabrien, Molise und Sizilien wird eine Reihe von Vereinbarungen unterzeichnet, um die Fragmentierung der Zahl der Betreiber, die Wasserdienstleistungen erbringen, zu verringern. In der Vereinbarung werden Ziele in Bezug auf die Einrichtung l</w:t>
      </w:r>
      <w:r w:rsidRPr="00170422">
        <w:rPr>
          <w:noProof/>
          <w:lang w:val="de-DE"/>
        </w:rPr>
        <w:t xml:space="preserve">okaler Regierungsstellen, die Verringerung der Zahl der Betreiber und die Erzielung von Größenvorteilen festgelegt, um innerhalb von zwei Jahren nach Unterzeichnung der Vereinbarung einen einzigen Betreiber für mindestens 40000 Einwohner zu bilden.  </w:t>
      </w:r>
    </w:p>
    <w:p w14:paraId="27034741" w14:textId="77777777" w:rsidR="0057163C" w:rsidRPr="00170422" w:rsidRDefault="00F37BF9">
      <w:pPr>
        <w:pStyle w:val="P68B1DB1-Times1274"/>
        <w:rPr>
          <w:bCs/>
          <w:noProof/>
          <w:lang w:val="de-DE"/>
        </w:rPr>
      </w:pPr>
      <w:r w:rsidRPr="00170422">
        <w:rPr>
          <w:noProof/>
          <w:lang w:val="de-DE"/>
        </w:rPr>
        <w:t>Refor</w:t>
      </w:r>
      <w:r w:rsidRPr="00170422">
        <w:rPr>
          <w:noProof/>
          <w:lang w:val="de-DE"/>
        </w:rPr>
        <w:t>m 4.2 „Maßnahmen zur Gewährleistung vollständiger Verwaltungskapazitäten für integrierte Wasserversorgungsdienste“</w:t>
      </w:r>
    </w:p>
    <w:p w14:paraId="43D14DB2" w14:textId="77777777" w:rsidR="0057163C" w:rsidRPr="00170422" w:rsidRDefault="00F37BF9">
      <w:pPr>
        <w:pStyle w:val="P68B1DB1-Times1272"/>
        <w:rPr>
          <w:bCs/>
          <w:noProof/>
          <w:lang w:val="de-DE"/>
        </w:rPr>
      </w:pPr>
      <w:r w:rsidRPr="00170422">
        <w:rPr>
          <w:noProof/>
          <w:lang w:val="de-DE"/>
        </w:rPr>
        <w:t>Ziel dieser Reform ist es, die großen Probleme bei der Bewirtschaftung der Wasserressourcen anzugehen und das System effizienter zu gestalten</w:t>
      </w:r>
      <w:r w:rsidRPr="00170422">
        <w:rPr>
          <w:noProof/>
          <w:lang w:val="de-DE"/>
        </w:rPr>
        <w:t xml:space="preserve">. </w:t>
      </w:r>
    </w:p>
    <w:p w14:paraId="1145EA3E" w14:textId="085CD28E" w:rsidR="0057163C" w:rsidRPr="00170422" w:rsidRDefault="00F37BF9">
      <w:pPr>
        <w:pStyle w:val="P68B1DB1-Times1272"/>
        <w:rPr>
          <w:b/>
          <w:noProof/>
          <w:lang w:val="de-DE"/>
        </w:rPr>
      </w:pPr>
      <w:r w:rsidRPr="00170422">
        <w:rPr>
          <w:noProof/>
          <w:lang w:val="de-DE"/>
        </w:rPr>
        <w:t>Das System dürfte die bestehende Fragmentierung der Zahl der Betreiber verringern, die derzeit eine effiziente Nutzung der Wasserressourcen in einigen Teilen des Landes behindert. Die Reform soll auch die richtigen Anreize für eine bessere Nutzung der W</w:t>
      </w:r>
      <w:r w:rsidRPr="00170422">
        <w:rPr>
          <w:noProof/>
          <w:lang w:val="de-DE"/>
        </w:rPr>
        <w:t>asserressourcen in der Landwirtschaft schaffen, ein Sanktionssystem für die illegale Wassergewinnung einführen und ein Preissystem einführen, das besser dem Verursacherprinzip entspricht und gleichzeitig den Ausbau bestehender Bewässerungssysteme verhinder</w:t>
      </w:r>
      <w:r w:rsidRPr="00170422">
        <w:rPr>
          <w:noProof/>
          <w:lang w:val="de-DE"/>
        </w:rPr>
        <w:t>t. Die Maßnahmen werden in Zusammenarbeit mit den Regionen erlassen, in denen die Bewirtschaftung der Wasserressourcen derzeit problematischer ist.</w:t>
      </w:r>
    </w:p>
    <w:p w14:paraId="4237FFB3" w14:textId="77777777" w:rsidR="0057163C" w:rsidRPr="00170422" w:rsidRDefault="00F37BF9">
      <w:pPr>
        <w:pStyle w:val="P68B1DB1-Times1274"/>
        <w:rPr>
          <w:bCs/>
          <w:noProof/>
          <w:lang w:val="de-DE"/>
        </w:rPr>
      </w:pPr>
      <w:r w:rsidRPr="00170422">
        <w:rPr>
          <w:noProof/>
          <w:lang w:val="de-DE"/>
        </w:rPr>
        <w:t>Investition 3.2 – Digitalisierung von Nationalparks und Meeresschutzgebieten</w:t>
      </w:r>
    </w:p>
    <w:p w14:paraId="17B46CDF" w14:textId="70B437EA" w:rsidR="0057163C" w:rsidRPr="00170422" w:rsidRDefault="00F37BF9">
      <w:pPr>
        <w:pStyle w:val="P68B1DB1-Times1272"/>
        <w:rPr>
          <w:noProof/>
          <w:lang w:val="de-DE"/>
        </w:rPr>
      </w:pPr>
      <w:r w:rsidRPr="00170422">
        <w:rPr>
          <w:noProof/>
          <w:lang w:val="de-DE"/>
        </w:rPr>
        <w:t>Ziel der Maßnahme ist die Moder</w:t>
      </w:r>
      <w:r w:rsidRPr="00170422">
        <w:rPr>
          <w:noProof/>
          <w:lang w:val="de-DE"/>
        </w:rPr>
        <w:t>nisierung und Digitalisierung der Verfahren im Zusammenhang mit dem Betrieb von Nationalparks und Meeresschutzgebieten. Die Maßnahme umfasst digitale Dienstleistungen für Besucher und Eingriffe in den Naturschutz und die Überwachung der natürlichen Ressour</w:t>
      </w:r>
      <w:r w:rsidRPr="00170422">
        <w:rPr>
          <w:noProof/>
          <w:lang w:val="de-DE"/>
        </w:rPr>
        <w:t>cen.</w:t>
      </w:r>
    </w:p>
    <w:p w14:paraId="54FA06DB" w14:textId="77777777" w:rsidR="0057163C" w:rsidRPr="00170422" w:rsidRDefault="00F37BF9">
      <w:pPr>
        <w:pStyle w:val="P68B1DB1-Times1274"/>
        <w:rPr>
          <w:bCs/>
          <w:noProof/>
          <w:lang w:val="de-DE"/>
        </w:rPr>
      </w:pPr>
      <w:r w:rsidRPr="00170422">
        <w:rPr>
          <w:noProof/>
          <w:lang w:val="de-DE"/>
        </w:rPr>
        <w:t>Investition 4.2. Verringerung der Verluste in den Wasserverteilungsnetzen, einschließlich Digitalisierung und Überwachung der Netze</w:t>
      </w:r>
    </w:p>
    <w:p w14:paraId="16E5E683" w14:textId="69636BAC" w:rsidR="0057163C" w:rsidRPr="00170422" w:rsidRDefault="00F37BF9">
      <w:pPr>
        <w:pStyle w:val="P68B1DB1-Normal7"/>
        <w:spacing w:before="120" w:after="120"/>
        <w:jc w:val="both"/>
        <w:rPr>
          <w:noProof/>
          <w:lang w:val="de-DE"/>
        </w:rPr>
      </w:pPr>
      <w:r w:rsidRPr="00170422">
        <w:rPr>
          <w:noProof/>
          <w:lang w:val="de-DE"/>
        </w:rPr>
        <w:t>Ziel dieser Investition ist es, den Trinkwasserverlust zu verringern. Die Maßnahme besteht in der Modernisierung und Mo</w:t>
      </w:r>
      <w:r w:rsidRPr="00170422">
        <w:rPr>
          <w:noProof/>
          <w:lang w:val="de-DE"/>
        </w:rPr>
        <w:t>dernisierung der Wasserverteilungsnetze durch fortschrittliche Kontrollsysteme, die die Überwachung der Hauptknoten und der sensibelsten Punkte des Netzes (Wasserbezirke) ermöglichen.</w:t>
      </w:r>
    </w:p>
    <w:p w14:paraId="79595230" w14:textId="77777777" w:rsidR="0057163C" w:rsidRPr="00170422" w:rsidRDefault="0057163C">
      <w:pPr>
        <w:pStyle w:val="Times12"/>
        <w:rPr>
          <w:rFonts w:ascii="Times New Roman" w:hAnsi="Times New Roman" w:cs="Times New Roman"/>
          <w:noProof/>
          <w:lang w:val="de-DE"/>
        </w:rPr>
        <w:sectPr w:rsidR="0057163C" w:rsidRPr="00170422" w:rsidSect="005F11B9">
          <w:headerReference w:type="default" r:id="rId120"/>
          <w:footerReference w:type="default" r:id="rId121"/>
          <w:pgSz w:w="11906" w:h="16838"/>
          <w:pgMar w:top="1440" w:right="1440" w:bottom="1440" w:left="1440" w:header="708" w:footer="708" w:gutter="0"/>
          <w:cols w:space="708"/>
          <w:docGrid w:linePitch="360"/>
        </w:sectPr>
      </w:pPr>
    </w:p>
    <w:p w14:paraId="72B2E54F"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G.2. </w:t>
      </w:r>
      <w:r w:rsidRPr="00170422">
        <w:rPr>
          <w:noProof/>
          <w:lang w:val="de-DE"/>
        </w:rPr>
        <w:t xml:space="preserve"> </w:t>
      </w:r>
      <w:r w:rsidRPr="00170422">
        <w:rPr>
          <w:b/>
          <w:noProof/>
          <w:u w:val="single"/>
          <w:lang w:val="de-DE"/>
        </w:rPr>
        <w:t>Etappenziele,</w:t>
      </w:r>
      <w:r w:rsidRPr="00170422">
        <w:rPr>
          <w:b/>
          <w:noProof/>
          <w:u w:val="single"/>
          <w:lang w:val="de-DE"/>
        </w:rPr>
        <w:t xml:space="preserve"> Zielwerte, Indikatoren und Zeitplan für die Überwachung und Durchführung der nicht rückzahlbaren finanziellen Unterstützung</w:t>
      </w:r>
    </w:p>
    <w:tbl>
      <w:tblPr>
        <w:tblW w:w="0" w:type="auto"/>
        <w:jc w:val="center"/>
        <w:tblLayout w:type="fixed"/>
        <w:tblLook w:val="04A0" w:firstRow="1" w:lastRow="0" w:firstColumn="1" w:lastColumn="0" w:noHBand="0" w:noVBand="1"/>
      </w:tblPr>
      <w:tblGrid>
        <w:gridCol w:w="1161"/>
        <w:gridCol w:w="1917"/>
        <w:gridCol w:w="1283"/>
        <w:gridCol w:w="1689"/>
        <w:gridCol w:w="1533"/>
        <w:gridCol w:w="1213"/>
        <w:gridCol w:w="1377"/>
        <w:gridCol w:w="850"/>
        <w:gridCol w:w="851"/>
        <w:gridCol w:w="708"/>
        <w:gridCol w:w="2204"/>
      </w:tblGrid>
      <w:tr w:rsidR="0057163C" w:rsidRPr="00170422" w14:paraId="17CF8AB2" w14:textId="77777777" w:rsidTr="00AC496B">
        <w:trPr>
          <w:trHeight w:val="927"/>
          <w:tblHeader/>
          <w:jc w:val="center"/>
        </w:trPr>
        <w:tc>
          <w:tcPr>
            <w:tcW w:w="1161"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413FADD" w14:textId="4617DBD5" w:rsidR="0057163C" w:rsidRPr="00170422" w:rsidRDefault="00F37BF9">
            <w:pPr>
              <w:pStyle w:val="P68B1DB1-Normal10"/>
              <w:jc w:val="center"/>
              <w:rPr>
                <w:noProof/>
                <w:szCs w:val="20"/>
                <w:lang w:val="de-DE"/>
              </w:rPr>
            </w:pPr>
            <w:r w:rsidRPr="00170422">
              <w:rPr>
                <w:noProof/>
                <w:lang w:val="de-DE"/>
              </w:rPr>
              <w:t>Laufende Nummer</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D8BD12B"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83"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7E43325" w14:textId="50B5234D" w:rsidR="0057163C" w:rsidRPr="00170422" w:rsidRDefault="00F37BF9">
            <w:pPr>
              <w:pStyle w:val="P68B1DB1-Normal10"/>
              <w:jc w:val="center"/>
              <w:rPr>
                <w:noProof/>
                <w:szCs w:val="20"/>
                <w:lang w:val="de-DE"/>
              </w:rPr>
            </w:pPr>
            <w:r w:rsidRPr="00170422">
              <w:rPr>
                <w:noProof/>
                <w:lang w:val="de-DE"/>
              </w:rPr>
              <w:t>Etappenziel/</w:t>
            </w:r>
            <w:r w:rsidR="00AC496B" w:rsidRPr="00170422">
              <w:rPr>
                <w:noProof/>
                <w:lang w:val="de-DE"/>
              </w:rPr>
              <w:br/>
            </w:r>
            <w:r w:rsidRPr="00170422">
              <w:rPr>
                <w:noProof/>
                <w:lang w:val="de-DE"/>
              </w:rPr>
              <w:t>Zielwert</w:t>
            </w:r>
          </w:p>
        </w:tc>
        <w:tc>
          <w:tcPr>
            <w:tcW w:w="1689" w:type="dxa"/>
            <w:vMerge w:val="restart"/>
            <w:tcBorders>
              <w:top w:val="single" w:sz="4" w:space="0" w:color="auto"/>
              <w:left w:val="nil"/>
              <w:bottom w:val="single" w:sz="4" w:space="0" w:color="auto"/>
              <w:right w:val="single" w:sz="4" w:space="0" w:color="auto"/>
            </w:tcBorders>
            <w:shd w:val="clear" w:color="auto" w:fill="BDD7EE"/>
            <w:vAlign w:val="center"/>
            <w:hideMark/>
          </w:tcPr>
          <w:p w14:paraId="288AC1B9" w14:textId="77777777" w:rsidR="0057163C" w:rsidRPr="00170422" w:rsidRDefault="00F37BF9">
            <w:pPr>
              <w:pStyle w:val="P68B1DB1-Normal10"/>
              <w:jc w:val="center"/>
              <w:rPr>
                <w:noProof/>
                <w:szCs w:val="20"/>
                <w:lang w:val="de-DE"/>
              </w:rPr>
            </w:pPr>
            <w:r w:rsidRPr="00170422">
              <w:rPr>
                <w:noProof/>
                <w:lang w:val="de-DE"/>
              </w:rPr>
              <w:t>Namen</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E36A148" w14:textId="1F60EB13"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AC496B"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t xml:space="preserve"> </w:t>
            </w:r>
            <w:r w:rsidRPr="00170422">
              <w:rPr>
                <w:noProof/>
                <w:lang w:val="de-DE"/>
              </w:rPr>
              <w:br/>
            </w:r>
            <w:r w:rsidRPr="00170422">
              <w:rPr>
                <w:rFonts w:ascii="Arial Narrow" w:hAnsi="Arial Narrow"/>
                <w:b/>
                <w:noProof/>
                <w:sz w:val="20"/>
                <w:lang w:val="de-DE"/>
              </w:rPr>
              <w:t>(für Etappenziele)</w:t>
            </w:r>
          </w:p>
        </w:tc>
        <w:tc>
          <w:tcPr>
            <w:tcW w:w="3440" w:type="dxa"/>
            <w:gridSpan w:val="3"/>
            <w:tcBorders>
              <w:top w:val="single" w:sz="4" w:space="0" w:color="auto"/>
              <w:left w:val="nil"/>
              <w:bottom w:val="single" w:sz="4" w:space="0" w:color="auto"/>
              <w:right w:val="single" w:sz="4" w:space="0" w:color="auto"/>
            </w:tcBorders>
            <w:shd w:val="clear" w:color="auto" w:fill="BDD7EE"/>
            <w:vAlign w:val="center"/>
            <w:hideMark/>
          </w:tcPr>
          <w:p w14:paraId="40D64782" w14:textId="00AA22C6"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t xml:space="preserve"> </w:t>
            </w:r>
            <w:r w:rsidRPr="00170422">
              <w:rPr>
                <w:noProof/>
                <w:lang w:val="de-DE"/>
              </w:rPr>
              <w:br/>
            </w:r>
            <w:r w:rsidRPr="00170422">
              <w:rPr>
                <w:rFonts w:ascii="Arial Narrow" w:hAnsi="Arial Narrow"/>
                <w:b/>
                <w:noProof/>
                <w:sz w:val="20"/>
                <w:lang w:val="de-DE"/>
              </w:rPr>
              <w:t>(für Ziele)</w:t>
            </w:r>
          </w:p>
        </w:tc>
        <w:tc>
          <w:tcPr>
            <w:tcW w:w="1559" w:type="dxa"/>
            <w:gridSpan w:val="2"/>
            <w:tcBorders>
              <w:top w:val="single" w:sz="4" w:space="0" w:color="auto"/>
              <w:left w:val="nil"/>
              <w:bottom w:val="single" w:sz="4" w:space="0" w:color="auto"/>
              <w:right w:val="single" w:sz="4" w:space="0" w:color="auto"/>
            </w:tcBorders>
            <w:shd w:val="clear" w:color="auto" w:fill="BDD7EE"/>
            <w:vAlign w:val="center"/>
            <w:hideMark/>
          </w:tcPr>
          <w:p w14:paraId="778225E8"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20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6F533C2"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3EDF3579" w14:textId="77777777" w:rsidTr="00AC496B">
        <w:trPr>
          <w:trHeight w:val="1013"/>
          <w:tblHeader/>
          <w:jc w:val="center"/>
        </w:trPr>
        <w:tc>
          <w:tcPr>
            <w:tcW w:w="1161" w:type="dxa"/>
            <w:vMerge/>
            <w:tcBorders>
              <w:top w:val="single" w:sz="4" w:space="0" w:color="auto"/>
              <w:left w:val="single" w:sz="4" w:space="0" w:color="auto"/>
              <w:bottom w:val="single" w:sz="4" w:space="0" w:color="auto"/>
              <w:right w:val="single" w:sz="4" w:space="0" w:color="auto"/>
            </w:tcBorders>
            <w:vAlign w:val="center"/>
            <w:hideMark/>
          </w:tcPr>
          <w:p w14:paraId="100893C0" w14:textId="77777777" w:rsidR="0057163C" w:rsidRPr="00170422" w:rsidRDefault="0057163C">
            <w:pPr>
              <w:jc w:val="center"/>
              <w:rPr>
                <w:rFonts w:ascii="Arial Narrow" w:hAnsi="Arial Narrow"/>
                <w:b/>
                <w:bCs/>
                <w:noProof/>
                <w:sz w:val="20"/>
                <w:szCs w:val="20"/>
                <w:lang w:val="de-DE"/>
              </w:rPr>
            </w:pPr>
          </w:p>
        </w:tc>
        <w:tc>
          <w:tcPr>
            <w:tcW w:w="1917" w:type="dxa"/>
            <w:vMerge/>
            <w:tcBorders>
              <w:left w:val="single" w:sz="4" w:space="0" w:color="auto"/>
              <w:right w:val="single" w:sz="4" w:space="0" w:color="auto"/>
            </w:tcBorders>
            <w:vAlign w:val="center"/>
            <w:hideMark/>
          </w:tcPr>
          <w:p w14:paraId="3418F25C" w14:textId="77777777" w:rsidR="0057163C" w:rsidRPr="00170422" w:rsidRDefault="0057163C">
            <w:pPr>
              <w:jc w:val="center"/>
              <w:rPr>
                <w:rFonts w:ascii="Arial Narrow" w:hAnsi="Arial Narrow"/>
                <w:b/>
                <w:bCs/>
                <w:noProof/>
                <w:sz w:val="20"/>
                <w:szCs w:val="20"/>
                <w:lang w:val="de-DE"/>
              </w:rPr>
            </w:pPr>
          </w:p>
        </w:tc>
        <w:tc>
          <w:tcPr>
            <w:tcW w:w="1283" w:type="dxa"/>
            <w:vMerge/>
            <w:tcBorders>
              <w:top w:val="single" w:sz="4" w:space="0" w:color="auto"/>
              <w:left w:val="single" w:sz="4" w:space="0" w:color="auto"/>
              <w:bottom w:val="single" w:sz="4" w:space="0" w:color="auto"/>
              <w:right w:val="single" w:sz="4" w:space="0" w:color="auto"/>
            </w:tcBorders>
            <w:vAlign w:val="center"/>
            <w:hideMark/>
          </w:tcPr>
          <w:p w14:paraId="3C168372" w14:textId="77777777" w:rsidR="0057163C" w:rsidRPr="00170422" w:rsidRDefault="0057163C">
            <w:pPr>
              <w:jc w:val="center"/>
              <w:rPr>
                <w:rFonts w:ascii="Arial Narrow" w:hAnsi="Arial Narrow"/>
                <w:b/>
                <w:bCs/>
                <w:noProof/>
                <w:sz w:val="20"/>
                <w:szCs w:val="20"/>
                <w:lang w:val="de-DE"/>
              </w:rPr>
            </w:pPr>
          </w:p>
        </w:tc>
        <w:tc>
          <w:tcPr>
            <w:tcW w:w="1689" w:type="dxa"/>
            <w:vMerge/>
            <w:tcBorders>
              <w:left w:val="single" w:sz="4" w:space="0" w:color="auto"/>
              <w:right w:val="single" w:sz="4" w:space="0" w:color="auto"/>
            </w:tcBorders>
            <w:vAlign w:val="center"/>
            <w:hideMark/>
          </w:tcPr>
          <w:p w14:paraId="46BD85F4" w14:textId="77777777" w:rsidR="0057163C" w:rsidRPr="00170422" w:rsidRDefault="0057163C">
            <w:pPr>
              <w:jc w:val="center"/>
              <w:rPr>
                <w:rFonts w:ascii="Arial Narrow" w:hAnsi="Arial Narrow"/>
                <w:b/>
                <w:bCs/>
                <w:noProof/>
                <w:sz w:val="20"/>
                <w:szCs w:val="20"/>
                <w:lang w:val="de-DE"/>
              </w:rPr>
            </w:pPr>
          </w:p>
        </w:tc>
        <w:tc>
          <w:tcPr>
            <w:tcW w:w="1533" w:type="dxa"/>
            <w:vMerge/>
            <w:tcBorders>
              <w:top w:val="single" w:sz="4" w:space="0" w:color="auto"/>
              <w:left w:val="single" w:sz="4" w:space="0" w:color="auto"/>
              <w:bottom w:val="single" w:sz="4" w:space="0" w:color="auto"/>
            </w:tcBorders>
            <w:vAlign w:val="center"/>
            <w:hideMark/>
          </w:tcPr>
          <w:p w14:paraId="6FC8BDCD" w14:textId="77777777" w:rsidR="0057163C" w:rsidRPr="00170422" w:rsidRDefault="0057163C">
            <w:pPr>
              <w:jc w:val="center"/>
              <w:rPr>
                <w:rFonts w:ascii="Arial Narrow" w:hAnsi="Arial Narrow"/>
                <w:b/>
                <w:bCs/>
                <w:noProof/>
                <w:sz w:val="20"/>
                <w:szCs w:val="20"/>
                <w:lang w:val="de-DE"/>
              </w:rPr>
            </w:pPr>
          </w:p>
        </w:tc>
        <w:tc>
          <w:tcPr>
            <w:tcW w:w="1213" w:type="dxa"/>
            <w:tcBorders>
              <w:top w:val="nil"/>
              <w:left w:val="single" w:sz="4" w:space="0" w:color="auto"/>
              <w:bottom w:val="single" w:sz="4" w:space="0" w:color="auto"/>
              <w:right w:val="single" w:sz="4" w:space="0" w:color="auto"/>
            </w:tcBorders>
            <w:shd w:val="clear" w:color="auto" w:fill="BDD7EE"/>
            <w:vAlign w:val="center"/>
            <w:hideMark/>
          </w:tcPr>
          <w:p w14:paraId="03264B5A" w14:textId="77777777" w:rsidR="0057163C" w:rsidRPr="00170422" w:rsidRDefault="00F37BF9">
            <w:pPr>
              <w:pStyle w:val="P68B1DB1-Normal10"/>
              <w:jc w:val="center"/>
              <w:rPr>
                <w:noProof/>
                <w:szCs w:val="20"/>
                <w:lang w:val="de-DE"/>
              </w:rPr>
            </w:pPr>
            <w:r w:rsidRPr="00170422">
              <w:rPr>
                <w:noProof/>
                <w:lang w:val="de-DE"/>
              </w:rPr>
              <w:t>Maßeinheit</w:t>
            </w:r>
          </w:p>
        </w:tc>
        <w:tc>
          <w:tcPr>
            <w:tcW w:w="1377" w:type="dxa"/>
            <w:tcBorders>
              <w:top w:val="nil"/>
              <w:left w:val="nil"/>
              <w:bottom w:val="single" w:sz="4" w:space="0" w:color="auto"/>
              <w:right w:val="single" w:sz="4" w:space="0" w:color="auto"/>
            </w:tcBorders>
            <w:shd w:val="clear" w:color="auto" w:fill="BDD7EE"/>
            <w:vAlign w:val="center"/>
            <w:hideMark/>
          </w:tcPr>
          <w:p w14:paraId="6F256222" w14:textId="77777777" w:rsidR="0057163C" w:rsidRPr="00170422" w:rsidRDefault="00F37BF9">
            <w:pPr>
              <w:pStyle w:val="P68B1DB1-Normal10"/>
              <w:jc w:val="center"/>
              <w:rPr>
                <w:noProof/>
                <w:szCs w:val="20"/>
                <w:lang w:val="de-DE"/>
              </w:rPr>
            </w:pPr>
            <w:r w:rsidRPr="00170422">
              <w:rPr>
                <w:noProof/>
                <w:lang w:val="de-DE"/>
              </w:rPr>
              <w:t>Ausgangslage</w:t>
            </w:r>
          </w:p>
        </w:tc>
        <w:tc>
          <w:tcPr>
            <w:tcW w:w="850" w:type="dxa"/>
            <w:tcBorders>
              <w:top w:val="nil"/>
              <w:left w:val="nil"/>
              <w:bottom w:val="single" w:sz="4" w:space="0" w:color="auto"/>
              <w:right w:val="single" w:sz="4" w:space="0" w:color="auto"/>
            </w:tcBorders>
            <w:shd w:val="clear" w:color="auto" w:fill="BDD7EE"/>
            <w:vAlign w:val="center"/>
            <w:hideMark/>
          </w:tcPr>
          <w:p w14:paraId="0832932A" w14:textId="77777777" w:rsidR="0057163C" w:rsidRPr="00170422" w:rsidRDefault="00F37BF9">
            <w:pPr>
              <w:pStyle w:val="P68B1DB1-Normal10"/>
              <w:jc w:val="center"/>
              <w:rPr>
                <w:noProof/>
                <w:szCs w:val="20"/>
                <w:lang w:val="de-DE"/>
              </w:rPr>
            </w:pPr>
            <w:r w:rsidRPr="00170422">
              <w:rPr>
                <w:noProof/>
                <w:lang w:val="de-DE"/>
              </w:rPr>
              <w:t>Ziel</w:t>
            </w:r>
          </w:p>
        </w:tc>
        <w:tc>
          <w:tcPr>
            <w:tcW w:w="851" w:type="dxa"/>
            <w:tcBorders>
              <w:top w:val="nil"/>
              <w:left w:val="nil"/>
              <w:bottom w:val="single" w:sz="4" w:space="0" w:color="auto"/>
              <w:right w:val="single" w:sz="4" w:space="0" w:color="auto"/>
            </w:tcBorders>
            <w:shd w:val="clear" w:color="auto" w:fill="BDD7EE"/>
            <w:vAlign w:val="center"/>
            <w:hideMark/>
          </w:tcPr>
          <w:p w14:paraId="17447087" w14:textId="77777777" w:rsidR="0057163C" w:rsidRPr="00170422" w:rsidRDefault="00F37BF9">
            <w:pPr>
              <w:pStyle w:val="P68B1DB1-Normal10"/>
              <w:jc w:val="center"/>
              <w:rPr>
                <w:noProof/>
                <w:szCs w:val="20"/>
                <w:lang w:val="de-DE"/>
              </w:rPr>
            </w:pPr>
            <w:r w:rsidRPr="00170422">
              <w:rPr>
                <w:noProof/>
                <w:lang w:val="de-DE"/>
              </w:rPr>
              <w:t>Viertel</w:t>
            </w:r>
          </w:p>
        </w:tc>
        <w:tc>
          <w:tcPr>
            <w:tcW w:w="708" w:type="dxa"/>
            <w:tcBorders>
              <w:top w:val="nil"/>
              <w:left w:val="nil"/>
              <w:bottom w:val="single" w:sz="4" w:space="0" w:color="auto"/>
              <w:right w:val="single" w:sz="4" w:space="0" w:color="auto"/>
            </w:tcBorders>
            <w:shd w:val="clear" w:color="auto" w:fill="BDD7EE"/>
            <w:vAlign w:val="center"/>
            <w:hideMark/>
          </w:tcPr>
          <w:p w14:paraId="379D9C59" w14:textId="77777777" w:rsidR="0057163C" w:rsidRPr="00170422" w:rsidRDefault="00F37BF9">
            <w:pPr>
              <w:pStyle w:val="P68B1DB1-Normal10"/>
              <w:jc w:val="center"/>
              <w:rPr>
                <w:noProof/>
                <w:szCs w:val="20"/>
                <w:lang w:val="de-DE"/>
              </w:rPr>
            </w:pPr>
            <w:r w:rsidRPr="00170422">
              <w:rPr>
                <w:noProof/>
                <w:lang w:val="de-DE"/>
              </w:rPr>
              <w:t>Jahre</w:t>
            </w:r>
          </w:p>
        </w:tc>
        <w:tc>
          <w:tcPr>
            <w:tcW w:w="2204" w:type="dxa"/>
            <w:vMerge/>
            <w:tcBorders>
              <w:top w:val="single" w:sz="4" w:space="0" w:color="auto"/>
              <w:bottom w:val="single" w:sz="4" w:space="0" w:color="auto"/>
              <w:right w:val="single" w:sz="4" w:space="0" w:color="auto"/>
            </w:tcBorders>
            <w:vAlign w:val="center"/>
            <w:hideMark/>
          </w:tcPr>
          <w:p w14:paraId="3483C9BD" w14:textId="77777777" w:rsidR="0057163C" w:rsidRPr="00170422" w:rsidRDefault="0057163C">
            <w:pPr>
              <w:rPr>
                <w:rFonts w:ascii="Arial Narrow" w:hAnsi="Arial Narrow"/>
                <w:b/>
                <w:bCs/>
                <w:noProof/>
                <w:sz w:val="20"/>
                <w:szCs w:val="20"/>
                <w:lang w:val="de-DE"/>
              </w:rPr>
            </w:pPr>
          </w:p>
        </w:tc>
      </w:tr>
      <w:tr w:rsidR="0057163C" w:rsidRPr="00170422" w14:paraId="6279EAA0" w14:textId="77777777" w:rsidTr="00AC496B">
        <w:trPr>
          <w:trHeight w:val="170"/>
          <w:jc w:val="center"/>
        </w:trPr>
        <w:tc>
          <w:tcPr>
            <w:tcW w:w="116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4132652" w14:textId="77777777" w:rsidR="0057163C" w:rsidRPr="00170422" w:rsidRDefault="00F37BF9">
            <w:pPr>
              <w:pStyle w:val="P68B1DB1-Normal11"/>
              <w:spacing w:line="276" w:lineRule="auto"/>
              <w:jc w:val="center"/>
              <w:rPr>
                <w:noProof/>
                <w:szCs w:val="20"/>
                <w:lang w:val="de-DE"/>
              </w:rPr>
            </w:pPr>
            <w:r w:rsidRPr="00170422">
              <w:rPr>
                <w:noProof/>
                <w:lang w:val="de-DE"/>
              </w:rPr>
              <w:t>M2C4-1</w:t>
            </w:r>
          </w:p>
        </w:tc>
        <w:tc>
          <w:tcPr>
            <w:tcW w:w="1917" w:type="dxa"/>
            <w:tcBorders>
              <w:top w:val="single" w:sz="4" w:space="0" w:color="auto"/>
              <w:left w:val="nil"/>
              <w:bottom w:val="single" w:sz="4" w:space="0" w:color="auto"/>
              <w:right w:val="single" w:sz="4" w:space="0" w:color="auto"/>
            </w:tcBorders>
            <w:shd w:val="clear" w:color="auto" w:fill="C6EFCE"/>
            <w:noWrap/>
            <w:vAlign w:val="center"/>
            <w:hideMark/>
          </w:tcPr>
          <w:p w14:paraId="3DB1D694" w14:textId="77777777" w:rsidR="0057163C" w:rsidRPr="00170422" w:rsidRDefault="00F37BF9">
            <w:pPr>
              <w:pStyle w:val="P68B1DB1-Normal11"/>
              <w:spacing w:line="276" w:lineRule="auto"/>
              <w:jc w:val="center"/>
              <w:rPr>
                <w:noProof/>
                <w:szCs w:val="20"/>
                <w:lang w:val="de-DE"/>
              </w:rPr>
            </w:pPr>
            <w:r w:rsidRPr="00170422">
              <w:rPr>
                <w:noProof/>
                <w:lang w:val="de-DE"/>
              </w:rPr>
              <w:t>Reform 2.1. Vereinfachung und Beschleunigung der Verfahren für die Durchführung von Interventionen gegen hydrogeologische Instabilität</w:t>
            </w:r>
          </w:p>
        </w:tc>
        <w:tc>
          <w:tcPr>
            <w:tcW w:w="1283" w:type="dxa"/>
            <w:tcBorders>
              <w:top w:val="single" w:sz="4" w:space="0" w:color="auto"/>
              <w:left w:val="nil"/>
              <w:bottom w:val="single" w:sz="4" w:space="0" w:color="auto"/>
              <w:right w:val="single" w:sz="4" w:space="0" w:color="auto"/>
            </w:tcBorders>
            <w:shd w:val="clear" w:color="auto" w:fill="C6EFCE"/>
            <w:noWrap/>
            <w:vAlign w:val="center"/>
            <w:hideMark/>
          </w:tcPr>
          <w:p w14:paraId="6A81CDD8"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689" w:type="dxa"/>
            <w:tcBorders>
              <w:top w:val="single" w:sz="4" w:space="0" w:color="auto"/>
              <w:left w:val="nil"/>
              <w:bottom w:val="single" w:sz="4" w:space="0" w:color="auto"/>
              <w:right w:val="single" w:sz="4" w:space="0" w:color="auto"/>
            </w:tcBorders>
            <w:shd w:val="clear" w:color="auto" w:fill="C6EFCE"/>
            <w:noWrap/>
            <w:vAlign w:val="center"/>
            <w:hideMark/>
          </w:tcPr>
          <w:p w14:paraId="10C2CEC2" w14:textId="77777777" w:rsidR="0057163C" w:rsidRPr="00170422" w:rsidRDefault="00F37BF9">
            <w:pPr>
              <w:pStyle w:val="P68B1DB1-Normal11"/>
              <w:spacing w:line="276" w:lineRule="auto"/>
              <w:jc w:val="center"/>
              <w:rPr>
                <w:noProof/>
                <w:szCs w:val="20"/>
                <w:lang w:val="de-DE"/>
              </w:rPr>
            </w:pPr>
            <w:r w:rsidRPr="00170422">
              <w:rPr>
                <w:noProof/>
                <w:lang w:val="de-DE"/>
              </w:rPr>
              <w:t>Inkrafttreten der Vereinfachung des Rechtsrahmens für ein besseres Mana</w:t>
            </w:r>
            <w:r w:rsidRPr="00170422">
              <w:rPr>
                <w:noProof/>
                <w:lang w:val="de-DE"/>
              </w:rPr>
              <w:t>gement hydrologischer Risiken</w:t>
            </w:r>
          </w:p>
        </w:tc>
        <w:tc>
          <w:tcPr>
            <w:tcW w:w="1533" w:type="dxa"/>
            <w:tcBorders>
              <w:top w:val="single" w:sz="4" w:space="0" w:color="auto"/>
              <w:left w:val="nil"/>
              <w:bottom w:val="single" w:sz="4" w:space="0" w:color="auto"/>
              <w:right w:val="single" w:sz="4" w:space="0" w:color="auto"/>
            </w:tcBorders>
            <w:shd w:val="clear" w:color="auto" w:fill="C6EFCE"/>
            <w:noWrap/>
            <w:vAlign w:val="center"/>
            <w:hideMark/>
          </w:tcPr>
          <w:p w14:paraId="1C82A28C" w14:textId="77777777" w:rsidR="0057163C" w:rsidRPr="00170422" w:rsidRDefault="00F37BF9">
            <w:pPr>
              <w:pStyle w:val="P68B1DB1-Normal11"/>
              <w:spacing w:line="276" w:lineRule="auto"/>
              <w:jc w:val="center"/>
              <w:rPr>
                <w:noProof/>
                <w:szCs w:val="20"/>
                <w:lang w:val="de-DE"/>
              </w:rPr>
            </w:pPr>
            <w:r w:rsidRPr="00170422">
              <w:rPr>
                <w:noProof/>
                <w:lang w:val="de-DE"/>
              </w:rPr>
              <w:t>Bestimmung in dem/den einschlägigen Rechtsakt(en), aus der/denen das Inkrafttreten hervorgeht</w:t>
            </w:r>
          </w:p>
        </w:tc>
        <w:tc>
          <w:tcPr>
            <w:tcW w:w="1213" w:type="dxa"/>
            <w:tcBorders>
              <w:top w:val="nil"/>
              <w:left w:val="nil"/>
              <w:bottom w:val="single" w:sz="4" w:space="0" w:color="auto"/>
              <w:right w:val="single" w:sz="4" w:space="0" w:color="auto"/>
            </w:tcBorders>
            <w:shd w:val="clear" w:color="auto" w:fill="C6EFCE"/>
            <w:noWrap/>
            <w:vAlign w:val="center"/>
            <w:hideMark/>
          </w:tcPr>
          <w:p w14:paraId="5AA2A5EE"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377" w:type="dxa"/>
            <w:tcBorders>
              <w:top w:val="nil"/>
              <w:left w:val="nil"/>
              <w:bottom w:val="single" w:sz="4" w:space="0" w:color="auto"/>
              <w:right w:val="single" w:sz="4" w:space="0" w:color="auto"/>
            </w:tcBorders>
            <w:shd w:val="clear" w:color="auto" w:fill="C6EFCE"/>
            <w:noWrap/>
            <w:vAlign w:val="center"/>
            <w:hideMark/>
          </w:tcPr>
          <w:p w14:paraId="2CC489D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0" w:type="dxa"/>
            <w:tcBorders>
              <w:top w:val="nil"/>
              <w:left w:val="nil"/>
              <w:bottom w:val="single" w:sz="4" w:space="0" w:color="auto"/>
              <w:right w:val="single" w:sz="4" w:space="0" w:color="auto"/>
            </w:tcBorders>
            <w:shd w:val="clear" w:color="auto" w:fill="C6EFCE"/>
            <w:noWrap/>
            <w:vAlign w:val="center"/>
            <w:hideMark/>
          </w:tcPr>
          <w:p w14:paraId="0AE87936"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tcBorders>
              <w:top w:val="nil"/>
              <w:left w:val="nil"/>
              <w:bottom w:val="single" w:sz="4" w:space="0" w:color="auto"/>
              <w:right w:val="single" w:sz="4" w:space="0" w:color="auto"/>
            </w:tcBorders>
            <w:shd w:val="clear" w:color="auto" w:fill="C6EFCE"/>
            <w:noWrap/>
            <w:vAlign w:val="center"/>
            <w:hideMark/>
          </w:tcPr>
          <w:p w14:paraId="137ED560"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8" w:type="dxa"/>
            <w:tcBorders>
              <w:top w:val="nil"/>
              <w:left w:val="nil"/>
              <w:bottom w:val="single" w:sz="4" w:space="0" w:color="auto"/>
              <w:right w:val="single" w:sz="4" w:space="0" w:color="auto"/>
            </w:tcBorders>
            <w:shd w:val="clear" w:color="auto" w:fill="C6EFCE"/>
            <w:noWrap/>
            <w:vAlign w:val="center"/>
            <w:hideMark/>
          </w:tcPr>
          <w:p w14:paraId="03CC85AB"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204" w:type="dxa"/>
            <w:tcBorders>
              <w:top w:val="single" w:sz="4" w:space="0" w:color="auto"/>
              <w:left w:val="nil"/>
              <w:bottom w:val="single" w:sz="4" w:space="0" w:color="auto"/>
              <w:right w:val="single" w:sz="4" w:space="0" w:color="auto"/>
            </w:tcBorders>
            <w:shd w:val="clear" w:color="auto" w:fill="C6EFCE"/>
            <w:noWrap/>
            <w:vAlign w:val="center"/>
          </w:tcPr>
          <w:p w14:paraId="583090AA" w14:textId="77777777" w:rsidR="0057163C" w:rsidRPr="00170422" w:rsidRDefault="00F37BF9">
            <w:pPr>
              <w:pStyle w:val="P68B1DB1-Normal11"/>
              <w:spacing w:line="276" w:lineRule="auto"/>
              <w:rPr>
                <w:noProof/>
                <w:szCs w:val="20"/>
                <w:lang w:val="de-DE"/>
              </w:rPr>
            </w:pPr>
            <w:r w:rsidRPr="00170422">
              <w:rPr>
                <w:noProof/>
                <w:lang w:val="de-DE"/>
              </w:rPr>
              <w:t>Der neue Rechtsrahmen muss (mindestens)</w:t>
            </w:r>
          </w:p>
          <w:p w14:paraId="5A2AB5A7" w14:textId="1A04B656" w:rsidR="0057163C" w:rsidRPr="00170422" w:rsidRDefault="00F37BF9">
            <w:pPr>
              <w:pStyle w:val="P68B1DB1-ListParagraph15"/>
              <w:numPr>
                <w:ilvl w:val="0"/>
                <w:numId w:val="27"/>
              </w:numPr>
              <w:tabs>
                <w:tab w:val="left" w:pos="321"/>
              </w:tabs>
              <w:spacing w:before="120" w:after="0" w:line="276" w:lineRule="auto"/>
              <w:ind w:left="0" w:firstLine="37"/>
              <w:rPr>
                <w:noProof/>
                <w:szCs w:val="20"/>
                <w:lang w:val="de-DE"/>
              </w:rPr>
            </w:pPr>
            <w:r w:rsidRPr="00170422">
              <w:rPr>
                <w:noProof/>
                <w:lang w:val="de-DE"/>
              </w:rPr>
              <w:t>Priorisierung von Präventionsmaßnahmen im Einklang mit</w:t>
            </w:r>
            <w:r w:rsidRPr="00170422">
              <w:rPr>
                <w:noProof/>
                <w:lang w:val="de-DE"/>
              </w:rPr>
              <w:t xml:space="preserve"> der nationalen Risikobewertung und Artikel 6 des Beschlusses Nr. 1313/2013/EU, der Bewertung der Risikomanagementfähigkeiten und dem Grundsatz der Vermeidung erheblicher Beeinträchtigungen;</w:t>
            </w:r>
          </w:p>
          <w:p w14:paraId="3387B716" w14:textId="77777777" w:rsidR="0057163C" w:rsidRPr="00170422" w:rsidRDefault="00F37BF9">
            <w:pPr>
              <w:pStyle w:val="P68B1DB1-ListParagraph15"/>
              <w:numPr>
                <w:ilvl w:val="0"/>
                <w:numId w:val="27"/>
              </w:numPr>
              <w:tabs>
                <w:tab w:val="left" w:pos="321"/>
              </w:tabs>
              <w:spacing w:before="120" w:after="0" w:line="276" w:lineRule="auto"/>
              <w:ind w:left="0" w:firstLine="37"/>
              <w:rPr>
                <w:noProof/>
                <w:szCs w:val="20"/>
                <w:lang w:val="de-DE"/>
              </w:rPr>
            </w:pPr>
            <w:r w:rsidRPr="00170422">
              <w:rPr>
                <w:noProof/>
                <w:lang w:val="de-DE"/>
              </w:rPr>
              <w:t>Beschleunigung der Verfahren für die Projektkonzeption und Festle</w:t>
            </w:r>
            <w:r w:rsidRPr="00170422">
              <w:rPr>
                <w:noProof/>
                <w:lang w:val="de-DE"/>
              </w:rPr>
              <w:t>gung allgemeiner Grundsätze zur Vereinfachung der Projektdurchführungs- und -finanzierungsverfahren und der Projekte im Zusammenhang mit hydrologischen Risiken;</w:t>
            </w:r>
          </w:p>
          <w:p w14:paraId="7887A4A6" w14:textId="77777777" w:rsidR="0057163C" w:rsidRPr="00170422" w:rsidRDefault="00F37BF9">
            <w:pPr>
              <w:pStyle w:val="P68B1DB1-ListParagraph15"/>
              <w:numPr>
                <w:ilvl w:val="0"/>
                <w:numId w:val="27"/>
              </w:numPr>
              <w:tabs>
                <w:tab w:val="left" w:pos="321"/>
              </w:tabs>
              <w:spacing w:before="120" w:after="0" w:line="276" w:lineRule="auto"/>
              <w:ind w:left="0" w:firstLine="37"/>
              <w:rPr>
                <w:noProof/>
                <w:lang w:val="de-DE"/>
              </w:rPr>
            </w:pPr>
            <w:r w:rsidRPr="00170422">
              <w:rPr>
                <w:noProof/>
                <w:lang w:val="de-DE"/>
              </w:rPr>
              <w:t>Harmonisierung und Straffung des Informationsflusses, um die Redundanz bei der Berichterstattun</w:t>
            </w:r>
            <w:r w:rsidRPr="00170422">
              <w:rPr>
                <w:noProof/>
                <w:lang w:val="de-DE"/>
              </w:rPr>
              <w:t>g zwischen den verschiedenen Informationssystemen des Staates zu verringern, und Entwicklung eines Systems von Indikatoren für eine bessere Ermittlung hydrologischer Risiken im Einklang mit den Empfehlungen des italienischen Rechnungshofs.</w:t>
            </w:r>
          </w:p>
          <w:p w14:paraId="06C47675" w14:textId="77777777" w:rsidR="0057163C" w:rsidRPr="00170422" w:rsidRDefault="00F37BF9">
            <w:pPr>
              <w:pStyle w:val="P68B1DB1-ListParagraph15"/>
              <w:numPr>
                <w:ilvl w:val="0"/>
                <w:numId w:val="27"/>
              </w:numPr>
              <w:tabs>
                <w:tab w:val="left" w:pos="321"/>
              </w:tabs>
              <w:spacing w:before="120" w:after="0" w:line="276" w:lineRule="auto"/>
              <w:ind w:left="0" w:firstLine="37"/>
              <w:rPr>
                <w:noProof/>
                <w:lang w:val="de-DE"/>
              </w:rPr>
            </w:pPr>
            <w:r w:rsidRPr="00170422">
              <w:rPr>
                <w:noProof/>
                <w:lang w:val="de-DE"/>
              </w:rPr>
              <w:t>Die Koordinierun</w:t>
            </w:r>
            <w:r w:rsidRPr="00170422">
              <w:rPr>
                <w:noProof/>
                <w:lang w:val="de-DE"/>
              </w:rPr>
              <w:t>g der Interventionen zwischen den verschiedenen Regierungsebenen im Einklang mit den Empfehlungen des italienischen Rechnungshofs zu verstärken;</w:t>
            </w:r>
          </w:p>
          <w:p w14:paraId="3A012D9D" w14:textId="77777777" w:rsidR="0057163C" w:rsidRPr="00170422" w:rsidRDefault="00F37BF9">
            <w:pPr>
              <w:pStyle w:val="P68B1DB1-ListParagraph15"/>
              <w:numPr>
                <w:ilvl w:val="0"/>
                <w:numId w:val="27"/>
              </w:numPr>
              <w:tabs>
                <w:tab w:val="left" w:pos="321"/>
              </w:tabs>
              <w:spacing w:before="120" w:after="0" w:line="276" w:lineRule="auto"/>
              <w:ind w:left="0" w:firstLine="37"/>
              <w:rPr>
                <w:noProof/>
                <w:lang w:val="de-DE"/>
              </w:rPr>
            </w:pPr>
            <w:r w:rsidRPr="00170422">
              <w:rPr>
                <w:noProof/>
                <w:lang w:val="de-DE"/>
              </w:rPr>
              <w:t>Einrichtung gemeinsamer Datenbanken über Vorfälle („Dissesto“) im Einklang mit den Empfehlungen des italienisch</w:t>
            </w:r>
            <w:r w:rsidRPr="00170422">
              <w:rPr>
                <w:noProof/>
                <w:lang w:val="de-DE"/>
              </w:rPr>
              <w:t>en Rechnungshofs;</w:t>
            </w:r>
          </w:p>
          <w:p w14:paraId="5A3FA1F9" w14:textId="77777777" w:rsidR="0057163C" w:rsidRPr="00170422" w:rsidRDefault="00F37BF9">
            <w:pPr>
              <w:pStyle w:val="P68B1DB1-ListParagraph15"/>
              <w:numPr>
                <w:ilvl w:val="0"/>
                <w:numId w:val="27"/>
              </w:numPr>
              <w:tabs>
                <w:tab w:val="left" w:pos="321"/>
              </w:tabs>
              <w:spacing w:before="120" w:after="0" w:line="276" w:lineRule="auto"/>
              <w:ind w:left="0" w:firstLine="37"/>
              <w:rPr>
                <w:noProof/>
                <w:lang w:val="de-DE"/>
              </w:rPr>
            </w:pPr>
            <w:r w:rsidRPr="00170422">
              <w:rPr>
                <w:noProof/>
                <w:lang w:val="de-DE"/>
              </w:rPr>
              <w:t>Festlegung maximaler Fristen für jede Phase.</w:t>
            </w:r>
          </w:p>
          <w:p w14:paraId="5635A14D" w14:textId="77777777" w:rsidR="0057163C" w:rsidRPr="00170422" w:rsidRDefault="00F37BF9">
            <w:pPr>
              <w:pStyle w:val="P68B1DB1-ListParagraph15"/>
              <w:numPr>
                <w:ilvl w:val="0"/>
                <w:numId w:val="27"/>
              </w:numPr>
              <w:tabs>
                <w:tab w:val="left" w:pos="321"/>
              </w:tabs>
              <w:spacing w:before="120" w:after="0" w:line="276" w:lineRule="auto"/>
              <w:ind w:left="0" w:firstLine="37"/>
              <w:rPr>
                <w:noProof/>
                <w:szCs w:val="20"/>
                <w:lang w:val="de-DE"/>
              </w:rPr>
            </w:pPr>
            <w:r w:rsidRPr="00170422">
              <w:rPr>
                <w:noProof/>
                <w:lang w:val="de-DE"/>
              </w:rPr>
              <w:t>Aufstellung eines Plans zur Stärkung der Kapazitäten der einschlägigen Einrichtungen.</w:t>
            </w:r>
          </w:p>
        </w:tc>
      </w:tr>
      <w:tr w:rsidR="0057163C" w:rsidRPr="00170422" w14:paraId="5D60658B" w14:textId="77777777" w:rsidTr="00AC496B">
        <w:trPr>
          <w:trHeight w:val="309"/>
          <w:jc w:val="center"/>
        </w:trPr>
        <w:tc>
          <w:tcPr>
            <w:tcW w:w="1161" w:type="dxa"/>
            <w:tcBorders>
              <w:top w:val="nil"/>
              <w:left w:val="single" w:sz="4" w:space="0" w:color="auto"/>
              <w:bottom w:val="single" w:sz="4" w:space="0" w:color="auto"/>
              <w:right w:val="single" w:sz="4" w:space="0" w:color="auto"/>
            </w:tcBorders>
            <w:shd w:val="clear" w:color="auto" w:fill="C6EFCE"/>
            <w:noWrap/>
            <w:vAlign w:val="center"/>
            <w:hideMark/>
          </w:tcPr>
          <w:p w14:paraId="7A2AEC4A" w14:textId="77777777" w:rsidR="0057163C" w:rsidRPr="00170422" w:rsidRDefault="00F37BF9">
            <w:pPr>
              <w:pStyle w:val="P68B1DB1-Normal11"/>
              <w:spacing w:line="276" w:lineRule="auto"/>
              <w:jc w:val="center"/>
              <w:rPr>
                <w:noProof/>
                <w:szCs w:val="20"/>
                <w:lang w:val="de-DE"/>
              </w:rPr>
            </w:pPr>
            <w:r w:rsidRPr="00170422">
              <w:rPr>
                <w:noProof/>
                <w:lang w:val="de-DE"/>
              </w:rPr>
              <w:t>M2C4-2</w:t>
            </w:r>
          </w:p>
        </w:tc>
        <w:tc>
          <w:tcPr>
            <w:tcW w:w="1917" w:type="dxa"/>
            <w:tcBorders>
              <w:top w:val="single" w:sz="4" w:space="0" w:color="auto"/>
              <w:left w:val="nil"/>
              <w:bottom w:val="single" w:sz="4" w:space="0" w:color="auto"/>
              <w:right w:val="single" w:sz="4" w:space="0" w:color="auto"/>
            </w:tcBorders>
            <w:shd w:val="clear" w:color="auto" w:fill="C6EFCE"/>
            <w:noWrap/>
            <w:vAlign w:val="center"/>
            <w:hideMark/>
          </w:tcPr>
          <w:p w14:paraId="5BB7CFDD" w14:textId="77777777" w:rsidR="0057163C" w:rsidRPr="00170422" w:rsidRDefault="00F37BF9">
            <w:pPr>
              <w:pStyle w:val="P68B1DB1-Normal11"/>
              <w:spacing w:line="276" w:lineRule="auto"/>
              <w:jc w:val="center"/>
              <w:rPr>
                <w:noProof/>
                <w:szCs w:val="20"/>
                <w:lang w:val="de-DE"/>
              </w:rPr>
            </w:pPr>
            <w:r w:rsidRPr="00170422">
              <w:rPr>
                <w:noProof/>
                <w:lang w:val="de-DE"/>
              </w:rPr>
              <w:t xml:space="preserve">Reform 4.2 „Maßnahmen zur Gewährleistung vollständiger Verwaltungskapazitäten für integrierte </w:t>
            </w:r>
            <w:r w:rsidRPr="00170422">
              <w:rPr>
                <w:noProof/>
                <w:lang w:val="de-DE"/>
              </w:rPr>
              <w:t>Wasserversorgungsdienste“</w:t>
            </w:r>
          </w:p>
        </w:tc>
        <w:tc>
          <w:tcPr>
            <w:tcW w:w="1283" w:type="dxa"/>
            <w:tcBorders>
              <w:top w:val="nil"/>
              <w:left w:val="nil"/>
              <w:bottom w:val="single" w:sz="4" w:space="0" w:color="auto"/>
              <w:right w:val="single" w:sz="4" w:space="0" w:color="auto"/>
            </w:tcBorders>
            <w:shd w:val="clear" w:color="auto" w:fill="C6EFCE"/>
            <w:noWrap/>
            <w:vAlign w:val="center"/>
            <w:hideMark/>
          </w:tcPr>
          <w:p w14:paraId="35AE2A3A"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689" w:type="dxa"/>
            <w:tcBorders>
              <w:top w:val="single" w:sz="4" w:space="0" w:color="auto"/>
              <w:left w:val="nil"/>
              <w:bottom w:val="single" w:sz="4" w:space="0" w:color="auto"/>
              <w:right w:val="single" w:sz="4" w:space="0" w:color="auto"/>
            </w:tcBorders>
            <w:shd w:val="clear" w:color="auto" w:fill="C6EFCE"/>
            <w:noWrap/>
            <w:vAlign w:val="center"/>
            <w:hideMark/>
          </w:tcPr>
          <w:p w14:paraId="7596BDD9" w14:textId="77777777" w:rsidR="0057163C" w:rsidRPr="00170422" w:rsidRDefault="00F37BF9">
            <w:pPr>
              <w:pStyle w:val="P68B1DB1-Normal11"/>
              <w:spacing w:line="276" w:lineRule="auto"/>
              <w:jc w:val="center"/>
              <w:rPr>
                <w:noProof/>
                <w:szCs w:val="20"/>
                <w:lang w:val="de-DE"/>
              </w:rPr>
            </w:pPr>
            <w:r w:rsidRPr="00170422">
              <w:rPr>
                <w:noProof/>
                <w:lang w:val="de-DE"/>
              </w:rPr>
              <w:t>Inkrafttreten der Reform zur Gewährleistung umfassender Verwaltungskapazitäten für integrierte Wasserversorgungsdienste</w:t>
            </w:r>
          </w:p>
        </w:tc>
        <w:tc>
          <w:tcPr>
            <w:tcW w:w="1533" w:type="dxa"/>
            <w:tcBorders>
              <w:top w:val="nil"/>
              <w:left w:val="nil"/>
              <w:bottom w:val="single" w:sz="4" w:space="0" w:color="auto"/>
              <w:right w:val="single" w:sz="4" w:space="0" w:color="auto"/>
            </w:tcBorders>
            <w:shd w:val="clear" w:color="auto" w:fill="C6EFCE"/>
            <w:noWrap/>
            <w:vAlign w:val="center"/>
            <w:hideMark/>
          </w:tcPr>
          <w:p w14:paraId="32FE1250" w14:textId="77777777" w:rsidR="0057163C" w:rsidRPr="00170422" w:rsidRDefault="00F37BF9">
            <w:pPr>
              <w:pStyle w:val="P68B1DB1-Normal11"/>
              <w:spacing w:line="276" w:lineRule="auto"/>
              <w:jc w:val="center"/>
              <w:rPr>
                <w:noProof/>
                <w:szCs w:val="20"/>
                <w:lang w:val="de-DE"/>
              </w:rPr>
            </w:pPr>
            <w:r w:rsidRPr="00170422">
              <w:rPr>
                <w:noProof/>
                <w:lang w:val="de-DE"/>
              </w:rPr>
              <w:t>Bestimmung in dem/den einschlägigen Rechtsakt(en), aus der/denen das Inkrafttreten hervorgeht</w:t>
            </w:r>
          </w:p>
        </w:tc>
        <w:tc>
          <w:tcPr>
            <w:tcW w:w="1213" w:type="dxa"/>
            <w:tcBorders>
              <w:top w:val="nil"/>
              <w:left w:val="nil"/>
              <w:bottom w:val="single" w:sz="4" w:space="0" w:color="auto"/>
              <w:right w:val="single" w:sz="4" w:space="0" w:color="auto"/>
            </w:tcBorders>
            <w:shd w:val="clear" w:color="auto" w:fill="C6EFCE"/>
            <w:noWrap/>
            <w:vAlign w:val="center"/>
            <w:hideMark/>
          </w:tcPr>
          <w:p w14:paraId="581150DE" w14:textId="77777777" w:rsidR="0057163C" w:rsidRPr="00170422" w:rsidRDefault="00F37BF9">
            <w:pPr>
              <w:pStyle w:val="P68B1DB1-Normal11"/>
              <w:spacing w:line="276" w:lineRule="auto"/>
              <w:jc w:val="center"/>
              <w:rPr>
                <w:noProof/>
                <w:szCs w:val="20"/>
                <w:lang w:val="de-DE"/>
              </w:rPr>
            </w:pPr>
            <w:r w:rsidRPr="00170422">
              <w:rPr>
                <w:noProof/>
                <w:lang w:val="de-DE"/>
              </w:rPr>
              <w:t>ENTF</w:t>
            </w:r>
            <w:r w:rsidRPr="00170422">
              <w:rPr>
                <w:noProof/>
                <w:lang w:val="de-DE"/>
              </w:rPr>
              <w:t>ÄLLT.</w:t>
            </w:r>
          </w:p>
        </w:tc>
        <w:tc>
          <w:tcPr>
            <w:tcW w:w="1377" w:type="dxa"/>
            <w:tcBorders>
              <w:top w:val="nil"/>
              <w:left w:val="nil"/>
              <w:bottom w:val="single" w:sz="4" w:space="0" w:color="auto"/>
              <w:right w:val="single" w:sz="4" w:space="0" w:color="auto"/>
            </w:tcBorders>
            <w:shd w:val="clear" w:color="auto" w:fill="C6EFCE"/>
            <w:noWrap/>
            <w:vAlign w:val="center"/>
            <w:hideMark/>
          </w:tcPr>
          <w:p w14:paraId="2B582B4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0" w:type="dxa"/>
            <w:tcBorders>
              <w:top w:val="nil"/>
              <w:left w:val="nil"/>
              <w:bottom w:val="single" w:sz="4" w:space="0" w:color="auto"/>
              <w:right w:val="single" w:sz="4" w:space="0" w:color="auto"/>
            </w:tcBorders>
            <w:shd w:val="clear" w:color="auto" w:fill="C6EFCE"/>
            <w:noWrap/>
            <w:vAlign w:val="center"/>
            <w:hideMark/>
          </w:tcPr>
          <w:p w14:paraId="7080A8A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tcBorders>
              <w:top w:val="nil"/>
              <w:left w:val="nil"/>
              <w:bottom w:val="single" w:sz="4" w:space="0" w:color="auto"/>
              <w:right w:val="single" w:sz="4" w:space="0" w:color="auto"/>
            </w:tcBorders>
            <w:shd w:val="clear" w:color="auto" w:fill="C6EFCE"/>
            <w:noWrap/>
            <w:vAlign w:val="center"/>
            <w:hideMark/>
          </w:tcPr>
          <w:p w14:paraId="12D28CB9" w14:textId="77777777" w:rsidR="0057163C" w:rsidRPr="00170422" w:rsidRDefault="00F37BF9">
            <w:pPr>
              <w:pStyle w:val="P68B1DB1-Normal11"/>
              <w:spacing w:line="276" w:lineRule="auto"/>
              <w:jc w:val="center"/>
              <w:rPr>
                <w:noProof/>
                <w:szCs w:val="20"/>
                <w:lang w:val="de-DE"/>
              </w:rPr>
            </w:pPr>
            <w:r w:rsidRPr="00170422">
              <w:rPr>
                <w:noProof/>
                <w:lang w:val="de-DE"/>
              </w:rPr>
              <w:t>Q3</w:t>
            </w:r>
          </w:p>
        </w:tc>
        <w:tc>
          <w:tcPr>
            <w:tcW w:w="708" w:type="dxa"/>
            <w:tcBorders>
              <w:top w:val="nil"/>
              <w:left w:val="nil"/>
              <w:bottom w:val="single" w:sz="4" w:space="0" w:color="auto"/>
              <w:right w:val="single" w:sz="4" w:space="0" w:color="auto"/>
            </w:tcBorders>
            <w:shd w:val="clear" w:color="auto" w:fill="C6EFCE"/>
            <w:noWrap/>
            <w:vAlign w:val="center"/>
            <w:hideMark/>
          </w:tcPr>
          <w:p w14:paraId="326D5379"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204" w:type="dxa"/>
            <w:tcBorders>
              <w:top w:val="nil"/>
              <w:left w:val="nil"/>
              <w:bottom w:val="single" w:sz="4" w:space="0" w:color="auto"/>
              <w:right w:val="single" w:sz="4" w:space="0" w:color="auto"/>
            </w:tcBorders>
            <w:shd w:val="clear" w:color="auto" w:fill="C6EFCE"/>
            <w:noWrap/>
            <w:vAlign w:val="center"/>
            <w:hideMark/>
          </w:tcPr>
          <w:p w14:paraId="272820A0" w14:textId="73BCFD83" w:rsidR="0057163C" w:rsidRPr="00170422" w:rsidRDefault="00F37BF9">
            <w:pPr>
              <w:pStyle w:val="P68B1DB1-Normal11"/>
              <w:spacing w:line="276" w:lineRule="auto"/>
              <w:rPr>
                <w:noProof/>
                <w:szCs w:val="20"/>
                <w:lang w:val="de-DE"/>
              </w:rPr>
            </w:pPr>
            <w:r w:rsidRPr="00170422">
              <w:rPr>
                <w:noProof/>
                <w:lang w:val="de-DE"/>
              </w:rPr>
              <w:t>Das allgemeine Gesetz/die allgemeinen Verordnungen über Wasserdienstleistungen im Hinblick auf ihre nachhaltige Nutzung und Anreize für Investitionen in die Wasserinfrastruktur, die zumindest</w:t>
            </w:r>
          </w:p>
          <w:p w14:paraId="49786188" w14:textId="77777777" w:rsidR="0057163C" w:rsidRPr="00170422" w:rsidRDefault="00F37BF9">
            <w:pPr>
              <w:pStyle w:val="P68B1DB1-ListParagraph15"/>
              <w:numPr>
                <w:ilvl w:val="0"/>
                <w:numId w:val="27"/>
              </w:numPr>
              <w:tabs>
                <w:tab w:val="left" w:pos="321"/>
              </w:tabs>
              <w:spacing w:before="120" w:after="0" w:line="276" w:lineRule="auto"/>
              <w:ind w:left="0" w:firstLine="37"/>
              <w:rPr>
                <w:noProof/>
                <w:lang w:val="de-DE"/>
              </w:rPr>
            </w:pPr>
            <w:r w:rsidRPr="00170422">
              <w:rPr>
                <w:noProof/>
                <w:lang w:val="de-DE"/>
              </w:rPr>
              <w:t>Verringerung der Fragmentierun</w:t>
            </w:r>
            <w:r w:rsidRPr="00170422">
              <w:rPr>
                <w:noProof/>
                <w:lang w:val="de-DE"/>
              </w:rPr>
              <w:t>g von Einrichtungen durch Regeln und Aggregationsmechanismen, um Anreize für derzeit autonome Betreiber zu schaffen, sich in den einzigartigen Betreiber des gesamten Ambito Territoriale Ottimale zu integrieren;</w:t>
            </w:r>
          </w:p>
          <w:p w14:paraId="2A427C38" w14:textId="34567E6E" w:rsidR="0057163C" w:rsidRPr="00170422" w:rsidRDefault="00F37BF9">
            <w:pPr>
              <w:pStyle w:val="P68B1DB1-ListParagraph15"/>
              <w:numPr>
                <w:ilvl w:val="0"/>
                <w:numId w:val="27"/>
              </w:numPr>
              <w:tabs>
                <w:tab w:val="left" w:pos="321"/>
              </w:tabs>
              <w:spacing w:before="120" w:after="0" w:line="276" w:lineRule="auto"/>
              <w:ind w:left="0" w:firstLine="37"/>
              <w:rPr>
                <w:noProof/>
                <w:lang w:val="de-DE"/>
              </w:rPr>
            </w:pPr>
            <w:r w:rsidRPr="00170422">
              <w:rPr>
                <w:noProof/>
                <w:lang w:val="de-DE"/>
              </w:rPr>
              <w:t>Schaffung von Anreizen für eine nachhaltige W</w:t>
            </w:r>
            <w:r w:rsidRPr="00170422">
              <w:rPr>
                <w:noProof/>
                <w:lang w:val="de-DE"/>
              </w:rPr>
              <w:t>assernutzung in der Landwirtschaft, insbesondere zur Unterstützung der Nutzung des gemeinsamen Überwachungssystems für die Wassernutzung (SIGRIAN) für die kollektive und selbstversorgende Bewässerung;</w:t>
            </w:r>
          </w:p>
          <w:p w14:paraId="53A433B4" w14:textId="77777777" w:rsidR="0057163C" w:rsidRPr="00170422" w:rsidRDefault="00F37BF9">
            <w:pPr>
              <w:pStyle w:val="P68B1DB1-ListParagraph15"/>
              <w:numPr>
                <w:ilvl w:val="0"/>
                <w:numId w:val="27"/>
              </w:numPr>
              <w:tabs>
                <w:tab w:val="left" w:pos="321"/>
              </w:tabs>
              <w:spacing w:before="120" w:after="0" w:line="276" w:lineRule="auto"/>
              <w:ind w:left="0" w:firstLine="37"/>
              <w:rPr>
                <w:noProof/>
                <w:szCs w:val="20"/>
                <w:lang w:val="de-DE"/>
              </w:rPr>
            </w:pPr>
            <w:r w:rsidRPr="00170422">
              <w:rPr>
                <w:noProof/>
                <w:lang w:val="de-DE"/>
              </w:rPr>
              <w:t>Festlegung eines Systems regulierter Preise, das der Nu</w:t>
            </w:r>
            <w:r w:rsidRPr="00170422">
              <w:rPr>
                <w:noProof/>
                <w:lang w:val="de-DE"/>
              </w:rPr>
              <w:t>tzung von Umweltressourcen und der Umweltverschmutzung im Einklang mit dem Verursacherprinzip angemessen Rechnung trägt</w:t>
            </w:r>
          </w:p>
        </w:tc>
      </w:tr>
      <w:tr w:rsidR="0057163C" w:rsidRPr="00170422" w14:paraId="4FEFCDD5" w14:textId="77777777" w:rsidTr="00AC496B">
        <w:trPr>
          <w:trHeight w:val="309"/>
          <w:jc w:val="center"/>
        </w:trPr>
        <w:tc>
          <w:tcPr>
            <w:tcW w:w="1161" w:type="dxa"/>
            <w:tcBorders>
              <w:top w:val="nil"/>
              <w:left w:val="single" w:sz="4" w:space="0" w:color="auto"/>
              <w:bottom w:val="single" w:sz="4" w:space="0" w:color="auto"/>
              <w:right w:val="single" w:sz="4" w:space="0" w:color="auto"/>
            </w:tcBorders>
            <w:shd w:val="clear" w:color="auto" w:fill="C6EFCE"/>
            <w:noWrap/>
            <w:vAlign w:val="center"/>
            <w:hideMark/>
          </w:tcPr>
          <w:p w14:paraId="56246794" w14:textId="77777777" w:rsidR="0057163C" w:rsidRPr="00170422" w:rsidRDefault="00F37BF9">
            <w:pPr>
              <w:pStyle w:val="P68B1DB1-Normal11"/>
              <w:spacing w:line="276" w:lineRule="auto"/>
              <w:jc w:val="center"/>
              <w:rPr>
                <w:noProof/>
                <w:szCs w:val="20"/>
                <w:lang w:val="de-DE"/>
              </w:rPr>
            </w:pPr>
            <w:r w:rsidRPr="00170422">
              <w:rPr>
                <w:noProof/>
                <w:lang w:val="de-DE"/>
              </w:rPr>
              <w:t>M2C4-3</w:t>
            </w:r>
          </w:p>
        </w:tc>
        <w:tc>
          <w:tcPr>
            <w:tcW w:w="1917" w:type="dxa"/>
            <w:tcBorders>
              <w:top w:val="single" w:sz="4" w:space="0" w:color="auto"/>
              <w:left w:val="nil"/>
              <w:bottom w:val="single" w:sz="4" w:space="0" w:color="auto"/>
              <w:right w:val="single" w:sz="4" w:space="0" w:color="auto"/>
            </w:tcBorders>
            <w:shd w:val="clear" w:color="auto" w:fill="C6EFCE"/>
            <w:noWrap/>
            <w:vAlign w:val="center"/>
            <w:hideMark/>
          </w:tcPr>
          <w:p w14:paraId="4DA669B0" w14:textId="77777777" w:rsidR="0057163C" w:rsidRPr="00170422" w:rsidRDefault="00F37BF9">
            <w:pPr>
              <w:pStyle w:val="P68B1DB1-Normal11"/>
              <w:spacing w:line="276" w:lineRule="auto"/>
              <w:jc w:val="center"/>
              <w:rPr>
                <w:noProof/>
                <w:szCs w:val="20"/>
                <w:lang w:val="de-DE"/>
              </w:rPr>
            </w:pPr>
            <w:r w:rsidRPr="00170422">
              <w:rPr>
                <w:noProof/>
                <w:lang w:val="de-DE"/>
              </w:rPr>
              <w:t>Reform 4.2 „Maßnahmen zur Gewährleistung vollständiger Verwaltungskapazitäten für integrierte Wasserversorgungsdienste“</w:t>
            </w:r>
          </w:p>
        </w:tc>
        <w:tc>
          <w:tcPr>
            <w:tcW w:w="1283" w:type="dxa"/>
            <w:tcBorders>
              <w:top w:val="nil"/>
              <w:left w:val="nil"/>
              <w:bottom w:val="single" w:sz="4" w:space="0" w:color="auto"/>
              <w:right w:val="single" w:sz="4" w:space="0" w:color="auto"/>
            </w:tcBorders>
            <w:shd w:val="clear" w:color="auto" w:fill="C6EFCE"/>
            <w:noWrap/>
            <w:vAlign w:val="center"/>
            <w:hideMark/>
          </w:tcPr>
          <w:p w14:paraId="04316560"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689" w:type="dxa"/>
            <w:tcBorders>
              <w:top w:val="single" w:sz="4" w:space="0" w:color="auto"/>
              <w:left w:val="nil"/>
              <w:bottom w:val="single" w:sz="4" w:space="0" w:color="auto"/>
              <w:right w:val="single" w:sz="4" w:space="0" w:color="auto"/>
            </w:tcBorders>
            <w:shd w:val="clear" w:color="auto" w:fill="C6EFCE"/>
            <w:noWrap/>
            <w:vAlign w:val="center"/>
            <w:hideMark/>
          </w:tcPr>
          <w:p w14:paraId="760ABE95" w14:textId="77777777" w:rsidR="0057163C" w:rsidRPr="00170422" w:rsidRDefault="00F37BF9">
            <w:pPr>
              <w:pStyle w:val="P68B1DB1-Normal11"/>
              <w:spacing w:line="276" w:lineRule="auto"/>
              <w:jc w:val="center"/>
              <w:rPr>
                <w:noProof/>
                <w:szCs w:val="20"/>
                <w:lang w:val="de-DE"/>
              </w:rPr>
            </w:pPr>
            <w:r w:rsidRPr="00170422">
              <w:rPr>
                <w:noProof/>
                <w:lang w:val="de-DE"/>
              </w:rPr>
              <w:t>Refo</w:t>
            </w:r>
            <w:r w:rsidRPr="00170422">
              <w:rPr>
                <w:noProof/>
                <w:lang w:val="de-DE"/>
              </w:rPr>
              <w:t>rm des Rechtsrahmens für eine bessere Bewirtschaftung und nachhaltige Wassernutzung</w:t>
            </w:r>
          </w:p>
        </w:tc>
        <w:tc>
          <w:tcPr>
            <w:tcW w:w="1533" w:type="dxa"/>
            <w:tcBorders>
              <w:top w:val="nil"/>
              <w:left w:val="nil"/>
              <w:bottom w:val="single" w:sz="4" w:space="0" w:color="auto"/>
              <w:right w:val="single" w:sz="4" w:space="0" w:color="auto"/>
            </w:tcBorders>
            <w:shd w:val="clear" w:color="auto" w:fill="C6EFCE"/>
            <w:noWrap/>
            <w:vAlign w:val="center"/>
            <w:hideMark/>
          </w:tcPr>
          <w:p w14:paraId="153E4880" w14:textId="77777777" w:rsidR="0057163C" w:rsidRPr="00170422" w:rsidRDefault="00F37BF9">
            <w:pPr>
              <w:pStyle w:val="P68B1DB1-Normal11"/>
              <w:spacing w:line="276" w:lineRule="auto"/>
              <w:jc w:val="center"/>
              <w:rPr>
                <w:noProof/>
                <w:szCs w:val="20"/>
                <w:lang w:val="de-DE"/>
              </w:rPr>
            </w:pPr>
            <w:r w:rsidRPr="00170422">
              <w:rPr>
                <w:noProof/>
                <w:lang w:val="de-DE"/>
              </w:rPr>
              <w:t>Inkrafttreten der Absichtserklärungen</w:t>
            </w:r>
          </w:p>
        </w:tc>
        <w:tc>
          <w:tcPr>
            <w:tcW w:w="1213" w:type="dxa"/>
            <w:tcBorders>
              <w:top w:val="nil"/>
              <w:left w:val="nil"/>
              <w:bottom w:val="single" w:sz="4" w:space="0" w:color="auto"/>
              <w:right w:val="single" w:sz="4" w:space="0" w:color="auto"/>
            </w:tcBorders>
            <w:shd w:val="clear" w:color="auto" w:fill="C6EFCE"/>
            <w:noWrap/>
            <w:vAlign w:val="center"/>
            <w:hideMark/>
          </w:tcPr>
          <w:p w14:paraId="11701F69"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377" w:type="dxa"/>
            <w:tcBorders>
              <w:top w:val="nil"/>
              <w:left w:val="nil"/>
              <w:bottom w:val="single" w:sz="4" w:space="0" w:color="auto"/>
              <w:right w:val="single" w:sz="4" w:space="0" w:color="auto"/>
            </w:tcBorders>
            <w:shd w:val="clear" w:color="auto" w:fill="C6EFCE"/>
            <w:noWrap/>
            <w:vAlign w:val="center"/>
            <w:hideMark/>
          </w:tcPr>
          <w:p w14:paraId="1571A882"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0" w:type="dxa"/>
            <w:tcBorders>
              <w:top w:val="nil"/>
              <w:left w:val="nil"/>
              <w:bottom w:val="single" w:sz="4" w:space="0" w:color="auto"/>
              <w:right w:val="single" w:sz="4" w:space="0" w:color="auto"/>
            </w:tcBorders>
            <w:shd w:val="clear" w:color="auto" w:fill="C6EFCE"/>
            <w:noWrap/>
            <w:vAlign w:val="center"/>
            <w:hideMark/>
          </w:tcPr>
          <w:p w14:paraId="445A40E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tcBorders>
              <w:top w:val="nil"/>
              <w:left w:val="nil"/>
              <w:bottom w:val="single" w:sz="4" w:space="0" w:color="auto"/>
              <w:right w:val="single" w:sz="4" w:space="0" w:color="auto"/>
            </w:tcBorders>
            <w:shd w:val="clear" w:color="auto" w:fill="C6EFCE"/>
            <w:noWrap/>
            <w:vAlign w:val="center"/>
            <w:hideMark/>
          </w:tcPr>
          <w:p w14:paraId="55785779"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8" w:type="dxa"/>
            <w:tcBorders>
              <w:top w:val="nil"/>
              <w:left w:val="nil"/>
              <w:bottom w:val="single" w:sz="4" w:space="0" w:color="auto"/>
              <w:right w:val="single" w:sz="4" w:space="0" w:color="auto"/>
            </w:tcBorders>
            <w:shd w:val="clear" w:color="auto" w:fill="C6EFCE"/>
            <w:noWrap/>
            <w:vAlign w:val="center"/>
            <w:hideMark/>
          </w:tcPr>
          <w:p w14:paraId="04C0A556"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2204" w:type="dxa"/>
            <w:tcBorders>
              <w:top w:val="nil"/>
              <w:left w:val="nil"/>
              <w:bottom w:val="single" w:sz="4" w:space="0" w:color="auto"/>
              <w:right w:val="single" w:sz="4" w:space="0" w:color="auto"/>
            </w:tcBorders>
            <w:shd w:val="clear" w:color="auto" w:fill="C6EFCE"/>
            <w:noWrap/>
            <w:vAlign w:val="center"/>
            <w:hideMark/>
          </w:tcPr>
          <w:p w14:paraId="6D9388B1" w14:textId="77777777" w:rsidR="0057163C" w:rsidRPr="00170422" w:rsidRDefault="00F37BF9">
            <w:pPr>
              <w:pStyle w:val="P68B1DB1-Normal21"/>
              <w:spacing w:line="276" w:lineRule="auto"/>
              <w:rPr>
                <w:rFonts w:ascii="Arial Narrow" w:hAnsi="Arial Narrow"/>
                <w:noProof/>
                <w:szCs w:val="20"/>
                <w:lang w:val="de-DE"/>
              </w:rPr>
            </w:pPr>
            <w:r w:rsidRPr="00170422">
              <w:rPr>
                <w:rFonts w:ascii="Arial Narrow" w:hAnsi="Arial Narrow"/>
                <w:noProof/>
                <w:lang w:val="de-DE"/>
              </w:rPr>
              <w:t>Unterzeichnung von Absichtserklärungen mit den Regionen Kampanien, Kalabrien, Molise und Sizilien durch das Ministerium für den ökologischen Wandel, um die Fragmentierung der Zahl der Betreiber, die Wasserdienstleistungen erbringen, zu verringern. In der V</w:t>
            </w:r>
            <w:r w:rsidRPr="00170422">
              <w:rPr>
                <w:rFonts w:ascii="Arial Narrow" w:hAnsi="Arial Narrow"/>
                <w:noProof/>
                <w:lang w:val="de-DE"/>
              </w:rPr>
              <w:t>ereinbarung sollten Ziele im Hinblick auf die Einrichtung lokaler Regierungsstellen, die Verringerung der Zahl der Betreiber und die Erzielung von Größenvorteilen festgelegt werden, um einen einzigen Betreiber für mindestens 40000</w:t>
            </w:r>
            <w:r w:rsidRPr="00170422">
              <w:rPr>
                <w:noProof/>
                <w:lang w:val="de-DE"/>
              </w:rPr>
              <w:t xml:space="preserve"> </w:t>
            </w:r>
            <w:r w:rsidRPr="00170422">
              <w:rPr>
                <w:rFonts w:ascii="Arial Narrow" w:hAnsi="Arial Narrow"/>
                <w:noProof/>
                <w:lang w:val="de-DE"/>
              </w:rPr>
              <w:t>Einwohner</w:t>
            </w:r>
            <w:r w:rsidRPr="00170422">
              <w:rPr>
                <w:noProof/>
                <w:lang w:val="de-DE"/>
              </w:rPr>
              <w:t xml:space="preserve"> zu schaffen.</w:t>
            </w:r>
          </w:p>
        </w:tc>
      </w:tr>
      <w:tr w:rsidR="0057163C" w:rsidRPr="00170422" w14:paraId="3E47CD17" w14:textId="77777777" w:rsidTr="00AC496B">
        <w:trPr>
          <w:trHeight w:val="309"/>
          <w:jc w:val="center"/>
        </w:trPr>
        <w:tc>
          <w:tcPr>
            <w:tcW w:w="1161" w:type="dxa"/>
            <w:tcBorders>
              <w:top w:val="nil"/>
              <w:left w:val="single" w:sz="4" w:space="0" w:color="auto"/>
              <w:bottom w:val="single" w:sz="4" w:space="0" w:color="auto"/>
              <w:right w:val="single" w:sz="4" w:space="0" w:color="auto"/>
            </w:tcBorders>
            <w:shd w:val="clear" w:color="auto" w:fill="C6EFCE"/>
            <w:noWrap/>
            <w:vAlign w:val="center"/>
            <w:hideMark/>
          </w:tcPr>
          <w:p w14:paraId="3DB854FF" w14:textId="77777777" w:rsidR="0057163C" w:rsidRPr="00170422" w:rsidRDefault="00F37BF9">
            <w:pPr>
              <w:pStyle w:val="P68B1DB1-Normal11"/>
              <w:spacing w:line="276" w:lineRule="auto"/>
              <w:jc w:val="center"/>
              <w:rPr>
                <w:noProof/>
                <w:szCs w:val="20"/>
                <w:lang w:val="de-DE"/>
              </w:rPr>
            </w:pPr>
            <w:r w:rsidRPr="00170422">
              <w:rPr>
                <w:noProof/>
                <w:lang w:val="de-DE"/>
              </w:rPr>
              <w:t>M2C4-4</w:t>
            </w:r>
          </w:p>
        </w:tc>
        <w:tc>
          <w:tcPr>
            <w:tcW w:w="1917" w:type="dxa"/>
            <w:tcBorders>
              <w:top w:val="single" w:sz="4" w:space="0" w:color="auto"/>
              <w:left w:val="nil"/>
              <w:bottom w:val="single" w:sz="4" w:space="0" w:color="auto"/>
              <w:right w:val="single" w:sz="4" w:space="0" w:color="auto"/>
            </w:tcBorders>
            <w:shd w:val="clear" w:color="auto" w:fill="C6EFCE"/>
            <w:noWrap/>
            <w:vAlign w:val="center"/>
            <w:hideMark/>
          </w:tcPr>
          <w:p w14:paraId="63A194B3" w14:textId="77777777" w:rsidR="0057163C" w:rsidRPr="00170422" w:rsidRDefault="00F37BF9">
            <w:pPr>
              <w:pStyle w:val="P68B1DB1-Normal11"/>
              <w:spacing w:line="276" w:lineRule="auto"/>
              <w:jc w:val="center"/>
              <w:rPr>
                <w:noProof/>
                <w:szCs w:val="20"/>
                <w:lang w:val="de-DE"/>
              </w:rPr>
            </w:pPr>
            <w:r w:rsidRPr="00170422">
              <w:rPr>
                <w:noProof/>
                <w:lang w:val="de-DE"/>
              </w:rPr>
              <w:t>Re</w:t>
            </w:r>
            <w:r w:rsidRPr="00170422">
              <w:rPr>
                <w:noProof/>
                <w:lang w:val="de-DE"/>
              </w:rPr>
              <w:t>form 4.2 „Maßnahmen zur Gewährleistung vollständiger Verwaltungskapazitäten für integrierte Wasserversorgungsdienste“</w:t>
            </w:r>
          </w:p>
        </w:tc>
        <w:tc>
          <w:tcPr>
            <w:tcW w:w="1283" w:type="dxa"/>
            <w:tcBorders>
              <w:top w:val="nil"/>
              <w:left w:val="nil"/>
              <w:bottom w:val="single" w:sz="4" w:space="0" w:color="auto"/>
              <w:right w:val="single" w:sz="4" w:space="0" w:color="auto"/>
            </w:tcBorders>
            <w:shd w:val="clear" w:color="auto" w:fill="C6EFCE"/>
            <w:noWrap/>
            <w:vAlign w:val="center"/>
            <w:hideMark/>
          </w:tcPr>
          <w:p w14:paraId="48D27D9B"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689" w:type="dxa"/>
            <w:tcBorders>
              <w:top w:val="single" w:sz="4" w:space="0" w:color="auto"/>
              <w:left w:val="nil"/>
              <w:bottom w:val="single" w:sz="4" w:space="0" w:color="auto"/>
              <w:right w:val="single" w:sz="4" w:space="0" w:color="auto"/>
            </w:tcBorders>
            <w:shd w:val="clear" w:color="auto" w:fill="C6EFCE"/>
            <w:noWrap/>
            <w:vAlign w:val="center"/>
            <w:hideMark/>
          </w:tcPr>
          <w:p w14:paraId="4E297056" w14:textId="753D14E7" w:rsidR="0057163C" w:rsidRPr="00170422" w:rsidRDefault="00F37BF9">
            <w:pPr>
              <w:pStyle w:val="P68B1DB1-Normal11"/>
              <w:spacing w:line="276" w:lineRule="auto"/>
              <w:jc w:val="center"/>
              <w:rPr>
                <w:noProof/>
                <w:szCs w:val="20"/>
                <w:lang w:val="de-DE"/>
              </w:rPr>
            </w:pPr>
            <w:r w:rsidRPr="00170422">
              <w:rPr>
                <w:noProof/>
                <w:lang w:val="de-DE"/>
              </w:rPr>
              <w:t>Inkrafttreten des neuen Rechtsrahmens für Bewässerungszwecke</w:t>
            </w:r>
          </w:p>
        </w:tc>
        <w:tc>
          <w:tcPr>
            <w:tcW w:w="1533" w:type="dxa"/>
            <w:tcBorders>
              <w:top w:val="nil"/>
              <w:left w:val="nil"/>
              <w:bottom w:val="single" w:sz="4" w:space="0" w:color="auto"/>
              <w:right w:val="single" w:sz="4" w:space="0" w:color="auto"/>
            </w:tcBorders>
            <w:shd w:val="clear" w:color="auto" w:fill="C6EFCE"/>
            <w:noWrap/>
            <w:vAlign w:val="center"/>
            <w:hideMark/>
          </w:tcPr>
          <w:p w14:paraId="26C76298" w14:textId="4357E50B" w:rsidR="0057163C" w:rsidRPr="00170422" w:rsidRDefault="00F37BF9">
            <w:pPr>
              <w:pStyle w:val="P68B1DB1-Normal11"/>
              <w:spacing w:line="276" w:lineRule="auto"/>
              <w:jc w:val="center"/>
              <w:rPr>
                <w:noProof/>
                <w:szCs w:val="20"/>
                <w:lang w:val="de-DE"/>
              </w:rPr>
            </w:pPr>
            <w:r w:rsidRPr="00170422">
              <w:rPr>
                <w:noProof/>
                <w:lang w:val="de-DE"/>
              </w:rPr>
              <w:t>Bestimmung in der einschlägigen Rechtsvorschrift, aus der das Ink</w:t>
            </w:r>
            <w:r w:rsidRPr="00170422">
              <w:rPr>
                <w:noProof/>
                <w:lang w:val="de-DE"/>
              </w:rPr>
              <w:t>rafttreten hervorgeht</w:t>
            </w:r>
          </w:p>
        </w:tc>
        <w:tc>
          <w:tcPr>
            <w:tcW w:w="1213" w:type="dxa"/>
            <w:tcBorders>
              <w:top w:val="nil"/>
              <w:left w:val="nil"/>
              <w:bottom w:val="single" w:sz="4" w:space="0" w:color="auto"/>
              <w:right w:val="single" w:sz="4" w:space="0" w:color="auto"/>
            </w:tcBorders>
            <w:shd w:val="clear" w:color="auto" w:fill="C6EFCE"/>
            <w:noWrap/>
            <w:vAlign w:val="center"/>
            <w:hideMark/>
          </w:tcPr>
          <w:p w14:paraId="4A1E226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377" w:type="dxa"/>
            <w:tcBorders>
              <w:top w:val="nil"/>
              <w:left w:val="nil"/>
              <w:bottom w:val="single" w:sz="4" w:space="0" w:color="auto"/>
              <w:right w:val="single" w:sz="4" w:space="0" w:color="auto"/>
            </w:tcBorders>
            <w:shd w:val="clear" w:color="auto" w:fill="C6EFCE"/>
            <w:noWrap/>
            <w:vAlign w:val="center"/>
            <w:hideMark/>
          </w:tcPr>
          <w:p w14:paraId="011ACAAC"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0" w:type="dxa"/>
            <w:tcBorders>
              <w:top w:val="nil"/>
              <w:left w:val="nil"/>
              <w:bottom w:val="single" w:sz="4" w:space="0" w:color="auto"/>
              <w:right w:val="single" w:sz="4" w:space="0" w:color="auto"/>
            </w:tcBorders>
            <w:shd w:val="clear" w:color="auto" w:fill="C6EFCE"/>
            <w:noWrap/>
            <w:vAlign w:val="center"/>
            <w:hideMark/>
          </w:tcPr>
          <w:p w14:paraId="7BDDE89F"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tcBorders>
              <w:top w:val="nil"/>
              <w:left w:val="nil"/>
              <w:bottom w:val="single" w:sz="4" w:space="0" w:color="auto"/>
              <w:right w:val="single" w:sz="4" w:space="0" w:color="auto"/>
            </w:tcBorders>
            <w:shd w:val="clear" w:color="auto" w:fill="C6EFCE"/>
            <w:noWrap/>
            <w:vAlign w:val="center"/>
            <w:hideMark/>
          </w:tcPr>
          <w:p w14:paraId="0B320830"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8" w:type="dxa"/>
            <w:tcBorders>
              <w:top w:val="nil"/>
              <w:left w:val="nil"/>
              <w:bottom w:val="single" w:sz="4" w:space="0" w:color="auto"/>
              <w:right w:val="single" w:sz="4" w:space="0" w:color="auto"/>
            </w:tcBorders>
            <w:shd w:val="clear" w:color="auto" w:fill="C6EFCE"/>
            <w:noWrap/>
            <w:vAlign w:val="center"/>
            <w:hideMark/>
          </w:tcPr>
          <w:p w14:paraId="1970D229"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204" w:type="dxa"/>
            <w:tcBorders>
              <w:top w:val="nil"/>
              <w:left w:val="nil"/>
              <w:bottom w:val="single" w:sz="4" w:space="0" w:color="auto"/>
              <w:right w:val="single" w:sz="4" w:space="0" w:color="auto"/>
            </w:tcBorders>
            <w:shd w:val="clear" w:color="auto" w:fill="C6EFCE"/>
            <w:noWrap/>
            <w:vAlign w:val="center"/>
            <w:hideMark/>
          </w:tcPr>
          <w:p w14:paraId="183B35A1" w14:textId="77777777" w:rsidR="0057163C" w:rsidRPr="00170422" w:rsidRDefault="00F37BF9">
            <w:pPr>
              <w:pStyle w:val="P68B1DB1-Normal11"/>
              <w:spacing w:line="276" w:lineRule="auto"/>
              <w:rPr>
                <w:noProof/>
                <w:szCs w:val="20"/>
                <w:lang w:val="de-DE"/>
              </w:rPr>
            </w:pPr>
            <w:r w:rsidRPr="00170422">
              <w:rPr>
                <w:noProof/>
                <w:lang w:val="de-DE"/>
              </w:rPr>
              <w:t>Der überarbeitete Rechtsrahmen muss mindestens</w:t>
            </w:r>
          </w:p>
          <w:p w14:paraId="328526F3" w14:textId="1DFAAC0B" w:rsidR="0057163C" w:rsidRPr="00170422" w:rsidRDefault="00F37BF9">
            <w:pPr>
              <w:pStyle w:val="P68B1DB1-Normal11"/>
              <w:spacing w:line="276" w:lineRule="auto"/>
              <w:rPr>
                <w:noProof/>
                <w:szCs w:val="20"/>
                <w:lang w:val="de-DE"/>
              </w:rPr>
            </w:pPr>
            <w:r w:rsidRPr="00170422">
              <w:rPr>
                <w:noProof/>
                <w:lang w:val="de-DE"/>
              </w:rPr>
              <w:t>Einführung eines Sanktionssystems für die illegale Entnahme von Wasser</w:t>
            </w:r>
          </w:p>
          <w:p w14:paraId="3933FA5D" w14:textId="77777777" w:rsidR="0057163C" w:rsidRPr="00170422" w:rsidRDefault="00F37BF9">
            <w:pPr>
              <w:pStyle w:val="P68B1DB1-Normal11"/>
              <w:spacing w:line="276" w:lineRule="auto"/>
              <w:rPr>
                <w:noProof/>
                <w:szCs w:val="20"/>
                <w:lang w:val="de-DE"/>
              </w:rPr>
            </w:pPr>
            <w:r w:rsidRPr="00170422">
              <w:rPr>
                <w:noProof/>
                <w:lang w:val="de-DE"/>
              </w:rPr>
              <w:t>Eine Folgenabschätzung gemäß Artikel 4 Absatz 7 der Wasserrahmenrichtlinie vor</w:t>
            </w:r>
            <w:r w:rsidRPr="00170422">
              <w:rPr>
                <w:noProof/>
                <w:lang w:val="de-DE"/>
              </w:rPr>
              <w:t>schreiben, um die (möglicherweise kumulativen) Auswirkungen auf alle potenziell betroffenen Wasserkörper zu bewerten.</w:t>
            </w:r>
          </w:p>
          <w:p w14:paraId="1A18A392" w14:textId="34A6DBB1" w:rsidR="0057163C" w:rsidRPr="00170422" w:rsidRDefault="00F37BF9">
            <w:pPr>
              <w:pStyle w:val="P68B1DB1-Normal11"/>
              <w:spacing w:line="276" w:lineRule="auto"/>
              <w:rPr>
                <w:noProof/>
                <w:szCs w:val="20"/>
                <w:lang w:val="de-DE"/>
              </w:rPr>
            </w:pPr>
            <w:r w:rsidRPr="00170422">
              <w:rPr>
                <w:noProof/>
                <w:lang w:val="de-DE"/>
              </w:rPr>
              <w:t>—Sicherzustellen, dass diese Erweiterung des bestehenden Bewässerungssystems (auch durch verstärkte Wassernutzung, d. h. nicht nur physisc</w:t>
            </w:r>
            <w:r w:rsidRPr="00170422">
              <w:rPr>
                <w:noProof/>
                <w:lang w:val="de-DE"/>
              </w:rPr>
              <w:t>he Ausdehnung) auch durch effizientere Methoden vermieden wird, wenn sich die betroffenen Wasserkörper (Oberflächen- oder Grundwasser) in einem schlechteren oder potenziell guten Zustand befinden (im Zusammenhang mit der Intensivierung des Klimawandels).</w:t>
            </w:r>
          </w:p>
        </w:tc>
      </w:tr>
      <w:tr w:rsidR="0057163C" w:rsidRPr="00170422" w14:paraId="006AC47F" w14:textId="77777777" w:rsidTr="00AC496B">
        <w:trPr>
          <w:trHeight w:val="309"/>
          <w:jc w:val="center"/>
        </w:trPr>
        <w:tc>
          <w:tcPr>
            <w:tcW w:w="1161" w:type="dxa"/>
            <w:tcBorders>
              <w:top w:val="nil"/>
              <w:left w:val="single" w:sz="4" w:space="0" w:color="auto"/>
              <w:bottom w:val="single" w:sz="4" w:space="0" w:color="auto"/>
              <w:right w:val="single" w:sz="4" w:space="0" w:color="auto"/>
            </w:tcBorders>
            <w:shd w:val="clear" w:color="auto" w:fill="C6EFCE"/>
            <w:noWrap/>
            <w:vAlign w:val="center"/>
            <w:hideMark/>
          </w:tcPr>
          <w:p w14:paraId="6393B5E8" w14:textId="77777777" w:rsidR="0057163C" w:rsidRPr="00170422" w:rsidRDefault="00F37BF9">
            <w:pPr>
              <w:pStyle w:val="P68B1DB1-Normal11"/>
              <w:spacing w:line="276" w:lineRule="auto"/>
              <w:jc w:val="center"/>
              <w:rPr>
                <w:noProof/>
                <w:szCs w:val="20"/>
                <w:lang w:val="de-DE"/>
              </w:rPr>
            </w:pPr>
            <w:r w:rsidRPr="00170422">
              <w:rPr>
                <w:noProof/>
                <w:lang w:val="de-DE"/>
              </w:rPr>
              <w:t>M2C4-5</w:t>
            </w:r>
          </w:p>
        </w:tc>
        <w:tc>
          <w:tcPr>
            <w:tcW w:w="1917" w:type="dxa"/>
            <w:tcBorders>
              <w:top w:val="single" w:sz="4" w:space="0" w:color="auto"/>
              <w:left w:val="nil"/>
              <w:bottom w:val="single" w:sz="4" w:space="0" w:color="auto"/>
              <w:right w:val="single" w:sz="4" w:space="0" w:color="auto"/>
            </w:tcBorders>
            <w:shd w:val="clear" w:color="auto" w:fill="C6EFCE"/>
            <w:noWrap/>
            <w:vAlign w:val="center"/>
            <w:hideMark/>
          </w:tcPr>
          <w:p w14:paraId="34B67B38" w14:textId="77777777" w:rsidR="0057163C" w:rsidRPr="00170422" w:rsidRDefault="00F37BF9">
            <w:pPr>
              <w:pStyle w:val="P68B1DB1-Normal11"/>
              <w:spacing w:line="276" w:lineRule="auto"/>
              <w:jc w:val="center"/>
              <w:rPr>
                <w:noProof/>
                <w:szCs w:val="20"/>
                <w:lang w:val="de-DE"/>
              </w:rPr>
            </w:pPr>
            <w:r w:rsidRPr="00170422">
              <w:rPr>
                <w:noProof/>
                <w:lang w:val="de-DE"/>
              </w:rPr>
              <w:t>I</w:t>
            </w:r>
            <w:r w:rsidRPr="00170422">
              <w:rPr>
                <w:noProof/>
                <w:lang w:val="de-DE"/>
              </w:rPr>
              <w:t>nvestition 3.2: Digitalisierung von Nationalparks</w:t>
            </w:r>
          </w:p>
        </w:tc>
        <w:tc>
          <w:tcPr>
            <w:tcW w:w="1283" w:type="dxa"/>
            <w:tcBorders>
              <w:top w:val="nil"/>
              <w:left w:val="nil"/>
              <w:bottom w:val="single" w:sz="4" w:space="0" w:color="auto"/>
              <w:right w:val="single" w:sz="4" w:space="0" w:color="auto"/>
            </w:tcBorders>
            <w:shd w:val="clear" w:color="auto" w:fill="C6EFCE"/>
            <w:noWrap/>
            <w:vAlign w:val="center"/>
            <w:hideMark/>
          </w:tcPr>
          <w:p w14:paraId="57A1E96F"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689" w:type="dxa"/>
            <w:tcBorders>
              <w:top w:val="single" w:sz="4" w:space="0" w:color="auto"/>
              <w:left w:val="nil"/>
              <w:bottom w:val="single" w:sz="4" w:space="0" w:color="auto"/>
              <w:right w:val="single" w:sz="4" w:space="0" w:color="auto"/>
            </w:tcBorders>
            <w:shd w:val="clear" w:color="auto" w:fill="C6EFCE"/>
            <w:noWrap/>
            <w:vAlign w:val="center"/>
            <w:hideMark/>
          </w:tcPr>
          <w:p w14:paraId="79853C36" w14:textId="77777777" w:rsidR="0057163C" w:rsidRPr="00170422" w:rsidRDefault="00F37BF9">
            <w:pPr>
              <w:pStyle w:val="P68B1DB1-Normal11"/>
              <w:spacing w:line="276" w:lineRule="auto"/>
              <w:jc w:val="center"/>
              <w:rPr>
                <w:noProof/>
                <w:szCs w:val="20"/>
                <w:lang w:val="de-DE"/>
              </w:rPr>
            </w:pPr>
            <w:r w:rsidRPr="00170422">
              <w:rPr>
                <w:noProof/>
                <w:lang w:val="de-DE"/>
              </w:rPr>
              <w:t>Inkrafttreten der administrativen Vereinfachung und Entwicklung digitaler Dienste für Besucher von Nationalparks und Meeresschutzgebieten</w:t>
            </w:r>
          </w:p>
        </w:tc>
        <w:tc>
          <w:tcPr>
            <w:tcW w:w="1533" w:type="dxa"/>
            <w:tcBorders>
              <w:top w:val="nil"/>
              <w:left w:val="nil"/>
              <w:bottom w:val="single" w:sz="4" w:space="0" w:color="auto"/>
              <w:right w:val="single" w:sz="4" w:space="0" w:color="auto"/>
            </w:tcBorders>
            <w:shd w:val="clear" w:color="auto" w:fill="C6EFCE"/>
            <w:noWrap/>
            <w:vAlign w:val="center"/>
            <w:hideMark/>
          </w:tcPr>
          <w:p w14:paraId="0763CB3F" w14:textId="0046E9E6" w:rsidR="0057163C" w:rsidRPr="00170422" w:rsidRDefault="00F37BF9">
            <w:pPr>
              <w:pStyle w:val="P68B1DB1-Normal11"/>
              <w:spacing w:line="276" w:lineRule="auto"/>
              <w:jc w:val="center"/>
              <w:rPr>
                <w:noProof/>
                <w:szCs w:val="20"/>
                <w:lang w:val="de-DE"/>
              </w:rPr>
            </w:pPr>
            <w:r w:rsidRPr="00170422">
              <w:rPr>
                <w:noProof/>
                <w:lang w:val="de-DE"/>
              </w:rPr>
              <w:t>Bestimmung des Ministerialdekrets über das Inkrafttreten</w:t>
            </w:r>
          </w:p>
        </w:tc>
        <w:tc>
          <w:tcPr>
            <w:tcW w:w="1213" w:type="dxa"/>
            <w:tcBorders>
              <w:top w:val="nil"/>
              <w:left w:val="nil"/>
              <w:bottom w:val="single" w:sz="4" w:space="0" w:color="auto"/>
              <w:right w:val="single" w:sz="4" w:space="0" w:color="auto"/>
            </w:tcBorders>
            <w:shd w:val="clear" w:color="auto" w:fill="C6EFCE"/>
            <w:noWrap/>
            <w:vAlign w:val="center"/>
            <w:hideMark/>
          </w:tcPr>
          <w:p w14:paraId="1A78EB7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377" w:type="dxa"/>
            <w:tcBorders>
              <w:top w:val="nil"/>
              <w:left w:val="nil"/>
              <w:bottom w:val="single" w:sz="4" w:space="0" w:color="auto"/>
              <w:right w:val="single" w:sz="4" w:space="0" w:color="auto"/>
            </w:tcBorders>
            <w:shd w:val="clear" w:color="auto" w:fill="C6EFCE"/>
            <w:noWrap/>
            <w:vAlign w:val="center"/>
            <w:hideMark/>
          </w:tcPr>
          <w:p w14:paraId="2BEDAA7E"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0" w:type="dxa"/>
            <w:tcBorders>
              <w:top w:val="nil"/>
              <w:left w:val="nil"/>
              <w:bottom w:val="single" w:sz="4" w:space="0" w:color="auto"/>
              <w:right w:val="single" w:sz="4" w:space="0" w:color="auto"/>
            </w:tcBorders>
            <w:shd w:val="clear" w:color="auto" w:fill="C6EFCE"/>
            <w:noWrap/>
            <w:vAlign w:val="center"/>
            <w:hideMark/>
          </w:tcPr>
          <w:p w14:paraId="57B2661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tcBorders>
              <w:top w:val="nil"/>
              <w:left w:val="nil"/>
              <w:bottom w:val="single" w:sz="4" w:space="0" w:color="auto"/>
              <w:right w:val="single" w:sz="4" w:space="0" w:color="auto"/>
            </w:tcBorders>
            <w:shd w:val="clear" w:color="auto" w:fill="C6EFCE"/>
            <w:noWrap/>
            <w:vAlign w:val="center"/>
            <w:hideMark/>
          </w:tcPr>
          <w:p w14:paraId="72032A50"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708" w:type="dxa"/>
            <w:tcBorders>
              <w:top w:val="nil"/>
              <w:left w:val="nil"/>
              <w:bottom w:val="single" w:sz="4" w:space="0" w:color="auto"/>
              <w:right w:val="single" w:sz="4" w:space="0" w:color="auto"/>
            </w:tcBorders>
            <w:shd w:val="clear" w:color="auto" w:fill="C6EFCE"/>
            <w:noWrap/>
            <w:vAlign w:val="center"/>
            <w:hideMark/>
          </w:tcPr>
          <w:p w14:paraId="7E7B3479"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204" w:type="dxa"/>
            <w:tcBorders>
              <w:top w:val="nil"/>
              <w:left w:val="nil"/>
              <w:bottom w:val="single" w:sz="4" w:space="0" w:color="auto"/>
              <w:right w:val="single" w:sz="4" w:space="0" w:color="auto"/>
            </w:tcBorders>
            <w:shd w:val="clear" w:color="auto" w:fill="C6EFCE"/>
            <w:noWrap/>
            <w:vAlign w:val="center"/>
            <w:hideMark/>
          </w:tcPr>
          <w:p w14:paraId="5798F812" w14:textId="4CD20637" w:rsidR="0057163C" w:rsidRPr="00170422" w:rsidRDefault="00F37BF9">
            <w:pPr>
              <w:pStyle w:val="P68B1DB1-Normal11"/>
              <w:spacing w:line="276" w:lineRule="auto"/>
              <w:rPr>
                <w:noProof/>
                <w:szCs w:val="20"/>
                <w:lang w:val="de-DE"/>
              </w:rPr>
            </w:pPr>
            <w:r w:rsidRPr="00170422">
              <w:rPr>
                <w:noProof/>
                <w:lang w:val="de-DE"/>
              </w:rPr>
              <w:t>Mit dem Ministerialdekret wird die Entwicklung digitaler Dienste für Besucher von Nationalparks und Meeresschutzgebieten vorgeschrieben.</w:t>
            </w:r>
          </w:p>
          <w:p w14:paraId="2271BCF5" w14:textId="77777777" w:rsidR="0057163C" w:rsidRPr="00170422" w:rsidRDefault="0057163C">
            <w:pPr>
              <w:spacing w:line="276" w:lineRule="auto"/>
              <w:rPr>
                <w:rFonts w:ascii="Arial Narrow" w:hAnsi="Arial Narrow"/>
                <w:noProof/>
                <w:color w:val="006100"/>
                <w:sz w:val="20"/>
                <w:szCs w:val="20"/>
                <w:lang w:val="de-DE"/>
              </w:rPr>
            </w:pPr>
          </w:p>
        </w:tc>
      </w:tr>
      <w:tr w:rsidR="0057163C" w:rsidRPr="00170422" w14:paraId="13D75684" w14:textId="77777777" w:rsidTr="00AC496B">
        <w:trPr>
          <w:trHeight w:val="309"/>
          <w:jc w:val="center"/>
        </w:trPr>
        <w:tc>
          <w:tcPr>
            <w:tcW w:w="1161" w:type="dxa"/>
            <w:tcBorders>
              <w:top w:val="nil"/>
              <w:left w:val="single" w:sz="4" w:space="0" w:color="auto"/>
              <w:bottom w:val="single" w:sz="4" w:space="0" w:color="auto"/>
              <w:right w:val="single" w:sz="4" w:space="0" w:color="auto"/>
            </w:tcBorders>
            <w:shd w:val="clear" w:color="auto" w:fill="C6EFCE"/>
            <w:noWrap/>
            <w:vAlign w:val="center"/>
            <w:hideMark/>
          </w:tcPr>
          <w:p w14:paraId="32BFD37D" w14:textId="77777777" w:rsidR="0057163C" w:rsidRPr="00170422" w:rsidRDefault="00F37BF9">
            <w:pPr>
              <w:pStyle w:val="P68B1DB1-Normal11"/>
              <w:spacing w:line="276" w:lineRule="auto"/>
              <w:jc w:val="center"/>
              <w:rPr>
                <w:noProof/>
                <w:lang w:val="de-DE"/>
              </w:rPr>
            </w:pPr>
            <w:r w:rsidRPr="00170422">
              <w:rPr>
                <w:noProof/>
                <w:lang w:val="de-DE"/>
              </w:rPr>
              <w:t>M2C4-32</w:t>
            </w:r>
          </w:p>
        </w:tc>
        <w:tc>
          <w:tcPr>
            <w:tcW w:w="1917" w:type="dxa"/>
            <w:tcBorders>
              <w:top w:val="single" w:sz="4" w:space="0" w:color="auto"/>
              <w:left w:val="nil"/>
              <w:bottom w:val="single" w:sz="4" w:space="0" w:color="auto"/>
              <w:right w:val="single" w:sz="4" w:space="0" w:color="auto"/>
            </w:tcBorders>
            <w:shd w:val="clear" w:color="auto" w:fill="C6EFCE"/>
            <w:noWrap/>
            <w:vAlign w:val="center"/>
            <w:hideMark/>
          </w:tcPr>
          <w:p w14:paraId="04213ECD" w14:textId="77777777" w:rsidR="0057163C" w:rsidRPr="00170422" w:rsidRDefault="00F37BF9">
            <w:pPr>
              <w:pStyle w:val="P68B1DB1-Normal11"/>
              <w:spacing w:line="276" w:lineRule="auto"/>
              <w:jc w:val="center"/>
              <w:rPr>
                <w:noProof/>
                <w:lang w:val="de-DE"/>
              </w:rPr>
            </w:pPr>
            <w:r w:rsidRPr="00170422">
              <w:rPr>
                <w:noProof/>
                <w:lang w:val="de-DE"/>
              </w:rPr>
              <w:t xml:space="preserve">Investition 4.2. Verringerung der Verluste in den Wasserverteilungsnetzen, </w:t>
            </w:r>
            <w:r w:rsidRPr="00170422">
              <w:rPr>
                <w:noProof/>
                <w:lang w:val="de-DE"/>
              </w:rPr>
              <w:t>einschließlich Digitalisierung und Überwachung der Netze</w:t>
            </w:r>
          </w:p>
        </w:tc>
        <w:tc>
          <w:tcPr>
            <w:tcW w:w="1283" w:type="dxa"/>
            <w:tcBorders>
              <w:top w:val="nil"/>
              <w:left w:val="nil"/>
              <w:bottom w:val="single" w:sz="4" w:space="0" w:color="auto"/>
              <w:right w:val="single" w:sz="4" w:space="0" w:color="auto"/>
            </w:tcBorders>
            <w:shd w:val="clear" w:color="auto" w:fill="C6EFCE"/>
            <w:noWrap/>
            <w:vAlign w:val="center"/>
            <w:hideMark/>
          </w:tcPr>
          <w:p w14:paraId="0A72F087" w14:textId="77777777" w:rsidR="0057163C" w:rsidRPr="00170422" w:rsidRDefault="00F37BF9">
            <w:pPr>
              <w:pStyle w:val="P68B1DB1-Normal11"/>
              <w:spacing w:line="276" w:lineRule="auto"/>
              <w:jc w:val="center"/>
              <w:rPr>
                <w:noProof/>
                <w:lang w:val="de-DE"/>
              </w:rPr>
            </w:pPr>
            <w:r w:rsidRPr="00170422">
              <w:rPr>
                <w:noProof/>
                <w:lang w:val="de-DE"/>
              </w:rPr>
              <w:t>Ziel</w:t>
            </w:r>
          </w:p>
        </w:tc>
        <w:tc>
          <w:tcPr>
            <w:tcW w:w="1689" w:type="dxa"/>
            <w:tcBorders>
              <w:top w:val="single" w:sz="4" w:space="0" w:color="auto"/>
              <w:left w:val="nil"/>
              <w:bottom w:val="single" w:sz="4" w:space="0" w:color="auto"/>
              <w:right w:val="single" w:sz="4" w:space="0" w:color="auto"/>
            </w:tcBorders>
            <w:shd w:val="clear" w:color="auto" w:fill="C6EFCE"/>
            <w:noWrap/>
            <w:vAlign w:val="center"/>
            <w:hideMark/>
          </w:tcPr>
          <w:p w14:paraId="76822B67" w14:textId="77777777" w:rsidR="0057163C" w:rsidRPr="00170422" w:rsidRDefault="00F37BF9">
            <w:pPr>
              <w:pStyle w:val="P68B1DB1-Normal11"/>
              <w:spacing w:line="276" w:lineRule="auto"/>
              <w:jc w:val="center"/>
              <w:rPr>
                <w:noProof/>
                <w:lang w:val="de-DE"/>
              </w:rPr>
            </w:pPr>
            <w:r w:rsidRPr="00170422">
              <w:rPr>
                <w:noProof/>
                <w:lang w:val="de-DE"/>
              </w:rPr>
              <w:t>Interventionen in Wasserversorgungsnetzen, einschließlich Digitalisierung und Überwachung der Netze T2</w:t>
            </w:r>
          </w:p>
        </w:tc>
        <w:tc>
          <w:tcPr>
            <w:tcW w:w="1533" w:type="dxa"/>
            <w:tcBorders>
              <w:top w:val="nil"/>
              <w:left w:val="nil"/>
              <w:bottom w:val="single" w:sz="4" w:space="0" w:color="auto"/>
              <w:right w:val="single" w:sz="4" w:space="0" w:color="auto"/>
            </w:tcBorders>
            <w:shd w:val="clear" w:color="auto" w:fill="C6EFCE"/>
            <w:noWrap/>
            <w:vAlign w:val="center"/>
            <w:hideMark/>
          </w:tcPr>
          <w:p w14:paraId="7AC80FBE" w14:textId="77777777" w:rsidR="0057163C" w:rsidRPr="00170422" w:rsidRDefault="00F37BF9">
            <w:pPr>
              <w:pStyle w:val="P68B1DB1-Normal11"/>
              <w:spacing w:line="276" w:lineRule="auto"/>
              <w:jc w:val="center"/>
              <w:rPr>
                <w:noProof/>
                <w:lang w:val="de-DE"/>
              </w:rPr>
            </w:pPr>
            <w:r w:rsidRPr="00170422">
              <w:rPr>
                <w:noProof/>
                <w:lang w:val="de-DE"/>
              </w:rPr>
              <w:t>ENTFÄLLT.</w:t>
            </w:r>
          </w:p>
        </w:tc>
        <w:tc>
          <w:tcPr>
            <w:tcW w:w="1213" w:type="dxa"/>
            <w:tcBorders>
              <w:top w:val="nil"/>
              <w:left w:val="nil"/>
              <w:bottom w:val="single" w:sz="4" w:space="0" w:color="auto"/>
              <w:right w:val="single" w:sz="4" w:space="0" w:color="auto"/>
            </w:tcBorders>
            <w:shd w:val="clear" w:color="auto" w:fill="C6EFCE"/>
            <w:noWrap/>
            <w:vAlign w:val="center"/>
            <w:hideMark/>
          </w:tcPr>
          <w:p w14:paraId="6810D9A4" w14:textId="77777777" w:rsidR="0057163C" w:rsidRPr="00170422" w:rsidRDefault="00F37BF9">
            <w:pPr>
              <w:pStyle w:val="P68B1DB1-Normal11"/>
              <w:spacing w:line="276" w:lineRule="auto"/>
              <w:jc w:val="center"/>
              <w:rPr>
                <w:noProof/>
                <w:lang w:val="de-DE"/>
              </w:rPr>
            </w:pPr>
            <w:r w:rsidRPr="00170422">
              <w:rPr>
                <w:noProof/>
                <w:lang w:val="de-DE"/>
              </w:rPr>
              <w:t>Anzahl</w:t>
            </w:r>
          </w:p>
        </w:tc>
        <w:tc>
          <w:tcPr>
            <w:tcW w:w="1377" w:type="dxa"/>
            <w:tcBorders>
              <w:top w:val="nil"/>
              <w:left w:val="nil"/>
              <w:bottom w:val="single" w:sz="4" w:space="0" w:color="auto"/>
              <w:right w:val="single" w:sz="4" w:space="0" w:color="auto"/>
            </w:tcBorders>
            <w:shd w:val="clear" w:color="auto" w:fill="C6EFCE"/>
            <w:noWrap/>
            <w:vAlign w:val="center"/>
            <w:hideMark/>
          </w:tcPr>
          <w:p w14:paraId="697A5EE3" w14:textId="77777777" w:rsidR="0057163C" w:rsidRPr="00170422" w:rsidRDefault="00F37BF9">
            <w:pPr>
              <w:pStyle w:val="P68B1DB1-Normal11"/>
              <w:spacing w:line="276" w:lineRule="auto"/>
              <w:jc w:val="center"/>
              <w:rPr>
                <w:noProof/>
                <w:lang w:val="de-DE"/>
              </w:rPr>
            </w:pPr>
            <w:r w:rsidRPr="00170422">
              <w:rPr>
                <w:noProof/>
                <w:lang w:val="de-DE"/>
              </w:rPr>
              <w:t>14 000</w:t>
            </w:r>
          </w:p>
        </w:tc>
        <w:tc>
          <w:tcPr>
            <w:tcW w:w="850" w:type="dxa"/>
            <w:tcBorders>
              <w:top w:val="nil"/>
              <w:left w:val="nil"/>
              <w:bottom w:val="single" w:sz="4" w:space="0" w:color="auto"/>
              <w:right w:val="single" w:sz="4" w:space="0" w:color="auto"/>
            </w:tcBorders>
            <w:shd w:val="clear" w:color="auto" w:fill="C6EFCE"/>
            <w:noWrap/>
            <w:vAlign w:val="center"/>
            <w:hideMark/>
          </w:tcPr>
          <w:p w14:paraId="16972367" w14:textId="77777777" w:rsidR="0057163C" w:rsidRPr="00170422" w:rsidRDefault="00F37BF9">
            <w:pPr>
              <w:pStyle w:val="P68B1DB1-Normal11"/>
              <w:spacing w:line="276" w:lineRule="auto"/>
              <w:jc w:val="center"/>
              <w:rPr>
                <w:noProof/>
                <w:lang w:val="de-DE"/>
              </w:rPr>
            </w:pPr>
            <w:r w:rsidRPr="00170422">
              <w:rPr>
                <w:noProof/>
                <w:lang w:val="de-DE"/>
              </w:rPr>
              <w:t>45 000</w:t>
            </w:r>
          </w:p>
        </w:tc>
        <w:tc>
          <w:tcPr>
            <w:tcW w:w="851" w:type="dxa"/>
            <w:tcBorders>
              <w:top w:val="nil"/>
              <w:left w:val="nil"/>
              <w:bottom w:val="single" w:sz="4" w:space="0" w:color="auto"/>
              <w:right w:val="single" w:sz="4" w:space="0" w:color="auto"/>
            </w:tcBorders>
            <w:shd w:val="clear" w:color="auto" w:fill="C6EFCE"/>
            <w:noWrap/>
            <w:vAlign w:val="center"/>
            <w:hideMark/>
          </w:tcPr>
          <w:p w14:paraId="3F35E057" w14:textId="77777777" w:rsidR="0057163C" w:rsidRPr="00170422" w:rsidRDefault="00F37BF9">
            <w:pPr>
              <w:pStyle w:val="P68B1DB1-Normal11"/>
              <w:spacing w:line="276" w:lineRule="auto"/>
              <w:jc w:val="center"/>
              <w:rPr>
                <w:noProof/>
                <w:lang w:val="de-DE"/>
              </w:rPr>
            </w:pPr>
            <w:r w:rsidRPr="00170422">
              <w:rPr>
                <w:noProof/>
                <w:lang w:val="de-DE"/>
              </w:rPr>
              <w:t>4. QUARTAL</w:t>
            </w:r>
          </w:p>
        </w:tc>
        <w:tc>
          <w:tcPr>
            <w:tcW w:w="708" w:type="dxa"/>
            <w:tcBorders>
              <w:top w:val="nil"/>
              <w:left w:val="nil"/>
              <w:bottom w:val="single" w:sz="4" w:space="0" w:color="auto"/>
              <w:right w:val="single" w:sz="4" w:space="0" w:color="auto"/>
            </w:tcBorders>
            <w:shd w:val="clear" w:color="auto" w:fill="C6EFCE"/>
            <w:noWrap/>
            <w:vAlign w:val="center"/>
            <w:hideMark/>
          </w:tcPr>
          <w:p w14:paraId="10EC2CBF" w14:textId="77777777" w:rsidR="0057163C" w:rsidRPr="00170422" w:rsidRDefault="00F37BF9">
            <w:pPr>
              <w:pStyle w:val="P68B1DB1-Normal11"/>
              <w:spacing w:line="276" w:lineRule="auto"/>
              <w:jc w:val="center"/>
              <w:rPr>
                <w:noProof/>
                <w:lang w:val="de-DE"/>
              </w:rPr>
            </w:pPr>
            <w:r w:rsidRPr="00170422">
              <w:rPr>
                <w:noProof/>
                <w:lang w:val="de-DE"/>
              </w:rPr>
              <w:t>2025</w:t>
            </w:r>
          </w:p>
        </w:tc>
        <w:tc>
          <w:tcPr>
            <w:tcW w:w="2204" w:type="dxa"/>
            <w:tcBorders>
              <w:top w:val="nil"/>
              <w:left w:val="nil"/>
              <w:bottom w:val="single" w:sz="4" w:space="0" w:color="auto"/>
              <w:right w:val="single" w:sz="4" w:space="0" w:color="auto"/>
            </w:tcBorders>
            <w:shd w:val="clear" w:color="auto" w:fill="C6EFCE"/>
            <w:noWrap/>
            <w:vAlign w:val="center"/>
            <w:hideMark/>
          </w:tcPr>
          <w:p w14:paraId="4F7D4545" w14:textId="77777777" w:rsidR="0057163C" w:rsidRPr="00170422" w:rsidRDefault="00F37BF9">
            <w:pPr>
              <w:pStyle w:val="P68B1DB1-Normal11"/>
              <w:spacing w:line="276" w:lineRule="auto"/>
              <w:rPr>
                <w:noProof/>
                <w:lang w:val="de-DE"/>
              </w:rPr>
            </w:pPr>
            <w:r w:rsidRPr="00170422">
              <w:rPr>
                <w:noProof/>
                <w:lang w:val="de-DE"/>
              </w:rPr>
              <w:t>Bezirke von mindestens 45 000 km Wassernetz</w:t>
            </w:r>
          </w:p>
        </w:tc>
      </w:tr>
    </w:tbl>
    <w:p w14:paraId="1B00E62D" w14:textId="77777777" w:rsidR="0057163C" w:rsidRPr="00170422" w:rsidRDefault="0057163C">
      <w:pPr>
        <w:spacing w:before="120" w:after="120"/>
        <w:ind w:left="709"/>
        <w:jc w:val="both"/>
        <w:rPr>
          <w:noProof/>
          <w:lang w:val="de-DE"/>
        </w:rPr>
      </w:pPr>
    </w:p>
    <w:p w14:paraId="0C8AFC02" w14:textId="77777777" w:rsidR="0057163C" w:rsidRPr="00170422" w:rsidRDefault="0057163C">
      <w:pPr>
        <w:spacing w:before="120" w:after="120"/>
        <w:ind w:left="709"/>
        <w:jc w:val="both"/>
        <w:rPr>
          <w:noProof/>
          <w:lang w:val="de-DE"/>
        </w:rPr>
        <w:sectPr w:rsidR="0057163C" w:rsidRPr="00170422" w:rsidSect="005F11B9">
          <w:headerReference w:type="even" r:id="rId122"/>
          <w:headerReference w:type="default" r:id="rId123"/>
          <w:footerReference w:type="even" r:id="rId124"/>
          <w:footerReference w:type="default" r:id="rId125"/>
          <w:headerReference w:type="first" r:id="rId126"/>
          <w:footerReference w:type="first" r:id="rId127"/>
          <w:pgSz w:w="16838" w:h="11906" w:orient="landscape" w:code="9"/>
          <w:pgMar w:top="1134" w:right="1134" w:bottom="1134" w:left="1134" w:header="567" w:footer="567" w:gutter="0"/>
          <w:cols w:space="720"/>
          <w:docGrid w:linePitch="360"/>
        </w:sectPr>
      </w:pPr>
    </w:p>
    <w:p w14:paraId="4AF2856C"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G.3. </w:t>
      </w:r>
      <w:r w:rsidRPr="00170422">
        <w:rPr>
          <w:noProof/>
          <w:lang w:val="de-DE"/>
        </w:rPr>
        <w:t xml:space="preserve"> </w:t>
      </w:r>
      <w:r w:rsidRPr="00170422">
        <w:rPr>
          <w:b/>
          <w:noProof/>
          <w:u w:val="single"/>
          <w:lang w:val="de-DE"/>
        </w:rPr>
        <w:t xml:space="preserve">Beschreibung der Reformen und Investitionen (Darlehen) </w:t>
      </w:r>
    </w:p>
    <w:p w14:paraId="54F55444" w14:textId="77777777" w:rsidR="0057163C" w:rsidRPr="00170422" w:rsidRDefault="00F37BF9">
      <w:pPr>
        <w:pStyle w:val="P68B1DB1-Normal5"/>
        <w:spacing w:before="120" w:after="120" w:line="257" w:lineRule="auto"/>
        <w:jc w:val="both"/>
        <w:rPr>
          <w:noProof/>
          <w:lang w:val="de-DE"/>
        </w:rPr>
      </w:pPr>
      <w:r w:rsidRPr="00170422">
        <w:rPr>
          <w:noProof/>
          <w:lang w:val="de-DE"/>
        </w:rPr>
        <w:t xml:space="preserve">Reform 3.1 Annahme nationaler Programme zur Luftreinhaltung </w:t>
      </w:r>
    </w:p>
    <w:p w14:paraId="62AE968F" w14:textId="77777777" w:rsidR="0057163C" w:rsidRPr="00170422" w:rsidRDefault="00F37BF9">
      <w:pPr>
        <w:pStyle w:val="P68B1DB1-Normal7"/>
        <w:spacing w:before="120" w:after="120"/>
        <w:jc w:val="both"/>
        <w:rPr>
          <w:noProof/>
          <w:lang w:val="de-DE"/>
        </w:rPr>
      </w:pPr>
      <w:r w:rsidRPr="00170422">
        <w:rPr>
          <w:noProof/>
          <w:lang w:val="de-DE"/>
        </w:rPr>
        <w:t>Ziel der Reform ist die Angleichung der nationalen und regionalen Recht</w:t>
      </w:r>
      <w:r w:rsidRPr="00170422">
        <w:rPr>
          <w:noProof/>
          <w:lang w:val="de-DE"/>
        </w:rPr>
        <w:t>svorschriften und die Einführung damit zusammenhängender Maßnahmen zur Verringerung der Emissionen von Luftschadstoffen (im Einklang mit den Zielen der Richtlinie 2016/2284 über nationale Emissionshöchstmengen und die Veränderung von Klimagasen).</w:t>
      </w:r>
    </w:p>
    <w:p w14:paraId="5ED2CE54"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w:t>
      </w:r>
      <w:r w:rsidRPr="00170422">
        <w:rPr>
          <w:noProof/>
          <w:lang w:val="de-DE"/>
        </w:rPr>
        <w:t>on 1.1: Einführung eines fortgeschrittenen und integrierten Überwachungs- und Prognosesystems</w:t>
      </w:r>
    </w:p>
    <w:p w14:paraId="5842594F" w14:textId="3B87D2CE" w:rsidR="0057163C" w:rsidRPr="00170422" w:rsidRDefault="00F37BF9">
      <w:pPr>
        <w:pStyle w:val="P68B1DB1-Normal7"/>
        <w:spacing w:before="120" w:after="120"/>
        <w:jc w:val="both"/>
        <w:rPr>
          <w:noProof/>
          <w:lang w:val="de-DE"/>
        </w:rPr>
      </w:pPr>
      <w:r w:rsidRPr="00170422">
        <w:rPr>
          <w:noProof/>
          <w:lang w:val="de-DE"/>
        </w:rPr>
        <w:t>Ziel dieser Investition ist es, Risiken, die sich aus den Auswirkungen des Klimawandels und einer unzureichenden Raumplanung ergeben, zu ermitteln und vorherzusag</w:t>
      </w:r>
      <w:r w:rsidRPr="00170422">
        <w:rPr>
          <w:noProof/>
          <w:lang w:val="de-DE"/>
        </w:rPr>
        <w:t>en und Informationen für Risikopräventionspläne bereitzustellen. Diese Investition besteht in der Einrichtung eines Überwachungssystems, das die Fernsteuerung großer Gebiete und die Identifizierung der illegalen Abfallbeseitigung ermöglicht.</w:t>
      </w:r>
    </w:p>
    <w:p w14:paraId="04692204"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2.</w:t>
      </w:r>
      <w:r w:rsidRPr="00170422">
        <w:rPr>
          <w:noProof/>
          <w:lang w:val="de-DE"/>
        </w:rPr>
        <w:t>1: Maßnahmen zur Verringerung des Hochwasserrisikos und des hydrogeologischen Risikos</w:t>
      </w:r>
    </w:p>
    <w:p w14:paraId="59DBF6AD" w14:textId="14513EE2" w:rsidR="0057163C" w:rsidRPr="00170422" w:rsidRDefault="00F37BF9">
      <w:pPr>
        <w:pStyle w:val="P68B1DB1-Normal7"/>
        <w:spacing w:after="120"/>
        <w:jc w:val="both"/>
        <w:rPr>
          <w:noProof/>
          <w:lang w:val="de-DE"/>
        </w:rPr>
      </w:pPr>
      <w:r w:rsidRPr="00170422">
        <w:rPr>
          <w:noProof/>
          <w:lang w:val="de-DE"/>
        </w:rPr>
        <w:t xml:space="preserve">Ziel dieser Maßnahme ist es, die hydrogeologische Instabilität in Italien zu bekämpfen. Die Maßnahme besteht aus zwei Handlungslinien: </w:t>
      </w:r>
      <w:r w:rsidRPr="00170422">
        <w:rPr>
          <w:i/>
          <w:noProof/>
          <w:lang w:val="de-DE"/>
        </w:rPr>
        <w:t>Protezione Civile</w:t>
      </w:r>
      <w:r w:rsidRPr="00170422">
        <w:rPr>
          <w:noProof/>
          <w:lang w:val="de-DE"/>
        </w:rPr>
        <w:t xml:space="preserve"> und</w:t>
      </w:r>
      <w:r w:rsidRPr="00170422">
        <w:rPr>
          <w:i/>
          <w:noProof/>
          <w:lang w:val="de-DE"/>
        </w:rPr>
        <w:t xml:space="preserve"> </w:t>
      </w:r>
      <w:r w:rsidRPr="00170422">
        <w:rPr>
          <w:noProof/>
          <w:lang w:val="de-DE"/>
        </w:rPr>
        <w:t>„Notfallbeauftragter für den Wiederaufbau in den Gebieten Emilia Romagna, Toskana und Marken“, die von den Überschwemmungen im Mai 2023 betroffen sind</w:t>
      </w:r>
      <w:r w:rsidRPr="00170422">
        <w:rPr>
          <w:i/>
          <w:noProof/>
          <w:lang w:val="de-DE"/>
        </w:rPr>
        <w:t xml:space="preserve"> (Commissario per la ricostruzione nel territorio della regione Emilia Romagna, Toscana e Marche)</w:t>
      </w:r>
      <w:r w:rsidRPr="00170422">
        <w:rPr>
          <w:noProof/>
          <w:lang w:val="de-DE"/>
        </w:rPr>
        <w:t xml:space="preserve"> als zust</w:t>
      </w:r>
      <w:r w:rsidRPr="00170422">
        <w:rPr>
          <w:noProof/>
          <w:lang w:val="de-DE"/>
        </w:rPr>
        <w:t xml:space="preserve">ändige Verwaltung: die erste Aktionslinie betrifft eine Reihe von Maßnahmen zur Wiederherstellung beschädigter öffentlicher Strukturen und Infrastrukturen (Interventionen des Typs E) und zur Verringerung des Restrisikos, das eng mit dem Ereignis verbunden </w:t>
      </w:r>
      <w:r w:rsidRPr="00170422">
        <w:rPr>
          <w:noProof/>
          <w:lang w:val="de-DE"/>
        </w:rPr>
        <w:t>ist und in erster Linie dem Schutz der öffentlichen und privaten Sicherheit dient (Interventionen des Typs D); die zweite Aktionslinie betrifft Maßnahmen zur Wiederherstellung von Wasserstraßen und zur Verbesserung des Schutzes vor Überschwemmungen und Erd</w:t>
      </w:r>
      <w:r w:rsidRPr="00170422">
        <w:rPr>
          <w:noProof/>
          <w:lang w:val="de-DE"/>
        </w:rPr>
        <w:t>rutschen sowie Maßnahmen zur Sanierung des Verkehrsnetzes in den von den Überschwemmungen vom Mai 2023 betroffenen Gebieten.</w:t>
      </w:r>
    </w:p>
    <w:p w14:paraId="66933458" w14:textId="77777777" w:rsidR="0057163C" w:rsidRPr="00170422" w:rsidRDefault="00F37BF9">
      <w:pPr>
        <w:pStyle w:val="P68B1DB1-Normal5"/>
        <w:spacing w:before="120" w:after="120" w:line="257" w:lineRule="auto"/>
        <w:jc w:val="both"/>
        <w:rPr>
          <w:bCs/>
          <w:noProof/>
          <w:lang w:val="de-DE"/>
        </w:rPr>
      </w:pPr>
      <w:r w:rsidRPr="00170422">
        <w:rPr>
          <w:noProof/>
          <w:lang w:val="de-DE"/>
        </w:rPr>
        <w:t xml:space="preserve">Investition 3.1: Schutz und Verbesserung städtischer und stadtnaher Wälder </w:t>
      </w:r>
    </w:p>
    <w:p w14:paraId="384C0A95" w14:textId="0BE62598" w:rsidR="0057163C" w:rsidRPr="00170422" w:rsidRDefault="00F37BF9">
      <w:pPr>
        <w:pStyle w:val="P68B1DB1-Normal7"/>
        <w:spacing w:before="120" w:after="120"/>
        <w:jc w:val="both"/>
        <w:rPr>
          <w:noProof/>
          <w:lang w:val="de-DE"/>
        </w:rPr>
      </w:pPr>
      <w:r w:rsidRPr="00170422">
        <w:rPr>
          <w:noProof/>
          <w:lang w:val="de-DE"/>
        </w:rPr>
        <w:t>Ziel dieser Maßnahme ist es, Grünflächen zu schützen un</w:t>
      </w:r>
      <w:r w:rsidRPr="00170422">
        <w:rPr>
          <w:noProof/>
          <w:lang w:val="de-DE"/>
        </w:rPr>
        <w:t>d ihre Zahl zu erhöhen, um sowohl die biologische Vielfalt zu erhalten und zu verbessern als auch die Lebensqualität der Bewohner dieser Gebiete zu verbessern. Die Maßnahme besteht darin, forstliches Vermehrungsgut (Samen oder Pflanzen) für mindestens 4500</w:t>
      </w:r>
      <w:r w:rsidRPr="00170422">
        <w:rPr>
          <w:noProof/>
          <w:lang w:val="de-DE"/>
        </w:rPr>
        <w:t>000 Bäume und Sträucher (in 4 500 Hektar) anzupflanzen, von denen mindestens 3,5 Millionen Bäume am endgültigen Bestimmungsort in den 14 Großstädten Italiens umgepflanzt wurden.</w:t>
      </w:r>
    </w:p>
    <w:p w14:paraId="583EBE35" w14:textId="77777777" w:rsidR="0057163C" w:rsidRPr="00170422" w:rsidRDefault="00F37BF9">
      <w:pPr>
        <w:pStyle w:val="P68B1DB1-Times1276"/>
        <w:rPr>
          <w:noProof/>
          <w:lang w:val="de-DE"/>
        </w:rPr>
      </w:pPr>
      <w:r w:rsidRPr="00170422">
        <w:rPr>
          <w:noProof/>
          <w:lang w:val="de-DE"/>
        </w:rPr>
        <w:t>Investition 3.2 – Digitalisierung von Nationalparks und Meeresschutzgebieten</w:t>
      </w:r>
    </w:p>
    <w:p w14:paraId="7A13ED6A" w14:textId="30454FB6" w:rsidR="0057163C" w:rsidRPr="00170422" w:rsidRDefault="00F37BF9">
      <w:pPr>
        <w:pStyle w:val="P68B1DB1-Times1277"/>
        <w:rPr>
          <w:noProof/>
          <w:lang w:val="de-DE"/>
        </w:rPr>
      </w:pPr>
      <w:r w:rsidRPr="00170422">
        <w:rPr>
          <w:noProof/>
          <w:lang w:val="de-DE"/>
        </w:rPr>
        <w:t>Z</w:t>
      </w:r>
      <w:r w:rsidRPr="00170422">
        <w:rPr>
          <w:noProof/>
          <w:lang w:val="de-DE"/>
        </w:rPr>
        <w:t>iel dieser Maßnahme ist die Modernisierung und Digitalisierung der Verfahren im Zusammenhang mit dem Betrieb von Nationalparks und Meeresschutzgebieten. Die Maßnahme umfasst digitale Dienstleistungen für Besucher und Eingriffe in den Naturschutz und die Üb</w:t>
      </w:r>
      <w:r w:rsidRPr="00170422">
        <w:rPr>
          <w:noProof/>
          <w:lang w:val="de-DE"/>
        </w:rPr>
        <w:t>erwachung der natürlichen Ressourcen.</w:t>
      </w:r>
    </w:p>
    <w:p w14:paraId="6987E681"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3.3 – Umstrukturierung des Po-Gebiets</w:t>
      </w:r>
    </w:p>
    <w:p w14:paraId="1DA2CB64" w14:textId="77777777" w:rsidR="0057163C" w:rsidRPr="00170422" w:rsidRDefault="00F37BF9">
      <w:pPr>
        <w:pStyle w:val="P68B1DB1-Normal7"/>
        <w:spacing w:before="120" w:after="120"/>
        <w:jc w:val="both"/>
        <w:rPr>
          <w:noProof/>
          <w:lang w:val="de-DE"/>
        </w:rPr>
      </w:pPr>
      <w:r w:rsidRPr="00170422">
        <w:rPr>
          <w:noProof/>
          <w:lang w:val="de-DE"/>
        </w:rPr>
        <w:t xml:space="preserve">Ziel dieser Maßnahme ist es, natürliche Prozesse wiederzubeleben und die Wiederherstellung der biologischen Vielfalt im Flussgebiet Po zu fördern. Die Maßnahme besteht </w:t>
      </w:r>
      <w:r w:rsidRPr="00170422">
        <w:rPr>
          <w:noProof/>
          <w:lang w:val="de-DE"/>
        </w:rPr>
        <w:t>in der Durchführung von Maßnahmen zur Verringerung der künstlichen Fließbette.</w:t>
      </w:r>
    </w:p>
    <w:p w14:paraId="09617DB8"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3.4: Sanierung verwaister Stätten</w:t>
      </w:r>
    </w:p>
    <w:p w14:paraId="7C20ACC5" w14:textId="77777777" w:rsidR="0057163C" w:rsidRPr="00170422" w:rsidRDefault="00F37BF9">
      <w:pPr>
        <w:pStyle w:val="P68B1DB1-Normal7"/>
        <w:spacing w:before="120" w:after="120"/>
        <w:jc w:val="both"/>
        <w:rPr>
          <w:noProof/>
          <w:lang w:val="de-DE"/>
        </w:rPr>
      </w:pPr>
      <w:r w:rsidRPr="00170422">
        <w:rPr>
          <w:noProof/>
          <w:lang w:val="de-DE"/>
        </w:rPr>
        <w:t>Ziel dieser</w:t>
      </w:r>
      <w:r w:rsidRPr="00170422">
        <w:rPr>
          <w:noProof/>
          <w:lang w:val="de-DE"/>
        </w:rPr>
        <w:t xml:space="preserve"> Maßnahme ist es, die Umweltauswirkungen von „Orphan-Standorten“ zu verringern und somit indirekt die Kreislaufwirtschaft zu fördern. Diese Investition besteht in der Annahme eines Aktionsplans für die Ermittlung und Revitalisierung von Orphan-Standorten i</w:t>
      </w:r>
      <w:r w:rsidRPr="00170422">
        <w:rPr>
          <w:noProof/>
          <w:lang w:val="de-DE"/>
        </w:rPr>
        <w:t>n allen italienischen Regionen und autonomen Provinzen sowie in der Durchführung spezifischer Maßnahmen zu deren Wiederherstellung.</w:t>
      </w:r>
    </w:p>
    <w:p w14:paraId="0C90F2DD"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3.5: Wiederherstellung und Schutz des Meeresbodens und der marinen Lebensräume</w:t>
      </w:r>
    </w:p>
    <w:p w14:paraId="2FC1ADFA" w14:textId="77777777" w:rsidR="0057163C" w:rsidRPr="00170422" w:rsidRDefault="00F37BF9">
      <w:pPr>
        <w:pStyle w:val="P68B1DB1-Normal7"/>
        <w:jc w:val="both"/>
        <w:rPr>
          <w:noProof/>
          <w:lang w:val="de-DE"/>
        </w:rPr>
      </w:pPr>
      <w:r w:rsidRPr="00170422">
        <w:rPr>
          <w:noProof/>
          <w:lang w:val="de-DE"/>
        </w:rPr>
        <w:t xml:space="preserve">Ziel dieser Maßnahme ist es, zur </w:t>
      </w:r>
      <w:r w:rsidRPr="00170422">
        <w:rPr>
          <w:noProof/>
          <w:lang w:val="de-DE"/>
        </w:rPr>
        <w:t>Umkehr der Verschlechterung des Meeresbodens und der marinen Lebensräume beizutragen. Die Maßnahme besteht in der Unterstützung von Projekten zur Kartierung von Meeresbodenlebensräumen und zur Umweltüberwachung, -planung und -sanierungs- und -schutzmaßnahm</w:t>
      </w:r>
      <w:r w:rsidRPr="00170422">
        <w:rPr>
          <w:noProof/>
          <w:lang w:val="de-DE"/>
        </w:rPr>
        <w:t>en in großem Maßstab sowie in der Verbesserung von Meeresbeobachtungsplattformen.</w:t>
      </w:r>
    </w:p>
    <w:p w14:paraId="343C114F" w14:textId="332F0473" w:rsidR="0057163C" w:rsidRPr="00170422" w:rsidRDefault="00F37BF9">
      <w:pPr>
        <w:pStyle w:val="P68B1DB1-Normal5"/>
        <w:spacing w:before="120" w:after="120" w:line="257" w:lineRule="auto"/>
        <w:jc w:val="both"/>
        <w:rPr>
          <w:rFonts w:eastAsia="Calibri"/>
          <w:noProof/>
          <w:lang w:val="de-DE"/>
        </w:rPr>
      </w:pPr>
      <w:r w:rsidRPr="00170422">
        <w:rPr>
          <w:noProof/>
          <w:lang w:val="de-DE"/>
        </w:rPr>
        <w:t>Reform 4.1 Vereinfachung der Rechtsvorschriften und Stärkung der Governance für die Umsetzung von Investitionen in die Wasserversorgungsinfrastrukturen</w:t>
      </w:r>
    </w:p>
    <w:p w14:paraId="7F70D418" w14:textId="77777777" w:rsidR="0057163C" w:rsidRPr="00170422" w:rsidRDefault="00F37BF9">
      <w:pPr>
        <w:pStyle w:val="P68B1DB1-Paragrafoelenco178"/>
        <w:spacing w:after="120" w:line="240" w:lineRule="auto"/>
        <w:ind w:left="0"/>
        <w:jc w:val="both"/>
        <w:rPr>
          <w:iCs/>
          <w:noProof/>
          <w:lang w:val="de-DE"/>
        </w:rPr>
      </w:pPr>
      <w:r w:rsidRPr="00170422">
        <w:rPr>
          <w:noProof/>
          <w:lang w:val="de-DE"/>
        </w:rPr>
        <w:t>Der derzeitige Rechtsr</w:t>
      </w:r>
      <w:r w:rsidRPr="00170422">
        <w:rPr>
          <w:noProof/>
          <w:lang w:val="de-DE"/>
        </w:rPr>
        <w:t xml:space="preserve">ahmen und die bestehende Fragmentierung der Bewirtschaftung wirken sich negativ auf die Planungs- und Durchführungskapazitäten für Investitionen in Wasserversorgungsinfrastrukturen aus. </w:t>
      </w:r>
    </w:p>
    <w:p w14:paraId="2685991A" w14:textId="77777777" w:rsidR="0057163C" w:rsidRPr="00170422" w:rsidRDefault="00F37BF9">
      <w:pPr>
        <w:pStyle w:val="P68B1DB1-Normal7"/>
        <w:suppressAutoHyphens/>
        <w:jc w:val="both"/>
        <w:rPr>
          <w:noProof/>
          <w:lang w:val="de-DE"/>
        </w:rPr>
      </w:pPr>
      <w:r w:rsidRPr="00170422">
        <w:rPr>
          <w:noProof/>
          <w:lang w:val="de-DE"/>
        </w:rPr>
        <w:t>Ziel dieser Reform ist es, den Rechtsrahmen zu vereinfachen und wirks</w:t>
      </w:r>
      <w:r w:rsidRPr="00170422">
        <w:rPr>
          <w:noProof/>
          <w:lang w:val="de-DE"/>
        </w:rPr>
        <w:t>amer zu gestalten und erforderlichenfalls die Durchführungsstellen zu unterstützen, die nicht über ausreichende Kapazitäten verfügen, um diese Investitionen innerhalb der ursprünglich festgelegten Fristen zu tätigen und abzuschließen.</w:t>
      </w:r>
    </w:p>
    <w:p w14:paraId="6E4F4200" w14:textId="77777777" w:rsidR="0057163C" w:rsidRPr="00170422" w:rsidRDefault="00F37BF9">
      <w:pPr>
        <w:pStyle w:val="P68B1DB1-Normal7"/>
        <w:suppressAutoHyphens/>
        <w:jc w:val="both"/>
        <w:rPr>
          <w:noProof/>
          <w:lang w:val="de-DE"/>
        </w:rPr>
      </w:pPr>
      <w:r w:rsidRPr="00170422">
        <w:rPr>
          <w:noProof/>
          <w:lang w:val="de-DE"/>
        </w:rPr>
        <w:t>Die wichtigsten Maßna</w:t>
      </w:r>
      <w:r w:rsidRPr="00170422">
        <w:rPr>
          <w:noProof/>
          <w:lang w:val="de-DE"/>
        </w:rPr>
        <w:t>hmen, mit denen diese Ziele erreicht werden sollen, sind i) die Schaffung eines zentralen öffentlichen Finanzierungsinstruments für Investitionen im Wassersektor, mit dem die derzeit recht verstreuten Ressourcen zusammengeführt werden; II) Vereinfachung de</w:t>
      </w:r>
      <w:r w:rsidRPr="00170422">
        <w:rPr>
          <w:noProof/>
          <w:lang w:val="de-DE"/>
        </w:rPr>
        <w:t>r Verfahren für die Berichterstattung und Überwachung der finanzierten Investitionen, iii) weitere Einbeziehung der Regulierungsbehörde in die Planung der zu tätigenden Investitionen und in mögliche Änderungen des Plans.</w:t>
      </w:r>
    </w:p>
    <w:p w14:paraId="71A3E5BF" w14:textId="77777777" w:rsidR="0057163C" w:rsidRPr="00170422" w:rsidRDefault="00F37BF9">
      <w:pPr>
        <w:pStyle w:val="P68B1DB1-Normal7"/>
        <w:suppressAutoHyphens/>
        <w:jc w:val="both"/>
        <w:rPr>
          <w:noProof/>
          <w:lang w:val="de-DE"/>
        </w:rPr>
      </w:pPr>
      <w:r w:rsidRPr="00170422">
        <w:rPr>
          <w:noProof/>
          <w:lang w:val="de-DE"/>
        </w:rPr>
        <w:t>Das Ministerium für Infrastruktur u</w:t>
      </w:r>
      <w:r w:rsidRPr="00170422">
        <w:rPr>
          <w:noProof/>
          <w:lang w:val="de-DE"/>
        </w:rPr>
        <w:t xml:space="preserve">nd Verkehr legt den Reformvorschlag für den Bereich der Wasserversorgung vor. </w:t>
      </w:r>
    </w:p>
    <w:p w14:paraId="37B1B205"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4.1 Primärwasserinfrastruktur für die Sicherheit der Wasserversorgung</w:t>
      </w:r>
    </w:p>
    <w:p w14:paraId="3707375E" w14:textId="77777777" w:rsidR="0057163C" w:rsidRPr="00170422" w:rsidRDefault="00F37BF9">
      <w:pPr>
        <w:pStyle w:val="P68B1DB1-Normal7"/>
        <w:spacing w:before="120" w:after="120"/>
        <w:jc w:val="both"/>
        <w:rPr>
          <w:noProof/>
          <w:lang w:val="de-DE"/>
        </w:rPr>
      </w:pPr>
      <w:r w:rsidRPr="00170422">
        <w:rPr>
          <w:noProof/>
          <w:lang w:val="de-DE"/>
        </w:rPr>
        <w:t xml:space="preserve">Ziel dieser Maßnahme ist es, die Wasserversorgungssicherheit in wichtigen städtischen Gebieten </w:t>
      </w:r>
      <w:r w:rsidRPr="00170422">
        <w:rPr>
          <w:noProof/>
          <w:lang w:val="de-DE"/>
        </w:rPr>
        <w:t>und großen bewässerten Gebieten zu gewährleisten und die Sicherheit und Widerstandsfähigkeit des Netzes auch im Hinblick auf die Transportkapazität von Wasser zu erhöhen. Die Maßnahme umfasst Arbeiten an der Primärwasserinfrastruktur im gesamten Staatsgebi</w:t>
      </w:r>
      <w:r w:rsidRPr="00170422">
        <w:rPr>
          <w:noProof/>
          <w:lang w:val="de-DE"/>
        </w:rPr>
        <w:t>et.</w:t>
      </w:r>
    </w:p>
    <w:p w14:paraId="2AE3EAEA" w14:textId="77777777" w:rsidR="0057163C" w:rsidRPr="00170422" w:rsidRDefault="00F37BF9">
      <w:pPr>
        <w:pStyle w:val="P68B1DB1-Normal5"/>
        <w:rPr>
          <w:bCs/>
          <w:noProof/>
          <w:lang w:val="de-DE"/>
        </w:rPr>
      </w:pPr>
      <w:r w:rsidRPr="00170422">
        <w:rPr>
          <w:noProof/>
          <w:lang w:val="de-DE"/>
        </w:rPr>
        <w:t>Investition 4.2. Verringerung der Verluste in den Wasserverteilungsnetzen, einschließlich Digitalisierung und Überwachung der Netze</w:t>
      </w:r>
    </w:p>
    <w:p w14:paraId="04B7DDB7" w14:textId="173CE242" w:rsidR="0057163C" w:rsidRPr="00170422" w:rsidRDefault="00F37BF9">
      <w:pPr>
        <w:pStyle w:val="P68B1DB1-Normal7"/>
        <w:spacing w:before="120" w:after="120"/>
        <w:jc w:val="both"/>
        <w:rPr>
          <w:noProof/>
          <w:lang w:val="de-DE"/>
        </w:rPr>
      </w:pPr>
      <w:r w:rsidRPr="00170422">
        <w:rPr>
          <w:noProof/>
          <w:lang w:val="de-DE"/>
        </w:rPr>
        <w:t>Ziel dieser Investition ist es, den Trinkwasserverlust zu verringern. Die Maßnahme besteht in der Modernisierung und Mod</w:t>
      </w:r>
      <w:r w:rsidRPr="00170422">
        <w:rPr>
          <w:noProof/>
          <w:lang w:val="de-DE"/>
        </w:rPr>
        <w:t>ernisierung der Wasserverteilungsnetze durch fortschrittliche Kontrollsysteme, die die Überwachung der Hauptknoten und der sensibelsten Punkte des Netzes (Wasserbezirke) ermöglichen.</w:t>
      </w:r>
    </w:p>
    <w:p w14:paraId="1CC16CA1" w14:textId="77777777" w:rsidR="0057163C" w:rsidRPr="00170422" w:rsidRDefault="00F37BF9">
      <w:pPr>
        <w:pStyle w:val="P68B1DB1-Normal5"/>
        <w:spacing w:before="120" w:after="120" w:line="257" w:lineRule="auto"/>
        <w:jc w:val="both"/>
        <w:rPr>
          <w:bCs/>
          <w:noProof/>
          <w:lang w:val="de-DE"/>
        </w:rPr>
      </w:pPr>
      <w:r w:rsidRPr="00170422">
        <w:rPr>
          <w:noProof/>
          <w:lang w:val="de-DE"/>
        </w:rPr>
        <w:t>Investition 4.3. Investitionen in die Widerstandsfähigkeit des Bewässerun</w:t>
      </w:r>
      <w:r w:rsidRPr="00170422">
        <w:rPr>
          <w:noProof/>
          <w:lang w:val="de-DE"/>
        </w:rPr>
        <w:t xml:space="preserve">gs-Agrarsystems für eine bessere Bewirtschaftung der Wasserressourcen </w:t>
      </w:r>
    </w:p>
    <w:p w14:paraId="43712A57" w14:textId="5BC2C4EC" w:rsidR="0057163C" w:rsidRPr="00170422" w:rsidRDefault="00F37BF9">
      <w:pPr>
        <w:pStyle w:val="P68B1DB1-Normal7"/>
        <w:spacing w:before="120" w:after="120" w:line="257" w:lineRule="auto"/>
        <w:jc w:val="both"/>
        <w:rPr>
          <w:b/>
          <w:bCs/>
          <w:noProof/>
          <w:lang w:val="de-DE"/>
        </w:rPr>
      </w:pPr>
      <w:r w:rsidRPr="00170422">
        <w:rPr>
          <w:noProof/>
          <w:lang w:val="de-DE"/>
        </w:rPr>
        <w:t>Ziel dieser Maßnahme ist es, die Effizienz von Bewässerungssystemen durch Digitalisierung und Infrastrukturmaßnahmen für einen nachhaltigeren und klimaresistenteren Agrarsektor zu steig</w:t>
      </w:r>
      <w:r w:rsidRPr="00170422">
        <w:rPr>
          <w:noProof/>
          <w:lang w:val="de-DE"/>
        </w:rPr>
        <w:t>ern.</w:t>
      </w:r>
    </w:p>
    <w:p w14:paraId="67721AE1" w14:textId="77777777" w:rsidR="0057163C" w:rsidRPr="00170422" w:rsidRDefault="00F37BF9">
      <w:pPr>
        <w:pStyle w:val="P68B1DB1-Normal5"/>
        <w:rPr>
          <w:bCs/>
          <w:noProof/>
          <w:lang w:val="de-DE"/>
        </w:rPr>
      </w:pPr>
      <w:r w:rsidRPr="00170422">
        <w:rPr>
          <w:noProof/>
          <w:lang w:val="de-DE"/>
        </w:rPr>
        <w:t>Investition 4.4. Abwasserentsorgung und -reinigung</w:t>
      </w:r>
    </w:p>
    <w:p w14:paraId="1F7E0A53" w14:textId="77777777" w:rsidR="0057163C" w:rsidRPr="00170422" w:rsidRDefault="00F37BF9">
      <w:pPr>
        <w:pStyle w:val="P68B1DB1-Normal7"/>
        <w:tabs>
          <w:tab w:val="left" w:pos="720"/>
        </w:tabs>
        <w:spacing w:before="120" w:after="120"/>
        <w:jc w:val="both"/>
        <w:rPr>
          <w:noProof/>
          <w:lang w:val="de-DE"/>
        </w:rPr>
      </w:pPr>
      <w:r w:rsidRPr="00170422">
        <w:rPr>
          <w:noProof/>
          <w:lang w:val="de-DE"/>
        </w:rPr>
        <w:t>Ziel dieser Maßnahme ist es, die Schwäche der italienischen Wasserversorgungssysteme bei der Abwasserentsorgung und -reinigung sowie die Zahl der Gemeinden mit schwachen Kanalisations- und Reinigungss</w:t>
      </w:r>
      <w:r w:rsidRPr="00170422">
        <w:rPr>
          <w:noProof/>
          <w:lang w:val="de-DE"/>
        </w:rPr>
        <w:t>ystemen zu verringern. Die Maßnahme besteht in Maßnahmen zur effizienteren Aufbereitung von Abwasser, das in Meeres- und Binnengewässer eingeleitet wird.</w:t>
      </w:r>
    </w:p>
    <w:p w14:paraId="415ECACC" w14:textId="77777777" w:rsidR="0057163C" w:rsidRPr="00170422" w:rsidRDefault="00F37BF9">
      <w:pPr>
        <w:pStyle w:val="P68B1DB1-Normal5"/>
        <w:rPr>
          <w:bCs/>
          <w:noProof/>
          <w:lang w:val="de-DE"/>
        </w:rPr>
      </w:pPr>
      <w:r w:rsidRPr="00170422">
        <w:rPr>
          <w:noProof/>
          <w:lang w:val="de-DE"/>
        </w:rPr>
        <w:t>Investition 4.5. Zuschussregelung für Investitionen in Wasserinfrastrukturen</w:t>
      </w:r>
    </w:p>
    <w:p w14:paraId="38DD10A6" w14:textId="3BB05157" w:rsidR="0057163C" w:rsidRPr="00170422" w:rsidRDefault="00F37BF9" w:rsidP="00AC496B">
      <w:pPr>
        <w:pStyle w:val="P68B1DB1-Normal7"/>
        <w:spacing w:line="240" w:lineRule="auto"/>
        <w:jc w:val="both"/>
        <w:rPr>
          <w:noProof/>
          <w:lang w:val="de-DE"/>
        </w:rPr>
      </w:pPr>
      <w:r w:rsidRPr="00170422">
        <w:rPr>
          <w:noProof/>
          <w:lang w:val="de-DE"/>
        </w:rPr>
        <w:t>Diese Maßnahme besteht au</w:t>
      </w:r>
      <w:r w:rsidRPr="00170422">
        <w:rPr>
          <w:noProof/>
          <w:lang w:val="de-DE"/>
        </w:rPr>
        <w:t>s einer öffentlichen Investition in eine Zuschussregelung, um Anreize für private Investitionen zu schaffen und den Zugang zu Finanzmitteln im italienischen Wasserwirtschaftssektor zu verbessern. Die Regelung wird durchgeführt, indem dem privaten Sektor so</w:t>
      </w:r>
      <w:r w:rsidRPr="00170422">
        <w:rPr>
          <w:noProof/>
          <w:lang w:val="de-DE"/>
        </w:rPr>
        <w:t>wie öffentlichen Stellen, die ähnliche Tätigkeiten ausüben, direkte Zuschüsse für Rentabilitätslücken gewährt werden.</w:t>
      </w:r>
      <w:r w:rsidRPr="00170422">
        <w:rPr>
          <w:noProof/>
          <w:lang w:val="de-DE"/>
        </w:rPr>
        <w:br w:type="page"/>
      </w:r>
    </w:p>
    <w:p w14:paraId="723F1FBD" w14:textId="026A08B7" w:rsidR="0057163C" w:rsidRPr="00170422" w:rsidRDefault="00F37BF9">
      <w:pPr>
        <w:pStyle w:val="P68B1DB1-Normal7"/>
        <w:spacing w:line="240" w:lineRule="auto"/>
        <w:jc w:val="both"/>
        <w:rPr>
          <w:noProof/>
          <w:lang w:val="de-DE"/>
        </w:rPr>
      </w:pPr>
      <w:r w:rsidRPr="00170422">
        <w:rPr>
          <w:noProof/>
          <w:lang w:val="de-DE"/>
        </w:rPr>
        <w:t>Das Programm wird von Invitalia S.p.A. als Durchführungspartner verwaltet. Die Regelung umfasst die folgende Warenlinie:</w:t>
      </w:r>
    </w:p>
    <w:p w14:paraId="7AB17DE2" w14:textId="77777777" w:rsidR="0057163C" w:rsidRPr="00170422" w:rsidRDefault="00F37BF9">
      <w:pPr>
        <w:pStyle w:val="P68B1DB1-ListParagraph37"/>
        <w:keepNext/>
        <w:numPr>
          <w:ilvl w:val="0"/>
          <w:numId w:val="73"/>
        </w:numPr>
        <w:spacing w:line="240" w:lineRule="auto"/>
        <w:jc w:val="both"/>
        <w:rPr>
          <w:noProof/>
          <w:lang w:val="de-DE"/>
        </w:rPr>
      </w:pPr>
      <w:r w:rsidRPr="00170422">
        <w:rPr>
          <w:noProof/>
          <w:lang w:val="de-DE"/>
        </w:rPr>
        <w:t xml:space="preserve">Einen Zuschuss </w:t>
      </w:r>
      <w:r w:rsidRPr="00170422">
        <w:rPr>
          <w:noProof/>
          <w:lang w:val="de-DE"/>
        </w:rPr>
        <w:t>zu einer Tragfähigkeitslücke, mit dem die Finanzierungslücke der Projekte bei Infrastrukturprojekten im Bereich der Wasserbewirtschaftung geschlossen werden soll. Mit dem Zuschuss wird ein Teil der Gesamtinvestition subventioniert, um die Bankfähigkeit des</w:t>
      </w:r>
      <w:r w:rsidRPr="00170422">
        <w:rPr>
          <w:noProof/>
          <w:lang w:val="de-DE"/>
        </w:rPr>
        <w:t xml:space="preserve"> Projekts zu gewährleisten. Die Gestaltung der Zuschussstruktur muss Anreize für die Rationalisierung und Bündelung von Wasserdienstleistern schaffen, indem ein Belohnungsmechanismus eingeführt wird.</w:t>
      </w:r>
    </w:p>
    <w:p w14:paraId="06373A6C" w14:textId="77777777" w:rsidR="0057163C" w:rsidRPr="00170422" w:rsidRDefault="00F37BF9">
      <w:pPr>
        <w:pStyle w:val="P68B1DB1-Normal7"/>
        <w:spacing w:line="240" w:lineRule="auto"/>
        <w:jc w:val="both"/>
        <w:rPr>
          <w:noProof/>
          <w:lang w:val="de-DE"/>
        </w:rPr>
      </w:pPr>
      <w:r w:rsidRPr="00170422">
        <w:rPr>
          <w:noProof/>
          <w:lang w:val="de-DE"/>
        </w:rPr>
        <w:t>Zur Durchführung der Investition in die Regelung unterze</w:t>
      </w:r>
      <w:r w:rsidRPr="00170422">
        <w:rPr>
          <w:noProof/>
          <w:lang w:val="de-DE"/>
        </w:rPr>
        <w:t>ichnen Italien und Invitalia S.p.A. ein Durchführungsabkommen, das Folgendes enthält:</w:t>
      </w:r>
    </w:p>
    <w:p w14:paraId="0FC8E354" w14:textId="64008D17" w:rsidR="0057163C" w:rsidRPr="00170422" w:rsidRDefault="00F37BF9">
      <w:pPr>
        <w:pStyle w:val="P68B1DB1-LegalNumPar79"/>
        <w:numPr>
          <w:ilvl w:val="0"/>
          <w:numId w:val="0"/>
        </w:numPr>
        <w:spacing w:line="259" w:lineRule="auto"/>
        <w:jc w:val="both"/>
        <w:rPr>
          <w:rFonts w:eastAsia="Times New Roman"/>
          <w:noProof/>
          <w:lang w:val="de-DE"/>
        </w:rPr>
      </w:pPr>
      <w:r w:rsidRPr="00170422">
        <w:rPr>
          <w:noProof/>
          <w:lang w:val="de-DE"/>
        </w:rPr>
        <w:t xml:space="preserve">1. Beschreibung des Entscheidungsprozesses der Regelung: Die endgültige Entscheidung über die Vergabe des Systems wird von einem Investitionsausschuss oder einem anderen </w:t>
      </w:r>
      <w:r w:rsidRPr="00170422">
        <w:rPr>
          <w:noProof/>
          <w:lang w:val="de-DE"/>
        </w:rPr>
        <w:t>gleichwertigen Leitungsgremium getroffen und mit der Mehrheit der Stimmen der von der Regierung unabhängigen Mitglieder genehmigt.</w:t>
      </w:r>
    </w:p>
    <w:p w14:paraId="28C5D9CB" w14:textId="1069B619" w:rsidR="0057163C" w:rsidRPr="00170422" w:rsidRDefault="00F37BF9">
      <w:pPr>
        <w:pStyle w:val="P68B1DB1-LegalNumPar79"/>
        <w:numPr>
          <w:ilvl w:val="0"/>
          <w:numId w:val="0"/>
        </w:numPr>
        <w:spacing w:line="259" w:lineRule="auto"/>
        <w:ind w:left="476" w:hanging="476"/>
        <w:jc w:val="both"/>
        <w:rPr>
          <w:noProof/>
          <w:lang w:val="de-DE"/>
        </w:rPr>
      </w:pPr>
      <w:r w:rsidRPr="00170422">
        <w:rPr>
          <w:noProof/>
          <w:lang w:val="de-DE"/>
        </w:rPr>
        <w:t>2. Kernanforderungen der damit verbundenen Finanzhilfepolitik,</w:t>
      </w:r>
      <w:r w:rsidRPr="00170422">
        <w:rPr>
          <w:b/>
          <w:noProof/>
          <w:lang w:val="de-DE"/>
        </w:rPr>
        <w:t xml:space="preserve"> </w:t>
      </w:r>
      <w:r w:rsidRPr="00170422">
        <w:rPr>
          <w:noProof/>
          <w:lang w:val="de-DE"/>
        </w:rPr>
        <w:t>die Folgendes umfassen:</w:t>
      </w:r>
    </w:p>
    <w:p w14:paraId="49411723" w14:textId="14C676C4" w:rsidR="0057163C" w:rsidRPr="00170422" w:rsidRDefault="00F37BF9">
      <w:pPr>
        <w:pStyle w:val="P68B1DB1-LegalNumPar280"/>
        <w:jc w:val="both"/>
        <w:rPr>
          <w:noProof/>
          <w:lang w:val="de-DE"/>
        </w:rPr>
      </w:pPr>
      <w:r w:rsidRPr="00170422">
        <w:rPr>
          <w:noProof/>
          <w:lang w:val="de-DE"/>
        </w:rPr>
        <w:t>Die Beschreibung der gewährten Finanzh</w:t>
      </w:r>
      <w:r w:rsidRPr="00170422">
        <w:rPr>
          <w:noProof/>
          <w:lang w:val="de-DE"/>
        </w:rPr>
        <w:t>ilfen und der förderfähigen Endbegünstigten. Endempfänger sind grundsätzlich Unternehmen mit privater Beteiligung. Im Einklang mit dem Grundsatz der Nichtdiskriminierung könnten auch öffentliche Einrichtungen, die ähnliche Tätigkeiten ausüben wie die priva</w:t>
      </w:r>
      <w:r w:rsidRPr="00170422">
        <w:rPr>
          <w:noProof/>
          <w:lang w:val="de-DE"/>
        </w:rPr>
        <w:t>ten Einrichtungen, die die Regelung in Anspruch nehmen, als Endbegünstigte akzeptiert werden.</w:t>
      </w:r>
    </w:p>
    <w:p w14:paraId="6121841C" w14:textId="77777777" w:rsidR="0057163C" w:rsidRPr="00170422" w:rsidRDefault="00F37BF9">
      <w:pPr>
        <w:pStyle w:val="P68B1DB1-LegalNumPar280"/>
        <w:numPr>
          <w:ilvl w:val="1"/>
          <w:numId w:val="85"/>
        </w:numPr>
        <w:spacing w:line="259" w:lineRule="auto"/>
        <w:jc w:val="both"/>
        <w:rPr>
          <w:noProof/>
          <w:lang w:val="de-DE"/>
        </w:rPr>
      </w:pPr>
      <w:r w:rsidRPr="00170422">
        <w:rPr>
          <w:noProof/>
          <w:lang w:val="de-DE"/>
        </w:rPr>
        <w:t>Die Anforderung, dass alle geförderten Investitionen wirtschaftlich tragfähig sind</w:t>
      </w:r>
      <w:r w:rsidRPr="00170422">
        <w:rPr>
          <w:b/>
          <w:noProof/>
          <w:lang w:val="de-DE"/>
        </w:rPr>
        <w:t>.</w:t>
      </w:r>
    </w:p>
    <w:p w14:paraId="5DD623AD" w14:textId="08542841" w:rsidR="0057163C" w:rsidRPr="00170422" w:rsidRDefault="00F37BF9">
      <w:pPr>
        <w:pStyle w:val="P68B1DB1-LegalNumPar280"/>
        <w:spacing w:line="259" w:lineRule="auto"/>
        <w:jc w:val="both"/>
        <w:rPr>
          <w:noProof/>
          <w:lang w:val="de-DE"/>
        </w:rPr>
      </w:pPr>
      <w:r w:rsidRPr="00170422">
        <w:rPr>
          <w:noProof/>
          <w:lang w:val="de-DE"/>
        </w:rPr>
        <w:t>Die Anforderung, den Grundsatz der „Vermeidung erheblicher Beeinträchtigungen“</w:t>
      </w:r>
      <w:r w:rsidRPr="00170422">
        <w:rPr>
          <w:noProof/>
          <w:lang w:val="de-DE"/>
        </w:rPr>
        <w:t xml:space="preserve"> (DNSH) gemäß den technischen Leitlinien zur Vermeidung erheblicher Beeinträchtigungen (2021/C58/01) einzuhalten. Insbesondere schließt die Finanzhilfepolitik die folgende Liste von Tätigkeiten und Vermögenswerten von der Förderfähigkeit aus: Tätigkeiten u</w:t>
      </w:r>
      <w:r w:rsidRPr="00170422">
        <w:rPr>
          <w:noProof/>
          <w:lang w:val="de-DE"/>
        </w:rPr>
        <w:t>nd Vermögenswerte im Zusammenhang mit fossilen Brennstoffen, einschließlich nachgelagerter Nutzung</w:t>
      </w:r>
      <w:r w:rsidRPr="00170422">
        <w:rPr>
          <w:noProof/>
          <w:vertAlign w:val="superscript"/>
          <w:lang w:val="de-DE"/>
        </w:rPr>
        <w:footnoteReference w:id="71"/>
      </w:r>
      <w:r w:rsidRPr="00170422">
        <w:rPr>
          <w:noProof/>
          <w:lang w:val="de-DE"/>
        </w:rPr>
        <w:t>. Darüber hinaus muss die damit verbundene Finanzhilfepolitik die Anforderung enthalten, dass Folgendes von der Finanzierung ausgeschlossen wird: Investition</w:t>
      </w:r>
      <w:r w:rsidRPr="00170422">
        <w:rPr>
          <w:noProof/>
          <w:lang w:val="de-DE"/>
        </w:rPr>
        <w:t>en in den Bau neuer Staudämme; Investitionen in den Anwendungsbereich von Artikel 4 Absatz 7 der Richtlinie 2000/60/EG des Europäischen Parlaments und des Rates vom 23. Oktober 2000 zur Schaffung eines Ordnungsrahmens für Maßnahmen der Gemeinschaft im Bere</w:t>
      </w:r>
      <w:r w:rsidRPr="00170422">
        <w:rPr>
          <w:noProof/>
          <w:lang w:val="de-DE"/>
        </w:rPr>
        <w:t>ich der Wasserpolitik.</w:t>
      </w:r>
    </w:p>
    <w:p w14:paraId="7B238733" w14:textId="77777777" w:rsidR="0057163C" w:rsidRPr="00170422" w:rsidRDefault="00F37BF9">
      <w:pPr>
        <w:pStyle w:val="P68B1DB1-LegalNumPar280"/>
        <w:numPr>
          <w:ilvl w:val="1"/>
          <w:numId w:val="85"/>
        </w:numPr>
        <w:spacing w:line="259" w:lineRule="auto"/>
        <w:jc w:val="both"/>
        <w:rPr>
          <w:bCs/>
          <w:noProof/>
          <w:lang w:val="de-DE"/>
        </w:rPr>
      </w:pPr>
      <w:r w:rsidRPr="00170422">
        <w:rPr>
          <w:noProof/>
          <w:lang w:val="de-DE"/>
        </w:rPr>
        <w:t>Die Anforderung, dass die Endbegünstigten der Regelung keine Unterstützung aus anderen Instrumenten der Union erhalten dürfen, um dieselben Kosten zu decken.</w:t>
      </w:r>
    </w:p>
    <w:p w14:paraId="1D06AA30" w14:textId="2DAB9B34" w:rsidR="0057163C" w:rsidRPr="00170422" w:rsidRDefault="00F37BF9">
      <w:pPr>
        <w:pStyle w:val="P68B1DB1-LegalNumPar79"/>
        <w:numPr>
          <w:ilvl w:val="0"/>
          <w:numId w:val="0"/>
        </w:numPr>
        <w:spacing w:line="259" w:lineRule="auto"/>
        <w:ind w:left="476" w:hanging="476"/>
        <w:jc w:val="both"/>
        <w:rPr>
          <w:noProof/>
          <w:lang w:val="de-DE"/>
        </w:rPr>
      </w:pPr>
      <w:r w:rsidRPr="00170422">
        <w:rPr>
          <w:noProof/>
          <w:lang w:val="de-DE"/>
        </w:rPr>
        <w:t>3. Den unter das Durchführungsabkommen fallenden Betrag, die Gebührenstrukt</w:t>
      </w:r>
      <w:r w:rsidRPr="00170422">
        <w:rPr>
          <w:noProof/>
          <w:lang w:val="de-DE"/>
        </w:rPr>
        <w:t>ur für den Durchführungspartner und die Anforderung, etwaige ungenutzte Einnahmen aus dem System, auch nach 2026, für dieselben politischen Zwecke zu verwenden.</w:t>
      </w:r>
    </w:p>
    <w:p w14:paraId="2B6DF3F5" w14:textId="77777777" w:rsidR="0057163C" w:rsidRPr="00170422" w:rsidRDefault="00F37BF9">
      <w:pPr>
        <w:pStyle w:val="P68B1DB1-Normal7"/>
        <w:rPr>
          <w:noProof/>
          <w:kern w:val="0"/>
          <w:lang w:val="de-DE"/>
        </w:rPr>
      </w:pPr>
      <w:r w:rsidRPr="00170422">
        <w:rPr>
          <w:noProof/>
          <w:lang w:val="de-DE"/>
        </w:rPr>
        <w:br w:type="page"/>
      </w:r>
    </w:p>
    <w:p w14:paraId="23BBB441" w14:textId="7A02B015" w:rsidR="0057163C" w:rsidRPr="00170422" w:rsidRDefault="00F37BF9">
      <w:pPr>
        <w:pStyle w:val="P68B1DB1-LegalNumPar79"/>
        <w:numPr>
          <w:ilvl w:val="0"/>
          <w:numId w:val="0"/>
        </w:numPr>
        <w:spacing w:line="259" w:lineRule="auto"/>
        <w:ind w:left="476" w:hanging="476"/>
        <w:jc w:val="both"/>
        <w:rPr>
          <w:noProof/>
          <w:lang w:val="de-DE"/>
        </w:rPr>
      </w:pPr>
      <w:r w:rsidRPr="00170422">
        <w:rPr>
          <w:noProof/>
          <w:lang w:val="de-DE"/>
        </w:rPr>
        <w:t>4. Überwachungs-, Prüf- und Kontrollanforderungen, einschließlich:</w:t>
      </w:r>
    </w:p>
    <w:p w14:paraId="72FED9A8" w14:textId="77777777" w:rsidR="0057163C" w:rsidRPr="00170422" w:rsidRDefault="00F37BF9">
      <w:pPr>
        <w:pStyle w:val="P68B1DB1-Normal7"/>
        <w:numPr>
          <w:ilvl w:val="0"/>
          <w:numId w:val="175"/>
        </w:numPr>
        <w:spacing w:line="240" w:lineRule="auto"/>
        <w:jc w:val="both"/>
        <w:rPr>
          <w:noProof/>
          <w:lang w:val="de-DE"/>
        </w:rPr>
      </w:pPr>
      <w:r w:rsidRPr="00170422">
        <w:rPr>
          <w:noProof/>
          <w:lang w:val="de-DE"/>
        </w:rPr>
        <w:t>Die Beschreibung des Überw</w:t>
      </w:r>
      <w:r w:rsidRPr="00170422">
        <w:rPr>
          <w:noProof/>
          <w:lang w:val="de-DE"/>
        </w:rPr>
        <w:t>achungssystems des Durchführungspartners zur Berichterstattung über die mobilisierten Finanzhilfen.</w:t>
      </w:r>
    </w:p>
    <w:p w14:paraId="35F0FD24" w14:textId="77777777" w:rsidR="0057163C" w:rsidRPr="00170422" w:rsidRDefault="00F37BF9">
      <w:pPr>
        <w:pStyle w:val="P68B1DB1-Normal7"/>
        <w:numPr>
          <w:ilvl w:val="0"/>
          <w:numId w:val="175"/>
        </w:numPr>
        <w:jc w:val="both"/>
        <w:rPr>
          <w:noProof/>
          <w:lang w:val="de-DE"/>
        </w:rPr>
      </w:pPr>
      <w:r w:rsidRPr="00170422">
        <w:rPr>
          <w:noProof/>
          <w:lang w:val="de-DE"/>
        </w:rPr>
        <w:t>Die Beschreibung der Verfahren des Durchführungspartners, die die Prävention, Aufdeckung und Behebung von Betrug, Korruption und Interessenkonflikten gewähr</w:t>
      </w:r>
      <w:r w:rsidRPr="00170422">
        <w:rPr>
          <w:noProof/>
          <w:lang w:val="de-DE"/>
        </w:rPr>
        <w:t xml:space="preserve">leisten. </w:t>
      </w:r>
    </w:p>
    <w:p w14:paraId="792C1256" w14:textId="77777777" w:rsidR="0057163C" w:rsidRPr="00170422" w:rsidRDefault="00F37BF9">
      <w:pPr>
        <w:pStyle w:val="P68B1DB1-Normal7"/>
        <w:numPr>
          <w:ilvl w:val="0"/>
          <w:numId w:val="175"/>
        </w:numPr>
        <w:jc w:val="both"/>
        <w:rPr>
          <w:noProof/>
          <w:lang w:val="de-DE"/>
        </w:rPr>
      </w:pPr>
      <w:r w:rsidRPr="00170422">
        <w:rPr>
          <w:noProof/>
          <w:lang w:val="de-DE"/>
        </w:rPr>
        <w:t>Die Verpflichtung, die Förderfähigkeit jedes Vorhabens gemäß den Anforderungen des Durchführungsabkommens zu überprüfen, bevor eine Finanzhilfe für ein Vorhaben gewährt wird.</w:t>
      </w:r>
    </w:p>
    <w:p w14:paraId="2AC8594A" w14:textId="77777777" w:rsidR="0057163C" w:rsidRPr="00170422" w:rsidRDefault="00F37BF9">
      <w:pPr>
        <w:pStyle w:val="P68B1DB1-Normal7"/>
        <w:numPr>
          <w:ilvl w:val="0"/>
          <w:numId w:val="175"/>
        </w:numPr>
        <w:spacing w:line="240" w:lineRule="auto"/>
        <w:jc w:val="both"/>
        <w:rPr>
          <w:noProof/>
          <w:lang w:val="de-DE"/>
        </w:rPr>
      </w:pPr>
      <w:r w:rsidRPr="00170422">
        <w:rPr>
          <w:noProof/>
          <w:lang w:val="de-DE"/>
        </w:rPr>
        <w:t>Die Verpflichtung zur Durchführung risikobasierter Ex-post-Prüfungen im</w:t>
      </w:r>
      <w:r w:rsidRPr="00170422">
        <w:rPr>
          <w:noProof/>
          <w:lang w:val="de-DE"/>
        </w:rPr>
        <w:t xml:space="preserve"> Einklang mit einem Prüfplan von Invitalia S.p.A. Bei diesen Prüfungen wird Folgendes überprüft: i) die Wirksamkeit der Kontrollsysteme, einschließlich der Aufdeckung von Betrug, Korruption und Interessenkonflikten; II) Einhaltung des DNSH-Grundsatzes, der</w:t>
      </w:r>
      <w:r w:rsidRPr="00170422">
        <w:rPr>
          <w:noProof/>
          <w:lang w:val="de-DE"/>
        </w:rPr>
        <w:t xml:space="preserve"> Vorschriften über staatliche Beihilfen und der Klimazielvorgaben; und iii) die Anforderung, dass die Endbegünstigten der Regelung keine Unterstützung aus anderen Instrumenten der Union erhalten haben, um dieselben Kosten zu decken, eingehalten wird. Bei d</w:t>
      </w:r>
      <w:r w:rsidRPr="00170422">
        <w:rPr>
          <w:noProof/>
          <w:lang w:val="de-DE"/>
        </w:rPr>
        <w:t xml:space="preserve">en Prüfungen wird auch die Rechtmäßigkeit der Transaktionen und die Einhaltung der Bedingungen des geltenden Durchführungsabkommens und der geltenden Finanzhilfevereinbarungen überprüft. </w:t>
      </w:r>
    </w:p>
    <w:p w14:paraId="68162088" w14:textId="28AB8506" w:rsidR="0057163C" w:rsidRPr="00170422" w:rsidRDefault="00F37BF9">
      <w:pPr>
        <w:numPr>
          <w:ilvl w:val="0"/>
          <w:numId w:val="85"/>
        </w:numPr>
        <w:spacing w:line="240" w:lineRule="auto"/>
        <w:ind w:left="720" w:hanging="360"/>
        <w:jc w:val="both"/>
        <w:rPr>
          <w:rFonts w:ascii="Times New Roman" w:hAnsi="Times New Roman" w:cs="Times New Roman"/>
          <w:noProof/>
          <w:lang w:val="de-DE"/>
        </w:rPr>
        <w:sectPr w:rsidR="0057163C" w:rsidRPr="00170422" w:rsidSect="005F11B9">
          <w:headerReference w:type="even" r:id="rId128"/>
          <w:headerReference w:type="default" r:id="rId129"/>
          <w:footerReference w:type="even" r:id="rId130"/>
          <w:footerReference w:type="default" r:id="rId131"/>
          <w:headerReference w:type="first" r:id="rId132"/>
          <w:footerReference w:type="first" r:id="rId133"/>
          <w:pgSz w:w="11907" w:h="16839"/>
          <w:pgMar w:top="1134" w:right="1134" w:bottom="1134" w:left="1134" w:header="567" w:footer="567" w:gutter="0"/>
          <w:cols w:space="720"/>
          <w:docGrid w:linePitch="360"/>
        </w:sectPr>
      </w:pPr>
      <w:r w:rsidRPr="00170422">
        <w:rPr>
          <w:rFonts w:ascii="Times New Roman" w:hAnsi="Times New Roman" w:cs="Times New Roman"/>
          <w:noProof/>
          <w:lang w:val="de-DE"/>
        </w:rPr>
        <w:t>Anforderungen an Klimainvestitionen des Durchführungspartners: mindestens 400 000 000 EUR der ARF-Investitionen in das Programm tragen zu den Klimaschutzzielen gemäß Anhang VI der ARF-Verordnung bei.</w:t>
      </w:r>
      <w:r w:rsidRPr="00170422">
        <w:rPr>
          <w:rStyle w:val="FootnoteReference"/>
          <w:rFonts w:ascii="Times New Roman" w:hAnsi="Times New Roman" w:cs="Times New Roman"/>
          <w:noProof/>
          <w:lang w:val="de-DE"/>
        </w:rPr>
        <w:footnoteReference w:id="72"/>
      </w:r>
    </w:p>
    <w:p w14:paraId="33EAFC11" w14:textId="77777777" w:rsidR="0057163C" w:rsidRPr="00170422" w:rsidRDefault="00F37BF9">
      <w:pPr>
        <w:pStyle w:val="Heading3"/>
        <w:rPr>
          <w:rStyle w:val="SubtleEmphasis"/>
          <w:rFonts w:ascii="Times New Roman" w:hAnsi="Times New Roman" w:cs="Times New Roman"/>
          <w:b/>
          <w:bCs/>
          <w:i w:val="0"/>
          <w:iCs w:val="0"/>
          <w:noProof/>
          <w:sz w:val="24"/>
          <w:szCs w:val="24"/>
          <w:lang w:val="de-DE"/>
        </w:rPr>
      </w:pPr>
      <w:r w:rsidRPr="00170422">
        <w:rPr>
          <w:rStyle w:val="SubtleEmphasis"/>
          <w:rFonts w:ascii="Times New Roman" w:hAnsi="Times New Roman" w:cs="Times New Roman"/>
          <w:b/>
          <w:i w:val="0"/>
          <w:iCs w:val="0"/>
          <w:noProof/>
          <w:sz w:val="24"/>
          <w:szCs w:val="24"/>
          <w:lang w:val="de-DE"/>
        </w:rPr>
        <w:t xml:space="preserve">G.4. </w:t>
      </w:r>
      <w:r w:rsidRPr="00170422">
        <w:rPr>
          <w:rFonts w:ascii="Times New Roman" w:hAnsi="Times New Roman" w:cs="Times New Roman"/>
          <w:b/>
          <w:i/>
          <w:noProof/>
          <w:sz w:val="24"/>
          <w:szCs w:val="24"/>
          <w:lang w:val="de-DE"/>
        </w:rPr>
        <w:t xml:space="preserve"> </w:t>
      </w:r>
      <w:r w:rsidRPr="00170422">
        <w:rPr>
          <w:rStyle w:val="SubtleEmphasis"/>
          <w:rFonts w:ascii="Times New Roman" w:hAnsi="Times New Roman" w:cs="Times New Roman"/>
          <w:b/>
          <w:i w:val="0"/>
          <w:iCs w:val="0"/>
          <w:noProof/>
          <w:sz w:val="24"/>
          <w:szCs w:val="24"/>
          <w:lang w:val="de-DE"/>
        </w:rPr>
        <w:t xml:space="preserve">Etappenziele, Zielwerte, Indikatoren und Zeitplan für die Überwachung und Durchführung (Darlehen)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699"/>
        <w:gridCol w:w="1419"/>
        <w:gridCol w:w="1268"/>
        <w:gridCol w:w="1284"/>
        <w:gridCol w:w="1134"/>
        <w:gridCol w:w="1417"/>
        <w:gridCol w:w="567"/>
        <w:gridCol w:w="851"/>
        <w:gridCol w:w="709"/>
        <w:gridCol w:w="2867"/>
      </w:tblGrid>
      <w:tr w:rsidR="00110887" w:rsidRPr="00170422" w14:paraId="46CA287B" w14:textId="77777777" w:rsidTr="00110887">
        <w:trPr>
          <w:trHeight w:val="300"/>
          <w:tblHeader/>
        </w:trPr>
        <w:tc>
          <w:tcPr>
            <w:tcW w:w="959" w:type="dxa"/>
            <w:vMerge w:val="restart"/>
            <w:shd w:val="clear" w:color="auto" w:fill="A5C9EB" w:themeFill="text2" w:themeFillTint="40"/>
            <w:noWrap/>
            <w:vAlign w:val="center"/>
          </w:tcPr>
          <w:p w14:paraId="58D4D8EA" w14:textId="77777777" w:rsidR="0057163C" w:rsidRPr="00170422" w:rsidRDefault="00F37BF9">
            <w:pPr>
              <w:pStyle w:val="P68B1DB1-Normal10"/>
              <w:jc w:val="center"/>
              <w:rPr>
                <w:noProof/>
                <w:lang w:val="de-DE"/>
              </w:rPr>
            </w:pPr>
            <w:r w:rsidRPr="00170422">
              <w:rPr>
                <w:noProof/>
                <w:lang w:val="de-DE"/>
              </w:rPr>
              <w:t>Laufende Nummer</w:t>
            </w:r>
          </w:p>
        </w:tc>
        <w:tc>
          <w:tcPr>
            <w:tcW w:w="1699" w:type="dxa"/>
            <w:vMerge w:val="restart"/>
            <w:shd w:val="clear" w:color="auto" w:fill="A5C9EB" w:themeFill="text2" w:themeFillTint="40"/>
            <w:noWrap/>
            <w:vAlign w:val="center"/>
          </w:tcPr>
          <w:p w14:paraId="78926072" w14:textId="77777777" w:rsidR="0057163C" w:rsidRPr="00170422" w:rsidRDefault="00F37BF9">
            <w:pPr>
              <w:pStyle w:val="P68B1DB1-Normal10"/>
              <w:jc w:val="center"/>
              <w:rPr>
                <w:noProof/>
                <w:lang w:val="de-DE"/>
              </w:rPr>
            </w:pPr>
            <w:r w:rsidRPr="00170422">
              <w:rPr>
                <w:noProof/>
                <w:lang w:val="de-DE"/>
              </w:rPr>
              <w:t>Verbundene Maßnahme (Reform oder Investition)</w:t>
            </w:r>
          </w:p>
        </w:tc>
        <w:tc>
          <w:tcPr>
            <w:tcW w:w="1419" w:type="dxa"/>
            <w:vMerge w:val="restart"/>
            <w:shd w:val="clear" w:color="auto" w:fill="A5C9EB" w:themeFill="text2" w:themeFillTint="40"/>
            <w:noWrap/>
            <w:vAlign w:val="center"/>
          </w:tcPr>
          <w:p w14:paraId="228AF4A5" w14:textId="5BB34A47" w:rsidR="0057163C" w:rsidRPr="00170422" w:rsidRDefault="00F37BF9">
            <w:pPr>
              <w:pStyle w:val="P68B1DB1-Normal10"/>
              <w:jc w:val="center"/>
              <w:rPr>
                <w:noProof/>
                <w:lang w:val="de-DE"/>
              </w:rPr>
            </w:pPr>
            <w:r w:rsidRPr="00170422">
              <w:rPr>
                <w:noProof/>
                <w:lang w:val="de-DE"/>
              </w:rPr>
              <w:t>Etappenziel/</w:t>
            </w:r>
            <w:r w:rsidR="00110887" w:rsidRPr="00170422">
              <w:rPr>
                <w:noProof/>
                <w:lang w:val="de-DE"/>
              </w:rPr>
              <w:br/>
            </w:r>
            <w:r w:rsidRPr="00170422">
              <w:rPr>
                <w:noProof/>
                <w:lang w:val="de-DE"/>
              </w:rPr>
              <w:t>Zielwert</w:t>
            </w:r>
          </w:p>
        </w:tc>
        <w:tc>
          <w:tcPr>
            <w:tcW w:w="1268" w:type="dxa"/>
            <w:vMerge w:val="restart"/>
            <w:shd w:val="clear" w:color="auto" w:fill="A5C9EB" w:themeFill="text2" w:themeFillTint="40"/>
            <w:noWrap/>
            <w:vAlign w:val="center"/>
          </w:tcPr>
          <w:p w14:paraId="47D821E7" w14:textId="77777777" w:rsidR="0057163C" w:rsidRPr="00170422" w:rsidRDefault="00F37BF9">
            <w:pPr>
              <w:pStyle w:val="P68B1DB1-Normal10"/>
              <w:jc w:val="center"/>
              <w:rPr>
                <w:noProof/>
                <w:lang w:val="de-DE"/>
              </w:rPr>
            </w:pPr>
            <w:r w:rsidRPr="00170422">
              <w:rPr>
                <w:noProof/>
                <w:lang w:val="de-DE"/>
              </w:rPr>
              <w:t>Namen</w:t>
            </w:r>
          </w:p>
        </w:tc>
        <w:tc>
          <w:tcPr>
            <w:tcW w:w="1284" w:type="dxa"/>
            <w:vMerge w:val="restart"/>
            <w:shd w:val="clear" w:color="auto" w:fill="A5C9EB" w:themeFill="text2" w:themeFillTint="40"/>
            <w:noWrap/>
            <w:vAlign w:val="center"/>
          </w:tcPr>
          <w:p w14:paraId="49996B17" w14:textId="05333E37" w:rsidR="0057163C" w:rsidRPr="00170422" w:rsidRDefault="00F37BF9">
            <w:pPr>
              <w:jc w:val="center"/>
              <w:rPr>
                <w:rFonts w:ascii="Arial Narrow" w:hAnsi="Arial Narrow"/>
                <w:b/>
                <w:noProof/>
                <w:sz w:val="20"/>
                <w:lang w:val="de-DE"/>
              </w:rPr>
            </w:pPr>
            <w:r w:rsidRPr="00170422">
              <w:rPr>
                <w:rFonts w:ascii="Arial Narrow" w:hAnsi="Arial Narrow"/>
                <w:b/>
                <w:noProof/>
                <w:sz w:val="20"/>
                <w:lang w:val="de-DE"/>
              </w:rPr>
              <w:t>Etappenziel/</w:t>
            </w:r>
            <w:r w:rsidR="0011088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t xml:space="preserve"> </w:t>
            </w:r>
            <w:r w:rsidRPr="00170422">
              <w:rPr>
                <w:noProof/>
                <w:lang w:val="de-DE"/>
              </w:rPr>
              <w:br/>
            </w:r>
            <w:r w:rsidRPr="00170422">
              <w:rPr>
                <w:rFonts w:ascii="Arial Narrow" w:hAnsi="Arial Narrow"/>
                <w:b/>
                <w:noProof/>
                <w:sz w:val="20"/>
                <w:lang w:val="de-DE"/>
              </w:rPr>
              <w:t>(für Etappenziele)</w:t>
            </w:r>
          </w:p>
        </w:tc>
        <w:tc>
          <w:tcPr>
            <w:tcW w:w="3118" w:type="dxa"/>
            <w:gridSpan w:val="3"/>
            <w:shd w:val="clear" w:color="auto" w:fill="A5C9EB" w:themeFill="text2" w:themeFillTint="40"/>
            <w:noWrap/>
            <w:vAlign w:val="center"/>
          </w:tcPr>
          <w:p w14:paraId="1DAE38D5" w14:textId="77777777" w:rsidR="0057163C" w:rsidRPr="00170422" w:rsidRDefault="00F37BF9">
            <w:pPr>
              <w:jc w:val="center"/>
              <w:rPr>
                <w:rFonts w:ascii="Arial Narrow" w:hAnsi="Arial Narrow"/>
                <w:b/>
                <w:noProof/>
                <w:sz w:val="20"/>
                <w:lang w:val="de-DE"/>
              </w:rPr>
            </w:pPr>
            <w:r w:rsidRPr="00170422">
              <w:rPr>
                <w:rFonts w:ascii="Arial Narrow" w:hAnsi="Arial Narrow"/>
                <w:b/>
                <w:noProof/>
                <w:sz w:val="20"/>
                <w:lang w:val="de-DE"/>
              </w:rPr>
              <w:t>Qualitative Indikatoren (</w:t>
            </w:r>
            <w:r w:rsidRPr="00170422">
              <w:rPr>
                <w:rFonts w:ascii="Arial Narrow" w:hAnsi="Arial Narrow"/>
                <w:b/>
                <w:noProof/>
                <w:sz w:val="20"/>
                <w:lang w:val="de-DE"/>
              </w:rPr>
              <w:t>für Etappenziele)</w:t>
            </w:r>
            <w:r w:rsidRPr="00170422">
              <w:rPr>
                <w:noProof/>
                <w:lang w:val="de-DE"/>
              </w:rPr>
              <w:br/>
            </w:r>
            <w:r w:rsidRPr="00170422">
              <w:rPr>
                <w:rFonts w:ascii="Arial Narrow" w:hAnsi="Arial Narrow"/>
                <w:b/>
                <w:noProof/>
                <w:sz w:val="20"/>
                <w:lang w:val="de-DE"/>
              </w:rPr>
              <w:t>(für Ziele)</w:t>
            </w:r>
          </w:p>
        </w:tc>
        <w:tc>
          <w:tcPr>
            <w:tcW w:w="1560" w:type="dxa"/>
            <w:gridSpan w:val="2"/>
            <w:shd w:val="clear" w:color="auto" w:fill="A5C9EB" w:themeFill="text2" w:themeFillTint="40"/>
            <w:noWrap/>
            <w:vAlign w:val="center"/>
          </w:tcPr>
          <w:p w14:paraId="3FC7174D" w14:textId="77777777" w:rsidR="0057163C" w:rsidRPr="00170422" w:rsidRDefault="00F37BF9">
            <w:pPr>
              <w:pStyle w:val="P68B1DB1-Normal10"/>
              <w:jc w:val="center"/>
              <w:rPr>
                <w:noProof/>
                <w:lang w:val="de-DE"/>
              </w:rPr>
            </w:pPr>
            <w:r w:rsidRPr="00170422">
              <w:rPr>
                <w:noProof/>
                <w:lang w:val="de-DE"/>
              </w:rPr>
              <w:t>Vorläufiger Zeitplan für die Fertigstellung</w:t>
            </w:r>
          </w:p>
        </w:tc>
        <w:tc>
          <w:tcPr>
            <w:tcW w:w="2867" w:type="dxa"/>
            <w:vMerge w:val="restart"/>
            <w:shd w:val="clear" w:color="auto" w:fill="A5C9EB" w:themeFill="text2" w:themeFillTint="40"/>
            <w:noWrap/>
            <w:vAlign w:val="center"/>
          </w:tcPr>
          <w:p w14:paraId="53D5A93B" w14:textId="77777777" w:rsidR="0057163C" w:rsidRPr="00170422" w:rsidRDefault="00F37BF9">
            <w:pPr>
              <w:pStyle w:val="P68B1DB1-Normal10"/>
              <w:jc w:val="center"/>
              <w:rPr>
                <w:noProof/>
                <w:lang w:val="de-DE"/>
              </w:rPr>
            </w:pPr>
            <w:r w:rsidRPr="00170422">
              <w:rPr>
                <w:noProof/>
                <w:lang w:val="de-DE"/>
              </w:rPr>
              <w:t>Beschreibung der einzelnen Etappenziele und Zielvorgaben</w:t>
            </w:r>
          </w:p>
        </w:tc>
      </w:tr>
      <w:tr w:rsidR="00110887" w:rsidRPr="00170422" w14:paraId="61D30D9F" w14:textId="77777777" w:rsidTr="00110887">
        <w:trPr>
          <w:trHeight w:val="300"/>
          <w:tblHeader/>
        </w:trPr>
        <w:tc>
          <w:tcPr>
            <w:tcW w:w="959" w:type="dxa"/>
            <w:vMerge/>
            <w:noWrap/>
            <w:vAlign w:val="center"/>
          </w:tcPr>
          <w:p w14:paraId="547FCDAD" w14:textId="77777777" w:rsidR="0057163C" w:rsidRPr="00170422" w:rsidRDefault="0057163C">
            <w:pPr>
              <w:jc w:val="center"/>
              <w:rPr>
                <w:rFonts w:ascii="Arial Narrow" w:hAnsi="Arial Narrow"/>
                <w:b/>
                <w:bCs/>
                <w:noProof/>
                <w:sz w:val="20"/>
                <w:szCs w:val="20"/>
                <w:lang w:val="de-DE"/>
              </w:rPr>
            </w:pPr>
          </w:p>
        </w:tc>
        <w:tc>
          <w:tcPr>
            <w:tcW w:w="1699" w:type="dxa"/>
            <w:vMerge/>
            <w:noWrap/>
            <w:vAlign w:val="center"/>
          </w:tcPr>
          <w:p w14:paraId="46023B44" w14:textId="77777777" w:rsidR="0057163C" w:rsidRPr="00170422" w:rsidRDefault="0057163C">
            <w:pPr>
              <w:jc w:val="center"/>
              <w:rPr>
                <w:rFonts w:ascii="Arial Narrow" w:hAnsi="Arial Narrow"/>
                <w:b/>
                <w:bCs/>
                <w:noProof/>
                <w:sz w:val="20"/>
                <w:szCs w:val="20"/>
                <w:lang w:val="de-DE"/>
              </w:rPr>
            </w:pPr>
          </w:p>
        </w:tc>
        <w:tc>
          <w:tcPr>
            <w:tcW w:w="1419" w:type="dxa"/>
            <w:vMerge/>
            <w:noWrap/>
            <w:vAlign w:val="center"/>
          </w:tcPr>
          <w:p w14:paraId="5EA87C3D" w14:textId="77777777" w:rsidR="0057163C" w:rsidRPr="00170422" w:rsidRDefault="0057163C">
            <w:pPr>
              <w:jc w:val="center"/>
              <w:rPr>
                <w:rFonts w:ascii="Arial Narrow" w:hAnsi="Arial Narrow"/>
                <w:b/>
                <w:bCs/>
                <w:noProof/>
                <w:sz w:val="20"/>
                <w:szCs w:val="20"/>
                <w:lang w:val="de-DE"/>
              </w:rPr>
            </w:pPr>
          </w:p>
        </w:tc>
        <w:tc>
          <w:tcPr>
            <w:tcW w:w="1268" w:type="dxa"/>
            <w:vMerge/>
            <w:noWrap/>
            <w:vAlign w:val="center"/>
          </w:tcPr>
          <w:p w14:paraId="00B31684" w14:textId="77777777" w:rsidR="0057163C" w:rsidRPr="00170422" w:rsidRDefault="0057163C">
            <w:pPr>
              <w:jc w:val="center"/>
              <w:rPr>
                <w:rFonts w:ascii="Arial Narrow" w:hAnsi="Arial Narrow"/>
                <w:b/>
                <w:bCs/>
                <w:noProof/>
                <w:sz w:val="20"/>
                <w:szCs w:val="20"/>
                <w:lang w:val="de-DE"/>
              </w:rPr>
            </w:pPr>
          </w:p>
        </w:tc>
        <w:tc>
          <w:tcPr>
            <w:tcW w:w="1284" w:type="dxa"/>
            <w:vMerge/>
            <w:noWrap/>
            <w:vAlign w:val="center"/>
          </w:tcPr>
          <w:p w14:paraId="71737E12" w14:textId="77777777" w:rsidR="0057163C" w:rsidRPr="00170422" w:rsidRDefault="0057163C">
            <w:pPr>
              <w:jc w:val="center"/>
              <w:rPr>
                <w:rFonts w:ascii="Arial Narrow" w:hAnsi="Arial Narrow"/>
                <w:b/>
                <w:bCs/>
                <w:noProof/>
                <w:sz w:val="20"/>
                <w:szCs w:val="20"/>
                <w:lang w:val="de-DE"/>
              </w:rPr>
            </w:pPr>
          </w:p>
        </w:tc>
        <w:tc>
          <w:tcPr>
            <w:tcW w:w="1134" w:type="dxa"/>
            <w:shd w:val="clear" w:color="auto" w:fill="A5C9EB" w:themeFill="text2" w:themeFillTint="40"/>
            <w:noWrap/>
            <w:vAlign w:val="center"/>
          </w:tcPr>
          <w:p w14:paraId="76B87A9D" w14:textId="77777777" w:rsidR="0057163C" w:rsidRPr="00170422" w:rsidRDefault="00F37BF9">
            <w:pPr>
              <w:pStyle w:val="P68B1DB1-Normal10"/>
              <w:jc w:val="center"/>
              <w:rPr>
                <w:bCs/>
                <w:noProof/>
                <w:szCs w:val="20"/>
                <w:lang w:val="de-DE"/>
              </w:rPr>
            </w:pPr>
            <w:r w:rsidRPr="00170422">
              <w:rPr>
                <w:noProof/>
                <w:lang w:val="de-DE"/>
              </w:rPr>
              <w:t>Maßeinheit</w:t>
            </w:r>
          </w:p>
        </w:tc>
        <w:tc>
          <w:tcPr>
            <w:tcW w:w="1417" w:type="dxa"/>
            <w:shd w:val="clear" w:color="auto" w:fill="A5C9EB" w:themeFill="text2" w:themeFillTint="40"/>
            <w:vAlign w:val="center"/>
          </w:tcPr>
          <w:p w14:paraId="1E44CB01" w14:textId="77777777" w:rsidR="0057163C" w:rsidRPr="00170422" w:rsidRDefault="00F37BF9">
            <w:pPr>
              <w:pStyle w:val="P68B1DB1-Normal10"/>
              <w:jc w:val="center"/>
              <w:rPr>
                <w:bCs/>
                <w:noProof/>
                <w:szCs w:val="20"/>
                <w:lang w:val="de-DE"/>
              </w:rPr>
            </w:pPr>
            <w:r w:rsidRPr="00170422">
              <w:rPr>
                <w:noProof/>
                <w:lang w:val="de-DE"/>
              </w:rPr>
              <w:t>Ausgangslage</w:t>
            </w:r>
          </w:p>
        </w:tc>
        <w:tc>
          <w:tcPr>
            <w:tcW w:w="567" w:type="dxa"/>
            <w:shd w:val="clear" w:color="auto" w:fill="A5C9EB" w:themeFill="text2" w:themeFillTint="40"/>
            <w:vAlign w:val="center"/>
          </w:tcPr>
          <w:p w14:paraId="502CA37A" w14:textId="77777777" w:rsidR="0057163C" w:rsidRPr="00170422" w:rsidRDefault="00F37BF9">
            <w:pPr>
              <w:pStyle w:val="P68B1DB1-Normal10"/>
              <w:jc w:val="center"/>
              <w:rPr>
                <w:bCs/>
                <w:noProof/>
                <w:szCs w:val="20"/>
                <w:lang w:val="de-DE"/>
              </w:rPr>
            </w:pPr>
            <w:r w:rsidRPr="00170422">
              <w:rPr>
                <w:noProof/>
                <w:lang w:val="de-DE"/>
              </w:rPr>
              <w:t>Ziel</w:t>
            </w:r>
          </w:p>
        </w:tc>
        <w:tc>
          <w:tcPr>
            <w:tcW w:w="851" w:type="dxa"/>
            <w:shd w:val="clear" w:color="auto" w:fill="A5C9EB" w:themeFill="text2" w:themeFillTint="40"/>
            <w:noWrap/>
            <w:vAlign w:val="center"/>
          </w:tcPr>
          <w:p w14:paraId="5B886F69" w14:textId="77777777" w:rsidR="0057163C" w:rsidRPr="00170422" w:rsidRDefault="00F37BF9">
            <w:pPr>
              <w:pStyle w:val="P68B1DB1-Normal10"/>
              <w:jc w:val="center"/>
              <w:rPr>
                <w:noProof/>
                <w:szCs w:val="20"/>
                <w:lang w:val="de-DE"/>
              </w:rPr>
            </w:pPr>
            <w:r w:rsidRPr="00170422">
              <w:rPr>
                <w:noProof/>
                <w:lang w:val="de-DE"/>
              </w:rPr>
              <w:t>Viertel</w:t>
            </w:r>
          </w:p>
        </w:tc>
        <w:tc>
          <w:tcPr>
            <w:tcW w:w="709" w:type="dxa"/>
            <w:shd w:val="clear" w:color="auto" w:fill="A5C9EB" w:themeFill="text2" w:themeFillTint="40"/>
            <w:vAlign w:val="center"/>
          </w:tcPr>
          <w:p w14:paraId="1C270529" w14:textId="77777777" w:rsidR="0057163C" w:rsidRPr="00170422" w:rsidRDefault="00F37BF9">
            <w:pPr>
              <w:pStyle w:val="P68B1DB1-Normal10"/>
              <w:jc w:val="center"/>
              <w:rPr>
                <w:noProof/>
                <w:szCs w:val="20"/>
                <w:lang w:val="de-DE"/>
              </w:rPr>
            </w:pPr>
            <w:r w:rsidRPr="00170422">
              <w:rPr>
                <w:noProof/>
                <w:lang w:val="de-DE"/>
              </w:rPr>
              <w:t>Jahre</w:t>
            </w:r>
          </w:p>
        </w:tc>
        <w:tc>
          <w:tcPr>
            <w:tcW w:w="2867" w:type="dxa"/>
            <w:vMerge/>
            <w:noWrap/>
            <w:vAlign w:val="center"/>
          </w:tcPr>
          <w:p w14:paraId="1FFDAC98" w14:textId="77777777" w:rsidR="0057163C" w:rsidRPr="00170422" w:rsidRDefault="0057163C">
            <w:pPr>
              <w:rPr>
                <w:rFonts w:ascii="Arial Narrow" w:hAnsi="Arial Narrow"/>
                <w:noProof/>
                <w:sz w:val="20"/>
                <w:szCs w:val="20"/>
                <w:lang w:val="de-DE"/>
              </w:rPr>
            </w:pPr>
          </w:p>
        </w:tc>
      </w:tr>
      <w:tr w:rsidR="00110887" w:rsidRPr="00170422" w14:paraId="14B78B0D" w14:textId="77777777" w:rsidTr="00110887">
        <w:trPr>
          <w:trHeight w:val="300"/>
        </w:trPr>
        <w:tc>
          <w:tcPr>
            <w:tcW w:w="959" w:type="dxa"/>
            <w:shd w:val="clear" w:color="auto" w:fill="C6EFCE"/>
            <w:noWrap/>
            <w:vAlign w:val="center"/>
          </w:tcPr>
          <w:p w14:paraId="78BE74C2" w14:textId="77777777" w:rsidR="0057163C" w:rsidRPr="00170422" w:rsidRDefault="00F37BF9">
            <w:pPr>
              <w:pStyle w:val="P68B1DB1-Normal11"/>
              <w:spacing w:line="276" w:lineRule="auto"/>
              <w:jc w:val="center"/>
              <w:rPr>
                <w:noProof/>
                <w:lang w:val="de-DE"/>
              </w:rPr>
            </w:pPr>
            <w:r w:rsidRPr="00170422">
              <w:rPr>
                <w:noProof/>
                <w:lang w:val="de-DE"/>
              </w:rPr>
              <w:t>M2C4-6</w:t>
            </w:r>
          </w:p>
        </w:tc>
        <w:tc>
          <w:tcPr>
            <w:tcW w:w="1699" w:type="dxa"/>
            <w:shd w:val="clear" w:color="auto" w:fill="C6EFCE"/>
            <w:noWrap/>
            <w:vAlign w:val="center"/>
          </w:tcPr>
          <w:p w14:paraId="3D923B2D" w14:textId="77777777" w:rsidR="0057163C" w:rsidRPr="00170422" w:rsidRDefault="00F37BF9">
            <w:pPr>
              <w:pStyle w:val="P68B1DB1-Normal11"/>
              <w:spacing w:line="276" w:lineRule="auto"/>
              <w:jc w:val="center"/>
              <w:rPr>
                <w:noProof/>
                <w:lang w:val="de-DE"/>
              </w:rPr>
            </w:pPr>
            <w:r w:rsidRPr="00170422">
              <w:rPr>
                <w:noProof/>
                <w:lang w:val="de-DE"/>
              </w:rPr>
              <w:t>Investition 3.2: Digitalisierung von Nationalparks</w:t>
            </w:r>
          </w:p>
        </w:tc>
        <w:tc>
          <w:tcPr>
            <w:tcW w:w="1419" w:type="dxa"/>
            <w:shd w:val="clear" w:color="auto" w:fill="C6EFCE"/>
            <w:noWrap/>
            <w:vAlign w:val="center"/>
          </w:tcPr>
          <w:p w14:paraId="2DF4FB33" w14:textId="77777777" w:rsidR="0057163C" w:rsidRPr="00170422" w:rsidRDefault="00F37BF9">
            <w:pPr>
              <w:pStyle w:val="P68B1DB1-Normal11"/>
              <w:spacing w:line="276" w:lineRule="auto"/>
              <w:jc w:val="center"/>
              <w:rPr>
                <w:noProof/>
                <w:lang w:val="de-DE"/>
              </w:rPr>
            </w:pPr>
            <w:r w:rsidRPr="00170422">
              <w:rPr>
                <w:noProof/>
                <w:lang w:val="de-DE"/>
              </w:rPr>
              <w:t>Ziel</w:t>
            </w:r>
          </w:p>
        </w:tc>
        <w:tc>
          <w:tcPr>
            <w:tcW w:w="1268" w:type="dxa"/>
            <w:shd w:val="clear" w:color="auto" w:fill="C6EFCE"/>
            <w:noWrap/>
            <w:vAlign w:val="center"/>
          </w:tcPr>
          <w:p w14:paraId="2A55A2CE" w14:textId="77777777" w:rsidR="0057163C" w:rsidRPr="00170422" w:rsidRDefault="00F37BF9">
            <w:pPr>
              <w:pStyle w:val="P68B1DB1-Normal11"/>
              <w:spacing w:line="276" w:lineRule="auto"/>
              <w:jc w:val="center"/>
              <w:rPr>
                <w:noProof/>
                <w:lang w:val="de-DE"/>
              </w:rPr>
            </w:pPr>
            <w:r w:rsidRPr="00170422">
              <w:rPr>
                <w:noProof/>
                <w:lang w:val="de-DE"/>
              </w:rPr>
              <w:t>Entwicklung</w:t>
            </w:r>
            <w:r w:rsidRPr="00170422">
              <w:rPr>
                <w:noProof/>
                <w:lang w:val="de-DE"/>
              </w:rPr>
              <w:t xml:space="preserve"> digitaler Dienste für Besucher von Nationalparks und Meeresschutzgebieten</w:t>
            </w:r>
          </w:p>
        </w:tc>
        <w:tc>
          <w:tcPr>
            <w:tcW w:w="1284" w:type="dxa"/>
            <w:shd w:val="clear" w:color="auto" w:fill="C6EFCE"/>
            <w:noWrap/>
            <w:vAlign w:val="center"/>
          </w:tcPr>
          <w:p w14:paraId="3253730E" w14:textId="77777777" w:rsidR="0057163C" w:rsidRPr="00170422" w:rsidRDefault="00F37BF9">
            <w:pPr>
              <w:pStyle w:val="P68B1DB1-Normal11"/>
              <w:spacing w:line="276" w:lineRule="auto"/>
              <w:jc w:val="center"/>
              <w:rPr>
                <w:noProof/>
                <w:lang w:val="de-DE"/>
              </w:rPr>
            </w:pPr>
            <w:r w:rsidRPr="00170422">
              <w:rPr>
                <w:noProof/>
                <w:lang w:val="de-DE"/>
              </w:rPr>
              <w:t>ENTFÄLLT.</w:t>
            </w:r>
          </w:p>
        </w:tc>
        <w:tc>
          <w:tcPr>
            <w:tcW w:w="1134" w:type="dxa"/>
            <w:shd w:val="clear" w:color="auto" w:fill="C6EFCE"/>
            <w:noWrap/>
            <w:vAlign w:val="center"/>
          </w:tcPr>
          <w:p w14:paraId="4671BF18" w14:textId="77777777" w:rsidR="0057163C" w:rsidRPr="00170422" w:rsidRDefault="00F37BF9">
            <w:pPr>
              <w:pStyle w:val="P68B1DB1-Normal11"/>
              <w:spacing w:line="276" w:lineRule="auto"/>
              <w:jc w:val="center"/>
              <w:rPr>
                <w:noProof/>
                <w:lang w:val="de-DE"/>
              </w:rPr>
            </w:pPr>
            <w:r w:rsidRPr="00170422">
              <w:rPr>
                <w:noProof/>
                <w:lang w:val="de-DE"/>
              </w:rPr>
              <w:t>Prozentuale</w:t>
            </w:r>
          </w:p>
        </w:tc>
        <w:tc>
          <w:tcPr>
            <w:tcW w:w="1417" w:type="dxa"/>
            <w:shd w:val="clear" w:color="auto" w:fill="C6EFCE"/>
            <w:noWrap/>
            <w:vAlign w:val="center"/>
          </w:tcPr>
          <w:p w14:paraId="14BCE1D9" w14:textId="77777777" w:rsidR="0057163C" w:rsidRPr="00170422" w:rsidRDefault="00F37BF9">
            <w:pPr>
              <w:pStyle w:val="P68B1DB1-Normal11"/>
              <w:spacing w:line="276" w:lineRule="auto"/>
              <w:jc w:val="center"/>
              <w:rPr>
                <w:noProof/>
                <w:lang w:val="de-DE"/>
              </w:rPr>
            </w:pPr>
            <w:r w:rsidRPr="00170422">
              <w:rPr>
                <w:noProof/>
                <w:lang w:val="de-DE"/>
              </w:rPr>
              <w:t>0</w:t>
            </w:r>
          </w:p>
        </w:tc>
        <w:tc>
          <w:tcPr>
            <w:tcW w:w="567" w:type="dxa"/>
            <w:shd w:val="clear" w:color="auto" w:fill="C6EFCE"/>
            <w:noWrap/>
            <w:vAlign w:val="center"/>
          </w:tcPr>
          <w:p w14:paraId="2D310B6A" w14:textId="77777777" w:rsidR="0057163C" w:rsidRPr="00170422" w:rsidRDefault="00F37BF9">
            <w:pPr>
              <w:pStyle w:val="P68B1DB1-Normal11"/>
              <w:spacing w:line="276" w:lineRule="auto"/>
              <w:jc w:val="center"/>
              <w:rPr>
                <w:noProof/>
                <w:lang w:val="de-DE"/>
              </w:rPr>
            </w:pPr>
            <w:r w:rsidRPr="00170422">
              <w:rPr>
                <w:noProof/>
                <w:lang w:val="de-DE"/>
              </w:rPr>
              <w:t>70</w:t>
            </w:r>
          </w:p>
        </w:tc>
        <w:tc>
          <w:tcPr>
            <w:tcW w:w="851" w:type="dxa"/>
            <w:shd w:val="clear" w:color="auto" w:fill="C6EFCE"/>
            <w:noWrap/>
            <w:vAlign w:val="center"/>
          </w:tcPr>
          <w:p w14:paraId="4D8FA338" w14:textId="77777777" w:rsidR="0057163C" w:rsidRPr="00170422" w:rsidRDefault="00F37BF9">
            <w:pPr>
              <w:pStyle w:val="P68B1DB1-Normal11"/>
              <w:spacing w:line="276" w:lineRule="auto"/>
              <w:jc w:val="center"/>
              <w:rPr>
                <w:noProof/>
                <w:lang w:val="de-DE"/>
              </w:rPr>
            </w:pPr>
            <w:r w:rsidRPr="00170422">
              <w:rPr>
                <w:noProof/>
                <w:lang w:val="de-DE"/>
              </w:rPr>
              <w:t>Q2</w:t>
            </w:r>
          </w:p>
        </w:tc>
        <w:tc>
          <w:tcPr>
            <w:tcW w:w="709" w:type="dxa"/>
            <w:shd w:val="clear" w:color="auto" w:fill="C6EFCE"/>
            <w:noWrap/>
            <w:vAlign w:val="center"/>
          </w:tcPr>
          <w:p w14:paraId="1A7580A6" w14:textId="77777777" w:rsidR="0057163C" w:rsidRPr="00170422" w:rsidRDefault="00F37BF9">
            <w:pPr>
              <w:pStyle w:val="P68B1DB1-Normal11"/>
              <w:spacing w:line="276" w:lineRule="auto"/>
              <w:jc w:val="center"/>
              <w:rPr>
                <w:noProof/>
                <w:lang w:val="de-DE"/>
              </w:rPr>
            </w:pPr>
            <w:r w:rsidRPr="00170422">
              <w:rPr>
                <w:noProof/>
                <w:lang w:val="de-DE"/>
              </w:rPr>
              <w:t>2024</w:t>
            </w:r>
          </w:p>
        </w:tc>
        <w:tc>
          <w:tcPr>
            <w:tcW w:w="2867" w:type="dxa"/>
            <w:shd w:val="clear" w:color="auto" w:fill="C6EFCE"/>
            <w:noWrap/>
            <w:vAlign w:val="center"/>
          </w:tcPr>
          <w:p w14:paraId="28D529F6" w14:textId="022A8E96" w:rsidR="0057163C" w:rsidRPr="00170422" w:rsidRDefault="00F37BF9">
            <w:pPr>
              <w:pStyle w:val="P68B1DB1-Normal11"/>
              <w:spacing w:line="276" w:lineRule="auto"/>
              <w:rPr>
                <w:noProof/>
                <w:lang w:val="de-DE"/>
              </w:rPr>
            </w:pPr>
            <w:r w:rsidRPr="00170422">
              <w:rPr>
                <w:noProof/>
                <w:lang w:val="de-DE"/>
              </w:rPr>
              <w:t>Mindestens 70 % der Nationalparks und Meeresschutzgebiete haben digitale Dienste für Besucher von Nationalparks und Meeresschutzgebieten entwickel</w:t>
            </w:r>
            <w:r w:rsidRPr="00170422">
              <w:rPr>
                <w:noProof/>
                <w:lang w:val="de-DE"/>
              </w:rPr>
              <w:t>t (mindestens zwei von ihnen: die Anbindung an das Portal Naturitalia.IT; ein Antrag auf Verwaltungsverfahren oder eine App für nachhaltige Mobilität).</w:t>
            </w:r>
          </w:p>
        </w:tc>
      </w:tr>
      <w:tr w:rsidR="00110887" w:rsidRPr="00170422" w14:paraId="75B78CF8" w14:textId="77777777" w:rsidTr="00110887">
        <w:trPr>
          <w:trHeight w:val="300"/>
        </w:trPr>
        <w:tc>
          <w:tcPr>
            <w:tcW w:w="959" w:type="dxa"/>
            <w:shd w:val="clear" w:color="auto" w:fill="C6EFCE"/>
            <w:noWrap/>
            <w:vAlign w:val="center"/>
            <w:hideMark/>
          </w:tcPr>
          <w:p w14:paraId="605E2C8A" w14:textId="77777777" w:rsidR="0057163C" w:rsidRPr="00170422" w:rsidRDefault="00F37BF9">
            <w:pPr>
              <w:pStyle w:val="P68B1DB1-Normal11"/>
              <w:spacing w:line="276" w:lineRule="auto"/>
              <w:jc w:val="center"/>
              <w:rPr>
                <w:rFonts w:eastAsia="Arial Narrow" w:cs="Arial Narrow"/>
                <w:noProof/>
                <w:szCs w:val="20"/>
                <w:lang w:val="de-DE"/>
              </w:rPr>
            </w:pPr>
            <w:r w:rsidRPr="00170422">
              <w:rPr>
                <w:noProof/>
                <w:lang w:val="de-DE"/>
              </w:rPr>
              <w:t>M2C4-6bis</w:t>
            </w:r>
          </w:p>
        </w:tc>
        <w:tc>
          <w:tcPr>
            <w:tcW w:w="1699" w:type="dxa"/>
            <w:shd w:val="clear" w:color="auto" w:fill="C6EFCE"/>
            <w:noWrap/>
            <w:vAlign w:val="center"/>
          </w:tcPr>
          <w:p w14:paraId="17DF9A87" w14:textId="77777777" w:rsidR="0057163C" w:rsidRPr="00170422" w:rsidRDefault="00F37BF9">
            <w:pPr>
              <w:pStyle w:val="P68B1DB1-Normal12"/>
              <w:spacing w:line="276" w:lineRule="auto"/>
              <w:jc w:val="center"/>
              <w:rPr>
                <w:rFonts w:eastAsia="Arial Narrow" w:cs="Arial Narrow"/>
                <w:noProof/>
                <w:lang w:val="de-DE"/>
              </w:rPr>
            </w:pPr>
            <w:r w:rsidRPr="00170422">
              <w:rPr>
                <w:noProof/>
                <w:lang w:val="de-DE"/>
              </w:rPr>
              <w:t>Investition 3.2: Digitalisierung von Nationalparks</w:t>
            </w:r>
          </w:p>
        </w:tc>
        <w:tc>
          <w:tcPr>
            <w:tcW w:w="1419" w:type="dxa"/>
            <w:shd w:val="clear" w:color="auto" w:fill="C6EFCE"/>
            <w:noWrap/>
            <w:vAlign w:val="center"/>
            <w:hideMark/>
          </w:tcPr>
          <w:p w14:paraId="7837F233"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tcPr>
          <w:p w14:paraId="15538178" w14:textId="77777777" w:rsidR="0057163C" w:rsidRPr="00170422" w:rsidRDefault="00F37BF9">
            <w:pPr>
              <w:pStyle w:val="P68B1DB1-Normal12"/>
              <w:spacing w:line="276" w:lineRule="auto"/>
              <w:jc w:val="center"/>
              <w:rPr>
                <w:noProof/>
                <w:lang w:val="de-DE"/>
              </w:rPr>
            </w:pPr>
            <w:r w:rsidRPr="00170422">
              <w:rPr>
                <w:noProof/>
                <w:lang w:val="de-DE"/>
              </w:rPr>
              <w:t xml:space="preserve"> Durchgeführte Maßnahmen im Zusammenhang mit dem Naturschutz und der Überwachung der natürlichen Ressourcen </w:t>
            </w:r>
          </w:p>
        </w:tc>
        <w:tc>
          <w:tcPr>
            <w:tcW w:w="1284" w:type="dxa"/>
            <w:shd w:val="clear" w:color="auto" w:fill="C6EFCE"/>
            <w:noWrap/>
            <w:vAlign w:val="center"/>
            <w:hideMark/>
          </w:tcPr>
          <w:p w14:paraId="3F9AA4A5" w14:textId="77777777" w:rsidR="0057163C" w:rsidRPr="00170422" w:rsidRDefault="00F37BF9">
            <w:pPr>
              <w:pStyle w:val="P68B1DB1-Normal81"/>
              <w:spacing w:line="276" w:lineRule="auto"/>
              <w:jc w:val="center"/>
              <w:rPr>
                <w:rFonts w:eastAsia="Arial Narrow" w:cs="Arial Narrow"/>
                <w:noProof/>
                <w:sz w:val="20"/>
                <w:szCs w:val="20"/>
                <w:lang w:val="de-DE"/>
              </w:rPr>
            </w:pPr>
            <w:r w:rsidRPr="00170422">
              <w:rPr>
                <w:noProof/>
                <w:lang w:val="de-DE"/>
              </w:rPr>
              <w:t xml:space="preserve">Ausgestellte Bescheinigungen </w:t>
            </w:r>
          </w:p>
        </w:tc>
        <w:tc>
          <w:tcPr>
            <w:tcW w:w="1134" w:type="dxa"/>
            <w:shd w:val="clear" w:color="auto" w:fill="C6EFCE"/>
            <w:noWrap/>
            <w:vAlign w:val="center"/>
            <w:hideMark/>
          </w:tcPr>
          <w:p w14:paraId="2AAB35CB" w14:textId="77777777" w:rsidR="0057163C" w:rsidRPr="00170422" w:rsidRDefault="0057163C">
            <w:pPr>
              <w:spacing w:line="276" w:lineRule="auto"/>
              <w:jc w:val="center"/>
              <w:rPr>
                <w:rFonts w:ascii="Arial Narrow" w:hAnsi="Arial Narrow"/>
                <w:noProof/>
                <w:color w:val="006100"/>
                <w:sz w:val="20"/>
                <w:szCs w:val="20"/>
                <w:lang w:val="de-DE"/>
              </w:rPr>
            </w:pPr>
          </w:p>
        </w:tc>
        <w:tc>
          <w:tcPr>
            <w:tcW w:w="1417" w:type="dxa"/>
            <w:shd w:val="clear" w:color="auto" w:fill="C6EFCE"/>
            <w:noWrap/>
            <w:vAlign w:val="center"/>
          </w:tcPr>
          <w:p w14:paraId="053B7D26" w14:textId="77777777" w:rsidR="0057163C" w:rsidRPr="00170422" w:rsidRDefault="0057163C">
            <w:pPr>
              <w:spacing w:line="276" w:lineRule="auto"/>
              <w:jc w:val="center"/>
              <w:rPr>
                <w:rFonts w:ascii="Arial Narrow" w:hAnsi="Arial Narrow"/>
                <w:noProof/>
                <w:color w:val="006100"/>
                <w:sz w:val="20"/>
                <w:szCs w:val="20"/>
                <w:lang w:val="de-DE"/>
              </w:rPr>
            </w:pPr>
          </w:p>
        </w:tc>
        <w:tc>
          <w:tcPr>
            <w:tcW w:w="567" w:type="dxa"/>
            <w:shd w:val="clear" w:color="auto" w:fill="C6EFCE"/>
            <w:noWrap/>
            <w:vAlign w:val="center"/>
          </w:tcPr>
          <w:p w14:paraId="563CCA75" w14:textId="77777777" w:rsidR="0057163C" w:rsidRPr="00170422" w:rsidRDefault="0057163C">
            <w:pPr>
              <w:spacing w:line="276" w:lineRule="auto"/>
              <w:jc w:val="center"/>
              <w:rPr>
                <w:rFonts w:ascii="Arial Narrow" w:hAnsi="Arial Narrow"/>
                <w:noProof/>
                <w:color w:val="006100"/>
                <w:sz w:val="20"/>
                <w:szCs w:val="20"/>
                <w:lang w:val="de-DE"/>
              </w:rPr>
            </w:pPr>
          </w:p>
        </w:tc>
        <w:tc>
          <w:tcPr>
            <w:tcW w:w="851" w:type="dxa"/>
            <w:shd w:val="clear" w:color="auto" w:fill="C6EFCE"/>
            <w:noWrap/>
            <w:vAlign w:val="center"/>
            <w:hideMark/>
          </w:tcPr>
          <w:p w14:paraId="752FD86C"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9" w:type="dxa"/>
            <w:shd w:val="clear" w:color="auto" w:fill="C6EFCE"/>
            <w:noWrap/>
            <w:vAlign w:val="center"/>
            <w:hideMark/>
          </w:tcPr>
          <w:p w14:paraId="478E92FB"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shd w:val="clear" w:color="auto" w:fill="C6EFCE"/>
            <w:noWrap/>
            <w:vAlign w:val="center"/>
            <w:hideMark/>
          </w:tcPr>
          <w:p w14:paraId="48414D37" w14:textId="0F536883" w:rsidR="0057163C" w:rsidRPr="00170422" w:rsidRDefault="00F37BF9">
            <w:pPr>
              <w:pStyle w:val="P68B1DB1-ListParagraph13"/>
              <w:numPr>
                <w:ilvl w:val="0"/>
                <w:numId w:val="32"/>
              </w:numPr>
              <w:spacing w:after="0" w:line="276" w:lineRule="auto"/>
              <w:jc w:val="both"/>
              <w:rPr>
                <w:noProof/>
                <w:lang w:val="de-DE"/>
              </w:rPr>
            </w:pPr>
            <w:r w:rsidRPr="00170422">
              <w:rPr>
                <w:noProof/>
                <w:lang w:val="de-DE"/>
              </w:rPr>
              <w:t>Konformitätsbescheinigung(en) für mindestens 12000 Ausrüstungsgegenstände für Naturschutz- und Überwachung</w:t>
            </w:r>
            <w:r w:rsidRPr="00170422">
              <w:rPr>
                <w:noProof/>
                <w:lang w:val="de-DE"/>
              </w:rPr>
              <w:t>stätigkeiten;</w:t>
            </w:r>
          </w:p>
          <w:p w14:paraId="0C3C05CF" w14:textId="09D2CBA5" w:rsidR="0057163C" w:rsidRPr="00170422" w:rsidRDefault="00F37BF9">
            <w:pPr>
              <w:pStyle w:val="P68B1DB1-ListParagraph13"/>
              <w:numPr>
                <w:ilvl w:val="0"/>
                <w:numId w:val="32"/>
              </w:numPr>
              <w:spacing w:after="0" w:line="276" w:lineRule="auto"/>
              <w:jc w:val="both"/>
              <w:rPr>
                <w:noProof/>
                <w:lang w:val="de-DE"/>
              </w:rPr>
            </w:pPr>
            <w:r w:rsidRPr="00170422">
              <w:rPr>
                <w:noProof/>
                <w:lang w:val="de-DE"/>
              </w:rPr>
              <w:t>Bescheinigung(en) über die regelmäßige Erbringung von Dienstleistungen für die Erbringung von Dienstleistungen in Naturparks und Meeresschutzgebieten von mindestens sieben verschiedenen Arten technischer Dienstleistungen und Schulungen für wi</w:t>
            </w:r>
            <w:r w:rsidRPr="00170422">
              <w:rPr>
                <w:noProof/>
                <w:lang w:val="de-DE"/>
              </w:rPr>
              <w:t>ssenschaftliche und Vor-Ort-Überwachungstätigkeiten.</w:t>
            </w:r>
          </w:p>
        </w:tc>
      </w:tr>
      <w:tr w:rsidR="00110887" w:rsidRPr="00170422" w14:paraId="3A482D7F" w14:textId="77777777" w:rsidTr="00110887">
        <w:trPr>
          <w:trHeight w:val="300"/>
        </w:trPr>
        <w:tc>
          <w:tcPr>
            <w:tcW w:w="959" w:type="dxa"/>
            <w:shd w:val="clear" w:color="auto" w:fill="C6EFCE"/>
            <w:noWrap/>
            <w:vAlign w:val="center"/>
            <w:hideMark/>
          </w:tcPr>
          <w:p w14:paraId="1DA7FDD5" w14:textId="77777777" w:rsidR="0057163C" w:rsidRPr="00170422" w:rsidRDefault="00F37BF9">
            <w:pPr>
              <w:pStyle w:val="P68B1DB1-Normal11"/>
              <w:spacing w:line="276" w:lineRule="auto"/>
              <w:jc w:val="center"/>
              <w:rPr>
                <w:noProof/>
                <w:szCs w:val="20"/>
                <w:lang w:val="de-DE"/>
              </w:rPr>
            </w:pPr>
            <w:r w:rsidRPr="00170422">
              <w:rPr>
                <w:noProof/>
                <w:lang w:val="de-DE"/>
              </w:rPr>
              <w:t>M2C4-7</w:t>
            </w:r>
          </w:p>
        </w:tc>
        <w:tc>
          <w:tcPr>
            <w:tcW w:w="1699" w:type="dxa"/>
            <w:shd w:val="clear" w:color="auto" w:fill="C6EFCE"/>
            <w:noWrap/>
            <w:vAlign w:val="center"/>
          </w:tcPr>
          <w:p w14:paraId="50C1920B" w14:textId="77777777" w:rsidR="0057163C" w:rsidRPr="00170422" w:rsidRDefault="00F37BF9">
            <w:pPr>
              <w:pStyle w:val="P68B1DB1-Normal11"/>
              <w:spacing w:line="276" w:lineRule="auto"/>
              <w:jc w:val="center"/>
              <w:rPr>
                <w:noProof/>
                <w:szCs w:val="20"/>
                <w:lang w:val="de-DE"/>
              </w:rPr>
            </w:pPr>
            <w:r w:rsidRPr="00170422">
              <w:rPr>
                <w:noProof/>
                <w:lang w:val="de-DE"/>
              </w:rPr>
              <w:t>Reform 3.1: Annahme nationaler Programme zur Luftreinhaltung</w:t>
            </w:r>
          </w:p>
        </w:tc>
        <w:tc>
          <w:tcPr>
            <w:tcW w:w="1419" w:type="dxa"/>
            <w:shd w:val="clear" w:color="auto" w:fill="C6EFCE"/>
            <w:noWrap/>
            <w:vAlign w:val="center"/>
            <w:hideMark/>
          </w:tcPr>
          <w:p w14:paraId="2D0C9CA5"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tcPr>
          <w:p w14:paraId="57E227F4" w14:textId="77777777" w:rsidR="0057163C" w:rsidRPr="00170422" w:rsidRDefault="00F37BF9">
            <w:pPr>
              <w:pStyle w:val="P68B1DB1-Normal11"/>
              <w:spacing w:line="276" w:lineRule="auto"/>
              <w:jc w:val="center"/>
              <w:rPr>
                <w:noProof/>
                <w:szCs w:val="20"/>
                <w:lang w:val="de-DE"/>
              </w:rPr>
            </w:pPr>
            <w:r w:rsidRPr="00170422">
              <w:rPr>
                <w:noProof/>
                <w:lang w:val="de-DE"/>
              </w:rPr>
              <w:t>Inkrafttreten eines nationalen Luftreinhalteprogramms</w:t>
            </w:r>
          </w:p>
        </w:tc>
        <w:tc>
          <w:tcPr>
            <w:tcW w:w="1284" w:type="dxa"/>
            <w:shd w:val="clear" w:color="auto" w:fill="C6EFCE"/>
            <w:noWrap/>
            <w:vAlign w:val="center"/>
            <w:hideMark/>
          </w:tcPr>
          <w:p w14:paraId="1A239675" w14:textId="77777777" w:rsidR="0057163C" w:rsidRPr="00170422" w:rsidRDefault="00F37BF9">
            <w:pPr>
              <w:pStyle w:val="P68B1DB1-Normal11"/>
              <w:spacing w:line="276" w:lineRule="auto"/>
              <w:jc w:val="center"/>
              <w:rPr>
                <w:noProof/>
                <w:szCs w:val="20"/>
                <w:lang w:val="de-DE"/>
              </w:rPr>
            </w:pPr>
            <w:r w:rsidRPr="00170422">
              <w:rPr>
                <w:noProof/>
                <w:lang w:val="de-DE"/>
              </w:rPr>
              <w:t>Bestimmung im DPCM über das Inkrafttreten</w:t>
            </w:r>
          </w:p>
        </w:tc>
        <w:tc>
          <w:tcPr>
            <w:tcW w:w="1134" w:type="dxa"/>
            <w:shd w:val="clear" w:color="auto" w:fill="C6EFCE"/>
            <w:noWrap/>
            <w:vAlign w:val="center"/>
            <w:hideMark/>
          </w:tcPr>
          <w:p w14:paraId="624FBFAC"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tcPr>
          <w:p w14:paraId="28791A07" w14:textId="77777777" w:rsidR="0057163C" w:rsidRPr="00170422" w:rsidRDefault="00F37BF9">
            <w:pPr>
              <w:pStyle w:val="P68B1DB1-Normal11"/>
              <w:spacing w:line="276" w:lineRule="auto"/>
              <w:jc w:val="center"/>
              <w:rPr>
                <w:noProof/>
                <w:szCs w:val="20"/>
                <w:lang w:val="de-DE"/>
              </w:rPr>
            </w:pPr>
            <w:r w:rsidRPr="00170422">
              <w:rPr>
                <w:noProof/>
                <w:lang w:val="de-DE"/>
              </w:rPr>
              <w:t>N.A.</w:t>
            </w:r>
          </w:p>
        </w:tc>
        <w:tc>
          <w:tcPr>
            <w:tcW w:w="567" w:type="dxa"/>
            <w:shd w:val="clear" w:color="auto" w:fill="C6EFCE"/>
            <w:noWrap/>
            <w:vAlign w:val="center"/>
          </w:tcPr>
          <w:p w14:paraId="48E851A3"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1390C4EA"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33DF11A9"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2867" w:type="dxa"/>
            <w:shd w:val="clear" w:color="auto" w:fill="C6EFCE"/>
            <w:noWrap/>
            <w:vAlign w:val="center"/>
            <w:hideMark/>
          </w:tcPr>
          <w:p w14:paraId="0FB55345" w14:textId="76DB328F" w:rsidR="0057163C" w:rsidRPr="00170422" w:rsidRDefault="00F37BF9">
            <w:pPr>
              <w:pStyle w:val="P68B1DB1-Normal11"/>
              <w:spacing w:line="276" w:lineRule="auto"/>
              <w:rPr>
                <w:noProof/>
                <w:szCs w:val="20"/>
                <w:lang w:val="de-DE"/>
              </w:rPr>
            </w:pPr>
            <w:r w:rsidRPr="00170422">
              <w:rPr>
                <w:noProof/>
                <w:lang w:val="de-DE"/>
              </w:rPr>
              <w:t>Mit dem Dekret des Präsidenten des Ministerrates (DPCM) wird ein nationales Luftreinhalteprogramm festgelegt, mit dem geeignete Maßnahmen zur Verringerung der Luftverschmutzung im Einklang mit der EU-Richtlinie 2016/2284 und dem Gesetzesdek</w:t>
            </w:r>
            <w:r w:rsidRPr="00170422">
              <w:rPr>
                <w:noProof/>
                <w:lang w:val="de-DE"/>
              </w:rPr>
              <w:t>ret Nr. 81 vom 30. Mai 2018 zur Umsetzung dieser Richtlinie eingeführt werden.</w:t>
            </w:r>
          </w:p>
        </w:tc>
      </w:tr>
      <w:tr w:rsidR="00110887" w:rsidRPr="00170422" w14:paraId="5120290A" w14:textId="77777777" w:rsidTr="00110887">
        <w:trPr>
          <w:trHeight w:val="300"/>
        </w:trPr>
        <w:tc>
          <w:tcPr>
            <w:tcW w:w="959" w:type="dxa"/>
            <w:shd w:val="clear" w:color="auto" w:fill="C6EFCE"/>
            <w:noWrap/>
            <w:vAlign w:val="center"/>
            <w:hideMark/>
          </w:tcPr>
          <w:p w14:paraId="7E063A26" w14:textId="77777777" w:rsidR="0057163C" w:rsidRPr="00170422" w:rsidRDefault="00F37BF9">
            <w:pPr>
              <w:pStyle w:val="P68B1DB1-Normal11"/>
              <w:spacing w:line="276" w:lineRule="auto"/>
              <w:jc w:val="center"/>
              <w:rPr>
                <w:noProof/>
                <w:szCs w:val="20"/>
                <w:lang w:val="de-DE"/>
              </w:rPr>
            </w:pPr>
            <w:r w:rsidRPr="00170422">
              <w:rPr>
                <w:noProof/>
                <w:lang w:val="de-DE"/>
              </w:rPr>
              <w:t>M2C4-8</w:t>
            </w:r>
          </w:p>
        </w:tc>
        <w:tc>
          <w:tcPr>
            <w:tcW w:w="1699" w:type="dxa"/>
            <w:shd w:val="clear" w:color="auto" w:fill="C6EFCE"/>
            <w:noWrap/>
            <w:vAlign w:val="center"/>
          </w:tcPr>
          <w:p w14:paraId="4FF1BBEA" w14:textId="77777777" w:rsidR="0057163C" w:rsidRPr="00170422" w:rsidRDefault="00F37BF9">
            <w:pPr>
              <w:pStyle w:val="P68B1DB1-Normal11"/>
              <w:spacing w:line="276" w:lineRule="auto"/>
              <w:jc w:val="center"/>
              <w:rPr>
                <w:noProof/>
                <w:szCs w:val="20"/>
                <w:lang w:val="de-DE"/>
              </w:rPr>
            </w:pPr>
            <w:r w:rsidRPr="00170422">
              <w:rPr>
                <w:noProof/>
                <w:lang w:val="de-DE"/>
              </w:rPr>
              <w:t>Erhält Investition 1.1 Einführung eines fortgeschrittenen und integrierten Überwachungs- und Prognosesystems</w:t>
            </w:r>
          </w:p>
        </w:tc>
        <w:tc>
          <w:tcPr>
            <w:tcW w:w="1419" w:type="dxa"/>
            <w:shd w:val="clear" w:color="auto" w:fill="C6EFCE"/>
            <w:noWrap/>
            <w:vAlign w:val="center"/>
            <w:hideMark/>
          </w:tcPr>
          <w:p w14:paraId="07C2E072"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tcPr>
          <w:p w14:paraId="5A29201F" w14:textId="77777777" w:rsidR="0057163C" w:rsidRPr="00170422" w:rsidRDefault="00F37BF9">
            <w:pPr>
              <w:pStyle w:val="P68B1DB1-Normal11"/>
              <w:spacing w:line="276" w:lineRule="auto"/>
              <w:jc w:val="center"/>
              <w:rPr>
                <w:noProof/>
                <w:szCs w:val="20"/>
                <w:lang w:val="de-DE"/>
              </w:rPr>
            </w:pPr>
            <w:r w:rsidRPr="00170422">
              <w:rPr>
                <w:noProof/>
                <w:lang w:val="de-DE"/>
              </w:rPr>
              <w:t xml:space="preserve">Einsatzplan für ein fortschrittliches und </w:t>
            </w:r>
            <w:r w:rsidRPr="00170422">
              <w:rPr>
                <w:noProof/>
                <w:lang w:val="de-DE"/>
              </w:rPr>
              <w:t>integriertes Überwachungs- und Prognosesystem zur Ermittlung hydrologischer Risiken</w:t>
            </w:r>
          </w:p>
        </w:tc>
        <w:tc>
          <w:tcPr>
            <w:tcW w:w="1284" w:type="dxa"/>
            <w:shd w:val="clear" w:color="auto" w:fill="C6EFCE"/>
            <w:noWrap/>
            <w:vAlign w:val="center"/>
            <w:hideMark/>
          </w:tcPr>
          <w:p w14:paraId="76C233A1" w14:textId="522F8BF0" w:rsidR="0057163C" w:rsidRPr="00170422" w:rsidRDefault="00F37BF9">
            <w:pPr>
              <w:pStyle w:val="P68B1DB1-Normal11"/>
              <w:spacing w:line="276" w:lineRule="auto"/>
              <w:jc w:val="center"/>
              <w:rPr>
                <w:noProof/>
                <w:szCs w:val="20"/>
                <w:lang w:val="de-DE"/>
              </w:rPr>
            </w:pPr>
            <w:r w:rsidRPr="00170422">
              <w:rPr>
                <w:noProof/>
                <w:lang w:val="de-DE"/>
              </w:rPr>
              <w:t>Bestimmung im Ministerialdekret über das Inkrafttreten</w:t>
            </w:r>
          </w:p>
        </w:tc>
        <w:tc>
          <w:tcPr>
            <w:tcW w:w="1134" w:type="dxa"/>
            <w:shd w:val="clear" w:color="auto" w:fill="C6EFCE"/>
            <w:noWrap/>
            <w:vAlign w:val="center"/>
            <w:hideMark/>
          </w:tcPr>
          <w:p w14:paraId="134396AF"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tcPr>
          <w:p w14:paraId="22F8805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tcPr>
          <w:p w14:paraId="325FFEAB"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27B9AC08" w14:textId="77777777" w:rsidR="0057163C" w:rsidRPr="00170422" w:rsidRDefault="00F37BF9">
            <w:pPr>
              <w:pStyle w:val="P68B1DB1-Normal11"/>
              <w:spacing w:line="276" w:lineRule="auto"/>
              <w:jc w:val="center"/>
              <w:rPr>
                <w:noProof/>
                <w:szCs w:val="20"/>
                <w:lang w:val="de-DE"/>
              </w:rPr>
            </w:pPr>
            <w:r w:rsidRPr="00170422">
              <w:rPr>
                <w:noProof/>
                <w:lang w:val="de-DE"/>
              </w:rPr>
              <w:t>Q3</w:t>
            </w:r>
          </w:p>
        </w:tc>
        <w:tc>
          <w:tcPr>
            <w:tcW w:w="709" w:type="dxa"/>
            <w:shd w:val="clear" w:color="auto" w:fill="C6EFCE"/>
            <w:noWrap/>
            <w:vAlign w:val="center"/>
            <w:hideMark/>
          </w:tcPr>
          <w:p w14:paraId="19097471"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2867" w:type="dxa"/>
            <w:shd w:val="clear" w:color="auto" w:fill="C6EFCE"/>
            <w:noWrap/>
            <w:vAlign w:val="center"/>
            <w:hideMark/>
          </w:tcPr>
          <w:p w14:paraId="1AC4DC1C" w14:textId="77777777" w:rsidR="0057163C" w:rsidRPr="00170422" w:rsidRDefault="00F37BF9">
            <w:pPr>
              <w:pStyle w:val="P68B1DB1-Normal11"/>
              <w:spacing w:line="276" w:lineRule="auto"/>
              <w:rPr>
                <w:noProof/>
                <w:szCs w:val="20"/>
                <w:lang w:val="de-DE"/>
              </w:rPr>
            </w:pPr>
            <w:r w:rsidRPr="00170422">
              <w:rPr>
                <w:noProof/>
                <w:lang w:val="de-DE"/>
              </w:rPr>
              <w:t>Mit dem Ministerialdekret wird ein Einsatzplan für die Einführung eines fortges</w:t>
            </w:r>
            <w:r w:rsidRPr="00170422">
              <w:rPr>
                <w:noProof/>
                <w:lang w:val="de-DE"/>
              </w:rPr>
              <w:t>chrittenen und integrierten Überwachungs- und Prognosesystems zur Ermittlung hydrologischer Risiken genehmigt. Sie muss mindestens folgende Anforderungen erfüllen:</w:t>
            </w:r>
          </w:p>
          <w:p w14:paraId="0D3CD579" w14:textId="77777777" w:rsidR="0057163C" w:rsidRPr="00170422" w:rsidRDefault="00F37BF9">
            <w:pPr>
              <w:pStyle w:val="P68B1DB1-ListParagraph15"/>
              <w:numPr>
                <w:ilvl w:val="0"/>
                <w:numId w:val="27"/>
              </w:numPr>
              <w:spacing w:before="120" w:after="120" w:line="276" w:lineRule="auto"/>
              <w:ind w:left="424"/>
              <w:jc w:val="both"/>
              <w:rPr>
                <w:noProof/>
                <w:szCs w:val="20"/>
                <w:lang w:val="de-DE"/>
              </w:rPr>
            </w:pPr>
            <w:r w:rsidRPr="00170422">
              <w:rPr>
                <w:noProof/>
                <w:lang w:val="de-DE"/>
              </w:rPr>
              <w:t>Fernerkundungsanwendungen und Datenfeldsensoren vorsehen;</w:t>
            </w:r>
          </w:p>
          <w:p w14:paraId="71D63861" w14:textId="77777777" w:rsidR="0057163C" w:rsidRPr="00170422" w:rsidRDefault="00F37BF9">
            <w:pPr>
              <w:pStyle w:val="P68B1DB1-ListParagraph15"/>
              <w:numPr>
                <w:ilvl w:val="0"/>
                <w:numId w:val="27"/>
              </w:numPr>
              <w:spacing w:before="120" w:after="120" w:line="276" w:lineRule="auto"/>
              <w:ind w:left="424"/>
              <w:jc w:val="both"/>
              <w:rPr>
                <w:noProof/>
                <w:szCs w:val="20"/>
                <w:lang w:val="de-DE"/>
              </w:rPr>
            </w:pPr>
            <w:r w:rsidRPr="00170422">
              <w:rPr>
                <w:noProof/>
                <w:lang w:val="de-DE"/>
              </w:rPr>
              <w:t>Entwicklung eines Kommunikationssy</w:t>
            </w:r>
            <w:r w:rsidRPr="00170422">
              <w:rPr>
                <w:noProof/>
                <w:lang w:val="de-DE"/>
              </w:rPr>
              <w:t>stems, das die Koordinierung und Interoperabilität zwischen den verschiedenen Betreibern in den ÜWZ ermöglicht</w:t>
            </w:r>
          </w:p>
          <w:p w14:paraId="423DCEA2" w14:textId="77777777" w:rsidR="0057163C" w:rsidRPr="00170422" w:rsidRDefault="00F37BF9">
            <w:pPr>
              <w:pStyle w:val="P68B1DB1-ListParagraph15"/>
              <w:numPr>
                <w:ilvl w:val="0"/>
                <w:numId w:val="27"/>
              </w:numPr>
              <w:spacing w:before="120" w:after="120" w:line="276" w:lineRule="auto"/>
              <w:ind w:left="424"/>
              <w:jc w:val="both"/>
              <w:rPr>
                <w:noProof/>
                <w:szCs w:val="20"/>
                <w:lang w:val="de-DE"/>
              </w:rPr>
            </w:pPr>
            <w:r w:rsidRPr="00170422">
              <w:rPr>
                <w:noProof/>
                <w:lang w:val="de-DE"/>
              </w:rPr>
              <w:t>Einrichtung von zentralen und regionalen Kontrollräumen</w:t>
            </w:r>
          </w:p>
          <w:p w14:paraId="582CFE2F" w14:textId="77777777" w:rsidR="0057163C" w:rsidRPr="00170422" w:rsidRDefault="00F37BF9">
            <w:pPr>
              <w:pStyle w:val="P68B1DB1-ListParagraph15"/>
              <w:numPr>
                <w:ilvl w:val="0"/>
                <w:numId w:val="27"/>
              </w:numPr>
              <w:spacing w:before="120" w:after="120" w:line="276" w:lineRule="auto"/>
              <w:ind w:left="424"/>
              <w:jc w:val="both"/>
              <w:rPr>
                <w:noProof/>
                <w:szCs w:val="20"/>
                <w:lang w:val="de-DE"/>
              </w:rPr>
            </w:pPr>
            <w:r w:rsidRPr="00170422">
              <w:rPr>
                <w:noProof/>
                <w:lang w:val="de-DE"/>
              </w:rPr>
              <w:t>Entwicklung von Cybersicherheitssystemen und -diensten</w:t>
            </w:r>
          </w:p>
        </w:tc>
      </w:tr>
      <w:tr w:rsidR="00110887" w:rsidRPr="00170422" w14:paraId="3FAFBE0B" w14:textId="77777777" w:rsidTr="00110887">
        <w:trPr>
          <w:trHeight w:val="300"/>
        </w:trPr>
        <w:tc>
          <w:tcPr>
            <w:tcW w:w="959" w:type="dxa"/>
            <w:shd w:val="clear" w:color="auto" w:fill="C6EFCE"/>
            <w:noWrap/>
            <w:vAlign w:val="center"/>
            <w:hideMark/>
          </w:tcPr>
          <w:p w14:paraId="59D347E9" w14:textId="77777777" w:rsidR="0057163C" w:rsidRPr="00170422" w:rsidRDefault="00F37BF9">
            <w:pPr>
              <w:pStyle w:val="P68B1DB1-Normal12"/>
              <w:spacing w:line="276" w:lineRule="auto"/>
              <w:jc w:val="center"/>
              <w:rPr>
                <w:noProof/>
                <w:lang w:val="de-DE"/>
              </w:rPr>
            </w:pPr>
            <w:r w:rsidRPr="00170422">
              <w:rPr>
                <w:noProof/>
                <w:lang w:val="de-DE"/>
              </w:rPr>
              <w:t>M2C4-9</w:t>
            </w:r>
          </w:p>
        </w:tc>
        <w:tc>
          <w:tcPr>
            <w:tcW w:w="1699" w:type="dxa"/>
            <w:shd w:val="clear" w:color="auto" w:fill="C6EFCE"/>
            <w:noWrap/>
            <w:vAlign w:val="center"/>
          </w:tcPr>
          <w:p w14:paraId="197AA956" w14:textId="77777777" w:rsidR="0057163C" w:rsidRPr="00170422" w:rsidRDefault="0057163C">
            <w:pPr>
              <w:spacing w:line="276" w:lineRule="auto"/>
              <w:jc w:val="center"/>
              <w:rPr>
                <w:rFonts w:ascii="Arial Narrow" w:hAnsi="Arial Narrow"/>
                <w:noProof/>
                <w:color w:val="006100"/>
                <w:sz w:val="20"/>
                <w:szCs w:val="20"/>
                <w:lang w:val="de-DE"/>
              </w:rPr>
            </w:pPr>
          </w:p>
          <w:p w14:paraId="11BF0D1B" w14:textId="77777777" w:rsidR="0057163C" w:rsidRPr="00170422" w:rsidRDefault="00F37BF9">
            <w:pPr>
              <w:pStyle w:val="P68B1DB1-Normal11"/>
              <w:spacing w:line="276" w:lineRule="auto"/>
              <w:jc w:val="center"/>
              <w:rPr>
                <w:noProof/>
                <w:szCs w:val="20"/>
                <w:lang w:val="de-DE"/>
              </w:rPr>
            </w:pPr>
            <w:r w:rsidRPr="00170422">
              <w:rPr>
                <w:noProof/>
                <w:lang w:val="de-DE"/>
              </w:rPr>
              <w:t xml:space="preserve">Erhält Investition 1.1 </w:t>
            </w:r>
            <w:r w:rsidRPr="00170422">
              <w:rPr>
                <w:noProof/>
                <w:lang w:val="de-DE"/>
              </w:rPr>
              <w:t>Einführung eines fortgeschrittenen und integrierten Überwachungs- und Prognosesystems</w:t>
            </w:r>
          </w:p>
        </w:tc>
        <w:tc>
          <w:tcPr>
            <w:tcW w:w="1419" w:type="dxa"/>
            <w:shd w:val="clear" w:color="auto" w:fill="C6EFCE"/>
            <w:noWrap/>
            <w:vAlign w:val="center"/>
            <w:hideMark/>
          </w:tcPr>
          <w:p w14:paraId="69667583" w14:textId="77777777" w:rsidR="0057163C" w:rsidRPr="00170422" w:rsidRDefault="00F37BF9">
            <w:pPr>
              <w:pStyle w:val="P68B1DB1-Normal12"/>
              <w:spacing w:line="276" w:lineRule="auto"/>
              <w:jc w:val="center"/>
              <w:rPr>
                <w:noProof/>
                <w:lang w:val="de-DE"/>
              </w:rPr>
            </w:pPr>
            <w:r w:rsidRPr="00170422">
              <w:rPr>
                <w:noProof/>
                <w:lang w:val="de-DE"/>
              </w:rPr>
              <w:t>Meilenstein</w:t>
            </w:r>
          </w:p>
        </w:tc>
        <w:tc>
          <w:tcPr>
            <w:tcW w:w="1268" w:type="dxa"/>
            <w:shd w:val="clear" w:color="auto" w:fill="C6EFCE"/>
            <w:noWrap/>
            <w:vAlign w:val="center"/>
          </w:tcPr>
          <w:p w14:paraId="1AB6FEFB" w14:textId="051856ED" w:rsidR="0057163C" w:rsidRPr="00170422" w:rsidRDefault="00F37BF9">
            <w:pPr>
              <w:pStyle w:val="P68B1DB1-Normal12"/>
              <w:spacing w:line="276" w:lineRule="auto"/>
              <w:jc w:val="center"/>
              <w:rPr>
                <w:noProof/>
                <w:lang w:val="de-DE"/>
              </w:rPr>
            </w:pPr>
            <w:r w:rsidRPr="00170422">
              <w:rPr>
                <w:noProof/>
                <w:lang w:val="de-DE"/>
              </w:rPr>
              <w:t xml:space="preserve">Das Überwachungs- und Prognosesystem ist zugänglich. </w:t>
            </w:r>
          </w:p>
        </w:tc>
        <w:tc>
          <w:tcPr>
            <w:tcW w:w="1284" w:type="dxa"/>
            <w:shd w:val="clear" w:color="auto" w:fill="C6EFCE"/>
            <w:noWrap/>
            <w:vAlign w:val="center"/>
            <w:hideMark/>
          </w:tcPr>
          <w:p w14:paraId="7960953C" w14:textId="77777777" w:rsidR="0057163C" w:rsidRPr="00170422" w:rsidRDefault="00F37BF9">
            <w:pPr>
              <w:pStyle w:val="P68B1DB1-Normal12"/>
              <w:spacing w:line="276" w:lineRule="auto"/>
              <w:jc w:val="center"/>
              <w:rPr>
                <w:noProof/>
                <w:lang w:val="de-DE"/>
              </w:rPr>
            </w:pPr>
            <w:r w:rsidRPr="00170422">
              <w:rPr>
                <w:noProof/>
                <w:lang w:val="de-DE"/>
              </w:rPr>
              <w:t xml:space="preserve">Online zugängliches System </w:t>
            </w:r>
          </w:p>
        </w:tc>
        <w:tc>
          <w:tcPr>
            <w:tcW w:w="1134" w:type="dxa"/>
            <w:shd w:val="clear" w:color="auto" w:fill="C6EFCE"/>
            <w:noWrap/>
            <w:vAlign w:val="center"/>
            <w:hideMark/>
          </w:tcPr>
          <w:p w14:paraId="094A0587"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1417" w:type="dxa"/>
            <w:shd w:val="clear" w:color="auto" w:fill="C6EFCE"/>
            <w:noWrap/>
            <w:vAlign w:val="center"/>
          </w:tcPr>
          <w:p w14:paraId="77C2C0B7"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567" w:type="dxa"/>
            <w:shd w:val="clear" w:color="auto" w:fill="C6EFCE"/>
            <w:noWrap/>
            <w:vAlign w:val="center"/>
          </w:tcPr>
          <w:p w14:paraId="056820EC"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851" w:type="dxa"/>
            <w:shd w:val="clear" w:color="auto" w:fill="C6EFCE"/>
            <w:noWrap/>
            <w:vAlign w:val="center"/>
            <w:hideMark/>
          </w:tcPr>
          <w:p w14:paraId="06C3BBB4"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9" w:type="dxa"/>
            <w:shd w:val="clear" w:color="auto" w:fill="C6EFCE"/>
            <w:noWrap/>
            <w:vAlign w:val="center"/>
            <w:hideMark/>
          </w:tcPr>
          <w:p w14:paraId="1E04A430" w14:textId="77777777" w:rsidR="0057163C" w:rsidRPr="00170422" w:rsidRDefault="00F37BF9">
            <w:pPr>
              <w:pStyle w:val="P68B1DB1-Normal11"/>
              <w:spacing w:line="276" w:lineRule="auto"/>
              <w:jc w:val="center"/>
              <w:rPr>
                <w:noProof/>
                <w:szCs w:val="20"/>
                <w:lang w:val="de-DE"/>
              </w:rPr>
            </w:pPr>
            <w:r w:rsidRPr="00170422">
              <w:rPr>
                <w:noProof/>
                <w:lang w:val="de-DE"/>
              </w:rPr>
              <w:t>2025</w:t>
            </w:r>
          </w:p>
        </w:tc>
        <w:tc>
          <w:tcPr>
            <w:tcW w:w="2867" w:type="dxa"/>
            <w:shd w:val="clear" w:color="auto" w:fill="C6EFCE"/>
            <w:noWrap/>
            <w:vAlign w:val="center"/>
            <w:hideMark/>
          </w:tcPr>
          <w:p w14:paraId="331B76F7" w14:textId="77777777" w:rsidR="0057163C" w:rsidRPr="00170422" w:rsidRDefault="00F37BF9">
            <w:pPr>
              <w:pStyle w:val="P68B1DB1-Normal12"/>
              <w:spacing w:line="276" w:lineRule="auto"/>
              <w:rPr>
                <w:noProof/>
                <w:lang w:val="de-DE"/>
              </w:rPr>
            </w:pPr>
            <w:r w:rsidRPr="00170422">
              <w:rPr>
                <w:noProof/>
                <w:lang w:val="de-DE"/>
              </w:rPr>
              <w:t>Das Überwachungs- und Prognosesystem z</w:t>
            </w:r>
            <w:r w:rsidRPr="00170422">
              <w:rPr>
                <w:noProof/>
                <w:lang w:val="de-DE"/>
              </w:rPr>
              <w:t>ur Ermittlung hydrologischer Risiken und illegaler Abfallbeseitigung ist online zugänglich.</w:t>
            </w:r>
          </w:p>
        </w:tc>
      </w:tr>
      <w:tr w:rsidR="00110887" w:rsidRPr="00170422" w14:paraId="28C3D97D" w14:textId="77777777" w:rsidTr="00110887">
        <w:trPr>
          <w:trHeight w:val="300"/>
        </w:trPr>
        <w:tc>
          <w:tcPr>
            <w:tcW w:w="959" w:type="dxa"/>
            <w:shd w:val="clear" w:color="auto" w:fill="C6EFCE"/>
            <w:noWrap/>
            <w:vAlign w:val="center"/>
          </w:tcPr>
          <w:p w14:paraId="541A7D71" w14:textId="77777777" w:rsidR="0057163C" w:rsidRPr="00170422" w:rsidRDefault="00F37BF9">
            <w:pPr>
              <w:pStyle w:val="P68B1DB1-Normal11"/>
              <w:spacing w:line="276" w:lineRule="auto"/>
              <w:jc w:val="center"/>
              <w:rPr>
                <w:noProof/>
                <w:szCs w:val="20"/>
                <w:lang w:val="de-DE"/>
              </w:rPr>
            </w:pPr>
            <w:r w:rsidRPr="00170422">
              <w:rPr>
                <w:noProof/>
                <w:lang w:val="de-DE"/>
              </w:rPr>
              <w:t>M2C4-11</w:t>
            </w:r>
          </w:p>
        </w:tc>
        <w:tc>
          <w:tcPr>
            <w:tcW w:w="1699" w:type="dxa"/>
            <w:shd w:val="clear" w:color="auto" w:fill="C6EFCE"/>
            <w:noWrap/>
            <w:vAlign w:val="center"/>
          </w:tcPr>
          <w:p w14:paraId="174B42E7"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2.1.a Maßnahmen zur Verringerung des Hochwasserrisikos und des hydrogeologischen Risikos – Interventionen in der Emilia-Romagna, Toskana und </w:t>
            </w:r>
            <w:r w:rsidRPr="00170422">
              <w:rPr>
                <w:noProof/>
                <w:lang w:val="de-DE"/>
              </w:rPr>
              <w:t>Marken</w:t>
            </w:r>
          </w:p>
        </w:tc>
        <w:tc>
          <w:tcPr>
            <w:tcW w:w="1419" w:type="dxa"/>
            <w:shd w:val="clear" w:color="auto" w:fill="C6EFCE"/>
            <w:noWrap/>
            <w:vAlign w:val="center"/>
          </w:tcPr>
          <w:p w14:paraId="3D524C25"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tcPr>
          <w:p w14:paraId="193FF213" w14:textId="77777777" w:rsidR="0057163C" w:rsidRPr="00170422" w:rsidRDefault="00F37BF9">
            <w:pPr>
              <w:pStyle w:val="P68B1DB1-Normal11"/>
              <w:spacing w:line="276" w:lineRule="auto"/>
              <w:jc w:val="center"/>
              <w:rPr>
                <w:noProof/>
                <w:szCs w:val="20"/>
                <w:lang w:val="de-DE"/>
              </w:rPr>
            </w:pPr>
            <w:r w:rsidRPr="00170422">
              <w:rPr>
                <w:noProof/>
                <w:lang w:val="de-DE"/>
              </w:rPr>
              <w:t>Ermittlung der Interventionen durch Verordnung(en) des Notstandskommissars</w:t>
            </w:r>
          </w:p>
        </w:tc>
        <w:tc>
          <w:tcPr>
            <w:tcW w:w="1284" w:type="dxa"/>
            <w:shd w:val="clear" w:color="auto" w:fill="C6EFCE"/>
            <w:noWrap/>
            <w:vAlign w:val="center"/>
          </w:tcPr>
          <w:p w14:paraId="45367315" w14:textId="77777777" w:rsidR="0057163C" w:rsidRPr="00170422" w:rsidRDefault="00F37BF9">
            <w:pPr>
              <w:pStyle w:val="P68B1DB1-Normal11"/>
              <w:spacing w:line="276" w:lineRule="auto"/>
              <w:jc w:val="center"/>
              <w:rPr>
                <w:noProof/>
                <w:szCs w:val="20"/>
                <w:lang w:val="de-DE"/>
              </w:rPr>
            </w:pPr>
            <w:r w:rsidRPr="00170422">
              <w:rPr>
                <w:noProof/>
                <w:lang w:val="de-DE"/>
              </w:rPr>
              <w:t>Verordnung(en) des Notstandskommissars</w:t>
            </w:r>
          </w:p>
        </w:tc>
        <w:tc>
          <w:tcPr>
            <w:tcW w:w="1134" w:type="dxa"/>
            <w:shd w:val="clear" w:color="auto" w:fill="C6EFCE"/>
            <w:noWrap/>
            <w:vAlign w:val="center"/>
          </w:tcPr>
          <w:p w14:paraId="54E9BE99" w14:textId="77777777" w:rsidR="0057163C" w:rsidRPr="00170422" w:rsidRDefault="0057163C">
            <w:pPr>
              <w:spacing w:line="276" w:lineRule="auto"/>
              <w:jc w:val="center"/>
              <w:rPr>
                <w:rFonts w:ascii="Arial Narrow" w:hAnsi="Arial Narrow"/>
                <w:noProof/>
                <w:color w:val="006100"/>
                <w:sz w:val="20"/>
                <w:szCs w:val="20"/>
                <w:lang w:val="de-DE"/>
              </w:rPr>
            </w:pPr>
          </w:p>
        </w:tc>
        <w:tc>
          <w:tcPr>
            <w:tcW w:w="1417" w:type="dxa"/>
            <w:shd w:val="clear" w:color="auto" w:fill="C6EFCE"/>
            <w:noWrap/>
            <w:vAlign w:val="center"/>
          </w:tcPr>
          <w:p w14:paraId="2641E8D9" w14:textId="77777777" w:rsidR="0057163C" w:rsidRPr="00170422" w:rsidRDefault="0057163C">
            <w:pPr>
              <w:spacing w:line="276" w:lineRule="auto"/>
              <w:jc w:val="center"/>
              <w:rPr>
                <w:rFonts w:ascii="Arial Narrow" w:hAnsi="Arial Narrow"/>
                <w:noProof/>
                <w:color w:val="006100"/>
                <w:sz w:val="20"/>
                <w:szCs w:val="20"/>
                <w:lang w:val="de-DE"/>
              </w:rPr>
            </w:pPr>
          </w:p>
        </w:tc>
        <w:tc>
          <w:tcPr>
            <w:tcW w:w="567" w:type="dxa"/>
            <w:shd w:val="clear" w:color="auto" w:fill="C6EFCE"/>
            <w:noWrap/>
            <w:vAlign w:val="center"/>
          </w:tcPr>
          <w:p w14:paraId="498E8A93" w14:textId="77777777" w:rsidR="0057163C" w:rsidRPr="00170422" w:rsidRDefault="0057163C">
            <w:pPr>
              <w:spacing w:line="276" w:lineRule="auto"/>
              <w:jc w:val="center"/>
              <w:rPr>
                <w:rFonts w:ascii="Arial Narrow" w:hAnsi="Arial Narrow"/>
                <w:noProof/>
                <w:color w:val="006100"/>
                <w:sz w:val="20"/>
                <w:szCs w:val="20"/>
                <w:lang w:val="de-DE"/>
              </w:rPr>
            </w:pPr>
          </w:p>
        </w:tc>
        <w:tc>
          <w:tcPr>
            <w:tcW w:w="851" w:type="dxa"/>
            <w:shd w:val="clear" w:color="auto" w:fill="C6EFCE"/>
            <w:noWrap/>
            <w:vAlign w:val="center"/>
          </w:tcPr>
          <w:p w14:paraId="7C66F6A6" w14:textId="77777777" w:rsidR="0057163C" w:rsidRPr="00170422" w:rsidRDefault="00F37BF9">
            <w:pPr>
              <w:pStyle w:val="P68B1DB1-Normal11"/>
              <w:spacing w:line="276" w:lineRule="auto"/>
              <w:jc w:val="center"/>
              <w:rPr>
                <w:noProof/>
                <w:szCs w:val="20"/>
                <w:lang w:val="de-DE"/>
              </w:rPr>
            </w:pPr>
            <w:r w:rsidRPr="00170422">
              <w:rPr>
                <w:noProof/>
                <w:lang w:val="de-DE"/>
              </w:rPr>
              <w:t>Q3</w:t>
            </w:r>
          </w:p>
        </w:tc>
        <w:tc>
          <w:tcPr>
            <w:tcW w:w="709" w:type="dxa"/>
            <w:shd w:val="clear" w:color="auto" w:fill="C6EFCE"/>
            <w:noWrap/>
            <w:vAlign w:val="center"/>
          </w:tcPr>
          <w:p w14:paraId="151148ED" w14:textId="77777777" w:rsidR="0057163C" w:rsidRPr="00170422" w:rsidRDefault="00F37BF9">
            <w:pPr>
              <w:pStyle w:val="P68B1DB1-Normal11"/>
              <w:spacing w:line="276" w:lineRule="auto"/>
              <w:jc w:val="center"/>
              <w:rPr>
                <w:noProof/>
                <w:szCs w:val="20"/>
                <w:lang w:val="de-DE"/>
              </w:rPr>
            </w:pPr>
            <w:r w:rsidRPr="00170422">
              <w:rPr>
                <w:noProof/>
                <w:lang w:val="de-DE"/>
              </w:rPr>
              <w:t>2024</w:t>
            </w:r>
          </w:p>
        </w:tc>
        <w:tc>
          <w:tcPr>
            <w:tcW w:w="2867" w:type="dxa"/>
            <w:shd w:val="clear" w:color="auto" w:fill="C6EFCE"/>
            <w:noWrap/>
            <w:vAlign w:val="center"/>
          </w:tcPr>
          <w:p w14:paraId="53276112" w14:textId="77777777" w:rsidR="0057163C" w:rsidRPr="00170422" w:rsidRDefault="00F37BF9">
            <w:pPr>
              <w:rPr>
                <w:rFonts w:ascii="Arial Narrow" w:hAnsi="Arial Narrow"/>
                <w:i/>
                <w:noProof/>
                <w:color w:val="006100"/>
                <w:sz w:val="20"/>
                <w:szCs w:val="20"/>
                <w:lang w:val="de-DE"/>
              </w:rPr>
            </w:pPr>
            <w:r w:rsidRPr="00170422">
              <w:rPr>
                <w:rFonts w:ascii="Arial Narrow" w:hAnsi="Arial Narrow"/>
                <w:noProof/>
                <w:color w:val="006100"/>
                <w:sz w:val="20"/>
                <w:szCs w:val="20"/>
                <w:lang w:val="de-DE"/>
              </w:rPr>
              <w:t xml:space="preserve">In einer oder mehreren Verordnungen des Beauftragten für Notfälle werden die genaue Liste der Maßnahmen zur </w:t>
            </w:r>
            <w:r w:rsidRPr="00170422">
              <w:rPr>
                <w:rFonts w:ascii="Arial Narrow" w:hAnsi="Arial Narrow"/>
                <w:noProof/>
                <w:color w:val="006100"/>
                <w:sz w:val="20"/>
                <w:szCs w:val="20"/>
                <w:lang w:val="de-DE"/>
              </w:rPr>
              <w:t>Wiederherstellung von Wasserstraßen und zur Verbesserung des Schutzes vor Überschwemmungen und Erdrutschen, die Maßnahmen zur Wiederherstellung öffentlicher Gebäude, einschließlich öffentlicher Häuser und Gesundheitszentren, und die Gesamtzahl der zu sanie</w:t>
            </w:r>
            <w:r w:rsidRPr="00170422">
              <w:rPr>
                <w:rFonts w:ascii="Arial Narrow" w:hAnsi="Arial Narrow"/>
                <w:noProof/>
                <w:color w:val="006100"/>
                <w:sz w:val="20"/>
                <w:szCs w:val="20"/>
                <w:lang w:val="de-DE"/>
              </w:rPr>
              <w:t>renden Streckenkilometer des Verkehrsnetzes festgelegt.</w:t>
            </w:r>
            <w:r w:rsidRPr="00170422">
              <w:rPr>
                <w:noProof/>
                <w:lang w:val="de-DE"/>
              </w:rPr>
              <w:t xml:space="preserve"> </w:t>
            </w:r>
            <w:r w:rsidRPr="00170422">
              <w:rPr>
                <w:rFonts w:ascii="Arial Narrow" w:hAnsi="Arial Narrow"/>
                <w:noProof/>
                <w:color w:val="006100"/>
                <w:sz w:val="20"/>
                <w:szCs w:val="20"/>
                <w:lang w:val="de-DE"/>
              </w:rPr>
              <w:t>Der Gesamtwert der Interventionen beläuft sich auf mindestens 1,2 Mrd. EUR.</w:t>
            </w:r>
          </w:p>
        </w:tc>
      </w:tr>
      <w:tr w:rsidR="00110887" w:rsidRPr="00170422" w14:paraId="3C804535" w14:textId="77777777" w:rsidTr="00110887">
        <w:trPr>
          <w:trHeight w:val="300"/>
        </w:trPr>
        <w:tc>
          <w:tcPr>
            <w:tcW w:w="959" w:type="dxa"/>
            <w:shd w:val="clear" w:color="auto" w:fill="C6EFCE"/>
            <w:noWrap/>
            <w:vAlign w:val="center"/>
          </w:tcPr>
          <w:p w14:paraId="4C7A3218" w14:textId="77777777" w:rsidR="0057163C" w:rsidRPr="00170422" w:rsidRDefault="00F37BF9">
            <w:pPr>
              <w:pStyle w:val="P68B1DB1-Normal12"/>
              <w:spacing w:after="120"/>
              <w:jc w:val="center"/>
              <w:rPr>
                <w:noProof/>
                <w:lang w:val="de-DE"/>
              </w:rPr>
            </w:pPr>
            <w:r w:rsidRPr="00170422">
              <w:rPr>
                <w:noProof/>
                <w:lang w:val="de-DE"/>
              </w:rPr>
              <w:t>M2C4-11bis</w:t>
            </w:r>
          </w:p>
        </w:tc>
        <w:tc>
          <w:tcPr>
            <w:tcW w:w="1699" w:type="dxa"/>
            <w:shd w:val="clear" w:color="auto" w:fill="C6EFCE"/>
            <w:noWrap/>
            <w:vAlign w:val="center"/>
          </w:tcPr>
          <w:p w14:paraId="06E0B18B" w14:textId="77777777" w:rsidR="0057163C" w:rsidRPr="00170422" w:rsidRDefault="00F37BF9">
            <w:pPr>
              <w:pStyle w:val="P68B1DB1-Normal12"/>
              <w:spacing w:after="120"/>
              <w:jc w:val="center"/>
              <w:rPr>
                <w:noProof/>
                <w:lang w:val="de-DE"/>
              </w:rPr>
            </w:pPr>
            <w:bookmarkStart w:id="19" w:name="_Hlk160472904"/>
            <w:r w:rsidRPr="00170422">
              <w:rPr>
                <w:noProof/>
                <w:lang w:val="de-DE"/>
              </w:rPr>
              <w:t xml:space="preserve">Investition 2.1.a Maßnahmen zur Verringerung des Hochwasserrisikos und des hydrogeologischen Risikos – </w:t>
            </w:r>
            <w:r w:rsidRPr="00170422">
              <w:rPr>
                <w:noProof/>
                <w:lang w:val="de-DE"/>
              </w:rPr>
              <w:t>Interventionen in der Emilia-Romagna, Toskana und Marken</w:t>
            </w:r>
            <w:bookmarkEnd w:id="19"/>
          </w:p>
        </w:tc>
        <w:tc>
          <w:tcPr>
            <w:tcW w:w="1419" w:type="dxa"/>
            <w:shd w:val="clear" w:color="auto" w:fill="C6EFCE"/>
            <w:noWrap/>
            <w:vAlign w:val="center"/>
          </w:tcPr>
          <w:p w14:paraId="7507C768" w14:textId="77777777" w:rsidR="0057163C" w:rsidRPr="00170422" w:rsidRDefault="00F37BF9">
            <w:pPr>
              <w:pStyle w:val="P68B1DB1-Normal12"/>
              <w:spacing w:after="120"/>
              <w:jc w:val="center"/>
              <w:rPr>
                <w:noProof/>
                <w:lang w:val="de-DE"/>
              </w:rPr>
            </w:pPr>
            <w:r w:rsidRPr="00170422">
              <w:rPr>
                <w:noProof/>
                <w:lang w:val="de-DE"/>
              </w:rPr>
              <w:t>Ziel</w:t>
            </w:r>
          </w:p>
        </w:tc>
        <w:tc>
          <w:tcPr>
            <w:tcW w:w="1268" w:type="dxa"/>
            <w:shd w:val="clear" w:color="auto" w:fill="C6EFCE"/>
            <w:noWrap/>
            <w:vAlign w:val="center"/>
          </w:tcPr>
          <w:p w14:paraId="4679DD89" w14:textId="77777777" w:rsidR="0057163C" w:rsidRPr="00170422" w:rsidRDefault="00F37BF9">
            <w:pPr>
              <w:pStyle w:val="P68B1DB1-Normal12"/>
              <w:spacing w:after="120"/>
              <w:jc w:val="center"/>
              <w:rPr>
                <w:noProof/>
                <w:lang w:val="de-DE"/>
              </w:rPr>
            </w:pPr>
            <w:r w:rsidRPr="00170422">
              <w:rPr>
                <w:noProof/>
                <w:lang w:val="de-DE"/>
              </w:rPr>
              <w:t>Durchgeführte Projekte</w:t>
            </w:r>
          </w:p>
        </w:tc>
        <w:tc>
          <w:tcPr>
            <w:tcW w:w="1284" w:type="dxa"/>
            <w:shd w:val="clear" w:color="auto" w:fill="C6EFCE"/>
            <w:noWrap/>
            <w:vAlign w:val="center"/>
          </w:tcPr>
          <w:p w14:paraId="4C34BB3E" w14:textId="77777777" w:rsidR="0057163C" w:rsidRPr="00170422" w:rsidRDefault="00F37BF9">
            <w:pPr>
              <w:pStyle w:val="P68B1DB1-Normal12"/>
              <w:spacing w:after="120"/>
              <w:jc w:val="center"/>
              <w:rPr>
                <w:noProof/>
                <w:lang w:val="de-DE"/>
              </w:rPr>
            </w:pPr>
            <w:r w:rsidRPr="00170422">
              <w:rPr>
                <w:noProof/>
                <w:lang w:val="de-DE"/>
              </w:rPr>
              <w:t>Bescheinigung des Abschlusses von Projekten</w:t>
            </w:r>
          </w:p>
        </w:tc>
        <w:tc>
          <w:tcPr>
            <w:tcW w:w="1134" w:type="dxa"/>
            <w:shd w:val="clear" w:color="auto" w:fill="C6EFCE"/>
            <w:noWrap/>
            <w:vAlign w:val="center"/>
          </w:tcPr>
          <w:p w14:paraId="1E0017A3" w14:textId="77777777" w:rsidR="0057163C" w:rsidRPr="00170422" w:rsidRDefault="00F37BF9">
            <w:pPr>
              <w:pStyle w:val="P68B1DB1-Normal12"/>
              <w:spacing w:after="120"/>
              <w:jc w:val="center"/>
              <w:rPr>
                <w:noProof/>
                <w:lang w:val="de-DE"/>
              </w:rPr>
            </w:pPr>
            <w:r w:rsidRPr="00170422">
              <w:rPr>
                <w:noProof/>
                <w:lang w:val="de-DE"/>
              </w:rPr>
              <w:t>Anzahl</w:t>
            </w:r>
          </w:p>
        </w:tc>
        <w:tc>
          <w:tcPr>
            <w:tcW w:w="1417" w:type="dxa"/>
            <w:shd w:val="clear" w:color="auto" w:fill="C6EFCE"/>
            <w:noWrap/>
            <w:vAlign w:val="center"/>
          </w:tcPr>
          <w:p w14:paraId="04978117" w14:textId="77777777" w:rsidR="0057163C" w:rsidRPr="00170422" w:rsidRDefault="00F37BF9">
            <w:pPr>
              <w:pStyle w:val="P68B1DB1-Normal12"/>
              <w:spacing w:after="120"/>
              <w:jc w:val="center"/>
              <w:rPr>
                <w:noProof/>
                <w:lang w:val="de-DE"/>
              </w:rPr>
            </w:pPr>
            <w:r w:rsidRPr="00170422">
              <w:rPr>
                <w:noProof/>
                <w:lang w:val="de-DE"/>
              </w:rPr>
              <w:t>0</w:t>
            </w:r>
          </w:p>
        </w:tc>
        <w:tc>
          <w:tcPr>
            <w:tcW w:w="567" w:type="dxa"/>
            <w:shd w:val="clear" w:color="auto" w:fill="C6EFCE"/>
            <w:noWrap/>
            <w:vAlign w:val="center"/>
          </w:tcPr>
          <w:p w14:paraId="433FFDA9" w14:textId="77777777" w:rsidR="0057163C" w:rsidRPr="00170422" w:rsidRDefault="00F37BF9">
            <w:pPr>
              <w:pStyle w:val="P68B1DB1-Normal12"/>
              <w:spacing w:after="120"/>
              <w:jc w:val="center"/>
              <w:rPr>
                <w:noProof/>
                <w:lang w:val="de-DE"/>
              </w:rPr>
            </w:pPr>
            <w:r w:rsidRPr="00170422">
              <w:rPr>
                <w:noProof/>
                <w:lang w:val="de-DE"/>
              </w:rPr>
              <w:t>190</w:t>
            </w:r>
          </w:p>
        </w:tc>
        <w:tc>
          <w:tcPr>
            <w:tcW w:w="851" w:type="dxa"/>
            <w:shd w:val="clear" w:color="auto" w:fill="C6EFCE"/>
            <w:noWrap/>
            <w:vAlign w:val="center"/>
          </w:tcPr>
          <w:p w14:paraId="08F31FFA" w14:textId="77777777" w:rsidR="0057163C" w:rsidRPr="00170422" w:rsidRDefault="00F37BF9">
            <w:pPr>
              <w:pStyle w:val="P68B1DB1-Normal12"/>
              <w:spacing w:after="120"/>
              <w:jc w:val="center"/>
              <w:rPr>
                <w:noProof/>
                <w:lang w:val="de-DE"/>
              </w:rPr>
            </w:pPr>
            <w:r w:rsidRPr="00170422">
              <w:rPr>
                <w:noProof/>
                <w:lang w:val="de-DE"/>
              </w:rPr>
              <w:t>Q2</w:t>
            </w:r>
          </w:p>
        </w:tc>
        <w:tc>
          <w:tcPr>
            <w:tcW w:w="709" w:type="dxa"/>
            <w:shd w:val="clear" w:color="auto" w:fill="C6EFCE"/>
            <w:noWrap/>
            <w:vAlign w:val="center"/>
          </w:tcPr>
          <w:p w14:paraId="721E7CA7" w14:textId="77777777" w:rsidR="0057163C" w:rsidRPr="00170422" w:rsidRDefault="00F37BF9">
            <w:pPr>
              <w:pStyle w:val="P68B1DB1-Normal12"/>
              <w:spacing w:after="120"/>
              <w:jc w:val="center"/>
              <w:rPr>
                <w:noProof/>
                <w:lang w:val="de-DE"/>
              </w:rPr>
            </w:pPr>
            <w:r w:rsidRPr="00170422">
              <w:rPr>
                <w:noProof/>
                <w:lang w:val="de-DE"/>
              </w:rPr>
              <w:t>2026</w:t>
            </w:r>
          </w:p>
        </w:tc>
        <w:tc>
          <w:tcPr>
            <w:tcW w:w="2867" w:type="dxa"/>
            <w:shd w:val="clear" w:color="auto" w:fill="C6EFCE"/>
            <w:noWrap/>
            <w:vAlign w:val="center"/>
          </w:tcPr>
          <w:p w14:paraId="16A113C6" w14:textId="1F8DDB5D" w:rsidR="0057163C" w:rsidRPr="00170422" w:rsidRDefault="00F37BF9">
            <w:pPr>
              <w:pStyle w:val="P68B1DB1-Normal12"/>
              <w:spacing w:after="120"/>
              <w:jc w:val="both"/>
              <w:rPr>
                <w:noProof/>
                <w:lang w:val="de-DE"/>
              </w:rPr>
            </w:pPr>
            <w:r w:rsidRPr="00170422">
              <w:rPr>
                <w:noProof/>
                <w:lang w:val="de-DE"/>
              </w:rPr>
              <w:t>Für</w:t>
            </w:r>
            <w:r w:rsidRPr="00170422">
              <w:rPr>
                <w:noProof/>
                <w:lang w:val="de-DE"/>
              </w:rPr>
              <w:t xml:space="preserve"> mindestens 190 Maßnahmen zur Wiederherstellung von Wasserstraßen und zur Verbesserung des Schutzes vor Überschwemmungen und Erdrutschen sowie für Sanierungsmaßnahmen des Verkehrsnetzes, wie in den Verordnungen des Beauftragten für Notfälle festgelegt, wer</w:t>
            </w:r>
            <w:r w:rsidRPr="00170422">
              <w:rPr>
                <w:noProof/>
                <w:lang w:val="de-DE"/>
              </w:rPr>
              <w:t>den Bescheinigungen über den Abschluss der Arbeiten ausgestellt.</w:t>
            </w:r>
          </w:p>
        </w:tc>
      </w:tr>
      <w:tr w:rsidR="00110887" w:rsidRPr="00170422" w14:paraId="217B07D3" w14:textId="77777777" w:rsidTr="00110887">
        <w:trPr>
          <w:trHeight w:val="300"/>
        </w:trPr>
        <w:tc>
          <w:tcPr>
            <w:tcW w:w="959" w:type="dxa"/>
            <w:shd w:val="clear" w:color="auto" w:fill="C6EFCE"/>
            <w:noWrap/>
            <w:vAlign w:val="center"/>
          </w:tcPr>
          <w:p w14:paraId="1FEBD786" w14:textId="77777777" w:rsidR="0057163C" w:rsidRPr="00170422" w:rsidRDefault="00F37BF9">
            <w:pPr>
              <w:pStyle w:val="P68B1DB1-Normal11"/>
              <w:spacing w:after="120"/>
              <w:jc w:val="center"/>
              <w:rPr>
                <w:noProof/>
                <w:szCs w:val="20"/>
                <w:lang w:val="de-DE"/>
              </w:rPr>
            </w:pPr>
            <w:r w:rsidRPr="00170422">
              <w:rPr>
                <w:noProof/>
                <w:lang w:val="de-DE"/>
              </w:rPr>
              <w:t>M2C4-12</w:t>
            </w:r>
          </w:p>
        </w:tc>
        <w:tc>
          <w:tcPr>
            <w:tcW w:w="1699" w:type="dxa"/>
            <w:shd w:val="clear" w:color="auto" w:fill="C6EFCE"/>
            <w:noWrap/>
            <w:vAlign w:val="center"/>
          </w:tcPr>
          <w:p w14:paraId="35B7FE48" w14:textId="77777777" w:rsidR="0057163C" w:rsidRPr="00170422" w:rsidRDefault="00F37BF9">
            <w:pPr>
              <w:pStyle w:val="P68B1DB1-Normal11"/>
              <w:spacing w:after="120"/>
              <w:jc w:val="center"/>
              <w:rPr>
                <w:noProof/>
                <w:szCs w:val="20"/>
                <w:lang w:val="de-DE"/>
              </w:rPr>
            </w:pPr>
            <w:r w:rsidRPr="00170422">
              <w:rPr>
                <w:noProof/>
                <w:lang w:val="de-DE"/>
              </w:rPr>
              <w:t>Investition 2.1.b Maßnahmen zur Verringerung des Hochwasserrisikos und des hydrogeologischen Risikos</w:t>
            </w:r>
          </w:p>
        </w:tc>
        <w:tc>
          <w:tcPr>
            <w:tcW w:w="1419" w:type="dxa"/>
            <w:shd w:val="clear" w:color="auto" w:fill="C6EFCE"/>
            <w:noWrap/>
            <w:vAlign w:val="center"/>
          </w:tcPr>
          <w:p w14:paraId="6EA2D862"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268" w:type="dxa"/>
            <w:shd w:val="clear" w:color="auto" w:fill="C6EFCE"/>
            <w:noWrap/>
            <w:vAlign w:val="center"/>
          </w:tcPr>
          <w:p w14:paraId="78542BB2" w14:textId="77777777" w:rsidR="0057163C" w:rsidRPr="00170422" w:rsidRDefault="00F37BF9">
            <w:pPr>
              <w:pStyle w:val="P68B1DB1-Normal11"/>
              <w:spacing w:after="120"/>
              <w:jc w:val="center"/>
              <w:rPr>
                <w:noProof/>
                <w:szCs w:val="20"/>
                <w:lang w:val="de-DE"/>
              </w:rPr>
            </w:pPr>
            <w:r w:rsidRPr="00170422">
              <w:rPr>
                <w:noProof/>
                <w:lang w:val="de-DE"/>
              </w:rPr>
              <w:t xml:space="preserve">Inkrafttreten des überarbeiteten Rechtsrahmens für Maßnahmen gegen </w:t>
            </w:r>
            <w:r w:rsidRPr="00170422">
              <w:rPr>
                <w:noProof/>
                <w:lang w:val="de-DE"/>
              </w:rPr>
              <w:t>Hochwasser und hydrogeologische Risiken</w:t>
            </w:r>
          </w:p>
        </w:tc>
        <w:tc>
          <w:tcPr>
            <w:tcW w:w="1284" w:type="dxa"/>
            <w:shd w:val="clear" w:color="auto" w:fill="C6EFCE"/>
            <w:noWrap/>
            <w:vAlign w:val="center"/>
          </w:tcPr>
          <w:p w14:paraId="501D54DB" w14:textId="77777777" w:rsidR="0057163C" w:rsidRPr="00170422" w:rsidRDefault="00F37BF9">
            <w:pPr>
              <w:pStyle w:val="P68B1DB1-Normal11"/>
              <w:spacing w:after="120"/>
              <w:jc w:val="center"/>
              <w:rPr>
                <w:noProof/>
                <w:szCs w:val="20"/>
                <w:lang w:val="de-DE"/>
              </w:rPr>
            </w:pPr>
            <w:r w:rsidRPr="00170422">
              <w:rPr>
                <w:noProof/>
                <w:lang w:val="de-DE"/>
              </w:rPr>
              <w:t>Bestimmungen in den Verordnungen über das Inkrafttreten</w:t>
            </w:r>
          </w:p>
        </w:tc>
        <w:tc>
          <w:tcPr>
            <w:tcW w:w="1134" w:type="dxa"/>
            <w:shd w:val="clear" w:color="auto" w:fill="C6EFCE"/>
            <w:noWrap/>
            <w:vAlign w:val="center"/>
          </w:tcPr>
          <w:p w14:paraId="104D45E1"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417" w:type="dxa"/>
            <w:shd w:val="clear" w:color="auto" w:fill="C6EFCE"/>
            <w:noWrap/>
            <w:vAlign w:val="center"/>
          </w:tcPr>
          <w:p w14:paraId="7F7E86ED"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567" w:type="dxa"/>
            <w:shd w:val="clear" w:color="auto" w:fill="C6EFCE"/>
            <w:noWrap/>
            <w:vAlign w:val="center"/>
          </w:tcPr>
          <w:p w14:paraId="340B2929"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851" w:type="dxa"/>
            <w:shd w:val="clear" w:color="auto" w:fill="C6EFCE"/>
            <w:noWrap/>
            <w:vAlign w:val="center"/>
          </w:tcPr>
          <w:p w14:paraId="2B36D580"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shd w:val="clear" w:color="auto" w:fill="C6EFCE"/>
            <w:noWrap/>
            <w:vAlign w:val="center"/>
          </w:tcPr>
          <w:p w14:paraId="71A94D8A" w14:textId="77777777" w:rsidR="0057163C" w:rsidRPr="00170422" w:rsidRDefault="00F37BF9">
            <w:pPr>
              <w:pStyle w:val="P68B1DB1-Normal11"/>
              <w:spacing w:after="120"/>
              <w:jc w:val="center"/>
              <w:rPr>
                <w:noProof/>
                <w:szCs w:val="20"/>
                <w:lang w:val="de-DE"/>
              </w:rPr>
            </w:pPr>
            <w:r w:rsidRPr="00170422">
              <w:rPr>
                <w:noProof/>
                <w:lang w:val="de-DE"/>
              </w:rPr>
              <w:t>2021</w:t>
            </w:r>
          </w:p>
        </w:tc>
        <w:tc>
          <w:tcPr>
            <w:tcW w:w="2867" w:type="dxa"/>
            <w:shd w:val="clear" w:color="auto" w:fill="C6EFCE"/>
            <w:noWrap/>
            <w:vAlign w:val="center"/>
          </w:tcPr>
          <w:p w14:paraId="07109043" w14:textId="77777777" w:rsidR="0057163C" w:rsidRPr="00170422" w:rsidRDefault="00F37BF9">
            <w:pPr>
              <w:pStyle w:val="P68B1DB1-Normal11"/>
              <w:spacing w:after="120"/>
              <w:jc w:val="both"/>
              <w:rPr>
                <w:noProof/>
                <w:szCs w:val="20"/>
                <w:lang w:val="de-DE"/>
              </w:rPr>
            </w:pPr>
            <w:r w:rsidRPr="00170422">
              <w:rPr>
                <w:noProof/>
                <w:lang w:val="de-DE"/>
              </w:rPr>
              <w:t xml:space="preserve">Die Dekrete zur Genehmigung des ersten Interventions- und Investitionsplans in dem betreffenden Gebiet (Delegierter Kommissionsmitglied/Region/Autonome Provinz) zur Verringerung des Hochwasserrisikos und des hydrogeologischen Risikos zielen darauf ab, den </w:t>
            </w:r>
            <w:r w:rsidRPr="00170422">
              <w:rPr>
                <w:noProof/>
                <w:lang w:val="de-DE"/>
              </w:rPr>
              <w:t>Beginn der ursprünglichen Bedingungen wiederherzustellen und die Widerstandsfähigkeit der Gebiete gegenüber Naturkatastrophen zu gewährleisten.</w:t>
            </w:r>
          </w:p>
        </w:tc>
      </w:tr>
      <w:tr w:rsidR="00110887" w:rsidRPr="00170422" w14:paraId="457146B8" w14:textId="77777777" w:rsidTr="00110887">
        <w:trPr>
          <w:trHeight w:val="300"/>
        </w:trPr>
        <w:tc>
          <w:tcPr>
            <w:tcW w:w="959" w:type="dxa"/>
            <w:shd w:val="clear" w:color="auto" w:fill="C6EFCE"/>
            <w:noWrap/>
            <w:vAlign w:val="center"/>
          </w:tcPr>
          <w:p w14:paraId="07E7E6F3" w14:textId="77777777" w:rsidR="0057163C" w:rsidRPr="00170422" w:rsidRDefault="00F37BF9">
            <w:pPr>
              <w:pStyle w:val="P68B1DB1-Normal11"/>
              <w:spacing w:after="120"/>
              <w:jc w:val="center"/>
              <w:rPr>
                <w:noProof/>
                <w:szCs w:val="20"/>
                <w:lang w:val="de-DE"/>
              </w:rPr>
            </w:pPr>
            <w:r w:rsidRPr="00170422">
              <w:rPr>
                <w:noProof/>
                <w:lang w:val="de-DE"/>
              </w:rPr>
              <w:t>M2C4-13</w:t>
            </w:r>
          </w:p>
        </w:tc>
        <w:tc>
          <w:tcPr>
            <w:tcW w:w="1699" w:type="dxa"/>
            <w:shd w:val="clear" w:color="auto" w:fill="C6EFCE"/>
            <w:noWrap/>
            <w:vAlign w:val="center"/>
          </w:tcPr>
          <w:p w14:paraId="66939BB7" w14:textId="77777777" w:rsidR="0057163C" w:rsidRPr="00170422" w:rsidRDefault="00F37BF9">
            <w:pPr>
              <w:pStyle w:val="P68B1DB1-Normal11"/>
              <w:spacing w:after="120"/>
              <w:jc w:val="center"/>
              <w:rPr>
                <w:noProof/>
                <w:szCs w:val="20"/>
                <w:lang w:val="de-DE"/>
              </w:rPr>
            </w:pPr>
            <w:r w:rsidRPr="00170422">
              <w:rPr>
                <w:noProof/>
                <w:lang w:val="de-DE"/>
              </w:rPr>
              <w:t>Investition 2.1b – Maßnahmen zur Verringerung des Hochwasserrisikos und des hydrogeologischen Risikos</w:t>
            </w:r>
          </w:p>
        </w:tc>
        <w:tc>
          <w:tcPr>
            <w:tcW w:w="1419" w:type="dxa"/>
            <w:shd w:val="clear" w:color="auto" w:fill="C6EFCE"/>
            <w:noWrap/>
            <w:vAlign w:val="center"/>
          </w:tcPr>
          <w:p w14:paraId="47C9B876" w14:textId="77777777" w:rsidR="0057163C" w:rsidRPr="00170422" w:rsidRDefault="00F37BF9">
            <w:pPr>
              <w:pStyle w:val="P68B1DB1-Normal11"/>
              <w:spacing w:after="120"/>
              <w:jc w:val="center"/>
              <w:rPr>
                <w:noProof/>
                <w:szCs w:val="20"/>
                <w:lang w:val="de-DE"/>
              </w:rPr>
            </w:pPr>
            <w:r w:rsidRPr="00170422">
              <w:rPr>
                <w:noProof/>
                <w:lang w:val="de-DE"/>
              </w:rPr>
              <w:t>Ziel</w:t>
            </w:r>
          </w:p>
        </w:tc>
        <w:tc>
          <w:tcPr>
            <w:tcW w:w="1268" w:type="dxa"/>
            <w:shd w:val="clear" w:color="auto" w:fill="C6EFCE"/>
            <w:noWrap/>
            <w:vAlign w:val="center"/>
          </w:tcPr>
          <w:p w14:paraId="20B65FCF" w14:textId="77777777" w:rsidR="0057163C" w:rsidRPr="00170422" w:rsidRDefault="00F37BF9">
            <w:pPr>
              <w:pStyle w:val="P68B1DB1-Normal12"/>
              <w:spacing w:after="120"/>
              <w:jc w:val="center"/>
              <w:rPr>
                <w:noProof/>
                <w:lang w:val="de-DE"/>
              </w:rPr>
            </w:pPr>
            <w:r w:rsidRPr="00170422">
              <w:rPr>
                <w:noProof/>
                <w:lang w:val="de-DE"/>
              </w:rPr>
              <w:t>Durchgeführte Interventionen des Typs D und des Typs E</w:t>
            </w:r>
          </w:p>
        </w:tc>
        <w:tc>
          <w:tcPr>
            <w:tcW w:w="1284" w:type="dxa"/>
            <w:shd w:val="clear" w:color="auto" w:fill="C6EFCE"/>
            <w:noWrap/>
            <w:vAlign w:val="center"/>
          </w:tcPr>
          <w:p w14:paraId="0F8652FB"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134" w:type="dxa"/>
            <w:shd w:val="clear" w:color="auto" w:fill="C6EFCE"/>
            <w:noWrap/>
            <w:vAlign w:val="center"/>
          </w:tcPr>
          <w:p w14:paraId="2F2A254D" w14:textId="77777777" w:rsidR="0057163C" w:rsidRPr="00170422" w:rsidRDefault="00F37BF9">
            <w:pPr>
              <w:pStyle w:val="P68B1DB1-Normal12"/>
              <w:spacing w:after="120"/>
              <w:jc w:val="center"/>
              <w:rPr>
                <w:noProof/>
                <w:lang w:val="de-DE"/>
              </w:rPr>
            </w:pPr>
            <w:r w:rsidRPr="00170422">
              <w:rPr>
                <w:noProof/>
                <w:lang w:val="de-DE"/>
              </w:rPr>
              <w:t>Prozentuale</w:t>
            </w:r>
          </w:p>
        </w:tc>
        <w:tc>
          <w:tcPr>
            <w:tcW w:w="1417" w:type="dxa"/>
            <w:shd w:val="clear" w:color="auto" w:fill="C6EFCE"/>
            <w:noWrap/>
            <w:vAlign w:val="center"/>
          </w:tcPr>
          <w:p w14:paraId="7EE5C4B3" w14:textId="77777777" w:rsidR="0057163C" w:rsidRPr="00170422" w:rsidRDefault="00F37BF9">
            <w:pPr>
              <w:pStyle w:val="P68B1DB1-Normal11"/>
              <w:spacing w:after="120"/>
              <w:jc w:val="center"/>
              <w:rPr>
                <w:noProof/>
                <w:szCs w:val="20"/>
                <w:lang w:val="de-DE"/>
              </w:rPr>
            </w:pPr>
            <w:r w:rsidRPr="00170422">
              <w:rPr>
                <w:noProof/>
                <w:lang w:val="de-DE"/>
              </w:rPr>
              <w:t>0</w:t>
            </w:r>
          </w:p>
        </w:tc>
        <w:tc>
          <w:tcPr>
            <w:tcW w:w="567" w:type="dxa"/>
            <w:shd w:val="clear" w:color="auto" w:fill="C6EFCE"/>
            <w:noWrap/>
            <w:vAlign w:val="center"/>
          </w:tcPr>
          <w:p w14:paraId="4FB7FD0A" w14:textId="77777777" w:rsidR="0057163C" w:rsidRPr="00170422" w:rsidRDefault="00F37BF9">
            <w:pPr>
              <w:pStyle w:val="P68B1DB1-Normal12"/>
              <w:spacing w:after="120"/>
              <w:jc w:val="center"/>
              <w:rPr>
                <w:noProof/>
                <w:lang w:val="de-DE"/>
              </w:rPr>
            </w:pPr>
            <w:r w:rsidRPr="00170422">
              <w:rPr>
                <w:noProof/>
                <w:lang w:val="de-DE"/>
              </w:rPr>
              <w:t>90</w:t>
            </w:r>
          </w:p>
        </w:tc>
        <w:tc>
          <w:tcPr>
            <w:tcW w:w="851" w:type="dxa"/>
            <w:shd w:val="clear" w:color="auto" w:fill="C6EFCE"/>
            <w:noWrap/>
            <w:vAlign w:val="center"/>
          </w:tcPr>
          <w:p w14:paraId="607345C4"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shd w:val="clear" w:color="auto" w:fill="C6EFCE"/>
            <w:noWrap/>
            <w:vAlign w:val="center"/>
          </w:tcPr>
          <w:p w14:paraId="414867F0"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2867" w:type="dxa"/>
            <w:shd w:val="clear" w:color="auto" w:fill="C6EFCE"/>
            <w:noWrap/>
            <w:vAlign w:val="center"/>
          </w:tcPr>
          <w:p w14:paraId="4B34D8E3" w14:textId="20253AE1" w:rsidR="0057163C" w:rsidRPr="00170422" w:rsidRDefault="00F37BF9">
            <w:pPr>
              <w:pStyle w:val="P68B1DB1-Normal12"/>
              <w:spacing w:after="120"/>
              <w:rPr>
                <w:noProof/>
                <w:lang w:val="de-DE"/>
              </w:rPr>
            </w:pPr>
            <w:r w:rsidRPr="00170422">
              <w:rPr>
                <w:noProof/>
                <w:lang w:val="de-DE"/>
              </w:rPr>
              <w:t xml:space="preserve">Für mindestens 90 % der Interventionen des Typs E und des Typs D, die auf die Wiederherstellung beschädigter öffentlicher Strukturen abzielen, werden </w:t>
            </w:r>
            <w:r w:rsidRPr="00170422">
              <w:rPr>
                <w:noProof/>
                <w:lang w:val="de-DE"/>
              </w:rPr>
              <w:t>Bescheinigungen über den Abschluss der Arbeiten ausgestellt, wie in den Genehmigungsakten des Nationalen Katastrophenschutzdienstes festgelegt.</w:t>
            </w:r>
          </w:p>
        </w:tc>
      </w:tr>
      <w:tr w:rsidR="00110887" w:rsidRPr="00170422" w14:paraId="01D2CA9A" w14:textId="77777777" w:rsidTr="00110887">
        <w:trPr>
          <w:trHeight w:val="300"/>
        </w:trPr>
        <w:tc>
          <w:tcPr>
            <w:tcW w:w="959" w:type="dxa"/>
            <w:shd w:val="clear" w:color="auto" w:fill="C6EFCE"/>
            <w:noWrap/>
            <w:vAlign w:val="center"/>
            <w:hideMark/>
          </w:tcPr>
          <w:p w14:paraId="25B2DAE9" w14:textId="77777777" w:rsidR="0057163C" w:rsidRPr="00170422" w:rsidRDefault="00F37BF9">
            <w:pPr>
              <w:pStyle w:val="P68B1DB1-Normal11"/>
              <w:spacing w:line="276" w:lineRule="auto"/>
              <w:jc w:val="center"/>
              <w:rPr>
                <w:noProof/>
                <w:szCs w:val="20"/>
                <w:lang w:val="de-DE"/>
              </w:rPr>
            </w:pPr>
            <w:r w:rsidRPr="00170422">
              <w:rPr>
                <w:noProof/>
                <w:lang w:val="de-DE"/>
              </w:rPr>
              <w:t>M2C4-18</w:t>
            </w:r>
          </w:p>
        </w:tc>
        <w:tc>
          <w:tcPr>
            <w:tcW w:w="1699" w:type="dxa"/>
            <w:shd w:val="clear" w:color="auto" w:fill="C6EFCE"/>
            <w:noWrap/>
            <w:vAlign w:val="center"/>
            <w:hideMark/>
          </w:tcPr>
          <w:p w14:paraId="5984DCDB" w14:textId="77777777" w:rsidR="0057163C" w:rsidRPr="00170422" w:rsidRDefault="00F37BF9">
            <w:pPr>
              <w:pStyle w:val="P68B1DB1-Normal11"/>
              <w:spacing w:line="276" w:lineRule="auto"/>
              <w:jc w:val="center"/>
              <w:rPr>
                <w:noProof/>
                <w:szCs w:val="20"/>
                <w:lang w:val="de-DE"/>
              </w:rPr>
            </w:pPr>
            <w:r w:rsidRPr="00170422">
              <w:rPr>
                <w:noProof/>
                <w:lang w:val="de-DE"/>
              </w:rPr>
              <w:t>Investieren. 3.1: Schutz und Verbesserung städtischer und stadtnaher Wälder</w:t>
            </w:r>
          </w:p>
        </w:tc>
        <w:tc>
          <w:tcPr>
            <w:tcW w:w="1419" w:type="dxa"/>
            <w:shd w:val="clear" w:color="auto" w:fill="C6EFCE"/>
            <w:noWrap/>
            <w:vAlign w:val="center"/>
            <w:hideMark/>
          </w:tcPr>
          <w:p w14:paraId="5919B0F2"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49A629A0"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Inkrafttreten </w:t>
            </w:r>
            <w:r w:rsidRPr="00170422">
              <w:rPr>
                <w:noProof/>
                <w:lang w:val="de-DE"/>
              </w:rPr>
              <w:t>der überarbeiteten rechtlichen Änderungen zum Schutz und zur Valorisierung städtischer und stadtnaher Grünflächen</w:t>
            </w:r>
          </w:p>
        </w:tc>
        <w:tc>
          <w:tcPr>
            <w:tcW w:w="1284" w:type="dxa"/>
            <w:shd w:val="clear" w:color="auto" w:fill="C6EFCE"/>
            <w:noWrap/>
            <w:vAlign w:val="center"/>
            <w:hideMark/>
          </w:tcPr>
          <w:p w14:paraId="0697C6AE" w14:textId="61C30BE7" w:rsidR="0057163C" w:rsidRPr="00170422" w:rsidRDefault="00F37BF9">
            <w:pPr>
              <w:pStyle w:val="P68B1DB1-Normal11"/>
              <w:spacing w:line="276" w:lineRule="auto"/>
              <w:jc w:val="center"/>
              <w:rPr>
                <w:noProof/>
                <w:szCs w:val="20"/>
                <w:lang w:val="de-DE"/>
              </w:rPr>
            </w:pPr>
            <w:r w:rsidRPr="00170422">
              <w:rPr>
                <w:noProof/>
                <w:lang w:val="de-DE"/>
              </w:rPr>
              <w:t>Bestimmung in den einschlägigen Rechtsvorschriften über die Annahme des städtischen Aufforstungsplans</w:t>
            </w:r>
          </w:p>
        </w:tc>
        <w:tc>
          <w:tcPr>
            <w:tcW w:w="1134" w:type="dxa"/>
            <w:shd w:val="clear" w:color="auto" w:fill="C6EFCE"/>
            <w:noWrap/>
            <w:vAlign w:val="center"/>
            <w:hideMark/>
          </w:tcPr>
          <w:p w14:paraId="07ADB5BD"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2E21D3CD"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62C7258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0CF7A5E1"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13A3698E" w14:textId="77777777" w:rsidR="0057163C" w:rsidRPr="00170422" w:rsidRDefault="00F37BF9">
            <w:pPr>
              <w:pStyle w:val="P68B1DB1-Normal11"/>
              <w:spacing w:line="276" w:lineRule="auto"/>
              <w:jc w:val="center"/>
              <w:rPr>
                <w:noProof/>
                <w:szCs w:val="20"/>
                <w:lang w:val="de-DE"/>
              </w:rPr>
            </w:pPr>
            <w:r w:rsidRPr="00170422">
              <w:rPr>
                <w:noProof/>
                <w:lang w:val="de-DE"/>
              </w:rPr>
              <w:t>2021</w:t>
            </w:r>
          </w:p>
        </w:tc>
        <w:tc>
          <w:tcPr>
            <w:tcW w:w="2867" w:type="dxa"/>
            <w:shd w:val="clear" w:color="auto" w:fill="C6EFCE"/>
            <w:noWrap/>
            <w:vAlign w:val="center"/>
            <w:hideMark/>
          </w:tcPr>
          <w:p w14:paraId="7F1524A1" w14:textId="77777777" w:rsidR="0057163C" w:rsidRPr="00170422" w:rsidRDefault="00F37BF9">
            <w:pPr>
              <w:pStyle w:val="P68B1DB1-Normal11"/>
              <w:rPr>
                <w:noProof/>
                <w:szCs w:val="20"/>
                <w:lang w:val="de-DE"/>
              </w:rPr>
            </w:pPr>
            <w:r w:rsidRPr="00170422">
              <w:rPr>
                <w:noProof/>
                <w:lang w:val="de-DE"/>
              </w:rPr>
              <w:t>Der städtische Bewaldungsplan muss im Einklang mit den Zielen des Gesetzes vom 12. Dezember 2019, 141 („Klimagesetz“) und nach einer von den Großstädten durchzuführenden Planungsphase stehen. In dem Plan sollten mindestens die folgenden Ziele festgel</w:t>
            </w:r>
            <w:r w:rsidRPr="00170422">
              <w:rPr>
                <w:noProof/>
                <w:lang w:val="de-DE"/>
              </w:rPr>
              <w:t>egt werden:</w:t>
            </w:r>
          </w:p>
          <w:p w14:paraId="692B2F98" w14:textId="77777777" w:rsidR="0057163C" w:rsidRPr="00170422" w:rsidRDefault="00F37BF9">
            <w:pPr>
              <w:pStyle w:val="P68B1DB1-ListParagraph15"/>
              <w:numPr>
                <w:ilvl w:val="0"/>
                <w:numId w:val="27"/>
              </w:numPr>
              <w:spacing w:after="0" w:line="240" w:lineRule="auto"/>
              <w:ind w:left="446"/>
              <w:contextualSpacing w:val="0"/>
              <w:rPr>
                <w:noProof/>
                <w:szCs w:val="20"/>
                <w:lang w:val="de-DE"/>
              </w:rPr>
            </w:pPr>
            <w:r w:rsidRPr="00170422">
              <w:rPr>
                <w:noProof/>
                <w:lang w:val="de-DE"/>
              </w:rPr>
              <w:t>Erhaltung und Verbesserung der diffusen biologischen Vielfalt im Einklang mit der europäischen Biodiversitätsstrategie,</w:t>
            </w:r>
          </w:p>
          <w:p w14:paraId="38CDC4D8" w14:textId="77777777" w:rsidR="0057163C" w:rsidRPr="00170422" w:rsidRDefault="00F37BF9">
            <w:pPr>
              <w:pStyle w:val="P68B1DB1-ListParagraph15"/>
              <w:numPr>
                <w:ilvl w:val="0"/>
                <w:numId w:val="27"/>
              </w:numPr>
              <w:spacing w:after="0" w:line="240" w:lineRule="auto"/>
              <w:ind w:left="446"/>
              <w:contextualSpacing w:val="0"/>
              <w:rPr>
                <w:noProof/>
                <w:szCs w:val="20"/>
                <w:lang w:val="de-DE"/>
              </w:rPr>
            </w:pPr>
            <w:r w:rsidRPr="00170422">
              <w:rPr>
                <w:noProof/>
                <w:lang w:val="de-DE"/>
              </w:rPr>
              <w:t>Beitrag zur Verringerung der Luftverschmutzung in Ballungsräumen,</w:t>
            </w:r>
          </w:p>
          <w:p w14:paraId="49055827" w14:textId="77777777" w:rsidR="0057163C" w:rsidRPr="00170422" w:rsidRDefault="00F37BF9">
            <w:pPr>
              <w:pStyle w:val="P68B1DB1-ListParagraph15"/>
              <w:numPr>
                <w:ilvl w:val="0"/>
                <w:numId w:val="27"/>
              </w:numPr>
              <w:spacing w:after="0" w:line="240" w:lineRule="auto"/>
              <w:ind w:left="446"/>
              <w:contextualSpacing w:val="0"/>
              <w:rPr>
                <w:noProof/>
                <w:szCs w:val="20"/>
                <w:lang w:val="de-DE"/>
              </w:rPr>
            </w:pPr>
            <w:r w:rsidRPr="00170422">
              <w:rPr>
                <w:noProof/>
                <w:lang w:val="de-DE"/>
              </w:rPr>
              <w:t>Verringerung von Vertragsverletzungsverfahren in Bezug auf</w:t>
            </w:r>
            <w:r w:rsidRPr="00170422">
              <w:rPr>
                <w:noProof/>
                <w:lang w:val="de-DE"/>
              </w:rPr>
              <w:t xml:space="preserve"> die Luftqualität;</w:t>
            </w:r>
          </w:p>
          <w:p w14:paraId="6D13A728" w14:textId="77777777" w:rsidR="0057163C" w:rsidRPr="00170422" w:rsidRDefault="00F37BF9">
            <w:pPr>
              <w:pStyle w:val="P68B1DB1-ListParagraph15"/>
              <w:numPr>
                <w:ilvl w:val="0"/>
                <w:numId w:val="27"/>
              </w:numPr>
              <w:spacing w:after="0" w:line="240" w:lineRule="auto"/>
              <w:ind w:left="446"/>
              <w:contextualSpacing w:val="0"/>
              <w:rPr>
                <w:noProof/>
                <w:szCs w:val="20"/>
                <w:lang w:val="de-DE"/>
              </w:rPr>
            </w:pPr>
            <w:r w:rsidRPr="00170422">
              <w:rPr>
                <w:noProof/>
                <w:lang w:val="de-DE"/>
              </w:rPr>
              <w:t>Wiederherstellung der vom Menschen geschaffenen Landschaften und Verbesserung der Schutzgebiete in unmittelbarer Nähe von Metropolregionen;</w:t>
            </w:r>
          </w:p>
          <w:p w14:paraId="2600A551" w14:textId="77777777" w:rsidR="0057163C" w:rsidRPr="00170422" w:rsidRDefault="00F37BF9">
            <w:pPr>
              <w:pStyle w:val="P68B1DB1-Normal11"/>
              <w:rPr>
                <w:noProof/>
                <w:szCs w:val="20"/>
                <w:lang w:val="de-DE"/>
              </w:rPr>
            </w:pPr>
            <w:r w:rsidRPr="00170422">
              <w:rPr>
                <w:noProof/>
                <w:lang w:val="de-DE"/>
              </w:rPr>
              <w:t>Eindämmung des Bodenverbrauchs und Wiederherstellung nützlicher Böden.</w:t>
            </w:r>
          </w:p>
        </w:tc>
      </w:tr>
      <w:tr w:rsidR="00110887" w:rsidRPr="00170422" w14:paraId="21752641" w14:textId="77777777" w:rsidTr="00110887">
        <w:trPr>
          <w:trHeight w:val="300"/>
        </w:trPr>
        <w:tc>
          <w:tcPr>
            <w:tcW w:w="959" w:type="dxa"/>
            <w:shd w:val="clear" w:color="auto" w:fill="C6EFCE"/>
            <w:noWrap/>
            <w:vAlign w:val="center"/>
            <w:hideMark/>
          </w:tcPr>
          <w:p w14:paraId="0EB335F0" w14:textId="77777777" w:rsidR="0057163C" w:rsidRPr="00170422" w:rsidRDefault="00F37BF9">
            <w:pPr>
              <w:pStyle w:val="P68B1DB1-Normal11"/>
              <w:spacing w:line="276" w:lineRule="auto"/>
              <w:jc w:val="center"/>
              <w:rPr>
                <w:noProof/>
                <w:szCs w:val="20"/>
                <w:lang w:val="de-DE"/>
              </w:rPr>
            </w:pPr>
            <w:r w:rsidRPr="00170422">
              <w:rPr>
                <w:noProof/>
                <w:lang w:val="de-DE"/>
              </w:rPr>
              <w:t>M2C4-19</w:t>
            </w:r>
          </w:p>
        </w:tc>
        <w:tc>
          <w:tcPr>
            <w:tcW w:w="1699" w:type="dxa"/>
            <w:shd w:val="clear" w:color="auto" w:fill="C6EFCE"/>
            <w:noWrap/>
            <w:vAlign w:val="center"/>
            <w:hideMark/>
          </w:tcPr>
          <w:p w14:paraId="0C28F051" w14:textId="77777777" w:rsidR="0057163C" w:rsidRPr="00170422" w:rsidRDefault="00F37BF9">
            <w:pPr>
              <w:pStyle w:val="P68B1DB1-Normal11"/>
              <w:spacing w:line="276" w:lineRule="auto"/>
              <w:jc w:val="center"/>
              <w:rPr>
                <w:noProof/>
                <w:szCs w:val="20"/>
                <w:lang w:val="de-DE"/>
              </w:rPr>
            </w:pPr>
            <w:r w:rsidRPr="00170422">
              <w:rPr>
                <w:noProof/>
                <w:lang w:val="de-DE"/>
              </w:rPr>
              <w:t>Investieren. 3.1:</w:t>
            </w:r>
            <w:r w:rsidRPr="00170422">
              <w:rPr>
                <w:noProof/>
                <w:lang w:val="de-DE"/>
              </w:rPr>
              <w:t xml:space="preserve"> Schutz und Verbesserung städtischer und stadtnaher Wälder</w:t>
            </w:r>
          </w:p>
        </w:tc>
        <w:tc>
          <w:tcPr>
            <w:tcW w:w="1419" w:type="dxa"/>
            <w:shd w:val="clear" w:color="auto" w:fill="C6EFCE"/>
            <w:noWrap/>
            <w:vAlign w:val="center"/>
            <w:hideMark/>
          </w:tcPr>
          <w:p w14:paraId="1997F96B"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764834DE" w14:textId="77777777" w:rsidR="0057163C" w:rsidRPr="00170422" w:rsidRDefault="00F37BF9">
            <w:pPr>
              <w:pStyle w:val="P68B1DB1-Normal11"/>
              <w:spacing w:line="276" w:lineRule="auto"/>
              <w:jc w:val="center"/>
              <w:rPr>
                <w:noProof/>
                <w:szCs w:val="20"/>
                <w:lang w:val="de-DE"/>
              </w:rPr>
            </w:pPr>
            <w:r w:rsidRPr="00170422">
              <w:rPr>
                <w:noProof/>
                <w:lang w:val="de-DE"/>
              </w:rPr>
              <w:t>Pflanzenbäume zum Schutz und zur Valorisierung städtischer und stadtnaher Grünflächen T1</w:t>
            </w:r>
          </w:p>
        </w:tc>
        <w:tc>
          <w:tcPr>
            <w:tcW w:w="1284" w:type="dxa"/>
            <w:shd w:val="clear" w:color="auto" w:fill="C6EFCE"/>
            <w:noWrap/>
            <w:vAlign w:val="center"/>
            <w:hideMark/>
          </w:tcPr>
          <w:p w14:paraId="4B210EED"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4E4671B0"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7F8453BC"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shd w:val="clear" w:color="auto" w:fill="C6EFCE"/>
            <w:noWrap/>
            <w:vAlign w:val="center"/>
            <w:hideMark/>
          </w:tcPr>
          <w:p w14:paraId="128D5B98" w14:textId="77777777" w:rsidR="0057163C" w:rsidRPr="00170422" w:rsidRDefault="00F37BF9">
            <w:pPr>
              <w:pStyle w:val="P68B1DB1-Normal11"/>
              <w:spacing w:line="276" w:lineRule="auto"/>
              <w:jc w:val="center"/>
              <w:rPr>
                <w:noProof/>
                <w:szCs w:val="20"/>
                <w:lang w:val="de-DE"/>
              </w:rPr>
            </w:pPr>
            <w:r w:rsidRPr="00170422">
              <w:rPr>
                <w:noProof/>
                <w:lang w:val="de-DE"/>
              </w:rPr>
              <w:t>1 650 000</w:t>
            </w:r>
          </w:p>
        </w:tc>
        <w:tc>
          <w:tcPr>
            <w:tcW w:w="851" w:type="dxa"/>
            <w:shd w:val="clear" w:color="auto" w:fill="C6EFCE"/>
            <w:noWrap/>
            <w:vAlign w:val="center"/>
            <w:hideMark/>
          </w:tcPr>
          <w:p w14:paraId="53FF9947"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0FA82870"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867" w:type="dxa"/>
            <w:shd w:val="clear" w:color="auto" w:fill="C6EFCE"/>
            <w:noWrap/>
            <w:vAlign w:val="center"/>
            <w:hideMark/>
          </w:tcPr>
          <w:p w14:paraId="41241CE4" w14:textId="77777777" w:rsidR="0057163C" w:rsidRPr="00170422" w:rsidRDefault="00F37BF9">
            <w:pPr>
              <w:pStyle w:val="P68B1DB1-Normal11"/>
              <w:spacing w:line="276" w:lineRule="auto"/>
              <w:rPr>
                <w:noProof/>
                <w:szCs w:val="20"/>
                <w:lang w:val="de-DE"/>
              </w:rPr>
            </w:pPr>
            <w:r w:rsidRPr="00170422">
              <w:rPr>
                <w:noProof/>
                <w:lang w:val="de-DE"/>
              </w:rPr>
              <w:t xml:space="preserve">Gemäß Artikel 4 des Gesetzes vom 12. Dezember 2019 141 </w:t>
            </w:r>
            <w:r w:rsidRPr="00170422">
              <w:rPr>
                <w:noProof/>
                <w:lang w:val="de-DE"/>
              </w:rPr>
              <w:t>(sogenanntes Klimagesetz) mindestens 1650000 Bäume zur Wiederaufforstung städtischer und stadtnaher Gebiete anpflanzen.</w:t>
            </w:r>
          </w:p>
        </w:tc>
      </w:tr>
      <w:tr w:rsidR="00110887" w:rsidRPr="00170422" w14:paraId="05C1A266" w14:textId="77777777" w:rsidTr="00110887">
        <w:trPr>
          <w:trHeight w:val="300"/>
        </w:trPr>
        <w:tc>
          <w:tcPr>
            <w:tcW w:w="959" w:type="dxa"/>
            <w:shd w:val="clear" w:color="auto" w:fill="C6EFCE"/>
            <w:noWrap/>
            <w:vAlign w:val="center"/>
            <w:hideMark/>
          </w:tcPr>
          <w:p w14:paraId="264953C5" w14:textId="77777777" w:rsidR="0057163C" w:rsidRPr="00170422" w:rsidRDefault="00F37BF9">
            <w:pPr>
              <w:pStyle w:val="P68B1DB1-Normal11"/>
              <w:spacing w:line="276" w:lineRule="auto"/>
              <w:jc w:val="center"/>
              <w:rPr>
                <w:noProof/>
                <w:szCs w:val="20"/>
                <w:lang w:val="de-DE"/>
              </w:rPr>
            </w:pPr>
            <w:r w:rsidRPr="00170422">
              <w:rPr>
                <w:noProof/>
                <w:lang w:val="de-DE"/>
              </w:rPr>
              <w:t>M2C4-20</w:t>
            </w:r>
          </w:p>
        </w:tc>
        <w:tc>
          <w:tcPr>
            <w:tcW w:w="1699" w:type="dxa"/>
            <w:shd w:val="clear" w:color="auto" w:fill="C6EFCE"/>
            <w:noWrap/>
            <w:vAlign w:val="center"/>
            <w:hideMark/>
          </w:tcPr>
          <w:p w14:paraId="661F8355" w14:textId="77777777" w:rsidR="0057163C" w:rsidRPr="00170422" w:rsidRDefault="00F37BF9">
            <w:pPr>
              <w:pStyle w:val="P68B1DB1-Normal11"/>
              <w:spacing w:line="276" w:lineRule="auto"/>
              <w:jc w:val="center"/>
              <w:rPr>
                <w:noProof/>
                <w:szCs w:val="20"/>
                <w:lang w:val="de-DE"/>
              </w:rPr>
            </w:pPr>
            <w:r w:rsidRPr="00170422">
              <w:rPr>
                <w:noProof/>
                <w:lang w:val="de-DE"/>
              </w:rPr>
              <w:t>Investieren. 3.1: Schutz und Verbesserung städtischer und stadtnaher Wälder</w:t>
            </w:r>
          </w:p>
        </w:tc>
        <w:tc>
          <w:tcPr>
            <w:tcW w:w="1419" w:type="dxa"/>
            <w:shd w:val="clear" w:color="auto" w:fill="C6EFCE"/>
            <w:noWrap/>
            <w:vAlign w:val="center"/>
            <w:hideMark/>
          </w:tcPr>
          <w:p w14:paraId="61FE3AC1"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7120E703" w14:textId="77777777" w:rsidR="0057163C" w:rsidRPr="00170422" w:rsidRDefault="00F37BF9">
            <w:pPr>
              <w:pStyle w:val="P68B1DB1-Normal11"/>
              <w:spacing w:line="276" w:lineRule="auto"/>
              <w:jc w:val="center"/>
              <w:rPr>
                <w:noProof/>
                <w:szCs w:val="20"/>
                <w:lang w:val="de-DE"/>
              </w:rPr>
            </w:pPr>
            <w:r w:rsidRPr="00170422">
              <w:rPr>
                <w:noProof/>
                <w:lang w:val="de-DE"/>
              </w:rPr>
              <w:t>Pflanzenbäume zum Schutz und zur Valorisierung</w:t>
            </w:r>
            <w:r w:rsidRPr="00170422">
              <w:rPr>
                <w:noProof/>
                <w:lang w:val="de-DE"/>
              </w:rPr>
              <w:t xml:space="preserve"> städtischer und stadtnaher Grünflächen T2</w:t>
            </w:r>
          </w:p>
        </w:tc>
        <w:tc>
          <w:tcPr>
            <w:tcW w:w="1284" w:type="dxa"/>
            <w:shd w:val="clear" w:color="auto" w:fill="C6EFCE"/>
            <w:noWrap/>
            <w:vAlign w:val="center"/>
            <w:hideMark/>
          </w:tcPr>
          <w:p w14:paraId="164B4352"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6062638C"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3991EBFE" w14:textId="77777777" w:rsidR="0057163C" w:rsidRPr="00170422" w:rsidRDefault="00F37BF9">
            <w:pPr>
              <w:pStyle w:val="P68B1DB1-Normal11"/>
              <w:spacing w:line="276" w:lineRule="auto"/>
              <w:jc w:val="center"/>
              <w:rPr>
                <w:noProof/>
                <w:szCs w:val="20"/>
                <w:lang w:val="de-DE"/>
              </w:rPr>
            </w:pPr>
            <w:r w:rsidRPr="00170422">
              <w:rPr>
                <w:noProof/>
                <w:lang w:val="de-DE"/>
              </w:rPr>
              <w:t>1 650 000</w:t>
            </w:r>
          </w:p>
        </w:tc>
        <w:tc>
          <w:tcPr>
            <w:tcW w:w="567" w:type="dxa"/>
            <w:shd w:val="clear" w:color="auto" w:fill="C6EFCE"/>
            <w:noWrap/>
            <w:vAlign w:val="center"/>
            <w:hideMark/>
          </w:tcPr>
          <w:p w14:paraId="2E174BF6" w14:textId="77777777" w:rsidR="0057163C" w:rsidRPr="00170422" w:rsidRDefault="00F37BF9">
            <w:pPr>
              <w:pStyle w:val="P68B1DB1-Normal11"/>
              <w:spacing w:line="276" w:lineRule="auto"/>
              <w:jc w:val="center"/>
              <w:rPr>
                <w:noProof/>
                <w:szCs w:val="20"/>
                <w:lang w:val="de-DE"/>
              </w:rPr>
            </w:pPr>
            <w:r w:rsidRPr="00170422">
              <w:rPr>
                <w:noProof/>
                <w:lang w:val="de-DE"/>
              </w:rPr>
              <w:t>4 500 000</w:t>
            </w:r>
          </w:p>
        </w:tc>
        <w:tc>
          <w:tcPr>
            <w:tcW w:w="851" w:type="dxa"/>
            <w:shd w:val="clear" w:color="auto" w:fill="C6EFCE"/>
            <w:noWrap/>
            <w:vAlign w:val="center"/>
            <w:hideMark/>
          </w:tcPr>
          <w:p w14:paraId="4EC9EA4B"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332E157D" w14:textId="77777777" w:rsidR="0057163C" w:rsidRPr="00170422" w:rsidRDefault="00F37BF9">
            <w:pPr>
              <w:pStyle w:val="P68B1DB1-Normal11"/>
              <w:spacing w:line="276" w:lineRule="auto"/>
              <w:jc w:val="center"/>
              <w:rPr>
                <w:noProof/>
                <w:szCs w:val="20"/>
                <w:lang w:val="de-DE"/>
              </w:rPr>
            </w:pPr>
            <w:r w:rsidRPr="00170422">
              <w:rPr>
                <w:noProof/>
                <w:lang w:val="de-DE"/>
              </w:rPr>
              <w:t>2024</w:t>
            </w:r>
          </w:p>
        </w:tc>
        <w:tc>
          <w:tcPr>
            <w:tcW w:w="2867" w:type="dxa"/>
            <w:shd w:val="clear" w:color="auto" w:fill="C6EFCE"/>
            <w:noWrap/>
            <w:vAlign w:val="center"/>
            <w:hideMark/>
          </w:tcPr>
          <w:p w14:paraId="09FB38E0" w14:textId="77777777" w:rsidR="0057163C" w:rsidRPr="00170422" w:rsidRDefault="00F37BF9">
            <w:pPr>
              <w:pStyle w:val="P68B1DB1-Normal11"/>
              <w:spacing w:line="276" w:lineRule="auto"/>
              <w:rPr>
                <w:noProof/>
                <w:szCs w:val="20"/>
                <w:lang w:val="de-DE"/>
              </w:rPr>
            </w:pPr>
            <w:r w:rsidRPr="00170422">
              <w:rPr>
                <w:noProof/>
                <w:lang w:val="de-DE"/>
              </w:rPr>
              <w:t>Anpflanzung von forstlichem Vermehrungsgut (Samen oder Pflanzen) für mindestens 4500000 Bäume und Sträucher zur Wiederaufforstung städtischer und stadtnaher Geb</w:t>
            </w:r>
            <w:r w:rsidRPr="00170422">
              <w:rPr>
                <w:noProof/>
                <w:lang w:val="de-DE"/>
              </w:rPr>
              <w:t>iete gemäß Artikel 4 des Gesetzes vom 12. Dezember 2019, 141 (sogenanntes Klimagesetz).</w:t>
            </w:r>
          </w:p>
        </w:tc>
      </w:tr>
      <w:tr w:rsidR="00110887" w:rsidRPr="00170422" w14:paraId="49876945" w14:textId="77777777" w:rsidTr="00110887">
        <w:trPr>
          <w:trHeight w:val="300"/>
        </w:trPr>
        <w:tc>
          <w:tcPr>
            <w:tcW w:w="9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FDF4B" w14:textId="77777777" w:rsidR="0057163C" w:rsidRPr="00170422" w:rsidRDefault="00F37BF9">
            <w:pPr>
              <w:pStyle w:val="P68B1DB1-Normal11"/>
              <w:spacing w:line="276" w:lineRule="auto"/>
              <w:jc w:val="center"/>
              <w:rPr>
                <w:noProof/>
                <w:szCs w:val="20"/>
                <w:lang w:val="de-DE"/>
              </w:rPr>
            </w:pPr>
            <w:r w:rsidRPr="00170422">
              <w:rPr>
                <w:noProof/>
                <w:lang w:val="de-DE"/>
              </w:rPr>
              <w:t>M2C4-20bis</w:t>
            </w:r>
          </w:p>
        </w:tc>
        <w:tc>
          <w:tcPr>
            <w:tcW w:w="16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A641F2" w14:textId="77777777" w:rsidR="0057163C" w:rsidRPr="00170422" w:rsidRDefault="00F37BF9">
            <w:pPr>
              <w:pStyle w:val="P68B1DB1-Normal11"/>
              <w:spacing w:line="276" w:lineRule="auto"/>
              <w:jc w:val="center"/>
              <w:rPr>
                <w:noProof/>
                <w:szCs w:val="20"/>
                <w:lang w:val="de-DE"/>
              </w:rPr>
            </w:pPr>
            <w:r w:rsidRPr="00170422">
              <w:rPr>
                <w:noProof/>
                <w:lang w:val="de-DE"/>
              </w:rPr>
              <w:t>Investieren. 3.1: Schutz und Verbesserung städtischer und stadtnaher Wälder</w:t>
            </w:r>
          </w:p>
        </w:tc>
        <w:tc>
          <w:tcPr>
            <w:tcW w:w="141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3CCAF0"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4233EE" w14:textId="77777777" w:rsidR="0057163C" w:rsidRPr="00170422" w:rsidRDefault="00F37BF9">
            <w:pPr>
              <w:pStyle w:val="P68B1DB1-Normal11"/>
              <w:spacing w:line="276" w:lineRule="auto"/>
              <w:jc w:val="center"/>
              <w:rPr>
                <w:noProof/>
                <w:szCs w:val="20"/>
                <w:lang w:val="de-DE"/>
              </w:rPr>
            </w:pPr>
            <w:r w:rsidRPr="00170422">
              <w:rPr>
                <w:noProof/>
                <w:lang w:val="de-DE"/>
              </w:rPr>
              <w:t xml:space="preserve">Pflanzenbäume zum Schutz und zur Valorisierung städtischer und stadtnaher </w:t>
            </w:r>
            <w:r w:rsidRPr="00170422">
              <w:rPr>
                <w:noProof/>
                <w:lang w:val="de-DE"/>
              </w:rPr>
              <w:t>Grünflächen T3</w:t>
            </w:r>
          </w:p>
        </w:tc>
        <w:tc>
          <w:tcPr>
            <w:tcW w:w="128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EE3A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00BF0F"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E752C"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D1E0D8" w14:textId="77777777" w:rsidR="0057163C" w:rsidRPr="00170422" w:rsidRDefault="00F37BF9">
            <w:pPr>
              <w:pStyle w:val="P68B1DB1-Normal11"/>
              <w:spacing w:line="276" w:lineRule="auto"/>
              <w:jc w:val="center"/>
              <w:rPr>
                <w:noProof/>
                <w:szCs w:val="20"/>
                <w:lang w:val="de-DE"/>
              </w:rPr>
            </w:pPr>
            <w:r w:rsidRPr="00170422">
              <w:rPr>
                <w:noProof/>
                <w:lang w:val="de-DE"/>
              </w:rPr>
              <w:t>3 500 000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AB795C"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vAlign w:val="center"/>
          </w:tcPr>
          <w:p w14:paraId="135BB5C9"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59A122" w14:textId="77777777" w:rsidR="0057163C" w:rsidRPr="00170422" w:rsidRDefault="00F37BF9">
            <w:pPr>
              <w:pStyle w:val="P68B1DB1-Normal12"/>
              <w:spacing w:line="276" w:lineRule="auto"/>
              <w:rPr>
                <w:noProof/>
                <w:lang w:val="de-DE"/>
              </w:rPr>
            </w:pPr>
            <w:r w:rsidRPr="00170422">
              <w:rPr>
                <w:noProof/>
                <w:lang w:val="de-DE"/>
              </w:rPr>
              <w:t>Umpflanzung von forstlichem Vermehrungsgut (Samen oder Pflanzen) für mindestens 3500000 Bäume und Sträucher zur Wiederaufforstung städtischer und stadtnaher Gebiete.</w:t>
            </w:r>
          </w:p>
        </w:tc>
      </w:tr>
      <w:tr w:rsidR="00110887" w:rsidRPr="00170422" w14:paraId="136D37C5" w14:textId="77777777" w:rsidTr="00110887">
        <w:trPr>
          <w:trHeight w:val="300"/>
        </w:trPr>
        <w:tc>
          <w:tcPr>
            <w:tcW w:w="959" w:type="dxa"/>
            <w:shd w:val="clear" w:color="auto" w:fill="C6EFCE"/>
            <w:noWrap/>
            <w:vAlign w:val="center"/>
            <w:hideMark/>
          </w:tcPr>
          <w:p w14:paraId="6ADE66B0" w14:textId="77777777" w:rsidR="0057163C" w:rsidRPr="00170422" w:rsidRDefault="00F37BF9">
            <w:pPr>
              <w:pStyle w:val="P68B1DB1-Normal11"/>
              <w:spacing w:line="276" w:lineRule="auto"/>
              <w:jc w:val="center"/>
              <w:rPr>
                <w:noProof/>
                <w:szCs w:val="20"/>
                <w:lang w:val="de-DE"/>
              </w:rPr>
            </w:pPr>
            <w:r w:rsidRPr="00170422">
              <w:rPr>
                <w:noProof/>
                <w:lang w:val="de-DE"/>
              </w:rPr>
              <w:t>M2C4-21</w:t>
            </w:r>
          </w:p>
        </w:tc>
        <w:tc>
          <w:tcPr>
            <w:tcW w:w="1699" w:type="dxa"/>
            <w:shd w:val="clear" w:color="auto" w:fill="C6EFCE"/>
            <w:noWrap/>
            <w:vAlign w:val="center"/>
            <w:hideMark/>
          </w:tcPr>
          <w:p w14:paraId="711659FB" w14:textId="77777777" w:rsidR="0057163C" w:rsidRPr="00170422" w:rsidRDefault="00F37BF9">
            <w:pPr>
              <w:pStyle w:val="P68B1DB1-Normal11"/>
              <w:spacing w:line="276" w:lineRule="auto"/>
              <w:jc w:val="center"/>
              <w:rPr>
                <w:noProof/>
                <w:szCs w:val="20"/>
                <w:lang w:val="de-DE"/>
              </w:rPr>
            </w:pPr>
            <w:r w:rsidRPr="00170422">
              <w:rPr>
                <w:noProof/>
                <w:lang w:val="de-DE"/>
              </w:rPr>
              <w:t>Investition 3.3 Sanierung des</w:t>
            </w:r>
            <w:r w:rsidRPr="00170422">
              <w:rPr>
                <w:noProof/>
                <w:lang w:val="de-DE"/>
              </w:rPr>
              <w:t xml:space="preserve"> Po-Gebiets</w:t>
            </w:r>
          </w:p>
        </w:tc>
        <w:tc>
          <w:tcPr>
            <w:tcW w:w="1419" w:type="dxa"/>
            <w:shd w:val="clear" w:color="auto" w:fill="C6EFCE"/>
            <w:noWrap/>
            <w:vAlign w:val="center"/>
            <w:hideMark/>
          </w:tcPr>
          <w:p w14:paraId="0186EFB1"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30A6165E" w14:textId="77777777" w:rsidR="0057163C" w:rsidRPr="00170422" w:rsidRDefault="00F37BF9">
            <w:pPr>
              <w:pStyle w:val="P68B1DB1-Normal11"/>
              <w:spacing w:line="276" w:lineRule="auto"/>
              <w:jc w:val="center"/>
              <w:rPr>
                <w:noProof/>
                <w:szCs w:val="20"/>
                <w:lang w:val="de-DE"/>
              </w:rPr>
            </w:pPr>
            <w:r w:rsidRPr="00170422">
              <w:rPr>
                <w:noProof/>
                <w:lang w:val="de-DE"/>
              </w:rPr>
              <w:t>Überarbeitung des Rechtsrahmens für Interventionen zur Neunaturierung des Po-Gebiets</w:t>
            </w:r>
          </w:p>
        </w:tc>
        <w:tc>
          <w:tcPr>
            <w:tcW w:w="1284" w:type="dxa"/>
            <w:shd w:val="clear" w:color="auto" w:fill="C6EFCE"/>
            <w:noWrap/>
            <w:vAlign w:val="center"/>
            <w:hideMark/>
          </w:tcPr>
          <w:p w14:paraId="6EB4EF69" w14:textId="77777777" w:rsidR="0057163C" w:rsidRPr="00170422" w:rsidRDefault="00F37BF9">
            <w:pPr>
              <w:pStyle w:val="P68B1DB1-Normal11"/>
              <w:spacing w:line="276" w:lineRule="auto"/>
              <w:jc w:val="center"/>
              <w:rPr>
                <w:noProof/>
                <w:szCs w:val="20"/>
                <w:lang w:val="de-DE"/>
              </w:rPr>
            </w:pPr>
            <w:r w:rsidRPr="00170422">
              <w:rPr>
                <w:noProof/>
                <w:lang w:val="de-DE"/>
              </w:rPr>
              <w:t>Bestimmung in der einschlägigen Rechtsvorschrift, aus der das Inkrafttreten hervorgeht</w:t>
            </w:r>
          </w:p>
        </w:tc>
        <w:tc>
          <w:tcPr>
            <w:tcW w:w="1134" w:type="dxa"/>
            <w:shd w:val="clear" w:color="auto" w:fill="C6EFCE"/>
            <w:noWrap/>
            <w:vAlign w:val="center"/>
            <w:hideMark/>
          </w:tcPr>
          <w:p w14:paraId="2E517DA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074D49B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3B114B6B"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21871739"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9" w:type="dxa"/>
            <w:shd w:val="clear" w:color="auto" w:fill="C6EFCE"/>
            <w:noWrap/>
            <w:vAlign w:val="center"/>
            <w:hideMark/>
          </w:tcPr>
          <w:p w14:paraId="5692A6E5"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2867" w:type="dxa"/>
            <w:shd w:val="clear" w:color="auto" w:fill="C6EFCE"/>
            <w:noWrap/>
            <w:vAlign w:val="center"/>
            <w:hideMark/>
          </w:tcPr>
          <w:p w14:paraId="53197A14" w14:textId="77777777" w:rsidR="0057163C" w:rsidRPr="00170422" w:rsidRDefault="00F37BF9">
            <w:pPr>
              <w:pStyle w:val="P68B1DB1-Normal11"/>
              <w:spacing w:line="276" w:lineRule="auto"/>
              <w:rPr>
                <w:noProof/>
                <w:szCs w:val="20"/>
                <w:lang w:val="de-DE"/>
              </w:rPr>
            </w:pPr>
            <w:r w:rsidRPr="00170422">
              <w:rPr>
                <w:noProof/>
                <w:lang w:val="de-DE"/>
              </w:rPr>
              <w:t xml:space="preserve">Inkrafttreten einschlägiger Rechtsvorschriften mit dem Ziel, den ökologischen Korridor des </w:t>
            </w:r>
            <w:r w:rsidRPr="00170422">
              <w:rPr>
                <w:noProof/>
                <w:szCs w:val="20"/>
                <w:lang w:val="de-DE"/>
              </w:rPr>
              <w:t>Flussbetts</w:t>
            </w:r>
            <w:r w:rsidRPr="00170422">
              <w:rPr>
                <w:noProof/>
                <w:lang w:val="de-DE"/>
              </w:rPr>
              <w:t>wiederherzustellen, einschließlich der natürlichen Wiederaufforstung und der Maßnahmen zur Wiederherstellung und Reaktivierung von seitlichen Ästen und Och</w:t>
            </w:r>
            <w:r w:rsidRPr="00170422">
              <w:rPr>
                <w:noProof/>
                <w:lang w:val="de-DE"/>
              </w:rPr>
              <w:t>sen.</w:t>
            </w:r>
          </w:p>
        </w:tc>
      </w:tr>
      <w:tr w:rsidR="00110887" w:rsidRPr="00170422" w14:paraId="02FB9DCF" w14:textId="77777777" w:rsidTr="00110887">
        <w:trPr>
          <w:trHeight w:val="300"/>
        </w:trPr>
        <w:tc>
          <w:tcPr>
            <w:tcW w:w="959" w:type="dxa"/>
            <w:shd w:val="clear" w:color="auto" w:fill="C6EFCE"/>
            <w:noWrap/>
            <w:vAlign w:val="center"/>
            <w:hideMark/>
          </w:tcPr>
          <w:p w14:paraId="6001469F" w14:textId="77777777" w:rsidR="0057163C" w:rsidRPr="00170422" w:rsidRDefault="00F37BF9">
            <w:pPr>
              <w:pStyle w:val="P68B1DB1-Normal11"/>
              <w:spacing w:line="276" w:lineRule="auto"/>
              <w:jc w:val="center"/>
              <w:rPr>
                <w:noProof/>
                <w:szCs w:val="20"/>
                <w:lang w:val="de-DE"/>
              </w:rPr>
            </w:pPr>
            <w:r w:rsidRPr="00170422">
              <w:rPr>
                <w:noProof/>
                <w:lang w:val="de-DE"/>
              </w:rPr>
              <w:t>M2C4-22</w:t>
            </w:r>
          </w:p>
        </w:tc>
        <w:tc>
          <w:tcPr>
            <w:tcW w:w="1699" w:type="dxa"/>
            <w:shd w:val="clear" w:color="auto" w:fill="C6EFCE"/>
            <w:noWrap/>
            <w:vAlign w:val="center"/>
            <w:hideMark/>
          </w:tcPr>
          <w:p w14:paraId="2BFF3B99" w14:textId="77777777" w:rsidR="0057163C" w:rsidRPr="00170422" w:rsidRDefault="00F37BF9">
            <w:pPr>
              <w:pStyle w:val="P68B1DB1-Normal11"/>
              <w:spacing w:line="276" w:lineRule="auto"/>
              <w:jc w:val="center"/>
              <w:rPr>
                <w:noProof/>
                <w:szCs w:val="20"/>
                <w:lang w:val="de-DE"/>
              </w:rPr>
            </w:pPr>
            <w:r w:rsidRPr="00170422">
              <w:rPr>
                <w:noProof/>
                <w:lang w:val="de-DE"/>
              </w:rPr>
              <w:t>Investition 3.3 Sanierung des Po-Gebiets</w:t>
            </w:r>
          </w:p>
        </w:tc>
        <w:tc>
          <w:tcPr>
            <w:tcW w:w="1419" w:type="dxa"/>
            <w:shd w:val="clear" w:color="auto" w:fill="C6EFCE"/>
            <w:noWrap/>
            <w:vAlign w:val="center"/>
            <w:hideMark/>
          </w:tcPr>
          <w:p w14:paraId="799E1D64"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41DA8A1A" w14:textId="77777777" w:rsidR="0057163C" w:rsidRPr="00170422" w:rsidRDefault="00F37BF9">
            <w:pPr>
              <w:pStyle w:val="P68B1DB1-Normal11"/>
              <w:spacing w:line="276" w:lineRule="auto"/>
              <w:jc w:val="center"/>
              <w:rPr>
                <w:noProof/>
                <w:szCs w:val="20"/>
                <w:lang w:val="de-DE"/>
              </w:rPr>
            </w:pPr>
            <w:r w:rsidRPr="00170422">
              <w:rPr>
                <w:noProof/>
                <w:lang w:val="de-DE"/>
              </w:rPr>
              <w:t>Verringerung der künstlichen Flussbette für die Neunaturierung des Po-Gebiets T1</w:t>
            </w:r>
          </w:p>
        </w:tc>
        <w:tc>
          <w:tcPr>
            <w:tcW w:w="1284" w:type="dxa"/>
            <w:shd w:val="clear" w:color="auto" w:fill="C6EFCE"/>
            <w:noWrap/>
            <w:vAlign w:val="center"/>
            <w:hideMark/>
          </w:tcPr>
          <w:p w14:paraId="77F0DC30"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6E3C07FC"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100B33C7"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shd w:val="clear" w:color="auto" w:fill="C6EFCE"/>
            <w:noWrap/>
            <w:vAlign w:val="center"/>
            <w:hideMark/>
          </w:tcPr>
          <w:p w14:paraId="18CE1C0F" w14:textId="77777777" w:rsidR="0057163C" w:rsidRPr="00170422" w:rsidRDefault="00F37BF9">
            <w:pPr>
              <w:pStyle w:val="P68B1DB1-Normal11"/>
              <w:spacing w:line="276" w:lineRule="auto"/>
              <w:jc w:val="center"/>
              <w:rPr>
                <w:noProof/>
                <w:szCs w:val="20"/>
                <w:lang w:val="de-DE"/>
              </w:rPr>
            </w:pPr>
            <w:r w:rsidRPr="00170422">
              <w:rPr>
                <w:noProof/>
                <w:lang w:val="de-DE"/>
              </w:rPr>
              <w:t>13</w:t>
            </w:r>
          </w:p>
        </w:tc>
        <w:tc>
          <w:tcPr>
            <w:tcW w:w="851" w:type="dxa"/>
            <w:shd w:val="clear" w:color="auto" w:fill="C6EFCE"/>
            <w:noWrap/>
            <w:vAlign w:val="center"/>
            <w:hideMark/>
          </w:tcPr>
          <w:p w14:paraId="361718DB"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2F21663F" w14:textId="77777777" w:rsidR="0057163C" w:rsidRPr="00170422" w:rsidRDefault="00F37BF9">
            <w:pPr>
              <w:pStyle w:val="P68B1DB1-Normal11"/>
              <w:spacing w:line="276" w:lineRule="auto"/>
              <w:jc w:val="center"/>
              <w:rPr>
                <w:noProof/>
                <w:szCs w:val="20"/>
                <w:lang w:val="de-DE"/>
              </w:rPr>
            </w:pPr>
            <w:r w:rsidRPr="00170422">
              <w:rPr>
                <w:noProof/>
                <w:lang w:val="de-DE"/>
              </w:rPr>
              <w:t>2024</w:t>
            </w:r>
          </w:p>
        </w:tc>
        <w:tc>
          <w:tcPr>
            <w:tcW w:w="2867" w:type="dxa"/>
            <w:shd w:val="clear" w:color="auto" w:fill="C6EFCE"/>
            <w:noWrap/>
            <w:vAlign w:val="center"/>
            <w:hideMark/>
          </w:tcPr>
          <w:p w14:paraId="2F5C4CD0" w14:textId="77777777" w:rsidR="0057163C" w:rsidRPr="00170422" w:rsidRDefault="00F37BF9">
            <w:pPr>
              <w:pStyle w:val="P68B1DB1-Normal12"/>
              <w:spacing w:line="276" w:lineRule="auto"/>
              <w:jc w:val="both"/>
              <w:rPr>
                <w:noProof/>
                <w:lang w:val="de-DE"/>
              </w:rPr>
            </w:pPr>
            <w:r w:rsidRPr="00170422">
              <w:rPr>
                <w:noProof/>
                <w:lang w:val="de-DE"/>
              </w:rPr>
              <w:t xml:space="preserve">Verringerung der Fließbettkünstlichkeit um mindestens 13 km entlang der </w:t>
            </w:r>
            <w:r w:rsidRPr="00170422">
              <w:rPr>
                <w:noProof/>
                <w:lang w:val="de-DE"/>
              </w:rPr>
              <w:t>Po-Achse.</w:t>
            </w:r>
          </w:p>
        </w:tc>
      </w:tr>
      <w:tr w:rsidR="00110887" w:rsidRPr="00170422" w14:paraId="52767F20" w14:textId="77777777" w:rsidTr="00110887">
        <w:trPr>
          <w:trHeight w:val="300"/>
        </w:trPr>
        <w:tc>
          <w:tcPr>
            <w:tcW w:w="959" w:type="dxa"/>
            <w:shd w:val="clear" w:color="auto" w:fill="C6EFCE"/>
            <w:noWrap/>
            <w:vAlign w:val="center"/>
            <w:hideMark/>
          </w:tcPr>
          <w:p w14:paraId="09E1C44D" w14:textId="77777777" w:rsidR="0057163C" w:rsidRPr="00170422" w:rsidRDefault="00F37BF9">
            <w:pPr>
              <w:pStyle w:val="P68B1DB1-Normal11"/>
              <w:spacing w:line="276" w:lineRule="auto"/>
              <w:jc w:val="center"/>
              <w:rPr>
                <w:noProof/>
                <w:szCs w:val="20"/>
                <w:lang w:val="de-DE"/>
              </w:rPr>
            </w:pPr>
            <w:r w:rsidRPr="00170422">
              <w:rPr>
                <w:noProof/>
                <w:lang w:val="de-DE"/>
              </w:rPr>
              <w:t>M2C4-23</w:t>
            </w:r>
          </w:p>
        </w:tc>
        <w:tc>
          <w:tcPr>
            <w:tcW w:w="1699" w:type="dxa"/>
            <w:shd w:val="clear" w:color="auto" w:fill="C6EFCE"/>
            <w:noWrap/>
            <w:vAlign w:val="center"/>
            <w:hideMark/>
          </w:tcPr>
          <w:p w14:paraId="353476FF" w14:textId="77777777" w:rsidR="0057163C" w:rsidRPr="00170422" w:rsidRDefault="00F37BF9">
            <w:pPr>
              <w:pStyle w:val="P68B1DB1-Normal11"/>
              <w:spacing w:line="276" w:lineRule="auto"/>
              <w:jc w:val="center"/>
              <w:rPr>
                <w:noProof/>
                <w:szCs w:val="20"/>
                <w:lang w:val="de-DE"/>
              </w:rPr>
            </w:pPr>
            <w:r w:rsidRPr="00170422">
              <w:rPr>
                <w:noProof/>
                <w:lang w:val="de-DE"/>
              </w:rPr>
              <w:t>Investition 3.3 Sanierung des Po-Gebiets</w:t>
            </w:r>
          </w:p>
        </w:tc>
        <w:tc>
          <w:tcPr>
            <w:tcW w:w="1419" w:type="dxa"/>
            <w:shd w:val="clear" w:color="auto" w:fill="C6EFCE"/>
            <w:noWrap/>
            <w:vAlign w:val="center"/>
            <w:hideMark/>
          </w:tcPr>
          <w:p w14:paraId="38C5E7E0"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1B5D3F67" w14:textId="77777777" w:rsidR="0057163C" w:rsidRPr="00170422" w:rsidRDefault="00F37BF9">
            <w:pPr>
              <w:pStyle w:val="P68B1DB1-Normal11"/>
              <w:spacing w:line="276" w:lineRule="auto"/>
              <w:jc w:val="center"/>
              <w:rPr>
                <w:noProof/>
                <w:szCs w:val="20"/>
                <w:lang w:val="de-DE"/>
              </w:rPr>
            </w:pPr>
            <w:r w:rsidRPr="00170422">
              <w:rPr>
                <w:noProof/>
                <w:lang w:val="de-DE"/>
              </w:rPr>
              <w:t>Verringerung der künstlichen Flussbette für die Neunaturierung des Po-Gebiets T2</w:t>
            </w:r>
          </w:p>
        </w:tc>
        <w:tc>
          <w:tcPr>
            <w:tcW w:w="1284" w:type="dxa"/>
            <w:shd w:val="clear" w:color="auto" w:fill="C6EFCE"/>
            <w:noWrap/>
            <w:vAlign w:val="center"/>
            <w:hideMark/>
          </w:tcPr>
          <w:p w14:paraId="6356051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760D5548"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788DB1E0" w14:textId="77777777" w:rsidR="0057163C" w:rsidRPr="00170422" w:rsidRDefault="00F37BF9">
            <w:pPr>
              <w:pStyle w:val="P68B1DB1-Normal11"/>
              <w:spacing w:line="276" w:lineRule="auto"/>
              <w:jc w:val="center"/>
              <w:rPr>
                <w:noProof/>
                <w:szCs w:val="20"/>
                <w:lang w:val="de-DE"/>
              </w:rPr>
            </w:pPr>
            <w:r w:rsidRPr="00170422">
              <w:rPr>
                <w:noProof/>
                <w:lang w:val="de-DE"/>
              </w:rPr>
              <w:t>13</w:t>
            </w:r>
          </w:p>
        </w:tc>
        <w:tc>
          <w:tcPr>
            <w:tcW w:w="567" w:type="dxa"/>
            <w:shd w:val="clear" w:color="auto" w:fill="C6EFCE"/>
            <w:noWrap/>
            <w:vAlign w:val="center"/>
            <w:hideMark/>
          </w:tcPr>
          <w:p w14:paraId="6EEDCEFD" w14:textId="77777777" w:rsidR="0057163C" w:rsidRPr="00170422" w:rsidRDefault="00F37BF9">
            <w:pPr>
              <w:pStyle w:val="P68B1DB1-Normal11"/>
              <w:spacing w:line="276" w:lineRule="auto"/>
              <w:jc w:val="center"/>
              <w:rPr>
                <w:noProof/>
                <w:szCs w:val="20"/>
                <w:lang w:val="de-DE"/>
              </w:rPr>
            </w:pPr>
            <w:r w:rsidRPr="00170422">
              <w:rPr>
                <w:noProof/>
                <w:lang w:val="de-DE"/>
              </w:rPr>
              <w:t>37</w:t>
            </w:r>
          </w:p>
        </w:tc>
        <w:tc>
          <w:tcPr>
            <w:tcW w:w="851" w:type="dxa"/>
            <w:shd w:val="clear" w:color="auto" w:fill="C6EFCE"/>
            <w:noWrap/>
            <w:vAlign w:val="center"/>
            <w:hideMark/>
          </w:tcPr>
          <w:p w14:paraId="342AC06A"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709" w:type="dxa"/>
            <w:shd w:val="clear" w:color="auto" w:fill="C6EFCE"/>
            <w:noWrap/>
            <w:vAlign w:val="center"/>
            <w:hideMark/>
          </w:tcPr>
          <w:p w14:paraId="672469C3"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shd w:val="clear" w:color="auto" w:fill="C6EFCE"/>
            <w:noWrap/>
            <w:vAlign w:val="center"/>
            <w:hideMark/>
          </w:tcPr>
          <w:p w14:paraId="7AFA5413" w14:textId="77777777" w:rsidR="0057163C" w:rsidRPr="00170422" w:rsidRDefault="00F37BF9">
            <w:pPr>
              <w:pStyle w:val="P68B1DB1-Normal12"/>
              <w:spacing w:line="276" w:lineRule="auto"/>
              <w:rPr>
                <w:noProof/>
                <w:lang w:val="de-DE"/>
              </w:rPr>
            </w:pPr>
            <w:r w:rsidRPr="00170422">
              <w:rPr>
                <w:noProof/>
                <w:lang w:val="de-DE"/>
              </w:rPr>
              <w:t xml:space="preserve">Es werden Bescheinigungen über den Abschluss der Arbeiten zur Verringerung der </w:t>
            </w:r>
            <w:r w:rsidRPr="00170422">
              <w:rPr>
                <w:noProof/>
                <w:lang w:val="de-DE"/>
              </w:rPr>
              <w:t>Fließbettkünstlichkeit um mindestens 37 km entlang der Achse des Po ausgestellt.</w:t>
            </w:r>
          </w:p>
          <w:p w14:paraId="70784EDE" w14:textId="4CEF00B8" w:rsidR="0057163C" w:rsidRPr="00170422" w:rsidRDefault="00F37BF9">
            <w:pPr>
              <w:pStyle w:val="P68B1DB1-Normal12"/>
              <w:spacing w:line="276" w:lineRule="auto"/>
              <w:rPr>
                <w:noProof/>
                <w:lang w:val="de-DE"/>
              </w:rPr>
            </w:pPr>
            <w:r w:rsidRPr="00170422">
              <w:rPr>
                <w:noProof/>
                <w:lang w:val="de-DE"/>
              </w:rPr>
              <w:t>Bescheinigungen über den Abschluss von Arbeiten zur Wiederaufforstung von mindestens 337 Hektar Uferwäldern ausgestellt werden.</w:t>
            </w:r>
          </w:p>
        </w:tc>
      </w:tr>
      <w:tr w:rsidR="00110887" w:rsidRPr="00170422" w14:paraId="09546FBF" w14:textId="77777777" w:rsidTr="00110887">
        <w:trPr>
          <w:trHeight w:val="300"/>
        </w:trPr>
        <w:tc>
          <w:tcPr>
            <w:tcW w:w="959" w:type="dxa"/>
            <w:shd w:val="clear" w:color="auto" w:fill="C6EFCE"/>
            <w:noWrap/>
            <w:vAlign w:val="center"/>
            <w:hideMark/>
          </w:tcPr>
          <w:p w14:paraId="26F7DECB" w14:textId="77777777" w:rsidR="0057163C" w:rsidRPr="00170422" w:rsidRDefault="00F37BF9">
            <w:pPr>
              <w:pStyle w:val="P68B1DB1-Normal11"/>
              <w:spacing w:line="276" w:lineRule="auto"/>
              <w:jc w:val="center"/>
              <w:rPr>
                <w:noProof/>
                <w:szCs w:val="20"/>
                <w:lang w:val="de-DE"/>
              </w:rPr>
            </w:pPr>
            <w:r w:rsidRPr="00170422">
              <w:rPr>
                <w:noProof/>
                <w:lang w:val="de-DE"/>
              </w:rPr>
              <w:t>M2C4-24</w:t>
            </w:r>
          </w:p>
        </w:tc>
        <w:tc>
          <w:tcPr>
            <w:tcW w:w="1699" w:type="dxa"/>
            <w:shd w:val="clear" w:color="auto" w:fill="C6EFCE"/>
            <w:noWrap/>
            <w:vAlign w:val="center"/>
            <w:hideMark/>
          </w:tcPr>
          <w:p w14:paraId="0E2AE85E"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3.4. Sanierung von </w:t>
            </w:r>
            <w:r w:rsidRPr="00170422">
              <w:rPr>
                <w:noProof/>
                <w:lang w:val="de-DE"/>
              </w:rPr>
              <w:t>„Orphan-Standorten“</w:t>
            </w:r>
          </w:p>
        </w:tc>
        <w:tc>
          <w:tcPr>
            <w:tcW w:w="1419" w:type="dxa"/>
            <w:shd w:val="clear" w:color="auto" w:fill="C6EFCE"/>
            <w:noWrap/>
            <w:vAlign w:val="center"/>
            <w:hideMark/>
          </w:tcPr>
          <w:p w14:paraId="1F2110BA"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528B7A59" w14:textId="77777777" w:rsidR="0057163C" w:rsidRPr="00170422" w:rsidRDefault="00F37BF9">
            <w:pPr>
              <w:pStyle w:val="P68B1DB1-Normal11"/>
              <w:spacing w:line="276" w:lineRule="auto"/>
              <w:jc w:val="center"/>
              <w:rPr>
                <w:noProof/>
                <w:szCs w:val="20"/>
                <w:lang w:val="de-DE"/>
              </w:rPr>
            </w:pPr>
            <w:r w:rsidRPr="00170422">
              <w:rPr>
                <w:noProof/>
                <w:lang w:val="de-DE"/>
              </w:rPr>
              <w:t>Rechtsrahmen für die Sanierung verwaister Stätten</w:t>
            </w:r>
          </w:p>
        </w:tc>
        <w:tc>
          <w:tcPr>
            <w:tcW w:w="1284" w:type="dxa"/>
            <w:shd w:val="clear" w:color="auto" w:fill="C6EFCE"/>
            <w:noWrap/>
            <w:vAlign w:val="center"/>
            <w:hideMark/>
          </w:tcPr>
          <w:p w14:paraId="4BE18CCF" w14:textId="77777777" w:rsidR="0057163C" w:rsidRPr="00170422" w:rsidRDefault="00F37BF9">
            <w:pPr>
              <w:pStyle w:val="P68B1DB1-Normal11"/>
              <w:spacing w:line="276" w:lineRule="auto"/>
              <w:jc w:val="center"/>
              <w:rPr>
                <w:noProof/>
                <w:szCs w:val="20"/>
                <w:lang w:val="de-DE"/>
              </w:rPr>
            </w:pPr>
            <w:r w:rsidRPr="00170422">
              <w:rPr>
                <w:noProof/>
                <w:lang w:val="de-DE"/>
              </w:rPr>
              <w:t>Bestimmung in der einschlägigen Rechtsvorschrift, die auf die Annahme des Aktionsplans hinweist</w:t>
            </w:r>
          </w:p>
        </w:tc>
        <w:tc>
          <w:tcPr>
            <w:tcW w:w="1134" w:type="dxa"/>
            <w:shd w:val="clear" w:color="auto" w:fill="C6EFCE"/>
            <w:noWrap/>
            <w:vAlign w:val="center"/>
            <w:hideMark/>
          </w:tcPr>
          <w:p w14:paraId="26E3D14B"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0CE0F9E6"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2DDFA34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7786BF04"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075AE475"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867" w:type="dxa"/>
            <w:shd w:val="clear" w:color="auto" w:fill="C6EFCE"/>
            <w:noWrap/>
            <w:vAlign w:val="center"/>
            <w:hideMark/>
          </w:tcPr>
          <w:p w14:paraId="44FB147A" w14:textId="77777777" w:rsidR="0057163C" w:rsidRPr="00170422" w:rsidRDefault="00F37BF9">
            <w:pPr>
              <w:pStyle w:val="P68B1DB1-Normal11"/>
              <w:spacing w:line="276" w:lineRule="auto"/>
              <w:rPr>
                <w:noProof/>
                <w:szCs w:val="20"/>
                <w:lang w:val="de-DE"/>
              </w:rPr>
            </w:pPr>
            <w:r w:rsidRPr="00170422">
              <w:rPr>
                <w:noProof/>
                <w:lang w:val="de-DE"/>
              </w:rPr>
              <w:t xml:space="preserve">Der Aktionsplan zur </w:t>
            </w:r>
            <w:r w:rsidRPr="00170422">
              <w:rPr>
                <w:noProof/>
                <w:lang w:val="de-DE"/>
              </w:rPr>
              <w:t>Wiederbelebung verwaister Stätten soll den Flächenverbrauch verringern und die Stadterneuerung fördern. Das Aufforderungsschreiben muss mindestens enthalten:</w:t>
            </w:r>
          </w:p>
          <w:p w14:paraId="6F4D5A18" w14:textId="77777777" w:rsidR="0057163C" w:rsidRPr="00170422" w:rsidRDefault="00F37BF9">
            <w:pPr>
              <w:pStyle w:val="P68B1DB1-ListParagraph15"/>
              <w:numPr>
                <w:ilvl w:val="0"/>
                <w:numId w:val="27"/>
              </w:numPr>
              <w:spacing w:after="0" w:line="276" w:lineRule="auto"/>
              <w:ind w:left="305"/>
              <w:rPr>
                <w:noProof/>
                <w:szCs w:val="20"/>
                <w:lang w:val="de-DE"/>
              </w:rPr>
            </w:pPr>
            <w:r w:rsidRPr="00170422">
              <w:rPr>
                <w:noProof/>
                <w:lang w:val="de-DE"/>
              </w:rPr>
              <w:t>Ermittlung verwaister Stätten in allen 21 Regionen und/oder Autonomen Provinzen</w:t>
            </w:r>
          </w:p>
          <w:p w14:paraId="05863964" w14:textId="77777777" w:rsidR="0057163C" w:rsidRPr="00170422" w:rsidRDefault="00F37BF9">
            <w:pPr>
              <w:pStyle w:val="P68B1DB1-ListParagraph15"/>
              <w:numPr>
                <w:ilvl w:val="0"/>
                <w:numId w:val="27"/>
              </w:numPr>
              <w:spacing w:after="0" w:line="276" w:lineRule="auto"/>
              <w:ind w:left="305"/>
              <w:rPr>
                <w:noProof/>
                <w:szCs w:val="20"/>
                <w:lang w:val="de-DE"/>
              </w:rPr>
            </w:pPr>
            <w:r w:rsidRPr="00170422">
              <w:rPr>
                <w:noProof/>
                <w:lang w:val="de-DE"/>
              </w:rPr>
              <w:t>Die spezifischen M</w:t>
            </w:r>
            <w:r w:rsidRPr="00170422">
              <w:rPr>
                <w:noProof/>
                <w:lang w:val="de-DE"/>
              </w:rPr>
              <w:t>aßnahmen, die in jedem verwaisten Gebiet zu ergreifen sind, um den Flächenverbrauch zu verringern und die Stadterneuerung zu fördern;</w:t>
            </w:r>
          </w:p>
        </w:tc>
      </w:tr>
      <w:tr w:rsidR="00110887" w:rsidRPr="00170422" w14:paraId="527B821A" w14:textId="77777777" w:rsidTr="00110887">
        <w:trPr>
          <w:trHeight w:val="300"/>
        </w:trPr>
        <w:tc>
          <w:tcPr>
            <w:tcW w:w="959" w:type="dxa"/>
            <w:shd w:val="clear" w:color="auto" w:fill="C6EFCE"/>
            <w:noWrap/>
            <w:vAlign w:val="center"/>
            <w:hideMark/>
          </w:tcPr>
          <w:p w14:paraId="074FB1A1" w14:textId="77777777" w:rsidR="0057163C" w:rsidRPr="00170422" w:rsidRDefault="00F37BF9">
            <w:pPr>
              <w:pStyle w:val="P68B1DB1-Normal12"/>
              <w:spacing w:line="276" w:lineRule="auto"/>
              <w:jc w:val="center"/>
              <w:rPr>
                <w:noProof/>
                <w:lang w:val="de-DE"/>
              </w:rPr>
            </w:pPr>
            <w:r w:rsidRPr="00170422">
              <w:rPr>
                <w:noProof/>
                <w:lang w:val="de-DE"/>
              </w:rPr>
              <w:t>M2C4-25</w:t>
            </w:r>
          </w:p>
        </w:tc>
        <w:tc>
          <w:tcPr>
            <w:tcW w:w="1699" w:type="dxa"/>
            <w:shd w:val="clear" w:color="auto" w:fill="C6EFCE"/>
            <w:noWrap/>
            <w:vAlign w:val="center"/>
            <w:hideMark/>
          </w:tcPr>
          <w:p w14:paraId="175E2CA8" w14:textId="77777777" w:rsidR="0057163C" w:rsidRPr="00170422" w:rsidRDefault="00F37BF9">
            <w:pPr>
              <w:pStyle w:val="P68B1DB1-Normal11"/>
              <w:spacing w:line="276" w:lineRule="auto"/>
              <w:jc w:val="center"/>
              <w:rPr>
                <w:noProof/>
                <w:szCs w:val="20"/>
                <w:lang w:val="de-DE"/>
              </w:rPr>
            </w:pPr>
            <w:r w:rsidRPr="00170422">
              <w:rPr>
                <w:noProof/>
                <w:lang w:val="de-DE"/>
              </w:rPr>
              <w:t>Investition 3.4. Sanierung von „Orphan-Standorten“</w:t>
            </w:r>
          </w:p>
        </w:tc>
        <w:tc>
          <w:tcPr>
            <w:tcW w:w="1419" w:type="dxa"/>
            <w:shd w:val="clear" w:color="auto" w:fill="C6EFCE"/>
            <w:noWrap/>
            <w:vAlign w:val="center"/>
            <w:hideMark/>
          </w:tcPr>
          <w:p w14:paraId="12E3E13B"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4B4450C0" w14:textId="12AC963B" w:rsidR="0057163C" w:rsidRPr="00170422" w:rsidRDefault="00F37BF9">
            <w:pPr>
              <w:pStyle w:val="P68B1DB1-Normal11"/>
              <w:spacing w:line="276" w:lineRule="auto"/>
              <w:jc w:val="center"/>
              <w:rPr>
                <w:noProof/>
                <w:szCs w:val="20"/>
                <w:lang w:val="de-DE"/>
              </w:rPr>
            </w:pPr>
            <w:r w:rsidRPr="00170422">
              <w:rPr>
                <w:noProof/>
                <w:lang w:val="de-DE"/>
              </w:rPr>
              <w:t>Wiederbelebung verwaister Stätten</w:t>
            </w:r>
          </w:p>
        </w:tc>
        <w:tc>
          <w:tcPr>
            <w:tcW w:w="1284" w:type="dxa"/>
            <w:shd w:val="clear" w:color="auto" w:fill="C6EFCE"/>
            <w:noWrap/>
            <w:vAlign w:val="center"/>
            <w:hideMark/>
          </w:tcPr>
          <w:p w14:paraId="16DAB80F"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1134" w:type="dxa"/>
            <w:shd w:val="clear" w:color="auto" w:fill="C6EFCE"/>
            <w:noWrap/>
            <w:vAlign w:val="center"/>
            <w:hideMark/>
          </w:tcPr>
          <w:p w14:paraId="5FD3D6E9" w14:textId="77777777" w:rsidR="0057163C" w:rsidRPr="00170422" w:rsidRDefault="00F37BF9">
            <w:pPr>
              <w:pStyle w:val="P68B1DB1-Normal11"/>
              <w:spacing w:line="276" w:lineRule="auto"/>
              <w:jc w:val="center"/>
              <w:rPr>
                <w:noProof/>
                <w:szCs w:val="20"/>
                <w:lang w:val="de-DE"/>
              </w:rPr>
            </w:pPr>
            <w:r w:rsidRPr="00170422">
              <w:rPr>
                <w:noProof/>
                <w:lang w:val="de-DE"/>
              </w:rPr>
              <w:t>Prozentuale</w:t>
            </w:r>
          </w:p>
        </w:tc>
        <w:tc>
          <w:tcPr>
            <w:tcW w:w="1417" w:type="dxa"/>
            <w:shd w:val="clear" w:color="auto" w:fill="C6EFCE"/>
            <w:noWrap/>
            <w:vAlign w:val="center"/>
            <w:hideMark/>
          </w:tcPr>
          <w:p w14:paraId="5CE8A313"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shd w:val="clear" w:color="auto" w:fill="C6EFCE"/>
            <w:noWrap/>
            <w:vAlign w:val="center"/>
            <w:hideMark/>
          </w:tcPr>
          <w:p w14:paraId="63C50876" w14:textId="77777777" w:rsidR="0057163C" w:rsidRPr="00170422" w:rsidRDefault="00F37BF9">
            <w:pPr>
              <w:pStyle w:val="P68B1DB1-Normal11"/>
              <w:spacing w:line="276" w:lineRule="auto"/>
              <w:jc w:val="center"/>
              <w:rPr>
                <w:noProof/>
                <w:szCs w:val="20"/>
                <w:lang w:val="de-DE"/>
              </w:rPr>
            </w:pPr>
            <w:r w:rsidRPr="00170422">
              <w:rPr>
                <w:noProof/>
                <w:lang w:val="de-DE"/>
              </w:rPr>
              <w:t>70</w:t>
            </w:r>
          </w:p>
        </w:tc>
        <w:tc>
          <w:tcPr>
            <w:tcW w:w="851" w:type="dxa"/>
            <w:shd w:val="clear" w:color="auto" w:fill="C6EFCE"/>
            <w:noWrap/>
            <w:vAlign w:val="center"/>
            <w:hideMark/>
          </w:tcPr>
          <w:p w14:paraId="18E27AAD"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709" w:type="dxa"/>
            <w:shd w:val="clear" w:color="auto" w:fill="C6EFCE"/>
            <w:noWrap/>
            <w:vAlign w:val="center"/>
            <w:hideMark/>
          </w:tcPr>
          <w:p w14:paraId="4388F03A"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shd w:val="clear" w:color="auto" w:fill="C6EFCE"/>
            <w:noWrap/>
            <w:vAlign w:val="center"/>
            <w:hideMark/>
          </w:tcPr>
          <w:p w14:paraId="7774AF71" w14:textId="092C81B9" w:rsidR="0057163C" w:rsidRPr="00170422" w:rsidRDefault="00F37BF9">
            <w:pPr>
              <w:pStyle w:val="P68B1DB1-Normal11"/>
              <w:spacing w:line="276" w:lineRule="auto"/>
              <w:rPr>
                <w:noProof/>
                <w:szCs w:val="20"/>
                <w:lang w:val="de-DE"/>
              </w:rPr>
            </w:pPr>
            <w:r w:rsidRPr="00170422">
              <w:rPr>
                <w:noProof/>
                <w:lang w:val="de-DE"/>
              </w:rPr>
              <w:t>Bescheinigungen über die Bodensanierung (gemäß Artikel 5 Komma 3 des Aktionsplans), die für 70 % der im Aktionsplan aufgeführten verwaisten Stätten ausgestellt wurden.</w:t>
            </w:r>
          </w:p>
        </w:tc>
      </w:tr>
      <w:tr w:rsidR="00110887" w:rsidRPr="00170422" w14:paraId="1B5C7512" w14:textId="77777777" w:rsidTr="00110887">
        <w:trPr>
          <w:trHeight w:val="300"/>
        </w:trPr>
        <w:tc>
          <w:tcPr>
            <w:tcW w:w="959" w:type="dxa"/>
            <w:shd w:val="clear" w:color="auto" w:fill="C6EFCE"/>
            <w:noWrap/>
            <w:vAlign w:val="center"/>
            <w:hideMark/>
          </w:tcPr>
          <w:p w14:paraId="673B099E" w14:textId="77777777" w:rsidR="0057163C" w:rsidRPr="00170422" w:rsidRDefault="00F37BF9">
            <w:pPr>
              <w:pStyle w:val="P68B1DB1-Normal11"/>
              <w:spacing w:line="276" w:lineRule="auto"/>
              <w:jc w:val="center"/>
              <w:rPr>
                <w:noProof/>
                <w:szCs w:val="20"/>
                <w:lang w:val="de-DE"/>
              </w:rPr>
            </w:pPr>
            <w:r w:rsidRPr="00170422">
              <w:rPr>
                <w:noProof/>
                <w:lang w:val="de-DE"/>
              </w:rPr>
              <w:t>M2C4-26</w:t>
            </w:r>
          </w:p>
        </w:tc>
        <w:tc>
          <w:tcPr>
            <w:tcW w:w="1699" w:type="dxa"/>
            <w:shd w:val="clear" w:color="auto" w:fill="C6EFCE"/>
            <w:noWrap/>
            <w:vAlign w:val="center"/>
            <w:hideMark/>
          </w:tcPr>
          <w:p w14:paraId="5EECDAFF"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3.5. Wiederherstellung und Schutz des Meeresbodens und </w:t>
            </w:r>
            <w:r w:rsidRPr="00170422">
              <w:rPr>
                <w:noProof/>
                <w:lang w:val="de-DE"/>
              </w:rPr>
              <w:t>der marinen Lebensräume</w:t>
            </w:r>
          </w:p>
        </w:tc>
        <w:tc>
          <w:tcPr>
            <w:tcW w:w="1419" w:type="dxa"/>
            <w:shd w:val="clear" w:color="auto" w:fill="C6EFCE"/>
            <w:noWrap/>
            <w:vAlign w:val="center"/>
            <w:hideMark/>
          </w:tcPr>
          <w:p w14:paraId="3F9A585B"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1F3C6E3B" w14:textId="77777777" w:rsidR="0057163C" w:rsidRPr="00170422" w:rsidRDefault="00F37BF9">
            <w:pPr>
              <w:pStyle w:val="P68B1DB1-Normal11"/>
              <w:spacing w:line="276" w:lineRule="auto"/>
              <w:jc w:val="center"/>
              <w:rPr>
                <w:noProof/>
                <w:szCs w:val="20"/>
                <w:lang w:val="de-DE"/>
              </w:rPr>
            </w:pPr>
            <w:r w:rsidRPr="00170422">
              <w:rPr>
                <w:noProof/>
                <w:lang w:val="de-DE"/>
              </w:rPr>
              <w:t>Wiederherstellung und Schutz des Meeresbodens und der marinen Lebensräume</w:t>
            </w:r>
          </w:p>
        </w:tc>
        <w:tc>
          <w:tcPr>
            <w:tcW w:w="1284" w:type="dxa"/>
            <w:shd w:val="clear" w:color="auto" w:fill="C6EFCE"/>
            <w:noWrap/>
            <w:vAlign w:val="center"/>
            <w:hideMark/>
          </w:tcPr>
          <w:p w14:paraId="6C5D98BC"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5DB95330"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29B9520C"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shd w:val="clear" w:color="auto" w:fill="C6EFCE"/>
            <w:noWrap/>
            <w:vAlign w:val="center"/>
            <w:hideMark/>
          </w:tcPr>
          <w:p w14:paraId="458D68A1" w14:textId="020C0BD6" w:rsidR="0057163C" w:rsidRPr="00170422" w:rsidRDefault="00F37BF9">
            <w:pPr>
              <w:pStyle w:val="P68B1DB1-Normal11"/>
              <w:spacing w:line="276" w:lineRule="auto"/>
              <w:jc w:val="center"/>
              <w:rPr>
                <w:noProof/>
                <w:szCs w:val="20"/>
                <w:lang w:val="de-DE"/>
              </w:rPr>
            </w:pPr>
            <w:r w:rsidRPr="00170422">
              <w:rPr>
                <w:noProof/>
                <w:lang w:val="de-DE"/>
              </w:rPr>
              <w:t>10</w:t>
            </w:r>
          </w:p>
        </w:tc>
        <w:tc>
          <w:tcPr>
            <w:tcW w:w="851" w:type="dxa"/>
            <w:shd w:val="clear" w:color="auto" w:fill="C6EFCE"/>
            <w:noWrap/>
            <w:vAlign w:val="center"/>
            <w:hideMark/>
          </w:tcPr>
          <w:p w14:paraId="5CF3D342"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9" w:type="dxa"/>
            <w:shd w:val="clear" w:color="auto" w:fill="C6EFCE"/>
            <w:noWrap/>
            <w:vAlign w:val="center"/>
            <w:hideMark/>
          </w:tcPr>
          <w:p w14:paraId="10FC84F7" w14:textId="77777777" w:rsidR="0057163C" w:rsidRPr="00170422" w:rsidRDefault="00F37BF9">
            <w:pPr>
              <w:pStyle w:val="P68B1DB1-Normal11"/>
              <w:spacing w:line="276" w:lineRule="auto"/>
              <w:jc w:val="center"/>
              <w:rPr>
                <w:noProof/>
                <w:szCs w:val="20"/>
                <w:lang w:val="de-DE"/>
              </w:rPr>
            </w:pPr>
            <w:r w:rsidRPr="00170422">
              <w:rPr>
                <w:noProof/>
                <w:lang w:val="de-DE"/>
              </w:rPr>
              <w:t>2025</w:t>
            </w:r>
          </w:p>
        </w:tc>
        <w:tc>
          <w:tcPr>
            <w:tcW w:w="2867" w:type="dxa"/>
            <w:shd w:val="clear" w:color="auto" w:fill="C6EFCE"/>
            <w:noWrap/>
            <w:vAlign w:val="center"/>
            <w:hideMark/>
          </w:tcPr>
          <w:p w14:paraId="55AA2B60" w14:textId="77777777" w:rsidR="0057163C" w:rsidRPr="00170422" w:rsidRDefault="00F37BF9">
            <w:pPr>
              <w:pStyle w:val="P68B1DB1-Normal12"/>
              <w:spacing w:line="276" w:lineRule="auto"/>
              <w:rPr>
                <w:noProof/>
                <w:lang w:val="de-DE"/>
              </w:rPr>
            </w:pPr>
            <w:r w:rsidRPr="00170422">
              <w:rPr>
                <w:noProof/>
                <w:lang w:val="de-DE"/>
              </w:rPr>
              <w:t xml:space="preserve">Die folgenden 10 Maßnahmen wurden durchgeführt: </w:t>
            </w:r>
          </w:p>
          <w:p w14:paraId="7C4EF0D7" w14:textId="78143F30" w:rsidR="0057163C" w:rsidRPr="00170422" w:rsidRDefault="00F37BF9">
            <w:pPr>
              <w:pStyle w:val="P68B1DB1-Normal12"/>
              <w:numPr>
                <w:ilvl w:val="0"/>
                <w:numId w:val="174"/>
              </w:numPr>
              <w:spacing w:line="276" w:lineRule="auto"/>
              <w:rPr>
                <w:noProof/>
                <w:lang w:val="de-DE"/>
              </w:rPr>
            </w:pPr>
            <w:r w:rsidRPr="00170422">
              <w:rPr>
                <w:noProof/>
                <w:lang w:val="de-DE"/>
              </w:rPr>
              <w:t xml:space="preserve">Austernsanierungsstätten wurden in mindestens einem Standort für jede der </w:t>
            </w:r>
            <w:r w:rsidRPr="00170422">
              <w:rPr>
                <w:noProof/>
                <w:lang w:val="de-DE"/>
              </w:rPr>
              <w:t>folgenden Regionen eingerichtet:  Friaul-Julisch Venetien und Emilia-Romagna;</w:t>
            </w:r>
          </w:p>
          <w:p w14:paraId="7B7A68AE" w14:textId="7368140D" w:rsidR="0057163C" w:rsidRPr="00170422" w:rsidRDefault="00F37BF9">
            <w:pPr>
              <w:pStyle w:val="P68B1DB1-Normal12"/>
              <w:numPr>
                <w:ilvl w:val="0"/>
                <w:numId w:val="174"/>
              </w:numPr>
              <w:spacing w:line="276" w:lineRule="auto"/>
              <w:rPr>
                <w:noProof/>
                <w:lang w:val="de-DE"/>
              </w:rPr>
            </w:pPr>
            <w:r w:rsidRPr="00170422">
              <w:rPr>
                <w:noProof/>
                <w:lang w:val="de-DE"/>
              </w:rPr>
              <w:t>Der Meeresboden und die Meeresvegetation wurden an mindestens einem Standort für jede der folgenden Regionen angepflanzt:   Latium, Kampanien, Kalabrien, Sicilia;</w:t>
            </w:r>
          </w:p>
          <w:p w14:paraId="220ECFBA" w14:textId="77777777" w:rsidR="0057163C" w:rsidRPr="00170422" w:rsidRDefault="00F37BF9">
            <w:pPr>
              <w:pStyle w:val="P68B1DB1-Normal12"/>
              <w:numPr>
                <w:ilvl w:val="0"/>
                <w:numId w:val="174"/>
              </w:numPr>
              <w:spacing w:line="276" w:lineRule="auto"/>
              <w:rPr>
                <w:noProof/>
                <w:lang w:val="de-DE"/>
              </w:rPr>
            </w:pPr>
            <w:r w:rsidRPr="00170422">
              <w:rPr>
                <w:noProof/>
                <w:lang w:val="de-DE"/>
              </w:rPr>
              <w:t>In den Gebieten</w:t>
            </w:r>
            <w:r w:rsidRPr="00170422">
              <w:rPr>
                <w:noProof/>
                <w:lang w:val="de-DE"/>
              </w:rPr>
              <w:t xml:space="preserve"> des westlichen, zentralen und südlichen Mittelmeerraums wurden mit Bojen ausgestattete Festmacherfelder installiert;</w:t>
            </w:r>
          </w:p>
          <w:p w14:paraId="2D43D76E" w14:textId="3C943F42" w:rsidR="0057163C" w:rsidRPr="00170422" w:rsidRDefault="00F37BF9">
            <w:pPr>
              <w:pStyle w:val="P68B1DB1-Normal12"/>
              <w:numPr>
                <w:ilvl w:val="0"/>
                <w:numId w:val="174"/>
              </w:numPr>
              <w:spacing w:line="276" w:lineRule="auto"/>
              <w:rPr>
                <w:noProof/>
                <w:lang w:val="de-DE"/>
              </w:rPr>
            </w:pPr>
            <w:r w:rsidRPr="00170422">
              <w:rPr>
                <w:noProof/>
                <w:lang w:val="de-DE"/>
              </w:rPr>
              <w:t>In insgesamt mindestens 15 Stätten in Sizilien, Kampanien, Latium, Apulien, Marken und der Emilia-Romagna wurden Gehostnetze entfernt;</w:t>
            </w:r>
          </w:p>
          <w:p w14:paraId="1EAC6E08" w14:textId="54CFFFEC" w:rsidR="0057163C" w:rsidRPr="00170422" w:rsidRDefault="00F37BF9">
            <w:pPr>
              <w:pStyle w:val="P68B1DB1-Normal12"/>
              <w:numPr>
                <w:ilvl w:val="0"/>
                <w:numId w:val="174"/>
              </w:numPr>
              <w:spacing w:line="276" w:lineRule="auto"/>
              <w:rPr>
                <w:noProof/>
                <w:lang w:val="de-DE"/>
              </w:rPr>
            </w:pPr>
            <w:r w:rsidRPr="00170422">
              <w:rPr>
                <w:noProof/>
                <w:lang w:val="de-DE"/>
              </w:rPr>
              <w:t>Küs</w:t>
            </w:r>
            <w:r w:rsidRPr="00170422">
              <w:rPr>
                <w:noProof/>
                <w:lang w:val="de-DE"/>
              </w:rPr>
              <w:t>tenradialstationen an mindestens neun Standorten gewartet oder installiert oder mit Software ausgestattet wurden und eine mobile ozeanografische Forschungseinheit erworben wurde;</w:t>
            </w:r>
          </w:p>
          <w:p w14:paraId="5805DEEE" w14:textId="602D454C" w:rsidR="0057163C" w:rsidRPr="00170422" w:rsidRDefault="00F37BF9">
            <w:pPr>
              <w:pStyle w:val="P68B1DB1-Normal12"/>
              <w:numPr>
                <w:ilvl w:val="0"/>
                <w:numId w:val="174"/>
              </w:numPr>
              <w:spacing w:line="276" w:lineRule="auto"/>
              <w:rPr>
                <w:noProof/>
                <w:lang w:val="de-DE"/>
              </w:rPr>
            </w:pPr>
            <w:r w:rsidRPr="00170422">
              <w:rPr>
                <w:noProof/>
                <w:lang w:val="de-DE"/>
              </w:rPr>
              <w:t>Es wurden mindestens 12 Wellenmessbojen gestartet;</w:t>
            </w:r>
          </w:p>
          <w:p w14:paraId="5AC6A412" w14:textId="77777777" w:rsidR="0057163C" w:rsidRPr="00170422" w:rsidRDefault="00F37BF9">
            <w:pPr>
              <w:pStyle w:val="P68B1DB1-ListParagraph13"/>
              <w:numPr>
                <w:ilvl w:val="0"/>
                <w:numId w:val="174"/>
              </w:numPr>
              <w:rPr>
                <w:noProof/>
                <w:lang w:val="de-DE"/>
              </w:rPr>
            </w:pPr>
            <w:r w:rsidRPr="00170422">
              <w:rPr>
                <w:noProof/>
                <w:lang w:val="de-DE"/>
              </w:rPr>
              <w:t>Die Wartung oder Installat</w:t>
            </w:r>
            <w:r w:rsidRPr="00170422">
              <w:rPr>
                <w:noProof/>
                <w:lang w:val="de-DE"/>
              </w:rPr>
              <w:t>ion neuer Sensoren an mindestens 25 Spurweite-Netzstationen erfolgt ist;</w:t>
            </w:r>
          </w:p>
          <w:p w14:paraId="7FB9AE5A" w14:textId="15908631" w:rsidR="0057163C" w:rsidRPr="00170422" w:rsidRDefault="00F37BF9">
            <w:pPr>
              <w:pStyle w:val="P68B1DB1-ListParagraph13"/>
              <w:numPr>
                <w:ilvl w:val="0"/>
                <w:numId w:val="174"/>
              </w:numPr>
              <w:rPr>
                <w:noProof/>
                <w:lang w:val="de-DE"/>
              </w:rPr>
            </w:pPr>
            <w:r w:rsidRPr="00170422">
              <w:rPr>
                <w:noProof/>
                <w:lang w:val="de-DE"/>
              </w:rPr>
              <w:t>Einrichtung von mindestens drei neuen Meereswetterstationen und Wartung von mindestens 25 Seewetterstationen im Gebiet von Venedig;</w:t>
            </w:r>
          </w:p>
          <w:p w14:paraId="4F5FC07C" w14:textId="77777777" w:rsidR="0057163C" w:rsidRPr="00170422" w:rsidRDefault="00F37BF9">
            <w:pPr>
              <w:pStyle w:val="P68B1DB1-Normal12"/>
              <w:numPr>
                <w:ilvl w:val="0"/>
                <w:numId w:val="174"/>
              </w:numPr>
              <w:spacing w:line="276" w:lineRule="auto"/>
              <w:rPr>
                <w:noProof/>
                <w:lang w:val="de-DE"/>
              </w:rPr>
            </w:pPr>
            <w:r w:rsidRPr="00170422">
              <w:rPr>
                <w:noProof/>
                <w:lang w:val="de-DE"/>
              </w:rPr>
              <w:t>Es wurden mindestens zehn feste Stationen zur konti</w:t>
            </w:r>
            <w:r w:rsidRPr="00170422">
              <w:rPr>
                <w:noProof/>
                <w:lang w:val="de-DE"/>
              </w:rPr>
              <w:t>nuierlichen Überwachung chemisch-physikalischer und trophischer Parameter in Lagunen installiert;</w:t>
            </w:r>
          </w:p>
          <w:p w14:paraId="27682320" w14:textId="05B89749" w:rsidR="0057163C" w:rsidRPr="00170422" w:rsidRDefault="00F37BF9">
            <w:pPr>
              <w:pStyle w:val="P68B1DB1-Normal12"/>
              <w:numPr>
                <w:ilvl w:val="0"/>
                <w:numId w:val="174"/>
              </w:numPr>
              <w:spacing w:line="276" w:lineRule="auto"/>
              <w:rPr>
                <w:noProof/>
                <w:lang w:val="de-DE"/>
              </w:rPr>
            </w:pPr>
            <w:r w:rsidRPr="00170422">
              <w:rPr>
                <w:noProof/>
                <w:lang w:val="de-DE"/>
              </w:rPr>
              <w:t xml:space="preserve">Mindestens fünf Beobachtungssoftwaresysteme für die Überwachung von Meeres- und Küstenlebensräumen haben Daten generiert. </w:t>
            </w:r>
          </w:p>
          <w:p w14:paraId="4285A01E" w14:textId="0C0ABF11" w:rsidR="0057163C" w:rsidRPr="00170422" w:rsidRDefault="00F37BF9">
            <w:pPr>
              <w:pStyle w:val="P68B1DB1-Normal12"/>
              <w:spacing w:line="276" w:lineRule="auto"/>
              <w:rPr>
                <w:noProof/>
                <w:lang w:val="de-DE"/>
              </w:rPr>
            </w:pPr>
            <w:r w:rsidRPr="00170422">
              <w:rPr>
                <w:noProof/>
                <w:lang w:val="de-DE"/>
              </w:rPr>
              <w:t>Der Erwerb von Schiffen oder Schiff</w:t>
            </w:r>
            <w:r w:rsidRPr="00170422">
              <w:rPr>
                <w:noProof/>
                <w:lang w:val="de-DE"/>
              </w:rPr>
              <w:t>en muss die beste verfügbare Technologie mit den geringsten Umweltauswirkungen in dem Sektor sein.</w:t>
            </w:r>
          </w:p>
        </w:tc>
      </w:tr>
      <w:tr w:rsidR="00110887" w:rsidRPr="00170422" w14:paraId="1B5A200B" w14:textId="77777777" w:rsidTr="00110887">
        <w:trPr>
          <w:trHeight w:val="300"/>
        </w:trPr>
        <w:tc>
          <w:tcPr>
            <w:tcW w:w="959" w:type="dxa"/>
            <w:shd w:val="clear" w:color="auto" w:fill="C6EFCE"/>
            <w:noWrap/>
            <w:vAlign w:val="center"/>
            <w:hideMark/>
          </w:tcPr>
          <w:p w14:paraId="4503E2AB" w14:textId="77777777" w:rsidR="0057163C" w:rsidRPr="00170422" w:rsidRDefault="00F37BF9">
            <w:pPr>
              <w:pStyle w:val="P68B1DB1-Normal11"/>
              <w:spacing w:line="276" w:lineRule="auto"/>
              <w:jc w:val="center"/>
              <w:rPr>
                <w:noProof/>
                <w:szCs w:val="20"/>
                <w:lang w:val="de-DE"/>
              </w:rPr>
            </w:pPr>
            <w:r w:rsidRPr="00170422">
              <w:rPr>
                <w:noProof/>
                <w:lang w:val="de-DE"/>
              </w:rPr>
              <w:t>M2C4-27</w:t>
            </w:r>
          </w:p>
        </w:tc>
        <w:tc>
          <w:tcPr>
            <w:tcW w:w="1699" w:type="dxa"/>
            <w:shd w:val="clear" w:color="auto" w:fill="C6EFCE"/>
            <w:noWrap/>
            <w:vAlign w:val="center"/>
            <w:hideMark/>
          </w:tcPr>
          <w:p w14:paraId="411B9DA0" w14:textId="77777777" w:rsidR="0057163C" w:rsidRPr="00170422" w:rsidRDefault="00F37BF9">
            <w:pPr>
              <w:pStyle w:val="P68B1DB1-Normal11"/>
              <w:spacing w:line="276" w:lineRule="auto"/>
              <w:jc w:val="center"/>
              <w:rPr>
                <w:noProof/>
                <w:szCs w:val="20"/>
                <w:lang w:val="de-DE"/>
              </w:rPr>
            </w:pPr>
            <w:r w:rsidRPr="00170422">
              <w:rPr>
                <w:noProof/>
                <w:lang w:val="de-DE"/>
              </w:rPr>
              <w:t xml:space="preserve">Reform 4.1. Vereinfachung der Rechtsvorschriften und Stärkung der Governance für die Durchführung von Investitionen in die </w:t>
            </w:r>
            <w:r w:rsidRPr="00170422">
              <w:rPr>
                <w:noProof/>
                <w:lang w:val="de-DE"/>
              </w:rPr>
              <w:t>Wasserversorgungsinfrastrukturen</w:t>
            </w:r>
          </w:p>
        </w:tc>
        <w:tc>
          <w:tcPr>
            <w:tcW w:w="1419" w:type="dxa"/>
            <w:shd w:val="clear" w:color="auto" w:fill="C6EFCE"/>
            <w:noWrap/>
            <w:vAlign w:val="center"/>
            <w:hideMark/>
          </w:tcPr>
          <w:p w14:paraId="5B7AE55B"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14BDB2EC" w14:textId="77777777" w:rsidR="0057163C" w:rsidRPr="00170422" w:rsidRDefault="00F37BF9">
            <w:pPr>
              <w:pStyle w:val="P68B1DB1-Normal11"/>
              <w:spacing w:line="276" w:lineRule="auto"/>
              <w:jc w:val="center"/>
              <w:rPr>
                <w:noProof/>
                <w:szCs w:val="20"/>
                <w:lang w:val="de-DE"/>
              </w:rPr>
            </w:pPr>
            <w:r w:rsidRPr="00170422">
              <w:rPr>
                <w:noProof/>
                <w:lang w:val="de-DE"/>
              </w:rPr>
              <w:t>Inkrafttreten der Vereinfachung der Rechtsvorschriften für Maßnahmen in der Primärwasserinfrastruktur zur Sicherung der Wasserversorgung</w:t>
            </w:r>
          </w:p>
        </w:tc>
        <w:tc>
          <w:tcPr>
            <w:tcW w:w="1284" w:type="dxa"/>
            <w:shd w:val="clear" w:color="auto" w:fill="C6EFCE"/>
            <w:noWrap/>
            <w:vAlign w:val="center"/>
            <w:hideMark/>
          </w:tcPr>
          <w:p w14:paraId="4C85B990" w14:textId="166E7E80" w:rsidR="0057163C" w:rsidRPr="00170422" w:rsidRDefault="00F37BF9">
            <w:pPr>
              <w:pStyle w:val="P68B1DB1-Normal11"/>
              <w:spacing w:line="276" w:lineRule="auto"/>
              <w:jc w:val="center"/>
              <w:rPr>
                <w:noProof/>
                <w:szCs w:val="20"/>
                <w:lang w:val="de-DE"/>
              </w:rPr>
            </w:pPr>
            <w:r w:rsidRPr="00170422">
              <w:rPr>
                <w:noProof/>
                <w:lang w:val="de-DE"/>
              </w:rPr>
              <w:t>Bestimmung(en) in der/den betreffenden Rechtsvorschrift(en), aus der/denen</w:t>
            </w:r>
            <w:r w:rsidRPr="00170422">
              <w:rPr>
                <w:noProof/>
                <w:lang w:val="de-DE"/>
              </w:rPr>
              <w:t xml:space="preserve"> das Inkrafttreten hervorgeht</w:t>
            </w:r>
          </w:p>
        </w:tc>
        <w:tc>
          <w:tcPr>
            <w:tcW w:w="1134" w:type="dxa"/>
            <w:shd w:val="clear" w:color="auto" w:fill="C6EFCE"/>
            <w:noWrap/>
            <w:vAlign w:val="center"/>
            <w:hideMark/>
          </w:tcPr>
          <w:p w14:paraId="412C9B22"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67484EAD"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5BFF2F3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67C25DAA"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709" w:type="dxa"/>
            <w:shd w:val="clear" w:color="auto" w:fill="C6EFCE"/>
            <w:noWrap/>
            <w:vAlign w:val="center"/>
            <w:hideMark/>
          </w:tcPr>
          <w:p w14:paraId="26902E0F" w14:textId="77777777" w:rsidR="0057163C" w:rsidRPr="00170422" w:rsidRDefault="00F37BF9">
            <w:pPr>
              <w:pStyle w:val="P68B1DB1-Normal11"/>
              <w:spacing w:line="276" w:lineRule="auto"/>
              <w:jc w:val="center"/>
              <w:rPr>
                <w:noProof/>
                <w:szCs w:val="20"/>
                <w:lang w:val="de-DE"/>
              </w:rPr>
            </w:pPr>
            <w:r w:rsidRPr="00170422">
              <w:rPr>
                <w:noProof/>
                <w:lang w:val="de-DE"/>
              </w:rPr>
              <w:t>2022</w:t>
            </w:r>
          </w:p>
        </w:tc>
        <w:tc>
          <w:tcPr>
            <w:tcW w:w="2867" w:type="dxa"/>
            <w:shd w:val="clear" w:color="auto" w:fill="C6EFCE"/>
            <w:noWrap/>
            <w:vAlign w:val="center"/>
            <w:hideMark/>
          </w:tcPr>
          <w:p w14:paraId="0443AD20" w14:textId="77777777" w:rsidR="0057163C" w:rsidRPr="00170422" w:rsidRDefault="00F37BF9">
            <w:pPr>
              <w:pStyle w:val="P68B1DB1-Normal11"/>
              <w:spacing w:line="276" w:lineRule="auto"/>
              <w:rPr>
                <w:noProof/>
                <w:szCs w:val="20"/>
                <w:lang w:val="de-DE"/>
              </w:rPr>
            </w:pPr>
            <w:r w:rsidRPr="00170422">
              <w:rPr>
                <w:noProof/>
                <w:lang w:val="de-DE"/>
              </w:rPr>
              <w:t xml:space="preserve">Die überarbeiteten Rechtsvorschriften sollen die Governance stärken und die Durchführung von Investitionen in die Wasserversorgungsinfrastruktur vereinfachen. Der neue Rechtsrahmen sollte </w:t>
            </w:r>
            <w:r w:rsidRPr="00170422">
              <w:rPr>
                <w:noProof/>
                <w:lang w:val="de-DE"/>
              </w:rPr>
              <w:t>mindestens</w:t>
            </w:r>
          </w:p>
          <w:p w14:paraId="33555687" w14:textId="77777777" w:rsidR="0057163C" w:rsidRPr="00170422" w:rsidRDefault="00F37BF9">
            <w:pPr>
              <w:pStyle w:val="P68B1DB1-ListParagraph15"/>
              <w:spacing w:after="0" w:line="276" w:lineRule="auto"/>
              <w:ind w:left="0"/>
              <w:rPr>
                <w:noProof/>
                <w:szCs w:val="20"/>
                <w:lang w:val="de-DE"/>
              </w:rPr>
            </w:pPr>
            <w:r w:rsidRPr="00170422">
              <w:rPr>
                <w:noProof/>
                <w:lang w:val="de-DE"/>
              </w:rPr>
              <w:t>— Den Nationalen Plan für Maßnahmen im Wassersektor zum zentralen Finanzierungsinstrument für Investitionen im Wassersektor machen.</w:t>
            </w:r>
          </w:p>
          <w:p w14:paraId="6BE551D5" w14:textId="77777777" w:rsidR="0057163C" w:rsidRPr="00170422" w:rsidRDefault="00F37BF9">
            <w:pPr>
              <w:pStyle w:val="P68B1DB1-ListParagraph15"/>
              <w:spacing w:after="0" w:line="276" w:lineRule="auto"/>
              <w:ind w:left="0"/>
              <w:rPr>
                <w:noProof/>
                <w:szCs w:val="20"/>
                <w:lang w:val="de-DE"/>
              </w:rPr>
            </w:pPr>
            <w:r w:rsidRPr="00170422">
              <w:rPr>
                <w:noProof/>
                <w:lang w:val="de-DE"/>
              </w:rPr>
              <w:t xml:space="preserve">— Die Stellungnahme einzuholen und die Regulierungsbehörde (Autorità di Regolazione per Energia Reti e Ambiente) </w:t>
            </w:r>
            <w:r w:rsidRPr="00170422">
              <w:rPr>
                <w:noProof/>
                <w:lang w:val="de-DE"/>
              </w:rPr>
              <w:t>aktiv in jede Änderung oder Aktualisierung des Plans einzubeziehen.</w:t>
            </w:r>
          </w:p>
          <w:p w14:paraId="57813B95" w14:textId="77777777" w:rsidR="0057163C" w:rsidRPr="00170422" w:rsidRDefault="00F37BF9">
            <w:pPr>
              <w:pStyle w:val="P68B1DB1-ListParagraph15"/>
              <w:spacing w:after="0" w:line="276" w:lineRule="auto"/>
              <w:ind w:left="0"/>
              <w:rPr>
                <w:noProof/>
                <w:szCs w:val="20"/>
                <w:lang w:val="de-DE"/>
              </w:rPr>
            </w:pPr>
            <w:r w:rsidRPr="00170422">
              <w:rPr>
                <w:noProof/>
                <w:lang w:val="de-DE"/>
              </w:rPr>
              <w:t>— Unterstützung und Begleitmaßnahmen für Durchführungsstellen, die nicht in der Lage sind, Investitionen im Zusammenhang mit der Primärbeschaffung innerhalb des vorgesehenen Zeitrahmens zu</w:t>
            </w:r>
            <w:r w:rsidRPr="00170422">
              <w:rPr>
                <w:noProof/>
                <w:lang w:val="de-DE"/>
              </w:rPr>
              <w:t xml:space="preserve"> tätigen.</w:t>
            </w:r>
          </w:p>
          <w:p w14:paraId="5482072D" w14:textId="77777777" w:rsidR="0057163C" w:rsidRPr="00170422" w:rsidRDefault="00F37BF9">
            <w:pPr>
              <w:pStyle w:val="P68B1DB1-ListParagraph15"/>
              <w:spacing w:after="0" w:line="276" w:lineRule="auto"/>
              <w:ind w:left="0"/>
              <w:rPr>
                <w:noProof/>
                <w:szCs w:val="20"/>
                <w:lang w:val="de-DE"/>
              </w:rPr>
            </w:pPr>
            <w:r w:rsidRPr="00170422">
              <w:rPr>
                <w:noProof/>
                <w:lang w:val="de-DE"/>
              </w:rPr>
              <w:t>— Vereinfachung der Verfahren für die Berichterstattung und Überwachung der im Wassersektor finanzierten Investitionen.</w:t>
            </w:r>
          </w:p>
        </w:tc>
      </w:tr>
      <w:tr w:rsidR="00110887" w:rsidRPr="00170422" w14:paraId="18653604" w14:textId="77777777" w:rsidTr="00110887">
        <w:trPr>
          <w:trHeight w:val="300"/>
        </w:trPr>
        <w:tc>
          <w:tcPr>
            <w:tcW w:w="959" w:type="dxa"/>
            <w:shd w:val="clear" w:color="auto" w:fill="C6EFCE"/>
            <w:noWrap/>
            <w:vAlign w:val="center"/>
            <w:hideMark/>
          </w:tcPr>
          <w:p w14:paraId="6B8BFF8A" w14:textId="77777777" w:rsidR="0057163C" w:rsidRPr="00170422" w:rsidRDefault="00F37BF9">
            <w:pPr>
              <w:pStyle w:val="P68B1DB1-Normal11"/>
              <w:spacing w:line="276" w:lineRule="auto"/>
              <w:jc w:val="center"/>
              <w:rPr>
                <w:noProof/>
                <w:szCs w:val="20"/>
                <w:lang w:val="de-DE"/>
              </w:rPr>
            </w:pPr>
            <w:r w:rsidRPr="00170422">
              <w:rPr>
                <w:noProof/>
                <w:lang w:val="de-DE"/>
              </w:rPr>
              <w:t>M2C4-28</w:t>
            </w:r>
          </w:p>
        </w:tc>
        <w:tc>
          <w:tcPr>
            <w:tcW w:w="1699" w:type="dxa"/>
            <w:shd w:val="clear" w:color="auto" w:fill="C6EFCE"/>
            <w:noWrap/>
            <w:vAlign w:val="center"/>
            <w:hideMark/>
          </w:tcPr>
          <w:p w14:paraId="74D73E27" w14:textId="77777777" w:rsidR="0057163C" w:rsidRPr="00170422" w:rsidRDefault="00F37BF9">
            <w:pPr>
              <w:pStyle w:val="P68B1DB1-Normal11"/>
              <w:spacing w:line="276" w:lineRule="auto"/>
              <w:jc w:val="center"/>
              <w:rPr>
                <w:noProof/>
                <w:szCs w:val="20"/>
                <w:lang w:val="de-DE"/>
              </w:rPr>
            </w:pPr>
            <w:r w:rsidRPr="00170422">
              <w:rPr>
                <w:noProof/>
                <w:lang w:val="de-DE"/>
              </w:rPr>
              <w:t>Investition 4.1. Investitionen in primäre Wasserinfrastrukturen für die Sicherheit der Wasserversorgung</w:t>
            </w:r>
          </w:p>
        </w:tc>
        <w:tc>
          <w:tcPr>
            <w:tcW w:w="1419" w:type="dxa"/>
            <w:shd w:val="clear" w:color="auto" w:fill="C6EFCE"/>
            <w:noWrap/>
            <w:vAlign w:val="center"/>
            <w:hideMark/>
          </w:tcPr>
          <w:p w14:paraId="0078431A"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20B2E356" w14:textId="77777777" w:rsidR="0057163C" w:rsidRPr="00170422" w:rsidRDefault="00F37BF9">
            <w:pPr>
              <w:pStyle w:val="P68B1DB1-Normal11"/>
              <w:spacing w:line="276" w:lineRule="auto"/>
              <w:jc w:val="center"/>
              <w:rPr>
                <w:noProof/>
                <w:szCs w:val="20"/>
                <w:lang w:val="de-DE"/>
              </w:rPr>
            </w:pPr>
            <w:r w:rsidRPr="00170422">
              <w:rPr>
                <w:noProof/>
                <w:lang w:val="de-DE"/>
              </w:rPr>
              <w:t>Gewährung von Mitteln für alle Projekte für Investitionen in die Primärwasserinfrastruktur und für die Sicherheit der Wasserversorgung</w:t>
            </w:r>
          </w:p>
        </w:tc>
        <w:tc>
          <w:tcPr>
            <w:tcW w:w="1284" w:type="dxa"/>
            <w:shd w:val="clear" w:color="auto" w:fill="C6EFCE"/>
            <w:noWrap/>
            <w:vAlign w:val="center"/>
            <w:hideMark/>
          </w:tcPr>
          <w:p w14:paraId="09C81823" w14:textId="27F7AB46" w:rsidR="0057163C" w:rsidRPr="00170422" w:rsidRDefault="00F37BF9">
            <w:pPr>
              <w:pStyle w:val="P68B1DB1-Normal11"/>
              <w:spacing w:line="276" w:lineRule="auto"/>
              <w:jc w:val="center"/>
              <w:rPr>
                <w:noProof/>
                <w:szCs w:val="20"/>
                <w:lang w:val="de-DE"/>
              </w:rPr>
            </w:pPr>
            <w:r w:rsidRPr="00170422">
              <w:rPr>
                <w:noProof/>
                <w:lang w:val="de-DE"/>
              </w:rPr>
              <w:t>Veröffentlichung von Dekreten</w:t>
            </w:r>
          </w:p>
        </w:tc>
        <w:tc>
          <w:tcPr>
            <w:tcW w:w="1134" w:type="dxa"/>
            <w:shd w:val="clear" w:color="auto" w:fill="C6EFCE"/>
            <w:noWrap/>
            <w:vAlign w:val="center"/>
            <w:hideMark/>
          </w:tcPr>
          <w:p w14:paraId="5C52B70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6C44E54A"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2A1D4A8F" w14:textId="77777777" w:rsidR="0057163C" w:rsidRPr="00170422" w:rsidRDefault="00F37BF9">
            <w:pPr>
              <w:pStyle w:val="P68B1DB1-Normal11"/>
              <w:spacing w:line="276" w:lineRule="auto"/>
              <w:jc w:val="center"/>
              <w:rPr>
                <w:rFonts w:eastAsia="Arial Narrow" w:cs="Arial Narrow"/>
                <w:noProof/>
                <w:szCs w:val="20"/>
                <w:lang w:val="de-DE"/>
              </w:rPr>
            </w:pPr>
            <w:r w:rsidRPr="00170422">
              <w:rPr>
                <w:noProof/>
                <w:lang w:val="de-DE"/>
              </w:rPr>
              <w:t>ENTFÄLLT.</w:t>
            </w:r>
          </w:p>
        </w:tc>
        <w:tc>
          <w:tcPr>
            <w:tcW w:w="851" w:type="dxa"/>
            <w:shd w:val="clear" w:color="auto" w:fill="C6EFCE"/>
            <w:noWrap/>
            <w:vAlign w:val="center"/>
            <w:hideMark/>
          </w:tcPr>
          <w:p w14:paraId="40C22166" w14:textId="77777777" w:rsidR="0057163C" w:rsidRPr="00170422" w:rsidRDefault="00F37BF9">
            <w:pPr>
              <w:pStyle w:val="P68B1DB1-Normal11"/>
              <w:spacing w:line="276" w:lineRule="auto"/>
              <w:jc w:val="center"/>
              <w:rPr>
                <w:noProof/>
                <w:szCs w:val="20"/>
                <w:lang w:val="de-DE"/>
              </w:rPr>
            </w:pPr>
            <w:r w:rsidRPr="00170422">
              <w:rPr>
                <w:noProof/>
                <w:lang w:val="de-DE"/>
              </w:rPr>
              <w:t>Q3</w:t>
            </w:r>
          </w:p>
        </w:tc>
        <w:tc>
          <w:tcPr>
            <w:tcW w:w="709" w:type="dxa"/>
            <w:shd w:val="clear" w:color="auto" w:fill="C6EFCE"/>
            <w:noWrap/>
            <w:vAlign w:val="center"/>
            <w:hideMark/>
          </w:tcPr>
          <w:p w14:paraId="72880A89"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2867" w:type="dxa"/>
            <w:shd w:val="clear" w:color="auto" w:fill="C6EFCE"/>
            <w:noWrap/>
            <w:vAlign w:val="center"/>
            <w:hideMark/>
          </w:tcPr>
          <w:p w14:paraId="68092AB8" w14:textId="77777777" w:rsidR="0057163C" w:rsidRPr="00170422" w:rsidRDefault="00F37BF9">
            <w:pPr>
              <w:pStyle w:val="P68B1DB1-Normal11"/>
              <w:suppressAutoHyphens/>
              <w:spacing w:line="276" w:lineRule="auto"/>
              <w:rPr>
                <w:noProof/>
                <w:szCs w:val="20"/>
                <w:lang w:val="de-DE"/>
              </w:rPr>
            </w:pPr>
            <w:r w:rsidRPr="00170422">
              <w:rPr>
                <w:noProof/>
                <w:lang w:val="de-DE"/>
              </w:rPr>
              <w:t>Veröffentlichung der Zulassungsverordnung(en) mit der</w:t>
            </w:r>
            <w:r w:rsidRPr="00170422">
              <w:rPr>
                <w:noProof/>
                <w:lang w:val="de-DE"/>
              </w:rPr>
              <w:t xml:space="preserve"> Vergabe (Zuweisung) von Fördermitteln für Projekte für Investitionen in die Primärwasserinfrastruktur und die Sicherheit der Wasserversorgung.</w:t>
            </w:r>
          </w:p>
          <w:p w14:paraId="42B8C5E9" w14:textId="77777777" w:rsidR="0057163C" w:rsidRPr="00170422" w:rsidRDefault="00F37BF9">
            <w:pPr>
              <w:pStyle w:val="P68B1DB1-Normal11"/>
              <w:suppressAutoHyphens/>
              <w:spacing w:line="276" w:lineRule="auto"/>
              <w:rPr>
                <w:noProof/>
                <w:szCs w:val="20"/>
                <w:lang w:val="de-DE"/>
              </w:rPr>
            </w:pPr>
            <w:r w:rsidRPr="00170422">
              <w:rPr>
                <w:noProof/>
                <w:lang w:val="de-DE"/>
              </w:rPr>
              <w:t>Gegenstand der Verträge sind:</w:t>
            </w:r>
          </w:p>
          <w:p w14:paraId="458D5928" w14:textId="77777777" w:rsidR="0057163C" w:rsidRPr="00170422" w:rsidRDefault="00F37BF9">
            <w:pPr>
              <w:pStyle w:val="P68B1DB1-ListParagraph15"/>
              <w:numPr>
                <w:ilvl w:val="0"/>
                <w:numId w:val="27"/>
              </w:numPr>
              <w:suppressAutoHyphens/>
              <w:spacing w:after="0" w:line="276" w:lineRule="auto"/>
              <w:ind w:left="305"/>
              <w:rPr>
                <w:noProof/>
                <w:szCs w:val="20"/>
                <w:lang w:val="de-DE"/>
              </w:rPr>
            </w:pPr>
            <w:r w:rsidRPr="00170422">
              <w:rPr>
                <w:noProof/>
                <w:lang w:val="de-DE"/>
              </w:rPr>
              <w:t>Sicherheit der Wasserversorgung wichtiger städtischer Gebiete;</w:t>
            </w:r>
          </w:p>
          <w:p w14:paraId="5AA22161" w14:textId="77777777" w:rsidR="0057163C" w:rsidRPr="00170422" w:rsidRDefault="00F37BF9">
            <w:pPr>
              <w:pStyle w:val="P68B1DB1-ListParagraph15"/>
              <w:numPr>
                <w:ilvl w:val="0"/>
                <w:numId w:val="27"/>
              </w:numPr>
              <w:suppressAutoHyphens/>
              <w:spacing w:after="0" w:line="276" w:lineRule="auto"/>
              <w:ind w:left="305"/>
              <w:rPr>
                <w:noProof/>
                <w:szCs w:val="20"/>
                <w:lang w:val="de-DE"/>
              </w:rPr>
            </w:pPr>
            <w:r w:rsidRPr="00170422">
              <w:rPr>
                <w:noProof/>
                <w:lang w:val="de-DE"/>
              </w:rPr>
              <w:t>Bauarbeiten zur Erh</w:t>
            </w:r>
            <w:r w:rsidRPr="00170422">
              <w:rPr>
                <w:noProof/>
                <w:lang w:val="de-DE"/>
              </w:rPr>
              <w:t>öhung der Sicherheit und Widerstandsfähigkeit des Netzes, einschließlich der Anpassung an den Klimawandel (ausgenommen Staudämme);</w:t>
            </w:r>
          </w:p>
          <w:p w14:paraId="18E77BE1" w14:textId="77777777" w:rsidR="0057163C" w:rsidRPr="00170422" w:rsidRDefault="00F37BF9">
            <w:pPr>
              <w:pStyle w:val="P68B1DB1-ListParagraph15"/>
              <w:numPr>
                <w:ilvl w:val="0"/>
                <w:numId w:val="27"/>
              </w:numPr>
              <w:spacing w:after="0" w:line="276" w:lineRule="auto"/>
              <w:ind w:left="305"/>
              <w:rPr>
                <w:noProof/>
                <w:szCs w:val="20"/>
                <w:lang w:val="de-DE"/>
              </w:rPr>
            </w:pPr>
            <w:r w:rsidRPr="00170422">
              <w:rPr>
                <w:noProof/>
                <w:lang w:val="de-DE"/>
              </w:rPr>
              <w:t>Erhöhung der Transportkapazität von Wasser.</w:t>
            </w:r>
          </w:p>
          <w:p w14:paraId="038820F6" w14:textId="77777777" w:rsidR="0057163C" w:rsidRPr="00170422" w:rsidRDefault="00F37BF9">
            <w:pPr>
              <w:pStyle w:val="P68B1DB1-Normal11"/>
              <w:spacing w:line="276" w:lineRule="auto"/>
              <w:ind w:left="-55"/>
              <w:rPr>
                <w:noProof/>
                <w:szCs w:val="20"/>
                <w:lang w:val="de-DE"/>
              </w:rPr>
            </w:pPr>
            <w:r w:rsidRPr="00170422">
              <w:rPr>
                <w:noProof/>
                <w:lang w:val="de-DE"/>
              </w:rPr>
              <w:t>Mit den Auswahlkriterien wird sichergestellt, dass die Investition mit einem Klim</w:t>
            </w:r>
            <w:r w:rsidRPr="00170422">
              <w:rPr>
                <w:noProof/>
                <w:lang w:val="de-DE"/>
              </w:rPr>
              <w:t>akoeffizienten von 40 % gemäß Anhang VI der Verordnung (EU) 2021/241 über die Aufbau- und Resilienzfazilität in vollem Umfang zu den Klimaschutzzielen beiträgt.</w:t>
            </w:r>
          </w:p>
        </w:tc>
      </w:tr>
      <w:tr w:rsidR="00110887" w:rsidRPr="00170422" w14:paraId="0778EDE3" w14:textId="77777777" w:rsidTr="00110887">
        <w:trPr>
          <w:trHeight w:val="300"/>
        </w:trPr>
        <w:tc>
          <w:tcPr>
            <w:tcW w:w="959" w:type="dxa"/>
            <w:shd w:val="clear" w:color="auto" w:fill="C6EFCE"/>
            <w:noWrap/>
            <w:vAlign w:val="center"/>
            <w:hideMark/>
          </w:tcPr>
          <w:p w14:paraId="7DD5F737" w14:textId="77777777" w:rsidR="0057163C" w:rsidRPr="00170422" w:rsidRDefault="00F37BF9">
            <w:pPr>
              <w:pStyle w:val="P68B1DB1-Normal11"/>
              <w:spacing w:line="276" w:lineRule="auto"/>
              <w:jc w:val="center"/>
              <w:rPr>
                <w:noProof/>
                <w:szCs w:val="20"/>
                <w:lang w:val="de-DE"/>
              </w:rPr>
            </w:pPr>
            <w:r w:rsidRPr="00170422">
              <w:rPr>
                <w:noProof/>
                <w:lang w:val="de-DE"/>
              </w:rPr>
              <w:t>M2C4-29</w:t>
            </w:r>
          </w:p>
        </w:tc>
        <w:tc>
          <w:tcPr>
            <w:tcW w:w="1699" w:type="dxa"/>
            <w:shd w:val="clear" w:color="auto" w:fill="C6EFCE"/>
            <w:noWrap/>
            <w:vAlign w:val="center"/>
            <w:hideMark/>
          </w:tcPr>
          <w:p w14:paraId="1479E8ED" w14:textId="77777777" w:rsidR="0057163C" w:rsidRPr="00170422" w:rsidRDefault="00F37BF9">
            <w:pPr>
              <w:pStyle w:val="P68B1DB1-Normal11"/>
              <w:spacing w:line="276" w:lineRule="auto"/>
              <w:jc w:val="center"/>
              <w:rPr>
                <w:noProof/>
                <w:szCs w:val="20"/>
                <w:lang w:val="de-DE"/>
              </w:rPr>
            </w:pPr>
            <w:r w:rsidRPr="00170422">
              <w:rPr>
                <w:noProof/>
                <w:lang w:val="de-DE"/>
              </w:rPr>
              <w:t>Investition 4.1. Investitionen in primäre Wasserinfrastrukturen für die Sicherheit der</w:t>
            </w:r>
            <w:r w:rsidRPr="00170422">
              <w:rPr>
                <w:noProof/>
                <w:lang w:val="de-DE"/>
              </w:rPr>
              <w:t xml:space="preserve"> Wasserversorgung</w:t>
            </w:r>
          </w:p>
        </w:tc>
        <w:tc>
          <w:tcPr>
            <w:tcW w:w="1419" w:type="dxa"/>
            <w:shd w:val="clear" w:color="auto" w:fill="C6EFCE"/>
            <w:noWrap/>
            <w:vAlign w:val="center"/>
            <w:hideMark/>
          </w:tcPr>
          <w:p w14:paraId="23E98DF6"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51F7E33E" w14:textId="63726DCD" w:rsidR="0057163C" w:rsidRPr="00170422" w:rsidRDefault="00F37BF9">
            <w:pPr>
              <w:pStyle w:val="P68B1DB1-Normal11"/>
              <w:spacing w:line="276" w:lineRule="auto"/>
              <w:jc w:val="center"/>
              <w:rPr>
                <w:noProof/>
                <w:szCs w:val="20"/>
                <w:lang w:val="de-DE"/>
              </w:rPr>
            </w:pPr>
            <w:r w:rsidRPr="00170422">
              <w:rPr>
                <w:noProof/>
                <w:szCs w:val="20"/>
                <w:lang w:val="de-DE"/>
              </w:rPr>
              <w:t xml:space="preserve">Abschluss der Arbeiten an der </w:t>
            </w:r>
            <w:r w:rsidRPr="00170422">
              <w:rPr>
                <w:noProof/>
                <w:lang w:val="de-DE"/>
              </w:rPr>
              <w:t xml:space="preserve">Wasserinfrastruktur </w:t>
            </w:r>
          </w:p>
        </w:tc>
        <w:tc>
          <w:tcPr>
            <w:tcW w:w="1284" w:type="dxa"/>
            <w:shd w:val="clear" w:color="auto" w:fill="C6EFCE"/>
            <w:noWrap/>
            <w:vAlign w:val="center"/>
            <w:hideMark/>
          </w:tcPr>
          <w:p w14:paraId="2DD5A94D"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78CCB866"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60CB218E"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shd w:val="clear" w:color="auto" w:fill="C6EFCE"/>
            <w:noWrap/>
            <w:vAlign w:val="center"/>
            <w:hideMark/>
          </w:tcPr>
          <w:p w14:paraId="6BD33234" w14:textId="39B54FB6" w:rsidR="0057163C" w:rsidRPr="00170422" w:rsidRDefault="00F37BF9">
            <w:pPr>
              <w:pStyle w:val="P68B1DB1-Normal11"/>
              <w:spacing w:line="276" w:lineRule="auto"/>
              <w:jc w:val="center"/>
              <w:rPr>
                <w:noProof/>
                <w:szCs w:val="20"/>
                <w:lang w:val="de-DE"/>
              </w:rPr>
            </w:pPr>
            <w:r w:rsidRPr="00170422">
              <w:rPr>
                <w:noProof/>
                <w:lang w:val="de-DE"/>
              </w:rPr>
              <w:t>45</w:t>
            </w:r>
          </w:p>
        </w:tc>
        <w:tc>
          <w:tcPr>
            <w:tcW w:w="851" w:type="dxa"/>
            <w:shd w:val="clear" w:color="auto" w:fill="C6EFCE"/>
            <w:noWrap/>
            <w:vAlign w:val="center"/>
            <w:hideMark/>
          </w:tcPr>
          <w:p w14:paraId="2039EB21"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709" w:type="dxa"/>
            <w:shd w:val="clear" w:color="auto" w:fill="C6EFCE"/>
            <w:noWrap/>
            <w:vAlign w:val="center"/>
            <w:hideMark/>
          </w:tcPr>
          <w:p w14:paraId="68FE1CBD"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shd w:val="clear" w:color="auto" w:fill="C6EFCE"/>
            <w:noWrap/>
            <w:vAlign w:val="center"/>
            <w:hideMark/>
          </w:tcPr>
          <w:p w14:paraId="77A170FF" w14:textId="37EB355A" w:rsidR="0057163C" w:rsidRPr="00170422" w:rsidRDefault="00F37BF9">
            <w:pPr>
              <w:pStyle w:val="P68B1DB1-Normal12"/>
              <w:spacing w:line="276" w:lineRule="auto"/>
              <w:rPr>
                <w:noProof/>
                <w:lang w:val="de-DE"/>
              </w:rPr>
            </w:pPr>
            <w:r w:rsidRPr="00170422">
              <w:rPr>
                <w:noProof/>
                <w:lang w:val="de-DE"/>
              </w:rPr>
              <w:t xml:space="preserve">Für Eingriffe in mindestens 45 (komplexe und elementare) Wassersysteme, darunter mindestens 32 komplexe Wassersysteme, wurden Bescheinigungen über den </w:t>
            </w:r>
            <w:r w:rsidRPr="00170422">
              <w:rPr>
                <w:noProof/>
                <w:lang w:val="de-DE"/>
              </w:rPr>
              <w:t>Abschluss der Arbeiten ausgestellt.</w:t>
            </w:r>
          </w:p>
        </w:tc>
      </w:tr>
      <w:tr w:rsidR="00110887" w:rsidRPr="00170422" w14:paraId="5E436F60" w14:textId="77777777" w:rsidTr="00110887">
        <w:trPr>
          <w:trHeight w:val="300"/>
        </w:trPr>
        <w:tc>
          <w:tcPr>
            <w:tcW w:w="959" w:type="dxa"/>
            <w:shd w:val="clear" w:color="auto" w:fill="C6EFCE"/>
            <w:noWrap/>
            <w:vAlign w:val="center"/>
            <w:hideMark/>
          </w:tcPr>
          <w:p w14:paraId="454ACBB2" w14:textId="77777777" w:rsidR="0057163C" w:rsidRPr="00170422" w:rsidRDefault="00F37BF9">
            <w:pPr>
              <w:pStyle w:val="P68B1DB1-Normal11"/>
              <w:spacing w:line="276" w:lineRule="auto"/>
              <w:jc w:val="center"/>
              <w:rPr>
                <w:noProof/>
                <w:szCs w:val="20"/>
                <w:lang w:val="de-DE"/>
              </w:rPr>
            </w:pPr>
            <w:r w:rsidRPr="00170422">
              <w:rPr>
                <w:noProof/>
                <w:lang w:val="de-DE"/>
              </w:rPr>
              <w:t>M2C4-30</w:t>
            </w:r>
          </w:p>
        </w:tc>
        <w:tc>
          <w:tcPr>
            <w:tcW w:w="1699" w:type="dxa"/>
            <w:shd w:val="clear" w:color="auto" w:fill="C6EFCE"/>
            <w:noWrap/>
            <w:vAlign w:val="center"/>
            <w:hideMark/>
          </w:tcPr>
          <w:p w14:paraId="61754846" w14:textId="77777777" w:rsidR="0057163C" w:rsidRPr="00170422" w:rsidRDefault="00F37BF9">
            <w:pPr>
              <w:pStyle w:val="P68B1DB1-Normal11"/>
              <w:spacing w:line="276" w:lineRule="auto"/>
              <w:jc w:val="center"/>
              <w:rPr>
                <w:noProof/>
                <w:szCs w:val="20"/>
                <w:lang w:val="de-DE"/>
              </w:rPr>
            </w:pPr>
            <w:r w:rsidRPr="00170422">
              <w:rPr>
                <w:noProof/>
                <w:lang w:val="de-DE"/>
              </w:rPr>
              <w:t>Investition 4.2. Verringerung der Verluste in den Wasserverteilungsnetzen, einschließlich Digitalisierung und Überwachung der Netze</w:t>
            </w:r>
          </w:p>
        </w:tc>
        <w:tc>
          <w:tcPr>
            <w:tcW w:w="1419" w:type="dxa"/>
            <w:shd w:val="clear" w:color="auto" w:fill="C6EFCE"/>
            <w:noWrap/>
            <w:vAlign w:val="center"/>
            <w:hideMark/>
          </w:tcPr>
          <w:p w14:paraId="6B6292BF"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3FA4AA1D" w14:textId="77777777" w:rsidR="0057163C" w:rsidRPr="00170422" w:rsidRDefault="00F37BF9">
            <w:pPr>
              <w:pStyle w:val="P68B1DB1-Normal11"/>
              <w:spacing w:line="276" w:lineRule="auto"/>
              <w:jc w:val="center"/>
              <w:rPr>
                <w:noProof/>
                <w:szCs w:val="20"/>
                <w:lang w:val="de-DE"/>
              </w:rPr>
            </w:pPr>
            <w:r w:rsidRPr="00170422">
              <w:rPr>
                <w:noProof/>
                <w:lang w:val="de-DE"/>
              </w:rPr>
              <w:t xml:space="preserve">Gewährung von Fördermitteln für alle Projekte für Maßnahmen in den </w:t>
            </w:r>
            <w:r w:rsidRPr="00170422">
              <w:rPr>
                <w:noProof/>
                <w:lang w:val="de-DE"/>
              </w:rPr>
              <w:t>Wasserversorgungsnetzen, einschließlich Digitalisierung und Überwachung der Netze</w:t>
            </w:r>
          </w:p>
        </w:tc>
        <w:tc>
          <w:tcPr>
            <w:tcW w:w="1284" w:type="dxa"/>
            <w:shd w:val="clear" w:color="auto" w:fill="C6EFCE"/>
            <w:noWrap/>
            <w:vAlign w:val="center"/>
            <w:hideMark/>
          </w:tcPr>
          <w:p w14:paraId="2B1EF6C6" w14:textId="77777777" w:rsidR="0057163C" w:rsidRPr="00170422" w:rsidRDefault="00F37BF9">
            <w:pPr>
              <w:pStyle w:val="P68B1DB1-Normal11"/>
              <w:spacing w:line="276" w:lineRule="auto"/>
              <w:jc w:val="center"/>
              <w:rPr>
                <w:rFonts w:eastAsia="Arial Narrow" w:cs="Arial Narrow"/>
                <w:noProof/>
                <w:szCs w:val="20"/>
                <w:lang w:val="de-DE"/>
              </w:rPr>
            </w:pPr>
            <w:r w:rsidRPr="00170422">
              <w:rPr>
                <w:noProof/>
                <w:lang w:val="de-DE"/>
              </w:rPr>
              <w:t>Veröffentlichung von Dekreten</w:t>
            </w:r>
          </w:p>
        </w:tc>
        <w:tc>
          <w:tcPr>
            <w:tcW w:w="1134" w:type="dxa"/>
            <w:shd w:val="clear" w:color="auto" w:fill="C6EFCE"/>
            <w:noWrap/>
            <w:vAlign w:val="center"/>
            <w:hideMark/>
          </w:tcPr>
          <w:p w14:paraId="5DEDD46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07FA88C1"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315D07F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59075CE1" w14:textId="77777777" w:rsidR="0057163C" w:rsidRPr="00170422" w:rsidRDefault="00F37BF9">
            <w:pPr>
              <w:pStyle w:val="P68B1DB1-Normal11"/>
              <w:spacing w:line="276" w:lineRule="auto"/>
              <w:jc w:val="center"/>
              <w:rPr>
                <w:noProof/>
                <w:szCs w:val="20"/>
                <w:lang w:val="de-DE"/>
              </w:rPr>
            </w:pPr>
            <w:r w:rsidRPr="00170422">
              <w:rPr>
                <w:noProof/>
                <w:lang w:val="de-DE"/>
              </w:rPr>
              <w:t>Q3</w:t>
            </w:r>
          </w:p>
        </w:tc>
        <w:tc>
          <w:tcPr>
            <w:tcW w:w="709" w:type="dxa"/>
            <w:shd w:val="clear" w:color="auto" w:fill="C6EFCE"/>
            <w:noWrap/>
            <w:vAlign w:val="center"/>
            <w:hideMark/>
          </w:tcPr>
          <w:p w14:paraId="0A830EE4"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2867" w:type="dxa"/>
            <w:shd w:val="clear" w:color="auto" w:fill="C6EFCE"/>
            <w:noWrap/>
            <w:vAlign w:val="center"/>
            <w:hideMark/>
          </w:tcPr>
          <w:p w14:paraId="60DEEA90" w14:textId="75FF0C08" w:rsidR="0057163C" w:rsidRPr="00170422" w:rsidRDefault="00F37BF9">
            <w:pPr>
              <w:pStyle w:val="P68B1DB1-Normal11"/>
              <w:spacing w:line="276" w:lineRule="auto"/>
              <w:rPr>
                <w:noProof/>
                <w:szCs w:val="20"/>
                <w:lang w:val="de-DE"/>
              </w:rPr>
            </w:pPr>
            <w:r w:rsidRPr="00170422">
              <w:rPr>
                <w:noProof/>
                <w:lang w:val="de-DE"/>
              </w:rPr>
              <w:t>Veröffentlichung des bzw. der Zulassungsdekrete mit der Vergabe (Zuweisung) von Mitteln für Projekte zur M</w:t>
            </w:r>
            <w:r w:rsidRPr="00170422">
              <w:rPr>
                <w:noProof/>
                <w:lang w:val="de-DE"/>
              </w:rPr>
              <w:t>odernisierung und Effizienz der Wasserversorgungsnetze.</w:t>
            </w:r>
          </w:p>
          <w:p w14:paraId="62D976D1" w14:textId="77777777" w:rsidR="0057163C" w:rsidRPr="00170422" w:rsidRDefault="00F37BF9">
            <w:pPr>
              <w:pStyle w:val="P68B1DB1-Normal11"/>
              <w:spacing w:line="276" w:lineRule="auto"/>
              <w:rPr>
                <w:noProof/>
                <w:szCs w:val="20"/>
                <w:lang w:val="de-DE"/>
              </w:rPr>
            </w:pPr>
            <w:r w:rsidRPr="00170422">
              <w:rPr>
                <w:noProof/>
                <w:lang w:val="de-DE"/>
              </w:rPr>
              <w:t>Gegenstand der Verträge sind:</w:t>
            </w:r>
          </w:p>
          <w:p w14:paraId="4BB02E54" w14:textId="262BB9CC" w:rsidR="0057163C" w:rsidRPr="00170422" w:rsidRDefault="00F37BF9">
            <w:pPr>
              <w:pStyle w:val="P68B1DB1-ListParagraph15"/>
              <w:numPr>
                <w:ilvl w:val="0"/>
                <w:numId w:val="27"/>
              </w:numPr>
              <w:spacing w:after="0" w:line="276" w:lineRule="auto"/>
              <w:ind w:left="305"/>
              <w:textAlignment w:val="baseline"/>
              <w:rPr>
                <w:noProof/>
                <w:szCs w:val="20"/>
                <w:lang w:val="de-DE"/>
              </w:rPr>
            </w:pPr>
            <w:r w:rsidRPr="00170422">
              <w:rPr>
                <w:noProof/>
                <w:lang w:val="de-DE"/>
              </w:rPr>
              <w:t>Maßnahmen zur Verringerung von Trinkwasserverlusten;</w:t>
            </w:r>
          </w:p>
          <w:p w14:paraId="40EE36C4" w14:textId="31B4281B" w:rsidR="0057163C" w:rsidRPr="00170422" w:rsidRDefault="00F37BF9">
            <w:pPr>
              <w:pStyle w:val="P68B1DB1-ListParagraph15"/>
              <w:numPr>
                <w:ilvl w:val="0"/>
                <w:numId w:val="27"/>
              </w:numPr>
              <w:spacing w:after="0" w:line="276" w:lineRule="auto"/>
              <w:ind w:left="305"/>
              <w:textAlignment w:val="baseline"/>
              <w:rPr>
                <w:noProof/>
                <w:szCs w:val="20"/>
                <w:lang w:val="de-DE"/>
              </w:rPr>
            </w:pPr>
            <w:r w:rsidRPr="00170422">
              <w:rPr>
                <w:noProof/>
                <w:lang w:val="de-DE"/>
              </w:rPr>
              <w:t>Verbesserung der Widerstandsfähigkeit der Wassersysteme gegenüber dem Klimawandel;</w:t>
            </w:r>
          </w:p>
          <w:p w14:paraId="0DB7C669" w14:textId="77777777" w:rsidR="0057163C" w:rsidRPr="00170422" w:rsidRDefault="00F37BF9">
            <w:pPr>
              <w:pStyle w:val="P68B1DB1-ListParagraph15"/>
              <w:numPr>
                <w:ilvl w:val="0"/>
                <w:numId w:val="27"/>
              </w:numPr>
              <w:spacing w:after="0" w:line="276" w:lineRule="auto"/>
              <w:ind w:left="305"/>
              <w:textAlignment w:val="baseline"/>
              <w:rPr>
                <w:noProof/>
                <w:szCs w:val="20"/>
                <w:lang w:val="de-DE"/>
              </w:rPr>
            </w:pPr>
            <w:r w:rsidRPr="00170422">
              <w:rPr>
                <w:noProof/>
                <w:lang w:val="de-DE"/>
              </w:rPr>
              <w:t>Stärkung der Digitalisierung der N</w:t>
            </w:r>
            <w:r w:rsidRPr="00170422">
              <w:rPr>
                <w:noProof/>
                <w:lang w:val="de-DE"/>
              </w:rPr>
              <w:t>etze für eine optimale Bewirtschaftung der Wasserressourcen, Verringerung der Verschwendung und Begrenzung von Ineffizienzen</w:t>
            </w:r>
          </w:p>
        </w:tc>
      </w:tr>
      <w:tr w:rsidR="00110887" w:rsidRPr="00170422" w14:paraId="25CFB198" w14:textId="77777777" w:rsidTr="00110887">
        <w:trPr>
          <w:trHeight w:val="300"/>
        </w:trPr>
        <w:tc>
          <w:tcPr>
            <w:tcW w:w="959" w:type="dxa"/>
            <w:shd w:val="clear" w:color="auto" w:fill="C6EFCE"/>
            <w:noWrap/>
            <w:vAlign w:val="center"/>
            <w:hideMark/>
          </w:tcPr>
          <w:p w14:paraId="5C14AFC8" w14:textId="77777777" w:rsidR="0057163C" w:rsidRPr="00170422" w:rsidRDefault="00F37BF9">
            <w:pPr>
              <w:pStyle w:val="P68B1DB1-Normal11"/>
              <w:spacing w:line="276" w:lineRule="auto"/>
              <w:jc w:val="center"/>
              <w:rPr>
                <w:noProof/>
                <w:szCs w:val="20"/>
                <w:lang w:val="de-DE"/>
              </w:rPr>
            </w:pPr>
            <w:r w:rsidRPr="00170422">
              <w:rPr>
                <w:noProof/>
                <w:lang w:val="de-DE"/>
              </w:rPr>
              <w:t>M2C4-31</w:t>
            </w:r>
          </w:p>
        </w:tc>
        <w:tc>
          <w:tcPr>
            <w:tcW w:w="1699" w:type="dxa"/>
            <w:shd w:val="clear" w:color="auto" w:fill="C6EFCE"/>
            <w:noWrap/>
            <w:vAlign w:val="center"/>
            <w:hideMark/>
          </w:tcPr>
          <w:p w14:paraId="20A879CE"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4.2. Verringerung der Verluste in den Wasserverteilungsnetzen, einschließlich Digitalisierung und Überwachung </w:t>
            </w:r>
            <w:r w:rsidRPr="00170422">
              <w:rPr>
                <w:noProof/>
                <w:lang w:val="de-DE"/>
              </w:rPr>
              <w:t>der Netze</w:t>
            </w:r>
          </w:p>
        </w:tc>
        <w:tc>
          <w:tcPr>
            <w:tcW w:w="1419" w:type="dxa"/>
            <w:shd w:val="clear" w:color="auto" w:fill="C6EFCE"/>
            <w:noWrap/>
            <w:vAlign w:val="center"/>
            <w:hideMark/>
          </w:tcPr>
          <w:p w14:paraId="7A5587C2"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3E4618F5" w14:textId="77777777" w:rsidR="0057163C" w:rsidRPr="00170422" w:rsidRDefault="00F37BF9">
            <w:pPr>
              <w:pStyle w:val="P68B1DB1-Normal11"/>
              <w:spacing w:line="276" w:lineRule="auto"/>
              <w:jc w:val="center"/>
              <w:rPr>
                <w:noProof/>
                <w:szCs w:val="20"/>
                <w:lang w:val="de-DE"/>
              </w:rPr>
            </w:pPr>
            <w:r w:rsidRPr="00170422">
              <w:rPr>
                <w:noProof/>
                <w:lang w:val="de-DE"/>
              </w:rPr>
              <w:t>Eingriffe in Wasserversorgungsnetze, einschließlich Digitalisierung und Überwachung der Netze T1</w:t>
            </w:r>
          </w:p>
        </w:tc>
        <w:tc>
          <w:tcPr>
            <w:tcW w:w="1284" w:type="dxa"/>
            <w:shd w:val="clear" w:color="auto" w:fill="C6EFCE"/>
            <w:noWrap/>
            <w:vAlign w:val="center"/>
            <w:hideMark/>
          </w:tcPr>
          <w:p w14:paraId="2238560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66494161"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235E033A" w14:textId="77777777" w:rsidR="0057163C" w:rsidRPr="00170422" w:rsidRDefault="00F37BF9">
            <w:pPr>
              <w:pStyle w:val="P68B1DB1-Normal11"/>
              <w:spacing w:line="276" w:lineRule="auto"/>
              <w:jc w:val="center"/>
              <w:rPr>
                <w:noProof/>
                <w:szCs w:val="20"/>
                <w:lang w:val="de-DE"/>
              </w:rPr>
            </w:pPr>
            <w:r w:rsidRPr="00170422">
              <w:rPr>
                <w:noProof/>
                <w:lang w:val="de-DE"/>
              </w:rPr>
              <w:t>0</w:t>
            </w:r>
          </w:p>
        </w:tc>
        <w:tc>
          <w:tcPr>
            <w:tcW w:w="567" w:type="dxa"/>
            <w:shd w:val="clear" w:color="auto" w:fill="C6EFCE"/>
            <w:noWrap/>
            <w:vAlign w:val="center"/>
            <w:hideMark/>
          </w:tcPr>
          <w:p w14:paraId="68AE8B81" w14:textId="77777777" w:rsidR="0057163C" w:rsidRPr="00170422" w:rsidRDefault="00F37BF9">
            <w:pPr>
              <w:pStyle w:val="P68B1DB1-Normal11"/>
              <w:spacing w:line="276" w:lineRule="auto"/>
              <w:jc w:val="center"/>
              <w:rPr>
                <w:noProof/>
                <w:szCs w:val="20"/>
                <w:lang w:val="de-DE"/>
              </w:rPr>
            </w:pPr>
            <w:r w:rsidRPr="00170422">
              <w:rPr>
                <w:noProof/>
                <w:lang w:val="de-DE"/>
              </w:rPr>
              <w:t>14 000</w:t>
            </w:r>
          </w:p>
        </w:tc>
        <w:tc>
          <w:tcPr>
            <w:tcW w:w="851" w:type="dxa"/>
            <w:shd w:val="clear" w:color="auto" w:fill="C6EFCE"/>
            <w:noWrap/>
            <w:vAlign w:val="center"/>
            <w:hideMark/>
          </w:tcPr>
          <w:p w14:paraId="0B2ABFFD"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02140483" w14:textId="77777777" w:rsidR="0057163C" w:rsidRPr="00170422" w:rsidRDefault="00F37BF9">
            <w:pPr>
              <w:pStyle w:val="P68B1DB1-Normal11"/>
              <w:spacing w:line="276" w:lineRule="auto"/>
              <w:jc w:val="center"/>
              <w:rPr>
                <w:noProof/>
                <w:szCs w:val="20"/>
                <w:lang w:val="de-DE"/>
              </w:rPr>
            </w:pPr>
            <w:r w:rsidRPr="00170422">
              <w:rPr>
                <w:noProof/>
                <w:lang w:val="de-DE"/>
              </w:rPr>
              <w:t>2024</w:t>
            </w:r>
          </w:p>
        </w:tc>
        <w:tc>
          <w:tcPr>
            <w:tcW w:w="2867" w:type="dxa"/>
            <w:shd w:val="clear" w:color="auto" w:fill="C6EFCE"/>
            <w:noWrap/>
            <w:vAlign w:val="center"/>
            <w:hideMark/>
          </w:tcPr>
          <w:p w14:paraId="54FDC086" w14:textId="77777777" w:rsidR="0057163C" w:rsidRPr="00170422" w:rsidRDefault="00F37BF9">
            <w:pPr>
              <w:pStyle w:val="P68B1DB1-Normal11"/>
              <w:spacing w:line="276" w:lineRule="auto"/>
              <w:rPr>
                <w:noProof/>
                <w:szCs w:val="20"/>
                <w:lang w:val="de-DE"/>
              </w:rPr>
            </w:pPr>
            <w:r w:rsidRPr="00170422">
              <w:rPr>
                <w:noProof/>
                <w:lang w:val="de-DE"/>
              </w:rPr>
              <w:t>Bezirke von mindestens 14 000 km Wassernetz</w:t>
            </w:r>
          </w:p>
        </w:tc>
      </w:tr>
      <w:tr w:rsidR="00110887" w:rsidRPr="00170422" w14:paraId="3354221C" w14:textId="77777777" w:rsidTr="00110887">
        <w:trPr>
          <w:trHeight w:val="300"/>
        </w:trPr>
        <w:tc>
          <w:tcPr>
            <w:tcW w:w="959" w:type="dxa"/>
            <w:shd w:val="clear" w:color="auto" w:fill="C6EFCE"/>
            <w:noWrap/>
            <w:vAlign w:val="center"/>
            <w:hideMark/>
          </w:tcPr>
          <w:p w14:paraId="3EF08396" w14:textId="77777777" w:rsidR="0057163C" w:rsidRPr="00170422" w:rsidRDefault="00F37BF9">
            <w:pPr>
              <w:pStyle w:val="P68B1DB1-Normal11"/>
              <w:spacing w:line="276" w:lineRule="auto"/>
              <w:jc w:val="center"/>
              <w:rPr>
                <w:noProof/>
                <w:szCs w:val="20"/>
                <w:lang w:val="de-DE"/>
              </w:rPr>
            </w:pPr>
            <w:r w:rsidRPr="00170422">
              <w:rPr>
                <w:noProof/>
                <w:lang w:val="de-DE"/>
              </w:rPr>
              <w:t>M2C4-33</w:t>
            </w:r>
          </w:p>
        </w:tc>
        <w:tc>
          <w:tcPr>
            <w:tcW w:w="1699" w:type="dxa"/>
            <w:shd w:val="clear" w:color="auto" w:fill="C6EFCE"/>
            <w:noWrap/>
            <w:vAlign w:val="center"/>
            <w:hideMark/>
          </w:tcPr>
          <w:p w14:paraId="2BF4ED95"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4.3 Investitionen in die </w:t>
            </w:r>
            <w:r w:rsidRPr="00170422">
              <w:rPr>
                <w:noProof/>
                <w:lang w:val="de-DE"/>
              </w:rPr>
              <w:t>Widerstandsfähigkeit des Bewässerungs-Agrarsystems für eine bessere Bewirtschaftung der Wasserressourcen</w:t>
            </w:r>
          </w:p>
        </w:tc>
        <w:tc>
          <w:tcPr>
            <w:tcW w:w="1419" w:type="dxa"/>
            <w:shd w:val="clear" w:color="auto" w:fill="C6EFCE"/>
            <w:noWrap/>
            <w:vAlign w:val="center"/>
            <w:hideMark/>
          </w:tcPr>
          <w:p w14:paraId="6E4B29AB"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548A7C55" w14:textId="77777777" w:rsidR="0057163C" w:rsidRPr="00170422" w:rsidRDefault="00F37BF9">
            <w:pPr>
              <w:pStyle w:val="P68B1DB1-Normal11"/>
              <w:spacing w:line="276" w:lineRule="auto"/>
              <w:jc w:val="center"/>
              <w:rPr>
                <w:noProof/>
                <w:szCs w:val="20"/>
                <w:lang w:val="de-DE"/>
              </w:rPr>
            </w:pPr>
            <w:r w:rsidRPr="00170422">
              <w:rPr>
                <w:noProof/>
                <w:lang w:val="de-DE"/>
              </w:rPr>
              <w:t xml:space="preserve">Gewährung von Mitteln für alle Projekte zur Stärkung der Widerstandsfähigkeit des Bewässerungs-Agrarsystems für eine bessere </w:t>
            </w:r>
            <w:r w:rsidRPr="00170422">
              <w:rPr>
                <w:noProof/>
                <w:lang w:val="de-DE"/>
              </w:rPr>
              <w:t>Bewirtschaftung der Wasserressourcen</w:t>
            </w:r>
          </w:p>
        </w:tc>
        <w:tc>
          <w:tcPr>
            <w:tcW w:w="1284" w:type="dxa"/>
            <w:shd w:val="clear" w:color="auto" w:fill="C6EFCE"/>
            <w:noWrap/>
            <w:vAlign w:val="center"/>
            <w:hideMark/>
          </w:tcPr>
          <w:p w14:paraId="5FD0A26B" w14:textId="77777777" w:rsidR="0057163C" w:rsidRPr="00170422" w:rsidRDefault="00F37BF9">
            <w:pPr>
              <w:pStyle w:val="P68B1DB1-Normal11"/>
              <w:spacing w:line="276" w:lineRule="auto"/>
              <w:jc w:val="center"/>
              <w:rPr>
                <w:noProof/>
                <w:szCs w:val="20"/>
                <w:lang w:val="de-DE"/>
              </w:rPr>
            </w:pPr>
            <w:r w:rsidRPr="00170422">
              <w:rPr>
                <w:noProof/>
                <w:lang w:val="de-DE"/>
              </w:rPr>
              <w:t>Veröffentlichung von Dekreten.</w:t>
            </w:r>
          </w:p>
        </w:tc>
        <w:tc>
          <w:tcPr>
            <w:tcW w:w="1134" w:type="dxa"/>
            <w:shd w:val="clear" w:color="auto" w:fill="C6EFCE"/>
            <w:noWrap/>
            <w:vAlign w:val="center"/>
            <w:hideMark/>
          </w:tcPr>
          <w:p w14:paraId="61F3BF0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5EF47FC7"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567" w:type="dxa"/>
            <w:shd w:val="clear" w:color="auto" w:fill="C6EFCE"/>
            <w:noWrap/>
            <w:vAlign w:val="center"/>
            <w:hideMark/>
          </w:tcPr>
          <w:p w14:paraId="64D6E862"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239DD171"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7878ADB8"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2867" w:type="dxa"/>
            <w:shd w:val="clear" w:color="auto" w:fill="C6EFCE"/>
            <w:noWrap/>
            <w:vAlign w:val="center"/>
            <w:hideMark/>
          </w:tcPr>
          <w:p w14:paraId="48AD6B99" w14:textId="547D8F55" w:rsidR="0057163C" w:rsidRPr="00170422" w:rsidRDefault="00F37BF9">
            <w:pPr>
              <w:pStyle w:val="P68B1DB1-Normal11"/>
              <w:autoSpaceDE w:val="0"/>
              <w:autoSpaceDN w:val="0"/>
              <w:spacing w:line="276" w:lineRule="auto"/>
              <w:rPr>
                <w:noProof/>
                <w:szCs w:val="20"/>
                <w:lang w:val="de-DE"/>
              </w:rPr>
            </w:pPr>
            <w:r w:rsidRPr="00170422">
              <w:rPr>
                <w:noProof/>
                <w:lang w:val="de-DE"/>
              </w:rPr>
              <w:t>Veröffentlichung des Zulassungserlasses/der Zulassungserlasse mit der Vergabe (Zuweisung) der Mittel für Projekte für die Interventionen in de</w:t>
            </w:r>
            <w:r w:rsidRPr="00170422">
              <w:rPr>
                <w:noProof/>
                <w:lang w:val="de-DE"/>
              </w:rPr>
              <w:t>n Netzen und Bewässerungssystemen und dem damit verbundenen Digitalisierungs- und Überwachungssystem.</w:t>
            </w:r>
          </w:p>
          <w:p w14:paraId="40059AE2" w14:textId="77777777" w:rsidR="0057163C" w:rsidRPr="00170422" w:rsidRDefault="00F37BF9">
            <w:pPr>
              <w:pStyle w:val="P68B1DB1-Normal11"/>
              <w:autoSpaceDE w:val="0"/>
              <w:autoSpaceDN w:val="0"/>
              <w:spacing w:line="276" w:lineRule="auto"/>
              <w:rPr>
                <w:noProof/>
                <w:szCs w:val="20"/>
                <w:lang w:val="de-DE"/>
              </w:rPr>
            </w:pPr>
            <w:r w:rsidRPr="00170422">
              <w:rPr>
                <w:noProof/>
                <w:lang w:val="de-DE"/>
              </w:rPr>
              <w:t>Gegenstand der Verträge sind:</w:t>
            </w:r>
          </w:p>
          <w:p w14:paraId="3213A2D3" w14:textId="77777777" w:rsidR="0057163C" w:rsidRPr="00170422" w:rsidRDefault="00F37BF9">
            <w:pPr>
              <w:pStyle w:val="P68B1DB1-ListParagraph82"/>
              <w:numPr>
                <w:ilvl w:val="0"/>
                <w:numId w:val="33"/>
              </w:numPr>
              <w:autoSpaceDE w:val="0"/>
              <w:autoSpaceDN w:val="0"/>
              <w:spacing w:after="0" w:line="276" w:lineRule="auto"/>
              <w:jc w:val="both"/>
              <w:rPr>
                <w:noProof/>
                <w:color w:val="006100"/>
                <w:szCs w:val="20"/>
                <w:lang w:val="de-DE"/>
              </w:rPr>
            </w:pPr>
            <w:r w:rsidRPr="00170422">
              <w:rPr>
                <w:noProof/>
                <w:color w:val="006100"/>
                <w:lang w:val="de-DE"/>
              </w:rPr>
              <w:t xml:space="preserve">Förderung der Messung und Überwachung der Nutzung in kollektiven Netzen (durch die Installation von Zählern und </w:t>
            </w:r>
            <w:r w:rsidRPr="00170422">
              <w:rPr>
                <w:noProof/>
                <w:color w:val="006100"/>
                <w:lang w:val="de-DE"/>
              </w:rPr>
              <w:t>Fernsteuerungssystemen),</w:t>
            </w:r>
            <w:r w:rsidRPr="00170422">
              <w:rPr>
                <w:noProof/>
                <w:lang w:val="de-DE"/>
              </w:rPr>
              <w:t xml:space="preserve"> einschließlich des Übergangs von der Eigenversorgung zur kollektiven Nutzung als Voraussetzung für den Abschluss einer Wasserpreispolitik, die auf den Wassermengen für eine effiziente Nutzung der Wasserressourcen in der Landwirtsch</w:t>
            </w:r>
            <w:r w:rsidRPr="00170422">
              <w:rPr>
                <w:noProof/>
                <w:lang w:val="de-DE"/>
              </w:rPr>
              <w:t xml:space="preserve">aft beruht, und damit die Verringerung illegaler Wasserentnahmen in ländlichen Gebieten; </w:t>
            </w:r>
          </w:p>
          <w:p w14:paraId="365A4082" w14:textId="77777777" w:rsidR="0057163C" w:rsidRPr="00170422" w:rsidRDefault="00F37BF9">
            <w:pPr>
              <w:pStyle w:val="P68B1DB1-ListParagraph15"/>
              <w:numPr>
                <w:ilvl w:val="0"/>
                <w:numId w:val="33"/>
              </w:numPr>
              <w:autoSpaceDE w:val="0"/>
              <w:autoSpaceDN w:val="0"/>
              <w:spacing w:after="0" w:line="276" w:lineRule="auto"/>
              <w:jc w:val="both"/>
              <w:rPr>
                <w:noProof/>
                <w:szCs w:val="20"/>
                <w:lang w:val="de-DE"/>
              </w:rPr>
            </w:pPr>
            <w:r w:rsidRPr="00170422">
              <w:rPr>
                <w:noProof/>
                <w:lang w:val="de-DE"/>
              </w:rPr>
              <w:t>Investitionen in die Bewässerung sollten darauf abzielen, die bestehende Bewässerung effizienter zu gestalten, auch wenn sich der betreffende Wasserkörper in gutem Zu</w:t>
            </w:r>
            <w:r w:rsidRPr="00170422">
              <w:rPr>
                <w:noProof/>
                <w:lang w:val="de-DE"/>
              </w:rPr>
              <w:t xml:space="preserve">stand befindet. </w:t>
            </w:r>
          </w:p>
          <w:p w14:paraId="3F699C7C" w14:textId="77777777" w:rsidR="0057163C" w:rsidRPr="00170422" w:rsidRDefault="0057163C">
            <w:pPr>
              <w:pStyle w:val="ListParagraph"/>
              <w:rPr>
                <w:rFonts w:ascii="Arial Narrow" w:hAnsi="Arial Narrow"/>
                <w:noProof/>
                <w:color w:val="006100"/>
                <w:sz w:val="20"/>
                <w:lang w:val="de-DE"/>
              </w:rPr>
            </w:pPr>
          </w:p>
          <w:p w14:paraId="51A5120B" w14:textId="77777777" w:rsidR="0057163C" w:rsidRPr="00170422" w:rsidRDefault="00F37BF9">
            <w:pPr>
              <w:pStyle w:val="P68B1DB1-Normal11"/>
              <w:autoSpaceDE w:val="0"/>
              <w:autoSpaceDN w:val="0"/>
              <w:spacing w:line="276" w:lineRule="auto"/>
              <w:rPr>
                <w:noProof/>
                <w:szCs w:val="20"/>
                <w:lang w:val="de-DE"/>
              </w:rPr>
            </w:pPr>
            <w:r w:rsidRPr="00170422">
              <w:rPr>
                <w:noProof/>
                <w:lang w:val="de-DE"/>
              </w:rPr>
              <w:t>Es wird davon ausgegangen, dass diese Maßnahme die Umweltziele im Sinne des Artikels 17 der Verordnung (EU) 2020/852 nicht erheblich beeinträchtigt, wobei die Beschreibung der Maßnahme und die im Aufbau- und Resilienzplan festgelegten Abh</w:t>
            </w:r>
            <w:r w:rsidRPr="00170422">
              <w:rPr>
                <w:noProof/>
                <w:lang w:val="de-DE"/>
              </w:rPr>
              <w:t>ilfemaßnahmen im Einklang mit den technischen Leitlinien „Vermeidung erheblicher Beeinträchtigungen“ zu berücksichtigen sind.</w:t>
            </w:r>
          </w:p>
          <w:p w14:paraId="44B21766" w14:textId="77777777" w:rsidR="0057163C" w:rsidRPr="00170422" w:rsidRDefault="00F37BF9">
            <w:pPr>
              <w:pStyle w:val="P68B1DB1-Normal11"/>
              <w:autoSpaceDE w:val="0"/>
              <w:autoSpaceDN w:val="0"/>
              <w:spacing w:line="276" w:lineRule="auto"/>
              <w:rPr>
                <w:noProof/>
                <w:szCs w:val="20"/>
                <w:lang w:val="de-DE"/>
              </w:rPr>
            </w:pPr>
            <w:r w:rsidRPr="00170422">
              <w:rPr>
                <w:noProof/>
                <w:lang w:val="de-DE"/>
              </w:rPr>
              <w:t>(2021/C58/01). Insbesondere ist für jede Teilinvestition die vollständige Einhaltung der Anforderungen des EU-Rechts, einschließli</w:t>
            </w:r>
            <w:r w:rsidRPr="00170422">
              <w:rPr>
                <w:noProof/>
                <w:lang w:val="de-DE"/>
              </w:rPr>
              <w:t xml:space="preserve">ch der Wasserrahmenrichtlinie, vor, während und nach Beginn der Bauarbeiten sicherzustellen. </w:t>
            </w:r>
          </w:p>
          <w:p w14:paraId="7F387101" w14:textId="77777777" w:rsidR="0057163C" w:rsidRPr="00170422" w:rsidRDefault="00F37BF9">
            <w:pPr>
              <w:pStyle w:val="P68B1DB1-Normal11"/>
              <w:autoSpaceDE w:val="0"/>
              <w:autoSpaceDN w:val="0"/>
              <w:spacing w:line="276" w:lineRule="auto"/>
              <w:rPr>
                <w:noProof/>
                <w:szCs w:val="20"/>
                <w:lang w:val="de-DE"/>
              </w:rPr>
            </w:pPr>
            <w:r w:rsidRPr="00170422">
              <w:rPr>
                <w:noProof/>
                <w:lang w:val="de-DE"/>
              </w:rPr>
              <w:t>Darüber hinaus werden Interventionen, sofern dies nach nationalem Recht anwendbar ist, einer Umweltverträglichkeitsprüfung (UVP) gemäß der Richtlinie 2011/92/EU s</w:t>
            </w:r>
            <w:r w:rsidRPr="00170422">
              <w:rPr>
                <w:noProof/>
                <w:lang w:val="de-DE"/>
              </w:rPr>
              <w:t>owie einschlägigen Prüfungen im Zusammenhang mit der Richtlinie 2000/60/EG und der Richtlinie 92/43/EWG, einschließlich der Umsetzung der erforderlichen Minderungsmaßnahmen, unterzogen.</w:t>
            </w:r>
          </w:p>
        </w:tc>
      </w:tr>
      <w:tr w:rsidR="00110887" w:rsidRPr="00170422" w14:paraId="31D6B18D" w14:textId="77777777" w:rsidTr="00110887">
        <w:trPr>
          <w:trHeight w:val="300"/>
        </w:trPr>
        <w:tc>
          <w:tcPr>
            <w:tcW w:w="959" w:type="dxa"/>
            <w:shd w:val="clear" w:color="auto" w:fill="C6EFCE"/>
            <w:noWrap/>
            <w:vAlign w:val="center"/>
            <w:hideMark/>
          </w:tcPr>
          <w:p w14:paraId="3DAD51A2" w14:textId="77777777" w:rsidR="0057163C" w:rsidRPr="00170422" w:rsidRDefault="00F37BF9">
            <w:pPr>
              <w:pStyle w:val="P68B1DB1-Normal11"/>
              <w:spacing w:line="276" w:lineRule="auto"/>
              <w:jc w:val="center"/>
              <w:rPr>
                <w:noProof/>
                <w:szCs w:val="20"/>
                <w:lang w:val="de-DE"/>
              </w:rPr>
            </w:pPr>
            <w:r w:rsidRPr="00170422">
              <w:rPr>
                <w:noProof/>
                <w:lang w:val="de-DE"/>
              </w:rPr>
              <w:t>M2C4-34</w:t>
            </w:r>
          </w:p>
        </w:tc>
        <w:tc>
          <w:tcPr>
            <w:tcW w:w="1699" w:type="dxa"/>
            <w:shd w:val="clear" w:color="auto" w:fill="C6EFCE"/>
            <w:noWrap/>
            <w:vAlign w:val="center"/>
            <w:hideMark/>
          </w:tcPr>
          <w:p w14:paraId="3D2175F0" w14:textId="77777777" w:rsidR="0057163C" w:rsidRPr="00170422" w:rsidRDefault="00F37BF9">
            <w:pPr>
              <w:pStyle w:val="P68B1DB1-Normal11"/>
              <w:spacing w:line="276" w:lineRule="auto"/>
              <w:jc w:val="center"/>
              <w:rPr>
                <w:noProof/>
                <w:szCs w:val="20"/>
                <w:lang w:val="de-DE"/>
              </w:rPr>
            </w:pPr>
            <w:r w:rsidRPr="00170422">
              <w:rPr>
                <w:noProof/>
                <w:lang w:val="de-DE"/>
              </w:rPr>
              <w:t>Investition 4.3 Investitionen in die Widerstandsfähigkeit des</w:t>
            </w:r>
            <w:r w:rsidRPr="00170422">
              <w:rPr>
                <w:noProof/>
                <w:lang w:val="de-DE"/>
              </w:rPr>
              <w:t xml:space="preserve"> Bewässerungs-Agrarsystems für eine bessere Bewirtschaftung der Wasserressourcen</w:t>
            </w:r>
          </w:p>
        </w:tc>
        <w:tc>
          <w:tcPr>
            <w:tcW w:w="1419" w:type="dxa"/>
            <w:shd w:val="clear" w:color="auto" w:fill="C6EFCE"/>
            <w:noWrap/>
            <w:vAlign w:val="center"/>
            <w:hideMark/>
          </w:tcPr>
          <w:p w14:paraId="47B659F8"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39A65A82" w14:textId="77777777" w:rsidR="0057163C" w:rsidRPr="00170422" w:rsidRDefault="00F37BF9">
            <w:pPr>
              <w:pStyle w:val="P68B1DB1-Normal11"/>
              <w:spacing w:line="276" w:lineRule="auto"/>
              <w:jc w:val="center"/>
              <w:rPr>
                <w:noProof/>
                <w:szCs w:val="20"/>
                <w:lang w:val="de-DE"/>
              </w:rPr>
            </w:pPr>
            <w:r w:rsidRPr="00170422">
              <w:rPr>
                <w:noProof/>
                <w:lang w:val="de-DE"/>
              </w:rPr>
              <w:t>Interventionen zur Stärkung der Widerstandsfähigkeit des Bewässerungs-Agrarsystems für eine bessere Bewirtschaftung der Wasserressourcen T1</w:t>
            </w:r>
          </w:p>
        </w:tc>
        <w:tc>
          <w:tcPr>
            <w:tcW w:w="1284" w:type="dxa"/>
            <w:shd w:val="clear" w:color="auto" w:fill="C6EFCE"/>
            <w:noWrap/>
            <w:vAlign w:val="center"/>
            <w:hideMark/>
          </w:tcPr>
          <w:p w14:paraId="3DEAF7C8"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7A30833A" w14:textId="77777777" w:rsidR="0057163C" w:rsidRPr="00170422" w:rsidRDefault="00F37BF9">
            <w:pPr>
              <w:pStyle w:val="P68B1DB1-Normal12"/>
              <w:spacing w:line="276" w:lineRule="auto"/>
              <w:jc w:val="center"/>
              <w:rPr>
                <w:noProof/>
                <w:lang w:val="de-DE"/>
              </w:rPr>
            </w:pPr>
            <w:r w:rsidRPr="00170422">
              <w:rPr>
                <w:noProof/>
                <w:lang w:val="de-DE"/>
              </w:rPr>
              <w:t>Anzahl</w:t>
            </w:r>
          </w:p>
        </w:tc>
        <w:tc>
          <w:tcPr>
            <w:tcW w:w="1417" w:type="dxa"/>
            <w:shd w:val="clear" w:color="auto" w:fill="C6EFCE"/>
            <w:noWrap/>
            <w:vAlign w:val="center"/>
            <w:hideMark/>
          </w:tcPr>
          <w:p w14:paraId="32274487" w14:textId="77777777" w:rsidR="0057163C" w:rsidRPr="00170422" w:rsidRDefault="00F37BF9">
            <w:pPr>
              <w:pStyle w:val="P68B1DB1-Normal12"/>
              <w:spacing w:line="276" w:lineRule="auto"/>
              <w:jc w:val="center"/>
              <w:rPr>
                <w:noProof/>
                <w:lang w:val="de-DE"/>
              </w:rPr>
            </w:pPr>
            <w:r w:rsidRPr="00170422">
              <w:rPr>
                <w:noProof/>
                <w:lang w:val="de-DE"/>
              </w:rPr>
              <w:t>0</w:t>
            </w:r>
          </w:p>
        </w:tc>
        <w:tc>
          <w:tcPr>
            <w:tcW w:w="567" w:type="dxa"/>
            <w:shd w:val="clear" w:color="auto" w:fill="C6EFCE"/>
            <w:noWrap/>
            <w:vAlign w:val="center"/>
            <w:hideMark/>
          </w:tcPr>
          <w:p w14:paraId="277CBDA5" w14:textId="77777777" w:rsidR="0057163C" w:rsidRPr="00170422" w:rsidRDefault="00F37BF9">
            <w:pPr>
              <w:pStyle w:val="P68B1DB1-Normal12"/>
              <w:spacing w:line="276" w:lineRule="auto"/>
              <w:jc w:val="center"/>
              <w:rPr>
                <w:noProof/>
                <w:lang w:val="de-DE"/>
              </w:rPr>
            </w:pPr>
            <w:r w:rsidRPr="00170422">
              <w:rPr>
                <w:noProof/>
                <w:lang w:val="de-DE"/>
              </w:rPr>
              <w:t>40</w:t>
            </w:r>
          </w:p>
        </w:tc>
        <w:tc>
          <w:tcPr>
            <w:tcW w:w="851" w:type="dxa"/>
            <w:shd w:val="clear" w:color="auto" w:fill="C6EFCE"/>
            <w:noWrap/>
            <w:vAlign w:val="center"/>
            <w:hideMark/>
          </w:tcPr>
          <w:p w14:paraId="77842B2B" w14:textId="77777777" w:rsidR="0057163C" w:rsidRPr="00170422" w:rsidRDefault="00F37BF9">
            <w:pPr>
              <w:pStyle w:val="P68B1DB1-Normal11"/>
              <w:spacing w:line="276" w:lineRule="auto"/>
              <w:jc w:val="center"/>
              <w:rPr>
                <w:noProof/>
                <w:szCs w:val="20"/>
                <w:lang w:val="de-DE"/>
              </w:rPr>
            </w:pPr>
            <w:r w:rsidRPr="00170422">
              <w:rPr>
                <w:noProof/>
                <w:lang w:val="de-DE"/>
              </w:rPr>
              <w:t xml:space="preserve">4. </w:t>
            </w:r>
            <w:r w:rsidRPr="00170422">
              <w:rPr>
                <w:noProof/>
                <w:lang w:val="de-DE"/>
              </w:rPr>
              <w:t>QUARTAL</w:t>
            </w:r>
          </w:p>
        </w:tc>
        <w:tc>
          <w:tcPr>
            <w:tcW w:w="709" w:type="dxa"/>
            <w:shd w:val="clear" w:color="auto" w:fill="C6EFCE"/>
            <w:noWrap/>
            <w:vAlign w:val="center"/>
            <w:hideMark/>
          </w:tcPr>
          <w:p w14:paraId="247914B9" w14:textId="77777777" w:rsidR="0057163C" w:rsidRPr="00170422" w:rsidRDefault="00F37BF9">
            <w:pPr>
              <w:pStyle w:val="P68B1DB1-Normal11"/>
              <w:spacing w:line="276" w:lineRule="auto"/>
              <w:jc w:val="center"/>
              <w:rPr>
                <w:noProof/>
                <w:szCs w:val="20"/>
                <w:lang w:val="de-DE"/>
              </w:rPr>
            </w:pPr>
            <w:r w:rsidRPr="00170422">
              <w:rPr>
                <w:noProof/>
                <w:lang w:val="de-DE"/>
              </w:rPr>
              <w:t>2024</w:t>
            </w:r>
          </w:p>
        </w:tc>
        <w:tc>
          <w:tcPr>
            <w:tcW w:w="2867" w:type="dxa"/>
            <w:shd w:val="clear" w:color="auto" w:fill="C6EFCE"/>
            <w:noWrap/>
            <w:vAlign w:val="center"/>
            <w:hideMark/>
          </w:tcPr>
          <w:p w14:paraId="541CB9AC" w14:textId="677370F1" w:rsidR="0057163C" w:rsidRPr="00170422" w:rsidRDefault="00F37BF9">
            <w:pPr>
              <w:pStyle w:val="P68B1DB1-Normal12"/>
              <w:spacing w:line="276" w:lineRule="auto"/>
              <w:rPr>
                <w:noProof/>
                <w:lang w:val="de-DE"/>
              </w:rPr>
            </w:pPr>
            <w:r w:rsidRPr="00170422">
              <w:rPr>
                <w:noProof/>
                <w:lang w:val="de-DE"/>
              </w:rPr>
              <w:t>Mindestens 40 (in SIGRIAN aufgeführte) Entnahmequellen im Zusammenhang mit einer Wasserkonzession (concessione di derivazione) mit einer Durchflussmenge von mindestens 100 l/s müssen mit Zählern ausgestattet sein.</w:t>
            </w:r>
          </w:p>
          <w:p w14:paraId="6D0BEBB9" w14:textId="77777777" w:rsidR="0057163C" w:rsidRPr="00170422" w:rsidRDefault="00F37BF9">
            <w:pPr>
              <w:pStyle w:val="P68B1DB1-Normal11"/>
              <w:spacing w:line="276" w:lineRule="auto"/>
              <w:rPr>
                <w:noProof/>
                <w:szCs w:val="20"/>
                <w:lang w:val="de-DE"/>
              </w:rPr>
            </w:pPr>
            <w:r w:rsidRPr="00170422">
              <w:rPr>
                <w:noProof/>
                <w:lang w:val="de-DE"/>
              </w:rPr>
              <w:t>Die allgemeinen Netzeffizienz</w:t>
            </w:r>
            <w:r w:rsidRPr="00170422">
              <w:rPr>
                <w:noProof/>
                <w:lang w:val="de-DE"/>
              </w:rPr>
              <w:t>interventionen umfassen auch die Installation von:</w:t>
            </w:r>
          </w:p>
          <w:p w14:paraId="7D5F1C27" w14:textId="77777777" w:rsidR="0057163C" w:rsidRPr="00170422" w:rsidRDefault="00F37BF9">
            <w:pPr>
              <w:pStyle w:val="P68B1DB1-ListParagraph15"/>
              <w:numPr>
                <w:ilvl w:val="0"/>
                <w:numId w:val="34"/>
              </w:numPr>
              <w:spacing w:after="0" w:line="276" w:lineRule="auto"/>
              <w:jc w:val="both"/>
              <w:rPr>
                <w:noProof/>
                <w:szCs w:val="20"/>
                <w:lang w:val="de-DE"/>
              </w:rPr>
            </w:pPr>
            <w:r w:rsidRPr="00170422">
              <w:rPr>
                <w:noProof/>
                <w:szCs w:val="20"/>
                <w:lang w:val="de-DE"/>
              </w:rPr>
              <w:t>30</w:t>
            </w:r>
            <w:r w:rsidRPr="00170422">
              <w:rPr>
                <w:noProof/>
                <w:lang w:val="de-DE"/>
              </w:rPr>
              <w:t>0 Zähler der dritten Stufe;</w:t>
            </w:r>
          </w:p>
          <w:p w14:paraId="44C7FF6D" w14:textId="77777777" w:rsidR="0057163C" w:rsidRPr="00170422" w:rsidRDefault="00F37BF9">
            <w:pPr>
              <w:pStyle w:val="P68B1DB1-ListParagraph15"/>
              <w:numPr>
                <w:ilvl w:val="0"/>
                <w:numId w:val="34"/>
              </w:numPr>
              <w:spacing w:after="0" w:line="276" w:lineRule="auto"/>
              <w:jc w:val="both"/>
              <w:rPr>
                <w:noProof/>
                <w:szCs w:val="20"/>
                <w:lang w:val="de-DE"/>
              </w:rPr>
            </w:pPr>
            <w:r w:rsidRPr="00170422">
              <w:rPr>
                <w:noProof/>
                <w:szCs w:val="20"/>
                <w:lang w:val="de-DE"/>
              </w:rPr>
              <w:t>10000</w:t>
            </w:r>
            <w:r w:rsidRPr="00170422">
              <w:rPr>
                <w:noProof/>
                <w:lang w:val="de-DE"/>
              </w:rPr>
              <w:t xml:space="preserve"> </w:t>
            </w:r>
            <w:r w:rsidRPr="00170422">
              <w:rPr>
                <w:noProof/>
                <w:szCs w:val="20"/>
                <w:lang w:val="de-DE"/>
              </w:rPr>
              <w:t>Meter</w:t>
            </w:r>
            <w:r w:rsidRPr="00170422">
              <w:rPr>
                <w:noProof/>
                <w:lang w:val="de-DE"/>
              </w:rPr>
              <w:t xml:space="preserve"> vierter Ebene;</w:t>
            </w:r>
          </w:p>
          <w:p w14:paraId="479ECACB" w14:textId="77777777" w:rsidR="0057163C" w:rsidRPr="00170422" w:rsidRDefault="00F37BF9">
            <w:pPr>
              <w:pStyle w:val="P68B1DB1-ListParagraph15"/>
              <w:numPr>
                <w:ilvl w:val="0"/>
                <w:numId w:val="34"/>
              </w:numPr>
              <w:spacing w:after="0" w:line="276" w:lineRule="auto"/>
              <w:jc w:val="both"/>
              <w:rPr>
                <w:noProof/>
                <w:szCs w:val="20"/>
                <w:lang w:val="de-DE"/>
              </w:rPr>
            </w:pPr>
            <w:r w:rsidRPr="00170422">
              <w:rPr>
                <w:noProof/>
                <w:lang w:val="de-DE"/>
              </w:rPr>
              <w:t>Digitalisierung und Netzverbesserungen.</w:t>
            </w:r>
          </w:p>
        </w:tc>
      </w:tr>
      <w:tr w:rsidR="00110887" w:rsidRPr="00170422" w14:paraId="7DB41ACE" w14:textId="77777777" w:rsidTr="00110887">
        <w:trPr>
          <w:trHeight w:val="300"/>
        </w:trPr>
        <w:tc>
          <w:tcPr>
            <w:tcW w:w="959" w:type="dxa"/>
            <w:shd w:val="clear" w:color="auto" w:fill="C6EFCE"/>
            <w:noWrap/>
            <w:vAlign w:val="center"/>
            <w:hideMark/>
          </w:tcPr>
          <w:p w14:paraId="146645F7" w14:textId="77777777" w:rsidR="0057163C" w:rsidRPr="00170422" w:rsidRDefault="00F37BF9">
            <w:pPr>
              <w:pStyle w:val="P68B1DB1-Normal11"/>
              <w:spacing w:line="276" w:lineRule="auto"/>
              <w:jc w:val="center"/>
              <w:rPr>
                <w:noProof/>
                <w:szCs w:val="20"/>
                <w:lang w:val="de-DE"/>
              </w:rPr>
            </w:pPr>
            <w:r w:rsidRPr="00170422">
              <w:rPr>
                <w:noProof/>
                <w:lang w:val="de-DE"/>
              </w:rPr>
              <w:t>M2C4-34bis</w:t>
            </w:r>
          </w:p>
        </w:tc>
        <w:tc>
          <w:tcPr>
            <w:tcW w:w="1699" w:type="dxa"/>
            <w:shd w:val="clear" w:color="auto" w:fill="C6EFCE"/>
            <w:noWrap/>
            <w:vAlign w:val="center"/>
            <w:hideMark/>
          </w:tcPr>
          <w:p w14:paraId="3296E31B" w14:textId="77777777" w:rsidR="0057163C" w:rsidRPr="00170422" w:rsidRDefault="00F37BF9">
            <w:pPr>
              <w:pStyle w:val="P68B1DB1-Normal11"/>
              <w:spacing w:line="276" w:lineRule="auto"/>
              <w:jc w:val="center"/>
              <w:rPr>
                <w:noProof/>
                <w:szCs w:val="20"/>
                <w:lang w:val="de-DE"/>
              </w:rPr>
            </w:pPr>
            <w:r w:rsidRPr="00170422">
              <w:rPr>
                <w:noProof/>
                <w:lang w:val="de-DE"/>
              </w:rPr>
              <w:t>Investition 4.3 Investitionen in die Widerstandsfähigkeit des Bewässerungs-Agrarsystems für eine</w:t>
            </w:r>
            <w:r w:rsidRPr="00170422">
              <w:rPr>
                <w:noProof/>
                <w:lang w:val="de-DE"/>
              </w:rPr>
              <w:t xml:space="preserve"> bessere Bewirtschaftung der Wasserressourcen</w:t>
            </w:r>
          </w:p>
        </w:tc>
        <w:tc>
          <w:tcPr>
            <w:tcW w:w="1419" w:type="dxa"/>
            <w:shd w:val="clear" w:color="auto" w:fill="C6EFCE"/>
            <w:noWrap/>
            <w:vAlign w:val="center"/>
            <w:hideMark/>
          </w:tcPr>
          <w:p w14:paraId="61935C7F"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6D505E3C" w14:textId="77777777" w:rsidR="0057163C" w:rsidRPr="00170422" w:rsidRDefault="00F37BF9">
            <w:pPr>
              <w:pStyle w:val="P68B1DB1-Normal11"/>
              <w:spacing w:line="276" w:lineRule="auto"/>
              <w:jc w:val="center"/>
              <w:rPr>
                <w:noProof/>
                <w:szCs w:val="20"/>
                <w:lang w:val="de-DE"/>
              </w:rPr>
            </w:pPr>
            <w:r w:rsidRPr="00170422">
              <w:rPr>
                <w:noProof/>
                <w:lang w:val="de-DE"/>
              </w:rPr>
              <w:t>Interventionen zur Stärkung der Widerstandsfähigkeit des Bewässerungs-Agrarsystems für eine bessere Bewirtschaftung der Wasserressourcen T1</w:t>
            </w:r>
            <w:r w:rsidRPr="00170422">
              <w:rPr>
                <w:noProof/>
                <w:szCs w:val="20"/>
                <w:lang w:val="de-DE"/>
              </w:rPr>
              <w:t>.2</w:t>
            </w:r>
          </w:p>
        </w:tc>
        <w:tc>
          <w:tcPr>
            <w:tcW w:w="1284" w:type="dxa"/>
            <w:shd w:val="clear" w:color="auto" w:fill="C6EFCE"/>
            <w:noWrap/>
            <w:vAlign w:val="center"/>
            <w:hideMark/>
          </w:tcPr>
          <w:p w14:paraId="3F3C056E"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7CA91A82" w14:textId="77777777" w:rsidR="0057163C" w:rsidRPr="00170422" w:rsidRDefault="00F37BF9">
            <w:pPr>
              <w:pStyle w:val="P68B1DB1-Normal12"/>
              <w:spacing w:line="276" w:lineRule="auto"/>
              <w:jc w:val="center"/>
              <w:rPr>
                <w:noProof/>
                <w:lang w:val="de-DE"/>
              </w:rPr>
            </w:pPr>
            <w:r w:rsidRPr="00170422">
              <w:rPr>
                <w:noProof/>
                <w:lang w:val="de-DE"/>
              </w:rPr>
              <w:t>Anzahl</w:t>
            </w:r>
          </w:p>
        </w:tc>
        <w:tc>
          <w:tcPr>
            <w:tcW w:w="1417" w:type="dxa"/>
            <w:shd w:val="clear" w:color="auto" w:fill="C6EFCE"/>
            <w:noWrap/>
            <w:vAlign w:val="center"/>
            <w:hideMark/>
          </w:tcPr>
          <w:p w14:paraId="7E6AED5A" w14:textId="77777777" w:rsidR="0057163C" w:rsidRPr="00170422" w:rsidRDefault="00F37BF9">
            <w:pPr>
              <w:pStyle w:val="P68B1DB1-Normal12"/>
              <w:spacing w:line="276" w:lineRule="auto"/>
              <w:jc w:val="center"/>
              <w:rPr>
                <w:noProof/>
                <w:lang w:val="de-DE"/>
              </w:rPr>
            </w:pPr>
            <w:r w:rsidRPr="00170422">
              <w:rPr>
                <w:noProof/>
                <w:lang w:val="de-DE"/>
              </w:rPr>
              <w:t>40</w:t>
            </w:r>
          </w:p>
        </w:tc>
        <w:tc>
          <w:tcPr>
            <w:tcW w:w="567" w:type="dxa"/>
            <w:shd w:val="clear" w:color="auto" w:fill="C6EFCE"/>
            <w:noWrap/>
            <w:vAlign w:val="center"/>
            <w:hideMark/>
          </w:tcPr>
          <w:p w14:paraId="672086E9" w14:textId="77777777" w:rsidR="0057163C" w:rsidRPr="00170422" w:rsidRDefault="00F37BF9">
            <w:pPr>
              <w:pStyle w:val="P68B1DB1-Normal12"/>
              <w:spacing w:line="276" w:lineRule="auto"/>
              <w:jc w:val="center"/>
              <w:rPr>
                <w:noProof/>
                <w:lang w:val="de-DE"/>
              </w:rPr>
            </w:pPr>
            <w:r w:rsidRPr="00170422">
              <w:rPr>
                <w:noProof/>
                <w:lang w:val="de-DE"/>
              </w:rPr>
              <w:t>105</w:t>
            </w:r>
          </w:p>
        </w:tc>
        <w:tc>
          <w:tcPr>
            <w:tcW w:w="851" w:type="dxa"/>
            <w:shd w:val="clear" w:color="auto" w:fill="C6EFCE"/>
            <w:noWrap/>
            <w:vAlign w:val="center"/>
            <w:hideMark/>
          </w:tcPr>
          <w:p w14:paraId="65E4842A" w14:textId="77777777" w:rsidR="0057163C" w:rsidRPr="00170422" w:rsidRDefault="00F37BF9">
            <w:pPr>
              <w:pStyle w:val="P68B1DB1-Normal11"/>
              <w:spacing w:line="276" w:lineRule="auto"/>
              <w:jc w:val="center"/>
              <w:rPr>
                <w:noProof/>
                <w:szCs w:val="20"/>
                <w:lang w:val="de-DE"/>
              </w:rPr>
            </w:pPr>
            <w:r w:rsidRPr="00170422">
              <w:rPr>
                <w:noProof/>
                <w:lang w:val="de-DE"/>
              </w:rPr>
              <w:t>Q2</w:t>
            </w:r>
          </w:p>
        </w:tc>
        <w:tc>
          <w:tcPr>
            <w:tcW w:w="709" w:type="dxa"/>
            <w:shd w:val="clear" w:color="auto" w:fill="C6EFCE"/>
            <w:noWrap/>
            <w:vAlign w:val="center"/>
            <w:hideMark/>
          </w:tcPr>
          <w:p w14:paraId="0AAF3234"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shd w:val="clear" w:color="auto" w:fill="C6EFCE"/>
            <w:noWrap/>
            <w:vAlign w:val="center"/>
            <w:hideMark/>
          </w:tcPr>
          <w:p w14:paraId="7E259A6D" w14:textId="77777777" w:rsidR="0057163C" w:rsidRPr="00170422" w:rsidRDefault="00F37BF9">
            <w:pPr>
              <w:pStyle w:val="P68B1DB1-Normal12"/>
              <w:spacing w:line="276" w:lineRule="auto"/>
              <w:rPr>
                <w:noProof/>
                <w:lang w:val="de-DE"/>
              </w:rPr>
            </w:pPr>
            <w:r w:rsidRPr="00170422">
              <w:rPr>
                <w:noProof/>
                <w:lang w:val="de-DE"/>
              </w:rPr>
              <w:t xml:space="preserve">Mindestens 105 (in SIGRIAN </w:t>
            </w:r>
            <w:r w:rsidRPr="00170422">
              <w:rPr>
                <w:noProof/>
                <w:lang w:val="de-DE"/>
              </w:rPr>
              <w:t>aufgeführte) Entnahmequellen im Zusammenhang mit einer Wasserkonzession (concessione di derivazione) mit einer Durchflussmenge von mindestens 100 l/s müssen mit Zählern ausgestattet sein.</w:t>
            </w:r>
          </w:p>
          <w:p w14:paraId="42B281BD" w14:textId="77777777" w:rsidR="0057163C" w:rsidRPr="00170422" w:rsidRDefault="00F37BF9">
            <w:pPr>
              <w:pStyle w:val="P68B1DB1-Normal12"/>
              <w:spacing w:after="0" w:line="276" w:lineRule="auto"/>
              <w:jc w:val="both"/>
              <w:rPr>
                <w:noProof/>
                <w:lang w:val="de-DE"/>
              </w:rPr>
            </w:pPr>
            <w:r w:rsidRPr="00170422">
              <w:rPr>
                <w:noProof/>
                <w:lang w:val="de-DE"/>
              </w:rPr>
              <w:t>Die Gesamtnetzeffizienzinterventionen müssen mindestens 422 407 Hekt</w:t>
            </w:r>
            <w:r w:rsidRPr="00170422">
              <w:rPr>
                <w:noProof/>
                <w:lang w:val="de-DE"/>
              </w:rPr>
              <w:t xml:space="preserve">ar bewässerter Fläche zugutekommen und umfassen: </w:t>
            </w:r>
          </w:p>
          <w:p w14:paraId="03A247E1" w14:textId="28304F22" w:rsidR="0057163C" w:rsidRPr="00170422" w:rsidRDefault="00F37BF9">
            <w:pPr>
              <w:pStyle w:val="P68B1DB1-ListParagraph13"/>
              <w:numPr>
                <w:ilvl w:val="0"/>
                <w:numId w:val="35"/>
              </w:numPr>
              <w:spacing w:after="0" w:line="276" w:lineRule="auto"/>
              <w:jc w:val="both"/>
              <w:rPr>
                <w:noProof/>
                <w:lang w:val="de-DE"/>
              </w:rPr>
            </w:pPr>
            <w:r w:rsidRPr="00170422">
              <w:rPr>
                <w:noProof/>
                <w:lang w:val="de-DE"/>
              </w:rPr>
              <w:t>Die Installation von 750 Zählern der dritten Ebene;</w:t>
            </w:r>
          </w:p>
          <w:p w14:paraId="03AC3505" w14:textId="77777777" w:rsidR="0057163C" w:rsidRPr="00170422" w:rsidRDefault="00F37BF9">
            <w:pPr>
              <w:pStyle w:val="P68B1DB1-ListParagraph13"/>
              <w:numPr>
                <w:ilvl w:val="0"/>
                <w:numId w:val="35"/>
              </w:numPr>
              <w:spacing w:after="0" w:line="276" w:lineRule="auto"/>
              <w:jc w:val="both"/>
              <w:rPr>
                <w:noProof/>
                <w:lang w:val="de-DE"/>
              </w:rPr>
            </w:pPr>
            <w:r w:rsidRPr="00170422">
              <w:rPr>
                <w:noProof/>
                <w:lang w:val="de-DE"/>
              </w:rPr>
              <w:t>Die Installation von 25 000 Metern vierter Ebene;</w:t>
            </w:r>
          </w:p>
          <w:p w14:paraId="007AAFBA" w14:textId="77777777" w:rsidR="0057163C" w:rsidRPr="00170422" w:rsidRDefault="00F37BF9">
            <w:pPr>
              <w:pStyle w:val="P68B1DB1-ListParagraph13"/>
              <w:numPr>
                <w:ilvl w:val="0"/>
                <w:numId w:val="35"/>
              </w:numPr>
              <w:spacing w:after="0" w:line="276" w:lineRule="auto"/>
              <w:jc w:val="both"/>
              <w:rPr>
                <w:noProof/>
                <w:lang w:val="de-DE"/>
              </w:rPr>
            </w:pPr>
            <w:r w:rsidRPr="00170422">
              <w:rPr>
                <w:noProof/>
                <w:lang w:val="de-DE"/>
              </w:rPr>
              <w:t>Digitalisierung und Netzverbesserungen.</w:t>
            </w:r>
          </w:p>
        </w:tc>
      </w:tr>
      <w:tr w:rsidR="00110887" w:rsidRPr="00170422" w14:paraId="6B9E5A7A" w14:textId="77777777" w:rsidTr="00110887">
        <w:trPr>
          <w:trHeight w:val="300"/>
        </w:trPr>
        <w:tc>
          <w:tcPr>
            <w:tcW w:w="959" w:type="dxa"/>
            <w:shd w:val="clear" w:color="auto" w:fill="C6EFCE"/>
            <w:noWrap/>
            <w:vAlign w:val="center"/>
          </w:tcPr>
          <w:p w14:paraId="01753F6F" w14:textId="4334586A" w:rsidR="0057163C" w:rsidRPr="00170422" w:rsidRDefault="00F37BF9">
            <w:pPr>
              <w:pStyle w:val="P68B1DB1-Normal12"/>
              <w:spacing w:line="276" w:lineRule="auto"/>
              <w:jc w:val="center"/>
              <w:rPr>
                <w:noProof/>
                <w:lang w:val="de-DE"/>
              </w:rPr>
            </w:pPr>
            <w:r w:rsidRPr="00170422">
              <w:rPr>
                <w:noProof/>
                <w:lang w:val="de-DE"/>
              </w:rPr>
              <w:t>M2C4-35</w:t>
            </w:r>
          </w:p>
        </w:tc>
        <w:tc>
          <w:tcPr>
            <w:tcW w:w="1699" w:type="dxa"/>
            <w:shd w:val="clear" w:color="auto" w:fill="C6EFCE"/>
            <w:noWrap/>
            <w:vAlign w:val="center"/>
          </w:tcPr>
          <w:p w14:paraId="0A0F483D" w14:textId="77777777" w:rsidR="0057163C" w:rsidRPr="00170422" w:rsidRDefault="00F37BF9">
            <w:pPr>
              <w:pStyle w:val="P68B1DB1-Normal12"/>
              <w:spacing w:line="276" w:lineRule="auto"/>
              <w:jc w:val="center"/>
              <w:rPr>
                <w:noProof/>
                <w:lang w:val="de-DE"/>
              </w:rPr>
            </w:pPr>
            <w:r w:rsidRPr="00170422">
              <w:rPr>
                <w:noProof/>
                <w:lang w:val="de-DE"/>
              </w:rPr>
              <w:t xml:space="preserve">Investition 4.3 Investitionen in die </w:t>
            </w:r>
            <w:r w:rsidRPr="00170422">
              <w:rPr>
                <w:noProof/>
                <w:lang w:val="de-DE"/>
              </w:rPr>
              <w:t>Widerstandsfähigkeit des Bewässerungs-Agrarsystems für eine bessere Bewirtschaftung der Wasserressourcen</w:t>
            </w:r>
          </w:p>
        </w:tc>
        <w:tc>
          <w:tcPr>
            <w:tcW w:w="1419" w:type="dxa"/>
            <w:shd w:val="clear" w:color="auto" w:fill="C6EFCE"/>
            <w:noWrap/>
            <w:vAlign w:val="center"/>
          </w:tcPr>
          <w:p w14:paraId="07530782" w14:textId="77777777" w:rsidR="0057163C" w:rsidRPr="00170422" w:rsidRDefault="00F37BF9">
            <w:pPr>
              <w:pStyle w:val="P68B1DB1-Normal12"/>
              <w:spacing w:line="276" w:lineRule="auto"/>
              <w:jc w:val="center"/>
              <w:rPr>
                <w:noProof/>
                <w:lang w:val="de-DE"/>
              </w:rPr>
            </w:pPr>
            <w:r w:rsidRPr="00170422">
              <w:rPr>
                <w:noProof/>
                <w:lang w:val="de-DE"/>
              </w:rPr>
              <w:t>Ziel</w:t>
            </w:r>
          </w:p>
        </w:tc>
        <w:tc>
          <w:tcPr>
            <w:tcW w:w="1268" w:type="dxa"/>
            <w:shd w:val="clear" w:color="auto" w:fill="C6EFCE"/>
            <w:noWrap/>
            <w:vAlign w:val="center"/>
          </w:tcPr>
          <w:p w14:paraId="1753BFD0" w14:textId="77777777" w:rsidR="0057163C" w:rsidRPr="00170422" w:rsidRDefault="00F37BF9">
            <w:pPr>
              <w:pStyle w:val="P68B1DB1-Normal12"/>
              <w:spacing w:line="276" w:lineRule="auto"/>
              <w:jc w:val="center"/>
              <w:rPr>
                <w:noProof/>
                <w:lang w:val="de-DE"/>
              </w:rPr>
            </w:pPr>
            <w:r w:rsidRPr="00170422">
              <w:rPr>
                <w:noProof/>
                <w:lang w:val="de-DE"/>
              </w:rPr>
              <w:t>Interventionen zur Stärkung der Widerstandsfähigkeit des Bewässerungs-Agrarsystems für eine bessere Bewirtschaftung der Wasserressourcen T2</w:t>
            </w:r>
          </w:p>
        </w:tc>
        <w:tc>
          <w:tcPr>
            <w:tcW w:w="1284" w:type="dxa"/>
            <w:shd w:val="clear" w:color="auto" w:fill="C6EFCE"/>
            <w:noWrap/>
            <w:vAlign w:val="center"/>
          </w:tcPr>
          <w:p w14:paraId="02F24587" w14:textId="77777777" w:rsidR="0057163C" w:rsidRPr="00170422" w:rsidRDefault="00F37BF9">
            <w:pPr>
              <w:pStyle w:val="P68B1DB1-Normal12"/>
              <w:spacing w:line="276" w:lineRule="auto"/>
              <w:jc w:val="center"/>
              <w:rPr>
                <w:noProof/>
                <w:lang w:val="de-DE"/>
              </w:rPr>
            </w:pPr>
            <w:r w:rsidRPr="00170422">
              <w:rPr>
                <w:noProof/>
                <w:lang w:val="de-DE"/>
              </w:rPr>
              <w:t>ENTFÄLLT.</w:t>
            </w:r>
          </w:p>
        </w:tc>
        <w:tc>
          <w:tcPr>
            <w:tcW w:w="1134" w:type="dxa"/>
            <w:shd w:val="clear" w:color="auto" w:fill="C6EFCE"/>
            <w:noWrap/>
            <w:vAlign w:val="center"/>
          </w:tcPr>
          <w:p w14:paraId="2361F54B" w14:textId="77777777" w:rsidR="0057163C" w:rsidRPr="00170422" w:rsidRDefault="00F37BF9">
            <w:pPr>
              <w:pStyle w:val="P68B1DB1-Normal12"/>
              <w:spacing w:line="276" w:lineRule="auto"/>
              <w:jc w:val="center"/>
              <w:rPr>
                <w:rFonts w:eastAsia="Arial Narrow" w:cs="Arial Narrow"/>
                <w:noProof/>
                <w:lang w:val="de-DE"/>
              </w:rPr>
            </w:pPr>
            <w:r w:rsidRPr="00170422">
              <w:rPr>
                <w:noProof/>
                <w:lang w:val="de-DE"/>
              </w:rPr>
              <w:t>Hektar</w:t>
            </w:r>
          </w:p>
        </w:tc>
        <w:tc>
          <w:tcPr>
            <w:tcW w:w="1417" w:type="dxa"/>
            <w:shd w:val="clear" w:color="auto" w:fill="C6EFCE"/>
            <w:noWrap/>
            <w:vAlign w:val="center"/>
          </w:tcPr>
          <w:p w14:paraId="000C04A6" w14:textId="77777777" w:rsidR="0057163C" w:rsidRPr="00170422" w:rsidRDefault="00F37BF9">
            <w:pPr>
              <w:pStyle w:val="P68B1DB1-Normal12"/>
              <w:spacing w:line="276" w:lineRule="auto"/>
              <w:jc w:val="center"/>
              <w:rPr>
                <w:noProof/>
                <w:lang w:val="de-DE"/>
              </w:rPr>
            </w:pPr>
            <w:r w:rsidRPr="00170422">
              <w:rPr>
                <w:noProof/>
                <w:lang w:val="de-DE"/>
              </w:rPr>
              <w:t>0</w:t>
            </w:r>
          </w:p>
        </w:tc>
        <w:tc>
          <w:tcPr>
            <w:tcW w:w="567" w:type="dxa"/>
            <w:shd w:val="clear" w:color="auto" w:fill="C6EFCE"/>
            <w:noWrap/>
            <w:vAlign w:val="center"/>
          </w:tcPr>
          <w:p w14:paraId="681AFE3A" w14:textId="77777777" w:rsidR="0057163C" w:rsidRPr="00170422" w:rsidRDefault="00F37BF9">
            <w:pPr>
              <w:pStyle w:val="P68B1DB1-Normal12"/>
              <w:spacing w:line="276" w:lineRule="auto"/>
              <w:jc w:val="center"/>
              <w:rPr>
                <w:noProof/>
                <w:lang w:val="de-DE"/>
              </w:rPr>
            </w:pPr>
            <w:r w:rsidRPr="00170422">
              <w:rPr>
                <w:noProof/>
                <w:lang w:val="de-DE"/>
              </w:rPr>
              <w:t>96 390</w:t>
            </w:r>
          </w:p>
        </w:tc>
        <w:tc>
          <w:tcPr>
            <w:tcW w:w="851" w:type="dxa"/>
            <w:shd w:val="clear" w:color="auto" w:fill="C6EFCE"/>
            <w:noWrap/>
            <w:vAlign w:val="center"/>
          </w:tcPr>
          <w:p w14:paraId="6E97D5D1" w14:textId="77777777" w:rsidR="0057163C" w:rsidRPr="00170422" w:rsidRDefault="00F37BF9">
            <w:pPr>
              <w:pStyle w:val="P68B1DB1-Normal12"/>
              <w:spacing w:line="276" w:lineRule="auto"/>
              <w:jc w:val="center"/>
              <w:rPr>
                <w:noProof/>
                <w:lang w:val="de-DE"/>
              </w:rPr>
            </w:pPr>
            <w:r w:rsidRPr="00170422">
              <w:rPr>
                <w:noProof/>
                <w:lang w:val="de-DE"/>
              </w:rPr>
              <w:t>4. QUARTAL</w:t>
            </w:r>
          </w:p>
        </w:tc>
        <w:tc>
          <w:tcPr>
            <w:tcW w:w="709" w:type="dxa"/>
            <w:shd w:val="clear" w:color="auto" w:fill="C6EFCE"/>
            <w:noWrap/>
            <w:vAlign w:val="center"/>
          </w:tcPr>
          <w:p w14:paraId="51F2A185" w14:textId="77777777" w:rsidR="0057163C" w:rsidRPr="00170422" w:rsidRDefault="00F37BF9">
            <w:pPr>
              <w:pStyle w:val="P68B1DB1-Normal12"/>
              <w:spacing w:line="276" w:lineRule="auto"/>
              <w:jc w:val="center"/>
              <w:rPr>
                <w:noProof/>
                <w:lang w:val="de-DE"/>
              </w:rPr>
            </w:pPr>
            <w:r w:rsidRPr="00170422">
              <w:rPr>
                <w:noProof/>
                <w:lang w:val="de-DE"/>
              </w:rPr>
              <w:t>2024</w:t>
            </w:r>
          </w:p>
        </w:tc>
        <w:tc>
          <w:tcPr>
            <w:tcW w:w="2867" w:type="dxa"/>
            <w:shd w:val="clear" w:color="auto" w:fill="C6EFCE"/>
            <w:noWrap/>
            <w:vAlign w:val="center"/>
          </w:tcPr>
          <w:p w14:paraId="642B490D" w14:textId="6EBE2D09" w:rsidR="0057163C" w:rsidRPr="00170422" w:rsidRDefault="00F37BF9">
            <w:pPr>
              <w:pStyle w:val="P68B1DB1-Normal12"/>
              <w:spacing w:line="276" w:lineRule="auto"/>
              <w:rPr>
                <w:noProof/>
                <w:lang w:val="de-DE"/>
              </w:rPr>
            </w:pPr>
            <w:r w:rsidRPr="00170422">
              <w:rPr>
                <w:noProof/>
                <w:lang w:val="de-DE"/>
              </w:rPr>
              <w:t>Mindestens 96 390 Hektar bewässerter Flächen müssen von einer effizienten Nutzung der Bewässerungsressourcen profitieren.</w:t>
            </w:r>
          </w:p>
        </w:tc>
      </w:tr>
      <w:tr w:rsidR="00110887" w:rsidRPr="00170422" w14:paraId="4A4956BD" w14:textId="77777777" w:rsidTr="00110887">
        <w:trPr>
          <w:trHeight w:val="300"/>
        </w:trPr>
        <w:tc>
          <w:tcPr>
            <w:tcW w:w="959" w:type="dxa"/>
            <w:shd w:val="clear" w:color="auto" w:fill="C6EFCE"/>
            <w:noWrap/>
            <w:vAlign w:val="center"/>
            <w:hideMark/>
          </w:tcPr>
          <w:p w14:paraId="3501E398" w14:textId="586DA716" w:rsidR="0057163C" w:rsidRPr="00170422" w:rsidRDefault="00F37BF9">
            <w:pPr>
              <w:pStyle w:val="P68B1DB1-Normal11"/>
              <w:spacing w:line="276" w:lineRule="auto"/>
              <w:jc w:val="center"/>
              <w:rPr>
                <w:noProof/>
                <w:szCs w:val="20"/>
                <w:lang w:val="de-DE"/>
              </w:rPr>
            </w:pPr>
            <w:r w:rsidRPr="00170422">
              <w:rPr>
                <w:noProof/>
                <w:lang w:val="de-DE"/>
              </w:rPr>
              <w:t>M2C4-36</w:t>
            </w:r>
          </w:p>
        </w:tc>
        <w:tc>
          <w:tcPr>
            <w:tcW w:w="1699" w:type="dxa"/>
            <w:shd w:val="clear" w:color="auto" w:fill="C6EFCE"/>
            <w:noWrap/>
            <w:vAlign w:val="center"/>
            <w:hideMark/>
          </w:tcPr>
          <w:p w14:paraId="24852001" w14:textId="77777777" w:rsidR="0057163C" w:rsidRPr="00170422" w:rsidRDefault="00F37BF9">
            <w:pPr>
              <w:pStyle w:val="P68B1DB1-Normal11"/>
              <w:spacing w:line="276" w:lineRule="auto"/>
              <w:jc w:val="center"/>
              <w:rPr>
                <w:noProof/>
                <w:szCs w:val="20"/>
                <w:lang w:val="de-DE"/>
              </w:rPr>
            </w:pPr>
            <w:r w:rsidRPr="00170422">
              <w:rPr>
                <w:noProof/>
                <w:lang w:val="de-DE"/>
              </w:rPr>
              <w:t>Investition 4.4 Investitionen in Kanalisation und Reinigung</w:t>
            </w:r>
          </w:p>
        </w:tc>
        <w:tc>
          <w:tcPr>
            <w:tcW w:w="1419" w:type="dxa"/>
            <w:shd w:val="clear" w:color="auto" w:fill="C6EFCE"/>
            <w:noWrap/>
            <w:vAlign w:val="center"/>
            <w:hideMark/>
          </w:tcPr>
          <w:p w14:paraId="22297B6A" w14:textId="77777777" w:rsidR="0057163C" w:rsidRPr="00170422" w:rsidRDefault="00F37BF9">
            <w:pPr>
              <w:pStyle w:val="P68B1DB1-Normal11"/>
              <w:spacing w:line="276" w:lineRule="auto"/>
              <w:jc w:val="center"/>
              <w:rPr>
                <w:noProof/>
                <w:szCs w:val="20"/>
                <w:lang w:val="de-DE"/>
              </w:rPr>
            </w:pPr>
            <w:r w:rsidRPr="00170422">
              <w:rPr>
                <w:noProof/>
                <w:lang w:val="de-DE"/>
              </w:rPr>
              <w:t>Meilenstein</w:t>
            </w:r>
          </w:p>
        </w:tc>
        <w:tc>
          <w:tcPr>
            <w:tcW w:w="1268" w:type="dxa"/>
            <w:shd w:val="clear" w:color="auto" w:fill="C6EFCE"/>
            <w:noWrap/>
            <w:vAlign w:val="center"/>
            <w:hideMark/>
          </w:tcPr>
          <w:p w14:paraId="2C705C10" w14:textId="10D2928E" w:rsidR="0057163C" w:rsidRPr="00170422" w:rsidRDefault="00F37BF9">
            <w:pPr>
              <w:pStyle w:val="P68B1DB1-Normal11"/>
              <w:spacing w:line="276" w:lineRule="auto"/>
              <w:jc w:val="center"/>
              <w:rPr>
                <w:noProof/>
                <w:szCs w:val="20"/>
                <w:lang w:val="de-DE"/>
              </w:rPr>
            </w:pPr>
            <w:r w:rsidRPr="00170422">
              <w:rPr>
                <w:noProof/>
                <w:lang w:val="de-DE"/>
              </w:rPr>
              <w:t>Vergabe von</w:t>
            </w:r>
            <w:r w:rsidRPr="00170422">
              <w:rPr>
                <w:noProof/>
                <w:lang w:val="de-DE"/>
              </w:rPr>
              <w:t xml:space="preserve"> Fördermitteln für Abwasser- und Reinigungsprojekte</w:t>
            </w:r>
          </w:p>
        </w:tc>
        <w:tc>
          <w:tcPr>
            <w:tcW w:w="1284" w:type="dxa"/>
            <w:shd w:val="clear" w:color="auto" w:fill="C6EFCE"/>
            <w:noWrap/>
            <w:vAlign w:val="center"/>
            <w:hideMark/>
          </w:tcPr>
          <w:p w14:paraId="6D88A162" w14:textId="77777777" w:rsidR="0057163C" w:rsidRPr="00170422" w:rsidRDefault="00F37BF9">
            <w:pPr>
              <w:pStyle w:val="P68B1DB1-Normal11"/>
              <w:spacing w:line="276" w:lineRule="auto"/>
              <w:jc w:val="center"/>
              <w:rPr>
                <w:rFonts w:eastAsia="Arial Narrow" w:cs="Arial Narrow"/>
                <w:noProof/>
                <w:szCs w:val="20"/>
                <w:lang w:val="de-DE"/>
              </w:rPr>
            </w:pPr>
            <w:r w:rsidRPr="00170422">
              <w:rPr>
                <w:noProof/>
                <w:lang w:val="de-DE"/>
              </w:rPr>
              <w:t>Veröffentlichung eines Dekrets</w:t>
            </w:r>
          </w:p>
        </w:tc>
        <w:tc>
          <w:tcPr>
            <w:tcW w:w="1134" w:type="dxa"/>
            <w:shd w:val="clear" w:color="auto" w:fill="C6EFCE"/>
            <w:noWrap/>
            <w:vAlign w:val="center"/>
            <w:hideMark/>
          </w:tcPr>
          <w:p w14:paraId="2DA4290F"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417" w:type="dxa"/>
            <w:shd w:val="clear" w:color="auto" w:fill="C6EFCE"/>
            <w:noWrap/>
            <w:vAlign w:val="center"/>
            <w:hideMark/>
          </w:tcPr>
          <w:p w14:paraId="0DC7F30D" w14:textId="77777777" w:rsidR="0057163C" w:rsidRPr="00170422" w:rsidRDefault="00F37BF9">
            <w:pPr>
              <w:pStyle w:val="P68B1DB1-Normal11"/>
              <w:spacing w:line="276" w:lineRule="auto"/>
              <w:jc w:val="center"/>
              <w:rPr>
                <w:noProof/>
                <w:szCs w:val="20"/>
                <w:lang w:val="de-DE"/>
              </w:rPr>
            </w:pPr>
            <w:r w:rsidRPr="00170422">
              <w:rPr>
                <w:noProof/>
                <w:lang w:val="de-DE"/>
              </w:rPr>
              <w:t xml:space="preserve">ENTFÄLLT. </w:t>
            </w:r>
          </w:p>
        </w:tc>
        <w:tc>
          <w:tcPr>
            <w:tcW w:w="567" w:type="dxa"/>
            <w:shd w:val="clear" w:color="auto" w:fill="C6EFCE"/>
            <w:noWrap/>
            <w:vAlign w:val="center"/>
            <w:hideMark/>
          </w:tcPr>
          <w:p w14:paraId="4AC401F4"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851" w:type="dxa"/>
            <w:shd w:val="clear" w:color="auto" w:fill="C6EFCE"/>
            <w:noWrap/>
            <w:vAlign w:val="center"/>
            <w:hideMark/>
          </w:tcPr>
          <w:p w14:paraId="5C8BCB60" w14:textId="77777777" w:rsidR="0057163C" w:rsidRPr="00170422" w:rsidRDefault="00F37BF9">
            <w:pPr>
              <w:pStyle w:val="P68B1DB1-Normal11"/>
              <w:spacing w:line="276" w:lineRule="auto"/>
              <w:jc w:val="center"/>
              <w:rPr>
                <w:noProof/>
                <w:szCs w:val="20"/>
                <w:lang w:val="de-DE"/>
              </w:rPr>
            </w:pPr>
            <w:r w:rsidRPr="00170422">
              <w:rPr>
                <w:noProof/>
                <w:lang w:val="de-DE"/>
              </w:rPr>
              <w:t>4. QUARTAL</w:t>
            </w:r>
          </w:p>
        </w:tc>
        <w:tc>
          <w:tcPr>
            <w:tcW w:w="709" w:type="dxa"/>
            <w:shd w:val="clear" w:color="auto" w:fill="C6EFCE"/>
            <w:noWrap/>
            <w:vAlign w:val="center"/>
            <w:hideMark/>
          </w:tcPr>
          <w:p w14:paraId="7A0604A1" w14:textId="77777777" w:rsidR="0057163C" w:rsidRPr="00170422" w:rsidRDefault="00F37BF9">
            <w:pPr>
              <w:pStyle w:val="P68B1DB1-Normal11"/>
              <w:spacing w:line="276" w:lineRule="auto"/>
              <w:jc w:val="center"/>
              <w:rPr>
                <w:noProof/>
                <w:szCs w:val="20"/>
                <w:lang w:val="de-DE"/>
              </w:rPr>
            </w:pPr>
            <w:r w:rsidRPr="00170422">
              <w:rPr>
                <w:noProof/>
                <w:lang w:val="de-DE"/>
              </w:rPr>
              <w:t>2023</w:t>
            </w:r>
          </w:p>
        </w:tc>
        <w:tc>
          <w:tcPr>
            <w:tcW w:w="2867" w:type="dxa"/>
            <w:shd w:val="clear" w:color="auto" w:fill="C6EFCE"/>
            <w:noWrap/>
            <w:vAlign w:val="center"/>
            <w:hideMark/>
          </w:tcPr>
          <w:p w14:paraId="53EC7DC3" w14:textId="794D14CB" w:rsidR="0057163C" w:rsidRPr="00170422" w:rsidRDefault="00F37BF9">
            <w:pPr>
              <w:pStyle w:val="P68B1DB1-Normal11"/>
              <w:spacing w:line="276" w:lineRule="auto"/>
              <w:rPr>
                <w:noProof/>
                <w:szCs w:val="20"/>
                <w:lang w:val="de-DE"/>
              </w:rPr>
            </w:pPr>
            <w:r w:rsidRPr="00170422">
              <w:rPr>
                <w:noProof/>
                <w:lang w:val="de-DE"/>
              </w:rPr>
              <w:t xml:space="preserve">Veröffentlichung des Zulassungserlasses mit Vergabe (Zuweisung) der Förderung für die Projektvorschläge. </w:t>
            </w:r>
          </w:p>
          <w:p w14:paraId="32A1839F" w14:textId="77777777" w:rsidR="0057163C" w:rsidRPr="00170422" w:rsidRDefault="00F37BF9">
            <w:pPr>
              <w:pStyle w:val="P68B1DB1-Normal11"/>
              <w:spacing w:line="276" w:lineRule="auto"/>
              <w:rPr>
                <w:noProof/>
                <w:szCs w:val="20"/>
                <w:lang w:val="de-DE"/>
              </w:rPr>
            </w:pPr>
            <w:r w:rsidRPr="00170422">
              <w:rPr>
                <w:noProof/>
                <w:lang w:val="de-DE"/>
              </w:rPr>
              <w:t>Die Interventionen</w:t>
            </w:r>
          </w:p>
          <w:p w14:paraId="7943462C" w14:textId="77777777" w:rsidR="0057163C" w:rsidRPr="00170422" w:rsidRDefault="00F37BF9">
            <w:pPr>
              <w:pStyle w:val="P68B1DB1-ListParagraph15"/>
              <w:numPr>
                <w:ilvl w:val="0"/>
                <w:numId w:val="27"/>
              </w:numPr>
              <w:spacing w:after="0" w:line="276" w:lineRule="auto"/>
              <w:ind w:left="468"/>
              <w:rPr>
                <w:noProof/>
                <w:szCs w:val="20"/>
                <w:lang w:val="de-DE"/>
              </w:rPr>
            </w:pPr>
            <w:r w:rsidRPr="00170422">
              <w:rPr>
                <w:noProof/>
                <w:lang w:val="de-DE"/>
              </w:rPr>
              <w:t>Effizientere Reinigung von Abwasser, das in Meeres- und Binnengewässer eingeleitet wird, auch durch technologische Innovationen;</w:t>
            </w:r>
          </w:p>
          <w:p w14:paraId="24E7F6E7" w14:textId="77777777" w:rsidR="0057163C" w:rsidRPr="00170422" w:rsidRDefault="00F37BF9">
            <w:pPr>
              <w:pStyle w:val="P68B1DB1-ListParagraph15"/>
              <w:numPr>
                <w:ilvl w:val="0"/>
                <w:numId w:val="27"/>
              </w:numPr>
              <w:spacing w:after="0" w:line="276" w:lineRule="auto"/>
              <w:ind w:left="468"/>
              <w:rPr>
                <w:noProof/>
                <w:szCs w:val="20"/>
                <w:lang w:val="de-DE"/>
              </w:rPr>
            </w:pPr>
            <w:r w:rsidRPr="00170422">
              <w:rPr>
                <w:noProof/>
                <w:lang w:val="de-DE"/>
              </w:rPr>
              <w:t>Nach Möglichkeit Umwandlung einiger Reinigungsanlagen in „grüne Fabriken“, in denen gereinigtes Abwasser für Bewässerungszwecke</w:t>
            </w:r>
            <w:r w:rsidRPr="00170422">
              <w:rPr>
                <w:noProof/>
                <w:lang w:val="de-DE"/>
              </w:rPr>
              <w:t xml:space="preserve"> und industrielle Zwecke wiederverwendet wird.</w:t>
            </w:r>
          </w:p>
          <w:p w14:paraId="71F7CB90" w14:textId="01AFD39C" w:rsidR="0057163C" w:rsidRPr="00170422" w:rsidRDefault="00F37BF9">
            <w:pPr>
              <w:pStyle w:val="P68B1DB1-Normal11"/>
              <w:rPr>
                <w:noProof/>
                <w:szCs w:val="20"/>
                <w:lang w:val="de-DE"/>
              </w:rPr>
            </w:pPr>
            <w:r w:rsidRPr="00170422">
              <w:rPr>
                <w:noProof/>
                <w:lang w:val="de-DE"/>
              </w:rPr>
              <w:t>Diese Maßnahme darf die Umweltziele im Sinne des Artikels 17 der Verordnung (EU) 2020/852 unter Berücksichtigung der Beschreibung der Maßnahme und der Risikominderungsschritte, die im Aufbau- und Resilienzplan</w:t>
            </w:r>
            <w:r w:rsidRPr="00170422">
              <w:rPr>
                <w:noProof/>
                <w:lang w:val="de-DE"/>
              </w:rPr>
              <w:t xml:space="preserve"> im Einklang mit den technischen Leitlinien für die Vermeidung erheblicher Beeinträchtigungen (2021/C58/01) festgelegt sind, nicht erheblich beeinträchtigen. Insbesondere ist die Verbrennung von Schlamm nicht förderfähig.</w:t>
            </w:r>
          </w:p>
        </w:tc>
      </w:tr>
      <w:tr w:rsidR="00110887" w:rsidRPr="00170422" w14:paraId="58C8F37F" w14:textId="77777777" w:rsidTr="00110887">
        <w:trPr>
          <w:trHeight w:val="300"/>
        </w:trPr>
        <w:tc>
          <w:tcPr>
            <w:tcW w:w="959" w:type="dxa"/>
            <w:shd w:val="clear" w:color="auto" w:fill="C6EFCE"/>
            <w:noWrap/>
            <w:vAlign w:val="center"/>
            <w:hideMark/>
          </w:tcPr>
          <w:p w14:paraId="7A915B36" w14:textId="77777777" w:rsidR="0057163C" w:rsidRPr="00170422" w:rsidRDefault="00F37BF9">
            <w:pPr>
              <w:pStyle w:val="P68B1DB1-Normal11"/>
              <w:spacing w:line="276" w:lineRule="auto"/>
              <w:jc w:val="center"/>
              <w:rPr>
                <w:noProof/>
                <w:szCs w:val="20"/>
                <w:lang w:val="de-DE"/>
              </w:rPr>
            </w:pPr>
            <w:r w:rsidRPr="00170422">
              <w:rPr>
                <w:noProof/>
                <w:lang w:val="de-DE"/>
              </w:rPr>
              <w:t>M2C4-38</w:t>
            </w:r>
          </w:p>
        </w:tc>
        <w:tc>
          <w:tcPr>
            <w:tcW w:w="1699" w:type="dxa"/>
            <w:shd w:val="clear" w:color="auto" w:fill="C6EFCE"/>
            <w:noWrap/>
            <w:vAlign w:val="center"/>
            <w:hideMark/>
          </w:tcPr>
          <w:p w14:paraId="35651C8E" w14:textId="77777777" w:rsidR="0057163C" w:rsidRPr="00170422" w:rsidRDefault="00F37BF9">
            <w:pPr>
              <w:pStyle w:val="P68B1DB1-Normal11"/>
              <w:spacing w:line="276" w:lineRule="auto"/>
              <w:jc w:val="center"/>
              <w:rPr>
                <w:noProof/>
                <w:szCs w:val="20"/>
                <w:lang w:val="de-DE"/>
              </w:rPr>
            </w:pPr>
            <w:r w:rsidRPr="00170422">
              <w:rPr>
                <w:noProof/>
                <w:lang w:val="de-DE"/>
              </w:rPr>
              <w:t xml:space="preserve">Investition 4.4 </w:t>
            </w:r>
            <w:r w:rsidRPr="00170422">
              <w:rPr>
                <w:noProof/>
                <w:lang w:val="de-DE"/>
              </w:rPr>
              <w:t>Investitionen in Kanalisation und Reinigung</w:t>
            </w:r>
          </w:p>
        </w:tc>
        <w:tc>
          <w:tcPr>
            <w:tcW w:w="1419" w:type="dxa"/>
            <w:shd w:val="clear" w:color="auto" w:fill="C6EFCE"/>
            <w:noWrap/>
            <w:vAlign w:val="center"/>
            <w:hideMark/>
          </w:tcPr>
          <w:p w14:paraId="030549D5" w14:textId="77777777" w:rsidR="0057163C" w:rsidRPr="00170422" w:rsidRDefault="00F37BF9">
            <w:pPr>
              <w:pStyle w:val="P68B1DB1-Normal11"/>
              <w:spacing w:line="276" w:lineRule="auto"/>
              <w:jc w:val="center"/>
              <w:rPr>
                <w:noProof/>
                <w:szCs w:val="20"/>
                <w:lang w:val="de-DE"/>
              </w:rPr>
            </w:pPr>
            <w:r w:rsidRPr="00170422">
              <w:rPr>
                <w:noProof/>
                <w:lang w:val="de-DE"/>
              </w:rPr>
              <w:t>Ziel</w:t>
            </w:r>
          </w:p>
        </w:tc>
        <w:tc>
          <w:tcPr>
            <w:tcW w:w="1268" w:type="dxa"/>
            <w:shd w:val="clear" w:color="auto" w:fill="C6EFCE"/>
            <w:noWrap/>
            <w:vAlign w:val="center"/>
            <w:hideMark/>
          </w:tcPr>
          <w:p w14:paraId="7CEE2679" w14:textId="016C9F7F" w:rsidR="0057163C" w:rsidRPr="00170422" w:rsidRDefault="00F37BF9">
            <w:pPr>
              <w:pStyle w:val="P68B1DB1-Normal12"/>
              <w:spacing w:line="276" w:lineRule="auto"/>
              <w:jc w:val="center"/>
              <w:rPr>
                <w:noProof/>
                <w:lang w:val="de-DE"/>
              </w:rPr>
            </w:pPr>
            <w:r w:rsidRPr="00170422">
              <w:rPr>
                <w:noProof/>
                <w:lang w:val="de-DE"/>
              </w:rPr>
              <w:t>Einwohnerwert, der von Maßnahmen zur Abwasserentsorgung und -reinigung profitiert</w:t>
            </w:r>
          </w:p>
        </w:tc>
        <w:tc>
          <w:tcPr>
            <w:tcW w:w="1284" w:type="dxa"/>
            <w:shd w:val="clear" w:color="auto" w:fill="C6EFCE"/>
            <w:noWrap/>
            <w:vAlign w:val="center"/>
            <w:hideMark/>
          </w:tcPr>
          <w:p w14:paraId="5746F5B5" w14:textId="77777777" w:rsidR="0057163C" w:rsidRPr="00170422" w:rsidRDefault="00F37BF9">
            <w:pPr>
              <w:pStyle w:val="P68B1DB1-Normal11"/>
              <w:spacing w:line="276" w:lineRule="auto"/>
              <w:jc w:val="center"/>
              <w:rPr>
                <w:noProof/>
                <w:szCs w:val="20"/>
                <w:lang w:val="de-DE"/>
              </w:rPr>
            </w:pPr>
            <w:r w:rsidRPr="00170422">
              <w:rPr>
                <w:noProof/>
                <w:lang w:val="de-DE"/>
              </w:rPr>
              <w:t>ENTFÄLLT.</w:t>
            </w:r>
          </w:p>
        </w:tc>
        <w:tc>
          <w:tcPr>
            <w:tcW w:w="1134" w:type="dxa"/>
            <w:shd w:val="clear" w:color="auto" w:fill="C6EFCE"/>
            <w:noWrap/>
            <w:vAlign w:val="center"/>
            <w:hideMark/>
          </w:tcPr>
          <w:p w14:paraId="584CF400" w14:textId="77777777" w:rsidR="0057163C" w:rsidRPr="00170422" w:rsidRDefault="00F37BF9">
            <w:pPr>
              <w:pStyle w:val="P68B1DB1-Normal11"/>
              <w:spacing w:line="276" w:lineRule="auto"/>
              <w:jc w:val="center"/>
              <w:rPr>
                <w:noProof/>
                <w:szCs w:val="20"/>
                <w:lang w:val="de-DE"/>
              </w:rPr>
            </w:pPr>
            <w:r w:rsidRPr="00170422">
              <w:rPr>
                <w:noProof/>
                <w:lang w:val="de-DE"/>
              </w:rPr>
              <w:t>Anzahl</w:t>
            </w:r>
          </w:p>
        </w:tc>
        <w:tc>
          <w:tcPr>
            <w:tcW w:w="1417" w:type="dxa"/>
            <w:shd w:val="clear" w:color="auto" w:fill="C6EFCE"/>
            <w:noWrap/>
            <w:vAlign w:val="center"/>
            <w:hideMark/>
          </w:tcPr>
          <w:p w14:paraId="1B397646" w14:textId="78F771A5" w:rsidR="0057163C" w:rsidRPr="00170422" w:rsidRDefault="00F37BF9">
            <w:pPr>
              <w:pStyle w:val="P68B1DB1-Normal12"/>
              <w:spacing w:line="276" w:lineRule="auto"/>
              <w:jc w:val="center"/>
              <w:rPr>
                <w:noProof/>
                <w:lang w:val="de-DE"/>
              </w:rPr>
            </w:pPr>
            <w:r w:rsidRPr="00170422">
              <w:rPr>
                <w:noProof/>
                <w:lang w:val="de-DE"/>
              </w:rPr>
              <w:t>0</w:t>
            </w:r>
          </w:p>
        </w:tc>
        <w:tc>
          <w:tcPr>
            <w:tcW w:w="567" w:type="dxa"/>
            <w:shd w:val="clear" w:color="auto" w:fill="C6EFCE"/>
            <w:noWrap/>
            <w:vAlign w:val="center"/>
            <w:hideMark/>
          </w:tcPr>
          <w:p w14:paraId="067B1FD8" w14:textId="56F37B08" w:rsidR="0057163C" w:rsidRPr="00170422" w:rsidRDefault="00F37BF9">
            <w:pPr>
              <w:pStyle w:val="P68B1DB1-Normal12"/>
              <w:spacing w:line="276" w:lineRule="auto"/>
              <w:jc w:val="center"/>
              <w:rPr>
                <w:noProof/>
                <w:lang w:val="de-DE"/>
              </w:rPr>
            </w:pPr>
            <w:r w:rsidRPr="00170422">
              <w:rPr>
                <w:noProof/>
                <w:lang w:val="de-DE"/>
              </w:rPr>
              <w:t>3 750 000</w:t>
            </w:r>
          </w:p>
        </w:tc>
        <w:tc>
          <w:tcPr>
            <w:tcW w:w="851" w:type="dxa"/>
            <w:shd w:val="clear" w:color="auto" w:fill="C6EFCE"/>
            <w:noWrap/>
            <w:vAlign w:val="center"/>
            <w:hideMark/>
          </w:tcPr>
          <w:p w14:paraId="3C814EBA" w14:textId="77777777" w:rsidR="0057163C" w:rsidRPr="00170422" w:rsidRDefault="00F37BF9">
            <w:pPr>
              <w:pStyle w:val="P68B1DB1-Normal11"/>
              <w:spacing w:line="276" w:lineRule="auto"/>
              <w:jc w:val="center"/>
              <w:rPr>
                <w:noProof/>
                <w:szCs w:val="20"/>
                <w:lang w:val="de-DE"/>
              </w:rPr>
            </w:pPr>
            <w:r w:rsidRPr="00170422">
              <w:rPr>
                <w:noProof/>
                <w:lang w:val="de-DE"/>
              </w:rPr>
              <w:t>Q1</w:t>
            </w:r>
          </w:p>
        </w:tc>
        <w:tc>
          <w:tcPr>
            <w:tcW w:w="709" w:type="dxa"/>
            <w:shd w:val="clear" w:color="auto" w:fill="C6EFCE"/>
            <w:noWrap/>
            <w:vAlign w:val="center"/>
            <w:hideMark/>
          </w:tcPr>
          <w:p w14:paraId="47B60452" w14:textId="77777777" w:rsidR="0057163C" w:rsidRPr="00170422" w:rsidRDefault="00F37BF9">
            <w:pPr>
              <w:pStyle w:val="P68B1DB1-Normal11"/>
              <w:spacing w:line="276" w:lineRule="auto"/>
              <w:jc w:val="center"/>
              <w:rPr>
                <w:noProof/>
                <w:szCs w:val="20"/>
                <w:lang w:val="de-DE"/>
              </w:rPr>
            </w:pPr>
            <w:r w:rsidRPr="00170422">
              <w:rPr>
                <w:noProof/>
                <w:lang w:val="de-DE"/>
              </w:rPr>
              <w:t>2026</w:t>
            </w:r>
          </w:p>
        </w:tc>
        <w:tc>
          <w:tcPr>
            <w:tcW w:w="2867" w:type="dxa"/>
            <w:shd w:val="clear" w:color="auto" w:fill="C6EFCE"/>
            <w:noWrap/>
            <w:vAlign w:val="center"/>
            <w:hideMark/>
          </w:tcPr>
          <w:p w14:paraId="2CD093F5" w14:textId="0FBA20F0" w:rsidR="0057163C" w:rsidRPr="00170422" w:rsidRDefault="00F37BF9">
            <w:pPr>
              <w:pStyle w:val="P68B1DB1-Normal12"/>
              <w:spacing w:line="276" w:lineRule="auto"/>
              <w:rPr>
                <w:noProof/>
                <w:lang w:val="de-DE"/>
              </w:rPr>
            </w:pPr>
            <w:r w:rsidRPr="00170422">
              <w:rPr>
                <w:noProof/>
                <w:lang w:val="de-DE"/>
              </w:rPr>
              <w:t xml:space="preserve">Bescheinigungen über den Abschluss von Arbeiten für Abwasserentsorgung und kommunale Abwasserbehandlung in Gemeinden mit mindestens 3750000 Einwohnerwerten (PE), davon mindestens 1209000 PE in Gemeinden, die wegen Nichteinhaltung der Richtlinie 91/271/EWG </w:t>
            </w:r>
            <w:r w:rsidRPr="00170422">
              <w:rPr>
                <w:noProof/>
                <w:lang w:val="de-DE"/>
              </w:rPr>
              <w:t>des Rates Gegenstand eines Vertragsverletzungsverfahrens sind, wie in einem Bericht eines unabhängigen Ingenieurs bestätigt</w:t>
            </w:r>
          </w:p>
        </w:tc>
      </w:tr>
      <w:tr w:rsidR="00110887" w:rsidRPr="00170422" w14:paraId="72AFE769" w14:textId="77777777" w:rsidTr="00110887">
        <w:trPr>
          <w:trHeight w:val="300"/>
        </w:trPr>
        <w:tc>
          <w:tcPr>
            <w:tcW w:w="959" w:type="dxa"/>
            <w:shd w:val="clear" w:color="auto" w:fill="C6EFCE"/>
            <w:noWrap/>
            <w:vAlign w:val="center"/>
          </w:tcPr>
          <w:p w14:paraId="303232A5" w14:textId="12051E97" w:rsidR="0057163C" w:rsidRPr="00170422" w:rsidRDefault="00F37BF9">
            <w:pPr>
              <w:pStyle w:val="P68B1DB1-Normal11"/>
              <w:spacing w:line="276" w:lineRule="auto"/>
              <w:jc w:val="center"/>
              <w:rPr>
                <w:noProof/>
                <w:lang w:val="de-DE"/>
              </w:rPr>
            </w:pPr>
            <w:r w:rsidRPr="00170422">
              <w:rPr>
                <w:noProof/>
                <w:lang w:val="de-DE"/>
              </w:rPr>
              <w:t>M2C4-39</w:t>
            </w:r>
          </w:p>
        </w:tc>
        <w:tc>
          <w:tcPr>
            <w:tcW w:w="1699" w:type="dxa"/>
            <w:shd w:val="clear" w:color="auto" w:fill="C6EFCE"/>
            <w:noWrap/>
            <w:vAlign w:val="center"/>
          </w:tcPr>
          <w:p w14:paraId="10CD9FD0" w14:textId="77777777" w:rsidR="0057163C" w:rsidRPr="00170422" w:rsidRDefault="00F37BF9">
            <w:pPr>
              <w:pStyle w:val="P68B1DB1-Normal11"/>
              <w:spacing w:line="276" w:lineRule="auto"/>
              <w:jc w:val="center"/>
              <w:rPr>
                <w:noProof/>
                <w:lang w:val="de-DE"/>
              </w:rPr>
            </w:pPr>
            <w:r w:rsidRPr="00170422">
              <w:rPr>
                <w:noProof/>
                <w:lang w:val="de-DE"/>
              </w:rPr>
              <w:t xml:space="preserve">Investition 4.5 </w:t>
            </w:r>
            <w:r w:rsidRPr="00170422">
              <w:rPr>
                <w:noProof/>
                <w:lang w:val="de-DE"/>
              </w:rPr>
              <w:br/>
              <w:t>Zuschussregelung für Investitionen in Wasserinfrastrukturen</w:t>
            </w:r>
          </w:p>
        </w:tc>
        <w:tc>
          <w:tcPr>
            <w:tcW w:w="1419" w:type="dxa"/>
            <w:shd w:val="clear" w:color="auto" w:fill="C6EFCE"/>
            <w:noWrap/>
            <w:vAlign w:val="center"/>
          </w:tcPr>
          <w:p w14:paraId="3B78A70F" w14:textId="77777777" w:rsidR="0057163C" w:rsidRPr="00170422" w:rsidRDefault="00F37BF9">
            <w:pPr>
              <w:pStyle w:val="P68B1DB1-Normal11"/>
              <w:spacing w:line="276" w:lineRule="auto"/>
              <w:jc w:val="center"/>
              <w:rPr>
                <w:noProof/>
                <w:lang w:val="de-DE"/>
              </w:rPr>
            </w:pPr>
            <w:r w:rsidRPr="00170422">
              <w:rPr>
                <w:noProof/>
                <w:lang w:val="de-DE"/>
              </w:rPr>
              <w:t>M</w:t>
            </w:r>
          </w:p>
        </w:tc>
        <w:tc>
          <w:tcPr>
            <w:tcW w:w="1268" w:type="dxa"/>
            <w:shd w:val="clear" w:color="auto" w:fill="C6EFCE"/>
            <w:noWrap/>
            <w:vAlign w:val="center"/>
          </w:tcPr>
          <w:p w14:paraId="1EADC2A4" w14:textId="77777777" w:rsidR="0057163C" w:rsidRPr="00170422" w:rsidRDefault="00F37BF9">
            <w:pPr>
              <w:pStyle w:val="P68B1DB1-Normal11"/>
              <w:spacing w:line="276" w:lineRule="auto"/>
              <w:jc w:val="center"/>
              <w:rPr>
                <w:noProof/>
                <w:lang w:val="de-DE"/>
              </w:rPr>
            </w:pPr>
            <w:r w:rsidRPr="00170422">
              <w:rPr>
                <w:noProof/>
                <w:lang w:val="de-DE"/>
              </w:rPr>
              <w:t>Durchführungsvereinbarung</w:t>
            </w:r>
          </w:p>
        </w:tc>
        <w:tc>
          <w:tcPr>
            <w:tcW w:w="1284" w:type="dxa"/>
            <w:shd w:val="clear" w:color="auto" w:fill="C6EFCE"/>
            <w:noWrap/>
            <w:vAlign w:val="center"/>
          </w:tcPr>
          <w:p w14:paraId="0B10DF67" w14:textId="77777777" w:rsidR="0057163C" w:rsidRPr="00170422" w:rsidRDefault="00F37BF9">
            <w:pPr>
              <w:pStyle w:val="P68B1DB1-Normal11"/>
              <w:spacing w:line="276" w:lineRule="auto"/>
              <w:jc w:val="center"/>
              <w:rPr>
                <w:noProof/>
                <w:lang w:val="de-DE"/>
              </w:rPr>
            </w:pPr>
            <w:r w:rsidRPr="00170422">
              <w:rPr>
                <w:noProof/>
                <w:lang w:val="de-DE"/>
              </w:rPr>
              <w:t xml:space="preserve">Inkrafttreten des </w:t>
            </w:r>
            <w:r w:rsidRPr="00170422">
              <w:rPr>
                <w:noProof/>
                <w:lang w:val="de-DE"/>
              </w:rPr>
              <w:t>Durchführungsübereinkommens</w:t>
            </w:r>
          </w:p>
        </w:tc>
        <w:tc>
          <w:tcPr>
            <w:tcW w:w="1134" w:type="dxa"/>
            <w:shd w:val="clear" w:color="auto" w:fill="C6EFCE"/>
            <w:noWrap/>
            <w:vAlign w:val="center"/>
          </w:tcPr>
          <w:p w14:paraId="21573362" w14:textId="77777777" w:rsidR="0057163C" w:rsidRPr="00170422" w:rsidRDefault="00F37BF9">
            <w:pPr>
              <w:pStyle w:val="P68B1DB1-Normal11"/>
              <w:spacing w:line="276" w:lineRule="auto"/>
              <w:jc w:val="center"/>
              <w:rPr>
                <w:noProof/>
                <w:lang w:val="de-DE"/>
              </w:rPr>
            </w:pPr>
            <w:r w:rsidRPr="00170422">
              <w:rPr>
                <w:noProof/>
                <w:lang w:val="de-DE"/>
              </w:rPr>
              <w:t>ENTFÄLLT.</w:t>
            </w:r>
          </w:p>
        </w:tc>
        <w:tc>
          <w:tcPr>
            <w:tcW w:w="1417" w:type="dxa"/>
            <w:shd w:val="clear" w:color="auto" w:fill="C6EFCE"/>
            <w:noWrap/>
            <w:vAlign w:val="center"/>
          </w:tcPr>
          <w:p w14:paraId="295AFC96" w14:textId="77777777" w:rsidR="0057163C" w:rsidRPr="00170422" w:rsidRDefault="00F37BF9">
            <w:pPr>
              <w:pStyle w:val="P68B1DB1-Normal11"/>
              <w:spacing w:line="276" w:lineRule="auto"/>
              <w:jc w:val="center"/>
              <w:rPr>
                <w:noProof/>
                <w:lang w:val="de-DE"/>
              </w:rPr>
            </w:pPr>
            <w:r w:rsidRPr="00170422">
              <w:rPr>
                <w:noProof/>
                <w:lang w:val="de-DE"/>
              </w:rPr>
              <w:t>ENTFÄLLT.</w:t>
            </w:r>
          </w:p>
        </w:tc>
        <w:tc>
          <w:tcPr>
            <w:tcW w:w="567" w:type="dxa"/>
            <w:shd w:val="clear" w:color="auto" w:fill="C6EFCE"/>
            <w:noWrap/>
            <w:vAlign w:val="center"/>
          </w:tcPr>
          <w:p w14:paraId="2298D2FF" w14:textId="77777777" w:rsidR="0057163C" w:rsidRPr="00170422" w:rsidRDefault="00F37BF9">
            <w:pPr>
              <w:pStyle w:val="P68B1DB1-Normal11"/>
              <w:spacing w:line="276" w:lineRule="auto"/>
              <w:jc w:val="center"/>
              <w:rPr>
                <w:noProof/>
                <w:lang w:val="de-DE"/>
              </w:rPr>
            </w:pPr>
            <w:r w:rsidRPr="00170422">
              <w:rPr>
                <w:noProof/>
                <w:lang w:val="de-DE"/>
              </w:rPr>
              <w:t>ENTFÄLLT.</w:t>
            </w:r>
          </w:p>
        </w:tc>
        <w:tc>
          <w:tcPr>
            <w:tcW w:w="851" w:type="dxa"/>
            <w:shd w:val="clear" w:color="auto" w:fill="C6EFCE"/>
            <w:noWrap/>
            <w:vAlign w:val="center"/>
          </w:tcPr>
          <w:p w14:paraId="5BE34592" w14:textId="5E76EB3A" w:rsidR="0057163C" w:rsidRPr="00170422" w:rsidRDefault="00F37BF9">
            <w:pPr>
              <w:pStyle w:val="P68B1DB1-Normal11"/>
              <w:spacing w:line="276" w:lineRule="auto"/>
              <w:jc w:val="center"/>
              <w:rPr>
                <w:noProof/>
                <w:lang w:val="de-DE"/>
              </w:rPr>
            </w:pPr>
            <w:r w:rsidRPr="00170422">
              <w:rPr>
                <w:noProof/>
                <w:lang w:val="de-DE"/>
              </w:rPr>
              <w:t>Q2</w:t>
            </w:r>
          </w:p>
        </w:tc>
        <w:tc>
          <w:tcPr>
            <w:tcW w:w="709" w:type="dxa"/>
            <w:shd w:val="clear" w:color="auto" w:fill="C6EFCE"/>
            <w:noWrap/>
            <w:vAlign w:val="center"/>
          </w:tcPr>
          <w:p w14:paraId="38F0D013" w14:textId="00946537" w:rsidR="0057163C" w:rsidRPr="00170422" w:rsidRDefault="00F37BF9">
            <w:pPr>
              <w:pStyle w:val="P68B1DB1-Normal11"/>
              <w:spacing w:line="276" w:lineRule="auto"/>
              <w:jc w:val="center"/>
              <w:rPr>
                <w:noProof/>
                <w:lang w:val="de-DE"/>
              </w:rPr>
            </w:pPr>
            <w:r w:rsidRPr="00170422">
              <w:rPr>
                <w:noProof/>
                <w:lang w:val="de-DE"/>
              </w:rPr>
              <w:t>2026</w:t>
            </w:r>
          </w:p>
        </w:tc>
        <w:tc>
          <w:tcPr>
            <w:tcW w:w="2867" w:type="dxa"/>
            <w:shd w:val="clear" w:color="auto" w:fill="C6EFCE"/>
            <w:noWrap/>
          </w:tcPr>
          <w:p w14:paraId="096B412C" w14:textId="77777777" w:rsidR="0057163C" w:rsidRPr="00170422" w:rsidRDefault="00F37BF9">
            <w:pPr>
              <w:pStyle w:val="P68B1DB1-Normal12"/>
              <w:spacing w:line="276" w:lineRule="auto"/>
              <w:rPr>
                <w:noProof/>
                <w:lang w:val="de-DE"/>
              </w:rPr>
            </w:pPr>
            <w:r w:rsidRPr="00170422">
              <w:rPr>
                <w:noProof/>
                <w:lang w:val="de-DE"/>
              </w:rPr>
              <w:t>Inkrafttreten des Durchführungsübereinkommens.</w:t>
            </w:r>
          </w:p>
        </w:tc>
      </w:tr>
      <w:tr w:rsidR="00110887" w:rsidRPr="00170422" w14:paraId="6229C269" w14:textId="77777777" w:rsidTr="00110887">
        <w:trPr>
          <w:trHeight w:val="300"/>
        </w:trPr>
        <w:tc>
          <w:tcPr>
            <w:tcW w:w="959" w:type="dxa"/>
            <w:shd w:val="clear" w:color="auto" w:fill="C6EFCE"/>
            <w:noWrap/>
            <w:vAlign w:val="center"/>
          </w:tcPr>
          <w:p w14:paraId="614D8A59" w14:textId="1EDF46AA" w:rsidR="0057163C" w:rsidRPr="00170422" w:rsidRDefault="00F37BF9">
            <w:pPr>
              <w:pStyle w:val="P68B1DB1-Normal11"/>
              <w:spacing w:line="276" w:lineRule="auto"/>
              <w:jc w:val="center"/>
              <w:rPr>
                <w:noProof/>
                <w:lang w:val="de-DE"/>
              </w:rPr>
            </w:pPr>
            <w:r w:rsidRPr="00170422">
              <w:rPr>
                <w:noProof/>
                <w:lang w:val="de-DE"/>
              </w:rPr>
              <w:t>M2C4-40</w:t>
            </w:r>
          </w:p>
        </w:tc>
        <w:tc>
          <w:tcPr>
            <w:tcW w:w="1699" w:type="dxa"/>
            <w:shd w:val="clear" w:color="auto" w:fill="C6EFCE"/>
            <w:noWrap/>
            <w:vAlign w:val="center"/>
          </w:tcPr>
          <w:p w14:paraId="76C1650D" w14:textId="4D58067D" w:rsidR="0057163C" w:rsidRPr="00170422" w:rsidRDefault="00F37BF9">
            <w:pPr>
              <w:pStyle w:val="P68B1DB1-Normal11"/>
              <w:spacing w:line="276" w:lineRule="auto"/>
              <w:jc w:val="center"/>
              <w:rPr>
                <w:noProof/>
                <w:lang w:val="de-DE"/>
              </w:rPr>
            </w:pPr>
            <w:r w:rsidRPr="00170422">
              <w:rPr>
                <w:noProof/>
                <w:lang w:val="de-DE"/>
              </w:rPr>
              <w:t xml:space="preserve">Investition 4.5 </w:t>
            </w:r>
            <w:r w:rsidRPr="00170422">
              <w:rPr>
                <w:noProof/>
                <w:lang w:val="de-DE"/>
              </w:rPr>
              <w:br/>
              <w:t>Zuschussregelung für Investitionen in Wasserinfrastrukturen</w:t>
            </w:r>
          </w:p>
        </w:tc>
        <w:tc>
          <w:tcPr>
            <w:tcW w:w="1419" w:type="dxa"/>
            <w:shd w:val="clear" w:color="auto" w:fill="C6EFCE"/>
            <w:noWrap/>
            <w:vAlign w:val="center"/>
          </w:tcPr>
          <w:p w14:paraId="744E9310" w14:textId="77777777" w:rsidR="0057163C" w:rsidRPr="00170422" w:rsidRDefault="00F37BF9">
            <w:pPr>
              <w:pStyle w:val="P68B1DB1-Normal11"/>
              <w:spacing w:line="276" w:lineRule="auto"/>
              <w:jc w:val="center"/>
              <w:rPr>
                <w:noProof/>
                <w:lang w:val="de-DE"/>
              </w:rPr>
            </w:pPr>
            <w:r w:rsidRPr="00170422">
              <w:rPr>
                <w:noProof/>
                <w:lang w:val="de-DE"/>
              </w:rPr>
              <w:t>T</w:t>
            </w:r>
          </w:p>
        </w:tc>
        <w:tc>
          <w:tcPr>
            <w:tcW w:w="1268" w:type="dxa"/>
            <w:shd w:val="clear" w:color="auto" w:fill="C6EFCE"/>
            <w:noWrap/>
            <w:vAlign w:val="center"/>
          </w:tcPr>
          <w:p w14:paraId="056CCA06" w14:textId="77777777" w:rsidR="0057163C" w:rsidRPr="00170422" w:rsidRDefault="00F37BF9">
            <w:pPr>
              <w:pStyle w:val="P68B1DB1-Normal11"/>
              <w:spacing w:line="276" w:lineRule="auto"/>
              <w:jc w:val="center"/>
              <w:rPr>
                <w:noProof/>
                <w:lang w:val="de-DE"/>
              </w:rPr>
            </w:pPr>
            <w:r w:rsidRPr="00170422">
              <w:rPr>
                <w:noProof/>
                <w:lang w:val="de-DE"/>
              </w:rPr>
              <w:t xml:space="preserve">Mit den Endbegünstigten unterzeichnete rechtliche </w:t>
            </w:r>
            <w:r w:rsidRPr="00170422">
              <w:rPr>
                <w:noProof/>
                <w:lang w:val="de-DE"/>
              </w:rPr>
              <w:t>Vereinbarungen und Abschluss der Investition</w:t>
            </w:r>
          </w:p>
        </w:tc>
        <w:tc>
          <w:tcPr>
            <w:tcW w:w="1284" w:type="dxa"/>
            <w:shd w:val="clear" w:color="auto" w:fill="C6EFCE"/>
            <w:noWrap/>
            <w:vAlign w:val="center"/>
          </w:tcPr>
          <w:p w14:paraId="398EE960" w14:textId="77777777" w:rsidR="0057163C" w:rsidRPr="00170422" w:rsidRDefault="00F37BF9">
            <w:pPr>
              <w:pStyle w:val="P68B1DB1-Normal11"/>
              <w:spacing w:line="276" w:lineRule="auto"/>
              <w:jc w:val="center"/>
              <w:rPr>
                <w:noProof/>
                <w:lang w:val="de-DE"/>
              </w:rPr>
            </w:pPr>
            <w:r w:rsidRPr="00170422">
              <w:rPr>
                <w:noProof/>
                <w:lang w:val="de-DE"/>
              </w:rPr>
              <w:t>ENTFÄLLT.</w:t>
            </w:r>
          </w:p>
        </w:tc>
        <w:tc>
          <w:tcPr>
            <w:tcW w:w="1134" w:type="dxa"/>
            <w:shd w:val="clear" w:color="auto" w:fill="C6EFCE"/>
            <w:noWrap/>
          </w:tcPr>
          <w:p w14:paraId="3A9BCD42" w14:textId="77777777" w:rsidR="0057163C" w:rsidRPr="00170422" w:rsidRDefault="00F37BF9">
            <w:pPr>
              <w:pStyle w:val="P68B1DB1-Normal11"/>
              <w:spacing w:line="276" w:lineRule="auto"/>
              <w:jc w:val="center"/>
              <w:rPr>
                <w:noProof/>
                <w:lang w:val="de-DE"/>
              </w:rPr>
            </w:pPr>
            <w:r w:rsidRPr="00170422">
              <w:rPr>
                <w:noProof/>
                <w:lang w:val="de-DE"/>
              </w:rPr>
              <w:t>Anteil (%)</w:t>
            </w:r>
          </w:p>
        </w:tc>
        <w:tc>
          <w:tcPr>
            <w:tcW w:w="1417" w:type="dxa"/>
            <w:shd w:val="clear" w:color="auto" w:fill="C6EFCE"/>
            <w:noWrap/>
          </w:tcPr>
          <w:p w14:paraId="061E3E76" w14:textId="77777777" w:rsidR="0057163C" w:rsidRPr="00170422" w:rsidRDefault="00F37BF9">
            <w:pPr>
              <w:pStyle w:val="P68B1DB1-Normal11"/>
              <w:spacing w:line="276" w:lineRule="auto"/>
              <w:jc w:val="center"/>
              <w:rPr>
                <w:noProof/>
                <w:lang w:val="de-DE"/>
              </w:rPr>
            </w:pPr>
            <w:r w:rsidRPr="00170422">
              <w:rPr>
                <w:noProof/>
                <w:lang w:val="de-DE"/>
              </w:rPr>
              <w:t>0 %</w:t>
            </w:r>
          </w:p>
        </w:tc>
        <w:tc>
          <w:tcPr>
            <w:tcW w:w="567" w:type="dxa"/>
            <w:shd w:val="clear" w:color="auto" w:fill="C6EFCE"/>
            <w:noWrap/>
          </w:tcPr>
          <w:p w14:paraId="514EF468" w14:textId="77777777" w:rsidR="0057163C" w:rsidRPr="00170422" w:rsidRDefault="00F37BF9">
            <w:pPr>
              <w:pStyle w:val="P68B1DB1-Normal11"/>
              <w:spacing w:line="276" w:lineRule="auto"/>
              <w:jc w:val="center"/>
              <w:rPr>
                <w:noProof/>
                <w:lang w:val="de-DE"/>
              </w:rPr>
            </w:pPr>
            <w:r w:rsidRPr="00170422">
              <w:rPr>
                <w:noProof/>
                <w:lang w:val="de-DE"/>
              </w:rPr>
              <w:t>100 %</w:t>
            </w:r>
          </w:p>
        </w:tc>
        <w:tc>
          <w:tcPr>
            <w:tcW w:w="851" w:type="dxa"/>
            <w:shd w:val="clear" w:color="auto" w:fill="C6EFCE"/>
            <w:noWrap/>
          </w:tcPr>
          <w:p w14:paraId="5D0314D1" w14:textId="77777777" w:rsidR="0057163C" w:rsidRPr="00170422" w:rsidRDefault="00F37BF9">
            <w:pPr>
              <w:pStyle w:val="P68B1DB1-Normal11"/>
              <w:spacing w:line="276" w:lineRule="auto"/>
              <w:jc w:val="center"/>
              <w:rPr>
                <w:noProof/>
                <w:lang w:val="de-DE"/>
              </w:rPr>
            </w:pPr>
            <w:r w:rsidRPr="00170422">
              <w:rPr>
                <w:noProof/>
                <w:lang w:val="de-DE"/>
              </w:rPr>
              <w:t>Q2</w:t>
            </w:r>
          </w:p>
        </w:tc>
        <w:tc>
          <w:tcPr>
            <w:tcW w:w="709" w:type="dxa"/>
            <w:shd w:val="clear" w:color="auto" w:fill="C6EFCE"/>
            <w:noWrap/>
          </w:tcPr>
          <w:p w14:paraId="5A428A5D" w14:textId="77777777" w:rsidR="0057163C" w:rsidRPr="00170422" w:rsidRDefault="00F37BF9">
            <w:pPr>
              <w:pStyle w:val="P68B1DB1-Normal11"/>
              <w:spacing w:line="276" w:lineRule="auto"/>
              <w:jc w:val="center"/>
              <w:rPr>
                <w:noProof/>
                <w:lang w:val="de-DE"/>
              </w:rPr>
            </w:pPr>
            <w:r w:rsidRPr="00170422">
              <w:rPr>
                <w:noProof/>
                <w:lang w:val="de-DE"/>
              </w:rPr>
              <w:t>2026</w:t>
            </w:r>
          </w:p>
        </w:tc>
        <w:tc>
          <w:tcPr>
            <w:tcW w:w="2867" w:type="dxa"/>
            <w:shd w:val="clear" w:color="auto" w:fill="C6EFCE"/>
            <w:noWrap/>
          </w:tcPr>
          <w:p w14:paraId="45C2F5F7" w14:textId="77777777" w:rsidR="0057163C" w:rsidRPr="00170422" w:rsidRDefault="00F37BF9">
            <w:pPr>
              <w:pStyle w:val="P68B1DB1-Normal12"/>
              <w:spacing w:line="276" w:lineRule="auto"/>
              <w:rPr>
                <w:noProof/>
                <w:lang w:val="de-DE"/>
              </w:rPr>
            </w:pPr>
            <w:r w:rsidRPr="00170422">
              <w:rPr>
                <w:noProof/>
                <w:lang w:val="de-DE"/>
              </w:rPr>
              <w:t>Invitalia S.p.A. muss mit Endbegünstigten gesetzliche Finanzhilfevereinbarungen über einen Betrag geschlossen haben, der erforderlich ist, um 100 % der ARF-Investitionen in</w:t>
            </w:r>
            <w:r w:rsidRPr="00170422">
              <w:rPr>
                <w:noProof/>
                <w:lang w:val="de-DE"/>
              </w:rPr>
              <w:t xml:space="preserve"> das Programm zu verwenden (unter Berücksichtigung der Verwaltungsgebühren). Mindestens 40 % dieser Finanzmittel tragen nach der Methode in Anhang VI der ARF-Verordnung zu den Klimazielen bei.</w:t>
            </w:r>
          </w:p>
          <w:p w14:paraId="6362D8F3" w14:textId="5433CEF9" w:rsidR="0057163C" w:rsidRPr="00170422" w:rsidRDefault="00F37BF9">
            <w:pPr>
              <w:pStyle w:val="P68B1DB1-Normal12"/>
              <w:spacing w:line="276" w:lineRule="auto"/>
              <w:rPr>
                <w:noProof/>
                <w:lang w:val="de-DE"/>
              </w:rPr>
            </w:pPr>
            <w:r w:rsidRPr="00170422">
              <w:rPr>
                <w:noProof/>
                <w:lang w:val="de-DE"/>
              </w:rPr>
              <w:t>Italien überträgt 1 200 000 000 EUR an Invitalia S.p.A. für die</w:t>
            </w:r>
            <w:r w:rsidRPr="00170422">
              <w:rPr>
                <w:noProof/>
                <w:lang w:val="de-DE"/>
              </w:rPr>
              <w:t xml:space="preserve"> Fazilität.</w:t>
            </w:r>
          </w:p>
        </w:tc>
      </w:tr>
    </w:tbl>
    <w:p w14:paraId="771411B4" w14:textId="77777777" w:rsidR="0057163C" w:rsidRPr="00170422" w:rsidRDefault="0057163C">
      <w:pPr>
        <w:rPr>
          <w:noProof/>
          <w:lang w:val="de-DE"/>
        </w:rPr>
      </w:pPr>
    </w:p>
    <w:p w14:paraId="752DDF9B" w14:textId="77777777" w:rsidR="0057163C" w:rsidRPr="00170422" w:rsidRDefault="00F37BF9">
      <w:pPr>
        <w:pStyle w:val="P68B1DB1-Heading23"/>
        <w:ind w:left="1080"/>
        <w:rPr>
          <w:noProof/>
          <w:lang w:val="de-DE"/>
        </w:rPr>
      </w:pPr>
      <w:r w:rsidRPr="00170422">
        <w:rPr>
          <w:noProof/>
          <w:lang w:val="de-DE"/>
        </w:rPr>
        <w:t>H. MISSION 3 KOMPONENTE 1: Nachhaltige Verkehrsinfrastruktur</w:t>
      </w:r>
    </w:p>
    <w:p w14:paraId="7BE8374A" w14:textId="77777777" w:rsidR="0057163C" w:rsidRPr="00170422" w:rsidRDefault="0057163C">
      <w:pPr>
        <w:spacing w:before="120" w:after="120"/>
        <w:jc w:val="both"/>
        <w:rPr>
          <w:rFonts w:ascii="Times New Roman" w:eastAsia="Times New Roman" w:hAnsi="Times New Roman" w:cs="Times New Roman"/>
          <w:noProof/>
          <w:color w:val="000000" w:themeColor="text1"/>
          <w:lang w:val="de-DE"/>
        </w:rPr>
      </w:pPr>
    </w:p>
    <w:p w14:paraId="169E0700"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H.1. </w:t>
      </w:r>
      <w:r w:rsidRPr="00170422">
        <w:rPr>
          <w:noProof/>
          <w:lang w:val="de-DE"/>
        </w:rPr>
        <w:t xml:space="preserve"> </w:t>
      </w:r>
      <w:r w:rsidRPr="00170422">
        <w:rPr>
          <w:b/>
          <w:noProof/>
          <w:u w:val="single"/>
          <w:lang w:val="de-DE"/>
        </w:rPr>
        <w:t>Beschreibung der Reformen und Investitionen für nicht rückzahlbare finanzielle Unterstützung</w:t>
      </w:r>
    </w:p>
    <w:p w14:paraId="477F3AE1" w14:textId="77777777" w:rsidR="0057163C" w:rsidRPr="00170422" w:rsidRDefault="00F37BF9">
      <w:pPr>
        <w:pStyle w:val="P68B1DB1-Normal28"/>
        <w:spacing w:before="120" w:after="120"/>
        <w:jc w:val="both"/>
        <w:rPr>
          <w:noProof/>
          <w:lang w:val="de-DE"/>
        </w:rPr>
      </w:pPr>
      <w:r w:rsidRPr="00170422">
        <w:rPr>
          <w:noProof/>
          <w:lang w:val="de-DE"/>
        </w:rPr>
        <w:t>ENTFÄLLT.</w:t>
      </w:r>
    </w:p>
    <w:p w14:paraId="7702A632"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H.2. </w:t>
      </w:r>
      <w:r w:rsidRPr="00170422">
        <w:rPr>
          <w:noProof/>
          <w:lang w:val="de-DE"/>
        </w:rPr>
        <w:t xml:space="preserve"> </w:t>
      </w:r>
      <w:r w:rsidRPr="00170422">
        <w:rPr>
          <w:b/>
          <w:noProof/>
          <w:u w:val="single"/>
          <w:lang w:val="de-DE"/>
        </w:rPr>
        <w:t xml:space="preserve">Etappenziele, Zielwerte, Indikatoren und Zeitplan für die </w:t>
      </w:r>
      <w:r w:rsidRPr="00170422">
        <w:rPr>
          <w:b/>
          <w:noProof/>
          <w:u w:val="single"/>
          <w:lang w:val="de-DE"/>
        </w:rPr>
        <w:t>Überwachung und Durchführung der nicht rückzahlbaren finanziellen Unterstützung</w:t>
      </w:r>
    </w:p>
    <w:p w14:paraId="3BAED1E9" w14:textId="77777777" w:rsidR="0057163C" w:rsidRPr="00170422" w:rsidRDefault="00F37BF9">
      <w:pPr>
        <w:pStyle w:val="P68B1DB1-Normal26"/>
        <w:spacing w:before="120" w:after="120"/>
        <w:jc w:val="both"/>
        <w:rPr>
          <w:noProof/>
          <w:lang w:val="de-DE"/>
        </w:rPr>
      </w:pPr>
      <w:r w:rsidRPr="00170422">
        <w:rPr>
          <w:noProof/>
          <w:lang w:val="de-DE"/>
        </w:rPr>
        <w:t>ENTFÄLLT.</w:t>
      </w:r>
    </w:p>
    <w:p w14:paraId="3CB7BA53" w14:textId="77777777" w:rsidR="0057163C" w:rsidRPr="00170422" w:rsidRDefault="0057163C">
      <w:pPr>
        <w:spacing w:before="120" w:after="120"/>
        <w:ind w:left="709"/>
        <w:jc w:val="both"/>
        <w:rPr>
          <w:noProof/>
          <w:lang w:val="de-DE"/>
        </w:rPr>
        <w:sectPr w:rsidR="0057163C" w:rsidRPr="00170422" w:rsidSect="00726CF9">
          <w:headerReference w:type="even" r:id="rId134"/>
          <w:headerReference w:type="default" r:id="rId135"/>
          <w:footerReference w:type="even" r:id="rId136"/>
          <w:footerReference w:type="default" r:id="rId137"/>
          <w:headerReference w:type="first" r:id="rId138"/>
          <w:footerReference w:type="first" r:id="rId139"/>
          <w:pgSz w:w="16838" w:h="11906" w:orient="landscape"/>
          <w:pgMar w:top="1440" w:right="1440" w:bottom="1440" w:left="1440" w:header="708" w:footer="708" w:gutter="0"/>
          <w:cols w:space="708"/>
          <w:docGrid w:linePitch="360"/>
        </w:sectPr>
      </w:pPr>
    </w:p>
    <w:p w14:paraId="6F73E475"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H.3. </w:t>
      </w:r>
      <w:r w:rsidRPr="00170422">
        <w:rPr>
          <w:noProof/>
          <w:lang w:val="de-DE"/>
        </w:rPr>
        <w:t xml:space="preserve"> </w:t>
      </w:r>
      <w:r w:rsidRPr="00170422">
        <w:rPr>
          <w:b/>
          <w:noProof/>
          <w:u w:val="single"/>
          <w:lang w:val="de-DE"/>
        </w:rPr>
        <w:t xml:space="preserve">Beschreibung der Reformen und Investitionen (Darlehen) </w:t>
      </w:r>
    </w:p>
    <w:p w14:paraId="4C104255" w14:textId="77777777" w:rsidR="0057163C" w:rsidRPr="00170422" w:rsidRDefault="00F37BF9">
      <w:pPr>
        <w:pStyle w:val="P68B1DB1-Normal7"/>
        <w:spacing w:before="120" w:after="120"/>
        <w:jc w:val="both"/>
        <w:rPr>
          <w:noProof/>
          <w:lang w:val="de-DE"/>
        </w:rPr>
      </w:pPr>
      <w:r w:rsidRPr="00170422">
        <w:rPr>
          <w:noProof/>
          <w:lang w:val="de-DE"/>
        </w:rPr>
        <w:t>Die Investitionen in diese Komponente unterstüt</w:t>
      </w:r>
      <w:r w:rsidRPr="00170422">
        <w:rPr>
          <w:noProof/>
          <w:lang w:val="de-DE"/>
        </w:rPr>
        <w:t>zen den Ausbau der Eisenbahninfrastruktur (Hochgeschwindigkeit, Güterverkehr, Regionalbahnen, Europäisches Eisenbahnverkehrsleitsystem). Flankiert werden Reformen zur Beschleunigung der Investitionen in die Eisenbahninfrastruktur und zur Verbesserung der Q</w:t>
      </w:r>
      <w:r w:rsidRPr="00170422">
        <w:rPr>
          <w:noProof/>
          <w:lang w:val="de-DE"/>
        </w:rPr>
        <w:t>ualität der Straßeninfrastruktur. Die Komponente „Reform der Rahmenbedingungen für Unternehmen“ enthält eine Maßnahme, die zusätzliche Anreize für die Regionen schafft, ihre regionalen öffentlichen Eisenbahndienstleistungsverträge auszuschreiben. Diese Kom</w:t>
      </w:r>
      <w:r w:rsidRPr="00170422">
        <w:rPr>
          <w:noProof/>
          <w:lang w:val="de-DE"/>
        </w:rPr>
        <w:t>ponente umfasst Maßnahmen zur Entwicklung der Nutzung von Wasserstoff im Schienenverkehr.</w:t>
      </w:r>
    </w:p>
    <w:p w14:paraId="26CD8B06" w14:textId="77777777" w:rsidR="0057163C" w:rsidRPr="00170422" w:rsidRDefault="00F37BF9">
      <w:pPr>
        <w:pStyle w:val="P68B1DB1-Normal7"/>
        <w:spacing w:before="120" w:after="120"/>
        <w:jc w:val="both"/>
        <w:rPr>
          <w:noProof/>
          <w:lang w:val="de-DE"/>
        </w:rPr>
      </w:pPr>
      <w:r w:rsidRPr="00170422">
        <w:rPr>
          <w:noProof/>
          <w:lang w:val="de-DE"/>
        </w:rPr>
        <w:t>Diese Komponente unterstützt die Umsetzung der länderspezifischen Empfehlung 3 aus dem Jahr 2019, in der Italien nachdrücklich aufgefordert wird, die investitionsbezo</w:t>
      </w:r>
      <w:r w:rsidRPr="00170422">
        <w:rPr>
          <w:noProof/>
          <w:lang w:val="de-DE"/>
        </w:rPr>
        <w:t>gene Wirtschaftspolitik auf die Qualität der Infrastruktur unter Berücksichtigung regionaler Unterschiede zu konzentrieren, und die länderspezifische Empfehlung 3 zum Thema „Front-load-gereifte öffentliche Investitionsprojekte“ zu unterstützen und „Investi</w:t>
      </w:r>
      <w:r w:rsidRPr="00170422">
        <w:rPr>
          <w:noProof/>
          <w:lang w:val="de-DE"/>
        </w:rPr>
        <w:t>tionen in den ökologischen und digitalen Wandel, insbesondere in saubere und effiziente Energieerzeugung und -nutzung, Forschung und Innovation, nachhaltigen öffentlichen Verkehr, Abfall- und Wasserbewirtschaftung sowie verstärkte digitale Infrastruktur, u</w:t>
      </w:r>
      <w:r w:rsidRPr="00170422">
        <w:rPr>
          <w:noProof/>
          <w:lang w:val="de-DE"/>
        </w:rPr>
        <w:t>m die Erbringung wesentlicher Dienstleistungen sicherzustellen“, zu konzentrieren.</w:t>
      </w:r>
    </w:p>
    <w:p w14:paraId="365B3E58" w14:textId="44FDCE30" w:rsidR="0057163C" w:rsidRPr="00170422" w:rsidRDefault="00F37BF9">
      <w:pPr>
        <w:pStyle w:val="P68B1DB1-Normal7"/>
        <w:spacing w:before="120" w:after="120"/>
        <w:jc w:val="both"/>
        <w:rPr>
          <w:noProof/>
          <w:lang w:val="de-DE"/>
        </w:rPr>
      </w:pPr>
      <w:r w:rsidRPr="00170422">
        <w:rPr>
          <w:noProof/>
          <w:lang w:val="de-DE"/>
        </w:rPr>
        <w:t xml:space="preserve">Es wird davon ausgegangen, dass keine Maßnahme in dieser Komponente die Umweltziele im Sinne von Artikel 17 der Verordnung (EU) 2020/852 erheblich beeinträchtigt, wobei die </w:t>
      </w:r>
      <w:r w:rsidRPr="00170422">
        <w:rPr>
          <w:noProof/>
          <w:lang w:val="de-DE"/>
        </w:rPr>
        <w:t>Beschreibung der Maßnahmen und der Risikominderungsschritte, die im Aufbau- und Resilienzplan im Einklang mit den Technischen Leitlinien für die Anwendung des Grundsatzes der „Vermeidung erheblicher Beeinträchtigungen“ (2021/C58/01) festgelegt sind, berück</w:t>
      </w:r>
      <w:r w:rsidRPr="00170422">
        <w:rPr>
          <w:noProof/>
          <w:lang w:val="de-DE"/>
        </w:rPr>
        <w:t xml:space="preserve">sichtigt wird. </w:t>
      </w:r>
    </w:p>
    <w:p w14:paraId="657395A6" w14:textId="77777777" w:rsidR="0057163C" w:rsidRPr="00170422" w:rsidRDefault="00F37BF9">
      <w:pPr>
        <w:pStyle w:val="P68B1DB1-Normal5"/>
        <w:spacing w:before="120" w:after="120"/>
        <w:jc w:val="both"/>
        <w:rPr>
          <w:bCs/>
          <w:noProof/>
          <w:lang w:val="de-DE"/>
        </w:rPr>
      </w:pPr>
      <w:r w:rsidRPr="00170422">
        <w:rPr>
          <w:noProof/>
          <w:lang w:val="de-DE"/>
        </w:rPr>
        <w:t xml:space="preserve">Reform 1.1 – Beschleunigung des Genehmigungsverfahrens für den Vertrag zwischen dem Ministerium für Infrastruktur und Verkehr (MIT) und dem Eisenbahninfrastrukturbetreiber </w:t>
      </w:r>
      <w:r w:rsidRPr="00170422">
        <w:rPr>
          <w:i/>
          <w:noProof/>
          <w:lang w:val="de-DE"/>
        </w:rPr>
        <w:t>Rete Ferroviaria Italiana</w:t>
      </w:r>
    </w:p>
    <w:p w14:paraId="1E40FFC9" w14:textId="77777777" w:rsidR="0057163C" w:rsidRPr="00170422" w:rsidRDefault="00F37BF9">
      <w:pPr>
        <w:pStyle w:val="P68B1DB1-Normal7"/>
        <w:spacing w:before="120" w:after="120"/>
        <w:jc w:val="both"/>
        <w:rPr>
          <w:noProof/>
          <w:lang w:val="de-DE"/>
        </w:rPr>
      </w:pPr>
      <w:r w:rsidRPr="00170422">
        <w:rPr>
          <w:noProof/>
          <w:lang w:val="de-DE"/>
        </w:rPr>
        <w:t xml:space="preserve">Mit dieser Reform wird die Anforderung </w:t>
      </w:r>
      <w:r w:rsidRPr="00170422">
        <w:rPr>
          <w:noProof/>
          <w:lang w:val="de-DE"/>
        </w:rPr>
        <w:t xml:space="preserve">gestrichen, dass die parlamentarischen Ausschüsse eine Stellungnahme zur Liste der Investitionen der </w:t>
      </w:r>
      <w:r w:rsidRPr="00170422">
        <w:rPr>
          <w:i/>
          <w:noProof/>
          <w:lang w:val="de-DE"/>
        </w:rPr>
        <w:t>Contratti di Programma (CdP)</w:t>
      </w:r>
      <w:r w:rsidRPr="00170422">
        <w:rPr>
          <w:noProof/>
          <w:lang w:val="de-DE"/>
        </w:rPr>
        <w:t xml:space="preserve"> des Eisenbahninfrastrukturbetreibers </w:t>
      </w:r>
      <w:r w:rsidRPr="00170422">
        <w:rPr>
          <w:i/>
          <w:noProof/>
          <w:lang w:val="de-DE"/>
        </w:rPr>
        <w:t>Rete Ferroviaria Italiana</w:t>
      </w:r>
      <w:r w:rsidRPr="00170422">
        <w:rPr>
          <w:noProof/>
          <w:lang w:val="de-DE"/>
        </w:rPr>
        <w:t xml:space="preserve"> abgeben müssen. Die parlamentarischen Ausschüsse geben eine Ste</w:t>
      </w:r>
      <w:r w:rsidRPr="00170422">
        <w:rPr>
          <w:noProof/>
          <w:lang w:val="de-DE"/>
        </w:rPr>
        <w:t>llungnahme zum strategischen Investitionsprogramm ab.</w:t>
      </w:r>
    </w:p>
    <w:p w14:paraId="3EA18CE0" w14:textId="77777777" w:rsidR="0057163C" w:rsidRPr="00170422" w:rsidRDefault="00F37BF9">
      <w:pPr>
        <w:pStyle w:val="P68B1DB1-Normal5"/>
        <w:spacing w:before="120" w:after="120"/>
        <w:jc w:val="both"/>
        <w:rPr>
          <w:bCs/>
          <w:noProof/>
          <w:lang w:val="de-DE"/>
        </w:rPr>
      </w:pPr>
      <w:r w:rsidRPr="00170422">
        <w:rPr>
          <w:noProof/>
          <w:lang w:val="de-DE"/>
        </w:rPr>
        <w:t>Reform 1.2 – Beschleunigung des Genehmigungsverfahrens für Projekte</w:t>
      </w:r>
    </w:p>
    <w:p w14:paraId="56A63275" w14:textId="77777777" w:rsidR="0057163C" w:rsidRPr="00170422" w:rsidRDefault="00F37BF9">
      <w:pPr>
        <w:pStyle w:val="P68B1DB1-Normal7"/>
        <w:spacing w:before="120" w:after="120"/>
        <w:jc w:val="both"/>
        <w:rPr>
          <w:noProof/>
          <w:lang w:val="de-DE"/>
        </w:rPr>
      </w:pPr>
      <w:r w:rsidRPr="00170422">
        <w:rPr>
          <w:noProof/>
          <w:lang w:val="de-DE"/>
        </w:rPr>
        <w:t>Diese Reform besteht in der Annahme von Rechtsvorschriften, die es ermöglichen, die Angabe des Ortes der Arbeiten zum Zeitpunkt des Pr</w:t>
      </w:r>
      <w:r w:rsidRPr="00170422">
        <w:rPr>
          <w:noProof/>
          <w:lang w:val="de-DE"/>
        </w:rPr>
        <w:t>ojekts „Wirtschaftliche technische Durchführbarkeit“ (PFTE) vorwegzunehmen, anstatt auf die endgültige Projektplanungsphase zu warten. Zusätzliche Genehmigungen, die auf dem PFTE nicht erworben werden können, würden in späteren Projektplanungsphasen erteil</w:t>
      </w:r>
      <w:r w:rsidRPr="00170422">
        <w:rPr>
          <w:noProof/>
          <w:lang w:val="de-DE"/>
        </w:rPr>
        <w:t>t, ohne die „Conferenza dei Servizi“ als Ausnahme vom Gesetz Nr. 241/1990 einzuberufen. Durch diese Änderungen wird die Genehmigungsdauer von Projekten von 11 auf 6 Monate verkürzt.</w:t>
      </w:r>
    </w:p>
    <w:p w14:paraId="40EA9E7A" w14:textId="77777777" w:rsidR="0057163C" w:rsidRPr="00170422" w:rsidRDefault="00F37BF9">
      <w:pPr>
        <w:pStyle w:val="P68B1DB1-Normal5"/>
        <w:spacing w:before="120" w:after="120" w:line="276" w:lineRule="auto"/>
        <w:jc w:val="both"/>
        <w:rPr>
          <w:noProof/>
          <w:lang w:val="de-DE"/>
        </w:rPr>
      </w:pPr>
      <w:r w:rsidRPr="00170422">
        <w:rPr>
          <w:noProof/>
          <w:lang w:val="de-DE"/>
        </w:rPr>
        <w:t xml:space="preserve">Reform 1.3 – Steigerung der Effizienz der Eisenbahninfrastruktur in </w:t>
      </w:r>
      <w:r w:rsidRPr="00170422">
        <w:rPr>
          <w:noProof/>
          <w:lang w:val="de-DE"/>
        </w:rPr>
        <w:t>Italien</w:t>
      </w:r>
    </w:p>
    <w:p w14:paraId="03CE7E59" w14:textId="2CCC6F55" w:rsidR="0057163C" w:rsidRPr="00170422" w:rsidRDefault="00F37BF9">
      <w:pPr>
        <w:pStyle w:val="paragraph"/>
        <w:spacing w:before="0" w:beforeAutospacing="0" w:after="0" w:afterAutospacing="0" w:line="276" w:lineRule="auto"/>
        <w:jc w:val="both"/>
        <w:textAlignment w:val="baseline"/>
        <w:rPr>
          <w:rFonts w:eastAsiaTheme="minorEastAsia"/>
          <w:noProof/>
          <w:lang w:val="de-DE"/>
        </w:rPr>
      </w:pPr>
      <w:r w:rsidRPr="00170422">
        <w:rPr>
          <w:rStyle w:val="normaltextrun"/>
          <w:rFonts w:eastAsiaTheme="majorEastAsia"/>
          <w:noProof/>
          <w:lang w:val="de-DE"/>
        </w:rPr>
        <w:t>Ziel dieser Reform ist es, den Wettbewerb auf den regionalen und zwischenstädtischen Schienenverkehrsmärkten zu fördern, die Infrastrukturplanung für Eisenbahnstrecken und -netze zu verbessern und die Leistungsmessung des Eisenbahninfrastrukturmana</w:t>
      </w:r>
      <w:r w:rsidRPr="00170422">
        <w:rPr>
          <w:rStyle w:val="normaltextrun"/>
          <w:rFonts w:eastAsiaTheme="majorEastAsia"/>
          <w:noProof/>
          <w:lang w:val="de-DE"/>
        </w:rPr>
        <w:t xml:space="preserve">gements und der Investitionen einzuführen. </w:t>
      </w:r>
      <w:r w:rsidRPr="00170422">
        <w:rPr>
          <w:rStyle w:val="eop"/>
          <w:noProof/>
          <w:lang w:val="de-DE"/>
        </w:rPr>
        <w:t xml:space="preserve"> Die Reform umfasst</w:t>
      </w:r>
      <w:r w:rsidRPr="00170422">
        <w:rPr>
          <w:noProof/>
          <w:lang w:val="de-DE"/>
        </w:rPr>
        <w:t xml:space="preserve"> die Annahme von Primär- und Sekundärrecht sowie die Annahme von Rechtsakten über das Fahrzeugunternehmen (ROSCO).</w:t>
      </w:r>
    </w:p>
    <w:p w14:paraId="23D1CF83" w14:textId="77777777" w:rsidR="0057163C" w:rsidRPr="00170422" w:rsidRDefault="00F37BF9">
      <w:pPr>
        <w:pStyle w:val="P68B1DB1-Normal5"/>
        <w:spacing w:before="120" w:after="120"/>
        <w:jc w:val="both"/>
        <w:rPr>
          <w:noProof/>
          <w:lang w:val="de-DE"/>
        </w:rPr>
      </w:pPr>
      <w:r w:rsidRPr="00170422">
        <w:rPr>
          <w:noProof/>
          <w:lang w:val="de-DE"/>
        </w:rPr>
        <w:t>Investition 1.1 – Hochgeschwindigkeitsbahnverbindungen nach Süden für den Perso</w:t>
      </w:r>
      <w:r w:rsidRPr="00170422">
        <w:rPr>
          <w:noProof/>
          <w:lang w:val="de-DE"/>
        </w:rPr>
        <w:t>nen- und Güterverkehr</w:t>
      </w:r>
    </w:p>
    <w:p w14:paraId="43128A63" w14:textId="77777777" w:rsidR="0057163C" w:rsidRPr="00170422" w:rsidRDefault="00F37BF9">
      <w:pPr>
        <w:pStyle w:val="P68B1DB1-Normal7"/>
        <w:spacing w:before="120" w:after="120"/>
        <w:jc w:val="both"/>
        <w:rPr>
          <w:noProof/>
          <w:lang w:val="de-DE"/>
        </w:rPr>
      </w:pPr>
      <w:r w:rsidRPr="00170422">
        <w:rPr>
          <w:noProof/>
          <w:lang w:val="de-DE"/>
        </w:rPr>
        <w:t>Ziel dieser Investition ist der Ausbau der italienischen Eisenbahninfrastruktur. Diese Investition besteht im Bau von 114 km Hochgeschwindigkeitsbahninfrastruktur für den Personen- und Güterverkehr auf den Strecken Napoli-Bari, Salern</w:t>
      </w:r>
      <w:r w:rsidRPr="00170422">
        <w:rPr>
          <w:noProof/>
          <w:lang w:val="de-DE"/>
        </w:rPr>
        <w:t xml:space="preserve">o-Reggio Calabria und Palermo-Katania. </w:t>
      </w:r>
    </w:p>
    <w:p w14:paraId="3953E1D7" w14:textId="77777777" w:rsidR="0057163C" w:rsidRPr="00170422" w:rsidRDefault="00F37BF9">
      <w:pPr>
        <w:pStyle w:val="P68B1DB1-Normal5"/>
        <w:spacing w:before="120" w:after="120"/>
        <w:jc w:val="both"/>
        <w:rPr>
          <w:noProof/>
          <w:lang w:val="de-DE"/>
        </w:rPr>
      </w:pPr>
      <w:r w:rsidRPr="00170422">
        <w:rPr>
          <w:noProof/>
          <w:lang w:val="de-DE"/>
        </w:rPr>
        <w:t>Investition 1.2 – Hochgeschwindigkeitsstrecken im Norden, die an das übrige Europa angebunden sind</w:t>
      </w:r>
    </w:p>
    <w:p w14:paraId="620BC1D5" w14:textId="77777777" w:rsidR="0057163C" w:rsidRPr="00170422" w:rsidRDefault="00F37BF9">
      <w:pPr>
        <w:pStyle w:val="P68B1DB1-Normal7"/>
        <w:spacing w:before="120" w:after="120"/>
        <w:jc w:val="both"/>
        <w:rPr>
          <w:noProof/>
          <w:lang w:val="de-DE"/>
        </w:rPr>
      </w:pPr>
      <w:r w:rsidRPr="00170422">
        <w:rPr>
          <w:noProof/>
          <w:lang w:val="de-DE"/>
        </w:rPr>
        <w:t>Ziel dieser Investition ist der Ausbau der italienischen Eisenbahninfrastruktur. Diese Investition besteht im Bau von</w:t>
      </w:r>
      <w:r w:rsidRPr="00170422">
        <w:rPr>
          <w:noProof/>
          <w:lang w:val="de-DE"/>
        </w:rPr>
        <w:t xml:space="preserve"> 158 km Hochgeschwindigkeitsbahninfrastruktur für den Personen- und Güterverkehr auf den Strecken Brescia-Verona-Vicenza-Padova und Ligurien-Alpi. </w:t>
      </w:r>
    </w:p>
    <w:p w14:paraId="7817E237" w14:textId="629805B0" w:rsidR="0057163C" w:rsidRPr="00170422" w:rsidRDefault="00F37BF9">
      <w:pPr>
        <w:pStyle w:val="P68B1DB1-Normal5"/>
        <w:spacing w:before="120" w:after="120"/>
        <w:jc w:val="both"/>
        <w:rPr>
          <w:noProof/>
          <w:lang w:val="de-DE"/>
        </w:rPr>
      </w:pPr>
      <w:r w:rsidRPr="00170422">
        <w:rPr>
          <w:noProof/>
          <w:lang w:val="de-DE"/>
        </w:rPr>
        <w:t>Investition 1.3 – Diagonale Verbindungen</w:t>
      </w:r>
    </w:p>
    <w:p w14:paraId="474E5004" w14:textId="77777777" w:rsidR="0057163C" w:rsidRPr="00170422" w:rsidRDefault="00F37BF9">
      <w:pPr>
        <w:pStyle w:val="P68B1DB1-Normal7"/>
        <w:spacing w:before="120" w:after="120"/>
        <w:jc w:val="both"/>
        <w:rPr>
          <w:noProof/>
          <w:lang w:val="de-DE"/>
        </w:rPr>
      </w:pPr>
      <w:r w:rsidRPr="00170422">
        <w:rPr>
          <w:noProof/>
          <w:lang w:val="de-DE"/>
        </w:rPr>
        <w:t>Ziel dieser Investition ist der Ausbau der italienischen Eisenbahni</w:t>
      </w:r>
      <w:r w:rsidRPr="00170422">
        <w:rPr>
          <w:noProof/>
          <w:lang w:val="de-DE"/>
        </w:rPr>
        <w:t xml:space="preserve">nfrastruktur. Diese Investition besteht im Bau von 15 km Hochgeschwindigkeitsbahnstrecken für den Personen- und Güterverkehr auf den Strecken Orte-Falconara und Taranto-Metaponto-Potenza-Battipaglia. </w:t>
      </w:r>
    </w:p>
    <w:p w14:paraId="226082FF" w14:textId="77777777" w:rsidR="0057163C" w:rsidRPr="00170422" w:rsidRDefault="00F37BF9">
      <w:pPr>
        <w:pStyle w:val="P68B1DB1-Normal5"/>
        <w:spacing w:before="120" w:after="120"/>
        <w:jc w:val="both"/>
        <w:rPr>
          <w:noProof/>
          <w:lang w:val="de-DE"/>
        </w:rPr>
      </w:pPr>
      <w:r w:rsidRPr="00170422">
        <w:rPr>
          <w:noProof/>
          <w:lang w:val="de-DE"/>
        </w:rPr>
        <w:t>Investition 1.4 – Europäisches Eisenbahnverkehrsleitsys</w:t>
      </w:r>
      <w:r w:rsidRPr="00170422">
        <w:rPr>
          <w:noProof/>
          <w:lang w:val="de-DE"/>
        </w:rPr>
        <w:t>tem (ERTMS)</w:t>
      </w:r>
    </w:p>
    <w:p w14:paraId="16422355" w14:textId="388E6601" w:rsidR="0057163C" w:rsidRPr="00170422" w:rsidRDefault="00F37BF9">
      <w:pPr>
        <w:pStyle w:val="P68B1DB1-Normal7"/>
        <w:spacing w:before="120" w:after="120"/>
        <w:jc w:val="both"/>
        <w:rPr>
          <w:noProof/>
          <w:lang w:val="de-DE"/>
        </w:rPr>
      </w:pPr>
      <w:r w:rsidRPr="00170422">
        <w:rPr>
          <w:noProof/>
          <w:lang w:val="de-DE"/>
        </w:rPr>
        <w:t>Ziel dieser Investition ist es, zur Anpassung der italienischen Eisenbahninfrastruktur an die europäischen Interoperabilitätsnormen beizutragen. Diese Investition besteht in der Ausrüstung von 2 785 km Eisenbahnstrecken mit dem Europäischen Eis</w:t>
      </w:r>
      <w:r w:rsidRPr="00170422">
        <w:rPr>
          <w:noProof/>
          <w:lang w:val="de-DE"/>
        </w:rPr>
        <w:t>enbahnverkehrsleitsystem (ERTMS) auf infrastruktureller und technologischer Ebene im Einklang mit dem der Europäischen Kommission übermittelten italienischen ERTMS-Einführungsplan. .</w:t>
      </w:r>
    </w:p>
    <w:p w14:paraId="02522E54" w14:textId="77777777" w:rsidR="0057163C" w:rsidRPr="00170422" w:rsidRDefault="00F37BF9">
      <w:pPr>
        <w:pStyle w:val="P68B1DB1-Normal5"/>
        <w:spacing w:before="120" w:after="120"/>
        <w:jc w:val="both"/>
        <w:rPr>
          <w:noProof/>
          <w:lang w:val="de-DE"/>
        </w:rPr>
      </w:pPr>
      <w:r w:rsidRPr="00170422">
        <w:rPr>
          <w:noProof/>
          <w:lang w:val="de-DE"/>
        </w:rPr>
        <w:t>Investition 1.8 – Modernisierung der Bahnhöfe (Verwaltung von</w:t>
      </w:r>
      <w:r w:rsidRPr="00170422">
        <w:rPr>
          <w:i/>
          <w:noProof/>
          <w:lang w:val="de-DE"/>
        </w:rPr>
        <w:t>Rete Ferrovi</w:t>
      </w:r>
      <w:r w:rsidRPr="00170422">
        <w:rPr>
          <w:i/>
          <w:noProof/>
          <w:lang w:val="de-DE"/>
        </w:rPr>
        <w:t>aria Italiana (RFI))</w:t>
      </w:r>
      <w:r w:rsidRPr="00170422">
        <w:rPr>
          <w:noProof/>
          <w:lang w:val="de-DE"/>
        </w:rPr>
        <w:t>; im Süden)</w:t>
      </w:r>
    </w:p>
    <w:p w14:paraId="02DD1A29" w14:textId="49EC068F" w:rsidR="0057163C" w:rsidRPr="00170422" w:rsidRDefault="00F37BF9">
      <w:pPr>
        <w:pStyle w:val="P68B1DB1-Normal7"/>
        <w:spacing w:before="120" w:after="120"/>
        <w:jc w:val="both"/>
        <w:rPr>
          <w:noProof/>
          <w:lang w:val="de-DE"/>
        </w:rPr>
      </w:pPr>
      <w:r w:rsidRPr="00170422">
        <w:rPr>
          <w:noProof/>
          <w:lang w:val="de-DE"/>
        </w:rPr>
        <w:t>Ziel dieser Investition ist es, Bahnhöfe für Menschen mit Behinderungen und Menschen mit eingeschränkter Mobilität zugänglich zu machen. Diese Investition besteht in der Modernisierung von 38 Bahnhöfen.</w:t>
      </w:r>
    </w:p>
    <w:p w14:paraId="7741523C" w14:textId="77777777" w:rsidR="0057163C" w:rsidRPr="00170422" w:rsidRDefault="00F37BF9">
      <w:pPr>
        <w:pStyle w:val="P68B1DB1-Normal5"/>
        <w:spacing w:before="120" w:after="120"/>
        <w:jc w:val="both"/>
        <w:rPr>
          <w:noProof/>
          <w:lang w:val="de-DE"/>
        </w:rPr>
      </w:pPr>
      <w:r w:rsidRPr="00170422">
        <w:rPr>
          <w:noProof/>
          <w:lang w:val="de-DE"/>
        </w:rPr>
        <w:t>Investition 1.10 – St</w:t>
      </w:r>
      <w:r w:rsidRPr="00170422">
        <w:rPr>
          <w:noProof/>
          <w:lang w:val="de-DE"/>
        </w:rPr>
        <w:t>ärkung der städtischen Knoten und der regionalen Eisenbahnstrecken</w:t>
      </w:r>
    </w:p>
    <w:p w14:paraId="1FFCC29C" w14:textId="341F5CD8" w:rsidR="0057163C" w:rsidRPr="00170422" w:rsidRDefault="00F37BF9">
      <w:pPr>
        <w:pStyle w:val="P68B1DB1-Normal7"/>
        <w:spacing w:before="120" w:after="120"/>
        <w:jc w:val="both"/>
        <w:rPr>
          <w:noProof/>
          <w:lang w:val="de-DE"/>
        </w:rPr>
      </w:pPr>
      <w:r w:rsidRPr="00170422">
        <w:rPr>
          <w:noProof/>
          <w:lang w:val="de-DE"/>
        </w:rPr>
        <w:t>Ziel dieser Investition ist es, die Qualität der italienischen interregionalen und regionalen Eisenbahnstrecken zu verbessern. Diese Investition besteht in der Modernisierung von mindestens</w:t>
      </w:r>
      <w:r w:rsidRPr="00170422">
        <w:rPr>
          <w:noProof/>
          <w:lang w:val="de-DE"/>
        </w:rPr>
        <w:t xml:space="preserve"> 3 309 km Eisenbahnstrecken, davon 1 162 km im Süden. Projekte, die zu dieser Maßnahme gehören, können aus anderen europäischen Programmen unterstützt werden. </w:t>
      </w:r>
    </w:p>
    <w:p w14:paraId="3EC299FD" w14:textId="77777777" w:rsidR="0057163C" w:rsidRPr="00170422" w:rsidRDefault="00F37BF9">
      <w:pPr>
        <w:pStyle w:val="P68B1DB1-Normal5"/>
        <w:spacing w:before="120" w:after="120"/>
        <w:jc w:val="both"/>
        <w:rPr>
          <w:bCs/>
          <w:noProof/>
          <w:lang w:val="de-DE"/>
        </w:rPr>
      </w:pPr>
      <w:r w:rsidRPr="00170422">
        <w:rPr>
          <w:noProof/>
          <w:lang w:val="de-DE"/>
        </w:rPr>
        <w:t>Reform 2.1 – Annahme von „Leitlinien für die Klassifizierung und das Risikomanagement, die Bewer</w:t>
      </w:r>
      <w:r w:rsidRPr="00170422">
        <w:rPr>
          <w:noProof/>
          <w:lang w:val="de-DE"/>
        </w:rPr>
        <w:t>tung der Sicherheit und die Überwachung bestehender Brücken“</w:t>
      </w:r>
    </w:p>
    <w:p w14:paraId="4A9A450B" w14:textId="77777777" w:rsidR="0057163C" w:rsidRPr="00170422" w:rsidRDefault="00F37BF9">
      <w:pPr>
        <w:pStyle w:val="P68B1DB1-Normal7"/>
        <w:spacing w:before="120" w:after="120"/>
        <w:jc w:val="both"/>
        <w:rPr>
          <w:noProof/>
          <w:lang w:val="de-DE"/>
        </w:rPr>
      </w:pPr>
      <w:r w:rsidRPr="00170422">
        <w:rPr>
          <w:noProof/>
          <w:lang w:val="de-DE"/>
        </w:rPr>
        <w:t>Diese Reform besteht in der Annahme von Leitlinien für die Klassifizierung und das Risikomanagement, die Bewertung der Sicherheit und die Überwachung bestehender Brücken. Die Annahme von „Leitlin</w:t>
      </w:r>
      <w:r w:rsidRPr="00170422">
        <w:rPr>
          <w:noProof/>
          <w:lang w:val="de-DE"/>
        </w:rPr>
        <w:t>ien“, die die Anwendung gemeinsamer Normen und Methoden auf das gesamte nationale Straßennetz ermöglichen.</w:t>
      </w:r>
    </w:p>
    <w:p w14:paraId="1B579170" w14:textId="77777777" w:rsidR="0057163C" w:rsidRPr="00170422" w:rsidRDefault="00F37BF9">
      <w:pPr>
        <w:pStyle w:val="P68B1DB1-Normal5"/>
        <w:spacing w:before="120" w:after="120"/>
        <w:jc w:val="both"/>
        <w:rPr>
          <w:bCs/>
          <w:noProof/>
          <w:lang w:val="de-DE"/>
        </w:rPr>
      </w:pPr>
      <w:r w:rsidRPr="00170422">
        <w:rPr>
          <w:noProof/>
          <w:lang w:val="de-DE"/>
        </w:rPr>
        <w:t>Reform 2.2 – Übertragung des Eigentums an den Brücken und Viadukten von den Straßen der unteren Ebene auf die höherrangigen Straßen</w:t>
      </w:r>
    </w:p>
    <w:p w14:paraId="5365E6DA" w14:textId="77777777" w:rsidR="0057163C" w:rsidRPr="00170422" w:rsidRDefault="00F37BF9">
      <w:pPr>
        <w:pStyle w:val="P68B1DB1-Normal7"/>
        <w:spacing w:before="120" w:after="120" w:line="300" w:lineRule="atLeast"/>
        <w:jc w:val="both"/>
        <w:rPr>
          <w:noProof/>
          <w:lang w:val="de-DE"/>
        </w:rPr>
      </w:pPr>
      <w:r w:rsidRPr="00170422">
        <w:rPr>
          <w:noProof/>
          <w:lang w:val="de-DE"/>
        </w:rPr>
        <w:t>Diese Reform best</w:t>
      </w:r>
      <w:r w:rsidRPr="00170422">
        <w:rPr>
          <w:noProof/>
          <w:lang w:val="de-DE"/>
        </w:rPr>
        <w:t>eht darin, das Eigentum an den Brücken, Viadukten und Überläufen von den unteren Straßen auf die höheren Straßen (Autobahnen und Hauptstadtstraßen) zu übertragen, um die allgemeine Sicherheit des Straßennetzes zu erhöhen, da die Brücken, Viadukte und Überl</w:t>
      </w:r>
      <w:r w:rsidRPr="00170422">
        <w:rPr>
          <w:noProof/>
          <w:lang w:val="de-DE"/>
        </w:rPr>
        <w:t>äufe von ANAS und/oder den Autobahnkonzessionären, die über bessere Planungs- und Instandhaltungskapazitäten verfügen als die einzelnen Gemeinden oder Provinzen, zu erhalten sind.</w:t>
      </w:r>
    </w:p>
    <w:p w14:paraId="09733262" w14:textId="77777777" w:rsidR="0057163C" w:rsidRPr="00170422" w:rsidRDefault="0057163C">
      <w:pPr>
        <w:spacing w:before="120" w:after="120" w:line="300" w:lineRule="atLeast"/>
        <w:jc w:val="both"/>
        <w:rPr>
          <w:rFonts w:ascii="Times New Roman" w:hAnsi="Times New Roman" w:cs="Times New Roman"/>
          <w:noProof/>
          <w:lang w:val="de-DE"/>
        </w:rPr>
        <w:sectPr w:rsidR="0057163C" w:rsidRPr="00170422" w:rsidSect="005F11B9">
          <w:headerReference w:type="even" r:id="rId140"/>
          <w:headerReference w:type="default" r:id="rId141"/>
          <w:footerReference w:type="even" r:id="rId142"/>
          <w:footerReference w:type="default" r:id="rId143"/>
          <w:headerReference w:type="first" r:id="rId144"/>
          <w:footerReference w:type="first" r:id="rId145"/>
          <w:pgSz w:w="11907" w:h="16839"/>
          <w:pgMar w:top="1134" w:right="1134" w:bottom="1134" w:left="1134" w:header="567" w:footer="567" w:gutter="0"/>
          <w:cols w:space="720"/>
          <w:docGrid w:linePitch="360"/>
        </w:sectPr>
      </w:pPr>
    </w:p>
    <w:p w14:paraId="23609206"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H.4.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1528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512"/>
        <w:gridCol w:w="1235"/>
        <w:gridCol w:w="1373"/>
        <w:gridCol w:w="1504"/>
        <w:gridCol w:w="1114"/>
        <w:gridCol w:w="1417"/>
        <w:gridCol w:w="709"/>
        <w:gridCol w:w="850"/>
        <w:gridCol w:w="851"/>
        <w:gridCol w:w="3621"/>
      </w:tblGrid>
      <w:tr w:rsidR="0057163C" w:rsidRPr="00170422" w14:paraId="6A5A54A1" w14:textId="77777777" w:rsidTr="00F96342">
        <w:trPr>
          <w:trHeight w:val="939"/>
          <w:tblHeader/>
          <w:jc w:val="right"/>
        </w:trPr>
        <w:tc>
          <w:tcPr>
            <w:tcW w:w="1095" w:type="dxa"/>
            <w:vMerge w:val="restart"/>
            <w:shd w:val="clear" w:color="auto" w:fill="BDD7EE"/>
            <w:vAlign w:val="center"/>
            <w:hideMark/>
          </w:tcPr>
          <w:p w14:paraId="4ACEC167" w14:textId="4A0FDE92" w:rsidR="0057163C" w:rsidRPr="00170422" w:rsidRDefault="00F96342">
            <w:pPr>
              <w:pStyle w:val="P68B1DB1-Normal10"/>
              <w:jc w:val="center"/>
              <w:rPr>
                <w:noProof/>
                <w:szCs w:val="20"/>
                <w:lang w:val="de-DE"/>
              </w:rPr>
            </w:pPr>
            <w:r w:rsidRPr="00170422">
              <w:rPr>
                <w:noProof/>
                <w:lang w:val="de-DE"/>
              </w:rPr>
              <w:t>Laufende Nummer)</w:t>
            </w:r>
          </w:p>
        </w:tc>
        <w:tc>
          <w:tcPr>
            <w:tcW w:w="1512" w:type="dxa"/>
            <w:vMerge w:val="restart"/>
            <w:shd w:val="clear" w:color="auto" w:fill="BDD7EE"/>
            <w:vAlign w:val="center"/>
            <w:hideMark/>
          </w:tcPr>
          <w:p w14:paraId="78DE625C"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35" w:type="dxa"/>
            <w:vMerge w:val="restart"/>
            <w:shd w:val="clear" w:color="auto" w:fill="BDD7EE"/>
            <w:vAlign w:val="center"/>
            <w:hideMark/>
          </w:tcPr>
          <w:p w14:paraId="06704A61" w14:textId="77777777" w:rsidR="0057163C" w:rsidRPr="00170422" w:rsidRDefault="00F37BF9">
            <w:pPr>
              <w:pStyle w:val="P68B1DB1-Normal10"/>
              <w:jc w:val="center"/>
              <w:rPr>
                <w:noProof/>
                <w:szCs w:val="20"/>
                <w:lang w:val="de-DE"/>
              </w:rPr>
            </w:pPr>
            <w:r w:rsidRPr="00170422">
              <w:rPr>
                <w:noProof/>
                <w:lang w:val="de-DE"/>
              </w:rPr>
              <w:t>Etappenziel/Zielwert</w:t>
            </w:r>
          </w:p>
        </w:tc>
        <w:tc>
          <w:tcPr>
            <w:tcW w:w="1373" w:type="dxa"/>
            <w:vMerge w:val="restart"/>
            <w:shd w:val="clear" w:color="auto" w:fill="BDD7EE"/>
            <w:vAlign w:val="center"/>
            <w:hideMark/>
          </w:tcPr>
          <w:p w14:paraId="1CE20E88" w14:textId="77777777" w:rsidR="0057163C" w:rsidRPr="00170422" w:rsidRDefault="00F37BF9">
            <w:pPr>
              <w:pStyle w:val="P68B1DB1-Normal10"/>
              <w:jc w:val="center"/>
              <w:rPr>
                <w:noProof/>
                <w:szCs w:val="20"/>
                <w:lang w:val="de-DE"/>
              </w:rPr>
            </w:pPr>
            <w:r w:rsidRPr="00170422">
              <w:rPr>
                <w:noProof/>
                <w:lang w:val="de-DE"/>
              </w:rPr>
              <w:t>Namen</w:t>
            </w:r>
          </w:p>
        </w:tc>
        <w:tc>
          <w:tcPr>
            <w:tcW w:w="1504" w:type="dxa"/>
            <w:vMerge w:val="restart"/>
            <w:shd w:val="clear" w:color="auto" w:fill="BDD7EE"/>
            <w:vAlign w:val="center"/>
            <w:hideMark/>
          </w:tcPr>
          <w:p w14:paraId="27544017" w14:textId="5DDA6A05"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F96342"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240" w:type="dxa"/>
            <w:gridSpan w:val="3"/>
            <w:shd w:val="clear" w:color="auto" w:fill="BDD7EE"/>
            <w:vAlign w:val="center"/>
            <w:hideMark/>
          </w:tcPr>
          <w:p w14:paraId="662B6D2C"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w:t>
            </w:r>
            <w:r w:rsidRPr="00170422">
              <w:rPr>
                <w:rFonts w:ascii="Arial Narrow" w:hAnsi="Arial Narrow"/>
                <w:b/>
                <w:noProof/>
                <w:sz w:val="20"/>
                <w:lang w:val="de-DE"/>
              </w:rPr>
              <w:t>ür Etappenziele)</w:t>
            </w:r>
            <w:r w:rsidRPr="00170422">
              <w:rPr>
                <w:noProof/>
                <w:lang w:val="de-DE"/>
              </w:rPr>
              <w:br/>
            </w:r>
            <w:r w:rsidRPr="00170422">
              <w:rPr>
                <w:rFonts w:ascii="Arial Narrow" w:hAnsi="Arial Narrow"/>
                <w:b/>
                <w:noProof/>
                <w:sz w:val="20"/>
                <w:lang w:val="de-DE"/>
              </w:rPr>
              <w:t>(für Ziele)</w:t>
            </w:r>
          </w:p>
        </w:tc>
        <w:tc>
          <w:tcPr>
            <w:tcW w:w="1701" w:type="dxa"/>
            <w:gridSpan w:val="2"/>
            <w:shd w:val="clear" w:color="auto" w:fill="BDD7EE"/>
            <w:vAlign w:val="center"/>
            <w:hideMark/>
          </w:tcPr>
          <w:p w14:paraId="2B082161"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3621" w:type="dxa"/>
            <w:vMerge w:val="restart"/>
            <w:shd w:val="clear" w:color="auto" w:fill="BDD7EE"/>
            <w:vAlign w:val="center"/>
            <w:hideMark/>
          </w:tcPr>
          <w:p w14:paraId="71F54B65"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2013418F" w14:textId="77777777" w:rsidTr="00F96342">
        <w:trPr>
          <w:trHeight w:val="598"/>
          <w:tblHeader/>
          <w:jc w:val="right"/>
        </w:trPr>
        <w:tc>
          <w:tcPr>
            <w:tcW w:w="1095" w:type="dxa"/>
            <w:vMerge/>
            <w:vAlign w:val="center"/>
            <w:hideMark/>
          </w:tcPr>
          <w:p w14:paraId="266D96E8" w14:textId="77777777" w:rsidR="0057163C" w:rsidRPr="00170422" w:rsidRDefault="0057163C">
            <w:pPr>
              <w:jc w:val="center"/>
              <w:rPr>
                <w:rFonts w:ascii="Arial Narrow" w:hAnsi="Arial Narrow"/>
                <w:b/>
                <w:bCs/>
                <w:noProof/>
                <w:sz w:val="20"/>
                <w:szCs w:val="20"/>
                <w:lang w:val="de-DE"/>
              </w:rPr>
            </w:pPr>
          </w:p>
        </w:tc>
        <w:tc>
          <w:tcPr>
            <w:tcW w:w="1512" w:type="dxa"/>
            <w:vMerge/>
            <w:vAlign w:val="center"/>
            <w:hideMark/>
          </w:tcPr>
          <w:p w14:paraId="554303C5" w14:textId="77777777" w:rsidR="0057163C" w:rsidRPr="00170422" w:rsidRDefault="0057163C">
            <w:pPr>
              <w:jc w:val="center"/>
              <w:rPr>
                <w:rFonts w:ascii="Arial Narrow" w:hAnsi="Arial Narrow"/>
                <w:b/>
                <w:bCs/>
                <w:noProof/>
                <w:sz w:val="20"/>
                <w:szCs w:val="20"/>
                <w:lang w:val="de-DE"/>
              </w:rPr>
            </w:pPr>
          </w:p>
        </w:tc>
        <w:tc>
          <w:tcPr>
            <w:tcW w:w="1235" w:type="dxa"/>
            <w:vMerge/>
            <w:vAlign w:val="center"/>
            <w:hideMark/>
          </w:tcPr>
          <w:p w14:paraId="06F46CF8" w14:textId="77777777" w:rsidR="0057163C" w:rsidRPr="00170422" w:rsidRDefault="0057163C">
            <w:pPr>
              <w:jc w:val="center"/>
              <w:rPr>
                <w:rFonts w:ascii="Arial Narrow" w:hAnsi="Arial Narrow"/>
                <w:b/>
                <w:bCs/>
                <w:noProof/>
                <w:sz w:val="20"/>
                <w:szCs w:val="20"/>
                <w:lang w:val="de-DE"/>
              </w:rPr>
            </w:pPr>
          </w:p>
        </w:tc>
        <w:tc>
          <w:tcPr>
            <w:tcW w:w="1373" w:type="dxa"/>
            <w:vMerge/>
            <w:vAlign w:val="center"/>
            <w:hideMark/>
          </w:tcPr>
          <w:p w14:paraId="6A0515BF" w14:textId="77777777" w:rsidR="0057163C" w:rsidRPr="00170422" w:rsidRDefault="0057163C">
            <w:pPr>
              <w:jc w:val="center"/>
              <w:rPr>
                <w:rFonts w:ascii="Arial Narrow" w:hAnsi="Arial Narrow"/>
                <w:b/>
                <w:bCs/>
                <w:noProof/>
                <w:sz w:val="20"/>
                <w:szCs w:val="20"/>
                <w:lang w:val="de-DE"/>
              </w:rPr>
            </w:pPr>
          </w:p>
        </w:tc>
        <w:tc>
          <w:tcPr>
            <w:tcW w:w="1504" w:type="dxa"/>
            <w:vMerge/>
            <w:vAlign w:val="center"/>
            <w:hideMark/>
          </w:tcPr>
          <w:p w14:paraId="60202E4E" w14:textId="77777777" w:rsidR="0057163C" w:rsidRPr="00170422" w:rsidRDefault="0057163C">
            <w:pPr>
              <w:jc w:val="center"/>
              <w:rPr>
                <w:rFonts w:ascii="Arial Narrow" w:hAnsi="Arial Narrow"/>
                <w:b/>
                <w:bCs/>
                <w:noProof/>
                <w:sz w:val="20"/>
                <w:szCs w:val="20"/>
                <w:lang w:val="de-DE"/>
              </w:rPr>
            </w:pPr>
          </w:p>
        </w:tc>
        <w:tc>
          <w:tcPr>
            <w:tcW w:w="1114" w:type="dxa"/>
            <w:shd w:val="clear" w:color="auto" w:fill="BDD7EE"/>
            <w:vAlign w:val="center"/>
            <w:hideMark/>
          </w:tcPr>
          <w:p w14:paraId="4D9D5215" w14:textId="77777777" w:rsidR="0057163C" w:rsidRPr="00170422" w:rsidRDefault="00F37BF9">
            <w:pPr>
              <w:pStyle w:val="P68B1DB1-Normal10"/>
              <w:jc w:val="center"/>
              <w:rPr>
                <w:noProof/>
                <w:szCs w:val="20"/>
                <w:lang w:val="de-DE"/>
              </w:rPr>
            </w:pPr>
            <w:r w:rsidRPr="00170422">
              <w:rPr>
                <w:noProof/>
                <w:lang w:val="de-DE"/>
              </w:rPr>
              <w:t>Maßeinheit</w:t>
            </w:r>
          </w:p>
        </w:tc>
        <w:tc>
          <w:tcPr>
            <w:tcW w:w="1417" w:type="dxa"/>
            <w:shd w:val="clear" w:color="auto" w:fill="BDD7EE"/>
            <w:vAlign w:val="center"/>
            <w:hideMark/>
          </w:tcPr>
          <w:p w14:paraId="2762D11D" w14:textId="77777777" w:rsidR="0057163C" w:rsidRPr="00170422" w:rsidRDefault="00F37BF9">
            <w:pPr>
              <w:pStyle w:val="P68B1DB1-Normal10"/>
              <w:jc w:val="center"/>
              <w:rPr>
                <w:noProof/>
                <w:szCs w:val="20"/>
                <w:lang w:val="de-DE"/>
              </w:rPr>
            </w:pPr>
            <w:r w:rsidRPr="00170422">
              <w:rPr>
                <w:noProof/>
                <w:lang w:val="de-DE"/>
              </w:rPr>
              <w:t>Ausgangslage</w:t>
            </w:r>
          </w:p>
        </w:tc>
        <w:tc>
          <w:tcPr>
            <w:tcW w:w="709" w:type="dxa"/>
            <w:shd w:val="clear" w:color="auto" w:fill="BDD7EE"/>
            <w:vAlign w:val="center"/>
            <w:hideMark/>
          </w:tcPr>
          <w:p w14:paraId="14FD0514" w14:textId="77777777" w:rsidR="0057163C" w:rsidRPr="00170422" w:rsidRDefault="00F37BF9">
            <w:pPr>
              <w:pStyle w:val="P68B1DB1-Normal10"/>
              <w:jc w:val="center"/>
              <w:rPr>
                <w:noProof/>
                <w:szCs w:val="20"/>
                <w:lang w:val="de-DE"/>
              </w:rPr>
            </w:pPr>
            <w:r w:rsidRPr="00170422">
              <w:rPr>
                <w:noProof/>
                <w:lang w:val="de-DE"/>
              </w:rPr>
              <w:t>Ziel</w:t>
            </w:r>
          </w:p>
        </w:tc>
        <w:tc>
          <w:tcPr>
            <w:tcW w:w="850" w:type="dxa"/>
            <w:shd w:val="clear" w:color="auto" w:fill="BDD7EE"/>
            <w:vAlign w:val="center"/>
            <w:hideMark/>
          </w:tcPr>
          <w:p w14:paraId="49B884F1" w14:textId="77777777" w:rsidR="0057163C" w:rsidRPr="00170422" w:rsidRDefault="00F37BF9">
            <w:pPr>
              <w:pStyle w:val="P68B1DB1-Normal10"/>
              <w:jc w:val="center"/>
              <w:rPr>
                <w:noProof/>
                <w:szCs w:val="20"/>
                <w:lang w:val="de-DE"/>
              </w:rPr>
            </w:pPr>
            <w:r w:rsidRPr="00170422">
              <w:rPr>
                <w:noProof/>
                <w:lang w:val="de-DE"/>
              </w:rPr>
              <w:t>Viertel</w:t>
            </w:r>
          </w:p>
        </w:tc>
        <w:tc>
          <w:tcPr>
            <w:tcW w:w="851" w:type="dxa"/>
            <w:shd w:val="clear" w:color="auto" w:fill="BDD7EE"/>
            <w:vAlign w:val="center"/>
            <w:hideMark/>
          </w:tcPr>
          <w:p w14:paraId="46D0DFA0" w14:textId="77777777" w:rsidR="0057163C" w:rsidRPr="00170422" w:rsidRDefault="00F37BF9">
            <w:pPr>
              <w:pStyle w:val="P68B1DB1-Normal10"/>
              <w:jc w:val="center"/>
              <w:rPr>
                <w:noProof/>
                <w:szCs w:val="20"/>
                <w:lang w:val="de-DE"/>
              </w:rPr>
            </w:pPr>
            <w:r w:rsidRPr="00170422">
              <w:rPr>
                <w:noProof/>
                <w:lang w:val="de-DE"/>
              </w:rPr>
              <w:t>Jahre</w:t>
            </w:r>
          </w:p>
        </w:tc>
        <w:tc>
          <w:tcPr>
            <w:tcW w:w="3621" w:type="dxa"/>
            <w:vMerge/>
            <w:vAlign w:val="center"/>
            <w:hideMark/>
          </w:tcPr>
          <w:p w14:paraId="561FE14E" w14:textId="77777777" w:rsidR="0057163C" w:rsidRPr="00170422" w:rsidRDefault="0057163C">
            <w:pPr>
              <w:jc w:val="center"/>
              <w:rPr>
                <w:rFonts w:ascii="Arial Narrow" w:hAnsi="Arial Narrow"/>
                <w:b/>
                <w:bCs/>
                <w:noProof/>
                <w:sz w:val="20"/>
                <w:szCs w:val="20"/>
                <w:lang w:val="de-DE"/>
              </w:rPr>
            </w:pPr>
          </w:p>
        </w:tc>
      </w:tr>
      <w:tr w:rsidR="0057163C" w:rsidRPr="00170422" w14:paraId="084A348F" w14:textId="77777777" w:rsidTr="00F96342">
        <w:trPr>
          <w:trHeight w:val="2818"/>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C6C4B9" w14:textId="77777777" w:rsidR="0057163C" w:rsidRPr="00170422" w:rsidRDefault="00F37BF9">
            <w:pPr>
              <w:pStyle w:val="P68B1DB1-Normal11"/>
              <w:jc w:val="center"/>
              <w:rPr>
                <w:noProof/>
                <w:szCs w:val="20"/>
                <w:lang w:val="de-DE"/>
              </w:rPr>
            </w:pPr>
            <w:r w:rsidRPr="00170422">
              <w:rPr>
                <w:noProof/>
                <w:lang w:val="de-DE"/>
              </w:rPr>
              <w:t>M3C1-1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75A267" w14:textId="77777777" w:rsidR="0057163C" w:rsidRPr="00170422" w:rsidRDefault="00F37BF9">
            <w:pPr>
              <w:pStyle w:val="P68B1DB1-Normal11"/>
              <w:jc w:val="center"/>
              <w:rPr>
                <w:noProof/>
                <w:szCs w:val="20"/>
                <w:lang w:val="de-DE"/>
              </w:rPr>
            </w:pPr>
            <w:r w:rsidRPr="00170422">
              <w:rPr>
                <w:noProof/>
                <w:lang w:val="de-DE"/>
              </w:rPr>
              <w:t xml:space="preserve">Reform 1.1 – Beschleunigung des Genehmigungsverfahrens für den </w:t>
            </w:r>
            <w:r w:rsidRPr="00170422">
              <w:rPr>
                <w:noProof/>
                <w:lang w:val="de-DE"/>
              </w:rPr>
              <w:t>Vertrag zwischen dem MIT und RFI</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E44845"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56CD6" w14:textId="77777777" w:rsidR="0057163C" w:rsidRPr="00170422" w:rsidRDefault="00F37BF9">
            <w:pPr>
              <w:pStyle w:val="P68B1DB1-Normal11"/>
              <w:jc w:val="center"/>
              <w:rPr>
                <w:noProof/>
                <w:szCs w:val="20"/>
                <w:lang w:val="de-DE"/>
              </w:rPr>
            </w:pPr>
            <w:r w:rsidRPr="00170422">
              <w:rPr>
                <w:noProof/>
                <w:lang w:val="de-DE"/>
              </w:rPr>
              <w:t>Inkrafttreten einer Gesetzesänderung über das Genehmigungsverfahren für das Contratti di Programma (CdP)</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D2B8D" w14:textId="77777777" w:rsidR="0057163C" w:rsidRPr="00170422" w:rsidRDefault="00F37BF9">
            <w:pPr>
              <w:pStyle w:val="P68B1DB1-Normal11"/>
              <w:jc w:val="center"/>
              <w:rPr>
                <w:noProof/>
                <w:szCs w:val="20"/>
                <w:lang w:val="de-DE"/>
              </w:rPr>
            </w:pPr>
            <w:r w:rsidRPr="00170422">
              <w:rPr>
                <w:noProof/>
                <w:lang w:val="de-DE"/>
              </w:rPr>
              <w:t xml:space="preserve">Gesetzliche Bestimmung über das Inkrafttreten der Gesetzesänderung über das Genehmigungsverfahren für </w:t>
            </w:r>
            <w:r w:rsidRPr="00170422">
              <w:rPr>
                <w:noProof/>
                <w:lang w:val="de-DE"/>
              </w:rPr>
              <w:t>Contratti di Programma</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1CA9F3"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08E11"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470441"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7B28E7"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DCDFFD" w14:textId="77777777" w:rsidR="0057163C" w:rsidRPr="00170422" w:rsidRDefault="00F37BF9">
            <w:pPr>
              <w:pStyle w:val="P68B1DB1-Normal11"/>
              <w:jc w:val="center"/>
              <w:rPr>
                <w:noProof/>
                <w:szCs w:val="20"/>
                <w:lang w:val="de-DE"/>
              </w:rPr>
            </w:pPr>
            <w:r w:rsidRPr="00170422">
              <w:rPr>
                <w:noProof/>
                <w:lang w:val="de-DE"/>
              </w:rPr>
              <w:t>2021</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89BDFB" w14:textId="77777777" w:rsidR="0057163C" w:rsidRPr="00170422" w:rsidRDefault="00F37BF9">
            <w:pPr>
              <w:pStyle w:val="P68B1DB1-ListParagraph15"/>
              <w:ind w:left="40"/>
              <w:rPr>
                <w:noProof/>
                <w:szCs w:val="20"/>
                <w:lang w:val="de-DE"/>
              </w:rPr>
            </w:pPr>
            <w:r w:rsidRPr="00170422">
              <w:rPr>
                <w:noProof/>
                <w:lang w:val="de-DE"/>
              </w:rPr>
              <w:t xml:space="preserve">Durch die Gesetzesänderung wird die Frist für die Genehmigung des Contratti di Programma (CdP) des Eisenbahninfrastrukturbetreibers </w:t>
            </w:r>
            <w:r w:rsidRPr="00170422">
              <w:rPr>
                <w:i/>
                <w:noProof/>
                <w:lang w:val="de-DE"/>
              </w:rPr>
              <w:t>Rete Ferroviaria Italiana verkürzt</w:t>
            </w:r>
            <w:r w:rsidRPr="00170422">
              <w:rPr>
                <w:noProof/>
                <w:lang w:val="de-DE"/>
              </w:rPr>
              <w:t>.</w:t>
            </w:r>
          </w:p>
        </w:tc>
      </w:tr>
      <w:tr w:rsidR="0057163C" w:rsidRPr="00170422" w14:paraId="2AC90816" w14:textId="77777777" w:rsidTr="00F96342">
        <w:trPr>
          <w:trHeight w:val="3100"/>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CEF46B" w14:textId="77777777" w:rsidR="0057163C" w:rsidRPr="00170422" w:rsidRDefault="00F37BF9">
            <w:pPr>
              <w:pStyle w:val="P68B1DB1-Normal11"/>
              <w:jc w:val="center"/>
              <w:rPr>
                <w:noProof/>
                <w:szCs w:val="20"/>
                <w:lang w:val="de-DE"/>
              </w:rPr>
            </w:pPr>
            <w:r w:rsidRPr="00170422">
              <w:rPr>
                <w:noProof/>
                <w:lang w:val="de-DE"/>
              </w:rPr>
              <w:t>M3C1-2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8375A1" w14:textId="77777777" w:rsidR="0057163C" w:rsidRPr="00170422" w:rsidRDefault="00F37BF9">
            <w:pPr>
              <w:pStyle w:val="P68B1DB1-Normal11"/>
              <w:jc w:val="center"/>
              <w:rPr>
                <w:noProof/>
                <w:szCs w:val="20"/>
                <w:lang w:val="de-DE"/>
              </w:rPr>
            </w:pPr>
            <w:r w:rsidRPr="00170422">
              <w:rPr>
                <w:noProof/>
                <w:lang w:val="de-DE"/>
              </w:rPr>
              <w:t xml:space="preserve">Reform 1.2 </w:t>
            </w:r>
            <w:r w:rsidRPr="00170422">
              <w:rPr>
                <w:noProof/>
                <w:lang w:val="de-DE"/>
              </w:rPr>
              <w:t>– Beschleunigung des Genehmigungsverfahrens für Projekte</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6347"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A160B3" w14:textId="77777777" w:rsidR="0057163C" w:rsidRPr="00170422" w:rsidRDefault="00F37BF9">
            <w:pPr>
              <w:pStyle w:val="P68B1DB1-Normal11"/>
              <w:jc w:val="center"/>
              <w:rPr>
                <w:noProof/>
                <w:szCs w:val="20"/>
                <w:lang w:val="de-DE"/>
              </w:rPr>
            </w:pPr>
            <w:r w:rsidRPr="00170422">
              <w:rPr>
                <w:noProof/>
                <w:lang w:val="de-DE"/>
              </w:rPr>
              <w:t>Inkrafttreten einer Änderung der Rechtsvorschriften, durch die die Genehmigungsdauer von Projekten von 11 auf sechs Monate verkürzt wird</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079EED" w14:textId="77777777" w:rsidR="0057163C" w:rsidRPr="00170422" w:rsidRDefault="00F37BF9">
            <w:pPr>
              <w:pStyle w:val="P68B1DB1-Normal11"/>
              <w:jc w:val="center"/>
              <w:rPr>
                <w:noProof/>
                <w:szCs w:val="20"/>
                <w:lang w:val="de-DE"/>
              </w:rPr>
            </w:pPr>
            <w:r w:rsidRPr="00170422">
              <w:rPr>
                <w:noProof/>
                <w:lang w:val="de-DE"/>
              </w:rPr>
              <w:t xml:space="preserve">Gesetzliche Bestimmung über das Inkrafttreten der </w:t>
            </w:r>
            <w:r w:rsidRPr="00170422">
              <w:rPr>
                <w:noProof/>
                <w:lang w:val="de-DE"/>
              </w:rPr>
              <w:t>Gesetzesänderung, durch die die Genehmigungsdauer von 11 auf sechs Monate verkürzt wird.</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8B327"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DBCD4"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1ECCE"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95661DE"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F562FB" w14:textId="77777777" w:rsidR="0057163C" w:rsidRPr="00170422" w:rsidRDefault="00F37BF9">
            <w:pPr>
              <w:pStyle w:val="P68B1DB1-Normal11"/>
              <w:jc w:val="center"/>
              <w:rPr>
                <w:noProof/>
                <w:szCs w:val="20"/>
                <w:lang w:val="de-DE"/>
              </w:rPr>
            </w:pPr>
            <w:r w:rsidRPr="00170422">
              <w:rPr>
                <w:noProof/>
                <w:lang w:val="de-DE"/>
              </w:rPr>
              <w:t>2021</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E30F27" w14:textId="77777777" w:rsidR="0057163C" w:rsidRPr="00170422" w:rsidRDefault="00F37BF9">
            <w:pPr>
              <w:pStyle w:val="P68B1DB1-Normal11"/>
              <w:spacing w:before="100" w:beforeAutospacing="1" w:after="165"/>
              <w:rPr>
                <w:noProof/>
                <w:szCs w:val="20"/>
                <w:lang w:val="de-DE"/>
              </w:rPr>
            </w:pPr>
            <w:r w:rsidRPr="00170422">
              <w:rPr>
                <w:noProof/>
                <w:lang w:val="de-DE"/>
              </w:rPr>
              <w:t>Durch die Änderung der Rechtsvorschriften wird die Genehmigungsdauer von Projekten von 11 auf sechs Monate verkürzt.</w:t>
            </w:r>
          </w:p>
        </w:tc>
      </w:tr>
      <w:tr w:rsidR="0057163C" w:rsidRPr="00170422" w14:paraId="3A237A41" w14:textId="77777777" w:rsidTr="00F96342">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0151" w14:textId="77777777" w:rsidR="0057163C" w:rsidRPr="00170422" w:rsidRDefault="00F37BF9">
            <w:pPr>
              <w:pStyle w:val="P68B1DB1-Normal11"/>
              <w:jc w:val="center"/>
              <w:rPr>
                <w:noProof/>
                <w:szCs w:val="20"/>
                <w:lang w:val="de-DE"/>
              </w:rPr>
            </w:pPr>
            <w:r w:rsidRPr="00170422">
              <w:rPr>
                <w:noProof/>
                <w:lang w:val="de-DE"/>
              </w:rPr>
              <w:t>M3C1-3</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676BA6" w14:textId="77777777" w:rsidR="0057163C" w:rsidRPr="00170422" w:rsidRDefault="00F37BF9">
            <w:pPr>
              <w:pStyle w:val="P68B1DB1-Normal11"/>
              <w:jc w:val="center"/>
              <w:rPr>
                <w:noProof/>
                <w:szCs w:val="20"/>
                <w:lang w:val="de-DE"/>
              </w:rPr>
            </w:pPr>
            <w:r w:rsidRPr="00170422">
              <w:rPr>
                <w:noProof/>
                <w:lang w:val="de-DE"/>
              </w:rPr>
              <w:t>Investition 1.1 – Hochgeschwindigkeitsbahnverbindungen nach Süden für den Personen- und Güterverkehr</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999672"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2D76C5" w14:textId="77777777" w:rsidR="0057163C" w:rsidRPr="00170422" w:rsidRDefault="00F37BF9">
            <w:pPr>
              <w:pStyle w:val="P68B1DB1-Normal11"/>
              <w:jc w:val="center"/>
              <w:rPr>
                <w:noProof/>
                <w:szCs w:val="20"/>
                <w:lang w:val="de-DE"/>
              </w:rPr>
            </w:pPr>
            <w:r w:rsidRPr="00170422">
              <w:rPr>
                <w:noProof/>
                <w:lang w:val="de-DE"/>
              </w:rPr>
              <w:t>Vergabe der Aufträge für den Bau von Hochgeschwindigkeitsbahnstrecken auf den Strecken Napoli-Bari und Palermo-Katania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323803" w14:textId="00F2906F" w:rsidR="0057163C" w:rsidRPr="00170422" w:rsidRDefault="00F37BF9">
            <w:pPr>
              <w:pStyle w:val="P68B1DB1-Normal11"/>
              <w:jc w:val="center"/>
              <w:rPr>
                <w:noProof/>
                <w:szCs w:val="20"/>
                <w:lang w:val="de-DE"/>
              </w:rPr>
            </w:pPr>
            <w:r w:rsidRPr="00170422">
              <w:rPr>
                <w:noProof/>
                <w:lang w:val="de-DE"/>
              </w:rPr>
              <w:t xml:space="preserve">Mitteilung über </w:t>
            </w:r>
            <w:r w:rsidRPr="00170422">
              <w:rPr>
                <w:noProof/>
                <w:lang w:val="de-DE"/>
              </w:rPr>
              <w:t>die Vergabe sämtlicher öffentlicher Aufträge für den Bau von Hochgeschwindigkeitsbahnstrecken auf den Strecken Napoli-Bari und Palermo-Katania</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79B99C5"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66C366"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32008"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1D0B609"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45D05" w14:textId="77777777" w:rsidR="0057163C" w:rsidRPr="00170422" w:rsidRDefault="00F37BF9">
            <w:pPr>
              <w:pStyle w:val="P68B1DB1-Normal11"/>
              <w:jc w:val="center"/>
              <w:rPr>
                <w:noProof/>
                <w:szCs w:val="20"/>
                <w:lang w:val="de-DE"/>
              </w:rPr>
            </w:pPr>
            <w:r w:rsidRPr="00170422">
              <w:rPr>
                <w:noProof/>
                <w:lang w:val="de-DE"/>
              </w:rPr>
              <w:t>2022</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D17C49" w14:textId="77777777" w:rsidR="0057163C" w:rsidRPr="00170422" w:rsidRDefault="00F37BF9">
            <w:pPr>
              <w:pStyle w:val="P68B1DB1-Normal11"/>
              <w:spacing w:before="120" w:after="120"/>
              <w:rPr>
                <w:noProof/>
                <w:szCs w:val="20"/>
                <w:lang w:val="de-DE"/>
              </w:rPr>
            </w:pPr>
            <w:r w:rsidRPr="00170422">
              <w:rPr>
                <w:noProof/>
                <w:lang w:val="de-DE"/>
              </w:rPr>
              <w:t>Mitteilung über die Vergabe sämtlicher öffentlicher</w:t>
            </w:r>
            <w:r w:rsidRPr="00170422">
              <w:rPr>
                <w:noProof/>
                <w:lang w:val="de-DE"/>
              </w:rPr>
              <w:t xml:space="preserve"> Aufträge für den Bau von Hochgeschwindigkeitsbahnstrecken auf den Strecken Napoli-Bari und Palermo-Katania unter vollständiger Einhaltung der Vorschriften für die Vergabe öffentlicher Aufträge</w:t>
            </w:r>
          </w:p>
          <w:p w14:paraId="1499AC8D" w14:textId="77777777" w:rsidR="0057163C" w:rsidRPr="00170422" w:rsidRDefault="00F37BF9">
            <w:pPr>
              <w:pStyle w:val="P68B1DB1-Normal11"/>
              <w:spacing w:before="120" w:after="120"/>
              <w:rPr>
                <w:noProof/>
                <w:szCs w:val="20"/>
                <w:lang w:val="de-DE"/>
              </w:rPr>
            </w:pPr>
            <w:r w:rsidRPr="00170422">
              <w:rPr>
                <w:noProof/>
                <w:lang w:val="de-DE"/>
              </w:rPr>
              <w:t xml:space="preserve">Der Vertrag bzw. die Verträge beziehen sich auf die folgenden </w:t>
            </w:r>
            <w:r w:rsidRPr="00170422">
              <w:rPr>
                <w:noProof/>
                <w:lang w:val="de-DE"/>
              </w:rPr>
              <w:t>Teile dieser Zeilen:</w:t>
            </w:r>
          </w:p>
          <w:p w14:paraId="667D6141" w14:textId="77777777" w:rsidR="0057163C" w:rsidRPr="00170422" w:rsidRDefault="00F37BF9">
            <w:pPr>
              <w:pStyle w:val="P68B1DB1-Normal11"/>
              <w:spacing w:before="120" w:after="120"/>
              <w:rPr>
                <w:noProof/>
                <w:szCs w:val="20"/>
                <w:lang w:val="de-DE"/>
              </w:rPr>
            </w:pPr>
            <w:r w:rsidRPr="00170422">
              <w:rPr>
                <w:noProof/>
                <w:lang w:val="de-DE"/>
              </w:rPr>
              <w:t>Verbindungsleitung Napoli-Bari: Orsara-Bovino</w:t>
            </w:r>
          </w:p>
          <w:p w14:paraId="7308F81E" w14:textId="749B9E28" w:rsidR="0057163C" w:rsidRPr="00170422" w:rsidRDefault="00F37BF9">
            <w:pPr>
              <w:pStyle w:val="P68B1DB1-Normal11"/>
              <w:spacing w:before="120" w:after="120"/>
              <w:rPr>
                <w:noProof/>
                <w:szCs w:val="20"/>
                <w:lang w:val="de-DE"/>
              </w:rPr>
            </w:pPr>
            <w:r w:rsidRPr="00170422">
              <w:rPr>
                <w:noProof/>
                <w:lang w:val="de-DE"/>
              </w:rPr>
              <w:t>Linie Palermo-Katania: Catenanuova – Dittaino und Dittaino – Enna</w:t>
            </w:r>
          </w:p>
        </w:tc>
      </w:tr>
      <w:tr w:rsidR="0057163C" w:rsidRPr="00170422" w14:paraId="2BEC294A" w14:textId="77777777" w:rsidTr="00F96342">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15E40E" w14:textId="77777777" w:rsidR="0057163C" w:rsidRPr="00170422" w:rsidRDefault="00F37BF9">
            <w:pPr>
              <w:pStyle w:val="P68B1DB1-Normal11"/>
              <w:jc w:val="center"/>
              <w:rPr>
                <w:noProof/>
                <w:szCs w:val="20"/>
                <w:lang w:val="de-DE"/>
              </w:rPr>
            </w:pPr>
            <w:r w:rsidRPr="00170422">
              <w:rPr>
                <w:noProof/>
                <w:lang w:val="de-DE"/>
              </w:rPr>
              <w:t>M3C1-4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DAE220" w14:textId="77777777" w:rsidR="0057163C" w:rsidRPr="00170422" w:rsidRDefault="00F37BF9">
            <w:pPr>
              <w:pStyle w:val="P68B1DB1-Normal11"/>
              <w:jc w:val="center"/>
              <w:rPr>
                <w:noProof/>
                <w:szCs w:val="20"/>
                <w:lang w:val="de-DE"/>
              </w:rPr>
            </w:pPr>
            <w:r w:rsidRPr="00170422">
              <w:rPr>
                <w:noProof/>
                <w:lang w:val="de-DE"/>
              </w:rPr>
              <w:t>Investition 1.1 – Hochgeschwindigkeitsbahnverbindungen nach Süden für den Personen- und Güterverkehr</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21B4F9"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289C02" w14:textId="77777777" w:rsidR="0057163C" w:rsidRPr="00170422" w:rsidRDefault="00F37BF9">
            <w:pPr>
              <w:pStyle w:val="P68B1DB1-Normal11"/>
              <w:jc w:val="center"/>
              <w:rPr>
                <w:noProof/>
                <w:szCs w:val="20"/>
                <w:lang w:val="de-DE"/>
              </w:rPr>
            </w:pPr>
            <w:r w:rsidRPr="00170422">
              <w:rPr>
                <w:noProof/>
                <w:lang w:val="de-DE"/>
              </w:rPr>
              <w:t>Vergabe des Auftrags für den Bau von Hochgeschwindigkeitsbahnstrecken auf den Strecken Salerno Reggio Calabria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8F5D3C4" w14:textId="110F4857" w:rsidR="0057163C" w:rsidRPr="00170422" w:rsidRDefault="00F37BF9">
            <w:pPr>
              <w:pStyle w:val="P68B1DB1-Normal14"/>
              <w:jc w:val="center"/>
              <w:rPr>
                <w:noProof/>
                <w:color w:val="006100"/>
                <w:szCs w:val="20"/>
                <w:lang w:val="de-DE"/>
              </w:rPr>
            </w:pPr>
            <w:r w:rsidRPr="00170422">
              <w:rPr>
                <w:noProof/>
                <w:color w:val="006100"/>
                <w:lang w:val="de-DE"/>
              </w:rPr>
              <w:t>Mitteilung über die Vergabe  des multidisziplinären Auftrags für den Bau von Hochgeschwindigkeitsbahnstrecken auf der Strecke Salerno-Reggio Cala</w:t>
            </w:r>
            <w:r w:rsidRPr="00170422">
              <w:rPr>
                <w:noProof/>
                <w:color w:val="006100"/>
                <w:lang w:val="de-DE"/>
              </w:rPr>
              <w:t>bria</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C9D446"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E18BF9"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C3A3C0"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6DE3DB"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CAF9A3" w14:textId="77777777" w:rsidR="0057163C" w:rsidRPr="00170422" w:rsidRDefault="00F37BF9">
            <w:pPr>
              <w:pStyle w:val="P68B1DB1-Normal11"/>
              <w:jc w:val="center"/>
              <w:rPr>
                <w:noProof/>
                <w:szCs w:val="20"/>
                <w:lang w:val="de-DE"/>
              </w:rPr>
            </w:pPr>
            <w:r w:rsidRPr="00170422">
              <w:rPr>
                <w:noProof/>
                <w:lang w:val="de-DE"/>
              </w:rPr>
              <w:t>2023</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D7BB15" w14:textId="1256EE86" w:rsidR="0057163C" w:rsidRPr="00170422" w:rsidRDefault="00F37BF9">
            <w:pPr>
              <w:pStyle w:val="P68B1DB1-Normal11"/>
              <w:spacing w:before="120" w:after="120"/>
              <w:rPr>
                <w:noProof/>
                <w:szCs w:val="20"/>
                <w:lang w:val="de-DE"/>
              </w:rPr>
            </w:pPr>
            <w:r w:rsidRPr="00170422">
              <w:rPr>
                <w:noProof/>
                <w:lang w:val="de-DE"/>
              </w:rPr>
              <w:t>Mitteilung über die Vergabe des multidisziplinären Auftrags für den Bau von Hochgeschwindigkeitsbahnstrecken auf der Strecke Salerno Reggio Calabria.</w:t>
            </w:r>
          </w:p>
          <w:p w14:paraId="4B30D870" w14:textId="77777777" w:rsidR="0057163C" w:rsidRPr="00170422" w:rsidRDefault="00F37BF9">
            <w:pPr>
              <w:pStyle w:val="P68B1DB1-Normal11"/>
              <w:spacing w:before="120" w:after="120"/>
              <w:rPr>
                <w:noProof/>
                <w:szCs w:val="20"/>
                <w:lang w:val="de-DE"/>
              </w:rPr>
            </w:pPr>
            <w:r w:rsidRPr="00170422">
              <w:rPr>
                <w:noProof/>
                <w:lang w:val="de-DE"/>
              </w:rPr>
              <w:t>Der Vertrag bezieht sich auf folgende Teile dieser Zeil</w:t>
            </w:r>
            <w:r w:rsidRPr="00170422">
              <w:rPr>
                <w:noProof/>
                <w:lang w:val="de-DE"/>
              </w:rPr>
              <w:t>e: Battipaglia – Romagnano</w:t>
            </w:r>
          </w:p>
        </w:tc>
      </w:tr>
      <w:tr w:rsidR="0057163C" w:rsidRPr="00170422" w14:paraId="6CE22D6D" w14:textId="77777777" w:rsidTr="00F96342">
        <w:trPr>
          <w:trHeight w:val="313"/>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F8C53D" w14:textId="77777777" w:rsidR="0057163C" w:rsidRPr="00170422" w:rsidRDefault="00F37BF9">
            <w:pPr>
              <w:pStyle w:val="P68B1DB1-Normal11"/>
              <w:jc w:val="center"/>
              <w:rPr>
                <w:noProof/>
                <w:lang w:val="de-DE"/>
              </w:rPr>
            </w:pPr>
            <w:r w:rsidRPr="00170422">
              <w:rPr>
                <w:noProof/>
                <w:lang w:val="de-DE"/>
              </w:rPr>
              <w:t>M3C1-5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B38854" w14:textId="77777777" w:rsidR="0057163C" w:rsidRPr="00170422" w:rsidRDefault="00F37BF9">
            <w:pPr>
              <w:pStyle w:val="P68B1DB1-Normal11"/>
              <w:jc w:val="center"/>
              <w:rPr>
                <w:noProof/>
                <w:lang w:val="de-DE"/>
              </w:rPr>
            </w:pPr>
            <w:r w:rsidRPr="00170422">
              <w:rPr>
                <w:noProof/>
                <w:lang w:val="de-DE"/>
              </w:rPr>
              <w:t>Investition 1.1 – Hochgeschwindigkeitsbahnverbindungen nach Süden für den Personen- und Güterverkehr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81F02E" w14:textId="77777777" w:rsidR="0057163C" w:rsidRPr="00170422" w:rsidRDefault="00F37BF9">
            <w:pPr>
              <w:pStyle w:val="P68B1DB1-Normal11"/>
              <w:jc w:val="center"/>
              <w:rPr>
                <w:noProof/>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E803AE" w14:textId="77777777" w:rsidR="0057163C" w:rsidRPr="00170422" w:rsidRDefault="00F37BF9">
            <w:pPr>
              <w:pStyle w:val="P68B1DB1-Normal11"/>
              <w:jc w:val="center"/>
              <w:rPr>
                <w:noProof/>
                <w:lang w:val="de-DE"/>
              </w:rPr>
            </w:pPr>
            <w:r w:rsidRPr="00170422">
              <w:rPr>
                <w:noProof/>
                <w:lang w:val="de-DE"/>
              </w:rPr>
              <w:t>Hochgeschwindigkeitsschienenverkehr auf den Strecken Napoli-Bari und Palermo-Katania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2046C" w14:textId="77777777" w:rsidR="0057163C" w:rsidRPr="00170422" w:rsidRDefault="00F37BF9">
            <w:pPr>
              <w:pStyle w:val="P68B1DB1-Normal11"/>
              <w:jc w:val="center"/>
              <w:rPr>
                <w:noProof/>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097BF" w14:textId="77777777" w:rsidR="0057163C" w:rsidRPr="00170422" w:rsidRDefault="00F37BF9">
            <w:pPr>
              <w:pStyle w:val="P68B1DB1-Normal11"/>
              <w:jc w:val="center"/>
              <w:rPr>
                <w:noProof/>
                <w:lang w:val="de-DE"/>
              </w:rPr>
            </w:pPr>
            <w:r w:rsidRPr="00170422">
              <w:rPr>
                <w:noProof/>
                <w:lang w:val="de-DE"/>
              </w:rPr>
              <w:t>Kilometer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5A659B" w14:textId="77777777" w:rsidR="0057163C" w:rsidRPr="00170422" w:rsidRDefault="00F37BF9">
            <w:pPr>
              <w:pStyle w:val="P68B1DB1-Normal11"/>
              <w:jc w:val="center"/>
              <w:rPr>
                <w:noProof/>
                <w:lang w:val="de-DE"/>
              </w:rPr>
            </w:pPr>
            <w:r w:rsidRPr="00170422">
              <w:rPr>
                <w:noProof/>
                <w:lang w:val="de-DE"/>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F8E8BE" w14:textId="77777777" w:rsidR="0057163C" w:rsidRPr="00170422" w:rsidRDefault="00F37BF9">
            <w:pPr>
              <w:pStyle w:val="P68B1DB1-Normal11"/>
              <w:jc w:val="center"/>
              <w:rPr>
                <w:noProof/>
                <w:lang w:val="de-DE"/>
              </w:rPr>
            </w:pPr>
            <w:r w:rsidRPr="00170422">
              <w:rPr>
                <w:noProof/>
                <w:lang w:val="de-DE"/>
              </w:rPr>
              <w:t>41</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057733" w14:textId="77777777" w:rsidR="0057163C" w:rsidRPr="00170422" w:rsidRDefault="00F37BF9">
            <w:pPr>
              <w:pStyle w:val="P68B1DB1-Normal11"/>
              <w:jc w:val="center"/>
              <w:rPr>
                <w:noProof/>
                <w:lang w:val="de-DE"/>
              </w:rPr>
            </w:pPr>
            <w:r w:rsidRPr="00170422">
              <w:rPr>
                <w:noProof/>
                <w:lang w:val="de-DE"/>
              </w:rPr>
              <w:t xml:space="preserve">4. </w:t>
            </w:r>
            <w:r w:rsidRPr="00170422">
              <w:rPr>
                <w:noProof/>
                <w:lang w:val="de-DE"/>
              </w:rPr>
              <w:t>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BA9F84" w14:textId="77777777" w:rsidR="0057163C" w:rsidRPr="00170422" w:rsidRDefault="00F37BF9">
            <w:pPr>
              <w:pStyle w:val="P68B1DB1-Normal11"/>
              <w:jc w:val="center"/>
              <w:rPr>
                <w:noProof/>
                <w:lang w:val="de-DE"/>
              </w:rPr>
            </w:pPr>
            <w:r w:rsidRPr="00170422">
              <w:rPr>
                <w:noProof/>
                <w:lang w:val="de-DE"/>
              </w:rPr>
              <w:t>2025</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6696F" w14:textId="77777777" w:rsidR="0057163C" w:rsidRPr="00170422" w:rsidRDefault="00F37BF9">
            <w:pPr>
              <w:pStyle w:val="P68B1DB1-Normal11"/>
              <w:spacing w:before="120" w:after="120"/>
              <w:rPr>
                <w:noProof/>
                <w:lang w:val="de-DE"/>
              </w:rPr>
            </w:pPr>
            <w:r w:rsidRPr="00170422">
              <w:rPr>
                <w:noProof/>
                <w:lang w:val="de-DE"/>
              </w:rPr>
              <w:t>Abschlussbescheinigungen für den Bau von 41 km Hochgeschwindigkeitsschienen auf den Strecken Napoli-Bari und Palermo-Katania.</w:t>
            </w:r>
          </w:p>
          <w:p w14:paraId="2887C967" w14:textId="7D820995" w:rsidR="0057163C" w:rsidRPr="00170422" w:rsidRDefault="00F37BF9">
            <w:pPr>
              <w:pStyle w:val="P68B1DB1-Normal11"/>
              <w:spacing w:before="120" w:after="120"/>
              <w:rPr>
                <w:noProof/>
                <w:lang w:val="de-DE"/>
              </w:rPr>
            </w:pPr>
            <w:r w:rsidRPr="00170422">
              <w:rPr>
                <w:noProof/>
                <w:lang w:val="de-DE"/>
              </w:rPr>
              <w:t xml:space="preserve">Die 41 km werden in folgenden Abschnitten gebaut: </w:t>
            </w:r>
          </w:p>
          <w:p w14:paraId="7C46347A" w14:textId="77777777" w:rsidR="0057163C" w:rsidRPr="00170422" w:rsidRDefault="00F37BF9">
            <w:pPr>
              <w:pStyle w:val="P68B1DB1-Normal11"/>
              <w:spacing w:before="120" w:after="120"/>
              <w:rPr>
                <w:noProof/>
                <w:lang w:val="de-DE"/>
              </w:rPr>
            </w:pPr>
            <w:r w:rsidRPr="00170422">
              <w:rPr>
                <w:noProof/>
                <w:lang w:val="de-DE"/>
              </w:rPr>
              <w:t>Bicocca-Catenanuova (Linie Palermo-Katania), 20,3 km, deren Arbeit</w:t>
            </w:r>
            <w:r w:rsidRPr="00170422">
              <w:rPr>
                <w:noProof/>
                <w:lang w:val="de-DE"/>
              </w:rPr>
              <w:t>en nach dem 30. September 2023 begonnen haben.</w:t>
            </w:r>
          </w:p>
          <w:p w14:paraId="2C583823" w14:textId="77777777" w:rsidR="0057163C" w:rsidRPr="00170422" w:rsidRDefault="00F37BF9">
            <w:pPr>
              <w:pStyle w:val="P68B1DB1-Normal11"/>
              <w:spacing w:before="120" w:after="120"/>
              <w:rPr>
                <w:noProof/>
                <w:lang w:val="de-DE"/>
              </w:rPr>
            </w:pPr>
            <w:r w:rsidRPr="00170422">
              <w:rPr>
                <w:noProof/>
                <w:lang w:val="de-DE"/>
              </w:rPr>
              <w:t>Cancello-Frasso (Linie Neapoli-Bari), 7,3 km, für die die Arbeiten nach dem 30. September 2023 begonnen haben.</w:t>
            </w:r>
          </w:p>
          <w:p w14:paraId="4F6E6E75" w14:textId="77777777" w:rsidR="0057163C" w:rsidRPr="00170422" w:rsidRDefault="00F37BF9">
            <w:pPr>
              <w:pStyle w:val="P68B1DB1-Normal11"/>
              <w:spacing w:before="120" w:after="120"/>
              <w:rPr>
                <w:noProof/>
                <w:lang w:val="de-DE"/>
              </w:rPr>
            </w:pPr>
            <w:r w:rsidRPr="00170422">
              <w:rPr>
                <w:noProof/>
                <w:lang w:val="de-DE"/>
              </w:rPr>
              <w:t xml:space="preserve">Napoli-Cancello (Napoli-Bari-Linie), 13,5 km, deren Arbeiten nach dem 30. September 2023 begonnen </w:t>
            </w:r>
            <w:r w:rsidRPr="00170422">
              <w:rPr>
                <w:noProof/>
                <w:lang w:val="de-DE"/>
              </w:rPr>
              <w:t>haben.</w:t>
            </w:r>
          </w:p>
          <w:p w14:paraId="5A904CE1" w14:textId="77777777" w:rsidR="0057163C" w:rsidRPr="00170422" w:rsidRDefault="00F37BF9">
            <w:pPr>
              <w:pStyle w:val="P68B1DB1-Normal12"/>
              <w:spacing w:before="120" w:after="120"/>
              <w:rPr>
                <w:noProof/>
                <w:lang w:val="de-DE"/>
              </w:rPr>
            </w:pPr>
            <w:r w:rsidRPr="00170422">
              <w:rPr>
                <w:noProof/>
                <w:lang w:val="de-DE"/>
              </w:rPr>
              <w:t>Bei der Prüfung und Genehmigung jedes relevanten Projekts/jeder betreffenden Investition sind alle in Artikel 6 Absatz 3 und Artikel 6 Absatz 4 der EU-Richtlinie 92/43/EWG festgelegten Regeln und Verfahren einzuhalten und die nationalen Leitlinien f</w:t>
            </w:r>
            <w:r w:rsidRPr="00170422">
              <w:rPr>
                <w:noProof/>
                <w:lang w:val="de-DE"/>
              </w:rPr>
              <w:t>ür die Folgenabschätzung zu befolgen, die in der offiziellen Gazzette der Italienischen Republik Nr. 303 vom 28. Dezember 2019 veröffentlicht wurden.</w:t>
            </w:r>
          </w:p>
        </w:tc>
      </w:tr>
      <w:tr w:rsidR="0057163C" w:rsidRPr="00170422" w14:paraId="0A8C93D0"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598B2" w14:textId="77777777" w:rsidR="0057163C" w:rsidRPr="00170422" w:rsidRDefault="00F37BF9">
            <w:pPr>
              <w:pStyle w:val="P68B1DB1-Normal11"/>
              <w:jc w:val="center"/>
              <w:rPr>
                <w:noProof/>
                <w:szCs w:val="20"/>
                <w:lang w:val="de-DE"/>
              </w:rPr>
            </w:pPr>
            <w:r w:rsidRPr="00170422">
              <w:rPr>
                <w:noProof/>
                <w:lang w:val="de-DE"/>
              </w:rPr>
              <w:t>M3C1-6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EFC64B" w14:textId="77777777" w:rsidR="0057163C" w:rsidRPr="00170422" w:rsidRDefault="00F37BF9">
            <w:pPr>
              <w:pStyle w:val="P68B1DB1-Normal11"/>
              <w:jc w:val="center"/>
              <w:rPr>
                <w:noProof/>
                <w:szCs w:val="20"/>
                <w:lang w:val="de-DE"/>
              </w:rPr>
            </w:pPr>
            <w:r w:rsidRPr="00170422">
              <w:rPr>
                <w:noProof/>
                <w:lang w:val="de-DE"/>
              </w:rPr>
              <w:t xml:space="preserve">Investition 1.1 – Hochgeschwindigkeitsbahnverbindungen nach Süden für den Personen- und </w:t>
            </w:r>
            <w:r w:rsidRPr="00170422">
              <w:rPr>
                <w:noProof/>
                <w:lang w:val="de-DE"/>
              </w:rPr>
              <w:t>Güterverkehr</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971F16"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9061C9" w14:textId="00B69690" w:rsidR="0057163C" w:rsidRPr="00170422" w:rsidRDefault="00F37BF9">
            <w:pPr>
              <w:pStyle w:val="P68B1DB1-Normal11"/>
              <w:jc w:val="center"/>
              <w:rPr>
                <w:noProof/>
                <w:szCs w:val="20"/>
                <w:lang w:val="de-DE"/>
              </w:rPr>
            </w:pPr>
            <w:r w:rsidRPr="00170422">
              <w:rPr>
                <w:noProof/>
                <w:lang w:val="de-DE"/>
              </w:rPr>
              <w:t>Hochgeschwindigkeitsschienenverkehr auf den Strecken Napoli-Bari, Salerno-Reggio Calabria, Palermo-Katania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045135"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AC3B64" w14:textId="77777777" w:rsidR="0057163C" w:rsidRPr="00170422" w:rsidRDefault="00F37BF9">
            <w:pPr>
              <w:pStyle w:val="P68B1DB1-Normal11"/>
              <w:jc w:val="center"/>
              <w:rPr>
                <w:rFonts w:eastAsia="Arial Narrow" w:cs="Arial Narrow"/>
                <w:noProof/>
                <w:szCs w:val="20"/>
                <w:lang w:val="de-DE"/>
              </w:rPr>
            </w:pPr>
            <w:r w:rsidRPr="00170422">
              <w:rPr>
                <w:noProof/>
                <w:lang w:val="de-DE"/>
              </w:rPr>
              <w:t>Kilometer</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F3CB2" w14:textId="77777777" w:rsidR="0057163C" w:rsidRPr="00170422" w:rsidRDefault="00F37BF9">
            <w:pPr>
              <w:pStyle w:val="P68B1DB1-Normal11"/>
              <w:jc w:val="center"/>
              <w:rPr>
                <w:noProof/>
                <w:szCs w:val="20"/>
                <w:lang w:val="de-DE"/>
              </w:rPr>
            </w:pPr>
            <w:r w:rsidRPr="00170422">
              <w:rPr>
                <w:noProof/>
                <w:lang w:val="de-DE"/>
              </w:rPr>
              <w:t>41</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7882E8" w14:textId="77777777" w:rsidR="0057163C" w:rsidRPr="00170422" w:rsidRDefault="00F37BF9">
            <w:pPr>
              <w:pStyle w:val="P68B1DB1-Normal11"/>
              <w:jc w:val="center"/>
              <w:rPr>
                <w:noProof/>
                <w:szCs w:val="20"/>
                <w:lang w:val="de-DE"/>
              </w:rPr>
            </w:pPr>
            <w:r w:rsidRPr="00170422">
              <w:rPr>
                <w:noProof/>
                <w:lang w:val="de-DE"/>
              </w:rPr>
              <w:t>114</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2DD10" w14:textId="77777777" w:rsidR="0057163C" w:rsidRPr="00170422" w:rsidRDefault="00F37BF9">
            <w:pPr>
              <w:pStyle w:val="P68B1DB1-Normal11"/>
              <w:jc w:val="center"/>
              <w:rPr>
                <w:noProof/>
                <w:szCs w:val="20"/>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27A666" w14:textId="77777777" w:rsidR="0057163C" w:rsidRPr="00170422" w:rsidRDefault="00F37BF9">
            <w:pPr>
              <w:pStyle w:val="P68B1DB1-Normal11"/>
              <w:jc w:val="center"/>
              <w:rPr>
                <w:noProof/>
                <w:szCs w:val="20"/>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276CFF" w14:textId="77BAC87C" w:rsidR="0057163C" w:rsidRPr="00170422" w:rsidRDefault="00F37BF9">
            <w:pPr>
              <w:pStyle w:val="P68B1DB1-Normal11"/>
              <w:spacing w:before="120" w:after="120"/>
              <w:rPr>
                <w:noProof/>
                <w:lang w:val="de-DE"/>
              </w:rPr>
            </w:pPr>
            <w:r w:rsidRPr="00170422">
              <w:rPr>
                <w:noProof/>
                <w:lang w:val="de-DE"/>
              </w:rPr>
              <w:t xml:space="preserve">Für den Bau von 114 km Hochgeschwindigkeitsbahnstrecken auf den Strecken Napoli-Bari, </w:t>
            </w:r>
            <w:r w:rsidRPr="00170422">
              <w:rPr>
                <w:noProof/>
                <w:lang w:val="de-DE"/>
              </w:rPr>
              <w:t>Salerno-Reggio Calabria, Palermo-Katania werden gemäß der WBS-Methodik Bescheinigungen über den Abschluss der Arbeiten ausgestellt.</w:t>
            </w:r>
          </w:p>
          <w:p w14:paraId="438D5997" w14:textId="77777777" w:rsidR="0057163C" w:rsidRPr="00170422" w:rsidRDefault="00F37BF9">
            <w:pPr>
              <w:pStyle w:val="P68B1DB1-Normal11"/>
              <w:spacing w:before="120" w:after="120"/>
              <w:rPr>
                <w:noProof/>
                <w:lang w:val="de-DE"/>
              </w:rPr>
            </w:pPr>
            <w:r w:rsidRPr="00170422">
              <w:rPr>
                <w:noProof/>
                <w:lang w:val="de-DE"/>
              </w:rPr>
              <w:t>Die vorläufige Aufschlüsselung ist wie folgt:</w:t>
            </w:r>
          </w:p>
          <w:p w14:paraId="20B2BF5D" w14:textId="77777777" w:rsidR="0057163C" w:rsidRPr="00170422" w:rsidRDefault="00F37BF9">
            <w:pPr>
              <w:pStyle w:val="P68B1DB1-Normal11"/>
              <w:spacing w:before="120" w:after="120"/>
              <w:rPr>
                <w:noProof/>
                <w:lang w:val="de-DE"/>
              </w:rPr>
            </w:pPr>
            <w:r w:rsidRPr="00170422">
              <w:rPr>
                <w:noProof/>
                <w:lang w:val="de-DE"/>
              </w:rPr>
              <w:t>Linie Napoli-Bari (12 km), davon:</w:t>
            </w:r>
          </w:p>
          <w:p w14:paraId="04640D88"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Apice-Hirpinia (12 km)</w:t>
            </w:r>
          </w:p>
          <w:p w14:paraId="0D67DD78"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Frasso-Telese (11 km)</w:t>
            </w:r>
          </w:p>
          <w:p w14:paraId="64A80DDF"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Telese-Vitulano (19 km)</w:t>
            </w:r>
          </w:p>
          <w:p w14:paraId="1E291694" w14:textId="77777777" w:rsidR="0057163C" w:rsidRPr="00170422" w:rsidRDefault="00F37BF9">
            <w:pPr>
              <w:pStyle w:val="P68B1DB1-Normal11"/>
              <w:rPr>
                <w:noProof/>
                <w:lang w:val="de-DE"/>
              </w:rPr>
            </w:pPr>
            <w:r w:rsidRPr="00170422">
              <w:rPr>
                <w:noProof/>
                <w:lang w:val="de-DE"/>
              </w:rPr>
              <w:t>Salerno – Reggio Calabria (14,7 km), davon:</w:t>
            </w:r>
          </w:p>
          <w:p w14:paraId="2953FB31"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Battipaglia-Romagnano (14,7 km)</w:t>
            </w:r>
          </w:p>
          <w:p w14:paraId="15D84EF6" w14:textId="77777777" w:rsidR="0057163C" w:rsidRPr="00170422" w:rsidRDefault="00F37BF9">
            <w:pPr>
              <w:pStyle w:val="P68B1DB1-Normal11"/>
              <w:spacing w:before="120" w:after="120"/>
              <w:rPr>
                <w:noProof/>
                <w:szCs w:val="20"/>
                <w:lang w:val="de-DE"/>
              </w:rPr>
            </w:pPr>
            <w:r w:rsidRPr="00170422">
              <w:rPr>
                <w:noProof/>
                <w:lang w:val="de-DE"/>
              </w:rPr>
              <w:t>Linie Palermo – Catania, (16,5 km), davon:</w:t>
            </w:r>
          </w:p>
          <w:p w14:paraId="2659E3C6"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Dittanio – Enna (2 km)</w:t>
            </w:r>
          </w:p>
          <w:p w14:paraId="6183E371"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Giampilieri-Fiumefreddo (7,5 km)</w:t>
            </w:r>
          </w:p>
          <w:p w14:paraId="1BB94EF4"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Ogliastrillo-Castelbuono (7 km)</w:t>
            </w:r>
          </w:p>
          <w:p w14:paraId="2F16A582" w14:textId="77777777" w:rsidR="0057163C" w:rsidRPr="00170422" w:rsidRDefault="0057163C">
            <w:pPr>
              <w:pStyle w:val="ListParagraph"/>
              <w:ind w:left="360"/>
              <w:rPr>
                <w:rFonts w:ascii="Arial Narrow" w:hAnsi="Arial Narrow"/>
                <w:noProof/>
                <w:color w:val="006100"/>
                <w:sz w:val="20"/>
                <w:lang w:val="de-DE"/>
              </w:rPr>
            </w:pPr>
          </w:p>
          <w:p w14:paraId="12D82EEA" w14:textId="77777777" w:rsidR="0057163C" w:rsidRPr="00170422" w:rsidRDefault="00F37BF9">
            <w:pPr>
              <w:pStyle w:val="P68B1DB1-Normal11"/>
              <w:rPr>
                <w:noProof/>
                <w:lang w:val="de-DE"/>
              </w:rPr>
            </w:pPr>
            <w:r w:rsidRPr="00170422">
              <w:rPr>
                <w:noProof/>
                <w:lang w:val="de-DE"/>
              </w:rPr>
              <w:t xml:space="preserve">Bei der Prüfung und </w:t>
            </w:r>
            <w:r w:rsidRPr="00170422">
              <w:rPr>
                <w:noProof/>
                <w:lang w:val="de-DE"/>
              </w:rPr>
              <w:t>Genehmigung jedes relevanten Projekts/jeder betreffenden Investition sind alle in Artikel 6 Absatz 3 und Artikel 6 Absatz 4 der EU-Richtlinie 92/43/EWG festgelegten Regeln und Verfahren einzuhalten und die nationalen Leitlinien für die Folgenabschätzung zu</w:t>
            </w:r>
            <w:r w:rsidRPr="00170422">
              <w:rPr>
                <w:noProof/>
                <w:lang w:val="de-DE"/>
              </w:rPr>
              <w:t xml:space="preserve"> befolgen, die in der offiziellen Gazzette der Italienischen Republik Nr. 303 vom 28. Dezember 2019 veröffentlicht wurden.</w:t>
            </w:r>
          </w:p>
        </w:tc>
      </w:tr>
      <w:tr w:rsidR="0057163C" w:rsidRPr="00170422" w14:paraId="502927D3"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0F4D02" w14:textId="77777777" w:rsidR="0057163C" w:rsidRPr="00170422" w:rsidRDefault="00F37BF9">
            <w:pPr>
              <w:pStyle w:val="P68B1DB1-Normal11"/>
              <w:jc w:val="center"/>
              <w:rPr>
                <w:noProof/>
                <w:szCs w:val="20"/>
                <w:lang w:val="de-DE"/>
              </w:rPr>
            </w:pPr>
            <w:r w:rsidRPr="00170422">
              <w:rPr>
                <w:noProof/>
                <w:lang w:val="de-DE"/>
              </w:rPr>
              <w:t>M3C1-9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A1347" w14:textId="77777777" w:rsidR="0057163C" w:rsidRPr="00170422" w:rsidRDefault="00F37BF9">
            <w:pPr>
              <w:pStyle w:val="P68B1DB1-Normal11"/>
              <w:jc w:val="center"/>
              <w:rPr>
                <w:noProof/>
                <w:szCs w:val="20"/>
                <w:lang w:val="de-DE"/>
              </w:rPr>
            </w:pPr>
            <w:r w:rsidRPr="00170422">
              <w:rPr>
                <w:noProof/>
                <w:lang w:val="de-DE"/>
              </w:rPr>
              <w:t>Investition 1.2 – Hochgeschwindigkeitsstrecken im Norden, die an das übrige Europa angebunden sind</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2648E"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88CA7" w14:textId="77777777" w:rsidR="0057163C" w:rsidRPr="00170422" w:rsidRDefault="00F37BF9">
            <w:pPr>
              <w:pStyle w:val="P68B1DB1-Normal11"/>
              <w:jc w:val="center"/>
              <w:rPr>
                <w:noProof/>
                <w:szCs w:val="20"/>
                <w:lang w:val="de-DE"/>
              </w:rPr>
            </w:pPr>
            <w:r w:rsidRPr="00170422">
              <w:rPr>
                <w:noProof/>
                <w:lang w:val="de-DE"/>
              </w:rPr>
              <w:t>Hochgeschwindigkeitsschienenverkehr auf den Strecken Brescia-Verona-Vicenza-Padova; Ligurien-Alpi.</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A8C02E"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17290"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F4CD96" w14:textId="77777777" w:rsidR="0057163C" w:rsidRPr="00170422" w:rsidRDefault="00F37BF9">
            <w:pPr>
              <w:pStyle w:val="P68B1DB1-Normal11"/>
              <w:jc w:val="center"/>
              <w:rPr>
                <w:noProof/>
                <w:szCs w:val="20"/>
                <w:lang w:val="de-DE"/>
              </w:rPr>
            </w:pPr>
            <w:r w:rsidRPr="00170422">
              <w:rPr>
                <w:noProof/>
                <w:lang w:val="de-DE"/>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7FD413" w14:textId="77777777" w:rsidR="0057163C" w:rsidRPr="00170422" w:rsidRDefault="00F37BF9">
            <w:pPr>
              <w:pStyle w:val="P68B1DB1-Normal11"/>
              <w:jc w:val="center"/>
              <w:rPr>
                <w:noProof/>
                <w:szCs w:val="20"/>
                <w:lang w:val="de-DE"/>
              </w:rPr>
            </w:pPr>
            <w:r w:rsidRPr="00170422">
              <w:rPr>
                <w:noProof/>
                <w:lang w:val="de-DE"/>
              </w:rPr>
              <w:t>158</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BBE9" w14:textId="77777777" w:rsidR="0057163C" w:rsidRPr="00170422" w:rsidRDefault="00F37BF9">
            <w:pPr>
              <w:pStyle w:val="P68B1DB1-Normal11"/>
              <w:jc w:val="center"/>
              <w:rPr>
                <w:noProof/>
                <w:szCs w:val="20"/>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0BFC6" w14:textId="77777777" w:rsidR="0057163C" w:rsidRPr="00170422" w:rsidRDefault="00F37BF9">
            <w:pPr>
              <w:pStyle w:val="P68B1DB1-Normal11"/>
              <w:jc w:val="center"/>
              <w:rPr>
                <w:noProof/>
                <w:szCs w:val="20"/>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F9D882" w14:textId="53AA2366" w:rsidR="0057163C" w:rsidRPr="00170422" w:rsidRDefault="00F37BF9">
            <w:pPr>
              <w:pStyle w:val="P68B1DB1-Normal11"/>
              <w:rPr>
                <w:noProof/>
                <w:lang w:val="de-DE"/>
              </w:rPr>
            </w:pPr>
            <w:r w:rsidRPr="00170422">
              <w:rPr>
                <w:noProof/>
                <w:lang w:val="de-DE"/>
              </w:rPr>
              <w:t>Für den Bau von 158 km Hochgeschwindigkeitsbahnstrecke auf den Strecken Brescia-Verona-Vicenza-Padova und Liguria-Alpi sind ge</w:t>
            </w:r>
            <w:r w:rsidRPr="00170422">
              <w:rPr>
                <w:noProof/>
                <w:lang w:val="de-DE"/>
              </w:rPr>
              <w:t>mäß der WBS-Methodik Abschlussbescheinigungen auszustellen.</w:t>
            </w:r>
          </w:p>
          <w:p w14:paraId="60F3DB4D" w14:textId="77777777" w:rsidR="0057163C" w:rsidRPr="00170422" w:rsidRDefault="00F37BF9">
            <w:pPr>
              <w:pStyle w:val="P68B1DB1-Normal11"/>
              <w:rPr>
                <w:noProof/>
                <w:lang w:val="de-DE"/>
              </w:rPr>
            </w:pPr>
            <w:r w:rsidRPr="00170422">
              <w:rPr>
                <w:noProof/>
                <w:lang w:val="de-DE"/>
              </w:rPr>
              <w:t>Die vorläufige Aufschlüsselung ist wie folgt:</w:t>
            </w:r>
          </w:p>
          <w:p w14:paraId="0630FE48"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Brescia-Verona (48 km)</w:t>
            </w:r>
          </w:p>
          <w:p w14:paraId="2097B373"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Verona-Bivio-Vicenza (44 km)</w:t>
            </w:r>
          </w:p>
          <w:p w14:paraId="76CC0B74"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Genua-Knoten (17 km)</w:t>
            </w:r>
          </w:p>
          <w:p w14:paraId="0CE068B0"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Dritte Giovi-Überquerung (35,3 km)</w:t>
            </w:r>
          </w:p>
          <w:p w14:paraId="181CF20B" w14:textId="77777777" w:rsidR="0057163C" w:rsidRPr="00170422" w:rsidRDefault="00F37BF9">
            <w:pPr>
              <w:pStyle w:val="P68B1DB1-ListParagraph15"/>
              <w:numPr>
                <w:ilvl w:val="0"/>
                <w:numId w:val="36"/>
              </w:numPr>
              <w:spacing w:before="120" w:after="120" w:line="240" w:lineRule="auto"/>
              <w:ind w:left="502"/>
              <w:jc w:val="both"/>
              <w:rPr>
                <w:noProof/>
                <w:lang w:val="de-DE"/>
              </w:rPr>
            </w:pPr>
            <w:r w:rsidRPr="00170422">
              <w:rPr>
                <w:noProof/>
                <w:lang w:val="de-DE"/>
              </w:rPr>
              <w:t>Rho-Parabiago (4 km)</w:t>
            </w:r>
          </w:p>
          <w:p w14:paraId="297E5C20"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Pavia-Mailand-Rogored</w:t>
            </w:r>
            <w:r w:rsidRPr="00170422">
              <w:rPr>
                <w:noProof/>
                <w:lang w:val="de-DE"/>
              </w:rPr>
              <w:t>o (10,3 km)</w:t>
            </w:r>
          </w:p>
          <w:p w14:paraId="6FA10014" w14:textId="77777777" w:rsidR="0057163C" w:rsidRPr="00170422" w:rsidRDefault="00F37BF9">
            <w:pPr>
              <w:pStyle w:val="P68B1DB1-Normal12"/>
              <w:rPr>
                <w:noProof/>
                <w:lang w:val="de-DE"/>
              </w:rPr>
            </w:pPr>
            <w:r w:rsidRPr="00170422">
              <w:rPr>
                <w:noProof/>
                <w:lang w:val="de-DE"/>
              </w:rPr>
              <w:t>Bei der Prüfung und Genehmigung jedes relevanten Projekts/jeder betreffenden Investition sind alle in Artikel 6 Absatz 3 und Artikel 6 Absatz 4 der EU-Richtlinie 92/43/EWG festgelegten Regeln und Verfahren einzuhalten und die nationalen Leitlin</w:t>
            </w:r>
            <w:r w:rsidRPr="00170422">
              <w:rPr>
                <w:noProof/>
                <w:lang w:val="de-DE"/>
              </w:rPr>
              <w:t>ien für die Folgenabschätzung zu befolgen, die in der offiziellen Gazzette der Italienischen Republik Nr. 303 vom 28. Dezember 2019 veröffentlicht wurden.</w:t>
            </w:r>
          </w:p>
          <w:p w14:paraId="0E8CF1E9" w14:textId="77777777" w:rsidR="0057163C" w:rsidRPr="00170422" w:rsidRDefault="00F37BF9">
            <w:pPr>
              <w:pStyle w:val="P68B1DB1-Normal12"/>
              <w:rPr>
                <w:noProof/>
                <w:lang w:val="de-DE"/>
              </w:rPr>
            </w:pPr>
            <w:r w:rsidRPr="00170422">
              <w:rPr>
                <w:noProof/>
                <w:lang w:val="de-DE"/>
              </w:rPr>
              <w:t>In Bezug auf das Segment Rho-Parabiago (4 km) müssen alle im Rahmen der UVP ermittelten Minderungsmaß</w:t>
            </w:r>
            <w:r w:rsidRPr="00170422">
              <w:rPr>
                <w:noProof/>
                <w:lang w:val="de-DE"/>
              </w:rPr>
              <w:t>nahmen in das Projekt integriert und in den Phasen des Baus und des Betriebs der Infrastruktur eingehalten werden.</w:t>
            </w:r>
          </w:p>
        </w:tc>
      </w:tr>
      <w:tr w:rsidR="0057163C" w:rsidRPr="00170422" w14:paraId="77058459" w14:textId="77777777" w:rsidTr="00F96342">
        <w:trPr>
          <w:trHeight w:val="341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E99B9F" w14:textId="77777777" w:rsidR="0057163C" w:rsidRPr="00170422" w:rsidRDefault="00F37BF9">
            <w:pPr>
              <w:pStyle w:val="P68B1DB1-Normal11"/>
              <w:jc w:val="center"/>
              <w:rPr>
                <w:noProof/>
                <w:szCs w:val="20"/>
                <w:lang w:val="de-DE"/>
              </w:rPr>
            </w:pPr>
            <w:r w:rsidRPr="00170422">
              <w:rPr>
                <w:noProof/>
                <w:lang w:val="de-DE"/>
              </w:rPr>
              <w:t>M3C1-10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41805" w14:textId="77777777" w:rsidR="0057163C" w:rsidRPr="00170422" w:rsidRDefault="00F37BF9">
            <w:pPr>
              <w:pStyle w:val="P68B1DB1-Normal11"/>
              <w:jc w:val="center"/>
              <w:rPr>
                <w:noProof/>
                <w:szCs w:val="20"/>
                <w:lang w:val="de-DE"/>
              </w:rPr>
            </w:pPr>
            <w:r w:rsidRPr="00170422">
              <w:rPr>
                <w:noProof/>
                <w:lang w:val="de-DE"/>
              </w:rPr>
              <w:t>Investition 1.3 – Diagonale Verbindungen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1A8248"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04F7C5" w14:textId="77777777" w:rsidR="0057163C" w:rsidRPr="00170422" w:rsidRDefault="00F37BF9">
            <w:pPr>
              <w:pStyle w:val="P68B1DB1-Normal11"/>
              <w:jc w:val="center"/>
              <w:rPr>
                <w:noProof/>
                <w:szCs w:val="20"/>
                <w:lang w:val="de-DE"/>
              </w:rPr>
            </w:pPr>
            <w:r w:rsidRPr="00170422">
              <w:rPr>
                <w:noProof/>
                <w:lang w:val="de-DE"/>
              </w:rPr>
              <w:t xml:space="preserve">Vergabe der Aufträge für den Bau der Verbindungen auf den Strecken </w:t>
            </w:r>
            <w:r w:rsidRPr="00170422">
              <w:rPr>
                <w:noProof/>
                <w:lang w:val="de-DE"/>
              </w:rPr>
              <w:t>Orte-Falconara und Taranto-Metaponto-Potenza-Battipaglia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A224E6" w14:textId="77777777" w:rsidR="0057163C" w:rsidRPr="00170422" w:rsidRDefault="00F37BF9">
            <w:pPr>
              <w:pStyle w:val="P68B1DB1-Normal14"/>
              <w:jc w:val="center"/>
              <w:rPr>
                <w:noProof/>
                <w:color w:val="006100"/>
                <w:szCs w:val="20"/>
                <w:lang w:val="de-DE"/>
              </w:rPr>
            </w:pPr>
            <w:r w:rsidRPr="00170422">
              <w:rPr>
                <w:noProof/>
                <w:color w:val="006100"/>
                <w:lang w:val="de-DE"/>
              </w:rPr>
              <w:t>Mitteilung über die Vergabe des</w:t>
            </w:r>
            <w:r w:rsidRPr="00170422">
              <w:rPr>
                <w:noProof/>
                <w:lang w:val="de-DE"/>
              </w:rPr>
              <w:t xml:space="preserve"> </w:t>
            </w:r>
            <w:r w:rsidRPr="00170422">
              <w:rPr>
                <w:noProof/>
                <w:color w:val="006100"/>
                <w:lang w:val="de-DE"/>
              </w:rPr>
              <w:t>multidisziplinären Auftrags für den Bau von Hochgeschwindigkeitsbahnstrecken auf den Strecken Orte-Falconara und Taranto-Metaponto-Potenza-Battipaglia</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6E4758"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B3F939" w14:textId="77777777" w:rsidR="0057163C" w:rsidRPr="00170422" w:rsidRDefault="00F37BF9">
            <w:pPr>
              <w:pStyle w:val="P68B1DB1-Normal11"/>
              <w:jc w:val="center"/>
              <w:rPr>
                <w:noProof/>
                <w:szCs w:val="20"/>
                <w:lang w:val="de-DE"/>
              </w:rPr>
            </w:pPr>
            <w:r w:rsidRPr="00170422">
              <w:rPr>
                <w:noProof/>
                <w:lang w:val="de-DE"/>
              </w:rPr>
              <w:t>ENTFÄL</w:t>
            </w:r>
            <w:r w:rsidRPr="00170422">
              <w:rPr>
                <w:noProof/>
                <w:lang w:val="de-DE"/>
              </w:rPr>
              <w:t>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CDC05"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417D44" w14:textId="77777777" w:rsidR="0057163C" w:rsidRPr="00170422" w:rsidRDefault="00F37BF9">
            <w:pPr>
              <w:pStyle w:val="P68B1DB1-Normal11"/>
              <w:jc w:val="center"/>
              <w:rPr>
                <w:noProof/>
                <w:szCs w:val="20"/>
                <w:lang w:val="de-DE"/>
              </w:rPr>
            </w:pPr>
            <w:r w:rsidRPr="00170422">
              <w:rPr>
                <w:noProof/>
                <w:lang w:val="de-DE"/>
              </w:rPr>
              <w:t>Q1</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F5E31" w14:textId="77777777" w:rsidR="0057163C" w:rsidRPr="00170422" w:rsidRDefault="00F37BF9">
            <w:pPr>
              <w:pStyle w:val="P68B1DB1-Normal11"/>
              <w:jc w:val="center"/>
              <w:rPr>
                <w:noProof/>
                <w:szCs w:val="20"/>
                <w:lang w:val="de-DE"/>
              </w:rPr>
            </w:pPr>
            <w:r w:rsidRPr="00170422">
              <w:rPr>
                <w:noProof/>
                <w:lang w:val="de-DE"/>
              </w:rPr>
              <w:t>2024</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7D3206" w14:textId="77777777" w:rsidR="0057163C" w:rsidRPr="00170422" w:rsidRDefault="00F37BF9">
            <w:pPr>
              <w:pStyle w:val="P68B1DB1-Normal11"/>
              <w:rPr>
                <w:noProof/>
                <w:szCs w:val="20"/>
                <w:lang w:val="de-DE"/>
              </w:rPr>
            </w:pPr>
            <w:r w:rsidRPr="00170422">
              <w:rPr>
                <w:noProof/>
                <w:lang w:val="de-DE"/>
              </w:rPr>
              <w:t>Mitteilung über die Vergabe des multidisziplinären Auftrags für den Bau der Verbindungen auf den Strecken Orte-Falconara und Taranto-Metaponto-Potenza-Battipaglia.</w:t>
            </w:r>
          </w:p>
          <w:p w14:paraId="3CF5012C" w14:textId="77777777" w:rsidR="0057163C" w:rsidRPr="00170422" w:rsidRDefault="00F37BF9">
            <w:pPr>
              <w:pStyle w:val="P68B1DB1-Normal11"/>
              <w:rPr>
                <w:noProof/>
                <w:szCs w:val="20"/>
                <w:lang w:val="de-DE"/>
              </w:rPr>
            </w:pPr>
            <w:r w:rsidRPr="00170422">
              <w:rPr>
                <w:noProof/>
                <w:lang w:val="de-DE"/>
              </w:rPr>
              <w:t>Der Vertrag bzw. die Verträge müssen sich auf folgende Zeilen beziehen</w:t>
            </w:r>
            <w:r w:rsidRPr="00170422">
              <w:rPr>
                <w:noProof/>
                <w:lang w:val="de-DE"/>
              </w:rPr>
              <w:t xml:space="preserve">: </w:t>
            </w:r>
          </w:p>
          <w:p w14:paraId="1E3ACB87" w14:textId="77777777" w:rsidR="0057163C" w:rsidRPr="00170422" w:rsidRDefault="00F37BF9">
            <w:pPr>
              <w:pStyle w:val="P68B1DB1-Normal11"/>
              <w:rPr>
                <w:noProof/>
                <w:szCs w:val="20"/>
                <w:lang w:val="de-DE"/>
              </w:rPr>
            </w:pPr>
            <w:r w:rsidRPr="00170422">
              <w:rPr>
                <w:noProof/>
                <w:lang w:val="de-DE"/>
              </w:rPr>
              <w:t>Orte-Falconara</w:t>
            </w:r>
          </w:p>
          <w:p w14:paraId="509ECC04" w14:textId="77777777" w:rsidR="0057163C" w:rsidRPr="00170422" w:rsidRDefault="00F37BF9">
            <w:pPr>
              <w:pStyle w:val="P68B1DB1-Normal11"/>
              <w:rPr>
                <w:noProof/>
                <w:szCs w:val="20"/>
                <w:lang w:val="de-DE"/>
              </w:rPr>
            </w:pPr>
            <w:r w:rsidRPr="00170422">
              <w:rPr>
                <w:noProof/>
                <w:lang w:val="de-DE"/>
              </w:rPr>
              <w:t>Taranto-Metaponto-Potenza-Battipaglia</w:t>
            </w:r>
          </w:p>
        </w:tc>
      </w:tr>
      <w:tr w:rsidR="0057163C" w:rsidRPr="00170422" w14:paraId="2FE0D3B7"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B354CD" w14:textId="77777777" w:rsidR="0057163C" w:rsidRPr="00170422" w:rsidRDefault="00F37BF9">
            <w:pPr>
              <w:pStyle w:val="P68B1DB1-Normal11"/>
              <w:jc w:val="center"/>
              <w:rPr>
                <w:noProof/>
                <w:szCs w:val="20"/>
                <w:lang w:val="de-DE"/>
              </w:rPr>
            </w:pPr>
            <w:r w:rsidRPr="00170422">
              <w:rPr>
                <w:noProof/>
                <w:lang w:val="de-DE"/>
              </w:rPr>
              <w:t>M3C1-11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C909B9" w14:textId="77777777" w:rsidR="0057163C" w:rsidRPr="00170422" w:rsidRDefault="00F37BF9">
            <w:pPr>
              <w:pStyle w:val="P68B1DB1-Normal11"/>
              <w:jc w:val="center"/>
              <w:rPr>
                <w:noProof/>
                <w:szCs w:val="20"/>
                <w:lang w:val="de-DE"/>
              </w:rPr>
            </w:pPr>
            <w:r w:rsidRPr="00170422">
              <w:rPr>
                <w:noProof/>
                <w:lang w:val="de-DE"/>
              </w:rPr>
              <w:t>Investition 1.3 – Diagonale Verbindungen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6E276"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AAA40E" w14:textId="77777777" w:rsidR="0057163C" w:rsidRPr="00170422" w:rsidRDefault="00F37BF9">
            <w:pPr>
              <w:pStyle w:val="P68B1DB1-Normal11"/>
              <w:jc w:val="center"/>
              <w:rPr>
                <w:noProof/>
                <w:szCs w:val="20"/>
                <w:lang w:val="de-DE"/>
              </w:rPr>
            </w:pPr>
            <w:r w:rsidRPr="00170422">
              <w:rPr>
                <w:noProof/>
                <w:lang w:val="de-DE"/>
              </w:rPr>
              <w:t>Hochgeschwindigkeitsschienenverkehr auf den Strecken Orte-Falconara und Taranto-Metaponto-Potenza-Battipaglia</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648919"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EC6005"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2C74C9" w14:textId="77777777" w:rsidR="0057163C" w:rsidRPr="00170422" w:rsidRDefault="00F37BF9">
            <w:pPr>
              <w:pStyle w:val="P68B1DB1-Normal11"/>
              <w:jc w:val="center"/>
              <w:rPr>
                <w:noProof/>
                <w:szCs w:val="20"/>
                <w:lang w:val="de-DE"/>
              </w:rPr>
            </w:pPr>
            <w:r w:rsidRPr="00170422">
              <w:rPr>
                <w:noProof/>
                <w:lang w:val="de-DE"/>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891C1B" w14:textId="77777777" w:rsidR="0057163C" w:rsidRPr="00170422" w:rsidRDefault="00F37BF9">
            <w:pPr>
              <w:pStyle w:val="P68B1DB1-Normal11"/>
              <w:jc w:val="center"/>
              <w:rPr>
                <w:noProof/>
                <w:szCs w:val="20"/>
                <w:lang w:val="de-DE"/>
              </w:rPr>
            </w:pPr>
            <w:r w:rsidRPr="00170422">
              <w:rPr>
                <w:noProof/>
                <w:lang w:val="de-DE"/>
              </w:rPr>
              <w:t>15</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836E2" w14:textId="77777777" w:rsidR="0057163C" w:rsidRPr="00170422" w:rsidRDefault="00F37BF9">
            <w:pPr>
              <w:pStyle w:val="P68B1DB1-Normal11"/>
              <w:jc w:val="center"/>
              <w:rPr>
                <w:noProof/>
                <w:szCs w:val="20"/>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2E7EB4" w14:textId="77777777" w:rsidR="0057163C" w:rsidRPr="00170422" w:rsidRDefault="00F37BF9">
            <w:pPr>
              <w:pStyle w:val="P68B1DB1-Normal11"/>
              <w:jc w:val="center"/>
              <w:rPr>
                <w:noProof/>
                <w:szCs w:val="20"/>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BF89F2" w14:textId="536C00D1" w:rsidR="0057163C" w:rsidRPr="00170422" w:rsidRDefault="00F37BF9">
            <w:pPr>
              <w:pStyle w:val="P68B1DB1-Normal11"/>
              <w:rPr>
                <w:noProof/>
                <w:szCs w:val="20"/>
                <w:lang w:val="de-DE"/>
              </w:rPr>
            </w:pPr>
            <w:r w:rsidRPr="00170422">
              <w:rPr>
                <w:noProof/>
                <w:lang w:val="de-DE"/>
              </w:rPr>
              <w:t xml:space="preserve">Für </w:t>
            </w:r>
            <w:r w:rsidRPr="00170422">
              <w:rPr>
                <w:noProof/>
                <w:lang w:val="de-DE"/>
              </w:rPr>
              <w:t>den Bau von 15 km Hochgeschwindigkeitsbahnstrecken auf den Strecken Orte-Falconara und Taranto-Metaponto-Potenza-Battipaglia werden gemäß der WBS-Methodik Abschlussbescheinigungen ausgestellt.</w:t>
            </w:r>
          </w:p>
          <w:p w14:paraId="3C1BD87D" w14:textId="77777777" w:rsidR="0057163C" w:rsidRPr="00170422" w:rsidRDefault="00F37BF9">
            <w:pPr>
              <w:pStyle w:val="P68B1DB1-Normal11"/>
              <w:rPr>
                <w:noProof/>
                <w:szCs w:val="20"/>
                <w:lang w:val="de-DE"/>
              </w:rPr>
            </w:pPr>
            <w:r w:rsidRPr="00170422">
              <w:rPr>
                <w:noProof/>
                <w:lang w:val="de-DE"/>
              </w:rPr>
              <w:t>Die vorläufige Aufschlüsselung ist wie folgt:</w:t>
            </w:r>
          </w:p>
          <w:p w14:paraId="134D0981"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Orte-Falconara (1</w:t>
            </w:r>
            <w:r w:rsidRPr="00170422">
              <w:rPr>
                <w:noProof/>
                <w:lang w:val="de-DE"/>
              </w:rPr>
              <w:t>2,3 km)</w:t>
            </w:r>
          </w:p>
          <w:p w14:paraId="0D726864" w14:textId="77777777" w:rsidR="0057163C" w:rsidRPr="00170422" w:rsidRDefault="00F37BF9">
            <w:pPr>
              <w:pStyle w:val="P68B1DB1-ListParagraph15"/>
              <w:numPr>
                <w:ilvl w:val="0"/>
                <w:numId w:val="36"/>
              </w:numPr>
              <w:spacing w:before="120" w:after="120" w:line="240" w:lineRule="auto"/>
              <w:ind w:left="502"/>
              <w:jc w:val="both"/>
              <w:rPr>
                <w:noProof/>
                <w:szCs w:val="20"/>
                <w:lang w:val="de-DE"/>
              </w:rPr>
            </w:pPr>
            <w:r w:rsidRPr="00170422">
              <w:rPr>
                <w:noProof/>
                <w:lang w:val="de-DE"/>
              </w:rPr>
              <w:t>Taranto-Metaponto-Potenza-Battipaglia (2,8 km)</w:t>
            </w:r>
          </w:p>
          <w:p w14:paraId="791B8596" w14:textId="77777777" w:rsidR="0057163C" w:rsidRPr="00170422" w:rsidRDefault="00F37BF9">
            <w:pPr>
              <w:pStyle w:val="P68B1DB1-Normal12"/>
              <w:rPr>
                <w:noProof/>
                <w:lang w:val="de-DE"/>
              </w:rPr>
            </w:pPr>
            <w:r w:rsidRPr="00170422">
              <w:rPr>
                <w:noProof/>
                <w:lang w:val="de-DE"/>
              </w:rPr>
              <w:t>Bei der Prüfung und Genehmigung jedes relevanten Projekts/jeder betreffenden Investition sind alle in Artikel 6 Absatz 3 und Artikel 6 Absatz 4 der EU-Richtlinie 92/43/EWG festgelegten Regeln und Verfa</w:t>
            </w:r>
            <w:r w:rsidRPr="00170422">
              <w:rPr>
                <w:noProof/>
                <w:lang w:val="de-DE"/>
              </w:rPr>
              <w:t>hren einzuhalten und die nationalen Leitlinien für die Folgenabschätzung zu befolgen, die in der offiziellen Gazzette der Italienischen Republik Nr. 303 vom 28. Dezember 2019 veröffentlicht wurden.</w:t>
            </w:r>
          </w:p>
        </w:tc>
      </w:tr>
      <w:tr w:rsidR="0057163C" w:rsidRPr="00170422" w14:paraId="5587325C" w14:textId="77777777" w:rsidTr="00F96342">
        <w:trPr>
          <w:trHeight w:val="2415"/>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6CFA5" w14:textId="77777777" w:rsidR="0057163C" w:rsidRPr="00170422" w:rsidRDefault="00F37BF9">
            <w:pPr>
              <w:pStyle w:val="P68B1DB1-Normal11"/>
              <w:jc w:val="center"/>
              <w:rPr>
                <w:noProof/>
                <w:szCs w:val="20"/>
                <w:lang w:val="de-DE"/>
              </w:rPr>
            </w:pPr>
            <w:r w:rsidRPr="00170422">
              <w:rPr>
                <w:noProof/>
                <w:lang w:val="de-DE"/>
              </w:rPr>
              <w:t>M3C1-12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8E7AC" w14:textId="77777777" w:rsidR="0057163C" w:rsidRPr="00170422" w:rsidRDefault="00F37BF9">
            <w:pPr>
              <w:pStyle w:val="P68B1DB1-Normal11"/>
              <w:jc w:val="center"/>
              <w:rPr>
                <w:noProof/>
                <w:szCs w:val="20"/>
                <w:lang w:val="de-DE"/>
              </w:rPr>
            </w:pPr>
            <w:r w:rsidRPr="00170422">
              <w:rPr>
                <w:noProof/>
                <w:lang w:val="de-DE"/>
              </w:rPr>
              <w:t xml:space="preserve">Investition 1.4 – Einführung des Europäischen </w:t>
            </w:r>
            <w:r w:rsidRPr="00170422">
              <w:rPr>
                <w:noProof/>
                <w:lang w:val="de-DE"/>
              </w:rPr>
              <w:t>Eisenbahnverkehrsleitsystems (ERTMS)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DC9F8D"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1DDFA" w14:textId="77777777" w:rsidR="0057163C" w:rsidRPr="00170422" w:rsidRDefault="00F37BF9">
            <w:pPr>
              <w:pStyle w:val="P68B1DB1-Normal11"/>
              <w:jc w:val="center"/>
              <w:rPr>
                <w:noProof/>
                <w:szCs w:val="20"/>
                <w:lang w:val="de-DE"/>
              </w:rPr>
            </w:pPr>
            <w:r w:rsidRPr="00170422">
              <w:rPr>
                <w:noProof/>
                <w:lang w:val="de-DE"/>
              </w:rPr>
              <w:t>Vergabe der Aufträge für das Europäische Eisenbahnverkehrsleitsystem</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0DC664" w14:textId="77777777" w:rsidR="0057163C" w:rsidRPr="00170422" w:rsidRDefault="00F37BF9">
            <w:pPr>
              <w:pStyle w:val="P68B1DB1-Normal11"/>
              <w:jc w:val="center"/>
              <w:rPr>
                <w:noProof/>
                <w:szCs w:val="20"/>
                <w:lang w:val="de-DE"/>
              </w:rPr>
            </w:pPr>
            <w:r w:rsidRPr="00170422">
              <w:rPr>
                <w:noProof/>
                <w:lang w:val="de-DE"/>
              </w:rPr>
              <w:t>Mitteilung über die Vergabe aller öffentlichen Aufträge zur Einführung des Europäischen Eisenbahnverkehrsleitsystems</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80CCDD"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FE84A"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BF4CF3"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F7FFF6"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23599C" w14:textId="77777777" w:rsidR="0057163C" w:rsidRPr="00170422" w:rsidRDefault="00F37BF9">
            <w:pPr>
              <w:pStyle w:val="P68B1DB1-Normal11"/>
              <w:jc w:val="center"/>
              <w:rPr>
                <w:noProof/>
                <w:szCs w:val="20"/>
                <w:lang w:val="de-DE"/>
              </w:rPr>
            </w:pPr>
            <w:r w:rsidRPr="00170422">
              <w:rPr>
                <w:noProof/>
                <w:lang w:val="de-DE"/>
              </w:rPr>
              <w:t>2022</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3175F7" w14:textId="77777777" w:rsidR="0057163C" w:rsidRPr="00170422" w:rsidRDefault="00F37BF9">
            <w:pPr>
              <w:pStyle w:val="P68B1DB1-Normal11"/>
              <w:rPr>
                <w:noProof/>
                <w:szCs w:val="20"/>
                <w:lang w:val="de-DE"/>
              </w:rPr>
            </w:pPr>
            <w:r w:rsidRPr="00170422">
              <w:rPr>
                <w:noProof/>
                <w:lang w:val="de-DE"/>
              </w:rPr>
              <w:t>Mitteilung über die Vergabe aller öffentlichen Aufträge zur Einführung des Europäischen Eisenbahnverkehrsleitsystems (ERTMS)</w:t>
            </w:r>
          </w:p>
        </w:tc>
      </w:tr>
      <w:tr w:rsidR="0057163C" w:rsidRPr="00170422" w14:paraId="700CE8AA"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3E503" w14:textId="77777777" w:rsidR="0057163C" w:rsidRPr="00170422" w:rsidRDefault="00F37BF9">
            <w:pPr>
              <w:pStyle w:val="P68B1DB1-Normal11"/>
              <w:jc w:val="center"/>
              <w:rPr>
                <w:noProof/>
                <w:szCs w:val="20"/>
                <w:lang w:val="de-DE"/>
              </w:rPr>
            </w:pPr>
            <w:r w:rsidRPr="00170422">
              <w:rPr>
                <w:noProof/>
                <w:lang w:val="de-DE"/>
              </w:rPr>
              <w:t>M3C1-14</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958C04" w14:textId="77777777" w:rsidR="0057163C" w:rsidRPr="00170422" w:rsidRDefault="00F37BF9">
            <w:pPr>
              <w:pStyle w:val="P68B1DB1-Normal11"/>
              <w:jc w:val="center"/>
              <w:rPr>
                <w:noProof/>
                <w:szCs w:val="20"/>
                <w:lang w:val="de-DE"/>
              </w:rPr>
            </w:pPr>
            <w:r w:rsidRPr="00170422">
              <w:rPr>
                <w:noProof/>
                <w:lang w:val="de-DE"/>
              </w:rPr>
              <w:t>Investition 1.4 – Einführung des Europäischen Eisenbahnverkehrsleitsystems (ERTMS)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294CD1"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4E62F" w14:textId="77777777" w:rsidR="0057163C" w:rsidRPr="00170422" w:rsidRDefault="00F37BF9">
            <w:pPr>
              <w:pStyle w:val="P68B1DB1-Normal11"/>
              <w:jc w:val="center"/>
              <w:rPr>
                <w:noProof/>
                <w:szCs w:val="20"/>
                <w:lang w:val="de-DE"/>
              </w:rPr>
            </w:pPr>
            <w:r w:rsidRPr="00170422">
              <w:rPr>
                <w:noProof/>
                <w:lang w:val="de-DE"/>
              </w:rPr>
              <w:t xml:space="preserve"> 2 785 km Eisenbahnstrecken, die mit dem Europäischen Eisenbahnverkehrsleitsystem ausgerüstet sind</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F8771"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EBE952"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2BE97" w14:textId="77777777" w:rsidR="0057163C" w:rsidRPr="00170422" w:rsidRDefault="00F37BF9">
            <w:pPr>
              <w:pStyle w:val="P68B1DB1-Normal11"/>
              <w:jc w:val="center"/>
              <w:rPr>
                <w:noProof/>
                <w:szCs w:val="20"/>
                <w:lang w:val="de-DE"/>
              </w:rPr>
            </w:pPr>
            <w:r w:rsidRPr="00170422">
              <w:rPr>
                <w:noProof/>
                <w:lang w:val="de-DE"/>
              </w:rPr>
              <w:t xml:space="preserve"> 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66B7D" w14:textId="77777777" w:rsidR="0057163C" w:rsidRPr="00170422" w:rsidRDefault="00F37BF9">
            <w:pPr>
              <w:pStyle w:val="P68B1DB1-Normal11"/>
              <w:jc w:val="center"/>
              <w:rPr>
                <w:noProof/>
                <w:szCs w:val="20"/>
                <w:lang w:val="de-DE"/>
              </w:rPr>
            </w:pPr>
            <w:r w:rsidRPr="00170422">
              <w:rPr>
                <w:noProof/>
                <w:lang w:val="de-DE"/>
              </w:rPr>
              <w:t>2 785</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C682F0" w14:textId="77777777" w:rsidR="0057163C" w:rsidRPr="00170422" w:rsidRDefault="00F37BF9">
            <w:pPr>
              <w:pStyle w:val="P68B1DB1-Normal11"/>
              <w:jc w:val="center"/>
              <w:rPr>
                <w:noProof/>
                <w:szCs w:val="20"/>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99F392" w14:textId="77777777" w:rsidR="0057163C" w:rsidRPr="00170422" w:rsidRDefault="00F37BF9">
            <w:pPr>
              <w:pStyle w:val="P68B1DB1-Normal11"/>
              <w:jc w:val="center"/>
              <w:rPr>
                <w:noProof/>
                <w:szCs w:val="20"/>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2225B2" w14:textId="77777777" w:rsidR="0057163C" w:rsidRPr="00170422" w:rsidRDefault="00F37BF9">
            <w:pPr>
              <w:pStyle w:val="P68B1DB1-Normal11"/>
              <w:spacing w:before="120" w:after="120"/>
              <w:rPr>
                <w:noProof/>
                <w:szCs w:val="20"/>
                <w:lang w:val="de-DE"/>
              </w:rPr>
            </w:pPr>
            <w:r w:rsidRPr="00170422">
              <w:rPr>
                <w:noProof/>
                <w:lang w:val="de-DE"/>
              </w:rPr>
              <w:t>Für 2 785 km Eisenbahnen, die mit dem Europäischen Eisenbahnverkehrsleitsystem auf infrastruktureller und technologischer E</w:t>
            </w:r>
            <w:r w:rsidRPr="00170422">
              <w:rPr>
                <w:noProof/>
                <w:lang w:val="de-DE"/>
              </w:rPr>
              <w:t>bene ausgerüstet sind, werden Abschlussbescheinigungen ausgestellt.</w:t>
            </w:r>
          </w:p>
        </w:tc>
      </w:tr>
      <w:tr w:rsidR="0057163C" w:rsidRPr="00170422" w14:paraId="1E441630"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6BB24" w14:textId="77777777" w:rsidR="0057163C" w:rsidRPr="00170422" w:rsidRDefault="00F37BF9">
            <w:pPr>
              <w:pStyle w:val="P68B1DB1-Normal11"/>
              <w:jc w:val="center"/>
              <w:rPr>
                <w:noProof/>
                <w:szCs w:val="20"/>
                <w:lang w:val="de-DE"/>
              </w:rPr>
            </w:pPr>
            <w:r w:rsidRPr="00170422">
              <w:rPr>
                <w:noProof/>
                <w:lang w:val="de-DE"/>
              </w:rPr>
              <w:t>M3C1-15</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8637CF" w14:textId="77777777" w:rsidR="0057163C" w:rsidRPr="00170422" w:rsidRDefault="00F37BF9">
            <w:pPr>
              <w:pStyle w:val="P68B1DB1-Normal11"/>
              <w:jc w:val="center"/>
              <w:rPr>
                <w:noProof/>
                <w:szCs w:val="20"/>
                <w:lang w:val="de-DE"/>
              </w:rPr>
            </w:pPr>
            <w:r w:rsidRPr="00170422">
              <w:rPr>
                <w:noProof/>
                <w:lang w:val="de-DE"/>
              </w:rPr>
              <w:t>Investition 1.5 – Stärkung der Metropol-Knoten und der wichtigsten nationalen Verbindungen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7D0F9"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B8B2F3" w14:textId="77777777" w:rsidR="0057163C" w:rsidRPr="00170422" w:rsidRDefault="00F37BF9">
            <w:pPr>
              <w:pStyle w:val="P68B1DB1-Normal11"/>
              <w:jc w:val="center"/>
              <w:rPr>
                <w:noProof/>
                <w:szCs w:val="20"/>
                <w:lang w:val="de-DE"/>
              </w:rPr>
            </w:pPr>
            <w:r w:rsidRPr="00170422">
              <w:rPr>
                <w:noProof/>
                <w:lang w:val="de-DE"/>
              </w:rPr>
              <w:t xml:space="preserve">700 km ausgebaute Streckenabschnitte, die an Metropolknoten und wichtigen </w:t>
            </w:r>
            <w:r w:rsidRPr="00170422">
              <w:rPr>
                <w:noProof/>
                <w:lang w:val="de-DE"/>
              </w:rPr>
              <w:t>nationalen Verbindungen gebaut werden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B613F5"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286542"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C18B36" w14:textId="77777777" w:rsidR="0057163C" w:rsidRPr="00170422" w:rsidRDefault="00F37BF9">
            <w:pPr>
              <w:pStyle w:val="P68B1DB1-Normal11"/>
              <w:jc w:val="center"/>
              <w:rPr>
                <w:noProof/>
                <w:szCs w:val="20"/>
                <w:lang w:val="de-DE"/>
              </w:rPr>
            </w:pPr>
            <w:r w:rsidRPr="00170422">
              <w:rPr>
                <w:noProof/>
                <w:lang w:val="de-DE"/>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068896" w14:textId="77777777" w:rsidR="0057163C" w:rsidRPr="00170422" w:rsidRDefault="00F37BF9">
            <w:pPr>
              <w:pStyle w:val="P68B1DB1-Normal11"/>
              <w:jc w:val="center"/>
              <w:rPr>
                <w:noProof/>
                <w:szCs w:val="20"/>
                <w:lang w:val="de-DE"/>
              </w:rPr>
            </w:pPr>
            <w:r w:rsidRPr="00170422">
              <w:rPr>
                <w:noProof/>
                <w:lang w:val="de-DE"/>
              </w:rPr>
              <w:t>700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2A088"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C56A87" w14:textId="77777777" w:rsidR="0057163C" w:rsidRPr="00170422" w:rsidRDefault="00F37BF9">
            <w:pPr>
              <w:pStyle w:val="P68B1DB1-Normal11"/>
              <w:jc w:val="center"/>
              <w:rPr>
                <w:noProof/>
                <w:szCs w:val="20"/>
                <w:lang w:val="de-DE"/>
              </w:rPr>
            </w:pPr>
            <w:r w:rsidRPr="00170422">
              <w:rPr>
                <w:noProof/>
                <w:lang w:val="de-DE"/>
              </w:rPr>
              <w:t>2024</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94B72E" w14:textId="77777777" w:rsidR="0057163C" w:rsidRPr="00170422" w:rsidRDefault="00F37BF9">
            <w:pPr>
              <w:pStyle w:val="P68B1DB1-Normal11"/>
              <w:rPr>
                <w:noProof/>
                <w:szCs w:val="20"/>
                <w:lang w:val="de-DE"/>
              </w:rPr>
            </w:pPr>
            <w:r w:rsidRPr="00170422">
              <w:rPr>
                <w:noProof/>
                <w:lang w:val="de-DE"/>
              </w:rPr>
              <w:t>Mindestens 700 km ausgebaute Streckenabschnitte, die an Metropolknoten und wichtigen nationalen Verbindungen gebaut sind und für die Genehmigungs- und Betriebsphase bereit sind.</w:t>
            </w:r>
          </w:p>
        </w:tc>
      </w:tr>
      <w:tr w:rsidR="0057163C" w:rsidRPr="00170422" w14:paraId="746206FE"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EF03A2" w14:textId="77777777" w:rsidR="0057163C" w:rsidRPr="00170422" w:rsidRDefault="00F37BF9">
            <w:pPr>
              <w:pStyle w:val="P68B1DB1-Normal11"/>
              <w:jc w:val="center"/>
              <w:rPr>
                <w:noProof/>
                <w:szCs w:val="20"/>
                <w:lang w:val="de-DE"/>
              </w:rPr>
            </w:pPr>
            <w:r w:rsidRPr="00170422">
              <w:rPr>
                <w:noProof/>
                <w:lang w:val="de-DE"/>
              </w:rPr>
              <w:t>M3C1-17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6B3D9D" w14:textId="77777777" w:rsidR="0057163C" w:rsidRPr="00170422" w:rsidRDefault="00F37BF9">
            <w:pPr>
              <w:pStyle w:val="P68B1DB1-Normal11"/>
              <w:jc w:val="center"/>
              <w:rPr>
                <w:noProof/>
                <w:szCs w:val="20"/>
                <w:lang w:val="de-DE"/>
              </w:rPr>
            </w:pPr>
            <w:r w:rsidRPr="00170422">
              <w:rPr>
                <w:noProof/>
                <w:lang w:val="de-DE"/>
              </w:rPr>
              <w:t>Investition 1.7 – Modernisierung, Elektrifizierung und Widerstandsfähigkeit der Eisenbahnen im Süden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2768C1" w14:textId="77777777" w:rsidR="0057163C" w:rsidRPr="00170422" w:rsidRDefault="0057163C">
            <w:pPr>
              <w:jc w:val="center"/>
              <w:rPr>
                <w:rFonts w:ascii="Arial Narrow" w:hAnsi="Arial Narrow"/>
                <w:noProof/>
                <w:color w:val="006100"/>
                <w:sz w:val="20"/>
                <w:szCs w:val="20"/>
                <w:lang w:val="de-DE"/>
              </w:rPr>
            </w:pPr>
          </w:p>
          <w:p w14:paraId="7BEAA135" w14:textId="77777777" w:rsidR="0057163C" w:rsidRPr="00170422" w:rsidRDefault="00F37BF9">
            <w:pPr>
              <w:pStyle w:val="P68B1DB1-Normal11"/>
              <w:jc w:val="center"/>
              <w:rPr>
                <w:noProof/>
                <w:szCs w:val="20"/>
                <w:lang w:val="de-DE"/>
              </w:rPr>
            </w:pPr>
            <w:r w:rsidRPr="00170422">
              <w:rPr>
                <w:noProof/>
                <w:lang w:val="de-DE"/>
              </w:rPr>
              <w:t xml:space="preserve">Ziel </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375A13" w14:textId="77777777" w:rsidR="0057163C" w:rsidRPr="00170422" w:rsidRDefault="00F37BF9">
            <w:pPr>
              <w:pStyle w:val="P68B1DB1-Normal11"/>
              <w:jc w:val="center"/>
              <w:rPr>
                <w:noProof/>
                <w:szCs w:val="20"/>
                <w:lang w:val="de-DE"/>
              </w:rPr>
            </w:pPr>
            <w:r w:rsidRPr="00170422">
              <w:rPr>
                <w:noProof/>
                <w:lang w:val="de-DE"/>
              </w:rPr>
              <w:t xml:space="preserve">172 km abgeschlossene Arbeiten im Zusammenhang mit der Widerstandsfähigkeit der Eisenbahnen im Süden, die für die Genehmigungs- und </w:t>
            </w:r>
            <w:r w:rsidRPr="00170422">
              <w:rPr>
                <w:noProof/>
                <w:lang w:val="de-DE"/>
              </w:rPr>
              <w:t>Betriebsphase bereit sind.</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87736E"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64056C"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30DE7E" w14:textId="77777777" w:rsidR="0057163C" w:rsidRPr="00170422" w:rsidRDefault="00F37BF9">
            <w:pPr>
              <w:pStyle w:val="P68B1DB1-Normal11"/>
              <w:jc w:val="center"/>
              <w:rPr>
                <w:noProof/>
                <w:szCs w:val="20"/>
                <w:lang w:val="de-DE"/>
              </w:rPr>
            </w:pPr>
            <w:r w:rsidRPr="00170422">
              <w:rPr>
                <w:noProof/>
                <w:lang w:val="de-DE"/>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D474F1" w14:textId="77777777" w:rsidR="0057163C" w:rsidRPr="00170422" w:rsidRDefault="00F37BF9">
            <w:pPr>
              <w:pStyle w:val="P68B1DB1-Normal11"/>
              <w:jc w:val="center"/>
              <w:rPr>
                <w:noProof/>
                <w:szCs w:val="20"/>
                <w:lang w:val="de-DE"/>
              </w:rPr>
            </w:pPr>
            <w:r w:rsidRPr="00170422">
              <w:rPr>
                <w:noProof/>
                <w:lang w:val="de-DE"/>
              </w:rPr>
              <w:t>172</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973458"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BFD1F0" w14:textId="77777777" w:rsidR="0057163C" w:rsidRPr="00170422" w:rsidRDefault="00F37BF9">
            <w:pPr>
              <w:pStyle w:val="P68B1DB1-Normal11"/>
              <w:jc w:val="center"/>
              <w:rPr>
                <w:noProof/>
                <w:szCs w:val="20"/>
                <w:lang w:val="de-DE"/>
              </w:rPr>
            </w:pPr>
            <w:r w:rsidRPr="00170422">
              <w:rPr>
                <w:noProof/>
                <w:lang w:val="de-DE"/>
              </w:rPr>
              <w:t>2023</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E59FFA" w14:textId="77777777" w:rsidR="0057163C" w:rsidRPr="00170422" w:rsidRDefault="00F37BF9">
            <w:pPr>
              <w:pStyle w:val="P68B1DB1-Normal11"/>
              <w:spacing w:before="120" w:after="120"/>
              <w:rPr>
                <w:noProof/>
                <w:szCs w:val="20"/>
                <w:lang w:val="de-DE"/>
              </w:rPr>
            </w:pPr>
            <w:r w:rsidRPr="00170422">
              <w:rPr>
                <w:noProof/>
                <w:lang w:val="de-DE"/>
              </w:rPr>
              <w:t xml:space="preserve">Abschluss der Arbeiten für mindestens 172 km im Zusammenhang mit der Widerstandsfähigkeit der südlichen Eisenbahnstrecken, die für die Genehmigungs- und Betriebsphase bereit sind. </w:t>
            </w:r>
          </w:p>
          <w:p w14:paraId="1E373814" w14:textId="77777777" w:rsidR="0057163C" w:rsidRPr="00170422" w:rsidRDefault="00F37BF9">
            <w:pPr>
              <w:pStyle w:val="P68B1DB1-Normal11"/>
              <w:spacing w:before="120" w:after="120"/>
              <w:rPr>
                <w:noProof/>
                <w:lang w:val="de-DE"/>
              </w:rPr>
            </w:pPr>
            <w:r w:rsidRPr="00170422">
              <w:rPr>
                <w:noProof/>
                <w:lang w:val="de-DE"/>
              </w:rPr>
              <w:t>Die 172 k</w:t>
            </w:r>
            <w:r w:rsidRPr="00170422">
              <w:rPr>
                <w:noProof/>
                <w:lang w:val="de-DE"/>
              </w:rPr>
              <w:t>m beziehen sich auf folgende Strecken:</w:t>
            </w:r>
          </w:p>
          <w:p w14:paraId="476F0D37" w14:textId="77777777" w:rsidR="0057163C" w:rsidRPr="00170422" w:rsidRDefault="00F37BF9">
            <w:pPr>
              <w:pStyle w:val="P68B1DB1-Normal83"/>
              <w:spacing w:before="120" w:after="120"/>
              <w:rPr>
                <w:rFonts w:ascii="Arial Narrow" w:hAnsi="Arial Narrow"/>
                <w:noProof/>
                <w:sz w:val="20"/>
                <w:szCs w:val="20"/>
                <w:lang w:val="de-DE"/>
              </w:rPr>
            </w:pPr>
            <w:r w:rsidRPr="00170422">
              <w:rPr>
                <w:rFonts w:ascii="Arial Narrow" w:hAnsi="Arial Narrow"/>
                <w:noProof/>
                <w:sz w:val="20"/>
                <w:lang w:val="de-DE"/>
              </w:rPr>
              <w:t>•</w:t>
            </w:r>
            <w:r w:rsidRPr="00170422">
              <w:rPr>
                <w:noProof/>
                <w:lang w:val="de-DE"/>
              </w:rPr>
              <w:t xml:space="preserve"> </w:t>
            </w:r>
            <w:r w:rsidRPr="00170422">
              <w:rPr>
                <w:rFonts w:ascii="Arial Narrow" w:hAnsi="Arial Narrow"/>
                <w:noProof/>
                <w:sz w:val="20"/>
                <w:lang w:val="de-DE"/>
              </w:rPr>
              <w:t>Paola-Regio Kalabrien;</w:t>
            </w:r>
          </w:p>
          <w:p w14:paraId="0A5AC86E" w14:textId="77777777" w:rsidR="0057163C" w:rsidRPr="00170422" w:rsidRDefault="00F37BF9">
            <w:pPr>
              <w:pStyle w:val="P68B1DB1-Normal83"/>
              <w:spacing w:before="120" w:after="120"/>
              <w:rPr>
                <w:rFonts w:ascii="Arial Narrow" w:hAnsi="Arial Narrow"/>
                <w:noProof/>
                <w:sz w:val="20"/>
                <w:szCs w:val="20"/>
                <w:lang w:val="de-DE"/>
              </w:rPr>
            </w:pPr>
            <w:r w:rsidRPr="00170422">
              <w:rPr>
                <w:rFonts w:ascii="Arial Narrow" w:hAnsi="Arial Narrow"/>
                <w:noProof/>
                <w:sz w:val="20"/>
                <w:lang w:val="de-DE"/>
              </w:rPr>
              <w:t>•</w:t>
            </w:r>
            <w:r w:rsidRPr="00170422">
              <w:rPr>
                <w:noProof/>
                <w:lang w:val="de-DE"/>
              </w:rPr>
              <w:t xml:space="preserve"> </w:t>
            </w:r>
            <w:r w:rsidRPr="00170422">
              <w:rPr>
                <w:rFonts w:ascii="Arial Narrow" w:hAnsi="Arial Narrow"/>
                <w:noProof/>
                <w:sz w:val="20"/>
                <w:lang w:val="de-DE"/>
              </w:rPr>
              <w:t>Lentini Diramazione-Gela;</w:t>
            </w:r>
          </w:p>
          <w:p w14:paraId="57C7E872" w14:textId="77777777" w:rsidR="0057163C" w:rsidRPr="00170422" w:rsidRDefault="00F37BF9">
            <w:pPr>
              <w:pStyle w:val="P68B1DB1-Normal83"/>
              <w:spacing w:before="120" w:after="120"/>
              <w:rPr>
                <w:rFonts w:ascii="Arial Narrow" w:hAnsi="Arial Narrow"/>
                <w:noProof/>
                <w:sz w:val="20"/>
                <w:szCs w:val="20"/>
                <w:lang w:val="de-DE"/>
              </w:rPr>
            </w:pPr>
            <w:r w:rsidRPr="00170422">
              <w:rPr>
                <w:rFonts w:ascii="Arial Narrow" w:hAnsi="Arial Narrow"/>
                <w:noProof/>
                <w:sz w:val="20"/>
                <w:lang w:val="de-DE"/>
              </w:rPr>
              <w:t>•</w:t>
            </w:r>
            <w:r w:rsidRPr="00170422">
              <w:rPr>
                <w:noProof/>
                <w:lang w:val="de-DE"/>
              </w:rPr>
              <w:t xml:space="preserve"> </w:t>
            </w:r>
            <w:r w:rsidRPr="00170422">
              <w:rPr>
                <w:rFonts w:ascii="Arial Narrow" w:hAnsi="Arial Narrow"/>
                <w:noProof/>
                <w:sz w:val="20"/>
                <w:lang w:val="de-DE"/>
              </w:rPr>
              <w:t>Messina – Catania – Siracusa;</w:t>
            </w:r>
          </w:p>
          <w:p w14:paraId="2B2D3801" w14:textId="77777777" w:rsidR="0057163C" w:rsidRPr="00170422" w:rsidRDefault="00F37BF9">
            <w:pPr>
              <w:pStyle w:val="P68B1DB1-Normal83"/>
              <w:spacing w:before="120" w:after="120"/>
              <w:rPr>
                <w:rFonts w:ascii="Arial Narrow" w:hAnsi="Arial Narrow"/>
                <w:noProof/>
                <w:sz w:val="20"/>
                <w:szCs w:val="20"/>
                <w:lang w:val="de-DE"/>
              </w:rPr>
            </w:pPr>
            <w:r w:rsidRPr="00170422">
              <w:rPr>
                <w:rFonts w:ascii="Arial Narrow" w:hAnsi="Arial Narrow"/>
                <w:noProof/>
                <w:sz w:val="20"/>
                <w:lang w:val="de-DE"/>
              </w:rPr>
              <w:t>•</w:t>
            </w:r>
            <w:r w:rsidRPr="00170422">
              <w:rPr>
                <w:noProof/>
                <w:lang w:val="de-DE"/>
              </w:rPr>
              <w:t xml:space="preserve"> </w:t>
            </w:r>
            <w:r w:rsidRPr="00170422">
              <w:rPr>
                <w:rFonts w:ascii="Arial Narrow" w:hAnsi="Arial Narrow"/>
                <w:noProof/>
                <w:sz w:val="20"/>
                <w:lang w:val="de-DE"/>
              </w:rPr>
              <w:t>Caserta – Battipaglia;</w:t>
            </w:r>
          </w:p>
          <w:p w14:paraId="00CA48FF" w14:textId="77777777" w:rsidR="0057163C" w:rsidRPr="00170422" w:rsidRDefault="00F37BF9">
            <w:pPr>
              <w:pStyle w:val="P68B1DB1-Normal83"/>
              <w:spacing w:before="120" w:after="120"/>
              <w:rPr>
                <w:rFonts w:ascii="Arial Narrow" w:hAnsi="Arial Narrow"/>
                <w:noProof/>
                <w:sz w:val="20"/>
                <w:szCs w:val="20"/>
                <w:lang w:val="de-DE"/>
              </w:rPr>
            </w:pPr>
            <w:r w:rsidRPr="00170422">
              <w:rPr>
                <w:rFonts w:ascii="Arial Narrow" w:hAnsi="Arial Narrow"/>
                <w:noProof/>
                <w:sz w:val="20"/>
                <w:lang w:val="de-DE"/>
              </w:rPr>
              <w:t>•</w:t>
            </w:r>
            <w:r w:rsidRPr="00170422">
              <w:rPr>
                <w:noProof/>
                <w:lang w:val="de-DE"/>
              </w:rPr>
              <w:t xml:space="preserve"> </w:t>
            </w:r>
            <w:r w:rsidRPr="00170422">
              <w:rPr>
                <w:rFonts w:ascii="Arial Narrow" w:hAnsi="Arial Narrow"/>
                <w:noProof/>
                <w:sz w:val="20"/>
                <w:lang w:val="de-DE"/>
              </w:rPr>
              <w:t>Roma – Neapel; und</w:t>
            </w:r>
          </w:p>
          <w:p w14:paraId="6B5F0ED0" w14:textId="77777777" w:rsidR="0057163C" w:rsidRPr="00170422" w:rsidRDefault="00F37BF9">
            <w:pPr>
              <w:pStyle w:val="P68B1DB1-Normal83"/>
              <w:spacing w:before="120" w:after="120"/>
              <w:rPr>
                <w:rFonts w:ascii="Arial Narrow" w:hAnsi="Arial Narrow"/>
                <w:noProof/>
                <w:sz w:val="20"/>
                <w:szCs w:val="20"/>
                <w:lang w:val="de-DE"/>
              </w:rPr>
            </w:pPr>
            <w:r w:rsidRPr="00170422">
              <w:rPr>
                <w:rFonts w:ascii="Arial Narrow" w:hAnsi="Arial Narrow"/>
                <w:noProof/>
                <w:sz w:val="20"/>
                <w:lang w:val="de-DE"/>
              </w:rPr>
              <w:t>•</w:t>
            </w:r>
            <w:r w:rsidRPr="00170422">
              <w:rPr>
                <w:noProof/>
                <w:lang w:val="de-DE"/>
              </w:rPr>
              <w:t xml:space="preserve"> </w:t>
            </w:r>
            <w:r w:rsidRPr="00170422">
              <w:rPr>
                <w:rFonts w:ascii="Arial Narrow" w:hAnsi="Arial Narrow"/>
                <w:noProof/>
                <w:sz w:val="20"/>
                <w:lang w:val="de-DE"/>
              </w:rPr>
              <w:t>Bari – Brindisi.</w:t>
            </w:r>
          </w:p>
          <w:p w14:paraId="38C839E6" w14:textId="0D4CDBEF" w:rsidR="0057163C" w:rsidRPr="00170422" w:rsidRDefault="00F37BF9">
            <w:pPr>
              <w:pStyle w:val="P68B1DB1-Normal11"/>
              <w:spacing w:before="120" w:after="120"/>
              <w:rPr>
                <w:noProof/>
                <w:szCs w:val="20"/>
                <w:lang w:val="de-DE"/>
              </w:rPr>
            </w:pPr>
            <w:r w:rsidRPr="00170422">
              <w:rPr>
                <w:noProof/>
                <w:lang w:val="de-DE"/>
              </w:rPr>
              <w:t xml:space="preserve">Das Ziel wird durch CLP (d. h. „Codice Locale Progetto“) erreicht, </w:t>
            </w:r>
            <w:r w:rsidRPr="00170422">
              <w:rPr>
                <w:noProof/>
                <w:lang w:val="de-DE"/>
              </w:rPr>
              <w:t>die nicht aus anderen EU-Fonds als der Aufbau- und Resilienzfazilität unterstützt werden.</w:t>
            </w:r>
          </w:p>
        </w:tc>
      </w:tr>
      <w:tr w:rsidR="0057163C" w:rsidRPr="00170422" w14:paraId="27255734"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B32153" w14:textId="77777777" w:rsidR="0057163C" w:rsidRPr="00170422" w:rsidRDefault="00F37BF9">
            <w:pPr>
              <w:pStyle w:val="P68B1DB1-Normal11"/>
              <w:jc w:val="center"/>
              <w:rPr>
                <w:noProof/>
                <w:szCs w:val="20"/>
                <w:lang w:val="de-DE"/>
              </w:rPr>
            </w:pPr>
            <w:r w:rsidRPr="00170422">
              <w:rPr>
                <w:noProof/>
                <w:lang w:val="de-DE"/>
              </w:rPr>
              <w:t>M3C1-19</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27273" w14:textId="77777777" w:rsidR="0057163C" w:rsidRPr="00170422" w:rsidRDefault="00F37BF9">
            <w:pPr>
              <w:pStyle w:val="P68B1DB1-Normal11"/>
              <w:jc w:val="center"/>
              <w:rPr>
                <w:noProof/>
                <w:szCs w:val="20"/>
                <w:lang w:val="de-DE"/>
              </w:rPr>
            </w:pPr>
            <w:r w:rsidRPr="00170422">
              <w:rPr>
                <w:noProof/>
                <w:lang w:val="de-DE"/>
              </w:rPr>
              <w:t>Investition 1.8 – Modernisierung der Bahnhöfe (RFI-Management; im Süden)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BD8503"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A498C3" w14:textId="77777777" w:rsidR="0057163C" w:rsidRPr="00170422" w:rsidRDefault="00F37BF9">
            <w:pPr>
              <w:pStyle w:val="P68B1DB1-Normal11"/>
              <w:jc w:val="center"/>
              <w:rPr>
                <w:noProof/>
                <w:szCs w:val="20"/>
                <w:lang w:val="de-DE"/>
              </w:rPr>
            </w:pPr>
            <w:r w:rsidRPr="00170422">
              <w:rPr>
                <w:noProof/>
                <w:lang w:val="de-DE"/>
              </w:rPr>
              <w:t>Modernisierte und zugängliche Bahnhöfe</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852E0E"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44B849"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5EA341" w14:textId="77777777" w:rsidR="0057163C" w:rsidRPr="00170422" w:rsidRDefault="00F37BF9">
            <w:pPr>
              <w:pStyle w:val="P68B1DB1-Normal11"/>
              <w:jc w:val="center"/>
              <w:rPr>
                <w:noProof/>
                <w:szCs w:val="20"/>
                <w:lang w:val="de-DE"/>
              </w:rPr>
            </w:pPr>
            <w:r w:rsidRPr="00170422">
              <w:rPr>
                <w:noProof/>
                <w:lang w:val="de-DE"/>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A9F38B" w14:textId="77777777" w:rsidR="0057163C" w:rsidRPr="00170422" w:rsidRDefault="00F37BF9">
            <w:pPr>
              <w:pStyle w:val="P68B1DB1-Normal11"/>
              <w:jc w:val="center"/>
              <w:rPr>
                <w:noProof/>
                <w:szCs w:val="20"/>
                <w:lang w:val="de-DE"/>
              </w:rPr>
            </w:pPr>
            <w:r w:rsidRPr="00170422">
              <w:rPr>
                <w:noProof/>
                <w:lang w:val="de-DE"/>
              </w:rPr>
              <w:t>10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F0E9F1"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4BC992" w14:textId="77777777" w:rsidR="0057163C" w:rsidRPr="00170422" w:rsidRDefault="00F37BF9">
            <w:pPr>
              <w:pStyle w:val="P68B1DB1-Normal11"/>
              <w:jc w:val="center"/>
              <w:rPr>
                <w:noProof/>
                <w:szCs w:val="20"/>
                <w:lang w:val="de-DE"/>
              </w:rPr>
            </w:pPr>
            <w:r w:rsidRPr="00170422">
              <w:rPr>
                <w:noProof/>
                <w:lang w:val="de-DE"/>
              </w:rPr>
              <w:t>2024</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CC2A" w14:textId="77777777" w:rsidR="0057163C" w:rsidRPr="00170422" w:rsidRDefault="00F37BF9">
            <w:pPr>
              <w:pStyle w:val="P68B1DB1-Normal12"/>
              <w:jc w:val="both"/>
              <w:rPr>
                <w:noProof/>
                <w:lang w:val="de-DE"/>
              </w:rPr>
            </w:pPr>
            <w:r w:rsidRPr="00170422">
              <w:rPr>
                <w:noProof/>
                <w:lang w:val="de-DE"/>
              </w:rPr>
              <w:t>Zehn Bahnhöfe werden im Einklang mit der Verordnung (EU) Nr. 1300/2014 der Kommission modernisiert und zugänglich gemacht.</w:t>
            </w:r>
          </w:p>
        </w:tc>
      </w:tr>
      <w:tr w:rsidR="0057163C" w:rsidRPr="00170422" w14:paraId="5B43724B"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F279A" w14:textId="77777777" w:rsidR="0057163C" w:rsidRPr="00170422" w:rsidRDefault="00F37BF9">
            <w:pPr>
              <w:pStyle w:val="P68B1DB1-Normal11"/>
              <w:jc w:val="center"/>
              <w:rPr>
                <w:noProof/>
                <w:szCs w:val="20"/>
                <w:lang w:val="de-DE"/>
              </w:rPr>
            </w:pPr>
            <w:r w:rsidRPr="00170422">
              <w:rPr>
                <w:noProof/>
                <w:lang w:val="de-DE"/>
              </w:rPr>
              <w:t>M3C1-20</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F2440" w14:textId="77777777" w:rsidR="0057163C" w:rsidRPr="00170422" w:rsidRDefault="00F37BF9">
            <w:pPr>
              <w:pStyle w:val="P68B1DB1-Normal11"/>
              <w:jc w:val="center"/>
              <w:rPr>
                <w:noProof/>
                <w:szCs w:val="20"/>
                <w:lang w:val="de-DE"/>
              </w:rPr>
            </w:pPr>
            <w:r w:rsidRPr="00170422">
              <w:rPr>
                <w:noProof/>
                <w:lang w:val="de-DE"/>
              </w:rPr>
              <w:t>Investition 1.8 – Modernisierung der Bahnhöfe (RFI-Management; im Süden)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4E74E7"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E7B0F6" w14:textId="77777777" w:rsidR="0057163C" w:rsidRPr="00170422" w:rsidRDefault="00F37BF9">
            <w:pPr>
              <w:pStyle w:val="P68B1DB1-Normal11"/>
              <w:jc w:val="center"/>
              <w:rPr>
                <w:noProof/>
                <w:szCs w:val="20"/>
                <w:lang w:val="de-DE"/>
              </w:rPr>
            </w:pPr>
            <w:r w:rsidRPr="00170422">
              <w:rPr>
                <w:noProof/>
                <w:lang w:val="de-DE"/>
              </w:rPr>
              <w:t>Modernisierte und zugängliche Bahnhöfe</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CAE8C"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412140"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A57FC6" w14:textId="77777777" w:rsidR="0057163C" w:rsidRPr="00170422" w:rsidRDefault="00F37BF9">
            <w:pPr>
              <w:pStyle w:val="P68B1DB1-Normal11"/>
              <w:jc w:val="center"/>
              <w:rPr>
                <w:noProof/>
                <w:szCs w:val="20"/>
                <w:lang w:val="de-DE"/>
              </w:rPr>
            </w:pPr>
            <w:r w:rsidRPr="00170422">
              <w:rPr>
                <w:noProof/>
                <w:lang w:val="de-DE"/>
              </w:rPr>
              <w:t>10</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39B82" w14:textId="77777777" w:rsidR="0057163C" w:rsidRPr="00170422" w:rsidRDefault="00F37BF9">
            <w:pPr>
              <w:pStyle w:val="P68B1DB1-Normal11"/>
              <w:jc w:val="center"/>
              <w:rPr>
                <w:noProof/>
                <w:szCs w:val="20"/>
                <w:lang w:val="de-DE"/>
              </w:rPr>
            </w:pPr>
            <w:r w:rsidRPr="00170422">
              <w:rPr>
                <w:noProof/>
                <w:lang w:val="de-DE"/>
              </w:rPr>
              <w:t>38</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119620" w14:textId="77777777" w:rsidR="0057163C" w:rsidRPr="00170422" w:rsidRDefault="00F37BF9">
            <w:pPr>
              <w:pStyle w:val="P68B1DB1-Normal11"/>
              <w:jc w:val="center"/>
              <w:rPr>
                <w:noProof/>
                <w:szCs w:val="20"/>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B949E6" w14:textId="77777777" w:rsidR="0057163C" w:rsidRPr="00170422" w:rsidRDefault="00F37BF9">
            <w:pPr>
              <w:pStyle w:val="P68B1DB1-Normal11"/>
              <w:jc w:val="center"/>
              <w:rPr>
                <w:noProof/>
                <w:szCs w:val="20"/>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54FB8F" w14:textId="77777777" w:rsidR="0057163C" w:rsidRPr="00170422" w:rsidRDefault="00F37BF9">
            <w:pPr>
              <w:pStyle w:val="P68B1DB1-Normal11"/>
              <w:spacing w:before="120"/>
              <w:jc w:val="both"/>
              <w:rPr>
                <w:noProof/>
                <w:lang w:val="de-DE"/>
              </w:rPr>
            </w:pPr>
            <w:r w:rsidRPr="00170422">
              <w:rPr>
                <w:noProof/>
                <w:lang w:val="de-DE"/>
              </w:rPr>
              <w:t>Abschlussbescheinigungen für die Modernisierung von 38 Bahnhöfen in den Regionen Abruzzen, Basilikata Kampanien, Kalabrien, Molise, Apulien, Sicilia und Sardinien.</w:t>
            </w:r>
          </w:p>
        </w:tc>
      </w:tr>
      <w:tr w:rsidR="0057163C" w:rsidRPr="00170422" w14:paraId="4CF7952E"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847CD0" w14:textId="77777777" w:rsidR="0057163C" w:rsidRPr="00170422" w:rsidRDefault="00F37BF9">
            <w:pPr>
              <w:pStyle w:val="P68B1DB1-Normal11"/>
              <w:jc w:val="center"/>
              <w:rPr>
                <w:noProof/>
                <w:szCs w:val="20"/>
                <w:lang w:val="de-DE"/>
              </w:rPr>
            </w:pPr>
            <w:r w:rsidRPr="00170422">
              <w:rPr>
                <w:noProof/>
                <w:lang w:val="de-DE"/>
              </w:rPr>
              <w:t>M3C1-21</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20A" w14:textId="77777777" w:rsidR="0057163C" w:rsidRPr="00170422" w:rsidRDefault="00F37BF9">
            <w:pPr>
              <w:pStyle w:val="P68B1DB1-Normal11"/>
              <w:jc w:val="center"/>
              <w:rPr>
                <w:noProof/>
                <w:szCs w:val="20"/>
                <w:lang w:val="de-DE"/>
              </w:rPr>
            </w:pPr>
            <w:r w:rsidRPr="00170422">
              <w:rPr>
                <w:noProof/>
                <w:lang w:val="de-DE"/>
              </w:rPr>
              <w:t xml:space="preserve">Reform 2.1 – Umsetzung der jüngsten </w:t>
            </w:r>
            <w:r w:rsidRPr="00170422">
              <w:rPr>
                <w:noProof/>
                <w:lang w:val="de-DE"/>
              </w:rPr>
              <w:t>„Vereinfachungsverordnung“ (umgesetzt in das Gesetz Nr. 120 vom 11. September 2020) durch Erlass eines Dekrets über die Annahme von „Leitlinien für die Einstufung und das Risikomanagement, die Bewertung der Sicherheit und die Überwachung bestehender Brücke</w:t>
            </w:r>
            <w:r w:rsidRPr="00170422">
              <w:rPr>
                <w:noProof/>
                <w:lang w:val="de-DE"/>
              </w:rPr>
              <w:t>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E79161"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11578" w14:textId="77777777" w:rsidR="0057163C" w:rsidRPr="00170422" w:rsidRDefault="00F37BF9">
            <w:pPr>
              <w:pStyle w:val="P68B1DB1-Normal11"/>
              <w:jc w:val="center"/>
              <w:rPr>
                <w:noProof/>
                <w:szCs w:val="20"/>
                <w:lang w:val="de-DE"/>
              </w:rPr>
            </w:pPr>
            <w:r w:rsidRPr="00170422">
              <w:rPr>
                <w:noProof/>
                <w:lang w:val="de-DE"/>
              </w:rPr>
              <w:t>Inkrafttreten der „Leitlinien für die Klassifizierung und das Risikomanagement, die Bewertung der Sicherheit und die Überwachung bestehender Brücken“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197B3" w14:textId="77777777" w:rsidR="0057163C" w:rsidRPr="00170422" w:rsidRDefault="00F37BF9">
            <w:pPr>
              <w:pStyle w:val="P68B1DB1-Normal11"/>
              <w:jc w:val="center"/>
              <w:rPr>
                <w:noProof/>
                <w:szCs w:val="20"/>
                <w:lang w:val="de-DE"/>
              </w:rPr>
            </w:pPr>
            <w:r w:rsidRPr="00170422">
              <w:rPr>
                <w:noProof/>
                <w:lang w:val="de-DE"/>
              </w:rPr>
              <w:t>Bestimmung im Dekret über das Inkrafttreten des Dekrets zur Annahme der „Leitlinien für die</w:t>
            </w:r>
            <w:r w:rsidRPr="00170422">
              <w:rPr>
                <w:noProof/>
                <w:lang w:val="de-DE"/>
              </w:rPr>
              <w:t xml:space="preserve"> Einstufung und das Risikomanagement, die Bewertung der Sicherheit und die Überwachung bestehender Brücken“</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59893"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BB24A2"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791D8A"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6F03EE"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F6C8A1" w14:textId="77777777" w:rsidR="0057163C" w:rsidRPr="00170422" w:rsidRDefault="00F37BF9">
            <w:pPr>
              <w:pStyle w:val="P68B1DB1-Normal11"/>
              <w:jc w:val="center"/>
              <w:rPr>
                <w:noProof/>
                <w:szCs w:val="20"/>
                <w:lang w:val="de-DE"/>
              </w:rPr>
            </w:pPr>
            <w:r w:rsidRPr="00170422">
              <w:rPr>
                <w:noProof/>
                <w:lang w:val="de-DE"/>
              </w:rPr>
              <w:t>2021</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7BBC67" w14:textId="77777777" w:rsidR="0057163C" w:rsidRPr="00170422" w:rsidRDefault="00F37BF9">
            <w:pPr>
              <w:pStyle w:val="P68B1DB1-Normal14"/>
              <w:spacing w:before="120" w:after="120"/>
              <w:rPr>
                <w:noProof/>
                <w:color w:val="006100"/>
                <w:szCs w:val="20"/>
                <w:lang w:val="de-DE"/>
              </w:rPr>
            </w:pPr>
            <w:r w:rsidRPr="00170422">
              <w:rPr>
                <w:noProof/>
                <w:color w:val="006100"/>
                <w:lang w:val="de-DE"/>
              </w:rPr>
              <w:t>In den „Leitlinien“ werden gemeinsame Standards und Methoden für das gesamte nationale Straßennetz für</w:t>
            </w:r>
            <w:r w:rsidRPr="00170422">
              <w:rPr>
                <w:noProof/>
                <w:color w:val="006100"/>
                <w:lang w:val="de-DE"/>
              </w:rPr>
              <w:t xml:space="preserve"> die Klassifizierung und das Risikomanagement, die Bewertung der Sicherheit und die Überwachung bestehender Brücken festgelegt.</w:t>
            </w:r>
          </w:p>
        </w:tc>
      </w:tr>
      <w:tr w:rsidR="0057163C" w:rsidRPr="00170422" w14:paraId="3064014F"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22F6C7" w14:textId="77777777" w:rsidR="0057163C" w:rsidRPr="00170422" w:rsidRDefault="00F37BF9">
            <w:pPr>
              <w:pStyle w:val="P68B1DB1-Normal11"/>
              <w:jc w:val="center"/>
              <w:rPr>
                <w:noProof/>
                <w:szCs w:val="20"/>
                <w:lang w:val="de-DE"/>
              </w:rPr>
            </w:pPr>
            <w:r w:rsidRPr="00170422">
              <w:rPr>
                <w:noProof/>
                <w:lang w:val="de-DE"/>
              </w:rPr>
              <w:t>M3C1-22</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620DCE" w14:textId="77777777" w:rsidR="0057163C" w:rsidRPr="00170422" w:rsidRDefault="00F37BF9">
            <w:pPr>
              <w:pStyle w:val="P68B1DB1-Normal11"/>
              <w:jc w:val="center"/>
              <w:rPr>
                <w:noProof/>
                <w:szCs w:val="20"/>
                <w:lang w:val="de-DE"/>
              </w:rPr>
            </w:pPr>
            <w:r w:rsidRPr="00170422">
              <w:rPr>
                <w:noProof/>
                <w:lang w:val="de-DE"/>
              </w:rPr>
              <w:t>Reform 2.2 – Übertragung des</w:t>
            </w:r>
            <w:r w:rsidRPr="00170422">
              <w:rPr>
                <w:noProof/>
                <w:lang w:val="de-DE"/>
              </w:rPr>
              <w:t xml:space="preserve"> Eigentums an den Brücken und Viadukten von den Straßen der unteren Ebene auf die höherrangigen Straßen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B865AF" w14:textId="77777777" w:rsidR="0057163C" w:rsidRPr="00170422" w:rsidRDefault="00F37BF9">
            <w:pPr>
              <w:pStyle w:val="P68B1DB1-Normal11"/>
              <w:jc w:val="center"/>
              <w:rPr>
                <w:noProof/>
                <w:szCs w:val="20"/>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1E037" w14:textId="77777777" w:rsidR="0057163C" w:rsidRPr="00170422" w:rsidRDefault="00F37BF9">
            <w:pPr>
              <w:pStyle w:val="P68B1DB1-Normal11"/>
              <w:jc w:val="center"/>
              <w:rPr>
                <w:noProof/>
                <w:szCs w:val="20"/>
                <w:lang w:val="de-DE"/>
              </w:rPr>
            </w:pPr>
            <w:r w:rsidRPr="00170422">
              <w:rPr>
                <w:noProof/>
                <w:lang w:val="de-DE"/>
              </w:rPr>
              <w:t xml:space="preserve">Übertragung des Eigentums an den Brücken, Viadukten und Überfahrten von den unteren Ranking-Straßen auf die höherrangigen Straßen (Straßen </w:t>
            </w:r>
            <w:r w:rsidRPr="00170422">
              <w:rPr>
                <w:noProof/>
                <w:lang w:val="de-DE"/>
              </w:rPr>
              <w:t>und Hauptverkehrsstraßen)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A35833" w14:textId="77777777" w:rsidR="0057163C" w:rsidRPr="00170422" w:rsidRDefault="00F37BF9">
            <w:pPr>
              <w:pStyle w:val="P68B1DB1-Normal11"/>
              <w:jc w:val="center"/>
              <w:rPr>
                <w:noProof/>
                <w:szCs w:val="20"/>
                <w:lang w:val="de-DE"/>
              </w:rPr>
            </w:pPr>
            <w:r w:rsidRPr="00170422">
              <w:rPr>
                <w:noProof/>
                <w:lang w:val="de-DE"/>
              </w:rPr>
              <w:t>Bestimmung im einschlägigen Rechtsakt über das Inkrafttreten der Übertragung des Eigentums an den Brücken, Viadukten und Überfahrten von den unteren Ranking-Straßen auf höherrangige Straßen (Straßen und Hauptverkehrsstraßen)</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7B7B8A" w14:textId="77777777" w:rsidR="0057163C" w:rsidRPr="00170422" w:rsidRDefault="00F37BF9">
            <w:pPr>
              <w:pStyle w:val="P68B1DB1-Normal11"/>
              <w:jc w:val="center"/>
              <w:rPr>
                <w:noProof/>
                <w:szCs w:val="20"/>
                <w:lang w:val="de-DE"/>
              </w:rPr>
            </w:pPr>
            <w:r w:rsidRPr="00170422">
              <w:rPr>
                <w:noProof/>
                <w:lang w:val="de-DE"/>
              </w:rPr>
              <w:t>ENTFÄ</w:t>
            </w:r>
            <w:r w:rsidRPr="00170422">
              <w:rPr>
                <w:noProof/>
                <w:lang w:val="de-DE"/>
              </w:rPr>
              <w:t>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3F1CE5"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46D24"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1BA4F8" w14:textId="77777777" w:rsidR="0057163C" w:rsidRPr="00170422" w:rsidRDefault="00F37BF9">
            <w:pPr>
              <w:pStyle w:val="P68B1DB1-Normal11"/>
              <w:jc w:val="center"/>
              <w:rPr>
                <w:noProof/>
                <w:szCs w:val="20"/>
                <w:lang w:val="de-DE"/>
              </w:rPr>
            </w:pPr>
            <w:r w:rsidRPr="00170422">
              <w:rPr>
                <w:noProof/>
                <w:lang w:val="de-DE"/>
              </w:rPr>
              <w:t>4. QUARTAL</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947BFD" w14:textId="77777777" w:rsidR="0057163C" w:rsidRPr="00170422" w:rsidRDefault="00F37BF9">
            <w:pPr>
              <w:pStyle w:val="P68B1DB1-Normal11"/>
              <w:jc w:val="center"/>
              <w:rPr>
                <w:noProof/>
                <w:szCs w:val="20"/>
                <w:lang w:val="de-DE"/>
              </w:rPr>
            </w:pPr>
            <w:r w:rsidRPr="00170422">
              <w:rPr>
                <w:noProof/>
                <w:lang w:val="de-DE"/>
              </w:rPr>
              <w:t>2021</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54DBD" w14:textId="77777777" w:rsidR="0057163C" w:rsidRPr="00170422" w:rsidRDefault="00F37BF9">
            <w:pPr>
              <w:pStyle w:val="P68B1DB1-Normal11"/>
              <w:jc w:val="both"/>
              <w:rPr>
                <w:noProof/>
                <w:szCs w:val="20"/>
                <w:lang w:val="de-DE"/>
              </w:rPr>
            </w:pPr>
            <w:r w:rsidRPr="00170422">
              <w:rPr>
                <w:noProof/>
                <w:lang w:val="de-DE"/>
              </w:rPr>
              <w:t>Die Übertragung des Eigentums an den Kunstwerken muss innerhalb von sechs Monaten nach Inkrafttreten des Gesetzes 120/20 erfolgen. Sie soll gemäß den Bestimmungen des Codice della Strada (Gesetzesdekret 285/1992) un</w:t>
            </w:r>
            <w:r w:rsidRPr="00170422">
              <w:rPr>
                <w:noProof/>
                <w:lang w:val="de-DE"/>
              </w:rPr>
              <w:t>d seiner Verordnungen (Präsidialdekret 495/92) abgeschlossen werden, die Bestimmungen über die Eigentumsübertragung zwischen Straßeneigentümern vorschreiben.</w:t>
            </w:r>
          </w:p>
        </w:tc>
      </w:tr>
      <w:tr w:rsidR="0057163C" w:rsidRPr="00170422" w14:paraId="4D2447AE"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F305B0" w14:textId="77777777" w:rsidR="0057163C" w:rsidRPr="00170422" w:rsidRDefault="00F37BF9">
            <w:pPr>
              <w:pStyle w:val="P68B1DB1-Normal11"/>
              <w:jc w:val="center"/>
              <w:rPr>
                <w:noProof/>
                <w:lang w:val="de-DE"/>
              </w:rPr>
            </w:pPr>
            <w:r w:rsidRPr="00170422">
              <w:rPr>
                <w:noProof/>
                <w:lang w:val="de-DE"/>
              </w:rPr>
              <w:t>M3C1-26</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2E138A" w14:textId="5C958CC8" w:rsidR="0057163C" w:rsidRPr="00170422" w:rsidRDefault="00F37BF9">
            <w:pPr>
              <w:pStyle w:val="P68B1DB1-Normal11"/>
              <w:jc w:val="center"/>
              <w:rPr>
                <w:noProof/>
                <w:lang w:val="de-DE"/>
              </w:rPr>
            </w:pPr>
            <w:r w:rsidRPr="00170422">
              <w:rPr>
                <w:noProof/>
                <w:lang w:val="de-DE"/>
              </w:rPr>
              <w:t>Reform 1.3 – Steigerung der Effizienz der Eisenbahninfrastruktur in Italien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B096D6" w14:textId="77777777" w:rsidR="0057163C" w:rsidRPr="00170422" w:rsidRDefault="00F37BF9">
            <w:pPr>
              <w:pStyle w:val="P68B1DB1-Normal11"/>
              <w:jc w:val="center"/>
              <w:rPr>
                <w:noProof/>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975367" w14:textId="21A04F2D" w:rsidR="0057163C" w:rsidRPr="00170422" w:rsidRDefault="00F37BF9">
            <w:pPr>
              <w:pStyle w:val="P68B1DB1-Normal11"/>
              <w:jc w:val="center"/>
              <w:rPr>
                <w:noProof/>
                <w:lang w:val="de-DE"/>
              </w:rPr>
            </w:pPr>
            <w:r w:rsidRPr="00170422">
              <w:rPr>
                <w:noProof/>
                <w:lang w:val="de-DE"/>
              </w:rPr>
              <w:t>Inkrafttreten von Rechtsvorschriften und anderen Rechtsakten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30F77E" w14:textId="2283A67F" w:rsidR="0057163C" w:rsidRPr="00170422" w:rsidRDefault="00F37BF9">
            <w:pPr>
              <w:pStyle w:val="P68B1DB1-Normal11"/>
              <w:jc w:val="center"/>
              <w:rPr>
                <w:noProof/>
                <w:lang w:val="de-DE"/>
              </w:rPr>
            </w:pPr>
            <w:r w:rsidRPr="00170422">
              <w:rPr>
                <w:noProof/>
                <w:lang w:val="de-DE"/>
              </w:rPr>
              <w:t>Rechtsvorschriften und andere Rechtsakte</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936F1E" w14:textId="77777777" w:rsidR="0057163C" w:rsidRPr="00170422" w:rsidRDefault="00F37BF9">
            <w:pPr>
              <w:pStyle w:val="P68B1DB1-Normal11"/>
              <w:jc w:val="center"/>
              <w:rPr>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AC3A5" w14:textId="77777777" w:rsidR="0057163C" w:rsidRPr="00170422" w:rsidRDefault="00F37BF9">
            <w:pPr>
              <w:pStyle w:val="P68B1DB1-Normal11"/>
              <w:jc w:val="center"/>
              <w:rPr>
                <w:noProof/>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D03A39"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6A022" w14:textId="77777777" w:rsidR="0057163C" w:rsidRPr="00170422" w:rsidRDefault="00F37BF9">
            <w:pPr>
              <w:pStyle w:val="P68B1DB1-Normal11"/>
              <w:jc w:val="center"/>
              <w:rPr>
                <w:noProof/>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A02E8" w14:textId="77777777" w:rsidR="0057163C" w:rsidRPr="00170422" w:rsidRDefault="00F37BF9">
            <w:pPr>
              <w:pStyle w:val="P68B1DB1-Normal11"/>
              <w:jc w:val="center"/>
              <w:rPr>
                <w:noProof/>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5E4DDB" w14:textId="396E3D79" w:rsidR="0057163C" w:rsidRPr="00170422" w:rsidRDefault="00F37BF9">
            <w:pPr>
              <w:pStyle w:val="P68B1DB1-Normal11"/>
              <w:rPr>
                <w:noProof/>
                <w:lang w:val="de-DE"/>
              </w:rPr>
            </w:pPr>
            <w:r w:rsidRPr="00170422">
              <w:rPr>
                <w:noProof/>
                <w:lang w:val="de-DE"/>
              </w:rPr>
              <w:t>Inkrafttreten der Rechtsvorschriften und erforderlichenfalls anderer Rechtsakte, wie nachstehend angegeben.</w:t>
            </w:r>
          </w:p>
          <w:p w14:paraId="05DDA0A8" w14:textId="77777777" w:rsidR="0057163C" w:rsidRPr="00170422" w:rsidRDefault="00F37BF9">
            <w:pPr>
              <w:pStyle w:val="P68B1DB1-Normal12"/>
              <w:rPr>
                <w:noProof/>
                <w:lang w:val="de-DE"/>
              </w:rPr>
            </w:pPr>
            <w:r w:rsidRPr="00170422">
              <w:rPr>
                <w:noProof/>
                <w:u w:val="single"/>
                <w:lang w:val="de-DE"/>
              </w:rPr>
              <w:t>Teil 1 –</w:t>
            </w:r>
            <w:r w:rsidRPr="00170422">
              <w:rPr>
                <w:noProof/>
                <w:u w:val="single"/>
                <w:lang w:val="de-DE"/>
              </w:rPr>
              <w:t xml:space="preserve"> Effizienz und Leistungsfähigkeit öffentlicher Investitionen</w:t>
            </w:r>
            <w:r w:rsidRPr="00170422">
              <w:rPr>
                <w:noProof/>
                <w:lang w:val="de-DE"/>
              </w:rPr>
              <w:t xml:space="preserve">: </w:t>
            </w:r>
          </w:p>
          <w:p w14:paraId="2268F532" w14:textId="77777777" w:rsidR="0057163C" w:rsidRPr="00170422" w:rsidRDefault="00F37BF9">
            <w:pPr>
              <w:pStyle w:val="P68B1DB1-Normal12"/>
              <w:jc w:val="both"/>
              <w:rPr>
                <w:noProof/>
                <w:lang w:val="de-DE"/>
              </w:rPr>
            </w:pPr>
            <w:r w:rsidRPr="00170422">
              <w:rPr>
                <w:noProof/>
                <w:lang w:val="de-DE"/>
              </w:rPr>
              <w:t>Die Rechtsvorschriften sehen die Annahme eines mehrjährigen Strategiedokuments durch das Ministerium für Infrastruktur und Verkehr vor, um die mehrjährige Infrastrukturplanung Italiens für mind</w:t>
            </w:r>
            <w:r w:rsidRPr="00170422">
              <w:rPr>
                <w:noProof/>
                <w:lang w:val="de-DE"/>
              </w:rPr>
              <w:t>estens zehn Jahre zu steuern. Das Dokument soll den multimodalen Verkehr fördern und die industriellen Bedürfnisse des Unternehmenssektors in vollem Umfang in die Infrastrukturplanung einbeziehen (z. B. indem Investitionen Vorrang eingeräumt wird, die wich</w:t>
            </w:r>
            <w:r w:rsidRPr="00170422">
              <w:rPr>
                <w:noProof/>
                <w:lang w:val="de-DE"/>
              </w:rPr>
              <w:t>tige Industriebereiche und Logistikknotenpunkte mit dem Verkehrsnetz verbinden).</w:t>
            </w:r>
          </w:p>
          <w:p w14:paraId="2F93406E" w14:textId="55393009" w:rsidR="0057163C" w:rsidRPr="00170422" w:rsidRDefault="00F37BF9">
            <w:pPr>
              <w:pStyle w:val="P68B1DB1-Normal12"/>
              <w:jc w:val="both"/>
              <w:rPr>
                <w:noProof/>
                <w:lang w:val="de-DE"/>
              </w:rPr>
            </w:pPr>
            <w:r w:rsidRPr="00170422">
              <w:rPr>
                <w:noProof/>
                <w:lang w:val="de-DE"/>
              </w:rPr>
              <w:t xml:space="preserve">Die Reform sieht eine Überprüfung der Infrastrukturplanungsdokumente vor. Konkret sollen die Rechtsvorschriften </w:t>
            </w:r>
          </w:p>
          <w:p w14:paraId="3F1B7774" w14:textId="77777777"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 xml:space="preserve">Sicherstellen, dass das Contratto di Programma, die Strategie </w:t>
            </w:r>
            <w:r w:rsidRPr="00170422">
              <w:rPr>
                <w:noProof/>
                <w:lang w:val="de-DE"/>
              </w:rPr>
              <w:t>für den Ausbau der Eisenbahninfrastruktur und der Geschäftsplan des Infrastrukturbetreibers im Einklang mit den Zielen des mehrjährigen Strategiedokuments des Ministeriums für Infrastruktur und Verkehr erstellt werden und mit der Richtlinie 34/2012/EU im E</w:t>
            </w:r>
            <w:r w:rsidRPr="00170422">
              <w:rPr>
                <w:noProof/>
                <w:lang w:val="de-DE"/>
              </w:rPr>
              <w:t>inklang stehen.</w:t>
            </w:r>
          </w:p>
          <w:p w14:paraId="1BC27F86" w14:textId="77777777"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 xml:space="preserve">Im Rahmen des Genehmigungsverfahrens des Contratto di Programma eine Stellungnahme der Regulierungsstelle (Autorità di regolazione dei trasporti, ART) zum strategischen Mobilitätsdokument (Documento strategico della mobilità ferroviaria di </w:t>
            </w:r>
            <w:r w:rsidRPr="00170422">
              <w:rPr>
                <w:noProof/>
                <w:lang w:val="de-DE"/>
              </w:rPr>
              <w:t>passeggeri e merci) (im Sinne des italienischen Gesetzes Nr. 233 von 2021 – Artikel 5 Komma 1 Buchstabe a) nach nationalem Recht vorlegen. In der Stellungnahme wird auch die Kohärenz der geplanten Investitionen mit den Markterfordernissen bewertet, die mit</w:t>
            </w:r>
            <w:r w:rsidRPr="00170422">
              <w:rPr>
                <w:noProof/>
                <w:lang w:val="de-DE"/>
              </w:rPr>
              <w:t xml:space="preserve"> den in Artikel 7e der Richtlinie 2012/34/EU genannten Koordinierungsmechanismen zusammengetragen wurden.</w:t>
            </w:r>
          </w:p>
          <w:p w14:paraId="0FA2FE1E" w14:textId="77777777"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Für das neue Contratto di Programma ein System von Etappenzielen und Zielwerten und entsprechenden Fristen sowie Leistungsindikatoren und Qualitätskri</w:t>
            </w:r>
            <w:r w:rsidRPr="00170422">
              <w:rPr>
                <w:noProof/>
                <w:lang w:val="de-DE"/>
              </w:rPr>
              <w:t>terien einzuführen, um das Contratto di Programma umzusetzen und seine tatsächlichen Ergebnisse zu messen. Die Indikatoren und Qualitätskriterien werden gemäß Anhang V der Richtlinie 2012/34/EU festgelegt. Das Bonus-Identifizierungssystem für die Manager v</w:t>
            </w:r>
            <w:r w:rsidRPr="00170422">
              <w:rPr>
                <w:noProof/>
                <w:lang w:val="de-DE"/>
              </w:rPr>
              <w:t>on Rete Ferroviaria Italiana (RFI) muss mit Artikel 7 Absatz 4 der Richtlinie 2012/34/EU im Einklang stehen und dem Erreichen von Etappenzielen und Zielwerten sowie den Ergebnissen in Bezug auf die im Contratto di Programma enthaltenen Leistungsindikatoren</w:t>
            </w:r>
            <w:r w:rsidRPr="00170422">
              <w:rPr>
                <w:noProof/>
                <w:lang w:val="de-DE"/>
              </w:rPr>
              <w:t xml:space="preserve"> Rechnung tragen.</w:t>
            </w:r>
          </w:p>
          <w:p w14:paraId="7AFB6E7B" w14:textId="77777777"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 xml:space="preserve">Die Regulierungsstelle (ART) zu ermächtigen, im Einvernehmen mit dem MIT die Leistungsindikatoren festzulegen, die dem Contratto di Programma beizufügen sind. </w:t>
            </w:r>
          </w:p>
          <w:p w14:paraId="1ACA5D9F" w14:textId="77777777"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Ermächtigung der Regulierungsstelle (ART), die Erreichung der Etappenziele und</w:t>
            </w:r>
            <w:r w:rsidRPr="00170422">
              <w:rPr>
                <w:noProof/>
                <w:lang w:val="de-DE"/>
              </w:rPr>
              <w:t xml:space="preserve"> Zielwerte sowie die Erfüllung der im Contratto di Programma enthaltenen Leistungsindikatoren zu überwachen</w:t>
            </w:r>
          </w:p>
          <w:p w14:paraId="607656D4" w14:textId="77777777"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Das Ministerium für Infrastruktur und Verkehr zu verpflichten, eine eingehende Kosten-Nutzen-Analyse der im Contratto di Programma enthaltenen größe</w:t>
            </w:r>
            <w:r w:rsidRPr="00170422">
              <w:rPr>
                <w:noProof/>
                <w:lang w:val="de-DE"/>
              </w:rPr>
              <w:t>ren Investitionen (Investitionen über 50 Mio. EUR) durchzuführen. Die in der Analyse verwendeten Einheitskosten werden mit internationalen Benchmarks für verschiedene Kategorien von Infrastrukturinvestitionen im Schienenverkehr verglichen und stehen im Ein</w:t>
            </w:r>
            <w:r w:rsidRPr="00170422">
              <w:rPr>
                <w:noProof/>
                <w:lang w:val="de-DE"/>
              </w:rPr>
              <w:t xml:space="preserve">klang mit den EU- und nationalen Leitlinien für die Kosten-Nutzen-Analyse. Die Ergebnisse der Analyse stehen den interessierten Parteien vor der Annahme der vertraglichen Vereinbarungen zur Konsultation offen und werden nach ihrer Annahme veröffentlicht. </w:t>
            </w:r>
          </w:p>
          <w:p w14:paraId="36EDFA74" w14:textId="436E59CD" w:rsidR="0057163C" w:rsidRPr="00170422" w:rsidRDefault="00F37BF9">
            <w:pPr>
              <w:pStyle w:val="P68B1DB1-ListParagraph13"/>
              <w:numPr>
                <w:ilvl w:val="1"/>
                <w:numId w:val="36"/>
              </w:numPr>
              <w:spacing w:before="120" w:after="120" w:line="240" w:lineRule="auto"/>
              <w:ind w:left="360"/>
              <w:jc w:val="both"/>
              <w:rPr>
                <w:noProof/>
                <w:lang w:val="de-DE"/>
              </w:rPr>
            </w:pPr>
            <w:r w:rsidRPr="00170422">
              <w:rPr>
                <w:noProof/>
                <w:lang w:val="de-DE"/>
              </w:rPr>
              <w:t xml:space="preserve">Die Annahme des </w:t>
            </w:r>
            <w:r w:rsidRPr="00170422">
              <w:rPr>
                <w:i/>
                <w:noProof/>
                <w:lang w:val="de-DE"/>
              </w:rPr>
              <w:t>„Contratto di Programma“</w:t>
            </w:r>
            <w:r w:rsidRPr="00170422">
              <w:rPr>
                <w:noProof/>
                <w:lang w:val="de-DE"/>
              </w:rPr>
              <w:t xml:space="preserve"> (einschließlich Kosten-Nutzen-Analyse, Etappenziele und Zielwerte sowie Leistungsindikatoren) vorzusehen.</w:t>
            </w:r>
          </w:p>
          <w:p w14:paraId="62ADFC25" w14:textId="77777777" w:rsidR="0057163C" w:rsidRPr="00170422" w:rsidRDefault="00F37BF9">
            <w:pPr>
              <w:pStyle w:val="P68B1DB1-Normal12"/>
              <w:jc w:val="both"/>
              <w:rPr>
                <w:noProof/>
                <w:lang w:val="de-DE"/>
              </w:rPr>
            </w:pPr>
            <w:r w:rsidRPr="00170422">
              <w:rPr>
                <w:noProof/>
                <w:u w:val="single"/>
                <w:lang w:val="de-DE"/>
              </w:rPr>
              <w:t>Teil 2 – Wettbewerb</w:t>
            </w:r>
            <w:r w:rsidRPr="00170422">
              <w:rPr>
                <w:noProof/>
                <w:lang w:val="de-DE"/>
              </w:rPr>
              <w:t xml:space="preserve">: </w:t>
            </w:r>
          </w:p>
          <w:p w14:paraId="47AF06A3" w14:textId="77777777" w:rsidR="0057163C" w:rsidRPr="00170422" w:rsidRDefault="00F37BF9">
            <w:pPr>
              <w:pStyle w:val="P68B1DB1-Normal12"/>
              <w:jc w:val="both"/>
              <w:rPr>
                <w:noProof/>
                <w:lang w:val="de-DE"/>
              </w:rPr>
            </w:pPr>
            <w:r w:rsidRPr="00170422">
              <w:rPr>
                <w:noProof/>
                <w:lang w:val="de-DE"/>
              </w:rPr>
              <w:t>Um die Ziele der Reform zu unterstützen, werden die Befugnisse der Regulierungsstelle (</w:t>
            </w:r>
            <w:r w:rsidRPr="00170422">
              <w:rPr>
                <w:noProof/>
                <w:lang w:val="de-DE"/>
              </w:rPr>
              <w:t>ART) in Bezug auf öffentliche Dienstleistungsaufträge im Eisenbahnsektor durch die Rechtsvorschriften gestärkt. Diese Befugnisse müssen mindestens den in Artikel 56 Absatz 9 der Richtlinie 2012/34/EU festgelegten Befugnissen gleichwertig sein. Artikel wird</w:t>
            </w:r>
            <w:r w:rsidRPr="00170422">
              <w:rPr>
                <w:noProof/>
                <w:lang w:val="de-DE"/>
              </w:rPr>
              <w:t xml:space="preserve"> ermächtigt, das Scoping und die Vergabe (für Direkt- und Inhouse-Vergaben und die Vergabe an interne Betreiber) von öffentlichen Dienstleistungsaufträgen im Eisenbahnsektor zu überwachen und Stellungnahmen dazu abzugeben, auch im Hinblick auf die Ermittlu</w:t>
            </w:r>
            <w:r w:rsidRPr="00170422">
              <w:rPr>
                <w:noProof/>
                <w:lang w:val="de-DE"/>
              </w:rPr>
              <w:t xml:space="preserve">ng der optimalen Dimension effizienter Lose innerhalb und zwischen regionalen Grenzen. </w:t>
            </w:r>
          </w:p>
          <w:p w14:paraId="209E63F9" w14:textId="77777777" w:rsidR="0057163C" w:rsidRPr="00170422" w:rsidRDefault="00F37BF9">
            <w:pPr>
              <w:pStyle w:val="P68B1DB1-Normal12"/>
              <w:jc w:val="both"/>
              <w:rPr>
                <w:noProof/>
                <w:lang w:val="de-DE"/>
              </w:rPr>
            </w:pPr>
            <w:r w:rsidRPr="00170422">
              <w:rPr>
                <w:noProof/>
                <w:lang w:val="de-DE"/>
              </w:rPr>
              <w:t xml:space="preserve">Mit den Rechtsvorschriften wird die Anwendung von Artikel 9 des Gesetzes 118/2022 (Wettbewerbsgesetz), einschließlich der Übereinstimmung mit ART-Rechtsakten, und von </w:t>
            </w:r>
            <w:r w:rsidRPr="00170422">
              <w:rPr>
                <w:noProof/>
                <w:lang w:val="de-DE"/>
              </w:rPr>
              <w:t>Artikel 27 Absatz 2 Buchstabe c des Gesetzesdekrets Nr. 50 vom 24.4.2017 auf alle Direkt- und In-House-Vergaben an interne Betreiber gemäß der Verordnung (EG) Nr. 1370/2007 ausgeweitet. Im Falle von Direkt- oder In-House-Vergaben und Vergaben an interne Be</w:t>
            </w:r>
            <w:r w:rsidRPr="00170422">
              <w:rPr>
                <w:noProof/>
                <w:lang w:val="de-DE"/>
              </w:rPr>
              <w:t>treiber gemäß der Verordnung (EG) Nr. 1370/2007 werden mit den Rechtsvorschriften die Grundsätze der Artikel 17, 30 und 31 des Gesetzesdekrets Nr. 201/2022 erweitert. Jede Entscheidung über die Verlängerung von Verträgen über gemeinwirtschaftliche Verpflic</w:t>
            </w:r>
            <w:r w:rsidRPr="00170422">
              <w:rPr>
                <w:noProof/>
                <w:lang w:val="de-DE"/>
              </w:rPr>
              <w:t>htungen, die im Einklang mit der Verordnung (EG) Nr. 1370/2007 ordnungsgemäß begründet sind, unterliegt den in Artikel 31 des gesetzesvertretenden Dekrets Nr. 201/2022 enthaltenen Grundsätzen der Transparenzpflichten für Hausvergaben.</w:t>
            </w:r>
          </w:p>
          <w:p w14:paraId="776E093E" w14:textId="77777777" w:rsidR="0057163C" w:rsidRPr="00170422" w:rsidRDefault="00F37BF9">
            <w:pPr>
              <w:pStyle w:val="P68B1DB1-Normal12"/>
              <w:jc w:val="both"/>
              <w:rPr>
                <w:noProof/>
                <w:lang w:val="de-DE"/>
              </w:rPr>
            </w:pPr>
            <w:r w:rsidRPr="00170422">
              <w:rPr>
                <w:noProof/>
                <w:lang w:val="de-DE"/>
              </w:rPr>
              <w:t>Die Rechtsvorschrifte</w:t>
            </w:r>
            <w:r w:rsidRPr="00170422">
              <w:rPr>
                <w:noProof/>
                <w:lang w:val="de-DE"/>
              </w:rPr>
              <w:t xml:space="preserve">n sehen den Beginn der Ausschreibung für den/die öffentlichen Dienstleistungsauftrag(e) zwischen den Städten vor. Das Angebot muss eine Neudefinition seines Anwendungsbereichs im Einklang mit der Methodik enthalten, die von der Eisenbahnregulierungsstelle </w:t>
            </w:r>
            <w:r w:rsidRPr="00170422">
              <w:rPr>
                <w:noProof/>
                <w:lang w:val="de-DE"/>
              </w:rPr>
              <w:t>im Anschluss an einen Markttest festgelegt wurde, wie in Abschnitt 2.2.3 der Leitlinien der Kommission zu Auslegungsfragen zur Verordnung 1370/20073 erläutert. Der Auftrag wird je nach den von der Regulierungsstelle (ART) festgelegten Kriterien in geeignet</w:t>
            </w:r>
            <w:r w:rsidRPr="00170422">
              <w:rPr>
                <w:noProof/>
                <w:lang w:val="de-DE"/>
              </w:rPr>
              <w:t>e, bestreitbare Lose unterteilt.</w:t>
            </w:r>
          </w:p>
          <w:p w14:paraId="53657BCB" w14:textId="77777777" w:rsidR="0057163C" w:rsidRPr="00170422" w:rsidRDefault="00F37BF9">
            <w:pPr>
              <w:pStyle w:val="P68B1DB1-Normal12"/>
              <w:jc w:val="both"/>
              <w:rPr>
                <w:noProof/>
                <w:lang w:val="de-DE"/>
              </w:rPr>
            </w:pPr>
            <w:r w:rsidRPr="00170422">
              <w:rPr>
                <w:noProof/>
                <w:lang w:val="de-DE"/>
              </w:rPr>
              <w:t>Für Regional- und Intercity-Dienste muss durch die Rechtsvorschriften sichergestellt werden, dass die Fahrzeuge in staatlichem/regionalem Eigentum neuen Betreibern von Verträgen über gemeinwirtschaftliche Verpflichtungen, d</w:t>
            </w:r>
            <w:r w:rsidRPr="00170422">
              <w:rPr>
                <w:noProof/>
                <w:lang w:val="de-DE"/>
              </w:rPr>
              <w:t>ie im Wege von Ausschreibungen ausgewählt werden, zur Verfügung gestellt werden, wenn diese Fahrzeuge und Instandhaltungsdienste nicht von den neuen Betreibern erbracht werden. Die Rechtsvorschriften müssen sicherstellen, dass alle Informationen über den S</w:t>
            </w:r>
            <w:r w:rsidRPr="00170422">
              <w:rPr>
                <w:noProof/>
                <w:lang w:val="de-DE"/>
              </w:rPr>
              <w:t>tand der Instandhaltung der Fahrzeuge den potenziellen Bietern ohne Informationsasymmetrien zur Verfügung stehen, wobei transparente und diskriminierungsfreie Bedingungen gelten. Die Rechtsvorschriften sollen die Ausgliederung und die wettbewerbliche Verga</w:t>
            </w:r>
            <w:r w:rsidRPr="00170422">
              <w:rPr>
                <w:noProof/>
                <w:lang w:val="de-DE"/>
              </w:rPr>
              <w:t xml:space="preserve">be von Teillosen aus bestehenden Verträgen fördern (so weit wie möglich auf der Grundlage bestehender Bestimmungen in laufenden Verträgen). </w:t>
            </w:r>
          </w:p>
          <w:p w14:paraId="774B06B7" w14:textId="77777777" w:rsidR="0057163C" w:rsidRPr="00170422" w:rsidRDefault="00F37BF9">
            <w:pPr>
              <w:pStyle w:val="P68B1DB1-Normal12"/>
              <w:jc w:val="both"/>
              <w:rPr>
                <w:noProof/>
                <w:lang w:val="de-DE"/>
              </w:rPr>
            </w:pPr>
            <w:r w:rsidRPr="00170422">
              <w:rPr>
                <w:noProof/>
                <w:lang w:val="de-DE"/>
              </w:rPr>
              <w:t>Darüber hinaus soll die Reform auch eine Maßnahme zum Kapazitätsaufbau umfassen, mit der die Verwaltungskapazitäten</w:t>
            </w:r>
            <w:r w:rsidRPr="00170422">
              <w:rPr>
                <w:noProof/>
                <w:lang w:val="de-DE"/>
              </w:rPr>
              <w:t xml:space="preserve"> der nationalen und regionalen Behörden gestärkt werden. Im Rahmen der Maßnahme zum Kapazitätsaufbau wird innerhalb des MIT eine Ad-hoc-Verwaltungseinheit eingerichtet, die die Bewertung und Analyse von Konzessionen unterstützt und die Kosten-Nutzen-Analys</w:t>
            </w:r>
            <w:r w:rsidRPr="00170422">
              <w:rPr>
                <w:noProof/>
                <w:lang w:val="de-DE"/>
              </w:rPr>
              <w:t>e großer Infrastrukturinvestitionen durchführt. Diese Verwaltungseinheit verfügt über hochprofessionelles Personal und wird von externen unabhängigen Sachverständigen unterstützt. Darüber hinaus müssen die Maßnahmen zum Kapazitätsaufbau eine Reihe von Kurs</w:t>
            </w:r>
            <w:r w:rsidRPr="00170422">
              <w:rPr>
                <w:noProof/>
                <w:lang w:val="de-DE"/>
              </w:rPr>
              <w:t>en in Zusammenarbeit mit dem SNA und den akkreditierten Stellen umfassen, um das Niveau der spezialisierten Ausbildung und der sektoralen Schulung des Personals der Vertragsstationen zu erhöhen, wobei auch die im Rahmen der Reform der öffentlichen Verwaltu</w:t>
            </w:r>
            <w:r w:rsidRPr="00170422">
              <w:rPr>
                <w:noProof/>
                <w:lang w:val="de-DE"/>
              </w:rPr>
              <w:t>ng des ARP eingeführten Schulungsinstrumente (z. B. das Portal syllabus.gov.it) genutzt werden müssen.</w:t>
            </w:r>
          </w:p>
          <w:p w14:paraId="144D90DF" w14:textId="77777777" w:rsidR="0057163C" w:rsidRPr="00170422" w:rsidRDefault="00F37BF9">
            <w:pPr>
              <w:pStyle w:val="P68B1DB1-Normal11"/>
              <w:rPr>
                <w:noProof/>
                <w:szCs w:val="20"/>
                <w:lang w:val="de-DE"/>
              </w:rPr>
            </w:pPr>
            <w:r w:rsidRPr="00170422">
              <w:rPr>
                <w:noProof/>
                <w:lang w:val="de-DE"/>
              </w:rPr>
              <w:t>Die Erreichung des Etappenziels erfordert auch Folgendes:</w:t>
            </w:r>
          </w:p>
          <w:p w14:paraId="7EBB6E2F" w14:textId="77777777" w:rsidR="0057163C" w:rsidRPr="00170422" w:rsidRDefault="00F37BF9">
            <w:pPr>
              <w:pStyle w:val="P68B1DB1-ListParagraph15"/>
              <w:numPr>
                <w:ilvl w:val="0"/>
                <w:numId w:val="86"/>
              </w:numPr>
              <w:spacing w:before="120" w:after="120" w:line="240" w:lineRule="auto"/>
              <w:jc w:val="both"/>
              <w:rPr>
                <w:noProof/>
                <w:lang w:val="de-DE"/>
              </w:rPr>
            </w:pPr>
            <w:r w:rsidRPr="00170422">
              <w:rPr>
                <w:noProof/>
                <w:lang w:val="de-DE"/>
              </w:rPr>
              <w:t xml:space="preserve">Den Beginn der Maßnahmen zum Kapazitätsaufbau für nationale und regionale Behörden, wie in der </w:t>
            </w:r>
            <w:r w:rsidRPr="00170422">
              <w:rPr>
                <w:noProof/>
                <w:lang w:val="de-DE"/>
              </w:rPr>
              <w:t>Beschreibung der Maßnahme gefordert.</w:t>
            </w:r>
          </w:p>
          <w:p w14:paraId="777F0399" w14:textId="77777777" w:rsidR="0057163C" w:rsidRPr="00170422" w:rsidRDefault="00F37BF9">
            <w:pPr>
              <w:pStyle w:val="P68B1DB1-ListParagraph13"/>
              <w:numPr>
                <w:ilvl w:val="0"/>
                <w:numId w:val="86"/>
              </w:numPr>
              <w:spacing w:before="120" w:after="120" w:line="240" w:lineRule="auto"/>
              <w:jc w:val="both"/>
              <w:rPr>
                <w:noProof/>
                <w:lang w:val="de-DE"/>
              </w:rPr>
            </w:pPr>
            <w:r w:rsidRPr="00170422">
              <w:rPr>
                <w:noProof/>
                <w:lang w:val="de-DE"/>
              </w:rPr>
              <w:t>Die Veröffentlichung der Intercity-Ausschreibung(en) in der Beschaffungsdatenbank TED der Kommission.</w:t>
            </w:r>
          </w:p>
          <w:p w14:paraId="5EB9EE9B" w14:textId="77777777" w:rsidR="0057163C" w:rsidRPr="00170422" w:rsidRDefault="0057163C">
            <w:pPr>
              <w:pStyle w:val="ListParagraph"/>
              <w:spacing w:before="120" w:after="120" w:line="240" w:lineRule="auto"/>
              <w:ind w:left="360"/>
              <w:jc w:val="both"/>
              <w:rPr>
                <w:rFonts w:ascii="Arial Narrow" w:hAnsi="Arial Narrow"/>
                <w:noProof/>
                <w:color w:val="006100"/>
                <w:sz w:val="20"/>
                <w:szCs w:val="20"/>
                <w:lang w:val="de-DE"/>
              </w:rPr>
            </w:pPr>
          </w:p>
          <w:p w14:paraId="1E038B0D" w14:textId="77777777" w:rsidR="0057163C" w:rsidRPr="00170422" w:rsidRDefault="00F37BF9">
            <w:pPr>
              <w:pStyle w:val="P68B1DB1-Normal84"/>
              <w:spacing w:line="257" w:lineRule="auto"/>
              <w:jc w:val="both"/>
              <w:rPr>
                <w:noProof/>
                <w:lang w:val="de-DE"/>
              </w:rPr>
            </w:pPr>
            <w:r w:rsidRPr="00170422">
              <w:rPr>
                <w:noProof/>
                <w:u w:val="single"/>
                <w:lang w:val="de-DE"/>
              </w:rPr>
              <w:t>Teil 3 – ROSCO (Rolling Stock Company)</w:t>
            </w:r>
            <w:r w:rsidRPr="00170422">
              <w:rPr>
                <w:noProof/>
                <w:lang w:val="de-DE"/>
              </w:rPr>
              <w:t xml:space="preserve">: </w:t>
            </w:r>
          </w:p>
          <w:p w14:paraId="08FA23EE" w14:textId="76A2C835" w:rsidR="0057163C" w:rsidRPr="00170422" w:rsidRDefault="00F37BF9">
            <w:pPr>
              <w:pStyle w:val="P68B1DB1-Normal84"/>
              <w:spacing w:line="257" w:lineRule="auto"/>
              <w:jc w:val="both"/>
              <w:rPr>
                <w:noProof/>
                <w:lang w:val="de-DE"/>
              </w:rPr>
            </w:pPr>
            <w:r w:rsidRPr="00170422">
              <w:rPr>
                <w:noProof/>
                <w:lang w:val="de-DE"/>
              </w:rPr>
              <w:t>Mit den Rechtsvorschriften wird eine neue ständige vollständig staatliche E</w:t>
            </w:r>
            <w:r w:rsidRPr="00170422">
              <w:rPr>
                <w:noProof/>
                <w:lang w:val="de-DE"/>
              </w:rPr>
              <w:t>inheit (Rolling Stock Company – ROSCO) in Form einer Aktiengesellschaft (società per azioni) geschaffen.</w:t>
            </w:r>
          </w:p>
          <w:p w14:paraId="7F410965" w14:textId="77777777" w:rsidR="0057163C" w:rsidRPr="00170422" w:rsidRDefault="0057163C">
            <w:pPr>
              <w:spacing w:line="257" w:lineRule="auto"/>
              <w:jc w:val="both"/>
              <w:rPr>
                <w:rFonts w:ascii="Arial Narrow" w:eastAsia="Arial Narrow" w:hAnsi="Arial Narrow" w:cs="Arial Narrow"/>
                <w:noProof/>
                <w:color w:val="006100"/>
                <w:sz w:val="20"/>
                <w:szCs w:val="20"/>
                <w:lang w:val="de-DE"/>
              </w:rPr>
            </w:pPr>
          </w:p>
          <w:p w14:paraId="7D1260C6" w14:textId="77777777" w:rsidR="0057163C" w:rsidRPr="00170422" w:rsidRDefault="00F37BF9">
            <w:pPr>
              <w:pStyle w:val="P68B1DB1-Normal84"/>
              <w:spacing w:line="257" w:lineRule="auto"/>
              <w:jc w:val="both"/>
              <w:rPr>
                <w:noProof/>
                <w:lang w:val="de-DE"/>
              </w:rPr>
            </w:pPr>
            <w:r w:rsidRPr="00170422">
              <w:rPr>
                <w:noProof/>
                <w:lang w:val="de-DE"/>
              </w:rPr>
              <w:t>In den Rechtsvorschriften müssen der Auftrag, das Mandat und die Befugnisse eines solchen Unternehmens klar festgelegt sein, das sicherstellen soll, d</w:t>
            </w:r>
            <w:r w:rsidRPr="00170422">
              <w:rPr>
                <w:noProof/>
                <w:lang w:val="de-DE"/>
              </w:rPr>
              <w:t>ass den neuen Betreibern gemeinwirtschaftlicher Verpflichtungen in ausreichender Menge und zu fairen, gleichen und diskriminierungsfreien Bedingungen Fahrzeuge und Instandhaltungsdienste zur Verfügung stehen, um den Wettbewerb bei den Ausschreibungen und d</w:t>
            </w:r>
            <w:r w:rsidRPr="00170422">
              <w:rPr>
                <w:noProof/>
                <w:lang w:val="de-DE"/>
              </w:rPr>
              <w:t>ie Bestreitbarkeit der Dienstleistungsverträge zu erhöhen.</w:t>
            </w:r>
          </w:p>
          <w:p w14:paraId="45177A26" w14:textId="54546085" w:rsidR="0057163C" w:rsidRPr="00170422" w:rsidRDefault="00F37BF9">
            <w:pPr>
              <w:pStyle w:val="P68B1DB1-Normal84"/>
              <w:spacing w:line="257" w:lineRule="auto"/>
              <w:jc w:val="both"/>
              <w:rPr>
                <w:noProof/>
                <w:lang w:val="de-DE"/>
              </w:rPr>
            </w:pPr>
            <w:r w:rsidRPr="00170422">
              <w:rPr>
                <w:noProof/>
                <w:lang w:val="de-DE"/>
              </w:rPr>
              <w:t>In den Rechtsvorschriften wird festgelegt, dass sich das Anfangskapital dieser Gesellschaft auf 1 000 000 EUR beläuft. Nach den Rechtsvorschriften ist ein solches Unternehmen auch berechtigt, einen</w:t>
            </w:r>
            <w:r w:rsidRPr="00170422">
              <w:rPr>
                <w:noProof/>
                <w:lang w:val="de-DE"/>
              </w:rPr>
              <w:t xml:space="preserve"> Zweckverband („Patrimonio destinato“) für den Erwerb neuer Fahrzeuge für die Regional- und Intercity-Dienste zu einem ursprünglichen Marktwert von mindestens 1 168 000 000 EUR einzurichten. Dieser Zweckfonds ist unabhängig und in jeder Hinsicht vom Vermög</w:t>
            </w:r>
            <w:r w:rsidRPr="00170422">
              <w:rPr>
                <w:noProof/>
                <w:lang w:val="de-DE"/>
              </w:rPr>
              <w:t>en der Gesellschaft und von anderen, von ihr errichteten Vermögenswerten getrennt. Gegen den Zweckfonds können von den Gläubigern der Gesellschaft oder in deren Interesse keine Klagen erhoben werden; ebenso wenig können die Gläubiger des Zweckfonds oder in</w:t>
            </w:r>
            <w:r w:rsidRPr="00170422">
              <w:rPr>
                <w:noProof/>
                <w:lang w:val="de-DE"/>
              </w:rPr>
              <w:t xml:space="preserve"> deren Interesse Klagen gegen das Gesellschaftsvermögen erheben. Die Rechtsvorschriften gestatten es dem Unternehmen auch, alle Züge, die in staatlichem Eigentum des Unternehmens erworben werden sollen, einschließlich der Gesamtheit der über die Ziele M2C2</w:t>
            </w:r>
            <w:r w:rsidRPr="00170422">
              <w:rPr>
                <w:noProof/>
                <w:lang w:val="de-DE"/>
              </w:rPr>
              <w:t>-35 bis und M7-31 beschafften Intercity-Züge, auf den Zweckfonds zu übertragen.</w:t>
            </w:r>
          </w:p>
          <w:p w14:paraId="30B5E523" w14:textId="6E901E32" w:rsidR="0057163C" w:rsidRPr="00170422" w:rsidRDefault="00F37BF9">
            <w:pPr>
              <w:pStyle w:val="P68B1DB1-Normal84"/>
              <w:rPr>
                <w:noProof/>
                <w:lang w:val="de-DE"/>
              </w:rPr>
            </w:pPr>
            <w:r w:rsidRPr="00170422">
              <w:rPr>
                <w:noProof/>
                <w:lang w:val="de-DE"/>
              </w:rPr>
              <w:t xml:space="preserve">In den Rechtsvorschriften wird festgelegt, dass das Unternehmen zum Zeitpunkt seiner Gründung keine bereits bestehenden Schulden oder Verbindlichkeiten von anderen </w:t>
            </w:r>
            <w:r w:rsidRPr="00170422">
              <w:rPr>
                <w:noProof/>
                <w:lang w:val="de-DE"/>
              </w:rPr>
              <w:t>staatseigenen Unternehmen aufnimmt. In den Rechtsvorschriften wird festgelegt, dass alle rechtlichen Voraussetzungen für die Gründung der Gesellschaft veröffentlicht werden und dass die Gesellschaft ab demselben Zeitpunkt für ihre Verpflichtungen mit ihrem</w:t>
            </w:r>
            <w:r w:rsidRPr="00170422">
              <w:rPr>
                <w:noProof/>
                <w:lang w:val="de-DE"/>
              </w:rPr>
              <w:t xml:space="preserve"> eigenen Vermögen haftet.</w:t>
            </w:r>
          </w:p>
        </w:tc>
      </w:tr>
      <w:tr w:rsidR="0057163C" w:rsidRPr="00170422" w14:paraId="45C49559"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DEC17F" w14:textId="1BD0A8EB" w:rsidR="0057163C" w:rsidRPr="00170422" w:rsidRDefault="00F37BF9">
            <w:pPr>
              <w:pStyle w:val="P68B1DB1-Normal12"/>
              <w:jc w:val="center"/>
              <w:rPr>
                <w:noProof/>
                <w:lang w:val="de-DE"/>
              </w:rPr>
            </w:pPr>
            <w:r w:rsidRPr="00170422">
              <w:rPr>
                <w:noProof/>
                <w:lang w:val="de-DE"/>
              </w:rPr>
              <w:t>M3C1-27</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B1CC1A" w14:textId="77777777" w:rsidR="0057163C" w:rsidRPr="00170422" w:rsidRDefault="00F37BF9">
            <w:pPr>
              <w:pStyle w:val="P68B1DB1-Normal12"/>
              <w:jc w:val="center"/>
              <w:rPr>
                <w:noProof/>
                <w:lang w:val="de-DE"/>
              </w:rPr>
            </w:pPr>
            <w:r w:rsidRPr="00170422">
              <w:rPr>
                <w:noProof/>
                <w:lang w:val="de-DE"/>
              </w:rPr>
              <w:t>Reform 1.3 – Steigerung der Effizienz der Eisenbahninfrastruktur in Italien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EFC64E" w14:textId="77777777" w:rsidR="0057163C" w:rsidRPr="00170422" w:rsidRDefault="00F37BF9">
            <w:pPr>
              <w:pStyle w:val="P68B1DB1-Normal12"/>
              <w:jc w:val="center"/>
              <w:rPr>
                <w:noProof/>
                <w:lang w:val="de-DE"/>
              </w:rPr>
            </w:pPr>
            <w:r w:rsidRPr="00170422">
              <w:rPr>
                <w:noProof/>
                <w:lang w:val="de-DE"/>
              </w:rPr>
              <w:t>Meilenstein</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977567" w14:textId="77777777" w:rsidR="0057163C" w:rsidRPr="00170422" w:rsidRDefault="00F37BF9">
            <w:pPr>
              <w:pStyle w:val="P68B1DB1-Normal12"/>
              <w:jc w:val="center"/>
              <w:rPr>
                <w:noProof/>
                <w:lang w:val="de-DE"/>
              </w:rPr>
            </w:pPr>
            <w:r w:rsidRPr="00170422">
              <w:rPr>
                <w:noProof/>
                <w:lang w:val="de-DE"/>
              </w:rPr>
              <w:t>Finanz- und Geschäftsplan für die ROSCO, Satzung und Übertragung von Ressourcen und Vermögenswerten.</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7FCCCD" w14:textId="77777777" w:rsidR="0057163C" w:rsidRPr="00170422" w:rsidRDefault="00F37BF9">
            <w:pPr>
              <w:pStyle w:val="P68B1DB1-Normal12"/>
              <w:jc w:val="center"/>
              <w:rPr>
                <w:noProof/>
                <w:lang w:val="de-DE"/>
              </w:rPr>
            </w:pPr>
            <w:r w:rsidRPr="00170422">
              <w:rPr>
                <w:noProof/>
                <w:lang w:val="de-DE"/>
              </w:rPr>
              <w:t xml:space="preserve">Bereitstellung des Finanz- und </w:t>
            </w:r>
            <w:r w:rsidRPr="00170422">
              <w:rPr>
                <w:noProof/>
                <w:lang w:val="de-DE"/>
              </w:rPr>
              <w:t xml:space="preserve">Geschäftsplans, Veröffentlichung der Satzung, Bescheinigungen über die Übertragung von Ressourcen und Vermögenswerten </w:t>
            </w:r>
          </w:p>
        </w:tc>
        <w:tc>
          <w:tcPr>
            <w:tcW w:w="1114" w:type="dxa"/>
            <w:tcBorders>
              <w:top w:val="single" w:sz="4" w:space="0" w:color="auto"/>
              <w:left w:val="single" w:sz="4" w:space="0" w:color="auto"/>
              <w:bottom w:val="single" w:sz="4" w:space="0" w:color="auto"/>
              <w:right w:val="single" w:sz="4" w:space="0" w:color="auto"/>
            </w:tcBorders>
            <w:shd w:val="clear" w:color="auto" w:fill="C6EFCE"/>
            <w:noWrap/>
          </w:tcPr>
          <w:p w14:paraId="09E0D341" w14:textId="77777777" w:rsidR="0057163C" w:rsidRPr="00170422" w:rsidRDefault="00F37BF9">
            <w:pPr>
              <w:pStyle w:val="P68B1DB1-Normal11"/>
              <w:jc w:val="center"/>
              <w:rPr>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tcPr>
          <w:p w14:paraId="111524FB" w14:textId="77777777" w:rsidR="0057163C" w:rsidRPr="00170422" w:rsidRDefault="00F37BF9">
            <w:pPr>
              <w:pStyle w:val="P68B1DB1-Normal11"/>
              <w:jc w:val="center"/>
              <w:rPr>
                <w:noProof/>
                <w:lang w:val="de-DE"/>
              </w:rPr>
            </w:pPr>
            <w:r w:rsidRPr="00170422">
              <w:rPr>
                <w:noProof/>
                <w:lang w:val="de-DE"/>
              </w:rPr>
              <w:t>ENTFÄLLT.</w:t>
            </w:r>
          </w:p>
        </w:tc>
        <w:tc>
          <w:tcPr>
            <w:tcW w:w="709" w:type="dxa"/>
            <w:tcBorders>
              <w:top w:val="single" w:sz="4" w:space="0" w:color="auto"/>
              <w:left w:val="single" w:sz="4" w:space="0" w:color="auto"/>
              <w:bottom w:val="single" w:sz="4" w:space="0" w:color="auto"/>
              <w:right w:val="single" w:sz="4" w:space="0" w:color="auto"/>
            </w:tcBorders>
            <w:shd w:val="clear" w:color="auto" w:fill="C6EFCE"/>
            <w:noWrap/>
          </w:tcPr>
          <w:p w14:paraId="733865C8" w14:textId="77777777" w:rsidR="0057163C" w:rsidRPr="00170422" w:rsidRDefault="00F37BF9">
            <w:pPr>
              <w:pStyle w:val="P68B1DB1-Normal11"/>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59720" w14:textId="77777777" w:rsidR="0057163C" w:rsidRPr="00170422" w:rsidRDefault="00F37BF9">
            <w:pPr>
              <w:pStyle w:val="P68B1DB1-Normal12"/>
              <w:jc w:val="center"/>
              <w:rPr>
                <w:noProof/>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A38F00" w14:textId="77777777" w:rsidR="0057163C" w:rsidRPr="00170422" w:rsidRDefault="00F37BF9">
            <w:pPr>
              <w:pStyle w:val="P68B1DB1-Normal12"/>
              <w:jc w:val="center"/>
              <w:rPr>
                <w:noProof/>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tcPr>
          <w:p w14:paraId="39B1CDD0" w14:textId="77777777" w:rsidR="0057163C" w:rsidRPr="00170422" w:rsidRDefault="00F37BF9">
            <w:pPr>
              <w:pStyle w:val="P68B1DB1-Normal85"/>
              <w:spacing w:line="240" w:lineRule="auto"/>
              <w:jc w:val="both"/>
              <w:rPr>
                <w:noProof/>
                <w:color w:val="196B24" w:themeColor="accent3"/>
                <w:lang w:val="de-DE"/>
              </w:rPr>
            </w:pPr>
            <w:r w:rsidRPr="00170422">
              <w:rPr>
                <w:noProof/>
                <w:color w:val="006100"/>
                <w:lang w:val="de-DE"/>
              </w:rPr>
              <w:t>1) Veröffentlichung und Genehmigung des Gründungsartikels</w:t>
            </w:r>
            <w:r w:rsidRPr="00170422">
              <w:rPr>
                <w:noProof/>
                <w:color w:val="196B24" w:themeColor="accent3"/>
                <w:lang w:val="de-DE"/>
              </w:rPr>
              <w:t>und der Unternehmenscharta (Statut) der RO</w:t>
            </w:r>
            <w:r w:rsidRPr="00170422">
              <w:rPr>
                <w:noProof/>
                <w:color w:val="196B24" w:themeColor="accent3"/>
                <w:lang w:val="de-DE"/>
              </w:rPr>
              <w:t>SCO durch das Ministerium für Infrastruktur und Verkehr, in denen Folgendes festgelegt ist:</w:t>
            </w:r>
          </w:p>
          <w:p w14:paraId="75318418" w14:textId="77777777" w:rsidR="0057163C" w:rsidRPr="00170422" w:rsidRDefault="00F37BF9">
            <w:pPr>
              <w:pStyle w:val="P68B1DB1-ListParagraph86"/>
              <w:numPr>
                <w:ilvl w:val="0"/>
                <w:numId w:val="87"/>
              </w:numPr>
              <w:spacing w:before="120" w:after="120" w:line="240" w:lineRule="auto"/>
              <w:jc w:val="both"/>
              <w:rPr>
                <w:noProof/>
                <w:lang w:val="de-DE"/>
              </w:rPr>
            </w:pPr>
            <w:r w:rsidRPr="00170422">
              <w:rPr>
                <w:noProof/>
                <w:lang w:val="de-DE"/>
              </w:rPr>
              <w:t>den genauen Tätigkeitsbereich des Unternehmens, einschließlich der Tatsache, dass es ausschließlich als Einheit im Namen der Zentralregierung und der lokalen Behörd</w:t>
            </w:r>
            <w:r w:rsidRPr="00170422">
              <w:rPr>
                <w:noProof/>
                <w:lang w:val="de-DE"/>
              </w:rPr>
              <w:t>en (d. h. der öffentlichen Verkehrsbehörden) für die öffentlichen Dienstleistungsaufträge auf dem Schienenverkehrsmarkt (regionaler und interregionaler Dienst) tätig ist;</w:t>
            </w:r>
          </w:p>
          <w:p w14:paraId="07A57D44" w14:textId="77777777" w:rsidR="0057163C" w:rsidRPr="00170422" w:rsidRDefault="00F37BF9">
            <w:pPr>
              <w:pStyle w:val="P68B1DB1-ListParagraph86"/>
              <w:numPr>
                <w:ilvl w:val="0"/>
                <w:numId w:val="87"/>
              </w:numPr>
              <w:spacing w:before="120" w:after="120" w:line="240" w:lineRule="auto"/>
              <w:jc w:val="both"/>
              <w:rPr>
                <w:noProof/>
                <w:lang w:val="de-DE"/>
              </w:rPr>
            </w:pPr>
            <w:r w:rsidRPr="00170422">
              <w:rPr>
                <w:noProof/>
                <w:lang w:val="de-DE"/>
              </w:rPr>
              <w:t>dass das Unternehmen der Zentralregierung und den lokalen Behörden (d. h. den öffentl</w:t>
            </w:r>
            <w:r w:rsidRPr="00170422">
              <w:rPr>
                <w:noProof/>
                <w:lang w:val="de-DE"/>
              </w:rPr>
              <w:t>ichen Verkehrsbehörden), die öffentliche Dienstleistungsaufträge für den Wettbewerb öffnen, nur Fahrzeuge zur Verfügung stellen darf,</w:t>
            </w:r>
          </w:p>
          <w:p w14:paraId="72C34695" w14:textId="77777777" w:rsidR="0057163C" w:rsidRPr="00170422" w:rsidRDefault="00F37BF9">
            <w:pPr>
              <w:pStyle w:val="P68B1DB1-ListParagraph86"/>
              <w:numPr>
                <w:ilvl w:val="0"/>
                <w:numId w:val="87"/>
              </w:numPr>
              <w:spacing w:before="120" w:after="120" w:line="240" w:lineRule="auto"/>
              <w:jc w:val="both"/>
              <w:rPr>
                <w:noProof/>
                <w:lang w:val="de-DE"/>
              </w:rPr>
            </w:pPr>
            <w:r w:rsidRPr="00170422">
              <w:rPr>
                <w:noProof/>
                <w:lang w:val="de-DE"/>
              </w:rPr>
              <w:t>dass das Unternehmen im Rahmen des Interventionsbereichs 72a des Anhangs VI der ARF-Verordnung emissionsfrei und mit ERTMS</w:t>
            </w:r>
            <w:r w:rsidRPr="00170422">
              <w:rPr>
                <w:noProof/>
                <w:lang w:val="de-DE"/>
              </w:rPr>
              <w:t>-Normen kompatibel sein muss,</w:t>
            </w:r>
          </w:p>
          <w:p w14:paraId="4877BAC3" w14:textId="77777777" w:rsidR="0057163C" w:rsidRPr="00170422" w:rsidRDefault="00F37BF9">
            <w:pPr>
              <w:pStyle w:val="P68B1DB1-ListParagraph86"/>
              <w:numPr>
                <w:ilvl w:val="0"/>
                <w:numId w:val="87"/>
              </w:numPr>
              <w:spacing w:before="120" w:after="120" w:line="240" w:lineRule="auto"/>
              <w:jc w:val="both"/>
              <w:rPr>
                <w:noProof/>
                <w:lang w:val="de-DE"/>
              </w:rPr>
            </w:pPr>
            <w:r w:rsidRPr="00170422">
              <w:rPr>
                <w:noProof/>
                <w:lang w:val="de-DE"/>
              </w:rPr>
              <w:t>dass mindestens 90 % der Einnahmen des Unternehmens durch Fahrzeuge erzielt werden, die mit dem Interventionsbereich 72a von Anhang VI der ARF-Verordnung kompatibel sind,</w:t>
            </w:r>
          </w:p>
          <w:p w14:paraId="3444B5C3" w14:textId="77777777" w:rsidR="0057163C" w:rsidRPr="00170422" w:rsidRDefault="00F37BF9">
            <w:pPr>
              <w:pStyle w:val="P68B1DB1-ListParagraph86"/>
              <w:numPr>
                <w:ilvl w:val="0"/>
                <w:numId w:val="87"/>
              </w:numPr>
              <w:spacing w:before="120" w:after="120" w:line="240" w:lineRule="auto"/>
              <w:jc w:val="both"/>
              <w:rPr>
                <w:noProof/>
                <w:lang w:val="de-DE"/>
              </w:rPr>
            </w:pPr>
            <w:r w:rsidRPr="00170422">
              <w:rPr>
                <w:noProof/>
                <w:lang w:val="de-DE"/>
              </w:rPr>
              <w:t>dass die Mitglieder des Leitungsorgans und der satzungs</w:t>
            </w:r>
            <w:r w:rsidRPr="00170422">
              <w:rPr>
                <w:noProof/>
                <w:lang w:val="de-DE"/>
              </w:rPr>
              <w:t>mäßigen Organe der Gesellschaft</w:t>
            </w:r>
          </w:p>
          <w:p w14:paraId="4AFDDB65" w14:textId="77777777" w:rsidR="0057163C" w:rsidRPr="00170422" w:rsidRDefault="00F37BF9">
            <w:pPr>
              <w:pStyle w:val="P68B1DB1-ListParagraph86"/>
              <w:numPr>
                <w:ilvl w:val="1"/>
                <w:numId w:val="87"/>
              </w:numPr>
              <w:spacing w:before="120" w:after="120" w:line="240" w:lineRule="auto"/>
              <w:jc w:val="both"/>
              <w:rPr>
                <w:noProof/>
                <w:lang w:val="de-DE"/>
              </w:rPr>
            </w:pPr>
            <w:r w:rsidRPr="00170422">
              <w:rPr>
                <w:noProof/>
                <w:lang w:val="de-DE"/>
              </w:rPr>
              <w:t>sie werden aus dem Kreis der Personen ausgewählt, die die Anforderungen an Integrität, Professionalität und Unabhängigkeit erfüllen, die in den für börsennotierte Gesellschaften geltenden Bestimmungen festgelegt sind;</w:t>
            </w:r>
          </w:p>
          <w:p w14:paraId="07D69E91" w14:textId="77777777" w:rsidR="0057163C" w:rsidRPr="00170422" w:rsidRDefault="00F37BF9">
            <w:pPr>
              <w:pStyle w:val="P68B1DB1-ListParagraph86"/>
              <w:numPr>
                <w:ilvl w:val="1"/>
                <w:numId w:val="87"/>
              </w:numPr>
              <w:spacing w:before="120" w:after="120" w:line="240" w:lineRule="auto"/>
              <w:jc w:val="both"/>
              <w:rPr>
                <w:noProof/>
                <w:lang w:val="de-DE"/>
              </w:rPr>
            </w:pPr>
            <w:r w:rsidRPr="00170422">
              <w:rPr>
                <w:noProof/>
                <w:lang w:val="de-DE"/>
              </w:rPr>
              <w:t>über d</w:t>
            </w:r>
            <w:r w:rsidRPr="00170422">
              <w:rPr>
                <w:noProof/>
                <w:lang w:val="de-DE"/>
              </w:rPr>
              <w:t>ie erforderlichen Befugnisse, Kompetenzen und Objektivität verfügen, um ihre Aufgaben der strategischen Ausrichtung, der Aufsicht über das Risikomanagement und der Überwachung des Managements wahrzunehmen,</w:t>
            </w:r>
          </w:p>
          <w:p w14:paraId="4F8DD13B" w14:textId="77777777" w:rsidR="0057163C" w:rsidRPr="00170422" w:rsidRDefault="00F37BF9">
            <w:pPr>
              <w:pStyle w:val="P68B1DB1-ListParagraph86"/>
              <w:numPr>
                <w:ilvl w:val="1"/>
                <w:numId w:val="87"/>
              </w:numPr>
              <w:spacing w:before="120" w:after="120" w:line="240" w:lineRule="auto"/>
              <w:jc w:val="both"/>
              <w:rPr>
                <w:noProof/>
                <w:lang w:val="de-DE"/>
              </w:rPr>
            </w:pPr>
            <w:r w:rsidRPr="00170422">
              <w:rPr>
                <w:noProof/>
                <w:lang w:val="de-DE"/>
              </w:rPr>
              <w:t>mit Integrität handeln und diese fördern,</w:t>
            </w:r>
          </w:p>
          <w:p w14:paraId="0EA092E3" w14:textId="77777777" w:rsidR="0057163C" w:rsidRPr="00170422" w:rsidRDefault="00F37BF9">
            <w:pPr>
              <w:pStyle w:val="P68B1DB1-ListParagraph86"/>
              <w:numPr>
                <w:ilvl w:val="1"/>
                <w:numId w:val="87"/>
              </w:numPr>
              <w:spacing w:before="120" w:after="120" w:line="240" w:lineRule="auto"/>
              <w:jc w:val="both"/>
              <w:rPr>
                <w:noProof/>
                <w:lang w:val="de-DE"/>
              </w:rPr>
            </w:pPr>
            <w:r w:rsidRPr="00170422">
              <w:rPr>
                <w:noProof/>
                <w:lang w:val="de-DE"/>
              </w:rPr>
              <w:t xml:space="preserve">für ihr </w:t>
            </w:r>
            <w:r w:rsidRPr="00170422">
              <w:rPr>
                <w:noProof/>
                <w:lang w:val="de-DE"/>
              </w:rPr>
              <w:t>Handeln zur Rechenschaft gezogen werden.</w:t>
            </w:r>
          </w:p>
          <w:p w14:paraId="412FC8C2" w14:textId="77777777" w:rsidR="0057163C" w:rsidRPr="00170422" w:rsidRDefault="00F37BF9">
            <w:pPr>
              <w:pStyle w:val="P68B1DB1-Normal87"/>
              <w:spacing w:after="0" w:line="240" w:lineRule="auto"/>
              <w:ind w:right="57"/>
              <w:jc w:val="both"/>
              <w:rPr>
                <w:noProof/>
                <w:lang w:val="de-DE"/>
              </w:rPr>
            </w:pPr>
            <w:r w:rsidRPr="00170422">
              <w:rPr>
                <w:noProof/>
                <w:lang w:val="de-DE"/>
              </w:rPr>
              <w:t>Das Statut enthält auch Beschränkungen für die Mitglieder des Leitungsorgans der Gesellschaft, bei Marktteilnehmern Arbeit zu suchen oder anzunehmen, sowie klare Regeln zur Vermeidung von Interessenkonflikten.</w:t>
            </w:r>
          </w:p>
          <w:p w14:paraId="6135A074" w14:textId="77777777" w:rsidR="0057163C" w:rsidRPr="00170422" w:rsidRDefault="0057163C">
            <w:pPr>
              <w:spacing w:after="0" w:line="240" w:lineRule="auto"/>
              <w:ind w:right="57"/>
              <w:jc w:val="both"/>
              <w:rPr>
                <w:rFonts w:ascii="Arial Narrow" w:hAnsi="Arial Narrow"/>
                <w:noProof/>
                <w:color w:val="196B24" w:themeColor="accent3"/>
                <w:sz w:val="20"/>
                <w:szCs w:val="20"/>
                <w:lang w:val="de-DE"/>
              </w:rPr>
            </w:pPr>
          </w:p>
          <w:p w14:paraId="61596425" w14:textId="52C0C549" w:rsidR="0057163C" w:rsidRPr="00170422" w:rsidRDefault="00F37BF9">
            <w:pPr>
              <w:pStyle w:val="P68B1DB1-Normal87"/>
              <w:spacing w:after="0" w:line="240" w:lineRule="auto"/>
              <w:ind w:right="57"/>
              <w:jc w:val="both"/>
              <w:rPr>
                <w:noProof/>
                <w:lang w:val="de-DE"/>
              </w:rPr>
            </w:pPr>
            <w:r w:rsidRPr="00170422">
              <w:rPr>
                <w:noProof/>
                <w:lang w:val="de-DE"/>
              </w:rPr>
              <w:t>2) G</w:t>
            </w:r>
            <w:r w:rsidRPr="00170422">
              <w:rPr>
                <w:noProof/>
                <w:lang w:val="de-DE"/>
              </w:rPr>
              <w:t>enehmigung eines Geschäftsplans für den Zeitraum 2026-2029 durch das Ministerium für Infrastruktur und Verkehr im Einvernehmen mit dem Ministerium für Wirtschaft und Finanzen, der von einem technischen Ad-hoc-Ausschuss festgelegt wird und eine eingehende B</w:t>
            </w:r>
            <w:r w:rsidRPr="00170422">
              <w:rPr>
                <w:noProof/>
                <w:lang w:val="de-DE"/>
              </w:rPr>
              <w:t>eschreibung folgender Punkte umfasst:</w:t>
            </w:r>
          </w:p>
          <w:p w14:paraId="3D63CFC2" w14:textId="77777777" w:rsidR="0057163C" w:rsidRPr="00170422" w:rsidRDefault="00F37BF9">
            <w:pPr>
              <w:pStyle w:val="P68B1DB1-ListParagraph86"/>
              <w:numPr>
                <w:ilvl w:val="0"/>
                <w:numId w:val="88"/>
              </w:numPr>
              <w:spacing w:before="120" w:after="0" w:line="240" w:lineRule="auto"/>
              <w:ind w:right="57"/>
              <w:jc w:val="both"/>
              <w:rPr>
                <w:noProof/>
                <w:lang w:val="de-DE"/>
              </w:rPr>
            </w:pPr>
            <w:r w:rsidRPr="00170422">
              <w:rPr>
                <w:noProof/>
                <w:lang w:val="de-DE"/>
              </w:rPr>
              <w:t xml:space="preserve">die strategische und operative Entwicklung des Unternehmens unter Berücksichtigung seines satzungsmäßigen Auftrags und seiner satzungsmäßigen Ziele, </w:t>
            </w:r>
          </w:p>
          <w:p w14:paraId="39262A08" w14:textId="77777777" w:rsidR="0057163C" w:rsidRPr="00170422" w:rsidRDefault="00F37BF9">
            <w:pPr>
              <w:pStyle w:val="P68B1DB1-ListParagraph86"/>
              <w:numPr>
                <w:ilvl w:val="0"/>
                <w:numId w:val="88"/>
              </w:numPr>
              <w:spacing w:before="120" w:after="0" w:line="240" w:lineRule="auto"/>
              <w:ind w:right="57"/>
              <w:jc w:val="both"/>
              <w:rPr>
                <w:noProof/>
                <w:lang w:val="de-DE"/>
              </w:rPr>
            </w:pPr>
            <w:r w:rsidRPr="00170422">
              <w:rPr>
                <w:noProof/>
                <w:lang w:val="de-DE"/>
              </w:rPr>
              <w:t>die Merkmale der durchzuführenden Tätigkeiten,</w:t>
            </w:r>
          </w:p>
          <w:p w14:paraId="0827459C" w14:textId="77777777" w:rsidR="0057163C" w:rsidRPr="00170422" w:rsidRDefault="00F37BF9">
            <w:pPr>
              <w:pStyle w:val="P68B1DB1-ListParagraph86"/>
              <w:numPr>
                <w:ilvl w:val="0"/>
                <w:numId w:val="88"/>
              </w:numPr>
              <w:spacing w:before="120" w:after="0" w:line="240" w:lineRule="auto"/>
              <w:ind w:right="57"/>
              <w:jc w:val="both"/>
              <w:rPr>
                <w:noProof/>
                <w:lang w:val="de-DE"/>
              </w:rPr>
            </w:pPr>
            <w:r w:rsidRPr="00170422">
              <w:rPr>
                <w:noProof/>
                <w:lang w:val="de-DE"/>
              </w:rPr>
              <w:t>zumindest in Bezug au</w:t>
            </w:r>
            <w:r w:rsidRPr="00170422">
              <w:rPr>
                <w:noProof/>
                <w:lang w:val="de-DE"/>
              </w:rPr>
              <w:t>f jedes der ersten drei Geschäftsjahre, Kapitaladäquanzprofile, die geplanten Investitionen und die damit verbundene finanzielle Abdeckung, insbesondere über die ursprünglichen Mittel aus der Aufbau- und Resilienzfazilität hinaus,</w:t>
            </w:r>
          </w:p>
          <w:p w14:paraId="65A616D6" w14:textId="77777777" w:rsidR="0057163C" w:rsidRPr="00170422" w:rsidRDefault="00F37BF9">
            <w:pPr>
              <w:pStyle w:val="P68B1DB1-ListParagraph86"/>
              <w:numPr>
                <w:ilvl w:val="0"/>
                <w:numId w:val="88"/>
              </w:numPr>
              <w:spacing w:before="120" w:after="0" w:line="240" w:lineRule="auto"/>
              <w:ind w:right="57"/>
              <w:jc w:val="both"/>
              <w:rPr>
                <w:noProof/>
                <w:lang w:val="de-DE"/>
              </w:rPr>
            </w:pPr>
            <w:r w:rsidRPr="00170422">
              <w:rPr>
                <w:noProof/>
                <w:lang w:val="de-DE"/>
              </w:rPr>
              <w:t xml:space="preserve">Corporate Governance und </w:t>
            </w:r>
            <w:r w:rsidRPr="00170422">
              <w:rPr>
                <w:noProof/>
                <w:lang w:val="de-DE"/>
              </w:rPr>
              <w:t>Organisationsstruktur.</w:t>
            </w:r>
          </w:p>
          <w:p w14:paraId="2FC6ED2E" w14:textId="77777777" w:rsidR="0057163C" w:rsidRPr="00170422" w:rsidRDefault="0057163C">
            <w:pPr>
              <w:pStyle w:val="ListParagraph"/>
              <w:spacing w:after="0"/>
              <w:ind w:left="57" w:right="57" w:hanging="283"/>
              <w:rPr>
                <w:rFonts w:ascii="Arial Narrow" w:hAnsi="Arial Narrow"/>
                <w:noProof/>
                <w:color w:val="196B24" w:themeColor="accent3"/>
                <w:sz w:val="20"/>
                <w:szCs w:val="20"/>
                <w:lang w:val="de-DE"/>
              </w:rPr>
            </w:pPr>
          </w:p>
          <w:p w14:paraId="7D85C497" w14:textId="77777777" w:rsidR="0057163C" w:rsidRPr="00170422" w:rsidRDefault="00F37BF9">
            <w:pPr>
              <w:pStyle w:val="P68B1DB1-Normal87"/>
              <w:spacing w:after="0" w:line="240" w:lineRule="auto"/>
              <w:ind w:right="57"/>
              <w:jc w:val="both"/>
              <w:rPr>
                <w:noProof/>
                <w:lang w:val="de-DE"/>
              </w:rPr>
            </w:pPr>
            <w:r w:rsidRPr="00170422">
              <w:rPr>
                <w:noProof/>
                <w:lang w:val="de-DE"/>
              </w:rPr>
              <w:t xml:space="preserve">3) Übertragung von Ressourcen und Vermögenswerten: </w:t>
            </w:r>
          </w:p>
          <w:p w14:paraId="0FD3CE9E" w14:textId="77777777" w:rsidR="0057163C" w:rsidRPr="00170422" w:rsidRDefault="0057163C">
            <w:pPr>
              <w:spacing w:after="0" w:line="240" w:lineRule="auto"/>
              <w:ind w:right="57"/>
              <w:jc w:val="both"/>
              <w:rPr>
                <w:rFonts w:ascii="Arial Narrow" w:eastAsia="Arial Narrow" w:hAnsi="Arial Narrow" w:cs="Arial Narrow"/>
                <w:noProof/>
                <w:color w:val="196B24" w:themeColor="accent3"/>
                <w:sz w:val="20"/>
                <w:szCs w:val="20"/>
                <w:lang w:val="de-DE"/>
              </w:rPr>
            </w:pPr>
          </w:p>
          <w:p w14:paraId="4BAA3D51" w14:textId="0425B5C0" w:rsidR="0057163C" w:rsidRPr="00170422" w:rsidRDefault="00F37BF9">
            <w:pPr>
              <w:pStyle w:val="P68B1DB1-Normal88"/>
              <w:spacing w:line="240" w:lineRule="auto"/>
              <w:jc w:val="both"/>
              <w:rPr>
                <w:noProof/>
                <w:lang w:val="de-DE"/>
              </w:rPr>
            </w:pPr>
            <w:r w:rsidRPr="00170422">
              <w:rPr>
                <w:noProof/>
                <w:lang w:val="de-DE"/>
              </w:rPr>
              <w:t>Es ist eine</w:t>
            </w:r>
            <w:r w:rsidRPr="00170422">
              <w:rPr>
                <w:noProof/>
                <w:lang w:val="de-DE"/>
              </w:rPr>
              <w:t xml:space="preserve"> Bescheinigung über die Überweisung (d. h. Beitragsbeleg) über einen Betrag von mindestens 1 200 000 000 EUR auf ein Bankkonto auf den Namen der ROSCO vorzulegen. Für die im Rahmen der Aufbau- und Resilienzfazilität bereitgestellten Mittel muss die ROSCO f</w:t>
            </w:r>
            <w:r w:rsidRPr="00170422">
              <w:rPr>
                <w:noProof/>
                <w:lang w:val="de-DE"/>
              </w:rPr>
              <w:t>ür jedes geförderte Projekt eine Begründung des ausgewählten Interventionsbereichs zusammen mit einer Beschreibung des Projekts für die Zwecke der Berechnung des Klimabeitrags vorlegen, ii) die ROSCO muss dem Mitgliedstaat auch einen halbjährlichen Bericht</w:t>
            </w:r>
            <w:r w:rsidRPr="00170422">
              <w:rPr>
                <w:noProof/>
                <w:lang w:val="de-DE"/>
              </w:rPr>
              <w:t xml:space="preserve"> über die Durchführung jedes Projekts/jeder Tätigkeit vorlegen.</w:t>
            </w:r>
          </w:p>
          <w:p w14:paraId="5CFF35EC" w14:textId="77777777" w:rsidR="0057163C" w:rsidRPr="00170422" w:rsidRDefault="00F37BF9">
            <w:pPr>
              <w:pStyle w:val="P68B1DB1-Normal88"/>
              <w:spacing w:line="240" w:lineRule="auto"/>
              <w:jc w:val="both"/>
              <w:rPr>
                <w:noProof/>
                <w:color w:val="006100"/>
                <w:lang w:val="de-DE"/>
              </w:rPr>
            </w:pPr>
            <w:r w:rsidRPr="00170422">
              <w:rPr>
                <w:noProof/>
                <w:lang w:val="de-DE"/>
              </w:rPr>
              <w:t>Zwischen der ROSCO und dem zuständigen Ministerium für die Übertragung des Eigentums an mindestens der Gesamtheit der über die Ziele M2C2-35 bis und M7-31 beschafften Intercity-Züge wird ein N</w:t>
            </w:r>
            <w:r w:rsidRPr="00170422">
              <w:rPr>
                <w:noProof/>
                <w:lang w:val="de-DE"/>
              </w:rPr>
              <w:t>ullpreiskaufvertrag unterzeichnet.</w:t>
            </w:r>
          </w:p>
        </w:tc>
      </w:tr>
      <w:tr w:rsidR="0057163C" w:rsidRPr="00170422" w14:paraId="733AD5B2" w14:textId="77777777" w:rsidTr="00F96342">
        <w:trPr>
          <w:trHeight w:val="309"/>
          <w:jc w:val="right"/>
        </w:trPr>
        <w:tc>
          <w:tcPr>
            <w:tcW w:w="109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23F6A" w14:textId="77777777" w:rsidR="0057163C" w:rsidRPr="00170422" w:rsidRDefault="00F37BF9">
            <w:pPr>
              <w:pStyle w:val="P68B1DB1-Normal11"/>
              <w:jc w:val="center"/>
              <w:rPr>
                <w:noProof/>
                <w:szCs w:val="20"/>
                <w:lang w:val="de-DE"/>
              </w:rPr>
            </w:pPr>
            <w:r w:rsidRPr="00170422">
              <w:rPr>
                <w:noProof/>
                <w:lang w:val="de-DE"/>
              </w:rPr>
              <w:t>M3C1-28</w:t>
            </w:r>
          </w:p>
        </w:tc>
        <w:tc>
          <w:tcPr>
            <w:tcW w:w="151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67954E" w14:textId="77777777" w:rsidR="0057163C" w:rsidRPr="00170422" w:rsidRDefault="00F37BF9">
            <w:pPr>
              <w:pStyle w:val="P68B1DB1-Normal11"/>
              <w:jc w:val="center"/>
              <w:rPr>
                <w:noProof/>
                <w:color w:val="FF0000"/>
                <w:szCs w:val="20"/>
                <w:lang w:val="de-DE"/>
              </w:rPr>
            </w:pPr>
            <w:r w:rsidRPr="00170422">
              <w:rPr>
                <w:noProof/>
                <w:lang w:val="de-DE"/>
              </w:rPr>
              <w:t xml:space="preserve">Investition 1.10 Stärkung der städtischen Knoten, der interregionalen und regionalen Eisenbahnstrecken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D7BC55" w14:textId="77777777" w:rsidR="0057163C" w:rsidRPr="00170422" w:rsidRDefault="00F37BF9">
            <w:pPr>
              <w:pStyle w:val="P68B1DB1-Normal11"/>
              <w:jc w:val="center"/>
              <w:rPr>
                <w:noProof/>
                <w:szCs w:val="20"/>
                <w:lang w:val="de-DE"/>
              </w:rPr>
            </w:pPr>
            <w:r w:rsidRPr="00170422">
              <w:rPr>
                <w:noProof/>
                <w:lang w:val="de-DE"/>
              </w:rPr>
              <w:t>Ziel</w:t>
            </w:r>
          </w:p>
        </w:tc>
        <w:tc>
          <w:tcPr>
            <w:tcW w:w="137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60F168" w14:textId="18DEA454" w:rsidR="0057163C" w:rsidRPr="00170422" w:rsidRDefault="00F37BF9">
            <w:pPr>
              <w:pStyle w:val="P68B1DB1-Normal11"/>
              <w:jc w:val="center"/>
              <w:rPr>
                <w:noProof/>
                <w:color w:val="FF0000"/>
                <w:szCs w:val="20"/>
                <w:lang w:val="de-DE"/>
              </w:rPr>
            </w:pPr>
            <w:r w:rsidRPr="00170422">
              <w:rPr>
                <w:noProof/>
                <w:lang w:val="de-DE"/>
              </w:rPr>
              <w:t xml:space="preserve">3 309 km Ausbaustrecken gebaut </w:t>
            </w:r>
          </w:p>
        </w:tc>
        <w:tc>
          <w:tcPr>
            <w:tcW w:w="150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9E52C" w14:textId="77777777" w:rsidR="0057163C" w:rsidRPr="00170422" w:rsidRDefault="00F37BF9">
            <w:pPr>
              <w:pStyle w:val="P68B1DB1-Normal11"/>
              <w:jc w:val="center"/>
              <w:rPr>
                <w:noProof/>
                <w:szCs w:val="20"/>
                <w:lang w:val="de-DE"/>
              </w:rPr>
            </w:pPr>
            <w:r w:rsidRPr="00170422">
              <w:rPr>
                <w:noProof/>
                <w:lang w:val="de-DE"/>
              </w:rPr>
              <w:t>ENTFÄLLT.</w:t>
            </w:r>
          </w:p>
        </w:tc>
        <w:tc>
          <w:tcPr>
            <w:tcW w:w="11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7979EB" w14:textId="77777777" w:rsidR="0057163C" w:rsidRPr="00170422" w:rsidRDefault="00F37BF9">
            <w:pPr>
              <w:pStyle w:val="P68B1DB1-Normal11"/>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6D0F0" w14:textId="77777777" w:rsidR="0057163C" w:rsidRPr="00170422" w:rsidRDefault="00F37BF9">
            <w:pPr>
              <w:pStyle w:val="P68B1DB1-Normal11"/>
              <w:jc w:val="center"/>
              <w:rPr>
                <w:noProof/>
                <w:lang w:val="de-DE"/>
              </w:rPr>
            </w:pPr>
            <w:r w:rsidRPr="00170422">
              <w:rPr>
                <w:noProof/>
                <w:lang w:val="de-DE"/>
              </w:rPr>
              <w:t>872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CA533D" w14:textId="3052F7B1" w:rsidR="0057163C" w:rsidRPr="00170422" w:rsidRDefault="00F37BF9">
            <w:pPr>
              <w:pStyle w:val="P68B1DB1-Normal11"/>
              <w:jc w:val="center"/>
              <w:rPr>
                <w:noProof/>
                <w:lang w:val="de-DE"/>
              </w:rPr>
            </w:pPr>
            <w:r w:rsidRPr="00170422">
              <w:rPr>
                <w:noProof/>
                <w:lang w:val="de-DE"/>
              </w:rPr>
              <w:t>3 309</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83304" w14:textId="77777777" w:rsidR="0057163C" w:rsidRPr="00170422" w:rsidRDefault="00F37BF9">
            <w:pPr>
              <w:pStyle w:val="P68B1DB1-Normal11"/>
              <w:jc w:val="center"/>
              <w:rPr>
                <w:noProof/>
                <w:szCs w:val="20"/>
                <w:lang w:val="de-DE"/>
              </w:rPr>
            </w:pPr>
            <w:r w:rsidRPr="00170422">
              <w:rPr>
                <w:noProof/>
                <w:lang w:val="de-DE"/>
              </w:rPr>
              <w:t>Q2</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F9CA7C" w14:textId="77777777" w:rsidR="0057163C" w:rsidRPr="00170422" w:rsidRDefault="00F37BF9">
            <w:pPr>
              <w:pStyle w:val="P68B1DB1-Normal11"/>
              <w:jc w:val="center"/>
              <w:rPr>
                <w:noProof/>
                <w:szCs w:val="20"/>
                <w:lang w:val="de-DE"/>
              </w:rPr>
            </w:pPr>
            <w:r w:rsidRPr="00170422">
              <w:rPr>
                <w:noProof/>
                <w:lang w:val="de-DE"/>
              </w:rPr>
              <w:t>2026</w:t>
            </w:r>
          </w:p>
        </w:tc>
        <w:tc>
          <w:tcPr>
            <w:tcW w:w="36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D9F36E" w14:textId="29146725" w:rsidR="0057163C" w:rsidRPr="00170422" w:rsidRDefault="00F37BF9">
            <w:pPr>
              <w:pStyle w:val="P68B1DB1-Normal11"/>
              <w:spacing w:after="0" w:line="278" w:lineRule="auto"/>
              <w:rPr>
                <w:noProof/>
                <w:lang w:val="de-DE"/>
              </w:rPr>
            </w:pPr>
            <w:r w:rsidRPr="00170422">
              <w:rPr>
                <w:noProof/>
                <w:lang w:val="de-DE"/>
              </w:rPr>
              <w:t xml:space="preserve">Es werden Bescheinigungen über den </w:t>
            </w:r>
            <w:r w:rsidRPr="00170422">
              <w:rPr>
                <w:noProof/>
                <w:lang w:val="de-DE"/>
              </w:rPr>
              <w:t>Abschluss der Arbeiten zur Aufrüstung von mindestens 3 309 km regionaler und lokaler Eisenbahnstrecken ausgestellt. Mindestens 11,7 km Eisenbahnarbeiten – im Einklang mit der WBS-Methodik – im Zusammenhang mit der Modernisierung und Elektrifizierung können</w:t>
            </w:r>
            <w:r w:rsidRPr="00170422">
              <w:rPr>
                <w:noProof/>
                <w:lang w:val="de-DE"/>
              </w:rPr>
              <w:t xml:space="preserve"> sich auf folgende Strecken beziehen:</w:t>
            </w:r>
            <w:r w:rsidRPr="00170422">
              <w:rPr>
                <w:noProof/>
                <w:lang w:val="de-DE"/>
              </w:rPr>
              <w:br/>
              <w:t xml:space="preserve">Region Apulien </w:t>
            </w:r>
            <w:r w:rsidRPr="00170422">
              <w:rPr>
                <w:noProof/>
                <w:lang w:val="de-DE"/>
              </w:rPr>
              <w:br/>
              <w:t>— Verbindungen Brindisi (einschließlich Intermodaler Hub);</w:t>
            </w:r>
            <w:r w:rsidRPr="00170422">
              <w:rPr>
                <w:noProof/>
                <w:lang w:val="de-DE"/>
              </w:rPr>
              <w:br/>
              <w:t xml:space="preserve">Region Kampanien </w:t>
            </w:r>
            <w:r w:rsidRPr="00170422">
              <w:rPr>
                <w:noProof/>
                <w:lang w:val="de-DE"/>
              </w:rPr>
              <w:br/>
              <w:t xml:space="preserve">— Salerno Arechi – Aeroporto Pontecagnano </w:t>
            </w:r>
            <w:r w:rsidRPr="00170422">
              <w:rPr>
                <w:noProof/>
                <w:lang w:val="de-DE"/>
              </w:rPr>
              <w:br/>
              <w:t xml:space="preserve">Region Kalabrien </w:t>
            </w:r>
            <w:r w:rsidRPr="00170422">
              <w:rPr>
                <w:noProof/>
                <w:lang w:val="de-DE"/>
              </w:rPr>
              <w:br/>
              <w:t xml:space="preserve">— Bretella di Sibari </w:t>
            </w:r>
            <w:r w:rsidRPr="00170422">
              <w:rPr>
                <w:noProof/>
                <w:lang w:val="de-DE"/>
              </w:rPr>
              <w:br/>
              <w:t xml:space="preserve">Region Basilikata </w:t>
            </w:r>
            <w:r w:rsidRPr="00170422">
              <w:rPr>
                <w:noProof/>
                <w:lang w:val="de-DE"/>
              </w:rPr>
              <w:br/>
              <w:t xml:space="preserve">— Ferrandina-Matera </w:t>
            </w:r>
            <w:r w:rsidRPr="00170422">
              <w:rPr>
                <w:noProof/>
                <w:lang w:val="de-DE"/>
              </w:rPr>
              <w:br/>
              <w:t>Re</w:t>
            </w:r>
            <w:r w:rsidRPr="00170422">
              <w:rPr>
                <w:noProof/>
                <w:lang w:val="de-DE"/>
              </w:rPr>
              <w:t xml:space="preserve">gion Sizilien </w:t>
            </w:r>
            <w:r w:rsidRPr="00170422">
              <w:rPr>
                <w:noProof/>
                <w:lang w:val="de-DE"/>
              </w:rPr>
              <w:br/>
              <w:t xml:space="preserve">— Link zum Hafen von Augusta </w:t>
            </w:r>
            <w:r w:rsidRPr="00170422">
              <w:rPr>
                <w:noProof/>
                <w:lang w:val="de-DE"/>
              </w:rPr>
              <w:br/>
              <w:t xml:space="preserve">Region Sardinien </w:t>
            </w:r>
            <w:r w:rsidRPr="00170422">
              <w:rPr>
                <w:noProof/>
                <w:lang w:val="de-DE"/>
              </w:rPr>
              <w:br/>
              <w:t xml:space="preserve">— Eisenbahnverbindung zum Flughafen Olbia </w:t>
            </w:r>
            <w:r w:rsidRPr="00170422">
              <w:rPr>
                <w:noProof/>
                <w:lang w:val="de-DE"/>
              </w:rPr>
              <w:br/>
              <w:t xml:space="preserve">— Gleisverdoppelung Decimomannu-Villamassargia </w:t>
            </w:r>
            <w:r w:rsidRPr="00170422">
              <w:rPr>
                <w:noProof/>
                <w:lang w:val="de-DE"/>
              </w:rPr>
              <w:br/>
              <w:t>Mindestens 528 km Resilienzinterventionen beziehen sich auf die folgenden Linien: </w:t>
            </w:r>
            <w:r w:rsidRPr="00170422">
              <w:rPr>
                <w:noProof/>
                <w:lang w:val="de-DE"/>
              </w:rPr>
              <w:br/>
              <w:t>Region Kampanien, B</w:t>
            </w:r>
            <w:r w:rsidRPr="00170422">
              <w:rPr>
                <w:noProof/>
                <w:lang w:val="de-DE"/>
              </w:rPr>
              <w:t>asilikata und Kalabrien:</w:t>
            </w:r>
            <w:r w:rsidRPr="00170422">
              <w:rPr>
                <w:noProof/>
                <w:lang w:val="de-DE"/>
              </w:rPr>
              <w:br/>
              <w:t>— Roma – Neapel (AV,via Cassino, via Formia);</w:t>
            </w:r>
            <w:r w:rsidRPr="00170422">
              <w:rPr>
                <w:noProof/>
                <w:lang w:val="de-DE"/>
              </w:rPr>
              <w:br/>
              <w:t>— Aversa – Caserta;</w:t>
            </w:r>
            <w:r w:rsidRPr="00170422">
              <w:rPr>
                <w:noProof/>
                <w:lang w:val="de-DE"/>
              </w:rPr>
              <w:br/>
              <w:t>Villa Literno – Napoli Gianturco; </w:t>
            </w:r>
            <w:r w:rsidRPr="00170422">
              <w:rPr>
                <w:noProof/>
                <w:lang w:val="de-DE"/>
              </w:rPr>
              <w:br/>
              <w:t>— Neapel – Salerno LMV Napoli – Salerno Storica;</w:t>
            </w:r>
            <w:r w:rsidRPr="00170422">
              <w:rPr>
                <w:noProof/>
                <w:lang w:val="de-DE"/>
              </w:rPr>
              <w:br/>
              <w:t>— Nocera Inferiore – Salerno;</w:t>
            </w:r>
            <w:r w:rsidRPr="00170422">
              <w:rPr>
                <w:noProof/>
                <w:lang w:val="de-DE"/>
              </w:rPr>
              <w:br/>
              <w:t>— Battipaglia – Paola; </w:t>
            </w:r>
            <w:r w:rsidRPr="00170422">
              <w:rPr>
                <w:noProof/>
                <w:lang w:val="de-DE"/>
              </w:rPr>
              <w:br/>
              <w:t>— Battipaglia – Potenza; </w:t>
            </w:r>
            <w:r w:rsidRPr="00170422">
              <w:rPr>
                <w:noProof/>
                <w:lang w:val="de-DE"/>
              </w:rPr>
              <w:br/>
              <w:t>—</w:t>
            </w:r>
            <w:r w:rsidRPr="00170422">
              <w:rPr>
                <w:noProof/>
                <w:lang w:val="de-DE"/>
              </w:rPr>
              <w:t xml:space="preserve"> Caserta – Battipaglia; Caserta – Foggia; Catanzaro – Reggio Kalabrien;</w:t>
            </w:r>
            <w:r w:rsidRPr="00170422">
              <w:rPr>
                <w:noProof/>
                <w:lang w:val="de-DE"/>
              </w:rPr>
              <w:br/>
              <w:t xml:space="preserve">— Paola – Reggio Calabria; und </w:t>
            </w:r>
            <w:r w:rsidRPr="00170422">
              <w:rPr>
                <w:noProof/>
                <w:lang w:val="de-DE"/>
              </w:rPr>
              <w:br/>
              <w:t>— Paola – Cosenza – Sibari. </w:t>
            </w:r>
            <w:r w:rsidRPr="00170422">
              <w:rPr>
                <w:noProof/>
                <w:lang w:val="de-DE"/>
              </w:rPr>
              <w:br/>
              <w:t>Region Molise:</w:t>
            </w:r>
            <w:r w:rsidRPr="00170422">
              <w:rPr>
                <w:noProof/>
                <w:lang w:val="de-DE"/>
              </w:rPr>
              <w:br/>
              <w:t>— Termoli – Campobasso. </w:t>
            </w:r>
            <w:r w:rsidRPr="00170422">
              <w:rPr>
                <w:noProof/>
                <w:lang w:val="de-DE"/>
              </w:rPr>
              <w:br/>
              <w:t>Region Apulien:</w:t>
            </w:r>
            <w:r w:rsidRPr="00170422">
              <w:rPr>
                <w:noProof/>
                <w:lang w:val="de-DE"/>
              </w:rPr>
              <w:br/>
              <w:t>— Bari-Taranto; </w:t>
            </w:r>
            <w:r w:rsidRPr="00170422">
              <w:rPr>
                <w:noProof/>
                <w:lang w:val="de-DE"/>
              </w:rPr>
              <w:br/>
              <w:t>Tarent – Brindisi; </w:t>
            </w:r>
            <w:r w:rsidRPr="00170422">
              <w:rPr>
                <w:noProof/>
                <w:lang w:val="de-DE"/>
              </w:rPr>
              <w:br/>
              <w:t>— Barletta-Spinazzola.</w:t>
            </w:r>
            <w:r w:rsidRPr="00170422">
              <w:rPr>
                <w:noProof/>
                <w:lang w:val="de-DE"/>
              </w:rPr>
              <w:br/>
              <w:t xml:space="preserve">Region </w:t>
            </w:r>
            <w:r w:rsidRPr="00170422">
              <w:rPr>
                <w:noProof/>
                <w:lang w:val="de-DE"/>
              </w:rPr>
              <w:t>Sizilien:</w:t>
            </w:r>
            <w:r w:rsidRPr="00170422">
              <w:rPr>
                <w:noProof/>
                <w:lang w:val="de-DE"/>
              </w:rPr>
              <w:br/>
              <w:t>— Fiumetorto – Agrigento;</w:t>
            </w:r>
            <w:r w:rsidRPr="00170422">
              <w:rPr>
                <w:noProof/>
                <w:lang w:val="de-DE"/>
              </w:rPr>
              <w:br/>
              <w:t>— Lercara dir. – Bicocca;</w:t>
            </w:r>
            <w:r w:rsidRPr="00170422">
              <w:rPr>
                <w:noProof/>
                <w:lang w:val="de-DE"/>
              </w:rPr>
              <w:br/>
              <w:t>Messina – Catania – Siracusa;</w:t>
            </w:r>
            <w:r w:rsidRPr="00170422">
              <w:rPr>
                <w:noProof/>
                <w:lang w:val="de-DE"/>
              </w:rPr>
              <w:br/>
              <w:t>— Palermo – Messina; </w:t>
            </w:r>
            <w:r w:rsidRPr="00170422">
              <w:rPr>
                <w:noProof/>
                <w:lang w:val="de-DE"/>
              </w:rPr>
              <w:br/>
              <w:t>— Caltanissetta Xirbi – Canicattì – Aragona;</w:t>
            </w:r>
          </w:p>
          <w:p w14:paraId="425C8A85" w14:textId="174E5F87" w:rsidR="0057163C" w:rsidRPr="00170422" w:rsidRDefault="00F37BF9">
            <w:pPr>
              <w:pStyle w:val="P68B1DB1-Normal11"/>
              <w:rPr>
                <w:noProof/>
                <w:lang w:val="de-DE"/>
              </w:rPr>
            </w:pPr>
            <w:r w:rsidRPr="00170422">
              <w:rPr>
                <w:noProof/>
                <w:lang w:val="de-DE"/>
              </w:rPr>
              <w:t>— Canicattì – Siracusa.</w:t>
            </w:r>
            <w:r w:rsidRPr="00170422">
              <w:rPr>
                <w:noProof/>
                <w:lang w:val="de-DE"/>
              </w:rPr>
              <w:br/>
              <w:t>Das Ziel wird durch CLP (d. h. „Codice Locale Progetto“) erreicht, die ni</w:t>
            </w:r>
            <w:r w:rsidRPr="00170422">
              <w:rPr>
                <w:noProof/>
                <w:lang w:val="de-DE"/>
              </w:rPr>
              <w:t>cht aus anderen EU-Fonds als der Aufbau- und Resilienzfazilität unterstützt werden.</w:t>
            </w:r>
          </w:p>
        </w:tc>
      </w:tr>
    </w:tbl>
    <w:p w14:paraId="33251583" w14:textId="77777777" w:rsidR="0057163C" w:rsidRPr="00170422" w:rsidRDefault="0057163C">
      <w:pPr>
        <w:tabs>
          <w:tab w:val="left" w:pos="4252"/>
        </w:tabs>
        <w:rPr>
          <w:i/>
          <w:noProof/>
          <w:lang w:val="de-DE"/>
        </w:rPr>
      </w:pPr>
    </w:p>
    <w:p w14:paraId="30B70235" w14:textId="77777777" w:rsidR="0057163C" w:rsidRPr="00170422" w:rsidRDefault="0057163C">
      <w:pPr>
        <w:spacing w:before="120" w:after="120"/>
        <w:jc w:val="both"/>
        <w:rPr>
          <w:b/>
          <w:bCs/>
          <w:noProof/>
          <w:u w:val="single"/>
          <w:lang w:val="de-DE"/>
        </w:rPr>
        <w:sectPr w:rsidR="0057163C" w:rsidRPr="00170422" w:rsidSect="005F11B9">
          <w:headerReference w:type="even" r:id="rId146"/>
          <w:headerReference w:type="default" r:id="rId147"/>
          <w:footerReference w:type="even" r:id="rId148"/>
          <w:footerReference w:type="default" r:id="rId149"/>
          <w:headerReference w:type="first" r:id="rId150"/>
          <w:footerReference w:type="first" r:id="rId151"/>
          <w:pgSz w:w="16838" w:h="11907" w:orient="landscape" w:code="9"/>
          <w:pgMar w:top="1134" w:right="1134" w:bottom="1134" w:left="1134" w:header="567" w:footer="567" w:gutter="0"/>
          <w:cols w:space="720"/>
          <w:docGrid w:linePitch="360"/>
        </w:sectPr>
      </w:pPr>
    </w:p>
    <w:p w14:paraId="77DC66E5" w14:textId="77777777" w:rsidR="0057163C" w:rsidRPr="00170422" w:rsidRDefault="00F37BF9">
      <w:pPr>
        <w:pStyle w:val="P68B1DB1-Heading23"/>
        <w:ind w:left="1080"/>
        <w:rPr>
          <w:noProof/>
          <w:lang w:val="de-DE"/>
        </w:rPr>
      </w:pPr>
      <w:r w:rsidRPr="00170422">
        <w:rPr>
          <w:noProof/>
          <w:lang w:val="de-DE"/>
        </w:rPr>
        <w:t>I. MISSION 3 COMPONENT 2 – Intermodalität und integrierte Logistik</w:t>
      </w:r>
    </w:p>
    <w:p w14:paraId="5D644F82" w14:textId="77777777" w:rsidR="0057163C" w:rsidRPr="00170422" w:rsidRDefault="00F37BF9">
      <w:pPr>
        <w:pStyle w:val="P68B1DB1-Normal7"/>
        <w:tabs>
          <w:tab w:val="left" w:pos="1134"/>
        </w:tabs>
        <w:spacing w:before="120" w:after="120"/>
        <w:jc w:val="both"/>
        <w:rPr>
          <w:rFonts w:eastAsia="Calibri"/>
          <w:iCs/>
          <w:noProof/>
          <w:lang w:val="de-DE"/>
        </w:rPr>
      </w:pPr>
      <w:r w:rsidRPr="00170422">
        <w:rPr>
          <w:noProof/>
          <w:lang w:val="de-DE"/>
        </w:rPr>
        <w:t xml:space="preserve">Ziel dieser Komponente des </w:t>
      </w:r>
      <w:r w:rsidRPr="00170422">
        <w:rPr>
          <w:noProof/>
          <w:lang w:val="de-DE"/>
        </w:rPr>
        <w:t>italienischen Aufbau- und Resilienzplans ist es, die italienischen Häfen effizienter und wettbewerbsfähiger, energieeffizienter und besser in die Logistikkette zu integrieren. Außerdem soll das Flugverkehrsmanagementsystem digitalisiert werden.</w:t>
      </w:r>
    </w:p>
    <w:p w14:paraId="6C4B12DA" w14:textId="77777777" w:rsidR="0057163C" w:rsidRPr="00170422" w:rsidRDefault="00F37BF9">
      <w:pPr>
        <w:pStyle w:val="P68B1DB1-Normal7"/>
        <w:tabs>
          <w:tab w:val="left" w:pos="1134"/>
        </w:tabs>
        <w:spacing w:before="120" w:after="120"/>
        <w:jc w:val="both"/>
        <w:rPr>
          <w:rFonts w:eastAsia="Calibri"/>
          <w:iCs/>
          <w:noProof/>
          <w:lang w:val="de-DE"/>
        </w:rPr>
      </w:pPr>
      <w:r w:rsidRPr="00170422">
        <w:rPr>
          <w:noProof/>
          <w:lang w:val="de-DE"/>
        </w:rPr>
        <w:t>Zu diesem Z</w:t>
      </w:r>
      <w:r w:rsidRPr="00170422">
        <w:rPr>
          <w:noProof/>
          <w:lang w:val="de-DE"/>
        </w:rPr>
        <w:t>weck umfasst sie einerseits wichtige Reformen zur Vereinfachung der Verfahren, zur Aktualisierung der Hafenplanung und zur Steigerung der Wettbewerbsfähigkeit der Konzessionen in italienischen Häfen. Auf der anderen Seite einige Investitionen zur Gewährlei</w:t>
      </w:r>
      <w:r w:rsidRPr="00170422">
        <w:rPr>
          <w:noProof/>
          <w:lang w:val="de-DE"/>
        </w:rPr>
        <w:t xml:space="preserve">stung der Intermodalität mit den Grundzügen der europäischen Kommunikation, die Verbindungen zum Handel mit den Ozeanen und zwischen den Mittelmeerländern entwickeln, die Dynamik und die Wettbewerbsfähigkeit des italienischen Hafensystems erhöhen, auch im </w:t>
      </w:r>
      <w:r w:rsidRPr="00170422">
        <w:rPr>
          <w:noProof/>
          <w:lang w:val="de-DE"/>
        </w:rPr>
        <w:t>Hinblick auf die Verringerung der Treibhausgasemissionen. Die Investitionen im Zusammenhang mit dieser Komponente dürften das Passagier- und Frachtaufkommen in den italienischen Häfen erheblich erhöhen, was sich positiv auf die Stimulierung der Wirtschafts</w:t>
      </w:r>
      <w:r w:rsidRPr="00170422">
        <w:rPr>
          <w:noProof/>
          <w:lang w:val="de-DE"/>
        </w:rPr>
        <w:t>tätigkeit in den jeweiligen Gebieten und auf die Volkswirtschaft insgesamt auswirken wird.</w:t>
      </w:r>
    </w:p>
    <w:p w14:paraId="171F333A" w14:textId="77777777" w:rsidR="0057163C" w:rsidRPr="00170422" w:rsidRDefault="00F37BF9">
      <w:pPr>
        <w:pStyle w:val="P68B1DB1-Normal7"/>
        <w:tabs>
          <w:tab w:val="left" w:pos="1134"/>
        </w:tabs>
        <w:spacing w:before="120" w:after="120"/>
        <w:jc w:val="both"/>
        <w:rPr>
          <w:rFonts w:eastAsia="Calibri"/>
          <w:iCs/>
          <w:noProof/>
          <w:lang w:val="de-DE"/>
        </w:rPr>
      </w:pPr>
      <w:r w:rsidRPr="00170422">
        <w:rPr>
          <w:noProof/>
          <w:lang w:val="de-DE"/>
        </w:rPr>
        <w:t>Andererseits bezieht sich diese Komponente auf die Digitalisierung der Logistiksysteme, einschließlich der Flughafensysteme. Es wird erwartet, dass diese Sektoren du</w:t>
      </w:r>
      <w:r w:rsidRPr="00170422">
        <w:rPr>
          <w:noProof/>
          <w:lang w:val="de-DE"/>
        </w:rPr>
        <w:t xml:space="preserve">rch den Einsatz innovativer technologischer Lösungen wettbewerbsfähiger werden, um das System effizienter zu gestalten und auch ihre Umweltauswirkungen zu verringern. </w:t>
      </w:r>
    </w:p>
    <w:p w14:paraId="22FCFFA1" w14:textId="77777777" w:rsidR="0057163C" w:rsidRPr="00170422" w:rsidRDefault="00F37BF9">
      <w:pPr>
        <w:pStyle w:val="P68B1DB1-Normal7"/>
        <w:spacing w:before="120" w:after="120"/>
        <w:jc w:val="both"/>
        <w:rPr>
          <w:noProof/>
          <w:lang w:val="de-DE"/>
        </w:rPr>
      </w:pPr>
      <w:r w:rsidRPr="00170422">
        <w:rPr>
          <w:noProof/>
          <w:lang w:val="de-DE"/>
        </w:rPr>
        <w:t>Diese Komponente entspricht der länderspezifischen Empfehlung 3 aus dem Jahr 2019, in de</w:t>
      </w:r>
      <w:r w:rsidRPr="00170422">
        <w:rPr>
          <w:noProof/>
          <w:lang w:val="de-DE"/>
        </w:rPr>
        <w:t>r Italien nachdrücklich aufgefordert wird, die investitionsbezogene Wirtschaftspolitik auf die Qualität der Infrastruktur auszurichten, und der länderspezifischen Empfehlung 3 von 2020, in der empfohlen wird, „Investitionen in den ökologischen und digitale</w:t>
      </w:r>
      <w:r w:rsidRPr="00170422">
        <w:rPr>
          <w:noProof/>
          <w:lang w:val="de-DE"/>
        </w:rPr>
        <w:t xml:space="preserve">n Wandel zu konzentrieren, insbesondere in saubere und effiziente Energieerzeugung und -nutzung, Forschung und Innovation, nachhaltigen öffentlichen Verkehr, Abfall- und Wasserbewirtschaftung sowie eine verstärkte digitale Infrastruktur, um die Erbringung </w:t>
      </w:r>
      <w:r w:rsidRPr="00170422">
        <w:rPr>
          <w:noProof/>
          <w:lang w:val="de-DE"/>
        </w:rPr>
        <w:t>wesentlicher Dienstleistungen sicherzustellen“.</w:t>
      </w:r>
    </w:p>
    <w:p w14:paraId="5EE788DF" w14:textId="77777777" w:rsidR="0057163C" w:rsidRPr="00170422" w:rsidRDefault="00F37BF9">
      <w:pPr>
        <w:pStyle w:val="P68B1DB1-Normal7"/>
        <w:spacing w:before="120" w:after="120"/>
        <w:jc w:val="both"/>
        <w:rPr>
          <w:noProof/>
          <w:lang w:val="de-DE"/>
        </w:rPr>
      </w:pPr>
      <w:r w:rsidRPr="00170422">
        <w:rPr>
          <w:noProof/>
          <w:lang w:val="de-DE"/>
        </w:rPr>
        <w:t xml:space="preserve">Es wird davon ausgegangen, dass keine Maßnahme in dieser Komponente die Umweltziele im Sinne von Artikel 17 der Verordnung (EU) 2020/852 erheblich beeinträchtigt, wobei die Beschreibung der Maßnahmen und der </w:t>
      </w:r>
      <w:r w:rsidRPr="00170422">
        <w:rPr>
          <w:noProof/>
          <w:lang w:val="de-DE"/>
        </w:rPr>
        <w:t>Risikominderungsschritte, die im Aufbau- und Resilienzplan im Einklang mit den Technischen Leitlinien für die Anwendung des Grundsatzes der „Vermeidung erheblicher Beeinträchtigungen“ (2021/C58/01) festgelegt sind, berücksichtigt wird.</w:t>
      </w:r>
    </w:p>
    <w:p w14:paraId="737AB47E" w14:textId="77777777" w:rsidR="0057163C" w:rsidRPr="00170422" w:rsidRDefault="00F37BF9">
      <w:pPr>
        <w:pStyle w:val="P68B1DB1-Heading359"/>
        <w:ind w:left="850" w:hanging="850"/>
        <w:rPr>
          <w:b/>
          <w:bCs/>
          <w:i/>
          <w:iCs/>
          <w:noProof/>
          <w:color w:val="156082" w:themeColor="accent1"/>
          <w:u w:val="single"/>
          <w:lang w:val="de-DE"/>
        </w:rPr>
      </w:pPr>
      <w:r w:rsidRPr="00170422">
        <w:rPr>
          <w:b/>
          <w:noProof/>
          <w:u w:val="single"/>
          <w:lang w:val="de-DE"/>
        </w:rPr>
        <w:t xml:space="preserve">I.1. </w:t>
      </w:r>
      <w:r w:rsidRPr="00170422">
        <w:rPr>
          <w:noProof/>
          <w:lang w:val="de-DE"/>
        </w:rPr>
        <w:t xml:space="preserve"> </w:t>
      </w:r>
      <w:r w:rsidRPr="00170422">
        <w:rPr>
          <w:b/>
          <w:noProof/>
          <w:u w:val="single"/>
          <w:lang w:val="de-DE"/>
        </w:rPr>
        <w:t>Beschreibung d</w:t>
      </w:r>
      <w:r w:rsidRPr="00170422">
        <w:rPr>
          <w:b/>
          <w:noProof/>
          <w:u w:val="single"/>
          <w:lang w:val="de-DE"/>
        </w:rPr>
        <w:t>er Reformen und Investitionen für nicht rückzahlbare finanzielle Unterstützung</w:t>
      </w:r>
    </w:p>
    <w:p w14:paraId="456B2BAD" w14:textId="77777777" w:rsidR="0057163C" w:rsidRPr="00170422" w:rsidRDefault="00F37BF9">
      <w:pPr>
        <w:pStyle w:val="P68B1DB1-Normal5"/>
        <w:spacing w:before="120" w:after="120" w:line="257" w:lineRule="auto"/>
        <w:jc w:val="both"/>
        <w:rPr>
          <w:bCs/>
          <w:noProof/>
          <w:lang w:val="de-DE"/>
        </w:rPr>
      </w:pPr>
      <w:r w:rsidRPr="00170422">
        <w:rPr>
          <w:noProof/>
          <w:lang w:val="de-DE"/>
        </w:rPr>
        <w:t>Reform 1.1 – Vereinfachung der Verfahren für die strategische Planung</w:t>
      </w:r>
    </w:p>
    <w:p w14:paraId="3B7766E3" w14:textId="77777777" w:rsidR="0057163C" w:rsidRPr="00170422" w:rsidRDefault="00F37BF9">
      <w:pPr>
        <w:pStyle w:val="P68B1DB1-Normal7"/>
        <w:spacing w:before="120" w:after="120" w:line="257" w:lineRule="auto"/>
        <w:jc w:val="both"/>
        <w:rPr>
          <w:bCs/>
          <w:noProof/>
          <w:lang w:val="de-DE"/>
        </w:rPr>
      </w:pPr>
      <w:r w:rsidRPr="00170422">
        <w:rPr>
          <w:noProof/>
          <w:lang w:val="de-DE"/>
        </w:rPr>
        <w:t>Diese Maßnahme sieht eine Aktualisierung der Hafenplanung vor, um eine strategische Vision des italienische</w:t>
      </w:r>
      <w:r w:rsidRPr="00170422">
        <w:rPr>
          <w:noProof/>
          <w:lang w:val="de-DE"/>
        </w:rPr>
        <w:t>n Hafensystems zu gewährleisten. Die Reform regelt mindestens i) die Entwicklungsziele der Hafensystembehörden; II) die ermittelten und umrissenen Bereiche, die ausschließlich für Hafen- und Hinterhafenfunktionen bestimmt sind, iii) die letzten infrastrukt</w:t>
      </w:r>
      <w:r w:rsidRPr="00170422">
        <w:rPr>
          <w:noProof/>
          <w:lang w:val="de-DE"/>
        </w:rPr>
        <w:t>urellen Verbindungen von Straße und Schiene zu Häfen, iv) die bei der Festlegung des Inhalts der Planung zugrunde gelegten Kriterien und v) eine eindeutige Identifizierung der Leitlinien, Vorschriften und Verfahren für die Ausarbeitung der Hafenregulierung</w:t>
      </w:r>
      <w:r w:rsidRPr="00170422">
        <w:rPr>
          <w:noProof/>
          <w:lang w:val="de-DE"/>
        </w:rPr>
        <w:t>spläne.</w:t>
      </w:r>
    </w:p>
    <w:p w14:paraId="6EB2E08A" w14:textId="49666CB6" w:rsidR="0057163C" w:rsidRPr="00170422" w:rsidRDefault="00F37BF9">
      <w:pPr>
        <w:pStyle w:val="P68B1DB1-Normal5"/>
        <w:spacing w:before="120" w:after="120" w:line="257" w:lineRule="auto"/>
        <w:jc w:val="both"/>
        <w:rPr>
          <w:bCs/>
          <w:noProof/>
          <w:lang w:val="de-DE"/>
        </w:rPr>
      </w:pPr>
      <w:r w:rsidRPr="00170422">
        <w:rPr>
          <w:noProof/>
          <w:lang w:val="de-DE"/>
        </w:rPr>
        <w:t xml:space="preserve">Reform 1.2 – Wettbewerbsorientierte Konzessionsvergabe in italienischen Häfen </w:t>
      </w:r>
    </w:p>
    <w:p w14:paraId="5F5CF24F" w14:textId="77777777" w:rsidR="0057163C" w:rsidRPr="00170422" w:rsidRDefault="00F37BF9">
      <w:pPr>
        <w:pStyle w:val="P68B1DB1-Normal7"/>
        <w:spacing w:before="120" w:after="120"/>
        <w:jc w:val="both"/>
        <w:rPr>
          <w:rFonts w:eastAsia="Calibri"/>
          <w:noProof/>
          <w:lang w:val="de-DE"/>
        </w:rPr>
      </w:pPr>
      <w:r w:rsidRPr="00170422">
        <w:rPr>
          <w:noProof/>
          <w:lang w:val="de-DE"/>
        </w:rPr>
        <w:t>Ziel dieser Maßnahme ist es, die Bedingungen in Bezug auf die Laufzeit der Konzession, die Überwachungs- und Kontrollbefugnisse der Bewilligungsbehörden, die Erneuerungs</w:t>
      </w:r>
      <w:r w:rsidRPr="00170422">
        <w:rPr>
          <w:noProof/>
          <w:lang w:val="de-DE"/>
        </w:rPr>
        <w:t>verfahren, die Übertragung der Anlagen auf den neuen Konzessionär am Ende der Konzession und die Festlegung der Mindestobergrenzen der den Konzessionsnehmern in Rechnung gestellten Gebühren festzulegen.</w:t>
      </w:r>
    </w:p>
    <w:p w14:paraId="0BC8BB5C" w14:textId="77777777" w:rsidR="0057163C" w:rsidRPr="00170422" w:rsidRDefault="0057163C">
      <w:pPr>
        <w:spacing w:before="120" w:after="120"/>
        <w:jc w:val="both"/>
        <w:rPr>
          <w:rFonts w:ascii="Times New Roman" w:eastAsia="Calibri" w:hAnsi="Times New Roman" w:cs="Times New Roman"/>
          <w:noProof/>
          <w:lang w:val="de-DE"/>
        </w:rPr>
      </w:pPr>
    </w:p>
    <w:p w14:paraId="2EC87929" w14:textId="796550CA" w:rsidR="0057163C" w:rsidRPr="00170422" w:rsidRDefault="00F37BF9">
      <w:pPr>
        <w:pStyle w:val="P68B1DB1-Normal5"/>
        <w:spacing w:before="120" w:after="120"/>
        <w:jc w:val="both"/>
        <w:rPr>
          <w:rFonts w:eastAsia="Calibri"/>
          <w:noProof/>
          <w:lang w:val="de-DE"/>
        </w:rPr>
      </w:pPr>
      <w:r w:rsidRPr="00170422">
        <w:rPr>
          <w:noProof/>
          <w:lang w:val="de-DE"/>
        </w:rPr>
        <w:t>Reform 1.3 – Vereinfachung der Genehmigungen für die</w:t>
      </w:r>
      <w:r w:rsidRPr="00170422">
        <w:rPr>
          <w:noProof/>
          <w:lang w:val="de-DE"/>
        </w:rPr>
        <w:t xml:space="preserve"> Genehmigung von Kaltbügeln in italienischen Häfen </w:t>
      </w:r>
    </w:p>
    <w:p w14:paraId="5BDCF156" w14:textId="77777777" w:rsidR="0057163C" w:rsidRPr="00170422" w:rsidRDefault="00F37BF9">
      <w:pPr>
        <w:pStyle w:val="P68B1DB1-Normal7"/>
        <w:spacing w:before="120" w:after="120"/>
        <w:jc w:val="both"/>
        <w:rPr>
          <w:rFonts w:eastAsia="Calibri"/>
          <w:noProof/>
          <w:lang w:val="de-DE"/>
        </w:rPr>
      </w:pPr>
      <w:r w:rsidRPr="00170422">
        <w:rPr>
          <w:noProof/>
          <w:lang w:val="de-DE"/>
        </w:rPr>
        <w:t>Mit dieser Maßnahme soll das Genehmigungsverfahren für den Bau der nationalen Stromübertragungsnetze für die Stromversorgung von Schiffen (Kühlbügel) vereinfacht und verringert</w:t>
      </w:r>
      <w:r w:rsidRPr="00170422">
        <w:rPr>
          <w:i/>
          <w:noProof/>
          <w:lang w:val="de-DE"/>
        </w:rPr>
        <w:t>werden</w:t>
      </w:r>
      <w:r w:rsidRPr="00170422">
        <w:rPr>
          <w:noProof/>
          <w:lang w:val="de-DE"/>
        </w:rPr>
        <w:t>.</w:t>
      </w:r>
    </w:p>
    <w:p w14:paraId="4623491B" w14:textId="77777777" w:rsidR="0057163C" w:rsidRPr="00170422" w:rsidRDefault="00F37BF9">
      <w:pPr>
        <w:pStyle w:val="P68B1DB1-Normal7"/>
        <w:spacing w:before="120" w:after="120"/>
        <w:jc w:val="both"/>
        <w:rPr>
          <w:rFonts w:eastAsia="Calibri"/>
          <w:noProof/>
          <w:lang w:val="de-DE"/>
        </w:rPr>
      </w:pPr>
      <w:r w:rsidRPr="00170422">
        <w:rPr>
          <w:noProof/>
          <w:lang w:val="de-DE"/>
        </w:rPr>
        <w:t xml:space="preserve">Das Ministerium für </w:t>
      </w:r>
      <w:r w:rsidRPr="00170422">
        <w:rPr>
          <w:noProof/>
          <w:lang w:val="de-DE"/>
        </w:rPr>
        <w:t>Infrastruktur und Verkehr unterbreitet einen Vorschlag zur Straffung des Genehmigungsverfahrens. Insbesondere wird vorgeschlagen, die Kaltbügelprojekte von den dem Ministerium für wirtschaftliche Entwicklung unterstellten Außenstellen bewerten zu lassen, d</w:t>
      </w:r>
      <w:r w:rsidRPr="00170422">
        <w:rPr>
          <w:noProof/>
          <w:lang w:val="de-DE"/>
        </w:rPr>
        <w:t>ie die Projekte in kürzerer Zeit prüfen und daher genehmigen könnten. Darüber hinaus ist eine regulatorische Intervention in Betracht zu ziehen, um ein einheitliches Genehmigungsverfahren für Vorhaben mit einer Spannung von mehr als 132 kV und dem Rest fes</w:t>
      </w:r>
      <w:r w:rsidRPr="00170422">
        <w:rPr>
          <w:noProof/>
          <w:lang w:val="de-DE"/>
        </w:rPr>
        <w:t xml:space="preserve">tzulegen, um die Synergien des Verfahrens zu nutzen. </w:t>
      </w:r>
    </w:p>
    <w:p w14:paraId="52B87AFB" w14:textId="77777777" w:rsidR="0057163C" w:rsidRPr="00170422" w:rsidRDefault="00F37BF9">
      <w:pPr>
        <w:pStyle w:val="P68B1DB1-Normal5"/>
        <w:spacing w:before="120" w:after="120"/>
        <w:jc w:val="both"/>
        <w:rPr>
          <w:rFonts w:eastAsia="Calibri"/>
          <w:noProof/>
          <w:lang w:val="de-DE"/>
        </w:rPr>
      </w:pPr>
      <w:r w:rsidRPr="00170422">
        <w:rPr>
          <w:noProof/>
          <w:lang w:val="de-DE"/>
        </w:rPr>
        <w:t>Reform 2.1: Einrichtung eines einzigen Zollportals („Sportello Unico Doganale“)</w:t>
      </w:r>
    </w:p>
    <w:p w14:paraId="0A52D7C9" w14:textId="77777777" w:rsidR="0057163C" w:rsidRPr="00170422" w:rsidRDefault="00F37BF9">
      <w:pPr>
        <w:pStyle w:val="P68B1DB1-Normal7"/>
        <w:spacing w:before="120" w:after="120"/>
        <w:jc w:val="both"/>
        <w:rPr>
          <w:noProof/>
          <w:lang w:val="de-DE"/>
        </w:rPr>
      </w:pPr>
      <w:r w:rsidRPr="00170422">
        <w:rPr>
          <w:noProof/>
          <w:lang w:val="de-DE"/>
        </w:rPr>
        <w:t>Ziel ist die Einrichtung eines speziellen Portals für die zentrale Kontrollstelle, das die Interoperabilität mit nationale</w:t>
      </w:r>
      <w:r w:rsidRPr="00170422">
        <w:rPr>
          <w:noProof/>
          <w:lang w:val="de-DE"/>
        </w:rPr>
        <w:t>n Datenbanken und die Koordinierung der Kontrolltätigkeiten durch den Zoll ermöglicht.</w:t>
      </w:r>
    </w:p>
    <w:p w14:paraId="272D0360" w14:textId="77777777" w:rsidR="0057163C" w:rsidRPr="00170422" w:rsidRDefault="00F37BF9">
      <w:pPr>
        <w:pStyle w:val="P68B1DB1-Normal5"/>
        <w:spacing w:before="120" w:after="120"/>
        <w:jc w:val="both"/>
        <w:rPr>
          <w:bCs/>
          <w:noProof/>
          <w:lang w:val="de-DE"/>
        </w:rPr>
      </w:pPr>
      <w:r w:rsidRPr="00170422">
        <w:rPr>
          <w:noProof/>
          <w:lang w:val="de-DE"/>
        </w:rPr>
        <w:t>Investition 2.1: Digitalisierung der Logistikkette</w:t>
      </w:r>
    </w:p>
    <w:p w14:paraId="04E74D0D" w14:textId="77777777" w:rsidR="0057163C" w:rsidRPr="00170422" w:rsidRDefault="00F37BF9">
      <w:pPr>
        <w:pStyle w:val="P68B1DB1-Normal7"/>
        <w:spacing w:before="120" w:after="120"/>
        <w:jc w:val="both"/>
        <w:rPr>
          <w:noProof/>
          <w:lang w:val="de-DE"/>
        </w:rPr>
      </w:pPr>
      <w:r w:rsidRPr="00170422">
        <w:rPr>
          <w:noProof/>
          <w:lang w:val="de-DE"/>
        </w:rPr>
        <w:t>Ziel dieser Investition ist es, die Wettbewerbsfähigkeit der nationalen Logistik zu steigern, indem Verfahren, Prozess</w:t>
      </w:r>
      <w:r w:rsidRPr="00170422">
        <w:rPr>
          <w:noProof/>
          <w:lang w:val="de-DE"/>
        </w:rPr>
        <w:t>e und Kontrollen vereinfacht werden und der Schwerpunkt auf die Dematerialisierung von Dokumenten und den Austausch von Daten und Informationen gelegt wird. Diese Investition besteht in der Schaffung eines interoperablen digitalen Systems zwischen öffentli</w:t>
      </w:r>
      <w:r w:rsidRPr="00170422">
        <w:rPr>
          <w:noProof/>
          <w:lang w:val="de-DE"/>
        </w:rPr>
        <w:t>chen und privaten Akteuren für den Güterverkehr und die Logistik.</w:t>
      </w:r>
    </w:p>
    <w:p w14:paraId="388390AA" w14:textId="77777777" w:rsidR="0057163C" w:rsidRPr="00170422" w:rsidRDefault="00F37BF9">
      <w:pPr>
        <w:pStyle w:val="P68B1DB1-Normal5"/>
        <w:rPr>
          <w:bCs/>
          <w:noProof/>
          <w:lang w:val="de-DE"/>
        </w:rPr>
      </w:pPr>
      <w:r w:rsidRPr="00170422">
        <w:rPr>
          <w:noProof/>
          <w:lang w:val="de-DE"/>
        </w:rPr>
        <w:t>Investition 2.2: Digitalisierung des Flugverkehrsmanagements.</w:t>
      </w:r>
    </w:p>
    <w:p w14:paraId="2A51924A" w14:textId="77777777" w:rsidR="0057163C" w:rsidRPr="00170422" w:rsidRDefault="00F37BF9">
      <w:pPr>
        <w:pStyle w:val="P68B1DB1-Normal7"/>
        <w:spacing w:before="120" w:after="120"/>
        <w:jc w:val="both"/>
        <w:rPr>
          <w:rFonts w:eastAsia="Calibri"/>
          <w:noProof/>
          <w:lang w:val="de-DE"/>
        </w:rPr>
      </w:pPr>
      <w:r w:rsidRPr="00170422">
        <w:rPr>
          <w:noProof/>
          <w:lang w:val="de-DE"/>
        </w:rPr>
        <w:t>Ziel dieser Investition ist die Entwicklung neuer Instrumente für die Digitalisierung von Luftfahrtinformationen und die Einführ</w:t>
      </w:r>
      <w:r w:rsidRPr="00170422">
        <w:rPr>
          <w:noProof/>
          <w:lang w:val="de-DE"/>
        </w:rPr>
        <w:t>ung unbemannter Luftfahrzeugplattformen und -dienste. Die Investition besteht in der Entwicklung und Vernetzung des unbemannten Verkehrsmanagementsystems (UTMS), der Digitalisierung von Luftfahrtinformationen und der Festlegung eines neuen Instandhaltungsm</w:t>
      </w:r>
      <w:r w:rsidRPr="00170422">
        <w:rPr>
          <w:noProof/>
          <w:lang w:val="de-DE"/>
        </w:rPr>
        <w:t>odells.</w:t>
      </w:r>
    </w:p>
    <w:p w14:paraId="1665F422" w14:textId="77777777" w:rsidR="0057163C" w:rsidRPr="00170422" w:rsidRDefault="00F37BF9">
      <w:pPr>
        <w:pStyle w:val="paragraph"/>
        <w:spacing w:before="0" w:beforeAutospacing="0" w:after="0" w:afterAutospacing="0"/>
        <w:jc w:val="both"/>
        <w:textAlignment w:val="baseline"/>
        <w:rPr>
          <w:noProof/>
          <w:sz w:val="18"/>
          <w:szCs w:val="18"/>
          <w:lang w:val="de-DE"/>
        </w:rPr>
      </w:pPr>
      <w:r w:rsidRPr="00170422">
        <w:rPr>
          <w:rStyle w:val="normaltextrun"/>
          <w:b/>
          <w:noProof/>
          <w:lang w:val="de-DE"/>
        </w:rPr>
        <w:t>Investition 2.3: Kaltbügeln</w:t>
      </w:r>
      <w:r w:rsidRPr="00170422">
        <w:rPr>
          <w:rStyle w:val="eop"/>
          <w:noProof/>
          <w:lang w:val="de-DE"/>
        </w:rPr>
        <w:t xml:space="preserve"> </w:t>
      </w:r>
    </w:p>
    <w:p w14:paraId="64CBB954" w14:textId="77777777" w:rsidR="0057163C" w:rsidRPr="00170422" w:rsidRDefault="00F37BF9">
      <w:pPr>
        <w:pStyle w:val="paragraph"/>
        <w:spacing w:line="278" w:lineRule="auto"/>
        <w:jc w:val="both"/>
        <w:rPr>
          <w:rStyle w:val="normaltextrun"/>
          <w:noProof/>
          <w:sz w:val="22"/>
          <w:szCs w:val="22"/>
          <w:lang w:val="de-DE"/>
        </w:rPr>
      </w:pPr>
      <w:r w:rsidRPr="00170422">
        <w:rPr>
          <w:rStyle w:val="normaltextrun"/>
          <w:noProof/>
          <w:sz w:val="22"/>
          <w:szCs w:val="22"/>
          <w:lang w:val="de-DE"/>
        </w:rPr>
        <w:t>Ziel dieser Investition ist die Verringerung der Treibhausgasemissionen des Seeverkehrs. Diese Investition besteht in dem Aufbau eines Netzes für die Stromversorgung in Hafengebieten (Docks) und der damit verbundenen An</w:t>
      </w:r>
      <w:r w:rsidRPr="00170422">
        <w:rPr>
          <w:rStyle w:val="normaltextrun"/>
          <w:noProof/>
          <w:sz w:val="22"/>
          <w:szCs w:val="22"/>
          <w:lang w:val="de-DE"/>
        </w:rPr>
        <w:t>schlussinfrastruktur an das nationale Übertragungsnetz.</w:t>
      </w:r>
    </w:p>
    <w:p w14:paraId="60536842" w14:textId="34B37CE9" w:rsidR="0057163C" w:rsidRPr="00170422" w:rsidRDefault="00F37BF9">
      <w:pPr>
        <w:pStyle w:val="paragraph"/>
        <w:spacing w:line="278" w:lineRule="auto"/>
        <w:jc w:val="both"/>
        <w:rPr>
          <w:rStyle w:val="eop"/>
          <w:noProof/>
          <w:sz w:val="22"/>
          <w:szCs w:val="22"/>
          <w:lang w:val="de-DE"/>
        </w:rPr>
        <w:sectPr w:rsidR="0057163C" w:rsidRPr="00170422" w:rsidSect="005F11B9">
          <w:headerReference w:type="even" r:id="rId152"/>
          <w:headerReference w:type="default" r:id="rId153"/>
          <w:footerReference w:type="even" r:id="rId154"/>
          <w:footerReference w:type="default" r:id="rId155"/>
          <w:headerReference w:type="first" r:id="rId156"/>
          <w:footerReference w:type="first" r:id="rId157"/>
          <w:pgSz w:w="11907" w:h="16839"/>
          <w:pgMar w:top="1134" w:right="1134" w:bottom="1134" w:left="1134" w:header="567" w:footer="567" w:gutter="0"/>
          <w:cols w:space="720"/>
          <w:docGrid w:linePitch="360"/>
        </w:sectPr>
      </w:pPr>
      <w:r w:rsidRPr="00170422">
        <w:rPr>
          <w:rStyle w:val="eop"/>
          <w:noProof/>
          <w:sz w:val="22"/>
          <w:szCs w:val="22"/>
          <w:lang w:val="de-DE"/>
        </w:rPr>
        <w:t xml:space="preserve"> </w:t>
      </w:r>
    </w:p>
    <w:p w14:paraId="7AD396BF"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I.2. </w:t>
      </w:r>
      <w:r w:rsidRPr="00170422">
        <w:rPr>
          <w:noProof/>
          <w:lang w:val="de-DE"/>
        </w:rPr>
        <w:t xml:space="preserve"> </w:t>
      </w:r>
      <w:r w:rsidRPr="00170422">
        <w:rPr>
          <w:b/>
          <w:noProof/>
          <w:u w:val="single"/>
          <w:lang w:val="de-DE"/>
        </w:rPr>
        <w:t xml:space="preserve">Etappenziele, Zielwerte, Indikatoren und Zeitplan für die Überwachung und Durchführung der nicht rückzahlbaren finanziellen </w:t>
      </w:r>
      <w:r w:rsidRPr="00170422">
        <w:rPr>
          <w:b/>
          <w:noProof/>
          <w:u w:val="single"/>
          <w:lang w:val="de-DE"/>
        </w:rPr>
        <w:t>Unterstützung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1754"/>
        <w:gridCol w:w="1436"/>
        <w:gridCol w:w="1637"/>
        <w:gridCol w:w="1701"/>
        <w:gridCol w:w="1134"/>
        <w:gridCol w:w="1418"/>
        <w:gridCol w:w="709"/>
        <w:gridCol w:w="801"/>
        <w:gridCol w:w="758"/>
        <w:gridCol w:w="2576"/>
      </w:tblGrid>
      <w:tr w:rsidR="0057163C" w:rsidRPr="00170422" w14:paraId="13411E8B" w14:textId="77777777" w:rsidTr="00924983">
        <w:trPr>
          <w:trHeight w:val="927"/>
          <w:tblHeader/>
          <w:jc w:val="center"/>
        </w:trPr>
        <w:tc>
          <w:tcPr>
            <w:tcW w:w="1039" w:type="dxa"/>
            <w:vMerge w:val="restart"/>
            <w:shd w:val="clear" w:color="auto" w:fill="BDD7EE"/>
            <w:vAlign w:val="center"/>
            <w:hideMark/>
          </w:tcPr>
          <w:p w14:paraId="224B175F" w14:textId="46DE6AD7" w:rsidR="0057163C" w:rsidRPr="00170422" w:rsidRDefault="00924983">
            <w:pPr>
              <w:pStyle w:val="P68B1DB1-Normal10"/>
              <w:jc w:val="center"/>
              <w:rPr>
                <w:noProof/>
                <w:szCs w:val="20"/>
                <w:lang w:val="de-DE"/>
              </w:rPr>
            </w:pPr>
            <w:r w:rsidRPr="00170422">
              <w:rPr>
                <w:noProof/>
                <w:lang w:val="de-DE"/>
              </w:rPr>
              <w:t>Laufende Nummer</w:t>
            </w:r>
          </w:p>
        </w:tc>
        <w:tc>
          <w:tcPr>
            <w:tcW w:w="1754" w:type="dxa"/>
            <w:vMerge w:val="restart"/>
            <w:shd w:val="clear" w:color="auto" w:fill="BDD7EE"/>
            <w:vAlign w:val="center"/>
            <w:hideMark/>
          </w:tcPr>
          <w:p w14:paraId="35CC6643"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436" w:type="dxa"/>
            <w:vMerge w:val="restart"/>
            <w:shd w:val="clear" w:color="auto" w:fill="BDD7EE"/>
            <w:vAlign w:val="center"/>
            <w:hideMark/>
          </w:tcPr>
          <w:p w14:paraId="7D7BEE81" w14:textId="5215674E" w:rsidR="0057163C" w:rsidRPr="00170422" w:rsidRDefault="00F37BF9">
            <w:pPr>
              <w:pStyle w:val="P68B1DB1-Normal10"/>
              <w:jc w:val="center"/>
              <w:rPr>
                <w:noProof/>
                <w:szCs w:val="20"/>
                <w:lang w:val="de-DE"/>
              </w:rPr>
            </w:pPr>
            <w:r w:rsidRPr="00170422">
              <w:rPr>
                <w:noProof/>
                <w:lang w:val="de-DE"/>
              </w:rPr>
              <w:t>Etappenziel/</w:t>
            </w:r>
            <w:r w:rsidR="00924983" w:rsidRPr="00170422">
              <w:rPr>
                <w:noProof/>
                <w:lang w:val="de-DE"/>
              </w:rPr>
              <w:br/>
            </w:r>
            <w:r w:rsidRPr="00170422">
              <w:rPr>
                <w:noProof/>
                <w:lang w:val="de-DE"/>
              </w:rPr>
              <w:t>Zielwert</w:t>
            </w:r>
          </w:p>
        </w:tc>
        <w:tc>
          <w:tcPr>
            <w:tcW w:w="1637" w:type="dxa"/>
            <w:vMerge w:val="restart"/>
            <w:shd w:val="clear" w:color="auto" w:fill="BDD7EE"/>
            <w:vAlign w:val="center"/>
            <w:hideMark/>
          </w:tcPr>
          <w:p w14:paraId="1679C6B9" w14:textId="77777777" w:rsidR="0057163C" w:rsidRPr="00170422" w:rsidRDefault="00F37BF9">
            <w:pPr>
              <w:pStyle w:val="P68B1DB1-Normal10"/>
              <w:jc w:val="center"/>
              <w:rPr>
                <w:noProof/>
                <w:szCs w:val="20"/>
                <w:lang w:val="de-DE"/>
              </w:rPr>
            </w:pPr>
            <w:r w:rsidRPr="00170422">
              <w:rPr>
                <w:noProof/>
                <w:lang w:val="de-DE"/>
              </w:rPr>
              <w:t>Namen</w:t>
            </w:r>
          </w:p>
        </w:tc>
        <w:tc>
          <w:tcPr>
            <w:tcW w:w="1701" w:type="dxa"/>
            <w:vMerge w:val="restart"/>
            <w:shd w:val="clear" w:color="auto" w:fill="BDD7EE"/>
            <w:vAlign w:val="center"/>
            <w:hideMark/>
          </w:tcPr>
          <w:p w14:paraId="58C9646C" w14:textId="18798696"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924983"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261" w:type="dxa"/>
            <w:gridSpan w:val="3"/>
            <w:shd w:val="clear" w:color="auto" w:fill="BDD7EE"/>
            <w:vAlign w:val="center"/>
            <w:hideMark/>
          </w:tcPr>
          <w:p w14:paraId="411E6C6F"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59" w:type="dxa"/>
            <w:gridSpan w:val="2"/>
            <w:shd w:val="clear" w:color="auto" w:fill="BDD7EE"/>
            <w:vAlign w:val="center"/>
            <w:hideMark/>
          </w:tcPr>
          <w:p w14:paraId="4732B910"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576" w:type="dxa"/>
            <w:vMerge w:val="restart"/>
            <w:shd w:val="clear" w:color="auto" w:fill="BDD7EE"/>
            <w:vAlign w:val="center"/>
            <w:hideMark/>
          </w:tcPr>
          <w:p w14:paraId="7FF27360" w14:textId="77777777" w:rsidR="0057163C" w:rsidRPr="00170422" w:rsidRDefault="00F37BF9">
            <w:pPr>
              <w:pStyle w:val="P68B1DB1-Normal10"/>
              <w:jc w:val="center"/>
              <w:rPr>
                <w:noProof/>
                <w:szCs w:val="20"/>
                <w:lang w:val="de-DE"/>
              </w:rPr>
            </w:pPr>
            <w:r w:rsidRPr="00170422">
              <w:rPr>
                <w:noProof/>
                <w:lang w:val="de-DE"/>
              </w:rPr>
              <w:t>Beschreibung</w:t>
            </w:r>
            <w:r w:rsidRPr="00170422">
              <w:rPr>
                <w:noProof/>
                <w:lang w:val="de-DE"/>
              </w:rPr>
              <w:t xml:space="preserve"> der einzelnen Etappenziele und Zielvorgaben</w:t>
            </w:r>
          </w:p>
        </w:tc>
      </w:tr>
      <w:tr w:rsidR="0057163C" w:rsidRPr="00170422" w14:paraId="2C38A6E9" w14:textId="77777777" w:rsidTr="00924983">
        <w:trPr>
          <w:trHeight w:val="1013"/>
          <w:jc w:val="center"/>
        </w:trPr>
        <w:tc>
          <w:tcPr>
            <w:tcW w:w="1039" w:type="dxa"/>
            <w:vMerge/>
            <w:vAlign w:val="center"/>
            <w:hideMark/>
          </w:tcPr>
          <w:p w14:paraId="443D66EE" w14:textId="77777777" w:rsidR="0057163C" w:rsidRPr="00170422" w:rsidRDefault="0057163C">
            <w:pPr>
              <w:jc w:val="center"/>
              <w:rPr>
                <w:rFonts w:ascii="Arial Narrow" w:hAnsi="Arial Narrow"/>
                <w:b/>
                <w:bCs/>
                <w:noProof/>
                <w:sz w:val="20"/>
                <w:szCs w:val="20"/>
                <w:lang w:val="de-DE"/>
              </w:rPr>
            </w:pPr>
          </w:p>
        </w:tc>
        <w:tc>
          <w:tcPr>
            <w:tcW w:w="1754" w:type="dxa"/>
            <w:vMerge/>
            <w:vAlign w:val="center"/>
            <w:hideMark/>
          </w:tcPr>
          <w:p w14:paraId="02A2874A" w14:textId="77777777" w:rsidR="0057163C" w:rsidRPr="00170422" w:rsidRDefault="0057163C">
            <w:pPr>
              <w:jc w:val="center"/>
              <w:rPr>
                <w:rFonts w:ascii="Arial Narrow" w:hAnsi="Arial Narrow"/>
                <w:b/>
                <w:bCs/>
                <w:noProof/>
                <w:sz w:val="20"/>
                <w:szCs w:val="20"/>
                <w:lang w:val="de-DE"/>
              </w:rPr>
            </w:pPr>
          </w:p>
        </w:tc>
        <w:tc>
          <w:tcPr>
            <w:tcW w:w="1436" w:type="dxa"/>
            <w:vMerge/>
            <w:vAlign w:val="center"/>
            <w:hideMark/>
          </w:tcPr>
          <w:p w14:paraId="302CD8A8" w14:textId="77777777" w:rsidR="0057163C" w:rsidRPr="00170422" w:rsidRDefault="0057163C">
            <w:pPr>
              <w:jc w:val="center"/>
              <w:rPr>
                <w:rFonts w:ascii="Arial Narrow" w:hAnsi="Arial Narrow"/>
                <w:b/>
                <w:bCs/>
                <w:noProof/>
                <w:sz w:val="20"/>
                <w:szCs w:val="20"/>
                <w:lang w:val="de-DE"/>
              </w:rPr>
            </w:pPr>
          </w:p>
        </w:tc>
        <w:tc>
          <w:tcPr>
            <w:tcW w:w="1637" w:type="dxa"/>
            <w:vMerge/>
            <w:vAlign w:val="center"/>
            <w:hideMark/>
          </w:tcPr>
          <w:p w14:paraId="43807668" w14:textId="77777777" w:rsidR="0057163C" w:rsidRPr="00170422" w:rsidRDefault="0057163C">
            <w:pPr>
              <w:jc w:val="center"/>
              <w:rPr>
                <w:rFonts w:ascii="Arial Narrow" w:hAnsi="Arial Narrow"/>
                <w:b/>
                <w:bCs/>
                <w:noProof/>
                <w:sz w:val="20"/>
                <w:szCs w:val="20"/>
                <w:lang w:val="de-DE"/>
              </w:rPr>
            </w:pPr>
          </w:p>
        </w:tc>
        <w:tc>
          <w:tcPr>
            <w:tcW w:w="1701" w:type="dxa"/>
            <w:vMerge/>
            <w:vAlign w:val="center"/>
            <w:hideMark/>
          </w:tcPr>
          <w:p w14:paraId="324B484D" w14:textId="77777777" w:rsidR="0057163C" w:rsidRPr="00170422" w:rsidRDefault="0057163C">
            <w:pPr>
              <w:jc w:val="center"/>
              <w:rPr>
                <w:rFonts w:ascii="Arial Narrow" w:hAnsi="Arial Narrow"/>
                <w:b/>
                <w:bCs/>
                <w:noProof/>
                <w:sz w:val="20"/>
                <w:szCs w:val="20"/>
                <w:lang w:val="de-DE"/>
              </w:rPr>
            </w:pPr>
          </w:p>
        </w:tc>
        <w:tc>
          <w:tcPr>
            <w:tcW w:w="1134" w:type="dxa"/>
            <w:shd w:val="clear" w:color="auto" w:fill="BDD7EE"/>
            <w:vAlign w:val="center"/>
            <w:hideMark/>
          </w:tcPr>
          <w:p w14:paraId="0D21879E" w14:textId="77777777" w:rsidR="0057163C" w:rsidRPr="00170422" w:rsidRDefault="00F37BF9">
            <w:pPr>
              <w:pStyle w:val="P68B1DB1-Normal10"/>
              <w:jc w:val="center"/>
              <w:rPr>
                <w:noProof/>
                <w:szCs w:val="20"/>
                <w:lang w:val="de-DE"/>
              </w:rPr>
            </w:pPr>
            <w:r w:rsidRPr="00170422">
              <w:rPr>
                <w:noProof/>
                <w:lang w:val="de-DE"/>
              </w:rPr>
              <w:t>Maßeinheit</w:t>
            </w:r>
          </w:p>
        </w:tc>
        <w:tc>
          <w:tcPr>
            <w:tcW w:w="1418" w:type="dxa"/>
            <w:shd w:val="clear" w:color="auto" w:fill="BDD7EE"/>
            <w:vAlign w:val="center"/>
            <w:hideMark/>
          </w:tcPr>
          <w:p w14:paraId="5A5C837A" w14:textId="77777777" w:rsidR="0057163C" w:rsidRPr="00170422" w:rsidRDefault="00F37BF9">
            <w:pPr>
              <w:pStyle w:val="P68B1DB1-Normal10"/>
              <w:jc w:val="center"/>
              <w:rPr>
                <w:noProof/>
                <w:szCs w:val="20"/>
                <w:lang w:val="de-DE"/>
              </w:rPr>
            </w:pPr>
            <w:r w:rsidRPr="00170422">
              <w:rPr>
                <w:noProof/>
                <w:lang w:val="de-DE"/>
              </w:rPr>
              <w:t>Ausgangslage</w:t>
            </w:r>
          </w:p>
        </w:tc>
        <w:tc>
          <w:tcPr>
            <w:tcW w:w="709" w:type="dxa"/>
            <w:shd w:val="clear" w:color="auto" w:fill="BDD7EE"/>
            <w:vAlign w:val="center"/>
            <w:hideMark/>
          </w:tcPr>
          <w:p w14:paraId="2A2CB950" w14:textId="77777777" w:rsidR="0057163C" w:rsidRPr="00170422" w:rsidRDefault="00F37BF9">
            <w:pPr>
              <w:pStyle w:val="P68B1DB1-Normal10"/>
              <w:jc w:val="center"/>
              <w:rPr>
                <w:noProof/>
                <w:szCs w:val="20"/>
                <w:lang w:val="de-DE"/>
              </w:rPr>
            </w:pPr>
            <w:r w:rsidRPr="00170422">
              <w:rPr>
                <w:noProof/>
                <w:lang w:val="de-DE"/>
              </w:rPr>
              <w:t>Ziel</w:t>
            </w:r>
          </w:p>
        </w:tc>
        <w:tc>
          <w:tcPr>
            <w:tcW w:w="801" w:type="dxa"/>
            <w:shd w:val="clear" w:color="auto" w:fill="BDD7EE"/>
            <w:vAlign w:val="center"/>
            <w:hideMark/>
          </w:tcPr>
          <w:p w14:paraId="10CDEB50" w14:textId="77777777" w:rsidR="0057163C" w:rsidRPr="00170422" w:rsidRDefault="00F37BF9">
            <w:pPr>
              <w:pStyle w:val="P68B1DB1-Normal10"/>
              <w:jc w:val="center"/>
              <w:rPr>
                <w:noProof/>
                <w:szCs w:val="20"/>
                <w:lang w:val="de-DE"/>
              </w:rPr>
            </w:pPr>
            <w:r w:rsidRPr="00170422">
              <w:rPr>
                <w:noProof/>
                <w:lang w:val="de-DE"/>
              </w:rPr>
              <w:t>Viertel</w:t>
            </w:r>
          </w:p>
        </w:tc>
        <w:tc>
          <w:tcPr>
            <w:tcW w:w="758" w:type="dxa"/>
            <w:shd w:val="clear" w:color="auto" w:fill="BDD7EE"/>
            <w:vAlign w:val="center"/>
            <w:hideMark/>
          </w:tcPr>
          <w:p w14:paraId="46C906D9" w14:textId="77777777" w:rsidR="0057163C" w:rsidRPr="00170422" w:rsidRDefault="00F37BF9">
            <w:pPr>
              <w:pStyle w:val="P68B1DB1-Normal10"/>
              <w:jc w:val="center"/>
              <w:rPr>
                <w:noProof/>
                <w:szCs w:val="20"/>
                <w:lang w:val="de-DE"/>
              </w:rPr>
            </w:pPr>
            <w:r w:rsidRPr="00170422">
              <w:rPr>
                <w:noProof/>
                <w:lang w:val="de-DE"/>
              </w:rPr>
              <w:t>Jahre</w:t>
            </w:r>
          </w:p>
        </w:tc>
        <w:tc>
          <w:tcPr>
            <w:tcW w:w="2576" w:type="dxa"/>
            <w:vMerge/>
            <w:vAlign w:val="center"/>
            <w:hideMark/>
          </w:tcPr>
          <w:p w14:paraId="291881CF" w14:textId="77777777" w:rsidR="0057163C" w:rsidRPr="00170422" w:rsidRDefault="0057163C">
            <w:pPr>
              <w:rPr>
                <w:rFonts w:ascii="Arial Narrow" w:hAnsi="Arial Narrow"/>
                <w:b/>
                <w:bCs/>
                <w:noProof/>
                <w:sz w:val="20"/>
                <w:szCs w:val="20"/>
                <w:lang w:val="de-DE"/>
              </w:rPr>
            </w:pPr>
          </w:p>
        </w:tc>
      </w:tr>
      <w:tr w:rsidR="0057163C" w:rsidRPr="00170422" w14:paraId="7AE8F155" w14:textId="77777777" w:rsidTr="00924983">
        <w:trPr>
          <w:trHeight w:val="309"/>
          <w:jc w:val="center"/>
        </w:trPr>
        <w:tc>
          <w:tcPr>
            <w:tcW w:w="1039" w:type="dxa"/>
            <w:shd w:val="clear" w:color="auto" w:fill="C6EFCE"/>
            <w:noWrap/>
            <w:vAlign w:val="center"/>
            <w:hideMark/>
          </w:tcPr>
          <w:p w14:paraId="146801C7" w14:textId="77777777" w:rsidR="0057163C" w:rsidRPr="00170422" w:rsidRDefault="00F37BF9">
            <w:pPr>
              <w:pStyle w:val="P68B1DB1-Normal11"/>
              <w:jc w:val="center"/>
              <w:rPr>
                <w:noProof/>
                <w:szCs w:val="20"/>
                <w:lang w:val="de-DE"/>
              </w:rPr>
            </w:pPr>
            <w:r w:rsidRPr="00170422">
              <w:rPr>
                <w:noProof/>
                <w:lang w:val="de-DE"/>
              </w:rPr>
              <w:t>M3C2-1</w:t>
            </w:r>
          </w:p>
        </w:tc>
        <w:tc>
          <w:tcPr>
            <w:tcW w:w="1754" w:type="dxa"/>
            <w:shd w:val="clear" w:color="auto" w:fill="C6EFCE"/>
            <w:noWrap/>
            <w:vAlign w:val="center"/>
          </w:tcPr>
          <w:p w14:paraId="7518ED8E" w14:textId="77777777" w:rsidR="0057163C" w:rsidRPr="00170422" w:rsidRDefault="00F37BF9">
            <w:pPr>
              <w:pStyle w:val="P68B1DB1-Normal11"/>
              <w:spacing w:line="257" w:lineRule="auto"/>
              <w:jc w:val="center"/>
              <w:rPr>
                <w:noProof/>
                <w:szCs w:val="20"/>
                <w:lang w:val="de-DE"/>
              </w:rPr>
            </w:pPr>
            <w:r w:rsidRPr="00170422">
              <w:rPr>
                <w:noProof/>
                <w:lang w:val="de-DE"/>
              </w:rPr>
              <w:t>Reform 1.1 – Vereinfachung der Verfahren für die strategische Planung</w:t>
            </w:r>
          </w:p>
        </w:tc>
        <w:tc>
          <w:tcPr>
            <w:tcW w:w="1436" w:type="dxa"/>
            <w:shd w:val="clear" w:color="auto" w:fill="C6EFCE"/>
            <w:noWrap/>
            <w:vAlign w:val="center"/>
          </w:tcPr>
          <w:p w14:paraId="585E5E9D" w14:textId="77777777" w:rsidR="0057163C" w:rsidRPr="00170422" w:rsidRDefault="00F37BF9">
            <w:pPr>
              <w:pStyle w:val="P68B1DB1-Normal11"/>
              <w:jc w:val="center"/>
              <w:rPr>
                <w:noProof/>
                <w:szCs w:val="20"/>
                <w:lang w:val="de-DE"/>
              </w:rPr>
            </w:pPr>
            <w:r w:rsidRPr="00170422">
              <w:rPr>
                <w:noProof/>
                <w:lang w:val="de-DE"/>
              </w:rPr>
              <w:t>Meilenstein</w:t>
            </w:r>
          </w:p>
        </w:tc>
        <w:tc>
          <w:tcPr>
            <w:tcW w:w="1637" w:type="dxa"/>
            <w:shd w:val="clear" w:color="auto" w:fill="C6EFCE"/>
            <w:noWrap/>
            <w:vAlign w:val="center"/>
          </w:tcPr>
          <w:p w14:paraId="37609AF5" w14:textId="77777777" w:rsidR="0057163C" w:rsidRPr="00170422" w:rsidRDefault="00F37BF9">
            <w:pPr>
              <w:pStyle w:val="P68B1DB1-Normal11"/>
              <w:jc w:val="center"/>
              <w:rPr>
                <w:noProof/>
                <w:szCs w:val="20"/>
                <w:lang w:val="de-DE"/>
              </w:rPr>
            </w:pPr>
            <w:r w:rsidRPr="00170422">
              <w:rPr>
                <w:noProof/>
                <w:lang w:val="de-DE"/>
              </w:rPr>
              <w:t xml:space="preserve">Inkrafttreten von Gesetzesänderungen im Zusammenhang mit der </w:t>
            </w:r>
            <w:r w:rsidRPr="00170422">
              <w:rPr>
                <w:noProof/>
                <w:lang w:val="de-DE"/>
              </w:rPr>
              <w:t>Vereinfachung der Verfahren für die strategische Planung</w:t>
            </w:r>
          </w:p>
        </w:tc>
        <w:tc>
          <w:tcPr>
            <w:tcW w:w="1701" w:type="dxa"/>
            <w:shd w:val="clear" w:color="auto" w:fill="C6EFCE"/>
            <w:noWrap/>
            <w:vAlign w:val="center"/>
          </w:tcPr>
          <w:p w14:paraId="10256E64" w14:textId="3ED94AF2" w:rsidR="0057163C" w:rsidRPr="00170422" w:rsidRDefault="00F37BF9">
            <w:pPr>
              <w:pStyle w:val="P68B1DB1-Normal11"/>
              <w:jc w:val="center"/>
              <w:rPr>
                <w:noProof/>
                <w:szCs w:val="20"/>
                <w:lang w:val="de-DE"/>
              </w:rPr>
            </w:pPr>
            <w:r w:rsidRPr="00170422">
              <w:rPr>
                <w:noProof/>
                <w:lang w:val="de-DE"/>
              </w:rPr>
              <w:t>Bestimmung in dem (den) Rechtsakt(en) über das Inkrafttreten der legislativen Änderungen im Zusammenhang mit der Vereinfachung der Verfahren für die strategische Planung</w:t>
            </w:r>
          </w:p>
        </w:tc>
        <w:tc>
          <w:tcPr>
            <w:tcW w:w="1134" w:type="dxa"/>
            <w:shd w:val="clear" w:color="auto" w:fill="C6EFCE"/>
            <w:noWrap/>
            <w:vAlign w:val="center"/>
          </w:tcPr>
          <w:p w14:paraId="0708AD73"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72F2D450"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shd w:val="clear" w:color="auto" w:fill="C6EFCE"/>
            <w:noWrap/>
            <w:vAlign w:val="center"/>
          </w:tcPr>
          <w:p w14:paraId="68C80276" w14:textId="77777777" w:rsidR="0057163C" w:rsidRPr="00170422" w:rsidRDefault="00F37BF9">
            <w:pPr>
              <w:pStyle w:val="P68B1DB1-Normal11"/>
              <w:jc w:val="center"/>
              <w:rPr>
                <w:noProof/>
                <w:szCs w:val="20"/>
                <w:lang w:val="de-DE"/>
              </w:rPr>
            </w:pPr>
            <w:r w:rsidRPr="00170422">
              <w:rPr>
                <w:noProof/>
                <w:lang w:val="de-DE"/>
              </w:rPr>
              <w:t>ENTFÄLLT.</w:t>
            </w:r>
          </w:p>
        </w:tc>
        <w:tc>
          <w:tcPr>
            <w:tcW w:w="801" w:type="dxa"/>
            <w:shd w:val="clear" w:color="auto" w:fill="C6EFCE"/>
            <w:noWrap/>
            <w:vAlign w:val="center"/>
          </w:tcPr>
          <w:p w14:paraId="5C135D61" w14:textId="77777777" w:rsidR="0057163C" w:rsidRPr="00170422" w:rsidRDefault="00F37BF9">
            <w:pPr>
              <w:pStyle w:val="P68B1DB1-Normal11"/>
              <w:jc w:val="center"/>
              <w:rPr>
                <w:noProof/>
                <w:szCs w:val="20"/>
                <w:lang w:val="de-DE"/>
              </w:rPr>
            </w:pPr>
            <w:r w:rsidRPr="00170422">
              <w:rPr>
                <w:noProof/>
                <w:lang w:val="de-DE"/>
              </w:rPr>
              <w:t>4. QUARTAL</w:t>
            </w:r>
          </w:p>
        </w:tc>
        <w:tc>
          <w:tcPr>
            <w:tcW w:w="758" w:type="dxa"/>
            <w:shd w:val="clear" w:color="auto" w:fill="C6EFCE"/>
            <w:noWrap/>
            <w:vAlign w:val="center"/>
          </w:tcPr>
          <w:p w14:paraId="6DF23D62" w14:textId="77777777" w:rsidR="0057163C" w:rsidRPr="00170422" w:rsidRDefault="00F37BF9">
            <w:pPr>
              <w:pStyle w:val="P68B1DB1-Normal11"/>
              <w:jc w:val="center"/>
              <w:rPr>
                <w:noProof/>
                <w:szCs w:val="20"/>
                <w:lang w:val="de-DE"/>
              </w:rPr>
            </w:pPr>
            <w:r w:rsidRPr="00170422">
              <w:rPr>
                <w:noProof/>
                <w:lang w:val="de-DE"/>
              </w:rPr>
              <w:t>2022</w:t>
            </w:r>
          </w:p>
        </w:tc>
        <w:tc>
          <w:tcPr>
            <w:tcW w:w="2576" w:type="dxa"/>
            <w:shd w:val="clear" w:color="auto" w:fill="C6EFCE"/>
            <w:noWrap/>
            <w:vAlign w:val="center"/>
          </w:tcPr>
          <w:p w14:paraId="0129CF11" w14:textId="77777777" w:rsidR="0057163C" w:rsidRPr="00170422" w:rsidRDefault="00F37BF9">
            <w:pPr>
              <w:pStyle w:val="P68B1DB1-Normal11"/>
              <w:rPr>
                <w:noProof/>
                <w:szCs w:val="20"/>
                <w:lang w:val="de-DE"/>
              </w:rPr>
            </w:pPr>
            <w:r w:rsidRPr="00170422">
              <w:rPr>
                <w:noProof/>
                <w:lang w:val="de-DE"/>
              </w:rPr>
              <w:t>Im überarbeiteten Rechtsrahmen wird Folgendes festgelegt:</w:t>
            </w:r>
          </w:p>
          <w:p w14:paraId="3BF97965" w14:textId="77777777" w:rsidR="0057163C" w:rsidRPr="00170422" w:rsidRDefault="00F37BF9">
            <w:pPr>
              <w:pStyle w:val="P68B1DB1-Normal11"/>
              <w:rPr>
                <w:noProof/>
                <w:szCs w:val="20"/>
                <w:lang w:val="de-DE"/>
              </w:rPr>
            </w:pPr>
            <w:r w:rsidRPr="00170422">
              <w:rPr>
                <w:noProof/>
                <w:lang w:val="de-DE"/>
              </w:rPr>
              <w:t>— Alle Hafenbehörden verabschieden ihre strategischen Systemplanungsdokumente (DPSS) und ihre Hafenregulierungspläne (PRP), wobei sie der Reform der italienischen Hafensysteme von 2</w:t>
            </w:r>
            <w:r w:rsidRPr="00170422">
              <w:rPr>
                <w:noProof/>
                <w:lang w:val="de-DE"/>
              </w:rPr>
              <w:t>016, die mit dem Gesetzesdekret Nr. 169 vom 4. August 2016 genehmigt wurde, in vollem Umfang Rechnung tragen.</w:t>
            </w:r>
          </w:p>
          <w:p w14:paraId="6CB2F6B3" w14:textId="77777777" w:rsidR="0057163C" w:rsidRPr="00170422" w:rsidRDefault="00F37BF9">
            <w:pPr>
              <w:pStyle w:val="P68B1DB1-Normal11"/>
              <w:rPr>
                <w:noProof/>
                <w:szCs w:val="20"/>
                <w:lang w:val="de-DE"/>
              </w:rPr>
            </w:pPr>
            <w:r w:rsidRPr="00170422">
              <w:rPr>
                <w:noProof/>
                <w:lang w:val="de-DE"/>
              </w:rPr>
              <w:t>Das DPSS regelt mindestens folgende Elemente:</w:t>
            </w:r>
          </w:p>
          <w:p w14:paraId="28AF229F" w14:textId="311CFF9B" w:rsidR="0057163C" w:rsidRPr="00170422" w:rsidRDefault="00F37BF9">
            <w:pPr>
              <w:pStyle w:val="P68B1DB1-Normal11"/>
              <w:rPr>
                <w:noProof/>
                <w:szCs w:val="20"/>
                <w:lang w:val="de-DE"/>
              </w:rPr>
            </w:pPr>
            <w:r w:rsidRPr="00170422">
              <w:rPr>
                <w:noProof/>
                <w:lang w:val="de-DE"/>
              </w:rPr>
              <w:t>—Die Entwicklung der Ziele der Hafensystembehörden;</w:t>
            </w:r>
          </w:p>
          <w:p w14:paraId="61CFEF52" w14:textId="77777777" w:rsidR="0057163C" w:rsidRPr="00170422" w:rsidRDefault="00F37BF9">
            <w:pPr>
              <w:pStyle w:val="P68B1DB1-Normal11"/>
              <w:rPr>
                <w:noProof/>
                <w:szCs w:val="20"/>
                <w:lang w:val="de-DE"/>
              </w:rPr>
            </w:pPr>
            <w:r w:rsidRPr="00170422">
              <w:rPr>
                <w:noProof/>
                <w:lang w:val="de-DE"/>
              </w:rPr>
              <w:t>—Die festgelegten und umrissenen Bereiche, die a</w:t>
            </w:r>
            <w:r w:rsidRPr="00170422">
              <w:rPr>
                <w:noProof/>
                <w:lang w:val="de-DE"/>
              </w:rPr>
              <w:t>usschließlich für Hafen- und Hinterhafenfunktionen bestimmt sind,</w:t>
            </w:r>
          </w:p>
          <w:p w14:paraId="011D1A86" w14:textId="77777777" w:rsidR="0057163C" w:rsidRPr="00170422" w:rsidRDefault="00F37BF9">
            <w:pPr>
              <w:pStyle w:val="P68B1DB1-Normal11"/>
              <w:rPr>
                <w:noProof/>
                <w:szCs w:val="20"/>
                <w:lang w:val="de-DE"/>
              </w:rPr>
            </w:pPr>
            <w:r w:rsidRPr="00170422">
              <w:rPr>
                <w:noProof/>
                <w:lang w:val="de-DE"/>
              </w:rPr>
              <w:t>—Die letzten infrastrukturellen Verbindungen von Straße und Schiene zu Häfen,</w:t>
            </w:r>
          </w:p>
          <w:p w14:paraId="548F3236" w14:textId="77777777" w:rsidR="0057163C" w:rsidRPr="00170422" w:rsidRDefault="00F37BF9">
            <w:pPr>
              <w:pStyle w:val="P68B1DB1-Normal11"/>
              <w:rPr>
                <w:noProof/>
                <w:szCs w:val="20"/>
                <w:lang w:val="de-DE"/>
              </w:rPr>
            </w:pPr>
            <w:r w:rsidRPr="00170422">
              <w:rPr>
                <w:noProof/>
                <w:lang w:val="de-DE"/>
              </w:rPr>
              <w:t>—Die Kriterien für die Bestimmung des Inhalts der Planung,</w:t>
            </w:r>
          </w:p>
          <w:p w14:paraId="14862FEA" w14:textId="77777777" w:rsidR="0057163C" w:rsidRPr="00170422" w:rsidRDefault="00F37BF9">
            <w:pPr>
              <w:pStyle w:val="P68B1DB1-Normal11"/>
              <w:rPr>
                <w:noProof/>
                <w:szCs w:val="20"/>
                <w:lang w:val="de-DE"/>
              </w:rPr>
            </w:pPr>
            <w:r w:rsidRPr="00170422">
              <w:rPr>
                <w:noProof/>
                <w:lang w:val="de-DE"/>
              </w:rPr>
              <w:t>—Die Leitlinien, die Regeln und die Verfahren für die</w:t>
            </w:r>
            <w:r w:rsidRPr="00170422">
              <w:rPr>
                <w:noProof/>
                <w:lang w:val="de-DE"/>
              </w:rPr>
              <w:t xml:space="preserve"> Ausarbeitung der Hafenregulierungspläne eindeutig zu identifizieren.</w:t>
            </w:r>
          </w:p>
        </w:tc>
      </w:tr>
      <w:tr w:rsidR="0057163C" w:rsidRPr="00170422" w14:paraId="20F02216" w14:textId="77777777" w:rsidTr="00924983">
        <w:trPr>
          <w:trHeight w:val="309"/>
          <w:jc w:val="center"/>
        </w:trPr>
        <w:tc>
          <w:tcPr>
            <w:tcW w:w="1039" w:type="dxa"/>
            <w:shd w:val="clear" w:color="auto" w:fill="C6EFCE"/>
            <w:noWrap/>
            <w:vAlign w:val="center"/>
          </w:tcPr>
          <w:p w14:paraId="557F351A" w14:textId="77777777" w:rsidR="0057163C" w:rsidRPr="00170422" w:rsidRDefault="00F37BF9">
            <w:pPr>
              <w:pStyle w:val="P68B1DB1-Normal11"/>
              <w:jc w:val="center"/>
              <w:rPr>
                <w:noProof/>
                <w:szCs w:val="20"/>
                <w:lang w:val="de-DE"/>
              </w:rPr>
            </w:pPr>
            <w:r w:rsidRPr="00170422">
              <w:rPr>
                <w:noProof/>
                <w:lang w:val="de-DE"/>
              </w:rPr>
              <w:t>M3C2-2</w:t>
            </w:r>
          </w:p>
        </w:tc>
        <w:tc>
          <w:tcPr>
            <w:tcW w:w="1754" w:type="dxa"/>
            <w:shd w:val="clear" w:color="auto" w:fill="C6EFCE"/>
            <w:noWrap/>
            <w:vAlign w:val="center"/>
          </w:tcPr>
          <w:p w14:paraId="0C24FD97" w14:textId="77777777" w:rsidR="0057163C" w:rsidRPr="00170422" w:rsidRDefault="00F37BF9">
            <w:pPr>
              <w:pStyle w:val="P68B1DB1-Normal11"/>
              <w:jc w:val="center"/>
              <w:rPr>
                <w:noProof/>
                <w:szCs w:val="20"/>
                <w:lang w:val="de-DE"/>
              </w:rPr>
            </w:pPr>
            <w:r w:rsidRPr="00170422">
              <w:rPr>
                <w:noProof/>
                <w:lang w:val="de-DE"/>
              </w:rPr>
              <w:t>Reform 1.2 – Wettbewerbsorientierte Konzessionsvergabe in italienischen Häfen</w:t>
            </w:r>
          </w:p>
        </w:tc>
        <w:tc>
          <w:tcPr>
            <w:tcW w:w="1436" w:type="dxa"/>
            <w:shd w:val="clear" w:color="auto" w:fill="C6EFCE"/>
            <w:noWrap/>
            <w:vAlign w:val="center"/>
          </w:tcPr>
          <w:p w14:paraId="022146DA" w14:textId="77777777" w:rsidR="0057163C" w:rsidRPr="00170422" w:rsidRDefault="00F37BF9">
            <w:pPr>
              <w:pStyle w:val="P68B1DB1-Normal11"/>
              <w:jc w:val="center"/>
              <w:rPr>
                <w:noProof/>
                <w:szCs w:val="20"/>
                <w:lang w:val="de-DE"/>
              </w:rPr>
            </w:pPr>
            <w:r w:rsidRPr="00170422">
              <w:rPr>
                <w:noProof/>
                <w:lang w:val="de-DE"/>
              </w:rPr>
              <w:t>Meilenstein</w:t>
            </w:r>
          </w:p>
        </w:tc>
        <w:tc>
          <w:tcPr>
            <w:tcW w:w="1637" w:type="dxa"/>
            <w:shd w:val="clear" w:color="auto" w:fill="C6EFCE"/>
            <w:noWrap/>
            <w:vAlign w:val="center"/>
          </w:tcPr>
          <w:p w14:paraId="51A7C720" w14:textId="77777777" w:rsidR="0057163C" w:rsidRPr="00170422" w:rsidRDefault="00F37BF9">
            <w:pPr>
              <w:pStyle w:val="P68B1DB1-Normal11"/>
              <w:jc w:val="center"/>
              <w:rPr>
                <w:noProof/>
                <w:szCs w:val="20"/>
                <w:lang w:val="de-DE"/>
              </w:rPr>
            </w:pPr>
            <w:r w:rsidRPr="00170422">
              <w:rPr>
                <w:noProof/>
                <w:lang w:val="de-DE"/>
              </w:rPr>
              <w:t>Inkrafttreten der Verordnung über Hafenkonzessionen</w:t>
            </w:r>
          </w:p>
        </w:tc>
        <w:tc>
          <w:tcPr>
            <w:tcW w:w="1701" w:type="dxa"/>
            <w:shd w:val="clear" w:color="auto" w:fill="C6EFCE"/>
            <w:noWrap/>
            <w:vAlign w:val="center"/>
          </w:tcPr>
          <w:p w14:paraId="2C8EFDBB" w14:textId="77777777" w:rsidR="0057163C" w:rsidRPr="00170422" w:rsidRDefault="00F37BF9">
            <w:pPr>
              <w:pStyle w:val="P68B1DB1-Normal11"/>
              <w:jc w:val="center"/>
              <w:rPr>
                <w:noProof/>
                <w:szCs w:val="20"/>
                <w:lang w:val="de-DE"/>
              </w:rPr>
            </w:pPr>
            <w:r w:rsidRPr="00170422">
              <w:rPr>
                <w:noProof/>
                <w:lang w:val="de-DE"/>
              </w:rPr>
              <w:t xml:space="preserve">Bestimmung in der Verordnung über </w:t>
            </w:r>
            <w:r w:rsidRPr="00170422">
              <w:rPr>
                <w:noProof/>
                <w:lang w:val="de-DE"/>
              </w:rPr>
              <w:t>das Inkrafttreten der Verordnung über Hafenkonzessionen</w:t>
            </w:r>
          </w:p>
        </w:tc>
        <w:tc>
          <w:tcPr>
            <w:tcW w:w="1134" w:type="dxa"/>
            <w:shd w:val="clear" w:color="auto" w:fill="C6EFCE"/>
            <w:noWrap/>
            <w:vAlign w:val="center"/>
          </w:tcPr>
          <w:p w14:paraId="04A8B705"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5781E440"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shd w:val="clear" w:color="auto" w:fill="C6EFCE"/>
            <w:noWrap/>
            <w:vAlign w:val="center"/>
          </w:tcPr>
          <w:p w14:paraId="2D1E5640" w14:textId="77777777" w:rsidR="0057163C" w:rsidRPr="00170422" w:rsidRDefault="00F37BF9">
            <w:pPr>
              <w:pStyle w:val="P68B1DB1-Normal11"/>
              <w:jc w:val="center"/>
              <w:rPr>
                <w:noProof/>
                <w:szCs w:val="20"/>
                <w:lang w:val="de-DE"/>
              </w:rPr>
            </w:pPr>
            <w:r w:rsidRPr="00170422">
              <w:rPr>
                <w:noProof/>
                <w:lang w:val="de-DE"/>
              </w:rPr>
              <w:t>ENTFÄLLT.</w:t>
            </w:r>
          </w:p>
        </w:tc>
        <w:tc>
          <w:tcPr>
            <w:tcW w:w="801" w:type="dxa"/>
            <w:shd w:val="clear" w:color="auto" w:fill="C6EFCE"/>
            <w:noWrap/>
            <w:vAlign w:val="center"/>
          </w:tcPr>
          <w:p w14:paraId="7FDF9768" w14:textId="77777777" w:rsidR="0057163C" w:rsidRPr="00170422" w:rsidRDefault="00F37BF9">
            <w:pPr>
              <w:pStyle w:val="P68B1DB1-Normal11"/>
              <w:jc w:val="center"/>
              <w:rPr>
                <w:noProof/>
                <w:szCs w:val="20"/>
                <w:lang w:val="de-DE"/>
              </w:rPr>
            </w:pPr>
            <w:r w:rsidRPr="00170422">
              <w:rPr>
                <w:noProof/>
                <w:lang w:val="de-DE"/>
              </w:rPr>
              <w:t>4. QUARTAL</w:t>
            </w:r>
          </w:p>
        </w:tc>
        <w:tc>
          <w:tcPr>
            <w:tcW w:w="758" w:type="dxa"/>
            <w:shd w:val="clear" w:color="auto" w:fill="C6EFCE"/>
            <w:noWrap/>
            <w:vAlign w:val="center"/>
          </w:tcPr>
          <w:p w14:paraId="3FC07FE5" w14:textId="77777777" w:rsidR="0057163C" w:rsidRPr="00170422" w:rsidRDefault="00F37BF9">
            <w:pPr>
              <w:pStyle w:val="P68B1DB1-Normal11"/>
              <w:jc w:val="center"/>
              <w:rPr>
                <w:noProof/>
                <w:szCs w:val="20"/>
                <w:lang w:val="de-DE"/>
              </w:rPr>
            </w:pPr>
            <w:r w:rsidRPr="00170422">
              <w:rPr>
                <w:noProof/>
                <w:lang w:val="de-DE"/>
              </w:rPr>
              <w:t>2022</w:t>
            </w:r>
          </w:p>
        </w:tc>
        <w:tc>
          <w:tcPr>
            <w:tcW w:w="2576" w:type="dxa"/>
            <w:shd w:val="clear" w:color="auto" w:fill="C6EFCE"/>
            <w:noWrap/>
            <w:vAlign w:val="center"/>
          </w:tcPr>
          <w:p w14:paraId="56F74BA2" w14:textId="77777777" w:rsidR="0057163C" w:rsidRPr="00170422" w:rsidRDefault="00F37BF9">
            <w:pPr>
              <w:pStyle w:val="P68B1DB1-Normal11"/>
              <w:rPr>
                <w:noProof/>
                <w:szCs w:val="20"/>
                <w:lang w:val="de-DE"/>
              </w:rPr>
            </w:pPr>
            <w:r w:rsidRPr="00170422">
              <w:rPr>
                <w:noProof/>
                <w:lang w:val="de-DE"/>
              </w:rPr>
              <w:t>In der neuen Verordnung werden die Rahmenbedingungen für die Vergabe von Konzessionen in Häfen festgelegt. In der Verordnung wird mindestens Folgendes fes</w:t>
            </w:r>
            <w:r w:rsidRPr="00170422">
              <w:rPr>
                <w:noProof/>
                <w:lang w:val="de-DE"/>
              </w:rPr>
              <w:t>tgelegt:</w:t>
            </w:r>
          </w:p>
          <w:p w14:paraId="681D5EB7" w14:textId="77777777" w:rsidR="0057163C" w:rsidRPr="00170422" w:rsidRDefault="00F37BF9">
            <w:pPr>
              <w:pStyle w:val="P68B1DB1-Normal11"/>
              <w:rPr>
                <w:noProof/>
                <w:szCs w:val="20"/>
                <w:lang w:val="de-DE"/>
              </w:rPr>
            </w:pPr>
            <w:r w:rsidRPr="00170422">
              <w:rPr>
                <w:noProof/>
                <w:lang w:val="de-DE"/>
              </w:rPr>
              <w:t>—Die Bedingungen in Bezug auf die Laufzeit der Konzession;</w:t>
            </w:r>
          </w:p>
          <w:p w14:paraId="49C77CA7" w14:textId="77777777" w:rsidR="0057163C" w:rsidRPr="00170422" w:rsidRDefault="00F37BF9">
            <w:pPr>
              <w:pStyle w:val="P68B1DB1-Normal11"/>
              <w:rPr>
                <w:noProof/>
                <w:szCs w:val="20"/>
                <w:lang w:val="de-DE"/>
              </w:rPr>
            </w:pPr>
            <w:r w:rsidRPr="00170422">
              <w:rPr>
                <w:noProof/>
                <w:lang w:val="de-DE"/>
              </w:rPr>
              <w:t>—Die Überwachungs- und Kontrollbefugnisse der Bewilligungsbehörden;</w:t>
            </w:r>
          </w:p>
          <w:p w14:paraId="0505FB46" w14:textId="77777777" w:rsidR="0057163C" w:rsidRPr="00170422" w:rsidRDefault="00F37BF9">
            <w:pPr>
              <w:pStyle w:val="P68B1DB1-Normal11"/>
              <w:rPr>
                <w:noProof/>
                <w:szCs w:val="20"/>
                <w:lang w:val="de-DE"/>
              </w:rPr>
            </w:pPr>
            <w:r w:rsidRPr="00170422">
              <w:rPr>
                <w:noProof/>
                <w:lang w:val="de-DE"/>
              </w:rPr>
              <w:t>—Die Verfahren für die Erneuerung;</w:t>
            </w:r>
          </w:p>
          <w:p w14:paraId="51854F6C" w14:textId="77777777" w:rsidR="0057163C" w:rsidRPr="00170422" w:rsidRDefault="00F37BF9">
            <w:pPr>
              <w:pStyle w:val="P68B1DB1-Normal11"/>
              <w:rPr>
                <w:noProof/>
                <w:szCs w:val="20"/>
                <w:lang w:val="de-DE"/>
              </w:rPr>
            </w:pPr>
            <w:r w:rsidRPr="00170422">
              <w:rPr>
                <w:noProof/>
                <w:lang w:val="de-DE"/>
              </w:rPr>
              <w:t>—Die Übertragung der Anlagen an den neuen Konzessionär am Ende der Konzession;</w:t>
            </w:r>
          </w:p>
          <w:p w14:paraId="0244B569" w14:textId="77777777" w:rsidR="0057163C" w:rsidRPr="00170422" w:rsidRDefault="00F37BF9">
            <w:pPr>
              <w:pStyle w:val="P68B1DB1-Normal11"/>
              <w:rPr>
                <w:noProof/>
                <w:szCs w:val="20"/>
                <w:lang w:val="de-DE"/>
              </w:rPr>
            </w:pPr>
            <w:r w:rsidRPr="00170422">
              <w:rPr>
                <w:noProof/>
                <w:lang w:val="de-DE"/>
              </w:rPr>
              <w:t xml:space="preserve">Die </w:t>
            </w:r>
            <w:r w:rsidRPr="00170422">
              <w:rPr>
                <w:noProof/>
                <w:lang w:val="de-DE"/>
              </w:rPr>
              <w:t>von den Lizenznehmern zu entrichtenden Mindestgebühren werden begrenzt.</w:t>
            </w:r>
          </w:p>
        </w:tc>
      </w:tr>
      <w:tr w:rsidR="0057163C" w:rsidRPr="00170422" w14:paraId="15B2BA0F" w14:textId="77777777" w:rsidTr="00924983">
        <w:trPr>
          <w:trHeight w:val="309"/>
          <w:jc w:val="center"/>
        </w:trPr>
        <w:tc>
          <w:tcPr>
            <w:tcW w:w="1039" w:type="dxa"/>
            <w:shd w:val="clear" w:color="auto" w:fill="C6EFCE"/>
            <w:noWrap/>
            <w:vAlign w:val="center"/>
          </w:tcPr>
          <w:p w14:paraId="37586E87"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M3C2-3 </w:t>
            </w:r>
          </w:p>
        </w:tc>
        <w:tc>
          <w:tcPr>
            <w:tcW w:w="1754" w:type="dxa"/>
            <w:shd w:val="clear" w:color="auto" w:fill="C6EFCE"/>
            <w:noWrap/>
            <w:vAlign w:val="center"/>
          </w:tcPr>
          <w:p w14:paraId="5694F4ED" w14:textId="77777777" w:rsidR="0057163C" w:rsidRPr="00170422" w:rsidRDefault="00F37BF9">
            <w:pPr>
              <w:pStyle w:val="P68B1DB1-Normal11"/>
              <w:jc w:val="center"/>
              <w:rPr>
                <w:noProof/>
                <w:szCs w:val="20"/>
                <w:lang w:val="de-DE"/>
              </w:rPr>
            </w:pPr>
            <w:r w:rsidRPr="00170422">
              <w:rPr>
                <w:noProof/>
                <w:lang w:val="de-DE"/>
              </w:rPr>
              <w:t>Reform 2.1 – Einrichtung eines einzigen Zollportals („Sportello Unico Doganale“) </w:t>
            </w:r>
          </w:p>
        </w:tc>
        <w:tc>
          <w:tcPr>
            <w:tcW w:w="1436" w:type="dxa"/>
            <w:shd w:val="clear" w:color="auto" w:fill="C6EFCE"/>
            <w:noWrap/>
            <w:vAlign w:val="center"/>
          </w:tcPr>
          <w:p w14:paraId="2B8517AB" w14:textId="77777777" w:rsidR="0057163C" w:rsidRPr="00170422" w:rsidRDefault="00F37BF9">
            <w:pPr>
              <w:pStyle w:val="P68B1DB1-Normal11"/>
              <w:jc w:val="center"/>
              <w:rPr>
                <w:noProof/>
                <w:szCs w:val="20"/>
                <w:lang w:val="de-DE"/>
              </w:rPr>
            </w:pPr>
            <w:r w:rsidRPr="00170422">
              <w:rPr>
                <w:noProof/>
                <w:lang w:val="de-DE"/>
              </w:rPr>
              <w:t>Meilenstein </w:t>
            </w:r>
          </w:p>
        </w:tc>
        <w:tc>
          <w:tcPr>
            <w:tcW w:w="1637" w:type="dxa"/>
            <w:shd w:val="clear" w:color="auto" w:fill="C6EFCE"/>
            <w:noWrap/>
            <w:vAlign w:val="center"/>
          </w:tcPr>
          <w:p w14:paraId="2BE9C05B" w14:textId="77777777" w:rsidR="0057163C" w:rsidRPr="00170422" w:rsidRDefault="00F37BF9">
            <w:pPr>
              <w:pStyle w:val="P68B1DB1-paragraph89"/>
              <w:spacing w:before="0" w:beforeAutospacing="0" w:after="0" w:afterAutospacing="0"/>
              <w:jc w:val="center"/>
              <w:textAlignment w:val="baseline"/>
              <w:rPr>
                <w:noProof/>
                <w:szCs w:val="20"/>
                <w:lang w:val="de-DE"/>
              </w:rPr>
            </w:pPr>
            <w:r w:rsidRPr="00170422">
              <w:rPr>
                <w:noProof/>
                <w:lang w:val="de-DE"/>
              </w:rPr>
              <w:t xml:space="preserve">Inkrafttreten der Verordnung über den einheitlichen Zoll </w:t>
            </w:r>
          </w:p>
          <w:p w14:paraId="4185369B" w14:textId="77777777" w:rsidR="0057163C" w:rsidRPr="00170422" w:rsidRDefault="00F37BF9">
            <w:pPr>
              <w:pStyle w:val="P68B1DB1-Normal11"/>
              <w:jc w:val="center"/>
              <w:rPr>
                <w:noProof/>
                <w:szCs w:val="20"/>
                <w:lang w:val="de-DE"/>
              </w:rPr>
            </w:pPr>
            <w:r w:rsidRPr="00170422">
              <w:rPr>
                <w:noProof/>
                <w:lang w:val="de-DE"/>
              </w:rPr>
              <w:t xml:space="preserve">Schreibtisch </w:t>
            </w:r>
            <w:r w:rsidRPr="00170422">
              <w:rPr>
                <w:noProof/>
                <w:lang w:val="de-DE"/>
              </w:rPr>
              <w:t>(Sportello Unico Doganale) </w:t>
            </w:r>
          </w:p>
        </w:tc>
        <w:tc>
          <w:tcPr>
            <w:tcW w:w="1701" w:type="dxa"/>
            <w:shd w:val="clear" w:color="auto" w:fill="C6EFCE"/>
            <w:noWrap/>
            <w:vAlign w:val="center"/>
          </w:tcPr>
          <w:p w14:paraId="2E8CA017" w14:textId="77777777" w:rsidR="0057163C" w:rsidRPr="00170422" w:rsidRDefault="00F37BF9">
            <w:pPr>
              <w:pStyle w:val="P68B1DB1-Normal11"/>
              <w:jc w:val="center"/>
              <w:rPr>
                <w:noProof/>
                <w:szCs w:val="20"/>
                <w:lang w:val="de-DE"/>
              </w:rPr>
            </w:pPr>
            <w:r w:rsidRPr="00170422">
              <w:rPr>
                <w:noProof/>
                <w:lang w:val="de-DE"/>
              </w:rPr>
              <w:t>Bestimmung im Dekret über das Inkrafttreten des Dekrets über die zentrale Zollstelle (Sportello Unico Doganale) </w:t>
            </w:r>
          </w:p>
        </w:tc>
        <w:tc>
          <w:tcPr>
            <w:tcW w:w="1134" w:type="dxa"/>
            <w:shd w:val="clear" w:color="auto" w:fill="C6EFCE"/>
            <w:noWrap/>
            <w:vAlign w:val="center"/>
          </w:tcPr>
          <w:p w14:paraId="63E66CA4" w14:textId="77777777" w:rsidR="0057163C" w:rsidRPr="00170422" w:rsidRDefault="00F37BF9">
            <w:pPr>
              <w:pStyle w:val="P68B1DB1-Normal11"/>
              <w:jc w:val="center"/>
              <w:rPr>
                <w:noProof/>
                <w:lang w:val="de-DE"/>
              </w:rPr>
            </w:pPr>
            <w:r w:rsidRPr="00170422">
              <w:rPr>
                <w:noProof/>
                <w:lang w:val="de-DE"/>
              </w:rPr>
              <w:t>ENTFÄLLT. </w:t>
            </w:r>
          </w:p>
        </w:tc>
        <w:tc>
          <w:tcPr>
            <w:tcW w:w="1418" w:type="dxa"/>
            <w:shd w:val="clear" w:color="auto" w:fill="C6EFCE"/>
            <w:noWrap/>
            <w:vAlign w:val="center"/>
          </w:tcPr>
          <w:p w14:paraId="19E2CB10" w14:textId="77777777" w:rsidR="0057163C" w:rsidRPr="00170422" w:rsidRDefault="00F37BF9">
            <w:pPr>
              <w:pStyle w:val="P68B1DB1-Normal11"/>
              <w:jc w:val="center"/>
              <w:rPr>
                <w:noProof/>
                <w:lang w:val="de-DE"/>
              </w:rPr>
            </w:pPr>
            <w:r w:rsidRPr="00170422">
              <w:rPr>
                <w:noProof/>
                <w:lang w:val="de-DE"/>
              </w:rPr>
              <w:t>ENTFÄLLT. </w:t>
            </w:r>
          </w:p>
        </w:tc>
        <w:tc>
          <w:tcPr>
            <w:tcW w:w="709" w:type="dxa"/>
            <w:shd w:val="clear" w:color="auto" w:fill="C6EFCE"/>
            <w:noWrap/>
            <w:vAlign w:val="center"/>
          </w:tcPr>
          <w:p w14:paraId="2C94E57A" w14:textId="77777777" w:rsidR="0057163C" w:rsidRPr="00170422" w:rsidRDefault="00F37BF9">
            <w:pPr>
              <w:pStyle w:val="P68B1DB1-Normal11"/>
              <w:jc w:val="center"/>
              <w:rPr>
                <w:noProof/>
                <w:lang w:val="de-DE"/>
              </w:rPr>
            </w:pPr>
            <w:r w:rsidRPr="00170422">
              <w:rPr>
                <w:noProof/>
                <w:lang w:val="de-DE"/>
              </w:rPr>
              <w:t>ENTFÄLLT. </w:t>
            </w:r>
          </w:p>
        </w:tc>
        <w:tc>
          <w:tcPr>
            <w:tcW w:w="801" w:type="dxa"/>
            <w:shd w:val="clear" w:color="auto" w:fill="C6EFCE"/>
            <w:noWrap/>
            <w:vAlign w:val="center"/>
          </w:tcPr>
          <w:p w14:paraId="673449CB" w14:textId="77777777" w:rsidR="0057163C" w:rsidRPr="00170422" w:rsidRDefault="00F37BF9">
            <w:pPr>
              <w:pStyle w:val="P68B1DB1-Normal11"/>
              <w:jc w:val="center"/>
              <w:rPr>
                <w:noProof/>
                <w:lang w:val="de-DE"/>
              </w:rPr>
            </w:pPr>
            <w:r w:rsidRPr="00170422">
              <w:rPr>
                <w:noProof/>
                <w:lang w:val="de-DE"/>
              </w:rPr>
              <w:t>4. QUARTAL </w:t>
            </w:r>
          </w:p>
        </w:tc>
        <w:tc>
          <w:tcPr>
            <w:tcW w:w="758" w:type="dxa"/>
            <w:shd w:val="clear" w:color="auto" w:fill="C6EFCE"/>
            <w:noWrap/>
            <w:vAlign w:val="center"/>
          </w:tcPr>
          <w:p w14:paraId="5BFFCDBB" w14:textId="77777777" w:rsidR="0057163C" w:rsidRPr="00170422" w:rsidRDefault="00F37BF9">
            <w:pPr>
              <w:pStyle w:val="P68B1DB1-Normal11"/>
              <w:jc w:val="center"/>
              <w:rPr>
                <w:noProof/>
                <w:lang w:val="de-DE"/>
              </w:rPr>
            </w:pPr>
            <w:r w:rsidRPr="00170422">
              <w:rPr>
                <w:noProof/>
                <w:lang w:val="de-DE"/>
              </w:rPr>
              <w:t>2021 </w:t>
            </w:r>
          </w:p>
        </w:tc>
        <w:tc>
          <w:tcPr>
            <w:tcW w:w="2576" w:type="dxa"/>
            <w:shd w:val="clear" w:color="auto" w:fill="C6EFCE"/>
            <w:noWrap/>
            <w:vAlign w:val="center"/>
          </w:tcPr>
          <w:p w14:paraId="7F8468BB" w14:textId="77777777" w:rsidR="0057163C" w:rsidRPr="00170422" w:rsidRDefault="00F37BF9">
            <w:pPr>
              <w:pStyle w:val="P68B1DB1-Normal11"/>
              <w:rPr>
                <w:noProof/>
                <w:szCs w:val="20"/>
                <w:lang w:val="de-DE"/>
              </w:rPr>
            </w:pPr>
            <w:r w:rsidRPr="00170422">
              <w:rPr>
                <w:noProof/>
                <w:lang w:val="de-DE"/>
              </w:rPr>
              <w:t>In dem Erlass werden die Methoden und Spezifikationen der zentra</w:t>
            </w:r>
            <w:r w:rsidRPr="00170422">
              <w:rPr>
                <w:noProof/>
                <w:lang w:val="de-DE"/>
              </w:rPr>
              <w:t>len Zollstelle im Einklang mit der Verordnung (EU) 1239/2019 über die Einrichtung des zentralen europäischen Meldeportals für den Seeverkehr und der Verordnung (EU) 2020/1056 des Europäischen Parlaments und des Rates vom 15. Juli 2020 über elektronische Fr</w:t>
            </w:r>
            <w:r w:rsidRPr="00170422">
              <w:rPr>
                <w:noProof/>
                <w:lang w:val="de-DE"/>
              </w:rPr>
              <w:t>achtbeförderungsinformationen (eFTI) festgelegt. </w:t>
            </w:r>
          </w:p>
        </w:tc>
      </w:tr>
      <w:tr w:rsidR="0057163C" w:rsidRPr="00170422" w14:paraId="4BDF12FC" w14:textId="77777777" w:rsidTr="00924983">
        <w:trPr>
          <w:trHeight w:val="309"/>
          <w:jc w:val="center"/>
        </w:trPr>
        <w:tc>
          <w:tcPr>
            <w:tcW w:w="1039" w:type="dxa"/>
            <w:shd w:val="clear" w:color="auto" w:fill="C6EFCE"/>
            <w:noWrap/>
            <w:vAlign w:val="center"/>
          </w:tcPr>
          <w:p w14:paraId="04988920" w14:textId="77777777" w:rsidR="0057163C" w:rsidRPr="00170422" w:rsidRDefault="00F37BF9">
            <w:pPr>
              <w:pStyle w:val="P68B1DB1-Normal11"/>
              <w:jc w:val="center"/>
              <w:rPr>
                <w:noProof/>
                <w:szCs w:val="20"/>
                <w:lang w:val="de-DE"/>
              </w:rPr>
            </w:pPr>
            <w:r w:rsidRPr="00170422">
              <w:rPr>
                <w:noProof/>
                <w:lang w:val="de-DE"/>
              </w:rPr>
              <w:t>M3C2-4</w:t>
            </w:r>
          </w:p>
        </w:tc>
        <w:tc>
          <w:tcPr>
            <w:tcW w:w="1754" w:type="dxa"/>
            <w:shd w:val="clear" w:color="auto" w:fill="C6EFCE"/>
            <w:noWrap/>
            <w:vAlign w:val="center"/>
          </w:tcPr>
          <w:p w14:paraId="6AD14286" w14:textId="4086A10B" w:rsidR="0057163C" w:rsidRPr="00170422" w:rsidRDefault="00F37BF9">
            <w:pPr>
              <w:pStyle w:val="P68B1DB1-Normal11"/>
              <w:jc w:val="center"/>
              <w:rPr>
                <w:noProof/>
                <w:szCs w:val="20"/>
                <w:lang w:val="de-DE"/>
              </w:rPr>
            </w:pPr>
            <w:r w:rsidRPr="00170422">
              <w:rPr>
                <w:noProof/>
                <w:lang w:val="de-DE"/>
              </w:rPr>
              <w:t>Reform 1.3 – Vereinfachung der Genehmigungsverfahren für Kaltbügelanlagen</w:t>
            </w:r>
          </w:p>
        </w:tc>
        <w:tc>
          <w:tcPr>
            <w:tcW w:w="1436" w:type="dxa"/>
            <w:shd w:val="clear" w:color="auto" w:fill="C6EFCE"/>
            <w:noWrap/>
            <w:vAlign w:val="center"/>
          </w:tcPr>
          <w:p w14:paraId="78F20DD4" w14:textId="77777777" w:rsidR="0057163C" w:rsidRPr="00170422" w:rsidRDefault="00F37BF9">
            <w:pPr>
              <w:pStyle w:val="P68B1DB1-Normal11"/>
              <w:jc w:val="center"/>
              <w:rPr>
                <w:noProof/>
                <w:szCs w:val="20"/>
                <w:lang w:val="de-DE"/>
              </w:rPr>
            </w:pPr>
            <w:r w:rsidRPr="00170422">
              <w:rPr>
                <w:noProof/>
                <w:lang w:val="de-DE"/>
              </w:rPr>
              <w:t>Meilenstein</w:t>
            </w:r>
          </w:p>
        </w:tc>
        <w:tc>
          <w:tcPr>
            <w:tcW w:w="1637" w:type="dxa"/>
            <w:shd w:val="clear" w:color="auto" w:fill="C6EFCE"/>
            <w:noWrap/>
            <w:vAlign w:val="center"/>
          </w:tcPr>
          <w:p w14:paraId="790987A8" w14:textId="07DD04A2" w:rsidR="0057163C" w:rsidRPr="00170422" w:rsidRDefault="00F37BF9">
            <w:pPr>
              <w:pStyle w:val="P68B1DB1-Normal11"/>
              <w:spacing w:line="257" w:lineRule="auto"/>
              <w:jc w:val="center"/>
              <w:rPr>
                <w:noProof/>
                <w:szCs w:val="20"/>
                <w:lang w:val="de-DE"/>
              </w:rPr>
            </w:pPr>
            <w:r w:rsidRPr="00170422">
              <w:rPr>
                <w:noProof/>
                <w:lang w:val="de-DE"/>
              </w:rPr>
              <w:t>Inkrafttreten der Vereinfachung der Genehmigungsverfahren für Kaltbügelanlagen</w:t>
            </w:r>
          </w:p>
        </w:tc>
        <w:tc>
          <w:tcPr>
            <w:tcW w:w="1701" w:type="dxa"/>
            <w:shd w:val="clear" w:color="auto" w:fill="C6EFCE"/>
            <w:noWrap/>
            <w:vAlign w:val="center"/>
          </w:tcPr>
          <w:p w14:paraId="7DA62BCB" w14:textId="450761F7" w:rsidR="0057163C" w:rsidRPr="00170422" w:rsidRDefault="00F37BF9">
            <w:pPr>
              <w:pStyle w:val="P68B1DB1-Normal11"/>
              <w:jc w:val="center"/>
              <w:rPr>
                <w:noProof/>
                <w:szCs w:val="20"/>
                <w:lang w:val="de-DE"/>
              </w:rPr>
            </w:pPr>
            <w:r w:rsidRPr="00170422">
              <w:rPr>
                <w:noProof/>
                <w:lang w:val="de-DE"/>
              </w:rPr>
              <w:t xml:space="preserve">Rechtsvorschrift über das </w:t>
            </w:r>
            <w:r w:rsidRPr="00170422">
              <w:rPr>
                <w:noProof/>
                <w:lang w:val="de-DE"/>
              </w:rPr>
              <w:t>Inkrafttreten der Vereinfachung der Genehmigungsverfahren für Kaltbügelanlagen</w:t>
            </w:r>
          </w:p>
        </w:tc>
        <w:tc>
          <w:tcPr>
            <w:tcW w:w="1134" w:type="dxa"/>
            <w:shd w:val="clear" w:color="auto" w:fill="C6EFCE"/>
            <w:noWrap/>
            <w:vAlign w:val="center"/>
          </w:tcPr>
          <w:p w14:paraId="6AEAFD02"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53F93614" w14:textId="77777777" w:rsidR="0057163C" w:rsidRPr="00170422" w:rsidRDefault="00F37BF9">
            <w:pPr>
              <w:pStyle w:val="P68B1DB1-Normal11"/>
              <w:jc w:val="center"/>
              <w:rPr>
                <w:noProof/>
                <w:szCs w:val="20"/>
                <w:lang w:val="de-DE"/>
              </w:rPr>
            </w:pPr>
            <w:r w:rsidRPr="00170422">
              <w:rPr>
                <w:noProof/>
                <w:lang w:val="de-DE"/>
              </w:rPr>
              <w:t>ENTFÄLLT.</w:t>
            </w:r>
          </w:p>
        </w:tc>
        <w:tc>
          <w:tcPr>
            <w:tcW w:w="709" w:type="dxa"/>
            <w:shd w:val="clear" w:color="auto" w:fill="C6EFCE"/>
            <w:noWrap/>
            <w:vAlign w:val="center"/>
          </w:tcPr>
          <w:p w14:paraId="1A9C7CF4" w14:textId="77777777" w:rsidR="0057163C" w:rsidRPr="00170422" w:rsidRDefault="00F37BF9">
            <w:pPr>
              <w:pStyle w:val="P68B1DB1-Normal11"/>
              <w:jc w:val="center"/>
              <w:rPr>
                <w:noProof/>
                <w:szCs w:val="20"/>
                <w:lang w:val="de-DE"/>
              </w:rPr>
            </w:pPr>
            <w:r w:rsidRPr="00170422">
              <w:rPr>
                <w:noProof/>
                <w:lang w:val="de-DE"/>
              </w:rPr>
              <w:t>ENTFÄLLT.</w:t>
            </w:r>
          </w:p>
        </w:tc>
        <w:tc>
          <w:tcPr>
            <w:tcW w:w="801" w:type="dxa"/>
            <w:shd w:val="clear" w:color="auto" w:fill="C6EFCE"/>
            <w:noWrap/>
            <w:vAlign w:val="center"/>
          </w:tcPr>
          <w:p w14:paraId="00724E66" w14:textId="77777777" w:rsidR="0057163C" w:rsidRPr="00170422" w:rsidRDefault="00F37BF9">
            <w:pPr>
              <w:pStyle w:val="P68B1DB1-Normal11"/>
              <w:jc w:val="center"/>
              <w:rPr>
                <w:noProof/>
                <w:szCs w:val="20"/>
                <w:lang w:val="de-DE"/>
              </w:rPr>
            </w:pPr>
            <w:r w:rsidRPr="00170422">
              <w:rPr>
                <w:noProof/>
                <w:lang w:val="de-DE"/>
              </w:rPr>
              <w:t>4. QUARTAL</w:t>
            </w:r>
          </w:p>
        </w:tc>
        <w:tc>
          <w:tcPr>
            <w:tcW w:w="758" w:type="dxa"/>
            <w:shd w:val="clear" w:color="auto" w:fill="C6EFCE"/>
            <w:noWrap/>
            <w:vAlign w:val="center"/>
          </w:tcPr>
          <w:p w14:paraId="3C36438C" w14:textId="77777777" w:rsidR="0057163C" w:rsidRPr="00170422" w:rsidRDefault="00F37BF9">
            <w:pPr>
              <w:pStyle w:val="P68B1DB1-Normal11"/>
              <w:jc w:val="center"/>
              <w:rPr>
                <w:noProof/>
                <w:szCs w:val="20"/>
                <w:lang w:val="de-DE"/>
              </w:rPr>
            </w:pPr>
            <w:r w:rsidRPr="00170422">
              <w:rPr>
                <w:noProof/>
                <w:lang w:val="de-DE"/>
              </w:rPr>
              <w:t>2022</w:t>
            </w:r>
          </w:p>
        </w:tc>
        <w:tc>
          <w:tcPr>
            <w:tcW w:w="2576" w:type="dxa"/>
            <w:shd w:val="clear" w:color="auto" w:fill="C6EFCE"/>
            <w:noWrap/>
            <w:vAlign w:val="center"/>
          </w:tcPr>
          <w:p w14:paraId="08CA16F3" w14:textId="77777777" w:rsidR="0057163C" w:rsidRPr="00170422" w:rsidRDefault="00F37BF9">
            <w:pPr>
              <w:pStyle w:val="P68B1DB1-Normal11"/>
              <w:rPr>
                <w:noProof/>
                <w:szCs w:val="20"/>
                <w:lang w:val="de-DE"/>
              </w:rPr>
            </w:pPr>
            <w:r w:rsidRPr="00170422">
              <w:rPr>
                <w:noProof/>
                <w:lang w:val="de-DE"/>
              </w:rPr>
              <w:t>Straffung des Genehmigungsverfahrens zur Verkürzung der Genehmigungsfrist auf höchstens 12 Monate für den Bau von Energietransporti</w:t>
            </w:r>
            <w:r w:rsidRPr="00170422">
              <w:rPr>
                <w:noProof/>
                <w:lang w:val="de-DE"/>
              </w:rPr>
              <w:t>nfrastrukturen zur Versorgung von Schiffen mit Strom vom Land an Schiffe während der Festmacherphase (im Falle von Interventionen, die keiner Umweltprüfung unterzogen werden)</w:t>
            </w:r>
          </w:p>
        </w:tc>
      </w:tr>
      <w:tr w:rsidR="0057163C" w:rsidRPr="00170422" w14:paraId="567A3697" w14:textId="77777777" w:rsidTr="00924983">
        <w:trPr>
          <w:trHeight w:val="309"/>
          <w:jc w:val="center"/>
        </w:trPr>
        <w:tc>
          <w:tcPr>
            <w:tcW w:w="1039" w:type="dxa"/>
            <w:shd w:val="clear" w:color="auto" w:fill="C6EFCE"/>
            <w:noWrap/>
            <w:vAlign w:val="center"/>
          </w:tcPr>
          <w:p w14:paraId="47E83BEB" w14:textId="77777777" w:rsidR="0057163C" w:rsidRPr="00170422" w:rsidRDefault="00F37BF9">
            <w:pPr>
              <w:pStyle w:val="P68B1DB1-Normal11"/>
              <w:jc w:val="center"/>
              <w:rPr>
                <w:noProof/>
                <w:szCs w:val="20"/>
                <w:lang w:val="de-DE"/>
              </w:rPr>
            </w:pPr>
            <w:r w:rsidRPr="00170422">
              <w:rPr>
                <w:noProof/>
                <w:lang w:val="de-DE"/>
              </w:rPr>
              <w:t>M3C2-5</w:t>
            </w:r>
          </w:p>
        </w:tc>
        <w:tc>
          <w:tcPr>
            <w:tcW w:w="1754" w:type="dxa"/>
            <w:shd w:val="clear" w:color="auto" w:fill="C6EFCE"/>
            <w:noWrap/>
            <w:vAlign w:val="center"/>
          </w:tcPr>
          <w:p w14:paraId="334F6F34" w14:textId="47461387" w:rsidR="0057163C" w:rsidRPr="00170422" w:rsidRDefault="00F37BF9">
            <w:pPr>
              <w:pStyle w:val="P68B1DB1-Normal11"/>
              <w:jc w:val="center"/>
              <w:rPr>
                <w:noProof/>
                <w:szCs w:val="20"/>
                <w:lang w:val="de-DE"/>
              </w:rPr>
            </w:pPr>
            <w:r w:rsidRPr="00170422">
              <w:rPr>
                <w:noProof/>
                <w:lang w:val="de-DE"/>
              </w:rPr>
              <w:t>Investition 2.1 – Digitalisierung der Logistikkette</w:t>
            </w:r>
          </w:p>
        </w:tc>
        <w:tc>
          <w:tcPr>
            <w:tcW w:w="1436" w:type="dxa"/>
            <w:shd w:val="clear" w:color="auto" w:fill="C6EFCE"/>
            <w:noWrap/>
            <w:vAlign w:val="center"/>
          </w:tcPr>
          <w:p w14:paraId="0969E6A6" w14:textId="77777777" w:rsidR="0057163C" w:rsidRPr="00170422" w:rsidRDefault="00F37BF9">
            <w:pPr>
              <w:pStyle w:val="P68B1DB1-Normal11"/>
              <w:jc w:val="center"/>
              <w:rPr>
                <w:noProof/>
                <w:szCs w:val="20"/>
                <w:lang w:val="de-DE"/>
              </w:rPr>
            </w:pPr>
            <w:r w:rsidRPr="00170422">
              <w:rPr>
                <w:noProof/>
                <w:lang w:val="de-DE"/>
              </w:rPr>
              <w:t>Ziel</w:t>
            </w:r>
          </w:p>
        </w:tc>
        <w:tc>
          <w:tcPr>
            <w:tcW w:w="1637" w:type="dxa"/>
            <w:shd w:val="clear" w:color="auto" w:fill="C6EFCE"/>
            <w:noWrap/>
            <w:vAlign w:val="center"/>
          </w:tcPr>
          <w:p w14:paraId="3EC23018" w14:textId="77777777" w:rsidR="0057163C" w:rsidRPr="00170422" w:rsidRDefault="00F37BF9">
            <w:pPr>
              <w:pStyle w:val="P68B1DB1-Normal11"/>
              <w:spacing w:line="257" w:lineRule="auto"/>
              <w:jc w:val="center"/>
              <w:rPr>
                <w:noProof/>
                <w:szCs w:val="20"/>
                <w:lang w:val="de-DE"/>
              </w:rPr>
            </w:pPr>
            <w:r w:rsidRPr="00170422">
              <w:rPr>
                <w:noProof/>
                <w:lang w:val="de-DE"/>
              </w:rPr>
              <w:t xml:space="preserve">Digitalisierung </w:t>
            </w:r>
            <w:r w:rsidRPr="00170422">
              <w:rPr>
                <w:noProof/>
                <w:lang w:val="de-DE"/>
              </w:rPr>
              <w:t>der Logistikkette</w:t>
            </w:r>
          </w:p>
        </w:tc>
        <w:tc>
          <w:tcPr>
            <w:tcW w:w="1701" w:type="dxa"/>
            <w:shd w:val="clear" w:color="auto" w:fill="C6EFCE"/>
            <w:noWrap/>
            <w:vAlign w:val="center"/>
          </w:tcPr>
          <w:p w14:paraId="3ABBCEA1" w14:textId="77777777" w:rsidR="0057163C" w:rsidRPr="00170422" w:rsidRDefault="00F37BF9">
            <w:pPr>
              <w:pStyle w:val="P68B1DB1-Normal11"/>
              <w:jc w:val="center"/>
              <w:rPr>
                <w:noProof/>
                <w:szCs w:val="20"/>
                <w:lang w:val="de-DE"/>
              </w:rPr>
            </w:pPr>
            <w:r w:rsidRPr="00170422">
              <w:rPr>
                <w:noProof/>
                <w:lang w:val="de-DE"/>
              </w:rPr>
              <w:t>ENTFÄLLT.</w:t>
            </w:r>
          </w:p>
        </w:tc>
        <w:tc>
          <w:tcPr>
            <w:tcW w:w="1134" w:type="dxa"/>
            <w:shd w:val="clear" w:color="auto" w:fill="C6EFCE"/>
            <w:noWrap/>
            <w:vAlign w:val="center"/>
          </w:tcPr>
          <w:p w14:paraId="51F2BC05"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6823FB3C" w14:textId="77777777" w:rsidR="0057163C" w:rsidRPr="00170422" w:rsidRDefault="00F37BF9">
            <w:pPr>
              <w:pStyle w:val="P68B1DB1-Normal11"/>
              <w:jc w:val="center"/>
              <w:rPr>
                <w:noProof/>
                <w:szCs w:val="20"/>
                <w:lang w:val="de-DE"/>
              </w:rPr>
            </w:pPr>
            <w:r w:rsidRPr="00170422">
              <w:rPr>
                <w:noProof/>
                <w:lang w:val="de-DE"/>
              </w:rPr>
              <w:t>0</w:t>
            </w:r>
          </w:p>
        </w:tc>
        <w:tc>
          <w:tcPr>
            <w:tcW w:w="709" w:type="dxa"/>
            <w:shd w:val="clear" w:color="auto" w:fill="C6EFCE"/>
            <w:noWrap/>
            <w:vAlign w:val="center"/>
          </w:tcPr>
          <w:p w14:paraId="476A0A75" w14:textId="77777777" w:rsidR="0057163C" w:rsidRPr="00170422" w:rsidRDefault="00F37BF9">
            <w:pPr>
              <w:pStyle w:val="P68B1DB1-Normal11"/>
              <w:jc w:val="center"/>
              <w:rPr>
                <w:noProof/>
                <w:szCs w:val="20"/>
                <w:lang w:val="de-DE"/>
              </w:rPr>
            </w:pPr>
            <w:r w:rsidRPr="00170422">
              <w:rPr>
                <w:noProof/>
                <w:lang w:val="de-DE"/>
              </w:rPr>
              <w:t>12</w:t>
            </w:r>
          </w:p>
        </w:tc>
        <w:tc>
          <w:tcPr>
            <w:tcW w:w="801" w:type="dxa"/>
            <w:shd w:val="clear" w:color="auto" w:fill="C6EFCE"/>
            <w:noWrap/>
            <w:vAlign w:val="center"/>
          </w:tcPr>
          <w:p w14:paraId="4A20064A" w14:textId="77777777" w:rsidR="0057163C" w:rsidRPr="00170422" w:rsidRDefault="00F37BF9">
            <w:pPr>
              <w:pStyle w:val="P68B1DB1-Normal11"/>
              <w:jc w:val="center"/>
              <w:rPr>
                <w:noProof/>
                <w:szCs w:val="20"/>
                <w:lang w:val="de-DE"/>
              </w:rPr>
            </w:pPr>
            <w:r w:rsidRPr="00170422">
              <w:rPr>
                <w:noProof/>
                <w:lang w:val="de-DE"/>
              </w:rPr>
              <w:t>Q2</w:t>
            </w:r>
          </w:p>
        </w:tc>
        <w:tc>
          <w:tcPr>
            <w:tcW w:w="758" w:type="dxa"/>
            <w:shd w:val="clear" w:color="auto" w:fill="C6EFCE"/>
            <w:noWrap/>
            <w:vAlign w:val="center"/>
          </w:tcPr>
          <w:p w14:paraId="499E3247" w14:textId="77777777" w:rsidR="0057163C" w:rsidRPr="00170422" w:rsidRDefault="00F37BF9">
            <w:pPr>
              <w:pStyle w:val="P68B1DB1-Normal11"/>
              <w:jc w:val="center"/>
              <w:rPr>
                <w:noProof/>
                <w:szCs w:val="20"/>
                <w:lang w:val="de-DE"/>
              </w:rPr>
            </w:pPr>
            <w:r w:rsidRPr="00170422">
              <w:rPr>
                <w:noProof/>
                <w:lang w:val="de-DE"/>
              </w:rPr>
              <w:t>2024</w:t>
            </w:r>
          </w:p>
        </w:tc>
        <w:tc>
          <w:tcPr>
            <w:tcW w:w="2576" w:type="dxa"/>
            <w:shd w:val="clear" w:color="auto" w:fill="C6EFCE"/>
            <w:noWrap/>
            <w:vAlign w:val="center"/>
          </w:tcPr>
          <w:p w14:paraId="54FBAF20" w14:textId="6667F0DE" w:rsidR="0057163C" w:rsidRPr="00170422" w:rsidRDefault="00F37BF9">
            <w:pPr>
              <w:pStyle w:val="P68B1DB1-Normal11"/>
              <w:rPr>
                <w:noProof/>
                <w:szCs w:val="20"/>
                <w:lang w:val="de-DE"/>
              </w:rPr>
            </w:pPr>
            <w:r w:rsidRPr="00170422">
              <w:rPr>
                <w:noProof/>
                <w:lang w:val="de-DE"/>
              </w:rPr>
              <w:t xml:space="preserve">Mindestens 12 der 16 Hafenbehörden müssen mit Hafengemeinschaftssystemen (PCS) ausgerüstet sein, die mit dem </w:t>
            </w:r>
            <w:r w:rsidRPr="00170422">
              <w:rPr>
                <w:i/>
                <w:noProof/>
                <w:lang w:val="de-DE"/>
              </w:rPr>
              <w:t>Comando Generale delle Capitanerie di Porto</w:t>
            </w:r>
            <w:r w:rsidRPr="00170422">
              <w:rPr>
                <w:noProof/>
                <w:lang w:val="de-DE"/>
              </w:rPr>
              <w:t xml:space="preserve"> und/oder </w:t>
            </w:r>
            <w:r w:rsidRPr="00170422">
              <w:rPr>
                <w:i/>
                <w:noProof/>
                <w:lang w:val="de-DE"/>
              </w:rPr>
              <w:t>Agenzia delle Dogane e dei Monopoli</w:t>
            </w:r>
            <w:r w:rsidRPr="00170422">
              <w:rPr>
                <w:noProof/>
                <w:lang w:val="de-DE"/>
              </w:rPr>
              <w:t xml:space="preserve"> interoperabel und mit dem neuen PLN (Piattaforma Logistica Nazionale) kompatibel sind. Eine Hafensystembehörde gilt als mit Hafengemeinschaftssystemen (PCS) ausgerüstet, wenn mindestens ein Hafen dieser Hafensystembehörde mit den Systemen der Hafengemeins</w:t>
            </w:r>
            <w:r w:rsidRPr="00170422">
              <w:rPr>
                <w:noProof/>
                <w:lang w:val="de-DE"/>
              </w:rPr>
              <w:t xml:space="preserve">chaft (Port Community Systems – PCS) ausgerüstet ist. </w:t>
            </w:r>
          </w:p>
        </w:tc>
      </w:tr>
      <w:tr w:rsidR="0057163C" w:rsidRPr="00170422" w14:paraId="1226E8CF" w14:textId="77777777" w:rsidTr="00924983">
        <w:trPr>
          <w:trHeight w:val="309"/>
          <w:jc w:val="center"/>
        </w:trPr>
        <w:tc>
          <w:tcPr>
            <w:tcW w:w="1039" w:type="dxa"/>
            <w:shd w:val="clear" w:color="auto" w:fill="C6EFCE"/>
            <w:noWrap/>
            <w:vAlign w:val="center"/>
          </w:tcPr>
          <w:p w14:paraId="298D2223"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M3C2-5bis</w:t>
            </w:r>
          </w:p>
        </w:tc>
        <w:tc>
          <w:tcPr>
            <w:tcW w:w="1754" w:type="dxa"/>
            <w:shd w:val="clear" w:color="auto" w:fill="C6EFCE"/>
            <w:noWrap/>
            <w:vAlign w:val="center"/>
          </w:tcPr>
          <w:p w14:paraId="2663660B" w14:textId="77777777" w:rsidR="0057163C" w:rsidRPr="00170422" w:rsidRDefault="00F37BF9">
            <w:pPr>
              <w:pStyle w:val="P68B1DB1-Normal12"/>
              <w:spacing w:line="257" w:lineRule="auto"/>
              <w:jc w:val="both"/>
              <w:rPr>
                <w:noProof/>
                <w:lang w:val="de-DE"/>
              </w:rPr>
            </w:pPr>
            <w:r w:rsidRPr="00170422">
              <w:rPr>
                <w:noProof/>
                <w:lang w:val="de-DE"/>
              </w:rPr>
              <w:t>Investition 2.1 – Digitalisierung der Logistikkette</w:t>
            </w:r>
          </w:p>
        </w:tc>
        <w:tc>
          <w:tcPr>
            <w:tcW w:w="1436" w:type="dxa"/>
            <w:shd w:val="clear" w:color="auto" w:fill="C6EFCE"/>
            <w:noWrap/>
            <w:vAlign w:val="center"/>
          </w:tcPr>
          <w:p w14:paraId="4E4E78DB"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Ziel</w:t>
            </w:r>
          </w:p>
        </w:tc>
        <w:tc>
          <w:tcPr>
            <w:tcW w:w="1637" w:type="dxa"/>
            <w:shd w:val="clear" w:color="auto" w:fill="C6EFCE"/>
            <w:noWrap/>
            <w:vAlign w:val="center"/>
          </w:tcPr>
          <w:p w14:paraId="337F40A0"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 xml:space="preserve">Digitalisierung der Logistikkette </w:t>
            </w:r>
          </w:p>
        </w:tc>
        <w:tc>
          <w:tcPr>
            <w:tcW w:w="1701" w:type="dxa"/>
            <w:shd w:val="clear" w:color="auto" w:fill="C6EFCE"/>
            <w:noWrap/>
            <w:vAlign w:val="center"/>
          </w:tcPr>
          <w:p w14:paraId="33DF1683"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ENTFÄLLT.</w:t>
            </w:r>
          </w:p>
        </w:tc>
        <w:tc>
          <w:tcPr>
            <w:tcW w:w="1134" w:type="dxa"/>
            <w:shd w:val="clear" w:color="auto" w:fill="C6EFCE"/>
            <w:noWrap/>
            <w:vAlign w:val="center"/>
          </w:tcPr>
          <w:p w14:paraId="106F7802"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Anzahl</w:t>
            </w:r>
          </w:p>
        </w:tc>
        <w:tc>
          <w:tcPr>
            <w:tcW w:w="1418" w:type="dxa"/>
            <w:shd w:val="clear" w:color="auto" w:fill="C6EFCE"/>
            <w:noWrap/>
            <w:vAlign w:val="center"/>
          </w:tcPr>
          <w:p w14:paraId="1F5BA518"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0</w:t>
            </w:r>
          </w:p>
        </w:tc>
        <w:tc>
          <w:tcPr>
            <w:tcW w:w="709" w:type="dxa"/>
            <w:shd w:val="clear" w:color="auto" w:fill="C6EFCE"/>
            <w:noWrap/>
            <w:vAlign w:val="center"/>
          </w:tcPr>
          <w:p w14:paraId="19D93E52"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3</w:t>
            </w:r>
          </w:p>
        </w:tc>
        <w:tc>
          <w:tcPr>
            <w:tcW w:w="801" w:type="dxa"/>
            <w:shd w:val="clear" w:color="auto" w:fill="C6EFCE"/>
            <w:noWrap/>
            <w:vAlign w:val="center"/>
          </w:tcPr>
          <w:p w14:paraId="3E3896E5"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Q2</w:t>
            </w:r>
          </w:p>
        </w:tc>
        <w:tc>
          <w:tcPr>
            <w:tcW w:w="758" w:type="dxa"/>
            <w:shd w:val="clear" w:color="auto" w:fill="C6EFCE"/>
            <w:noWrap/>
            <w:vAlign w:val="center"/>
          </w:tcPr>
          <w:p w14:paraId="1C01B77E" w14:textId="77777777" w:rsidR="0057163C" w:rsidRPr="00170422" w:rsidRDefault="00F37BF9">
            <w:pPr>
              <w:pStyle w:val="P68B1DB1-Normal11"/>
              <w:spacing w:line="257" w:lineRule="auto"/>
              <w:jc w:val="both"/>
              <w:rPr>
                <w:rFonts w:eastAsia="Arial Narrow" w:cs="Arial Narrow"/>
                <w:noProof/>
                <w:szCs w:val="20"/>
                <w:lang w:val="de-DE"/>
              </w:rPr>
            </w:pPr>
            <w:r w:rsidRPr="00170422">
              <w:rPr>
                <w:noProof/>
                <w:lang w:val="de-DE"/>
              </w:rPr>
              <w:t>2026</w:t>
            </w:r>
          </w:p>
        </w:tc>
        <w:tc>
          <w:tcPr>
            <w:tcW w:w="2576" w:type="dxa"/>
            <w:shd w:val="clear" w:color="auto" w:fill="C6EFCE"/>
            <w:noWrap/>
            <w:vAlign w:val="center"/>
          </w:tcPr>
          <w:p w14:paraId="2794F018" w14:textId="6171A935" w:rsidR="0057163C" w:rsidRPr="00170422" w:rsidRDefault="00F37BF9">
            <w:pPr>
              <w:pStyle w:val="P68B1DB1-Normal11"/>
              <w:spacing w:after="0" w:line="240" w:lineRule="auto"/>
              <w:jc w:val="both"/>
              <w:rPr>
                <w:noProof/>
                <w:lang w:val="de-DE"/>
              </w:rPr>
            </w:pPr>
            <w:r w:rsidRPr="00170422">
              <w:rPr>
                <w:noProof/>
                <w:szCs w:val="20"/>
                <w:lang w:val="de-DE"/>
              </w:rPr>
              <w:t xml:space="preserve">Die folgenden </w:t>
            </w:r>
            <w:r w:rsidRPr="00170422">
              <w:rPr>
                <w:noProof/>
                <w:lang w:val="de-DE"/>
              </w:rPr>
              <w:t xml:space="preserve">drei Interventionen werden durchgeführt: </w:t>
            </w:r>
          </w:p>
          <w:p w14:paraId="7D6EE7C4" w14:textId="77777777" w:rsidR="0057163C" w:rsidRPr="00170422" w:rsidRDefault="0057163C">
            <w:pPr>
              <w:spacing w:after="0" w:line="240" w:lineRule="auto"/>
              <w:jc w:val="both"/>
              <w:rPr>
                <w:rFonts w:ascii="Arial Narrow" w:hAnsi="Arial Narrow"/>
                <w:noProof/>
                <w:color w:val="006100"/>
                <w:sz w:val="20"/>
                <w:lang w:val="de-DE"/>
              </w:rPr>
            </w:pPr>
          </w:p>
          <w:p w14:paraId="08E9309F" w14:textId="26C562E0" w:rsidR="0057163C" w:rsidRPr="00170422" w:rsidRDefault="00F37BF9">
            <w:pPr>
              <w:pStyle w:val="P68B1DB1-Normal11"/>
              <w:spacing w:after="0" w:line="240" w:lineRule="auto"/>
              <w:jc w:val="both"/>
              <w:rPr>
                <w:rFonts w:eastAsia="Arial Narrow" w:cs="Arial Narrow"/>
                <w:noProof/>
                <w:szCs w:val="20"/>
                <w:lang w:val="de-DE"/>
              </w:rPr>
            </w:pPr>
            <w:r w:rsidRPr="00170422">
              <w:rPr>
                <w:noProof/>
                <w:lang w:val="de-DE"/>
              </w:rPr>
              <w:t xml:space="preserve">1) Log-IN-Zentrum: Einrichtung einer digitalen Plattform (Piattaforma Logistica Nazionale – PLN). </w:t>
            </w:r>
          </w:p>
          <w:p w14:paraId="74FB010D" w14:textId="77777777" w:rsidR="0057163C" w:rsidRPr="00170422" w:rsidRDefault="0057163C">
            <w:pPr>
              <w:pStyle w:val="ListParagraph"/>
              <w:spacing w:after="0"/>
              <w:rPr>
                <w:rFonts w:ascii="Arial Narrow" w:eastAsia="Arial Narrow" w:hAnsi="Arial Narrow" w:cs="Arial Narrow"/>
                <w:noProof/>
                <w:color w:val="006100"/>
                <w:sz w:val="20"/>
                <w:szCs w:val="20"/>
                <w:lang w:val="de-DE"/>
              </w:rPr>
            </w:pPr>
          </w:p>
          <w:p w14:paraId="5C643FE4" w14:textId="3AF05B4B" w:rsidR="0057163C" w:rsidRPr="00170422" w:rsidRDefault="00F37BF9">
            <w:pPr>
              <w:pStyle w:val="P68B1DB1-Normal11"/>
              <w:spacing w:before="120" w:after="120" w:line="240" w:lineRule="auto"/>
              <w:jc w:val="both"/>
              <w:rPr>
                <w:rFonts w:eastAsia="Arial Narrow" w:cs="Arial Narrow"/>
                <w:noProof/>
                <w:szCs w:val="20"/>
                <w:lang w:val="de-DE"/>
              </w:rPr>
            </w:pPr>
            <w:r w:rsidRPr="00170422">
              <w:rPr>
                <w:noProof/>
                <w:lang w:val="de-DE"/>
              </w:rPr>
              <w:t xml:space="preserve">2. Hafennetz und Güterverkehrsörfer: </w:t>
            </w:r>
          </w:p>
          <w:p w14:paraId="0CF3E486" w14:textId="77777777" w:rsidR="0057163C" w:rsidRPr="00170422" w:rsidRDefault="00F37BF9">
            <w:pPr>
              <w:pStyle w:val="P68B1DB1-Normal90"/>
              <w:spacing w:before="120" w:after="120"/>
              <w:ind w:left="197"/>
              <w:jc w:val="both"/>
              <w:rPr>
                <w:rFonts w:eastAsia="Arial Narrow" w:cs="Arial Narrow"/>
                <w:noProof/>
                <w:sz w:val="20"/>
                <w:szCs w:val="20"/>
                <w:lang w:val="de-DE"/>
              </w:rPr>
            </w:pPr>
            <w:r w:rsidRPr="00170422">
              <w:rPr>
                <w:noProof/>
                <w:sz w:val="20"/>
                <w:lang w:val="de-DE"/>
              </w:rPr>
              <w:t xml:space="preserve">Alle 16 Hafenbehörden müssen über PCS-Dienste (Port Community System) verfügen, die mit der Piattaforma Logistica </w:t>
            </w:r>
            <w:r w:rsidRPr="00170422">
              <w:rPr>
                <w:noProof/>
                <w:sz w:val="20"/>
                <w:lang w:val="de-DE"/>
              </w:rPr>
              <w:t>Nazionale (PLN) kompatibel sind. Eine Hafensystembehörde gilt als mit Hafengemeinschaftssystemen (PCS) ausgerüstet, wenn mindestens ein Hafen dieser Hafensystembehörde mit den Systemen der Hafengemeinschaft (Port Community Systems – PCS) ausgerüstet</w:t>
            </w:r>
            <w:r w:rsidRPr="00170422">
              <w:rPr>
                <w:noProof/>
                <w:sz w:val="18"/>
                <w:lang w:val="de-DE"/>
              </w:rPr>
              <w:t xml:space="preserve">ist. </w:t>
            </w:r>
            <w:r w:rsidRPr="00170422">
              <w:rPr>
                <w:noProof/>
                <w:sz w:val="20"/>
                <w:lang w:val="de-DE"/>
              </w:rPr>
              <w:t>Di</w:t>
            </w:r>
            <w:r w:rsidRPr="00170422">
              <w:rPr>
                <w:noProof/>
                <w:sz w:val="20"/>
                <w:lang w:val="de-DE"/>
              </w:rPr>
              <w:t>ese PCS-Dienste müssen für alle Kernhäfen im Sinne der Verordnung (EU) 1679/2024 betriebsbereit sein.</w:t>
            </w:r>
          </w:p>
          <w:p w14:paraId="0392A23B" w14:textId="77777777" w:rsidR="0057163C" w:rsidRPr="00170422" w:rsidRDefault="00F37BF9">
            <w:pPr>
              <w:pStyle w:val="P68B1DB1-Normal11"/>
              <w:spacing w:before="120" w:after="120"/>
              <w:ind w:left="197"/>
              <w:jc w:val="both"/>
              <w:rPr>
                <w:rFonts w:eastAsia="Arial Narrow" w:cs="Arial Narrow"/>
                <w:noProof/>
                <w:szCs w:val="20"/>
                <w:lang w:val="de-DE"/>
              </w:rPr>
            </w:pPr>
            <w:r w:rsidRPr="00170422">
              <w:rPr>
                <w:noProof/>
                <w:lang w:val="de-DE"/>
              </w:rPr>
              <w:t>Mindestens 12 nationale Frachtdörfer müssen über ein Güterverkehrsdorfsystem (FVS) verfügen, das mit dem PLN kompatibel ist.</w:t>
            </w:r>
          </w:p>
          <w:p w14:paraId="0F5A316D" w14:textId="66DEAB08" w:rsidR="0057163C" w:rsidRPr="00170422" w:rsidRDefault="00F37BF9">
            <w:pPr>
              <w:pStyle w:val="P68B1DB1-Normal12"/>
              <w:spacing w:before="120" w:after="120" w:line="240" w:lineRule="auto"/>
              <w:jc w:val="both"/>
              <w:rPr>
                <w:noProof/>
                <w:lang w:val="de-DE"/>
              </w:rPr>
            </w:pPr>
            <w:r w:rsidRPr="00170422">
              <w:rPr>
                <w:noProof/>
                <w:lang w:val="de-DE"/>
              </w:rPr>
              <w:t>3) Log-IN-Geschäft: Übertragu</w:t>
            </w:r>
            <w:r w:rsidRPr="00170422">
              <w:rPr>
                <w:noProof/>
                <w:lang w:val="de-DE"/>
              </w:rPr>
              <w:t>ng von Ressourcen an mindestens 1194 Unternehmen zur Entwicklung digitaler Systeme zur Förderung der Interoperabilität von Diensten und der eCMR- und eFTI-Konformität.</w:t>
            </w:r>
          </w:p>
        </w:tc>
      </w:tr>
      <w:tr w:rsidR="0057163C" w:rsidRPr="00170422" w14:paraId="50A2195F" w14:textId="77777777" w:rsidTr="00924983">
        <w:trPr>
          <w:trHeight w:val="300"/>
          <w:jc w:val="center"/>
        </w:trPr>
        <w:tc>
          <w:tcPr>
            <w:tcW w:w="1039" w:type="dxa"/>
            <w:shd w:val="clear" w:color="auto" w:fill="C6EFCE"/>
            <w:noWrap/>
            <w:vAlign w:val="center"/>
          </w:tcPr>
          <w:p w14:paraId="79BE083D" w14:textId="77777777" w:rsidR="0057163C" w:rsidRPr="00170422" w:rsidRDefault="00F37BF9">
            <w:pPr>
              <w:pStyle w:val="P68B1DB1-Normal12"/>
              <w:jc w:val="center"/>
              <w:rPr>
                <w:noProof/>
                <w:lang w:val="de-DE"/>
              </w:rPr>
            </w:pPr>
            <w:r w:rsidRPr="00170422">
              <w:rPr>
                <w:noProof/>
                <w:lang w:val="de-DE"/>
              </w:rPr>
              <w:t>M3C2-6</w:t>
            </w:r>
          </w:p>
        </w:tc>
        <w:tc>
          <w:tcPr>
            <w:tcW w:w="1754" w:type="dxa"/>
            <w:shd w:val="clear" w:color="auto" w:fill="C6EFCE"/>
            <w:noWrap/>
            <w:vAlign w:val="center"/>
          </w:tcPr>
          <w:p w14:paraId="0A4F1176" w14:textId="77777777" w:rsidR="0057163C" w:rsidRPr="00170422" w:rsidRDefault="00F37BF9">
            <w:pPr>
              <w:pStyle w:val="P68B1DB1-Normal12"/>
              <w:jc w:val="center"/>
              <w:rPr>
                <w:noProof/>
                <w:lang w:val="de-DE"/>
              </w:rPr>
            </w:pPr>
            <w:r w:rsidRPr="00170422">
              <w:rPr>
                <w:noProof/>
                <w:lang w:val="de-DE"/>
              </w:rPr>
              <w:t>Investition 2.2: Digitalisierung des Flugverkehrsmanagements</w:t>
            </w:r>
          </w:p>
        </w:tc>
        <w:tc>
          <w:tcPr>
            <w:tcW w:w="1436" w:type="dxa"/>
            <w:shd w:val="clear" w:color="auto" w:fill="C6EFCE"/>
            <w:noWrap/>
            <w:vAlign w:val="center"/>
          </w:tcPr>
          <w:p w14:paraId="165D94BE" w14:textId="77777777" w:rsidR="0057163C" w:rsidRPr="00170422" w:rsidRDefault="00F37BF9">
            <w:pPr>
              <w:pStyle w:val="P68B1DB1-Normal12"/>
              <w:jc w:val="center"/>
              <w:rPr>
                <w:noProof/>
                <w:lang w:val="de-DE"/>
              </w:rPr>
            </w:pPr>
            <w:r w:rsidRPr="00170422">
              <w:rPr>
                <w:noProof/>
                <w:lang w:val="de-DE"/>
              </w:rPr>
              <w:t>Meilenstein</w:t>
            </w:r>
          </w:p>
        </w:tc>
        <w:tc>
          <w:tcPr>
            <w:tcW w:w="1637" w:type="dxa"/>
            <w:shd w:val="clear" w:color="auto" w:fill="C6EFCE"/>
            <w:noWrap/>
            <w:vAlign w:val="center"/>
          </w:tcPr>
          <w:p w14:paraId="1F1FEB55" w14:textId="77777777" w:rsidR="0057163C" w:rsidRPr="00170422" w:rsidRDefault="00F37BF9">
            <w:pPr>
              <w:pStyle w:val="P68B1DB1-Normal12"/>
              <w:jc w:val="center"/>
              <w:rPr>
                <w:noProof/>
                <w:lang w:val="de-DE"/>
              </w:rPr>
            </w:pPr>
            <w:r w:rsidRPr="00170422">
              <w:rPr>
                <w:noProof/>
                <w:lang w:val="de-DE"/>
              </w:rPr>
              <w:t>Digitalisierung des Flugverkehrsmanagements: Inbetriebnahme neuer Instrumente</w:t>
            </w:r>
          </w:p>
        </w:tc>
        <w:tc>
          <w:tcPr>
            <w:tcW w:w="1701" w:type="dxa"/>
            <w:shd w:val="clear" w:color="auto" w:fill="C6EFCE"/>
            <w:noWrap/>
            <w:vAlign w:val="center"/>
          </w:tcPr>
          <w:p w14:paraId="2693D919" w14:textId="607534F6" w:rsidR="0057163C" w:rsidRPr="00170422" w:rsidRDefault="00F37BF9">
            <w:pPr>
              <w:pStyle w:val="P68B1DB1-Normal12"/>
              <w:jc w:val="center"/>
              <w:rPr>
                <w:noProof/>
                <w:lang w:val="de-DE"/>
              </w:rPr>
            </w:pPr>
            <w:r w:rsidRPr="00170422">
              <w:rPr>
                <w:noProof/>
                <w:lang w:val="de-DE"/>
              </w:rPr>
              <w:t>Zertifizierungen der TOC, der digitalen Luftfahrtinformationen und des UTMS</w:t>
            </w:r>
          </w:p>
        </w:tc>
        <w:tc>
          <w:tcPr>
            <w:tcW w:w="1134" w:type="dxa"/>
            <w:shd w:val="clear" w:color="auto" w:fill="C6EFCE"/>
            <w:noWrap/>
            <w:vAlign w:val="center"/>
          </w:tcPr>
          <w:p w14:paraId="10FC56EC" w14:textId="77777777" w:rsidR="0057163C" w:rsidRPr="00170422" w:rsidRDefault="00F37BF9">
            <w:pPr>
              <w:pStyle w:val="P68B1DB1-Normal12"/>
              <w:jc w:val="center"/>
              <w:rPr>
                <w:noProof/>
                <w:lang w:val="de-DE"/>
              </w:rPr>
            </w:pPr>
            <w:r w:rsidRPr="00170422">
              <w:rPr>
                <w:noProof/>
                <w:lang w:val="de-DE"/>
              </w:rPr>
              <w:t>ENTFÄLLT.</w:t>
            </w:r>
          </w:p>
        </w:tc>
        <w:tc>
          <w:tcPr>
            <w:tcW w:w="1418" w:type="dxa"/>
            <w:shd w:val="clear" w:color="auto" w:fill="C6EFCE"/>
            <w:noWrap/>
            <w:vAlign w:val="center"/>
          </w:tcPr>
          <w:p w14:paraId="3B9F501C" w14:textId="77777777" w:rsidR="0057163C" w:rsidRPr="00170422" w:rsidRDefault="00F37BF9">
            <w:pPr>
              <w:pStyle w:val="P68B1DB1-Normal12"/>
              <w:jc w:val="center"/>
              <w:rPr>
                <w:noProof/>
                <w:lang w:val="de-DE"/>
              </w:rPr>
            </w:pPr>
            <w:r w:rsidRPr="00170422">
              <w:rPr>
                <w:noProof/>
                <w:lang w:val="de-DE"/>
              </w:rPr>
              <w:t xml:space="preserve">ENTFÄLLT. </w:t>
            </w:r>
          </w:p>
        </w:tc>
        <w:tc>
          <w:tcPr>
            <w:tcW w:w="709" w:type="dxa"/>
            <w:shd w:val="clear" w:color="auto" w:fill="C6EFCE"/>
            <w:noWrap/>
            <w:vAlign w:val="center"/>
          </w:tcPr>
          <w:p w14:paraId="69D11ABC" w14:textId="77777777" w:rsidR="0057163C" w:rsidRPr="00170422" w:rsidRDefault="0057163C">
            <w:pPr>
              <w:jc w:val="center"/>
              <w:rPr>
                <w:rFonts w:ascii="Arial Narrow" w:hAnsi="Arial Narrow"/>
                <w:noProof/>
                <w:color w:val="006100"/>
                <w:sz w:val="20"/>
                <w:szCs w:val="20"/>
                <w:lang w:val="de-DE"/>
              </w:rPr>
            </w:pPr>
          </w:p>
          <w:p w14:paraId="15FB92F7" w14:textId="77777777" w:rsidR="0057163C" w:rsidRPr="00170422" w:rsidRDefault="00F37BF9">
            <w:pPr>
              <w:pStyle w:val="P68B1DB1-Normal12"/>
              <w:jc w:val="center"/>
              <w:rPr>
                <w:noProof/>
                <w:lang w:val="de-DE"/>
              </w:rPr>
            </w:pPr>
            <w:r w:rsidRPr="00170422">
              <w:rPr>
                <w:noProof/>
                <w:lang w:val="de-DE"/>
              </w:rPr>
              <w:t>ENTFÄLLT.</w:t>
            </w:r>
          </w:p>
          <w:p w14:paraId="6F41BA16" w14:textId="77777777" w:rsidR="0057163C" w:rsidRPr="00170422" w:rsidRDefault="0057163C">
            <w:pPr>
              <w:jc w:val="center"/>
              <w:rPr>
                <w:rFonts w:ascii="Arial Narrow" w:hAnsi="Arial Narrow"/>
                <w:noProof/>
                <w:color w:val="006100"/>
                <w:sz w:val="20"/>
                <w:szCs w:val="20"/>
                <w:lang w:val="de-DE"/>
              </w:rPr>
            </w:pPr>
          </w:p>
        </w:tc>
        <w:tc>
          <w:tcPr>
            <w:tcW w:w="801" w:type="dxa"/>
            <w:shd w:val="clear" w:color="auto" w:fill="C6EFCE"/>
            <w:noWrap/>
            <w:vAlign w:val="center"/>
          </w:tcPr>
          <w:p w14:paraId="478CCC36" w14:textId="77777777" w:rsidR="0057163C" w:rsidRPr="00170422" w:rsidRDefault="00F37BF9">
            <w:pPr>
              <w:pStyle w:val="P68B1DB1-Normal12"/>
              <w:jc w:val="center"/>
              <w:rPr>
                <w:noProof/>
                <w:lang w:val="de-DE"/>
              </w:rPr>
            </w:pPr>
            <w:r w:rsidRPr="00170422">
              <w:rPr>
                <w:noProof/>
                <w:lang w:val="de-DE"/>
              </w:rPr>
              <w:t>Q1</w:t>
            </w:r>
          </w:p>
        </w:tc>
        <w:tc>
          <w:tcPr>
            <w:tcW w:w="758" w:type="dxa"/>
            <w:shd w:val="clear" w:color="auto" w:fill="C6EFCE"/>
            <w:noWrap/>
            <w:vAlign w:val="center"/>
          </w:tcPr>
          <w:p w14:paraId="7F8314F2" w14:textId="77777777" w:rsidR="0057163C" w:rsidRPr="00170422" w:rsidRDefault="00F37BF9">
            <w:pPr>
              <w:pStyle w:val="P68B1DB1-Normal12"/>
              <w:jc w:val="center"/>
              <w:rPr>
                <w:noProof/>
                <w:lang w:val="de-DE"/>
              </w:rPr>
            </w:pPr>
            <w:r w:rsidRPr="00170422">
              <w:rPr>
                <w:noProof/>
                <w:lang w:val="de-DE"/>
              </w:rPr>
              <w:t>2026</w:t>
            </w:r>
          </w:p>
        </w:tc>
        <w:tc>
          <w:tcPr>
            <w:tcW w:w="2576" w:type="dxa"/>
            <w:shd w:val="clear" w:color="auto" w:fill="C6EFCE"/>
            <w:noWrap/>
            <w:vAlign w:val="center"/>
          </w:tcPr>
          <w:p w14:paraId="62C7863E" w14:textId="77777777" w:rsidR="0057163C" w:rsidRPr="00170422" w:rsidRDefault="00F37BF9">
            <w:pPr>
              <w:pStyle w:val="P68B1DB1-Normal12"/>
              <w:jc w:val="both"/>
              <w:rPr>
                <w:noProof/>
                <w:lang w:val="de-DE"/>
              </w:rPr>
            </w:pPr>
            <w:r w:rsidRPr="00170422">
              <w:rPr>
                <w:noProof/>
                <w:lang w:val="de-DE"/>
              </w:rPr>
              <w:t xml:space="preserve">Inbetriebnahme der folgenden drei Projekte: </w:t>
            </w:r>
          </w:p>
          <w:p w14:paraId="1B75DBF5" w14:textId="77777777" w:rsidR="0057163C" w:rsidRPr="00170422" w:rsidRDefault="00F37BF9">
            <w:pPr>
              <w:pStyle w:val="P68B1DB1-Normal12"/>
              <w:jc w:val="both"/>
              <w:rPr>
                <w:noProof/>
                <w:lang w:val="de-DE"/>
              </w:rPr>
            </w:pPr>
            <w:r w:rsidRPr="00170422">
              <w:rPr>
                <w:noProof/>
                <w:lang w:val="de-DE"/>
              </w:rPr>
              <w:t xml:space="preserve">a) Technisches Betriebszentrum (TOC) und mindestens zwei Flugverkehrsmanagementsysteme </w:t>
            </w:r>
          </w:p>
          <w:p w14:paraId="1383FAE8" w14:textId="77777777" w:rsidR="0057163C" w:rsidRPr="00170422" w:rsidRDefault="00F37BF9">
            <w:pPr>
              <w:pStyle w:val="P68B1DB1-Normal12"/>
              <w:jc w:val="both"/>
              <w:rPr>
                <w:noProof/>
                <w:lang w:val="de-DE"/>
              </w:rPr>
            </w:pPr>
            <w:r w:rsidRPr="00170422">
              <w:rPr>
                <w:noProof/>
                <w:lang w:val="de-DE"/>
              </w:rPr>
              <w:t xml:space="preserve">B) Digitalisierte Luftfahrtinformationen </w:t>
            </w:r>
          </w:p>
          <w:p w14:paraId="493D52E6" w14:textId="77777777" w:rsidR="0057163C" w:rsidRPr="00170422" w:rsidRDefault="00F37BF9">
            <w:pPr>
              <w:pStyle w:val="P68B1DB1-Normal12"/>
              <w:rPr>
                <w:noProof/>
                <w:lang w:val="de-DE"/>
              </w:rPr>
            </w:pPr>
            <w:r w:rsidRPr="00170422">
              <w:rPr>
                <w:noProof/>
                <w:lang w:val="de-DE"/>
              </w:rPr>
              <w:t>C) Unbemanntes Verkehrsmanagementsystem und Konnektivität (UTMS).</w:t>
            </w:r>
          </w:p>
        </w:tc>
      </w:tr>
      <w:tr w:rsidR="0057163C" w:rsidRPr="00170422" w14:paraId="29FD4FAE" w14:textId="77777777" w:rsidTr="00924983">
        <w:trPr>
          <w:trHeight w:val="309"/>
          <w:jc w:val="center"/>
        </w:trPr>
        <w:tc>
          <w:tcPr>
            <w:tcW w:w="1039" w:type="dxa"/>
            <w:shd w:val="clear" w:color="auto" w:fill="C6EFCE"/>
            <w:noWrap/>
            <w:vAlign w:val="center"/>
          </w:tcPr>
          <w:p w14:paraId="75B426DA"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M3C2-7 </w:t>
            </w:r>
          </w:p>
        </w:tc>
        <w:tc>
          <w:tcPr>
            <w:tcW w:w="1754" w:type="dxa"/>
            <w:shd w:val="clear" w:color="auto" w:fill="C6EFCE"/>
            <w:noWrap/>
            <w:vAlign w:val="center"/>
          </w:tcPr>
          <w:p w14:paraId="1B437521"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Investition 2.3: Kaltbügeln </w:t>
            </w:r>
          </w:p>
        </w:tc>
        <w:tc>
          <w:tcPr>
            <w:tcW w:w="1436" w:type="dxa"/>
            <w:shd w:val="clear" w:color="auto" w:fill="C6EFCE"/>
            <w:noWrap/>
            <w:vAlign w:val="center"/>
          </w:tcPr>
          <w:p w14:paraId="05F13740"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Meilenstein </w:t>
            </w:r>
          </w:p>
        </w:tc>
        <w:tc>
          <w:tcPr>
            <w:tcW w:w="1637" w:type="dxa"/>
            <w:shd w:val="clear" w:color="auto" w:fill="C6EFCE"/>
            <w:noWrap/>
            <w:vAlign w:val="center"/>
          </w:tcPr>
          <w:p w14:paraId="11E157F0"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Vergabe aller öffentlichen Aufträge </w:t>
            </w:r>
          </w:p>
        </w:tc>
        <w:tc>
          <w:tcPr>
            <w:tcW w:w="1701" w:type="dxa"/>
            <w:shd w:val="clear" w:color="auto" w:fill="C6EFCE"/>
            <w:noWrap/>
            <w:vAlign w:val="center"/>
          </w:tcPr>
          <w:p w14:paraId="0CF742D2"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szCs w:val="20"/>
                <w:lang w:val="de-DE"/>
              </w:rPr>
              <w:t xml:space="preserve">Veröffentlichung der Ausschreibung und Vergabe aller öffentlichen Aufträge für den Bau von mindestens 15 Kaltbügelanlagen </w:t>
            </w:r>
          </w:p>
        </w:tc>
        <w:tc>
          <w:tcPr>
            <w:tcW w:w="1134" w:type="dxa"/>
            <w:shd w:val="clear" w:color="auto" w:fill="C6EFCE"/>
            <w:noWrap/>
            <w:vAlign w:val="center"/>
          </w:tcPr>
          <w:p w14:paraId="04CB2159"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ENTFÄLLT. </w:t>
            </w:r>
          </w:p>
        </w:tc>
        <w:tc>
          <w:tcPr>
            <w:tcW w:w="1418" w:type="dxa"/>
            <w:shd w:val="clear" w:color="auto" w:fill="C6EFCE"/>
            <w:noWrap/>
            <w:vAlign w:val="center"/>
          </w:tcPr>
          <w:p w14:paraId="7FCB0980"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ENTFÄLLT. </w:t>
            </w:r>
          </w:p>
        </w:tc>
        <w:tc>
          <w:tcPr>
            <w:tcW w:w="709" w:type="dxa"/>
            <w:shd w:val="clear" w:color="auto" w:fill="C6EFCE"/>
            <w:noWrap/>
            <w:vAlign w:val="center"/>
          </w:tcPr>
          <w:p w14:paraId="2B388038"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ENTFÄLLT. </w:t>
            </w:r>
          </w:p>
        </w:tc>
        <w:tc>
          <w:tcPr>
            <w:tcW w:w="801" w:type="dxa"/>
            <w:shd w:val="clear" w:color="auto" w:fill="C6EFCE"/>
            <w:noWrap/>
            <w:vAlign w:val="center"/>
          </w:tcPr>
          <w:p w14:paraId="319B9C9E"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Q3 </w:t>
            </w:r>
          </w:p>
        </w:tc>
        <w:tc>
          <w:tcPr>
            <w:tcW w:w="758" w:type="dxa"/>
            <w:shd w:val="clear" w:color="auto" w:fill="C6EFCE"/>
            <w:noWrap/>
            <w:vAlign w:val="center"/>
          </w:tcPr>
          <w:p w14:paraId="39D41CAF"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2024 </w:t>
            </w:r>
          </w:p>
        </w:tc>
        <w:tc>
          <w:tcPr>
            <w:tcW w:w="2576" w:type="dxa"/>
            <w:shd w:val="clear" w:color="auto" w:fill="C6EFCE"/>
            <w:noWrap/>
            <w:vAlign w:val="center"/>
          </w:tcPr>
          <w:p w14:paraId="195D43C3" w14:textId="77777777" w:rsidR="0057163C" w:rsidRPr="00170422" w:rsidRDefault="00F37BF9">
            <w:pPr>
              <w:jc w:val="both"/>
              <w:rPr>
                <w:rFonts w:ascii="Arial Narrow" w:hAnsi="Arial Narrow"/>
                <w:noProof/>
                <w:color w:val="006100"/>
                <w:sz w:val="20"/>
                <w:szCs w:val="20"/>
                <w:lang w:val="de-DE"/>
              </w:rPr>
            </w:pPr>
            <w:r w:rsidRPr="00170422">
              <w:rPr>
                <w:rStyle w:val="normaltextrun"/>
                <w:rFonts w:ascii="Arial Narrow" w:hAnsi="Arial Narrow"/>
                <w:noProof/>
                <w:color w:val="006100"/>
                <w:sz w:val="20"/>
                <w:szCs w:val="20"/>
                <w:lang w:val="de-DE"/>
              </w:rPr>
              <w:t xml:space="preserve">Veröffentlichung der Ausschreibung und Vergabe aller Aufträge für den Bau von mindestens 15 Kaltbügelanlagen mit Strom in mindestens 10 Häfen. </w:t>
            </w:r>
          </w:p>
        </w:tc>
      </w:tr>
      <w:tr w:rsidR="0057163C" w:rsidRPr="00170422" w14:paraId="22B38668" w14:textId="77777777" w:rsidTr="00924983">
        <w:trPr>
          <w:trHeight w:val="309"/>
          <w:jc w:val="center"/>
        </w:trPr>
        <w:tc>
          <w:tcPr>
            <w:tcW w:w="1039" w:type="dxa"/>
            <w:shd w:val="clear" w:color="auto" w:fill="C6EFCE"/>
            <w:noWrap/>
            <w:vAlign w:val="center"/>
          </w:tcPr>
          <w:p w14:paraId="75E696C2"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M3C2-12</w:t>
            </w:r>
          </w:p>
        </w:tc>
        <w:tc>
          <w:tcPr>
            <w:tcW w:w="1754" w:type="dxa"/>
            <w:shd w:val="clear" w:color="auto" w:fill="C6EFCE"/>
            <w:noWrap/>
            <w:vAlign w:val="center"/>
          </w:tcPr>
          <w:p w14:paraId="2A32746F"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Investition 2.3: Kaltbügeln </w:t>
            </w:r>
          </w:p>
        </w:tc>
        <w:tc>
          <w:tcPr>
            <w:tcW w:w="1436" w:type="dxa"/>
            <w:shd w:val="clear" w:color="auto" w:fill="C6EFCE"/>
            <w:noWrap/>
            <w:vAlign w:val="center"/>
          </w:tcPr>
          <w:p w14:paraId="6CA985C9"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Ziel </w:t>
            </w:r>
          </w:p>
        </w:tc>
        <w:tc>
          <w:tcPr>
            <w:tcW w:w="1637" w:type="dxa"/>
            <w:shd w:val="clear" w:color="auto" w:fill="C6EFCE"/>
            <w:noWrap/>
            <w:vAlign w:val="center"/>
          </w:tcPr>
          <w:p w14:paraId="3E7E6A74" w14:textId="77777777" w:rsidR="0057163C" w:rsidRPr="00170422" w:rsidRDefault="00F37BF9">
            <w:pPr>
              <w:pStyle w:val="P68B1DB1-Normal11"/>
              <w:jc w:val="center"/>
              <w:rPr>
                <w:noProof/>
                <w:szCs w:val="20"/>
                <w:lang w:val="de-DE"/>
              </w:rPr>
            </w:pPr>
            <w:r w:rsidRPr="00170422">
              <w:rPr>
                <w:noProof/>
                <w:lang w:val="de-DE"/>
              </w:rPr>
              <w:t xml:space="preserve">Abschluss der Arbeiten und Abnahme der geschätzten Anschlusskosten durch den Projektträger für Kaltbügelinfrastrukturen. </w:t>
            </w:r>
          </w:p>
        </w:tc>
        <w:tc>
          <w:tcPr>
            <w:tcW w:w="1701" w:type="dxa"/>
            <w:shd w:val="clear" w:color="auto" w:fill="C6EFCE"/>
            <w:noWrap/>
            <w:vAlign w:val="center"/>
          </w:tcPr>
          <w:p w14:paraId="12C6B67D" w14:textId="77777777" w:rsidR="0057163C" w:rsidRPr="00170422" w:rsidRDefault="00F37BF9">
            <w:pPr>
              <w:jc w:val="center"/>
              <w:rPr>
                <w:rFonts w:ascii="Arial Narrow" w:hAnsi="Arial Narrow"/>
                <w:noProof/>
                <w:color w:val="006100"/>
                <w:sz w:val="20"/>
                <w:szCs w:val="20"/>
                <w:lang w:val="de-DE"/>
              </w:rPr>
            </w:pPr>
            <w:r w:rsidRPr="00170422">
              <w:rPr>
                <w:rStyle w:val="eop"/>
                <w:rFonts w:ascii="Arial Narrow" w:hAnsi="Arial Narrow"/>
                <w:noProof/>
                <w:color w:val="006100"/>
                <w:sz w:val="20"/>
                <w:lang w:val="de-DE"/>
              </w:rPr>
              <w:t xml:space="preserve"> </w:t>
            </w:r>
          </w:p>
        </w:tc>
        <w:tc>
          <w:tcPr>
            <w:tcW w:w="1134" w:type="dxa"/>
            <w:shd w:val="clear" w:color="auto" w:fill="C6EFCE"/>
            <w:noWrap/>
            <w:vAlign w:val="center"/>
          </w:tcPr>
          <w:p w14:paraId="6C53A4C9"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Anzahl </w:t>
            </w:r>
          </w:p>
        </w:tc>
        <w:tc>
          <w:tcPr>
            <w:tcW w:w="1418" w:type="dxa"/>
            <w:shd w:val="clear" w:color="auto" w:fill="C6EFCE"/>
            <w:noWrap/>
            <w:vAlign w:val="center"/>
          </w:tcPr>
          <w:p w14:paraId="5FE5A8E1"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0 </w:t>
            </w:r>
          </w:p>
        </w:tc>
        <w:tc>
          <w:tcPr>
            <w:tcW w:w="709" w:type="dxa"/>
            <w:shd w:val="clear" w:color="auto" w:fill="C6EFCE"/>
            <w:noWrap/>
            <w:vAlign w:val="center"/>
          </w:tcPr>
          <w:p w14:paraId="088CB54E"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15 </w:t>
            </w:r>
          </w:p>
        </w:tc>
        <w:tc>
          <w:tcPr>
            <w:tcW w:w="801" w:type="dxa"/>
            <w:shd w:val="clear" w:color="auto" w:fill="C6EFCE"/>
            <w:noWrap/>
            <w:vAlign w:val="center"/>
          </w:tcPr>
          <w:p w14:paraId="19142497"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Q2</w:t>
            </w:r>
          </w:p>
        </w:tc>
        <w:tc>
          <w:tcPr>
            <w:tcW w:w="758" w:type="dxa"/>
            <w:shd w:val="clear" w:color="auto" w:fill="C6EFCE"/>
            <w:noWrap/>
            <w:vAlign w:val="center"/>
          </w:tcPr>
          <w:p w14:paraId="34CC71A0" w14:textId="77777777" w:rsidR="0057163C" w:rsidRPr="00170422" w:rsidRDefault="00F37BF9">
            <w:pPr>
              <w:jc w:val="center"/>
              <w:rPr>
                <w:rFonts w:ascii="Arial Narrow" w:hAnsi="Arial Narrow"/>
                <w:noProof/>
                <w:color w:val="006100"/>
                <w:sz w:val="20"/>
                <w:szCs w:val="20"/>
                <w:lang w:val="de-DE"/>
              </w:rPr>
            </w:pPr>
            <w:r w:rsidRPr="00170422">
              <w:rPr>
                <w:rStyle w:val="normaltextrun"/>
                <w:rFonts w:ascii="Arial Narrow" w:hAnsi="Arial Narrow"/>
                <w:noProof/>
                <w:color w:val="006100"/>
                <w:sz w:val="20"/>
                <w:lang w:val="de-DE"/>
              </w:rPr>
              <w:t xml:space="preserve">2026 </w:t>
            </w:r>
          </w:p>
        </w:tc>
        <w:tc>
          <w:tcPr>
            <w:tcW w:w="2576" w:type="dxa"/>
            <w:shd w:val="clear" w:color="auto" w:fill="C6EFCE"/>
            <w:noWrap/>
            <w:vAlign w:val="center"/>
          </w:tcPr>
          <w:p w14:paraId="1DDF830F" w14:textId="7021EA9C" w:rsidR="0057163C" w:rsidRPr="00170422" w:rsidRDefault="00F37BF9">
            <w:pPr>
              <w:pStyle w:val="P68B1DB1-Normal11"/>
              <w:jc w:val="both"/>
              <w:rPr>
                <w:noProof/>
                <w:szCs w:val="20"/>
                <w:lang w:val="de-DE"/>
              </w:rPr>
            </w:pPr>
            <w:r w:rsidRPr="00170422">
              <w:rPr>
                <w:noProof/>
                <w:lang w:val="de-DE"/>
              </w:rPr>
              <w:t>Bescheinigungen über den Abschluss der Arbeiten und die Abnahme der geschätzten Anschlusskosten durch den Pr</w:t>
            </w:r>
            <w:r w:rsidRPr="00170422">
              <w:rPr>
                <w:noProof/>
                <w:lang w:val="de-DE"/>
              </w:rPr>
              <w:t>ojektträger für mindestens 15 Kaltbügelinfrastrukturen in mindestens 10 Häfen.</w:t>
            </w:r>
          </w:p>
        </w:tc>
      </w:tr>
    </w:tbl>
    <w:p w14:paraId="6B856018" w14:textId="77777777" w:rsidR="0057163C" w:rsidRPr="00170422" w:rsidRDefault="0057163C">
      <w:pPr>
        <w:spacing w:before="120" w:after="120"/>
        <w:ind w:left="709"/>
        <w:jc w:val="both"/>
        <w:rPr>
          <w:noProof/>
          <w:lang w:val="de-DE"/>
        </w:rPr>
      </w:pPr>
    </w:p>
    <w:p w14:paraId="76C45BB2" w14:textId="77777777" w:rsidR="0057163C" w:rsidRPr="00170422" w:rsidRDefault="0057163C">
      <w:pPr>
        <w:spacing w:before="120" w:after="120"/>
        <w:ind w:left="709"/>
        <w:jc w:val="both"/>
        <w:rPr>
          <w:noProof/>
          <w:lang w:val="de-DE"/>
        </w:rPr>
        <w:sectPr w:rsidR="0057163C" w:rsidRPr="00170422" w:rsidSect="005F11B9">
          <w:headerReference w:type="even" r:id="rId158"/>
          <w:headerReference w:type="default" r:id="rId159"/>
          <w:footerReference w:type="even" r:id="rId160"/>
          <w:footerReference w:type="default" r:id="rId161"/>
          <w:headerReference w:type="first" r:id="rId162"/>
          <w:footerReference w:type="first" r:id="rId163"/>
          <w:pgSz w:w="16839" w:h="11907" w:orient="landscape"/>
          <w:pgMar w:top="1134" w:right="1134" w:bottom="1134" w:left="1134" w:header="567" w:footer="567" w:gutter="0"/>
          <w:cols w:space="720"/>
          <w:docGrid w:linePitch="360"/>
        </w:sectPr>
      </w:pPr>
    </w:p>
    <w:p w14:paraId="65FEB9EB" w14:textId="77777777" w:rsidR="0057163C" w:rsidRPr="00170422" w:rsidRDefault="00F37BF9">
      <w:pPr>
        <w:pStyle w:val="P68B1DB1-Heading34"/>
        <w:ind w:left="850" w:hanging="850"/>
        <w:rPr>
          <w:b/>
          <w:bCs/>
          <w:i/>
          <w:iCs/>
          <w:noProof/>
          <w:u w:val="single"/>
          <w:lang w:val="de-DE"/>
        </w:rPr>
      </w:pPr>
      <w:r w:rsidRPr="00170422">
        <w:rPr>
          <w:b/>
          <w:noProof/>
          <w:u w:val="single"/>
          <w:lang w:val="de-DE"/>
        </w:rPr>
        <w:t xml:space="preserve">I.3. </w:t>
      </w:r>
      <w:r w:rsidRPr="00170422">
        <w:rPr>
          <w:noProof/>
          <w:lang w:val="de-DE"/>
        </w:rPr>
        <w:t xml:space="preserve"> </w:t>
      </w:r>
      <w:r w:rsidRPr="00170422">
        <w:rPr>
          <w:b/>
          <w:noProof/>
          <w:u w:val="single"/>
          <w:lang w:val="de-DE"/>
        </w:rPr>
        <w:t xml:space="preserve">Beschreibung der Reformen und Investitionen (Darlehen) </w:t>
      </w:r>
    </w:p>
    <w:p w14:paraId="782F48C1" w14:textId="77777777" w:rsidR="0057163C" w:rsidRPr="00170422" w:rsidRDefault="00F37BF9">
      <w:pPr>
        <w:pStyle w:val="P68B1DB1-Normal5"/>
        <w:spacing w:before="120" w:after="120"/>
        <w:jc w:val="both"/>
        <w:rPr>
          <w:rFonts w:eastAsia="Calibri"/>
          <w:noProof/>
          <w:lang w:val="de-DE"/>
        </w:rPr>
      </w:pPr>
      <w:r w:rsidRPr="00170422">
        <w:rPr>
          <w:noProof/>
          <w:lang w:val="de-DE"/>
        </w:rPr>
        <w:t xml:space="preserve">Investition 1.1: „Grüne Häfen: Maßnahmen im </w:t>
      </w:r>
      <w:r w:rsidRPr="00170422">
        <w:rPr>
          <w:noProof/>
          <w:lang w:val="de-DE"/>
        </w:rPr>
        <w:t>Bereich der erneuerbaren Energien und der Energieeffizienz in Häfen</w:t>
      </w:r>
    </w:p>
    <w:p w14:paraId="490712E4" w14:textId="77777777" w:rsidR="0057163C" w:rsidRPr="00170422" w:rsidRDefault="00F37BF9">
      <w:pPr>
        <w:pStyle w:val="P68B1DB1-Normal7"/>
        <w:spacing w:before="120" w:after="120"/>
        <w:jc w:val="both"/>
        <w:rPr>
          <w:rFonts w:eastAsia="Calibri"/>
          <w:noProof/>
          <w:lang w:val="de-DE"/>
        </w:rPr>
      </w:pPr>
      <w:r w:rsidRPr="00170422">
        <w:rPr>
          <w:noProof/>
          <w:lang w:val="de-DE"/>
        </w:rPr>
        <w:t>Ziel dieser Maßnahme ist die Verringerung der Treibhausgasemissionen und die Verbesserung der Luftqualität in Häfen und Hafenstädten. Diese Investition umfasst Energieeffizienzmaßnahmen, d</w:t>
      </w:r>
      <w:r w:rsidRPr="00170422">
        <w:rPr>
          <w:noProof/>
          <w:lang w:val="de-DE"/>
        </w:rPr>
        <w:t>ie Entwicklung erneuerbarer Energien sowie den Erwerb emissionsfreier Fahrzeuge und Serviceboote oder die Umwandlung von mit fossilen Kraftstoffen betriebenen Fahrzeugen und Servicebooten in emissionsfreie Fahrzeuge.</w:t>
      </w:r>
    </w:p>
    <w:p w14:paraId="2F6C9B8E" w14:textId="6032493F" w:rsidR="0057163C" w:rsidRPr="00170422" w:rsidRDefault="00F37BF9">
      <w:pPr>
        <w:pStyle w:val="P68B1DB1-Normal5"/>
        <w:spacing w:before="120" w:after="120"/>
        <w:jc w:val="both"/>
        <w:rPr>
          <w:noProof/>
          <w:lang w:val="de-DE"/>
        </w:rPr>
      </w:pPr>
      <w:r w:rsidRPr="00170422">
        <w:rPr>
          <w:noProof/>
          <w:lang w:val="de-DE"/>
        </w:rPr>
        <w:t>Reform 2.2: Einrichtung einer nationale</w:t>
      </w:r>
      <w:r w:rsidRPr="00170422">
        <w:rPr>
          <w:noProof/>
          <w:lang w:val="de-DE"/>
        </w:rPr>
        <w:t>n Plattform für digitale Logistik zur Einführung der Digitalisierung des Güter- und/oder Personenverkehrs</w:t>
      </w:r>
    </w:p>
    <w:p w14:paraId="294DA221" w14:textId="77777777" w:rsidR="0057163C" w:rsidRPr="00170422" w:rsidRDefault="00F37BF9">
      <w:pPr>
        <w:pStyle w:val="P68B1DB1-Normal7"/>
        <w:spacing w:before="120" w:after="120"/>
        <w:jc w:val="both"/>
        <w:rPr>
          <w:noProof/>
          <w:lang w:val="de-DE"/>
        </w:rPr>
      </w:pPr>
      <w:r w:rsidRPr="00170422">
        <w:rPr>
          <w:noProof/>
          <w:lang w:val="de-DE"/>
        </w:rPr>
        <w:t>Ziel der Reform ist es, die Hafengemeinschaftssysteme der einzelnen Hafensystembehörden mit der nationalen Plattform für digitale Logistik interoperab</w:t>
      </w:r>
      <w:r w:rsidRPr="00170422">
        <w:rPr>
          <w:noProof/>
          <w:lang w:val="de-DE"/>
        </w:rPr>
        <w:t xml:space="preserve">el zu machen. </w:t>
      </w:r>
    </w:p>
    <w:p w14:paraId="7498718C" w14:textId="5E4426CC" w:rsidR="0057163C" w:rsidRPr="00170422" w:rsidRDefault="0057163C">
      <w:pPr>
        <w:spacing w:before="120" w:after="120"/>
        <w:jc w:val="both"/>
        <w:rPr>
          <w:rFonts w:ascii="Times New Roman" w:hAnsi="Times New Roman" w:cs="Times New Roman"/>
          <w:noProof/>
          <w:lang w:val="de-DE"/>
        </w:rPr>
        <w:sectPr w:rsidR="0057163C" w:rsidRPr="00170422" w:rsidSect="005F11B9">
          <w:headerReference w:type="even" r:id="rId164"/>
          <w:headerReference w:type="default" r:id="rId165"/>
          <w:footerReference w:type="even" r:id="rId166"/>
          <w:footerReference w:type="default" r:id="rId167"/>
          <w:headerReference w:type="first" r:id="rId168"/>
          <w:footerReference w:type="first" r:id="rId169"/>
          <w:pgSz w:w="11907" w:h="16839"/>
          <w:pgMar w:top="1134" w:right="1134" w:bottom="1134" w:left="1134" w:header="567" w:footer="567" w:gutter="0"/>
          <w:cols w:space="720"/>
          <w:docGrid w:linePitch="360"/>
        </w:sectPr>
      </w:pPr>
    </w:p>
    <w:p w14:paraId="1748F555"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I.4.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53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9"/>
        <w:gridCol w:w="1652"/>
        <w:gridCol w:w="1183"/>
        <w:gridCol w:w="1554"/>
        <w:gridCol w:w="1422"/>
        <w:gridCol w:w="1276"/>
        <w:gridCol w:w="1418"/>
        <w:gridCol w:w="850"/>
        <w:gridCol w:w="851"/>
        <w:gridCol w:w="708"/>
        <w:gridCol w:w="3270"/>
      </w:tblGrid>
      <w:tr w:rsidR="0057163C" w:rsidRPr="00170422" w14:paraId="5BC67E1A" w14:textId="77777777" w:rsidTr="00924983">
        <w:trPr>
          <w:trHeight w:val="939"/>
          <w:tblHeader/>
          <w:jc w:val="center"/>
        </w:trPr>
        <w:tc>
          <w:tcPr>
            <w:tcW w:w="1079" w:type="dxa"/>
            <w:vMerge w:val="restart"/>
            <w:shd w:val="clear" w:color="auto" w:fill="BDD7EE"/>
            <w:vAlign w:val="center"/>
            <w:hideMark/>
          </w:tcPr>
          <w:p w14:paraId="64F87FE4" w14:textId="77777777" w:rsidR="0057163C" w:rsidRPr="00170422" w:rsidRDefault="00F37BF9">
            <w:pPr>
              <w:pStyle w:val="P68B1DB1-Normal10"/>
              <w:jc w:val="center"/>
              <w:rPr>
                <w:noProof/>
                <w:szCs w:val="20"/>
                <w:lang w:val="de-DE"/>
              </w:rPr>
            </w:pPr>
            <w:r w:rsidRPr="00170422">
              <w:rPr>
                <w:noProof/>
                <w:lang w:val="de-DE"/>
              </w:rPr>
              <w:t>Laufende Nummer</w:t>
            </w:r>
          </w:p>
        </w:tc>
        <w:tc>
          <w:tcPr>
            <w:tcW w:w="1652" w:type="dxa"/>
            <w:vMerge w:val="restart"/>
            <w:shd w:val="clear" w:color="auto" w:fill="BDD7EE"/>
            <w:vAlign w:val="center"/>
            <w:hideMark/>
          </w:tcPr>
          <w:p w14:paraId="2C4F28A5"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183" w:type="dxa"/>
            <w:vMerge w:val="restart"/>
            <w:shd w:val="clear" w:color="auto" w:fill="BDD7EE"/>
            <w:vAlign w:val="center"/>
            <w:hideMark/>
          </w:tcPr>
          <w:p w14:paraId="73D6FB1C" w14:textId="5C5ED20D" w:rsidR="0057163C" w:rsidRPr="00170422" w:rsidRDefault="00F37BF9">
            <w:pPr>
              <w:pStyle w:val="P68B1DB1-Normal10"/>
              <w:jc w:val="center"/>
              <w:rPr>
                <w:noProof/>
                <w:szCs w:val="20"/>
                <w:lang w:val="de-DE"/>
              </w:rPr>
            </w:pPr>
            <w:r w:rsidRPr="00170422">
              <w:rPr>
                <w:noProof/>
                <w:lang w:val="de-DE"/>
              </w:rPr>
              <w:t>Etappenziel/Zielwert</w:t>
            </w:r>
          </w:p>
        </w:tc>
        <w:tc>
          <w:tcPr>
            <w:tcW w:w="1554" w:type="dxa"/>
            <w:vMerge w:val="restart"/>
            <w:shd w:val="clear" w:color="auto" w:fill="BDD7EE"/>
            <w:vAlign w:val="center"/>
            <w:hideMark/>
          </w:tcPr>
          <w:p w14:paraId="196C51B8" w14:textId="77777777" w:rsidR="0057163C" w:rsidRPr="00170422" w:rsidRDefault="00F37BF9">
            <w:pPr>
              <w:pStyle w:val="P68B1DB1-Normal10"/>
              <w:jc w:val="center"/>
              <w:rPr>
                <w:noProof/>
                <w:szCs w:val="20"/>
                <w:lang w:val="de-DE"/>
              </w:rPr>
            </w:pPr>
            <w:r w:rsidRPr="00170422">
              <w:rPr>
                <w:noProof/>
                <w:lang w:val="de-DE"/>
              </w:rPr>
              <w:t>Namen</w:t>
            </w:r>
          </w:p>
        </w:tc>
        <w:tc>
          <w:tcPr>
            <w:tcW w:w="1422" w:type="dxa"/>
            <w:vMerge w:val="restart"/>
            <w:shd w:val="clear" w:color="auto" w:fill="BDD7EE"/>
            <w:vAlign w:val="center"/>
            <w:hideMark/>
          </w:tcPr>
          <w:p w14:paraId="6B87ACB9" w14:textId="63D5932A"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924983"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544" w:type="dxa"/>
            <w:gridSpan w:val="3"/>
            <w:shd w:val="clear" w:color="auto" w:fill="BDD7EE"/>
            <w:vAlign w:val="center"/>
            <w:hideMark/>
          </w:tcPr>
          <w:p w14:paraId="4EFA2DD7"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59" w:type="dxa"/>
            <w:gridSpan w:val="2"/>
            <w:shd w:val="clear" w:color="auto" w:fill="BDD7EE"/>
            <w:vAlign w:val="center"/>
            <w:hideMark/>
          </w:tcPr>
          <w:p w14:paraId="6EBD7C07" w14:textId="77777777" w:rsidR="0057163C" w:rsidRPr="00170422" w:rsidRDefault="00F37BF9">
            <w:pPr>
              <w:pStyle w:val="P68B1DB1-Normal10"/>
              <w:jc w:val="center"/>
              <w:rPr>
                <w:noProof/>
                <w:szCs w:val="20"/>
                <w:lang w:val="de-DE"/>
              </w:rPr>
            </w:pPr>
            <w:r w:rsidRPr="00170422">
              <w:rPr>
                <w:noProof/>
                <w:lang w:val="de-DE"/>
              </w:rPr>
              <w:t xml:space="preserve">Vorläufiger Zeitplan für die Fertigstellung </w:t>
            </w:r>
          </w:p>
        </w:tc>
        <w:tc>
          <w:tcPr>
            <w:tcW w:w="3270" w:type="dxa"/>
            <w:vMerge w:val="restart"/>
            <w:shd w:val="clear" w:color="auto" w:fill="BDD7EE"/>
            <w:vAlign w:val="center"/>
            <w:hideMark/>
          </w:tcPr>
          <w:p w14:paraId="764BFA19"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376CB503" w14:textId="77777777" w:rsidTr="00924983">
        <w:trPr>
          <w:trHeight w:val="1027"/>
          <w:tblHeader/>
          <w:jc w:val="center"/>
        </w:trPr>
        <w:tc>
          <w:tcPr>
            <w:tcW w:w="1079" w:type="dxa"/>
            <w:vMerge/>
            <w:vAlign w:val="center"/>
            <w:hideMark/>
          </w:tcPr>
          <w:p w14:paraId="68E0905F" w14:textId="77777777" w:rsidR="0057163C" w:rsidRPr="00170422" w:rsidRDefault="0057163C">
            <w:pPr>
              <w:rPr>
                <w:rFonts w:ascii="Arial Narrow" w:hAnsi="Arial Narrow"/>
                <w:b/>
                <w:bCs/>
                <w:noProof/>
                <w:sz w:val="20"/>
                <w:szCs w:val="20"/>
                <w:lang w:val="de-DE"/>
              </w:rPr>
            </w:pPr>
          </w:p>
        </w:tc>
        <w:tc>
          <w:tcPr>
            <w:tcW w:w="1652" w:type="dxa"/>
            <w:vMerge/>
            <w:vAlign w:val="center"/>
            <w:hideMark/>
          </w:tcPr>
          <w:p w14:paraId="0A0F800E" w14:textId="77777777" w:rsidR="0057163C" w:rsidRPr="00170422" w:rsidRDefault="0057163C">
            <w:pPr>
              <w:rPr>
                <w:rFonts w:ascii="Arial Narrow" w:hAnsi="Arial Narrow"/>
                <w:b/>
                <w:bCs/>
                <w:noProof/>
                <w:sz w:val="20"/>
                <w:szCs w:val="20"/>
                <w:lang w:val="de-DE"/>
              </w:rPr>
            </w:pPr>
          </w:p>
        </w:tc>
        <w:tc>
          <w:tcPr>
            <w:tcW w:w="1183" w:type="dxa"/>
            <w:vMerge/>
            <w:vAlign w:val="center"/>
            <w:hideMark/>
          </w:tcPr>
          <w:p w14:paraId="0FB05003" w14:textId="77777777" w:rsidR="0057163C" w:rsidRPr="00170422" w:rsidRDefault="0057163C">
            <w:pPr>
              <w:rPr>
                <w:rFonts w:ascii="Arial Narrow" w:hAnsi="Arial Narrow"/>
                <w:b/>
                <w:bCs/>
                <w:noProof/>
                <w:sz w:val="20"/>
                <w:szCs w:val="20"/>
                <w:lang w:val="de-DE"/>
              </w:rPr>
            </w:pPr>
          </w:p>
        </w:tc>
        <w:tc>
          <w:tcPr>
            <w:tcW w:w="1554" w:type="dxa"/>
            <w:vMerge/>
            <w:vAlign w:val="center"/>
            <w:hideMark/>
          </w:tcPr>
          <w:p w14:paraId="79FA3C08" w14:textId="77777777" w:rsidR="0057163C" w:rsidRPr="00170422" w:rsidRDefault="0057163C">
            <w:pPr>
              <w:rPr>
                <w:rFonts w:ascii="Arial Narrow" w:hAnsi="Arial Narrow"/>
                <w:b/>
                <w:bCs/>
                <w:noProof/>
                <w:sz w:val="20"/>
                <w:szCs w:val="20"/>
                <w:lang w:val="de-DE"/>
              </w:rPr>
            </w:pPr>
          </w:p>
        </w:tc>
        <w:tc>
          <w:tcPr>
            <w:tcW w:w="1422" w:type="dxa"/>
            <w:vMerge/>
            <w:vAlign w:val="center"/>
            <w:hideMark/>
          </w:tcPr>
          <w:p w14:paraId="0FDE00E9" w14:textId="77777777" w:rsidR="0057163C" w:rsidRPr="00170422" w:rsidRDefault="0057163C">
            <w:pPr>
              <w:rPr>
                <w:rFonts w:ascii="Arial Narrow" w:hAnsi="Arial Narrow"/>
                <w:b/>
                <w:bCs/>
                <w:noProof/>
                <w:sz w:val="20"/>
                <w:szCs w:val="20"/>
                <w:lang w:val="de-DE"/>
              </w:rPr>
            </w:pPr>
          </w:p>
        </w:tc>
        <w:tc>
          <w:tcPr>
            <w:tcW w:w="1276" w:type="dxa"/>
            <w:shd w:val="clear" w:color="auto" w:fill="BDD7EE"/>
            <w:vAlign w:val="center"/>
            <w:hideMark/>
          </w:tcPr>
          <w:p w14:paraId="52D5A3D0" w14:textId="77777777" w:rsidR="0057163C" w:rsidRPr="00170422" w:rsidRDefault="00F37BF9">
            <w:pPr>
              <w:pStyle w:val="P68B1DB1-Normal10"/>
              <w:jc w:val="center"/>
              <w:rPr>
                <w:noProof/>
                <w:szCs w:val="20"/>
                <w:lang w:val="de-DE"/>
              </w:rPr>
            </w:pPr>
            <w:r w:rsidRPr="00170422">
              <w:rPr>
                <w:noProof/>
                <w:lang w:val="de-DE"/>
              </w:rPr>
              <w:t>Maßeinheit</w:t>
            </w:r>
          </w:p>
        </w:tc>
        <w:tc>
          <w:tcPr>
            <w:tcW w:w="1418" w:type="dxa"/>
            <w:shd w:val="clear" w:color="auto" w:fill="BDD7EE"/>
            <w:vAlign w:val="center"/>
            <w:hideMark/>
          </w:tcPr>
          <w:p w14:paraId="68FA531A" w14:textId="77777777" w:rsidR="0057163C" w:rsidRPr="00170422" w:rsidRDefault="00F37BF9">
            <w:pPr>
              <w:pStyle w:val="P68B1DB1-Normal10"/>
              <w:jc w:val="center"/>
              <w:rPr>
                <w:noProof/>
                <w:szCs w:val="20"/>
                <w:lang w:val="de-DE"/>
              </w:rPr>
            </w:pPr>
            <w:r w:rsidRPr="00170422">
              <w:rPr>
                <w:noProof/>
                <w:lang w:val="de-DE"/>
              </w:rPr>
              <w:t xml:space="preserve">Ausgangslage </w:t>
            </w:r>
          </w:p>
        </w:tc>
        <w:tc>
          <w:tcPr>
            <w:tcW w:w="850" w:type="dxa"/>
            <w:shd w:val="clear" w:color="auto" w:fill="BDD7EE"/>
            <w:vAlign w:val="center"/>
            <w:hideMark/>
          </w:tcPr>
          <w:p w14:paraId="665305E7" w14:textId="77777777" w:rsidR="0057163C" w:rsidRPr="00170422" w:rsidRDefault="00F37BF9">
            <w:pPr>
              <w:pStyle w:val="P68B1DB1-Normal10"/>
              <w:jc w:val="center"/>
              <w:rPr>
                <w:noProof/>
                <w:szCs w:val="20"/>
                <w:lang w:val="de-DE"/>
              </w:rPr>
            </w:pPr>
            <w:r w:rsidRPr="00170422">
              <w:rPr>
                <w:noProof/>
                <w:lang w:val="de-DE"/>
              </w:rPr>
              <w:t xml:space="preserve">Ziel </w:t>
            </w:r>
          </w:p>
        </w:tc>
        <w:tc>
          <w:tcPr>
            <w:tcW w:w="851" w:type="dxa"/>
            <w:shd w:val="clear" w:color="auto" w:fill="BDD7EE"/>
            <w:vAlign w:val="center"/>
            <w:hideMark/>
          </w:tcPr>
          <w:p w14:paraId="1A16599E" w14:textId="77777777" w:rsidR="0057163C" w:rsidRPr="00170422" w:rsidRDefault="00F37BF9">
            <w:pPr>
              <w:pStyle w:val="P68B1DB1-Normal10"/>
              <w:jc w:val="center"/>
              <w:rPr>
                <w:noProof/>
                <w:szCs w:val="20"/>
                <w:lang w:val="de-DE"/>
              </w:rPr>
            </w:pPr>
            <w:r w:rsidRPr="00170422">
              <w:rPr>
                <w:noProof/>
                <w:lang w:val="de-DE"/>
              </w:rPr>
              <w:t>Viertel</w:t>
            </w:r>
          </w:p>
        </w:tc>
        <w:tc>
          <w:tcPr>
            <w:tcW w:w="708" w:type="dxa"/>
            <w:shd w:val="clear" w:color="auto" w:fill="BDD7EE"/>
            <w:vAlign w:val="center"/>
            <w:hideMark/>
          </w:tcPr>
          <w:p w14:paraId="6678CF0C" w14:textId="77777777" w:rsidR="0057163C" w:rsidRPr="00170422" w:rsidRDefault="00F37BF9">
            <w:pPr>
              <w:pStyle w:val="P68B1DB1-Normal10"/>
              <w:jc w:val="center"/>
              <w:rPr>
                <w:noProof/>
                <w:szCs w:val="20"/>
                <w:lang w:val="de-DE"/>
              </w:rPr>
            </w:pPr>
            <w:r w:rsidRPr="00170422">
              <w:rPr>
                <w:noProof/>
                <w:lang w:val="de-DE"/>
              </w:rPr>
              <w:t>Jahre</w:t>
            </w:r>
          </w:p>
        </w:tc>
        <w:tc>
          <w:tcPr>
            <w:tcW w:w="3270" w:type="dxa"/>
            <w:vMerge/>
            <w:vAlign w:val="center"/>
            <w:hideMark/>
          </w:tcPr>
          <w:p w14:paraId="43ABF898" w14:textId="77777777" w:rsidR="0057163C" w:rsidRPr="00170422" w:rsidRDefault="0057163C">
            <w:pPr>
              <w:rPr>
                <w:rFonts w:ascii="Arial Narrow" w:hAnsi="Arial Narrow"/>
                <w:b/>
                <w:bCs/>
                <w:noProof/>
                <w:sz w:val="20"/>
                <w:szCs w:val="20"/>
                <w:lang w:val="de-DE"/>
              </w:rPr>
            </w:pPr>
          </w:p>
        </w:tc>
      </w:tr>
      <w:tr w:rsidR="0057163C" w:rsidRPr="00170422" w14:paraId="28F5039F" w14:textId="77777777" w:rsidTr="00924983">
        <w:trPr>
          <w:trHeight w:val="313"/>
          <w:jc w:val="center"/>
        </w:trPr>
        <w:tc>
          <w:tcPr>
            <w:tcW w:w="1079" w:type="dxa"/>
            <w:shd w:val="clear" w:color="auto" w:fill="C6EFCE"/>
            <w:noWrap/>
            <w:vAlign w:val="center"/>
          </w:tcPr>
          <w:p w14:paraId="60690D1A" w14:textId="77777777" w:rsidR="0057163C" w:rsidRPr="00170422" w:rsidRDefault="00F37BF9">
            <w:pPr>
              <w:pStyle w:val="P68B1DB1-Normal11"/>
              <w:jc w:val="center"/>
              <w:rPr>
                <w:noProof/>
                <w:szCs w:val="20"/>
                <w:lang w:val="de-DE"/>
              </w:rPr>
            </w:pPr>
            <w:r w:rsidRPr="00170422">
              <w:rPr>
                <w:noProof/>
                <w:lang w:val="de-DE"/>
              </w:rPr>
              <w:t>M3C2-8</w:t>
            </w:r>
          </w:p>
        </w:tc>
        <w:tc>
          <w:tcPr>
            <w:tcW w:w="1652" w:type="dxa"/>
            <w:shd w:val="clear" w:color="auto" w:fill="C6EFCE"/>
            <w:noWrap/>
            <w:vAlign w:val="center"/>
          </w:tcPr>
          <w:p w14:paraId="3928968E" w14:textId="77777777" w:rsidR="0057163C" w:rsidRPr="00170422" w:rsidRDefault="00F37BF9">
            <w:pPr>
              <w:pStyle w:val="P68B1DB1-Normal11"/>
              <w:jc w:val="center"/>
              <w:rPr>
                <w:noProof/>
                <w:szCs w:val="20"/>
                <w:lang w:val="de-DE"/>
              </w:rPr>
            </w:pPr>
            <w:r w:rsidRPr="00170422">
              <w:rPr>
                <w:noProof/>
                <w:lang w:val="de-DE"/>
              </w:rPr>
              <w:t>Investition 1.1: „Grüne Häfen: Maßnahmen im Bereich der erneuerbaren Energien und der Energieeffizienz in Häfen</w:t>
            </w:r>
          </w:p>
        </w:tc>
        <w:tc>
          <w:tcPr>
            <w:tcW w:w="1183" w:type="dxa"/>
            <w:shd w:val="clear" w:color="auto" w:fill="C6EFCE"/>
            <w:noWrap/>
            <w:vAlign w:val="center"/>
          </w:tcPr>
          <w:p w14:paraId="6524A5F1" w14:textId="77777777" w:rsidR="0057163C" w:rsidRPr="00170422" w:rsidRDefault="00F37BF9">
            <w:pPr>
              <w:pStyle w:val="P68B1DB1-Normal11"/>
              <w:jc w:val="center"/>
              <w:rPr>
                <w:noProof/>
                <w:szCs w:val="20"/>
                <w:lang w:val="de-DE"/>
              </w:rPr>
            </w:pPr>
            <w:r w:rsidRPr="00170422">
              <w:rPr>
                <w:noProof/>
                <w:lang w:val="de-DE"/>
              </w:rPr>
              <w:t>Ziel</w:t>
            </w:r>
          </w:p>
        </w:tc>
        <w:tc>
          <w:tcPr>
            <w:tcW w:w="1554" w:type="dxa"/>
            <w:shd w:val="clear" w:color="auto" w:fill="C6EFCE"/>
            <w:noWrap/>
            <w:vAlign w:val="center"/>
          </w:tcPr>
          <w:p w14:paraId="49FEFF05" w14:textId="77777777" w:rsidR="0057163C" w:rsidRPr="00170422" w:rsidRDefault="00F37BF9">
            <w:pPr>
              <w:pStyle w:val="P68B1DB1-Normal11"/>
              <w:jc w:val="center"/>
              <w:rPr>
                <w:noProof/>
                <w:szCs w:val="20"/>
                <w:lang w:val="de-DE"/>
              </w:rPr>
            </w:pPr>
            <w:r w:rsidRPr="00170422">
              <w:rPr>
                <w:noProof/>
                <w:lang w:val="de-DE"/>
              </w:rPr>
              <w:t>„Grüne Häfen: Vergabe von Bauwerken</w:t>
            </w:r>
          </w:p>
        </w:tc>
        <w:tc>
          <w:tcPr>
            <w:tcW w:w="1422" w:type="dxa"/>
            <w:shd w:val="clear" w:color="auto" w:fill="C6EFCE"/>
            <w:noWrap/>
            <w:vAlign w:val="center"/>
          </w:tcPr>
          <w:p w14:paraId="568A2EF1"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tcPr>
          <w:p w14:paraId="0E37C260"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0C2882CB" w14:textId="77777777" w:rsidR="0057163C" w:rsidRPr="00170422" w:rsidRDefault="00F37BF9">
            <w:pPr>
              <w:pStyle w:val="P68B1DB1-Normal11"/>
              <w:jc w:val="center"/>
              <w:rPr>
                <w:noProof/>
                <w:szCs w:val="20"/>
                <w:lang w:val="de-DE"/>
              </w:rPr>
            </w:pPr>
            <w:r w:rsidRPr="00170422">
              <w:rPr>
                <w:noProof/>
                <w:lang w:val="de-DE"/>
              </w:rPr>
              <w:t>0</w:t>
            </w:r>
          </w:p>
        </w:tc>
        <w:tc>
          <w:tcPr>
            <w:tcW w:w="850" w:type="dxa"/>
            <w:shd w:val="clear" w:color="auto" w:fill="C6EFCE"/>
            <w:noWrap/>
            <w:vAlign w:val="center"/>
          </w:tcPr>
          <w:p w14:paraId="092E55C7" w14:textId="77777777" w:rsidR="0057163C" w:rsidRPr="00170422" w:rsidRDefault="00F37BF9">
            <w:pPr>
              <w:pStyle w:val="P68B1DB1-Normal11"/>
              <w:jc w:val="center"/>
              <w:rPr>
                <w:noProof/>
                <w:szCs w:val="20"/>
                <w:lang w:val="de-DE"/>
              </w:rPr>
            </w:pPr>
            <w:r w:rsidRPr="00170422">
              <w:rPr>
                <w:noProof/>
                <w:lang w:val="de-DE"/>
              </w:rPr>
              <w:t>7</w:t>
            </w:r>
          </w:p>
        </w:tc>
        <w:tc>
          <w:tcPr>
            <w:tcW w:w="851" w:type="dxa"/>
            <w:shd w:val="clear" w:color="auto" w:fill="C6EFCE"/>
            <w:noWrap/>
            <w:vAlign w:val="center"/>
          </w:tcPr>
          <w:p w14:paraId="519D7754" w14:textId="77777777" w:rsidR="0057163C" w:rsidRPr="00170422" w:rsidRDefault="00F37BF9">
            <w:pPr>
              <w:pStyle w:val="P68B1DB1-Normal11"/>
              <w:jc w:val="center"/>
              <w:rPr>
                <w:noProof/>
                <w:szCs w:val="20"/>
                <w:lang w:val="de-DE"/>
              </w:rPr>
            </w:pPr>
            <w:r w:rsidRPr="00170422">
              <w:rPr>
                <w:noProof/>
                <w:lang w:val="de-DE"/>
              </w:rPr>
              <w:t>4. QUARTAL</w:t>
            </w:r>
          </w:p>
        </w:tc>
        <w:tc>
          <w:tcPr>
            <w:tcW w:w="708" w:type="dxa"/>
            <w:shd w:val="clear" w:color="auto" w:fill="C6EFCE"/>
            <w:noWrap/>
            <w:vAlign w:val="center"/>
          </w:tcPr>
          <w:p w14:paraId="20F7A8A9" w14:textId="77777777" w:rsidR="0057163C" w:rsidRPr="00170422" w:rsidRDefault="00F37BF9">
            <w:pPr>
              <w:pStyle w:val="P68B1DB1-Normal11"/>
              <w:jc w:val="center"/>
              <w:rPr>
                <w:noProof/>
                <w:szCs w:val="20"/>
                <w:lang w:val="de-DE"/>
              </w:rPr>
            </w:pPr>
            <w:r w:rsidRPr="00170422">
              <w:rPr>
                <w:noProof/>
                <w:lang w:val="de-DE"/>
              </w:rPr>
              <w:t>2022</w:t>
            </w:r>
          </w:p>
        </w:tc>
        <w:tc>
          <w:tcPr>
            <w:tcW w:w="3270" w:type="dxa"/>
            <w:shd w:val="clear" w:color="auto" w:fill="C6EFCE"/>
            <w:noWrap/>
            <w:vAlign w:val="center"/>
          </w:tcPr>
          <w:p w14:paraId="580E1863" w14:textId="77777777" w:rsidR="0057163C" w:rsidRPr="00170422" w:rsidRDefault="00F37BF9">
            <w:pPr>
              <w:pStyle w:val="P68B1DB1-Normal11"/>
              <w:jc w:val="both"/>
              <w:rPr>
                <w:noProof/>
                <w:szCs w:val="20"/>
                <w:lang w:val="de-DE"/>
              </w:rPr>
            </w:pPr>
            <w:r w:rsidRPr="00170422">
              <w:rPr>
                <w:noProof/>
                <w:lang w:val="de-DE"/>
              </w:rPr>
              <w:t xml:space="preserve">Zuweisung der Arbeiten an mindestens sieben Hafenbehörden. Das Auswahlverfahren für die Vergabe von Arbeiten umfasst Folgendes: </w:t>
            </w:r>
          </w:p>
          <w:p w14:paraId="2FCA6243" w14:textId="77777777" w:rsidR="0057163C" w:rsidRPr="00170422" w:rsidRDefault="00F37BF9">
            <w:pPr>
              <w:pStyle w:val="P68B1DB1-Normal11"/>
              <w:jc w:val="both"/>
              <w:rPr>
                <w:noProof/>
                <w:szCs w:val="20"/>
                <w:lang w:val="de-DE"/>
              </w:rPr>
            </w:pPr>
            <w:r w:rsidRPr="00170422">
              <w:rPr>
                <w:noProof/>
                <w:lang w:val="de-DE"/>
              </w:rPr>
              <w:t>a) Förderkriterien, mit denen sichergestellt wird, dass die Arbeiten den technischen Leitlinien „Vermeidung erheblicher Beeintr</w:t>
            </w:r>
            <w:r w:rsidRPr="00170422">
              <w:rPr>
                <w:noProof/>
                <w:lang w:val="de-DE"/>
              </w:rPr>
              <w:t>ächtigungen“ (2021/C58/01) und den einschlägigen EU- und nationalen Umweltvorschriften entsprechen.</w:t>
            </w:r>
          </w:p>
          <w:p w14:paraId="02286515" w14:textId="77777777" w:rsidR="0057163C" w:rsidRPr="00170422" w:rsidRDefault="00F37BF9">
            <w:pPr>
              <w:pStyle w:val="P68B1DB1-Normal11"/>
              <w:jc w:val="both"/>
              <w:rPr>
                <w:noProof/>
                <w:szCs w:val="20"/>
                <w:lang w:val="de-DE"/>
              </w:rPr>
            </w:pPr>
            <w:r w:rsidRPr="00170422">
              <w:rPr>
                <w:noProof/>
                <w:lang w:val="de-DE"/>
              </w:rPr>
              <w:t>B) Verpflichtung, dass der Klimaschutzbeitrag der Investition nach der Methode in Anhang VI der Verordnung (EU) 2021/241 mindestens 79 % der Gesamtkosten de</w:t>
            </w:r>
            <w:r w:rsidRPr="00170422">
              <w:rPr>
                <w:noProof/>
                <w:lang w:val="de-DE"/>
              </w:rPr>
              <w:t>r aus der Aufbau- und Resilienzfazilität unterstützten Investition ausmachen muss.</w:t>
            </w:r>
          </w:p>
          <w:p w14:paraId="62BA87B5" w14:textId="77777777" w:rsidR="0057163C" w:rsidRPr="00170422" w:rsidRDefault="00F37BF9">
            <w:pPr>
              <w:pStyle w:val="P68B1DB1-Normal11"/>
              <w:jc w:val="both"/>
              <w:rPr>
                <w:noProof/>
                <w:szCs w:val="20"/>
                <w:lang w:val="de-DE"/>
              </w:rPr>
            </w:pPr>
            <w:r w:rsidRPr="00170422">
              <w:rPr>
                <w:noProof/>
                <w:lang w:val="de-DE"/>
              </w:rPr>
              <w:t>C) Verpflichtung, über die Durchführung der Maßnahme zur Hälfte der Laufzeit der Regelung und über das Ende der Regelung Bericht zu erstatten.</w:t>
            </w:r>
          </w:p>
        </w:tc>
      </w:tr>
      <w:tr w:rsidR="0057163C" w:rsidRPr="00170422" w14:paraId="28316CBC" w14:textId="77777777" w:rsidTr="00924983">
        <w:trPr>
          <w:trHeight w:val="313"/>
          <w:jc w:val="center"/>
        </w:trPr>
        <w:tc>
          <w:tcPr>
            <w:tcW w:w="1079" w:type="dxa"/>
            <w:shd w:val="clear" w:color="auto" w:fill="C6EFCE"/>
            <w:noWrap/>
            <w:vAlign w:val="center"/>
          </w:tcPr>
          <w:p w14:paraId="5A98C593" w14:textId="77777777" w:rsidR="0057163C" w:rsidRPr="00170422" w:rsidRDefault="00F37BF9">
            <w:pPr>
              <w:pStyle w:val="P68B1DB1-Normal11"/>
              <w:jc w:val="center"/>
              <w:rPr>
                <w:noProof/>
                <w:szCs w:val="20"/>
                <w:lang w:val="de-DE"/>
              </w:rPr>
            </w:pPr>
            <w:r w:rsidRPr="00170422">
              <w:rPr>
                <w:noProof/>
                <w:lang w:val="de-DE"/>
              </w:rPr>
              <w:t>M3C2-9 </w:t>
            </w:r>
          </w:p>
        </w:tc>
        <w:tc>
          <w:tcPr>
            <w:tcW w:w="1652" w:type="dxa"/>
            <w:shd w:val="clear" w:color="auto" w:fill="C6EFCE"/>
            <w:noWrap/>
            <w:vAlign w:val="center"/>
          </w:tcPr>
          <w:p w14:paraId="31E077F0" w14:textId="77777777" w:rsidR="0057163C" w:rsidRPr="00170422" w:rsidRDefault="00F37BF9">
            <w:pPr>
              <w:pStyle w:val="P68B1DB1-Normal11"/>
              <w:jc w:val="center"/>
              <w:rPr>
                <w:noProof/>
                <w:szCs w:val="20"/>
                <w:lang w:val="de-DE"/>
              </w:rPr>
            </w:pPr>
            <w:r w:rsidRPr="00170422">
              <w:rPr>
                <w:noProof/>
                <w:lang w:val="de-DE"/>
              </w:rPr>
              <w:t xml:space="preserve">Investition 1.1: </w:t>
            </w:r>
            <w:r w:rsidRPr="00170422">
              <w:rPr>
                <w:noProof/>
                <w:lang w:val="de-DE"/>
              </w:rPr>
              <w:t>„Grüne Häfen: Maßnahmen im Bereich der erneuerbaren Energien und der Energieeffizienz in Häfen </w:t>
            </w:r>
          </w:p>
        </w:tc>
        <w:tc>
          <w:tcPr>
            <w:tcW w:w="1183" w:type="dxa"/>
            <w:shd w:val="clear" w:color="auto" w:fill="C6EFCE"/>
            <w:noWrap/>
            <w:vAlign w:val="center"/>
          </w:tcPr>
          <w:p w14:paraId="0B65FC5F" w14:textId="0430E95B" w:rsidR="0057163C" w:rsidRPr="00170422" w:rsidRDefault="00F37BF9">
            <w:pPr>
              <w:pStyle w:val="P68B1DB1-Normal11"/>
              <w:jc w:val="center"/>
              <w:rPr>
                <w:noProof/>
                <w:szCs w:val="20"/>
                <w:lang w:val="de-DE"/>
              </w:rPr>
            </w:pPr>
            <w:r w:rsidRPr="00170422">
              <w:rPr>
                <w:noProof/>
                <w:lang w:val="de-DE"/>
              </w:rPr>
              <w:t>Ziel</w:t>
            </w:r>
          </w:p>
        </w:tc>
        <w:tc>
          <w:tcPr>
            <w:tcW w:w="1554" w:type="dxa"/>
            <w:shd w:val="clear" w:color="auto" w:fill="C6EFCE"/>
            <w:noWrap/>
            <w:vAlign w:val="center"/>
          </w:tcPr>
          <w:p w14:paraId="628F753E" w14:textId="77777777" w:rsidR="0057163C" w:rsidRPr="00170422" w:rsidRDefault="00F37BF9">
            <w:pPr>
              <w:pStyle w:val="P68B1DB1-Normal11"/>
              <w:jc w:val="center"/>
              <w:rPr>
                <w:noProof/>
                <w:szCs w:val="20"/>
                <w:lang w:val="de-DE"/>
              </w:rPr>
            </w:pPr>
            <w:r w:rsidRPr="00170422">
              <w:rPr>
                <w:noProof/>
                <w:lang w:val="de-DE"/>
              </w:rPr>
              <w:t xml:space="preserve">„Grüne Häfen: Abschluss der Arbeiten </w:t>
            </w:r>
          </w:p>
        </w:tc>
        <w:tc>
          <w:tcPr>
            <w:tcW w:w="1422" w:type="dxa"/>
            <w:shd w:val="clear" w:color="auto" w:fill="C6EFCE"/>
            <w:noWrap/>
            <w:vAlign w:val="center"/>
          </w:tcPr>
          <w:p w14:paraId="3491B639"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tcPr>
          <w:p w14:paraId="5508755C"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408B1D4B" w14:textId="77777777" w:rsidR="0057163C" w:rsidRPr="00170422" w:rsidRDefault="00F37BF9">
            <w:pPr>
              <w:pStyle w:val="P68B1DB1-Normal11"/>
              <w:jc w:val="center"/>
              <w:rPr>
                <w:noProof/>
                <w:szCs w:val="20"/>
                <w:lang w:val="de-DE"/>
              </w:rPr>
            </w:pPr>
            <w:r w:rsidRPr="00170422">
              <w:rPr>
                <w:noProof/>
                <w:lang w:val="de-DE"/>
              </w:rPr>
              <w:t>0</w:t>
            </w:r>
          </w:p>
        </w:tc>
        <w:tc>
          <w:tcPr>
            <w:tcW w:w="850" w:type="dxa"/>
            <w:shd w:val="clear" w:color="auto" w:fill="C6EFCE"/>
            <w:noWrap/>
            <w:vAlign w:val="center"/>
          </w:tcPr>
          <w:p w14:paraId="33EF9C0A" w14:textId="77777777" w:rsidR="0057163C" w:rsidRPr="00170422" w:rsidRDefault="00F37BF9">
            <w:pPr>
              <w:pStyle w:val="P68B1DB1-Normal11"/>
              <w:jc w:val="center"/>
              <w:rPr>
                <w:noProof/>
                <w:szCs w:val="20"/>
                <w:lang w:val="de-DE"/>
              </w:rPr>
            </w:pPr>
            <w:r w:rsidRPr="00170422">
              <w:rPr>
                <w:noProof/>
                <w:lang w:val="de-DE"/>
              </w:rPr>
              <w:t>75</w:t>
            </w:r>
          </w:p>
        </w:tc>
        <w:tc>
          <w:tcPr>
            <w:tcW w:w="851" w:type="dxa"/>
            <w:shd w:val="clear" w:color="auto" w:fill="C6EFCE"/>
            <w:noWrap/>
            <w:vAlign w:val="center"/>
          </w:tcPr>
          <w:p w14:paraId="0A4204A7" w14:textId="77777777" w:rsidR="0057163C" w:rsidRPr="00170422" w:rsidRDefault="00F37BF9">
            <w:pPr>
              <w:pStyle w:val="P68B1DB1-Normal11"/>
              <w:jc w:val="center"/>
              <w:rPr>
                <w:noProof/>
                <w:szCs w:val="20"/>
                <w:lang w:val="de-DE"/>
              </w:rPr>
            </w:pPr>
            <w:r w:rsidRPr="00170422">
              <w:rPr>
                <w:noProof/>
                <w:lang w:val="de-DE"/>
              </w:rPr>
              <w:t>Q2 </w:t>
            </w:r>
          </w:p>
        </w:tc>
        <w:tc>
          <w:tcPr>
            <w:tcW w:w="708" w:type="dxa"/>
            <w:shd w:val="clear" w:color="auto" w:fill="C6EFCE"/>
            <w:noWrap/>
            <w:vAlign w:val="center"/>
          </w:tcPr>
          <w:p w14:paraId="21B9260E" w14:textId="77777777" w:rsidR="0057163C" w:rsidRPr="00170422" w:rsidRDefault="00F37BF9">
            <w:pPr>
              <w:pStyle w:val="P68B1DB1-Normal11"/>
              <w:jc w:val="center"/>
              <w:rPr>
                <w:noProof/>
                <w:szCs w:val="20"/>
                <w:lang w:val="de-DE"/>
              </w:rPr>
            </w:pPr>
            <w:r w:rsidRPr="00170422">
              <w:rPr>
                <w:noProof/>
                <w:lang w:val="de-DE"/>
              </w:rPr>
              <w:t>2026 </w:t>
            </w:r>
          </w:p>
        </w:tc>
        <w:tc>
          <w:tcPr>
            <w:tcW w:w="3270" w:type="dxa"/>
            <w:shd w:val="clear" w:color="auto" w:fill="C6EFCE"/>
            <w:noWrap/>
            <w:vAlign w:val="center"/>
          </w:tcPr>
          <w:p w14:paraId="56F5A114" w14:textId="3A223E34" w:rsidR="0057163C" w:rsidRPr="00170422" w:rsidRDefault="00F37BF9">
            <w:pPr>
              <w:pStyle w:val="P68B1DB1-Normal12"/>
              <w:jc w:val="both"/>
              <w:rPr>
                <w:noProof/>
                <w:lang w:val="de-DE"/>
              </w:rPr>
            </w:pPr>
            <w:r w:rsidRPr="00170422">
              <w:rPr>
                <w:noProof/>
                <w:lang w:val="de-DE"/>
              </w:rPr>
              <w:t xml:space="preserve">Lieferung von Waren, Bauleistungen und Dienstleistungen im Zusammenhang mit </w:t>
            </w:r>
            <w:r w:rsidRPr="00170422">
              <w:rPr>
                <w:noProof/>
                <w:lang w:val="de-DE"/>
              </w:rPr>
              <w:t>mindestens 75 Projekten für die Hafenbehörden.</w:t>
            </w:r>
          </w:p>
        </w:tc>
      </w:tr>
      <w:tr w:rsidR="0057163C" w:rsidRPr="00170422" w14:paraId="13A940EF" w14:textId="77777777" w:rsidTr="00924983">
        <w:trPr>
          <w:trHeight w:val="313"/>
          <w:jc w:val="center"/>
        </w:trPr>
        <w:tc>
          <w:tcPr>
            <w:tcW w:w="1079" w:type="dxa"/>
            <w:shd w:val="clear" w:color="auto" w:fill="C6EFCE"/>
            <w:noWrap/>
            <w:vAlign w:val="center"/>
          </w:tcPr>
          <w:p w14:paraId="0B25346D" w14:textId="77777777" w:rsidR="0057163C" w:rsidRPr="00170422" w:rsidRDefault="00F37BF9">
            <w:pPr>
              <w:pStyle w:val="P68B1DB1-Normal11"/>
              <w:jc w:val="center"/>
              <w:rPr>
                <w:noProof/>
                <w:szCs w:val="20"/>
                <w:lang w:val="de-DE"/>
              </w:rPr>
            </w:pPr>
            <w:r w:rsidRPr="00170422">
              <w:rPr>
                <w:noProof/>
                <w:lang w:val="de-DE"/>
              </w:rPr>
              <w:t>M3C2-10</w:t>
            </w:r>
          </w:p>
        </w:tc>
        <w:tc>
          <w:tcPr>
            <w:tcW w:w="1652" w:type="dxa"/>
            <w:shd w:val="clear" w:color="auto" w:fill="C6EFCE"/>
            <w:noWrap/>
            <w:vAlign w:val="center"/>
          </w:tcPr>
          <w:p w14:paraId="2D59020E" w14:textId="4EB9263C" w:rsidR="0057163C" w:rsidRPr="00170422" w:rsidRDefault="00F37BF9">
            <w:pPr>
              <w:pStyle w:val="P68B1DB1-Normal11"/>
              <w:jc w:val="center"/>
              <w:rPr>
                <w:noProof/>
                <w:szCs w:val="20"/>
                <w:lang w:val="de-DE"/>
              </w:rPr>
            </w:pPr>
            <w:r w:rsidRPr="00170422">
              <w:rPr>
                <w:noProof/>
                <w:lang w:val="de-DE"/>
              </w:rPr>
              <w:t>Reform 2.2: Einrichtung einer nationalen Plattform für digitale Logistik zur Einführung der Digitalisierung des Güter- und/oder Personenverkehrs</w:t>
            </w:r>
          </w:p>
        </w:tc>
        <w:tc>
          <w:tcPr>
            <w:tcW w:w="1183" w:type="dxa"/>
            <w:shd w:val="clear" w:color="auto" w:fill="C6EFCE"/>
            <w:noWrap/>
            <w:vAlign w:val="center"/>
          </w:tcPr>
          <w:p w14:paraId="4AB09F5D" w14:textId="77777777" w:rsidR="0057163C" w:rsidRPr="00170422" w:rsidRDefault="00F37BF9">
            <w:pPr>
              <w:pStyle w:val="P68B1DB1-Normal11"/>
              <w:jc w:val="center"/>
              <w:rPr>
                <w:noProof/>
                <w:szCs w:val="20"/>
                <w:lang w:val="de-DE"/>
              </w:rPr>
            </w:pPr>
            <w:r w:rsidRPr="00170422">
              <w:rPr>
                <w:noProof/>
                <w:lang w:val="de-DE"/>
              </w:rPr>
              <w:t>Meilenstein</w:t>
            </w:r>
          </w:p>
        </w:tc>
        <w:tc>
          <w:tcPr>
            <w:tcW w:w="1554" w:type="dxa"/>
            <w:shd w:val="clear" w:color="auto" w:fill="C6EFCE"/>
            <w:noWrap/>
            <w:vAlign w:val="center"/>
          </w:tcPr>
          <w:p w14:paraId="74DE892D" w14:textId="77777777" w:rsidR="0057163C" w:rsidRPr="00170422" w:rsidRDefault="00F37BF9">
            <w:pPr>
              <w:pStyle w:val="P68B1DB1-Normal11"/>
              <w:jc w:val="center"/>
              <w:rPr>
                <w:noProof/>
                <w:szCs w:val="20"/>
                <w:lang w:val="de-DE"/>
              </w:rPr>
            </w:pPr>
            <w:r w:rsidRPr="00170422">
              <w:rPr>
                <w:noProof/>
                <w:lang w:val="de-DE"/>
              </w:rPr>
              <w:t xml:space="preserve">Nationale Plattform für digitale Logistik </w:t>
            </w:r>
          </w:p>
        </w:tc>
        <w:tc>
          <w:tcPr>
            <w:tcW w:w="1422" w:type="dxa"/>
            <w:shd w:val="clear" w:color="auto" w:fill="C6EFCE"/>
            <w:noWrap/>
            <w:vAlign w:val="center"/>
          </w:tcPr>
          <w:p w14:paraId="18416DC0" w14:textId="2FFCA15E" w:rsidR="0057163C" w:rsidRPr="00170422" w:rsidRDefault="00F37BF9">
            <w:pPr>
              <w:pStyle w:val="P68B1DB1-Normal11"/>
              <w:jc w:val="center"/>
              <w:rPr>
                <w:noProof/>
                <w:szCs w:val="20"/>
                <w:lang w:val="de-DE"/>
              </w:rPr>
            </w:pPr>
            <w:r w:rsidRPr="00170422">
              <w:rPr>
                <w:noProof/>
                <w:lang w:val="de-DE"/>
              </w:rPr>
              <w:t xml:space="preserve">Bestimmung im Rechtsakt über das Inkrafttreten des Rechtsakts  </w:t>
            </w:r>
          </w:p>
        </w:tc>
        <w:tc>
          <w:tcPr>
            <w:tcW w:w="1276" w:type="dxa"/>
            <w:shd w:val="clear" w:color="auto" w:fill="C6EFCE"/>
            <w:noWrap/>
            <w:vAlign w:val="center"/>
          </w:tcPr>
          <w:p w14:paraId="211C0F88"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4C8C9166"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shd w:val="clear" w:color="auto" w:fill="C6EFCE"/>
            <w:noWrap/>
            <w:vAlign w:val="center"/>
          </w:tcPr>
          <w:p w14:paraId="47B2CA59"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noWrap/>
            <w:vAlign w:val="center"/>
          </w:tcPr>
          <w:p w14:paraId="31099F6F" w14:textId="77777777" w:rsidR="0057163C" w:rsidRPr="00170422" w:rsidRDefault="00F37BF9">
            <w:pPr>
              <w:pStyle w:val="P68B1DB1-Normal11"/>
              <w:jc w:val="center"/>
              <w:rPr>
                <w:noProof/>
                <w:szCs w:val="20"/>
                <w:lang w:val="de-DE"/>
              </w:rPr>
            </w:pPr>
            <w:r w:rsidRPr="00170422">
              <w:rPr>
                <w:noProof/>
                <w:lang w:val="de-DE"/>
              </w:rPr>
              <w:t>Q2</w:t>
            </w:r>
          </w:p>
        </w:tc>
        <w:tc>
          <w:tcPr>
            <w:tcW w:w="708" w:type="dxa"/>
            <w:shd w:val="clear" w:color="auto" w:fill="C6EFCE"/>
            <w:noWrap/>
            <w:vAlign w:val="center"/>
          </w:tcPr>
          <w:p w14:paraId="59363CC4" w14:textId="77777777" w:rsidR="0057163C" w:rsidRPr="00170422" w:rsidRDefault="00F37BF9">
            <w:pPr>
              <w:pStyle w:val="P68B1DB1-Normal11"/>
              <w:jc w:val="center"/>
              <w:rPr>
                <w:noProof/>
                <w:szCs w:val="20"/>
                <w:lang w:val="de-DE"/>
              </w:rPr>
            </w:pPr>
            <w:r w:rsidRPr="00170422">
              <w:rPr>
                <w:noProof/>
                <w:lang w:val="de-DE"/>
              </w:rPr>
              <w:t>2024</w:t>
            </w:r>
          </w:p>
        </w:tc>
        <w:tc>
          <w:tcPr>
            <w:tcW w:w="3270" w:type="dxa"/>
            <w:shd w:val="clear" w:color="auto" w:fill="C6EFCE"/>
            <w:noWrap/>
            <w:vAlign w:val="center"/>
          </w:tcPr>
          <w:p w14:paraId="10C60412" w14:textId="77777777" w:rsidR="0057163C" w:rsidRPr="00170422" w:rsidRDefault="00F37BF9">
            <w:pPr>
              <w:pStyle w:val="P68B1DB1-Normal11"/>
              <w:jc w:val="both"/>
              <w:rPr>
                <w:noProof/>
                <w:szCs w:val="20"/>
                <w:lang w:val="de-DE"/>
              </w:rPr>
            </w:pPr>
            <w:r w:rsidRPr="00170422">
              <w:rPr>
                <w:noProof/>
                <w:lang w:val="de-DE"/>
              </w:rPr>
              <w:t>Inkrafttreten eines Rechtsakts, mit dem die Interoperabilität der Hafengemeinschaftssysteme mit der nationalen Plattform für digitale Logistik sichergeste</w:t>
            </w:r>
            <w:r w:rsidRPr="00170422">
              <w:rPr>
                <w:noProof/>
                <w:lang w:val="de-DE"/>
              </w:rPr>
              <w:t>llt wird.</w:t>
            </w:r>
          </w:p>
          <w:p w14:paraId="1796EA5A" w14:textId="77777777" w:rsidR="0057163C" w:rsidRPr="00170422" w:rsidRDefault="00F37BF9">
            <w:pPr>
              <w:pStyle w:val="P68B1DB1-Normal11"/>
              <w:jc w:val="both"/>
              <w:rPr>
                <w:noProof/>
                <w:szCs w:val="20"/>
                <w:lang w:val="de-DE"/>
              </w:rPr>
            </w:pPr>
            <w:r w:rsidRPr="00170422">
              <w:rPr>
                <w:noProof/>
                <w:lang w:val="de-DE"/>
              </w:rPr>
              <w:t>Darüber hinaus sieht der Rechtsakt vor, dass die Hafenbehörden mit PCS-Standarddiensten (Hafengemeinschaftssystem) ausgestattet sind, die mit den beteiligten öffentlichen Verwaltungen interoperabel und mit der EU-Verordnung 1056/2020 und der nati</w:t>
            </w:r>
            <w:r w:rsidRPr="00170422">
              <w:rPr>
                <w:noProof/>
                <w:lang w:val="de-DE"/>
              </w:rPr>
              <w:t>onalen Plattform für digitale Logistik kompatibel sind.</w:t>
            </w:r>
          </w:p>
        </w:tc>
      </w:tr>
    </w:tbl>
    <w:p w14:paraId="60D0AB25" w14:textId="77777777" w:rsidR="0057163C" w:rsidRPr="00170422" w:rsidRDefault="0057163C">
      <w:pPr>
        <w:rPr>
          <w:noProof/>
          <w:lang w:val="de-DE"/>
        </w:rPr>
        <w:sectPr w:rsidR="0057163C" w:rsidRPr="00170422" w:rsidSect="00564077">
          <w:headerReference w:type="even" r:id="rId170"/>
          <w:headerReference w:type="default" r:id="rId171"/>
          <w:footerReference w:type="even" r:id="rId172"/>
          <w:footerReference w:type="default" r:id="rId173"/>
          <w:headerReference w:type="first" r:id="rId174"/>
          <w:footerReference w:type="first" r:id="rId175"/>
          <w:pgSz w:w="16838" w:h="11906" w:orient="landscape"/>
          <w:pgMar w:top="1440" w:right="1440" w:bottom="1440" w:left="1440" w:header="708" w:footer="708" w:gutter="0"/>
          <w:cols w:space="708"/>
          <w:docGrid w:linePitch="360"/>
        </w:sectPr>
      </w:pPr>
    </w:p>
    <w:p w14:paraId="4B10191D" w14:textId="77777777" w:rsidR="0057163C" w:rsidRPr="00170422" w:rsidRDefault="00F37BF9">
      <w:pPr>
        <w:pStyle w:val="P68B1DB1-Heading291"/>
        <w:rPr>
          <w:rFonts w:ascii="Times New Roman" w:hAnsi="Times New Roman" w:cs="Times New Roman"/>
          <w:noProof/>
          <w:lang w:val="de-DE"/>
        </w:rPr>
      </w:pPr>
      <w:r w:rsidRPr="00170422">
        <w:rPr>
          <w:rFonts w:ascii="Times New Roman" w:eastAsia="Times New Roman" w:hAnsi="Times New Roman" w:cs="Times New Roman"/>
          <w:b/>
          <w:noProof/>
          <w:color w:val="auto"/>
          <w:lang w:val="de-DE"/>
        </w:rPr>
        <w:t>J. MISSION 4 KOMPONENTE 1: Stärkung des Bildungsangebots: von Kindergärten bis zu Hochschulen</w:t>
      </w:r>
      <w:r w:rsidRPr="00170422">
        <w:rPr>
          <w:rFonts w:ascii="Times New Roman" w:hAnsi="Times New Roman" w:cs="Times New Roman"/>
          <w:noProof/>
          <w:lang w:val="de-DE"/>
        </w:rPr>
        <w:t xml:space="preserve"> </w:t>
      </w:r>
    </w:p>
    <w:p w14:paraId="43A053AA" w14:textId="77777777" w:rsidR="0057163C" w:rsidRPr="00170422" w:rsidRDefault="00F37BF9">
      <w:pPr>
        <w:pStyle w:val="P68B1DB1-Normal7"/>
        <w:spacing w:before="120" w:after="120"/>
        <w:jc w:val="both"/>
        <w:rPr>
          <w:noProof/>
          <w:lang w:val="de-DE"/>
        </w:rPr>
      </w:pPr>
      <w:r w:rsidRPr="00170422">
        <w:rPr>
          <w:noProof/>
          <w:lang w:val="de-DE"/>
        </w:rPr>
        <w:t xml:space="preserve">Diese Komponente des italienischen Aufbau- und </w:t>
      </w:r>
      <w:r w:rsidRPr="00170422">
        <w:rPr>
          <w:noProof/>
          <w:lang w:val="de-DE"/>
        </w:rPr>
        <w:t>Resilienzplans umfasst vier Interventionsbereiche: I) Qualitätsverbesserung und quantitative Ausweitung der allgemeinen und beruflichen Bildung – von Kindergärten bis zur Universität; II) Reform des Lehrberufs, insbesondere in Bezug auf Einstellungs- und A</w:t>
      </w:r>
      <w:r w:rsidRPr="00170422">
        <w:rPr>
          <w:noProof/>
          <w:lang w:val="de-DE"/>
        </w:rPr>
        <w:t>usbildungsverfahren, mit dem Ziel, die Kompetenzen des Lehrpersonals zu verbessern und das Missverhältnis zwischen den Regionen zu beseitigen; III) Weiterbildung und Modernisierung der Infrastruktur zur Verbesserung von Digitales, Naturwissenschaften, Tech</w:t>
      </w:r>
      <w:r w:rsidRPr="00170422">
        <w:rPr>
          <w:noProof/>
          <w:lang w:val="de-DE"/>
        </w:rPr>
        <w:t>nik, Ingenieurwesen und Mathematik (MINT) und Mehrsprachigkeit bei gleichzeitiger Verbesserung der Sicherheit und Energieeffizienz von Schulgebäuden; IV) Reform der akademischen Gruppen, Ermöglichung von Abschlüssen und Promotionsprogrammen mit dem Ziel, d</w:t>
      </w:r>
      <w:r w:rsidRPr="00170422">
        <w:rPr>
          <w:noProof/>
          <w:lang w:val="de-DE"/>
        </w:rPr>
        <w:t>ie angewandte Forschung zu fördern und die Zahl der Promotionsstipendien zu erhöhen. Die Maßnahmen im Rahmen dieser Komponente zielen darauf ab, die Schwächen des italienischen Bildungs-, Ausbildungs- und Forschungssystems zu beheben, um das Bildungsniveau</w:t>
      </w:r>
      <w:r w:rsidRPr="00170422">
        <w:rPr>
          <w:noProof/>
          <w:lang w:val="de-DE"/>
        </w:rPr>
        <w:t xml:space="preserve"> und die Beschäftigungsfähigkeit italienischer Studierender zu verbessern. Die Investitionen und Reformen im Rahmen dieser Komponente sollen dazu beitragen, die länderspezifischen Empfehlungen an Italien in den Jahren 2020 und 2019 umzusetzen, in denen es </w:t>
      </w:r>
      <w:r w:rsidRPr="00170422">
        <w:rPr>
          <w:noProof/>
          <w:lang w:val="de-DE"/>
        </w:rPr>
        <w:t>heißt, dass „die Teilhabe von Frauen am Arbeitsmarkt durch eine umfassende Strategie unterstützt werden muss, unter anderem durch den Zugang zu hochwertiger Kinderbetreuung“ (länderspezifische Empfehlung 2, 2019), um die Bildungsergebnisse zu verbessern. a</w:t>
      </w:r>
      <w:r w:rsidRPr="00170422">
        <w:rPr>
          <w:noProof/>
          <w:lang w:val="de-DE"/>
        </w:rPr>
        <w:t>uch durch angemessene und gezielte Investitionen und Förderung der Weiterqualifizierung, auch durch die Stärkung digitaler Kompetenzen“ (länderspezifische Empfehlung 2, 2019), „Förderung von Forschung und Innovation“ (länderspezifische Empfehlung 3, 2019),</w:t>
      </w:r>
      <w:r w:rsidRPr="00170422">
        <w:rPr>
          <w:noProof/>
          <w:lang w:val="de-DE"/>
        </w:rPr>
        <w:t xml:space="preserve"> „Stärkung von Fernunterricht und Kompetenzen, einschließlich digitaler Kompetenzen“ (länderspezifische Empfehlung 2, 2020) und „Schwerpunkt der Investitionen in Forschung und Innovation“ (länderspezifische Empfehlung 3, 2020).</w:t>
      </w:r>
    </w:p>
    <w:p w14:paraId="78B66A56" w14:textId="77777777" w:rsidR="0057163C" w:rsidRPr="00170422" w:rsidRDefault="00F37BF9">
      <w:pPr>
        <w:pStyle w:val="P68B1DB1-Heading368"/>
        <w:ind w:left="850" w:hanging="850"/>
        <w:rPr>
          <w:noProof/>
          <w:lang w:val="de-DE"/>
        </w:rPr>
      </w:pPr>
      <w:r w:rsidRPr="00170422">
        <w:rPr>
          <w:noProof/>
          <w:lang w:val="de-DE"/>
        </w:rPr>
        <w:t xml:space="preserve">J.1. </w:t>
      </w:r>
      <w:r w:rsidRPr="00170422">
        <w:rPr>
          <w:noProof/>
          <w:lang w:val="de-DE"/>
        </w:rPr>
        <w:tab/>
        <w:t>Beschreibung der Refor</w:t>
      </w:r>
      <w:r w:rsidRPr="00170422">
        <w:rPr>
          <w:noProof/>
          <w:lang w:val="de-DE"/>
        </w:rPr>
        <w:t>men und Investitionen für nicht rückzahlbare finanzielle Unterstützung</w:t>
      </w:r>
    </w:p>
    <w:p w14:paraId="091A4D52" w14:textId="77777777" w:rsidR="0057163C" w:rsidRPr="00170422" w:rsidRDefault="00F37BF9">
      <w:pPr>
        <w:pStyle w:val="P68B1DB1-Normal5"/>
        <w:spacing w:before="120" w:after="120"/>
        <w:jc w:val="both"/>
        <w:rPr>
          <w:noProof/>
          <w:lang w:val="de-DE"/>
        </w:rPr>
      </w:pPr>
      <w:r w:rsidRPr="00170422">
        <w:rPr>
          <w:noProof/>
          <w:lang w:val="de-DE"/>
        </w:rPr>
        <w:t>Investition 1.1: Plan für Kinderkrippen und Vorschulen sowie frühkindliche Betreuung, Bildung und Erziehung</w:t>
      </w:r>
    </w:p>
    <w:p w14:paraId="511501CE" w14:textId="77777777" w:rsidR="0057163C" w:rsidRPr="00170422" w:rsidRDefault="00F37BF9">
      <w:pPr>
        <w:pStyle w:val="P68B1DB1-Normal7"/>
        <w:spacing w:before="120" w:after="120"/>
        <w:jc w:val="both"/>
        <w:rPr>
          <w:noProof/>
          <w:lang w:val="de-DE"/>
        </w:rPr>
      </w:pPr>
      <w:r w:rsidRPr="00170422">
        <w:rPr>
          <w:noProof/>
          <w:lang w:val="de-DE"/>
        </w:rPr>
        <w:t>Ziel dieser Investition ist der Ausbau und die Verbesserung der Bildungseinri</w:t>
      </w:r>
      <w:r w:rsidRPr="00170422">
        <w:rPr>
          <w:noProof/>
          <w:lang w:val="de-DE"/>
        </w:rPr>
        <w:t>chtungen für Kinder im Alter von 0 bis 6 Jahren. Die Investition besteht in den Bau, Umbau und Renovierung von Kinderbetreuungsplätzen in Kindergärten und Vorschulen.</w:t>
      </w:r>
    </w:p>
    <w:p w14:paraId="6031CF6D" w14:textId="77777777" w:rsidR="0057163C" w:rsidRPr="00170422" w:rsidRDefault="00F37BF9">
      <w:pPr>
        <w:pStyle w:val="P68B1DB1-Normal5"/>
        <w:spacing w:before="120" w:after="120"/>
        <w:jc w:val="both"/>
        <w:rPr>
          <w:noProof/>
          <w:lang w:val="de-DE"/>
        </w:rPr>
      </w:pPr>
      <w:r w:rsidRPr="00170422">
        <w:rPr>
          <w:noProof/>
          <w:lang w:val="de-DE"/>
        </w:rPr>
        <w:t>Investition 1.2: Plan für die Verlängerung der Vollzeitbeschäftigung</w:t>
      </w:r>
    </w:p>
    <w:p w14:paraId="71EF6A27" w14:textId="31F0ED64" w:rsidR="0057163C" w:rsidRPr="00170422" w:rsidRDefault="00F37BF9">
      <w:pPr>
        <w:pStyle w:val="P68B1DB1-Normal7"/>
        <w:spacing w:before="120" w:after="120"/>
        <w:jc w:val="both"/>
        <w:rPr>
          <w:noProof/>
          <w:lang w:val="de-DE"/>
        </w:rPr>
      </w:pPr>
      <w:r w:rsidRPr="00170422">
        <w:rPr>
          <w:noProof/>
          <w:lang w:val="de-DE"/>
        </w:rPr>
        <w:t>Ziel dieser Maßnahme</w:t>
      </w:r>
      <w:r w:rsidRPr="00170422">
        <w:rPr>
          <w:noProof/>
          <w:lang w:val="de-DE"/>
        </w:rPr>
        <w:t xml:space="preserve"> ist es, die Schuleinrichtungen in die Lage zu versetzen, die Schulzeiten zu verlängern, indem geeignete Infrastrukturen renoviert oder gebaut werden. Die Investition besteht in der Errichtung oder dem Bau von Kantinenräumen in Schuleinrichtungen.</w:t>
      </w:r>
    </w:p>
    <w:p w14:paraId="065A21A1" w14:textId="77777777" w:rsidR="0057163C" w:rsidRPr="00170422" w:rsidRDefault="00F37BF9">
      <w:pPr>
        <w:pStyle w:val="P68B1DB1-Normal5"/>
        <w:spacing w:before="120" w:after="120"/>
        <w:jc w:val="both"/>
        <w:rPr>
          <w:noProof/>
          <w:lang w:val="de-DE"/>
        </w:rPr>
      </w:pPr>
      <w:r w:rsidRPr="00170422">
        <w:rPr>
          <w:noProof/>
          <w:lang w:val="de-DE"/>
        </w:rPr>
        <w:t>Investit</w:t>
      </w:r>
      <w:r w:rsidRPr="00170422">
        <w:rPr>
          <w:noProof/>
          <w:lang w:val="de-DE"/>
        </w:rPr>
        <w:t>ion 1.3: Plan zur Verbesserung der Infrastruktur für den Schulsport</w:t>
      </w:r>
    </w:p>
    <w:p w14:paraId="60C2D8EF" w14:textId="424B7B6A" w:rsidR="0057163C" w:rsidRPr="00170422" w:rsidRDefault="00F37BF9">
      <w:pPr>
        <w:pStyle w:val="P68B1DB1-Normal7"/>
        <w:spacing w:before="120" w:after="120"/>
        <w:jc w:val="both"/>
        <w:rPr>
          <w:noProof/>
          <w:lang w:val="de-DE"/>
        </w:rPr>
      </w:pPr>
      <w:r w:rsidRPr="00170422">
        <w:rPr>
          <w:noProof/>
          <w:lang w:val="de-DE"/>
        </w:rPr>
        <w:t>Ziel dieser Maßnahme ist die Förderung sportlicher Aktivitäten in Schulen. Diese Maßnahme besteht in der Renovierung und dem Bau von Sporteinrichtungen und Fitnessstudios für uns.</w:t>
      </w:r>
    </w:p>
    <w:p w14:paraId="282F869A" w14:textId="77777777" w:rsidR="0057163C" w:rsidRPr="00170422" w:rsidRDefault="00F37BF9">
      <w:pPr>
        <w:pStyle w:val="P68B1DB1-Normal5"/>
        <w:spacing w:before="120" w:after="120"/>
        <w:rPr>
          <w:noProof/>
          <w:lang w:val="de-DE"/>
        </w:rPr>
      </w:pPr>
      <w:r w:rsidRPr="00170422">
        <w:rPr>
          <w:noProof/>
          <w:lang w:val="de-DE"/>
        </w:rPr>
        <w:t>Investition 1.4: Außerordentliche Maßnahmen zur Verringerung der territorialen Unterschiede in den I- und II-Zyklen der Sekundarschulen und zur Bekämpfung des Schulabbruchs</w:t>
      </w:r>
    </w:p>
    <w:p w14:paraId="4AC8CC8B" w14:textId="753FF6EE" w:rsidR="0057163C" w:rsidRPr="00170422" w:rsidRDefault="00F37BF9">
      <w:pPr>
        <w:pStyle w:val="P68B1DB1-Normal7"/>
        <w:spacing w:before="120" w:after="120"/>
        <w:jc w:val="both"/>
        <w:rPr>
          <w:noProof/>
          <w:lang w:val="de-DE"/>
        </w:rPr>
      </w:pPr>
      <w:r w:rsidRPr="00170422">
        <w:rPr>
          <w:noProof/>
          <w:lang w:val="de-DE"/>
        </w:rPr>
        <w:t>Die Maßnahme zielt darauf ab, bestehende Lücken bei den Grundfertigkeiten der Schül</w:t>
      </w:r>
      <w:r w:rsidRPr="00170422">
        <w:rPr>
          <w:noProof/>
          <w:lang w:val="de-DE"/>
        </w:rPr>
        <w:t>er zu schließen. Die Investition besteht in der Durchsetzung von Mentoring- und Schulungsmaßnahmen für Schüler, die von Schulabbrechern bedroht sind, und für junge Menschen, die bereits abgebrochen sind, auch mit Unterstützung eines nationalen digitalen Po</w:t>
      </w:r>
      <w:r w:rsidRPr="00170422">
        <w:rPr>
          <w:noProof/>
          <w:lang w:val="de-DE"/>
        </w:rPr>
        <w:t>rtals.</w:t>
      </w:r>
    </w:p>
    <w:p w14:paraId="3207E3EB" w14:textId="77777777" w:rsidR="0057163C" w:rsidRPr="00170422" w:rsidRDefault="00F37BF9">
      <w:pPr>
        <w:pStyle w:val="P68B1DB1-Normal7"/>
        <w:rPr>
          <w:b/>
          <w:bCs/>
          <w:noProof/>
          <w:lang w:val="de-DE"/>
        </w:rPr>
      </w:pPr>
      <w:r w:rsidRPr="00170422">
        <w:rPr>
          <w:noProof/>
          <w:lang w:val="de-DE"/>
        </w:rPr>
        <w:br w:type="page"/>
      </w:r>
    </w:p>
    <w:p w14:paraId="145BCD09" w14:textId="0AE944FA" w:rsidR="0057163C" w:rsidRPr="00170422" w:rsidRDefault="00F37BF9">
      <w:pPr>
        <w:pStyle w:val="P68B1DB1-Normal5"/>
        <w:spacing w:before="120" w:after="120"/>
        <w:jc w:val="both"/>
        <w:rPr>
          <w:noProof/>
          <w:lang w:val="de-DE"/>
        </w:rPr>
      </w:pPr>
      <w:r w:rsidRPr="00170422">
        <w:rPr>
          <w:noProof/>
          <w:lang w:val="de-DE"/>
        </w:rPr>
        <w:t>Reform 1.1: Reform der technischen und beruflichen Institute</w:t>
      </w:r>
    </w:p>
    <w:p w14:paraId="20D59243" w14:textId="3F6B5D16" w:rsidR="0057163C" w:rsidRPr="00170422" w:rsidRDefault="00F37BF9">
      <w:pPr>
        <w:pStyle w:val="P68B1DB1-Normal7"/>
        <w:spacing w:before="120" w:after="120"/>
        <w:jc w:val="both"/>
        <w:rPr>
          <w:noProof/>
          <w:lang w:val="de-DE"/>
        </w:rPr>
      </w:pPr>
      <w:r w:rsidRPr="00170422">
        <w:rPr>
          <w:noProof/>
          <w:lang w:val="de-DE"/>
        </w:rPr>
        <w:t>Ziel der Reform ist es, die Lehrpläne technischer und professioneller Institute an die Kompetenzen anzupassen, die für das italienische Produktionssystem, auch auf lokaler Ebene, erforde</w:t>
      </w:r>
      <w:r w:rsidRPr="00170422">
        <w:rPr>
          <w:noProof/>
          <w:lang w:val="de-DE"/>
        </w:rPr>
        <w:t>rlich sind. Mit der Reform soll insbesondere die technische und berufliche Bildung mit der Industrie 4.0 in Einklang gebracht und digitale Innovationen einbezogen werden.</w:t>
      </w:r>
    </w:p>
    <w:p w14:paraId="3C58CC76" w14:textId="77777777" w:rsidR="0057163C" w:rsidRPr="00170422" w:rsidRDefault="00F37BF9">
      <w:pPr>
        <w:pStyle w:val="P68B1DB1-Normal5"/>
        <w:spacing w:before="120" w:after="120"/>
        <w:jc w:val="both"/>
        <w:rPr>
          <w:noProof/>
          <w:lang w:val="de-DE"/>
        </w:rPr>
      </w:pPr>
      <w:r w:rsidRPr="00170422">
        <w:rPr>
          <w:noProof/>
          <w:lang w:val="de-DE"/>
        </w:rPr>
        <w:t>Reform 1.2: Reform der tertiären Berufsbildung (ITS)</w:t>
      </w:r>
    </w:p>
    <w:p w14:paraId="35A8A695" w14:textId="77777777" w:rsidR="0057163C" w:rsidRPr="00170422" w:rsidRDefault="00F37BF9">
      <w:pPr>
        <w:pStyle w:val="P68B1DB1-Normal7"/>
        <w:spacing w:before="120" w:after="120"/>
        <w:jc w:val="both"/>
        <w:rPr>
          <w:noProof/>
          <w:lang w:val="de-DE"/>
        </w:rPr>
      </w:pPr>
      <w:r w:rsidRPr="00170422">
        <w:rPr>
          <w:noProof/>
          <w:lang w:val="de-DE"/>
        </w:rPr>
        <w:t xml:space="preserve">Die Reform zielt darauf ab, das </w:t>
      </w:r>
      <w:r w:rsidRPr="00170422">
        <w:rPr>
          <w:noProof/>
          <w:lang w:val="de-DE"/>
        </w:rPr>
        <w:t>tertiäre Berufsbildungssystem durch eine Vereinfachung der IVS-Governance zu stärken, um die Zahl der Institute und Einschreibungen im Hinblick auf das lokale Gebiet zu erhöhen. Die Reform dürfte das Missverhältnis zwischen Arbeitskräfteangebot und -nachfr</w:t>
      </w:r>
      <w:r w:rsidRPr="00170422">
        <w:rPr>
          <w:noProof/>
          <w:lang w:val="de-DE"/>
        </w:rPr>
        <w:t xml:space="preserve">age überbrücken. </w:t>
      </w:r>
    </w:p>
    <w:p w14:paraId="220B6232" w14:textId="77777777" w:rsidR="0057163C" w:rsidRPr="00170422" w:rsidRDefault="00F37BF9">
      <w:pPr>
        <w:pStyle w:val="P68B1DB1-Normal5"/>
        <w:spacing w:before="120" w:after="120"/>
        <w:jc w:val="both"/>
        <w:rPr>
          <w:noProof/>
          <w:lang w:val="de-DE"/>
        </w:rPr>
      </w:pPr>
      <w:r w:rsidRPr="00170422">
        <w:rPr>
          <w:noProof/>
          <w:lang w:val="de-DE"/>
        </w:rPr>
        <w:t>Investition 1.5: Entwicklung des tertiären Berufsbildungssystems (ITS)</w:t>
      </w:r>
    </w:p>
    <w:p w14:paraId="29C2D741" w14:textId="2CEA1B3E" w:rsidR="0057163C" w:rsidRPr="00170422" w:rsidRDefault="00F37BF9">
      <w:pPr>
        <w:pStyle w:val="P68B1DB1-Normal7"/>
        <w:spacing w:before="120" w:after="120"/>
        <w:jc w:val="both"/>
        <w:rPr>
          <w:noProof/>
          <w:lang w:val="de-DE"/>
        </w:rPr>
      </w:pPr>
      <w:r w:rsidRPr="00170422">
        <w:rPr>
          <w:noProof/>
          <w:lang w:val="de-DE"/>
        </w:rPr>
        <w:t>Ziel dieser Maßnahme ist es, die Rolle der Berufsbildungseinrichtungen im italienischen Bildungssystem zu stärken. Die Investition besteht in der Ausweitung der Einsch</w:t>
      </w:r>
      <w:r w:rsidRPr="00170422">
        <w:rPr>
          <w:noProof/>
          <w:lang w:val="de-DE"/>
        </w:rPr>
        <w:t xml:space="preserve">reibung von Studierenden in IVS und in der Förderung der Beteiligung von Unternehmen an der Bildung durch die Einrichtung einer nationalen digitalen Plattform, die die Ausbildung besser mit dem Arbeitsmarkt verbindet. </w:t>
      </w:r>
    </w:p>
    <w:p w14:paraId="581CA1B1" w14:textId="77777777" w:rsidR="0057163C" w:rsidRPr="00170422" w:rsidRDefault="00F37BF9">
      <w:pPr>
        <w:pStyle w:val="P68B1DB1-Normal5"/>
        <w:spacing w:before="120" w:after="120"/>
        <w:jc w:val="both"/>
        <w:rPr>
          <w:noProof/>
          <w:lang w:val="de-DE"/>
        </w:rPr>
      </w:pPr>
      <w:r w:rsidRPr="00170422">
        <w:rPr>
          <w:noProof/>
          <w:lang w:val="de-DE"/>
        </w:rPr>
        <w:t>Reform 1.3: Umstrukturierung des Schu</w:t>
      </w:r>
      <w:r w:rsidRPr="00170422">
        <w:rPr>
          <w:noProof/>
          <w:lang w:val="de-DE"/>
        </w:rPr>
        <w:t>lsystems</w:t>
      </w:r>
    </w:p>
    <w:p w14:paraId="5D73E53B" w14:textId="77777777" w:rsidR="0057163C" w:rsidRPr="00170422" w:rsidRDefault="00F37BF9">
      <w:pPr>
        <w:pStyle w:val="P68B1DB1-Normal7"/>
        <w:spacing w:before="120" w:after="120"/>
        <w:jc w:val="both"/>
        <w:rPr>
          <w:noProof/>
          <w:lang w:val="de-DE"/>
        </w:rPr>
      </w:pPr>
      <w:r w:rsidRPr="00170422">
        <w:rPr>
          <w:noProof/>
          <w:lang w:val="de-DE"/>
        </w:rPr>
        <w:t xml:space="preserve">Mit der Reform werden zwei Ziele verfolgt: </w:t>
      </w:r>
    </w:p>
    <w:p w14:paraId="422DF1C8" w14:textId="77777777" w:rsidR="0057163C" w:rsidRPr="00170422" w:rsidRDefault="00F37BF9">
      <w:pPr>
        <w:pStyle w:val="P68B1DB1-ListParagraph37"/>
        <w:numPr>
          <w:ilvl w:val="0"/>
          <w:numId w:val="49"/>
        </w:numPr>
        <w:spacing w:before="120" w:after="120" w:line="240" w:lineRule="auto"/>
        <w:ind w:left="360"/>
        <w:jc w:val="both"/>
        <w:rPr>
          <w:noProof/>
          <w:lang w:val="de-DE"/>
        </w:rPr>
      </w:pPr>
      <w:r w:rsidRPr="00170422">
        <w:rPr>
          <w:noProof/>
          <w:lang w:val="de-DE"/>
        </w:rPr>
        <w:t xml:space="preserve">Anpassung der Anzahl der Schüler pro Klasse. </w:t>
      </w:r>
    </w:p>
    <w:p w14:paraId="77A16E54" w14:textId="76C99028"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noProof/>
          <w:lang w:val="de-DE"/>
        </w:rPr>
        <w:t xml:space="preserve">Die Zahl der Lehrkräfte wird angesichts des Bevölkerungsrückgangs und um die Zahl der Schüler pro Klasse zu verringern und das Verhältnis zwischen der Zahl </w:t>
      </w:r>
      <w:r w:rsidRPr="00170422">
        <w:rPr>
          <w:rFonts w:ascii="Times New Roman" w:hAnsi="Times New Roman" w:cs="Times New Roman"/>
          <w:noProof/>
          <w:lang w:val="de-DE"/>
        </w:rPr>
        <w:t>der Schüler und Lehrkräfte in gemeinsamen Positionen schrittweise zu verbessern, auf demselben Niveau wie im Schuljahr 2020/2021 festgelegt. Die Durchführung der Intervention darf die Zahl der verfügbaren Gebäude nicht erhöhen. Im Rahmen der Initiative wir</w:t>
      </w:r>
      <w:r w:rsidRPr="00170422">
        <w:rPr>
          <w:rFonts w:ascii="Times New Roman" w:hAnsi="Times New Roman" w:cs="Times New Roman"/>
          <w:noProof/>
          <w:lang w:val="de-DE"/>
        </w:rPr>
        <w:t>d den einzelnen Schülerinnen und Schülern individuelle Aufmerksamkeit gewidmet, wobei den schutzbedürftigsten und sicherlich Schülern mit Behinderungen besondere Aufmerksamkeit gewidmet wird. Die Verbesserung des Schüler-/Lehrers-Verhältnisses dürfte der U</w:t>
      </w:r>
      <w:r w:rsidRPr="00170422">
        <w:rPr>
          <w:rFonts w:ascii="Times New Roman" w:hAnsi="Times New Roman" w:cs="Times New Roman"/>
          <w:noProof/>
          <w:lang w:val="de-DE"/>
        </w:rPr>
        <w:t>nterrichtsqualität und der Verfügbarkeit von Ressourcen für Schulgebäude zugutekommen. Überprüfung der Vorschriften über die</w:t>
      </w:r>
      <w:r w:rsidRPr="00170422">
        <w:rPr>
          <w:noProof/>
          <w:lang w:val="de-DE"/>
        </w:rPr>
        <w:t xml:space="preserve"> </w:t>
      </w:r>
      <w:r w:rsidRPr="00170422">
        <w:rPr>
          <w:rFonts w:ascii="Times New Roman" w:hAnsi="Times New Roman" w:cs="Times New Roman"/>
          <w:noProof/>
          <w:lang w:val="de-DE"/>
        </w:rPr>
        <w:t>Größe von Schulgebäuden.</w:t>
      </w:r>
      <w:r w:rsidRPr="00170422">
        <w:rPr>
          <w:noProof/>
          <w:lang w:val="de-DE"/>
        </w:rPr>
        <w:t xml:space="preserve"> </w:t>
      </w:r>
      <w:r w:rsidRPr="00170422">
        <w:rPr>
          <w:rFonts w:ascii="Times New Roman" w:hAnsi="Times New Roman" w:cs="Times New Roman"/>
          <w:noProof/>
          <w:lang w:val="de-DE"/>
        </w:rPr>
        <w:t>Die regionale Schulbevölkerung wird, wie in den geltenden Rechtsvorschriften vorgesehen, als „effektiver P</w:t>
      </w:r>
      <w:r w:rsidRPr="00170422">
        <w:rPr>
          <w:rFonts w:ascii="Times New Roman" w:hAnsi="Times New Roman" w:cs="Times New Roman"/>
          <w:noProof/>
          <w:lang w:val="de-DE"/>
        </w:rPr>
        <w:t>arameter“ für die Ermittlung der Bildungseinrichtungen mit einem Schulleiter und einer Kopffahndung und nicht die Bevölkerung der einzelnen Schulen herangezogen.</w:t>
      </w:r>
    </w:p>
    <w:p w14:paraId="72AB7293" w14:textId="77777777" w:rsidR="0057163C" w:rsidRPr="00170422" w:rsidRDefault="00F37BF9">
      <w:pPr>
        <w:spacing w:before="120" w:after="120"/>
        <w:jc w:val="both"/>
        <w:rPr>
          <w:noProof/>
          <w:lang w:val="de-DE"/>
        </w:rPr>
      </w:pPr>
      <w:r w:rsidRPr="00170422">
        <w:rPr>
          <w:rFonts w:ascii="Times New Roman" w:hAnsi="Times New Roman" w:cs="Times New Roman"/>
          <w:b/>
          <w:noProof/>
          <w:lang w:val="de-DE"/>
        </w:rPr>
        <w:t>Reform 1.4: Reform des Orientierungssystems</w:t>
      </w:r>
      <w:r w:rsidRPr="00170422">
        <w:rPr>
          <w:noProof/>
          <w:lang w:val="de-DE"/>
        </w:rPr>
        <w:t xml:space="preserve"> </w:t>
      </w:r>
    </w:p>
    <w:p w14:paraId="07128335" w14:textId="73C89FE8" w:rsidR="0057163C" w:rsidRPr="00170422" w:rsidRDefault="00F37BF9">
      <w:pPr>
        <w:spacing w:before="120" w:after="120"/>
        <w:jc w:val="both"/>
        <w:rPr>
          <w:noProof/>
          <w:lang w:val="de-DE"/>
        </w:rPr>
      </w:pPr>
      <w:r w:rsidRPr="00170422">
        <w:rPr>
          <w:noProof/>
          <w:lang w:val="de-DE"/>
        </w:rPr>
        <w:t xml:space="preserve">Ziel der </w:t>
      </w:r>
      <w:r w:rsidRPr="00170422">
        <w:rPr>
          <w:rFonts w:ascii="Times New Roman" w:hAnsi="Times New Roman" w:cs="Times New Roman"/>
          <w:noProof/>
          <w:lang w:val="de-DE"/>
        </w:rPr>
        <w:t>Reform ist die Einführung von Orientieru</w:t>
      </w:r>
      <w:r w:rsidRPr="00170422">
        <w:rPr>
          <w:rFonts w:ascii="Times New Roman" w:hAnsi="Times New Roman" w:cs="Times New Roman"/>
          <w:noProof/>
          <w:lang w:val="de-DE"/>
        </w:rPr>
        <w:t>ngsmodulen (mindestens 30 Stunden pro Jahr) für die vierte und fünfte Klasse der Sekundarstufe II. Das Hauptziel besteht darin, Studierende dabei zu unterstützen, vor ihrer Eingliederung in den Arbeitsmarkt eine sachkundige Entscheidung zwischen der Fortse</w:t>
      </w:r>
      <w:r w:rsidRPr="00170422">
        <w:rPr>
          <w:rFonts w:ascii="Times New Roman" w:hAnsi="Times New Roman" w:cs="Times New Roman"/>
          <w:noProof/>
          <w:lang w:val="de-DE"/>
        </w:rPr>
        <w:t>tzung ihres Studiums oder der beruflichen Weiterbildung (IVS) zu treffen. Die Reform sieht auch die Einrichtung einer digitalen Orientierungsplattform im Zusammenhang mit dem tertiären Bildungsangebot von Hochschulen und Berufsbildungsinstituten (IVS) vor.</w:t>
      </w:r>
      <w:r w:rsidRPr="00170422">
        <w:rPr>
          <w:noProof/>
          <w:lang w:val="de-DE"/>
        </w:rPr>
        <w:t xml:space="preserve"> </w:t>
      </w:r>
    </w:p>
    <w:p w14:paraId="544F11D0" w14:textId="77777777" w:rsidR="0057163C" w:rsidRPr="00170422" w:rsidRDefault="00F37BF9">
      <w:pPr>
        <w:spacing w:before="120" w:after="120"/>
        <w:rPr>
          <w:noProof/>
          <w:lang w:val="de-DE"/>
        </w:rPr>
      </w:pPr>
      <w:r w:rsidRPr="00170422">
        <w:rPr>
          <w:rFonts w:ascii="Times New Roman" w:hAnsi="Times New Roman" w:cs="Times New Roman"/>
          <w:b/>
          <w:noProof/>
          <w:lang w:val="de-DE"/>
        </w:rPr>
        <w:t>Investition 1.6: Aktive Orientierung beim Übergang zwischen Schule und Hochschule</w:t>
      </w:r>
      <w:r w:rsidRPr="00170422">
        <w:rPr>
          <w:noProof/>
          <w:lang w:val="de-DE"/>
        </w:rPr>
        <w:t xml:space="preserve"> </w:t>
      </w:r>
    </w:p>
    <w:p w14:paraId="5964E05F" w14:textId="365775CD" w:rsidR="0057163C" w:rsidRPr="00170422" w:rsidRDefault="00F37BF9">
      <w:pPr>
        <w:pStyle w:val="P68B1DB1-Normal7"/>
        <w:spacing w:before="120" w:after="120"/>
        <w:rPr>
          <w:noProof/>
          <w:lang w:val="de-DE"/>
        </w:rPr>
      </w:pPr>
      <w:r w:rsidRPr="00170422">
        <w:rPr>
          <w:noProof/>
          <w:lang w:val="de-DE"/>
        </w:rPr>
        <w:t>Ziel dieser Maßnahme ist es, den Übergang von der Sekundarstufe II zur Universität zu erleichtern und zu fördern und die Schulabbrecherquote zu senken. Diese Maßnahme best</w:t>
      </w:r>
      <w:r w:rsidRPr="00170422">
        <w:rPr>
          <w:noProof/>
          <w:lang w:val="de-DE"/>
        </w:rPr>
        <w:t xml:space="preserve">eht darin, allen Schülerinnen und Schülern der Sekundarstufe II Orientierungskurse anzubieten, um sie bei der Wahl des Tertiärbereichs zu unterstützen. </w:t>
      </w:r>
    </w:p>
    <w:p w14:paraId="445C80E0" w14:textId="77777777" w:rsidR="0057163C" w:rsidRPr="00170422" w:rsidRDefault="00F37BF9">
      <w:pPr>
        <w:spacing w:before="120" w:after="120"/>
        <w:rPr>
          <w:noProof/>
          <w:lang w:val="de-DE"/>
        </w:rPr>
      </w:pPr>
      <w:r w:rsidRPr="00170422">
        <w:rPr>
          <w:rFonts w:ascii="Times New Roman" w:hAnsi="Times New Roman" w:cs="Times New Roman"/>
          <w:b/>
          <w:noProof/>
          <w:lang w:val="de-DE"/>
        </w:rPr>
        <w:t>Investition 1.7: Stipendien für den Zugang zu Universitäten</w:t>
      </w:r>
      <w:r w:rsidRPr="00170422">
        <w:rPr>
          <w:noProof/>
          <w:lang w:val="de-DE"/>
        </w:rPr>
        <w:t xml:space="preserve"> </w:t>
      </w:r>
    </w:p>
    <w:p w14:paraId="6C4030F0" w14:textId="786B3851" w:rsidR="0057163C" w:rsidRPr="00170422" w:rsidRDefault="00F37BF9">
      <w:pPr>
        <w:spacing w:before="120" w:after="120"/>
        <w:rPr>
          <w:noProof/>
          <w:lang w:val="de-DE"/>
        </w:rPr>
      </w:pPr>
      <w:r w:rsidRPr="00170422">
        <w:rPr>
          <w:rFonts w:ascii="Times New Roman" w:hAnsi="Times New Roman" w:cs="Times New Roman"/>
          <w:noProof/>
          <w:lang w:val="de-DE"/>
        </w:rPr>
        <w:t>Ziel dieser Maßnahme ist es, die Gleichste</w:t>
      </w:r>
      <w:r w:rsidRPr="00170422">
        <w:rPr>
          <w:rFonts w:ascii="Times New Roman" w:hAnsi="Times New Roman" w:cs="Times New Roman"/>
          <w:noProof/>
          <w:lang w:val="de-DE"/>
        </w:rPr>
        <w:t>llung beim Zugang zur tertiären Bildung zu verbessern, indem Studierende in sozioökonomischen Schwierigkeiten unterstützt werden. Die Maßnahme besteht darin, die Zahl der Stipendien für Hochschulstudenten zu erhöhen.</w:t>
      </w:r>
      <w:r w:rsidRPr="00170422">
        <w:rPr>
          <w:noProof/>
          <w:lang w:val="de-DE"/>
        </w:rPr>
        <w:t xml:space="preserve"> </w:t>
      </w:r>
    </w:p>
    <w:p w14:paraId="531A4F80" w14:textId="77777777" w:rsidR="0057163C" w:rsidRPr="00170422" w:rsidRDefault="00F37BF9">
      <w:pPr>
        <w:spacing w:before="120" w:after="120"/>
        <w:jc w:val="both"/>
        <w:rPr>
          <w:noProof/>
          <w:lang w:val="de-DE"/>
        </w:rPr>
      </w:pPr>
      <w:r w:rsidRPr="00170422">
        <w:rPr>
          <w:rFonts w:ascii="Times New Roman" w:hAnsi="Times New Roman" w:cs="Times New Roman"/>
          <w:b/>
          <w:noProof/>
          <w:lang w:val="de-DE"/>
        </w:rPr>
        <w:t>Reform 1.5: Reformen der Hochschulgrup</w:t>
      </w:r>
      <w:r w:rsidRPr="00170422">
        <w:rPr>
          <w:rFonts w:ascii="Times New Roman" w:hAnsi="Times New Roman" w:cs="Times New Roman"/>
          <w:b/>
          <w:noProof/>
          <w:lang w:val="de-DE"/>
        </w:rPr>
        <w:t>pen</w:t>
      </w:r>
      <w:r w:rsidRPr="00170422">
        <w:rPr>
          <w:noProof/>
          <w:lang w:val="de-DE"/>
        </w:rPr>
        <w:t xml:space="preserve"> </w:t>
      </w:r>
    </w:p>
    <w:p w14:paraId="75A2593A" w14:textId="2BC8D82F" w:rsidR="0057163C" w:rsidRPr="00170422" w:rsidRDefault="00F37BF9">
      <w:pPr>
        <w:spacing w:before="120" w:after="120"/>
        <w:jc w:val="both"/>
        <w:rPr>
          <w:noProof/>
          <w:lang w:val="de-DE"/>
        </w:rPr>
      </w:pPr>
      <w:r w:rsidRPr="00170422">
        <w:rPr>
          <w:rFonts w:ascii="Times New Roman" w:hAnsi="Times New Roman" w:cs="Times New Roman"/>
          <w:noProof/>
          <w:lang w:val="de-DE"/>
        </w:rPr>
        <w:t xml:space="preserve">Die Reform sieht eine Aktualisierung der Hochschullehrpläne vor, um die bestehenden starren Grenzen zu verringern, die die Möglichkeit, interdisziplinäre Wege zu schaffen, stark einschränken. Mit der Reform soll auch die Möglichkeit der Umsetzung von </w:t>
      </w:r>
      <w:r w:rsidRPr="00170422">
        <w:rPr>
          <w:rFonts w:ascii="Times New Roman" w:hAnsi="Times New Roman" w:cs="Times New Roman"/>
          <w:noProof/>
          <w:lang w:val="de-DE"/>
        </w:rPr>
        <w:t>Berufsbildungsprogrammen erweitert werden, indem innovative arbeitsplatzorientierte Studiengänge eingeführt werden</w:t>
      </w:r>
      <w:r w:rsidRPr="00170422">
        <w:rPr>
          <w:rFonts w:ascii="Times New Roman" w:hAnsi="Times New Roman" w:cs="Times New Roman"/>
          <w:noProof/>
          <w:color w:val="006100"/>
          <w:lang w:val="de-DE"/>
        </w:rPr>
        <w:t>.</w:t>
      </w:r>
      <w:r w:rsidRPr="00170422">
        <w:rPr>
          <w:noProof/>
          <w:lang w:val="de-DE"/>
        </w:rPr>
        <w:t xml:space="preserve"> </w:t>
      </w:r>
    </w:p>
    <w:p w14:paraId="7EB7D6B7" w14:textId="77777777" w:rsidR="0057163C" w:rsidRPr="00170422" w:rsidRDefault="00F37BF9">
      <w:pPr>
        <w:pStyle w:val="P68B1DB1-Normal5"/>
        <w:spacing w:before="120" w:after="120"/>
        <w:jc w:val="both"/>
        <w:rPr>
          <w:bCs/>
          <w:noProof/>
          <w:lang w:val="de-DE"/>
        </w:rPr>
      </w:pPr>
      <w:r w:rsidRPr="00170422">
        <w:rPr>
          <w:noProof/>
          <w:lang w:val="de-DE"/>
        </w:rPr>
        <w:t xml:space="preserve">Reform 1.6: Reform des Hochschulabschlusses </w:t>
      </w:r>
    </w:p>
    <w:p w14:paraId="7045F197" w14:textId="259921F1" w:rsidR="0057163C" w:rsidRPr="00170422" w:rsidRDefault="00F37BF9">
      <w:pPr>
        <w:pStyle w:val="P68B1DB1-Normal7"/>
        <w:spacing w:before="120" w:after="120"/>
        <w:jc w:val="both"/>
        <w:rPr>
          <w:noProof/>
          <w:lang w:val="de-DE"/>
        </w:rPr>
      </w:pPr>
      <w:r w:rsidRPr="00170422">
        <w:rPr>
          <w:noProof/>
          <w:lang w:val="de-DE"/>
        </w:rPr>
        <w:t xml:space="preserve">Die Reform sieht die Vereinfachung des Verfahrens für den Zugang zu Berufen vor, die die </w:t>
      </w:r>
      <w:r w:rsidRPr="00170422">
        <w:rPr>
          <w:noProof/>
          <w:lang w:val="de-DE"/>
        </w:rPr>
        <w:t xml:space="preserve">Eintragung in Berufsaufträge durch eine spezielle Berufsprüfung erfordern. Die Maßnahme trägt dazu bei, die nationale Abschlussprüfung jedes Hochschulabschlusses mit der entsprechenden Prüfung der beruflichen Ordnung zu harmonisieren und so allgemeine und </w:t>
      </w:r>
      <w:r w:rsidRPr="00170422">
        <w:rPr>
          <w:noProof/>
          <w:lang w:val="de-DE"/>
        </w:rPr>
        <w:t xml:space="preserve">klare Regeln zu schaffen und zu ersetzen. </w:t>
      </w:r>
    </w:p>
    <w:p w14:paraId="465220DF" w14:textId="77777777" w:rsidR="0057163C" w:rsidRPr="00170422" w:rsidRDefault="00F37BF9">
      <w:pPr>
        <w:spacing w:before="120" w:after="120"/>
        <w:jc w:val="both"/>
        <w:rPr>
          <w:noProof/>
          <w:lang w:val="de-DE"/>
        </w:rPr>
      </w:pPr>
      <w:r w:rsidRPr="00170422">
        <w:rPr>
          <w:rFonts w:ascii="Times New Roman" w:hAnsi="Times New Roman" w:cs="Times New Roman"/>
          <w:b/>
          <w:noProof/>
          <w:lang w:val="de-DE"/>
        </w:rPr>
        <w:t>Reform 2.1: Einstellung von Lehrkräften</w:t>
      </w:r>
      <w:r w:rsidRPr="00170422">
        <w:rPr>
          <w:noProof/>
          <w:lang w:val="de-DE"/>
        </w:rPr>
        <w:t xml:space="preserve"> </w:t>
      </w:r>
    </w:p>
    <w:p w14:paraId="57C3DDF5" w14:textId="3368C5D4" w:rsidR="0057163C" w:rsidRPr="00170422" w:rsidRDefault="00F37BF9">
      <w:pPr>
        <w:spacing w:before="120" w:after="120"/>
        <w:jc w:val="both"/>
        <w:rPr>
          <w:noProof/>
          <w:lang w:val="de-DE"/>
        </w:rPr>
      </w:pPr>
      <w:r w:rsidRPr="00170422">
        <w:rPr>
          <w:rFonts w:ascii="Times New Roman" w:hAnsi="Times New Roman" w:cs="Times New Roman"/>
          <w:noProof/>
          <w:lang w:val="de-DE"/>
        </w:rPr>
        <w:t>Ziel dieser Reform ist es, die Bildungsergebnisse zu verbessern, indem die Qualifikations-, Einstellungs-, Laufbahn-, Ausbildungs- und Bewertungssysteme der Lehrkräfte verb</w:t>
      </w:r>
      <w:r w:rsidRPr="00170422">
        <w:rPr>
          <w:rFonts w:ascii="Times New Roman" w:hAnsi="Times New Roman" w:cs="Times New Roman"/>
          <w:noProof/>
          <w:lang w:val="de-DE"/>
        </w:rPr>
        <w:t>essert werden. Diese Maßnahme umfasst die Einstellung von Lehrkräften im Rahmen des reformierten Einstellungssystems.</w:t>
      </w:r>
      <w:r w:rsidRPr="00170422">
        <w:rPr>
          <w:noProof/>
          <w:lang w:val="de-DE"/>
        </w:rPr>
        <w:t xml:space="preserve">  </w:t>
      </w:r>
    </w:p>
    <w:p w14:paraId="1026DCC5" w14:textId="77777777"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b/>
          <w:noProof/>
          <w:lang w:val="de-DE"/>
        </w:rPr>
        <w:t>Reform 2.2: Tertiäre weiterführende Schulen und Pflichtschulungen für Schulleiter, Lehrkräfte, Verwaltungs- und technisches Personal</w:t>
      </w:r>
      <w:r w:rsidRPr="00170422">
        <w:rPr>
          <w:noProof/>
          <w:lang w:val="de-DE"/>
        </w:rPr>
        <w:t xml:space="preserve"> </w:t>
      </w:r>
    </w:p>
    <w:p w14:paraId="3DF02019" w14:textId="77777777" w:rsidR="0057163C" w:rsidRPr="00170422" w:rsidRDefault="00F37BF9">
      <w:pPr>
        <w:pStyle w:val="P68B1DB1-Normal7"/>
        <w:spacing w:before="120" w:after="120"/>
        <w:jc w:val="both"/>
        <w:rPr>
          <w:noProof/>
          <w:lang w:val="de-DE"/>
        </w:rPr>
      </w:pPr>
      <w:r w:rsidRPr="00170422">
        <w:rPr>
          <w:noProof/>
          <w:lang w:val="de-DE"/>
        </w:rPr>
        <w:t>Zi</w:t>
      </w:r>
      <w:r w:rsidRPr="00170422">
        <w:rPr>
          <w:noProof/>
          <w:lang w:val="de-DE"/>
        </w:rPr>
        <w:t>el der Reform ist der Aufbau eines hochwertigen Ausbildungssystems für das Schulpersonal für die kontinuierliche berufliche und berufliche Entwicklung. Er sieht die Einrichtung einer qualifizierten Stelle vor, die für die Veröffentlichung von Leitlinien im</w:t>
      </w:r>
      <w:r w:rsidRPr="00170422">
        <w:rPr>
          <w:noProof/>
          <w:lang w:val="de-DE"/>
        </w:rPr>
        <w:t xml:space="preserve"> Einklang mit den europäischen Standards und für die Auswahl und Koordinierung von Ausbildungsinitiativen zuständig ist und diese möglicherweise an den beruflichen Aufstieg anknüpft, wie in der Reform der Einstellungen – Reform 2.1: Einstellung von Lehrkrä</w:t>
      </w:r>
      <w:r w:rsidRPr="00170422">
        <w:rPr>
          <w:noProof/>
          <w:lang w:val="de-DE"/>
        </w:rPr>
        <w:t>ften, die im Plan enthalten ist.</w:t>
      </w:r>
    </w:p>
    <w:p w14:paraId="400C3134" w14:textId="54FF43EE" w:rsidR="0057163C" w:rsidRPr="00170422" w:rsidRDefault="00F37BF9">
      <w:pPr>
        <w:pStyle w:val="P68B1DB1-Normal5"/>
        <w:spacing w:before="120" w:after="120"/>
        <w:jc w:val="both"/>
        <w:rPr>
          <w:noProof/>
          <w:lang w:val="de-DE"/>
        </w:rPr>
      </w:pPr>
      <w:r w:rsidRPr="00170422">
        <w:rPr>
          <w:noProof/>
          <w:lang w:val="de-DE"/>
        </w:rPr>
        <w:t xml:space="preserve">Investition 2.1: Integrierter digitaler Unterricht und Schulungen zum digitalen Wandel für Schulpersonal </w:t>
      </w:r>
    </w:p>
    <w:p w14:paraId="2EC874BA" w14:textId="5FCE9525"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noProof/>
          <w:lang w:val="de-DE"/>
        </w:rPr>
        <w:t>Ziel dieser Maßnahme ist die Einrichtung eines ständigen Systems zur Förderung digitaler Lehrkompetenzen des Schulper</w:t>
      </w:r>
      <w:r w:rsidRPr="00170422">
        <w:rPr>
          <w:rFonts w:ascii="Times New Roman" w:hAnsi="Times New Roman" w:cs="Times New Roman"/>
          <w:noProof/>
          <w:lang w:val="de-DE"/>
        </w:rPr>
        <w:t>sonals. Die Investition besteht</w:t>
      </w:r>
      <w:r w:rsidRPr="00170422">
        <w:rPr>
          <w:noProof/>
          <w:lang w:val="de-DE"/>
        </w:rPr>
        <w:t xml:space="preserve"> </w:t>
      </w:r>
      <w:r w:rsidRPr="00170422">
        <w:rPr>
          <w:rFonts w:ascii="Times New Roman" w:hAnsi="Times New Roman" w:cs="Times New Roman"/>
          <w:noProof/>
          <w:lang w:val="de-DE"/>
        </w:rPr>
        <w:t>in der Ausbildung von Schulleitern, Lehrkräften und Verwaltungspersonal.</w:t>
      </w:r>
      <w:r w:rsidRPr="00170422">
        <w:rPr>
          <w:noProof/>
          <w:lang w:val="de-DE"/>
        </w:rPr>
        <w:t xml:space="preserve"> </w:t>
      </w:r>
    </w:p>
    <w:p w14:paraId="5B32DF6E" w14:textId="77777777"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b/>
          <w:noProof/>
          <w:lang w:val="de-DE"/>
        </w:rPr>
        <w:t>Investition 3.1: Neue Kompetenzen und neue Sprachen</w:t>
      </w:r>
      <w:r w:rsidRPr="00170422">
        <w:rPr>
          <w:noProof/>
          <w:lang w:val="de-DE"/>
        </w:rPr>
        <w:t xml:space="preserve"> </w:t>
      </w:r>
    </w:p>
    <w:p w14:paraId="49B27353" w14:textId="44F73509"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noProof/>
          <w:lang w:val="de-DE"/>
        </w:rPr>
        <w:t>Ziel dieser Maßnahme ist es, Sprach-, MINT-, Digital- und Innovationskompetenzen auf allen Ebenen</w:t>
      </w:r>
      <w:r w:rsidRPr="00170422">
        <w:rPr>
          <w:rFonts w:ascii="Times New Roman" w:hAnsi="Times New Roman" w:cs="Times New Roman"/>
          <w:noProof/>
          <w:lang w:val="de-DE"/>
        </w:rPr>
        <w:t xml:space="preserve"> der Schule zu verbessern. Die Maßnahme besteht in der </w:t>
      </w:r>
      <w:r w:rsidRPr="00170422">
        <w:rPr>
          <w:rFonts w:ascii="Times New Roman" w:eastAsia="Times New Roman" w:hAnsi="Times New Roman" w:cs="Times New Roman"/>
          <w:noProof/>
          <w:color w:val="000000" w:themeColor="text1"/>
          <w:lang w:val="de-DE"/>
        </w:rPr>
        <w:t xml:space="preserve">Aktivierung interdisziplinärer MINT-Beratungsprojekte in Schulen und der Ausweitung des Programms Erasmus+. </w:t>
      </w:r>
      <w:r w:rsidRPr="00170422">
        <w:rPr>
          <w:noProof/>
          <w:lang w:val="de-DE"/>
        </w:rPr>
        <w:t xml:space="preserve"> </w:t>
      </w:r>
    </w:p>
    <w:p w14:paraId="5DFF145D" w14:textId="77777777" w:rsidR="0057163C" w:rsidRPr="00170422" w:rsidRDefault="00F37BF9">
      <w:pPr>
        <w:pStyle w:val="P68B1DB1-Normal5"/>
        <w:spacing w:before="120" w:after="120"/>
        <w:jc w:val="both"/>
        <w:rPr>
          <w:noProof/>
          <w:lang w:val="de-DE"/>
        </w:rPr>
      </w:pPr>
      <w:r w:rsidRPr="00170422">
        <w:rPr>
          <w:noProof/>
          <w:lang w:val="de-DE"/>
        </w:rPr>
        <w:t>Investition 3.2: Schule 4.0: innovative Schulen, Verkabelung, neue Klassenzimmer und Worksh</w:t>
      </w:r>
      <w:r w:rsidRPr="00170422">
        <w:rPr>
          <w:noProof/>
          <w:lang w:val="de-DE"/>
        </w:rPr>
        <w:t>ops</w:t>
      </w:r>
    </w:p>
    <w:p w14:paraId="1DBD0C21" w14:textId="04300501" w:rsidR="0057163C" w:rsidRPr="00170422" w:rsidRDefault="00F37BF9">
      <w:pPr>
        <w:pStyle w:val="P68B1DB1-Normal7"/>
        <w:spacing w:before="120" w:after="120"/>
        <w:jc w:val="both"/>
        <w:rPr>
          <w:noProof/>
          <w:lang w:val="de-DE"/>
        </w:rPr>
      </w:pPr>
      <w:r w:rsidRPr="00170422">
        <w:rPr>
          <w:noProof/>
          <w:lang w:val="de-DE"/>
        </w:rPr>
        <w:t>Ziel dieser Maßnahme ist es, die Schuleinrichtungen so umzugestalten, dass digitales Lernen ermöglicht wird. Diese Maßnahme besteht darin, mindestens 8000 Grund- und Sekundarschulen mit digitalen Werkzeugen auszustatten, die mindestens 100000 Klassenzi</w:t>
      </w:r>
      <w:r w:rsidRPr="00170422">
        <w:rPr>
          <w:noProof/>
          <w:lang w:val="de-DE"/>
        </w:rPr>
        <w:t>mmer abdecken.</w:t>
      </w:r>
    </w:p>
    <w:p w14:paraId="78870761" w14:textId="77777777" w:rsidR="0057163C" w:rsidRPr="00170422" w:rsidRDefault="00F37BF9">
      <w:pPr>
        <w:pStyle w:val="P68B1DB1-Normal5"/>
        <w:spacing w:before="120" w:after="120"/>
        <w:jc w:val="both"/>
        <w:rPr>
          <w:noProof/>
          <w:lang w:val="de-DE"/>
        </w:rPr>
      </w:pPr>
      <w:r w:rsidRPr="00170422">
        <w:rPr>
          <w:noProof/>
          <w:lang w:val="de-DE"/>
        </w:rPr>
        <w:t>Investition 3.3: Plan für Sicherheit und strukturelle Sanierung von Schulgebäuden</w:t>
      </w:r>
    </w:p>
    <w:p w14:paraId="166D3BBF" w14:textId="4CC9C7E0" w:rsidR="0057163C" w:rsidRPr="00170422" w:rsidRDefault="00F37BF9">
      <w:pPr>
        <w:pStyle w:val="P68B1DB1-Normal7"/>
        <w:spacing w:before="120" w:after="120"/>
        <w:jc w:val="both"/>
        <w:rPr>
          <w:noProof/>
          <w:lang w:val="de-DE"/>
        </w:rPr>
      </w:pPr>
      <w:r w:rsidRPr="00170422">
        <w:rPr>
          <w:noProof/>
          <w:lang w:val="de-DE"/>
        </w:rPr>
        <w:t xml:space="preserve">Ziel der Maßnahme ist es, die Sicherheit und Energieeffizienz von Schulgebäuden zu erhöhen. Diese Maßnahme umfasst die Renovierung und den Wiederaufbau von </w:t>
      </w:r>
      <w:r w:rsidRPr="00170422">
        <w:rPr>
          <w:noProof/>
          <w:lang w:val="de-DE"/>
        </w:rPr>
        <w:t>Schulgebäuden.</w:t>
      </w:r>
    </w:p>
    <w:p w14:paraId="646F21C3" w14:textId="77777777" w:rsidR="0057163C" w:rsidRPr="00170422" w:rsidRDefault="00F37BF9">
      <w:pPr>
        <w:pStyle w:val="P68B1DB1-Normal5"/>
        <w:spacing w:before="120" w:after="120"/>
        <w:jc w:val="both"/>
        <w:rPr>
          <w:noProof/>
          <w:lang w:val="de-DE"/>
        </w:rPr>
      </w:pPr>
      <w:r w:rsidRPr="00170422">
        <w:rPr>
          <w:noProof/>
          <w:lang w:val="de-DE"/>
        </w:rPr>
        <w:t>Investition 3.4: Lehre und fortgeschrittene Universitätskompetenzen</w:t>
      </w:r>
    </w:p>
    <w:p w14:paraId="166F13E1" w14:textId="18023A5B" w:rsidR="0057163C" w:rsidRPr="00170422" w:rsidRDefault="00F37BF9">
      <w:pPr>
        <w:pStyle w:val="P68B1DB1-Normal7"/>
        <w:spacing w:before="120" w:after="120"/>
        <w:jc w:val="both"/>
        <w:rPr>
          <w:noProof/>
          <w:lang w:val="de-DE"/>
        </w:rPr>
      </w:pPr>
      <w:r w:rsidRPr="00170422">
        <w:rPr>
          <w:noProof/>
          <w:lang w:val="de-DE"/>
        </w:rPr>
        <w:t>Ziel dieser Maßnahme ist es, Hochschulprogramme, einschließlich Promotionsstudien, zu qualifizieren und zu innovativ zu machen, um digitale Kompetenzen zu stärken und das gl</w:t>
      </w:r>
      <w:r w:rsidRPr="00170422">
        <w:rPr>
          <w:noProof/>
          <w:lang w:val="de-DE"/>
        </w:rPr>
        <w:t xml:space="preserve">obale Engagement der Hochschulbildung zu stärken. Die Investition besteht in der Vergabe von Doktorandenstipendien, der Schaffung von Netzen von Hochschuleinrichtungen, der Einrichtung von Zentren für digitale Bildung und der Förderung der internationalen </w:t>
      </w:r>
      <w:r w:rsidRPr="00170422">
        <w:rPr>
          <w:noProof/>
          <w:lang w:val="de-DE"/>
        </w:rPr>
        <w:t>Zusammenarbeit und internationaler Projekte.</w:t>
      </w:r>
    </w:p>
    <w:p w14:paraId="3E5A50A4" w14:textId="5ABA6F50" w:rsidR="0057163C" w:rsidRPr="00170422" w:rsidRDefault="00F37BF9">
      <w:pPr>
        <w:pStyle w:val="P68B1DB1-Normal5"/>
        <w:spacing w:before="120" w:after="120"/>
        <w:jc w:val="both"/>
        <w:rPr>
          <w:noProof/>
          <w:lang w:val="de-DE"/>
        </w:rPr>
      </w:pPr>
      <w:r w:rsidRPr="00170422">
        <w:rPr>
          <w:noProof/>
          <w:lang w:val="de-DE"/>
        </w:rPr>
        <w:t xml:space="preserve">Reform 4.1: Ph.D. Programmreform </w:t>
      </w:r>
    </w:p>
    <w:p w14:paraId="29D47C5F" w14:textId="77777777" w:rsidR="0057163C" w:rsidRPr="00170422" w:rsidRDefault="00F37BF9">
      <w:pPr>
        <w:pStyle w:val="P68B1DB1-Normal7"/>
        <w:spacing w:before="120" w:after="120"/>
        <w:jc w:val="both"/>
        <w:rPr>
          <w:noProof/>
          <w:lang w:val="de-DE"/>
        </w:rPr>
      </w:pPr>
      <w:r w:rsidRPr="00170422">
        <w:rPr>
          <w:noProof/>
          <w:lang w:val="de-DE"/>
        </w:rPr>
        <w:t>Ziel der Reform ist es, die Verordnung über Promotionsprogramme zu aktualisieren, die Verfahren für die Beteiligung von Unternehmen, Forschungszentren und an Promotionsprogramme</w:t>
      </w:r>
      <w:r w:rsidRPr="00170422">
        <w:rPr>
          <w:noProof/>
          <w:lang w:val="de-DE"/>
        </w:rPr>
        <w:t>n zu vereinfachen und die angewandte Forschung zu stärken. Mit der vorgeschlagenen Reform werden alle Investitionen im Zusammenhang mit Promotionsprogrammen im Zielbereich „Bildung und Forschung“ integriert.</w:t>
      </w:r>
    </w:p>
    <w:p w14:paraId="57B4055A" w14:textId="3D4D301F" w:rsidR="0057163C" w:rsidRPr="00170422" w:rsidRDefault="00F37BF9">
      <w:pPr>
        <w:pStyle w:val="P68B1DB1-Normal5"/>
        <w:spacing w:before="120" w:after="120"/>
        <w:jc w:val="both"/>
        <w:rPr>
          <w:noProof/>
          <w:lang w:val="de-DE"/>
        </w:rPr>
      </w:pPr>
      <w:r w:rsidRPr="00170422">
        <w:rPr>
          <w:noProof/>
          <w:lang w:val="de-DE"/>
        </w:rPr>
        <w:t xml:space="preserve">Investition 4.1: Erhöhung der Zahl und der beruflichen Möglichkeiten von Doktoranden (Forschungsorientierte, öffentliche Verwaltung und Kulturerbe) </w:t>
      </w:r>
    </w:p>
    <w:p w14:paraId="67B6AA15" w14:textId="77777777"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noProof/>
          <w:lang w:val="de-DE"/>
        </w:rPr>
        <w:t>Ziel der Maßnahme ist es, den Bestand an Humankapital für forschungsorientierte Tätigkeiten, die öffentlich</w:t>
      </w:r>
      <w:r w:rsidRPr="00170422">
        <w:rPr>
          <w:rFonts w:ascii="Times New Roman" w:hAnsi="Times New Roman" w:cs="Times New Roman"/>
          <w:noProof/>
          <w:lang w:val="de-DE"/>
        </w:rPr>
        <w:t>e Verwaltung und das kulturelle Erbe zu erhöhen. Die Investition sieht die Zuweisung von mindestens 3600</w:t>
      </w:r>
      <w:r w:rsidRPr="00170422">
        <w:rPr>
          <w:rFonts w:ascii="Arial Narrow" w:hAnsi="Arial Narrow"/>
          <w:noProof/>
          <w:color w:val="006100"/>
          <w:sz w:val="20"/>
          <w:szCs w:val="20"/>
          <w:lang w:val="de-DE"/>
        </w:rPr>
        <w:t xml:space="preserve"> </w:t>
      </w:r>
      <w:r w:rsidRPr="00170422">
        <w:rPr>
          <w:rFonts w:ascii="Times New Roman" w:hAnsi="Times New Roman" w:cs="Times New Roman"/>
          <w:noProof/>
          <w:lang w:val="de-DE"/>
        </w:rPr>
        <w:t>allgemeinen Doktorandenstipendien, mindestens 3000 Doktorandenstipendien</w:t>
      </w:r>
      <w:r w:rsidRPr="00170422">
        <w:rPr>
          <w:rFonts w:ascii="Arial Narrow" w:hAnsi="Arial Narrow"/>
          <w:noProof/>
          <w:color w:val="006100"/>
          <w:sz w:val="20"/>
          <w:szCs w:val="20"/>
          <w:lang w:val="de-DE"/>
        </w:rPr>
        <w:t xml:space="preserve"> </w:t>
      </w:r>
      <w:r w:rsidRPr="00170422">
        <w:rPr>
          <w:rFonts w:ascii="Times New Roman" w:hAnsi="Times New Roman" w:cs="Times New Roman"/>
          <w:noProof/>
          <w:lang w:val="de-DE"/>
        </w:rPr>
        <w:t>im Bereich der öffentlichen Verwaltung und mindestens 600 neuen Doktorandensti</w:t>
      </w:r>
      <w:r w:rsidRPr="00170422">
        <w:rPr>
          <w:rFonts w:ascii="Times New Roman" w:hAnsi="Times New Roman" w:cs="Times New Roman"/>
          <w:noProof/>
          <w:lang w:val="de-DE"/>
        </w:rPr>
        <w:t>pendien für kulturelles Erbe für Studierende vor.</w:t>
      </w:r>
    </w:p>
    <w:p w14:paraId="303E3A6B" w14:textId="77777777" w:rsidR="0057163C" w:rsidRPr="00170422" w:rsidRDefault="0057163C">
      <w:pPr>
        <w:spacing w:before="120" w:after="120"/>
        <w:jc w:val="both"/>
        <w:rPr>
          <w:rFonts w:ascii="Times New Roman" w:hAnsi="Times New Roman" w:cs="Times New Roman"/>
          <w:noProof/>
          <w:lang w:val="de-DE"/>
        </w:rPr>
        <w:sectPr w:rsidR="0057163C" w:rsidRPr="00170422" w:rsidSect="005F11B9">
          <w:headerReference w:type="default" r:id="rId176"/>
          <w:footerReference w:type="default" r:id="rId177"/>
          <w:pgSz w:w="11906" w:h="16838"/>
          <w:pgMar w:top="1440" w:right="1440" w:bottom="1440" w:left="1440" w:header="708" w:footer="708" w:gutter="0"/>
          <w:cols w:space="708"/>
          <w:docGrid w:linePitch="360"/>
        </w:sectPr>
      </w:pPr>
    </w:p>
    <w:p w14:paraId="5E53E3DA" w14:textId="77777777" w:rsidR="0057163C" w:rsidRPr="00170422" w:rsidRDefault="00F37BF9">
      <w:pPr>
        <w:pStyle w:val="P68B1DB1-Heading39"/>
        <w:ind w:left="850" w:hanging="850"/>
        <w:rPr>
          <w:b/>
          <w:i/>
          <w:noProof/>
          <w:u w:val="single"/>
          <w:lang w:val="de-DE"/>
        </w:rPr>
      </w:pPr>
      <w:r w:rsidRPr="00170422">
        <w:rPr>
          <w:b/>
          <w:noProof/>
          <w:u w:val="single"/>
          <w:lang w:val="de-DE"/>
        </w:rPr>
        <w:t xml:space="preserve">J.2. </w:t>
      </w:r>
      <w:r w:rsidRPr="00170422">
        <w:rPr>
          <w:noProof/>
          <w:lang w:val="de-DE"/>
        </w:rPr>
        <w:t xml:space="preserve"> </w:t>
      </w:r>
      <w:r w:rsidRPr="00170422">
        <w:rPr>
          <w:b/>
          <w:noProof/>
          <w:u w:val="single"/>
          <w:lang w:val="de-DE"/>
        </w:rPr>
        <w:t>Etappenziele, Zielwerte, Indikatoren und Zeitplan für die Überwachung und Durchführung der nicht rückzahlbaren finanziellen Unterstützung</w:t>
      </w: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83"/>
        <w:gridCol w:w="1235"/>
        <w:gridCol w:w="1499"/>
        <w:gridCol w:w="1478"/>
        <w:gridCol w:w="1276"/>
        <w:gridCol w:w="1446"/>
        <w:gridCol w:w="955"/>
        <w:gridCol w:w="825"/>
        <w:gridCol w:w="743"/>
        <w:gridCol w:w="2437"/>
      </w:tblGrid>
      <w:tr w:rsidR="0057163C" w:rsidRPr="00170422" w14:paraId="248C2A94" w14:textId="77777777" w:rsidTr="00E17A5C">
        <w:trPr>
          <w:trHeight w:val="300"/>
          <w:tblHeader/>
        </w:trPr>
        <w:tc>
          <w:tcPr>
            <w:tcW w:w="1101" w:type="dxa"/>
            <w:vMerge w:val="restart"/>
            <w:shd w:val="clear" w:color="auto" w:fill="BDD7EE"/>
            <w:vAlign w:val="center"/>
            <w:hideMark/>
          </w:tcPr>
          <w:p w14:paraId="5358F8E3" w14:textId="77777777" w:rsidR="0057163C" w:rsidRPr="00170422" w:rsidRDefault="00F37BF9">
            <w:pPr>
              <w:pStyle w:val="P68B1DB1-Normal10"/>
              <w:jc w:val="center"/>
              <w:rPr>
                <w:noProof/>
                <w:szCs w:val="20"/>
                <w:lang w:val="de-DE"/>
              </w:rPr>
            </w:pPr>
            <w:r w:rsidRPr="00170422">
              <w:rPr>
                <w:noProof/>
                <w:lang w:val="de-DE"/>
              </w:rPr>
              <w:t>Laufende Nu</w:t>
            </w:r>
            <w:r w:rsidRPr="00170422">
              <w:rPr>
                <w:noProof/>
                <w:lang w:val="de-DE"/>
              </w:rPr>
              <w:t>mmer</w:t>
            </w:r>
          </w:p>
        </w:tc>
        <w:tc>
          <w:tcPr>
            <w:tcW w:w="1883" w:type="dxa"/>
            <w:vMerge w:val="restart"/>
            <w:shd w:val="clear" w:color="auto" w:fill="BDD7EE"/>
            <w:vAlign w:val="center"/>
            <w:hideMark/>
          </w:tcPr>
          <w:p w14:paraId="1750FC60"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35" w:type="dxa"/>
            <w:vMerge w:val="restart"/>
            <w:shd w:val="clear" w:color="auto" w:fill="BDD7EE"/>
            <w:vAlign w:val="center"/>
            <w:hideMark/>
          </w:tcPr>
          <w:p w14:paraId="18EEB589" w14:textId="77777777" w:rsidR="0057163C" w:rsidRPr="00170422" w:rsidRDefault="00F37BF9">
            <w:pPr>
              <w:pStyle w:val="P68B1DB1-Normal10"/>
              <w:jc w:val="center"/>
              <w:rPr>
                <w:noProof/>
                <w:szCs w:val="20"/>
                <w:lang w:val="de-DE"/>
              </w:rPr>
            </w:pPr>
            <w:r w:rsidRPr="00170422">
              <w:rPr>
                <w:noProof/>
                <w:lang w:val="de-DE"/>
              </w:rPr>
              <w:t>Etappenziel/Zielwert</w:t>
            </w:r>
          </w:p>
        </w:tc>
        <w:tc>
          <w:tcPr>
            <w:tcW w:w="1499" w:type="dxa"/>
            <w:vMerge w:val="restart"/>
            <w:shd w:val="clear" w:color="auto" w:fill="BDD7EE"/>
            <w:vAlign w:val="center"/>
            <w:hideMark/>
          </w:tcPr>
          <w:p w14:paraId="18B70743" w14:textId="77777777" w:rsidR="0057163C" w:rsidRPr="00170422" w:rsidRDefault="00F37BF9">
            <w:pPr>
              <w:pStyle w:val="P68B1DB1-Normal10"/>
              <w:jc w:val="center"/>
              <w:rPr>
                <w:noProof/>
                <w:szCs w:val="20"/>
                <w:lang w:val="de-DE"/>
              </w:rPr>
            </w:pPr>
            <w:r w:rsidRPr="00170422">
              <w:rPr>
                <w:noProof/>
                <w:lang w:val="de-DE"/>
              </w:rPr>
              <w:t>Namen</w:t>
            </w:r>
          </w:p>
        </w:tc>
        <w:tc>
          <w:tcPr>
            <w:tcW w:w="1478" w:type="dxa"/>
            <w:vMerge w:val="restart"/>
            <w:shd w:val="clear" w:color="auto" w:fill="BDD7EE"/>
            <w:vAlign w:val="center"/>
            <w:hideMark/>
          </w:tcPr>
          <w:p w14:paraId="409E5B8C" w14:textId="1825BE3F"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E17A5C"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677" w:type="dxa"/>
            <w:gridSpan w:val="3"/>
            <w:shd w:val="clear" w:color="auto" w:fill="BDD7EE"/>
            <w:vAlign w:val="center"/>
            <w:hideMark/>
          </w:tcPr>
          <w:p w14:paraId="162AEB45"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68" w:type="dxa"/>
            <w:gridSpan w:val="2"/>
            <w:shd w:val="clear" w:color="auto" w:fill="BDD7EE"/>
            <w:vAlign w:val="center"/>
            <w:hideMark/>
          </w:tcPr>
          <w:p w14:paraId="07906EA4"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437" w:type="dxa"/>
            <w:vMerge w:val="restart"/>
            <w:shd w:val="clear" w:color="auto" w:fill="BDD7EE"/>
            <w:vAlign w:val="center"/>
            <w:hideMark/>
          </w:tcPr>
          <w:p w14:paraId="4AF14260" w14:textId="77777777" w:rsidR="0057163C" w:rsidRPr="00170422" w:rsidRDefault="00F37BF9">
            <w:pPr>
              <w:pStyle w:val="P68B1DB1-Normal10"/>
              <w:jc w:val="center"/>
              <w:rPr>
                <w:noProof/>
                <w:szCs w:val="20"/>
                <w:lang w:val="de-DE"/>
              </w:rPr>
            </w:pPr>
            <w:r w:rsidRPr="00170422">
              <w:rPr>
                <w:noProof/>
                <w:lang w:val="de-DE"/>
              </w:rPr>
              <w:t xml:space="preserve">Beschreibung der einzelnen </w:t>
            </w:r>
            <w:r w:rsidRPr="00170422">
              <w:rPr>
                <w:noProof/>
                <w:lang w:val="de-DE"/>
              </w:rPr>
              <w:t>Etappenziele und Zielvorgaben</w:t>
            </w:r>
          </w:p>
        </w:tc>
      </w:tr>
      <w:tr w:rsidR="0057163C" w:rsidRPr="00170422" w14:paraId="38EDA02F" w14:textId="77777777" w:rsidTr="00E17A5C">
        <w:trPr>
          <w:trHeight w:val="300"/>
          <w:tblHeader/>
        </w:trPr>
        <w:tc>
          <w:tcPr>
            <w:tcW w:w="1101" w:type="dxa"/>
            <w:vMerge/>
            <w:vAlign w:val="center"/>
            <w:hideMark/>
          </w:tcPr>
          <w:p w14:paraId="304A311B" w14:textId="77777777" w:rsidR="0057163C" w:rsidRPr="00170422" w:rsidRDefault="0057163C">
            <w:pPr>
              <w:jc w:val="center"/>
              <w:rPr>
                <w:rFonts w:ascii="Arial Narrow" w:hAnsi="Arial Narrow"/>
                <w:b/>
                <w:noProof/>
                <w:sz w:val="20"/>
                <w:szCs w:val="20"/>
                <w:lang w:val="de-DE"/>
              </w:rPr>
            </w:pPr>
          </w:p>
        </w:tc>
        <w:tc>
          <w:tcPr>
            <w:tcW w:w="1883" w:type="dxa"/>
            <w:vMerge/>
            <w:vAlign w:val="center"/>
            <w:hideMark/>
          </w:tcPr>
          <w:p w14:paraId="294A9B46" w14:textId="77777777" w:rsidR="0057163C" w:rsidRPr="00170422" w:rsidRDefault="0057163C">
            <w:pPr>
              <w:jc w:val="center"/>
              <w:rPr>
                <w:rFonts w:ascii="Arial Narrow" w:hAnsi="Arial Narrow"/>
                <w:b/>
                <w:noProof/>
                <w:sz w:val="20"/>
                <w:szCs w:val="20"/>
                <w:lang w:val="de-DE"/>
              </w:rPr>
            </w:pPr>
          </w:p>
        </w:tc>
        <w:tc>
          <w:tcPr>
            <w:tcW w:w="1235" w:type="dxa"/>
            <w:vMerge/>
            <w:vAlign w:val="center"/>
            <w:hideMark/>
          </w:tcPr>
          <w:p w14:paraId="2E338454" w14:textId="77777777" w:rsidR="0057163C" w:rsidRPr="00170422" w:rsidRDefault="0057163C">
            <w:pPr>
              <w:jc w:val="center"/>
              <w:rPr>
                <w:rFonts w:ascii="Arial Narrow" w:hAnsi="Arial Narrow"/>
                <w:b/>
                <w:noProof/>
                <w:sz w:val="20"/>
                <w:szCs w:val="20"/>
                <w:lang w:val="de-DE"/>
              </w:rPr>
            </w:pPr>
          </w:p>
        </w:tc>
        <w:tc>
          <w:tcPr>
            <w:tcW w:w="1499" w:type="dxa"/>
            <w:vMerge/>
            <w:vAlign w:val="center"/>
            <w:hideMark/>
          </w:tcPr>
          <w:p w14:paraId="09685154" w14:textId="77777777" w:rsidR="0057163C" w:rsidRPr="00170422" w:rsidRDefault="0057163C">
            <w:pPr>
              <w:jc w:val="center"/>
              <w:rPr>
                <w:rFonts w:ascii="Arial Narrow" w:hAnsi="Arial Narrow"/>
                <w:b/>
                <w:noProof/>
                <w:sz w:val="20"/>
                <w:szCs w:val="20"/>
                <w:lang w:val="de-DE"/>
              </w:rPr>
            </w:pPr>
          </w:p>
        </w:tc>
        <w:tc>
          <w:tcPr>
            <w:tcW w:w="1478" w:type="dxa"/>
            <w:vMerge/>
            <w:vAlign w:val="center"/>
            <w:hideMark/>
          </w:tcPr>
          <w:p w14:paraId="0204A995" w14:textId="77777777" w:rsidR="0057163C" w:rsidRPr="00170422" w:rsidRDefault="0057163C">
            <w:pPr>
              <w:jc w:val="center"/>
              <w:rPr>
                <w:rFonts w:ascii="Arial Narrow" w:hAnsi="Arial Narrow"/>
                <w:b/>
                <w:noProof/>
                <w:sz w:val="20"/>
                <w:szCs w:val="20"/>
                <w:lang w:val="de-DE"/>
              </w:rPr>
            </w:pPr>
          </w:p>
        </w:tc>
        <w:tc>
          <w:tcPr>
            <w:tcW w:w="1276" w:type="dxa"/>
            <w:shd w:val="clear" w:color="auto" w:fill="BDD7EE"/>
            <w:vAlign w:val="center"/>
            <w:hideMark/>
          </w:tcPr>
          <w:p w14:paraId="07EA7719" w14:textId="77777777" w:rsidR="0057163C" w:rsidRPr="00170422" w:rsidRDefault="00F37BF9">
            <w:pPr>
              <w:pStyle w:val="P68B1DB1-Normal10"/>
              <w:jc w:val="center"/>
              <w:rPr>
                <w:noProof/>
                <w:szCs w:val="20"/>
                <w:lang w:val="de-DE"/>
              </w:rPr>
            </w:pPr>
            <w:r w:rsidRPr="00170422">
              <w:rPr>
                <w:noProof/>
                <w:lang w:val="de-DE"/>
              </w:rPr>
              <w:t>Maßeinheit</w:t>
            </w:r>
          </w:p>
        </w:tc>
        <w:tc>
          <w:tcPr>
            <w:tcW w:w="1446" w:type="dxa"/>
            <w:shd w:val="clear" w:color="auto" w:fill="BDD7EE"/>
            <w:vAlign w:val="center"/>
            <w:hideMark/>
          </w:tcPr>
          <w:p w14:paraId="48E7B5E0" w14:textId="77777777" w:rsidR="0057163C" w:rsidRPr="00170422" w:rsidRDefault="00F37BF9">
            <w:pPr>
              <w:pStyle w:val="P68B1DB1-Normal10"/>
              <w:jc w:val="center"/>
              <w:rPr>
                <w:noProof/>
                <w:szCs w:val="20"/>
                <w:lang w:val="de-DE"/>
              </w:rPr>
            </w:pPr>
            <w:r w:rsidRPr="00170422">
              <w:rPr>
                <w:noProof/>
                <w:lang w:val="de-DE"/>
              </w:rPr>
              <w:t>Ausgangslage</w:t>
            </w:r>
          </w:p>
        </w:tc>
        <w:tc>
          <w:tcPr>
            <w:tcW w:w="955" w:type="dxa"/>
            <w:shd w:val="clear" w:color="auto" w:fill="BDD7EE"/>
            <w:vAlign w:val="center"/>
            <w:hideMark/>
          </w:tcPr>
          <w:p w14:paraId="7C394142" w14:textId="77777777" w:rsidR="0057163C" w:rsidRPr="00170422" w:rsidRDefault="00F37BF9">
            <w:pPr>
              <w:pStyle w:val="P68B1DB1-Normal10"/>
              <w:jc w:val="center"/>
              <w:rPr>
                <w:noProof/>
                <w:szCs w:val="20"/>
                <w:lang w:val="de-DE"/>
              </w:rPr>
            </w:pPr>
            <w:r w:rsidRPr="00170422">
              <w:rPr>
                <w:noProof/>
                <w:lang w:val="de-DE"/>
              </w:rPr>
              <w:t>Ziel</w:t>
            </w:r>
          </w:p>
        </w:tc>
        <w:tc>
          <w:tcPr>
            <w:tcW w:w="825" w:type="dxa"/>
            <w:shd w:val="clear" w:color="auto" w:fill="BDD7EE"/>
            <w:vAlign w:val="center"/>
            <w:hideMark/>
          </w:tcPr>
          <w:p w14:paraId="3B896B4D" w14:textId="77777777" w:rsidR="0057163C" w:rsidRPr="00170422" w:rsidRDefault="00F37BF9">
            <w:pPr>
              <w:pStyle w:val="P68B1DB1-Normal10"/>
              <w:jc w:val="center"/>
              <w:rPr>
                <w:noProof/>
                <w:szCs w:val="20"/>
                <w:lang w:val="de-DE"/>
              </w:rPr>
            </w:pPr>
            <w:r w:rsidRPr="00170422">
              <w:rPr>
                <w:noProof/>
                <w:lang w:val="de-DE"/>
              </w:rPr>
              <w:t>Viertel</w:t>
            </w:r>
          </w:p>
        </w:tc>
        <w:tc>
          <w:tcPr>
            <w:tcW w:w="743" w:type="dxa"/>
            <w:shd w:val="clear" w:color="auto" w:fill="BDD7EE"/>
            <w:vAlign w:val="center"/>
            <w:hideMark/>
          </w:tcPr>
          <w:p w14:paraId="21E63939" w14:textId="77777777" w:rsidR="0057163C" w:rsidRPr="00170422" w:rsidRDefault="00F37BF9">
            <w:pPr>
              <w:pStyle w:val="P68B1DB1-Normal10"/>
              <w:jc w:val="center"/>
              <w:rPr>
                <w:noProof/>
                <w:szCs w:val="20"/>
                <w:lang w:val="de-DE"/>
              </w:rPr>
            </w:pPr>
            <w:r w:rsidRPr="00170422">
              <w:rPr>
                <w:noProof/>
                <w:lang w:val="de-DE"/>
              </w:rPr>
              <w:t>Jahre</w:t>
            </w:r>
          </w:p>
        </w:tc>
        <w:tc>
          <w:tcPr>
            <w:tcW w:w="2437" w:type="dxa"/>
            <w:vMerge/>
            <w:vAlign w:val="center"/>
            <w:hideMark/>
          </w:tcPr>
          <w:p w14:paraId="182E07CA" w14:textId="77777777" w:rsidR="0057163C" w:rsidRPr="00170422" w:rsidRDefault="0057163C">
            <w:pPr>
              <w:rPr>
                <w:rFonts w:ascii="Arial Narrow" w:hAnsi="Arial Narrow"/>
                <w:b/>
                <w:noProof/>
                <w:sz w:val="20"/>
                <w:szCs w:val="20"/>
                <w:lang w:val="de-DE"/>
              </w:rPr>
            </w:pPr>
          </w:p>
        </w:tc>
      </w:tr>
      <w:tr w:rsidR="0057163C" w:rsidRPr="00170422" w14:paraId="22F48242"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26EFB6" w14:textId="77777777" w:rsidR="0057163C" w:rsidRPr="00170422" w:rsidRDefault="00F37BF9">
            <w:pPr>
              <w:pStyle w:val="P68B1DB1-Normal11"/>
              <w:jc w:val="center"/>
              <w:rPr>
                <w:noProof/>
                <w:szCs w:val="20"/>
                <w:lang w:val="de-DE"/>
              </w:rPr>
            </w:pPr>
            <w:r w:rsidRPr="00170422">
              <w:rPr>
                <w:noProof/>
                <w:lang w:val="de-DE"/>
              </w:rPr>
              <w:t>M4C1-1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C6DB47" w14:textId="77777777" w:rsidR="0057163C" w:rsidRPr="00170422" w:rsidRDefault="00F37BF9">
            <w:pPr>
              <w:pStyle w:val="P68B1DB1-Normal11"/>
              <w:jc w:val="center"/>
              <w:rPr>
                <w:noProof/>
                <w:szCs w:val="20"/>
                <w:lang w:val="de-DE"/>
              </w:rPr>
            </w:pPr>
            <w:r w:rsidRPr="00170422">
              <w:rPr>
                <w:noProof/>
                <w:lang w:val="de-DE"/>
              </w:rPr>
              <w:t>Reform 1.5: Reform der Hochschulgruppen; Reform 1.6: Ermöglichung der Reform der Hochschulabschlüsse; Reform 4.1: Ph.D. Programmreform</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D71B8B"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487AC9" w14:textId="77777777" w:rsidR="0057163C" w:rsidRPr="00170422" w:rsidRDefault="00F37BF9">
            <w:pPr>
              <w:pStyle w:val="P68B1DB1-Normal11"/>
              <w:jc w:val="center"/>
              <w:rPr>
                <w:noProof/>
                <w:szCs w:val="20"/>
                <w:lang w:val="de-DE"/>
              </w:rPr>
            </w:pPr>
            <w:r w:rsidRPr="00170422">
              <w:rPr>
                <w:noProof/>
                <w:lang w:val="de-DE"/>
              </w:rPr>
              <w:t>Inkrafttreten der Reformen des tertiären Bildungssystems zur Verbesserung der Bildungsergebnisse (Primärrecht) in folgenden Bereichen: a) Hochschulabschlüsse ermöglichen; B) Hochschulabschlußgruppen; C) Reform der Promotionsprogramme</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9B624F" w14:textId="77777777" w:rsidR="0057163C" w:rsidRPr="00170422" w:rsidRDefault="00F37BF9">
            <w:pPr>
              <w:pStyle w:val="P68B1DB1-Normal11"/>
              <w:jc w:val="center"/>
              <w:rPr>
                <w:noProof/>
                <w:szCs w:val="20"/>
                <w:lang w:val="de-DE"/>
              </w:rPr>
            </w:pPr>
            <w:r w:rsidRPr="00170422">
              <w:rPr>
                <w:noProof/>
                <w:lang w:val="de-DE"/>
              </w:rPr>
              <w:t>Gesetzliche Bestimmung</w:t>
            </w:r>
            <w:r w:rsidRPr="00170422">
              <w:rPr>
                <w:noProof/>
                <w:lang w:val="de-DE"/>
              </w:rPr>
              <w:t xml:space="preserve"> über das Inkrafttreten der Reformen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17631D"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23763"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3A15E"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6242CD"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A9A065" w14:textId="77777777" w:rsidR="0057163C" w:rsidRPr="00170422" w:rsidRDefault="00F37BF9">
            <w:pPr>
              <w:pStyle w:val="P68B1DB1-Normal11"/>
              <w:jc w:val="center"/>
              <w:rPr>
                <w:noProof/>
                <w:szCs w:val="20"/>
                <w:lang w:val="de-DE"/>
              </w:rPr>
            </w:pPr>
            <w:r w:rsidRPr="00170422">
              <w:rPr>
                <w:noProof/>
                <w:lang w:val="de-DE"/>
              </w:rPr>
              <w:t>2021</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7B0826" w14:textId="72F53B1D"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 xml:space="preserve">Die Reformen umfassen mindestens die folgenden Schlüsselelemente: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 xml:space="preserve">I) Initiativen zur Reform der Hochschulabsolventengruppen, mit </w:t>
            </w:r>
            <w:r w:rsidRPr="00170422">
              <w:rPr>
                <w:rFonts w:ascii="Arial Narrow" w:hAnsi="Arial Narrow"/>
                <w:noProof/>
                <w:color w:val="006100"/>
                <w:sz w:val="20"/>
                <w:lang w:val="de-DE"/>
              </w:rPr>
              <w:t xml:space="preserve">denen ein höheres Maß an Flexibilität eingeführt wird, um dem sich wandelnden Qualifikationsbedarf des Arbeitsmarktes gerecht zu werden; </w:t>
            </w:r>
            <w:r w:rsidRPr="00170422">
              <w:rPr>
                <w:noProof/>
                <w:lang w:val="de-DE"/>
              </w:rPr>
              <w:t xml:space="preserve"> </w:t>
            </w:r>
            <w:r w:rsidRPr="00170422">
              <w:rPr>
                <w:noProof/>
                <w:lang w:val="de-DE"/>
              </w:rPr>
              <w:br/>
            </w:r>
            <w:r w:rsidRPr="00170422">
              <w:rPr>
                <w:rFonts w:ascii="Arial Narrow" w:hAnsi="Arial Narrow"/>
                <w:noProof/>
                <w:color w:val="006100"/>
                <w:sz w:val="20"/>
                <w:lang w:val="de-DE"/>
              </w:rPr>
              <w:t>II) Initiativen zur Reform des Hochschulabschlusses, zur Vereinfachung und Beschleunigung des Zugangs zu Berufen;</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I</w:t>
            </w:r>
            <w:r w:rsidRPr="00170422">
              <w:rPr>
                <w:rFonts w:ascii="Arial Narrow" w:hAnsi="Arial Narrow"/>
                <w:noProof/>
                <w:color w:val="006100"/>
                <w:sz w:val="20"/>
                <w:lang w:val="de-DE"/>
              </w:rPr>
              <w:t>II) Initiativen zur Reform der PHD-Programme, um Unternehmen besser einzubeziehen und die angewandte Forschung zu fördern;</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Maßnahmen zur Reform des tertiären Berufsbildungssystems, einschließlich Stärkung der Verbindungen und möglicher Übergänge mit beru</w:t>
            </w:r>
            <w:r w:rsidRPr="00170422">
              <w:rPr>
                <w:rFonts w:ascii="Arial Narrow" w:hAnsi="Arial Narrow"/>
                <w:noProof/>
                <w:color w:val="006100"/>
                <w:sz w:val="20"/>
                <w:lang w:val="de-DE"/>
              </w:rPr>
              <w:t>flichen Abschlüssen (lauree professionalizzanti), um die Nachfrage nach technischen Kompetenzen auf dem Arbeitsmarkt zu decken</w:t>
            </w:r>
          </w:p>
        </w:tc>
      </w:tr>
      <w:tr w:rsidR="0057163C" w:rsidRPr="00170422" w14:paraId="4CEAB316"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5D98C" w14:textId="77777777" w:rsidR="0057163C" w:rsidRPr="00170422" w:rsidRDefault="00F37BF9">
            <w:pPr>
              <w:pStyle w:val="P68B1DB1-Normal11"/>
              <w:jc w:val="center"/>
              <w:rPr>
                <w:noProof/>
                <w:szCs w:val="20"/>
                <w:lang w:val="de-DE"/>
              </w:rPr>
            </w:pPr>
            <w:r w:rsidRPr="00170422">
              <w:rPr>
                <w:noProof/>
                <w:lang w:val="de-DE"/>
              </w:rPr>
              <w:t>M4C1-2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E792D8" w14:textId="77777777" w:rsidR="0057163C" w:rsidRPr="00170422" w:rsidRDefault="00F37BF9">
            <w:pPr>
              <w:pStyle w:val="P68B1DB1-Normal11"/>
              <w:jc w:val="center"/>
              <w:rPr>
                <w:noProof/>
                <w:szCs w:val="20"/>
                <w:lang w:val="de-DE"/>
              </w:rPr>
            </w:pPr>
            <w:r w:rsidRPr="00170422">
              <w:rPr>
                <w:noProof/>
                <w:lang w:val="de-DE"/>
              </w:rPr>
              <w:t>Investition 1.7: Stipendien für den Zugang zu Universitäten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BF95124"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AAC8C3" w14:textId="77777777" w:rsidR="0057163C" w:rsidRPr="00170422" w:rsidRDefault="00F37BF9">
            <w:pPr>
              <w:pStyle w:val="P68B1DB1-Normal11"/>
              <w:jc w:val="center"/>
              <w:rPr>
                <w:noProof/>
                <w:szCs w:val="20"/>
                <w:lang w:val="de-DE"/>
              </w:rPr>
            </w:pPr>
            <w:r w:rsidRPr="00170422">
              <w:rPr>
                <w:noProof/>
                <w:lang w:val="de-DE"/>
              </w:rPr>
              <w:t xml:space="preserve">Inkrafttreten von Ministerialerlassen zur Reform </w:t>
            </w:r>
            <w:r w:rsidRPr="00170422">
              <w:rPr>
                <w:noProof/>
                <w:lang w:val="de-DE"/>
              </w:rPr>
              <w:t>von Stipendien zur Verbesserung des Zugangs zur tertiären Bildung</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4D640" w14:textId="77777777" w:rsidR="0057163C" w:rsidRPr="00170422" w:rsidRDefault="00F37BF9">
            <w:pPr>
              <w:pStyle w:val="P68B1DB1-Normal11"/>
              <w:jc w:val="center"/>
              <w:rPr>
                <w:noProof/>
                <w:szCs w:val="20"/>
                <w:lang w:val="de-DE"/>
              </w:rPr>
            </w:pPr>
            <w:r w:rsidRPr="00170422">
              <w:rPr>
                <w:noProof/>
                <w:lang w:val="de-DE"/>
              </w:rPr>
              <w:t>Gesetzliche Bestimmung über das Inkrafttreten der Reform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C474B"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47CD69"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9FDB5B"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AF2453"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115E25" w14:textId="77777777" w:rsidR="0057163C" w:rsidRPr="00170422" w:rsidRDefault="00F37BF9">
            <w:pPr>
              <w:pStyle w:val="P68B1DB1-Normal11"/>
              <w:jc w:val="center"/>
              <w:rPr>
                <w:noProof/>
                <w:szCs w:val="20"/>
                <w:lang w:val="de-DE"/>
              </w:rPr>
            </w:pPr>
            <w:r w:rsidRPr="00170422">
              <w:rPr>
                <w:noProof/>
                <w:lang w:val="de-DE"/>
              </w:rPr>
              <w:t>2021</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556AB0" w14:textId="7691BEAD" w:rsidR="0057163C" w:rsidRPr="00170422" w:rsidRDefault="00F37BF9">
            <w:pPr>
              <w:pStyle w:val="P68B1DB1-Normal11"/>
              <w:rPr>
                <w:noProof/>
                <w:szCs w:val="20"/>
                <w:lang w:val="de-DE"/>
              </w:rPr>
            </w:pPr>
            <w:r w:rsidRPr="00170422">
              <w:rPr>
                <w:noProof/>
                <w:lang w:val="de-DE"/>
              </w:rPr>
              <w:t>Die vom Ministerium für Universität und Forschung angenommenen Ministerialdekrete zur R</w:t>
            </w:r>
            <w:r w:rsidRPr="00170422">
              <w:rPr>
                <w:noProof/>
                <w:lang w:val="de-DE"/>
              </w:rPr>
              <w:t xml:space="preserve">eform der Stipendien sollen den Zugang zur Hochschulbildung für talentierte Studierende mit sozioökonomischen Schwierigkeiten verbessern und die Höhe der Stipendien und die Zahl der Begünstigten bis zum 31. Dezember 2024 erhöhen. Diese Studierenden werden </w:t>
            </w:r>
            <w:r w:rsidRPr="00170422">
              <w:rPr>
                <w:noProof/>
                <w:lang w:val="de-DE"/>
              </w:rPr>
              <w:t>auf der Grundlage des ISEE – Indicatore della Situazione Economica Equivalente ermittelt.</w:t>
            </w:r>
          </w:p>
        </w:tc>
      </w:tr>
      <w:tr w:rsidR="0057163C" w:rsidRPr="00170422" w14:paraId="6ABB7E21"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E521F7" w14:textId="77777777" w:rsidR="0057163C" w:rsidRPr="00170422" w:rsidRDefault="00F37BF9">
            <w:pPr>
              <w:pStyle w:val="P68B1DB1-Normal11"/>
              <w:jc w:val="center"/>
              <w:rPr>
                <w:noProof/>
                <w:szCs w:val="20"/>
                <w:lang w:val="de-DE"/>
              </w:rPr>
            </w:pPr>
            <w:r w:rsidRPr="00170422">
              <w:rPr>
                <w:noProof/>
                <w:lang w:val="de-DE"/>
              </w:rPr>
              <w:t>M4C1-3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54EBCE" w14:textId="77777777" w:rsidR="0057163C" w:rsidRPr="00170422" w:rsidRDefault="00F37BF9">
            <w:pPr>
              <w:pStyle w:val="P68B1DB1-Normal11"/>
              <w:jc w:val="center"/>
              <w:rPr>
                <w:noProof/>
                <w:szCs w:val="20"/>
                <w:lang w:val="de-DE"/>
              </w:rPr>
            </w:pPr>
            <w:r w:rsidRPr="00170422">
              <w:rPr>
                <w:noProof/>
                <w:lang w:val="de-DE"/>
              </w:rPr>
              <w:t>Reform 2.1: Einstellung von Lehrkräften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E706F7"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03165C" w14:textId="77777777" w:rsidR="0057163C" w:rsidRPr="00170422" w:rsidRDefault="00F37BF9">
            <w:pPr>
              <w:pStyle w:val="P68B1DB1-Normal11"/>
              <w:jc w:val="center"/>
              <w:rPr>
                <w:noProof/>
                <w:szCs w:val="20"/>
                <w:lang w:val="de-DE"/>
              </w:rPr>
            </w:pPr>
            <w:r w:rsidRPr="00170422">
              <w:rPr>
                <w:noProof/>
                <w:lang w:val="de-DE"/>
              </w:rPr>
              <w:t>Inkrafttreten der Reform des Lehrberufs.</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7D9F16" w14:textId="77777777" w:rsidR="0057163C" w:rsidRPr="00170422" w:rsidRDefault="00F37BF9">
            <w:pPr>
              <w:pStyle w:val="P68B1DB1-Normal11"/>
              <w:jc w:val="center"/>
              <w:rPr>
                <w:noProof/>
                <w:szCs w:val="20"/>
                <w:lang w:val="de-DE"/>
              </w:rPr>
            </w:pPr>
            <w:r w:rsidRPr="00170422">
              <w:rPr>
                <w:noProof/>
                <w:lang w:val="de-DE"/>
              </w:rPr>
              <w:t>Gesetzliche Bestimmung über das Inkrafttreten der Reform</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4CFCC3"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889A2A6"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31A408"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6E85B3"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0BDFBF" w14:textId="77777777" w:rsidR="0057163C" w:rsidRPr="00170422" w:rsidRDefault="00F37BF9">
            <w:pPr>
              <w:pStyle w:val="P68B1DB1-Normal11"/>
              <w:jc w:val="center"/>
              <w:rPr>
                <w:noProof/>
                <w:szCs w:val="20"/>
                <w:lang w:val="de-DE"/>
              </w:rPr>
            </w:pPr>
            <w:r w:rsidRPr="00170422">
              <w:rPr>
                <w:noProof/>
                <w:lang w:val="de-DE"/>
              </w:rPr>
              <w:t>2022</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937350" w14:textId="1D05B71B"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 xml:space="preserve">Der überarbeitete Rechtsrahmen soll hochwertige Lehrkräfte anziehen, einstellen und motivieren, insbesondere durch: </w:t>
            </w:r>
            <w:r w:rsidRPr="00170422">
              <w:rPr>
                <w:noProof/>
                <w:lang w:val="de-DE"/>
              </w:rPr>
              <w:t xml:space="preserve"> </w:t>
            </w:r>
            <w:r w:rsidRPr="00170422">
              <w:rPr>
                <w:noProof/>
                <w:lang w:val="de-DE"/>
              </w:rPr>
              <w:br/>
            </w:r>
            <w:r w:rsidRPr="00170422">
              <w:rPr>
                <w:rFonts w:ascii="Arial Narrow" w:hAnsi="Arial Narrow"/>
                <w:noProof/>
                <w:color w:val="006100"/>
                <w:sz w:val="20"/>
                <w:lang w:val="de-DE"/>
              </w:rPr>
              <w:t xml:space="preserve">I) Verbesserung des Einstellungssystems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 xml:space="preserve">II) Einführung eines höheren Bildungsabschlusses für den </w:t>
            </w:r>
            <w:r w:rsidRPr="00170422">
              <w:rPr>
                <w:rFonts w:ascii="Arial Narrow" w:hAnsi="Arial Narrow"/>
                <w:noProof/>
                <w:color w:val="006100"/>
                <w:sz w:val="20"/>
                <w:lang w:val="de-DE"/>
              </w:rPr>
              <w:t xml:space="preserve">Zugang zum Beruf der Sekundarstufe;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III) Begrenzung der übermäßigen Mobilität von Lehrkräften (im Interesse der Kontinuität des Unterrichts);</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 xml:space="preserve">IV) Festlegung einer Laufbahnentwicklung, die eindeutig mit der Leistungsbewertung und der kontinuierlichen </w:t>
            </w:r>
            <w:r w:rsidRPr="00170422">
              <w:rPr>
                <w:rFonts w:ascii="Arial Narrow" w:hAnsi="Arial Narrow"/>
                <w:noProof/>
                <w:color w:val="006100"/>
                <w:sz w:val="20"/>
                <w:lang w:val="de-DE"/>
              </w:rPr>
              <w:t>beruflichen Weiterbildung verknüpft ist.</w:t>
            </w:r>
          </w:p>
        </w:tc>
      </w:tr>
      <w:tr w:rsidR="0057163C" w:rsidRPr="00170422" w14:paraId="5A161C33"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E2AF6D" w14:textId="77777777" w:rsidR="0057163C" w:rsidRPr="00170422" w:rsidRDefault="00F37BF9">
            <w:pPr>
              <w:pStyle w:val="P68B1DB1-Normal11"/>
              <w:jc w:val="center"/>
              <w:rPr>
                <w:noProof/>
                <w:szCs w:val="20"/>
                <w:lang w:val="de-DE"/>
              </w:rPr>
            </w:pPr>
            <w:r w:rsidRPr="00170422">
              <w:rPr>
                <w:noProof/>
                <w:lang w:val="de-DE"/>
              </w:rPr>
              <w:t>M4C1-4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70B09A" w14:textId="77777777" w:rsidR="0057163C" w:rsidRPr="00170422" w:rsidRDefault="00F37BF9">
            <w:pPr>
              <w:pStyle w:val="P68B1DB1-Normal11"/>
              <w:jc w:val="center"/>
              <w:rPr>
                <w:noProof/>
                <w:szCs w:val="20"/>
                <w:lang w:val="de-DE"/>
              </w:rPr>
            </w:pPr>
            <w:r w:rsidRPr="00170422">
              <w:rPr>
                <w:noProof/>
                <w:lang w:val="de-DE"/>
              </w:rPr>
              <w:t>Investition 3.2: Schule 4.0: innovative Schulen, Verkabelung, neue Klassenzimmer und Workshops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33F325"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0374D6" w14:textId="77777777" w:rsidR="0057163C" w:rsidRPr="00170422" w:rsidRDefault="00F37BF9">
            <w:pPr>
              <w:pStyle w:val="P68B1DB1-Normal11"/>
              <w:jc w:val="center"/>
              <w:rPr>
                <w:noProof/>
                <w:szCs w:val="20"/>
                <w:lang w:val="de-DE"/>
              </w:rPr>
            </w:pPr>
            <w:r w:rsidRPr="00170422">
              <w:rPr>
                <w:noProof/>
                <w:lang w:val="de-DE"/>
              </w:rPr>
              <w:t>Annahme des Schulplans 4.0 zur Förderung des digitalen Wandels des italienischen Schulsystems</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A5F789" w14:textId="77777777" w:rsidR="0057163C" w:rsidRPr="00170422" w:rsidRDefault="00F37BF9">
            <w:pPr>
              <w:pStyle w:val="P68B1DB1-Normal11"/>
              <w:jc w:val="center"/>
              <w:rPr>
                <w:noProof/>
                <w:szCs w:val="20"/>
                <w:lang w:val="de-DE"/>
              </w:rPr>
            </w:pPr>
            <w:r w:rsidRPr="00170422">
              <w:rPr>
                <w:noProof/>
                <w:lang w:val="de-DE"/>
              </w:rPr>
              <w:t>Bildungsministerium – Erlass zur Annahme des Schulplans 4.0</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15F951"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50A7B42"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E275CDC"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221B24"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2782F43" w14:textId="77777777" w:rsidR="0057163C" w:rsidRPr="00170422" w:rsidRDefault="00F37BF9">
            <w:pPr>
              <w:pStyle w:val="P68B1DB1-Normal11"/>
              <w:jc w:val="center"/>
              <w:rPr>
                <w:noProof/>
                <w:szCs w:val="20"/>
                <w:lang w:val="de-DE"/>
              </w:rPr>
            </w:pPr>
            <w:r w:rsidRPr="00170422">
              <w:rPr>
                <w:noProof/>
                <w:lang w:val="de-DE"/>
              </w:rPr>
              <w:t>2022</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7B9E87D" w14:textId="77777777" w:rsidR="0057163C" w:rsidRPr="00170422" w:rsidRDefault="00F37BF9">
            <w:pPr>
              <w:pStyle w:val="P68B1DB1-Normal11"/>
              <w:rPr>
                <w:noProof/>
                <w:szCs w:val="20"/>
                <w:lang w:val="de-DE"/>
              </w:rPr>
            </w:pPr>
            <w:r w:rsidRPr="00170422">
              <w:rPr>
                <w:noProof/>
                <w:lang w:val="de-DE"/>
              </w:rPr>
              <w:t>Der vom Bildungsministerium angenommene Plan „Schule 4.0“ zur Förderung des digitalen Wandels des italienischen Schulsystems umfasst Folgendes:</w:t>
            </w:r>
          </w:p>
          <w:p w14:paraId="32190ABB" w14:textId="77777777" w:rsidR="0057163C" w:rsidRPr="00170422" w:rsidRDefault="00F37BF9">
            <w:pPr>
              <w:pStyle w:val="P68B1DB1-Normal11"/>
              <w:rPr>
                <w:noProof/>
                <w:szCs w:val="20"/>
                <w:lang w:val="de-DE"/>
              </w:rPr>
            </w:pPr>
            <w:r w:rsidRPr="00170422">
              <w:rPr>
                <w:noProof/>
                <w:lang w:val="de-DE"/>
              </w:rPr>
              <w:t>Umwandlung von</w:t>
            </w:r>
            <w:r w:rsidRPr="00170422">
              <w:rPr>
                <w:noProof/>
                <w:lang w:val="de-DE"/>
              </w:rPr>
              <w:t xml:space="preserve"> 100000 Klassenräumen in innovative Lernumgebungen</w:t>
            </w:r>
          </w:p>
          <w:p w14:paraId="05BD8393" w14:textId="77777777" w:rsidR="0057163C" w:rsidRPr="00170422" w:rsidRDefault="00F37BF9">
            <w:pPr>
              <w:pStyle w:val="P68B1DB1-Normal11"/>
              <w:rPr>
                <w:noProof/>
                <w:szCs w:val="20"/>
                <w:lang w:val="de-DE"/>
              </w:rPr>
            </w:pPr>
            <w:r w:rsidRPr="00170422">
              <w:rPr>
                <w:noProof/>
                <w:lang w:val="de-DE"/>
              </w:rPr>
              <w:t>Einrichtung von Labors für die neuen digitalen Berufe in allen Sekundarschulen.</w:t>
            </w:r>
          </w:p>
          <w:p w14:paraId="526D577F" w14:textId="77777777" w:rsidR="0057163C" w:rsidRPr="00170422" w:rsidRDefault="00F37BF9">
            <w:pPr>
              <w:pStyle w:val="P68B1DB1-Normal11"/>
              <w:rPr>
                <w:noProof/>
                <w:szCs w:val="20"/>
                <w:lang w:val="de-DE"/>
              </w:rPr>
            </w:pPr>
            <w:r w:rsidRPr="00170422">
              <w:rPr>
                <w:noProof/>
                <w:lang w:val="de-DE"/>
              </w:rPr>
              <w:t xml:space="preserve">Maßnahme a) soll Schulräume, die für traditionelle Klassenzimmer bestimmt sind, in innovative, anpassungsfähige und flexible </w:t>
            </w:r>
            <w:r w:rsidRPr="00170422">
              <w:rPr>
                <w:noProof/>
                <w:lang w:val="de-DE"/>
              </w:rPr>
              <w:t>Lernumgebungen umwandeln, die zusammen mit digitalen, physischen und virtuellen Technologien verbunden und in diese integriert sind. Mit den Investitionen in Schuleinrichtungen sollen die innovativsten Unterrichtstechnologien (Kodierungs- und Robotikgeräte</w:t>
            </w:r>
            <w:r w:rsidRPr="00170422">
              <w:rPr>
                <w:noProof/>
                <w:lang w:val="de-DE"/>
              </w:rPr>
              <w:t>, Geräte für virtuelle Realität, fortgeschrittene digitale Geräte für inklusive Bildung usw.) in mindestens 100000 Klassen der Primar- und Sekundarschulen, die für den Unterricht genutzt werden, gebracht werden.</w:t>
            </w:r>
          </w:p>
          <w:p w14:paraId="47C28CB6" w14:textId="77777777" w:rsidR="0057163C" w:rsidRPr="00170422" w:rsidRDefault="00F37BF9">
            <w:pPr>
              <w:pStyle w:val="P68B1DB1-Normal11"/>
              <w:rPr>
                <w:noProof/>
                <w:szCs w:val="20"/>
                <w:lang w:val="de-DE"/>
              </w:rPr>
            </w:pPr>
            <w:r w:rsidRPr="00170422">
              <w:rPr>
                <w:noProof/>
                <w:lang w:val="de-DE"/>
              </w:rPr>
              <w:t>Maßnahme b) richtet mindestens ein Labor für</w:t>
            </w:r>
            <w:r w:rsidRPr="00170422">
              <w:rPr>
                <w:noProof/>
                <w:lang w:val="de-DE"/>
              </w:rPr>
              <w:t xml:space="preserve"> digitale Berufe in jeder Sekundarschule ein, ein Labor, das eng mit Unternehmen und innovativen Start-up-Unternehmen verbunden ist, um neue Arbeitsplätze in der Branche neuer digitaler Berufe (wie künstliche Intelligenz, Robotik, Big Data und Cybersicherh</w:t>
            </w:r>
            <w:r w:rsidRPr="00170422">
              <w:rPr>
                <w:noProof/>
                <w:lang w:val="de-DE"/>
              </w:rPr>
              <w:t>eit, blaue und grüne Wirtschaft) zu schaffen.</w:t>
            </w:r>
          </w:p>
          <w:p w14:paraId="0D9CF956" w14:textId="77777777" w:rsidR="0057163C" w:rsidRPr="00170422" w:rsidRDefault="00F37BF9">
            <w:pPr>
              <w:pStyle w:val="P68B1DB1-Normal11"/>
              <w:rPr>
                <w:noProof/>
                <w:szCs w:val="20"/>
                <w:lang w:val="de-DE"/>
              </w:rPr>
            </w:pPr>
            <w:r w:rsidRPr="00170422">
              <w:rPr>
                <w:noProof/>
                <w:lang w:val="de-DE"/>
              </w:rPr>
              <w:t>Mindestens 40 % der begünstigten Schulen müssen in Süditalien angesiedelt sein.</w:t>
            </w:r>
          </w:p>
        </w:tc>
      </w:tr>
      <w:tr w:rsidR="0057163C" w:rsidRPr="00170422" w14:paraId="6304583B"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44C711" w14:textId="77777777" w:rsidR="0057163C" w:rsidRPr="00170422" w:rsidRDefault="00F37BF9">
            <w:pPr>
              <w:pStyle w:val="P68B1DB1-Normal11"/>
              <w:jc w:val="center"/>
              <w:rPr>
                <w:noProof/>
                <w:szCs w:val="20"/>
                <w:lang w:val="de-DE"/>
              </w:rPr>
            </w:pPr>
            <w:r w:rsidRPr="00170422">
              <w:rPr>
                <w:noProof/>
                <w:lang w:val="de-DE"/>
              </w:rPr>
              <w:t>M4C1-5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2959849" w14:textId="77777777" w:rsidR="0057163C" w:rsidRPr="00170422" w:rsidRDefault="00F37BF9">
            <w:pPr>
              <w:pStyle w:val="P68B1DB1-Normal11"/>
              <w:jc w:val="center"/>
              <w:rPr>
                <w:noProof/>
                <w:szCs w:val="20"/>
                <w:lang w:val="de-DE"/>
              </w:rPr>
            </w:pPr>
            <w:r w:rsidRPr="00170422">
              <w:rPr>
                <w:noProof/>
                <w:lang w:val="de-DE"/>
              </w:rPr>
              <w:t xml:space="preserve">Reform 1.3: Umstrukturierung des Schulsystems; Reform 1.2: Reform des tertiären Berufsbildungssystems (ITS); Reform 1.1: </w:t>
            </w:r>
            <w:r w:rsidRPr="00170422">
              <w:rPr>
                <w:noProof/>
                <w:lang w:val="de-DE"/>
              </w:rPr>
              <w:t>Reform der technischen und beruflichen Institute; Reform 1.4: Reform des Orientierungssystems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0022CD" w14:textId="77777777" w:rsidR="0057163C" w:rsidRPr="00170422" w:rsidRDefault="00F37BF9">
            <w:pPr>
              <w:pStyle w:val="P68B1DB1-Normal11"/>
              <w:jc w:val="center"/>
              <w:rPr>
                <w:noProof/>
                <w:szCs w:val="20"/>
                <w:lang w:val="de-DE"/>
              </w:rPr>
            </w:pPr>
            <w:r w:rsidRPr="00170422">
              <w:rPr>
                <w:noProof/>
                <w:lang w:val="de-DE"/>
              </w:rPr>
              <w:t>Meilensteine</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43FD18" w14:textId="77777777" w:rsidR="0057163C" w:rsidRPr="00170422" w:rsidRDefault="00F37BF9">
            <w:pPr>
              <w:pStyle w:val="P68B1DB1-Normal11"/>
              <w:jc w:val="center"/>
              <w:rPr>
                <w:noProof/>
                <w:szCs w:val="20"/>
                <w:lang w:val="de-DE"/>
              </w:rPr>
            </w:pPr>
            <w:r w:rsidRPr="00170422">
              <w:rPr>
                <w:noProof/>
                <w:lang w:val="de-DE"/>
              </w:rPr>
              <w:t>Inkrafttreten der Reformen des Primar- und Sekundarbildungssystems zur Verbesserung der Bildungsergebnisse</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516DD7" w14:textId="77777777" w:rsidR="0057163C" w:rsidRPr="00170422" w:rsidRDefault="00F37BF9">
            <w:pPr>
              <w:pStyle w:val="P68B1DB1-Normal11"/>
              <w:jc w:val="center"/>
              <w:rPr>
                <w:noProof/>
                <w:szCs w:val="20"/>
                <w:lang w:val="de-DE"/>
              </w:rPr>
            </w:pPr>
            <w:r w:rsidRPr="00170422">
              <w:rPr>
                <w:noProof/>
                <w:lang w:val="de-DE"/>
              </w:rPr>
              <w:t xml:space="preserve">Gesetzliche Bestimmung über das </w:t>
            </w:r>
            <w:r w:rsidRPr="00170422">
              <w:rPr>
                <w:noProof/>
                <w:lang w:val="de-DE"/>
              </w:rPr>
              <w:t>Inkrafttreten der Reformen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FAF10"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1BF079"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E52EDD"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43DD7A"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29481A4" w14:textId="77777777" w:rsidR="0057163C" w:rsidRPr="00170422" w:rsidRDefault="00F37BF9">
            <w:pPr>
              <w:pStyle w:val="P68B1DB1-Normal11"/>
              <w:jc w:val="center"/>
              <w:rPr>
                <w:noProof/>
                <w:szCs w:val="20"/>
                <w:lang w:val="de-DE"/>
              </w:rPr>
            </w:pPr>
            <w:r w:rsidRPr="00170422">
              <w:rPr>
                <w:noProof/>
                <w:lang w:val="de-DE"/>
              </w:rPr>
              <w:t>2022</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3E2EC6" w14:textId="0D2B386A"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Die primärrechtlichen Reformen des Primar- und Sekundarbildungssystems zur Verbesserung der Bildungsergebnisse (durch Primärrecht) umfassen mindestens die folgenden Schlüsselelemente:</w:t>
            </w:r>
            <w:r w:rsidRPr="00170422">
              <w:rPr>
                <w:rFonts w:ascii="Arial Narrow" w:hAnsi="Arial Narrow"/>
                <w:noProof/>
                <w:color w:val="006100"/>
                <w:sz w:val="20"/>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I) Initiativen zur Reform der Organisation des Bildungssystems zur Anpassung an die demografische Entwicklung (z. B. Anteil der Schulen und Schüler/Lehrkräfte)</w:t>
            </w:r>
            <w:r w:rsidRPr="00170422">
              <w:rPr>
                <w:rFonts w:ascii="Arial Narrow" w:hAnsi="Arial Narrow"/>
                <w:noProof/>
                <w:lang w:val="de-DE"/>
              </w:rPr>
              <w:t xml:space="preserve"> </w:t>
            </w:r>
            <w:r w:rsidRPr="00170422">
              <w:rPr>
                <w:noProof/>
                <w:lang w:val="de-DE"/>
              </w:rPr>
              <w:t xml:space="preserve"> </w:t>
            </w:r>
            <w:r w:rsidRPr="00170422">
              <w:rPr>
                <w:noProof/>
                <w:lang w:val="de-DE"/>
              </w:rPr>
              <w:br/>
              <w:t xml:space="preserve"> </w:t>
            </w:r>
            <w:r w:rsidRPr="00170422">
              <w:rPr>
                <w:rFonts w:ascii="Arial Narrow" w:hAnsi="Arial Narrow"/>
                <w:noProof/>
                <w:color w:val="006100"/>
                <w:sz w:val="20"/>
                <w:lang w:val="de-DE"/>
              </w:rPr>
              <w:t>II) Initiativen zur Reform des Orientierungssystems, um die Schulabbrecherquote im Tertiär</w:t>
            </w:r>
            <w:r w:rsidRPr="00170422">
              <w:rPr>
                <w:rFonts w:ascii="Arial Narrow" w:hAnsi="Arial Narrow"/>
                <w:noProof/>
                <w:color w:val="006100"/>
                <w:sz w:val="20"/>
                <w:lang w:val="de-DE"/>
              </w:rPr>
              <w:t>bereich zu minimieren;</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III) Initiativen zur Stärkung der beruflichen Sekundarbildung (Istituti tecnico-professionali), einschließlich der Annahme des neuen Lehrplans und ihrer Ausrichtung auf die</w:t>
            </w:r>
            <w:r w:rsidRPr="00170422">
              <w:rPr>
                <w:rFonts w:ascii="Arial Narrow" w:hAnsi="Arial Narrow"/>
                <w:noProof/>
                <w:color w:val="006100"/>
                <w:sz w:val="20"/>
                <w:lang w:val="de-DE"/>
              </w:rPr>
              <w:t xml:space="preserve"> Innovationsleistung des nationalen Industrieplans 4.0 (Ministero dello Sviluppo economico, Decreto 26 Maggio 2020);</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IV) Initiativen für die Ausbildung von Schulleitern, Lehrkräften und Verwaltungs-/Fachpersonal sowie die Einrichtung einer Hochschule für</w:t>
            </w:r>
            <w:r w:rsidRPr="00170422">
              <w:rPr>
                <w:rFonts w:ascii="Arial Narrow" w:hAnsi="Arial Narrow"/>
                <w:noProof/>
                <w:color w:val="006100"/>
                <w:sz w:val="20"/>
                <w:lang w:val="de-DE"/>
              </w:rPr>
              <w:t xml:space="preserve"> weiterführende Bildung zur Verbesserung der Unterrichtsqualität;</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V) Initiativen zur Integration von Aktivitäten, Methoden und Inhalten zur Entwicklung und Stärkung von Lehrplänen in den Bereichen Mathematik, Informatik, Naturwissenschaften und Technik (</w:t>
            </w:r>
            <w:r w:rsidRPr="00170422">
              <w:rPr>
                <w:rFonts w:ascii="Arial Narrow" w:hAnsi="Arial Narrow"/>
                <w:noProof/>
                <w:color w:val="006100"/>
                <w:sz w:val="20"/>
                <w:lang w:val="de-DE"/>
              </w:rPr>
              <w:t>MINT), digitale Kompetenzen und Innovationskompetenzen in alle Bildungszyklen, vom Kindergarten bis zur Sekundarstufe II, mit dem Ziel, die Einschreibung in die tertiären MINT-Lehrpläne, insbesondere für Frauen, zu fördern.</w:t>
            </w:r>
          </w:p>
          <w:p w14:paraId="1A950C44" w14:textId="77777777" w:rsidR="0057163C" w:rsidRPr="00170422" w:rsidRDefault="00F37BF9">
            <w:pPr>
              <w:pStyle w:val="P68B1DB1-Normal11"/>
              <w:rPr>
                <w:noProof/>
                <w:szCs w:val="20"/>
                <w:lang w:val="de-DE"/>
              </w:rPr>
            </w:pPr>
            <w:r w:rsidRPr="00170422">
              <w:rPr>
                <w:noProof/>
                <w:lang w:val="de-DE"/>
              </w:rPr>
              <w:t>Um das Etappenziel zufrieden ste</w:t>
            </w:r>
            <w:r w:rsidRPr="00170422">
              <w:rPr>
                <w:noProof/>
                <w:lang w:val="de-DE"/>
              </w:rPr>
              <w:t>llend zu erreichen, müssen die Rechtsvorschriften verbindliche Fristen für den Erlass der sekundären Rechtsvorschriften, Leitlinien und aller erforderlichen Rechtsvorschriften (Überwachung durch die Datenbank des Bildungsministeriums) enthalten, um eine re</w:t>
            </w:r>
            <w:r w:rsidRPr="00170422">
              <w:rPr>
                <w:noProof/>
                <w:lang w:val="de-DE"/>
              </w:rPr>
              <w:t>ibungslose Umsetzung zu gewährleisten.</w:t>
            </w:r>
          </w:p>
        </w:tc>
      </w:tr>
      <w:tr w:rsidR="0057163C" w:rsidRPr="00170422" w14:paraId="5F835BB2"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ACDF" w14:textId="77777777" w:rsidR="0057163C" w:rsidRPr="00170422" w:rsidRDefault="00F37BF9">
            <w:pPr>
              <w:pStyle w:val="P68B1DB1-Normal11"/>
              <w:jc w:val="center"/>
              <w:rPr>
                <w:noProof/>
                <w:szCs w:val="20"/>
                <w:lang w:val="de-DE"/>
              </w:rPr>
            </w:pPr>
            <w:r w:rsidRPr="00170422">
              <w:rPr>
                <w:noProof/>
                <w:lang w:val="de-DE"/>
              </w:rPr>
              <w:t>M4C1-6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29ADE5" w14:textId="77777777" w:rsidR="0057163C" w:rsidRPr="00170422" w:rsidRDefault="00F37BF9">
            <w:pPr>
              <w:pStyle w:val="P68B1DB1-Normal11"/>
              <w:jc w:val="center"/>
              <w:rPr>
                <w:noProof/>
                <w:szCs w:val="20"/>
                <w:lang w:val="de-DE"/>
              </w:rPr>
            </w:pPr>
            <w:r w:rsidRPr="00170422">
              <w:rPr>
                <w:noProof/>
                <w:lang w:val="de-DE"/>
              </w:rPr>
              <w:t>Reform 2.2: Tertiäre weiterführende Schule und Weiterbildung von Schulleitern, Lehrkräften, Verwaltungspersonal und technischem Personal</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00FD96"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0D43B3" w14:textId="77777777" w:rsidR="0057163C" w:rsidRPr="00170422" w:rsidRDefault="00F37BF9">
            <w:pPr>
              <w:pStyle w:val="P68B1DB1-Normal11"/>
              <w:jc w:val="center"/>
              <w:rPr>
                <w:noProof/>
                <w:szCs w:val="20"/>
                <w:lang w:val="de-DE"/>
              </w:rPr>
            </w:pPr>
            <w:r w:rsidRPr="00170422">
              <w:rPr>
                <w:noProof/>
                <w:lang w:val="de-DE"/>
              </w:rPr>
              <w:t xml:space="preserve">Inkrafttreten von Rechtsvorschriften, mit denen ein </w:t>
            </w:r>
            <w:r w:rsidRPr="00170422">
              <w:rPr>
                <w:noProof/>
                <w:lang w:val="de-DE"/>
              </w:rPr>
              <w:t>hochwertiges Ausbildungssystem für Schulen aufgebaut werden soll.</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B0C8F" w14:textId="77777777" w:rsidR="0057163C" w:rsidRPr="00170422" w:rsidRDefault="00F37BF9">
            <w:pPr>
              <w:pStyle w:val="P68B1DB1-Normal11"/>
              <w:jc w:val="center"/>
              <w:rPr>
                <w:noProof/>
                <w:szCs w:val="20"/>
                <w:lang w:val="de-DE"/>
              </w:rPr>
            </w:pPr>
            <w:r w:rsidRPr="00170422">
              <w:rPr>
                <w:noProof/>
                <w:lang w:val="de-DE"/>
              </w:rPr>
              <w:t>Gesetzliche Bestimmung, aus der das Inkrafttreten der Rechtsvorschriften hervorgeht.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4D9E52"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BF777E"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581675"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25FBF"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FFE2AD" w14:textId="77777777" w:rsidR="0057163C" w:rsidRPr="00170422" w:rsidRDefault="00F37BF9">
            <w:pPr>
              <w:pStyle w:val="P68B1DB1-Normal11"/>
              <w:jc w:val="center"/>
              <w:rPr>
                <w:noProof/>
                <w:szCs w:val="20"/>
                <w:lang w:val="de-DE"/>
              </w:rPr>
            </w:pPr>
            <w:r w:rsidRPr="00170422">
              <w:rPr>
                <w:noProof/>
                <w:lang w:val="de-DE"/>
              </w:rPr>
              <w:t>2022</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A7DAD8" w14:textId="77777777" w:rsidR="0057163C" w:rsidRPr="00170422" w:rsidRDefault="00F37BF9">
            <w:pPr>
              <w:pStyle w:val="P68B1DB1-Normal11"/>
              <w:rPr>
                <w:noProof/>
                <w:szCs w:val="20"/>
                <w:lang w:val="de-DE"/>
              </w:rPr>
            </w:pPr>
            <w:r w:rsidRPr="00170422">
              <w:rPr>
                <w:noProof/>
                <w:lang w:val="de-DE"/>
              </w:rPr>
              <w:t>Die Rechtsvorschriften enthalten Bestimmungen, die darauf a</w:t>
            </w:r>
            <w:r w:rsidRPr="00170422">
              <w:rPr>
                <w:noProof/>
                <w:lang w:val="de-DE"/>
              </w:rPr>
              <w:t>bzielen, ein hochwertiges Ausbildungssystem für das Schulpersonal im Einklang mit der kontinuierlichen beruflichen und beruflichen Entwicklung zu schaffen, eine qualifizierte Stelle einzurichten, die für die Leitlinien für die Ausbildung des Schulpersonals</w:t>
            </w:r>
            <w:r w:rsidRPr="00170422">
              <w:rPr>
                <w:noProof/>
                <w:lang w:val="de-DE"/>
              </w:rPr>
              <w:t xml:space="preserve"> zuständig ist, sowie die Auswahl und Koordinierung von Ausbildungsinitiativen, und sie an den beruflichen Aufstieg zu knüpfen, wie es in der Einstellungsreform vorgesehen ist. Die Einführung eines Systems der Aus- und Weiterbildung sollte es ermöglichen, </w:t>
            </w:r>
            <w:r w:rsidRPr="00170422">
              <w:rPr>
                <w:noProof/>
                <w:lang w:val="de-DE"/>
              </w:rPr>
              <w:t>die derzeitige Zersplitterung der Ausbildungswege zu überwinden, die derzeit keine einheitliche nationale Strategie aufweist.</w:t>
            </w:r>
          </w:p>
        </w:tc>
      </w:tr>
      <w:tr w:rsidR="0057163C" w:rsidRPr="00170422" w14:paraId="708B2F74"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61A397" w14:textId="77777777" w:rsidR="0057163C" w:rsidRPr="00170422" w:rsidRDefault="00F37BF9">
            <w:pPr>
              <w:pStyle w:val="P68B1DB1-Normal11"/>
              <w:jc w:val="center"/>
              <w:rPr>
                <w:noProof/>
                <w:szCs w:val="20"/>
                <w:lang w:val="de-DE"/>
              </w:rPr>
            </w:pPr>
            <w:r w:rsidRPr="00170422">
              <w:rPr>
                <w:noProof/>
                <w:lang w:val="de-DE"/>
              </w:rPr>
              <w:t>M4C1-7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CDAF39" w14:textId="77777777" w:rsidR="0057163C" w:rsidRPr="00170422" w:rsidRDefault="00F37BF9">
            <w:pPr>
              <w:pStyle w:val="P68B1DB1-Normal11"/>
              <w:jc w:val="center"/>
              <w:rPr>
                <w:noProof/>
                <w:szCs w:val="20"/>
                <w:lang w:val="de-DE"/>
              </w:rPr>
            </w:pPr>
            <w:r w:rsidRPr="00170422">
              <w:rPr>
                <w:noProof/>
                <w:lang w:val="de-DE"/>
              </w:rPr>
              <w:t xml:space="preserve">Investition 1.4: Außerordentliche Maßnahmen zur Verringerung der territorialen Unterschiede in den I- und II-Zyklen der </w:t>
            </w:r>
            <w:r w:rsidRPr="00170422">
              <w:rPr>
                <w:noProof/>
                <w:lang w:val="de-DE"/>
              </w:rPr>
              <w:t>Sekundarschulen und zur Bekämpfung des Schulabbruchs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C7EF9B"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3FD53D" w14:textId="77777777" w:rsidR="0057163C" w:rsidRPr="00170422" w:rsidRDefault="00F37BF9">
            <w:pPr>
              <w:pStyle w:val="P68B1DB1-Normal12"/>
              <w:jc w:val="center"/>
              <w:rPr>
                <w:noProof/>
                <w:lang w:val="de-DE"/>
              </w:rPr>
            </w:pPr>
            <w:r w:rsidRPr="00170422">
              <w:rPr>
                <w:noProof/>
                <w:lang w:val="de-DE"/>
              </w:rPr>
              <w:t>Studierende oder junge Menschen, die an Mentoring-Aktivitäten oder Schulungen teilgenommen haben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E46D62" w14:textId="77777777" w:rsidR="0057163C" w:rsidRPr="00170422" w:rsidRDefault="00F37BF9">
            <w:pPr>
              <w:pStyle w:val="P68B1DB1-Normal12"/>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453BD8"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158F08"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1CFD45" w14:textId="12753859" w:rsidR="0057163C" w:rsidRPr="00170422" w:rsidRDefault="00F37BF9">
            <w:pPr>
              <w:pStyle w:val="P68B1DB1-Normal11"/>
              <w:jc w:val="center"/>
              <w:rPr>
                <w:noProof/>
                <w:szCs w:val="20"/>
                <w:lang w:val="de-DE"/>
              </w:rPr>
            </w:pPr>
            <w:r w:rsidRPr="00170422">
              <w:rPr>
                <w:noProof/>
                <w:lang w:val="de-DE"/>
              </w:rPr>
              <w:t>820</w:t>
            </w:r>
            <w:r w:rsidRPr="00170422">
              <w:rPr>
                <w:noProof/>
                <w:szCs w:val="20"/>
                <w:lang w:val="de-DE"/>
              </w:rPr>
              <w:t xml:space="preserve"> </w:t>
            </w:r>
            <w:r w:rsidRPr="00170422">
              <w:rPr>
                <w:noProof/>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2D3853" w14:textId="77777777" w:rsidR="0057163C" w:rsidRPr="00170422" w:rsidRDefault="00F37BF9">
            <w:pPr>
              <w:pStyle w:val="P68B1DB1-Normal11"/>
              <w:jc w:val="center"/>
              <w:rPr>
                <w:noProof/>
                <w:szCs w:val="20"/>
                <w:lang w:val="de-DE"/>
              </w:rPr>
            </w:pPr>
            <w:r w:rsidRPr="00170422">
              <w:rPr>
                <w:noProof/>
                <w:lang w:val="de-DE"/>
              </w:rPr>
              <w:t>Q3</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6B673" w14:textId="77777777" w:rsidR="0057163C" w:rsidRPr="00170422" w:rsidRDefault="00F37BF9">
            <w:pPr>
              <w:pStyle w:val="P68B1DB1-Normal11"/>
              <w:jc w:val="center"/>
              <w:rPr>
                <w:noProof/>
                <w:szCs w:val="20"/>
                <w:lang w:val="de-DE"/>
              </w:rPr>
            </w:pPr>
            <w:r w:rsidRPr="00170422">
              <w:rPr>
                <w:noProof/>
                <w:lang w:val="de-DE"/>
              </w:rPr>
              <w:t>2025</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221BA5" w14:textId="23D0776C" w:rsidR="0057163C" w:rsidRPr="00170422" w:rsidRDefault="00F37BF9">
            <w:pPr>
              <w:rPr>
                <w:rFonts w:ascii="Arial Narrow" w:hAnsi="Arial Narrow"/>
                <w:noProof/>
                <w:color w:val="006100"/>
                <w:sz w:val="20"/>
                <w:szCs w:val="20"/>
                <w:lang w:val="de-DE"/>
              </w:rPr>
            </w:pPr>
            <w:r w:rsidRPr="00170422">
              <w:rPr>
                <w:noProof/>
                <w:lang w:val="de-DE"/>
              </w:rPr>
              <w:t xml:space="preserve">Es werden </w:t>
            </w:r>
            <w:r w:rsidRPr="00170422">
              <w:rPr>
                <w:rFonts w:ascii="Arial Narrow" w:hAnsi="Arial Narrow"/>
                <w:noProof/>
                <w:color w:val="006100"/>
                <w:sz w:val="20"/>
                <w:szCs w:val="20"/>
                <w:lang w:val="de-DE"/>
              </w:rPr>
              <w:t xml:space="preserve">Bescheinigungen über die Teilnahme an Mentoring- und Schulungsmaßnahmen für mindestens 820000 Begünstigte ausgestellt. </w:t>
            </w:r>
            <w:r w:rsidRPr="00170422">
              <w:rPr>
                <w:noProof/>
                <w:lang w:val="de-DE"/>
              </w:rPr>
              <w:br/>
            </w:r>
            <w:r w:rsidRPr="00170422">
              <w:rPr>
                <w:noProof/>
                <w:lang w:val="de-DE"/>
              </w:rPr>
              <w:br/>
            </w:r>
            <w:r w:rsidRPr="00170422">
              <w:rPr>
                <w:rFonts w:ascii="Arial Narrow" w:hAnsi="Arial Narrow"/>
                <w:noProof/>
                <w:color w:val="006100"/>
                <w:sz w:val="20"/>
                <w:szCs w:val="20"/>
                <w:lang w:val="de-DE"/>
              </w:rPr>
              <w:t>Wie aus ISTAT hervorgeht, verringert sich die Lücke bei der Schulabbrecherquote im Sekundarbereich auf den EU-Durchschnitt 2019 (10,2 %</w:t>
            </w:r>
            <w:r w:rsidRPr="00170422">
              <w:rPr>
                <w:rFonts w:ascii="Arial Narrow" w:hAnsi="Arial Narrow"/>
                <w:noProof/>
                <w:color w:val="006100"/>
                <w:sz w:val="20"/>
                <w:szCs w:val="20"/>
                <w:lang w:val="de-DE"/>
              </w:rPr>
              <w:t xml:space="preserve">). </w:t>
            </w:r>
          </w:p>
        </w:tc>
      </w:tr>
      <w:tr w:rsidR="0057163C" w:rsidRPr="00170422" w14:paraId="0A02F5FC"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A85CEB" w14:textId="77777777" w:rsidR="0057163C" w:rsidRPr="00170422" w:rsidRDefault="00F37BF9">
            <w:pPr>
              <w:pStyle w:val="P68B1DB1-Normal11"/>
              <w:jc w:val="center"/>
              <w:rPr>
                <w:noProof/>
                <w:szCs w:val="20"/>
                <w:lang w:val="de-DE"/>
              </w:rPr>
            </w:pPr>
            <w:r w:rsidRPr="00170422">
              <w:rPr>
                <w:noProof/>
                <w:lang w:val="de-DE"/>
              </w:rPr>
              <w:t>M4C1-8</w:t>
            </w:r>
          </w:p>
          <w:p w14:paraId="24016CE1" w14:textId="77777777" w:rsidR="0057163C" w:rsidRPr="00170422" w:rsidRDefault="0057163C">
            <w:pPr>
              <w:jc w:val="center"/>
              <w:rPr>
                <w:rFonts w:ascii="Arial Narrow" w:hAnsi="Arial Narrow"/>
                <w:noProof/>
                <w:color w:val="006100"/>
                <w:sz w:val="20"/>
                <w:szCs w:val="20"/>
                <w:lang w:val="de-DE"/>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BAAE7B" w14:textId="77777777" w:rsidR="0057163C" w:rsidRPr="00170422" w:rsidRDefault="00F37BF9">
            <w:pPr>
              <w:pStyle w:val="P68B1DB1-Normal11"/>
              <w:jc w:val="center"/>
              <w:rPr>
                <w:noProof/>
                <w:szCs w:val="20"/>
                <w:lang w:val="de-DE"/>
              </w:rPr>
            </w:pPr>
            <w:r w:rsidRPr="00170422">
              <w:rPr>
                <w:noProof/>
                <w:lang w:val="de-DE"/>
              </w:rPr>
              <w:t>Investition 1.3: Plan zur Verbesserung der Infrastruktur für den Schulsport</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C48E1C"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8C9174" w14:textId="77777777" w:rsidR="0057163C" w:rsidRPr="00170422" w:rsidRDefault="00F37BF9">
            <w:pPr>
              <w:pStyle w:val="P68B1DB1-Normal11"/>
              <w:jc w:val="center"/>
              <w:rPr>
                <w:noProof/>
                <w:szCs w:val="20"/>
                <w:lang w:val="de-DE"/>
              </w:rPr>
            </w:pPr>
            <w:r w:rsidRPr="00170422">
              <w:rPr>
                <w:noProof/>
                <w:lang w:val="de-DE"/>
              </w:rPr>
              <w:t>Vergabe von Aufträgen für Maßnahmen zum Bau und zur Renovierung von Sportanlagen und Fitnessstudios für den Schulgebrauch</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F8E64" w14:textId="77DD5CED" w:rsidR="0057163C" w:rsidRPr="00170422" w:rsidRDefault="00F37BF9">
            <w:pPr>
              <w:pStyle w:val="P68B1DB1-Normal11"/>
              <w:jc w:val="center"/>
              <w:rPr>
                <w:b/>
                <w:noProof/>
                <w:szCs w:val="20"/>
                <w:lang w:val="de-DE"/>
              </w:rPr>
            </w:pPr>
            <w:r w:rsidRPr="00170422">
              <w:rPr>
                <w:noProof/>
                <w:lang w:val="de-DE"/>
              </w:rPr>
              <w:t xml:space="preserve">Mitteilung über die Vergabe </w:t>
            </w:r>
            <w:r w:rsidRPr="00170422">
              <w:rPr>
                <w:noProof/>
                <w:lang w:val="de-DE"/>
              </w:rPr>
              <w:t>öffentlicher Aufträge für die förderfähigen Interventionen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1680D9"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59DBAD"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4D4355"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CD24B" w14:textId="77777777" w:rsidR="0057163C" w:rsidRPr="00170422" w:rsidRDefault="00F37BF9">
            <w:pPr>
              <w:pStyle w:val="P68B1DB1-Normal11"/>
              <w:jc w:val="center"/>
              <w:rPr>
                <w:noProof/>
                <w:szCs w:val="20"/>
                <w:lang w:val="de-DE"/>
              </w:rPr>
            </w:pPr>
            <w:r w:rsidRPr="00170422">
              <w:rPr>
                <w:noProof/>
                <w:lang w:val="de-DE"/>
              </w:rPr>
              <w:t>Q1</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BC6CDA" w14:textId="77777777" w:rsidR="0057163C" w:rsidRPr="00170422" w:rsidRDefault="00F37BF9">
            <w:pPr>
              <w:pStyle w:val="P68B1DB1-Normal11"/>
              <w:jc w:val="center"/>
              <w:rPr>
                <w:noProof/>
                <w:szCs w:val="20"/>
                <w:lang w:val="de-DE"/>
              </w:rPr>
            </w:pPr>
            <w:r w:rsidRPr="00170422">
              <w:rPr>
                <w:noProof/>
                <w:lang w:val="de-DE"/>
              </w:rPr>
              <w:t>2024</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DA8A65C" w14:textId="77777777" w:rsidR="0057163C" w:rsidRPr="00170422" w:rsidRDefault="00F37BF9">
            <w:pPr>
              <w:pStyle w:val="P68B1DB1-Normal11"/>
              <w:rPr>
                <w:noProof/>
                <w:szCs w:val="20"/>
                <w:lang w:val="de-DE"/>
              </w:rPr>
            </w:pPr>
            <w:r w:rsidRPr="00170422">
              <w:rPr>
                <w:noProof/>
                <w:lang w:val="de-DE"/>
              </w:rPr>
              <w:t>Vergabe von Aufträgen für Maßnahmen zum Bau und zur Renovierung von Sportanlagen und Fitnessstudios für den Schulgebrauch im Anschluss an eine öffentliche Auss</w:t>
            </w:r>
            <w:r w:rsidRPr="00170422">
              <w:rPr>
                <w:noProof/>
                <w:lang w:val="de-DE"/>
              </w:rPr>
              <w:t>chreibung.</w:t>
            </w:r>
          </w:p>
        </w:tc>
      </w:tr>
      <w:tr w:rsidR="0057163C" w:rsidRPr="00170422" w14:paraId="4DD039A8"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A380DE" w14:textId="77777777" w:rsidR="0057163C" w:rsidRPr="00170422" w:rsidRDefault="00F37BF9">
            <w:pPr>
              <w:pStyle w:val="P68B1DB1-Normal11"/>
              <w:jc w:val="center"/>
              <w:rPr>
                <w:noProof/>
                <w:szCs w:val="20"/>
                <w:lang w:val="de-DE"/>
              </w:rPr>
            </w:pPr>
            <w:r w:rsidRPr="00170422">
              <w:rPr>
                <w:noProof/>
                <w:lang w:val="de-DE"/>
              </w:rPr>
              <w:t>M4C1-9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938097" w14:textId="77777777" w:rsidR="0057163C" w:rsidRPr="00170422" w:rsidRDefault="00F37BF9">
            <w:pPr>
              <w:pStyle w:val="P68B1DB1-Normal11"/>
              <w:jc w:val="center"/>
              <w:rPr>
                <w:noProof/>
                <w:szCs w:val="20"/>
                <w:lang w:val="de-DE"/>
              </w:rPr>
            </w:pPr>
            <w:r w:rsidRPr="00170422">
              <w:rPr>
                <w:noProof/>
                <w:lang w:val="de-DE"/>
              </w:rPr>
              <w:t>Investition 1.1: Plan für Kinderkrippen und Vorschulen sowie frühkindliche Betreuung, Bildung und Erziehung</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B906AF"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F423BA5" w14:textId="77777777" w:rsidR="0057163C" w:rsidRPr="00170422" w:rsidRDefault="00F37BF9">
            <w:pPr>
              <w:pStyle w:val="P68B1DB1-Normal12"/>
              <w:jc w:val="center"/>
              <w:rPr>
                <w:noProof/>
                <w:lang w:val="de-DE"/>
              </w:rPr>
            </w:pPr>
            <w:r w:rsidRPr="00170422">
              <w:rPr>
                <w:noProof/>
                <w:lang w:val="de-DE"/>
              </w:rPr>
              <w:t xml:space="preserve">Vergabe von Aufträgen für den Bau, die Renovierung und die Gewährleistung der Sicherheit von Kinderkrippen, </w:t>
            </w:r>
            <w:r w:rsidRPr="00170422">
              <w:rPr>
                <w:noProof/>
                <w:lang w:val="de-DE"/>
              </w:rPr>
              <w:t>Vorschulen und frühkindlicher Betreuung, Bildung und Erziehung</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6FB24" w14:textId="77777777" w:rsidR="0057163C" w:rsidRPr="00170422" w:rsidRDefault="00F37BF9">
            <w:pPr>
              <w:pStyle w:val="P68B1DB1-Normal11"/>
              <w:jc w:val="center"/>
              <w:rPr>
                <w:noProof/>
                <w:szCs w:val="20"/>
                <w:lang w:val="de-DE"/>
              </w:rPr>
            </w:pPr>
            <w:r w:rsidRPr="00170422">
              <w:rPr>
                <w:noProof/>
                <w:lang w:val="de-DE"/>
              </w:rPr>
              <w:t>Mitteilung der Begünstigten vor Ort über die Finanzierung der Vergabe öffentlicher Aufträge für die erste Gruppe förderfähiger Interventionen</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00D5186"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FD330E"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C94D3"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063C57"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5BFB5" w14:textId="77777777" w:rsidR="0057163C" w:rsidRPr="00170422" w:rsidRDefault="00F37BF9">
            <w:pPr>
              <w:pStyle w:val="P68B1DB1-Normal11"/>
              <w:jc w:val="center"/>
              <w:rPr>
                <w:noProof/>
                <w:szCs w:val="20"/>
                <w:lang w:val="de-DE"/>
              </w:rPr>
            </w:pPr>
            <w:r w:rsidRPr="00170422">
              <w:rPr>
                <w:noProof/>
                <w:lang w:val="de-DE"/>
              </w:rPr>
              <w:t>2023</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83E06" w14:textId="77777777" w:rsidR="0057163C" w:rsidRPr="00170422" w:rsidRDefault="00F37BF9">
            <w:pPr>
              <w:pStyle w:val="P68B1DB1-Normal11"/>
              <w:rPr>
                <w:noProof/>
                <w:szCs w:val="20"/>
                <w:lang w:val="de-DE"/>
              </w:rPr>
            </w:pPr>
            <w:r w:rsidRPr="00170422">
              <w:rPr>
                <w:noProof/>
                <w:lang w:val="de-DE"/>
              </w:rPr>
              <w:t>Auftragsverga</w:t>
            </w:r>
            <w:r w:rsidRPr="00170422">
              <w:rPr>
                <w:noProof/>
                <w:lang w:val="de-DE"/>
              </w:rPr>
              <w:t>be und räumliche Verteilung für Kinderkrippen, Vorschulen, frühkindliche Betreuung, Bildung und Erziehung. Die Vergabe erfolgt im Einklang mit den Technischen Leitlinien für die Anwendung des Grundsatzes der „Vermeidung erheblicher Beeinträchtigungen“ (202</w:t>
            </w:r>
            <w:r w:rsidRPr="00170422">
              <w:rPr>
                <w:noProof/>
                <w:lang w:val="de-DE"/>
              </w:rPr>
              <w:t>1/C 58/01) durch Verwendung einer Ausschlussliste und der Anforderung der Einhaltung der einschlägigen EU- und nationalen Umweltvorschriften.</w:t>
            </w:r>
          </w:p>
        </w:tc>
      </w:tr>
      <w:tr w:rsidR="0057163C" w:rsidRPr="00170422" w14:paraId="541634D6"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40B4D4" w14:textId="77777777" w:rsidR="0057163C" w:rsidRPr="00170422" w:rsidRDefault="00F37BF9">
            <w:pPr>
              <w:pStyle w:val="P68B1DB1-Normal11"/>
              <w:jc w:val="center"/>
              <w:rPr>
                <w:noProof/>
                <w:szCs w:val="20"/>
                <w:lang w:val="de-DE"/>
              </w:rPr>
            </w:pPr>
            <w:r w:rsidRPr="00170422">
              <w:rPr>
                <w:noProof/>
                <w:lang w:val="de-DE"/>
              </w:rPr>
              <w:t>M4C1-10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65F7D6" w14:textId="77777777" w:rsidR="0057163C" w:rsidRPr="00170422" w:rsidRDefault="00F37BF9">
            <w:pPr>
              <w:pStyle w:val="P68B1DB1-Normal11"/>
              <w:jc w:val="center"/>
              <w:rPr>
                <w:noProof/>
                <w:szCs w:val="20"/>
                <w:lang w:val="de-DE"/>
              </w:rPr>
            </w:pPr>
            <w:r w:rsidRPr="00170422">
              <w:rPr>
                <w:noProof/>
                <w:lang w:val="de-DE"/>
              </w:rPr>
              <w:t>Reform 2.1: Einstellung von Lehrkräften; Reform 1.3: Umstrukturierung des Schulsystems; Reform 1.2: Reform des tertiären Berufsbildungssystems (ITS); Reform 1.4: Reform des „Orientierungssystems“; Reform 1.5: Reform der Hochschulgruppen; Reform 1.6: Ermögl</w:t>
            </w:r>
            <w:r w:rsidRPr="00170422">
              <w:rPr>
                <w:noProof/>
                <w:lang w:val="de-DE"/>
              </w:rPr>
              <w:t>ichung der Reform der Hochschulabschlüsse</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E1D03D"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FEABF8" w14:textId="77777777" w:rsidR="0057163C" w:rsidRPr="00170422" w:rsidRDefault="00F37BF9">
            <w:pPr>
              <w:pStyle w:val="P68B1DB1-Normal11"/>
              <w:jc w:val="center"/>
              <w:rPr>
                <w:noProof/>
                <w:szCs w:val="20"/>
                <w:lang w:val="de-DE"/>
              </w:rPr>
            </w:pPr>
            <w:r w:rsidRPr="00170422">
              <w:rPr>
                <w:noProof/>
                <w:lang w:val="de-DE"/>
              </w:rPr>
              <w:t>Inkrafttreten von Verordnungen zur wirksamen Umsetzung und Anwendung aller Maßnahmen zur Reform der Primar-, Sekundar- und Tertiärbildung, soweit erforderlich</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1833F2" w14:textId="77777777" w:rsidR="0057163C" w:rsidRPr="00170422" w:rsidRDefault="00F37BF9">
            <w:pPr>
              <w:pStyle w:val="P68B1DB1-Normal11"/>
              <w:jc w:val="center"/>
              <w:rPr>
                <w:noProof/>
                <w:color w:val="375623"/>
                <w:szCs w:val="20"/>
                <w:lang w:val="de-DE"/>
              </w:rPr>
            </w:pPr>
            <w:r w:rsidRPr="00170422">
              <w:rPr>
                <w:noProof/>
                <w:lang w:val="de-DE"/>
              </w:rPr>
              <w:t xml:space="preserve">Gesetzliche Bestimmung, aus der das </w:t>
            </w:r>
            <w:r w:rsidRPr="00170422">
              <w:rPr>
                <w:noProof/>
                <w:lang w:val="de-DE"/>
              </w:rPr>
              <w:t>Inkrafttreten der Verordnungen hervorgeht.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8D7F23"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5352B4"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8C04B"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15F5A8"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7E03E6" w14:textId="77777777" w:rsidR="0057163C" w:rsidRPr="00170422" w:rsidRDefault="00F37BF9">
            <w:pPr>
              <w:pStyle w:val="P68B1DB1-Normal11"/>
              <w:jc w:val="center"/>
              <w:rPr>
                <w:noProof/>
                <w:szCs w:val="20"/>
                <w:lang w:val="de-DE"/>
              </w:rPr>
            </w:pPr>
            <w:r w:rsidRPr="00170422">
              <w:rPr>
                <w:noProof/>
                <w:lang w:val="de-DE"/>
              </w:rPr>
              <w:t>2023</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686E8A" w14:textId="77777777" w:rsidR="0057163C" w:rsidRPr="00170422" w:rsidRDefault="00F37BF9">
            <w:pPr>
              <w:pStyle w:val="P68B1DB1-Normal11"/>
              <w:rPr>
                <w:noProof/>
                <w:szCs w:val="20"/>
                <w:lang w:val="de-DE"/>
              </w:rPr>
            </w:pPr>
            <w:r w:rsidRPr="00170422">
              <w:rPr>
                <w:noProof/>
                <w:lang w:val="de-DE"/>
              </w:rPr>
              <w:t>Das Sekundärrecht umfasst alle Vorschriften, die für die wirksame Durchführung und Anwendung aller Maßnahmen zur Reform der Primar-, Sekundar- und Tertiärbildung erfor</w:t>
            </w:r>
            <w:r w:rsidRPr="00170422">
              <w:rPr>
                <w:noProof/>
                <w:lang w:val="de-DE"/>
              </w:rPr>
              <w:t>derlich sind:</w:t>
            </w:r>
          </w:p>
          <w:p w14:paraId="306571C3" w14:textId="77777777" w:rsidR="0057163C" w:rsidRPr="00170422" w:rsidRDefault="00F37BF9">
            <w:pPr>
              <w:pStyle w:val="P68B1DB1-Normal11"/>
              <w:rPr>
                <w:noProof/>
                <w:szCs w:val="20"/>
                <w:lang w:val="de-DE"/>
              </w:rPr>
            </w:pPr>
            <w:r w:rsidRPr="00170422">
              <w:rPr>
                <w:noProof/>
                <w:lang w:val="de-DE"/>
              </w:rPr>
              <w:t>— Die Reformen des tertiären Bildungssystems zur Verbesserung der Bildungsergebnisse (Primärrecht) in folgenden Bereichen: a) Hochschulabschlüsse ermöglichen; B) Hochschulabschlußgruppen; C) Reform der Promotionsprogramme;</w:t>
            </w:r>
          </w:p>
          <w:p w14:paraId="3ECA0036" w14:textId="77777777" w:rsidR="0057163C" w:rsidRPr="00170422" w:rsidRDefault="00F37BF9">
            <w:pPr>
              <w:pStyle w:val="P68B1DB1-Normal11"/>
              <w:rPr>
                <w:noProof/>
                <w:szCs w:val="20"/>
                <w:lang w:val="de-DE"/>
              </w:rPr>
            </w:pPr>
            <w:r w:rsidRPr="00170422">
              <w:rPr>
                <w:noProof/>
                <w:lang w:val="de-DE"/>
              </w:rPr>
              <w:t>— Ministerialdekret</w:t>
            </w:r>
            <w:r w:rsidRPr="00170422">
              <w:rPr>
                <w:noProof/>
                <w:lang w:val="de-DE"/>
              </w:rPr>
              <w:t>e zur Reform der Stipendien zur Verbesserung des Zugangs zur tertiären Bildung;</w:t>
            </w:r>
          </w:p>
          <w:p w14:paraId="6676DE33" w14:textId="77777777" w:rsidR="0057163C" w:rsidRPr="00170422" w:rsidRDefault="00F37BF9">
            <w:pPr>
              <w:pStyle w:val="P68B1DB1-Normal11"/>
              <w:rPr>
                <w:noProof/>
                <w:szCs w:val="20"/>
                <w:lang w:val="de-DE"/>
              </w:rPr>
            </w:pPr>
            <w:r w:rsidRPr="00170422">
              <w:rPr>
                <w:noProof/>
                <w:lang w:val="de-DE"/>
              </w:rPr>
              <w:t>— Die Reform des Lehrberufs;</w:t>
            </w:r>
          </w:p>
          <w:p w14:paraId="62183651" w14:textId="77777777" w:rsidR="0057163C" w:rsidRPr="00170422" w:rsidRDefault="00F37BF9">
            <w:pPr>
              <w:pStyle w:val="P68B1DB1-Normal11"/>
              <w:rPr>
                <w:noProof/>
                <w:lang w:val="de-DE"/>
              </w:rPr>
            </w:pPr>
            <w:r w:rsidRPr="00170422">
              <w:rPr>
                <w:noProof/>
                <w:lang w:val="de-DE"/>
              </w:rPr>
              <w:t>— Reformen des Primar- und Sekundarbildungssystems zur Verbesserung der Bildungsergebnisse;</w:t>
            </w:r>
          </w:p>
          <w:p w14:paraId="79372869" w14:textId="4BF71CC9" w:rsidR="0057163C" w:rsidRPr="00170422" w:rsidRDefault="00F37BF9">
            <w:pPr>
              <w:pStyle w:val="P68B1DB1-Normal11"/>
              <w:rPr>
                <w:noProof/>
                <w:szCs w:val="20"/>
                <w:lang w:val="de-DE"/>
              </w:rPr>
            </w:pPr>
            <w:r w:rsidRPr="00170422">
              <w:rPr>
                <w:noProof/>
                <w:lang w:val="de-DE"/>
              </w:rPr>
              <w:t>— Die Rechtsvorschriften zielten auf den Aufbau eines q</w:t>
            </w:r>
            <w:r w:rsidRPr="00170422">
              <w:rPr>
                <w:noProof/>
                <w:lang w:val="de-DE"/>
              </w:rPr>
              <w:t xml:space="preserve">ualitativ hochwertigen Ausbildungssystems für Schulen ab. </w:t>
            </w:r>
          </w:p>
        </w:tc>
      </w:tr>
      <w:tr w:rsidR="0057163C" w:rsidRPr="00170422" w14:paraId="7E9A173E"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F5D6C6" w14:textId="77777777" w:rsidR="0057163C" w:rsidRPr="00170422" w:rsidRDefault="00F37BF9">
            <w:pPr>
              <w:pStyle w:val="P68B1DB1-Normal11"/>
              <w:jc w:val="center"/>
              <w:rPr>
                <w:noProof/>
                <w:szCs w:val="20"/>
                <w:lang w:val="de-DE"/>
              </w:rPr>
            </w:pPr>
            <w:r w:rsidRPr="00170422">
              <w:rPr>
                <w:noProof/>
                <w:lang w:val="de-DE"/>
              </w:rPr>
              <w:t>M4C1-10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D4C62" w14:textId="77777777" w:rsidR="0057163C" w:rsidRPr="00170422" w:rsidRDefault="00F37BF9">
            <w:pPr>
              <w:pStyle w:val="P68B1DB1-Normal11"/>
              <w:jc w:val="center"/>
              <w:rPr>
                <w:noProof/>
                <w:szCs w:val="20"/>
                <w:lang w:val="de-DE"/>
              </w:rPr>
            </w:pPr>
            <w:r w:rsidRPr="00170422">
              <w:rPr>
                <w:noProof/>
                <w:lang w:val="de-DE"/>
              </w:rPr>
              <w:t>Reform 1.1: Reform der technischen und beruflichen Institute</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83F84"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984B7" w14:textId="77777777" w:rsidR="0057163C" w:rsidRPr="00170422" w:rsidRDefault="00F37BF9">
            <w:pPr>
              <w:pStyle w:val="P68B1DB1-Normal11"/>
              <w:jc w:val="center"/>
              <w:rPr>
                <w:noProof/>
                <w:szCs w:val="20"/>
                <w:lang w:val="de-DE"/>
              </w:rPr>
            </w:pPr>
            <w:r w:rsidRPr="00170422">
              <w:rPr>
                <w:noProof/>
                <w:lang w:val="de-DE"/>
              </w:rPr>
              <w:t>Inkrafttreten des Sekundärrechts.</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518B" w14:textId="77777777" w:rsidR="0057163C" w:rsidRPr="00170422" w:rsidRDefault="00F37BF9">
            <w:pPr>
              <w:pStyle w:val="P68B1DB1-Normal11"/>
              <w:jc w:val="center"/>
              <w:rPr>
                <w:noProof/>
                <w:szCs w:val="20"/>
                <w:lang w:val="de-DE"/>
              </w:rPr>
            </w:pPr>
            <w:r w:rsidRPr="00170422">
              <w:rPr>
                <w:noProof/>
                <w:lang w:val="de-DE"/>
              </w:rPr>
              <w:t>Gesetzliche Bestimmung über das Inkrafttreten des abgeleiteten Rechts.</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64571"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F2FB4E"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9FD7D1"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277020" w14:textId="77777777" w:rsidR="0057163C" w:rsidRPr="00170422" w:rsidRDefault="00F37BF9">
            <w:pPr>
              <w:pStyle w:val="P68B1DB1-Normal11"/>
              <w:jc w:val="center"/>
              <w:rPr>
                <w:noProof/>
                <w:szCs w:val="20"/>
                <w:lang w:val="de-DE"/>
              </w:rPr>
            </w:pPr>
            <w:r w:rsidRPr="00170422">
              <w:rPr>
                <w:noProof/>
                <w:lang w:val="de-DE"/>
              </w:rPr>
              <w:t xml:space="preserve">4. QUARTAL </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055790" w14:textId="77777777" w:rsidR="0057163C" w:rsidRPr="00170422" w:rsidRDefault="00F37BF9">
            <w:pPr>
              <w:pStyle w:val="P68B1DB1-Normal11"/>
              <w:jc w:val="center"/>
              <w:rPr>
                <w:noProof/>
                <w:szCs w:val="20"/>
                <w:lang w:val="de-DE"/>
              </w:rPr>
            </w:pPr>
            <w:r w:rsidRPr="00170422">
              <w:rPr>
                <w:noProof/>
                <w:lang w:val="de-DE"/>
              </w:rPr>
              <w:t>2024</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FD0448" w14:textId="77777777" w:rsidR="0057163C" w:rsidRPr="00170422" w:rsidRDefault="00F37BF9">
            <w:pPr>
              <w:pStyle w:val="P68B1DB1-Normal11"/>
              <w:rPr>
                <w:noProof/>
                <w:szCs w:val="20"/>
                <w:lang w:val="de-DE"/>
              </w:rPr>
            </w:pPr>
            <w:r w:rsidRPr="00170422">
              <w:rPr>
                <w:noProof/>
                <w:lang w:val="de-DE"/>
              </w:rPr>
              <w:t>Das Sekundärrecht zur Reform der technischen und beruflichen Institute trat in Kraft.</w:t>
            </w:r>
          </w:p>
        </w:tc>
      </w:tr>
      <w:tr w:rsidR="0057163C" w:rsidRPr="00170422" w14:paraId="635A3DF3"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7AA499" w14:textId="77777777" w:rsidR="0057163C" w:rsidRPr="00170422" w:rsidRDefault="00F37BF9">
            <w:pPr>
              <w:pStyle w:val="P68B1DB1-Normal11"/>
              <w:jc w:val="center"/>
              <w:rPr>
                <w:noProof/>
                <w:szCs w:val="20"/>
                <w:lang w:val="de-DE"/>
              </w:rPr>
            </w:pPr>
            <w:r w:rsidRPr="00170422">
              <w:rPr>
                <w:noProof/>
                <w:lang w:val="de-DE"/>
              </w:rPr>
              <w:t>M4C1-11</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9842F" w14:textId="77777777" w:rsidR="0057163C" w:rsidRPr="00170422" w:rsidRDefault="00F37BF9">
            <w:pPr>
              <w:pStyle w:val="P68B1DB1-Normal11"/>
              <w:jc w:val="center"/>
              <w:rPr>
                <w:noProof/>
                <w:szCs w:val="20"/>
                <w:lang w:val="de-DE"/>
              </w:rPr>
            </w:pPr>
            <w:r w:rsidRPr="00170422">
              <w:rPr>
                <w:noProof/>
                <w:lang w:val="de-DE"/>
              </w:rPr>
              <w:t>Investition 1.7: Stipendien für den Zugang zu Universitäten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20C9A1"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E3F510" w14:textId="77777777" w:rsidR="0057163C" w:rsidRPr="00170422" w:rsidRDefault="00F37BF9">
            <w:pPr>
              <w:pStyle w:val="P68B1DB1-Normal11"/>
              <w:jc w:val="center"/>
              <w:rPr>
                <w:noProof/>
                <w:szCs w:val="20"/>
                <w:lang w:val="de-DE"/>
              </w:rPr>
            </w:pPr>
            <w:r w:rsidRPr="00170422">
              <w:rPr>
                <w:noProof/>
                <w:lang w:val="de-DE"/>
              </w:rPr>
              <w:t>Hochschulstipendium vergeben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3D3CE7"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565ECF"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7FEC76"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9F4CBA"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55</w:t>
            </w:r>
            <w:r w:rsidRPr="00170422">
              <w:rPr>
                <w:noProof/>
                <w:sz w:val="23"/>
                <w:szCs w:val="23"/>
                <w:lang w:val="de-DE"/>
              </w:rPr>
              <w:t xml:space="preserve"> </w:t>
            </w:r>
            <w:r w:rsidRPr="00170422">
              <w:rPr>
                <w:rFonts w:ascii="Arial Narrow" w:hAnsi="Arial Narrow"/>
                <w:noProof/>
                <w:color w:val="006100"/>
                <w:sz w:val="20"/>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4F3796"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146249" w14:textId="77777777" w:rsidR="0057163C" w:rsidRPr="00170422" w:rsidRDefault="00F37BF9">
            <w:pPr>
              <w:pStyle w:val="P68B1DB1-Normal11"/>
              <w:jc w:val="center"/>
              <w:rPr>
                <w:noProof/>
                <w:szCs w:val="20"/>
                <w:lang w:val="de-DE"/>
              </w:rPr>
            </w:pPr>
            <w:r w:rsidRPr="00170422">
              <w:rPr>
                <w:noProof/>
                <w:lang w:val="de-DE"/>
              </w:rPr>
              <w:t>2023</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0B80D4" w14:textId="77777777" w:rsidR="0057163C" w:rsidRPr="00170422" w:rsidRDefault="00F37BF9">
            <w:pPr>
              <w:rPr>
                <w:rStyle w:val="normaltextrun"/>
                <w:rFonts w:ascii="Arial Narrow" w:eastAsiaTheme="majorEastAsia" w:hAnsi="Arial Narrow"/>
                <w:noProof/>
                <w:sz w:val="20"/>
                <w:szCs w:val="20"/>
                <w:lang w:val="de-DE"/>
              </w:rPr>
            </w:pPr>
            <w:r w:rsidRPr="00170422">
              <w:rPr>
                <w:rFonts w:ascii="Arial Narrow" w:hAnsi="Arial Narrow"/>
                <w:noProof/>
                <w:color w:val="006100"/>
                <w:sz w:val="20"/>
                <w:szCs w:val="20"/>
                <w:lang w:val="de-DE"/>
              </w:rPr>
              <w:t>Mindestens 55000</w:t>
            </w:r>
            <w:r w:rsidRPr="00170422">
              <w:rPr>
                <w:noProof/>
                <w:sz w:val="23"/>
                <w:szCs w:val="23"/>
                <w:lang w:val="de-DE"/>
              </w:rPr>
              <w:t xml:space="preserve"> </w:t>
            </w:r>
            <w:r w:rsidRPr="00170422">
              <w:rPr>
                <w:rFonts w:ascii="Arial Narrow" w:hAnsi="Arial Narrow"/>
                <w:noProof/>
                <w:color w:val="006100"/>
                <w:sz w:val="20"/>
                <w:szCs w:val="20"/>
                <w:lang w:val="de-DE"/>
              </w:rPr>
              <w:t>Studierende erhalten Stipendien, die ausschließlich aus Mitteln der Aufbau- und Resilienzfazilität finanziert werden.</w:t>
            </w:r>
          </w:p>
        </w:tc>
      </w:tr>
      <w:tr w:rsidR="0057163C" w:rsidRPr="00170422" w14:paraId="3353E91C"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077390" w14:textId="77777777" w:rsidR="0057163C" w:rsidRPr="00170422" w:rsidRDefault="00F37BF9">
            <w:pPr>
              <w:pStyle w:val="P68B1DB1-Normal12"/>
              <w:jc w:val="center"/>
              <w:rPr>
                <w:noProof/>
                <w:lang w:val="de-DE"/>
              </w:rPr>
            </w:pPr>
            <w:r w:rsidRPr="00170422">
              <w:rPr>
                <w:noProof/>
                <w:lang w:val="de-DE"/>
              </w:rPr>
              <w:t>M4C1-12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E91E72" w14:textId="77777777" w:rsidR="0057163C" w:rsidRPr="00170422" w:rsidRDefault="00F37BF9">
            <w:pPr>
              <w:pStyle w:val="P68B1DB1-Normal11"/>
              <w:jc w:val="center"/>
              <w:rPr>
                <w:noProof/>
                <w:szCs w:val="20"/>
                <w:lang w:val="de-DE"/>
              </w:rPr>
            </w:pPr>
            <w:r w:rsidRPr="00170422">
              <w:rPr>
                <w:noProof/>
                <w:lang w:val="de-DE"/>
              </w:rPr>
              <w:t xml:space="preserve">Investition 4.1: Erhöhung der Zahl und der beruflichen Möglichkeiten von Doktoranden </w:t>
            </w:r>
            <w:r w:rsidRPr="00170422">
              <w:rPr>
                <w:noProof/>
                <w:lang w:val="de-DE"/>
              </w:rPr>
              <w:t>(Forschungsorientierte, öffentliche Verwaltung und Kulturerbe)</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A41F207"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EBEB4" w14:textId="77777777" w:rsidR="0057163C" w:rsidRPr="00170422" w:rsidRDefault="00F37BF9">
            <w:pPr>
              <w:pStyle w:val="P68B1DB1-Normal12"/>
              <w:jc w:val="center"/>
              <w:rPr>
                <w:noProof/>
                <w:lang w:val="de-DE"/>
              </w:rPr>
            </w:pPr>
            <w:r w:rsidRPr="00170422">
              <w:rPr>
                <w:noProof/>
                <w:lang w:val="de-DE"/>
              </w:rPr>
              <w:t xml:space="preserve">Vergebene Promotionsstipendien </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16AFCB"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62E5A0"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FEDBE" w14:textId="77777777" w:rsidR="0057163C" w:rsidRPr="00170422" w:rsidRDefault="00F37BF9">
            <w:pPr>
              <w:pStyle w:val="P68B1DB1-Normal11"/>
              <w:jc w:val="center"/>
              <w:rPr>
                <w:rFonts w:eastAsia="Arial Narrow" w:cs="Arial Narrow"/>
                <w:noProof/>
                <w:szCs w:val="20"/>
                <w:lang w:val="de-DE"/>
              </w:rPr>
            </w:pPr>
            <w:r w:rsidRPr="00170422">
              <w:rPr>
                <w:noProof/>
                <w:lang w:val="de-DE"/>
              </w:rPr>
              <w:t xml:space="preserve"> 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0317E" w14:textId="77777777" w:rsidR="0057163C" w:rsidRPr="00170422" w:rsidRDefault="00F37BF9">
            <w:pPr>
              <w:pStyle w:val="P68B1DB1-Normal11"/>
              <w:jc w:val="center"/>
              <w:rPr>
                <w:noProof/>
                <w:szCs w:val="20"/>
                <w:lang w:val="de-DE"/>
              </w:rPr>
            </w:pPr>
            <w:r w:rsidRPr="00170422">
              <w:rPr>
                <w:noProof/>
                <w:lang w:val="de-DE"/>
              </w:rPr>
              <w:t>7 200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1793B4"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A4493" w14:textId="77777777" w:rsidR="0057163C" w:rsidRPr="00170422" w:rsidRDefault="00F37BF9">
            <w:pPr>
              <w:pStyle w:val="P68B1DB1-Normal11"/>
              <w:jc w:val="center"/>
              <w:rPr>
                <w:noProof/>
                <w:szCs w:val="20"/>
                <w:lang w:val="de-DE"/>
              </w:rPr>
            </w:pPr>
            <w:r w:rsidRPr="00170422">
              <w:rPr>
                <w:noProof/>
                <w:lang w:val="de-DE"/>
              </w:rPr>
              <w:t>2024</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756943" w14:textId="34F03082" w:rsidR="0057163C" w:rsidRPr="00170422" w:rsidRDefault="00F37BF9">
            <w:pPr>
              <w:pStyle w:val="P68B1DB1-Normal11"/>
              <w:rPr>
                <w:noProof/>
                <w:szCs w:val="20"/>
                <w:lang w:val="de-DE"/>
              </w:rPr>
            </w:pPr>
            <w:r w:rsidRPr="00170422">
              <w:rPr>
                <w:noProof/>
                <w:szCs w:val="20"/>
                <w:lang w:val="de-DE"/>
              </w:rPr>
              <w:t xml:space="preserve"> Über drei Jahre werden mindestens 3600 allgemeine Doktorandenstipendien, mindestens 3000 Doktorandenstipendien im</w:t>
            </w:r>
            <w:r w:rsidRPr="00170422">
              <w:rPr>
                <w:noProof/>
                <w:szCs w:val="20"/>
                <w:lang w:val="de-DE"/>
              </w:rPr>
              <w:t xml:space="preserve"> Bereich der öffentlichen Verwaltung und mindestens 600 Doktorandenstipendien zum Kulturerbe vergeben.</w:t>
            </w:r>
          </w:p>
        </w:tc>
      </w:tr>
      <w:tr w:rsidR="0057163C" w:rsidRPr="00170422" w14:paraId="7263BE99"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22B2BD" w14:textId="77777777" w:rsidR="0057163C" w:rsidRPr="00170422" w:rsidRDefault="00F37BF9">
            <w:pPr>
              <w:pStyle w:val="P68B1DB1-Normal11"/>
              <w:jc w:val="center"/>
              <w:rPr>
                <w:noProof/>
                <w:szCs w:val="20"/>
                <w:lang w:val="de-DE"/>
              </w:rPr>
            </w:pPr>
            <w:r w:rsidRPr="00170422">
              <w:rPr>
                <w:noProof/>
                <w:lang w:val="de-DE"/>
              </w:rPr>
              <w:t>M4C1-13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2FBA4B" w14:textId="77777777" w:rsidR="0057163C" w:rsidRPr="00170422" w:rsidRDefault="00F37BF9">
            <w:pPr>
              <w:pStyle w:val="P68B1DB1-Normal12"/>
              <w:jc w:val="center"/>
              <w:rPr>
                <w:noProof/>
                <w:lang w:val="de-DE"/>
              </w:rPr>
            </w:pPr>
            <w:r w:rsidRPr="00170422">
              <w:rPr>
                <w:noProof/>
                <w:lang w:val="de-DE"/>
              </w:rPr>
              <w:t>Investition 2.1: Integrierter digitaler Unterricht und Schulungen zum digitalen Wandel für Schulpersonal</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0A7EDD"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B1BB89" w14:textId="77777777" w:rsidR="0057163C" w:rsidRPr="00170422" w:rsidRDefault="00F37BF9">
            <w:pPr>
              <w:pStyle w:val="P68B1DB1-Normal11"/>
              <w:jc w:val="center"/>
              <w:rPr>
                <w:noProof/>
                <w:szCs w:val="20"/>
                <w:lang w:val="de-DE"/>
              </w:rPr>
            </w:pPr>
            <w:r w:rsidRPr="00170422">
              <w:rPr>
                <w:noProof/>
                <w:lang w:val="de-DE"/>
              </w:rPr>
              <w:t xml:space="preserve">Schulung von Schulleitern, </w:t>
            </w:r>
            <w:r w:rsidRPr="00170422">
              <w:rPr>
                <w:noProof/>
                <w:lang w:val="de-DE"/>
              </w:rPr>
              <w:t>Lehrkräften und Verwaltungspersonal</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7477C2"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32ED0"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C7932A"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65958A"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650</w:t>
            </w:r>
            <w:r w:rsidRPr="00170422">
              <w:rPr>
                <w:noProof/>
                <w:sz w:val="23"/>
                <w:szCs w:val="23"/>
                <w:lang w:val="de-DE"/>
              </w:rPr>
              <w:t xml:space="preserve"> </w:t>
            </w:r>
            <w:r w:rsidRPr="00170422">
              <w:rPr>
                <w:rFonts w:ascii="Arial Narrow" w:hAnsi="Arial Narrow"/>
                <w:noProof/>
                <w:color w:val="006100"/>
                <w:sz w:val="20"/>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269C76"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D1FBB" w14:textId="77777777" w:rsidR="0057163C" w:rsidRPr="00170422" w:rsidRDefault="00F37BF9">
            <w:pPr>
              <w:pStyle w:val="P68B1DB1-Normal11"/>
              <w:jc w:val="center"/>
              <w:rPr>
                <w:noProof/>
                <w:szCs w:val="20"/>
                <w:lang w:val="de-DE"/>
              </w:rPr>
            </w:pPr>
            <w:r w:rsidRPr="00170422">
              <w:rPr>
                <w:noProof/>
                <w:lang w:val="de-DE"/>
              </w:rPr>
              <w:t>2025</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C6F9A3"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Mindestens 650000 Schulleitern, Lehrkräften und Verwaltungspersonal werden Bescheinigungen über die Teilnahme an digitalem Unterricht und digitalem Wandel ausgestellt.</w:t>
            </w:r>
          </w:p>
        </w:tc>
      </w:tr>
      <w:tr w:rsidR="0057163C" w:rsidRPr="00170422" w14:paraId="3AD63692"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93F25C" w14:textId="77777777" w:rsidR="0057163C" w:rsidRPr="00170422" w:rsidRDefault="00F37BF9">
            <w:pPr>
              <w:pStyle w:val="P68B1DB1-Normal11"/>
              <w:jc w:val="center"/>
              <w:rPr>
                <w:noProof/>
                <w:szCs w:val="20"/>
                <w:lang w:val="de-DE"/>
              </w:rPr>
            </w:pPr>
            <w:r w:rsidRPr="00170422">
              <w:rPr>
                <w:noProof/>
                <w:lang w:val="de-DE"/>
              </w:rPr>
              <w:t>M4C1-14</w:t>
            </w:r>
          </w:p>
          <w:p w14:paraId="01C59A27" w14:textId="77777777" w:rsidR="0057163C" w:rsidRPr="00170422" w:rsidRDefault="0057163C">
            <w:pPr>
              <w:jc w:val="center"/>
              <w:rPr>
                <w:rFonts w:ascii="Arial Narrow" w:hAnsi="Arial Narrow"/>
                <w:noProof/>
                <w:color w:val="006100"/>
                <w:sz w:val="20"/>
                <w:szCs w:val="20"/>
                <w:lang w:val="de-DE"/>
              </w:rPr>
            </w:pP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B77ED8" w14:textId="77777777" w:rsidR="0057163C" w:rsidRPr="00170422" w:rsidRDefault="00F37BF9">
            <w:pPr>
              <w:pStyle w:val="P68B1DB1-Normal11"/>
              <w:jc w:val="center"/>
              <w:rPr>
                <w:noProof/>
                <w:szCs w:val="20"/>
                <w:lang w:val="de-DE"/>
              </w:rPr>
            </w:pPr>
            <w:r w:rsidRPr="00170422">
              <w:rPr>
                <w:noProof/>
                <w:lang w:val="de-DE"/>
              </w:rPr>
              <w:t>Reform 2.1: Einstellung von Lehrkräften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89F28B"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AB9AD" w14:textId="77777777" w:rsidR="0057163C" w:rsidRPr="00170422" w:rsidRDefault="00F37BF9">
            <w:pPr>
              <w:pStyle w:val="P68B1DB1-Normal11"/>
              <w:jc w:val="center"/>
              <w:rPr>
                <w:noProof/>
                <w:szCs w:val="20"/>
                <w:lang w:val="de-DE"/>
              </w:rPr>
            </w:pPr>
            <w:r w:rsidRPr="00170422">
              <w:rPr>
                <w:noProof/>
                <w:lang w:val="de-DE"/>
              </w:rPr>
              <w:t>Mit dem reformierten Einstellungssystem eingestellte Lehrkräfte</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2135E"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4DB7D2"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91AF62"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021001"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20</w:t>
            </w:r>
            <w:r w:rsidRPr="00170422">
              <w:rPr>
                <w:noProof/>
                <w:sz w:val="23"/>
                <w:szCs w:val="23"/>
                <w:lang w:val="de-DE"/>
              </w:rPr>
              <w:t xml:space="preserve"> </w:t>
            </w:r>
            <w:r w:rsidRPr="00170422">
              <w:rPr>
                <w:rFonts w:ascii="Arial Narrow" w:hAnsi="Arial Narrow"/>
                <w:noProof/>
                <w:color w:val="006100"/>
                <w:sz w:val="20"/>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2CC230"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22A4C0" w14:textId="77777777" w:rsidR="0057163C" w:rsidRPr="00170422" w:rsidRDefault="00F37BF9">
            <w:pPr>
              <w:pStyle w:val="P68B1DB1-Normal11"/>
              <w:jc w:val="center"/>
              <w:rPr>
                <w:noProof/>
                <w:szCs w:val="20"/>
                <w:lang w:val="de-DE"/>
              </w:rPr>
            </w:pPr>
            <w:r w:rsidRPr="00170422">
              <w:rPr>
                <w:noProof/>
                <w:lang w:val="de-DE"/>
              </w:rPr>
              <w:t>2024</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7103A"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Mindestens 20000 Lehrkräfte, die mit dem reformierten Einstellungssystem eingestellt wurden</w:t>
            </w:r>
          </w:p>
        </w:tc>
      </w:tr>
      <w:tr w:rsidR="0057163C" w:rsidRPr="00170422" w14:paraId="5335C1E4"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84D0A" w14:textId="77777777" w:rsidR="0057163C" w:rsidRPr="00170422" w:rsidRDefault="00F37BF9">
            <w:pPr>
              <w:pStyle w:val="P68B1DB1-Normal12"/>
              <w:jc w:val="center"/>
              <w:rPr>
                <w:noProof/>
                <w:lang w:val="de-DE"/>
              </w:rPr>
            </w:pPr>
            <w:r w:rsidRPr="00170422">
              <w:rPr>
                <w:noProof/>
                <w:lang w:val="de-DE"/>
              </w:rPr>
              <w:t>M4C1-14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055D8" w14:textId="7D81C895" w:rsidR="0057163C" w:rsidRPr="00170422" w:rsidRDefault="00F37BF9">
            <w:pPr>
              <w:pStyle w:val="P68B1DB1-Normal11"/>
              <w:jc w:val="center"/>
              <w:rPr>
                <w:noProof/>
                <w:szCs w:val="20"/>
                <w:lang w:val="de-DE"/>
              </w:rPr>
            </w:pPr>
            <w:r w:rsidRPr="00170422">
              <w:rPr>
                <w:noProof/>
                <w:lang w:val="de-DE"/>
              </w:rPr>
              <w:t xml:space="preserve">Reform 2.1: Einstellung von Lehrkräften </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DA17D0" w14:textId="77777777" w:rsidR="0057163C" w:rsidRPr="00170422" w:rsidRDefault="00F37BF9">
            <w:pPr>
              <w:pStyle w:val="P68B1DB1-Normal11"/>
              <w:jc w:val="center"/>
              <w:rPr>
                <w:noProof/>
                <w:szCs w:val="20"/>
                <w:lang w:val="de-DE"/>
              </w:rPr>
            </w:pPr>
            <w:r w:rsidRPr="00170422">
              <w:rPr>
                <w:noProof/>
                <w:lang w:val="de-DE"/>
              </w:rPr>
              <w:t xml:space="preserve">Ziel </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03FF6" w14:textId="77777777" w:rsidR="0057163C" w:rsidRPr="00170422" w:rsidRDefault="00F37BF9">
            <w:pPr>
              <w:pStyle w:val="P68B1DB1-Normal11"/>
              <w:jc w:val="center"/>
              <w:rPr>
                <w:noProof/>
                <w:szCs w:val="20"/>
                <w:lang w:val="de-DE"/>
              </w:rPr>
            </w:pPr>
            <w:r w:rsidRPr="00170422">
              <w:rPr>
                <w:noProof/>
                <w:lang w:val="de-DE"/>
              </w:rPr>
              <w:t>Mit dem reformierten Einstellungssystem eingestellte Lehrkräfte</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327917"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C2E17" w14:textId="77777777" w:rsidR="0057163C" w:rsidRPr="00170422" w:rsidRDefault="00F37BF9">
            <w:pPr>
              <w:pStyle w:val="P68B1DB1-Normal11"/>
              <w:jc w:val="center"/>
              <w:rPr>
                <w:noProof/>
                <w:szCs w:val="20"/>
                <w:lang w:val="de-DE"/>
              </w:rPr>
            </w:pPr>
            <w:r w:rsidRPr="00170422">
              <w:rPr>
                <w:noProof/>
                <w:lang w:val="de-DE"/>
              </w:rPr>
              <w:t xml:space="preserve">Anzahl </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104CE" w14:textId="77777777" w:rsidR="0057163C" w:rsidRPr="00170422" w:rsidRDefault="00F37BF9">
            <w:pPr>
              <w:pStyle w:val="P68B1DB1-Normal11"/>
              <w:jc w:val="center"/>
              <w:rPr>
                <w:noProof/>
                <w:szCs w:val="20"/>
                <w:lang w:val="de-DE"/>
              </w:rPr>
            </w:pPr>
            <w:r w:rsidRPr="00170422">
              <w:rPr>
                <w:noProof/>
                <w:lang w:val="de-DE"/>
              </w:rPr>
              <w:t xml:space="preserve">0 </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2494B"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20</w:t>
            </w:r>
            <w:r w:rsidRPr="00170422">
              <w:rPr>
                <w:noProof/>
                <w:sz w:val="23"/>
                <w:szCs w:val="23"/>
                <w:lang w:val="de-DE"/>
              </w:rPr>
              <w:t xml:space="preserve"> </w:t>
            </w:r>
            <w:r w:rsidRPr="00170422">
              <w:rPr>
                <w:rFonts w:ascii="Arial Narrow" w:hAnsi="Arial Narrow"/>
                <w:noProof/>
                <w:color w:val="006100"/>
                <w:sz w:val="20"/>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2C91D" w14:textId="77777777" w:rsidR="0057163C" w:rsidRPr="00170422" w:rsidRDefault="00F37BF9">
            <w:pPr>
              <w:pStyle w:val="P68B1DB1-Normal11"/>
              <w:jc w:val="center"/>
              <w:rPr>
                <w:noProof/>
                <w:szCs w:val="20"/>
                <w:lang w:val="de-DE"/>
              </w:rPr>
            </w:pPr>
            <w:r w:rsidRPr="00170422">
              <w:rPr>
                <w:noProof/>
                <w:lang w:val="de-DE"/>
              </w:rPr>
              <w:t>Q3</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AA5BF1" w14:textId="77777777" w:rsidR="0057163C" w:rsidRPr="00170422" w:rsidRDefault="00F37BF9">
            <w:pPr>
              <w:pStyle w:val="P68B1DB1-Normal11"/>
              <w:jc w:val="center"/>
              <w:rPr>
                <w:noProof/>
                <w:szCs w:val="20"/>
                <w:lang w:val="de-DE"/>
              </w:rPr>
            </w:pPr>
            <w:r w:rsidRPr="00170422">
              <w:rPr>
                <w:noProof/>
                <w:lang w:val="de-DE"/>
              </w:rPr>
              <w:t xml:space="preserve">2025 </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95F070"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Mindestens 20000 Lehrkräfte, die mit dem reformierten Einstellungssystem eingestellt</w:t>
            </w:r>
            <w:r w:rsidRPr="00170422">
              <w:rPr>
                <w:noProof/>
                <w:sz w:val="23"/>
                <w:szCs w:val="23"/>
                <w:lang w:val="de-DE"/>
              </w:rPr>
              <w:t xml:space="preserve"> wurden</w:t>
            </w:r>
          </w:p>
        </w:tc>
      </w:tr>
      <w:tr w:rsidR="0057163C" w:rsidRPr="00170422" w14:paraId="2F1C8DEA"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5C336D" w14:textId="77777777" w:rsidR="0057163C" w:rsidRPr="00170422" w:rsidRDefault="00F37BF9">
            <w:pPr>
              <w:pStyle w:val="P68B1DB1-Normal12"/>
              <w:jc w:val="center"/>
              <w:rPr>
                <w:noProof/>
                <w:lang w:val="de-DE"/>
              </w:rPr>
            </w:pPr>
            <w:r w:rsidRPr="00170422">
              <w:rPr>
                <w:noProof/>
                <w:lang w:val="de-DE"/>
              </w:rPr>
              <w:t>M4C1-14ter</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2DB024" w14:textId="77777777" w:rsidR="0057163C" w:rsidRPr="00170422" w:rsidRDefault="00F37BF9">
            <w:pPr>
              <w:pStyle w:val="P68B1DB1-Normal11"/>
              <w:jc w:val="center"/>
              <w:rPr>
                <w:noProof/>
                <w:szCs w:val="20"/>
                <w:lang w:val="de-DE"/>
              </w:rPr>
            </w:pPr>
            <w:r w:rsidRPr="00170422">
              <w:rPr>
                <w:noProof/>
                <w:lang w:val="de-DE"/>
              </w:rPr>
              <w:t>Reform 2.1: Einstellung von Lehrkräften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CB4338"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DEBC26" w14:textId="4AD24528" w:rsidR="0057163C" w:rsidRPr="00170422" w:rsidRDefault="00F37BF9">
            <w:pPr>
              <w:pStyle w:val="P68B1DB1-Normal12"/>
              <w:jc w:val="center"/>
              <w:rPr>
                <w:noProof/>
                <w:lang w:val="de-DE"/>
              </w:rPr>
            </w:pPr>
            <w:r w:rsidRPr="00170422">
              <w:rPr>
                <w:noProof/>
                <w:lang w:val="de-DE"/>
              </w:rPr>
              <w:t>Erlasse zur Genehmigung der Ranglisten öffentlicher Auswahlverfahren für Lehrkräfte</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E4BA93" w14:textId="77777777" w:rsidR="0057163C" w:rsidRPr="00170422" w:rsidRDefault="00F37BF9">
            <w:pPr>
              <w:pStyle w:val="P68B1DB1-Normal11"/>
              <w:jc w:val="center"/>
              <w:rPr>
                <w:noProof/>
                <w:szCs w:val="20"/>
                <w:lang w:val="de-DE"/>
              </w:rPr>
            </w:pPr>
            <w:r w:rsidRPr="00170422">
              <w:rPr>
                <w:noProof/>
                <w:lang w:val="de-DE"/>
              </w:rPr>
              <w:t xml:space="preserve">ENTFÄLLT.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D658CB" w14:textId="7FB3F66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1930DA" w14:textId="3600DCAF"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73E227" w14:textId="09CD70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7CC88" w14:textId="77777777" w:rsidR="0057163C" w:rsidRPr="00170422" w:rsidRDefault="00F37BF9">
            <w:pPr>
              <w:pStyle w:val="P68B1DB1-Normal11"/>
              <w:jc w:val="center"/>
              <w:rPr>
                <w:noProof/>
                <w:szCs w:val="20"/>
                <w:lang w:val="de-DE"/>
              </w:rPr>
            </w:pPr>
            <w:r w:rsidRPr="00170422">
              <w:rPr>
                <w:noProof/>
                <w:lang w:val="de-DE"/>
              </w:rPr>
              <w:t xml:space="preserve">Q2 </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E597F" w14:textId="77777777" w:rsidR="0057163C" w:rsidRPr="00170422" w:rsidRDefault="00F37BF9">
            <w:pPr>
              <w:pStyle w:val="P68B1DB1-Normal11"/>
              <w:jc w:val="center"/>
              <w:rPr>
                <w:noProof/>
                <w:szCs w:val="20"/>
                <w:lang w:val="de-DE"/>
              </w:rPr>
            </w:pPr>
            <w:r w:rsidRPr="00170422">
              <w:rPr>
                <w:noProof/>
                <w:lang w:val="de-DE"/>
              </w:rPr>
              <w:t>2026</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E1F910" w14:textId="57524332"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 xml:space="preserve">Erlasse zur Genehmigung der Ranglisten für mindestens 70000 Bewerber, </w:t>
            </w:r>
            <w:r w:rsidRPr="00170422">
              <w:rPr>
                <w:rFonts w:ascii="Arial Narrow" w:hAnsi="Arial Narrow"/>
                <w:noProof/>
                <w:color w:val="006100"/>
                <w:sz w:val="20"/>
                <w:szCs w:val="20"/>
                <w:lang w:val="de-DE"/>
              </w:rPr>
              <w:t xml:space="preserve">die das öffentliche Auswahlverfahren erfolgreich bestanden haben, um Lehrer nach dem reformierten Einstellungssystem zu werden, darunter 40000 Lehrkräfte, die im Rahmen der Ziele M4C1-14 und M4C1-14a eingestellt wurden. </w:t>
            </w:r>
          </w:p>
        </w:tc>
      </w:tr>
      <w:tr w:rsidR="0057163C" w:rsidRPr="00170422" w14:paraId="5DD63269"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D1F33" w14:textId="77777777" w:rsidR="0057163C" w:rsidRPr="00170422" w:rsidRDefault="00F37BF9">
            <w:pPr>
              <w:pStyle w:val="P68B1DB1-Normal11"/>
              <w:jc w:val="center"/>
              <w:rPr>
                <w:noProof/>
                <w:szCs w:val="20"/>
                <w:lang w:val="de-DE"/>
              </w:rPr>
            </w:pPr>
            <w:r w:rsidRPr="00170422">
              <w:rPr>
                <w:noProof/>
                <w:lang w:val="de-DE"/>
              </w:rPr>
              <w:t>M4C1-15</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22D585" w14:textId="77777777" w:rsidR="0057163C" w:rsidRPr="00170422" w:rsidRDefault="00F37BF9">
            <w:pPr>
              <w:pStyle w:val="P68B1DB1-Normal11"/>
              <w:jc w:val="center"/>
              <w:rPr>
                <w:noProof/>
                <w:szCs w:val="20"/>
                <w:lang w:val="de-DE"/>
              </w:rPr>
            </w:pPr>
            <w:r w:rsidRPr="00170422">
              <w:rPr>
                <w:noProof/>
                <w:lang w:val="de-DE"/>
              </w:rPr>
              <w:t xml:space="preserve">Investition 1.7: </w:t>
            </w:r>
            <w:r w:rsidRPr="00170422">
              <w:rPr>
                <w:noProof/>
                <w:lang w:val="de-DE"/>
              </w:rPr>
              <w:t>Stipendien für den Zugang zu Universitäten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664208" w14:textId="77777777" w:rsidR="0057163C" w:rsidRPr="00170422" w:rsidRDefault="00F37BF9">
            <w:pPr>
              <w:pStyle w:val="P68B1DB1-Normal11"/>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000A44" w14:textId="77777777" w:rsidR="0057163C" w:rsidRPr="00170422" w:rsidRDefault="00F37BF9">
            <w:pPr>
              <w:pStyle w:val="P68B1DB1-Normal11"/>
              <w:jc w:val="center"/>
              <w:rPr>
                <w:noProof/>
                <w:szCs w:val="20"/>
                <w:lang w:val="de-DE"/>
              </w:rPr>
            </w:pPr>
            <w:r w:rsidRPr="00170422">
              <w:rPr>
                <w:noProof/>
                <w:lang w:val="de-DE"/>
              </w:rPr>
              <w:t>Vergebene Stipendien für den Zugang zu Universitäten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96B8FC"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6434CB2"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24EDD"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F8340D"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55</w:t>
            </w:r>
            <w:r w:rsidRPr="00170422">
              <w:rPr>
                <w:noProof/>
                <w:sz w:val="23"/>
                <w:szCs w:val="23"/>
                <w:lang w:val="de-DE"/>
              </w:rPr>
              <w:t xml:space="preserve"> </w:t>
            </w:r>
            <w:r w:rsidRPr="00170422">
              <w:rPr>
                <w:rFonts w:ascii="Arial Narrow" w:hAnsi="Arial Narrow"/>
                <w:noProof/>
                <w:color w:val="006100"/>
                <w:sz w:val="20"/>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F1A04D" w14:textId="77777777" w:rsidR="0057163C" w:rsidRPr="00170422" w:rsidRDefault="00F37BF9">
            <w:pPr>
              <w:pStyle w:val="P68B1DB1-Normal11"/>
              <w:jc w:val="center"/>
              <w:rPr>
                <w:noProof/>
                <w:szCs w:val="20"/>
                <w:lang w:val="de-DE"/>
              </w:rPr>
            </w:pPr>
            <w:r w:rsidRPr="00170422">
              <w:rPr>
                <w:noProof/>
                <w:lang w:val="de-DE"/>
              </w:rPr>
              <w:t>4. QUARTAL</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9F920C" w14:textId="77777777" w:rsidR="0057163C" w:rsidRPr="00170422" w:rsidRDefault="00F37BF9">
            <w:pPr>
              <w:pStyle w:val="P68B1DB1-Normal11"/>
              <w:rPr>
                <w:noProof/>
                <w:szCs w:val="20"/>
                <w:lang w:val="de-DE"/>
              </w:rPr>
            </w:pPr>
            <w:r w:rsidRPr="00170422">
              <w:rPr>
                <w:noProof/>
                <w:lang w:val="de-DE"/>
              </w:rPr>
              <w:t>2024</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B2BBAA"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Mindestens</w:t>
            </w:r>
            <w:r w:rsidRPr="00170422">
              <w:rPr>
                <w:noProof/>
                <w:sz w:val="23"/>
                <w:szCs w:val="23"/>
                <w:lang w:val="de-DE"/>
              </w:rPr>
              <w:t xml:space="preserve"> </w:t>
            </w:r>
            <w:r w:rsidRPr="00170422">
              <w:rPr>
                <w:rFonts w:ascii="Arial Narrow" w:hAnsi="Arial Narrow"/>
                <w:noProof/>
                <w:color w:val="006100"/>
                <w:sz w:val="20"/>
                <w:lang w:val="de-DE"/>
              </w:rPr>
              <w:t xml:space="preserve">55000 Studierende erhalten Stipendien, die ausschließlich aus Mitteln der Aufbau- und </w:t>
            </w:r>
            <w:r w:rsidRPr="00170422">
              <w:rPr>
                <w:rFonts w:ascii="Arial Narrow" w:hAnsi="Arial Narrow"/>
                <w:noProof/>
                <w:color w:val="006100"/>
                <w:sz w:val="20"/>
                <w:lang w:val="de-DE"/>
              </w:rPr>
              <w:t>Resilienzfazilität finanziert werden.</w:t>
            </w:r>
          </w:p>
        </w:tc>
      </w:tr>
      <w:tr w:rsidR="0057163C" w:rsidRPr="00170422" w14:paraId="5991F809"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D52F" w14:textId="77777777" w:rsidR="0057163C" w:rsidRPr="00170422" w:rsidRDefault="00F37BF9">
            <w:pPr>
              <w:pStyle w:val="P68B1DB1-Normal11"/>
              <w:jc w:val="center"/>
              <w:rPr>
                <w:noProof/>
                <w:szCs w:val="20"/>
                <w:lang w:val="de-DE"/>
              </w:rPr>
            </w:pPr>
            <w:r w:rsidRPr="00170422">
              <w:rPr>
                <w:noProof/>
                <w:lang w:val="de-DE"/>
              </w:rPr>
              <w:t>M4C1-15 bis</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F7739E" w14:textId="77777777" w:rsidR="0057163C" w:rsidRPr="00170422" w:rsidRDefault="00F37BF9">
            <w:pPr>
              <w:pStyle w:val="P68B1DB1-Normal11"/>
              <w:jc w:val="center"/>
              <w:rPr>
                <w:noProof/>
                <w:szCs w:val="20"/>
                <w:lang w:val="de-DE"/>
              </w:rPr>
            </w:pPr>
            <w:r w:rsidRPr="00170422">
              <w:rPr>
                <w:noProof/>
                <w:lang w:val="de-DE"/>
              </w:rPr>
              <w:t>Investition 1.7: Stipendien für den Zugang zu Universitäten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1B64DD"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F964C6" w14:textId="77777777" w:rsidR="0057163C" w:rsidRPr="00170422" w:rsidRDefault="00F37BF9">
            <w:pPr>
              <w:pStyle w:val="P68B1DB1-Normal11"/>
              <w:jc w:val="center"/>
              <w:rPr>
                <w:noProof/>
                <w:szCs w:val="20"/>
                <w:lang w:val="de-DE"/>
              </w:rPr>
            </w:pPr>
            <w:r w:rsidRPr="00170422">
              <w:rPr>
                <w:noProof/>
                <w:lang w:val="de-DE"/>
              </w:rPr>
              <w:t>Vergebene Stipendien für den Zugang zu Universitäten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9BEEC1"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230808"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F7CAF0"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2311D39"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83</w:t>
            </w:r>
            <w:r w:rsidRPr="00170422">
              <w:rPr>
                <w:noProof/>
                <w:sz w:val="23"/>
                <w:szCs w:val="23"/>
                <w:lang w:val="de-DE"/>
              </w:rPr>
              <w:t xml:space="preserve"> </w:t>
            </w:r>
            <w:r w:rsidRPr="00170422">
              <w:rPr>
                <w:rFonts w:ascii="Arial Narrow" w:hAnsi="Arial Narrow"/>
                <w:noProof/>
                <w:color w:val="006100"/>
                <w:sz w:val="20"/>
                <w:lang w:val="de-DE"/>
              </w:rPr>
              <w:t>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3AEAD9"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506A2F" w14:textId="77777777" w:rsidR="0057163C" w:rsidRPr="00170422" w:rsidRDefault="00F37BF9">
            <w:pPr>
              <w:pStyle w:val="P68B1DB1-Normal11"/>
              <w:jc w:val="center"/>
              <w:rPr>
                <w:noProof/>
                <w:szCs w:val="20"/>
                <w:lang w:val="de-DE"/>
              </w:rPr>
            </w:pPr>
            <w:r w:rsidRPr="00170422">
              <w:rPr>
                <w:noProof/>
                <w:lang w:val="de-DE"/>
              </w:rPr>
              <w:t>2026</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0687BC"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Mindestens 83000 Studierende</w:t>
            </w:r>
            <w:r w:rsidRPr="00170422">
              <w:rPr>
                <w:noProof/>
                <w:sz w:val="23"/>
                <w:szCs w:val="23"/>
                <w:lang w:val="de-DE"/>
              </w:rPr>
              <w:t xml:space="preserve"> </w:t>
            </w:r>
            <w:r w:rsidRPr="00170422">
              <w:rPr>
                <w:rFonts w:ascii="Arial Narrow" w:hAnsi="Arial Narrow"/>
                <w:noProof/>
                <w:color w:val="006100"/>
                <w:sz w:val="20"/>
                <w:szCs w:val="20"/>
                <w:lang w:val="de-DE"/>
              </w:rPr>
              <w:t>erhalten Stipendien, die</w:t>
            </w:r>
            <w:r w:rsidRPr="00170422">
              <w:rPr>
                <w:rFonts w:ascii="Arial Narrow" w:hAnsi="Arial Narrow"/>
                <w:noProof/>
                <w:color w:val="006100"/>
                <w:sz w:val="20"/>
                <w:szCs w:val="20"/>
                <w:lang w:val="de-DE"/>
              </w:rPr>
              <w:t xml:space="preserve"> ausschließlich aus Mitteln der Aufbau- und Resilienzfazilität finanziert werden.</w:t>
            </w:r>
          </w:p>
        </w:tc>
      </w:tr>
      <w:tr w:rsidR="0057163C" w:rsidRPr="00170422" w14:paraId="0145D840" w14:textId="77777777" w:rsidTr="00E17A5C">
        <w:trPr>
          <w:trHeight w:val="1455"/>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E548B6" w14:textId="77777777" w:rsidR="0057163C" w:rsidRPr="00170422" w:rsidRDefault="00F37BF9">
            <w:pPr>
              <w:pStyle w:val="P68B1DB1-Normal12"/>
              <w:jc w:val="center"/>
              <w:rPr>
                <w:noProof/>
                <w:lang w:val="de-DE"/>
              </w:rPr>
            </w:pPr>
            <w:r w:rsidRPr="00170422">
              <w:rPr>
                <w:noProof/>
                <w:lang w:val="de-DE"/>
              </w:rPr>
              <w:t>M4C1-16</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2346FC" w14:textId="77777777" w:rsidR="0057163C" w:rsidRPr="00170422" w:rsidRDefault="00F37BF9">
            <w:pPr>
              <w:pStyle w:val="P68B1DB1-Normal11"/>
              <w:jc w:val="center"/>
              <w:rPr>
                <w:noProof/>
                <w:szCs w:val="20"/>
                <w:lang w:val="de-DE"/>
              </w:rPr>
            </w:pPr>
            <w:r w:rsidRPr="00170422">
              <w:rPr>
                <w:noProof/>
                <w:lang w:val="de-DE"/>
              </w:rPr>
              <w:t>Investition 3.1: Neue Kompetenzen und neue Sprachen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66F55C"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DF8CA8" w14:textId="77777777" w:rsidR="0057163C" w:rsidRPr="00170422" w:rsidRDefault="00F37BF9">
            <w:pPr>
              <w:pStyle w:val="P68B1DB1-Normal12"/>
              <w:rPr>
                <w:noProof/>
                <w:lang w:val="de-DE"/>
              </w:rPr>
            </w:pPr>
            <w:r w:rsidRPr="00170422">
              <w:rPr>
                <w:noProof/>
                <w:lang w:val="de-DE"/>
              </w:rPr>
              <w:t>Annahme von Beschlüssen über die Gewährung einer Finanzhilfe für die Aktivierung von MINT-Projekten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3F8C0" w14:textId="77777777" w:rsidR="0057163C" w:rsidRPr="00170422" w:rsidRDefault="00F37BF9">
            <w:pPr>
              <w:pStyle w:val="P68B1DB1-Normal12"/>
              <w:rPr>
                <w:noProof/>
                <w:lang w:val="de-DE"/>
              </w:rPr>
            </w:pPr>
            <w:r w:rsidRPr="00170422">
              <w:rPr>
                <w:noProof/>
                <w:lang w:val="de-DE"/>
              </w:rPr>
              <w:t>Annahme des Beschlusses/der Beschlüsse über die Gewährung einer Finanzhilfe</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B0EB"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32190A"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75D2A"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DE781"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71223" w14:textId="77777777" w:rsidR="0057163C" w:rsidRPr="00170422" w:rsidRDefault="00F37BF9">
            <w:pPr>
              <w:pStyle w:val="P68B1DB1-Normal12"/>
              <w:jc w:val="center"/>
              <w:rPr>
                <w:noProof/>
                <w:lang w:val="de-DE"/>
              </w:rPr>
            </w:pPr>
            <w:r w:rsidRPr="00170422">
              <w:rPr>
                <w:noProof/>
                <w:lang w:val="de-DE"/>
              </w:rPr>
              <w:t>2025</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2F8D1F" w14:textId="09E8AD5C" w:rsidR="0057163C" w:rsidRPr="00170422" w:rsidRDefault="00F37BF9">
            <w:pPr>
              <w:pStyle w:val="P68B1DB1-Normal12"/>
              <w:rPr>
                <w:noProof/>
                <w:lang w:val="de-DE"/>
              </w:rPr>
            </w:pPr>
            <w:r w:rsidRPr="00170422">
              <w:rPr>
                <w:noProof/>
                <w:lang w:val="de-DE"/>
              </w:rPr>
              <w:t>Annahme von Beschlüssen über die Gewährung einer Finanzhilfe für die Aktivierung von MINT-Projekten in mindestens 8000 Schulen.</w:t>
            </w:r>
          </w:p>
        </w:tc>
      </w:tr>
      <w:tr w:rsidR="0057163C" w:rsidRPr="00170422" w14:paraId="39A5FC0E"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85B7A2" w14:textId="77777777" w:rsidR="0057163C" w:rsidRPr="00170422" w:rsidRDefault="00F37BF9">
            <w:pPr>
              <w:pStyle w:val="P68B1DB1-Normal12"/>
              <w:jc w:val="center"/>
              <w:rPr>
                <w:noProof/>
                <w:lang w:val="de-DE"/>
              </w:rPr>
            </w:pPr>
            <w:r w:rsidRPr="00170422">
              <w:rPr>
                <w:noProof/>
                <w:lang w:val="de-DE"/>
              </w:rPr>
              <w:t>M4C1-17</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E2BE61" w14:textId="77777777" w:rsidR="0057163C" w:rsidRPr="00170422" w:rsidRDefault="00F37BF9">
            <w:pPr>
              <w:pStyle w:val="P68B1DB1-Normal12"/>
              <w:jc w:val="center"/>
              <w:rPr>
                <w:noProof/>
                <w:lang w:val="de-DE"/>
              </w:rPr>
            </w:pPr>
            <w:r w:rsidRPr="00170422">
              <w:rPr>
                <w:noProof/>
                <w:lang w:val="de-DE"/>
              </w:rPr>
              <w:t>Investition 3.1: Neue Kompetenzen und neue Sprachen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AE96A2"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D5A762" w14:textId="77777777" w:rsidR="0057163C" w:rsidRPr="00170422" w:rsidRDefault="00F37BF9">
            <w:pPr>
              <w:pStyle w:val="P68B1DB1-Normal12"/>
              <w:jc w:val="center"/>
              <w:rPr>
                <w:noProof/>
                <w:lang w:val="de-DE"/>
              </w:rPr>
            </w:pPr>
            <w:r w:rsidRPr="00170422">
              <w:rPr>
                <w:noProof/>
                <w:lang w:val="de-DE"/>
              </w:rPr>
              <w:t>Neue Kompetenzen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832EF9" w14:textId="77777777" w:rsidR="0057163C" w:rsidRPr="00170422" w:rsidRDefault="00F37BF9">
            <w:pPr>
              <w:pStyle w:val="P68B1DB1-Normal12"/>
              <w:jc w:val="center"/>
              <w:rPr>
                <w:noProof/>
                <w:lang w:val="de-DE"/>
              </w:rPr>
            </w:pPr>
            <w:r w:rsidRPr="00170422">
              <w:rPr>
                <w:noProof/>
                <w:lang w:val="de-DE"/>
              </w:rPr>
              <w:t xml:space="preserve">Annahme des Beschlusses/der Beschlüsse über die Gewährung einer Finanzhilfe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DCE29"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CAF493"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5AB02" w14:textId="77777777" w:rsidR="0057163C" w:rsidRPr="00170422" w:rsidRDefault="00F37BF9">
            <w:pPr>
              <w:pStyle w:val="P68B1DB1-Normal11"/>
              <w:jc w:val="center"/>
              <w:rPr>
                <w:noProof/>
                <w:szCs w:val="20"/>
                <w:lang w:val="de-DE"/>
              </w:rPr>
            </w:pPr>
            <w:r w:rsidRPr="00170422">
              <w:rPr>
                <w:noProof/>
                <w:lang w:val="de-DE"/>
              </w:rPr>
              <w:t>ENTFÄLLT.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4E2C17"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FE4951" w14:textId="77777777" w:rsidR="0057163C" w:rsidRPr="00170422" w:rsidRDefault="00F37BF9">
            <w:pPr>
              <w:pStyle w:val="P68B1DB1-Normal11"/>
              <w:jc w:val="center"/>
              <w:rPr>
                <w:noProof/>
                <w:szCs w:val="20"/>
                <w:lang w:val="de-DE"/>
              </w:rPr>
            </w:pPr>
            <w:r w:rsidRPr="00170422">
              <w:rPr>
                <w:noProof/>
                <w:lang w:val="de-DE"/>
              </w:rPr>
              <w:t>2025</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4F95E5" w14:textId="77777777" w:rsidR="0057163C" w:rsidRPr="00170422" w:rsidRDefault="00F37BF9">
            <w:pPr>
              <w:pStyle w:val="P68B1DB1-Normal12"/>
              <w:rPr>
                <w:noProof/>
                <w:lang w:val="de-DE"/>
              </w:rPr>
            </w:pPr>
            <w:r w:rsidRPr="00170422">
              <w:rPr>
                <w:noProof/>
                <w:lang w:val="de-DE"/>
              </w:rPr>
              <w:t xml:space="preserve">Annahme des Beschlusses/der Beschlüsse über die Gewährung einer Finanzhilfe für: </w:t>
            </w:r>
          </w:p>
          <w:p w14:paraId="2E365A7E" w14:textId="0242E4B1" w:rsidR="0057163C" w:rsidRPr="00170422" w:rsidRDefault="00F37BF9">
            <w:pPr>
              <w:pStyle w:val="P68B1DB1-ListParagraph13"/>
              <w:numPr>
                <w:ilvl w:val="0"/>
                <w:numId w:val="89"/>
              </w:numPr>
              <w:spacing w:before="120" w:after="120" w:line="240" w:lineRule="auto"/>
              <w:jc w:val="both"/>
              <w:rPr>
                <w:noProof/>
                <w:lang w:val="de-DE"/>
              </w:rPr>
            </w:pPr>
            <w:r w:rsidRPr="00170422">
              <w:rPr>
                <w:noProof/>
                <w:lang w:val="de-DE"/>
              </w:rPr>
              <w:t xml:space="preserve">Die Aktivierung von Sprach- und/oder methodischen Kursen für das Schulpersonal in mindestens 8000 Schulen. </w:t>
            </w:r>
          </w:p>
          <w:p w14:paraId="763A679D" w14:textId="58EE5BAA" w:rsidR="0057163C" w:rsidRPr="00170422" w:rsidRDefault="00F37BF9">
            <w:pPr>
              <w:pStyle w:val="P68B1DB1-ListParagraph13"/>
              <w:numPr>
                <w:ilvl w:val="0"/>
                <w:numId w:val="89"/>
              </w:numPr>
              <w:spacing w:before="120" w:after="120" w:line="240" w:lineRule="auto"/>
              <w:jc w:val="both"/>
              <w:rPr>
                <w:noProof/>
                <w:lang w:val="de-DE"/>
              </w:rPr>
            </w:pPr>
            <w:r w:rsidRPr="00170422">
              <w:rPr>
                <w:noProof/>
                <w:lang w:val="de-DE"/>
              </w:rPr>
              <w:t>Stärkung des Programms Erasmus+ für Studierende und/oder Schulpers</w:t>
            </w:r>
            <w:r w:rsidRPr="00170422">
              <w:rPr>
                <w:noProof/>
                <w:lang w:val="de-DE"/>
              </w:rPr>
              <w:t xml:space="preserve">onal für die Jahre 2023, 2024 und 2025.  </w:t>
            </w:r>
          </w:p>
        </w:tc>
      </w:tr>
      <w:tr w:rsidR="0057163C" w:rsidRPr="00170422" w14:paraId="330E5BAD"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DE24B0" w14:textId="77777777" w:rsidR="0057163C" w:rsidRPr="00170422" w:rsidRDefault="00F37BF9">
            <w:pPr>
              <w:pStyle w:val="P68B1DB1-Normal12"/>
              <w:jc w:val="center"/>
              <w:rPr>
                <w:noProof/>
                <w:lang w:val="de-DE"/>
              </w:rPr>
            </w:pPr>
            <w:r w:rsidRPr="00170422">
              <w:rPr>
                <w:noProof/>
                <w:lang w:val="de-DE"/>
              </w:rPr>
              <w:t>M4C1-19</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3228EA" w14:textId="77777777" w:rsidR="0057163C" w:rsidRPr="00170422" w:rsidRDefault="00F37BF9">
            <w:pPr>
              <w:pStyle w:val="P68B1DB1-Normal12"/>
              <w:jc w:val="center"/>
              <w:rPr>
                <w:noProof/>
                <w:lang w:val="de-DE"/>
              </w:rPr>
            </w:pPr>
            <w:r w:rsidRPr="00170422">
              <w:rPr>
                <w:noProof/>
                <w:lang w:val="de-DE"/>
              </w:rPr>
              <w:t>Investition 3.2: Schule 4.0: innovative Schulen, Verkabelung, neue Klassenzimmer und Workshops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585C98"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E51DEA" w14:textId="77777777" w:rsidR="0057163C" w:rsidRPr="00170422" w:rsidRDefault="00F37BF9">
            <w:pPr>
              <w:pStyle w:val="P68B1DB1-Normal12"/>
              <w:jc w:val="center"/>
              <w:rPr>
                <w:noProof/>
                <w:lang w:val="de-DE"/>
              </w:rPr>
            </w:pPr>
            <w:r w:rsidRPr="00170422">
              <w:rPr>
                <w:noProof/>
                <w:lang w:val="de-DE"/>
              </w:rPr>
              <w:t xml:space="preserve">Annahme des Beschlusses/der Beschlüsse über die Gewährung einer Finanzhilfe für den Erwerb digitaler Geräte und/oder die Einrichtung digitaler Laboratorien </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B98D05" w14:textId="5E39E543" w:rsidR="0057163C" w:rsidRPr="00170422" w:rsidRDefault="00F37BF9">
            <w:pPr>
              <w:pStyle w:val="P68B1DB1-Normal12"/>
              <w:jc w:val="center"/>
              <w:rPr>
                <w:noProof/>
                <w:lang w:val="de-DE"/>
              </w:rPr>
            </w:pPr>
            <w:r w:rsidRPr="00170422">
              <w:rPr>
                <w:noProof/>
                <w:lang w:val="de-DE"/>
              </w:rPr>
              <w:t xml:space="preserve">Annahme des Beschlusses/der Beschlüsse über die Gewährung einer Finanzhilfe </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3F221"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4C9262" w14:textId="77777777" w:rsidR="0057163C" w:rsidRPr="00170422" w:rsidRDefault="00F37BF9">
            <w:pPr>
              <w:pStyle w:val="P68B1DB1-Normal11"/>
              <w:jc w:val="center"/>
              <w:rPr>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98B4DB" w14:textId="77777777" w:rsidR="0057163C" w:rsidRPr="00170422" w:rsidRDefault="00F37BF9">
            <w:pPr>
              <w:pStyle w:val="P68B1DB1-Normal12"/>
              <w:jc w:val="center"/>
              <w:rPr>
                <w:noProof/>
                <w:lang w:val="de-DE"/>
              </w:rPr>
            </w:pPr>
            <w:r w:rsidRPr="00170422">
              <w:rPr>
                <w:noProof/>
                <w:lang w:val="de-DE"/>
              </w:rPr>
              <w:t>EN</w:t>
            </w:r>
            <w:r w:rsidRPr="00170422">
              <w:rPr>
                <w:noProof/>
                <w:lang w:val="de-DE"/>
              </w:rPr>
              <w:t>TFÄLLT.</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55F2E0B"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7638D4" w14:textId="77777777" w:rsidR="0057163C" w:rsidRPr="00170422" w:rsidRDefault="00F37BF9">
            <w:pPr>
              <w:pStyle w:val="P68B1DB1-Normal11"/>
              <w:jc w:val="center"/>
              <w:rPr>
                <w:noProof/>
                <w:szCs w:val="20"/>
                <w:lang w:val="de-DE"/>
              </w:rPr>
            </w:pPr>
            <w:r w:rsidRPr="00170422">
              <w:rPr>
                <w:noProof/>
                <w:lang w:val="de-DE"/>
              </w:rPr>
              <w:t>2025</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6F1F3E" w14:textId="036B9812" w:rsidR="0057163C" w:rsidRPr="00170422" w:rsidRDefault="00F37BF9">
            <w:pPr>
              <w:pStyle w:val="P68B1DB1-Normal12"/>
              <w:rPr>
                <w:rFonts w:eastAsia="Arial Narrow" w:cs="Arial Narrow"/>
                <w:noProof/>
                <w:lang w:val="de-DE"/>
              </w:rPr>
            </w:pPr>
            <w:r w:rsidRPr="00170422">
              <w:rPr>
                <w:noProof/>
                <w:lang w:val="de-DE"/>
              </w:rPr>
              <w:t>Annahme von Beschlüssen über die Gewährung einer Finanzhilfe für die Umwandlung von Klassenzimmern in innovative Umgebungen und/oder die Einrichtung digitaler Laboratorien in mindestens 8000 Schulen.</w:t>
            </w:r>
          </w:p>
        </w:tc>
      </w:tr>
      <w:tr w:rsidR="0057163C" w:rsidRPr="00170422" w14:paraId="312434B7"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DFC0A2" w14:textId="77777777" w:rsidR="0057163C" w:rsidRPr="00170422" w:rsidRDefault="00F37BF9">
            <w:pPr>
              <w:pStyle w:val="P68B1DB1-Normal11"/>
              <w:jc w:val="center"/>
              <w:rPr>
                <w:noProof/>
                <w:szCs w:val="20"/>
                <w:lang w:val="de-DE"/>
              </w:rPr>
            </w:pPr>
            <w:r w:rsidRPr="00170422">
              <w:rPr>
                <w:noProof/>
                <w:lang w:val="de-DE"/>
              </w:rPr>
              <w:t>M4C1-20</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EDD6F3" w14:textId="77777777" w:rsidR="0057163C" w:rsidRPr="00170422" w:rsidRDefault="00F37BF9">
            <w:pPr>
              <w:pStyle w:val="P68B1DB1-Normal11"/>
              <w:jc w:val="center"/>
              <w:rPr>
                <w:noProof/>
                <w:szCs w:val="20"/>
                <w:lang w:val="de-DE"/>
              </w:rPr>
            </w:pPr>
            <w:r w:rsidRPr="00170422">
              <w:rPr>
                <w:noProof/>
                <w:lang w:val="de-DE"/>
              </w:rPr>
              <w:t xml:space="preserve">Investition 1.5: Entwicklung </w:t>
            </w:r>
            <w:r w:rsidRPr="00170422">
              <w:rPr>
                <w:noProof/>
                <w:lang w:val="de-DE"/>
              </w:rPr>
              <w:t>des tertiären Berufsbildungssystems (ITS)</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5C08CA" w14:textId="77777777" w:rsidR="0057163C" w:rsidRPr="00170422" w:rsidRDefault="00F37BF9">
            <w:pPr>
              <w:pStyle w:val="P68B1DB1-Normal11"/>
              <w:jc w:val="center"/>
              <w:rPr>
                <w:noProof/>
                <w:szCs w:val="20"/>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9DF0F" w14:textId="77777777" w:rsidR="0057163C" w:rsidRPr="00170422" w:rsidRDefault="00F37BF9">
            <w:pPr>
              <w:pStyle w:val="P68B1DB1-Normal12"/>
              <w:jc w:val="center"/>
              <w:rPr>
                <w:noProof/>
                <w:lang w:val="de-DE"/>
              </w:rPr>
            </w:pPr>
            <w:r w:rsidRPr="00170422">
              <w:rPr>
                <w:noProof/>
                <w:lang w:val="de-DE"/>
              </w:rPr>
              <w:t xml:space="preserve">Zahl der Studierenden, die in einem Berufsausbildungssystem (ITS) eingeschrieben sind </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7F2CB2"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E2983C"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F6FB1B" w14:textId="77777777" w:rsidR="0057163C" w:rsidRPr="00170422" w:rsidRDefault="00F37BF9">
            <w:pPr>
              <w:pStyle w:val="P68B1DB1-Normal12"/>
              <w:jc w:val="center"/>
              <w:rPr>
                <w:noProof/>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0C1553" w14:textId="77777777" w:rsidR="0057163C" w:rsidRPr="00170422" w:rsidRDefault="00F37BF9">
            <w:pPr>
              <w:pStyle w:val="P68B1DB1-Normal11"/>
              <w:jc w:val="center"/>
              <w:rPr>
                <w:noProof/>
                <w:szCs w:val="20"/>
                <w:lang w:val="de-DE"/>
              </w:rPr>
            </w:pPr>
            <w:r w:rsidRPr="00170422">
              <w:rPr>
                <w:noProof/>
                <w:lang w:val="de-DE"/>
              </w:rPr>
              <w:t>11 000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99AD4CF" w14:textId="77777777" w:rsidR="0057163C" w:rsidRPr="00170422" w:rsidRDefault="00F37BF9">
            <w:pPr>
              <w:pStyle w:val="P68B1DB1-Normal12"/>
              <w:jc w:val="center"/>
              <w:rPr>
                <w:noProof/>
                <w:lang w:val="de-DE"/>
              </w:rPr>
            </w:pPr>
            <w:r w:rsidRPr="00170422">
              <w:rPr>
                <w:noProof/>
                <w:lang w:val="de-DE"/>
              </w:rPr>
              <w:t>Q1</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E30A39" w14:textId="77777777" w:rsidR="0057163C" w:rsidRPr="00170422" w:rsidRDefault="00F37BF9">
            <w:pPr>
              <w:pStyle w:val="P68B1DB1-Normal12"/>
              <w:jc w:val="center"/>
              <w:rPr>
                <w:noProof/>
                <w:lang w:val="de-DE"/>
              </w:rPr>
            </w:pPr>
            <w:r w:rsidRPr="00170422">
              <w:rPr>
                <w:noProof/>
                <w:lang w:val="de-DE"/>
              </w:rPr>
              <w:t>2026</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E7869E" w14:textId="3C821366" w:rsidR="0057163C" w:rsidRPr="00170422" w:rsidRDefault="00F37BF9">
            <w:pPr>
              <w:pStyle w:val="P68B1DB1-Normal12"/>
              <w:rPr>
                <w:noProof/>
                <w:lang w:val="de-DE"/>
              </w:rPr>
            </w:pPr>
            <w:r w:rsidRPr="00170422">
              <w:rPr>
                <w:noProof/>
                <w:lang w:val="de-DE"/>
              </w:rPr>
              <w:t xml:space="preserve">Mindestens 11000 Studierende, die im Referenzjahr 2025 im nationalen Register der </w:t>
            </w:r>
            <w:r w:rsidRPr="00170422">
              <w:rPr>
                <w:noProof/>
                <w:lang w:val="de-DE"/>
              </w:rPr>
              <w:t>ITS-Akademie für das Berufsbildungssystem eingeschrieben sind. Die nationale digitale Plattform des IVS-Systems ist online und zugänglich, wie die</w:t>
            </w:r>
            <w:r w:rsidRPr="00170422">
              <w:rPr>
                <w:i/>
                <w:noProof/>
                <w:lang w:val="de-DE"/>
              </w:rPr>
              <w:t>Verbale di collaudo bestätigt</w:t>
            </w:r>
            <w:r w:rsidRPr="00170422">
              <w:rPr>
                <w:noProof/>
                <w:lang w:val="de-DE"/>
              </w:rPr>
              <w:t>.</w:t>
            </w:r>
          </w:p>
        </w:tc>
      </w:tr>
      <w:tr w:rsidR="0057163C" w:rsidRPr="00170422" w14:paraId="0167E044"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0717BC" w14:textId="77777777" w:rsidR="0057163C" w:rsidRPr="00170422" w:rsidRDefault="00F37BF9">
            <w:pPr>
              <w:pStyle w:val="P68B1DB1-Normal11"/>
              <w:jc w:val="center"/>
              <w:rPr>
                <w:noProof/>
                <w:lang w:val="de-DE"/>
              </w:rPr>
            </w:pPr>
            <w:r w:rsidRPr="00170422">
              <w:rPr>
                <w:noProof/>
                <w:lang w:val="de-DE"/>
              </w:rPr>
              <w:t>M4C1-22</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67D8A" w14:textId="77777777" w:rsidR="0057163C" w:rsidRPr="00170422" w:rsidRDefault="00F37BF9">
            <w:pPr>
              <w:pStyle w:val="P68B1DB1-Normal11"/>
              <w:jc w:val="center"/>
              <w:rPr>
                <w:noProof/>
                <w:lang w:val="de-DE"/>
              </w:rPr>
            </w:pPr>
            <w:r w:rsidRPr="00170422">
              <w:rPr>
                <w:noProof/>
                <w:lang w:val="de-DE"/>
              </w:rPr>
              <w:t xml:space="preserve">Investition 1.3: Plan zur Verbesserung der Infrastruktur für den </w:t>
            </w:r>
            <w:r w:rsidRPr="00170422">
              <w:rPr>
                <w:noProof/>
                <w:lang w:val="de-DE"/>
              </w:rPr>
              <w:t>Schulsport</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ABC5F" w14:textId="77777777" w:rsidR="0057163C" w:rsidRPr="00170422" w:rsidRDefault="00F37BF9">
            <w:pPr>
              <w:pStyle w:val="P68B1DB1-Normal11"/>
              <w:jc w:val="center"/>
              <w:rPr>
                <w:noProof/>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096CEB" w14:textId="77777777" w:rsidR="0057163C" w:rsidRPr="00170422" w:rsidRDefault="00F37BF9">
            <w:pPr>
              <w:pStyle w:val="P68B1DB1-Normal11"/>
              <w:jc w:val="center"/>
              <w:rPr>
                <w:noProof/>
                <w:lang w:val="de-DE"/>
              </w:rPr>
            </w:pPr>
            <w:r w:rsidRPr="00170422">
              <w:rPr>
                <w:noProof/>
                <w:lang w:val="de-DE"/>
              </w:rPr>
              <w:t>Bau oder Renovierung von Sportanlagen und Sporthallen für den Schulgebrauch</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A43622"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BD8A1F" w14:textId="77777777" w:rsidR="0057163C" w:rsidRPr="00170422" w:rsidRDefault="00F37BF9">
            <w:pPr>
              <w:pStyle w:val="P68B1DB1-Normal11"/>
              <w:jc w:val="center"/>
              <w:rPr>
                <w:noProof/>
                <w:szCs w:val="20"/>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68A3F2" w14:textId="77777777" w:rsidR="0057163C" w:rsidRPr="00170422" w:rsidRDefault="00F37BF9">
            <w:pPr>
              <w:pStyle w:val="P68B1DB1-Normal11"/>
              <w:jc w:val="center"/>
              <w:rPr>
                <w:noProof/>
                <w:szCs w:val="20"/>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666F35" w14:textId="77777777" w:rsidR="0057163C" w:rsidRPr="00170422" w:rsidRDefault="00F37BF9">
            <w:pPr>
              <w:pStyle w:val="P68B1DB1-Normal12"/>
              <w:jc w:val="center"/>
              <w:rPr>
                <w:noProof/>
                <w:lang w:val="de-DE"/>
              </w:rPr>
            </w:pPr>
            <w:r w:rsidRPr="00170422">
              <w:rPr>
                <w:noProof/>
                <w:lang w:val="de-DE"/>
              </w:rPr>
              <w:t>300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C4F421"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698D1" w14:textId="77777777" w:rsidR="0057163C" w:rsidRPr="00170422" w:rsidRDefault="00F37BF9">
            <w:pPr>
              <w:pStyle w:val="P68B1DB1-Normal11"/>
              <w:jc w:val="center"/>
              <w:rPr>
                <w:noProof/>
                <w:szCs w:val="20"/>
                <w:lang w:val="de-DE"/>
              </w:rPr>
            </w:pPr>
            <w:r w:rsidRPr="00170422">
              <w:rPr>
                <w:noProof/>
                <w:lang w:val="de-DE"/>
              </w:rPr>
              <w:t>2026</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B14318" w14:textId="77777777" w:rsidR="0057163C" w:rsidRPr="00170422" w:rsidRDefault="00F37BF9">
            <w:pPr>
              <w:pStyle w:val="P68B1DB1-Normal12"/>
              <w:rPr>
                <w:noProof/>
                <w:lang w:val="de-DE"/>
              </w:rPr>
            </w:pPr>
            <w:r w:rsidRPr="00170422">
              <w:rPr>
                <w:noProof/>
                <w:lang w:val="de-DE"/>
              </w:rPr>
              <w:t xml:space="preserve">Für mindestens 300 Fitnessstudios oder Sportanlagen für die schulische Nutzung sind Bescheinigungen über den Abschluss der Arbeiten </w:t>
            </w:r>
            <w:r w:rsidRPr="00170422">
              <w:rPr>
                <w:noProof/>
                <w:lang w:val="de-DE"/>
              </w:rPr>
              <w:t>auszustellen.</w:t>
            </w:r>
          </w:p>
        </w:tc>
      </w:tr>
      <w:tr w:rsidR="0057163C" w:rsidRPr="00170422" w14:paraId="6F3F38C3"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133D70" w14:textId="77777777" w:rsidR="0057163C" w:rsidRPr="00170422" w:rsidRDefault="00F37BF9">
            <w:pPr>
              <w:pStyle w:val="P68B1DB1-Normal11"/>
              <w:jc w:val="center"/>
              <w:rPr>
                <w:noProof/>
                <w:szCs w:val="20"/>
                <w:lang w:val="de-DE"/>
              </w:rPr>
            </w:pPr>
            <w:r w:rsidRPr="00170422">
              <w:rPr>
                <w:noProof/>
                <w:lang w:val="de-DE"/>
              </w:rPr>
              <w:t>M4C1-23</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228B606" w14:textId="77777777" w:rsidR="0057163C" w:rsidRPr="00170422" w:rsidRDefault="00F37BF9">
            <w:pPr>
              <w:pStyle w:val="P68B1DB1-Normal11"/>
              <w:jc w:val="center"/>
              <w:rPr>
                <w:noProof/>
                <w:szCs w:val="20"/>
                <w:lang w:val="de-DE"/>
              </w:rPr>
            </w:pPr>
            <w:r w:rsidRPr="00170422">
              <w:rPr>
                <w:noProof/>
                <w:lang w:val="de-DE"/>
              </w:rPr>
              <w:t>Investition 3.4: Lehre und fortgeschrittene Universitätskompetenzen</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DBDC56" w14:textId="77777777" w:rsidR="0057163C" w:rsidRPr="00170422" w:rsidRDefault="00F37BF9">
            <w:pPr>
              <w:pStyle w:val="P68B1DB1-Normal11"/>
              <w:jc w:val="center"/>
              <w:rPr>
                <w:noProof/>
                <w:szCs w:val="20"/>
                <w:lang w:val="de-DE"/>
              </w:rPr>
            </w:pPr>
            <w:r w:rsidRPr="00170422">
              <w:rPr>
                <w:noProof/>
                <w:lang w:val="de-DE"/>
              </w:rPr>
              <w:t>Meilenstein</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3A08A70" w14:textId="77777777" w:rsidR="0057163C" w:rsidRPr="00170422" w:rsidRDefault="00F37BF9">
            <w:pPr>
              <w:pStyle w:val="P68B1DB1-Normal12"/>
              <w:jc w:val="center"/>
              <w:rPr>
                <w:noProof/>
                <w:lang w:val="de-DE"/>
              </w:rPr>
            </w:pPr>
            <w:r w:rsidRPr="00170422">
              <w:rPr>
                <w:noProof/>
                <w:lang w:val="de-DE"/>
              </w:rPr>
              <w:t>Maßnahmen zur Qualifizierung und Innovation von Sekundarschulen und Hochschulprogrammen, einschließlich Doktoranden.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0EBB133"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F9A214" w14:textId="77777777" w:rsidR="0057163C" w:rsidRPr="00170422" w:rsidRDefault="00F37BF9">
            <w:pPr>
              <w:pStyle w:val="P68B1DB1-Normal11"/>
              <w:jc w:val="center"/>
              <w:rPr>
                <w:noProof/>
                <w:szCs w:val="20"/>
                <w:lang w:val="de-DE"/>
              </w:rPr>
            </w:pPr>
            <w:r w:rsidRPr="00170422">
              <w:rPr>
                <w:noProof/>
                <w:lang w:val="de-DE"/>
              </w:rPr>
              <w:t>ENTFÄLLT.</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CBCE15" w14:textId="77777777" w:rsidR="0057163C" w:rsidRPr="00170422" w:rsidRDefault="0057163C">
            <w:pPr>
              <w:jc w:val="center"/>
              <w:rPr>
                <w:rFonts w:ascii="Arial Narrow" w:hAnsi="Arial Narrow"/>
                <w:noProof/>
                <w:color w:val="006100"/>
                <w:sz w:val="20"/>
                <w:szCs w:val="20"/>
                <w:lang w:val="de-DE"/>
              </w:rPr>
            </w:pP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DC18A" w14:textId="77777777" w:rsidR="0057163C" w:rsidRPr="00170422" w:rsidRDefault="0057163C">
            <w:pPr>
              <w:jc w:val="center"/>
              <w:rPr>
                <w:rFonts w:ascii="Arial Narrow" w:hAnsi="Arial Narrow"/>
                <w:noProof/>
                <w:color w:val="006100"/>
                <w:sz w:val="20"/>
                <w:szCs w:val="20"/>
                <w:lang w:val="de-DE"/>
              </w:rPr>
            </w:pP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E690AB" w14:textId="77777777" w:rsidR="0057163C" w:rsidRPr="00170422" w:rsidRDefault="00F37BF9">
            <w:pPr>
              <w:pStyle w:val="P68B1DB1-Normal11"/>
              <w:jc w:val="center"/>
              <w:rPr>
                <w:noProof/>
                <w:szCs w:val="20"/>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448B92E" w14:textId="77777777" w:rsidR="0057163C" w:rsidRPr="00170422" w:rsidRDefault="00F37BF9">
            <w:pPr>
              <w:pStyle w:val="P68B1DB1-Normal11"/>
              <w:jc w:val="center"/>
              <w:rPr>
                <w:noProof/>
                <w:szCs w:val="20"/>
                <w:lang w:val="de-DE"/>
              </w:rPr>
            </w:pPr>
            <w:r w:rsidRPr="00170422">
              <w:rPr>
                <w:noProof/>
                <w:lang w:val="de-DE"/>
              </w:rPr>
              <w:t>2026</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F4D101" w14:textId="77777777" w:rsidR="0057163C" w:rsidRPr="00170422" w:rsidRDefault="00F37BF9">
            <w:pPr>
              <w:pStyle w:val="P68B1DB1-Normal12"/>
              <w:rPr>
                <w:noProof/>
                <w:lang w:val="de-DE"/>
              </w:rPr>
            </w:pPr>
            <w:r w:rsidRPr="00170422">
              <w:rPr>
                <w:noProof/>
                <w:lang w:val="de-DE"/>
              </w:rPr>
              <w:t>Erlass</w:t>
            </w:r>
            <w:r w:rsidRPr="00170422">
              <w:rPr>
                <w:noProof/>
                <w:lang w:val="de-DE"/>
              </w:rPr>
              <w:t xml:space="preserve"> für mindestens 500 neue Doktoranden in Programmen, die von Universitäten mit Schwerpunkt auf dem digitalen und ökologischen Wandel aktiviert werden.</w:t>
            </w:r>
          </w:p>
          <w:p w14:paraId="6F031583" w14:textId="77777777" w:rsidR="0057163C" w:rsidRPr="00170422" w:rsidRDefault="00F37BF9">
            <w:pPr>
              <w:pStyle w:val="P68B1DB1-Normal12"/>
              <w:rPr>
                <w:noProof/>
                <w:lang w:val="de-DE"/>
              </w:rPr>
            </w:pPr>
            <w:r w:rsidRPr="00170422">
              <w:rPr>
                <w:noProof/>
                <w:lang w:val="de-DE"/>
              </w:rPr>
              <w:t xml:space="preserve">Die Vereinbarungen </w:t>
            </w:r>
            <w:r w:rsidRPr="00170422">
              <w:rPr>
                <w:i/>
                <w:noProof/>
                <w:lang w:val="de-DE"/>
              </w:rPr>
              <w:t>(„Atti d’obbligo“)</w:t>
            </w:r>
            <w:r w:rsidRPr="00170422">
              <w:rPr>
                <w:noProof/>
                <w:lang w:val="de-DE"/>
              </w:rPr>
              <w:t xml:space="preserve"> zur finanziellen Unterstützung von drei Zentren für digitale Bildung</w:t>
            </w:r>
            <w:r w:rsidRPr="00170422">
              <w:rPr>
                <w:noProof/>
                <w:lang w:val="de-DE"/>
              </w:rPr>
              <w:t xml:space="preserve"> (DEH) werden unterzeichnet. </w:t>
            </w:r>
          </w:p>
          <w:p w14:paraId="645D300F" w14:textId="77777777" w:rsidR="0057163C" w:rsidRPr="00170422" w:rsidRDefault="00F37BF9">
            <w:pPr>
              <w:pStyle w:val="P68B1DB1-Normal12"/>
              <w:rPr>
                <w:noProof/>
                <w:lang w:val="de-DE"/>
              </w:rPr>
            </w:pPr>
            <w:r w:rsidRPr="00170422">
              <w:rPr>
                <w:noProof/>
                <w:lang w:val="de-DE"/>
              </w:rPr>
              <w:t xml:space="preserve">Die Vereinbarungen </w:t>
            </w:r>
            <w:r w:rsidRPr="00170422">
              <w:rPr>
                <w:i/>
                <w:noProof/>
                <w:lang w:val="de-DE"/>
              </w:rPr>
              <w:t>(„Atti d’obbligo“)</w:t>
            </w:r>
            <w:r w:rsidRPr="00170422">
              <w:rPr>
                <w:noProof/>
                <w:lang w:val="de-DE"/>
              </w:rPr>
              <w:t xml:space="preserve"> für drei Hochschulnetzwerke werden unterzeichnet...</w:t>
            </w:r>
          </w:p>
          <w:p w14:paraId="660997D3" w14:textId="224DC850" w:rsidR="0057163C" w:rsidRPr="00170422" w:rsidRDefault="00F37BF9">
            <w:pPr>
              <w:pStyle w:val="P68B1DB1-Normal12"/>
              <w:rPr>
                <w:noProof/>
                <w:lang w:val="de-DE"/>
              </w:rPr>
            </w:pPr>
            <w:r w:rsidRPr="00170422">
              <w:rPr>
                <w:noProof/>
                <w:lang w:val="de-DE"/>
              </w:rPr>
              <w:t xml:space="preserve">Es werden mindestens zehn Partnerschaften unterzeichnet, die durch die </w:t>
            </w:r>
            <w:r w:rsidRPr="00170422">
              <w:rPr>
                <w:i/>
                <w:noProof/>
                <w:lang w:val="de-DE"/>
              </w:rPr>
              <w:t>Initiative „Atti</w:t>
            </w:r>
            <w:r w:rsidRPr="00170422">
              <w:rPr>
                <w:noProof/>
                <w:lang w:val="de-DE"/>
              </w:rPr>
              <w:t>d’obbligo“ zur Einrichtung transnationaler Bildun</w:t>
            </w:r>
            <w:r w:rsidRPr="00170422">
              <w:rPr>
                <w:noProof/>
                <w:lang w:val="de-DE"/>
              </w:rPr>
              <w:t xml:space="preserve">gsinitiativen belegt wurden. </w:t>
            </w:r>
          </w:p>
          <w:p w14:paraId="19125478" w14:textId="77777777" w:rsidR="0057163C" w:rsidRPr="00170422" w:rsidRDefault="00F37BF9">
            <w:pPr>
              <w:pStyle w:val="P68B1DB1-Normal12"/>
              <w:rPr>
                <w:rFonts w:eastAsia="Calibri"/>
                <w:noProof/>
                <w:lang w:val="de-DE"/>
              </w:rPr>
            </w:pPr>
            <w:r w:rsidRPr="00170422">
              <w:rPr>
                <w:noProof/>
                <w:lang w:val="de-DE"/>
              </w:rPr>
              <w:t>Die Vereinbarungen (</w:t>
            </w:r>
            <w:r w:rsidRPr="00170422">
              <w:rPr>
                <w:i/>
                <w:noProof/>
                <w:lang w:val="de-DE"/>
              </w:rPr>
              <w:t>„Atti d’obbligo</w:t>
            </w:r>
            <w:r w:rsidRPr="00170422">
              <w:rPr>
                <w:noProof/>
                <w:lang w:val="de-DE"/>
              </w:rPr>
              <w:t>“) zur finanziellen Unterstützung von mindestens 15 Internationalisierungsprojekten von AFAM-Einrichtungen werden unterzeichnet.</w:t>
            </w:r>
          </w:p>
        </w:tc>
      </w:tr>
      <w:tr w:rsidR="0057163C" w:rsidRPr="00170422" w14:paraId="00C0F9CC" w14:textId="77777777" w:rsidTr="00E17A5C">
        <w:trPr>
          <w:trHeight w:val="300"/>
        </w:trPr>
        <w:tc>
          <w:tcPr>
            <w:tcW w:w="11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718161" w14:textId="77777777" w:rsidR="0057163C" w:rsidRPr="00170422" w:rsidRDefault="00F37BF9">
            <w:pPr>
              <w:pStyle w:val="P68B1DB1-Normal12"/>
              <w:jc w:val="center"/>
              <w:rPr>
                <w:noProof/>
                <w:lang w:val="de-DE"/>
              </w:rPr>
            </w:pPr>
            <w:r w:rsidRPr="00170422">
              <w:rPr>
                <w:noProof/>
                <w:lang w:val="de-DE"/>
              </w:rPr>
              <w:t>M4C1-24</w:t>
            </w:r>
          </w:p>
        </w:tc>
        <w:tc>
          <w:tcPr>
            <w:tcW w:w="188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7D5FDA" w14:textId="77777777" w:rsidR="0057163C" w:rsidRPr="00170422" w:rsidRDefault="00F37BF9">
            <w:pPr>
              <w:pStyle w:val="P68B1DB1-Normal11"/>
              <w:jc w:val="center"/>
              <w:rPr>
                <w:noProof/>
                <w:lang w:val="de-DE"/>
              </w:rPr>
            </w:pPr>
            <w:r w:rsidRPr="00170422">
              <w:rPr>
                <w:noProof/>
                <w:lang w:val="de-DE"/>
              </w:rPr>
              <w:t xml:space="preserve">Investition 1.6: Aktive Orientierung beim Übergang </w:t>
            </w:r>
            <w:r w:rsidRPr="00170422">
              <w:rPr>
                <w:noProof/>
                <w:lang w:val="de-DE"/>
              </w:rPr>
              <w:t>zwischen Schule und Hochschule.</w:t>
            </w:r>
          </w:p>
        </w:tc>
        <w:tc>
          <w:tcPr>
            <w:tcW w:w="12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D2DA1A" w14:textId="77777777" w:rsidR="0057163C" w:rsidRPr="00170422" w:rsidRDefault="00F37BF9">
            <w:pPr>
              <w:pStyle w:val="P68B1DB1-Normal11"/>
              <w:jc w:val="center"/>
              <w:rPr>
                <w:noProof/>
                <w:lang w:val="de-DE"/>
              </w:rPr>
            </w:pPr>
            <w:r w:rsidRPr="00170422">
              <w:rPr>
                <w:noProof/>
                <w:lang w:val="de-DE"/>
              </w:rPr>
              <w:t>Ziel</w:t>
            </w:r>
          </w:p>
        </w:tc>
        <w:tc>
          <w:tcPr>
            <w:tcW w:w="149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060238" w14:textId="1D0A60DC" w:rsidR="0057163C" w:rsidRPr="00170422" w:rsidRDefault="00F37BF9">
            <w:pPr>
              <w:pStyle w:val="P68B1DB1-Normal12"/>
              <w:jc w:val="center"/>
              <w:rPr>
                <w:noProof/>
                <w:lang w:val="de-DE"/>
              </w:rPr>
            </w:pPr>
            <w:r w:rsidRPr="00170422">
              <w:rPr>
                <w:noProof/>
                <w:lang w:val="de-DE"/>
              </w:rPr>
              <w:t>Teilnahmebescheinigungen, die für Übergangskurse zwischen Schulen und Hochschulen ausgestellt wurden</w:t>
            </w:r>
          </w:p>
        </w:tc>
        <w:tc>
          <w:tcPr>
            <w:tcW w:w="147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8FF1F8" w14:textId="77777777" w:rsidR="0057163C" w:rsidRPr="00170422" w:rsidRDefault="00F37BF9">
            <w:pPr>
              <w:pStyle w:val="P68B1DB1-Normal11"/>
              <w:jc w:val="center"/>
              <w:rPr>
                <w:noProof/>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425F7B" w14:textId="77777777" w:rsidR="0057163C" w:rsidRPr="00170422" w:rsidRDefault="00F37BF9">
            <w:pPr>
              <w:pStyle w:val="P68B1DB1-Normal11"/>
              <w:jc w:val="center"/>
              <w:rPr>
                <w:noProof/>
                <w:lang w:val="de-DE"/>
              </w:rPr>
            </w:pPr>
            <w:r w:rsidRPr="00170422">
              <w:rPr>
                <w:noProof/>
                <w:lang w:val="de-DE"/>
              </w:rPr>
              <w:t>Anzahl</w:t>
            </w:r>
          </w:p>
        </w:tc>
        <w:tc>
          <w:tcPr>
            <w:tcW w:w="144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55C7DA" w14:textId="77777777" w:rsidR="0057163C" w:rsidRPr="00170422" w:rsidRDefault="00F37BF9">
            <w:pPr>
              <w:pStyle w:val="P68B1DB1-Normal11"/>
              <w:jc w:val="center"/>
              <w:rPr>
                <w:noProof/>
                <w:lang w:val="de-DE"/>
              </w:rPr>
            </w:pPr>
            <w:r w:rsidRPr="00170422">
              <w:rPr>
                <w:noProof/>
                <w:lang w:val="de-DE"/>
              </w:rPr>
              <w:t>0</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E0CBB0" w14:textId="77777777" w:rsidR="0057163C" w:rsidRPr="00170422" w:rsidRDefault="00F37BF9">
            <w:pPr>
              <w:pStyle w:val="P68B1DB1-Normal11"/>
              <w:jc w:val="center"/>
              <w:rPr>
                <w:noProof/>
                <w:lang w:val="de-DE"/>
              </w:rPr>
            </w:pPr>
            <w:r w:rsidRPr="00170422">
              <w:rPr>
                <w:noProof/>
                <w:lang w:val="de-DE"/>
              </w:rPr>
              <w:t>1 000 000</w:t>
            </w:r>
          </w:p>
        </w:tc>
        <w:tc>
          <w:tcPr>
            <w:tcW w:w="82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F30271" w14:textId="77777777" w:rsidR="0057163C" w:rsidRPr="00170422" w:rsidRDefault="00F37BF9">
            <w:pPr>
              <w:pStyle w:val="P68B1DB1-Normal11"/>
              <w:jc w:val="center"/>
              <w:rPr>
                <w:noProof/>
                <w:lang w:val="de-DE"/>
              </w:rPr>
            </w:pPr>
            <w:r w:rsidRPr="00170422">
              <w:rPr>
                <w:noProof/>
                <w:lang w:val="de-DE"/>
              </w:rPr>
              <w:t>Q2</w:t>
            </w:r>
          </w:p>
        </w:tc>
        <w:tc>
          <w:tcPr>
            <w:tcW w:w="7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B18B47" w14:textId="77777777" w:rsidR="0057163C" w:rsidRPr="00170422" w:rsidRDefault="00F37BF9">
            <w:pPr>
              <w:pStyle w:val="P68B1DB1-Normal11"/>
              <w:jc w:val="center"/>
              <w:rPr>
                <w:noProof/>
                <w:lang w:val="de-DE"/>
              </w:rPr>
            </w:pPr>
            <w:r w:rsidRPr="00170422">
              <w:rPr>
                <w:noProof/>
                <w:lang w:val="de-DE"/>
              </w:rPr>
              <w:t>2026</w:t>
            </w:r>
          </w:p>
        </w:tc>
        <w:tc>
          <w:tcPr>
            <w:tcW w:w="243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392804" w14:textId="77777777" w:rsidR="0057163C" w:rsidRPr="00170422" w:rsidRDefault="00F37BF9">
            <w:pPr>
              <w:pStyle w:val="P68B1DB1-Normal12"/>
              <w:rPr>
                <w:noProof/>
                <w:lang w:val="de-DE"/>
              </w:rPr>
            </w:pPr>
            <w:r w:rsidRPr="00170422">
              <w:rPr>
                <w:noProof/>
                <w:lang w:val="de-DE"/>
              </w:rPr>
              <w:t xml:space="preserve">Für Schüler der Sekundarstufe, die von 2022/2023 bis 2025/2026 in Schuljahren </w:t>
            </w:r>
            <w:r w:rsidRPr="00170422">
              <w:rPr>
                <w:noProof/>
                <w:lang w:val="de-DE"/>
              </w:rPr>
              <w:t>eingeschrieben sind, wurden mindestens 1000000 Teilnahmebescheinigungen ausgestellt.</w:t>
            </w:r>
          </w:p>
        </w:tc>
      </w:tr>
    </w:tbl>
    <w:p w14:paraId="063BC082" w14:textId="77777777" w:rsidR="0057163C" w:rsidRPr="00170422" w:rsidRDefault="0057163C">
      <w:pPr>
        <w:tabs>
          <w:tab w:val="left" w:pos="3045"/>
        </w:tabs>
        <w:spacing w:before="120" w:after="120"/>
        <w:jc w:val="both"/>
        <w:rPr>
          <w:b/>
          <w:noProof/>
          <w:u w:val="single"/>
          <w:lang w:val="de-DE"/>
        </w:rPr>
        <w:sectPr w:rsidR="0057163C" w:rsidRPr="00170422" w:rsidSect="005F11B9">
          <w:headerReference w:type="even" r:id="rId178"/>
          <w:headerReference w:type="default" r:id="rId179"/>
          <w:footerReference w:type="even" r:id="rId180"/>
          <w:footerReference w:type="default" r:id="rId181"/>
          <w:headerReference w:type="first" r:id="rId182"/>
          <w:footerReference w:type="first" r:id="rId183"/>
          <w:pgSz w:w="16839" w:h="11907" w:orient="landscape"/>
          <w:pgMar w:top="1134" w:right="1134" w:bottom="1134" w:left="1134" w:header="567" w:footer="567" w:gutter="0"/>
          <w:cols w:space="720"/>
          <w:docGrid w:linePitch="360"/>
        </w:sectPr>
      </w:pPr>
    </w:p>
    <w:p w14:paraId="3D54F3F3" w14:textId="77777777" w:rsidR="0057163C" w:rsidRPr="00170422" w:rsidRDefault="00F37BF9">
      <w:pPr>
        <w:pStyle w:val="Heading3"/>
        <w:ind w:left="850" w:hanging="850"/>
        <w:rPr>
          <w:rFonts w:ascii="Times New Roman" w:hAnsi="Times New Roman" w:cs="Times New Roman"/>
          <w:i/>
          <w:noProof/>
          <w:sz w:val="24"/>
          <w:szCs w:val="24"/>
          <w:lang w:val="de-DE"/>
        </w:rPr>
      </w:pPr>
      <w:r w:rsidRPr="00170422">
        <w:rPr>
          <w:rStyle w:val="normaltextrun"/>
          <w:rFonts w:ascii="Times New Roman" w:hAnsi="Times New Roman" w:cs="Times New Roman"/>
          <w:b/>
          <w:noProof/>
          <w:sz w:val="24"/>
          <w:szCs w:val="24"/>
          <w:u w:val="single"/>
          <w:lang w:val="de-DE"/>
        </w:rPr>
        <w:t>J.3. Beschreibung der Reformen und Investitionen (Darlehen)</w:t>
      </w:r>
      <w:r w:rsidRPr="00170422">
        <w:rPr>
          <w:rStyle w:val="eop"/>
          <w:rFonts w:ascii="Times New Roman" w:hAnsi="Times New Roman" w:cs="Times New Roman"/>
          <w:noProof/>
          <w:sz w:val="24"/>
          <w:szCs w:val="24"/>
          <w:lang w:val="de-DE"/>
        </w:rPr>
        <w:t xml:space="preserve"> </w:t>
      </w:r>
    </w:p>
    <w:p w14:paraId="7F1F8381" w14:textId="77777777" w:rsidR="0057163C" w:rsidRPr="00170422" w:rsidRDefault="00F37BF9">
      <w:pPr>
        <w:pStyle w:val="paragraph"/>
        <w:spacing w:before="0" w:beforeAutospacing="0" w:after="0" w:afterAutospacing="0"/>
        <w:jc w:val="both"/>
        <w:textAlignment w:val="baseline"/>
        <w:rPr>
          <w:rStyle w:val="normaltextrun"/>
          <w:rFonts w:ascii="Segoe UI" w:hAnsi="Segoe UI" w:cs="Segoe UI"/>
          <w:noProof/>
          <w:sz w:val="18"/>
          <w:szCs w:val="18"/>
          <w:lang w:val="de-DE"/>
        </w:rPr>
      </w:pPr>
      <w:r w:rsidRPr="00170422">
        <w:rPr>
          <w:rStyle w:val="eop"/>
          <w:noProof/>
          <w:lang w:val="de-DE"/>
        </w:rPr>
        <w:t xml:space="preserve"> </w:t>
      </w:r>
    </w:p>
    <w:p w14:paraId="7704DEBA" w14:textId="57CFDD16" w:rsidR="0057163C" w:rsidRPr="00170422" w:rsidRDefault="00F37BF9">
      <w:pPr>
        <w:pStyle w:val="paragraph"/>
        <w:spacing w:before="0" w:beforeAutospacing="0" w:after="0" w:afterAutospacing="0"/>
        <w:jc w:val="both"/>
        <w:textAlignment w:val="baseline"/>
        <w:rPr>
          <w:rFonts w:ascii="Segoe UI" w:hAnsi="Segoe UI" w:cs="Segoe UI"/>
          <w:noProof/>
          <w:sz w:val="18"/>
          <w:szCs w:val="18"/>
          <w:lang w:val="de-DE"/>
        </w:rPr>
      </w:pPr>
      <w:r w:rsidRPr="00170422">
        <w:rPr>
          <w:rStyle w:val="normaltextrun"/>
          <w:b/>
          <w:noProof/>
          <w:lang w:val="de-DE"/>
        </w:rPr>
        <w:t xml:space="preserve">Reform 1.7: Reform der Regelung für den Studentenwohnsitz und Investitionen in den Studentenwohnsitz </w:t>
      </w:r>
    </w:p>
    <w:p w14:paraId="10E170F2" w14:textId="77777777" w:rsidR="0057163C" w:rsidRPr="00170422" w:rsidRDefault="0057163C">
      <w:pPr>
        <w:pStyle w:val="paragraph"/>
        <w:spacing w:before="0" w:beforeAutospacing="0" w:after="0" w:afterAutospacing="0"/>
        <w:jc w:val="both"/>
        <w:textAlignment w:val="baseline"/>
        <w:rPr>
          <w:rStyle w:val="normaltextrun"/>
          <w:noProof/>
          <w:sz w:val="22"/>
          <w:szCs w:val="22"/>
          <w:lang w:val="de-DE"/>
        </w:rPr>
      </w:pPr>
    </w:p>
    <w:p w14:paraId="33B6B2A1" w14:textId="3AD17891" w:rsidR="0057163C" w:rsidRPr="00170422" w:rsidRDefault="00F37BF9">
      <w:pPr>
        <w:pStyle w:val="paragraph"/>
        <w:spacing w:before="0" w:beforeAutospacing="0" w:after="120" w:afterAutospacing="0"/>
        <w:jc w:val="both"/>
        <w:rPr>
          <w:rFonts w:ascii="Segoe UI" w:hAnsi="Segoe UI" w:cs="Segoe UI"/>
          <w:noProof/>
          <w:sz w:val="22"/>
          <w:szCs w:val="22"/>
          <w:lang w:val="de-DE"/>
        </w:rPr>
      </w:pPr>
      <w:r w:rsidRPr="00170422">
        <w:rPr>
          <w:rStyle w:val="normaltextrun"/>
          <w:noProof/>
          <w:sz w:val="22"/>
          <w:szCs w:val="22"/>
          <w:lang w:val="de-DE"/>
        </w:rPr>
        <w:t>Ziel der Reform ist es, die Unterbringung von Hochschulstudenten zu verbessern, indem private und öffentliche Investitionen in Einrichtungen gefördert we</w:t>
      </w:r>
      <w:r w:rsidRPr="00170422">
        <w:rPr>
          <w:rStyle w:val="normaltextrun"/>
          <w:noProof/>
          <w:sz w:val="22"/>
          <w:szCs w:val="22"/>
          <w:lang w:val="de-DE"/>
        </w:rPr>
        <w:t xml:space="preserve">rden, wobei das Ministerium für Universität und Forschung einen Beitrag leistet. </w:t>
      </w:r>
    </w:p>
    <w:p w14:paraId="02EFA59B" w14:textId="77777777" w:rsidR="0057163C" w:rsidRPr="00170422" w:rsidRDefault="00F37BF9">
      <w:pPr>
        <w:pStyle w:val="paragraph"/>
        <w:spacing w:before="0" w:beforeAutospacing="0" w:after="120" w:afterAutospacing="0"/>
        <w:jc w:val="both"/>
        <w:textAlignment w:val="baseline"/>
        <w:rPr>
          <w:rFonts w:ascii="Segoe UI" w:hAnsi="Segoe UI" w:cs="Segoe UI"/>
          <w:noProof/>
          <w:sz w:val="22"/>
          <w:szCs w:val="22"/>
          <w:lang w:val="de-DE"/>
        </w:rPr>
      </w:pPr>
      <w:r w:rsidRPr="00170422">
        <w:rPr>
          <w:rStyle w:val="normaltextrun"/>
          <w:noProof/>
          <w:sz w:val="22"/>
          <w:szCs w:val="22"/>
          <w:lang w:val="de-DE"/>
        </w:rPr>
        <w:t xml:space="preserve">Die Investition besteht in der Bereitstellung zusätzlicher Unterkünfte für Studierende. </w:t>
      </w:r>
    </w:p>
    <w:p w14:paraId="3EB0D9FD" w14:textId="77777777" w:rsidR="0057163C" w:rsidRPr="00170422" w:rsidRDefault="00F37BF9">
      <w:pPr>
        <w:pStyle w:val="P68B1DB1-Normal5"/>
        <w:spacing w:before="120" w:after="120"/>
        <w:jc w:val="both"/>
        <w:rPr>
          <w:noProof/>
          <w:lang w:val="de-DE"/>
        </w:rPr>
      </w:pPr>
      <w:r w:rsidRPr="00170422">
        <w:rPr>
          <w:noProof/>
          <w:lang w:val="de-DE"/>
        </w:rPr>
        <w:t>Investition 1.1: Plan für Kinderkrippen und Vorschulen sowie frühkindliche Betreuung,</w:t>
      </w:r>
      <w:r w:rsidRPr="00170422">
        <w:rPr>
          <w:noProof/>
          <w:lang w:val="de-DE"/>
        </w:rPr>
        <w:t xml:space="preserve"> Bildung und Erziehung</w:t>
      </w:r>
    </w:p>
    <w:p w14:paraId="21A79EF9" w14:textId="588E247F" w:rsidR="0057163C" w:rsidRPr="00170422" w:rsidRDefault="00F37BF9">
      <w:pPr>
        <w:pStyle w:val="P68B1DB1-Normal7"/>
        <w:spacing w:before="120" w:after="120"/>
        <w:jc w:val="both"/>
        <w:rPr>
          <w:noProof/>
          <w:lang w:val="de-DE"/>
        </w:rPr>
      </w:pPr>
      <w:r w:rsidRPr="00170422">
        <w:rPr>
          <w:noProof/>
          <w:lang w:val="de-DE"/>
        </w:rPr>
        <w:t>Ziel dieser Investition ist der Ausbau und die Verbesserung der Bildungseinrichtungen für Kinder im Alter von 0 bis 6 Jahren. Die Investition besteht in den Bau, Umbau und Renovierung von Kinderbetreuungsplätzen in Kindergärten und V</w:t>
      </w:r>
      <w:r w:rsidRPr="00170422">
        <w:rPr>
          <w:noProof/>
          <w:lang w:val="de-DE"/>
        </w:rPr>
        <w:t>orschulen.</w:t>
      </w:r>
    </w:p>
    <w:p w14:paraId="368A7BB1" w14:textId="77777777" w:rsidR="0057163C" w:rsidRPr="00170422" w:rsidRDefault="00F37BF9">
      <w:pPr>
        <w:pStyle w:val="P68B1DB1-Normal5"/>
        <w:spacing w:before="120" w:after="120"/>
        <w:jc w:val="both"/>
        <w:rPr>
          <w:noProof/>
          <w:lang w:val="de-DE"/>
        </w:rPr>
      </w:pPr>
      <w:r w:rsidRPr="00170422">
        <w:rPr>
          <w:noProof/>
          <w:lang w:val="de-DE"/>
        </w:rPr>
        <w:t>Investition 1.2: Plan für die Verlängerung der Vollzeitbeschäftigung</w:t>
      </w:r>
    </w:p>
    <w:p w14:paraId="79B808D8" w14:textId="77777777" w:rsidR="0057163C" w:rsidRPr="00170422" w:rsidRDefault="00F37BF9">
      <w:pPr>
        <w:pStyle w:val="P68B1DB1-Normal7"/>
        <w:spacing w:before="120" w:after="120"/>
        <w:jc w:val="both"/>
        <w:rPr>
          <w:b/>
          <w:noProof/>
          <w:lang w:val="de-DE"/>
        </w:rPr>
      </w:pPr>
      <w:r w:rsidRPr="00170422">
        <w:rPr>
          <w:noProof/>
          <w:lang w:val="de-DE"/>
        </w:rPr>
        <w:t>Ziel dieser Maßnahme ist es, die Schuleinrichtungen in die Lage zu versetzen, die Schulzeiten zu verlängern, indem geeignete Infrastrukturen renoviert oder gebaut werden. Die I</w:t>
      </w:r>
      <w:r w:rsidRPr="00170422">
        <w:rPr>
          <w:noProof/>
          <w:lang w:val="de-DE"/>
        </w:rPr>
        <w:t>nvestition besteht in der Errichtung oder dem Bau von Kantinenräumen in Schuleinrichtungen.</w:t>
      </w:r>
      <w:r w:rsidRPr="00170422">
        <w:rPr>
          <w:b/>
          <w:noProof/>
          <w:lang w:val="de-DE"/>
        </w:rPr>
        <w:t xml:space="preserve"> </w:t>
      </w:r>
    </w:p>
    <w:p w14:paraId="2438349E" w14:textId="77777777" w:rsidR="0057163C" w:rsidRPr="00170422" w:rsidRDefault="00F37BF9">
      <w:pPr>
        <w:pStyle w:val="P68B1DB1-Normal5"/>
        <w:spacing w:before="120" w:after="120"/>
        <w:jc w:val="both"/>
        <w:rPr>
          <w:noProof/>
          <w:lang w:val="de-DE"/>
        </w:rPr>
      </w:pPr>
      <w:r w:rsidRPr="00170422">
        <w:rPr>
          <w:noProof/>
          <w:lang w:val="de-DE"/>
        </w:rPr>
        <w:t>Investition 3.3: Plan für Sicherheit und strukturelle Sanierung von Schulgebäuden</w:t>
      </w:r>
    </w:p>
    <w:p w14:paraId="18411604" w14:textId="40D896C8" w:rsidR="0057163C" w:rsidRPr="00170422" w:rsidRDefault="00F37BF9">
      <w:pPr>
        <w:pStyle w:val="P68B1DB1-Normal7"/>
        <w:spacing w:before="120" w:after="120"/>
        <w:jc w:val="both"/>
        <w:rPr>
          <w:rStyle w:val="eop"/>
          <w:noProof/>
          <w:lang w:val="de-DE"/>
        </w:rPr>
      </w:pPr>
      <w:r w:rsidRPr="00170422">
        <w:rPr>
          <w:noProof/>
          <w:lang w:val="de-DE"/>
        </w:rPr>
        <w:t>Ziel der Maßnahme ist es, die Sicherheit und Energieeffizienz von Schulgebäuden z</w:t>
      </w:r>
      <w:r w:rsidRPr="00170422">
        <w:rPr>
          <w:noProof/>
          <w:lang w:val="de-DE"/>
        </w:rPr>
        <w:t>u erhöhen. Diese Maßnahme umfasst die Renovierung und den Wiederaufbau von Schulgebäuden.</w:t>
      </w:r>
    </w:p>
    <w:p w14:paraId="13F64FE1" w14:textId="77777777" w:rsidR="0057163C" w:rsidRPr="00170422" w:rsidRDefault="00F37BF9">
      <w:pPr>
        <w:pStyle w:val="P68B1DB1-Normal5"/>
        <w:jc w:val="both"/>
        <w:rPr>
          <w:bCs/>
          <w:noProof/>
          <w:lang w:val="de-DE"/>
        </w:rPr>
      </w:pPr>
      <w:r w:rsidRPr="00170422">
        <w:rPr>
          <w:noProof/>
          <w:lang w:val="de-DE"/>
        </w:rPr>
        <w:t>Investition 5: Stipendiatenwohnungsfonds</w:t>
      </w:r>
    </w:p>
    <w:p w14:paraId="6B631598" w14:textId="77777777" w:rsidR="0057163C" w:rsidRPr="00170422" w:rsidRDefault="00F37BF9">
      <w:pPr>
        <w:pStyle w:val="P68B1DB1-Normal7"/>
        <w:spacing w:line="240" w:lineRule="auto"/>
        <w:jc w:val="both"/>
        <w:rPr>
          <w:noProof/>
          <w:lang w:val="de-DE"/>
        </w:rPr>
      </w:pPr>
      <w:r w:rsidRPr="00170422">
        <w:rPr>
          <w:noProof/>
          <w:lang w:val="de-DE"/>
        </w:rPr>
        <w:t>Diese Maßnahme besteht aus einer öffentlichen Investition in ein Stipendienprogramm,</w:t>
      </w:r>
      <w:r w:rsidRPr="00170422">
        <w:rPr>
          <w:noProof/>
          <w:lang w:val="de-DE"/>
        </w:rPr>
        <w:t xml:space="preserve"> um Anreize für private Investitionen zu schaffen und den Zugang zu Finanzmitteln in Italien im Bereich des Studentenwohnungssektors zu verbessern. Im Rahmen der Regelung werden Zuschüsse direkt an den privaten Sektor sowie an öffentliche Stellen, die ähnl</w:t>
      </w:r>
      <w:r w:rsidRPr="00170422">
        <w:rPr>
          <w:noProof/>
          <w:lang w:val="de-DE"/>
        </w:rPr>
        <w:t xml:space="preserve">iche Tätigkeiten ausüben, gewährt. </w:t>
      </w:r>
    </w:p>
    <w:p w14:paraId="53406486" w14:textId="77777777" w:rsidR="0057163C" w:rsidRPr="00170422" w:rsidRDefault="00F37BF9">
      <w:pPr>
        <w:pStyle w:val="P68B1DB1-Normal7"/>
        <w:spacing w:line="240" w:lineRule="auto"/>
        <w:jc w:val="both"/>
        <w:rPr>
          <w:noProof/>
          <w:lang w:val="de-DE"/>
        </w:rPr>
      </w:pPr>
      <w:r w:rsidRPr="00170422">
        <w:rPr>
          <w:noProof/>
          <w:lang w:val="de-DE"/>
        </w:rPr>
        <w:t>Das System wird von der Cassa Depositi e Prestiti S.p.A. (CDP S.p.A.) als Durchführungspartner verwaltet. Die Regelung umfasst die folgende Warenlinie:</w:t>
      </w:r>
    </w:p>
    <w:p w14:paraId="685D4FB4" w14:textId="55796BF2" w:rsidR="0057163C" w:rsidRPr="00170422" w:rsidRDefault="00F37BF9">
      <w:pPr>
        <w:pStyle w:val="P68B1DB1-ListParagraph37"/>
        <w:keepNext/>
        <w:numPr>
          <w:ilvl w:val="0"/>
          <w:numId w:val="73"/>
        </w:numPr>
        <w:spacing w:line="240" w:lineRule="auto"/>
        <w:jc w:val="both"/>
        <w:rPr>
          <w:noProof/>
          <w:lang w:val="de-DE"/>
        </w:rPr>
      </w:pPr>
      <w:r w:rsidRPr="00170422">
        <w:rPr>
          <w:noProof/>
          <w:lang w:val="de-DE"/>
        </w:rPr>
        <w:t xml:space="preserve">Ein Pauschalbetrag von höchstens 20 000 EUR für Schülerbetten. </w:t>
      </w:r>
    </w:p>
    <w:p w14:paraId="5EC7A33A" w14:textId="77777777" w:rsidR="0057163C" w:rsidRPr="00170422" w:rsidRDefault="00F37BF9">
      <w:pPr>
        <w:pStyle w:val="P68B1DB1-Normal7"/>
        <w:spacing w:line="240" w:lineRule="auto"/>
        <w:jc w:val="both"/>
        <w:rPr>
          <w:noProof/>
          <w:lang w:val="de-DE"/>
        </w:rPr>
      </w:pPr>
      <w:r w:rsidRPr="00170422">
        <w:rPr>
          <w:noProof/>
          <w:lang w:val="de-DE"/>
        </w:rPr>
        <w:t xml:space="preserve">Zur </w:t>
      </w:r>
      <w:r w:rsidRPr="00170422">
        <w:rPr>
          <w:noProof/>
          <w:lang w:val="de-DE"/>
        </w:rPr>
        <w:t>Durchführung der Investition in die Regelung unterzeichnen Italien und CDP S.p.A. ein Durchführungsabkommen, das Folgendes enthält:</w:t>
      </w:r>
    </w:p>
    <w:p w14:paraId="2BCDC50F" w14:textId="77777777" w:rsidR="0057163C" w:rsidRPr="00170422" w:rsidRDefault="00F37BF9">
      <w:pPr>
        <w:pStyle w:val="P68B1DB1-LegalNumPar79"/>
        <w:numPr>
          <w:ilvl w:val="0"/>
          <w:numId w:val="172"/>
        </w:numPr>
        <w:spacing w:line="259" w:lineRule="auto"/>
        <w:jc w:val="both"/>
        <w:rPr>
          <w:rFonts w:eastAsia="Times New Roman"/>
          <w:noProof/>
          <w:lang w:val="de-DE"/>
        </w:rPr>
      </w:pPr>
      <w:r w:rsidRPr="00170422">
        <w:rPr>
          <w:noProof/>
          <w:lang w:val="de-DE"/>
        </w:rPr>
        <w:t>Beschreibung des Entscheidungsprozesses der Regelung: Die endgültige Entscheidung über die Vergabe des Systems wird von eine</w:t>
      </w:r>
      <w:r w:rsidRPr="00170422">
        <w:rPr>
          <w:noProof/>
          <w:lang w:val="de-DE"/>
        </w:rPr>
        <w:t>m Investitionsausschuss oder einem anderen gleichwertigen Leitungsgremium getroffen und mit der Mehrheit der Stimmen der von der Regierung unabhängigen Mitglieder genehmigt.</w:t>
      </w:r>
    </w:p>
    <w:p w14:paraId="100D93E3" w14:textId="77777777" w:rsidR="0057163C" w:rsidRPr="00170422" w:rsidRDefault="00F37BF9">
      <w:pPr>
        <w:pStyle w:val="P68B1DB1-LegalNumPar79"/>
        <w:numPr>
          <w:ilvl w:val="0"/>
          <w:numId w:val="85"/>
        </w:numPr>
        <w:spacing w:line="259" w:lineRule="auto"/>
        <w:jc w:val="both"/>
        <w:rPr>
          <w:noProof/>
          <w:lang w:val="de-DE"/>
        </w:rPr>
      </w:pPr>
      <w:r w:rsidRPr="00170422">
        <w:rPr>
          <w:noProof/>
          <w:lang w:val="de-DE"/>
        </w:rPr>
        <w:t>Kernanforderungen der damit verbundenen Finanzhilfepolitik,</w:t>
      </w:r>
      <w:r w:rsidRPr="00170422">
        <w:rPr>
          <w:b/>
          <w:noProof/>
          <w:lang w:val="de-DE"/>
        </w:rPr>
        <w:t xml:space="preserve"> </w:t>
      </w:r>
      <w:r w:rsidRPr="00170422">
        <w:rPr>
          <w:noProof/>
          <w:lang w:val="de-DE"/>
        </w:rPr>
        <w:t>die Folgendes umfassen</w:t>
      </w:r>
      <w:r w:rsidRPr="00170422">
        <w:rPr>
          <w:noProof/>
          <w:lang w:val="de-DE"/>
        </w:rPr>
        <w:t>:</w:t>
      </w:r>
    </w:p>
    <w:p w14:paraId="73EF3138" w14:textId="77777777" w:rsidR="0057163C" w:rsidRPr="00170422" w:rsidRDefault="00F37BF9">
      <w:pPr>
        <w:pStyle w:val="P68B1DB1-LegalNumPar280"/>
        <w:numPr>
          <w:ilvl w:val="1"/>
          <w:numId w:val="85"/>
        </w:numPr>
        <w:spacing w:line="259" w:lineRule="auto"/>
        <w:jc w:val="both"/>
        <w:rPr>
          <w:bCs/>
          <w:noProof/>
          <w:lang w:val="de-DE"/>
        </w:rPr>
      </w:pPr>
      <w:r w:rsidRPr="00170422">
        <w:rPr>
          <w:noProof/>
          <w:lang w:val="de-DE"/>
        </w:rPr>
        <w:t>Die sozialen Anforderungen der Investition, einschließlich:</w:t>
      </w:r>
    </w:p>
    <w:p w14:paraId="3A4035AB" w14:textId="47512FCB" w:rsidR="0057163C" w:rsidRPr="00170422" w:rsidRDefault="00F37BF9">
      <w:pPr>
        <w:pStyle w:val="P68B1DB1-LegalNumPar392"/>
        <w:numPr>
          <w:ilvl w:val="2"/>
          <w:numId w:val="85"/>
        </w:numPr>
        <w:spacing w:line="259" w:lineRule="auto"/>
        <w:jc w:val="both"/>
        <w:rPr>
          <w:rFonts w:eastAsia="Calibri"/>
          <w:noProof/>
          <w:lang w:val="de-DE"/>
        </w:rPr>
      </w:pPr>
      <w:r w:rsidRPr="00170422">
        <w:rPr>
          <w:noProof/>
          <w:lang w:val="de-DE"/>
        </w:rPr>
        <w:t>Die Anforderung, dass der Mietzins für Hochschulstudenten mindestens 15 % unter den örtlichen Marktpreisen liegen muss.</w:t>
      </w:r>
    </w:p>
    <w:p w14:paraId="4C57B291" w14:textId="77777777" w:rsidR="0057163C" w:rsidRPr="00170422" w:rsidRDefault="00F37BF9">
      <w:pPr>
        <w:pStyle w:val="P68B1DB1-LegalNumPar392"/>
        <w:numPr>
          <w:ilvl w:val="2"/>
          <w:numId w:val="85"/>
        </w:numPr>
        <w:spacing w:line="259" w:lineRule="auto"/>
        <w:jc w:val="both"/>
        <w:rPr>
          <w:noProof/>
          <w:lang w:val="de-DE"/>
        </w:rPr>
      </w:pPr>
      <w:r w:rsidRPr="00170422">
        <w:rPr>
          <w:noProof/>
          <w:lang w:val="de-DE"/>
        </w:rPr>
        <w:t xml:space="preserve">Die Anforderung, dass 30 % der neuen Plätze Studierenden vorbehalten sein </w:t>
      </w:r>
      <w:r w:rsidRPr="00170422">
        <w:rPr>
          <w:noProof/>
          <w:lang w:val="de-DE"/>
        </w:rPr>
        <w:t>müssen, die gemäß der Definition von „Diritto allo Studio“ (Recht auf Studieneinrichtungen) mit sozioökonomischen Schwierigkeiten konfrontiert sind.</w:t>
      </w:r>
    </w:p>
    <w:p w14:paraId="5B6A4F86" w14:textId="77777777" w:rsidR="0057163C" w:rsidRPr="00170422" w:rsidRDefault="00F37BF9">
      <w:pPr>
        <w:pStyle w:val="P68B1DB1-LegalNumPar392"/>
        <w:spacing w:line="259" w:lineRule="auto"/>
        <w:jc w:val="both"/>
        <w:rPr>
          <w:noProof/>
          <w:lang w:val="de-DE"/>
        </w:rPr>
      </w:pPr>
      <w:r w:rsidRPr="00170422">
        <w:rPr>
          <w:noProof/>
          <w:lang w:val="de-DE"/>
        </w:rPr>
        <w:t>Die Anforderung, dass bestehende Unterkünfte, die zum Zeitpunkt der Einleitung der entsprechenden Aufforder</w:t>
      </w:r>
      <w:r w:rsidRPr="00170422">
        <w:rPr>
          <w:noProof/>
          <w:lang w:val="de-DE"/>
        </w:rPr>
        <w:t>ung zur Einreichung von Projektvorschlägen für die Unterbringung von Studierenden genutzt werden, nicht finanziert werden können.</w:t>
      </w:r>
    </w:p>
    <w:p w14:paraId="1879A245" w14:textId="77777777" w:rsidR="0057163C" w:rsidRPr="00170422" w:rsidRDefault="00F37BF9">
      <w:pPr>
        <w:pStyle w:val="P68B1DB1-LegalNumPar280"/>
        <w:numPr>
          <w:ilvl w:val="1"/>
          <w:numId w:val="85"/>
        </w:numPr>
        <w:spacing w:line="259" w:lineRule="auto"/>
        <w:jc w:val="both"/>
        <w:rPr>
          <w:noProof/>
          <w:lang w:val="de-DE"/>
        </w:rPr>
      </w:pPr>
      <w:r w:rsidRPr="00170422">
        <w:rPr>
          <w:noProof/>
          <w:lang w:val="de-DE"/>
        </w:rPr>
        <w:t xml:space="preserve">Die Beschreibung der gewährten Finanzhilfen und der förderfähigen Endbegünstigten. </w:t>
      </w:r>
    </w:p>
    <w:p w14:paraId="0D52FBB3" w14:textId="77777777" w:rsidR="0057163C" w:rsidRPr="00170422" w:rsidRDefault="00F37BF9">
      <w:pPr>
        <w:pStyle w:val="P68B1DB1-LegalNumPar280"/>
        <w:numPr>
          <w:ilvl w:val="1"/>
          <w:numId w:val="85"/>
        </w:numPr>
        <w:spacing w:line="259" w:lineRule="auto"/>
        <w:jc w:val="both"/>
        <w:rPr>
          <w:noProof/>
          <w:lang w:val="de-DE"/>
        </w:rPr>
      </w:pPr>
      <w:r w:rsidRPr="00170422">
        <w:rPr>
          <w:noProof/>
          <w:lang w:val="de-DE"/>
        </w:rPr>
        <w:t>Die Anforderung, dass alle geförderten Inv</w:t>
      </w:r>
      <w:r w:rsidRPr="00170422">
        <w:rPr>
          <w:noProof/>
          <w:lang w:val="de-DE"/>
        </w:rPr>
        <w:t>estitionen wirtschaftlich tragfähig sind</w:t>
      </w:r>
      <w:r w:rsidRPr="00170422">
        <w:rPr>
          <w:b/>
          <w:noProof/>
          <w:lang w:val="de-DE"/>
        </w:rPr>
        <w:t>.</w:t>
      </w:r>
    </w:p>
    <w:p w14:paraId="438EB235" w14:textId="77777777" w:rsidR="0057163C" w:rsidRPr="00170422" w:rsidRDefault="00F37BF9">
      <w:pPr>
        <w:pStyle w:val="LegalNumPar2"/>
        <w:spacing w:line="259" w:lineRule="auto"/>
        <w:jc w:val="both"/>
        <w:rPr>
          <w:rFonts w:ascii="Times New Roman" w:hAnsi="Times New Roman" w:cs="Times New Roman"/>
          <w:noProof/>
          <w:lang w:val="de-DE"/>
        </w:rPr>
      </w:pPr>
      <w:r w:rsidRPr="00170422">
        <w:rPr>
          <w:rFonts w:ascii="Times New Roman" w:hAnsi="Times New Roman" w:cs="Times New Roman"/>
          <w:noProof/>
          <w:lang w:val="de-DE"/>
        </w:rPr>
        <w:t xml:space="preserve">Die Anforderung, den Grundsatz der „Vermeidung erheblicher Beeinträchtigungen“ (DNSH) gemäß den technischen Leitlinien zur Vermeidung erheblicher Beeinträchtigungen (2021/C58/01) einzuhalten. Insbesondere schließt </w:t>
      </w:r>
      <w:r w:rsidRPr="00170422">
        <w:rPr>
          <w:rFonts w:ascii="Times New Roman" w:hAnsi="Times New Roman" w:cs="Times New Roman"/>
          <w:noProof/>
          <w:lang w:val="de-DE"/>
        </w:rPr>
        <w:t>die Finanzhilfepolitik die folgende Liste von Tätigkeiten und Vermögenswerten von der Förderfähigkeit aus: Tätigkeiten und Vermögenswerte im Zusammenhang mit fossilen Brennstoffen, einschließlich nachgelagerter Nutzung,</w:t>
      </w:r>
      <w:r w:rsidRPr="00170422">
        <w:rPr>
          <w:rFonts w:ascii="Times New Roman" w:hAnsi="Times New Roman" w:cs="Times New Roman"/>
          <w:noProof/>
          <w:vertAlign w:val="superscript"/>
          <w:lang w:val="de-DE"/>
        </w:rPr>
        <w:footnoteReference w:id="73"/>
      </w:r>
      <w:r w:rsidRPr="00170422">
        <w:rPr>
          <w:rFonts w:ascii="Times New Roman" w:hAnsi="Times New Roman" w:cs="Times New Roman"/>
          <w:noProof/>
          <w:lang w:val="de-DE"/>
        </w:rPr>
        <w:t>ii) Tätigkeiten und Vermögenswerte i</w:t>
      </w:r>
      <w:r w:rsidRPr="00170422">
        <w:rPr>
          <w:rFonts w:ascii="Times New Roman" w:hAnsi="Times New Roman" w:cs="Times New Roman"/>
          <w:noProof/>
          <w:lang w:val="de-DE"/>
        </w:rPr>
        <w:t>m Rahmen des EU-Emissionshandelssystems (EHS), mit denen prognostizierte Treibhausgasemissionen erreicht werden, die nicht unter den einschlägigen Richtwerten liegen,</w:t>
      </w:r>
      <w:r w:rsidRPr="00170422">
        <w:rPr>
          <w:rFonts w:ascii="Times New Roman" w:hAnsi="Times New Roman" w:cs="Times New Roman"/>
          <w:noProof/>
          <w:vertAlign w:val="superscript"/>
          <w:lang w:val="de-DE"/>
        </w:rPr>
        <w:footnoteReference w:id="74"/>
      </w:r>
      <w:r w:rsidRPr="00170422">
        <w:rPr>
          <w:rFonts w:ascii="Times New Roman" w:hAnsi="Times New Roman" w:cs="Times New Roman"/>
          <w:noProof/>
          <w:lang w:val="de-DE"/>
        </w:rPr>
        <w:t>iii) Tätigkeiten und Vermögenswerte im Zusammenhang mit Abfalldeponien, Verbrennungsanlag</w:t>
      </w:r>
      <w:r w:rsidRPr="00170422">
        <w:rPr>
          <w:rFonts w:ascii="Times New Roman" w:hAnsi="Times New Roman" w:cs="Times New Roman"/>
          <w:noProof/>
          <w:lang w:val="de-DE"/>
        </w:rPr>
        <w:t>en</w:t>
      </w:r>
      <w:r w:rsidRPr="00170422">
        <w:rPr>
          <w:rStyle w:val="FootnoteReference"/>
          <w:rFonts w:ascii="Times New Roman" w:hAnsi="Times New Roman" w:cs="Times New Roman"/>
          <w:noProof/>
          <w:lang w:val="de-DE"/>
        </w:rPr>
        <w:footnoteReference w:id="75"/>
      </w:r>
      <w:r w:rsidRPr="00170422">
        <w:rPr>
          <w:rFonts w:ascii="Times New Roman" w:hAnsi="Times New Roman" w:cs="Times New Roman"/>
          <w:noProof/>
          <w:lang w:val="de-DE"/>
        </w:rPr>
        <w:t xml:space="preserve"> und mechanisch-biologischen Behandlungsanlagen</w:t>
      </w:r>
      <w:r w:rsidRPr="00170422">
        <w:rPr>
          <w:rStyle w:val="FootnoteReference"/>
          <w:rFonts w:ascii="Times New Roman" w:hAnsi="Times New Roman" w:cs="Times New Roman"/>
          <w:noProof/>
          <w:lang w:val="de-DE"/>
        </w:rPr>
        <w:footnoteReference w:id="76"/>
      </w:r>
      <w:r w:rsidRPr="00170422">
        <w:rPr>
          <w:rFonts w:ascii="Times New Roman" w:hAnsi="Times New Roman" w:cs="Times New Roman"/>
          <w:noProof/>
          <w:lang w:val="de-DE"/>
        </w:rPr>
        <w:t>. Zur Vermeidung von Zweifeln kommen Gaskessel nicht für eine Förderung im Rahmen dieser Maßnahme in Betracht.</w:t>
      </w:r>
    </w:p>
    <w:p w14:paraId="54576D39" w14:textId="77777777" w:rsidR="0057163C" w:rsidRPr="00170422" w:rsidRDefault="00F37BF9">
      <w:pPr>
        <w:pStyle w:val="P68B1DB1-LegalNumPar280"/>
        <w:numPr>
          <w:ilvl w:val="1"/>
          <w:numId w:val="85"/>
        </w:numPr>
        <w:spacing w:line="259" w:lineRule="auto"/>
        <w:jc w:val="both"/>
        <w:rPr>
          <w:bCs/>
          <w:noProof/>
          <w:lang w:val="de-DE"/>
        </w:rPr>
      </w:pPr>
      <w:r w:rsidRPr="00170422">
        <w:rPr>
          <w:noProof/>
          <w:lang w:val="de-DE"/>
        </w:rPr>
        <w:t>Die Anforderung, dass die Endbegünstigten der Regelung keine Unterstützung aus anderen Instru</w:t>
      </w:r>
      <w:r w:rsidRPr="00170422">
        <w:rPr>
          <w:noProof/>
          <w:lang w:val="de-DE"/>
        </w:rPr>
        <w:t>menten der Union erhalten dürfen, um dieselben Kosten zu decken.</w:t>
      </w:r>
    </w:p>
    <w:p w14:paraId="390618F8" w14:textId="77777777" w:rsidR="0057163C" w:rsidRPr="00170422" w:rsidRDefault="00F37BF9">
      <w:pPr>
        <w:pStyle w:val="P68B1DB1-LegalNumPar79"/>
        <w:numPr>
          <w:ilvl w:val="0"/>
          <w:numId w:val="85"/>
        </w:numPr>
        <w:spacing w:line="259" w:lineRule="auto"/>
        <w:jc w:val="both"/>
        <w:rPr>
          <w:noProof/>
          <w:lang w:val="de-DE"/>
        </w:rPr>
      </w:pPr>
      <w:r w:rsidRPr="00170422">
        <w:rPr>
          <w:noProof/>
          <w:lang w:val="de-DE"/>
        </w:rPr>
        <w:t>Den unter das Durchführungsabkommen fallenden Betrag, die Gebührenstruktur für den Durchführungspartner und die Anforderung, etwaige ungenutzte Einnahmen aus dem System, auch nach 2026, für d</w:t>
      </w:r>
      <w:r w:rsidRPr="00170422">
        <w:rPr>
          <w:noProof/>
          <w:lang w:val="de-DE"/>
        </w:rPr>
        <w:t>ieselben politischen Zwecke zu verwenden.</w:t>
      </w:r>
    </w:p>
    <w:p w14:paraId="39F8C633" w14:textId="77777777" w:rsidR="0057163C" w:rsidRPr="00170422" w:rsidRDefault="00F37BF9">
      <w:pPr>
        <w:pStyle w:val="P68B1DB1-LegalNumPar79"/>
        <w:numPr>
          <w:ilvl w:val="0"/>
          <w:numId w:val="85"/>
        </w:numPr>
        <w:spacing w:line="259" w:lineRule="auto"/>
        <w:jc w:val="both"/>
        <w:rPr>
          <w:noProof/>
          <w:lang w:val="de-DE"/>
        </w:rPr>
      </w:pPr>
      <w:r w:rsidRPr="00170422">
        <w:rPr>
          <w:noProof/>
          <w:lang w:val="de-DE"/>
        </w:rPr>
        <w:t>Überwachungs-, Prüf- und Kontrollanforderungen, einschließlich:</w:t>
      </w:r>
    </w:p>
    <w:p w14:paraId="17D85FC8" w14:textId="77777777" w:rsidR="0057163C" w:rsidRPr="00170422" w:rsidRDefault="00F37BF9">
      <w:pPr>
        <w:pStyle w:val="P68B1DB1-Normal7"/>
        <w:numPr>
          <w:ilvl w:val="0"/>
          <w:numId w:val="173"/>
        </w:numPr>
        <w:spacing w:line="240" w:lineRule="auto"/>
        <w:jc w:val="both"/>
        <w:rPr>
          <w:noProof/>
          <w:lang w:val="de-DE"/>
        </w:rPr>
      </w:pPr>
      <w:r w:rsidRPr="00170422">
        <w:rPr>
          <w:noProof/>
          <w:lang w:val="de-DE"/>
        </w:rPr>
        <w:t>Die Beschreibung des Überwachungssystems des Durchführungspartners zur Berichterstattung über die mobilisierten Finanzhilfen.</w:t>
      </w:r>
    </w:p>
    <w:p w14:paraId="150E4026" w14:textId="125D6F28" w:rsidR="0057163C" w:rsidRPr="00170422" w:rsidRDefault="00F37BF9">
      <w:pPr>
        <w:pStyle w:val="P68B1DB1-Normal7"/>
        <w:numPr>
          <w:ilvl w:val="0"/>
          <w:numId w:val="173"/>
        </w:numPr>
        <w:spacing w:line="240" w:lineRule="auto"/>
        <w:jc w:val="both"/>
        <w:rPr>
          <w:noProof/>
          <w:lang w:val="de-DE"/>
        </w:rPr>
      </w:pPr>
      <w:r w:rsidRPr="00170422">
        <w:rPr>
          <w:noProof/>
          <w:lang w:val="de-DE"/>
        </w:rPr>
        <w:t>Die Beschreibung der Ver</w:t>
      </w:r>
      <w:r w:rsidRPr="00170422">
        <w:rPr>
          <w:noProof/>
          <w:lang w:val="de-DE"/>
        </w:rPr>
        <w:t>fahren des Durchführungspartners, die die Prävention, Aufdeckung und Behebung von Betrug, Korruption und Interessenkonflikten gewährleisten.</w:t>
      </w:r>
    </w:p>
    <w:p w14:paraId="1C9F443C" w14:textId="77777777" w:rsidR="0057163C" w:rsidRPr="00170422" w:rsidRDefault="00F37BF9">
      <w:pPr>
        <w:pStyle w:val="P68B1DB1-Normal7"/>
        <w:numPr>
          <w:ilvl w:val="0"/>
          <w:numId w:val="173"/>
        </w:numPr>
        <w:spacing w:line="240" w:lineRule="auto"/>
        <w:jc w:val="both"/>
        <w:rPr>
          <w:noProof/>
          <w:lang w:val="de-DE"/>
        </w:rPr>
      </w:pPr>
      <w:r w:rsidRPr="00170422">
        <w:rPr>
          <w:noProof/>
          <w:lang w:val="de-DE"/>
        </w:rPr>
        <w:t>Die Verpflichtung, die Förderfähigkeit jedes Vorhabens gemäß den Anforderungen des Durchführungsabkommens zu überpr</w:t>
      </w:r>
      <w:r w:rsidRPr="00170422">
        <w:rPr>
          <w:noProof/>
          <w:lang w:val="de-DE"/>
        </w:rPr>
        <w:t>üfen, bevor eine Finanzhilfe für ein Vorhaben gewährt wird.</w:t>
      </w:r>
    </w:p>
    <w:p w14:paraId="5CD14373" w14:textId="4C5CBBD9" w:rsidR="0057163C" w:rsidRPr="00170422" w:rsidRDefault="00F37BF9">
      <w:pPr>
        <w:numPr>
          <w:ilvl w:val="0"/>
          <w:numId w:val="173"/>
        </w:numPr>
        <w:spacing w:line="240" w:lineRule="auto"/>
        <w:jc w:val="both"/>
        <w:rPr>
          <w:rFonts w:ascii="Times New Roman" w:hAnsi="Times New Roman" w:cs="Times New Roman"/>
          <w:noProof/>
          <w:lang w:val="de-DE"/>
        </w:rPr>
      </w:pPr>
      <w:r w:rsidRPr="00170422">
        <w:rPr>
          <w:rFonts w:ascii="Times New Roman" w:hAnsi="Times New Roman" w:cs="Times New Roman"/>
          <w:noProof/>
          <w:lang w:val="de-DE"/>
        </w:rPr>
        <w:t xml:space="preserve">Die Verpflichtung zur Durchführung risikobasierter Ex-post-Prüfungen im Einklang mit einem Prüfplan von CDP S.p.A. Bei diesen Prüfungen wird Folgendes überprüft: i) die Wirksamkeit der </w:t>
      </w:r>
      <w:r w:rsidRPr="00170422">
        <w:rPr>
          <w:rFonts w:ascii="Times New Roman" w:hAnsi="Times New Roman" w:cs="Times New Roman"/>
          <w:noProof/>
          <w:lang w:val="de-DE"/>
        </w:rPr>
        <w:t>Kontrollsysteme, einschließlich der Aufdeckung von Betrug, Korruption und Interessenkonflikten; II) Einhaltung des DNSH-Grundsatzes, der Vorschriften über staatliche Beihilfen; und iii) die Anforderung, dass die Endbegünstigten der Regelung keine Unterstüt</w:t>
      </w:r>
      <w:r w:rsidRPr="00170422">
        <w:rPr>
          <w:rFonts w:ascii="Times New Roman" w:hAnsi="Times New Roman" w:cs="Times New Roman"/>
          <w:noProof/>
          <w:lang w:val="de-DE"/>
        </w:rPr>
        <w:t>zung aus anderen Instrumenten der Union erhalten haben, um dieselben Kosten zu decken, eingehalten wird. Bei den Prüfungen wird auch die Rechtmäßigkeit der Transaktionen und die Einhaltung der Bedingungen der geltenden Finanzhilfevereinbarungen im Rahmen d</w:t>
      </w:r>
      <w:r w:rsidRPr="00170422">
        <w:rPr>
          <w:rFonts w:ascii="Times New Roman" w:hAnsi="Times New Roman" w:cs="Times New Roman"/>
          <w:noProof/>
          <w:lang w:val="de-DE"/>
        </w:rPr>
        <w:t xml:space="preserve">er Durchführungsvereinbarung überprüft. </w:t>
      </w:r>
      <w:r w:rsidRPr="00170422">
        <w:rPr>
          <w:rFonts w:ascii="Times New Roman" w:eastAsia="Times New Roman" w:hAnsi="Times New Roman" w:cs="Times New Roman"/>
          <w:noProof/>
          <w:u w:val="single"/>
          <w:lang w:val="de-DE"/>
        </w:rPr>
        <w:br w:type="page"/>
      </w:r>
    </w:p>
    <w:p w14:paraId="631567D2" w14:textId="77777777" w:rsidR="0057163C" w:rsidRPr="00170422" w:rsidRDefault="0057163C">
      <w:pPr>
        <w:pStyle w:val="paragraph"/>
        <w:spacing w:before="0" w:beforeAutospacing="0" w:after="120" w:afterAutospacing="0"/>
        <w:jc w:val="both"/>
        <w:textAlignment w:val="baseline"/>
        <w:rPr>
          <w:rStyle w:val="eop"/>
          <w:noProof/>
          <w:lang w:val="de-DE"/>
        </w:rPr>
        <w:sectPr w:rsidR="0057163C" w:rsidRPr="00170422" w:rsidSect="005F11B9">
          <w:headerReference w:type="even" r:id="rId184"/>
          <w:headerReference w:type="default" r:id="rId185"/>
          <w:footerReference w:type="even" r:id="rId186"/>
          <w:footerReference w:type="default" r:id="rId187"/>
          <w:headerReference w:type="first" r:id="rId188"/>
          <w:footerReference w:type="first" r:id="rId189"/>
          <w:pgSz w:w="11907" w:h="16839"/>
          <w:pgMar w:top="1134" w:right="1134" w:bottom="1134" w:left="1134" w:header="567" w:footer="567" w:gutter="0"/>
          <w:cols w:space="720"/>
          <w:docGrid w:linePitch="360"/>
        </w:sectPr>
      </w:pPr>
    </w:p>
    <w:p w14:paraId="473CC359" w14:textId="77777777" w:rsidR="0057163C" w:rsidRPr="00170422" w:rsidRDefault="00F37BF9">
      <w:pPr>
        <w:pStyle w:val="Heading3"/>
        <w:ind w:left="850" w:hanging="850"/>
        <w:rPr>
          <w:rFonts w:ascii="Times New Roman" w:hAnsi="Times New Roman" w:cs="Times New Roman"/>
          <w:i/>
          <w:iCs/>
          <w:noProof/>
          <w:sz w:val="24"/>
          <w:szCs w:val="24"/>
          <w:lang w:val="de-DE"/>
        </w:rPr>
      </w:pPr>
      <w:r w:rsidRPr="00170422">
        <w:rPr>
          <w:rStyle w:val="normaltextrun"/>
          <w:rFonts w:ascii="Times New Roman" w:hAnsi="Times New Roman" w:cs="Times New Roman"/>
          <w:b/>
          <w:noProof/>
          <w:sz w:val="24"/>
          <w:szCs w:val="24"/>
          <w:u w:val="single"/>
          <w:lang w:val="de-DE"/>
        </w:rPr>
        <w:t>J.4. Etappenziele, Zielwerte, Indikatoren und Zeitplan für die Überwachung und Durchführung (Darlehen)</w:t>
      </w:r>
      <w:r w:rsidRPr="00170422">
        <w:rPr>
          <w:rStyle w:val="eop"/>
          <w:rFonts w:ascii="Times New Roman" w:hAnsi="Times New Roman" w:cs="Times New Roman"/>
          <w:noProof/>
          <w:sz w:val="24"/>
          <w:szCs w:val="24"/>
          <w:lang w:val="de-DE"/>
        </w:rPr>
        <w:t xml:space="preserve"> </w:t>
      </w:r>
    </w:p>
    <w:tbl>
      <w:tblPr>
        <w:tblW w:w="15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1701"/>
        <w:gridCol w:w="1135"/>
        <w:gridCol w:w="1814"/>
        <w:gridCol w:w="1578"/>
        <w:gridCol w:w="1148"/>
        <w:gridCol w:w="1385"/>
        <w:gridCol w:w="596"/>
        <w:gridCol w:w="900"/>
        <w:gridCol w:w="710"/>
        <w:gridCol w:w="3208"/>
      </w:tblGrid>
      <w:tr w:rsidR="0057163C" w:rsidRPr="00170422" w14:paraId="2BAE7A71" w14:textId="77777777">
        <w:trPr>
          <w:trHeight w:val="300"/>
          <w:tblHeader/>
          <w:jc w:val="center"/>
        </w:trPr>
        <w:tc>
          <w:tcPr>
            <w:tcW w:w="1078" w:type="dxa"/>
            <w:vMerge w:val="restart"/>
            <w:shd w:val="clear" w:color="auto" w:fill="BDD7EE"/>
            <w:vAlign w:val="center"/>
            <w:hideMark/>
          </w:tcPr>
          <w:p w14:paraId="011F01EE" w14:textId="77777777" w:rsidR="0057163C" w:rsidRPr="00170422" w:rsidRDefault="00F37BF9">
            <w:pPr>
              <w:pStyle w:val="P68B1DB1-Normal93"/>
              <w:jc w:val="center"/>
              <w:rPr>
                <w:bCs/>
                <w:noProof/>
                <w:lang w:val="de-DE"/>
              </w:rPr>
            </w:pPr>
            <w:r w:rsidRPr="00170422">
              <w:rPr>
                <w:noProof/>
                <w:lang w:val="de-DE"/>
              </w:rPr>
              <w:t>Laufende Nummer</w:t>
            </w:r>
          </w:p>
        </w:tc>
        <w:tc>
          <w:tcPr>
            <w:tcW w:w="1701" w:type="dxa"/>
            <w:vMerge w:val="restart"/>
            <w:shd w:val="clear" w:color="auto" w:fill="BDD7EE"/>
            <w:vAlign w:val="center"/>
            <w:hideMark/>
          </w:tcPr>
          <w:p w14:paraId="1D99BDB6" w14:textId="77777777" w:rsidR="0057163C" w:rsidRPr="00170422" w:rsidRDefault="00F37BF9">
            <w:pPr>
              <w:pStyle w:val="P68B1DB1-Normal93"/>
              <w:jc w:val="center"/>
              <w:rPr>
                <w:bCs/>
                <w:noProof/>
                <w:lang w:val="de-DE"/>
              </w:rPr>
            </w:pPr>
            <w:r w:rsidRPr="00170422">
              <w:rPr>
                <w:noProof/>
                <w:lang w:val="de-DE"/>
              </w:rPr>
              <w:t xml:space="preserve">Verbundene Maßnahme (Reform oder </w:t>
            </w:r>
            <w:r w:rsidRPr="00170422">
              <w:rPr>
                <w:noProof/>
                <w:lang w:val="de-DE"/>
              </w:rPr>
              <w:t>Investition)</w:t>
            </w:r>
          </w:p>
        </w:tc>
        <w:tc>
          <w:tcPr>
            <w:tcW w:w="1135" w:type="dxa"/>
            <w:vMerge w:val="restart"/>
            <w:shd w:val="clear" w:color="auto" w:fill="BDD7EE"/>
            <w:vAlign w:val="center"/>
            <w:hideMark/>
          </w:tcPr>
          <w:p w14:paraId="2E0FB614" w14:textId="7B30A9D1" w:rsidR="0057163C" w:rsidRPr="00170422" w:rsidRDefault="00F37BF9">
            <w:pPr>
              <w:pStyle w:val="P68B1DB1-Normal93"/>
              <w:jc w:val="center"/>
              <w:rPr>
                <w:bCs/>
                <w:noProof/>
                <w:lang w:val="de-DE"/>
              </w:rPr>
            </w:pPr>
            <w:r w:rsidRPr="00170422">
              <w:rPr>
                <w:noProof/>
                <w:lang w:val="de-DE"/>
              </w:rPr>
              <w:t>Etappenziel/Zielwert</w:t>
            </w:r>
          </w:p>
        </w:tc>
        <w:tc>
          <w:tcPr>
            <w:tcW w:w="1814" w:type="dxa"/>
            <w:vMerge w:val="restart"/>
            <w:shd w:val="clear" w:color="auto" w:fill="BDD7EE"/>
            <w:vAlign w:val="center"/>
            <w:hideMark/>
          </w:tcPr>
          <w:p w14:paraId="2BC8DCC5" w14:textId="77777777" w:rsidR="0057163C" w:rsidRPr="00170422" w:rsidRDefault="00F37BF9">
            <w:pPr>
              <w:pStyle w:val="P68B1DB1-Normal93"/>
              <w:jc w:val="center"/>
              <w:rPr>
                <w:bCs/>
                <w:noProof/>
                <w:lang w:val="de-DE"/>
              </w:rPr>
            </w:pPr>
            <w:r w:rsidRPr="00170422">
              <w:rPr>
                <w:noProof/>
                <w:lang w:val="de-DE"/>
              </w:rPr>
              <w:t>Namen</w:t>
            </w:r>
          </w:p>
        </w:tc>
        <w:tc>
          <w:tcPr>
            <w:tcW w:w="1578" w:type="dxa"/>
            <w:vMerge w:val="restart"/>
            <w:shd w:val="clear" w:color="auto" w:fill="BDD7EE"/>
            <w:vAlign w:val="center"/>
            <w:hideMark/>
          </w:tcPr>
          <w:p w14:paraId="53CA35F0" w14:textId="316A3D5F" w:rsidR="0057163C" w:rsidRPr="00170422" w:rsidRDefault="00F37BF9">
            <w:pPr>
              <w:jc w:val="center"/>
              <w:rPr>
                <w:rFonts w:ascii="Arial Narrow" w:hAnsi="Arial Narrow"/>
                <w:b/>
                <w:bCs/>
                <w:noProof/>
                <w:sz w:val="20"/>
                <w:szCs w:val="20"/>
                <w:lang w:val="de-DE"/>
              </w:rPr>
            </w:pPr>
            <w:r w:rsidRPr="00170422">
              <w:rPr>
                <w:rFonts w:ascii="Arial Narrow" w:hAnsi="Arial Narrow"/>
                <w:b/>
                <w:noProof/>
                <w:sz w:val="20"/>
                <w:szCs w:val="20"/>
                <w:lang w:val="de-DE"/>
              </w:rPr>
              <w:t>Etappenziel/</w:t>
            </w:r>
            <w:r w:rsidR="00E17A5C" w:rsidRPr="00170422">
              <w:rPr>
                <w:rFonts w:ascii="Arial Narrow" w:hAnsi="Arial Narrow"/>
                <w:b/>
                <w:noProof/>
                <w:sz w:val="20"/>
                <w:szCs w:val="20"/>
                <w:lang w:val="de-DE"/>
              </w:rPr>
              <w:br/>
            </w:r>
            <w:r w:rsidRPr="00170422">
              <w:rPr>
                <w:rFonts w:ascii="Arial Narrow" w:hAnsi="Arial Narrow"/>
                <w:b/>
                <w:noProof/>
                <w:sz w:val="20"/>
                <w:szCs w:val="20"/>
                <w:lang w:val="de-DE"/>
              </w:rPr>
              <w:t>Zielwert</w:t>
            </w:r>
            <w:r w:rsidRPr="00170422">
              <w:rPr>
                <w:noProof/>
                <w:lang w:val="de-DE"/>
              </w:rPr>
              <w:br/>
            </w:r>
            <w:r w:rsidRPr="00170422">
              <w:rPr>
                <w:rFonts w:ascii="Arial Narrow" w:hAnsi="Arial Narrow"/>
                <w:b/>
                <w:noProof/>
                <w:sz w:val="20"/>
                <w:szCs w:val="20"/>
                <w:lang w:val="de-DE"/>
              </w:rPr>
              <w:t>(für Etappenziele)</w:t>
            </w:r>
          </w:p>
        </w:tc>
        <w:tc>
          <w:tcPr>
            <w:tcW w:w="3129" w:type="dxa"/>
            <w:gridSpan w:val="3"/>
            <w:shd w:val="clear" w:color="auto" w:fill="BDD7EE"/>
            <w:vAlign w:val="center"/>
            <w:hideMark/>
          </w:tcPr>
          <w:p w14:paraId="0F841B82" w14:textId="77777777" w:rsidR="0057163C" w:rsidRPr="00170422" w:rsidRDefault="00F37BF9">
            <w:pPr>
              <w:jc w:val="center"/>
              <w:rPr>
                <w:rFonts w:ascii="Arial Narrow" w:hAnsi="Arial Narrow"/>
                <w:b/>
                <w:bCs/>
                <w:noProof/>
                <w:sz w:val="20"/>
                <w:szCs w:val="20"/>
                <w:lang w:val="de-DE"/>
              </w:rPr>
            </w:pPr>
            <w:r w:rsidRPr="00170422">
              <w:rPr>
                <w:rFonts w:ascii="Arial Narrow" w:hAnsi="Arial Narrow"/>
                <w:b/>
                <w:noProof/>
                <w:sz w:val="20"/>
                <w:szCs w:val="20"/>
                <w:lang w:val="de-DE"/>
              </w:rPr>
              <w:t>Qualitative Indikatoren (für Etappenziele)</w:t>
            </w:r>
            <w:r w:rsidRPr="00170422">
              <w:rPr>
                <w:noProof/>
                <w:lang w:val="de-DE"/>
              </w:rPr>
              <w:br/>
            </w:r>
            <w:r w:rsidRPr="00170422">
              <w:rPr>
                <w:rFonts w:ascii="Arial Narrow" w:hAnsi="Arial Narrow"/>
                <w:b/>
                <w:noProof/>
                <w:sz w:val="20"/>
                <w:szCs w:val="20"/>
                <w:lang w:val="de-DE"/>
              </w:rPr>
              <w:t>(für Ziele)</w:t>
            </w:r>
          </w:p>
        </w:tc>
        <w:tc>
          <w:tcPr>
            <w:tcW w:w="1610" w:type="dxa"/>
            <w:gridSpan w:val="2"/>
            <w:shd w:val="clear" w:color="auto" w:fill="BDD7EE"/>
            <w:vAlign w:val="center"/>
            <w:hideMark/>
          </w:tcPr>
          <w:p w14:paraId="5A2007D1" w14:textId="77777777" w:rsidR="0057163C" w:rsidRPr="00170422" w:rsidRDefault="00F37BF9">
            <w:pPr>
              <w:pStyle w:val="P68B1DB1-Normal93"/>
              <w:jc w:val="center"/>
              <w:rPr>
                <w:bCs/>
                <w:noProof/>
                <w:lang w:val="de-DE"/>
              </w:rPr>
            </w:pPr>
            <w:r w:rsidRPr="00170422">
              <w:rPr>
                <w:noProof/>
                <w:lang w:val="de-DE"/>
              </w:rPr>
              <w:t>Vorläufiger Zeitplan für die Fertigstellung</w:t>
            </w:r>
          </w:p>
        </w:tc>
        <w:tc>
          <w:tcPr>
            <w:tcW w:w="3208" w:type="dxa"/>
            <w:vMerge w:val="restart"/>
            <w:shd w:val="clear" w:color="auto" w:fill="BDD7EE"/>
            <w:vAlign w:val="center"/>
            <w:hideMark/>
          </w:tcPr>
          <w:p w14:paraId="19D8C29B" w14:textId="77777777" w:rsidR="0057163C" w:rsidRPr="00170422" w:rsidRDefault="00F37BF9">
            <w:pPr>
              <w:pStyle w:val="P68B1DB1-Normal93"/>
              <w:jc w:val="center"/>
              <w:rPr>
                <w:bCs/>
                <w:noProof/>
                <w:lang w:val="de-DE"/>
              </w:rPr>
            </w:pPr>
            <w:r w:rsidRPr="00170422">
              <w:rPr>
                <w:noProof/>
                <w:lang w:val="de-DE"/>
              </w:rPr>
              <w:t>Beschreibung der einzelnen Etappenziele und Zielvorgaben</w:t>
            </w:r>
          </w:p>
        </w:tc>
      </w:tr>
      <w:tr w:rsidR="0057163C" w:rsidRPr="00170422" w14:paraId="1A9F2C1C" w14:textId="77777777" w:rsidTr="00E17A5C">
        <w:trPr>
          <w:trHeight w:val="300"/>
          <w:tblHeader/>
          <w:jc w:val="center"/>
        </w:trPr>
        <w:tc>
          <w:tcPr>
            <w:tcW w:w="1078" w:type="dxa"/>
            <w:vMerge/>
            <w:vAlign w:val="center"/>
            <w:hideMark/>
          </w:tcPr>
          <w:p w14:paraId="5F9C1B7D" w14:textId="77777777" w:rsidR="0057163C" w:rsidRPr="00170422" w:rsidRDefault="0057163C">
            <w:pPr>
              <w:jc w:val="center"/>
              <w:rPr>
                <w:rFonts w:ascii="Arial Narrow" w:hAnsi="Arial Narrow"/>
                <w:b/>
                <w:noProof/>
                <w:sz w:val="20"/>
                <w:szCs w:val="20"/>
                <w:lang w:val="de-DE"/>
              </w:rPr>
            </w:pPr>
          </w:p>
        </w:tc>
        <w:tc>
          <w:tcPr>
            <w:tcW w:w="1701" w:type="dxa"/>
            <w:vMerge/>
            <w:vAlign w:val="center"/>
            <w:hideMark/>
          </w:tcPr>
          <w:p w14:paraId="02D76D78" w14:textId="77777777" w:rsidR="0057163C" w:rsidRPr="00170422" w:rsidRDefault="0057163C">
            <w:pPr>
              <w:jc w:val="center"/>
              <w:rPr>
                <w:rFonts w:ascii="Arial Narrow" w:hAnsi="Arial Narrow"/>
                <w:b/>
                <w:noProof/>
                <w:sz w:val="20"/>
                <w:szCs w:val="20"/>
                <w:lang w:val="de-DE"/>
              </w:rPr>
            </w:pPr>
          </w:p>
        </w:tc>
        <w:tc>
          <w:tcPr>
            <w:tcW w:w="1135" w:type="dxa"/>
            <w:vMerge/>
            <w:vAlign w:val="center"/>
            <w:hideMark/>
          </w:tcPr>
          <w:p w14:paraId="1D8F4D04" w14:textId="77777777" w:rsidR="0057163C" w:rsidRPr="00170422" w:rsidRDefault="0057163C">
            <w:pPr>
              <w:jc w:val="center"/>
              <w:rPr>
                <w:rFonts w:ascii="Arial Narrow" w:hAnsi="Arial Narrow"/>
                <w:b/>
                <w:noProof/>
                <w:sz w:val="20"/>
                <w:szCs w:val="20"/>
                <w:lang w:val="de-DE"/>
              </w:rPr>
            </w:pPr>
          </w:p>
        </w:tc>
        <w:tc>
          <w:tcPr>
            <w:tcW w:w="1814" w:type="dxa"/>
            <w:vMerge/>
            <w:vAlign w:val="center"/>
            <w:hideMark/>
          </w:tcPr>
          <w:p w14:paraId="1D8A63AE" w14:textId="77777777" w:rsidR="0057163C" w:rsidRPr="00170422" w:rsidRDefault="0057163C">
            <w:pPr>
              <w:jc w:val="center"/>
              <w:rPr>
                <w:rFonts w:ascii="Arial Narrow" w:hAnsi="Arial Narrow"/>
                <w:b/>
                <w:noProof/>
                <w:sz w:val="20"/>
                <w:szCs w:val="20"/>
                <w:lang w:val="de-DE"/>
              </w:rPr>
            </w:pPr>
          </w:p>
        </w:tc>
        <w:tc>
          <w:tcPr>
            <w:tcW w:w="1578" w:type="dxa"/>
            <w:vMerge/>
            <w:vAlign w:val="center"/>
            <w:hideMark/>
          </w:tcPr>
          <w:p w14:paraId="611ED0CB" w14:textId="77777777" w:rsidR="0057163C" w:rsidRPr="00170422" w:rsidRDefault="0057163C">
            <w:pPr>
              <w:jc w:val="center"/>
              <w:rPr>
                <w:rFonts w:ascii="Arial Narrow" w:hAnsi="Arial Narrow"/>
                <w:b/>
                <w:noProof/>
                <w:sz w:val="20"/>
                <w:szCs w:val="20"/>
                <w:lang w:val="de-DE"/>
              </w:rPr>
            </w:pPr>
          </w:p>
        </w:tc>
        <w:tc>
          <w:tcPr>
            <w:tcW w:w="1148" w:type="dxa"/>
            <w:shd w:val="clear" w:color="auto" w:fill="BDD7EE"/>
            <w:vAlign w:val="center"/>
            <w:hideMark/>
          </w:tcPr>
          <w:p w14:paraId="763CD9A1" w14:textId="77777777" w:rsidR="0057163C" w:rsidRPr="00170422" w:rsidRDefault="00F37BF9">
            <w:pPr>
              <w:pStyle w:val="P68B1DB1-Normal93"/>
              <w:jc w:val="center"/>
              <w:rPr>
                <w:bCs/>
                <w:noProof/>
                <w:lang w:val="de-DE"/>
              </w:rPr>
            </w:pPr>
            <w:r w:rsidRPr="00170422">
              <w:rPr>
                <w:noProof/>
                <w:lang w:val="de-DE"/>
              </w:rPr>
              <w:t>Maßeinheit</w:t>
            </w:r>
          </w:p>
        </w:tc>
        <w:tc>
          <w:tcPr>
            <w:tcW w:w="1385" w:type="dxa"/>
            <w:shd w:val="clear" w:color="auto" w:fill="BDD7EE"/>
            <w:vAlign w:val="center"/>
            <w:hideMark/>
          </w:tcPr>
          <w:p w14:paraId="1775E62F" w14:textId="77777777" w:rsidR="0057163C" w:rsidRPr="00170422" w:rsidRDefault="00F37BF9">
            <w:pPr>
              <w:pStyle w:val="P68B1DB1-Normal93"/>
              <w:jc w:val="center"/>
              <w:rPr>
                <w:bCs/>
                <w:noProof/>
                <w:lang w:val="de-DE"/>
              </w:rPr>
            </w:pPr>
            <w:r w:rsidRPr="00170422">
              <w:rPr>
                <w:noProof/>
                <w:lang w:val="de-DE"/>
              </w:rPr>
              <w:t>Ausgangslage</w:t>
            </w:r>
          </w:p>
        </w:tc>
        <w:tc>
          <w:tcPr>
            <w:tcW w:w="596" w:type="dxa"/>
            <w:shd w:val="clear" w:color="auto" w:fill="BDD7EE"/>
            <w:vAlign w:val="center"/>
            <w:hideMark/>
          </w:tcPr>
          <w:p w14:paraId="210C53BF" w14:textId="77777777" w:rsidR="0057163C" w:rsidRPr="00170422" w:rsidRDefault="00F37BF9">
            <w:pPr>
              <w:pStyle w:val="P68B1DB1-Normal93"/>
              <w:jc w:val="center"/>
              <w:rPr>
                <w:bCs/>
                <w:noProof/>
                <w:lang w:val="de-DE"/>
              </w:rPr>
            </w:pPr>
            <w:r w:rsidRPr="00170422">
              <w:rPr>
                <w:noProof/>
                <w:lang w:val="de-DE"/>
              </w:rPr>
              <w:t>Ziel</w:t>
            </w:r>
          </w:p>
        </w:tc>
        <w:tc>
          <w:tcPr>
            <w:tcW w:w="900" w:type="dxa"/>
            <w:shd w:val="clear" w:color="auto" w:fill="BDD7EE"/>
            <w:vAlign w:val="center"/>
            <w:hideMark/>
          </w:tcPr>
          <w:p w14:paraId="70F5827A" w14:textId="77777777" w:rsidR="0057163C" w:rsidRPr="00170422" w:rsidRDefault="00F37BF9">
            <w:pPr>
              <w:pStyle w:val="P68B1DB1-Normal93"/>
              <w:jc w:val="center"/>
              <w:rPr>
                <w:bCs/>
                <w:noProof/>
                <w:lang w:val="de-DE"/>
              </w:rPr>
            </w:pPr>
            <w:r w:rsidRPr="00170422">
              <w:rPr>
                <w:noProof/>
                <w:lang w:val="de-DE"/>
              </w:rPr>
              <w:t>Viertel</w:t>
            </w:r>
          </w:p>
        </w:tc>
        <w:tc>
          <w:tcPr>
            <w:tcW w:w="710" w:type="dxa"/>
            <w:shd w:val="clear" w:color="auto" w:fill="BDD7EE"/>
            <w:vAlign w:val="center"/>
            <w:hideMark/>
          </w:tcPr>
          <w:p w14:paraId="159B7616" w14:textId="77777777" w:rsidR="0057163C" w:rsidRPr="00170422" w:rsidRDefault="00F37BF9">
            <w:pPr>
              <w:pStyle w:val="P68B1DB1-Normal93"/>
              <w:jc w:val="center"/>
              <w:rPr>
                <w:bCs/>
                <w:noProof/>
                <w:lang w:val="de-DE"/>
              </w:rPr>
            </w:pPr>
            <w:r w:rsidRPr="00170422">
              <w:rPr>
                <w:noProof/>
                <w:lang w:val="de-DE"/>
              </w:rPr>
              <w:t>Jahre</w:t>
            </w:r>
          </w:p>
        </w:tc>
        <w:tc>
          <w:tcPr>
            <w:tcW w:w="3208" w:type="dxa"/>
            <w:vMerge/>
            <w:vAlign w:val="center"/>
            <w:hideMark/>
          </w:tcPr>
          <w:p w14:paraId="080DF5E6" w14:textId="77777777" w:rsidR="0057163C" w:rsidRPr="00170422" w:rsidRDefault="0057163C">
            <w:pPr>
              <w:rPr>
                <w:rFonts w:ascii="Arial Narrow" w:hAnsi="Arial Narrow"/>
                <w:b/>
                <w:noProof/>
                <w:sz w:val="20"/>
                <w:szCs w:val="20"/>
                <w:lang w:val="de-DE"/>
              </w:rPr>
            </w:pPr>
          </w:p>
        </w:tc>
      </w:tr>
      <w:tr w:rsidR="0057163C" w:rsidRPr="00170422" w14:paraId="4A830CD5" w14:textId="77777777" w:rsidTr="00E17A5C">
        <w:trPr>
          <w:trHeight w:val="300"/>
          <w:jc w:val="center"/>
        </w:trPr>
        <w:tc>
          <w:tcPr>
            <w:tcW w:w="10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76BE072" w14:textId="77777777" w:rsidR="0057163C" w:rsidRPr="00170422" w:rsidRDefault="00F37BF9">
            <w:pPr>
              <w:pStyle w:val="P68B1DB1-Normal12"/>
              <w:jc w:val="center"/>
              <w:rPr>
                <w:noProof/>
                <w:lang w:val="de-DE"/>
              </w:rPr>
            </w:pPr>
            <w:r w:rsidRPr="00170422">
              <w:rPr>
                <w:noProof/>
                <w:lang w:val="de-DE"/>
              </w:rPr>
              <w:t>M4C1-18</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8E710C" w14:textId="77777777" w:rsidR="0057163C" w:rsidRPr="00170422" w:rsidRDefault="00F37BF9">
            <w:pPr>
              <w:pStyle w:val="P68B1DB1-Normal12"/>
              <w:jc w:val="center"/>
              <w:rPr>
                <w:noProof/>
                <w:lang w:val="de-DE"/>
              </w:rPr>
            </w:pPr>
            <w:r w:rsidRPr="00170422">
              <w:rPr>
                <w:noProof/>
                <w:lang w:val="de-DE"/>
              </w:rPr>
              <w:t>Investition 1.1: Plan für Kinderkrippen und Vorschulen sowie frühkindliche Betreuung, Bildung und Erziehung</w:t>
            </w:r>
          </w:p>
        </w:tc>
        <w:tc>
          <w:tcPr>
            <w:tcW w:w="113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93A7F5" w14:textId="77777777" w:rsidR="0057163C" w:rsidRPr="00170422" w:rsidRDefault="00F37BF9">
            <w:pPr>
              <w:pStyle w:val="P68B1DB1-Normal12"/>
              <w:jc w:val="center"/>
              <w:rPr>
                <w:noProof/>
                <w:lang w:val="de-DE"/>
              </w:rPr>
            </w:pPr>
            <w:r w:rsidRPr="00170422">
              <w:rPr>
                <w:noProof/>
                <w:lang w:val="de-DE"/>
              </w:rPr>
              <w:t>Ziel</w:t>
            </w:r>
          </w:p>
        </w:tc>
        <w:tc>
          <w:tcPr>
            <w:tcW w:w="18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9F5099" w14:textId="77777777" w:rsidR="0057163C" w:rsidRPr="00170422" w:rsidRDefault="00F37BF9">
            <w:pPr>
              <w:pStyle w:val="P68B1DB1-Normal12"/>
              <w:jc w:val="center"/>
              <w:rPr>
                <w:noProof/>
                <w:lang w:val="de-DE"/>
              </w:rPr>
            </w:pPr>
            <w:r w:rsidRPr="00170422">
              <w:rPr>
                <w:noProof/>
                <w:lang w:val="de-DE"/>
              </w:rPr>
              <w:t xml:space="preserve">Schaffung von Plätzen für die frühkindliche Betreuung, Bildung und Erziehung von Kindern im Alter von 0 bis 6 Jahren. </w:t>
            </w:r>
          </w:p>
        </w:tc>
        <w:tc>
          <w:tcPr>
            <w:tcW w:w="157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4E3DB52" w14:textId="77777777" w:rsidR="0057163C" w:rsidRPr="00170422" w:rsidRDefault="00F37BF9">
            <w:pPr>
              <w:pStyle w:val="P68B1DB1-Normal12"/>
              <w:jc w:val="center"/>
              <w:rPr>
                <w:noProof/>
                <w:lang w:val="de-DE"/>
              </w:rPr>
            </w:pPr>
            <w:r w:rsidRPr="00170422">
              <w:rPr>
                <w:noProof/>
                <w:lang w:val="de-DE"/>
              </w:rPr>
              <w:t>ENTFÄLLT.</w:t>
            </w:r>
          </w:p>
        </w:tc>
        <w:tc>
          <w:tcPr>
            <w:tcW w:w="1148"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61952E" w14:textId="77777777" w:rsidR="0057163C" w:rsidRPr="00170422" w:rsidRDefault="00F37BF9">
            <w:pPr>
              <w:pStyle w:val="P68B1DB1-Normal12"/>
              <w:jc w:val="center"/>
              <w:rPr>
                <w:noProof/>
                <w:lang w:val="de-DE"/>
              </w:rPr>
            </w:pPr>
            <w:r w:rsidRPr="00170422">
              <w:rPr>
                <w:noProof/>
                <w:lang w:val="de-DE"/>
              </w:rPr>
              <w:t>Anzahl</w:t>
            </w:r>
          </w:p>
        </w:tc>
        <w:tc>
          <w:tcPr>
            <w:tcW w:w="138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A4EEFC" w14:textId="77777777" w:rsidR="0057163C" w:rsidRPr="00170422" w:rsidRDefault="00F37BF9">
            <w:pPr>
              <w:pStyle w:val="P68B1DB1-Normal12"/>
              <w:jc w:val="center"/>
              <w:rPr>
                <w:noProof/>
                <w:lang w:val="de-DE"/>
              </w:rPr>
            </w:pPr>
            <w:r w:rsidRPr="00170422">
              <w:rPr>
                <w:noProof/>
                <w:lang w:val="de-DE"/>
              </w:rPr>
              <w:t>0</w:t>
            </w:r>
          </w:p>
        </w:tc>
        <w:tc>
          <w:tcPr>
            <w:tcW w:w="59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11B41" w14:textId="77777777" w:rsidR="0057163C" w:rsidRPr="00170422" w:rsidRDefault="00F37BF9">
            <w:pPr>
              <w:pStyle w:val="P68B1DB1-Normal94"/>
              <w:jc w:val="center"/>
              <w:rPr>
                <w:rFonts w:hint="default"/>
                <w:noProof/>
                <w:lang w:val="de-DE"/>
              </w:rPr>
            </w:pPr>
            <w:r w:rsidRPr="00170422">
              <w:rPr>
                <w:rFonts w:hint="default"/>
                <w:noProof/>
                <w:lang w:val="de-DE"/>
              </w:rPr>
              <w:t>150 480</w:t>
            </w:r>
          </w:p>
        </w:tc>
        <w:tc>
          <w:tcPr>
            <w:tcW w:w="90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2F6110" w14:textId="77777777" w:rsidR="0057163C" w:rsidRPr="00170422" w:rsidRDefault="00F37BF9">
            <w:pPr>
              <w:pStyle w:val="P68B1DB1-Normal12"/>
              <w:jc w:val="center"/>
              <w:rPr>
                <w:noProof/>
                <w:lang w:val="de-DE"/>
              </w:rPr>
            </w:pPr>
            <w:r w:rsidRPr="00170422">
              <w:rPr>
                <w:noProof/>
                <w:lang w:val="de-DE"/>
              </w:rPr>
              <w:t>Q2</w:t>
            </w:r>
          </w:p>
        </w:tc>
        <w:tc>
          <w:tcPr>
            <w:tcW w:w="71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AB4B1F" w14:textId="77777777" w:rsidR="0057163C" w:rsidRPr="00170422" w:rsidRDefault="00F37BF9">
            <w:pPr>
              <w:pStyle w:val="P68B1DB1-Normal12"/>
              <w:jc w:val="center"/>
              <w:rPr>
                <w:noProof/>
                <w:lang w:val="de-DE"/>
              </w:rPr>
            </w:pPr>
            <w:r w:rsidRPr="00170422">
              <w:rPr>
                <w:noProof/>
                <w:lang w:val="de-DE"/>
              </w:rPr>
              <w:t>2026</w:t>
            </w:r>
          </w:p>
        </w:tc>
        <w:tc>
          <w:tcPr>
            <w:tcW w:w="3208" w:type="dxa"/>
            <w:shd w:val="clear" w:color="auto" w:fill="C6EFCE"/>
            <w:noWrap/>
            <w:vAlign w:val="center"/>
            <w:hideMark/>
          </w:tcPr>
          <w:p w14:paraId="714A4D44" w14:textId="7F6357B9" w:rsidR="0057163C" w:rsidRPr="00170422" w:rsidRDefault="00F37BF9">
            <w:pPr>
              <w:pStyle w:val="P68B1DB1-Normal12"/>
              <w:rPr>
                <w:noProof/>
                <w:lang w:val="de-DE"/>
              </w:rPr>
            </w:pPr>
            <w:r w:rsidRPr="00170422">
              <w:rPr>
                <w:noProof/>
                <w:lang w:val="de-DE"/>
              </w:rPr>
              <w:t>Nachweise über den Abschluss von Arbeiten an mindestens 150480 neu gebauten, neu qualifizierten, erwei</w:t>
            </w:r>
            <w:r w:rsidRPr="00170422">
              <w:rPr>
                <w:noProof/>
                <w:lang w:val="de-DE"/>
              </w:rPr>
              <w:t>terten oder aus einer Nutzungsänderung in der frühkindlichen Betreuung, Bildung und Erziehung resultierenden Plätzen für Kinder im Alter von 0 bis 6 Jahren, von denen höchstens 35000 Plätze infolge des Abrisses und des Wiederaufbaus bestehender Plätze ents</w:t>
            </w:r>
            <w:r w:rsidRPr="00170422">
              <w:rPr>
                <w:noProof/>
                <w:lang w:val="de-DE"/>
              </w:rPr>
              <w:t>tanden sind. Die Investition umfasst nicht die Beschaffung von Erdgaskesseln.</w:t>
            </w:r>
          </w:p>
        </w:tc>
      </w:tr>
      <w:tr w:rsidR="0057163C" w:rsidRPr="00170422" w14:paraId="1952ED98" w14:textId="77777777" w:rsidTr="00E17A5C">
        <w:trPr>
          <w:trHeight w:val="300"/>
          <w:jc w:val="center"/>
        </w:trPr>
        <w:tc>
          <w:tcPr>
            <w:tcW w:w="1078" w:type="dxa"/>
            <w:shd w:val="clear" w:color="auto" w:fill="C6EFCE"/>
            <w:noWrap/>
            <w:vAlign w:val="center"/>
          </w:tcPr>
          <w:p w14:paraId="20902D35" w14:textId="77777777" w:rsidR="0057163C" w:rsidRPr="00170422" w:rsidRDefault="00F37BF9">
            <w:pPr>
              <w:pStyle w:val="P68B1DB1-Normal12"/>
              <w:jc w:val="center"/>
              <w:rPr>
                <w:noProof/>
                <w:lang w:val="de-DE"/>
              </w:rPr>
            </w:pPr>
            <w:r w:rsidRPr="00170422">
              <w:rPr>
                <w:noProof/>
                <w:lang w:val="de-DE"/>
              </w:rPr>
              <w:t>M4C1-21</w:t>
            </w:r>
          </w:p>
        </w:tc>
        <w:tc>
          <w:tcPr>
            <w:tcW w:w="1701" w:type="dxa"/>
            <w:shd w:val="clear" w:color="auto" w:fill="C6EFCE"/>
            <w:noWrap/>
            <w:vAlign w:val="center"/>
          </w:tcPr>
          <w:p w14:paraId="56231E53" w14:textId="77777777" w:rsidR="0057163C" w:rsidRPr="00170422" w:rsidRDefault="00F37BF9">
            <w:pPr>
              <w:pStyle w:val="P68B1DB1-Normal12"/>
              <w:jc w:val="center"/>
              <w:rPr>
                <w:noProof/>
                <w:lang w:val="de-DE"/>
              </w:rPr>
            </w:pPr>
            <w:r w:rsidRPr="00170422">
              <w:rPr>
                <w:noProof/>
                <w:lang w:val="de-DE"/>
              </w:rPr>
              <w:t>Investition 1.2: Plan für die Verlängerung der Vollzeitbeschäftigung</w:t>
            </w:r>
          </w:p>
        </w:tc>
        <w:tc>
          <w:tcPr>
            <w:tcW w:w="1135" w:type="dxa"/>
            <w:shd w:val="clear" w:color="auto" w:fill="C6EFCE"/>
            <w:noWrap/>
            <w:vAlign w:val="center"/>
          </w:tcPr>
          <w:p w14:paraId="1C4F285A" w14:textId="77777777" w:rsidR="0057163C" w:rsidRPr="00170422" w:rsidRDefault="00F37BF9">
            <w:pPr>
              <w:pStyle w:val="P68B1DB1-Normal12"/>
              <w:jc w:val="center"/>
              <w:rPr>
                <w:noProof/>
                <w:lang w:val="de-DE"/>
              </w:rPr>
            </w:pPr>
            <w:r w:rsidRPr="00170422">
              <w:rPr>
                <w:noProof/>
                <w:lang w:val="de-DE"/>
              </w:rPr>
              <w:t>Ziel</w:t>
            </w:r>
          </w:p>
        </w:tc>
        <w:tc>
          <w:tcPr>
            <w:tcW w:w="1814" w:type="dxa"/>
            <w:shd w:val="clear" w:color="auto" w:fill="C6EFCE"/>
            <w:noWrap/>
            <w:vAlign w:val="center"/>
          </w:tcPr>
          <w:p w14:paraId="23CBC223" w14:textId="77777777" w:rsidR="0057163C" w:rsidRPr="00170422" w:rsidRDefault="00F37BF9">
            <w:pPr>
              <w:pStyle w:val="P68B1DB1-Normal12"/>
              <w:jc w:val="center"/>
              <w:rPr>
                <w:noProof/>
                <w:lang w:val="de-DE"/>
              </w:rPr>
            </w:pPr>
            <w:r w:rsidRPr="00170422">
              <w:rPr>
                <w:noProof/>
                <w:lang w:val="de-DE"/>
              </w:rPr>
              <w:t>Bau oder Renovierung von Kantinenräumen in Schulen</w:t>
            </w:r>
          </w:p>
        </w:tc>
        <w:tc>
          <w:tcPr>
            <w:tcW w:w="1578" w:type="dxa"/>
            <w:shd w:val="clear" w:color="auto" w:fill="C6EFCE"/>
            <w:noWrap/>
            <w:vAlign w:val="center"/>
          </w:tcPr>
          <w:p w14:paraId="5AE39074" w14:textId="77777777" w:rsidR="0057163C" w:rsidRPr="00170422" w:rsidRDefault="00F37BF9">
            <w:pPr>
              <w:pStyle w:val="P68B1DB1-Normal12"/>
              <w:jc w:val="center"/>
              <w:rPr>
                <w:noProof/>
                <w:lang w:val="de-DE"/>
              </w:rPr>
            </w:pPr>
            <w:r w:rsidRPr="00170422">
              <w:rPr>
                <w:noProof/>
                <w:lang w:val="de-DE"/>
              </w:rPr>
              <w:t>ENTFÄLLT.</w:t>
            </w:r>
          </w:p>
        </w:tc>
        <w:tc>
          <w:tcPr>
            <w:tcW w:w="1148" w:type="dxa"/>
            <w:shd w:val="clear" w:color="auto" w:fill="C6EFCE"/>
            <w:noWrap/>
            <w:vAlign w:val="center"/>
          </w:tcPr>
          <w:p w14:paraId="6729A6E0" w14:textId="77777777" w:rsidR="0057163C" w:rsidRPr="00170422" w:rsidRDefault="00F37BF9">
            <w:pPr>
              <w:pStyle w:val="P68B1DB1-Normal12"/>
              <w:jc w:val="center"/>
              <w:rPr>
                <w:noProof/>
                <w:lang w:val="de-DE"/>
              </w:rPr>
            </w:pPr>
            <w:r w:rsidRPr="00170422">
              <w:rPr>
                <w:noProof/>
                <w:lang w:val="de-DE"/>
              </w:rPr>
              <w:t>Anzahl</w:t>
            </w:r>
          </w:p>
        </w:tc>
        <w:tc>
          <w:tcPr>
            <w:tcW w:w="1385" w:type="dxa"/>
            <w:shd w:val="clear" w:color="auto" w:fill="C6EFCE"/>
            <w:noWrap/>
            <w:vAlign w:val="center"/>
          </w:tcPr>
          <w:p w14:paraId="43F3DF6D" w14:textId="77777777" w:rsidR="0057163C" w:rsidRPr="00170422" w:rsidRDefault="00F37BF9">
            <w:pPr>
              <w:pStyle w:val="P68B1DB1-Normal12"/>
              <w:jc w:val="center"/>
              <w:rPr>
                <w:noProof/>
                <w:lang w:val="de-DE"/>
              </w:rPr>
            </w:pPr>
            <w:r w:rsidRPr="00170422">
              <w:rPr>
                <w:noProof/>
                <w:lang w:val="de-DE"/>
              </w:rPr>
              <w:t>0</w:t>
            </w:r>
          </w:p>
        </w:tc>
        <w:tc>
          <w:tcPr>
            <w:tcW w:w="596" w:type="dxa"/>
            <w:shd w:val="clear" w:color="auto" w:fill="C6EFCE"/>
            <w:noWrap/>
            <w:vAlign w:val="center"/>
          </w:tcPr>
          <w:p w14:paraId="7DCF42B1" w14:textId="77777777" w:rsidR="0057163C" w:rsidRPr="00170422" w:rsidRDefault="00F37BF9">
            <w:pPr>
              <w:pStyle w:val="P68B1DB1-Normal94"/>
              <w:jc w:val="center"/>
              <w:rPr>
                <w:rFonts w:hint="default"/>
                <w:noProof/>
                <w:lang w:val="de-DE"/>
              </w:rPr>
            </w:pPr>
            <w:r w:rsidRPr="00170422">
              <w:rPr>
                <w:rFonts w:hint="default"/>
                <w:noProof/>
                <w:lang w:val="de-DE"/>
              </w:rPr>
              <w:t>1 000</w:t>
            </w:r>
          </w:p>
        </w:tc>
        <w:tc>
          <w:tcPr>
            <w:tcW w:w="900" w:type="dxa"/>
            <w:shd w:val="clear" w:color="auto" w:fill="C6EFCE"/>
            <w:noWrap/>
            <w:vAlign w:val="center"/>
          </w:tcPr>
          <w:p w14:paraId="133E884C" w14:textId="77777777" w:rsidR="0057163C" w:rsidRPr="00170422" w:rsidRDefault="00F37BF9">
            <w:pPr>
              <w:pStyle w:val="P68B1DB1-Normal12"/>
              <w:jc w:val="center"/>
              <w:rPr>
                <w:noProof/>
                <w:lang w:val="de-DE"/>
              </w:rPr>
            </w:pPr>
            <w:r w:rsidRPr="00170422">
              <w:rPr>
                <w:noProof/>
                <w:lang w:val="de-DE"/>
              </w:rPr>
              <w:t>Q2</w:t>
            </w:r>
          </w:p>
        </w:tc>
        <w:tc>
          <w:tcPr>
            <w:tcW w:w="710" w:type="dxa"/>
            <w:shd w:val="clear" w:color="auto" w:fill="C6EFCE"/>
            <w:noWrap/>
            <w:vAlign w:val="center"/>
          </w:tcPr>
          <w:p w14:paraId="60FF9929" w14:textId="77777777" w:rsidR="0057163C" w:rsidRPr="00170422" w:rsidRDefault="00F37BF9">
            <w:pPr>
              <w:pStyle w:val="P68B1DB1-Normal12"/>
              <w:jc w:val="center"/>
              <w:rPr>
                <w:noProof/>
                <w:lang w:val="de-DE"/>
              </w:rPr>
            </w:pPr>
            <w:r w:rsidRPr="00170422">
              <w:rPr>
                <w:noProof/>
                <w:lang w:val="de-DE"/>
              </w:rPr>
              <w:t>2026</w:t>
            </w:r>
          </w:p>
        </w:tc>
        <w:tc>
          <w:tcPr>
            <w:tcW w:w="3208" w:type="dxa"/>
            <w:shd w:val="clear" w:color="auto" w:fill="C6EFCE"/>
            <w:noWrap/>
            <w:vAlign w:val="center"/>
          </w:tcPr>
          <w:p w14:paraId="46648519" w14:textId="21295D1A" w:rsidR="0057163C" w:rsidRPr="00170422" w:rsidRDefault="00F37BF9">
            <w:pPr>
              <w:pStyle w:val="P68B1DB1-Normal12"/>
              <w:rPr>
                <w:noProof/>
                <w:lang w:val="de-DE"/>
              </w:rPr>
            </w:pPr>
            <w:r w:rsidRPr="00170422">
              <w:rPr>
                <w:noProof/>
                <w:lang w:val="de-DE"/>
              </w:rPr>
              <w:t xml:space="preserve">Für </w:t>
            </w:r>
            <w:r w:rsidRPr="00170422">
              <w:rPr>
                <w:noProof/>
                <w:lang w:val="de-DE"/>
              </w:rPr>
              <w:t>mindestens 1000 Kantinenräume in Schulen werden Bescheinigungen über den Abschluss der Arbeiten ausgestellt.</w:t>
            </w:r>
          </w:p>
        </w:tc>
      </w:tr>
      <w:tr w:rsidR="0057163C" w:rsidRPr="00170422" w14:paraId="343B84F2" w14:textId="77777777" w:rsidTr="00E17A5C">
        <w:trPr>
          <w:trHeight w:val="300"/>
          <w:jc w:val="center"/>
        </w:trPr>
        <w:tc>
          <w:tcPr>
            <w:tcW w:w="1078" w:type="dxa"/>
            <w:shd w:val="clear" w:color="auto" w:fill="C6EFCE"/>
            <w:noWrap/>
            <w:vAlign w:val="center"/>
          </w:tcPr>
          <w:p w14:paraId="1D71AE12" w14:textId="77777777" w:rsidR="0057163C" w:rsidRPr="00170422" w:rsidRDefault="00F37BF9">
            <w:pPr>
              <w:pStyle w:val="P68B1DB1-Normal12"/>
              <w:jc w:val="center"/>
              <w:rPr>
                <w:noProof/>
                <w:lang w:val="de-DE"/>
              </w:rPr>
            </w:pPr>
            <w:r w:rsidRPr="00170422">
              <w:rPr>
                <w:noProof/>
                <w:lang w:val="de-DE"/>
              </w:rPr>
              <w:t>M4C1-26</w:t>
            </w:r>
          </w:p>
        </w:tc>
        <w:tc>
          <w:tcPr>
            <w:tcW w:w="1701" w:type="dxa"/>
            <w:shd w:val="clear" w:color="auto" w:fill="C6EFCE"/>
            <w:noWrap/>
            <w:vAlign w:val="center"/>
          </w:tcPr>
          <w:p w14:paraId="2D2FB7D1" w14:textId="77777777" w:rsidR="0057163C" w:rsidRPr="00170422" w:rsidRDefault="00F37BF9">
            <w:pPr>
              <w:pStyle w:val="P68B1DB1-Normal12"/>
              <w:jc w:val="center"/>
              <w:rPr>
                <w:noProof/>
                <w:lang w:val="de-DE"/>
              </w:rPr>
            </w:pPr>
            <w:r w:rsidRPr="00170422">
              <w:rPr>
                <w:noProof/>
                <w:lang w:val="de-DE"/>
              </w:rPr>
              <w:t>Investition 3.3: Plan für Sicherheit und strukturelle Sanierung von Schulgebäuden</w:t>
            </w:r>
          </w:p>
        </w:tc>
        <w:tc>
          <w:tcPr>
            <w:tcW w:w="1135" w:type="dxa"/>
            <w:shd w:val="clear" w:color="auto" w:fill="C6EFCE"/>
            <w:noWrap/>
            <w:vAlign w:val="center"/>
          </w:tcPr>
          <w:p w14:paraId="1AAB8726" w14:textId="77777777" w:rsidR="0057163C" w:rsidRPr="00170422" w:rsidRDefault="00F37BF9">
            <w:pPr>
              <w:pStyle w:val="P68B1DB1-Normal12"/>
              <w:jc w:val="center"/>
              <w:rPr>
                <w:noProof/>
                <w:lang w:val="de-DE"/>
              </w:rPr>
            </w:pPr>
            <w:r w:rsidRPr="00170422">
              <w:rPr>
                <w:noProof/>
                <w:lang w:val="de-DE"/>
              </w:rPr>
              <w:t>Ziel</w:t>
            </w:r>
          </w:p>
        </w:tc>
        <w:tc>
          <w:tcPr>
            <w:tcW w:w="1814" w:type="dxa"/>
            <w:shd w:val="clear" w:color="auto" w:fill="C6EFCE"/>
            <w:noWrap/>
            <w:vAlign w:val="center"/>
          </w:tcPr>
          <w:p w14:paraId="416C7573" w14:textId="77777777" w:rsidR="0057163C" w:rsidRPr="00170422" w:rsidRDefault="00F37BF9">
            <w:pPr>
              <w:pStyle w:val="P68B1DB1-Normal12"/>
              <w:jc w:val="center"/>
              <w:rPr>
                <w:noProof/>
                <w:lang w:val="de-DE"/>
              </w:rPr>
            </w:pPr>
            <w:r w:rsidRPr="00170422">
              <w:rPr>
                <w:noProof/>
                <w:lang w:val="de-DE"/>
              </w:rPr>
              <w:t xml:space="preserve"> Renovierte oder renovierte Schulgebäude</w:t>
            </w:r>
          </w:p>
        </w:tc>
        <w:tc>
          <w:tcPr>
            <w:tcW w:w="1578" w:type="dxa"/>
            <w:shd w:val="clear" w:color="auto" w:fill="C6EFCE"/>
            <w:noWrap/>
            <w:vAlign w:val="center"/>
          </w:tcPr>
          <w:p w14:paraId="78E2A2E7" w14:textId="77777777" w:rsidR="0057163C" w:rsidRPr="00170422" w:rsidRDefault="00F37BF9">
            <w:pPr>
              <w:pStyle w:val="P68B1DB1-Normal12"/>
              <w:jc w:val="center"/>
              <w:rPr>
                <w:noProof/>
                <w:lang w:val="de-DE"/>
              </w:rPr>
            </w:pPr>
            <w:r w:rsidRPr="00170422">
              <w:rPr>
                <w:noProof/>
                <w:lang w:val="de-DE"/>
              </w:rPr>
              <w:t>ENTFÄLLT.</w:t>
            </w:r>
          </w:p>
        </w:tc>
        <w:tc>
          <w:tcPr>
            <w:tcW w:w="1148" w:type="dxa"/>
            <w:shd w:val="clear" w:color="auto" w:fill="C6EFCE"/>
            <w:noWrap/>
            <w:vAlign w:val="center"/>
          </w:tcPr>
          <w:p w14:paraId="299067DD" w14:textId="77777777" w:rsidR="0057163C" w:rsidRPr="00170422" w:rsidRDefault="00F37BF9">
            <w:pPr>
              <w:pStyle w:val="P68B1DB1-Normal12"/>
              <w:jc w:val="center"/>
              <w:rPr>
                <w:noProof/>
                <w:lang w:val="de-DE"/>
              </w:rPr>
            </w:pPr>
            <w:r w:rsidRPr="00170422">
              <w:rPr>
                <w:noProof/>
                <w:lang w:val="de-DE"/>
              </w:rPr>
              <w:t>Anzahl</w:t>
            </w:r>
          </w:p>
        </w:tc>
        <w:tc>
          <w:tcPr>
            <w:tcW w:w="1385" w:type="dxa"/>
            <w:shd w:val="clear" w:color="auto" w:fill="C6EFCE"/>
            <w:noWrap/>
            <w:vAlign w:val="center"/>
          </w:tcPr>
          <w:p w14:paraId="23ED4B26" w14:textId="77777777" w:rsidR="0057163C" w:rsidRPr="00170422" w:rsidRDefault="00F37BF9">
            <w:pPr>
              <w:pStyle w:val="P68B1DB1-Normal12"/>
              <w:jc w:val="center"/>
              <w:rPr>
                <w:noProof/>
                <w:lang w:val="de-DE"/>
              </w:rPr>
            </w:pPr>
            <w:r w:rsidRPr="00170422">
              <w:rPr>
                <w:noProof/>
                <w:lang w:val="de-DE"/>
              </w:rPr>
              <w:t>0</w:t>
            </w:r>
          </w:p>
        </w:tc>
        <w:tc>
          <w:tcPr>
            <w:tcW w:w="596" w:type="dxa"/>
            <w:shd w:val="clear" w:color="auto" w:fill="C6EFCE"/>
            <w:noWrap/>
            <w:vAlign w:val="center"/>
          </w:tcPr>
          <w:p w14:paraId="6168BDAE" w14:textId="4CFB3D6A" w:rsidR="0057163C" w:rsidRPr="00170422" w:rsidRDefault="00F37BF9">
            <w:pPr>
              <w:pStyle w:val="P68B1DB1-Normal12"/>
              <w:jc w:val="center"/>
              <w:rPr>
                <w:noProof/>
                <w:lang w:val="de-DE"/>
              </w:rPr>
            </w:pPr>
            <w:r w:rsidRPr="00170422">
              <w:rPr>
                <w:noProof/>
                <w:lang w:val="de-DE"/>
              </w:rPr>
              <w:t>1 400</w:t>
            </w:r>
          </w:p>
        </w:tc>
        <w:tc>
          <w:tcPr>
            <w:tcW w:w="900" w:type="dxa"/>
            <w:shd w:val="clear" w:color="auto" w:fill="C6EFCE"/>
            <w:noWrap/>
            <w:vAlign w:val="center"/>
          </w:tcPr>
          <w:p w14:paraId="0A41A3FD" w14:textId="77777777" w:rsidR="0057163C" w:rsidRPr="00170422" w:rsidRDefault="00F37BF9">
            <w:pPr>
              <w:pStyle w:val="P68B1DB1-Normal12"/>
              <w:jc w:val="center"/>
              <w:rPr>
                <w:noProof/>
                <w:lang w:val="de-DE"/>
              </w:rPr>
            </w:pPr>
            <w:r w:rsidRPr="00170422">
              <w:rPr>
                <w:noProof/>
                <w:lang w:val="de-DE"/>
              </w:rPr>
              <w:t>Q2</w:t>
            </w:r>
          </w:p>
        </w:tc>
        <w:tc>
          <w:tcPr>
            <w:tcW w:w="710" w:type="dxa"/>
            <w:shd w:val="clear" w:color="auto" w:fill="C6EFCE"/>
            <w:noWrap/>
            <w:vAlign w:val="center"/>
          </w:tcPr>
          <w:p w14:paraId="133CEA58" w14:textId="77777777" w:rsidR="0057163C" w:rsidRPr="00170422" w:rsidRDefault="00F37BF9">
            <w:pPr>
              <w:pStyle w:val="P68B1DB1-Normal12"/>
              <w:jc w:val="center"/>
              <w:rPr>
                <w:noProof/>
                <w:lang w:val="de-DE"/>
              </w:rPr>
            </w:pPr>
            <w:r w:rsidRPr="00170422">
              <w:rPr>
                <w:noProof/>
                <w:lang w:val="de-DE"/>
              </w:rPr>
              <w:t>2026</w:t>
            </w:r>
          </w:p>
        </w:tc>
        <w:tc>
          <w:tcPr>
            <w:tcW w:w="3208" w:type="dxa"/>
            <w:shd w:val="clear" w:color="auto" w:fill="C6EFCE"/>
            <w:noWrap/>
            <w:vAlign w:val="center"/>
          </w:tcPr>
          <w:p w14:paraId="74D89791" w14:textId="4AE582E4" w:rsidR="0057163C" w:rsidRPr="00170422" w:rsidRDefault="00F37BF9">
            <w:pPr>
              <w:pStyle w:val="P68B1DB1-Normal12"/>
              <w:rPr>
                <w:noProof/>
                <w:lang w:val="de-DE"/>
              </w:rPr>
            </w:pPr>
            <w:r w:rsidRPr="00170422">
              <w:rPr>
                <w:noProof/>
                <w:lang w:val="de-DE"/>
              </w:rPr>
              <w:t>Für mindestens 1400 Schulgebäude werden Bescheinigungen über den Abschluss von Renovierungs- oder Umbauarbeiten zur Verbesserung der Sicherheit oder Energieeffizienz ausgestellt. Die Investition umfasst nicht die Beschaffung von Erdg</w:t>
            </w:r>
            <w:r w:rsidRPr="00170422">
              <w:rPr>
                <w:noProof/>
                <w:lang w:val="de-DE"/>
              </w:rPr>
              <w:t>askesseln.</w:t>
            </w:r>
          </w:p>
        </w:tc>
      </w:tr>
      <w:tr w:rsidR="0057163C" w:rsidRPr="00170422" w14:paraId="41ABCBF5" w14:textId="77777777" w:rsidTr="00E17A5C">
        <w:trPr>
          <w:trHeight w:val="300"/>
          <w:jc w:val="center"/>
        </w:trPr>
        <w:tc>
          <w:tcPr>
            <w:tcW w:w="1078" w:type="dxa"/>
            <w:shd w:val="clear" w:color="auto" w:fill="C6EFCE"/>
            <w:noWrap/>
            <w:vAlign w:val="center"/>
            <w:hideMark/>
          </w:tcPr>
          <w:p w14:paraId="6A6807B6" w14:textId="77777777" w:rsidR="0057163C" w:rsidRPr="00170422" w:rsidRDefault="00F37BF9">
            <w:pPr>
              <w:pStyle w:val="P68B1DB1-Normal12"/>
              <w:jc w:val="center"/>
              <w:rPr>
                <w:noProof/>
                <w:lang w:val="de-DE"/>
              </w:rPr>
            </w:pPr>
            <w:r w:rsidRPr="00170422">
              <w:rPr>
                <w:noProof/>
                <w:lang w:val="de-DE"/>
              </w:rPr>
              <w:t>M4C1-27</w:t>
            </w:r>
          </w:p>
        </w:tc>
        <w:tc>
          <w:tcPr>
            <w:tcW w:w="1701" w:type="dxa"/>
            <w:shd w:val="clear" w:color="auto" w:fill="C6EFCE"/>
            <w:noWrap/>
            <w:vAlign w:val="center"/>
          </w:tcPr>
          <w:p w14:paraId="33FCBC1E" w14:textId="77777777" w:rsidR="0057163C" w:rsidRPr="00170422" w:rsidRDefault="00F37BF9">
            <w:pPr>
              <w:pStyle w:val="P68B1DB1-Normal12"/>
              <w:jc w:val="center"/>
              <w:rPr>
                <w:noProof/>
                <w:lang w:val="de-DE"/>
              </w:rPr>
            </w:pPr>
            <w:r w:rsidRPr="00170422">
              <w:rPr>
                <w:noProof/>
                <w:lang w:val="de-DE"/>
              </w:rPr>
              <w:t>Reform 1.7: Reform der Regelung für den Studentenwohnsitz und Investitionen in den Studentenwohnsitz</w:t>
            </w:r>
          </w:p>
        </w:tc>
        <w:tc>
          <w:tcPr>
            <w:tcW w:w="1135" w:type="dxa"/>
            <w:shd w:val="clear" w:color="auto" w:fill="C6EFCE"/>
            <w:noWrap/>
            <w:vAlign w:val="center"/>
            <w:hideMark/>
          </w:tcPr>
          <w:p w14:paraId="01C98D10" w14:textId="77777777" w:rsidR="0057163C" w:rsidRPr="00170422" w:rsidRDefault="00F37BF9">
            <w:pPr>
              <w:pStyle w:val="P68B1DB1-Normal12"/>
              <w:jc w:val="center"/>
              <w:rPr>
                <w:noProof/>
                <w:lang w:val="de-DE"/>
              </w:rPr>
            </w:pPr>
            <w:r w:rsidRPr="00170422">
              <w:rPr>
                <w:noProof/>
                <w:lang w:val="de-DE"/>
              </w:rPr>
              <w:t>Meilenstein</w:t>
            </w:r>
          </w:p>
        </w:tc>
        <w:tc>
          <w:tcPr>
            <w:tcW w:w="1814" w:type="dxa"/>
            <w:shd w:val="clear" w:color="auto" w:fill="C6EFCE"/>
            <w:noWrap/>
            <w:vAlign w:val="center"/>
          </w:tcPr>
          <w:p w14:paraId="2C356133" w14:textId="77777777" w:rsidR="0057163C" w:rsidRPr="00170422" w:rsidRDefault="00F37BF9">
            <w:pPr>
              <w:pStyle w:val="P68B1DB1-Normal12"/>
              <w:jc w:val="center"/>
              <w:rPr>
                <w:noProof/>
                <w:lang w:val="de-DE"/>
              </w:rPr>
            </w:pPr>
            <w:r w:rsidRPr="00170422">
              <w:rPr>
                <w:noProof/>
                <w:lang w:val="de-DE"/>
              </w:rPr>
              <w:t>Inkrafttreten von Rechtsvorschriften zur Änderung der geltenden Vorschriften für Studentenwohnungen.</w:t>
            </w:r>
          </w:p>
        </w:tc>
        <w:tc>
          <w:tcPr>
            <w:tcW w:w="1578" w:type="dxa"/>
            <w:shd w:val="clear" w:color="auto" w:fill="C6EFCE"/>
            <w:noWrap/>
            <w:vAlign w:val="center"/>
            <w:hideMark/>
          </w:tcPr>
          <w:p w14:paraId="16DEB8D3" w14:textId="77777777" w:rsidR="0057163C" w:rsidRPr="00170422" w:rsidRDefault="00F37BF9">
            <w:pPr>
              <w:pStyle w:val="P68B1DB1-Normal12"/>
              <w:jc w:val="center"/>
              <w:rPr>
                <w:noProof/>
                <w:lang w:val="de-DE"/>
              </w:rPr>
            </w:pPr>
            <w:r w:rsidRPr="00170422">
              <w:rPr>
                <w:noProof/>
                <w:lang w:val="de-DE"/>
              </w:rPr>
              <w:t xml:space="preserve">Gesetzliche </w:t>
            </w:r>
            <w:r w:rsidRPr="00170422">
              <w:rPr>
                <w:noProof/>
                <w:lang w:val="de-DE"/>
              </w:rPr>
              <w:t>Bestimmung, aus der das Inkrafttreten der Rechtsvorschriften hervorgeht.</w:t>
            </w:r>
          </w:p>
        </w:tc>
        <w:tc>
          <w:tcPr>
            <w:tcW w:w="1148" w:type="dxa"/>
            <w:shd w:val="clear" w:color="auto" w:fill="C6EFCE"/>
            <w:noWrap/>
            <w:vAlign w:val="center"/>
            <w:hideMark/>
          </w:tcPr>
          <w:p w14:paraId="79653238" w14:textId="77777777" w:rsidR="0057163C" w:rsidRPr="00170422" w:rsidRDefault="00F37BF9">
            <w:pPr>
              <w:pStyle w:val="P68B1DB1-Normal12"/>
              <w:jc w:val="center"/>
              <w:rPr>
                <w:noProof/>
                <w:lang w:val="de-DE"/>
              </w:rPr>
            </w:pPr>
            <w:r w:rsidRPr="00170422">
              <w:rPr>
                <w:noProof/>
                <w:lang w:val="de-DE"/>
              </w:rPr>
              <w:t>ENTFÄLLT.</w:t>
            </w:r>
          </w:p>
        </w:tc>
        <w:tc>
          <w:tcPr>
            <w:tcW w:w="1385" w:type="dxa"/>
            <w:shd w:val="clear" w:color="auto" w:fill="C6EFCE"/>
            <w:noWrap/>
            <w:vAlign w:val="center"/>
          </w:tcPr>
          <w:p w14:paraId="3A4477B2" w14:textId="77777777" w:rsidR="0057163C" w:rsidRPr="00170422" w:rsidRDefault="00F37BF9">
            <w:pPr>
              <w:pStyle w:val="P68B1DB1-Normal12"/>
              <w:jc w:val="center"/>
              <w:rPr>
                <w:noProof/>
                <w:lang w:val="de-DE"/>
              </w:rPr>
            </w:pPr>
            <w:r w:rsidRPr="00170422">
              <w:rPr>
                <w:noProof/>
                <w:lang w:val="de-DE"/>
              </w:rPr>
              <w:t>ENTFÄLLT.</w:t>
            </w:r>
          </w:p>
        </w:tc>
        <w:tc>
          <w:tcPr>
            <w:tcW w:w="596" w:type="dxa"/>
            <w:shd w:val="clear" w:color="auto" w:fill="C6EFCE"/>
            <w:noWrap/>
            <w:vAlign w:val="center"/>
          </w:tcPr>
          <w:p w14:paraId="6FB0AA1F" w14:textId="77777777" w:rsidR="0057163C" w:rsidRPr="00170422" w:rsidRDefault="00F37BF9">
            <w:pPr>
              <w:pStyle w:val="P68B1DB1-Normal12"/>
              <w:jc w:val="center"/>
              <w:rPr>
                <w:noProof/>
                <w:lang w:val="de-DE"/>
              </w:rPr>
            </w:pPr>
            <w:r w:rsidRPr="00170422">
              <w:rPr>
                <w:noProof/>
                <w:lang w:val="de-DE"/>
              </w:rPr>
              <w:t>ENTFÄLLT.</w:t>
            </w:r>
          </w:p>
        </w:tc>
        <w:tc>
          <w:tcPr>
            <w:tcW w:w="900" w:type="dxa"/>
            <w:shd w:val="clear" w:color="auto" w:fill="C6EFCE"/>
            <w:noWrap/>
            <w:vAlign w:val="center"/>
            <w:hideMark/>
          </w:tcPr>
          <w:p w14:paraId="677B6BE2" w14:textId="77777777" w:rsidR="0057163C" w:rsidRPr="00170422" w:rsidRDefault="00F37BF9">
            <w:pPr>
              <w:pStyle w:val="P68B1DB1-Normal12"/>
              <w:jc w:val="center"/>
              <w:rPr>
                <w:noProof/>
                <w:lang w:val="de-DE"/>
              </w:rPr>
            </w:pPr>
            <w:r w:rsidRPr="00170422">
              <w:rPr>
                <w:noProof/>
                <w:lang w:val="de-DE"/>
              </w:rPr>
              <w:t>4. QUARTAL</w:t>
            </w:r>
          </w:p>
        </w:tc>
        <w:tc>
          <w:tcPr>
            <w:tcW w:w="710" w:type="dxa"/>
            <w:shd w:val="clear" w:color="auto" w:fill="C6EFCE"/>
            <w:noWrap/>
            <w:vAlign w:val="center"/>
            <w:hideMark/>
          </w:tcPr>
          <w:p w14:paraId="04E6AA6D" w14:textId="77777777" w:rsidR="0057163C" w:rsidRPr="00170422" w:rsidRDefault="00F37BF9">
            <w:pPr>
              <w:pStyle w:val="P68B1DB1-Normal12"/>
              <w:jc w:val="center"/>
              <w:rPr>
                <w:noProof/>
                <w:lang w:val="de-DE"/>
              </w:rPr>
            </w:pPr>
            <w:r w:rsidRPr="00170422">
              <w:rPr>
                <w:noProof/>
                <w:lang w:val="de-DE"/>
              </w:rPr>
              <w:t>2021</w:t>
            </w:r>
          </w:p>
        </w:tc>
        <w:tc>
          <w:tcPr>
            <w:tcW w:w="3208" w:type="dxa"/>
            <w:shd w:val="clear" w:color="auto" w:fill="C6EFCE"/>
            <w:noWrap/>
            <w:vAlign w:val="center"/>
            <w:hideMark/>
          </w:tcPr>
          <w:p w14:paraId="3EA388AB" w14:textId="4F203132"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Die überarbeiteten Rechtsvorschriften müssen</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Änderung der geltenden Vorschriften für Studentenwohnungen (Gesetz 338/2000 und gesetzesve</w:t>
            </w:r>
            <w:r w:rsidRPr="00170422">
              <w:rPr>
                <w:rFonts w:ascii="Arial Narrow" w:hAnsi="Arial Narrow"/>
                <w:noProof/>
                <w:color w:val="006100"/>
                <w:sz w:val="20"/>
                <w:szCs w:val="20"/>
                <w:lang w:val="de-DE"/>
              </w:rPr>
              <w:t>rtretendes Dekret Nr. 68/2012), um</w:t>
            </w:r>
          </w:p>
          <w:p w14:paraId="22BEEB07" w14:textId="77777777" w:rsidR="0057163C" w:rsidRPr="00170422" w:rsidRDefault="00F37BF9">
            <w:pPr>
              <w:pStyle w:val="P68B1DB1-Normal12"/>
              <w:rPr>
                <w:noProof/>
                <w:lang w:val="de-DE"/>
              </w:rPr>
            </w:pPr>
            <w:r w:rsidRPr="00170422">
              <w:rPr>
                <w:noProof/>
                <w:lang w:val="de-DE"/>
              </w:rPr>
              <w:t>(1). Förderung der Umstrukturierung und Renovierung von Strukturen anstelle neuer Grünflächengebäude (mit einem höheren Anteil an Mitgründungen (derzeit 50 %)), wobei der höchste Umweltstandard durch die vorgestellten Pro</w:t>
            </w:r>
            <w:r w:rsidRPr="00170422">
              <w:rPr>
                <w:noProof/>
                <w:lang w:val="de-DE"/>
              </w:rPr>
              <w:t>jekte gewährleistet werden muss;</w:t>
            </w:r>
          </w:p>
          <w:p w14:paraId="114B3C65" w14:textId="77777777" w:rsidR="0057163C" w:rsidRPr="00170422" w:rsidRDefault="00F37BF9">
            <w:pPr>
              <w:pStyle w:val="P68B1DB1-Normal12"/>
              <w:rPr>
                <w:noProof/>
                <w:lang w:val="de-DE"/>
              </w:rPr>
            </w:pPr>
            <w:r w:rsidRPr="00170422">
              <w:rPr>
                <w:noProof/>
                <w:lang w:val="de-DE"/>
              </w:rPr>
              <w:t>(2). Vereinfachung – auch dank der Digitalisierung – der Präsentation und Auswahl von Projekten und damit des Zeitplans für die Umsetzung;</w:t>
            </w:r>
          </w:p>
          <w:p w14:paraId="0E58A1CC" w14:textId="55E89F76" w:rsidR="0057163C" w:rsidRPr="00170422" w:rsidRDefault="00F37BF9">
            <w:pPr>
              <w:pStyle w:val="P68B1DB1-Normal12"/>
              <w:rPr>
                <w:noProof/>
                <w:lang w:val="de-DE"/>
              </w:rPr>
            </w:pPr>
            <w:r w:rsidRPr="00170422">
              <w:rPr>
                <w:noProof/>
                <w:lang w:val="de-DE"/>
              </w:rPr>
              <w:t>(3) Gesetzlich eine Abweichung von den im Gesetz Nr. 338/2000 festgelegten Kriterien</w:t>
            </w:r>
            <w:r w:rsidRPr="00170422">
              <w:rPr>
                <w:noProof/>
                <w:lang w:val="de-DE"/>
              </w:rPr>
              <w:t xml:space="preserve"> in Bezug auf den Prozentsatz der Kofinanzierung vorsehen, der gewährt werden kann.</w:t>
            </w:r>
          </w:p>
          <w:p w14:paraId="7943BDF0" w14:textId="77777777" w:rsidR="0057163C" w:rsidRPr="00170422" w:rsidRDefault="00F37BF9">
            <w:pPr>
              <w:pStyle w:val="P68B1DB1-Normal12"/>
              <w:rPr>
                <w:noProof/>
                <w:lang w:val="de-DE"/>
              </w:rPr>
            </w:pPr>
            <w:r w:rsidRPr="00170422">
              <w:rPr>
                <w:noProof/>
                <w:lang w:val="de-DE"/>
              </w:rPr>
              <w:t>Eine Reform wird durchgeführt, indem in den italienischen Rechtsrahmen für die Finanzierung von Studentenwohnungen die folgenden wesentlichen Änderungen aufgenommen werden:</w:t>
            </w:r>
          </w:p>
          <w:p w14:paraId="36DA8E2F" w14:textId="77777777" w:rsidR="0057163C" w:rsidRPr="00170422" w:rsidRDefault="00F37BF9">
            <w:pPr>
              <w:pStyle w:val="P68B1DB1-Normal12"/>
              <w:rPr>
                <w:noProof/>
                <w:lang w:val="de-DE"/>
              </w:rPr>
            </w:pPr>
            <w:r w:rsidRPr="00170422">
              <w:rPr>
                <w:noProof/>
                <w:lang w:val="de-DE"/>
              </w:rPr>
              <w:t xml:space="preserve">1. Öffnung der Beteiligung an der Finanzierung auch für private Investoren (gemäß dem in der Durchführung beschriebenen Programm), wobei auch öffentlich-private Partnerschaften ermöglicht werden, bei denen die Universität die verfügbaren Mittel nutzt, um </w:t>
            </w:r>
            <w:r w:rsidRPr="00170422">
              <w:rPr>
                <w:noProof/>
                <w:lang w:val="de-DE"/>
              </w:rPr>
              <w:t>das finanzielle Gleichgewicht bei Immobilieninvestitionen für Studentenwohnungen zu fördern;</w:t>
            </w:r>
          </w:p>
          <w:p w14:paraId="798D6D6C" w14:textId="77777777" w:rsidR="0057163C" w:rsidRPr="00170422" w:rsidRDefault="00F37BF9">
            <w:pPr>
              <w:pStyle w:val="P68B1DB1-Normal12"/>
              <w:rPr>
                <w:noProof/>
                <w:lang w:val="de-DE"/>
              </w:rPr>
            </w:pPr>
            <w:r w:rsidRPr="00170422">
              <w:rPr>
                <w:noProof/>
                <w:lang w:val="de-DE"/>
              </w:rPr>
              <w:t>2. Gewährleistung der langfristigen Tragfähigkeit der privaten Investitionen, indem sichergestellt wird, dass die Besteuerungsregelung von der für Hoteldienstleist</w:t>
            </w:r>
            <w:r w:rsidRPr="00170422">
              <w:rPr>
                <w:noProof/>
                <w:lang w:val="de-DE"/>
              </w:rPr>
              <w:t>ungen geltenden zu der für Sozialwohnungen geltenden Regelung geändert wird, indem die Nutzung der neuen Unterkünfte für die Unterbringung von Studierenden während des akademischen Jahres eingeschränkt wird, aber die Nutzung der Strukturen ermöglicht wird,</w:t>
            </w:r>
            <w:r w:rsidRPr="00170422">
              <w:rPr>
                <w:noProof/>
                <w:lang w:val="de-DE"/>
              </w:rPr>
              <w:t xml:space="preserve"> wenn sie nicht für die Bewirtung von Studierenden benötigt werden. Dies wiederum wird dazu beitragen, dass neue Unterkünfte zu erschwinglichen Mieten angeboten werden;g3. Die Finanzierung sowie zusätzliche Steuervergünstigungen (z. B. Gleichbehandlung mit</w:t>
            </w:r>
            <w:r w:rsidRPr="00170422">
              <w:rPr>
                <w:noProof/>
                <w:lang w:val="de-DE"/>
              </w:rPr>
              <w:t xml:space="preserve"> Sozialwohnungen) an die Nutzung der neuen Wohnungen für Studentenwohnungen während des gesamten Investitionshorizonts und die Einhaltung der vereinbarten Obergrenze für die den Studierenden in Rechnung gestellten Mieten auch nach Ablauf der Sonderförderpr</w:t>
            </w:r>
            <w:r w:rsidRPr="00170422">
              <w:rPr>
                <w:noProof/>
                <w:lang w:val="de-DE"/>
              </w:rPr>
              <w:t>ogramme, zu deren Investition ich durch private Betreiber beiträgt, zu knüpfen;n4. Neufestlegung der Standards für Studentenunterkünfte durch Neufestlegung der rechtlichen Anforderungen an den in den Gebäuden verfügbaren gemeinsamen Raum pro Student im Aus</w:t>
            </w:r>
            <w:r w:rsidRPr="00170422">
              <w:rPr>
                <w:noProof/>
                <w:lang w:val="de-DE"/>
              </w:rPr>
              <w:t>tausch für besser ausgestattete (Einzel-)Säle.</w:t>
            </w:r>
          </w:p>
        </w:tc>
      </w:tr>
      <w:tr w:rsidR="0057163C" w:rsidRPr="00170422" w14:paraId="2AF0DBE6" w14:textId="77777777" w:rsidTr="00E17A5C">
        <w:trPr>
          <w:trHeight w:val="300"/>
          <w:jc w:val="center"/>
        </w:trPr>
        <w:tc>
          <w:tcPr>
            <w:tcW w:w="1078" w:type="dxa"/>
            <w:shd w:val="clear" w:color="auto" w:fill="C6EFCE"/>
            <w:noWrap/>
            <w:vAlign w:val="center"/>
            <w:hideMark/>
          </w:tcPr>
          <w:p w14:paraId="76BC5C6E" w14:textId="77777777" w:rsidR="0057163C" w:rsidRPr="00170422" w:rsidRDefault="00F37BF9">
            <w:pPr>
              <w:pStyle w:val="P68B1DB1-Normal12"/>
              <w:jc w:val="center"/>
              <w:rPr>
                <w:noProof/>
                <w:lang w:val="de-DE"/>
              </w:rPr>
            </w:pPr>
            <w:r w:rsidRPr="00170422">
              <w:rPr>
                <w:noProof/>
                <w:lang w:val="de-DE"/>
              </w:rPr>
              <w:t>M4C1-28</w:t>
            </w:r>
          </w:p>
        </w:tc>
        <w:tc>
          <w:tcPr>
            <w:tcW w:w="1701" w:type="dxa"/>
            <w:shd w:val="clear" w:color="auto" w:fill="C6EFCE"/>
            <w:noWrap/>
            <w:vAlign w:val="center"/>
            <w:hideMark/>
          </w:tcPr>
          <w:p w14:paraId="3332CD6A" w14:textId="77777777" w:rsidR="0057163C" w:rsidRPr="00170422" w:rsidRDefault="00F37BF9">
            <w:pPr>
              <w:pStyle w:val="P68B1DB1-Normal12"/>
              <w:jc w:val="center"/>
              <w:rPr>
                <w:noProof/>
                <w:lang w:val="de-DE"/>
              </w:rPr>
            </w:pPr>
            <w:r w:rsidRPr="00170422">
              <w:rPr>
                <w:noProof/>
                <w:lang w:val="de-DE"/>
              </w:rPr>
              <w:t>Reform 1.7: Reform der Regelung für den Studentenwohnsitz und Investitionen in den Studentenwohnsitz</w:t>
            </w:r>
          </w:p>
        </w:tc>
        <w:tc>
          <w:tcPr>
            <w:tcW w:w="1135" w:type="dxa"/>
            <w:shd w:val="clear" w:color="auto" w:fill="C6EFCE"/>
            <w:noWrap/>
            <w:vAlign w:val="center"/>
            <w:hideMark/>
          </w:tcPr>
          <w:p w14:paraId="3EFF3340" w14:textId="77777777" w:rsidR="0057163C" w:rsidRPr="00170422" w:rsidRDefault="00F37BF9">
            <w:pPr>
              <w:pStyle w:val="P68B1DB1-Normal12"/>
              <w:jc w:val="center"/>
              <w:rPr>
                <w:noProof/>
                <w:lang w:val="de-DE"/>
              </w:rPr>
            </w:pPr>
            <w:r w:rsidRPr="00170422">
              <w:rPr>
                <w:noProof/>
                <w:lang w:val="de-DE"/>
              </w:rPr>
              <w:t>Meilenstein</w:t>
            </w:r>
          </w:p>
        </w:tc>
        <w:tc>
          <w:tcPr>
            <w:tcW w:w="1814" w:type="dxa"/>
            <w:shd w:val="clear" w:color="auto" w:fill="C6EFCE"/>
            <w:noWrap/>
            <w:vAlign w:val="center"/>
            <w:hideMark/>
          </w:tcPr>
          <w:p w14:paraId="5F5DECA0" w14:textId="758DD8C5" w:rsidR="0057163C" w:rsidRPr="00170422" w:rsidRDefault="00F37BF9">
            <w:pPr>
              <w:pStyle w:val="P68B1DB1-Normal12"/>
              <w:jc w:val="center"/>
              <w:rPr>
                <w:noProof/>
                <w:lang w:val="de-DE"/>
              </w:rPr>
            </w:pPr>
            <w:r w:rsidRPr="00170422">
              <w:rPr>
                <w:noProof/>
                <w:lang w:val="de-DE"/>
              </w:rPr>
              <w:t xml:space="preserve">Vergabe öffentlicher Aufträge für die Schaffung zusätzlicher Schlafgelegenheiten </w:t>
            </w:r>
            <w:r w:rsidRPr="00170422">
              <w:rPr>
                <w:noProof/>
                <w:lang w:val="de-DE"/>
              </w:rPr>
              <w:t>(Betten)</w:t>
            </w:r>
          </w:p>
        </w:tc>
        <w:tc>
          <w:tcPr>
            <w:tcW w:w="1578" w:type="dxa"/>
            <w:shd w:val="clear" w:color="auto" w:fill="C6EFCE"/>
            <w:noWrap/>
            <w:vAlign w:val="center"/>
            <w:hideMark/>
          </w:tcPr>
          <w:p w14:paraId="314B8FD1" w14:textId="77777777" w:rsidR="0057163C" w:rsidRPr="00170422" w:rsidRDefault="00F37BF9">
            <w:pPr>
              <w:pStyle w:val="P68B1DB1-Normal12"/>
              <w:jc w:val="center"/>
              <w:rPr>
                <w:noProof/>
                <w:lang w:val="de-DE"/>
              </w:rPr>
            </w:pPr>
            <w:r w:rsidRPr="00170422">
              <w:rPr>
                <w:noProof/>
                <w:lang w:val="de-DE"/>
              </w:rPr>
              <w:t xml:space="preserve"> Veröffentlichung der Vergaben in der Website des Ministeriums</w:t>
            </w:r>
          </w:p>
        </w:tc>
        <w:tc>
          <w:tcPr>
            <w:tcW w:w="1148" w:type="dxa"/>
            <w:shd w:val="clear" w:color="auto" w:fill="C6EFCE"/>
            <w:noWrap/>
            <w:vAlign w:val="center"/>
            <w:hideMark/>
          </w:tcPr>
          <w:p w14:paraId="3AD908A9" w14:textId="77777777" w:rsidR="0057163C" w:rsidRPr="00170422" w:rsidRDefault="00F37BF9">
            <w:pPr>
              <w:pStyle w:val="P68B1DB1-Normal12"/>
              <w:jc w:val="center"/>
              <w:rPr>
                <w:noProof/>
                <w:lang w:val="de-DE"/>
              </w:rPr>
            </w:pPr>
            <w:r w:rsidRPr="00170422">
              <w:rPr>
                <w:noProof/>
                <w:lang w:val="de-DE"/>
              </w:rPr>
              <w:t>ENTFÄLLT.</w:t>
            </w:r>
          </w:p>
        </w:tc>
        <w:tc>
          <w:tcPr>
            <w:tcW w:w="1385" w:type="dxa"/>
            <w:shd w:val="clear" w:color="auto" w:fill="C6EFCE"/>
            <w:noWrap/>
            <w:vAlign w:val="center"/>
            <w:hideMark/>
          </w:tcPr>
          <w:p w14:paraId="332E1D07" w14:textId="77777777" w:rsidR="0057163C" w:rsidRPr="00170422" w:rsidRDefault="00F37BF9">
            <w:pPr>
              <w:pStyle w:val="P68B1DB1-Normal12"/>
              <w:jc w:val="center"/>
              <w:rPr>
                <w:noProof/>
                <w:lang w:val="de-DE"/>
              </w:rPr>
            </w:pPr>
            <w:r w:rsidRPr="00170422">
              <w:rPr>
                <w:noProof/>
                <w:lang w:val="de-DE"/>
              </w:rPr>
              <w:t>ENTFÄLLT.</w:t>
            </w:r>
          </w:p>
        </w:tc>
        <w:tc>
          <w:tcPr>
            <w:tcW w:w="596" w:type="dxa"/>
            <w:shd w:val="clear" w:color="auto" w:fill="C6EFCE"/>
            <w:noWrap/>
            <w:vAlign w:val="center"/>
            <w:hideMark/>
          </w:tcPr>
          <w:p w14:paraId="0B1C6306" w14:textId="77777777" w:rsidR="0057163C" w:rsidRPr="00170422" w:rsidRDefault="00F37BF9">
            <w:pPr>
              <w:pStyle w:val="P68B1DB1-Normal12"/>
              <w:jc w:val="center"/>
              <w:rPr>
                <w:noProof/>
                <w:lang w:val="de-DE"/>
              </w:rPr>
            </w:pPr>
            <w:r w:rsidRPr="00170422">
              <w:rPr>
                <w:noProof/>
                <w:lang w:val="de-DE"/>
              </w:rPr>
              <w:t>ENTFÄLLT.</w:t>
            </w:r>
          </w:p>
        </w:tc>
        <w:tc>
          <w:tcPr>
            <w:tcW w:w="900" w:type="dxa"/>
            <w:shd w:val="clear" w:color="auto" w:fill="C6EFCE"/>
            <w:noWrap/>
            <w:vAlign w:val="center"/>
            <w:hideMark/>
          </w:tcPr>
          <w:p w14:paraId="5B0F899C" w14:textId="77777777" w:rsidR="0057163C" w:rsidRPr="00170422" w:rsidRDefault="00F37BF9">
            <w:pPr>
              <w:pStyle w:val="P68B1DB1-Normal12"/>
              <w:jc w:val="center"/>
              <w:rPr>
                <w:noProof/>
                <w:lang w:val="de-DE"/>
              </w:rPr>
            </w:pPr>
            <w:r w:rsidRPr="00170422">
              <w:rPr>
                <w:noProof/>
                <w:lang w:val="de-DE"/>
              </w:rPr>
              <w:t>Q2</w:t>
            </w:r>
          </w:p>
        </w:tc>
        <w:tc>
          <w:tcPr>
            <w:tcW w:w="710" w:type="dxa"/>
            <w:shd w:val="clear" w:color="auto" w:fill="C6EFCE"/>
            <w:noWrap/>
            <w:vAlign w:val="center"/>
            <w:hideMark/>
          </w:tcPr>
          <w:p w14:paraId="7E1F1ADB" w14:textId="77777777" w:rsidR="0057163C" w:rsidRPr="00170422" w:rsidRDefault="00F37BF9">
            <w:pPr>
              <w:pStyle w:val="P68B1DB1-Normal12"/>
              <w:jc w:val="center"/>
              <w:rPr>
                <w:noProof/>
                <w:lang w:val="de-DE"/>
              </w:rPr>
            </w:pPr>
            <w:r w:rsidRPr="00170422">
              <w:rPr>
                <w:noProof/>
                <w:lang w:val="de-DE"/>
              </w:rPr>
              <w:t>2023</w:t>
            </w:r>
          </w:p>
        </w:tc>
        <w:tc>
          <w:tcPr>
            <w:tcW w:w="3208" w:type="dxa"/>
            <w:shd w:val="clear" w:color="auto" w:fill="C6EFCE"/>
            <w:noWrap/>
            <w:vAlign w:val="center"/>
            <w:hideMark/>
          </w:tcPr>
          <w:p w14:paraId="0A564710" w14:textId="77777777" w:rsidR="0057163C" w:rsidRPr="00170422" w:rsidRDefault="00F37BF9">
            <w:pPr>
              <w:pStyle w:val="P68B1DB1-Normal12"/>
              <w:rPr>
                <w:noProof/>
                <w:lang w:val="de-DE"/>
              </w:rPr>
            </w:pPr>
            <w:r w:rsidRPr="00170422">
              <w:rPr>
                <w:noProof/>
                <w:lang w:val="de-DE"/>
              </w:rPr>
              <w:t>Vergabe von Erstverträgen über die Schaffung zusätzlicher Schlafunterkünfte (Bänke)“;</w:t>
            </w:r>
          </w:p>
        </w:tc>
      </w:tr>
      <w:tr w:rsidR="0057163C" w:rsidRPr="00170422" w14:paraId="1FF45BCD" w14:textId="77777777" w:rsidTr="00E17A5C">
        <w:trPr>
          <w:trHeight w:val="300"/>
          <w:jc w:val="center"/>
        </w:trPr>
        <w:tc>
          <w:tcPr>
            <w:tcW w:w="1078" w:type="dxa"/>
            <w:shd w:val="clear" w:color="auto" w:fill="C6EFCE"/>
            <w:noWrap/>
            <w:vAlign w:val="center"/>
            <w:hideMark/>
          </w:tcPr>
          <w:p w14:paraId="7530CB09" w14:textId="77777777" w:rsidR="0057163C" w:rsidRPr="00170422" w:rsidRDefault="00F37BF9">
            <w:pPr>
              <w:pStyle w:val="P68B1DB1-Normal12"/>
              <w:jc w:val="center"/>
              <w:rPr>
                <w:noProof/>
                <w:lang w:val="de-DE"/>
              </w:rPr>
            </w:pPr>
            <w:r w:rsidRPr="00170422">
              <w:rPr>
                <w:noProof/>
                <w:lang w:val="de-DE"/>
              </w:rPr>
              <w:t>M4C1-29</w:t>
            </w:r>
          </w:p>
        </w:tc>
        <w:tc>
          <w:tcPr>
            <w:tcW w:w="1701" w:type="dxa"/>
            <w:shd w:val="clear" w:color="auto" w:fill="C6EFCE"/>
            <w:noWrap/>
            <w:vAlign w:val="center"/>
            <w:hideMark/>
          </w:tcPr>
          <w:p w14:paraId="6BEA1938" w14:textId="77777777" w:rsidR="0057163C" w:rsidRPr="00170422" w:rsidRDefault="00F37BF9">
            <w:pPr>
              <w:pStyle w:val="P68B1DB1-Normal12"/>
              <w:jc w:val="center"/>
              <w:rPr>
                <w:noProof/>
                <w:lang w:val="de-DE"/>
              </w:rPr>
            </w:pPr>
            <w:r w:rsidRPr="00170422">
              <w:rPr>
                <w:noProof/>
                <w:lang w:val="de-DE"/>
              </w:rPr>
              <w:t xml:space="preserve">Reform 1.7: Reform der Regelung für den </w:t>
            </w:r>
            <w:r w:rsidRPr="00170422">
              <w:rPr>
                <w:noProof/>
                <w:lang w:val="de-DE"/>
              </w:rPr>
              <w:t>Studentenwohnsitz und Investitionen in den Studentenwohnsitz</w:t>
            </w:r>
          </w:p>
        </w:tc>
        <w:tc>
          <w:tcPr>
            <w:tcW w:w="1135" w:type="dxa"/>
            <w:shd w:val="clear" w:color="auto" w:fill="C6EFCE"/>
            <w:noWrap/>
            <w:vAlign w:val="center"/>
            <w:hideMark/>
          </w:tcPr>
          <w:p w14:paraId="0ED66A6A" w14:textId="77777777" w:rsidR="0057163C" w:rsidRPr="00170422" w:rsidRDefault="00F37BF9">
            <w:pPr>
              <w:pStyle w:val="P68B1DB1-Normal12"/>
              <w:jc w:val="center"/>
              <w:rPr>
                <w:noProof/>
                <w:lang w:val="de-DE"/>
              </w:rPr>
            </w:pPr>
            <w:r w:rsidRPr="00170422">
              <w:rPr>
                <w:noProof/>
                <w:lang w:val="de-DE"/>
              </w:rPr>
              <w:t>Meilenstein</w:t>
            </w:r>
          </w:p>
        </w:tc>
        <w:tc>
          <w:tcPr>
            <w:tcW w:w="1814" w:type="dxa"/>
            <w:shd w:val="clear" w:color="auto" w:fill="C6EFCE"/>
            <w:noWrap/>
            <w:vAlign w:val="center"/>
            <w:hideMark/>
          </w:tcPr>
          <w:p w14:paraId="52BD1BBB" w14:textId="77777777" w:rsidR="0057163C" w:rsidRPr="00170422" w:rsidRDefault="00F37BF9">
            <w:pPr>
              <w:pStyle w:val="P68B1DB1-Normal12"/>
              <w:jc w:val="center"/>
              <w:rPr>
                <w:noProof/>
                <w:lang w:val="de-DE"/>
              </w:rPr>
            </w:pPr>
            <w:r w:rsidRPr="00170422">
              <w:rPr>
                <w:noProof/>
                <w:lang w:val="de-DE"/>
              </w:rPr>
              <w:t>Inkrafttreten der Reform des Studentenwohnrechts.</w:t>
            </w:r>
          </w:p>
        </w:tc>
        <w:tc>
          <w:tcPr>
            <w:tcW w:w="1578" w:type="dxa"/>
            <w:shd w:val="clear" w:color="auto" w:fill="C6EFCE"/>
            <w:noWrap/>
            <w:vAlign w:val="center"/>
            <w:hideMark/>
          </w:tcPr>
          <w:p w14:paraId="3BDDA9C1" w14:textId="77777777" w:rsidR="0057163C" w:rsidRPr="00170422" w:rsidRDefault="00F37BF9">
            <w:pPr>
              <w:pStyle w:val="P68B1DB1-Normal12"/>
              <w:jc w:val="center"/>
              <w:rPr>
                <w:noProof/>
                <w:lang w:val="de-DE"/>
              </w:rPr>
            </w:pPr>
            <w:r w:rsidRPr="00170422">
              <w:rPr>
                <w:noProof/>
                <w:lang w:val="de-DE"/>
              </w:rPr>
              <w:t>Gesetzliche Bestimmung über das Inkrafttreten der Reform.</w:t>
            </w:r>
          </w:p>
        </w:tc>
        <w:tc>
          <w:tcPr>
            <w:tcW w:w="1148" w:type="dxa"/>
            <w:shd w:val="clear" w:color="auto" w:fill="C6EFCE"/>
            <w:noWrap/>
            <w:vAlign w:val="center"/>
            <w:hideMark/>
          </w:tcPr>
          <w:p w14:paraId="41C61C44" w14:textId="77777777" w:rsidR="0057163C" w:rsidRPr="00170422" w:rsidRDefault="00F37BF9">
            <w:pPr>
              <w:pStyle w:val="P68B1DB1-Normal12"/>
              <w:jc w:val="center"/>
              <w:rPr>
                <w:noProof/>
                <w:lang w:val="de-DE"/>
              </w:rPr>
            </w:pPr>
            <w:r w:rsidRPr="00170422">
              <w:rPr>
                <w:noProof/>
                <w:lang w:val="de-DE"/>
              </w:rPr>
              <w:t>ENTFÄLLT.</w:t>
            </w:r>
          </w:p>
        </w:tc>
        <w:tc>
          <w:tcPr>
            <w:tcW w:w="1385" w:type="dxa"/>
            <w:shd w:val="clear" w:color="auto" w:fill="C6EFCE"/>
            <w:noWrap/>
            <w:vAlign w:val="center"/>
            <w:hideMark/>
          </w:tcPr>
          <w:p w14:paraId="68373DA9" w14:textId="77777777" w:rsidR="0057163C" w:rsidRPr="00170422" w:rsidRDefault="00F37BF9">
            <w:pPr>
              <w:pStyle w:val="P68B1DB1-Normal12"/>
              <w:jc w:val="center"/>
              <w:rPr>
                <w:noProof/>
                <w:lang w:val="de-DE"/>
              </w:rPr>
            </w:pPr>
            <w:r w:rsidRPr="00170422">
              <w:rPr>
                <w:noProof/>
                <w:lang w:val="de-DE"/>
              </w:rPr>
              <w:t>ENTFÄLLT.</w:t>
            </w:r>
          </w:p>
        </w:tc>
        <w:tc>
          <w:tcPr>
            <w:tcW w:w="596" w:type="dxa"/>
            <w:shd w:val="clear" w:color="auto" w:fill="C6EFCE"/>
            <w:noWrap/>
            <w:vAlign w:val="center"/>
            <w:hideMark/>
          </w:tcPr>
          <w:p w14:paraId="2A4557E2" w14:textId="77777777" w:rsidR="0057163C" w:rsidRPr="00170422" w:rsidRDefault="00F37BF9">
            <w:pPr>
              <w:pStyle w:val="P68B1DB1-Normal12"/>
              <w:jc w:val="center"/>
              <w:rPr>
                <w:noProof/>
                <w:lang w:val="de-DE"/>
              </w:rPr>
            </w:pPr>
            <w:r w:rsidRPr="00170422">
              <w:rPr>
                <w:noProof/>
                <w:lang w:val="de-DE"/>
              </w:rPr>
              <w:t>ENTFÄLLT.</w:t>
            </w:r>
          </w:p>
        </w:tc>
        <w:tc>
          <w:tcPr>
            <w:tcW w:w="900" w:type="dxa"/>
            <w:shd w:val="clear" w:color="auto" w:fill="C6EFCE"/>
            <w:noWrap/>
            <w:vAlign w:val="center"/>
            <w:hideMark/>
          </w:tcPr>
          <w:p w14:paraId="41494AA0" w14:textId="77777777" w:rsidR="0057163C" w:rsidRPr="00170422" w:rsidRDefault="00F37BF9">
            <w:pPr>
              <w:pStyle w:val="P68B1DB1-Normal12"/>
              <w:jc w:val="center"/>
              <w:rPr>
                <w:noProof/>
                <w:lang w:val="de-DE"/>
              </w:rPr>
            </w:pPr>
            <w:r w:rsidRPr="00170422">
              <w:rPr>
                <w:noProof/>
                <w:lang w:val="de-DE"/>
              </w:rPr>
              <w:t>4. QUARTAL</w:t>
            </w:r>
          </w:p>
        </w:tc>
        <w:tc>
          <w:tcPr>
            <w:tcW w:w="710" w:type="dxa"/>
            <w:shd w:val="clear" w:color="auto" w:fill="C6EFCE"/>
            <w:noWrap/>
            <w:vAlign w:val="center"/>
            <w:hideMark/>
          </w:tcPr>
          <w:p w14:paraId="33C0A794" w14:textId="77777777" w:rsidR="0057163C" w:rsidRPr="00170422" w:rsidRDefault="00F37BF9">
            <w:pPr>
              <w:pStyle w:val="P68B1DB1-Normal12"/>
              <w:jc w:val="center"/>
              <w:rPr>
                <w:noProof/>
                <w:lang w:val="de-DE"/>
              </w:rPr>
            </w:pPr>
            <w:r w:rsidRPr="00170422">
              <w:rPr>
                <w:noProof/>
                <w:lang w:val="de-DE"/>
              </w:rPr>
              <w:t>2022</w:t>
            </w:r>
          </w:p>
        </w:tc>
        <w:tc>
          <w:tcPr>
            <w:tcW w:w="3208" w:type="dxa"/>
            <w:shd w:val="clear" w:color="auto" w:fill="C6EFCE"/>
            <w:noWrap/>
            <w:vAlign w:val="center"/>
            <w:hideMark/>
          </w:tcPr>
          <w:p w14:paraId="00E9AF3D" w14:textId="77777777" w:rsidR="0057163C" w:rsidRPr="00170422" w:rsidRDefault="00F37BF9">
            <w:pPr>
              <w:pStyle w:val="P68B1DB1-Normal12"/>
              <w:rPr>
                <w:noProof/>
                <w:lang w:val="de-DE"/>
              </w:rPr>
            </w:pPr>
            <w:r w:rsidRPr="00170422">
              <w:rPr>
                <w:noProof/>
                <w:lang w:val="de-DE"/>
              </w:rPr>
              <w:t>Die Reform umfasst Folgendes:</w:t>
            </w:r>
            <w:r w:rsidRPr="00170422">
              <w:rPr>
                <w:noProof/>
                <w:lang w:val="de-DE"/>
              </w:rPr>
              <w:t xml:space="preserve"> (1) Öffnung der Beteiligung an der Finanzierung auch für private Investoren, wobei auch öffentlich-private Partnerschaften ermöglicht werden, bei denen die Universität die verfügbaren Mittel nutzt, um das finanzielle Gleichgewicht bei Immobilieninvestitio</w:t>
            </w:r>
            <w:r w:rsidRPr="00170422">
              <w:rPr>
                <w:noProof/>
                <w:lang w:val="de-DE"/>
              </w:rPr>
              <w:t>nen für Studentenwohnungen zu fördern; (2). Gewährleistung der langfristigen Tragfähigkeit der privaten Investitionen, indem sichergestellt wird, dass die Besteuerungsregelung von der für Hoteldienstleistungen geltenden zu der für Sozialwohnungen geltenden</w:t>
            </w:r>
            <w:r w:rsidRPr="00170422">
              <w:rPr>
                <w:noProof/>
                <w:lang w:val="de-DE"/>
              </w:rPr>
              <w:t xml:space="preserve"> Regelung geändert wird, indem die Nutzung der neuen Unterkünfte für die Unterbringung von Studierenden während des akademischen Jahres eingeschränkt wird, aber die Nutzung der Strukturen ermöglicht wird, wenn sie nicht für die Bewirtung von Studierenden b</w:t>
            </w:r>
            <w:r w:rsidRPr="00170422">
              <w:rPr>
                <w:noProof/>
                <w:lang w:val="de-DE"/>
              </w:rPr>
              <w:t>enötigt werden; (3). Die Finanzierung sowie zusätzliche Steuervergünstigungen (z. B. Gleichbehandlung mit Sozialwohnungen) an die Nutzung der neuen Wohnungen für Studentenwohnungen während des gesamten Investitionshorizonts und die Einhaltung der vereinbar</w:t>
            </w:r>
            <w:r w:rsidRPr="00170422">
              <w:rPr>
                <w:noProof/>
                <w:lang w:val="de-DE"/>
              </w:rPr>
              <w:t xml:space="preserve">ten Obergrenze für die den Studierenden berechneten Mieten auch über das Auslaufen von Sonderfinanzierungsprogrammen hinaus, zu denen ich zur Mobilisierung der Investitionen der privaten Betreiber beiträgt, zu knüpfen; (4). Neufestlegung der Standards für </w:t>
            </w:r>
            <w:r w:rsidRPr="00170422">
              <w:rPr>
                <w:noProof/>
                <w:lang w:val="de-DE"/>
              </w:rPr>
              <w:t>Studentenunterkünfte durch Neufestlegung der rechtlichen Anforderungen an den in den Gebäuden verfügbaren gemeinsamen Raum pro Student im Austausch für besser ausgestattete (Einzel-)Säle.</w:t>
            </w:r>
          </w:p>
        </w:tc>
      </w:tr>
      <w:tr w:rsidR="0057163C" w:rsidRPr="00170422" w14:paraId="4C7B596B" w14:textId="77777777" w:rsidTr="00E17A5C">
        <w:trPr>
          <w:trHeight w:val="300"/>
          <w:jc w:val="center"/>
        </w:trPr>
        <w:tc>
          <w:tcPr>
            <w:tcW w:w="1078" w:type="dxa"/>
            <w:shd w:val="clear" w:color="auto" w:fill="C6EFCE"/>
            <w:noWrap/>
            <w:vAlign w:val="center"/>
            <w:hideMark/>
          </w:tcPr>
          <w:p w14:paraId="7C729A7E" w14:textId="77777777" w:rsidR="0057163C" w:rsidRPr="00170422" w:rsidRDefault="00F37BF9">
            <w:pPr>
              <w:pStyle w:val="P68B1DB1-Normal12"/>
              <w:jc w:val="center"/>
              <w:rPr>
                <w:noProof/>
                <w:lang w:val="de-DE"/>
              </w:rPr>
            </w:pPr>
            <w:r w:rsidRPr="00170422">
              <w:rPr>
                <w:noProof/>
                <w:lang w:val="de-DE"/>
              </w:rPr>
              <w:t>M4C1-30</w:t>
            </w:r>
          </w:p>
        </w:tc>
        <w:tc>
          <w:tcPr>
            <w:tcW w:w="1701" w:type="dxa"/>
            <w:shd w:val="clear" w:color="auto" w:fill="C6EFCE"/>
            <w:noWrap/>
            <w:vAlign w:val="center"/>
            <w:hideMark/>
          </w:tcPr>
          <w:p w14:paraId="539DC301" w14:textId="77777777" w:rsidR="0057163C" w:rsidRPr="00170422" w:rsidRDefault="00F37BF9">
            <w:pPr>
              <w:pStyle w:val="P68B1DB1-Normal12"/>
              <w:jc w:val="center"/>
              <w:rPr>
                <w:noProof/>
                <w:lang w:val="de-DE"/>
              </w:rPr>
            </w:pPr>
            <w:r w:rsidRPr="00170422">
              <w:rPr>
                <w:noProof/>
                <w:lang w:val="de-DE"/>
              </w:rPr>
              <w:t xml:space="preserve">Reform 1.7: Reform der Regelung für den Studentenwohnsitz </w:t>
            </w:r>
            <w:r w:rsidRPr="00170422">
              <w:rPr>
                <w:noProof/>
                <w:lang w:val="de-DE"/>
              </w:rPr>
              <w:t>und Investitionen in den Studentenwohnsitz</w:t>
            </w:r>
          </w:p>
        </w:tc>
        <w:tc>
          <w:tcPr>
            <w:tcW w:w="1135" w:type="dxa"/>
            <w:shd w:val="clear" w:color="auto" w:fill="C6EFCE"/>
            <w:noWrap/>
            <w:vAlign w:val="center"/>
            <w:hideMark/>
          </w:tcPr>
          <w:p w14:paraId="664EDCE5" w14:textId="77777777" w:rsidR="0057163C" w:rsidRPr="00170422" w:rsidRDefault="00F37BF9">
            <w:pPr>
              <w:pStyle w:val="P68B1DB1-Normal12"/>
              <w:jc w:val="center"/>
              <w:rPr>
                <w:noProof/>
                <w:lang w:val="de-DE"/>
              </w:rPr>
            </w:pPr>
            <w:r w:rsidRPr="00170422">
              <w:rPr>
                <w:noProof/>
                <w:lang w:val="de-DE"/>
              </w:rPr>
              <w:t>Ziel</w:t>
            </w:r>
          </w:p>
        </w:tc>
        <w:tc>
          <w:tcPr>
            <w:tcW w:w="1814" w:type="dxa"/>
            <w:shd w:val="clear" w:color="auto" w:fill="C6EFCE"/>
            <w:noWrap/>
            <w:vAlign w:val="center"/>
            <w:hideMark/>
          </w:tcPr>
          <w:p w14:paraId="7A7D2DBB" w14:textId="77777777" w:rsidR="0057163C" w:rsidRPr="00170422" w:rsidRDefault="00F37BF9">
            <w:pPr>
              <w:pStyle w:val="P68B1DB1-Normal12"/>
              <w:jc w:val="center"/>
              <w:rPr>
                <w:noProof/>
                <w:lang w:val="de-DE"/>
              </w:rPr>
            </w:pPr>
            <w:r w:rsidRPr="00170422">
              <w:rPr>
                <w:noProof/>
                <w:lang w:val="de-DE"/>
              </w:rPr>
              <w:t xml:space="preserve">Schaffung von Schlafunterkünften für Studierende </w:t>
            </w:r>
          </w:p>
        </w:tc>
        <w:tc>
          <w:tcPr>
            <w:tcW w:w="1578" w:type="dxa"/>
            <w:shd w:val="clear" w:color="auto" w:fill="C6EFCE"/>
            <w:noWrap/>
            <w:vAlign w:val="center"/>
            <w:hideMark/>
          </w:tcPr>
          <w:p w14:paraId="2F505865" w14:textId="77777777" w:rsidR="0057163C" w:rsidRPr="00170422" w:rsidRDefault="00F37BF9">
            <w:pPr>
              <w:pStyle w:val="P68B1DB1-Normal12"/>
              <w:jc w:val="center"/>
              <w:rPr>
                <w:noProof/>
                <w:lang w:val="de-DE"/>
              </w:rPr>
            </w:pPr>
            <w:r w:rsidRPr="00170422">
              <w:rPr>
                <w:noProof/>
                <w:lang w:val="de-DE"/>
              </w:rPr>
              <w:t>ENTFÄLLT.</w:t>
            </w:r>
          </w:p>
        </w:tc>
        <w:tc>
          <w:tcPr>
            <w:tcW w:w="1148" w:type="dxa"/>
            <w:shd w:val="clear" w:color="auto" w:fill="C6EFCE"/>
            <w:noWrap/>
            <w:vAlign w:val="center"/>
            <w:hideMark/>
          </w:tcPr>
          <w:p w14:paraId="385BDF1A" w14:textId="77777777" w:rsidR="0057163C" w:rsidRPr="00170422" w:rsidRDefault="00F37BF9">
            <w:pPr>
              <w:pStyle w:val="P68B1DB1-Normal12"/>
              <w:jc w:val="center"/>
              <w:rPr>
                <w:noProof/>
                <w:lang w:val="de-DE"/>
              </w:rPr>
            </w:pPr>
            <w:r w:rsidRPr="00170422">
              <w:rPr>
                <w:noProof/>
                <w:lang w:val="de-DE"/>
              </w:rPr>
              <w:t>Anzahl</w:t>
            </w:r>
          </w:p>
        </w:tc>
        <w:tc>
          <w:tcPr>
            <w:tcW w:w="1385" w:type="dxa"/>
            <w:shd w:val="clear" w:color="auto" w:fill="C6EFCE"/>
            <w:noWrap/>
            <w:vAlign w:val="center"/>
            <w:hideMark/>
          </w:tcPr>
          <w:p w14:paraId="378ABC11" w14:textId="77777777" w:rsidR="0057163C" w:rsidRPr="00170422" w:rsidRDefault="00F37BF9">
            <w:pPr>
              <w:pStyle w:val="P68B1DB1-Normal12"/>
              <w:jc w:val="center"/>
              <w:rPr>
                <w:noProof/>
                <w:lang w:val="de-DE"/>
              </w:rPr>
            </w:pPr>
            <w:r w:rsidRPr="00170422">
              <w:rPr>
                <w:noProof/>
                <w:lang w:val="de-DE"/>
              </w:rPr>
              <w:t>0</w:t>
            </w:r>
          </w:p>
        </w:tc>
        <w:tc>
          <w:tcPr>
            <w:tcW w:w="596" w:type="dxa"/>
            <w:shd w:val="clear" w:color="auto" w:fill="C6EFCE"/>
            <w:noWrap/>
            <w:vAlign w:val="center"/>
            <w:hideMark/>
          </w:tcPr>
          <w:p w14:paraId="605DA6EC"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szCs w:val="20"/>
                <w:lang w:val="de-DE"/>
              </w:rPr>
              <w:t>30</w:t>
            </w:r>
            <w:r w:rsidRPr="00170422">
              <w:rPr>
                <w:noProof/>
                <w:sz w:val="23"/>
                <w:szCs w:val="23"/>
                <w:lang w:val="de-DE"/>
              </w:rPr>
              <w:t xml:space="preserve"> </w:t>
            </w:r>
            <w:r w:rsidRPr="00170422">
              <w:rPr>
                <w:rFonts w:ascii="Arial Narrow" w:hAnsi="Arial Narrow"/>
                <w:noProof/>
                <w:color w:val="006100"/>
                <w:sz w:val="20"/>
                <w:szCs w:val="20"/>
                <w:lang w:val="de-DE"/>
              </w:rPr>
              <w:t>000</w:t>
            </w:r>
          </w:p>
        </w:tc>
        <w:tc>
          <w:tcPr>
            <w:tcW w:w="900" w:type="dxa"/>
            <w:shd w:val="clear" w:color="auto" w:fill="C6EFCE"/>
            <w:noWrap/>
            <w:vAlign w:val="center"/>
            <w:hideMark/>
          </w:tcPr>
          <w:p w14:paraId="03D9A845" w14:textId="77777777" w:rsidR="0057163C" w:rsidRPr="00170422" w:rsidRDefault="00F37BF9">
            <w:pPr>
              <w:pStyle w:val="P68B1DB1-Normal12"/>
              <w:jc w:val="center"/>
              <w:rPr>
                <w:noProof/>
                <w:lang w:val="de-DE"/>
              </w:rPr>
            </w:pPr>
            <w:r w:rsidRPr="00170422">
              <w:rPr>
                <w:noProof/>
                <w:lang w:val="de-DE"/>
              </w:rPr>
              <w:t>Q2</w:t>
            </w:r>
          </w:p>
        </w:tc>
        <w:tc>
          <w:tcPr>
            <w:tcW w:w="710" w:type="dxa"/>
            <w:shd w:val="clear" w:color="auto" w:fill="C6EFCE"/>
            <w:noWrap/>
            <w:vAlign w:val="center"/>
            <w:hideMark/>
          </w:tcPr>
          <w:p w14:paraId="50190E32" w14:textId="77777777" w:rsidR="0057163C" w:rsidRPr="00170422" w:rsidRDefault="00F37BF9">
            <w:pPr>
              <w:pStyle w:val="P68B1DB1-Normal12"/>
              <w:jc w:val="center"/>
              <w:rPr>
                <w:noProof/>
                <w:lang w:val="de-DE"/>
              </w:rPr>
            </w:pPr>
            <w:r w:rsidRPr="00170422">
              <w:rPr>
                <w:noProof/>
                <w:lang w:val="de-DE"/>
              </w:rPr>
              <w:t>2026</w:t>
            </w:r>
          </w:p>
        </w:tc>
        <w:tc>
          <w:tcPr>
            <w:tcW w:w="3208" w:type="dxa"/>
            <w:shd w:val="clear" w:color="auto" w:fill="C6EFCE"/>
            <w:noWrap/>
            <w:vAlign w:val="center"/>
            <w:hideMark/>
          </w:tcPr>
          <w:p w14:paraId="6C4277AB" w14:textId="210C1F76" w:rsidR="0057163C" w:rsidRPr="00170422" w:rsidRDefault="00F37BF9">
            <w:pPr>
              <w:pStyle w:val="paragraph"/>
              <w:spacing w:before="0" w:beforeAutospacing="0" w:after="0" w:afterAutospacing="0"/>
              <w:textAlignment w:val="baseline"/>
              <w:rPr>
                <w:rStyle w:val="normaltextrun"/>
                <w:rFonts w:ascii="Arial Narrow" w:hAnsi="Arial Narrow"/>
                <w:noProof/>
                <w:color w:val="006100"/>
                <w:sz w:val="20"/>
                <w:szCs w:val="20"/>
                <w:lang w:val="de-DE"/>
              </w:rPr>
            </w:pPr>
            <w:r w:rsidRPr="00170422">
              <w:rPr>
                <w:rStyle w:val="normaltextrun"/>
                <w:rFonts w:ascii="Arial Narrow" w:hAnsi="Arial Narrow"/>
                <w:noProof/>
                <w:color w:val="006100"/>
                <w:sz w:val="20"/>
                <w:szCs w:val="20"/>
                <w:lang w:val="de-DE"/>
              </w:rPr>
              <w:t xml:space="preserve">Für mindestens 30000 neu geschaffene Schlafunterkünfte werden Bescheinigungen über den Abschluss der Arbeiten ausgestellt. </w:t>
            </w:r>
          </w:p>
          <w:p w14:paraId="4CF5BD5A" w14:textId="77777777" w:rsidR="0057163C" w:rsidRPr="00170422" w:rsidRDefault="0057163C">
            <w:pPr>
              <w:pStyle w:val="paragraph"/>
              <w:spacing w:before="0" w:beforeAutospacing="0" w:after="0" w:afterAutospacing="0"/>
              <w:rPr>
                <w:rStyle w:val="normaltextrun"/>
                <w:rFonts w:ascii="Arial Narrow" w:hAnsi="Arial Narrow"/>
                <w:noProof/>
                <w:color w:val="006100"/>
                <w:sz w:val="20"/>
                <w:szCs w:val="20"/>
                <w:lang w:val="de-DE"/>
              </w:rPr>
            </w:pPr>
          </w:p>
          <w:p w14:paraId="39B473A6" w14:textId="110B13CB" w:rsidR="0057163C" w:rsidRPr="00170422" w:rsidRDefault="00F37BF9">
            <w:pPr>
              <w:pStyle w:val="paragraph"/>
              <w:spacing w:before="0" w:beforeAutospacing="0" w:after="0" w:afterAutospacing="0"/>
              <w:textAlignment w:val="baseline"/>
              <w:rPr>
                <w:rStyle w:val="normaltextrun"/>
                <w:rFonts w:ascii="Arial Narrow" w:hAnsi="Arial Narrow" w:cs="Segoe UI"/>
                <w:noProof/>
                <w:sz w:val="20"/>
                <w:szCs w:val="20"/>
                <w:lang w:val="de-DE"/>
              </w:rPr>
            </w:pPr>
            <w:r w:rsidRPr="00170422">
              <w:rPr>
                <w:rStyle w:val="normaltextrun"/>
                <w:rFonts w:ascii="Arial Narrow" w:hAnsi="Arial Narrow"/>
                <w:noProof/>
                <w:color w:val="006100"/>
                <w:sz w:val="20"/>
                <w:szCs w:val="20"/>
                <w:lang w:val="de-DE"/>
              </w:rPr>
              <w:t xml:space="preserve">Bestehende Unterkünfte, die zum Zeitpunkt der Einleitung der entsprechenden Aufforderung zur Einreichung von Projektvorschlägen für die Unterbringung von Studierenden genutzt wurden, können nicht auf das Ziel angerechnet werden.    </w:t>
            </w:r>
          </w:p>
          <w:p w14:paraId="5AC57501" w14:textId="77777777" w:rsidR="0057163C" w:rsidRPr="00170422" w:rsidRDefault="0057163C">
            <w:pPr>
              <w:pStyle w:val="paragraph"/>
              <w:spacing w:before="0" w:beforeAutospacing="0" w:after="0" w:afterAutospacing="0"/>
              <w:textAlignment w:val="baseline"/>
              <w:rPr>
                <w:rStyle w:val="normaltextrun"/>
                <w:rFonts w:ascii="Arial Narrow" w:hAnsi="Arial Narrow"/>
                <w:noProof/>
                <w:color w:val="006100"/>
                <w:sz w:val="20"/>
                <w:szCs w:val="20"/>
                <w:lang w:val="de-DE"/>
              </w:rPr>
            </w:pPr>
          </w:p>
          <w:p w14:paraId="64268F10" w14:textId="4C43AA36" w:rsidR="0057163C" w:rsidRPr="00170422" w:rsidRDefault="00F37BF9">
            <w:pPr>
              <w:pStyle w:val="paragraph"/>
              <w:spacing w:before="0" w:beforeAutospacing="0" w:after="0" w:afterAutospacing="0"/>
              <w:textAlignment w:val="baseline"/>
              <w:rPr>
                <w:rStyle w:val="normaltextrun"/>
                <w:rFonts w:ascii="Arial Narrow" w:hAnsi="Arial Narrow"/>
                <w:noProof/>
                <w:color w:val="006100"/>
                <w:sz w:val="20"/>
                <w:szCs w:val="20"/>
                <w:lang w:val="de-DE"/>
              </w:rPr>
            </w:pPr>
            <w:r w:rsidRPr="00170422">
              <w:rPr>
                <w:rStyle w:val="normaltextrun"/>
                <w:rFonts w:ascii="Arial Narrow" w:hAnsi="Arial Narrow"/>
                <w:noProof/>
                <w:color w:val="006100"/>
                <w:sz w:val="20"/>
                <w:szCs w:val="20"/>
                <w:lang w:val="de-DE"/>
              </w:rPr>
              <w:t xml:space="preserve">Die Aufforderung zur </w:t>
            </w:r>
            <w:r w:rsidRPr="00170422">
              <w:rPr>
                <w:rStyle w:val="normaltextrun"/>
                <w:rFonts w:ascii="Arial Narrow" w:hAnsi="Arial Narrow"/>
                <w:noProof/>
                <w:color w:val="006100"/>
                <w:sz w:val="20"/>
                <w:szCs w:val="20"/>
                <w:lang w:val="de-DE"/>
              </w:rPr>
              <w:t>Einreichung von Vorschlägen 2024 sieht vor, dass 30 % der neuen Plätze für Studierende mit sozioökonomischen Schwierigkeiten im Sinne der Definition von „Diritto allo Studio“ (</w:t>
            </w:r>
            <w:r w:rsidRPr="00170422">
              <w:rPr>
                <w:rStyle w:val="normaltextrun"/>
                <w:rFonts w:ascii="Arial Narrow" w:hAnsi="Arial Narrow"/>
                <w:i/>
                <w:noProof/>
                <w:color w:val="006100"/>
                <w:sz w:val="20"/>
                <w:szCs w:val="20"/>
                <w:lang w:val="de-DE"/>
              </w:rPr>
              <w:t>Recht auf Studienorganisationen) vorgesehen</w:t>
            </w:r>
            <w:r w:rsidRPr="00170422">
              <w:rPr>
                <w:rStyle w:val="normaltextrun"/>
                <w:rFonts w:ascii="Arial Narrow" w:hAnsi="Arial Narrow"/>
                <w:noProof/>
                <w:color w:val="006100"/>
                <w:sz w:val="20"/>
                <w:szCs w:val="20"/>
                <w:lang w:val="de-DE"/>
              </w:rPr>
              <w:t>sind. Diese Aufforderung zur Einreich</w:t>
            </w:r>
            <w:r w:rsidRPr="00170422">
              <w:rPr>
                <w:rStyle w:val="normaltextrun"/>
                <w:rFonts w:ascii="Arial Narrow" w:hAnsi="Arial Narrow"/>
                <w:noProof/>
                <w:color w:val="006100"/>
                <w:sz w:val="20"/>
                <w:szCs w:val="20"/>
                <w:lang w:val="de-DE"/>
              </w:rPr>
              <w:t xml:space="preserve">ung von Vorschlägen sieht ferner vor, dass die Mietgebühren für Hochschulstudenten mindestens 15 % unter den örtlichen Marktpreisen liegen. </w:t>
            </w:r>
          </w:p>
          <w:p w14:paraId="364B41A3" w14:textId="77777777" w:rsidR="0057163C" w:rsidRPr="00170422" w:rsidRDefault="0057163C">
            <w:pPr>
              <w:pStyle w:val="paragraph"/>
              <w:spacing w:before="0" w:beforeAutospacing="0" w:after="0" w:afterAutospacing="0"/>
              <w:textAlignment w:val="baseline"/>
              <w:rPr>
                <w:rStyle w:val="normaltextrun"/>
                <w:rFonts w:ascii="Arial Narrow" w:hAnsi="Arial Narrow"/>
                <w:noProof/>
                <w:color w:val="006100"/>
                <w:sz w:val="20"/>
                <w:szCs w:val="20"/>
                <w:lang w:val="de-DE"/>
              </w:rPr>
            </w:pPr>
          </w:p>
          <w:p w14:paraId="2FE05721" w14:textId="5D6FED23" w:rsidR="0057163C" w:rsidRPr="00170422" w:rsidRDefault="00F37BF9">
            <w:pPr>
              <w:pStyle w:val="paragraph"/>
              <w:spacing w:before="0" w:beforeAutospacing="0" w:after="0" w:afterAutospacing="0"/>
              <w:textAlignment w:val="baseline"/>
              <w:rPr>
                <w:rFonts w:ascii="Arial Narrow" w:hAnsi="Arial Narrow" w:cs="Segoe UI"/>
                <w:noProof/>
                <w:sz w:val="20"/>
                <w:szCs w:val="20"/>
                <w:lang w:val="de-DE"/>
              </w:rPr>
            </w:pPr>
            <w:r w:rsidRPr="00170422">
              <w:rPr>
                <w:rStyle w:val="normaltextrun"/>
                <w:rFonts w:ascii="Arial Narrow" w:eastAsia="MS Mincho" w:hAnsi="Arial Narrow" w:cs="Arial"/>
                <w:noProof/>
                <w:color w:val="006100"/>
                <w:sz w:val="20"/>
                <w:szCs w:val="20"/>
                <w:lang w:val="de-DE"/>
              </w:rPr>
              <w:t>Die Investition umfasst nicht die Beschaffung von Erdgaskesseln.</w:t>
            </w:r>
          </w:p>
        </w:tc>
      </w:tr>
      <w:tr w:rsidR="0057163C" w:rsidRPr="00170422" w14:paraId="3771C4B9" w14:textId="77777777" w:rsidTr="00E17A5C">
        <w:trPr>
          <w:trHeight w:val="300"/>
          <w:jc w:val="center"/>
        </w:trPr>
        <w:tc>
          <w:tcPr>
            <w:tcW w:w="1078" w:type="dxa"/>
            <w:shd w:val="clear" w:color="auto" w:fill="C6EFCE"/>
            <w:noWrap/>
          </w:tcPr>
          <w:p w14:paraId="33222A39" w14:textId="77777777" w:rsidR="0057163C" w:rsidRPr="00170422" w:rsidRDefault="00F37BF9">
            <w:pPr>
              <w:pStyle w:val="P68B1DB1-Normal12"/>
              <w:jc w:val="center"/>
              <w:rPr>
                <w:noProof/>
                <w:lang w:val="de-DE"/>
              </w:rPr>
            </w:pPr>
            <w:r w:rsidRPr="00170422">
              <w:rPr>
                <w:noProof/>
                <w:lang w:val="de-DE"/>
              </w:rPr>
              <w:t>M4C1-31</w:t>
            </w:r>
          </w:p>
        </w:tc>
        <w:tc>
          <w:tcPr>
            <w:tcW w:w="1701" w:type="dxa"/>
            <w:shd w:val="clear" w:color="auto" w:fill="C6EFCE"/>
            <w:noWrap/>
          </w:tcPr>
          <w:p w14:paraId="40BAAA11" w14:textId="77777777" w:rsidR="0057163C" w:rsidRPr="00170422" w:rsidRDefault="00F37BF9">
            <w:pPr>
              <w:pStyle w:val="P68B1DB1-Normal12"/>
              <w:jc w:val="center"/>
              <w:rPr>
                <w:noProof/>
                <w:lang w:val="de-DE"/>
              </w:rPr>
            </w:pPr>
            <w:r w:rsidRPr="00170422">
              <w:rPr>
                <w:noProof/>
                <w:lang w:val="de-DE"/>
              </w:rPr>
              <w:t>Investition 5: Stipendiatenwohnungsfonds</w:t>
            </w:r>
          </w:p>
        </w:tc>
        <w:tc>
          <w:tcPr>
            <w:tcW w:w="1135" w:type="dxa"/>
            <w:shd w:val="clear" w:color="auto" w:fill="C6EFCE"/>
            <w:noWrap/>
          </w:tcPr>
          <w:p w14:paraId="541B3474" w14:textId="77777777" w:rsidR="0057163C" w:rsidRPr="00170422" w:rsidRDefault="00F37BF9">
            <w:pPr>
              <w:pStyle w:val="P68B1DB1-Normal12"/>
              <w:jc w:val="center"/>
              <w:rPr>
                <w:noProof/>
                <w:lang w:val="de-DE"/>
              </w:rPr>
            </w:pPr>
            <w:r w:rsidRPr="00170422">
              <w:rPr>
                <w:noProof/>
                <w:lang w:val="de-DE"/>
              </w:rPr>
              <w:t>Meilenstein</w:t>
            </w:r>
          </w:p>
        </w:tc>
        <w:tc>
          <w:tcPr>
            <w:tcW w:w="1814" w:type="dxa"/>
            <w:shd w:val="clear" w:color="auto" w:fill="C6EFCE"/>
            <w:noWrap/>
          </w:tcPr>
          <w:p w14:paraId="32B81DA8" w14:textId="77777777" w:rsidR="0057163C" w:rsidRPr="00170422" w:rsidRDefault="00F37BF9">
            <w:pPr>
              <w:pStyle w:val="P68B1DB1-Normal12"/>
              <w:jc w:val="center"/>
              <w:rPr>
                <w:noProof/>
                <w:lang w:val="de-DE"/>
              </w:rPr>
            </w:pPr>
            <w:r w:rsidRPr="00170422">
              <w:rPr>
                <w:noProof/>
                <w:lang w:val="de-DE"/>
              </w:rPr>
              <w:t>Durchführungsvereinbarung</w:t>
            </w:r>
          </w:p>
        </w:tc>
        <w:tc>
          <w:tcPr>
            <w:tcW w:w="1578" w:type="dxa"/>
            <w:shd w:val="clear" w:color="auto" w:fill="C6EFCE"/>
            <w:noWrap/>
          </w:tcPr>
          <w:p w14:paraId="5C5695DD" w14:textId="77777777" w:rsidR="0057163C" w:rsidRPr="00170422" w:rsidRDefault="00F37BF9">
            <w:pPr>
              <w:pStyle w:val="P68B1DB1-Normal12"/>
              <w:jc w:val="center"/>
              <w:rPr>
                <w:noProof/>
                <w:lang w:val="de-DE"/>
              </w:rPr>
            </w:pPr>
            <w:r w:rsidRPr="00170422">
              <w:rPr>
                <w:noProof/>
                <w:lang w:val="de-DE"/>
              </w:rPr>
              <w:t>Inkrafttreten des Durchführungsübereinkommens</w:t>
            </w:r>
          </w:p>
        </w:tc>
        <w:tc>
          <w:tcPr>
            <w:tcW w:w="1148" w:type="dxa"/>
            <w:shd w:val="clear" w:color="auto" w:fill="C6EFCE"/>
            <w:noWrap/>
          </w:tcPr>
          <w:p w14:paraId="00C02557" w14:textId="77777777" w:rsidR="0057163C" w:rsidRPr="00170422" w:rsidRDefault="00F37BF9">
            <w:pPr>
              <w:pStyle w:val="P68B1DB1-Normal12"/>
              <w:jc w:val="center"/>
              <w:rPr>
                <w:noProof/>
                <w:lang w:val="de-DE"/>
              </w:rPr>
            </w:pPr>
            <w:r w:rsidRPr="00170422">
              <w:rPr>
                <w:noProof/>
                <w:lang w:val="de-DE"/>
              </w:rPr>
              <w:t xml:space="preserve"> </w:t>
            </w:r>
          </w:p>
        </w:tc>
        <w:tc>
          <w:tcPr>
            <w:tcW w:w="1385" w:type="dxa"/>
            <w:shd w:val="clear" w:color="auto" w:fill="C6EFCE"/>
            <w:noWrap/>
          </w:tcPr>
          <w:p w14:paraId="66653D37" w14:textId="77777777" w:rsidR="0057163C" w:rsidRPr="00170422" w:rsidRDefault="00F37BF9">
            <w:pPr>
              <w:pStyle w:val="P68B1DB1-Normal12"/>
              <w:jc w:val="center"/>
              <w:rPr>
                <w:noProof/>
                <w:lang w:val="de-DE"/>
              </w:rPr>
            </w:pPr>
            <w:r w:rsidRPr="00170422">
              <w:rPr>
                <w:noProof/>
                <w:lang w:val="de-DE"/>
              </w:rPr>
              <w:t xml:space="preserve"> </w:t>
            </w:r>
          </w:p>
        </w:tc>
        <w:tc>
          <w:tcPr>
            <w:tcW w:w="596" w:type="dxa"/>
            <w:shd w:val="clear" w:color="auto" w:fill="C6EFCE"/>
            <w:noWrap/>
          </w:tcPr>
          <w:p w14:paraId="54EA532D" w14:textId="77777777" w:rsidR="0057163C" w:rsidRPr="00170422" w:rsidRDefault="00F37BF9">
            <w:pPr>
              <w:pStyle w:val="P68B1DB1-Normal12"/>
              <w:jc w:val="center"/>
              <w:rPr>
                <w:noProof/>
                <w:lang w:val="de-DE"/>
              </w:rPr>
            </w:pPr>
            <w:r w:rsidRPr="00170422">
              <w:rPr>
                <w:noProof/>
                <w:lang w:val="de-DE"/>
              </w:rPr>
              <w:t xml:space="preserve"> </w:t>
            </w:r>
          </w:p>
        </w:tc>
        <w:tc>
          <w:tcPr>
            <w:tcW w:w="900" w:type="dxa"/>
            <w:shd w:val="clear" w:color="auto" w:fill="C6EFCE"/>
            <w:noWrap/>
          </w:tcPr>
          <w:p w14:paraId="3C85D5BE" w14:textId="77777777" w:rsidR="0057163C" w:rsidRPr="00170422" w:rsidRDefault="00F37BF9">
            <w:pPr>
              <w:pStyle w:val="P68B1DB1-Normal12"/>
              <w:jc w:val="center"/>
              <w:rPr>
                <w:noProof/>
                <w:lang w:val="de-DE"/>
              </w:rPr>
            </w:pPr>
            <w:r w:rsidRPr="00170422">
              <w:rPr>
                <w:noProof/>
                <w:lang w:val="de-DE"/>
              </w:rPr>
              <w:t>4. QUARTAL</w:t>
            </w:r>
          </w:p>
        </w:tc>
        <w:tc>
          <w:tcPr>
            <w:tcW w:w="710" w:type="dxa"/>
            <w:shd w:val="clear" w:color="auto" w:fill="C6EFCE"/>
            <w:noWrap/>
          </w:tcPr>
          <w:p w14:paraId="75659F2E" w14:textId="77777777" w:rsidR="0057163C" w:rsidRPr="00170422" w:rsidRDefault="00F37BF9">
            <w:pPr>
              <w:pStyle w:val="P68B1DB1-Normal12"/>
              <w:jc w:val="center"/>
              <w:rPr>
                <w:noProof/>
                <w:lang w:val="de-DE"/>
              </w:rPr>
            </w:pPr>
            <w:r w:rsidRPr="00170422">
              <w:rPr>
                <w:noProof/>
                <w:lang w:val="de-DE"/>
              </w:rPr>
              <w:t>2025</w:t>
            </w:r>
          </w:p>
        </w:tc>
        <w:tc>
          <w:tcPr>
            <w:tcW w:w="3208" w:type="dxa"/>
            <w:shd w:val="clear" w:color="auto" w:fill="C6EFCE"/>
            <w:noWrap/>
          </w:tcPr>
          <w:p w14:paraId="56989AA6" w14:textId="77777777" w:rsidR="0057163C" w:rsidRPr="00170422" w:rsidRDefault="00F37BF9">
            <w:pPr>
              <w:pStyle w:val="P68B1DB1-paragraph95"/>
              <w:spacing w:before="0" w:beforeAutospacing="0" w:after="0" w:afterAutospacing="0"/>
              <w:textAlignment w:val="baseline"/>
              <w:rPr>
                <w:noProof/>
                <w:lang w:val="de-DE"/>
              </w:rPr>
            </w:pPr>
            <w:r w:rsidRPr="00170422">
              <w:rPr>
                <w:noProof/>
                <w:lang w:val="de-DE"/>
              </w:rPr>
              <w:t>Inkrafttreten des Durchführungsübereinkommens.</w:t>
            </w:r>
          </w:p>
        </w:tc>
      </w:tr>
      <w:tr w:rsidR="0057163C" w:rsidRPr="00170422" w14:paraId="7D6C78E8" w14:textId="77777777" w:rsidTr="00E17A5C">
        <w:trPr>
          <w:trHeight w:val="300"/>
          <w:jc w:val="center"/>
        </w:trPr>
        <w:tc>
          <w:tcPr>
            <w:tcW w:w="1078" w:type="dxa"/>
            <w:shd w:val="clear" w:color="auto" w:fill="C6EFCE"/>
            <w:noWrap/>
          </w:tcPr>
          <w:p w14:paraId="2294AEB2" w14:textId="77777777" w:rsidR="0057163C" w:rsidRPr="00170422" w:rsidRDefault="00F37BF9">
            <w:pPr>
              <w:pStyle w:val="P68B1DB1-Normal12"/>
              <w:jc w:val="center"/>
              <w:rPr>
                <w:noProof/>
                <w:lang w:val="de-DE"/>
              </w:rPr>
            </w:pPr>
            <w:r w:rsidRPr="00170422">
              <w:rPr>
                <w:noProof/>
                <w:lang w:val="de-DE"/>
              </w:rPr>
              <w:t>M4C1-32</w:t>
            </w:r>
          </w:p>
        </w:tc>
        <w:tc>
          <w:tcPr>
            <w:tcW w:w="1701" w:type="dxa"/>
            <w:shd w:val="clear" w:color="auto" w:fill="C6EFCE"/>
            <w:noWrap/>
          </w:tcPr>
          <w:p w14:paraId="3CFEB310" w14:textId="77777777" w:rsidR="0057163C" w:rsidRPr="00170422" w:rsidRDefault="00F37BF9">
            <w:pPr>
              <w:pStyle w:val="P68B1DB1-Normal12"/>
              <w:jc w:val="center"/>
              <w:rPr>
                <w:noProof/>
                <w:lang w:val="de-DE"/>
              </w:rPr>
            </w:pPr>
            <w:r w:rsidRPr="00170422">
              <w:rPr>
                <w:noProof/>
                <w:lang w:val="de-DE"/>
              </w:rPr>
              <w:t>Investition 5: Stipendiatenwohnungsfonds</w:t>
            </w:r>
          </w:p>
        </w:tc>
        <w:tc>
          <w:tcPr>
            <w:tcW w:w="1135" w:type="dxa"/>
            <w:shd w:val="clear" w:color="auto" w:fill="C6EFCE"/>
            <w:noWrap/>
          </w:tcPr>
          <w:p w14:paraId="122842D5" w14:textId="7B071DB5" w:rsidR="0057163C" w:rsidRPr="00170422" w:rsidRDefault="00F37BF9">
            <w:pPr>
              <w:pStyle w:val="P68B1DB1-Normal12"/>
              <w:jc w:val="center"/>
              <w:rPr>
                <w:noProof/>
                <w:lang w:val="de-DE"/>
              </w:rPr>
            </w:pPr>
            <w:r w:rsidRPr="00170422">
              <w:rPr>
                <w:noProof/>
                <w:lang w:val="de-DE"/>
              </w:rPr>
              <w:t>Meilenstein</w:t>
            </w:r>
          </w:p>
        </w:tc>
        <w:tc>
          <w:tcPr>
            <w:tcW w:w="1814" w:type="dxa"/>
            <w:shd w:val="clear" w:color="auto" w:fill="C6EFCE"/>
            <w:noWrap/>
          </w:tcPr>
          <w:p w14:paraId="2D98ACF0" w14:textId="77777777" w:rsidR="0057163C" w:rsidRPr="00170422" w:rsidRDefault="00F37BF9">
            <w:pPr>
              <w:pStyle w:val="P68B1DB1-Normal12"/>
              <w:jc w:val="center"/>
              <w:rPr>
                <w:noProof/>
                <w:lang w:val="de-DE"/>
              </w:rPr>
            </w:pPr>
            <w:r w:rsidRPr="00170422">
              <w:rPr>
                <w:noProof/>
                <w:lang w:val="de-DE"/>
              </w:rPr>
              <w:t xml:space="preserve">Mit den Endbegünstigten unterzeichnete </w:t>
            </w:r>
            <w:r w:rsidRPr="00170422">
              <w:rPr>
                <w:noProof/>
                <w:lang w:val="de-DE"/>
              </w:rPr>
              <w:t>rechtliche Vereinbarungen und Abschluss der Investitionen</w:t>
            </w:r>
          </w:p>
        </w:tc>
        <w:tc>
          <w:tcPr>
            <w:tcW w:w="1578" w:type="dxa"/>
            <w:shd w:val="clear" w:color="auto" w:fill="C6EFCE"/>
            <w:noWrap/>
          </w:tcPr>
          <w:p w14:paraId="552F3892" w14:textId="77777777" w:rsidR="0057163C" w:rsidRPr="00170422" w:rsidRDefault="00F37BF9">
            <w:pPr>
              <w:pStyle w:val="P68B1DB1-Normal12"/>
              <w:jc w:val="center"/>
              <w:rPr>
                <w:noProof/>
                <w:lang w:val="de-DE"/>
              </w:rPr>
            </w:pPr>
            <w:r w:rsidRPr="00170422">
              <w:rPr>
                <w:noProof/>
                <w:lang w:val="de-DE"/>
              </w:rPr>
              <w:t>Unterzeichnete rechtliche Vereinbarungen und Übertragungsbescheinigung</w:t>
            </w:r>
          </w:p>
        </w:tc>
        <w:tc>
          <w:tcPr>
            <w:tcW w:w="1148" w:type="dxa"/>
            <w:shd w:val="clear" w:color="auto" w:fill="C6EFCE"/>
            <w:noWrap/>
          </w:tcPr>
          <w:p w14:paraId="0F9A1A86" w14:textId="5375A3F6" w:rsidR="0057163C" w:rsidRPr="00170422" w:rsidRDefault="00F37BF9">
            <w:pPr>
              <w:pStyle w:val="P68B1DB1-Normal12"/>
              <w:jc w:val="center"/>
              <w:rPr>
                <w:noProof/>
                <w:lang w:val="de-DE"/>
              </w:rPr>
            </w:pPr>
            <w:r w:rsidRPr="00170422">
              <w:rPr>
                <w:noProof/>
                <w:lang w:val="de-DE"/>
              </w:rPr>
              <w:t>ENTFÄLLT.</w:t>
            </w:r>
          </w:p>
        </w:tc>
        <w:tc>
          <w:tcPr>
            <w:tcW w:w="1385" w:type="dxa"/>
            <w:shd w:val="clear" w:color="auto" w:fill="C6EFCE"/>
            <w:noWrap/>
          </w:tcPr>
          <w:p w14:paraId="25F84639" w14:textId="2AD9E664" w:rsidR="0057163C" w:rsidRPr="00170422" w:rsidRDefault="00F37BF9">
            <w:pPr>
              <w:pStyle w:val="P68B1DB1-Normal12"/>
              <w:jc w:val="center"/>
              <w:rPr>
                <w:noProof/>
                <w:lang w:val="de-DE"/>
              </w:rPr>
            </w:pPr>
            <w:r w:rsidRPr="00170422">
              <w:rPr>
                <w:noProof/>
                <w:lang w:val="de-DE"/>
              </w:rPr>
              <w:t>ENTFÄLLT.</w:t>
            </w:r>
          </w:p>
        </w:tc>
        <w:tc>
          <w:tcPr>
            <w:tcW w:w="596" w:type="dxa"/>
            <w:shd w:val="clear" w:color="auto" w:fill="C6EFCE"/>
            <w:noWrap/>
          </w:tcPr>
          <w:p w14:paraId="40AAAD62" w14:textId="12BD911D" w:rsidR="0057163C" w:rsidRPr="00170422" w:rsidRDefault="00F37BF9">
            <w:pPr>
              <w:pStyle w:val="P68B1DB1-Normal12"/>
              <w:jc w:val="center"/>
              <w:rPr>
                <w:noProof/>
                <w:lang w:val="de-DE"/>
              </w:rPr>
            </w:pPr>
            <w:r w:rsidRPr="00170422">
              <w:rPr>
                <w:noProof/>
                <w:lang w:val="de-DE"/>
              </w:rPr>
              <w:t>ENTFÄLLT.</w:t>
            </w:r>
          </w:p>
        </w:tc>
        <w:tc>
          <w:tcPr>
            <w:tcW w:w="900" w:type="dxa"/>
            <w:shd w:val="clear" w:color="auto" w:fill="C6EFCE"/>
            <w:noWrap/>
          </w:tcPr>
          <w:p w14:paraId="6ECA56AD" w14:textId="77777777" w:rsidR="0057163C" w:rsidRPr="00170422" w:rsidRDefault="00F37BF9">
            <w:pPr>
              <w:pStyle w:val="P68B1DB1-Normal12"/>
              <w:jc w:val="center"/>
              <w:rPr>
                <w:noProof/>
                <w:lang w:val="de-DE"/>
              </w:rPr>
            </w:pPr>
            <w:r w:rsidRPr="00170422">
              <w:rPr>
                <w:noProof/>
                <w:lang w:val="de-DE"/>
              </w:rPr>
              <w:t>Q2</w:t>
            </w:r>
          </w:p>
        </w:tc>
        <w:tc>
          <w:tcPr>
            <w:tcW w:w="710" w:type="dxa"/>
            <w:shd w:val="clear" w:color="auto" w:fill="C6EFCE"/>
            <w:noWrap/>
          </w:tcPr>
          <w:p w14:paraId="636C0F06" w14:textId="77777777" w:rsidR="0057163C" w:rsidRPr="00170422" w:rsidRDefault="00F37BF9">
            <w:pPr>
              <w:pStyle w:val="P68B1DB1-Normal12"/>
              <w:jc w:val="center"/>
              <w:rPr>
                <w:noProof/>
                <w:lang w:val="de-DE"/>
              </w:rPr>
            </w:pPr>
            <w:r w:rsidRPr="00170422">
              <w:rPr>
                <w:noProof/>
                <w:lang w:val="de-DE"/>
              </w:rPr>
              <w:t>2026</w:t>
            </w:r>
          </w:p>
        </w:tc>
        <w:tc>
          <w:tcPr>
            <w:tcW w:w="3208" w:type="dxa"/>
            <w:shd w:val="clear" w:color="auto" w:fill="C6EFCE"/>
            <w:noWrap/>
          </w:tcPr>
          <w:p w14:paraId="438953D6" w14:textId="77777777" w:rsidR="0057163C" w:rsidRPr="00170422" w:rsidRDefault="00F37BF9">
            <w:pPr>
              <w:pStyle w:val="P68B1DB1-Normal12"/>
              <w:spacing w:line="240" w:lineRule="auto"/>
              <w:jc w:val="both"/>
              <w:rPr>
                <w:noProof/>
                <w:lang w:val="de-DE"/>
              </w:rPr>
            </w:pPr>
            <w:r w:rsidRPr="00170422">
              <w:rPr>
                <w:noProof/>
                <w:lang w:val="de-DE"/>
              </w:rPr>
              <w:t xml:space="preserve">Die Cassa Depositi e Prestiti S.p.A. muss mit den Endbegünstigten gesetzliche </w:t>
            </w:r>
            <w:r w:rsidRPr="00170422">
              <w:rPr>
                <w:noProof/>
                <w:lang w:val="de-DE"/>
              </w:rPr>
              <w:t xml:space="preserve">Finanzhilfevereinbarungen über einen Betrag geschlossen haben, der erforderlich ist, um 100 % der ARF-Investitionen in das Programm zu verwenden (unter Berücksichtigung der Verwaltungsgebühren). </w:t>
            </w:r>
          </w:p>
          <w:p w14:paraId="06621FD9" w14:textId="06BD8754" w:rsidR="0057163C" w:rsidRPr="00170422" w:rsidRDefault="00F37BF9">
            <w:pPr>
              <w:pStyle w:val="P68B1DB1-paragraph95"/>
              <w:spacing w:before="0" w:beforeAutospacing="0" w:after="0" w:afterAutospacing="0"/>
              <w:textAlignment w:val="baseline"/>
              <w:rPr>
                <w:noProof/>
                <w:lang w:val="de-DE"/>
              </w:rPr>
            </w:pPr>
            <w:r w:rsidRPr="00170422">
              <w:rPr>
                <w:noProof/>
                <w:lang w:val="de-DE"/>
              </w:rPr>
              <w:t>Italien überträgt 599 000 000 EUR an die Cassa Depositi e Pr</w:t>
            </w:r>
            <w:r w:rsidRPr="00170422">
              <w:rPr>
                <w:noProof/>
                <w:lang w:val="de-DE"/>
              </w:rPr>
              <w:t>estiti S.p.A. für die Fazilität.</w:t>
            </w:r>
          </w:p>
        </w:tc>
      </w:tr>
    </w:tbl>
    <w:p w14:paraId="45675B82" w14:textId="77777777" w:rsidR="0057163C" w:rsidRPr="00170422" w:rsidRDefault="0057163C">
      <w:pPr>
        <w:spacing w:before="120" w:after="120"/>
        <w:jc w:val="both"/>
        <w:rPr>
          <w:rFonts w:ascii="Arial Narrow" w:hAnsi="Arial Narrow"/>
          <w:noProof/>
          <w:color w:val="000000" w:themeColor="text1"/>
          <w:sz w:val="20"/>
          <w:szCs w:val="20"/>
          <w:lang w:val="de-DE"/>
        </w:rPr>
        <w:sectPr w:rsidR="0057163C" w:rsidRPr="00170422" w:rsidSect="005F11B9">
          <w:headerReference w:type="even" r:id="rId190"/>
          <w:headerReference w:type="default" r:id="rId191"/>
          <w:footerReference w:type="even" r:id="rId192"/>
          <w:footerReference w:type="default" r:id="rId193"/>
          <w:headerReference w:type="first" r:id="rId194"/>
          <w:footerReference w:type="first" r:id="rId195"/>
          <w:pgSz w:w="16839" w:h="11907" w:orient="landscape"/>
          <w:pgMar w:top="1134" w:right="1134" w:bottom="1134" w:left="1134" w:header="567" w:footer="567" w:gutter="0"/>
          <w:cols w:space="720"/>
          <w:docGrid w:linePitch="360"/>
        </w:sectPr>
      </w:pPr>
    </w:p>
    <w:p w14:paraId="172BA92A" w14:textId="77777777" w:rsidR="0057163C" w:rsidRPr="00170422" w:rsidRDefault="00F37BF9">
      <w:pPr>
        <w:pStyle w:val="P68B1DB1-Heading23"/>
        <w:rPr>
          <w:noProof/>
          <w:lang w:val="de-DE"/>
        </w:rPr>
      </w:pPr>
      <w:r w:rsidRPr="00170422">
        <w:rPr>
          <w:noProof/>
          <w:lang w:val="de-DE"/>
        </w:rPr>
        <w:t>K. MISSION 4 KOMPONENTE 2: Von der Forschung zur Wirtschaft</w:t>
      </w:r>
    </w:p>
    <w:p w14:paraId="01056623" w14:textId="5AE5A982" w:rsidR="0057163C" w:rsidRPr="00170422" w:rsidRDefault="00F37BF9">
      <w:pPr>
        <w:pStyle w:val="P68B1DB1-Normal96"/>
        <w:spacing w:before="120" w:after="120"/>
        <w:jc w:val="both"/>
        <w:rPr>
          <w:rFonts w:eastAsia="Calibri" w:hint="default"/>
          <w:noProof/>
          <w:lang w:val="de-DE"/>
        </w:rPr>
      </w:pPr>
      <w:r w:rsidRPr="00170422">
        <w:rPr>
          <w:rFonts w:hint="default"/>
          <w:noProof/>
          <w:lang w:val="de-DE"/>
        </w:rPr>
        <w:t>Diese Komponente des italienischen Aufbau- und Resilienzplans zielt darauf ab, Investitionen in Forschung und Innovation zu unterstützen, Innovation und Technologieverbreitung zu fördern, Kompetenzen zu stärken und den Übergang zu einer wissensbasierten Wi</w:t>
      </w:r>
      <w:r w:rsidRPr="00170422">
        <w:rPr>
          <w:rFonts w:hint="default"/>
          <w:noProof/>
          <w:lang w:val="de-DE"/>
        </w:rPr>
        <w:t>rtschaft zu unterstützen. Es unterstützt das öffentliche Forschungssystem, die Kompetenzen und die Mobilität der Forscher sowie die Zusammenarbeit zwischen öffentlichem und privatem Sektor auf nationaler und EU-Ebene. Sie stützt sich auf drei Hauptpfeiler:</w:t>
      </w:r>
      <w:r w:rsidRPr="00170422">
        <w:rPr>
          <w:rFonts w:hint="default"/>
          <w:noProof/>
          <w:lang w:val="de-DE"/>
        </w:rPr>
        <w:t xml:space="preserve"> I) Verbesserung der wissenschaftlichen Grundlagen; II) starke Verbindungen zwischen Unternehmen und Wissenschaft (Wissens- und Technologietransfer; III) Unterstützung von Unternehmensinnovationen (insbesondere KMU, Start-up-Unternehmen).</w:t>
      </w:r>
    </w:p>
    <w:p w14:paraId="472BF0D5" w14:textId="37A4CA53" w:rsidR="0057163C" w:rsidRPr="00170422" w:rsidRDefault="00F37BF9">
      <w:pPr>
        <w:pStyle w:val="P68B1DB1-Normal96"/>
        <w:spacing w:before="120" w:after="120"/>
        <w:jc w:val="both"/>
        <w:rPr>
          <w:rFonts w:hint="default"/>
          <w:noProof/>
          <w:lang w:val="de-DE"/>
        </w:rPr>
      </w:pPr>
      <w:r w:rsidRPr="00170422">
        <w:rPr>
          <w:rFonts w:hint="default"/>
          <w:noProof/>
          <w:lang w:val="de-DE"/>
        </w:rPr>
        <w:t>Die Investitionen</w:t>
      </w:r>
      <w:r w:rsidRPr="00170422">
        <w:rPr>
          <w:rFonts w:hint="default"/>
          <w:noProof/>
          <w:lang w:val="de-DE"/>
        </w:rPr>
        <w:t xml:space="preserve"> und Reformen im Rahmen dieser Komponente sollen zur Umsetzung der länderspezifischen Empfehlungen an Italien in den Jahren 2020 und 2019 beitragen, in denen es darum geht, „die investitionsbezogene Wirtschaftspolitik auf Forschung und Innovation und die Q</w:t>
      </w:r>
      <w:r w:rsidRPr="00170422">
        <w:rPr>
          <w:rFonts w:hint="default"/>
          <w:noProof/>
          <w:lang w:val="de-DE"/>
        </w:rPr>
        <w:t>ualität der Infrastruktur zu konzentrieren“ (länderspezifische Empfehlung 3, 2019), private Investitionen zur Förderung der wirtschaftlichen Erholung zu fördern (länderspezifische Empfehlung 3, 2020), Investitionen auf den ökologischen und digitalen Wandel</w:t>
      </w:r>
      <w:r w:rsidRPr="00170422">
        <w:rPr>
          <w:rFonts w:hint="default"/>
          <w:noProof/>
          <w:lang w:val="de-DE"/>
        </w:rPr>
        <w:t xml:space="preserve">, insbesondere in Forschung und Innovation, zu konzentrieren (länderspezifische Empfehlung 3, 2020). </w:t>
      </w:r>
    </w:p>
    <w:p w14:paraId="7BC2E3FB" w14:textId="77777777" w:rsidR="0057163C" w:rsidRPr="00170422" w:rsidRDefault="00F37BF9">
      <w:pPr>
        <w:pStyle w:val="P68B1DB1-Heading368"/>
        <w:ind w:left="850" w:hanging="850"/>
        <w:rPr>
          <w:noProof/>
          <w:lang w:val="de-DE"/>
        </w:rPr>
      </w:pPr>
      <w:r w:rsidRPr="00170422">
        <w:rPr>
          <w:noProof/>
          <w:lang w:val="de-DE"/>
        </w:rPr>
        <w:t xml:space="preserve">K.1. </w:t>
      </w:r>
      <w:r w:rsidRPr="00170422">
        <w:rPr>
          <w:noProof/>
          <w:lang w:val="de-DE"/>
        </w:rPr>
        <w:tab/>
        <w:t>Beschreibung der Reformen und Investitionen für nicht rückzahlbare finanzielle Unterstützung</w:t>
      </w:r>
    </w:p>
    <w:p w14:paraId="6EA0CB35" w14:textId="77777777" w:rsidR="0057163C" w:rsidRPr="00170422" w:rsidRDefault="0057163C">
      <w:pPr>
        <w:rPr>
          <w:noProof/>
          <w:lang w:val="de-DE"/>
        </w:rPr>
      </w:pPr>
    </w:p>
    <w:p w14:paraId="7EB12039" w14:textId="77777777" w:rsidR="0057163C" w:rsidRPr="00170422" w:rsidRDefault="00F37BF9">
      <w:pPr>
        <w:pStyle w:val="P68B1DB1-Normal5"/>
        <w:spacing w:before="120" w:after="120"/>
        <w:jc w:val="both"/>
        <w:rPr>
          <w:noProof/>
          <w:lang w:val="de-DE"/>
        </w:rPr>
      </w:pPr>
      <w:r w:rsidRPr="00170422">
        <w:rPr>
          <w:noProof/>
          <w:lang w:val="de-DE"/>
        </w:rPr>
        <w:t>Investition 1.2: Finanzierung von Projekten, die von N</w:t>
      </w:r>
      <w:r w:rsidRPr="00170422">
        <w:rPr>
          <w:noProof/>
          <w:lang w:val="de-DE"/>
        </w:rPr>
        <w:t>achwuchsforschern vorgestellt werden</w:t>
      </w:r>
    </w:p>
    <w:p w14:paraId="6C2E1747" w14:textId="77777777" w:rsidR="0057163C" w:rsidRPr="00170422" w:rsidRDefault="00F37BF9">
      <w:pPr>
        <w:pStyle w:val="P68B1DB1-Normal7"/>
        <w:spacing w:after="0"/>
        <w:jc w:val="both"/>
        <w:rPr>
          <w:noProof/>
          <w:lang w:val="de-DE"/>
        </w:rPr>
      </w:pPr>
      <w:r w:rsidRPr="00170422">
        <w:rPr>
          <w:noProof/>
          <w:lang w:val="de-DE"/>
        </w:rPr>
        <w:t xml:space="preserve">Ziel dieser Investition ist es, Nachwuchsforscher in Italien zu halten. Die Maßnahme besteht in der Unterstützung der Forschungstätigkeiten von Nachwuchsforschern. </w:t>
      </w:r>
    </w:p>
    <w:p w14:paraId="3F3FE046" w14:textId="77777777" w:rsidR="0057163C" w:rsidRPr="00170422" w:rsidRDefault="00F37BF9">
      <w:pPr>
        <w:pStyle w:val="P68B1DB1-Normal5"/>
        <w:spacing w:before="120" w:after="120" w:line="257" w:lineRule="auto"/>
        <w:ind w:left="-680" w:firstLine="709"/>
        <w:jc w:val="both"/>
        <w:rPr>
          <w:bCs/>
          <w:i/>
          <w:iCs/>
          <w:noProof/>
          <w:u w:val="single"/>
          <w:lang w:val="de-DE"/>
        </w:rPr>
      </w:pPr>
      <w:r w:rsidRPr="00170422">
        <w:rPr>
          <w:noProof/>
          <w:lang w:val="de-DE"/>
        </w:rPr>
        <w:t>Investition 2.2a: Innovationsvereinbarungen</w:t>
      </w:r>
    </w:p>
    <w:p w14:paraId="108BC369" w14:textId="47F2B3C9" w:rsidR="0057163C" w:rsidRPr="00170422" w:rsidRDefault="00F37BF9">
      <w:pPr>
        <w:pStyle w:val="P68B1DB1-Normal7"/>
        <w:jc w:val="both"/>
        <w:rPr>
          <w:noProof/>
          <w:lang w:val="de-DE"/>
        </w:rPr>
      </w:pPr>
      <w:r w:rsidRPr="00170422">
        <w:rPr>
          <w:noProof/>
          <w:lang w:val="de-DE"/>
        </w:rPr>
        <w:t>Ziel diese</w:t>
      </w:r>
      <w:r w:rsidRPr="00170422">
        <w:rPr>
          <w:noProof/>
          <w:lang w:val="de-DE"/>
        </w:rPr>
        <w:t>r Maßnahme ist es, Innovationen zu fördern. Die Maßnahme besteht in der Definition von Forschungs-, Entwicklungs- und Innovationsprojekten (sogenannte „Innovationsvereinbarungen“) in Bereichen, die mit der zweiten Säule des Programms „Horizont Europa“ gemä</w:t>
      </w:r>
      <w:r w:rsidRPr="00170422">
        <w:rPr>
          <w:noProof/>
          <w:lang w:val="de-DE"/>
        </w:rPr>
        <w:t xml:space="preserve">ß der Verordnung (EU) 2021/695 im Einklang stehen. </w:t>
      </w:r>
    </w:p>
    <w:p w14:paraId="5CD44EC9" w14:textId="77777777" w:rsidR="0057163C" w:rsidRPr="00170422" w:rsidRDefault="00F37BF9">
      <w:pPr>
        <w:pStyle w:val="P68B1DB1-Normal5"/>
        <w:spacing w:before="120" w:after="120"/>
        <w:jc w:val="both"/>
        <w:rPr>
          <w:rFonts w:eastAsia="Calibri"/>
          <w:bCs/>
          <w:noProof/>
          <w:lang w:val="de-DE"/>
        </w:rPr>
      </w:pPr>
      <w:r w:rsidRPr="00170422">
        <w:rPr>
          <w:noProof/>
          <w:lang w:val="de-DE"/>
        </w:rPr>
        <w:t xml:space="preserve">Investition 3.3: Vergabe von Promotionsstipendien in Zusammenarbeit mit Unternehmen </w:t>
      </w:r>
    </w:p>
    <w:p w14:paraId="57DF6556" w14:textId="77777777" w:rsidR="0057163C" w:rsidRPr="00170422" w:rsidRDefault="00F37BF9">
      <w:pPr>
        <w:pStyle w:val="P68B1DB1-Normal7"/>
        <w:spacing w:before="120" w:after="120"/>
        <w:jc w:val="both"/>
        <w:rPr>
          <w:noProof/>
          <w:lang w:val="de-DE"/>
        </w:rPr>
      </w:pPr>
      <w:r w:rsidRPr="00170422">
        <w:rPr>
          <w:noProof/>
          <w:lang w:val="de-DE"/>
        </w:rPr>
        <w:t>Ziel dieser Maßnahme ist die Verbesserung von Kompetenzen auf hohem Niveau, auch in den Bereichen Schlüsseltechnologien</w:t>
      </w:r>
      <w:r w:rsidRPr="00170422">
        <w:rPr>
          <w:noProof/>
          <w:lang w:val="de-DE"/>
        </w:rPr>
        <w:t xml:space="preserve">. </w:t>
      </w:r>
    </w:p>
    <w:p w14:paraId="303F78CC" w14:textId="583A4A22" w:rsidR="0057163C" w:rsidRPr="00170422" w:rsidRDefault="00F37BF9">
      <w:pPr>
        <w:spacing w:before="120" w:after="120"/>
        <w:jc w:val="both"/>
        <w:rPr>
          <w:rFonts w:ascii="Times New Roman" w:hAnsi="Times New Roman" w:cs="Times New Roman"/>
          <w:noProof/>
          <w:lang w:val="de-DE"/>
        </w:rPr>
      </w:pPr>
      <w:r w:rsidRPr="00170422">
        <w:rPr>
          <w:rFonts w:ascii="Times New Roman" w:hAnsi="Times New Roman" w:cs="Times New Roman"/>
          <w:noProof/>
          <w:lang w:val="de-DE"/>
        </w:rPr>
        <w:t>Die Maßnahme besteht in der Vergabe von PhD-Stipendien durch Hochschulen und AFAM-Einrichtungen unter Mitwirkung und Einbeziehung von Unternehmen. Konkret sieht die Maßnahme, die vom Ministerium für Universität und Forschung MUR durchgeführt wird, die G</w:t>
      </w:r>
      <w:r w:rsidRPr="00170422">
        <w:rPr>
          <w:rFonts w:ascii="Times New Roman" w:hAnsi="Times New Roman" w:cs="Times New Roman"/>
          <w:noProof/>
          <w:lang w:val="de-DE"/>
        </w:rPr>
        <w:t>ewährung von insgesamt</w:t>
      </w:r>
      <w:r w:rsidRPr="00170422">
        <w:rPr>
          <w:rFonts w:ascii="Arial Narrow" w:hAnsi="Arial Narrow"/>
          <w:noProof/>
          <w:color w:val="006100"/>
          <w:sz w:val="20"/>
          <w:szCs w:val="20"/>
          <w:lang w:val="de-DE"/>
        </w:rPr>
        <w:t xml:space="preserve"> </w:t>
      </w:r>
      <w:r w:rsidRPr="00170422">
        <w:rPr>
          <w:rFonts w:ascii="Times New Roman" w:hAnsi="Times New Roman" w:cs="Times New Roman"/>
          <w:noProof/>
          <w:lang w:val="de-DE"/>
        </w:rPr>
        <w:t xml:space="preserve">6000 Doktorandenstipendien in drei Jahren mit privater Kofinanzierung vor. </w:t>
      </w:r>
    </w:p>
    <w:p w14:paraId="0E09FACF" w14:textId="77777777" w:rsidR="0057163C" w:rsidRPr="00170422" w:rsidRDefault="00F37BF9">
      <w:pPr>
        <w:pStyle w:val="P68B1DB1-Normal5"/>
        <w:spacing w:before="120" w:after="120" w:line="288" w:lineRule="auto"/>
        <w:jc w:val="both"/>
        <w:rPr>
          <w:bCs/>
          <w:noProof/>
          <w:lang w:val="de-DE"/>
        </w:rPr>
      </w:pPr>
      <w:r w:rsidRPr="00170422">
        <w:rPr>
          <w:noProof/>
          <w:lang w:val="de-DE"/>
        </w:rPr>
        <w:t>Reform 1.1: Durchführung von FuI-Unterstützungsmaßnahmen zur Förderung von Vereinfachung und Mobilität</w:t>
      </w:r>
    </w:p>
    <w:p w14:paraId="2FE7A2BA" w14:textId="77777777" w:rsidR="0057163C" w:rsidRPr="00170422" w:rsidRDefault="00F37BF9">
      <w:pPr>
        <w:pStyle w:val="P68B1DB1-Normal7"/>
        <w:spacing w:before="120" w:after="120"/>
        <w:jc w:val="both"/>
        <w:rPr>
          <w:noProof/>
          <w:lang w:val="de-DE"/>
        </w:rPr>
      </w:pPr>
      <w:r w:rsidRPr="00170422">
        <w:rPr>
          <w:noProof/>
          <w:lang w:val="de-DE"/>
        </w:rPr>
        <w:t>Die Reform wird vom Ministerium für Universität und Fo</w:t>
      </w:r>
      <w:r w:rsidRPr="00170422">
        <w:rPr>
          <w:noProof/>
          <w:lang w:val="de-DE"/>
        </w:rPr>
        <w:t>rschung (MUR) und vom Ministerium für wirtschaftliche Entwicklung (MiSE) durch die Einrichtung eines interministeriellen Lenkungsausschusses und den Erlass von zwei Ministerialdekreten umgesetzt: I) Steigerung und Unterstützung der Mobilität (durch Anreize</w:t>
      </w:r>
      <w:r w:rsidRPr="00170422">
        <w:rPr>
          <w:noProof/>
          <w:lang w:val="de-DE"/>
        </w:rPr>
        <w:t>) von prominenten Einzelpersonen (z. B.: Forscher und Manager) zwischen Hochschulen, Forschungsinfrastrukturen und Unternehmen und ii) zur Vereinfachung der Verwaltung von Forschungsmitteln, iii) zur Reform des Laufbahnpfads von Forschern, um ihren Schwerp</w:t>
      </w:r>
      <w:r w:rsidRPr="00170422">
        <w:rPr>
          <w:noProof/>
          <w:lang w:val="de-DE"/>
        </w:rPr>
        <w:t xml:space="preserve">unkt stärker auf Forschungstätigkeiten zu legen. </w:t>
      </w:r>
    </w:p>
    <w:p w14:paraId="26A96F51" w14:textId="6C2C4E05" w:rsidR="0057163C" w:rsidRPr="00170422" w:rsidRDefault="00F37BF9">
      <w:pPr>
        <w:pStyle w:val="P68B1DB1-Normal7"/>
        <w:jc w:val="both"/>
        <w:rPr>
          <w:b/>
          <w:bCs/>
          <w:noProof/>
          <w:lang w:val="de-DE"/>
        </w:rPr>
      </w:pPr>
      <w:r w:rsidRPr="00170422">
        <w:rPr>
          <w:noProof/>
          <w:lang w:val="de-DE"/>
        </w:rPr>
        <w:t xml:space="preserve">Die Reform wird zu einem systematischeren Ansatz für FuE-Tätigkeiten übergehen, der über die derzeitige Logik der Umverteilung von Ressourcen hinausgeht, indem ein Konzept der gemeinsamen Nutzung gefördert </w:t>
      </w:r>
      <w:r w:rsidRPr="00170422">
        <w:rPr>
          <w:noProof/>
          <w:lang w:val="de-DE"/>
        </w:rPr>
        <w:t>wird, und der Schwerpunkt auf die Vereinfachung des Verwaltungsaufwands bei der Verwaltung von Mitteln für öffentlich-private Forschungstätigkeiten gelegt wird, wodurch eine erhebliche Wirkung erzielt wird, indem eine Streuung und Fragmentierung der Priori</w:t>
      </w:r>
      <w:r w:rsidRPr="00170422">
        <w:rPr>
          <w:noProof/>
          <w:lang w:val="de-DE"/>
        </w:rPr>
        <w:t>täten, die auch durch die erste Komponente der Mission unterstützt werden, vermieden wird. Öffentliche Forschungseinrichtungen spielen sowohl als mögliche Projektleiter für Partnerschaften, nationale Kampagnen und territoriale Ökosysteme als auch als poten</w:t>
      </w:r>
      <w:r w:rsidRPr="00170422">
        <w:rPr>
          <w:noProof/>
          <w:lang w:val="de-DE"/>
        </w:rPr>
        <w:t>zielle Teilnehmer an Aufforderungen zur Einreichung von Vorschlägen für den PNR-Fonds und den Infrastrukturfonds eine Schlüsselrolle.</w:t>
      </w:r>
    </w:p>
    <w:p w14:paraId="025FEE9D" w14:textId="2FFD621B" w:rsidR="0057163C" w:rsidRPr="00170422" w:rsidRDefault="00F37BF9">
      <w:pPr>
        <w:pStyle w:val="P68B1DB1-Normal5"/>
        <w:spacing w:before="120" w:after="120"/>
        <w:jc w:val="both"/>
        <w:rPr>
          <w:bCs/>
          <w:noProof/>
          <w:lang w:val="de-DE"/>
        </w:rPr>
      </w:pPr>
      <w:r w:rsidRPr="00170422">
        <w:rPr>
          <w:noProof/>
          <w:lang w:val="de-DE"/>
        </w:rPr>
        <w:t>Reform 1.2: Dreijahresplan für die Finanzierung von Forschungstätigkeiten</w:t>
      </w:r>
    </w:p>
    <w:p w14:paraId="31625454" w14:textId="55A39CA6" w:rsidR="0057163C" w:rsidRPr="00170422" w:rsidRDefault="00F37BF9">
      <w:pPr>
        <w:pStyle w:val="P68B1DB1-Normal7"/>
        <w:jc w:val="both"/>
        <w:rPr>
          <w:noProof/>
          <w:lang w:val="de-DE"/>
        </w:rPr>
      </w:pPr>
      <w:r w:rsidRPr="00170422">
        <w:rPr>
          <w:noProof/>
          <w:lang w:val="de-DE"/>
        </w:rPr>
        <w:t xml:space="preserve">Ziel der Reform ist es, die Planung und </w:t>
      </w:r>
      <w:r w:rsidRPr="00170422">
        <w:rPr>
          <w:noProof/>
          <w:lang w:val="de-DE"/>
        </w:rPr>
        <w:t>Berechenbarkeit der Forschungsfinanzierung zu verbessern. Sie besteht aus dem Inkrafttreten des Primärrechts, das den rechtlichen Rahmen für die Annahme eines Dreijahresplans für die Finanzierung von Forschungstätigkeiten festlegt.</w:t>
      </w:r>
    </w:p>
    <w:p w14:paraId="375E5F23" w14:textId="77777777" w:rsidR="0057163C" w:rsidRPr="00170422" w:rsidRDefault="0057163C">
      <w:pPr>
        <w:jc w:val="both"/>
        <w:rPr>
          <w:rFonts w:ascii="Times New Roman" w:hAnsi="Times New Roman" w:cs="Times New Roman"/>
          <w:noProof/>
          <w:lang w:val="de-DE"/>
        </w:rPr>
      </w:pPr>
    </w:p>
    <w:p w14:paraId="3A748D05" w14:textId="77777777" w:rsidR="0057163C" w:rsidRPr="00170422" w:rsidRDefault="0057163C">
      <w:pPr>
        <w:rPr>
          <w:rFonts w:ascii="Times New Roman" w:hAnsi="Times New Roman" w:cs="Times New Roman"/>
          <w:b/>
          <w:bCs/>
          <w:noProof/>
          <w:u w:val="single"/>
          <w:lang w:val="de-DE"/>
        </w:rPr>
        <w:sectPr w:rsidR="0057163C" w:rsidRPr="00170422" w:rsidSect="005F11B9">
          <w:headerReference w:type="even" r:id="rId196"/>
          <w:headerReference w:type="default" r:id="rId197"/>
          <w:footerReference w:type="even" r:id="rId198"/>
          <w:footerReference w:type="default" r:id="rId199"/>
          <w:headerReference w:type="first" r:id="rId200"/>
          <w:footerReference w:type="first" r:id="rId201"/>
          <w:pgSz w:w="11906" w:h="16838"/>
          <w:pgMar w:top="1440" w:right="1440" w:bottom="1440" w:left="1440" w:header="708" w:footer="708" w:gutter="0"/>
          <w:cols w:space="708"/>
          <w:docGrid w:linePitch="360"/>
        </w:sectPr>
      </w:pPr>
    </w:p>
    <w:p w14:paraId="2452C159" w14:textId="77777777" w:rsidR="0057163C" w:rsidRPr="00170422" w:rsidRDefault="00F37BF9">
      <w:pPr>
        <w:pStyle w:val="P68B1DB1-Heading397"/>
        <w:ind w:left="850" w:hanging="850"/>
        <w:rPr>
          <w:rFonts w:hint="default"/>
          <w:noProof/>
          <w:lang w:val="de-DE"/>
        </w:rPr>
      </w:pPr>
      <w:r w:rsidRPr="00170422">
        <w:rPr>
          <w:rFonts w:hint="default"/>
          <w:noProof/>
          <w:lang w:val="de-DE"/>
        </w:rPr>
        <w:t xml:space="preserve">K.2. </w:t>
      </w:r>
      <w:r w:rsidRPr="00170422">
        <w:rPr>
          <w:rFonts w:hint="default"/>
          <w:noProof/>
          <w:lang w:val="de-DE"/>
        </w:rPr>
        <w:tab/>
        <w:t>Etappenziele, Zielwerte, Indikatoren und Zeitplan für die Überwachung und Durchführung der nicht rückzahlbaren finanziellen Unterstützung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3"/>
        <w:gridCol w:w="1978"/>
        <w:gridCol w:w="1229"/>
        <w:gridCol w:w="1760"/>
        <w:gridCol w:w="1614"/>
        <w:gridCol w:w="1162"/>
        <w:gridCol w:w="1418"/>
        <w:gridCol w:w="992"/>
        <w:gridCol w:w="851"/>
        <w:gridCol w:w="708"/>
        <w:gridCol w:w="2205"/>
      </w:tblGrid>
      <w:tr w:rsidR="000B7F7C" w:rsidRPr="00170422" w14:paraId="77EBB1CA" w14:textId="77777777" w:rsidTr="000B7F7C">
        <w:trPr>
          <w:trHeight w:val="927"/>
          <w:tblHeader/>
          <w:jc w:val="center"/>
        </w:trPr>
        <w:tc>
          <w:tcPr>
            <w:tcW w:w="1063" w:type="dxa"/>
            <w:vMerge w:val="restart"/>
            <w:shd w:val="clear" w:color="auto" w:fill="BDD7EE"/>
            <w:vAlign w:val="center"/>
            <w:hideMark/>
          </w:tcPr>
          <w:p w14:paraId="15D04695" w14:textId="77777777" w:rsidR="0057163C" w:rsidRPr="00170422" w:rsidRDefault="00F37BF9">
            <w:pPr>
              <w:pStyle w:val="P68B1DB1-Normal10"/>
              <w:jc w:val="center"/>
              <w:rPr>
                <w:noProof/>
                <w:szCs w:val="20"/>
                <w:lang w:val="de-DE"/>
              </w:rPr>
            </w:pPr>
            <w:r w:rsidRPr="00170422">
              <w:rPr>
                <w:noProof/>
                <w:lang w:val="de-DE"/>
              </w:rPr>
              <w:t>Laufende Nummer</w:t>
            </w:r>
          </w:p>
        </w:tc>
        <w:tc>
          <w:tcPr>
            <w:tcW w:w="1978" w:type="dxa"/>
            <w:vMerge w:val="restart"/>
            <w:shd w:val="clear" w:color="auto" w:fill="BDD7EE"/>
            <w:vAlign w:val="center"/>
            <w:hideMark/>
          </w:tcPr>
          <w:p w14:paraId="72306E09"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29" w:type="dxa"/>
            <w:vMerge w:val="restart"/>
            <w:shd w:val="clear" w:color="auto" w:fill="BDD7EE"/>
            <w:vAlign w:val="center"/>
            <w:hideMark/>
          </w:tcPr>
          <w:p w14:paraId="46FA3A0B" w14:textId="50243D85" w:rsidR="0057163C" w:rsidRPr="00170422" w:rsidRDefault="00F37BF9">
            <w:pPr>
              <w:pStyle w:val="P68B1DB1-Normal10"/>
              <w:jc w:val="center"/>
              <w:rPr>
                <w:noProof/>
                <w:szCs w:val="20"/>
                <w:lang w:val="de-DE"/>
              </w:rPr>
            </w:pPr>
            <w:r w:rsidRPr="00170422">
              <w:rPr>
                <w:noProof/>
                <w:lang w:val="de-DE"/>
              </w:rPr>
              <w:t>Etappenziel/</w:t>
            </w:r>
            <w:r w:rsidR="000B7F7C" w:rsidRPr="00170422">
              <w:rPr>
                <w:noProof/>
                <w:lang w:val="de-DE"/>
              </w:rPr>
              <w:br/>
            </w:r>
            <w:r w:rsidRPr="00170422">
              <w:rPr>
                <w:noProof/>
                <w:lang w:val="de-DE"/>
              </w:rPr>
              <w:t>Zielw</w:t>
            </w:r>
            <w:r w:rsidRPr="00170422">
              <w:rPr>
                <w:noProof/>
                <w:lang w:val="de-DE"/>
              </w:rPr>
              <w:t>ert</w:t>
            </w:r>
          </w:p>
        </w:tc>
        <w:tc>
          <w:tcPr>
            <w:tcW w:w="1760" w:type="dxa"/>
            <w:vMerge w:val="restart"/>
            <w:shd w:val="clear" w:color="auto" w:fill="BDD7EE"/>
            <w:vAlign w:val="center"/>
            <w:hideMark/>
          </w:tcPr>
          <w:p w14:paraId="08918BB2" w14:textId="77777777" w:rsidR="0057163C" w:rsidRPr="00170422" w:rsidRDefault="00F37BF9">
            <w:pPr>
              <w:pStyle w:val="P68B1DB1-Normal10"/>
              <w:jc w:val="center"/>
              <w:rPr>
                <w:noProof/>
                <w:szCs w:val="20"/>
                <w:lang w:val="de-DE"/>
              </w:rPr>
            </w:pPr>
            <w:r w:rsidRPr="00170422">
              <w:rPr>
                <w:noProof/>
                <w:lang w:val="de-DE"/>
              </w:rPr>
              <w:t>Namen</w:t>
            </w:r>
          </w:p>
        </w:tc>
        <w:tc>
          <w:tcPr>
            <w:tcW w:w="1614" w:type="dxa"/>
            <w:vMerge w:val="restart"/>
            <w:shd w:val="clear" w:color="auto" w:fill="BDD7EE"/>
            <w:vAlign w:val="center"/>
            <w:hideMark/>
          </w:tcPr>
          <w:p w14:paraId="52A8DB05" w14:textId="1958EB8A"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0B7F7C"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572" w:type="dxa"/>
            <w:gridSpan w:val="3"/>
            <w:shd w:val="clear" w:color="auto" w:fill="BDD7EE"/>
            <w:vAlign w:val="center"/>
            <w:hideMark/>
          </w:tcPr>
          <w:p w14:paraId="32E720DD"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59" w:type="dxa"/>
            <w:gridSpan w:val="2"/>
            <w:shd w:val="clear" w:color="auto" w:fill="BDD7EE"/>
            <w:vAlign w:val="center"/>
            <w:hideMark/>
          </w:tcPr>
          <w:p w14:paraId="67E49427"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205" w:type="dxa"/>
            <w:vMerge w:val="restart"/>
            <w:shd w:val="clear" w:color="auto" w:fill="BDD7EE"/>
            <w:vAlign w:val="center"/>
            <w:hideMark/>
          </w:tcPr>
          <w:p w14:paraId="47147C27"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0B7F7C" w:rsidRPr="00170422" w14:paraId="7DC70438" w14:textId="77777777" w:rsidTr="000B7F7C">
        <w:trPr>
          <w:trHeight w:val="802"/>
          <w:tblHeader/>
          <w:jc w:val="center"/>
        </w:trPr>
        <w:tc>
          <w:tcPr>
            <w:tcW w:w="1063" w:type="dxa"/>
            <w:vMerge/>
            <w:vAlign w:val="center"/>
            <w:hideMark/>
          </w:tcPr>
          <w:p w14:paraId="2810997B" w14:textId="77777777" w:rsidR="0057163C" w:rsidRPr="00170422" w:rsidRDefault="0057163C">
            <w:pPr>
              <w:jc w:val="center"/>
              <w:rPr>
                <w:rFonts w:ascii="Arial Narrow" w:hAnsi="Arial Narrow"/>
                <w:b/>
                <w:noProof/>
                <w:sz w:val="20"/>
                <w:szCs w:val="20"/>
                <w:lang w:val="de-DE"/>
              </w:rPr>
            </w:pPr>
          </w:p>
        </w:tc>
        <w:tc>
          <w:tcPr>
            <w:tcW w:w="1978" w:type="dxa"/>
            <w:vMerge/>
            <w:vAlign w:val="center"/>
            <w:hideMark/>
          </w:tcPr>
          <w:p w14:paraId="1FDCCA58" w14:textId="77777777" w:rsidR="0057163C" w:rsidRPr="00170422" w:rsidRDefault="0057163C">
            <w:pPr>
              <w:jc w:val="center"/>
              <w:rPr>
                <w:rFonts w:ascii="Arial Narrow" w:hAnsi="Arial Narrow"/>
                <w:b/>
                <w:noProof/>
                <w:sz w:val="20"/>
                <w:szCs w:val="20"/>
                <w:lang w:val="de-DE"/>
              </w:rPr>
            </w:pPr>
          </w:p>
        </w:tc>
        <w:tc>
          <w:tcPr>
            <w:tcW w:w="1229" w:type="dxa"/>
            <w:vMerge/>
            <w:vAlign w:val="center"/>
            <w:hideMark/>
          </w:tcPr>
          <w:p w14:paraId="744B5075" w14:textId="77777777" w:rsidR="0057163C" w:rsidRPr="00170422" w:rsidRDefault="0057163C">
            <w:pPr>
              <w:jc w:val="center"/>
              <w:rPr>
                <w:rFonts w:ascii="Arial Narrow" w:hAnsi="Arial Narrow"/>
                <w:b/>
                <w:noProof/>
                <w:sz w:val="20"/>
                <w:szCs w:val="20"/>
                <w:lang w:val="de-DE"/>
              </w:rPr>
            </w:pPr>
          </w:p>
        </w:tc>
        <w:tc>
          <w:tcPr>
            <w:tcW w:w="1760" w:type="dxa"/>
            <w:vMerge/>
            <w:vAlign w:val="center"/>
            <w:hideMark/>
          </w:tcPr>
          <w:p w14:paraId="085A8514" w14:textId="77777777" w:rsidR="0057163C" w:rsidRPr="00170422" w:rsidRDefault="0057163C">
            <w:pPr>
              <w:jc w:val="center"/>
              <w:rPr>
                <w:rFonts w:ascii="Arial Narrow" w:hAnsi="Arial Narrow"/>
                <w:b/>
                <w:noProof/>
                <w:sz w:val="20"/>
                <w:szCs w:val="20"/>
                <w:lang w:val="de-DE"/>
              </w:rPr>
            </w:pPr>
          </w:p>
        </w:tc>
        <w:tc>
          <w:tcPr>
            <w:tcW w:w="1614" w:type="dxa"/>
            <w:vMerge/>
            <w:vAlign w:val="center"/>
            <w:hideMark/>
          </w:tcPr>
          <w:p w14:paraId="13B00B63" w14:textId="77777777" w:rsidR="0057163C" w:rsidRPr="00170422" w:rsidRDefault="0057163C">
            <w:pPr>
              <w:jc w:val="center"/>
              <w:rPr>
                <w:rFonts w:ascii="Arial Narrow" w:hAnsi="Arial Narrow"/>
                <w:b/>
                <w:noProof/>
                <w:sz w:val="20"/>
                <w:szCs w:val="20"/>
                <w:lang w:val="de-DE"/>
              </w:rPr>
            </w:pPr>
          </w:p>
        </w:tc>
        <w:tc>
          <w:tcPr>
            <w:tcW w:w="1162" w:type="dxa"/>
            <w:shd w:val="clear" w:color="auto" w:fill="BDD7EE"/>
            <w:vAlign w:val="center"/>
            <w:hideMark/>
          </w:tcPr>
          <w:p w14:paraId="63B19481" w14:textId="77777777" w:rsidR="0057163C" w:rsidRPr="00170422" w:rsidRDefault="00F37BF9">
            <w:pPr>
              <w:pStyle w:val="P68B1DB1-Normal10"/>
              <w:jc w:val="center"/>
              <w:rPr>
                <w:noProof/>
                <w:szCs w:val="20"/>
                <w:lang w:val="de-DE"/>
              </w:rPr>
            </w:pPr>
            <w:r w:rsidRPr="00170422">
              <w:rPr>
                <w:noProof/>
                <w:lang w:val="de-DE"/>
              </w:rPr>
              <w:t>Maßeinheit</w:t>
            </w:r>
          </w:p>
        </w:tc>
        <w:tc>
          <w:tcPr>
            <w:tcW w:w="1418" w:type="dxa"/>
            <w:shd w:val="clear" w:color="auto" w:fill="BDD7EE"/>
            <w:vAlign w:val="center"/>
            <w:hideMark/>
          </w:tcPr>
          <w:p w14:paraId="2E9AF3E7" w14:textId="77777777" w:rsidR="0057163C" w:rsidRPr="00170422" w:rsidRDefault="00F37BF9">
            <w:pPr>
              <w:pStyle w:val="P68B1DB1-Normal10"/>
              <w:jc w:val="center"/>
              <w:rPr>
                <w:noProof/>
                <w:szCs w:val="20"/>
                <w:lang w:val="de-DE"/>
              </w:rPr>
            </w:pPr>
            <w:r w:rsidRPr="00170422">
              <w:rPr>
                <w:noProof/>
                <w:lang w:val="de-DE"/>
              </w:rPr>
              <w:t>Ausgangslage</w:t>
            </w:r>
          </w:p>
        </w:tc>
        <w:tc>
          <w:tcPr>
            <w:tcW w:w="992" w:type="dxa"/>
            <w:shd w:val="clear" w:color="auto" w:fill="BDD7EE"/>
            <w:vAlign w:val="center"/>
            <w:hideMark/>
          </w:tcPr>
          <w:p w14:paraId="098BB2FF" w14:textId="77777777" w:rsidR="0057163C" w:rsidRPr="00170422" w:rsidRDefault="00F37BF9">
            <w:pPr>
              <w:pStyle w:val="P68B1DB1-Normal10"/>
              <w:jc w:val="center"/>
              <w:rPr>
                <w:noProof/>
                <w:szCs w:val="20"/>
                <w:lang w:val="de-DE"/>
              </w:rPr>
            </w:pPr>
            <w:r w:rsidRPr="00170422">
              <w:rPr>
                <w:noProof/>
                <w:lang w:val="de-DE"/>
              </w:rPr>
              <w:t>Ziel</w:t>
            </w:r>
          </w:p>
        </w:tc>
        <w:tc>
          <w:tcPr>
            <w:tcW w:w="851" w:type="dxa"/>
            <w:shd w:val="clear" w:color="auto" w:fill="BDD7EE"/>
            <w:vAlign w:val="center"/>
            <w:hideMark/>
          </w:tcPr>
          <w:p w14:paraId="4F5E9E74" w14:textId="77777777" w:rsidR="0057163C" w:rsidRPr="00170422" w:rsidRDefault="00F37BF9">
            <w:pPr>
              <w:pStyle w:val="P68B1DB1-Normal10"/>
              <w:jc w:val="center"/>
              <w:rPr>
                <w:noProof/>
                <w:szCs w:val="20"/>
                <w:lang w:val="de-DE"/>
              </w:rPr>
            </w:pPr>
            <w:r w:rsidRPr="00170422">
              <w:rPr>
                <w:noProof/>
                <w:lang w:val="de-DE"/>
              </w:rPr>
              <w:t>Viertel</w:t>
            </w:r>
          </w:p>
        </w:tc>
        <w:tc>
          <w:tcPr>
            <w:tcW w:w="708" w:type="dxa"/>
            <w:shd w:val="clear" w:color="auto" w:fill="BDD7EE"/>
            <w:vAlign w:val="center"/>
            <w:hideMark/>
          </w:tcPr>
          <w:p w14:paraId="7BF19C5B" w14:textId="77777777" w:rsidR="0057163C" w:rsidRPr="00170422" w:rsidRDefault="00F37BF9">
            <w:pPr>
              <w:pStyle w:val="P68B1DB1-Normal10"/>
              <w:jc w:val="center"/>
              <w:rPr>
                <w:noProof/>
                <w:szCs w:val="20"/>
                <w:lang w:val="de-DE"/>
              </w:rPr>
            </w:pPr>
            <w:r w:rsidRPr="00170422">
              <w:rPr>
                <w:noProof/>
                <w:lang w:val="de-DE"/>
              </w:rPr>
              <w:t>Jahre</w:t>
            </w:r>
          </w:p>
        </w:tc>
        <w:tc>
          <w:tcPr>
            <w:tcW w:w="2205" w:type="dxa"/>
            <w:vMerge/>
            <w:vAlign w:val="center"/>
            <w:hideMark/>
          </w:tcPr>
          <w:p w14:paraId="7F08558D" w14:textId="77777777" w:rsidR="0057163C" w:rsidRPr="00170422" w:rsidRDefault="0057163C">
            <w:pPr>
              <w:rPr>
                <w:rFonts w:ascii="Arial Narrow" w:hAnsi="Arial Narrow"/>
                <w:b/>
                <w:noProof/>
                <w:sz w:val="20"/>
                <w:szCs w:val="20"/>
                <w:lang w:val="de-DE"/>
              </w:rPr>
            </w:pPr>
          </w:p>
        </w:tc>
      </w:tr>
      <w:tr w:rsidR="000B7F7C" w:rsidRPr="00170422" w14:paraId="0D8617CE" w14:textId="77777777" w:rsidTr="000B7F7C">
        <w:trPr>
          <w:trHeight w:val="1065"/>
          <w:jc w:val="center"/>
        </w:trPr>
        <w:tc>
          <w:tcPr>
            <w:tcW w:w="1063" w:type="dxa"/>
            <w:shd w:val="clear" w:color="auto" w:fill="C6EFCE"/>
            <w:noWrap/>
            <w:vAlign w:val="center"/>
            <w:hideMark/>
          </w:tcPr>
          <w:p w14:paraId="56F9DE3D" w14:textId="77777777" w:rsidR="0057163C" w:rsidRPr="00170422" w:rsidRDefault="00F37BF9">
            <w:pPr>
              <w:pStyle w:val="P68B1DB1-Normal11"/>
              <w:jc w:val="center"/>
              <w:rPr>
                <w:noProof/>
                <w:szCs w:val="20"/>
                <w:lang w:val="de-DE"/>
              </w:rPr>
            </w:pPr>
            <w:r w:rsidRPr="00170422">
              <w:rPr>
                <w:noProof/>
                <w:lang w:val="de-DE"/>
              </w:rPr>
              <w:t>M4C2-1</w:t>
            </w:r>
          </w:p>
        </w:tc>
        <w:tc>
          <w:tcPr>
            <w:tcW w:w="1978" w:type="dxa"/>
            <w:shd w:val="clear" w:color="auto" w:fill="C6EFCE"/>
            <w:noWrap/>
            <w:vAlign w:val="center"/>
            <w:hideMark/>
          </w:tcPr>
          <w:p w14:paraId="4ACFBAC7" w14:textId="77777777" w:rsidR="0057163C" w:rsidRPr="00170422" w:rsidRDefault="00F37BF9">
            <w:pPr>
              <w:pStyle w:val="P68B1DB1-Normal11"/>
              <w:jc w:val="center"/>
              <w:rPr>
                <w:noProof/>
                <w:szCs w:val="20"/>
                <w:lang w:val="de-DE"/>
              </w:rPr>
            </w:pPr>
            <w:r w:rsidRPr="00170422">
              <w:rPr>
                <w:noProof/>
                <w:lang w:val="de-DE"/>
              </w:rPr>
              <w:t xml:space="preserve"> Investition 1.2: Finanzierung von Projekten, die von Nachwuchsforschern vorgestellt werden</w:t>
            </w:r>
          </w:p>
        </w:tc>
        <w:tc>
          <w:tcPr>
            <w:tcW w:w="1229" w:type="dxa"/>
            <w:shd w:val="clear" w:color="auto" w:fill="C6EFCE"/>
            <w:noWrap/>
            <w:vAlign w:val="center"/>
            <w:hideMark/>
          </w:tcPr>
          <w:p w14:paraId="1E3D3E5C" w14:textId="77777777" w:rsidR="0057163C" w:rsidRPr="00170422" w:rsidRDefault="00F37BF9">
            <w:pPr>
              <w:pStyle w:val="P68B1DB1-Normal11"/>
              <w:jc w:val="center"/>
              <w:rPr>
                <w:noProof/>
                <w:szCs w:val="20"/>
                <w:lang w:val="de-DE"/>
              </w:rPr>
            </w:pPr>
            <w:r w:rsidRPr="00170422">
              <w:rPr>
                <w:noProof/>
                <w:lang w:val="de-DE"/>
              </w:rPr>
              <w:t>Ziel</w:t>
            </w:r>
          </w:p>
        </w:tc>
        <w:tc>
          <w:tcPr>
            <w:tcW w:w="1760" w:type="dxa"/>
            <w:shd w:val="clear" w:color="auto" w:fill="C6EFCE"/>
            <w:noWrap/>
            <w:vAlign w:val="center"/>
            <w:hideMark/>
          </w:tcPr>
          <w:p w14:paraId="2E8E0FA3" w14:textId="77777777" w:rsidR="0057163C" w:rsidRPr="00170422" w:rsidRDefault="00F37BF9">
            <w:pPr>
              <w:pStyle w:val="P68B1DB1-Normal11"/>
              <w:jc w:val="center"/>
              <w:rPr>
                <w:rFonts w:eastAsia="Calibri"/>
                <w:noProof/>
                <w:szCs w:val="20"/>
                <w:lang w:val="de-DE"/>
              </w:rPr>
            </w:pPr>
            <w:r w:rsidRPr="00170422">
              <w:rPr>
                <w:noProof/>
                <w:lang w:val="de-DE"/>
              </w:rPr>
              <w:t>Zahl der Studierenden, denen ein Forschungsstipendium gewährt wurde</w:t>
            </w:r>
          </w:p>
        </w:tc>
        <w:tc>
          <w:tcPr>
            <w:tcW w:w="1614" w:type="dxa"/>
            <w:shd w:val="clear" w:color="auto" w:fill="C6EFCE"/>
            <w:noWrap/>
            <w:vAlign w:val="center"/>
            <w:hideMark/>
          </w:tcPr>
          <w:p w14:paraId="1AFAAD3E" w14:textId="77777777" w:rsidR="0057163C" w:rsidRPr="00170422" w:rsidRDefault="00F37BF9">
            <w:pPr>
              <w:pStyle w:val="P68B1DB1-Normal11"/>
              <w:jc w:val="center"/>
              <w:rPr>
                <w:noProof/>
                <w:szCs w:val="20"/>
                <w:lang w:val="de-DE"/>
              </w:rPr>
            </w:pPr>
            <w:r w:rsidRPr="00170422">
              <w:rPr>
                <w:noProof/>
                <w:lang w:val="de-DE"/>
              </w:rPr>
              <w:t>ENTFÄLLT.</w:t>
            </w:r>
          </w:p>
        </w:tc>
        <w:tc>
          <w:tcPr>
            <w:tcW w:w="1162" w:type="dxa"/>
            <w:shd w:val="clear" w:color="auto" w:fill="C6EFCE"/>
            <w:noWrap/>
            <w:vAlign w:val="center"/>
            <w:hideMark/>
          </w:tcPr>
          <w:p w14:paraId="1DD4F2E0"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hideMark/>
          </w:tcPr>
          <w:p w14:paraId="0D763C91" w14:textId="77777777" w:rsidR="0057163C" w:rsidRPr="00170422" w:rsidRDefault="00F37BF9">
            <w:pPr>
              <w:pStyle w:val="P68B1DB1-Normal11"/>
              <w:jc w:val="center"/>
              <w:rPr>
                <w:noProof/>
                <w:szCs w:val="20"/>
                <w:lang w:val="de-DE"/>
              </w:rPr>
            </w:pPr>
            <w:r w:rsidRPr="00170422">
              <w:rPr>
                <w:noProof/>
                <w:lang w:val="de-DE"/>
              </w:rPr>
              <w:t>50</w:t>
            </w:r>
          </w:p>
        </w:tc>
        <w:tc>
          <w:tcPr>
            <w:tcW w:w="992" w:type="dxa"/>
            <w:shd w:val="clear" w:color="auto" w:fill="C6EFCE"/>
            <w:noWrap/>
            <w:vAlign w:val="center"/>
            <w:hideMark/>
          </w:tcPr>
          <w:p w14:paraId="0BFE3B34" w14:textId="77777777" w:rsidR="0057163C" w:rsidRPr="00170422" w:rsidRDefault="00F37BF9">
            <w:pPr>
              <w:pStyle w:val="P68B1DB1-Normal11"/>
              <w:jc w:val="center"/>
              <w:rPr>
                <w:noProof/>
                <w:szCs w:val="20"/>
                <w:lang w:val="de-DE"/>
              </w:rPr>
            </w:pPr>
            <w:r w:rsidRPr="00170422">
              <w:rPr>
                <w:noProof/>
                <w:lang w:val="de-DE"/>
              </w:rPr>
              <w:t>300</w:t>
            </w:r>
          </w:p>
        </w:tc>
        <w:tc>
          <w:tcPr>
            <w:tcW w:w="851" w:type="dxa"/>
            <w:shd w:val="clear" w:color="auto" w:fill="C6EFCE"/>
            <w:noWrap/>
            <w:vAlign w:val="center"/>
            <w:hideMark/>
          </w:tcPr>
          <w:p w14:paraId="3331FA08" w14:textId="77777777" w:rsidR="0057163C" w:rsidRPr="00170422" w:rsidRDefault="00F37BF9">
            <w:pPr>
              <w:pStyle w:val="P68B1DB1-Normal11"/>
              <w:jc w:val="center"/>
              <w:rPr>
                <w:noProof/>
                <w:szCs w:val="20"/>
                <w:lang w:val="de-DE"/>
              </w:rPr>
            </w:pPr>
            <w:r w:rsidRPr="00170422">
              <w:rPr>
                <w:noProof/>
                <w:lang w:val="de-DE"/>
              </w:rPr>
              <w:t>4. QUARTAL</w:t>
            </w:r>
          </w:p>
        </w:tc>
        <w:tc>
          <w:tcPr>
            <w:tcW w:w="708" w:type="dxa"/>
            <w:shd w:val="clear" w:color="auto" w:fill="C6EFCE"/>
            <w:noWrap/>
            <w:vAlign w:val="center"/>
            <w:hideMark/>
          </w:tcPr>
          <w:p w14:paraId="1F51CAF7" w14:textId="77777777" w:rsidR="0057163C" w:rsidRPr="00170422" w:rsidRDefault="00F37BF9">
            <w:pPr>
              <w:pStyle w:val="P68B1DB1-Normal11"/>
              <w:jc w:val="center"/>
              <w:rPr>
                <w:noProof/>
                <w:szCs w:val="20"/>
                <w:lang w:val="de-DE"/>
              </w:rPr>
            </w:pPr>
            <w:r w:rsidRPr="00170422">
              <w:rPr>
                <w:noProof/>
                <w:lang w:val="de-DE"/>
              </w:rPr>
              <w:t>2022</w:t>
            </w:r>
          </w:p>
        </w:tc>
        <w:tc>
          <w:tcPr>
            <w:tcW w:w="2205" w:type="dxa"/>
            <w:shd w:val="clear" w:color="auto" w:fill="C6EFCE"/>
            <w:noWrap/>
            <w:vAlign w:val="center"/>
            <w:hideMark/>
          </w:tcPr>
          <w:p w14:paraId="1FE43934" w14:textId="77777777" w:rsidR="0057163C" w:rsidRPr="00170422" w:rsidRDefault="00F37BF9">
            <w:pPr>
              <w:pStyle w:val="P68B1DB1-Normal11"/>
              <w:rPr>
                <w:noProof/>
                <w:szCs w:val="20"/>
                <w:lang w:val="de-DE"/>
              </w:rPr>
            </w:pPr>
            <w:r w:rsidRPr="00170422">
              <w:rPr>
                <w:noProof/>
                <w:lang w:val="de-DE"/>
              </w:rPr>
              <w:t xml:space="preserve">Vergabe von mindestens 300 </w:t>
            </w:r>
            <w:r w:rsidRPr="00170422">
              <w:rPr>
                <w:noProof/>
                <w:lang w:val="de-DE"/>
              </w:rPr>
              <w:t xml:space="preserve">Forschungsstipendien an Studierende. Das Auswahlverfahren für die Vergabe umfasst Förderfähigkeitskriterien, mit denen sichergestellt wird, dass die ausgewählten Projekte den technischen Leitlinien „Vermeidung erheblicher Beeinträchtigungen“ (2021/C58/01) </w:t>
            </w:r>
            <w:r w:rsidRPr="00170422">
              <w:rPr>
                <w:noProof/>
                <w:lang w:val="de-DE"/>
              </w:rPr>
              <w:t>entsprechen, indem eine Ausschlussliste verwendet wird und die einschlägigen Umweltvorschriften der EU und der Mitgliedstaaten eingehalten werden.</w:t>
            </w:r>
          </w:p>
          <w:p w14:paraId="117340B5" w14:textId="77777777" w:rsidR="0057163C" w:rsidRPr="00170422" w:rsidRDefault="00F37BF9">
            <w:pPr>
              <w:pStyle w:val="P68B1DB1-Normal11"/>
              <w:rPr>
                <w:noProof/>
                <w:szCs w:val="20"/>
                <w:lang w:val="de-DE"/>
              </w:rPr>
            </w:pPr>
            <w:r w:rsidRPr="00170422">
              <w:rPr>
                <w:noProof/>
                <w:lang w:val="de-DE"/>
              </w:rPr>
              <w:t>Bei der zufrieden stellenden Erfüllung des Ziels wird auch berücksichtigt, dass mindestens 300 junge Forscher</w:t>
            </w:r>
            <w:r w:rsidRPr="00170422">
              <w:rPr>
                <w:noProof/>
                <w:lang w:val="de-DE"/>
              </w:rPr>
              <w:t xml:space="preserve"> unter Vertrag genommen werden.</w:t>
            </w:r>
          </w:p>
        </w:tc>
      </w:tr>
      <w:tr w:rsidR="000B7F7C" w:rsidRPr="00170422" w14:paraId="6AE167D3" w14:textId="77777777" w:rsidTr="000B7F7C">
        <w:trPr>
          <w:trHeight w:val="1065"/>
          <w:jc w:val="center"/>
        </w:trPr>
        <w:tc>
          <w:tcPr>
            <w:tcW w:w="1063" w:type="dxa"/>
            <w:shd w:val="clear" w:color="auto" w:fill="C6EFCE"/>
            <w:noWrap/>
            <w:vAlign w:val="center"/>
            <w:hideMark/>
          </w:tcPr>
          <w:p w14:paraId="6C4BE837" w14:textId="77777777" w:rsidR="0057163C" w:rsidRPr="00170422" w:rsidRDefault="00F37BF9">
            <w:pPr>
              <w:pStyle w:val="P68B1DB1-Normal12"/>
              <w:jc w:val="center"/>
              <w:rPr>
                <w:rFonts w:eastAsia="Calibri"/>
                <w:noProof/>
                <w:lang w:val="de-DE"/>
              </w:rPr>
            </w:pPr>
            <w:r w:rsidRPr="00170422">
              <w:rPr>
                <w:noProof/>
                <w:lang w:val="de-DE"/>
              </w:rPr>
              <w:t>M4C2-1bis</w:t>
            </w:r>
          </w:p>
        </w:tc>
        <w:tc>
          <w:tcPr>
            <w:tcW w:w="1978" w:type="dxa"/>
            <w:shd w:val="clear" w:color="auto" w:fill="C6EFCE"/>
            <w:noWrap/>
            <w:vAlign w:val="center"/>
            <w:hideMark/>
          </w:tcPr>
          <w:p w14:paraId="37187088" w14:textId="77777777" w:rsidR="0057163C" w:rsidRPr="00170422" w:rsidRDefault="00F37BF9">
            <w:pPr>
              <w:pStyle w:val="P68B1DB1-Normal11"/>
              <w:jc w:val="center"/>
              <w:rPr>
                <w:noProof/>
                <w:szCs w:val="20"/>
                <w:lang w:val="de-DE"/>
              </w:rPr>
            </w:pPr>
            <w:r w:rsidRPr="00170422">
              <w:rPr>
                <w:noProof/>
                <w:lang w:val="de-DE"/>
              </w:rPr>
              <w:t>Investition 1.2: Finanzierung von Projekten, die von Nachwuchsforschern vorgestellt werden</w:t>
            </w:r>
          </w:p>
          <w:p w14:paraId="3FA1D045" w14:textId="77777777" w:rsidR="0057163C" w:rsidRPr="00170422" w:rsidRDefault="0057163C">
            <w:pPr>
              <w:jc w:val="center"/>
              <w:rPr>
                <w:rFonts w:ascii="Arial Narrow" w:hAnsi="Arial Narrow"/>
                <w:noProof/>
                <w:color w:val="006100"/>
                <w:sz w:val="20"/>
                <w:szCs w:val="20"/>
                <w:lang w:val="de-DE"/>
              </w:rPr>
            </w:pPr>
          </w:p>
        </w:tc>
        <w:tc>
          <w:tcPr>
            <w:tcW w:w="1229" w:type="dxa"/>
            <w:shd w:val="clear" w:color="auto" w:fill="C6EFCE"/>
            <w:noWrap/>
            <w:vAlign w:val="center"/>
            <w:hideMark/>
          </w:tcPr>
          <w:p w14:paraId="3DBFD01E" w14:textId="77777777" w:rsidR="0057163C" w:rsidRPr="00170422" w:rsidRDefault="00F37BF9">
            <w:pPr>
              <w:pStyle w:val="P68B1DB1-Normal12"/>
              <w:jc w:val="center"/>
              <w:rPr>
                <w:noProof/>
                <w:lang w:val="de-DE"/>
              </w:rPr>
            </w:pPr>
            <w:r w:rsidRPr="00170422">
              <w:rPr>
                <w:noProof/>
                <w:lang w:val="de-DE"/>
              </w:rPr>
              <w:t>Meilenstein</w:t>
            </w:r>
          </w:p>
        </w:tc>
        <w:tc>
          <w:tcPr>
            <w:tcW w:w="1760" w:type="dxa"/>
            <w:shd w:val="clear" w:color="auto" w:fill="C6EFCE"/>
            <w:noWrap/>
            <w:vAlign w:val="center"/>
            <w:hideMark/>
          </w:tcPr>
          <w:p w14:paraId="029FDBB4" w14:textId="00BD6972" w:rsidR="0057163C" w:rsidRPr="00170422" w:rsidRDefault="00F37BF9">
            <w:pPr>
              <w:pStyle w:val="P68B1DB1-Normal12"/>
              <w:jc w:val="center"/>
              <w:rPr>
                <w:noProof/>
                <w:lang w:val="de-DE"/>
              </w:rPr>
            </w:pPr>
            <w:r w:rsidRPr="00170422">
              <w:rPr>
                <w:noProof/>
                <w:lang w:val="de-DE"/>
              </w:rPr>
              <w:t xml:space="preserve">Veröffentlichung der Verordnung(en) über die Gewährung der Förderung an Nachwuchsforscher </w:t>
            </w:r>
          </w:p>
          <w:p w14:paraId="49BC42D6" w14:textId="77777777" w:rsidR="0057163C" w:rsidRPr="00170422" w:rsidRDefault="0057163C">
            <w:pPr>
              <w:jc w:val="center"/>
              <w:rPr>
                <w:rFonts w:ascii="Arial Narrow" w:eastAsia="Calibri" w:hAnsi="Arial Narrow"/>
                <w:noProof/>
                <w:color w:val="006100"/>
                <w:sz w:val="20"/>
                <w:szCs w:val="20"/>
                <w:lang w:val="de-DE"/>
              </w:rPr>
            </w:pPr>
          </w:p>
        </w:tc>
        <w:tc>
          <w:tcPr>
            <w:tcW w:w="1614" w:type="dxa"/>
            <w:shd w:val="clear" w:color="auto" w:fill="C6EFCE"/>
            <w:noWrap/>
            <w:vAlign w:val="center"/>
            <w:hideMark/>
          </w:tcPr>
          <w:p w14:paraId="565CD94B" w14:textId="77777777" w:rsidR="0057163C" w:rsidRPr="00170422" w:rsidRDefault="00F37BF9">
            <w:pPr>
              <w:pStyle w:val="P68B1DB1-Normal12"/>
              <w:jc w:val="center"/>
              <w:rPr>
                <w:noProof/>
                <w:lang w:val="de-DE"/>
              </w:rPr>
            </w:pPr>
            <w:r w:rsidRPr="00170422">
              <w:rPr>
                <w:noProof/>
                <w:lang w:val="de-DE"/>
              </w:rPr>
              <w:t xml:space="preserve">Veröffentlichung </w:t>
            </w:r>
            <w:r w:rsidRPr="00170422">
              <w:rPr>
                <w:noProof/>
                <w:lang w:val="de-DE"/>
              </w:rPr>
              <w:t>der Verordnung(en)</w:t>
            </w:r>
          </w:p>
        </w:tc>
        <w:tc>
          <w:tcPr>
            <w:tcW w:w="1162" w:type="dxa"/>
            <w:shd w:val="clear" w:color="auto" w:fill="C6EFCE"/>
            <w:noWrap/>
            <w:vAlign w:val="center"/>
            <w:hideMark/>
          </w:tcPr>
          <w:p w14:paraId="43090303" w14:textId="77777777" w:rsidR="0057163C" w:rsidRPr="00170422" w:rsidRDefault="00F37BF9">
            <w:pPr>
              <w:pStyle w:val="P68B1DB1-Normal12"/>
              <w:jc w:val="center"/>
              <w:rPr>
                <w:noProof/>
                <w:lang w:val="de-DE"/>
              </w:rPr>
            </w:pPr>
            <w:r w:rsidRPr="00170422">
              <w:rPr>
                <w:noProof/>
                <w:lang w:val="de-DE"/>
              </w:rPr>
              <w:t>ENTFÄLLT.</w:t>
            </w:r>
          </w:p>
        </w:tc>
        <w:tc>
          <w:tcPr>
            <w:tcW w:w="1418" w:type="dxa"/>
            <w:shd w:val="clear" w:color="auto" w:fill="C6EFCE"/>
            <w:noWrap/>
            <w:vAlign w:val="center"/>
            <w:hideMark/>
          </w:tcPr>
          <w:p w14:paraId="4BC57217" w14:textId="77777777" w:rsidR="0057163C" w:rsidRPr="00170422" w:rsidRDefault="00F37BF9">
            <w:pPr>
              <w:pStyle w:val="P68B1DB1-Normal12"/>
              <w:jc w:val="center"/>
              <w:rPr>
                <w:noProof/>
                <w:lang w:val="de-DE"/>
              </w:rPr>
            </w:pPr>
            <w:r w:rsidRPr="00170422">
              <w:rPr>
                <w:noProof/>
                <w:lang w:val="de-DE"/>
              </w:rPr>
              <w:t>ENTFÄLLT.</w:t>
            </w:r>
          </w:p>
        </w:tc>
        <w:tc>
          <w:tcPr>
            <w:tcW w:w="992" w:type="dxa"/>
            <w:shd w:val="clear" w:color="auto" w:fill="C6EFCE"/>
            <w:noWrap/>
            <w:vAlign w:val="center"/>
            <w:hideMark/>
          </w:tcPr>
          <w:p w14:paraId="70B6BAB0" w14:textId="77777777" w:rsidR="0057163C" w:rsidRPr="00170422" w:rsidRDefault="00F37BF9">
            <w:pPr>
              <w:pStyle w:val="P68B1DB1-Normal12"/>
              <w:jc w:val="center"/>
              <w:rPr>
                <w:noProof/>
                <w:lang w:val="de-DE"/>
              </w:rPr>
            </w:pPr>
            <w:r w:rsidRPr="00170422">
              <w:rPr>
                <w:noProof/>
                <w:lang w:val="de-DE"/>
              </w:rPr>
              <w:t>ENTFÄLLT.</w:t>
            </w:r>
          </w:p>
        </w:tc>
        <w:tc>
          <w:tcPr>
            <w:tcW w:w="851" w:type="dxa"/>
            <w:shd w:val="clear" w:color="auto" w:fill="C6EFCE"/>
            <w:noWrap/>
            <w:vAlign w:val="center"/>
            <w:hideMark/>
          </w:tcPr>
          <w:p w14:paraId="2D24E614" w14:textId="77777777" w:rsidR="0057163C" w:rsidRPr="00170422" w:rsidRDefault="00F37BF9">
            <w:pPr>
              <w:pStyle w:val="P68B1DB1-Normal12"/>
              <w:jc w:val="center"/>
              <w:rPr>
                <w:noProof/>
                <w:lang w:val="de-DE"/>
              </w:rPr>
            </w:pPr>
            <w:r w:rsidRPr="00170422">
              <w:rPr>
                <w:noProof/>
                <w:lang w:val="de-DE"/>
              </w:rPr>
              <w:t>Q2</w:t>
            </w:r>
          </w:p>
        </w:tc>
        <w:tc>
          <w:tcPr>
            <w:tcW w:w="708" w:type="dxa"/>
            <w:shd w:val="clear" w:color="auto" w:fill="C6EFCE"/>
            <w:noWrap/>
            <w:vAlign w:val="center"/>
            <w:hideMark/>
          </w:tcPr>
          <w:p w14:paraId="7B9B55B8" w14:textId="77777777" w:rsidR="0057163C" w:rsidRPr="00170422" w:rsidRDefault="00F37BF9">
            <w:pPr>
              <w:pStyle w:val="P68B1DB1-Normal11"/>
              <w:jc w:val="center"/>
              <w:rPr>
                <w:noProof/>
                <w:szCs w:val="20"/>
                <w:lang w:val="de-DE"/>
              </w:rPr>
            </w:pPr>
            <w:r w:rsidRPr="00170422">
              <w:rPr>
                <w:noProof/>
                <w:lang w:val="de-DE"/>
              </w:rPr>
              <w:t>2025</w:t>
            </w:r>
          </w:p>
        </w:tc>
        <w:tc>
          <w:tcPr>
            <w:tcW w:w="2205" w:type="dxa"/>
            <w:shd w:val="clear" w:color="auto" w:fill="C6EFCE"/>
            <w:noWrap/>
            <w:vAlign w:val="center"/>
            <w:hideMark/>
          </w:tcPr>
          <w:p w14:paraId="1134667D" w14:textId="29A0AB10" w:rsidR="0057163C" w:rsidRPr="00170422" w:rsidRDefault="00F37BF9">
            <w:pPr>
              <w:pStyle w:val="P68B1DB1-Normal12"/>
              <w:rPr>
                <w:noProof/>
                <w:lang w:val="de-DE"/>
              </w:rPr>
            </w:pPr>
            <w:r w:rsidRPr="00170422">
              <w:rPr>
                <w:noProof/>
                <w:lang w:val="de-DE"/>
              </w:rPr>
              <w:t xml:space="preserve">Veröffentlichung der Verordnung(en), mit der/denen die Finanzierung zur Förderung von mindestens 550 Nachwuchsforschern gewährt wird. </w:t>
            </w:r>
          </w:p>
          <w:p w14:paraId="224C7997" w14:textId="0BA3E18F" w:rsidR="0057163C" w:rsidRPr="00170422" w:rsidRDefault="00F37BF9">
            <w:pPr>
              <w:pStyle w:val="P68B1DB1-Normal12"/>
              <w:rPr>
                <w:noProof/>
                <w:lang w:val="de-DE"/>
              </w:rPr>
            </w:pPr>
            <w:r w:rsidRPr="00170422">
              <w:rPr>
                <w:noProof/>
                <w:lang w:val="de-DE"/>
              </w:rPr>
              <w:t>Nachwuchsforscher müssen folgende Bedingungen erfüllen: zum Zeit</w:t>
            </w:r>
            <w:r w:rsidRPr="00170422">
              <w:rPr>
                <w:noProof/>
                <w:lang w:val="de-DE"/>
              </w:rPr>
              <w:t>punkt der Einreichung der Aufforderung zur Einreichung von Vorschlägen bis zu 40 Jahre alt sein (Profile, die zum Zeitpunkt der Veröffentlichung der Aufforderung zur Einreichung von Projektvorschlägen 40 Jahre alt sind, sind bis zur Vollendung des 41. Lebe</w:t>
            </w:r>
            <w:r w:rsidRPr="00170422">
              <w:rPr>
                <w:noProof/>
                <w:lang w:val="de-DE"/>
              </w:rPr>
              <w:t>nsjahres förderfähig) oder bei Profilen zwischen 41 und 45 Jahren, die den Doktorgrad abgeschlossen haben, höchstens sieben Jahre zuvor (Profile, die zum Zeitpunkt der Veröffentlichung der Aufforderung zur Einreichung von Projektvorschlägen 45 Jahre alt si</w:t>
            </w:r>
            <w:r w:rsidRPr="00170422">
              <w:rPr>
                <w:noProof/>
                <w:lang w:val="de-DE"/>
              </w:rPr>
              <w:t>nd, sind bis zur Vollendung des 46. Lebensjahres förderfähig).</w:t>
            </w:r>
          </w:p>
        </w:tc>
      </w:tr>
      <w:tr w:rsidR="000B7F7C" w:rsidRPr="00170422" w14:paraId="49555037" w14:textId="77777777" w:rsidTr="000B7F7C">
        <w:trPr>
          <w:trHeight w:val="309"/>
          <w:jc w:val="center"/>
        </w:trPr>
        <w:tc>
          <w:tcPr>
            <w:tcW w:w="1063" w:type="dxa"/>
            <w:shd w:val="clear" w:color="auto" w:fill="C6EFCE"/>
            <w:noWrap/>
            <w:vAlign w:val="center"/>
          </w:tcPr>
          <w:p w14:paraId="6458FEEA" w14:textId="77777777" w:rsidR="0057163C" w:rsidRPr="00170422" w:rsidRDefault="00F37BF9">
            <w:pPr>
              <w:pStyle w:val="P68B1DB1-Normal11"/>
              <w:jc w:val="center"/>
              <w:rPr>
                <w:noProof/>
                <w:szCs w:val="20"/>
                <w:lang w:val="de-DE"/>
              </w:rPr>
            </w:pPr>
            <w:r w:rsidRPr="00170422">
              <w:rPr>
                <w:noProof/>
                <w:lang w:val="de-DE"/>
              </w:rPr>
              <w:t>M4C2-2bis</w:t>
            </w:r>
          </w:p>
        </w:tc>
        <w:tc>
          <w:tcPr>
            <w:tcW w:w="1978" w:type="dxa"/>
            <w:shd w:val="clear" w:color="auto" w:fill="C6EFCE"/>
            <w:noWrap/>
            <w:vAlign w:val="center"/>
          </w:tcPr>
          <w:p w14:paraId="45383B30" w14:textId="77777777" w:rsidR="0057163C" w:rsidRPr="00170422" w:rsidRDefault="00F37BF9">
            <w:pPr>
              <w:pStyle w:val="P68B1DB1-Normal11"/>
              <w:jc w:val="center"/>
              <w:rPr>
                <w:noProof/>
                <w:lang w:val="de-DE"/>
              </w:rPr>
            </w:pPr>
            <w:r w:rsidRPr="00170422">
              <w:rPr>
                <w:noProof/>
                <w:lang w:val="de-DE"/>
              </w:rPr>
              <w:t>Investition 2.2 bis: Innovationsvereinbarungen</w:t>
            </w:r>
          </w:p>
        </w:tc>
        <w:tc>
          <w:tcPr>
            <w:tcW w:w="1229" w:type="dxa"/>
            <w:shd w:val="clear" w:color="auto" w:fill="C6EFCE"/>
            <w:noWrap/>
            <w:vAlign w:val="center"/>
          </w:tcPr>
          <w:p w14:paraId="194374A9" w14:textId="77777777" w:rsidR="0057163C" w:rsidRPr="00170422" w:rsidRDefault="00F37BF9">
            <w:pPr>
              <w:pStyle w:val="P68B1DB1-Normal11"/>
              <w:jc w:val="center"/>
              <w:rPr>
                <w:noProof/>
                <w:lang w:val="de-DE"/>
              </w:rPr>
            </w:pPr>
            <w:r w:rsidRPr="00170422">
              <w:rPr>
                <w:noProof/>
                <w:lang w:val="de-DE"/>
              </w:rPr>
              <w:t>Ziel</w:t>
            </w:r>
          </w:p>
        </w:tc>
        <w:tc>
          <w:tcPr>
            <w:tcW w:w="1760" w:type="dxa"/>
            <w:shd w:val="clear" w:color="auto" w:fill="C6EFCE"/>
            <w:noWrap/>
            <w:vAlign w:val="center"/>
          </w:tcPr>
          <w:p w14:paraId="4BDF312A" w14:textId="77777777" w:rsidR="0057163C" w:rsidRPr="00170422" w:rsidRDefault="00F37BF9">
            <w:pPr>
              <w:pStyle w:val="P68B1DB1-Normal11"/>
              <w:jc w:val="center"/>
              <w:rPr>
                <w:noProof/>
                <w:lang w:val="de-DE"/>
              </w:rPr>
            </w:pPr>
            <w:r w:rsidRPr="00170422">
              <w:rPr>
                <w:noProof/>
                <w:lang w:val="de-DE"/>
              </w:rPr>
              <w:t xml:space="preserve">Abgeschlossene Innovationsvereinbarungen </w:t>
            </w:r>
          </w:p>
        </w:tc>
        <w:tc>
          <w:tcPr>
            <w:tcW w:w="1614" w:type="dxa"/>
            <w:shd w:val="clear" w:color="auto" w:fill="C6EFCE"/>
            <w:noWrap/>
            <w:vAlign w:val="center"/>
          </w:tcPr>
          <w:p w14:paraId="4C6DF3D2" w14:textId="77777777" w:rsidR="0057163C" w:rsidRPr="00170422" w:rsidRDefault="00F37BF9">
            <w:pPr>
              <w:pStyle w:val="P68B1DB1-Normal11"/>
              <w:jc w:val="center"/>
              <w:rPr>
                <w:noProof/>
                <w:lang w:val="de-DE"/>
              </w:rPr>
            </w:pPr>
            <w:r w:rsidRPr="00170422">
              <w:rPr>
                <w:noProof/>
                <w:lang w:val="de-DE"/>
              </w:rPr>
              <w:t>ENTFÄLLT.</w:t>
            </w:r>
          </w:p>
        </w:tc>
        <w:tc>
          <w:tcPr>
            <w:tcW w:w="1162" w:type="dxa"/>
            <w:shd w:val="clear" w:color="auto" w:fill="C6EFCE"/>
            <w:noWrap/>
            <w:vAlign w:val="center"/>
          </w:tcPr>
          <w:p w14:paraId="312F97C8" w14:textId="77777777" w:rsidR="0057163C" w:rsidRPr="00170422" w:rsidRDefault="00F37BF9">
            <w:pPr>
              <w:pStyle w:val="P68B1DB1-Normal11"/>
              <w:jc w:val="center"/>
              <w:rPr>
                <w:noProof/>
                <w:lang w:val="de-DE"/>
              </w:rPr>
            </w:pPr>
            <w:r w:rsidRPr="00170422">
              <w:rPr>
                <w:noProof/>
                <w:lang w:val="de-DE"/>
              </w:rPr>
              <w:t>Anzahl</w:t>
            </w:r>
          </w:p>
        </w:tc>
        <w:tc>
          <w:tcPr>
            <w:tcW w:w="1418" w:type="dxa"/>
            <w:shd w:val="clear" w:color="auto" w:fill="C6EFCE"/>
            <w:noWrap/>
            <w:vAlign w:val="center"/>
          </w:tcPr>
          <w:p w14:paraId="09DE9AFE" w14:textId="77777777" w:rsidR="0057163C" w:rsidRPr="00170422" w:rsidRDefault="00F37BF9">
            <w:pPr>
              <w:pStyle w:val="P68B1DB1-Normal11"/>
              <w:jc w:val="center"/>
              <w:rPr>
                <w:noProof/>
                <w:lang w:val="de-DE"/>
              </w:rPr>
            </w:pPr>
            <w:r w:rsidRPr="00170422">
              <w:rPr>
                <w:noProof/>
                <w:lang w:val="de-DE"/>
              </w:rPr>
              <w:t>0</w:t>
            </w:r>
          </w:p>
        </w:tc>
        <w:tc>
          <w:tcPr>
            <w:tcW w:w="992" w:type="dxa"/>
            <w:shd w:val="clear" w:color="auto" w:fill="C6EFCE"/>
            <w:noWrap/>
            <w:vAlign w:val="center"/>
          </w:tcPr>
          <w:p w14:paraId="3BECB2C1" w14:textId="77777777" w:rsidR="0057163C" w:rsidRPr="00170422" w:rsidRDefault="00F37BF9">
            <w:pPr>
              <w:pStyle w:val="P68B1DB1-Normal11"/>
              <w:jc w:val="center"/>
              <w:rPr>
                <w:noProof/>
                <w:szCs w:val="20"/>
                <w:lang w:val="de-DE"/>
              </w:rPr>
            </w:pPr>
            <w:r w:rsidRPr="00170422">
              <w:rPr>
                <w:noProof/>
                <w:lang w:val="de-DE"/>
              </w:rPr>
              <w:t>32</w:t>
            </w:r>
          </w:p>
        </w:tc>
        <w:tc>
          <w:tcPr>
            <w:tcW w:w="851" w:type="dxa"/>
            <w:shd w:val="clear" w:color="auto" w:fill="C6EFCE"/>
            <w:noWrap/>
            <w:vAlign w:val="center"/>
          </w:tcPr>
          <w:p w14:paraId="02925D99" w14:textId="77777777" w:rsidR="0057163C" w:rsidRPr="00170422" w:rsidRDefault="00F37BF9">
            <w:pPr>
              <w:pStyle w:val="P68B1DB1-Normal11"/>
              <w:jc w:val="center"/>
              <w:rPr>
                <w:noProof/>
                <w:szCs w:val="20"/>
                <w:lang w:val="de-DE"/>
              </w:rPr>
            </w:pPr>
            <w:r w:rsidRPr="00170422">
              <w:rPr>
                <w:noProof/>
                <w:lang w:val="de-DE"/>
              </w:rPr>
              <w:t>4. QUARTAL</w:t>
            </w:r>
          </w:p>
        </w:tc>
        <w:tc>
          <w:tcPr>
            <w:tcW w:w="708" w:type="dxa"/>
            <w:shd w:val="clear" w:color="auto" w:fill="C6EFCE"/>
            <w:noWrap/>
            <w:vAlign w:val="center"/>
          </w:tcPr>
          <w:p w14:paraId="441D74FF" w14:textId="77777777" w:rsidR="0057163C" w:rsidRPr="00170422" w:rsidRDefault="00F37BF9">
            <w:pPr>
              <w:pStyle w:val="P68B1DB1-Normal12"/>
              <w:jc w:val="center"/>
              <w:rPr>
                <w:noProof/>
                <w:lang w:val="de-DE"/>
              </w:rPr>
            </w:pPr>
            <w:r w:rsidRPr="00170422">
              <w:rPr>
                <w:noProof/>
                <w:lang w:val="de-DE"/>
              </w:rPr>
              <w:t>2025</w:t>
            </w:r>
          </w:p>
        </w:tc>
        <w:tc>
          <w:tcPr>
            <w:tcW w:w="2205" w:type="dxa"/>
            <w:shd w:val="clear" w:color="auto" w:fill="C6EFCE"/>
            <w:noWrap/>
            <w:vAlign w:val="center"/>
          </w:tcPr>
          <w:p w14:paraId="391E403E" w14:textId="21A8441E" w:rsidR="0057163C" w:rsidRPr="00170422" w:rsidRDefault="00F37BF9">
            <w:pPr>
              <w:pStyle w:val="P68B1DB1-Normal12"/>
              <w:rPr>
                <w:noProof/>
                <w:lang w:val="de-DE"/>
              </w:rPr>
            </w:pPr>
            <w:r w:rsidRPr="00170422">
              <w:rPr>
                <w:noProof/>
                <w:lang w:val="de-DE"/>
              </w:rPr>
              <w:t xml:space="preserve">Bescheinigung über den Abschluss von mindestens 32 Innovationsvereinbarungen zwischen den folgenden Interventionsbereichen: </w:t>
            </w:r>
          </w:p>
          <w:p w14:paraId="589360B1"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Herstellungsverfahren; </w:t>
            </w:r>
          </w:p>
          <w:p w14:paraId="28F13BCC" w14:textId="77777777" w:rsidR="0057163C" w:rsidRPr="00170422" w:rsidRDefault="00F37BF9">
            <w:pPr>
              <w:pStyle w:val="P68B1DB1-Normal12"/>
              <w:numPr>
                <w:ilvl w:val="0"/>
                <w:numId w:val="64"/>
              </w:numPr>
              <w:spacing w:line="279" w:lineRule="auto"/>
              <w:rPr>
                <w:noProof/>
                <w:lang w:val="de-DE"/>
              </w:rPr>
            </w:pPr>
            <w:r w:rsidRPr="00170422">
              <w:rPr>
                <w:noProof/>
                <w:lang w:val="de-DE"/>
              </w:rPr>
              <w:t>digitale Schlüsseltechnologien, einschließlich Quantentechnologien;</w:t>
            </w:r>
          </w:p>
          <w:p w14:paraId="498FBE40"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neue Grundlagentechnologien; </w:t>
            </w:r>
          </w:p>
          <w:p w14:paraId="2A827F7C" w14:textId="77777777" w:rsidR="0057163C" w:rsidRPr="00170422" w:rsidRDefault="00F37BF9">
            <w:pPr>
              <w:pStyle w:val="P68B1DB1-Normal12"/>
              <w:numPr>
                <w:ilvl w:val="0"/>
                <w:numId w:val="64"/>
              </w:numPr>
              <w:spacing w:line="279" w:lineRule="auto"/>
              <w:rPr>
                <w:noProof/>
                <w:lang w:val="de-DE"/>
              </w:rPr>
            </w:pPr>
            <w:r w:rsidRPr="00170422">
              <w:rPr>
                <w:noProof/>
                <w:lang w:val="de-DE"/>
              </w:rPr>
              <w:t>fortgesch</w:t>
            </w:r>
            <w:r w:rsidRPr="00170422">
              <w:rPr>
                <w:noProof/>
                <w:lang w:val="de-DE"/>
              </w:rPr>
              <w:t>rittene Werkstoffe;</w:t>
            </w:r>
          </w:p>
          <w:p w14:paraId="6B61708A"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künstliche Intelligenz und Robotik; </w:t>
            </w:r>
          </w:p>
          <w:p w14:paraId="14275CB1"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kreislauforientierte Industrie; </w:t>
            </w:r>
          </w:p>
          <w:p w14:paraId="451B9DD6"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CO2-arme und saubere Industrien; </w:t>
            </w:r>
          </w:p>
          <w:p w14:paraId="4F82E2AC" w14:textId="77777777" w:rsidR="0057163C" w:rsidRPr="00170422" w:rsidRDefault="00F37BF9">
            <w:pPr>
              <w:pStyle w:val="P68B1DB1-Normal12"/>
              <w:numPr>
                <w:ilvl w:val="0"/>
                <w:numId w:val="64"/>
              </w:numPr>
              <w:spacing w:line="279" w:lineRule="auto"/>
              <w:rPr>
                <w:noProof/>
                <w:lang w:val="de-DE"/>
              </w:rPr>
            </w:pPr>
            <w:r w:rsidRPr="00170422">
              <w:rPr>
                <w:noProof/>
                <w:lang w:val="de-DE"/>
              </w:rPr>
              <w:t>nicht übertragbare und seltene Krankheiten;</w:t>
            </w:r>
          </w:p>
          <w:p w14:paraId="6B3EC8B5"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Infektionskrankheiten, einschließlich armutsbedingte und vernachlässigte Krankheiten; </w:t>
            </w:r>
          </w:p>
          <w:p w14:paraId="62A6BAFE" w14:textId="77777777" w:rsidR="0057163C" w:rsidRPr="00170422" w:rsidRDefault="00F37BF9">
            <w:pPr>
              <w:pStyle w:val="P68B1DB1-Normal12"/>
              <w:numPr>
                <w:ilvl w:val="0"/>
                <w:numId w:val="64"/>
              </w:numPr>
              <w:spacing w:line="279" w:lineRule="auto"/>
              <w:rPr>
                <w:noProof/>
                <w:lang w:val="de-DE"/>
              </w:rPr>
            </w:pPr>
            <w:r w:rsidRPr="00170422">
              <w:rPr>
                <w:noProof/>
                <w:lang w:val="de-DE"/>
              </w:rPr>
              <w:t>I</w:t>
            </w:r>
            <w:r w:rsidRPr="00170422">
              <w:rPr>
                <w:noProof/>
                <w:lang w:val="de-DE"/>
              </w:rPr>
              <w:t>nstrumente, Technologien und digitale Lösungen für Gesundheit und Pflege, einschließlich personalisierte Medizin;</w:t>
            </w:r>
          </w:p>
          <w:p w14:paraId="31608A33" w14:textId="77777777" w:rsidR="0057163C" w:rsidRPr="00170422" w:rsidRDefault="00F37BF9">
            <w:pPr>
              <w:pStyle w:val="P68B1DB1-Normal12"/>
              <w:numPr>
                <w:ilvl w:val="0"/>
                <w:numId w:val="64"/>
              </w:numPr>
              <w:spacing w:line="279" w:lineRule="auto"/>
              <w:rPr>
                <w:noProof/>
                <w:lang w:val="de-DE"/>
              </w:rPr>
            </w:pPr>
            <w:r w:rsidRPr="00170422">
              <w:rPr>
                <w:noProof/>
                <w:lang w:val="de-DE"/>
              </w:rPr>
              <w:t>Industrieanlagen in der Energiewende;</w:t>
            </w:r>
          </w:p>
          <w:p w14:paraId="5FA29DE4" w14:textId="77777777" w:rsidR="0057163C" w:rsidRPr="00170422" w:rsidRDefault="00F37BF9">
            <w:pPr>
              <w:pStyle w:val="P68B1DB1-Normal12"/>
              <w:numPr>
                <w:ilvl w:val="0"/>
                <w:numId w:val="64"/>
              </w:numPr>
              <w:spacing w:line="279" w:lineRule="auto"/>
              <w:rPr>
                <w:noProof/>
                <w:lang w:val="de-DE"/>
              </w:rPr>
            </w:pPr>
            <w:r w:rsidRPr="00170422">
              <w:rPr>
                <w:noProof/>
                <w:lang w:val="de-DE"/>
              </w:rPr>
              <w:t>industrielle Wettbewerbsfähigkeit im Verkehrssektor;</w:t>
            </w:r>
          </w:p>
          <w:p w14:paraId="7C902C16" w14:textId="77777777" w:rsidR="0057163C" w:rsidRPr="00170422" w:rsidRDefault="00F37BF9">
            <w:pPr>
              <w:pStyle w:val="P68B1DB1-Normal12"/>
              <w:numPr>
                <w:ilvl w:val="0"/>
                <w:numId w:val="64"/>
              </w:numPr>
              <w:spacing w:line="279" w:lineRule="auto"/>
              <w:rPr>
                <w:noProof/>
                <w:lang w:val="de-DE"/>
              </w:rPr>
            </w:pPr>
            <w:r w:rsidRPr="00170422">
              <w:rPr>
                <w:noProof/>
                <w:lang w:val="de-DE"/>
              </w:rPr>
              <w:t>sauberer, sicherer und zugänglicher Verkehr und Mob</w:t>
            </w:r>
            <w:r w:rsidRPr="00170422">
              <w:rPr>
                <w:noProof/>
                <w:lang w:val="de-DE"/>
              </w:rPr>
              <w:t>ilität;</w:t>
            </w:r>
          </w:p>
          <w:p w14:paraId="41F83649" w14:textId="77777777" w:rsidR="0057163C" w:rsidRPr="00170422" w:rsidRDefault="00F37BF9">
            <w:pPr>
              <w:pStyle w:val="P68B1DB1-Normal12"/>
              <w:numPr>
                <w:ilvl w:val="0"/>
                <w:numId w:val="64"/>
              </w:numPr>
              <w:spacing w:line="279" w:lineRule="auto"/>
              <w:rPr>
                <w:noProof/>
                <w:lang w:val="de-DE"/>
              </w:rPr>
            </w:pPr>
            <w:r w:rsidRPr="00170422">
              <w:rPr>
                <w:noProof/>
                <w:lang w:val="de-DE"/>
              </w:rPr>
              <w:t xml:space="preserve">intelligente Mobilität; </w:t>
            </w:r>
          </w:p>
          <w:p w14:paraId="6A4776BE" w14:textId="77777777" w:rsidR="0057163C" w:rsidRPr="00170422" w:rsidRDefault="00F37BF9">
            <w:pPr>
              <w:pStyle w:val="P68B1DB1-Normal12"/>
              <w:numPr>
                <w:ilvl w:val="0"/>
                <w:numId w:val="64"/>
              </w:numPr>
              <w:spacing w:line="279" w:lineRule="auto"/>
              <w:rPr>
                <w:noProof/>
                <w:lang w:val="de-DE"/>
              </w:rPr>
            </w:pPr>
            <w:r w:rsidRPr="00170422">
              <w:rPr>
                <w:noProof/>
                <w:lang w:val="de-DE"/>
              </w:rPr>
              <w:t>Energiespeicherung;</w:t>
            </w:r>
          </w:p>
          <w:p w14:paraId="52A34A43" w14:textId="77777777" w:rsidR="0057163C" w:rsidRPr="00170422" w:rsidRDefault="00F37BF9">
            <w:pPr>
              <w:pStyle w:val="P68B1DB1-Normal12"/>
              <w:numPr>
                <w:ilvl w:val="0"/>
                <w:numId w:val="64"/>
              </w:numPr>
              <w:spacing w:line="279" w:lineRule="auto"/>
              <w:rPr>
                <w:noProof/>
                <w:lang w:val="de-DE"/>
              </w:rPr>
            </w:pPr>
            <w:r w:rsidRPr="00170422">
              <w:rPr>
                <w:noProof/>
                <w:lang w:val="de-DE"/>
              </w:rPr>
              <w:t>Lebensmittelsysteme;</w:t>
            </w:r>
          </w:p>
          <w:p w14:paraId="5D64D41D" w14:textId="77777777" w:rsidR="0057163C" w:rsidRPr="00170422" w:rsidRDefault="00F37BF9">
            <w:pPr>
              <w:pStyle w:val="P68B1DB1-Normal12"/>
              <w:numPr>
                <w:ilvl w:val="0"/>
                <w:numId w:val="64"/>
              </w:numPr>
              <w:spacing w:line="279" w:lineRule="auto"/>
              <w:rPr>
                <w:noProof/>
                <w:lang w:val="de-DE"/>
              </w:rPr>
            </w:pPr>
            <w:r w:rsidRPr="00170422">
              <w:rPr>
                <w:noProof/>
                <w:lang w:val="de-DE"/>
              </w:rPr>
              <w:t>biobasierte Innovationssysteme in der Bioökonomie der Union;</w:t>
            </w:r>
          </w:p>
          <w:p w14:paraId="002A4C55" w14:textId="77777777" w:rsidR="0057163C" w:rsidRPr="00170422" w:rsidRDefault="00F37BF9">
            <w:pPr>
              <w:pStyle w:val="P68B1DB1-Normal12"/>
              <w:numPr>
                <w:ilvl w:val="0"/>
                <w:numId w:val="64"/>
              </w:numPr>
              <w:spacing w:line="279" w:lineRule="auto"/>
              <w:rPr>
                <w:noProof/>
                <w:lang w:val="de-DE"/>
              </w:rPr>
            </w:pPr>
            <w:r w:rsidRPr="00170422">
              <w:rPr>
                <w:noProof/>
                <w:lang w:val="de-DE"/>
              </w:rPr>
              <w:t>Kreislaufsysteme.</w:t>
            </w:r>
          </w:p>
          <w:p w14:paraId="71BF0CA7" w14:textId="19DE5B71" w:rsidR="0057163C" w:rsidRPr="00170422" w:rsidRDefault="00F37BF9">
            <w:pPr>
              <w:rPr>
                <w:rFonts w:ascii="Arial Narrow" w:eastAsia="Arial Narrow" w:hAnsi="Arial Narrow" w:cs="Arial Narrow"/>
                <w:noProof/>
                <w:sz w:val="20"/>
                <w:szCs w:val="20"/>
                <w:lang w:val="de-DE"/>
              </w:rPr>
            </w:pPr>
            <w:r w:rsidRPr="00170422">
              <w:rPr>
                <w:rFonts w:ascii="Arial Narrow" w:eastAsia="Arial Narrow" w:hAnsi="Arial Narrow" w:cs="Arial Narrow"/>
                <w:noProof/>
                <w:color w:val="006100"/>
                <w:sz w:val="20"/>
                <w:szCs w:val="20"/>
                <w:lang w:val="de-DE"/>
              </w:rPr>
              <w:t xml:space="preserve">Um sicherzustellen, dass die Maßnahme den technischen Leitlinien „Vermeidung erheblicher </w:t>
            </w:r>
            <w:r w:rsidRPr="00170422">
              <w:rPr>
                <w:rFonts w:ascii="Arial Narrow" w:eastAsia="Arial Narrow" w:hAnsi="Arial Narrow" w:cs="Arial Narrow"/>
                <w:noProof/>
                <w:color w:val="006100"/>
                <w:sz w:val="20"/>
                <w:szCs w:val="20"/>
                <w:lang w:val="de-DE"/>
              </w:rPr>
              <w:t>Beeinträchtigungen“ (2021/C58/01) entspricht, werden bei den ausgewählten Projekten folgende Tätigkeiten nicht berücksichtigt: I) Tätigkeiten und Vermögenswerte im Zusammenhang mit fossilen Brennstoffen, einschließlich nachgelagerter Nutzung;</w:t>
            </w:r>
            <w:r w:rsidRPr="00170422">
              <w:rPr>
                <w:rStyle w:val="FootnoteReference"/>
                <w:rFonts w:ascii="Arial Narrow" w:eastAsia="Arial Narrow" w:hAnsi="Arial Narrow" w:cs="Arial Narrow"/>
                <w:noProof/>
                <w:color w:val="006100"/>
                <w:sz w:val="20"/>
                <w:szCs w:val="20"/>
                <w:lang w:val="de-DE"/>
              </w:rPr>
              <w:footnoteReference w:id="77"/>
            </w:r>
            <w:r w:rsidRPr="00170422">
              <w:rPr>
                <w:rFonts w:ascii="Arial Narrow" w:eastAsia="Arial Narrow" w:hAnsi="Arial Narrow" w:cs="Arial Narrow"/>
                <w:noProof/>
                <w:color w:val="006100"/>
                <w:sz w:val="20"/>
                <w:szCs w:val="20"/>
                <w:lang w:val="de-DE"/>
              </w:rPr>
              <w:t xml:space="preserve"> II) Tätigkei</w:t>
            </w:r>
            <w:r w:rsidRPr="00170422">
              <w:rPr>
                <w:rFonts w:ascii="Arial Narrow" w:eastAsia="Arial Narrow" w:hAnsi="Arial Narrow" w:cs="Arial Narrow"/>
                <w:noProof/>
                <w:color w:val="006100"/>
                <w:sz w:val="20"/>
                <w:szCs w:val="20"/>
                <w:lang w:val="de-DE"/>
              </w:rPr>
              <w:t>ten im Rahmen des EU-Emissionshandelssystems (EHS), mit denen prognostizierte Treibhausgasemissionen erreicht werden, die nicht unter den einschlägigen Benchmarks liegen;</w:t>
            </w:r>
            <w:r w:rsidRPr="00170422">
              <w:rPr>
                <w:rStyle w:val="FootnoteReference"/>
                <w:rFonts w:ascii="Arial Narrow" w:eastAsia="Arial Narrow" w:hAnsi="Arial Narrow" w:cs="Arial Narrow"/>
                <w:noProof/>
                <w:color w:val="006100"/>
                <w:sz w:val="20"/>
                <w:szCs w:val="20"/>
                <w:lang w:val="de-DE"/>
              </w:rPr>
              <w:footnoteReference w:id="78"/>
            </w:r>
            <w:r w:rsidRPr="00170422">
              <w:rPr>
                <w:rFonts w:ascii="Arial Narrow" w:eastAsia="Arial Narrow" w:hAnsi="Arial Narrow" w:cs="Arial Narrow"/>
                <w:noProof/>
                <w:color w:val="006100"/>
                <w:sz w:val="20"/>
                <w:szCs w:val="20"/>
                <w:lang w:val="de-DE"/>
              </w:rPr>
              <w:t xml:space="preserve"> III) Tätigkeiten und Vermögenswerte im Zusammenhang mit Abfalldeponien, Verbrennungs</w:t>
            </w:r>
            <w:r w:rsidRPr="00170422">
              <w:rPr>
                <w:rFonts w:ascii="Arial Narrow" w:eastAsia="Arial Narrow" w:hAnsi="Arial Narrow" w:cs="Arial Narrow"/>
                <w:noProof/>
                <w:color w:val="006100"/>
                <w:sz w:val="20"/>
                <w:szCs w:val="20"/>
                <w:lang w:val="de-DE"/>
              </w:rPr>
              <w:t>anlagen</w:t>
            </w:r>
            <w:r w:rsidRPr="00170422">
              <w:rPr>
                <w:rStyle w:val="FootnoteReference"/>
                <w:rFonts w:ascii="Arial Narrow" w:eastAsia="Arial Narrow" w:hAnsi="Arial Narrow" w:cs="Arial Narrow"/>
                <w:noProof/>
                <w:color w:val="006100"/>
                <w:sz w:val="20"/>
                <w:szCs w:val="20"/>
                <w:lang w:val="de-DE"/>
              </w:rPr>
              <w:footnoteReference w:id="79"/>
            </w:r>
            <w:r w:rsidRPr="00170422">
              <w:rPr>
                <w:rFonts w:ascii="Arial Narrow" w:eastAsia="Arial Narrow" w:hAnsi="Arial Narrow" w:cs="Arial Narrow"/>
                <w:noProof/>
                <w:color w:val="006100"/>
                <w:sz w:val="20"/>
                <w:szCs w:val="20"/>
                <w:lang w:val="de-DE"/>
              </w:rPr>
              <w:t xml:space="preserve"> und Anlagen zur mechanisch-biologischen Behandlung.</w:t>
            </w:r>
            <w:r w:rsidRPr="00170422">
              <w:rPr>
                <w:rStyle w:val="FootnoteReference"/>
                <w:rFonts w:ascii="Arial Narrow" w:eastAsia="Arial Narrow" w:hAnsi="Arial Narrow" w:cs="Arial Narrow"/>
                <w:noProof/>
                <w:color w:val="006100"/>
                <w:sz w:val="20"/>
                <w:szCs w:val="20"/>
                <w:lang w:val="de-DE"/>
              </w:rPr>
              <w:footnoteReference w:id="80"/>
            </w:r>
          </w:p>
        </w:tc>
      </w:tr>
      <w:tr w:rsidR="000B7F7C" w:rsidRPr="00170422" w14:paraId="50D5BCC5" w14:textId="77777777" w:rsidTr="000B7F7C">
        <w:trPr>
          <w:trHeight w:val="309"/>
          <w:jc w:val="center"/>
        </w:trPr>
        <w:tc>
          <w:tcPr>
            <w:tcW w:w="1063" w:type="dxa"/>
            <w:shd w:val="clear" w:color="auto" w:fill="C6EFCE"/>
            <w:noWrap/>
            <w:vAlign w:val="center"/>
            <w:hideMark/>
          </w:tcPr>
          <w:p w14:paraId="68F32545" w14:textId="77777777" w:rsidR="0057163C" w:rsidRPr="00170422" w:rsidRDefault="00F37BF9">
            <w:pPr>
              <w:pStyle w:val="P68B1DB1-Normal12"/>
              <w:jc w:val="center"/>
              <w:rPr>
                <w:noProof/>
                <w:lang w:val="de-DE"/>
              </w:rPr>
            </w:pPr>
            <w:r w:rsidRPr="00170422">
              <w:rPr>
                <w:noProof/>
                <w:lang w:val="de-DE"/>
              </w:rPr>
              <w:t>M4C2-3</w:t>
            </w:r>
          </w:p>
        </w:tc>
        <w:tc>
          <w:tcPr>
            <w:tcW w:w="1978" w:type="dxa"/>
            <w:shd w:val="clear" w:color="auto" w:fill="C6EFCE"/>
            <w:noWrap/>
            <w:vAlign w:val="center"/>
            <w:hideMark/>
          </w:tcPr>
          <w:p w14:paraId="52E9B95B" w14:textId="77777777" w:rsidR="0057163C" w:rsidRPr="00170422" w:rsidRDefault="00F37BF9">
            <w:pPr>
              <w:pStyle w:val="P68B1DB1-Normal12"/>
              <w:jc w:val="center"/>
              <w:rPr>
                <w:rFonts w:eastAsia="Calibri"/>
                <w:noProof/>
                <w:lang w:val="de-DE"/>
              </w:rPr>
            </w:pPr>
            <w:r w:rsidRPr="00170422">
              <w:rPr>
                <w:noProof/>
                <w:lang w:val="de-DE"/>
              </w:rPr>
              <w:t>Investition 3.3: Vergabe von Promotionsstipendien in Zusammenarbeit mit Unternehmen und Förderung der Einstellung von Forschern durch Unternehmen</w:t>
            </w:r>
          </w:p>
        </w:tc>
        <w:tc>
          <w:tcPr>
            <w:tcW w:w="1229" w:type="dxa"/>
            <w:shd w:val="clear" w:color="auto" w:fill="C6EFCE"/>
            <w:noWrap/>
            <w:vAlign w:val="center"/>
            <w:hideMark/>
          </w:tcPr>
          <w:p w14:paraId="6B78CA79" w14:textId="77777777" w:rsidR="0057163C" w:rsidRPr="00170422" w:rsidRDefault="00F37BF9">
            <w:pPr>
              <w:pStyle w:val="P68B1DB1-Normal11"/>
              <w:jc w:val="center"/>
              <w:rPr>
                <w:noProof/>
                <w:szCs w:val="20"/>
                <w:lang w:val="de-DE"/>
              </w:rPr>
            </w:pPr>
            <w:r w:rsidRPr="00170422">
              <w:rPr>
                <w:noProof/>
                <w:lang w:val="de-DE"/>
              </w:rPr>
              <w:t>Ziel</w:t>
            </w:r>
          </w:p>
        </w:tc>
        <w:tc>
          <w:tcPr>
            <w:tcW w:w="1760" w:type="dxa"/>
            <w:shd w:val="clear" w:color="auto" w:fill="C6EFCE"/>
            <w:noWrap/>
            <w:vAlign w:val="center"/>
            <w:hideMark/>
          </w:tcPr>
          <w:p w14:paraId="13FC6BD0" w14:textId="63902618" w:rsidR="0057163C" w:rsidRPr="00170422" w:rsidRDefault="00F37BF9">
            <w:pPr>
              <w:pStyle w:val="P68B1DB1-Normal11"/>
              <w:jc w:val="center"/>
              <w:rPr>
                <w:noProof/>
                <w:szCs w:val="20"/>
                <w:lang w:val="de-DE"/>
              </w:rPr>
            </w:pPr>
            <w:r w:rsidRPr="00170422">
              <w:rPr>
                <w:noProof/>
                <w:lang w:val="de-DE"/>
              </w:rPr>
              <w:t xml:space="preserve">Anzahl der gewährten </w:t>
            </w:r>
            <w:r w:rsidRPr="00170422">
              <w:rPr>
                <w:noProof/>
                <w:lang w:val="de-DE"/>
              </w:rPr>
              <w:t>Doktorandenstipendien</w:t>
            </w:r>
          </w:p>
        </w:tc>
        <w:tc>
          <w:tcPr>
            <w:tcW w:w="1614" w:type="dxa"/>
            <w:shd w:val="clear" w:color="auto" w:fill="C6EFCE"/>
            <w:noWrap/>
            <w:vAlign w:val="center"/>
            <w:hideMark/>
          </w:tcPr>
          <w:p w14:paraId="55C0B4BF" w14:textId="77777777" w:rsidR="0057163C" w:rsidRPr="00170422" w:rsidRDefault="00F37BF9">
            <w:pPr>
              <w:pStyle w:val="P68B1DB1-Normal11"/>
              <w:jc w:val="center"/>
              <w:rPr>
                <w:noProof/>
                <w:szCs w:val="20"/>
                <w:lang w:val="de-DE"/>
              </w:rPr>
            </w:pPr>
            <w:r w:rsidRPr="00170422">
              <w:rPr>
                <w:noProof/>
                <w:lang w:val="de-DE"/>
              </w:rPr>
              <w:t>ENTFÄLLT.</w:t>
            </w:r>
          </w:p>
        </w:tc>
        <w:tc>
          <w:tcPr>
            <w:tcW w:w="1162" w:type="dxa"/>
            <w:shd w:val="clear" w:color="auto" w:fill="C6EFCE"/>
            <w:noWrap/>
            <w:vAlign w:val="center"/>
            <w:hideMark/>
          </w:tcPr>
          <w:p w14:paraId="5CE2E757" w14:textId="77777777" w:rsidR="0057163C" w:rsidRPr="00170422" w:rsidRDefault="00F37BF9">
            <w:pPr>
              <w:pStyle w:val="P68B1DB1-Normal11"/>
              <w:jc w:val="center"/>
              <w:rPr>
                <w:rFonts w:eastAsia="Calibri"/>
                <w:noProof/>
                <w:szCs w:val="20"/>
                <w:lang w:val="de-DE"/>
              </w:rPr>
            </w:pPr>
            <w:r w:rsidRPr="00170422">
              <w:rPr>
                <w:noProof/>
                <w:lang w:val="de-DE"/>
              </w:rPr>
              <w:t>Anzahl</w:t>
            </w:r>
          </w:p>
        </w:tc>
        <w:tc>
          <w:tcPr>
            <w:tcW w:w="1418" w:type="dxa"/>
            <w:shd w:val="clear" w:color="auto" w:fill="C6EFCE"/>
            <w:noWrap/>
            <w:vAlign w:val="center"/>
            <w:hideMark/>
          </w:tcPr>
          <w:p w14:paraId="07D1DA49" w14:textId="77777777" w:rsidR="0057163C" w:rsidRPr="00170422" w:rsidRDefault="00F37BF9">
            <w:pPr>
              <w:pStyle w:val="P68B1DB1-Normal11"/>
              <w:jc w:val="center"/>
              <w:rPr>
                <w:noProof/>
                <w:szCs w:val="20"/>
                <w:lang w:val="de-DE"/>
              </w:rPr>
            </w:pPr>
            <w:r w:rsidRPr="00170422">
              <w:rPr>
                <w:noProof/>
                <w:lang w:val="de-DE"/>
              </w:rPr>
              <w:t>0</w:t>
            </w:r>
          </w:p>
        </w:tc>
        <w:tc>
          <w:tcPr>
            <w:tcW w:w="992" w:type="dxa"/>
            <w:shd w:val="clear" w:color="auto" w:fill="C6EFCE"/>
            <w:noWrap/>
            <w:vAlign w:val="center"/>
            <w:hideMark/>
          </w:tcPr>
          <w:p w14:paraId="18AFE8A8"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6</w:t>
            </w:r>
            <w:r w:rsidRPr="00170422">
              <w:rPr>
                <w:noProof/>
                <w:sz w:val="23"/>
                <w:szCs w:val="23"/>
                <w:lang w:val="de-DE"/>
              </w:rPr>
              <w:t xml:space="preserve"> </w:t>
            </w:r>
            <w:r w:rsidRPr="00170422">
              <w:rPr>
                <w:rFonts w:ascii="Arial Narrow" w:hAnsi="Arial Narrow"/>
                <w:noProof/>
                <w:color w:val="006100"/>
                <w:sz w:val="20"/>
                <w:lang w:val="de-DE"/>
              </w:rPr>
              <w:t>000</w:t>
            </w:r>
          </w:p>
        </w:tc>
        <w:tc>
          <w:tcPr>
            <w:tcW w:w="851" w:type="dxa"/>
            <w:shd w:val="clear" w:color="auto" w:fill="C6EFCE"/>
            <w:noWrap/>
            <w:vAlign w:val="center"/>
            <w:hideMark/>
          </w:tcPr>
          <w:p w14:paraId="2F7D291C" w14:textId="77777777" w:rsidR="0057163C" w:rsidRPr="00170422" w:rsidRDefault="00F37BF9">
            <w:pPr>
              <w:pStyle w:val="P68B1DB1-Normal11"/>
              <w:jc w:val="center"/>
              <w:rPr>
                <w:noProof/>
                <w:szCs w:val="20"/>
                <w:lang w:val="de-DE"/>
              </w:rPr>
            </w:pPr>
            <w:r w:rsidRPr="00170422">
              <w:rPr>
                <w:noProof/>
                <w:lang w:val="de-DE"/>
              </w:rPr>
              <w:t>4. QUARTAL</w:t>
            </w:r>
          </w:p>
        </w:tc>
        <w:tc>
          <w:tcPr>
            <w:tcW w:w="708" w:type="dxa"/>
            <w:shd w:val="clear" w:color="auto" w:fill="C6EFCE"/>
            <w:noWrap/>
            <w:vAlign w:val="center"/>
            <w:hideMark/>
          </w:tcPr>
          <w:p w14:paraId="6F9ED3DC" w14:textId="77777777" w:rsidR="0057163C" w:rsidRPr="00170422" w:rsidRDefault="00F37BF9">
            <w:pPr>
              <w:pStyle w:val="P68B1DB1-Normal11"/>
              <w:jc w:val="center"/>
              <w:rPr>
                <w:noProof/>
                <w:szCs w:val="20"/>
                <w:lang w:val="de-DE"/>
              </w:rPr>
            </w:pPr>
            <w:r w:rsidRPr="00170422">
              <w:rPr>
                <w:noProof/>
                <w:lang w:val="de-DE"/>
              </w:rPr>
              <w:t>2024</w:t>
            </w:r>
          </w:p>
        </w:tc>
        <w:tc>
          <w:tcPr>
            <w:tcW w:w="2205" w:type="dxa"/>
            <w:shd w:val="clear" w:color="auto" w:fill="C6EFCE"/>
            <w:noWrap/>
            <w:vAlign w:val="center"/>
            <w:hideMark/>
          </w:tcPr>
          <w:p w14:paraId="3B32A412"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Vergabe von mindestens 6000</w:t>
            </w:r>
            <w:r w:rsidRPr="00170422">
              <w:rPr>
                <w:noProof/>
                <w:sz w:val="23"/>
                <w:szCs w:val="23"/>
                <w:lang w:val="de-DE"/>
              </w:rPr>
              <w:t xml:space="preserve"> </w:t>
            </w:r>
            <w:r w:rsidRPr="00170422">
              <w:rPr>
                <w:rFonts w:ascii="Arial Narrow" w:hAnsi="Arial Narrow"/>
                <w:noProof/>
                <w:color w:val="006100"/>
                <w:sz w:val="20"/>
                <w:szCs w:val="20"/>
                <w:lang w:val="de-DE"/>
              </w:rPr>
              <w:t>Doktorandenstipendien durch Hochschulen und AFAM-Einrichtungen.</w:t>
            </w:r>
          </w:p>
          <w:p w14:paraId="20CD17D7" w14:textId="77777777" w:rsidR="0057163C" w:rsidRPr="00170422" w:rsidRDefault="00F37BF9">
            <w:pPr>
              <w:pStyle w:val="P68B1DB1-Normal12"/>
              <w:rPr>
                <w:noProof/>
                <w:lang w:val="de-DE"/>
              </w:rPr>
            </w:pPr>
            <w:r w:rsidRPr="00170422">
              <w:rPr>
                <w:noProof/>
                <w:lang w:val="de-DE"/>
              </w:rPr>
              <w:t>Zu den kritischen Anforderungen für die Verleihung von Doktoranden gehören:</w:t>
            </w:r>
          </w:p>
          <w:p w14:paraId="771849A6" w14:textId="77777777" w:rsidR="0057163C" w:rsidRPr="00170422" w:rsidRDefault="00F37BF9">
            <w:pPr>
              <w:pStyle w:val="P68B1DB1-Normal12"/>
              <w:rPr>
                <w:noProof/>
                <w:lang w:val="de-DE"/>
              </w:rPr>
            </w:pPr>
            <w:r w:rsidRPr="00170422">
              <w:rPr>
                <w:noProof/>
                <w:lang w:val="de-DE"/>
              </w:rPr>
              <w:t>a) Studien- und Forschung</w:t>
            </w:r>
            <w:r w:rsidRPr="00170422">
              <w:rPr>
                <w:noProof/>
                <w:lang w:val="de-DE"/>
              </w:rPr>
              <w:t>saufenthalte im Unternehmen von mindestens sechs (6) Monaten bis zu höchstens achtzehn (18) Monaten vorsehen;</w:t>
            </w:r>
          </w:p>
          <w:p w14:paraId="79CE6E7F" w14:textId="77777777" w:rsidR="0057163C" w:rsidRPr="00170422" w:rsidRDefault="00F37BF9">
            <w:pPr>
              <w:pStyle w:val="P68B1DB1-Normal12"/>
              <w:rPr>
                <w:noProof/>
                <w:lang w:val="de-DE"/>
              </w:rPr>
            </w:pPr>
            <w:r w:rsidRPr="00170422">
              <w:rPr>
                <w:noProof/>
                <w:lang w:val="de-DE"/>
              </w:rPr>
              <w:t>b) Studien- und Forschungsaufenthalte im Ausland von mindestens sechs (6) Monaten bis zu höchstens achtzehn (18) Monaten vorsehen;</w:t>
            </w:r>
          </w:p>
          <w:p w14:paraId="7F71EE73" w14:textId="77777777" w:rsidR="0057163C" w:rsidRPr="00170422" w:rsidRDefault="00F37BF9">
            <w:pPr>
              <w:pStyle w:val="P68B1DB1-Normal12"/>
              <w:rPr>
                <w:noProof/>
                <w:lang w:val="de-DE"/>
              </w:rPr>
            </w:pPr>
            <w:r w:rsidRPr="00170422">
              <w:rPr>
                <w:noProof/>
                <w:lang w:val="de-DE"/>
              </w:rPr>
              <w:t>C) die Einbezie</w:t>
            </w:r>
            <w:r w:rsidRPr="00170422">
              <w:rPr>
                <w:noProof/>
                <w:lang w:val="de-DE"/>
              </w:rPr>
              <w:t>hung von Unternehmen in die Festlegung des Ausbildungskurses auch im Rahmen einer umfassenderen Zusammenarbeit mit der Universität und den AFAM-Einrichtungen vorsehen.</w:t>
            </w:r>
          </w:p>
        </w:tc>
      </w:tr>
      <w:tr w:rsidR="000B7F7C" w:rsidRPr="00170422" w14:paraId="66EE4F27" w14:textId="77777777" w:rsidTr="000B7F7C">
        <w:trPr>
          <w:trHeight w:val="309"/>
          <w:jc w:val="center"/>
        </w:trPr>
        <w:tc>
          <w:tcPr>
            <w:tcW w:w="1063" w:type="dxa"/>
            <w:shd w:val="clear" w:color="auto" w:fill="C6EFCE"/>
            <w:noWrap/>
            <w:vAlign w:val="center"/>
            <w:hideMark/>
          </w:tcPr>
          <w:p w14:paraId="7DA9B4C0" w14:textId="77777777" w:rsidR="0057163C" w:rsidRPr="00170422" w:rsidRDefault="00F37BF9">
            <w:pPr>
              <w:pStyle w:val="P68B1DB1-Normal11"/>
              <w:jc w:val="center"/>
              <w:rPr>
                <w:noProof/>
                <w:szCs w:val="20"/>
                <w:lang w:val="de-DE"/>
              </w:rPr>
            </w:pPr>
            <w:r w:rsidRPr="00170422">
              <w:rPr>
                <w:noProof/>
                <w:lang w:val="de-DE"/>
              </w:rPr>
              <w:t>M4C2-4</w:t>
            </w:r>
          </w:p>
        </w:tc>
        <w:tc>
          <w:tcPr>
            <w:tcW w:w="1978" w:type="dxa"/>
            <w:shd w:val="clear" w:color="auto" w:fill="C6EFCE"/>
            <w:noWrap/>
            <w:vAlign w:val="center"/>
            <w:hideMark/>
          </w:tcPr>
          <w:p w14:paraId="72882A40" w14:textId="77777777" w:rsidR="0057163C" w:rsidRPr="00170422" w:rsidRDefault="00F37BF9">
            <w:pPr>
              <w:pStyle w:val="P68B1DB1-Normal11"/>
              <w:jc w:val="center"/>
              <w:rPr>
                <w:noProof/>
                <w:szCs w:val="20"/>
                <w:lang w:val="de-DE"/>
              </w:rPr>
            </w:pPr>
            <w:r w:rsidRPr="00170422">
              <w:rPr>
                <w:noProof/>
                <w:lang w:val="de-DE"/>
              </w:rPr>
              <w:t xml:space="preserve">Reform 1.1: Durchführung von FuE-Unterstützungsmaßnahmen zur Förderung von </w:t>
            </w:r>
            <w:r w:rsidRPr="00170422">
              <w:rPr>
                <w:noProof/>
                <w:lang w:val="de-DE"/>
              </w:rPr>
              <w:t>Vereinfachung und Mobilität</w:t>
            </w:r>
          </w:p>
        </w:tc>
        <w:tc>
          <w:tcPr>
            <w:tcW w:w="1229" w:type="dxa"/>
            <w:shd w:val="clear" w:color="auto" w:fill="C6EFCE"/>
            <w:noWrap/>
            <w:vAlign w:val="center"/>
            <w:hideMark/>
          </w:tcPr>
          <w:p w14:paraId="6CC9C6DE" w14:textId="77777777" w:rsidR="0057163C" w:rsidRPr="00170422" w:rsidRDefault="00F37BF9">
            <w:pPr>
              <w:pStyle w:val="P68B1DB1-Normal11"/>
              <w:jc w:val="center"/>
              <w:rPr>
                <w:noProof/>
                <w:szCs w:val="20"/>
                <w:lang w:val="de-DE"/>
              </w:rPr>
            </w:pPr>
            <w:r w:rsidRPr="00170422">
              <w:rPr>
                <w:noProof/>
                <w:lang w:val="de-DE"/>
              </w:rPr>
              <w:t>Meilenstein</w:t>
            </w:r>
          </w:p>
        </w:tc>
        <w:tc>
          <w:tcPr>
            <w:tcW w:w="1760" w:type="dxa"/>
            <w:shd w:val="clear" w:color="auto" w:fill="C6EFCE"/>
            <w:noWrap/>
            <w:vAlign w:val="center"/>
            <w:hideMark/>
          </w:tcPr>
          <w:p w14:paraId="13DF28F7" w14:textId="77777777" w:rsidR="0057163C" w:rsidRPr="00170422" w:rsidRDefault="00F37BF9">
            <w:pPr>
              <w:pStyle w:val="P68B1DB1-Normal11"/>
              <w:jc w:val="center"/>
              <w:rPr>
                <w:noProof/>
                <w:szCs w:val="20"/>
                <w:lang w:val="de-DE"/>
              </w:rPr>
            </w:pPr>
            <w:r w:rsidRPr="00170422">
              <w:rPr>
                <w:noProof/>
                <w:lang w:val="de-DE"/>
              </w:rPr>
              <w:t>Inkrafttreten von Ministerialerlassen zur Vereinfachung von FuE und Mobilität im Zusammenhang mit dem ordentlichen Finanzierungsfonds.</w:t>
            </w:r>
          </w:p>
        </w:tc>
        <w:tc>
          <w:tcPr>
            <w:tcW w:w="1614" w:type="dxa"/>
            <w:shd w:val="clear" w:color="auto" w:fill="C6EFCE"/>
            <w:noWrap/>
            <w:vAlign w:val="center"/>
            <w:hideMark/>
          </w:tcPr>
          <w:p w14:paraId="73333803" w14:textId="77777777" w:rsidR="0057163C" w:rsidRPr="00170422" w:rsidRDefault="00F37BF9">
            <w:pPr>
              <w:pStyle w:val="P68B1DB1-Normal11"/>
              <w:jc w:val="center"/>
              <w:rPr>
                <w:noProof/>
                <w:szCs w:val="20"/>
                <w:lang w:val="de-DE"/>
              </w:rPr>
            </w:pPr>
            <w:r w:rsidRPr="00170422">
              <w:rPr>
                <w:noProof/>
                <w:lang w:val="de-DE"/>
              </w:rPr>
              <w:t>Bestimmung im Dekret über das Inkrafttreten des Gesetzes</w:t>
            </w:r>
          </w:p>
        </w:tc>
        <w:tc>
          <w:tcPr>
            <w:tcW w:w="1162" w:type="dxa"/>
            <w:shd w:val="clear" w:color="auto" w:fill="C6EFCE"/>
            <w:noWrap/>
            <w:vAlign w:val="center"/>
            <w:hideMark/>
          </w:tcPr>
          <w:p w14:paraId="0EF8B258"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hideMark/>
          </w:tcPr>
          <w:p w14:paraId="75DE9921" w14:textId="77777777" w:rsidR="0057163C" w:rsidRPr="00170422" w:rsidRDefault="00F37BF9">
            <w:pPr>
              <w:pStyle w:val="P68B1DB1-Normal11"/>
              <w:jc w:val="center"/>
              <w:rPr>
                <w:noProof/>
                <w:szCs w:val="20"/>
                <w:lang w:val="de-DE"/>
              </w:rPr>
            </w:pPr>
            <w:r w:rsidRPr="00170422">
              <w:rPr>
                <w:noProof/>
                <w:lang w:val="de-DE"/>
              </w:rPr>
              <w:t>ENTFÄLLT.</w:t>
            </w:r>
          </w:p>
        </w:tc>
        <w:tc>
          <w:tcPr>
            <w:tcW w:w="992" w:type="dxa"/>
            <w:shd w:val="clear" w:color="auto" w:fill="C6EFCE"/>
            <w:noWrap/>
            <w:vAlign w:val="center"/>
            <w:hideMark/>
          </w:tcPr>
          <w:p w14:paraId="77A58BE8" w14:textId="77777777" w:rsidR="0057163C" w:rsidRPr="00170422" w:rsidRDefault="0057163C">
            <w:pPr>
              <w:jc w:val="center"/>
              <w:rPr>
                <w:rFonts w:ascii="Arial Narrow" w:hAnsi="Arial Narrow"/>
                <w:noProof/>
                <w:color w:val="006100"/>
                <w:sz w:val="20"/>
                <w:szCs w:val="20"/>
                <w:lang w:val="de-DE"/>
              </w:rPr>
            </w:pPr>
          </w:p>
        </w:tc>
        <w:tc>
          <w:tcPr>
            <w:tcW w:w="851" w:type="dxa"/>
            <w:shd w:val="clear" w:color="auto" w:fill="C6EFCE"/>
            <w:noWrap/>
            <w:vAlign w:val="center"/>
            <w:hideMark/>
          </w:tcPr>
          <w:p w14:paraId="24F54C7A" w14:textId="77777777" w:rsidR="0057163C" w:rsidRPr="00170422" w:rsidRDefault="00F37BF9">
            <w:pPr>
              <w:pStyle w:val="P68B1DB1-Normal11"/>
              <w:jc w:val="center"/>
              <w:rPr>
                <w:noProof/>
                <w:szCs w:val="20"/>
                <w:lang w:val="de-DE"/>
              </w:rPr>
            </w:pPr>
            <w:r w:rsidRPr="00170422">
              <w:rPr>
                <w:noProof/>
                <w:lang w:val="de-DE"/>
              </w:rPr>
              <w:t>Q2</w:t>
            </w:r>
          </w:p>
        </w:tc>
        <w:tc>
          <w:tcPr>
            <w:tcW w:w="708" w:type="dxa"/>
            <w:shd w:val="clear" w:color="auto" w:fill="C6EFCE"/>
            <w:noWrap/>
            <w:vAlign w:val="center"/>
            <w:hideMark/>
          </w:tcPr>
          <w:p w14:paraId="7183AE46" w14:textId="77777777" w:rsidR="0057163C" w:rsidRPr="00170422" w:rsidRDefault="00F37BF9">
            <w:pPr>
              <w:pStyle w:val="P68B1DB1-Normal11"/>
              <w:jc w:val="center"/>
              <w:rPr>
                <w:noProof/>
                <w:szCs w:val="20"/>
                <w:lang w:val="de-DE"/>
              </w:rPr>
            </w:pPr>
            <w:r w:rsidRPr="00170422">
              <w:rPr>
                <w:noProof/>
                <w:lang w:val="de-DE"/>
              </w:rPr>
              <w:t>2022</w:t>
            </w:r>
          </w:p>
        </w:tc>
        <w:tc>
          <w:tcPr>
            <w:tcW w:w="2205" w:type="dxa"/>
            <w:shd w:val="clear" w:color="auto" w:fill="C6EFCE"/>
            <w:noWrap/>
            <w:vAlign w:val="center"/>
            <w:hideMark/>
          </w:tcPr>
          <w:p w14:paraId="63C197FB" w14:textId="77777777" w:rsidR="0057163C" w:rsidRPr="00170422" w:rsidRDefault="00F37BF9">
            <w:pPr>
              <w:pStyle w:val="P68B1DB1-Normal11"/>
              <w:rPr>
                <w:noProof/>
                <w:szCs w:val="20"/>
                <w:lang w:val="de-DE"/>
              </w:rPr>
            </w:pPr>
            <w:r w:rsidRPr="00170422">
              <w:rPr>
                <w:noProof/>
                <w:lang w:val="de-DE"/>
              </w:rPr>
              <w:t>Die Ministerialdekrete enthalten folgende Schlüsselelemente:</w:t>
            </w:r>
          </w:p>
          <w:p w14:paraId="14F06F66" w14:textId="77777777" w:rsidR="0057163C" w:rsidRPr="00170422" w:rsidRDefault="00F37BF9">
            <w:pPr>
              <w:pStyle w:val="P68B1DB1-Normal12"/>
              <w:rPr>
                <w:noProof/>
                <w:lang w:val="de-DE"/>
              </w:rPr>
            </w:pPr>
            <w:r w:rsidRPr="00170422">
              <w:rPr>
                <w:noProof/>
                <w:lang w:val="de-DE"/>
              </w:rPr>
              <w:t>I) Übergang zu einem systematischeren Ansatz für FuE-Tätigkeiten durch ein neues vereinfachtes Modell, mit dem eine erhebliche Wirkung erzielt werden soll, indem eine Streuung und Fragmentie</w:t>
            </w:r>
            <w:r w:rsidRPr="00170422">
              <w:rPr>
                <w:noProof/>
                <w:lang w:val="de-DE"/>
              </w:rPr>
              <w:t>rung der Prioritäten vermieden wird; II) Reform der Rechtsvorschriften, um die Mobilität hochrangiger Persönlichkeiten (wie Forscher und Führungskräfte) zwischen Universitäten, Forschungsinfrastrukturen und Unternehmen zu erhöhen; III) Vereinfachung der Mi</w:t>
            </w:r>
            <w:r w:rsidRPr="00170422">
              <w:rPr>
                <w:noProof/>
                <w:lang w:val="de-DE"/>
              </w:rPr>
              <w:t>ttelverwaltung; IV) die Laufbahn der Forscher zu reformieren, um ihren Schwerpunkt stärker auf Forschungstätigkeiten zu legen.</w:t>
            </w:r>
          </w:p>
        </w:tc>
      </w:tr>
      <w:tr w:rsidR="000B7F7C" w:rsidRPr="00170422" w14:paraId="7CB6DF17" w14:textId="77777777" w:rsidTr="000B7F7C">
        <w:trPr>
          <w:trHeight w:val="309"/>
          <w:jc w:val="center"/>
        </w:trPr>
        <w:tc>
          <w:tcPr>
            <w:tcW w:w="1063" w:type="dxa"/>
            <w:shd w:val="clear" w:color="auto" w:fill="C6EFCE"/>
            <w:noWrap/>
            <w:vAlign w:val="center"/>
            <w:hideMark/>
          </w:tcPr>
          <w:p w14:paraId="5F5F86B9" w14:textId="77777777" w:rsidR="0057163C" w:rsidRPr="00170422" w:rsidRDefault="00F37BF9">
            <w:pPr>
              <w:pStyle w:val="P68B1DB1-Normal84"/>
              <w:jc w:val="center"/>
              <w:rPr>
                <w:noProof/>
                <w:lang w:val="de-DE"/>
              </w:rPr>
            </w:pPr>
            <w:r w:rsidRPr="00170422">
              <w:rPr>
                <w:noProof/>
                <w:lang w:val="de-DE"/>
              </w:rPr>
              <w:t>M4C2-4bis</w:t>
            </w:r>
          </w:p>
        </w:tc>
        <w:tc>
          <w:tcPr>
            <w:tcW w:w="1978" w:type="dxa"/>
            <w:shd w:val="clear" w:color="auto" w:fill="C6EFCE"/>
            <w:noWrap/>
            <w:vAlign w:val="center"/>
            <w:hideMark/>
          </w:tcPr>
          <w:p w14:paraId="6EC05533" w14:textId="77777777" w:rsidR="0057163C" w:rsidRPr="00170422" w:rsidRDefault="00F37BF9">
            <w:pPr>
              <w:pStyle w:val="P68B1DB1-Normal84"/>
              <w:jc w:val="center"/>
              <w:rPr>
                <w:noProof/>
                <w:lang w:val="de-DE"/>
              </w:rPr>
            </w:pPr>
            <w:r w:rsidRPr="00170422">
              <w:rPr>
                <w:noProof/>
                <w:lang w:val="de-DE"/>
              </w:rPr>
              <w:t>Reform 1.2: Dreijahresplan für die Finanzierung von Forschungstätigkeiten</w:t>
            </w:r>
          </w:p>
        </w:tc>
        <w:tc>
          <w:tcPr>
            <w:tcW w:w="1229" w:type="dxa"/>
            <w:shd w:val="clear" w:color="auto" w:fill="C6EFCE"/>
            <w:noWrap/>
            <w:vAlign w:val="center"/>
            <w:hideMark/>
          </w:tcPr>
          <w:p w14:paraId="6391783E" w14:textId="77777777" w:rsidR="0057163C" w:rsidRPr="00170422" w:rsidRDefault="00F37BF9">
            <w:pPr>
              <w:pStyle w:val="P68B1DB1-Normal84"/>
              <w:jc w:val="center"/>
              <w:rPr>
                <w:noProof/>
                <w:lang w:val="de-DE"/>
              </w:rPr>
            </w:pPr>
            <w:r w:rsidRPr="00170422">
              <w:rPr>
                <w:noProof/>
                <w:lang w:val="de-DE"/>
              </w:rPr>
              <w:t>Meilenstein</w:t>
            </w:r>
          </w:p>
        </w:tc>
        <w:tc>
          <w:tcPr>
            <w:tcW w:w="1760" w:type="dxa"/>
            <w:shd w:val="clear" w:color="auto" w:fill="C6EFCE"/>
            <w:noWrap/>
            <w:vAlign w:val="center"/>
            <w:hideMark/>
          </w:tcPr>
          <w:p w14:paraId="5EBEBFF5" w14:textId="5625F559" w:rsidR="0057163C" w:rsidRPr="00170422" w:rsidRDefault="00F37BF9">
            <w:pPr>
              <w:pStyle w:val="P68B1DB1-Normal84"/>
              <w:spacing w:line="257" w:lineRule="auto"/>
              <w:jc w:val="center"/>
              <w:rPr>
                <w:noProof/>
                <w:lang w:val="de-DE"/>
              </w:rPr>
            </w:pPr>
            <w:r w:rsidRPr="00170422">
              <w:rPr>
                <w:noProof/>
                <w:lang w:val="de-DE"/>
              </w:rPr>
              <w:t xml:space="preserve">Primärrecht für die Annahme des Dreijahresplans für die Finanzierung von Forschungstätigkeiten </w:t>
            </w:r>
          </w:p>
        </w:tc>
        <w:tc>
          <w:tcPr>
            <w:tcW w:w="1614" w:type="dxa"/>
            <w:shd w:val="clear" w:color="auto" w:fill="C6EFCE"/>
            <w:noWrap/>
            <w:vAlign w:val="center"/>
            <w:hideMark/>
          </w:tcPr>
          <w:p w14:paraId="56D70740" w14:textId="2C124E32" w:rsidR="0057163C" w:rsidRPr="00170422" w:rsidRDefault="00F37BF9">
            <w:pPr>
              <w:pStyle w:val="P68B1DB1-Normal84"/>
              <w:jc w:val="center"/>
              <w:rPr>
                <w:noProof/>
                <w:lang w:val="de-DE"/>
              </w:rPr>
            </w:pPr>
            <w:r w:rsidRPr="00170422">
              <w:rPr>
                <w:noProof/>
                <w:lang w:val="de-DE"/>
              </w:rPr>
              <w:t>Inkrafttreten des Primärrechts, in dem der Dreijahresplan für die Finanzierung von Forschungstätigkeiten festgelegt ist</w:t>
            </w:r>
          </w:p>
        </w:tc>
        <w:tc>
          <w:tcPr>
            <w:tcW w:w="1162" w:type="dxa"/>
            <w:shd w:val="clear" w:color="auto" w:fill="C6EFCE"/>
            <w:noWrap/>
            <w:vAlign w:val="center"/>
            <w:hideMark/>
          </w:tcPr>
          <w:p w14:paraId="123DF5A6" w14:textId="77777777" w:rsidR="0057163C" w:rsidRPr="00170422" w:rsidRDefault="00F37BF9">
            <w:pPr>
              <w:pStyle w:val="P68B1DB1-Normal84"/>
              <w:jc w:val="center"/>
              <w:rPr>
                <w:noProof/>
                <w:lang w:val="de-DE"/>
              </w:rPr>
            </w:pPr>
            <w:r w:rsidRPr="00170422">
              <w:rPr>
                <w:noProof/>
                <w:lang w:val="de-DE"/>
              </w:rPr>
              <w:t>ENTFÄLLT.</w:t>
            </w:r>
          </w:p>
        </w:tc>
        <w:tc>
          <w:tcPr>
            <w:tcW w:w="1418" w:type="dxa"/>
            <w:shd w:val="clear" w:color="auto" w:fill="C6EFCE"/>
            <w:noWrap/>
            <w:vAlign w:val="center"/>
            <w:hideMark/>
          </w:tcPr>
          <w:p w14:paraId="6E059B26" w14:textId="77777777" w:rsidR="0057163C" w:rsidRPr="00170422" w:rsidRDefault="00F37BF9">
            <w:pPr>
              <w:pStyle w:val="P68B1DB1-Normal84"/>
              <w:jc w:val="center"/>
              <w:rPr>
                <w:noProof/>
                <w:lang w:val="de-DE"/>
              </w:rPr>
            </w:pPr>
            <w:r w:rsidRPr="00170422">
              <w:rPr>
                <w:noProof/>
                <w:lang w:val="de-DE"/>
              </w:rPr>
              <w:t>ENTFÄLLT.</w:t>
            </w:r>
          </w:p>
        </w:tc>
        <w:tc>
          <w:tcPr>
            <w:tcW w:w="992" w:type="dxa"/>
            <w:shd w:val="clear" w:color="auto" w:fill="C6EFCE"/>
            <w:noWrap/>
            <w:vAlign w:val="center"/>
            <w:hideMark/>
          </w:tcPr>
          <w:p w14:paraId="681DE355" w14:textId="77777777" w:rsidR="0057163C" w:rsidRPr="00170422" w:rsidRDefault="00F37BF9">
            <w:pPr>
              <w:pStyle w:val="P68B1DB1-Normal84"/>
              <w:jc w:val="center"/>
              <w:rPr>
                <w:noProof/>
                <w:lang w:val="de-DE"/>
              </w:rPr>
            </w:pPr>
            <w:r w:rsidRPr="00170422">
              <w:rPr>
                <w:noProof/>
                <w:lang w:val="de-DE"/>
              </w:rPr>
              <w:t>ENTFÄLLT.</w:t>
            </w:r>
          </w:p>
        </w:tc>
        <w:tc>
          <w:tcPr>
            <w:tcW w:w="851" w:type="dxa"/>
            <w:shd w:val="clear" w:color="auto" w:fill="C6EFCE"/>
            <w:noWrap/>
            <w:vAlign w:val="center"/>
            <w:hideMark/>
          </w:tcPr>
          <w:p w14:paraId="5DA72EAF" w14:textId="77777777" w:rsidR="0057163C" w:rsidRPr="00170422" w:rsidRDefault="00F37BF9">
            <w:pPr>
              <w:pStyle w:val="P68B1DB1-Normal84"/>
              <w:jc w:val="center"/>
              <w:rPr>
                <w:noProof/>
                <w:lang w:val="de-DE"/>
              </w:rPr>
            </w:pPr>
            <w:r w:rsidRPr="00170422">
              <w:rPr>
                <w:noProof/>
                <w:lang w:val="de-DE"/>
              </w:rPr>
              <w:t>4. QUARTAL</w:t>
            </w:r>
            <w:r w:rsidRPr="00170422">
              <w:rPr>
                <w:noProof/>
                <w:lang w:val="de-DE"/>
              </w:rPr>
              <w:t xml:space="preserve"> </w:t>
            </w:r>
          </w:p>
        </w:tc>
        <w:tc>
          <w:tcPr>
            <w:tcW w:w="708" w:type="dxa"/>
            <w:shd w:val="clear" w:color="auto" w:fill="C6EFCE"/>
            <w:noWrap/>
            <w:vAlign w:val="center"/>
            <w:hideMark/>
          </w:tcPr>
          <w:p w14:paraId="71B6E49C" w14:textId="77777777" w:rsidR="0057163C" w:rsidRPr="00170422" w:rsidRDefault="00F37BF9">
            <w:pPr>
              <w:pStyle w:val="P68B1DB1-Normal84"/>
              <w:jc w:val="center"/>
              <w:rPr>
                <w:noProof/>
                <w:lang w:val="de-DE"/>
              </w:rPr>
            </w:pPr>
            <w:r w:rsidRPr="00170422">
              <w:rPr>
                <w:noProof/>
                <w:lang w:val="de-DE"/>
              </w:rPr>
              <w:t>2025</w:t>
            </w:r>
          </w:p>
        </w:tc>
        <w:tc>
          <w:tcPr>
            <w:tcW w:w="2205" w:type="dxa"/>
            <w:shd w:val="clear" w:color="auto" w:fill="C6EFCE"/>
            <w:noWrap/>
            <w:vAlign w:val="center"/>
            <w:hideMark/>
          </w:tcPr>
          <w:p w14:paraId="106D2A3D" w14:textId="554EA815" w:rsidR="0057163C" w:rsidRPr="00170422" w:rsidRDefault="00F37BF9">
            <w:pPr>
              <w:pStyle w:val="P68B1DB1-Normal12"/>
              <w:jc w:val="both"/>
              <w:rPr>
                <w:noProof/>
                <w:lang w:val="de-DE"/>
              </w:rPr>
            </w:pPr>
            <w:r w:rsidRPr="00170422">
              <w:rPr>
                <w:noProof/>
                <w:lang w:val="de-DE"/>
              </w:rPr>
              <w:t xml:space="preserve">Die Reform erfordert das Inkrafttreten primärer Rechtsvorschriften, in denen der rechtliche Rahmen für die Annahme eines Dreijahresplans für die Finanzierung von Rückzugstätigkeiten festgelegt ist. </w:t>
            </w:r>
          </w:p>
          <w:p w14:paraId="46FA197C" w14:textId="77777777" w:rsidR="0057163C" w:rsidRPr="00170422" w:rsidRDefault="00F37BF9">
            <w:pPr>
              <w:pStyle w:val="P68B1DB1-Normal12"/>
              <w:rPr>
                <w:noProof/>
                <w:lang w:val="de-DE"/>
              </w:rPr>
            </w:pPr>
            <w:r w:rsidRPr="00170422">
              <w:rPr>
                <w:noProof/>
                <w:lang w:val="de-DE"/>
              </w:rPr>
              <w:t>Der Rechtsrahmen muss</w:t>
            </w:r>
          </w:p>
          <w:p w14:paraId="03B09426" w14:textId="750C048B" w:rsidR="0057163C" w:rsidRPr="00170422" w:rsidRDefault="00F37BF9">
            <w:pPr>
              <w:pStyle w:val="P68B1DB1-ListParagraph13"/>
              <w:numPr>
                <w:ilvl w:val="0"/>
                <w:numId w:val="90"/>
              </w:numPr>
              <w:spacing w:before="120" w:after="120" w:line="240" w:lineRule="auto"/>
              <w:jc w:val="both"/>
              <w:rPr>
                <w:noProof/>
                <w:lang w:val="de-DE"/>
              </w:rPr>
            </w:pPr>
            <w:r w:rsidRPr="00170422">
              <w:rPr>
                <w:noProof/>
                <w:lang w:val="de-DE"/>
              </w:rPr>
              <w:t xml:space="preserve">Einrichtung eines Fonds zur </w:t>
            </w:r>
            <w:r w:rsidRPr="00170422">
              <w:rPr>
                <w:noProof/>
                <w:lang w:val="de-DE"/>
              </w:rPr>
              <w:t>Zusammenführung verschiedener Finanzierungsinstrumente;</w:t>
            </w:r>
          </w:p>
          <w:p w14:paraId="28303113" w14:textId="09424E3F" w:rsidR="0057163C" w:rsidRPr="00170422" w:rsidRDefault="00F37BF9">
            <w:pPr>
              <w:pStyle w:val="P68B1DB1-ListParagraph23"/>
              <w:numPr>
                <w:ilvl w:val="0"/>
                <w:numId w:val="90"/>
              </w:numPr>
              <w:jc w:val="both"/>
              <w:rPr>
                <w:noProof/>
                <w:lang w:val="de-DE"/>
              </w:rPr>
            </w:pPr>
            <w:r w:rsidRPr="00170422">
              <w:rPr>
                <w:noProof/>
                <w:lang w:val="de-DE"/>
              </w:rPr>
              <w:t xml:space="preserve">die Annahme des Dreijahresplans für die Finanzierung von Forschungsaktivitäten von Hochschulen, Forschungseinrichtungen und AFAM-Institutionen zu verlangen; </w:t>
            </w:r>
          </w:p>
          <w:p w14:paraId="5BD77360" w14:textId="77777777" w:rsidR="0057163C" w:rsidRPr="00170422" w:rsidRDefault="00F37BF9">
            <w:pPr>
              <w:pStyle w:val="P68B1DB1-ListParagraph23"/>
              <w:numPr>
                <w:ilvl w:val="0"/>
                <w:numId w:val="90"/>
              </w:numPr>
              <w:jc w:val="both"/>
              <w:rPr>
                <w:noProof/>
                <w:lang w:val="de-DE"/>
              </w:rPr>
            </w:pPr>
            <w:r w:rsidRPr="00170422">
              <w:rPr>
                <w:noProof/>
                <w:lang w:val="de-DE"/>
              </w:rPr>
              <w:t>Die Annahme eines Zeitplans („cronoprogram</w:t>
            </w:r>
            <w:r w:rsidRPr="00170422">
              <w:rPr>
                <w:noProof/>
                <w:lang w:val="de-DE"/>
              </w:rPr>
              <w:t xml:space="preserve">ma“) für die Veröffentlichung von Aufforderungen zur Einreichung von Projektvorschlägen und den Abschluss ihrer Auswahlverfahren vorschreiben. </w:t>
            </w:r>
          </w:p>
          <w:p w14:paraId="73722308" w14:textId="6AEDA999" w:rsidR="0057163C" w:rsidRPr="00170422" w:rsidRDefault="00F37BF9">
            <w:pPr>
              <w:pStyle w:val="P68B1DB1-ListParagraph23"/>
              <w:numPr>
                <w:ilvl w:val="0"/>
                <w:numId w:val="90"/>
              </w:numPr>
              <w:jc w:val="both"/>
              <w:rPr>
                <w:noProof/>
                <w:lang w:val="de-DE"/>
              </w:rPr>
            </w:pPr>
            <w:r w:rsidRPr="00170422">
              <w:rPr>
                <w:noProof/>
                <w:lang w:val="de-DE"/>
              </w:rPr>
              <w:t xml:space="preserve">Aufnahme eines spezifischen Haushaltspostens für die Finanzierung von PRIN-Projekten. </w:t>
            </w:r>
          </w:p>
        </w:tc>
      </w:tr>
    </w:tbl>
    <w:p w14:paraId="0E9978DC" w14:textId="77777777" w:rsidR="0057163C" w:rsidRPr="00170422" w:rsidRDefault="0057163C">
      <w:pPr>
        <w:spacing w:before="120" w:after="120"/>
        <w:ind w:left="709"/>
        <w:jc w:val="both"/>
        <w:rPr>
          <w:noProof/>
          <w:lang w:val="de-DE"/>
        </w:rPr>
        <w:sectPr w:rsidR="0057163C" w:rsidRPr="00170422" w:rsidSect="005F11B9">
          <w:headerReference w:type="default" r:id="rId202"/>
          <w:footerReference w:type="default" r:id="rId203"/>
          <w:pgSz w:w="16839" w:h="11907" w:orient="landscape"/>
          <w:pgMar w:top="1134" w:right="1134" w:bottom="1134" w:left="1134" w:header="567" w:footer="567" w:gutter="0"/>
          <w:cols w:space="720"/>
          <w:docGrid w:linePitch="360"/>
        </w:sectPr>
      </w:pPr>
    </w:p>
    <w:p w14:paraId="30BE3B02" w14:textId="77777777" w:rsidR="0057163C" w:rsidRPr="00170422" w:rsidRDefault="00F37BF9">
      <w:pPr>
        <w:pStyle w:val="Heading3"/>
        <w:ind w:left="850" w:hanging="850"/>
        <w:rPr>
          <w:rFonts w:ascii="Times New Roman" w:eastAsia="Times New Roman" w:hAnsi="Times New Roman" w:cs="Times New Roman"/>
          <w:b/>
          <w:i/>
          <w:noProof/>
          <w:color w:val="156082" w:themeColor="accent1"/>
          <w:u w:val="single"/>
          <w:lang w:val="de-DE"/>
        </w:rPr>
      </w:pPr>
      <w:r w:rsidRPr="00170422">
        <w:rPr>
          <w:rFonts w:ascii="Times New Roman" w:eastAsia="Times New Roman" w:hAnsi="Times New Roman" w:cs="Times New Roman"/>
          <w:b/>
          <w:noProof/>
          <w:u w:val="single"/>
          <w:lang w:val="de-DE"/>
        </w:rPr>
        <w:t xml:space="preserve">K.3. </w:t>
      </w:r>
      <w:r w:rsidRPr="00170422">
        <w:rPr>
          <w:noProof/>
          <w:lang w:val="de-DE"/>
        </w:rPr>
        <w:t xml:space="preserve"> </w:t>
      </w:r>
      <w:r w:rsidRPr="00170422">
        <w:rPr>
          <w:rFonts w:ascii="Times New Roman" w:eastAsia="Times New Roman" w:hAnsi="Times New Roman" w:cs="Times New Roman"/>
          <w:b/>
          <w:noProof/>
          <w:u w:val="single"/>
          <w:lang w:val="de-DE"/>
        </w:rPr>
        <w:t xml:space="preserve">Beschreibung der Reformen und Investitionen (Darlehen) </w:t>
      </w:r>
    </w:p>
    <w:p w14:paraId="0CEA8037" w14:textId="77777777" w:rsidR="0057163C" w:rsidRPr="00170422" w:rsidRDefault="00F37BF9">
      <w:pPr>
        <w:pStyle w:val="P68B1DB1-Normal42"/>
        <w:spacing w:before="120" w:after="120"/>
        <w:jc w:val="both"/>
        <w:rPr>
          <w:bCs/>
          <w:noProof/>
          <w:lang w:val="de-DE"/>
        </w:rPr>
      </w:pPr>
      <w:r w:rsidRPr="00170422">
        <w:rPr>
          <w:noProof/>
          <w:lang w:val="de-DE"/>
        </w:rPr>
        <w:t>Investition 1.1: Forschungsprojekte von erheblicher nationaler Bedeutung (PRIN)</w:t>
      </w:r>
    </w:p>
    <w:p w14:paraId="1B457235" w14:textId="57D62EDE" w:rsidR="0057163C" w:rsidRPr="00170422" w:rsidRDefault="00F37BF9">
      <w:pPr>
        <w:pStyle w:val="P68B1DB1-Normal8"/>
        <w:spacing w:before="120" w:after="120"/>
        <w:jc w:val="both"/>
        <w:rPr>
          <w:noProof/>
          <w:color w:val="000000" w:themeColor="text1"/>
          <w:lang w:val="de-DE"/>
        </w:rPr>
      </w:pPr>
      <w:r w:rsidRPr="00170422">
        <w:rPr>
          <w:noProof/>
          <w:color w:val="000000" w:themeColor="text1"/>
          <w:lang w:val="de-DE"/>
        </w:rPr>
        <w:t>Ziel dieser Maßnahme ist die Unterstützung</w:t>
      </w:r>
      <w:r w:rsidRPr="00170422">
        <w:rPr>
          <w:noProof/>
          <w:lang w:val="de-DE"/>
        </w:rPr>
        <w:t xml:space="preserve"> von Forschungstätigkeiten. Die Maßnahme besteht in der </w:t>
      </w:r>
      <w:r w:rsidRPr="00170422">
        <w:rPr>
          <w:noProof/>
          <w:color w:val="000000" w:themeColor="text1"/>
          <w:lang w:val="de-DE"/>
        </w:rPr>
        <w:t>Finanzierung von Forschungsprojekten von großem nationalem Interesse (PRIN), die die Zusammenarbeit zwischen Hochschulforschungseinheiten und Forschungseinrichtungen sowie die Einstellung befristet be</w:t>
      </w:r>
      <w:r w:rsidRPr="00170422">
        <w:rPr>
          <w:noProof/>
          <w:color w:val="000000" w:themeColor="text1"/>
          <w:lang w:val="de-DE"/>
        </w:rPr>
        <w:t>schäftigter Forscher umfassen.</w:t>
      </w:r>
    </w:p>
    <w:p w14:paraId="523B25E2" w14:textId="77777777" w:rsidR="0057163C" w:rsidRPr="00170422" w:rsidRDefault="00F37BF9">
      <w:pPr>
        <w:pStyle w:val="paragraph"/>
        <w:spacing w:before="120" w:beforeAutospacing="0" w:after="120" w:afterAutospacing="0"/>
        <w:jc w:val="both"/>
        <w:textAlignment w:val="baseline"/>
        <w:rPr>
          <w:rStyle w:val="eop"/>
          <w:rFonts w:eastAsiaTheme="majorEastAsia"/>
          <w:b/>
          <w:bCs/>
          <w:noProof/>
          <w:color w:val="000000" w:themeColor="text1"/>
          <w:shd w:val="clear" w:color="auto" w:fill="FFFFFF"/>
          <w:lang w:val="de-DE"/>
        </w:rPr>
      </w:pPr>
      <w:r w:rsidRPr="00170422">
        <w:rPr>
          <w:rStyle w:val="normaltextrun"/>
          <w:b/>
          <w:noProof/>
          <w:color w:val="000000" w:themeColor="text1"/>
          <w:shd w:val="clear" w:color="auto" w:fill="FFFFFF"/>
          <w:lang w:val="de-DE"/>
        </w:rPr>
        <w:t>Investition 1.3: Ausweitung der Partnerschaften auf Hochschulen, Forschungszentren, Unternehmen und Finanzierung von Grundlagenforschungsprojekten</w:t>
      </w:r>
    </w:p>
    <w:p w14:paraId="422925A5" w14:textId="77777777" w:rsidR="0057163C" w:rsidRPr="00170422" w:rsidRDefault="00F37BF9">
      <w:pPr>
        <w:pStyle w:val="P68B1DB1-Normal66"/>
        <w:spacing w:before="120" w:after="120"/>
        <w:jc w:val="both"/>
        <w:rPr>
          <w:noProof/>
          <w:lang w:val="de-DE"/>
        </w:rPr>
      </w:pPr>
      <w:r w:rsidRPr="00170422">
        <w:rPr>
          <w:noProof/>
          <w:lang w:val="de-DE"/>
        </w:rPr>
        <w:t>Ziel der Maßnahme ist es, Netzwerke von Hochschulen, Forschungseinrichtungen u</w:t>
      </w:r>
      <w:r w:rsidRPr="00170422">
        <w:rPr>
          <w:noProof/>
          <w:lang w:val="de-DE"/>
        </w:rPr>
        <w:t>nd anderen Interessenträgern aufzubauen, den Technologietransfer zu fördern und forschungsbasierte Start-up-Unternehmen und Spin-offs zu unterstützen. Die Maßnahme besteht in der Finanzierung von mindestens 14 großen Grundlagenforschungsprogrammen, die von</w:t>
      </w:r>
      <w:r w:rsidRPr="00170422">
        <w:rPr>
          <w:noProof/>
          <w:lang w:val="de-DE"/>
        </w:rPr>
        <w:t xml:space="preserve"> Netzen öffentlicher und privater Akteure durchgeführt werden.</w:t>
      </w:r>
    </w:p>
    <w:p w14:paraId="3F95FCEA" w14:textId="3A904E5D" w:rsidR="0057163C" w:rsidRPr="00170422" w:rsidRDefault="00F37BF9">
      <w:pPr>
        <w:pStyle w:val="P68B1DB1-Normal42"/>
        <w:spacing w:before="120" w:after="120"/>
        <w:jc w:val="both"/>
        <w:rPr>
          <w:bCs/>
          <w:noProof/>
          <w:lang w:val="de-DE"/>
        </w:rPr>
      </w:pPr>
      <w:r w:rsidRPr="00170422">
        <w:rPr>
          <w:noProof/>
          <w:lang w:val="de-DE"/>
        </w:rPr>
        <w:t>Investition 1.4: Schaffung „nationaler FuE-Führer“ zu einigen Schlüsseltechnologien</w:t>
      </w:r>
    </w:p>
    <w:p w14:paraId="78146BE7" w14:textId="77777777" w:rsidR="0057163C" w:rsidRPr="00170422" w:rsidRDefault="00F37BF9">
      <w:pPr>
        <w:pStyle w:val="P68B1DB1-Normal66"/>
        <w:spacing w:before="120" w:after="120"/>
        <w:jc w:val="both"/>
        <w:rPr>
          <w:noProof/>
          <w:lang w:val="de-DE"/>
        </w:rPr>
      </w:pPr>
      <w:r w:rsidRPr="00170422">
        <w:rPr>
          <w:noProof/>
          <w:lang w:val="de-DE"/>
        </w:rPr>
        <w:t>Ziel dieser Maßnahme ist die Schaffung nationaler FuE-Leiter. Die Maßnahme besteht darin, fünf nationale Fors</w:t>
      </w:r>
      <w:r w:rsidRPr="00170422">
        <w:rPr>
          <w:noProof/>
          <w:lang w:val="de-DE"/>
        </w:rPr>
        <w:t>chungszentren zu finanzieren, die in der Lage sind, durch die Zusammenarbeit zwischen Hochschulen, Forschungszentren und Unternehmen einen kritischen Schwellenwert für Forschungs- und Innovationskapazitäten zu erreichen.</w:t>
      </w:r>
    </w:p>
    <w:p w14:paraId="427C8763" w14:textId="77777777" w:rsidR="0057163C" w:rsidRPr="00170422" w:rsidRDefault="00F37BF9">
      <w:pPr>
        <w:pStyle w:val="P68B1DB1-Normal42"/>
        <w:spacing w:before="120" w:after="120"/>
        <w:jc w:val="both"/>
        <w:rPr>
          <w:bCs/>
          <w:noProof/>
          <w:lang w:val="de-DE"/>
        </w:rPr>
      </w:pPr>
      <w:r w:rsidRPr="00170422">
        <w:rPr>
          <w:noProof/>
          <w:lang w:val="de-DE"/>
        </w:rPr>
        <w:t>Investition 1.5: „Innovationsökosys</w:t>
      </w:r>
      <w:r w:rsidRPr="00170422">
        <w:rPr>
          <w:noProof/>
          <w:lang w:val="de-DE"/>
        </w:rPr>
        <w:t xml:space="preserve">teme für Nachhaltigkeit“, Aufbau einer „territorialen Führungsposition in Forschung und Entwicklung“. </w:t>
      </w:r>
    </w:p>
    <w:p w14:paraId="3E62AE37" w14:textId="77777777" w:rsidR="0057163C" w:rsidRPr="00170422" w:rsidRDefault="00F37BF9">
      <w:pPr>
        <w:pStyle w:val="P68B1DB1-Normal66"/>
        <w:spacing w:before="120" w:after="120"/>
        <w:jc w:val="both"/>
        <w:rPr>
          <w:noProof/>
          <w:lang w:val="de-DE"/>
        </w:rPr>
      </w:pPr>
      <w:r w:rsidRPr="00170422">
        <w:rPr>
          <w:noProof/>
          <w:lang w:val="de-DE"/>
        </w:rPr>
        <w:t>Ziel dieser Maßnahme ist es, Innovationen zu fördern. Die Maßnahme besteht in der Finanzierung bestehender oder neuer Innovationsökosysteme mit Schwerpun</w:t>
      </w:r>
      <w:r w:rsidRPr="00170422">
        <w:rPr>
          <w:noProof/>
          <w:lang w:val="de-DE"/>
        </w:rPr>
        <w:t>kt auf sozialer Nachhaltigkeit.</w:t>
      </w:r>
    </w:p>
    <w:p w14:paraId="6AC2583B" w14:textId="77777777" w:rsidR="0057163C" w:rsidRPr="00170422" w:rsidRDefault="00F37BF9">
      <w:pPr>
        <w:pStyle w:val="P68B1DB1-Normal29"/>
        <w:spacing w:before="120" w:after="120"/>
        <w:jc w:val="both"/>
        <w:rPr>
          <w:bCs/>
          <w:noProof/>
          <w:lang w:val="de-DE"/>
        </w:rPr>
      </w:pPr>
      <w:r w:rsidRPr="00170422">
        <w:rPr>
          <w:noProof/>
          <w:lang w:val="de-DE"/>
        </w:rPr>
        <w:t>Investition 2.1: Wichtiges Vorhaben von gemeinsamem europäischem Interesse:</w:t>
      </w:r>
    </w:p>
    <w:p w14:paraId="3CBFD0FC" w14:textId="77777777" w:rsidR="0057163C" w:rsidRPr="00170422" w:rsidRDefault="00F37BF9">
      <w:pPr>
        <w:pStyle w:val="P68B1DB1-Normal8"/>
        <w:spacing w:before="120" w:after="120" w:line="288" w:lineRule="auto"/>
        <w:jc w:val="both"/>
        <w:rPr>
          <w:noProof/>
          <w:lang w:val="de-DE"/>
        </w:rPr>
      </w:pPr>
      <w:r w:rsidRPr="00170422">
        <w:rPr>
          <w:noProof/>
          <w:lang w:val="de-DE"/>
        </w:rPr>
        <w:t>Ziel dieser Maßnahme ist es, den in Artikel 1 Absatz 232 des Haushaltsgesetzes 2020 genannten derzeitigen IPCEI-Fonds zu ergänzen. Die Maßnahme ermö</w:t>
      </w:r>
      <w:r w:rsidRPr="00170422">
        <w:rPr>
          <w:noProof/>
          <w:lang w:val="de-DE"/>
        </w:rPr>
        <w:t>glicht es, den IPCEI-Fonds mit zusätzlichen Mitteln zu unterstützen.</w:t>
      </w:r>
    </w:p>
    <w:p w14:paraId="25C12F90" w14:textId="77777777" w:rsidR="0057163C" w:rsidRPr="00170422" w:rsidRDefault="00F37BF9">
      <w:pPr>
        <w:pStyle w:val="P68B1DB1-Normal29"/>
        <w:spacing w:before="120" w:after="120"/>
        <w:jc w:val="both"/>
        <w:rPr>
          <w:bCs/>
          <w:noProof/>
          <w:lang w:val="de-DE"/>
        </w:rPr>
      </w:pPr>
      <w:r w:rsidRPr="00170422">
        <w:rPr>
          <w:noProof/>
          <w:lang w:val="de-DE"/>
        </w:rPr>
        <w:t xml:space="preserve">Investition 2.3: Technologietransferzentren </w:t>
      </w:r>
    </w:p>
    <w:p w14:paraId="7F4A5CE2" w14:textId="25008A25" w:rsidR="0057163C" w:rsidRPr="00170422" w:rsidRDefault="00F37BF9">
      <w:pPr>
        <w:pStyle w:val="P68B1DB1-Normal8"/>
        <w:spacing w:before="120" w:after="120"/>
        <w:jc w:val="both"/>
        <w:rPr>
          <w:noProof/>
          <w:lang w:val="de-DE"/>
        </w:rPr>
      </w:pPr>
      <w:r w:rsidRPr="00170422">
        <w:rPr>
          <w:noProof/>
          <w:lang w:val="de-DE"/>
        </w:rPr>
        <w:t xml:space="preserve">Ziel dieser Maßnahme ist die Unterstützung eines Netzes von Zentren (Kompetenzzentren, Europäisches digitales Innovationszentrum, </w:t>
      </w:r>
      <w:r w:rsidRPr="00170422">
        <w:rPr>
          <w:noProof/>
          <w:lang w:val="de-DE"/>
        </w:rPr>
        <w:t>Exzellenzsiegel, nationale digitale Innovationszentren), die für die Projektentwicklung, die Bereitstellung fortgeschrittener technologischer Dienste für Unternehmen und öffentliche Verwaltungen und Technologietransferdienste zuständig sind. Die europäisch</w:t>
      </w:r>
      <w:r w:rsidRPr="00170422">
        <w:rPr>
          <w:noProof/>
          <w:lang w:val="de-DE"/>
        </w:rPr>
        <w:t>en digitalen Innovationszentren können Mittel aus anderen EU-Fonds, einschließlich des Programms „Digitales Europa“, für die Durchführung ihrer Tätigkeiten erhalten</w:t>
      </w:r>
      <w:r w:rsidRPr="00170422">
        <w:rPr>
          <w:noProof/>
          <w:color w:val="D13438"/>
          <w:u w:val="single"/>
          <w:lang w:val="de-DE"/>
        </w:rPr>
        <w:t>.</w:t>
      </w:r>
      <w:r w:rsidRPr="00170422">
        <w:rPr>
          <w:noProof/>
          <w:lang w:val="de-DE"/>
        </w:rPr>
        <w:t xml:space="preserve"> </w:t>
      </w:r>
    </w:p>
    <w:p w14:paraId="62DA456F" w14:textId="77777777" w:rsidR="0057163C" w:rsidRPr="00170422" w:rsidRDefault="00F37BF9">
      <w:pPr>
        <w:spacing w:before="120" w:after="120"/>
        <w:jc w:val="both"/>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Die Investition besteht aus zwei Interventionslinien. Im Rahmen der ersten Haushaltslinie</w:t>
      </w:r>
      <w:r w:rsidRPr="00170422">
        <w:rPr>
          <w:rFonts w:ascii="Times New Roman" w:eastAsia="Times New Roman" w:hAnsi="Times New Roman" w:cs="Times New Roman"/>
          <w:noProof/>
          <w:lang w:val="de-DE"/>
        </w:rPr>
        <w:t xml:space="preserve"> werden aus der Aufbau- und Resilienzfazilität mindestens 32 Zentren ausschließlich ohne Unterstützung aus anderen EU-Quellen finanziert. </w:t>
      </w:r>
      <w:r w:rsidRPr="00170422">
        <w:rPr>
          <w:rFonts w:ascii="Times New Roman" w:eastAsia="Times New Roman" w:hAnsi="Times New Roman" w:cs="Times New Roman"/>
          <w:noProof/>
          <w:color w:val="000000" w:themeColor="text1"/>
          <w:lang w:val="de-DE"/>
        </w:rPr>
        <w:t xml:space="preserve">Im Rahmen der zweiten Haushaltslinie wird aus der </w:t>
      </w:r>
      <w:r w:rsidRPr="00170422">
        <w:rPr>
          <w:rFonts w:ascii="Times New Roman" w:eastAsia="Times New Roman" w:hAnsi="Times New Roman" w:cs="Times New Roman"/>
          <w:noProof/>
          <w:lang w:val="de-DE"/>
        </w:rPr>
        <w:t xml:space="preserve">Aufbau- und Resilienzfazilität ein Teil von 13 </w:t>
      </w:r>
      <w:r w:rsidRPr="00170422">
        <w:rPr>
          <w:rFonts w:ascii="Times New Roman" w:eastAsia="Times New Roman" w:hAnsi="Times New Roman" w:cs="Times New Roman"/>
          <w:noProof/>
          <w:color w:val="000000" w:themeColor="text1"/>
          <w:lang w:val="de-DE"/>
        </w:rPr>
        <w:t>europäischen digitale</w:t>
      </w:r>
      <w:r w:rsidRPr="00170422">
        <w:rPr>
          <w:rFonts w:ascii="Times New Roman" w:eastAsia="Times New Roman" w:hAnsi="Times New Roman" w:cs="Times New Roman"/>
          <w:noProof/>
          <w:color w:val="000000" w:themeColor="text1"/>
          <w:lang w:val="de-DE"/>
        </w:rPr>
        <w:t xml:space="preserve">n Innovationszentren (EDIH) </w:t>
      </w:r>
      <w:r w:rsidRPr="00170422">
        <w:rPr>
          <w:rFonts w:ascii="Times New Roman" w:eastAsia="Times New Roman" w:hAnsi="Times New Roman" w:cs="Times New Roman"/>
          <w:noProof/>
          <w:lang w:val="de-DE"/>
        </w:rPr>
        <w:t xml:space="preserve"> finanziert, wobei der andere Teil der Kosten aus dem Programm „Digitales Europa“ stammt. Insbesondere wird </w:t>
      </w:r>
      <w:r w:rsidRPr="00170422">
        <w:rPr>
          <w:rFonts w:ascii="Times New Roman" w:eastAsia="Times New Roman" w:hAnsi="Times New Roman" w:cs="Times New Roman"/>
          <w:noProof/>
          <w:color w:val="000000" w:themeColor="text1"/>
          <w:lang w:val="de-DE"/>
        </w:rPr>
        <w:t xml:space="preserve">der Betrieb von 13 </w:t>
      </w:r>
      <w:r w:rsidRPr="00170422">
        <w:rPr>
          <w:rFonts w:ascii="Times New Roman" w:eastAsia="Times New Roman" w:hAnsi="Times New Roman" w:cs="Times New Roman"/>
          <w:noProof/>
          <w:lang w:val="de-DE"/>
        </w:rPr>
        <w:t>europäischen digitalen Innovationszentren, die aus der Aufbau- und Resilienzfazilität und dem Program</w:t>
      </w:r>
      <w:r w:rsidRPr="00170422">
        <w:rPr>
          <w:rFonts w:ascii="Times New Roman" w:eastAsia="Times New Roman" w:hAnsi="Times New Roman" w:cs="Times New Roman"/>
          <w:noProof/>
          <w:lang w:val="de-DE"/>
        </w:rPr>
        <w:t xml:space="preserve">m „Digitales Europa“ </w:t>
      </w:r>
      <w:r w:rsidRPr="00170422">
        <w:rPr>
          <w:rFonts w:ascii="Times New Roman" w:eastAsia="Times New Roman" w:hAnsi="Times New Roman" w:cs="Times New Roman"/>
          <w:noProof/>
          <w:color w:val="000000" w:themeColor="text1"/>
          <w:lang w:val="de-DE"/>
        </w:rPr>
        <w:t>finanziert werden, in Arbeitspakete gegliedert</w:t>
      </w:r>
      <w:r w:rsidRPr="00170422">
        <w:rPr>
          <w:rStyle w:val="FootnoteReference"/>
          <w:rFonts w:ascii="Times New Roman" w:eastAsia="Times New Roman" w:hAnsi="Times New Roman" w:cs="Times New Roman"/>
          <w:noProof/>
          <w:color w:val="000000" w:themeColor="text1"/>
          <w:lang w:val="de-DE"/>
        </w:rPr>
        <w:footnoteReference w:id="81"/>
      </w:r>
      <w:r w:rsidRPr="00170422">
        <w:rPr>
          <w:rFonts w:ascii="Times New Roman" w:eastAsia="Times New Roman" w:hAnsi="Times New Roman" w:cs="Times New Roman"/>
          <w:noProof/>
          <w:color w:val="000000" w:themeColor="text1"/>
          <w:lang w:val="de-DE"/>
        </w:rPr>
        <w:t xml:space="preserve">. Die Unterstützung aus der Aufbau- und Resilienzfazilität bezieht sich nicht auf Arbeitspakete, für die europäische digitale Innovationszentren im Rahmen des Programms „Digitales Europa“ </w:t>
      </w:r>
      <w:r w:rsidRPr="00170422">
        <w:rPr>
          <w:rFonts w:ascii="Times New Roman" w:eastAsia="Times New Roman" w:hAnsi="Times New Roman" w:cs="Times New Roman"/>
          <w:noProof/>
          <w:color w:val="000000" w:themeColor="text1"/>
          <w:lang w:val="de-DE"/>
        </w:rPr>
        <w:t>unterstützt werden. I</w:t>
      </w:r>
      <w:r w:rsidRPr="00170422">
        <w:rPr>
          <w:rFonts w:ascii="Times New Roman" w:eastAsia="Times New Roman" w:hAnsi="Times New Roman" w:cs="Times New Roman"/>
          <w:noProof/>
          <w:lang w:val="de-DE"/>
        </w:rPr>
        <w:t xml:space="preserve"> </w:t>
      </w:r>
    </w:p>
    <w:p w14:paraId="6AA68C90" w14:textId="20C06591" w:rsidR="0057163C" w:rsidRPr="00170422" w:rsidRDefault="00F37BF9">
      <w:pPr>
        <w:pStyle w:val="P68B1DB1-Normal29"/>
        <w:spacing w:before="120" w:after="120" w:line="288" w:lineRule="auto"/>
        <w:jc w:val="both"/>
        <w:rPr>
          <w:bCs/>
          <w:noProof/>
          <w:lang w:val="de-DE"/>
        </w:rPr>
      </w:pPr>
      <w:r w:rsidRPr="00170422">
        <w:rPr>
          <w:noProof/>
          <w:lang w:val="de-DE"/>
        </w:rPr>
        <w:t>Investition 3.1: Forschungs- und Innovationsinfrastrukturen</w:t>
      </w:r>
    </w:p>
    <w:p w14:paraId="126B56F8" w14:textId="10052107" w:rsidR="0057163C" w:rsidRPr="00170422" w:rsidRDefault="00F37BF9">
      <w:pPr>
        <w:pStyle w:val="P68B1DB1-Normal8"/>
        <w:spacing w:before="120" w:after="120"/>
        <w:jc w:val="both"/>
        <w:rPr>
          <w:noProof/>
          <w:lang w:val="de-DE"/>
        </w:rPr>
      </w:pPr>
      <w:r w:rsidRPr="00170422">
        <w:rPr>
          <w:noProof/>
          <w:lang w:val="de-DE"/>
        </w:rPr>
        <w:t>Ziel der Maßnahme ist es, die Schaffung von Forschungs- und Innovationsinfrastrukturen zu unterstützen, die Industrie und Hochschulen miteinander verbinden, oder die aussche</w:t>
      </w:r>
      <w:r w:rsidRPr="00170422">
        <w:rPr>
          <w:noProof/>
          <w:lang w:val="de-DE"/>
        </w:rPr>
        <w:t>idenden Infrastrukturen zu unterstützen. Die Investition besteht in der Finanzierung bestehender oder neuer Infrastrukturprojekte mit einem Forschungsmanager für jede Infrastruktur.</w:t>
      </w:r>
    </w:p>
    <w:p w14:paraId="3AF415BA" w14:textId="77777777" w:rsidR="0057163C" w:rsidRPr="00170422" w:rsidRDefault="00F37BF9">
      <w:pPr>
        <w:pStyle w:val="P68B1DB1-Normal29"/>
        <w:spacing w:before="120" w:after="120" w:line="288" w:lineRule="auto"/>
        <w:jc w:val="both"/>
        <w:rPr>
          <w:noProof/>
          <w:lang w:val="de-DE"/>
        </w:rPr>
      </w:pPr>
      <w:r w:rsidRPr="00170422">
        <w:rPr>
          <w:noProof/>
          <w:lang w:val="de-DE"/>
        </w:rPr>
        <w:t xml:space="preserve">Investition 3.2: Kapitalzuführung in den von CDP Venture Capital SGR </w:t>
      </w:r>
      <w:r w:rsidRPr="00170422">
        <w:rPr>
          <w:noProof/>
          <w:lang w:val="de-DE"/>
        </w:rPr>
        <w:t>verwalteten Fonds für den digitalen Wandel („DTF“)</w:t>
      </w:r>
    </w:p>
    <w:p w14:paraId="40F24BCC" w14:textId="7FF84FBC" w:rsidR="0057163C" w:rsidRPr="00170422" w:rsidRDefault="00F37BF9">
      <w:pPr>
        <w:spacing w:line="240" w:lineRule="auto"/>
        <w:jc w:val="both"/>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Mit dieser Maßnahme soll das Wachstumspotenzial der italienischen Wirtschaft gefördert werden, indem Anreize für private Investitionen geschaffen, der Zugang zu Finanzmitteln für Start-up-Unternehmen verbe</w:t>
      </w:r>
      <w:r w:rsidRPr="00170422">
        <w:rPr>
          <w:rFonts w:ascii="Times New Roman" w:eastAsia="Times New Roman" w:hAnsi="Times New Roman" w:cs="Times New Roman"/>
          <w:noProof/>
          <w:lang w:val="de-DE"/>
        </w:rPr>
        <w:t>ssert und der Risikokapitalmarkt in diesem Sektor ausgebaut wird. Die Maßnahme besteht in einer Kapitalzuführung in Höhe von</w:t>
      </w:r>
      <w:r w:rsidRPr="00170422">
        <w:rPr>
          <w:rFonts w:ascii="Arial Narrow" w:hAnsi="Arial Narrow"/>
          <w:noProof/>
          <w:color w:val="006100"/>
          <w:sz w:val="20"/>
          <w:szCs w:val="20"/>
          <w:lang w:val="de-DE"/>
        </w:rPr>
        <w:t xml:space="preserve">  </w:t>
      </w:r>
      <w:r w:rsidRPr="00170422">
        <w:rPr>
          <w:rFonts w:ascii="Times New Roman" w:eastAsia="Times New Roman" w:hAnsi="Times New Roman" w:cs="Times New Roman"/>
          <w:noProof/>
          <w:lang w:val="de-DE"/>
        </w:rPr>
        <w:t xml:space="preserve">400000000 EUR in den von CDP Venture Capital SGR verwalteten Fonds für den digitalen Wandel („DTF“). </w:t>
      </w:r>
    </w:p>
    <w:p w14:paraId="0DDE14E6" w14:textId="1A7BD8B8" w:rsidR="0057163C" w:rsidRPr="00170422" w:rsidRDefault="00F37BF9">
      <w:pPr>
        <w:pStyle w:val="P68B1DB1-LegalNumPar260"/>
        <w:numPr>
          <w:ilvl w:val="0"/>
          <w:numId w:val="0"/>
        </w:numPr>
        <w:spacing w:line="259" w:lineRule="auto"/>
        <w:jc w:val="both"/>
        <w:rPr>
          <w:noProof/>
          <w:lang w:val="de-DE"/>
        </w:rPr>
      </w:pPr>
      <w:r w:rsidRPr="00170422">
        <w:rPr>
          <w:noProof/>
          <w:lang w:val="de-DE"/>
        </w:rPr>
        <w:t>CDP Venture Capital SGR verf</w:t>
      </w:r>
      <w:r w:rsidRPr="00170422">
        <w:rPr>
          <w:noProof/>
          <w:lang w:val="de-DE"/>
        </w:rPr>
        <w:t>olgt eine Anlagestrategie für die Nutzung des Eigenkapitals. Die Anlagestrategie enthält eine Beschreibung des/der Finanzprodukt(s) mit der voraussichtlichen Art der förderfähigen Endempfänger, die das Eigenkapital voraussichtlich unterstützen wird, einsch</w:t>
      </w:r>
      <w:r w:rsidRPr="00170422">
        <w:rPr>
          <w:noProof/>
          <w:lang w:val="de-DE"/>
        </w:rPr>
        <w:t>ließlich des voraussichtlichen Zeitplans für die Durchführung von 15 Jahren und der Verwaltungsgebühr von höchstens 13 %.</w:t>
      </w:r>
      <w:r w:rsidRPr="00170422">
        <w:rPr>
          <w:noProof/>
          <w:vertAlign w:val="superscript"/>
          <w:lang w:val="de-DE"/>
        </w:rPr>
        <w:footnoteReference w:id="82"/>
      </w:r>
      <w:r w:rsidRPr="00170422">
        <w:rPr>
          <w:noProof/>
          <w:lang w:val="de-DE"/>
        </w:rPr>
        <w:t xml:space="preserve"> Die DTF wird durch direkte oder indirekte Unterstützung in Form von Eigenkapital, Quasi-Eigenkapital, Fremd- oder</w:t>
      </w:r>
      <w:r w:rsidRPr="00170422">
        <w:rPr>
          <w:noProof/>
          <w:lang w:val="de-DE"/>
        </w:rPr>
        <w:t xml:space="preserve"> Quasi-Schuldtiteln betrieben.</w:t>
      </w:r>
      <w:r w:rsidRPr="00170422">
        <w:rPr>
          <w:noProof/>
          <w:vertAlign w:val="superscript"/>
          <w:lang w:val="de-DE"/>
        </w:rPr>
        <w:footnoteReference w:id="83"/>
      </w:r>
      <w:r w:rsidRPr="00170422">
        <w:rPr>
          <w:noProof/>
          <w:lang w:val="de-DE"/>
        </w:rPr>
        <w:t xml:space="preserve"> CDP Venture Capital SGR wendet das in den Leitlinien „Linee Guida per le attività di rendicontazione e controllo dei Fondi DTF e GTF e GTF“ beschriebene Prüfungs- und Kontrollsystem für die Verwendung des Eigenkapitals an. D</w:t>
      </w:r>
      <w:r w:rsidRPr="00170422">
        <w:rPr>
          <w:noProof/>
          <w:lang w:val="de-DE"/>
        </w:rPr>
        <w:t>ie Investitionspolitik schreibt vor, dass Finanzprodukte, die mit dem Eigenkapital unterstützt werden, dem Grundsatz der „Vermeidung erheblicher Beeinträchtigungen“ (DNSH) gemäß den technischen Leitlinien zur Vermeidung erheblicher Beeinträchtigungen (2021</w:t>
      </w:r>
      <w:r w:rsidRPr="00170422">
        <w:rPr>
          <w:noProof/>
          <w:lang w:val="de-DE"/>
        </w:rPr>
        <w:t>/C58/01) entsprechen müssen. Insbesondere im Falle der allgemeinen Unterstützung von Start-up-Unternehmen schließt die Investitionspolitik Unternehmen mit einem wesentlichen Schwerpunkt</w:t>
      </w:r>
      <w:r w:rsidRPr="00170422">
        <w:rPr>
          <w:noProof/>
          <w:vertAlign w:val="superscript"/>
          <w:lang w:val="de-DE"/>
        </w:rPr>
        <w:footnoteReference w:id="84"/>
      </w:r>
      <w:r w:rsidRPr="00170422">
        <w:rPr>
          <w:noProof/>
          <w:lang w:val="de-DE"/>
        </w:rPr>
        <w:t xml:space="preserve"> in folgenden Sektoren aus: I) auf fossilen Brennstoffen basierende En</w:t>
      </w:r>
      <w:r w:rsidRPr="00170422">
        <w:rPr>
          <w:noProof/>
          <w:lang w:val="de-DE"/>
        </w:rPr>
        <w:t>ergieerzeugung und damit verbundene Tätigkeiten</w:t>
      </w:r>
      <w:r w:rsidRPr="00170422">
        <w:rPr>
          <w:noProof/>
          <w:vertAlign w:val="superscript"/>
          <w:lang w:val="de-DE"/>
        </w:rPr>
        <w:footnoteReference w:id="85"/>
      </w:r>
      <w:r w:rsidRPr="00170422">
        <w:rPr>
          <w:noProof/>
          <w:lang w:val="de-DE"/>
        </w:rPr>
        <w:t>; II) energieintensive und/oder CO2-Emissionen verursachende Industrien</w:t>
      </w:r>
      <w:r w:rsidRPr="00170422">
        <w:rPr>
          <w:noProof/>
          <w:vertAlign w:val="superscript"/>
          <w:lang w:val="de-DE"/>
        </w:rPr>
        <w:footnoteReference w:id="86"/>
      </w:r>
      <w:r w:rsidRPr="00170422">
        <w:rPr>
          <w:noProof/>
          <w:lang w:val="de-DE"/>
        </w:rPr>
        <w:t>; III) Herstellung, Vermietung oder Verkauf umweltschädlicher Fahrzeuge</w:t>
      </w:r>
      <w:r w:rsidRPr="00170422">
        <w:rPr>
          <w:noProof/>
          <w:vertAlign w:val="superscript"/>
          <w:lang w:val="de-DE"/>
        </w:rPr>
        <w:footnoteReference w:id="87"/>
      </w:r>
      <w:r w:rsidRPr="00170422">
        <w:rPr>
          <w:noProof/>
          <w:lang w:val="de-DE"/>
        </w:rPr>
        <w:t>; IV) Abfallsammlung, Abfallbehandlung und -entsorgung</w:t>
      </w:r>
      <w:r w:rsidRPr="00170422">
        <w:rPr>
          <w:noProof/>
          <w:vertAlign w:val="superscript"/>
          <w:lang w:val="de-DE"/>
        </w:rPr>
        <w:footnoteReference w:id="88"/>
      </w:r>
      <w:r w:rsidRPr="00170422">
        <w:rPr>
          <w:noProof/>
          <w:lang w:val="de-DE"/>
        </w:rPr>
        <w:t>, v) Aufb</w:t>
      </w:r>
      <w:r w:rsidRPr="00170422">
        <w:rPr>
          <w:noProof/>
          <w:lang w:val="de-DE"/>
        </w:rPr>
        <w:t>ereitung von Kernbrennstoffen, Erzeugung von Kernenergie. Darüber hinaus erfordert die Investitionspolitik die Einhaltung der einschlägigen Umweltvorschriften der EU und der Mitgliedstaaten.</w:t>
      </w:r>
    </w:p>
    <w:p w14:paraId="429165A3" w14:textId="4B4489C3" w:rsidR="0057163C" w:rsidRPr="00170422" w:rsidRDefault="0057163C">
      <w:pPr>
        <w:pStyle w:val="LegalNumPar2"/>
        <w:numPr>
          <w:ilvl w:val="0"/>
          <w:numId w:val="0"/>
        </w:numPr>
        <w:spacing w:line="259" w:lineRule="auto"/>
        <w:jc w:val="both"/>
        <w:rPr>
          <w:rFonts w:ascii="Times New Roman" w:hAnsi="Times New Roman" w:cs="Times New Roman"/>
          <w:noProof/>
          <w:lang w:val="de-DE"/>
        </w:rPr>
        <w:sectPr w:rsidR="0057163C" w:rsidRPr="00170422" w:rsidSect="005F11B9">
          <w:headerReference w:type="even" r:id="rId204"/>
          <w:headerReference w:type="default" r:id="rId205"/>
          <w:footerReference w:type="even" r:id="rId206"/>
          <w:footerReference w:type="default" r:id="rId207"/>
          <w:headerReference w:type="first" r:id="rId208"/>
          <w:footerReference w:type="first" r:id="rId209"/>
          <w:pgSz w:w="11907" w:h="16839"/>
          <w:pgMar w:top="1440" w:right="1440" w:bottom="1440" w:left="1440" w:header="567" w:footer="567" w:gutter="0"/>
          <w:cols w:space="720"/>
          <w:docGrid w:linePitch="360"/>
        </w:sectPr>
      </w:pPr>
    </w:p>
    <w:p w14:paraId="5EF4F01C" w14:textId="77777777" w:rsidR="0057163C" w:rsidRPr="00170422" w:rsidRDefault="00F37BF9">
      <w:pPr>
        <w:pStyle w:val="P68B1DB1-Heading368"/>
        <w:ind w:left="850" w:hanging="850"/>
        <w:rPr>
          <w:noProof/>
          <w:lang w:val="de-DE"/>
        </w:rPr>
      </w:pPr>
      <w:r w:rsidRPr="00170422">
        <w:rPr>
          <w:noProof/>
          <w:lang w:val="de-DE"/>
        </w:rPr>
        <w:t xml:space="preserve">K.4. </w:t>
      </w:r>
      <w:r w:rsidRPr="00170422">
        <w:rPr>
          <w:noProof/>
          <w:lang w:val="de-DE"/>
        </w:rPr>
        <w:tab/>
        <w:t>Etappe</w:t>
      </w:r>
      <w:r w:rsidRPr="00170422">
        <w:rPr>
          <w:noProof/>
          <w:lang w:val="de-DE"/>
        </w:rPr>
        <w:t xml:space="preserve">nziele, Zielwerte, Indikatoren und Zeitplan für die Überwachung und Durchführung (Darlehen) </w:t>
      </w:r>
    </w:p>
    <w:tbl>
      <w:tblPr>
        <w:tblW w:w="543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395"/>
        <w:gridCol w:w="1388"/>
        <w:gridCol w:w="1418"/>
        <w:gridCol w:w="1559"/>
        <w:gridCol w:w="1276"/>
        <w:gridCol w:w="1417"/>
        <w:gridCol w:w="1198"/>
        <w:gridCol w:w="1009"/>
        <w:gridCol w:w="861"/>
        <w:gridCol w:w="2452"/>
      </w:tblGrid>
      <w:tr w:rsidR="0057163C" w:rsidRPr="00170422" w14:paraId="3A961C41" w14:textId="77777777" w:rsidTr="000B7F7C">
        <w:trPr>
          <w:trHeight w:val="939"/>
          <w:tblHeader/>
        </w:trPr>
        <w:tc>
          <w:tcPr>
            <w:tcW w:w="1441" w:type="dxa"/>
            <w:vMerge w:val="restart"/>
            <w:shd w:val="clear" w:color="auto" w:fill="BDD7EE"/>
            <w:vAlign w:val="center"/>
            <w:hideMark/>
          </w:tcPr>
          <w:p w14:paraId="75AC5077" w14:textId="77777777" w:rsidR="0057163C" w:rsidRPr="00170422" w:rsidRDefault="00F37BF9">
            <w:pPr>
              <w:pStyle w:val="P68B1DB1-Normal10"/>
              <w:jc w:val="center"/>
              <w:rPr>
                <w:noProof/>
                <w:szCs w:val="20"/>
                <w:lang w:val="de-DE"/>
              </w:rPr>
            </w:pPr>
            <w:r w:rsidRPr="00170422">
              <w:rPr>
                <w:noProof/>
                <w:lang w:val="de-DE"/>
              </w:rPr>
              <w:t>Laufende Nummer</w:t>
            </w:r>
          </w:p>
        </w:tc>
        <w:tc>
          <w:tcPr>
            <w:tcW w:w="1395" w:type="dxa"/>
            <w:vMerge w:val="restart"/>
            <w:shd w:val="clear" w:color="auto" w:fill="BDD7EE"/>
            <w:vAlign w:val="center"/>
            <w:hideMark/>
          </w:tcPr>
          <w:p w14:paraId="6E97CD74"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388" w:type="dxa"/>
            <w:vMerge w:val="restart"/>
            <w:shd w:val="clear" w:color="auto" w:fill="BDD7EE"/>
            <w:vAlign w:val="center"/>
            <w:hideMark/>
          </w:tcPr>
          <w:p w14:paraId="50B1CE74" w14:textId="4495FA7E" w:rsidR="0057163C" w:rsidRPr="00170422" w:rsidRDefault="00F37BF9">
            <w:pPr>
              <w:pStyle w:val="P68B1DB1-Normal10"/>
              <w:jc w:val="center"/>
              <w:rPr>
                <w:noProof/>
                <w:szCs w:val="20"/>
                <w:lang w:val="de-DE"/>
              </w:rPr>
            </w:pPr>
            <w:r w:rsidRPr="00170422">
              <w:rPr>
                <w:noProof/>
                <w:lang w:val="de-DE"/>
              </w:rPr>
              <w:t>Etappenziel/</w:t>
            </w:r>
            <w:r w:rsidR="000B7F7C" w:rsidRPr="00170422">
              <w:rPr>
                <w:noProof/>
                <w:lang w:val="de-DE"/>
              </w:rPr>
              <w:br/>
            </w:r>
            <w:r w:rsidRPr="00170422">
              <w:rPr>
                <w:noProof/>
                <w:lang w:val="de-DE"/>
              </w:rPr>
              <w:t>Zielwert</w:t>
            </w:r>
          </w:p>
        </w:tc>
        <w:tc>
          <w:tcPr>
            <w:tcW w:w="1418" w:type="dxa"/>
            <w:vMerge w:val="restart"/>
            <w:shd w:val="clear" w:color="auto" w:fill="BDD7EE"/>
            <w:vAlign w:val="center"/>
            <w:hideMark/>
          </w:tcPr>
          <w:p w14:paraId="504A26F5" w14:textId="77777777" w:rsidR="0057163C" w:rsidRPr="00170422" w:rsidRDefault="00F37BF9">
            <w:pPr>
              <w:pStyle w:val="P68B1DB1-Normal10"/>
              <w:jc w:val="center"/>
              <w:rPr>
                <w:noProof/>
                <w:szCs w:val="20"/>
                <w:lang w:val="de-DE"/>
              </w:rPr>
            </w:pPr>
            <w:r w:rsidRPr="00170422">
              <w:rPr>
                <w:noProof/>
                <w:lang w:val="de-DE"/>
              </w:rPr>
              <w:t>Namen</w:t>
            </w:r>
          </w:p>
        </w:tc>
        <w:tc>
          <w:tcPr>
            <w:tcW w:w="1559" w:type="dxa"/>
            <w:vMerge w:val="restart"/>
            <w:shd w:val="clear" w:color="auto" w:fill="BDD7EE"/>
            <w:vAlign w:val="center"/>
            <w:hideMark/>
          </w:tcPr>
          <w:p w14:paraId="47C577A5" w14:textId="1F92D51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0B7F7C"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891" w:type="dxa"/>
            <w:gridSpan w:val="3"/>
            <w:shd w:val="clear" w:color="auto" w:fill="BDD7EE"/>
            <w:vAlign w:val="center"/>
            <w:hideMark/>
          </w:tcPr>
          <w:p w14:paraId="7D8BCB55"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w:t>
            </w:r>
            <w:r w:rsidRPr="00170422">
              <w:rPr>
                <w:rFonts w:ascii="Arial Narrow" w:hAnsi="Arial Narrow"/>
                <w:b/>
                <w:noProof/>
                <w:sz w:val="20"/>
                <w:lang w:val="de-DE"/>
              </w:rPr>
              <w:t xml:space="preserve"> Etappenziele)</w:t>
            </w:r>
            <w:r w:rsidRPr="00170422">
              <w:rPr>
                <w:noProof/>
                <w:lang w:val="de-DE"/>
              </w:rPr>
              <w:br/>
            </w:r>
            <w:r w:rsidRPr="00170422">
              <w:rPr>
                <w:rFonts w:ascii="Arial Narrow" w:hAnsi="Arial Narrow"/>
                <w:b/>
                <w:noProof/>
                <w:sz w:val="20"/>
                <w:lang w:val="de-DE"/>
              </w:rPr>
              <w:t>(für Ziele)</w:t>
            </w:r>
          </w:p>
        </w:tc>
        <w:tc>
          <w:tcPr>
            <w:tcW w:w="1870" w:type="dxa"/>
            <w:gridSpan w:val="2"/>
            <w:shd w:val="clear" w:color="auto" w:fill="BDD7EE"/>
            <w:vAlign w:val="center"/>
            <w:hideMark/>
          </w:tcPr>
          <w:p w14:paraId="77046646"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452" w:type="dxa"/>
            <w:vMerge w:val="restart"/>
            <w:shd w:val="clear" w:color="auto" w:fill="BDD7EE"/>
            <w:vAlign w:val="center"/>
            <w:hideMark/>
          </w:tcPr>
          <w:p w14:paraId="7ED488EE"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75BD3359" w14:textId="77777777" w:rsidTr="000B7F7C">
        <w:trPr>
          <w:trHeight w:val="741"/>
          <w:tblHeader/>
        </w:trPr>
        <w:tc>
          <w:tcPr>
            <w:tcW w:w="1441" w:type="dxa"/>
            <w:vMerge/>
            <w:vAlign w:val="center"/>
            <w:hideMark/>
          </w:tcPr>
          <w:p w14:paraId="2BC6C4F4" w14:textId="77777777" w:rsidR="0057163C" w:rsidRPr="00170422" w:rsidRDefault="0057163C">
            <w:pPr>
              <w:jc w:val="center"/>
              <w:rPr>
                <w:rFonts w:ascii="Arial Narrow" w:hAnsi="Arial Narrow"/>
                <w:b/>
                <w:noProof/>
                <w:sz w:val="20"/>
                <w:szCs w:val="20"/>
                <w:lang w:val="de-DE"/>
              </w:rPr>
            </w:pPr>
          </w:p>
        </w:tc>
        <w:tc>
          <w:tcPr>
            <w:tcW w:w="1395" w:type="dxa"/>
            <w:vMerge/>
            <w:vAlign w:val="center"/>
            <w:hideMark/>
          </w:tcPr>
          <w:p w14:paraId="037E883B" w14:textId="77777777" w:rsidR="0057163C" w:rsidRPr="00170422" w:rsidRDefault="0057163C">
            <w:pPr>
              <w:jc w:val="center"/>
              <w:rPr>
                <w:rFonts w:ascii="Arial Narrow" w:hAnsi="Arial Narrow"/>
                <w:b/>
                <w:noProof/>
                <w:sz w:val="20"/>
                <w:szCs w:val="20"/>
                <w:lang w:val="de-DE"/>
              </w:rPr>
            </w:pPr>
          </w:p>
        </w:tc>
        <w:tc>
          <w:tcPr>
            <w:tcW w:w="1388" w:type="dxa"/>
            <w:vMerge/>
            <w:vAlign w:val="center"/>
            <w:hideMark/>
          </w:tcPr>
          <w:p w14:paraId="283CECC4" w14:textId="77777777" w:rsidR="0057163C" w:rsidRPr="00170422" w:rsidRDefault="0057163C">
            <w:pPr>
              <w:jc w:val="center"/>
              <w:rPr>
                <w:rFonts w:ascii="Arial Narrow" w:hAnsi="Arial Narrow"/>
                <w:b/>
                <w:noProof/>
                <w:sz w:val="20"/>
                <w:szCs w:val="20"/>
                <w:lang w:val="de-DE"/>
              </w:rPr>
            </w:pPr>
          </w:p>
        </w:tc>
        <w:tc>
          <w:tcPr>
            <w:tcW w:w="1418" w:type="dxa"/>
            <w:vMerge/>
            <w:vAlign w:val="center"/>
            <w:hideMark/>
          </w:tcPr>
          <w:p w14:paraId="4453F0EC" w14:textId="77777777" w:rsidR="0057163C" w:rsidRPr="00170422" w:rsidRDefault="0057163C">
            <w:pPr>
              <w:jc w:val="center"/>
              <w:rPr>
                <w:rFonts w:ascii="Arial Narrow" w:hAnsi="Arial Narrow"/>
                <w:b/>
                <w:noProof/>
                <w:sz w:val="20"/>
                <w:szCs w:val="20"/>
                <w:lang w:val="de-DE"/>
              </w:rPr>
            </w:pPr>
          </w:p>
        </w:tc>
        <w:tc>
          <w:tcPr>
            <w:tcW w:w="1559" w:type="dxa"/>
            <w:vMerge/>
            <w:vAlign w:val="center"/>
            <w:hideMark/>
          </w:tcPr>
          <w:p w14:paraId="634E5FC7" w14:textId="77777777" w:rsidR="0057163C" w:rsidRPr="00170422" w:rsidRDefault="0057163C">
            <w:pPr>
              <w:jc w:val="center"/>
              <w:rPr>
                <w:rFonts w:ascii="Arial Narrow" w:hAnsi="Arial Narrow"/>
                <w:b/>
                <w:noProof/>
                <w:sz w:val="20"/>
                <w:szCs w:val="20"/>
                <w:lang w:val="de-DE"/>
              </w:rPr>
            </w:pPr>
          </w:p>
        </w:tc>
        <w:tc>
          <w:tcPr>
            <w:tcW w:w="1276" w:type="dxa"/>
            <w:shd w:val="clear" w:color="auto" w:fill="BDD7EE"/>
            <w:vAlign w:val="center"/>
            <w:hideMark/>
          </w:tcPr>
          <w:p w14:paraId="50BD5186" w14:textId="77777777" w:rsidR="0057163C" w:rsidRPr="00170422" w:rsidRDefault="00F37BF9">
            <w:pPr>
              <w:pStyle w:val="P68B1DB1-Normal10"/>
              <w:jc w:val="center"/>
              <w:rPr>
                <w:noProof/>
                <w:szCs w:val="20"/>
                <w:lang w:val="de-DE"/>
              </w:rPr>
            </w:pPr>
            <w:r w:rsidRPr="00170422">
              <w:rPr>
                <w:noProof/>
                <w:lang w:val="de-DE"/>
              </w:rPr>
              <w:t>Maßeinheit</w:t>
            </w:r>
          </w:p>
        </w:tc>
        <w:tc>
          <w:tcPr>
            <w:tcW w:w="1417" w:type="dxa"/>
            <w:shd w:val="clear" w:color="auto" w:fill="BDD7EE"/>
            <w:vAlign w:val="center"/>
            <w:hideMark/>
          </w:tcPr>
          <w:p w14:paraId="09ED61AB" w14:textId="77777777" w:rsidR="0057163C" w:rsidRPr="00170422" w:rsidRDefault="00F37BF9">
            <w:pPr>
              <w:pStyle w:val="P68B1DB1-Normal10"/>
              <w:jc w:val="center"/>
              <w:rPr>
                <w:noProof/>
                <w:szCs w:val="20"/>
                <w:lang w:val="de-DE"/>
              </w:rPr>
            </w:pPr>
            <w:r w:rsidRPr="00170422">
              <w:rPr>
                <w:noProof/>
                <w:lang w:val="de-DE"/>
              </w:rPr>
              <w:t>Ausgangslage</w:t>
            </w:r>
          </w:p>
        </w:tc>
        <w:tc>
          <w:tcPr>
            <w:tcW w:w="1198" w:type="dxa"/>
            <w:shd w:val="clear" w:color="auto" w:fill="BDD7EE"/>
            <w:vAlign w:val="center"/>
            <w:hideMark/>
          </w:tcPr>
          <w:p w14:paraId="72C88461" w14:textId="77777777" w:rsidR="0057163C" w:rsidRPr="00170422" w:rsidRDefault="00F37BF9">
            <w:pPr>
              <w:pStyle w:val="P68B1DB1-Normal10"/>
              <w:jc w:val="center"/>
              <w:rPr>
                <w:noProof/>
                <w:szCs w:val="20"/>
                <w:lang w:val="de-DE"/>
              </w:rPr>
            </w:pPr>
            <w:r w:rsidRPr="00170422">
              <w:rPr>
                <w:noProof/>
                <w:lang w:val="de-DE"/>
              </w:rPr>
              <w:t>Ziel</w:t>
            </w:r>
          </w:p>
        </w:tc>
        <w:tc>
          <w:tcPr>
            <w:tcW w:w="1009" w:type="dxa"/>
            <w:shd w:val="clear" w:color="auto" w:fill="BDD7EE"/>
            <w:vAlign w:val="center"/>
            <w:hideMark/>
          </w:tcPr>
          <w:p w14:paraId="118B8456" w14:textId="77777777" w:rsidR="0057163C" w:rsidRPr="00170422" w:rsidRDefault="00F37BF9">
            <w:pPr>
              <w:pStyle w:val="P68B1DB1-Normal10"/>
              <w:jc w:val="center"/>
              <w:rPr>
                <w:noProof/>
                <w:szCs w:val="20"/>
                <w:lang w:val="de-DE"/>
              </w:rPr>
            </w:pPr>
            <w:r w:rsidRPr="00170422">
              <w:rPr>
                <w:noProof/>
                <w:lang w:val="de-DE"/>
              </w:rPr>
              <w:t>Viertel</w:t>
            </w:r>
          </w:p>
        </w:tc>
        <w:tc>
          <w:tcPr>
            <w:tcW w:w="861" w:type="dxa"/>
            <w:shd w:val="clear" w:color="auto" w:fill="BDD7EE"/>
            <w:vAlign w:val="center"/>
            <w:hideMark/>
          </w:tcPr>
          <w:p w14:paraId="30609DE7" w14:textId="77777777" w:rsidR="0057163C" w:rsidRPr="00170422" w:rsidRDefault="00F37BF9">
            <w:pPr>
              <w:pStyle w:val="P68B1DB1-Normal10"/>
              <w:jc w:val="center"/>
              <w:rPr>
                <w:noProof/>
                <w:szCs w:val="20"/>
                <w:lang w:val="de-DE"/>
              </w:rPr>
            </w:pPr>
            <w:r w:rsidRPr="00170422">
              <w:rPr>
                <w:noProof/>
                <w:lang w:val="de-DE"/>
              </w:rPr>
              <w:t>Jahre</w:t>
            </w:r>
          </w:p>
        </w:tc>
        <w:tc>
          <w:tcPr>
            <w:tcW w:w="2452" w:type="dxa"/>
            <w:vMerge/>
            <w:vAlign w:val="center"/>
            <w:hideMark/>
          </w:tcPr>
          <w:p w14:paraId="05966569" w14:textId="77777777" w:rsidR="0057163C" w:rsidRPr="00170422" w:rsidRDefault="0057163C">
            <w:pPr>
              <w:rPr>
                <w:rFonts w:ascii="Arial Narrow" w:hAnsi="Arial Narrow"/>
                <w:b/>
                <w:noProof/>
                <w:sz w:val="20"/>
                <w:szCs w:val="20"/>
                <w:lang w:val="de-DE"/>
              </w:rPr>
            </w:pPr>
          </w:p>
        </w:tc>
      </w:tr>
      <w:tr w:rsidR="0057163C" w:rsidRPr="00170422" w14:paraId="162B57E2" w14:textId="77777777" w:rsidTr="000B7F7C">
        <w:trPr>
          <w:trHeight w:val="1740"/>
        </w:trPr>
        <w:tc>
          <w:tcPr>
            <w:tcW w:w="1441" w:type="dxa"/>
            <w:shd w:val="clear" w:color="auto" w:fill="C6EFCE"/>
            <w:noWrap/>
            <w:vAlign w:val="center"/>
            <w:hideMark/>
          </w:tcPr>
          <w:p w14:paraId="7667E519" w14:textId="77777777" w:rsidR="0057163C" w:rsidRPr="00170422" w:rsidRDefault="00F37BF9">
            <w:pPr>
              <w:pStyle w:val="P68B1DB1-Normal11"/>
              <w:jc w:val="center"/>
              <w:rPr>
                <w:noProof/>
                <w:szCs w:val="20"/>
                <w:lang w:val="de-DE"/>
              </w:rPr>
            </w:pPr>
            <w:r w:rsidRPr="00170422">
              <w:rPr>
                <w:noProof/>
                <w:lang w:val="de-DE"/>
              </w:rPr>
              <w:t>M4C2-5</w:t>
            </w:r>
          </w:p>
          <w:p w14:paraId="0ACCF562" w14:textId="77777777" w:rsidR="0057163C" w:rsidRPr="00170422" w:rsidRDefault="0057163C">
            <w:pPr>
              <w:jc w:val="center"/>
              <w:rPr>
                <w:rFonts w:ascii="Arial Narrow" w:hAnsi="Arial Narrow"/>
                <w:noProof/>
                <w:color w:val="006100"/>
                <w:sz w:val="20"/>
                <w:szCs w:val="20"/>
                <w:lang w:val="de-DE"/>
              </w:rPr>
            </w:pPr>
          </w:p>
        </w:tc>
        <w:tc>
          <w:tcPr>
            <w:tcW w:w="1395" w:type="dxa"/>
            <w:shd w:val="clear" w:color="auto" w:fill="C6EFCE"/>
            <w:noWrap/>
            <w:vAlign w:val="center"/>
          </w:tcPr>
          <w:p w14:paraId="73EE6978" w14:textId="77777777" w:rsidR="0057163C" w:rsidRPr="00170422" w:rsidRDefault="00F37BF9">
            <w:pPr>
              <w:pStyle w:val="P68B1DB1-Normal11"/>
              <w:jc w:val="center"/>
              <w:rPr>
                <w:noProof/>
                <w:szCs w:val="20"/>
                <w:lang w:val="de-DE"/>
              </w:rPr>
            </w:pPr>
            <w:r w:rsidRPr="00170422">
              <w:rPr>
                <w:noProof/>
                <w:lang w:val="de-DE"/>
              </w:rPr>
              <w:t xml:space="preserve">Investition 1.1: Forschungsprojekte von erheblicher nationaler </w:t>
            </w:r>
            <w:r w:rsidRPr="00170422">
              <w:rPr>
                <w:noProof/>
                <w:lang w:val="de-DE"/>
              </w:rPr>
              <w:t>Bedeutung (PRIN)</w:t>
            </w:r>
          </w:p>
        </w:tc>
        <w:tc>
          <w:tcPr>
            <w:tcW w:w="1388" w:type="dxa"/>
            <w:shd w:val="clear" w:color="auto" w:fill="C6EFCE"/>
            <w:noWrap/>
            <w:vAlign w:val="center"/>
            <w:hideMark/>
          </w:tcPr>
          <w:p w14:paraId="1C511BA1"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tcPr>
          <w:p w14:paraId="6E9DACDA" w14:textId="77777777" w:rsidR="0057163C" w:rsidRPr="00170422" w:rsidRDefault="00F37BF9">
            <w:pPr>
              <w:pStyle w:val="P68B1DB1-Normal11"/>
              <w:jc w:val="center"/>
              <w:rPr>
                <w:noProof/>
                <w:szCs w:val="20"/>
                <w:lang w:val="de-DE"/>
              </w:rPr>
            </w:pPr>
            <w:r w:rsidRPr="00170422">
              <w:rPr>
                <w:noProof/>
                <w:lang w:val="de-DE"/>
              </w:rPr>
              <w:t>Anzahl der vergebenen Forschungsprojekte</w:t>
            </w:r>
          </w:p>
        </w:tc>
        <w:tc>
          <w:tcPr>
            <w:tcW w:w="1559" w:type="dxa"/>
            <w:shd w:val="clear" w:color="auto" w:fill="C6EFCE"/>
            <w:noWrap/>
            <w:vAlign w:val="center"/>
            <w:hideMark/>
          </w:tcPr>
          <w:p w14:paraId="31FD1E55"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hideMark/>
          </w:tcPr>
          <w:p w14:paraId="56817586"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tcPr>
          <w:p w14:paraId="3F867CEE"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tcPr>
          <w:p w14:paraId="25739BD7"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3</w:t>
            </w:r>
            <w:r w:rsidRPr="00170422">
              <w:rPr>
                <w:noProof/>
                <w:sz w:val="23"/>
                <w:szCs w:val="23"/>
                <w:lang w:val="de-DE"/>
              </w:rPr>
              <w:t xml:space="preserve"> </w:t>
            </w:r>
            <w:r w:rsidRPr="00170422">
              <w:rPr>
                <w:rFonts w:ascii="Arial Narrow" w:hAnsi="Arial Narrow"/>
                <w:noProof/>
                <w:color w:val="006100"/>
                <w:sz w:val="20"/>
                <w:lang w:val="de-DE"/>
              </w:rPr>
              <w:t>150</w:t>
            </w:r>
          </w:p>
        </w:tc>
        <w:tc>
          <w:tcPr>
            <w:tcW w:w="1009" w:type="dxa"/>
            <w:shd w:val="clear" w:color="auto" w:fill="C6EFCE"/>
            <w:noWrap/>
            <w:vAlign w:val="center"/>
            <w:hideMark/>
          </w:tcPr>
          <w:p w14:paraId="5F2E57BA" w14:textId="77777777" w:rsidR="0057163C" w:rsidRPr="00170422" w:rsidRDefault="00F37BF9">
            <w:pPr>
              <w:pStyle w:val="P68B1DB1-Normal11"/>
              <w:jc w:val="center"/>
              <w:rPr>
                <w:noProof/>
                <w:szCs w:val="20"/>
                <w:lang w:val="de-DE"/>
              </w:rPr>
            </w:pPr>
            <w:r w:rsidRPr="00170422">
              <w:rPr>
                <w:noProof/>
                <w:lang w:val="de-DE"/>
              </w:rPr>
              <w:t>4. QUARTAL</w:t>
            </w:r>
          </w:p>
        </w:tc>
        <w:tc>
          <w:tcPr>
            <w:tcW w:w="861" w:type="dxa"/>
            <w:shd w:val="clear" w:color="auto" w:fill="C6EFCE"/>
            <w:noWrap/>
            <w:vAlign w:val="center"/>
            <w:hideMark/>
          </w:tcPr>
          <w:p w14:paraId="0FE8657F" w14:textId="77777777" w:rsidR="0057163C" w:rsidRPr="00170422" w:rsidRDefault="00F37BF9">
            <w:pPr>
              <w:pStyle w:val="P68B1DB1-Normal11"/>
              <w:jc w:val="center"/>
              <w:rPr>
                <w:noProof/>
                <w:szCs w:val="20"/>
                <w:lang w:val="de-DE"/>
              </w:rPr>
            </w:pPr>
            <w:r w:rsidRPr="00170422">
              <w:rPr>
                <w:noProof/>
                <w:lang w:val="de-DE"/>
              </w:rPr>
              <w:t>2023</w:t>
            </w:r>
          </w:p>
        </w:tc>
        <w:tc>
          <w:tcPr>
            <w:tcW w:w="2452" w:type="dxa"/>
            <w:shd w:val="clear" w:color="auto" w:fill="C6EFCE"/>
            <w:noWrap/>
            <w:vAlign w:val="center"/>
            <w:hideMark/>
          </w:tcPr>
          <w:p w14:paraId="618A7454"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Vergabe von mindestens 3150</w:t>
            </w:r>
            <w:r w:rsidRPr="00170422">
              <w:rPr>
                <w:noProof/>
                <w:sz w:val="23"/>
                <w:szCs w:val="23"/>
                <w:lang w:val="de-DE"/>
              </w:rPr>
              <w:t xml:space="preserve"> </w:t>
            </w:r>
            <w:r w:rsidRPr="00170422">
              <w:rPr>
                <w:rFonts w:ascii="Arial Narrow" w:hAnsi="Arial Narrow"/>
                <w:noProof/>
                <w:color w:val="006100"/>
                <w:sz w:val="20"/>
                <w:lang w:val="de-DE"/>
              </w:rPr>
              <w:t xml:space="preserve">Forschungsprojekten von </w:t>
            </w:r>
            <w:r w:rsidRPr="00170422">
              <w:rPr>
                <w:rFonts w:ascii="Arial Narrow" w:hAnsi="Arial Narrow"/>
                <w:i/>
                <w:noProof/>
                <w:color w:val="006100"/>
                <w:sz w:val="20"/>
                <w:lang w:val="de-DE"/>
              </w:rPr>
              <w:t>Progetti di Ricerca di Interesse Nazionale</w:t>
            </w:r>
            <w:r w:rsidRPr="00170422">
              <w:rPr>
                <w:rFonts w:ascii="Arial Narrow" w:hAnsi="Arial Narrow"/>
                <w:noProof/>
                <w:color w:val="006100"/>
                <w:sz w:val="20"/>
                <w:lang w:val="de-DE"/>
              </w:rPr>
              <w:t xml:space="preserve">. </w:t>
            </w:r>
          </w:p>
          <w:p w14:paraId="179DA764" w14:textId="77777777" w:rsidR="0057163C" w:rsidRPr="00170422" w:rsidRDefault="00F37BF9">
            <w:pPr>
              <w:pStyle w:val="P68B1DB1-Normal12"/>
              <w:rPr>
                <w:noProof/>
                <w:lang w:val="de-DE"/>
              </w:rPr>
            </w:pPr>
            <w:r w:rsidRPr="00170422">
              <w:rPr>
                <w:noProof/>
                <w:lang w:val="de-DE"/>
              </w:rPr>
              <w:t>Die Vergabe der Aufträge an die im Rahmen der wettbewer</w:t>
            </w:r>
            <w:r w:rsidRPr="00170422">
              <w:rPr>
                <w:noProof/>
                <w:lang w:val="de-DE"/>
              </w:rPr>
              <w:t>blichen Aufforderungen zur Einreichung von Vorschlägen ausgewählten Projekte erfolgt im Einklang mit den technischen Leitlinien „Vermeidung erheblicher Beeinträchtigungen“ (2021/C58/01) unter Verwendung einer Ausschlussliste und der Anforderung, dass die e</w:t>
            </w:r>
            <w:r w:rsidRPr="00170422">
              <w:rPr>
                <w:noProof/>
                <w:lang w:val="de-DE"/>
              </w:rPr>
              <w:t>inschlägigen Umweltvorschriften der EU und der Mitgliedstaaten eingehalten werden.</w:t>
            </w:r>
          </w:p>
        </w:tc>
      </w:tr>
      <w:tr w:rsidR="0057163C" w:rsidRPr="00170422" w14:paraId="68B079C8" w14:textId="77777777" w:rsidTr="000B7F7C">
        <w:trPr>
          <w:trHeight w:val="313"/>
        </w:trPr>
        <w:tc>
          <w:tcPr>
            <w:tcW w:w="1441" w:type="dxa"/>
            <w:shd w:val="clear" w:color="auto" w:fill="C6EFCE"/>
            <w:noWrap/>
            <w:vAlign w:val="center"/>
            <w:hideMark/>
          </w:tcPr>
          <w:p w14:paraId="17D7478E" w14:textId="77777777" w:rsidR="0057163C" w:rsidRPr="00170422" w:rsidRDefault="00F37BF9">
            <w:pPr>
              <w:pStyle w:val="P68B1DB1-Normal12"/>
              <w:jc w:val="center"/>
              <w:rPr>
                <w:noProof/>
                <w:lang w:val="de-DE"/>
              </w:rPr>
            </w:pPr>
            <w:r w:rsidRPr="00170422">
              <w:rPr>
                <w:noProof/>
                <w:lang w:val="de-DE"/>
              </w:rPr>
              <w:t>M4C2-6</w:t>
            </w:r>
          </w:p>
        </w:tc>
        <w:tc>
          <w:tcPr>
            <w:tcW w:w="1395" w:type="dxa"/>
            <w:shd w:val="clear" w:color="auto" w:fill="C6EFCE"/>
            <w:noWrap/>
            <w:vAlign w:val="center"/>
          </w:tcPr>
          <w:p w14:paraId="38E0CCE2" w14:textId="77777777" w:rsidR="0057163C" w:rsidRPr="00170422" w:rsidRDefault="00F37BF9">
            <w:pPr>
              <w:pStyle w:val="P68B1DB1-Normal11"/>
              <w:jc w:val="center"/>
              <w:rPr>
                <w:noProof/>
                <w:szCs w:val="20"/>
                <w:lang w:val="de-DE"/>
              </w:rPr>
            </w:pPr>
            <w:r w:rsidRPr="00170422">
              <w:rPr>
                <w:noProof/>
                <w:lang w:val="de-DE"/>
              </w:rPr>
              <w:t>Investition 1.1: Forschungsprojekte von erheblicher nationaler Bedeutung (PRIN)</w:t>
            </w:r>
          </w:p>
        </w:tc>
        <w:tc>
          <w:tcPr>
            <w:tcW w:w="1388" w:type="dxa"/>
            <w:shd w:val="clear" w:color="auto" w:fill="C6EFCE"/>
            <w:noWrap/>
            <w:vAlign w:val="center"/>
            <w:hideMark/>
          </w:tcPr>
          <w:p w14:paraId="2320B9B8" w14:textId="1C35D0AE" w:rsidR="0057163C" w:rsidRPr="00170422" w:rsidRDefault="00F37BF9">
            <w:pPr>
              <w:pStyle w:val="P68B1DB1-Normal12"/>
              <w:jc w:val="center"/>
              <w:rPr>
                <w:noProof/>
                <w:lang w:val="de-DE"/>
              </w:rPr>
            </w:pPr>
            <w:r w:rsidRPr="00170422">
              <w:rPr>
                <w:noProof/>
                <w:lang w:val="de-DE"/>
              </w:rPr>
              <w:t>Meilenstein</w:t>
            </w:r>
          </w:p>
        </w:tc>
        <w:tc>
          <w:tcPr>
            <w:tcW w:w="1418" w:type="dxa"/>
            <w:shd w:val="clear" w:color="auto" w:fill="C6EFCE"/>
            <w:noWrap/>
            <w:vAlign w:val="center"/>
          </w:tcPr>
          <w:p w14:paraId="3981837D" w14:textId="77777777" w:rsidR="0057163C" w:rsidRPr="00170422" w:rsidRDefault="00F37BF9">
            <w:pPr>
              <w:pStyle w:val="P68B1DB1-Normal12"/>
              <w:jc w:val="center"/>
              <w:rPr>
                <w:noProof/>
                <w:lang w:val="de-DE"/>
              </w:rPr>
            </w:pPr>
            <w:r w:rsidRPr="00170422">
              <w:rPr>
                <w:noProof/>
                <w:lang w:val="de-DE"/>
              </w:rPr>
              <w:t xml:space="preserve">Veröffentlichung der Vergabeverordnung(en) </w:t>
            </w:r>
          </w:p>
        </w:tc>
        <w:tc>
          <w:tcPr>
            <w:tcW w:w="1559" w:type="dxa"/>
            <w:shd w:val="clear" w:color="auto" w:fill="C6EFCE"/>
            <w:noWrap/>
            <w:vAlign w:val="center"/>
            <w:hideMark/>
          </w:tcPr>
          <w:p w14:paraId="389E1C5D" w14:textId="579361C6" w:rsidR="0057163C" w:rsidRPr="00170422" w:rsidRDefault="00F37BF9">
            <w:pPr>
              <w:pStyle w:val="P68B1DB1-Normal12"/>
              <w:jc w:val="center"/>
              <w:rPr>
                <w:noProof/>
                <w:lang w:val="de-DE"/>
              </w:rPr>
            </w:pPr>
            <w:r w:rsidRPr="00170422">
              <w:rPr>
                <w:noProof/>
                <w:lang w:val="de-DE"/>
              </w:rPr>
              <w:t xml:space="preserve">Veröffentlichung der </w:t>
            </w:r>
            <w:r w:rsidRPr="00170422">
              <w:rPr>
                <w:noProof/>
                <w:lang w:val="de-DE"/>
              </w:rPr>
              <w:t>Verordnung(en)</w:t>
            </w:r>
          </w:p>
        </w:tc>
        <w:tc>
          <w:tcPr>
            <w:tcW w:w="1276" w:type="dxa"/>
            <w:shd w:val="clear" w:color="auto" w:fill="C6EFCE"/>
            <w:noWrap/>
            <w:vAlign w:val="center"/>
            <w:hideMark/>
          </w:tcPr>
          <w:p w14:paraId="24B30057" w14:textId="77777777" w:rsidR="0057163C" w:rsidRPr="00170422" w:rsidRDefault="00F37BF9">
            <w:pPr>
              <w:pStyle w:val="P68B1DB1-Normal12"/>
              <w:jc w:val="center"/>
              <w:rPr>
                <w:noProof/>
                <w:lang w:val="de-DE"/>
              </w:rPr>
            </w:pPr>
            <w:r w:rsidRPr="00170422">
              <w:rPr>
                <w:noProof/>
                <w:lang w:val="de-DE"/>
              </w:rPr>
              <w:t>ENTFÄLLT.</w:t>
            </w:r>
          </w:p>
        </w:tc>
        <w:tc>
          <w:tcPr>
            <w:tcW w:w="1417" w:type="dxa"/>
            <w:shd w:val="clear" w:color="auto" w:fill="C6EFCE"/>
            <w:noWrap/>
            <w:vAlign w:val="center"/>
          </w:tcPr>
          <w:p w14:paraId="0220DA4F" w14:textId="77777777" w:rsidR="0057163C" w:rsidRPr="00170422" w:rsidRDefault="00F37BF9">
            <w:pPr>
              <w:pStyle w:val="P68B1DB1-Normal12"/>
              <w:jc w:val="center"/>
              <w:rPr>
                <w:noProof/>
                <w:lang w:val="de-DE"/>
              </w:rPr>
            </w:pPr>
            <w:r w:rsidRPr="00170422">
              <w:rPr>
                <w:noProof/>
                <w:lang w:val="de-DE"/>
              </w:rPr>
              <w:t>ENTFÄLLT.</w:t>
            </w:r>
          </w:p>
        </w:tc>
        <w:tc>
          <w:tcPr>
            <w:tcW w:w="1198" w:type="dxa"/>
            <w:shd w:val="clear" w:color="auto" w:fill="C6EFCE"/>
            <w:noWrap/>
            <w:vAlign w:val="center"/>
          </w:tcPr>
          <w:p w14:paraId="4163ADDD" w14:textId="77777777" w:rsidR="0057163C" w:rsidRPr="00170422" w:rsidRDefault="00F37BF9">
            <w:pPr>
              <w:pStyle w:val="P68B1DB1-Normal12"/>
              <w:jc w:val="center"/>
              <w:rPr>
                <w:noProof/>
                <w:lang w:val="de-DE"/>
              </w:rPr>
            </w:pPr>
            <w:r w:rsidRPr="00170422">
              <w:rPr>
                <w:noProof/>
                <w:lang w:val="de-DE"/>
              </w:rPr>
              <w:t>ENTFÄLLT.</w:t>
            </w:r>
          </w:p>
        </w:tc>
        <w:tc>
          <w:tcPr>
            <w:tcW w:w="1009" w:type="dxa"/>
            <w:shd w:val="clear" w:color="auto" w:fill="C6EFCE"/>
            <w:noWrap/>
            <w:vAlign w:val="center"/>
            <w:hideMark/>
          </w:tcPr>
          <w:p w14:paraId="2811D4BA"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4F1A9B17" w14:textId="77777777" w:rsidR="0057163C" w:rsidRPr="00170422" w:rsidRDefault="00F37BF9">
            <w:pPr>
              <w:pStyle w:val="P68B1DB1-Normal11"/>
              <w:jc w:val="center"/>
              <w:rPr>
                <w:noProof/>
                <w:szCs w:val="20"/>
                <w:lang w:val="de-DE"/>
              </w:rPr>
            </w:pPr>
            <w:r w:rsidRPr="00170422">
              <w:rPr>
                <w:noProof/>
                <w:lang w:val="de-DE"/>
              </w:rPr>
              <w:t>2025</w:t>
            </w:r>
          </w:p>
        </w:tc>
        <w:tc>
          <w:tcPr>
            <w:tcW w:w="2452" w:type="dxa"/>
            <w:shd w:val="clear" w:color="auto" w:fill="C6EFCE"/>
            <w:noWrap/>
            <w:vAlign w:val="center"/>
            <w:hideMark/>
          </w:tcPr>
          <w:p w14:paraId="4ABCB20C"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Veröffentlichung des Dekrets/der Dekrete zur Vergabe von mindestens 5350</w:t>
            </w:r>
            <w:r w:rsidRPr="00170422">
              <w:rPr>
                <w:noProof/>
                <w:sz w:val="23"/>
                <w:szCs w:val="23"/>
                <w:lang w:val="de-DE"/>
              </w:rPr>
              <w:t xml:space="preserve"> </w:t>
            </w:r>
            <w:r w:rsidRPr="00170422">
              <w:rPr>
                <w:rFonts w:ascii="Arial Narrow" w:hAnsi="Arial Narrow"/>
                <w:noProof/>
                <w:color w:val="006100"/>
                <w:sz w:val="20"/>
                <w:szCs w:val="20"/>
                <w:lang w:val="de-DE"/>
              </w:rPr>
              <w:t>Forschungsprojekten von nationalem Interesse (Progetti di Ricerca di Interesse Nazionale).</w:t>
            </w:r>
          </w:p>
          <w:p w14:paraId="44075764" w14:textId="77777777" w:rsidR="0057163C" w:rsidRPr="00170422" w:rsidRDefault="00F37BF9">
            <w:pPr>
              <w:pStyle w:val="P68B1DB1-Normal12"/>
              <w:rPr>
                <w:noProof/>
                <w:lang w:val="de-DE"/>
              </w:rPr>
            </w:pPr>
            <w:r w:rsidRPr="00170422">
              <w:rPr>
                <w:noProof/>
                <w:lang w:val="de-DE"/>
              </w:rPr>
              <w:t>In den Aufforderungen zur Einreichung v</w:t>
            </w:r>
            <w:r w:rsidRPr="00170422">
              <w:rPr>
                <w:noProof/>
                <w:lang w:val="de-DE"/>
              </w:rPr>
              <w:t>on Vorschlägen wird festgelegt, dass die Laufzeit des Projekts mindestens zwei Jahre beträgt und die Zusammenarbeit zwischen universitären Forschungseinheiten und Forschungseinrichtungen erforderlich ist.</w:t>
            </w:r>
          </w:p>
        </w:tc>
      </w:tr>
      <w:tr w:rsidR="0057163C" w:rsidRPr="00170422" w14:paraId="717DE753" w14:textId="77777777" w:rsidTr="000B7F7C">
        <w:trPr>
          <w:trHeight w:val="313"/>
        </w:trPr>
        <w:tc>
          <w:tcPr>
            <w:tcW w:w="1441" w:type="dxa"/>
            <w:shd w:val="clear" w:color="auto" w:fill="C6EFCE"/>
            <w:noWrap/>
            <w:vAlign w:val="center"/>
            <w:hideMark/>
          </w:tcPr>
          <w:p w14:paraId="553CE16B" w14:textId="77777777" w:rsidR="0057163C" w:rsidRPr="00170422" w:rsidRDefault="00F37BF9">
            <w:pPr>
              <w:pStyle w:val="P68B1DB1-Normal12"/>
              <w:jc w:val="center"/>
              <w:rPr>
                <w:noProof/>
                <w:lang w:val="de-DE"/>
              </w:rPr>
            </w:pPr>
            <w:r w:rsidRPr="00170422">
              <w:rPr>
                <w:noProof/>
                <w:lang w:val="de-DE"/>
              </w:rPr>
              <w:t>M4C2-7</w:t>
            </w:r>
          </w:p>
        </w:tc>
        <w:tc>
          <w:tcPr>
            <w:tcW w:w="1395" w:type="dxa"/>
            <w:shd w:val="clear" w:color="auto" w:fill="C6EFCE"/>
            <w:noWrap/>
            <w:vAlign w:val="center"/>
            <w:hideMark/>
          </w:tcPr>
          <w:p w14:paraId="1BA0B810" w14:textId="77777777" w:rsidR="0057163C" w:rsidRPr="00170422" w:rsidRDefault="00F37BF9">
            <w:pPr>
              <w:pStyle w:val="P68B1DB1-Normal12"/>
              <w:jc w:val="center"/>
              <w:rPr>
                <w:noProof/>
                <w:lang w:val="de-DE"/>
              </w:rPr>
            </w:pPr>
            <w:r w:rsidRPr="00170422">
              <w:rPr>
                <w:noProof/>
                <w:lang w:val="de-DE"/>
              </w:rPr>
              <w:t xml:space="preserve">Investition 1.1: Forschungsprojekte von </w:t>
            </w:r>
            <w:r w:rsidRPr="00170422">
              <w:rPr>
                <w:noProof/>
                <w:lang w:val="de-DE"/>
              </w:rPr>
              <w:t>erheblicher nationaler Bedeutung (PRIN)</w:t>
            </w:r>
          </w:p>
        </w:tc>
        <w:tc>
          <w:tcPr>
            <w:tcW w:w="1388" w:type="dxa"/>
            <w:shd w:val="clear" w:color="auto" w:fill="C6EFCE"/>
            <w:noWrap/>
            <w:vAlign w:val="center"/>
            <w:hideMark/>
          </w:tcPr>
          <w:p w14:paraId="7FC210C1" w14:textId="77777777" w:rsidR="0057163C" w:rsidRPr="00170422" w:rsidRDefault="00F37BF9">
            <w:pPr>
              <w:pStyle w:val="P68B1DB1-Normal12"/>
              <w:jc w:val="center"/>
              <w:rPr>
                <w:noProof/>
                <w:lang w:val="de-DE"/>
              </w:rPr>
            </w:pPr>
            <w:r w:rsidRPr="00170422">
              <w:rPr>
                <w:noProof/>
                <w:lang w:val="de-DE"/>
              </w:rPr>
              <w:t>Ziel</w:t>
            </w:r>
          </w:p>
        </w:tc>
        <w:tc>
          <w:tcPr>
            <w:tcW w:w="1418" w:type="dxa"/>
            <w:shd w:val="clear" w:color="auto" w:fill="C6EFCE"/>
            <w:noWrap/>
            <w:vAlign w:val="center"/>
            <w:hideMark/>
          </w:tcPr>
          <w:p w14:paraId="5309BF3D" w14:textId="4C1ADC78" w:rsidR="0057163C" w:rsidRPr="00170422" w:rsidRDefault="00F37BF9">
            <w:pPr>
              <w:pStyle w:val="P68B1DB1-Normal12"/>
              <w:jc w:val="center"/>
              <w:rPr>
                <w:noProof/>
                <w:lang w:val="de-DE"/>
              </w:rPr>
            </w:pPr>
            <w:r w:rsidRPr="00170422">
              <w:rPr>
                <w:noProof/>
                <w:lang w:val="de-DE"/>
              </w:rPr>
              <w:t>Zahl der befristet eingestellten Forscher</w:t>
            </w:r>
          </w:p>
        </w:tc>
        <w:tc>
          <w:tcPr>
            <w:tcW w:w="1559" w:type="dxa"/>
            <w:shd w:val="clear" w:color="auto" w:fill="C6EFCE"/>
            <w:noWrap/>
            <w:vAlign w:val="center"/>
            <w:hideMark/>
          </w:tcPr>
          <w:p w14:paraId="37FA5C34" w14:textId="77777777" w:rsidR="0057163C" w:rsidRPr="00170422" w:rsidRDefault="00F37BF9">
            <w:pPr>
              <w:pStyle w:val="P68B1DB1-Normal12"/>
              <w:jc w:val="center"/>
              <w:rPr>
                <w:noProof/>
                <w:lang w:val="de-DE"/>
              </w:rPr>
            </w:pPr>
            <w:r w:rsidRPr="00170422">
              <w:rPr>
                <w:noProof/>
                <w:lang w:val="de-DE"/>
              </w:rPr>
              <w:t>ENTFÄLLT.</w:t>
            </w:r>
          </w:p>
        </w:tc>
        <w:tc>
          <w:tcPr>
            <w:tcW w:w="1276" w:type="dxa"/>
            <w:shd w:val="clear" w:color="auto" w:fill="C6EFCE"/>
            <w:noWrap/>
            <w:vAlign w:val="center"/>
            <w:hideMark/>
          </w:tcPr>
          <w:p w14:paraId="1AB016F4" w14:textId="77777777" w:rsidR="0057163C" w:rsidRPr="00170422" w:rsidRDefault="00F37BF9">
            <w:pPr>
              <w:pStyle w:val="P68B1DB1-Normal12"/>
              <w:jc w:val="center"/>
              <w:rPr>
                <w:noProof/>
                <w:lang w:val="de-DE"/>
              </w:rPr>
            </w:pPr>
            <w:r w:rsidRPr="00170422">
              <w:rPr>
                <w:noProof/>
                <w:lang w:val="de-DE"/>
              </w:rPr>
              <w:t>Anzahl</w:t>
            </w:r>
          </w:p>
        </w:tc>
        <w:tc>
          <w:tcPr>
            <w:tcW w:w="1417" w:type="dxa"/>
            <w:shd w:val="clear" w:color="auto" w:fill="C6EFCE"/>
            <w:noWrap/>
            <w:vAlign w:val="center"/>
            <w:hideMark/>
          </w:tcPr>
          <w:p w14:paraId="706D3CDE" w14:textId="77777777" w:rsidR="0057163C" w:rsidRPr="00170422" w:rsidRDefault="00F37BF9">
            <w:pPr>
              <w:pStyle w:val="P68B1DB1-Normal12"/>
              <w:jc w:val="center"/>
              <w:rPr>
                <w:noProof/>
                <w:lang w:val="de-DE"/>
              </w:rPr>
            </w:pPr>
            <w:r w:rsidRPr="00170422">
              <w:rPr>
                <w:noProof/>
                <w:lang w:val="de-DE"/>
              </w:rPr>
              <w:t>0</w:t>
            </w:r>
          </w:p>
        </w:tc>
        <w:tc>
          <w:tcPr>
            <w:tcW w:w="1198" w:type="dxa"/>
            <w:shd w:val="clear" w:color="auto" w:fill="C6EFCE"/>
            <w:noWrap/>
            <w:vAlign w:val="center"/>
            <w:hideMark/>
          </w:tcPr>
          <w:p w14:paraId="29C513A0" w14:textId="77777777" w:rsidR="0057163C" w:rsidRPr="00170422" w:rsidRDefault="00F37BF9">
            <w:pPr>
              <w:pStyle w:val="P68B1DB1-Normal12"/>
              <w:jc w:val="center"/>
              <w:rPr>
                <w:noProof/>
                <w:lang w:val="de-DE"/>
              </w:rPr>
            </w:pPr>
            <w:r w:rsidRPr="00170422">
              <w:rPr>
                <w:noProof/>
                <w:lang w:val="de-DE"/>
              </w:rPr>
              <w:t>900</w:t>
            </w:r>
          </w:p>
        </w:tc>
        <w:tc>
          <w:tcPr>
            <w:tcW w:w="1009" w:type="dxa"/>
            <w:shd w:val="clear" w:color="auto" w:fill="C6EFCE"/>
            <w:noWrap/>
            <w:vAlign w:val="center"/>
            <w:hideMark/>
          </w:tcPr>
          <w:p w14:paraId="088EA816" w14:textId="77777777" w:rsidR="0057163C" w:rsidRPr="00170422" w:rsidRDefault="00F37BF9">
            <w:pPr>
              <w:pStyle w:val="P68B1DB1-Normal12"/>
              <w:jc w:val="center"/>
              <w:rPr>
                <w:noProof/>
                <w:lang w:val="de-DE"/>
              </w:rPr>
            </w:pPr>
            <w:r w:rsidRPr="00170422">
              <w:rPr>
                <w:noProof/>
                <w:lang w:val="de-DE"/>
              </w:rPr>
              <w:t>Q2</w:t>
            </w:r>
          </w:p>
        </w:tc>
        <w:tc>
          <w:tcPr>
            <w:tcW w:w="861" w:type="dxa"/>
            <w:shd w:val="clear" w:color="auto" w:fill="C6EFCE"/>
            <w:noWrap/>
            <w:vAlign w:val="center"/>
            <w:hideMark/>
          </w:tcPr>
          <w:p w14:paraId="63D307FE" w14:textId="77777777" w:rsidR="0057163C" w:rsidRPr="00170422" w:rsidRDefault="00F37BF9">
            <w:pPr>
              <w:pStyle w:val="P68B1DB1-Normal12"/>
              <w:jc w:val="center"/>
              <w:rPr>
                <w:noProof/>
                <w:lang w:val="de-DE"/>
              </w:rPr>
            </w:pPr>
            <w:r w:rsidRPr="00170422">
              <w:rPr>
                <w:noProof/>
                <w:lang w:val="de-DE"/>
              </w:rPr>
              <w:t>2025</w:t>
            </w:r>
          </w:p>
        </w:tc>
        <w:tc>
          <w:tcPr>
            <w:tcW w:w="2452" w:type="dxa"/>
            <w:shd w:val="clear" w:color="auto" w:fill="C6EFCE"/>
            <w:noWrap/>
            <w:vAlign w:val="center"/>
            <w:hideMark/>
          </w:tcPr>
          <w:p w14:paraId="31E6775D" w14:textId="77777777" w:rsidR="0057163C" w:rsidRPr="00170422" w:rsidRDefault="00F37BF9">
            <w:pPr>
              <w:pStyle w:val="P68B1DB1-Normal12"/>
              <w:spacing w:after="120"/>
              <w:rPr>
                <w:noProof/>
                <w:lang w:val="de-DE"/>
              </w:rPr>
            </w:pPr>
            <w:r w:rsidRPr="00170422">
              <w:rPr>
                <w:noProof/>
                <w:lang w:val="de-DE"/>
              </w:rPr>
              <w:t>Es werden mindestens 900 befristet beschäftigte Forscher eingestellt. Die Tätigkeiten der eingestellten Forscher betreffen Themen, die mit</w:t>
            </w:r>
            <w:r w:rsidRPr="00170422">
              <w:rPr>
                <w:noProof/>
                <w:lang w:val="de-DE"/>
              </w:rPr>
              <w:t xml:space="preserve"> den sechs Clustern des Europäischen Rahmenprogramms für Forschung und Innovation 2021-2027 im Einklang stehen.</w:t>
            </w:r>
          </w:p>
        </w:tc>
      </w:tr>
      <w:tr w:rsidR="0057163C" w:rsidRPr="00170422" w14:paraId="0F0564D8" w14:textId="77777777" w:rsidTr="000B7F7C">
        <w:trPr>
          <w:trHeight w:val="1278"/>
        </w:trPr>
        <w:tc>
          <w:tcPr>
            <w:tcW w:w="1441" w:type="dxa"/>
            <w:shd w:val="clear" w:color="auto" w:fill="C6EFCE"/>
            <w:noWrap/>
            <w:vAlign w:val="center"/>
            <w:hideMark/>
          </w:tcPr>
          <w:p w14:paraId="0620525E" w14:textId="77777777" w:rsidR="0057163C" w:rsidRPr="00170422" w:rsidRDefault="00F37BF9">
            <w:pPr>
              <w:pStyle w:val="P68B1DB1-Normal12"/>
              <w:jc w:val="center"/>
              <w:rPr>
                <w:noProof/>
                <w:lang w:val="de-DE"/>
              </w:rPr>
            </w:pPr>
            <w:r w:rsidRPr="00170422">
              <w:rPr>
                <w:noProof/>
                <w:lang w:val="de-DE"/>
              </w:rPr>
              <w:t>M4C2-8</w:t>
            </w:r>
          </w:p>
        </w:tc>
        <w:tc>
          <w:tcPr>
            <w:tcW w:w="1395" w:type="dxa"/>
            <w:shd w:val="clear" w:color="auto" w:fill="C6EFCE"/>
            <w:noWrap/>
            <w:vAlign w:val="center"/>
            <w:hideMark/>
          </w:tcPr>
          <w:p w14:paraId="21049354" w14:textId="77777777" w:rsidR="0057163C" w:rsidRPr="00170422" w:rsidRDefault="00F37BF9">
            <w:pPr>
              <w:pStyle w:val="P68B1DB1-Normal11"/>
              <w:jc w:val="center"/>
              <w:rPr>
                <w:noProof/>
                <w:szCs w:val="20"/>
                <w:lang w:val="de-DE"/>
              </w:rPr>
            </w:pPr>
            <w:r w:rsidRPr="00170422">
              <w:rPr>
                <w:noProof/>
                <w:lang w:val="de-DE"/>
              </w:rPr>
              <w:t xml:space="preserve">Investition 1.3: Ausweitung der Partnerschaften auf Hochschulen, Forschungszentren, Unternehmen und Finanzierung von Projekten der </w:t>
            </w:r>
            <w:r w:rsidRPr="00170422">
              <w:rPr>
                <w:noProof/>
                <w:lang w:val="de-DE"/>
              </w:rPr>
              <w:t>Grundlagenforschung</w:t>
            </w:r>
          </w:p>
        </w:tc>
        <w:tc>
          <w:tcPr>
            <w:tcW w:w="1388" w:type="dxa"/>
            <w:shd w:val="clear" w:color="auto" w:fill="C6EFCE"/>
            <w:noWrap/>
            <w:vAlign w:val="center"/>
            <w:hideMark/>
          </w:tcPr>
          <w:p w14:paraId="4794B350"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hideMark/>
          </w:tcPr>
          <w:p w14:paraId="2EAFEDF0" w14:textId="77777777" w:rsidR="0057163C" w:rsidRPr="00170422" w:rsidRDefault="00F37BF9">
            <w:pPr>
              <w:pStyle w:val="P68B1DB1-Normal12"/>
              <w:jc w:val="center"/>
              <w:rPr>
                <w:noProof/>
                <w:lang w:val="de-DE"/>
              </w:rPr>
            </w:pPr>
            <w:r w:rsidRPr="00170422">
              <w:rPr>
                <w:noProof/>
                <w:lang w:val="de-DE"/>
              </w:rPr>
              <w:t xml:space="preserve">Anzahl der unterzeichneten Forschungspartnerschaften </w:t>
            </w:r>
          </w:p>
        </w:tc>
        <w:tc>
          <w:tcPr>
            <w:tcW w:w="1559" w:type="dxa"/>
            <w:shd w:val="clear" w:color="auto" w:fill="C6EFCE"/>
            <w:noWrap/>
            <w:vAlign w:val="center"/>
            <w:hideMark/>
          </w:tcPr>
          <w:p w14:paraId="2E47DCEA"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hideMark/>
          </w:tcPr>
          <w:p w14:paraId="15F2D6DA"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hideMark/>
          </w:tcPr>
          <w:p w14:paraId="20291482"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hideMark/>
          </w:tcPr>
          <w:p w14:paraId="63047240"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szCs w:val="20"/>
                <w:lang w:val="de-DE"/>
              </w:rPr>
              <w:t>1</w:t>
            </w:r>
            <w:r w:rsidRPr="00170422">
              <w:rPr>
                <w:noProof/>
                <w:sz w:val="23"/>
                <w:szCs w:val="23"/>
                <w:lang w:val="de-DE"/>
              </w:rPr>
              <w:t xml:space="preserve"> </w:t>
            </w:r>
            <w:r w:rsidRPr="00170422">
              <w:rPr>
                <w:rFonts w:ascii="Arial Narrow" w:hAnsi="Arial Narrow"/>
                <w:noProof/>
                <w:color w:val="006100"/>
                <w:sz w:val="20"/>
                <w:szCs w:val="20"/>
                <w:lang w:val="de-DE"/>
              </w:rPr>
              <w:t>4</w:t>
            </w:r>
          </w:p>
        </w:tc>
        <w:tc>
          <w:tcPr>
            <w:tcW w:w="1009" w:type="dxa"/>
            <w:shd w:val="clear" w:color="auto" w:fill="C6EFCE"/>
            <w:noWrap/>
            <w:vAlign w:val="center"/>
            <w:hideMark/>
          </w:tcPr>
          <w:p w14:paraId="3C9FF5D7"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5FA704DB" w14:textId="77777777" w:rsidR="0057163C" w:rsidRPr="00170422" w:rsidRDefault="00F37BF9">
            <w:pPr>
              <w:pStyle w:val="P68B1DB1-Normal11"/>
              <w:jc w:val="center"/>
              <w:rPr>
                <w:noProof/>
                <w:szCs w:val="20"/>
                <w:lang w:val="de-DE"/>
              </w:rPr>
            </w:pPr>
            <w:r w:rsidRPr="00170422">
              <w:rPr>
                <w:noProof/>
                <w:lang w:val="de-DE"/>
              </w:rPr>
              <w:t>2025</w:t>
            </w:r>
          </w:p>
        </w:tc>
        <w:tc>
          <w:tcPr>
            <w:tcW w:w="2452" w:type="dxa"/>
            <w:shd w:val="clear" w:color="auto" w:fill="C6EFCE"/>
            <w:noWrap/>
            <w:vAlign w:val="center"/>
            <w:hideMark/>
          </w:tcPr>
          <w:p w14:paraId="257237E7" w14:textId="3D88C4E1" w:rsidR="0057163C" w:rsidRPr="00170422" w:rsidRDefault="00F37BF9">
            <w:pPr>
              <w:pStyle w:val="P68B1DB1-Normal12"/>
              <w:spacing w:after="0" w:line="240" w:lineRule="auto"/>
              <w:rPr>
                <w:noProof/>
                <w:lang w:val="de-DE"/>
              </w:rPr>
            </w:pPr>
            <w:r w:rsidRPr="00170422">
              <w:rPr>
                <w:noProof/>
                <w:lang w:val="de-DE"/>
              </w:rPr>
              <w:t xml:space="preserve">Unterzeichnung der Vereinbarungen („atto d’obbligo“) für mindestens 14 Forschungspartnerschaften. Die Aufforderungen zur Einreichung von </w:t>
            </w:r>
            <w:r w:rsidRPr="00170422">
              <w:rPr>
                <w:noProof/>
                <w:lang w:val="de-DE"/>
              </w:rPr>
              <w:t>Vorschlägen müssen Folgendes erfordern:</w:t>
            </w:r>
          </w:p>
          <w:p w14:paraId="44A8C435" w14:textId="77777777" w:rsidR="0057163C" w:rsidRPr="00170422" w:rsidRDefault="00F37BF9">
            <w:pPr>
              <w:pStyle w:val="P68B1DB1-Normal12"/>
              <w:spacing w:after="0" w:line="240" w:lineRule="auto"/>
              <w:rPr>
                <w:noProof/>
                <w:lang w:val="de-DE"/>
              </w:rPr>
            </w:pPr>
            <w:r w:rsidRPr="00170422">
              <w:rPr>
                <w:noProof/>
                <w:lang w:val="de-DE"/>
              </w:rPr>
              <w:t>a) jede Partnerschaft zur Einstellung von mindestens 100 befristet beschäftigten Forschern;</w:t>
            </w:r>
          </w:p>
          <w:p w14:paraId="445514A2" w14:textId="1CCD399A" w:rsidR="0057163C" w:rsidRPr="00170422" w:rsidRDefault="00F37BF9">
            <w:pPr>
              <w:pStyle w:val="P68B1DB1-paragraph98"/>
              <w:spacing w:before="0" w:beforeAutospacing="0" w:after="120" w:afterAutospacing="0"/>
              <w:textAlignment w:val="baseline"/>
              <w:rPr>
                <w:noProof/>
                <w:lang w:val="de-DE"/>
              </w:rPr>
            </w:pPr>
            <w:r w:rsidRPr="00170422">
              <w:rPr>
                <w:noProof/>
                <w:lang w:val="de-DE"/>
              </w:rPr>
              <w:t>B) Verpflichtung, dass der Klimaschutzbeitrag der Investition nach der Methode in Anhang VI der Verordnung (EU) 2021/241 min</w:t>
            </w:r>
            <w:r w:rsidRPr="00170422">
              <w:rPr>
                <w:noProof/>
                <w:lang w:val="de-DE"/>
              </w:rPr>
              <w:t>destens 42 % der Gesamtkosten der aus der Aufbau- und Resilienzfazilität unterstützten Investition ausmachen muss.</w:t>
            </w:r>
          </w:p>
        </w:tc>
      </w:tr>
      <w:tr w:rsidR="0057163C" w:rsidRPr="00170422" w14:paraId="19FD557A" w14:textId="77777777" w:rsidTr="000B7F7C">
        <w:trPr>
          <w:trHeight w:val="313"/>
        </w:trPr>
        <w:tc>
          <w:tcPr>
            <w:tcW w:w="1441" w:type="dxa"/>
            <w:shd w:val="clear" w:color="auto" w:fill="C6EFCE"/>
            <w:noWrap/>
            <w:vAlign w:val="center"/>
            <w:hideMark/>
          </w:tcPr>
          <w:p w14:paraId="5CFA6BB6" w14:textId="77777777" w:rsidR="0057163C" w:rsidRPr="00170422" w:rsidRDefault="00F37BF9">
            <w:pPr>
              <w:pStyle w:val="P68B1DB1-Normal12"/>
              <w:jc w:val="center"/>
              <w:rPr>
                <w:noProof/>
                <w:lang w:val="de-DE"/>
              </w:rPr>
            </w:pPr>
            <w:r w:rsidRPr="00170422">
              <w:rPr>
                <w:noProof/>
                <w:lang w:val="de-DE"/>
              </w:rPr>
              <w:t>M4C2-9</w:t>
            </w:r>
          </w:p>
        </w:tc>
        <w:tc>
          <w:tcPr>
            <w:tcW w:w="1395" w:type="dxa"/>
            <w:shd w:val="clear" w:color="auto" w:fill="C6EFCE"/>
            <w:noWrap/>
            <w:vAlign w:val="center"/>
            <w:hideMark/>
          </w:tcPr>
          <w:p w14:paraId="0E031CA2" w14:textId="42F5CB0C" w:rsidR="0057163C" w:rsidRPr="00170422" w:rsidRDefault="00F37BF9">
            <w:pPr>
              <w:pStyle w:val="P68B1DB1-Normal12"/>
              <w:jc w:val="center"/>
              <w:rPr>
                <w:noProof/>
                <w:lang w:val="de-DE"/>
              </w:rPr>
            </w:pPr>
            <w:r w:rsidRPr="00170422">
              <w:rPr>
                <w:noProof/>
                <w:lang w:val="de-DE"/>
              </w:rPr>
              <w:t>Investition 1.4: Schaffung „nationaler FuE-Führer“ zu einigen Schlüsseltechnologien</w:t>
            </w:r>
          </w:p>
        </w:tc>
        <w:tc>
          <w:tcPr>
            <w:tcW w:w="1388" w:type="dxa"/>
            <w:shd w:val="clear" w:color="auto" w:fill="C6EFCE"/>
            <w:noWrap/>
            <w:vAlign w:val="center"/>
            <w:hideMark/>
          </w:tcPr>
          <w:p w14:paraId="286E1B77"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hideMark/>
          </w:tcPr>
          <w:p w14:paraId="2D66AEAF" w14:textId="77777777" w:rsidR="0057163C" w:rsidRPr="00170422" w:rsidRDefault="00F37BF9">
            <w:pPr>
              <w:pStyle w:val="P68B1DB1-Normal12"/>
              <w:jc w:val="center"/>
              <w:rPr>
                <w:noProof/>
                <w:lang w:val="de-DE"/>
              </w:rPr>
            </w:pPr>
            <w:r w:rsidRPr="00170422">
              <w:rPr>
                <w:noProof/>
                <w:lang w:val="de-DE"/>
              </w:rPr>
              <w:t xml:space="preserve">Die nationalen Zentren haben ihre Forschungstätigkeiten abgeschlossen. </w:t>
            </w:r>
          </w:p>
        </w:tc>
        <w:tc>
          <w:tcPr>
            <w:tcW w:w="1559" w:type="dxa"/>
            <w:shd w:val="clear" w:color="auto" w:fill="C6EFCE"/>
            <w:noWrap/>
            <w:vAlign w:val="center"/>
            <w:hideMark/>
          </w:tcPr>
          <w:p w14:paraId="57482DD7"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hideMark/>
          </w:tcPr>
          <w:p w14:paraId="071368C6"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hideMark/>
          </w:tcPr>
          <w:p w14:paraId="0EA73B57"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hideMark/>
          </w:tcPr>
          <w:p w14:paraId="409C300D" w14:textId="77777777" w:rsidR="0057163C" w:rsidRPr="00170422" w:rsidRDefault="00F37BF9">
            <w:pPr>
              <w:pStyle w:val="P68B1DB1-Normal11"/>
              <w:jc w:val="center"/>
              <w:rPr>
                <w:noProof/>
                <w:szCs w:val="20"/>
                <w:lang w:val="de-DE"/>
              </w:rPr>
            </w:pPr>
            <w:r w:rsidRPr="00170422">
              <w:rPr>
                <w:noProof/>
                <w:lang w:val="de-DE"/>
              </w:rPr>
              <w:t>5</w:t>
            </w:r>
          </w:p>
        </w:tc>
        <w:tc>
          <w:tcPr>
            <w:tcW w:w="1009" w:type="dxa"/>
            <w:shd w:val="clear" w:color="auto" w:fill="C6EFCE"/>
            <w:noWrap/>
            <w:vAlign w:val="center"/>
            <w:hideMark/>
          </w:tcPr>
          <w:p w14:paraId="42EC4C72"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7E3D9690" w14:textId="77777777" w:rsidR="0057163C" w:rsidRPr="00170422" w:rsidRDefault="00F37BF9">
            <w:pPr>
              <w:pStyle w:val="P68B1DB1-Normal11"/>
              <w:jc w:val="center"/>
              <w:rPr>
                <w:noProof/>
                <w:szCs w:val="20"/>
                <w:lang w:val="de-DE"/>
              </w:rPr>
            </w:pPr>
            <w:r w:rsidRPr="00170422">
              <w:rPr>
                <w:noProof/>
                <w:lang w:val="de-DE"/>
              </w:rPr>
              <w:t>2026</w:t>
            </w:r>
          </w:p>
        </w:tc>
        <w:tc>
          <w:tcPr>
            <w:tcW w:w="2452" w:type="dxa"/>
            <w:shd w:val="clear" w:color="auto" w:fill="C6EFCE"/>
            <w:noWrap/>
            <w:vAlign w:val="center"/>
            <w:hideMark/>
          </w:tcPr>
          <w:p w14:paraId="1BC61AC2" w14:textId="6114964B" w:rsidR="0057163C" w:rsidRPr="00170422" w:rsidRDefault="00F37BF9">
            <w:pPr>
              <w:pStyle w:val="P68B1DB1-Normal12"/>
              <w:jc w:val="both"/>
              <w:rPr>
                <w:noProof/>
                <w:lang w:val="de-DE"/>
              </w:rPr>
            </w:pPr>
            <w:r w:rsidRPr="00170422">
              <w:rPr>
                <w:noProof/>
                <w:lang w:val="de-DE"/>
              </w:rPr>
              <w:t xml:space="preserve">Für jedes der fünf nationalen Zentren wird ein Bericht über den Abschluss der Forschungstätigkeiten erstellt. </w:t>
            </w:r>
          </w:p>
        </w:tc>
      </w:tr>
      <w:tr w:rsidR="0057163C" w:rsidRPr="00170422" w14:paraId="1D0780B0" w14:textId="77777777" w:rsidTr="000B7F7C">
        <w:trPr>
          <w:trHeight w:val="313"/>
        </w:trPr>
        <w:tc>
          <w:tcPr>
            <w:tcW w:w="1441" w:type="dxa"/>
            <w:shd w:val="clear" w:color="auto" w:fill="C6EFCE"/>
            <w:noWrap/>
            <w:vAlign w:val="center"/>
            <w:hideMark/>
          </w:tcPr>
          <w:p w14:paraId="26C4EA5C" w14:textId="77777777" w:rsidR="0057163C" w:rsidRPr="00170422" w:rsidRDefault="00F37BF9">
            <w:pPr>
              <w:pStyle w:val="P68B1DB1-Normal11"/>
              <w:jc w:val="center"/>
              <w:rPr>
                <w:noProof/>
                <w:szCs w:val="20"/>
                <w:lang w:val="de-DE"/>
              </w:rPr>
            </w:pPr>
            <w:r w:rsidRPr="00170422">
              <w:rPr>
                <w:noProof/>
                <w:lang w:val="de-DE"/>
              </w:rPr>
              <w:t>M4C2-10</w:t>
            </w:r>
          </w:p>
        </w:tc>
        <w:tc>
          <w:tcPr>
            <w:tcW w:w="1395" w:type="dxa"/>
            <w:shd w:val="clear" w:color="auto" w:fill="C6EFCE"/>
            <w:noWrap/>
            <w:vAlign w:val="center"/>
            <w:hideMark/>
          </w:tcPr>
          <w:p w14:paraId="6B5F985F" w14:textId="77777777" w:rsidR="0057163C" w:rsidRPr="00170422" w:rsidRDefault="00F37BF9">
            <w:pPr>
              <w:pStyle w:val="P68B1DB1-Normal11"/>
              <w:jc w:val="center"/>
              <w:rPr>
                <w:noProof/>
                <w:szCs w:val="20"/>
                <w:lang w:val="de-DE"/>
              </w:rPr>
            </w:pPr>
            <w:r w:rsidRPr="00170422">
              <w:rPr>
                <w:noProof/>
                <w:lang w:val="de-DE"/>
              </w:rPr>
              <w:t>Investition 2.1: IPCEI</w:t>
            </w:r>
          </w:p>
        </w:tc>
        <w:tc>
          <w:tcPr>
            <w:tcW w:w="1388" w:type="dxa"/>
            <w:shd w:val="clear" w:color="auto" w:fill="C6EFCE"/>
            <w:noWrap/>
            <w:vAlign w:val="center"/>
            <w:hideMark/>
          </w:tcPr>
          <w:p w14:paraId="4D656341"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vAlign w:val="center"/>
            <w:hideMark/>
          </w:tcPr>
          <w:p w14:paraId="459DA06F" w14:textId="77777777" w:rsidR="0057163C" w:rsidRPr="00170422" w:rsidRDefault="00F37BF9">
            <w:pPr>
              <w:pStyle w:val="P68B1DB1-Normal11"/>
              <w:jc w:val="center"/>
              <w:rPr>
                <w:noProof/>
                <w:szCs w:val="20"/>
                <w:lang w:val="de-DE"/>
              </w:rPr>
            </w:pPr>
            <w:r w:rsidRPr="00170422">
              <w:rPr>
                <w:noProof/>
                <w:lang w:val="de-DE"/>
              </w:rPr>
              <w:t>Veröffentlichung der Aufforderung zur Interessenbekundung für die Ermittlung der nationalen Projekte, einschließlich IPCEI-Mikroelektronik</w:t>
            </w:r>
          </w:p>
        </w:tc>
        <w:tc>
          <w:tcPr>
            <w:tcW w:w="1559" w:type="dxa"/>
            <w:shd w:val="clear" w:color="auto" w:fill="C6EFCE"/>
            <w:noWrap/>
            <w:vAlign w:val="center"/>
            <w:hideMark/>
          </w:tcPr>
          <w:p w14:paraId="4B20AAC6" w14:textId="77777777" w:rsidR="0057163C" w:rsidRPr="00170422" w:rsidRDefault="00F37BF9">
            <w:pPr>
              <w:pStyle w:val="P68B1DB1-Normal11"/>
              <w:jc w:val="center"/>
              <w:rPr>
                <w:noProof/>
                <w:szCs w:val="20"/>
                <w:lang w:val="de-DE"/>
              </w:rPr>
            </w:pPr>
            <w:r w:rsidRPr="00170422">
              <w:rPr>
                <w:noProof/>
                <w:lang w:val="de-DE"/>
              </w:rPr>
              <w:t>Die Aufforderung zur Interessenbekundung wird veröffentlicht.</w:t>
            </w:r>
          </w:p>
        </w:tc>
        <w:tc>
          <w:tcPr>
            <w:tcW w:w="1276" w:type="dxa"/>
            <w:shd w:val="clear" w:color="auto" w:fill="C6EFCE"/>
            <w:noWrap/>
            <w:vAlign w:val="center"/>
            <w:hideMark/>
          </w:tcPr>
          <w:p w14:paraId="3F444FB6"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noWrap/>
            <w:vAlign w:val="center"/>
            <w:hideMark/>
          </w:tcPr>
          <w:p w14:paraId="3AB2D488" w14:textId="77777777" w:rsidR="0057163C" w:rsidRPr="00170422" w:rsidRDefault="00F37BF9">
            <w:pPr>
              <w:pStyle w:val="P68B1DB1-Normal11"/>
              <w:jc w:val="center"/>
              <w:rPr>
                <w:noProof/>
                <w:szCs w:val="20"/>
                <w:lang w:val="de-DE"/>
              </w:rPr>
            </w:pPr>
            <w:r w:rsidRPr="00170422">
              <w:rPr>
                <w:noProof/>
                <w:lang w:val="de-DE"/>
              </w:rPr>
              <w:t>ENTFÄLLT.</w:t>
            </w:r>
          </w:p>
        </w:tc>
        <w:tc>
          <w:tcPr>
            <w:tcW w:w="1198" w:type="dxa"/>
            <w:shd w:val="clear" w:color="auto" w:fill="C6EFCE"/>
            <w:noWrap/>
            <w:vAlign w:val="center"/>
            <w:hideMark/>
          </w:tcPr>
          <w:p w14:paraId="79902FF5" w14:textId="77777777" w:rsidR="0057163C" w:rsidRPr="00170422" w:rsidRDefault="00F37BF9">
            <w:pPr>
              <w:pStyle w:val="P68B1DB1-Normal11"/>
              <w:jc w:val="center"/>
              <w:rPr>
                <w:noProof/>
                <w:szCs w:val="20"/>
                <w:lang w:val="de-DE"/>
              </w:rPr>
            </w:pPr>
            <w:r w:rsidRPr="00170422">
              <w:rPr>
                <w:noProof/>
                <w:lang w:val="de-DE"/>
              </w:rPr>
              <w:t>ENTFÄLLT.</w:t>
            </w:r>
          </w:p>
        </w:tc>
        <w:tc>
          <w:tcPr>
            <w:tcW w:w="1009" w:type="dxa"/>
            <w:shd w:val="clear" w:color="auto" w:fill="C6EFCE"/>
            <w:noWrap/>
            <w:vAlign w:val="center"/>
            <w:hideMark/>
          </w:tcPr>
          <w:p w14:paraId="2B8CBFF1"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51AC56CB" w14:textId="77777777" w:rsidR="0057163C" w:rsidRPr="00170422" w:rsidRDefault="00F37BF9">
            <w:pPr>
              <w:pStyle w:val="P68B1DB1-Normal11"/>
              <w:jc w:val="center"/>
              <w:rPr>
                <w:noProof/>
                <w:szCs w:val="20"/>
                <w:lang w:val="de-DE"/>
              </w:rPr>
            </w:pPr>
            <w:r w:rsidRPr="00170422">
              <w:rPr>
                <w:noProof/>
                <w:lang w:val="de-DE"/>
              </w:rPr>
              <w:t>2021</w:t>
            </w:r>
          </w:p>
        </w:tc>
        <w:tc>
          <w:tcPr>
            <w:tcW w:w="2452" w:type="dxa"/>
            <w:shd w:val="clear" w:color="auto" w:fill="C6EFCE"/>
            <w:noWrap/>
            <w:vAlign w:val="center"/>
            <w:hideMark/>
          </w:tcPr>
          <w:p w14:paraId="5B8A8635" w14:textId="77777777" w:rsidR="0057163C" w:rsidRPr="00170422" w:rsidRDefault="00F37BF9">
            <w:pPr>
              <w:pStyle w:val="P68B1DB1-Normal11"/>
              <w:rPr>
                <w:noProof/>
                <w:szCs w:val="20"/>
                <w:lang w:val="de-DE"/>
              </w:rPr>
            </w:pPr>
            <w:r w:rsidRPr="00170422">
              <w:rPr>
                <w:noProof/>
                <w:lang w:val="de-DE"/>
              </w:rPr>
              <w:t>Es wird erwartet,</w:t>
            </w:r>
            <w:r w:rsidRPr="00170422">
              <w:rPr>
                <w:noProof/>
                <w:lang w:val="de-DE"/>
              </w:rPr>
              <w:t xml:space="preserve"> dass die zu fördernden IPCEI-Vorhaben in Abhängigkeit vom tatsächlichen Fortschritt der derzeit laufenden nationalen IPCEI-Verfahren und vom Stand des Verfahrens zur Anmeldung staatlicher Beihilfen aktualisiert werden.</w:t>
            </w:r>
          </w:p>
          <w:p w14:paraId="6C4B7EA3" w14:textId="77777777" w:rsidR="0057163C" w:rsidRPr="00170422" w:rsidRDefault="00F37BF9">
            <w:pPr>
              <w:pStyle w:val="P68B1DB1-Normal12"/>
              <w:rPr>
                <w:noProof/>
                <w:lang w:val="de-DE"/>
              </w:rPr>
            </w:pPr>
            <w:r w:rsidRPr="00170422">
              <w:rPr>
                <w:noProof/>
                <w:lang w:val="de-DE"/>
              </w:rPr>
              <w:t>Das gewählte IPCEI berücksichtigt be</w:t>
            </w:r>
            <w:r w:rsidRPr="00170422">
              <w:rPr>
                <w:noProof/>
                <w:lang w:val="de-DE"/>
              </w:rPr>
              <w:t>stimmte innovative Industriesektoren im Einklang mit den bereits ermittelten europäischen Wertschöpfungsketten.</w:t>
            </w:r>
          </w:p>
          <w:p w14:paraId="274615D3" w14:textId="77777777" w:rsidR="0057163C" w:rsidRPr="00170422" w:rsidRDefault="00F37BF9">
            <w:pPr>
              <w:pStyle w:val="P68B1DB1-Normal12"/>
              <w:rPr>
                <w:noProof/>
                <w:lang w:val="de-DE"/>
              </w:rPr>
            </w:pPr>
            <w:r w:rsidRPr="00170422">
              <w:rPr>
                <w:noProof/>
                <w:lang w:val="de-DE"/>
              </w:rPr>
              <w:t>Diese Maßnahme umfasst sowohl bereits genehmigte als auch künftige IPCEI wie Cloud, Gesundheit, Reihenmaterialien und Cybersicherheit.</w:t>
            </w:r>
          </w:p>
          <w:p w14:paraId="46BFF4A0" w14:textId="77777777" w:rsidR="0057163C" w:rsidRPr="00170422" w:rsidRDefault="00F37BF9">
            <w:pPr>
              <w:pStyle w:val="P68B1DB1-Normal11"/>
              <w:spacing w:before="120" w:after="120"/>
              <w:rPr>
                <w:noProof/>
                <w:szCs w:val="20"/>
                <w:lang w:val="de-DE"/>
              </w:rPr>
            </w:pPr>
            <w:r w:rsidRPr="00170422">
              <w:rPr>
                <w:noProof/>
                <w:lang w:val="de-DE"/>
              </w:rPr>
              <w:t>Die Bedin</w:t>
            </w:r>
            <w:r w:rsidRPr="00170422">
              <w:rPr>
                <w:noProof/>
                <w:lang w:val="de-DE"/>
              </w:rPr>
              <w:t>gungen der Aufforderung zur Einreichung von Vorschlägen müssen Folgendes umfassen:</w:t>
            </w:r>
          </w:p>
          <w:p w14:paraId="4D188813" w14:textId="77777777" w:rsidR="0057163C" w:rsidRPr="00170422" w:rsidRDefault="00F37BF9">
            <w:pPr>
              <w:pStyle w:val="P68B1DB1-paragraph98"/>
              <w:spacing w:before="0" w:beforeAutospacing="0" w:after="0" w:afterAutospacing="0"/>
              <w:textAlignment w:val="baseline"/>
              <w:rPr>
                <w:noProof/>
                <w:lang w:val="de-DE"/>
              </w:rPr>
            </w:pPr>
            <w:r w:rsidRPr="00170422">
              <w:rPr>
                <w:noProof/>
                <w:lang w:val="de-DE"/>
              </w:rPr>
              <w:t>a) Förderkriterien, mit denen sichergestellt wird, dass die ausgewählten Projekte den technischen Leitlinien „Vermeidung erheblicher Beeinträchtigungen“ (2021/C58/01) entspr</w:t>
            </w:r>
            <w:r w:rsidRPr="00170422">
              <w:rPr>
                <w:noProof/>
                <w:lang w:val="de-DE"/>
              </w:rPr>
              <w:t>echen, indem eine Ausschlussliste verwendet wird und die einschlägigen Umweltvorschriften der EU und der Mitgliedstaaten eingehalten werden.</w:t>
            </w:r>
          </w:p>
          <w:p w14:paraId="41291499" w14:textId="77777777" w:rsidR="0057163C" w:rsidRPr="00170422" w:rsidRDefault="00F37BF9">
            <w:pPr>
              <w:pStyle w:val="P68B1DB1-paragraph89"/>
              <w:spacing w:before="0" w:beforeAutospacing="0" w:after="0" w:afterAutospacing="0"/>
              <w:textAlignment w:val="baseline"/>
              <w:rPr>
                <w:noProof/>
                <w:szCs w:val="20"/>
                <w:lang w:val="de-DE"/>
              </w:rPr>
            </w:pPr>
            <w:r w:rsidRPr="00170422">
              <w:rPr>
                <w:noProof/>
                <w:lang w:val="de-DE"/>
              </w:rPr>
              <w:t>B) Verpflichtung, dass der Klimaschutzbeitrag der Investition nach der Methode in Anhang VI der Verordnung (EU) 202</w:t>
            </w:r>
            <w:r w:rsidRPr="00170422">
              <w:rPr>
                <w:noProof/>
                <w:lang w:val="de-DE"/>
              </w:rPr>
              <w:t>1/241 mindestens 40 % der Gesamtkosten der aus der Aufbau- und Resilienzfazilität unterstützten Investition ausmachen muss.</w:t>
            </w:r>
          </w:p>
          <w:p w14:paraId="6008074C" w14:textId="77777777" w:rsidR="0057163C" w:rsidRPr="00170422" w:rsidRDefault="00F37BF9">
            <w:pPr>
              <w:pStyle w:val="P68B1DB1-paragraph89"/>
              <w:spacing w:before="0" w:beforeAutospacing="0" w:after="0" w:afterAutospacing="0"/>
              <w:textAlignment w:val="baseline"/>
              <w:rPr>
                <w:noProof/>
                <w:lang w:val="de-DE"/>
              </w:rPr>
            </w:pPr>
            <w:r w:rsidRPr="00170422">
              <w:rPr>
                <w:noProof/>
                <w:lang w:val="de-DE"/>
              </w:rPr>
              <w:t xml:space="preserve">C) Verpflichtung, dass der digitale Beitrag der Investition gemäß der Methode in Anhang VII der Verordnung (EU) 2021/241 mindestens </w:t>
            </w:r>
            <w:r w:rsidRPr="00170422">
              <w:rPr>
                <w:noProof/>
                <w:lang w:val="de-DE"/>
              </w:rPr>
              <w:t>60 % der Gesamtkosten der aus der Aufbau- und Resilienzfazilität unterstützten Investition ausmachen muss.</w:t>
            </w:r>
          </w:p>
          <w:p w14:paraId="2F0CE705" w14:textId="77777777" w:rsidR="0057163C" w:rsidRPr="00170422" w:rsidRDefault="00F37BF9">
            <w:pPr>
              <w:pStyle w:val="P68B1DB1-paragraph98"/>
              <w:spacing w:before="0" w:beforeAutospacing="0" w:after="0" w:afterAutospacing="0"/>
              <w:textAlignment w:val="baseline"/>
              <w:rPr>
                <w:noProof/>
                <w:lang w:val="de-DE"/>
              </w:rPr>
            </w:pPr>
            <w:r w:rsidRPr="00170422">
              <w:rPr>
                <w:noProof/>
                <w:lang w:val="de-DE"/>
              </w:rPr>
              <w:t>d) Verpflichtung, über die Durchführung der Maßnahme nach der Hälfte der Laufzeit der Regelung und am Ende der Regelung Bericht zu erstatten.</w:t>
            </w:r>
          </w:p>
        </w:tc>
      </w:tr>
      <w:tr w:rsidR="0057163C" w:rsidRPr="00170422" w14:paraId="4E8776B5" w14:textId="77777777" w:rsidTr="000B7F7C">
        <w:trPr>
          <w:trHeight w:val="313"/>
        </w:trPr>
        <w:tc>
          <w:tcPr>
            <w:tcW w:w="1441" w:type="dxa"/>
            <w:shd w:val="clear" w:color="auto" w:fill="C6EFCE"/>
            <w:noWrap/>
            <w:vAlign w:val="center"/>
            <w:hideMark/>
          </w:tcPr>
          <w:p w14:paraId="43E0998F" w14:textId="77777777" w:rsidR="0057163C" w:rsidRPr="00170422" w:rsidRDefault="00F37BF9">
            <w:pPr>
              <w:pStyle w:val="P68B1DB1-Normal11"/>
              <w:jc w:val="center"/>
              <w:rPr>
                <w:noProof/>
                <w:szCs w:val="20"/>
                <w:lang w:val="de-DE"/>
              </w:rPr>
            </w:pPr>
            <w:r w:rsidRPr="00170422">
              <w:rPr>
                <w:noProof/>
                <w:lang w:val="de-DE"/>
              </w:rPr>
              <w:t>M4C2-11</w:t>
            </w:r>
          </w:p>
        </w:tc>
        <w:tc>
          <w:tcPr>
            <w:tcW w:w="1395" w:type="dxa"/>
            <w:shd w:val="clear" w:color="auto" w:fill="C6EFCE"/>
            <w:noWrap/>
            <w:vAlign w:val="center"/>
            <w:hideMark/>
          </w:tcPr>
          <w:p w14:paraId="1A6FD094" w14:textId="77777777" w:rsidR="0057163C" w:rsidRPr="00170422" w:rsidRDefault="00F37BF9">
            <w:pPr>
              <w:pStyle w:val="P68B1DB1-Normal11"/>
              <w:jc w:val="center"/>
              <w:rPr>
                <w:noProof/>
                <w:szCs w:val="20"/>
                <w:lang w:val="de-DE"/>
              </w:rPr>
            </w:pPr>
            <w:r w:rsidRPr="00170422">
              <w:rPr>
                <w:noProof/>
                <w:lang w:val="de-DE"/>
              </w:rPr>
              <w:t>Investition 2.1: IPCEI</w:t>
            </w:r>
          </w:p>
        </w:tc>
        <w:tc>
          <w:tcPr>
            <w:tcW w:w="1388" w:type="dxa"/>
            <w:shd w:val="clear" w:color="auto" w:fill="C6EFCE"/>
            <w:noWrap/>
            <w:vAlign w:val="center"/>
            <w:hideMark/>
          </w:tcPr>
          <w:p w14:paraId="4EA17822"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vAlign w:val="center"/>
            <w:hideMark/>
          </w:tcPr>
          <w:p w14:paraId="238A9D4D" w14:textId="77777777" w:rsidR="0057163C" w:rsidRPr="00170422" w:rsidRDefault="00F37BF9">
            <w:pPr>
              <w:pStyle w:val="P68B1DB1-Normal11"/>
              <w:jc w:val="center"/>
              <w:rPr>
                <w:noProof/>
                <w:szCs w:val="20"/>
                <w:lang w:val="de-DE"/>
              </w:rPr>
            </w:pPr>
            <w:r w:rsidRPr="00170422">
              <w:rPr>
                <w:noProof/>
                <w:lang w:val="de-DE"/>
              </w:rPr>
              <w:t>Inkrafttreten eines nationalen Rechtsakts, mit dem die für die Unterstützung der Projektteilnehmer erforderlichen Mittel bereitgestellt werden.</w:t>
            </w:r>
          </w:p>
        </w:tc>
        <w:tc>
          <w:tcPr>
            <w:tcW w:w="1559" w:type="dxa"/>
            <w:shd w:val="clear" w:color="auto" w:fill="C6EFCE"/>
            <w:noWrap/>
            <w:vAlign w:val="center"/>
            <w:hideMark/>
          </w:tcPr>
          <w:p w14:paraId="17C14A7F" w14:textId="77777777" w:rsidR="0057163C" w:rsidRPr="00170422" w:rsidRDefault="00F37BF9">
            <w:pPr>
              <w:pStyle w:val="P68B1DB1-Normal11"/>
              <w:jc w:val="center"/>
              <w:rPr>
                <w:noProof/>
                <w:szCs w:val="20"/>
                <w:lang w:val="de-DE"/>
              </w:rPr>
            </w:pPr>
            <w:r w:rsidRPr="00170422">
              <w:rPr>
                <w:noProof/>
                <w:lang w:val="de-DE"/>
              </w:rPr>
              <w:t>Bestimmung im nationalen Gesetz über das Inkrafttreten des Gesetzes</w:t>
            </w:r>
          </w:p>
        </w:tc>
        <w:tc>
          <w:tcPr>
            <w:tcW w:w="1276" w:type="dxa"/>
            <w:shd w:val="clear" w:color="auto" w:fill="C6EFCE"/>
            <w:noWrap/>
            <w:vAlign w:val="center"/>
            <w:hideMark/>
          </w:tcPr>
          <w:p w14:paraId="6D53B477"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noWrap/>
            <w:vAlign w:val="center"/>
            <w:hideMark/>
          </w:tcPr>
          <w:p w14:paraId="3F3F1A43" w14:textId="77777777" w:rsidR="0057163C" w:rsidRPr="00170422" w:rsidRDefault="00F37BF9">
            <w:pPr>
              <w:pStyle w:val="P68B1DB1-Normal11"/>
              <w:jc w:val="center"/>
              <w:rPr>
                <w:noProof/>
                <w:szCs w:val="20"/>
                <w:lang w:val="de-DE"/>
              </w:rPr>
            </w:pPr>
            <w:r w:rsidRPr="00170422">
              <w:rPr>
                <w:noProof/>
                <w:lang w:val="de-DE"/>
              </w:rPr>
              <w:t>ENTFÄLLT.</w:t>
            </w:r>
          </w:p>
        </w:tc>
        <w:tc>
          <w:tcPr>
            <w:tcW w:w="1198" w:type="dxa"/>
            <w:shd w:val="clear" w:color="auto" w:fill="C6EFCE"/>
            <w:noWrap/>
            <w:vAlign w:val="center"/>
            <w:hideMark/>
          </w:tcPr>
          <w:p w14:paraId="72DF5EDE" w14:textId="77777777" w:rsidR="0057163C" w:rsidRPr="00170422" w:rsidRDefault="00F37BF9">
            <w:pPr>
              <w:pStyle w:val="P68B1DB1-Normal11"/>
              <w:jc w:val="center"/>
              <w:rPr>
                <w:noProof/>
                <w:szCs w:val="20"/>
                <w:lang w:val="de-DE"/>
              </w:rPr>
            </w:pPr>
            <w:r w:rsidRPr="00170422">
              <w:rPr>
                <w:noProof/>
                <w:lang w:val="de-DE"/>
              </w:rPr>
              <w:t>ENTFÄLLT.</w:t>
            </w:r>
          </w:p>
        </w:tc>
        <w:tc>
          <w:tcPr>
            <w:tcW w:w="1009" w:type="dxa"/>
            <w:shd w:val="clear" w:color="auto" w:fill="C6EFCE"/>
            <w:noWrap/>
            <w:vAlign w:val="center"/>
            <w:hideMark/>
          </w:tcPr>
          <w:p w14:paraId="7E476561"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14092876" w14:textId="77777777" w:rsidR="0057163C" w:rsidRPr="00170422" w:rsidRDefault="00F37BF9">
            <w:pPr>
              <w:pStyle w:val="P68B1DB1-Normal11"/>
              <w:jc w:val="center"/>
              <w:rPr>
                <w:noProof/>
                <w:szCs w:val="20"/>
                <w:lang w:val="de-DE"/>
              </w:rPr>
            </w:pPr>
            <w:r w:rsidRPr="00170422">
              <w:rPr>
                <w:noProof/>
                <w:lang w:val="de-DE"/>
              </w:rPr>
              <w:t>2022</w:t>
            </w:r>
          </w:p>
        </w:tc>
        <w:tc>
          <w:tcPr>
            <w:tcW w:w="2452" w:type="dxa"/>
            <w:shd w:val="clear" w:color="auto" w:fill="C6EFCE"/>
            <w:noWrap/>
            <w:vAlign w:val="center"/>
            <w:hideMark/>
          </w:tcPr>
          <w:p w14:paraId="3E61F1D6" w14:textId="77777777" w:rsidR="0057163C" w:rsidRPr="00170422" w:rsidRDefault="00F37BF9">
            <w:pPr>
              <w:pStyle w:val="P68B1DB1-Normal11"/>
              <w:rPr>
                <w:noProof/>
                <w:szCs w:val="20"/>
                <w:lang w:val="de-DE"/>
              </w:rPr>
            </w:pPr>
            <w:r w:rsidRPr="00170422">
              <w:rPr>
                <w:noProof/>
                <w:lang w:val="de-DE"/>
              </w:rPr>
              <w:t>Im nationalen Gesetz sind die Verfahren und Fristen für die Einreichung von Projekten sowie die Zugangsanforderungen potenzieller Begünstigter festgelegt.</w:t>
            </w:r>
          </w:p>
        </w:tc>
      </w:tr>
      <w:tr w:rsidR="0057163C" w:rsidRPr="00170422" w14:paraId="41C45ABA" w14:textId="77777777" w:rsidTr="000B7F7C">
        <w:trPr>
          <w:trHeight w:val="313"/>
        </w:trPr>
        <w:tc>
          <w:tcPr>
            <w:tcW w:w="1441" w:type="dxa"/>
            <w:shd w:val="clear" w:color="auto" w:fill="C6EFCE"/>
            <w:noWrap/>
            <w:vAlign w:val="center"/>
            <w:hideMark/>
          </w:tcPr>
          <w:p w14:paraId="3DE1E109" w14:textId="77777777" w:rsidR="0057163C" w:rsidRPr="00170422" w:rsidRDefault="00F37BF9">
            <w:pPr>
              <w:pStyle w:val="P68B1DB1-Normal11"/>
              <w:jc w:val="center"/>
              <w:rPr>
                <w:noProof/>
                <w:szCs w:val="20"/>
                <w:lang w:val="de-DE"/>
              </w:rPr>
            </w:pPr>
            <w:r w:rsidRPr="00170422">
              <w:rPr>
                <w:noProof/>
                <w:lang w:val="de-DE"/>
              </w:rPr>
              <w:t>M4C2-12</w:t>
            </w:r>
          </w:p>
        </w:tc>
        <w:tc>
          <w:tcPr>
            <w:tcW w:w="1395" w:type="dxa"/>
            <w:shd w:val="clear" w:color="auto" w:fill="C6EFCE"/>
            <w:noWrap/>
            <w:vAlign w:val="center"/>
            <w:hideMark/>
          </w:tcPr>
          <w:p w14:paraId="1D82E399" w14:textId="77777777" w:rsidR="0057163C" w:rsidRPr="00170422" w:rsidRDefault="00F37BF9">
            <w:pPr>
              <w:pStyle w:val="P68B1DB1-Normal11"/>
              <w:jc w:val="center"/>
              <w:rPr>
                <w:noProof/>
                <w:szCs w:val="20"/>
                <w:lang w:val="de-DE"/>
              </w:rPr>
            </w:pPr>
            <w:r w:rsidRPr="00170422">
              <w:rPr>
                <w:noProof/>
                <w:lang w:val="de-DE"/>
              </w:rPr>
              <w:t>Investition 2.1: IPCEI</w:t>
            </w:r>
          </w:p>
        </w:tc>
        <w:tc>
          <w:tcPr>
            <w:tcW w:w="1388" w:type="dxa"/>
            <w:shd w:val="clear" w:color="auto" w:fill="C6EFCE"/>
            <w:noWrap/>
            <w:vAlign w:val="center"/>
            <w:hideMark/>
          </w:tcPr>
          <w:p w14:paraId="41622971"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vAlign w:val="center"/>
            <w:hideMark/>
          </w:tcPr>
          <w:p w14:paraId="6DDCAB1D" w14:textId="77777777" w:rsidR="0057163C" w:rsidRPr="00170422" w:rsidRDefault="00F37BF9">
            <w:pPr>
              <w:pStyle w:val="P68B1DB1-Normal11"/>
              <w:jc w:val="center"/>
              <w:rPr>
                <w:noProof/>
                <w:szCs w:val="20"/>
                <w:lang w:val="de-DE"/>
              </w:rPr>
            </w:pPr>
            <w:r w:rsidRPr="00170422">
              <w:rPr>
                <w:noProof/>
                <w:lang w:val="de-DE"/>
              </w:rPr>
              <w:t xml:space="preserve">Die Liste der </w:t>
            </w:r>
            <w:r w:rsidRPr="00170422">
              <w:rPr>
                <w:noProof/>
                <w:lang w:val="de-DE"/>
              </w:rPr>
              <w:t>Teilnehmer an IPCEI-Projekten ist bis zum 30.6.2023 fertiggestellt.</w:t>
            </w:r>
          </w:p>
        </w:tc>
        <w:tc>
          <w:tcPr>
            <w:tcW w:w="1559" w:type="dxa"/>
            <w:shd w:val="clear" w:color="auto" w:fill="C6EFCE"/>
            <w:noWrap/>
            <w:vAlign w:val="center"/>
            <w:hideMark/>
          </w:tcPr>
          <w:p w14:paraId="459D7A49" w14:textId="77777777" w:rsidR="0057163C" w:rsidRPr="00170422" w:rsidRDefault="00F37BF9">
            <w:pPr>
              <w:pStyle w:val="P68B1DB1-Normal11"/>
              <w:jc w:val="center"/>
              <w:rPr>
                <w:noProof/>
                <w:szCs w:val="20"/>
                <w:lang w:val="de-DE"/>
              </w:rPr>
            </w:pPr>
            <w:r w:rsidRPr="00170422">
              <w:rPr>
                <w:noProof/>
                <w:lang w:val="de-DE"/>
              </w:rPr>
              <w:t>Veröffentlichung der Teilnehmerliste</w:t>
            </w:r>
          </w:p>
        </w:tc>
        <w:tc>
          <w:tcPr>
            <w:tcW w:w="1276" w:type="dxa"/>
            <w:shd w:val="clear" w:color="auto" w:fill="C6EFCE"/>
            <w:noWrap/>
            <w:vAlign w:val="center"/>
            <w:hideMark/>
          </w:tcPr>
          <w:p w14:paraId="45691B03"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noWrap/>
            <w:vAlign w:val="center"/>
            <w:hideMark/>
          </w:tcPr>
          <w:p w14:paraId="6C3E096B" w14:textId="77777777" w:rsidR="0057163C" w:rsidRPr="00170422" w:rsidRDefault="00F37BF9">
            <w:pPr>
              <w:pStyle w:val="P68B1DB1-Normal11"/>
              <w:jc w:val="center"/>
              <w:rPr>
                <w:noProof/>
                <w:szCs w:val="20"/>
                <w:lang w:val="de-DE"/>
              </w:rPr>
            </w:pPr>
            <w:r w:rsidRPr="00170422">
              <w:rPr>
                <w:noProof/>
                <w:lang w:val="de-DE"/>
              </w:rPr>
              <w:t>ENTFÄLLT.</w:t>
            </w:r>
          </w:p>
        </w:tc>
        <w:tc>
          <w:tcPr>
            <w:tcW w:w="1198" w:type="dxa"/>
            <w:shd w:val="clear" w:color="auto" w:fill="C6EFCE"/>
            <w:noWrap/>
            <w:vAlign w:val="center"/>
            <w:hideMark/>
          </w:tcPr>
          <w:p w14:paraId="22FC4B14" w14:textId="77777777" w:rsidR="0057163C" w:rsidRPr="00170422" w:rsidRDefault="00F37BF9">
            <w:pPr>
              <w:pStyle w:val="P68B1DB1-Normal11"/>
              <w:jc w:val="center"/>
              <w:rPr>
                <w:noProof/>
                <w:szCs w:val="20"/>
                <w:lang w:val="de-DE"/>
              </w:rPr>
            </w:pPr>
            <w:r w:rsidRPr="00170422">
              <w:rPr>
                <w:noProof/>
                <w:lang w:val="de-DE"/>
              </w:rPr>
              <w:t>ENTFÄLLT.</w:t>
            </w:r>
          </w:p>
        </w:tc>
        <w:tc>
          <w:tcPr>
            <w:tcW w:w="1009" w:type="dxa"/>
            <w:shd w:val="clear" w:color="auto" w:fill="C6EFCE"/>
            <w:noWrap/>
            <w:vAlign w:val="center"/>
            <w:hideMark/>
          </w:tcPr>
          <w:p w14:paraId="43D905D2"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77C13508" w14:textId="77777777" w:rsidR="0057163C" w:rsidRPr="00170422" w:rsidRDefault="00F37BF9">
            <w:pPr>
              <w:pStyle w:val="P68B1DB1-Normal11"/>
              <w:jc w:val="center"/>
              <w:rPr>
                <w:noProof/>
                <w:szCs w:val="20"/>
                <w:lang w:val="de-DE"/>
              </w:rPr>
            </w:pPr>
            <w:r w:rsidRPr="00170422">
              <w:rPr>
                <w:noProof/>
                <w:lang w:val="de-DE"/>
              </w:rPr>
              <w:t>2023</w:t>
            </w:r>
          </w:p>
        </w:tc>
        <w:tc>
          <w:tcPr>
            <w:tcW w:w="2452" w:type="dxa"/>
            <w:shd w:val="clear" w:color="auto" w:fill="C6EFCE"/>
            <w:noWrap/>
            <w:vAlign w:val="center"/>
            <w:hideMark/>
          </w:tcPr>
          <w:p w14:paraId="4A1C7BC0" w14:textId="77777777" w:rsidR="0057163C" w:rsidRPr="00170422" w:rsidRDefault="00F37BF9">
            <w:pPr>
              <w:pStyle w:val="P68B1DB1-Normal12"/>
              <w:rPr>
                <w:noProof/>
                <w:lang w:val="de-DE"/>
              </w:rPr>
            </w:pPr>
            <w:r w:rsidRPr="00170422">
              <w:rPr>
                <w:noProof/>
                <w:lang w:val="de-DE"/>
              </w:rPr>
              <w:t>Die Liste enthält die zugelassenen Personen, die an den IPCEI-Projekten teilnehmen, im Anschluss an die Überprüfu</w:t>
            </w:r>
            <w:r w:rsidRPr="00170422">
              <w:rPr>
                <w:noProof/>
                <w:lang w:val="de-DE"/>
              </w:rPr>
              <w:t>ngen und Bewertungen der vorgelegten Projekte, die im Einklang mit den technischen Leitlinien „Vermeidung erheblicher Beeinträchtigungen“ (2021/C58/01) unter Verwendung einer Ausschlussliste und der Anforderung der Einhaltung der einschlägigen EU- und nati</w:t>
            </w:r>
            <w:r w:rsidRPr="00170422">
              <w:rPr>
                <w:noProof/>
                <w:lang w:val="de-DE"/>
              </w:rPr>
              <w:t>onalen Umweltvorschriften durchzuführen sind.</w:t>
            </w:r>
          </w:p>
        </w:tc>
      </w:tr>
      <w:tr w:rsidR="0057163C" w:rsidRPr="00170422" w14:paraId="5F2FC417" w14:textId="77777777" w:rsidTr="000B7F7C">
        <w:trPr>
          <w:trHeight w:val="300"/>
        </w:trPr>
        <w:tc>
          <w:tcPr>
            <w:tcW w:w="1441" w:type="dxa"/>
            <w:shd w:val="clear" w:color="auto" w:fill="C6EFCE"/>
            <w:noWrap/>
            <w:vAlign w:val="center"/>
          </w:tcPr>
          <w:p w14:paraId="3CC8D7CA" w14:textId="77777777" w:rsidR="0057163C" w:rsidRPr="00170422" w:rsidRDefault="00F37BF9">
            <w:pPr>
              <w:pStyle w:val="P68B1DB1-Normal12"/>
              <w:jc w:val="center"/>
              <w:rPr>
                <w:noProof/>
                <w:lang w:val="de-DE"/>
              </w:rPr>
            </w:pPr>
            <w:r w:rsidRPr="00170422">
              <w:rPr>
                <w:noProof/>
                <w:lang w:val="de-DE"/>
              </w:rPr>
              <w:t>M4C2-14</w:t>
            </w:r>
          </w:p>
        </w:tc>
        <w:tc>
          <w:tcPr>
            <w:tcW w:w="1395" w:type="dxa"/>
            <w:shd w:val="clear" w:color="auto" w:fill="C6EFCE"/>
            <w:noWrap/>
            <w:vAlign w:val="center"/>
          </w:tcPr>
          <w:p w14:paraId="000B404C" w14:textId="77777777" w:rsidR="0057163C" w:rsidRPr="00170422" w:rsidRDefault="00F37BF9">
            <w:pPr>
              <w:pStyle w:val="P68B1DB1-Normal12"/>
              <w:jc w:val="center"/>
              <w:rPr>
                <w:noProof/>
                <w:lang w:val="de-DE"/>
              </w:rPr>
            </w:pPr>
            <w:r w:rsidRPr="00170422">
              <w:rPr>
                <w:noProof/>
                <w:lang w:val="de-DE"/>
              </w:rPr>
              <w:t xml:space="preserve">Investition 2.3: F Technologietransferzentren </w:t>
            </w:r>
          </w:p>
        </w:tc>
        <w:tc>
          <w:tcPr>
            <w:tcW w:w="1388" w:type="dxa"/>
            <w:shd w:val="clear" w:color="auto" w:fill="C6EFCE"/>
            <w:noWrap/>
            <w:vAlign w:val="center"/>
          </w:tcPr>
          <w:p w14:paraId="4AAE43E7" w14:textId="77777777" w:rsidR="0057163C" w:rsidRPr="00170422" w:rsidRDefault="00F37BF9">
            <w:pPr>
              <w:pStyle w:val="P68B1DB1-Normal11"/>
              <w:jc w:val="center"/>
              <w:rPr>
                <w:noProof/>
                <w:lang w:val="de-DE"/>
              </w:rPr>
            </w:pPr>
            <w:r w:rsidRPr="00170422">
              <w:rPr>
                <w:noProof/>
                <w:lang w:val="de-DE"/>
              </w:rPr>
              <w:t>Ziel</w:t>
            </w:r>
          </w:p>
        </w:tc>
        <w:tc>
          <w:tcPr>
            <w:tcW w:w="1418" w:type="dxa"/>
            <w:shd w:val="clear" w:color="auto" w:fill="C6EFCE"/>
            <w:noWrap/>
            <w:vAlign w:val="center"/>
          </w:tcPr>
          <w:p w14:paraId="1A6FD9C7" w14:textId="77777777" w:rsidR="0057163C" w:rsidRPr="00170422" w:rsidRDefault="00F37BF9">
            <w:pPr>
              <w:pStyle w:val="P68B1DB1-Normal12"/>
              <w:jc w:val="center"/>
              <w:rPr>
                <w:noProof/>
                <w:lang w:val="de-DE"/>
              </w:rPr>
            </w:pPr>
            <w:r w:rsidRPr="00170422">
              <w:rPr>
                <w:noProof/>
                <w:lang w:val="de-DE"/>
              </w:rPr>
              <w:t>Auszahlung eines finanziellen Werts in Höhe von 330 000 000 EUR</w:t>
            </w:r>
          </w:p>
        </w:tc>
        <w:tc>
          <w:tcPr>
            <w:tcW w:w="1559" w:type="dxa"/>
            <w:shd w:val="clear" w:color="auto" w:fill="C6EFCE"/>
            <w:noWrap/>
            <w:vAlign w:val="center"/>
          </w:tcPr>
          <w:p w14:paraId="500254C6" w14:textId="77777777" w:rsidR="0057163C" w:rsidRPr="00170422" w:rsidRDefault="00F37BF9">
            <w:pPr>
              <w:pStyle w:val="P68B1DB1-Normal11"/>
              <w:jc w:val="center"/>
              <w:rPr>
                <w:noProof/>
                <w:lang w:val="de-DE"/>
              </w:rPr>
            </w:pPr>
            <w:r w:rsidRPr="00170422">
              <w:rPr>
                <w:noProof/>
                <w:lang w:val="de-DE"/>
              </w:rPr>
              <w:t>ENTFÄLLT.</w:t>
            </w:r>
          </w:p>
        </w:tc>
        <w:tc>
          <w:tcPr>
            <w:tcW w:w="1276" w:type="dxa"/>
            <w:shd w:val="clear" w:color="auto" w:fill="C6EFCE"/>
            <w:noWrap/>
            <w:vAlign w:val="center"/>
          </w:tcPr>
          <w:p w14:paraId="047B1397" w14:textId="77777777" w:rsidR="0057163C" w:rsidRPr="00170422" w:rsidRDefault="00F37BF9">
            <w:pPr>
              <w:pStyle w:val="P68B1DB1-Normal11"/>
              <w:jc w:val="center"/>
              <w:rPr>
                <w:noProof/>
                <w:lang w:val="de-DE"/>
              </w:rPr>
            </w:pPr>
            <w:r w:rsidRPr="00170422">
              <w:rPr>
                <w:noProof/>
                <w:lang w:val="de-DE"/>
              </w:rPr>
              <w:t>EUR</w:t>
            </w:r>
          </w:p>
        </w:tc>
        <w:tc>
          <w:tcPr>
            <w:tcW w:w="1417" w:type="dxa"/>
            <w:shd w:val="clear" w:color="auto" w:fill="C6EFCE"/>
            <w:noWrap/>
            <w:vAlign w:val="center"/>
          </w:tcPr>
          <w:p w14:paraId="00AB2B4D" w14:textId="77777777" w:rsidR="0057163C" w:rsidRPr="00170422" w:rsidRDefault="00F37BF9">
            <w:pPr>
              <w:pStyle w:val="P68B1DB1-Normal11"/>
              <w:jc w:val="center"/>
              <w:rPr>
                <w:noProof/>
                <w:lang w:val="de-DE"/>
              </w:rPr>
            </w:pPr>
            <w:r w:rsidRPr="00170422">
              <w:rPr>
                <w:noProof/>
                <w:lang w:val="de-DE"/>
              </w:rPr>
              <w:t>0</w:t>
            </w:r>
          </w:p>
        </w:tc>
        <w:tc>
          <w:tcPr>
            <w:tcW w:w="1198" w:type="dxa"/>
            <w:shd w:val="clear" w:color="auto" w:fill="C6EFCE"/>
            <w:noWrap/>
            <w:vAlign w:val="center"/>
          </w:tcPr>
          <w:p w14:paraId="41A8D93A" w14:textId="4594B979" w:rsidR="0057163C" w:rsidRPr="00170422" w:rsidRDefault="00F37BF9">
            <w:pPr>
              <w:pStyle w:val="P68B1DB1-Normal12"/>
              <w:jc w:val="center"/>
              <w:rPr>
                <w:noProof/>
                <w:lang w:val="de-DE"/>
              </w:rPr>
            </w:pPr>
            <w:r w:rsidRPr="00170422">
              <w:rPr>
                <w:noProof/>
                <w:lang w:val="de-DE"/>
              </w:rPr>
              <w:t>330 000 000</w:t>
            </w:r>
          </w:p>
        </w:tc>
        <w:tc>
          <w:tcPr>
            <w:tcW w:w="1009" w:type="dxa"/>
            <w:shd w:val="clear" w:color="auto" w:fill="C6EFCE"/>
            <w:noWrap/>
            <w:vAlign w:val="center"/>
          </w:tcPr>
          <w:p w14:paraId="05A25F04" w14:textId="77777777" w:rsidR="0057163C" w:rsidRPr="00170422" w:rsidRDefault="00F37BF9">
            <w:pPr>
              <w:pStyle w:val="P68B1DB1-Normal11"/>
              <w:jc w:val="center"/>
              <w:rPr>
                <w:noProof/>
                <w:lang w:val="de-DE"/>
              </w:rPr>
            </w:pPr>
            <w:r w:rsidRPr="00170422">
              <w:rPr>
                <w:noProof/>
                <w:lang w:val="de-DE"/>
              </w:rPr>
              <w:t>Q2</w:t>
            </w:r>
          </w:p>
        </w:tc>
        <w:tc>
          <w:tcPr>
            <w:tcW w:w="861" w:type="dxa"/>
            <w:shd w:val="clear" w:color="auto" w:fill="C6EFCE"/>
            <w:noWrap/>
            <w:vAlign w:val="center"/>
          </w:tcPr>
          <w:p w14:paraId="4123CC55" w14:textId="77777777" w:rsidR="0057163C" w:rsidRPr="00170422" w:rsidRDefault="00F37BF9">
            <w:pPr>
              <w:pStyle w:val="P68B1DB1-Normal12"/>
              <w:jc w:val="center"/>
              <w:rPr>
                <w:noProof/>
                <w:lang w:val="de-DE"/>
              </w:rPr>
            </w:pPr>
            <w:r w:rsidRPr="00170422">
              <w:rPr>
                <w:noProof/>
                <w:lang w:val="de-DE"/>
              </w:rPr>
              <w:t>2026</w:t>
            </w:r>
          </w:p>
        </w:tc>
        <w:tc>
          <w:tcPr>
            <w:tcW w:w="2452" w:type="dxa"/>
            <w:shd w:val="clear" w:color="auto" w:fill="C6EFCE"/>
            <w:noWrap/>
            <w:vAlign w:val="center"/>
          </w:tcPr>
          <w:p w14:paraId="1562B558" w14:textId="101A22E1" w:rsidR="0057163C" w:rsidRPr="00170422" w:rsidRDefault="00F37BF9">
            <w:pPr>
              <w:pStyle w:val="P68B1DB1-Normal12"/>
              <w:jc w:val="both"/>
              <w:rPr>
                <w:noProof/>
                <w:lang w:val="de-DE"/>
              </w:rPr>
            </w:pPr>
            <w:r w:rsidRPr="00170422">
              <w:rPr>
                <w:noProof/>
                <w:lang w:val="de-DE"/>
              </w:rPr>
              <w:t>Zahlungsaufträge in Höhe von insgesamt mindestens</w:t>
            </w:r>
            <w:r w:rsidRPr="00170422">
              <w:rPr>
                <w:noProof/>
                <w:lang w:val="de-DE"/>
              </w:rPr>
              <w:t xml:space="preserve"> 330 000 000 EUR werden an mindestens 45 Hubs erteilt, für die das Ministerium Finanzierungsvereinbarungen geschlossen hat.</w:t>
            </w:r>
          </w:p>
          <w:p w14:paraId="06D3A9FE" w14:textId="77777777" w:rsidR="0057163C" w:rsidRPr="00170422" w:rsidRDefault="00F37BF9">
            <w:pPr>
              <w:pStyle w:val="P68B1DB1-Normal12"/>
              <w:jc w:val="both"/>
              <w:rPr>
                <w:noProof/>
                <w:lang w:val="de-DE"/>
              </w:rPr>
            </w:pPr>
            <w:r w:rsidRPr="00170422">
              <w:rPr>
                <w:noProof/>
                <w:lang w:val="de-DE"/>
              </w:rPr>
              <w:t xml:space="preserve">In den Vereinbarungen mit den 13 europäischen Zentren für digitale Innovation, die im Rahmen der zweiten Interventionslinie aus dem </w:t>
            </w:r>
            <w:r w:rsidRPr="00170422">
              <w:rPr>
                <w:noProof/>
                <w:lang w:val="de-DE"/>
              </w:rPr>
              <w:t xml:space="preserve">Programm „Digitales Europa“ kofinanziert werden, werden die aus der Aufbau- und Resilienzfazilität finanzierten Arbeitspakete festgelegt. </w:t>
            </w:r>
          </w:p>
          <w:p w14:paraId="0F698C15" w14:textId="759C294D" w:rsidR="0057163C" w:rsidRPr="00170422" w:rsidRDefault="00F37BF9">
            <w:pPr>
              <w:pStyle w:val="P68B1DB1-Normal12"/>
              <w:jc w:val="both"/>
              <w:rPr>
                <w:noProof/>
                <w:lang w:val="de-DE"/>
              </w:rPr>
            </w:pPr>
            <w:r w:rsidRPr="00170422">
              <w:rPr>
                <w:noProof/>
                <w:lang w:val="de-DE"/>
              </w:rPr>
              <w:t>Die Zahlungsaufträge betreffen Arbeitspakete der 13 europäischen digitalen Innovation im Rahmen der zweiten Intervent</w:t>
            </w:r>
            <w:r w:rsidRPr="00170422">
              <w:rPr>
                <w:noProof/>
                <w:lang w:val="de-DE"/>
              </w:rPr>
              <w:t>ionslinie der Maßnahme, mit Ausnahme derjenigen Arbeitspakete, die aus dem Programm „Digitales Europa“ finanziert werden.</w:t>
            </w:r>
          </w:p>
        </w:tc>
      </w:tr>
      <w:tr w:rsidR="0057163C" w:rsidRPr="00170422" w14:paraId="79D9669E" w14:textId="77777777" w:rsidTr="000B7F7C">
        <w:trPr>
          <w:trHeight w:val="313"/>
        </w:trPr>
        <w:tc>
          <w:tcPr>
            <w:tcW w:w="1441" w:type="dxa"/>
            <w:shd w:val="clear" w:color="auto" w:fill="C6EFCE"/>
            <w:noWrap/>
            <w:vAlign w:val="center"/>
            <w:hideMark/>
          </w:tcPr>
          <w:p w14:paraId="1F4484C6" w14:textId="77777777" w:rsidR="0057163C" w:rsidRPr="00170422" w:rsidRDefault="00F37BF9">
            <w:pPr>
              <w:pStyle w:val="P68B1DB1-Normal11"/>
              <w:jc w:val="center"/>
              <w:rPr>
                <w:noProof/>
                <w:szCs w:val="20"/>
                <w:lang w:val="de-DE"/>
              </w:rPr>
            </w:pPr>
            <w:r w:rsidRPr="00170422">
              <w:rPr>
                <w:noProof/>
                <w:lang w:val="de-DE"/>
              </w:rPr>
              <w:t>M4C2-16</w:t>
            </w:r>
          </w:p>
        </w:tc>
        <w:tc>
          <w:tcPr>
            <w:tcW w:w="1395" w:type="dxa"/>
            <w:shd w:val="clear" w:color="auto" w:fill="C6EFCE"/>
            <w:noWrap/>
            <w:vAlign w:val="center"/>
            <w:hideMark/>
          </w:tcPr>
          <w:p w14:paraId="22A65F19" w14:textId="77777777" w:rsidR="0057163C" w:rsidRPr="00170422" w:rsidRDefault="00F37BF9">
            <w:pPr>
              <w:pStyle w:val="P68B1DB1-Normal11"/>
              <w:jc w:val="center"/>
              <w:rPr>
                <w:noProof/>
                <w:szCs w:val="20"/>
                <w:lang w:val="de-DE"/>
              </w:rPr>
            </w:pPr>
            <w:r w:rsidRPr="00170422">
              <w:rPr>
                <w:noProof/>
                <w:lang w:val="de-DE"/>
              </w:rPr>
              <w:t xml:space="preserve">Investition 3.1: </w:t>
            </w:r>
            <w:r w:rsidRPr="00170422">
              <w:rPr>
                <w:noProof/>
                <w:szCs w:val="20"/>
                <w:lang w:val="de-DE"/>
              </w:rPr>
              <w:t>Forschungs-</w:t>
            </w:r>
            <w:r w:rsidRPr="00170422">
              <w:rPr>
                <w:noProof/>
                <w:lang w:val="de-DE"/>
              </w:rPr>
              <w:t xml:space="preserve"> und Innovationsinfrastrukturen</w:t>
            </w:r>
          </w:p>
        </w:tc>
        <w:tc>
          <w:tcPr>
            <w:tcW w:w="1388" w:type="dxa"/>
            <w:shd w:val="clear" w:color="auto" w:fill="C6EFCE"/>
            <w:noWrap/>
            <w:vAlign w:val="center"/>
            <w:hideMark/>
          </w:tcPr>
          <w:p w14:paraId="639AFA47"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hideMark/>
          </w:tcPr>
          <w:p w14:paraId="4B805879" w14:textId="77777777" w:rsidR="0057163C" w:rsidRPr="00170422" w:rsidRDefault="00F37BF9">
            <w:pPr>
              <w:pStyle w:val="P68B1DB1-Normal11"/>
              <w:jc w:val="center"/>
              <w:rPr>
                <w:noProof/>
                <w:szCs w:val="20"/>
                <w:lang w:val="de-DE"/>
              </w:rPr>
            </w:pPr>
            <w:r w:rsidRPr="00170422">
              <w:rPr>
                <w:noProof/>
                <w:lang w:val="de-DE"/>
              </w:rPr>
              <w:t>Anzahl der finanzierten Infrastrukturen</w:t>
            </w:r>
          </w:p>
        </w:tc>
        <w:tc>
          <w:tcPr>
            <w:tcW w:w="1559" w:type="dxa"/>
            <w:shd w:val="clear" w:color="auto" w:fill="C6EFCE"/>
            <w:noWrap/>
            <w:vAlign w:val="center"/>
            <w:hideMark/>
          </w:tcPr>
          <w:p w14:paraId="15CEFC44"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hideMark/>
          </w:tcPr>
          <w:p w14:paraId="40B07C2B"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hideMark/>
          </w:tcPr>
          <w:p w14:paraId="4D9851B1"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hideMark/>
          </w:tcPr>
          <w:p w14:paraId="6782C57F" w14:textId="77777777" w:rsidR="0057163C" w:rsidRPr="00170422" w:rsidRDefault="00F37BF9">
            <w:pPr>
              <w:pStyle w:val="P68B1DB1-Normal11"/>
              <w:jc w:val="center"/>
              <w:rPr>
                <w:noProof/>
                <w:szCs w:val="20"/>
                <w:lang w:val="de-DE"/>
              </w:rPr>
            </w:pPr>
            <w:r w:rsidRPr="00170422">
              <w:rPr>
                <w:noProof/>
                <w:lang w:val="de-DE"/>
              </w:rPr>
              <w:t>30</w:t>
            </w:r>
          </w:p>
        </w:tc>
        <w:tc>
          <w:tcPr>
            <w:tcW w:w="1009" w:type="dxa"/>
            <w:shd w:val="clear" w:color="auto" w:fill="C6EFCE"/>
            <w:noWrap/>
            <w:vAlign w:val="center"/>
            <w:hideMark/>
          </w:tcPr>
          <w:p w14:paraId="1EDF7CF2"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7EC9014A" w14:textId="77777777" w:rsidR="0057163C" w:rsidRPr="00170422" w:rsidRDefault="00F37BF9">
            <w:pPr>
              <w:pStyle w:val="P68B1DB1-Normal11"/>
              <w:jc w:val="center"/>
              <w:rPr>
                <w:noProof/>
                <w:szCs w:val="20"/>
                <w:lang w:val="de-DE"/>
              </w:rPr>
            </w:pPr>
            <w:r w:rsidRPr="00170422">
              <w:rPr>
                <w:noProof/>
                <w:lang w:val="de-DE"/>
              </w:rPr>
              <w:t>2023</w:t>
            </w:r>
          </w:p>
        </w:tc>
        <w:tc>
          <w:tcPr>
            <w:tcW w:w="2452" w:type="dxa"/>
            <w:shd w:val="clear" w:color="auto" w:fill="C6EFCE"/>
            <w:noWrap/>
            <w:vAlign w:val="center"/>
            <w:hideMark/>
          </w:tcPr>
          <w:p w14:paraId="004368A0" w14:textId="5BBDA330" w:rsidR="0057163C" w:rsidRPr="00170422" w:rsidRDefault="00F37BF9">
            <w:pPr>
              <w:spacing w:after="120"/>
              <w:rPr>
                <w:rFonts w:ascii="Arial Narrow" w:hAnsi="Arial Narrow"/>
                <w:noProof/>
                <w:color w:val="006100"/>
                <w:sz w:val="20"/>
                <w:szCs w:val="20"/>
                <w:lang w:val="de-DE"/>
              </w:rPr>
            </w:pPr>
            <w:r w:rsidRPr="00170422">
              <w:rPr>
                <w:rFonts w:ascii="Arial Narrow" w:hAnsi="Arial Narrow"/>
                <w:noProof/>
                <w:color w:val="006100"/>
                <w:sz w:val="20"/>
                <w:lang w:val="de-DE"/>
              </w:rPr>
              <w:t>Mindestens 30 Infrastrukturen, die für das integrierte System der Forschungs- und Innovationsinfrastruktur finanziert werden.</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lang w:val="de-DE"/>
              </w:rPr>
              <w:t>Die Innovationsinfrastruktur umfasst Mehrzweckinfrastrukturen, die mindestens drei Themenbereiche abdecken können: I)</w:t>
            </w:r>
            <w:r w:rsidRPr="00170422">
              <w:rPr>
                <w:rFonts w:ascii="Arial Narrow" w:hAnsi="Arial Narrow"/>
                <w:noProof/>
                <w:color w:val="006100"/>
                <w:sz w:val="20"/>
                <w:lang w:val="de-DE"/>
              </w:rPr>
              <w:t xml:space="preserve"> Quanten, ii) fortgeschrittene Werkstoffe, iii) Photonik, iv) Lebenswissenschaften, v) künstliche Intelligenz, vi) Energiewende.</w:t>
            </w:r>
          </w:p>
          <w:p w14:paraId="3511759A" w14:textId="77777777" w:rsidR="0057163C" w:rsidRPr="00170422" w:rsidRDefault="00F37BF9">
            <w:pPr>
              <w:pStyle w:val="P68B1DB1-Normal11"/>
              <w:spacing w:after="120"/>
              <w:jc w:val="both"/>
              <w:rPr>
                <w:noProof/>
                <w:szCs w:val="20"/>
                <w:lang w:val="de-DE"/>
              </w:rPr>
            </w:pPr>
            <w:r w:rsidRPr="00170422">
              <w:rPr>
                <w:noProof/>
                <w:lang w:val="de-DE"/>
              </w:rPr>
              <w:t>Die zufrieden stellende Erfüllung des Ziels hängt auch von der Einstellung von mindestens 30 Forschungsmanagern für das integri</w:t>
            </w:r>
            <w:r w:rsidRPr="00170422">
              <w:rPr>
                <w:noProof/>
                <w:lang w:val="de-DE"/>
              </w:rPr>
              <w:t>erte System der Forschungs- und Innovationsinfrastruktur ab.</w:t>
            </w:r>
          </w:p>
        </w:tc>
      </w:tr>
      <w:tr w:rsidR="0057163C" w:rsidRPr="00170422" w14:paraId="37730A30" w14:textId="77777777" w:rsidTr="000B7F7C">
        <w:trPr>
          <w:trHeight w:val="313"/>
        </w:trPr>
        <w:tc>
          <w:tcPr>
            <w:tcW w:w="1441" w:type="dxa"/>
            <w:shd w:val="clear" w:color="auto" w:fill="C6EFCE"/>
            <w:noWrap/>
            <w:vAlign w:val="center"/>
            <w:hideMark/>
          </w:tcPr>
          <w:p w14:paraId="2442A32D" w14:textId="77777777" w:rsidR="0057163C" w:rsidRPr="00170422" w:rsidRDefault="00F37BF9">
            <w:pPr>
              <w:pStyle w:val="P68B1DB1-Normal12"/>
              <w:jc w:val="center"/>
              <w:rPr>
                <w:noProof/>
                <w:lang w:val="de-DE"/>
              </w:rPr>
            </w:pPr>
            <w:r w:rsidRPr="00170422">
              <w:rPr>
                <w:noProof/>
                <w:lang w:val="de-DE"/>
              </w:rPr>
              <w:t xml:space="preserve">M4C2-16 bis </w:t>
            </w:r>
          </w:p>
        </w:tc>
        <w:tc>
          <w:tcPr>
            <w:tcW w:w="1395" w:type="dxa"/>
            <w:shd w:val="clear" w:color="auto" w:fill="C6EFCE"/>
            <w:noWrap/>
            <w:vAlign w:val="center"/>
            <w:hideMark/>
          </w:tcPr>
          <w:p w14:paraId="2B7ABEDB" w14:textId="152A5F0D" w:rsidR="0057163C" w:rsidRPr="00170422" w:rsidRDefault="00F37BF9">
            <w:pPr>
              <w:pStyle w:val="P68B1DB1-Normal12"/>
              <w:jc w:val="center"/>
              <w:rPr>
                <w:noProof/>
                <w:lang w:val="de-DE"/>
              </w:rPr>
            </w:pPr>
            <w:r w:rsidRPr="00170422">
              <w:rPr>
                <w:noProof/>
                <w:lang w:val="de-DE"/>
              </w:rPr>
              <w:t>Investition 3.1: Forschungs- und Innovationsinfrastrukturen</w:t>
            </w:r>
          </w:p>
        </w:tc>
        <w:tc>
          <w:tcPr>
            <w:tcW w:w="1388" w:type="dxa"/>
            <w:shd w:val="clear" w:color="auto" w:fill="C6EFCE"/>
            <w:noWrap/>
            <w:vAlign w:val="center"/>
            <w:hideMark/>
          </w:tcPr>
          <w:p w14:paraId="1EF8924E"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hideMark/>
          </w:tcPr>
          <w:p w14:paraId="41117D66" w14:textId="158D3DCE" w:rsidR="0057163C" w:rsidRPr="00170422" w:rsidRDefault="00F37BF9">
            <w:pPr>
              <w:pStyle w:val="P68B1DB1-Normal12"/>
              <w:jc w:val="center"/>
              <w:rPr>
                <w:noProof/>
                <w:lang w:val="de-DE"/>
              </w:rPr>
            </w:pPr>
            <w:r w:rsidRPr="00170422">
              <w:rPr>
                <w:noProof/>
                <w:lang w:val="de-DE"/>
              </w:rPr>
              <w:t xml:space="preserve">Zahl der Forschungs- und Innovationsinfrastrukturen, die ihre Tätigkeiten abgeschlossen haben </w:t>
            </w:r>
          </w:p>
        </w:tc>
        <w:tc>
          <w:tcPr>
            <w:tcW w:w="1559" w:type="dxa"/>
            <w:shd w:val="clear" w:color="auto" w:fill="C6EFCE"/>
            <w:noWrap/>
            <w:vAlign w:val="center"/>
            <w:hideMark/>
          </w:tcPr>
          <w:p w14:paraId="57047B55" w14:textId="77777777" w:rsidR="0057163C" w:rsidRPr="00170422" w:rsidRDefault="00F37BF9">
            <w:pPr>
              <w:pStyle w:val="P68B1DB1-Normal11"/>
              <w:jc w:val="center"/>
              <w:rPr>
                <w:noProof/>
                <w:szCs w:val="20"/>
                <w:lang w:val="de-DE"/>
              </w:rPr>
            </w:pPr>
            <w:r w:rsidRPr="00170422">
              <w:rPr>
                <w:noProof/>
                <w:lang w:val="de-DE"/>
              </w:rPr>
              <w:t>KEINE ANGABE</w:t>
            </w:r>
          </w:p>
        </w:tc>
        <w:tc>
          <w:tcPr>
            <w:tcW w:w="1276" w:type="dxa"/>
            <w:shd w:val="clear" w:color="auto" w:fill="C6EFCE"/>
            <w:noWrap/>
            <w:vAlign w:val="center"/>
            <w:hideMark/>
          </w:tcPr>
          <w:p w14:paraId="61FC5E71"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hideMark/>
          </w:tcPr>
          <w:p w14:paraId="29C00AD7"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hideMark/>
          </w:tcPr>
          <w:p w14:paraId="476CA243" w14:textId="77777777" w:rsidR="0057163C" w:rsidRPr="00170422" w:rsidRDefault="00F37BF9">
            <w:pPr>
              <w:pStyle w:val="P68B1DB1-Normal11"/>
              <w:jc w:val="center"/>
              <w:rPr>
                <w:noProof/>
                <w:szCs w:val="20"/>
                <w:lang w:val="de-DE"/>
              </w:rPr>
            </w:pPr>
            <w:r w:rsidRPr="00170422">
              <w:rPr>
                <w:noProof/>
                <w:lang w:val="de-DE"/>
              </w:rPr>
              <w:t>30</w:t>
            </w:r>
          </w:p>
        </w:tc>
        <w:tc>
          <w:tcPr>
            <w:tcW w:w="1009" w:type="dxa"/>
            <w:shd w:val="clear" w:color="auto" w:fill="C6EFCE"/>
            <w:noWrap/>
            <w:vAlign w:val="center"/>
            <w:hideMark/>
          </w:tcPr>
          <w:p w14:paraId="2D99BB1C"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7DABE1AF" w14:textId="77777777" w:rsidR="0057163C" w:rsidRPr="00170422" w:rsidRDefault="00F37BF9">
            <w:pPr>
              <w:pStyle w:val="P68B1DB1-Normal11"/>
              <w:jc w:val="center"/>
              <w:rPr>
                <w:noProof/>
                <w:szCs w:val="20"/>
                <w:lang w:val="de-DE"/>
              </w:rPr>
            </w:pPr>
            <w:r w:rsidRPr="00170422">
              <w:rPr>
                <w:noProof/>
                <w:lang w:val="de-DE"/>
              </w:rPr>
              <w:t>2026</w:t>
            </w:r>
          </w:p>
        </w:tc>
        <w:tc>
          <w:tcPr>
            <w:tcW w:w="2452" w:type="dxa"/>
            <w:shd w:val="clear" w:color="auto" w:fill="C6EFCE"/>
            <w:noWrap/>
            <w:vAlign w:val="center"/>
            <w:hideMark/>
          </w:tcPr>
          <w:p w14:paraId="45FDDF79" w14:textId="691732BE" w:rsidR="0057163C" w:rsidRPr="00170422" w:rsidRDefault="00F37BF9">
            <w:pPr>
              <w:pStyle w:val="P68B1DB1-Normal12"/>
              <w:rPr>
                <w:noProof/>
                <w:lang w:val="de-DE"/>
              </w:rPr>
            </w:pPr>
            <w:r w:rsidRPr="00170422">
              <w:rPr>
                <w:noProof/>
                <w:lang w:val="de-DE"/>
              </w:rPr>
              <w:t>Berichte über die Durchführung von Forschungstätigkeiten für mindestens 30 Projekte im Bereich der Forschungs- und Innovationsinfrastrukturen (ITEC) werden veröffentlicht.</w:t>
            </w:r>
          </w:p>
        </w:tc>
      </w:tr>
      <w:tr w:rsidR="0057163C" w:rsidRPr="00170422" w14:paraId="6D2ABF8B" w14:textId="77777777" w:rsidTr="000B7F7C">
        <w:trPr>
          <w:trHeight w:val="313"/>
        </w:trPr>
        <w:tc>
          <w:tcPr>
            <w:tcW w:w="1441" w:type="dxa"/>
            <w:shd w:val="clear" w:color="auto" w:fill="C6EFCE"/>
            <w:noWrap/>
            <w:vAlign w:val="center"/>
            <w:hideMark/>
          </w:tcPr>
          <w:p w14:paraId="535A961F" w14:textId="77777777" w:rsidR="0057163C" w:rsidRPr="00170422" w:rsidRDefault="00F37BF9">
            <w:pPr>
              <w:pStyle w:val="P68B1DB1-Normal11"/>
              <w:jc w:val="center"/>
              <w:rPr>
                <w:noProof/>
                <w:szCs w:val="20"/>
                <w:lang w:val="de-DE"/>
              </w:rPr>
            </w:pPr>
            <w:r w:rsidRPr="00170422">
              <w:rPr>
                <w:noProof/>
                <w:lang w:val="de-DE"/>
              </w:rPr>
              <w:t>M4C2-17</w:t>
            </w:r>
          </w:p>
        </w:tc>
        <w:tc>
          <w:tcPr>
            <w:tcW w:w="1395" w:type="dxa"/>
            <w:shd w:val="clear" w:color="auto" w:fill="C6EFCE"/>
            <w:noWrap/>
            <w:vAlign w:val="center"/>
            <w:hideMark/>
          </w:tcPr>
          <w:p w14:paraId="553E166D" w14:textId="77777777" w:rsidR="0057163C" w:rsidRPr="00170422" w:rsidRDefault="00F37BF9">
            <w:pPr>
              <w:pStyle w:val="P68B1DB1-Normal11"/>
              <w:jc w:val="center"/>
              <w:rPr>
                <w:noProof/>
                <w:szCs w:val="20"/>
                <w:lang w:val="de-DE"/>
              </w:rPr>
            </w:pPr>
            <w:r w:rsidRPr="00170422">
              <w:rPr>
                <w:noProof/>
                <w:lang w:val="de-DE"/>
              </w:rPr>
              <w:t xml:space="preserve">Investition 3.1: Fonds für den Aufbau eines integrierten </w:t>
            </w:r>
            <w:r w:rsidRPr="00170422">
              <w:rPr>
                <w:noProof/>
                <w:lang w:val="de-DE"/>
              </w:rPr>
              <w:t>Systems von Forschungs- und Innovationsinfrastrukturen; Investitionen</w:t>
            </w:r>
          </w:p>
        </w:tc>
        <w:tc>
          <w:tcPr>
            <w:tcW w:w="1388" w:type="dxa"/>
            <w:shd w:val="clear" w:color="auto" w:fill="C6EFCE"/>
            <w:noWrap/>
            <w:vAlign w:val="center"/>
            <w:hideMark/>
          </w:tcPr>
          <w:p w14:paraId="49EF3468"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vAlign w:val="center"/>
            <w:hideMark/>
          </w:tcPr>
          <w:p w14:paraId="78BA4754" w14:textId="6688D7A2" w:rsidR="0057163C" w:rsidRPr="00170422" w:rsidRDefault="00F37BF9">
            <w:pPr>
              <w:pStyle w:val="P68B1DB1-Normal11"/>
              <w:jc w:val="center"/>
              <w:rPr>
                <w:noProof/>
                <w:szCs w:val="20"/>
                <w:lang w:val="de-DE"/>
              </w:rPr>
            </w:pPr>
            <w:r w:rsidRPr="00170422">
              <w:rPr>
                <w:noProof/>
                <w:lang w:val="de-DE"/>
              </w:rPr>
              <w:t>Vergabe von Aufträgen für folgende Projekte: integriertes System von Forschungs- und Innovationsinfrastrukturen</w:t>
            </w:r>
          </w:p>
        </w:tc>
        <w:tc>
          <w:tcPr>
            <w:tcW w:w="1559" w:type="dxa"/>
            <w:shd w:val="clear" w:color="auto" w:fill="C6EFCE"/>
            <w:noWrap/>
            <w:vAlign w:val="center"/>
            <w:hideMark/>
          </w:tcPr>
          <w:p w14:paraId="1D4F61A5" w14:textId="77777777" w:rsidR="0057163C" w:rsidRPr="00170422" w:rsidRDefault="00F37BF9">
            <w:pPr>
              <w:pStyle w:val="P68B1DB1-Normal11"/>
              <w:jc w:val="center"/>
              <w:rPr>
                <w:noProof/>
                <w:szCs w:val="20"/>
                <w:lang w:val="de-DE"/>
              </w:rPr>
            </w:pPr>
            <w:r w:rsidRPr="00170422">
              <w:rPr>
                <w:noProof/>
                <w:lang w:val="de-DE"/>
              </w:rPr>
              <w:t>Mitteilung über die Auftragsvergabe</w:t>
            </w:r>
          </w:p>
        </w:tc>
        <w:tc>
          <w:tcPr>
            <w:tcW w:w="1276" w:type="dxa"/>
            <w:shd w:val="clear" w:color="auto" w:fill="C6EFCE"/>
            <w:noWrap/>
            <w:vAlign w:val="center"/>
            <w:hideMark/>
          </w:tcPr>
          <w:p w14:paraId="0961C1CC"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noWrap/>
            <w:vAlign w:val="center"/>
            <w:hideMark/>
          </w:tcPr>
          <w:p w14:paraId="06547432" w14:textId="77777777" w:rsidR="0057163C" w:rsidRPr="00170422" w:rsidRDefault="00F37BF9">
            <w:pPr>
              <w:pStyle w:val="P68B1DB1-Normal11"/>
              <w:jc w:val="center"/>
              <w:rPr>
                <w:noProof/>
                <w:szCs w:val="20"/>
                <w:lang w:val="de-DE"/>
              </w:rPr>
            </w:pPr>
            <w:r w:rsidRPr="00170422">
              <w:rPr>
                <w:noProof/>
                <w:lang w:val="de-DE"/>
              </w:rPr>
              <w:t>ENTFÄLLT.</w:t>
            </w:r>
          </w:p>
        </w:tc>
        <w:tc>
          <w:tcPr>
            <w:tcW w:w="1198" w:type="dxa"/>
            <w:shd w:val="clear" w:color="auto" w:fill="C6EFCE"/>
            <w:noWrap/>
            <w:vAlign w:val="center"/>
            <w:hideMark/>
          </w:tcPr>
          <w:p w14:paraId="70FA67C5" w14:textId="77777777" w:rsidR="0057163C" w:rsidRPr="00170422" w:rsidRDefault="00F37BF9">
            <w:pPr>
              <w:pStyle w:val="P68B1DB1-Normal11"/>
              <w:jc w:val="center"/>
              <w:rPr>
                <w:noProof/>
                <w:szCs w:val="20"/>
                <w:lang w:val="de-DE"/>
              </w:rPr>
            </w:pPr>
            <w:r w:rsidRPr="00170422">
              <w:rPr>
                <w:noProof/>
                <w:lang w:val="de-DE"/>
              </w:rPr>
              <w:t>ENTFÄLLT.</w:t>
            </w:r>
          </w:p>
        </w:tc>
        <w:tc>
          <w:tcPr>
            <w:tcW w:w="1009" w:type="dxa"/>
            <w:shd w:val="clear" w:color="auto" w:fill="C6EFCE"/>
            <w:noWrap/>
            <w:vAlign w:val="center"/>
            <w:hideMark/>
          </w:tcPr>
          <w:p w14:paraId="516BE6F4"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3387F82E" w14:textId="77777777" w:rsidR="0057163C" w:rsidRPr="00170422" w:rsidRDefault="00F37BF9">
            <w:pPr>
              <w:pStyle w:val="P68B1DB1-Normal11"/>
              <w:jc w:val="center"/>
              <w:rPr>
                <w:noProof/>
                <w:szCs w:val="20"/>
                <w:lang w:val="de-DE"/>
              </w:rPr>
            </w:pPr>
            <w:r w:rsidRPr="00170422">
              <w:rPr>
                <w:noProof/>
                <w:lang w:val="de-DE"/>
              </w:rPr>
              <w:t>2022</w:t>
            </w:r>
          </w:p>
        </w:tc>
        <w:tc>
          <w:tcPr>
            <w:tcW w:w="2452" w:type="dxa"/>
            <w:shd w:val="clear" w:color="auto" w:fill="C6EFCE"/>
            <w:noWrap/>
            <w:vAlign w:val="center"/>
            <w:hideMark/>
          </w:tcPr>
          <w:p w14:paraId="0248D8E0" w14:textId="2AC54CDA" w:rsidR="0057163C" w:rsidRPr="00170422" w:rsidRDefault="00F37BF9">
            <w:pPr>
              <w:pStyle w:val="P68B1DB1-Normal12"/>
              <w:spacing w:after="120"/>
              <w:rPr>
                <w:noProof/>
                <w:lang w:val="de-DE"/>
              </w:rPr>
            </w:pPr>
            <w:r w:rsidRPr="00170422">
              <w:rPr>
                <w:noProof/>
                <w:lang w:val="de-DE"/>
              </w:rPr>
              <w:t>Benachrichtigung über die Vergabe der Aufträge an die im Rahmen der wettbewerblichen Aufforderungen zur Einreichung von Vorschlägen ausgewählten Projekte im Einklang mit den technischen Leitlinien „Vermeidung erheblicher Beeinträchtigunge</w:t>
            </w:r>
            <w:r w:rsidRPr="00170422">
              <w:rPr>
                <w:noProof/>
                <w:lang w:val="de-DE"/>
              </w:rPr>
              <w:t>n“ (2021/C58/01) durch Verwendung einer Ausschlussliste und der Anforderung der Einhaltung der einschlägigen EU- und nationalen Umweltvorschriften.</w:t>
            </w:r>
          </w:p>
          <w:p w14:paraId="3FB4CCE3" w14:textId="77777777" w:rsidR="0057163C" w:rsidRPr="00170422" w:rsidRDefault="00F37BF9">
            <w:pPr>
              <w:pStyle w:val="P68B1DB1-Normal11"/>
              <w:spacing w:after="120"/>
              <w:rPr>
                <w:noProof/>
                <w:lang w:val="de-DE"/>
              </w:rPr>
            </w:pPr>
            <w:r w:rsidRPr="00170422">
              <w:rPr>
                <w:noProof/>
                <w:lang w:val="de-DE"/>
              </w:rPr>
              <w:t xml:space="preserve">Die Vorschläge werden anhand folgender Kriterien ausgewählt: </w:t>
            </w:r>
          </w:p>
          <w:p w14:paraId="1624ED32" w14:textId="77777777" w:rsidR="0057163C" w:rsidRPr="00170422" w:rsidRDefault="00F37BF9">
            <w:pPr>
              <w:pStyle w:val="P68B1DB1-Normal12"/>
              <w:spacing w:after="120"/>
              <w:rPr>
                <w:noProof/>
                <w:lang w:val="de-DE"/>
              </w:rPr>
            </w:pPr>
            <w:r w:rsidRPr="00170422">
              <w:rPr>
                <w:noProof/>
                <w:lang w:val="de-DE"/>
              </w:rPr>
              <w:t>wissenschaftliche/technologische/Innovationsfü</w:t>
            </w:r>
            <w:r w:rsidRPr="00170422">
              <w:rPr>
                <w:noProof/>
                <w:lang w:val="de-DE"/>
              </w:rPr>
              <w:t>hrerschaft, ihr Innovationspotenzial (sowohl in Bezug auf offene Innovation/offene Daten als auch für proprietäre Entwicklungen), ihre Übereinstimmung mit den Themenbereichen oder bei neuartigen disruptiven Entwicklungen, ihre Übersetzungs- und Innovations</w:t>
            </w:r>
            <w:r w:rsidRPr="00170422">
              <w:rPr>
                <w:noProof/>
                <w:lang w:val="de-DE"/>
              </w:rPr>
              <w:t>pläne, die Unterstützung durch die Industrie als Partner für offene Innovation und/oder als Nutzer, die Stärke der Geschäftsentwicklungstätigkeiten, die Generierung von Rechten des geistigen Eigentums, klare Regeln für die Unterscheidung zwischen offenen u</w:t>
            </w:r>
            <w:r w:rsidRPr="00170422">
              <w:rPr>
                <w:noProof/>
                <w:lang w:val="de-DE"/>
              </w:rPr>
              <w:t>nd geschützten Produktionsplänen und Lizenzierungsplänen, ihre Fähigkeit zur Entwicklung und Aufnahme industrieller Doktoranden, Verbindungen zu dem Unternehmen oder anderen Arten von Fonds, um die Entwicklung neuer Start-up-Unternehmen zu erleichtern.</w:t>
            </w:r>
          </w:p>
          <w:p w14:paraId="21AC61A5" w14:textId="77777777" w:rsidR="0057163C" w:rsidRPr="00170422" w:rsidRDefault="00F37BF9">
            <w:pPr>
              <w:pStyle w:val="P68B1DB1-Normal11"/>
              <w:spacing w:after="120"/>
              <w:rPr>
                <w:noProof/>
                <w:szCs w:val="20"/>
                <w:lang w:val="de-DE"/>
              </w:rPr>
            </w:pPr>
            <w:r w:rsidRPr="00170422">
              <w:rPr>
                <w:noProof/>
                <w:lang w:val="de-DE"/>
              </w:rPr>
              <w:t>Das</w:t>
            </w:r>
            <w:r w:rsidRPr="00170422">
              <w:rPr>
                <w:noProof/>
                <w:lang w:val="de-DE"/>
              </w:rPr>
              <w:t xml:space="preserve"> Auswahlverfahren erfordert eine DNSH-Bewertung und gegebenenfalls eine strategische Umweltprüfung (SUP), falls davon auszugehen ist, dass das Projekt kohärente Auswirkungen auf das Gebiet hat.</w:t>
            </w:r>
          </w:p>
        </w:tc>
      </w:tr>
      <w:tr w:rsidR="0057163C" w:rsidRPr="00170422" w14:paraId="476EE27A" w14:textId="77777777" w:rsidTr="000B7F7C">
        <w:trPr>
          <w:trHeight w:val="313"/>
        </w:trPr>
        <w:tc>
          <w:tcPr>
            <w:tcW w:w="1441" w:type="dxa"/>
            <w:shd w:val="clear" w:color="auto" w:fill="C6EFCE"/>
            <w:noWrap/>
            <w:vAlign w:val="center"/>
          </w:tcPr>
          <w:p w14:paraId="1C033813" w14:textId="77777777" w:rsidR="0057163C" w:rsidRPr="00170422" w:rsidRDefault="00F37BF9">
            <w:pPr>
              <w:pStyle w:val="P68B1DB1-Normal11"/>
              <w:spacing w:after="120"/>
              <w:jc w:val="center"/>
              <w:rPr>
                <w:noProof/>
                <w:szCs w:val="20"/>
                <w:lang w:val="de-DE"/>
              </w:rPr>
            </w:pPr>
            <w:r w:rsidRPr="00170422">
              <w:rPr>
                <w:noProof/>
                <w:lang w:val="de-DE"/>
              </w:rPr>
              <w:t>M4C2-18</w:t>
            </w:r>
          </w:p>
        </w:tc>
        <w:tc>
          <w:tcPr>
            <w:tcW w:w="1395" w:type="dxa"/>
            <w:shd w:val="clear" w:color="auto" w:fill="C6EFCE"/>
            <w:noWrap/>
            <w:vAlign w:val="center"/>
          </w:tcPr>
          <w:p w14:paraId="428AFF0D" w14:textId="77777777" w:rsidR="0057163C" w:rsidRPr="00170422" w:rsidRDefault="00F37BF9">
            <w:pPr>
              <w:pStyle w:val="P68B1DB1-Normal11"/>
              <w:spacing w:after="120"/>
              <w:jc w:val="center"/>
              <w:rPr>
                <w:noProof/>
                <w:szCs w:val="20"/>
                <w:lang w:val="de-DE"/>
              </w:rPr>
            </w:pPr>
            <w:r w:rsidRPr="00170422">
              <w:rPr>
                <w:noProof/>
                <w:lang w:val="de-DE"/>
              </w:rPr>
              <w:t xml:space="preserve">Invement1.5: Schaffung und Stärkung von </w:t>
            </w:r>
            <w:r w:rsidRPr="00170422">
              <w:rPr>
                <w:noProof/>
                <w:lang w:val="de-DE"/>
              </w:rPr>
              <w:t>„Innovationsökosystemen für Nachhaltigkeit“, Aufbau von „territorialen führenden F &amp; E“</w:t>
            </w:r>
          </w:p>
        </w:tc>
        <w:tc>
          <w:tcPr>
            <w:tcW w:w="1388" w:type="dxa"/>
            <w:shd w:val="clear" w:color="auto" w:fill="C6EFCE"/>
            <w:noWrap/>
            <w:vAlign w:val="center"/>
          </w:tcPr>
          <w:p w14:paraId="696780DE"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418" w:type="dxa"/>
            <w:shd w:val="clear" w:color="auto" w:fill="C6EFCE"/>
            <w:noWrap/>
            <w:vAlign w:val="center"/>
          </w:tcPr>
          <w:p w14:paraId="42C7BB1C" w14:textId="6E22095B" w:rsidR="0057163C" w:rsidRPr="00170422" w:rsidRDefault="00F37BF9">
            <w:pPr>
              <w:pStyle w:val="P68B1DB1-Normal11"/>
              <w:spacing w:after="120"/>
              <w:jc w:val="center"/>
              <w:rPr>
                <w:noProof/>
                <w:szCs w:val="20"/>
                <w:lang w:val="de-DE"/>
              </w:rPr>
            </w:pPr>
            <w:r w:rsidRPr="00170422">
              <w:rPr>
                <w:noProof/>
                <w:lang w:val="de-DE"/>
              </w:rPr>
              <w:t>Vergabe von Aufträgen für Projekte, die Innovationsökosysteme betreffen;</w:t>
            </w:r>
          </w:p>
        </w:tc>
        <w:tc>
          <w:tcPr>
            <w:tcW w:w="1559" w:type="dxa"/>
            <w:shd w:val="clear" w:color="auto" w:fill="C6EFCE"/>
            <w:noWrap/>
            <w:vAlign w:val="center"/>
          </w:tcPr>
          <w:p w14:paraId="036201AF" w14:textId="77777777" w:rsidR="0057163C" w:rsidRPr="00170422" w:rsidRDefault="00F37BF9">
            <w:pPr>
              <w:pStyle w:val="P68B1DB1-Normal11"/>
              <w:spacing w:after="120"/>
              <w:jc w:val="center"/>
              <w:rPr>
                <w:noProof/>
                <w:szCs w:val="20"/>
                <w:lang w:val="de-DE"/>
              </w:rPr>
            </w:pPr>
            <w:r w:rsidRPr="00170422">
              <w:rPr>
                <w:noProof/>
                <w:lang w:val="de-DE"/>
              </w:rPr>
              <w:t>Mitteilung über die Auftragsvergabe</w:t>
            </w:r>
          </w:p>
        </w:tc>
        <w:tc>
          <w:tcPr>
            <w:tcW w:w="1276" w:type="dxa"/>
            <w:shd w:val="clear" w:color="auto" w:fill="C6EFCE"/>
            <w:noWrap/>
            <w:vAlign w:val="center"/>
          </w:tcPr>
          <w:p w14:paraId="61E74840"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417" w:type="dxa"/>
            <w:shd w:val="clear" w:color="auto" w:fill="C6EFCE"/>
            <w:noWrap/>
            <w:vAlign w:val="center"/>
          </w:tcPr>
          <w:p w14:paraId="00CBA981"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198" w:type="dxa"/>
            <w:shd w:val="clear" w:color="auto" w:fill="C6EFCE"/>
            <w:noWrap/>
            <w:vAlign w:val="center"/>
          </w:tcPr>
          <w:p w14:paraId="20325CB5"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009" w:type="dxa"/>
            <w:shd w:val="clear" w:color="auto" w:fill="C6EFCE"/>
            <w:noWrap/>
            <w:vAlign w:val="center"/>
          </w:tcPr>
          <w:p w14:paraId="471B50FD"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861" w:type="dxa"/>
            <w:shd w:val="clear" w:color="auto" w:fill="C6EFCE"/>
            <w:noWrap/>
            <w:vAlign w:val="center"/>
          </w:tcPr>
          <w:p w14:paraId="7DFED8F4" w14:textId="77777777" w:rsidR="0057163C" w:rsidRPr="00170422" w:rsidRDefault="00F37BF9">
            <w:pPr>
              <w:pStyle w:val="P68B1DB1-Normal11"/>
              <w:spacing w:after="120"/>
              <w:jc w:val="center"/>
              <w:rPr>
                <w:noProof/>
                <w:szCs w:val="20"/>
                <w:lang w:val="de-DE"/>
              </w:rPr>
            </w:pPr>
            <w:r w:rsidRPr="00170422">
              <w:rPr>
                <w:noProof/>
                <w:lang w:val="de-DE"/>
              </w:rPr>
              <w:t>2022</w:t>
            </w:r>
          </w:p>
        </w:tc>
        <w:tc>
          <w:tcPr>
            <w:tcW w:w="2452" w:type="dxa"/>
            <w:shd w:val="clear" w:color="auto" w:fill="C6EFCE"/>
            <w:noWrap/>
            <w:vAlign w:val="center"/>
          </w:tcPr>
          <w:p w14:paraId="34D60579" w14:textId="2ACDD0CF" w:rsidR="0057163C" w:rsidRPr="00170422" w:rsidRDefault="00F37BF9">
            <w:pPr>
              <w:pStyle w:val="P68B1DB1-Normal12"/>
              <w:spacing w:after="120"/>
              <w:rPr>
                <w:noProof/>
                <w:lang w:val="de-DE"/>
              </w:rPr>
            </w:pPr>
            <w:r w:rsidRPr="00170422">
              <w:rPr>
                <w:noProof/>
                <w:lang w:val="de-DE"/>
              </w:rPr>
              <w:t>Benachrichtigung über die Vergabe der Aufträge an die im Rahmen der wettbewerblichen Aufforderungen zur Einreichung von Vorschlägen ausgewählten Projekte im Einklang mit den technischen Leitlinien „Vermeidung erheblicher Beeinträchtigungen“ (2021/C58/01) d</w:t>
            </w:r>
            <w:r w:rsidRPr="00170422">
              <w:rPr>
                <w:noProof/>
                <w:lang w:val="de-DE"/>
              </w:rPr>
              <w:t>urch Verwendung einer Ausschlussliste und der Anforderung der Einhaltung der einschlägigen EU- und nationalen Umweltvorschriften.</w:t>
            </w:r>
          </w:p>
          <w:p w14:paraId="119CBE1D" w14:textId="77777777" w:rsidR="0057163C" w:rsidRPr="00170422" w:rsidRDefault="00F37BF9">
            <w:pPr>
              <w:pStyle w:val="P68B1DB1-Normal11"/>
              <w:spacing w:after="120"/>
              <w:rPr>
                <w:noProof/>
                <w:szCs w:val="20"/>
                <w:lang w:val="de-DE"/>
              </w:rPr>
            </w:pPr>
            <w:r w:rsidRPr="00170422">
              <w:rPr>
                <w:noProof/>
                <w:lang w:val="de-DE"/>
              </w:rPr>
              <w:t>Das Auswahlverfahren erfordert eine DNSH-Bewertung und gegebenenfalls eine strategische Umweltprüfung (SUP), falls davon auszu</w:t>
            </w:r>
            <w:r w:rsidRPr="00170422">
              <w:rPr>
                <w:noProof/>
                <w:lang w:val="de-DE"/>
              </w:rPr>
              <w:t>gehen ist, dass das Projekt kohärente Auswirkungen auf das Gebiet hat.</w:t>
            </w:r>
          </w:p>
          <w:p w14:paraId="45361921" w14:textId="77777777" w:rsidR="0057163C" w:rsidRPr="00170422" w:rsidRDefault="00F37BF9">
            <w:pPr>
              <w:pStyle w:val="P68B1DB1-Normal11"/>
              <w:spacing w:after="120"/>
              <w:rPr>
                <w:noProof/>
                <w:szCs w:val="20"/>
                <w:lang w:val="de-DE"/>
              </w:rPr>
            </w:pPr>
            <w:r w:rsidRPr="00170422">
              <w:rPr>
                <w:noProof/>
                <w:lang w:val="de-DE"/>
              </w:rPr>
              <w:t>Die nationalen Zentren werden im Anschluss an einen wettbewerbsorientierten Aufruf geschaffen, indem bestehende weltweit führende Labors, die bereits in Universitäten tätig sind, und öf</w:t>
            </w:r>
            <w:r w:rsidRPr="00170422">
              <w:rPr>
                <w:noProof/>
                <w:lang w:val="de-DE"/>
              </w:rPr>
              <w:t>fentliche und private Forschungszentren zusammengeführt werden und eine neue maßgeschneiderte Infrastruktur geschaffen wird.</w:t>
            </w:r>
          </w:p>
        </w:tc>
      </w:tr>
      <w:tr w:rsidR="0057163C" w:rsidRPr="00170422" w14:paraId="51C9DDEE" w14:textId="77777777" w:rsidTr="000B7F7C">
        <w:trPr>
          <w:trHeight w:val="313"/>
        </w:trPr>
        <w:tc>
          <w:tcPr>
            <w:tcW w:w="1441" w:type="dxa"/>
            <w:shd w:val="clear" w:color="auto" w:fill="C6EFCE"/>
            <w:noWrap/>
            <w:vAlign w:val="center"/>
          </w:tcPr>
          <w:p w14:paraId="03F333D9" w14:textId="77777777" w:rsidR="0057163C" w:rsidRPr="00170422" w:rsidRDefault="00F37BF9">
            <w:pPr>
              <w:pStyle w:val="P68B1DB1-Normal12"/>
              <w:jc w:val="center"/>
              <w:rPr>
                <w:noProof/>
                <w:lang w:val="de-DE"/>
              </w:rPr>
            </w:pPr>
            <w:r w:rsidRPr="00170422">
              <w:rPr>
                <w:noProof/>
                <w:lang w:val="de-DE"/>
              </w:rPr>
              <w:t>M4C2-18 Bis</w:t>
            </w:r>
          </w:p>
        </w:tc>
        <w:tc>
          <w:tcPr>
            <w:tcW w:w="1395" w:type="dxa"/>
            <w:shd w:val="clear" w:color="auto" w:fill="C6EFCE"/>
            <w:noWrap/>
            <w:vAlign w:val="center"/>
          </w:tcPr>
          <w:p w14:paraId="2418B0EC" w14:textId="34D06CA4" w:rsidR="0057163C" w:rsidRPr="00170422" w:rsidRDefault="00F37BF9">
            <w:pPr>
              <w:pStyle w:val="P68B1DB1-Normal12"/>
              <w:jc w:val="center"/>
              <w:rPr>
                <w:noProof/>
                <w:lang w:val="de-DE"/>
              </w:rPr>
            </w:pPr>
            <w:r w:rsidRPr="00170422">
              <w:rPr>
                <w:noProof/>
                <w:lang w:val="de-DE"/>
              </w:rPr>
              <w:t>Invement1.5: „Innovationsökosysteme für Nachhaltigkeit“, Aufbau einer „territorialen Führungsposition in Forschung und</w:t>
            </w:r>
            <w:r w:rsidRPr="00170422">
              <w:rPr>
                <w:noProof/>
                <w:lang w:val="de-DE"/>
              </w:rPr>
              <w:t xml:space="preserve"> Entwicklung“</w:t>
            </w:r>
          </w:p>
        </w:tc>
        <w:tc>
          <w:tcPr>
            <w:tcW w:w="1388" w:type="dxa"/>
            <w:shd w:val="clear" w:color="auto" w:fill="C6EFCE"/>
            <w:noWrap/>
            <w:vAlign w:val="center"/>
          </w:tcPr>
          <w:p w14:paraId="62482433"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tcPr>
          <w:p w14:paraId="04A1A9E6" w14:textId="3AE4A872" w:rsidR="0057163C" w:rsidRPr="00170422" w:rsidRDefault="00F37BF9">
            <w:pPr>
              <w:pStyle w:val="P68B1DB1-Normal12"/>
              <w:jc w:val="center"/>
              <w:rPr>
                <w:noProof/>
                <w:lang w:val="de-DE"/>
              </w:rPr>
            </w:pPr>
            <w:r w:rsidRPr="00170422">
              <w:rPr>
                <w:noProof/>
                <w:lang w:val="de-DE"/>
              </w:rPr>
              <w:t>Von den Innovationsökosystemen durchgeführte Tätigkeiten</w:t>
            </w:r>
          </w:p>
        </w:tc>
        <w:tc>
          <w:tcPr>
            <w:tcW w:w="1559" w:type="dxa"/>
            <w:shd w:val="clear" w:color="auto" w:fill="C6EFCE"/>
            <w:noWrap/>
            <w:vAlign w:val="center"/>
          </w:tcPr>
          <w:p w14:paraId="48FF8936" w14:textId="77777777" w:rsidR="0057163C" w:rsidRPr="00170422" w:rsidRDefault="00F37BF9">
            <w:pPr>
              <w:pStyle w:val="P68B1DB1-Normal11"/>
              <w:jc w:val="center"/>
              <w:rPr>
                <w:noProof/>
                <w:szCs w:val="20"/>
                <w:lang w:val="de-DE"/>
              </w:rPr>
            </w:pPr>
            <w:r w:rsidRPr="00170422">
              <w:rPr>
                <w:noProof/>
                <w:lang w:val="de-DE"/>
              </w:rPr>
              <w:t>KEINE ANGABE</w:t>
            </w:r>
          </w:p>
        </w:tc>
        <w:tc>
          <w:tcPr>
            <w:tcW w:w="1276" w:type="dxa"/>
            <w:shd w:val="clear" w:color="auto" w:fill="C6EFCE"/>
            <w:noWrap/>
            <w:vAlign w:val="center"/>
          </w:tcPr>
          <w:p w14:paraId="0E3FC05A"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tcPr>
          <w:p w14:paraId="3EC2E71B"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tcPr>
          <w:p w14:paraId="5628C94E" w14:textId="77777777" w:rsidR="0057163C" w:rsidRPr="00170422" w:rsidRDefault="00F37BF9">
            <w:pPr>
              <w:pStyle w:val="P68B1DB1-Normal11"/>
              <w:jc w:val="center"/>
              <w:rPr>
                <w:noProof/>
                <w:szCs w:val="20"/>
                <w:lang w:val="de-DE"/>
              </w:rPr>
            </w:pPr>
            <w:r w:rsidRPr="00170422">
              <w:rPr>
                <w:noProof/>
                <w:lang w:val="de-DE"/>
              </w:rPr>
              <w:t>10</w:t>
            </w:r>
          </w:p>
        </w:tc>
        <w:tc>
          <w:tcPr>
            <w:tcW w:w="1009" w:type="dxa"/>
            <w:shd w:val="clear" w:color="auto" w:fill="C6EFCE"/>
            <w:noWrap/>
            <w:vAlign w:val="center"/>
          </w:tcPr>
          <w:p w14:paraId="75BF8EA6"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tcPr>
          <w:p w14:paraId="50D063ED" w14:textId="77777777" w:rsidR="0057163C" w:rsidRPr="00170422" w:rsidRDefault="00F37BF9">
            <w:pPr>
              <w:pStyle w:val="P68B1DB1-Normal11"/>
              <w:jc w:val="center"/>
              <w:rPr>
                <w:noProof/>
                <w:szCs w:val="20"/>
                <w:lang w:val="de-DE"/>
              </w:rPr>
            </w:pPr>
            <w:r w:rsidRPr="00170422">
              <w:rPr>
                <w:noProof/>
                <w:lang w:val="de-DE"/>
              </w:rPr>
              <w:t>2026</w:t>
            </w:r>
          </w:p>
        </w:tc>
        <w:tc>
          <w:tcPr>
            <w:tcW w:w="2452" w:type="dxa"/>
            <w:shd w:val="clear" w:color="auto" w:fill="C6EFCE"/>
            <w:noWrap/>
            <w:vAlign w:val="center"/>
          </w:tcPr>
          <w:p w14:paraId="65964B0B" w14:textId="77777777" w:rsidR="0057163C" w:rsidRPr="00170422" w:rsidRDefault="00F37BF9">
            <w:pPr>
              <w:pStyle w:val="P68B1DB1-Normal12"/>
              <w:rPr>
                <w:noProof/>
                <w:lang w:val="de-DE"/>
              </w:rPr>
            </w:pPr>
            <w:r w:rsidRPr="00170422">
              <w:rPr>
                <w:noProof/>
                <w:lang w:val="de-DE"/>
              </w:rPr>
              <w:t>Der Abschluss von Forschungstätigkeiten für mindestens zehn Innovationsökosysteme wird veröffentlicht.</w:t>
            </w:r>
          </w:p>
        </w:tc>
      </w:tr>
      <w:tr w:rsidR="0057163C" w:rsidRPr="00170422" w14:paraId="05602867" w14:textId="77777777" w:rsidTr="000B7F7C">
        <w:trPr>
          <w:trHeight w:val="313"/>
        </w:trPr>
        <w:tc>
          <w:tcPr>
            <w:tcW w:w="1441" w:type="dxa"/>
            <w:shd w:val="clear" w:color="auto" w:fill="C6EFCE"/>
            <w:noWrap/>
            <w:vAlign w:val="center"/>
          </w:tcPr>
          <w:p w14:paraId="4853D3BE" w14:textId="77777777" w:rsidR="0057163C" w:rsidRPr="00170422" w:rsidRDefault="00F37BF9">
            <w:pPr>
              <w:pStyle w:val="P68B1DB1-Normal11"/>
              <w:jc w:val="center"/>
              <w:rPr>
                <w:noProof/>
                <w:szCs w:val="20"/>
                <w:lang w:val="de-DE"/>
              </w:rPr>
            </w:pPr>
            <w:r w:rsidRPr="00170422">
              <w:rPr>
                <w:noProof/>
                <w:lang w:val="de-DE"/>
              </w:rPr>
              <w:t>M4C2-19</w:t>
            </w:r>
          </w:p>
        </w:tc>
        <w:tc>
          <w:tcPr>
            <w:tcW w:w="1395" w:type="dxa"/>
            <w:shd w:val="clear" w:color="auto" w:fill="C6EFCE"/>
            <w:noWrap/>
            <w:vAlign w:val="center"/>
          </w:tcPr>
          <w:p w14:paraId="52EF0986" w14:textId="77777777" w:rsidR="0057163C" w:rsidRPr="00170422" w:rsidRDefault="00F37BF9">
            <w:pPr>
              <w:pStyle w:val="P68B1DB1-Normal11"/>
              <w:jc w:val="center"/>
              <w:rPr>
                <w:noProof/>
                <w:szCs w:val="20"/>
                <w:lang w:val="de-DE"/>
              </w:rPr>
            </w:pPr>
            <w:r w:rsidRPr="00170422">
              <w:rPr>
                <w:noProof/>
                <w:lang w:val="de-DE"/>
              </w:rPr>
              <w:t xml:space="preserve">Investition 1.4: Stärkung der </w:t>
            </w:r>
            <w:r w:rsidRPr="00170422">
              <w:rPr>
                <w:noProof/>
                <w:lang w:val="de-DE"/>
              </w:rPr>
              <w:t>Forschungsstrukturen und Unterstützung der Schaffung „nationaler FuE-Führer“ zu einigen Schlüsseltechnologien</w:t>
            </w:r>
          </w:p>
        </w:tc>
        <w:tc>
          <w:tcPr>
            <w:tcW w:w="1388" w:type="dxa"/>
            <w:shd w:val="clear" w:color="auto" w:fill="C6EFCE"/>
            <w:noWrap/>
            <w:vAlign w:val="center"/>
          </w:tcPr>
          <w:p w14:paraId="374D29EE"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vAlign w:val="center"/>
          </w:tcPr>
          <w:p w14:paraId="264E578B" w14:textId="77777777" w:rsidR="0057163C" w:rsidRPr="00170422" w:rsidRDefault="00F37BF9">
            <w:pPr>
              <w:pStyle w:val="P68B1DB1-Normal11"/>
              <w:jc w:val="center"/>
              <w:rPr>
                <w:noProof/>
                <w:szCs w:val="20"/>
                <w:lang w:val="de-DE"/>
              </w:rPr>
            </w:pPr>
            <w:r w:rsidRPr="00170422">
              <w:rPr>
                <w:noProof/>
                <w:lang w:val="de-DE"/>
              </w:rPr>
              <w:t>Vergabe von Aufträgen für Projekte, die nationale FuE-Leiter im Bereich Schlüsseltechnologien betreffen</w:t>
            </w:r>
          </w:p>
        </w:tc>
        <w:tc>
          <w:tcPr>
            <w:tcW w:w="1559" w:type="dxa"/>
            <w:shd w:val="clear" w:color="auto" w:fill="C6EFCE"/>
            <w:noWrap/>
            <w:vAlign w:val="center"/>
          </w:tcPr>
          <w:p w14:paraId="26813F4C" w14:textId="77777777" w:rsidR="0057163C" w:rsidRPr="00170422" w:rsidRDefault="00F37BF9">
            <w:pPr>
              <w:pStyle w:val="P68B1DB1-Normal11"/>
              <w:jc w:val="center"/>
              <w:rPr>
                <w:noProof/>
                <w:szCs w:val="20"/>
                <w:lang w:val="de-DE"/>
              </w:rPr>
            </w:pPr>
            <w:r w:rsidRPr="00170422">
              <w:rPr>
                <w:noProof/>
                <w:lang w:val="de-DE"/>
              </w:rPr>
              <w:t xml:space="preserve">Mitteilung über die </w:t>
            </w:r>
            <w:r w:rsidRPr="00170422">
              <w:rPr>
                <w:noProof/>
                <w:lang w:val="de-DE"/>
              </w:rPr>
              <w:t>Auftragsvergabe</w:t>
            </w:r>
          </w:p>
        </w:tc>
        <w:tc>
          <w:tcPr>
            <w:tcW w:w="1276" w:type="dxa"/>
            <w:shd w:val="clear" w:color="auto" w:fill="C6EFCE"/>
            <w:noWrap/>
            <w:vAlign w:val="center"/>
          </w:tcPr>
          <w:p w14:paraId="47660B3E"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noWrap/>
            <w:vAlign w:val="center"/>
          </w:tcPr>
          <w:p w14:paraId="30CA320D" w14:textId="77777777" w:rsidR="0057163C" w:rsidRPr="00170422" w:rsidRDefault="00F37BF9">
            <w:pPr>
              <w:pStyle w:val="P68B1DB1-Normal11"/>
              <w:jc w:val="center"/>
              <w:rPr>
                <w:noProof/>
                <w:szCs w:val="20"/>
                <w:lang w:val="de-DE"/>
              </w:rPr>
            </w:pPr>
            <w:r w:rsidRPr="00170422">
              <w:rPr>
                <w:noProof/>
                <w:lang w:val="de-DE"/>
              </w:rPr>
              <w:t>ENTFÄLLT.</w:t>
            </w:r>
          </w:p>
        </w:tc>
        <w:tc>
          <w:tcPr>
            <w:tcW w:w="1198" w:type="dxa"/>
            <w:shd w:val="clear" w:color="auto" w:fill="C6EFCE"/>
            <w:noWrap/>
            <w:vAlign w:val="center"/>
          </w:tcPr>
          <w:p w14:paraId="57EEDF1C" w14:textId="77777777" w:rsidR="0057163C" w:rsidRPr="00170422" w:rsidRDefault="00F37BF9">
            <w:pPr>
              <w:pStyle w:val="P68B1DB1-Normal11"/>
              <w:jc w:val="center"/>
              <w:rPr>
                <w:noProof/>
                <w:szCs w:val="20"/>
                <w:lang w:val="de-DE"/>
              </w:rPr>
            </w:pPr>
            <w:r w:rsidRPr="00170422">
              <w:rPr>
                <w:noProof/>
                <w:lang w:val="de-DE"/>
              </w:rPr>
              <w:t>N</w:t>
            </w:r>
          </w:p>
        </w:tc>
        <w:tc>
          <w:tcPr>
            <w:tcW w:w="1009" w:type="dxa"/>
            <w:shd w:val="clear" w:color="auto" w:fill="C6EFCE"/>
            <w:noWrap/>
            <w:vAlign w:val="center"/>
          </w:tcPr>
          <w:p w14:paraId="01F20C78"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tcPr>
          <w:p w14:paraId="3DD4FC29" w14:textId="77777777" w:rsidR="0057163C" w:rsidRPr="00170422" w:rsidRDefault="00F37BF9">
            <w:pPr>
              <w:pStyle w:val="P68B1DB1-Normal11"/>
              <w:jc w:val="center"/>
              <w:rPr>
                <w:noProof/>
                <w:szCs w:val="20"/>
                <w:lang w:val="de-DE"/>
              </w:rPr>
            </w:pPr>
            <w:r w:rsidRPr="00170422">
              <w:rPr>
                <w:noProof/>
                <w:lang w:val="de-DE"/>
              </w:rPr>
              <w:t>2022</w:t>
            </w:r>
          </w:p>
        </w:tc>
        <w:tc>
          <w:tcPr>
            <w:tcW w:w="2452" w:type="dxa"/>
            <w:shd w:val="clear" w:color="auto" w:fill="C6EFCE"/>
            <w:noWrap/>
            <w:vAlign w:val="center"/>
          </w:tcPr>
          <w:p w14:paraId="2EDA7CF3" w14:textId="77777777" w:rsidR="0057163C" w:rsidRPr="00170422" w:rsidRDefault="00F37BF9">
            <w:pPr>
              <w:pStyle w:val="P68B1DB1-Normal12"/>
              <w:spacing w:after="120"/>
              <w:rPr>
                <w:noProof/>
                <w:lang w:val="de-DE"/>
              </w:rPr>
            </w:pPr>
            <w:r w:rsidRPr="00170422">
              <w:rPr>
                <w:noProof/>
                <w:lang w:val="de-DE"/>
              </w:rPr>
              <w:t>Benachrichtigung über die Vergabe der Aufträge an die im Rahmen der wettbewerblichen Aufforderungen zur Einreichung von Vorschlägen ausgewählten Projekte im Einklang mit den technischen Leitlinien „Vermeidung e</w:t>
            </w:r>
            <w:r w:rsidRPr="00170422">
              <w:rPr>
                <w:noProof/>
                <w:lang w:val="de-DE"/>
              </w:rPr>
              <w:t>rheblicher Beeinträchtigungen“ (2021/C58/01) durch Verwendung einer Ausschlussliste und der Anforderung der Einhaltung der einschlägigen EU- und nationalen Umweltvorschriften.</w:t>
            </w:r>
          </w:p>
          <w:p w14:paraId="0EF84EC5" w14:textId="77777777" w:rsidR="0057163C" w:rsidRPr="00170422" w:rsidRDefault="00F37BF9">
            <w:pPr>
              <w:pStyle w:val="P68B1DB1-Normal11"/>
              <w:spacing w:after="120"/>
              <w:rPr>
                <w:noProof/>
                <w:szCs w:val="20"/>
                <w:lang w:val="de-DE"/>
              </w:rPr>
            </w:pPr>
            <w:r w:rsidRPr="00170422">
              <w:rPr>
                <w:noProof/>
                <w:lang w:val="de-DE"/>
              </w:rPr>
              <w:t>Die Projekte werden für 30 % der Mittel als Interventionen „Forschungs- und Inno</w:t>
            </w:r>
            <w:r w:rsidRPr="00170422">
              <w:rPr>
                <w:noProof/>
                <w:lang w:val="de-DE"/>
              </w:rPr>
              <w:t xml:space="preserve">vationsprozesse, Technologietransfer und Zusammenarbeit zwischen Unternehmen mit Schwerpunkt auf der CO2-armen Wirtschaft, Resilienz und Anpassung an den Klimawandel“ (IF022) und für 15 % der Mittel als Interventionen „Forschungs- und Innovationsprozesse, </w:t>
            </w:r>
            <w:r w:rsidRPr="00170422">
              <w:rPr>
                <w:noProof/>
                <w:lang w:val="de-DE"/>
              </w:rPr>
              <w:t>Technologietransfer und Zusammenarbeit zwischen Unternehmen mit Schwerpunkt auf der Kreislaufwirtschaft“ (IF023) ausgewählt.</w:t>
            </w:r>
          </w:p>
          <w:p w14:paraId="66F2A2E5" w14:textId="77777777" w:rsidR="0057163C" w:rsidRPr="00170422" w:rsidRDefault="00F37BF9">
            <w:pPr>
              <w:pStyle w:val="P68B1DB1-Normal12"/>
              <w:spacing w:after="120"/>
              <w:rPr>
                <w:noProof/>
                <w:lang w:val="de-DE"/>
              </w:rPr>
            </w:pPr>
            <w:r w:rsidRPr="00170422">
              <w:rPr>
                <w:noProof/>
                <w:lang w:val="de-DE"/>
              </w:rPr>
              <w:t>Die Projekte werden unter Berücksichtigung ihrer Durchführbarkeit, ihrer Nachhaltigkeit, ihrer Kofinanzierung aus anderen Quellen (</w:t>
            </w:r>
            <w:r w:rsidRPr="00170422">
              <w:rPr>
                <w:noProof/>
                <w:lang w:val="de-DE"/>
              </w:rPr>
              <w:t>z. B. Regionalfonds), der Einbeziehung des produktiven Sektors, der Qualität der Partner und der Auswirkungen auf die soziale und ökologische Nachhaltigkeit bewertet. Die Aufforderung zur Einreichung von Vorschlägen zur Finanzierung von Projekten als Innov</w:t>
            </w:r>
            <w:r w:rsidRPr="00170422">
              <w:rPr>
                <w:noProof/>
                <w:lang w:val="de-DE"/>
              </w:rPr>
              <w:t>ationsökosysteme. Das Auswahlverfahren erfordert eine DNSH-Bewertung und gegebenenfalls eine strategische Umweltprüfung (SUP), falls davon auszugehen ist, dass das Projekt kohärente Auswirkungen auf das Gebiet hat.</w:t>
            </w:r>
          </w:p>
        </w:tc>
      </w:tr>
      <w:tr w:rsidR="0057163C" w:rsidRPr="00170422" w14:paraId="7B87238D" w14:textId="77777777" w:rsidTr="000B7F7C">
        <w:trPr>
          <w:trHeight w:val="313"/>
        </w:trPr>
        <w:tc>
          <w:tcPr>
            <w:tcW w:w="1441" w:type="dxa"/>
            <w:shd w:val="clear" w:color="auto" w:fill="C6EFCE"/>
            <w:noWrap/>
            <w:vAlign w:val="center"/>
            <w:hideMark/>
          </w:tcPr>
          <w:p w14:paraId="54FA9889" w14:textId="77777777" w:rsidR="0057163C" w:rsidRPr="00170422" w:rsidRDefault="00F37BF9">
            <w:pPr>
              <w:pStyle w:val="P68B1DB1-Normal11"/>
              <w:jc w:val="center"/>
              <w:rPr>
                <w:noProof/>
                <w:szCs w:val="20"/>
                <w:lang w:val="de-DE"/>
              </w:rPr>
            </w:pPr>
            <w:r w:rsidRPr="00170422">
              <w:rPr>
                <w:noProof/>
                <w:lang w:val="de-DE"/>
              </w:rPr>
              <w:t>M4C2-20</w:t>
            </w:r>
          </w:p>
        </w:tc>
        <w:tc>
          <w:tcPr>
            <w:tcW w:w="1395" w:type="dxa"/>
            <w:shd w:val="clear" w:color="auto" w:fill="C6EFCE"/>
            <w:noWrap/>
            <w:vAlign w:val="center"/>
            <w:hideMark/>
          </w:tcPr>
          <w:p w14:paraId="2CBAA48D" w14:textId="77777777" w:rsidR="0057163C" w:rsidRPr="00170422" w:rsidRDefault="00F37BF9">
            <w:pPr>
              <w:pStyle w:val="P68B1DB1-Normal11"/>
              <w:jc w:val="center"/>
              <w:rPr>
                <w:noProof/>
                <w:szCs w:val="20"/>
                <w:lang w:val="de-DE"/>
              </w:rPr>
            </w:pPr>
            <w:r w:rsidRPr="00170422">
              <w:rPr>
                <w:noProof/>
                <w:lang w:val="de-DE"/>
              </w:rPr>
              <w:t xml:space="preserve">Investition 3.2: </w:t>
            </w:r>
            <w:r w:rsidRPr="00170422">
              <w:rPr>
                <w:noProof/>
                <w:lang w:val="de-DE"/>
              </w:rPr>
              <w:t>Kapitalzuführung in den Fonds für den digitalen Wandel (DTF)</w:t>
            </w:r>
          </w:p>
        </w:tc>
        <w:tc>
          <w:tcPr>
            <w:tcW w:w="1388" w:type="dxa"/>
            <w:shd w:val="clear" w:color="auto" w:fill="C6EFCE"/>
            <w:noWrap/>
            <w:vAlign w:val="center"/>
            <w:hideMark/>
          </w:tcPr>
          <w:p w14:paraId="0F477477"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vAlign w:val="center"/>
            <w:hideMark/>
          </w:tcPr>
          <w:p w14:paraId="434BB865" w14:textId="77777777" w:rsidR="0057163C" w:rsidRPr="00170422" w:rsidRDefault="00F37BF9">
            <w:pPr>
              <w:pStyle w:val="P68B1DB1-Normal11"/>
              <w:jc w:val="center"/>
              <w:rPr>
                <w:noProof/>
                <w:szCs w:val="20"/>
                <w:lang w:val="de-DE"/>
              </w:rPr>
            </w:pPr>
            <w:r w:rsidRPr="00170422">
              <w:rPr>
                <w:noProof/>
                <w:lang w:val="de-DE"/>
              </w:rPr>
              <w:t>Unterzeichnung der Vereinbarung zwischen der IT-Regierung und dem Durchführungspartner Cassa Depositi e Prestiti (CDP) über das Finanzierungsinstrument</w:t>
            </w:r>
          </w:p>
        </w:tc>
        <w:tc>
          <w:tcPr>
            <w:tcW w:w="1559" w:type="dxa"/>
            <w:shd w:val="clear" w:color="auto" w:fill="C6EFCE"/>
            <w:noWrap/>
            <w:vAlign w:val="center"/>
            <w:hideMark/>
          </w:tcPr>
          <w:p w14:paraId="4AEDD940" w14:textId="77777777" w:rsidR="0057163C" w:rsidRPr="00170422" w:rsidRDefault="00F37BF9">
            <w:pPr>
              <w:pStyle w:val="P68B1DB1-Normal11"/>
              <w:jc w:val="center"/>
              <w:rPr>
                <w:noProof/>
                <w:szCs w:val="20"/>
                <w:lang w:val="de-DE"/>
              </w:rPr>
            </w:pPr>
            <w:r w:rsidRPr="00170422">
              <w:rPr>
                <w:noProof/>
                <w:lang w:val="de-DE"/>
              </w:rPr>
              <w:t xml:space="preserve">Die Vereinbarung wird von der </w:t>
            </w:r>
            <w:r w:rsidRPr="00170422">
              <w:rPr>
                <w:noProof/>
                <w:lang w:val="de-DE"/>
              </w:rPr>
              <w:t>italienischen Regierung und der Cassa Depositi e Prestiti unterzeichnet.</w:t>
            </w:r>
          </w:p>
        </w:tc>
        <w:tc>
          <w:tcPr>
            <w:tcW w:w="1276" w:type="dxa"/>
            <w:shd w:val="clear" w:color="auto" w:fill="C6EFCE"/>
            <w:noWrap/>
            <w:vAlign w:val="center"/>
            <w:hideMark/>
          </w:tcPr>
          <w:p w14:paraId="21B44EEF"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noWrap/>
            <w:vAlign w:val="center"/>
            <w:hideMark/>
          </w:tcPr>
          <w:p w14:paraId="1D44E2C5" w14:textId="77777777" w:rsidR="0057163C" w:rsidRPr="00170422" w:rsidRDefault="00F37BF9">
            <w:pPr>
              <w:pStyle w:val="P68B1DB1-Normal11"/>
              <w:jc w:val="center"/>
              <w:rPr>
                <w:noProof/>
                <w:szCs w:val="20"/>
                <w:lang w:val="de-DE"/>
              </w:rPr>
            </w:pPr>
            <w:r w:rsidRPr="00170422">
              <w:rPr>
                <w:noProof/>
                <w:lang w:val="de-DE"/>
              </w:rPr>
              <w:t>ENTFÄLLT.</w:t>
            </w:r>
          </w:p>
        </w:tc>
        <w:tc>
          <w:tcPr>
            <w:tcW w:w="1198" w:type="dxa"/>
            <w:shd w:val="clear" w:color="auto" w:fill="C6EFCE"/>
            <w:noWrap/>
            <w:vAlign w:val="center"/>
            <w:hideMark/>
          </w:tcPr>
          <w:p w14:paraId="76BC5F07" w14:textId="77777777" w:rsidR="0057163C" w:rsidRPr="00170422" w:rsidRDefault="00F37BF9">
            <w:pPr>
              <w:pStyle w:val="P68B1DB1-Normal11"/>
              <w:jc w:val="center"/>
              <w:rPr>
                <w:noProof/>
                <w:szCs w:val="20"/>
                <w:lang w:val="de-DE"/>
              </w:rPr>
            </w:pPr>
            <w:r w:rsidRPr="00170422">
              <w:rPr>
                <w:noProof/>
                <w:lang w:val="de-DE"/>
              </w:rPr>
              <w:t>ENTFÄLLT.</w:t>
            </w:r>
          </w:p>
        </w:tc>
        <w:tc>
          <w:tcPr>
            <w:tcW w:w="1009" w:type="dxa"/>
            <w:shd w:val="clear" w:color="auto" w:fill="C6EFCE"/>
            <w:noWrap/>
            <w:vAlign w:val="center"/>
            <w:hideMark/>
          </w:tcPr>
          <w:p w14:paraId="339689FA"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31380E2B" w14:textId="77777777" w:rsidR="0057163C" w:rsidRPr="00170422" w:rsidRDefault="00F37BF9">
            <w:pPr>
              <w:pStyle w:val="P68B1DB1-Normal11"/>
              <w:jc w:val="center"/>
              <w:rPr>
                <w:noProof/>
                <w:szCs w:val="20"/>
                <w:lang w:val="de-DE"/>
              </w:rPr>
            </w:pPr>
            <w:r w:rsidRPr="00170422">
              <w:rPr>
                <w:noProof/>
                <w:lang w:val="de-DE"/>
              </w:rPr>
              <w:t>2022</w:t>
            </w:r>
          </w:p>
        </w:tc>
        <w:tc>
          <w:tcPr>
            <w:tcW w:w="2452" w:type="dxa"/>
            <w:shd w:val="clear" w:color="auto" w:fill="C6EFCE"/>
            <w:noWrap/>
            <w:vAlign w:val="center"/>
            <w:hideMark/>
          </w:tcPr>
          <w:p w14:paraId="4E845300" w14:textId="77777777" w:rsidR="0057163C" w:rsidRPr="00170422" w:rsidRDefault="00F37BF9">
            <w:pPr>
              <w:pStyle w:val="P68B1DB1-Normal11"/>
              <w:rPr>
                <w:noProof/>
                <w:szCs w:val="20"/>
                <w:lang w:val="de-DE"/>
              </w:rPr>
            </w:pPr>
            <w:r w:rsidRPr="00170422">
              <w:rPr>
                <w:noProof/>
                <w:lang w:val="de-DE"/>
              </w:rPr>
              <w:t>Die Investitionspolitik/-strategie des Finanzinstruments umfasst folgende Elemente:</w:t>
            </w:r>
          </w:p>
          <w:p w14:paraId="4570F680"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 xml:space="preserve">Investitionsziele (Mittelausstattung, Anzahl der Vorhaben, </w:t>
            </w:r>
            <w:r w:rsidRPr="00170422">
              <w:rPr>
                <w:rFonts w:ascii="Arial Narrow" w:hAnsi="Arial Narrow"/>
                <w:noProof/>
                <w:color w:val="006100"/>
                <w:sz w:val="20"/>
                <w:lang w:val="de-DE"/>
              </w:rPr>
              <w:t>im Laufe der Zeit zu unterstützende Beträge, aufgeschlüsselt nach Begünstigten wie KMU und Midcap-Unternehmen/große Unternehmen)</w:t>
            </w:r>
          </w:p>
          <w:p w14:paraId="19AD5BA0"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Anwendungsbereich und förderfähige Begünstigte</w:t>
            </w:r>
          </w:p>
          <w:p w14:paraId="2AA0DBC6"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Förderfähige Finanzintermediäre und Auswahlverfahren</w:t>
            </w:r>
          </w:p>
          <w:p w14:paraId="781BFBD1"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Art der gewährten Unt</w:t>
            </w:r>
            <w:r w:rsidRPr="00170422">
              <w:rPr>
                <w:rFonts w:ascii="Arial Narrow" w:hAnsi="Arial Narrow"/>
                <w:noProof/>
                <w:color w:val="006100"/>
                <w:sz w:val="20"/>
                <w:lang w:val="de-DE"/>
              </w:rPr>
              <w:t>erstützung (z. B. Garantien, Darlehen, Beteiligungskapital und beteiligungsähnliche Beteiligungen)</w:t>
            </w:r>
          </w:p>
          <w:p w14:paraId="6498664D"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Gezielte Risiken/Rendite für jede Art von Anleger</w:t>
            </w:r>
          </w:p>
          <w:p w14:paraId="45998F09"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Risiko- und Geldwäschepolitik</w:t>
            </w:r>
          </w:p>
          <w:p w14:paraId="2F1117CC"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Governance (Partner, Fondsmanager, Vorstand, Investitionsausschuss, Rol</w:t>
            </w:r>
            <w:r w:rsidRPr="00170422">
              <w:rPr>
                <w:rFonts w:ascii="Arial Narrow" w:hAnsi="Arial Narrow"/>
                <w:noProof/>
                <w:color w:val="006100"/>
                <w:sz w:val="20"/>
                <w:lang w:val="de-DE"/>
              </w:rPr>
              <w:t>le und Zuständigkeiten)</w:t>
            </w:r>
          </w:p>
          <w:p w14:paraId="3DCACA8C"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Diversifizierungs- und Konzentrationsgrenzen</w:t>
            </w:r>
          </w:p>
          <w:p w14:paraId="27C923BE" w14:textId="77777777" w:rsidR="0057163C" w:rsidRPr="00170422" w:rsidRDefault="00F37BF9">
            <w:pPr>
              <w:ind w:left="176" w:hanging="176"/>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Eigenkapitalpolitik einschließlich Ausstiegsstrategie für Kapitalbeteiligungen</w:t>
            </w:r>
          </w:p>
          <w:p w14:paraId="6A6D036B" w14:textId="77777777" w:rsidR="0057163C" w:rsidRPr="00170422" w:rsidRDefault="00F37BF9">
            <w:pPr>
              <w:ind w:left="176" w:hanging="142"/>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DNSH- und Nachhaltigkeitsprüfungspolitik und Ausschlussliste</w:t>
            </w:r>
          </w:p>
          <w:p w14:paraId="73290014" w14:textId="77777777" w:rsidR="0057163C" w:rsidRPr="00170422" w:rsidRDefault="00F37BF9">
            <w:pPr>
              <w:ind w:left="176" w:hanging="142"/>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Kreditvergabepolitik für Schuldeninvest</w:t>
            </w:r>
            <w:r w:rsidRPr="00170422">
              <w:rPr>
                <w:rFonts w:ascii="Arial Narrow" w:hAnsi="Arial Narrow"/>
                <w:noProof/>
                <w:color w:val="006100"/>
                <w:sz w:val="20"/>
                <w:lang w:val="de-DE"/>
              </w:rPr>
              <w:t>itionen, einschließlich erforderlicher Garantien und Sicherheiten</w:t>
            </w:r>
          </w:p>
          <w:p w14:paraId="06F4E1CD" w14:textId="77777777" w:rsidR="0057163C" w:rsidRPr="00170422" w:rsidRDefault="00F37BF9">
            <w:pPr>
              <w:ind w:left="176" w:hanging="142"/>
              <w:rPr>
                <w:rFonts w:ascii="Arial Narrow" w:hAnsi="Arial Narrow"/>
                <w:noProof/>
                <w:color w:val="006100"/>
                <w:sz w:val="20"/>
                <w:szCs w:val="20"/>
                <w:lang w:val="de-DE"/>
              </w:rPr>
            </w:pPr>
            <w:r w:rsidRPr="00170422">
              <w:rPr>
                <w:rFonts w:ascii="Arial Narrow" w:hAnsi="Arial Narrow"/>
                <w:noProof/>
                <w:color w:val="006100"/>
                <w:sz w:val="20"/>
                <w:lang w:val="de-DE"/>
              </w:rPr>
              <w:t>-</w:t>
            </w:r>
            <w:r w:rsidRPr="00170422">
              <w:rPr>
                <w:noProof/>
                <w:lang w:val="de-DE"/>
              </w:rPr>
              <w:t xml:space="preserve"> </w:t>
            </w:r>
            <w:r w:rsidRPr="00170422">
              <w:rPr>
                <w:rFonts w:ascii="Arial Narrow" w:hAnsi="Arial Narrow"/>
                <w:noProof/>
                <w:color w:val="006100"/>
                <w:sz w:val="20"/>
                <w:lang w:val="de-DE"/>
              </w:rPr>
              <w:t>Zeitplan für die Mittelbeschaffung und -umsetzung</w:t>
            </w:r>
          </w:p>
        </w:tc>
      </w:tr>
      <w:tr w:rsidR="0057163C" w:rsidRPr="00170422" w14:paraId="6C967395" w14:textId="77777777" w:rsidTr="000B7F7C">
        <w:trPr>
          <w:trHeight w:val="313"/>
        </w:trPr>
        <w:tc>
          <w:tcPr>
            <w:tcW w:w="1441" w:type="dxa"/>
            <w:shd w:val="clear" w:color="auto" w:fill="C6EFCE"/>
            <w:noWrap/>
            <w:hideMark/>
          </w:tcPr>
          <w:p w14:paraId="0A6BCD44" w14:textId="77777777" w:rsidR="0057163C" w:rsidRPr="00170422" w:rsidRDefault="00F37BF9">
            <w:pPr>
              <w:pStyle w:val="P68B1DB1-Normal11"/>
              <w:jc w:val="center"/>
              <w:rPr>
                <w:noProof/>
                <w:szCs w:val="20"/>
                <w:lang w:val="de-DE"/>
              </w:rPr>
            </w:pPr>
            <w:r w:rsidRPr="00170422">
              <w:rPr>
                <w:noProof/>
                <w:lang w:val="de-DE"/>
              </w:rPr>
              <w:t>M4C2-21bis</w:t>
            </w:r>
          </w:p>
        </w:tc>
        <w:tc>
          <w:tcPr>
            <w:tcW w:w="1395" w:type="dxa"/>
            <w:shd w:val="clear" w:color="auto" w:fill="C6EFCE"/>
            <w:noWrap/>
            <w:hideMark/>
          </w:tcPr>
          <w:p w14:paraId="64AE52B0" w14:textId="77777777" w:rsidR="0057163C" w:rsidRPr="00170422" w:rsidRDefault="00F37BF9">
            <w:pPr>
              <w:pStyle w:val="P68B1DB1-Normal11"/>
              <w:jc w:val="center"/>
              <w:rPr>
                <w:noProof/>
                <w:szCs w:val="20"/>
                <w:lang w:val="de-DE"/>
              </w:rPr>
            </w:pPr>
            <w:r w:rsidRPr="00170422">
              <w:rPr>
                <w:noProof/>
                <w:lang w:val="de-DE"/>
              </w:rPr>
              <w:t>Investition 3.2 Kapitalzuführung in den Fonds für den digitalen Wandel (DTF)</w:t>
            </w:r>
          </w:p>
        </w:tc>
        <w:tc>
          <w:tcPr>
            <w:tcW w:w="1388" w:type="dxa"/>
            <w:shd w:val="clear" w:color="auto" w:fill="C6EFCE"/>
            <w:noWrap/>
            <w:hideMark/>
          </w:tcPr>
          <w:p w14:paraId="0EA7117E" w14:textId="77777777" w:rsidR="0057163C" w:rsidRPr="00170422" w:rsidRDefault="00F37BF9">
            <w:pPr>
              <w:pStyle w:val="P68B1DB1-Normal11"/>
              <w:jc w:val="center"/>
              <w:rPr>
                <w:noProof/>
                <w:szCs w:val="20"/>
                <w:lang w:val="de-DE"/>
              </w:rPr>
            </w:pPr>
            <w:r w:rsidRPr="00170422">
              <w:rPr>
                <w:noProof/>
                <w:lang w:val="de-DE"/>
              </w:rPr>
              <w:t>Meilenstein</w:t>
            </w:r>
          </w:p>
        </w:tc>
        <w:tc>
          <w:tcPr>
            <w:tcW w:w="1418" w:type="dxa"/>
            <w:shd w:val="clear" w:color="auto" w:fill="C6EFCE"/>
            <w:noWrap/>
            <w:hideMark/>
          </w:tcPr>
          <w:p w14:paraId="3A56C34D" w14:textId="77777777" w:rsidR="0057163C" w:rsidRPr="00170422" w:rsidRDefault="00F37BF9">
            <w:pPr>
              <w:pStyle w:val="P68B1DB1-Normal11"/>
              <w:jc w:val="center"/>
              <w:rPr>
                <w:noProof/>
                <w:szCs w:val="20"/>
                <w:lang w:val="de-DE"/>
              </w:rPr>
            </w:pPr>
            <w:r w:rsidRPr="00170422">
              <w:rPr>
                <w:noProof/>
                <w:lang w:val="de-DE"/>
              </w:rPr>
              <w:t xml:space="preserve">Kapitalzuführung in den Fonds für den digitalen Wandel </w:t>
            </w:r>
          </w:p>
        </w:tc>
        <w:tc>
          <w:tcPr>
            <w:tcW w:w="1559" w:type="dxa"/>
            <w:shd w:val="clear" w:color="auto" w:fill="C6EFCE"/>
            <w:noWrap/>
            <w:hideMark/>
          </w:tcPr>
          <w:p w14:paraId="2D8F211D" w14:textId="77777777" w:rsidR="0057163C" w:rsidRPr="00170422" w:rsidRDefault="00F37BF9">
            <w:pPr>
              <w:pStyle w:val="P68B1DB1-Normal11"/>
              <w:jc w:val="center"/>
              <w:rPr>
                <w:noProof/>
                <w:szCs w:val="20"/>
                <w:lang w:val="de-DE"/>
              </w:rPr>
            </w:pPr>
            <w:r w:rsidRPr="00170422">
              <w:rPr>
                <w:noProof/>
                <w:lang w:val="de-DE"/>
              </w:rPr>
              <w:t xml:space="preserve">Übertragungsbescheinigung </w:t>
            </w:r>
          </w:p>
        </w:tc>
        <w:tc>
          <w:tcPr>
            <w:tcW w:w="1276" w:type="dxa"/>
            <w:shd w:val="clear" w:color="auto" w:fill="C6EFCE"/>
            <w:noWrap/>
            <w:hideMark/>
          </w:tcPr>
          <w:p w14:paraId="66F61B97" w14:textId="77777777" w:rsidR="0057163C" w:rsidRPr="00170422" w:rsidRDefault="00F37BF9">
            <w:pPr>
              <w:pStyle w:val="P68B1DB1-Normal12"/>
              <w:jc w:val="center"/>
              <w:rPr>
                <w:noProof/>
                <w:lang w:val="de-DE"/>
              </w:rPr>
            </w:pPr>
            <w:r w:rsidRPr="00170422">
              <w:rPr>
                <w:noProof/>
                <w:lang w:val="de-DE"/>
              </w:rPr>
              <w:t>ENTFÄLLT.</w:t>
            </w:r>
          </w:p>
        </w:tc>
        <w:tc>
          <w:tcPr>
            <w:tcW w:w="1417" w:type="dxa"/>
            <w:shd w:val="clear" w:color="auto" w:fill="C6EFCE"/>
            <w:noWrap/>
            <w:hideMark/>
          </w:tcPr>
          <w:p w14:paraId="0A8D69B1" w14:textId="77777777" w:rsidR="0057163C" w:rsidRPr="00170422" w:rsidRDefault="00F37BF9">
            <w:pPr>
              <w:pStyle w:val="P68B1DB1-Normal12"/>
              <w:jc w:val="center"/>
              <w:rPr>
                <w:noProof/>
                <w:lang w:val="de-DE"/>
              </w:rPr>
            </w:pPr>
            <w:r w:rsidRPr="00170422">
              <w:rPr>
                <w:noProof/>
                <w:lang w:val="de-DE"/>
              </w:rPr>
              <w:t>ENTFÄLLT.</w:t>
            </w:r>
          </w:p>
        </w:tc>
        <w:tc>
          <w:tcPr>
            <w:tcW w:w="1198" w:type="dxa"/>
            <w:shd w:val="clear" w:color="auto" w:fill="C6EFCE"/>
            <w:noWrap/>
            <w:hideMark/>
          </w:tcPr>
          <w:p w14:paraId="6E1C6C1C" w14:textId="77777777" w:rsidR="0057163C" w:rsidRPr="00170422" w:rsidRDefault="00F37BF9">
            <w:pPr>
              <w:pStyle w:val="P68B1DB1-Normal12"/>
              <w:jc w:val="center"/>
              <w:rPr>
                <w:noProof/>
                <w:lang w:val="de-DE"/>
              </w:rPr>
            </w:pPr>
            <w:r w:rsidRPr="00170422">
              <w:rPr>
                <w:noProof/>
                <w:lang w:val="de-DE"/>
              </w:rPr>
              <w:t>ENTFÄLLT.</w:t>
            </w:r>
          </w:p>
        </w:tc>
        <w:tc>
          <w:tcPr>
            <w:tcW w:w="1009" w:type="dxa"/>
            <w:shd w:val="clear" w:color="auto" w:fill="C6EFCE"/>
            <w:noWrap/>
            <w:hideMark/>
          </w:tcPr>
          <w:p w14:paraId="536C72F2" w14:textId="77777777" w:rsidR="0057163C" w:rsidRPr="00170422" w:rsidRDefault="00F37BF9">
            <w:pPr>
              <w:pStyle w:val="P68B1DB1-Normal11"/>
              <w:jc w:val="center"/>
              <w:rPr>
                <w:noProof/>
                <w:szCs w:val="20"/>
                <w:lang w:val="de-DE"/>
              </w:rPr>
            </w:pPr>
            <w:r w:rsidRPr="00170422">
              <w:rPr>
                <w:noProof/>
                <w:lang w:val="de-DE"/>
              </w:rPr>
              <w:t>4. QUARTAL</w:t>
            </w:r>
          </w:p>
        </w:tc>
        <w:tc>
          <w:tcPr>
            <w:tcW w:w="861" w:type="dxa"/>
            <w:shd w:val="clear" w:color="auto" w:fill="C6EFCE"/>
            <w:noWrap/>
            <w:hideMark/>
          </w:tcPr>
          <w:p w14:paraId="028282A9" w14:textId="77777777" w:rsidR="0057163C" w:rsidRPr="00170422" w:rsidRDefault="00F37BF9">
            <w:pPr>
              <w:pStyle w:val="P68B1DB1-Normal11"/>
              <w:jc w:val="center"/>
              <w:rPr>
                <w:noProof/>
                <w:szCs w:val="20"/>
                <w:lang w:val="de-DE"/>
              </w:rPr>
            </w:pPr>
            <w:r w:rsidRPr="00170422">
              <w:rPr>
                <w:noProof/>
                <w:lang w:val="de-DE"/>
              </w:rPr>
              <w:t>2024</w:t>
            </w:r>
          </w:p>
        </w:tc>
        <w:tc>
          <w:tcPr>
            <w:tcW w:w="2452" w:type="dxa"/>
            <w:shd w:val="clear" w:color="auto" w:fill="C6EFCE"/>
            <w:noWrap/>
            <w:hideMark/>
          </w:tcPr>
          <w:p w14:paraId="63DB5194" w14:textId="77777777" w:rsidR="0057163C" w:rsidRPr="00170422" w:rsidRDefault="00F37BF9">
            <w:pPr>
              <w:pStyle w:val="P68B1DB1-Normal11"/>
              <w:rPr>
                <w:noProof/>
                <w:szCs w:val="20"/>
                <w:lang w:val="de-DE"/>
              </w:rPr>
            </w:pPr>
            <w:r w:rsidRPr="00170422">
              <w:rPr>
                <w:noProof/>
                <w:szCs w:val="20"/>
                <w:lang w:val="de-DE"/>
              </w:rPr>
              <w:t>Italien überträgt 400000000 EUR an die DTF.</w:t>
            </w:r>
            <w:r w:rsidRPr="00170422">
              <w:rPr>
                <w:noProof/>
                <w:lang w:val="de-DE"/>
              </w:rPr>
              <w:t xml:space="preserve"> </w:t>
            </w:r>
          </w:p>
          <w:p w14:paraId="6FD57FD8" w14:textId="77777777" w:rsidR="0057163C" w:rsidRPr="00170422" w:rsidRDefault="00F37BF9">
            <w:pPr>
              <w:pStyle w:val="P68B1DB1-Normal12"/>
              <w:rPr>
                <w:noProof/>
                <w:lang w:val="de-DE"/>
              </w:rPr>
            </w:pPr>
            <w:r w:rsidRPr="00170422">
              <w:rPr>
                <w:noProof/>
                <w:lang w:val="de-DE"/>
              </w:rPr>
              <w:t>Darüber hinaus muss die Investitionspolitik („Accordo Finanziario“) der Beschreibu</w:t>
            </w:r>
            <w:r w:rsidRPr="00170422">
              <w:rPr>
                <w:noProof/>
                <w:lang w:val="de-DE"/>
              </w:rPr>
              <w:t>ng der Maßnahme entsprechen.</w:t>
            </w:r>
          </w:p>
        </w:tc>
      </w:tr>
      <w:tr w:rsidR="0057163C" w:rsidRPr="00170422" w14:paraId="57134218" w14:textId="77777777" w:rsidTr="000B7F7C">
        <w:trPr>
          <w:trHeight w:val="313"/>
        </w:trPr>
        <w:tc>
          <w:tcPr>
            <w:tcW w:w="1441" w:type="dxa"/>
            <w:shd w:val="clear" w:color="auto" w:fill="C6EFCE"/>
            <w:noWrap/>
          </w:tcPr>
          <w:p w14:paraId="62DD0D8B" w14:textId="77777777" w:rsidR="0057163C" w:rsidRPr="00170422" w:rsidRDefault="00F37BF9">
            <w:pPr>
              <w:pStyle w:val="P68B1DB1-Normal11"/>
              <w:jc w:val="center"/>
              <w:rPr>
                <w:noProof/>
                <w:lang w:val="de-DE"/>
              </w:rPr>
            </w:pPr>
            <w:r w:rsidRPr="00170422">
              <w:rPr>
                <w:noProof/>
                <w:lang w:val="de-DE"/>
              </w:rPr>
              <w:t>M4C2-21</w:t>
            </w:r>
          </w:p>
        </w:tc>
        <w:tc>
          <w:tcPr>
            <w:tcW w:w="1395" w:type="dxa"/>
            <w:shd w:val="clear" w:color="auto" w:fill="C6EFCE"/>
            <w:noWrap/>
          </w:tcPr>
          <w:p w14:paraId="555D756C" w14:textId="77777777" w:rsidR="0057163C" w:rsidRPr="00170422" w:rsidRDefault="00F37BF9">
            <w:pPr>
              <w:pStyle w:val="P68B1DB1-Normal11"/>
              <w:jc w:val="center"/>
              <w:rPr>
                <w:noProof/>
                <w:lang w:val="de-DE"/>
              </w:rPr>
            </w:pPr>
            <w:r w:rsidRPr="00170422">
              <w:rPr>
                <w:noProof/>
                <w:lang w:val="de-DE"/>
              </w:rPr>
              <w:t>Investition 3.2 Kapitalzuführung in den Fonds für den digitalen Wandel (DTF)</w:t>
            </w:r>
          </w:p>
        </w:tc>
        <w:tc>
          <w:tcPr>
            <w:tcW w:w="1388" w:type="dxa"/>
            <w:shd w:val="clear" w:color="auto" w:fill="C6EFCE"/>
            <w:noWrap/>
          </w:tcPr>
          <w:p w14:paraId="7D6E8799" w14:textId="77777777" w:rsidR="0057163C" w:rsidRPr="00170422" w:rsidRDefault="00F37BF9">
            <w:pPr>
              <w:pStyle w:val="P68B1DB1-Normal11"/>
              <w:jc w:val="center"/>
              <w:rPr>
                <w:noProof/>
                <w:lang w:val="de-DE"/>
              </w:rPr>
            </w:pPr>
            <w:r w:rsidRPr="00170422">
              <w:rPr>
                <w:noProof/>
                <w:lang w:val="de-DE"/>
              </w:rPr>
              <w:t>Meilenstein</w:t>
            </w:r>
          </w:p>
        </w:tc>
        <w:tc>
          <w:tcPr>
            <w:tcW w:w="1418" w:type="dxa"/>
            <w:shd w:val="clear" w:color="auto" w:fill="C6EFCE"/>
            <w:noWrap/>
          </w:tcPr>
          <w:p w14:paraId="1454F0D8" w14:textId="77777777" w:rsidR="0057163C" w:rsidRPr="00170422" w:rsidRDefault="00F37BF9">
            <w:pPr>
              <w:pStyle w:val="P68B1DB1-Normal11"/>
              <w:jc w:val="center"/>
              <w:rPr>
                <w:noProof/>
                <w:lang w:val="de-DE"/>
              </w:rPr>
            </w:pPr>
            <w:r w:rsidRPr="00170422">
              <w:rPr>
                <w:noProof/>
                <w:lang w:val="de-DE"/>
              </w:rPr>
              <w:t>Verabschiedung eines Berichts</w:t>
            </w:r>
          </w:p>
        </w:tc>
        <w:tc>
          <w:tcPr>
            <w:tcW w:w="1559" w:type="dxa"/>
            <w:shd w:val="clear" w:color="auto" w:fill="C6EFCE"/>
            <w:noWrap/>
          </w:tcPr>
          <w:p w14:paraId="19A8567A" w14:textId="77777777" w:rsidR="0057163C" w:rsidRPr="00170422" w:rsidRDefault="00F37BF9">
            <w:pPr>
              <w:pStyle w:val="P68B1DB1-Normal11"/>
              <w:jc w:val="center"/>
              <w:rPr>
                <w:noProof/>
                <w:lang w:val="de-DE"/>
              </w:rPr>
            </w:pPr>
            <w:r w:rsidRPr="00170422">
              <w:rPr>
                <w:noProof/>
                <w:lang w:val="de-DE"/>
              </w:rPr>
              <w:t>Verabschiedung eines Berichts</w:t>
            </w:r>
          </w:p>
        </w:tc>
        <w:tc>
          <w:tcPr>
            <w:tcW w:w="1276" w:type="dxa"/>
            <w:shd w:val="clear" w:color="auto" w:fill="C6EFCE"/>
            <w:noWrap/>
          </w:tcPr>
          <w:p w14:paraId="6A0A4F26" w14:textId="77777777" w:rsidR="0057163C" w:rsidRPr="00170422" w:rsidRDefault="00F37BF9">
            <w:pPr>
              <w:pStyle w:val="P68B1DB1-Normal12"/>
              <w:jc w:val="center"/>
              <w:rPr>
                <w:noProof/>
                <w:lang w:val="de-DE"/>
              </w:rPr>
            </w:pPr>
            <w:r w:rsidRPr="00170422">
              <w:rPr>
                <w:noProof/>
                <w:lang w:val="de-DE"/>
              </w:rPr>
              <w:t>ENTFÄLLT.</w:t>
            </w:r>
          </w:p>
        </w:tc>
        <w:tc>
          <w:tcPr>
            <w:tcW w:w="1417" w:type="dxa"/>
            <w:shd w:val="clear" w:color="auto" w:fill="C6EFCE"/>
            <w:noWrap/>
          </w:tcPr>
          <w:p w14:paraId="288B53ED" w14:textId="77777777" w:rsidR="0057163C" w:rsidRPr="00170422" w:rsidRDefault="00F37BF9">
            <w:pPr>
              <w:pStyle w:val="P68B1DB1-Normal12"/>
              <w:jc w:val="center"/>
              <w:rPr>
                <w:noProof/>
                <w:lang w:val="de-DE"/>
              </w:rPr>
            </w:pPr>
            <w:r w:rsidRPr="00170422">
              <w:rPr>
                <w:noProof/>
                <w:lang w:val="de-DE"/>
              </w:rPr>
              <w:t>ENTFÄLLT.</w:t>
            </w:r>
          </w:p>
        </w:tc>
        <w:tc>
          <w:tcPr>
            <w:tcW w:w="1198" w:type="dxa"/>
            <w:shd w:val="clear" w:color="auto" w:fill="C6EFCE"/>
            <w:noWrap/>
          </w:tcPr>
          <w:p w14:paraId="041F6CE4" w14:textId="77777777" w:rsidR="0057163C" w:rsidRPr="00170422" w:rsidRDefault="00F37BF9">
            <w:pPr>
              <w:pStyle w:val="P68B1DB1-Normal12"/>
              <w:jc w:val="center"/>
              <w:rPr>
                <w:noProof/>
                <w:lang w:val="de-DE"/>
              </w:rPr>
            </w:pPr>
            <w:r w:rsidRPr="00170422">
              <w:rPr>
                <w:noProof/>
                <w:lang w:val="de-DE"/>
              </w:rPr>
              <w:t>ENTFÄLLT.</w:t>
            </w:r>
          </w:p>
        </w:tc>
        <w:tc>
          <w:tcPr>
            <w:tcW w:w="1009" w:type="dxa"/>
            <w:shd w:val="clear" w:color="auto" w:fill="C6EFCE"/>
            <w:noWrap/>
          </w:tcPr>
          <w:p w14:paraId="44A1065F" w14:textId="77777777" w:rsidR="0057163C" w:rsidRPr="00170422" w:rsidRDefault="00F37BF9">
            <w:pPr>
              <w:pStyle w:val="P68B1DB1-Normal11"/>
              <w:jc w:val="center"/>
              <w:rPr>
                <w:noProof/>
                <w:lang w:val="de-DE"/>
              </w:rPr>
            </w:pPr>
            <w:r w:rsidRPr="00170422">
              <w:rPr>
                <w:noProof/>
                <w:lang w:val="de-DE"/>
              </w:rPr>
              <w:t>Q2</w:t>
            </w:r>
          </w:p>
        </w:tc>
        <w:tc>
          <w:tcPr>
            <w:tcW w:w="861" w:type="dxa"/>
            <w:shd w:val="clear" w:color="auto" w:fill="C6EFCE"/>
            <w:noWrap/>
          </w:tcPr>
          <w:p w14:paraId="707E5668" w14:textId="77777777" w:rsidR="0057163C" w:rsidRPr="00170422" w:rsidRDefault="00F37BF9">
            <w:pPr>
              <w:pStyle w:val="P68B1DB1-Normal11"/>
              <w:jc w:val="center"/>
              <w:rPr>
                <w:noProof/>
                <w:lang w:val="de-DE"/>
              </w:rPr>
            </w:pPr>
            <w:r w:rsidRPr="00170422">
              <w:rPr>
                <w:noProof/>
                <w:lang w:val="de-DE"/>
              </w:rPr>
              <w:t>2026</w:t>
            </w:r>
          </w:p>
        </w:tc>
        <w:tc>
          <w:tcPr>
            <w:tcW w:w="2452" w:type="dxa"/>
            <w:shd w:val="clear" w:color="auto" w:fill="C6EFCE"/>
            <w:noWrap/>
            <w:vAlign w:val="center"/>
          </w:tcPr>
          <w:p w14:paraId="39C5C333" w14:textId="77777777" w:rsidR="0057163C" w:rsidRPr="00170422" w:rsidRDefault="00F37BF9">
            <w:pPr>
              <w:pStyle w:val="P68B1DB1-Normal11"/>
              <w:rPr>
                <w:noProof/>
                <w:lang w:val="de-DE"/>
              </w:rPr>
            </w:pPr>
            <w:r w:rsidRPr="00170422">
              <w:rPr>
                <w:noProof/>
                <w:lang w:val="de-DE"/>
              </w:rPr>
              <w:t>Italien legt einen Bericht vor,</w:t>
            </w:r>
            <w:r w:rsidRPr="00170422">
              <w:rPr>
                <w:noProof/>
                <w:lang w:val="de-DE"/>
              </w:rPr>
              <w:t xml:space="preserve"> in dem die Maßnahmen dargelegt werden, die die DTF zur Umsetzung der Investitionspolitik ergriffen hat, einschließlich der Schritte, die zur Umsetzung der Finanzprodukte ergriffen wurden, die mit dem Eigenkapital voraussichtlich unterstützt werden, sowie </w:t>
            </w:r>
            <w:r w:rsidRPr="00170422">
              <w:rPr>
                <w:noProof/>
                <w:lang w:val="de-DE"/>
              </w:rPr>
              <w:t>der voraussichtlichen Schritte zur weiteren Umsetzung dieser Produkte.</w:t>
            </w:r>
          </w:p>
          <w:p w14:paraId="72DE5943" w14:textId="77777777" w:rsidR="0057163C" w:rsidRPr="00170422" w:rsidRDefault="00F37BF9">
            <w:pPr>
              <w:pStyle w:val="P68B1DB1-Normal11"/>
              <w:rPr>
                <w:noProof/>
                <w:lang w:val="de-DE"/>
              </w:rPr>
            </w:pPr>
            <w:r w:rsidRPr="00170422">
              <w:rPr>
                <w:noProof/>
                <w:lang w:val="de-DE"/>
              </w:rPr>
              <w:t>In dem Bericht sind auch die Beträge anzugeben, die direkt/indirekt in jedes Finanzprodukt investiert wurden.</w:t>
            </w:r>
          </w:p>
        </w:tc>
      </w:tr>
      <w:tr w:rsidR="0057163C" w:rsidRPr="00170422" w14:paraId="2EDCDA8C" w14:textId="77777777" w:rsidTr="000B7F7C">
        <w:trPr>
          <w:trHeight w:val="313"/>
        </w:trPr>
        <w:tc>
          <w:tcPr>
            <w:tcW w:w="1441" w:type="dxa"/>
            <w:shd w:val="clear" w:color="auto" w:fill="C6EFCE"/>
            <w:noWrap/>
            <w:vAlign w:val="center"/>
            <w:hideMark/>
          </w:tcPr>
          <w:p w14:paraId="18DB7C25" w14:textId="77777777" w:rsidR="0057163C" w:rsidRPr="00170422" w:rsidRDefault="00F37BF9">
            <w:pPr>
              <w:pStyle w:val="P68B1DB1-Normal11"/>
              <w:jc w:val="center"/>
              <w:rPr>
                <w:noProof/>
                <w:szCs w:val="20"/>
                <w:lang w:val="de-DE"/>
              </w:rPr>
            </w:pPr>
            <w:r w:rsidRPr="00170422">
              <w:rPr>
                <w:noProof/>
                <w:lang w:val="de-DE"/>
              </w:rPr>
              <w:t>M4C2-22</w:t>
            </w:r>
          </w:p>
        </w:tc>
        <w:tc>
          <w:tcPr>
            <w:tcW w:w="1395" w:type="dxa"/>
            <w:shd w:val="clear" w:color="auto" w:fill="C6EFCE"/>
            <w:noWrap/>
            <w:vAlign w:val="center"/>
            <w:hideMark/>
          </w:tcPr>
          <w:p w14:paraId="373660B9" w14:textId="77777777" w:rsidR="0057163C" w:rsidRPr="00170422" w:rsidRDefault="00F37BF9">
            <w:pPr>
              <w:pStyle w:val="P68B1DB1-Normal11"/>
              <w:jc w:val="center"/>
              <w:rPr>
                <w:noProof/>
                <w:szCs w:val="20"/>
                <w:lang w:val="de-DE"/>
              </w:rPr>
            </w:pPr>
            <w:r w:rsidRPr="00170422">
              <w:rPr>
                <w:noProof/>
                <w:lang w:val="de-DE"/>
              </w:rPr>
              <w:t>Investition 2.1: IPCEI</w:t>
            </w:r>
          </w:p>
        </w:tc>
        <w:tc>
          <w:tcPr>
            <w:tcW w:w="1388" w:type="dxa"/>
            <w:shd w:val="clear" w:color="auto" w:fill="C6EFCE"/>
            <w:noWrap/>
            <w:vAlign w:val="center"/>
            <w:hideMark/>
          </w:tcPr>
          <w:p w14:paraId="3C296569" w14:textId="77777777" w:rsidR="0057163C" w:rsidRPr="00170422" w:rsidRDefault="00F37BF9">
            <w:pPr>
              <w:pStyle w:val="P68B1DB1-Normal11"/>
              <w:jc w:val="center"/>
              <w:rPr>
                <w:noProof/>
                <w:szCs w:val="20"/>
                <w:lang w:val="de-DE"/>
              </w:rPr>
            </w:pPr>
            <w:r w:rsidRPr="00170422">
              <w:rPr>
                <w:noProof/>
                <w:lang w:val="de-DE"/>
              </w:rPr>
              <w:t>Ziel</w:t>
            </w:r>
          </w:p>
        </w:tc>
        <w:tc>
          <w:tcPr>
            <w:tcW w:w="1418" w:type="dxa"/>
            <w:shd w:val="clear" w:color="auto" w:fill="C6EFCE"/>
            <w:noWrap/>
            <w:vAlign w:val="center"/>
            <w:hideMark/>
          </w:tcPr>
          <w:p w14:paraId="1B243C92" w14:textId="77777777" w:rsidR="0057163C" w:rsidRPr="00170422" w:rsidRDefault="00F37BF9">
            <w:pPr>
              <w:pStyle w:val="P68B1DB1-Normal11"/>
              <w:jc w:val="center"/>
              <w:rPr>
                <w:noProof/>
                <w:szCs w:val="20"/>
                <w:lang w:val="de-DE"/>
              </w:rPr>
            </w:pPr>
            <w:r w:rsidRPr="00170422">
              <w:rPr>
                <w:noProof/>
                <w:lang w:val="de-DE"/>
              </w:rPr>
              <w:t>Anzahl der unterstützten Projekte</w:t>
            </w:r>
          </w:p>
        </w:tc>
        <w:tc>
          <w:tcPr>
            <w:tcW w:w="1559" w:type="dxa"/>
            <w:shd w:val="clear" w:color="auto" w:fill="C6EFCE"/>
            <w:noWrap/>
            <w:vAlign w:val="center"/>
            <w:hideMark/>
          </w:tcPr>
          <w:p w14:paraId="58347532"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hideMark/>
          </w:tcPr>
          <w:p w14:paraId="6F80D5EE"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noWrap/>
            <w:vAlign w:val="center"/>
            <w:hideMark/>
          </w:tcPr>
          <w:p w14:paraId="3C9BF257" w14:textId="77777777" w:rsidR="0057163C" w:rsidRPr="00170422" w:rsidRDefault="00F37BF9">
            <w:pPr>
              <w:pStyle w:val="P68B1DB1-Normal11"/>
              <w:jc w:val="center"/>
              <w:rPr>
                <w:noProof/>
                <w:szCs w:val="20"/>
                <w:lang w:val="de-DE"/>
              </w:rPr>
            </w:pPr>
            <w:r w:rsidRPr="00170422">
              <w:rPr>
                <w:noProof/>
                <w:lang w:val="de-DE"/>
              </w:rPr>
              <w:t>0</w:t>
            </w:r>
          </w:p>
        </w:tc>
        <w:tc>
          <w:tcPr>
            <w:tcW w:w="1198" w:type="dxa"/>
            <w:shd w:val="clear" w:color="auto" w:fill="C6EFCE"/>
            <w:noWrap/>
            <w:vAlign w:val="center"/>
            <w:hideMark/>
          </w:tcPr>
          <w:p w14:paraId="45ACB637" w14:textId="711EE139" w:rsidR="0057163C" w:rsidRPr="00170422" w:rsidRDefault="00F37BF9">
            <w:pPr>
              <w:pStyle w:val="P68B1DB1-Normal12"/>
              <w:jc w:val="center"/>
              <w:rPr>
                <w:noProof/>
                <w:lang w:val="de-DE"/>
              </w:rPr>
            </w:pPr>
            <w:r w:rsidRPr="00170422">
              <w:rPr>
                <w:noProof/>
                <w:lang w:val="de-DE"/>
              </w:rPr>
              <w:t>20</w:t>
            </w:r>
          </w:p>
        </w:tc>
        <w:tc>
          <w:tcPr>
            <w:tcW w:w="1009" w:type="dxa"/>
            <w:shd w:val="clear" w:color="auto" w:fill="C6EFCE"/>
            <w:noWrap/>
            <w:vAlign w:val="center"/>
            <w:hideMark/>
          </w:tcPr>
          <w:p w14:paraId="0DD7482E" w14:textId="77777777" w:rsidR="0057163C" w:rsidRPr="00170422" w:rsidRDefault="00F37BF9">
            <w:pPr>
              <w:pStyle w:val="P68B1DB1-Normal11"/>
              <w:jc w:val="center"/>
              <w:rPr>
                <w:noProof/>
                <w:szCs w:val="20"/>
                <w:lang w:val="de-DE"/>
              </w:rPr>
            </w:pPr>
            <w:r w:rsidRPr="00170422">
              <w:rPr>
                <w:noProof/>
                <w:lang w:val="de-DE"/>
              </w:rPr>
              <w:t>Q2</w:t>
            </w:r>
          </w:p>
        </w:tc>
        <w:tc>
          <w:tcPr>
            <w:tcW w:w="861" w:type="dxa"/>
            <w:shd w:val="clear" w:color="auto" w:fill="C6EFCE"/>
            <w:noWrap/>
            <w:vAlign w:val="center"/>
            <w:hideMark/>
          </w:tcPr>
          <w:p w14:paraId="16F8CB47" w14:textId="77777777" w:rsidR="0057163C" w:rsidRPr="00170422" w:rsidRDefault="00F37BF9">
            <w:pPr>
              <w:pStyle w:val="P68B1DB1-Normal11"/>
              <w:jc w:val="center"/>
              <w:rPr>
                <w:noProof/>
                <w:szCs w:val="20"/>
                <w:lang w:val="de-DE"/>
              </w:rPr>
            </w:pPr>
            <w:r w:rsidRPr="00170422">
              <w:rPr>
                <w:noProof/>
                <w:lang w:val="de-DE"/>
              </w:rPr>
              <w:t>2025</w:t>
            </w:r>
          </w:p>
        </w:tc>
        <w:tc>
          <w:tcPr>
            <w:tcW w:w="2452" w:type="dxa"/>
            <w:shd w:val="clear" w:color="auto" w:fill="C6EFCE"/>
            <w:noWrap/>
            <w:vAlign w:val="center"/>
            <w:hideMark/>
          </w:tcPr>
          <w:p w14:paraId="198C1A62" w14:textId="17E387C6" w:rsidR="0057163C" w:rsidRPr="00170422" w:rsidRDefault="00F37BF9">
            <w:pPr>
              <w:pStyle w:val="P68B1DB1-Normal12"/>
              <w:rPr>
                <w:noProof/>
                <w:lang w:val="de-DE"/>
              </w:rPr>
            </w:pPr>
            <w:r w:rsidRPr="00170422">
              <w:rPr>
                <w:noProof/>
                <w:lang w:val="de-DE"/>
              </w:rPr>
              <w:t>Konzessionserlasse werden vom Ministerium für Unternehmen und Made in Italien erlassen, um mindestens 20 IPCEI-Projekte zu unterstützen.</w:t>
            </w:r>
          </w:p>
        </w:tc>
      </w:tr>
    </w:tbl>
    <w:p w14:paraId="69B9087F" w14:textId="77777777" w:rsidR="0057163C" w:rsidRPr="00170422" w:rsidRDefault="0057163C">
      <w:pPr>
        <w:rPr>
          <w:noProof/>
          <w:lang w:val="de-DE"/>
        </w:rPr>
        <w:sectPr w:rsidR="0057163C" w:rsidRPr="00170422" w:rsidSect="005F11B9">
          <w:headerReference w:type="default" r:id="rId210"/>
          <w:footerReference w:type="default" r:id="rId211"/>
          <w:pgSz w:w="16839" w:h="11907" w:orient="landscape"/>
          <w:pgMar w:top="1440" w:right="1440" w:bottom="1440" w:left="1440" w:header="567" w:footer="567" w:gutter="0"/>
          <w:cols w:space="720"/>
          <w:docGrid w:linePitch="360"/>
        </w:sectPr>
      </w:pPr>
    </w:p>
    <w:p w14:paraId="7DEB0A4A" w14:textId="77777777" w:rsidR="0057163C" w:rsidRPr="00170422" w:rsidRDefault="00F37BF9">
      <w:pPr>
        <w:pStyle w:val="P68B1DB1-Heading23"/>
        <w:ind w:left="1080"/>
        <w:rPr>
          <w:noProof/>
          <w:u w:val="single"/>
          <w:lang w:val="de-DE"/>
        </w:rPr>
      </w:pPr>
      <w:r w:rsidRPr="00170422">
        <w:rPr>
          <w:noProof/>
          <w:lang w:val="de-DE"/>
        </w:rPr>
        <w:t>L. MISSION</w:t>
      </w:r>
      <w:r w:rsidRPr="00170422">
        <w:rPr>
          <w:noProof/>
          <w:lang w:val="de-DE"/>
        </w:rPr>
        <w:t xml:space="preserve"> 5 KOMPONENTE 1: Beschäftigung</w:t>
      </w:r>
    </w:p>
    <w:p w14:paraId="3CF6C0BA" w14:textId="77777777" w:rsidR="0057163C" w:rsidRPr="00170422" w:rsidRDefault="00F37BF9">
      <w:pPr>
        <w:pStyle w:val="P68B1DB1-Normal7"/>
        <w:spacing w:before="120" w:after="120"/>
        <w:jc w:val="both"/>
        <w:rPr>
          <w:rFonts w:eastAsia="Calibri"/>
          <w:noProof/>
          <w:lang w:val="de-DE"/>
        </w:rPr>
      </w:pPr>
      <w:r w:rsidRPr="00170422">
        <w:rPr>
          <w:noProof/>
          <w:lang w:val="de-DE"/>
        </w:rPr>
        <w:t xml:space="preserve">Mit den Maßnahmen im Rahmen dieser Komponente </w:t>
      </w:r>
      <w:r w:rsidRPr="00170422">
        <w:rPr>
          <w:noProof/>
          <w:color w:val="000000" w:themeColor="text1"/>
          <w:lang w:val="de-DE"/>
        </w:rPr>
        <w:t xml:space="preserve">des italienischen Aufbau- und Resilienzplans </w:t>
      </w:r>
      <w:r w:rsidRPr="00170422">
        <w:rPr>
          <w:noProof/>
          <w:lang w:val="de-DE"/>
        </w:rPr>
        <w:t>wird eine umfassende und integrierte Reform der aktiven Arbeitsmarktpolitik und der beruflichen Bildung eingeführt. Die Stärkung aktiv</w:t>
      </w:r>
      <w:r w:rsidRPr="00170422">
        <w:rPr>
          <w:noProof/>
          <w:lang w:val="de-DE"/>
        </w:rPr>
        <w:t>er arbeitsmarktpolitischer Maßnahmen und der Ausbau der Kapazitäten der öffentlichen Arbeitsverwaltungen (ÖAV), einschließlich ihrer Integration mit Bildungs- und Berufsbildungsanbietern und privaten Akteuren, dürften die Effizienz der Dienstleistungen ste</w:t>
      </w:r>
      <w:r w:rsidRPr="00170422">
        <w:rPr>
          <w:noProof/>
          <w:lang w:val="de-DE"/>
        </w:rPr>
        <w:t xml:space="preserve">igern. Darüber hinaus zielen die Maßnahmen dieser Komponente darauf ab, die soziale Anfälligkeit für Schocks zu verringern, insbesondere durch die Bekämpfung nicht angemeldeter Erwerbstätigkeit in all ihren Formen und Sektoren, indem wirksamere Sanktionen </w:t>
      </w:r>
      <w:r w:rsidRPr="00170422">
        <w:rPr>
          <w:noProof/>
          <w:lang w:val="de-DE"/>
        </w:rPr>
        <w:t xml:space="preserve">und stärkere Anreize für eine legale Erwerbstätigkeit festgelegt werden. Darüber hinaus fördert diese Komponente die Gleichstellung der Geschlechter (gleiches Entgelt) durch das Zertifizierungssystem für die Gleichstellung der Geschlechter. Sie investiert </w:t>
      </w:r>
      <w:r w:rsidRPr="00170422">
        <w:rPr>
          <w:noProof/>
          <w:lang w:val="de-DE"/>
        </w:rPr>
        <w:t>auch in junge Menschen, indem sie die Quantität und Qualität der Ausbildungsprogramme erhöht, z. B. durch die Teilnahme am Programm für den öffentlichen Universaldienst.</w:t>
      </w:r>
    </w:p>
    <w:p w14:paraId="614C858C" w14:textId="77777777" w:rsidR="0057163C" w:rsidRPr="00170422" w:rsidRDefault="00F37BF9">
      <w:pPr>
        <w:pStyle w:val="P68B1DB1-Normal7"/>
        <w:spacing w:before="120" w:after="120"/>
        <w:jc w:val="both"/>
        <w:rPr>
          <w:noProof/>
          <w:lang w:val="de-DE"/>
        </w:rPr>
      </w:pPr>
      <w:r w:rsidRPr="00170422">
        <w:rPr>
          <w:noProof/>
          <w:lang w:val="de-DE"/>
        </w:rPr>
        <w:t>Die Umsetzung dieser Maßnahmen dürfte dazu beitragen, die Herausforderungen zu bewälti</w:t>
      </w:r>
      <w:r w:rsidRPr="00170422">
        <w:rPr>
          <w:noProof/>
          <w:lang w:val="de-DE"/>
        </w:rPr>
        <w:t>gen, die in der länderspezifischen Empfehlung 2 zum Arbeitsmarkt 2020 behandelt werden, in der Italien nachdrücklich aufgefordert wird, „die Auswirkungen der Krise auf die Beschäftigung zu mildern, unter anderem durch [...] aktive Unterstützung der Beschäf</w:t>
      </w:r>
      <w:r w:rsidRPr="00170422">
        <w:rPr>
          <w:noProof/>
          <w:lang w:val="de-DE"/>
        </w:rPr>
        <w:t>tigung“, die länderspezifische Empfehlung 2 2020 zur „Unterstützung von Kompetenzen, einschließlich digitaler Kompetenzen“ und die länderspezifische Empfehlung 2 aus dem Jahr 2019, „die Anstrengungen zur Bekämpfung nicht angemeldeter Erwerbstätigkeit zu ve</w:t>
      </w:r>
      <w:r w:rsidRPr="00170422">
        <w:rPr>
          <w:noProof/>
          <w:lang w:val="de-DE"/>
        </w:rPr>
        <w:t xml:space="preserve">rstärken und sicherzustellen, dass aktive arbeitsmarkt- und sozialpolitische Maßnahmen insbesondere junge Menschen und schutzbedürftige Gruppen erreichen“. Förderung der Teilhabe von Frauen am Arbeitsmarkt“ und der länderspezifischen Empfehlung 2 von 2019 </w:t>
      </w:r>
      <w:r w:rsidRPr="00170422">
        <w:rPr>
          <w:noProof/>
          <w:lang w:val="de-DE"/>
        </w:rPr>
        <w:t>zur „Förderung der Weiterqualifizierung, unter anderem durch die Stärkung digitaler Kompetenzen“.</w:t>
      </w:r>
    </w:p>
    <w:p w14:paraId="4FAC2DDD" w14:textId="77777777" w:rsidR="0057163C" w:rsidRPr="00170422" w:rsidRDefault="00F37BF9">
      <w:pPr>
        <w:pStyle w:val="P68B1DB1-Heading359"/>
        <w:ind w:left="850" w:hanging="850"/>
        <w:rPr>
          <w:b/>
          <w:bCs/>
          <w:i/>
          <w:iCs/>
          <w:noProof/>
          <w:color w:val="156082" w:themeColor="accent1"/>
          <w:u w:val="single"/>
          <w:lang w:val="de-DE"/>
        </w:rPr>
      </w:pPr>
      <w:r w:rsidRPr="00170422">
        <w:rPr>
          <w:b/>
          <w:noProof/>
          <w:u w:val="single"/>
          <w:lang w:val="de-DE"/>
        </w:rPr>
        <w:t xml:space="preserve">L.1. </w:t>
      </w:r>
      <w:r w:rsidRPr="00170422">
        <w:rPr>
          <w:noProof/>
          <w:lang w:val="de-DE"/>
        </w:rPr>
        <w:t xml:space="preserve"> </w:t>
      </w:r>
      <w:r w:rsidRPr="00170422">
        <w:rPr>
          <w:b/>
          <w:noProof/>
          <w:u w:val="single"/>
          <w:lang w:val="de-DE"/>
        </w:rPr>
        <w:t>Beschreibung der Reformen und Investitionen für nicht rückzahlbare finanzielle Unterstützung</w:t>
      </w:r>
    </w:p>
    <w:p w14:paraId="1B68679B" w14:textId="77777777" w:rsidR="0057163C" w:rsidRPr="00170422" w:rsidRDefault="00F37BF9">
      <w:pPr>
        <w:pStyle w:val="P68B1DB1-Normal5"/>
        <w:spacing w:before="120" w:after="120"/>
        <w:jc w:val="both"/>
        <w:rPr>
          <w:bCs/>
          <w:noProof/>
          <w:color w:val="006100"/>
          <w:lang w:val="de-DE"/>
        </w:rPr>
      </w:pPr>
      <w:r w:rsidRPr="00170422">
        <w:rPr>
          <w:noProof/>
          <w:lang w:val="de-DE"/>
        </w:rPr>
        <w:t>Reform 1 – Aktive Arbeitsmarktpolitik (ALMP) und Berufsbild</w:t>
      </w:r>
      <w:r w:rsidRPr="00170422">
        <w:rPr>
          <w:noProof/>
          <w:lang w:val="de-DE"/>
        </w:rPr>
        <w:t xml:space="preserve">ung </w:t>
      </w:r>
    </w:p>
    <w:p w14:paraId="0F5B6381" w14:textId="48B3304F" w:rsidR="0057163C" w:rsidRPr="00170422" w:rsidRDefault="00F37BF9">
      <w:pPr>
        <w:pStyle w:val="P68B1DB1-Normal7"/>
        <w:spacing w:before="120" w:after="120"/>
        <w:jc w:val="both"/>
        <w:rPr>
          <w:noProof/>
          <w:color w:val="000000" w:themeColor="text1"/>
          <w:lang w:val="de-DE"/>
        </w:rPr>
      </w:pPr>
      <w:r w:rsidRPr="00170422">
        <w:rPr>
          <w:noProof/>
          <w:lang w:val="de-DE"/>
        </w:rPr>
        <w:t xml:space="preserve">Ziel dieser Reform ist es, das aktive Arbeitsmarktsystem durch die Bereitstellung personalisierter Pläne zu unterstützen, die Beschäftigungs-, Ausbildungs- und Sozialdienste umfassen. Diese Maßnahme besteht in der Schaffung eines </w:t>
      </w:r>
      <w:r w:rsidRPr="00170422">
        <w:rPr>
          <w:noProof/>
          <w:color w:val="000000" w:themeColor="text1"/>
          <w:lang w:val="de-DE"/>
        </w:rPr>
        <w:t xml:space="preserve">nationalen Programms </w:t>
      </w:r>
      <w:r w:rsidRPr="00170422">
        <w:rPr>
          <w:noProof/>
          <w:color w:val="000000" w:themeColor="text1"/>
          <w:lang w:val="de-DE"/>
        </w:rPr>
        <w:t>für die garantierte Beschäftigungsfähigkeit von Arbeitnehmern (GOL), mit dem insbesondere die schutzbedürftigsten Gruppen (Frauen, Langzeitarbeitslose, junge und ältere Arbeitnehmer sowie Menschen mit Behinderungen) unterstützt werden, sowie in der Durchfü</w:t>
      </w:r>
      <w:r w:rsidRPr="00170422">
        <w:rPr>
          <w:noProof/>
          <w:color w:val="000000" w:themeColor="text1"/>
          <w:lang w:val="de-DE"/>
        </w:rPr>
        <w:t xml:space="preserve">hrung von Schulungsprogrammen für die Erwachsenenbildung. </w:t>
      </w:r>
    </w:p>
    <w:p w14:paraId="4004F633" w14:textId="77777777" w:rsidR="0057163C" w:rsidRPr="00170422" w:rsidRDefault="00F37BF9">
      <w:pPr>
        <w:pStyle w:val="P68B1DB1-Normal5"/>
        <w:spacing w:before="120" w:after="120"/>
        <w:jc w:val="both"/>
        <w:rPr>
          <w:bCs/>
          <w:noProof/>
          <w:lang w:val="de-DE"/>
        </w:rPr>
      </w:pPr>
      <w:r w:rsidRPr="00170422">
        <w:rPr>
          <w:noProof/>
          <w:color w:val="000000" w:themeColor="text1"/>
          <w:lang w:val="de-DE"/>
        </w:rPr>
        <w:t xml:space="preserve">Investition 1 – </w:t>
      </w:r>
      <w:r w:rsidRPr="00170422">
        <w:rPr>
          <w:noProof/>
          <w:lang w:val="de-DE"/>
        </w:rPr>
        <w:t>Stärkung der öffentlichen Arbeitsverwaltungen (ÖAV)</w:t>
      </w:r>
    </w:p>
    <w:p w14:paraId="1965CE0F" w14:textId="77777777" w:rsidR="0057163C" w:rsidRPr="00170422" w:rsidRDefault="00F37BF9">
      <w:pPr>
        <w:pStyle w:val="P68B1DB1-Normal27"/>
        <w:spacing w:before="120" w:after="120"/>
        <w:jc w:val="both"/>
        <w:rPr>
          <w:noProof/>
          <w:lang w:val="de-DE"/>
        </w:rPr>
      </w:pPr>
      <w:r w:rsidRPr="00170422">
        <w:rPr>
          <w:noProof/>
          <w:lang w:val="de-DE"/>
        </w:rPr>
        <w:t>Ziel dieser Investition ist es, die effiziente Erbringung von Beschäftigungs- und Ausbildungsdiensten zu ermöglichen. Die Ma</w:t>
      </w:r>
      <w:r w:rsidRPr="00170422">
        <w:rPr>
          <w:noProof/>
          <w:lang w:val="de-DE"/>
        </w:rPr>
        <w:t>ßnahme umfasst die öffentlichen Arbeitsverwaltungen, die folgende Tätigkeiten ausüben: Infrastrukturinvestitionen, Einrichtung regionaler Beobachtungsstellen für lokale Arbeitsmärkte, Modernisierung des IT-Systems, berufliche Fortbildung des Personals sowi</w:t>
      </w:r>
      <w:r w:rsidRPr="00170422">
        <w:rPr>
          <w:noProof/>
          <w:lang w:val="de-DE"/>
        </w:rPr>
        <w:t xml:space="preserve">e institutionelle Kommunikation und Öffentlichkeitsarbeit. </w:t>
      </w:r>
    </w:p>
    <w:p w14:paraId="719ECC85" w14:textId="77777777" w:rsidR="0057163C" w:rsidRPr="00170422" w:rsidRDefault="00F37BF9">
      <w:pPr>
        <w:pStyle w:val="P68B1DB1-Normal99"/>
        <w:spacing w:before="120" w:after="120"/>
        <w:jc w:val="both"/>
        <w:rPr>
          <w:bCs/>
          <w:noProof/>
          <w:lang w:val="de-DE"/>
        </w:rPr>
      </w:pPr>
      <w:r w:rsidRPr="00170422">
        <w:rPr>
          <w:noProof/>
          <w:lang w:val="de-DE"/>
        </w:rPr>
        <w:t>Reform 2 – Nationaler Plan zur Bekämpfung nicht angemeldeter Erwerbstätigkeit</w:t>
      </w:r>
    </w:p>
    <w:p w14:paraId="7418F78F" w14:textId="1D51100E" w:rsidR="0057163C" w:rsidRPr="00170422" w:rsidRDefault="00F37BF9">
      <w:pPr>
        <w:pStyle w:val="P68B1DB1-Normal27"/>
        <w:spacing w:before="120" w:after="120"/>
        <w:jc w:val="both"/>
        <w:rPr>
          <w:noProof/>
          <w:lang w:val="de-DE"/>
        </w:rPr>
      </w:pPr>
      <w:r w:rsidRPr="00170422">
        <w:rPr>
          <w:noProof/>
          <w:lang w:val="de-DE"/>
        </w:rPr>
        <w:t>Ziel dieser Maßnahme ist es, die Arbeitsplatzqualität und die Arbeitsbedingungen zu fördern, indem nicht angemeldete E</w:t>
      </w:r>
      <w:r w:rsidRPr="00170422">
        <w:rPr>
          <w:noProof/>
          <w:lang w:val="de-DE"/>
        </w:rPr>
        <w:t>rwerbstätigkeit, Ausbeutung der Arbeitskraft (sogenannte „Caporalato“) und andere Formen irregulärer Arbeit verhindert und bekämpft werden. Diese Maßnahme umfasst legislative und nichtlegislative Maßnahmen, darunter: Verstärkung der Arbeitsaufsicht und der</w:t>
      </w:r>
      <w:r w:rsidRPr="00170422">
        <w:rPr>
          <w:noProof/>
          <w:lang w:val="de-DE"/>
        </w:rPr>
        <w:t xml:space="preserve"> Sanktionen, Schaffung von Anreizen für reguläre Arbeit, Ausbildung von Mitarbeitern von Jobcentern, Durchführung einer nationalen Informationskampagne, Verbesserung der Governance zur Bekämpfung nicht angemeldeter Erwerbstätigkeit sowie spezifische Maßnah</w:t>
      </w:r>
      <w:r w:rsidRPr="00170422">
        <w:rPr>
          <w:noProof/>
          <w:lang w:val="de-DE"/>
        </w:rPr>
        <w:t>men zur Bekämpfung der Ausbeutung von Arbeitskräften in der Landwirtschaft.</w:t>
      </w:r>
    </w:p>
    <w:p w14:paraId="7CDE22DB" w14:textId="77777777" w:rsidR="0057163C" w:rsidRPr="00170422" w:rsidRDefault="00F37BF9">
      <w:pPr>
        <w:pStyle w:val="P68B1DB1-Normal99"/>
        <w:spacing w:before="120" w:after="120"/>
        <w:jc w:val="both"/>
        <w:rPr>
          <w:noProof/>
          <w:lang w:val="de-DE"/>
        </w:rPr>
      </w:pPr>
      <w:r w:rsidRPr="00170422">
        <w:rPr>
          <w:noProof/>
          <w:lang w:val="de-DE"/>
        </w:rPr>
        <w:t>Investition 2 – Zertifizierungssystem für die Gleichstellung der Geschlechter</w:t>
      </w:r>
    </w:p>
    <w:p w14:paraId="70EC19C7" w14:textId="77777777" w:rsidR="0057163C" w:rsidRPr="00170422" w:rsidRDefault="00F37BF9">
      <w:pPr>
        <w:pStyle w:val="P68B1DB1-Normal7"/>
        <w:spacing w:before="120" w:after="120"/>
        <w:jc w:val="both"/>
        <w:rPr>
          <w:noProof/>
          <w:lang w:val="de-DE"/>
        </w:rPr>
      </w:pPr>
      <w:r w:rsidRPr="00170422">
        <w:rPr>
          <w:noProof/>
          <w:color w:val="000000" w:themeColor="text1"/>
          <w:lang w:val="de-DE"/>
        </w:rPr>
        <w:t>Ziel dieser Maßnahme ist es, die Erwerbsbeteiligung von Frauen zu erhöhen  und zur Verringerung des ge</w:t>
      </w:r>
      <w:r w:rsidRPr="00170422">
        <w:rPr>
          <w:noProof/>
          <w:color w:val="000000" w:themeColor="text1"/>
          <w:lang w:val="de-DE"/>
        </w:rPr>
        <w:t xml:space="preserve">schlechtsspezifischen Lohngefälles beizutragen. Diese Investition besteht in </w:t>
      </w:r>
      <w:r w:rsidRPr="00170422">
        <w:rPr>
          <w:noProof/>
          <w:lang w:val="de-DE"/>
        </w:rPr>
        <w:t>der Schaffung eines nationalen Zertifizierungssystems für die Gleichstellung der Geschlechter, um die Transparenz auf dem Arbeitsmarkt zu fördern und die Arbeitsbedingungen von Fr</w:t>
      </w:r>
      <w:r w:rsidRPr="00170422">
        <w:rPr>
          <w:noProof/>
          <w:lang w:val="de-DE"/>
        </w:rPr>
        <w:t>auen in Bezug auf Qualität, Entlohnung und Befähigung zu verbessern.</w:t>
      </w:r>
    </w:p>
    <w:p w14:paraId="2CA5C8A0" w14:textId="0EDC741C" w:rsidR="0057163C" w:rsidRPr="00170422" w:rsidRDefault="00F37BF9">
      <w:pPr>
        <w:pStyle w:val="P68B1DB1-Normal5"/>
        <w:spacing w:before="120" w:after="120"/>
        <w:jc w:val="both"/>
        <w:rPr>
          <w:bCs/>
          <w:noProof/>
          <w:color w:val="000000" w:themeColor="text1"/>
          <w:lang w:val="de-DE"/>
        </w:rPr>
      </w:pPr>
      <w:r w:rsidRPr="00170422">
        <w:rPr>
          <w:noProof/>
          <w:lang w:val="de-DE"/>
        </w:rPr>
        <w:t>Investition 3 – Stärkung des dualen Systems</w:t>
      </w:r>
    </w:p>
    <w:p w14:paraId="6F0E7A2A" w14:textId="73FFFB47" w:rsidR="0057163C" w:rsidRPr="00170422" w:rsidRDefault="00F37BF9">
      <w:pPr>
        <w:pStyle w:val="P68B1DB1-Normal7"/>
        <w:spacing w:before="120" w:after="120"/>
        <w:jc w:val="both"/>
        <w:rPr>
          <w:noProof/>
          <w:lang w:val="de-DE"/>
        </w:rPr>
      </w:pPr>
      <w:r w:rsidRPr="00170422">
        <w:rPr>
          <w:noProof/>
          <w:lang w:val="de-DE"/>
        </w:rPr>
        <w:t>Ziel dieser Maßnahme ist es, junge Menschen und Erwachsene ohne Sekundarschulabschluss beim Zugang zu Beschäftigungsmöglichkeiten zu unterstütz</w:t>
      </w:r>
      <w:r w:rsidRPr="00170422">
        <w:rPr>
          <w:noProof/>
          <w:lang w:val="de-DE"/>
        </w:rPr>
        <w:t xml:space="preserve">en. Diese Investition besteht in der Ausweitung der Teilnahme am dualen System für Studierende in der formalen und beruflichen Aus- und Weiterbildung, auch durch Lehrlingsausbildungen. </w:t>
      </w:r>
    </w:p>
    <w:p w14:paraId="19718782" w14:textId="77777777" w:rsidR="0057163C" w:rsidRPr="00170422" w:rsidRDefault="00F37BF9">
      <w:pPr>
        <w:pStyle w:val="P68B1DB1-Normal5"/>
        <w:spacing w:before="120" w:after="120"/>
        <w:jc w:val="both"/>
        <w:rPr>
          <w:bCs/>
          <w:noProof/>
          <w:color w:val="000000" w:themeColor="text1"/>
          <w:lang w:val="de-DE"/>
        </w:rPr>
      </w:pPr>
      <w:r w:rsidRPr="00170422">
        <w:rPr>
          <w:noProof/>
          <w:lang w:val="de-DE"/>
        </w:rPr>
        <w:t>Investition 4 –</w:t>
      </w:r>
      <w:r w:rsidRPr="00170422">
        <w:rPr>
          <w:noProof/>
          <w:color w:val="000000" w:themeColor="text1"/>
          <w:lang w:val="de-DE"/>
        </w:rPr>
        <w:t>Bebauung des öffentlichen Universaldienstes</w:t>
      </w:r>
    </w:p>
    <w:p w14:paraId="33684F95" w14:textId="3E57C1B0" w:rsidR="0057163C" w:rsidRPr="00170422" w:rsidRDefault="00F37BF9">
      <w:pPr>
        <w:pStyle w:val="P68B1DB1-Normal7"/>
        <w:spacing w:before="120" w:after="120"/>
        <w:jc w:val="both"/>
        <w:rPr>
          <w:noProof/>
          <w:color w:val="000000" w:themeColor="text1"/>
          <w:lang w:val="de-DE"/>
        </w:rPr>
        <w:sectPr w:rsidR="0057163C" w:rsidRPr="00170422" w:rsidSect="00726CF9">
          <w:headerReference w:type="even" r:id="rId212"/>
          <w:headerReference w:type="default" r:id="rId213"/>
          <w:footerReference w:type="even" r:id="rId214"/>
          <w:footerReference w:type="default" r:id="rId215"/>
          <w:headerReference w:type="first" r:id="rId216"/>
          <w:footerReference w:type="first" r:id="rId217"/>
          <w:pgSz w:w="11906" w:h="16838"/>
          <w:pgMar w:top="1440" w:right="1440" w:bottom="1440" w:left="1440" w:header="708" w:footer="708" w:gutter="0"/>
          <w:cols w:space="708"/>
          <w:docGrid w:linePitch="360"/>
        </w:sectPr>
      </w:pPr>
      <w:r w:rsidRPr="00170422">
        <w:rPr>
          <w:noProof/>
          <w:lang w:val="de-DE"/>
        </w:rPr>
        <w:t xml:space="preserve">Ziel dieser Maßnahme ist es, die Zahl der jungen Menschen, die am nichtformalen Lernen teilnehmen, zu erhöhen und ihre Kenntnisse und Fähigkeiten zu erweitern. Diese Investition besteht in der Verbesserung des </w:t>
      </w:r>
      <w:r w:rsidRPr="00170422">
        <w:rPr>
          <w:noProof/>
          <w:lang w:val="de-DE"/>
        </w:rPr>
        <w:t xml:space="preserve">Programms für den öffentlichen Universaldienst und der Erhöhung der Teilnehmerzahl. </w:t>
      </w:r>
    </w:p>
    <w:p w14:paraId="43C1DA4D"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L.2. </w:t>
      </w:r>
      <w:r w:rsidRPr="00170422">
        <w:rPr>
          <w:noProof/>
          <w:lang w:val="de-DE"/>
        </w:rPr>
        <w:t xml:space="preserve"> </w:t>
      </w:r>
      <w:r w:rsidRPr="00170422">
        <w:rPr>
          <w:b/>
          <w:noProof/>
          <w:u w:val="single"/>
          <w:lang w:val="de-DE"/>
        </w:rPr>
        <w:t>Etappenziele, Zielwerte, Indikatoren und Zeitplan für die Überwachung und Durchführung der nicht rückzahlbaren finanziellen Unterstützung</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4"/>
        <w:gridCol w:w="1513"/>
        <w:gridCol w:w="1281"/>
        <w:gridCol w:w="1597"/>
        <w:gridCol w:w="1470"/>
        <w:gridCol w:w="1275"/>
        <w:gridCol w:w="1436"/>
        <w:gridCol w:w="832"/>
        <w:gridCol w:w="851"/>
        <w:gridCol w:w="705"/>
        <w:gridCol w:w="2839"/>
      </w:tblGrid>
      <w:tr w:rsidR="0057163C" w:rsidRPr="00170422" w14:paraId="3B69C277" w14:textId="77777777">
        <w:trPr>
          <w:trHeight w:val="633"/>
          <w:tblHeader/>
          <w:jc w:val="center"/>
        </w:trPr>
        <w:tc>
          <w:tcPr>
            <w:tcW w:w="1364" w:type="dxa"/>
            <w:vMerge w:val="restart"/>
            <w:shd w:val="clear" w:color="auto" w:fill="BDD7EE"/>
            <w:vAlign w:val="center"/>
            <w:hideMark/>
          </w:tcPr>
          <w:p w14:paraId="7EE08746" w14:textId="77777777" w:rsidR="0057163C" w:rsidRPr="00170422" w:rsidRDefault="00F37BF9">
            <w:pPr>
              <w:pStyle w:val="P68B1DB1-Normal10"/>
              <w:jc w:val="center"/>
              <w:rPr>
                <w:bCs/>
                <w:noProof/>
                <w:szCs w:val="20"/>
                <w:lang w:val="de-DE"/>
              </w:rPr>
            </w:pPr>
            <w:r w:rsidRPr="00170422">
              <w:rPr>
                <w:noProof/>
                <w:lang w:val="de-DE"/>
              </w:rPr>
              <w:t>Laufende Nummer</w:t>
            </w:r>
          </w:p>
        </w:tc>
        <w:tc>
          <w:tcPr>
            <w:tcW w:w="1513" w:type="dxa"/>
            <w:vMerge w:val="restart"/>
            <w:shd w:val="clear" w:color="auto" w:fill="BDD7EE"/>
            <w:vAlign w:val="center"/>
            <w:hideMark/>
          </w:tcPr>
          <w:p w14:paraId="06B27754" w14:textId="77777777" w:rsidR="0057163C" w:rsidRPr="00170422" w:rsidRDefault="00F37BF9">
            <w:pPr>
              <w:pStyle w:val="P68B1DB1-Normal10"/>
              <w:jc w:val="center"/>
              <w:rPr>
                <w:bCs/>
                <w:noProof/>
                <w:szCs w:val="20"/>
                <w:lang w:val="de-DE"/>
              </w:rPr>
            </w:pPr>
            <w:r w:rsidRPr="00170422">
              <w:rPr>
                <w:noProof/>
                <w:lang w:val="de-DE"/>
              </w:rPr>
              <w:t xml:space="preserve">Verbundene </w:t>
            </w:r>
            <w:r w:rsidRPr="00170422">
              <w:rPr>
                <w:noProof/>
                <w:lang w:val="de-DE"/>
              </w:rPr>
              <w:t>Maßnahme (Reform oder Investition)</w:t>
            </w:r>
          </w:p>
        </w:tc>
        <w:tc>
          <w:tcPr>
            <w:tcW w:w="1281" w:type="dxa"/>
            <w:vMerge w:val="restart"/>
            <w:shd w:val="clear" w:color="auto" w:fill="BDD7EE"/>
            <w:vAlign w:val="center"/>
            <w:hideMark/>
          </w:tcPr>
          <w:p w14:paraId="07987E67" w14:textId="6142FBAF" w:rsidR="0057163C" w:rsidRPr="00170422" w:rsidRDefault="00F37BF9">
            <w:pPr>
              <w:pStyle w:val="P68B1DB1-Normal10"/>
              <w:jc w:val="center"/>
              <w:rPr>
                <w:bCs/>
                <w:noProof/>
                <w:szCs w:val="20"/>
                <w:lang w:val="de-DE"/>
              </w:rPr>
            </w:pPr>
            <w:r w:rsidRPr="00170422">
              <w:rPr>
                <w:noProof/>
                <w:lang w:val="de-DE"/>
              </w:rPr>
              <w:t>Etappenziel/</w:t>
            </w:r>
            <w:r w:rsidR="000B7F7C" w:rsidRPr="00170422">
              <w:rPr>
                <w:noProof/>
                <w:lang w:val="de-DE"/>
              </w:rPr>
              <w:br/>
            </w:r>
            <w:r w:rsidRPr="00170422">
              <w:rPr>
                <w:noProof/>
                <w:lang w:val="de-DE"/>
              </w:rPr>
              <w:t>Zielwert</w:t>
            </w:r>
          </w:p>
        </w:tc>
        <w:tc>
          <w:tcPr>
            <w:tcW w:w="1597" w:type="dxa"/>
            <w:vMerge w:val="restart"/>
            <w:shd w:val="clear" w:color="auto" w:fill="BDD7EE"/>
            <w:vAlign w:val="center"/>
            <w:hideMark/>
          </w:tcPr>
          <w:p w14:paraId="0035E155" w14:textId="77777777" w:rsidR="0057163C" w:rsidRPr="00170422" w:rsidRDefault="00F37BF9">
            <w:pPr>
              <w:pStyle w:val="P68B1DB1-Normal10"/>
              <w:jc w:val="center"/>
              <w:rPr>
                <w:bCs/>
                <w:noProof/>
                <w:szCs w:val="20"/>
                <w:lang w:val="de-DE"/>
              </w:rPr>
            </w:pPr>
            <w:r w:rsidRPr="00170422">
              <w:rPr>
                <w:noProof/>
                <w:lang w:val="de-DE"/>
              </w:rPr>
              <w:t>Namen</w:t>
            </w:r>
          </w:p>
        </w:tc>
        <w:tc>
          <w:tcPr>
            <w:tcW w:w="1470" w:type="dxa"/>
            <w:vMerge w:val="restart"/>
            <w:shd w:val="clear" w:color="auto" w:fill="BDD7EE"/>
            <w:vAlign w:val="center"/>
            <w:hideMark/>
          </w:tcPr>
          <w:p w14:paraId="2E1217ED" w14:textId="61BE4389" w:rsidR="0057163C" w:rsidRPr="00170422" w:rsidRDefault="00F37BF9">
            <w:pPr>
              <w:jc w:val="center"/>
              <w:rPr>
                <w:rFonts w:ascii="Arial Narrow" w:hAnsi="Arial Narrow"/>
                <w:b/>
                <w:bCs/>
                <w:noProof/>
                <w:sz w:val="20"/>
                <w:szCs w:val="20"/>
                <w:lang w:val="de-DE"/>
              </w:rPr>
            </w:pPr>
            <w:r w:rsidRPr="00170422">
              <w:rPr>
                <w:rFonts w:ascii="Arial Narrow" w:hAnsi="Arial Narrow"/>
                <w:b/>
                <w:noProof/>
                <w:sz w:val="20"/>
                <w:lang w:val="de-DE"/>
              </w:rPr>
              <w:t>Etappenziel/</w:t>
            </w:r>
            <w:r w:rsidR="000B7F7C"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543" w:type="dxa"/>
            <w:gridSpan w:val="3"/>
            <w:shd w:val="clear" w:color="auto" w:fill="BDD7EE"/>
            <w:vAlign w:val="center"/>
            <w:hideMark/>
          </w:tcPr>
          <w:p w14:paraId="072CB2B9" w14:textId="77777777" w:rsidR="0057163C" w:rsidRPr="00170422" w:rsidRDefault="00F37BF9">
            <w:pPr>
              <w:jc w:val="center"/>
              <w:rPr>
                <w:rFonts w:ascii="Arial Narrow" w:hAnsi="Arial Narrow"/>
                <w:b/>
                <w:bCs/>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56" w:type="dxa"/>
            <w:gridSpan w:val="2"/>
            <w:shd w:val="clear" w:color="auto" w:fill="BDD7EE"/>
            <w:vAlign w:val="center"/>
            <w:hideMark/>
          </w:tcPr>
          <w:p w14:paraId="58D119FA" w14:textId="77777777" w:rsidR="0057163C" w:rsidRPr="00170422" w:rsidRDefault="00F37BF9">
            <w:pPr>
              <w:pStyle w:val="P68B1DB1-Normal10"/>
              <w:jc w:val="center"/>
              <w:rPr>
                <w:bCs/>
                <w:noProof/>
                <w:szCs w:val="20"/>
                <w:lang w:val="de-DE"/>
              </w:rPr>
            </w:pPr>
            <w:r w:rsidRPr="00170422">
              <w:rPr>
                <w:noProof/>
                <w:lang w:val="de-DE"/>
              </w:rPr>
              <w:t>Vorläufiger Zeitplan für die Fertigstellung</w:t>
            </w:r>
          </w:p>
        </w:tc>
        <w:tc>
          <w:tcPr>
            <w:tcW w:w="2839" w:type="dxa"/>
            <w:vMerge w:val="restart"/>
            <w:shd w:val="clear" w:color="auto" w:fill="BDD7EE"/>
            <w:vAlign w:val="center"/>
            <w:hideMark/>
          </w:tcPr>
          <w:p w14:paraId="68DE838E" w14:textId="77777777" w:rsidR="0057163C" w:rsidRPr="00170422" w:rsidRDefault="00F37BF9">
            <w:pPr>
              <w:pStyle w:val="P68B1DB1-Normal10"/>
              <w:jc w:val="center"/>
              <w:rPr>
                <w:bCs/>
                <w:noProof/>
                <w:szCs w:val="20"/>
                <w:lang w:val="de-DE"/>
              </w:rPr>
            </w:pPr>
            <w:r w:rsidRPr="00170422">
              <w:rPr>
                <w:noProof/>
                <w:lang w:val="de-DE"/>
              </w:rPr>
              <w:t>Beschreibung der einzelnen Etappenziele und Zielvorga</w:t>
            </w:r>
            <w:r w:rsidRPr="00170422">
              <w:rPr>
                <w:noProof/>
                <w:lang w:val="de-DE"/>
              </w:rPr>
              <w:t>ben</w:t>
            </w:r>
          </w:p>
        </w:tc>
      </w:tr>
      <w:tr w:rsidR="0057163C" w:rsidRPr="00170422" w14:paraId="38C5DCE8" w14:textId="77777777" w:rsidTr="000B7F7C">
        <w:trPr>
          <w:trHeight w:val="632"/>
          <w:tblHeader/>
          <w:jc w:val="center"/>
        </w:trPr>
        <w:tc>
          <w:tcPr>
            <w:tcW w:w="1364" w:type="dxa"/>
            <w:vMerge/>
            <w:vAlign w:val="center"/>
          </w:tcPr>
          <w:p w14:paraId="63562DF0" w14:textId="77777777" w:rsidR="0057163C" w:rsidRPr="00170422" w:rsidRDefault="0057163C">
            <w:pPr>
              <w:jc w:val="center"/>
              <w:rPr>
                <w:rFonts w:ascii="Arial Narrow" w:hAnsi="Arial Narrow"/>
                <w:b/>
                <w:noProof/>
                <w:sz w:val="20"/>
                <w:szCs w:val="20"/>
                <w:lang w:val="de-DE"/>
              </w:rPr>
            </w:pPr>
          </w:p>
        </w:tc>
        <w:tc>
          <w:tcPr>
            <w:tcW w:w="1513" w:type="dxa"/>
            <w:vMerge/>
            <w:vAlign w:val="center"/>
          </w:tcPr>
          <w:p w14:paraId="7C2D40CD" w14:textId="77777777" w:rsidR="0057163C" w:rsidRPr="00170422" w:rsidRDefault="0057163C">
            <w:pPr>
              <w:jc w:val="center"/>
              <w:rPr>
                <w:rFonts w:ascii="Arial Narrow" w:hAnsi="Arial Narrow"/>
                <w:b/>
                <w:noProof/>
                <w:sz w:val="20"/>
                <w:szCs w:val="20"/>
                <w:lang w:val="de-DE"/>
              </w:rPr>
            </w:pPr>
          </w:p>
        </w:tc>
        <w:tc>
          <w:tcPr>
            <w:tcW w:w="1281" w:type="dxa"/>
            <w:vMerge/>
            <w:vAlign w:val="center"/>
          </w:tcPr>
          <w:p w14:paraId="6F1BF8E6" w14:textId="77777777" w:rsidR="0057163C" w:rsidRPr="00170422" w:rsidRDefault="0057163C">
            <w:pPr>
              <w:jc w:val="center"/>
              <w:rPr>
                <w:rFonts w:ascii="Arial Narrow" w:hAnsi="Arial Narrow"/>
                <w:b/>
                <w:noProof/>
                <w:sz w:val="20"/>
                <w:szCs w:val="20"/>
                <w:lang w:val="de-DE"/>
              </w:rPr>
            </w:pPr>
          </w:p>
        </w:tc>
        <w:tc>
          <w:tcPr>
            <w:tcW w:w="1597" w:type="dxa"/>
            <w:vMerge/>
            <w:vAlign w:val="center"/>
          </w:tcPr>
          <w:p w14:paraId="1F287649" w14:textId="77777777" w:rsidR="0057163C" w:rsidRPr="00170422" w:rsidRDefault="0057163C">
            <w:pPr>
              <w:jc w:val="center"/>
              <w:rPr>
                <w:rFonts w:ascii="Arial Narrow" w:hAnsi="Arial Narrow"/>
                <w:b/>
                <w:noProof/>
                <w:sz w:val="20"/>
                <w:szCs w:val="20"/>
                <w:lang w:val="de-DE"/>
              </w:rPr>
            </w:pPr>
          </w:p>
        </w:tc>
        <w:tc>
          <w:tcPr>
            <w:tcW w:w="1470" w:type="dxa"/>
            <w:vMerge/>
            <w:vAlign w:val="center"/>
          </w:tcPr>
          <w:p w14:paraId="6E4E8331" w14:textId="77777777" w:rsidR="0057163C" w:rsidRPr="00170422" w:rsidRDefault="0057163C">
            <w:pPr>
              <w:jc w:val="center"/>
              <w:rPr>
                <w:rFonts w:ascii="Arial Narrow" w:hAnsi="Arial Narrow"/>
                <w:b/>
                <w:noProof/>
                <w:sz w:val="20"/>
                <w:szCs w:val="20"/>
                <w:lang w:val="de-DE"/>
              </w:rPr>
            </w:pPr>
          </w:p>
        </w:tc>
        <w:tc>
          <w:tcPr>
            <w:tcW w:w="1275" w:type="dxa"/>
            <w:shd w:val="clear" w:color="auto" w:fill="BDD7EE"/>
            <w:vAlign w:val="center"/>
          </w:tcPr>
          <w:p w14:paraId="550BE33D" w14:textId="77777777" w:rsidR="0057163C" w:rsidRPr="00170422" w:rsidRDefault="00F37BF9">
            <w:pPr>
              <w:pStyle w:val="P68B1DB1-Normal10"/>
              <w:jc w:val="center"/>
              <w:rPr>
                <w:noProof/>
                <w:szCs w:val="20"/>
                <w:lang w:val="de-DE"/>
              </w:rPr>
            </w:pPr>
            <w:r w:rsidRPr="00170422">
              <w:rPr>
                <w:noProof/>
                <w:lang w:val="de-DE"/>
              </w:rPr>
              <w:t>Maßeinheit</w:t>
            </w:r>
          </w:p>
        </w:tc>
        <w:tc>
          <w:tcPr>
            <w:tcW w:w="1436" w:type="dxa"/>
            <w:shd w:val="clear" w:color="auto" w:fill="BDD7EE"/>
            <w:vAlign w:val="center"/>
          </w:tcPr>
          <w:p w14:paraId="44197F7D" w14:textId="77777777" w:rsidR="0057163C" w:rsidRPr="00170422" w:rsidRDefault="00F37BF9">
            <w:pPr>
              <w:pStyle w:val="P68B1DB1-Normal10"/>
              <w:jc w:val="center"/>
              <w:rPr>
                <w:noProof/>
                <w:szCs w:val="20"/>
                <w:lang w:val="de-DE"/>
              </w:rPr>
            </w:pPr>
            <w:r w:rsidRPr="00170422">
              <w:rPr>
                <w:noProof/>
                <w:lang w:val="de-DE"/>
              </w:rPr>
              <w:t>Ausgangslage</w:t>
            </w:r>
          </w:p>
        </w:tc>
        <w:tc>
          <w:tcPr>
            <w:tcW w:w="832" w:type="dxa"/>
            <w:shd w:val="clear" w:color="auto" w:fill="BDD7EE"/>
            <w:vAlign w:val="center"/>
          </w:tcPr>
          <w:p w14:paraId="213CC092" w14:textId="77777777" w:rsidR="0057163C" w:rsidRPr="00170422" w:rsidRDefault="00F37BF9">
            <w:pPr>
              <w:pStyle w:val="P68B1DB1-Normal10"/>
              <w:jc w:val="center"/>
              <w:rPr>
                <w:noProof/>
                <w:szCs w:val="20"/>
                <w:lang w:val="de-DE"/>
              </w:rPr>
            </w:pPr>
            <w:r w:rsidRPr="00170422">
              <w:rPr>
                <w:noProof/>
                <w:lang w:val="de-DE"/>
              </w:rPr>
              <w:t>Ziel</w:t>
            </w:r>
          </w:p>
        </w:tc>
        <w:tc>
          <w:tcPr>
            <w:tcW w:w="851" w:type="dxa"/>
            <w:shd w:val="clear" w:color="auto" w:fill="BDD7EE"/>
            <w:vAlign w:val="center"/>
          </w:tcPr>
          <w:p w14:paraId="32B45291" w14:textId="77777777" w:rsidR="0057163C" w:rsidRPr="00170422" w:rsidRDefault="00F37BF9">
            <w:pPr>
              <w:pStyle w:val="P68B1DB1-Normal10"/>
              <w:jc w:val="center"/>
              <w:rPr>
                <w:noProof/>
                <w:szCs w:val="20"/>
                <w:lang w:val="de-DE"/>
              </w:rPr>
            </w:pPr>
            <w:r w:rsidRPr="00170422">
              <w:rPr>
                <w:noProof/>
                <w:lang w:val="de-DE"/>
              </w:rPr>
              <w:t>Viertel</w:t>
            </w:r>
          </w:p>
        </w:tc>
        <w:tc>
          <w:tcPr>
            <w:tcW w:w="705" w:type="dxa"/>
            <w:shd w:val="clear" w:color="auto" w:fill="BDD7EE"/>
            <w:vAlign w:val="center"/>
          </w:tcPr>
          <w:p w14:paraId="4AD060FD" w14:textId="77777777" w:rsidR="0057163C" w:rsidRPr="00170422" w:rsidRDefault="00F37BF9">
            <w:pPr>
              <w:pStyle w:val="P68B1DB1-Normal10"/>
              <w:jc w:val="center"/>
              <w:rPr>
                <w:noProof/>
                <w:szCs w:val="20"/>
                <w:lang w:val="de-DE"/>
              </w:rPr>
            </w:pPr>
            <w:r w:rsidRPr="00170422">
              <w:rPr>
                <w:noProof/>
                <w:lang w:val="de-DE"/>
              </w:rPr>
              <w:t>Jahre</w:t>
            </w:r>
          </w:p>
        </w:tc>
        <w:tc>
          <w:tcPr>
            <w:tcW w:w="2839" w:type="dxa"/>
            <w:vMerge/>
            <w:vAlign w:val="center"/>
          </w:tcPr>
          <w:p w14:paraId="37259B5C" w14:textId="77777777" w:rsidR="0057163C" w:rsidRPr="00170422" w:rsidRDefault="0057163C">
            <w:pPr>
              <w:jc w:val="center"/>
              <w:rPr>
                <w:rFonts w:ascii="Arial Narrow" w:hAnsi="Arial Narrow"/>
                <w:b/>
                <w:noProof/>
                <w:sz w:val="20"/>
                <w:szCs w:val="20"/>
                <w:lang w:val="de-DE"/>
              </w:rPr>
            </w:pPr>
          </w:p>
        </w:tc>
      </w:tr>
      <w:tr w:rsidR="0057163C" w:rsidRPr="00170422" w14:paraId="600F9428"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B88ADF" w14:textId="77777777" w:rsidR="0057163C" w:rsidRPr="00170422" w:rsidRDefault="00F37BF9">
            <w:pPr>
              <w:pStyle w:val="P68B1DB1-Normal11"/>
              <w:jc w:val="center"/>
              <w:rPr>
                <w:noProof/>
                <w:szCs w:val="20"/>
                <w:lang w:val="de-DE"/>
              </w:rPr>
            </w:pPr>
            <w:r w:rsidRPr="00170422">
              <w:rPr>
                <w:noProof/>
                <w:lang w:val="de-DE"/>
              </w:rPr>
              <w:t xml:space="preserve">M5C1-1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B457A4" w14:textId="77777777" w:rsidR="0057163C" w:rsidRPr="00170422" w:rsidRDefault="00F37BF9">
            <w:pPr>
              <w:pStyle w:val="P68B1DB1-Normal11"/>
              <w:jc w:val="center"/>
              <w:rPr>
                <w:noProof/>
                <w:szCs w:val="20"/>
                <w:lang w:val="de-DE"/>
              </w:rPr>
            </w:pPr>
            <w:r w:rsidRPr="00170422">
              <w:rPr>
                <w:noProof/>
                <w:lang w:val="de-DE"/>
              </w:rPr>
              <w:t>Reform 1 – aktive arbeitsmarktpolitische Maßnahmen und Berufsbildung</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3051F" w14:textId="77777777" w:rsidR="0057163C" w:rsidRPr="00170422" w:rsidRDefault="00F37BF9">
            <w:pPr>
              <w:pStyle w:val="P68B1DB1-Normal11"/>
              <w:jc w:val="center"/>
              <w:rPr>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8483B" w14:textId="77777777" w:rsidR="0057163C" w:rsidRPr="00170422" w:rsidRDefault="00F37BF9">
            <w:pPr>
              <w:pStyle w:val="P68B1DB1-Normal11"/>
              <w:jc w:val="center"/>
              <w:rPr>
                <w:noProof/>
                <w:szCs w:val="20"/>
                <w:lang w:val="de-DE"/>
              </w:rPr>
            </w:pPr>
            <w:r w:rsidRPr="00170422">
              <w:rPr>
                <w:noProof/>
                <w:lang w:val="de-DE"/>
              </w:rPr>
              <w:t xml:space="preserve">Inkrafttreten des interministeriellen Dekrets zur Festlegung eines nationalen Programms für die garantierte </w:t>
            </w:r>
            <w:r w:rsidRPr="00170422">
              <w:rPr>
                <w:noProof/>
                <w:lang w:val="de-DE"/>
              </w:rPr>
              <w:t>Beschäftigungsfähigkeit der Arbeitnehmer (GOL) und eines interministeriellen Dekrets zur Festlegung eines nationalen Plans für neue Kompetenzen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37F4B2" w14:textId="77777777" w:rsidR="0057163C" w:rsidRPr="00170422" w:rsidRDefault="00F37BF9">
            <w:pPr>
              <w:pStyle w:val="P68B1DB1-Normal11"/>
              <w:jc w:val="center"/>
              <w:rPr>
                <w:noProof/>
                <w:szCs w:val="20"/>
                <w:lang w:val="de-DE"/>
              </w:rPr>
            </w:pPr>
            <w:r w:rsidRPr="00170422">
              <w:rPr>
                <w:noProof/>
                <w:lang w:val="de-DE"/>
              </w:rPr>
              <w:t>Bestimmung in den interministeriellen Dekreten über das Inkrafttreten der beiden interministeriellen Dekrete nac</w:t>
            </w:r>
            <w:r w:rsidRPr="00170422">
              <w:rPr>
                <w:noProof/>
                <w:lang w:val="de-DE"/>
              </w:rPr>
              <w:t>h Vereinbarungen auf der Regierungskonferenz über das Programm GOL und den Nationalen Plan für neue Kompetenzen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B334D8" w14:textId="77777777" w:rsidR="0057163C" w:rsidRPr="00170422" w:rsidRDefault="00F37BF9">
            <w:pPr>
              <w:pStyle w:val="P68B1DB1-Normal11"/>
              <w:jc w:val="center"/>
              <w:rPr>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FF16B0"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163E12"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58141B"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0801F0" w14:textId="77777777" w:rsidR="0057163C" w:rsidRPr="00170422" w:rsidRDefault="00F37BF9">
            <w:pPr>
              <w:pStyle w:val="P68B1DB1-Normal11"/>
              <w:jc w:val="center"/>
              <w:rPr>
                <w:noProof/>
                <w:szCs w:val="20"/>
                <w:lang w:val="de-DE"/>
              </w:rPr>
            </w:pPr>
            <w:r w:rsidRPr="00170422">
              <w:rPr>
                <w:noProof/>
                <w:lang w:val="de-DE"/>
              </w:rPr>
              <w:t>2021</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03F1B86" w14:textId="77777777" w:rsidR="0057163C" w:rsidRPr="00170422" w:rsidRDefault="00F37BF9">
            <w:pPr>
              <w:pStyle w:val="P68B1DB1-Normal11"/>
              <w:rPr>
                <w:rFonts w:eastAsia="Calibri"/>
                <w:noProof/>
                <w:szCs w:val="20"/>
                <w:lang w:val="de-DE"/>
              </w:rPr>
            </w:pPr>
            <w:r w:rsidRPr="00170422">
              <w:rPr>
                <w:noProof/>
                <w:lang w:val="de-DE"/>
              </w:rPr>
              <w:t>Die Rechtsakte für GOL müssen mindestens (I) die wesentlichen Elemente und deren Standards der öff</w:t>
            </w:r>
            <w:r w:rsidRPr="00170422">
              <w:rPr>
                <w:noProof/>
                <w:lang w:val="de-DE"/>
              </w:rPr>
              <w:t>entlichen Arbeitsverwaltungen (ÖAV), einschließlich Kompetenzprognosen, personalisierter Weiterbildungspläne, Beratung und Jobcoaching, festzulegen, um die wirksame Bereitstellung personalisierter Arbeitsvermittlungsdienste nach gemeinsamen und einheitlich</w:t>
            </w:r>
            <w:r w:rsidRPr="00170422">
              <w:rPr>
                <w:noProof/>
                <w:lang w:val="de-DE"/>
              </w:rPr>
              <w:t>en Standards im gesamten Hoheitsgebiet zu gewährleisten, (ii) sicherzustellen, dass die Weiterbildungs- und Umschulungsmaßnahmen der öffentlichen Arbeitsverwaltungen (ÖAV) vollständig mit dem nationalen Plan für neue Kompetenzen, einschließlich digitaler K</w:t>
            </w:r>
            <w:r w:rsidRPr="00170422">
              <w:rPr>
                <w:noProof/>
                <w:lang w:val="de-DE"/>
              </w:rPr>
              <w:t>ompetenzen, im Einklang stehen, (iii) sicherzustellen, dass die öffentlichen Arbeitsverwaltungen (ÖAV) auf die Bedürfnisse der Empfänger ausgerichtet sind, iv) sicherzustellen, dass die öffentlichen Arbeitsverwaltungen vorrangig auf die am stärksten gefähr</w:t>
            </w:r>
            <w:r w:rsidRPr="00170422">
              <w:rPr>
                <w:noProof/>
                <w:lang w:val="de-DE"/>
              </w:rPr>
              <w:t>deten Personen ausgerichtet sind; V) Festlegung eines Ziels von mindestens 25 % der Begünstigten der Programme zur Gewährleistung der Beschäftigungsfähigkeit von Arbeitnehmern als Empfänger einschlägiger Schulungen, mit besonderem Schwerpunkt auf digitalen</w:t>
            </w:r>
            <w:r w:rsidRPr="00170422">
              <w:rPr>
                <w:noProof/>
                <w:lang w:val="de-DE"/>
              </w:rPr>
              <w:t xml:space="preserve"> Kompetenzen und mit einer Priorität für die am stärksten gefährdeten Personen; VI) Einführung neuer Mechanismen zur Stärkung und strukturellen Zusammenarbeit zwischen öffentlichen und privaten Systemen, auch in Bezug auf die Ermittlung des relevanten Qual</w:t>
            </w:r>
            <w:r w:rsidRPr="00170422">
              <w:rPr>
                <w:noProof/>
                <w:lang w:val="de-DE"/>
              </w:rPr>
              <w:t>ifikationsbedarfs und die Bereitstellung von Stellenangeboten. In dem Dekret ist festgelegt, dass die Empfänger von Netzen der sozialen Sicherheit innerhalb von vier Monaten ab dem Zeitpunkt, zu dem sie das Recht auf soziale Sicherungsnetze auslaufen, Zuga</w:t>
            </w:r>
            <w:r w:rsidRPr="00170422">
              <w:rPr>
                <w:noProof/>
                <w:lang w:val="de-DE"/>
              </w:rPr>
              <w:t>ng zu den im Rahmen des Nationalen Programms „Gewährleistung der Beschäftigungsfähigkeit der Arbeitnehmer“ erbrachten Dienstleistungen haben. Die Rechtsakte für den nationalen Plan für neue Kompetenzen müssen mindestens (I) die Festlegung gemeinsamer Stand</w:t>
            </w:r>
            <w:r w:rsidRPr="00170422">
              <w:rPr>
                <w:noProof/>
                <w:lang w:val="de-DE"/>
              </w:rPr>
              <w:t>ards und wesentlicher Niveaus der beruflichen Bildung im gesamten Hoheitsgebiet, (ii) sowohl auf Beschäftigte als auch auf Arbeitslose sowie auf Personen mit dem Ziel, ihre digitalen Kompetenzen zu verbessern und lebenslanges Lernen zu fördern. III) Ermitt</w:t>
            </w:r>
            <w:r w:rsidRPr="00170422">
              <w:rPr>
                <w:noProof/>
                <w:lang w:val="de-DE"/>
              </w:rPr>
              <w:t>lung von Kompetenzen und einschlägigen Standards auf der Grundlage einer Zusammenarbeit zwischen dem öffentlichen und dem privaten System, iv) Berücksichtigung der unterschiedlichen Bedürfnisse der betrachteten Zielgruppen, die zumindest die am stärksten g</w:t>
            </w:r>
            <w:r w:rsidRPr="00170422">
              <w:rPr>
                <w:noProof/>
                <w:lang w:val="de-DE"/>
              </w:rPr>
              <w:t>efährdeten Gruppen umfassen müssen, v) alle einschlägigen sektorspezifischen Strategien für einen umfassenden Ansatz, einschließlich des nationalen Strategieplans für Kompetenzen von Erwachsenen; vi) die Bestimmung für die Entwicklung eines Prognosesystems</w:t>
            </w:r>
            <w:r w:rsidRPr="00170422">
              <w:rPr>
                <w:noProof/>
                <w:lang w:val="de-DE"/>
              </w:rPr>
              <w:t xml:space="preserve"> für neue Kompetenzen, die kurz- bis mittelfristig auf dem Arbeitsmarkt benötigt werden.</w:t>
            </w:r>
          </w:p>
        </w:tc>
      </w:tr>
      <w:tr w:rsidR="0057163C" w:rsidRPr="00170422" w14:paraId="41F09158"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B3B060" w14:textId="77777777" w:rsidR="0057163C" w:rsidRPr="00170422" w:rsidRDefault="00F37BF9">
            <w:pPr>
              <w:pStyle w:val="P68B1DB1-Normal11"/>
              <w:jc w:val="center"/>
              <w:rPr>
                <w:noProof/>
                <w:szCs w:val="20"/>
                <w:lang w:val="de-DE"/>
              </w:rPr>
            </w:pPr>
            <w:r w:rsidRPr="00170422">
              <w:rPr>
                <w:noProof/>
                <w:lang w:val="de-DE"/>
              </w:rPr>
              <w:t xml:space="preserve">M5C1-2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88237A8" w14:textId="77777777" w:rsidR="0057163C" w:rsidRPr="00170422" w:rsidRDefault="00F37BF9">
            <w:pPr>
              <w:pStyle w:val="P68B1DB1-Normal11"/>
              <w:jc w:val="center"/>
              <w:rPr>
                <w:noProof/>
                <w:szCs w:val="20"/>
                <w:lang w:val="de-DE"/>
              </w:rPr>
            </w:pPr>
            <w:r w:rsidRPr="00170422">
              <w:rPr>
                <w:noProof/>
                <w:lang w:val="de-DE"/>
              </w:rPr>
              <w:t>Reform 1 – aktive arbeitsmarktpolitische Maßnahmen und Berufsbildung</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9DE745" w14:textId="77777777" w:rsidR="0057163C" w:rsidRPr="00170422" w:rsidRDefault="00F37BF9">
            <w:pPr>
              <w:pStyle w:val="P68B1DB1-Normal11"/>
              <w:jc w:val="center"/>
              <w:rPr>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BE2799" w14:textId="47AE502F" w:rsidR="0057163C" w:rsidRPr="00170422" w:rsidRDefault="00F37BF9">
            <w:pPr>
              <w:pStyle w:val="P68B1DB1-Normal11"/>
              <w:jc w:val="center"/>
              <w:rPr>
                <w:noProof/>
                <w:szCs w:val="20"/>
                <w:lang w:val="de-DE"/>
              </w:rPr>
            </w:pPr>
            <w:r w:rsidRPr="00170422">
              <w:rPr>
                <w:noProof/>
                <w:lang w:val="de-DE"/>
              </w:rPr>
              <w:t xml:space="preserve">Inkrafttreten aller Pläne für die öffentlichen Arbeitsverwaltungen (ÖAV) auf regionaler Ebene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401D0C7" w14:textId="77777777" w:rsidR="0057163C" w:rsidRPr="00170422" w:rsidRDefault="00F37BF9">
            <w:pPr>
              <w:pStyle w:val="P68B1DB1-Normal11"/>
              <w:jc w:val="center"/>
              <w:rPr>
                <w:noProof/>
                <w:szCs w:val="20"/>
                <w:lang w:val="de-DE"/>
              </w:rPr>
            </w:pPr>
            <w:r w:rsidRPr="00170422">
              <w:rPr>
                <w:noProof/>
                <w:lang w:val="de-DE"/>
              </w:rPr>
              <w:t>Bestimmung über das Inkrafttreten der von den Regionen angenommenen Pläne und durchgeführten Tätigkeiten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B344F9"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69FDC4" w14:textId="77777777" w:rsidR="0057163C" w:rsidRPr="00170422" w:rsidRDefault="00F37BF9">
            <w:pPr>
              <w:pStyle w:val="P68B1DB1-Normal11"/>
              <w:jc w:val="center"/>
              <w:rPr>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93924F8"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4BECA0"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C1883F" w14:textId="77777777" w:rsidR="0057163C" w:rsidRPr="00170422" w:rsidRDefault="00F37BF9">
            <w:pPr>
              <w:pStyle w:val="P68B1DB1-Normal11"/>
              <w:jc w:val="center"/>
              <w:rPr>
                <w:noProof/>
                <w:szCs w:val="20"/>
                <w:lang w:val="de-DE"/>
              </w:rPr>
            </w:pPr>
            <w:r w:rsidRPr="00170422">
              <w:rPr>
                <w:noProof/>
                <w:lang w:val="de-DE"/>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A94B5BA" w14:textId="77777777" w:rsidR="0057163C" w:rsidRPr="00170422" w:rsidRDefault="00F37BF9">
            <w:pPr>
              <w:pStyle w:val="P68B1DB1-Normal11"/>
              <w:rPr>
                <w:rFonts w:eastAsia="Calibri"/>
                <w:noProof/>
                <w:szCs w:val="20"/>
                <w:lang w:val="de-DE"/>
              </w:rPr>
            </w:pPr>
            <w:r w:rsidRPr="00170422">
              <w:rPr>
                <w:noProof/>
                <w:lang w:val="de-DE"/>
              </w:rPr>
              <w:t>Die nation</w:t>
            </w:r>
            <w:r w:rsidRPr="00170422">
              <w:rPr>
                <w:noProof/>
                <w:lang w:val="de-DE"/>
              </w:rPr>
              <w:t>ale Regelung des Programms „Gewährte Beschäftigungsfähigkeit der Arbeitnehmer“ (GOL) sieht die Festlegung der für die Durchführung des Programms erforderlichen operativen Tätigkeiten auf regionaler Ebene vor. Um die Kohärenz zwischen der nationalen Regelun</w:t>
            </w:r>
            <w:r w:rsidRPr="00170422">
              <w:rPr>
                <w:noProof/>
                <w:lang w:val="de-DE"/>
              </w:rPr>
              <w:t xml:space="preserve">g und der regionalen Umsetzung zu gewährleisten, werden regionale Pläne für die öffentlichen Arbeitsverwaltungen (ÖAV) verabschiedet. </w:t>
            </w:r>
          </w:p>
          <w:p w14:paraId="060C5613" w14:textId="77777777" w:rsidR="0057163C" w:rsidRPr="00170422" w:rsidRDefault="00F37BF9">
            <w:pPr>
              <w:pStyle w:val="P68B1DB1-Normal11"/>
              <w:rPr>
                <w:rFonts w:eastAsia="Calibri"/>
                <w:noProof/>
                <w:szCs w:val="20"/>
                <w:lang w:val="de-DE"/>
              </w:rPr>
            </w:pPr>
            <w:r w:rsidRPr="00170422">
              <w:rPr>
                <w:noProof/>
                <w:lang w:val="de-DE"/>
              </w:rPr>
              <w:t>Neben der Annahme der Pläne führen die Regionen die Tätigkeiten auf der Grundlage der Pläne durch und erreichen mindesten</w:t>
            </w:r>
            <w:r w:rsidRPr="00170422">
              <w:rPr>
                <w:noProof/>
                <w:lang w:val="de-DE"/>
              </w:rPr>
              <w:t>s 10 % der vorgesehenen Begünstigten des Programms (Endziel 3000000 Menschen).</w:t>
            </w:r>
          </w:p>
          <w:p w14:paraId="224EBE8B" w14:textId="77777777" w:rsidR="0057163C" w:rsidRPr="00170422" w:rsidRDefault="00F37BF9">
            <w:pPr>
              <w:pStyle w:val="P68B1DB1-Normal11"/>
              <w:rPr>
                <w:rFonts w:eastAsia="Calibri"/>
                <w:noProof/>
                <w:szCs w:val="20"/>
                <w:lang w:val="de-DE"/>
              </w:rPr>
            </w:pPr>
            <w:r w:rsidRPr="00170422">
              <w:rPr>
                <w:noProof/>
                <w:lang w:val="de-DE"/>
              </w:rPr>
              <w:t>Das Inkrafttreten der Pläne für die öffentlichen Arbeitsverwaltungen (ÖAV) soll die vollständige Umsetzung des Programms zur Gewährleistung der Beschäftigungsfähigkeit der Arbei</w:t>
            </w:r>
            <w:r w:rsidRPr="00170422">
              <w:rPr>
                <w:noProof/>
                <w:lang w:val="de-DE"/>
              </w:rPr>
              <w:t>tnehmer (GOL) ermöglichen.</w:t>
            </w:r>
          </w:p>
        </w:tc>
      </w:tr>
      <w:tr w:rsidR="0057163C" w:rsidRPr="00170422" w14:paraId="5F251F06"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04B54F" w14:textId="77777777" w:rsidR="0057163C" w:rsidRPr="00170422" w:rsidRDefault="00F37BF9">
            <w:pPr>
              <w:pStyle w:val="P68B1DB1-Normal12"/>
              <w:jc w:val="center"/>
              <w:rPr>
                <w:noProof/>
                <w:highlight w:val="yellow"/>
                <w:lang w:val="de-DE"/>
              </w:rPr>
            </w:pPr>
            <w:r w:rsidRPr="00170422">
              <w:rPr>
                <w:noProof/>
                <w:lang w:val="de-DE"/>
              </w:rPr>
              <w:t xml:space="preserve">M5C1-3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C7775" w14:textId="77777777" w:rsidR="0057163C" w:rsidRPr="00170422" w:rsidRDefault="00F37BF9">
            <w:pPr>
              <w:pStyle w:val="P68B1DB1-Normal11"/>
              <w:jc w:val="center"/>
              <w:rPr>
                <w:noProof/>
                <w:szCs w:val="20"/>
                <w:lang w:val="de-DE"/>
              </w:rPr>
            </w:pPr>
            <w:r w:rsidRPr="00170422">
              <w:rPr>
                <w:noProof/>
                <w:lang w:val="de-DE"/>
              </w:rPr>
              <w:t>Reform 1 – aktive arbeitsmarktpolitische Maßnahmen und Berufsbildung</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36FA296" w14:textId="77777777" w:rsidR="0057163C" w:rsidRPr="00170422" w:rsidRDefault="00F37BF9">
            <w:pPr>
              <w:pStyle w:val="P68B1DB1-Normal11"/>
              <w:jc w:val="center"/>
              <w:rPr>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BD4196" w14:textId="77777777" w:rsidR="0057163C" w:rsidRPr="00170422" w:rsidRDefault="00F37BF9">
            <w:pPr>
              <w:pStyle w:val="P68B1DB1-Normal11"/>
              <w:jc w:val="center"/>
              <w:rPr>
                <w:rFonts w:eastAsia="Calibri"/>
                <w:noProof/>
                <w:szCs w:val="20"/>
                <w:lang w:val="de-DE"/>
              </w:rPr>
            </w:pPr>
            <w:r w:rsidRPr="00170422">
              <w:rPr>
                <w:noProof/>
                <w:lang w:val="de-DE"/>
              </w:rPr>
              <w:t>Personen, die vom Programm „Gewährleistung der Beschäftigungsfähigkeit der Arbeitnehmer“ (GOL) profitieren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38A0351" w14:textId="77777777" w:rsidR="0057163C" w:rsidRPr="00170422" w:rsidRDefault="00F37BF9">
            <w:pPr>
              <w:pStyle w:val="P68B1DB1-Normal11"/>
              <w:jc w:val="center"/>
              <w:rPr>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0ADFC96" w14:textId="77777777" w:rsidR="0057163C" w:rsidRPr="00170422" w:rsidRDefault="00F37BF9">
            <w:pPr>
              <w:pStyle w:val="P68B1DB1-Normal11"/>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DBFEF3F" w14:textId="77777777" w:rsidR="0057163C" w:rsidRPr="00170422" w:rsidRDefault="00F37BF9">
            <w:pPr>
              <w:pStyle w:val="P68B1DB1-Normal11"/>
              <w:jc w:val="center"/>
              <w:rPr>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9F4D1"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3</w:t>
            </w:r>
            <w:r w:rsidRPr="00170422">
              <w:rPr>
                <w:noProof/>
                <w:sz w:val="23"/>
                <w:szCs w:val="23"/>
                <w:lang w:val="de-DE"/>
              </w:rPr>
              <w:t xml:space="preserve"> </w:t>
            </w:r>
            <w:r w:rsidRPr="00170422">
              <w:rPr>
                <w:rFonts w:ascii="Arial Narrow" w:hAnsi="Arial Narrow"/>
                <w:noProof/>
                <w:color w:val="006100"/>
                <w:sz w:val="20"/>
                <w:lang w:val="de-DE"/>
              </w:rPr>
              <w:t>000</w:t>
            </w:r>
            <w:r w:rsidRPr="00170422">
              <w:rPr>
                <w:noProof/>
                <w:sz w:val="23"/>
                <w:szCs w:val="23"/>
                <w:lang w:val="de-DE"/>
              </w:rPr>
              <w:t xml:space="preserve"> </w:t>
            </w:r>
            <w:r w:rsidRPr="00170422">
              <w:rPr>
                <w:rFonts w:ascii="Arial Narrow" w:hAnsi="Arial Narrow"/>
                <w:noProof/>
                <w:color w:val="006100"/>
                <w:sz w:val="20"/>
                <w:lang w:val="de-DE"/>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B41C0DC" w14:textId="77777777" w:rsidR="0057163C" w:rsidRPr="00170422" w:rsidRDefault="00F37BF9">
            <w:pPr>
              <w:pStyle w:val="P68B1DB1-Normal11"/>
              <w:jc w:val="center"/>
              <w:rPr>
                <w:noProof/>
                <w:szCs w:val="20"/>
                <w:lang w:val="de-DE"/>
              </w:rPr>
            </w:pPr>
            <w:r w:rsidRPr="00170422">
              <w:rPr>
                <w:noProof/>
                <w:lang w:val="de-DE"/>
              </w:rPr>
              <w:t xml:space="preserve">4. </w:t>
            </w:r>
            <w:r w:rsidRPr="00170422">
              <w:rPr>
                <w:noProof/>
                <w:lang w:val="de-DE"/>
              </w:rPr>
              <w:t>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905D9C" w14:textId="77777777" w:rsidR="0057163C" w:rsidRPr="00170422" w:rsidRDefault="00F37BF9">
            <w:pPr>
              <w:pStyle w:val="P68B1DB1-Normal11"/>
              <w:jc w:val="center"/>
              <w:rPr>
                <w:rFonts w:eastAsia="Calibri"/>
                <w:noProof/>
                <w:szCs w:val="20"/>
                <w:lang w:val="de-DE"/>
              </w:rPr>
            </w:pPr>
            <w:r w:rsidRPr="00170422">
              <w:rPr>
                <w:noProof/>
                <w:lang w:val="de-DE"/>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1641185" w14:textId="77777777" w:rsidR="0057163C" w:rsidRPr="00170422" w:rsidRDefault="00F37BF9">
            <w:pPr>
              <w:rPr>
                <w:rFonts w:ascii="Arial Narrow" w:hAnsi="Arial Narrow"/>
                <w:noProof/>
                <w:color w:val="006100"/>
                <w:sz w:val="20"/>
                <w:lang w:val="de-DE"/>
              </w:rPr>
            </w:pPr>
            <w:r w:rsidRPr="00170422">
              <w:rPr>
                <w:rFonts w:ascii="Arial Narrow" w:hAnsi="Arial Narrow"/>
                <w:noProof/>
                <w:color w:val="006100"/>
                <w:sz w:val="20"/>
                <w:szCs w:val="20"/>
                <w:lang w:val="de-DE"/>
              </w:rPr>
              <w:t>Mindestens 3000000 Personen sollen vom Programm „Gewährte Beschäftigungsfähigkeit der Arbeitnehmer“ (GOL) profitieren.</w:t>
            </w:r>
          </w:p>
          <w:p w14:paraId="5701123A" w14:textId="67A92FB0" w:rsidR="0057163C" w:rsidRPr="00170422" w:rsidRDefault="00F37BF9">
            <w:pPr>
              <w:pStyle w:val="P68B1DB1-Normal11"/>
              <w:rPr>
                <w:noProof/>
                <w:szCs w:val="20"/>
                <w:lang w:val="de-DE"/>
              </w:rPr>
            </w:pPr>
            <w:r w:rsidRPr="00170422">
              <w:rPr>
                <w:noProof/>
                <w:lang w:val="de-DE"/>
              </w:rPr>
              <w:t xml:space="preserve">Darüber hinaus </w:t>
            </w:r>
            <w:r w:rsidRPr="00170422">
              <w:rPr>
                <w:noProof/>
                <w:szCs w:val="20"/>
                <w:lang w:val="de-DE"/>
              </w:rPr>
              <w:t xml:space="preserve">müssen die wesentlichen Dienstleistungsniveaus </w:t>
            </w:r>
            <w:r w:rsidRPr="00170422">
              <w:rPr>
                <w:i/>
                <w:noProof/>
                <w:szCs w:val="20"/>
                <w:lang w:val="de-DE"/>
              </w:rPr>
              <w:t>(„Livelli essenziali delle prestazioni“) im Sinne</w:t>
            </w:r>
            <w:r w:rsidRPr="00170422">
              <w:rPr>
                <w:noProof/>
                <w:szCs w:val="20"/>
                <w:lang w:val="de-DE"/>
              </w:rPr>
              <w:t xml:space="preserve"> des GOL-Prog</w:t>
            </w:r>
            <w:r w:rsidRPr="00170422">
              <w:rPr>
                <w:noProof/>
                <w:szCs w:val="20"/>
                <w:lang w:val="de-DE"/>
              </w:rPr>
              <w:t>ramms in mindestens 80 % der öffentlichen Arbeitsverwaltungen (ÖAV) verfügbar sein.</w:t>
            </w:r>
          </w:p>
        </w:tc>
      </w:tr>
      <w:tr w:rsidR="0057163C" w:rsidRPr="00170422" w14:paraId="328CFFD5"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E240EDC" w14:textId="77777777" w:rsidR="0057163C" w:rsidRPr="00170422" w:rsidRDefault="00F37BF9">
            <w:pPr>
              <w:pStyle w:val="P68B1DB1-Normal12"/>
              <w:jc w:val="center"/>
              <w:rPr>
                <w:noProof/>
                <w:highlight w:val="yellow"/>
                <w:lang w:val="de-DE"/>
              </w:rPr>
            </w:pPr>
            <w:r w:rsidRPr="00170422">
              <w:rPr>
                <w:noProof/>
                <w:lang w:val="de-DE"/>
              </w:rPr>
              <w:t xml:space="preserve">M5C1-4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AD40E" w14:textId="77777777" w:rsidR="0057163C" w:rsidRPr="00170422" w:rsidRDefault="00F37BF9">
            <w:pPr>
              <w:pStyle w:val="P68B1DB1-Normal11"/>
              <w:jc w:val="center"/>
              <w:rPr>
                <w:rFonts w:eastAsia="Calibri"/>
                <w:noProof/>
                <w:szCs w:val="20"/>
                <w:lang w:val="de-DE"/>
              </w:rPr>
            </w:pPr>
            <w:r w:rsidRPr="00170422">
              <w:rPr>
                <w:noProof/>
                <w:lang w:val="de-DE"/>
              </w:rPr>
              <w:t>Reform 1 – aktive arbeitsmarktpolitische Maßnahmen und Berufsbildung</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5F787" w14:textId="77777777" w:rsidR="0057163C" w:rsidRPr="00170422" w:rsidRDefault="00F37BF9">
            <w:pPr>
              <w:pStyle w:val="P68B1DB1-Normal11"/>
              <w:jc w:val="center"/>
              <w:rPr>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75B2BD" w14:textId="7CCDB143" w:rsidR="0057163C" w:rsidRPr="00170422" w:rsidRDefault="00F37BF9">
            <w:pPr>
              <w:pStyle w:val="P68B1DB1-Normal11"/>
              <w:jc w:val="center"/>
              <w:rPr>
                <w:noProof/>
                <w:szCs w:val="20"/>
                <w:lang w:val="de-DE"/>
              </w:rPr>
            </w:pPr>
            <w:r w:rsidRPr="00170422">
              <w:rPr>
                <w:noProof/>
                <w:lang w:val="de-DE"/>
              </w:rPr>
              <w:t>Personen, die an Schulungsprogrammen teilnehmen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56B515" w14:textId="77777777" w:rsidR="0057163C" w:rsidRPr="00170422" w:rsidRDefault="00F37BF9">
            <w:pPr>
              <w:pStyle w:val="P68B1DB1-Normal11"/>
              <w:jc w:val="center"/>
              <w:rPr>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DB7DB" w14:textId="77777777" w:rsidR="0057163C" w:rsidRPr="00170422" w:rsidRDefault="00F37BF9">
            <w:pPr>
              <w:pStyle w:val="P68B1DB1-Normal11"/>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2FC23" w14:textId="77777777" w:rsidR="0057163C" w:rsidRPr="00170422" w:rsidRDefault="00F37BF9">
            <w:pPr>
              <w:pStyle w:val="P68B1DB1-Normal11"/>
              <w:jc w:val="center"/>
              <w:rPr>
                <w:rFonts w:eastAsia="Calibri"/>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2FFB1AA" w14:textId="77777777" w:rsidR="0057163C" w:rsidRPr="00170422" w:rsidRDefault="00F37BF9">
            <w:pPr>
              <w:jc w:val="center"/>
              <w:rPr>
                <w:rFonts w:ascii="Arial Narrow" w:eastAsia="Calibri" w:hAnsi="Arial Narrow"/>
                <w:noProof/>
                <w:color w:val="006100"/>
                <w:sz w:val="20"/>
                <w:szCs w:val="20"/>
                <w:lang w:val="de-DE"/>
              </w:rPr>
            </w:pPr>
            <w:r w:rsidRPr="00170422">
              <w:rPr>
                <w:rFonts w:ascii="Arial Narrow" w:hAnsi="Arial Narrow"/>
                <w:noProof/>
                <w:color w:val="006100"/>
                <w:sz w:val="20"/>
                <w:lang w:val="de-DE"/>
              </w:rPr>
              <w:t>600</w:t>
            </w:r>
            <w:r w:rsidRPr="00170422">
              <w:rPr>
                <w:noProof/>
                <w:sz w:val="23"/>
                <w:szCs w:val="23"/>
                <w:lang w:val="de-DE"/>
              </w:rPr>
              <w:t xml:space="preserve"> </w:t>
            </w:r>
            <w:r w:rsidRPr="00170422">
              <w:rPr>
                <w:rFonts w:ascii="Arial Narrow" w:hAnsi="Arial Narrow"/>
                <w:noProof/>
                <w:color w:val="006100"/>
                <w:sz w:val="20"/>
                <w:lang w:val="de-DE"/>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64FB6C8"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23B8F9" w14:textId="77777777" w:rsidR="0057163C" w:rsidRPr="00170422" w:rsidRDefault="00F37BF9">
            <w:pPr>
              <w:pStyle w:val="P68B1DB1-Normal11"/>
              <w:jc w:val="center"/>
              <w:rPr>
                <w:rFonts w:eastAsia="Calibri"/>
                <w:noProof/>
                <w:szCs w:val="20"/>
                <w:lang w:val="de-DE"/>
              </w:rPr>
            </w:pPr>
            <w:r w:rsidRPr="00170422">
              <w:rPr>
                <w:noProof/>
                <w:lang w:val="de-DE"/>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7C09A3" w14:textId="2C9C241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Mindestens 600000</w:t>
            </w:r>
            <w:r w:rsidRPr="00170422">
              <w:rPr>
                <w:noProof/>
                <w:sz w:val="23"/>
                <w:szCs w:val="23"/>
                <w:lang w:val="de-DE"/>
              </w:rPr>
              <w:t xml:space="preserve"> </w:t>
            </w:r>
            <w:r w:rsidRPr="00170422">
              <w:rPr>
                <w:rFonts w:ascii="Arial Narrow" w:hAnsi="Arial Narrow"/>
                <w:noProof/>
                <w:color w:val="006100"/>
                <w:sz w:val="20"/>
                <w:szCs w:val="20"/>
                <w:lang w:val="de-DE"/>
              </w:rPr>
              <w:t>der Begünstigten des GOL-Programms müssen an Schulungen teilnehmen, von denen mindestens 300000</w:t>
            </w:r>
            <w:r w:rsidRPr="00170422">
              <w:rPr>
                <w:noProof/>
                <w:sz w:val="23"/>
                <w:szCs w:val="23"/>
                <w:lang w:val="de-DE"/>
              </w:rPr>
              <w:t xml:space="preserve"> </w:t>
            </w:r>
            <w:r w:rsidRPr="00170422">
              <w:rPr>
                <w:rFonts w:ascii="Arial Narrow" w:hAnsi="Arial Narrow"/>
                <w:noProof/>
                <w:color w:val="006100"/>
                <w:sz w:val="20"/>
                <w:szCs w:val="20"/>
                <w:lang w:val="de-DE"/>
              </w:rPr>
              <w:t>an</w:t>
            </w:r>
            <w:r w:rsidRPr="00170422">
              <w:rPr>
                <w:noProof/>
                <w:sz w:val="23"/>
                <w:szCs w:val="23"/>
                <w:lang w:val="de-DE"/>
              </w:rPr>
              <w:t xml:space="preserve"> </w:t>
            </w:r>
            <w:r w:rsidRPr="00170422">
              <w:rPr>
                <w:rFonts w:ascii="Arial Narrow" w:hAnsi="Arial Narrow"/>
                <w:noProof/>
                <w:color w:val="006100"/>
                <w:sz w:val="20"/>
                <w:szCs w:val="20"/>
                <w:lang w:val="de-DE"/>
              </w:rPr>
              <w:t>Schulungen zu digitalen Kompetenzen teilnehmen.</w:t>
            </w:r>
          </w:p>
          <w:p w14:paraId="058AA29C" w14:textId="77777777" w:rsidR="0057163C" w:rsidRPr="00170422" w:rsidRDefault="00F37BF9">
            <w:pPr>
              <w:pStyle w:val="P68B1DB1-Normal12"/>
              <w:rPr>
                <w:noProof/>
                <w:lang w:val="de-DE"/>
              </w:rPr>
            </w:pPr>
            <w:r w:rsidRPr="00170422">
              <w:rPr>
                <w:noProof/>
                <w:lang w:val="de-DE"/>
              </w:rPr>
              <w:t xml:space="preserve">Die Listen der ausgewählten Begünstigten der Schulungsprogramme </w:t>
            </w:r>
            <w:r w:rsidRPr="00170422">
              <w:rPr>
                <w:i/>
                <w:noProof/>
                <w:lang w:val="de-DE"/>
              </w:rPr>
              <w:t>„Progetto per l’autoim</w:t>
            </w:r>
            <w:r w:rsidRPr="00170422">
              <w:rPr>
                <w:i/>
                <w:noProof/>
                <w:lang w:val="de-DE"/>
              </w:rPr>
              <w:t>piego</w:t>
            </w:r>
            <w:r w:rsidRPr="00170422">
              <w:rPr>
                <w:noProof/>
                <w:lang w:val="de-DE"/>
              </w:rPr>
              <w:t>“, „</w:t>
            </w:r>
            <w:r w:rsidRPr="00170422">
              <w:rPr>
                <w:i/>
                <w:noProof/>
                <w:lang w:val="de-DE"/>
              </w:rPr>
              <w:t>Fondo nuove</w:t>
            </w:r>
            <w:r w:rsidRPr="00170422">
              <w:rPr>
                <w:noProof/>
                <w:lang w:val="de-DE"/>
              </w:rPr>
              <w:t>competenze</w:t>
            </w:r>
            <w:r w:rsidRPr="00170422">
              <w:rPr>
                <w:i/>
                <w:noProof/>
                <w:lang w:val="de-DE"/>
              </w:rPr>
              <w:t>“ und „Qualifikationspartnerschaft Ucraina-Italia</w:t>
            </w:r>
            <w:r w:rsidRPr="00170422">
              <w:rPr>
                <w:noProof/>
                <w:lang w:val="de-DE"/>
              </w:rPr>
              <w:t>“ werden veröffentlicht.</w:t>
            </w:r>
          </w:p>
        </w:tc>
      </w:tr>
      <w:tr w:rsidR="0057163C" w:rsidRPr="00170422" w14:paraId="4D48BF16" w14:textId="77777777" w:rsidTr="000B7F7C">
        <w:trPr>
          <w:trHeight w:val="593"/>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3F5AF4" w14:textId="77777777" w:rsidR="0057163C" w:rsidRPr="00170422" w:rsidRDefault="00F37BF9">
            <w:pPr>
              <w:pStyle w:val="P68B1DB1-Normal12"/>
              <w:jc w:val="center"/>
              <w:rPr>
                <w:noProof/>
                <w:highlight w:val="yellow"/>
                <w:lang w:val="de-DE"/>
              </w:rPr>
            </w:pPr>
            <w:r w:rsidRPr="00170422">
              <w:rPr>
                <w:noProof/>
                <w:lang w:val="de-DE"/>
              </w:rPr>
              <w:t xml:space="preserve">M5C1-4bis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79134E8" w14:textId="77777777" w:rsidR="0057163C" w:rsidRPr="00170422" w:rsidRDefault="00F37BF9">
            <w:pPr>
              <w:pStyle w:val="P68B1DB1-Normal11"/>
              <w:jc w:val="center"/>
              <w:rPr>
                <w:noProof/>
                <w:szCs w:val="20"/>
                <w:lang w:val="de-DE"/>
              </w:rPr>
            </w:pPr>
            <w:r w:rsidRPr="00170422">
              <w:rPr>
                <w:noProof/>
                <w:lang w:val="de-DE"/>
              </w:rPr>
              <w:t>Reform 1 – aktive arbeitsmarktpolitische Maßnahmen und Berufsbildung</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A78233" w14:textId="77777777" w:rsidR="0057163C" w:rsidRPr="00170422" w:rsidRDefault="00F37BF9">
            <w:pPr>
              <w:pStyle w:val="P68B1DB1-Normal11"/>
              <w:jc w:val="center"/>
              <w:rPr>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3A90CF" w14:textId="77777777" w:rsidR="0057163C" w:rsidRPr="00170422" w:rsidRDefault="00F37BF9">
            <w:pPr>
              <w:pStyle w:val="P68B1DB1-Normal12"/>
              <w:jc w:val="center"/>
              <w:rPr>
                <w:rFonts w:eastAsia="Calibri"/>
                <w:noProof/>
                <w:lang w:val="de-DE"/>
              </w:rPr>
            </w:pPr>
            <w:r w:rsidRPr="00170422">
              <w:rPr>
                <w:noProof/>
                <w:lang w:val="de-DE"/>
              </w:rPr>
              <w:t xml:space="preserve">Personen, die an Schulungsprogrammen teilnehmen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D2041A" w14:textId="77777777" w:rsidR="0057163C" w:rsidRPr="00170422" w:rsidRDefault="00F37BF9">
            <w:pPr>
              <w:pStyle w:val="P68B1DB1-Normal11"/>
              <w:jc w:val="center"/>
              <w:rPr>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F44E69" w14:textId="77777777" w:rsidR="0057163C" w:rsidRPr="00170422" w:rsidRDefault="00F37BF9">
            <w:pPr>
              <w:pStyle w:val="P68B1DB1-Normal11"/>
              <w:jc w:val="center"/>
              <w:rPr>
                <w:noProof/>
                <w:szCs w:val="20"/>
                <w:lang w:val="de-DE"/>
              </w:rPr>
            </w:pPr>
            <w:r w:rsidRPr="00170422">
              <w:rPr>
                <w:noProof/>
                <w:lang w:val="de-DE"/>
              </w:rPr>
              <w:t>Anzahl</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70DA73" w14:textId="345B9566" w:rsidR="0057163C" w:rsidRPr="00170422" w:rsidRDefault="00F37BF9">
            <w:pPr>
              <w:pStyle w:val="P68B1DB1-Normal11"/>
              <w:jc w:val="center"/>
              <w:rPr>
                <w:noProof/>
                <w:szCs w:val="20"/>
                <w:lang w:val="de-DE"/>
              </w:rPr>
            </w:pPr>
            <w:r w:rsidRPr="00170422">
              <w:rPr>
                <w:noProof/>
                <w:lang w:val="de-DE"/>
              </w:rPr>
              <w:t>600 000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79527A" w14:textId="2EC41DA2" w:rsidR="0057163C" w:rsidRPr="00170422" w:rsidRDefault="00F37BF9">
            <w:pPr>
              <w:pStyle w:val="P68B1DB1-Normal11"/>
              <w:jc w:val="center"/>
              <w:rPr>
                <w:rFonts w:eastAsia="Calibri"/>
                <w:noProof/>
                <w:szCs w:val="20"/>
                <w:lang w:val="de-DE"/>
              </w:rPr>
            </w:pPr>
            <w:r w:rsidRPr="00170422">
              <w:rPr>
                <w:noProof/>
                <w:szCs w:val="20"/>
                <w:lang w:val="de-DE"/>
              </w:rPr>
              <w:t>800 000</w:t>
            </w:r>
            <w:r w:rsidRPr="00170422">
              <w:rPr>
                <w:noProof/>
                <w:lang w:val="de-DE"/>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5E1751" w14:textId="77777777" w:rsidR="0057163C" w:rsidRPr="00170422" w:rsidRDefault="00F37BF9">
            <w:pPr>
              <w:pStyle w:val="P68B1DB1-Normal11"/>
              <w:jc w:val="center"/>
              <w:rPr>
                <w:rFonts w:eastAsia="Calibri"/>
                <w:noProof/>
                <w:szCs w:val="20"/>
                <w:lang w:val="de-DE"/>
              </w:rPr>
            </w:pPr>
            <w:r w:rsidRPr="00170422">
              <w:rPr>
                <w:noProof/>
                <w:lang w:val="de-DE"/>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5B16827" w14:textId="77777777" w:rsidR="0057163C" w:rsidRPr="00170422" w:rsidRDefault="00F37BF9">
            <w:pPr>
              <w:pStyle w:val="P68B1DB1-Normal11"/>
              <w:jc w:val="center"/>
              <w:rPr>
                <w:rFonts w:eastAsia="Calibri"/>
                <w:noProof/>
                <w:szCs w:val="20"/>
                <w:lang w:val="de-DE"/>
              </w:rPr>
            </w:pPr>
            <w:r w:rsidRPr="00170422">
              <w:rPr>
                <w:noProof/>
                <w:lang w:val="de-DE"/>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F55EF5" w14:textId="5510CA36" w:rsidR="0057163C" w:rsidRPr="00170422" w:rsidRDefault="00F37BF9">
            <w:pPr>
              <w:pStyle w:val="P68B1DB1-Normal12"/>
              <w:rPr>
                <w:rFonts w:eastAsia="Calibri"/>
                <w:noProof/>
                <w:lang w:val="de-DE"/>
              </w:rPr>
            </w:pPr>
            <w:r w:rsidRPr="00170422">
              <w:rPr>
                <w:noProof/>
                <w:lang w:val="de-DE"/>
              </w:rPr>
              <w:t>Mindestens 200000 Personen müssen an Schulungen im Rahmen des GOL-Programms „Fondo</w:t>
            </w:r>
            <w:r w:rsidRPr="00170422">
              <w:rPr>
                <w:i/>
                <w:noProof/>
                <w:lang w:val="de-DE"/>
              </w:rPr>
              <w:t>nuove competenze“ oder</w:t>
            </w:r>
            <w:r w:rsidRPr="00170422">
              <w:rPr>
                <w:noProof/>
                <w:lang w:val="de-DE"/>
              </w:rPr>
              <w:t xml:space="preserve">„ </w:t>
            </w:r>
            <w:r w:rsidRPr="00170422">
              <w:rPr>
                <w:i/>
                <w:noProof/>
                <w:lang w:val="de-DE"/>
              </w:rPr>
              <w:t>Progetto per l’autoimpiego“</w:t>
            </w:r>
            <w:r w:rsidRPr="00170422">
              <w:rPr>
                <w:noProof/>
                <w:lang w:val="de-DE"/>
              </w:rPr>
              <w:t xml:space="preserve">teilnehmen, von denen mindestens 75000 GOL-Begünstigte sind. </w:t>
            </w:r>
          </w:p>
        </w:tc>
      </w:tr>
      <w:tr w:rsidR="0057163C" w:rsidRPr="00170422" w14:paraId="4E47ECBE"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D77FE9" w14:textId="77777777" w:rsidR="0057163C" w:rsidRPr="00170422" w:rsidRDefault="00F37BF9">
            <w:pPr>
              <w:pStyle w:val="P68B1DB1-Normal11"/>
              <w:spacing w:before="120" w:after="120"/>
              <w:jc w:val="center"/>
              <w:rPr>
                <w:noProof/>
                <w:szCs w:val="20"/>
                <w:lang w:val="de-DE"/>
              </w:rPr>
            </w:pPr>
            <w:r w:rsidRPr="00170422">
              <w:rPr>
                <w:noProof/>
                <w:lang w:val="de-DE"/>
              </w:rPr>
              <w:t>M5C1-6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31471"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Investition 1 – Stärkung der</w:t>
            </w:r>
            <w:r w:rsidRPr="00170422">
              <w:rPr>
                <w:noProof/>
                <w:lang w:val="de-DE"/>
              </w:rPr>
              <w:t xml:space="preserve"> öffentlichen Arbeitsverwaltungen (ÖAV)</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440432"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A61E780"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 Die öffentlichen Arbeitsverwaltungen (ÖAV) führen die im Stärkungsplan vorgesehenen Maßnahmen im Dreijahreszeitraum 2021-2023 durch.</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FB0492"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EB448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Anzahl</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B0FA0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7502E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250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E78B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06AFCC6"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36FF30D" w14:textId="77777777" w:rsidR="0057163C" w:rsidRPr="00170422" w:rsidRDefault="00F37BF9">
            <w:pPr>
              <w:pStyle w:val="P68B1DB1-Normal11"/>
              <w:spacing w:before="120" w:after="120"/>
              <w:rPr>
                <w:rFonts w:eastAsia="Calibri"/>
                <w:noProof/>
                <w:szCs w:val="20"/>
                <w:lang w:val="de-DE"/>
              </w:rPr>
            </w:pPr>
            <w:r w:rsidRPr="00170422">
              <w:rPr>
                <w:noProof/>
                <w:lang w:val="de-DE"/>
              </w:rPr>
              <w:t xml:space="preserve">Mindestens 250 öffentliche </w:t>
            </w:r>
            <w:r w:rsidRPr="00170422">
              <w:rPr>
                <w:noProof/>
                <w:lang w:val="de-DE"/>
              </w:rPr>
              <w:t>Arbeitsverwaltungen (ÖAV) haben im Dreijahreszeitraum 2021-2023 mindestens 50 % der im „Stärkungsplan“ vorgesehenen Tätigkeiten abgeschlossen.</w:t>
            </w:r>
          </w:p>
          <w:p w14:paraId="48CBF943" w14:textId="77777777" w:rsidR="0057163C" w:rsidRPr="00170422" w:rsidRDefault="00F37BF9">
            <w:pPr>
              <w:pStyle w:val="P68B1DB1-Normal11"/>
              <w:spacing w:before="120" w:after="120"/>
              <w:rPr>
                <w:rFonts w:eastAsia="Calibri"/>
                <w:noProof/>
                <w:szCs w:val="20"/>
                <w:lang w:val="de-DE"/>
              </w:rPr>
            </w:pPr>
            <w:r w:rsidRPr="00170422">
              <w:rPr>
                <w:noProof/>
                <w:lang w:val="de-DE"/>
              </w:rPr>
              <w:t>Diese Maßnahmen stehen im Einklang mit dem zentralen Stärkungsplan und werden auf regionaler Ebene auf der Grundl</w:t>
            </w:r>
            <w:r w:rsidRPr="00170422">
              <w:rPr>
                <w:noProof/>
                <w:lang w:val="de-DE"/>
              </w:rPr>
              <w:t>age einer Bedarfsanalyse und zugewiesener Ressourcen weiter definiert.</w:t>
            </w:r>
          </w:p>
          <w:p w14:paraId="54265A60" w14:textId="77777777" w:rsidR="0057163C" w:rsidRPr="00170422" w:rsidRDefault="00F37BF9">
            <w:pPr>
              <w:pStyle w:val="P68B1DB1-Normal11"/>
              <w:spacing w:before="120" w:after="120"/>
              <w:rPr>
                <w:rFonts w:eastAsia="Calibri"/>
                <w:noProof/>
                <w:szCs w:val="20"/>
                <w:lang w:val="de-DE"/>
              </w:rPr>
            </w:pPr>
            <w:r w:rsidRPr="00170422">
              <w:rPr>
                <w:noProof/>
                <w:lang w:val="de-DE"/>
              </w:rPr>
              <w:t>Zu diesen Tätigkeiten zählen: I) Renovierung und Renovierung der derzeitigen Standorte der öffentlichen Arbeitsverwaltungen (ÖAV) und Erwerb neuer Standorte; II) weitere Umsetzung des I</w:t>
            </w:r>
            <w:r w:rsidRPr="00170422">
              <w:rPr>
                <w:noProof/>
                <w:lang w:val="de-DE"/>
              </w:rPr>
              <w:t xml:space="preserve">T-Systems im Hinblick auf eine nationale Interoperabilität; III) berufliche Fortbildung des Personals; IV) Einrichtung regionaler Beobachtungsstellen für lokale Arbeitsmärkte; V) institutionelle Kommunikation und Öffentlichkeitsarbeit. </w:t>
            </w:r>
          </w:p>
          <w:p w14:paraId="5E660950" w14:textId="77777777" w:rsidR="0057163C" w:rsidRPr="00170422" w:rsidRDefault="00F37BF9">
            <w:pPr>
              <w:pStyle w:val="P68B1DB1-Normal11"/>
              <w:spacing w:before="120" w:after="120"/>
              <w:rPr>
                <w:rFonts w:eastAsia="Calibri"/>
                <w:noProof/>
                <w:szCs w:val="20"/>
                <w:lang w:val="de-DE"/>
              </w:rPr>
            </w:pPr>
            <w:r w:rsidRPr="00170422">
              <w:rPr>
                <w:noProof/>
                <w:lang w:val="de-DE"/>
              </w:rPr>
              <w:t>Infrastrukturtätigk</w:t>
            </w:r>
            <w:r w:rsidRPr="00170422">
              <w:rPr>
                <w:noProof/>
                <w:lang w:val="de-DE"/>
              </w:rPr>
              <w:t>eiten fallen nicht unter dieses Ziel.</w:t>
            </w:r>
          </w:p>
          <w:p w14:paraId="0B80263F" w14:textId="77777777" w:rsidR="0057163C" w:rsidRPr="00170422" w:rsidRDefault="00F37BF9">
            <w:pPr>
              <w:pStyle w:val="P68B1DB1-Normal11"/>
              <w:spacing w:before="120" w:after="120"/>
              <w:rPr>
                <w:rFonts w:eastAsia="Calibri"/>
                <w:noProof/>
                <w:szCs w:val="20"/>
                <w:lang w:val="de-DE"/>
              </w:rPr>
            </w:pPr>
            <w:r w:rsidRPr="00170422">
              <w:rPr>
                <w:noProof/>
                <w:lang w:val="de-DE"/>
              </w:rPr>
              <w:t>Bei der Verwirklichung des Ziels wird in Bezug auf die territoriale Verteilung (Nord, Zentrum und Süden) ein ausgewogenes Verhältnis gewährleistet.</w:t>
            </w:r>
          </w:p>
        </w:tc>
      </w:tr>
      <w:tr w:rsidR="0057163C" w:rsidRPr="00170422" w14:paraId="60AB01AC"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521528" w14:textId="77777777" w:rsidR="0057163C" w:rsidRPr="00170422" w:rsidRDefault="00F37BF9">
            <w:pPr>
              <w:pStyle w:val="P68B1DB1-Normal12"/>
              <w:spacing w:before="120" w:after="120"/>
              <w:jc w:val="center"/>
              <w:rPr>
                <w:rFonts w:eastAsia="Calibri"/>
                <w:noProof/>
                <w:highlight w:val="yellow"/>
                <w:lang w:val="de-DE"/>
              </w:rPr>
            </w:pPr>
            <w:r w:rsidRPr="00170422">
              <w:rPr>
                <w:noProof/>
                <w:lang w:val="de-DE"/>
              </w:rPr>
              <w:t>M5C1-7</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0027B1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Investition 1 – Stärkung der öffentlichen Arbeitsverwaltungen </w:t>
            </w:r>
            <w:r w:rsidRPr="00170422">
              <w:rPr>
                <w:noProof/>
                <w:lang w:val="de-DE"/>
              </w:rPr>
              <w:t>(ÖAV)</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A392036" w14:textId="77777777" w:rsidR="0057163C" w:rsidRPr="00170422" w:rsidRDefault="00F37BF9">
            <w:pPr>
              <w:pStyle w:val="P68B1DB1-Normal12"/>
              <w:spacing w:before="120" w:after="120"/>
              <w:jc w:val="center"/>
              <w:rPr>
                <w:noProof/>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957EF3" w14:textId="77777777" w:rsidR="0057163C" w:rsidRPr="00170422" w:rsidRDefault="00F37BF9">
            <w:pPr>
              <w:pStyle w:val="P68B1DB1-Normal12"/>
              <w:spacing w:before="120" w:after="120"/>
              <w:jc w:val="center"/>
              <w:rPr>
                <w:rFonts w:eastAsia="Calibri"/>
                <w:noProof/>
                <w:lang w:val="de-DE"/>
              </w:rPr>
            </w:pPr>
            <w:r w:rsidRPr="00170422">
              <w:rPr>
                <w:noProof/>
                <w:lang w:val="de-DE"/>
              </w:rPr>
              <w:t>Die öffentlichen Arbeitsverwaltungen (ÖAV) haben die im Stärkungsplan vorgesehenen Maßnahmen abgeschlossen.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E34071E" w14:textId="77777777" w:rsidR="0057163C" w:rsidRPr="00170422" w:rsidRDefault="00F37BF9">
            <w:pPr>
              <w:pStyle w:val="P68B1DB1-Normal12"/>
              <w:spacing w:before="120" w:after="120"/>
              <w:jc w:val="center"/>
              <w:rPr>
                <w:rFonts w:eastAsia="Calibri"/>
                <w:noProof/>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D01F7BE"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8A18CE"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65613" w14:textId="77777777" w:rsidR="0057163C" w:rsidRPr="00170422" w:rsidRDefault="00F37BF9">
            <w:pPr>
              <w:pStyle w:val="P68B1DB1-Normal12"/>
              <w:spacing w:before="120" w:after="120"/>
              <w:jc w:val="center"/>
              <w:rPr>
                <w:noProof/>
                <w:highlight w:val="yellow"/>
                <w:lang w:val="de-DE"/>
              </w:rPr>
            </w:pPr>
            <w:r w:rsidRPr="00170422">
              <w:rPr>
                <w:noProof/>
                <w:lang w:val="de-DE"/>
              </w:rPr>
              <w:t>326</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280FC6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960E686"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E155F1" w14:textId="34B1928A" w:rsidR="0057163C" w:rsidRPr="00170422" w:rsidRDefault="00F37BF9">
            <w:pPr>
              <w:pStyle w:val="P68B1DB1-Normal11"/>
              <w:spacing w:before="120" w:after="120"/>
              <w:rPr>
                <w:rFonts w:eastAsia="Calibri"/>
                <w:noProof/>
                <w:szCs w:val="20"/>
                <w:lang w:val="de-DE"/>
              </w:rPr>
            </w:pPr>
            <w:r w:rsidRPr="00170422">
              <w:rPr>
                <w:noProof/>
                <w:szCs w:val="20"/>
                <w:lang w:val="de-DE"/>
              </w:rPr>
              <w:t>Mindestens 326 öffentliche Arbeitsverwaltungen (ÖAV) und regionale Agenturen haben die in den reg</w:t>
            </w:r>
            <w:r w:rsidRPr="00170422">
              <w:rPr>
                <w:noProof/>
                <w:szCs w:val="20"/>
                <w:lang w:val="de-DE"/>
              </w:rPr>
              <w:t>ionalen Plänen zur Stärkung der öffentlichen Beschäftigungszentren (Pani</w:t>
            </w:r>
            <w:r w:rsidRPr="00170422">
              <w:rPr>
                <w:i/>
                <w:noProof/>
                <w:szCs w:val="20"/>
                <w:lang w:val="de-DE"/>
              </w:rPr>
              <w:t>regionali di potenziamento dei centri per l’impiego) vorgesehenen</w:t>
            </w:r>
            <w:r w:rsidRPr="00170422">
              <w:rPr>
                <w:noProof/>
                <w:szCs w:val="20"/>
                <w:lang w:val="de-DE"/>
              </w:rPr>
              <w:t xml:space="preserve">Maßnahmen abgeschlossen, </w:t>
            </w:r>
            <w:r w:rsidRPr="00170422">
              <w:rPr>
                <w:noProof/>
                <w:lang w:val="de-DE"/>
              </w:rPr>
              <w:t>darunter: IT-Aufrüstung, Personalschulung, Einrichtung regionaler Beobachtungsstellen für loka</w:t>
            </w:r>
            <w:r w:rsidRPr="00170422">
              <w:rPr>
                <w:noProof/>
                <w:lang w:val="de-DE"/>
              </w:rPr>
              <w:t>le Arbeitsmärkte und Kommunikationskampagnen.</w:t>
            </w:r>
          </w:p>
        </w:tc>
      </w:tr>
      <w:tr w:rsidR="0057163C" w:rsidRPr="00170422" w14:paraId="6806E5BB"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6C1EE5" w14:textId="77777777" w:rsidR="0057163C" w:rsidRPr="00170422" w:rsidRDefault="00F37BF9">
            <w:pPr>
              <w:pStyle w:val="P68B1DB1-Normal12"/>
              <w:jc w:val="center"/>
              <w:rPr>
                <w:noProof/>
                <w:highlight w:val="yellow"/>
                <w:lang w:val="de-DE"/>
              </w:rPr>
            </w:pPr>
            <w:r w:rsidRPr="00170422">
              <w:rPr>
                <w:noProof/>
                <w:lang w:val="de-DE"/>
              </w:rPr>
              <w:t>M5C1-7bis</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9F0E3" w14:textId="77777777" w:rsidR="0057163C" w:rsidRPr="00170422" w:rsidRDefault="00F37BF9">
            <w:pPr>
              <w:pStyle w:val="P68B1DB1-Normal12"/>
              <w:spacing w:before="120" w:after="120"/>
              <w:jc w:val="center"/>
              <w:rPr>
                <w:rFonts w:eastAsia="Calibri"/>
                <w:noProof/>
                <w:lang w:val="de-DE"/>
              </w:rPr>
            </w:pPr>
            <w:r w:rsidRPr="00170422">
              <w:rPr>
                <w:noProof/>
                <w:lang w:val="de-DE"/>
              </w:rPr>
              <w:t>Investition 1 – Stärkung der öffentlichen Arbeitsverwaltungen (ÖAV)</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CB090F" w14:textId="77777777" w:rsidR="0057163C" w:rsidRPr="00170422" w:rsidRDefault="00F37BF9">
            <w:pPr>
              <w:pStyle w:val="P68B1DB1-Normal11"/>
              <w:jc w:val="center"/>
              <w:rPr>
                <w:rFonts w:eastAsia="Calibri"/>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2276110" w14:textId="0058D981" w:rsidR="0057163C" w:rsidRPr="00170422" w:rsidRDefault="00F37BF9">
            <w:pPr>
              <w:pStyle w:val="P68B1DB1-Normal11"/>
              <w:jc w:val="center"/>
              <w:rPr>
                <w:noProof/>
                <w:szCs w:val="20"/>
                <w:lang w:val="de-DE"/>
              </w:rPr>
            </w:pPr>
            <w:r w:rsidRPr="00170422">
              <w:rPr>
                <w:noProof/>
                <w:lang w:val="de-DE"/>
              </w:rPr>
              <w:t xml:space="preserve">Infrastrukturtätigkeiten in den öffentlichen Arbeitsverwaltungen (ÖAV)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369C5" w14:textId="77777777" w:rsidR="0057163C" w:rsidRPr="00170422" w:rsidRDefault="00F37BF9">
            <w:pPr>
              <w:pStyle w:val="P68B1DB1-Normal12"/>
              <w:jc w:val="center"/>
              <w:rPr>
                <w:rFonts w:eastAsia="Calibri"/>
                <w:noProof/>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BD84EF" w14:textId="77777777" w:rsidR="0057163C" w:rsidRPr="00170422" w:rsidRDefault="00F37BF9">
            <w:pPr>
              <w:pStyle w:val="P68B1DB1-Normal11"/>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A17A8C" w14:textId="77777777" w:rsidR="0057163C" w:rsidRPr="00170422" w:rsidRDefault="00F37BF9">
            <w:pPr>
              <w:pStyle w:val="P68B1DB1-Normal11"/>
              <w:jc w:val="center"/>
              <w:rPr>
                <w:rFonts w:eastAsia="Calibri"/>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E72FC4" w14:textId="77777777" w:rsidR="0057163C" w:rsidRPr="00170422" w:rsidRDefault="00F37BF9">
            <w:pPr>
              <w:pStyle w:val="P68B1DB1-Normal12"/>
              <w:jc w:val="center"/>
              <w:rPr>
                <w:rFonts w:eastAsia="Calibri"/>
                <w:noProof/>
                <w:lang w:val="de-DE"/>
              </w:rPr>
            </w:pPr>
            <w:r w:rsidRPr="00170422">
              <w:rPr>
                <w:noProof/>
                <w:lang w:val="de-DE"/>
              </w:rPr>
              <w:t>270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05A0F" w14:textId="77777777" w:rsidR="0057163C" w:rsidRPr="00170422" w:rsidRDefault="00F37BF9">
            <w:pPr>
              <w:pStyle w:val="P68B1DB1-Normal11"/>
              <w:jc w:val="center"/>
              <w:rPr>
                <w:rFonts w:eastAsia="Calibri"/>
                <w:noProof/>
                <w:szCs w:val="20"/>
                <w:lang w:val="de-DE"/>
              </w:rPr>
            </w:pPr>
            <w:r w:rsidRPr="00170422">
              <w:rPr>
                <w:noProof/>
                <w:lang w:val="de-DE"/>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2B9B7C" w14:textId="77777777" w:rsidR="0057163C" w:rsidRPr="00170422" w:rsidRDefault="00F37BF9">
            <w:pPr>
              <w:pStyle w:val="P68B1DB1-Normal11"/>
              <w:jc w:val="center"/>
              <w:rPr>
                <w:rFonts w:eastAsia="Calibri"/>
                <w:noProof/>
                <w:szCs w:val="20"/>
                <w:lang w:val="de-DE"/>
              </w:rPr>
            </w:pPr>
            <w:r w:rsidRPr="00170422">
              <w:rPr>
                <w:noProof/>
                <w:lang w:val="de-DE"/>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F8BA11" w14:textId="77777777" w:rsidR="0057163C" w:rsidRPr="00170422" w:rsidRDefault="00F37BF9">
            <w:pPr>
              <w:pStyle w:val="P68B1DB1-Normal12"/>
              <w:spacing w:before="120" w:after="120"/>
              <w:rPr>
                <w:rFonts w:eastAsia="Calibri"/>
                <w:noProof/>
                <w:lang w:val="de-DE"/>
              </w:rPr>
            </w:pPr>
            <w:r w:rsidRPr="00170422">
              <w:rPr>
                <w:noProof/>
                <w:lang w:val="de-DE"/>
              </w:rPr>
              <w:t xml:space="preserve">Mindestens 270 Räumlichkeiten der öffentlichen Arbeitsverwaltungen (ÖAV) und regionaler Agenturen wurden renoviert und/oder renoviert, wie in den Regionalplänen zur Stärkung der öffentlichen Beschäftigungszentren </w:t>
            </w:r>
            <w:r w:rsidRPr="00170422">
              <w:rPr>
                <w:i/>
                <w:noProof/>
                <w:lang w:val="de-DE"/>
              </w:rPr>
              <w:t>(Piani regionali di potenziamento dei centr</w:t>
            </w:r>
            <w:r w:rsidRPr="00170422">
              <w:rPr>
                <w:i/>
                <w:noProof/>
                <w:lang w:val="de-DE"/>
              </w:rPr>
              <w:t>i per l’impiego)</w:t>
            </w:r>
            <w:r w:rsidRPr="00170422">
              <w:rPr>
                <w:noProof/>
                <w:lang w:val="de-DE"/>
              </w:rPr>
              <w:t xml:space="preserve"> vorgesehen.</w:t>
            </w:r>
          </w:p>
        </w:tc>
      </w:tr>
      <w:tr w:rsidR="0057163C" w:rsidRPr="00170422" w14:paraId="31789569" w14:textId="77777777" w:rsidTr="000B7F7C">
        <w:trPr>
          <w:trHeight w:val="5175"/>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BA822AE" w14:textId="77777777" w:rsidR="0057163C" w:rsidRPr="00170422" w:rsidRDefault="00F37BF9">
            <w:pPr>
              <w:pStyle w:val="P68B1DB1-Normal11"/>
              <w:jc w:val="center"/>
              <w:rPr>
                <w:rFonts w:eastAsia="Calibri"/>
                <w:noProof/>
                <w:szCs w:val="20"/>
                <w:lang w:val="de-DE"/>
              </w:rPr>
            </w:pPr>
            <w:r w:rsidRPr="00170422">
              <w:rPr>
                <w:noProof/>
                <w:lang w:val="de-DE"/>
              </w:rPr>
              <w:t>M5C1-8</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C474EB2" w14:textId="77777777" w:rsidR="0057163C" w:rsidRPr="00170422" w:rsidRDefault="00F37BF9">
            <w:pPr>
              <w:pStyle w:val="P68B1DB1-Normal11"/>
              <w:jc w:val="center"/>
              <w:rPr>
                <w:rFonts w:eastAsia="Calibri"/>
                <w:noProof/>
                <w:szCs w:val="20"/>
                <w:lang w:val="de-DE"/>
              </w:rPr>
            </w:pPr>
            <w:r w:rsidRPr="00170422">
              <w:rPr>
                <w:noProof/>
                <w:lang w:val="de-DE"/>
              </w:rPr>
              <w:t>Reform 2 – Nicht angemeldete Erwerbstätigkeit</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6A2C247" w14:textId="77777777" w:rsidR="0057163C" w:rsidRPr="00170422" w:rsidRDefault="00F37BF9">
            <w:pPr>
              <w:pStyle w:val="P68B1DB1-Normal11"/>
              <w:jc w:val="center"/>
              <w:rPr>
                <w:rFonts w:eastAsia="Calibri"/>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D03FFCC" w14:textId="77777777" w:rsidR="0057163C" w:rsidRPr="00170422" w:rsidRDefault="00F37BF9">
            <w:pPr>
              <w:pStyle w:val="P68B1DB1-Normal11"/>
              <w:jc w:val="center"/>
              <w:rPr>
                <w:noProof/>
                <w:szCs w:val="20"/>
                <w:lang w:val="de-DE"/>
              </w:rPr>
            </w:pPr>
            <w:r w:rsidRPr="00170422">
              <w:rPr>
                <w:noProof/>
                <w:lang w:val="de-DE"/>
              </w:rPr>
              <w:t>Inkrafttreten eines nationalen Plans und Umsetzungsfahrplan zur Bekämpfung nicht angemeldeter Erwerbstätigkeit in allen Wirtschaftszweigen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D79256D" w14:textId="77777777" w:rsidR="0057163C" w:rsidRPr="00170422" w:rsidRDefault="00F37BF9">
            <w:pPr>
              <w:pStyle w:val="P68B1DB1-Normal11"/>
              <w:jc w:val="center"/>
              <w:rPr>
                <w:rFonts w:eastAsia="Calibri"/>
                <w:noProof/>
                <w:szCs w:val="20"/>
                <w:lang w:val="de-DE"/>
              </w:rPr>
            </w:pPr>
            <w:r w:rsidRPr="00170422">
              <w:rPr>
                <w:noProof/>
                <w:lang w:val="de-DE"/>
              </w:rPr>
              <w:t xml:space="preserve">Bestimmungen des </w:t>
            </w:r>
            <w:r w:rsidRPr="00170422">
              <w:rPr>
                <w:noProof/>
                <w:lang w:val="de-DE"/>
              </w:rPr>
              <w:t>Gesetzes über das Inkrafttreten des nationalen Plans und Einsetzung der interinstitutionellen Arbeitsgruppe, die für die Erstellung des nationalen Plans und den Fahrplan für die Umsetzung zuständig sein wird</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B9DAB3A"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ABEA7BD"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35C510"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CD5FAFC"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80A7F46" w14:textId="77777777" w:rsidR="0057163C" w:rsidRPr="00170422" w:rsidRDefault="00F37BF9">
            <w:pPr>
              <w:pStyle w:val="P68B1DB1-Normal11"/>
              <w:jc w:val="center"/>
              <w:rPr>
                <w:rFonts w:eastAsia="Calibri"/>
                <w:noProof/>
                <w:szCs w:val="20"/>
                <w:lang w:val="de-DE"/>
              </w:rPr>
            </w:pPr>
            <w:r w:rsidRPr="00170422">
              <w:rPr>
                <w:noProof/>
                <w:lang w:val="de-DE"/>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5C15F4C" w14:textId="6996F8ED" w:rsidR="0057163C" w:rsidRPr="00170422" w:rsidRDefault="00F37BF9">
            <w:pPr>
              <w:rPr>
                <w:rFonts w:ascii="Arial Narrow" w:eastAsia="Calibri" w:hAnsi="Arial Narrow"/>
                <w:noProof/>
                <w:color w:val="006100"/>
                <w:sz w:val="20"/>
                <w:szCs w:val="20"/>
                <w:lang w:val="de-DE"/>
              </w:rPr>
            </w:pPr>
            <w:r w:rsidRPr="00170422">
              <w:rPr>
                <w:rFonts w:ascii="Arial Narrow" w:hAnsi="Arial Narrow"/>
                <w:noProof/>
                <w:color w:val="006100"/>
                <w:sz w:val="20"/>
                <w:szCs w:val="20"/>
                <w:lang w:val="de-DE"/>
              </w:rPr>
              <w:t>An</w:t>
            </w:r>
            <w:r w:rsidRPr="00170422">
              <w:rPr>
                <w:rFonts w:ascii="Arial Narrow" w:hAnsi="Arial Narrow"/>
                <w:noProof/>
                <w:color w:val="006100"/>
                <w:sz w:val="20"/>
                <w:szCs w:val="20"/>
                <w:lang w:val="de-DE"/>
              </w:rPr>
              <w:t>nahme eines nationalen Plans und zeitgebundener (einjähriger) Umsetzungsfahrplan zur Bekämpfung nicht angemeldeter Erwerbstätigkeit in allen Wirtschaftszweigen. Der nationale Plan baut auf der allgemeinen Strategie zur Bekämpfung nicht angemeldeter Erwerbs</w:t>
            </w:r>
            <w:r w:rsidRPr="00170422">
              <w:rPr>
                <w:rFonts w:ascii="Arial Narrow" w:hAnsi="Arial Narrow"/>
                <w:noProof/>
                <w:color w:val="006100"/>
                <w:sz w:val="20"/>
                <w:szCs w:val="20"/>
                <w:lang w:val="de-DE"/>
              </w:rPr>
              <w:t>tätigkeit und auf dem behördenübergreifenden Ansatz auf, der zur Annahme des nationalen Plans gegen die Ausbeutung von Arbeitskräften im Agrarsektor – „Piano triennale di contrasto allo sfruttamento lavorativo in agricoltura e al caporalato (2020-2022)“ ve</w:t>
            </w:r>
            <w:r w:rsidRPr="00170422">
              <w:rPr>
                <w:rFonts w:ascii="Arial Narrow" w:hAnsi="Arial Narrow"/>
                <w:noProof/>
                <w:color w:val="006100"/>
                <w:sz w:val="20"/>
                <w:szCs w:val="20"/>
                <w:lang w:val="de-DE"/>
              </w:rPr>
              <w:t xml:space="preserve">rwendet wurde. Der nationale Plan und der Fahrplan für die Umsetzung umfassen mindestens Folgendes: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 xml:space="preserve">I) Maßnahmen zur Verbesserung der Produktion, Erhebung und zeitnahen Verteilung granularer Daten über nicht angemeldete Erwerbstätigkeit;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II) Einführung</w:t>
            </w:r>
            <w:r w:rsidRPr="00170422">
              <w:rPr>
                <w:rFonts w:ascii="Arial Narrow" w:hAnsi="Arial Narrow"/>
                <w:noProof/>
                <w:color w:val="006100"/>
                <w:sz w:val="20"/>
                <w:szCs w:val="20"/>
                <w:lang w:val="de-DE"/>
              </w:rPr>
              <w:t xml:space="preserve"> direkter und indirekter Maßnahmen zur Umwandlung nicht angemeldeter Erwerbstätigkeit in angemeldete Erwerbstätigkeit, indem sichergestellt wird, dass die Vorteile der Tätigkeit in der deklarierten Wirtschaft die Kosten der Arbeit in der nicht angemeldeten</w:t>
            </w:r>
            <w:r w:rsidRPr="00170422">
              <w:rPr>
                <w:rFonts w:ascii="Arial Narrow" w:hAnsi="Arial Narrow"/>
                <w:noProof/>
                <w:color w:val="006100"/>
                <w:sz w:val="20"/>
                <w:szCs w:val="20"/>
                <w:lang w:val="de-DE"/>
              </w:rPr>
              <w:t xml:space="preserve"> Wirtschaft überwiegen. Zum Beispiel a) abschreckende Maßnahmen, wie z. B. die Verschärfung von Inspektionen und Sanktionen, und Präventivmaßnahmen zur Förderung der erklärten Arbeit, wie gezielte finanzielle Anreize, auch durch Überprüfung und Rationalisi</w:t>
            </w:r>
            <w:r w:rsidRPr="00170422">
              <w:rPr>
                <w:rFonts w:ascii="Arial Narrow" w:hAnsi="Arial Narrow"/>
                <w:noProof/>
                <w:color w:val="006100"/>
                <w:sz w:val="20"/>
                <w:szCs w:val="20"/>
                <w:lang w:val="de-DE"/>
              </w:rPr>
              <w:t xml:space="preserve">erung bestehender Maßnahmen; B) Stärkung der Verknüpfung mit der Beschäftigungs- und Sozialpolitik;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III) eine nationale Informationskampagne zum Thema „Entwertung“ nicht angemeldeter Erwerbstätigkeit, die sich an Arbeitgeber und Arbeitnehmer unter aktive</w:t>
            </w:r>
            <w:r w:rsidRPr="00170422">
              <w:rPr>
                <w:rFonts w:ascii="Arial Narrow" w:hAnsi="Arial Narrow"/>
                <w:noProof/>
                <w:color w:val="006100"/>
                <w:sz w:val="20"/>
                <w:szCs w:val="20"/>
                <w:lang w:val="de-DE"/>
              </w:rPr>
              <w:t xml:space="preserve">r Einbeziehung der Sozialpartner richtet;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 xml:space="preserve">IV) eine Governance-Struktur zur Gewährleistung einer wirksamen Durchführung der Maßnahmen; </w:t>
            </w:r>
          </w:p>
          <w:p w14:paraId="6671A94B" w14:textId="77777777" w:rsidR="0057163C" w:rsidRPr="00170422" w:rsidRDefault="00F37BF9">
            <w:pPr>
              <w:pStyle w:val="P68B1DB1-Normal11"/>
              <w:rPr>
                <w:rFonts w:eastAsia="Calibri"/>
                <w:noProof/>
                <w:szCs w:val="20"/>
                <w:lang w:val="de-DE"/>
              </w:rPr>
            </w:pPr>
            <w:r w:rsidRPr="00170422">
              <w:rPr>
                <w:noProof/>
                <w:lang w:val="de-DE"/>
              </w:rPr>
              <w:t>V) Maßnahmen zur Überwindung illegaler Siedlungen zur Bekämpfung der Ausbeutung von Arbeitskräften in der Landwirtschaf</w:t>
            </w:r>
            <w:r w:rsidRPr="00170422">
              <w:rPr>
                <w:noProof/>
                <w:lang w:val="de-DE"/>
              </w:rPr>
              <w:t>t.</w:t>
            </w:r>
          </w:p>
        </w:tc>
      </w:tr>
      <w:tr w:rsidR="0057163C" w:rsidRPr="00170422" w14:paraId="163C2CFD"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08BDF3" w14:textId="77777777" w:rsidR="0057163C" w:rsidRPr="00170422" w:rsidRDefault="00F37BF9">
            <w:pPr>
              <w:pStyle w:val="P68B1DB1-Normal11"/>
              <w:jc w:val="center"/>
              <w:rPr>
                <w:rFonts w:eastAsia="Calibri"/>
                <w:noProof/>
                <w:szCs w:val="20"/>
                <w:lang w:val="de-DE"/>
              </w:rPr>
            </w:pPr>
            <w:r w:rsidRPr="00170422">
              <w:rPr>
                <w:noProof/>
                <w:lang w:val="de-DE"/>
              </w:rPr>
              <w:t>M5C1-9</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C6C0731" w14:textId="77777777" w:rsidR="0057163C" w:rsidRPr="00170422" w:rsidRDefault="00F37BF9">
            <w:pPr>
              <w:pStyle w:val="P68B1DB1-Normal11"/>
              <w:jc w:val="center"/>
              <w:rPr>
                <w:rFonts w:eastAsia="Calibri"/>
                <w:noProof/>
                <w:szCs w:val="20"/>
                <w:lang w:val="de-DE"/>
              </w:rPr>
            </w:pPr>
            <w:r w:rsidRPr="00170422">
              <w:rPr>
                <w:noProof/>
                <w:lang w:val="de-DE"/>
              </w:rPr>
              <w:t>Reform 2 – Nicht angemeldete Erwerbstätigkeit</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5CBCA5" w14:textId="77777777" w:rsidR="0057163C" w:rsidRPr="00170422" w:rsidRDefault="00F37BF9">
            <w:pPr>
              <w:pStyle w:val="P68B1DB1-Normal11"/>
              <w:jc w:val="center"/>
              <w:rPr>
                <w:rFonts w:eastAsia="Calibri"/>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BBDB140" w14:textId="77777777" w:rsidR="0057163C" w:rsidRPr="00170422" w:rsidRDefault="00F37BF9">
            <w:pPr>
              <w:pStyle w:val="P68B1DB1-Normal11"/>
              <w:jc w:val="center"/>
              <w:rPr>
                <w:rFonts w:eastAsia="Arial Narrow" w:cs="Arial Narrow"/>
                <w:noProof/>
                <w:szCs w:val="20"/>
                <w:lang w:val="de-DE"/>
              </w:rPr>
            </w:pPr>
            <w:r w:rsidRPr="00170422">
              <w:rPr>
                <w:noProof/>
                <w:lang w:val="de-DE"/>
              </w:rPr>
              <w:t>Durchführung von Maßnahmen zur Bekämpfung nicht angemeldeter Erwerbstätigkeit</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45BDA4" w14:textId="77777777" w:rsidR="0057163C" w:rsidRPr="00170422" w:rsidRDefault="00F37BF9">
            <w:pPr>
              <w:pStyle w:val="P68B1DB1-Normal11"/>
              <w:jc w:val="center"/>
              <w:rPr>
                <w:rFonts w:eastAsia="Arial Narrow" w:cs="Arial Narrow"/>
                <w:noProof/>
                <w:szCs w:val="20"/>
                <w:lang w:val="de-DE"/>
              </w:rPr>
            </w:pPr>
            <w:r w:rsidRPr="00170422">
              <w:rPr>
                <w:noProof/>
                <w:lang w:val="de-DE"/>
              </w:rPr>
              <w:t>Durchgeführte Maßnahmen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9890ACD"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704C97"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43708D4"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5AB442" w14:textId="77777777" w:rsidR="0057163C" w:rsidRPr="00170422" w:rsidRDefault="00F37BF9">
            <w:pPr>
              <w:pStyle w:val="P68B1DB1-Normal11"/>
              <w:jc w:val="center"/>
              <w:rPr>
                <w:rFonts w:eastAsia="Calibri"/>
                <w:noProof/>
                <w:szCs w:val="20"/>
                <w:lang w:val="de-DE"/>
              </w:rPr>
            </w:pPr>
            <w:r w:rsidRPr="00170422">
              <w:rPr>
                <w:noProof/>
                <w:lang w:val="de-DE"/>
              </w:rPr>
              <w:t>Q1</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C242EE" w14:textId="77777777" w:rsidR="0057163C" w:rsidRPr="00170422" w:rsidRDefault="00F37BF9">
            <w:pPr>
              <w:pStyle w:val="P68B1DB1-Normal11"/>
              <w:jc w:val="center"/>
              <w:rPr>
                <w:rFonts w:eastAsia="Calibri"/>
                <w:noProof/>
                <w:szCs w:val="20"/>
                <w:lang w:val="de-DE"/>
              </w:rPr>
            </w:pPr>
            <w:r w:rsidRPr="00170422">
              <w:rPr>
                <w:noProof/>
                <w:lang w:val="de-DE"/>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8EA783" w14:textId="5FD898C7" w:rsidR="0057163C" w:rsidRPr="00170422" w:rsidRDefault="00F37BF9">
            <w:pPr>
              <w:pStyle w:val="P68B1DB1-Normal11"/>
              <w:rPr>
                <w:noProof/>
                <w:szCs w:val="20"/>
                <w:lang w:val="de-DE"/>
              </w:rPr>
            </w:pPr>
            <w:r w:rsidRPr="00170422">
              <w:rPr>
                <w:noProof/>
                <w:lang w:val="de-DE"/>
              </w:rPr>
              <w:t xml:space="preserve">Folgende Maßnahmen werden durchgeführt:  </w:t>
            </w:r>
          </w:p>
          <w:p w14:paraId="2EBD1A97" w14:textId="1369EDBA" w:rsidR="0057163C" w:rsidRPr="00170422" w:rsidRDefault="00F37BF9">
            <w:pPr>
              <w:pStyle w:val="P68B1DB1-Normal11"/>
              <w:rPr>
                <w:noProof/>
                <w:szCs w:val="20"/>
                <w:lang w:val="de-DE"/>
              </w:rPr>
            </w:pPr>
            <w:r w:rsidRPr="00170422">
              <w:rPr>
                <w:noProof/>
                <w:lang w:val="de-DE"/>
              </w:rPr>
              <w:t xml:space="preserve">I) Einführung von Maßnahmen zur Verbesserung der Erhebung granularer Daten über nicht angemeldete Erwerbstätigkeit; </w:t>
            </w:r>
          </w:p>
          <w:p w14:paraId="27B1F011" w14:textId="61D1AD78" w:rsidR="0057163C" w:rsidRPr="00170422" w:rsidRDefault="00F37BF9">
            <w:pPr>
              <w:pStyle w:val="P68B1DB1-Normal11"/>
              <w:rPr>
                <w:noProof/>
                <w:szCs w:val="20"/>
                <w:lang w:val="de-DE"/>
              </w:rPr>
            </w:pPr>
            <w:r w:rsidRPr="00170422">
              <w:rPr>
                <w:noProof/>
                <w:lang w:val="de-DE"/>
              </w:rPr>
              <w:t xml:space="preserve">II) Einführung von Maßnahmen zur Umwandlung nicht angemeldeter in angemeldete Erwerbstätigkeit:  </w:t>
            </w:r>
          </w:p>
          <w:p w14:paraId="70539483" w14:textId="77777777" w:rsidR="0057163C" w:rsidRPr="00170422" w:rsidRDefault="00F37BF9">
            <w:pPr>
              <w:pStyle w:val="P68B1DB1-Normal11"/>
              <w:rPr>
                <w:noProof/>
                <w:szCs w:val="20"/>
                <w:lang w:val="de-DE"/>
              </w:rPr>
            </w:pPr>
            <w:r w:rsidRPr="00170422">
              <w:rPr>
                <w:noProof/>
                <w:lang w:val="de-DE"/>
              </w:rPr>
              <w:t>a) abschreckende Maßnahmen, die unter and</w:t>
            </w:r>
            <w:r w:rsidRPr="00170422">
              <w:rPr>
                <w:noProof/>
                <w:lang w:val="de-DE"/>
              </w:rPr>
              <w:t>erem die Verstärkung von Inspektionen und Sanktionen umfassen können, sowie Präventivmaßnahmen zur Förderung erklärter Arbeiten, die unter anderem gezielte finanzielle Anreize umfassen können;</w:t>
            </w:r>
          </w:p>
          <w:p w14:paraId="51756BB6" w14:textId="77777777" w:rsidR="0057163C" w:rsidRPr="00170422" w:rsidRDefault="00F37BF9">
            <w:pPr>
              <w:pStyle w:val="P68B1DB1-Normal11"/>
              <w:rPr>
                <w:noProof/>
                <w:szCs w:val="20"/>
                <w:lang w:val="de-DE"/>
              </w:rPr>
            </w:pPr>
            <w:r w:rsidRPr="00170422">
              <w:rPr>
                <w:noProof/>
                <w:lang w:val="de-DE"/>
              </w:rPr>
              <w:t>B) Maßnahme(n) zur Stärkung der Verknüpfung mit der aktiven Arb</w:t>
            </w:r>
            <w:r w:rsidRPr="00170422">
              <w:rPr>
                <w:noProof/>
                <w:lang w:val="de-DE"/>
              </w:rPr>
              <w:t>eitsmarktpolitik, die unter anderem die Ausbildung von Mitarbeitern von Jobcentern umfassen kann;</w:t>
            </w:r>
          </w:p>
          <w:p w14:paraId="20B2045A" w14:textId="77777777" w:rsidR="0057163C" w:rsidRPr="00170422" w:rsidRDefault="00F37BF9">
            <w:pPr>
              <w:pStyle w:val="P68B1DB1-Normal11"/>
              <w:rPr>
                <w:noProof/>
                <w:szCs w:val="20"/>
                <w:lang w:val="de-DE"/>
              </w:rPr>
            </w:pPr>
            <w:r w:rsidRPr="00170422">
              <w:rPr>
                <w:noProof/>
                <w:lang w:val="de-DE"/>
              </w:rPr>
              <w:t xml:space="preserve">III) Durchführung einer nationalen Informationskampagne über den „Wertverlust“ nicht angemeldeter Erwerbstätigkeit; </w:t>
            </w:r>
          </w:p>
          <w:p w14:paraId="685DC55D" w14:textId="77777777" w:rsidR="0057163C" w:rsidRPr="00170422" w:rsidRDefault="00F37BF9">
            <w:pPr>
              <w:pStyle w:val="P68B1DB1-Normal11"/>
              <w:rPr>
                <w:noProof/>
                <w:szCs w:val="20"/>
                <w:lang w:val="de-DE"/>
              </w:rPr>
            </w:pPr>
            <w:r w:rsidRPr="00170422">
              <w:rPr>
                <w:noProof/>
                <w:lang w:val="de-DE"/>
              </w:rPr>
              <w:t>IV) Beginn der Arbeiten der Governance-St</w:t>
            </w:r>
            <w:r w:rsidRPr="00170422">
              <w:rPr>
                <w:noProof/>
                <w:lang w:val="de-DE"/>
              </w:rPr>
              <w:t>ruktur zur Bekämpfung nicht angemeldeter Erwerbstätigkeit;</w:t>
            </w:r>
          </w:p>
          <w:p w14:paraId="7069645D" w14:textId="77777777" w:rsidR="0057163C" w:rsidRPr="00170422" w:rsidRDefault="00F37BF9">
            <w:pPr>
              <w:pStyle w:val="P68B1DB1-Normal11"/>
              <w:spacing w:line="257" w:lineRule="auto"/>
              <w:rPr>
                <w:noProof/>
                <w:szCs w:val="20"/>
                <w:lang w:val="de-DE"/>
              </w:rPr>
            </w:pPr>
            <w:r w:rsidRPr="00170422">
              <w:rPr>
                <w:noProof/>
                <w:lang w:val="de-DE"/>
              </w:rPr>
              <w:t>V) Einführung von Maßnahmen zur Bekämpfung der Ausbeutung von Arbeitskräften in der Landwirtschaft.</w:t>
            </w:r>
          </w:p>
        </w:tc>
      </w:tr>
      <w:tr w:rsidR="0057163C" w:rsidRPr="00170422" w14:paraId="7D43F777"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D969A4A" w14:textId="77777777" w:rsidR="0057163C" w:rsidRPr="00170422" w:rsidRDefault="00F37BF9">
            <w:pPr>
              <w:pStyle w:val="P68B1DB1-Normal12"/>
              <w:jc w:val="center"/>
              <w:rPr>
                <w:noProof/>
                <w:highlight w:val="yellow"/>
                <w:lang w:val="de-DE"/>
              </w:rPr>
            </w:pPr>
            <w:r w:rsidRPr="00170422">
              <w:rPr>
                <w:noProof/>
                <w:lang w:val="de-DE"/>
              </w:rPr>
              <w:t xml:space="preserve">M5C1-10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5A9BB16" w14:textId="77777777" w:rsidR="0057163C" w:rsidRPr="00170422" w:rsidRDefault="00F37BF9">
            <w:pPr>
              <w:pStyle w:val="P68B1DB1-Normal12"/>
              <w:jc w:val="center"/>
              <w:rPr>
                <w:rFonts w:eastAsia="Calibri"/>
                <w:noProof/>
                <w:lang w:val="de-DE"/>
              </w:rPr>
            </w:pPr>
            <w:r w:rsidRPr="00170422">
              <w:rPr>
                <w:noProof/>
                <w:lang w:val="de-DE"/>
              </w:rPr>
              <w:t>Reform 2 – Nicht angemeldete Erwerbstätigkeit</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7B094B" w14:textId="77777777" w:rsidR="0057163C" w:rsidRPr="00170422" w:rsidRDefault="00F37BF9">
            <w:pPr>
              <w:pStyle w:val="P68B1DB1-Normal11"/>
              <w:jc w:val="center"/>
              <w:rPr>
                <w:rFonts w:eastAsia="Calibri"/>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A2054F7" w14:textId="77777777" w:rsidR="0057163C" w:rsidRPr="00170422" w:rsidRDefault="00F37BF9">
            <w:pPr>
              <w:pStyle w:val="P68B1DB1-Normal11"/>
              <w:jc w:val="center"/>
              <w:rPr>
                <w:rFonts w:eastAsia="Calibri"/>
                <w:noProof/>
                <w:szCs w:val="20"/>
                <w:lang w:val="de-DE"/>
              </w:rPr>
            </w:pPr>
            <w:r w:rsidRPr="00170422">
              <w:rPr>
                <w:noProof/>
                <w:lang w:val="de-DE"/>
              </w:rPr>
              <w:t xml:space="preserve">Erhöhung der Zahl der </w:t>
            </w:r>
            <w:r w:rsidRPr="00170422">
              <w:rPr>
                <w:noProof/>
                <w:lang w:val="de-DE"/>
              </w:rPr>
              <w:t>Arbeitsinspektionen und der Mitgliedschaft im Agrarnetz</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56875F3"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381CC89" w14:textId="77777777" w:rsidR="0057163C" w:rsidRPr="00170422" w:rsidRDefault="00F37BF9">
            <w:pPr>
              <w:pStyle w:val="P68B1DB1-Normal11"/>
              <w:jc w:val="center"/>
              <w:rPr>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9074C4" w14:textId="77777777" w:rsidR="0057163C" w:rsidRPr="00170422" w:rsidRDefault="00F37BF9">
            <w:pPr>
              <w:pStyle w:val="P68B1DB1-Normal11"/>
              <w:jc w:val="center"/>
              <w:rPr>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1DC6A9A" w14:textId="77777777" w:rsidR="0057163C" w:rsidRPr="00170422" w:rsidRDefault="00F37BF9">
            <w:pPr>
              <w:pStyle w:val="P68B1DB1-Normal12"/>
              <w:jc w:val="center"/>
              <w:rPr>
                <w:noProof/>
                <w:lang w:val="de-DE"/>
              </w:rPr>
            </w:pPr>
            <w:r w:rsidRPr="00170422">
              <w:rPr>
                <w:noProof/>
                <w:lang w:val="de-DE"/>
              </w:rPr>
              <w:t>102 895</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FF28943"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68897B8" w14:textId="77777777" w:rsidR="0057163C" w:rsidRPr="00170422" w:rsidRDefault="00F37BF9">
            <w:pPr>
              <w:pStyle w:val="P68B1DB1-Normal11"/>
              <w:jc w:val="center"/>
              <w:rPr>
                <w:rFonts w:eastAsia="Calibri"/>
                <w:noProof/>
                <w:szCs w:val="20"/>
                <w:lang w:val="de-DE"/>
              </w:rPr>
            </w:pPr>
            <w:r w:rsidRPr="00170422">
              <w:rPr>
                <w:noProof/>
                <w:lang w:val="de-DE"/>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315985" w14:textId="5AF9CA02" w:rsidR="0057163C" w:rsidRPr="00170422" w:rsidRDefault="00F37BF9">
            <w:pPr>
              <w:pStyle w:val="P68B1DB1-Normal12"/>
              <w:rPr>
                <w:noProof/>
                <w:lang w:val="de-DE"/>
              </w:rPr>
            </w:pPr>
            <w:r w:rsidRPr="00170422">
              <w:rPr>
                <w:noProof/>
                <w:lang w:val="de-DE"/>
              </w:rPr>
              <w:t>Die durchschnittliche Zahl der jährlichen Inspektionen zwischen dem 1. Januar 2023 und dem 31. Dezember 2025 muss mindestens 102895 betragen. Darüber hinaus</w:t>
            </w:r>
            <w:r w:rsidRPr="00170422">
              <w:rPr>
                <w:noProof/>
                <w:lang w:val="de-DE"/>
              </w:rPr>
              <w:t xml:space="preserve"> werden im Vergleich zum Juni 2024 2000 weitere Unternehmen in die auf der INPS-Website veröffentlichte Mitgliederliste des Netzwerks „rete</w:t>
            </w:r>
            <w:r w:rsidRPr="00170422">
              <w:rPr>
                <w:i/>
                <w:noProof/>
                <w:lang w:val="de-DE"/>
              </w:rPr>
              <w:t>del lavoro agricolo di qualità“</w:t>
            </w:r>
            <w:r w:rsidRPr="00170422">
              <w:rPr>
                <w:noProof/>
                <w:lang w:val="de-DE"/>
              </w:rPr>
              <w:t>aufgenommen.</w:t>
            </w:r>
          </w:p>
        </w:tc>
      </w:tr>
      <w:tr w:rsidR="0057163C" w:rsidRPr="00170422" w14:paraId="38D25A12"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3797A41" w14:textId="77777777" w:rsidR="0057163C" w:rsidRPr="00170422" w:rsidRDefault="00F37BF9">
            <w:pPr>
              <w:pStyle w:val="P68B1DB1-Normal12"/>
              <w:jc w:val="center"/>
              <w:rPr>
                <w:rFonts w:eastAsia="Calibri"/>
                <w:noProof/>
                <w:highlight w:val="yellow"/>
                <w:lang w:val="de-DE"/>
              </w:rPr>
            </w:pPr>
            <w:r w:rsidRPr="00170422">
              <w:rPr>
                <w:noProof/>
                <w:lang w:val="de-DE"/>
              </w:rPr>
              <w:t xml:space="preserve">M5C1-11 </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53EA5A" w14:textId="77777777" w:rsidR="0057163C" w:rsidRPr="00170422" w:rsidRDefault="00F37BF9">
            <w:pPr>
              <w:pStyle w:val="P68B1DB1-Normal11"/>
              <w:jc w:val="center"/>
              <w:rPr>
                <w:rFonts w:eastAsia="Calibri"/>
                <w:noProof/>
                <w:szCs w:val="20"/>
                <w:lang w:val="de-DE"/>
              </w:rPr>
            </w:pPr>
            <w:r w:rsidRPr="00170422">
              <w:rPr>
                <w:noProof/>
                <w:lang w:val="de-DE"/>
              </w:rPr>
              <w:t>Reform 2 – Nicht angemeldete Erwerbstätigkeit</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C525742" w14:textId="77777777" w:rsidR="0057163C" w:rsidRPr="00170422" w:rsidRDefault="00F37BF9">
            <w:pPr>
              <w:pStyle w:val="P68B1DB1-Normal11"/>
              <w:jc w:val="center"/>
              <w:rPr>
                <w:rFonts w:eastAsia="Arial Narrow" w:cs="Arial Narrow"/>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EA73A4" w14:textId="77777777" w:rsidR="0057163C" w:rsidRPr="00170422" w:rsidRDefault="00F37BF9">
            <w:pPr>
              <w:pStyle w:val="P68B1DB1-Normal11"/>
              <w:jc w:val="center"/>
              <w:rPr>
                <w:rFonts w:eastAsia="Arial Narrow" w:cs="Arial Narrow"/>
                <w:noProof/>
                <w:szCs w:val="20"/>
                <w:lang w:val="de-DE"/>
              </w:rPr>
            </w:pPr>
            <w:r w:rsidRPr="00170422">
              <w:rPr>
                <w:noProof/>
                <w:lang w:val="de-DE"/>
              </w:rPr>
              <w:t>Durchführung von Maßnahmen zur Bekämpfung nicht angemeldeter Erwerbstätigkeit</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632D60" w14:textId="77777777" w:rsidR="0057163C" w:rsidRPr="00170422" w:rsidRDefault="00F37BF9">
            <w:pPr>
              <w:pStyle w:val="P68B1DB1-Normal11"/>
              <w:jc w:val="center"/>
              <w:rPr>
                <w:noProof/>
                <w:szCs w:val="20"/>
                <w:lang w:val="de-DE"/>
              </w:rPr>
            </w:pPr>
            <w:r w:rsidRPr="00170422">
              <w:rPr>
                <w:noProof/>
                <w:lang w:val="de-DE"/>
              </w:rPr>
              <w:t>Durchgeführte Maßnahmen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5D08AB2" w14:textId="77777777" w:rsidR="0057163C" w:rsidRPr="00170422" w:rsidRDefault="00F37BF9">
            <w:pPr>
              <w:pStyle w:val="P68B1DB1-Normal11"/>
              <w:jc w:val="center"/>
              <w:rPr>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C65D229" w14:textId="77777777" w:rsidR="0057163C" w:rsidRPr="00170422" w:rsidRDefault="00F37BF9">
            <w:pPr>
              <w:pStyle w:val="P68B1DB1-Normal11"/>
              <w:jc w:val="center"/>
              <w:rPr>
                <w:rFonts w:eastAsia="Arial Narrow" w:cs="Arial Narrow"/>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93C66B4" w14:textId="77777777" w:rsidR="0057163C" w:rsidRPr="00170422" w:rsidRDefault="00F37BF9">
            <w:pPr>
              <w:pStyle w:val="P68B1DB1-Normal11"/>
              <w:jc w:val="center"/>
              <w:rPr>
                <w:rFonts w:eastAsia="Arial Narrow" w:cs="Arial Narrow"/>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D3CF23D" w14:textId="77777777" w:rsidR="0057163C" w:rsidRPr="00170422" w:rsidRDefault="00F37BF9">
            <w:pPr>
              <w:pStyle w:val="P68B1DB1-Normal11"/>
              <w:jc w:val="center"/>
              <w:rPr>
                <w:rFonts w:eastAsia="Calibri"/>
                <w:noProof/>
                <w:szCs w:val="20"/>
                <w:lang w:val="de-DE"/>
              </w:rPr>
            </w:pPr>
            <w:r w:rsidRPr="00170422">
              <w:rPr>
                <w:noProof/>
                <w:lang w:val="de-DE"/>
              </w:rPr>
              <w:t>Q1</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625E8C0" w14:textId="77777777" w:rsidR="0057163C" w:rsidRPr="00170422" w:rsidRDefault="00F37BF9">
            <w:pPr>
              <w:pStyle w:val="P68B1DB1-Normal11"/>
              <w:jc w:val="center"/>
              <w:rPr>
                <w:rFonts w:eastAsia="Calibri"/>
                <w:noProof/>
                <w:szCs w:val="20"/>
                <w:lang w:val="de-DE"/>
              </w:rPr>
            </w:pPr>
            <w:r w:rsidRPr="00170422">
              <w:rPr>
                <w:noProof/>
                <w:lang w:val="de-DE"/>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75ED861" w14:textId="77777777" w:rsidR="0057163C" w:rsidRPr="00170422" w:rsidRDefault="00F37BF9">
            <w:pPr>
              <w:pStyle w:val="P68B1DB1-Normal11"/>
              <w:rPr>
                <w:noProof/>
                <w:szCs w:val="20"/>
                <w:lang w:val="de-DE"/>
              </w:rPr>
            </w:pPr>
            <w:r w:rsidRPr="00170422">
              <w:rPr>
                <w:noProof/>
                <w:lang w:val="de-DE"/>
              </w:rPr>
              <w:t>Folgende Maßnahmen werden durchgeführt:</w:t>
            </w:r>
          </w:p>
          <w:p w14:paraId="1C9FD7C8" w14:textId="77777777" w:rsidR="0057163C" w:rsidRPr="00170422" w:rsidRDefault="00F37BF9">
            <w:pPr>
              <w:pStyle w:val="P68B1DB1-Normal12"/>
              <w:rPr>
                <w:noProof/>
                <w:lang w:val="de-DE"/>
              </w:rPr>
            </w:pPr>
            <w:r w:rsidRPr="00170422">
              <w:rPr>
                <w:noProof/>
                <w:lang w:val="de-DE"/>
              </w:rPr>
              <w:t>— eine Studie über das „Indici Sintetici di Affidabilità Contributiva“ (ISAC</w:t>
            </w:r>
            <w:r w:rsidRPr="00170422">
              <w:rPr>
                <w:noProof/>
                <w:lang w:val="de-DE"/>
              </w:rPr>
              <w:t xml:space="preserve">-Indikatoren) in acht weiteren von nicht angemeldeter Erwerbstätigkeit bedrohten Wirtschaftszweigen; </w:t>
            </w:r>
          </w:p>
          <w:p w14:paraId="3B25E5A1"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Aufzeichnungen über Sendungen von mindestens 12000 Konformitätsschreiben an</w:t>
            </w:r>
            <w:r w:rsidRPr="00170422">
              <w:rPr>
                <w:noProof/>
                <w:sz w:val="23"/>
                <w:szCs w:val="23"/>
                <w:lang w:val="de-DE"/>
              </w:rPr>
              <w:t xml:space="preserve"> </w:t>
            </w:r>
            <w:r w:rsidRPr="00170422">
              <w:rPr>
                <w:rFonts w:ascii="Arial Narrow" w:hAnsi="Arial Narrow"/>
                <w:noProof/>
                <w:color w:val="006100"/>
                <w:sz w:val="20"/>
                <w:szCs w:val="20"/>
                <w:lang w:val="de-DE"/>
              </w:rPr>
              <w:t>Unternehmen, die anhand der ISAC-Indikatoren ermittelt wurden;</w:t>
            </w:r>
          </w:p>
          <w:p w14:paraId="37E72063" w14:textId="77777777" w:rsidR="0057163C" w:rsidRPr="00170422" w:rsidRDefault="00F37BF9">
            <w:pPr>
              <w:pStyle w:val="P68B1DB1-Normal12"/>
              <w:rPr>
                <w:noProof/>
                <w:lang w:val="de-DE"/>
              </w:rPr>
            </w:pPr>
            <w:r w:rsidRPr="00170422">
              <w:rPr>
                <w:noProof/>
                <w:lang w:val="de-DE"/>
              </w:rPr>
              <w:t xml:space="preserve">— </w:t>
            </w:r>
            <w:r w:rsidRPr="00170422">
              <w:rPr>
                <w:noProof/>
                <w:lang w:val="de-DE"/>
              </w:rPr>
              <w:t>Veröffentlichung einer Folgenabschätzungsstudie über die Verwendung der Gutscheine „PrestO“ und „Libretto Famiglia“ für die Aufnahme nicht angemeldeter Erwerbstätigkeit und die Verbesserung der Arbeitsbedingungen.</w:t>
            </w:r>
          </w:p>
        </w:tc>
      </w:tr>
      <w:tr w:rsidR="0057163C" w:rsidRPr="00170422" w14:paraId="2BFE5780"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8D631C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M5C1-12</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C40F6A3" w14:textId="77777777" w:rsidR="0057163C" w:rsidRPr="00170422" w:rsidRDefault="00F37BF9">
            <w:pPr>
              <w:pStyle w:val="P68B1DB1-Normal11"/>
              <w:spacing w:before="120" w:after="120"/>
              <w:jc w:val="center"/>
              <w:rPr>
                <w:noProof/>
                <w:szCs w:val="20"/>
                <w:lang w:val="de-DE"/>
              </w:rPr>
            </w:pPr>
            <w:r w:rsidRPr="00170422">
              <w:rPr>
                <w:noProof/>
                <w:lang w:val="de-DE"/>
              </w:rPr>
              <w:t xml:space="preserve">Investition 2 – </w:t>
            </w:r>
            <w:r w:rsidRPr="00170422">
              <w:rPr>
                <w:noProof/>
                <w:lang w:val="de-DE"/>
              </w:rPr>
              <w:t>Zertifizierungssystem für die Gleichstellung der Geschlechter</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42A68D"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EFC592B"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Inkrafttreten des Zertifizierungssystems für die Gleichstellung der Geschlechter und begleitender Anreizmechanismen für Unternehmen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F5C0D5"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Bestimmungen des Gesetzes über das Inkrafttreten </w:t>
            </w:r>
            <w:r w:rsidRPr="00170422">
              <w:rPr>
                <w:noProof/>
                <w:lang w:val="de-DE"/>
              </w:rPr>
              <w:t>der Rechtsakte und Durchführungsmaßnahmen zur Festlegung des Zertifizierungssystems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F368AC"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403584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F5EE57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6973871"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4.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25D11E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2022</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784B65E" w14:textId="77777777" w:rsidR="0057163C" w:rsidRPr="00170422" w:rsidRDefault="00F37BF9">
            <w:pPr>
              <w:pStyle w:val="P68B1DB1-Normal11"/>
              <w:spacing w:before="120" w:after="120"/>
              <w:rPr>
                <w:rFonts w:eastAsia="Calibri"/>
                <w:noProof/>
                <w:szCs w:val="20"/>
                <w:lang w:val="de-DE"/>
              </w:rPr>
            </w:pPr>
            <w:r w:rsidRPr="00170422">
              <w:rPr>
                <w:noProof/>
                <w:lang w:val="de-DE"/>
              </w:rPr>
              <w:t xml:space="preserve">Das Zertifizierungssystem für die Gleichstellung der Geschlechter und die damit verbundenen Anreizmechanismen für Unternehmen </w:t>
            </w:r>
            <w:r w:rsidRPr="00170422">
              <w:rPr>
                <w:noProof/>
                <w:lang w:val="de-DE"/>
              </w:rPr>
              <w:t>umfassen mindestens die folgenden Dimensionen: Wachstumschancen für Frauen, gleiches Entgelt für gleiche Arbeit, Managementstrategien für Geschlechtervielfalt, Mutterschutz.</w:t>
            </w:r>
          </w:p>
          <w:p w14:paraId="5954F9C1" w14:textId="77777777" w:rsidR="0057163C" w:rsidRPr="00170422" w:rsidRDefault="00F37BF9">
            <w:pPr>
              <w:pStyle w:val="P68B1DB1-Normal11"/>
              <w:spacing w:before="120" w:after="120"/>
              <w:rPr>
                <w:rFonts w:eastAsia="Calibri"/>
                <w:noProof/>
                <w:szCs w:val="20"/>
                <w:lang w:val="de-DE"/>
              </w:rPr>
            </w:pPr>
            <w:r w:rsidRPr="00170422">
              <w:rPr>
                <w:noProof/>
                <w:lang w:val="de-DE"/>
              </w:rPr>
              <w:t>Festlegung der Anreizmechanismen für Organisationen, die das Zertifizierungsverfah</w:t>
            </w:r>
            <w:r w:rsidRPr="00170422">
              <w:rPr>
                <w:noProof/>
                <w:lang w:val="de-DE"/>
              </w:rPr>
              <w:t>ren durchführen, und der technischen Leitlinien. Einschließlich: I) Ausarbeitung der technischen Standards des Systems der Gleichstellungszertifizierung für Unternehmen; II) Ermittlung des Anreizmechanismus; III) die Maßnahme wird von der Einrichtung eines</w:t>
            </w:r>
            <w:r w:rsidRPr="00170422">
              <w:rPr>
                <w:noProof/>
                <w:lang w:val="de-DE"/>
              </w:rPr>
              <w:t xml:space="preserve"> IT-Systems begleitet.</w:t>
            </w:r>
          </w:p>
        </w:tc>
      </w:tr>
      <w:tr w:rsidR="0057163C" w:rsidRPr="00170422" w14:paraId="52EC149A"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76FA30A" w14:textId="77777777" w:rsidR="0057163C" w:rsidRPr="00170422" w:rsidRDefault="00F37BF9">
            <w:pPr>
              <w:pStyle w:val="P68B1DB1-Normal12"/>
              <w:spacing w:before="120" w:after="120"/>
              <w:jc w:val="center"/>
              <w:rPr>
                <w:noProof/>
                <w:highlight w:val="yellow"/>
                <w:lang w:val="de-DE"/>
              </w:rPr>
            </w:pPr>
            <w:r w:rsidRPr="00170422">
              <w:rPr>
                <w:noProof/>
                <w:lang w:val="de-DE"/>
              </w:rPr>
              <w:t>M5C1-14</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0CE92CB"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Investition 2 – Zertifizierungssystem für die Gleichstellung der Geschlechter</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FE25F9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7B2390" w14:textId="77777777" w:rsidR="0057163C" w:rsidRPr="00170422" w:rsidRDefault="00F37BF9">
            <w:pPr>
              <w:pStyle w:val="P68B1DB1-Normal12"/>
              <w:spacing w:before="120" w:after="120"/>
              <w:jc w:val="center"/>
              <w:rPr>
                <w:rFonts w:eastAsia="Calibri"/>
                <w:noProof/>
                <w:lang w:val="de-DE"/>
              </w:rPr>
            </w:pPr>
            <w:r w:rsidRPr="00170422">
              <w:rPr>
                <w:noProof/>
                <w:lang w:val="de-DE"/>
              </w:rPr>
              <w:t>Unternehmen haben die Gleichstellungsbescheinigung erhalten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102C1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4796ED0"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319CFB54"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E629037" w14:textId="77777777" w:rsidR="0057163C" w:rsidRPr="00170422" w:rsidRDefault="00F37BF9">
            <w:pPr>
              <w:spacing w:before="120" w:after="120"/>
              <w:jc w:val="center"/>
              <w:rPr>
                <w:rFonts w:ascii="Arial Narrow" w:eastAsia="Calibri" w:hAnsi="Arial Narrow"/>
                <w:noProof/>
                <w:color w:val="006100"/>
                <w:sz w:val="20"/>
                <w:szCs w:val="20"/>
                <w:lang w:val="de-DE"/>
              </w:rPr>
            </w:pPr>
            <w:r w:rsidRPr="00170422">
              <w:rPr>
                <w:rFonts w:ascii="Arial Narrow" w:hAnsi="Arial Narrow"/>
                <w:noProof/>
                <w:color w:val="006100"/>
                <w:sz w:val="20"/>
                <w:lang w:val="de-DE"/>
              </w:rPr>
              <w:t>3</w:t>
            </w:r>
            <w:r w:rsidRPr="00170422">
              <w:rPr>
                <w:noProof/>
                <w:sz w:val="23"/>
                <w:szCs w:val="23"/>
                <w:lang w:val="de-DE"/>
              </w:rPr>
              <w:t xml:space="preserve"> </w:t>
            </w:r>
            <w:r w:rsidRPr="00170422">
              <w:rPr>
                <w:rFonts w:ascii="Arial Narrow" w:hAnsi="Arial Narrow"/>
                <w:noProof/>
                <w:color w:val="006100"/>
                <w:sz w:val="20"/>
                <w:lang w:val="de-DE"/>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64391DA"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93F4C6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C63276C" w14:textId="77777777" w:rsidR="0057163C" w:rsidRPr="00170422" w:rsidRDefault="00F37BF9">
            <w:pPr>
              <w:spacing w:before="120" w:after="120"/>
              <w:rPr>
                <w:rFonts w:ascii="Arial Narrow" w:eastAsia="Calibri" w:hAnsi="Arial Narrow"/>
                <w:noProof/>
                <w:color w:val="006100"/>
                <w:sz w:val="20"/>
                <w:szCs w:val="20"/>
                <w:lang w:val="de-DE"/>
              </w:rPr>
            </w:pPr>
            <w:r w:rsidRPr="00170422">
              <w:rPr>
                <w:rFonts w:ascii="Arial Narrow" w:hAnsi="Arial Narrow"/>
                <w:noProof/>
                <w:color w:val="006100"/>
                <w:sz w:val="20"/>
                <w:lang w:val="de-DE"/>
              </w:rPr>
              <w:t>Mindestens 3000</w:t>
            </w:r>
            <w:r w:rsidRPr="00170422">
              <w:rPr>
                <w:noProof/>
                <w:sz w:val="23"/>
                <w:szCs w:val="23"/>
                <w:lang w:val="de-DE"/>
              </w:rPr>
              <w:t xml:space="preserve"> </w:t>
            </w:r>
            <w:r w:rsidRPr="00170422">
              <w:rPr>
                <w:rFonts w:ascii="Arial Narrow" w:hAnsi="Arial Narrow"/>
                <w:noProof/>
                <w:color w:val="006100"/>
                <w:sz w:val="20"/>
                <w:lang w:val="de-DE"/>
              </w:rPr>
              <w:t xml:space="preserve">Unternehmen haben die </w:t>
            </w:r>
            <w:r w:rsidRPr="00170422">
              <w:rPr>
                <w:rFonts w:ascii="Arial Narrow" w:hAnsi="Arial Narrow"/>
                <w:noProof/>
                <w:color w:val="006100"/>
                <w:sz w:val="20"/>
                <w:lang w:val="de-DE"/>
              </w:rPr>
              <w:t>Gleichstellungsbescheinigung erhalten. Davon müssen mindestens 1800 KMU sein, von denen 500</w:t>
            </w:r>
            <w:r w:rsidRPr="00170422">
              <w:rPr>
                <w:rFonts w:ascii="Arial Narrow" w:hAnsi="Arial Narrow"/>
                <w:noProof/>
                <w:color w:val="006100"/>
                <w:sz w:val="20"/>
                <w:szCs w:val="20"/>
                <w:lang w:val="de-DE"/>
              </w:rPr>
              <w:t>technische Hilfe durch ein Gutscheinsystem (z. B. in Form von Mentoring, technische Unterstützung für Führungskräfte, Maßnahmen zur Vereinbarkeit von Berufs- und Pri</w:t>
            </w:r>
            <w:r w:rsidRPr="00170422">
              <w:rPr>
                <w:rFonts w:ascii="Arial Narrow" w:hAnsi="Arial Narrow"/>
                <w:noProof/>
                <w:color w:val="006100"/>
                <w:sz w:val="20"/>
                <w:szCs w:val="20"/>
                <w:lang w:val="de-DE"/>
              </w:rPr>
              <w:t xml:space="preserve">vatleben oder unternehmerische Bildung) oder direkte finanzielle Beiträge zur Unterstützung des Zertifizierungsverfahrens erhalten haben. </w:t>
            </w:r>
          </w:p>
        </w:tc>
      </w:tr>
      <w:tr w:rsidR="0057163C" w:rsidRPr="00170422" w14:paraId="6E147081"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5DF44E4" w14:textId="77777777" w:rsidR="0057163C" w:rsidRPr="00170422" w:rsidRDefault="00F37BF9">
            <w:pPr>
              <w:pStyle w:val="P68B1DB1-Normal12"/>
              <w:spacing w:before="120" w:after="120"/>
              <w:jc w:val="center"/>
              <w:rPr>
                <w:rFonts w:eastAsia="Calibri"/>
                <w:noProof/>
                <w:highlight w:val="yellow"/>
                <w:lang w:val="de-DE"/>
              </w:rPr>
            </w:pPr>
            <w:r w:rsidRPr="00170422">
              <w:rPr>
                <w:noProof/>
                <w:lang w:val="de-DE"/>
              </w:rPr>
              <w:t>M5C1-15</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162BCB7"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Investition 3 – Stärkung des dualen Systems</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3EE82C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01D203B" w14:textId="77777777" w:rsidR="0057163C" w:rsidRPr="00170422" w:rsidRDefault="00F37BF9">
            <w:pPr>
              <w:pStyle w:val="P68B1DB1-Normal12"/>
              <w:spacing w:before="120" w:after="120"/>
              <w:jc w:val="center"/>
              <w:rPr>
                <w:rFonts w:eastAsia="Calibri"/>
                <w:noProof/>
                <w:lang w:val="de-DE"/>
              </w:rPr>
            </w:pPr>
            <w:r w:rsidRPr="00170422">
              <w:rPr>
                <w:noProof/>
                <w:lang w:val="de-DE"/>
              </w:rPr>
              <w:t xml:space="preserve">Im Rahmen des dualen Ausbildungssystems ausgestellte </w:t>
            </w:r>
            <w:r w:rsidRPr="00170422">
              <w:rPr>
                <w:noProof/>
                <w:lang w:val="de-DE"/>
              </w:rPr>
              <w:t>Bescheinigungen</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86A59E5"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3074D3A"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A2A9C42" w14:textId="77777777" w:rsidR="0057163C" w:rsidRPr="00170422" w:rsidRDefault="00F37BF9">
            <w:pPr>
              <w:pStyle w:val="P68B1DB1-Normal12"/>
              <w:spacing w:before="120" w:after="120"/>
              <w:jc w:val="center"/>
              <w:rPr>
                <w:rFonts w:eastAsia="Calibri"/>
                <w:noProof/>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FB98949" w14:textId="77777777" w:rsidR="0057163C" w:rsidRPr="00170422" w:rsidRDefault="00F37BF9">
            <w:pPr>
              <w:spacing w:before="120" w:after="120"/>
              <w:jc w:val="center"/>
              <w:rPr>
                <w:rFonts w:ascii="Arial Narrow" w:eastAsia="Calibri" w:hAnsi="Arial Narrow"/>
                <w:noProof/>
                <w:color w:val="006100"/>
                <w:sz w:val="20"/>
                <w:szCs w:val="20"/>
                <w:lang w:val="de-DE"/>
              </w:rPr>
            </w:pPr>
            <w:r w:rsidRPr="00170422">
              <w:rPr>
                <w:rFonts w:ascii="Arial Narrow" w:hAnsi="Arial Narrow"/>
                <w:noProof/>
                <w:color w:val="006100"/>
                <w:sz w:val="20"/>
                <w:szCs w:val="20"/>
                <w:lang w:val="de-DE"/>
              </w:rPr>
              <w:t>90</w:t>
            </w:r>
            <w:r w:rsidRPr="00170422">
              <w:rPr>
                <w:noProof/>
                <w:sz w:val="23"/>
                <w:szCs w:val="23"/>
                <w:lang w:val="de-DE"/>
              </w:rPr>
              <w:t xml:space="preserve"> </w:t>
            </w:r>
            <w:r w:rsidRPr="00170422">
              <w:rPr>
                <w:rFonts w:ascii="Arial Narrow" w:hAnsi="Arial Narrow"/>
                <w:noProof/>
                <w:color w:val="006100"/>
                <w:sz w:val="20"/>
                <w:szCs w:val="20"/>
                <w:lang w:val="de-DE"/>
              </w:rPr>
              <w:t>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BD4925C" w14:textId="77777777" w:rsidR="0057163C" w:rsidRPr="00170422" w:rsidRDefault="00F37BF9">
            <w:pPr>
              <w:pStyle w:val="P68B1DB1-Normal12"/>
              <w:spacing w:before="120" w:after="120"/>
              <w:jc w:val="center"/>
              <w:rPr>
                <w:rFonts w:eastAsia="Calibri"/>
                <w:noProof/>
                <w:lang w:val="de-DE"/>
              </w:rPr>
            </w:pPr>
            <w:r w:rsidRPr="00170422">
              <w:rPr>
                <w:noProof/>
                <w:lang w:val="de-DE"/>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4FF88EC"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2025</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A3493BD" w14:textId="76045961" w:rsidR="0057163C" w:rsidRPr="00170422" w:rsidRDefault="00F37BF9">
            <w:pPr>
              <w:pStyle w:val="P68B1DB1-Normal12"/>
              <w:spacing w:before="120" w:after="120"/>
              <w:rPr>
                <w:rFonts w:eastAsia="Calibri"/>
                <w:noProof/>
                <w:lang w:val="de-DE"/>
              </w:rPr>
            </w:pPr>
            <w:r w:rsidRPr="00170422">
              <w:rPr>
                <w:noProof/>
                <w:lang w:val="de-DE"/>
              </w:rPr>
              <w:t>Mindestens 90000 Teilnahmebescheinigungen, die für die Jahre 2020-2021, 2021-2022, 2022-2023, 2023-2024 oder 2024-2025 für Schülerinnen und Schüler ausgestellt wurden, die formale Bildungs- und Lernerfahru</w:t>
            </w:r>
            <w:r w:rsidRPr="00170422">
              <w:rPr>
                <w:noProof/>
                <w:lang w:val="de-DE"/>
              </w:rPr>
              <w:t>ngen am Arbeitsplatz kombinieren.</w:t>
            </w:r>
          </w:p>
        </w:tc>
      </w:tr>
      <w:tr w:rsidR="0057163C" w:rsidRPr="00170422" w14:paraId="7400CAFB"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2D0392"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M5C1-15bis</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EEB182"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Investition 4 – Allgemeiner öffentlicher Dienst</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1CAE4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Meilenstein</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56C2C4" w14:textId="77777777" w:rsidR="0057163C" w:rsidRPr="00170422" w:rsidRDefault="00F37BF9">
            <w:pPr>
              <w:pStyle w:val="P68B1DB1-Normal33"/>
              <w:spacing w:before="120" w:after="120"/>
              <w:jc w:val="center"/>
              <w:rPr>
                <w:rFonts w:eastAsia="Calibri"/>
                <w:noProof/>
                <w:lang w:val="de-DE"/>
              </w:rPr>
            </w:pPr>
            <w:r w:rsidRPr="00170422">
              <w:rPr>
                <w:noProof/>
                <w:lang w:val="de-DE"/>
              </w:rPr>
              <w:t xml:space="preserve">Durchführung von Maßnahmen zur Steigerung der Beteiligung junger Menschen, zur Vereinfachung der Verfahren und zur Verbesserung der Qualität der Projekte des universellen öffentlichen Dienstes (UCS)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7AC567" w14:textId="77777777" w:rsidR="0057163C" w:rsidRPr="00170422" w:rsidRDefault="00F37BF9">
            <w:pPr>
              <w:pStyle w:val="P68B1DB1-Normal12"/>
              <w:spacing w:before="120" w:after="120"/>
              <w:jc w:val="center"/>
              <w:rPr>
                <w:noProof/>
                <w:lang w:val="de-DE"/>
              </w:rPr>
            </w:pPr>
            <w:r w:rsidRPr="00170422">
              <w:rPr>
                <w:noProof/>
                <w:lang w:val="de-DE"/>
              </w:rPr>
              <w:t>Durchgeführte Maßnahmen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F3BEFC"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F296B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D147E"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580514"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4.</w:t>
            </w:r>
            <w:r w:rsidRPr="00170422">
              <w:rPr>
                <w:noProof/>
                <w:lang w:val="de-DE"/>
              </w:rPr>
              <w:t xml:space="preserve"> QUARTAL</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C7D244"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2024</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DA5A3C" w14:textId="77777777" w:rsidR="0057163C" w:rsidRPr="00170422" w:rsidRDefault="00F37BF9">
            <w:pPr>
              <w:pStyle w:val="P68B1DB1-Normal33"/>
              <w:spacing w:before="120" w:after="120"/>
              <w:rPr>
                <w:noProof/>
                <w:lang w:val="de-DE"/>
              </w:rPr>
            </w:pPr>
            <w:r w:rsidRPr="00170422">
              <w:rPr>
                <w:noProof/>
                <w:lang w:val="de-DE"/>
              </w:rPr>
              <w:t xml:space="preserve">Folgende Maßnahmen werden durchgeführt: </w:t>
            </w:r>
          </w:p>
          <w:p w14:paraId="03C4A058" w14:textId="77777777" w:rsidR="0057163C" w:rsidRPr="00170422" w:rsidRDefault="00F37BF9">
            <w:pPr>
              <w:pStyle w:val="P68B1DB1-Normal33"/>
              <w:spacing w:before="120" w:after="120"/>
              <w:rPr>
                <w:noProof/>
                <w:lang w:val="de-DE"/>
              </w:rPr>
            </w:pPr>
            <w:r w:rsidRPr="00170422">
              <w:rPr>
                <w:noProof/>
                <w:lang w:val="de-DE"/>
              </w:rPr>
              <w:t>1. Maßnahmen einzuführen, um die Beteiligung junger Menschen am Programm des universellen öffentlichen Dienstes (UCS) zu erhöhen;</w:t>
            </w:r>
          </w:p>
          <w:p w14:paraId="2947FCDA" w14:textId="77777777" w:rsidR="0057163C" w:rsidRPr="00170422" w:rsidRDefault="00F37BF9">
            <w:pPr>
              <w:pStyle w:val="P68B1DB1-Normal33"/>
              <w:spacing w:before="120" w:after="120"/>
              <w:rPr>
                <w:noProof/>
                <w:lang w:val="de-DE"/>
              </w:rPr>
            </w:pPr>
            <w:r w:rsidRPr="00170422">
              <w:rPr>
                <w:noProof/>
                <w:lang w:val="de-DE"/>
              </w:rPr>
              <w:t>2. Maßnahmen zur Vereinfachung der Verfahren einzuführen, um den Verwal</w:t>
            </w:r>
            <w:r w:rsidRPr="00170422">
              <w:rPr>
                <w:noProof/>
                <w:lang w:val="de-DE"/>
              </w:rPr>
              <w:t xml:space="preserve">tungsaufwand für die Umsetzung des Programms für den öffentlichen Universaldienst (UCS) zu verringern; </w:t>
            </w:r>
          </w:p>
          <w:p w14:paraId="49BC0977" w14:textId="77777777" w:rsidR="0057163C" w:rsidRPr="00170422" w:rsidRDefault="00F37BF9">
            <w:pPr>
              <w:pStyle w:val="P68B1DB1-Normal33"/>
              <w:spacing w:before="120" w:after="120"/>
              <w:rPr>
                <w:noProof/>
                <w:lang w:val="de-DE"/>
              </w:rPr>
            </w:pPr>
            <w:r w:rsidRPr="00170422">
              <w:rPr>
                <w:noProof/>
                <w:lang w:val="de-DE"/>
              </w:rPr>
              <w:t xml:space="preserve">3. Einführung von Maßnahmen zur Verbesserung der Qualität von Projekten des öffentlichen Universaldienstes. </w:t>
            </w:r>
          </w:p>
          <w:p w14:paraId="4DC40501" w14:textId="77777777" w:rsidR="0057163C" w:rsidRPr="00170422" w:rsidRDefault="00F37BF9">
            <w:pPr>
              <w:pStyle w:val="P68B1DB1-Normal12"/>
              <w:spacing w:before="120" w:after="120"/>
              <w:rPr>
                <w:rFonts w:eastAsia="Calibri"/>
                <w:noProof/>
                <w:lang w:val="de-DE"/>
              </w:rPr>
            </w:pPr>
            <w:r w:rsidRPr="00170422">
              <w:rPr>
                <w:noProof/>
                <w:lang w:val="de-DE"/>
              </w:rPr>
              <w:t>Bei den durchgeführten Maßnahmen werden die</w:t>
            </w:r>
            <w:r w:rsidRPr="00170422">
              <w:rPr>
                <w:noProof/>
                <w:lang w:val="de-DE"/>
              </w:rPr>
              <w:t xml:space="preserve"> Ergebnisse des TSI-Projekts (20IT06 – Unterstützung der Konzeption und Umsetzung des ARP-Projekts für den Universaldienst (UCS) zur Erschließung von Beschäftigungsmöglichkeiten für junge Menschen) berücksichtigt. </w:t>
            </w:r>
          </w:p>
        </w:tc>
      </w:tr>
      <w:tr w:rsidR="0057163C" w:rsidRPr="00170422" w14:paraId="690E8BFC" w14:textId="77777777" w:rsidTr="000B7F7C">
        <w:trPr>
          <w:trHeight w:val="309"/>
          <w:jc w:val="center"/>
        </w:trPr>
        <w:tc>
          <w:tcPr>
            <w:tcW w:w="1364"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77F44C" w14:textId="77777777" w:rsidR="0057163C" w:rsidRPr="00170422" w:rsidRDefault="00F37BF9">
            <w:pPr>
              <w:pStyle w:val="P68B1DB1-Normal12"/>
              <w:spacing w:before="120" w:after="120"/>
              <w:jc w:val="center"/>
              <w:rPr>
                <w:rFonts w:eastAsia="Calibri"/>
                <w:noProof/>
                <w:lang w:val="de-DE"/>
              </w:rPr>
            </w:pPr>
            <w:r w:rsidRPr="00170422">
              <w:rPr>
                <w:noProof/>
                <w:lang w:val="de-DE"/>
              </w:rPr>
              <w:t>M5C1-16</w:t>
            </w:r>
          </w:p>
        </w:tc>
        <w:tc>
          <w:tcPr>
            <w:tcW w:w="1513"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5DE3DDDA"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Investition 4 – Allgemeiner </w:t>
            </w:r>
            <w:r w:rsidRPr="00170422">
              <w:rPr>
                <w:noProof/>
                <w:lang w:val="de-DE"/>
              </w:rPr>
              <w:t>öffentlicher Dienst</w:t>
            </w:r>
          </w:p>
        </w:tc>
        <w:tc>
          <w:tcPr>
            <w:tcW w:w="128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09C2D0A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Ziel</w:t>
            </w:r>
          </w:p>
        </w:tc>
        <w:tc>
          <w:tcPr>
            <w:tcW w:w="1597"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11CB9C6B" w14:textId="77777777" w:rsidR="0057163C" w:rsidRPr="00170422" w:rsidRDefault="00F37BF9">
            <w:pPr>
              <w:pStyle w:val="P68B1DB1-Normal12"/>
              <w:spacing w:before="120" w:after="120"/>
              <w:jc w:val="center"/>
              <w:rPr>
                <w:rFonts w:eastAsia="Calibri"/>
                <w:noProof/>
                <w:lang w:val="de-DE"/>
              </w:rPr>
            </w:pPr>
            <w:r w:rsidRPr="00170422">
              <w:rPr>
                <w:noProof/>
                <w:lang w:val="de-DE"/>
              </w:rPr>
              <w:t xml:space="preserve">Bescheinigungen, die für Projekte des öffentlichen Universaldienstes ausgestellt wurden </w:t>
            </w:r>
          </w:p>
        </w:tc>
        <w:tc>
          <w:tcPr>
            <w:tcW w:w="1470"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4B3C711D"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8CC40D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Anzahl </w:t>
            </w:r>
          </w:p>
        </w:tc>
        <w:tc>
          <w:tcPr>
            <w:tcW w:w="1436"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EE194F5" w14:textId="77777777" w:rsidR="0057163C" w:rsidRPr="00170422" w:rsidRDefault="00F37BF9">
            <w:pPr>
              <w:pStyle w:val="P68B1DB1-Normal11"/>
              <w:spacing w:before="120" w:after="120"/>
              <w:jc w:val="center"/>
              <w:rPr>
                <w:noProof/>
                <w:szCs w:val="20"/>
                <w:lang w:val="de-DE"/>
              </w:rPr>
            </w:pPr>
            <w:r w:rsidRPr="00170422">
              <w:rPr>
                <w:noProof/>
                <w:lang w:val="de-DE"/>
              </w:rPr>
              <w:t>0</w:t>
            </w:r>
          </w:p>
        </w:tc>
        <w:tc>
          <w:tcPr>
            <w:tcW w:w="832"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2F1C7510" w14:textId="5664E1C7" w:rsidR="0057163C" w:rsidRPr="00170422" w:rsidRDefault="00F37BF9">
            <w:pPr>
              <w:pStyle w:val="P68B1DB1-Normal11"/>
              <w:spacing w:before="120" w:after="120"/>
              <w:jc w:val="center"/>
              <w:rPr>
                <w:rFonts w:eastAsia="Calibri"/>
                <w:noProof/>
                <w:szCs w:val="20"/>
                <w:lang w:val="de-DE"/>
              </w:rPr>
            </w:pPr>
            <w:r w:rsidRPr="00170422">
              <w:rPr>
                <w:noProof/>
                <w:lang w:val="de-DE"/>
              </w:rPr>
              <w:t>166 670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1C3BC9A"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Q2</w:t>
            </w:r>
          </w:p>
        </w:tc>
        <w:tc>
          <w:tcPr>
            <w:tcW w:w="705"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7D275F52"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2026</w:t>
            </w:r>
          </w:p>
        </w:tc>
        <w:tc>
          <w:tcPr>
            <w:tcW w:w="2839" w:type="dxa"/>
            <w:tcBorders>
              <w:top w:val="single" w:sz="4" w:space="0" w:color="auto"/>
              <w:left w:val="single" w:sz="4" w:space="0" w:color="auto"/>
              <w:bottom w:val="single" w:sz="4" w:space="0" w:color="auto"/>
              <w:right w:val="single" w:sz="4" w:space="0" w:color="auto"/>
            </w:tcBorders>
            <w:shd w:val="clear" w:color="auto" w:fill="C6EFCE"/>
            <w:noWrap/>
            <w:vAlign w:val="center"/>
            <w:hideMark/>
          </w:tcPr>
          <w:p w14:paraId="6A80C4E6" w14:textId="77777777" w:rsidR="0057163C" w:rsidRPr="00170422" w:rsidRDefault="00F37BF9">
            <w:pPr>
              <w:pStyle w:val="P68B1DB1-Normal11"/>
              <w:spacing w:before="120" w:after="120"/>
              <w:rPr>
                <w:rFonts w:eastAsia="Calibri"/>
                <w:noProof/>
                <w:szCs w:val="20"/>
                <w:lang w:val="de-DE"/>
              </w:rPr>
            </w:pPr>
            <w:r w:rsidRPr="00170422">
              <w:rPr>
                <w:noProof/>
                <w:szCs w:val="20"/>
                <w:lang w:val="de-DE"/>
              </w:rPr>
              <w:t>Mindestens 166670 Bescheinigungen</w:t>
            </w:r>
            <w:r w:rsidRPr="00170422">
              <w:rPr>
                <w:noProof/>
                <w:lang w:val="de-DE"/>
              </w:rPr>
              <w:t xml:space="preserve"> </w:t>
            </w:r>
            <w:r w:rsidRPr="00170422">
              <w:rPr>
                <w:noProof/>
                <w:szCs w:val="20"/>
                <w:lang w:val="de-DE"/>
              </w:rPr>
              <w:t>über die Teilnahme am öffentlichen Universaldienst, die für Projekte aus</w:t>
            </w:r>
            <w:r w:rsidRPr="00170422">
              <w:rPr>
                <w:noProof/>
                <w:szCs w:val="20"/>
                <w:lang w:val="de-DE"/>
              </w:rPr>
              <w:t>gestellt wurden, die im Vierjahreszeitraum 2021-2024 eingeleitet wurden.</w:t>
            </w:r>
          </w:p>
        </w:tc>
      </w:tr>
    </w:tbl>
    <w:p w14:paraId="7246408D" w14:textId="77777777" w:rsidR="0057163C" w:rsidRPr="00170422" w:rsidRDefault="0057163C">
      <w:pPr>
        <w:spacing w:before="120" w:after="120"/>
        <w:ind w:left="709"/>
        <w:jc w:val="both"/>
        <w:rPr>
          <w:noProof/>
          <w:lang w:val="de-DE"/>
        </w:rPr>
      </w:pPr>
    </w:p>
    <w:p w14:paraId="0C27507F" w14:textId="77777777" w:rsidR="0057163C" w:rsidRPr="00170422" w:rsidRDefault="0057163C">
      <w:pPr>
        <w:spacing w:before="120" w:after="120"/>
        <w:ind w:left="709"/>
        <w:jc w:val="both"/>
        <w:rPr>
          <w:noProof/>
          <w:lang w:val="de-DE"/>
        </w:rPr>
        <w:sectPr w:rsidR="0057163C" w:rsidRPr="00170422" w:rsidSect="005F11B9">
          <w:headerReference w:type="even" r:id="rId218"/>
          <w:headerReference w:type="default" r:id="rId219"/>
          <w:footerReference w:type="even" r:id="rId220"/>
          <w:footerReference w:type="default" r:id="rId221"/>
          <w:headerReference w:type="first" r:id="rId222"/>
          <w:footerReference w:type="first" r:id="rId223"/>
          <w:pgSz w:w="16838" w:h="11906" w:orient="landscape" w:code="9"/>
          <w:pgMar w:top="1134" w:right="1134" w:bottom="1134" w:left="1134" w:header="567" w:footer="567" w:gutter="0"/>
          <w:cols w:space="720"/>
          <w:docGrid w:linePitch="360"/>
        </w:sectPr>
      </w:pPr>
    </w:p>
    <w:p w14:paraId="5B47C192"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L.3. </w:t>
      </w:r>
      <w:r w:rsidRPr="00170422">
        <w:rPr>
          <w:noProof/>
          <w:lang w:val="de-DE"/>
        </w:rPr>
        <w:t xml:space="preserve"> </w:t>
      </w:r>
      <w:r w:rsidRPr="00170422">
        <w:rPr>
          <w:b/>
          <w:noProof/>
          <w:u w:val="single"/>
          <w:lang w:val="de-DE"/>
        </w:rPr>
        <w:t xml:space="preserve">Beschreibung der Reformen und Investitionen (Darlehen) </w:t>
      </w:r>
    </w:p>
    <w:p w14:paraId="6AD9E909" w14:textId="77777777" w:rsidR="0057163C" w:rsidRPr="00170422" w:rsidRDefault="00F37BF9">
      <w:pPr>
        <w:pStyle w:val="P68B1DB1-Normal5"/>
        <w:spacing w:before="120" w:after="120"/>
        <w:jc w:val="both"/>
        <w:rPr>
          <w:noProof/>
          <w:lang w:val="de-DE"/>
        </w:rPr>
      </w:pPr>
      <w:r w:rsidRPr="00170422">
        <w:rPr>
          <w:noProof/>
          <w:lang w:val="de-DE"/>
        </w:rPr>
        <w:t>Investition 5 Gründung von Frauenunternehmen</w:t>
      </w:r>
    </w:p>
    <w:p w14:paraId="44CDE6CB" w14:textId="6036EE0E" w:rsidR="0057163C" w:rsidRPr="00170422" w:rsidRDefault="00F37BF9">
      <w:pPr>
        <w:pStyle w:val="P68B1DB1-Normal7"/>
        <w:spacing w:before="120" w:after="120"/>
        <w:jc w:val="both"/>
        <w:rPr>
          <w:noProof/>
          <w:lang w:val="de-DE"/>
        </w:rPr>
      </w:pPr>
      <w:r w:rsidRPr="00170422">
        <w:rPr>
          <w:noProof/>
          <w:lang w:val="de-DE"/>
        </w:rPr>
        <w:t xml:space="preserve">Diese </w:t>
      </w:r>
      <w:r w:rsidRPr="00170422">
        <w:rPr>
          <w:noProof/>
          <w:lang w:val="de-DE"/>
        </w:rPr>
        <w:t>Maßnahme besteht aus einer öffentlichen Investition in eine Fazilität, um Anreize für private Investitionen zu schaffen und den Zugang zu Finanzmitteln in Italien für die Gründung und das Wachstum von Frauenunternehmen in Italien durch Projektfinanzierung,</w:t>
      </w:r>
      <w:r w:rsidRPr="00170422">
        <w:rPr>
          <w:noProof/>
          <w:lang w:val="de-DE"/>
        </w:rPr>
        <w:t xml:space="preserve"> Mentoring, Kommunikation und unternehmerische Bildung zu verbessern. Die Fazilität funktioniert, indem sie Subventionen und Darlehen direkt an den Privatsektor bereitstellt.</w:t>
      </w:r>
    </w:p>
    <w:p w14:paraId="2A1BE293" w14:textId="77777777" w:rsidR="0057163C" w:rsidRPr="00170422" w:rsidRDefault="00F37BF9">
      <w:pPr>
        <w:pStyle w:val="P68B1DB1-Normal7"/>
        <w:spacing w:before="120" w:after="120"/>
        <w:jc w:val="both"/>
        <w:rPr>
          <w:noProof/>
          <w:lang w:val="de-DE"/>
        </w:rPr>
      </w:pPr>
      <w:r w:rsidRPr="00170422">
        <w:rPr>
          <w:noProof/>
          <w:lang w:val="de-DE"/>
        </w:rPr>
        <w:t>Die Fazilität wird von Invitalia als Durchführungspartner verwaltet. Die Fazilitä</w:t>
      </w:r>
      <w:r w:rsidRPr="00170422">
        <w:rPr>
          <w:noProof/>
          <w:lang w:val="de-DE"/>
        </w:rPr>
        <w:t>t umfasst die folgenden Produktlinien:</w:t>
      </w:r>
    </w:p>
    <w:p w14:paraId="0ACFD94D" w14:textId="36576E3F" w:rsidR="0057163C" w:rsidRPr="00170422" w:rsidRDefault="00F37BF9">
      <w:pPr>
        <w:pStyle w:val="P68B1DB1-Normal7"/>
        <w:numPr>
          <w:ilvl w:val="0"/>
          <w:numId w:val="73"/>
        </w:numPr>
        <w:spacing w:before="120" w:after="120" w:line="279" w:lineRule="auto"/>
        <w:jc w:val="both"/>
        <w:rPr>
          <w:noProof/>
          <w:lang w:val="de-DE"/>
        </w:rPr>
      </w:pPr>
      <w:r w:rsidRPr="00170422">
        <w:rPr>
          <w:i/>
          <w:noProof/>
          <w:lang w:val="de-DE"/>
        </w:rPr>
        <w:t xml:space="preserve">Fondo a sostegno dell’impresa femminile, </w:t>
      </w:r>
      <w:r w:rsidRPr="00170422">
        <w:rPr>
          <w:noProof/>
          <w:lang w:val="de-DE"/>
        </w:rPr>
        <w:t>das von Frauen geführte Unternehmensinitiativen durch Zuschüsse und zinslose Darlehen unterstützt; darüber hinaus finanziert sie Kommunikations- und Ausbildungsinitiativen, die</w:t>
      </w:r>
      <w:r w:rsidRPr="00170422">
        <w:rPr>
          <w:noProof/>
          <w:lang w:val="de-DE"/>
        </w:rPr>
        <w:t xml:space="preserve"> sich an Studierende und junge Frauen richten, sowie Bildungsdienstleistungen, die auf die Verbreitung der unternehmerischen Kultur von Frauen abzielen;</w:t>
      </w:r>
    </w:p>
    <w:p w14:paraId="62D025C7" w14:textId="77777777" w:rsidR="0057163C" w:rsidRPr="00170422" w:rsidRDefault="00F37BF9">
      <w:pPr>
        <w:pStyle w:val="P68B1DB1-Normal7"/>
        <w:numPr>
          <w:ilvl w:val="0"/>
          <w:numId w:val="73"/>
        </w:numPr>
        <w:spacing w:before="120" w:after="120" w:line="279" w:lineRule="auto"/>
        <w:jc w:val="both"/>
        <w:rPr>
          <w:noProof/>
          <w:lang w:val="de-DE"/>
        </w:rPr>
      </w:pPr>
      <w:r w:rsidRPr="00170422">
        <w:rPr>
          <w:i/>
          <w:noProof/>
          <w:lang w:val="de-DE"/>
        </w:rPr>
        <w:t>Nuove imprese a tasso 0 (NITO-ON)</w:t>
      </w:r>
      <w:r w:rsidRPr="00170422">
        <w:rPr>
          <w:noProof/>
          <w:lang w:val="de-DE"/>
        </w:rPr>
        <w:t xml:space="preserve">, das der Gründung und dem Wachstum von Kleinst- und Kleinunternehmen </w:t>
      </w:r>
      <w:r w:rsidRPr="00170422">
        <w:rPr>
          <w:noProof/>
          <w:lang w:val="de-DE"/>
        </w:rPr>
        <w:t>gewidmet ist, die hauptsächlich oder vollständig von jungen Menschen oder Frauen geleitet werden und durch Zuschüsse und zinslose Darlehen finanziert werden;</w:t>
      </w:r>
    </w:p>
    <w:p w14:paraId="66463615" w14:textId="77777777" w:rsidR="0057163C" w:rsidRPr="00170422" w:rsidRDefault="00F37BF9">
      <w:pPr>
        <w:pStyle w:val="P68B1DB1-Normal7"/>
        <w:numPr>
          <w:ilvl w:val="0"/>
          <w:numId w:val="73"/>
        </w:numPr>
        <w:spacing w:before="120" w:after="120" w:line="279" w:lineRule="auto"/>
        <w:jc w:val="both"/>
        <w:rPr>
          <w:noProof/>
          <w:lang w:val="de-DE"/>
        </w:rPr>
      </w:pPr>
      <w:r w:rsidRPr="00170422">
        <w:rPr>
          <w:i/>
          <w:noProof/>
          <w:lang w:val="de-DE"/>
        </w:rPr>
        <w:t>Smart &amp; Start Italia</w:t>
      </w:r>
      <w:r w:rsidRPr="00170422">
        <w:rPr>
          <w:noProof/>
          <w:lang w:val="de-DE"/>
        </w:rPr>
        <w:t>, mit dem innovative, technologieorientierte Start-up-Unternehmen, insbesonder</w:t>
      </w:r>
      <w:r w:rsidRPr="00170422">
        <w:rPr>
          <w:noProof/>
          <w:lang w:val="de-DE"/>
        </w:rPr>
        <w:t>e solche mit starken digitalen oder forschungsbasierten Elementen, gefördert werden sollen, die durch Darlehen finanziert werden; bei Start-up-Unternehmen in Mittel- und Süditalien kann ein Prozentsatz des Darlehens in einen nicht rückzahlbaren Zuschuss um</w:t>
      </w:r>
      <w:r w:rsidRPr="00170422">
        <w:rPr>
          <w:noProof/>
          <w:lang w:val="de-DE"/>
        </w:rPr>
        <w:t>gewandelt werden.</w:t>
      </w:r>
    </w:p>
    <w:p w14:paraId="2E95A7F6" w14:textId="77777777" w:rsidR="0057163C" w:rsidRPr="00170422" w:rsidRDefault="00F37BF9">
      <w:pPr>
        <w:pStyle w:val="P68B1DB1-Normal7"/>
        <w:spacing w:before="120" w:after="120"/>
        <w:jc w:val="both"/>
        <w:rPr>
          <w:noProof/>
          <w:lang w:val="de-DE"/>
        </w:rPr>
      </w:pPr>
      <w:r w:rsidRPr="00170422">
        <w:rPr>
          <w:noProof/>
          <w:lang w:val="de-DE"/>
        </w:rPr>
        <w:t>Zur Durchführung der Investition in die Fazilität unterzeichnen Italien und Invitalia ein Durchführungsabkommen, das Folgendes enthält:</w:t>
      </w:r>
    </w:p>
    <w:p w14:paraId="3E594429" w14:textId="77777777" w:rsidR="0057163C" w:rsidRPr="00170422" w:rsidRDefault="00F37BF9">
      <w:pPr>
        <w:pStyle w:val="P68B1DB1-ListParagraph100"/>
        <w:numPr>
          <w:ilvl w:val="0"/>
          <w:numId w:val="92"/>
        </w:numPr>
        <w:spacing w:before="120" w:after="120" w:line="278" w:lineRule="auto"/>
        <w:ind w:left="714" w:hanging="357"/>
        <w:contextualSpacing w:val="0"/>
        <w:jc w:val="both"/>
        <w:rPr>
          <w:noProof/>
          <w:lang w:val="de-DE"/>
        </w:rPr>
      </w:pPr>
      <w:r w:rsidRPr="00170422">
        <w:rPr>
          <w:noProof/>
          <w:lang w:val="de-DE"/>
        </w:rPr>
        <w:t>Beschreibung des Entscheidungsprozesses der Fazilität: Die endgültige Investitionsentscheidung der Faz</w:t>
      </w:r>
      <w:r w:rsidRPr="00170422">
        <w:rPr>
          <w:noProof/>
          <w:lang w:val="de-DE"/>
        </w:rPr>
        <w:t>ilität wird von einem Investitionsausschuss oder einem anderen einschlägigen gleichwertigen Leitungsgremium getroffen und mit der Mehrheit der Stimmen der von der Regierung unabhängigen Mitglieder genehmigt.</w:t>
      </w:r>
    </w:p>
    <w:p w14:paraId="0198B0CA" w14:textId="77777777" w:rsidR="0057163C" w:rsidRPr="00170422" w:rsidRDefault="00F37BF9">
      <w:pPr>
        <w:pStyle w:val="P68B1DB1-ListParagraph100"/>
        <w:numPr>
          <w:ilvl w:val="0"/>
          <w:numId w:val="92"/>
        </w:numPr>
        <w:spacing w:before="120" w:after="120" w:line="278" w:lineRule="auto"/>
        <w:ind w:hanging="357"/>
        <w:contextualSpacing w:val="0"/>
        <w:jc w:val="both"/>
        <w:rPr>
          <w:noProof/>
          <w:lang w:val="de-DE"/>
        </w:rPr>
      </w:pPr>
      <w:r w:rsidRPr="00170422">
        <w:rPr>
          <w:noProof/>
          <w:lang w:val="de-DE"/>
        </w:rPr>
        <w:t>Kernanforderungen der zugehörigen Anlagepolitik,</w:t>
      </w:r>
      <w:r w:rsidRPr="00170422">
        <w:rPr>
          <w:noProof/>
          <w:lang w:val="de-DE"/>
        </w:rPr>
        <w:t xml:space="preserve"> die Folgendes umfassen:</w:t>
      </w:r>
    </w:p>
    <w:p w14:paraId="59C2EB54" w14:textId="77777777" w:rsidR="0057163C" w:rsidRPr="00170422" w:rsidRDefault="00F37BF9">
      <w:pPr>
        <w:pStyle w:val="P68B1DB1-ListParagraph100"/>
        <w:numPr>
          <w:ilvl w:val="0"/>
          <w:numId w:val="93"/>
        </w:numPr>
        <w:spacing w:before="120" w:after="120" w:line="278" w:lineRule="auto"/>
        <w:ind w:hanging="357"/>
        <w:contextualSpacing w:val="0"/>
        <w:jc w:val="both"/>
        <w:rPr>
          <w:noProof/>
          <w:lang w:val="de-DE"/>
        </w:rPr>
      </w:pPr>
      <w:r w:rsidRPr="00170422">
        <w:rPr>
          <w:noProof/>
          <w:lang w:val="de-DE"/>
        </w:rPr>
        <w:t>Die Beschreibung der Finanzprodukte und förderfähigen Endbegünstigten.</w:t>
      </w:r>
    </w:p>
    <w:p w14:paraId="25CAED54" w14:textId="77777777" w:rsidR="0057163C" w:rsidRPr="00170422" w:rsidRDefault="00F37BF9">
      <w:pPr>
        <w:pStyle w:val="P68B1DB1-ListParagraph100"/>
        <w:numPr>
          <w:ilvl w:val="0"/>
          <w:numId w:val="93"/>
        </w:numPr>
        <w:spacing w:before="120" w:after="120" w:line="278" w:lineRule="auto"/>
        <w:ind w:hanging="357"/>
        <w:contextualSpacing w:val="0"/>
        <w:jc w:val="both"/>
        <w:rPr>
          <w:noProof/>
          <w:lang w:val="de-DE"/>
        </w:rPr>
      </w:pPr>
      <w:r w:rsidRPr="00170422">
        <w:rPr>
          <w:noProof/>
          <w:lang w:val="de-DE"/>
        </w:rPr>
        <w:t>Die Anforderung, dass alle geförderten Investitionen wirtschaftlich tragfähig sind.</w:t>
      </w:r>
    </w:p>
    <w:p w14:paraId="74FF7F76" w14:textId="77777777" w:rsidR="0057163C" w:rsidRPr="00170422" w:rsidRDefault="00F37BF9">
      <w:pPr>
        <w:pStyle w:val="P68B1DB1-ListParagraph37"/>
        <w:numPr>
          <w:ilvl w:val="0"/>
          <w:numId w:val="93"/>
        </w:numPr>
        <w:spacing w:before="120" w:after="120" w:line="278" w:lineRule="auto"/>
        <w:ind w:hanging="357"/>
        <w:contextualSpacing w:val="0"/>
        <w:jc w:val="both"/>
        <w:rPr>
          <w:noProof/>
          <w:lang w:val="de-DE"/>
        </w:rPr>
      </w:pPr>
      <w:r w:rsidRPr="00170422">
        <w:rPr>
          <w:noProof/>
          <w:lang w:val="de-DE"/>
        </w:rPr>
        <w:t xml:space="preserve">Die Anforderung, den Grundsatz der „Vermeidung erheblicher </w:t>
      </w:r>
      <w:r w:rsidRPr="00170422">
        <w:rPr>
          <w:noProof/>
          <w:lang w:val="de-DE"/>
        </w:rPr>
        <w:t>Beeinträchtigungen“ (DNSH) gemäß den technischen Leitlinien zur Vermeidung erheblicher Beeinträchtigungen (2021/C58/01) einzuhalten. Insbesondere schließt die Anlagepolitik die folgende Liste von Tätigkeiten und Vermögenswerten von der Förderfähigkeit aus:</w:t>
      </w:r>
      <w:r w:rsidRPr="00170422">
        <w:rPr>
          <w:noProof/>
          <w:lang w:val="de-DE"/>
        </w:rPr>
        <w:t xml:space="preserve"> Tätigkeiten und Vermögenswerte im Zusammenhang mit fossilen Brennstoffen, einschließlich nachgelagerter Nutzung,</w:t>
      </w:r>
      <w:r w:rsidRPr="00170422">
        <w:rPr>
          <w:noProof/>
          <w:vertAlign w:val="superscript"/>
          <w:lang w:val="de-DE"/>
        </w:rPr>
        <w:footnoteReference w:id="89"/>
      </w:r>
      <w:r w:rsidRPr="00170422">
        <w:rPr>
          <w:noProof/>
          <w:lang w:val="de-DE"/>
        </w:rPr>
        <w:t>ii) Tätigkeiten und Vermögenswerte im Rahmen des EU-Emissionshandelssystems (EHS), mit denen prognostizierte Treibhausgasemissionen erreicht w</w:t>
      </w:r>
      <w:r w:rsidRPr="00170422">
        <w:rPr>
          <w:noProof/>
          <w:lang w:val="de-DE"/>
        </w:rPr>
        <w:t>erden, die nicht unter den einschlägigen Richtwerten liegen,</w:t>
      </w:r>
      <w:r w:rsidRPr="00170422">
        <w:rPr>
          <w:noProof/>
          <w:vertAlign w:val="superscript"/>
          <w:lang w:val="de-DE"/>
        </w:rPr>
        <w:footnoteReference w:id="90"/>
      </w:r>
      <w:r w:rsidRPr="00170422">
        <w:rPr>
          <w:noProof/>
          <w:lang w:val="de-DE"/>
        </w:rPr>
        <w:t>iii) Tätigkeiten und Vermögenswerte im Zusammenhang mit Abfalldeponien, Verbrennungsanlagen</w:t>
      </w:r>
      <w:r w:rsidRPr="00170422">
        <w:rPr>
          <w:noProof/>
          <w:vertAlign w:val="superscript"/>
          <w:lang w:val="de-DE"/>
        </w:rPr>
        <w:footnoteReference w:id="91"/>
      </w:r>
      <w:r w:rsidRPr="00170422">
        <w:rPr>
          <w:noProof/>
          <w:lang w:val="de-DE"/>
        </w:rPr>
        <w:t xml:space="preserve"> und mechanisch-biologischen Behandlungsanlagen</w:t>
      </w:r>
      <w:r w:rsidRPr="00170422">
        <w:rPr>
          <w:noProof/>
          <w:vertAlign w:val="superscript"/>
          <w:lang w:val="de-DE"/>
        </w:rPr>
        <w:footnoteReference w:id="92"/>
      </w:r>
      <w:r w:rsidRPr="00170422">
        <w:rPr>
          <w:noProof/>
          <w:lang w:val="de-DE"/>
        </w:rPr>
        <w:t xml:space="preserve">. </w:t>
      </w:r>
    </w:p>
    <w:p w14:paraId="08C9CACE" w14:textId="77777777" w:rsidR="0057163C" w:rsidRPr="00170422" w:rsidRDefault="00F37BF9">
      <w:pPr>
        <w:pStyle w:val="P68B1DB1-ListParagraph37"/>
        <w:numPr>
          <w:ilvl w:val="0"/>
          <w:numId w:val="93"/>
        </w:numPr>
        <w:spacing w:before="120" w:after="120" w:line="278" w:lineRule="auto"/>
        <w:ind w:hanging="357"/>
        <w:contextualSpacing w:val="0"/>
        <w:jc w:val="both"/>
        <w:rPr>
          <w:noProof/>
          <w:lang w:val="de-DE"/>
        </w:rPr>
      </w:pPr>
      <w:r w:rsidRPr="00170422">
        <w:rPr>
          <w:noProof/>
          <w:lang w:val="de-DE"/>
        </w:rPr>
        <w:t>Die Anforderung, dass die Endbegünstigten der Fazili</w:t>
      </w:r>
      <w:r w:rsidRPr="00170422">
        <w:rPr>
          <w:noProof/>
          <w:lang w:val="de-DE"/>
        </w:rPr>
        <w:t>tät keine Unterstützung aus anderen Instrumenten der Union erhalten dürfen, um dieselben Kosten zu decken.</w:t>
      </w:r>
    </w:p>
    <w:p w14:paraId="4075FAE8" w14:textId="77777777" w:rsidR="0057163C" w:rsidRPr="00170422" w:rsidRDefault="00F37BF9">
      <w:pPr>
        <w:pStyle w:val="P68B1DB1-ListParagraph37"/>
        <w:numPr>
          <w:ilvl w:val="0"/>
          <w:numId w:val="92"/>
        </w:numPr>
        <w:spacing w:before="120" w:after="120" w:line="278" w:lineRule="auto"/>
        <w:ind w:left="714" w:hanging="357"/>
        <w:contextualSpacing w:val="0"/>
        <w:jc w:val="both"/>
        <w:rPr>
          <w:noProof/>
          <w:lang w:val="de-DE"/>
        </w:rPr>
      </w:pPr>
      <w:r w:rsidRPr="00170422">
        <w:rPr>
          <w:noProof/>
          <w:lang w:val="de-DE"/>
        </w:rPr>
        <w:t>Der unter die Durchführungsvereinbarung fallende Betrag, die Gebührenstruktur für den Durchführungspartner und die Anforderung, etwaige Rückflüsse en</w:t>
      </w:r>
      <w:r w:rsidRPr="00170422">
        <w:rPr>
          <w:noProof/>
          <w:lang w:val="de-DE"/>
        </w:rPr>
        <w:t>tsprechend der Investitionspolitik der Fazilität zu reinvestieren.</w:t>
      </w:r>
    </w:p>
    <w:p w14:paraId="0927675B" w14:textId="77777777" w:rsidR="0057163C" w:rsidRPr="00170422" w:rsidRDefault="00F37BF9">
      <w:pPr>
        <w:pStyle w:val="P68B1DB1-ListParagraph37"/>
        <w:numPr>
          <w:ilvl w:val="0"/>
          <w:numId w:val="92"/>
        </w:numPr>
        <w:spacing w:before="120" w:after="120" w:line="240" w:lineRule="auto"/>
        <w:jc w:val="both"/>
        <w:rPr>
          <w:noProof/>
          <w:lang w:val="de-DE"/>
        </w:rPr>
      </w:pPr>
      <w:r w:rsidRPr="00170422">
        <w:rPr>
          <w:noProof/>
          <w:lang w:val="de-DE"/>
        </w:rPr>
        <w:t>Überwachungs-, Prüf- und Kontrollanforderungen, einschließlich:</w:t>
      </w:r>
    </w:p>
    <w:p w14:paraId="47B4D611" w14:textId="77777777" w:rsidR="0057163C" w:rsidRPr="00170422" w:rsidRDefault="00F37BF9">
      <w:pPr>
        <w:pStyle w:val="P68B1DB1-Normal7"/>
        <w:numPr>
          <w:ilvl w:val="0"/>
          <w:numId w:val="91"/>
        </w:numPr>
        <w:spacing w:before="120" w:after="120" w:line="240" w:lineRule="auto"/>
        <w:jc w:val="both"/>
        <w:rPr>
          <w:noProof/>
          <w:lang w:val="de-DE"/>
        </w:rPr>
      </w:pPr>
      <w:bookmarkStart w:id="20" w:name="_Hlk139218377"/>
      <w:r w:rsidRPr="00170422">
        <w:rPr>
          <w:noProof/>
          <w:lang w:val="de-DE"/>
        </w:rPr>
        <w:t>Die Beschreibung des Überwachungssystems des Durchführungspartners zur Berichterstattung über die mobilisierten Investitionen</w:t>
      </w:r>
      <w:r w:rsidRPr="00170422">
        <w:rPr>
          <w:noProof/>
          <w:lang w:val="de-DE"/>
        </w:rPr>
        <w:t>.</w:t>
      </w:r>
    </w:p>
    <w:p w14:paraId="7F851301" w14:textId="77777777" w:rsidR="0057163C" w:rsidRPr="00170422" w:rsidRDefault="00F37BF9">
      <w:pPr>
        <w:pStyle w:val="P68B1DB1-Normal7"/>
        <w:numPr>
          <w:ilvl w:val="0"/>
          <w:numId w:val="91"/>
        </w:numPr>
        <w:spacing w:before="120" w:after="120" w:line="240" w:lineRule="auto"/>
        <w:jc w:val="both"/>
        <w:rPr>
          <w:noProof/>
          <w:lang w:val="de-DE"/>
        </w:rPr>
      </w:pPr>
      <w:r w:rsidRPr="00170422">
        <w:rPr>
          <w:noProof/>
          <w:lang w:val="de-DE"/>
        </w:rPr>
        <w:t xml:space="preserve">Die Beschreibung der Verfahren des Durchführungspartners, die die Prävention, Aufdeckung und Behebung von Betrug, Korruption und Interessenkonflikten gewährleisten. </w:t>
      </w:r>
    </w:p>
    <w:p w14:paraId="2F36FC7C" w14:textId="77777777" w:rsidR="0057163C" w:rsidRPr="00170422" w:rsidRDefault="00F37BF9">
      <w:pPr>
        <w:pStyle w:val="P68B1DB1-Normal7"/>
        <w:numPr>
          <w:ilvl w:val="0"/>
          <w:numId w:val="91"/>
        </w:numPr>
        <w:spacing w:before="120" w:after="120" w:line="240" w:lineRule="auto"/>
        <w:jc w:val="both"/>
        <w:rPr>
          <w:noProof/>
          <w:lang w:val="de-DE"/>
        </w:rPr>
      </w:pPr>
      <w:r w:rsidRPr="00170422">
        <w:rPr>
          <w:noProof/>
          <w:lang w:val="de-DE"/>
        </w:rPr>
        <w:t xml:space="preserve">Die Verpflichtung, die Förderfähigkeit jeder Maßnahme im Einklang mit den Anforderungen </w:t>
      </w:r>
      <w:r w:rsidRPr="00170422">
        <w:rPr>
          <w:noProof/>
          <w:lang w:val="de-DE"/>
        </w:rPr>
        <w:t>des Durchführungsübereinkommens zu überprüfen, bevor sie sich zur Finanzierung einer Operation verpflichtet.</w:t>
      </w:r>
    </w:p>
    <w:bookmarkEnd w:id="20"/>
    <w:p w14:paraId="6B80E2E8" w14:textId="77777777" w:rsidR="0057163C" w:rsidRPr="00170422" w:rsidRDefault="00F37BF9">
      <w:pPr>
        <w:pStyle w:val="P68B1DB1-Normal7"/>
        <w:numPr>
          <w:ilvl w:val="0"/>
          <w:numId w:val="91"/>
        </w:numPr>
        <w:spacing w:before="120" w:after="120" w:line="278" w:lineRule="auto"/>
        <w:ind w:left="1077" w:hanging="357"/>
        <w:jc w:val="both"/>
        <w:rPr>
          <w:noProof/>
          <w:lang w:val="de-DE"/>
        </w:rPr>
      </w:pPr>
      <w:r w:rsidRPr="00170422">
        <w:rPr>
          <w:noProof/>
          <w:lang w:val="de-DE"/>
        </w:rPr>
        <w:t>Die Verpflichtung zur Durchführung risikobasierter Ex-post-Prüfungen gemäß einem Prüfplan von Invitalia. Bei diesen Prüfungen wird Folgendes überpr</w:t>
      </w:r>
      <w:r w:rsidRPr="00170422">
        <w:rPr>
          <w:noProof/>
          <w:lang w:val="de-DE"/>
        </w:rPr>
        <w:t>üft: i) die Wirksamkeit der Kontrollsysteme, einschließlich der Aufdeckung von Betrug, Korruption und Interessenkonflikten; II) Einhaltung des DNSH-Grundsatzes, der Vorschriften über staatliche Beihilfen und der Anforderung an das digitale Ziel; und iii) d</w:t>
      </w:r>
      <w:r w:rsidRPr="00170422">
        <w:rPr>
          <w:noProof/>
          <w:lang w:val="de-DE"/>
        </w:rPr>
        <w:t>ass die Anforderung, dass die Endbegünstigten der Fazilität keine Unterstützung aus anderen Instrumenten der Union erhalten haben, um dieselben Kosten zu decken, eingehalten wird. Bei den Prüfungen wird auch die Rechtmäßigkeit der Vorgänge und die Einhaltu</w:t>
      </w:r>
      <w:r w:rsidRPr="00170422">
        <w:rPr>
          <w:noProof/>
          <w:lang w:val="de-DE"/>
        </w:rPr>
        <w:t xml:space="preserve">ng der Bedingungen des geltenden Durchführungsabkommens überprüft. </w:t>
      </w:r>
    </w:p>
    <w:p w14:paraId="4A8DD185" w14:textId="77777777" w:rsidR="0057163C" w:rsidRPr="00170422" w:rsidRDefault="00F37BF9">
      <w:pPr>
        <w:pStyle w:val="P68B1DB1-Normal7"/>
        <w:spacing w:before="120" w:after="120" w:line="278" w:lineRule="auto"/>
        <w:jc w:val="both"/>
        <w:rPr>
          <w:noProof/>
          <w:lang w:val="de-DE"/>
        </w:rPr>
      </w:pPr>
      <w:r w:rsidRPr="00170422">
        <w:rPr>
          <w:noProof/>
          <w:lang w:val="de-DE"/>
        </w:rPr>
        <w:t>Anforderungen an digitale Investitionen des Durchführungspartners: mindestens 150 000 000 EUR der ARF-Investitionen in die Fazilität werden gemäß Anhang VII der ARF-Verordnung zum digitale</w:t>
      </w:r>
      <w:r w:rsidRPr="00170422">
        <w:rPr>
          <w:noProof/>
          <w:lang w:val="de-DE"/>
        </w:rPr>
        <w:t xml:space="preserve">n Wandel beitragen. </w:t>
      </w:r>
    </w:p>
    <w:p w14:paraId="3DABC33E" w14:textId="77777777" w:rsidR="0057163C" w:rsidRPr="00170422" w:rsidRDefault="0057163C">
      <w:pPr>
        <w:spacing w:before="120" w:after="120" w:line="240" w:lineRule="auto"/>
        <w:jc w:val="both"/>
        <w:rPr>
          <w:rFonts w:ascii="Times New Roman" w:hAnsi="Times New Roman" w:cs="Times New Roman"/>
          <w:noProof/>
          <w:lang w:val="de-DE"/>
        </w:rPr>
      </w:pPr>
    </w:p>
    <w:p w14:paraId="016DF8E5" w14:textId="77777777" w:rsidR="0057163C" w:rsidRPr="00170422" w:rsidRDefault="00F37BF9">
      <w:pPr>
        <w:pStyle w:val="P68B1DB1-Normal101"/>
        <w:spacing w:before="120" w:after="120"/>
        <w:jc w:val="both"/>
        <w:rPr>
          <w:noProof/>
          <w:lang w:val="de-DE"/>
        </w:rPr>
        <w:sectPr w:rsidR="0057163C" w:rsidRPr="00170422" w:rsidSect="005F11B9">
          <w:headerReference w:type="even" r:id="rId224"/>
          <w:headerReference w:type="default" r:id="rId225"/>
          <w:footerReference w:type="even" r:id="rId226"/>
          <w:footerReference w:type="default" r:id="rId227"/>
          <w:headerReference w:type="first" r:id="rId228"/>
          <w:footerReference w:type="first" r:id="rId229"/>
          <w:pgSz w:w="11907" w:h="16839"/>
          <w:pgMar w:top="1134" w:right="1134" w:bottom="1134" w:left="1134" w:header="567" w:footer="567" w:gutter="0"/>
          <w:cols w:space="720"/>
          <w:docGrid w:linePitch="360"/>
        </w:sectPr>
      </w:pPr>
      <w:r w:rsidRPr="00170422">
        <w:rPr>
          <w:noProof/>
          <w:lang w:val="de-DE"/>
        </w:rPr>
        <w:br w:type="page"/>
      </w:r>
    </w:p>
    <w:p w14:paraId="72F214B9"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L.4.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15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530"/>
        <w:gridCol w:w="1179"/>
        <w:gridCol w:w="1802"/>
        <w:gridCol w:w="1670"/>
        <w:gridCol w:w="1157"/>
        <w:gridCol w:w="1417"/>
        <w:gridCol w:w="851"/>
        <w:gridCol w:w="779"/>
        <w:gridCol w:w="689"/>
        <w:gridCol w:w="2982"/>
      </w:tblGrid>
      <w:tr w:rsidR="0057163C" w:rsidRPr="00170422" w14:paraId="213F423C" w14:textId="77777777" w:rsidTr="00D37F8B">
        <w:trPr>
          <w:trHeight w:val="701"/>
          <w:tblHeader/>
          <w:jc w:val="center"/>
        </w:trPr>
        <w:tc>
          <w:tcPr>
            <w:tcW w:w="1254" w:type="dxa"/>
            <w:vMerge w:val="restart"/>
            <w:shd w:val="clear" w:color="auto" w:fill="BDD7EE"/>
            <w:vAlign w:val="center"/>
            <w:hideMark/>
          </w:tcPr>
          <w:p w14:paraId="4C11EB81" w14:textId="77777777" w:rsidR="0057163C" w:rsidRPr="00170422" w:rsidRDefault="00F37BF9">
            <w:pPr>
              <w:pStyle w:val="P68B1DB1-Normal102"/>
              <w:jc w:val="center"/>
              <w:rPr>
                <w:bCs/>
                <w:noProof/>
                <w:szCs w:val="20"/>
                <w:lang w:val="de-DE"/>
              </w:rPr>
            </w:pPr>
            <w:r w:rsidRPr="00170422">
              <w:rPr>
                <w:noProof/>
                <w:lang w:val="de-DE"/>
              </w:rPr>
              <w:t>Laufende Nummer</w:t>
            </w:r>
          </w:p>
        </w:tc>
        <w:tc>
          <w:tcPr>
            <w:tcW w:w="1530" w:type="dxa"/>
            <w:vMerge w:val="restart"/>
            <w:shd w:val="clear" w:color="auto" w:fill="BDD7EE"/>
            <w:vAlign w:val="center"/>
            <w:hideMark/>
          </w:tcPr>
          <w:p w14:paraId="66848143" w14:textId="77777777" w:rsidR="0057163C" w:rsidRPr="00170422" w:rsidRDefault="00F37BF9">
            <w:pPr>
              <w:pStyle w:val="P68B1DB1-Normal102"/>
              <w:jc w:val="center"/>
              <w:rPr>
                <w:bCs/>
                <w:noProof/>
                <w:szCs w:val="20"/>
                <w:lang w:val="de-DE"/>
              </w:rPr>
            </w:pPr>
            <w:r w:rsidRPr="00170422">
              <w:rPr>
                <w:noProof/>
                <w:lang w:val="de-DE"/>
              </w:rPr>
              <w:t>Verbundene Maßnahme (Reform oder Investition)</w:t>
            </w:r>
          </w:p>
        </w:tc>
        <w:tc>
          <w:tcPr>
            <w:tcW w:w="1179" w:type="dxa"/>
            <w:vMerge w:val="restart"/>
            <w:shd w:val="clear" w:color="auto" w:fill="BDD7EE"/>
            <w:vAlign w:val="center"/>
            <w:hideMark/>
          </w:tcPr>
          <w:p w14:paraId="045FD989" w14:textId="77777777" w:rsidR="0057163C" w:rsidRPr="00170422" w:rsidRDefault="00F37BF9">
            <w:pPr>
              <w:pStyle w:val="P68B1DB1-Normal102"/>
              <w:jc w:val="center"/>
              <w:rPr>
                <w:bCs/>
                <w:noProof/>
                <w:szCs w:val="20"/>
                <w:lang w:val="de-DE"/>
              </w:rPr>
            </w:pPr>
            <w:r w:rsidRPr="00170422">
              <w:rPr>
                <w:noProof/>
                <w:lang w:val="de-DE"/>
              </w:rPr>
              <w:t>Etappenziel/Zielwert</w:t>
            </w:r>
          </w:p>
        </w:tc>
        <w:tc>
          <w:tcPr>
            <w:tcW w:w="1802" w:type="dxa"/>
            <w:vMerge w:val="restart"/>
            <w:shd w:val="clear" w:color="auto" w:fill="BDD7EE"/>
            <w:vAlign w:val="center"/>
            <w:hideMark/>
          </w:tcPr>
          <w:p w14:paraId="6C290959" w14:textId="77777777" w:rsidR="0057163C" w:rsidRPr="00170422" w:rsidRDefault="00F37BF9">
            <w:pPr>
              <w:pStyle w:val="P68B1DB1-Normal102"/>
              <w:jc w:val="center"/>
              <w:rPr>
                <w:bCs/>
                <w:noProof/>
                <w:szCs w:val="20"/>
                <w:lang w:val="de-DE"/>
              </w:rPr>
            </w:pPr>
            <w:r w:rsidRPr="00170422">
              <w:rPr>
                <w:noProof/>
                <w:lang w:val="de-DE"/>
              </w:rPr>
              <w:t>Namen</w:t>
            </w:r>
          </w:p>
        </w:tc>
        <w:tc>
          <w:tcPr>
            <w:tcW w:w="1670" w:type="dxa"/>
            <w:vMerge w:val="restart"/>
            <w:shd w:val="clear" w:color="auto" w:fill="BDD7EE"/>
            <w:vAlign w:val="center"/>
            <w:hideMark/>
          </w:tcPr>
          <w:p w14:paraId="7D589E74" w14:textId="76FA0AEF" w:rsidR="0057163C" w:rsidRPr="00170422" w:rsidRDefault="00F37BF9">
            <w:pPr>
              <w:jc w:val="center"/>
              <w:rPr>
                <w:rFonts w:ascii="Arial Narrow" w:hAnsi="Arial Narrow"/>
                <w:b/>
                <w:bCs/>
                <w:noProof/>
                <w:color w:val="000000"/>
                <w:sz w:val="20"/>
                <w:szCs w:val="20"/>
                <w:lang w:val="de-DE"/>
              </w:rPr>
            </w:pPr>
            <w:r w:rsidRPr="00170422">
              <w:rPr>
                <w:rFonts w:ascii="Arial Narrow" w:hAnsi="Arial Narrow"/>
                <w:b/>
                <w:noProof/>
                <w:color w:val="000000"/>
                <w:sz w:val="20"/>
                <w:lang w:val="de-DE"/>
              </w:rPr>
              <w:t>Etappenziel/</w:t>
            </w:r>
            <w:r w:rsidR="00D37F8B" w:rsidRPr="00170422">
              <w:rPr>
                <w:rFonts w:ascii="Arial Narrow" w:hAnsi="Arial Narrow"/>
                <w:b/>
                <w:noProof/>
                <w:color w:val="000000"/>
                <w:sz w:val="20"/>
                <w:lang w:val="de-DE"/>
              </w:rPr>
              <w:br/>
            </w:r>
            <w:r w:rsidRPr="00170422">
              <w:rPr>
                <w:rFonts w:ascii="Arial Narrow" w:hAnsi="Arial Narrow"/>
                <w:b/>
                <w:noProof/>
                <w:color w:val="000000"/>
                <w:sz w:val="20"/>
                <w:lang w:val="de-DE"/>
              </w:rPr>
              <w:t>Zielwert</w:t>
            </w:r>
            <w:r w:rsidRPr="00170422">
              <w:rPr>
                <w:noProof/>
                <w:lang w:val="de-DE"/>
              </w:rPr>
              <w:br/>
            </w:r>
            <w:r w:rsidRPr="00170422">
              <w:rPr>
                <w:rFonts w:ascii="Arial Narrow" w:hAnsi="Arial Narrow"/>
                <w:b/>
                <w:noProof/>
                <w:color w:val="000000"/>
                <w:sz w:val="20"/>
                <w:lang w:val="de-DE"/>
              </w:rPr>
              <w:t>(für Etappenziele)</w:t>
            </w:r>
          </w:p>
        </w:tc>
        <w:tc>
          <w:tcPr>
            <w:tcW w:w="3425" w:type="dxa"/>
            <w:gridSpan w:val="3"/>
            <w:shd w:val="clear" w:color="auto" w:fill="BDD7EE"/>
            <w:vAlign w:val="center"/>
            <w:hideMark/>
          </w:tcPr>
          <w:p w14:paraId="4BC3C38C" w14:textId="77777777" w:rsidR="0057163C" w:rsidRPr="00170422" w:rsidRDefault="00F37BF9">
            <w:pPr>
              <w:jc w:val="center"/>
              <w:rPr>
                <w:rFonts w:ascii="Arial Narrow" w:hAnsi="Arial Narrow"/>
                <w:b/>
                <w:bCs/>
                <w:noProof/>
                <w:color w:val="000000"/>
                <w:sz w:val="20"/>
                <w:szCs w:val="20"/>
                <w:lang w:val="de-DE"/>
              </w:rPr>
            </w:pPr>
            <w:r w:rsidRPr="00170422">
              <w:rPr>
                <w:rFonts w:ascii="Arial Narrow" w:hAnsi="Arial Narrow"/>
                <w:b/>
                <w:noProof/>
                <w:color w:val="000000"/>
                <w:sz w:val="20"/>
                <w:lang w:val="de-DE"/>
              </w:rPr>
              <w:t>Qualitative Indikatoren (für Etappenziele)</w:t>
            </w:r>
            <w:r w:rsidRPr="00170422">
              <w:rPr>
                <w:noProof/>
                <w:lang w:val="de-DE"/>
              </w:rPr>
              <w:br/>
            </w:r>
            <w:r w:rsidRPr="00170422">
              <w:rPr>
                <w:rFonts w:ascii="Arial Narrow" w:hAnsi="Arial Narrow"/>
                <w:b/>
                <w:noProof/>
                <w:color w:val="000000"/>
                <w:sz w:val="20"/>
                <w:lang w:val="de-DE"/>
              </w:rPr>
              <w:t>(für Ziele)</w:t>
            </w:r>
          </w:p>
        </w:tc>
        <w:tc>
          <w:tcPr>
            <w:tcW w:w="1468" w:type="dxa"/>
            <w:gridSpan w:val="2"/>
            <w:shd w:val="clear" w:color="auto" w:fill="BDD7EE"/>
            <w:vAlign w:val="center"/>
            <w:hideMark/>
          </w:tcPr>
          <w:p w14:paraId="3031B1FE" w14:textId="77777777" w:rsidR="0057163C" w:rsidRPr="00170422" w:rsidRDefault="00F37BF9">
            <w:pPr>
              <w:pStyle w:val="P68B1DB1-Normal102"/>
              <w:jc w:val="center"/>
              <w:rPr>
                <w:bCs/>
                <w:noProof/>
                <w:szCs w:val="20"/>
                <w:lang w:val="de-DE"/>
              </w:rPr>
            </w:pPr>
            <w:r w:rsidRPr="00170422">
              <w:rPr>
                <w:noProof/>
                <w:lang w:val="de-DE"/>
              </w:rPr>
              <w:t>Vorläufiger Zeitplan für die Fertigstellung</w:t>
            </w:r>
          </w:p>
        </w:tc>
        <w:tc>
          <w:tcPr>
            <w:tcW w:w="2982" w:type="dxa"/>
            <w:vMerge w:val="restart"/>
            <w:shd w:val="clear" w:color="auto" w:fill="BDD7EE"/>
            <w:vAlign w:val="center"/>
            <w:hideMark/>
          </w:tcPr>
          <w:p w14:paraId="7D8638D5" w14:textId="77777777" w:rsidR="0057163C" w:rsidRPr="00170422" w:rsidRDefault="00F37BF9">
            <w:pPr>
              <w:pStyle w:val="P68B1DB1-Normal102"/>
              <w:jc w:val="center"/>
              <w:rPr>
                <w:bCs/>
                <w:noProof/>
                <w:szCs w:val="20"/>
                <w:lang w:val="de-DE"/>
              </w:rPr>
            </w:pPr>
            <w:r w:rsidRPr="00170422">
              <w:rPr>
                <w:noProof/>
                <w:lang w:val="de-DE"/>
              </w:rPr>
              <w:t>Beschreibung der einzelnen Etappenziele und Zielvorgaben</w:t>
            </w:r>
          </w:p>
        </w:tc>
      </w:tr>
      <w:tr w:rsidR="0057163C" w:rsidRPr="00170422" w14:paraId="46A77538" w14:textId="77777777" w:rsidTr="00D37F8B">
        <w:trPr>
          <w:trHeight w:val="701"/>
          <w:tblHeader/>
          <w:jc w:val="center"/>
        </w:trPr>
        <w:tc>
          <w:tcPr>
            <w:tcW w:w="1254" w:type="dxa"/>
            <w:vMerge/>
            <w:vAlign w:val="center"/>
          </w:tcPr>
          <w:p w14:paraId="12DCBF35" w14:textId="77777777" w:rsidR="0057163C" w:rsidRPr="00170422" w:rsidRDefault="0057163C">
            <w:pPr>
              <w:rPr>
                <w:rFonts w:ascii="Arial Narrow" w:hAnsi="Arial Narrow"/>
                <w:b/>
                <w:bCs/>
                <w:noProof/>
                <w:color w:val="000000"/>
                <w:sz w:val="20"/>
                <w:szCs w:val="20"/>
                <w:lang w:val="de-DE"/>
              </w:rPr>
            </w:pPr>
          </w:p>
        </w:tc>
        <w:tc>
          <w:tcPr>
            <w:tcW w:w="1530" w:type="dxa"/>
            <w:vMerge/>
            <w:vAlign w:val="center"/>
          </w:tcPr>
          <w:p w14:paraId="39A00BB4" w14:textId="77777777" w:rsidR="0057163C" w:rsidRPr="00170422" w:rsidRDefault="0057163C">
            <w:pPr>
              <w:rPr>
                <w:rFonts w:ascii="Arial Narrow" w:hAnsi="Arial Narrow"/>
                <w:b/>
                <w:bCs/>
                <w:noProof/>
                <w:color w:val="000000"/>
                <w:sz w:val="20"/>
                <w:szCs w:val="20"/>
                <w:lang w:val="de-DE"/>
              </w:rPr>
            </w:pPr>
          </w:p>
        </w:tc>
        <w:tc>
          <w:tcPr>
            <w:tcW w:w="1179" w:type="dxa"/>
            <w:vMerge/>
            <w:vAlign w:val="center"/>
          </w:tcPr>
          <w:p w14:paraId="4BEDBBC0" w14:textId="77777777" w:rsidR="0057163C" w:rsidRPr="00170422" w:rsidRDefault="0057163C">
            <w:pPr>
              <w:rPr>
                <w:rFonts w:ascii="Arial Narrow" w:hAnsi="Arial Narrow"/>
                <w:b/>
                <w:bCs/>
                <w:noProof/>
                <w:color w:val="000000"/>
                <w:sz w:val="20"/>
                <w:szCs w:val="20"/>
                <w:lang w:val="de-DE"/>
              </w:rPr>
            </w:pPr>
          </w:p>
        </w:tc>
        <w:tc>
          <w:tcPr>
            <w:tcW w:w="1802" w:type="dxa"/>
            <w:vMerge/>
            <w:vAlign w:val="center"/>
          </w:tcPr>
          <w:p w14:paraId="7A4899E6" w14:textId="77777777" w:rsidR="0057163C" w:rsidRPr="00170422" w:rsidRDefault="0057163C">
            <w:pPr>
              <w:rPr>
                <w:rFonts w:ascii="Arial Narrow" w:hAnsi="Arial Narrow"/>
                <w:b/>
                <w:bCs/>
                <w:noProof/>
                <w:color w:val="000000"/>
                <w:sz w:val="20"/>
                <w:szCs w:val="20"/>
                <w:lang w:val="de-DE"/>
              </w:rPr>
            </w:pPr>
          </w:p>
        </w:tc>
        <w:tc>
          <w:tcPr>
            <w:tcW w:w="1670" w:type="dxa"/>
            <w:vMerge/>
            <w:vAlign w:val="center"/>
          </w:tcPr>
          <w:p w14:paraId="4E451500" w14:textId="77777777" w:rsidR="0057163C" w:rsidRPr="00170422" w:rsidRDefault="0057163C">
            <w:pPr>
              <w:jc w:val="center"/>
              <w:rPr>
                <w:rFonts w:ascii="Arial Narrow" w:hAnsi="Arial Narrow"/>
                <w:b/>
                <w:bCs/>
                <w:noProof/>
                <w:color w:val="000000"/>
                <w:sz w:val="20"/>
                <w:szCs w:val="20"/>
                <w:lang w:val="de-DE"/>
              </w:rPr>
            </w:pPr>
          </w:p>
        </w:tc>
        <w:tc>
          <w:tcPr>
            <w:tcW w:w="1157" w:type="dxa"/>
            <w:shd w:val="clear" w:color="auto" w:fill="BDD7EE"/>
            <w:vAlign w:val="center"/>
          </w:tcPr>
          <w:p w14:paraId="4B4371FF" w14:textId="77777777" w:rsidR="0057163C" w:rsidRPr="00170422" w:rsidRDefault="00F37BF9">
            <w:pPr>
              <w:pStyle w:val="P68B1DB1-Normal102"/>
              <w:jc w:val="center"/>
              <w:rPr>
                <w:bCs/>
                <w:noProof/>
                <w:szCs w:val="20"/>
                <w:lang w:val="de-DE"/>
              </w:rPr>
            </w:pPr>
            <w:r w:rsidRPr="00170422">
              <w:rPr>
                <w:noProof/>
                <w:lang w:val="de-DE"/>
              </w:rPr>
              <w:t>Maßeinheit</w:t>
            </w:r>
          </w:p>
        </w:tc>
        <w:tc>
          <w:tcPr>
            <w:tcW w:w="1417" w:type="dxa"/>
            <w:shd w:val="clear" w:color="auto" w:fill="BDD7EE"/>
            <w:vAlign w:val="center"/>
          </w:tcPr>
          <w:p w14:paraId="75792B09" w14:textId="77777777" w:rsidR="0057163C" w:rsidRPr="00170422" w:rsidRDefault="00F37BF9">
            <w:pPr>
              <w:pStyle w:val="P68B1DB1-Normal102"/>
              <w:jc w:val="center"/>
              <w:rPr>
                <w:bCs/>
                <w:noProof/>
                <w:szCs w:val="20"/>
                <w:lang w:val="de-DE"/>
              </w:rPr>
            </w:pPr>
            <w:r w:rsidRPr="00170422">
              <w:rPr>
                <w:noProof/>
                <w:lang w:val="de-DE"/>
              </w:rPr>
              <w:t>Ausgangslage</w:t>
            </w:r>
          </w:p>
        </w:tc>
        <w:tc>
          <w:tcPr>
            <w:tcW w:w="851" w:type="dxa"/>
            <w:shd w:val="clear" w:color="auto" w:fill="BDD7EE"/>
            <w:vAlign w:val="center"/>
          </w:tcPr>
          <w:p w14:paraId="4474EB96" w14:textId="77777777" w:rsidR="0057163C" w:rsidRPr="00170422" w:rsidRDefault="00F37BF9">
            <w:pPr>
              <w:pStyle w:val="P68B1DB1-Normal102"/>
              <w:jc w:val="center"/>
              <w:rPr>
                <w:bCs/>
                <w:noProof/>
                <w:szCs w:val="20"/>
                <w:lang w:val="de-DE"/>
              </w:rPr>
            </w:pPr>
            <w:r w:rsidRPr="00170422">
              <w:rPr>
                <w:noProof/>
                <w:lang w:val="de-DE"/>
              </w:rPr>
              <w:t>Ziel</w:t>
            </w:r>
          </w:p>
        </w:tc>
        <w:tc>
          <w:tcPr>
            <w:tcW w:w="779" w:type="dxa"/>
            <w:shd w:val="clear" w:color="auto" w:fill="BDD7EE"/>
            <w:vAlign w:val="center"/>
          </w:tcPr>
          <w:p w14:paraId="547EA1F2" w14:textId="77777777" w:rsidR="0057163C" w:rsidRPr="00170422" w:rsidRDefault="00F37BF9">
            <w:pPr>
              <w:pStyle w:val="P68B1DB1-Normal102"/>
              <w:jc w:val="center"/>
              <w:rPr>
                <w:bCs/>
                <w:noProof/>
                <w:szCs w:val="20"/>
                <w:lang w:val="de-DE"/>
              </w:rPr>
            </w:pPr>
            <w:r w:rsidRPr="00170422">
              <w:rPr>
                <w:noProof/>
                <w:lang w:val="de-DE"/>
              </w:rPr>
              <w:t>Viertel</w:t>
            </w:r>
          </w:p>
        </w:tc>
        <w:tc>
          <w:tcPr>
            <w:tcW w:w="689" w:type="dxa"/>
            <w:shd w:val="clear" w:color="auto" w:fill="BDD7EE"/>
            <w:vAlign w:val="center"/>
          </w:tcPr>
          <w:p w14:paraId="1917B38F" w14:textId="77777777" w:rsidR="0057163C" w:rsidRPr="00170422" w:rsidRDefault="00F37BF9">
            <w:pPr>
              <w:pStyle w:val="P68B1DB1-Normal102"/>
              <w:jc w:val="center"/>
              <w:rPr>
                <w:bCs/>
                <w:noProof/>
                <w:szCs w:val="20"/>
                <w:lang w:val="de-DE"/>
              </w:rPr>
            </w:pPr>
            <w:r w:rsidRPr="00170422">
              <w:rPr>
                <w:noProof/>
                <w:lang w:val="de-DE"/>
              </w:rPr>
              <w:t>Jahre</w:t>
            </w:r>
          </w:p>
        </w:tc>
        <w:tc>
          <w:tcPr>
            <w:tcW w:w="2982" w:type="dxa"/>
            <w:vMerge/>
            <w:vAlign w:val="center"/>
          </w:tcPr>
          <w:p w14:paraId="3D5024FB" w14:textId="77777777" w:rsidR="0057163C" w:rsidRPr="00170422" w:rsidRDefault="0057163C">
            <w:pPr>
              <w:rPr>
                <w:rFonts w:ascii="Arial Narrow" w:hAnsi="Arial Narrow"/>
                <w:b/>
                <w:bCs/>
                <w:noProof/>
                <w:color w:val="000000"/>
                <w:sz w:val="20"/>
                <w:szCs w:val="20"/>
                <w:lang w:val="de-DE"/>
              </w:rPr>
            </w:pPr>
          </w:p>
        </w:tc>
      </w:tr>
      <w:tr w:rsidR="0057163C" w:rsidRPr="00170422" w14:paraId="0D3A634E" w14:textId="77777777" w:rsidTr="00D37F8B">
        <w:trPr>
          <w:trHeight w:val="1965"/>
          <w:jc w:val="center"/>
        </w:trPr>
        <w:tc>
          <w:tcPr>
            <w:tcW w:w="1254" w:type="dxa"/>
            <w:shd w:val="clear" w:color="auto" w:fill="C6EFCE"/>
            <w:vAlign w:val="center"/>
            <w:hideMark/>
          </w:tcPr>
          <w:p w14:paraId="2148BC7D" w14:textId="77777777" w:rsidR="0057163C" w:rsidRPr="00170422" w:rsidRDefault="00F37BF9">
            <w:pPr>
              <w:pStyle w:val="P68B1DB1-Normal11"/>
              <w:jc w:val="center"/>
              <w:rPr>
                <w:noProof/>
                <w:szCs w:val="20"/>
                <w:lang w:val="de-DE"/>
              </w:rPr>
            </w:pPr>
            <w:r w:rsidRPr="00170422">
              <w:rPr>
                <w:noProof/>
                <w:lang w:val="de-DE"/>
              </w:rPr>
              <w:t>M5C1-17</w:t>
            </w:r>
          </w:p>
        </w:tc>
        <w:tc>
          <w:tcPr>
            <w:tcW w:w="1530" w:type="dxa"/>
            <w:shd w:val="clear" w:color="auto" w:fill="C6EFCE"/>
            <w:vAlign w:val="center"/>
            <w:hideMark/>
          </w:tcPr>
          <w:p w14:paraId="7E73C466" w14:textId="77777777" w:rsidR="0057163C" w:rsidRPr="00170422" w:rsidRDefault="00F37BF9">
            <w:pPr>
              <w:pStyle w:val="P68B1DB1-Normal11"/>
              <w:jc w:val="center"/>
              <w:rPr>
                <w:noProof/>
                <w:szCs w:val="20"/>
                <w:lang w:val="de-DE"/>
              </w:rPr>
            </w:pPr>
            <w:r w:rsidRPr="00170422">
              <w:rPr>
                <w:noProof/>
                <w:lang w:val="de-DE"/>
              </w:rPr>
              <w:t>Investition 5 Gründung von Frauenunternehmen</w:t>
            </w:r>
          </w:p>
        </w:tc>
        <w:tc>
          <w:tcPr>
            <w:tcW w:w="1179" w:type="dxa"/>
            <w:shd w:val="clear" w:color="auto" w:fill="C6EFCE"/>
            <w:vAlign w:val="center"/>
            <w:hideMark/>
          </w:tcPr>
          <w:p w14:paraId="3A4277B7" w14:textId="77777777" w:rsidR="0057163C" w:rsidRPr="00170422" w:rsidRDefault="00F37BF9">
            <w:pPr>
              <w:pStyle w:val="P68B1DB1-Normal11"/>
              <w:jc w:val="center"/>
              <w:rPr>
                <w:noProof/>
                <w:szCs w:val="20"/>
                <w:lang w:val="de-DE"/>
              </w:rPr>
            </w:pPr>
            <w:r w:rsidRPr="00170422">
              <w:rPr>
                <w:noProof/>
                <w:lang w:val="de-DE"/>
              </w:rPr>
              <w:t>Meilenstein</w:t>
            </w:r>
          </w:p>
        </w:tc>
        <w:tc>
          <w:tcPr>
            <w:tcW w:w="1802" w:type="dxa"/>
            <w:shd w:val="clear" w:color="auto" w:fill="C6EFCE"/>
            <w:vAlign w:val="center"/>
            <w:hideMark/>
          </w:tcPr>
          <w:p w14:paraId="22F7684C" w14:textId="77777777" w:rsidR="0057163C" w:rsidRPr="00170422" w:rsidRDefault="00F37BF9">
            <w:pPr>
              <w:pStyle w:val="P68B1DB1-Normal11"/>
              <w:jc w:val="center"/>
              <w:rPr>
                <w:noProof/>
                <w:szCs w:val="20"/>
                <w:lang w:val="de-DE"/>
              </w:rPr>
            </w:pPr>
            <w:r w:rsidRPr="00170422">
              <w:rPr>
                <w:noProof/>
                <w:lang w:val="de-DE"/>
              </w:rPr>
              <w:t>Der Fonds zur Förderung des Unternehmertums von Frauen wird angenommen.</w:t>
            </w:r>
          </w:p>
        </w:tc>
        <w:tc>
          <w:tcPr>
            <w:tcW w:w="1670" w:type="dxa"/>
            <w:shd w:val="clear" w:color="auto" w:fill="C6EFCE"/>
            <w:vAlign w:val="center"/>
            <w:hideMark/>
          </w:tcPr>
          <w:p w14:paraId="0868E3A9" w14:textId="77777777" w:rsidR="0057163C" w:rsidRPr="00170422" w:rsidRDefault="00F37BF9">
            <w:pPr>
              <w:pStyle w:val="P68B1DB1-Normal11"/>
              <w:jc w:val="center"/>
              <w:rPr>
                <w:noProof/>
                <w:szCs w:val="20"/>
                <w:lang w:val="de-DE"/>
              </w:rPr>
            </w:pPr>
            <w:r w:rsidRPr="00170422">
              <w:rPr>
                <w:noProof/>
                <w:lang w:val="de-DE"/>
              </w:rPr>
              <w:t>Ministerialerlass zur Einrichtung des „Fondo Impresa Donna“ wird genehmigt.</w:t>
            </w:r>
          </w:p>
        </w:tc>
        <w:tc>
          <w:tcPr>
            <w:tcW w:w="1157" w:type="dxa"/>
            <w:shd w:val="clear" w:color="auto" w:fill="C6EFCE"/>
            <w:vAlign w:val="center"/>
            <w:hideMark/>
          </w:tcPr>
          <w:p w14:paraId="3AF278C7"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vAlign w:val="center"/>
            <w:hideMark/>
          </w:tcPr>
          <w:p w14:paraId="03102E7B"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hideMark/>
          </w:tcPr>
          <w:p w14:paraId="1ED3E367" w14:textId="77777777" w:rsidR="0057163C" w:rsidRPr="00170422" w:rsidRDefault="00F37BF9">
            <w:pPr>
              <w:pStyle w:val="P68B1DB1-Normal11"/>
              <w:jc w:val="center"/>
              <w:rPr>
                <w:noProof/>
                <w:szCs w:val="20"/>
                <w:lang w:val="de-DE"/>
              </w:rPr>
            </w:pPr>
            <w:r w:rsidRPr="00170422">
              <w:rPr>
                <w:noProof/>
                <w:lang w:val="de-DE"/>
              </w:rPr>
              <w:t>ENTFÄLLT.</w:t>
            </w:r>
          </w:p>
        </w:tc>
        <w:tc>
          <w:tcPr>
            <w:tcW w:w="779" w:type="dxa"/>
            <w:shd w:val="clear" w:color="auto" w:fill="C6EFCE"/>
            <w:vAlign w:val="center"/>
            <w:hideMark/>
          </w:tcPr>
          <w:p w14:paraId="41C79B2C" w14:textId="77777777" w:rsidR="0057163C" w:rsidRPr="00170422" w:rsidRDefault="00F37BF9">
            <w:pPr>
              <w:pStyle w:val="P68B1DB1-Normal11"/>
              <w:jc w:val="center"/>
              <w:rPr>
                <w:noProof/>
                <w:szCs w:val="20"/>
                <w:lang w:val="de-DE"/>
              </w:rPr>
            </w:pPr>
            <w:r w:rsidRPr="00170422">
              <w:rPr>
                <w:noProof/>
                <w:lang w:val="de-DE"/>
              </w:rPr>
              <w:t>Q3</w:t>
            </w:r>
          </w:p>
        </w:tc>
        <w:tc>
          <w:tcPr>
            <w:tcW w:w="689" w:type="dxa"/>
            <w:shd w:val="clear" w:color="auto" w:fill="C6EFCE"/>
            <w:vAlign w:val="center"/>
            <w:hideMark/>
          </w:tcPr>
          <w:p w14:paraId="2198ACAB" w14:textId="77777777" w:rsidR="0057163C" w:rsidRPr="00170422" w:rsidRDefault="00F37BF9">
            <w:pPr>
              <w:pStyle w:val="P68B1DB1-Normal11"/>
              <w:jc w:val="center"/>
              <w:rPr>
                <w:noProof/>
                <w:szCs w:val="20"/>
                <w:lang w:val="de-DE"/>
              </w:rPr>
            </w:pPr>
            <w:r w:rsidRPr="00170422">
              <w:rPr>
                <w:noProof/>
                <w:lang w:val="de-DE"/>
              </w:rPr>
              <w:t>2021</w:t>
            </w:r>
          </w:p>
        </w:tc>
        <w:tc>
          <w:tcPr>
            <w:tcW w:w="2982" w:type="dxa"/>
            <w:shd w:val="clear" w:color="auto" w:fill="C6EFCE"/>
            <w:vAlign w:val="center"/>
            <w:hideMark/>
          </w:tcPr>
          <w:p w14:paraId="7924F31C" w14:textId="77777777" w:rsidR="0057163C" w:rsidRPr="00170422" w:rsidRDefault="00F37BF9">
            <w:pPr>
              <w:pStyle w:val="P68B1DB1-Normal11"/>
              <w:rPr>
                <w:noProof/>
                <w:sz w:val="16"/>
                <w:szCs w:val="16"/>
                <w:lang w:val="de-DE"/>
              </w:rPr>
            </w:pPr>
            <w:r w:rsidRPr="00170422">
              <w:rPr>
                <w:noProof/>
                <w:lang w:val="de-DE"/>
              </w:rPr>
              <w:t>Der Fonds zur Förderung des Unternehmertums von Frauen wird durch Ministerialerlass angenommen, in dem eine Reihe von Förderkriterien im Einklang mit den Zielen der Aufbau- und Resilienzfazilität festgelegt werden, einschließlich des Grun</w:t>
            </w:r>
            <w:r w:rsidRPr="00170422">
              <w:rPr>
                <w:noProof/>
                <w:lang w:val="de-DE"/>
              </w:rPr>
              <w:t>dsatzes der Vermeidung erheblicher Beeinträchtigungen und der Unterzeichnung der Finanzierungsvereinbarung und der operativen Vereinbarungen mit dem/den Finanzmittler(n).</w:t>
            </w:r>
          </w:p>
          <w:p w14:paraId="198F74F5" w14:textId="77777777" w:rsidR="0057163C" w:rsidRPr="00170422" w:rsidRDefault="00F37BF9">
            <w:pPr>
              <w:pStyle w:val="P68B1DB1-Normal11"/>
              <w:spacing w:after="0" w:line="240" w:lineRule="auto"/>
              <w:rPr>
                <w:noProof/>
                <w:lang w:val="de-DE"/>
              </w:rPr>
            </w:pPr>
            <w:r w:rsidRPr="00170422">
              <w:rPr>
                <w:noProof/>
                <w:lang w:val="de-DE"/>
              </w:rPr>
              <w:t>Diese Fonds bilden die „Fondo Impresa Donna“, die die spezifische Maßnahme zur Unters</w:t>
            </w:r>
            <w:r w:rsidRPr="00170422">
              <w:rPr>
                <w:noProof/>
                <w:lang w:val="de-DE"/>
              </w:rPr>
              <w:t>tützung des weiblichen Unternehmertums durchführt. Das Ministerium für wirtschaftliche Entwicklung und die PCM-Abteilung für Chancengleichheit vereinbaren Durchführungsmaßnahmen, die auf Folgendes abzielen:</w:t>
            </w:r>
          </w:p>
          <w:p w14:paraId="21051094" w14:textId="77777777" w:rsidR="0057163C" w:rsidRPr="00170422" w:rsidRDefault="0057163C">
            <w:pPr>
              <w:spacing w:after="0" w:line="240" w:lineRule="auto"/>
              <w:rPr>
                <w:rFonts w:ascii="Arial Narrow" w:hAnsi="Arial Narrow"/>
                <w:noProof/>
                <w:color w:val="006100"/>
                <w:sz w:val="16"/>
                <w:szCs w:val="16"/>
                <w:lang w:val="de-DE"/>
              </w:rPr>
            </w:pPr>
          </w:p>
          <w:p w14:paraId="2F86912E" w14:textId="77777777" w:rsidR="0057163C" w:rsidRPr="00170422" w:rsidRDefault="00F37BF9">
            <w:pPr>
              <w:pStyle w:val="P68B1DB1-Normal11"/>
              <w:spacing w:after="0" w:line="240" w:lineRule="auto"/>
              <w:rPr>
                <w:noProof/>
                <w:lang w:val="de-DE"/>
              </w:rPr>
            </w:pPr>
            <w:r w:rsidRPr="00170422">
              <w:rPr>
                <w:noProof/>
                <w:lang w:val="de-DE"/>
              </w:rPr>
              <w:t>— Stärkung der bestehenden Maßnahmen, die bereit</w:t>
            </w:r>
            <w:r w:rsidRPr="00170422">
              <w:rPr>
                <w:noProof/>
                <w:lang w:val="de-DE"/>
              </w:rPr>
              <w:t>s von internen Stellen des Ministeriums für wirtschaftliche Entwicklung (wie NITO-ON, Smart &amp; Start) verwaltet werden, durch eine Kapitalzuführung, die nur Frauenunternehmen vorbehalten ist;</w:t>
            </w:r>
          </w:p>
          <w:p w14:paraId="417DC054" w14:textId="77777777" w:rsidR="0057163C" w:rsidRPr="00170422" w:rsidRDefault="0057163C">
            <w:pPr>
              <w:spacing w:after="0" w:line="240" w:lineRule="auto"/>
              <w:rPr>
                <w:rFonts w:ascii="Arial Narrow" w:hAnsi="Arial Narrow"/>
                <w:noProof/>
                <w:color w:val="006100"/>
                <w:sz w:val="16"/>
                <w:szCs w:val="16"/>
                <w:lang w:val="de-DE"/>
              </w:rPr>
            </w:pPr>
          </w:p>
          <w:p w14:paraId="587C51B3" w14:textId="2D4B061E" w:rsidR="0057163C" w:rsidRPr="00170422" w:rsidRDefault="00F37BF9">
            <w:pPr>
              <w:pStyle w:val="P68B1DB1-Normal11"/>
              <w:spacing w:after="0"/>
              <w:rPr>
                <w:noProof/>
                <w:sz w:val="16"/>
                <w:szCs w:val="16"/>
                <w:lang w:val="de-DE"/>
              </w:rPr>
            </w:pPr>
            <w:r w:rsidRPr="00170422">
              <w:rPr>
                <w:noProof/>
                <w:lang w:val="de-DE"/>
              </w:rPr>
              <w:t xml:space="preserve">— Aufstockung des durch das Haushaltsgesetz 2021 eingerichteten </w:t>
            </w:r>
            <w:r w:rsidRPr="00170422">
              <w:rPr>
                <w:noProof/>
                <w:lang w:val="de-DE"/>
              </w:rPr>
              <w:t>Fonds für weibliches Unternehmertum (ab dem 3. Quartal 2022);</w:t>
            </w:r>
          </w:p>
          <w:p w14:paraId="34571E83" w14:textId="77777777" w:rsidR="0057163C" w:rsidRPr="00170422" w:rsidRDefault="00F37BF9">
            <w:pPr>
              <w:pStyle w:val="P68B1DB1-Normal11"/>
              <w:rPr>
                <w:noProof/>
                <w:szCs w:val="20"/>
                <w:lang w:val="de-DE"/>
              </w:rPr>
            </w:pPr>
            <w:r w:rsidRPr="00170422">
              <w:rPr>
                <w:noProof/>
                <w:lang w:val="de-DE"/>
              </w:rPr>
              <w:t>— Konzipierung von flankierenden Maßnahmen, Überwachungs- und Kommunikationskampagnen. Das PCM-Department for Chancengleichheit führt eine mehrjährige Informationskampagne durch, um das Unterneh</w:t>
            </w:r>
            <w:r w:rsidRPr="00170422">
              <w:rPr>
                <w:noProof/>
                <w:lang w:val="de-DE"/>
              </w:rPr>
              <w:t>mertum von Frauen zu fördern, Berufsberatungsmaßnahmen für Frauen jeden Alters und Studierende an Universitäten zu Fächern und Berufen, in denen Frauen unterrepräsentiert sind, durchzuführen und eine Kommunikationsplattform einzurichten.</w:t>
            </w:r>
          </w:p>
        </w:tc>
      </w:tr>
      <w:tr w:rsidR="0057163C" w:rsidRPr="00170422" w14:paraId="79E9B2E6" w14:textId="77777777" w:rsidTr="00D37F8B">
        <w:trPr>
          <w:trHeight w:val="561"/>
          <w:jc w:val="center"/>
        </w:trPr>
        <w:tc>
          <w:tcPr>
            <w:tcW w:w="1254" w:type="dxa"/>
            <w:shd w:val="clear" w:color="auto" w:fill="C6EFCE"/>
            <w:vAlign w:val="center"/>
            <w:hideMark/>
          </w:tcPr>
          <w:p w14:paraId="14006767" w14:textId="77777777" w:rsidR="0057163C" w:rsidRPr="00170422" w:rsidRDefault="00F37BF9">
            <w:pPr>
              <w:pStyle w:val="P68B1DB1-Normal11"/>
              <w:jc w:val="center"/>
              <w:rPr>
                <w:noProof/>
                <w:szCs w:val="20"/>
                <w:lang w:val="de-DE"/>
              </w:rPr>
            </w:pPr>
            <w:r w:rsidRPr="00170422">
              <w:rPr>
                <w:noProof/>
                <w:lang w:val="de-DE"/>
              </w:rPr>
              <w:t>M5C1-18</w:t>
            </w:r>
          </w:p>
        </w:tc>
        <w:tc>
          <w:tcPr>
            <w:tcW w:w="1530" w:type="dxa"/>
            <w:shd w:val="clear" w:color="auto" w:fill="C6EFCE"/>
            <w:vAlign w:val="center"/>
            <w:hideMark/>
          </w:tcPr>
          <w:p w14:paraId="6E8B9981" w14:textId="77777777" w:rsidR="0057163C" w:rsidRPr="00170422" w:rsidRDefault="00F37BF9">
            <w:pPr>
              <w:pStyle w:val="P68B1DB1-Normal11"/>
              <w:jc w:val="center"/>
              <w:rPr>
                <w:noProof/>
                <w:szCs w:val="20"/>
                <w:lang w:val="de-DE"/>
              </w:rPr>
            </w:pPr>
            <w:r w:rsidRPr="00170422">
              <w:rPr>
                <w:noProof/>
                <w:lang w:val="de-DE"/>
              </w:rPr>
              <w:t>Investition 5 Gründung von Frauenunternehmen</w:t>
            </w:r>
          </w:p>
        </w:tc>
        <w:tc>
          <w:tcPr>
            <w:tcW w:w="1179" w:type="dxa"/>
            <w:shd w:val="clear" w:color="auto" w:fill="C6EFCE"/>
            <w:vAlign w:val="center"/>
            <w:hideMark/>
          </w:tcPr>
          <w:p w14:paraId="7C8CE7D0" w14:textId="77777777" w:rsidR="0057163C" w:rsidRPr="00170422" w:rsidRDefault="00F37BF9">
            <w:pPr>
              <w:pStyle w:val="P68B1DB1-Normal11"/>
              <w:jc w:val="center"/>
              <w:rPr>
                <w:noProof/>
                <w:szCs w:val="20"/>
                <w:lang w:val="de-DE"/>
              </w:rPr>
            </w:pPr>
            <w:r w:rsidRPr="00170422">
              <w:rPr>
                <w:noProof/>
                <w:lang w:val="de-DE"/>
              </w:rPr>
              <w:t>Ziel</w:t>
            </w:r>
          </w:p>
        </w:tc>
        <w:tc>
          <w:tcPr>
            <w:tcW w:w="1802" w:type="dxa"/>
            <w:shd w:val="clear" w:color="auto" w:fill="C6EFCE"/>
            <w:vAlign w:val="center"/>
            <w:hideMark/>
          </w:tcPr>
          <w:p w14:paraId="44A623CD" w14:textId="77777777" w:rsidR="0057163C" w:rsidRPr="00170422" w:rsidRDefault="00F37BF9">
            <w:pPr>
              <w:pStyle w:val="P68B1DB1-Normal11"/>
              <w:jc w:val="center"/>
              <w:rPr>
                <w:noProof/>
                <w:szCs w:val="20"/>
                <w:lang w:val="de-DE"/>
              </w:rPr>
            </w:pPr>
            <w:r w:rsidRPr="00170422">
              <w:rPr>
                <w:noProof/>
                <w:lang w:val="de-DE"/>
              </w:rPr>
              <w:t xml:space="preserve"> Finanzielle Unterstützung für Unternehmen wurde zugesagt </w:t>
            </w:r>
          </w:p>
        </w:tc>
        <w:tc>
          <w:tcPr>
            <w:tcW w:w="1670" w:type="dxa"/>
            <w:shd w:val="clear" w:color="auto" w:fill="C6EFCE"/>
            <w:vAlign w:val="center"/>
            <w:hideMark/>
          </w:tcPr>
          <w:p w14:paraId="34B85873" w14:textId="77777777" w:rsidR="0057163C" w:rsidRPr="00170422" w:rsidRDefault="00F37BF9">
            <w:pPr>
              <w:pStyle w:val="P68B1DB1-Normal11"/>
              <w:jc w:val="center"/>
              <w:rPr>
                <w:noProof/>
                <w:szCs w:val="20"/>
                <w:lang w:val="de-DE"/>
              </w:rPr>
            </w:pPr>
            <w:r w:rsidRPr="00170422">
              <w:rPr>
                <w:noProof/>
                <w:lang w:val="de-DE"/>
              </w:rPr>
              <w:t>ENTFÄLLT.</w:t>
            </w:r>
          </w:p>
        </w:tc>
        <w:tc>
          <w:tcPr>
            <w:tcW w:w="1157" w:type="dxa"/>
            <w:shd w:val="clear" w:color="auto" w:fill="C6EFCE"/>
            <w:vAlign w:val="center"/>
            <w:hideMark/>
          </w:tcPr>
          <w:p w14:paraId="1F25F99D" w14:textId="77777777" w:rsidR="0057163C" w:rsidRPr="00170422" w:rsidRDefault="00F37BF9">
            <w:pPr>
              <w:pStyle w:val="P68B1DB1-Normal11"/>
              <w:jc w:val="center"/>
              <w:rPr>
                <w:noProof/>
                <w:szCs w:val="20"/>
                <w:lang w:val="de-DE"/>
              </w:rPr>
            </w:pPr>
            <w:r w:rsidRPr="00170422">
              <w:rPr>
                <w:noProof/>
                <w:lang w:val="de-DE"/>
              </w:rPr>
              <w:t>Anzahl</w:t>
            </w:r>
          </w:p>
        </w:tc>
        <w:tc>
          <w:tcPr>
            <w:tcW w:w="1417" w:type="dxa"/>
            <w:shd w:val="clear" w:color="auto" w:fill="C6EFCE"/>
            <w:vAlign w:val="center"/>
            <w:hideMark/>
          </w:tcPr>
          <w:p w14:paraId="0EE5BA9B" w14:textId="77777777" w:rsidR="0057163C" w:rsidRPr="00170422" w:rsidRDefault="00F37BF9">
            <w:pPr>
              <w:pStyle w:val="P68B1DB1-Normal11"/>
              <w:jc w:val="center"/>
              <w:rPr>
                <w:noProof/>
                <w:szCs w:val="20"/>
                <w:lang w:val="de-DE"/>
              </w:rPr>
            </w:pPr>
            <w:r w:rsidRPr="00170422">
              <w:rPr>
                <w:noProof/>
                <w:lang w:val="de-DE"/>
              </w:rPr>
              <w:t>0</w:t>
            </w:r>
          </w:p>
        </w:tc>
        <w:tc>
          <w:tcPr>
            <w:tcW w:w="851" w:type="dxa"/>
            <w:shd w:val="clear" w:color="auto" w:fill="C6EFCE"/>
            <w:vAlign w:val="center"/>
            <w:hideMark/>
          </w:tcPr>
          <w:p w14:paraId="1E347320" w14:textId="77777777" w:rsidR="0057163C" w:rsidRPr="00170422" w:rsidRDefault="00F37BF9">
            <w:pPr>
              <w:pStyle w:val="P68B1DB1-Normal11"/>
              <w:jc w:val="center"/>
              <w:rPr>
                <w:noProof/>
                <w:szCs w:val="20"/>
                <w:lang w:val="de-DE"/>
              </w:rPr>
            </w:pPr>
            <w:r w:rsidRPr="00170422">
              <w:rPr>
                <w:noProof/>
                <w:lang w:val="de-DE"/>
              </w:rPr>
              <w:t>700</w:t>
            </w:r>
          </w:p>
        </w:tc>
        <w:tc>
          <w:tcPr>
            <w:tcW w:w="779" w:type="dxa"/>
            <w:shd w:val="clear" w:color="auto" w:fill="C6EFCE"/>
            <w:vAlign w:val="center"/>
            <w:hideMark/>
          </w:tcPr>
          <w:p w14:paraId="5D31498C" w14:textId="77777777" w:rsidR="0057163C" w:rsidRPr="00170422" w:rsidRDefault="00F37BF9">
            <w:pPr>
              <w:pStyle w:val="P68B1DB1-Normal11"/>
              <w:jc w:val="center"/>
              <w:rPr>
                <w:noProof/>
                <w:szCs w:val="20"/>
                <w:lang w:val="de-DE"/>
              </w:rPr>
            </w:pPr>
            <w:r w:rsidRPr="00170422">
              <w:rPr>
                <w:noProof/>
                <w:lang w:val="de-DE"/>
              </w:rPr>
              <w:t>Q2</w:t>
            </w:r>
          </w:p>
        </w:tc>
        <w:tc>
          <w:tcPr>
            <w:tcW w:w="689" w:type="dxa"/>
            <w:shd w:val="clear" w:color="auto" w:fill="C6EFCE"/>
            <w:vAlign w:val="center"/>
            <w:hideMark/>
          </w:tcPr>
          <w:p w14:paraId="46DF5F2B" w14:textId="77777777" w:rsidR="0057163C" w:rsidRPr="00170422" w:rsidRDefault="00F37BF9">
            <w:pPr>
              <w:pStyle w:val="P68B1DB1-Normal11"/>
              <w:jc w:val="center"/>
              <w:rPr>
                <w:noProof/>
                <w:szCs w:val="20"/>
                <w:lang w:val="de-DE"/>
              </w:rPr>
            </w:pPr>
            <w:r w:rsidRPr="00170422">
              <w:rPr>
                <w:noProof/>
                <w:lang w:val="de-DE"/>
              </w:rPr>
              <w:t>2023</w:t>
            </w:r>
          </w:p>
        </w:tc>
        <w:tc>
          <w:tcPr>
            <w:tcW w:w="2982" w:type="dxa"/>
            <w:shd w:val="clear" w:color="auto" w:fill="C6EFCE"/>
            <w:vAlign w:val="center"/>
            <w:hideMark/>
          </w:tcPr>
          <w:p w14:paraId="0252D043" w14:textId="77777777" w:rsidR="0057163C" w:rsidRPr="00170422" w:rsidRDefault="00F37BF9">
            <w:pPr>
              <w:pStyle w:val="P68B1DB1-Normal11"/>
              <w:rPr>
                <w:noProof/>
                <w:szCs w:val="20"/>
                <w:lang w:val="de-DE"/>
              </w:rPr>
            </w:pPr>
            <w:r w:rsidRPr="00170422">
              <w:rPr>
                <w:noProof/>
                <w:lang w:val="de-DE"/>
              </w:rPr>
              <w:t xml:space="preserve">Im Vergleich zum Basisszenario wurde mindestens 700 weiteren Unternehmen finanzielle Unterstützung zugesagt. </w:t>
            </w:r>
          </w:p>
          <w:p w14:paraId="3E0C5370" w14:textId="77777777" w:rsidR="0057163C" w:rsidRPr="00170422" w:rsidRDefault="00F37BF9">
            <w:pPr>
              <w:pStyle w:val="P68B1DB1-Normal11"/>
              <w:rPr>
                <w:noProof/>
                <w:szCs w:val="20"/>
                <w:lang w:val="de-DE"/>
              </w:rPr>
            </w:pPr>
            <w:r w:rsidRPr="00170422">
              <w:rPr>
                <w:noProof/>
                <w:lang w:val="de-DE"/>
              </w:rPr>
              <w:t xml:space="preserve">Die </w:t>
            </w:r>
            <w:r w:rsidRPr="00170422">
              <w:rPr>
                <w:noProof/>
                <w:lang w:val="de-DE"/>
              </w:rPr>
              <w:t>Umsetzung der Unterstützung für weibliches Unternehmertum erfolgt durch bereits aktive Instrumente (NITO-ON, Smart &amp; Start) und den neuen Fonds, der durch das Haushaltsgesetz für 2021 eingerichtet wurde (Frauenunternehmen, die bis November 2020 durch beste</w:t>
            </w:r>
            <w:r w:rsidRPr="00170422">
              <w:rPr>
                <w:noProof/>
                <w:lang w:val="de-DE"/>
              </w:rPr>
              <w:t>hende Finanzierungsinstrumente als Ausgangsbasis unterstützt werden).</w:t>
            </w:r>
          </w:p>
        </w:tc>
      </w:tr>
      <w:tr w:rsidR="0057163C" w:rsidRPr="00170422" w14:paraId="6BFA605C" w14:textId="77777777" w:rsidTr="00D37F8B">
        <w:trPr>
          <w:trHeight w:val="703"/>
          <w:jc w:val="center"/>
        </w:trPr>
        <w:tc>
          <w:tcPr>
            <w:tcW w:w="1254" w:type="dxa"/>
            <w:shd w:val="clear" w:color="auto" w:fill="C6EFCE"/>
            <w:vAlign w:val="center"/>
            <w:hideMark/>
          </w:tcPr>
          <w:p w14:paraId="15810FC7" w14:textId="77777777" w:rsidR="0057163C" w:rsidRPr="00170422" w:rsidRDefault="00F37BF9">
            <w:pPr>
              <w:pStyle w:val="P68B1DB1-Normal12"/>
              <w:jc w:val="center"/>
              <w:rPr>
                <w:noProof/>
                <w:lang w:val="de-DE"/>
              </w:rPr>
            </w:pPr>
            <w:r w:rsidRPr="00170422">
              <w:rPr>
                <w:noProof/>
                <w:lang w:val="de-DE"/>
              </w:rPr>
              <w:t>M5C1-19bis</w:t>
            </w:r>
          </w:p>
        </w:tc>
        <w:tc>
          <w:tcPr>
            <w:tcW w:w="1530" w:type="dxa"/>
            <w:shd w:val="clear" w:color="auto" w:fill="C6EFCE"/>
            <w:vAlign w:val="center"/>
            <w:hideMark/>
          </w:tcPr>
          <w:p w14:paraId="13470044" w14:textId="77777777" w:rsidR="0057163C" w:rsidRPr="00170422" w:rsidRDefault="00F37BF9">
            <w:pPr>
              <w:pStyle w:val="P68B1DB1-Normal11"/>
              <w:jc w:val="center"/>
              <w:rPr>
                <w:noProof/>
                <w:szCs w:val="20"/>
                <w:lang w:val="de-DE"/>
              </w:rPr>
            </w:pPr>
            <w:r w:rsidRPr="00170422">
              <w:rPr>
                <w:noProof/>
                <w:lang w:val="de-DE"/>
              </w:rPr>
              <w:t>Investition 5 Gründung von Frauenunternehmen</w:t>
            </w:r>
          </w:p>
        </w:tc>
        <w:tc>
          <w:tcPr>
            <w:tcW w:w="1179" w:type="dxa"/>
            <w:shd w:val="clear" w:color="auto" w:fill="C6EFCE"/>
            <w:vAlign w:val="center"/>
            <w:hideMark/>
          </w:tcPr>
          <w:p w14:paraId="25E1E24F" w14:textId="77777777" w:rsidR="0057163C" w:rsidRPr="00170422" w:rsidRDefault="00F37BF9">
            <w:pPr>
              <w:pStyle w:val="P68B1DB1-Normal11"/>
              <w:jc w:val="center"/>
              <w:rPr>
                <w:noProof/>
                <w:szCs w:val="20"/>
                <w:lang w:val="de-DE"/>
              </w:rPr>
            </w:pPr>
            <w:r w:rsidRPr="00170422">
              <w:rPr>
                <w:noProof/>
                <w:lang w:val="de-DE"/>
              </w:rPr>
              <w:t>Meilenstein</w:t>
            </w:r>
          </w:p>
        </w:tc>
        <w:tc>
          <w:tcPr>
            <w:tcW w:w="1802" w:type="dxa"/>
            <w:shd w:val="clear" w:color="auto" w:fill="C6EFCE"/>
            <w:vAlign w:val="center"/>
            <w:hideMark/>
          </w:tcPr>
          <w:p w14:paraId="65B3AD9D" w14:textId="77777777" w:rsidR="0057163C" w:rsidRPr="00170422" w:rsidRDefault="00F37BF9">
            <w:pPr>
              <w:pStyle w:val="P68B1DB1-Normal11"/>
              <w:jc w:val="center"/>
              <w:rPr>
                <w:noProof/>
                <w:szCs w:val="20"/>
                <w:lang w:val="de-DE"/>
              </w:rPr>
            </w:pPr>
            <w:r w:rsidRPr="00170422">
              <w:rPr>
                <w:noProof/>
                <w:lang w:val="de-DE"/>
              </w:rPr>
              <w:t>Durchführungsvereinbarung und Übertragung an Invitalia</w:t>
            </w:r>
          </w:p>
        </w:tc>
        <w:tc>
          <w:tcPr>
            <w:tcW w:w="1670" w:type="dxa"/>
            <w:shd w:val="clear" w:color="auto" w:fill="C6EFCE"/>
            <w:vAlign w:val="center"/>
            <w:hideMark/>
          </w:tcPr>
          <w:p w14:paraId="391853BA" w14:textId="77777777" w:rsidR="0057163C" w:rsidRPr="00170422" w:rsidRDefault="00F37BF9">
            <w:pPr>
              <w:jc w:val="center"/>
              <w:rPr>
                <w:rFonts w:ascii="Arial Narrow" w:hAnsi="Arial Narrow"/>
                <w:noProof/>
                <w:color w:val="006100"/>
                <w:sz w:val="20"/>
                <w:szCs w:val="20"/>
                <w:lang w:val="de-DE"/>
              </w:rPr>
            </w:pPr>
            <w:r w:rsidRPr="00170422">
              <w:rPr>
                <w:rFonts w:ascii="Times New Roman" w:eastAsia="Times New Roman" w:hAnsi="Times New Roman" w:cs="Times New Roman"/>
                <w:noProof/>
                <w:sz w:val="18"/>
                <w:szCs w:val="18"/>
                <w:lang w:val="de-DE"/>
              </w:rPr>
              <w:t xml:space="preserve"> </w:t>
            </w:r>
            <w:r w:rsidRPr="00170422">
              <w:rPr>
                <w:rFonts w:ascii="Arial Narrow" w:hAnsi="Arial Narrow"/>
                <w:noProof/>
                <w:color w:val="006100"/>
                <w:sz w:val="20"/>
                <w:lang w:val="de-DE"/>
              </w:rPr>
              <w:t xml:space="preserve">Inkrafttreten des Durchführungsübereinkommens und </w:t>
            </w:r>
            <w:r w:rsidRPr="00170422">
              <w:rPr>
                <w:rFonts w:ascii="Arial Narrow" w:hAnsi="Arial Narrow"/>
                <w:noProof/>
                <w:color w:val="006100"/>
                <w:sz w:val="20"/>
                <w:lang w:val="de-DE"/>
              </w:rPr>
              <w:t>Verbringungsbescheinigung</w:t>
            </w:r>
          </w:p>
        </w:tc>
        <w:tc>
          <w:tcPr>
            <w:tcW w:w="1157" w:type="dxa"/>
            <w:shd w:val="clear" w:color="auto" w:fill="C6EFCE"/>
            <w:vAlign w:val="center"/>
            <w:hideMark/>
          </w:tcPr>
          <w:p w14:paraId="7550CB6D" w14:textId="77777777" w:rsidR="0057163C" w:rsidRPr="00170422" w:rsidRDefault="00F37BF9">
            <w:pPr>
              <w:pStyle w:val="P68B1DB1-Normal11"/>
              <w:jc w:val="center"/>
              <w:rPr>
                <w:noProof/>
                <w:szCs w:val="20"/>
                <w:lang w:val="de-DE"/>
              </w:rPr>
            </w:pPr>
            <w:r w:rsidRPr="00170422">
              <w:rPr>
                <w:noProof/>
                <w:lang w:val="de-DE"/>
              </w:rPr>
              <w:t>ENTFÄLLT.</w:t>
            </w:r>
          </w:p>
        </w:tc>
        <w:tc>
          <w:tcPr>
            <w:tcW w:w="1417" w:type="dxa"/>
            <w:shd w:val="clear" w:color="auto" w:fill="C6EFCE"/>
            <w:vAlign w:val="center"/>
            <w:hideMark/>
          </w:tcPr>
          <w:p w14:paraId="37991207"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hideMark/>
          </w:tcPr>
          <w:p w14:paraId="06557315" w14:textId="77777777" w:rsidR="0057163C" w:rsidRPr="00170422" w:rsidRDefault="00F37BF9">
            <w:pPr>
              <w:pStyle w:val="P68B1DB1-Normal11"/>
              <w:jc w:val="center"/>
              <w:rPr>
                <w:noProof/>
                <w:szCs w:val="20"/>
                <w:lang w:val="de-DE"/>
              </w:rPr>
            </w:pPr>
            <w:r w:rsidRPr="00170422">
              <w:rPr>
                <w:noProof/>
                <w:lang w:val="de-DE"/>
              </w:rPr>
              <w:t>ENTFÄLLT.</w:t>
            </w:r>
          </w:p>
        </w:tc>
        <w:tc>
          <w:tcPr>
            <w:tcW w:w="779" w:type="dxa"/>
            <w:shd w:val="clear" w:color="auto" w:fill="C6EFCE"/>
            <w:vAlign w:val="center"/>
            <w:hideMark/>
          </w:tcPr>
          <w:p w14:paraId="172CAC9F" w14:textId="77777777" w:rsidR="0057163C" w:rsidRPr="00170422" w:rsidRDefault="00F37BF9">
            <w:pPr>
              <w:pStyle w:val="P68B1DB1-Normal11"/>
              <w:jc w:val="center"/>
              <w:rPr>
                <w:noProof/>
                <w:szCs w:val="20"/>
                <w:lang w:val="de-DE"/>
              </w:rPr>
            </w:pPr>
            <w:r w:rsidRPr="00170422">
              <w:rPr>
                <w:noProof/>
                <w:lang w:val="de-DE"/>
              </w:rPr>
              <w:t>4. QUARTAL</w:t>
            </w:r>
          </w:p>
        </w:tc>
        <w:tc>
          <w:tcPr>
            <w:tcW w:w="689" w:type="dxa"/>
            <w:shd w:val="clear" w:color="auto" w:fill="C6EFCE"/>
            <w:vAlign w:val="center"/>
            <w:hideMark/>
          </w:tcPr>
          <w:p w14:paraId="27E707E3" w14:textId="77777777" w:rsidR="0057163C" w:rsidRPr="00170422" w:rsidRDefault="00F37BF9">
            <w:pPr>
              <w:pStyle w:val="P68B1DB1-Normal11"/>
              <w:jc w:val="center"/>
              <w:rPr>
                <w:noProof/>
                <w:szCs w:val="20"/>
                <w:lang w:val="de-DE"/>
              </w:rPr>
            </w:pPr>
            <w:r w:rsidRPr="00170422">
              <w:rPr>
                <w:noProof/>
                <w:lang w:val="de-DE"/>
              </w:rPr>
              <w:t>2025</w:t>
            </w:r>
          </w:p>
        </w:tc>
        <w:tc>
          <w:tcPr>
            <w:tcW w:w="2982" w:type="dxa"/>
            <w:shd w:val="clear" w:color="auto" w:fill="C6EFCE"/>
            <w:vAlign w:val="center"/>
            <w:hideMark/>
          </w:tcPr>
          <w:p w14:paraId="652644D0" w14:textId="77777777" w:rsidR="0057163C" w:rsidRPr="00170422" w:rsidRDefault="00F37BF9">
            <w:pPr>
              <w:pStyle w:val="P68B1DB1-Normal12"/>
              <w:rPr>
                <w:noProof/>
                <w:lang w:val="de-DE"/>
              </w:rPr>
            </w:pPr>
            <w:r w:rsidRPr="00170422">
              <w:rPr>
                <w:noProof/>
                <w:lang w:val="de-DE"/>
              </w:rPr>
              <w:t>Inkrafttreten des Durchführungsübereinkommens.</w:t>
            </w:r>
          </w:p>
          <w:p w14:paraId="082AC5FE" w14:textId="7E9D6A91" w:rsidR="0057163C" w:rsidRPr="00170422" w:rsidRDefault="00F37BF9">
            <w:pPr>
              <w:pStyle w:val="P68B1DB1-Normal12"/>
              <w:rPr>
                <w:noProof/>
                <w:lang w:val="de-DE"/>
              </w:rPr>
            </w:pPr>
            <w:r w:rsidRPr="00170422">
              <w:rPr>
                <w:noProof/>
                <w:lang w:val="de-DE"/>
              </w:rPr>
              <w:t xml:space="preserve">Italien überträgt 400 000 000 EUR an Invitalia für die Fazilität. </w:t>
            </w:r>
          </w:p>
        </w:tc>
      </w:tr>
      <w:tr w:rsidR="0057163C" w:rsidRPr="00170422" w14:paraId="479147BD" w14:textId="77777777" w:rsidTr="00D37F8B">
        <w:trPr>
          <w:trHeight w:val="703"/>
          <w:jc w:val="center"/>
        </w:trPr>
        <w:tc>
          <w:tcPr>
            <w:tcW w:w="1254" w:type="dxa"/>
            <w:shd w:val="clear" w:color="auto" w:fill="C6EFCE"/>
            <w:vAlign w:val="center"/>
          </w:tcPr>
          <w:p w14:paraId="7F4FA75F" w14:textId="77777777" w:rsidR="0057163C" w:rsidRPr="00170422" w:rsidRDefault="00F37BF9">
            <w:pPr>
              <w:pStyle w:val="P68B1DB1-Normal12"/>
              <w:jc w:val="center"/>
              <w:rPr>
                <w:noProof/>
                <w:lang w:val="de-DE"/>
              </w:rPr>
            </w:pPr>
            <w:r w:rsidRPr="00170422">
              <w:rPr>
                <w:noProof/>
                <w:lang w:val="de-DE"/>
              </w:rPr>
              <w:t>M5C1-20</w:t>
            </w:r>
          </w:p>
        </w:tc>
        <w:tc>
          <w:tcPr>
            <w:tcW w:w="1530" w:type="dxa"/>
            <w:shd w:val="clear" w:color="auto" w:fill="C6EFCE"/>
            <w:vAlign w:val="center"/>
          </w:tcPr>
          <w:p w14:paraId="2DD4F4C1" w14:textId="77777777" w:rsidR="0057163C" w:rsidRPr="00170422" w:rsidRDefault="00F37BF9">
            <w:pPr>
              <w:pStyle w:val="P68B1DB1-Normal11"/>
              <w:jc w:val="center"/>
              <w:rPr>
                <w:noProof/>
                <w:lang w:val="de-DE"/>
              </w:rPr>
            </w:pPr>
            <w:r w:rsidRPr="00170422">
              <w:rPr>
                <w:noProof/>
                <w:lang w:val="de-DE"/>
              </w:rPr>
              <w:t>Investition 5 Gründung von Frauenunternehmen</w:t>
            </w:r>
          </w:p>
        </w:tc>
        <w:tc>
          <w:tcPr>
            <w:tcW w:w="1179" w:type="dxa"/>
            <w:shd w:val="clear" w:color="auto" w:fill="C6EFCE"/>
            <w:vAlign w:val="center"/>
          </w:tcPr>
          <w:p w14:paraId="5DBE52B9" w14:textId="77777777" w:rsidR="0057163C" w:rsidRPr="00170422" w:rsidRDefault="00F37BF9">
            <w:pPr>
              <w:pStyle w:val="P68B1DB1-Normal11"/>
              <w:jc w:val="center"/>
              <w:rPr>
                <w:noProof/>
                <w:lang w:val="de-DE"/>
              </w:rPr>
            </w:pPr>
            <w:r w:rsidRPr="00170422">
              <w:rPr>
                <w:noProof/>
                <w:lang w:val="de-DE"/>
              </w:rPr>
              <w:t>Ziel</w:t>
            </w:r>
          </w:p>
        </w:tc>
        <w:tc>
          <w:tcPr>
            <w:tcW w:w="1802" w:type="dxa"/>
            <w:shd w:val="clear" w:color="auto" w:fill="C6EFCE"/>
            <w:vAlign w:val="center"/>
          </w:tcPr>
          <w:p w14:paraId="69786F67" w14:textId="77777777" w:rsidR="0057163C" w:rsidRPr="00170422" w:rsidRDefault="00F37BF9">
            <w:pPr>
              <w:pStyle w:val="P68B1DB1-Normal11"/>
              <w:jc w:val="center"/>
              <w:rPr>
                <w:noProof/>
                <w:lang w:val="de-DE"/>
              </w:rPr>
            </w:pPr>
            <w:r w:rsidRPr="00170422">
              <w:rPr>
                <w:noProof/>
                <w:lang w:val="de-DE"/>
              </w:rPr>
              <w:t xml:space="preserve">Mit </w:t>
            </w:r>
            <w:r w:rsidRPr="00170422">
              <w:rPr>
                <w:noProof/>
                <w:lang w:val="de-DE"/>
              </w:rPr>
              <w:t>Endbegünstigten unterzeichnete rechtliche Vereinbarungen</w:t>
            </w:r>
          </w:p>
        </w:tc>
        <w:tc>
          <w:tcPr>
            <w:tcW w:w="1670" w:type="dxa"/>
            <w:shd w:val="clear" w:color="auto" w:fill="C6EFCE"/>
            <w:vAlign w:val="center"/>
          </w:tcPr>
          <w:p w14:paraId="4C56A759" w14:textId="77777777" w:rsidR="0057163C" w:rsidRPr="00170422" w:rsidRDefault="00F37BF9">
            <w:pPr>
              <w:pStyle w:val="P68B1DB1-Normal11"/>
              <w:jc w:val="center"/>
              <w:rPr>
                <w:noProof/>
                <w:lang w:val="de-DE"/>
              </w:rPr>
            </w:pPr>
            <w:r w:rsidRPr="00170422">
              <w:rPr>
                <w:noProof/>
                <w:lang w:val="de-DE"/>
              </w:rPr>
              <w:t>ENTFÄLLT.</w:t>
            </w:r>
          </w:p>
        </w:tc>
        <w:tc>
          <w:tcPr>
            <w:tcW w:w="1157" w:type="dxa"/>
            <w:tcBorders>
              <w:top w:val="single" w:sz="6" w:space="0" w:color="auto"/>
              <w:left w:val="single" w:sz="6" w:space="0" w:color="auto"/>
              <w:bottom w:val="single" w:sz="6" w:space="0" w:color="auto"/>
              <w:right w:val="single" w:sz="6" w:space="0" w:color="auto"/>
            </w:tcBorders>
            <w:shd w:val="clear" w:color="auto" w:fill="C6EFCE"/>
            <w:vAlign w:val="center"/>
          </w:tcPr>
          <w:p w14:paraId="335ECE82" w14:textId="77777777" w:rsidR="0057163C" w:rsidRPr="00170422" w:rsidRDefault="00F37BF9">
            <w:pPr>
              <w:pStyle w:val="P68B1DB1-Normal11"/>
              <w:jc w:val="center"/>
              <w:rPr>
                <w:noProof/>
                <w:lang w:val="de-DE"/>
              </w:rPr>
            </w:pPr>
            <w:r w:rsidRPr="00170422">
              <w:rPr>
                <w:noProof/>
                <w:lang w:val="de-DE"/>
              </w:rPr>
              <w:t>Anteil (%)</w:t>
            </w:r>
          </w:p>
        </w:tc>
        <w:tc>
          <w:tcPr>
            <w:tcW w:w="1417" w:type="dxa"/>
            <w:tcBorders>
              <w:top w:val="single" w:sz="6" w:space="0" w:color="auto"/>
              <w:left w:val="single" w:sz="6" w:space="0" w:color="auto"/>
              <w:bottom w:val="single" w:sz="6" w:space="0" w:color="auto"/>
              <w:right w:val="single" w:sz="6" w:space="0" w:color="auto"/>
            </w:tcBorders>
            <w:shd w:val="clear" w:color="auto" w:fill="C6EFCE"/>
            <w:vAlign w:val="center"/>
          </w:tcPr>
          <w:p w14:paraId="57252E83" w14:textId="77777777" w:rsidR="0057163C" w:rsidRPr="00170422" w:rsidRDefault="00F37BF9">
            <w:pPr>
              <w:pStyle w:val="P68B1DB1-Normal11"/>
              <w:jc w:val="center"/>
              <w:rPr>
                <w:noProof/>
                <w:lang w:val="de-DE"/>
              </w:rPr>
            </w:pPr>
            <w:r w:rsidRPr="00170422">
              <w:rPr>
                <w:noProof/>
                <w:lang w:val="de-DE"/>
              </w:rPr>
              <w:t>0</w:t>
            </w:r>
          </w:p>
        </w:tc>
        <w:tc>
          <w:tcPr>
            <w:tcW w:w="851" w:type="dxa"/>
            <w:tcBorders>
              <w:top w:val="single" w:sz="6" w:space="0" w:color="auto"/>
              <w:left w:val="single" w:sz="6" w:space="0" w:color="auto"/>
              <w:bottom w:val="single" w:sz="6" w:space="0" w:color="auto"/>
              <w:right w:val="single" w:sz="6" w:space="0" w:color="auto"/>
            </w:tcBorders>
            <w:shd w:val="clear" w:color="auto" w:fill="C6EFCE"/>
            <w:vAlign w:val="center"/>
          </w:tcPr>
          <w:p w14:paraId="487636E6" w14:textId="77777777" w:rsidR="0057163C" w:rsidRPr="00170422" w:rsidRDefault="00F37BF9">
            <w:pPr>
              <w:pStyle w:val="P68B1DB1-Normal11"/>
              <w:jc w:val="center"/>
              <w:rPr>
                <w:noProof/>
                <w:lang w:val="de-DE"/>
              </w:rPr>
            </w:pPr>
            <w:r w:rsidRPr="00170422">
              <w:rPr>
                <w:noProof/>
                <w:lang w:val="de-DE"/>
              </w:rPr>
              <w:t>100</w:t>
            </w:r>
          </w:p>
        </w:tc>
        <w:tc>
          <w:tcPr>
            <w:tcW w:w="779" w:type="dxa"/>
            <w:tcBorders>
              <w:top w:val="single" w:sz="6" w:space="0" w:color="auto"/>
              <w:left w:val="single" w:sz="6" w:space="0" w:color="auto"/>
              <w:bottom w:val="single" w:sz="6" w:space="0" w:color="auto"/>
              <w:right w:val="single" w:sz="6" w:space="0" w:color="auto"/>
            </w:tcBorders>
            <w:shd w:val="clear" w:color="auto" w:fill="C6EFCE"/>
            <w:vAlign w:val="center"/>
          </w:tcPr>
          <w:p w14:paraId="7A24F130" w14:textId="77777777" w:rsidR="0057163C" w:rsidRPr="00170422" w:rsidRDefault="00F37BF9">
            <w:pPr>
              <w:pStyle w:val="P68B1DB1-Normal11"/>
              <w:jc w:val="center"/>
              <w:rPr>
                <w:noProof/>
                <w:lang w:val="de-DE"/>
              </w:rPr>
            </w:pPr>
            <w:r w:rsidRPr="00170422">
              <w:rPr>
                <w:noProof/>
                <w:lang w:val="de-DE"/>
              </w:rPr>
              <w:t>Q2</w:t>
            </w:r>
          </w:p>
        </w:tc>
        <w:tc>
          <w:tcPr>
            <w:tcW w:w="689" w:type="dxa"/>
            <w:tcBorders>
              <w:top w:val="single" w:sz="6" w:space="0" w:color="auto"/>
              <w:left w:val="single" w:sz="6" w:space="0" w:color="auto"/>
              <w:bottom w:val="single" w:sz="6" w:space="0" w:color="auto"/>
              <w:right w:val="single" w:sz="6" w:space="0" w:color="auto"/>
            </w:tcBorders>
            <w:shd w:val="clear" w:color="auto" w:fill="C6EFCE"/>
            <w:vAlign w:val="center"/>
          </w:tcPr>
          <w:p w14:paraId="7645C442" w14:textId="77777777" w:rsidR="0057163C" w:rsidRPr="00170422" w:rsidRDefault="00F37BF9">
            <w:pPr>
              <w:pStyle w:val="P68B1DB1-Normal11"/>
              <w:jc w:val="center"/>
              <w:rPr>
                <w:noProof/>
                <w:lang w:val="de-DE"/>
              </w:rPr>
            </w:pPr>
            <w:r w:rsidRPr="00170422">
              <w:rPr>
                <w:noProof/>
                <w:lang w:val="de-DE"/>
              </w:rPr>
              <w:t>2026</w:t>
            </w:r>
          </w:p>
        </w:tc>
        <w:tc>
          <w:tcPr>
            <w:tcW w:w="2982" w:type="dxa"/>
            <w:shd w:val="clear" w:color="auto" w:fill="C6EFCE"/>
            <w:vAlign w:val="center"/>
          </w:tcPr>
          <w:p w14:paraId="6D8701B3" w14:textId="77777777" w:rsidR="0057163C" w:rsidRPr="00170422" w:rsidRDefault="00F37BF9">
            <w:pPr>
              <w:pStyle w:val="P68B1DB1-Normal12"/>
              <w:rPr>
                <w:noProof/>
                <w:lang w:val="de-DE"/>
              </w:rPr>
            </w:pPr>
            <w:r w:rsidRPr="00170422">
              <w:rPr>
                <w:noProof/>
                <w:lang w:val="de-DE"/>
              </w:rPr>
              <w:t xml:space="preserve">Invitalia hat mit Endbegünstigten rechtliche Finanzierungsvereinbarungen über einen Betrag geschlossen, der erforderlich ist, um 100 % der ARF-Investitionen in die </w:t>
            </w:r>
            <w:r w:rsidRPr="00170422">
              <w:rPr>
                <w:noProof/>
                <w:lang w:val="de-DE"/>
              </w:rPr>
              <w:t xml:space="preserve">Fazilität zu verwenden (unter Berücksichtigung der Verwaltung und Gebühren für Kommunikations- und Bildungsleistungen). </w:t>
            </w:r>
          </w:p>
          <w:p w14:paraId="6F591541" w14:textId="532D3496" w:rsidR="0057163C" w:rsidRPr="00170422" w:rsidRDefault="00F37BF9">
            <w:pPr>
              <w:pStyle w:val="P68B1DB1-Normal11"/>
              <w:rPr>
                <w:noProof/>
                <w:lang w:val="de-DE"/>
              </w:rPr>
            </w:pPr>
            <w:r w:rsidRPr="00170422">
              <w:rPr>
                <w:noProof/>
                <w:lang w:val="de-DE"/>
              </w:rPr>
              <w:t xml:space="preserve">Mindestens 40 % dieser Mittel werden nach der Methode in Anhang VII der ARF-Verordnung zu den Digitalzielen beitragen. </w:t>
            </w:r>
          </w:p>
        </w:tc>
      </w:tr>
    </w:tbl>
    <w:p w14:paraId="2B79F182" w14:textId="77777777" w:rsidR="0057163C" w:rsidRPr="00170422" w:rsidRDefault="0057163C">
      <w:pPr>
        <w:rPr>
          <w:rFonts w:ascii="Arial Narrow" w:hAnsi="Arial Narrow"/>
          <w:noProof/>
          <w:lang w:val="de-DE"/>
        </w:rPr>
      </w:pPr>
    </w:p>
    <w:p w14:paraId="0032C586" w14:textId="77777777" w:rsidR="0057163C" w:rsidRPr="00170422" w:rsidRDefault="0057163C">
      <w:pPr>
        <w:tabs>
          <w:tab w:val="left" w:pos="4252"/>
        </w:tabs>
        <w:rPr>
          <w:i/>
          <w:noProof/>
          <w:lang w:val="de-DE"/>
        </w:rPr>
        <w:sectPr w:rsidR="0057163C" w:rsidRPr="00170422" w:rsidSect="005F11B9">
          <w:headerReference w:type="even" r:id="rId230"/>
          <w:headerReference w:type="default" r:id="rId231"/>
          <w:footerReference w:type="even" r:id="rId232"/>
          <w:footerReference w:type="default" r:id="rId233"/>
          <w:headerReference w:type="first" r:id="rId234"/>
          <w:footerReference w:type="first" r:id="rId235"/>
          <w:pgSz w:w="16838" w:h="11906" w:orient="landscape" w:code="9"/>
          <w:pgMar w:top="1134" w:right="1134" w:bottom="1134" w:left="1134" w:header="567" w:footer="567" w:gutter="0"/>
          <w:cols w:space="720"/>
          <w:docGrid w:linePitch="360"/>
        </w:sectPr>
      </w:pPr>
    </w:p>
    <w:p w14:paraId="5B777C78" w14:textId="77777777" w:rsidR="0057163C" w:rsidRPr="00170422" w:rsidRDefault="00F37BF9">
      <w:pPr>
        <w:pStyle w:val="P68B1DB1-Heading23"/>
        <w:ind w:left="1080"/>
        <w:rPr>
          <w:noProof/>
          <w:lang w:val="de-DE"/>
        </w:rPr>
      </w:pPr>
      <w:r w:rsidRPr="00170422">
        <w:rPr>
          <w:noProof/>
          <w:lang w:val="de-DE"/>
        </w:rPr>
        <w:t>M. MISSION 5 KOMPONENTE 2: Soziale Infrastrukturen, Familien, Gemeinschaften und Dritter Sektor</w:t>
      </w:r>
    </w:p>
    <w:p w14:paraId="11EEF212" w14:textId="77777777" w:rsidR="0057163C" w:rsidRPr="00170422" w:rsidRDefault="00F37BF9">
      <w:pPr>
        <w:pStyle w:val="P68B1DB1-Normal7"/>
        <w:spacing w:before="120" w:after="120"/>
        <w:jc w:val="both"/>
        <w:rPr>
          <w:noProof/>
          <w:lang w:val="de-DE"/>
        </w:rPr>
      </w:pPr>
      <w:r w:rsidRPr="00170422">
        <w:rPr>
          <w:noProof/>
          <w:lang w:val="de-DE"/>
        </w:rPr>
        <w:t xml:space="preserve">Die geplanten Reformen und Investitionen im Rahmen dieser Komponente zielen darauf ab, die </w:t>
      </w:r>
      <w:r w:rsidRPr="00170422">
        <w:rPr>
          <w:noProof/>
          <w:lang w:val="de-DE"/>
        </w:rPr>
        <w:t>Resilienz zu stärken, indem die Integration und Inklusion der am stärksten gefährdeten Personen entlang der individuellen, familiären und sozialen Dimension unterstützt wird. Diese Komponente bietet eine nationale Strategie für die aktive Inklusion schutzb</w:t>
      </w:r>
      <w:r w:rsidRPr="00170422">
        <w:rPr>
          <w:noProof/>
          <w:lang w:val="de-DE"/>
        </w:rPr>
        <w:t>edürftiger Bevölkerungsgruppen. Mit dieser Komponente werden folgende Ziele verfolgt: I) Stärkung der Rolle integrierter sozialer Dienste zur Unterstützung von Familien, Minderjährigen und Jugendlichen, zur Unterstützung von Erziehungskompetenzen und zum S</w:t>
      </w:r>
      <w:r w:rsidRPr="00170422">
        <w:rPr>
          <w:noProof/>
          <w:lang w:val="de-DE"/>
        </w:rPr>
        <w:t>chutz schutzbedürftiger Familien sowie von Menschen mit Behinderungen, unter anderem durch die Verbesserung der sozialen Infrastrukturen unter Einbeziehung des dritten Sektors; II) Verbesserung der Autonomie von Menschen mit Behinderungen durch die Bereits</w:t>
      </w:r>
      <w:r w:rsidRPr="00170422">
        <w:rPr>
          <w:noProof/>
          <w:lang w:val="de-DE"/>
        </w:rPr>
        <w:t>tellung gemeinschaftlicher und häuslicher Sozial- und Gesundheitsdienste und die Beseitigung von Hindernissen für den Zugang zu Wohnraum und Beschäftigungsmöglichkeiten; III) Verbesserung der Inklusion von Menschen, die von extremer Marginalisierung und wo</w:t>
      </w:r>
      <w:r w:rsidRPr="00170422">
        <w:rPr>
          <w:noProof/>
          <w:lang w:val="de-DE"/>
        </w:rPr>
        <w:t>hnungsbezogener Entbehrung betroffen sind (z. B. Obdachlose), durch ein breiteres Angebot an vorübergehenden Unterbringungshilfen und -diensten, personalisierte Wege hin zu Autonomie und persönlicher Widerstandsfähigkeit; IV) Verbesserung der Verfügbarkeit</w:t>
      </w:r>
      <w:r w:rsidRPr="00170422">
        <w:rPr>
          <w:noProof/>
          <w:lang w:val="de-DE"/>
        </w:rPr>
        <w:t xml:space="preserve"> von bezahlbarerem öffentlichem und privatem Wohnraum sowie Stadt- und Raumerneuerung; V) Ausbau der Widerstandsfähigkeit der am stärksten gefährdeten Bevölkerungsgruppen durch die Verbreitung der Sportkultur und die Einrichtung von Sportinfrastrukturen du</w:t>
      </w:r>
      <w:r w:rsidRPr="00170422">
        <w:rPr>
          <w:noProof/>
          <w:lang w:val="de-DE"/>
        </w:rPr>
        <w:t>rch die Schaffung städtischer Parks, in denen sportliche Aktivitäten mit Unterhaltungsaktivitäten zum Nutzen der Gemeinschaften kombiniert werden können.</w:t>
      </w:r>
    </w:p>
    <w:p w14:paraId="16C9544A" w14:textId="77777777" w:rsidR="0057163C" w:rsidRPr="00170422" w:rsidRDefault="00F37BF9">
      <w:pPr>
        <w:pStyle w:val="P68B1DB1-Normal7"/>
        <w:spacing w:before="120" w:after="120"/>
        <w:jc w:val="both"/>
        <w:rPr>
          <w:noProof/>
          <w:lang w:val="de-DE"/>
        </w:rPr>
      </w:pPr>
      <w:r w:rsidRPr="00170422">
        <w:rPr>
          <w:noProof/>
          <w:lang w:val="de-DE"/>
        </w:rPr>
        <w:t xml:space="preserve">Die Umsetzung dieser Maßnahmen dürfte dazu beitragen, die Herausforderungen zu bewältigen, die in den </w:t>
      </w:r>
      <w:r w:rsidRPr="00170422">
        <w:rPr>
          <w:noProof/>
          <w:lang w:val="de-DE"/>
        </w:rPr>
        <w:t>länderspezifischen Empfehlungen 2 zur Sozialpolitik von 2019, in denen Italien nachdrücklich aufgefordert wird, „für eine wirksame Integration der Sozialpolitik zu sorgen und insbesondere junge Menschen und schutzbedürftige Gruppen zu erreichen“, und in de</w:t>
      </w:r>
      <w:r w:rsidRPr="00170422">
        <w:rPr>
          <w:noProof/>
          <w:lang w:val="de-DE"/>
        </w:rPr>
        <w:t xml:space="preserve">n länderspezifischen Empfehlungen 2 „einen angemessenen Zugang zum Sozialschutz“ behandelt werden. </w:t>
      </w:r>
    </w:p>
    <w:p w14:paraId="44B353C1"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M.1. </w:t>
      </w:r>
      <w:r w:rsidRPr="00170422">
        <w:rPr>
          <w:noProof/>
          <w:lang w:val="de-DE"/>
        </w:rPr>
        <w:t xml:space="preserve"> </w:t>
      </w:r>
      <w:r w:rsidRPr="00170422">
        <w:rPr>
          <w:b/>
          <w:noProof/>
          <w:u w:val="single"/>
          <w:lang w:val="de-DE"/>
        </w:rPr>
        <w:t>Beschreibung der Reformen und Investitionen für nicht rückzahlbare finanzielle Unterstützung</w:t>
      </w:r>
    </w:p>
    <w:p w14:paraId="2EA0E7C9" w14:textId="77777777" w:rsidR="0057163C" w:rsidRPr="00170422" w:rsidRDefault="00F37BF9">
      <w:pPr>
        <w:pStyle w:val="P68B1DB1-Normal5"/>
        <w:spacing w:before="120" w:after="120"/>
        <w:jc w:val="both"/>
        <w:rPr>
          <w:rFonts w:eastAsia="Calibri"/>
          <w:noProof/>
          <w:lang w:val="de-DE"/>
        </w:rPr>
      </w:pPr>
      <w:r w:rsidRPr="00170422">
        <w:rPr>
          <w:noProof/>
          <w:lang w:val="de-DE"/>
        </w:rPr>
        <w:t>Reform 1 – Rahmengesetz für Menschen mit Behinderungen</w:t>
      </w:r>
    </w:p>
    <w:p w14:paraId="16303200" w14:textId="54CF5AA8" w:rsidR="0057163C" w:rsidRPr="00170422" w:rsidRDefault="00F37BF9">
      <w:pPr>
        <w:pStyle w:val="P68B1DB1-Normal7"/>
        <w:spacing w:before="120" w:after="120"/>
        <w:jc w:val="both"/>
        <w:rPr>
          <w:b/>
          <w:noProof/>
          <w:lang w:val="de-DE"/>
        </w:rPr>
      </w:pPr>
      <w:r w:rsidRPr="00170422">
        <w:rPr>
          <w:noProof/>
          <w:lang w:val="de-DE"/>
        </w:rPr>
        <w:t>Ha</w:t>
      </w:r>
      <w:r w:rsidRPr="00170422">
        <w:rPr>
          <w:noProof/>
          <w:lang w:val="de-DE"/>
        </w:rPr>
        <w:t xml:space="preserve">uptziel der Reform ist es, die Rechtsvorschriften über Behinderungen zu ändern und die Deinstitutionalisierung (d. h. den Transfer von öffentlichen oder privaten Einrichtungen zu ihren Familien oder zu gemeindenahen Häusern) und die Autonomie von Menschen </w:t>
      </w:r>
      <w:r w:rsidRPr="00170422">
        <w:rPr>
          <w:noProof/>
          <w:lang w:val="de-DE"/>
        </w:rPr>
        <w:t>mit Behinderungen zu fördern. Dies umfasst (I) die Stärkung des Angebots an sozialen Dienstleistungen, (II) die Vereinfachung des Zugangs zu Sozial- und Gesundheitsdiensten, (III) Reformen der Bewertung von Behinderungen, (IV) die Förderung von Projekten f</w:t>
      </w:r>
      <w:r w:rsidRPr="00170422">
        <w:rPr>
          <w:noProof/>
          <w:lang w:val="de-DE"/>
        </w:rPr>
        <w:t xml:space="preserve">ür ein unabhängiges Leben, (V) die Förderung der Arbeit von Expertenteams, die Menschen mit Behinderungen mit mehrdimensionalen Bedürfnissen unterstützen können. </w:t>
      </w:r>
    </w:p>
    <w:p w14:paraId="51FADE60" w14:textId="77777777" w:rsidR="0057163C" w:rsidRPr="00170422" w:rsidRDefault="00F37BF9">
      <w:pPr>
        <w:pStyle w:val="P68B1DB1-Normal5"/>
        <w:spacing w:before="120" w:after="120"/>
        <w:jc w:val="both"/>
        <w:rPr>
          <w:rFonts w:eastAsia="Calibri"/>
          <w:noProof/>
          <w:lang w:val="de-DE"/>
        </w:rPr>
      </w:pPr>
      <w:r w:rsidRPr="00170422">
        <w:rPr>
          <w:noProof/>
          <w:lang w:val="de-DE"/>
        </w:rPr>
        <w:t>Reform 2 – Reform für ältere Menschen ohne Selbstversorgung</w:t>
      </w:r>
    </w:p>
    <w:p w14:paraId="2031E171" w14:textId="08474632" w:rsidR="0057163C" w:rsidRPr="00170422" w:rsidRDefault="00F37BF9">
      <w:pPr>
        <w:pStyle w:val="P68B1DB1-Normal7"/>
        <w:spacing w:before="120" w:after="120"/>
        <w:jc w:val="both"/>
        <w:rPr>
          <w:rFonts w:eastAsia="Calibri"/>
          <w:noProof/>
          <w:lang w:val="de-DE"/>
        </w:rPr>
      </w:pPr>
      <w:r w:rsidRPr="00170422">
        <w:rPr>
          <w:noProof/>
          <w:lang w:val="de-DE"/>
        </w:rPr>
        <w:t>Ziel dieser Maßnahme ist die Refo</w:t>
      </w:r>
      <w:r w:rsidRPr="00170422">
        <w:rPr>
          <w:noProof/>
          <w:lang w:val="de-DE"/>
        </w:rPr>
        <w:t>rm der Sozialdienste und die Verbesserung der Lebensbedingungen älterer Menschen ohne Selbstversorgung. Diese Reform umfasst Folgendes: I) Vereinfachung des Zugangs älterer Menschen zu Dienstleistungen durch die Schaffung zentraler Zugangsstellen für Sozia</w:t>
      </w:r>
      <w:r w:rsidRPr="00170422">
        <w:rPr>
          <w:noProof/>
          <w:lang w:val="de-DE"/>
        </w:rPr>
        <w:t>les und Gesundheit, II) Ermittlung von Möglichkeiten zur Anerkennung der mangelnden Selbstversorgung auf der Grundlage des Hilfebedarfs, III) Bereitstellung einer multidimensionalen Bewertung, IV) Festlegung individueller Projekte zur Förderung der Deinsti</w:t>
      </w:r>
      <w:r w:rsidRPr="00170422">
        <w:rPr>
          <w:noProof/>
          <w:lang w:val="de-DE"/>
        </w:rPr>
        <w:t>tutionalisierung. Diese Reform wird durch spezifische, im Plan vorgesehene Maßnahmen vorausgesagt, die sowohl im Rahmen der Gesundheitsmission (M6) in Bezug auf Projekte zur Stärkung des lokalen Gesundheitswesens und der häuslichen Versorgung als auch in d</w:t>
      </w:r>
      <w:r w:rsidRPr="00170422">
        <w:rPr>
          <w:noProof/>
          <w:lang w:val="de-DE"/>
        </w:rPr>
        <w:t xml:space="preserve">ieser Komponente, unter besonderer Berücksichtigung der Investition 1, der Maßnahme II zur Deinstitutionalisierung, vorgesehen sind. </w:t>
      </w:r>
    </w:p>
    <w:p w14:paraId="34A27A5A"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1 – Unterstützung schutzbedürftiger Menschen und Verhinderung der Institutionalisierung</w:t>
      </w:r>
    </w:p>
    <w:p w14:paraId="583CA16A" w14:textId="77777777" w:rsidR="0057163C" w:rsidRPr="00170422" w:rsidRDefault="00F37BF9">
      <w:pPr>
        <w:pStyle w:val="P68B1DB1-Normal7"/>
        <w:spacing w:before="120" w:after="120"/>
        <w:jc w:val="both"/>
        <w:rPr>
          <w:rFonts w:eastAsia="Calibri"/>
          <w:noProof/>
          <w:lang w:val="de-DE"/>
        </w:rPr>
      </w:pPr>
      <w:r w:rsidRPr="00170422">
        <w:rPr>
          <w:noProof/>
          <w:lang w:val="de-DE"/>
        </w:rPr>
        <w:t>Ziel dieser Maßnahme i</w:t>
      </w:r>
      <w:r w:rsidRPr="00170422">
        <w:rPr>
          <w:noProof/>
          <w:lang w:val="de-DE"/>
        </w:rPr>
        <w:t xml:space="preserve">st es, schutzbedürftige Menschen zu unterstützen und der Institutionalisierung vorzubeugen. Diese Maßnahme umfasst Maßnahmen für schutzbedürftige Familien und Kinder, ältere Menschen und Sozialarbeiter in mindestens 85 % der italienischen Sozialbezirke. </w:t>
      </w:r>
    </w:p>
    <w:p w14:paraId="29094DBB" w14:textId="31D5CADB" w:rsidR="0057163C" w:rsidRPr="00170422" w:rsidRDefault="00F37BF9">
      <w:pPr>
        <w:pStyle w:val="P68B1DB1-Normal5"/>
        <w:spacing w:before="120" w:after="120"/>
        <w:jc w:val="both"/>
        <w:rPr>
          <w:rFonts w:eastAsia="Calibri"/>
          <w:noProof/>
          <w:lang w:val="de-DE"/>
        </w:rPr>
      </w:pPr>
      <w:r w:rsidRPr="00170422">
        <w:rPr>
          <w:noProof/>
          <w:lang w:val="de-DE"/>
        </w:rPr>
        <w:t>I</w:t>
      </w:r>
      <w:r w:rsidRPr="00170422">
        <w:rPr>
          <w:noProof/>
          <w:lang w:val="de-DE"/>
        </w:rPr>
        <w:t>nvestition 2 – Autonomiemuster für Menschen mit Behinderungen</w:t>
      </w:r>
    </w:p>
    <w:p w14:paraId="64F7B9D3" w14:textId="77777777" w:rsidR="0057163C" w:rsidRPr="00170422" w:rsidRDefault="00F37BF9">
      <w:pPr>
        <w:pStyle w:val="P68B1DB1-Normal7"/>
        <w:spacing w:before="120" w:after="120"/>
        <w:jc w:val="both"/>
        <w:rPr>
          <w:rFonts w:eastAsia="Calibri"/>
          <w:noProof/>
          <w:lang w:val="de-DE"/>
        </w:rPr>
      </w:pPr>
      <w:r w:rsidRPr="00170422">
        <w:rPr>
          <w:noProof/>
          <w:lang w:val="de-DE"/>
        </w:rPr>
        <w:t>Ziel dieser Maßnahme ist es, die Autonomie von Menschen mit Behinderungen zu erhöhen und den Prozess der Deinstitutionalisierung zu beschleunigen. Die Maßnahme besteht darin, den Zugang zu Wohnr</w:t>
      </w:r>
      <w:r w:rsidRPr="00170422">
        <w:rPr>
          <w:noProof/>
          <w:lang w:val="de-DE"/>
        </w:rPr>
        <w:t>aum oder häuslichen Lösungen sowie zu digitalen Technologien und Schulungen zu ermöglichen.</w:t>
      </w:r>
    </w:p>
    <w:p w14:paraId="0EA0CB04" w14:textId="77777777" w:rsidR="0057163C" w:rsidRPr="00170422" w:rsidRDefault="00F37BF9">
      <w:pPr>
        <w:pStyle w:val="P68B1DB1-Normal5"/>
        <w:spacing w:before="120" w:after="120"/>
        <w:jc w:val="both"/>
        <w:rPr>
          <w:bCs/>
          <w:noProof/>
          <w:lang w:val="de-DE"/>
        </w:rPr>
      </w:pPr>
      <w:r w:rsidRPr="00170422">
        <w:rPr>
          <w:noProof/>
          <w:lang w:val="de-DE"/>
        </w:rPr>
        <w:t>Investition 3 – Wohnen Erst- und Poststellen</w:t>
      </w:r>
    </w:p>
    <w:p w14:paraId="4999197E" w14:textId="77777777" w:rsidR="0057163C" w:rsidRPr="00170422" w:rsidRDefault="00F37BF9">
      <w:pPr>
        <w:pStyle w:val="P68B1DB1-Normal7"/>
        <w:spacing w:before="120" w:after="120"/>
        <w:jc w:val="both"/>
        <w:rPr>
          <w:noProof/>
          <w:lang w:val="de-DE"/>
        </w:rPr>
        <w:sectPr w:rsidR="0057163C" w:rsidRPr="00170422" w:rsidSect="005F11B9">
          <w:headerReference w:type="even" r:id="rId236"/>
          <w:headerReference w:type="default" r:id="rId237"/>
          <w:footerReference w:type="even" r:id="rId238"/>
          <w:footerReference w:type="default" r:id="rId239"/>
          <w:headerReference w:type="first" r:id="rId240"/>
          <w:footerReference w:type="first" r:id="rId241"/>
          <w:pgSz w:w="11906" w:h="16838"/>
          <w:pgMar w:top="1440" w:right="1440" w:bottom="1440" w:left="1440" w:header="708" w:footer="708" w:gutter="0"/>
          <w:cols w:space="708"/>
          <w:docGrid w:linePitch="360"/>
        </w:sectPr>
      </w:pPr>
      <w:r w:rsidRPr="00170422">
        <w:rPr>
          <w:noProof/>
          <w:lang w:val="de-DE"/>
        </w:rPr>
        <w:t xml:space="preserve">Ziel dieser Maßnahme ist es, die Inklusion marginalisierter </w:t>
      </w:r>
      <w:r w:rsidRPr="00170422">
        <w:rPr>
          <w:noProof/>
          <w:lang w:val="de-DE"/>
        </w:rPr>
        <w:t>Menschen zu schützen und zu unterstützen. Die Maßnahme umfasst zwei Arten von Vereinbarungen: „Housing first“-Lösungen, bei denen Gemeinden maßgeschneiderte Projekte und Unterkünfte für Einzelpersonen, kleine Gruppen oder Familien bis zu 24 Monaten anbiete</w:t>
      </w:r>
      <w:r w:rsidRPr="00170422">
        <w:rPr>
          <w:noProof/>
          <w:lang w:val="de-DE"/>
        </w:rPr>
        <w:t>n; und die „Poststationen“, die aus Service- und Inklusionszentren für Obdachlose bestehen und grundlegende Dienstleistungen wie grundlegende Güter und Postsendungen, Mahlzeiten und Gesundheitsversorgung anbieten.</w:t>
      </w:r>
    </w:p>
    <w:p w14:paraId="1173C3BA"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M.2. </w:t>
      </w:r>
      <w:r w:rsidRPr="00170422">
        <w:rPr>
          <w:noProof/>
          <w:lang w:val="de-DE"/>
        </w:rPr>
        <w:t xml:space="preserve"> </w:t>
      </w:r>
      <w:r w:rsidRPr="00170422">
        <w:rPr>
          <w:b/>
          <w:noProof/>
          <w:u w:val="single"/>
          <w:lang w:val="de-DE"/>
        </w:rPr>
        <w:t>Etappenziele, Zielwerte, Indikatoren</w:t>
      </w:r>
      <w:r w:rsidRPr="00170422">
        <w:rPr>
          <w:b/>
          <w:noProof/>
          <w:u w:val="single"/>
          <w:lang w:val="de-DE"/>
        </w:rPr>
        <w:t xml:space="preserve"> und Zeitplan für die Überwachung und Durchführung der nicht rückzahlbaren finanziellen Unterstützung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7"/>
        <w:gridCol w:w="1592"/>
        <w:gridCol w:w="1216"/>
        <w:gridCol w:w="1761"/>
        <w:gridCol w:w="1675"/>
        <w:gridCol w:w="1411"/>
        <w:gridCol w:w="1345"/>
        <w:gridCol w:w="1353"/>
        <w:gridCol w:w="1044"/>
        <w:gridCol w:w="734"/>
        <w:gridCol w:w="4319"/>
      </w:tblGrid>
      <w:tr w:rsidR="0057163C" w:rsidRPr="00170422" w14:paraId="415A0791" w14:textId="77777777" w:rsidTr="00D37F8B">
        <w:trPr>
          <w:trHeight w:val="927"/>
          <w:tblHeader/>
          <w:jc w:val="center"/>
        </w:trPr>
        <w:tc>
          <w:tcPr>
            <w:tcW w:w="1377" w:type="dxa"/>
            <w:vMerge w:val="restart"/>
            <w:shd w:val="clear" w:color="auto" w:fill="BDD7EE"/>
            <w:vAlign w:val="center"/>
            <w:hideMark/>
          </w:tcPr>
          <w:p w14:paraId="21287EF4" w14:textId="77777777" w:rsidR="0057163C" w:rsidRPr="00170422" w:rsidRDefault="00F37BF9">
            <w:pPr>
              <w:pStyle w:val="P68B1DB1-Normal10"/>
              <w:jc w:val="center"/>
              <w:rPr>
                <w:noProof/>
                <w:szCs w:val="20"/>
                <w:lang w:val="de-DE"/>
              </w:rPr>
            </w:pPr>
            <w:r w:rsidRPr="00170422">
              <w:rPr>
                <w:noProof/>
                <w:lang w:val="de-DE"/>
              </w:rPr>
              <w:t>Laufende Nummer</w:t>
            </w:r>
          </w:p>
        </w:tc>
        <w:tc>
          <w:tcPr>
            <w:tcW w:w="1592" w:type="dxa"/>
            <w:vMerge w:val="restart"/>
            <w:shd w:val="clear" w:color="auto" w:fill="BDD7EE"/>
            <w:vAlign w:val="center"/>
            <w:hideMark/>
          </w:tcPr>
          <w:p w14:paraId="299B1BF3"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16" w:type="dxa"/>
            <w:vMerge w:val="restart"/>
            <w:shd w:val="clear" w:color="auto" w:fill="BDD7EE"/>
            <w:vAlign w:val="center"/>
            <w:hideMark/>
          </w:tcPr>
          <w:p w14:paraId="3E8C13CB" w14:textId="2BE9D7B2" w:rsidR="0057163C" w:rsidRPr="00170422" w:rsidRDefault="00F37BF9">
            <w:pPr>
              <w:pStyle w:val="P68B1DB1-Normal10"/>
              <w:jc w:val="center"/>
              <w:rPr>
                <w:noProof/>
                <w:szCs w:val="20"/>
                <w:lang w:val="de-DE"/>
              </w:rPr>
            </w:pPr>
            <w:r w:rsidRPr="00170422">
              <w:rPr>
                <w:noProof/>
                <w:lang w:val="de-DE"/>
              </w:rPr>
              <w:t>Etappenziel/</w:t>
            </w:r>
            <w:r w:rsidR="00D37F8B" w:rsidRPr="00170422">
              <w:rPr>
                <w:noProof/>
                <w:lang w:val="de-DE"/>
              </w:rPr>
              <w:br/>
            </w:r>
            <w:r w:rsidRPr="00170422">
              <w:rPr>
                <w:noProof/>
                <w:lang w:val="de-DE"/>
              </w:rPr>
              <w:t>Zielwert</w:t>
            </w:r>
          </w:p>
        </w:tc>
        <w:tc>
          <w:tcPr>
            <w:tcW w:w="1761" w:type="dxa"/>
            <w:vMerge w:val="restart"/>
            <w:shd w:val="clear" w:color="auto" w:fill="BDD7EE"/>
            <w:vAlign w:val="center"/>
            <w:hideMark/>
          </w:tcPr>
          <w:p w14:paraId="1EE01669" w14:textId="77777777" w:rsidR="0057163C" w:rsidRPr="00170422" w:rsidRDefault="00F37BF9">
            <w:pPr>
              <w:pStyle w:val="P68B1DB1-Normal10"/>
              <w:jc w:val="center"/>
              <w:rPr>
                <w:noProof/>
                <w:szCs w:val="20"/>
                <w:lang w:val="de-DE"/>
              </w:rPr>
            </w:pPr>
            <w:r w:rsidRPr="00170422">
              <w:rPr>
                <w:noProof/>
                <w:lang w:val="de-DE"/>
              </w:rPr>
              <w:t>Namen</w:t>
            </w:r>
          </w:p>
        </w:tc>
        <w:tc>
          <w:tcPr>
            <w:tcW w:w="1675" w:type="dxa"/>
            <w:vMerge w:val="restart"/>
            <w:shd w:val="clear" w:color="auto" w:fill="BDD7EE"/>
            <w:vAlign w:val="center"/>
            <w:hideMark/>
          </w:tcPr>
          <w:p w14:paraId="15C86E73" w14:textId="45049D88"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D37F8B"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4109" w:type="dxa"/>
            <w:gridSpan w:val="3"/>
            <w:shd w:val="clear" w:color="auto" w:fill="BDD7EE"/>
            <w:vAlign w:val="center"/>
            <w:hideMark/>
          </w:tcPr>
          <w:p w14:paraId="4541DD03"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w:t>
            </w:r>
            <w:r w:rsidRPr="00170422">
              <w:rPr>
                <w:rFonts w:ascii="Arial Narrow" w:hAnsi="Arial Narrow"/>
                <w:b/>
                <w:noProof/>
                <w:sz w:val="20"/>
                <w:lang w:val="de-DE"/>
              </w:rPr>
              <w:t xml:space="preserve"> (für Etappenziele)</w:t>
            </w:r>
            <w:r w:rsidRPr="00170422">
              <w:rPr>
                <w:noProof/>
                <w:lang w:val="de-DE"/>
              </w:rPr>
              <w:br/>
            </w:r>
            <w:r w:rsidRPr="00170422">
              <w:rPr>
                <w:rFonts w:ascii="Arial Narrow" w:hAnsi="Arial Narrow"/>
                <w:b/>
                <w:noProof/>
                <w:sz w:val="20"/>
                <w:lang w:val="de-DE"/>
              </w:rPr>
              <w:t>(für Ziele)</w:t>
            </w:r>
          </w:p>
        </w:tc>
        <w:tc>
          <w:tcPr>
            <w:tcW w:w="1778" w:type="dxa"/>
            <w:gridSpan w:val="2"/>
            <w:shd w:val="clear" w:color="auto" w:fill="BDD7EE"/>
            <w:vAlign w:val="center"/>
            <w:hideMark/>
          </w:tcPr>
          <w:p w14:paraId="0AC88E84"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4319" w:type="dxa"/>
            <w:vMerge w:val="restart"/>
            <w:shd w:val="clear" w:color="auto" w:fill="BDD7EE"/>
            <w:vAlign w:val="center"/>
            <w:hideMark/>
          </w:tcPr>
          <w:p w14:paraId="4B1009F0"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7EC7190F" w14:textId="77777777" w:rsidTr="00D37F8B">
        <w:trPr>
          <w:trHeight w:val="654"/>
          <w:tblHeader/>
          <w:jc w:val="center"/>
        </w:trPr>
        <w:tc>
          <w:tcPr>
            <w:tcW w:w="1377" w:type="dxa"/>
            <w:vMerge/>
            <w:vAlign w:val="center"/>
            <w:hideMark/>
          </w:tcPr>
          <w:p w14:paraId="35E1152D" w14:textId="77777777" w:rsidR="0057163C" w:rsidRPr="00170422" w:rsidRDefault="0057163C">
            <w:pPr>
              <w:jc w:val="center"/>
              <w:rPr>
                <w:rFonts w:ascii="Arial Narrow" w:hAnsi="Arial Narrow"/>
                <w:b/>
                <w:noProof/>
                <w:sz w:val="20"/>
                <w:szCs w:val="20"/>
                <w:lang w:val="de-DE"/>
              </w:rPr>
            </w:pPr>
          </w:p>
        </w:tc>
        <w:tc>
          <w:tcPr>
            <w:tcW w:w="1592" w:type="dxa"/>
            <w:vMerge/>
            <w:vAlign w:val="center"/>
            <w:hideMark/>
          </w:tcPr>
          <w:p w14:paraId="16F62E7A" w14:textId="77777777" w:rsidR="0057163C" w:rsidRPr="00170422" w:rsidRDefault="0057163C">
            <w:pPr>
              <w:jc w:val="center"/>
              <w:rPr>
                <w:rFonts w:ascii="Arial Narrow" w:hAnsi="Arial Narrow"/>
                <w:b/>
                <w:noProof/>
                <w:sz w:val="20"/>
                <w:szCs w:val="20"/>
                <w:lang w:val="de-DE"/>
              </w:rPr>
            </w:pPr>
          </w:p>
        </w:tc>
        <w:tc>
          <w:tcPr>
            <w:tcW w:w="1216" w:type="dxa"/>
            <w:vMerge/>
            <w:vAlign w:val="center"/>
            <w:hideMark/>
          </w:tcPr>
          <w:p w14:paraId="7D61AA99" w14:textId="77777777" w:rsidR="0057163C" w:rsidRPr="00170422" w:rsidRDefault="0057163C">
            <w:pPr>
              <w:jc w:val="center"/>
              <w:rPr>
                <w:rFonts w:ascii="Arial Narrow" w:hAnsi="Arial Narrow"/>
                <w:b/>
                <w:noProof/>
                <w:sz w:val="20"/>
                <w:szCs w:val="20"/>
                <w:lang w:val="de-DE"/>
              </w:rPr>
            </w:pPr>
          </w:p>
        </w:tc>
        <w:tc>
          <w:tcPr>
            <w:tcW w:w="1761" w:type="dxa"/>
            <w:vMerge/>
            <w:vAlign w:val="center"/>
            <w:hideMark/>
          </w:tcPr>
          <w:p w14:paraId="26DABD33" w14:textId="77777777" w:rsidR="0057163C" w:rsidRPr="00170422" w:rsidRDefault="0057163C">
            <w:pPr>
              <w:jc w:val="center"/>
              <w:rPr>
                <w:rFonts w:ascii="Arial Narrow" w:hAnsi="Arial Narrow"/>
                <w:b/>
                <w:noProof/>
                <w:sz w:val="20"/>
                <w:szCs w:val="20"/>
                <w:lang w:val="de-DE"/>
              </w:rPr>
            </w:pPr>
          </w:p>
        </w:tc>
        <w:tc>
          <w:tcPr>
            <w:tcW w:w="1675" w:type="dxa"/>
            <w:vMerge/>
            <w:vAlign w:val="center"/>
            <w:hideMark/>
          </w:tcPr>
          <w:p w14:paraId="30990CB1" w14:textId="77777777" w:rsidR="0057163C" w:rsidRPr="00170422" w:rsidRDefault="0057163C">
            <w:pPr>
              <w:jc w:val="center"/>
              <w:rPr>
                <w:rFonts w:ascii="Arial Narrow" w:hAnsi="Arial Narrow"/>
                <w:b/>
                <w:noProof/>
                <w:sz w:val="20"/>
                <w:szCs w:val="20"/>
                <w:lang w:val="de-DE"/>
              </w:rPr>
            </w:pPr>
          </w:p>
        </w:tc>
        <w:tc>
          <w:tcPr>
            <w:tcW w:w="1411" w:type="dxa"/>
            <w:shd w:val="clear" w:color="auto" w:fill="BDD7EE"/>
            <w:vAlign w:val="center"/>
            <w:hideMark/>
          </w:tcPr>
          <w:p w14:paraId="7A88C0DB" w14:textId="77777777" w:rsidR="0057163C" w:rsidRPr="00170422" w:rsidRDefault="00F37BF9">
            <w:pPr>
              <w:pStyle w:val="P68B1DB1-Normal10"/>
              <w:jc w:val="center"/>
              <w:rPr>
                <w:noProof/>
                <w:szCs w:val="20"/>
                <w:lang w:val="de-DE"/>
              </w:rPr>
            </w:pPr>
            <w:r w:rsidRPr="00170422">
              <w:rPr>
                <w:noProof/>
                <w:lang w:val="de-DE"/>
              </w:rPr>
              <w:t>Maßeinheit</w:t>
            </w:r>
          </w:p>
        </w:tc>
        <w:tc>
          <w:tcPr>
            <w:tcW w:w="1345" w:type="dxa"/>
            <w:shd w:val="clear" w:color="auto" w:fill="BDD7EE"/>
            <w:vAlign w:val="center"/>
            <w:hideMark/>
          </w:tcPr>
          <w:p w14:paraId="6B5B9A9A" w14:textId="77777777" w:rsidR="0057163C" w:rsidRPr="00170422" w:rsidRDefault="00F37BF9">
            <w:pPr>
              <w:pStyle w:val="P68B1DB1-Normal10"/>
              <w:jc w:val="center"/>
              <w:rPr>
                <w:noProof/>
                <w:szCs w:val="20"/>
                <w:lang w:val="de-DE"/>
              </w:rPr>
            </w:pPr>
            <w:r w:rsidRPr="00170422">
              <w:rPr>
                <w:noProof/>
                <w:lang w:val="de-DE"/>
              </w:rPr>
              <w:t>Ausgangslage</w:t>
            </w:r>
          </w:p>
        </w:tc>
        <w:tc>
          <w:tcPr>
            <w:tcW w:w="1353" w:type="dxa"/>
            <w:shd w:val="clear" w:color="auto" w:fill="BDD7EE"/>
            <w:vAlign w:val="center"/>
            <w:hideMark/>
          </w:tcPr>
          <w:p w14:paraId="3446E854" w14:textId="77777777" w:rsidR="0057163C" w:rsidRPr="00170422" w:rsidRDefault="00F37BF9">
            <w:pPr>
              <w:pStyle w:val="P68B1DB1-Normal10"/>
              <w:jc w:val="center"/>
              <w:rPr>
                <w:noProof/>
                <w:szCs w:val="20"/>
                <w:lang w:val="de-DE"/>
              </w:rPr>
            </w:pPr>
            <w:r w:rsidRPr="00170422">
              <w:rPr>
                <w:noProof/>
                <w:lang w:val="de-DE"/>
              </w:rPr>
              <w:t>Ziel</w:t>
            </w:r>
          </w:p>
        </w:tc>
        <w:tc>
          <w:tcPr>
            <w:tcW w:w="1044" w:type="dxa"/>
            <w:shd w:val="clear" w:color="auto" w:fill="BDD7EE"/>
            <w:vAlign w:val="center"/>
            <w:hideMark/>
          </w:tcPr>
          <w:p w14:paraId="1F4BA507" w14:textId="77777777" w:rsidR="0057163C" w:rsidRPr="00170422" w:rsidRDefault="00F37BF9">
            <w:pPr>
              <w:pStyle w:val="P68B1DB1-Normal10"/>
              <w:jc w:val="center"/>
              <w:rPr>
                <w:noProof/>
                <w:szCs w:val="20"/>
                <w:lang w:val="de-DE"/>
              </w:rPr>
            </w:pPr>
            <w:r w:rsidRPr="00170422">
              <w:rPr>
                <w:noProof/>
                <w:lang w:val="de-DE"/>
              </w:rPr>
              <w:t>Viertel</w:t>
            </w:r>
          </w:p>
        </w:tc>
        <w:tc>
          <w:tcPr>
            <w:tcW w:w="734" w:type="dxa"/>
            <w:shd w:val="clear" w:color="auto" w:fill="BDD7EE"/>
            <w:vAlign w:val="center"/>
            <w:hideMark/>
          </w:tcPr>
          <w:p w14:paraId="3406AE19" w14:textId="77777777" w:rsidR="0057163C" w:rsidRPr="00170422" w:rsidRDefault="00F37BF9">
            <w:pPr>
              <w:pStyle w:val="P68B1DB1-Normal10"/>
              <w:jc w:val="center"/>
              <w:rPr>
                <w:noProof/>
                <w:szCs w:val="20"/>
                <w:lang w:val="de-DE"/>
              </w:rPr>
            </w:pPr>
            <w:r w:rsidRPr="00170422">
              <w:rPr>
                <w:noProof/>
                <w:lang w:val="de-DE"/>
              </w:rPr>
              <w:t>Jahre</w:t>
            </w:r>
          </w:p>
        </w:tc>
        <w:tc>
          <w:tcPr>
            <w:tcW w:w="4319" w:type="dxa"/>
            <w:vMerge/>
            <w:vAlign w:val="center"/>
            <w:hideMark/>
          </w:tcPr>
          <w:p w14:paraId="7F51C387" w14:textId="77777777" w:rsidR="0057163C" w:rsidRPr="00170422" w:rsidRDefault="0057163C">
            <w:pPr>
              <w:rPr>
                <w:rFonts w:ascii="Arial Narrow" w:hAnsi="Arial Narrow"/>
                <w:b/>
                <w:noProof/>
                <w:sz w:val="20"/>
                <w:szCs w:val="20"/>
                <w:lang w:val="de-DE"/>
              </w:rPr>
            </w:pPr>
          </w:p>
        </w:tc>
      </w:tr>
      <w:tr w:rsidR="0057163C" w:rsidRPr="00170422" w14:paraId="2E9284F8" w14:textId="77777777" w:rsidTr="00D37F8B">
        <w:trPr>
          <w:trHeight w:val="309"/>
          <w:jc w:val="center"/>
        </w:trPr>
        <w:tc>
          <w:tcPr>
            <w:tcW w:w="1377" w:type="dxa"/>
            <w:shd w:val="clear" w:color="auto" w:fill="C6EFCE"/>
            <w:noWrap/>
            <w:vAlign w:val="center"/>
            <w:hideMark/>
          </w:tcPr>
          <w:p w14:paraId="371960F1" w14:textId="77777777" w:rsidR="0057163C" w:rsidRPr="00170422" w:rsidRDefault="00F37BF9">
            <w:pPr>
              <w:pStyle w:val="P68B1DB1-Normal11"/>
              <w:spacing w:before="120" w:after="120"/>
              <w:jc w:val="center"/>
              <w:rPr>
                <w:noProof/>
                <w:szCs w:val="20"/>
                <w:lang w:val="de-DE"/>
              </w:rPr>
            </w:pPr>
            <w:r w:rsidRPr="00170422">
              <w:rPr>
                <w:noProof/>
                <w:lang w:val="de-DE"/>
              </w:rPr>
              <w:t>M5C2-1</w:t>
            </w:r>
          </w:p>
        </w:tc>
        <w:tc>
          <w:tcPr>
            <w:tcW w:w="1592" w:type="dxa"/>
            <w:shd w:val="clear" w:color="auto" w:fill="C6EFCE"/>
            <w:noWrap/>
            <w:vAlign w:val="center"/>
            <w:hideMark/>
          </w:tcPr>
          <w:p w14:paraId="63A8C734" w14:textId="77777777" w:rsidR="0057163C" w:rsidRPr="00170422" w:rsidRDefault="00F37BF9">
            <w:pPr>
              <w:pStyle w:val="P68B1DB1-Normal11"/>
              <w:jc w:val="center"/>
              <w:rPr>
                <w:noProof/>
                <w:szCs w:val="20"/>
                <w:lang w:val="de-DE"/>
              </w:rPr>
            </w:pPr>
            <w:r w:rsidRPr="00170422">
              <w:rPr>
                <w:noProof/>
                <w:lang w:val="de-DE"/>
              </w:rPr>
              <w:t>Reform 1 – Rahmengesetz für Menschen mit Behinderungen</w:t>
            </w:r>
          </w:p>
        </w:tc>
        <w:tc>
          <w:tcPr>
            <w:tcW w:w="1216" w:type="dxa"/>
            <w:shd w:val="clear" w:color="auto" w:fill="C6EFCE"/>
            <w:noWrap/>
            <w:vAlign w:val="center"/>
            <w:hideMark/>
          </w:tcPr>
          <w:p w14:paraId="5CEF04EF" w14:textId="77777777" w:rsidR="0057163C" w:rsidRPr="00170422" w:rsidRDefault="00F37BF9">
            <w:pPr>
              <w:pStyle w:val="P68B1DB1-Normal11"/>
              <w:jc w:val="center"/>
              <w:rPr>
                <w:noProof/>
                <w:szCs w:val="20"/>
                <w:lang w:val="de-DE"/>
              </w:rPr>
            </w:pPr>
            <w:r w:rsidRPr="00170422">
              <w:rPr>
                <w:noProof/>
                <w:lang w:val="de-DE"/>
              </w:rPr>
              <w:t>Meilenstein</w:t>
            </w:r>
          </w:p>
        </w:tc>
        <w:tc>
          <w:tcPr>
            <w:tcW w:w="1761" w:type="dxa"/>
            <w:shd w:val="clear" w:color="auto" w:fill="C6EFCE"/>
            <w:noWrap/>
            <w:vAlign w:val="center"/>
            <w:hideMark/>
          </w:tcPr>
          <w:p w14:paraId="589D2601" w14:textId="77777777" w:rsidR="0057163C" w:rsidRPr="00170422" w:rsidRDefault="00F37BF9">
            <w:pPr>
              <w:pStyle w:val="P68B1DB1-Normal11"/>
              <w:jc w:val="center"/>
              <w:rPr>
                <w:noProof/>
                <w:szCs w:val="20"/>
                <w:lang w:val="de-DE"/>
              </w:rPr>
            </w:pPr>
            <w:r w:rsidRPr="00170422">
              <w:rPr>
                <w:noProof/>
                <w:lang w:val="de-DE"/>
              </w:rPr>
              <w:t>Inkrafttreten des Rahmengesetzes zur Stärkung der Autonomie von Menschen mit Behinderungen</w:t>
            </w:r>
          </w:p>
        </w:tc>
        <w:tc>
          <w:tcPr>
            <w:tcW w:w="1675" w:type="dxa"/>
            <w:shd w:val="clear" w:color="auto" w:fill="C6EFCE"/>
            <w:noWrap/>
            <w:vAlign w:val="center"/>
            <w:hideMark/>
          </w:tcPr>
          <w:p w14:paraId="1FC7E4C2" w14:textId="77777777" w:rsidR="0057163C" w:rsidRPr="00170422" w:rsidRDefault="00F37BF9">
            <w:pPr>
              <w:pStyle w:val="P68B1DB1-Normal11"/>
              <w:jc w:val="center"/>
              <w:rPr>
                <w:rFonts w:eastAsia="Calibri"/>
                <w:noProof/>
                <w:szCs w:val="20"/>
                <w:lang w:val="de-DE"/>
              </w:rPr>
            </w:pPr>
            <w:r w:rsidRPr="00170422">
              <w:rPr>
                <w:noProof/>
                <w:lang w:val="de-DE"/>
              </w:rPr>
              <w:t>Gesetzliche Bestimmung über das Inkrafttreten des Rahmengesetzes</w:t>
            </w:r>
          </w:p>
        </w:tc>
        <w:tc>
          <w:tcPr>
            <w:tcW w:w="1411" w:type="dxa"/>
            <w:shd w:val="clear" w:color="auto" w:fill="C6EFCE"/>
            <w:noWrap/>
            <w:vAlign w:val="center"/>
            <w:hideMark/>
          </w:tcPr>
          <w:p w14:paraId="529FABA2"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45" w:type="dxa"/>
            <w:shd w:val="clear" w:color="auto" w:fill="C6EFCE"/>
            <w:noWrap/>
            <w:vAlign w:val="center"/>
            <w:hideMark/>
          </w:tcPr>
          <w:p w14:paraId="528858CA" w14:textId="77777777" w:rsidR="0057163C" w:rsidRPr="00170422" w:rsidRDefault="00F37BF9">
            <w:pPr>
              <w:pStyle w:val="P68B1DB1-Normal11"/>
              <w:jc w:val="center"/>
              <w:rPr>
                <w:noProof/>
                <w:szCs w:val="20"/>
                <w:lang w:val="de-DE"/>
              </w:rPr>
            </w:pPr>
            <w:r w:rsidRPr="00170422">
              <w:rPr>
                <w:noProof/>
                <w:lang w:val="de-DE"/>
              </w:rPr>
              <w:t>ENTFÄLLT.</w:t>
            </w:r>
          </w:p>
        </w:tc>
        <w:tc>
          <w:tcPr>
            <w:tcW w:w="1353" w:type="dxa"/>
            <w:shd w:val="clear" w:color="auto" w:fill="C6EFCE"/>
            <w:noWrap/>
            <w:vAlign w:val="center"/>
            <w:hideMark/>
          </w:tcPr>
          <w:p w14:paraId="53C32FA6"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044" w:type="dxa"/>
            <w:shd w:val="clear" w:color="auto" w:fill="C6EFCE"/>
            <w:noWrap/>
            <w:vAlign w:val="center"/>
            <w:hideMark/>
          </w:tcPr>
          <w:p w14:paraId="0207CD39"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34" w:type="dxa"/>
            <w:shd w:val="clear" w:color="auto" w:fill="C6EFCE"/>
            <w:noWrap/>
            <w:vAlign w:val="center"/>
            <w:hideMark/>
          </w:tcPr>
          <w:p w14:paraId="0058B5FD" w14:textId="77777777" w:rsidR="0057163C" w:rsidRPr="00170422" w:rsidRDefault="00F37BF9">
            <w:pPr>
              <w:pStyle w:val="P68B1DB1-Normal11"/>
              <w:jc w:val="center"/>
              <w:rPr>
                <w:noProof/>
                <w:szCs w:val="20"/>
                <w:lang w:val="de-DE"/>
              </w:rPr>
            </w:pPr>
            <w:r w:rsidRPr="00170422">
              <w:rPr>
                <w:noProof/>
                <w:lang w:val="de-DE"/>
              </w:rPr>
              <w:t>2021</w:t>
            </w:r>
          </w:p>
        </w:tc>
        <w:tc>
          <w:tcPr>
            <w:tcW w:w="4319" w:type="dxa"/>
            <w:shd w:val="clear" w:color="auto" w:fill="C6EFCE"/>
            <w:noWrap/>
            <w:vAlign w:val="center"/>
            <w:hideMark/>
          </w:tcPr>
          <w:p w14:paraId="664A59D1" w14:textId="6FC8B2C5" w:rsidR="0057163C" w:rsidRPr="00170422" w:rsidRDefault="00F37BF9">
            <w:pPr>
              <w:pStyle w:val="P68B1DB1-Normal11"/>
              <w:rPr>
                <w:noProof/>
                <w:szCs w:val="20"/>
                <w:lang w:val="de-DE"/>
              </w:rPr>
            </w:pPr>
            <w:r w:rsidRPr="00170422">
              <w:rPr>
                <w:noProof/>
                <w:lang w:val="de-DE"/>
              </w:rPr>
              <w:t>Das Rahmengesetz, das aus einem Übertragun</w:t>
            </w:r>
            <w:r w:rsidRPr="00170422">
              <w:rPr>
                <w:noProof/>
                <w:lang w:val="de-DE"/>
              </w:rPr>
              <w:t>gsgesetz besteht, stärkt die Autonomie von Menschen mit Behinderungen im Einklang mit den Grundsätzen des Übereinkommens der Vereinten Nationen über die Rechte von Menschen mit Behinderungen und der europäischen Strategie 2021–2030 für die Rechte von Mensc</w:t>
            </w:r>
            <w:r w:rsidRPr="00170422">
              <w:rPr>
                <w:noProof/>
                <w:lang w:val="de-DE"/>
              </w:rPr>
              <w:t>hen mit Behinderungen, die mindestens Folgendes umfassen: die umfassende Definition und Verbesserung des Angebots an sozialen Dienstleistungen für Menschen mit Behinderungen in Verbindung mit der Förderung der Deinstitutionalisierung und des unabhängigen L</w:t>
            </w:r>
            <w:r w:rsidRPr="00170422">
              <w:rPr>
                <w:noProof/>
                <w:lang w:val="de-DE"/>
              </w:rPr>
              <w:t>ebens, ii) die Vereinfachung der Verfahren für den Zugang zu Gesundheits- und Sozialdienstleistungen und iii) die Überprüfung der Verfahren zur Bewertung des Zustands einer Behinderung im Hinblick auf eine multidimensionale Bewertung des Zustands jeder Per</w:t>
            </w:r>
            <w:r w:rsidRPr="00170422">
              <w:rPr>
                <w:noProof/>
                <w:lang w:val="de-DE"/>
              </w:rPr>
              <w:t>son.</w:t>
            </w:r>
          </w:p>
          <w:p w14:paraId="4D648C86" w14:textId="77777777" w:rsidR="0057163C" w:rsidRPr="00170422" w:rsidRDefault="00F37BF9">
            <w:pPr>
              <w:pStyle w:val="P68B1DB1-Normal11"/>
              <w:rPr>
                <w:rFonts w:eastAsia="Calibri"/>
                <w:noProof/>
                <w:szCs w:val="20"/>
                <w:lang w:val="de-DE"/>
              </w:rPr>
            </w:pPr>
            <w:r w:rsidRPr="00170422">
              <w:rPr>
                <w:noProof/>
                <w:lang w:val="de-DE"/>
              </w:rPr>
              <w:t>Menschen mit Behinderungen sind diejenigen, die gemäß den Grundsätzen des Übereinkommens der Vereinten Nationen über die Rechte von Menschen mit Behinderungen durch das Gesetz Nr. 104/1992 definiert sind. In Italien fällt das Bewertungsverfahren in di</w:t>
            </w:r>
            <w:r w:rsidRPr="00170422">
              <w:rPr>
                <w:noProof/>
                <w:lang w:val="de-DE"/>
              </w:rPr>
              <w:t>e Zuständigkeit der Regionen, und die Person wird vom örtlichen Gesundheitsdienst oder vom Nationalen Institut für soziale Fürsorge evaluiert.</w:t>
            </w:r>
          </w:p>
          <w:p w14:paraId="256FC5F3" w14:textId="77777777" w:rsidR="0057163C" w:rsidRPr="00170422" w:rsidRDefault="00F37BF9">
            <w:pPr>
              <w:pStyle w:val="P68B1DB1-Normal11"/>
              <w:rPr>
                <w:rFonts w:eastAsia="Calibri"/>
                <w:noProof/>
                <w:szCs w:val="20"/>
                <w:lang w:val="de-DE"/>
              </w:rPr>
            </w:pPr>
            <w:r w:rsidRPr="00170422">
              <w:rPr>
                <w:noProof/>
                <w:lang w:val="de-DE"/>
              </w:rPr>
              <w:t>Das Gesetz wird vom Minister für Menschen mit Behinderungen gemäß dem festgelegten Fahrplan zur Genehmigung durch</w:t>
            </w:r>
            <w:r w:rsidRPr="00170422">
              <w:rPr>
                <w:noProof/>
                <w:lang w:val="de-DE"/>
              </w:rPr>
              <w:t xml:space="preserve"> den Ministerrat vorgeschlagen.</w:t>
            </w:r>
          </w:p>
          <w:p w14:paraId="4C09C9E0" w14:textId="77777777" w:rsidR="0057163C" w:rsidRPr="00170422" w:rsidRDefault="00F37BF9">
            <w:pPr>
              <w:pStyle w:val="P68B1DB1-Normal11"/>
              <w:rPr>
                <w:rFonts w:eastAsia="Calibri"/>
                <w:noProof/>
                <w:szCs w:val="20"/>
                <w:lang w:val="de-DE"/>
              </w:rPr>
            </w:pPr>
            <w:r w:rsidRPr="00170422">
              <w:rPr>
                <w:noProof/>
                <w:lang w:val="de-DE"/>
              </w:rPr>
              <w:t>Im Anschluss an die Verabschiedung des Rahmengesetzes werden die lokalen Sozialdienste umstrukturiert, Qualitätsstandards festgelegt und eine IKT-Plattform bereitgestellt, um die Dienste zu verbessern und effizienter zu gest</w:t>
            </w:r>
            <w:r w:rsidRPr="00170422">
              <w:rPr>
                <w:noProof/>
                <w:lang w:val="de-DE"/>
              </w:rPr>
              <w:t>alten.</w:t>
            </w:r>
          </w:p>
        </w:tc>
      </w:tr>
      <w:tr w:rsidR="0057163C" w:rsidRPr="00170422" w14:paraId="210D399F" w14:textId="77777777" w:rsidTr="00D37F8B">
        <w:trPr>
          <w:trHeight w:val="309"/>
          <w:jc w:val="center"/>
        </w:trPr>
        <w:tc>
          <w:tcPr>
            <w:tcW w:w="1377" w:type="dxa"/>
            <w:shd w:val="clear" w:color="auto" w:fill="C6EFCE"/>
            <w:noWrap/>
            <w:vAlign w:val="center"/>
            <w:hideMark/>
          </w:tcPr>
          <w:p w14:paraId="4603FBD4" w14:textId="77777777" w:rsidR="0057163C" w:rsidRPr="00170422" w:rsidRDefault="00F37BF9">
            <w:pPr>
              <w:pStyle w:val="P68B1DB1-Normal11"/>
              <w:spacing w:before="120" w:after="120"/>
              <w:jc w:val="center"/>
              <w:rPr>
                <w:noProof/>
                <w:szCs w:val="20"/>
                <w:lang w:val="de-DE"/>
              </w:rPr>
            </w:pPr>
            <w:r w:rsidRPr="00170422">
              <w:rPr>
                <w:noProof/>
                <w:lang w:val="de-DE"/>
              </w:rPr>
              <w:t>M5C2-2</w:t>
            </w:r>
          </w:p>
        </w:tc>
        <w:tc>
          <w:tcPr>
            <w:tcW w:w="1592" w:type="dxa"/>
            <w:shd w:val="clear" w:color="auto" w:fill="C6EFCE"/>
            <w:noWrap/>
            <w:vAlign w:val="center"/>
            <w:hideMark/>
          </w:tcPr>
          <w:p w14:paraId="21E0D6C6" w14:textId="77777777" w:rsidR="0057163C" w:rsidRPr="00170422" w:rsidRDefault="00F37BF9">
            <w:pPr>
              <w:pStyle w:val="P68B1DB1-Normal11"/>
              <w:jc w:val="center"/>
              <w:rPr>
                <w:noProof/>
                <w:szCs w:val="20"/>
                <w:lang w:val="de-DE"/>
              </w:rPr>
            </w:pPr>
            <w:r w:rsidRPr="00170422">
              <w:rPr>
                <w:noProof/>
                <w:lang w:val="de-DE"/>
              </w:rPr>
              <w:t>Reform 1 – Rahmengesetz für Menschen mit Behinderungen</w:t>
            </w:r>
          </w:p>
        </w:tc>
        <w:tc>
          <w:tcPr>
            <w:tcW w:w="1216" w:type="dxa"/>
            <w:shd w:val="clear" w:color="auto" w:fill="C6EFCE"/>
            <w:noWrap/>
            <w:vAlign w:val="center"/>
            <w:hideMark/>
          </w:tcPr>
          <w:p w14:paraId="499C2CD7" w14:textId="77777777" w:rsidR="0057163C" w:rsidRPr="00170422" w:rsidRDefault="00F37BF9">
            <w:pPr>
              <w:pStyle w:val="P68B1DB1-Normal11"/>
              <w:jc w:val="center"/>
              <w:rPr>
                <w:rFonts w:eastAsia="Calibri"/>
                <w:noProof/>
                <w:szCs w:val="20"/>
                <w:lang w:val="de-DE"/>
              </w:rPr>
            </w:pPr>
            <w:r w:rsidRPr="00170422">
              <w:rPr>
                <w:noProof/>
                <w:lang w:val="de-DE"/>
              </w:rPr>
              <w:t>Meilenstein</w:t>
            </w:r>
          </w:p>
        </w:tc>
        <w:tc>
          <w:tcPr>
            <w:tcW w:w="1761" w:type="dxa"/>
            <w:shd w:val="clear" w:color="auto" w:fill="C6EFCE"/>
            <w:noWrap/>
            <w:vAlign w:val="center"/>
            <w:hideMark/>
          </w:tcPr>
          <w:p w14:paraId="077115D1" w14:textId="77777777" w:rsidR="0057163C" w:rsidRPr="00170422" w:rsidRDefault="00F37BF9">
            <w:pPr>
              <w:pStyle w:val="P68B1DB1-Normal11"/>
              <w:jc w:val="center"/>
              <w:rPr>
                <w:noProof/>
                <w:szCs w:val="20"/>
                <w:lang w:val="de-DE"/>
              </w:rPr>
            </w:pPr>
            <w:r w:rsidRPr="00170422">
              <w:rPr>
                <w:noProof/>
                <w:lang w:val="de-DE"/>
              </w:rPr>
              <w:t>Inkrafttreten der gesetzesvertretenden Dekrete zur Weiterentwicklung der Bestimmungen des Rahmengesetzes zur Stärkung der Autonomie von Menschen mit Behinderungen</w:t>
            </w:r>
          </w:p>
        </w:tc>
        <w:tc>
          <w:tcPr>
            <w:tcW w:w="1675" w:type="dxa"/>
            <w:shd w:val="clear" w:color="auto" w:fill="C6EFCE"/>
            <w:noWrap/>
            <w:vAlign w:val="center"/>
            <w:hideMark/>
          </w:tcPr>
          <w:p w14:paraId="185EA102" w14:textId="77777777" w:rsidR="0057163C" w:rsidRPr="00170422" w:rsidRDefault="00F37BF9">
            <w:pPr>
              <w:pStyle w:val="P68B1DB1-Normal11"/>
              <w:jc w:val="center"/>
              <w:rPr>
                <w:rFonts w:eastAsia="Calibri"/>
                <w:noProof/>
                <w:szCs w:val="20"/>
                <w:lang w:val="de-DE"/>
              </w:rPr>
            </w:pPr>
            <w:r w:rsidRPr="00170422">
              <w:rPr>
                <w:noProof/>
                <w:lang w:val="de-DE"/>
              </w:rPr>
              <w:t>Bestimmungen des Gesetzes über das Inkrafttreten der gesetzesvertretenden Dekrete</w:t>
            </w:r>
          </w:p>
        </w:tc>
        <w:tc>
          <w:tcPr>
            <w:tcW w:w="1411" w:type="dxa"/>
            <w:shd w:val="clear" w:color="auto" w:fill="C6EFCE"/>
            <w:noWrap/>
            <w:vAlign w:val="center"/>
            <w:hideMark/>
          </w:tcPr>
          <w:p w14:paraId="01539868" w14:textId="77777777" w:rsidR="0057163C" w:rsidRPr="00170422" w:rsidRDefault="00F37BF9">
            <w:pPr>
              <w:pStyle w:val="P68B1DB1-Normal11"/>
              <w:jc w:val="center"/>
              <w:rPr>
                <w:noProof/>
                <w:szCs w:val="20"/>
                <w:lang w:val="de-DE"/>
              </w:rPr>
            </w:pPr>
            <w:r w:rsidRPr="00170422">
              <w:rPr>
                <w:noProof/>
                <w:lang w:val="de-DE"/>
              </w:rPr>
              <w:t>ENTFÄLLT.</w:t>
            </w:r>
          </w:p>
        </w:tc>
        <w:tc>
          <w:tcPr>
            <w:tcW w:w="1345" w:type="dxa"/>
            <w:shd w:val="clear" w:color="auto" w:fill="C6EFCE"/>
            <w:noWrap/>
            <w:vAlign w:val="center"/>
            <w:hideMark/>
          </w:tcPr>
          <w:p w14:paraId="7F0A769D"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53" w:type="dxa"/>
            <w:shd w:val="clear" w:color="auto" w:fill="C6EFCE"/>
            <w:noWrap/>
            <w:vAlign w:val="center"/>
            <w:hideMark/>
          </w:tcPr>
          <w:p w14:paraId="4F756503"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044" w:type="dxa"/>
            <w:shd w:val="clear" w:color="auto" w:fill="C6EFCE"/>
            <w:noWrap/>
            <w:vAlign w:val="center"/>
            <w:hideMark/>
          </w:tcPr>
          <w:p w14:paraId="65B112C2" w14:textId="77777777" w:rsidR="0057163C" w:rsidRPr="00170422" w:rsidRDefault="00F37BF9">
            <w:pPr>
              <w:pStyle w:val="P68B1DB1-Normal11"/>
              <w:jc w:val="center"/>
              <w:rPr>
                <w:noProof/>
                <w:szCs w:val="20"/>
                <w:lang w:val="de-DE"/>
              </w:rPr>
            </w:pPr>
            <w:r w:rsidRPr="00170422">
              <w:rPr>
                <w:noProof/>
                <w:lang w:val="de-DE"/>
              </w:rPr>
              <w:t>Q2</w:t>
            </w:r>
          </w:p>
        </w:tc>
        <w:tc>
          <w:tcPr>
            <w:tcW w:w="734" w:type="dxa"/>
            <w:shd w:val="clear" w:color="auto" w:fill="C6EFCE"/>
            <w:noWrap/>
            <w:vAlign w:val="center"/>
            <w:hideMark/>
          </w:tcPr>
          <w:p w14:paraId="5529812E" w14:textId="77777777" w:rsidR="0057163C" w:rsidRPr="00170422" w:rsidRDefault="00F37BF9">
            <w:pPr>
              <w:pStyle w:val="P68B1DB1-Normal11"/>
              <w:jc w:val="center"/>
              <w:rPr>
                <w:rFonts w:eastAsia="Calibri"/>
                <w:noProof/>
                <w:szCs w:val="20"/>
                <w:lang w:val="de-DE"/>
              </w:rPr>
            </w:pPr>
            <w:r w:rsidRPr="00170422">
              <w:rPr>
                <w:noProof/>
                <w:lang w:val="de-DE"/>
              </w:rPr>
              <w:t>2024</w:t>
            </w:r>
          </w:p>
        </w:tc>
        <w:tc>
          <w:tcPr>
            <w:tcW w:w="4319" w:type="dxa"/>
            <w:shd w:val="clear" w:color="auto" w:fill="C6EFCE"/>
            <w:noWrap/>
            <w:vAlign w:val="center"/>
            <w:hideMark/>
          </w:tcPr>
          <w:p w14:paraId="344DA059" w14:textId="77777777" w:rsidR="0057163C" w:rsidRPr="00170422" w:rsidRDefault="00F37BF9">
            <w:pPr>
              <w:pStyle w:val="P68B1DB1-Normal11"/>
              <w:rPr>
                <w:rFonts w:eastAsia="Calibri"/>
                <w:noProof/>
                <w:szCs w:val="20"/>
                <w:lang w:val="de-DE"/>
              </w:rPr>
            </w:pPr>
            <w:r w:rsidRPr="00170422">
              <w:rPr>
                <w:noProof/>
                <w:lang w:val="de-DE"/>
              </w:rPr>
              <w:t>In den gesetzesvertretenden Dekreten werden die Bestimmungen des Rahmengesetzes zur Stärkung der Autonomie von Menschen mit Behinderunge</w:t>
            </w:r>
            <w:r w:rsidRPr="00170422">
              <w:rPr>
                <w:noProof/>
                <w:lang w:val="de-DE"/>
              </w:rPr>
              <w:t>n weiterentwickelt: I) Stärkung des Angebots an sozialen Dienstleistungen, II) Vereinfachung des Zugangs zu Sozial- und Gesundheitsdiensten, III) Reformen der Bewertung von Behinderungen, IV) Förderung von Projekten für ein unabhängiges Leben, V) Förderung</w:t>
            </w:r>
            <w:r w:rsidRPr="00170422">
              <w:rPr>
                <w:noProof/>
                <w:lang w:val="de-DE"/>
              </w:rPr>
              <w:t xml:space="preserve"> der Arbeit von Expertenteams, die Menschen mit Behinderungen mit mehrdimensionalen Bedürfnissen unterstützen können.</w:t>
            </w:r>
          </w:p>
        </w:tc>
      </w:tr>
      <w:tr w:rsidR="0057163C" w:rsidRPr="00170422" w14:paraId="4297D7A7" w14:textId="77777777" w:rsidTr="00D37F8B">
        <w:trPr>
          <w:trHeight w:val="309"/>
          <w:jc w:val="center"/>
        </w:trPr>
        <w:tc>
          <w:tcPr>
            <w:tcW w:w="1377" w:type="dxa"/>
            <w:shd w:val="clear" w:color="auto" w:fill="C6EFCE"/>
            <w:noWrap/>
            <w:vAlign w:val="center"/>
            <w:hideMark/>
          </w:tcPr>
          <w:p w14:paraId="13684096" w14:textId="77777777" w:rsidR="0057163C" w:rsidRPr="00170422" w:rsidRDefault="00F37BF9">
            <w:pPr>
              <w:pStyle w:val="P68B1DB1-Normal11"/>
              <w:spacing w:before="120" w:after="120"/>
              <w:jc w:val="center"/>
              <w:rPr>
                <w:noProof/>
                <w:szCs w:val="20"/>
                <w:lang w:val="de-DE"/>
              </w:rPr>
            </w:pPr>
            <w:r w:rsidRPr="00170422">
              <w:rPr>
                <w:noProof/>
                <w:lang w:val="de-DE"/>
              </w:rPr>
              <w:t>M5C2-3</w:t>
            </w:r>
          </w:p>
        </w:tc>
        <w:tc>
          <w:tcPr>
            <w:tcW w:w="1592" w:type="dxa"/>
            <w:shd w:val="clear" w:color="auto" w:fill="C6EFCE"/>
            <w:noWrap/>
            <w:vAlign w:val="center"/>
            <w:hideMark/>
          </w:tcPr>
          <w:p w14:paraId="21827A55" w14:textId="77777777" w:rsidR="0057163C" w:rsidRPr="00170422" w:rsidRDefault="00F37BF9">
            <w:pPr>
              <w:pStyle w:val="P68B1DB1-Normal11"/>
              <w:jc w:val="center"/>
              <w:rPr>
                <w:noProof/>
                <w:szCs w:val="20"/>
                <w:lang w:val="de-DE"/>
              </w:rPr>
            </w:pPr>
            <w:r w:rsidRPr="00170422">
              <w:rPr>
                <w:noProof/>
                <w:lang w:val="de-DE"/>
              </w:rPr>
              <w:t>Reform 2 – Reform für ältere Menschen ohne Selbstversorgung</w:t>
            </w:r>
          </w:p>
        </w:tc>
        <w:tc>
          <w:tcPr>
            <w:tcW w:w="1216" w:type="dxa"/>
            <w:shd w:val="clear" w:color="auto" w:fill="C6EFCE"/>
            <w:noWrap/>
            <w:vAlign w:val="center"/>
            <w:hideMark/>
          </w:tcPr>
          <w:p w14:paraId="259BDF6E" w14:textId="77777777" w:rsidR="0057163C" w:rsidRPr="00170422" w:rsidRDefault="00F37BF9">
            <w:pPr>
              <w:pStyle w:val="P68B1DB1-Normal11"/>
              <w:jc w:val="center"/>
              <w:rPr>
                <w:noProof/>
                <w:szCs w:val="20"/>
                <w:lang w:val="de-DE"/>
              </w:rPr>
            </w:pPr>
            <w:r w:rsidRPr="00170422">
              <w:rPr>
                <w:noProof/>
                <w:lang w:val="de-DE"/>
              </w:rPr>
              <w:t>Meilenstein</w:t>
            </w:r>
          </w:p>
        </w:tc>
        <w:tc>
          <w:tcPr>
            <w:tcW w:w="1761" w:type="dxa"/>
            <w:shd w:val="clear" w:color="auto" w:fill="C6EFCE"/>
            <w:noWrap/>
            <w:vAlign w:val="center"/>
            <w:hideMark/>
          </w:tcPr>
          <w:p w14:paraId="67D73C8D" w14:textId="77777777" w:rsidR="0057163C" w:rsidRPr="00170422" w:rsidRDefault="00F37BF9">
            <w:pPr>
              <w:pStyle w:val="P68B1DB1-Normal11"/>
              <w:jc w:val="center"/>
              <w:rPr>
                <w:noProof/>
                <w:szCs w:val="20"/>
                <w:lang w:val="de-DE"/>
              </w:rPr>
            </w:pPr>
            <w:r w:rsidRPr="00170422">
              <w:rPr>
                <w:noProof/>
                <w:lang w:val="de-DE"/>
              </w:rPr>
              <w:t xml:space="preserve">Inkrafttreten eines Rahmengesetzes zur Stärkung der </w:t>
            </w:r>
            <w:r w:rsidRPr="00170422">
              <w:rPr>
                <w:noProof/>
                <w:lang w:val="de-DE"/>
              </w:rPr>
              <w:t>Maßnahmen zugunsten älterer Menschen ohne Selbstversorgung</w:t>
            </w:r>
          </w:p>
        </w:tc>
        <w:tc>
          <w:tcPr>
            <w:tcW w:w="1675" w:type="dxa"/>
            <w:shd w:val="clear" w:color="auto" w:fill="C6EFCE"/>
            <w:noWrap/>
            <w:vAlign w:val="center"/>
            <w:hideMark/>
          </w:tcPr>
          <w:p w14:paraId="473AD2E6" w14:textId="77777777" w:rsidR="0057163C" w:rsidRPr="00170422" w:rsidRDefault="00F37BF9">
            <w:pPr>
              <w:pStyle w:val="P68B1DB1-Normal14"/>
              <w:jc w:val="center"/>
              <w:rPr>
                <w:noProof/>
                <w:color w:val="006100"/>
                <w:szCs w:val="20"/>
                <w:lang w:val="de-DE"/>
              </w:rPr>
            </w:pPr>
            <w:r w:rsidRPr="00170422">
              <w:rPr>
                <w:noProof/>
                <w:color w:val="006100"/>
                <w:lang w:val="de-DE"/>
              </w:rPr>
              <w:t>Bestimmungen des Gesetzes über das Inkrafttreten des Rahmengesetzes, mit dem die Maßnahmen zugunsten der Nichtselbstständigkeit älterer Menschen gestärkt</w:t>
            </w:r>
            <w:r w:rsidRPr="00170422">
              <w:rPr>
                <w:noProof/>
                <w:lang w:val="de-DE"/>
              </w:rPr>
              <w:t xml:space="preserve"> werden</w:t>
            </w:r>
          </w:p>
        </w:tc>
        <w:tc>
          <w:tcPr>
            <w:tcW w:w="1411" w:type="dxa"/>
            <w:shd w:val="clear" w:color="auto" w:fill="C6EFCE"/>
            <w:noWrap/>
            <w:vAlign w:val="center"/>
            <w:hideMark/>
          </w:tcPr>
          <w:p w14:paraId="36B9AE0D" w14:textId="77777777" w:rsidR="0057163C" w:rsidRPr="00170422" w:rsidRDefault="00F37BF9">
            <w:pPr>
              <w:pStyle w:val="P68B1DB1-Normal11"/>
              <w:jc w:val="center"/>
              <w:rPr>
                <w:noProof/>
                <w:szCs w:val="20"/>
                <w:lang w:val="de-DE"/>
              </w:rPr>
            </w:pPr>
            <w:r w:rsidRPr="00170422">
              <w:rPr>
                <w:noProof/>
                <w:lang w:val="de-DE"/>
              </w:rPr>
              <w:t>ENTFÄLLT.</w:t>
            </w:r>
          </w:p>
        </w:tc>
        <w:tc>
          <w:tcPr>
            <w:tcW w:w="1345" w:type="dxa"/>
            <w:shd w:val="clear" w:color="auto" w:fill="C6EFCE"/>
            <w:noWrap/>
            <w:vAlign w:val="center"/>
            <w:hideMark/>
          </w:tcPr>
          <w:p w14:paraId="0C57032A"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53" w:type="dxa"/>
            <w:shd w:val="clear" w:color="auto" w:fill="C6EFCE"/>
            <w:noWrap/>
            <w:vAlign w:val="center"/>
            <w:hideMark/>
          </w:tcPr>
          <w:p w14:paraId="01211EF4"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044" w:type="dxa"/>
            <w:shd w:val="clear" w:color="auto" w:fill="C6EFCE"/>
            <w:noWrap/>
            <w:vAlign w:val="center"/>
            <w:hideMark/>
          </w:tcPr>
          <w:p w14:paraId="6EAD2F0F" w14:textId="77777777" w:rsidR="0057163C" w:rsidRPr="00170422" w:rsidRDefault="00F37BF9">
            <w:pPr>
              <w:pStyle w:val="P68B1DB1-Normal11"/>
              <w:jc w:val="center"/>
              <w:rPr>
                <w:noProof/>
                <w:szCs w:val="20"/>
                <w:lang w:val="de-DE"/>
              </w:rPr>
            </w:pPr>
            <w:r w:rsidRPr="00170422">
              <w:rPr>
                <w:noProof/>
                <w:lang w:val="de-DE"/>
              </w:rPr>
              <w:t>Q1</w:t>
            </w:r>
          </w:p>
        </w:tc>
        <w:tc>
          <w:tcPr>
            <w:tcW w:w="734" w:type="dxa"/>
            <w:shd w:val="clear" w:color="auto" w:fill="C6EFCE"/>
            <w:noWrap/>
            <w:vAlign w:val="center"/>
            <w:hideMark/>
          </w:tcPr>
          <w:p w14:paraId="04F34A0A" w14:textId="77777777" w:rsidR="0057163C" w:rsidRPr="00170422" w:rsidRDefault="00F37BF9">
            <w:pPr>
              <w:pStyle w:val="P68B1DB1-Normal11"/>
              <w:jc w:val="center"/>
              <w:rPr>
                <w:rFonts w:eastAsia="Calibri"/>
                <w:noProof/>
                <w:szCs w:val="20"/>
                <w:lang w:val="de-DE"/>
              </w:rPr>
            </w:pPr>
            <w:r w:rsidRPr="00170422">
              <w:rPr>
                <w:noProof/>
                <w:lang w:val="de-DE"/>
              </w:rPr>
              <w:t>202</w:t>
            </w:r>
            <w:r w:rsidRPr="00170422">
              <w:rPr>
                <w:noProof/>
                <w:lang w:val="de-DE"/>
              </w:rPr>
              <w:t>3</w:t>
            </w:r>
          </w:p>
        </w:tc>
        <w:tc>
          <w:tcPr>
            <w:tcW w:w="4319" w:type="dxa"/>
            <w:shd w:val="clear" w:color="auto" w:fill="C6EFCE"/>
            <w:noWrap/>
            <w:vAlign w:val="center"/>
            <w:hideMark/>
          </w:tcPr>
          <w:p w14:paraId="046C1CC1" w14:textId="77777777" w:rsidR="0057163C" w:rsidRPr="00170422" w:rsidRDefault="00F37BF9">
            <w:pPr>
              <w:pStyle w:val="P68B1DB1-Normal11"/>
              <w:rPr>
                <w:noProof/>
                <w:szCs w:val="20"/>
                <w:lang w:val="de-DE"/>
              </w:rPr>
            </w:pPr>
            <w:r w:rsidRPr="00170422">
              <w:rPr>
                <w:noProof/>
                <w:lang w:val="de-DE"/>
              </w:rPr>
              <w:t>Das von der Regierung vorgeschlagene Rahmengesetz soll die Maßnahmen zugunsten nicht autarker älterer Menschen stärken. Das Gesetz vereinfacht und sieht einheitliche Ansprechpartner für Sozial- und Gesundheitsdienste vor, überprüft die Verfahren zur Bewe</w:t>
            </w:r>
            <w:r w:rsidRPr="00170422">
              <w:rPr>
                <w:noProof/>
                <w:lang w:val="de-DE"/>
              </w:rPr>
              <w:t>rtung des Zustands nicht autarker älterer Menschen und erhöht das Angebot an Sozial- und Gesundheitsdienstleistungen, die zu Hause erbracht werden können. Das Gesetz bestimmt auch die erforderlichen finanziellen Mittel.</w:t>
            </w:r>
          </w:p>
        </w:tc>
      </w:tr>
      <w:tr w:rsidR="0057163C" w:rsidRPr="00170422" w14:paraId="1AEC87F6" w14:textId="77777777" w:rsidTr="00D37F8B">
        <w:trPr>
          <w:trHeight w:val="309"/>
          <w:jc w:val="center"/>
        </w:trPr>
        <w:tc>
          <w:tcPr>
            <w:tcW w:w="1377" w:type="dxa"/>
            <w:shd w:val="clear" w:color="auto" w:fill="C6EFCE"/>
            <w:noWrap/>
            <w:vAlign w:val="center"/>
            <w:hideMark/>
          </w:tcPr>
          <w:p w14:paraId="5638FCB4" w14:textId="77777777" w:rsidR="0057163C" w:rsidRPr="00170422" w:rsidRDefault="00F37BF9">
            <w:pPr>
              <w:pStyle w:val="P68B1DB1-Normal11"/>
              <w:jc w:val="center"/>
              <w:rPr>
                <w:rFonts w:eastAsia="Calibri"/>
                <w:noProof/>
                <w:szCs w:val="20"/>
                <w:lang w:val="de-DE"/>
              </w:rPr>
            </w:pPr>
            <w:r w:rsidRPr="00170422">
              <w:rPr>
                <w:noProof/>
                <w:lang w:val="de-DE"/>
              </w:rPr>
              <w:t>M5C2-4</w:t>
            </w:r>
          </w:p>
        </w:tc>
        <w:tc>
          <w:tcPr>
            <w:tcW w:w="1592" w:type="dxa"/>
            <w:shd w:val="clear" w:color="auto" w:fill="C6EFCE"/>
            <w:noWrap/>
            <w:vAlign w:val="center"/>
            <w:hideMark/>
          </w:tcPr>
          <w:p w14:paraId="634379D4" w14:textId="77777777" w:rsidR="0057163C" w:rsidRPr="00170422" w:rsidRDefault="00F37BF9">
            <w:pPr>
              <w:pStyle w:val="P68B1DB1-Normal11"/>
              <w:jc w:val="center"/>
              <w:rPr>
                <w:noProof/>
                <w:szCs w:val="20"/>
                <w:lang w:val="de-DE"/>
              </w:rPr>
            </w:pPr>
            <w:r w:rsidRPr="00170422">
              <w:rPr>
                <w:noProof/>
                <w:lang w:val="de-DE"/>
              </w:rPr>
              <w:t>Reform 2 – Reform für ältere</w:t>
            </w:r>
            <w:r w:rsidRPr="00170422">
              <w:rPr>
                <w:noProof/>
                <w:lang w:val="de-DE"/>
              </w:rPr>
              <w:t xml:space="preserve"> Menschen ohne Selbstversorgung</w:t>
            </w:r>
          </w:p>
        </w:tc>
        <w:tc>
          <w:tcPr>
            <w:tcW w:w="1216" w:type="dxa"/>
            <w:shd w:val="clear" w:color="auto" w:fill="C6EFCE"/>
            <w:noWrap/>
            <w:vAlign w:val="center"/>
            <w:hideMark/>
          </w:tcPr>
          <w:p w14:paraId="2EA59E32" w14:textId="77777777" w:rsidR="0057163C" w:rsidRPr="00170422" w:rsidRDefault="00F37BF9">
            <w:pPr>
              <w:pStyle w:val="P68B1DB1-Normal11"/>
              <w:jc w:val="center"/>
              <w:rPr>
                <w:rFonts w:eastAsia="Calibri"/>
                <w:noProof/>
                <w:szCs w:val="20"/>
                <w:lang w:val="de-DE"/>
              </w:rPr>
            </w:pPr>
            <w:r w:rsidRPr="00170422">
              <w:rPr>
                <w:noProof/>
                <w:lang w:val="de-DE"/>
              </w:rPr>
              <w:t>Meilenstein</w:t>
            </w:r>
          </w:p>
        </w:tc>
        <w:tc>
          <w:tcPr>
            <w:tcW w:w="1761" w:type="dxa"/>
            <w:shd w:val="clear" w:color="auto" w:fill="C6EFCE"/>
            <w:noWrap/>
            <w:vAlign w:val="center"/>
            <w:hideMark/>
          </w:tcPr>
          <w:p w14:paraId="22B2B863" w14:textId="77777777" w:rsidR="0057163C" w:rsidRPr="00170422" w:rsidRDefault="00F37BF9">
            <w:pPr>
              <w:pStyle w:val="P68B1DB1-Normal11"/>
              <w:jc w:val="center"/>
              <w:rPr>
                <w:noProof/>
                <w:szCs w:val="20"/>
                <w:lang w:val="de-DE"/>
              </w:rPr>
            </w:pPr>
            <w:r w:rsidRPr="00170422">
              <w:rPr>
                <w:noProof/>
                <w:lang w:val="de-DE"/>
              </w:rPr>
              <w:t>Inkrafttreten des gesetzesvertretenden Dekrets zur Weiterentwicklung der Bestimmungen des Rahmengesetzes zur Stärkung der Maßnahmen zugunsten älterer Menschen ohne Selbstversorgung</w:t>
            </w:r>
          </w:p>
        </w:tc>
        <w:tc>
          <w:tcPr>
            <w:tcW w:w="1675" w:type="dxa"/>
            <w:shd w:val="clear" w:color="auto" w:fill="C6EFCE"/>
            <w:noWrap/>
            <w:vAlign w:val="center"/>
            <w:hideMark/>
          </w:tcPr>
          <w:p w14:paraId="3D5867BC" w14:textId="77777777" w:rsidR="0057163C" w:rsidRPr="00170422" w:rsidRDefault="00F37BF9">
            <w:pPr>
              <w:pStyle w:val="P68B1DB1-Normal11"/>
              <w:jc w:val="center"/>
              <w:rPr>
                <w:noProof/>
                <w:szCs w:val="20"/>
                <w:lang w:val="de-DE"/>
              </w:rPr>
            </w:pPr>
            <w:r w:rsidRPr="00170422">
              <w:rPr>
                <w:noProof/>
                <w:lang w:val="de-DE"/>
              </w:rPr>
              <w:t xml:space="preserve">Bestimmungen des Gesetzes über </w:t>
            </w:r>
            <w:r w:rsidRPr="00170422">
              <w:rPr>
                <w:noProof/>
                <w:lang w:val="de-DE"/>
              </w:rPr>
              <w:t>das Inkrafttreten des gesetzesvertretenden Dekrets</w:t>
            </w:r>
          </w:p>
        </w:tc>
        <w:tc>
          <w:tcPr>
            <w:tcW w:w="1411" w:type="dxa"/>
            <w:shd w:val="clear" w:color="auto" w:fill="C6EFCE"/>
            <w:noWrap/>
            <w:vAlign w:val="center"/>
            <w:hideMark/>
          </w:tcPr>
          <w:p w14:paraId="039072DD"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45" w:type="dxa"/>
            <w:shd w:val="clear" w:color="auto" w:fill="C6EFCE"/>
            <w:noWrap/>
            <w:vAlign w:val="center"/>
            <w:hideMark/>
          </w:tcPr>
          <w:p w14:paraId="57933A69"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53" w:type="dxa"/>
            <w:shd w:val="clear" w:color="auto" w:fill="C6EFCE"/>
            <w:noWrap/>
            <w:vAlign w:val="center"/>
            <w:hideMark/>
          </w:tcPr>
          <w:p w14:paraId="4634BBD7"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044" w:type="dxa"/>
            <w:shd w:val="clear" w:color="auto" w:fill="C6EFCE"/>
            <w:noWrap/>
            <w:vAlign w:val="center"/>
            <w:hideMark/>
          </w:tcPr>
          <w:p w14:paraId="7016FDF2" w14:textId="77777777" w:rsidR="0057163C" w:rsidRPr="00170422" w:rsidRDefault="00F37BF9">
            <w:pPr>
              <w:pStyle w:val="P68B1DB1-Normal11"/>
              <w:jc w:val="center"/>
              <w:rPr>
                <w:noProof/>
                <w:szCs w:val="20"/>
                <w:lang w:val="de-DE"/>
              </w:rPr>
            </w:pPr>
            <w:r w:rsidRPr="00170422">
              <w:rPr>
                <w:noProof/>
                <w:lang w:val="de-DE"/>
              </w:rPr>
              <w:t>Q1</w:t>
            </w:r>
          </w:p>
        </w:tc>
        <w:tc>
          <w:tcPr>
            <w:tcW w:w="734" w:type="dxa"/>
            <w:shd w:val="clear" w:color="auto" w:fill="C6EFCE"/>
            <w:noWrap/>
            <w:vAlign w:val="center"/>
            <w:hideMark/>
          </w:tcPr>
          <w:p w14:paraId="3D191AC2" w14:textId="77777777" w:rsidR="0057163C" w:rsidRPr="00170422" w:rsidRDefault="00F37BF9">
            <w:pPr>
              <w:pStyle w:val="P68B1DB1-Normal11"/>
              <w:jc w:val="center"/>
              <w:rPr>
                <w:noProof/>
                <w:szCs w:val="20"/>
                <w:lang w:val="de-DE"/>
              </w:rPr>
            </w:pPr>
            <w:r w:rsidRPr="00170422">
              <w:rPr>
                <w:noProof/>
                <w:lang w:val="de-DE"/>
              </w:rPr>
              <w:t>2024</w:t>
            </w:r>
          </w:p>
        </w:tc>
        <w:tc>
          <w:tcPr>
            <w:tcW w:w="4319" w:type="dxa"/>
            <w:shd w:val="clear" w:color="auto" w:fill="C6EFCE"/>
            <w:noWrap/>
            <w:vAlign w:val="center"/>
            <w:hideMark/>
          </w:tcPr>
          <w:p w14:paraId="07246969" w14:textId="77777777" w:rsidR="0057163C" w:rsidRPr="00170422" w:rsidRDefault="00F37BF9">
            <w:pPr>
              <w:pStyle w:val="P68B1DB1-Normal11"/>
              <w:rPr>
                <w:noProof/>
                <w:szCs w:val="20"/>
                <w:lang w:val="de-DE"/>
              </w:rPr>
            </w:pPr>
            <w:r w:rsidRPr="00170422">
              <w:rPr>
                <w:noProof/>
                <w:lang w:val="de-DE"/>
              </w:rPr>
              <w:t>Mit dem Gesetzesdekret werden die Bestimmungen des Rahmengesetzes konkretisiert, um die Maßnahmen zugunsten nicht autarker älterer Menschen zu verstärken und die versc</w:t>
            </w:r>
            <w:r w:rsidRPr="00170422">
              <w:rPr>
                <w:noProof/>
                <w:lang w:val="de-DE"/>
              </w:rPr>
              <w:t>hiedenen Maßnahmen umzusetzen.</w:t>
            </w:r>
          </w:p>
        </w:tc>
      </w:tr>
      <w:tr w:rsidR="0057163C" w:rsidRPr="00170422" w14:paraId="64EBB713" w14:textId="77777777" w:rsidTr="00D37F8B">
        <w:trPr>
          <w:trHeight w:val="309"/>
          <w:jc w:val="center"/>
        </w:trPr>
        <w:tc>
          <w:tcPr>
            <w:tcW w:w="1377" w:type="dxa"/>
            <w:shd w:val="clear" w:color="auto" w:fill="C6EFCE"/>
            <w:noWrap/>
            <w:vAlign w:val="center"/>
            <w:hideMark/>
          </w:tcPr>
          <w:p w14:paraId="7F289F49" w14:textId="77777777" w:rsidR="0057163C" w:rsidRPr="00170422" w:rsidRDefault="00F37BF9">
            <w:pPr>
              <w:pStyle w:val="P68B1DB1-Normal11"/>
              <w:jc w:val="center"/>
              <w:rPr>
                <w:noProof/>
                <w:szCs w:val="20"/>
                <w:lang w:val="de-DE"/>
              </w:rPr>
            </w:pPr>
            <w:r w:rsidRPr="00170422">
              <w:rPr>
                <w:noProof/>
                <w:lang w:val="de-DE"/>
              </w:rPr>
              <w:t>M5C2-5</w:t>
            </w:r>
          </w:p>
        </w:tc>
        <w:tc>
          <w:tcPr>
            <w:tcW w:w="1592" w:type="dxa"/>
            <w:shd w:val="clear" w:color="auto" w:fill="C6EFCE"/>
            <w:noWrap/>
            <w:vAlign w:val="center"/>
            <w:hideMark/>
          </w:tcPr>
          <w:p w14:paraId="5473B931" w14:textId="77777777" w:rsidR="0057163C" w:rsidRPr="00170422" w:rsidRDefault="00F37BF9">
            <w:pPr>
              <w:pStyle w:val="P68B1DB1-Normal11"/>
              <w:jc w:val="center"/>
              <w:rPr>
                <w:noProof/>
                <w:szCs w:val="20"/>
                <w:lang w:val="de-DE"/>
              </w:rPr>
            </w:pPr>
            <w:r w:rsidRPr="00170422">
              <w:rPr>
                <w:noProof/>
                <w:lang w:val="de-DE"/>
              </w:rPr>
              <w:t>Investition 1 – Unterstützung schutzbedürftiger Menschen und Verhinderung der Institutionalisierung</w:t>
            </w:r>
          </w:p>
        </w:tc>
        <w:tc>
          <w:tcPr>
            <w:tcW w:w="1216" w:type="dxa"/>
            <w:shd w:val="clear" w:color="auto" w:fill="C6EFCE"/>
            <w:noWrap/>
            <w:vAlign w:val="center"/>
            <w:hideMark/>
          </w:tcPr>
          <w:p w14:paraId="7694686F" w14:textId="77777777" w:rsidR="0057163C" w:rsidRPr="00170422" w:rsidRDefault="00F37BF9">
            <w:pPr>
              <w:pStyle w:val="P68B1DB1-Normal11"/>
              <w:jc w:val="center"/>
              <w:rPr>
                <w:noProof/>
                <w:szCs w:val="20"/>
                <w:lang w:val="de-DE"/>
              </w:rPr>
            </w:pPr>
            <w:r w:rsidRPr="00170422">
              <w:rPr>
                <w:noProof/>
                <w:lang w:val="de-DE"/>
              </w:rPr>
              <w:t>Meilenstein</w:t>
            </w:r>
          </w:p>
        </w:tc>
        <w:tc>
          <w:tcPr>
            <w:tcW w:w="1761" w:type="dxa"/>
            <w:shd w:val="clear" w:color="auto" w:fill="C6EFCE"/>
            <w:noWrap/>
            <w:vAlign w:val="center"/>
            <w:hideMark/>
          </w:tcPr>
          <w:p w14:paraId="36777026" w14:textId="77777777" w:rsidR="0057163C" w:rsidRPr="00170422" w:rsidRDefault="00F37BF9">
            <w:pPr>
              <w:pStyle w:val="P68B1DB1-Normal12"/>
              <w:jc w:val="center"/>
              <w:rPr>
                <w:noProof/>
                <w:lang w:val="de-DE"/>
              </w:rPr>
            </w:pPr>
            <w:r w:rsidRPr="00170422">
              <w:rPr>
                <w:noProof/>
                <w:lang w:val="de-DE"/>
              </w:rPr>
              <w:t>Inkrafttreten des Einsatzplans</w:t>
            </w:r>
          </w:p>
        </w:tc>
        <w:tc>
          <w:tcPr>
            <w:tcW w:w="1675" w:type="dxa"/>
            <w:shd w:val="clear" w:color="auto" w:fill="C6EFCE"/>
            <w:noWrap/>
            <w:vAlign w:val="center"/>
            <w:hideMark/>
          </w:tcPr>
          <w:p w14:paraId="1F16252B" w14:textId="77777777" w:rsidR="0057163C" w:rsidRPr="00170422" w:rsidRDefault="00F37BF9">
            <w:pPr>
              <w:pStyle w:val="P68B1DB1-Normal11"/>
              <w:jc w:val="center"/>
              <w:rPr>
                <w:noProof/>
                <w:szCs w:val="20"/>
                <w:lang w:val="de-DE"/>
              </w:rPr>
            </w:pPr>
            <w:r w:rsidRPr="00170422">
              <w:rPr>
                <w:noProof/>
                <w:lang w:val="de-DE"/>
              </w:rPr>
              <w:t>Gesetzliche Bestimmungen über das Inkrafttreten des Einsatzplans</w:t>
            </w:r>
          </w:p>
        </w:tc>
        <w:tc>
          <w:tcPr>
            <w:tcW w:w="1411" w:type="dxa"/>
            <w:shd w:val="clear" w:color="auto" w:fill="C6EFCE"/>
            <w:noWrap/>
            <w:vAlign w:val="center"/>
            <w:hideMark/>
          </w:tcPr>
          <w:p w14:paraId="2F9CA16A"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45" w:type="dxa"/>
            <w:shd w:val="clear" w:color="auto" w:fill="C6EFCE"/>
            <w:noWrap/>
            <w:vAlign w:val="center"/>
            <w:hideMark/>
          </w:tcPr>
          <w:p w14:paraId="26E91B3A"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353" w:type="dxa"/>
            <w:shd w:val="clear" w:color="auto" w:fill="C6EFCE"/>
            <w:noWrap/>
            <w:vAlign w:val="center"/>
            <w:hideMark/>
          </w:tcPr>
          <w:p w14:paraId="57C650FE" w14:textId="77777777" w:rsidR="0057163C" w:rsidRPr="00170422" w:rsidRDefault="00F37BF9">
            <w:pPr>
              <w:pStyle w:val="P68B1DB1-Normal11"/>
              <w:jc w:val="center"/>
              <w:rPr>
                <w:rFonts w:eastAsia="Calibri"/>
                <w:noProof/>
                <w:szCs w:val="20"/>
                <w:lang w:val="de-DE"/>
              </w:rPr>
            </w:pPr>
            <w:r w:rsidRPr="00170422">
              <w:rPr>
                <w:noProof/>
                <w:lang w:val="de-DE"/>
              </w:rPr>
              <w:t>ENTFÄLLT.</w:t>
            </w:r>
          </w:p>
        </w:tc>
        <w:tc>
          <w:tcPr>
            <w:tcW w:w="1044" w:type="dxa"/>
            <w:shd w:val="clear" w:color="auto" w:fill="C6EFCE"/>
            <w:noWrap/>
            <w:vAlign w:val="center"/>
            <w:hideMark/>
          </w:tcPr>
          <w:p w14:paraId="6E1E00B4"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734" w:type="dxa"/>
            <w:shd w:val="clear" w:color="auto" w:fill="C6EFCE"/>
            <w:noWrap/>
            <w:vAlign w:val="center"/>
            <w:hideMark/>
          </w:tcPr>
          <w:p w14:paraId="100DF0D4" w14:textId="77777777" w:rsidR="0057163C" w:rsidRPr="00170422" w:rsidRDefault="00F37BF9">
            <w:pPr>
              <w:pStyle w:val="P68B1DB1-Normal11"/>
              <w:jc w:val="center"/>
              <w:rPr>
                <w:rFonts w:eastAsia="Calibri"/>
                <w:noProof/>
                <w:szCs w:val="20"/>
                <w:lang w:val="de-DE"/>
              </w:rPr>
            </w:pPr>
            <w:r w:rsidRPr="00170422">
              <w:rPr>
                <w:noProof/>
                <w:lang w:val="de-DE"/>
              </w:rPr>
              <w:t>2021</w:t>
            </w:r>
          </w:p>
        </w:tc>
        <w:tc>
          <w:tcPr>
            <w:tcW w:w="4319" w:type="dxa"/>
            <w:shd w:val="clear" w:color="auto" w:fill="C6EFCE"/>
            <w:noWrap/>
            <w:vAlign w:val="center"/>
            <w:hideMark/>
          </w:tcPr>
          <w:p w14:paraId="01DCBD2D" w14:textId="77777777" w:rsidR="0057163C" w:rsidRPr="00170422" w:rsidRDefault="00F37BF9">
            <w:pPr>
              <w:pStyle w:val="P68B1DB1-Normal11"/>
              <w:rPr>
                <w:noProof/>
                <w:szCs w:val="20"/>
                <w:lang w:val="de-DE"/>
              </w:rPr>
            </w:pPr>
            <w:r w:rsidRPr="00170422">
              <w:rPr>
                <w:noProof/>
                <w:lang w:val="de-DE"/>
              </w:rPr>
              <w:t>Im Einsatzplan werden die Anforderungen an Projekte festgelegt, die von lokalen Stellen vorgelegt werden können und die sich auf vier Dimensionen beziehen: Unterstützung von Eltern von Kindern im Alter von 0 bis 17 Jahr</w:t>
            </w:r>
            <w:r w:rsidRPr="00170422">
              <w:rPr>
                <w:noProof/>
                <w:lang w:val="de-DE"/>
              </w:rPr>
              <w:t>en, ii) Unterstützung der Autonomie älterer Menschen, iii) häusliche Dienste für ältere Menschen und iv) Unterstützung von Sozialarbeitern.</w:t>
            </w:r>
          </w:p>
          <w:p w14:paraId="0C5217C1" w14:textId="77777777" w:rsidR="0057163C" w:rsidRPr="00170422" w:rsidRDefault="00F37BF9">
            <w:pPr>
              <w:pStyle w:val="P68B1DB1-Normal11"/>
              <w:rPr>
                <w:noProof/>
                <w:szCs w:val="20"/>
                <w:lang w:val="de-DE"/>
              </w:rPr>
            </w:pPr>
            <w:r w:rsidRPr="00170422">
              <w:rPr>
                <w:noProof/>
                <w:lang w:val="de-DE"/>
              </w:rPr>
              <w:t>Die Maßnahme „Unterstützung der Eltern“ besteht mindestens in der Unterstützung der begünstigten Familien für mindes</w:t>
            </w:r>
            <w:r w:rsidRPr="00170422">
              <w:rPr>
                <w:noProof/>
                <w:lang w:val="de-DE"/>
              </w:rPr>
              <w:t>tens 18 Monate mit i) einer Vorabbewertung des familiären Umfelds und der Situation von Kindern, ii) einer Bewertung der Situation durch ein multidisziplinäres Team qualifizierter Fachkräfte und iii) der Erbringung von mindestens einer der folgenden Leistu</w:t>
            </w:r>
            <w:r w:rsidRPr="00170422">
              <w:rPr>
                <w:noProof/>
                <w:lang w:val="de-DE"/>
              </w:rPr>
              <w:t>ngen: häusliche Dienste, Teilnahme an Gruppen zur Unterstützung von Eltern und Kindern; Zusammenarbeit zwischen Schulen, Familien und sozialen Diensten und/oder gemeinsamen Familienbetreuungsdiensten.</w:t>
            </w:r>
          </w:p>
          <w:p w14:paraId="446607A1" w14:textId="77777777" w:rsidR="0057163C" w:rsidRPr="00170422" w:rsidRDefault="00F37BF9">
            <w:pPr>
              <w:pStyle w:val="P68B1DB1-Normal11"/>
              <w:rPr>
                <w:rFonts w:eastAsia="Calibri"/>
                <w:noProof/>
                <w:szCs w:val="20"/>
                <w:lang w:val="de-DE"/>
              </w:rPr>
            </w:pPr>
            <w:r w:rsidRPr="00170422">
              <w:rPr>
                <w:noProof/>
                <w:lang w:val="de-DE"/>
              </w:rPr>
              <w:t>Die Maßnahme „ältere Autonomie“ besteht mindestens dari</w:t>
            </w:r>
            <w:r w:rsidRPr="00170422">
              <w:rPr>
                <w:noProof/>
                <w:lang w:val="de-DE"/>
              </w:rPr>
              <w:t>n, Altersheime für ältere Menschen wieder in Gruppen autonomer Wohnungen umzuwandeln, die mit allen erforderlichen Einrichtungen und Diensten ausgestattet sind, einschließlich Hausautomatisierung, Telemedizin und Fernüberwachung.</w:t>
            </w:r>
          </w:p>
          <w:p w14:paraId="193F8505" w14:textId="77777777" w:rsidR="0057163C" w:rsidRPr="00170422" w:rsidRDefault="00F37BF9">
            <w:pPr>
              <w:pStyle w:val="P68B1DB1-Normal11"/>
              <w:rPr>
                <w:rFonts w:eastAsia="Calibri"/>
                <w:noProof/>
                <w:szCs w:val="20"/>
                <w:lang w:val="de-DE"/>
              </w:rPr>
            </w:pPr>
            <w:r w:rsidRPr="00170422">
              <w:rPr>
                <w:noProof/>
                <w:lang w:val="de-DE"/>
              </w:rPr>
              <w:t>Die Maßnahme „Heimatdienst</w:t>
            </w:r>
            <w:r w:rsidRPr="00170422">
              <w:rPr>
                <w:noProof/>
                <w:lang w:val="de-DE"/>
              </w:rPr>
              <w:t>leistungen für ältere Menschen“ zielt darauf ab, Fachkräfte speziell für häusliche Dienstleistungen für ältere Menschen zu schulen.</w:t>
            </w:r>
          </w:p>
          <w:p w14:paraId="34DEDDB2" w14:textId="10483202" w:rsidR="0057163C" w:rsidRPr="00170422" w:rsidRDefault="00F37BF9">
            <w:pPr>
              <w:pStyle w:val="P68B1DB1-Normal11"/>
              <w:rPr>
                <w:rFonts w:eastAsia="Calibri"/>
                <w:noProof/>
                <w:szCs w:val="20"/>
                <w:lang w:val="de-DE"/>
              </w:rPr>
            </w:pPr>
            <w:r w:rsidRPr="00170422">
              <w:rPr>
                <w:noProof/>
                <w:lang w:val="de-DE"/>
              </w:rPr>
              <w:t>Die Maßnahme „Unterstützung von Sozialarbeitern“ besteht in der Unterstützung sozialer Akteure und der Stärkung ihrer Profes</w:t>
            </w:r>
            <w:r w:rsidRPr="00170422">
              <w:rPr>
                <w:noProof/>
                <w:lang w:val="de-DE"/>
              </w:rPr>
              <w:t>sionalität und geteilten Zuständigkeiten, vor allem durch die Einführung von Instrumenten für die Aufteilung von Zuständigkeiten und die Erbringung von Aufsichtsdiensten für Betreiber zur Unterstützung der Arbeit der Betreiber.</w:t>
            </w:r>
          </w:p>
        </w:tc>
      </w:tr>
      <w:tr w:rsidR="0057163C" w:rsidRPr="00170422" w14:paraId="06E340D1" w14:textId="77777777" w:rsidTr="00D37F8B">
        <w:trPr>
          <w:trHeight w:val="309"/>
          <w:jc w:val="center"/>
        </w:trPr>
        <w:tc>
          <w:tcPr>
            <w:tcW w:w="1377" w:type="dxa"/>
            <w:shd w:val="clear" w:color="auto" w:fill="C6EFCE"/>
            <w:noWrap/>
            <w:vAlign w:val="center"/>
            <w:hideMark/>
          </w:tcPr>
          <w:p w14:paraId="41DB43B2" w14:textId="77777777" w:rsidR="0057163C" w:rsidRPr="00170422" w:rsidRDefault="00F37BF9">
            <w:pPr>
              <w:pStyle w:val="P68B1DB1-Normal11"/>
              <w:spacing w:before="120"/>
              <w:jc w:val="center"/>
              <w:rPr>
                <w:rFonts w:eastAsia="Calibri"/>
                <w:noProof/>
                <w:szCs w:val="20"/>
                <w:lang w:val="de-DE"/>
              </w:rPr>
            </w:pPr>
            <w:r w:rsidRPr="00170422">
              <w:rPr>
                <w:noProof/>
                <w:lang w:val="de-DE"/>
              </w:rPr>
              <w:t>M5C2-7</w:t>
            </w:r>
          </w:p>
        </w:tc>
        <w:tc>
          <w:tcPr>
            <w:tcW w:w="1592" w:type="dxa"/>
            <w:shd w:val="clear" w:color="auto" w:fill="C6EFCE"/>
            <w:noWrap/>
            <w:vAlign w:val="center"/>
            <w:hideMark/>
          </w:tcPr>
          <w:p w14:paraId="13C0DDCE" w14:textId="77777777" w:rsidR="0057163C" w:rsidRPr="00170422" w:rsidRDefault="00F37BF9">
            <w:pPr>
              <w:pStyle w:val="P68B1DB1-Normal11"/>
              <w:spacing w:before="120"/>
              <w:jc w:val="center"/>
              <w:rPr>
                <w:rFonts w:eastAsia="Calibri"/>
                <w:noProof/>
                <w:szCs w:val="20"/>
                <w:lang w:val="de-DE"/>
              </w:rPr>
            </w:pPr>
            <w:r w:rsidRPr="00170422">
              <w:rPr>
                <w:noProof/>
                <w:lang w:val="de-DE"/>
              </w:rPr>
              <w:t xml:space="preserve">Investition 2 – </w:t>
            </w:r>
            <w:r w:rsidRPr="00170422">
              <w:rPr>
                <w:noProof/>
                <w:lang w:val="de-DE"/>
              </w:rPr>
              <w:t>Autonomiemuster für Menschen mit Behinderungen</w:t>
            </w:r>
          </w:p>
        </w:tc>
        <w:tc>
          <w:tcPr>
            <w:tcW w:w="1216" w:type="dxa"/>
            <w:shd w:val="clear" w:color="auto" w:fill="C6EFCE"/>
            <w:noWrap/>
            <w:vAlign w:val="center"/>
            <w:hideMark/>
          </w:tcPr>
          <w:p w14:paraId="6909EF04"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Ziel</w:t>
            </w:r>
          </w:p>
        </w:tc>
        <w:tc>
          <w:tcPr>
            <w:tcW w:w="1761" w:type="dxa"/>
            <w:shd w:val="clear" w:color="auto" w:fill="C6EFCE"/>
            <w:noWrap/>
            <w:vAlign w:val="center"/>
            <w:hideMark/>
          </w:tcPr>
          <w:p w14:paraId="3D235BB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Die Sozialbezirke haben mindestens ein Projekt im Zusammenhang mit der Renovierung von Wohnräumen und/oder der Bereitstellung von IKT-Geräten für Menschen mit Behinderungen durchgeführt, begleitet von </w:t>
            </w:r>
            <w:r w:rsidRPr="00170422">
              <w:rPr>
                <w:noProof/>
                <w:lang w:val="de-DE"/>
              </w:rPr>
              <w:t>Schulungen zu digitalen Kompetenzen.</w:t>
            </w:r>
          </w:p>
        </w:tc>
        <w:tc>
          <w:tcPr>
            <w:tcW w:w="1675" w:type="dxa"/>
            <w:shd w:val="clear" w:color="auto" w:fill="C6EFCE"/>
            <w:noWrap/>
            <w:vAlign w:val="center"/>
            <w:hideMark/>
          </w:tcPr>
          <w:p w14:paraId="108297E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411" w:type="dxa"/>
            <w:shd w:val="clear" w:color="auto" w:fill="C6EFCE"/>
            <w:noWrap/>
            <w:vAlign w:val="center"/>
            <w:hideMark/>
          </w:tcPr>
          <w:p w14:paraId="7D0B697D"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Anzahl</w:t>
            </w:r>
          </w:p>
        </w:tc>
        <w:tc>
          <w:tcPr>
            <w:tcW w:w="1345" w:type="dxa"/>
            <w:shd w:val="clear" w:color="auto" w:fill="C6EFCE"/>
            <w:noWrap/>
            <w:vAlign w:val="center"/>
            <w:hideMark/>
          </w:tcPr>
          <w:p w14:paraId="39DACD0F"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0</w:t>
            </w:r>
          </w:p>
        </w:tc>
        <w:tc>
          <w:tcPr>
            <w:tcW w:w="1353" w:type="dxa"/>
            <w:shd w:val="clear" w:color="auto" w:fill="C6EFCE"/>
            <w:noWrap/>
            <w:vAlign w:val="center"/>
            <w:hideMark/>
          </w:tcPr>
          <w:p w14:paraId="19F97A9D"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500</w:t>
            </w:r>
          </w:p>
        </w:tc>
        <w:tc>
          <w:tcPr>
            <w:tcW w:w="1044" w:type="dxa"/>
            <w:shd w:val="clear" w:color="auto" w:fill="C6EFCE"/>
            <w:noWrap/>
            <w:vAlign w:val="center"/>
            <w:hideMark/>
          </w:tcPr>
          <w:p w14:paraId="12E19B6D"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4. QUARTAL</w:t>
            </w:r>
          </w:p>
        </w:tc>
        <w:tc>
          <w:tcPr>
            <w:tcW w:w="734" w:type="dxa"/>
            <w:shd w:val="clear" w:color="auto" w:fill="C6EFCE"/>
            <w:noWrap/>
            <w:vAlign w:val="center"/>
            <w:hideMark/>
          </w:tcPr>
          <w:p w14:paraId="74145586"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2022</w:t>
            </w:r>
          </w:p>
        </w:tc>
        <w:tc>
          <w:tcPr>
            <w:tcW w:w="4319" w:type="dxa"/>
            <w:shd w:val="clear" w:color="auto" w:fill="C6EFCE"/>
            <w:noWrap/>
            <w:vAlign w:val="center"/>
            <w:hideMark/>
          </w:tcPr>
          <w:p w14:paraId="4B21E6F9" w14:textId="77777777" w:rsidR="0057163C" w:rsidRPr="00170422" w:rsidRDefault="00F37BF9">
            <w:pPr>
              <w:pStyle w:val="P68B1DB1-Normal11"/>
              <w:spacing w:before="120" w:after="120"/>
              <w:rPr>
                <w:rFonts w:eastAsia="Calibri"/>
                <w:noProof/>
                <w:szCs w:val="20"/>
                <w:lang w:val="de-DE"/>
              </w:rPr>
            </w:pPr>
            <w:r w:rsidRPr="00170422">
              <w:rPr>
                <w:noProof/>
                <w:lang w:val="de-DE"/>
              </w:rPr>
              <w:t>In den Sozialbezirken werden mindestens 500 Projekte im Zusammenhang mit der Renovierung von Wohnräumen und/oder der Bereitstellung von IKT-Geräten für Menschen mit Behinderungen d</w:t>
            </w:r>
            <w:r w:rsidRPr="00170422">
              <w:rPr>
                <w:noProof/>
                <w:lang w:val="de-DE"/>
              </w:rPr>
              <w:t xml:space="preserve">urchgeführt, begleitet von Schulungen zu digitalen Kompetenzen. </w:t>
            </w:r>
          </w:p>
          <w:p w14:paraId="6EA6AA82" w14:textId="77777777" w:rsidR="0057163C" w:rsidRPr="00170422" w:rsidRDefault="00F37BF9">
            <w:pPr>
              <w:pStyle w:val="P68B1DB1-Normal11"/>
              <w:spacing w:before="120" w:after="120"/>
              <w:rPr>
                <w:rFonts w:eastAsia="Calibri"/>
                <w:noProof/>
                <w:szCs w:val="20"/>
                <w:lang w:val="de-DE"/>
              </w:rPr>
            </w:pPr>
            <w:r w:rsidRPr="00170422">
              <w:rPr>
                <w:noProof/>
                <w:lang w:val="de-DE"/>
              </w:rPr>
              <w:t>Ob das Ziel zufrieden stellend erreicht wird, hängt auch von der zufrieden stellenden Erfüllung eines sekundären Ziels ab: mindestens 500 Sozialbezirke haben mindestens ein Projekt zur Renovi</w:t>
            </w:r>
            <w:r w:rsidRPr="00170422">
              <w:rPr>
                <w:noProof/>
                <w:lang w:val="de-DE"/>
              </w:rPr>
              <w:t>erung von Wohnräumen und/oder zur Bereitstellung von IKT-Geräten für Menschen mit Behinderungen durchgeführt, begleitet von Schulungen zu digitalen Kompetenzen.</w:t>
            </w:r>
          </w:p>
          <w:p w14:paraId="0AE82515" w14:textId="77777777" w:rsidR="0057163C" w:rsidRPr="00170422" w:rsidRDefault="00F37BF9">
            <w:pPr>
              <w:pStyle w:val="P68B1DB1-Normal11"/>
              <w:spacing w:before="120" w:after="120"/>
              <w:rPr>
                <w:rFonts w:eastAsia="Calibri"/>
                <w:noProof/>
                <w:szCs w:val="20"/>
                <w:lang w:val="de-DE"/>
              </w:rPr>
            </w:pPr>
            <w:r w:rsidRPr="00170422">
              <w:rPr>
                <w:noProof/>
                <w:lang w:val="de-DE"/>
              </w:rPr>
              <w:t>Durchführung mindestens eines Projekts aus mindestens 500 Sozialbezirken, die am nichtwettbewer</w:t>
            </w:r>
            <w:r w:rsidRPr="00170422">
              <w:rPr>
                <w:noProof/>
                <w:lang w:val="de-DE"/>
              </w:rPr>
              <w:t>blichen Verfahren teilgenommen haben.</w:t>
            </w:r>
          </w:p>
        </w:tc>
      </w:tr>
      <w:tr w:rsidR="0057163C" w:rsidRPr="00170422" w14:paraId="2A92955D" w14:textId="77777777" w:rsidTr="00D37F8B">
        <w:trPr>
          <w:trHeight w:val="309"/>
          <w:jc w:val="center"/>
        </w:trPr>
        <w:tc>
          <w:tcPr>
            <w:tcW w:w="1377" w:type="dxa"/>
            <w:shd w:val="clear" w:color="auto" w:fill="C6EFCE"/>
            <w:noWrap/>
            <w:vAlign w:val="center"/>
            <w:hideMark/>
          </w:tcPr>
          <w:p w14:paraId="573A4F84" w14:textId="77777777" w:rsidR="0057163C" w:rsidRPr="00170422" w:rsidRDefault="00F37BF9">
            <w:pPr>
              <w:pStyle w:val="P68B1DB1-Normal11"/>
              <w:spacing w:before="120"/>
              <w:jc w:val="center"/>
              <w:rPr>
                <w:rFonts w:eastAsia="Calibri"/>
                <w:noProof/>
                <w:szCs w:val="20"/>
                <w:lang w:val="de-DE"/>
              </w:rPr>
            </w:pPr>
            <w:r w:rsidRPr="00170422">
              <w:rPr>
                <w:noProof/>
                <w:lang w:val="de-DE"/>
              </w:rPr>
              <w:t>M5C2-9</w:t>
            </w:r>
          </w:p>
        </w:tc>
        <w:tc>
          <w:tcPr>
            <w:tcW w:w="1592" w:type="dxa"/>
            <w:shd w:val="clear" w:color="auto" w:fill="C6EFCE"/>
            <w:noWrap/>
            <w:vAlign w:val="center"/>
            <w:hideMark/>
          </w:tcPr>
          <w:p w14:paraId="730960A1"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Investition 3 – Wohnen Erst- und Poststellen</w:t>
            </w:r>
          </w:p>
        </w:tc>
        <w:tc>
          <w:tcPr>
            <w:tcW w:w="1216" w:type="dxa"/>
            <w:shd w:val="clear" w:color="auto" w:fill="C6EFCE"/>
            <w:noWrap/>
            <w:vAlign w:val="center"/>
            <w:hideMark/>
          </w:tcPr>
          <w:p w14:paraId="49CCECFC"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Meilenstein</w:t>
            </w:r>
          </w:p>
        </w:tc>
        <w:tc>
          <w:tcPr>
            <w:tcW w:w="1761" w:type="dxa"/>
            <w:shd w:val="clear" w:color="auto" w:fill="C6EFCE"/>
            <w:noWrap/>
            <w:vAlign w:val="center"/>
            <w:hideMark/>
          </w:tcPr>
          <w:p w14:paraId="55AC59FC" w14:textId="77777777" w:rsidR="0057163C" w:rsidRPr="00170422" w:rsidRDefault="00F37BF9">
            <w:pPr>
              <w:pStyle w:val="P68B1DB1-Normal12"/>
              <w:spacing w:before="120" w:after="120"/>
              <w:jc w:val="center"/>
              <w:rPr>
                <w:rFonts w:eastAsia="Calibri"/>
                <w:noProof/>
                <w:lang w:val="de-DE"/>
              </w:rPr>
            </w:pPr>
            <w:r w:rsidRPr="00170422">
              <w:rPr>
                <w:noProof/>
                <w:lang w:val="de-DE"/>
              </w:rPr>
              <w:t xml:space="preserve">Inkrafttreten des operativen Plans für Projekte in Bezug auf Erst- und Poststellen für Wohnungswesen, Festlegung der Anforderungen an Projekte, die von </w:t>
            </w:r>
            <w:r w:rsidRPr="00170422">
              <w:rPr>
                <w:noProof/>
                <w:lang w:val="de-DE"/>
              </w:rPr>
              <w:t>lokalen Stellen vorgelegt werden können, und Veröffentlichung einer Aufforderung zur Einreichung von Vorschlägen</w:t>
            </w:r>
          </w:p>
        </w:tc>
        <w:tc>
          <w:tcPr>
            <w:tcW w:w="1675" w:type="dxa"/>
            <w:shd w:val="clear" w:color="auto" w:fill="C6EFCE"/>
            <w:noWrap/>
            <w:vAlign w:val="center"/>
            <w:hideMark/>
          </w:tcPr>
          <w:p w14:paraId="5004FB9A"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Gesetzliche Bestimmungen über das Inkrafttreten des Einsatzplans</w:t>
            </w:r>
          </w:p>
        </w:tc>
        <w:tc>
          <w:tcPr>
            <w:tcW w:w="1411" w:type="dxa"/>
            <w:shd w:val="clear" w:color="auto" w:fill="C6EFCE"/>
            <w:noWrap/>
            <w:vAlign w:val="center"/>
            <w:hideMark/>
          </w:tcPr>
          <w:p w14:paraId="6A3521BA"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345" w:type="dxa"/>
            <w:shd w:val="clear" w:color="auto" w:fill="C6EFCE"/>
            <w:noWrap/>
            <w:vAlign w:val="center"/>
            <w:hideMark/>
          </w:tcPr>
          <w:p w14:paraId="135BD42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353" w:type="dxa"/>
            <w:shd w:val="clear" w:color="auto" w:fill="C6EFCE"/>
            <w:noWrap/>
            <w:vAlign w:val="center"/>
            <w:hideMark/>
          </w:tcPr>
          <w:p w14:paraId="44E6D879"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044" w:type="dxa"/>
            <w:shd w:val="clear" w:color="auto" w:fill="C6EFCE"/>
            <w:noWrap/>
            <w:vAlign w:val="center"/>
            <w:hideMark/>
          </w:tcPr>
          <w:p w14:paraId="670B80E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Q1</w:t>
            </w:r>
          </w:p>
        </w:tc>
        <w:tc>
          <w:tcPr>
            <w:tcW w:w="734" w:type="dxa"/>
            <w:shd w:val="clear" w:color="auto" w:fill="C6EFCE"/>
            <w:noWrap/>
            <w:vAlign w:val="center"/>
            <w:hideMark/>
          </w:tcPr>
          <w:p w14:paraId="3F5D3426"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2022</w:t>
            </w:r>
          </w:p>
        </w:tc>
        <w:tc>
          <w:tcPr>
            <w:tcW w:w="4319" w:type="dxa"/>
            <w:shd w:val="clear" w:color="auto" w:fill="C6EFCE"/>
            <w:noWrap/>
            <w:vAlign w:val="center"/>
            <w:hideMark/>
          </w:tcPr>
          <w:p w14:paraId="75A676E9" w14:textId="77777777" w:rsidR="0057163C" w:rsidRPr="00170422" w:rsidRDefault="00F37BF9">
            <w:pPr>
              <w:pStyle w:val="P68B1DB1-Normal11"/>
              <w:spacing w:before="120" w:after="120"/>
              <w:rPr>
                <w:rFonts w:eastAsia="Calibri"/>
                <w:noProof/>
                <w:szCs w:val="20"/>
                <w:lang w:val="de-DE"/>
              </w:rPr>
            </w:pPr>
            <w:r w:rsidRPr="00170422">
              <w:rPr>
                <w:noProof/>
                <w:lang w:val="de-DE"/>
              </w:rPr>
              <w:t>In dem operativen Plan für Projekte in d</w:t>
            </w:r>
            <w:r w:rsidRPr="00170422">
              <w:rPr>
                <w:noProof/>
                <w:lang w:val="de-DE"/>
              </w:rPr>
              <w:t>en Erst- und Poststellen für Wohnungswesen werden die Anforderungen an Projekte festgelegt, die von lokalen Stellen vorgelegt werden können, und es werden Aufforderungen zur Einreichung von Vorschlägen veröffentlicht.</w:t>
            </w:r>
          </w:p>
          <w:p w14:paraId="0E2CB212" w14:textId="77777777" w:rsidR="0057163C" w:rsidRPr="00170422" w:rsidRDefault="00F37BF9">
            <w:pPr>
              <w:pStyle w:val="P68B1DB1-Normal11"/>
              <w:spacing w:before="120" w:after="120"/>
              <w:rPr>
                <w:rFonts w:eastAsia="Calibri"/>
                <w:noProof/>
                <w:szCs w:val="20"/>
                <w:lang w:val="de-DE"/>
              </w:rPr>
            </w:pPr>
            <w:r w:rsidRPr="00170422">
              <w:rPr>
                <w:noProof/>
                <w:lang w:val="de-DE"/>
              </w:rPr>
              <w:t>Die Projekte „Housing First“ sehen vor</w:t>
            </w:r>
            <w:r w:rsidRPr="00170422">
              <w:rPr>
                <w:noProof/>
                <w:lang w:val="de-DE"/>
              </w:rPr>
              <w:t>, dass lokale Einrichtungen Wohnungen für Einzelpersonen, kleine Gruppen oder Familien bis zu 24 Monate zur Verfügung stellen, vorzugsweise durch die Renovierung von Gebäuden und die Renovierung von Staatseigentum. Dies wird durch Entwicklungs- und Autonom</w:t>
            </w:r>
            <w:r w:rsidRPr="00170422">
              <w:rPr>
                <w:noProof/>
                <w:lang w:val="de-DE"/>
              </w:rPr>
              <w:t>ieprogramme ergänzt.</w:t>
            </w:r>
          </w:p>
          <w:p w14:paraId="63B825E4" w14:textId="77777777" w:rsidR="0057163C" w:rsidRPr="00170422" w:rsidRDefault="00F37BF9">
            <w:pPr>
              <w:pStyle w:val="P68B1DB1-Normal11"/>
              <w:spacing w:before="120" w:after="120"/>
              <w:rPr>
                <w:rFonts w:eastAsia="Calibri"/>
                <w:noProof/>
                <w:szCs w:val="20"/>
                <w:lang w:val="de-DE"/>
              </w:rPr>
            </w:pPr>
            <w:r w:rsidRPr="00170422">
              <w:rPr>
                <w:noProof/>
                <w:lang w:val="de-DE"/>
              </w:rPr>
              <w:t>Projekte zu Poststellen sehen die Entwicklung von Service- und Inklusionszentren für Obdachlose vor. Dies wird durch Stellenvermittlungsprogramme in Zusammenarbeit mit den Beschäftigungszentren ergänzt.</w:t>
            </w:r>
          </w:p>
        </w:tc>
      </w:tr>
    </w:tbl>
    <w:p w14:paraId="5478DC16" w14:textId="77777777" w:rsidR="0057163C" w:rsidRPr="00170422" w:rsidRDefault="0057163C">
      <w:pPr>
        <w:spacing w:before="120" w:after="120"/>
        <w:ind w:left="709"/>
        <w:jc w:val="both"/>
        <w:rPr>
          <w:noProof/>
          <w:lang w:val="de-DE"/>
        </w:rPr>
      </w:pPr>
    </w:p>
    <w:p w14:paraId="3BA026E3" w14:textId="77777777" w:rsidR="0057163C" w:rsidRPr="00170422" w:rsidRDefault="0057163C">
      <w:pPr>
        <w:spacing w:before="120" w:after="120"/>
        <w:ind w:left="709"/>
        <w:jc w:val="both"/>
        <w:rPr>
          <w:noProof/>
          <w:lang w:val="de-DE"/>
        </w:rPr>
      </w:pPr>
    </w:p>
    <w:p w14:paraId="55E20963" w14:textId="77777777" w:rsidR="0057163C" w:rsidRPr="00170422" w:rsidRDefault="0057163C">
      <w:pPr>
        <w:framePr w:w="19845" w:wrap="auto" w:hAnchor="text"/>
        <w:spacing w:before="120" w:after="120"/>
        <w:ind w:left="709"/>
        <w:jc w:val="both"/>
        <w:rPr>
          <w:noProof/>
          <w:lang w:val="de-DE"/>
        </w:rPr>
        <w:sectPr w:rsidR="0057163C" w:rsidRPr="00170422" w:rsidSect="005F11B9">
          <w:headerReference w:type="even" r:id="rId242"/>
          <w:headerReference w:type="default" r:id="rId243"/>
          <w:footerReference w:type="even" r:id="rId244"/>
          <w:footerReference w:type="default" r:id="rId245"/>
          <w:headerReference w:type="first" r:id="rId246"/>
          <w:footerReference w:type="first" r:id="rId247"/>
          <w:pgSz w:w="19051" w:h="11907" w:orient="landscape" w:code="9"/>
          <w:pgMar w:top="720" w:right="720" w:bottom="426" w:left="720" w:header="709" w:footer="709" w:gutter="0"/>
          <w:cols w:space="720"/>
          <w:docGrid w:linePitch="360"/>
        </w:sectPr>
      </w:pPr>
    </w:p>
    <w:p w14:paraId="5B8F05BC" w14:textId="77777777" w:rsidR="0057163C" w:rsidRPr="00170422" w:rsidRDefault="00F37BF9">
      <w:pPr>
        <w:pStyle w:val="P68B1DB1-Heading39"/>
        <w:numPr>
          <w:ilvl w:val="2"/>
          <w:numId w:val="0"/>
        </w:numPr>
        <w:ind w:left="850" w:hanging="850"/>
        <w:rPr>
          <w:b/>
          <w:i/>
          <w:noProof/>
          <w:color w:val="156082" w:themeColor="accent1"/>
          <w:u w:val="single"/>
          <w:lang w:val="de-DE"/>
        </w:rPr>
      </w:pPr>
      <w:r w:rsidRPr="00170422">
        <w:rPr>
          <w:b/>
          <w:noProof/>
          <w:u w:val="single"/>
          <w:lang w:val="de-DE"/>
        </w:rPr>
        <w:t xml:space="preserve">M.3. </w:t>
      </w:r>
      <w:r w:rsidRPr="00170422">
        <w:rPr>
          <w:noProof/>
          <w:lang w:val="de-DE"/>
        </w:rPr>
        <w:t xml:space="preserve"> </w:t>
      </w:r>
      <w:r w:rsidRPr="00170422">
        <w:rPr>
          <w:b/>
          <w:noProof/>
          <w:u w:val="single"/>
          <w:lang w:val="de-DE"/>
        </w:rPr>
        <w:t>Beschreibung der Reformen und Investitionen (Darlehen)</w:t>
      </w:r>
    </w:p>
    <w:p w14:paraId="18DBF748"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1 – Unterstützung schutzbedürftiger Menschen und Verhinderung der Institutionalisierung</w:t>
      </w:r>
    </w:p>
    <w:p w14:paraId="49AA53E8" w14:textId="0555E164" w:rsidR="0057163C" w:rsidRPr="00170422" w:rsidRDefault="00F37BF9">
      <w:pPr>
        <w:pStyle w:val="P68B1DB1-Normal7"/>
        <w:spacing w:before="120" w:after="120"/>
        <w:jc w:val="both"/>
        <w:rPr>
          <w:rFonts w:ascii="Arial Narrow" w:hAnsi="Arial Narrow"/>
          <w:noProof/>
          <w:color w:val="006100"/>
          <w:sz w:val="20"/>
          <w:szCs w:val="20"/>
          <w:lang w:val="de-DE"/>
        </w:rPr>
      </w:pPr>
      <w:r w:rsidRPr="00170422">
        <w:rPr>
          <w:noProof/>
          <w:lang w:val="de-DE"/>
        </w:rPr>
        <w:t>Ziel dieser Maßnahme ist es, schutzbedürftige Menschen zu u</w:t>
      </w:r>
      <w:r w:rsidRPr="00170422">
        <w:rPr>
          <w:noProof/>
          <w:lang w:val="de-DE"/>
        </w:rPr>
        <w:t xml:space="preserve">nterstützen und der Institutionalisierung vorzubeugen. Diese Maßnahme umfasst Maßnahmen für schutzbedürftige Familien und Kinder, ältere Menschen und Sozialarbeiter in mindestens 498 der italienischen Sozialbezirke. </w:t>
      </w:r>
    </w:p>
    <w:p w14:paraId="2661C173"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2 – Autonomiemuster für Men</w:t>
      </w:r>
      <w:r w:rsidRPr="00170422">
        <w:rPr>
          <w:noProof/>
          <w:lang w:val="de-DE"/>
        </w:rPr>
        <w:t>schen mit Behinderungen</w:t>
      </w:r>
    </w:p>
    <w:p w14:paraId="0F472E46" w14:textId="77777777" w:rsidR="0057163C" w:rsidRPr="00170422" w:rsidRDefault="00F37BF9">
      <w:pPr>
        <w:pStyle w:val="P68B1DB1-Normal7"/>
        <w:spacing w:before="120" w:after="120"/>
        <w:jc w:val="both"/>
        <w:rPr>
          <w:noProof/>
          <w:lang w:val="de-DE"/>
        </w:rPr>
      </w:pPr>
      <w:r w:rsidRPr="00170422">
        <w:rPr>
          <w:noProof/>
          <w:lang w:val="de-DE"/>
        </w:rPr>
        <w:t xml:space="preserve">Ziel dieser Maßnahme ist es, die Autonomie von Menschen mit Behinderungen zu erhöhen und den Prozess der Deinstitutionalisierung zu beschleunigen. Die Maßnahme besteht darin, den Zugang zu Wohnraum oder häuslichen Lösungen sowie zu </w:t>
      </w:r>
      <w:r w:rsidRPr="00170422">
        <w:rPr>
          <w:noProof/>
          <w:lang w:val="de-DE"/>
        </w:rPr>
        <w:t>digitalen Technologien und Schulungen zu ermöglichen.</w:t>
      </w:r>
    </w:p>
    <w:p w14:paraId="38C6F092" w14:textId="77777777" w:rsidR="0057163C" w:rsidRPr="00170422" w:rsidRDefault="00F37BF9">
      <w:pPr>
        <w:pStyle w:val="P68B1DB1-Normal5"/>
        <w:spacing w:before="120" w:after="120"/>
        <w:jc w:val="both"/>
        <w:rPr>
          <w:bCs/>
          <w:noProof/>
          <w:lang w:val="de-DE"/>
        </w:rPr>
      </w:pPr>
      <w:r w:rsidRPr="00170422">
        <w:rPr>
          <w:noProof/>
          <w:lang w:val="de-DE"/>
        </w:rPr>
        <w:t>Investition 3 – Wohnen Erst- und Poststellen</w:t>
      </w:r>
    </w:p>
    <w:p w14:paraId="4307F345" w14:textId="4AB4751F" w:rsidR="0057163C" w:rsidRPr="00170422" w:rsidRDefault="00F37BF9">
      <w:pPr>
        <w:pStyle w:val="P68B1DB1-Normal7"/>
        <w:spacing w:before="120" w:after="120"/>
        <w:jc w:val="both"/>
        <w:rPr>
          <w:noProof/>
          <w:lang w:val="de-DE"/>
        </w:rPr>
      </w:pPr>
      <w:r w:rsidRPr="00170422">
        <w:rPr>
          <w:noProof/>
          <w:lang w:val="de-DE"/>
        </w:rPr>
        <w:t>Ziel dieser Maßnahme ist es, die Inklusion marginalisierter Menschen zu schützen und zu unterstützen. Die Maßnahme umfasst zwei Arten von Vereinbarungen: „Ho</w:t>
      </w:r>
      <w:r w:rsidRPr="00170422">
        <w:rPr>
          <w:noProof/>
          <w:lang w:val="de-DE"/>
        </w:rPr>
        <w:t>using first“-Lösungen, bei denen Gemeinden maßgeschneiderte Projekte und Unterkünfte für Einzelpersonen, kleine Gruppen oder Familien bis zu 24 Monaten anbieten; und die „Poststationen“, die aus Service- und Inklusionszentren für Obdachlose bestehen und gr</w:t>
      </w:r>
      <w:r w:rsidRPr="00170422">
        <w:rPr>
          <w:noProof/>
          <w:lang w:val="de-DE"/>
        </w:rPr>
        <w:t xml:space="preserve">undlegende Dienstleistungen wie grundlegende Güter und Postsendungen, Mahlzeiten und Gesundheitsversorgung anbieten. </w:t>
      </w:r>
    </w:p>
    <w:p w14:paraId="230C7CED" w14:textId="77777777" w:rsidR="0057163C" w:rsidRPr="00170422" w:rsidRDefault="00F37BF9">
      <w:pPr>
        <w:pStyle w:val="P68B1DB1-Normal5"/>
        <w:spacing w:before="120" w:after="120"/>
        <w:jc w:val="both"/>
        <w:rPr>
          <w:bCs/>
          <w:noProof/>
          <w:u w:val="single"/>
          <w:lang w:val="de-DE"/>
        </w:rPr>
      </w:pPr>
      <w:r w:rsidRPr="00170422">
        <w:rPr>
          <w:noProof/>
          <w:lang w:val="de-DE"/>
        </w:rPr>
        <w:t>Investition 4 – Investitionen in Stadterneuerungsprojekte zur Verringerung von Marginalisierung und sozialer Degradation</w:t>
      </w:r>
    </w:p>
    <w:p w14:paraId="3121684A" w14:textId="77777777" w:rsidR="0057163C" w:rsidRPr="00170422" w:rsidRDefault="00F37BF9">
      <w:pPr>
        <w:pStyle w:val="P68B1DB1-Normal7"/>
        <w:spacing w:before="120" w:after="120"/>
        <w:jc w:val="both"/>
        <w:rPr>
          <w:rFonts w:eastAsia="Calibri"/>
          <w:noProof/>
          <w:lang w:val="de-DE"/>
        </w:rPr>
      </w:pPr>
      <w:r w:rsidRPr="00170422">
        <w:rPr>
          <w:noProof/>
          <w:lang w:val="de-DE"/>
        </w:rPr>
        <w:t>Ziel dieser Maßna</w:t>
      </w:r>
      <w:r w:rsidRPr="00170422">
        <w:rPr>
          <w:noProof/>
          <w:lang w:val="de-DE"/>
        </w:rPr>
        <w:t>hme ist es, Marginalisierung und soziale Degradation zu verringern, indem die soziale und ökologische Qualität der Gemeinden sowie der Zugang zu sozialen und kulturellen Dienstleistungen verbessert werden. Die Maßnahme umfasst die Renovierung, Wiederverwen</w:t>
      </w:r>
      <w:r w:rsidRPr="00170422">
        <w:rPr>
          <w:noProof/>
          <w:lang w:val="de-DE"/>
        </w:rPr>
        <w:t>dung und Umwidmung öffentlicher Flächen und öffentlicher Gebäude.</w:t>
      </w:r>
    </w:p>
    <w:p w14:paraId="69AAB0B4"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5 – Pläne für die städtische Integration (allgemeine Projekte und Überwindung illegaler Siedlungen zur Bekämpfung der Ausbeutung von Arbeitskräften in der Landwirtschaft)</w:t>
      </w:r>
    </w:p>
    <w:p w14:paraId="5449D0B7" w14:textId="77777777" w:rsidR="0057163C" w:rsidRPr="00170422" w:rsidRDefault="00F37BF9">
      <w:pPr>
        <w:pStyle w:val="P68B1DB1-Normal7"/>
        <w:spacing w:before="120" w:after="120"/>
        <w:jc w:val="both"/>
        <w:rPr>
          <w:noProof/>
          <w:lang w:val="de-DE"/>
        </w:rPr>
      </w:pPr>
      <w:r w:rsidRPr="00170422">
        <w:rPr>
          <w:noProof/>
          <w:lang w:val="de-DE"/>
        </w:rPr>
        <w:t>Ziel di</w:t>
      </w:r>
      <w:r w:rsidRPr="00170422">
        <w:rPr>
          <w:noProof/>
          <w:lang w:val="de-DE"/>
        </w:rPr>
        <w:t>eser Maßnahme ist die Sanierung großer degradierter städtischer Gebiete. Diese Investition umfasst drei Arten von Interventionen: I) allgemeine Projekte in den integrierten städtischen Plänen, deren Schwerpunkt auf der Instandhaltung und Wiederverwendung ö</w:t>
      </w:r>
      <w:r w:rsidRPr="00170422">
        <w:rPr>
          <w:noProof/>
          <w:lang w:val="de-DE"/>
        </w:rPr>
        <w:t>ffentlicher Flächen und Gebäude sowie auf der Sanierung nicht genutzter oder ungenutzter städtischer Gebiete liegt; II) Wohnraumlösungen für landwirtschaftliche Arbeitskräfte, um illegale Siedlungen zu überwinden; III) ein thematischer Fonds (Fonds) in Zus</w:t>
      </w:r>
      <w:r w:rsidRPr="00170422">
        <w:rPr>
          <w:noProof/>
          <w:lang w:val="de-DE"/>
        </w:rPr>
        <w:t>ammenarbeit mit der EIB, um private Investitionen in Initiativen zur Stadterneuerung zu fördern, die den Klima- und digitalen Wandel unterstützen.</w:t>
      </w:r>
    </w:p>
    <w:p w14:paraId="2ED8E8D4"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6 – Innovativer Plan für die Qualität des Wohnraums</w:t>
      </w:r>
    </w:p>
    <w:p w14:paraId="5268D984" w14:textId="0BEE28B7" w:rsidR="0057163C" w:rsidRPr="00170422" w:rsidRDefault="00F37BF9">
      <w:pPr>
        <w:pStyle w:val="P68B1DB1-Normal7"/>
        <w:spacing w:before="120" w:after="120"/>
        <w:jc w:val="both"/>
        <w:rPr>
          <w:noProof/>
          <w:lang w:val="de-DE"/>
        </w:rPr>
      </w:pPr>
      <w:r w:rsidRPr="00170422">
        <w:rPr>
          <w:noProof/>
          <w:lang w:val="de-DE"/>
        </w:rPr>
        <w:t>Ziel dieser Maßnahme ist es, die Qualität ode</w:t>
      </w:r>
      <w:r w:rsidRPr="00170422">
        <w:rPr>
          <w:noProof/>
          <w:lang w:val="de-DE"/>
        </w:rPr>
        <w:t>r Quantität des öffentlichen Wohnungsbaus zu erhöhen und degradierte Flächen zu renovieren. Die Investition besteht aus: I) Renovierung (einschließlich Energieeffizienzmaßnahmen) und Ausbau des öffentlichen Wohnungsbaus; II) Sanierung städtischer Räume sow</w:t>
      </w:r>
      <w:r w:rsidRPr="00170422">
        <w:rPr>
          <w:noProof/>
          <w:lang w:val="de-DE"/>
        </w:rPr>
        <w:t xml:space="preserve">ie öffentlicher und privater Grundstücke; III) Förderung der Zugänglichkeit und Sicherheit städtischer Gebiete und der Erbringung von Dienstleistungen. </w:t>
      </w:r>
    </w:p>
    <w:p w14:paraId="1B6D8841"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7 – Sport und soziale Eingliederung</w:t>
      </w:r>
    </w:p>
    <w:p w14:paraId="5410DD49" w14:textId="7EB5E912" w:rsidR="0057163C" w:rsidRPr="00170422" w:rsidRDefault="00F37BF9">
      <w:pPr>
        <w:pStyle w:val="P68B1DB1-Normal7"/>
        <w:spacing w:before="120" w:after="120"/>
        <w:jc w:val="both"/>
        <w:rPr>
          <w:noProof/>
          <w:lang w:val="de-DE"/>
        </w:rPr>
        <w:sectPr w:rsidR="0057163C" w:rsidRPr="00170422" w:rsidSect="005F11B9">
          <w:headerReference w:type="even" r:id="rId248"/>
          <w:headerReference w:type="default" r:id="rId249"/>
          <w:footerReference w:type="even" r:id="rId250"/>
          <w:footerReference w:type="default" r:id="rId251"/>
          <w:headerReference w:type="first" r:id="rId252"/>
          <w:footerReference w:type="first" r:id="rId253"/>
          <w:pgSz w:w="11907" w:h="16839"/>
          <w:pgMar w:top="1134" w:right="1417" w:bottom="1134" w:left="1417" w:header="709" w:footer="709" w:gutter="0"/>
          <w:cols w:space="720"/>
          <w:docGrid w:linePitch="360"/>
        </w:sectPr>
      </w:pPr>
      <w:r w:rsidRPr="00170422">
        <w:rPr>
          <w:noProof/>
          <w:lang w:val="de-DE"/>
        </w:rPr>
        <w:t xml:space="preserve">Ziel dieser Maßnahme ist die Regeneration von Sportanlagen und ihrer Umgebung in städtischen Gebieten. Die Investition besteht in der Unterstützung des Baus, der Erneuerung und der Renovierung von Sportanlagen. </w:t>
      </w:r>
    </w:p>
    <w:p w14:paraId="260611C9" w14:textId="77777777" w:rsidR="0057163C" w:rsidRPr="00170422" w:rsidRDefault="00F37BF9">
      <w:pPr>
        <w:pStyle w:val="P68B1DB1-Heading39"/>
        <w:numPr>
          <w:ilvl w:val="2"/>
          <w:numId w:val="0"/>
        </w:numPr>
        <w:ind w:left="850" w:hanging="850"/>
        <w:rPr>
          <w:b/>
          <w:i/>
          <w:noProof/>
          <w:u w:val="single"/>
          <w:lang w:val="de-DE"/>
        </w:rPr>
      </w:pPr>
      <w:r w:rsidRPr="00170422">
        <w:rPr>
          <w:b/>
          <w:noProof/>
          <w:u w:val="single"/>
          <w:lang w:val="de-DE"/>
        </w:rPr>
        <w:t xml:space="preserve">M.4. </w:t>
      </w:r>
      <w:r w:rsidRPr="00170422">
        <w:rPr>
          <w:noProof/>
          <w:lang w:val="de-DE"/>
        </w:rPr>
        <w:t xml:space="preserve"> </w:t>
      </w:r>
      <w:r w:rsidRPr="00170422">
        <w:rPr>
          <w:b/>
          <w:noProof/>
          <w:u w:val="single"/>
          <w:lang w:val="de-DE"/>
        </w:rPr>
        <w:t>Etappenziele, Z</w:t>
      </w:r>
      <w:r w:rsidRPr="00170422">
        <w:rPr>
          <w:b/>
          <w:noProof/>
          <w:u w:val="single"/>
          <w:lang w:val="de-DE"/>
        </w:rPr>
        <w:t>ielwerte, Indikatoren und Zeitplan für die Überwachung und Durchführung (Darlehen)</w:t>
      </w:r>
    </w:p>
    <w:tbl>
      <w:tblPr>
        <w:tblW w:w="17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2104"/>
        <w:gridCol w:w="1793"/>
        <w:gridCol w:w="2104"/>
        <w:gridCol w:w="2104"/>
        <w:gridCol w:w="1502"/>
        <w:gridCol w:w="1337"/>
        <w:gridCol w:w="1156"/>
        <w:gridCol w:w="978"/>
        <w:gridCol w:w="739"/>
        <w:gridCol w:w="2854"/>
      </w:tblGrid>
      <w:tr w:rsidR="0057163C" w:rsidRPr="00170422" w14:paraId="3F80A29D" w14:textId="77777777">
        <w:trPr>
          <w:trHeight w:val="300"/>
          <w:tblHeader/>
          <w:jc w:val="center"/>
        </w:trPr>
        <w:tc>
          <w:tcPr>
            <w:tcW w:w="1315" w:type="dxa"/>
            <w:vMerge w:val="restart"/>
            <w:shd w:val="clear" w:color="auto" w:fill="BDD7EE"/>
            <w:vAlign w:val="center"/>
            <w:hideMark/>
          </w:tcPr>
          <w:p w14:paraId="51E524CF" w14:textId="77777777" w:rsidR="0057163C" w:rsidRPr="00170422" w:rsidRDefault="00F37BF9">
            <w:pPr>
              <w:pStyle w:val="P68B1DB1-Normal102"/>
              <w:jc w:val="center"/>
              <w:rPr>
                <w:noProof/>
                <w:szCs w:val="20"/>
                <w:lang w:val="de-DE"/>
              </w:rPr>
            </w:pPr>
            <w:r w:rsidRPr="00170422">
              <w:rPr>
                <w:noProof/>
                <w:lang w:val="de-DE"/>
              </w:rPr>
              <w:t>Laufende Nummer</w:t>
            </w:r>
          </w:p>
        </w:tc>
        <w:tc>
          <w:tcPr>
            <w:tcW w:w="1759" w:type="dxa"/>
            <w:vMerge w:val="restart"/>
            <w:shd w:val="clear" w:color="auto" w:fill="BDD7EE"/>
            <w:vAlign w:val="center"/>
            <w:hideMark/>
          </w:tcPr>
          <w:p w14:paraId="5EC1FC67" w14:textId="77777777" w:rsidR="0057163C" w:rsidRPr="00170422" w:rsidRDefault="00F37BF9">
            <w:pPr>
              <w:pStyle w:val="P68B1DB1-Normal102"/>
              <w:jc w:val="center"/>
              <w:rPr>
                <w:noProof/>
                <w:szCs w:val="20"/>
                <w:lang w:val="de-DE"/>
              </w:rPr>
            </w:pPr>
            <w:r w:rsidRPr="00170422">
              <w:rPr>
                <w:noProof/>
                <w:lang w:val="de-DE"/>
              </w:rPr>
              <w:t>Verbundene Maßnahme (Reform oder Investition)</w:t>
            </w:r>
          </w:p>
        </w:tc>
        <w:tc>
          <w:tcPr>
            <w:tcW w:w="1388" w:type="dxa"/>
            <w:vMerge w:val="restart"/>
            <w:shd w:val="clear" w:color="auto" w:fill="BDD7EE"/>
            <w:vAlign w:val="center"/>
            <w:hideMark/>
          </w:tcPr>
          <w:p w14:paraId="52FCE823" w14:textId="5D0B59D9" w:rsidR="0057163C" w:rsidRPr="00170422" w:rsidRDefault="00F37BF9">
            <w:pPr>
              <w:pStyle w:val="P68B1DB1-Normal102"/>
              <w:jc w:val="center"/>
              <w:rPr>
                <w:noProof/>
                <w:szCs w:val="20"/>
                <w:lang w:val="de-DE"/>
              </w:rPr>
            </w:pPr>
            <w:r w:rsidRPr="00170422">
              <w:rPr>
                <w:noProof/>
                <w:lang w:val="de-DE"/>
              </w:rPr>
              <w:t>Etappenziel/Zielwert</w:t>
            </w:r>
          </w:p>
        </w:tc>
        <w:tc>
          <w:tcPr>
            <w:tcW w:w="1731" w:type="dxa"/>
            <w:vMerge w:val="restart"/>
            <w:shd w:val="clear" w:color="auto" w:fill="BDD7EE"/>
            <w:vAlign w:val="center"/>
            <w:hideMark/>
          </w:tcPr>
          <w:p w14:paraId="4B62760F" w14:textId="77777777" w:rsidR="0057163C" w:rsidRPr="00170422" w:rsidRDefault="00F37BF9">
            <w:pPr>
              <w:pStyle w:val="P68B1DB1-Normal102"/>
              <w:jc w:val="center"/>
              <w:rPr>
                <w:noProof/>
                <w:szCs w:val="20"/>
                <w:lang w:val="de-DE"/>
              </w:rPr>
            </w:pPr>
            <w:r w:rsidRPr="00170422">
              <w:rPr>
                <w:noProof/>
                <w:lang w:val="de-DE"/>
              </w:rPr>
              <w:t>Namen</w:t>
            </w:r>
          </w:p>
        </w:tc>
        <w:tc>
          <w:tcPr>
            <w:tcW w:w="1559" w:type="dxa"/>
            <w:vMerge w:val="restart"/>
            <w:shd w:val="clear" w:color="auto" w:fill="BDD7EE"/>
            <w:vAlign w:val="center"/>
            <w:hideMark/>
          </w:tcPr>
          <w:p w14:paraId="1B57F425" w14:textId="77777777" w:rsidR="0057163C" w:rsidRPr="00170422" w:rsidRDefault="00F37BF9">
            <w:pPr>
              <w:pStyle w:val="P68B1DB1-Normal102"/>
              <w:jc w:val="center"/>
              <w:rPr>
                <w:noProof/>
                <w:szCs w:val="20"/>
                <w:lang w:val="de-DE"/>
              </w:rPr>
            </w:pPr>
            <w:r w:rsidRPr="00170422">
              <w:rPr>
                <w:noProof/>
                <w:lang w:val="de-DE"/>
              </w:rPr>
              <w:t>Qualitative Indikatoren (für Etappenziele)</w:t>
            </w:r>
          </w:p>
        </w:tc>
        <w:tc>
          <w:tcPr>
            <w:tcW w:w="4548" w:type="dxa"/>
            <w:gridSpan w:val="3"/>
            <w:shd w:val="clear" w:color="auto" w:fill="BDD7EE"/>
            <w:vAlign w:val="center"/>
            <w:hideMark/>
          </w:tcPr>
          <w:p w14:paraId="183DE8FD" w14:textId="77777777" w:rsidR="0057163C" w:rsidRPr="00170422" w:rsidRDefault="00F37BF9">
            <w:pPr>
              <w:pStyle w:val="P68B1DB1-Normal102"/>
              <w:jc w:val="center"/>
              <w:rPr>
                <w:noProof/>
                <w:szCs w:val="20"/>
                <w:lang w:val="de-DE"/>
              </w:rPr>
            </w:pPr>
            <w:r w:rsidRPr="00170422">
              <w:rPr>
                <w:noProof/>
                <w:lang w:val="de-DE"/>
              </w:rPr>
              <w:t>Quantitative Indikatoren (für Ziele)</w:t>
            </w:r>
          </w:p>
        </w:tc>
        <w:tc>
          <w:tcPr>
            <w:tcW w:w="1855" w:type="dxa"/>
            <w:gridSpan w:val="2"/>
            <w:shd w:val="clear" w:color="auto" w:fill="BDD7EE"/>
            <w:vAlign w:val="center"/>
            <w:hideMark/>
          </w:tcPr>
          <w:p w14:paraId="1A1FF892" w14:textId="77777777" w:rsidR="0057163C" w:rsidRPr="00170422" w:rsidRDefault="00F37BF9">
            <w:pPr>
              <w:pStyle w:val="P68B1DB1-Normal102"/>
              <w:jc w:val="center"/>
              <w:rPr>
                <w:noProof/>
                <w:szCs w:val="20"/>
                <w:lang w:val="de-DE"/>
              </w:rPr>
            </w:pPr>
            <w:r w:rsidRPr="00170422">
              <w:rPr>
                <w:noProof/>
                <w:lang w:val="de-DE"/>
              </w:rPr>
              <w:t>Vorl</w:t>
            </w:r>
            <w:r w:rsidRPr="00170422">
              <w:rPr>
                <w:noProof/>
                <w:lang w:val="de-DE"/>
              </w:rPr>
              <w:t>äufiger Zeitplan für die Fertigstellung</w:t>
            </w:r>
          </w:p>
        </w:tc>
        <w:tc>
          <w:tcPr>
            <w:tcW w:w="3603" w:type="dxa"/>
            <w:vMerge w:val="restart"/>
            <w:shd w:val="clear" w:color="auto" w:fill="BDD7EE"/>
            <w:vAlign w:val="center"/>
            <w:hideMark/>
          </w:tcPr>
          <w:p w14:paraId="578FB787" w14:textId="77777777" w:rsidR="0057163C" w:rsidRPr="00170422" w:rsidRDefault="00F37BF9">
            <w:pPr>
              <w:pStyle w:val="P68B1DB1-Normal102"/>
              <w:jc w:val="center"/>
              <w:rPr>
                <w:noProof/>
                <w:szCs w:val="20"/>
                <w:lang w:val="de-DE"/>
              </w:rPr>
            </w:pPr>
            <w:r w:rsidRPr="00170422">
              <w:rPr>
                <w:noProof/>
                <w:lang w:val="de-DE"/>
              </w:rPr>
              <w:t>Beschreibung der einzelnen Etappenziele und Zielvorgaben</w:t>
            </w:r>
          </w:p>
        </w:tc>
      </w:tr>
      <w:tr w:rsidR="0057163C" w:rsidRPr="00170422" w14:paraId="5564F7C4" w14:textId="77777777">
        <w:trPr>
          <w:trHeight w:val="300"/>
          <w:tblHeader/>
          <w:jc w:val="center"/>
        </w:trPr>
        <w:tc>
          <w:tcPr>
            <w:tcW w:w="1315" w:type="dxa"/>
            <w:vMerge/>
            <w:vAlign w:val="center"/>
            <w:hideMark/>
          </w:tcPr>
          <w:p w14:paraId="44EB4271" w14:textId="77777777" w:rsidR="0057163C" w:rsidRPr="00170422" w:rsidRDefault="0057163C">
            <w:pPr>
              <w:jc w:val="center"/>
              <w:rPr>
                <w:rFonts w:ascii="Arial Narrow" w:hAnsi="Arial Narrow"/>
                <w:b/>
                <w:noProof/>
                <w:color w:val="000000"/>
                <w:sz w:val="20"/>
                <w:szCs w:val="20"/>
                <w:lang w:val="de-DE"/>
              </w:rPr>
            </w:pPr>
          </w:p>
        </w:tc>
        <w:tc>
          <w:tcPr>
            <w:tcW w:w="1759" w:type="dxa"/>
            <w:vMerge/>
            <w:vAlign w:val="center"/>
            <w:hideMark/>
          </w:tcPr>
          <w:p w14:paraId="1060C7FD" w14:textId="77777777" w:rsidR="0057163C" w:rsidRPr="00170422" w:rsidRDefault="0057163C">
            <w:pPr>
              <w:jc w:val="center"/>
              <w:rPr>
                <w:rFonts w:ascii="Arial Narrow" w:hAnsi="Arial Narrow"/>
                <w:b/>
                <w:noProof/>
                <w:color w:val="000000"/>
                <w:sz w:val="20"/>
                <w:szCs w:val="20"/>
                <w:lang w:val="de-DE"/>
              </w:rPr>
            </w:pPr>
          </w:p>
        </w:tc>
        <w:tc>
          <w:tcPr>
            <w:tcW w:w="1388" w:type="dxa"/>
            <w:vMerge/>
            <w:vAlign w:val="center"/>
            <w:hideMark/>
          </w:tcPr>
          <w:p w14:paraId="6BE4EDB4" w14:textId="77777777" w:rsidR="0057163C" w:rsidRPr="00170422" w:rsidRDefault="0057163C">
            <w:pPr>
              <w:jc w:val="center"/>
              <w:rPr>
                <w:rFonts w:ascii="Arial Narrow" w:hAnsi="Arial Narrow"/>
                <w:b/>
                <w:noProof/>
                <w:color w:val="000000"/>
                <w:sz w:val="20"/>
                <w:szCs w:val="20"/>
                <w:lang w:val="de-DE"/>
              </w:rPr>
            </w:pPr>
          </w:p>
        </w:tc>
        <w:tc>
          <w:tcPr>
            <w:tcW w:w="1731" w:type="dxa"/>
            <w:vMerge/>
            <w:vAlign w:val="center"/>
            <w:hideMark/>
          </w:tcPr>
          <w:p w14:paraId="48800674" w14:textId="77777777" w:rsidR="0057163C" w:rsidRPr="00170422" w:rsidRDefault="0057163C">
            <w:pPr>
              <w:jc w:val="center"/>
              <w:rPr>
                <w:rFonts w:ascii="Arial Narrow" w:hAnsi="Arial Narrow"/>
                <w:b/>
                <w:noProof/>
                <w:color w:val="000000"/>
                <w:sz w:val="20"/>
                <w:szCs w:val="20"/>
                <w:lang w:val="de-DE"/>
              </w:rPr>
            </w:pPr>
          </w:p>
        </w:tc>
        <w:tc>
          <w:tcPr>
            <w:tcW w:w="1559" w:type="dxa"/>
            <w:vMerge/>
            <w:vAlign w:val="center"/>
            <w:hideMark/>
          </w:tcPr>
          <w:p w14:paraId="728477EA" w14:textId="77777777" w:rsidR="0057163C" w:rsidRPr="00170422" w:rsidRDefault="0057163C">
            <w:pPr>
              <w:jc w:val="center"/>
              <w:rPr>
                <w:rFonts w:ascii="Arial Narrow" w:hAnsi="Arial Narrow"/>
                <w:b/>
                <w:noProof/>
                <w:color w:val="000000"/>
                <w:sz w:val="20"/>
                <w:szCs w:val="20"/>
                <w:lang w:val="de-DE"/>
              </w:rPr>
            </w:pPr>
          </w:p>
        </w:tc>
        <w:tc>
          <w:tcPr>
            <w:tcW w:w="2187" w:type="dxa"/>
            <w:shd w:val="clear" w:color="auto" w:fill="BDD7EE"/>
            <w:vAlign w:val="center"/>
            <w:hideMark/>
          </w:tcPr>
          <w:p w14:paraId="5EF93BCD" w14:textId="77777777" w:rsidR="0057163C" w:rsidRPr="00170422" w:rsidRDefault="00F37BF9">
            <w:pPr>
              <w:pStyle w:val="P68B1DB1-Normal102"/>
              <w:jc w:val="center"/>
              <w:rPr>
                <w:noProof/>
                <w:szCs w:val="20"/>
                <w:lang w:val="de-DE"/>
              </w:rPr>
            </w:pPr>
            <w:r w:rsidRPr="00170422">
              <w:rPr>
                <w:noProof/>
                <w:lang w:val="de-DE"/>
              </w:rPr>
              <w:t>Maßeinheit</w:t>
            </w:r>
          </w:p>
        </w:tc>
        <w:tc>
          <w:tcPr>
            <w:tcW w:w="1039" w:type="dxa"/>
            <w:shd w:val="clear" w:color="auto" w:fill="BDD7EE"/>
            <w:vAlign w:val="center"/>
            <w:hideMark/>
          </w:tcPr>
          <w:p w14:paraId="1A78019D" w14:textId="77777777" w:rsidR="0057163C" w:rsidRPr="00170422" w:rsidRDefault="00F37BF9">
            <w:pPr>
              <w:pStyle w:val="P68B1DB1-Normal102"/>
              <w:jc w:val="center"/>
              <w:rPr>
                <w:noProof/>
                <w:szCs w:val="20"/>
                <w:lang w:val="de-DE"/>
              </w:rPr>
            </w:pPr>
            <w:r w:rsidRPr="00170422">
              <w:rPr>
                <w:noProof/>
                <w:lang w:val="de-DE"/>
              </w:rPr>
              <w:t>Ausgangslage</w:t>
            </w:r>
          </w:p>
        </w:tc>
        <w:tc>
          <w:tcPr>
            <w:tcW w:w="1322" w:type="dxa"/>
            <w:shd w:val="clear" w:color="auto" w:fill="BDD7EE"/>
            <w:vAlign w:val="center"/>
            <w:hideMark/>
          </w:tcPr>
          <w:p w14:paraId="08E2AB39" w14:textId="77777777" w:rsidR="0057163C" w:rsidRPr="00170422" w:rsidRDefault="00F37BF9">
            <w:pPr>
              <w:pStyle w:val="P68B1DB1-Normal102"/>
              <w:jc w:val="center"/>
              <w:rPr>
                <w:noProof/>
                <w:szCs w:val="20"/>
                <w:lang w:val="de-DE"/>
              </w:rPr>
            </w:pPr>
            <w:r w:rsidRPr="00170422">
              <w:rPr>
                <w:noProof/>
                <w:lang w:val="de-DE"/>
              </w:rPr>
              <w:t>Ziel</w:t>
            </w:r>
          </w:p>
        </w:tc>
        <w:tc>
          <w:tcPr>
            <w:tcW w:w="980" w:type="dxa"/>
            <w:shd w:val="clear" w:color="auto" w:fill="BDD7EE"/>
            <w:vAlign w:val="center"/>
            <w:hideMark/>
          </w:tcPr>
          <w:p w14:paraId="7ACF4C3F" w14:textId="77777777" w:rsidR="0057163C" w:rsidRPr="00170422" w:rsidRDefault="00F37BF9">
            <w:pPr>
              <w:pStyle w:val="P68B1DB1-Normal102"/>
              <w:jc w:val="center"/>
              <w:rPr>
                <w:noProof/>
                <w:szCs w:val="20"/>
                <w:lang w:val="de-DE"/>
              </w:rPr>
            </w:pPr>
            <w:r w:rsidRPr="00170422">
              <w:rPr>
                <w:noProof/>
                <w:lang w:val="de-DE"/>
              </w:rPr>
              <w:t>Viertel</w:t>
            </w:r>
          </w:p>
        </w:tc>
        <w:tc>
          <w:tcPr>
            <w:tcW w:w="875" w:type="dxa"/>
            <w:shd w:val="clear" w:color="auto" w:fill="BDD7EE"/>
            <w:vAlign w:val="center"/>
            <w:hideMark/>
          </w:tcPr>
          <w:p w14:paraId="7DAD02F8" w14:textId="77777777" w:rsidR="0057163C" w:rsidRPr="00170422" w:rsidRDefault="00F37BF9">
            <w:pPr>
              <w:pStyle w:val="P68B1DB1-Normal102"/>
              <w:jc w:val="center"/>
              <w:rPr>
                <w:noProof/>
                <w:szCs w:val="20"/>
                <w:lang w:val="de-DE"/>
              </w:rPr>
            </w:pPr>
            <w:r w:rsidRPr="00170422">
              <w:rPr>
                <w:noProof/>
                <w:lang w:val="de-DE"/>
              </w:rPr>
              <w:t>Jahre</w:t>
            </w:r>
          </w:p>
        </w:tc>
        <w:tc>
          <w:tcPr>
            <w:tcW w:w="3603" w:type="dxa"/>
            <w:vMerge/>
            <w:vAlign w:val="center"/>
            <w:hideMark/>
          </w:tcPr>
          <w:p w14:paraId="7157EE7C" w14:textId="77777777" w:rsidR="0057163C" w:rsidRPr="00170422" w:rsidRDefault="0057163C">
            <w:pPr>
              <w:rPr>
                <w:rFonts w:ascii="Arial Narrow" w:hAnsi="Arial Narrow"/>
                <w:b/>
                <w:noProof/>
                <w:color w:val="000000"/>
                <w:sz w:val="20"/>
                <w:szCs w:val="20"/>
                <w:lang w:val="de-DE"/>
              </w:rPr>
            </w:pPr>
          </w:p>
        </w:tc>
      </w:tr>
      <w:tr w:rsidR="0057163C" w:rsidRPr="00170422" w14:paraId="5408B55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1D8209A0" w14:textId="77777777" w:rsidR="0057163C" w:rsidRPr="00170422" w:rsidRDefault="00F37BF9">
            <w:pPr>
              <w:pStyle w:val="P68B1DB1-Normal12"/>
              <w:spacing w:before="120" w:after="120"/>
              <w:jc w:val="center"/>
              <w:rPr>
                <w:noProof/>
                <w:lang w:val="de-DE"/>
              </w:rPr>
            </w:pPr>
            <w:r w:rsidRPr="00170422">
              <w:rPr>
                <w:noProof/>
                <w:lang w:val="de-DE"/>
              </w:rPr>
              <w:t>M5C2-6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20B7F66D" w14:textId="77777777" w:rsidR="0057163C" w:rsidRPr="00170422" w:rsidRDefault="00F37BF9">
            <w:pPr>
              <w:pStyle w:val="P68B1DB1-Normal11"/>
              <w:spacing w:before="120" w:after="120"/>
              <w:jc w:val="center"/>
              <w:rPr>
                <w:noProof/>
                <w:lang w:val="de-DE"/>
              </w:rPr>
            </w:pPr>
            <w:r w:rsidRPr="00170422">
              <w:rPr>
                <w:noProof/>
                <w:lang w:val="de-DE"/>
              </w:rPr>
              <w:t>Investition 1 – Unterstützung schutzbedürftiger Menschen und Verhinderung der Institutionalisierung</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4C756905" w14:textId="77777777" w:rsidR="0057163C" w:rsidRPr="00170422" w:rsidRDefault="00F37BF9">
            <w:pPr>
              <w:pStyle w:val="P68B1DB1-Normal12"/>
              <w:spacing w:before="120" w:after="120"/>
              <w:jc w:val="center"/>
              <w:rPr>
                <w:noProof/>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4F4AD236" w14:textId="23BB56C5" w:rsidR="0057163C" w:rsidRPr="00170422" w:rsidRDefault="00F37BF9">
            <w:pPr>
              <w:pStyle w:val="P68B1DB1-Normal11"/>
              <w:spacing w:before="120" w:after="120"/>
              <w:jc w:val="center"/>
              <w:rPr>
                <w:noProof/>
                <w:lang w:val="de-DE"/>
              </w:rPr>
            </w:pPr>
            <w:r w:rsidRPr="00170422">
              <w:rPr>
                <w:noProof/>
                <w:lang w:val="de-DE"/>
              </w:rPr>
              <w:t xml:space="preserve">Maßnahmen zur Unterstützung schutzbedürftiger Menschen in Sozialbezirken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046F42F4"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3B683C3E" w14:textId="77777777" w:rsidR="0057163C" w:rsidRPr="00170422" w:rsidRDefault="00F37BF9">
            <w:pPr>
              <w:pStyle w:val="P68B1DB1-Normal12"/>
              <w:spacing w:before="120" w:after="120"/>
              <w:jc w:val="center"/>
              <w:rPr>
                <w:noProof/>
                <w:lang w:val="de-DE"/>
              </w:rPr>
            </w:pPr>
            <w:r w:rsidRPr="00170422">
              <w:rPr>
                <w:noProof/>
                <w:lang w:val="de-DE"/>
              </w:rPr>
              <w:t>Anzahl</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8DBF9CE" w14:textId="77777777" w:rsidR="0057163C" w:rsidRPr="00170422" w:rsidRDefault="00F37BF9">
            <w:pPr>
              <w:pStyle w:val="P68B1DB1-Normal11"/>
              <w:spacing w:before="120" w:after="120"/>
              <w:jc w:val="center"/>
              <w:rPr>
                <w:noProof/>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A0B212A" w14:textId="77777777" w:rsidR="0057163C" w:rsidRPr="00170422" w:rsidRDefault="00F37BF9">
            <w:pPr>
              <w:pStyle w:val="P68B1DB1-Normal12"/>
              <w:spacing w:before="120" w:after="120"/>
              <w:jc w:val="center"/>
              <w:rPr>
                <w:noProof/>
                <w:lang w:val="de-DE"/>
              </w:rPr>
            </w:pPr>
            <w:r w:rsidRPr="00170422">
              <w:rPr>
                <w:noProof/>
                <w:lang w:val="de-DE"/>
              </w:rPr>
              <w:t>498</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38040D1E" w14:textId="77777777" w:rsidR="0057163C" w:rsidRPr="00170422" w:rsidRDefault="00F37BF9">
            <w:pPr>
              <w:pStyle w:val="P68B1DB1-Normal11"/>
              <w:spacing w:before="120" w:after="120"/>
              <w:jc w:val="center"/>
              <w:rPr>
                <w:noProof/>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0E780EF8"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2EE2F61E" w14:textId="50A92375" w:rsidR="0057163C" w:rsidRPr="00170422" w:rsidRDefault="00F37BF9">
            <w:pPr>
              <w:pStyle w:val="P68B1DB1-Normal12"/>
              <w:spacing w:before="120" w:after="120"/>
              <w:rPr>
                <w:noProof/>
                <w:lang w:val="de-DE"/>
              </w:rPr>
            </w:pPr>
            <w:r w:rsidRPr="00170422">
              <w:rPr>
                <w:noProof/>
                <w:lang w:val="de-DE"/>
              </w:rPr>
              <w:t>Mindestens 498 Sozialbezirke schließen mindestens eine der folgenden Maßnahmen ab: I) Unterstützung schutzbedürftiger Familien und Kinder; II) Unt</w:t>
            </w:r>
            <w:r w:rsidRPr="00170422">
              <w:rPr>
                <w:noProof/>
                <w:lang w:val="de-DE"/>
              </w:rPr>
              <w:t>erstützung des autonomen Lebens älterer Menschen; III) Bereitstellung von häuslichen Sozialdiensten, um eine vorzeitige Entlassung zu gewährleisten und einen Krankenhausaufenthalt zu verhindern; IV) Unterstützung von Sozialarbeitern.</w:t>
            </w:r>
          </w:p>
        </w:tc>
      </w:tr>
      <w:tr w:rsidR="0057163C" w:rsidRPr="00170422" w14:paraId="7C2BB841"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D20A4C9" w14:textId="77777777" w:rsidR="0057163C" w:rsidRPr="00170422" w:rsidRDefault="00F37BF9">
            <w:pPr>
              <w:pStyle w:val="P68B1DB1-Normal12"/>
              <w:spacing w:before="120" w:after="120"/>
              <w:jc w:val="center"/>
              <w:rPr>
                <w:noProof/>
                <w:lang w:val="de-DE"/>
              </w:rPr>
            </w:pPr>
            <w:r w:rsidRPr="00170422">
              <w:rPr>
                <w:noProof/>
                <w:lang w:val="de-DE"/>
              </w:rPr>
              <w:t>M5C2-8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185EB459" w14:textId="77777777" w:rsidR="0057163C" w:rsidRPr="00170422" w:rsidRDefault="00F37BF9">
            <w:pPr>
              <w:pStyle w:val="P68B1DB1-Normal11"/>
              <w:spacing w:before="120" w:after="120"/>
              <w:jc w:val="center"/>
              <w:rPr>
                <w:noProof/>
                <w:lang w:val="de-DE"/>
              </w:rPr>
            </w:pPr>
            <w:r w:rsidRPr="00170422">
              <w:rPr>
                <w:noProof/>
                <w:lang w:val="de-DE"/>
              </w:rPr>
              <w:t xml:space="preserve">Investition 2 </w:t>
            </w:r>
            <w:r w:rsidRPr="00170422">
              <w:rPr>
                <w:noProof/>
                <w:lang w:val="de-DE"/>
              </w:rPr>
              <w:t>– Autonomiemuster für Menschen mit Behinderungen</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4398198" w14:textId="77777777" w:rsidR="0057163C" w:rsidRPr="00170422" w:rsidRDefault="00F37BF9">
            <w:pPr>
              <w:pStyle w:val="P68B1DB1-Normal11"/>
              <w:spacing w:before="120" w:after="120"/>
              <w:jc w:val="center"/>
              <w:rPr>
                <w:noProof/>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2D2D4DBB" w14:textId="77777777" w:rsidR="0057163C" w:rsidRPr="00170422" w:rsidRDefault="00F37BF9">
            <w:pPr>
              <w:pStyle w:val="P68B1DB1-Normal11"/>
              <w:spacing w:before="120" w:after="120"/>
              <w:jc w:val="center"/>
              <w:rPr>
                <w:noProof/>
                <w:lang w:val="de-DE"/>
              </w:rPr>
            </w:pPr>
            <w:r w:rsidRPr="00170422">
              <w:rPr>
                <w:noProof/>
                <w:lang w:val="de-DE"/>
              </w:rPr>
              <w:t>Die Begünstigten haben Renovierungen von Heimräumen und/oder IKT-Geräten in Verbindung mit Schulungen zu digitalen Kompetenzen erhalten.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3E0BCA89"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565CE2C" w14:textId="77777777" w:rsidR="0057163C" w:rsidRPr="00170422" w:rsidRDefault="00F37BF9">
            <w:pPr>
              <w:pStyle w:val="P68B1DB1-Normal11"/>
              <w:spacing w:before="120" w:after="120"/>
              <w:jc w:val="center"/>
              <w:rPr>
                <w:noProof/>
                <w:lang w:val="de-DE"/>
              </w:rPr>
            </w:pPr>
            <w:r w:rsidRPr="00170422">
              <w:rPr>
                <w:noProof/>
                <w:lang w:val="de-DE"/>
              </w:rPr>
              <w:t>Anzahl</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0DA3571D" w14:textId="77777777" w:rsidR="0057163C" w:rsidRPr="00170422" w:rsidRDefault="00F37BF9">
            <w:pPr>
              <w:pStyle w:val="P68B1DB1-Normal11"/>
              <w:spacing w:before="120" w:after="120"/>
              <w:jc w:val="center"/>
              <w:rPr>
                <w:noProof/>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4E51A0F1" w14:textId="1FE5D36E" w:rsidR="0057163C" w:rsidRPr="00170422" w:rsidRDefault="00F37BF9">
            <w:pPr>
              <w:pStyle w:val="P68B1DB1-Normal12"/>
              <w:spacing w:before="120" w:after="120"/>
              <w:jc w:val="center"/>
              <w:rPr>
                <w:noProof/>
                <w:lang w:val="de-DE"/>
              </w:rPr>
            </w:pPr>
            <w:r w:rsidRPr="00170422">
              <w:rPr>
                <w:noProof/>
                <w:lang w:val="de-DE"/>
              </w:rPr>
              <w:t>3 120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2C981A3D" w14:textId="77777777" w:rsidR="0057163C" w:rsidRPr="00170422" w:rsidRDefault="00F37BF9">
            <w:pPr>
              <w:pStyle w:val="P68B1DB1-Normal11"/>
              <w:spacing w:before="120" w:after="120"/>
              <w:jc w:val="center"/>
              <w:rPr>
                <w:noProof/>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62336415"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6893763C" w14:textId="4EECD9BC" w:rsidR="0057163C" w:rsidRPr="00170422" w:rsidRDefault="00F37BF9">
            <w:pPr>
              <w:pStyle w:val="P68B1DB1-Normal12"/>
              <w:spacing w:before="120" w:after="120"/>
              <w:rPr>
                <w:noProof/>
                <w:lang w:val="de-DE"/>
              </w:rPr>
            </w:pPr>
            <w:r w:rsidRPr="00170422">
              <w:rPr>
                <w:noProof/>
                <w:lang w:val="de-DE"/>
              </w:rPr>
              <w:t>Mindestens 3120 Begünstigte habe</w:t>
            </w:r>
            <w:r w:rsidRPr="00170422">
              <w:rPr>
                <w:noProof/>
                <w:lang w:val="de-DE"/>
              </w:rPr>
              <w:t>n die Renovierung von Wohnräumen und/oder die Bereitstellung von IKT-Geräten erhalten. Die Begünstigten, die IKT-Geräte erhalten, nehmen auch an Schulungen zu digitalen Kompetenzen teil.</w:t>
            </w:r>
          </w:p>
        </w:tc>
      </w:tr>
      <w:tr w:rsidR="0057163C" w:rsidRPr="00170422" w14:paraId="61B872D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4489B5C" w14:textId="77777777" w:rsidR="0057163C" w:rsidRPr="00170422" w:rsidRDefault="00F37BF9">
            <w:pPr>
              <w:pStyle w:val="P68B1DB1-Normal12"/>
              <w:spacing w:before="120" w:after="120"/>
              <w:jc w:val="center"/>
              <w:rPr>
                <w:noProof/>
                <w:lang w:val="de-DE"/>
              </w:rPr>
            </w:pPr>
            <w:r w:rsidRPr="00170422">
              <w:rPr>
                <w:noProof/>
                <w:lang w:val="de-DE"/>
              </w:rPr>
              <w:t>M5C2-10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607CFB1A" w14:textId="77777777" w:rsidR="0057163C" w:rsidRPr="00170422" w:rsidRDefault="00F37BF9">
            <w:pPr>
              <w:pStyle w:val="P68B1DB1-Normal11"/>
              <w:spacing w:before="120" w:after="120"/>
              <w:jc w:val="center"/>
              <w:rPr>
                <w:noProof/>
                <w:lang w:val="de-DE"/>
              </w:rPr>
            </w:pPr>
            <w:r w:rsidRPr="00170422">
              <w:rPr>
                <w:noProof/>
                <w:lang w:val="de-DE"/>
              </w:rPr>
              <w:t>Investition 3 – Wohnen Erst- und Poststellen</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B9F6C1" w14:textId="77777777" w:rsidR="0057163C" w:rsidRPr="00170422" w:rsidRDefault="00F37BF9">
            <w:pPr>
              <w:pStyle w:val="P68B1DB1-Normal11"/>
              <w:spacing w:before="120" w:after="120"/>
              <w:jc w:val="center"/>
              <w:rPr>
                <w:noProof/>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A3C0994" w14:textId="555AF164" w:rsidR="0057163C" w:rsidRPr="00170422" w:rsidRDefault="00F37BF9">
            <w:pPr>
              <w:pStyle w:val="P68B1DB1-Normal12"/>
              <w:spacing w:before="120" w:after="120"/>
              <w:jc w:val="center"/>
              <w:rPr>
                <w:noProof/>
                <w:lang w:val="de-DE"/>
              </w:rPr>
            </w:pPr>
            <w:r w:rsidRPr="00170422">
              <w:rPr>
                <w:noProof/>
                <w:lang w:val="de-DE"/>
              </w:rPr>
              <w:t>Immobilienprojekte Erst- und Poststationen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2C4846D6" w14:textId="77777777" w:rsidR="0057163C" w:rsidRPr="00170422" w:rsidRDefault="00F37BF9">
            <w:pPr>
              <w:pStyle w:val="P68B1DB1-Normal11"/>
              <w:spacing w:before="120" w:after="120"/>
              <w:jc w:val="center"/>
              <w:rPr>
                <w:noProof/>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6BD251F0" w14:textId="77777777" w:rsidR="0057163C" w:rsidRPr="00170422" w:rsidRDefault="00F37BF9">
            <w:pPr>
              <w:pStyle w:val="P68B1DB1-Normal11"/>
              <w:spacing w:before="120" w:after="120"/>
              <w:jc w:val="center"/>
              <w:rPr>
                <w:noProof/>
                <w:lang w:val="de-DE"/>
              </w:rPr>
            </w:pPr>
            <w:r w:rsidRPr="00170422">
              <w:rPr>
                <w:noProof/>
                <w:lang w:val="de-DE"/>
              </w:rPr>
              <w:t>Anzahl</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7E9E47FD" w14:textId="77777777" w:rsidR="0057163C" w:rsidRPr="00170422" w:rsidRDefault="00F37BF9">
            <w:pPr>
              <w:pStyle w:val="P68B1DB1-Normal11"/>
              <w:spacing w:before="120" w:after="120"/>
              <w:jc w:val="center"/>
              <w:rPr>
                <w:noProof/>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93CB304" w14:textId="77777777" w:rsidR="0057163C" w:rsidRPr="00170422" w:rsidRDefault="00F37BF9">
            <w:pPr>
              <w:pStyle w:val="P68B1DB1-Normal12"/>
              <w:spacing w:before="120" w:after="120"/>
              <w:jc w:val="center"/>
              <w:rPr>
                <w:noProof/>
                <w:lang w:val="de-DE"/>
              </w:rPr>
            </w:pPr>
            <w:r w:rsidRPr="00170422">
              <w:rPr>
                <w:noProof/>
                <w:lang w:val="de-DE"/>
              </w:rPr>
              <w:t>12 364</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8AC6EE7" w14:textId="77777777" w:rsidR="0057163C" w:rsidRPr="00170422" w:rsidRDefault="00F37BF9">
            <w:pPr>
              <w:pStyle w:val="P68B1DB1-Normal11"/>
              <w:spacing w:before="120" w:after="120"/>
              <w:jc w:val="center"/>
              <w:rPr>
                <w:noProof/>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1A277494" w14:textId="77777777" w:rsidR="0057163C" w:rsidRPr="00170422" w:rsidRDefault="00F37BF9">
            <w:pPr>
              <w:pStyle w:val="P68B1DB1-Normal11"/>
              <w:spacing w:before="120" w:after="120"/>
              <w:jc w:val="center"/>
              <w:rPr>
                <w:noProof/>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6B01160" w14:textId="77777777" w:rsidR="0057163C" w:rsidRPr="00170422" w:rsidRDefault="00F37BF9">
            <w:pPr>
              <w:pStyle w:val="P68B1DB1-Normal12"/>
              <w:spacing w:before="120" w:after="120"/>
              <w:rPr>
                <w:noProof/>
                <w:lang w:val="de-DE"/>
              </w:rPr>
            </w:pPr>
            <w:r w:rsidRPr="00170422">
              <w:rPr>
                <w:noProof/>
                <w:lang w:val="de-DE"/>
              </w:rPr>
              <w:t xml:space="preserve">Für den Wohnungsbau wurden zunächst 1318 individualisierte Projekte ( </w:t>
            </w:r>
            <w:r w:rsidRPr="00170422">
              <w:rPr>
                <w:i/>
                <w:noProof/>
                <w:lang w:val="de-DE"/>
              </w:rPr>
              <w:t>„progetto personalizzato“) unterzeichnet, aus denen hervorgeht</w:t>
            </w:r>
            <w:r w:rsidRPr="00170422">
              <w:rPr>
                <w:noProof/>
                <w:lang w:val="de-DE"/>
              </w:rPr>
              <w:t>, dass eine vorübergehende Unterbringung für mi</w:t>
            </w:r>
            <w:r w:rsidRPr="00170422">
              <w:rPr>
                <w:noProof/>
                <w:lang w:val="de-DE"/>
              </w:rPr>
              <w:t>ndestens 6 und höchstens 24 Monate gewährt wurde. Darüber hinaus ist für jeden Begünstigten eine Bescheinigung über den Abschluss der Arbeiten an der Infrastruktur des jeweiligen Projekts vorzulegen.</w:t>
            </w:r>
          </w:p>
          <w:p w14:paraId="5B97983E" w14:textId="77777777" w:rsidR="0057163C" w:rsidRPr="00170422" w:rsidRDefault="00F37BF9">
            <w:pPr>
              <w:pStyle w:val="P68B1DB1-Normal12"/>
              <w:spacing w:before="120" w:after="120"/>
              <w:rPr>
                <w:noProof/>
                <w:lang w:val="de-DE"/>
              </w:rPr>
            </w:pPr>
            <w:r w:rsidRPr="00170422">
              <w:rPr>
                <w:noProof/>
                <w:lang w:val="de-DE"/>
              </w:rPr>
              <w:t>Für Poststationen wurden 11046 individualisierte Projekt</w:t>
            </w:r>
            <w:r w:rsidRPr="00170422">
              <w:rPr>
                <w:noProof/>
                <w:lang w:val="de-DE"/>
              </w:rPr>
              <w:t xml:space="preserve">e ( </w:t>
            </w:r>
            <w:r w:rsidRPr="00170422">
              <w:rPr>
                <w:i/>
                <w:noProof/>
                <w:lang w:val="de-DE"/>
              </w:rPr>
              <w:t>„progetto personalizzato“) unterzeichnet, die belegen</w:t>
            </w:r>
            <w:r w:rsidRPr="00170422">
              <w:rPr>
                <w:noProof/>
                <w:lang w:val="de-DE"/>
              </w:rPr>
              <w:t>, dass die Dienstleistung erbracht wurde. Für jeden Begünstigten ist auch eine Bescheinigung über den Abschluss der Arbeiten an der Infrastruktur des jeweiligen Projekts vorzulegen.</w:t>
            </w:r>
          </w:p>
        </w:tc>
      </w:tr>
      <w:tr w:rsidR="0057163C" w:rsidRPr="00170422" w14:paraId="4497645A"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1A86A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M5C2-11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ACD218"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Investition 4 – Investitionen in Stadterneuerungsprojekte zur Verringerung von Marginalisierung und sozialer Degradation</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104AE53"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Meilenstein</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A06431"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 xml:space="preserve">Vergabe aller öffentlichen Aufträge für Investitionen in die Stadterneuerung zur Verringerung von Marginalisierung und </w:t>
            </w:r>
            <w:r w:rsidRPr="00170422">
              <w:rPr>
                <w:noProof/>
                <w:lang w:val="de-DE"/>
              </w:rPr>
              <w:t>sozialer Degradation mit Projekten im Einklang mit den Zielen der Aufbau- und Resilienzfazilität, einschließlich des Grundsatzes der Vermeidung erheblicher Beeinträchtigungen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33094EC"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Mitteilung aller öffentlichen Aufträge für Investitionen in die Stadterneuerung z</w:t>
            </w:r>
            <w:r w:rsidRPr="00170422">
              <w:rPr>
                <w:noProof/>
                <w:lang w:val="de-DE"/>
              </w:rPr>
              <w:t>ur Verringerung von Marginalisierung und sozialer Degradation mit Projekten im Einklang mit den Zielen der Aufbau- und Resilienzfazilität, einschließlich des Grundsatzes der Vermeidung erheblicher Beeinträchtigungen</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9CE1BDE"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0FF055"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83E12B"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ENTFÄLLT.</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F6204DD"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616EBE" w14:textId="77777777" w:rsidR="0057163C" w:rsidRPr="00170422" w:rsidRDefault="00F37BF9">
            <w:pPr>
              <w:pStyle w:val="P68B1DB1-Normal11"/>
              <w:spacing w:before="120" w:after="120"/>
              <w:jc w:val="center"/>
              <w:rPr>
                <w:rFonts w:eastAsia="Calibri"/>
                <w:noProof/>
                <w:szCs w:val="20"/>
                <w:lang w:val="de-DE"/>
              </w:rPr>
            </w:pPr>
            <w:r w:rsidRPr="00170422">
              <w:rPr>
                <w:noProof/>
                <w:lang w:val="de-DE"/>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E274C4" w14:textId="77777777" w:rsidR="0057163C" w:rsidRPr="00170422" w:rsidRDefault="00F37BF9">
            <w:pPr>
              <w:spacing w:before="120" w:after="120"/>
              <w:rPr>
                <w:rFonts w:ascii="Arial Narrow" w:eastAsia="Calibri" w:hAnsi="Arial Narrow"/>
                <w:noProof/>
                <w:color w:val="006100"/>
                <w:sz w:val="20"/>
                <w:szCs w:val="20"/>
                <w:lang w:val="de-DE"/>
              </w:rPr>
            </w:pPr>
            <w:r w:rsidRPr="00170422">
              <w:rPr>
                <w:rFonts w:ascii="Arial Narrow" w:hAnsi="Arial Narrow"/>
                <w:noProof/>
                <w:color w:val="006100"/>
                <w:sz w:val="20"/>
                <w:lang w:val="de-DE"/>
              </w:rPr>
              <w:t>Mi</w:t>
            </w:r>
            <w:r w:rsidRPr="00170422">
              <w:rPr>
                <w:rFonts w:ascii="Arial Narrow" w:hAnsi="Arial Narrow"/>
                <w:noProof/>
                <w:color w:val="006100"/>
                <w:sz w:val="20"/>
                <w:lang w:val="de-DE"/>
              </w:rPr>
              <w:t>tteilung aller öffentlichen Aufträge, die an mindestens 300 Gemeinden mit mehr als 15000 Einwohnern für Investitionen in die Stadterneuerung zur Verringerung von Marginalisierung und sozialer Degradation vergeben wurden, wobei Projekte mit den Zielen der A</w:t>
            </w:r>
            <w:r w:rsidRPr="00170422">
              <w:rPr>
                <w:rFonts w:ascii="Arial Narrow" w:hAnsi="Arial Narrow"/>
                <w:noProof/>
                <w:color w:val="006100"/>
                <w:sz w:val="20"/>
                <w:lang w:val="de-DE"/>
              </w:rPr>
              <w:t>ufbau- und Resilienzfazilität, einschließlich des Grundsatzes der Vermeidung erheblicher Beeinträchtigungen, im Einklang stehen.</w:t>
            </w:r>
          </w:p>
          <w:p w14:paraId="5CA68C3F" w14:textId="77777777" w:rsidR="0057163C" w:rsidRPr="00170422" w:rsidRDefault="00F37BF9">
            <w:pPr>
              <w:spacing w:before="120" w:after="120"/>
              <w:rPr>
                <w:rFonts w:ascii="Arial Narrow" w:eastAsia="Calibri" w:hAnsi="Arial Narrow"/>
                <w:noProof/>
                <w:color w:val="006100"/>
                <w:sz w:val="20"/>
                <w:szCs w:val="20"/>
                <w:lang w:val="de-DE"/>
              </w:rPr>
            </w:pPr>
            <w:r w:rsidRPr="00170422">
              <w:rPr>
                <w:rFonts w:ascii="Arial Narrow" w:hAnsi="Arial Narrow"/>
                <w:noProof/>
                <w:color w:val="006100"/>
                <w:sz w:val="20"/>
                <w:lang w:val="de-DE"/>
              </w:rPr>
              <w:t>Die Zuwendungen werden Gemeinden mit mehr als 15000</w:t>
            </w:r>
            <w:r w:rsidRPr="00170422">
              <w:rPr>
                <w:noProof/>
                <w:sz w:val="23"/>
                <w:szCs w:val="23"/>
                <w:lang w:val="de-DE"/>
              </w:rPr>
              <w:t xml:space="preserve"> </w:t>
            </w:r>
            <w:r w:rsidRPr="00170422">
              <w:rPr>
                <w:rFonts w:ascii="Arial Narrow" w:hAnsi="Arial Narrow"/>
                <w:noProof/>
                <w:color w:val="006100"/>
                <w:sz w:val="20"/>
                <w:lang w:val="de-DE"/>
              </w:rPr>
              <w:t>Einwohnern gewährt, die nicht zu den Landeshauptstädten, den Provinzhauptst</w:t>
            </w:r>
            <w:r w:rsidRPr="00170422">
              <w:rPr>
                <w:rFonts w:ascii="Arial Narrow" w:hAnsi="Arial Narrow"/>
                <w:noProof/>
                <w:color w:val="006100"/>
                <w:sz w:val="20"/>
                <w:lang w:val="de-DE"/>
              </w:rPr>
              <w:t>ädten oder der Stadtverwaltung gehören.</w:t>
            </w:r>
          </w:p>
          <w:p w14:paraId="7C5F2F44" w14:textId="77777777" w:rsidR="0057163C" w:rsidRPr="00170422" w:rsidRDefault="00F37BF9">
            <w:pPr>
              <w:pStyle w:val="P68B1DB1-Normal11"/>
              <w:spacing w:before="120" w:after="120"/>
              <w:rPr>
                <w:rFonts w:eastAsia="Calibri"/>
                <w:noProof/>
                <w:szCs w:val="20"/>
                <w:lang w:val="de-DE"/>
              </w:rPr>
            </w:pPr>
            <w:r w:rsidRPr="00170422">
              <w:rPr>
                <w:noProof/>
                <w:lang w:val="de-DE"/>
              </w:rPr>
              <w:t>Projekte der städtischen Erzeugung umfassen mindestens eine der folgenden Maßnahmen:</w:t>
            </w:r>
          </w:p>
          <w:p w14:paraId="6AA5307F" w14:textId="77777777" w:rsidR="0057163C" w:rsidRPr="00170422" w:rsidRDefault="00F37BF9">
            <w:pPr>
              <w:pStyle w:val="P68B1DB1-ListParagraph15"/>
              <w:numPr>
                <w:ilvl w:val="0"/>
                <w:numId w:val="95"/>
              </w:numPr>
              <w:spacing w:before="120" w:after="120" w:line="278" w:lineRule="auto"/>
              <w:ind w:left="357" w:hanging="357"/>
              <w:contextualSpacing w:val="0"/>
              <w:jc w:val="both"/>
              <w:rPr>
                <w:rFonts w:eastAsia="Calibri"/>
                <w:noProof/>
                <w:szCs w:val="20"/>
                <w:lang w:val="de-DE"/>
              </w:rPr>
            </w:pPr>
            <w:r w:rsidRPr="00170422">
              <w:rPr>
                <w:noProof/>
                <w:lang w:val="de-DE"/>
              </w:rPr>
              <w:t>Wiederverwendung und Wiederverwendung öffentlicher Flächen und bestehender öffentlicher Gebäudestrukturen für Zwecke von öffentlich</w:t>
            </w:r>
            <w:r w:rsidRPr="00170422">
              <w:rPr>
                <w:noProof/>
                <w:lang w:val="de-DE"/>
              </w:rPr>
              <w:t>em Interesse, einschließlich des Abrisses missbräuchlicher Arbeiten, die von Privatpersonen in Abwesenheit oder völliger Abweichung von der Baugenehmigung und der Anordnung der betreffenden Bereiche durchgeführt werden;</w:t>
            </w:r>
          </w:p>
          <w:p w14:paraId="5E426E72" w14:textId="77777777" w:rsidR="0057163C" w:rsidRPr="00170422" w:rsidRDefault="00F37BF9">
            <w:pPr>
              <w:pStyle w:val="P68B1DB1-ListParagraph15"/>
              <w:numPr>
                <w:ilvl w:val="0"/>
                <w:numId w:val="95"/>
              </w:numPr>
              <w:spacing w:before="120" w:after="120" w:line="278" w:lineRule="auto"/>
              <w:ind w:left="357" w:hanging="357"/>
              <w:contextualSpacing w:val="0"/>
              <w:jc w:val="both"/>
              <w:rPr>
                <w:rFonts w:eastAsia="Calibri"/>
                <w:noProof/>
                <w:szCs w:val="20"/>
                <w:lang w:val="de-DE"/>
              </w:rPr>
            </w:pPr>
            <w:r w:rsidRPr="00170422">
              <w:rPr>
                <w:noProof/>
                <w:lang w:val="de-DE"/>
              </w:rPr>
              <w:t>Verbesserung der Qualität der städti</w:t>
            </w:r>
            <w:r w:rsidRPr="00170422">
              <w:rPr>
                <w:noProof/>
                <w:lang w:val="de-DE"/>
              </w:rPr>
              <w:t>schen Landschaft und des sozialen und ökologischen Gefüges, unter anderem durch Gebäuderenovierung öffentlicher Gebäude, unter besonderer Berücksichtigung der Entwicklung sozialer und kultureller, pädagogischer und didaktischer Dienstleistungen;</w:t>
            </w:r>
          </w:p>
          <w:p w14:paraId="35940459" w14:textId="77777777" w:rsidR="0057163C" w:rsidRPr="00170422" w:rsidRDefault="00F37BF9">
            <w:pPr>
              <w:pStyle w:val="P68B1DB1-ListParagraph15"/>
              <w:numPr>
                <w:ilvl w:val="0"/>
                <w:numId w:val="95"/>
              </w:numPr>
              <w:spacing w:before="120" w:after="120" w:line="278" w:lineRule="auto"/>
              <w:ind w:left="357" w:hanging="357"/>
              <w:contextualSpacing w:val="0"/>
              <w:jc w:val="both"/>
              <w:rPr>
                <w:rFonts w:eastAsia="Calibri"/>
                <w:noProof/>
                <w:szCs w:val="20"/>
                <w:lang w:val="de-DE"/>
              </w:rPr>
            </w:pPr>
            <w:r w:rsidRPr="00170422">
              <w:rPr>
                <w:noProof/>
                <w:lang w:val="de-DE"/>
              </w:rPr>
              <w:t>Grüne, nac</w:t>
            </w:r>
            <w:r w:rsidRPr="00170422">
              <w:rPr>
                <w:noProof/>
                <w:lang w:val="de-DE"/>
              </w:rPr>
              <w:t>hhaltige und intelligente Verkehrsprojekte.</w:t>
            </w:r>
          </w:p>
          <w:p w14:paraId="0A77AA9E" w14:textId="77777777" w:rsidR="0057163C" w:rsidRPr="00170422" w:rsidRDefault="00F37BF9">
            <w:pPr>
              <w:pStyle w:val="P68B1DB1-Normal11"/>
              <w:spacing w:before="120" w:after="120"/>
              <w:rPr>
                <w:rFonts w:eastAsia="Calibri"/>
                <w:noProof/>
                <w:szCs w:val="20"/>
                <w:lang w:val="de-DE"/>
              </w:rPr>
            </w:pPr>
            <w:r w:rsidRPr="00170422">
              <w:rPr>
                <w:noProof/>
                <w:lang w:val="de-DE"/>
              </w:rPr>
              <w:t>Die Höchstbeträge pro Gemeinde betragen:</w:t>
            </w:r>
          </w:p>
          <w:p w14:paraId="2BD93289" w14:textId="77777777" w:rsidR="0057163C" w:rsidRPr="00170422" w:rsidRDefault="00F37BF9">
            <w:pPr>
              <w:spacing w:before="120" w:after="120"/>
              <w:rPr>
                <w:rFonts w:ascii="Arial Narrow" w:eastAsia="Calibri" w:hAnsi="Arial Narrow"/>
                <w:noProof/>
                <w:color w:val="006100"/>
                <w:sz w:val="20"/>
                <w:szCs w:val="20"/>
                <w:lang w:val="de-DE"/>
              </w:rPr>
            </w:pPr>
            <w:r w:rsidRPr="00170422">
              <w:rPr>
                <w:rFonts w:ascii="Arial Narrow" w:hAnsi="Arial Narrow"/>
                <w:noProof/>
                <w:color w:val="006100"/>
                <w:sz w:val="20"/>
                <w:lang w:val="de-DE"/>
              </w:rPr>
              <w:t>5000000 EUR</w:t>
            </w:r>
            <w:r w:rsidRPr="00170422">
              <w:rPr>
                <w:noProof/>
                <w:sz w:val="23"/>
                <w:szCs w:val="23"/>
                <w:lang w:val="de-DE"/>
              </w:rPr>
              <w:t xml:space="preserve">  </w:t>
            </w:r>
            <w:r w:rsidRPr="00170422">
              <w:rPr>
                <w:rFonts w:ascii="Arial Narrow" w:hAnsi="Arial Narrow"/>
                <w:noProof/>
                <w:color w:val="006100"/>
                <w:sz w:val="20"/>
                <w:lang w:val="de-DE"/>
              </w:rPr>
              <w:t>für Gemeinden mit 15000 bis</w:t>
            </w:r>
            <w:r w:rsidRPr="00170422">
              <w:rPr>
                <w:noProof/>
                <w:sz w:val="23"/>
                <w:szCs w:val="23"/>
                <w:lang w:val="de-DE"/>
              </w:rPr>
              <w:t xml:space="preserve"> </w:t>
            </w:r>
            <w:r w:rsidRPr="00170422">
              <w:rPr>
                <w:rFonts w:ascii="Arial Narrow" w:hAnsi="Arial Narrow"/>
                <w:noProof/>
                <w:color w:val="006100"/>
                <w:sz w:val="20"/>
                <w:lang w:val="de-DE"/>
              </w:rPr>
              <w:t>49999</w:t>
            </w:r>
            <w:r w:rsidRPr="00170422">
              <w:rPr>
                <w:noProof/>
                <w:sz w:val="23"/>
                <w:szCs w:val="23"/>
                <w:lang w:val="de-DE"/>
              </w:rPr>
              <w:t xml:space="preserve"> </w:t>
            </w:r>
            <w:r w:rsidRPr="00170422">
              <w:rPr>
                <w:rFonts w:ascii="Arial Narrow" w:hAnsi="Arial Narrow"/>
                <w:noProof/>
                <w:color w:val="006100"/>
                <w:sz w:val="20"/>
                <w:lang w:val="de-DE"/>
              </w:rPr>
              <w:t>Einwohnern;</w:t>
            </w:r>
          </w:p>
          <w:p w14:paraId="46748205" w14:textId="77777777" w:rsidR="0057163C" w:rsidRPr="00170422" w:rsidRDefault="00F37BF9">
            <w:pPr>
              <w:spacing w:before="120" w:after="120"/>
              <w:rPr>
                <w:rFonts w:ascii="Arial Narrow" w:eastAsia="Calibri" w:hAnsi="Arial Narrow"/>
                <w:noProof/>
                <w:color w:val="006100"/>
                <w:sz w:val="20"/>
                <w:szCs w:val="20"/>
                <w:lang w:val="de-DE"/>
              </w:rPr>
            </w:pPr>
            <w:r w:rsidRPr="00170422">
              <w:rPr>
                <w:rFonts w:ascii="Arial Narrow" w:hAnsi="Arial Narrow"/>
                <w:noProof/>
                <w:color w:val="006100"/>
                <w:sz w:val="20"/>
                <w:lang w:val="de-DE"/>
              </w:rPr>
              <w:t>10000000 EUR</w:t>
            </w:r>
            <w:r w:rsidRPr="00170422">
              <w:rPr>
                <w:noProof/>
                <w:sz w:val="23"/>
                <w:szCs w:val="23"/>
                <w:lang w:val="de-DE"/>
              </w:rPr>
              <w:t xml:space="preserve">  </w:t>
            </w:r>
            <w:r w:rsidRPr="00170422">
              <w:rPr>
                <w:rFonts w:ascii="Arial Narrow" w:hAnsi="Arial Narrow"/>
                <w:noProof/>
                <w:color w:val="006100"/>
                <w:sz w:val="20"/>
                <w:lang w:val="de-DE"/>
              </w:rPr>
              <w:t>für Gemeinden mit 50000 bis</w:t>
            </w:r>
            <w:r w:rsidRPr="00170422">
              <w:rPr>
                <w:noProof/>
                <w:sz w:val="23"/>
                <w:szCs w:val="23"/>
                <w:lang w:val="de-DE"/>
              </w:rPr>
              <w:t xml:space="preserve"> </w:t>
            </w:r>
            <w:r w:rsidRPr="00170422">
              <w:rPr>
                <w:rFonts w:ascii="Arial Narrow" w:hAnsi="Arial Narrow"/>
                <w:noProof/>
                <w:color w:val="006100"/>
                <w:sz w:val="20"/>
                <w:lang w:val="de-DE"/>
              </w:rPr>
              <w:t>100000</w:t>
            </w:r>
            <w:r w:rsidRPr="00170422">
              <w:rPr>
                <w:noProof/>
                <w:sz w:val="23"/>
                <w:szCs w:val="23"/>
                <w:lang w:val="de-DE"/>
              </w:rPr>
              <w:t xml:space="preserve"> </w:t>
            </w:r>
            <w:r w:rsidRPr="00170422">
              <w:rPr>
                <w:rFonts w:ascii="Arial Narrow" w:hAnsi="Arial Narrow"/>
                <w:noProof/>
                <w:color w:val="006100"/>
                <w:sz w:val="20"/>
                <w:lang w:val="de-DE"/>
              </w:rPr>
              <w:t>Einwohnern;</w:t>
            </w:r>
          </w:p>
          <w:p w14:paraId="7EACC1E5" w14:textId="77777777" w:rsidR="0057163C" w:rsidRPr="00170422" w:rsidRDefault="00F37BF9">
            <w:pPr>
              <w:spacing w:before="120" w:after="120"/>
              <w:rPr>
                <w:rFonts w:ascii="Arial Narrow" w:eastAsia="Calibri" w:hAnsi="Arial Narrow"/>
                <w:noProof/>
                <w:color w:val="006100"/>
                <w:sz w:val="20"/>
                <w:szCs w:val="20"/>
                <w:lang w:val="de-DE"/>
              </w:rPr>
            </w:pPr>
            <w:r w:rsidRPr="00170422">
              <w:rPr>
                <w:rFonts w:ascii="Arial Narrow" w:hAnsi="Arial Narrow"/>
                <w:noProof/>
                <w:color w:val="006100"/>
                <w:sz w:val="20"/>
                <w:lang w:val="de-DE"/>
              </w:rPr>
              <w:t xml:space="preserve"> 20000000 EUR für Gemeinden mit mehr als 100000 Ein</w:t>
            </w:r>
            <w:r w:rsidRPr="00170422">
              <w:rPr>
                <w:rFonts w:ascii="Arial Narrow" w:hAnsi="Arial Narrow"/>
                <w:noProof/>
                <w:color w:val="006100"/>
                <w:sz w:val="20"/>
                <w:lang w:val="de-DE"/>
              </w:rPr>
              <w:t>wohnern</w:t>
            </w:r>
            <w:r w:rsidRPr="00170422">
              <w:rPr>
                <w:noProof/>
                <w:sz w:val="23"/>
                <w:szCs w:val="23"/>
                <w:lang w:val="de-DE"/>
              </w:rPr>
              <w:t xml:space="preserve"> </w:t>
            </w:r>
            <w:r w:rsidRPr="00170422">
              <w:rPr>
                <w:rFonts w:ascii="Arial Narrow" w:hAnsi="Arial Narrow"/>
                <w:noProof/>
                <w:color w:val="006100"/>
                <w:sz w:val="20"/>
                <w:lang w:val="de-DE"/>
              </w:rPr>
              <w:t>und Gemeinden, die Provinzhauptstädte oder Metropolstädte sind.</w:t>
            </w:r>
          </w:p>
        </w:tc>
      </w:tr>
      <w:tr w:rsidR="0057163C" w:rsidRPr="00170422" w14:paraId="3403ECE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F1BBC4" w14:textId="77777777" w:rsidR="0057163C" w:rsidRPr="00170422" w:rsidRDefault="00F37BF9">
            <w:pPr>
              <w:pStyle w:val="P68B1DB1-Normal12"/>
              <w:jc w:val="center"/>
              <w:rPr>
                <w:noProof/>
                <w:highlight w:val="yellow"/>
                <w:lang w:val="de-DE"/>
              </w:rPr>
            </w:pPr>
            <w:r w:rsidRPr="00170422">
              <w:rPr>
                <w:noProof/>
                <w:lang w:val="de-DE"/>
              </w:rPr>
              <w:t>M5C2-12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BD3DB3" w14:textId="77777777" w:rsidR="0057163C" w:rsidRPr="00170422" w:rsidRDefault="00F37BF9">
            <w:pPr>
              <w:pStyle w:val="P68B1DB1-Normal11"/>
              <w:jc w:val="center"/>
              <w:rPr>
                <w:noProof/>
                <w:szCs w:val="20"/>
                <w:lang w:val="de-DE"/>
              </w:rPr>
            </w:pPr>
            <w:r w:rsidRPr="00170422">
              <w:rPr>
                <w:noProof/>
                <w:lang w:val="de-DE"/>
              </w:rPr>
              <w:t>Investition 4 – Investitionen in Stadterneuerungsprojekte zur Verringerung von Marginalisierung und sozialer Degradation</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8F4BA4A" w14:textId="77777777" w:rsidR="0057163C" w:rsidRPr="00170422" w:rsidRDefault="00F37BF9">
            <w:pPr>
              <w:pStyle w:val="P68B1DB1-Normal11"/>
              <w:jc w:val="center"/>
              <w:rPr>
                <w:noProof/>
                <w:szCs w:val="20"/>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F9BA6EA" w14:textId="77777777" w:rsidR="0057163C" w:rsidRPr="00170422" w:rsidRDefault="00F37BF9">
            <w:pPr>
              <w:pStyle w:val="P68B1DB1-Normal12"/>
              <w:jc w:val="center"/>
              <w:rPr>
                <w:noProof/>
                <w:lang w:val="de-DE"/>
              </w:rPr>
            </w:pPr>
            <w:r w:rsidRPr="00170422">
              <w:rPr>
                <w:noProof/>
                <w:lang w:val="de-DE"/>
              </w:rPr>
              <w:t xml:space="preserve">Abschluss von Projekten für Maßnahmen zur Stadterneuerung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5F266A" w14:textId="77777777" w:rsidR="0057163C" w:rsidRPr="00170422" w:rsidRDefault="00F37BF9">
            <w:pPr>
              <w:pStyle w:val="P68B1DB1-Normal11"/>
              <w:jc w:val="center"/>
              <w:rPr>
                <w:noProof/>
                <w:szCs w:val="20"/>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518E52" w14:textId="77777777" w:rsidR="0057163C" w:rsidRPr="00170422" w:rsidRDefault="00F37BF9">
            <w:pPr>
              <w:pStyle w:val="P68B1DB1-Normal11"/>
              <w:jc w:val="center"/>
              <w:rPr>
                <w:noProof/>
                <w:szCs w:val="20"/>
                <w:lang w:val="de-DE"/>
              </w:rPr>
            </w:pPr>
            <w:r w:rsidRPr="00170422">
              <w:rPr>
                <w:noProof/>
                <w:lang w:val="de-DE"/>
              </w:rPr>
              <w:t>Anzahl</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CDA326" w14:textId="77777777" w:rsidR="0057163C" w:rsidRPr="00170422" w:rsidRDefault="00F37BF9">
            <w:pPr>
              <w:pStyle w:val="P68B1DB1-Normal11"/>
              <w:jc w:val="center"/>
              <w:rPr>
                <w:noProof/>
                <w:szCs w:val="20"/>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CF8CDF4"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1</w:t>
            </w:r>
            <w:r w:rsidRPr="00170422">
              <w:rPr>
                <w:noProof/>
                <w:sz w:val="23"/>
                <w:szCs w:val="23"/>
                <w:lang w:val="de-DE"/>
              </w:rPr>
              <w:t xml:space="preserve"> </w:t>
            </w:r>
            <w:r w:rsidRPr="00170422">
              <w:rPr>
                <w:rFonts w:ascii="Arial Narrow" w:hAnsi="Arial Narrow"/>
                <w:noProof/>
                <w:color w:val="006100"/>
                <w:sz w:val="20"/>
                <w:lang w:val="de-DE"/>
              </w:rPr>
              <w:t>080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021215" w14:textId="77777777" w:rsidR="0057163C" w:rsidRPr="00170422" w:rsidRDefault="00F37BF9">
            <w:pPr>
              <w:pStyle w:val="P68B1DB1-Normal11"/>
              <w:jc w:val="center"/>
              <w:rPr>
                <w:noProof/>
                <w:szCs w:val="20"/>
                <w:lang w:val="de-DE"/>
              </w:rPr>
            </w:pPr>
            <w:r w:rsidRPr="00170422">
              <w:rPr>
                <w:noProof/>
                <w:lang w:val="de-DE"/>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A7CA6FE" w14:textId="77777777" w:rsidR="0057163C" w:rsidRPr="00170422" w:rsidRDefault="00F37BF9">
            <w:pPr>
              <w:pStyle w:val="P68B1DB1-Normal11"/>
              <w:jc w:val="center"/>
              <w:rPr>
                <w:noProof/>
                <w:szCs w:val="20"/>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1F1F63"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Abschlussbescheinigungen für mindestens 1080 Projekte mit einer Länge von mindestens 1000000</w:t>
            </w:r>
            <w:r w:rsidRPr="00170422">
              <w:rPr>
                <w:noProof/>
                <w:sz w:val="23"/>
                <w:szCs w:val="23"/>
                <w:lang w:val="de-DE"/>
              </w:rPr>
              <w:t xml:space="preserve"> Quadratmetern. </w:t>
            </w:r>
          </w:p>
        </w:tc>
      </w:tr>
      <w:tr w:rsidR="0057163C" w:rsidRPr="00170422" w14:paraId="790FA9FE"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5A384BA" w14:textId="77777777" w:rsidR="0057163C" w:rsidRPr="00170422" w:rsidRDefault="00F37BF9">
            <w:pPr>
              <w:pStyle w:val="P68B1DB1-Normal11"/>
              <w:jc w:val="center"/>
              <w:rPr>
                <w:noProof/>
                <w:szCs w:val="20"/>
                <w:lang w:val="de-DE"/>
              </w:rPr>
            </w:pPr>
            <w:r w:rsidRPr="00170422">
              <w:rPr>
                <w:noProof/>
                <w:lang w:val="de-DE"/>
              </w:rPr>
              <w:t>M5C2-13</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D279941" w14:textId="77777777" w:rsidR="0057163C" w:rsidRPr="00170422" w:rsidRDefault="00F37BF9">
            <w:pPr>
              <w:pStyle w:val="P68B1DB1-Normal11"/>
              <w:jc w:val="center"/>
              <w:rPr>
                <w:noProof/>
                <w:szCs w:val="20"/>
                <w:lang w:val="de-DE"/>
              </w:rPr>
            </w:pPr>
            <w:r w:rsidRPr="00170422">
              <w:rPr>
                <w:noProof/>
                <w:lang w:val="de-DE"/>
              </w:rPr>
              <w:t>Investition 5 – integrierte städtische Pläne –</w:t>
            </w:r>
            <w:r w:rsidRPr="00170422">
              <w:rPr>
                <w:noProof/>
                <w:lang w:val="de-DE"/>
              </w:rPr>
              <w:t xml:space="preserve"> allgemeine Projekte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2F299B" w14:textId="77777777" w:rsidR="0057163C" w:rsidRPr="00170422" w:rsidRDefault="00F37BF9">
            <w:pPr>
              <w:pStyle w:val="P68B1DB1-Normal11"/>
              <w:jc w:val="center"/>
              <w:rPr>
                <w:noProof/>
                <w:szCs w:val="20"/>
                <w:lang w:val="de-DE"/>
              </w:rPr>
            </w:pPr>
            <w:r w:rsidRPr="00170422">
              <w:rPr>
                <w:noProof/>
                <w:lang w:val="de-DE"/>
              </w:rPr>
              <w:t>Meilenstein</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35BF4BA" w14:textId="77777777" w:rsidR="0057163C" w:rsidRPr="00170422" w:rsidRDefault="00F37BF9">
            <w:pPr>
              <w:pStyle w:val="P68B1DB1-Normal11"/>
              <w:jc w:val="center"/>
              <w:rPr>
                <w:noProof/>
                <w:szCs w:val="20"/>
                <w:lang w:val="de-DE"/>
              </w:rPr>
            </w:pPr>
            <w:r w:rsidRPr="00170422">
              <w:rPr>
                <w:noProof/>
                <w:lang w:val="de-DE"/>
              </w:rPr>
              <w:t>Inkrafttreten des Investitionsplans für Stadterneuerungsprojekte in Ballungsräumen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C8601B" w14:textId="77777777" w:rsidR="0057163C" w:rsidRPr="00170422" w:rsidRDefault="00F37BF9">
            <w:pPr>
              <w:pStyle w:val="P68B1DB1-Normal11"/>
              <w:jc w:val="center"/>
              <w:rPr>
                <w:noProof/>
                <w:szCs w:val="20"/>
                <w:lang w:val="de-DE"/>
              </w:rPr>
            </w:pPr>
            <w:r w:rsidRPr="00170422">
              <w:rPr>
                <w:noProof/>
                <w:lang w:val="de-DE"/>
              </w:rPr>
              <w:t>Bestimmung des Gesetzes über das Inkrafttreten des Plans für Stadterneuerungsprojekte in Ballungsräumen</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71BD229" w14:textId="77777777" w:rsidR="0057163C" w:rsidRPr="00170422" w:rsidRDefault="00F37BF9">
            <w:pPr>
              <w:pStyle w:val="P68B1DB1-Normal11"/>
              <w:jc w:val="center"/>
              <w:rPr>
                <w:noProof/>
                <w:szCs w:val="20"/>
                <w:lang w:val="de-DE"/>
              </w:rPr>
            </w:pPr>
            <w:r w:rsidRPr="00170422">
              <w:rPr>
                <w:noProof/>
                <w:lang w:val="de-DE"/>
              </w:rPr>
              <w:t>ENTFÄLLT.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5A4D62" w14:textId="77777777" w:rsidR="0057163C" w:rsidRPr="00170422" w:rsidRDefault="00F37BF9">
            <w:pPr>
              <w:pStyle w:val="P68B1DB1-Normal11"/>
              <w:jc w:val="center"/>
              <w:rPr>
                <w:noProof/>
                <w:szCs w:val="20"/>
                <w:lang w:val="de-DE"/>
              </w:rPr>
            </w:pPr>
            <w:r w:rsidRPr="00170422">
              <w:rPr>
                <w:noProof/>
                <w:lang w:val="de-DE"/>
              </w:rPr>
              <w:t>ENTFÄLLT.</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0575DF3" w14:textId="77777777" w:rsidR="0057163C" w:rsidRPr="00170422" w:rsidRDefault="00F37BF9">
            <w:pPr>
              <w:pStyle w:val="P68B1DB1-Normal11"/>
              <w:jc w:val="center"/>
              <w:rPr>
                <w:noProof/>
                <w:szCs w:val="20"/>
                <w:lang w:val="de-DE"/>
              </w:rPr>
            </w:pPr>
            <w:r w:rsidRPr="00170422">
              <w:rPr>
                <w:noProof/>
                <w:lang w:val="de-DE"/>
              </w:rPr>
              <w:t>ENTFÄLLT.</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BC19B4" w14:textId="77777777" w:rsidR="0057163C" w:rsidRPr="00170422" w:rsidRDefault="00F37BF9">
            <w:pPr>
              <w:pStyle w:val="P68B1DB1-Normal11"/>
              <w:jc w:val="center"/>
              <w:rPr>
                <w:noProof/>
                <w:szCs w:val="20"/>
                <w:lang w:val="de-DE"/>
              </w:rPr>
            </w:pPr>
            <w:r w:rsidRPr="00170422">
              <w:rPr>
                <w:noProof/>
                <w:lang w:val="de-DE"/>
              </w:rPr>
              <w:t xml:space="preserve">4. </w:t>
            </w:r>
            <w:r w:rsidRPr="00170422">
              <w:rPr>
                <w:noProof/>
                <w:lang w:val="de-DE"/>
              </w:rPr>
              <w:t>QUARTAL</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532F3D8" w14:textId="77777777" w:rsidR="0057163C" w:rsidRPr="00170422" w:rsidRDefault="00F37BF9">
            <w:pPr>
              <w:pStyle w:val="P68B1DB1-Normal11"/>
              <w:jc w:val="center"/>
              <w:rPr>
                <w:noProof/>
                <w:szCs w:val="20"/>
                <w:lang w:val="de-DE"/>
              </w:rPr>
            </w:pPr>
            <w:r w:rsidRPr="00170422">
              <w:rPr>
                <w:noProof/>
                <w:lang w:val="de-DE"/>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4EC17D0F" w14:textId="77777777" w:rsidR="0057163C" w:rsidRPr="00170422" w:rsidRDefault="00F37BF9">
            <w:pPr>
              <w:pStyle w:val="P68B1DB1-Normal11"/>
              <w:rPr>
                <w:noProof/>
                <w:szCs w:val="20"/>
                <w:lang w:val="de-DE"/>
              </w:rPr>
            </w:pPr>
            <w:r w:rsidRPr="00170422">
              <w:rPr>
                <w:noProof/>
                <w:lang w:val="de-DE"/>
              </w:rPr>
              <w:t>Der Investitionsplan enthält eine Reihe von Kriterien im Einklang mit den Zielen der Aufbau- und Resilienzfazilität, einschließlich des Grundsatzes der Vermeidung erheblicher Beeinträchtigungen. Die Projekte beziehen sich auf folgende Interven</w:t>
            </w:r>
            <w:r w:rsidRPr="00170422">
              <w:rPr>
                <w:noProof/>
                <w:lang w:val="de-DE"/>
              </w:rPr>
              <w:t>tionskategorien:</w:t>
            </w:r>
          </w:p>
          <w:p w14:paraId="6FE78F40" w14:textId="77777777" w:rsidR="0057163C" w:rsidRPr="00170422" w:rsidRDefault="00F37BF9">
            <w:pPr>
              <w:pStyle w:val="P68B1DB1-Normal11"/>
              <w:rPr>
                <w:noProof/>
                <w:szCs w:val="20"/>
                <w:lang w:val="de-DE"/>
              </w:rPr>
            </w:pPr>
            <w:r w:rsidRPr="00170422">
              <w:rPr>
                <w:noProof/>
                <w:lang w:val="de-DE"/>
              </w:rPr>
              <w:t>a) Instandhaltung zur Wiederverwendung und Wiederverwendung öffentlicher Bereiche.</w:t>
            </w:r>
          </w:p>
          <w:p w14:paraId="216F6C2F" w14:textId="77777777" w:rsidR="0057163C" w:rsidRPr="00170422" w:rsidRDefault="00F37BF9">
            <w:pPr>
              <w:pStyle w:val="P68B1DB1-Normal11"/>
              <w:rPr>
                <w:noProof/>
                <w:szCs w:val="20"/>
                <w:lang w:val="de-DE"/>
              </w:rPr>
            </w:pPr>
            <w:r w:rsidRPr="00170422">
              <w:rPr>
                <w:noProof/>
                <w:lang w:val="de-DE"/>
              </w:rPr>
              <w:t>Verbesserung der Qualität des Stadtdekors sowie des sozialen und ökologischen Gefüges.</w:t>
            </w:r>
          </w:p>
          <w:p w14:paraId="4A960A22" w14:textId="77777777" w:rsidR="0057163C" w:rsidRPr="00170422" w:rsidRDefault="00F37BF9">
            <w:pPr>
              <w:pStyle w:val="P68B1DB1-Normal11"/>
              <w:rPr>
                <w:noProof/>
                <w:szCs w:val="20"/>
                <w:lang w:val="de-DE"/>
              </w:rPr>
            </w:pPr>
            <w:r w:rsidRPr="00170422">
              <w:rPr>
                <w:noProof/>
                <w:lang w:val="de-DE"/>
              </w:rPr>
              <w:t>Verbesserung der Umweltqualität und des digitalen Profils städtischer</w:t>
            </w:r>
            <w:r w:rsidRPr="00170422">
              <w:rPr>
                <w:noProof/>
                <w:lang w:val="de-DE"/>
              </w:rPr>
              <w:t xml:space="preserve"> Gebiete.</w:t>
            </w:r>
          </w:p>
        </w:tc>
      </w:tr>
      <w:tr w:rsidR="0057163C" w:rsidRPr="00170422" w14:paraId="046B454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68F967D6" w14:textId="77777777" w:rsidR="0057163C" w:rsidRPr="00170422" w:rsidRDefault="00F37BF9">
            <w:pPr>
              <w:pStyle w:val="P68B1DB1-Normal12"/>
              <w:jc w:val="center"/>
              <w:rPr>
                <w:noProof/>
                <w:highlight w:val="yellow"/>
                <w:lang w:val="de-DE"/>
              </w:rPr>
            </w:pPr>
            <w:r w:rsidRPr="00170422">
              <w:rPr>
                <w:noProof/>
                <w:lang w:val="de-DE"/>
              </w:rPr>
              <w:t>M5C2-14</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4311729B" w14:textId="77777777" w:rsidR="0057163C" w:rsidRPr="00170422" w:rsidRDefault="00F37BF9">
            <w:pPr>
              <w:pStyle w:val="P68B1DB1-Normal11"/>
              <w:jc w:val="center"/>
              <w:rPr>
                <w:noProof/>
                <w:szCs w:val="20"/>
                <w:lang w:val="de-DE"/>
              </w:rPr>
            </w:pPr>
            <w:r w:rsidRPr="00170422">
              <w:rPr>
                <w:noProof/>
                <w:lang w:val="de-DE"/>
              </w:rPr>
              <w:t>Investition 5 – integrierte städtische Pläne – allgemeine Projekte</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0F667370" w14:textId="77777777" w:rsidR="0057163C" w:rsidRPr="00170422" w:rsidRDefault="00F37BF9">
            <w:pPr>
              <w:pStyle w:val="P68B1DB1-Normal11"/>
              <w:jc w:val="center"/>
              <w:rPr>
                <w:noProof/>
                <w:szCs w:val="20"/>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68673BF8" w14:textId="77777777" w:rsidR="0057163C" w:rsidRPr="00170422" w:rsidRDefault="00F37BF9">
            <w:pPr>
              <w:pStyle w:val="P68B1DB1-Normal12"/>
              <w:jc w:val="center"/>
              <w:rPr>
                <w:noProof/>
                <w:lang w:val="de-DE"/>
              </w:rPr>
            </w:pPr>
            <w:r w:rsidRPr="00170422">
              <w:rPr>
                <w:noProof/>
                <w:lang w:val="de-DE"/>
              </w:rPr>
              <w:t>Abschluss integrierter Planungsprojekte in Großstädten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5B748058" w14:textId="77777777" w:rsidR="0057163C" w:rsidRPr="00170422" w:rsidRDefault="00F37BF9">
            <w:pPr>
              <w:pStyle w:val="P68B1DB1-Normal11"/>
              <w:jc w:val="center"/>
              <w:rPr>
                <w:noProof/>
                <w:szCs w:val="20"/>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1F6C9559" w14:textId="77777777" w:rsidR="0057163C" w:rsidRPr="00170422" w:rsidRDefault="00F37BF9">
            <w:pPr>
              <w:pStyle w:val="P68B1DB1-Normal11"/>
              <w:jc w:val="center"/>
              <w:rPr>
                <w:noProof/>
                <w:szCs w:val="20"/>
                <w:lang w:val="de-DE"/>
              </w:rPr>
            </w:pPr>
            <w:r w:rsidRPr="00170422">
              <w:rPr>
                <w:noProof/>
                <w:lang w:val="de-DE"/>
              </w:rPr>
              <w:t xml:space="preserve">Anzahl </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23AA47F5" w14:textId="77777777" w:rsidR="0057163C" w:rsidRPr="00170422" w:rsidRDefault="00F37BF9">
            <w:pPr>
              <w:pStyle w:val="P68B1DB1-Normal11"/>
              <w:jc w:val="center"/>
              <w:rPr>
                <w:noProof/>
                <w:szCs w:val="20"/>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56974690" w14:textId="77777777" w:rsidR="0057163C" w:rsidRPr="00170422" w:rsidRDefault="00F37BF9">
            <w:pPr>
              <w:pStyle w:val="P68B1DB1-Normal11"/>
              <w:jc w:val="center"/>
              <w:rPr>
                <w:noProof/>
                <w:szCs w:val="20"/>
                <w:lang w:val="de-DE"/>
              </w:rPr>
            </w:pPr>
            <w:r w:rsidRPr="00170422">
              <w:rPr>
                <w:noProof/>
                <w:lang w:val="de-DE"/>
              </w:rPr>
              <w:t>300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047AE3E0" w14:textId="77777777" w:rsidR="0057163C" w:rsidRPr="00170422" w:rsidRDefault="00F37BF9">
            <w:pPr>
              <w:pStyle w:val="P68B1DB1-Normal11"/>
              <w:jc w:val="center"/>
              <w:rPr>
                <w:noProof/>
                <w:szCs w:val="20"/>
                <w:lang w:val="de-DE"/>
              </w:rPr>
            </w:pPr>
            <w:r w:rsidRPr="00170422">
              <w:rPr>
                <w:noProof/>
                <w:lang w:val="de-DE"/>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984A884" w14:textId="77777777" w:rsidR="0057163C" w:rsidRPr="00170422" w:rsidRDefault="00F37BF9">
            <w:pPr>
              <w:pStyle w:val="P68B1DB1-Normal11"/>
              <w:jc w:val="center"/>
              <w:rPr>
                <w:noProof/>
                <w:szCs w:val="20"/>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7141CD3B" w14:textId="367A6167" w:rsidR="0057163C" w:rsidRPr="00170422" w:rsidRDefault="00F37BF9">
            <w:pPr>
              <w:pStyle w:val="P68B1DB1-Normal12"/>
              <w:rPr>
                <w:noProof/>
                <w:lang w:val="de-DE"/>
              </w:rPr>
            </w:pPr>
            <w:r w:rsidRPr="00170422">
              <w:rPr>
                <w:noProof/>
                <w:lang w:val="de-DE"/>
              </w:rPr>
              <w:t xml:space="preserve">Abschlussbescheinigungen für mindestens 300 integrierte Planungsprojekte in </w:t>
            </w:r>
            <w:r w:rsidRPr="00170422">
              <w:rPr>
                <w:noProof/>
                <w:lang w:val="de-DE"/>
              </w:rPr>
              <w:t>allen 14 Großstädten mit einer Gesamtfläche von mindestens 3000000 Quadratmetern.</w:t>
            </w:r>
          </w:p>
        </w:tc>
      </w:tr>
      <w:tr w:rsidR="0057163C" w:rsidRPr="00170422" w14:paraId="2D58023D"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4C629F" w14:textId="77777777" w:rsidR="0057163C" w:rsidRPr="00170422" w:rsidRDefault="00F37BF9">
            <w:pPr>
              <w:pStyle w:val="P68B1DB1-Normal11"/>
              <w:jc w:val="center"/>
              <w:rPr>
                <w:noProof/>
                <w:szCs w:val="20"/>
                <w:lang w:val="de-DE"/>
              </w:rPr>
            </w:pPr>
            <w:r w:rsidRPr="00170422">
              <w:rPr>
                <w:noProof/>
                <w:lang w:val="de-DE"/>
              </w:rPr>
              <w:t>M5C2-15</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703458" w14:textId="77777777" w:rsidR="0057163C" w:rsidRPr="00170422" w:rsidRDefault="00F37BF9">
            <w:pPr>
              <w:pStyle w:val="P68B1DB1-Normal11"/>
              <w:jc w:val="center"/>
              <w:rPr>
                <w:noProof/>
                <w:szCs w:val="20"/>
                <w:lang w:val="de-DE"/>
              </w:rPr>
            </w:pPr>
            <w:r w:rsidRPr="00170422">
              <w:rPr>
                <w:noProof/>
                <w:lang w:val="de-DE"/>
              </w:rPr>
              <w:t>Investition 5 – Integrierte städtische Pläne – Überwindung illegaler Siedlungen zur Bekämpfung der Ausbeutung von Arbeitskräften in der Landwirtschaft</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94F1DA" w14:textId="77777777" w:rsidR="0057163C" w:rsidRPr="00170422" w:rsidRDefault="00F37BF9">
            <w:pPr>
              <w:pStyle w:val="P68B1DB1-Normal11"/>
              <w:jc w:val="center"/>
              <w:rPr>
                <w:noProof/>
                <w:szCs w:val="20"/>
                <w:lang w:val="de-DE"/>
              </w:rPr>
            </w:pPr>
            <w:r w:rsidRPr="00170422">
              <w:rPr>
                <w:noProof/>
                <w:lang w:val="de-DE"/>
              </w:rPr>
              <w:t>Meilenstein</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B0F28E4" w14:textId="77777777" w:rsidR="0057163C" w:rsidRPr="00170422" w:rsidRDefault="00F37BF9">
            <w:pPr>
              <w:pStyle w:val="P68B1DB1-Normal11"/>
              <w:jc w:val="center"/>
              <w:rPr>
                <w:noProof/>
                <w:szCs w:val="20"/>
                <w:lang w:val="de-DE"/>
              </w:rPr>
            </w:pPr>
            <w:r w:rsidRPr="00170422">
              <w:rPr>
                <w:noProof/>
                <w:lang w:val="de-DE"/>
              </w:rPr>
              <w:t>Das Inkrafttreten des Ministerialdekrets über die Kartierung illegaler Siedlungen wird vom „Tavolo di contrasto allo sfruttamento lavorativo in agricoltura“ angenommen, und der Ministerialerlass zur Zuweisung von Mitteln wird angenommen.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FA06D7E" w14:textId="77777777" w:rsidR="0057163C" w:rsidRPr="00170422" w:rsidRDefault="00F37BF9">
            <w:pPr>
              <w:pStyle w:val="P68B1DB1-Normal11"/>
              <w:jc w:val="center"/>
              <w:rPr>
                <w:noProof/>
                <w:szCs w:val="20"/>
                <w:lang w:val="de-DE"/>
              </w:rPr>
            </w:pPr>
            <w:r w:rsidRPr="00170422">
              <w:rPr>
                <w:noProof/>
                <w:lang w:val="de-DE"/>
              </w:rPr>
              <w:t xml:space="preserve">Gesetzliche </w:t>
            </w:r>
            <w:r w:rsidRPr="00170422">
              <w:rPr>
                <w:noProof/>
                <w:lang w:val="de-DE"/>
              </w:rPr>
              <w:t>Bestimmung über das Inkrafttreten des Ministerialdekrets</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8958398" w14:textId="77777777" w:rsidR="0057163C" w:rsidRPr="00170422" w:rsidRDefault="00F37BF9">
            <w:pPr>
              <w:pStyle w:val="P68B1DB1-Normal11"/>
              <w:jc w:val="center"/>
              <w:rPr>
                <w:noProof/>
                <w:szCs w:val="20"/>
                <w:lang w:val="de-DE"/>
              </w:rPr>
            </w:pPr>
            <w:r w:rsidRPr="00170422">
              <w:rPr>
                <w:noProof/>
                <w:lang w:val="de-DE"/>
              </w:rPr>
              <w:t>ENTFÄLLT.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E62BC5" w14:textId="77777777" w:rsidR="0057163C" w:rsidRPr="00170422" w:rsidRDefault="00F37BF9">
            <w:pPr>
              <w:pStyle w:val="P68B1DB1-Normal11"/>
              <w:jc w:val="center"/>
              <w:rPr>
                <w:noProof/>
                <w:szCs w:val="20"/>
                <w:lang w:val="de-DE"/>
              </w:rPr>
            </w:pPr>
            <w:r w:rsidRPr="00170422">
              <w:rPr>
                <w:noProof/>
                <w:lang w:val="de-DE"/>
              </w:rPr>
              <w:t>ENTFÄLLT.</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FE54" w14:textId="77777777" w:rsidR="0057163C" w:rsidRPr="00170422" w:rsidRDefault="00F37BF9">
            <w:pPr>
              <w:pStyle w:val="P68B1DB1-Normal11"/>
              <w:jc w:val="center"/>
              <w:rPr>
                <w:noProof/>
                <w:szCs w:val="20"/>
                <w:lang w:val="de-DE"/>
              </w:rPr>
            </w:pPr>
            <w:r w:rsidRPr="00170422">
              <w:rPr>
                <w:noProof/>
                <w:lang w:val="de-DE"/>
              </w:rPr>
              <w:t>ENTFÄLLT.</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50ECD94" w14:textId="77777777" w:rsidR="0057163C" w:rsidRPr="00170422" w:rsidRDefault="00F37BF9">
            <w:pPr>
              <w:pStyle w:val="P68B1DB1-Normal11"/>
              <w:jc w:val="center"/>
              <w:rPr>
                <w:noProof/>
                <w:szCs w:val="20"/>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F1AAA3" w14:textId="77777777" w:rsidR="0057163C" w:rsidRPr="00170422" w:rsidRDefault="00F37BF9">
            <w:pPr>
              <w:pStyle w:val="P68B1DB1-Normal11"/>
              <w:jc w:val="center"/>
              <w:rPr>
                <w:noProof/>
                <w:szCs w:val="20"/>
                <w:lang w:val="de-DE"/>
              </w:rPr>
            </w:pPr>
            <w:r w:rsidRPr="00170422">
              <w:rPr>
                <w:noProof/>
                <w:lang w:val="de-DE"/>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C236D" w14:textId="77777777" w:rsidR="0057163C" w:rsidRPr="00170422" w:rsidRDefault="00F37BF9">
            <w:pPr>
              <w:pStyle w:val="P68B1DB1-Normal11"/>
              <w:rPr>
                <w:noProof/>
                <w:szCs w:val="20"/>
                <w:lang w:val="de-DE"/>
              </w:rPr>
            </w:pPr>
            <w:r w:rsidRPr="00170422">
              <w:rPr>
                <w:noProof/>
                <w:lang w:val="de-DE"/>
              </w:rPr>
              <w:t>Mit dem Ministerialdekret werden die Mittel auf der Grundlage der vom „Tavolo di contrasto allo sfruttamento lavorativo in agricoltura“ erstellten Kartierung ill</w:t>
            </w:r>
            <w:r w:rsidRPr="00170422">
              <w:rPr>
                <w:noProof/>
                <w:lang w:val="de-DE"/>
              </w:rPr>
              <w:t>egaler Siedlungen zugewiesen. Es werden Standards für temporäre und langfristige Wohnraumlösungen festgelegt.</w:t>
            </w:r>
          </w:p>
        </w:tc>
      </w:tr>
      <w:tr w:rsidR="0057163C" w:rsidRPr="00170422" w14:paraId="2F161923"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45A9888" w14:textId="77777777" w:rsidR="0057163C" w:rsidRPr="00170422" w:rsidRDefault="00F37BF9">
            <w:pPr>
              <w:pStyle w:val="P68B1DB1-Normal12"/>
              <w:jc w:val="center"/>
              <w:rPr>
                <w:noProof/>
                <w:highlight w:val="yellow"/>
                <w:lang w:val="de-DE"/>
              </w:rPr>
            </w:pPr>
            <w:r w:rsidRPr="00170422">
              <w:rPr>
                <w:noProof/>
                <w:lang w:val="de-DE"/>
              </w:rPr>
              <w:t>M5C2-16</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29A5FFD" w14:textId="77777777" w:rsidR="0057163C" w:rsidRPr="00170422" w:rsidRDefault="00F37BF9">
            <w:pPr>
              <w:pStyle w:val="P68B1DB1-Normal11"/>
              <w:jc w:val="center"/>
              <w:rPr>
                <w:noProof/>
                <w:szCs w:val="20"/>
                <w:lang w:val="de-DE"/>
              </w:rPr>
            </w:pPr>
            <w:r w:rsidRPr="00170422">
              <w:rPr>
                <w:noProof/>
                <w:lang w:val="de-DE"/>
              </w:rPr>
              <w:t xml:space="preserve">Investition 5 – Integrierte städtische Pläne – Überwindung illegaler Siedlungen zur Bekämpfung der Ausbeutung von Arbeitskräften in der </w:t>
            </w:r>
            <w:r w:rsidRPr="00170422">
              <w:rPr>
                <w:noProof/>
                <w:lang w:val="de-DE"/>
              </w:rPr>
              <w:t>Landwirtschaft</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7614ACC" w14:textId="77777777" w:rsidR="0057163C" w:rsidRPr="00170422" w:rsidRDefault="00F37BF9">
            <w:pPr>
              <w:pStyle w:val="P68B1DB1-Normal11"/>
              <w:jc w:val="center"/>
              <w:rPr>
                <w:noProof/>
                <w:szCs w:val="20"/>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7F3E71" w14:textId="77777777" w:rsidR="0057163C" w:rsidRPr="00170422" w:rsidRDefault="00F37BF9">
            <w:pPr>
              <w:pStyle w:val="P68B1DB1-Normal12"/>
              <w:jc w:val="center"/>
              <w:rPr>
                <w:noProof/>
                <w:lang w:val="de-DE"/>
              </w:rPr>
            </w:pPr>
            <w:r w:rsidRPr="00170422">
              <w:rPr>
                <w:noProof/>
                <w:lang w:val="de-DE"/>
              </w:rPr>
              <w:t>Projekte zum Thema Wohnraum für Arbeitnehmer in der Landwirtschaft und Einrichtung einer Plattform</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8B2FB8" w14:textId="77777777" w:rsidR="0057163C" w:rsidRPr="00170422" w:rsidRDefault="00F37BF9">
            <w:pPr>
              <w:pStyle w:val="P68B1DB1-Normal11"/>
              <w:jc w:val="center"/>
              <w:rPr>
                <w:noProof/>
                <w:szCs w:val="20"/>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B2884C" w14:textId="77777777" w:rsidR="0057163C" w:rsidRPr="00170422" w:rsidRDefault="0057163C">
            <w:pPr>
              <w:jc w:val="center"/>
              <w:rPr>
                <w:rFonts w:ascii="Arial Narrow" w:hAnsi="Arial Narrow"/>
                <w:noProof/>
                <w:color w:val="006100"/>
                <w:sz w:val="20"/>
                <w:szCs w:val="20"/>
                <w:lang w:val="de-DE"/>
              </w:rPr>
            </w:pP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823BF87" w14:textId="77777777" w:rsidR="0057163C" w:rsidRPr="00170422" w:rsidRDefault="00F37BF9">
            <w:pPr>
              <w:pStyle w:val="P68B1DB1-Normal11"/>
              <w:jc w:val="center"/>
              <w:rPr>
                <w:noProof/>
                <w:szCs w:val="20"/>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775185" w14:textId="77777777" w:rsidR="0057163C" w:rsidRPr="00170422" w:rsidRDefault="00F37BF9">
            <w:pPr>
              <w:pStyle w:val="P68B1DB1-Normal12"/>
              <w:jc w:val="center"/>
              <w:rPr>
                <w:noProof/>
                <w:lang w:val="de-DE"/>
              </w:rPr>
            </w:pPr>
            <w:r w:rsidRPr="00170422">
              <w:rPr>
                <w:noProof/>
                <w:lang w:val="de-DE"/>
              </w:rPr>
              <w:t>11</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27F2CFD" w14:textId="77777777" w:rsidR="0057163C" w:rsidRPr="00170422" w:rsidRDefault="00F37BF9">
            <w:pPr>
              <w:pStyle w:val="P68B1DB1-Normal12"/>
              <w:jc w:val="center"/>
              <w:rPr>
                <w:noProof/>
                <w:lang w:val="de-DE"/>
              </w:rPr>
            </w:pPr>
            <w:r w:rsidRPr="00170422">
              <w:rPr>
                <w:noProof/>
                <w:lang w:val="de-DE"/>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3EDBF4C" w14:textId="77777777" w:rsidR="0057163C" w:rsidRPr="00170422" w:rsidRDefault="00F37BF9">
            <w:pPr>
              <w:pStyle w:val="P68B1DB1-Normal12"/>
              <w:jc w:val="center"/>
              <w:rPr>
                <w:noProof/>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2D0BB32" w14:textId="3A0292BE" w:rsidR="0057163C" w:rsidRPr="00170422" w:rsidRDefault="00F37BF9">
            <w:pPr>
              <w:pStyle w:val="P68B1DB1-Normal12"/>
              <w:rPr>
                <w:noProof/>
                <w:lang w:val="de-DE"/>
              </w:rPr>
            </w:pPr>
            <w:r w:rsidRPr="00170422">
              <w:rPr>
                <w:noProof/>
                <w:lang w:val="de-DE"/>
              </w:rPr>
              <w:t xml:space="preserve">Für 11 Projekte ausgestellte Abschlussbescheinigungen über die Anzahl der in den von den Durchführungsbehörden </w:t>
            </w:r>
            <w:r w:rsidRPr="00170422">
              <w:rPr>
                <w:noProof/>
                <w:lang w:val="de-DE"/>
              </w:rPr>
              <w:t>unterzeichneten Vereinbarungen vorgeschriebenen Plätze. Mit diesen Bescheinigungen wird auch bescheinigt, dass die Projekte den in den Vereinbarungen festgelegten Wohnstandards entsprechen. </w:t>
            </w:r>
          </w:p>
          <w:p w14:paraId="7CAA5F47" w14:textId="77777777" w:rsidR="0057163C" w:rsidRPr="00170422" w:rsidRDefault="00F37BF9">
            <w:pPr>
              <w:pStyle w:val="P68B1DB1-Normal12"/>
              <w:rPr>
                <w:noProof/>
                <w:lang w:val="de-DE"/>
              </w:rPr>
            </w:pPr>
            <w:r w:rsidRPr="00170422">
              <w:rPr>
                <w:noProof/>
                <w:lang w:val="de-DE"/>
              </w:rPr>
              <w:t>Die digitale Plattform zur Ausbeutung der Arbeitskraft in der Lan</w:t>
            </w:r>
            <w:r w:rsidRPr="00170422">
              <w:rPr>
                <w:noProof/>
                <w:lang w:val="de-DE"/>
              </w:rPr>
              <w:t>dwirtschaft („Sistema informativo per il contrasto al caporalato“) wird eingerichtet und ermöglicht die Nutzung des interaktiven Dashboards.</w:t>
            </w:r>
          </w:p>
        </w:tc>
      </w:tr>
      <w:tr w:rsidR="0057163C" w:rsidRPr="00170422" w14:paraId="0FE3D82F"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DCF0E61" w14:textId="77777777" w:rsidR="0057163C" w:rsidRPr="00170422" w:rsidRDefault="00F37BF9">
            <w:pPr>
              <w:pStyle w:val="P68B1DB1-Normal11"/>
              <w:jc w:val="center"/>
              <w:rPr>
                <w:noProof/>
                <w:szCs w:val="20"/>
                <w:lang w:val="de-DE"/>
              </w:rPr>
            </w:pPr>
            <w:r w:rsidRPr="00170422">
              <w:rPr>
                <w:noProof/>
                <w:lang w:val="de-DE"/>
              </w:rPr>
              <w:t>M5C2-17</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B67A810" w14:textId="77777777" w:rsidR="0057163C" w:rsidRPr="00170422" w:rsidRDefault="00F37BF9">
            <w:pPr>
              <w:pStyle w:val="P68B1DB1-Normal11"/>
              <w:jc w:val="center"/>
              <w:rPr>
                <w:noProof/>
                <w:szCs w:val="20"/>
                <w:lang w:val="de-DE"/>
              </w:rPr>
            </w:pPr>
            <w:r w:rsidRPr="00170422">
              <w:rPr>
                <w:noProof/>
                <w:lang w:val="de-DE"/>
              </w:rPr>
              <w:t>Investition 5 – integrierte städtische Pläne – EIB-Fonds-Of-Fonds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A71501" w14:textId="77777777" w:rsidR="0057163C" w:rsidRPr="00170422" w:rsidRDefault="00F37BF9">
            <w:pPr>
              <w:pStyle w:val="P68B1DB1-Normal11"/>
              <w:jc w:val="center"/>
              <w:rPr>
                <w:noProof/>
                <w:szCs w:val="20"/>
                <w:lang w:val="de-DE"/>
              </w:rPr>
            </w:pPr>
            <w:r w:rsidRPr="00170422">
              <w:rPr>
                <w:noProof/>
                <w:lang w:val="de-DE"/>
              </w:rPr>
              <w:t>Meilenstein</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EDD7AC3" w14:textId="77777777" w:rsidR="0057163C" w:rsidRPr="00170422" w:rsidRDefault="00F37BF9">
            <w:pPr>
              <w:pStyle w:val="P68B1DB1-Normal11"/>
              <w:jc w:val="center"/>
              <w:rPr>
                <w:noProof/>
                <w:szCs w:val="20"/>
                <w:lang w:val="de-DE"/>
              </w:rPr>
            </w:pPr>
            <w:r w:rsidRPr="00170422">
              <w:rPr>
                <w:noProof/>
                <w:lang w:val="de-DE"/>
              </w:rPr>
              <w:t xml:space="preserve">Die Investitionsstrategie </w:t>
            </w:r>
            <w:r w:rsidRPr="00170422">
              <w:rPr>
                <w:noProof/>
                <w:lang w:val="de-DE"/>
              </w:rPr>
              <w:t>des Fonds wird vom Finanzministerium (MEF) genehmigt.</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BB7BE9" w14:textId="77777777" w:rsidR="0057163C" w:rsidRPr="00170422" w:rsidRDefault="00F37BF9">
            <w:pPr>
              <w:pStyle w:val="P68B1DB1-Normal11"/>
              <w:jc w:val="center"/>
              <w:rPr>
                <w:noProof/>
                <w:szCs w:val="20"/>
                <w:lang w:val="de-DE"/>
              </w:rPr>
            </w:pPr>
            <w:r w:rsidRPr="00170422">
              <w:rPr>
                <w:noProof/>
                <w:lang w:val="de-DE"/>
              </w:rPr>
              <w:t>Die Investitionsstrategie des Fonds wird vom Finanzministerium (MEF) genehmigt.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08D50DD" w14:textId="77777777" w:rsidR="0057163C" w:rsidRPr="00170422" w:rsidRDefault="00F37BF9">
            <w:pPr>
              <w:pStyle w:val="P68B1DB1-Normal11"/>
              <w:jc w:val="center"/>
              <w:rPr>
                <w:noProof/>
                <w:szCs w:val="20"/>
                <w:lang w:val="de-DE"/>
              </w:rPr>
            </w:pPr>
            <w:r w:rsidRPr="00170422">
              <w:rPr>
                <w:noProof/>
                <w:lang w:val="de-DE"/>
              </w:rPr>
              <w:t>ENTFÄLLT.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8642978" w14:textId="77777777" w:rsidR="0057163C" w:rsidRPr="00170422" w:rsidRDefault="00F37BF9">
            <w:pPr>
              <w:pStyle w:val="P68B1DB1-Normal11"/>
              <w:jc w:val="center"/>
              <w:rPr>
                <w:noProof/>
                <w:szCs w:val="20"/>
                <w:lang w:val="de-DE"/>
              </w:rPr>
            </w:pPr>
            <w:r w:rsidRPr="00170422">
              <w:rPr>
                <w:noProof/>
                <w:lang w:val="de-DE"/>
              </w:rPr>
              <w:t>ENTFÄLLT.</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597ABC0" w14:textId="77777777" w:rsidR="0057163C" w:rsidRPr="00170422" w:rsidRDefault="00F37BF9">
            <w:pPr>
              <w:pStyle w:val="P68B1DB1-Normal11"/>
              <w:jc w:val="center"/>
              <w:rPr>
                <w:noProof/>
                <w:szCs w:val="20"/>
                <w:lang w:val="de-DE"/>
              </w:rPr>
            </w:pPr>
            <w:r w:rsidRPr="00170422">
              <w:rPr>
                <w:noProof/>
                <w:lang w:val="de-DE"/>
              </w:rPr>
              <w:t>ENTFÄLLT.</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A49F58" w14:textId="77777777" w:rsidR="0057163C" w:rsidRPr="00170422" w:rsidRDefault="00F37BF9">
            <w:pPr>
              <w:pStyle w:val="P68B1DB1-Normal11"/>
              <w:jc w:val="center"/>
              <w:rPr>
                <w:noProof/>
                <w:szCs w:val="20"/>
                <w:lang w:val="de-DE"/>
              </w:rPr>
            </w:pPr>
            <w:r w:rsidRPr="00170422">
              <w:rPr>
                <w:noProof/>
                <w:lang w:val="de-DE"/>
              </w:rPr>
              <w:t>Q3</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481CE75" w14:textId="77777777" w:rsidR="0057163C" w:rsidRPr="00170422" w:rsidRDefault="00F37BF9">
            <w:pPr>
              <w:pStyle w:val="P68B1DB1-Normal11"/>
              <w:jc w:val="center"/>
              <w:rPr>
                <w:noProof/>
                <w:szCs w:val="20"/>
                <w:lang w:val="de-DE"/>
              </w:rPr>
            </w:pPr>
            <w:r w:rsidRPr="00170422">
              <w:rPr>
                <w:noProof/>
                <w:lang w:val="de-DE"/>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2DA3006" w14:textId="77777777" w:rsidR="0057163C" w:rsidRPr="00170422" w:rsidRDefault="00F37BF9">
            <w:pPr>
              <w:pStyle w:val="P68B1DB1-Normal11"/>
              <w:rPr>
                <w:rFonts w:eastAsia="Calibri"/>
                <w:noProof/>
                <w:szCs w:val="20"/>
                <w:lang w:val="de-DE"/>
              </w:rPr>
            </w:pPr>
            <w:r w:rsidRPr="00170422">
              <w:rPr>
                <w:noProof/>
                <w:lang w:val="de-DE"/>
              </w:rPr>
              <w:t>In der Anlagestrategie des Fonds wird mindestens Folgendes festgelegt: I) Art und Um</w:t>
            </w:r>
            <w:r w:rsidRPr="00170422">
              <w:rPr>
                <w:noProof/>
                <w:lang w:val="de-DE"/>
              </w:rPr>
              <w:t>fang der geförderten Investitionen, die nachhaltige Stadterneuerungs- und -entwicklungsprojekte fördern und mit den Zielen der Aufbau- und Resilienzfazilität im Einklang stehen, auch in Bezug auf die Einhaltung des Grundsatzes der Vermeidung erheblicher Be</w:t>
            </w:r>
            <w:r w:rsidRPr="00170422">
              <w:rPr>
                <w:noProof/>
                <w:lang w:val="de-DE"/>
              </w:rPr>
              <w:t>einträchtigungen, wie im Leitfaden der Kommission vom 12. Februar 2021 näher ausgeführt; ii) die unterstützten Vorhaben, iii) die zu unterstützenden Begünstigten, bei denen es sich um private Projektträger finanziell selbsttragender Projekte handelt, für d</w:t>
            </w:r>
            <w:r w:rsidRPr="00170422">
              <w:rPr>
                <w:noProof/>
                <w:lang w:val="de-DE"/>
              </w:rPr>
              <w:t>ie eine öffentliche Unterstützung durch ein Marktversagen oder das Risikoprofil gerechtfertigt ist, und ihre Förderfähigkeitskriterien, iv) die Förderkriterien für Finanzbegünstigte und ihre Auswahl im Rahmen einer offenen Aufforderung; V) die Aufnahme ein</w:t>
            </w:r>
            <w:r w:rsidRPr="00170422">
              <w:rPr>
                <w:noProof/>
                <w:lang w:val="de-DE"/>
              </w:rPr>
              <w:t>er spezifischen Haushaltslinie für Lösungen für angemessenen Wohnraum für Arbeitnehmer in der Landwirtschaft und in der Industrie und vi) Bestimmungen zur Reinvestition potenzieller Rückflüsse für dieselben politischen Ziele auch nach 2026.</w:t>
            </w:r>
          </w:p>
          <w:p w14:paraId="377147FF" w14:textId="77777777" w:rsidR="0057163C" w:rsidRPr="00170422" w:rsidRDefault="00F37BF9">
            <w:pPr>
              <w:pStyle w:val="P68B1DB1-Normal11"/>
              <w:rPr>
                <w:noProof/>
                <w:szCs w:val="20"/>
                <w:lang w:val="de-DE"/>
              </w:rPr>
            </w:pPr>
            <w:r w:rsidRPr="00170422">
              <w:rPr>
                <w:noProof/>
                <w:lang w:val="de-DE"/>
              </w:rPr>
              <w:t>Die vertraglich</w:t>
            </w:r>
            <w:r w:rsidRPr="00170422">
              <w:rPr>
                <w:noProof/>
                <w:lang w:val="de-DE"/>
              </w:rPr>
              <w:t>e Vereinbarung mit der betrauten Einrichtung, die die Verwendung der DNSH-Leitlinien vorschreibt.</w:t>
            </w:r>
          </w:p>
        </w:tc>
      </w:tr>
      <w:tr w:rsidR="0057163C" w:rsidRPr="00170422" w14:paraId="4ABB4D5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tcPr>
          <w:p w14:paraId="32E92EAF" w14:textId="77777777" w:rsidR="0057163C" w:rsidRPr="00170422" w:rsidRDefault="00F37BF9">
            <w:pPr>
              <w:pStyle w:val="P68B1DB1-Normal12"/>
              <w:jc w:val="center"/>
              <w:rPr>
                <w:noProof/>
                <w:highlight w:val="yellow"/>
                <w:lang w:val="de-DE"/>
              </w:rPr>
            </w:pPr>
            <w:r w:rsidRPr="00170422">
              <w:rPr>
                <w:noProof/>
                <w:lang w:val="de-DE"/>
              </w:rPr>
              <w:t>M5C2-18</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tcPr>
          <w:p w14:paraId="36B0BE79" w14:textId="77777777" w:rsidR="0057163C" w:rsidRPr="00170422" w:rsidRDefault="00F37BF9">
            <w:pPr>
              <w:pStyle w:val="P68B1DB1-Normal11"/>
              <w:jc w:val="center"/>
              <w:rPr>
                <w:rFonts w:eastAsia="Calibri"/>
                <w:noProof/>
                <w:szCs w:val="20"/>
                <w:lang w:val="de-DE"/>
              </w:rPr>
            </w:pPr>
            <w:r w:rsidRPr="00170422">
              <w:rPr>
                <w:noProof/>
                <w:lang w:val="de-DE"/>
              </w:rPr>
              <w:t>Investition 5 – integrierte städtische Pläne – EIB-Fonds-Of-Fonds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tcPr>
          <w:p w14:paraId="35880C10" w14:textId="77777777" w:rsidR="0057163C" w:rsidRPr="00170422" w:rsidRDefault="00F37BF9">
            <w:pPr>
              <w:pStyle w:val="P68B1DB1-Normal11"/>
              <w:jc w:val="center"/>
              <w:rPr>
                <w:rFonts w:eastAsia="Calibri"/>
                <w:noProof/>
                <w:szCs w:val="20"/>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tcPr>
          <w:p w14:paraId="3F438F10" w14:textId="77777777" w:rsidR="0057163C" w:rsidRPr="00170422" w:rsidRDefault="00F37BF9">
            <w:pPr>
              <w:pStyle w:val="P68B1DB1-Normal12"/>
              <w:rPr>
                <w:rFonts w:ascii="Calibri" w:eastAsia="Calibri" w:hAnsi="Calibri" w:cs="Calibri"/>
                <w:noProof/>
                <w:color w:val="000000" w:themeColor="text1"/>
                <w:lang w:val="de-DE"/>
              </w:rPr>
            </w:pPr>
            <w:r w:rsidRPr="00170422">
              <w:rPr>
                <w:noProof/>
                <w:lang w:val="de-DE"/>
              </w:rPr>
              <w:t xml:space="preserve">Mit Endbegünstigten unterzeichnete rechtliche Vereinbarungen über einen </w:t>
            </w:r>
            <w:r w:rsidRPr="00170422">
              <w:rPr>
                <w:noProof/>
                <w:lang w:val="de-DE"/>
              </w:rPr>
              <w:t>Investitionswert der zugrunde liegenden Projekte im Wert von mindestens 545 000 000 EUR</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tcPr>
          <w:p w14:paraId="1DD43D12" w14:textId="77777777" w:rsidR="0057163C" w:rsidRPr="00170422" w:rsidRDefault="00F37BF9">
            <w:pPr>
              <w:pStyle w:val="P68B1DB1-Normal11"/>
              <w:jc w:val="center"/>
              <w:rPr>
                <w:noProof/>
                <w:szCs w:val="20"/>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tcPr>
          <w:p w14:paraId="7237905C" w14:textId="77777777" w:rsidR="0057163C" w:rsidRPr="00170422" w:rsidRDefault="00F37BF9">
            <w:pPr>
              <w:pStyle w:val="P68B1DB1-Normal11"/>
              <w:jc w:val="center"/>
              <w:rPr>
                <w:noProof/>
                <w:szCs w:val="20"/>
                <w:lang w:val="de-DE"/>
              </w:rPr>
            </w:pPr>
            <w:r w:rsidRPr="00170422">
              <w:rPr>
                <w:noProof/>
                <w:lang w:val="de-DE"/>
              </w:rPr>
              <w:t>EUR</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tcPr>
          <w:p w14:paraId="58AA1BCC" w14:textId="77777777" w:rsidR="0057163C" w:rsidRPr="00170422" w:rsidRDefault="00F37BF9">
            <w:pPr>
              <w:pStyle w:val="P68B1DB1-Normal11"/>
              <w:jc w:val="center"/>
              <w:rPr>
                <w:rFonts w:eastAsia="Calibri"/>
                <w:noProof/>
                <w:szCs w:val="20"/>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tcPr>
          <w:p w14:paraId="10F93D0D"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545</w:t>
            </w:r>
            <w:r w:rsidRPr="00170422">
              <w:rPr>
                <w:noProof/>
                <w:sz w:val="23"/>
                <w:szCs w:val="23"/>
                <w:lang w:val="de-DE"/>
              </w:rPr>
              <w:t xml:space="preserve"> </w:t>
            </w:r>
            <w:r w:rsidRPr="00170422">
              <w:rPr>
                <w:rFonts w:ascii="Arial Narrow" w:hAnsi="Arial Narrow"/>
                <w:noProof/>
                <w:color w:val="006100"/>
                <w:sz w:val="20"/>
                <w:lang w:val="de-DE"/>
              </w:rPr>
              <w:t>000</w:t>
            </w:r>
            <w:r w:rsidRPr="00170422">
              <w:rPr>
                <w:noProof/>
                <w:sz w:val="23"/>
                <w:szCs w:val="23"/>
                <w:lang w:val="de-DE"/>
              </w:rPr>
              <w:t xml:space="preserve"> </w:t>
            </w:r>
            <w:r w:rsidRPr="00170422">
              <w:rPr>
                <w:rFonts w:ascii="Arial Narrow" w:hAnsi="Arial Narrow"/>
                <w:noProof/>
                <w:color w:val="006100"/>
                <w:sz w:val="20"/>
                <w:lang w:val="de-DE"/>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tcPr>
          <w:p w14:paraId="44A7CA54" w14:textId="77777777" w:rsidR="0057163C" w:rsidRPr="00170422" w:rsidRDefault="00F37BF9">
            <w:pPr>
              <w:pStyle w:val="P68B1DB1-Normal11"/>
              <w:jc w:val="center"/>
              <w:rPr>
                <w:rFonts w:eastAsia="Calibri"/>
                <w:noProof/>
                <w:szCs w:val="20"/>
                <w:lang w:val="de-DE"/>
              </w:rPr>
            </w:pPr>
            <w:r w:rsidRPr="00170422">
              <w:rPr>
                <w:noProof/>
                <w:lang w:val="de-DE"/>
              </w:rPr>
              <w:t>4. QUARTAL</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tcPr>
          <w:p w14:paraId="7409D19A" w14:textId="77777777" w:rsidR="0057163C" w:rsidRPr="00170422" w:rsidRDefault="00F37BF9">
            <w:pPr>
              <w:pStyle w:val="P68B1DB1-Normal11"/>
              <w:jc w:val="center"/>
              <w:rPr>
                <w:rFonts w:eastAsia="Calibri"/>
                <w:noProof/>
                <w:szCs w:val="20"/>
                <w:lang w:val="de-DE"/>
              </w:rPr>
            </w:pPr>
            <w:r w:rsidRPr="00170422">
              <w:rPr>
                <w:noProof/>
                <w:lang w:val="de-DE"/>
              </w:rPr>
              <w:t>2025</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tcPr>
          <w:p w14:paraId="37BB0006" w14:textId="77777777" w:rsidR="0057163C" w:rsidRPr="00170422" w:rsidRDefault="00F37BF9">
            <w:pPr>
              <w:pStyle w:val="P68B1DB1-Normal11"/>
              <w:rPr>
                <w:noProof/>
                <w:lang w:val="de-DE"/>
              </w:rPr>
            </w:pPr>
            <w:r w:rsidRPr="00170422">
              <w:rPr>
                <w:noProof/>
                <w:lang w:val="de-DE"/>
              </w:rPr>
              <w:t xml:space="preserve">Die ausgewählten Finanzintermediäre haben mit den Endbegünstigten rechtliche Finanzierungsvereinbarungen für einen </w:t>
            </w:r>
            <w:r w:rsidRPr="00170422">
              <w:rPr>
                <w:noProof/>
                <w:lang w:val="de-DE"/>
              </w:rPr>
              <w:t>Investitionswert der zugrunde liegenden Projekte in Höhe von mindestens 545 000 000 EUR (einschließlich Aufbau- und Resilienzfazilität und privater Mittel) geschlossen.</w:t>
            </w:r>
          </w:p>
          <w:p w14:paraId="1BFCC26B" w14:textId="77777777" w:rsidR="0057163C" w:rsidRPr="00170422" w:rsidRDefault="00F37BF9">
            <w:pPr>
              <w:pStyle w:val="P68B1DB1-Normal11"/>
              <w:rPr>
                <w:noProof/>
                <w:szCs w:val="20"/>
                <w:lang w:val="de-DE"/>
              </w:rPr>
            </w:pPr>
            <w:r w:rsidRPr="00170422">
              <w:rPr>
                <w:noProof/>
                <w:lang w:val="de-DE"/>
              </w:rPr>
              <w:t xml:space="preserve">Das Ministerium für Wirtschaft und Finanzen hat die Übertragung von 272 000 000 EUR an </w:t>
            </w:r>
            <w:r w:rsidRPr="00170422">
              <w:rPr>
                <w:noProof/>
                <w:lang w:val="de-DE"/>
              </w:rPr>
              <w:t>die Europäische Investitionsbank abgeschlossen.</w:t>
            </w:r>
          </w:p>
        </w:tc>
      </w:tr>
      <w:tr w:rsidR="0057163C" w:rsidRPr="00170422" w14:paraId="011FBF99"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933E4E" w14:textId="77777777" w:rsidR="0057163C" w:rsidRPr="00170422" w:rsidRDefault="00F37BF9">
            <w:pPr>
              <w:pStyle w:val="P68B1DB1-Normal11"/>
              <w:jc w:val="center"/>
              <w:rPr>
                <w:noProof/>
                <w:szCs w:val="20"/>
                <w:lang w:val="de-DE"/>
              </w:rPr>
            </w:pPr>
            <w:r w:rsidRPr="00170422">
              <w:rPr>
                <w:noProof/>
                <w:lang w:val="de-DE"/>
              </w:rPr>
              <w:t>M5C2-19</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1C9EA30" w14:textId="77777777" w:rsidR="0057163C" w:rsidRPr="00170422" w:rsidRDefault="00F37BF9">
            <w:pPr>
              <w:pStyle w:val="P68B1DB1-Normal11"/>
              <w:jc w:val="center"/>
              <w:rPr>
                <w:noProof/>
                <w:szCs w:val="20"/>
                <w:lang w:val="de-DE"/>
              </w:rPr>
            </w:pPr>
            <w:r w:rsidRPr="00170422">
              <w:rPr>
                <w:noProof/>
                <w:lang w:val="de-DE"/>
              </w:rPr>
              <w:t>Investition 6 – Innovationsprogramm für die Qualität des Wohnraums</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A2A0196" w14:textId="77777777" w:rsidR="0057163C" w:rsidRPr="00170422" w:rsidRDefault="00F37BF9">
            <w:pPr>
              <w:pStyle w:val="P68B1DB1-Normal11"/>
              <w:jc w:val="center"/>
              <w:rPr>
                <w:noProof/>
                <w:szCs w:val="20"/>
                <w:lang w:val="de-DE"/>
              </w:rPr>
            </w:pPr>
            <w:r w:rsidRPr="00170422">
              <w:rPr>
                <w:noProof/>
                <w:lang w:val="de-DE"/>
              </w:rPr>
              <w:t>Meilenstein</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88BC2A4" w14:textId="77777777" w:rsidR="0057163C" w:rsidRPr="00170422" w:rsidRDefault="00F37BF9">
            <w:pPr>
              <w:pStyle w:val="P68B1DB1-Normal11"/>
              <w:jc w:val="center"/>
              <w:rPr>
                <w:noProof/>
                <w:szCs w:val="20"/>
                <w:lang w:val="de-DE"/>
              </w:rPr>
            </w:pPr>
            <w:r w:rsidRPr="00170422">
              <w:rPr>
                <w:noProof/>
                <w:lang w:val="de-DE"/>
              </w:rPr>
              <w:t xml:space="preserve">Die Regionen und Autonomen Provinzen (einschließlich Gemeinden und/oder Metropolstädte in diesen Gebieten) haben die </w:t>
            </w:r>
            <w:r w:rsidRPr="00170422">
              <w:rPr>
                <w:noProof/>
                <w:lang w:val="de-DE"/>
              </w:rPr>
              <w:t>Vereinbarungen über die Neugestaltung und den Ausbau des sozialen Wohnungsbaus unterzeichnet.</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4B6DDD3" w14:textId="77777777" w:rsidR="0057163C" w:rsidRPr="00170422" w:rsidRDefault="00F37BF9">
            <w:pPr>
              <w:pStyle w:val="P68B1DB1-Normal11"/>
              <w:jc w:val="center"/>
              <w:rPr>
                <w:noProof/>
                <w:szCs w:val="20"/>
                <w:lang w:val="de-DE"/>
              </w:rPr>
            </w:pPr>
            <w:r w:rsidRPr="00170422">
              <w:rPr>
                <w:noProof/>
                <w:lang w:val="de-DE"/>
              </w:rPr>
              <w:t>Unterzeichnung von Vereinbarungen mit lokalen Behörden</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668D618" w14:textId="77777777" w:rsidR="0057163C" w:rsidRPr="00170422" w:rsidRDefault="00F37BF9">
            <w:pPr>
              <w:pStyle w:val="P68B1DB1-Normal11"/>
              <w:jc w:val="center"/>
              <w:rPr>
                <w:noProof/>
                <w:szCs w:val="20"/>
                <w:lang w:val="de-DE"/>
              </w:rPr>
            </w:pPr>
            <w:r w:rsidRPr="00170422">
              <w:rPr>
                <w:noProof/>
                <w:lang w:val="de-DE"/>
              </w:rPr>
              <w:t>ENTFÄLLT.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EEA4CE2" w14:textId="77777777" w:rsidR="0057163C" w:rsidRPr="00170422" w:rsidRDefault="00F37BF9">
            <w:pPr>
              <w:pStyle w:val="P68B1DB1-Normal11"/>
              <w:jc w:val="center"/>
              <w:rPr>
                <w:noProof/>
                <w:szCs w:val="20"/>
                <w:lang w:val="de-DE"/>
              </w:rPr>
            </w:pPr>
            <w:r w:rsidRPr="00170422">
              <w:rPr>
                <w:noProof/>
                <w:lang w:val="de-DE"/>
              </w:rPr>
              <w:t>ENTFÄLLT.</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D943EBC" w14:textId="77777777" w:rsidR="0057163C" w:rsidRPr="00170422" w:rsidRDefault="00F37BF9">
            <w:pPr>
              <w:pStyle w:val="P68B1DB1-Normal11"/>
              <w:jc w:val="center"/>
              <w:rPr>
                <w:noProof/>
                <w:szCs w:val="20"/>
                <w:lang w:val="de-DE"/>
              </w:rPr>
            </w:pPr>
            <w:r w:rsidRPr="00170422">
              <w:rPr>
                <w:noProof/>
                <w:lang w:val="de-DE"/>
              </w:rPr>
              <w:t>ENTFÄLLT.</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379AD2" w14:textId="77777777" w:rsidR="0057163C" w:rsidRPr="00170422" w:rsidRDefault="00F37BF9">
            <w:pPr>
              <w:pStyle w:val="P68B1DB1-Normal11"/>
              <w:jc w:val="center"/>
              <w:rPr>
                <w:noProof/>
                <w:szCs w:val="20"/>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F3B530A" w14:textId="77777777" w:rsidR="0057163C" w:rsidRPr="00170422" w:rsidRDefault="00F37BF9">
            <w:pPr>
              <w:pStyle w:val="P68B1DB1-Normal11"/>
              <w:jc w:val="center"/>
              <w:rPr>
                <w:noProof/>
                <w:szCs w:val="20"/>
                <w:lang w:val="de-DE"/>
              </w:rPr>
            </w:pPr>
            <w:r w:rsidRPr="00170422">
              <w:rPr>
                <w:noProof/>
                <w:lang w:val="de-DE"/>
              </w:rPr>
              <w:t>2022</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1ED7DED" w14:textId="77777777" w:rsidR="0057163C" w:rsidRPr="00170422" w:rsidRDefault="00F37BF9">
            <w:pPr>
              <w:pStyle w:val="P68B1DB1-Normal11"/>
              <w:rPr>
                <w:noProof/>
                <w:szCs w:val="20"/>
                <w:lang w:val="de-DE"/>
              </w:rPr>
            </w:pPr>
            <w:r w:rsidRPr="00170422">
              <w:rPr>
                <w:noProof/>
                <w:lang w:val="de-DE"/>
              </w:rPr>
              <w:t xml:space="preserve">Mindestens 15 Regionen und Autonome Provinzen (einschließlich </w:t>
            </w:r>
            <w:r w:rsidRPr="00170422">
              <w:rPr>
                <w:noProof/>
                <w:lang w:val="de-DE"/>
              </w:rPr>
              <w:t>Gemeinden und/oder Metropolstädte in diesen Gebieten) unterzeichneten die Vereinbarungen über die Neugestaltung und den Ausbau des sozialen Wohnungsbaus.</w:t>
            </w:r>
          </w:p>
          <w:p w14:paraId="5F04B806" w14:textId="77777777" w:rsidR="0057163C" w:rsidRPr="00170422" w:rsidRDefault="00F37BF9">
            <w:pPr>
              <w:pStyle w:val="P68B1DB1-Normal11"/>
              <w:rPr>
                <w:rFonts w:eastAsia="Calibri"/>
                <w:noProof/>
                <w:szCs w:val="20"/>
                <w:lang w:val="de-DE"/>
              </w:rPr>
            </w:pPr>
            <w:r w:rsidRPr="00170422">
              <w:rPr>
                <w:noProof/>
                <w:lang w:val="de-DE"/>
              </w:rPr>
              <w:t>Unterzeichnung von Vereinbarungen mit mindestens 15 Regionen und Autonomen Provinzen, die an Projekten</w:t>
            </w:r>
            <w:r w:rsidRPr="00170422">
              <w:rPr>
                <w:noProof/>
                <w:lang w:val="de-DE"/>
              </w:rPr>
              <w:t xml:space="preserve"> beteiligt sind. </w:t>
            </w:r>
          </w:p>
          <w:p w14:paraId="5314B098" w14:textId="77777777" w:rsidR="0057163C" w:rsidRPr="00170422" w:rsidRDefault="00F37BF9">
            <w:pPr>
              <w:pStyle w:val="P68B1DB1-Normal11"/>
              <w:rPr>
                <w:rFonts w:eastAsia="Calibri"/>
                <w:noProof/>
                <w:szCs w:val="20"/>
                <w:lang w:val="de-DE"/>
              </w:rPr>
            </w:pPr>
            <w:r w:rsidRPr="00170422">
              <w:rPr>
                <w:noProof/>
                <w:lang w:val="de-DE"/>
              </w:rPr>
              <w:t>Konstruktion: neue öffentliche Unterkünfte, um</w:t>
            </w:r>
          </w:p>
          <w:p w14:paraId="5BC79F11" w14:textId="77777777" w:rsidR="0057163C" w:rsidRPr="00170422" w:rsidRDefault="00F37BF9">
            <w:pPr>
              <w:pStyle w:val="P68B1DB1-Normal11"/>
              <w:rPr>
                <w:noProof/>
                <w:szCs w:val="20"/>
                <w:lang w:val="de-DE"/>
              </w:rPr>
            </w:pPr>
            <w:r w:rsidRPr="00170422">
              <w:rPr>
                <w:noProof/>
                <w:lang w:val="de-DE"/>
              </w:rPr>
              <w:t>— die für den öffentlichen Wohnungsbau bestimmten Vermögenswerte umzugestalten, umzustrukturieren und zu erhöhen;</w:t>
            </w:r>
          </w:p>
          <w:p w14:paraId="142E45F1" w14:textId="77777777" w:rsidR="0057163C" w:rsidRPr="00170422" w:rsidRDefault="00F37BF9">
            <w:pPr>
              <w:pStyle w:val="P68B1DB1-Normal11"/>
              <w:rPr>
                <w:noProof/>
                <w:szCs w:val="20"/>
                <w:lang w:val="de-DE"/>
              </w:rPr>
            </w:pPr>
            <w:r w:rsidRPr="00170422">
              <w:rPr>
                <w:noProof/>
                <w:lang w:val="de-DE"/>
              </w:rPr>
              <w:t>— Neufunktionierung von Flächen, Räumen sowie öffentlichen und privaten Grund</w:t>
            </w:r>
            <w:r w:rsidRPr="00170422">
              <w:rPr>
                <w:noProof/>
                <w:lang w:val="de-DE"/>
              </w:rPr>
              <w:t>stücken, auch durch die Sanierung des städtischen und sozioökonomischen Gefüges;</w:t>
            </w:r>
          </w:p>
          <w:p w14:paraId="4E3DDE34" w14:textId="77777777" w:rsidR="0057163C" w:rsidRPr="00170422" w:rsidRDefault="00F37BF9">
            <w:pPr>
              <w:pStyle w:val="P68B1DB1-Normal11"/>
              <w:rPr>
                <w:noProof/>
                <w:szCs w:val="20"/>
                <w:lang w:val="de-DE"/>
              </w:rPr>
            </w:pPr>
            <w:r w:rsidRPr="00170422">
              <w:rPr>
                <w:noProof/>
                <w:lang w:val="de-DE"/>
              </w:rPr>
              <w:t>Verbesserung der Zugänglichkeit und Sicherheit städtischer Gebiete sowie der Bereitstellung von Dienstleistungen und städtischen/lokalen Infrastrukturen;</w:t>
            </w:r>
          </w:p>
          <w:p w14:paraId="36825ED0" w14:textId="77777777" w:rsidR="0057163C" w:rsidRPr="00170422" w:rsidRDefault="00F37BF9">
            <w:pPr>
              <w:pStyle w:val="P68B1DB1-Normal11"/>
              <w:rPr>
                <w:noProof/>
                <w:szCs w:val="20"/>
                <w:lang w:val="de-DE"/>
              </w:rPr>
            </w:pPr>
            <w:r w:rsidRPr="00170422">
              <w:rPr>
                <w:noProof/>
                <w:lang w:val="de-DE"/>
              </w:rPr>
              <w:t xml:space="preserve">— bereits errichtete </w:t>
            </w:r>
            <w:r w:rsidRPr="00170422">
              <w:rPr>
                <w:noProof/>
                <w:lang w:val="de-DE"/>
              </w:rPr>
              <w:t>Gebiete und Räume regenerieren, die Umweltqualität verbessern und die Klimaresilienz gegenüber dem Klimawandel verbessern, auch durch Vorhaben, die Auswirkungen auf die städtische Verdichtung haben;</w:t>
            </w:r>
          </w:p>
          <w:p w14:paraId="427C16F2" w14:textId="77777777" w:rsidR="0057163C" w:rsidRPr="00170422" w:rsidRDefault="00F37BF9">
            <w:pPr>
              <w:pStyle w:val="P68B1DB1-Normal11"/>
              <w:rPr>
                <w:rFonts w:eastAsia="Calibri"/>
                <w:noProof/>
                <w:szCs w:val="20"/>
                <w:lang w:val="de-DE"/>
              </w:rPr>
            </w:pPr>
            <w:r w:rsidRPr="00170422">
              <w:rPr>
                <w:noProof/>
                <w:lang w:val="de-DE"/>
              </w:rPr>
              <w:t>— Ermittlung und Nutzung innovativer Management- und Inkl</w:t>
            </w:r>
            <w:r w:rsidRPr="00170422">
              <w:rPr>
                <w:noProof/>
                <w:lang w:val="de-DE"/>
              </w:rPr>
              <w:t>usionsmodelle und -instrumente, des Sozial- und Stadtwohls sowie partizipativer Prozesse.</w:t>
            </w:r>
          </w:p>
          <w:p w14:paraId="2D892366" w14:textId="77777777" w:rsidR="0057163C" w:rsidRPr="00170422" w:rsidRDefault="00F37BF9">
            <w:pPr>
              <w:pStyle w:val="P68B1DB1-Normal11"/>
              <w:rPr>
                <w:noProof/>
                <w:szCs w:val="20"/>
                <w:lang w:val="de-DE"/>
              </w:rPr>
            </w:pPr>
            <w:r w:rsidRPr="00170422">
              <w:rPr>
                <w:noProof/>
                <w:lang w:val="de-DE"/>
              </w:rPr>
              <w:t>Die geförderten Wohneinheiten und öffentlichen Räume müssen von den im entsprechenden Etappenziel beschriebenen Tätigkeiten profitieren.</w:t>
            </w:r>
          </w:p>
        </w:tc>
      </w:tr>
      <w:tr w:rsidR="0057163C" w:rsidRPr="00170422" w14:paraId="0590D536"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060542" w14:textId="3DF6C4A1" w:rsidR="0057163C" w:rsidRPr="00170422" w:rsidRDefault="00F37BF9">
            <w:pPr>
              <w:pStyle w:val="P68B1DB1-Normal12"/>
              <w:jc w:val="center"/>
              <w:rPr>
                <w:noProof/>
                <w:lang w:val="de-DE"/>
              </w:rPr>
            </w:pPr>
            <w:r w:rsidRPr="00170422">
              <w:rPr>
                <w:noProof/>
                <w:lang w:val="de-DE"/>
              </w:rPr>
              <w:t>M5C2-20</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404830E" w14:textId="77777777" w:rsidR="0057163C" w:rsidRPr="00170422" w:rsidRDefault="00F37BF9">
            <w:pPr>
              <w:pStyle w:val="P68B1DB1-Normal12"/>
              <w:jc w:val="center"/>
              <w:rPr>
                <w:noProof/>
                <w:lang w:val="de-DE"/>
              </w:rPr>
            </w:pPr>
            <w:r w:rsidRPr="00170422">
              <w:rPr>
                <w:noProof/>
                <w:lang w:val="de-DE"/>
              </w:rPr>
              <w:t xml:space="preserve">Investition 6 – Innovationsprogramm für die Qualität des Wohnraums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C24795F" w14:textId="77777777" w:rsidR="0057163C" w:rsidRPr="00170422" w:rsidRDefault="00F37BF9">
            <w:pPr>
              <w:pStyle w:val="P68B1DB1-Normal11"/>
              <w:jc w:val="center"/>
              <w:rPr>
                <w:noProof/>
                <w:szCs w:val="20"/>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E50D759" w14:textId="77777777" w:rsidR="0057163C" w:rsidRPr="00170422" w:rsidRDefault="00F37BF9">
            <w:pPr>
              <w:pStyle w:val="P68B1DB1-Normal12"/>
              <w:jc w:val="center"/>
              <w:rPr>
                <w:noProof/>
                <w:lang w:val="de-DE"/>
              </w:rPr>
            </w:pPr>
            <w:r w:rsidRPr="00170422">
              <w:rPr>
                <w:noProof/>
                <w:lang w:val="de-DE"/>
              </w:rPr>
              <w:t xml:space="preserve">Anzahl der gebauten, gekauften oder renovierten Wohneinheiten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E62671F" w14:textId="77777777" w:rsidR="0057163C" w:rsidRPr="00170422" w:rsidRDefault="00F37BF9">
            <w:pPr>
              <w:pStyle w:val="P68B1DB1-Normal11"/>
              <w:jc w:val="center"/>
              <w:rPr>
                <w:noProof/>
                <w:szCs w:val="20"/>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01AD86C" w14:textId="77777777" w:rsidR="0057163C" w:rsidRPr="00170422" w:rsidRDefault="00F37BF9">
            <w:pPr>
              <w:pStyle w:val="P68B1DB1-Normal11"/>
              <w:jc w:val="center"/>
              <w:rPr>
                <w:noProof/>
                <w:szCs w:val="20"/>
                <w:lang w:val="de-DE"/>
              </w:rPr>
            </w:pPr>
            <w:r w:rsidRPr="00170422">
              <w:rPr>
                <w:noProof/>
                <w:lang w:val="de-DE"/>
              </w:rPr>
              <w:t>Anzahl</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0ED57A3" w14:textId="77777777" w:rsidR="0057163C" w:rsidRPr="00170422" w:rsidRDefault="00F37BF9">
            <w:pPr>
              <w:pStyle w:val="P68B1DB1-Normal11"/>
              <w:jc w:val="center"/>
              <w:rPr>
                <w:noProof/>
                <w:szCs w:val="20"/>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47EF17"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szCs w:val="20"/>
                <w:lang w:val="de-DE"/>
              </w:rPr>
              <w:t>10</w:t>
            </w:r>
            <w:r w:rsidRPr="00170422">
              <w:rPr>
                <w:noProof/>
                <w:sz w:val="23"/>
                <w:szCs w:val="23"/>
                <w:lang w:val="de-DE"/>
              </w:rPr>
              <w:t xml:space="preserve"> </w:t>
            </w:r>
            <w:r w:rsidRPr="00170422">
              <w:rPr>
                <w:rFonts w:ascii="Arial Narrow" w:hAnsi="Arial Narrow"/>
                <w:noProof/>
                <w:color w:val="006100"/>
                <w:sz w:val="20"/>
                <w:szCs w:val="20"/>
                <w:lang w:val="de-DE"/>
              </w:rPr>
              <w:t>000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EAC2E54" w14:textId="77777777" w:rsidR="0057163C" w:rsidRPr="00170422" w:rsidRDefault="00F37BF9">
            <w:pPr>
              <w:pStyle w:val="P68B1DB1-Normal11"/>
              <w:jc w:val="center"/>
              <w:rPr>
                <w:noProof/>
                <w:szCs w:val="20"/>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E7A38B6" w14:textId="77777777" w:rsidR="0057163C" w:rsidRPr="00170422" w:rsidRDefault="00F37BF9">
            <w:pPr>
              <w:pStyle w:val="P68B1DB1-Normal11"/>
              <w:jc w:val="center"/>
              <w:rPr>
                <w:noProof/>
                <w:szCs w:val="20"/>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B29D6AA" w14:textId="28D80CB3" w:rsidR="0057163C" w:rsidRPr="00170422" w:rsidRDefault="00F37BF9">
            <w:pPr>
              <w:pStyle w:val="P68B1DB1-Normal12"/>
              <w:spacing w:line="278" w:lineRule="auto"/>
              <w:rPr>
                <w:noProof/>
                <w:lang w:val="de-DE"/>
              </w:rPr>
            </w:pPr>
            <w:r w:rsidRPr="00170422">
              <w:rPr>
                <w:noProof/>
                <w:lang w:val="de-DE"/>
              </w:rPr>
              <w:t xml:space="preserve">Es sind mindestens 10000 Wohneinheiten zu bauen, zu erwerben oder zu renovieren und </w:t>
            </w:r>
            <w:r w:rsidRPr="00170422">
              <w:rPr>
                <w:noProof/>
                <w:lang w:val="de-DE"/>
              </w:rPr>
              <w:t>mindestens 1800000 Quadratmeter des öffentlichen Tempos zu renovieren.</w:t>
            </w:r>
          </w:p>
          <w:p w14:paraId="4A751E07" w14:textId="531D0462" w:rsidR="0057163C" w:rsidRPr="00170422" w:rsidRDefault="00F37BF9">
            <w:pPr>
              <w:pStyle w:val="P68B1DB1-Normal12"/>
              <w:spacing w:line="278" w:lineRule="auto"/>
              <w:rPr>
                <w:noProof/>
                <w:lang w:val="de-DE"/>
              </w:rPr>
            </w:pPr>
            <w:r w:rsidRPr="00170422">
              <w:rPr>
                <w:noProof/>
                <w:lang w:val="de-DE"/>
              </w:rPr>
              <w:t xml:space="preserve">Mindestens 497 Mio. EUR an Unterstützung aus der Aufbau- und Resilienzfazilität für die Investitionskosten sind für die energetische Sanierung des bestehenden Wohnungsbestands oder der </w:t>
            </w:r>
            <w:r w:rsidRPr="00170422">
              <w:rPr>
                <w:noProof/>
                <w:lang w:val="de-DE"/>
              </w:rPr>
              <w:t>öffentlichen Infrastruktur vorgesehen, wovon mindestens 300 Mio. EUR für die energetische Renovierung des bestehenden Wohnungsbestands bestimmt sind, die zu Primärenergieeinsparungen von mindestens 30 % führt.</w:t>
            </w:r>
          </w:p>
          <w:p w14:paraId="0056308A" w14:textId="10C80A4D" w:rsidR="0057163C" w:rsidRPr="00170422" w:rsidRDefault="00F37BF9">
            <w:pPr>
              <w:pStyle w:val="P68B1DB1-Normal12"/>
              <w:spacing w:line="278" w:lineRule="auto"/>
              <w:rPr>
                <w:noProof/>
                <w:lang w:val="de-DE"/>
              </w:rPr>
            </w:pPr>
            <w:r w:rsidRPr="00170422">
              <w:rPr>
                <w:noProof/>
                <w:lang w:val="de-DE"/>
              </w:rPr>
              <w:t>Mindestens 84 Mio. EUR an ARF-Unterstützung fü</w:t>
            </w:r>
            <w:r w:rsidRPr="00170422">
              <w:rPr>
                <w:noProof/>
                <w:lang w:val="de-DE"/>
              </w:rPr>
              <w:t>r die Investitionskosten sind für die Fahrradinfrastruktur vorgesehen.</w:t>
            </w:r>
          </w:p>
        </w:tc>
      </w:tr>
      <w:tr w:rsidR="0057163C" w:rsidRPr="00170422" w14:paraId="55039567"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0501924" w14:textId="77777777" w:rsidR="0057163C" w:rsidRPr="00170422" w:rsidRDefault="00F37BF9">
            <w:pPr>
              <w:pStyle w:val="P68B1DB1-Normal11"/>
              <w:jc w:val="center"/>
              <w:rPr>
                <w:noProof/>
                <w:szCs w:val="20"/>
                <w:lang w:val="de-DE"/>
              </w:rPr>
            </w:pPr>
            <w:r w:rsidRPr="00170422">
              <w:rPr>
                <w:noProof/>
                <w:lang w:val="de-DE"/>
              </w:rPr>
              <w:t>M5C2-21</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BE1357C" w14:textId="77777777" w:rsidR="0057163C" w:rsidRPr="00170422" w:rsidRDefault="00F37BF9">
            <w:pPr>
              <w:pStyle w:val="P68B1DB1-Normal12"/>
              <w:jc w:val="center"/>
              <w:rPr>
                <w:noProof/>
                <w:lang w:val="de-DE"/>
              </w:rPr>
            </w:pPr>
            <w:r w:rsidRPr="00170422">
              <w:rPr>
                <w:noProof/>
                <w:lang w:val="de-DE"/>
              </w:rPr>
              <w:t>Investition 7 – Das Projekt Sport und soziale Eingliederung</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9CD9A92" w14:textId="77777777" w:rsidR="0057163C" w:rsidRPr="00170422" w:rsidRDefault="00F37BF9">
            <w:pPr>
              <w:pStyle w:val="P68B1DB1-Normal11"/>
              <w:jc w:val="center"/>
              <w:rPr>
                <w:noProof/>
                <w:szCs w:val="20"/>
                <w:lang w:val="de-DE"/>
              </w:rPr>
            </w:pPr>
            <w:r w:rsidRPr="00170422">
              <w:rPr>
                <w:noProof/>
                <w:lang w:val="de-DE"/>
              </w:rPr>
              <w:t>Meilenstein</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FAF9DF7" w14:textId="77777777" w:rsidR="0057163C" w:rsidRPr="00170422" w:rsidRDefault="00F37BF9">
            <w:pPr>
              <w:pStyle w:val="P68B1DB1-Normal11"/>
              <w:jc w:val="center"/>
              <w:rPr>
                <w:noProof/>
                <w:szCs w:val="20"/>
                <w:lang w:val="de-DE"/>
              </w:rPr>
            </w:pPr>
            <w:r w:rsidRPr="00170422">
              <w:rPr>
                <w:noProof/>
                <w:lang w:val="de-DE"/>
              </w:rPr>
              <w:t>Vergabe aller öffentlichen Aufträge für Projekte im Bereich Sport und soziale Eingliederung im Anschluss</w:t>
            </w:r>
            <w:r w:rsidRPr="00170422">
              <w:rPr>
                <w:noProof/>
                <w:lang w:val="de-DE"/>
              </w:rPr>
              <w:t xml:space="preserve"> an eine öffentliche Aufforderung zur Einreichung von Vorschlägen</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F4BFF25" w14:textId="77777777" w:rsidR="0057163C" w:rsidRPr="00170422" w:rsidRDefault="00F37BF9">
            <w:pPr>
              <w:pStyle w:val="P68B1DB1-Normal11"/>
              <w:jc w:val="center"/>
              <w:rPr>
                <w:noProof/>
                <w:szCs w:val="20"/>
                <w:lang w:val="de-DE"/>
              </w:rPr>
            </w:pPr>
            <w:r w:rsidRPr="00170422">
              <w:rPr>
                <w:noProof/>
                <w:lang w:val="de-DE"/>
              </w:rPr>
              <w:t>Mitteilung über die Vergabe sämtlicher öffentlicher Aufträge für Projekte im Bereich Sport und soziale Eingliederung</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188165D" w14:textId="77777777" w:rsidR="0057163C" w:rsidRPr="00170422" w:rsidRDefault="00F37BF9">
            <w:pPr>
              <w:pStyle w:val="P68B1DB1-Normal11"/>
              <w:jc w:val="center"/>
              <w:rPr>
                <w:noProof/>
                <w:szCs w:val="20"/>
                <w:lang w:val="de-DE"/>
              </w:rPr>
            </w:pPr>
            <w:r w:rsidRPr="00170422">
              <w:rPr>
                <w:noProof/>
                <w:lang w:val="de-DE"/>
              </w:rPr>
              <w:t>ENTFÄLLT.</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CCEEB84" w14:textId="77777777" w:rsidR="0057163C" w:rsidRPr="00170422" w:rsidRDefault="00F37BF9">
            <w:pPr>
              <w:pStyle w:val="P68B1DB1-Normal11"/>
              <w:jc w:val="center"/>
              <w:rPr>
                <w:noProof/>
                <w:szCs w:val="20"/>
                <w:lang w:val="de-DE"/>
              </w:rPr>
            </w:pPr>
            <w:r w:rsidRPr="00170422">
              <w:rPr>
                <w:noProof/>
                <w:lang w:val="de-DE"/>
              </w:rPr>
              <w:t>ENTFÄLLT.</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92DF8D9" w14:textId="77777777" w:rsidR="0057163C" w:rsidRPr="00170422" w:rsidRDefault="00F37BF9">
            <w:pPr>
              <w:pStyle w:val="P68B1DB1-Normal11"/>
              <w:jc w:val="center"/>
              <w:rPr>
                <w:noProof/>
                <w:szCs w:val="20"/>
                <w:lang w:val="de-DE"/>
              </w:rPr>
            </w:pPr>
            <w:r w:rsidRPr="00170422">
              <w:rPr>
                <w:noProof/>
                <w:lang w:val="de-DE"/>
              </w:rPr>
              <w:t>ENTFÄLLT.</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3B08B21" w14:textId="77777777" w:rsidR="0057163C" w:rsidRPr="00170422" w:rsidRDefault="00F37BF9">
            <w:pPr>
              <w:pStyle w:val="P68B1DB1-Normal11"/>
              <w:jc w:val="center"/>
              <w:rPr>
                <w:noProof/>
                <w:szCs w:val="20"/>
                <w:lang w:val="de-DE"/>
              </w:rPr>
            </w:pPr>
            <w:r w:rsidRPr="00170422">
              <w:rPr>
                <w:noProof/>
                <w:lang w:val="de-DE"/>
              </w:rPr>
              <w:t>Q1</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6D632DA" w14:textId="77777777" w:rsidR="0057163C" w:rsidRPr="00170422" w:rsidRDefault="00F37BF9">
            <w:pPr>
              <w:pStyle w:val="P68B1DB1-Normal11"/>
              <w:jc w:val="center"/>
              <w:rPr>
                <w:noProof/>
                <w:szCs w:val="20"/>
                <w:lang w:val="de-DE"/>
              </w:rPr>
            </w:pPr>
            <w:r w:rsidRPr="00170422">
              <w:rPr>
                <w:noProof/>
                <w:lang w:val="de-DE"/>
              </w:rPr>
              <w:t>2023</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269A213" w14:textId="77777777" w:rsidR="0057163C" w:rsidRPr="00170422" w:rsidRDefault="00F37BF9">
            <w:pPr>
              <w:pStyle w:val="P68B1DB1-Normal11"/>
              <w:rPr>
                <w:rFonts w:eastAsia="Calibri"/>
                <w:noProof/>
                <w:szCs w:val="20"/>
                <w:lang w:val="de-DE"/>
              </w:rPr>
            </w:pPr>
            <w:r w:rsidRPr="00170422">
              <w:rPr>
                <w:noProof/>
                <w:lang w:val="de-DE"/>
              </w:rPr>
              <w:t>Mitteilung über die Vergabe öffentl</w:t>
            </w:r>
            <w:r w:rsidRPr="00170422">
              <w:rPr>
                <w:noProof/>
                <w:lang w:val="de-DE"/>
              </w:rPr>
              <w:t>icher Aufträge, die mindestens eines der folgenden Elemente umfasst:</w:t>
            </w:r>
          </w:p>
          <w:p w14:paraId="497B7451" w14:textId="77777777" w:rsidR="0057163C" w:rsidRPr="00170422" w:rsidRDefault="00F37BF9">
            <w:pPr>
              <w:pStyle w:val="P68B1DB1-Normal11"/>
              <w:rPr>
                <w:noProof/>
                <w:szCs w:val="20"/>
                <w:lang w:val="de-DE"/>
              </w:rPr>
            </w:pPr>
            <w:r w:rsidRPr="00170422">
              <w:rPr>
                <w:noProof/>
                <w:lang w:val="de-DE"/>
              </w:rPr>
              <w:t>1. Bau neuer Sportanlagen in den benachteiligten Gebieten des Landes;</w:t>
            </w:r>
          </w:p>
          <w:p w14:paraId="202A10DC" w14:textId="77777777" w:rsidR="0057163C" w:rsidRPr="00170422" w:rsidRDefault="00F37BF9">
            <w:pPr>
              <w:pStyle w:val="P68B1DB1-Normal11"/>
              <w:rPr>
                <w:noProof/>
                <w:szCs w:val="20"/>
                <w:lang w:val="de-DE"/>
              </w:rPr>
            </w:pPr>
            <w:r w:rsidRPr="00170422">
              <w:rPr>
                <w:noProof/>
                <w:lang w:val="de-DE"/>
              </w:rPr>
              <w:t>2. Bereitstellung von Sportausrüstung, einschließlich der Anwendung von Technologie im Sport);</w:t>
            </w:r>
          </w:p>
          <w:p w14:paraId="08D57BB3" w14:textId="77777777" w:rsidR="0057163C" w:rsidRPr="00170422" w:rsidRDefault="00F37BF9">
            <w:pPr>
              <w:pStyle w:val="P68B1DB1-Normal11"/>
              <w:rPr>
                <w:rFonts w:eastAsia="Calibri"/>
                <w:noProof/>
                <w:szCs w:val="20"/>
                <w:lang w:val="de-DE"/>
              </w:rPr>
            </w:pPr>
            <w:r w:rsidRPr="00170422">
              <w:rPr>
                <w:noProof/>
                <w:lang w:val="de-DE"/>
              </w:rPr>
              <w:t>3. Umschulung und Anpa</w:t>
            </w:r>
            <w:r w:rsidRPr="00170422">
              <w:rPr>
                <w:noProof/>
                <w:lang w:val="de-DE"/>
              </w:rPr>
              <w:t>ssung bestehender Sporteinrichtungen (z. B.: Beseitigung architektonischer Barrieren, Energieeffizienz usw.).</w:t>
            </w:r>
          </w:p>
          <w:p w14:paraId="00F74937" w14:textId="77777777" w:rsidR="0057163C" w:rsidRPr="00170422" w:rsidRDefault="00F37BF9">
            <w:pPr>
              <w:pStyle w:val="P68B1DB1-Normal11"/>
              <w:rPr>
                <w:noProof/>
                <w:szCs w:val="20"/>
                <w:lang w:val="de-DE"/>
              </w:rPr>
            </w:pPr>
            <w:r w:rsidRPr="00170422">
              <w:rPr>
                <w:noProof/>
                <w:lang w:val="de-DE"/>
              </w:rPr>
              <w:t>Ziel des Projekts ist es, die Wiederbelebung städtischer Gebiete zu gewährleisten, indem der Schwerpunkt auf Sportanlagen gelegt wird, um die sozi</w:t>
            </w:r>
            <w:r w:rsidRPr="00170422">
              <w:rPr>
                <w:noProof/>
                <w:lang w:val="de-DE"/>
              </w:rPr>
              <w:t>ale Inklusion und Integration, insbesondere in den am stärksten benachteiligten Gebieten Italiens, zu fördern.</w:t>
            </w:r>
          </w:p>
          <w:p w14:paraId="29C06586" w14:textId="77777777" w:rsidR="0057163C" w:rsidRPr="00170422" w:rsidRDefault="00F37BF9">
            <w:pPr>
              <w:pStyle w:val="P68B1DB1-Normal11"/>
              <w:rPr>
                <w:noProof/>
                <w:szCs w:val="20"/>
                <w:lang w:val="de-DE"/>
              </w:rPr>
            </w:pPr>
            <w:r w:rsidRPr="00170422">
              <w:rPr>
                <w:noProof/>
                <w:lang w:val="de-DE"/>
              </w:rPr>
              <w:t>Die Auswahlkriterien gewährleisten, dass mindestens 50 % der Investition Neubauten gemäß den einschlägigen Anforderungen in Anhang VI Fußnote 5 d</w:t>
            </w:r>
            <w:r w:rsidRPr="00170422">
              <w:rPr>
                <w:noProof/>
                <w:lang w:val="de-DE"/>
              </w:rPr>
              <w:t>er Verordnung (EU) 2021/241 zugewiesen werden.</w:t>
            </w:r>
          </w:p>
        </w:tc>
      </w:tr>
      <w:tr w:rsidR="0057163C" w:rsidRPr="00170422" w14:paraId="4156AF60" w14:textId="77777777">
        <w:trPr>
          <w:trHeight w:val="300"/>
          <w:jc w:val="center"/>
        </w:trPr>
        <w:tc>
          <w:tcPr>
            <w:tcW w:w="131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05877FF4" w14:textId="77777777" w:rsidR="0057163C" w:rsidRPr="00170422" w:rsidRDefault="00F37BF9">
            <w:pPr>
              <w:pStyle w:val="P68B1DB1-Normal11"/>
              <w:jc w:val="center"/>
              <w:rPr>
                <w:noProof/>
                <w:szCs w:val="20"/>
                <w:highlight w:val="yellow"/>
                <w:lang w:val="de-DE"/>
              </w:rPr>
            </w:pPr>
            <w:r w:rsidRPr="00170422">
              <w:rPr>
                <w:noProof/>
                <w:lang w:val="de-DE"/>
              </w:rPr>
              <w:t>M5C2-22</w:t>
            </w:r>
          </w:p>
        </w:tc>
        <w:tc>
          <w:tcPr>
            <w:tcW w:w="17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3A44623F" w14:textId="77777777" w:rsidR="0057163C" w:rsidRPr="00170422" w:rsidRDefault="00F37BF9">
            <w:pPr>
              <w:pStyle w:val="P68B1DB1-Normal12"/>
              <w:jc w:val="center"/>
              <w:rPr>
                <w:noProof/>
                <w:lang w:val="de-DE"/>
              </w:rPr>
            </w:pPr>
            <w:r w:rsidRPr="00170422">
              <w:rPr>
                <w:noProof/>
                <w:lang w:val="de-DE"/>
              </w:rPr>
              <w:t xml:space="preserve">Investition 7 – Sport und soziale Eingliederung </w:t>
            </w:r>
          </w:p>
        </w:tc>
        <w:tc>
          <w:tcPr>
            <w:tcW w:w="1388"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C79E3F9" w14:textId="77777777" w:rsidR="0057163C" w:rsidRPr="00170422" w:rsidRDefault="00F37BF9">
            <w:pPr>
              <w:pStyle w:val="P68B1DB1-Normal11"/>
              <w:jc w:val="center"/>
              <w:rPr>
                <w:noProof/>
                <w:szCs w:val="20"/>
                <w:lang w:val="de-DE"/>
              </w:rPr>
            </w:pPr>
            <w:r w:rsidRPr="00170422">
              <w:rPr>
                <w:noProof/>
                <w:lang w:val="de-DE"/>
              </w:rPr>
              <w:t>Ziel</w:t>
            </w:r>
          </w:p>
        </w:tc>
        <w:tc>
          <w:tcPr>
            <w:tcW w:w="1731"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B2BC68A" w14:textId="77777777" w:rsidR="0057163C" w:rsidRPr="00170422" w:rsidRDefault="00F37BF9">
            <w:pPr>
              <w:pStyle w:val="P68B1DB1-Normal12"/>
              <w:jc w:val="center"/>
              <w:rPr>
                <w:noProof/>
                <w:lang w:val="de-DE"/>
              </w:rPr>
            </w:pPr>
            <w:r w:rsidRPr="00170422">
              <w:rPr>
                <w:noProof/>
                <w:lang w:val="de-DE"/>
              </w:rPr>
              <w:t xml:space="preserve"> Ausstellung von Bescheinigungen über den Abschluss der Arbeiten </w:t>
            </w:r>
          </w:p>
        </w:tc>
        <w:tc>
          <w:tcPr>
            <w:tcW w:w="155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6C5201" w14:textId="77777777" w:rsidR="0057163C" w:rsidRPr="00170422" w:rsidRDefault="00F37BF9">
            <w:pPr>
              <w:pStyle w:val="P68B1DB1-Normal11"/>
              <w:jc w:val="center"/>
              <w:rPr>
                <w:noProof/>
                <w:szCs w:val="20"/>
                <w:lang w:val="de-DE"/>
              </w:rPr>
            </w:pPr>
            <w:r w:rsidRPr="00170422">
              <w:rPr>
                <w:noProof/>
                <w:lang w:val="de-DE"/>
              </w:rPr>
              <w:t>ENTFÄLLT.</w:t>
            </w:r>
          </w:p>
        </w:tc>
        <w:tc>
          <w:tcPr>
            <w:tcW w:w="2187"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4B92E134" w14:textId="77777777" w:rsidR="0057163C" w:rsidRPr="00170422" w:rsidRDefault="00F37BF9">
            <w:pPr>
              <w:pStyle w:val="P68B1DB1-Normal11"/>
              <w:jc w:val="center"/>
              <w:rPr>
                <w:noProof/>
                <w:szCs w:val="20"/>
                <w:lang w:val="de-DE"/>
              </w:rPr>
            </w:pPr>
            <w:r w:rsidRPr="00170422">
              <w:rPr>
                <w:noProof/>
                <w:lang w:val="de-DE"/>
              </w:rPr>
              <w:t>Anzahl</w:t>
            </w:r>
          </w:p>
        </w:tc>
        <w:tc>
          <w:tcPr>
            <w:tcW w:w="1039"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5CD67702" w14:textId="77777777" w:rsidR="0057163C" w:rsidRPr="00170422" w:rsidRDefault="00F37BF9">
            <w:pPr>
              <w:pStyle w:val="P68B1DB1-Normal11"/>
              <w:jc w:val="center"/>
              <w:rPr>
                <w:noProof/>
                <w:szCs w:val="20"/>
                <w:lang w:val="de-DE"/>
              </w:rPr>
            </w:pPr>
            <w:r w:rsidRPr="00170422">
              <w:rPr>
                <w:noProof/>
                <w:lang w:val="de-DE"/>
              </w:rPr>
              <w:t>0</w:t>
            </w:r>
          </w:p>
        </w:tc>
        <w:tc>
          <w:tcPr>
            <w:tcW w:w="1322"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2AA06FE1" w14:textId="77777777" w:rsidR="0057163C" w:rsidRPr="00170422" w:rsidRDefault="00F37BF9">
            <w:pPr>
              <w:pStyle w:val="P68B1DB1-Normal11"/>
              <w:jc w:val="center"/>
              <w:rPr>
                <w:noProof/>
                <w:szCs w:val="20"/>
                <w:lang w:val="de-DE"/>
              </w:rPr>
            </w:pPr>
            <w:r w:rsidRPr="00170422">
              <w:rPr>
                <w:noProof/>
                <w:lang w:val="de-DE"/>
              </w:rPr>
              <w:t>100</w:t>
            </w:r>
          </w:p>
        </w:tc>
        <w:tc>
          <w:tcPr>
            <w:tcW w:w="980"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67F0D0A5" w14:textId="77777777" w:rsidR="0057163C" w:rsidRPr="00170422" w:rsidRDefault="00F37BF9">
            <w:pPr>
              <w:pStyle w:val="P68B1DB1-Normal11"/>
              <w:jc w:val="center"/>
              <w:rPr>
                <w:noProof/>
                <w:szCs w:val="20"/>
                <w:lang w:val="de-DE"/>
              </w:rPr>
            </w:pPr>
            <w:r w:rsidRPr="00170422">
              <w:rPr>
                <w:noProof/>
                <w:lang w:val="de-DE"/>
              </w:rPr>
              <w:t>Q2</w:t>
            </w:r>
          </w:p>
        </w:tc>
        <w:tc>
          <w:tcPr>
            <w:tcW w:w="875"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1C8135D7" w14:textId="77777777" w:rsidR="0057163C" w:rsidRPr="00170422" w:rsidRDefault="00F37BF9">
            <w:pPr>
              <w:pStyle w:val="P68B1DB1-Normal11"/>
              <w:jc w:val="center"/>
              <w:rPr>
                <w:noProof/>
                <w:szCs w:val="20"/>
                <w:lang w:val="de-DE"/>
              </w:rPr>
            </w:pPr>
            <w:r w:rsidRPr="00170422">
              <w:rPr>
                <w:noProof/>
                <w:lang w:val="de-DE"/>
              </w:rPr>
              <w:t>2026</w:t>
            </w:r>
          </w:p>
        </w:tc>
        <w:tc>
          <w:tcPr>
            <w:tcW w:w="3603" w:type="dxa"/>
            <w:tcBorders>
              <w:top w:val="single" w:sz="4" w:space="0" w:color="auto"/>
              <w:left w:val="single" w:sz="4" w:space="0" w:color="auto"/>
              <w:bottom w:val="single" w:sz="4" w:space="0" w:color="auto"/>
              <w:right w:val="single" w:sz="4" w:space="0" w:color="auto"/>
            </w:tcBorders>
            <w:shd w:val="clear" w:color="auto" w:fill="C6EFCE"/>
            <w:vAlign w:val="center"/>
            <w:hideMark/>
          </w:tcPr>
          <w:p w14:paraId="7925FC8D" w14:textId="65179BBA" w:rsidR="0057163C" w:rsidRPr="00170422" w:rsidRDefault="00F37BF9">
            <w:pPr>
              <w:pStyle w:val="P68B1DB1-Normal12"/>
              <w:rPr>
                <w:noProof/>
                <w:lang w:val="de-DE"/>
              </w:rPr>
            </w:pPr>
            <w:r w:rsidRPr="00170422">
              <w:rPr>
                <w:noProof/>
                <w:lang w:val="de-DE"/>
              </w:rPr>
              <w:t xml:space="preserve">Abschlussbescheinigungen für mindestens 100 </w:t>
            </w:r>
            <w:r w:rsidRPr="00170422">
              <w:rPr>
                <w:noProof/>
                <w:lang w:val="de-DE"/>
              </w:rPr>
              <w:t>Maßnahmen im Zusammenhang mit dem Bau oder der Renovierung von Sportanlagen mit einer Gesamtfläche von mindestens 200000 Quadratmetern.</w:t>
            </w:r>
          </w:p>
        </w:tc>
      </w:tr>
    </w:tbl>
    <w:p w14:paraId="3592BCFC" w14:textId="77777777" w:rsidR="0057163C" w:rsidRPr="00170422" w:rsidRDefault="0057163C">
      <w:pPr>
        <w:keepNext/>
        <w:tabs>
          <w:tab w:val="left" w:pos="4252"/>
        </w:tabs>
        <w:spacing w:before="720"/>
        <w:jc w:val="both"/>
        <w:rPr>
          <w:i/>
          <w:noProof/>
          <w:lang w:val="de-DE"/>
        </w:rPr>
        <w:sectPr w:rsidR="0057163C" w:rsidRPr="00170422" w:rsidSect="005F11B9">
          <w:headerReference w:type="even" r:id="rId254"/>
          <w:headerReference w:type="default" r:id="rId255"/>
          <w:footerReference w:type="even" r:id="rId256"/>
          <w:footerReference w:type="default" r:id="rId257"/>
          <w:headerReference w:type="first" r:id="rId258"/>
          <w:footerReference w:type="first" r:id="rId259"/>
          <w:pgSz w:w="20160" w:h="12240" w:orient="landscape"/>
          <w:pgMar w:top="1440" w:right="1440" w:bottom="1440" w:left="1440" w:header="709" w:footer="709" w:gutter="0"/>
          <w:cols w:space="720"/>
          <w:docGrid w:linePitch="360"/>
        </w:sectPr>
      </w:pPr>
    </w:p>
    <w:p w14:paraId="5968D17C" w14:textId="77777777" w:rsidR="0057163C" w:rsidRPr="00170422" w:rsidRDefault="00F37BF9">
      <w:pPr>
        <w:pStyle w:val="P68B1DB1-Heading23"/>
        <w:ind w:left="1080"/>
        <w:rPr>
          <w:noProof/>
          <w:lang w:val="de-DE"/>
        </w:rPr>
      </w:pPr>
      <w:r w:rsidRPr="00170422">
        <w:rPr>
          <w:noProof/>
          <w:lang w:val="de-DE"/>
        </w:rPr>
        <w:t xml:space="preserve">N. MISSION 5 KOMPONENTE 3: Spezielle Interventionen für den </w:t>
      </w:r>
      <w:r w:rsidRPr="00170422">
        <w:rPr>
          <w:noProof/>
          <w:lang w:val="de-DE"/>
        </w:rPr>
        <w:t>territorialen Zusammenhalt</w:t>
      </w:r>
    </w:p>
    <w:p w14:paraId="253955E5" w14:textId="77777777" w:rsidR="0057163C" w:rsidRPr="00170422" w:rsidRDefault="00F37BF9">
      <w:pPr>
        <w:pStyle w:val="P68B1DB1-Normal7"/>
        <w:tabs>
          <w:tab w:val="left" w:pos="1134"/>
        </w:tabs>
        <w:spacing w:before="120" w:after="120"/>
        <w:jc w:val="both"/>
        <w:rPr>
          <w:rFonts w:eastAsia="Calibri"/>
          <w:noProof/>
          <w:lang w:val="de-DE"/>
        </w:rPr>
      </w:pPr>
      <w:r w:rsidRPr="00170422">
        <w:rPr>
          <w:noProof/>
          <w:lang w:val="de-DE"/>
        </w:rPr>
        <w:t>Diese Komponente des Aufbau- und Resilienzplans umfasst zwei Interventionsbereiche: I) Plan für die Resilienz von Binnen-, Rand- und Berggebieten; II) Projekte für die Entwicklung des Südens, einschließlich Investitionen zur Bekä</w:t>
      </w:r>
      <w:r w:rsidRPr="00170422">
        <w:rPr>
          <w:noProof/>
          <w:lang w:val="de-DE"/>
        </w:rPr>
        <w:t>mpfung der Bildungsarmut, zur Konsolidierung ländlicher Apotheken als lokale Gesundheitsdienste, zur Verbesserung der aus der organisierten Kriminalität beschlagnahmten Vermögenswerte und zur Infrastrukturinvestitionen in Sonderwirtschaftszonen. Diese Maßn</w:t>
      </w:r>
      <w:r w:rsidRPr="00170422">
        <w:rPr>
          <w:noProof/>
          <w:lang w:val="de-DE"/>
        </w:rPr>
        <w:t xml:space="preserve">ahmen zielen darauf ab, die territoriale Kluft in drei Bereichen zu überwinden: Demografie und Dienstleistungen; Kompetenzentwicklung; investieren. </w:t>
      </w:r>
    </w:p>
    <w:p w14:paraId="23A0EF7C" w14:textId="77777777" w:rsidR="0057163C" w:rsidRPr="00170422" w:rsidRDefault="00F37BF9">
      <w:pPr>
        <w:tabs>
          <w:tab w:val="left" w:pos="1134"/>
        </w:tabs>
        <w:spacing w:before="120" w:after="120"/>
        <w:jc w:val="both"/>
        <w:rPr>
          <w:rFonts w:ascii="Times New Roman" w:eastAsia="Calibri" w:hAnsi="Times New Roman" w:cs="Times New Roman"/>
          <w:noProof/>
          <w:lang w:val="de-DE"/>
        </w:rPr>
      </w:pPr>
      <w:r w:rsidRPr="00170422">
        <w:rPr>
          <w:rFonts w:ascii="Times New Roman" w:hAnsi="Times New Roman" w:cs="Times New Roman"/>
          <w:noProof/>
          <w:lang w:val="de-DE"/>
        </w:rPr>
        <w:t>Die Investitionen und Reformen im Rahmen dieser Komponente tragen zur Umsetzung der länderspezifischen Empf</w:t>
      </w:r>
      <w:r w:rsidRPr="00170422">
        <w:rPr>
          <w:rFonts w:ascii="Times New Roman" w:hAnsi="Times New Roman" w:cs="Times New Roman"/>
          <w:noProof/>
          <w:lang w:val="de-DE"/>
        </w:rPr>
        <w:t>ehlungen der Jahre 2019 und 2020 zur Notwendigkeit bei, die investitionsbezogene Wirtschaftspolitik auf Forschung und Innovation und die Qualität der Infrastruktur unter Berücksichtigung regionaler Unterschiede zu konzentrieren (länderspezifische Empfehlun</w:t>
      </w:r>
      <w:r w:rsidRPr="00170422">
        <w:rPr>
          <w:rFonts w:ascii="Times New Roman" w:hAnsi="Times New Roman" w:cs="Times New Roman"/>
          <w:noProof/>
          <w:lang w:val="de-DE"/>
        </w:rPr>
        <w:t xml:space="preserve">g 2019.3); </w:t>
      </w:r>
      <w:r w:rsidRPr="00170422">
        <w:rPr>
          <w:rStyle w:val="normaltextrun"/>
          <w:rFonts w:ascii="Times New Roman" w:hAnsi="Times New Roman" w:cs="Times New Roman"/>
          <w:noProof/>
          <w:shd w:val="clear" w:color="auto" w:fill="FFFFFF"/>
          <w:lang w:val="de-DE"/>
        </w:rPr>
        <w:t>„Verbesserung der Bildungsergebnisse“ (länderspezifische Empfehlung 2019.2); „Stärkung der Resilienz und Kapazität des Gesundheitssystems [...]“ (länderspezifische Empfehlung 2020.1); „angemessener [...] Sozialschutz und Zugang zum Sozialschutz“</w:t>
      </w:r>
      <w:r w:rsidRPr="00170422">
        <w:rPr>
          <w:rStyle w:val="normaltextrun"/>
          <w:rFonts w:ascii="Times New Roman" w:hAnsi="Times New Roman" w:cs="Times New Roman"/>
          <w:noProof/>
          <w:shd w:val="clear" w:color="auto" w:fill="FFFFFF"/>
          <w:lang w:val="de-DE"/>
        </w:rPr>
        <w:t xml:space="preserve"> (länderspezifische Empfehlung 2020.2). </w:t>
      </w:r>
    </w:p>
    <w:p w14:paraId="701031D9" w14:textId="77777777" w:rsidR="0057163C" w:rsidRPr="00170422" w:rsidRDefault="0057163C">
      <w:pPr>
        <w:spacing w:before="120" w:after="120"/>
        <w:jc w:val="both"/>
        <w:rPr>
          <w:rFonts w:ascii="Times New Roman" w:hAnsi="Times New Roman" w:cs="Times New Roman"/>
          <w:noProof/>
          <w:lang w:val="de-DE"/>
        </w:rPr>
      </w:pPr>
    </w:p>
    <w:p w14:paraId="38554ED0"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N.1. </w:t>
      </w:r>
      <w:r w:rsidRPr="00170422">
        <w:rPr>
          <w:noProof/>
          <w:lang w:val="de-DE"/>
        </w:rPr>
        <w:t xml:space="preserve"> </w:t>
      </w:r>
      <w:r w:rsidRPr="00170422">
        <w:rPr>
          <w:b/>
          <w:noProof/>
          <w:u w:val="single"/>
          <w:lang w:val="de-DE"/>
        </w:rPr>
        <w:t>Beschreibung der Reformen und Investitionen für nicht rückzahlbare finanzielle Unterstützung</w:t>
      </w:r>
    </w:p>
    <w:p w14:paraId="3BBD5A81" w14:textId="77777777" w:rsidR="0057163C" w:rsidRPr="00170422" w:rsidRDefault="00F37BF9">
      <w:pPr>
        <w:pStyle w:val="P68B1DB1-Normal5"/>
        <w:spacing w:before="120" w:after="120"/>
        <w:jc w:val="both"/>
        <w:rPr>
          <w:bCs/>
          <w:noProof/>
          <w:lang w:val="de-DE"/>
        </w:rPr>
      </w:pPr>
      <w:r w:rsidRPr="00170422">
        <w:rPr>
          <w:noProof/>
          <w:lang w:val="de-DE"/>
        </w:rPr>
        <w:t>Erhält Investition 1.1 Innenbereiche – 1: Verbesserung der gemeinschaftlichen Sozialdienste und -infrastrukturen</w:t>
      </w:r>
    </w:p>
    <w:p w14:paraId="1388650F" w14:textId="4AB17F5B" w:rsidR="0057163C" w:rsidRPr="00170422" w:rsidRDefault="00F37BF9">
      <w:pPr>
        <w:pStyle w:val="P68B1DB1-Normal7"/>
        <w:spacing w:before="120" w:after="120"/>
        <w:jc w:val="both"/>
        <w:rPr>
          <w:noProof/>
          <w:lang w:val="de-DE"/>
        </w:rPr>
      </w:pPr>
      <w:r w:rsidRPr="00170422">
        <w:rPr>
          <w:noProof/>
          <w:lang w:val="de-DE"/>
        </w:rPr>
        <w:t xml:space="preserve">Ziel der Maßnahme ist es, die Probleme der sozialen Ausgrenzung und der Marginalisierung anzugehen, indem die Bereitstellung von Dienstleistungen durch die Aufstockung der Mittel für öffentliche Dienstleistungen der lokalen Behörden intensiviert wird (der </w:t>
      </w:r>
      <w:r w:rsidRPr="00170422">
        <w:rPr>
          <w:noProof/>
          <w:lang w:val="de-DE"/>
        </w:rPr>
        <w:t xml:space="preserve">Bereitstellungsmechanismus besteht in der Gewährung von Zuschüssen an die Gemeinden). Die finanzierten Projekte können Folgendes betreffen: häusliche Altenpflege; gemeinschaftliche Krankenschwestern und Hebammen; Stärkung kleiner Krankenhäuser (ohne Erste </w:t>
      </w:r>
      <w:r w:rsidRPr="00170422">
        <w:rPr>
          <w:noProof/>
          <w:lang w:val="de-DE"/>
        </w:rPr>
        <w:t>Hilfe) oder einiger grundlegender Dienstleistungen (z. B. Radiologie, Kardiologie, Gynäkologie) und ambulanter Zentren; Infrastrukturen für die Hubschrauberrettung; Stärkung der Behindertenzentren; Beratungszentren, kulturelle Dienstleistungen, Sportdienst</w:t>
      </w:r>
      <w:r w:rsidRPr="00170422">
        <w:rPr>
          <w:noProof/>
          <w:lang w:val="de-DE"/>
        </w:rPr>
        <w:t>leistungen und die Aufnahme von Migranten. Die Maßnahme sieht entweder die Schaffung neuer Dienste und Infrastrukturen oder die Verbesserung bestehender Dienste und Infrastrukturen durch Erhöhung der Zahl der Empfänger oder der Qualität der Versorgung vor.</w:t>
      </w:r>
      <w:r w:rsidRPr="00170422">
        <w:rPr>
          <w:noProof/>
          <w:lang w:val="de-DE"/>
        </w:rPr>
        <w:t xml:space="preserve"> </w:t>
      </w:r>
    </w:p>
    <w:p w14:paraId="7299BA2D" w14:textId="77777777" w:rsidR="0057163C" w:rsidRPr="00170422" w:rsidRDefault="00F37BF9">
      <w:pPr>
        <w:spacing w:before="120" w:after="120"/>
        <w:jc w:val="both"/>
        <w:rPr>
          <w:rFonts w:ascii="Times New Roman" w:hAnsi="Times New Roman" w:cs="Times New Roman"/>
          <w:b/>
          <w:bCs/>
          <w:noProof/>
          <w:lang w:val="de-DE"/>
        </w:rPr>
      </w:pPr>
      <w:r w:rsidRPr="00170422">
        <w:rPr>
          <w:rFonts w:ascii="Times New Roman" w:hAnsi="Times New Roman" w:cs="Times New Roman"/>
          <w:noProof/>
          <w:lang w:val="de-DE"/>
        </w:rPr>
        <w:t>Um sicherzustellen, dass die Maßnahme den technischen Leitlinien „Vermeidung erheblicher Beeinträchtigungen“ (2021/C58/01) entspricht, schließen die in den Leistungsbeschreibungen für künftige Aufforderungen zur Einreichung von Projektvorschlägen enthalt</w:t>
      </w:r>
      <w:r w:rsidRPr="00170422">
        <w:rPr>
          <w:rFonts w:ascii="Times New Roman" w:hAnsi="Times New Roman" w:cs="Times New Roman"/>
          <w:noProof/>
          <w:lang w:val="de-DE"/>
        </w:rPr>
        <w:t>enen Förderkriterien die folgende Liste von Tätigkeiten aus:</w:t>
      </w:r>
      <w:r w:rsidRPr="00170422">
        <w:rPr>
          <w:rFonts w:ascii="Times New Roman" w:hAnsi="Times New Roman" w:cs="Times New Roman"/>
          <w:noProof/>
          <w:color w:val="FF0000"/>
          <w:lang w:val="de-DE"/>
        </w:rPr>
        <w:t xml:space="preserve"> </w:t>
      </w:r>
      <w:r w:rsidRPr="00170422">
        <w:rPr>
          <w:rFonts w:ascii="Times New Roman" w:hAnsi="Times New Roman" w:cs="Times New Roman"/>
          <w:noProof/>
          <w:lang w:val="de-DE"/>
        </w:rPr>
        <w:t>I) Tätigkeiten im Zusammenhang mit fossilen Brennstoffen, einschließlich nachgelagerter Nutzung</w:t>
      </w:r>
      <w:r w:rsidRPr="00170422">
        <w:rPr>
          <w:rStyle w:val="FootnoteReference"/>
          <w:rFonts w:ascii="Times New Roman" w:hAnsi="Times New Roman" w:cs="Times New Roman"/>
          <w:noProof/>
          <w:lang w:val="de-DE"/>
        </w:rPr>
        <w:footnoteReference w:id="93"/>
      </w:r>
      <w:r w:rsidRPr="00170422">
        <w:rPr>
          <w:rFonts w:ascii="Times New Roman" w:hAnsi="Times New Roman" w:cs="Times New Roman"/>
          <w:noProof/>
          <w:lang w:val="de-DE"/>
        </w:rPr>
        <w:t>; II) Tätigkeiten im Rahmen des EU-Emissionshandelssystems (EHS), mit denen prognostizierte Treibha</w:t>
      </w:r>
      <w:r w:rsidRPr="00170422">
        <w:rPr>
          <w:rFonts w:ascii="Times New Roman" w:hAnsi="Times New Roman" w:cs="Times New Roman"/>
          <w:noProof/>
          <w:lang w:val="de-DE"/>
        </w:rPr>
        <w:t>usgasemissionen erreicht werden, die nicht unter den einschlägigen Referenzwerten liegen</w:t>
      </w:r>
      <w:r w:rsidRPr="00170422">
        <w:rPr>
          <w:rStyle w:val="FootnoteReference"/>
          <w:rFonts w:ascii="Times New Roman" w:hAnsi="Times New Roman" w:cs="Times New Roman"/>
          <w:noProof/>
          <w:lang w:val="de-DE"/>
        </w:rPr>
        <w:footnoteReference w:id="94"/>
      </w:r>
      <w:r w:rsidRPr="00170422">
        <w:rPr>
          <w:rFonts w:ascii="Times New Roman" w:hAnsi="Times New Roman" w:cs="Times New Roman"/>
          <w:noProof/>
          <w:lang w:val="de-DE"/>
        </w:rPr>
        <w:t>; III) Tätigkeiten im Zusammenhang mit Abfalldeponien, Verbrennungsanlagen</w:t>
      </w:r>
      <w:r w:rsidRPr="00170422">
        <w:rPr>
          <w:rStyle w:val="FootnoteReference"/>
          <w:rFonts w:ascii="Times New Roman" w:hAnsi="Times New Roman" w:cs="Times New Roman"/>
          <w:noProof/>
          <w:lang w:val="de-DE"/>
        </w:rPr>
        <w:footnoteReference w:id="95"/>
      </w:r>
      <w:r w:rsidRPr="00170422">
        <w:rPr>
          <w:rFonts w:ascii="Times New Roman" w:hAnsi="Times New Roman" w:cs="Times New Roman"/>
          <w:noProof/>
          <w:lang w:val="de-DE"/>
        </w:rPr>
        <w:t xml:space="preserve"> und Anlagen zur mechanisch-biologischen Behandlung</w:t>
      </w:r>
      <w:r w:rsidRPr="00170422">
        <w:rPr>
          <w:rStyle w:val="FootnoteReference"/>
          <w:rFonts w:ascii="Times New Roman" w:hAnsi="Times New Roman" w:cs="Times New Roman"/>
          <w:noProof/>
          <w:lang w:val="de-DE"/>
        </w:rPr>
        <w:footnoteReference w:id="96"/>
      </w:r>
      <w:r w:rsidRPr="00170422">
        <w:rPr>
          <w:rFonts w:ascii="Times New Roman" w:hAnsi="Times New Roman" w:cs="Times New Roman"/>
          <w:noProof/>
          <w:lang w:val="de-DE"/>
        </w:rPr>
        <w:t xml:space="preserve">; und iv) Tätigkeiten, bei denen die </w:t>
      </w:r>
      <w:r w:rsidRPr="00170422">
        <w:rPr>
          <w:rFonts w:ascii="Times New Roman" w:hAnsi="Times New Roman" w:cs="Times New Roman"/>
          <w:noProof/>
          <w:lang w:val="de-DE"/>
        </w:rPr>
        <w:t>langfristige Beseitigung von Abfällen der Umwelt schaden kann. In der Leistungsbeschreibung wird darüber hinaus vorgeschrieben, dass nur Tätigkeiten ausgewählt werden dürfen, die mit den einschlägigen Umweltvorschriften der EU und der Mitgliedstaaten im Ei</w:t>
      </w:r>
      <w:r w:rsidRPr="00170422">
        <w:rPr>
          <w:rFonts w:ascii="Times New Roman" w:hAnsi="Times New Roman" w:cs="Times New Roman"/>
          <w:noProof/>
          <w:lang w:val="de-DE"/>
        </w:rPr>
        <w:t>nklang stehen.</w:t>
      </w:r>
    </w:p>
    <w:p w14:paraId="0E88465D" w14:textId="77777777" w:rsidR="0057163C" w:rsidRPr="00170422" w:rsidRDefault="00F37BF9">
      <w:pPr>
        <w:pStyle w:val="P68B1DB1-Normal5"/>
        <w:spacing w:before="120" w:after="120"/>
        <w:jc w:val="both"/>
        <w:rPr>
          <w:bCs/>
          <w:noProof/>
          <w:lang w:val="de-DE"/>
        </w:rPr>
      </w:pPr>
      <w:r w:rsidRPr="00170422">
        <w:rPr>
          <w:noProof/>
          <w:lang w:val="de-DE"/>
        </w:rPr>
        <w:t xml:space="preserve">Investition 1.1.2: Gebietsnahe Gesundheitseinrichtungen </w:t>
      </w:r>
    </w:p>
    <w:p w14:paraId="1D00148F" w14:textId="77777777" w:rsidR="0057163C" w:rsidRPr="00170422" w:rsidRDefault="00F37BF9">
      <w:pPr>
        <w:pStyle w:val="P68B1DB1-Normal7"/>
        <w:spacing w:before="120" w:after="120"/>
        <w:jc w:val="both"/>
        <w:rPr>
          <w:b/>
          <w:noProof/>
          <w:lang w:val="de-DE"/>
        </w:rPr>
      </w:pPr>
      <w:r w:rsidRPr="00170422">
        <w:rPr>
          <w:noProof/>
          <w:lang w:val="de-DE"/>
        </w:rPr>
        <w:t>Ziel der Maßnahme ist es, die Rolle ländlicher Apotheken bei der Erbringung von Gesundheitsdienstleistungen für die lokale Bevölkerung zu stärken, z. B. integrierte häusliche Assistenz</w:t>
      </w:r>
      <w:r w:rsidRPr="00170422">
        <w:rPr>
          <w:noProof/>
          <w:lang w:val="de-DE"/>
        </w:rPr>
        <w:t xml:space="preserve"> und Patientenüberwachung, wodurch wiederum die Interaktion zwischen Patienten und nationalen Gesundheitssystemen erleichtert wird. Die Investition besteht in der finanziellen Unterstützung ländlicher Apotheken.</w:t>
      </w:r>
    </w:p>
    <w:p w14:paraId="27218353" w14:textId="77777777" w:rsidR="0057163C" w:rsidRPr="00170422" w:rsidRDefault="00F37BF9">
      <w:pPr>
        <w:pStyle w:val="P68B1DB1-Normal5"/>
        <w:jc w:val="both"/>
        <w:rPr>
          <w:bCs/>
          <w:noProof/>
          <w:lang w:val="de-DE"/>
        </w:rPr>
      </w:pPr>
      <w:r w:rsidRPr="00170422">
        <w:rPr>
          <w:noProof/>
          <w:lang w:val="de-DE"/>
        </w:rPr>
        <w:t>Investition 1.3: Strukturierte sozialpädagog</w:t>
      </w:r>
      <w:r w:rsidRPr="00170422">
        <w:rPr>
          <w:noProof/>
          <w:lang w:val="de-DE"/>
        </w:rPr>
        <w:t>ische Maßnahmen zur Bekämpfung der Bildungsarmut im Süden zur Unterstützung des dritten Sektors</w:t>
      </w:r>
    </w:p>
    <w:p w14:paraId="700F0740" w14:textId="57A4AD01" w:rsidR="0057163C" w:rsidRPr="00170422" w:rsidRDefault="00F37BF9">
      <w:pPr>
        <w:pStyle w:val="P68B1DB1-Normal7"/>
        <w:spacing w:before="120" w:after="120"/>
        <w:jc w:val="both"/>
        <w:rPr>
          <w:noProof/>
          <w:lang w:val="de-DE"/>
        </w:rPr>
      </w:pPr>
      <w:r w:rsidRPr="00170422">
        <w:rPr>
          <w:noProof/>
          <w:lang w:val="de-DE"/>
        </w:rPr>
        <w:t>Ziel dieser Maßnahme ist die Bereitstellung sozialpädagogischer Dienstleistungen für Minderjährige, die Verbesserung des Zugangs zu Kinderbetreuung und Bildungs</w:t>
      </w:r>
      <w:r w:rsidRPr="00170422">
        <w:rPr>
          <w:noProof/>
          <w:lang w:val="de-DE"/>
        </w:rPr>
        <w:t>möglichkeiten sowie die Verhinderung von Schulabbruch und Schulabbruch. Die Investition besteht in Maßnahmen zur Unterstützung des Bildungswesens, die von Organisationen des dritten Sektors geleitet werden.</w:t>
      </w:r>
    </w:p>
    <w:p w14:paraId="4BB7C4AB" w14:textId="77777777" w:rsidR="0057163C" w:rsidRPr="00170422" w:rsidRDefault="0057163C">
      <w:pPr>
        <w:spacing w:before="120" w:after="120"/>
        <w:jc w:val="both"/>
        <w:rPr>
          <w:rFonts w:ascii="Times New Roman" w:hAnsi="Times New Roman" w:cs="Times New Roman"/>
          <w:noProof/>
          <w:lang w:val="de-DE"/>
        </w:rPr>
        <w:sectPr w:rsidR="0057163C" w:rsidRPr="00170422" w:rsidSect="005F11B9">
          <w:headerReference w:type="even" r:id="rId260"/>
          <w:headerReference w:type="default" r:id="rId261"/>
          <w:footerReference w:type="even" r:id="rId262"/>
          <w:footerReference w:type="default" r:id="rId263"/>
          <w:headerReference w:type="first" r:id="rId264"/>
          <w:footerReference w:type="first" r:id="rId265"/>
          <w:pgSz w:w="11907" w:h="16839"/>
          <w:pgMar w:top="720" w:right="720" w:bottom="720" w:left="720" w:header="709" w:footer="709" w:gutter="0"/>
          <w:cols w:space="720"/>
          <w:docGrid w:linePitch="360"/>
        </w:sectPr>
      </w:pPr>
    </w:p>
    <w:p w14:paraId="7336A3EA" w14:textId="77777777" w:rsidR="0057163C" w:rsidRPr="00170422" w:rsidRDefault="00F37BF9">
      <w:pPr>
        <w:pStyle w:val="P68B1DB1-Heading39"/>
        <w:ind w:left="850" w:hanging="850"/>
        <w:rPr>
          <w:b/>
          <w:bCs/>
          <w:i/>
          <w:iCs/>
          <w:noProof/>
          <w:lang w:val="de-DE"/>
        </w:rPr>
      </w:pPr>
      <w:r w:rsidRPr="00170422">
        <w:rPr>
          <w:b/>
          <w:noProof/>
          <w:lang w:val="de-DE"/>
        </w:rPr>
        <w:t xml:space="preserve">N.2. </w:t>
      </w:r>
      <w:r w:rsidRPr="00170422">
        <w:rPr>
          <w:noProof/>
          <w:lang w:val="de-DE"/>
        </w:rPr>
        <w:t xml:space="preserve"> </w:t>
      </w:r>
      <w:r w:rsidRPr="00170422">
        <w:rPr>
          <w:b/>
          <w:noProof/>
          <w:lang w:val="de-DE"/>
        </w:rPr>
        <w:t>Etappenziele, Zielwerte, Indikatoren und Zeitplan für die Überwachung und Durchführung der nicht rückzahlbaren finanziellen Unterstützung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605"/>
        <w:gridCol w:w="1513"/>
        <w:gridCol w:w="1843"/>
        <w:gridCol w:w="1661"/>
        <w:gridCol w:w="1174"/>
        <w:gridCol w:w="1418"/>
        <w:gridCol w:w="850"/>
        <w:gridCol w:w="851"/>
        <w:gridCol w:w="850"/>
        <w:gridCol w:w="2891"/>
      </w:tblGrid>
      <w:tr w:rsidR="00D37F8B" w:rsidRPr="00170422" w14:paraId="4DFB6C73" w14:textId="77777777" w:rsidTr="00D37F8B">
        <w:trPr>
          <w:trHeight w:val="927"/>
          <w:tblHeader/>
        </w:trPr>
        <w:tc>
          <w:tcPr>
            <w:tcW w:w="959" w:type="dxa"/>
            <w:vMerge w:val="restart"/>
            <w:shd w:val="clear" w:color="auto" w:fill="BDD7EE"/>
            <w:vAlign w:val="center"/>
            <w:hideMark/>
          </w:tcPr>
          <w:p w14:paraId="123B2E96" w14:textId="77777777" w:rsidR="0057163C" w:rsidRPr="00170422" w:rsidRDefault="00F37BF9">
            <w:pPr>
              <w:pStyle w:val="P68B1DB1-Normal10"/>
              <w:jc w:val="center"/>
              <w:rPr>
                <w:noProof/>
                <w:szCs w:val="20"/>
                <w:lang w:val="de-DE"/>
              </w:rPr>
            </w:pPr>
            <w:r w:rsidRPr="00170422">
              <w:rPr>
                <w:noProof/>
                <w:lang w:val="de-DE"/>
              </w:rPr>
              <w:t>Laufende Nummer</w:t>
            </w:r>
          </w:p>
        </w:tc>
        <w:tc>
          <w:tcPr>
            <w:tcW w:w="1605" w:type="dxa"/>
            <w:vMerge w:val="restart"/>
            <w:shd w:val="clear" w:color="auto" w:fill="BDD7EE"/>
            <w:vAlign w:val="center"/>
            <w:hideMark/>
          </w:tcPr>
          <w:p w14:paraId="0376FD99"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513" w:type="dxa"/>
            <w:vMerge w:val="restart"/>
            <w:shd w:val="clear" w:color="auto" w:fill="BDD7EE"/>
            <w:vAlign w:val="center"/>
            <w:hideMark/>
          </w:tcPr>
          <w:p w14:paraId="06EB868A" w14:textId="648CA053" w:rsidR="0057163C" w:rsidRPr="00170422" w:rsidRDefault="00F37BF9">
            <w:pPr>
              <w:pStyle w:val="P68B1DB1-Normal10"/>
              <w:jc w:val="center"/>
              <w:rPr>
                <w:noProof/>
                <w:szCs w:val="20"/>
                <w:lang w:val="de-DE"/>
              </w:rPr>
            </w:pPr>
            <w:r w:rsidRPr="00170422">
              <w:rPr>
                <w:noProof/>
                <w:lang w:val="de-DE"/>
              </w:rPr>
              <w:t>Etappenziel/</w:t>
            </w:r>
            <w:r w:rsidR="00D37F8B" w:rsidRPr="00170422">
              <w:rPr>
                <w:noProof/>
                <w:lang w:val="de-DE"/>
              </w:rPr>
              <w:br/>
            </w:r>
            <w:r w:rsidRPr="00170422">
              <w:rPr>
                <w:noProof/>
                <w:lang w:val="de-DE"/>
              </w:rPr>
              <w:t>Zielwert</w:t>
            </w:r>
          </w:p>
        </w:tc>
        <w:tc>
          <w:tcPr>
            <w:tcW w:w="1843" w:type="dxa"/>
            <w:vMerge w:val="restart"/>
            <w:shd w:val="clear" w:color="auto" w:fill="BDD7EE"/>
            <w:vAlign w:val="center"/>
            <w:hideMark/>
          </w:tcPr>
          <w:p w14:paraId="14951934" w14:textId="77777777" w:rsidR="0057163C" w:rsidRPr="00170422" w:rsidRDefault="00F37BF9">
            <w:pPr>
              <w:pStyle w:val="P68B1DB1-Normal10"/>
              <w:jc w:val="center"/>
              <w:rPr>
                <w:noProof/>
                <w:szCs w:val="20"/>
                <w:lang w:val="de-DE"/>
              </w:rPr>
            </w:pPr>
            <w:r w:rsidRPr="00170422">
              <w:rPr>
                <w:noProof/>
                <w:lang w:val="de-DE"/>
              </w:rPr>
              <w:t>Namen</w:t>
            </w:r>
          </w:p>
        </w:tc>
        <w:tc>
          <w:tcPr>
            <w:tcW w:w="1661" w:type="dxa"/>
            <w:vMerge w:val="restart"/>
            <w:shd w:val="clear" w:color="auto" w:fill="BDD7EE"/>
            <w:vAlign w:val="center"/>
            <w:hideMark/>
          </w:tcPr>
          <w:p w14:paraId="36F494CA" w14:textId="66B7A1CB"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D37F8B"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442" w:type="dxa"/>
            <w:gridSpan w:val="3"/>
            <w:shd w:val="clear" w:color="auto" w:fill="BDD7EE"/>
            <w:vAlign w:val="center"/>
            <w:hideMark/>
          </w:tcPr>
          <w:p w14:paraId="5FFCEC5D"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701" w:type="dxa"/>
            <w:gridSpan w:val="2"/>
            <w:shd w:val="clear" w:color="auto" w:fill="BDD7EE"/>
            <w:vAlign w:val="center"/>
            <w:hideMark/>
          </w:tcPr>
          <w:p w14:paraId="0504839B"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2891" w:type="dxa"/>
            <w:vMerge w:val="restart"/>
            <w:shd w:val="clear" w:color="auto" w:fill="BDD7EE"/>
            <w:vAlign w:val="center"/>
            <w:hideMark/>
          </w:tcPr>
          <w:p w14:paraId="1939804B"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D37F8B" w:rsidRPr="00170422" w14:paraId="27677DB2" w14:textId="77777777" w:rsidTr="00D37F8B">
        <w:trPr>
          <w:trHeight w:val="1013"/>
          <w:tblHeader/>
        </w:trPr>
        <w:tc>
          <w:tcPr>
            <w:tcW w:w="959" w:type="dxa"/>
            <w:vMerge/>
            <w:vAlign w:val="center"/>
            <w:hideMark/>
          </w:tcPr>
          <w:p w14:paraId="417C6240" w14:textId="77777777" w:rsidR="0057163C" w:rsidRPr="00170422" w:rsidRDefault="0057163C">
            <w:pPr>
              <w:jc w:val="center"/>
              <w:rPr>
                <w:rFonts w:ascii="Arial Narrow" w:hAnsi="Arial Narrow"/>
                <w:b/>
                <w:noProof/>
                <w:sz w:val="20"/>
                <w:szCs w:val="20"/>
                <w:lang w:val="de-DE"/>
              </w:rPr>
            </w:pPr>
          </w:p>
        </w:tc>
        <w:tc>
          <w:tcPr>
            <w:tcW w:w="1605" w:type="dxa"/>
            <w:vMerge/>
            <w:vAlign w:val="center"/>
            <w:hideMark/>
          </w:tcPr>
          <w:p w14:paraId="5BD20F5C" w14:textId="77777777" w:rsidR="0057163C" w:rsidRPr="00170422" w:rsidRDefault="0057163C">
            <w:pPr>
              <w:jc w:val="center"/>
              <w:rPr>
                <w:rFonts w:ascii="Arial Narrow" w:hAnsi="Arial Narrow"/>
                <w:b/>
                <w:noProof/>
                <w:sz w:val="20"/>
                <w:szCs w:val="20"/>
                <w:lang w:val="de-DE"/>
              </w:rPr>
            </w:pPr>
          </w:p>
        </w:tc>
        <w:tc>
          <w:tcPr>
            <w:tcW w:w="1513" w:type="dxa"/>
            <w:vMerge/>
            <w:vAlign w:val="center"/>
            <w:hideMark/>
          </w:tcPr>
          <w:p w14:paraId="24A41BA8" w14:textId="77777777" w:rsidR="0057163C" w:rsidRPr="00170422" w:rsidRDefault="0057163C">
            <w:pPr>
              <w:jc w:val="center"/>
              <w:rPr>
                <w:rFonts w:ascii="Arial Narrow" w:hAnsi="Arial Narrow"/>
                <w:b/>
                <w:noProof/>
                <w:sz w:val="20"/>
                <w:szCs w:val="20"/>
                <w:lang w:val="de-DE"/>
              </w:rPr>
            </w:pPr>
          </w:p>
        </w:tc>
        <w:tc>
          <w:tcPr>
            <w:tcW w:w="1843" w:type="dxa"/>
            <w:vMerge/>
            <w:vAlign w:val="center"/>
            <w:hideMark/>
          </w:tcPr>
          <w:p w14:paraId="46C5D0B3" w14:textId="77777777" w:rsidR="0057163C" w:rsidRPr="00170422" w:rsidRDefault="0057163C">
            <w:pPr>
              <w:jc w:val="center"/>
              <w:rPr>
                <w:rFonts w:ascii="Arial Narrow" w:hAnsi="Arial Narrow"/>
                <w:b/>
                <w:noProof/>
                <w:sz w:val="20"/>
                <w:szCs w:val="20"/>
                <w:lang w:val="de-DE"/>
              </w:rPr>
            </w:pPr>
          </w:p>
        </w:tc>
        <w:tc>
          <w:tcPr>
            <w:tcW w:w="1661" w:type="dxa"/>
            <w:vMerge/>
            <w:vAlign w:val="center"/>
            <w:hideMark/>
          </w:tcPr>
          <w:p w14:paraId="2DE4469C" w14:textId="77777777" w:rsidR="0057163C" w:rsidRPr="00170422" w:rsidRDefault="0057163C">
            <w:pPr>
              <w:jc w:val="center"/>
              <w:rPr>
                <w:rFonts w:ascii="Arial Narrow" w:hAnsi="Arial Narrow"/>
                <w:b/>
                <w:noProof/>
                <w:sz w:val="20"/>
                <w:szCs w:val="20"/>
                <w:lang w:val="de-DE"/>
              </w:rPr>
            </w:pPr>
          </w:p>
        </w:tc>
        <w:tc>
          <w:tcPr>
            <w:tcW w:w="1174" w:type="dxa"/>
            <w:shd w:val="clear" w:color="auto" w:fill="BDD7EE"/>
            <w:vAlign w:val="center"/>
            <w:hideMark/>
          </w:tcPr>
          <w:p w14:paraId="29759182" w14:textId="77777777" w:rsidR="0057163C" w:rsidRPr="00170422" w:rsidRDefault="00F37BF9">
            <w:pPr>
              <w:pStyle w:val="P68B1DB1-Normal10"/>
              <w:jc w:val="center"/>
              <w:rPr>
                <w:noProof/>
                <w:szCs w:val="20"/>
                <w:lang w:val="de-DE"/>
              </w:rPr>
            </w:pPr>
            <w:r w:rsidRPr="00170422">
              <w:rPr>
                <w:noProof/>
                <w:lang w:val="de-DE"/>
              </w:rPr>
              <w:t>Maßeinheit</w:t>
            </w:r>
          </w:p>
        </w:tc>
        <w:tc>
          <w:tcPr>
            <w:tcW w:w="1418" w:type="dxa"/>
            <w:shd w:val="clear" w:color="auto" w:fill="BDD7EE"/>
            <w:vAlign w:val="center"/>
            <w:hideMark/>
          </w:tcPr>
          <w:p w14:paraId="1E5C02F8" w14:textId="77777777" w:rsidR="0057163C" w:rsidRPr="00170422" w:rsidRDefault="00F37BF9">
            <w:pPr>
              <w:pStyle w:val="P68B1DB1-Normal10"/>
              <w:jc w:val="center"/>
              <w:rPr>
                <w:noProof/>
                <w:szCs w:val="20"/>
                <w:lang w:val="de-DE"/>
              </w:rPr>
            </w:pPr>
            <w:r w:rsidRPr="00170422">
              <w:rPr>
                <w:noProof/>
                <w:lang w:val="de-DE"/>
              </w:rPr>
              <w:t>Ausgangslage</w:t>
            </w:r>
          </w:p>
        </w:tc>
        <w:tc>
          <w:tcPr>
            <w:tcW w:w="850" w:type="dxa"/>
            <w:shd w:val="clear" w:color="auto" w:fill="BDD7EE"/>
            <w:vAlign w:val="center"/>
            <w:hideMark/>
          </w:tcPr>
          <w:p w14:paraId="4AEA964C" w14:textId="77777777" w:rsidR="0057163C" w:rsidRPr="00170422" w:rsidRDefault="00F37BF9">
            <w:pPr>
              <w:pStyle w:val="P68B1DB1-Normal10"/>
              <w:jc w:val="center"/>
              <w:rPr>
                <w:noProof/>
                <w:szCs w:val="20"/>
                <w:lang w:val="de-DE"/>
              </w:rPr>
            </w:pPr>
            <w:r w:rsidRPr="00170422">
              <w:rPr>
                <w:noProof/>
                <w:lang w:val="de-DE"/>
              </w:rPr>
              <w:t>Ziel</w:t>
            </w:r>
          </w:p>
        </w:tc>
        <w:tc>
          <w:tcPr>
            <w:tcW w:w="851" w:type="dxa"/>
            <w:shd w:val="clear" w:color="auto" w:fill="BDD7EE"/>
            <w:vAlign w:val="center"/>
            <w:hideMark/>
          </w:tcPr>
          <w:p w14:paraId="2494AFE9" w14:textId="77777777" w:rsidR="0057163C" w:rsidRPr="00170422" w:rsidRDefault="00F37BF9">
            <w:pPr>
              <w:pStyle w:val="P68B1DB1-Normal10"/>
              <w:jc w:val="center"/>
              <w:rPr>
                <w:noProof/>
                <w:szCs w:val="20"/>
                <w:lang w:val="de-DE"/>
              </w:rPr>
            </w:pPr>
            <w:r w:rsidRPr="00170422">
              <w:rPr>
                <w:noProof/>
                <w:lang w:val="de-DE"/>
              </w:rPr>
              <w:t>Viertel</w:t>
            </w:r>
          </w:p>
        </w:tc>
        <w:tc>
          <w:tcPr>
            <w:tcW w:w="850" w:type="dxa"/>
            <w:shd w:val="clear" w:color="auto" w:fill="BDD7EE"/>
            <w:vAlign w:val="center"/>
            <w:hideMark/>
          </w:tcPr>
          <w:p w14:paraId="772D505D" w14:textId="77777777" w:rsidR="0057163C" w:rsidRPr="00170422" w:rsidRDefault="00F37BF9">
            <w:pPr>
              <w:pStyle w:val="P68B1DB1-Normal10"/>
              <w:jc w:val="center"/>
              <w:rPr>
                <w:noProof/>
                <w:szCs w:val="20"/>
                <w:lang w:val="de-DE"/>
              </w:rPr>
            </w:pPr>
            <w:r w:rsidRPr="00170422">
              <w:rPr>
                <w:noProof/>
                <w:lang w:val="de-DE"/>
              </w:rPr>
              <w:t>Jahre</w:t>
            </w:r>
          </w:p>
        </w:tc>
        <w:tc>
          <w:tcPr>
            <w:tcW w:w="2891" w:type="dxa"/>
            <w:vMerge/>
            <w:vAlign w:val="center"/>
            <w:hideMark/>
          </w:tcPr>
          <w:p w14:paraId="2070EE02" w14:textId="77777777" w:rsidR="0057163C" w:rsidRPr="00170422" w:rsidRDefault="0057163C">
            <w:pPr>
              <w:jc w:val="center"/>
              <w:rPr>
                <w:rFonts w:ascii="Arial Narrow" w:hAnsi="Arial Narrow"/>
                <w:b/>
                <w:noProof/>
                <w:sz w:val="20"/>
                <w:szCs w:val="20"/>
                <w:lang w:val="de-DE"/>
              </w:rPr>
            </w:pPr>
          </w:p>
        </w:tc>
      </w:tr>
      <w:tr w:rsidR="00D37F8B" w:rsidRPr="00170422" w14:paraId="7567A1AC" w14:textId="77777777" w:rsidTr="00D37F8B">
        <w:trPr>
          <w:trHeight w:val="309"/>
        </w:trPr>
        <w:tc>
          <w:tcPr>
            <w:tcW w:w="959" w:type="dxa"/>
            <w:shd w:val="clear" w:color="auto" w:fill="C6EFCE"/>
            <w:noWrap/>
            <w:vAlign w:val="center"/>
            <w:hideMark/>
          </w:tcPr>
          <w:p w14:paraId="484DEDA1" w14:textId="77777777" w:rsidR="0057163C" w:rsidRPr="00170422" w:rsidRDefault="00F37BF9">
            <w:pPr>
              <w:pStyle w:val="P68B1DB1-Normal11"/>
              <w:jc w:val="center"/>
              <w:rPr>
                <w:noProof/>
                <w:szCs w:val="20"/>
                <w:lang w:val="de-DE"/>
              </w:rPr>
            </w:pPr>
            <w:r w:rsidRPr="00170422">
              <w:rPr>
                <w:noProof/>
                <w:lang w:val="de-DE"/>
              </w:rPr>
              <w:t>M5C3-1</w:t>
            </w:r>
          </w:p>
        </w:tc>
        <w:tc>
          <w:tcPr>
            <w:tcW w:w="1605" w:type="dxa"/>
            <w:shd w:val="clear" w:color="auto" w:fill="C6EFCE"/>
            <w:noWrap/>
            <w:vAlign w:val="center"/>
            <w:hideMark/>
          </w:tcPr>
          <w:p w14:paraId="70A21CC4" w14:textId="77777777" w:rsidR="0057163C" w:rsidRPr="00170422" w:rsidRDefault="00F37BF9">
            <w:pPr>
              <w:pStyle w:val="P68B1DB1-Normal11"/>
              <w:jc w:val="center"/>
              <w:rPr>
                <w:noProof/>
                <w:szCs w:val="20"/>
                <w:lang w:val="de-DE"/>
              </w:rPr>
            </w:pPr>
            <w:r w:rsidRPr="00170422">
              <w:rPr>
                <w:noProof/>
                <w:lang w:val="de-DE"/>
              </w:rPr>
              <w:t>Investition 1.1.1: Innere Gebiete – Verbesserung der gemeinschaftlichen Sozialdienste und -infrastrukturen</w:t>
            </w:r>
          </w:p>
        </w:tc>
        <w:tc>
          <w:tcPr>
            <w:tcW w:w="1513" w:type="dxa"/>
            <w:shd w:val="clear" w:color="auto" w:fill="C6EFCE"/>
            <w:noWrap/>
            <w:vAlign w:val="center"/>
            <w:hideMark/>
          </w:tcPr>
          <w:p w14:paraId="16367EE5" w14:textId="77777777" w:rsidR="0057163C" w:rsidRPr="00170422" w:rsidRDefault="00F37BF9">
            <w:pPr>
              <w:pStyle w:val="P68B1DB1-Normal11"/>
              <w:jc w:val="center"/>
              <w:rPr>
                <w:noProof/>
                <w:szCs w:val="20"/>
                <w:lang w:val="de-DE"/>
              </w:rPr>
            </w:pPr>
            <w:r w:rsidRPr="00170422">
              <w:rPr>
                <w:noProof/>
                <w:lang w:val="de-DE"/>
              </w:rPr>
              <w:t>Meilenstein</w:t>
            </w:r>
          </w:p>
        </w:tc>
        <w:tc>
          <w:tcPr>
            <w:tcW w:w="1843" w:type="dxa"/>
            <w:shd w:val="clear" w:color="auto" w:fill="C6EFCE"/>
            <w:noWrap/>
            <w:vAlign w:val="center"/>
            <w:hideMark/>
          </w:tcPr>
          <w:p w14:paraId="43AEDC0D" w14:textId="77777777" w:rsidR="0057163C" w:rsidRPr="00170422" w:rsidRDefault="00F37BF9">
            <w:pPr>
              <w:pStyle w:val="P68B1DB1-Normal11"/>
              <w:jc w:val="center"/>
              <w:rPr>
                <w:noProof/>
                <w:szCs w:val="20"/>
                <w:lang w:val="de-DE"/>
              </w:rPr>
            </w:pPr>
            <w:r w:rsidRPr="00170422">
              <w:rPr>
                <w:noProof/>
                <w:lang w:val="de-DE"/>
              </w:rPr>
              <w:t>Vergabe der Ausschreibung für Maßnahmen zur Verbesserung der sozialen Dienstleistungen und Infrastrukturen in Binnengebieten und für die Unterstützung von Apotheken in Gemeinden mit weniger als 3000 Einwohnern</w:t>
            </w:r>
          </w:p>
        </w:tc>
        <w:tc>
          <w:tcPr>
            <w:tcW w:w="1661" w:type="dxa"/>
            <w:shd w:val="clear" w:color="auto" w:fill="C6EFCE"/>
            <w:noWrap/>
            <w:vAlign w:val="center"/>
            <w:hideMark/>
          </w:tcPr>
          <w:p w14:paraId="263CB5CB" w14:textId="77777777" w:rsidR="0057163C" w:rsidRPr="00170422" w:rsidRDefault="00F37BF9">
            <w:pPr>
              <w:pStyle w:val="P68B1DB1-Normal11"/>
              <w:jc w:val="center"/>
              <w:rPr>
                <w:noProof/>
                <w:szCs w:val="20"/>
                <w:lang w:val="de-DE"/>
              </w:rPr>
            </w:pPr>
            <w:r w:rsidRPr="00170422">
              <w:rPr>
                <w:noProof/>
                <w:lang w:val="de-DE"/>
              </w:rPr>
              <w:t>Mitteilung über die Vergabe aller öffentlichen</w:t>
            </w:r>
            <w:r w:rsidRPr="00170422">
              <w:rPr>
                <w:noProof/>
                <w:lang w:val="de-DE"/>
              </w:rPr>
              <w:t xml:space="preserve"> Aufträge für die Interventionen</w:t>
            </w:r>
          </w:p>
        </w:tc>
        <w:tc>
          <w:tcPr>
            <w:tcW w:w="1174" w:type="dxa"/>
            <w:shd w:val="clear" w:color="auto" w:fill="C6EFCE"/>
            <w:noWrap/>
            <w:vAlign w:val="center"/>
            <w:hideMark/>
          </w:tcPr>
          <w:p w14:paraId="0216E2C6"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hideMark/>
          </w:tcPr>
          <w:p w14:paraId="430677FB" w14:textId="77777777" w:rsidR="0057163C" w:rsidRPr="00170422" w:rsidRDefault="00F37BF9">
            <w:pPr>
              <w:pStyle w:val="P68B1DB1-Normal11"/>
              <w:jc w:val="center"/>
              <w:rPr>
                <w:noProof/>
                <w:szCs w:val="20"/>
                <w:lang w:val="de-DE"/>
              </w:rPr>
            </w:pPr>
            <w:r w:rsidRPr="00170422">
              <w:rPr>
                <w:noProof/>
                <w:lang w:val="de-DE"/>
              </w:rPr>
              <w:t>ENTFÄLLT.</w:t>
            </w:r>
          </w:p>
        </w:tc>
        <w:tc>
          <w:tcPr>
            <w:tcW w:w="850" w:type="dxa"/>
            <w:shd w:val="clear" w:color="auto" w:fill="C6EFCE"/>
            <w:noWrap/>
            <w:vAlign w:val="center"/>
            <w:hideMark/>
          </w:tcPr>
          <w:p w14:paraId="6A35BEE9"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noWrap/>
            <w:vAlign w:val="center"/>
            <w:hideMark/>
          </w:tcPr>
          <w:p w14:paraId="2AE9E29D" w14:textId="77777777" w:rsidR="0057163C" w:rsidRPr="00170422" w:rsidRDefault="00F37BF9">
            <w:pPr>
              <w:pStyle w:val="P68B1DB1-Normal11"/>
              <w:jc w:val="center"/>
              <w:rPr>
                <w:noProof/>
                <w:szCs w:val="20"/>
                <w:lang w:val="de-DE"/>
              </w:rPr>
            </w:pPr>
            <w:r w:rsidRPr="00170422">
              <w:rPr>
                <w:noProof/>
                <w:lang w:val="de-DE"/>
              </w:rPr>
              <w:t>4. QUARTAL</w:t>
            </w:r>
          </w:p>
        </w:tc>
        <w:tc>
          <w:tcPr>
            <w:tcW w:w="850" w:type="dxa"/>
            <w:shd w:val="clear" w:color="auto" w:fill="C6EFCE"/>
            <w:noWrap/>
            <w:vAlign w:val="center"/>
            <w:hideMark/>
          </w:tcPr>
          <w:p w14:paraId="69A75F13" w14:textId="77777777" w:rsidR="0057163C" w:rsidRPr="00170422" w:rsidRDefault="00F37BF9">
            <w:pPr>
              <w:pStyle w:val="P68B1DB1-Normal11"/>
              <w:jc w:val="center"/>
              <w:rPr>
                <w:noProof/>
                <w:szCs w:val="20"/>
                <w:lang w:val="de-DE"/>
              </w:rPr>
            </w:pPr>
            <w:r w:rsidRPr="00170422">
              <w:rPr>
                <w:noProof/>
                <w:lang w:val="de-DE"/>
              </w:rPr>
              <w:t>2022</w:t>
            </w:r>
          </w:p>
        </w:tc>
        <w:tc>
          <w:tcPr>
            <w:tcW w:w="2891" w:type="dxa"/>
            <w:shd w:val="clear" w:color="auto" w:fill="C6EFCE"/>
            <w:noWrap/>
            <w:vAlign w:val="center"/>
            <w:hideMark/>
          </w:tcPr>
          <w:p w14:paraId="54F74507" w14:textId="77777777" w:rsidR="0057163C" w:rsidRPr="00170422" w:rsidRDefault="00F37BF9">
            <w:pPr>
              <w:pStyle w:val="P68B1DB1-Normal11"/>
              <w:rPr>
                <w:noProof/>
                <w:szCs w:val="20"/>
                <w:lang w:val="de-DE"/>
              </w:rPr>
            </w:pPr>
            <w:r w:rsidRPr="00170422">
              <w:rPr>
                <w:noProof/>
                <w:lang w:val="de-DE"/>
              </w:rPr>
              <w:t>Mit der Intervention werden neue Dienste und Infrastrukturen geschaffen oder die bestehenden durch eine Erhöhung der Zahl der Empfänger oder der Qualität der Versorgung verbesse</w:t>
            </w:r>
            <w:r w:rsidRPr="00170422">
              <w:rPr>
                <w:noProof/>
                <w:lang w:val="de-DE"/>
              </w:rPr>
              <w:t>rt.</w:t>
            </w:r>
          </w:p>
          <w:p w14:paraId="2D1FF150" w14:textId="77777777" w:rsidR="0057163C" w:rsidRPr="00170422" w:rsidRDefault="00F37BF9">
            <w:pPr>
              <w:pStyle w:val="P68B1DB1-Normal11"/>
              <w:rPr>
                <w:noProof/>
                <w:szCs w:val="20"/>
                <w:lang w:val="de-DE"/>
              </w:rPr>
            </w:pPr>
            <w:r w:rsidRPr="00170422">
              <w:rPr>
                <w:noProof/>
                <w:lang w:val="de-DE"/>
              </w:rPr>
              <w:t xml:space="preserve">Alle wettbewerblichen Aufforderungen zur Einreichung von Vorschlägen werden mit einer Leistungsbeschreibung einschließlich Förderfähigkeitskriterien durchgeführt, die sicherstellen, dass die ausgewählten Projekte den technischen Leitlinien „Vermeidung </w:t>
            </w:r>
            <w:r w:rsidRPr="00170422">
              <w:rPr>
                <w:noProof/>
                <w:lang w:val="de-DE"/>
              </w:rPr>
              <w:t>erheblicher Beeinträchtigungen“ (2021/C58/01) entsprechen, indem eine Ausschlussliste verwendet wird und die einschlägigen Umweltvorschriften der EU und der Mitgliedstaaten eingehalten werden.</w:t>
            </w:r>
          </w:p>
          <w:p w14:paraId="3D7966C0" w14:textId="77777777" w:rsidR="0057163C" w:rsidRPr="00170422" w:rsidRDefault="00F37BF9">
            <w:pPr>
              <w:pStyle w:val="P68B1DB1-Normal11"/>
              <w:rPr>
                <w:noProof/>
                <w:szCs w:val="20"/>
                <w:lang w:val="de-DE"/>
              </w:rPr>
            </w:pPr>
            <w:r w:rsidRPr="00170422">
              <w:rPr>
                <w:noProof/>
                <w:lang w:val="de-DE"/>
              </w:rPr>
              <w:t>Innere Gebiete sind die in der Strategia Nazionale Aree Interne</w:t>
            </w:r>
            <w:r w:rsidRPr="00170422">
              <w:rPr>
                <w:noProof/>
                <w:lang w:val="de-DE"/>
              </w:rPr>
              <w:t xml:space="preserve"> ausgewiesenen Gebiete; Die ländlichen Apotheken werden auf der Grundlage des Gesetzes definiert. 27. März 1968, Nr. 221.</w:t>
            </w:r>
          </w:p>
        </w:tc>
      </w:tr>
      <w:tr w:rsidR="00D37F8B" w:rsidRPr="00170422" w14:paraId="3A53744E" w14:textId="77777777" w:rsidTr="00D37F8B">
        <w:trPr>
          <w:trHeight w:val="309"/>
        </w:trPr>
        <w:tc>
          <w:tcPr>
            <w:tcW w:w="959" w:type="dxa"/>
            <w:shd w:val="clear" w:color="auto" w:fill="C6EFCE"/>
            <w:noWrap/>
            <w:vAlign w:val="center"/>
            <w:hideMark/>
          </w:tcPr>
          <w:p w14:paraId="23B24018" w14:textId="77777777" w:rsidR="0057163C" w:rsidRPr="00170422" w:rsidRDefault="00F37BF9">
            <w:pPr>
              <w:pStyle w:val="P68B1DB1-Normal11"/>
              <w:jc w:val="center"/>
              <w:rPr>
                <w:noProof/>
                <w:szCs w:val="20"/>
                <w:lang w:val="de-DE"/>
              </w:rPr>
            </w:pPr>
            <w:r w:rsidRPr="00170422">
              <w:rPr>
                <w:noProof/>
                <w:lang w:val="de-DE"/>
              </w:rPr>
              <w:t>M5C3-3</w:t>
            </w:r>
          </w:p>
        </w:tc>
        <w:tc>
          <w:tcPr>
            <w:tcW w:w="1605" w:type="dxa"/>
            <w:shd w:val="clear" w:color="auto" w:fill="C6EFCE"/>
            <w:noWrap/>
            <w:vAlign w:val="center"/>
            <w:hideMark/>
          </w:tcPr>
          <w:p w14:paraId="08518EE5" w14:textId="77777777" w:rsidR="0057163C" w:rsidRPr="00170422" w:rsidRDefault="00F37BF9">
            <w:pPr>
              <w:pStyle w:val="P68B1DB1-Normal11"/>
              <w:jc w:val="center"/>
              <w:rPr>
                <w:noProof/>
                <w:szCs w:val="20"/>
                <w:lang w:val="de-DE"/>
              </w:rPr>
            </w:pPr>
            <w:r w:rsidRPr="00170422">
              <w:rPr>
                <w:noProof/>
                <w:lang w:val="de-DE"/>
              </w:rPr>
              <w:t>Investition 1.1.2: Gesundheitseinrichtungen in räumlicher Nähe</w:t>
            </w:r>
          </w:p>
        </w:tc>
        <w:tc>
          <w:tcPr>
            <w:tcW w:w="1513" w:type="dxa"/>
            <w:shd w:val="clear" w:color="auto" w:fill="C6EFCE"/>
            <w:noWrap/>
            <w:vAlign w:val="center"/>
            <w:hideMark/>
          </w:tcPr>
          <w:p w14:paraId="3BE3A72E" w14:textId="77777777" w:rsidR="0057163C" w:rsidRPr="00170422" w:rsidRDefault="00F37BF9">
            <w:pPr>
              <w:pStyle w:val="P68B1DB1-Normal11"/>
              <w:jc w:val="center"/>
              <w:rPr>
                <w:noProof/>
                <w:szCs w:val="20"/>
                <w:lang w:val="de-DE"/>
              </w:rPr>
            </w:pPr>
            <w:r w:rsidRPr="00170422">
              <w:rPr>
                <w:noProof/>
                <w:lang w:val="de-DE"/>
              </w:rPr>
              <w:t>Ziel</w:t>
            </w:r>
          </w:p>
        </w:tc>
        <w:tc>
          <w:tcPr>
            <w:tcW w:w="1843" w:type="dxa"/>
            <w:shd w:val="clear" w:color="auto" w:fill="C6EFCE"/>
            <w:noWrap/>
            <w:vAlign w:val="center"/>
            <w:hideMark/>
          </w:tcPr>
          <w:p w14:paraId="27916E33" w14:textId="77777777" w:rsidR="0057163C" w:rsidRPr="00170422" w:rsidRDefault="00F37BF9">
            <w:pPr>
              <w:pStyle w:val="P68B1DB1-Normal11"/>
              <w:jc w:val="center"/>
              <w:rPr>
                <w:noProof/>
                <w:szCs w:val="20"/>
                <w:lang w:val="de-DE"/>
              </w:rPr>
            </w:pPr>
            <w:r w:rsidRPr="00170422">
              <w:rPr>
                <w:noProof/>
                <w:lang w:val="de-DE"/>
              </w:rPr>
              <w:t xml:space="preserve">Förderung ländlicher Apotheken in Gemeinden, Hamlets oder </w:t>
            </w:r>
            <w:r w:rsidRPr="00170422">
              <w:rPr>
                <w:noProof/>
                <w:lang w:val="de-DE"/>
              </w:rPr>
              <w:t>Siedlungen mit weniger als 5000 Einwohnern (erste Charge)</w:t>
            </w:r>
          </w:p>
        </w:tc>
        <w:tc>
          <w:tcPr>
            <w:tcW w:w="1661" w:type="dxa"/>
            <w:shd w:val="clear" w:color="auto" w:fill="C6EFCE"/>
            <w:noWrap/>
            <w:vAlign w:val="center"/>
            <w:hideMark/>
          </w:tcPr>
          <w:p w14:paraId="113D4FE1" w14:textId="77777777" w:rsidR="0057163C" w:rsidRPr="00170422" w:rsidRDefault="00F37BF9">
            <w:pPr>
              <w:pStyle w:val="P68B1DB1-Normal11"/>
              <w:jc w:val="center"/>
              <w:rPr>
                <w:noProof/>
                <w:szCs w:val="20"/>
                <w:lang w:val="de-DE"/>
              </w:rPr>
            </w:pPr>
            <w:r w:rsidRPr="00170422">
              <w:rPr>
                <w:noProof/>
                <w:lang w:val="de-DE"/>
              </w:rPr>
              <w:t>ENTFÄLLT.</w:t>
            </w:r>
          </w:p>
        </w:tc>
        <w:tc>
          <w:tcPr>
            <w:tcW w:w="1174" w:type="dxa"/>
            <w:shd w:val="clear" w:color="auto" w:fill="C6EFCE"/>
            <w:noWrap/>
            <w:vAlign w:val="center"/>
            <w:hideMark/>
          </w:tcPr>
          <w:p w14:paraId="782E2ACD"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hideMark/>
          </w:tcPr>
          <w:p w14:paraId="1E2CDFEE" w14:textId="77777777" w:rsidR="0057163C" w:rsidRPr="00170422" w:rsidRDefault="00F37BF9">
            <w:pPr>
              <w:pStyle w:val="P68B1DB1-Normal11"/>
              <w:jc w:val="center"/>
              <w:rPr>
                <w:noProof/>
                <w:szCs w:val="20"/>
                <w:lang w:val="de-DE"/>
              </w:rPr>
            </w:pPr>
            <w:r w:rsidRPr="00170422">
              <w:rPr>
                <w:noProof/>
                <w:lang w:val="de-DE"/>
              </w:rPr>
              <w:t>0</w:t>
            </w:r>
          </w:p>
        </w:tc>
        <w:tc>
          <w:tcPr>
            <w:tcW w:w="850" w:type="dxa"/>
            <w:shd w:val="clear" w:color="auto" w:fill="C6EFCE"/>
            <w:noWrap/>
            <w:vAlign w:val="center"/>
            <w:hideMark/>
          </w:tcPr>
          <w:p w14:paraId="3A975ED7" w14:textId="77777777" w:rsidR="0057163C" w:rsidRPr="00170422" w:rsidRDefault="00F37BF9">
            <w:pPr>
              <w:pStyle w:val="P68B1DB1-Normal11"/>
              <w:jc w:val="center"/>
              <w:rPr>
                <w:noProof/>
                <w:szCs w:val="20"/>
                <w:lang w:val="de-DE"/>
              </w:rPr>
            </w:pPr>
            <w:r w:rsidRPr="00170422">
              <w:rPr>
                <w:noProof/>
                <w:lang w:val="de-DE"/>
              </w:rPr>
              <w:t>500</w:t>
            </w:r>
          </w:p>
        </w:tc>
        <w:tc>
          <w:tcPr>
            <w:tcW w:w="851" w:type="dxa"/>
            <w:shd w:val="clear" w:color="auto" w:fill="C6EFCE"/>
            <w:noWrap/>
            <w:vAlign w:val="center"/>
            <w:hideMark/>
          </w:tcPr>
          <w:p w14:paraId="5C1E2C7B" w14:textId="77777777" w:rsidR="0057163C" w:rsidRPr="00170422" w:rsidRDefault="00F37BF9">
            <w:pPr>
              <w:pStyle w:val="P68B1DB1-Normal11"/>
              <w:jc w:val="center"/>
              <w:rPr>
                <w:noProof/>
                <w:szCs w:val="20"/>
                <w:lang w:val="de-DE"/>
              </w:rPr>
            </w:pPr>
            <w:r w:rsidRPr="00170422">
              <w:rPr>
                <w:noProof/>
                <w:lang w:val="de-DE"/>
              </w:rPr>
              <w:t>4. QUARTAL</w:t>
            </w:r>
          </w:p>
        </w:tc>
        <w:tc>
          <w:tcPr>
            <w:tcW w:w="850" w:type="dxa"/>
            <w:shd w:val="clear" w:color="auto" w:fill="C6EFCE"/>
            <w:noWrap/>
            <w:vAlign w:val="center"/>
            <w:hideMark/>
          </w:tcPr>
          <w:p w14:paraId="0C9D4460" w14:textId="77777777" w:rsidR="0057163C" w:rsidRPr="00170422" w:rsidRDefault="00F37BF9">
            <w:pPr>
              <w:pStyle w:val="P68B1DB1-Normal11"/>
              <w:jc w:val="center"/>
              <w:rPr>
                <w:noProof/>
                <w:szCs w:val="20"/>
                <w:lang w:val="de-DE"/>
              </w:rPr>
            </w:pPr>
            <w:r w:rsidRPr="00170422">
              <w:rPr>
                <w:noProof/>
                <w:lang w:val="de-DE"/>
              </w:rPr>
              <w:t>2023</w:t>
            </w:r>
          </w:p>
        </w:tc>
        <w:tc>
          <w:tcPr>
            <w:tcW w:w="2891" w:type="dxa"/>
            <w:shd w:val="clear" w:color="auto" w:fill="C6EFCE"/>
            <w:noWrap/>
            <w:vAlign w:val="center"/>
            <w:hideMark/>
          </w:tcPr>
          <w:p w14:paraId="0854DA9D"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In den Genuss der Intervention kommen mindestens 500 ländliche Apotheken in Gemeinden, Hameletten oder Siedlungen mit weniger als 5000 Einwohnern.</w:t>
            </w:r>
          </w:p>
        </w:tc>
      </w:tr>
      <w:tr w:rsidR="00D37F8B" w:rsidRPr="00170422" w14:paraId="2CEE913C" w14:textId="77777777" w:rsidTr="00D37F8B">
        <w:trPr>
          <w:trHeight w:val="309"/>
        </w:trPr>
        <w:tc>
          <w:tcPr>
            <w:tcW w:w="959" w:type="dxa"/>
            <w:shd w:val="clear" w:color="auto" w:fill="C6EFCE"/>
            <w:noWrap/>
            <w:vAlign w:val="center"/>
            <w:hideMark/>
          </w:tcPr>
          <w:p w14:paraId="2EA1A1D0" w14:textId="77777777" w:rsidR="0057163C" w:rsidRPr="00170422" w:rsidRDefault="00F37BF9">
            <w:pPr>
              <w:pStyle w:val="P68B1DB1-Normal11"/>
              <w:jc w:val="center"/>
              <w:rPr>
                <w:noProof/>
                <w:szCs w:val="20"/>
                <w:lang w:val="de-DE"/>
              </w:rPr>
            </w:pPr>
            <w:r w:rsidRPr="00170422">
              <w:rPr>
                <w:noProof/>
                <w:lang w:val="de-DE"/>
              </w:rPr>
              <w:t>M5C3-4</w:t>
            </w:r>
          </w:p>
        </w:tc>
        <w:tc>
          <w:tcPr>
            <w:tcW w:w="1605" w:type="dxa"/>
            <w:shd w:val="clear" w:color="auto" w:fill="C6EFCE"/>
            <w:noWrap/>
            <w:vAlign w:val="center"/>
            <w:hideMark/>
          </w:tcPr>
          <w:p w14:paraId="09C97B5D" w14:textId="77777777" w:rsidR="0057163C" w:rsidRPr="00170422" w:rsidRDefault="00F37BF9">
            <w:pPr>
              <w:pStyle w:val="P68B1DB1-Normal11"/>
              <w:jc w:val="center"/>
              <w:rPr>
                <w:noProof/>
                <w:szCs w:val="20"/>
                <w:lang w:val="de-DE"/>
              </w:rPr>
            </w:pPr>
            <w:r w:rsidRPr="00170422">
              <w:rPr>
                <w:noProof/>
                <w:lang w:val="de-DE"/>
              </w:rPr>
              <w:t>Investition 1.1.2: Gesundheitseinrichtungen in räumlicher Nähe</w:t>
            </w:r>
          </w:p>
        </w:tc>
        <w:tc>
          <w:tcPr>
            <w:tcW w:w="1513" w:type="dxa"/>
            <w:shd w:val="clear" w:color="auto" w:fill="C6EFCE"/>
            <w:noWrap/>
            <w:vAlign w:val="center"/>
            <w:hideMark/>
          </w:tcPr>
          <w:p w14:paraId="118E4740" w14:textId="77777777" w:rsidR="0057163C" w:rsidRPr="00170422" w:rsidRDefault="00F37BF9">
            <w:pPr>
              <w:pStyle w:val="P68B1DB1-Normal12"/>
              <w:jc w:val="center"/>
              <w:rPr>
                <w:noProof/>
                <w:lang w:val="de-DE"/>
              </w:rPr>
            </w:pPr>
            <w:r w:rsidRPr="00170422">
              <w:rPr>
                <w:noProof/>
                <w:lang w:val="de-DE"/>
              </w:rPr>
              <w:t>Meilenstein</w:t>
            </w:r>
          </w:p>
        </w:tc>
        <w:tc>
          <w:tcPr>
            <w:tcW w:w="1843" w:type="dxa"/>
            <w:shd w:val="clear" w:color="auto" w:fill="C6EFCE"/>
            <w:noWrap/>
            <w:vAlign w:val="center"/>
            <w:hideMark/>
          </w:tcPr>
          <w:p w14:paraId="1A501906" w14:textId="77777777" w:rsidR="0057163C" w:rsidRPr="00170422" w:rsidRDefault="00F37BF9">
            <w:pPr>
              <w:pStyle w:val="P68B1DB1-Normal12"/>
              <w:jc w:val="center"/>
              <w:rPr>
                <w:noProof/>
                <w:lang w:val="de-DE"/>
              </w:rPr>
            </w:pPr>
            <w:r w:rsidRPr="00170422">
              <w:rPr>
                <w:noProof/>
                <w:lang w:val="de-DE"/>
              </w:rPr>
              <w:t>Förderung ländlicher Apotheken in Gemeinden, Hamlets oder Siedlungen mit weniger als 5000 Einwohnern (zweite Serie)</w:t>
            </w:r>
          </w:p>
        </w:tc>
        <w:tc>
          <w:tcPr>
            <w:tcW w:w="1661" w:type="dxa"/>
            <w:shd w:val="clear" w:color="auto" w:fill="C6EFCE"/>
            <w:noWrap/>
            <w:vAlign w:val="center"/>
            <w:hideMark/>
          </w:tcPr>
          <w:p w14:paraId="0DDCCC8E" w14:textId="4BEB445E" w:rsidR="0057163C" w:rsidRPr="00170422" w:rsidRDefault="00F37BF9">
            <w:pPr>
              <w:pStyle w:val="P68B1DB1-Normal11"/>
              <w:jc w:val="center"/>
              <w:rPr>
                <w:noProof/>
                <w:szCs w:val="20"/>
                <w:lang w:val="de-DE"/>
              </w:rPr>
            </w:pPr>
            <w:r w:rsidRPr="00170422">
              <w:rPr>
                <w:noProof/>
                <w:lang w:val="de-DE"/>
              </w:rPr>
              <w:t>Annahme von Dekreten zur Genehmigung der endgültigen Auszahlung</w:t>
            </w:r>
          </w:p>
        </w:tc>
        <w:tc>
          <w:tcPr>
            <w:tcW w:w="1174" w:type="dxa"/>
            <w:shd w:val="clear" w:color="auto" w:fill="C6EFCE"/>
            <w:noWrap/>
            <w:vAlign w:val="center"/>
            <w:hideMark/>
          </w:tcPr>
          <w:p w14:paraId="6AA0211A" w14:textId="77777777" w:rsidR="0057163C" w:rsidRPr="00170422" w:rsidRDefault="00F37BF9">
            <w:pPr>
              <w:pStyle w:val="P68B1DB1-Normal12"/>
              <w:jc w:val="center"/>
              <w:rPr>
                <w:noProof/>
                <w:lang w:val="de-DE"/>
              </w:rPr>
            </w:pPr>
            <w:r w:rsidRPr="00170422">
              <w:rPr>
                <w:noProof/>
                <w:lang w:val="de-DE"/>
              </w:rPr>
              <w:t>ENTFÄLLT.</w:t>
            </w:r>
          </w:p>
        </w:tc>
        <w:tc>
          <w:tcPr>
            <w:tcW w:w="1418" w:type="dxa"/>
            <w:shd w:val="clear" w:color="auto" w:fill="C6EFCE"/>
            <w:noWrap/>
            <w:vAlign w:val="center"/>
            <w:hideMark/>
          </w:tcPr>
          <w:p w14:paraId="1C22C128" w14:textId="77777777" w:rsidR="0057163C" w:rsidRPr="00170422" w:rsidRDefault="00F37BF9">
            <w:pPr>
              <w:pStyle w:val="P68B1DB1-Normal12"/>
              <w:jc w:val="center"/>
              <w:rPr>
                <w:noProof/>
                <w:lang w:val="de-DE"/>
              </w:rPr>
            </w:pPr>
            <w:r w:rsidRPr="00170422">
              <w:rPr>
                <w:noProof/>
                <w:lang w:val="de-DE"/>
              </w:rPr>
              <w:t>ENTFÄLLT.</w:t>
            </w:r>
          </w:p>
        </w:tc>
        <w:tc>
          <w:tcPr>
            <w:tcW w:w="850" w:type="dxa"/>
            <w:shd w:val="clear" w:color="auto" w:fill="C6EFCE"/>
            <w:noWrap/>
            <w:vAlign w:val="center"/>
            <w:hideMark/>
          </w:tcPr>
          <w:p w14:paraId="7C58E5C8" w14:textId="77777777" w:rsidR="0057163C" w:rsidRPr="00170422" w:rsidRDefault="00F37BF9">
            <w:pPr>
              <w:pStyle w:val="P68B1DB1-Normal12"/>
              <w:jc w:val="center"/>
              <w:rPr>
                <w:noProof/>
                <w:lang w:val="de-DE"/>
              </w:rPr>
            </w:pPr>
            <w:r w:rsidRPr="00170422">
              <w:rPr>
                <w:noProof/>
                <w:lang w:val="de-DE"/>
              </w:rPr>
              <w:t>ENTFÄLLT.</w:t>
            </w:r>
          </w:p>
        </w:tc>
        <w:tc>
          <w:tcPr>
            <w:tcW w:w="851" w:type="dxa"/>
            <w:shd w:val="clear" w:color="auto" w:fill="C6EFCE"/>
            <w:noWrap/>
            <w:vAlign w:val="center"/>
            <w:hideMark/>
          </w:tcPr>
          <w:p w14:paraId="79742A15" w14:textId="77777777" w:rsidR="0057163C" w:rsidRPr="00170422" w:rsidRDefault="00F37BF9">
            <w:pPr>
              <w:pStyle w:val="P68B1DB1-Normal11"/>
              <w:jc w:val="center"/>
              <w:rPr>
                <w:noProof/>
                <w:szCs w:val="20"/>
                <w:lang w:val="de-DE"/>
              </w:rPr>
            </w:pPr>
            <w:r w:rsidRPr="00170422">
              <w:rPr>
                <w:noProof/>
                <w:lang w:val="de-DE"/>
              </w:rPr>
              <w:t>Q2</w:t>
            </w:r>
          </w:p>
        </w:tc>
        <w:tc>
          <w:tcPr>
            <w:tcW w:w="850" w:type="dxa"/>
            <w:shd w:val="clear" w:color="auto" w:fill="C6EFCE"/>
            <w:noWrap/>
            <w:vAlign w:val="center"/>
            <w:hideMark/>
          </w:tcPr>
          <w:p w14:paraId="787F4E5A" w14:textId="77777777" w:rsidR="0057163C" w:rsidRPr="00170422" w:rsidRDefault="00F37BF9">
            <w:pPr>
              <w:pStyle w:val="P68B1DB1-Normal11"/>
              <w:jc w:val="center"/>
              <w:rPr>
                <w:noProof/>
                <w:szCs w:val="20"/>
                <w:lang w:val="de-DE"/>
              </w:rPr>
            </w:pPr>
            <w:r w:rsidRPr="00170422">
              <w:rPr>
                <w:noProof/>
                <w:lang w:val="de-DE"/>
              </w:rPr>
              <w:t>2026</w:t>
            </w:r>
          </w:p>
        </w:tc>
        <w:tc>
          <w:tcPr>
            <w:tcW w:w="2891" w:type="dxa"/>
            <w:shd w:val="clear" w:color="auto" w:fill="C6EFCE"/>
            <w:noWrap/>
            <w:vAlign w:val="center"/>
            <w:hideMark/>
          </w:tcPr>
          <w:p w14:paraId="46EDD419" w14:textId="21C88792"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Erlasse, mit denen die endgültige Auszahlung an mindestens 1500 ländliche Apotheken in Gemeinden, Hamlets oder Siedlungen mit weniger als 5000</w:t>
            </w:r>
            <w:r w:rsidRPr="00170422">
              <w:rPr>
                <w:noProof/>
                <w:sz w:val="23"/>
                <w:szCs w:val="23"/>
                <w:lang w:val="de-DE"/>
              </w:rPr>
              <w:t xml:space="preserve"> </w:t>
            </w:r>
            <w:r w:rsidRPr="00170422">
              <w:rPr>
                <w:rFonts w:ascii="Arial Narrow" w:hAnsi="Arial Narrow"/>
                <w:noProof/>
                <w:color w:val="006100"/>
                <w:sz w:val="20"/>
                <w:szCs w:val="20"/>
                <w:lang w:val="de-DE"/>
              </w:rPr>
              <w:t>Einwohnern genehmigt wird.</w:t>
            </w:r>
            <w:r w:rsidRPr="00170422">
              <w:rPr>
                <w:noProof/>
                <w:sz w:val="23"/>
                <w:szCs w:val="23"/>
                <w:lang w:val="de-DE"/>
              </w:rPr>
              <w:t xml:space="preserve"> </w:t>
            </w:r>
          </w:p>
        </w:tc>
      </w:tr>
      <w:tr w:rsidR="00D37F8B" w:rsidRPr="00170422" w14:paraId="3E088823" w14:textId="77777777" w:rsidTr="00D37F8B">
        <w:trPr>
          <w:trHeight w:val="309"/>
        </w:trPr>
        <w:tc>
          <w:tcPr>
            <w:tcW w:w="959" w:type="dxa"/>
            <w:shd w:val="clear" w:color="auto" w:fill="C6EFCE"/>
            <w:noWrap/>
            <w:vAlign w:val="center"/>
          </w:tcPr>
          <w:p w14:paraId="57466F94" w14:textId="77777777" w:rsidR="0057163C" w:rsidRPr="00170422" w:rsidRDefault="00F37BF9">
            <w:pPr>
              <w:pStyle w:val="P68B1DB1-Normal11"/>
              <w:jc w:val="center"/>
              <w:rPr>
                <w:noProof/>
                <w:szCs w:val="20"/>
                <w:lang w:val="de-DE"/>
              </w:rPr>
            </w:pPr>
            <w:r w:rsidRPr="00170422">
              <w:rPr>
                <w:noProof/>
                <w:lang w:val="de-DE"/>
              </w:rPr>
              <w:t>M5C3-8</w:t>
            </w:r>
          </w:p>
        </w:tc>
        <w:tc>
          <w:tcPr>
            <w:tcW w:w="1605" w:type="dxa"/>
            <w:shd w:val="clear" w:color="auto" w:fill="C6EFCE"/>
            <w:noWrap/>
            <w:vAlign w:val="center"/>
          </w:tcPr>
          <w:p w14:paraId="4433773A" w14:textId="77777777" w:rsidR="0057163C" w:rsidRPr="00170422" w:rsidRDefault="00F37BF9">
            <w:pPr>
              <w:pStyle w:val="P68B1DB1-Normal11"/>
              <w:jc w:val="center"/>
              <w:rPr>
                <w:noProof/>
                <w:szCs w:val="20"/>
                <w:lang w:val="de-DE"/>
              </w:rPr>
            </w:pPr>
            <w:r w:rsidRPr="00170422">
              <w:rPr>
                <w:noProof/>
                <w:lang w:val="de-DE"/>
              </w:rPr>
              <w:t xml:space="preserve">Investition 1.3: Strukturierte </w:t>
            </w:r>
            <w:r w:rsidRPr="00170422">
              <w:rPr>
                <w:noProof/>
                <w:lang w:val="de-DE"/>
              </w:rPr>
              <w:t>sozialpädagogische Maßnahmen zur Bekämpfung der Bildungsarmut im Süden zur Unterstützung des dritten Sektors</w:t>
            </w:r>
          </w:p>
        </w:tc>
        <w:tc>
          <w:tcPr>
            <w:tcW w:w="1513" w:type="dxa"/>
            <w:shd w:val="clear" w:color="auto" w:fill="C6EFCE"/>
            <w:noWrap/>
            <w:vAlign w:val="center"/>
          </w:tcPr>
          <w:p w14:paraId="0571CC95" w14:textId="77777777" w:rsidR="0057163C" w:rsidRPr="00170422" w:rsidRDefault="00F37BF9">
            <w:pPr>
              <w:pStyle w:val="P68B1DB1-Normal11"/>
              <w:jc w:val="center"/>
              <w:rPr>
                <w:noProof/>
                <w:szCs w:val="20"/>
                <w:lang w:val="de-DE"/>
              </w:rPr>
            </w:pPr>
            <w:r w:rsidRPr="00170422">
              <w:rPr>
                <w:noProof/>
                <w:lang w:val="de-DE"/>
              </w:rPr>
              <w:t>Ziel</w:t>
            </w:r>
          </w:p>
        </w:tc>
        <w:tc>
          <w:tcPr>
            <w:tcW w:w="1843" w:type="dxa"/>
            <w:shd w:val="clear" w:color="auto" w:fill="C6EFCE"/>
            <w:noWrap/>
            <w:vAlign w:val="center"/>
          </w:tcPr>
          <w:p w14:paraId="79C221CE" w14:textId="77777777" w:rsidR="0057163C" w:rsidRPr="00170422" w:rsidRDefault="00F37BF9">
            <w:pPr>
              <w:pStyle w:val="P68B1DB1-Normal11"/>
              <w:jc w:val="center"/>
              <w:rPr>
                <w:noProof/>
                <w:szCs w:val="20"/>
                <w:lang w:val="de-DE"/>
              </w:rPr>
            </w:pPr>
            <w:r w:rsidRPr="00170422">
              <w:rPr>
                <w:noProof/>
                <w:lang w:val="de-DE"/>
              </w:rPr>
              <w:t>Pädagogische Unterstützung für Minderjährige (erste Gruppe)</w:t>
            </w:r>
          </w:p>
        </w:tc>
        <w:tc>
          <w:tcPr>
            <w:tcW w:w="1661" w:type="dxa"/>
            <w:shd w:val="clear" w:color="auto" w:fill="C6EFCE"/>
            <w:noWrap/>
            <w:vAlign w:val="center"/>
          </w:tcPr>
          <w:p w14:paraId="2797C616" w14:textId="77777777" w:rsidR="0057163C" w:rsidRPr="00170422" w:rsidRDefault="00F37BF9">
            <w:pPr>
              <w:pStyle w:val="P68B1DB1-Normal11"/>
              <w:jc w:val="center"/>
              <w:rPr>
                <w:noProof/>
                <w:szCs w:val="20"/>
                <w:lang w:val="de-DE"/>
              </w:rPr>
            </w:pPr>
            <w:r w:rsidRPr="00170422">
              <w:rPr>
                <w:noProof/>
                <w:lang w:val="de-DE"/>
              </w:rPr>
              <w:t>ENTFÄLLT.</w:t>
            </w:r>
          </w:p>
        </w:tc>
        <w:tc>
          <w:tcPr>
            <w:tcW w:w="1174" w:type="dxa"/>
            <w:shd w:val="clear" w:color="auto" w:fill="C6EFCE"/>
            <w:noWrap/>
            <w:vAlign w:val="center"/>
          </w:tcPr>
          <w:p w14:paraId="0497035A"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30684081" w14:textId="77777777" w:rsidR="0057163C" w:rsidRPr="00170422" w:rsidRDefault="00F37BF9">
            <w:pPr>
              <w:pStyle w:val="P68B1DB1-Normal11"/>
              <w:jc w:val="center"/>
              <w:rPr>
                <w:noProof/>
                <w:szCs w:val="20"/>
                <w:lang w:val="de-DE"/>
              </w:rPr>
            </w:pPr>
            <w:r w:rsidRPr="00170422">
              <w:rPr>
                <w:noProof/>
                <w:lang w:val="de-DE"/>
              </w:rPr>
              <w:t>0</w:t>
            </w:r>
          </w:p>
        </w:tc>
        <w:tc>
          <w:tcPr>
            <w:tcW w:w="850" w:type="dxa"/>
            <w:shd w:val="clear" w:color="auto" w:fill="C6EFCE"/>
            <w:noWrap/>
            <w:vAlign w:val="center"/>
          </w:tcPr>
          <w:p w14:paraId="2A7F602B"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20</w:t>
            </w:r>
            <w:r w:rsidRPr="00170422">
              <w:rPr>
                <w:noProof/>
                <w:sz w:val="23"/>
                <w:szCs w:val="23"/>
                <w:lang w:val="de-DE"/>
              </w:rPr>
              <w:t xml:space="preserve"> </w:t>
            </w:r>
            <w:r w:rsidRPr="00170422">
              <w:rPr>
                <w:rFonts w:ascii="Arial Narrow" w:hAnsi="Arial Narrow"/>
                <w:noProof/>
                <w:color w:val="006100"/>
                <w:sz w:val="20"/>
                <w:lang w:val="de-DE"/>
              </w:rPr>
              <w:t>000</w:t>
            </w:r>
          </w:p>
        </w:tc>
        <w:tc>
          <w:tcPr>
            <w:tcW w:w="851" w:type="dxa"/>
            <w:shd w:val="clear" w:color="auto" w:fill="C6EFCE"/>
            <w:noWrap/>
            <w:vAlign w:val="center"/>
          </w:tcPr>
          <w:p w14:paraId="73991A26" w14:textId="77777777" w:rsidR="0057163C" w:rsidRPr="00170422" w:rsidRDefault="00F37BF9">
            <w:pPr>
              <w:pStyle w:val="P68B1DB1-Normal11"/>
              <w:jc w:val="center"/>
              <w:rPr>
                <w:noProof/>
                <w:szCs w:val="20"/>
                <w:lang w:val="de-DE"/>
              </w:rPr>
            </w:pPr>
            <w:r w:rsidRPr="00170422">
              <w:rPr>
                <w:noProof/>
                <w:lang w:val="de-DE"/>
              </w:rPr>
              <w:t>Q2</w:t>
            </w:r>
          </w:p>
        </w:tc>
        <w:tc>
          <w:tcPr>
            <w:tcW w:w="850" w:type="dxa"/>
            <w:shd w:val="clear" w:color="auto" w:fill="C6EFCE"/>
            <w:noWrap/>
            <w:vAlign w:val="center"/>
          </w:tcPr>
          <w:p w14:paraId="538D1D6A" w14:textId="77777777" w:rsidR="0057163C" w:rsidRPr="00170422" w:rsidRDefault="00F37BF9">
            <w:pPr>
              <w:pStyle w:val="P68B1DB1-Normal11"/>
              <w:jc w:val="center"/>
              <w:rPr>
                <w:noProof/>
                <w:szCs w:val="20"/>
                <w:lang w:val="de-DE"/>
              </w:rPr>
            </w:pPr>
            <w:r w:rsidRPr="00170422">
              <w:rPr>
                <w:noProof/>
                <w:lang w:val="de-DE"/>
              </w:rPr>
              <w:t>2023</w:t>
            </w:r>
          </w:p>
        </w:tc>
        <w:tc>
          <w:tcPr>
            <w:tcW w:w="2891" w:type="dxa"/>
            <w:shd w:val="clear" w:color="auto" w:fill="C6EFCE"/>
            <w:noWrap/>
            <w:vAlign w:val="center"/>
          </w:tcPr>
          <w:p w14:paraId="67AE3DDA"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lang w:val="de-DE"/>
              </w:rPr>
              <w:t>Mindestens 20000</w:t>
            </w:r>
            <w:r w:rsidRPr="00170422">
              <w:rPr>
                <w:noProof/>
                <w:sz w:val="23"/>
                <w:szCs w:val="23"/>
                <w:lang w:val="de-DE"/>
              </w:rPr>
              <w:t xml:space="preserve"> </w:t>
            </w:r>
            <w:r w:rsidRPr="00170422">
              <w:rPr>
                <w:rFonts w:ascii="Arial Narrow" w:hAnsi="Arial Narrow"/>
                <w:noProof/>
                <w:color w:val="006100"/>
                <w:sz w:val="20"/>
                <w:lang w:val="de-DE"/>
              </w:rPr>
              <w:t xml:space="preserve">Minderjährige bis 17 Jahre erhalten eine pädagogische Unterstützung. Die Projekte konzentrieren sich auf folgende Bereiche: </w:t>
            </w:r>
          </w:p>
          <w:p w14:paraId="2287C5F0" w14:textId="77777777" w:rsidR="0057163C" w:rsidRPr="00170422" w:rsidRDefault="00F37BF9">
            <w:pPr>
              <w:pStyle w:val="P68B1DB1-Normal11"/>
              <w:rPr>
                <w:noProof/>
                <w:szCs w:val="20"/>
                <w:lang w:val="de-DE"/>
              </w:rPr>
            </w:pPr>
            <w:r w:rsidRPr="00170422">
              <w:rPr>
                <w:noProof/>
                <w:lang w:val="de-DE"/>
              </w:rPr>
              <w:t>• Maßnahmen für Kinder von 0 bis 6 Jahren mit dem Ziel, die Bedingungen für den Zugang zu Kindergärten und Kindergärten zu verbesse</w:t>
            </w:r>
            <w:r w:rsidRPr="00170422">
              <w:rPr>
                <w:noProof/>
                <w:lang w:val="de-DE"/>
              </w:rPr>
              <w:t xml:space="preserve">rn und die Elternschaft zu unterstützen; </w:t>
            </w:r>
          </w:p>
          <w:p w14:paraId="4DC157B0" w14:textId="77777777" w:rsidR="0057163C" w:rsidRPr="00170422" w:rsidRDefault="00F37BF9">
            <w:pPr>
              <w:pStyle w:val="P68B1DB1-Normal11"/>
              <w:rPr>
                <w:noProof/>
                <w:szCs w:val="20"/>
                <w:lang w:val="de-DE"/>
              </w:rPr>
            </w:pPr>
            <w:r w:rsidRPr="00170422">
              <w:rPr>
                <w:noProof/>
                <w:lang w:val="de-DE"/>
              </w:rPr>
              <w:t xml:space="preserve">• Maßnahmen für Kinder im Alter von fünf bis zehn Jahren zur Gewährleistung wirksamer Bildungsmöglichkeiten und zur frühzeitigen Verhinderung von Schulabbruch, Mobbing und anderen Notlagen; </w:t>
            </w:r>
          </w:p>
          <w:p w14:paraId="0D4DCA11" w14:textId="77777777" w:rsidR="0057163C" w:rsidRPr="00170422" w:rsidRDefault="00F37BF9">
            <w:pPr>
              <w:pStyle w:val="P68B1DB1-Normal11"/>
              <w:rPr>
                <w:noProof/>
                <w:szCs w:val="20"/>
                <w:lang w:val="de-DE"/>
              </w:rPr>
            </w:pPr>
            <w:r w:rsidRPr="00170422">
              <w:rPr>
                <w:noProof/>
                <w:lang w:val="de-DE"/>
              </w:rPr>
              <w:t xml:space="preserve">• Maßnahmen für Kinder </w:t>
            </w:r>
            <w:r w:rsidRPr="00170422">
              <w:rPr>
                <w:noProof/>
                <w:lang w:val="de-DE"/>
              </w:rPr>
              <w:t>im Alter von 11 bis 17 Jahren, die darauf abzielen, das Bildungsangebot zu verbessern und dem Phänomen des vorzeitigen Schulabbruchs vorzubeugen.</w:t>
            </w:r>
          </w:p>
          <w:p w14:paraId="7C4D9A74" w14:textId="77777777" w:rsidR="0057163C" w:rsidRPr="00170422" w:rsidRDefault="00F37BF9">
            <w:pPr>
              <w:pStyle w:val="P68B1DB1-Normal11"/>
              <w:rPr>
                <w:noProof/>
                <w:lang w:val="de-DE"/>
              </w:rPr>
            </w:pPr>
            <w:r w:rsidRPr="00170422">
              <w:rPr>
                <w:noProof/>
                <w:lang w:val="de-DE"/>
              </w:rPr>
              <w:t>Hauptbestandteile der Ausschreibung:</w:t>
            </w:r>
          </w:p>
          <w:p w14:paraId="482B61C1" w14:textId="52A8D600" w:rsidR="0057163C" w:rsidRPr="00170422" w:rsidRDefault="00F37BF9">
            <w:pPr>
              <w:rPr>
                <w:rFonts w:ascii="Arial Narrow" w:hAnsi="Arial Narrow"/>
                <w:noProof/>
                <w:color w:val="006100"/>
                <w:sz w:val="20"/>
                <w:lang w:val="de-DE"/>
              </w:rPr>
            </w:pPr>
            <w:r w:rsidRPr="00170422">
              <w:rPr>
                <w:rFonts w:ascii="Arial Narrow" w:hAnsi="Arial Narrow"/>
                <w:noProof/>
                <w:color w:val="006100"/>
                <w:sz w:val="20"/>
                <w:lang w:val="de-DE"/>
              </w:rPr>
              <w:t xml:space="preserve"> – Öffentliche Bekanntmachungen müssen sichjeweils auf mindestens 50 000 000 EUR  </w:t>
            </w:r>
            <w:r w:rsidRPr="00170422">
              <w:rPr>
                <w:noProof/>
                <w:sz w:val="23"/>
                <w:szCs w:val="23"/>
                <w:lang w:val="de-DE"/>
              </w:rPr>
              <w:t xml:space="preserve">  </w:t>
            </w:r>
            <w:r w:rsidRPr="00170422">
              <w:rPr>
                <w:rFonts w:ascii="Arial Narrow" w:hAnsi="Arial Narrow"/>
                <w:noProof/>
                <w:color w:val="006100"/>
                <w:sz w:val="20"/>
                <w:lang w:val="de-DE"/>
              </w:rPr>
              <w:t>belaufen</w:t>
            </w:r>
            <w:r w:rsidRPr="00170422">
              <w:rPr>
                <w:noProof/>
                <w:lang w:val="de-DE"/>
              </w:rPr>
              <w:t xml:space="preserve">. </w:t>
            </w:r>
            <w:r w:rsidRPr="00170422">
              <w:rPr>
                <w:noProof/>
                <w:lang w:val="de-DE"/>
              </w:rPr>
              <w:br/>
            </w:r>
            <w:r w:rsidRPr="00170422">
              <w:rPr>
                <w:rFonts w:ascii="Arial Narrow" w:hAnsi="Arial Narrow"/>
                <w:noProof/>
                <w:color w:val="006100"/>
                <w:sz w:val="20"/>
                <w:lang w:val="de-DE"/>
              </w:rPr>
              <w:t>— Die Projekte von Einrichtungen des dritten Sektors haben eine Laufzeit von mindestens einem Jahr und höchstens zwei Jahren.</w:t>
            </w:r>
          </w:p>
          <w:p w14:paraId="43520EA4" w14:textId="77777777" w:rsidR="0057163C" w:rsidRPr="00170422" w:rsidRDefault="00F37BF9">
            <w:pPr>
              <w:pStyle w:val="P68B1DB1-Normal11"/>
              <w:rPr>
                <w:noProof/>
                <w:szCs w:val="20"/>
                <w:lang w:val="de-DE"/>
              </w:rPr>
            </w:pPr>
            <w:r w:rsidRPr="00170422">
              <w:rPr>
                <w:noProof/>
                <w:lang w:val="de-DE"/>
              </w:rPr>
              <w:t>Die Maßnahmen finden in den Regione</w:t>
            </w:r>
            <w:r w:rsidRPr="00170422">
              <w:rPr>
                <w:noProof/>
                <w:lang w:val="de-DE"/>
              </w:rPr>
              <w:t>n Abruzzen, Apulien, Basilikata, Kalabrien, Kampanien, Molise, Sardinien und Sizilien statt.</w:t>
            </w:r>
          </w:p>
        </w:tc>
      </w:tr>
      <w:tr w:rsidR="00D37F8B" w:rsidRPr="00170422" w14:paraId="6727CD77" w14:textId="77777777" w:rsidTr="00D37F8B">
        <w:trPr>
          <w:trHeight w:val="309"/>
        </w:trPr>
        <w:tc>
          <w:tcPr>
            <w:tcW w:w="959" w:type="dxa"/>
            <w:shd w:val="clear" w:color="auto" w:fill="C6EFCE"/>
            <w:noWrap/>
            <w:vAlign w:val="center"/>
          </w:tcPr>
          <w:p w14:paraId="685B8965" w14:textId="77777777" w:rsidR="0057163C" w:rsidRPr="00170422" w:rsidRDefault="00F37BF9">
            <w:pPr>
              <w:pStyle w:val="P68B1DB1-Normal11"/>
              <w:jc w:val="center"/>
              <w:rPr>
                <w:noProof/>
                <w:szCs w:val="20"/>
                <w:lang w:val="de-DE"/>
              </w:rPr>
            </w:pPr>
            <w:r w:rsidRPr="00170422">
              <w:rPr>
                <w:noProof/>
                <w:lang w:val="de-DE"/>
              </w:rPr>
              <w:t>M5C3-9</w:t>
            </w:r>
          </w:p>
        </w:tc>
        <w:tc>
          <w:tcPr>
            <w:tcW w:w="1605" w:type="dxa"/>
            <w:shd w:val="clear" w:color="auto" w:fill="C6EFCE"/>
            <w:noWrap/>
            <w:vAlign w:val="center"/>
          </w:tcPr>
          <w:p w14:paraId="1AB2CA00" w14:textId="77777777" w:rsidR="0057163C" w:rsidRPr="00170422" w:rsidRDefault="00F37BF9">
            <w:pPr>
              <w:pStyle w:val="P68B1DB1-Normal11"/>
              <w:jc w:val="center"/>
              <w:rPr>
                <w:noProof/>
                <w:szCs w:val="20"/>
                <w:lang w:val="de-DE"/>
              </w:rPr>
            </w:pPr>
            <w:r w:rsidRPr="00170422">
              <w:rPr>
                <w:noProof/>
                <w:lang w:val="de-DE"/>
              </w:rPr>
              <w:t>Investition1.3: Strukturierte sozialpädagogische Maßnahmen zur Bekämpfung der Bildungsarmut im Süden zur Unterstützung des dritten Sektors</w:t>
            </w:r>
          </w:p>
        </w:tc>
        <w:tc>
          <w:tcPr>
            <w:tcW w:w="1513" w:type="dxa"/>
            <w:shd w:val="clear" w:color="auto" w:fill="C6EFCE"/>
            <w:noWrap/>
            <w:vAlign w:val="center"/>
          </w:tcPr>
          <w:p w14:paraId="57FC2177" w14:textId="77777777" w:rsidR="0057163C" w:rsidRPr="00170422" w:rsidRDefault="00F37BF9">
            <w:pPr>
              <w:pStyle w:val="P68B1DB1-Normal11"/>
              <w:jc w:val="center"/>
              <w:rPr>
                <w:noProof/>
                <w:szCs w:val="20"/>
                <w:lang w:val="de-DE"/>
              </w:rPr>
            </w:pPr>
            <w:r w:rsidRPr="00170422">
              <w:rPr>
                <w:noProof/>
                <w:lang w:val="de-DE"/>
              </w:rPr>
              <w:t>Ziel</w:t>
            </w:r>
          </w:p>
        </w:tc>
        <w:tc>
          <w:tcPr>
            <w:tcW w:w="1843" w:type="dxa"/>
            <w:shd w:val="clear" w:color="auto" w:fill="C6EFCE"/>
            <w:noWrap/>
            <w:vAlign w:val="center"/>
          </w:tcPr>
          <w:p w14:paraId="7E9CA64C" w14:textId="77777777" w:rsidR="0057163C" w:rsidRPr="00170422" w:rsidRDefault="00F37BF9">
            <w:pPr>
              <w:pStyle w:val="P68B1DB1-Normal11"/>
              <w:jc w:val="center"/>
              <w:rPr>
                <w:noProof/>
                <w:szCs w:val="20"/>
                <w:lang w:val="de-DE"/>
              </w:rPr>
            </w:pPr>
            <w:r w:rsidRPr="00170422">
              <w:rPr>
                <w:noProof/>
                <w:lang w:val="de-DE"/>
              </w:rPr>
              <w:t>Pädagogische Unterstützung für Minderjährige (zweite Gruppe)</w:t>
            </w:r>
          </w:p>
        </w:tc>
        <w:tc>
          <w:tcPr>
            <w:tcW w:w="1661" w:type="dxa"/>
            <w:shd w:val="clear" w:color="auto" w:fill="C6EFCE"/>
            <w:noWrap/>
            <w:vAlign w:val="center"/>
          </w:tcPr>
          <w:p w14:paraId="5AA4AA2B" w14:textId="77777777" w:rsidR="0057163C" w:rsidRPr="00170422" w:rsidRDefault="00F37BF9">
            <w:pPr>
              <w:pStyle w:val="P68B1DB1-Normal11"/>
              <w:jc w:val="center"/>
              <w:rPr>
                <w:noProof/>
                <w:szCs w:val="20"/>
                <w:lang w:val="de-DE"/>
              </w:rPr>
            </w:pPr>
            <w:r w:rsidRPr="00170422">
              <w:rPr>
                <w:noProof/>
                <w:lang w:val="de-DE"/>
              </w:rPr>
              <w:t>ENTFÄLLT.</w:t>
            </w:r>
          </w:p>
        </w:tc>
        <w:tc>
          <w:tcPr>
            <w:tcW w:w="1174" w:type="dxa"/>
            <w:shd w:val="clear" w:color="auto" w:fill="C6EFCE"/>
            <w:noWrap/>
            <w:vAlign w:val="center"/>
          </w:tcPr>
          <w:p w14:paraId="7A21177F"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628F6835"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20</w:t>
            </w:r>
            <w:r w:rsidRPr="00170422">
              <w:rPr>
                <w:noProof/>
                <w:sz w:val="23"/>
                <w:szCs w:val="23"/>
                <w:lang w:val="de-DE"/>
              </w:rPr>
              <w:t xml:space="preserve"> </w:t>
            </w:r>
            <w:r w:rsidRPr="00170422">
              <w:rPr>
                <w:rFonts w:ascii="Arial Narrow" w:hAnsi="Arial Narrow"/>
                <w:noProof/>
                <w:color w:val="006100"/>
                <w:sz w:val="20"/>
                <w:lang w:val="de-DE"/>
              </w:rPr>
              <w:t>000</w:t>
            </w:r>
          </w:p>
        </w:tc>
        <w:tc>
          <w:tcPr>
            <w:tcW w:w="850" w:type="dxa"/>
            <w:shd w:val="clear" w:color="auto" w:fill="C6EFCE"/>
            <w:noWrap/>
            <w:vAlign w:val="center"/>
          </w:tcPr>
          <w:p w14:paraId="329DA9DF" w14:textId="77777777" w:rsidR="0057163C" w:rsidRPr="00170422" w:rsidRDefault="00F37BF9">
            <w:pPr>
              <w:jc w:val="center"/>
              <w:rPr>
                <w:rFonts w:ascii="Arial Narrow" w:hAnsi="Arial Narrow"/>
                <w:noProof/>
                <w:color w:val="006100"/>
                <w:sz w:val="20"/>
                <w:szCs w:val="20"/>
                <w:lang w:val="de-DE"/>
              </w:rPr>
            </w:pPr>
            <w:r w:rsidRPr="00170422">
              <w:rPr>
                <w:rFonts w:ascii="Arial Narrow" w:hAnsi="Arial Narrow"/>
                <w:noProof/>
                <w:color w:val="006100"/>
                <w:sz w:val="20"/>
                <w:lang w:val="de-DE"/>
              </w:rPr>
              <w:t>44</w:t>
            </w:r>
            <w:r w:rsidRPr="00170422">
              <w:rPr>
                <w:noProof/>
                <w:sz w:val="23"/>
                <w:szCs w:val="23"/>
                <w:lang w:val="de-DE"/>
              </w:rPr>
              <w:t xml:space="preserve"> </w:t>
            </w:r>
            <w:r w:rsidRPr="00170422">
              <w:rPr>
                <w:rFonts w:ascii="Arial Narrow" w:hAnsi="Arial Narrow"/>
                <w:noProof/>
                <w:color w:val="006100"/>
                <w:sz w:val="20"/>
                <w:lang w:val="de-DE"/>
              </w:rPr>
              <w:t>000</w:t>
            </w:r>
          </w:p>
        </w:tc>
        <w:tc>
          <w:tcPr>
            <w:tcW w:w="851" w:type="dxa"/>
            <w:shd w:val="clear" w:color="auto" w:fill="C6EFCE"/>
            <w:noWrap/>
            <w:vAlign w:val="center"/>
          </w:tcPr>
          <w:p w14:paraId="658AAA13" w14:textId="77777777" w:rsidR="0057163C" w:rsidRPr="00170422" w:rsidRDefault="00F37BF9">
            <w:pPr>
              <w:pStyle w:val="P68B1DB1-Normal11"/>
              <w:jc w:val="center"/>
              <w:rPr>
                <w:noProof/>
                <w:szCs w:val="20"/>
                <w:lang w:val="de-DE"/>
              </w:rPr>
            </w:pPr>
            <w:r w:rsidRPr="00170422">
              <w:rPr>
                <w:noProof/>
                <w:lang w:val="de-DE"/>
              </w:rPr>
              <w:t>4. QUARTAL</w:t>
            </w:r>
          </w:p>
        </w:tc>
        <w:tc>
          <w:tcPr>
            <w:tcW w:w="850" w:type="dxa"/>
            <w:shd w:val="clear" w:color="auto" w:fill="C6EFCE"/>
            <w:noWrap/>
            <w:vAlign w:val="center"/>
          </w:tcPr>
          <w:p w14:paraId="13AB817B" w14:textId="77777777" w:rsidR="0057163C" w:rsidRPr="00170422" w:rsidRDefault="00F37BF9">
            <w:pPr>
              <w:pStyle w:val="P68B1DB1-Normal11"/>
              <w:jc w:val="center"/>
              <w:rPr>
                <w:noProof/>
                <w:szCs w:val="20"/>
                <w:lang w:val="de-DE"/>
              </w:rPr>
            </w:pPr>
            <w:r w:rsidRPr="00170422">
              <w:rPr>
                <w:noProof/>
                <w:lang w:val="de-DE"/>
              </w:rPr>
              <w:t>2025</w:t>
            </w:r>
          </w:p>
        </w:tc>
        <w:tc>
          <w:tcPr>
            <w:tcW w:w="2891" w:type="dxa"/>
            <w:shd w:val="clear" w:color="auto" w:fill="C6EFCE"/>
            <w:noWrap/>
            <w:vAlign w:val="center"/>
          </w:tcPr>
          <w:p w14:paraId="359318B6" w14:textId="77777777"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Anmeldeformulare und Anmeldebestätigungen für mindestens 44000 Minderjährige</w:t>
            </w:r>
            <w:r w:rsidRPr="00170422">
              <w:rPr>
                <w:noProof/>
                <w:sz w:val="23"/>
                <w:szCs w:val="23"/>
                <w:lang w:val="de-DE"/>
              </w:rPr>
              <w:t xml:space="preserve"> </w:t>
            </w:r>
            <w:r w:rsidRPr="00170422">
              <w:rPr>
                <w:rFonts w:ascii="Arial Narrow" w:hAnsi="Arial Narrow"/>
                <w:noProof/>
                <w:color w:val="006100"/>
                <w:sz w:val="20"/>
                <w:szCs w:val="20"/>
                <w:lang w:val="de-DE"/>
              </w:rPr>
              <w:t xml:space="preserve">im Alter von 0 bis 17 Jahren, die Unterstützung im Bildungsbereich </w:t>
            </w:r>
            <w:r w:rsidRPr="00170422">
              <w:rPr>
                <w:rFonts w:ascii="Arial Narrow" w:hAnsi="Arial Narrow"/>
                <w:noProof/>
                <w:color w:val="006100"/>
                <w:sz w:val="20"/>
                <w:szCs w:val="20"/>
                <w:lang w:val="de-DE"/>
              </w:rPr>
              <w:t>erhalten.</w:t>
            </w:r>
          </w:p>
        </w:tc>
      </w:tr>
    </w:tbl>
    <w:p w14:paraId="7D0235C7" w14:textId="77777777" w:rsidR="0057163C" w:rsidRPr="00170422" w:rsidRDefault="0057163C">
      <w:pPr>
        <w:spacing w:before="120" w:after="120"/>
        <w:ind w:left="709"/>
        <w:jc w:val="both"/>
        <w:rPr>
          <w:noProof/>
          <w:lang w:val="de-DE"/>
        </w:rPr>
        <w:sectPr w:rsidR="0057163C" w:rsidRPr="00170422" w:rsidSect="005F11B9">
          <w:headerReference w:type="even" r:id="rId266"/>
          <w:headerReference w:type="default" r:id="rId267"/>
          <w:footerReference w:type="even" r:id="rId268"/>
          <w:footerReference w:type="default" r:id="rId269"/>
          <w:headerReference w:type="first" r:id="rId270"/>
          <w:footerReference w:type="first" r:id="rId271"/>
          <w:pgSz w:w="16839" w:h="11907" w:orient="landscape"/>
          <w:pgMar w:top="720" w:right="720" w:bottom="720" w:left="720" w:header="709" w:footer="709" w:gutter="0"/>
          <w:cols w:space="720"/>
          <w:docGrid w:linePitch="360"/>
        </w:sectPr>
      </w:pPr>
    </w:p>
    <w:p w14:paraId="58D6148B"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N.3. </w:t>
      </w:r>
      <w:r w:rsidRPr="00170422">
        <w:rPr>
          <w:noProof/>
          <w:lang w:val="de-DE"/>
        </w:rPr>
        <w:t xml:space="preserve"> </w:t>
      </w:r>
      <w:r w:rsidRPr="00170422">
        <w:rPr>
          <w:b/>
          <w:noProof/>
          <w:u w:val="single"/>
          <w:lang w:val="de-DE"/>
        </w:rPr>
        <w:t xml:space="preserve">Beschreibung der Reformen und Investitionen (Darlehen) </w:t>
      </w:r>
    </w:p>
    <w:p w14:paraId="27DEFF13" w14:textId="77777777" w:rsidR="0057163C" w:rsidRPr="00170422" w:rsidRDefault="00F37BF9">
      <w:pPr>
        <w:pStyle w:val="P68B1DB1-Normal5"/>
        <w:spacing w:before="120" w:after="120"/>
        <w:jc w:val="both"/>
        <w:rPr>
          <w:noProof/>
          <w:lang w:val="de-DE"/>
        </w:rPr>
      </w:pPr>
      <w:r w:rsidRPr="00170422">
        <w:rPr>
          <w:noProof/>
          <w:lang w:val="de-DE"/>
        </w:rPr>
        <w:t>Reform 1: Vereinfachung der Verfahren und Stärkung des Kommissars in den Sonderwirtschaftszonen</w:t>
      </w:r>
    </w:p>
    <w:p w14:paraId="30EC48EE" w14:textId="77777777" w:rsidR="0057163C" w:rsidRPr="00170422" w:rsidRDefault="00F37BF9">
      <w:pPr>
        <w:pStyle w:val="P68B1DB1-Normal7"/>
        <w:spacing w:before="120" w:after="120"/>
        <w:jc w:val="both"/>
        <w:rPr>
          <w:noProof/>
          <w:lang w:val="de-DE"/>
        </w:rPr>
      </w:pPr>
      <w:r w:rsidRPr="00170422">
        <w:rPr>
          <w:noProof/>
          <w:lang w:val="de-DE"/>
        </w:rPr>
        <w:t xml:space="preserve">Die Reform soll zur </w:t>
      </w:r>
      <w:r w:rsidRPr="00170422">
        <w:rPr>
          <w:noProof/>
          <w:lang w:val="de-DE"/>
        </w:rPr>
        <w:t>Vereinfachung des Governance-Systems beitragen und die Umsetzungszeit für Maßnahmen in den Sonderwirtschaftszonen straffen. Mit der Reform wird die digitale einzige Anlaufstelle für die Sonderwirtschaftszonen eingerichtet und die Rolle der Kommission gestä</w:t>
      </w:r>
      <w:r w:rsidRPr="00170422">
        <w:rPr>
          <w:noProof/>
          <w:lang w:val="de-DE"/>
        </w:rPr>
        <w:t xml:space="preserve">rkt. </w:t>
      </w:r>
    </w:p>
    <w:p w14:paraId="73B6A1CF" w14:textId="77777777" w:rsidR="0057163C" w:rsidRPr="00170422" w:rsidRDefault="00F37BF9">
      <w:pPr>
        <w:pStyle w:val="P68B1DB1-Normal5"/>
        <w:spacing w:before="120" w:after="120"/>
        <w:jc w:val="both"/>
        <w:rPr>
          <w:bCs/>
          <w:noProof/>
          <w:lang w:val="de-DE"/>
        </w:rPr>
      </w:pPr>
      <w:r w:rsidRPr="00170422">
        <w:rPr>
          <w:noProof/>
          <w:lang w:val="de-DE"/>
        </w:rPr>
        <w:t>Investition 1.4: Infrastrukturinvestitionen für die Sonderwirtschaftszonen (SEZ)</w:t>
      </w:r>
    </w:p>
    <w:p w14:paraId="406A69C0" w14:textId="77777777" w:rsidR="0057163C" w:rsidRPr="00170422" w:rsidRDefault="00F37BF9">
      <w:pPr>
        <w:pStyle w:val="P68B1DB1-Normal7"/>
        <w:spacing w:before="120" w:after="120"/>
        <w:jc w:val="both"/>
        <w:rPr>
          <w:noProof/>
          <w:lang w:val="de-DE"/>
        </w:rPr>
      </w:pPr>
      <w:r w:rsidRPr="00170422">
        <w:rPr>
          <w:noProof/>
          <w:lang w:val="de-DE"/>
        </w:rPr>
        <w:t>Mit der Investition sollen die Auswirkungen der Reform zur Einführung der Sonderwirtschaftszonen (SEZ) sichergestellt werden. Die Investition besteht in der Unterstützun</w:t>
      </w:r>
      <w:r w:rsidRPr="00170422">
        <w:rPr>
          <w:noProof/>
          <w:lang w:val="de-DE"/>
        </w:rPr>
        <w:t>g von Infrastrukturmaßnahmen in der Nähe von Hafengebieten („Last Meile“-Verbindungen; digitale Logistik, Urbanisierung oder Energie- und Umwelteffizienz; Hafeninfrastruktur).</w:t>
      </w:r>
    </w:p>
    <w:p w14:paraId="4D67C5CA" w14:textId="77777777" w:rsidR="0057163C" w:rsidRPr="00170422" w:rsidRDefault="0057163C">
      <w:pPr>
        <w:spacing w:before="120" w:after="120"/>
        <w:jc w:val="both"/>
        <w:rPr>
          <w:rFonts w:ascii="Times New Roman" w:hAnsi="Times New Roman" w:cs="Times New Roman"/>
          <w:noProof/>
          <w:lang w:val="de-DE"/>
        </w:rPr>
      </w:pPr>
    </w:p>
    <w:p w14:paraId="211BA476" w14:textId="77777777" w:rsidR="0057163C" w:rsidRPr="00170422" w:rsidRDefault="00F37BF9">
      <w:pPr>
        <w:pStyle w:val="P68B1DB1-Normal5"/>
        <w:spacing w:before="120" w:after="120"/>
        <w:jc w:val="both"/>
        <w:rPr>
          <w:noProof/>
          <w:lang w:val="de-DE"/>
        </w:rPr>
      </w:pPr>
      <w:r w:rsidRPr="00170422">
        <w:rPr>
          <w:noProof/>
          <w:lang w:val="de-DE"/>
        </w:rPr>
        <w:t>Investition 1.5: Steuervergünstigungsregelung für Investitionen in Süditalien u</w:t>
      </w:r>
      <w:r w:rsidRPr="00170422">
        <w:rPr>
          <w:noProof/>
          <w:lang w:val="de-DE"/>
        </w:rPr>
        <w:t>nd in der Sonderwirtschaftszone (SEZ)</w:t>
      </w:r>
    </w:p>
    <w:p w14:paraId="75EF864B" w14:textId="322695F8" w:rsidR="0057163C" w:rsidRPr="00170422" w:rsidRDefault="00F37BF9">
      <w:pPr>
        <w:pStyle w:val="P68B1DB1-Normal7"/>
        <w:spacing w:before="120" w:after="120"/>
        <w:jc w:val="both"/>
        <w:rPr>
          <w:noProof/>
          <w:lang w:val="de-DE"/>
        </w:rPr>
      </w:pPr>
      <w:r w:rsidRPr="00170422">
        <w:rPr>
          <w:noProof/>
          <w:lang w:val="de-DE"/>
        </w:rPr>
        <w:t>Ziel der Maßnahme ist es, die Wettbewerbsfähigkeit und das nachhaltige Wachstum von Unternehmen in den südlichen Regionen und/oder der Sonderwirtschaftszone (SEZ) im Süden zu fördern und gleichzeitig Anreize für privat</w:t>
      </w:r>
      <w:r w:rsidRPr="00170422">
        <w:rPr>
          <w:noProof/>
          <w:lang w:val="de-DE"/>
        </w:rPr>
        <w:t xml:space="preserve">e Investitionen zu schaffen. </w:t>
      </w:r>
    </w:p>
    <w:p w14:paraId="00FFE9F4" w14:textId="78040004" w:rsidR="0057163C" w:rsidRPr="00170422" w:rsidRDefault="00F37BF9">
      <w:pPr>
        <w:pStyle w:val="P68B1DB1-Normal7"/>
        <w:spacing w:before="120" w:after="120"/>
        <w:jc w:val="both"/>
        <w:rPr>
          <w:noProof/>
          <w:lang w:val="de-DE"/>
        </w:rPr>
      </w:pPr>
      <w:r w:rsidRPr="00170422">
        <w:rPr>
          <w:noProof/>
          <w:lang w:val="de-DE"/>
        </w:rPr>
        <w:t xml:space="preserve">Die Maßnahme umfasst eine Steuergutschriftregelung und die damit verbundenen Überwachungs- und Kontrolltätigkeiten. </w:t>
      </w:r>
    </w:p>
    <w:p w14:paraId="029204E2" w14:textId="77777777" w:rsidR="0057163C" w:rsidRPr="00170422" w:rsidRDefault="0057163C">
      <w:pPr>
        <w:spacing w:before="120" w:after="120"/>
        <w:jc w:val="both"/>
        <w:rPr>
          <w:rFonts w:ascii="Times New Roman" w:hAnsi="Times New Roman" w:cs="Times New Roman"/>
          <w:i/>
          <w:noProof/>
          <w:color w:val="156082" w:themeColor="accent1"/>
          <w:lang w:val="de-DE"/>
        </w:rPr>
        <w:sectPr w:rsidR="0057163C" w:rsidRPr="00170422" w:rsidSect="005F11B9">
          <w:headerReference w:type="even" r:id="rId272"/>
          <w:headerReference w:type="default" r:id="rId273"/>
          <w:footerReference w:type="even" r:id="rId274"/>
          <w:footerReference w:type="default" r:id="rId275"/>
          <w:headerReference w:type="first" r:id="rId276"/>
          <w:footerReference w:type="first" r:id="rId277"/>
          <w:pgSz w:w="11907" w:h="16839"/>
          <w:pgMar w:top="1440" w:right="1440" w:bottom="1440" w:left="1440" w:header="567" w:footer="567" w:gutter="0"/>
          <w:cols w:space="720"/>
          <w:docGrid w:linePitch="360"/>
        </w:sectPr>
      </w:pPr>
    </w:p>
    <w:p w14:paraId="36D2074D"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N.4. </w:t>
      </w:r>
      <w:r w:rsidRPr="00170422">
        <w:rPr>
          <w:noProof/>
          <w:lang w:val="de-DE"/>
        </w:rPr>
        <w:t xml:space="preserve"> </w:t>
      </w:r>
      <w:r w:rsidRPr="00170422">
        <w:rPr>
          <w:b/>
          <w:noProof/>
          <w:u w:val="single"/>
          <w:lang w:val="de-DE"/>
        </w:rPr>
        <w:t xml:space="preserve">Etappenziele, Zielwerte, Indikatoren und Zeitplan </w:t>
      </w:r>
      <w:r w:rsidRPr="00170422">
        <w:rPr>
          <w:b/>
          <w:noProof/>
          <w:u w:val="single"/>
          <w:lang w:val="de-DE"/>
        </w:rPr>
        <w:t xml:space="preserve">für die Überwachung und Durchführung (Darlehen) </w:t>
      </w:r>
    </w:p>
    <w:tbl>
      <w:tblPr>
        <w:tblW w:w="1566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701"/>
        <w:gridCol w:w="1276"/>
        <w:gridCol w:w="1559"/>
        <w:gridCol w:w="1701"/>
        <w:gridCol w:w="1276"/>
        <w:gridCol w:w="1418"/>
        <w:gridCol w:w="708"/>
        <w:gridCol w:w="851"/>
        <w:gridCol w:w="709"/>
        <w:gridCol w:w="3049"/>
      </w:tblGrid>
      <w:tr w:rsidR="0057163C" w:rsidRPr="00170422" w14:paraId="42E2C346" w14:textId="77777777" w:rsidTr="00DB5D07">
        <w:trPr>
          <w:trHeight w:val="939"/>
          <w:tblHeader/>
        </w:trPr>
        <w:tc>
          <w:tcPr>
            <w:tcW w:w="1418" w:type="dxa"/>
            <w:vMerge w:val="restart"/>
            <w:shd w:val="clear" w:color="auto" w:fill="BDD7EE"/>
            <w:vAlign w:val="center"/>
            <w:hideMark/>
          </w:tcPr>
          <w:p w14:paraId="326EED77" w14:textId="77777777" w:rsidR="0057163C" w:rsidRPr="00170422" w:rsidRDefault="00F37BF9">
            <w:pPr>
              <w:pStyle w:val="P68B1DB1-Normal10"/>
              <w:jc w:val="center"/>
              <w:rPr>
                <w:noProof/>
                <w:szCs w:val="20"/>
                <w:lang w:val="de-DE"/>
              </w:rPr>
            </w:pPr>
            <w:r w:rsidRPr="00170422">
              <w:rPr>
                <w:noProof/>
                <w:lang w:val="de-DE"/>
              </w:rPr>
              <w:t>Laufende Nummer</w:t>
            </w:r>
          </w:p>
        </w:tc>
        <w:tc>
          <w:tcPr>
            <w:tcW w:w="1701" w:type="dxa"/>
            <w:vMerge w:val="restart"/>
            <w:shd w:val="clear" w:color="auto" w:fill="BDD7EE"/>
            <w:vAlign w:val="center"/>
            <w:hideMark/>
          </w:tcPr>
          <w:p w14:paraId="6498CC90"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76" w:type="dxa"/>
            <w:vMerge w:val="restart"/>
            <w:shd w:val="clear" w:color="auto" w:fill="BDD7EE"/>
            <w:vAlign w:val="center"/>
            <w:hideMark/>
          </w:tcPr>
          <w:p w14:paraId="54ECA473" w14:textId="31572C6E" w:rsidR="0057163C" w:rsidRPr="00170422" w:rsidRDefault="00F37BF9">
            <w:pPr>
              <w:pStyle w:val="P68B1DB1-Normal10"/>
              <w:jc w:val="center"/>
              <w:rPr>
                <w:noProof/>
                <w:szCs w:val="20"/>
                <w:lang w:val="de-DE"/>
              </w:rPr>
            </w:pPr>
            <w:r w:rsidRPr="00170422">
              <w:rPr>
                <w:noProof/>
                <w:lang w:val="de-DE"/>
              </w:rPr>
              <w:t>Etappenziel/</w:t>
            </w:r>
            <w:r w:rsidR="00DB5D07" w:rsidRPr="00170422">
              <w:rPr>
                <w:noProof/>
                <w:lang w:val="de-DE"/>
              </w:rPr>
              <w:br/>
            </w:r>
            <w:r w:rsidRPr="00170422">
              <w:rPr>
                <w:noProof/>
                <w:lang w:val="de-DE"/>
              </w:rPr>
              <w:t>Zielwert</w:t>
            </w:r>
          </w:p>
        </w:tc>
        <w:tc>
          <w:tcPr>
            <w:tcW w:w="1559" w:type="dxa"/>
            <w:vMerge w:val="restart"/>
            <w:shd w:val="clear" w:color="auto" w:fill="BDD7EE"/>
            <w:vAlign w:val="center"/>
            <w:hideMark/>
          </w:tcPr>
          <w:p w14:paraId="156DBE73" w14:textId="77777777" w:rsidR="0057163C" w:rsidRPr="00170422" w:rsidRDefault="00F37BF9">
            <w:pPr>
              <w:pStyle w:val="P68B1DB1-Normal10"/>
              <w:jc w:val="center"/>
              <w:rPr>
                <w:noProof/>
                <w:szCs w:val="20"/>
                <w:lang w:val="de-DE"/>
              </w:rPr>
            </w:pPr>
            <w:r w:rsidRPr="00170422">
              <w:rPr>
                <w:noProof/>
                <w:lang w:val="de-DE"/>
              </w:rPr>
              <w:t>Namen</w:t>
            </w:r>
          </w:p>
        </w:tc>
        <w:tc>
          <w:tcPr>
            <w:tcW w:w="1701" w:type="dxa"/>
            <w:vMerge w:val="restart"/>
            <w:shd w:val="clear" w:color="auto" w:fill="BDD7EE"/>
            <w:vAlign w:val="center"/>
            <w:hideMark/>
          </w:tcPr>
          <w:p w14:paraId="2E30001E" w14:textId="785050E6"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DB5D0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402" w:type="dxa"/>
            <w:gridSpan w:val="3"/>
            <w:shd w:val="clear" w:color="auto" w:fill="BDD7EE"/>
            <w:vAlign w:val="center"/>
            <w:hideMark/>
          </w:tcPr>
          <w:p w14:paraId="02815D89"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60" w:type="dxa"/>
            <w:gridSpan w:val="2"/>
            <w:shd w:val="clear" w:color="auto" w:fill="BDD7EE"/>
            <w:vAlign w:val="center"/>
            <w:hideMark/>
          </w:tcPr>
          <w:p w14:paraId="37EE140E" w14:textId="77777777" w:rsidR="0057163C" w:rsidRPr="00170422" w:rsidRDefault="00F37BF9">
            <w:pPr>
              <w:pStyle w:val="P68B1DB1-Normal10"/>
              <w:jc w:val="center"/>
              <w:rPr>
                <w:noProof/>
                <w:szCs w:val="20"/>
                <w:lang w:val="de-DE"/>
              </w:rPr>
            </w:pPr>
            <w:r w:rsidRPr="00170422">
              <w:rPr>
                <w:noProof/>
                <w:lang w:val="de-DE"/>
              </w:rPr>
              <w:t xml:space="preserve">Vorläufiger Zeitplan </w:t>
            </w:r>
            <w:r w:rsidRPr="00170422">
              <w:rPr>
                <w:noProof/>
                <w:lang w:val="de-DE"/>
              </w:rPr>
              <w:t>für die Fertigstellung</w:t>
            </w:r>
          </w:p>
        </w:tc>
        <w:tc>
          <w:tcPr>
            <w:tcW w:w="3049" w:type="dxa"/>
            <w:vMerge w:val="restart"/>
            <w:shd w:val="clear" w:color="auto" w:fill="BDD7EE"/>
            <w:vAlign w:val="center"/>
            <w:hideMark/>
          </w:tcPr>
          <w:p w14:paraId="43843B46"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3261AC42" w14:textId="77777777" w:rsidTr="00DB5D07">
        <w:trPr>
          <w:trHeight w:val="741"/>
          <w:tblHeader/>
        </w:trPr>
        <w:tc>
          <w:tcPr>
            <w:tcW w:w="1418" w:type="dxa"/>
            <w:vMerge/>
            <w:vAlign w:val="center"/>
            <w:hideMark/>
          </w:tcPr>
          <w:p w14:paraId="106A1BEA" w14:textId="77777777" w:rsidR="0057163C" w:rsidRPr="00170422" w:rsidRDefault="0057163C">
            <w:pPr>
              <w:jc w:val="center"/>
              <w:rPr>
                <w:rFonts w:ascii="Arial Narrow" w:hAnsi="Arial Narrow"/>
                <w:b/>
                <w:noProof/>
                <w:sz w:val="20"/>
                <w:szCs w:val="20"/>
                <w:lang w:val="de-DE"/>
              </w:rPr>
            </w:pPr>
          </w:p>
        </w:tc>
        <w:tc>
          <w:tcPr>
            <w:tcW w:w="1701" w:type="dxa"/>
            <w:vMerge/>
            <w:vAlign w:val="center"/>
            <w:hideMark/>
          </w:tcPr>
          <w:p w14:paraId="51BD9E6C" w14:textId="77777777" w:rsidR="0057163C" w:rsidRPr="00170422" w:rsidRDefault="0057163C">
            <w:pPr>
              <w:jc w:val="center"/>
              <w:rPr>
                <w:rFonts w:ascii="Arial Narrow" w:hAnsi="Arial Narrow"/>
                <w:b/>
                <w:noProof/>
                <w:sz w:val="20"/>
                <w:szCs w:val="20"/>
                <w:lang w:val="de-DE"/>
              </w:rPr>
            </w:pPr>
          </w:p>
        </w:tc>
        <w:tc>
          <w:tcPr>
            <w:tcW w:w="1276" w:type="dxa"/>
            <w:vMerge/>
            <w:vAlign w:val="center"/>
            <w:hideMark/>
          </w:tcPr>
          <w:p w14:paraId="72737AD6" w14:textId="77777777" w:rsidR="0057163C" w:rsidRPr="00170422" w:rsidRDefault="0057163C">
            <w:pPr>
              <w:jc w:val="center"/>
              <w:rPr>
                <w:rFonts w:ascii="Arial Narrow" w:hAnsi="Arial Narrow"/>
                <w:b/>
                <w:noProof/>
                <w:sz w:val="20"/>
                <w:szCs w:val="20"/>
                <w:lang w:val="de-DE"/>
              </w:rPr>
            </w:pPr>
          </w:p>
        </w:tc>
        <w:tc>
          <w:tcPr>
            <w:tcW w:w="1559" w:type="dxa"/>
            <w:vMerge/>
            <w:vAlign w:val="center"/>
            <w:hideMark/>
          </w:tcPr>
          <w:p w14:paraId="533C4945" w14:textId="77777777" w:rsidR="0057163C" w:rsidRPr="00170422" w:rsidRDefault="0057163C">
            <w:pPr>
              <w:jc w:val="center"/>
              <w:rPr>
                <w:rFonts w:ascii="Arial Narrow" w:hAnsi="Arial Narrow"/>
                <w:b/>
                <w:noProof/>
                <w:sz w:val="20"/>
                <w:szCs w:val="20"/>
                <w:lang w:val="de-DE"/>
              </w:rPr>
            </w:pPr>
          </w:p>
        </w:tc>
        <w:tc>
          <w:tcPr>
            <w:tcW w:w="1701" w:type="dxa"/>
            <w:vMerge/>
            <w:vAlign w:val="center"/>
            <w:hideMark/>
          </w:tcPr>
          <w:p w14:paraId="4AD3BAB3" w14:textId="77777777" w:rsidR="0057163C" w:rsidRPr="00170422" w:rsidRDefault="0057163C">
            <w:pPr>
              <w:jc w:val="center"/>
              <w:rPr>
                <w:rFonts w:ascii="Arial Narrow" w:hAnsi="Arial Narrow"/>
                <w:b/>
                <w:noProof/>
                <w:sz w:val="20"/>
                <w:szCs w:val="20"/>
                <w:lang w:val="de-DE"/>
              </w:rPr>
            </w:pPr>
          </w:p>
        </w:tc>
        <w:tc>
          <w:tcPr>
            <w:tcW w:w="1276" w:type="dxa"/>
            <w:shd w:val="clear" w:color="auto" w:fill="BDD7EE"/>
            <w:vAlign w:val="center"/>
            <w:hideMark/>
          </w:tcPr>
          <w:p w14:paraId="37AE4EAD" w14:textId="77777777" w:rsidR="0057163C" w:rsidRPr="00170422" w:rsidRDefault="00F37BF9">
            <w:pPr>
              <w:pStyle w:val="P68B1DB1-Normal10"/>
              <w:jc w:val="center"/>
              <w:rPr>
                <w:noProof/>
                <w:szCs w:val="20"/>
                <w:lang w:val="de-DE"/>
              </w:rPr>
            </w:pPr>
            <w:r w:rsidRPr="00170422">
              <w:rPr>
                <w:noProof/>
                <w:lang w:val="de-DE"/>
              </w:rPr>
              <w:t>Maßeinheit</w:t>
            </w:r>
          </w:p>
        </w:tc>
        <w:tc>
          <w:tcPr>
            <w:tcW w:w="1418" w:type="dxa"/>
            <w:shd w:val="clear" w:color="auto" w:fill="BDD7EE"/>
            <w:vAlign w:val="center"/>
            <w:hideMark/>
          </w:tcPr>
          <w:p w14:paraId="350D2109" w14:textId="77777777" w:rsidR="0057163C" w:rsidRPr="00170422" w:rsidRDefault="00F37BF9">
            <w:pPr>
              <w:pStyle w:val="P68B1DB1-Normal10"/>
              <w:jc w:val="center"/>
              <w:rPr>
                <w:noProof/>
                <w:szCs w:val="20"/>
                <w:lang w:val="de-DE"/>
              </w:rPr>
            </w:pPr>
            <w:r w:rsidRPr="00170422">
              <w:rPr>
                <w:noProof/>
                <w:lang w:val="de-DE"/>
              </w:rPr>
              <w:t>Ausgangslage</w:t>
            </w:r>
          </w:p>
        </w:tc>
        <w:tc>
          <w:tcPr>
            <w:tcW w:w="708" w:type="dxa"/>
            <w:shd w:val="clear" w:color="auto" w:fill="BDD7EE"/>
            <w:vAlign w:val="center"/>
            <w:hideMark/>
          </w:tcPr>
          <w:p w14:paraId="53B9161C" w14:textId="77777777" w:rsidR="0057163C" w:rsidRPr="00170422" w:rsidRDefault="00F37BF9">
            <w:pPr>
              <w:pStyle w:val="P68B1DB1-Normal10"/>
              <w:jc w:val="center"/>
              <w:rPr>
                <w:noProof/>
                <w:szCs w:val="20"/>
                <w:lang w:val="de-DE"/>
              </w:rPr>
            </w:pPr>
            <w:r w:rsidRPr="00170422">
              <w:rPr>
                <w:noProof/>
                <w:lang w:val="de-DE"/>
              </w:rPr>
              <w:t>Ziel</w:t>
            </w:r>
          </w:p>
        </w:tc>
        <w:tc>
          <w:tcPr>
            <w:tcW w:w="851" w:type="dxa"/>
            <w:shd w:val="clear" w:color="auto" w:fill="BDD7EE"/>
            <w:vAlign w:val="center"/>
            <w:hideMark/>
          </w:tcPr>
          <w:p w14:paraId="7E9200B7" w14:textId="77777777" w:rsidR="0057163C" w:rsidRPr="00170422" w:rsidRDefault="00F37BF9">
            <w:pPr>
              <w:pStyle w:val="P68B1DB1-Normal10"/>
              <w:jc w:val="center"/>
              <w:rPr>
                <w:noProof/>
                <w:szCs w:val="20"/>
                <w:lang w:val="de-DE"/>
              </w:rPr>
            </w:pPr>
            <w:r w:rsidRPr="00170422">
              <w:rPr>
                <w:noProof/>
                <w:lang w:val="de-DE"/>
              </w:rPr>
              <w:t>Viertel</w:t>
            </w:r>
          </w:p>
        </w:tc>
        <w:tc>
          <w:tcPr>
            <w:tcW w:w="709" w:type="dxa"/>
            <w:shd w:val="clear" w:color="auto" w:fill="BDD7EE"/>
            <w:vAlign w:val="center"/>
            <w:hideMark/>
          </w:tcPr>
          <w:p w14:paraId="423276CC" w14:textId="77777777" w:rsidR="0057163C" w:rsidRPr="00170422" w:rsidRDefault="00F37BF9">
            <w:pPr>
              <w:pStyle w:val="P68B1DB1-Normal10"/>
              <w:jc w:val="center"/>
              <w:rPr>
                <w:noProof/>
                <w:szCs w:val="20"/>
                <w:lang w:val="de-DE"/>
              </w:rPr>
            </w:pPr>
            <w:r w:rsidRPr="00170422">
              <w:rPr>
                <w:noProof/>
                <w:lang w:val="de-DE"/>
              </w:rPr>
              <w:t>Jahre</w:t>
            </w:r>
          </w:p>
        </w:tc>
        <w:tc>
          <w:tcPr>
            <w:tcW w:w="3049" w:type="dxa"/>
            <w:vMerge/>
            <w:vAlign w:val="center"/>
            <w:hideMark/>
          </w:tcPr>
          <w:p w14:paraId="250455F0" w14:textId="77777777" w:rsidR="0057163C" w:rsidRPr="00170422" w:rsidRDefault="0057163C">
            <w:pPr>
              <w:jc w:val="center"/>
              <w:rPr>
                <w:rFonts w:ascii="Arial Narrow" w:hAnsi="Arial Narrow"/>
                <w:b/>
                <w:noProof/>
                <w:sz w:val="20"/>
                <w:szCs w:val="20"/>
                <w:lang w:val="de-DE"/>
              </w:rPr>
            </w:pPr>
          </w:p>
        </w:tc>
      </w:tr>
      <w:tr w:rsidR="0057163C" w:rsidRPr="00170422" w14:paraId="53DCD781" w14:textId="77777777" w:rsidTr="00DB5D07">
        <w:trPr>
          <w:trHeight w:val="313"/>
        </w:trPr>
        <w:tc>
          <w:tcPr>
            <w:tcW w:w="1418" w:type="dxa"/>
            <w:shd w:val="clear" w:color="auto" w:fill="C6EFCE"/>
            <w:noWrap/>
            <w:vAlign w:val="center"/>
          </w:tcPr>
          <w:p w14:paraId="681A322C" w14:textId="77777777" w:rsidR="0057163C" w:rsidRPr="00170422" w:rsidRDefault="00F37BF9">
            <w:pPr>
              <w:pStyle w:val="P68B1DB1-Normal11"/>
              <w:jc w:val="center"/>
              <w:rPr>
                <w:noProof/>
                <w:szCs w:val="20"/>
                <w:lang w:val="de-DE"/>
              </w:rPr>
            </w:pPr>
            <w:r w:rsidRPr="00170422">
              <w:rPr>
                <w:noProof/>
                <w:lang w:val="de-DE"/>
              </w:rPr>
              <w:t>M5C3-10</w:t>
            </w:r>
          </w:p>
        </w:tc>
        <w:tc>
          <w:tcPr>
            <w:tcW w:w="1701" w:type="dxa"/>
            <w:shd w:val="clear" w:color="auto" w:fill="C6EFCE"/>
            <w:noWrap/>
            <w:vAlign w:val="center"/>
            <w:hideMark/>
          </w:tcPr>
          <w:p w14:paraId="5003A5CA" w14:textId="77777777" w:rsidR="0057163C" w:rsidRPr="00170422" w:rsidRDefault="00F37BF9">
            <w:pPr>
              <w:pStyle w:val="P68B1DB1-Normal11"/>
              <w:jc w:val="center"/>
              <w:rPr>
                <w:noProof/>
                <w:szCs w:val="20"/>
                <w:lang w:val="de-DE"/>
              </w:rPr>
            </w:pPr>
            <w:r w:rsidRPr="00170422">
              <w:rPr>
                <w:noProof/>
                <w:lang w:val="de-DE"/>
              </w:rPr>
              <w:t>Reform1: Vereinfachung der Verfahren und Stärkung des Kommissars in den Sonderwirtschaftszonen</w:t>
            </w:r>
          </w:p>
        </w:tc>
        <w:tc>
          <w:tcPr>
            <w:tcW w:w="1276" w:type="dxa"/>
            <w:shd w:val="clear" w:color="auto" w:fill="C6EFCE"/>
            <w:noWrap/>
            <w:vAlign w:val="center"/>
            <w:hideMark/>
          </w:tcPr>
          <w:p w14:paraId="36FC0E20" w14:textId="77777777" w:rsidR="0057163C" w:rsidRPr="00170422" w:rsidRDefault="00F37BF9">
            <w:pPr>
              <w:pStyle w:val="P68B1DB1-Normal11"/>
              <w:jc w:val="center"/>
              <w:rPr>
                <w:noProof/>
                <w:szCs w:val="20"/>
                <w:lang w:val="de-DE"/>
              </w:rPr>
            </w:pPr>
            <w:r w:rsidRPr="00170422">
              <w:rPr>
                <w:noProof/>
                <w:lang w:val="de-DE"/>
              </w:rPr>
              <w:t>Meilenstein</w:t>
            </w:r>
          </w:p>
        </w:tc>
        <w:tc>
          <w:tcPr>
            <w:tcW w:w="1559" w:type="dxa"/>
            <w:shd w:val="clear" w:color="auto" w:fill="C6EFCE"/>
            <w:noWrap/>
            <w:vAlign w:val="center"/>
            <w:hideMark/>
          </w:tcPr>
          <w:p w14:paraId="7EB6AFFF" w14:textId="77777777" w:rsidR="0057163C" w:rsidRPr="00170422" w:rsidRDefault="00F37BF9">
            <w:pPr>
              <w:pStyle w:val="P68B1DB1-Normal11"/>
              <w:jc w:val="center"/>
              <w:rPr>
                <w:noProof/>
                <w:szCs w:val="20"/>
                <w:lang w:val="de-DE"/>
              </w:rPr>
            </w:pPr>
            <w:r w:rsidRPr="00170422">
              <w:rPr>
                <w:noProof/>
                <w:lang w:val="de-DE"/>
              </w:rPr>
              <w:t>Inkrafttreten der Verordnung, um lediglich die Verfahren zu regeln und die Rolle des Kommissars in den Sonderwirtschaftszonen zu stärken</w:t>
            </w:r>
          </w:p>
        </w:tc>
        <w:tc>
          <w:tcPr>
            <w:tcW w:w="1701" w:type="dxa"/>
            <w:shd w:val="clear" w:color="auto" w:fill="C6EFCE"/>
            <w:noWrap/>
            <w:vAlign w:val="center"/>
            <w:hideMark/>
          </w:tcPr>
          <w:p w14:paraId="418AC9B0" w14:textId="77777777" w:rsidR="0057163C" w:rsidRPr="00170422" w:rsidRDefault="00F37BF9">
            <w:pPr>
              <w:pStyle w:val="P68B1DB1-Normal11"/>
              <w:jc w:val="center"/>
              <w:rPr>
                <w:noProof/>
                <w:szCs w:val="20"/>
                <w:lang w:val="de-DE"/>
              </w:rPr>
            </w:pPr>
            <w:r w:rsidRPr="00170422">
              <w:rPr>
                <w:noProof/>
                <w:lang w:val="de-DE"/>
              </w:rPr>
              <w:t xml:space="preserve">Bestimmung in der Verordnung über das Inkrafttreten der Verordnung, um lediglich die Verfahren zu regeln und die Rolle </w:t>
            </w:r>
            <w:r w:rsidRPr="00170422">
              <w:rPr>
                <w:noProof/>
                <w:lang w:val="de-DE"/>
              </w:rPr>
              <w:t>des Kommissars in den Sonderwirtschaftszonen zu stärken</w:t>
            </w:r>
          </w:p>
        </w:tc>
        <w:tc>
          <w:tcPr>
            <w:tcW w:w="1276" w:type="dxa"/>
            <w:shd w:val="clear" w:color="auto" w:fill="C6EFCE"/>
            <w:noWrap/>
            <w:vAlign w:val="center"/>
          </w:tcPr>
          <w:p w14:paraId="04684F1D"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30AFCDC6"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noWrap/>
            <w:vAlign w:val="center"/>
          </w:tcPr>
          <w:p w14:paraId="6375EE48"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noWrap/>
            <w:vAlign w:val="center"/>
            <w:hideMark/>
          </w:tcPr>
          <w:p w14:paraId="3E4339B1"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noWrap/>
            <w:vAlign w:val="center"/>
            <w:hideMark/>
          </w:tcPr>
          <w:p w14:paraId="3409069B" w14:textId="77777777" w:rsidR="0057163C" w:rsidRPr="00170422" w:rsidRDefault="00F37BF9">
            <w:pPr>
              <w:pStyle w:val="P68B1DB1-Normal11"/>
              <w:rPr>
                <w:noProof/>
                <w:szCs w:val="20"/>
                <w:lang w:val="de-DE"/>
              </w:rPr>
            </w:pPr>
            <w:r w:rsidRPr="00170422">
              <w:rPr>
                <w:noProof/>
                <w:lang w:val="de-DE"/>
              </w:rPr>
              <w:t>2021</w:t>
            </w:r>
          </w:p>
        </w:tc>
        <w:tc>
          <w:tcPr>
            <w:tcW w:w="3049" w:type="dxa"/>
            <w:shd w:val="clear" w:color="auto" w:fill="C6EFCE"/>
            <w:noWrap/>
            <w:vAlign w:val="center"/>
            <w:hideMark/>
          </w:tcPr>
          <w:p w14:paraId="594F30D7" w14:textId="77777777" w:rsidR="0057163C" w:rsidRPr="00170422" w:rsidRDefault="00F37BF9">
            <w:pPr>
              <w:pStyle w:val="P68B1DB1-Normal11"/>
              <w:rPr>
                <w:noProof/>
                <w:szCs w:val="20"/>
                <w:lang w:val="de-DE"/>
              </w:rPr>
            </w:pPr>
            <w:r w:rsidRPr="00170422">
              <w:rPr>
                <w:noProof/>
                <w:lang w:val="de-DE"/>
              </w:rPr>
              <w:t>Die Verordnung umfasst: die</w:t>
            </w:r>
          </w:p>
          <w:p w14:paraId="4E117B5A" w14:textId="77777777" w:rsidR="0057163C" w:rsidRPr="00170422" w:rsidRDefault="00F37BF9">
            <w:pPr>
              <w:pStyle w:val="P68B1DB1-Normal11"/>
              <w:rPr>
                <w:noProof/>
                <w:szCs w:val="20"/>
                <w:lang w:val="de-DE"/>
              </w:rPr>
            </w:pPr>
            <w:r w:rsidRPr="00170422">
              <w:rPr>
                <w:noProof/>
                <w:lang w:val="de-DE"/>
              </w:rPr>
              <w:t>Einrichtung der digitalen einzigen Anlaufstelle für die Sonderwirtschaftszonen zur Vere</w:t>
            </w:r>
            <w:r w:rsidRPr="00170422">
              <w:rPr>
                <w:noProof/>
                <w:lang w:val="de-DE"/>
              </w:rPr>
              <w:t xml:space="preserve">infachung der Verfahren; Bestimmungen zur Stärkung der Rolle des Kommissars in ZES. </w:t>
            </w:r>
          </w:p>
          <w:p w14:paraId="0FB5FDF8" w14:textId="77777777" w:rsidR="0057163C" w:rsidRPr="00170422" w:rsidRDefault="00F37BF9">
            <w:pPr>
              <w:pStyle w:val="P68B1DB1-Normal11"/>
              <w:rPr>
                <w:noProof/>
                <w:szCs w:val="20"/>
                <w:lang w:val="de-DE"/>
              </w:rPr>
            </w:pPr>
            <w:r w:rsidRPr="00170422">
              <w:rPr>
                <w:noProof/>
                <w:lang w:val="de-DE"/>
              </w:rPr>
              <w:t>Sonderwirtschaftszonen sind besondere Bereiche, die im Gesetzesdekret 91/2017 (Veröffentlichung im Amtsblatt 141/2017) festgelegt sind, das durch die L. 123/2017 (veröffen</w:t>
            </w:r>
            <w:r w:rsidRPr="00170422">
              <w:rPr>
                <w:noProof/>
                <w:lang w:val="de-DE"/>
              </w:rPr>
              <w:t>tlicht im Amtsblatt Mezzogiorno 188/2017) in ein Gesetz umgewandelt wurde.</w:t>
            </w:r>
          </w:p>
        </w:tc>
      </w:tr>
      <w:tr w:rsidR="0057163C" w:rsidRPr="00170422" w14:paraId="15981348" w14:textId="77777777" w:rsidTr="00DB5D07">
        <w:trPr>
          <w:trHeight w:val="313"/>
        </w:trPr>
        <w:tc>
          <w:tcPr>
            <w:tcW w:w="1418" w:type="dxa"/>
            <w:shd w:val="clear" w:color="auto" w:fill="C6EFCE"/>
            <w:noWrap/>
            <w:vAlign w:val="center"/>
            <w:hideMark/>
          </w:tcPr>
          <w:p w14:paraId="5A44437B" w14:textId="77777777" w:rsidR="0057163C" w:rsidRPr="00170422" w:rsidRDefault="00F37BF9">
            <w:pPr>
              <w:pStyle w:val="P68B1DB1-Normal11"/>
              <w:jc w:val="center"/>
              <w:rPr>
                <w:noProof/>
                <w:szCs w:val="20"/>
                <w:lang w:val="de-DE"/>
              </w:rPr>
            </w:pPr>
            <w:r w:rsidRPr="00170422">
              <w:rPr>
                <w:noProof/>
                <w:lang w:val="de-DE"/>
              </w:rPr>
              <w:t>M5C3-11</w:t>
            </w:r>
          </w:p>
        </w:tc>
        <w:tc>
          <w:tcPr>
            <w:tcW w:w="1701" w:type="dxa"/>
            <w:shd w:val="clear" w:color="auto" w:fill="C6EFCE"/>
            <w:noWrap/>
            <w:vAlign w:val="center"/>
            <w:hideMark/>
          </w:tcPr>
          <w:p w14:paraId="07DDBACD" w14:textId="77777777" w:rsidR="0057163C" w:rsidRPr="00170422" w:rsidRDefault="00F37BF9">
            <w:pPr>
              <w:pStyle w:val="P68B1DB1-Normal11"/>
              <w:jc w:val="center"/>
              <w:rPr>
                <w:noProof/>
                <w:szCs w:val="20"/>
                <w:lang w:val="de-DE"/>
              </w:rPr>
            </w:pPr>
            <w:r w:rsidRPr="00170422">
              <w:rPr>
                <w:noProof/>
                <w:lang w:val="de-DE"/>
              </w:rPr>
              <w:t>Investition 1.4: Infrastrukturinvestitionen für die Sonderwirtschaftszone</w:t>
            </w:r>
            <w:r w:rsidRPr="00170422">
              <w:rPr>
                <w:noProof/>
                <w:shd w:val="clear" w:color="auto" w:fill="E6E6E6"/>
                <w:lang w:val="de-DE"/>
              </w:rPr>
              <w:t xml:space="preserve"> </w:t>
            </w:r>
          </w:p>
        </w:tc>
        <w:tc>
          <w:tcPr>
            <w:tcW w:w="1276" w:type="dxa"/>
            <w:shd w:val="clear" w:color="auto" w:fill="C6EFCE"/>
            <w:noWrap/>
            <w:vAlign w:val="center"/>
            <w:hideMark/>
          </w:tcPr>
          <w:p w14:paraId="6053FA46" w14:textId="77777777" w:rsidR="0057163C" w:rsidRPr="00170422" w:rsidRDefault="00F37BF9">
            <w:pPr>
              <w:pStyle w:val="P68B1DB1-Normal11"/>
              <w:jc w:val="center"/>
              <w:rPr>
                <w:noProof/>
                <w:szCs w:val="20"/>
                <w:lang w:val="de-DE"/>
              </w:rPr>
            </w:pPr>
            <w:r w:rsidRPr="00170422">
              <w:rPr>
                <w:noProof/>
                <w:lang w:val="de-DE"/>
              </w:rPr>
              <w:t>Meilenstein</w:t>
            </w:r>
          </w:p>
        </w:tc>
        <w:tc>
          <w:tcPr>
            <w:tcW w:w="1559" w:type="dxa"/>
            <w:shd w:val="clear" w:color="auto" w:fill="C6EFCE"/>
            <w:noWrap/>
            <w:vAlign w:val="center"/>
            <w:hideMark/>
          </w:tcPr>
          <w:p w14:paraId="10B54B4A" w14:textId="77777777" w:rsidR="0057163C" w:rsidRPr="00170422" w:rsidRDefault="00F37BF9">
            <w:pPr>
              <w:pStyle w:val="P68B1DB1-Normal11"/>
              <w:jc w:val="center"/>
              <w:rPr>
                <w:noProof/>
                <w:szCs w:val="20"/>
                <w:lang w:val="de-DE"/>
              </w:rPr>
            </w:pPr>
            <w:r w:rsidRPr="00170422">
              <w:rPr>
                <w:noProof/>
                <w:lang w:val="de-DE"/>
              </w:rPr>
              <w:t xml:space="preserve">Inkrafttreten von Dekreten des Ministeriums zur Genehmigung von Einsatzplänen für </w:t>
            </w:r>
            <w:r w:rsidRPr="00170422">
              <w:rPr>
                <w:noProof/>
                <w:lang w:val="de-DE"/>
              </w:rPr>
              <w:t>alle acht Sonderwirtschaftszonen</w:t>
            </w:r>
          </w:p>
        </w:tc>
        <w:tc>
          <w:tcPr>
            <w:tcW w:w="1701" w:type="dxa"/>
            <w:shd w:val="clear" w:color="auto" w:fill="C6EFCE"/>
            <w:noWrap/>
            <w:vAlign w:val="center"/>
            <w:hideMark/>
          </w:tcPr>
          <w:p w14:paraId="16161307" w14:textId="77777777" w:rsidR="0057163C" w:rsidRPr="00170422" w:rsidRDefault="00F37BF9">
            <w:pPr>
              <w:pStyle w:val="P68B1DB1-Normal11"/>
              <w:jc w:val="center"/>
              <w:rPr>
                <w:noProof/>
                <w:szCs w:val="20"/>
                <w:lang w:val="de-DE"/>
              </w:rPr>
            </w:pPr>
            <w:r w:rsidRPr="00170422">
              <w:rPr>
                <w:noProof/>
                <w:lang w:val="de-DE"/>
              </w:rPr>
              <w:t>Bestimmung im Gesetz über das Inkrafttreten der Dekrete des Ministeriums.</w:t>
            </w:r>
          </w:p>
        </w:tc>
        <w:tc>
          <w:tcPr>
            <w:tcW w:w="1276" w:type="dxa"/>
            <w:shd w:val="clear" w:color="auto" w:fill="C6EFCE"/>
            <w:noWrap/>
            <w:vAlign w:val="center"/>
            <w:hideMark/>
          </w:tcPr>
          <w:p w14:paraId="67E4AF69"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4B2A2E01"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noWrap/>
            <w:vAlign w:val="center"/>
          </w:tcPr>
          <w:p w14:paraId="2C33B48E"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noWrap/>
            <w:vAlign w:val="center"/>
            <w:hideMark/>
          </w:tcPr>
          <w:p w14:paraId="56A27D68"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noWrap/>
            <w:vAlign w:val="center"/>
            <w:hideMark/>
          </w:tcPr>
          <w:p w14:paraId="32B1E61C" w14:textId="77777777" w:rsidR="0057163C" w:rsidRPr="00170422" w:rsidRDefault="00F37BF9">
            <w:pPr>
              <w:pStyle w:val="P68B1DB1-Normal11"/>
              <w:jc w:val="center"/>
              <w:rPr>
                <w:noProof/>
                <w:szCs w:val="20"/>
                <w:lang w:val="de-DE"/>
              </w:rPr>
            </w:pPr>
            <w:r w:rsidRPr="00170422">
              <w:rPr>
                <w:noProof/>
                <w:lang w:val="de-DE"/>
              </w:rPr>
              <w:t>2021</w:t>
            </w:r>
          </w:p>
        </w:tc>
        <w:tc>
          <w:tcPr>
            <w:tcW w:w="3049" w:type="dxa"/>
            <w:shd w:val="clear" w:color="auto" w:fill="C6EFCE"/>
            <w:noWrap/>
            <w:vAlign w:val="center"/>
            <w:hideMark/>
          </w:tcPr>
          <w:p w14:paraId="6DD58627" w14:textId="77777777" w:rsidR="0057163C" w:rsidRPr="00170422" w:rsidRDefault="00F37BF9">
            <w:pPr>
              <w:pStyle w:val="P68B1DB1-Normal11"/>
              <w:rPr>
                <w:noProof/>
                <w:lang w:val="de-DE"/>
              </w:rPr>
            </w:pPr>
            <w:r w:rsidRPr="00170422">
              <w:rPr>
                <w:noProof/>
                <w:lang w:val="de-DE"/>
              </w:rPr>
              <w:t>Das Dekret weist den für die Durchführung zuständigen Personen Ressourcen zu und legt spezifische Bedin</w:t>
            </w:r>
            <w:r w:rsidRPr="00170422">
              <w:rPr>
                <w:noProof/>
                <w:lang w:val="de-DE"/>
              </w:rPr>
              <w:t>gungen fest, um jegliche Umweltauswirkungen von Interventionen zu vermeiden.</w:t>
            </w:r>
          </w:p>
          <w:p w14:paraId="33887909" w14:textId="77777777" w:rsidR="0057163C" w:rsidRPr="00170422" w:rsidRDefault="00F37BF9">
            <w:pPr>
              <w:pStyle w:val="P68B1DB1-Normal11"/>
              <w:rPr>
                <w:noProof/>
                <w:szCs w:val="20"/>
                <w:lang w:val="de-DE"/>
              </w:rPr>
            </w:pPr>
            <w:r w:rsidRPr="00170422">
              <w:rPr>
                <w:noProof/>
                <w:lang w:val="de-DE"/>
              </w:rPr>
              <w:t>Alle wettbewerblichen Aufforderungen zur Einreichung von Vorschlägen werden mit einer Leistungsbeschreibung einschließlich Förderfähigkeitskriterien durchgeführt, die sicherstelle</w:t>
            </w:r>
            <w:r w:rsidRPr="00170422">
              <w:rPr>
                <w:noProof/>
                <w:lang w:val="de-DE"/>
              </w:rPr>
              <w:t>n, dass die ausgewählten Projekte den technischen Leitlinien „Vermeidung erheblicher Beeinträchtigungen“ (2021/C58/01) entsprechen, indem eine Ausschlussliste verwendet wird und die einschlägigen Umweltvorschriften der EU und der Mitgliedstaaten eingehalte</w:t>
            </w:r>
            <w:r w:rsidRPr="00170422">
              <w:rPr>
                <w:noProof/>
                <w:lang w:val="de-DE"/>
              </w:rPr>
              <w:t>n werden.</w:t>
            </w:r>
          </w:p>
        </w:tc>
      </w:tr>
      <w:tr w:rsidR="0057163C" w:rsidRPr="00170422" w14:paraId="2DB7B415" w14:textId="77777777" w:rsidTr="00DB5D07">
        <w:trPr>
          <w:trHeight w:val="313"/>
        </w:trPr>
        <w:tc>
          <w:tcPr>
            <w:tcW w:w="1418" w:type="dxa"/>
            <w:shd w:val="clear" w:color="auto" w:fill="C6EFCE"/>
            <w:noWrap/>
            <w:vAlign w:val="center"/>
          </w:tcPr>
          <w:p w14:paraId="06286FCD" w14:textId="77777777" w:rsidR="0057163C" w:rsidRPr="00170422" w:rsidRDefault="00F37BF9">
            <w:pPr>
              <w:pStyle w:val="P68B1DB1-Normal12"/>
              <w:jc w:val="center"/>
              <w:rPr>
                <w:noProof/>
                <w:lang w:val="de-DE"/>
              </w:rPr>
            </w:pPr>
            <w:r w:rsidRPr="00170422">
              <w:rPr>
                <w:noProof/>
                <w:lang w:val="de-DE"/>
              </w:rPr>
              <w:t>M5C3-12</w:t>
            </w:r>
          </w:p>
        </w:tc>
        <w:tc>
          <w:tcPr>
            <w:tcW w:w="1701" w:type="dxa"/>
            <w:shd w:val="clear" w:color="auto" w:fill="C6EFCE"/>
            <w:noWrap/>
            <w:vAlign w:val="center"/>
          </w:tcPr>
          <w:p w14:paraId="5855B941" w14:textId="77777777" w:rsidR="0057163C" w:rsidRPr="00170422" w:rsidRDefault="00F37BF9">
            <w:pPr>
              <w:pStyle w:val="P68B1DB1-Normal11"/>
              <w:jc w:val="center"/>
              <w:rPr>
                <w:noProof/>
                <w:szCs w:val="20"/>
                <w:lang w:val="de-DE"/>
              </w:rPr>
            </w:pPr>
            <w:r w:rsidRPr="00170422">
              <w:rPr>
                <w:noProof/>
                <w:lang w:val="de-DE"/>
              </w:rPr>
              <w:t>Investition 1.4: Infrastrukturinvestitionen für die Sonderwirtschaftszone</w:t>
            </w:r>
          </w:p>
        </w:tc>
        <w:tc>
          <w:tcPr>
            <w:tcW w:w="1276" w:type="dxa"/>
            <w:shd w:val="clear" w:color="auto" w:fill="C6EFCE"/>
            <w:noWrap/>
            <w:vAlign w:val="center"/>
          </w:tcPr>
          <w:p w14:paraId="6BB0CBC7" w14:textId="77777777" w:rsidR="0057163C" w:rsidRPr="00170422" w:rsidRDefault="00F37BF9">
            <w:pPr>
              <w:pStyle w:val="P68B1DB1-Normal11"/>
              <w:jc w:val="center"/>
              <w:rPr>
                <w:noProof/>
                <w:szCs w:val="20"/>
                <w:lang w:val="de-DE"/>
              </w:rPr>
            </w:pPr>
            <w:r w:rsidRPr="00170422">
              <w:rPr>
                <w:noProof/>
                <w:lang w:val="de-DE"/>
              </w:rPr>
              <w:t>Ziel</w:t>
            </w:r>
          </w:p>
        </w:tc>
        <w:tc>
          <w:tcPr>
            <w:tcW w:w="1559" w:type="dxa"/>
            <w:shd w:val="clear" w:color="auto" w:fill="C6EFCE"/>
            <w:noWrap/>
            <w:vAlign w:val="center"/>
          </w:tcPr>
          <w:p w14:paraId="788670F9" w14:textId="77777777" w:rsidR="0057163C" w:rsidRPr="00170422" w:rsidRDefault="00F37BF9">
            <w:pPr>
              <w:pStyle w:val="P68B1DB1-Normal12"/>
              <w:jc w:val="center"/>
              <w:rPr>
                <w:noProof/>
                <w:lang w:val="de-DE"/>
              </w:rPr>
            </w:pPr>
            <w:r w:rsidRPr="00170422">
              <w:rPr>
                <w:noProof/>
                <w:lang w:val="de-DE"/>
              </w:rPr>
              <w:t>Beginn der Arbeiten für Infrastrukturprojekte in der Sonderwirtschaftszone</w:t>
            </w:r>
          </w:p>
        </w:tc>
        <w:tc>
          <w:tcPr>
            <w:tcW w:w="1701" w:type="dxa"/>
            <w:shd w:val="clear" w:color="auto" w:fill="C6EFCE"/>
            <w:noWrap/>
            <w:vAlign w:val="center"/>
          </w:tcPr>
          <w:p w14:paraId="58A8FF02"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tcPr>
          <w:p w14:paraId="664BE7FC"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090F9CD8"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noWrap/>
            <w:vAlign w:val="center"/>
          </w:tcPr>
          <w:p w14:paraId="3700CC55" w14:textId="77777777" w:rsidR="0057163C" w:rsidRPr="00170422" w:rsidRDefault="00F37BF9">
            <w:pPr>
              <w:pStyle w:val="P68B1DB1-Normal11"/>
              <w:jc w:val="center"/>
              <w:rPr>
                <w:noProof/>
                <w:szCs w:val="20"/>
                <w:lang w:val="de-DE"/>
              </w:rPr>
            </w:pPr>
            <w:r w:rsidRPr="00170422">
              <w:rPr>
                <w:noProof/>
                <w:lang w:val="de-DE"/>
              </w:rPr>
              <w:t>53</w:t>
            </w:r>
          </w:p>
        </w:tc>
        <w:tc>
          <w:tcPr>
            <w:tcW w:w="851" w:type="dxa"/>
            <w:shd w:val="clear" w:color="auto" w:fill="C6EFCE"/>
            <w:noWrap/>
            <w:vAlign w:val="center"/>
          </w:tcPr>
          <w:p w14:paraId="34ABA5C2"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noWrap/>
            <w:vAlign w:val="center"/>
          </w:tcPr>
          <w:p w14:paraId="3802C4E4" w14:textId="77777777" w:rsidR="0057163C" w:rsidRPr="00170422" w:rsidRDefault="00F37BF9">
            <w:pPr>
              <w:pStyle w:val="P68B1DB1-Normal11"/>
              <w:jc w:val="center"/>
              <w:rPr>
                <w:noProof/>
                <w:szCs w:val="20"/>
                <w:lang w:val="de-DE"/>
              </w:rPr>
            </w:pPr>
            <w:r w:rsidRPr="00170422">
              <w:rPr>
                <w:noProof/>
                <w:lang w:val="de-DE"/>
              </w:rPr>
              <w:t>2024</w:t>
            </w:r>
          </w:p>
        </w:tc>
        <w:tc>
          <w:tcPr>
            <w:tcW w:w="3049" w:type="dxa"/>
            <w:shd w:val="clear" w:color="auto" w:fill="C6EFCE"/>
            <w:noWrap/>
            <w:vAlign w:val="center"/>
          </w:tcPr>
          <w:p w14:paraId="5D482842" w14:textId="77777777" w:rsidR="0057163C" w:rsidRPr="00170422" w:rsidRDefault="00F37BF9">
            <w:pPr>
              <w:pStyle w:val="P68B1DB1-Normal12"/>
              <w:rPr>
                <w:noProof/>
                <w:lang w:val="de-DE"/>
              </w:rPr>
            </w:pPr>
            <w:r w:rsidRPr="00170422">
              <w:rPr>
                <w:noProof/>
                <w:lang w:val="de-DE"/>
              </w:rPr>
              <w:t xml:space="preserve">Die Infrastrukturprojekte werden durch das </w:t>
            </w:r>
            <w:r w:rsidRPr="00170422">
              <w:rPr>
                <w:noProof/>
                <w:lang w:val="de-DE"/>
              </w:rPr>
              <w:t>Codice Locale di Progetto (CLP) eindeutig gekennzeichnet.</w:t>
            </w:r>
          </w:p>
          <w:p w14:paraId="343D461E" w14:textId="77777777" w:rsidR="0057163C" w:rsidRPr="00170422" w:rsidRDefault="00F37BF9">
            <w:pPr>
              <w:pStyle w:val="P68B1DB1-Normal12"/>
              <w:rPr>
                <w:noProof/>
                <w:lang w:val="de-DE"/>
              </w:rPr>
            </w:pPr>
            <w:r w:rsidRPr="00170422">
              <w:rPr>
                <w:noProof/>
                <w:lang w:val="de-DE"/>
              </w:rPr>
              <w:t>Die Arbeiten an mindestens 53 Projekten, die durch das Dekret über die Zuweisung von Ressourcen festgelegt wurden, müssen begonnen haben.</w:t>
            </w:r>
          </w:p>
        </w:tc>
      </w:tr>
      <w:tr w:rsidR="0057163C" w:rsidRPr="00170422" w14:paraId="48DFB072" w14:textId="77777777" w:rsidTr="00DB5D07">
        <w:trPr>
          <w:trHeight w:val="313"/>
        </w:trPr>
        <w:tc>
          <w:tcPr>
            <w:tcW w:w="1418" w:type="dxa"/>
            <w:shd w:val="clear" w:color="auto" w:fill="C6EFCE"/>
            <w:noWrap/>
            <w:vAlign w:val="center"/>
          </w:tcPr>
          <w:p w14:paraId="7B845288" w14:textId="77777777" w:rsidR="0057163C" w:rsidRPr="00170422" w:rsidRDefault="00F37BF9">
            <w:pPr>
              <w:pStyle w:val="P68B1DB1-Normal11"/>
              <w:jc w:val="center"/>
              <w:rPr>
                <w:noProof/>
                <w:szCs w:val="20"/>
                <w:lang w:val="de-DE"/>
              </w:rPr>
            </w:pPr>
            <w:r w:rsidRPr="00170422">
              <w:rPr>
                <w:noProof/>
                <w:lang w:val="de-DE"/>
              </w:rPr>
              <w:t>M5C3-13</w:t>
            </w:r>
          </w:p>
        </w:tc>
        <w:tc>
          <w:tcPr>
            <w:tcW w:w="1701" w:type="dxa"/>
            <w:shd w:val="clear" w:color="auto" w:fill="C6EFCE"/>
            <w:noWrap/>
            <w:vAlign w:val="center"/>
          </w:tcPr>
          <w:p w14:paraId="1E5F217F" w14:textId="77777777" w:rsidR="0057163C" w:rsidRPr="00170422" w:rsidRDefault="00F37BF9">
            <w:pPr>
              <w:pStyle w:val="P68B1DB1-Normal11"/>
              <w:jc w:val="center"/>
              <w:rPr>
                <w:noProof/>
                <w:szCs w:val="20"/>
                <w:lang w:val="de-DE"/>
              </w:rPr>
            </w:pPr>
            <w:r w:rsidRPr="00170422">
              <w:rPr>
                <w:noProof/>
                <w:lang w:val="de-DE"/>
              </w:rPr>
              <w:t>Investition 1.4: Infrastrukturinvestitionen für die</w:t>
            </w:r>
            <w:r w:rsidRPr="00170422">
              <w:rPr>
                <w:noProof/>
                <w:lang w:val="de-DE"/>
              </w:rPr>
              <w:t xml:space="preserve"> Sonderwirtschaftszone</w:t>
            </w:r>
          </w:p>
        </w:tc>
        <w:tc>
          <w:tcPr>
            <w:tcW w:w="1276" w:type="dxa"/>
            <w:shd w:val="clear" w:color="auto" w:fill="C6EFCE"/>
            <w:noWrap/>
            <w:vAlign w:val="center"/>
          </w:tcPr>
          <w:p w14:paraId="4294C2CE" w14:textId="77777777" w:rsidR="0057163C" w:rsidRPr="00170422" w:rsidRDefault="00F37BF9">
            <w:pPr>
              <w:pStyle w:val="P68B1DB1-Normal11"/>
              <w:jc w:val="center"/>
              <w:rPr>
                <w:noProof/>
                <w:szCs w:val="20"/>
                <w:lang w:val="de-DE"/>
              </w:rPr>
            </w:pPr>
            <w:r w:rsidRPr="00170422">
              <w:rPr>
                <w:noProof/>
                <w:lang w:val="de-DE"/>
              </w:rPr>
              <w:t>Ziel</w:t>
            </w:r>
          </w:p>
        </w:tc>
        <w:tc>
          <w:tcPr>
            <w:tcW w:w="1559" w:type="dxa"/>
            <w:shd w:val="clear" w:color="auto" w:fill="C6EFCE"/>
            <w:noWrap/>
            <w:vAlign w:val="center"/>
          </w:tcPr>
          <w:p w14:paraId="60021F1E" w14:textId="77777777" w:rsidR="0057163C" w:rsidRPr="00170422" w:rsidRDefault="00F37BF9">
            <w:pPr>
              <w:pStyle w:val="P68B1DB1-Normal12"/>
              <w:jc w:val="center"/>
              <w:rPr>
                <w:rFonts w:eastAsia="Calibri"/>
                <w:noProof/>
                <w:lang w:val="de-DE"/>
              </w:rPr>
            </w:pPr>
            <w:r w:rsidRPr="00170422">
              <w:rPr>
                <w:noProof/>
                <w:lang w:val="de-DE"/>
              </w:rPr>
              <w:t>Abschluss von Infrastrukturprojekten in der Sonderwirtschaftszone</w:t>
            </w:r>
          </w:p>
        </w:tc>
        <w:tc>
          <w:tcPr>
            <w:tcW w:w="1701" w:type="dxa"/>
            <w:shd w:val="clear" w:color="auto" w:fill="C6EFCE"/>
            <w:noWrap/>
            <w:vAlign w:val="center"/>
          </w:tcPr>
          <w:p w14:paraId="4C70AA46" w14:textId="77777777" w:rsidR="0057163C" w:rsidRPr="00170422" w:rsidRDefault="00F37BF9">
            <w:pPr>
              <w:pStyle w:val="P68B1DB1-Normal11"/>
              <w:jc w:val="center"/>
              <w:rPr>
                <w:noProof/>
                <w:szCs w:val="20"/>
                <w:lang w:val="de-DE"/>
              </w:rPr>
            </w:pPr>
            <w:r w:rsidRPr="00170422">
              <w:rPr>
                <w:noProof/>
                <w:lang w:val="de-DE"/>
              </w:rPr>
              <w:t>ENTFÄLLT.</w:t>
            </w:r>
          </w:p>
        </w:tc>
        <w:tc>
          <w:tcPr>
            <w:tcW w:w="1276" w:type="dxa"/>
            <w:shd w:val="clear" w:color="auto" w:fill="C6EFCE"/>
            <w:noWrap/>
            <w:vAlign w:val="center"/>
          </w:tcPr>
          <w:p w14:paraId="19411A3F"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71989C0E"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noWrap/>
            <w:vAlign w:val="center"/>
          </w:tcPr>
          <w:p w14:paraId="06A7B5A2" w14:textId="77777777" w:rsidR="0057163C" w:rsidRPr="00170422" w:rsidRDefault="00F37BF9">
            <w:pPr>
              <w:pStyle w:val="P68B1DB1-Normal11"/>
              <w:jc w:val="center"/>
              <w:rPr>
                <w:noProof/>
                <w:szCs w:val="20"/>
                <w:lang w:val="de-DE"/>
              </w:rPr>
            </w:pPr>
            <w:r w:rsidRPr="00170422">
              <w:rPr>
                <w:noProof/>
                <w:lang w:val="de-DE"/>
              </w:rPr>
              <w:t>46</w:t>
            </w:r>
          </w:p>
        </w:tc>
        <w:tc>
          <w:tcPr>
            <w:tcW w:w="851" w:type="dxa"/>
            <w:shd w:val="clear" w:color="auto" w:fill="C6EFCE"/>
            <w:noWrap/>
            <w:vAlign w:val="center"/>
          </w:tcPr>
          <w:p w14:paraId="6AEFB4BB"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noWrap/>
            <w:vAlign w:val="center"/>
          </w:tcPr>
          <w:p w14:paraId="08F56292" w14:textId="77777777" w:rsidR="0057163C" w:rsidRPr="00170422" w:rsidRDefault="00F37BF9">
            <w:pPr>
              <w:pStyle w:val="P68B1DB1-Normal11"/>
              <w:jc w:val="center"/>
              <w:rPr>
                <w:noProof/>
                <w:szCs w:val="20"/>
                <w:lang w:val="de-DE"/>
              </w:rPr>
            </w:pPr>
            <w:r w:rsidRPr="00170422">
              <w:rPr>
                <w:noProof/>
                <w:lang w:val="de-DE"/>
              </w:rPr>
              <w:t>2026</w:t>
            </w:r>
          </w:p>
        </w:tc>
        <w:tc>
          <w:tcPr>
            <w:tcW w:w="3049" w:type="dxa"/>
            <w:shd w:val="clear" w:color="auto" w:fill="C6EFCE"/>
            <w:noWrap/>
            <w:vAlign w:val="center"/>
          </w:tcPr>
          <w:p w14:paraId="48D33F99" w14:textId="77777777" w:rsidR="0057163C" w:rsidRPr="00170422" w:rsidRDefault="00F37BF9">
            <w:pPr>
              <w:pStyle w:val="P68B1DB1-Normal12"/>
              <w:rPr>
                <w:noProof/>
                <w:lang w:val="de-DE"/>
              </w:rPr>
            </w:pPr>
            <w:r w:rsidRPr="00170422">
              <w:rPr>
                <w:noProof/>
                <w:lang w:val="de-DE"/>
              </w:rPr>
              <w:t xml:space="preserve">Die Bescheinigung über den Abschluss der Arbeiten wird für mindestens 46 Projekte ausgestellt, die durch das Dekret über die </w:t>
            </w:r>
            <w:r w:rsidRPr="00170422">
              <w:rPr>
                <w:noProof/>
                <w:lang w:val="de-DE"/>
              </w:rPr>
              <w:t>Zuweisung von Ressourcen festgelegt und durch das Codice Locale di Progetto (CLP) eindeutig gekennzeichnet sind.</w:t>
            </w:r>
          </w:p>
          <w:p w14:paraId="6B3BB223" w14:textId="77777777" w:rsidR="0057163C" w:rsidRPr="00170422" w:rsidRDefault="00F37BF9">
            <w:pPr>
              <w:pStyle w:val="P68B1DB1-ListParagraph15"/>
              <w:numPr>
                <w:ilvl w:val="0"/>
                <w:numId w:val="36"/>
              </w:numPr>
              <w:spacing w:before="120" w:after="120" w:line="240" w:lineRule="auto"/>
              <w:jc w:val="both"/>
              <w:rPr>
                <w:noProof/>
                <w:lang w:val="de-DE"/>
              </w:rPr>
            </w:pPr>
            <w:r w:rsidRPr="00170422">
              <w:rPr>
                <w:noProof/>
                <w:lang w:val="de-DE"/>
              </w:rPr>
              <w:t>Porto di Salerno. Bereichsportuale. Consolidamento ed adeguamento funzionale di alcuni moli e banchine (CLP: G51B21003170006)</w:t>
            </w:r>
          </w:p>
          <w:p w14:paraId="6C2DD595" w14:textId="77777777" w:rsidR="0057163C" w:rsidRPr="00170422" w:rsidRDefault="00F37BF9">
            <w:pPr>
              <w:pStyle w:val="P68B1DB1-ListParagraph15"/>
              <w:numPr>
                <w:ilvl w:val="0"/>
                <w:numId w:val="36"/>
              </w:numPr>
              <w:spacing w:before="120" w:after="120" w:line="240" w:lineRule="auto"/>
              <w:jc w:val="both"/>
              <w:rPr>
                <w:noProof/>
                <w:lang w:val="de-DE"/>
              </w:rPr>
            </w:pPr>
            <w:r w:rsidRPr="00170422">
              <w:rPr>
                <w:noProof/>
                <w:lang w:val="de-DE"/>
              </w:rPr>
              <w:t xml:space="preserve">Porto di Napoli. </w:t>
            </w:r>
            <w:r w:rsidRPr="00170422">
              <w:rPr>
                <w:noProof/>
                <w:lang w:val="de-DE"/>
              </w:rPr>
              <w:t>Bereichsportuale. Prolungamento e rafforzamento della diga Duca D’Aosta (CLP: G65F20001560006)</w:t>
            </w:r>
          </w:p>
          <w:p w14:paraId="3567B27C" w14:textId="0D540804" w:rsidR="0057163C" w:rsidRPr="00170422" w:rsidRDefault="00F37BF9">
            <w:pPr>
              <w:pStyle w:val="P68B1DB1-ListParagraph15"/>
              <w:numPr>
                <w:ilvl w:val="0"/>
                <w:numId w:val="36"/>
              </w:numPr>
              <w:spacing w:before="120" w:after="120" w:line="240" w:lineRule="auto"/>
              <w:jc w:val="both"/>
              <w:rPr>
                <w:noProof/>
                <w:lang w:val="de-DE"/>
              </w:rPr>
            </w:pPr>
            <w:r w:rsidRPr="00170422">
              <w:rPr>
                <w:noProof/>
                <w:lang w:val="de-DE"/>
              </w:rPr>
              <w:t>Porto di Salerno. Dragaggio del porto commerciale di Salerno e del canale di ingresso – fase 2 – Molo di ponente (CLP: G51B21003160006)</w:t>
            </w:r>
          </w:p>
          <w:p w14:paraId="6A1BD5A3" w14:textId="2505C3A2" w:rsidR="0057163C" w:rsidRPr="00170422" w:rsidRDefault="00F37BF9">
            <w:pPr>
              <w:pStyle w:val="P68B1DB1-ListParagraph15"/>
              <w:numPr>
                <w:ilvl w:val="0"/>
                <w:numId w:val="36"/>
              </w:numPr>
              <w:spacing w:before="120" w:after="120" w:line="240" w:lineRule="auto"/>
              <w:jc w:val="both"/>
              <w:rPr>
                <w:noProof/>
                <w:szCs w:val="20"/>
                <w:lang w:val="de-DE"/>
              </w:rPr>
            </w:pPr>
            <w:r w:rsidRPr="00170422">
              <w:rPr>
                <w:noProof/>
                <w:lang w:val="de-DE"/>
              </w:rPr>
              <w:t>Porto Canale Di Cagliari.</w:t>
            </w:r>
            <w:r w:rsidRPr="00170422">
              <w:rPr>
                <w:noProof/>
                <w:lang w:val="de-DE"/>
              </w:rPr>
              <w:t xml:space="preserve"> Bereichsportuale. Avamporti: Realizzazione di nuovi banchinamenti per l’ormeggio di navi Traghetto roll-off, ro-ro (CLP: D21G06000020003)</w:t>
            </w:r>
          </w:p>
        </w:tc>
      </w:tr>
      <w:tr w:rsidR="0057163C" w:rsidRPr="00170422" w14:paraId="6EE55BF5" w14:textId="77777777" w:rsidTr="00DB5D07">
        <w:trPr>
          <w:trHeight w:val="313"/>
        </w:trPr>
        <w:tc>
          <w:tcPr>
            <w:tcW w:w="1418" w:type="dxa"/>
            <w:shd w:val="clear" w:color="auto" w:fill="C6EFCE"/>
            <w:noWrap/>
            <w:vAlign w:val="center"/>
          </w:tcPr>
          <w:p w14:paraId="4880E446" w14:textId="014CB753" w:rsidR="0057163C" w:rsidRPr="00170422" w:rsidRDefault="00F37BF9">
            <w:pPr>
              <w:pStyle w:val="P68B1DB1-Normal11"/>
              <w:jc w:val="center"/>
              <w:rPr>
                <w:noProof/>
                <w:highlight w:val="yellow"/>
                <w:lang w:val="de-DE"/>
              </w:rPr>
            </w:pPr>
            <w:r w:rsidRPr="00170422">
              <w:rPr>
                <w:noProof/>
                <w:lang w:val="de-DE"/>
              </w:rPr>
              <w:t>M5C3-14</w:t>
            </w:r>
          </w:p>
        </w:tc>
        <w:tc>
          <w:tcPr>
            <w:tcW w:w="1701" w:type="dxa"/>
            <w:shd w:val="clear" w:color="auto" w:fill="C6EFCE"/>
            <w:noWrap/>
            <w:vAlign w:val="center"/>
          </w:tcPr>
          <w:p w14:paraId="13C229A0" w14:textId="5CD59A6E" w:rsidR="0057163C" w:rsidRPr="00170422" w:rsidRDefault="00F37BF9">
            <w:pPr>
              <w:pStyle w:val="P68B1DB1-Normal11"/>
              <w:jc w:val="center"/>
              <w:rPr>
                <w:noProof/>
                <w:highlight w:val="yellow"/>
                <w:lang w:val="de-DE"/>
              </w:rPr>
            </w:pPr>
            <w:r w:rsidRPr="00170422">
              <w:rPr>
                <w:noProof/>
                <w:lang w:val="de-DE"/>
              </w:rPr>
              <w:t xml:space="preserve">Investition 1.5: Steuervergünstigungsregelung für Investitionen in Süditalien und in der </w:t>
            </w:r>
            <w:r w:rsidRPr="00170422">
              <w:rPr>
                <w:noProof/>
                <w:lang w:val="de-DE"/>
              </w:rPr>
              <w:t>Sonderwirtschaftszone (SEZ)</w:t>
            </w:r>
          </w:p>
        </w:tc>
        <w:tc>
          <w:tcPr>
            <w:tcW w:w="1276" w:type="dxa"/>
            <w:shd w:val="clear" w:color="auto" w:fill="C6EFCE"/>
            <w:noWrap/>
            <w:vAlign w:val="center"/>
          </w:tcPr>
          <w:p w14:paraId="1AC38A96" w14:textId="5034A2F7" w:rsidR="0057163C" w:rsidRPr="00170422" w:rsidRDefault="00F37BF9">
            <w:pPr>
              <w:pStyle w:val="P68B1DB1-Normal11"/>
              <w:jc w:val="center"/>
              <w:rPr>
                <w:noProof/>
                <w:highlight w:val="yellow"/>
                <w:lang w:val="de-DE"/>
              </w:rPr>
            </w:pPr>
            <w:r w:rsidRPr="00170422">
              <w:rPr>
                <w:noProof/>
                <w:lang w:val="de-DE"/>
              </w:rPr>
              <w:t>Ziel</w:t>
            </w:r>
          </w:p>
        </w:tc>
        <w:tc>
          <w:tcPr>
            <w:tcW w:w="1559" w:type="dxa"/>
            <w:shd w:val="clear" w:color="auto" w:fill="C6EFCE"/>
            <w:noWrap/>
            <w:vAlign w:val="center"/>
          </w:tcPr>
          <w:p w14:paraId="5AA85D74" w14:textId="5F4F55BB" w:rsidR="0057163C" w:rsidRPr="00170422" w:rsidRDefault="00F37BF9">
            <w:pPr>
              <w:pStyle w:val="P68B1DB1-Normal12"/>
              <w:jc w:val="center"/>
              <w:rPr>
                <w:noProof/>
                <w:highlight w:val="yellow"/>
                <w:lang w:val="de-DE"/>
              </w:rPr>
            </w:pPr>
            <w:r w:rsidRPr="00170422">
              <w:rPr>
                <w:noProof/>
                <w:lang w:val="de-DE"/>
              </w:rPr>
              <w:t xml:space="preserve">Steuergutschriften für Süditalien und die Sonderwirtschaftszone (SEZ) </w:t>
            </w:r>
          </w:p>
        </w:tc>
        <w:tc>
          <w:tcPr>
            <w:tcW w:w="1701" w:type="dxa"/>
            <w:shd w:val="clear" w:color="auto" w:fill="C6EFCE"/>
            <w:noWrap/>
            <w:vAlign w:val="center"/>
          </w:tcPr>
          <w:p w14:paraId="0816177E" w14:textId="3BD6617D" w:rsidR="0057163C" w:rsidRPr="00170422" w:rsidRDefault="00F37BF9">
            <w:pPr>
              <w:pStyle w:val="P68B1DB1-Normal11"/>
              <w:jc w:val="center"/>
              <w:rPr>
                <w:noProof/>
                <w:highlight w:val="yellow"/>
                <w:lang w:val="de-DE"/>
              </w:rPr>
            </w:pPr>
            <w:r w:rsidRPr="00170422">
              <w:rPr>
                <w:noProof/>
                <w:lang w:val="de-DE"/>
              </w:rPr>
              <w:t>ENTFÄLLT.</w:t>
            </w:r>
          </w:p>
        </w:tc>
        <w:tc>
          <w:tcPr>
            <w:tcW w:w="1276" w:type="dxa"/>
            <w:shd w:val="clear" w:color="auto" w:fill="C6EFCE"/>
            <w:noWrap/>
            <w:vAlign w:val="center"/>
          </w:tcPr>
          <w:p w14:paraId="528FE2E9" w14:textId="0198BE14" w:rsidR="0057163C" w:rsidRPr="00170422" w:rsidRDefault="00F37BF9">
            <w:pPr>
              <w:pStyle w:val="P68B1DB1-Normal11"/>
              <w:jc w:val="center"/>
              <w:rPr>
                <w:noProof/>
                <w:highlight w:val="yellow"/>
                <w:lang w:val="de-DE"/>
              </w:rPr>
            </w:pPr>
            <w:r w:rsidRPr="00170422">
              <w:rPr>
                <w:noProof/>
                <w:lang w:val="de-DE"/>
              </w:rPr>
              <w:t>Höhe der bewilligten Mittel (EUR)</w:t>
            </w:r>
          </w:p>
        </w:tc>
        <w:tc>
          <w:tcPr>
            <w:tcW w:w="1418" w:type="dxa"/>
            <w:shd w:val="clear" w:color="auto" w:fill="C6EFCE"/>
            <w:noWrap/>
            <w:vAlign w:val="center"/>
          </w:tcPr>
          <w:p w14:paraId="7500EFF0" w14:textId="2976A4A4" w:rsidR="0057163C" w:rsidRPr="00170422" w:rsidRDefault="00F37BF9">
            <w:pPr>
              <w:pStyle w:val="P68B1DB1-Normal11"/>
              <w:jc w:val="center"/>
              <w:rPr>
                <w:noProof/>
                <w:highlight w:val="yellow"/>
                <w:lang w:val="de-DE"/>
              </w:rPr>
            </w:pPr>
            <w:r w:rsidRPr="00170422">
              <w:rPr>
                <w:noProof/>
                <w:lang w:val="de-DE"/>
              </w:rPr>
              <w:t>0</w:t>
            </w:r>
          </w:p>
        </w:tc>
        <w:tc>
          <w:tcPr>
            <w:tcW w:w="708" w:type="dxa"/>
            <w:shd w:val="clear" w:color="auto" w:fill="C6EFCE"/>
            <w:noWrap/>
            <w:vAlign w:val="center"/>
          </w:tcPr>
          <w:p w14:paraId="4001CE96" w14:textId="039D5FE6" w:rsidR="0057163C" w:rsidRPr="00170422" w:rsidRDefault="00F37BF9">
            <w:pPr>
              <w:pStyle w:val="P68B1DB1-Normal12"/>
              <w:jc w:val="center"/>
              <w:rPr>
                <w:noProof/>
                <w:highlight w:val="yellow"/>
                <w:lang w:val="de-DE"/>
              </w:rPr>
            </w:pPr>
            <w:r w:rsidRPr="00170422">
              <w:rPr>
                <w:noProof/>
                <w:lang w:val="de-DE"/>
              </w:rPr>
              <w:t>500 000 000</w:t>
            </w:r>
          </w:p>
        </w:tc>
        <w:tc>
          <w:tcPr>
            <w:tcW w:w="851" w:type="dxa"/>
            <w:shd w:val="clear" w:color="auto" w:fill="C6EFCE"/>
            <w:noWrap/>
            <w:vAlign w:val="center"/>
          </w:tcPr>
          <w:p w14:paraId="205F28D6" w14:textId="5F6B1B6D" w:rsidR="0057163C" w:rsidRPr="00170422" w:rsidRDefault="00F37BF9">
            <w:pPr>
              <w:pStyle w:val="P68B1DB1-Normal11"/>
              <w:jc w:val="center"/>
              <w:rPr>
                <w:noProof/>
                <w:highlight w:val="yellow"/>
                <w:lang w:val="de-DE"/>
              </w:rPr>
            </w:pPr>
            <w:r w:rsidRPr="00170422">
              <w:rPr>
                <w:noProof/>
                <w:lang w:val="de-DE"/>
              </w:rPr>
              <w:t>Q2</w:t>
            </w:r>
          </w:p>
        </w:tc>
        <w:tc>
          <w:tcPr>
            <w:tcW w:w="709" w:type="dxa"/>
            <w:shd w:val="clear" w:color="auto" w:fill="C6EFCE"/>
            <w:noWrap/>
            <w:vAlign w:val="center"/>
          </w:tcPr>
          <w:p w14:paraId="7DAE5322" w14:textId="6E4B4E40" w:rsidR="0057163C" w:rsidRPr="00170422" w:rsidRDefault="00F37BF9">
            <w:pPr>
              <w:pStyle w:val="P68B1DB1-Normal11"/>
              <w:jc w:val="center"/>
              <w:rPr>
                <w:noProof/>
                <w:highlight w:val="yellow"/>
                <w:lang w:val="de-DE"/>
              </w:rPr>
            </w:pPr>
            <w:r w:rsidRPr="00170422">
              <w:rPr>
                <w:noProof/>
                <w:lang w:val="de-DE"/>
              </w:rPr>
              <w:t>2026</w:t>
            </w:r>
          </w:p>
        </w:tc>
        <w:tc>
          <w:tcPr>
            <w:tcW w:w="3049" w:type="dxa"/>
            <w:shd w:val="clear" w:color="auto" w:fill="C6EFCE"/>
            <w:noWrap/>
            <w:vAlign w:val="center"/>
          </w:tcPr>
          <w:p w14:paraId="30289040" w14:textId="2A6F2552" w:rsidR="0057163C" w:rsidRPr="00170422" w:rsidRDefault="00F37BF9">
            <w:pPr>
              <w:pStyle w:val="P68B1DB1-Normal11"/>
              <w:rPr>
                <w:noProof/>
                <w:szCs w:val="20"/>
                <w:lang w:val="de-DE"/>
              </w:rPr>
            </w:pPr>
            <w:r w:rsidRPr="00170422">
              <w:rPr>
                <w:noProof/>
                <w:lang w:val="de-DE"/>
              </w:rPr>
              <w:t xml:space="preserve">Gewährung von Steuergutschriften in Höhe von mindestens 500 000 000 EUR an Unternehmen für Investitionen in Höhe von mindestens </w:t>
            </w:r>
            <w:r w:rsidRPr="00170422">
              <w:rPr>
                <w:noProof/>
                <w:szCs w:val="20"/>
                <w:lang w:val="de-DE"/>
              </w:rPr>
              <w:t>150000 EUR, die zwischen 2022</w:t>
            </w:r>
            <w:r w:rsidRPr="00170422">
              <w:rPr>
                <w:noProof/>
                <w:lang w:val="de-DE"/>
              </w:rPr>
              <w:t xml:space="preserve"> und 2025 in den südlichen Regionen und in der Sonderwirtschaftszone (SEZ) für den Süden getätigt w</w:t>
            </w:r>
            <w:r w:rsidRPr="00170422">
              <w:rPr>
                <w:noProof/>
                <w:lang w:val="de-DE"/>
              </w:rPr>
              <w:t>urden.</w:t>
            </w:r>
          </w:p>
          <w:p w14:paraId="78EFC37B" w14:textId="77777777" w:rsidR="0057163C" w:rsidRPr="00170422" w:rsidRDefault="00F37BF9">
            <w:pPr>
              <w:pStyle w:val="P68B1DB1-Normal12"/>
              <w:rPr>
                <w:noProof/>
                <w:lang w:val="de-DE"/>
              </w:rPr>
            </w:pPr>
            <w:r w:rsidRPr="00170422">
              <w:rPr>
                <w:noProof/>
                <w:lang w:val="de-DE"/>
              </w:rPr>
              <w:t>Die Maßnahme zielt auf die folgenden Investitionslinien ab:</w:t>
            </w:r>
          </w:p>
          <w:p w14:paraId="212B4703" w14:textId="77777777" w:rsidR="0057163C" w:rsidRPr="00170422" w:rsidRDefault="00F37BF9">
            <w:pPr>
              <w:pStyle w:val="P68B1DB1-Normal12"/>
              <w:numPr>
                <w:ilvl w:val="0"/>
                <w:numId w:val="94"/>
              </w:numPr>
              <w:spacing w:line="279" w:lineRule="auto"/>
              <w:rPr>
                <w:noProof/>
                <w:lang w:val="de-DE"/>
              </w:rPr>
            </w:pPr>
            <w:r w:rsidRPr="00170422">
              <w:rPr>
                <w:noProof/>
                <w:lang w:val="de-DE"/>
              </w:rPr>
              <w:t>Produktionssysteme (einschließlich aller Geräte, die eng mit den Anlagen/Maschinen verbunden sind, aus denen das System besteht), die über digitale Geräte verwaltet werden, die eine oder me</w:t>
            </w:r>
            <w:r w:rsidRPr="00170422">
              <w:rPr>
                <w:noProof/>
                <w:lang w:val="de-DE"/>
              </w:rPr>
              <w:t>hrere Phasen des Produktzyklus ausführen können.</w:t>
            </w:r>
          </w:p>
          <w:p w14:paraId="1450055A" w14:textId="77777777" w:rsidR="0057163C" w:rsidRPr="00170422" w:rsidRDefault="00F37BF9">
            <w:pPr>
              <w:pStyle w:val="P68B1DB1-Normal12"/>
              <w:numPr>
                <w:ilvl w:val="0"/>
                <w:numId w:val="94"/>
              </w:numPr>
              <w:spacing w:line="279" w:lineRule="auto"/>
              <w:rPr>
                <w:noProof/>
                <w:lang w:val="de-DE"/>
              </w:rPr>
            </w:pPr>
            <w:r w:rsidRPr="00170422">
              <w:rPr>
                <w:noProof/>
                <w:lang w:val="de-DE"/>
              </w:rPr>
              <w:t>Produktionsautomatisierungssysteme, bei denen Roboter, Sensoren und Komponenten eingesetzt werden, um die Flexibilität und Effizienz der Produktionslinien zu erhöhen.</w:t>
            </w:r>
          </w:p>
          <w:p w14:paraId="5CE9F734" w14:textId="77777777" w:rsidR="0057163C" w:rsidRPr="00170422" w:rsidRDefault="00F37BF9">
            <w:pPr>
              <w:pStyle w:val="P68B1DB1-Normal12"/>
              <w:numPr>
                <w:ilvl w:val="0"/>
                <w:numId w:val="94"/>
              </w:numPr>
              <w:spacing w:line="279" w:lineRule="auto"/>
              <w:rPr>
                <w:noProof/>
                <w:lang w:val="de-DE"/>
              </w:rPr>
            </w:pPr>
            <w:r w:rsidRPr="00170422">
              <w:rPr>
                <w:noProof/>
                <w:lang w:val="de-DE"/>
              </w:rPr>
              <w:t>Hardware und Software, einschließlich so</w:t>
            </w:r>
            <w:r w:rsidRPr="00170422">
              <w:rPr>
                <w:noProof/>
                <w:lang w:val="de-DE"/>
              </w:rPr>
              <w:t>lcher, die auf Cloud-Computing-Plattformen basieren, für folgende Zwecke: Organisation und Verarbeitung großer Datenmengen; Verwaltung von Schnittstellen, einschließlich Multimedia-Schnittstellen; Verwendung fortgeschrittener Sensoren zur Verarbeitung komp</w:t>
            </w:r>
            <w:r w:rsidRPr="00170422">
              <w:rPr>
                <w:noProof/>
                <w:lang w:val="de-DE"/>
              </w:rPr>
              <w:t>lexer Informationen; Optimierung der Verarbeitung aus energie- und datenschutzrechtlicher Sicht; Bereitstellung von Fernunterstützung für Spezialausrüstung.</w:t>
            </w:r>
          </w:p>
          <w:p w14:paraId="16BD77DC" w14:textId="0CE93247" w:rsidR="0057163C" w:rsidRPr="00170422" w:rsidRDefault="00F37BF9">
            <w:pPr>
              <w:pStyle w:val="P68B1DB1-Normal12"/>
              <w:numPr>
                <w:ilvl w:val="0"/>
                <w:numId w:val="94"/>
              </w:numPr>
              <w:spacing w:line="279" w:lineRule="auto"/>
              <w:rPr>
                <w:noProof/>
                <w:lang w:val="de-DE"/>
              </w:rPr>
            </w:pPr>
            <w:r w:rsidRPr="00170422">
              <w:rPr>
                <w:noProof/>
                <w:lang w:val="de-DE"/>
              </w:rPr>
              <w:t xml:space="preserve">Elektronische Prototypen und/oder fortgeschrittene Produktion zur Durchführung digitaler Prozesse, </w:t>
            </w:r>
            <w:r w:rsidRPr="00170422">
              <w:rPr>
                <w:noProof/>
                <w:lang w:val="de-DE"/>
              </w:rPr>
              <w:t>z. B.: 3D-Druck, Laserschneiden und CNC-Fräsen.</w:t>
            </w:r>
          </w:p>
          <w:p w14:paraId="7DABF0F6" w14:textId="77777777" w:rsidR="0057163C" w:rsidRPr="00170422" w:rsidRDefault="00F37BF9">
            <w:pPr>
              <w:pStyle w:val="P68B1DB1-Normal12"/>
              <w:numPr>
                <w:ilvl w:val="0"/>
                <w:numId w:val="94"/>
              </w:numPr>
              <w:spacing w:line="279" w:lineRule="auto"/>
              <w:rPr>
                <w:noProof/>
                <w:lang w:val="de-DE"/>
              </w:rPr>
            </w:pPr>
            <w:r w:rsidRPr="00170422">
              <w:rPr>
                <w:noProof/>
                <w:lang w:val="de-DE"/>
              </w:rPr>
              <w:t>Spezialgüter und -ausrüstungen für die Erbringung fortgeschrittener Dienstleistungen oder für die Durchführung von Forschungs- und Entwicklungstätigkeiten.</w:t>
            </w:r>
          </w:p>
          <w:p w14:paraId="195F0F94" w14:textId="21FDA360" w:rsidR="0057163C" w:rsidRPr="00170422" w:rsidRDefault="00F37BF9">
            <w:pPr>
              <w:pStyle w:val="P68B1DB1-Normal12"/>
              <w:rPr>
                <w:noProof/>
                <w:highlight w:val="yellow"/>
                <w:lang w:val="de-DE"/>
              </w:rPr>
            </w:pPr>
            <w:r w:rsidRPr="00170422">
              <w:rPr>
                <w:noProof/>
                <w:lang w:val="de-DE"/>
              </w:rPr>
              <w:t>Unternehmen, die in Wirtschaftszweigen tätig sind, d</w:t>
            </w:r>
            <w:r w:rsidRPr="00170422">
              <w:rPr>
                <w:noProof/>
                <w:lang w:val="de-DE"/>
              </w:rPr>
              <w:t xml:space="preserve">ie unter den NACE-Codes 01, 08, 17, 19, 20, 22, 23, 24, 29, 30, 35, 38, 41, 42, 43, 49, 50 und 51 aufgeführt sind, werden für das Ziel nicht berücksichtigt. </w:t>
            </w:r>
          </w:p>
        </w:tc>
      </w:tr>
    </w:tbl>
    <w:p w14:paraId="7005B2DF" w14:textId="77777777" w:rsidR="0057163C" w:rsidRPr="00170422" w:rsidRDefault="0057163C">
      <w:pPr>
        <w:spacing w:before="120" w:after="120"/>
        <w:rPr>
          <w:noProof/>
          <w:lang w:val="de-DE"/>
        </w:rPr>
        <w:sectPr w:rsidR="0057163C" w:rsidRPr="00170422" w:rsidSect="005F11B9">
          <w:headerReference w:type="default" r:id="rId278"/>
          <w:footerReference w:type="default" r:id="rId279"/>
          <w:pgSz w:w="16839" w:h="11907" w:orient="landscape"/>
          <w:pgMar w:top="1440" w:right="1440" w:bottom="1440" w:left="1440" w:header="567" w:footer="567" w:gutter="0"/>
          <w:cols w:space="720"/>
          <w:docGrid w:linePitch="360"/>
        </w:sectPr>
      </w:pPr>
    </w:p>
    <w:p w14:paraId="5478DC90" w14:textId="77777777" w:rsidR="0057163C" w:rsidRPr="00170422" w:rsidRDefault="00F37BF9">
      <w:pPr>
        <w:pStyle w:val="P68B1DB1-Heading23"/>
        <w:ind w:left="1080"/>
        <w:rPr>
          <w:noProof/>
          <w:lang w:val="de-DE"/>
        </w:rPr>
      </w:pPr>
      <w:r w:rsidRPr="00170422">
        <w:rPr>
          <w:noProof/>
          <w:lang w:val="de-DE"/>
        </w:rPr>
        <w:t xml:space="preserve">O. MISSION 6 KOMPONENTE 1: </w:t>
      </w:r>
      <w:r w:rsidRPr="00170422">
        <w:rPr>
          <w:noProof/>
          <w:lang w:val="de-DE"/>
        </w:rPr>
        <w:t>Nachbarschaftsnetze, Einrichtungen und Telemedizin für die territoriale Gesundheitsversorgung</w:t>
      </w:r>
    </w:p>
    <w:p w14:paraId="3BB2507D" w14:textId="77777777" w:rsidR="0057163C" w:rsidRPr="00170422" w:rsidRDefault="00F37BF9">
      <w:pPr>
        <w:pStyle w:val="P68B1DB1-Normal7"/>
        <w:spacing w:before="120"/>
        <w:jc w:val="both"/>
        <w:rPr>
          <w:iCs/>
          <w:noProof/>
          <w:lang w:val="de-DE"/>
        </w:rPr>
      </w:pPr>
      <w:r w:rsidRPr="00170422">
        <w:rPr>
          <w:noProof/>
          <w:lang w:val="de-DE"/>
        </w:rPr>
        <w:t>Ziel dieser Komponente ist es, den Nationalen Gesundheitsdienst Italiens (NHS) zu stärken, indem unter anderem der Schutz vor Gesundheitsrisiken im Zusammenhang m</w:t>
      </w:r>
      <w:r w:rsidRPr="00170422">
        <w:rPr>
          <w:noProof/>
          <w:lang w:val="de-DE"/>
        </w:rPr>
        <w:t>it Umwelt und Klimawandel verbessert und besser auf die Bedürfnisse der Gemeinschaften in Bezug auf die lokale Pflege und Hilfe eingegangen wird. Die lokale Gesundheitsversorgung ist fragmentiert und unterliegt regionalen Unterschieden, die zu einem unters</w:t>
      </w:r>
      <w:r w:rsidRPr="00170422">
        <w:rPr>
          <w:noProof/>
          <w:lang w:val="de-DE"/>
        </w:rPr>
        <w:t>chiedlichen Niveau der Gesundheitsversorgung und zu unterschiedlichen Gesundheitsergebnissen in den einzelnen Regionen führen. Die Bereitstellung integrierter häuslicher Pflegedienste wird als gering angesehen, und die verschiedenen Anbieter von Gesundheit</w:t>
      </w:r>
      <w:r w:rsidRPr="00170422">
        <w:rPr>
          <w:noProof/>
          <w:lang w:val="de-DE"/>
        </w:rPr>
        <w:t>s- und Sozialdienstleistungen werden als nur schwach integriert betrachtet. Darüber hinaus wurde die Fähigkeit des italienischen nationalen Gesundheitsdienstes (NHS) zur Bewältigung von Gesundheitsrisiken im Zusammenhang mit Umweltexposition und Klimawande</w:t>
      </w:r>
      <w:r w:rsidRPr="00170422">
        <w:rPr>
          <w:noProof/>
          <w:lang w:val="de-DE"/>
        </w:rPr>
        <w:t>l durch mehrere Umweltkrisen und Notfälle erprobt, die die Herausforderungen aufgrund des Mangels an ausreichenden Präventionsmaßnahmen verdeutlichten. Ziel dieser Komponente des italienischen Aufbau- und Resilienzplans ist es, den nationalen Gesundheitsdi</w:t>
      </w:r>
      <w:r w:rsidRPr="00170422">
        <w:rPr>
          <w:noProof/>
          <w:lang w:val="de-DE"/>
        </w:rPr>
        <w:t xml:space="preserve">enst Italiens zu stärken, indem unter anderem der Schutz vor umwelt- und klimawandelbedingten Gesundheitsrisiken verbessert und besser auf die Bedürfnisse der Gemeinschaften in Bezug auf die lokale Pflege und Hilfe eingegangen wird. </w:t>
      </w:r>
    </w:p>
    <w:p w14:paraId="42C68C86" w14:textId="77777777" w:rsidR="0057163C" w:rsidRPr="00170422" w:rsidRDefault="00F37BF9">
      <w:pPr>
        <w:pStyle w:val="P68B1DB1-Normal7"/>
        <w:spacing w:before="120"/>
        <w:jc w:val="both"/>
        <w:rPr>
          <w:noProof/>
          <w:lang w:val="de-DE"/>
        </w:rPr>
      </w:pPr>
      <w:r w:rsidRPr="00170422">
        <w:rPr>
          <w:noProof/>
          <w:lang w:val="de-DE"/>
        </w:rPr>
        <w:t xml:space="preserve">Die Investitionen und </w:t>
      </w:r>
      <w:r w:rsidRPr="00170422">
        <w:rPr>
          <w:noProof/>
          <w:lang w:val="de-DE"/>
        </w:rPr>
        <w:t>Reformen im Rahmen dieser Komponente sollen zur Umsetzung der länderspezifischen Empfehlungen an Italien in den Jahren 2019 und 2020 beitragen, wonach</w:t>
      </w:r>
      <w:r w:rsidRPr="00170422">
        <w:rPr>
          <w:noProof/>
          <w:color w:val="333333"/>
          <w:lang w:val="de-DE"/>
        </w:rPr>
        <w:t xml:space="preserve"> „die investitionsbezogene Wirtschaftspolitik auf Forschung und Innovation und die Qualität der Infrastruk</w:t>
      </w:r>
      <w:r w:rsidRPr="00170422">
        <w:rPr>
          <w:noProof/>
          <w:color w:val="333333"/>
          <w:lang w:val="de-DE"/>
        </w:rPr>
        <w:t>tur unter Berücksichtigung der regionalen Unterschiede ausgerichtet</w:t>
      </w:r>
      <w:r w:rsidRPr="00170422">
        <w:rPr>
          <w:noProof/>
          <w:lang w:val="de-DE"/>
        </w:rPr>
        <w:t xml:space="preserve"> werden muss“ (länderspezifische Empfehlung 3, 2019), „die Resilienz und Kapazität des Gesundheitssystems in den Bereichen Gesundheitspersonal, kritische medizinische Produkte und Infrastru</w:t>
      </w:r>
      <w:r w:rsidRPr="00170422">
        <w:rPr>
          <w:noProof/>
          <w:lang w:val="de-DE"/>
        </w:rPr>
        <w:t>ktur stärken“ (länderspezifische Empfehlung 1, 2020) und „Investitionen in den ökologischen und digitalen Wandel, insbesondere in [...] verstärkte digitale Infrastrukturen, um die Erbringung wesentlicher Dienstleistungen sicherzustellen“ (länderspezifische</w:t>
      </w:r>
      <w:r w:rsidRPr="00170422">
        <w:rPr>
          <w:noProof/>
          <w:lang w:val="de-DE"/>
        </w:rPr>
        <w:t xml:space="preserve"> Empfehlung 3, 2020) ausgerichtet werden müssen.</w:t>
      </w:r>
    </w:p>
    <w:p w14:paraId="5609C499" w14:textId="77777777" w:rsidR="0057163C" w:rsidRPr="00170422" w:rsidRDefault="0057163C">
      <w:pPr>
        <w:spacing w:before="120"/>
        <w:jc w:val="both"/>
        <w:rPr>
          <w:rFonts w:ascii="Times New Roman" w:hAnsi="Times New Roman" w:cs="Times New Roman"/>
          <w:noProof/>
          <w:lang w:val="de-DE"/>
        </w:rPr>
      </w:pPr>
    </w:p>
    <w:p w14:paraId="4FC80C34"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O.1. </w:t>
      </w:r>
      <w:r w:rsidRPr="00170422">
        <w:rPr>
          <w:noProof/>
          <w:lang w:val="de-DE"/>
        </w:rPr>
        <w:t xml:space="preserve"> </w:t>
      </w:r>
      <w:r w:rsidRPr="00170422">
        <w:rPr>
          <w:b/>
          <w:noProof/>
          <w:u w:val="single"/>
          <w:lang w:val="de-DE"/>
        </w:rPr>
        <w:t>Beschreibung der Reformen und Investitionen für nicht rückzahlbare finanzielle Unterstützung</w:t>
      </w:r>
    </w:p>
    <w:p w14:paraId="488912F0" w14:textId="77777777" w:rsidR="0057163C" w:rsidRPr="00170422" w:rsidRDefault="00F37BF9">
      <w:pPr>
        <w:pStyle w:val="P68B1DB1-Normal26"/>
        <w:spacing w:before="120" w:after="120"/>
        <w:jc w:val="both"/>
        <w:rPr>
          <w:noProof/>
          <w:lang w:val="de-DE"/>
        </w:rPr>
      </w:pPr>
      <w:r w:rsidRPr="00170422">
        <w:rPr>
          <w:noProof/>
          <w:lang w:val="de-DE"/>
        </w:rPr>
        <w:t>ENTFÄLLT.</w:t>
      </w:r>
    </w:p>
    <w:p w14:paraId="4DA8582E"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O.2. </w:t>
      </w:r>
      <w:r w:rsidRPr="00170422">
        <w:rPr>
          <w:noProof/>
          <w:lang w:val="de-DE"/>
        </w:rPr>
        <w:t xml:space="preserve"> </w:t>
      </w:r>
      <w:r w:rsidRPr="00170422">
        <w:rPr>
          <w:b/>
          <w:noProof/>
          <w:u w:val="single"/>
          <w:lang w:val="de-DE"/>
        </w:rPr>
        <w:t xml:space="preserve">Etappenziele, Zielwerte, Indikatoren und Zeitplan für die Überwachung und Durchführung der </w:t>
      </w:r>
      <w:r w:rsidRPr="00170422">
        <w:rPr>
          <w:b/>
          <w:noProof/>
          <w:u w:val="single"/>
          <w:lang w:val="de-DE"/>
        </w:rPr>
        <w:t>nicht rückzahlbaren finanziellen Unterstützung</w:t>
      </w:r>
    </w:p>
    <w:p w14:paraId="4E4BB221" w14:textId="77777777" w:rsidR="0057163C" w:rsidRPr="00170422" w:rsidRDefault="00F37BF9">
      <w:pPr>
        <w:pStyle w:val="P68B1DB1-Normal26"/>
        <w:spacing w:before="120" w:after="120"/>
        <w:jc w:val="both"/>
        <w:rPr>
          <w:noProof/>
          <w:lang w:val="de-DE"/>
        </w:rPr>
      </w:pPr>
      <w:r w:rsidRPr="00170422">
        <w:rPr>
          <w:noProof/>
          <w:lang w:val="de-DE"/>
        </w:rPr>
        <w:t>ENTFÄLLT.</w:t>
      </w:r>
    </w:p>
    <w:p w14:paraId="48FD7886" w14:textId="77777777" w:rsidR="0057163C" w:rsidRPr="00170422" w:rsidRDefault="00F37BF9">
      <w:pPr>
        <w:pStyle w:val="P68B1DB1-Normal7"/>
        <w:spacing w:after="200" w:line="276" w:lineRule="auto"/>
        <w:rPr>
          <w:noProof/>
          <w:lang w:val="de-DE"/>
        </w:rPr>
      </w:pPr>
      <w:r w:rsidRPr="00170422">
        <w:rPr>
          <w:noProof/>
          <w:lang w:val="de-DE"/>
        </w:rPr>
        <w:br w:type="page"/>
      </w:r>
    </w:p>
    <w:p w14:paraId="3F059308" w14:textId="77777777" w:rsidR="0057163C" w:rsidRPr="00170422" w:rsidRDefault="00F37BF9">
      <w:pPr>
        <w:pStyle w:val="P68B1DB1-Heading39"/>
        <w:numPr>
          <w:ilvl w:val="2"/>
          <w:numId w:val="0"/>
        </w:numPr>
        <w:ind w:left="850" w:hanging="850"/>
        <w:rPr>
          <w:b/>
          <w:i/>
          <w:noProof/>
          <w:color w:val="156082" w:themeColor="accent1"/>
          <w:u w:val="single"/>
          <w:lang w:val="de-DE"/>
        </w:rPr>
      </w:pPr>
      <w:r w:rsidRPr="00170422">
        <w:rPr>
          <w:b/>
          <w:noProof/>
          <w:u w:val="single"/>
          <w:lang w:val="de-DE"/>
        </w:rPr>
        <w:t xml:space="preserve">O.3. </w:t>
      </w:r>
      <w:r w:rsidRPr="00170422">
        <w:rPr>
          <w:noProof/>
          <w:lang w:val="de-DE"/>
        </w:rPr>
        <w:t xml:space="preserve"> </w:t>
      </w:r>
      <w:r w:rsidRPr="00170422">
        <w:rPr>
          <w:b/>
          <w:noProof/>
          <w:u w:val="single"/>
          <w:lang w:val="de-DE"/>
        </w:rPr>
        <w:t xml:space="preserve">Beschreibung der Reformen und Investitionen (Darlehen) </w:t>
      </w:r>
    </w:p>
    <w:p w14:paraId="53E67864" w14:textId="693A73A1" w:rsidR="0057163C" w:rsidRPr="00170422" w:rsidRDefault="00F37BF9">
      <w:pPr>
        <w:pStyle w:val="P68B1DB1-Normal5"/>
        <w:spacing w:before="120" w:after="120"/>
        <w:jc w:val="both"/>
        <w:rPr>
          <w:rFonts w:eastAsia="Calibri"/>
          <w:noProof/>
          <w:lang w:val="de-DE"/>
        </w:rPr>
      </w:pPr>
      <w:r w:rsidRPr="00170422">
        <w:rPr>
          <w:noProof/>
          <w:lang w:val="de-DE"/>
        </w:rPr>
        <w:t>Reform 1: Festlegung eines neuen Organisationsmodells für das territoriale Gesundheitsversorgungsnetz.</w:t>
      </w:r>
    </w:p>
    <w:p w14:paraId="4BA5700A" w14:textId="77777777" w:rsidR="0057163C" w:rsidRPr="00170422" w:rsidRDefault="00F37BF9">
      <w:pPr>
        <w:pStyle w:val="P68B1DB1-Normal7"/>
        <w:spacing w:before="120" w:after="120"/>
        <w:jc w:val="both"/>
        <w:rPr>
          <w:rFonts w:eastAsia="Calibri"/>
          <w:noProof/>
          <w:lang w:val="de-DE"/>
        </w:rPr>
      </w:pPr>
      <w:r w:rsidRPr="00170422">
        <w:rPr>
          <w:noProof/>
          <w:lang w:val="de-DE"/>
        </w:rPr>
        <w:t>Die Reform stellt ein vorbereite</w:t>
      </w:r>
      <w:r w:rsidRPr="00170422">
        <w:rPr>
          <w:noProof/>
          <w:lang w:val="de-DE"/>
        </w:rPr>
        <w:t>ndes Element für die Investitionen der Komponente dar. Sie soll ein neues Modell der territorialen Gesundheitsversorgung und eine neue institutionelle Struktur für die Gesundheits-, Umwelt- und Klimaprävention schaffen. Dies soll erreicht werden durch:</w:t>
      </w:r>
    </w:p>
    <w:p w14:paraId="24C81610" w14:textId="77777777" w:rsidR="0057163C" w:rsidRPr="00170422" w:rsidRDefault="00F37BF9">
      <w:pPr>
        <w:pStyle w:val="P68B1DB1-Normal7"/>
        <w:numPr>
          <w:ilvl w:val="0"/>
          <w:numId w:val="48"/>
        </w:numPr>
        <w:spacing w:before="120" w:after="120" w:line="240" w:lineRule="auto"/>
        <w:ind w:left="360"/>
        <w:jc w:val="both"/>
        <w:rPr>
          <w:noProof/>
          <w:lang w:val="de-DE"/>
        </w:rPr>
      </w:pPr>
      <w:r w:rsidRPr="00170422">
        <w:rPr>
          <w:noProof/>
          <w:lang w:val="de-DE"/>
        </w:rPr>
        <w:t>Sch</w:t>
      </w:r>
      <w:r w:rsidRPr="00170422">
        <w:rPr>
          <w:noProof/>
          <w:lang w:val="de-DE"/>
        </w:rPr>
        <w:t>affung eines neuen Organisationsmodells für das territoriale Gesundheitsversorgungsnetz durch Festlegung eines Rechtsrahmens, in dem strukturelle, technologische und organisatorische Standards festgelegt werden.</w:t>
      </w:r>
    </w:p>
    <w:p w14:paraId="2B0322E7" w14:textId="77777777" w:rsidR="0057163C" w:rsidRPr="00170422" w:rsidRDefault="00F37BF9">
      <w:pPr>
        <w:pStyle w:val="P68B1DB1-Normal7"/>
        <w:numPr>
          <w:ilvl w:val="0"/>
          <w:numId w:val="48"/>
        </w:numPr>
        <w:spacing w:before="120" w:after="120" w:line="240" w:lineRule="auto"/>
        <w:ind w:left="360"/>
        <w:jc w:val="both"/>
        <w:rPr>
          <w:noProof/>
          <w:lang w:val="de-DE"/>
        </w:rPr>
      </w:pPr>
      <w:r w:rsidRPr="00170422">
        <w:rPr>
          <w:noProof/>
          <w:lang w:val="de-DE"/>
        </w:rPr>
        <w:t>Festlegung einer neuen institutionellen Stru</w:t>
      </w:r>
      <w:r w:rsidRPr="00170422">
        <w:rPr>
          <w:noProof/>
          <w:lang w:val="de-DE"/>
        </w:rPr>
        <w:t>ktur der Gesundheits-, Umwelt- und Klimaprävention nach einem integrierten Konzept („Eine Gesundheit“) und einer ganzheitlichen Vision („Planetäre Gesundheit“).</w:t>
      </w:r>
    </w:p>
    <w:p w14:paraId="325ECF83" w14:textId="77777777" w:rsidR="0057163C" w:rsidRPr="00170422" w:rsidRDefault="00F37BF9">
      <w:pPr>
        <w:pStyle w:val="P68B1DB1-Normal5"/>
        <w:spacing w:before="120" w:after="120"/>
        <w:jc w:val="both"/>
        <w:rPr>
          <w:rFonts w:eastAsia="Calibri"/>
          <w:noProof/>
          <w:lang w:val="de-DE"/>
        </w:rPr>
      </w:pPr>
      <w:r w:rsidRPr="00170422">
        <w:rPr>
          <w:noProof/>
          <w:lang w:val="de-DE"/>
        </w:rPr>
        <w:t xml:space="preserve">Investition 1.1: Gemeinschaftliche Gesundheitseinrichtungen zur Verbesserung der territorialen </w:t>
      </w:r>
      <w:r w:rsidRPr="00170422">
        <w:rPr>
          <w:noProof/>
          <w:lang w:val="de-DE"/>
        </w:rPr>
        <w:t>Gesundheitsversorgung.</w:t>
      </w:r>
    </w:p>
    <w:p w14:paraId="7A4B9506" w14:textId="77777777" w:rsidR="0057163C" w:rsidRPr="00170422" w:rsidRDefault="00F37BF9">
      <w:pPr>
        <w:pStyle w:val="P68B1DB1-Normal7"/>
        <w:spacing w:before="120" w:after="120"/>
        <w:jc w:val="both"/>
        <w:rPr>
          <w:noProof/>
          <w:lang w:val="de-DE"/>
        </w:rPr>
      </w:pPr>
      <w:r w:rsidRPr="00170422">
        <w:rPr>
          <w:noProof/>
          <w:lang w:val="de-DE"/>
        </w:rPr>
        <w:t xml:space="preserve">Ziel der Maßnahme ist die Einrichtung gemeinschaftlicher Gesundheitseinrichtungen. </w:t>
      </w:r>
    </w:p>
    <w:p w14:paraId="40A10F79" w14:textId="0B9FB4F4" w:rsidR="0057163C" w:rsidRPr="00170422" w:rsidRDefault="00F37BF9">
      <w:pPr>
        <w:pStyle w:val="P68B1DB1-Normal7"/>
        <w:spacing w:before="120" w:after="120"/>
        <w:jc w:val="both"/>
        <w:rPr>
          <w:rFonts w:eastAsia="Calibri"/>
          <w:noProof/>
          <w:lang w:val="de-DE"/>
        </w:rPr>
      </w:pPr>
      <w:r w:rsidRPr="00170422">
        <w:rPr>
          <w:noProof/>
          <w:lang w:val="de-DE"/>
        </w:rPr>
        <w:t>Die Investition besteht in der Aktivierung und Aggregierung von Primärversorgungsdiensten sowie in der Einrichtung von (energieeffizienten) Hilfszent</w:t>
      </w:r>
      <w:r w:rsidRPr="00170422">
        <w:rPr>
          <w:noProof/>
          <w:lang w:val="de-DE"/>
        </w:rPr>
        <w:t>ren für eine integrierte Reaktion auf den Pflegebedarf.</w:t>
      </w:r>
    </w:p>
    <w:p w14:paraId="7DDB7E61" w14:textId="77777777" w:rsidR="0057163C" w:rsidRPr="00170422" w:rsidRDefault="00F37BF9">
      <w:pPr>
        <w:pStyle w:val="P68B1DB1-Normal5"/>
        <w:spacing w:before="120" w:after="120"/>
        <w:jc w:val="both"/>
        <w:rPr>
          <w:rFonts w:eastAsia="Calibri"/>
          <w:bCs/>
          <w:noProof/>
          <w:lang w:val="de-DE"/>
        </w:rPr>
      </w:pPr>
      <w:r w:rsidRPr="00170422">
        <w:rPr>
          <w:noProof/>
          <w:lang w:val="de-DE"/>
        </w:rPr>
        <w:t>Investition 1.2: Zuhause als Erstversorgungsort und Telemedizin</w:t>
      </w:r>
    </w:p>
    <w:p w14:paraId="688C3EE1" w14:textId="77777777" w:rsidR="0057163C" w:rsidRPr="00170422" w:rsidRDefault="00F37BF9">
      <w:pPr>
        <w:pStyle w:val="P68B1DB1-Normal7"/>
        <w:spacing w:before="120" w:after="120"/>
        <w:jc w:val="both"/>
        <w:rPr>
          <w:noProof/>
          <w:lang w:val="de-DE"/>
        </w:rPr>
      </w:pPr>
      <w:r w:rsidRPr="00170422">
        <w:rPr>
          <w:noProof/>
          <w:lang w:val="de-DE"/>
        </w:rPr>
        <w:t xml:space="preserve">Ziel der Maßnahme ist es, die häusliche Pflege und die großmaßstäbliche Einführung telemedizinischer Lösungen zu fördern und Innovationen im Gesundheitswesen zu fördern. </w:t>
      </w:r>
    </w:p>
    <w:p w14:paraId="67553074" w14:textId="77777777" w:rsidR="0057163C" w:rsidRPr="00170422" w:rsidRDefault="00F37BF9">
      <w:pPr>
        <w:pStyle w:val="P68B1DB1-Normal7"/>
        <w:spacing w:before="120" w:after="120"/>
        <w:jc w:val="both"/>
        <w:rPr>
          <w:noProof/>
          <w:lang w:val="de-DE"/>
        </w:rPr>
      </w:pPr>
      <w:r w:rsidRPr="00170422">
        <w:rPr>
          <w:noProof/>
          <w:lang w:val="de-DE"/>
        </w:rPr>
        <w:t>Die Investition besteht aus Hardware und mehr Dienstleistungen, der Einrichtung terri</w:t>
      </w:r>
      <w:r w:rsidRPr="00170422">
        <w:rPr>
          <w:noProof/>
          <w:lang w:val="de-DE"/>
        </w:rPr>
        <w:t>torialer Koordinierungszentren („Centrali Operative Territoriali“), der Finanzierung von Diagnose- und Überwachungsprojekten, der Schaffung einer nationalen Plattform für das Screening telemedizinischer Projekte und Ad-hoc-Forschungsinitiativen zu digitale</w:t>
      </w:r>
      <w:r w:rsidRPr="00170422">
        <w:rPr>
          <w:noProof/>
          <w:lang w:val="de-DE"/>
        </w:rPr>
        <w:t>n Gesundheits- und Pflegetechnologien.</w:t>
      </w:r>
    </w:p>
    <w:p w14:paraId="4A30AF80" w14:textId="77777777" w:rsidR="0057163C" w:rsidRPr="00170422" w:rsidRDefault="00F37BF9">
      <w:pPr>
        <w:pStyle w:val="P68B1DB1-Normal5"/>
        <w:spacing w:before="120" w:after="120"/>
        <w:jc w:val="both"/>
        <w:rPr>
          <w:rFonts w:eastAsia="Calibri"/>
          <w:noProof/>
          <w:lang w:val="de-DE"/>
        </w:rPr>
      </w:pPr>
      <w:r w:rsidRPr="00170422">
        <w:rPr>
          <w:noProof/>
          <w:lang w:val="de-DE"/>
        </w:rPr>
        <w:t>Investition 1.3: Stärkung der zwischengeschalteten Gesundheitsversorgung und ihrer Einrichtungen (Gemeinschaftskrankenhäuser)</w:t>
      </w:r>
    </w:p>
    <w:p w14:paraId="48C9A7C7" w14:textId="77777777" w:rsidR="0057163C" w:rsidRPr="00170422" w:rsidRDefault="00F37BF9">
      <w:pPr>
        <w:pStyle w:val="P68B1DB1-Normal7"/>
        <w:spacing w:before="120" w:after="120"/>
        <w:jc w:val="both"/>
        <w:rPr>
          <w:noProof/>
          <w:lang w:val="de-DE"/>
        </w:rPr>
      </w:pPr>
      <w:r w:rsidRPr="00170422">
        <w:rPr>
          <w:noProof/>
          <w:lang w:val="de-DE"/>
        </w:rPr>
        <w:t>Ziel der Maßnahme ist es, die Zahl der zwischengeschalteten Gesundheitseinrichtungen zu erh</w:t>
      </w:r>
      <w:r w:rsidRPr="00170422">
        <w:rPr>
          <w:noProof/>
          <w:lang w:val="de-DE"/>
        </w:rPr>
        <w:t>öhen.</w:t>
      </w:r>
    </w:p>
    <w:p w14:paraId="7B3654CE" w14:textId="08EDA50D" w:rsidR="0057163C" w:rsidRPr="00170422" w:rsidRDefault="00F37BF9">
      <w:pPr>
        <w:pStyle w:val="P68B1DB1-Normal7"/>
        <w:spacing w:before="120" w:after="120"/>
        <w:jc w:val="both"/>
        <w:rPr>
          <w:noProof/>
          <w:lang w:val="de-DE"/>
        </w:rPr>
        <w:sectPr w:rsidR="0057163C" w:rsidRPr="00170422" w:rsidSect="00726CF9">
          <w:headerReference w:type="even" r:id="rId280"/>
          <w:headerReference w:type="default" r:id="rId281"/>
          <w:footerReference w:type="even" r:id="rId282"/>
          <w:footerReference w:type="default" r:id="rId283"/>
          <w:headerReference w:type="first" r:id="rId284"/>
          <w:footerReference w:type="first" r:id="rId285"/>
          <w:pgSz w:w="11906" w:h="16838"/>
          <w:pgMar w:top="1440" w:right="1440" w:bottom="1440" w:left="1440" w:header="708" w:footer="708" w:gutter="0"/>
          <w:cols w:space="708"/>
          <w:docGrid w:linePitch="360"/>
        </w:sectPr>
      </w:pPr>
      <w:r w:rsidRPr="00170422">
        <w:rPr>
          <w:noProof/>
          <w:lang w:val="de-DE"/>
        </w:rPr>
        <w:t>Die Investition besteht in der Schaffung von kommunalen Krankenhäusern und Gesundheitseinrichtungen für Patienten, die nach einer Episode minderer Schärfe oder nach einem Rückfall chronischer Erkr</w:t>
      </w:r>
      <w:r w:rsidRPr="00170422">
        <w:rPr>
          <w:noProof/>
          <w:lang w:val="de-DE"/>
        </w:rPr>
        <w:t>ankungen eine geringe Intensität und kurzfristige klinische Eingriffe erfordern.</w:t>
      </w:r>
    </w:p>
    <w:p w14:paraId="6E606908"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O.4.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1511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701"/>
        <w:gridCol w:w="1247"/>
        <w:gridCol w:w="1304"/>
        <w:gridCol w:w="1363"/>
        <w:gridCol w:w="1160"/>
        <w:gridCol w:w="1418"/>
        <w:gridCol w:w="708"/>
        <w:gridCol w:w="851"/>
        <w:gridCol w:w="709"/>
        <w:gridCol w:w="3379"/>
      </w:tblGrid>
      <w:tr w:rsidR="0057163C" w:rsidRPr="00170422" w14:paraId="290CD921" w14:textId="77777777" w:rsidTr="00DB5D07">
        <w:trPr>
          <w:trHeight w:val="945"/>
          <w:tblHeader/>
        </w:trPr>
        <w:tc>
          <w:tcPr>
            <w:tcW w:w="1277" w:type="dxa"/>
            <w:vMerge w:val="restart"/>
            <w:shd w:val="clear" w:color="auto" w:fill="BDD7EE"/>
            <w:vAlign w:val="center"/>
          </w:tcPr>
          <w:p w14:paraId="03AA3E0A" w14:textId="77777777" w:rsidR="0057163C" w:rsidRPr="00170422" w:rsidRDefault="00F37BF9">
            <w:pPr>
              <w:pStyle w:val="P68B1DB1-Normal10"/>
              <w:jc w:val="center"/>
              <w:rPr>
                <w:noProof/>
                <w:szCs w:val="20"/>
                <w:lang w:val="de-DE"/>
              </w:rPr>
            </w:pPr>
            <w:r w:rsidRPr="00170422">
              <w:rPr>
                <w:noProof/>
                <w:lang w:val="de-DE"/>
              </w:rPr>
              <w:t>Laufende Nummer</w:t>
            </w:r>
          </w:p>
        </w:tc>
        <w:tc>
          <w:tcPr>
            <w:tcW w:w="1701" w:type="dxa"/>
            <w:vMerge w:val="restart"/>
            <w:shd w:val="clear" w:color="auto" w:fill="BDD7EE"/>
            <w:vAlign w:val="center"/>
          </w:tcPr>
          <w:p w14:paraId="351AA8ED" w14:textId="77777777" w:rsidR="0057163C" w:rsidRPr="00170422" w:rsidRDefault="00F37BF9">
            <w:pPr>
              <w:pStyle w:val="P68B1DB1-Normal10"/>
              <w:jc w:val="center"/>
              <w:rPr>
                <w:noProof/>
                <w:szCs w:val="20"/>
                <w:lang w:val="de-DE"/>
              </w:rPr>
            </w:pPr>
            <w:r w:rsidRPr="00170422">
              <w:rPr>
                <w:noProof/>
                <w:lang w:val="de-DE"/>
              </w:rPr>
              <w:t>Verbundene Maßnahme (Reform oder Investition)</w:t>
            </w:r>
          </w:p>
        </w:tc>
        <w:tc>
          <w:tcPr>
            <w:tcW w:w="1247" w:type="dxa"/>
            <w:vMerge w:val="restart"/>
            <w:shd w:val="clear" w:color="auto" w:fill="BDD7EE"/>
            <w:vAlign w:val="center"/>
          </w:tcPr>
          <w:p w14:paraId="5ACF54C7" w14:textId="77777777" w:rsidR="0057163C" w:rsidRPr="00170422" w:rsidRDefault="00F37BF9">
            <w:pPr>
              <w:pStyle w:val="P68B1DB1-Normal10"/>
              <w:jc w:val="center"/>
              <w:rPr>
                <w:noProof/>
                <w:szCs w:val="20"/>
                <w:lang w:val="de-DE"/>
              </w:rPr>
            </w:pPr>
            <w:r w:rsidRPr="00170422">
              <w:rPr>
                <w:noProof/>
                <w:lang w:val="de-DE"/>
              </w:rPr>
              <w:t>Etappenz</w:t>
            </w:r>
            <w:r w:rsidRPr="00170422">
              <w:rPr>
                <w:noProof/>
                <w:lang w:val="de-DE"/>
              </w:rPr>
              <w:t>iel/Zielwert</w:t>
            </w:r>
          </w:p>
        </w:tc>
        <w:tc>
          <w:tcPr>
            <w:tcW w:w="1304" w:type="dxa"/>
            <w:vMerge w:val="restart"/>
            <w:shd w:val="clear" w:color="auto" w:fill="BDD7EE"/>
            <w:vAlign w:val="center"/>
          </w:tcPr>
          <w:p w14:paraId="5EF43779" w14:textId="77777777" w:rsidR="0057163C" w:rsidRPr="00170422" w:rsidRDefault="00F37BF9">
            <w:pPr>
              <w:pStyle w:val="P68B1DB1-Normal10"/>
              <w:jc w:val="center"/>
              <w:rPr>
                <w:noProof/>
                <w:szCs w:val="20"/>
                <w:lang w:val="de-DE"/>
              </w:rPr>
            </w:pPr>
            <w:r w:rsidRPr="00170422">
              <w:rPr>
                <w:noProof/>
                <w:lang w:val="de-DE"/>
              </w:rPr>
              <w:t>Namen</w:t>
            </w:r>
          </w:p>
        </w:tc>
        <w:tc>
          <w:tcPr>
            <w:tcW w:w="1363" w:type="dxa"/>
            <w:vMerge w:val="restart"/>
            <w:shd w:val="clear" w:color="auto" w:fill="BDD7EE"/>
            <w:vAlign w:val="center"/>
          </w:tcPr>
          <w:p w14:paraId="5A010D59" w14:textId="4E4BAB86"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Etappenziel/</w:t>
            </w:r>
            <w:r w:rsidR="00DB5D0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286" w:type="dxa"/>
            <w:gridSpan w:val="3"/>
            <w:shd w:val="clear" w:color="auto" w:fill="BDD7EE"/>
            <w:vAlign w:val="center"/>
          </w:tcPr>
          <w:p w14:paraId="7569FADA" w14:textId="77777777" w:rsidR="0057163C" w:rsidRPr="00170422" w:rsidRDefault="00F37BF9">
            <w:pPr>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60" w:type="dxa"/>
            <w:gridSpan w:val="2"/>
            <w:shd w:val="clear" w:color="auto" w:fill="BDD7EE"/>
            <w:vAlign w:val="center"/>
          </w:tcPr>
          <w:p w14:paraId="7DC97022" w14:textId="77777777" w:rsidR="0057163C" w:rsidRPr="00170422" w:rsidRDefault="00F37BF9">
            <w:pPr>
              <w:pStyle w:val="P68B1DB1-Normal10"/>
              <w:jc w:val="center"/>
              <w:rPr>
                <w:noProof/>
                <w:szCs w:val="20"/>
                <w:lang w:val="de-DE"/>
              </w:rPr>
            </w:pPr>
            <w:r w:rsidRPr="00170422">
              <w:rPr>
                <w:noProof/>
                <w:lang w:val="de-DE"/>
              </w:rPr>
              <w:t>Vorläufiger Zeitplan für die Fertigstellung</w:t>
            </w:r>
          </w:p>
        </w:tc>
        <w:tc>
          <w:tcPr>
            <w:tcW w:w="3379" w:type="dxa"/>
            <w:vMerge w:val="restart"/>
            <w:shd w:val="clear" w:color="auto" w:fill="BDD7EE"/>
            <w:vAlign w:val="center"/>
          </w:tcPr>
          <w:p w14:paraId="33DFBAC5" w14:textId="77777777" w:rsidR="0057163C" w:rsidRPr="00170422" w:rsidRDefault="00F37BF9">
            <w:pPr>
              <w:pStyle w:val="P68B1DB1-Normal10"/>
              <w:jc w:val="center"/>
              <w:rPr>
                <w:noProof/>
                <w:szCs w:val="20"/>
                <w:lang w:val="de-DE"/>
              </w:rPr>
            </w:pPr>
            <w:r w:rsidRPr="00170422">
              <w:rPr>
                <w:noProof/>
                <w:lang w:val="de-DE"/>
              </w:rPr>
              <w:t>Beschreibung der einzelnen Etappenziele und Zielvorgaben</w:t>
            </w:r>
          </w:p>
        </w:tc>
      </w:tr>
      <w:tr w:rsidR="0057163C" w:rsidRPr="00170422" w14:paraId="0D229F00" w14:textId="77777777" w:rsidTr="00DB5D07">
        <w:trPr>
          <w:trHeight w:val="737"/>
          <w:tblHeader/>
        </w:trPr>
        <w:tc>
          <w:tcPr>
            <w:tcW w:w="1277" w:type="dxa"/>
            <w:vMerge/>
            <w:vAlign w:val="center"/>
          </w:tcPr>
          <w:p w14:paraId="6CF29E5A" w14:textId="77777777" w:rsidR="0057163C" w:rsidRPr="00170422" w:rsidRDefault="0057163C">
            <w:pPr>
              <w:jc w:val="center"/>
              <w:rPr>
                <w:rFonts w:ascii="Arial Narrow" w:hAnsi="Arial Narrow"/>
                <w:noProof/>
                <w:sz w:val="20"/>
                <w:szCs w:val="20"/>
                <w:lang w:val="de-DE"/>
              </w:rPr>
            </w:pPr>
          </w:p>
        </w:tc>
        <w:tc>
          <w:tcPr>
            <w:tcW w:w="1701" w:type="dxa"/>
            <w:vMerge/>
            <w:vAlign w:val="center"/>
          </w:tcPr>
          <w:p w14:paraId="32B1DAF5" w14:textId="77777777" w:rsidR="0057163C" w:rsidRPr="00170422" w:rsidRDefault="0057163C">
            <w:pPr>
              <w:jc w:val="center"/>
              <w:rPr>
                <w:rFonts w:ascii="Arial Narrow" w:hAnsi="Arial Narrow"/>
                <w:noProof/>
                <w:sz w:val="20"/>
                <w:szCs w:val="20"/>
                <w:lang w:val="de-DE"/>
              </w:rPr>
            </w:pPr>
          </w:p>
        </w:tc>
        <w:tc>
          <w:tcPr>
            <w:tcW w:w="1247" w:type="dxa"/>
            <w:vMerge/>
            <w:vAlign w:val="center"/>
          </w:tcPr>
          <w:p w14:paraId="6C29B102" w14:textId="77777777" w:rsidR="0057163C" w:rsidRPr="00170422" w:rsidRDefault="0057163C">
            <w:pPr>
              <w:jc w:val="center"/>
              <w:rPr>
                <w:rFonts w:ascii="Arial Narrow" w:hAnsi="Arial Narrow"/>
                <w:noProof/>
                <w:sz w:val="20"/>
                <w:szCs w:val="20"/>
                <w:lang w:val="de-DE"/>
              </w:rPr>
            </w:pPr>
          </w:p>
        </w:tc>
        <w:tc>
          <w:tcPr>
            <w:tcW w:w="1304" w:type="dxa"/>
            <w:vMerge/>
            <w:vAlign w:val="center"/>
          </w:tcPr>
          <w:p w14:paraId="167888EC" w14:textId="77777777" w:rsidR="0057163C" w:rsidRPr="00170422" w:rsidRDefault="0057163C">
            <w:pPr>
              <w:jc w:val="center"/>
              <w:rPr>
                <w:rFonts w:ascii="Arial Narrow" w:hAnsi="Arial Narrow"/>
                <w:noProof/>
                <w:sz w:val="20"/>
                <w:szCs w:val="20"/>
                <w:lang w:val="de-DE"/>
              </w:rPr>
            </w:pPr>
          </w:p>
        </w:tc>
        <w:tc>
          <w:tcPr>
            <w:tcW w:w="1363" w:type="dxa"/>
            <w:vMerge/>
            <w:vAlign w:val="center"/>
          </w:tcPr>
          <w:p w14:paraId="29298E7E" w14:textId="77777777" w:rsidR="0057163C" w:rsidRPr="00170422" w:rsidRDefault="0057163C">
            <w:pPr>
              <w:jc w:val="center"/>
              <w:rPr>
                <w:rFonts w:ascii="Arial Narrow" w:hAnsi="Arial Narrow"/>
                <w:noProof/>
                <w:sz w:val="20"/>
                <w:szCs w:val="20"/>
                <w:lang w:val="de-DE"/>
              </w:rPr>
            </w:pPr>
          </w:p>
        </w:tc>
        <w:tc>
          <w:tcPr>
            <w:tcW w:w="1160" w:type="dxa"/>
            <w:shd w:val="clear" w:color="auto" w:fill="BDD7EE"/>
            <w:vAlign w:val="center"/>
          </w:tcPr>
          <w:p w14:paraId="3A4C3990" w14:textId="77777777" w:rsidR="0057163C" w:rsidRPr="00170422" w:rsidRDefault="00F37BF9">
            <w:pPr>
              <w:pStyle w:val="P68B1DB1-Normal10"/>
              <w:jc w:val="center"/>
              <w:rPr>
                <w:bCs/>
                <w:noProof/>
                <w:szCs w:val="20"/>
                <w:lang w:val="de-DE"/>
              </w:rPr>
            </w:pPr>
            <w:r w:rsidRPr="00170422">
              <w:rPr>
                <w:noProof/>
                <w:lang w:val="de-DE"/>
              </w:rPr>
              <w:t>Maßeinheit</w:t>
            </w:r>
          </w:p>
        </w:tc>
        <w:tc>
          <w:tcPr>
            <w:tcW w:w="1418" w:type="dxa"/>
            <w:shd w:val="clear" w:color="auto" w:fill="BDD7EE"/>
            <w:vAlign w:val="center"/>
          </w:tcPr>
          <w:p w14:paraId="19490F39" w14:textId="77777777" w:rsidR="0057163C" w:rsidRPr="00170422" w:rsidRDefault="00F37BF9">
            <w:pPr>
              <w:pStyle w:val="P68B1DB1-Normal10"/>
              <w:jc w:val="center"/>
              <w:rPr>
                <w:bCs/>
                <w:noProof/>
                <w:szCs w:val="20"/>
                <w:lang w:val="de-DE"/>
              </w:rPr>
            </w:pPr>
            <w:r w:rsidRPr="00170422">
              <w:rPr>
                <w:noProof/>
                <w:lang w:val="de-DE"/>
              </w:rPr>
              <w:t>Ausgangslage</w:t>
            </w:r>
          </w:p>
        </w:tc>
        <w:tc>
          <w:tcPr>
            <w:tcW w:w="708" w:type="dxa"/>
            <w:shd w:val="clear" w:color="auto" w:fill="BDD7EE"/>
            <w:vAlign w:val="center"/>
          </w:tcPr>
          <w:p w14:paraId="22D9C33E" w14:textId="77777777" w:rsidR="0057163C" w:rsidRPr="00170422" w:rsidRDefault="00F37BF9">
            <w:pPr>
              <w:pStyle w:val="P68B1DB1-Normal10"/>
              <w:jc w:val="center"/>
              <w:rPr>
                <w:bCs/>
                <w:noProof/>
                <w:szCs w:val="20"/>
                <w:lang w:val="de-DE"/>
              </w:rPr>
            </w:pPr>
            <w:r w:rsidRPr="00170422">
              <w:rPr>
                <w:noProof/>
                <w:lang w:val="de-DE"/>
              </w:rPr>
              <w:t>Ziel</w:t>
            </w:r>
          </w:p>
        </w:tc>
        <w:tc>
          <w:tcPr>
            <w:tcW w:w="851" w:type="dxa"/>
            <w:shd w:val="clear" w:color="auto" w:fill="BDD7EE"/>
            <w:vAlign w:val="center"/>
          </w:tcPr>
          <w:p w14:paraId="1723EA95" w14:textId="77777777" w:rsidR="0057163C" w:rsidRPr="00170422" w:rsidRDefault="00F37BF9">
            <w:pPr>
              <w:pStyle w:val="P68B1DB1-Normal10"/>
              <w:jc w:val="center"/>
              <w:rPr>
                <w:bCs/>
                <w:noProof/>
                <w:szCs w:val="20"/>
                <w:lang w:val="de-DE"/>
              </w:rPr>
            </w:pPr>
            <w:r w:rsidRPr="00170422">
              <w:rPr>
                <w:noProof/>
                <w:lang w:val="de-DE"/>
              </w:rPr>
              <w:t>Viertel</w:t>
            </w:r>
          </w:p>
        </w:tc>
        <w:tc>
          <w:tcPr>
            <w:tcW w:w="709" w:type="dxa"/>
            <w:shd w:val="clear" w:color="auto" w:fill="BDD7EE"/>
            <w:vAlign w:val="center"/>
          </w:tcPr>
          <w:p w14:paraId="57EB0D6D" w14:textId="77777777" w:rsidR="0057163C" w:rsidRPr="00170422" w:rsidRDefault="00F37BF9">
            <w:pPr>
              <w:pStyle w:val="P68B1DB1-Normal10"/>
              <w:jc w:val="center"/>
              <w:rPr>
                <w:bCs/>
                <w:noProof/>
                <w:szCs w:val="20"/>
                <w:lang w:val="de-DE"/>
              </w:rPr>
            </w:pPr>
            <w:r w:rsidRPr="00170422">
              <w:rPr>
                <w:noProof/>
                <w:lang w:val="de-DE"/>
              </w:rPr>
              <w:t>Jahre</w:t>
            </w:r>
          </w:p>
        </w:tc>
        <w:tc>
          <w:tcPr>
            <w:tcW w:w="3379" w:type="dxa"/>
            <w:vMerge/>
            <w:vAlign w:val="center"/>
          </w:tcPr>
          <w:p w14:paraId="6F6EEA62" w14:textId="77777777" w:rsidR="0057163C" w:rsidRPr="00170422" w:rsidRDefault="0057163C">
            <w:pPr>
              <w:rPr>
                <w:rFonts w:ascii="Arial Narrow" w:hAnsi="Arial Narrow"/>
                <w:noProof/>
                <w:sz w:val="20"/>
                <w:szCs w:val="20"/>
                <w:lang w:val="de-DE"/>
              </w:rPr>
            </w:pPr>
          </w:p>
        </w:tc>
      </w:tr>
      <w:tr w:rsidR="0057163C" w:rsidRPr="00170422" w14:paraId="323E5F3E" w14:textId="77777777" w:rsidTr="00DB5D07">
        <w:trPr>
          <w:trHeight w:val="315"/>
        </w:trPr>
        <w:tc>
          <w:tcPr>
            <w:tcW w:w="1277" w:type="dxa"/>
            <w:shd w:val="clear" w:color="auto" w:fill="C6EFCE"/>
            <w:vAlign w:val="center"/>
          </w:tcPr>
          <w:p w14:paraId="043A7DF9" w14:textId="77777777" w:rsidR="0057163C" w:rsidRPr="00170422" w:rsidRDefault="00F37BF9">
            <w:pPr>
              <w:pStyle w:val="P68B1DB1-Normal12"/>
              <w:jc w:val="center"/>
              <w:rPr>
                <w:noProof/>
                <w:lang w:val="de-DE"/>
              </w:rPr>
            </w:pPr>
            <w:r w:rsidRPr="00170422">
              <w:rPr>
                <w:noProof/>
                <w:lang w:val="de-DE"/>
              </w:rPr>
              <w:t>M6C1-1</w:t>
            </w:r>
          </w:p>
        </w:tc>
        <w:tc>
          <w:tcPr>
            <w:tcW w:w="1701" w:type="dxa"/>
            <w:shd w:val="clear" w:color="auto" w:fill="C6EFCE"/>
            <w:vAlign w:val="center"/>
          </w:tcPr>
          <w:p w14:paraId="52FF6B0F" w14:textId="50524B14" w:rsidR="0057163C" w:rsidRPr="00170422" w:rsidRDefault="00F37BF9">
            <w:pPr>
              <w:pStyle w:val="P68B1DB1-Normal11"/>
              <w:jc w:val="center"/>
              <w:rPr>
                <w:noProof/>
                <w:szCs w:val="20"/>
                <w:lang w:val="de-DE"/>
              </w:rPr>
            </w:pPr>
            <w:r w:rsidRPr="00170422">
              <w:rPr>
                <w:noProof/>
                <w:lang w:val="de-DE"/>
              </w:rPr>
              <w:t>Reform 1: Festlegung eines neuen Organisationsmodells für das territoriale Gesundheitsversorgungsnetz</w:t>
            </w:r>
          </w:p>
        </w:tc>
        <w:tc>
          <w:tcPr>
            <w:tcW w:w="1247" w:type="dxa"/>
            <w:shd w:val="clear" w:color="auto" w:fill="C6EFCE"/>
            <w:vAlign w:val="center"/>
          </w:tcPr>
          <w:p w14:paraId="2BBB01BB" w14:textId="77777777" w:rsidR="0057163C" w:rsidRPr="00170422" w:rsidRDefault="00F37BF9">
            <w:pPr>
              <w:pStyle w:val="P68B1DB1-Normal11"/>
              <w:jc w:val="center"/>
              <w:rPr>
                <w:noProof/>
                <w:szCs w:val="20"/>
                <w:lang w:val="de-DE"/>
              </w:rPr>
            </w:pPr>
            <w:r w:rsidRPr="00170422">
              <w:rPr>
                <w:noProof/>
                <w:lang w:val="de-DE"/>
              </w:rPr>
              <w:t>Meilenstein</w:t>
            </w:r>
          </w:p>
        </w:tc>
        <w:tc>
          <w:tcPr>
            <w:tcW w:w="1304" w:type="dxa"/>
            <w:shd w:val="clear" w:color="auto" w:fill="C6EFCE"/>
            <w:vAlign w:val="center"/>
          </w:tcPr>
          <w:p w14:paraId="403E3043" w14:textId="77777777" w:rsidR="0057163C" w:rsidRPr="00170422" w:rsidRDefault="00F37BF9">
            <w:pPr>
              <w:pStyle w:val="P68B1DB1-Normal11"/>
              <w:jc w:val="center"/>
              <w:rPr>
                <w:noProof/>
                <w:szCs w:val="20"/>
                <w:lang w:val="de-DE"/>
              </w:rPr>
            </w:pPr>
            <w:r w:rsidRPr="00170422">
              <w:rPr>
                <w:noProof/>
                <w:lang w:val="de-DE"/>
              </w:rPr>
              <w:t>Inkrafttreten des Sekundärrechts (Ministerialdekret) zur Reform der Organisation des Gesundheitswesens.</w:t>
            </w:r>
          </w:p>
        </w:tc>
        <w:tc>
          <w:tcPr>
            <w:tcW w:w="1363" w:type="dxa"/>
            <w:shd w:val="clear" w:color="auto" w:fill="C6EFCE"/>
            <w:vAlign w:val="center"/>
          </w:tcPr>
          <w:p w14:paraId="2CCE3F33" w14:textId="77777777" w:rsidR="0057163C" w:rsidRPr="00170422" w:rsidRDefault="00F37BF9">
            <w:pPr>
              <w:pStyle w:val="P68B1DB1-Normal11"/>
              <w:jc w:val="center"/>
              <w:rPr>
                <w:noProof/>
                <w:szCs w:val="20"/>
                <w:lang w:val="de-DE"/>
              </w:rPr>
            </w:pPr>
            <w:r w:rsidRPr="00170422">
              <w:rPr>
                <w:noProof/>
                <w:lang w:val="de-DE"/>
              </w:rPr>
              <w:t xml:space="preserve">Gesetzliche Bestimmung, die das Inkrafttreten der Rechtsvorschriften angibt </w:t>
            </w:r>
          </w:p>
        </w:tc>
        <w:tc>
          <w:tcPr>
            <w:tcW w:w="1160" w:type="dxa"/>
            <w:shd w:val="clear" w:color="auto" w:fill="C6EFCE"/>
            <w:vAlign w:val="center"/>
          </w:tcPr>
          <w:p w14:paraId="7F5B5E97"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vAlign w:val="center"/>
          </w:tcPr>
          <w:p w14:paraId="6F48C99A"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vAlign w:val="center"/>
          </w:tcPr>
          <w:p w14:paraId="566B17CC"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tcPr>
          <w:p w14:paraId="657CDAE1"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01E5C78D" w14:textId="77777777" w:rsidR="0057163C" w:rsidRPr="00170422" w:rsidRDefault="00F37BF9">
            <w:pPr>
              <w:pStyle w:val="P68B1DB1-Normal11"/>
              <w:jc w:val="center"/>
              <w:rPr>
                <w:noProof/>
                <w:szCs w:val="20"/>
                <w:lang w:val="de-DE"/>
              </w:rPr>
            </w:pPr>
            <w:r w:rsidRPr="00170422">
              <w:rPr>
                <w:noProof/>
                <w:lang w:val="de-DE"/>
              </w:rPr>
              <w:t>2022</w:t>
            </w:r>
          </w:p>
        </w:tc>
        <w:tc>
          <w:tcPr>
            <w:tcW w:w="3379" w:type="dxa"/>
            <w:shd w:val="clear" w:color="auto" w:fill="C6EFCE"/>
            <w:vAlign w:val="center"/>
          </w:tcPr>
          <w:p w14:paraId="67252F95" w14:textId="77777777" w:rsidR="0057163C" w:rsidRPr="00170422" w:rsidRDefault="00F37BF9">
            <w:pPr>
              <w:pStyle w:val="P68B1DB1-Normal11"/>
              <w:rPr>
                <w:noProof/>
                <w:szCs w:val="20"/>
                <w:lang w:val="de-DE"/>
              </w:rPr>
            </w:pPr>
            <w:r w:rsidRPr="00170422">
              <w:rPr>
                <w:noProof/>
                <w:lang w:val="de-DE"/>
              </w:rPr>
              <w:t>Inkrafttreten des Sekundärrechts (Ministerialdekret) mit folgenden Bestimmungen:</w:t>
            </w:r>
          </w:p>
          <w:p w14:paraId="189F4C4A" w14:textId="77777777" w:rsidR="0057163C" w:rsidRPr="00170422" w:rsidRDefault="00F37BF9">
            <w:pPr>
              <w:pStyle w:val="P68B1DB1-Normal11"/>
              <w:rPr>
                <w:noProof/>
                <w:szCs w:val="20"/>
                <w:lang w:val="de-DE"/>
              </w:rPr>
            </w:pPr>
            <w:r w:rsidRPr="00170422">
              <w:rPr>
                <w:noProof/>
                <w:lang w:val="de-DE"/>
              </w:rPr>
              <w:t>— Festlegung eines neuen Organisationsmodells für das territ</w:t>
            </w:r>
            <w:r w:rsidRPr="00170422">
              <w:rPr>
                <w:noProof/>
                <w:lang w:val="de-DE"/>
              </w:rPr>
              <w:t>oriale Gesundheitsversorgungsnetz durch Festlegung eines Rechtsrahmens, in dem strukturelle, technologische und organisatorische Standards für alle Regionen festgelegt werden; Festlegung einer neuen institutionellen Struktur der Gesundheits-, Umwelt- und K</w:t>
            </w:r>
            <w:r w:rsidRPr="00170422">
              <w:rPr>
                <w:noProof/>
                <w:lang w:val="de-DE"/>
              </w:rPr>
              <w:t>limaprävention nach dem Konzept „Eine Gesundheit“.</w:t>
            </w:r>
          </w:p>
        </w:tc>
      </w:tr>
      <w:tr w:rsidR="0057163C" w:rsidRPr="00170422" w14:paraId="3299CA0C" w14:textId="77777777" w:rsidTr="00DB5D07">
        <w:trPr>
          <w:trHeight w:val="315"/>
        </w:trPr>
        <w:tc>
          <w:tcPr>
            <w:tcW w:w="1277" w:type="dxa"/>
            <w:shd w:val="clear" w:color="auto" w:fill="C6EFCE"/>
            <w:vAlign w:val="center"/>
          </w:tcPr>
          <w:p w14:paraId="1DD89562" w14:textId="77777777" w:rsidR="0057163C" w:rsidRPr="00170422" w:rsidRDefault="00F37BF9">
            <w:pPr>
              <w:pStyle w:val="P68B1DB1-Normal11"/>
              <w:jc w:val="center"/>
              <w:rPr>
                <w:noProof/>
                <w:szCs w:val="20"/>
                <w:lang w:val="de-DE"/>
              </w:rPr>
            </w:pPr>
            <w:r w:rsidRPr="00170422">
              <w:rPr>
                <w:noProof/>
                <w:lang w:val="de-DE"/>
              </w:rPr>
              <w:t>M6C1-2</w:t>
            </w:r>
          </w:p>
        </w:tc>
        <w:tc>
          <w:tcPr>
            <w:tcW w:w="1701" w:type="dxa"/>
            <w:shd w:val="clear" w:color="auto" w:fill="C6EFCE"/>
            <w:vAlign w:val="center"/>
          </w:tcPr>
          <w:p w14:paraId="18E78B7F" w14:textId="77777777" w:rsidR="0057163C" w:rsidRPr="00170422" w:rsidRDefault="00F37BF9">
            <w:pPr>
              <w:pStyle w:val="P68B1DB1-Normal11"/>
              <w:jc w:val="center"/>
              <w:rPr>
                <w:noProof/>
                <w:szCs w:val="20"/>
                <w:lang w:val="de-DE"/>
              </w:rPr>
            </w:pPr>
            <w:r w:rsidRPr="00170422">
              <w:rPr>
                <w:noProof/>
                <w:lang w:val="de-DE"/>
              </w:rPr>
              <w:t>Investition 1.1: Gemeinschaftliche Gesundheitseinrichtungen zur Verbesserung der territorialen Gesundheitsversorgung</w:t>
            </w:r>
          </w:p>
        </w:tc>
        <w:tc>
          <w:tcPr>
            <w:tcW w:w="1247" w:type="dxa"/>
            <w:shd w:val="clear" w:color="auto" w:fill="C6EFCE"/>
            <w:vAlign w:val="center"/>
          </w:tcPr>
          <w:p w14:paraId="05DF5823" w14:textId="77777777" w:rsidR="0057163C" w:rsidRPr="00170422" w:rsidRDefault="00F37BF9">
            <w:pPr>
              <w:pStyle w:val="P68B1DB1-Normal11"/>
              <w:jc w:val="center"/>
              <w:rPr>
                <w:noProof/>
                <w:szCs w:val="20"/>
                <w:lang w:val="de-DE"/>
              </w:rPr>
            </w:pPr>
            <w:r w:rsidRPr="00170422">
              <w:rPr>
                <w:noProof/>
                <w:lang w:val="de-DE"/>
              </w:rPr>
              <w:t>Meilenstein</w:t>
            </w:r>
          </w:p>
        </w:tc>
        <w:tc>
          <w:tcPr>
            <w:tcW w:w="1304" w:type="dxa"/>
            <w:shd w:val="clear" w:color="auto" w:fill="C6EFCE"/>
            <w:vAlign w:val="center"/>
          </w:tcPr>
          <w:p w14:paraId="6444F7C0" w14:textId="77777777" w:rsidR="0057163C" w:rsidRPr="00170422" w:rsidRDefault="00F37BF9">
            <w:pPr>
              <w:pStyle w:val="P68B1DB1-Normal11"/>
              <w:jc w:val="center"/>
              <w:rPr>
                <w:noProof/>
                <w:szCs w:val="20"/>
                <w:lang w:val="de-DE"/>
              </w:rPr>
            </w:pPr>
            <w:r w:rsidRPr="00170422">
              <w:rPr>
                <w:noProof/>
                <w:lang w:val="de-DE"/>
              </w:rPr>
              <w:t xml:space="preserve">Genehmigung eines Vertrags über die institutionelle Entwicklung </w:t>
            </w:r>
          </w:p>
        </w:tc>
        <w:tc>
          <w:tcPr>
            <w:tcW w:w="1363" w:type="dxa"/>
            <w:shd w:val="clear" w:color="auto" w:fill="C6EFCE"/>
            <w:vAlign w:val="center"/>
          </w:tcPr>
          <w:p w14:paraId="44E17411" w14:textId="77777777" w:rsidR="0057163C" w:rsidRPr="00170422" w:rsidRDefault="00F37BF9">
            <w:pPr>
              <w:pStyle w:val="P68B1DB1-Normal11"/>
              <w:jc w:val="center"/>
              <w:rPr>
                <w:noProof/>
                <w:szCs w:val="20"/>
                <w:lang w:val="de-DE"/>
              </w:rPr>
            </w:pPr>
            <w:r w:rsidRPr="00170422">
              <w:rPr>
                <w:noProof/>
                <w:lang w:val="de-DE"/>
              </w:rPr>
              <w:t>Notifizierung der Genehmigung durch das Ministerium für Gesundheit und Regionen</w:t>
            </w:r>
          </w:p>
        </w:tc>
        <w:tc>
          <w:tcPr>
            <w:tcW w:w="1160" w:type="dxa"/>
            <w:shd w:val="clear" w:color="auto" w:fill="C6EFCE"/>
            <w:vAlign w:val="center"/>
          </w:tcPr>
          <w:p w14:paraId="182E788F"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vAlign w:val="center"/>
          </w:tcPr>
          <w:p w14:paraId="49D3CB42"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vAlign w:val="center"/>
          </w:tcPr>
          <w:p w14:paraId="5D297D7D"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tcPr>
          <w:p w14:paraId="1BC00E70"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31F692FD" w14:textId="77777777" w:rsidR="0057163C" w:rsidRPr="00170422" w:rsidRDefault="00F37BF9">
            <w:pPr>
              <w:pStyle w:val="P68B1DB1-Normal11"/>
              <w:jc w:val="center"/>
              <w:rPr>
                <w:noProof/>
                <w:szCs w:val="20"/>
                <w:lang w:val="de-DE"/>
              </w:rPr>
            </w:pPr>
            <w:r w:rsidRPr="00170422">
              <w:rPr>
                <w:noProof/>
                <w:lang w:val="de-DE"/>
              </w:rPr>
              <w:t>2022</w:t>
            </w:r>
          </w:p>
        </w:tc>
        <w:tc>
          <w:tcPr>
            <w:tcW w:w="3379" w:type="dxa"/>
            <w:shd w:val="clear" w:color="auto" w:fill="C6EFCE"/>
            <w:vAlign w:val="center"/>
          </w:tcPr>
          <w:p w14:paraId="5B71C581" w14:textId="77777777" w:rsidR="0057163C" w:rsidRPr="00170422" w:rsidRDefault="00F37BF9">
            <w:pPr>
              <w:pStyle w:val="P68B1DB1-Normal11"/>
              <w:rPr>
                <w:noProof/>
                <w:szCs w:val="20"/>
                <w:lang w:val="de-DE"/>
              </w:rPr>
            </w:pPr>
            <w:r w:rsidRPr="00170422">
              <w:rPr>
                <w:noProof/>
                <w:lang w:val="de-DE"/>
              </w:rPr>
              <w:t>Genehmigung eines Vertrags über die institutionelle Entwicklung (Contratto Istituzionale di Sviluppo) mit dem italienischen Gesundheitsmin</w:t>
            </w:r>
            <w:r w:rsidRPr="00170422">
              <w:rPr>
                <w:noProof/>
                <w:lang w:val="de-DE"/>
              </w:rPr>
              <w:t>isterium als zuständige und durchführende Behörde und Beteiligung der Regionalverwaltungen zusammen mit den anderen für die gemeinschaftlichen Gesundheitsämter zuständigen Stellen:</w:t>
            </w:r>
          </w:p>
          <w:p w14:paraId="36B2DEA6" w14:textId="77777777" w:rsidR="0057163C" w:rsidRPr="00170422" w:rsidRDefault="00F37BF9">
            <w:pPr>
              <w:pStyle w:val="P68B1DB1-Normal11"/>
              <w:rPr>
                <w:noProof/>
                <w:szCs w:val="20"/>
                <w:lang w:val="de-DE"/>
              </w:rPr>
            </w:pPr>
            <w:r w:rsidRPr="00170422">
              <w:rPr>
                <w:noProof/>
                <w:lang w:val="de-DE"/>
              </w:rPr>
              <w:t>Der Vertrag über die institutionelle Entwicklung ist ein Governance-Instrum</w:t>
            </w:r>
            <w:r w:rsidRPr="00170422">
              <w:rPr>
                <w:noProof/>
                <w:lang w:val="de-DE"/>
              </w:rPr>
              <w:t>ent, mit dem alle für die Umsetzung des „Community Health House“ zur Verbesserung der territorialen Gesundheitsversorgung ausgewählten Parteien aufgelistet werden. In dem Vertrag werden auch die Verpflichtungen festgelegt, die jede italienische Region über</w:t>
            </w:r>
            <w:r w:rsidRPr="00170422">
              <w:rPr>
                <w:noProof/>
                <w:lang w:val="de-DE"/>
              </w:rPr>
              <w:t xml:space="preserve">nehmen wird, um die Erreichung der erwarteten Ergebnisse in Bezug auf das Gesundheitshaus der Gemeinschaft zu gewährleisten. </w:t>
            </w:r>
          </w:p>
          <w:p w14:paraId="071458A8" w14:textId="77777777" w:rsidR="0057163C" w:rsidRPr="00170422" w:rsidRDefault="00F37BF9">
            <w:pPr>
              <w:pStyle w:val="P68B1DB1-Normal11"/>
              <w:rPr>
                <w:noProof/>
                <w:szCs w:val="20"/>
                <w:lang w:val="de-DE"/>
              </w:rPr>
            </w:pPr>
            <w:r w:rsidRPr="00170422">
              <w:rPr>
                <w:noProof/>
                <w:lang w:val="de-DE"/>
              </w:rPr>
              <w:t xml:space="preserve"> Ziel des Vertrags war es, den territorialen Zusammenhalt, die Entwicklung und das Wirtschaftswachstum zu unterstützen und die Dur</w:t>
            </w:r>
            <w:r w:rsidRPr="00170422">
              <w:rPr>
                <w:noProof/>
                <w:lang w:val="de-DE"/>
              </w:rPr>
              <w:t>chführung komplexer Maßnahmen zu beschleunigen. Der Vertrag über die institutionelle Entwicklung ist besonders nützlich für Großprojekte oder Investitionen, die in einzelne, funktionell miteinander verbundene Interventionen eingebettet sind, die einen inte</w:t>
            </w:r>
            <w:r w:rsidRPr="00170422">
              <w:rPr>
                <w:noProof/>
                <w:lang w:val="de-DE"/>
              </w:rPr>
              <w:t>grierten Ansatz und den Einsatz der europäischen Investitionsfonds und nationalen Fonds erfordern, die auch in Plänen und operationellen Programmen enthalten sind, die aus nationalen und europäischen Mitteln finanziert werden.</w:t>
            </w:r>
          </w:p>
        </w:tc>
      </w:tr>
      <w:tr w:rsidR="0057163C" w:rsidRPr="00170422" w14:paraId="70949CE6" w14:textId="77777777" w:rsidTr="00DB5D07">
        <w:trPr>
          <w:trHeight w:val="315"/>
        </w:trPr>
        <w:tc>
          <w:tcPr>
            <w:tcW w:w="1277" w:type="dxa"/>
            <w:shd w:val="clear" w:color="auto" w:fill="C6EFCE"/>
            <w:vAlign w:val="center"/>
          </w:tcPr>
          <w:p w14:paraId="50E8FDDC" w14:textId="77777777" w:rsidR="0057163C" w:rsidRPr="00170422" w:rsidRDefault="00F37BF9">
            <w:pPr>
              <w:pStyle w:val="P68B1DB1-Normal12"/>
              <w:jc w:val="center"/>
              <w:rPr>
                <w:noProof/>
                <w:lang w:val="de-DE"/>
              </w:rPr>
            </w:pPr>
            <w:r w:rsidRPr="00170422">
              <w:rPr>
                <w:noProof/>
                <w:lang w:val="de-DE"/>
              </w:rPr>
              <w:t>M6C1-3</w:t>
            </w:r>
          </w:p>
        </w:tc>
        <w:tc>
          <w:tcPr>
            <w:tcW w:w="1701" w:type="dxa"/>
            <w:shd w:val="clear" w:color="auto" w:fill="C6EFCE"/>
            <w:vAlign w:val="center"/>
          </w:tcPr>
          <w:p w14:paraId="155FB00D" w14:textId="77777777" w:rsidR="0057163C" w:rsidRPr="00170422" w:rsidRDefault="00F37BF9">
            <w:pPr>
              <w:pStyle w:val="P68B1DB1-Normal11"/>
              <w:jc w:val="center"/>
              <w:rPr>
                <w:noProof/>
                <w:szCs w:val="20"/>
                <w:lang w:val="de-DE"/>
              </w:rPr>
            </w:pPr>
            <w:bookmarkStart w:id="21" w:name="_Hlk160472482"/>
            <w:r w:rsidRPr="00170422">
              <w:rPr>
                <w:noProof/>
                <w:lang w:val="de-DE"/>
              </w:rPr>
              <w:t xml:space="preserve">Investition 1.1: </w:t>
            </w:r>
            <w:r w:rsidRPr="00170422">
              <w:rPr>
                <w:noProof/>
                <w:lang w:val="de-DE"/>
              </w:rPr>
              <w:t>Gemeinschaftliche Gesundheitseinrichtungen zur Verbesserung der territorialen Gesundheitsversorgung</w:t>
            </w:r>
            <w:bookmarkEnd w:id="21"/>
          </w:p>
        </w:tc>
        <w:tc>
          <w:tcPr>
            <w:tcW w:w="1247" w:type="dxa"/>
            <w:shd w:val="clear" w:color="auto" w:fill="C6EFCE"/>
            <w:vAlign w:val="center"/>
          </w:tcPr>
          <w:p w14:paraId="12F18F02" w14:textId="77777777" w:rsidR="0057163C" w:rsidRPr="00170422" w:rsidRDefault="00F37BF9">
            <w:pPr>
              <w:pStyle w:val="P68B1DB1-Normal11"/>
              <w:jc w:val="center"/>
              <w:rPr>
                <w:noProof/>
                <w:szCs w:val="20"/>
                <w:lang w:val="de-DE"/>
              </w:rPr>
            </w:pPr>
            <w:r w:rsidRPr="00170422">
              <w:rPr>
                <w:noProof/>
                <w:lang w:val="de-DE"/>
              </w:rPr>
              <w:t>Ziel</w:t>
            </w:r>
          </w:p>
        </w:tc>
        <w:tc>
          <w:tcPr>
            <w:tcW w:w="1304" w:type="dxa"/>
            <w:shd w:val="clear" w:color="auto" w:fill="C6EFCE"/>
            <w:vAlign w:val="center"/>
          </w:tcPr>
          <w:p w14:paraId="5808009D" w14:textId="77777777" w:rsidR="0057163C" w:rsidRPr="00170422" w:rsidRDefault="00F37BF9">
            <w:pPr>
              <w:pStyle w:val="P68B1DB1-Normal12"/>
              <w:jc w:val="center"/>
              <w:rPr>
                <w:noProof/>
                <w:lang w:val="de-DE"/>
              </w:rPr>
            </w:pPr>
            <w:r w:rsidRPr="00170422">
              <w:rPr>
                <w:noProof/>
                <w:lang w:val="de-DE"/>
              </w:rPr>
              <w:t xml:space="preserve">Die Dienste der gemeinschaftlichen Gesundheitseinrichtungen werden aktiviert. </w:t>
            </w:r>
          </w:p>
        </w:tc>
        <w:tc>
          <w:tcPr>
            <w:tcW w:w="1363" w:type="dxa"/>
            <w:shd w:val="clear" w:color="auto" w:fill="C6EFCE"/>
            <w:vAlign w:val="center"/>
          </w:tcPr>
          <w:p w14:paraId="460C6C6A" w14:textId="77777777" w:rsidR="0057163C" w:rsidRPr="00170422" w:rsidRDefault="00F37BF9">
            <w:pPr>
              <w:pStyle w:val="P68B1DB1-Normal11"/>
              <w:jc w:val="center"/>
              <w:rPr>
                <w:noProof/>
                <w:szCs w:val="20"/>
                <w:lang w:val="de-DE"/>
              </w:rPr>
            </w:pPr>
            <w:r w:rsidRPr="00170422">
              <w:rPr>
                <w:noProof/>
                <w:lang w:val="de-DE"/>
              </w:rPr>
              <w:t>ENTFÄLLT.</w:t>
            </w:r>
          </w:p>
        </w:tc>
        <w:tc>
          <w:tcPr>
            <w:tcW w:w="1160" w:type="dxa"/>
            <w:shd w:val="clear" w:color="auto" w:fill="C6EFCE"/>
            <w:vAlign w:val="center"/>
          </w:tcPr>
          <w:p w14:paraId="65A7EF21"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vAlign w:val="center"/>
          </w:tcPr>
          <w:p w14:paraId="768DAFE8"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vAlign w:val="center"/>
          </w:tcPr>
          <w:p w14:paraId="34A25F34" w14:textId="77777777" w:rsidR="0057163C" w:rsidRPr="00170422" w:rsidRDefault="00F37BF9">
            <w:pPr>
              <w:pStyle w:val="P68B1DB1-Normal11"/>
              <w:jc w:val="center"/>
              <w:rPr>
                <w:noProof/>
                <w:szCs w:val="20"/>
                <w:lang w:val="de-DE"/>
              </w:rPr>
            </w:pPr>
            <w:r w:rsidRPr="00170422">
              <w:rPr>
                <w:noProof/>
                <w:lang w:val="de-DE"/>
              </w:rPr>
              <w:t>1 038</w:t>
            </w:r>
          </w:p>
        </w:tc>
        <w:tc>
          <w:tcPr>
            <w:tcW w:w="851" w:type="dxa"/>
            <w:shd w:val="clear" w:color="auto" w:fill="C6EFCE"/>
            <w:vAlign w:val="center"/>
          </w:tcPr>
          <w:p w14:paraId="542B148C"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13C023B7" w14:textId="77777777" w:rsidR="0057163C" w:rsidRPr="00170422" w:rsidRDefault="00F37BF9">
            <w:pPr>
              <w:pStyle w:val="P68B1DB1-Normal11"/>
              <w:jc w:val="center"/>
              <w:rPr>
                <w:noProof/>
                <w:szCs w:val="20"/>
                <w:lang w:val="de-DE"/>
              </w:rPr>
            </w:pPr>
            <w:r w:rsidRPr="00170422">
              <w:rPr>
                <w:noProof/>
                <w:lang w:val="de-DE"/>
              </w:rPr>
              <w:t>2026</w:t>
            </w:r>
          </w:p>
        </w:tc>
        <w:tc>
          <w:tcPr>
            <w:tcW w:w="3379" w:type="dxa"/>
            <w:shd w:val="clear" w:color="auto" w:fill="C6EFCE"/>
            <w:vAlign w:val="center"/>
          </w:tcPr>
          <w:p w14:paraId="4D26E9B0" w14:textId="77777777" w:rsidR="0057163C" w:rsidRPr="00170422" w:rsidRDefault="00F37BF9">
            <w:pPr>
              <w:pStyle w:val="P68B1DB1-Normal12"/>
              <w:rPr>
                <w:noProof/>
                <w:lang w:val="de-DE"/>
              </w:rPr>
            </w:pPr>
            <w:r w:rsidRPr="00170422">
              <w:rPr>
                <w:noProof/>
                <w:lang w:val="de-DE"/>
              </w:rPr>
              <w:t xml:space="preserve">Unabhängige Sachverständigenberichte </w:t>
            </w:r>
            <w:r w:rsidRPr="00170422">
              <w:rPr>
                <w:noProof/>
                <w:lang w:val="de-DE"/>
              </w:rPr>
              <w:t>zur Bestätigung der Aktivierung von Diensten gemäß den Standards, die in den obligatorischen Punkten der Tabelle 4 in Anhang 1 Abschnitt 5 der DM Nr. 77 vom 23. Mai 2022 festgelegt sind, in mindestens 1038 Gemeinschaftskrankenhäusern.</w:t>
            </w:r>
          </w:p>
          <w:p w14:paraId="68DFE658" w14:textId="77777777" w:rsidR="0057163C" w:rsidRPr="00170422" w:rsidRDefault="00F37BF9">
            <w:pPr>
              <w:pStyle w:val="P68B1DB1-Normal12"/>
              <w:rPr>
                <w:noProof/>
                <w:lang w:val="de-DE"/>
              </w:rPr>
            </w:pPr>
            <w:r w:rsidRPr="00170422">
              <w:rPr>
                <w:noProof/>
                <w:lang w:val="de-DE"/>
              </w:rPr>
              <w:t>Mindestens 50 % der U</w:t>
            </w:r>
            <w:r w:rsidRPr="00170422">
              <w:rPr>
                <w:noProof/>
                <w:lang w:val="de-DE"/>
              </w:rPr>
              <w:t>nterstützung aus der Aufbau- und Resilienzfazilität für die Investitionskosten sind für den Bau neuer Gebäude (Intervention Feld 025 ter) gemäß den Anforderungen in Anhang VI Fußnote 5 der Verordnung (EU) 2021/241 oder für die vom unabhängigen Sachverständ</w:t>
            </w:r>
            <w:r w:rsidRPr="00170422">
              <w:rPr>
                <w:noProof/>
                <w:lang w:val="de-DE"/>
              </w:rPr>
              <w:t>igen zertifizierte energetische Renovierung von Gebäuden (Intervention Feld 026) bestimmt.</w:t>
            </w:r>
          </w:p>
        </w:tc>
      </w:tr>
      <w:tr w:rsidR="0057163C" w:rsidRPr="00170422" w14:paraId="0629FBAF" w14:textId="77777777" w:rsidTr="00DB5D07">
        <w:trPr>
          <w:trHeight w:val="315"/>
        </w:trPr>
        <w:tc>
          <w:tcPr>
            <w:tcW w:w="1277" w:type="dxa"/>
            <w:shd w:val="clear" w:color="auto" w:fill="C6EFCE"/>
            <w:vAlign w:val="center"/>
          </w:tcPr>
          <w:p w14:paraId="10542915" w14:textId="77777777" w:rsidR="0057163C" w:rsidRPr="00170422" w:rsidRDefault="00F37BF9">
            <w:pPr>
              <w:pStyle w:val="P68B1DB1-Normal11"/>
              <w:jc w:val="center"/>
              <w:rPr>
                <w:noProof/>
                <w:szCs w:val="20"/>
                <w:lang w:val="de-DE"/>
              </w:rPr>
            </w:pPr>
            <w:r w:rsidRPr="00170422">
              <w:rPr>
                <w:noProof/>
                <w:lang w:val="de-DE"/>
              </w:rPr>
              <w:t>M6C1-4</w:t>
            </w:r>
          </w:p>
        </w:tc>
        <w:tc>
          <w:tcPr>
            <w:tcW w:w="1701" w:type="dxa"/>
            <w:shd w:val="clear" w:color="auto" w:fill="C6EFCE"/>
            <w:vAlign w:val="center"/>
          </w:tcPr>
          <w:p w14:paraId="07B8B21F" w14:textId="77777777" w:rsidR="0057163C" w:rsidRPr="00170422" w:rsidRDefault="00F37BF9">
            <w:pPr>
              <w:pStyle w:val="P68B1DB1-Normal11"/>
              <w:jc w:val="center"/>
              <w:rPr>
                <w:noProof/>
                <w:szCs w:val="20"/>
                <w:lang w:val="de-DE"/>
              </w:rPr>
            </w:pPr>
            <w:r w:rsidRPr="00170422">
              <w:rPr>
                <w:noProof/>
                <w:lang w:val="de-DE"/>
              </w:rPr>
              <w:t>Investition 1.2: Zuhause als Erstversorgungsort und Telemedizin</w:t>
            </w:r>
          </w:p>
        </w:tc>
        <w:tc>
          <w:tcPr>
            <w:tcW w:w="1247" w:type="dxa"/>
            <w:shd w:val="clear" w:color="auto" w:fill="C6EFCE"/>
            <w:vAlign w:val="center"/>
          </w:tcPr>
          <w:p w14:paraId="5395F82C" w14:textId="77777777" w:rsidR="0057163C" w:rsidRPr="00170422" w:rsidRDefault="00F37BF9">
            <w:pPr>
              <w:pStyle w:val="P68B1DB1-Normal11"/>
              <w:jc w:val="center"/>
              <w:rPr>
                <w:noProof/>
                <w:szCs w:val="20"/>
                <w:lang w:val="de-DE"/>
              </w:rPr>
            </w:pPr>
            <w:r w:rsidRPr="00170422">
              <w:rPr>
                <w:noProof/>
                <w:lang w:val="de-DE"/>
              </w:rPr>
              <w:t>Meilenstein</w:t>
            </w:r>
          </w:p>
        </w:tc>
        <w:tc>
          <w:tcPr>
            <w:tcW w:w="1304" w:type="dxa"/>
            <w:shd w:val="clear" w:color="auto" w:fill="C6EFCE"/>
            <w:vAlign w:val="center"/>
          </w:tcPr>
          <w:p w14:paraId="3B5E9091" w14:textId="77777777" w:rsidR="0057163C" w:rsidRPr="00170422" w:rsidRDefault="00F37BF9">
            <w:pPr>
              <w:pStyle w:val="P68B1DB1-Normal11"/>
              <w:jc w:val="center"/>
              <w:rPr>
                <w:noProof/>
                <w:szCs w:val="20"/>
                <w:lang w:val="de-DE"/>
              </w:rPr>
            </w:pPr>
            <w:r w:rsidRPr="00170422">
              <w:rPr>
                <w:noProof/>
                <w:lang w:val="de-DE"/>
              </w:rPr>
              <w:t>Genehmigung der Leitlinien mit dem digitalen</w:t>
            </w:r>
            <w:r w:rsidRPr="00170422">
              <w:rPr>
                <w:noProof/>
                <w:lang w:val="de-DE"/>
              </w:rPr>
              <w:t xml:space="preserve"> Modell für die Umsetzung der häuslichen Pflege</w:t>
            </w:r>
          </w:p>
        </w:tc>
        <w:tc>
          <w:tcPr>
            <w:tcW w:w="1363" w:type="dxa"/>
            <w:shd w:val="clear" w:color="auto" w:fill="C6EFCE"/>
            <w:vAlign w:val="center"/>
          </w:tcPr>
          <w:p w14:paraId="35DCE9B0" w14:textId="77777777" w:rsidR="0057163C" w:rsidRPr="00170422" w:rsidRDefault="00F37BF9">
            <w:pPr>
              <w:pStyle w:val="P68B1DB1-Normal11"/>
              <w:jc w:val="center"/>
              <w:rPr>
                <w:noProof/>
                <w:szCs w:val="20"/>
                <w:lang w:val="de-DE"/>
              </w:rPr>
            </w:pPr>
            <w:r w:rsidRPr="00170422">
              <w:rPr>
                <w:noProof/>
                <w:lang w:val="de-DE"/>
              </w:rPr>
              <w:t>Vom Gesundheitsministerium genehmigte Leitlinien</w:t>
            </w:r>
          </w:p>
        </w:tc>
        <w:tc>
          <w:tcPr>
            <w:tcW w:w="1160" w:type="dxa"/>
            <w:shd w:val="clear" w:color="auto" w:fill="C6EFCE"/>
            <w:vAlign w:val="center"/>
          </w:tcPr>
          <w:p w14:paraId="76FDC4B3"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vAlign w:val="center"/>
          </w:tcPr>
          <w:p w14:paraId="006FF6F9"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vAlign w:val="center"/>
          </w:tcPr>
          <w:p w14:paraId="62627051"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tcPr>
          <w:p w14:paraId="757BC6AA"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28815B00" w14:textId="77777777" w:rsidR="0057163C" w:rsidRPr="00170422" w:rsidRDefault="00F37BF9">
            <w:pPr>
              <w:pStyle w:val="P68B1DB1-Normal11"/>
              <w:jc w:val="center"/>
              <w:rPr>
                <w:noProof/>
                <w:szCs w:val="20"/>
                <w:lang w:val="de-DE"/>
              </w:rPr>
            </w:pPr>
            <w:r w:rsidRPr="00170422">
              <w:rPr>
                <w:noProof/>
                <w:lang w:val="de-DE"/>
              </w:rPr>
              <w:t>2022</w:t>
            </w:r>
          </w:p>
        </w:tc>
        <w:tc>
          <w:tcPr>
            <w:tcW w:w="3379" w:type="dxa"/>
            <w:shd w:val="clear" w:color="auto" w:fill="C6EFCE"/>
            <w:vAlign w:val="center"/>
          </w:tcPr>
          <w:p w14:paraId="058CD091" w14:textId="77777777" w:rsidR="0057163C" w:rsidRPr="00170422" w:rsidRDefault="00F37BF9">
            <w:pPr>
              <w:pStyle w:val="P68B1DB1-Normal11"/>
              <w:rPr>
                <w:noProof/>
                <w:szCs w:val="20"/>
                <w:lang w:val="de-DE"/>
              </w:rPr>
            </w:pPr>
            <w:r w:rsidRPr="00170422">
              <w:rPr>
                <w:noProof/>
                <w:lang w:val="de-DE"/>
              </w:rPr>
              <w:t xml:space="preserve">Mit den Leitlinien werden die Verfahren gestrafft, die erforderlich sind, um die häusliche Pflege durch die Entwicklung </w:t>
            </w:r>
            <w:r w:rsidRPr="00170422">
              <w:rPr>
                <w:noProof/>
                <w:lang w:val="de-DE"/>
              </w:rPr>
              <w:t>von Fernüberwachungstechniken und Hausautomatisierung zu verbessern.</w:t>
            </w:r>
          </w:p>
        </w:tc>
      </w:tr>
      <w:tr w:rsidR="0057163C" w:rsidRPr="00170422" w14:paraId="56DF5091" w14:textId="77777777" w:rsidTr="00DB5D07">
        <w:trPr>
          <w:trHeight w:val="315"/>
        </w:trPr>
        <w:tc>
          <w:tcPr>
            <w:tcW w:w="1277" w:type="dxa"/>
            <w:shd w:val="clear" w:color="auto" w:fill="C6EFCE"/>
            <w:vAlign w:val="center"/>
          </w:tcPr>
          <w:p w14:paraId="13A9141C" w14:textId="77777777" w:rsidR="0057163C" w:rsidRPr="00170422" w:rsidRDefault="00F37BF9">
            <w:pPr>
              <w:pStyle w:val="P68B1DB1-Normal11"/>
              <w:jc w:val="center"/>
              <w:rPr>
                <w:noProof/>
                <w:szCs w:val="20"/>
                <w:lang w:val="de-DE"/>
              </w:rPr>
            </w:pPr>
            <w:r w:rsidRPr="00170422">
              <w:rPr>
                <w:noProof/>
                <w:lang w:val="de-DE"/>
              </w:rPr>
              <w:t>M6C1-5</w:t>
            </w:r>
          </w:p>
        </w:tc>
        <w:tc>
          <w:tcPr>
            <w:tcW w:w="1701" w:type="dxa"/>
            <w:shd w:val="clear" w:color="auto" w:fill="C6EFCE"/>
            <w:vAlign w:val="center"/>
          </w:tcPr>
          <w:p w14:paraId="58753E1A" w14:textId="77777777" w:rsidR="0057163C" w:rsidRPr="00170422" w:rsidRDefault="00F37BF9">
            <w:pPr>
              <w:pStyle w:val="P68B1DB1-Normal11"/>
              <w:jc w:val="center"/>
              <w:rPr>
                <w:noProof/>
                <w:szCs w:val="20"/>
                <w:lang w:val="de-DE"/>
              </w:rPr>
            </w:pPr>
            <w:r w:rsidRPr="00170422">
              <w:rPr>
                <w:noProof/>
                <w:lang w:val="de-DE"/>
              </w:rPr>
              <w:t>Investition 1.2: Zuhause als Erstversorgungsort und Telemedizin</w:t>
            </w:r>
          </w:p>
        </w:tc>
        <w:tc>
          <w:tcPr>
            <w:tcW w:w="1247" w:type="dxa"/>
            <w:shd w:val="clear" w:color="auto" w:fill="C6EFCE"/>
            <w:vAlign w:val="center"/>
          </w:tcPr>
          <w:p w14:paraId="24DC53AC" w14:textId="77777777" w:rsidR="0057163C" w:rsidRPr="00170422" w:rsidRDefault="00F37BF9">
            <w:pPr>
              <w:pStyle w:val="P68B1DB1-Normal11"/>
              <w:jc w:val="center"/>
              <w:rPr>
                <w:noProof/>
                <w:szCs w:val="20"/>
                <w:lang w:val="de-DE"/>
              </w:rPr>
            </w:pPr>
            <w:r w:rsidRPr="00170422">
              <w:rPr>
                <w:noProof/>
                <w:lang w:val="de-DE"/>
              </w:rPr>
              <w:t>Meilenstein</w:t>
            </w:r>
          </w:p>
        </w:tc>
        <w:tc>
          <w:tcPr>
            <w:tcW w:w="1304" w:type="dxa"/>
            <w:shd w:val="clear" w:color="auto" w:fill="C6EFCE"/>
            <w:vAlign w:val="center"/>
          </w:tcPr>
          <w:p w14:paraId="3382BA5D" w14:textId="77777777" w:rsidR="0057163C" w:rsidRPr="00170422" w:rsidRDefault="00F37BF9">
            <w:pPr>
              <w:pStyle w:val="P68B1DB1-Normal11"/>
              <w:jc w:val="center"/>
              <w:rPr>
                <w:noProof/>
                <w:szCs w:val="20"/>
                <w:lang w:val="de-DE"/>
              </w:rPr>
            </w:pPr>
            <w:r w:rsidRPr="00170422">
              <w:rPr>
                <w:noProof/>
                <w:lang w:val="de-DE"/>
              </w:rPr>
              <w:t xml:space="preserve">Vom Ministerium für Gesundheit und Regionen genehmigter Vertrag über die institutionelle Entwicklung </w:t>
            </w:r>
          </w:p>
        </w:tc>
        <w:tc>
          <w:tcPr>
            <w:tcW w:w="1363" w:type="dxa"/>
            <w:shd w:val="clear" w:color="auto" w:fill="C6EFCE"/>
            <w:vAlign w:val="center"/>
          </w:tcPr>
          <w:p w14:paraId="39344333" w14:textId="77777777" w:rsidR="0057163C" w:rsidRPr="00170422" w:rsidRDefault="00F37BF9">
            <w:pPr>
              <w:pStyle w:val="P68B1DB1-Normal11"/>
              <w:jc w:val="center"/>
              <w:rPr>
                <w:noProof/>
                <w:szCs w:val="20"/>
                <w:lang w:val="de-DE"/>
              </w:rPr>
            </w:pPr>
            <w:r w:rsidRPr="00170422">
              <w:rPr>
                <w:noProof/>
                <w:lang w:val="de-DE"/>
              </w:rPr>
              <w:t>Mitteilung des genehmigten Vertrags</w:t>
            </w:r>
          </w:p>
        </w:tc>
        <w:tc>
          <w:tcPr>
            <w:tcW w:w="1160" w:type="dxa"/>
            <w:shd w:val="clear" w:color="auto" w:fill="C6EFCE"/>
            <w:vAlign w:val="center"/>
          </w:tcPr>
          <w:p w14:paraId="2502C4F6"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vAlign w:val="center"/>
          </w:tcPr>
          <w:p w14:paraId="764AC524"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vAlign w:val="center"/>
          </w:tcPr>
          <w:p w14:paraId="2D79E3A0"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tcPr>
          <w:p w14:paraId="381E3A2E"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7AAAD45E" w14:textId="77777777" w:rsidR="0057163C" w:rsidRPr="00170422" w:rsidRDefault="00F37BF9">
            <w:pPr>
              <w:pStyle w:val="P68B1DB1-Normal11"/>
              <w:jc w:val="center"/>
              <w:rPr>
                <w:noProof/>
                <w:szCs w:val="20"/>
                <w:lang w:val="de-DE"/>
              </w:rPr>
            </w:pPr>
            <w:r w:rsidRPr="00170422">
              <w:rPr>
                <w:noProof/>
                <w:lang w:val="de-DE"/>
              </w:rPr>
              <w:t>2022</w:t>
            </w:r>
          </w:p>
        </w:tc>
        <w:tc>
          <w:tcPr>
            <w:tcW w:w="3379" w:type="dxa"/>
            <w:shd w:val="clear" w:color="auto" w:fill="C6EFCE"/>
            <w:vAlign w:val="center"/>
          </w:tcPr>
          <w:p w14:paraId="06A21C4D" w14:textId="77777777" w:rsidR="0057163C" w:rsidRPr="00170422" w:rsidRDefault="00F37BF9">
            <w:pPr>
              <w:pStyle w:val="P68B1DB1-Normal11"/>
              <w:rPr>
                <w:noProof/>
                <w:szCs w:val="20"/>
                <w:lang w:val="de-DE"/>
              </w:rPr>
            </w:pPr>
            <w:r w:rsidRPr="00170422">
              <w:rPr>
                <w:noProof/>
                <w:lang w:val="de-DE"/>
              </w:rPr>
              <w:t>Genehmigung eines Vertrags über die institutionelle Entwicklung (Contratto Istituzionale di Sviluppo) mit dem italienischen Gesundheitsministerium als zuständige und durchführende Be</w:t>
            </w:r>
            <w:r w:rsidRPr="00170422">
              <w:rPr>
                <w:noProof/>
                <w:lang w:val="de-DE"/>
              </w:rPr>
              <w:t>hörde und Beteiligung der Regionalverwaltungen zusammen mit den anderen für die häusliche Pflege zuständigen Stellen.</w:t>
            </w:r>
          </w:p>
          <w:p w14:paraId="14247D15" w14:textId="77777777" w:rsidR="0057163C" w:rsidRPr="00170422" w:rsidRDefault="00F37BF9">
            <w:pPr>
              <w:pStyle w:val="P68B1DB1-Normal11"/>
              <w:rPr>
                <w:noProof/>
                <w:szCs w:val="20"/>
                <w:lang w:val="de-DE"/>
              </w:rPr>
            </w:pPr>
            <w:r w:rsidRPr="00170422">
              <w:rPr>
                <w:noProof/>
                <w:lang w:val="de-DE"/>
              </w:rPr>
              <w:t>Im Vertrag über die institutionelle Entwicklung werden für jede Intervention oder Interventionskategorie der Zeitplan, die Zuständigkeiten</w:t>
            </w:r>
            <w:r w:rsidRPr="00170422">
              <w:rPr>
                <w:noProof/>
                <w:lang w:val="de-DE"/>
              </w:rPr>
              <w:t xml:space="preserve"> der Vertragspartner, die Bewertungs- und Überwachungskriterien und die Sanktionen bei Verstößen festgelegt. Ferner werden im Einklang mit dem Subsidiaritätsprinzip die Bedingungen für eine mögliche teilweise Auszahlung von Interventionen oder die Zuweisun</w:t>
            </w:r>
            <w:r w:rsidRPr="00170422">
              <w:rPr>
                <w:noProof/>
                <w:lang w:val="de-DE"/>
              </w:rPr>
              <w:t>g der entsprechenden Mittel an eine andere Regierungsebene festgelegt.</w:t>
            </w:r>
          </w:p>
        </w:tc>
      </w:tr>
      <w:tr w:rsidR="0057163C" w:rsidRPr="00170422" w14:paraId="72F4BD0B" w14:textId="77777777" w:rsidTr="00DB5D07">
        <w:trPr>
          <w:trHeight w:val="315"/>
        </w:trPr>
        <w:tc>
          <w:tcPr>
            <w:tcW w:w="1277" w:type="dxa"/>
            <w:shd w:val="clear" w:color="auto" w:fill="C6EFCE"/>
            <w:vAlign w:val="center"/>
          </w:tcPr>
          <w:p w14:paraId="50229E85" w14:textId="77777777" w:rsidR="0057163C" w:rsidRPr="00170422" w:rsidRDefault="00F37BF9">
            <w:pPr>
              <w:pStyle w:val="P68B1DB1-Normal12"/>
              <w:jc w:val="center"/>
              <w:rPr>
                <w:noProof/>
                <w:lang w:val="de-DE"/>
              </w:rPr>
            </w:pPr>
            <w:r w:rsidRPr="00170422">
              <w:rPr>
                <w:noProof/>
                <w:lang w:val="de-DE"/>
              </w:rPr>
              <w:t>M6C1-6</w:t>
            </w:r>
          </w:p>
        </w:tc>
        <w:tc>
          <w:tcPr>
            <w:tcW w:w="1701" w:type="dxa"/>
            <w:shd w:val="clear" w:color="auto" w:fill="C6EFCE"/>
            <w:vAlign w:val="center"/>
          </w:tcPr>
          <w:p w14:paraId="5B2837F8" w14:textId="77777777" w:rsidR="0057163C" w:rsidRPr="00170422" w:rsidRDefault="00F37BF9">
            <w:pPr>
              <w:pStyle w:val="P68B1DB1-Normal11"/>
              <w:jc w:val="center"/>
              <w:rPr>
                <w:noProof/>
                <w:szCs w:val="20"/>
                <w:lang w:val="de-DE"/>
              </w:rPr>
            </w:pPr>
            <w:r w:rsidRPr="00170422">
              <w:rPr>
                <w:noProof/>
                <w:lang w:val="de-DE"/>
              </w:rPr>
              <w:t>Investition 1.2: Zuhause als Erstversorgungsort und Telemedizin</w:t>
            </w:r>
          </w:p>
        </w:tc>
        <w:tc>
          <w:tcPr>
            <w:tcW w:w="1247" w:type="dxa"/>
            <w:shd w:val="clear" w:color="auto" w:fill="C6EFCE"/>
            <w:vAlign w:val="center"/>
          </w:tcPr>
          <w:p w14:paraId="30F81543" w14:textId="77777777" w:rsidR="0057163C" w:rsidRPr="00170422" w:rsidRDefault="00F37BF9">
            <w:pPr>
              <w:pStyle w:val="P68B1DB1-Normal12"/>
              <w:jc w:val="center"/>
              <w:rPr>
                <w:noProof/>
                <w:lang w:val="de-DE"/>
              </w:rPr>
            </w:pPr>
            <w:r w:rsidRPr="00170422">
              <w:rPr>
                <w:noProof/>
                <w:lang w:val="de-DE"/>
              </w:rPr>
              <w:t>Ziel</w:t>
            </w:r>
          </w:p>
        </w:tc>
        <w:tc>
          <w:tcPr>
            <w:tcW w:w="1304" w:type="dxa"/>
            <w:shd w:val="clear" w:color="auto" w:fill="C6EFCE"/>
            <w:vAlign w:val="center"/>
          </w:tcPr>
          <w:p w14:paraId="385481F5" w14:textId="77777777" w:rsidR="0057163C" w:rsidRPr="00170422" w:rsidRDefault="00F37BF9">
            <w:pPr>
              <w:pStyle w:val="P68B1DB1-Normal12"/>
              <w:jc w:val="center"/>
              <w:rPr>
                <w:noProof/>
                <w:lang w:val="de-DE"/>
              </w:rPr>
            </w:pPr>
            <w:r w:rsidRPr="00170422">
              <w:rPr>
                <w:noProof/>
                <w:lang w:val="de-DE"/>
              </w:rPr>
              <w:t xml:space="preserve">Häusliche Pflege </w:t>
            </w:r>
          </w:p>
        </w:tc>
        <w:tc>
          <w:tcPr>
            <w:tcW w:w="1363" w:type="dxa"/>
            <w:shd w:val="clear" w:color="auto" w:fill="C6EFCE"/>
            <w:vAlign w:val="center"/>
          </w:tcPr>
          <w:p w14:paraId="1D0A6CF2" w14:textId="77777777" w:rsidR="0057163C" w:rsidRPr="00170422" w:rsidRDefault="00F37BF9">
            <w:pPr>
              <w:pStyle w:val="P68B1DB1-Normal11"/>
              <w:jc w:val="center"/>
              <w:rPr>
                <w:noProof/>
                <w:szCs w:val="20"/>
                <w:lang w:val="de-DE"/>
              </w:rPr>
            </w:pPr>
            <w:r w:rsidRPr="00170422">
              <w:rPr>
                <w:noProof/>
                <w:lang w:val="de-DE"/>
              </w:rPr>
              <w:t>ENTFÄLLT.</w:t>
            </w:r>
          </w:p>
        </w:tc>
        <w:tc>
          <w:tcPr>
            <w:tcW w:w="1160" w:type="dxa"/>
            <w:shd w:val="clear" w:color="auto" w:fill="C6EFCE"/>
            <w:vAlign w:val="center"/>
          </w:tcPr>
          <w:p w14:paraId="34024AB2"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vAlign w:val="center"/>
          </w:tcPr>
          <w:p w14:paraId="56F84CC7" w14:textId="0B2D2554" w:rsidR="0057163C" w:rsidRPr="00170422" w:rsidRDefault="00F37BF9">
            <w:pPr>
              <w:pStyle w:val="P68B1DB1-Normal11"/>
              <w:jc w:val="center"/>
              <w:rPr>
                <w:noProof/>
                <w:szCs w:val="20"/>
                <w:lang w:val="de-DE"/>
              </w:rPr>
            </w:pPr>
            <w:r w:rsidRPr="00170422">
              <w:rPr>
                <w:noProof/>
                <w:lang w:val="de-DE"/>
              </w:rPr>
              <w:t>645</w:t>
            </w:r>
            <w:r w:rsidRPr="00170422">
              <w:rPr>
                <w:noProof/>
                <w:szCs w:val="20"/>
                <w:lang w:val="de-DE"/>
              </w:rPr>
              <w:t xml:space="preserve"> </w:t>
            </w:r>
            <w:r w:rsidRPr="00170422">
              <w:rPr>
                <w:noProof/>
                <w:lang w:val="de-DE"/>
              </w:rPr>
              <w:t>590</w:t>
            </w:r>
          </w:p>
        </w:tc>
        <w:tc>
          <w:tcPr>
            <w:tcW w:w="708" w:type="dxa"/>
            <w:shd w:val="clear" w:color="auto" w:fill="C6EFCE"/>
            <w:vAlign w:val="center"/>
          </w:tcPr>
          <w:p w14:paraId="0EA65E64" w14:textId="5A3D7096" w:rsidR="0057163C" w:rsidRPr="00170422" w:rsidRDefault="00F37BF9">
            <w:pPr>
              <w:pStyle w:val="P68B1DB1-Normal11"/>
              <w:jc w:val="center"/>
              <w:rPr>
                <w:noProof/>
                <w:szCs w:val="20"/>
                <w:lang w:val="de-DE"/>
              </w:rPr>
            </w:pPr>
            <w:r w:rsidRPr="00170422">
              <w:rPr>
                <w:noProof/>
                <w:lang w:val="de-DE"/>
              </w:rPr>
              <w:t>1</w:t>
            </w:r>
            <w:r w:rsidRPr="00170422">
              <w:rPr>
                <w:noProof/>
                <w:szCs w:val="20"/>
                <w:lang w:val="de-DE"/>
              </w:rPr>
              <w:t xml:space="preserve"> </w:t>
            </w:r>
            <w:r w:rsidRPr="00170422">
              <w:rPr>
                <w:noProof/>
                <w:lang w:val="de-DE"/>
              </w:rPr>
              <w:t>487</w:t>
            </w:r>
            <w:r w:rsidRPr="00170422">
              <w:rPr>
                <w:noProof/>
                <w:szCs w:val="20"/>
                <w:lang w:val="de-DE"/>
              </w:rPr>
              <w:t xml:space="preserve"> </w:t>
            </w:r>
            <w:r w:rsidRPr="00170422">
              <w:rPr>
                <w:noProof/>
                <w:lang w:val="de-DE"/>
              </w:rPr>
              <w:t>590</w:t>
            </w:r>
          </w:p>
        </w:tc>
        <w:tc>
          <w:tcPr>
            <w:tcW w:w="851" w:type="dxa"/>
            <w:shd w:val="clear" w:color="auto" w:fill="C6EFCE"/>
            <w:vAlign w:val="center"/>
          </w:tcPr>
          <w:p w14:paraId="1F7FCB9E"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04B3231A" w14:textId="77777777" w:rsidR="0057163C" w:rsidRPr="00170422" w:rsidRDefault="00F37BF9">
            <w:pPr>
              <w:pStyle w:val="P68B1DB1-Normal12"/>
              <w:jc w:val="center"/>
              <w:rPr>
                <w:noProof/>
                <w:lang w:val="de-DE"/>
              </w:rPr>
            </w:pPr>
            <w:r w:rsidRPr="00170422">
              <w:rPr>
                <w:noProof/>
                <w:lang w:val="de-DE"/>
              </w:rPr>
              <w:t>2025</w:t>
            </w:r>
          </w:p>
        </w:tc>
        <w:tc>
          <w:tcPr>
            <w:tcW w:w="3379" w:type="dxa"/>
            <w:shd w:val="clear" w:color="auto" w:fill="C6EFCE"/>
            <w:vAlign w:val="center"/>
          </w:tcPr>
          <w:p w14:paraId="6756407C" w14:textId="00A064E7" w:rsidR="0057163C" w:rsidRPr="00170422" w:rsidRDefault="00F37BF9">
            <w:pPr>
              <w:pStyle w:val="P68B1DB1-Normal12"/>
              <w:rPr>
                <w:noProof/>
                <w:lang w:val="de-DE"/>
              </w:rPr>
            </w:pPr>
            <w:r w:rsidRPr="00170422">
              <w:rPr>
                <w:noProof/>
                <w:lang w:val="de-DE"/>
              </w:rPr>
              <w:t xml:space="preserve">Die häusliche Pflege von Personen über </w:t>
            </w:r>
            <w:r w:rsidRPr="00170422">
              <w:rPr>
                <w:noProof/>
                <w:lang w:val="de-DE"/>
              </w:rPr>
              <w:t>65 Jahren muss einen Jahreswert von mindestens 1487590 erreichen, gemessen am SIAD05bis-Indikator „Over 65s Treated in SIAD (Sistema informativo Assistenza domiciliare) in Relation zur älteren Bevölkerung“ im Agenas-Dashboard.</w:t>
            </w:r>
          </w:p>
        </w:tc>
      </w:tr>
      <w:tr w:rsidR="0057163C" w:rsidRPr="00170422" w14:paraId="521A5D94" w14:textId="77777777" w:rsidTr="00DB5D07">
        <w:trPr>
          <w:trHeight w:val="315"/>
        </w:trPr>
        <w:tc>
          <w:tcPr>
            <w:tcW w:w="1277" w:type="dxa"/>
            <w:shd w:val="clear" w:color="auto" w:fill="C6EFCE"/>
            <w:vAlign w:val="center"/>
          </w:tcPr>
          <w:p w14:paraId="320553B2" w14:textId="77777777" w:rsidR="0057163C" w:rsidRPr="00170422" w:rsidRDefault="00F37BF9">
            <w:pPr>
              <w:pStyle w:val="P68B1DB1-Normal11"/>
              <w:jc w:val="center"/>
              <w:rPr>
                <w:noProof/>
                <w:szCs w:val="20"/>
                <w:lang w:val="de-DE"/>
              </w:rPr>
            </w:pPr>
            <w:r w:rsidRPr="00170422">
              <w:rPr>
                <w:noProof/>
                <w:lang w:val="de-DE"/>
              </w:rPr>
              <w:t>M6C1-7</w:t>
            </w:r>
          </w:p>
        </w:tc>
        <w:tc>
          <w:tcPr>
            <w:tcW w:w="1701" w:type="dxa"/>
            <w:shd w:val="clear" w:color="auto" w:fill="C6EFCE"/>
            <w:vAlign w:val="center"/>
          </w:tcPr>
          <w:p w14:paraId="1168A185" w14:textId="77777777" w:rsidR="0057163C" w:rsidRPr="00170422" w:rsidRDefault="00F37BF9">
            <w:pPr>
              <w:pStyle w:val="P68B1DB1-Normal11"/>
              <w:jc w:val="center"/>
              <w:rPr>
                <w:noProof/>
                <w:szCs w:val="20"/>
                <w:lang w:val="de-DE"/>
              </w:rPr>
            </w:pPr>
            <w:r w:rsidRPr="00170422">
              <w:rPr>
                <w:noProof/>
                <w:lang w:val="de-DE"/>
              </w:rPr>
              <w:t xml:space="preserve">Investition 1.2: </w:t>
            </w:r>
            <w:r w:rsidRPr="00170422">
              <w:rPr>
                <w:noProof/>
                <w:lang w:val="de-DE"/>
              </w:rPr>
              <w:t>Zuhause als Erstversorgungsort und Telemedizin</w:t>
            </w:r>
          </w:p>
        </w:tc>
        <w:tc>
          <w:tcPr>
            <w:tcW w:w="1247" w:type="dxa"/>
            <w:shd w:val="clear" w:color="auto" w:fill="C6EFCE"/>
            <w:vAlign w:val="center"/>
          </w:tcPr>
          <w:p w14:paraId="76091439" w14:textId="77777777" w:rsidR="0057163C" w:rsidRPr="00170422" w:rsidRDefault="00F37BF9">
            <w:pPr>
              <w:pStyle w:val="P68B1DB1-Normal11"/>
              <w:jc w:val="center"/>
              <w:rPr>
                <w:noProof/>
                <w:szCs w:val="20"/>
                <w:lang w:val="de-DE"/>
              </w:rPr>
            </w:pPr>
            <w:r w:rsidRPr="00170422">
              <w:rPr>
                <w:noProof/>
                <w:lang w:val="de-DE"/>
              </w:rPr>
              <w:t>Ziel</w:t>
            </w:r>
          </w:p>
        </w:tc>
        <w:tc>
          <w:tcPr>
            <w:tcW w:w="1304" w:type="dxa"/>
            <w:shd w:val="clear" w:color="auto" w:fill="C6EFCE"/>
            <w:vAlign w:val="center"/>
          </w:tcPr>
          <w:p w14:paraId="5559D5A7" w14:textId="77777777" w:rsidR="0057163C" w:rsidRPr="00170422" w:rsidRDefault="00F37BF9">
            <w:pPr>
              <w:pStyle w:val="P68B1DB1-Normal11"/>
              <w:jc w:val="center"/>
              <w:rPr>
                <w:noProof/>
                <w:szCs w:val="20"/>
                <w:lang w:val="de-DE"/>
              </w:rPr>
            </w:pPr>
            <w:r w:rsidRPr="00170422">
              <w:rPr>
                <w:noProof/>
                <w:lang w:val="de-DE"/>
              </w:rPr>
              <w:t>Koordinierungszentren voll funktionsfähig (zweite Gruppe)</w:t>
            </w:r>
          </w:p>
        </w:tc>
        <w:tc>
          <w:tcPr>
            <w:tcW w:w="1363" w:type="dxa"/>
            <w:shd w:val="clear" w:color="auto" w:fill="C6EFCE"/>
            <w:vAlign w:val="center"/>
          </w:tcPr>
          <w:p w14:paraId="726646C0" w14:textId="77777777" w:rsidR="0057163C" w:rsidRPr="00170422" w:rsidRDefault="00F37BF9">
            <w:pPr>
              <w:pStyle w:val="P68B1DB1-Normal11"/>
              <w:jc w:val="center"/>
              <w:rPr>
                <w:noProof/>
                <w:szCs w:val="20"/>
                <w:lang w:val="de-DE"/>
              </w:rPr>
            </w:pPr>
            <w:r w:rsidRPr="00170422">
              <w:rPr>
                <w:noProof/>
                <w:lang w:val="de-DE"/>
              </w:rPr>
              <w:t>ENTFÄLLT.</w:t>
            </w:r>
          </w:p>
        </w:tc>
        <w:tc>
          <w:tcPr>
            <w:tcW w:w="1160" w:type="dxa"/>
            <w:shd w:val="clear" w:color="auto" w:fill="C6EFCE"/>
            <w:vAlign w:val="center"/>
          </w:tcPr>
          <w:p w14:paraId="58B520D8"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vAlign w:val="center"/>
          </w:tcPr>
          <w:p w14:paraId="37B9EA4B"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vAlign w:val="center"/>
          </w:tcPr>
          <w:p w14:paraId="725E0155" w14:textId="77777777" w:rsidR="0057163C" w:rsidRPr="00170422" w:rsidRDefault="00F37BF9">
            <w:pPr>
              <w:pStyle w:val="P68B1DB1-Normal11"/>
              <w:jc w:val="center"/>
              <w:rPr>
                <w:noProof/>
                <w:szCs w:val="20"/>
                <w:lang w:val="de-DE"/>
              </w:rPr>
            </w:pPr>
            <w:r w:rsidRPr="00170422">
              <w:rPr>
                <w:noProof/>
                <w:lang w:val="de-DE"/>
              </w:rPr>
              <w:t>480</w:t>
            </w:r>
          </w:p>
        </w:tc>
        <w:tc>
          <w:tcPr>
            <w:tcW w:w="851" w:type="dxa"/>
            <w:shd w:val="clear" w:color="auto" w:fill="C6EFCE"/>
            <w:vAlign w:val="center"/>
          </w:tcPr>
          <w:p w14:paraId="1B65FBAA"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vAlign w:val="center"/>
          </w:tcPr>
          <w:p w14:paraId="32745DE2" w14:textId="77777777" w:rsidR="0057163C" w:rsidRPr="00170422" w:rsidRDefault="00F37BF9">
            <w:pPr>
              <w:pStyle w:val="P68B1DB1-Normal11"/>
              <w:jc w:val="center"/>
              <w:rPr>
                <w:noProof/>
                <w:szCs w:val="20"/>
                <w:lang w:val="de-DE"/>
              </w:rPr>
            </w:pPr>
            <w:r w:rsidRPr="00170422">
              <w:rPr>
                <w:noProof/>
                <w:lang w:val="de-DE"/>
              </w:rPr>
              <w:t>2024</w:t>
            </w:r>
          </w:p>
        </w:tc>
        <w:tc>
          <w:tcPr>
            <w:tcW w:w="3379" w:type="dxa"/>
            <w:shd w:val="clear" w:color="auto" w:fill="C6EFCE"/>
            <w:vAlign w:val="center"/>
          </w:tcPr>
          <w:p w14:paraId="354278A0" w14:textId="77777777" w:rsidR="0057163C" w:rsidRPr="00170422" w:rsidRDefault="00F37BF9">
            <w:pPr>
              <w:pStyle w:val="P68B1DB1-Normal11"/>
              <w:rPr>
                <w:noProof/>
                <w:szCs w:val="20"/>
                <w:lang w:val="de-DE"/>
              </w:rPr>
            </w:pPr>
            <w:r w:rsidRPr="00170422">
              <w:rPr>
                <w:noProof/>
                <w:lang w:val="de-DE"/>
              </w:rPr>
              <w:t xml:space="preserve">Der entscheidende Punkt dieser Maßnahme ist die Inbetriebnahme von mindestens 480 territorialen </w:t>
            </w:r>
            <w:r w:rsidRPr="00170422">
              <w:rPr>
                <w:noProof/>
                <w:lang w:val="de-DE"/>
              </w:rPr>
              <w:t xml:space="preserve">Koordinierungszentren („Centrali Operative Territoriali“) mit der Aufgabe, die verschiedenen territorialen, sozialen und stationären Gesundheitsdienste sowie das Notfallnetz zu koordinieren und miteinander zu verknüpfen, um die Kontinuität, Zugänglichkeit </w:t>
            </w:r>
            <w:r w:rsidRPr="00170422">
              <w:rPr>
                <w:noProof/>
                <w:lang w:val="de-DE"/>
              </w:rPr>
              <w:t>und Integration der Versorgung zu gewährleisten.</w:t>
            </w:r>
          </w:p>
        </w:tc>
      </w:tr>
      <w:tr w:rsidR="0057163C" w:rsidRPr="00170422" w14:paraId="4D681010" w14:textId="77777777" w:rsidTr="00DB5D07">
        <w:trPr>
          <w:trHeight w:val="315"/>
        </w:trPr>
        <w:tc>
          <w:tcPr>
            <w:tcW w:w="1277" w:type="dxa"/>
            <w:shd w:val="clear" w:color="auto" w:fill="C6EFCE"/>
            <w:vAlign w:val="center"/>
          </w:tcPr>
          <w:p w14:paraId="5884CD3B" w14:textId="77777777" w:rsidR="0057163C" w:rsidRPr="00170422" w:rsidRDefault="00F37BF9">
            <w:pPr>
              <w:pStyle w:val="P68B1DB1-Normal11"/>
              <w:jc w:val="center"/>
              <w:rPr>
                <w:noProof/>
                <w:szCs w:val="20"/>
                <w:lang w:val="de-DE"/>
              </w:rPr>
            </w:pPr>
            <w:r w:rsidRPr="00170422">
              <w:rPr>
                <w:noProof/>
                <w:lang w:val="de-DE"/>
              </w:rPr>
              <w:t>M6C1-8</w:t>
            </w:r>
          </w:p>
        </w:tc>
        <w:tc>
          <w:tcPr>
            <w:tcW w:w="1701" w:type="dxa"/>
            <w:shd w:val="clear" w:color="auto" w:fill="C6EFCE"/>
            <w:vAlign w:val="center"/>
          </w:tcPr>
          <w:p w14:paraId="79C241CC" w14:textId="77777777" w:rsidR="0057163C" w:rsidRPr="00170422" w:rsidRDefault="00F37BF9">
            <w:pPr>
              <w:pStyle w:val="P68B1DB1-Normal11"/>
              <w:jc w:val="center"/>
              <w:rPr>
                <w:noProof/>
                <w:szCs w:val="20"/>
                <w:lang w:val="de-DE"/>
              </w:rPr>
            </w:pPr>
            <w:r w:rsidRPr="00170422">
              <w:rPr>
                <w:noProof/>
                <w:lang w:val="de-DE"/>
              </w:rPr>
              <w:t>Investition 1.2: Zuhause als Erstversorgungsort und Telemedizin</w:t>
            </w:r>
          </w:p>
        </w:tc>
        <w:tc>
          <w:tcPr>
            <w:tcW w:w="1247" w:type="dxa"/>
            <w:shd w:val="clear" w:color="auto" w:fill="C6EFCE"/>
            <w:vAlign w:val="center"/>
          </w:tcPr>
          <w:p w14:paraId="2C63287F" w14:textId="77777777" w:rsidR="0057163C" w:rsidRPr="00170422" w:rsidRDefault="00F37BF9">
            <w:pPr>
              <w:pStyle w:val="P68B1DB1-Normal11"/>
              <w:jc w:val="center"/>
              <w:rPr>
                <w:noProof/>
                <w:szCs w:val="20"/>
                <w:lang w:val="de-DE"/>
              </w:rPr>
            </w:pPr>
            <w:r w:rsidRPr="00170422">
              <w:rPr>
                <w:noProof/>
                <w:lang w:val="de-DE"/>
              </w:rPr>
              <w:t>Ziel</w:t>
            </w:r>
          </w:p>
        </w:tc>
        <w:tc>
          <w:tcPr>
            <w:tcW w:w="1304" w:type="dxa"/>
            <w:shd w:val="clear" w:color="auto" w:fill="C6EFCE"/>
            <w:vAlign w:val="center"/>
          </w:tcPr>
          <w:p w14:paraId="73154D80" w14:textId="77777777" w:rsidR="0057163C" w:rsidRPr="00170422" w:rsidRDefault="00F37BF9">
            <w:pPr>
              <w:pStyle w:val="P68B1DB1-Normal11"/>
              <w:jc w:val="center"/>
              <w:rPr>
                <w:noProof/>
                <w:szCs w:val="20"/>
                <w:lang w:val="de-DE"/>
              </w:rPr>
            </w:pPr>
            <w:r w:rsidRPr="00170422">
              <w:rPr>
                <w:noProof/>
                <w:lang w:val="de-DE"/>
              </w:rPr>
              <w:t xml:space="preserve">Mindestens ein telemedizinisches Projekt, das jeder Region zugewiesen wird (unter Berücksichtigung sowohl von Projekten, die in </w:t>
            </w:r>
            <w:r w:rsidRPr="00170422">
              <w:rPr>
                <w:noProof/>
                <w:lang w:val="de-DE"/>
              </w:rPr>
              <w:t>der jeweiligen Region durchgeführt werden, als auch von Projekten, die im Rahmen von Regionalkonsortien entwickelt werden können)</w:t>
            </w:r>
          </w:p>
        </w:tc>
        <w:tc>
          <w:tcPr>
            <w:tcW w:w="1363" w:type="dxa"/>
            <w:shd w:val="clear" w:color="auto" w:fill="C6EFCE"/>
            <w:vAlign w:val="center"/>
          </w:tcPr>
          <w:p w14:paraId="134B1EA4" w14:textId="77777777" w:rsidR="0057163C" w:rsidRPr="00170422" w:rsidRDefault="00F37BF9">
            <w:pPr>
              <w:pStyle w:val="P68B1DB1-Normal11"/>
              <w:jc w:val="center"/>
              <w:rPr>
                <w:noProof/>
                <w:szCs w:val="20"/>
                <w:lang w:val="de-DE"/>
              </w:rPr>
            </w:pPr>
            <w:r w:rsidRPr="00170422">
              <w:rPr>
                <w:noProof/>
                <w:lang w:val="de-DE"/>
              </w:rPr>
              <w:t>ENTFÄLLT.</w:t>
            </w:r>
          </w:p>
        </w:tc>
        <w:tc>
          <w:tcPr>
            <w:tcW w:w="1160" w:type="dxa"/>
            <w:shd w:val="clear" w:color="auto" w:fill="C6EFCE"/>
            <w:vAlign w:val="center"/>
          </w:tcPr>
          <w:p w14:paraId="43E325DC"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vAlign w:val="center"/>
          </w:tcPr>
          <w:p w14:paraId="7C30502B"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vAlign w:val="center"/>
          </w:tcPr>
          <w:p w14:paraId="64808D5C" w14:textId="77777777" w:rsidR="0057163C" w:rsidRPr="00170422" w:rsidRDefault="00F37BF9">
            <w:pPr>
              <w:pStyle w:val="P68B1DB1-Normal11"/>
              <w:jc w:val="center"/>
              <w:rPr>
                <w:noProof/>
                <w:szCs w:val="20"/>
                <w:lang w:val="de-DE"/>
              </w:rPr>
            </w:pPr>
            <w:r w:rsidRPr="00170422">
              <w:rPr>
                <w:noProof/>
                <w:lang w:val="de-DE"/>
              </w:rPr>
              <w:t>20</w:t>
            </w:r>
          </w:p>
        </w:tc>
        <w:tc>
          <w:tcPr>
            <w:tcW w:w="851" w:type="dxa"/>
            <w:shd w:val="clear" w:color="auto" w:fill="C6EFCE"/>
            <w:vAlign w:val="center"/>
          </w:tcPr>
          <w:p w14:paraId="32BBF97C"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vAlign w:val="center"/>
          </w:tcPr>
          <w:p w14:paraId="705ED592" w14:textId="77777777" w:rsidR="0057163C" w:rsidRPr="00170422" w:rsidRDefault="00F37BF9">
            <w:pPr>
              <w:pStyle w:val="P68B1DB1-Normal11"/>
              <w:jc w:val="center"/>
              <w:rPr>
                <w:noProof/>
                <w:szCs w:val="20"/>
                <w:lang w:val="de-DE"/>
              </w:rPr>
            </w:pPr>
            <w:r w:rsidRPr="00170422">
              <w:rPr>
                <w:noProof/>
                <w:lang w:val="de-DE"/>
              </w:rPr>
              <w:t>2023</w:t>
            </w:r>
          </w:p>
        </w:tc>
        <w:tc>
          <w:tcPr>
            <w:tcW w:w="3379" w:type="dxa"/>
            <w:shd w:val="clear" w:color="auto" w:fill="C6EFCE"/>
            <w:vAlign w:val="center"/>
          </w:tcPr>
          <w:p w14:paraId="013445D8" w14:textId="77777777" w:rsidR="0057163C" w:rsidRPr="00170422" w:rsidRDefault="00F37BF9">
            <w:pPr>
              <w:pStyle w:val="P68B1DB1-Normal11"/>
              <w:rPr>
                <w:noProof/>
                <w:szCs w:val="20"/>
                <w:lang w:val="de-DE"/>
              </w:rPr>
            </w:pPr>
            <w:r w:rsidRPr="00170422">
              <w:rPr>
                <w:noProof/>
                <w:lang w:val="de-DE"/>
              </w:rPr>
              <w:t>Die nationale Strategie für die Telemedizin fördert und finanziert die Entwicklung und den Ausbau neuer telemedizinischer Projekte und Lösungen innerhalb regionaler Gesundheitssysteme und stellt somit einen wichtigen (technologischen) Weg für die Umsetzung</w:t>
            </w:r>
            <w:r w:rsidRPr="00170422">
              <w:rPr>
                <w:noProof/>
                <w:lang w:val="de-DE"/>
              </w:rPr>
              <w:t xml:space="preserve"> des verstärkten Fernversorgungskonzepts im Gesundheitswesen mit besonderem Schwerpunkt auf chronischen Patienten dar.</w:t>
            </w:r>
          </w:p>
        </w:tc>
      </w:tr>
      <w:tr w:rsidR="0057163C" w:rsidRPr="00170422" w14:paraId="02CF8ED2" w14:textId="77777777" w:rsidTr="00DB5D07">
        <w:trPr>
          <w:trHeight w:val="315"/>
        </w:trPr>
        <w:tc>
          <w:tcPr>
            <w:tcW w:w="1277" w:type="dxa"/>
            <w:shd w:val="clear" w:color="auto" w:fill="C6EFCE"/>
            <w:vAlign w:val="center"/>
          </w:tcPr>
          <w:p w14:paraId="2C3D102E" w14:textId="77777777" w:rsidR="0057163C" w:rsidRPr="00170422" w:rsidRDefault="00F37BF9">
            <w:pPr>
              <w:pStyle w:val="P68B1DB1-Normal12"/>
              <w:jc w:val="center"/>
              <w:rPr>
                <w:noProof/>
                <w:lang w:val="de-DE"/>
              </w:rPr>
            </w:pPr>
            <w:r w:rsidRPr="00170422">
              <w:rPr>
                <w:noProof/>
                <w:lang w:val="de-DE"/>
              </w:rPr>
              <w:t>M6C1-9</w:t>
            </w:r>
          </w:p>
        </w:tc>
        <w:tc>
          <w:tcPr>
            <w:tcW w:w="1701" w:type="dxa"/>
            <w:shd w:val="clear" w:color="auto" w:fill="C6EFCE"/>
            <w:vAlign w:val="center"/>
          </w:tcPr>
          <w:p w14:paraId="3DA275E6" w14:textId="77777777" w:rsidR="0057163C" w:rsidRPr="00170422" w:rsidRDefault="00F37BF9">
            <w:pPr>
              <w:pStyle w:val="P68B1DB1-Normal11"/>
              <w:jc w:val="center"/>
              <w:rPr>
                <w:noProof/>
                <w:szCs w:val="20"/>
                <w:lang w:val="de-DE"/>
              </w:rPr>
            </w:pPr>
            <w:r w:rsidRPr="00170422">
              <w:rPr>
                <w:noProof/>
                <w:lang w:val="de-DE"/>
              </w:rPr>
              <w:t>Investition 1.2: Zuhause als Erstversorgungsort und Telemedizin</w:t>
            </w:r>
          </w:p>
        </w:tc>
        <w:tc>
          <w:tcPr>
            <w:tcW w:w="1247" w:type="dxa"/>
            <w:shd w:val="clear" w:color="auto" w:fill="C6EFCE"/>
            <w:vAlign w:val="center"/>
          </w:tcPr>
          <w:p w14:paraId="1C91D372" w14:textId="77777777" w:rsidR="0057163C" w:rsidRPr="00170422" w:rsidRDefault="00F37BF9">
            <w:pPr>
              <w:pStyle w:val="P68B1DB1-Normal12"/>
              <w:jc w:val="center"/>
              <w:rPr>
                <w:noProof/>
                <w:lang w:val="de-DE"/>
              </w:rPr>
            </w:pPr>
            <w:r w:rsidRPr="00170422">
              <w:rPr>
                <w:noProof/>
                <w:lang w:val="de-DE"/>
              </w:rPr>
              <w:t xml:space="preserve">Ziel </w:t>
            </w:r>
          </w:p>
        </w:tc>
        <w:tc>
          <w:tcPr>
            <w:tcW w:w="1304" w:type="dxa"/>
            <w:shd w:val="clear" w:color="auto" w:fill="C6EFCE"/>
            <w:vAlign w:val="center"/>
          </w:tcPr>
          <w:p w14:paraId="21697C8E" w14:textId="00172346" w:rsidR="0057163C" w:rsidRPr="00170422" w:rsidRDefault="00F37BF9">
            <w:pPr>
              <w:pStyle w:val="P68B1DB1-Normal12"/>
              <w:jc w:val="center"/>
              <w:rPr>
                <w:noProof/>
                <w:lang w:val="de-DE"/>
              </w:rPr>
            </w:pPr>
            <w:r w:rsidRPr="00170422">
              <w:rPr>
                <w:noProof/>
                <w:lang w:val="de-DE"/>
              </w:rPr>
              <w:t>Unterstützung durch Telemedizin-Tools t</w:t>
            </w:r>
          </w:p>
        </w:tc>
        <w:tc>
          <w:tcPr>
            <w:tcW w:w="1363" w:type="dxa"/>
            <w:shd w:val="clear" w:color="auto" w:fill="C6EFCE"/>
            <w:vAlign w:val="center"/>
          </w:tcPr>
          <w:p w14:paraId="66DC19A4" w14:textId="77777777" w:rsidR="0057163C" w:rsidRPr="00170422" w:rsidRDefault="00F37BF9">
            <w:pPr>
              <w:pStyle w:val="P68B1DB1-Normal11"/>
              <w:jc w:val="center"/>
              <w:rPr>
                <w:noProof/>
                <w:szCs w:val="20"/>
                <w:lang w:val="de-DE"/>
              </w:rPr>
            </w:pPr>
            <w:r w:rsidRPr="00170422">
              <w:rPr>
                <w:noProof/>
                <w:lang w:val="de-DE"/>
              </w:rPr>
              <w:t>ENTFÄLLT.</w:t>
            </w:r>
          </w:p>
        </w:tc>
        <w:tc>
          <w:tcPr>
            <w:tcW w:w="1160" w:type="dxa"/>
            <w:shd w:val="clear" w:color="auto" w:fill="C6EFCE"/>
            <w:vAlign w:val="center"/>
          </w:tcPr>
          <w:p w14:paraId="24D0A26A"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vAlign w:val="center"/>
          </w:tcPr>
          <w:p w14:paraId="72F37D51"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vAlign w:val="center"/>
          </w:tcPr>
          <w:p w14:paraId="021B9134" w14:textId="77777777" w:rsidR="0057163C" w:rsidRPr="00170422" w:rsidRDefault="00F37BF9">
            <w:pPr>
              <w:pStyle w:val="P68B1DB1-Normal11"/>
              <w:jc w:val="center"/>
              <w:rPr>
                <w:noProof/>
                <w:szCs w:val="20"/>
                <w:lang w:val="de-DE"/>
              </w:rPr>
            </w:pPr>
            <w:r w:rsidRPr="00170422">
              <w:rPr>
                <w:noProof/>
                <w:lang w:val="de-DE"/>
              </w:rPr>
              <w:t>300 000</w:t>
            </w:r>
          </w:p>
        </w:tc>
        <w:tc>
          <w:tcPr>
            <w:tcW w:w="851" w:type="dxa"/>
            <w:shd w:val="clear" w:color="auto" w:fill="C6EFCE"/>
            <w:vAlign w:val="center"/>
          </w:tcPr>
          <w:p w14:paraId="769E2645"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vAlign w:val="center"/>
          </w:tcPr>
          <w:p w14:paraId="2C2F0F9E" w14:textId="77777777" w:rsidR="0057163C" w:rsidRPr="00170422" w:rsidRDefault="00F37BF9">
            <w:pPr>
              <w:pStyle w:val="P68B1DB1-Normal12"/>
              <w:jc w:val="center"/>
              <w:rPr>
                <w:noProof/>
                <w:lang w:val="de-DE"/>
              </w:rPr>
            </w:pPr>
            <w:r w:rsidRPr="00170422">
              <w:rPr>
                <w:noProof/>
                <w:lang w:val="de-DE"/>
              </w:rPr>
              <w:t>2025</w:t>
            </w:r>
          </w:p>
        </w:tc>
        <w:tc>
          <w:tcPr>
            <w:tcW w:w="3379" w:type="dxa"/>
            <w:shd w:val="clear" w:color="auto" w:fill="C6EFCE"/>
            <w:vAlign w:val="center"/>
          </w:tcPr>
          <w:p w14:paraId="2476F631" w14:textId="77777777" w:rsidR="0057163C" w:rsidRPr="00170422" w:rsidRDefault="00F37BF9">
            <w:pPr>
              <w:pStyle w:val="P68B1DB1-Normal12"/>
              <w:rPr>
                <w:noProof/>
                <w:lang w:val="de-DE"/>
              </w:rPr>
            </w:pPr>
            <w:r w:rsidRPr="00170422">
              <w:rPr>
                <w:noProof/>
                <w:lang w:val="de-DE"/>
              </w:rPr>
              <w:t>Der Indikator für Unterstützung durch Telemedizininstrumente, der auf den Indikatoren der nationalen Telemedizinplattform (PNT) beruht und über das Agenas-Dashboard überwacht wird, muss einen Wert von mindestens 300000 Personen erre</w:t>
            </w:r>
            <w:r w:rsidRPr="00170422">
              <w:rPr>
                <w:noProof/>
                <w:lang w:val="de-DE"/>
              </w:rPr>
              <w:t>ichen.</w:t>
            </w:r>
          </w:p>
        </w:tc>
      </w:tr>
      <w:tr w:rsidR="0057163C" w:rsidRPr="00170422" w14:paraId="006419D8" w14:textId="77777777" w:rsidTr="00DB5D07">
        <w:trPr>
          <w:trHeight w:val="315"/>
        </w:trPr>
        <w:tc>
          <w:tcPr>
            <w:tcW w:w="1277" w:type="dxa"/>
            <w:shd w:val="clear" w:color="auto" w:fill="C6EFCE"/>
            <w:vAlign w:val="center"/>
          </w:tcPr>
          <w:p w14:paraId="6FA6B9AC" w14:textId="77777777" w:rsidR="0057163C" w:rsidRPr="00170422" w:rsidRDefault="00F37BF9">
            <w:pPr>
              <w:pStyle w:val="P68B1DB1-Normal11"/>
              <w:jc w:val="center"/>
              <w:rPr>
                <w:noProof/>
                <w:szCs w:val="20"/>
                <w:lang w:val="de-DE"/>
              </w:rPr>
            </w:pPr>
            <w:r w:rsidRPr="00170422">
              <w:rPr>
                <w:noProof/>
                <w:lang w:val="de-DE"/>
              </w:rPr>
              <w:t>M6C1-10</w:t>
            </w:r>
          </w:p>
        </w:tc>
        <w:tc>
          <w:tcPr>
            <w:tcW w:w="1701" w:type="dxa"/>
            <w:shd w:val="clear" w:color="auto" w:fill="C6EFCE"/>
            <w:vAlign w:val="center"/>
          </w:tcPr>
          <w:p w14:paraId="6A2DDBD8" w14:textId="77777777" w:rsidR="0057163C" w:rsidRPr="00170422" w:rsidRDefault="00F37BF9">
            <w:pPr>
              <w:pStyle w:val="P68B1DB1-Normal11"/>
              <w:jc w:val="center"/>
              <w:rPr>
                <w:noProof/>
                <w:szCs w:val="20"/>
                <w:lang w:val="de-DE"/>
              </w:rPr>
            </w:pPr>
            <w:r w:rsidRPr="00170422">
              <w:rPr>
                <w:noProof/>
                <w:lang w:val="de-DE"/>
              </w:rPr>
              <w:t>Investition 1.3: Stärkung der zwischengeschalteten Gesundheitsversorgung und ihrer Einrichtungen (Gemeinschaftskrankenhäuser)</w:t>
            </w:r>
          </w:p>
        </w:tc>
        <w:tc>
          <w:tcPr>
            <w:tcW w:w="1247" w:type="dxa"/>
            <w:shd w:val="clear" w:color="auto" w:fill="C6EFCE"/>
            <w:vAlign w:val="center"/>
          </w:tcPr>
          <w:p w14:paraId="7C57CEA6" w14:textId="77777777" w:rsidR="0057163C" w:rsidRPr="00170422" w:rsidRDefault="00F37BF9">
            <w:pPr>
              <w:pStyle w:val="P68B1DB1-Normal11"/>
              <w:jc w:val="center"/>
              <w:rPr>
                <w:noProof/>
                <w:szCs w:val="20"/>
                <w:lang w:val="de-DE"/>
              </w:rPr>
            </w:pPr>
            <w:r w:rsidRPr="00170422">
              <w:rPr>
                <w:noProof/>
                <w:lang w:val="de-DE"/>
              </w:rPr>
              <w:t>Meilenstein</w:t>
            </w:r>
          </w:p>
        </w:tc>
        <w:tc>
          <w:tcPr>
            <w:tcW w:w="1304" w:type="dxa"/>
            <w:shd w:val="clear" w:color="auto" w:fill="C6EFCE"/>
            <w:vAlign w:val="center"/>
          </w:tcPr>
          <w:p w14:paraId="4F9FA6B2" w14:textId="12B0E237" w:rsidR="0057163C" w:rsidRPr="00170422" w:rsidRDefault="00F37BF9">
            <w:pPr>
              <w:pStyle w:val="P68B1DB1-Normal11"/>
              <w:jc w:val="center"/>
              <w:rPr>
                <w:noProof/>
                <w:szCs w:val="20"/>
                <w:lang w:val="de-DE"/>
              </w:rPr>
            </w:pPr>
            <w:r w:rsidRPr="00170422">
              <w:rPr>
                <w:noProof/>
                <w:lang w:val="de-DE"/>
              </w:rPr>
              <w:t>Genehmigung eines Vertrags über die institutionelle Entwicklung (Contratto Istituzionale di Sviluppo)</w:t>
            </w:r>
          </w:p>
        </w:tc>
        <w:tc>
          <w:tcPr>
            <w:tcW w:w="1363" w:type="dxa"/>
            <w:shd w:val="clear" w:color="auto" w:fill="C6EFCE"/>
            <w:vAlign w:val="center"/>
          </w:tcPr>
          <w:p w14:paraId="3ACAE630" w14:textId="77777777" w:rsidR="0057163C" w:rsidRPr="00170422" w:rsidRDefault="00F37BF9">
            <w:pPr>
              <w:pStyle w:val="P68B1DB1-Normal11"/>
              <w:jc w:val="center"/>
              <w:rPr>
                <w:noProof/>
                <w:szCs w:val="20"/>
                <w:lang w:val="de-DE"/>
              </w:rPr>
            </w:pPr>
            <w:r w:rsidRPr="00170422">
              <w:rPr>
                <w:noProof/>
                <w:lang w:val="de-DE"/>
              </w:rPr>
              <w:t>Mitteilung über die Genehmigung des Vertrags über die institutionelle Entwicklung</w:t>
            </w:r>
          </w:p>
        </w:tc>
        <w:tc>
          <w:tcPr>
            <w:tcW w:w="1160" w:type="dxa"/>
            <w:shd w:val="clear" w:color="auto" w:fill="C6EFCE"/>
            <w:vAlign w:val="center"/>
          </w:tcPr>
          <w:p w14:paraId="14ED8C04"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vAlign w:val="center"/>
          </w:tcPr>
          <w:p w14:paraId="7821415A"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vAlign w:val="center"/>
          </w:tcPr>
          <w:p w14:paraId="2ED519F9"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vAlign w:val="center"/>
          </w:tcPr>
          <w:p w14:paraId="40523E19"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2E251A5A" w14:textId="77777777" w:rsidR="0057163C" w:rsidRPr="00170422" w:rsidRDefault="00F37BF9">
            <w:pPr>
              <w:pStyle w:val="P68B1DB1-Normal11"/>
              <w:jc w:val="center"/>
              <w:rPr>
                <w:noProof/>
                <w:szCs w:val="20"/>
                <w:lang w:val="de-DE"/>
              </w:rPr>
            </w:pPr>
            <w:r w:rsidRPr="00170422">
              <w:rPr>
                <w:noProof/>
                <w:lang w:val="de-DE"/>
              </w:rPr>
              <w:t>2022</w:t>
            </w:r>
          </w:p>
        </w:tc>
        <w:tc>
          <w:tcPr>
            <w:tcW w:w="3379" w:type="dxa"/>
            <w:shd w:val="clear" w:color="auto" w:fill="C6EFCE"/>
            <w:vAlign w:val="center"/>
          </w:tcPr>
          <w:p w14:paraId="6070BD4B" w14:textId="26E30AC9" w:rsidR="0057163C" w:rsidRPr="00170422" w:rsidRDefault="00F37BF9">
            <w:pPr>
              <w:pStyle w:val="P68B1DB1-Normal11"/>
              <w:rPr>
                <w:noProof/>
                <w:szCs w:val="20"/>
                <w:lang w:val="de-DE"/>
              </w:rPr>
            </w:pPr>
            <w:r w:rsidRPr="00170422">
              <w:rPr>
                <w:noProof/>
                <w:lang w:val="de-DE"/>
              </w:rPr>
              <w:t>Genehmigung eines Vertrags über die institutionelle Entwicklung (Contratto Istituzionale di Sviluppo) mit dem italienischen Gesundheitsm</w:t>
            </w:r>
            <w:r w:rsidRPr="00170422">
              <w:rPr>
                <w:noProof/>
                <w:lang w:val="de-DE"/>
              </w:rPr>
              <w:t>inisterium als zuständige und durchführende Behörde und Beteiligung der Regionalverwaltungen zusammen mit den anderen für Gemeinschaftskrankenhäuser zuständigen Stellen.</w:t>
            </w:r>
          </w:p>
          <w:p w14:paraId="601AD4D7" w14:textId="77777777" w:rsidR="0057163C" w:rsidRPr="00170422" w:rsidRDefault="00F37BF9">
            <w:pPr>
              <w:pStyle w:val="P68B1DB1-Normal11"/>
              <w:rPr>
                <w:noProof/>
                <w:szCs w:val="20"/>
                <w:lang w:val="de-DE"/>
              </w:rPr>
            </w:pPr>
            <w:r w:rsidRPr="00170422">
              <w:rPr>
                <w:noProof/>
                <w:lang w:val="de-DE"/>
              </w:rPr>
              <w:t>Im Vertrag über die institutionelle Entwicklung sind alle für die Investitionen geeign</w:t>
            </w:r>
            <w:r w:rsidRPr="00170422">
              <w:rPr>
                <w:noProof/>
                <w:lang w:val="de-DE"/>
              </w:rPr>
              <w:t>eten Standorte sowie die Verpflichtungen aufgeführt, die jede Region zur Gewährleistung des angestrebten Ergebnisses übernimmt. Im Falle eines Verstoßes einer Region leitet das Gesundheitsministerium den Kommissar „ad acta“ ein. In Bezug auf den Technologi</w:t>
            </w:r>
            <w:r w:rsidRPr="00170422">
              <w:rPr>
                <w:noProof/>
                <w:lang w:val="de-DE"/>
              </w:rPr>
              <w:t>epark der Einrichtungen, d. h. alle Instrumente, Lizenzen und Verbindungen, wird der Sammelbeschaffungsmethode der Vorzug gegeben.</w:t>
            </w:r>
          </w:p>
        </w:tc>
      </w:tr>
      <w:tr w:rsidR="0057163C" w:rsidRPr="00170422" w14:paraId="2F1C3985" w14:textId="77777777" w:rsidTr="00DB5D07">
        <w:trPr>
          <w:trHeight w:val="315"/>
        </w:trPr>
        <w:tc>
          <w:tcPr>
            <w:tcW w:w="1277" w:type="dxa"/>
            <w:shd w:val="clear" w:color="auto" w:fill="C6EFCE"/>
            <w:vAlign w:val="center"/>
          </w:tcPr>
          <w:p w14:paraId="1B402FDD" w14:textId="77777777" w:rsidR="0057163C" w:rsidRPr="00170422" w:rsidRDefault="00F37BF9">
            <w:pPr>
              <w:pStyle w:val="P68B1DB1-Normal12"/>
              <w:jc w:val="center"/>
              <w:rPr>
                <w:noProof/>
                <w:lang w:val="de-DE"/>
              </w:rPr>
            </w:pPr>
            <w:r w:rsidRPr="00170422">
              <w:rPr>
                <w:noProof/>
                <w:lang w:val="de-DE"/>
              </w:rPr>
              <w:t>M6C1-11</w:t>
            </w:r>
          </w:p>
        </w:tc>
        <w:tc>
          <w:tcPr>
            <w:tcW w:w="1701" w:type="dxa"/>
            <w:shd w:val="clear" w:color="auto" w:fill="C6EFCE"/>
            <w:vAlign w:val="center"/>
          </w:tcPr>
          <w:p w14:paraId="0878F434" w14:textId="77777777" w:rsidR="0057163C" w:rsidRPr="00170422" w:rsidRDefault="00F37BF9">
            <w:pPr>
              <w:pStyle w:val="P68B1DB1-Normal11"/>
              <w:jc w:val="center"/>
              <w:rPr>
                <w:noProof/>
                <w:szCs w:val="20"/>
                <w:lang w:val="de-DE"/>
              </w:rPr>
            </w:pPr>
            <w:r w:rsidRPr="00170422">
              <w:rPr>
                <w:noProof/>
                <w:lang w:val="de-DE"/>
              </w:rPr>
              <w:t xml:space="preserve">Investition 1.3: Stärkung der zwischengeschalteten Gesundheitsversorgung und ihrer Einrichtungen </w:t>
            </w:r>
            <w:r w:rsidRPr="00170422">
              <w:rPr>
                <w:noProof/>
                <w:lang w:val="de-DE"/>
              </w:rPr>
              <w:t>(Gemeinschaftskrankenhäuser)</w:t>
            </w:r>
          </w:p>
        </w:tc>
        <w:tc>
          <w:tcPr>
            <w:tcW w:w="1247" w:type="dxa"/>
            <w:shd w:val="clear" w:color="auto" w:fill="C6EFCE"/>
            <w:vAlign w:val="center"/>
          </w:tcPr>
          <w:p w14:paraId="233D1242" w14:textId="77777777" w:rsidR="0057163C" w:rsidRPr="00170422" w:rsidRDefault="00F37BF9">
            <w:pPr>
              <w:pStyle w:val="P68B1DB1-Normal11"/>
              <w:jc w:val="center"/>
              <w:rPr>
                <w:noProof/>
                <w:szCs w:val="20"/>
                <w:lang w:val="de-DE"/>
              </w:rPr>
            </w:pPr>
            <w:r w:rsidRPr="00170422">
              <w:rPr>
                <w:noProof/>
                <w:lang w:val="de-DE"/>
              </w:rPr>
              <w:t>Ziel</w:t>
            </w:r>
          </w:p>
        </w:tc>
        <w:tc>
          <w:tcPr>
            <w:tcW w:w="1304" w:type="dxa"/>
            <w:shd w:val="clear" w:color="auto" w:fill="C6EFCE"/>
            <w:vAlign w:val="center"/>
          </w:tcPr>
          <w:p w14:paraId="78F23D9F" w14:textId="6F2187FE" w:rsidR="0057163C" w:rsidRPr="00170422" w:rsidRDefault="00F37BF9">
            <w:pPr>
              <w:pStyle w:val="P68B1DB1-Normal12"/>
              <w:jc w:val="center"/>
              <w:rPr>
                <w:noProof/>
                <w:lang w:val="de-DE"/>
              </w:rPr>
            </w:pPr>
            <w:r w:rsidRPr="00170422">
              <w:rPr>
                <w:noProof/>
                <w:lang w:val="de-DE"/>
              </w:rPr>
              <w:t xml:space="preserve">Renovierte, vernetzte und technologisch ausgestattete kommunale Krankenhäuser </w:t>
            </w:r>
          </w:p>
        </w:tc>
        <w:tc>
          <w:tcPr>
            <w:tcW w:w="1363" w:type="dxa"/>
            <w:shd w:val="clear" w:color="auto" w:fill="C6EFCE"/>
            <w:vAlign w:val="center"/>
          </w:tcPr>
          <w:p w14:paraId="00330031" w14:textId="77777777" w:rsidR="0057163C" w:rsidRPr="00170422" w:rsidRDefault="00F37BF9">
            <w:pPr>
              <w:pStyle w:val="P68B1DB1-Normal11"/>
              <w:jc w:val="center"/>
              <w:rPr>
                <w:noProof/>
                <w:szCs w:val="20"/>
                <w:lang w:val="de-DE"/>
              </w:rPr>
            </w:pPr>
            <w:r w:rsidRPr="00170422">
              <w:rPr>
                <w:noProof/>
                <w:lang w:val="de-DE"/>
              </w:rPr>
              <w:t>ENTFÄLLT.</w:t>
            </w:r>
          </w:p>
        </w:tc>
        <w:tc>
          <w:tcPr>
            <w:tcW w:w="1160" w:type="dxa"/>
            <w:shd w:val="clear" w:color="auto" w:fill="C6EFCE"/>
            <w:vAlign w:val="center"/>
          </w:tcPr>
          <w:p w14:paraId="3F9AFBFE"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vAlign w:val="center"/>
          </w:tcPr>
          <w:p w14:paraId="37C20ED9"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vAlign w:val="center"/>
          </w:tcPr>
          <w:p w14:paraId="2AC07F50" w14:textId="77777777" w:rsidR="0057163C" w:rsidRPr="00170422" w:rsidRDefault="00F37BF9">
            <w:pPr>
              <w:pStyle w:val="P68B1DB1-Normal11"/>
              <w:jc w:val="center"/>
              <w:rPr>
                <w:noProof/>
                <w:szCs w:val="20"/>
                <w:lang w:val="de-DE"/>
              </w:rPr>
            </w:pPr>
            <w:r w:rsidRPr="00170422">
              <w:rPr>
                <w:noProof/>
                <w:lang w:val="de-DE"/>
              </w:rPr>
              <w:t>307</w:t>
            </w:r>
          </w:p>
        </w:tc>
        <w:tc>
          <w:tcPr>
            <w:tcW w:w="851" w:type="dxa"/>
            <w:shd w:val="clear" w:color="auto" w:fill="C6EFCE"/>
            <w:vAlign w:val="center"/>
          </w:tcPr>
          <w:p w14:paraId="35E0E9CB" w14:textId="77777777" w:rsidR="0057163C" w:rsidRPr="00170422" w:rsidRDefault="00F37BF9">
            <w:pPr>
              <w:pStyle w:val="P68B1DB1-Normal11"/>
              <w:jc w:val="center"/>
              <w:rPr>
                <w:noProof/>
                <w:szCs w:val="20"/>
                <w:lang w:val="de-DE"/>
              </w:rPr>
            </w:pPr>
            <w:r w:rsidRPr="00170422">
              <w:rPr>
                <w:noProof/>
                <w:lang w:val="de-DE"/>
              </w:rPr>
              <w:t>Q2</w:t>
            </w:r>
          </w:p>
        </w:tc>
        <w:tc>
          <w:tcPr>
            <w:tcW w:w="709" w:type="dxa"/>
            <w:shd w:val="clear" w:color="auto" w:fill="C6EFCE"/>
            <w:vAlign w:val="center"/>
          </w:tcPr>
          <w:p w14:paraId="1075E066" w14:textId="77777777" w:rsidR="0057163C" w:rsidRPr="00170422" w:rsidRDefault="00F37BF9">
            <w:pPr>
              <w:pStyle w:val="P68B1DB1-Normal11"/>
              <w:jc w:val="center"/>
              <w:rPr>
                <w:noProof/>
                <w:szCs w:val="20"/>
                <w:lang w:val="de-DE"/>
              </w:rPr>
            </w:pPr>
            <w:r w:rsidRPr="00170422">
              <w:rPr>
                <w:noProof/>
                <w:lang w:val="de-DE"/>
              </w:rPr>
              <w:t>2026</w:t>
            </w:r>
          </w:p>
        </w:tc>
        <w:tc>
          <w:tcPr>
            <w:tcW w:w="3379" w:type="dxa"/>
            <w:shd w:val="clear" w:color="auto" w:fill="C6EFCE"/>
            <w:vAlign w:val="center"/>
          </w:tcPr>
          <w:p w14:paraId="152E5FC1" w14:textId="77777777" w:rsidR="0057163C" w:rsidRPr="00170422" w:rsidRDefault="00F37BF9">
            <w:pPr>
              <w:pStyle w:val="P68B1DB1-Normal12"/>
              <w:rPr>
                <w:noProof/>
                <w:lang w:val="de-DE"/>
              </w:rPr>
            </w:pPr>
            <w:r w:rsidRPr="00170422">
              <w:rPr>
                <w:noProof/>
                <w:lang w:val="de-DE"/>
              </w:rPr>
              <w:t>Unabhängige Sachverständigenberichte, die die Aktivierung von Diensten gemäß den in Anlage 1 Abschnitt 11 der DM</w:t>
            </w:r>
            <w:r w:rsidRPr="00170422">
              <w:rPr>
                <w:noProof/>
                <w:lang w:val="de-DE"/>
              </w:rPr>
              <w:t xml:space="preserve"> Nr. 77 vom 23. Mai 2022 festgelegten Standards in mindestens 307 Gemeinschaftskrankenhäusern bestätigen.</w:t>
            </w:r>
          </w:p>
        </w:tc>
      </w:tr>
    </w:tbl>
    <w:p w14:paraId="68D764F4" w14:textId="77777777" w:rsidR="0057163C" w:rsidRPr="00170422" w:rsidRDefault="0057163C">
      <w:pPr>
        <w:keepNext/>
        <w:tabs>
          <w:tab w:val="left" w:pos="4252"/>
        </w:tabs>
        <w:spacing w:before="720"/>
        <w:jc w:val="both"/>
        <w:rPr>
          <w:i/>
          <w:noProof/>
          <w:lang w:val="de-DE"/>
        </w:rPr>
        <w:sectPr w:rsidR="0057163C" w:rsidRPr="00170422" w:rsidSect="005F11B9">
          <w:headerReference w:type="even" r:id="rId286"/>
          <w:headerReference w:type="default" r:id="rId287"/>
          <w:footerReference w:type="even" r:id="rId288"/>
          <w:footerReference w:type="default" r:id="rId289"/>
          <w:headerReference w:type="first" r:id="rId290"/>
          <w:footerReference w:type="first" r:id="rId291"/>
          <w:pgSz w:w="16839" w:h="11907" w:orient="landscape"/>
          <w:pgMar w:top="1417" w:right="1134" w:bottom="1417" w:left="1134" w:header="709" w:footer="709" w:gutter="0"/>
          <w:cols w:space="720"/>
          <w:docGrid w:linePitch="360"/>
        </w:sectPr>
      </w:pPr>
    </w:p>
    <w:p w14:paraId="2A48C2FA" w14:textId="77777777" w:rsidR="0057163C" w:rsidRPr="00170422" w:rsidRDefault="00F37BF9">
      <w:pPr>
        <w:pStyle w:val="P68B1DB1-Heading23"/>
        <w:ind w:left="1080"/>
        <w:rPr>
          <w:noProof/>
          <w:lang w:val="de-DE"/>
        </w:rPr>
      </w:pPr>
      <w:r w:rsidRPr="00170422">
        <w:rPr>
          <w:noProof/>
          <w:lang w:val="de-DE"/>
        </w:rPr>
        <w:t xml:space="preserve">P. MISSION 6 KOMPONENTE 2: Innovation, Forschung und Digitalisierung des nationalen </w:t>
      </w:r>
      <w:r w:rsidRPr="00170422">
        <w:rPr>
          <w:noProof/>
          <w:lang w:val="de-DE"/>
        </w:rPr>
        <w:t>Gesundheitswesens</w:t>
      </w:r>
    </w:p>
    <w:p w14:paraId="446CBE99" w14:textId="77777777" w:rsidR="0057163C" w:rsidRPr="00170422" w:rsidRDefault="00F37BF9">
      <w:pPr>
        <w:pStyle w:val="P68B1DB1-Normal7"/>
        <w:spacing w:before="120" w:after="120"/>
        <w:jc w:val="both"/>
        <w:rPr>
          <w:noProof/>
          <w:lang w:val="de-DE"/>
        </w:rPr>
      </w:pPr>
      <w:r w:rsidRPr="00170422">
        <w:rPr>
          <w:noProof/>
          <w:lang w:val="de-DE"/>
        </w:rPr>
        <w:t>Diese Komponente des italienischen Aufbau- und Resilienzplans zielt darauf ab, die notwendigen grundlegenden Voraussetzungen für eine größere Resilienz des nationalen Gesundheitswesens zu schaffen, und zwar durch: I) Ersatz veralteter Ges</w:t>
      </w:r>
      <w:r w:rsidRPr="00170422">
        <w:rPr>
          <w:noProof/>
          <w:lang w:val="de-DE"/>
        </w:rPr>
        <w:t xml:space="preserve">undheitstechnologien in Krankenhäusern; II) die Entwicklung einer erheblichen strukturellen Verbesserung der Sicherheit von Krankenhausgebäuden; III) Verbesserung der Gesundheitsinformationssysteme und digitalen Instrumente; IV) Förderung und Stärkung der </w:t>
      </w:r>
      <w:r w:rsidRPr="00170422">
        <w:rPr>
          <w:noProof/>
          <w:lang w:val="de-DE"/>
        </w:rPr>
        <w:t>wissenschaftlichen Forschung; V) die Verbesserung der Humanressourcen.</w:t>
      </w:r>
    </w:p>
    <w:p w14:paraId="1AD8BBE4" w14:textId="77777777" w:rsidR="0057163C" w:rsidRPr="00170422" w:rsidRDefault="00F37BF9">
      <w:pPr>
        <w:pStyle w:val="P68B1DB1-Normal7"/>
        <w:spacing w:before="120" w:after="120"/>
        <w:jc w:val="both"/>
        <w:rPr>
          <w:noProof/>
          <w:lang w:val="de-DE"/>
        </w:rPr>
      </w:pPr>
      <w:r w:rsidRPr="00170422">
        <w:rPr>
          <w:noProof/>
          <w:lang w:val="de-DE"/>
        </w:rPr>
        <w:t xml:space="preserve">Die Investitionen und Reformen im Rahmen dieser Komponente sollen dazu beitragen, die länderspezifischen Empfehlungen an Italien in den Jahren 2020 und 2019 zur „Stärkung der Resilienz </w:t>
      </w:r>
      <w:r w:rsidRPr="00170422">
        <w:rPr>
          <w:noProof/>
          <w:lang w:val="de-DE"/>
        </w:rPr>
        <w:t>und Kapazität des Gesundheitssystems in den Bereichen Gesundheitspersonal, kritische medizinische Produkte und Infrastruktur“ (länderspezifische Empfehlung 1, 2020) umzusetzen, „Investitionen in den ökologischen und digitalen Wandel zu konzentrieren, insbe</w:t>
      </w:r>
      <w:r w:rsidRPr="00170422">
        <w:rPr>
          <w:noProof/>
          <w:lang w:val="de-DE"/>
        </w:rPr>
        <w:t>sondere in [...] verstärkte digitale Infrastrukturen, um die Erbringung wesentlicher Dienstleistungen sicherzustellen“ (länderspezifische Empfehlung 3, 2020) und „die investitionsbezogene Wirtschaftspolitik auf Forschung und Innovation sowie auf die Qualit</w:t>
      </w:r>
      <w:r w:rsidRPr="00170422">
        <w:rPr>
          <w:noProof/>
          <w:lang w:val="de-DE"/>
        </w:rPr>
        <w:t>ät der Infrastruktur zu konzentrieren, wobei auch regionale Unterschiede zu berücksichtigen sind“ (länderspezifische Empfehlung 3, 2019). </w:t>
      </w:r>
    </w:p>
    <w:p w14:paraId="07ACD82C" w14:textId="77777777" w:rsidR="0057163C" w:rsidRPr="00170422" w:rsidRDefault="0057163C">
      <w:pPr>
        <w:spacing w:before="120" w:after="120"/>
        <w:jc w:val="both"/>
        <w:rPr>
          <w:rFonts w:ascii="Times New Roman" w:hAnsi="Times New Roman" w:cs="Times New Roman"/>
          <w:noProof/>
          <w:lang w:val="de-DE"/>
        </w:rPr>
      </w:pPr>
    </w:p>
    <w:p w14:paraId="0CEDC842"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P.1. </w:t>
      </w:r>
      <w:r w:rsidRPr="00170422">
        <w:rPr>
          <w:noProof/>
          <w:lang w:val="de-DE"/>
        </w:rPr>
        <w:t xml:space="preserve"> </w:t>
      </w:r>
      <w:r w:rsidRPr="00170422">
        <w:rPr>
          <w:b/>
          <w:noProof/>
          <w:u w:val="single"/>
          <w:lang w:val="de-DE"/>
        </w:rPr>
        <w:t>Beschreibung der Reformen und Investitionen für nicht rückzahlbare finanzielle Unterstützung</w:t>
      </w:r>
    </w:p>
    <w:p w14:paraId="19284F44" w14:textId="77777777" w:rsidR="0057163C" w:rsidRPr="00170422" w:rsidRDefault="00F37BF9">
      <w:pPr>
        <w:pStyle w:val="P68B1DB1-Normal5"/>
        <w:spacing w:before="120" w:after="120"/>
        <w:jc w:val="both"/>
        <w:rPr>
          <w:noProof/>
          <w:lang w:val="de-DE"/>
        </w:rPr>
      </w:pPr>
      <w:r w:rsidRPr="00170422">
        <w:rPr>
          <w:noProof/>
          <w:lang w:val="de-DE"/>
        </w:rPr>
        <w:t>Reform 1: Überarb</w:t>
      </w:r>
      <w:r w:rsidRPr="00170422">
        <w:rPr>
          <w:noProof/>
          <w:lang w:val="de-DE"/>
        </w:rPr>
        <w:t>eitung und Aktualisierung des derzeitigen Rechtsrahmens der wissenschaftlichen Krankenhäuser und Pflegeinstitute (IRCCS)</w:t>
      </w:r>
    </w:p>
    <w:p w14:paraId="3A759B86" w14:textId="77777777" w:rsidR="0057163C" w:rsidRPr="00170422" w:rsidRDefault="00F37BF9">
      <w:pPr>
        <w:pStyle w:val="P68B1DB1-Normal7"/>
        <w:spacing w:before="120"/>
        <w:jc w:val="both"/>
        <w:rPr>
          <w:bCs/>
          <w:iCs/>
          <w:noProof/>
          <w:lang w:val="de-DE"/>
        </w:rPr>
      </w:pPr>
      <w:r w:rsidRPr="00170422">
        <w:rPr>
          <w:noProof/>
          <w:lang w:val="de-DE"/>
        </w:rPr>
        <w:t xml:space="preserve">Ziel der Reform ist es, das Netzwerk der wissenschaftlichen Krankenhäuser und Pflegeinstitute (IRCCS) neu zu organisieren, um i) die </w:t>
      </w:r>
      <w:r w:rsidRPr="00170422">
        <w:rPr>
          <w:noProof/>
          <w:lang w:val="de-DE"/>
        </w:rPr>
        <w:t>Qualität des nationalen Gesundheitssystems (NHS) zu verbessern, ii) die Beziehung zwischen Gesundheit und Forschung zu verbessern und iii) die rechtliche Regelung des IRCCS und die Forschungspolitik im Zuständigkeitsbereich des italienischen Gesundheitsmin</w:t>
      </w:r>
      <w:r w:rsidRPr="00170422">
        <w:rPr>
          <w:noProof/>
          <w:lang w:val="de-DE"/>
        </w:rPr>
        <w:t xml:space="preserve">isteriums zu überprüfen. </w:t>
      </w:r>
    </w:p>
    <w:p w14:paraId="4CDC49E2" w14:textId="77777777" w:rsidR="0057163C" w:rsidRPr="00170422" w:rsidRDefault="00F37BF9">
      <w:pPr>
        <w:pStyle w:val="P68B1DB1-Normal7"/>
        <w:spacing w:before="120"/>
        <w:jc w:val="both"/>
        <w:rPr>
          <w:bCs/>
          <w:iCs/>
          <w:noProof/>
          <w:lang w:val="de-DE"/>
        </w:rPr>
      </w:pPr>
      <w:r w:rsidRPr="00170422">
        <w:rPr>
          <w:noProof/>
          <w:lang w:val="de-DE"/>
        </w:rPr>
        <w:t>Mit der Reform soll die Governance der öffentlichen IRCCS verbessert werden, indem i) das strategische Management verbessert, ii) die Befugnisse und Zuständigkeitsbereiche besser festgelegt und iii) die Regeln für den Status des w</w:t>
      </w:r>
      <w:r w:rsidRPr="00170422">
        <w:rPr>
          <w:noProof/>
          <w:lang w:val="de-DE"/>
        </w:rPr>
        <w:t xml:space="preserve">issenschaftlichen Direktors der öffentlichen IRCCS und des Forschungspersonals umfassend festgelegt werden. </w:t>
      </w:r>
    </w:p>
    <w:p w14:paraId="3A0B33A6" w14:textId="77777777" w:rsidR="0057163C" w:rsidRPr="00170422" w:rsidRDefault="00F37BF9">
      <w:pPr>
        <w:pStyle w:val="P68B1DB1-Normal7"/>
        <w:spacing w:before="120"/>
        <w:jc w:val="both"/>
        <w:rPr>
          <w:bCs/>
          <w:iCs/>
          <w:noProof/>
          <w:lang w:val="de-DE"/>
        </w:rPr>
      </w:pPr>
      <w:r w:rsidRPr="00170422">
        <w:rPr>
          <w:noProof/>
          <w:lang w:val="de-DE"/>
        </w:rPr>
        <w:t>Schließlich eine spezifische Teilmaßnahme, bei der IRCCS auf der Grundlage ihrer Tätigkeit (Einzelspezialisten oder Generalisten) unterschieden wir</w:t>
      </w:r>
      <w:r w:rsidRPr="00170422">
        <w:rPr>
          <w:noProof/>
          <w:lang w:val="de-DE"/>
        </w:rPr>
        <w:t>d, indem ein integriertes Netz von IRCCS geschaffen und der Austausch von Fachwissen zwischen den IRCCS selbst und den anderen Strukturen des italienischen NHS erleichtert wird.</w:t>
      </w:r>
    </w:p>
    <w:p w14:paraId="5AC94B42" w14:textId="77777777" w:rsidR="0057163C" w:rsidRPr="00170422" w:rsidRDefault="00F37BF9">
      <w:pPr>
        <w:pStyle w:val="P68B1DB1-Normal5"/>
        <w:spacing w:before="120" w:after="120"/>
        <w:jc w:val="both"/>
        <w:rPr>
          <w:bCs/>
          <w:iCs/>
          <w:noProof/>
          <w:lang w:val="de-DE"/>
        </w:rPr>
      </w:pPr>
      <w:r w:rsidRPr="00170422">
        <w:rPr>
          <w:noProof/>
          <w:lang w:val="de-DE"/>
        </w:rPr>
        <w:t xml:space="preserve">Investition 2.1: Stärkung und Verbesserung der biomedizinischen Forschung des </w:t>
      </w:r>
      <w:r w:rsidRPr="00170422">
        <w:rPr>
          <w:noProof/>
          <w:lang w:val="de-DE"/>
        </w:rPr>
        <w:t>NHS</w:t>
      </w:r>
    </w:p>
    <w:p w14:paraId="775908A7" w14:textId="77777777" w:rsidR="0057163C" w:rsidRPr="00170422" w:rsidRDefault="00F37BF9">
      <w:pPr>
        <w:pStyle w:val="P68B1DB1-Normal7"/>
        <w:spacing w:before="120" w:after="120"/>
        <w:jc w:val="both"/>
        <w:rPr>
          <w:noProof/>
          <w:lang w:val="de-DE"/>
        </w:rPr>
      </w:pPr>
      <w:r w:rsidRPr="00170422">
        <w:rPr>
          <w:noProof/>
          <w:lang w:val="de-DE"/>
        </w:rPr>
        <w:t xml:space="preserve">Ziel der Maßnahme ist es, die Finanzierung des biomedizinischen Forschungssystems zu erhöhen. </w:t>
      </w:r>
    </w:p>
    <w:p w14:paraId="2DADDB2A" w14:textId="0FC45632" w:rsidR="0057163C" w:rsidRPr="00170422" w:rsidRDefault="00F37BF9">
      <w:pPr>
        <w:pStyle w:val="P68B1DB1-Normal7"/>
        <w:spacing w:before="120" w:after="120"/>
        <w:jc w:val="both"/>
        <w:rPr>
          <w:noProof/>
          <w:lang w:val="de-DE"/>
        </w:rPr>
      </w:pPr>
      <w:r w:rsidRPr="00170422">
        <w:rPr>
          <w:noProof/>
          <w:lang w:val="de-DE"/>
        </w:rPr>
        <w:t>Die Investition besteht in</w:t>
      </w:r>
      <w:r w:rsidRPr="00170422">
        <w:rPr>
          <w:noProof/>
          <w:color w:val="000000" w:themeColor="text1"/>
          <w:lang w:val="de-DE"/>
        </w:rPr>
        <w:t xml:space="preserve">der Durchführung von Projekten im Zusammenhang mit dem Konzeptnachweis sowie der Finanzierung von Forschungsinitiativen im Bereich </w:t>
      </w:r>
      <w:r w:rsidRPr="00170422">
        <w:rPr>
          <w:noProof/>
          <w:color w:val="000000" w:themeColor="text1"/>
          <w:lang w:val="de-DE"/>
        </w:rPr>
        <w:t xml:space="preserve">seltener Krankheiten, seltener Krebserkrankungen und </w:t>
      </w:r>
      <w:r w:rsidRPr="00170422">
        <w:rPr>
          <w:noProof/>
          <w:lang w:val="de-DE"/>
        </w:rPr>
        <w:t>anderer Krankheiten mit erheblichen Auswirkungen auf die Gesundheit.</w:t>
      </w:r>
    </w:p>
    <w:p w14:paraId="3E6A265D" w14:textId="77777777" w:rsidR="0057163C" w:rsidRPr="00170422" w:rsidRDefault="0057163C">
      <w:pPr>
        <w:spacing w:before="120" w:after="120"/>
        <w:ind w:left="709"/>
        <w:jc w:val="both"/>
        <w:rPr>
          <w:noProof/>
          <w:lang w:val="de-DE"/>
        </w:rPr>
      </w:pPr>
    </w:p>
    <w:p w14:paraId="27272648" w14:textId="77777777" w:rsidR="0057163C" w:rsidRPr="00170422" w:rsidRDefault="00F37BF9">
      <w:pPr>
        <w:pStyle w:val="P68B1DB1-Normal5"/>
        <w:spacing w:before="120" w:after="120"/>
        <w:jc w:val="both"/>
        <w:rPr>
          <w:iCs/>
          <w:noProof/>
          <w:lang w:val="de-DE"/>
        </w:rPr>
      </w:pPr>
      <w:r w:rsidRPr="00170422">
        <w:rPr>
          <w:noProof/>
          <w:lang w:val="de-DE"/>
        </w:rPr>
        <w:t>Investition 2.2: Entwicklung von technischen, beruflichen, digitalen und Managementkompetenzen von Fachkräften des Gesundheitssystems</w:t>
      </w:r>
    </w:p>
    <w:p w14:paraId="72F8CF1F" w14:textId="77777777" w:rsidR="0057163C" w:rsidRPr="00170422" w:rsidRDefault="00F37BF9">
      <w:pPr>
        <w:pStyle w:val="P68B1DB1-Normal7"/>
        <w:spacing w:before="120" w:after="120"/>
        <w:jc w:val="both"/>
        <w:rPr>
          <w:noProof/>
          <w:lang w:val="de-DE"/>
        </w:rPr>
      </w:pPr>
      <w:r w:rsidRPr="00170422">
        <w:rPr>
          <w:noProof/>
          <w:lang w:val="de-DE"/>
        </w:rPr>
        <w:t>Diese Investition besteht in der Erhöhung der Stipendien für den spezifischen Kurs in der Allgemeinmedizin; Einführung eines Schulungsplans zur Sicherheit in Bezug auf Krankenhausinfektionen für das gesamte NHS-Personal; Aktivierung eines Schulungspfads f</w:t>
      </w:r>
      <w:r w:rsidRPr="00170422">
        <w:rPr>
          <w:noProof/>
          <w:lang w:val="de-DE"/>
        </w:rPr>
        <w:t>ür Personal mit Spitzenrollen in den NHS-Gremien in den Bereichen Management und digitale Kompetenzen und Finanzierung von Verträgen über fachärztliche Weiterbildung.</w:t>
      </w:r>
    </w:p>
    <w:p w14:paraId="01BDB4B3" w14:textId="47843A78" w:rsidR="0057163C" w:rsidRPr="00170422" w:rsidRDefault="0057163C">
      <w:pPr>
        <w:spacing w:before="120" w:after="120"/>
        <w:jc w:val="both"/>
        <w:rPr>
          <w:noProof/>
          <w:lang w:val="de-DE"/>
        </w:rPr>
        <w:sectPr w:rsidR="0057163C" w:rsidRPr="00170422" w:rsidSect="005F11B9">
          <w:headerReference w:type="even" r:id="rId292"/>
          <w:headerReference w:type="default" r:id="rId293"/>
          <w:footerReference w:type="even" r:id="rId294"/>
          <w:footerReference w:type="default" r:id="rId295"/>
          <w:headerReference w:type="first" r:id="rId296"/>
          <w:footerReference w:type="first" r:id="rId297"/>
          <w:pgSz w:w="11907" w:h="16839"/>
          <w:pgMar w:top="1134" w:right="1417" w:bottom="1134" w:left="1417" w:header="709" w:footer="709" w:gutter="0"/>
          <w:cols w:space="720"/>
          <w:docGrid w:linePitch="360"/>
        </w:sectPr>
      </w:pPr>
    </w:p>
    <w:p w14:paraId="65C9F3B8" w14:textId="77777777" w:rsidR="0057163C" w:rsidRPr="00170422" w:rsidRDefault="00F37BF9">
      <w:pPr>
        <w:pStyle w:val="P68B1DB1-Heading368"/>
        <w:ind w:left="850" w:hanging="850"/>
        <w:rPr>
          <w:noProof/>
          <w:lang w:val="de-DE"/>
        </w:rPr>
      </w:pPr>
      <w:r w:rsidRPr="00170422">
        <w:rPr>
          <w:noProof/>
          <w:lang w:val="de-DE"/>
        </w:rPr>
        <w:t xml:space="preserve">P.2. </w:t>
      </w:r>
      <w:r w:rsidRPr="00170422">
        <w:rPr>
          <w:noProof/>
          <w:lang w:val="de-DE"/>
        </w:rPr>
        <w:tab/>
        <w:t xml:space="preserve">Etappenziele, </w:t>
      </w:r>
      <w:r w:rsidRPr="00170422">
        <w:rPr>
          <w:noProof/>
          <w:lang w:val="de-DE"/>
        </w:rPr>
        <w:t>Zielwerte, Indikatoren und Zeitplan für die Überwachung und Durchführung der nicht rückzahlbaren finanziellen Unterstützung</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2014"/>
        <w:gridCol w:w="1294"/>
        <w:gridCol w:w="1870"/>
        <w:gridCol w:w="1726"/>
        <w:gridCol w:w="1129"/>
        <w:gridCol w:w="1418"/>
        <w:gridCol w:w="708"/>
        <w:gridCol w:w="851"/>
        <w:gridCol w:w="709"/>
        <w:gridCol w:w="2720"/>
      </w:tblGrid>
      <w:tr w:rsidR="0057163C" w:rsidRPr="00170422" w14:paraId="3745E2E7" w14:textId="77777777" w:rsidTr="00DB5D07">
        <w:trPr>
          <w:trHeight w:val="927"/>
          <w:tblHeader/>
        </w:trPr>
        <w:tc>
          <w:tcPr>
            <w:tcW w:w="1176" w:type="dxa"/>
            <w:vMerge w:val="restart"/>
            <w:shd w:val="clear" w:color="auto" w:fill="BDD7EE"/>
            <w:vAlign w:val="center"/>
            <w:hideMark/>
          </w:tcPr>
          <w:p w14:paraId="0F97B8A2" w14:textId="77777777" w:rsidR="0057163C" w:rsidRPr="00170422" w:rsidRDefault="00F37BF9">
            <w:pPr>
              <w:pStyle w:val="P68B1DB1-Normal10"/>
              <w:spacing w:before="120" w:after="120"/>
              <w:jc w:val="center"/>
              <w:rPr>
                <w:noProof/>
                <w:szCs w:val="20"/>
                <w:lang w:val="de-DE"/>
              </w:rPr>
            </w:pPr>
            <w:r w:rsidRPr="00170422">
              <w:rPr>
                <w:noProof/>
                <w:lang w:val="de-DE"/>
              </w:rPr>
              <w:t>Laufende Nummer</w:t>
            </w:r>
          </w:p>
        </w:tc>
        <w:tc>
          <w:tcPr>
            <w:tcW w:w="2014" w:type="dxa"/>
            <w:vMerge w:val="restart"/>
            <w:shd w:val="clear" w:color="auto" w:fill="BDD7EE"/>
            <w:vAlign w:val="center"/>
            <w:hideMark/>
          </w:tcPr>
          <w:p w14:paraId="4A92E0B7" w14:textId="77777777" w:rsidR="0057163C" w:rsidRPr="00170422" w:rsidRDefault="00F37BF9">
            <w:pPr>
              <w:pStyle w:val="P68B1DB1-Normal10"/>
              <w:spacing w:before="120" w:after="120"/>
              <w:jc w:val="center"/>
              <w:rPr>
                <w:noProof/>
                <w:szCs w:val="20"/>
                <w:lang w:val="de-DE"/>
              </w:rPr>
            </w:pPr>
            <w:r w:rsidRPr="00170422">
              <w:rPr>
                <w:noProof/>
                <w:lang w:val="de-DE"/>
              </w:rPr>
              <w:t>Verbundene Maßnahme (Reform oder Investition)</w:t>
            </w:r>
          </w:p>
        </w:tc>
        <w:tc>
          <w:tcPr>
            <w:tcW w:w="1294" w:type="dxa"/>
            <w:vMerge w:val="restart"/>
            <w:shd w:val="clear" w:color="auto" w:fill="BDD7EE"/>
            <w:vAlign w:val="center"/>
            <w:hideMark/>
          </w:tcPr>
          <w:p w14:paraId="7FC3995A" w14:textId="7CB32037" w:rsidR="0057163C" w:rsidRPr="00170422" w:rsidRDefault="00F37BF9">
            <w:pPr>
              <w:pStyle w:val="P68B1DB1-Normal10"/>
              <w:spacing w:before="120" w:after="120"/>
              <w:jc w:val="center"/>
              <w:rPr>
                <w:noProof/>
                <w:szCs w:val="20"/>
                <w:lang w:val="de-DE"/>
              </w:rPr>
            </w:pPr>
            <w:r w:rsidRPr="00170422">
              <w:rPr>
                <w:noProof/>
                <w:lang w:val="de-DE"/>
              </w:rPr>
              <w:t>Etappenziel/</w:t>
            </w:r>
            <w:r w:rsidR="00DB5D07" w:rsidRPr="00170422">
              <w:rPr>
                <w:noProof/>
                <w:lang w:val="de-DE"/>
              </w:rPr>
              <w:br/>
            </w:r>
            <w:r w:rsidRPr="00170422">
              <w:rPr>
                <w:noProof/>
                <w:lang w:val="de-DE"/>
              </w:rPr>
              <w:t>Zielwert</w:t>
            </w:r>
          </w:p>
        </w:tc>
        <w:tc>
          <w:tcPr>
            <w:tcW w:w="1870" w:type="dxa"/>
            <w:vMerge w:val="restart"/>
            <w:shd w:val="clear" w:color="auto" w:fill="BDD7EE"/>
            <w:vAlign w:val="center"/>
            <w:hideMark/>
          </w:tcPr>
          <w:p w14:paraId="0DDF1FD6" w14:textId="77777777" w:rsidR="0057163C" w:rsidRPr="00170422" w:rsidRDefault="00F37BF9">
            <w:pPr>
              <w:pStyle w:val="P68B1DB1-Normal10"/>
              <w:spacing w:before="120" w:after="120"/>
              <w:jc w:val="center"/>
              <w:rPr>
                <w:noProof/>
                <w:szCs w:val="20"/>
                <w:lang w:val="de-DE"/>
              </w:rPr>
            </w:pPr>
            <w:r w:rsidRPr="00170422">
              <w:rPr>
                <w:noProof/>
                <w:lang w:val="de-DE"/>
              </w:rPr>
              <w:t>Namen</w:t>
            </w:r>
          </w:p>
        </w:tc>
        <w:tc>
          <w:tcPr>
            <w:tcW w:w="1726" w:type="dxa"/>
            <w:vMerge w:val="restart"/>
            <w:shd w:val="clear" w:color="auto" w:fill="BDD7EE"/>
            <w:vAlign w:val="center"/>
            <w:hideMark/>
          </w:tcPr>
          <w:p w14:paraId="43D51E3F" w14:textId="7EE7D064" w:rsidR="0057163C" w:rsidRPr="00170422" w:rsidRDefault="00F37BF9">
            <w:pPr>
              <w:spacing w:before="120" w:after="120"/>
              <w:jc w:val="center"/>
              <w:rPr>
                <w:rFonts w:ascii="Arial Narrow" w:hAnsi="Arial Narrow"/>
                <w:b/>
                <w:noProof/>
                <w:sz w:val="20"/>
                <w:szCs w:val="20"/>
                <w:lang w:val="de-DE"/>
              </w:rPr>
            </w:pPr>
            <w:r w:rsidRPr="00170422">
              <w:rPr>
                <w:rFonts w:ascii="Arial Narrow" w:hAnsi="Arial Narrow"/>
                <w:b/>
                <w:noProof/>
                <w:sz w:val="20"/>
                <w:lang w:val="de-DE"/>
              </w:rPr>
              <w:t>Etappenziel/</w:t>
            </w:r>
            <w:r w:rsidR="00DB5D0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255" w:type="dxa"/>
            <w:gridSpan w:val="3"/>
            <w:shd w:val="clear" w:color="auto" w:fill="BDD7EE"/>
            <w:vAlign w:val="center"/>
            <w:hideMark/>
          </w:tcPr>
          <w:p w14:paraId="61F637FE" w14:textId="77777777" w:rsidR="0057163C" w:rsidRPr="00170422" w:rsidRDefault="00F37BF9">
            <w:pPr>
              <w:spacing w:before="120" w:after="120"/>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60" w:type="dxa"/>
            <w:gridSpan w:val="2"/>
            <w:shd w:val="clear" w:color="auto" w:fill="BDD7EE"/>
            <w:vAlign w:val="center"/>
            <w:hideMark/>
          </w:tcPr>
          <w:p w14:paraId="3DCEF4B3" w14:textId="77777777" w:rsidR="0057163C" w:rsidRPr="00170422" w:rsidRDefault="00F37BF9">
            <w:pPr>
              <w:pStyle w:val="P68B1DB1-Normal10"/>
              <w:spacing w:before="120" w:after="120"/>
              <w:jc w:val="center"/>
              <w:rPr>
                <w:noProof/>
                <w:szCs w:val="20"/>
                <w:lang w:val="de-DE"/>
              </w:rPr>
            </w:pPr>
            <w:r w:rsidRPr="00170422">
              <w:rPr>
                <w:noProof/>
                <w:lang w:val="de-DE"/>
              </w:rPr>
              <w:t>Vorläufiger Zeitplan für die Fertigstellung</w:t>
            </w:r>
          </w:p>
        </w:tc>
        <w:tc>
          <w:tcPr>
            <w:tcW w:w="2720" w:type="dxa"/>
            <w:vMerge w:val="restart"/>
            <w:shd w:val="clear" w:color="auto" w:fill="BDD7EE"/>
            <w:vAlign w:val="center"/>
            <w:hideMark/>
          </w:tcPr>
          <w:p w14:paraId="478E404F" w14:textId="77777777" w:rsidR="0057163C" w:rsidRPr="00170422" w:rsidRDefault="00F37BF9">
            <w:pPr>
              <w:pStyle w:val="P68B1DB1-Normal10"/>
              <w:spacing w:before="120" w:after="120"/>
              <w:jc w:val="center"/>
              <w:rPr>
                <w:noProof/>
                <w:szCs w:val="20"/>
                <w:lang w:val="de-DE"/>
              </w:rPr>
            </w:pPr>
            <w:r w:rsidRPr="00170422">
              <w:rPr>
                <w:noProof/>
                <w:lang w:val="de-DE"/>
              </w:rPr>
              <w:t>Beschreibung der einzelnen Etappenziele und Zielvorgaben</w:t>
            </w:r>
          </w:p>
        </w:tc>
      </w:tr>
      <w:tr w:rsidR="0057163C" w:rsidRPr="00170422" w14:paraId="51BBF346" w14:textId="77777777" w:rsidTr="00DB5D07">
        <w:trPr>
          <w:trHeight w:val="703"/>
          <w:tblHeader/>
        </w:trPr>
        <w:tc>
          <w:tcPr>
            <w:tcW w:w="1176" w:type="dxa"/>
            <w:vMerge/>
            <w:vAlign w:val="center"/>
            <w:hideMark/>
          </w:tcPr>
          <w:p w14:paraId="0F1E8758" w14:textId="77777777" w:rsidR="0057163C" w:rsidRPr="00170422" w:rsidRDefault="0057163C">
            <w:pPr>
              <w:spacing w:before="120" w:after="120"/>
              <w:jc w:val="center"/>
              <w:rPr>
                <w:rFonts w:ascii="Arial Narrow" w:hAnsi="Arial Narrow"/>
                <w:b/>
                <w:bCs/>
                <w:noProof/>
                <w:sz w:val="20"/>
                <w:szCs w:val="20"/>
                <w:lang w:val="de-DE"/>
              </w:rPr>
            </w:pPr>
          </w:p>
        </w:tc>
        <w:tc>
          <w:tcPr>
            <w:tcW w:w="2014" w:type="dxa"/>
            <w:vMerge/>
            <w:vAlign w:val="center"/>
            <w:hideMark/>
          </w:tcPr>
          <w:p w14:paraId="213B0320" w14:textId="77777777" w:rsidR="0057163C" w:rsidRPr="00170422" w:rsidRDefault="0057163C">
            <w:pPr>
              <w:spacing w:before="120" w:after="120"/>
              <w:jc w:val="center"/>
              <w:rPr>
                <w:rFonts w:ascii="Arial Narrow" w:hAnsi="Arial Narrow"/>
                <w:b/>
                <w:bCs/>
                <w:noProof/>
                <w:sz w:val="20"/>
                <w:szCs w:val="20"/>
                <w:lang w:val="de-DE"/>
              </w:rPr>
            </w:pPr>
          </w:p>
        </w:tc>
        <w:tc>
          <w:tcPr>
            <w:tcW w:w="1294" w:type="dxa"/>
            <w:vMerge/>
            <w:vAlign w:val="center"/>
            <w:hideMark/>
          </w:tcPr>
          <w:p w14:paraId="6FF3B964" w14:textId="77777777" w:rsidR="0057163C" w:rsidRPr="00170422" w:rsidRDefault="0057163C">
            <w:pPr>
              <w:spacing w:before="120" w:after="120"/>
              <w:jc w:val="center"/>
              <w:rPr>
                <w:rFonts w:ascii="Arial Narrow" w:hAnsi="Arial Narrow"/>
                <w:b/>
                <w:bCs/>
                <w:noProof/>
                <w:sz w:val="20"/>
                <w:szCs w:val="20"/>
                <w:lang w:val="de-DE"/>
              </w:rPr>
            </w:pPr>
          </w:p>
        </w:tc>
        <w:tc>
          <w:tcPr>
            <w:tcW w:w="1870" w:type="dxa"/>
            <w:vMerge/>
            <w:vAlign w:val="center"/>
            <w:hideMark/>
          </w:tcPr>
          <w:p w14:paraId="741C1834" w14:textId="77777777" w:rsidR="0057163C" w:rsidRPr="00170422" w:rsidRDefault="0057163C">
            <w:pPr>
              <w:spacing w:before="120" w:after="120"/>
              <w:jc w:val="center"/>
              <w:rPr>
                <w:rFonts w:ascii="Arial Narrow" w:hAnsi="Arial Narrow"/>
                <w:b/>
                <w:bCs/>
                <w:noProof/>
                <w:sz w:val="20"/>
                <w:szCs w:val="20"/>
                <w:lang w:val="de-DE"/>
              </w:rPr>
            </w:pPr>
          </w:p>
        </w:tc>
        <w:tc>
          <w:tcPr>
            <w:tcW w:w="1726" w:type="dxa"/>
            <w:vMerge/>
            <w:vAlign w:val="center"/>
            <w:hideMark/>
          </w:tcPr>
          <w:p w14:paraId="74D96BDD" w14:textId="77777777" w:rsidR="0057163C" w:rsidRPr="00170422" w:rsidRDefault="0057163C">
            <w:pPr>
              <w:spacing w:before="120" w:after="120"/>
              <w:jc w:val="center"/>
              <w:rPr>
                <w:rFonts w:ascii="Arial Narrow" w:hAnsi="Arial Narrow"/>
                <w:b/>
                <w:bCs/>
                <w:noProof/>
                <w:sz w:val="20"/>
                <w:szCs w:val="20"/>
                <w:lang w:val="de-DE"/>
              </w:rPr>
            </w:pPr>
          </w:p>
        </w:tc>
        <w:tc>
          <w:tcPr>
            <w:tcW w:w="1129" w:type="dxa"/>
            <w:shd w:val="clear" w:color="auto" w:fill="BDD7EE"/>
            <w:vAlign w:val="center"/>
            <w:hideMark/>
          </w:tcPr>
          <w:p w14:paraId="540BE98E" w14:textId="77777777" w:rsidR="0057163C" w:rsidRPr="00170422" w:rsidRDefault="00F37BF9">
            <w:pPr>
              <w:pStyle w:val="P68B1DB1-Normal10"/>
              <w:spacing w:before="120" w:after="120"/>
              <w:jc w:val="center"/>
              <w:rPr>
                <w:noProof/>
                <w:szCs w:val="20"/>
                <w:lang w:val="de-DE"/>
              </w:rPr>
            </w:pPr>
            <w:r w:rsidRPr="00170422">
              <w:rPr>
                <w:noProof/>
                <w:lang w:val="de-DE"/>
              </w:rPr>
              <w:t>Maßeinheit</w:t>
            </w:r>
          </w:p>
        </w:tc>
        <w:tc>
          <w:tcPr>
            <w:tcW w:w="1418" w:type="dxa"/>
            <w:shd w:val="clear" w:color="auto" w:fill="BDD7EE"/>
            <w:vAlign w:val="center"/>
            <w:hideMark/>
          </w:tcPr>
          <w:p w14:paraId="680BD88E" w14:textId="77777777" w:rsidR="0057163C" w:rsidRPr="00170422" w:rsidRDefault="00F37BF9">
            <w:pPr>
              <w:pStyle w:val="P68B1DB1-Normal10"/>
              <w:spacing w:before="120" w:after="120"/>
              <w:jc w:val="center"/>
              <w:rPr>
                <w:noProof/>
                <w:szCs w:val="20"/>
                <w:lang w:val="de-DE"/>
              </w:rPr>
            </w:pPr>
            <w:r w:rsidRPr="00170422">
              <w:rPr>
                <w:noProof/>
                <w:lang w:val="de-DE"/>
              </w:rPr>
              <w:t>Ausgangslage</w:t>
            </w:r>
          </w:p>
        </w:tc>
        <w:tc>
          <w:tcPr>
            <w:tcW w:w="708" w:type="dxa"/>
            <w:shd w:val="clear" w:color="auto" w:fill="BDD7EE"/>
            <w:vAlign w:val="center"/>
            <w:hideMark/>
          </w:tcPr>
          <w:p w14:paraId="297FB5F9" w14:textId="77777777" w:rsidR="0057163C" w:rsidRPr="00170422" w:rsidRDefault="00F37BF9">
            <w:pPr>
              <w:pStyle w:val="P68B1DB1-Normal10"/>
              <w:spacing w:before="120" w:after="120"/>
              <w:jc w:val="center"/>
              <w:rPr>
                <w:noProof/>
                <w:szCs w:val="20"/>
                <w:lang w:val="de-DE"/>
              </w:rPr>
            </w:pPr>
            <w:r w:rsidRPr="00170422">
              <w:rPr>
                <w:noProof/>
                <w:lang w:val="de-DE"/>
              </w:rPr>
              <w:t>Ziel</w:t>
            </w:r>
          </w:p>
        </w:tc>
        <w:tc>
          <w:tcPr>
            <w:tcW w:w="851" w:type="dxa"/>
            <w:shd w:val="clear" w:color="auto" w:fill="BDD7EE"/>
            <w:vAlign w:val="center"/>
            <w:hideMark/>
          </w:tcPr>
          <w:p w14:paraId="2374EB00" w14:textId="77777777" w:rsidR="0057163C" w:rsidRPr="00170422" w:rsidRDefault="00F37BF9">
            <w:pPr>
              <w:pStyle w:val="P68B1DB1-Normal10"/>
              <w:spacing w:before="120" w:after="120"/>
              <w:jc w:val="center"/>
              <w:rPr>
                <w:noProof/>
                <w:szCs w:val="20"/>
                <w:lang w:val="de-DE"/>
              </w:rPr>
            </w:pPr>
            <w:r w:rsidRPr="00170422">
              <w:rPr>
                <w:noProof/>
                <w:lang w:val="de-DE"/>
              </w:rPr>
              <w:t>Viertel</w:t>
            </w:r>
          </w:p>
        </w:tc>
        <w:tc>
          <w:tcPr>
            <w:tcW w:w="709" w:type="dxa"/>
            <w:shd w:val="clear" w:color="auto" w:fill="BDD7EE"/>
            <w:vAlign w:val="center"/>
            <w:hideMark/>
          </w:tcPr>
          <w:p w14:paraId="576814CC" w14:textId="77777777" w:rsidR="0057163C" w:rsidRPr="00170422" w:rsidRDefault="00F37BF9">
            <w:pPr>
              <w:pStyle w:val="P68B1DB1-Normal10"/>
              <w:spacing w:before="120" w:after="120"/>
              <w:jc w:val="center"/>
              <w:rPr>
                <w:noProof/>
                <w:szCs w:val="20"/>
                <w:lang w:val="de-DE"/>
              </w:rPr>
            </w:pPr>
            <w:r w:rsidRPr="00170422">
              <w:rPr>
                <w:noProof/>
                <w:lang w:val="de-DE"/>
              </w:rPr>
              <w:t>Jahre</w:t>
            </w:r>
          </w:p>
        </w:tc>
        <w:tc>
          <w:tcPr>
            <w:tcW w:w="2720" w:type="dxa"/>
            <w:vMerge/>
            <w:vAlign w:val="center"/>
            <w:hideMark/>
          </w:tcPr>
          <w:p w14:paraId="4EF2BFFC" w14:textId="77777777" w:rsidR="0057163C" w:rsidRPr="00170422" w:rsidRDefault="0057163C">
            <w:pPr>
              <w:spacing w:before="120" w:after="120"/>
              <w:rPr>
                <w:rFonts w:ascii="Arial Narrow" w:hAnsi="Arial Narrow"/>
                <w:b/>
                <w:bCs/>
                <w:noProof/>
                <w:sz w:val="20"/>
                <w:szCs w:val="20"/>
                <w:lang w:val="de-DE"/>
              </w:rPr>
            </w:pPr>
          </w:p>
        </w:tc>
      </w:tr>
      <w:tr w:rsidR="0057163C" w:rsidRPr="00170422" w14:paraId="2A4304C8" w14:textId="77777777" w:rsidTr="00DB5D07">
        <w:trPr>
          <w:trHeight w:val="309"/>
        </w:trPr>
        <w:tc>
          <w:tcPr>
            <w:tcW w:w="1176" w:type="dxa"/>
            <w:shd w:val="clear" w:color="auto" w:fill="C6EFCE"/>
            <w:noWrap/>
            <w:vAlign w:val="center"/>
          </w:tcPr>
          <w:p w14:paraId="32709E45" w14:textId="77777777" w:rsidR="0057163C" w:rsidRPr="00170422" w:rsidRDefault="00F37BF9">
            <w:pPr>
              <w:pStyle w:val="P68B1DB1-Normal11"/>
              <w:jc w:val="center"/>
              <w:rPr>
                <w:noProof/>
                <w:szCs w:val="20"/>
                <w:lang w:val="de-DE"/>
              </w:rPr>
            </w:pPr>
            <w:r w:rsidRPr="00170422">
              <w:rPr>
                <w:noProof/>
                <w:lang w:val="de-DE"/>
              </w:rPr>
              <w:t>M6C2-1</w:t>
            </w:r>
          </w:p>
        </w:tc>
        <w:tc>
          <w:tcPr>
            <w:tcW w:w="2014" w:type="dxa"/>
            <w:shd w:val="clear" w:color="auto" w:fill="C6EFCE"/>
            <w:noWrap/>
            <w:vAlign w:val="center"/>
          </w:tcPr>
          <w:p w14:paraId="25748EBD" w14:textId="77777777" w:rsidR="0057163C" w:rsidRPr="00170422" w:rsidRDefault="00F37BF9">
            <w:pPr>
              <w:pStyle w:val="P68B1DB1-Normal11"/>
              <w:jc w:val="center"/>
              <w:rPr>
                <w:noProof/>
                <w:szCs w:val="20"/>
                <w:lang w:val="de-DE"/>
              </w:rPr>
            </w:pPr>
            <w:r w:rsidRPr="00170422">
              <w:rPr>
                <w:noProof/>
                <w:lang w:val="de-DE"/>
              </w:rPr>
              <w:t>Reform 1: Überarbeitung und Aktualisierung</w:t>
            </w:r>
            <w:r w:rsidRPr="00170422">
              <w:rPr>
                <w:noProof/>
                <w:lang w:val="de-DE"/>
              </w:rPr>
              <w:t xml:space="preserve"> des derzeitigen Rechtsrahmens der Wissenschaftlichen Institute für Krankenhaus- und Pflegewesen (IRCCS) und der Forschungspolitik des Gesundheitsministeriums, um die Verbindung zwischen Forschung, Innovation und Gesundheitsversorgung zu stärken</w:t>
            </w:r>
          </w:p>
        </w:tc>
        <w:tc>
          <w:tcPr>
            <w:tcW w:w="1294" w:type="dxa"/>
            <w:shd w:val="clear" w:color="auto" w:fill="C6EFCE"/>
            <w:noWrap/>
            <w:vAlign w:val="center"/>
          </w:tcPr>
          <w:p w14:paraId="0394C20E" w14:textId="77777777" w:rsidR="0057163C" w:rsidRPr="00170422" w:rsidRDefault="00F37BF9">
            <w:pPr>
              <w:pStyle w:val="P68B1DB1-Normal11"/>
              <w:jc w:val="center"/>
              <w:rPr>
                <w:noProof/>
                <w:szCs w:val="20"/>
                <w:lang w:val="de-DE"/>
              </w:rPr>
            </w:pPr>
            <w:r w:rsidRPr="00170422">
              <w:rPr>
                <w:noProof/>
                <w:lang w:val="de-DE"/>
              </w:rPr>
              <w:t>Meilenstein</w:t>
            </w:r>
          </w:p>
        </w:tc>
        <w:tc>
          <w:tcPr>
            <w:tcW w:w="1870" w:type="dxa"/>
            <w:shd w:val="clear" w:color="auto" w:fill="C6EFCE"/>
            <w:noWrap/>
            <w:vAlign w:val="center"/>
          </w:tcPr>
          <w:p w14:paraId="7CE53AF2" w14:textId="77777777" w:rsidR="0057163C" w:rsidRPr="00170422" w:rsidRDefault="00F37BF9">
            <w:pPr>
              <w:pStyle w:val="P68B1DB1-Normal11"/>
              <w:jc w:val="center"/>
              <w:rPr>
                <w:noProof/>
                <w:szCs w:val="20"/>
                <w:lang w:val="de-DE"/>
              </w:rPr>
            </w:pPr>
            <w:r w:rsidRPr="00170422">
              <w:rPr>
                <w:noProof/>
                <w:lang w:val="de-DE"/>
              </w:rPr>
              <w:t>Inkrafttreten des gesetzesvertretenden Dekrets über die Neuordnung der Verordnungen über die wissenschaftlichen Einrichtungen für Krankenhausbehandlung und Pflege (IRCSS)</w:t>
            </w:r>
          </w:p>
        </w:tc>
        <w:tc>
          <w:tcPr>
            <w:tcW w:w="1726" w:type="dxa"/>
            <w:shd w:val="clear" w:color="auto" w:fill="C6EFCE"/>
            <w:noWrap/>
            <w:vAlign w:val="center"/>
          </w:tcPr>
          <w:p w14:paraId="01134809" w14:textId="77777777" w:rsidR="0057163C" w:rsidRPr="00170422" w:rsidRDefault="00F37BF9">
            <w:pPr>
              <w:pStyle w:val="P68B1DB1-Normal11"/>
              <w:jc w:val="center"/>
              <w:rPr>
                <w:noProof/>
                <w:szCs w:val="20"/>
                <w:lang w:val="de-DE"/>
              </w:rPr>
            </w:pPr>
            <w:r w:rsidRPr="00170422">
              <w:rPr>
                <w:noProof/>
                <w:lang w:val="de-DE"/>
              </w:rPr>
              <w:t>Bestimmung im Dekret über das Inkrafttreten</w:t>
            </w:r>
          </w:p>
        </w:tc>
        <w:tc>
          <w:tcPr>
            <w:tcW w:w="1129" w:type="dxa"/>
            <w:shd w:val="clear" w:color="auto" w:fill="C6EFCE"/>
            <w:noWrap/>
            <w:vAlign w:val="center"/>
          </w:tcPr>
          <w:p w14:paraId="5BBF26F5" w14:textId="77777777" w:rsidR="0057163C" w:rsidRPr="00170422" w:rsidRDefault="00F37BF9">
            <w:pPr>
              <w:pStyle w:val="P68B1DB1-Normal11"/>
              <w:jc w:val="center"/>
              <w:rPr>
                <w:noProof/>
                <w:szCs w:val="20"/>
                <w:lang w:val="de-DE"/>
              </w:rPr>
            </w:pPr>
            <w:r w:rsidRPr="00170422">
              <w:rPr>
                <w:noProof/>
                <w:lang w:val="de-DE"/>
              </w:rPr>
              <w:t>ENTFÄLLT.</w:t>
            </w:r>
          </w:p>
        </w:tc>
        <w:tc>
          <w:tcPr>
            <w:tcW w:w="1418" w:type="dxa"/>
            <w:shd w:val="clear" w:color="auto" w:fill="C6EFCE"/>
            <w:noWrap/>
            <w:vAlign w:val="center"/>
          </w:tcPr>
          <w:p w14:paraId="4F466CDB" w14:textId="77777777" w:rsidR="0057163C" w:rsidRPr="00170422" w:rsidRDefault="00F37BF9">
            <w:pPr>
              <w:pStyle w:val="P68B1DB1-Normal11"/>
              <w:jc w:val="center"/>
              <w:rPr>
                <w:noProof/>
                <w:szCs w:val="20"/>
                <w:lang w:val="de-DE"/>
              </w:rPr>
            </w:pPr>
            <w:r w:rsidRPr="00170422">
              <w:rPr>
                <w:noProof/>
                <w:lang w:val="de-DE"/>
              </w:rPr>
              <w:t>ENTFÄLLT.</w:t>
            </w:r>
          </w:p>
        </w:tc>
        <w:tc>
          <w:tcPr>
            <w:tcW w:w="708" w:type="dxa"/>
            <w:shd w:val="clear" w:color="auto" w:fill="C6EFCE"/>
            <w:noWrap/>
            <w:vAlign w:val="center"/>
          </w:tcPr>
          <w:p w14:paraId="5BCAE96B" w14:textId="77777777" w:rsidR="0057163C" w:rsidRPr="00170422" w:rsidRDefault="00F37BF9">
            <w:pPr>
              <w:pStyle w:val="P68B1DB1-Normal11"/>
              <w:jc w:val="center"/>
              <w:rPr>
                <w:noProof/>
                <w:szCs w:val="20"/>
                <w:lang w:val="de-DE"/>
              </w:rPr>
            </w:pPr>
            <w:r w:rsidRPr="00170422">
              <w:rPr>
                <w:noProof/>
                <w:lang w:val="de-DE"/>
              </w:rPr>
              <w:t>ENTFÄLLT.</w:t>
            </w:r>
          </w:p>
        </w:tc>
        <w:tc>
          <w:tcPr>
            <w:tcW w:w="851" w:type="dxa"/>
            <w:shd w:val="clear" w:color="auto" w:fill="C6EFCE"/>
            <w:noWrap/>
            <w:vAlign w:val="center"/>
          </w:tcPr>
          <w:p w14:paraId="1269A23D" w14:textId="77777777" w:rsidR="0057163C" w:rsidRPr="00170422" w:rsidRDefault="00F37BF9">
            <w:pPr>
              <w:pStyle w:val="P68B1DB1-Normal11"/>
              <w:jc w:val="center"/>
              <w:rPr>
                <w:noProof/>
                <w:szCs w:val="20"/>
                <w:lang w:val="de-DE"/>
              </w:rPr>
            </w:pPr>
            <w:r w:rsidRPr="00170422">
              <w:rPr>
                <w:noProof/>
                <w:lang w:val="de-DE"/>
              </w:rPr>
              <w:t>4. QUARTAL</w:t>
            </w:r>
          </w:p>
        </w:tc>
        <w:tc>
          <w:tcPr>
            <w:tcW w:w="709" w:type="dxa"/>
            <w:shd w:val="clear" w:color="auto" w:fill="C6EFCE"/>
            <w:noWrap/>
            <w:vAlign w:val="center"/>
          </w:tcPr>
          <w:p w14:paraId="7981B501" w14:textId="77777777" w:rsidR="0057163C" w:rsidRPr="00170422" w:rsidRDefault="00F37BF9">
            <w:pPr>
              <w:pStyle w:val="P68B1DB1-Normal11"/>
              <w:jc w:val="center"/>
              <w:rPr>
                <w:noProof/>
                <w:szCs w:val="20"/>
                <w:lang w:val="de-DE"/>
              </w:rPr>
            </w:pPr>
            <w:r w:rsidRPr="00170422">
              <w:rPr>
                <w:noProof/>
                <w:lang w:val="de-DE"/>
              </w:rPr>
              <w:t>2022</w:t>
            </w:r>
          </w:p>
        </w:tc>
        <w:tc>
          <w:tcPr>
            <w:tcW w:w="2720" w:type="dxa"/>
            <w:shd w:val="clear" w:color="auto" w:fill="C6EFCE"/>
            <w:noWrap/>
            <w:vAlign w:val="center"/>
          </w:tcPr>
          <w:p w14:paraId="0009E612" w14:textId="77777777" w:rsidR="0057163C" w:rsidRPr="00170422" w:rsidRDefault="00F37BF9">
            <w:pPr>
              <w:pStyle w:val="P68B1DB1-Normal11"/>
              <w:rPr>
                <w:noProof/>
                <w:szCs w:val="20"/>
                <w:lang w:val="de-DE"/>
              </w:rPr>
            </w:pPr>
            <w:r w:rsidRPr="00170422">
              <w:rPr>
                <w:noProof/>
                <w:lang w:val="de-DE"/>
              </w:rPr>
              <w:t>Mit der Reform soll das IRCCS-Netz neu organisiert werden, um die Qualität und Exzellenz des NHS zu verbessern, die Beziehung zwischen Gesundheit und Forschung zu verbessern und die rechtliche Regelung des IRCCS und die Forschungspolitik i</w:t>
            </w:r>
            <w:r w:rsidRPr="00170422">
              <w:rPr>
                <w:noProof/>
                <w:lang w:val="de-DE"/>
              </w:rPr>
              <w:t>m Zuständigkeitsbereich des italienischen Gesundheitsministeriums zu überprüfen.</w:t>
            </w:r>
          </w:p>
          <w:p w14:paraId="16CBFA03" w14:textId="77777777" w:rsidR="0057163C" w:rsidRPr="00170422" w:rsidRDefault="00F37BF9">
            <w:pPr>
              <w:pStyle w:val="P68B1DB1-Normal11"/>
              <w:rPr>
                <w:noProof/>
                <w:szCs w:val="20"/>
                <w:lang w:val="de-DE"/>
              </w:rPr>
            </w:pPr>
            <w:r w:rsidRPr="00170422">
              <w:rPr>
                <w:noProof/>
                <w:lang w:val="de-DE"/>
              </w:rPr>
              <w:t xml:space="preserve">Die Reform umfasst folgende Maßnahmen: die Verbindung zwischen Forschung, Innovation und Gesundheitsversorgung stärken; II) Verbesserung der Governance der öffentlichen IRCCS </w:t>
            </w:r>
            <w:r w:rsidRPr="00170422">
              <w:rPr>
                <w:noProof/>
                <w:lang w:val="de-DE"/>
              </w:rPr>
              <w:t>durch Verbesserung des strategischen Managements und bessere Festlegung der Befugnisse und Zuständigkeitsbereiche.</w:t>
            </w:r>
          </w:p>
        </w:tc>
      </w:tr>
      <w:tr w:rsidR="0057163C" w:rsidRPr="00170422" w14:paraId="75B5FA6C" w14:textId="77777777" w:rsidTr="00DB5D07">
        <w:trPr>
          <w:trHeight w:val="309"/>
        </w:trPr>
        <w:tc>
          <w:tcPr>
            <w:tcW w:w="1176" w:type="dxa"/>
            <w:shd w:val="clear" w:color="auto" w:fill="C6EFCE"/>
            <w:noWrap/>
            <w:vAlign w:val="center"/>
            <w:hideMark/>
          </w:tcPr>
          <w:p w14:paraId="681B3CEC" w14:textId="77777777" w:rsidR="0057163C" w:rsidRPr="00170422" w:rsidRDefault="00F37BF9">
            <w:pPr>
              <w:pStyle w:val="P68B1DB1-Normal12"/>
              <w:jc w:val="center"/>
              <w:rPr>
                <w:noProof/>
                <w:lang w:val="de-DE"/>
              </w:rPr>
            </w:pPr>
            <w:r w:rsidRPr="00170422">
              <w:rPr>
                <w:noProof/>
                <w:lang w:val="de-DE"/>
              </w:rPr>
              <w:t>M6C2-2</w:t>
            </w:r>
          </w:p>
        </w:tc>
        <w:tc>
          <w:tcPr>
            <w:tcW w:w="2014" w:type="dxa"/>
            <w:shd w:val="clear" w:color="auto" w:fill="C6EFCE"/>
            <w:noWrap/>
            <w:vAlign w:val="center"/>
            <w:hideMark/>
          </w:tcPr>
          <w:p w14:paraId="77FD104F" w14:textId="77777777" w:rsidR="0057163C" w:rsidRPr="00170422" w:rsidRDefault="00F37BF9">
            <w:pPr>
              <w:pStyle w:val="P68B1DB1-Normal11"/>
              <w:jc w:val="center"/>
              <w:rPr>
                <w:noProof/>
                <w:szCs w:val="20"/>
                <w:lang w:val="de-DE"/>
              </w:rPr>
            </w:pPr>
            <w:r w:rsidRPr="00170422">
              <w:rPr>
                <w:noProof/>
                <w:lang w:val="de-DE"/>
              </w:rPr>
              <w:t>Investition 2.1: Stärkung und Verbesserung der biomedizinischen Forschung des NHS</w:t>
            </w:r>
          </w:p>
        </w:tc>
        <w:tc>
          <w:tcPr>
            <w:tcW w:w="1294" w:type="dxa"/>
            <w:shd w:val="clear" w:color="auto" w:fill="C6EFCE"/>
            <w:noWrap/>
            <w:vAlign w:val="center"/>
            <w:hideMark/>
          </w:tcPr>
          <w:p w14:paraId="42679A17" w14:textId="77777777" w:rsidR="0057163C" w:rsidRPr="00170422" w:rsidRDefault="00F37BF9">
            <w:pPr>
              <w:pStyle w:val="P68B1DB1-Normal11"/>
              <w:jc w:val="center"/>
              <w:rPr>
                <w:noProof/>
                <w:szCs w:val="20"/>
                <w:lang w:val="de-DE"/>
              </w:rPr>
            </w:pPr>
            <w:r w:rsidRPr="00170422">
              <w:rPr>
                <w:noProof/>
                <w:lang w:val="de-DE"/>
              </w:rPr>
              <w:t>Ziel</w:t>
            </w:r>
          </w:p>
        </w:tc>
        <w:tc>
          <w:tcPr>
            <w:tcW w:w="1870" w:type="dxa"/>
            <w:shd w:val="clear" w:color="auto" w:fill="C6EFCE"/>
            <w:noWrap/>
            <w:vAlign w:val="center"/>
            <w:hideMark/>
          </w:tcPr>
          <w:p w14:paraId="1B8F33B5" w14:textId="77777777" w:rsidR="0057163C" w:rsidRPr="00170422" w:rsidRDefault="00F37BF9">
            <w:pPr>
              <w:pStyle w:val="P68B1DB1-Normal11"/>
              <w:jc w:val="center"/>
              <w:rPr>
                <w:noProof/>
                <w:szCs w:val="20"/>
                <w:lang w:val="de-DE"/>
              </w:rPr>
            </w:pPr>
            <w:r w:rsidRPr="00170422">
              <w:rPr>
                <w:noProof/>
                <w:lang w:val="de-DE"/>
              </w:rPr>
              <w:t>Geförderte Forschungsprojekte zu PoC (Proof of</w:t>
            </w:r>
            <w:r w:rsidRPr="00170422">
              <w:rPr>
                <w:noProof/>
                <w:lang w:val="de-DE"/>
              </w:rPr>
              <w:t xml:space="preserve"> Concept) und seltenen Krebsarten und seltenen Krankheiten</w:t>
            </w:r>
          </w:p>
        </w:tc>
        <w:tc>
          <w:tcPr>
            <w:tcW w:w="1726" w:type="dxa"/>
            <w:shd w:val="clear" w:color="auto" w:fill="C6EFCE"/>
            <w:noWrap/>
            <w:vAlign w:val="center"/>
          </w:tcPr>
          <w:p w14:paraId="5FBF67F1" w14:textId="77777777" w:rsidR="0057163C" w:rsidRPr="00170422" w:rsidRDefault="00F37BF9">
            <w:pPr>
              <w:pStyle w:val="P68B1DB1-Normal11"/>
              <w:jc w:val="center"/>
              <w:rPr>
                <w:noProof/>
                <w:szCs w:val="20"/>
                <w:lang w:val="de-DE"/>
              </w:rPr>
            </w:pPr>
            <w:r w:rsidRPr="00170422">
              <w:rPr>
                <w:noProof/>
                <w:lang w:val="de-DE"/>
              </w:rPr>
              <w:t>ENTFÄLLT.</w:t>
            </w:r>
          </w:p>
        </w:tc>
        <w:tc>
          <w:tcPr>
            <w:tcW w:w="1129" w:type="dxa"/>
            <w:shd w:val="clear" w:color="auto" w:fill="C6EFCE"/>
            <w:noWrap/>
            <w:vAlign w:val="center"/>
            <w:hideMark/>
          </w:tcPr>
          <w:p w14:paraId="4D036370"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hideMark/>
          </w:tcPr>
          <w:p w14:paraId="160AA631"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noWrap/>
            <w:vAlign w:val="center"/>
            <w:hideMark/>
          </w:tcPr>
          <w:p w14:paraId="31966BDC" w14:textId="77777777" w:rsidR="0057163C" w:rsidRPr="00170422" w:rsidRDefault="00F37BF9">
            <w:pPr>
              <w:pStyle w:val="P68B1DB1-Normal12"/>
              <w:jc w:val="center"/>
              <w:rPr>
                <w:noProof/>
                <w:lang w:val="de-DE"/>
              </w:rPr>
            </w:pPr>
            <w:r w:rsidRPr="00170422">
              <w:rPr>
                <w:noProof/>
                <w:lang w:val="de-DE"/>
              </w:rPr>
              <w:t>200</w:t>
            </w:r>
          </w:p>
        </w:tc>
        <w:tc>
          <w:tcPr>
            <w:tcW w:w="851" w:type="dxa"/>
            <w:shd w:val="clear" w:color="auto" w:fill="C6EFCE"/>
            <w:noWrap/>
            <w:vAlign w:val="center"/>
            <w:hideMark/>
          </w:tcPr>
          <w:p w14:paraId="72B4AA64" w14:textId="77777777" w:rsidR="0057163C" w:rsidRPr="00170422" w:rsidRDefault="00F37BF9">
            <w:pPr>
              <w:pStyle w:val="P68B1DB1-Normal12"/>
              <w:jc w:val="center"/>
              <w:rPr>
                <w:noProof/>
                <w:lang w:val="de-DE"/>
              </w:rPr>
            </w:pPr>
            <w:r w:rsidRPr="00170422">
              <w:rPr>
                <w:noProof/>
                <w:lang w:val="de-DE"/>
              </w:rPr>
              <w:t>Q2</w:t>
            </w:r>
          </w:p>
        </w:tc>
        <w:tc>
          <w:tcPr>
            <w:tcW w:w="709" w:type="dxa"/>
            <w:shd w:val="clear" w:color="auto" w:fill="C6EFCE"/>
            <w:noWrap/>
            <w:vAlign w:val="center"/>
            <w:hideMark/>
          </w:tcPr>
          <w:p w14:paraId="17F9A582" w14:textId="77777777" w:rsidR="0057163C" w:rsidRPr="00170422" w:rsidRDefault="00F37BF9">
            <w:pPr>
              <w:pStyle w:val="P68B1DB1-Normal11"/>
              <w:jc w:val="center"/>
              <w:rPr>
                <w:noProof/>
                <w:szCs w:val="20"/>
                <w:lang w:val="de-DE"/>
              </w:rPr>
            </w:pPr>
            <w:r w:rsidRPr="00170422">
              <w:rPr>
                <w:noProof/>
                <w:lang w:val="de-DE"/>
              </w:rPr>
              <w:t>2025</w:t>
            </w:r>
          </w:p>
        </w:tc>
        <w:tc>
          <w:tcPr>
            <w:tcW w:w="2720" w:type="dxa"/>
            <w:shd w:val="clear" w:color="auto" w:fill="C6EFCE"/>
            <w:noWrap/>
            <w:vAlign w:val="center"/>
            <w:hideMark/>
          </w:tcPr>
          <w:p w14:paraId="5F4F2459" w14:textId="7C4A8852"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 xml:space="preserve">Vergabe von Mitteln für Forschungsprojekte im Bereich seltene Krankheiten und seltene Krebsarten sowie Konzeptnachweis (PoC).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Die Gewährung von Mitteln für Forschun</w:t>
            </w:r>
            <w:r w:rsidRPr="00170422">
              <w:rPr>
                <w:rFonts w:ascii="Arial Narrow" w:hAnsi="Arial Narrow"/>
                <w:noProof/>
                <w:color w:val="006100"/>
                <w:sz w:val="20"/>
                <w:szCs w:val="20"/>
                <w:lang w:val="de-DE"/>
              </w:rPr>
              <w:t>gsprojekte „PoC“ und für seltene Krankheiten und seltene Krebserkrankungen erfolgt im Wege einer öffentlichen Ausschreibung.</w:t>
            </w:r>
          </w:p>
          <w:p w14:paraId="7A32460B" w14:textId="77777777" w:rsidR="0057163C" w:rsidRPr="00170422" w:rsidRDefault="00F37BF9">
            <w:pPr>
              <w:pStyle w:val="P68B1DB1-Normal12"/>
              <w:rPr>
                <w:noProof/>
                <w:lang w:val="de-DE"/>
              </w:rPr>
            </w:pPr>
            <w:r w:rsidRPr="00170422">
              <w:rPr>
                <w:noProof/>
                <w:lang w:val="de-DE"/>
              </w:rPr>
              <w:t>Mindestens 200 Forschungsprojekte müssen eine erste Finanzierungstranche erhalten haben.</w:t>
            </w:r>
          </w:p>
        </w:tc>
      </w:tr>
      <w:tr w:rsidR="0057163C" w:rsidRPr="00170422" w14:paraId="0DAEBDAF" w14:textId="77777777" w:rsidTr="00DB5D07">
        <w:trPr>
          <w:trHeight w:val="309"/>
        </w:trPr>
        <w:tc>
          <w:tcPr>
            <w:tcW w:w="1176" w:type="dxa"/>
            <w:shd w:val="clear" w:color="auto" w:fill="C6EFCE"/>
            <w:noWrap/>
            <w:vAlign w:val="center"/>
          </w:tcPr>
          <w:p w14:paraId="6154E6C3" w14:textId="77777777" w:rsidR="0057163C" w:rsidRPr="00170422" w:rsidRDefault="00F37BF9">
            <w:pPr>
              <w:pStyle w:val="P68B1DB1-Normal12"/>
              <w:jc w:val="center"/>
              <w:rPr>
                <w:noProof/>
                <w:lang w:val="de-DE"/>
              </w:rPr>
            </w:pPr>
            <w:r w:rsidRPr="00170422">
              <w:rPr>
                <w:noProof/>
                <w:lang w:val="de-DE"/>
              </w:rPr>
              <w:t>M6C2-3</w:t>
            </w:r>
          </w:p>
        </w:tc>
        <w:tc>
          <w:tcPr>
            <w:tcW w:w="2014" w:type="dxa"/>
            <w:shd w:val="clear" w:color="auto" w:fill="C6EFCE"/>
            <w:noWrap/>
            <w:vAlign w:val="center"/>
          </w:tcPr>
          <w:p w14:paraId="1125A57A" w14:textId="77777777" w:rsidR="0057163C" w:rsidRPr="00170422" w:rsidRDefault="00F37BF9">
            <w:pPr>
              <w:pStyle w:val="P68B1DB1-Normal11"/>
              <w:jc w:val="center"/>
              <w:rPr>
                <w:noProof/>
                <w:szCs w:val="20"/>
                <w:lang w:val="de-DE"/>
              </w:rPr>
            </w:pPr>
            <w:r w:rsidRPr="00170422">
              <w:rPr>
                <w:noProof/>
                <w:lang w:val="de-DE"/>
              </w:rPr>
              <w:t xml:space="preserve">Investition 2.1: Stärkung und </w:t>
            </w:r>
            <w:r w:rsidRPr="00170422">
              <w:rPr>
                <w:noProof/>
                <w:lang w:val="de-DE"/>
              </w:rPr>
              <w:t>Verbesserung der biomedizinischen Forschung des NHS</w:t>
            </w:r>
          </w:p>
        </w:tc>
        <w:tc>
          <w:tcPr>
            <w:tcW w:w="1294" w:type="dxa"/>
            <w:shd w:val="clear" w:color="auto" w:fill="C6EFCE"/>
            <w:noWrap/>
            <w:vAlign w:val="center"/>
          </w:tcPr>
          <w:p w14:paraId="6C49FC9B" w14:textId="77777777" w:rsidR="0057163C" w:rsidRPr="00170422" w:rsidRDefault="00F37BF9">
            <w:pPr>
              <w:pStyle w:val="P68B1DB1-Normal11"/>
              <w:jc w:val="center"/>
              <w:rPr>
                <w:noProof/>
                <w:szCs w:val="20"/>
                <w:lang w:val="de-DE"/>
              </w:rPr>
            </w:pPr>
            <w:r w:rsidRPr="00170422">
              <w:rPr>
                <w:noProof/>
                <w:lang w:val="de-DE"/>
              </w:rPr>
              <w:t>Ziel</w:t>
            </w:r>
          </w:p>
        </w:tc>
        <w:tc>
          <w:tcPr>
            <w:tcW w:w="1870" w:type="dxa"/>
            <w:shd w:val="clear" w:color="auto" w:fill="C6EFCE"/>
            <w:noWrap/>
            <w:vAlign w:val="center"/>
          </w:tcPr>
          <w:p w14:paraId="6D6CA47E" w14:textId="77777777" w:rsidR="0057163C" w:rsidRPr="00170422" w:rsidRDefault="00F37BF9">
            <w:pPr>
              <w:pStyle w:val="P68B1DB1-Normal11"/>
              <w:jc w:val="center"/>
              <w:rPr>
                <w:noProof/>
                <w:szCs w:val="20"/>
                <w:lang w:val="de-DE"/>
              </w:rPr>
            </w:pPr>
            <w:r w:rsidRPr="00170422">
              <w:rPr>
                <w:noProof/>
                <w:lang w:val="de-DE"/>
              </w:rPr>
              <w:t>Finanzierung von Forschungsprojekten zu Krankheiten mit erheblichen Auswirkungen auf die Gesundheit</w:t>
            </w:r>
          </w:p>
        </w:tc>
        <w:tc>
          <w:tcPr>
            <w:tcW w:w="1726" w:type="dxa"/>
            <w:shd w:val="clear" w:color="auto" w:fill="C6EFCE"/>
            <w:noWrap/>
            <w:vAlign w:val="center"/>
          </w:tcPr>
          <w:p w14:paraId="7BEF5C0C" w14:textId="77777777" w:rsidR="0057163C" w:rsidRPr="00170422" w:rsidRDefault="00F37BF9">
            <w:pPr>
              <w:pStyle w:val="P68B1DB1-Normal11"/>
              <w:jc w:val="center"/>
              <w:rPr>
                <w:noProof/>
                <w:szCs w:val="20"/>
                <w:lang w:val="de-DE"/>
              </w:rPr>
            </w:pPr>
            <w:r w:rsidRPr="00170422">
              <w:rPr>
                <w:noProof/>
                <w:lang w:val="de-DE"/>
              </w:rPr>
              <w:t>ENTFÄLLT.</w:t>
            </w:r>
          </w:p>
        </w:tc>
        <w:tc>
          <w:tcPr>
            <w:tcW w:w="1129" w:type="dxa"/>
            <w:shd w:val="clear" w:color="auto" w:fill="C6EFCE"/>
            <w:noWrap/>
            <w:vAlign w:val="center"/>
          </w:tcPr>
          <w:p w14:paraId="28AB3651" w14:textId="77777777" w:rsidR="0057163C" w:rsidRPr="00170422" w:rsidRDefault="00F37BF9">
            <w:pPr>
              <w:pStyle w:val="P68B1DB1-Normal11"/>
              <w:jc w:val="center"/>
              <w:rPr>
                <w:noProof/>
                <w:szCs w:val="20"/>
                <w:lang w:val="de-DE"/>
              </w:rPr>
            </w:pPr>
            <w:r w:rsidRPr="00170422">
              <w:rPr>
                <w:noProof/>
                <w:lang w:val="de-DE"/>
              </w:rPr>
              <w:t>Anzahl</w:t>
            </w:r>
          </w:p>
        </w:tc>
        <w:tc>
          <w:tcPr>
            <w:tcW w:w="1418" w:type="dxa"/>
            <w:shd w:val="clear" w:color="auto" w:fill="C6EFCE"/>
            <w:noWrap/>
            <w:vAlign w:val="center"/>
          </w:tcPr>
          <w:p w14:paraId="4B4F81F0" w14:textId="77777777" w:rsidR="0057163C" w:rsidRPr="00170422" w:rsidRDefault="00F37BF9">
            <w:pPr>
              <w:pStyle w:val="P68B1DB1-Normal11"/>
              <w:jc w:val="center"/>
              <w:rPr>
                <w:noProof/>
                <w:szCs w:val="20"/>
                <w:lang w:val="de-DE"/>
              </w:rPr>
            </w:pPr>
            <w:r w:rsidRPr="00170422">
              <w:rPr>
                <w:noProof/>
                <w:lang w:val="de-DE"/>
              </w:rPr>
              <w:t>0</w:t>
            </w:r>
          </w:p>
        </w:tc>
        <w:tc>
          <w:tcPr>
            <w:tcW w:w="708" w:type="dxa"/>
            <w:shd w:val="clear" w:color="auto" w:fill="C6EFCE"/>
            <w:noWrap/>
            <w:vAlign w:val="center"/>
          </w:tcPr>
          <w:p w14:paraId="4438BD16" w14:textId="77777777" w:rsidR="0057163C" w:rsidRPr="00170422" w:rsidRDefault="00F37BF9">
            <w:pPr>
              <w:pStyle w:val="P68B1DB1-Normal11"/>
              <w:jc w:val="center"/>
              <w:rPr>
                <w:noProof/>
                <w:szCs w:val="20"/>
                <w:lang w:val="de-DE"/>
              </w:rPr>
            </w:pPr>
            <w:r w:rsidRPr="00170422">
              <w:rPr>
                <w:noProof/>
                <w:lang w:val="de-DE"/>
              </w:rPr>
              <w:t>324</w:t>
            </w:r>
          </w:p>
        </w:tc>
        <w:tc>
          <w:tcPr>
            <w:tcW w:w="851" w:type="dxa"/>
            <w:shd w:val="clear" w:color="auto" w:fill="C6EFCE"/>
            <w:noWrap/>
            <w:vAlign w:val="center"/>
          </w:tcPr>
          <w:p w14:paraId="4FBADA38" w14:textId="77777777" w:rsidR="0057163C" w:rsidRPr="00170422" w:rsidRDefault="00F37BF9">
            <w:pPr>
              <w:pStyle w:val="P68B1DB1-Normal12"/>
              <w:jc w:val="center"/>
              <w:rPr>
                <w:noProof/>
                <w:lang w:val="de-DE"/>
              </w:rPr>
            </w:pPr>
            <w:r w:rsidRPr="00170422">
              <w:rPr>
                <w:noProof/>
                <w:lang w:val="de-DE"/>
              </w:rPr>
              <w:t>Q2</w:t>
            </w:r>
          </w:p>
        </w:tc>
        <w:tc>
          <w:tcPr>
            <w:tcW w:w="709" w:type="dxa"/>
            <w:shd w:val="clear" w:color="auto" w:fill="C6EFCE"/>
            <w:noWrap/>
            <w:vAlign w:val="center"/>
          </w:tcPr>
          <w:p w14:paraId="4E527F65" w14:textId="77777777" w:rsidR="0057163C" w:rsidRPr="00170422" w:rsidRDefault="00F37BF9">
            <w:pPr>
              <w:pStyle w:val="P68B1DB1-Normal11"/>
              <w:jc w:val="center"/>
              <w:rPr>
                <w:noProof/>
                <w:szCs w:val="20"/>
                <w:lang w:val="de-DE"/>
              </w:rPr>
            </w:pPr>
            <w:r w:rsidRPr="00170422">
              <w:rPr>
                <w:noProof/>
                <w:lang w:val="de-DE"/>
              </w:rPr>
              <w:t>2025</w:t>
            </w:r>
          </w:p>
        </w:tc>
        <w:tc>
          <w:tcPr>
            <w:tcW w:w="2720" w:type="dxa"/>
            <w:shd w:val="clear" w:color="auto" w:fill="C6EFCE"/>
            <w:noWrap/>
            <w:vAlign w:val="center"/>
          </w:tcPr>
          <w:p w14:paraId="4DEE127E" w14:textId="466587B1" w:rsidR="0057163C" w:rsidRPr="00170422" w:rsidRDefault="00F37BF9">
            <w:pPr>
              <w:rPr>
                <w:rFonts w:ascii="Arial Narrow" w:hAnsi="Arial Narrow"/>
                <w:noProof/>
                <w:color w:val="006100"/>
                <w:sz w:val="20"/>
                <w:szCs w:val="20"/>
                <w:lang w:val="de-DE"/>
              </w:rPr>
            </w:pPr>
            <w:r w:rsidRPr="00170422">
              <w:rPr>
                <w:rFonts w:ascii="Arial Narrow" w:hAnsi="Arial Narrow"/>
                <w:noProof/>
                <w:color w:val="006100"/>
                <w:sz w:val="20"/>
                <w:szCs w:val="20"/>
                <w:lang w:val="de-DE"/>
              </w:rPr>
              <w:t xml:space="preserve">Gewährung von Mitteln für Forschungsprojekte im Bereich Krankheiten </w:t>
            </w:r>
            <w:r w:rsidRPr="00170422">
              <w:rPr>
                <w:rFonts w:ascii="Arial Narrow" w:hAnsi="Arial Narrow"/>
                <w:noProof/>
                <w:color w:val="006100"/>
                <w:sz w:val="20"/>
                <w:szCs w:val="20"/>
                <w:lang w:val="de-DE"/>
              </w:rPr>
              <w:t>mit erheblichen Auswirkungen auf die Gesundheit.</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100"/>
                <w:sz w:val="20"/>
                <w:szCs w:val="20"/>
                <w:lang w:val="de-DE"/>
              </w:rPr>
              <w:t>Die Gewährung von Mitteln für Forschungsprojekte zu Krankheiten mit erheblichen Auswirkungen auf die Gesundheit erfolgt im Wege einer öffentlichen Ausschreibung.</w:t>
            </w:r>
          </w:p>
          <w:p w14:paraId="41484C95" w14:textId="77777777" w:rsidR="0057163C" w:rsidRPr="00170422" w:rsidRDefault="00F37BF9">
            <w:pPr>
              <w:pStyle w:val="P68B1DB1-Normal12"/>
              <w:rPr>
                <w:noProof/>
                <w:lang w:val="de-DE"/>
              </w:rPr>
            </w:pPr>
            <w:r w:rsidRPr="00170422">
              <w:rPr>
                <w:noProof/>
                <w:lang w:val="de-DE"/>
              </w:rPr>
              <w:t>Mindestens 324 Forschungsprojekte müssen ei</w:t>
            </w:r>
            <w:r w:rsidRPr="00170422">
              <w:rPr>
                <w:noProof/>
                <w:lang w:val="de-DE"/>
              </w:rPr>
              <w:t>ne erste Finanzierungstranche erhalten haben.</w:t>
            </w:r>
          </w:p>
        </w:tc>
      </w:tr>
      <w:tr w:rsidR="0057163C" w:rsidRPr="00170422" w14:paraId="1B55A8A7" w14:textId="77777777" w:rsidTr="00DB5D0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A092C1" w14:textId="77777777" w:rsidR="0057163C" w:rsidRPr="00170422" w:rsidRDefault="00F37BF9">
            <w:pPr>
              <w:pStyle w:val="P68B1DB1-Normal12"/>
              <w:jc w:val="center"/>
              <w:rPr>
                <w:noProof/>
                <w:lang w:val="de-DE"/>
              </w:rPr>
            </w:pPr>
            <w:r w:rsidRPr="00170422">
              <w:rPr>
                <w:noProof/>
                <w:lang w:val="de-DE"/>
              </w:rPr>
              <w:t>M6C2-16</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2AD8DF" w14:textId="77777777" w:rsidR="0057163C" w:rsidRPr="00170422" w:rsidRDefault="00F37BF9">
            <w:pPr>
              <w:pStyle w:val="P68B1DB1-Normal11"/>
              <w:jc w:val="center"/>
              <w:rPr>
                <w:noProof/>
                <w:lang w:val="de-DE"/>
              </w:rPr>
            </w:pPr>
            <w:r w:rsidRPr="00170422">
              <w:rPr>
                <w:noProof/>
                <w:lang w:val="de-DE"/>
              </w:rPr>
              <w:t>Investition 2.2: Entwicklung von technischen, beruflichen, digitalen und Managementkompetenzen von Fachkräften des Gesundheitssystems</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CEA5EC" w14:textId="77777777" w:rsidR="0057163C" w:rsidRPr="00170422" w:rsidRDefault="00F37BF9">
            <w:pPr>
              <w:pStyle w:val="P68B1DB1-Normal11"/>
              <w:jc w:val="center"/>
              <w:rPr>
                <w:noProof/>
                <w:lang w:val="de-DE"/>
              </w:rPr>
            </w:pPr>
            <w:r w:rsidRPr="00170422">
              <w:rPr>
                <w:noProof/>
                <w:lang w:val="de-DE"/>
              </w:rPr>
              <w:t>Ziel</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C03071" w14:textId="77777777" w:rsidR="0057163C" w:rsidRPr="00170422" w:rsidRDefault="00F37BF9">
            <w:pPr>
              <w:pStyle w:val="P68B1DB1-Normal11"/>
              <w:jc w:val="center"/>
              <w:rPr>
                <w:noProof/>
                <w:lang w:val="de-DE"/>
              </w:rPr>
            </w:pPr>
            <w:r w:rsidRPr="00170422">
              <w:rPr>
                <w:noProof/>
                <w:lang w:val="de-DE"/>
              </w:rPr>
              <w:t xml:space="preserve">Schulung des Personals im Gesundheitswesen zu Management- und digitalen Kompetenzen </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0F337E" w14:textId="77777777" w:rsidR="0057163C" w:rsidRPr="00170422" w:rsidRDefault="00F37BF9">
            <w:pPr>
              <w:pStyle w:val="P68B1DB1-Normal11"/>
              <w:jc w:val="center"/>
              <w:rPr>
                <w:noProof/>
                <w:lang w:val="de-DE"/>
              </w:rPr>
            </w:pPr>
            <w:r w:rsidRPr="00170422">
              <w:rPr>
                <w:noProof/>
                <w:lang w:val="de-DE"/>
              </w:rPr>
              <w:t>ENTFÄLLT.</w:t>
            </w:r>
          </w:p>
        </w:tc>
        <w:tc>
          <w:tcPr>
            <w:tcW w:w="11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375DD0" w14:textId="77777777" w:rsidR="0057163C" w:rsidRPr="00170422" w:rsidRDefault="00F37BF9">
            <w:pPr>
              <w:pStyle w:val="P68B1DB1-Normal11"/>
              <w:jc w:val="center"/>
              <w:rPr>
                <w:noProof/>
                <w:lang w:val="de-DE"/>
              </w:rPr>
            </w:pPr>
            <w:r w:rsidRPr="00170422">
              <w:rPr>
                <w:noProof/>
                <w:lang w:val="de-DE"/>
              </w:rPr>
              <w:t>Anzahl</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516C3C4" w14:textId="77777777" w:rsidR="0057163C" w:rsidRPr="00170422" w:rsidRDefault="00F37BF9">
            <w:pPr>
              <w:pStyle w:val="P68B1DB1-Normal11"/>
              <w:jc w:val="center"/>
              <w:rPr>
                <w:noProof/>
                <w:lang w:val="de-DE"/>
              </w:rPr>
            </w:pPr>
            <w:r w:rsidRPr="00170422">
              <w:rPr>
                <w:noProof/>
                <w:lang w:val="de-DE"/>
              </w:rPr>
              <w:t>0</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60E974" w14:textId="77777777" w:rsidR="0057163C" w:rsidRPr="00170422" w:rsidRDefault="00F37BF9">
            <w:pPr>
              <w:pStyle w:val="P68B1DB1-Normal11"/>
              <w:jc w:val="center"/>
              <w:rPr>
                <w:noProof/>
                <w:lang w:val="de-DE"/>
              </w:rPr>
            </w:pPr>
            <w:r w:rsidRPr="00170422">
              <w:rPr>
                <w:noProof/>
                <w:lang w:val="de-DE"/>
              </w:rPr>
              <w:t>4 500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1E8EA46" w14:textId="77777777" w:rsidR="0057163C" w:rsidRPr="00170422" w:rsidRDefault="00F37BF9">
            <w:pPr>
              <w:pStyle w:val="P68B1DB1-Normal12"/>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03ED1" w14:textId="77777777" w:rsidR="0057163C" w:rsidRPr="00170422" w:rsidRDefault="00F37BF9">
            <w:pPr>
              <w:pStyle w:val="P68B1DB1-Normal11"/>
              <w:jc w:val="center"/>
              <w:rPr>
                <w:noProof/>
                <w:lang w:val="de-DE"/>
              </w:rPr>
            </w:pPr>
            <w:r w:rsidRPr="00170422">
              <w:rPr>
                <w:noProof/>
                <w:lang w:val="de-DE"/>
              </w:rPr>
              <w:t>2026</w:t>
            </w:r>
          </w:p>
        </w:tc>
        <w:tc>
          <w:tcPr>
            <w:tcW w:w="27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26CB64" w14:textId="77777777" w:rsidR="0057163C" w:rsidRPr="00170422" w:rsidRDefault="00F37BF9">
            <w:pPr>
              <w:pStyle w:val="P68B1DB1-Normal12"/>
              <w:rPr>
                <w:noProof/>
                <w:lang w:val="de-DE"/>
              </w:rPr>
            </w:pPr>
            <w:r w:rsidRPr="00170422">
              <w:rPr>
                <w:noProof/>
                <w:lang w:val="de-DE"/>
              </w:rPr>
              <w:t>Bescheinigungen über die Teilnahme an Schulungen zu Management- oder digitalen Kompetenzen für 4500 Mitarbeiter des Nationalen Gesundheits</w:t>
            </w:r>
            <w:r w:rsidRPr="00170422">
              <w:rPr>
                <w:noProof/>
                <w:lang w:val="de-DE"/>
              </w:rPr>
              <w:t xml:space="preserve">dienstes. </w:t>
            </w:r>
          </w:p>
        </w:tc>
      </w:tr>
      <w:tr w:rsidR="0057163C" w:rsidRPr="00170422" w14:paraId="0B83B39C" w14:textId="77777777" w:rsidTr="00DB5D07">
        <w:trPr>
          <w:trHeight w:val="309"/>
        </w:trPr>
        <w:tc>
          <w:tcPr>
            <w:tcW w:w="11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33C2BE" w14:textId="77777777" w:rsidR="0057163C" w:rsidRPr="00170422" w:rsidRDefault="00F37BF9">
            <w:pPr>
              <w:pStyle w:val="P68B1DB1-Normal12"/>
              <w:jc w:val="center"/>
              <w:rPr>
                <w:noProof/>
                <w:lang w:val="de-DE"/>
              </w:rPr>
            </w:pPr>
            <w:r w:rsidRPr="00170422">
              <w:rPr>
                <w:noProof/>
                <w:lang w:val="de-DE"/>
              </w:rPr>
              <w:t>M6C2-17</w:t>
            </w:r>
          </w:p>
        </w:tc>
        <w:tc>
          <w:tcPr>
            <w:tcW w:w="201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C2D615" w14:textId="77777777" w:rsidR="0057163C" w:rsidRPr="00170422" w:rsidRDefault="00F37BF9">
            <w:pPr>
              <w:pStyle w:val="P68B1DB1-Normal11"/>
              <w:jc w:val="center"/>
              <w:rPr>
                <w:noProof/>
                <w:lang w:val="de-DE"/>
              </w:rPr>
            </w:pPr>
            <w:r w:rsidRPr="00170422">
              <w:rPr>
                <w:noProof/>
                <w:lang w:val="de-DE"/>
              </w:rPr>
              <w:t>Investition 2.2: Entwicklung von technischen, beruflichen, digitalen und Managementkompetenzen von Fachkräften des Gesundheitssystems</w:t>
            </w:r>
          </w:p>
        </w:tc>
        <w:tc>
          <w:tcPr>
            <w:tcW w:w="129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9B9C0C" w14:textId="77777777" w:rsidR="0057163C" w:rsidRPr="00170422" w:rsidRDefault="00F37BF9">
            <w:pPr>
              <w:pStyle w:val="P68B1DB1-Normal11"/>
              <w:jc w:val="center"/>
              <w:rPr>
                <w:noProof/>
                <w:lang w:val="de-DE"/>
              </w:rPr>
            </w:pPr>
            <w:r w:rsidRPr="00170422">
              <w:rPr>
                <w:noProof/>
                <w:lang w:val="de-DE"/>
              </w:rPr>
              <w:t>Ziel</w:t>
            </w:r>
          </w:p>
        </w:tc>
        <w:tc>
          <w:tcPr>
            <w:tcW w:w="187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BE6FF1" w14:textId="4013624C" w:rsidR="0057163C" w:rsidRPr="00170422" w:rsidRDefault="00F37BF9">
            <w:pPr>
              <w:pStyle w:val="P68B1DB1-Normal11"/>
              <w:jc w:val="center"/>
              <w:rPr>
                <w:noProof/>
                <w:lang w:val="de-DE"/>
              </w:rPr>
            </w:pPr>
            <w:r w:rsidRPr="00170422">
              <w:rPr>
                <w:noProof/>
                <w:lang w:val="de-DE"/>
              </w:rPr>
              <w:t xml:space="preserve"> Vergabe von Verträgen über die Ausbildung zum Facharzt</w:t>
            </w:r>
          </w:p>
        </w:tc>
        <w:tc>
          <w:tcPr>
            <w:tcW w:w="172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D96CDB" w14:textId="77777777" w:rsidR="0057163C" w:rsidRPr="00170422" w:rsidRDefault="00F37BF9">
            <w:pPr>
              <w:pStyle w:val="P68B1DB1-Normal11"/>
              <w:jc w:val="center"/>
              <w:rPr>
                <w:noProof/>
                <w:lang w:val="de-DE"/>
              </w:rPr>
            </w:pPr>
            <w:r w:rsidRPr="00170422">
              <w:rPr>
                <w:noProof/>
                <w:lang w:val="de-DE"/>
              </w:rPr>
              <w:t>ENTFÄLLT.</w:t>
            </w:r>
          </w:p>
        </w:tc>
        <w:tc>
          <w:tcPr>
            <w:tcW w:w="112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31F482" w14:textId="77777777" w:rsidR="0057163C" w:rsidRPr="00170422" w:rsidRDefault="00F37BF9">
            <w:pPr>
              <w:pStyle w:val="P68B1DB1-Normal11"/>
              <w:jc w:val="center"/>
              <w:rPr>
                <w:noProof/>
                <w:lang w:val="de-DE"/>
              </w:rPr>
            </w:pPr>
            <w:r w:rsidRPr="00170422">
              <w:rPr>
                <w:noProof/>
                <w:lang w:val="de-DE"/>
              </w:rPr>
              <w:t>Anzahl</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7E0F19" w14:textId="77777777" w:rsidR="0057163C" w:rsidRPr="00170422" w:rsidRDefault="00F37BF9">
            <w:pPr>
              <w:pStyle w:val="P68B1DB1-Normal11"/>
              <w:jc w:val="center"/>
              <w:rPr>
                <w:noProof/>
                <w:lang w:val="de-DE"/>
              </w:rPr>
            </w:pPr>
            <w:r w:rsidRPr="00170422">
              <w:rPr>
                <w:noProof/>
                <w:lang w:val="de-DE"/>
              </w:rPr>
              <w:t>0</w:t>
            </w:r>
          </w:p>
        </w:tc>
        <w:tc>
          <w:tcPr>
            <w:tcW w:w="70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15ECE6" w14:textId="77777777" w:rsidR="0057163C" w:rsidRPr="00170422" w:rsidRDefault="00F37BF9">
            <w:pPr>
              <w:pStyle w:val="P68B1DB1-Normal11"/>
              <w:jc w:val="center"/>
              <w:rPr>
                <w:noProof/>
                <w:lang w:val="de-DE"/>
              </w:rPr>
            </w:pPr>
            <w:r w:rsidRPr="00170422">
              <w:rPr>
                <w:noProof/>
                <w:lang w:val="de-DE"/>
              </w:rPr>
              <w:t>4 200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2E23F3" w14:textId="77777777" w:rsidR="0057163C" w:rsidRPr="00170422" w:rsidRDefault="00F37BF9">
            <w:pPr>
              <w:pStyle w:val="P68B1DB1-Normal12"/>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25E671" w14:textId="77777777" w:rsidR="0057163C" w:rsidRPr="00170422" w:rsidRDefault="00F37BF9">
            <w:pPr>
              <w:pStyle w:val="P68B1DB1-Normal11"/>
              <w:jc w:val="center"/>
              <w:rPr>
                <w:noProof/>
                <w:lang w:val="de-DE"/>
              </w:rPr>
            </w:pPr>
            <w:r w:rsidRPr="00170422">
              <w:rPr>
                <w:noProof/>
                <w:lang w:val="de-DE"/>
              </w:rPr>
              <w:t>2026</w:t>
            </w:r>
          </w:p>
        </w:tc>
        <w:tc>
          <w:tcPr>
            <w:tcW w:w="272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062344" w14:textId="42AEE503" w:rsidR="0057163C" w:rsidRPr="00170422" w:rsidRDefault="00F37BF9">
            <w:pPr>
              <w:pStyle w:val="P68B1DB1-Normal12"/>
              <w:rPr>
                <w:noProof/>
                <w:lang w:val="de-DE"/>
              </w:rPr>
            </w:pPr>
            <w:r w:rsidRPr="00170422">
              <w:rPr>
                <w:noProof/>
                <w:lang w:val="de-DE"/>
              </w:rPr>
              <w:t xml:space="preserve">Vergabe </w:t>
            </w:r>
            <w:r w:rsidRPr="00170422">
              <w:rPr>
                <w:noProof/>
                <w:lang w:val="de-DE"/>
              </w:rPr>
              <w:t>von 4200 Verträgen über eine fünfjährige Weiterbildung zum Facharzt</w:t>
            </w:r>
          </w:p>
        </w:tc>
      </w:tr>
    </w:tbl>
    <w:p w14:paraId="03AF95FB" w14:textId="77777777" w:rsidR="0057163C" w:rsidRPr="00170422" w:rsidRDefault="0057163C">
      <w:pPr>
        <w:spacing w:before="120" w:after="120"/>
        <w:ind w:left="709"/>
        <w:jc w:val="both"/>
        <w:rPr>
          <w:noProof/>
          <w:lang w:val="de-DE"/>
        </w:rPr>
      </w:pPr>
    </w:p>
    <w:p w14:paraId="02196287" w14:textId="77777777" w:rsidR="0057163C" w:rsidRPr="00170422" w:rsidRDefault="0057163C">
      <w:pPr>
        <w:spacing w:before="120" w:after="120"/>
        <w:ind w:left="709"/>
        <w:jc w:val="both"/>
        <w:rPr>
          <w:noProof/>
          <w:lang w:val="de-DE"/>
        </w:rPr>
        <w:sectPr w:rsidR="0057163C" w:rsidRPr="00170422" w:rsidSect="005F11B9">
          <w:headerReference w:type="even" r:id="rId298"/>
          <w:headerReference w:type="default" r:id="rId299"/>
          <w:footerReference w:type="even" r:id="rId300"/>
          <w:footerReference w:type="default" r:id="rId301"/>
          <w:headerReference w:type="first" r:id="rId302"/>
          <w:footerReference w:type="first" r:id="rId303"/>
          <w:pgSz w:w="16839" w:h="11907" w:orient="landscape"/>
          <w:pgMar w:top="720" w:right="720" w:bottom="720" w:left="720" w:header="709" w:footer="709" w:gutter="0"/>
          <w:cols w:space="720"/>
          <w:docGrid w:linePitch="360"/>
        </w:sectPr>
      </w:pPr>
    </w:p>
    <w:p w14:paraId="22E58C31" w14:textId="77777777" w:rsidR="0057163C" w:rsidRPr="00170422" w:rsidRDefault="00F37BF9">
      <w:pPr>
        <w:pStyle w:val="P68B1DB1-Heading39"/>
        <w:ind w:left="850" w:hanging="850"/>
        <w:rPr>
          <w:b/>
          <w:bCs/>
          <w:i/>
          <w:iCs/>
          <w:noProof/>
          <w:color w:val="156082" w:themeColor="accent1"/>
          <w:u w:val="single"/>
          <w:lang w:val="de-DE"/>
        </w:rPr>
      </w:pPr>
      <w:r w:rsidRPr="00170422">
        <w:rPr>
          <w:b/>
          <w:noProof/>
          <w:u w:val="single"/>
          <w:lang w:val="de-DE"/>
        </w:rPr>
        <w:t xml:space="preserve">P.3. </w:t>
      </w:r>
      <w:r w:rsidRPr="00170422">
        <w:rPr>
          <w:noProof/>
          <w:lang w:val="de-DE"/>
        </w:rPr>
        <w:t xml:space="preserve"> </w:t>
      </w:r>
      <w:r w:rsidRPr="00170422">
        <w:rPr>
          <w:b/>
          <w:noProof/>
          <w:u w:val="single"/>
          <w:lang w:val="de-DE"/>
        </w:rPr>
        <w:t xml:space="preserve">Beschreibung der Reformen und Investitionen (Darlehen) </w:t>
      </w:r>
    </w:p>
    <w:p w14:paraId="5B4001A7" w14:textId="77777777" w:rsidR="0057163C" w:rsidRPr="00170422" w:rsidRDefault="00F37BF9">
      <w:pPr>
        <w:pStyle w:val="P68B1DB1-Normal5"/>
        <w:spacing w:before="120" w:after="120"/>
        <w:jc w:val="both"/>
        <w:rPr>
          <w:noProof/>
          <w:lang w:val="de-DE"/>
        </w:rPr>
      </w:pPr>
      <w:r w:rsidRPr="00170422">
        <w:rPr>
          <w:noProof/>
          <w:lang w:val="de-DE"/>
        </w:rPr>
        <w:t xml:space="preserve">Investition 1.1: Digitale Aktualisierung der technischen </w:t>
      </w:r>
      <w:r w:rsidRPr="00170422">
        <w:rPr>
          <w:noProof/>
          <w:lang w:val="de-DE"/>
        </w:rPr>
        <w:t>Ausrüstung von Krankenhäusern</w:t>
      </w:r>
    </w:p>
    <w:p w14:paraId="418C49F2" w14:textId="77777777" w:rsidR="0057163C" w:rsidRPr="00170422" w:rsidRDefault="00F37BF9">
      <w:pPr>
        <w:pStyle w:val="P68B1DB1-Normal7"/>
        <w:spacing w:before="120" w:after="120"/>
        <w:jc w:val="both"/>
        <w:rPr>
          <w:noProof/>
          <w:lang w:val="de-DE"/>
        </w:rPr>
      </w:pPr>
      <w:r w:rsidRPr="00170422">
        <w:rPr>
          <w:noProof/>
          <w:lang w:val="de-DE"/>
        </w:rPr>
        <w:t xml:space="preserve">Ziel der Maßnahme ist es, die Produktivität des Gesundheitspersonals zu steigern, die Qualität der Prozesse zu verbessern, die Patientensicherheit zu gewährleisten und hochwertige Dienstleistungen zu erbringen. </w:t>
      </w:r>
    </w:p>
    <w:p w14:paraId="3DFDA06E" w14:textId="77777777" w:rsidR="0057163C" w:rsidRPr="00170422" w:rsidRDefault="00F37BF9">
      <w:pPr>
        <w:pStyle w:val="P68B1DB1-Normal7"/>
        <w:spacing w:before="120" w:after="120"/>
        <w:jc w:val="both"/>
        <w:rPr>
          <w:bCs/>
          <w:iCs/>
          <w:noProof/>
          <w:lang w:val="de-DE"/>
        </w:rPr>
      </w:pPr>
      <w:r w:rsidRPr="00170422">
        <w:rPr>
          <w:noProof/>
          <w:lang w:val="de-DE"/>
        </w:rPr>
        <w:t xml:space="preserve">Die </w:t>
      </w:r>
      <w:r w:rsidRPr="00170422">
        <w:rPr>
          <w:noProof/>
          <w:lang w:val="de-DE"/>
        </w:rPr>
        <w:t>Investition besteht in der Modernisierung großer medizinischer Ausrüstung, der Informatisierung der Prozesse von Krankenhäusern mit einer ersten und zweiten Notfallabteilung („Dipartimenti Emergenza e Accettazione“, DEA) und der Erhöhung der Zahl der Bette</w:t>
      </w:r>
      <w:r w:rsidRPr="00170422">
        <w:rPr>
          <w:noProof/>
          <w:lang w:val="de-DE"/>
        </w:rPr>
        <w:t>n in Intensiv- und semiintensiven Pflegeeinrichtungen in Krankenhäusern des nationalen Gesundheitsdienstes.</w:t>
      </w:r>
    </w:p>
    <w:p w14:paraId="46007BCB" w14:textId="77777777" w:rsidR="0057163C" w:rsidRPr="00170422" w:rsidRDefault="00F37BF9">
      <w:pPr>
        <w:pStyle w:val="P68B1DB1-Normal5"/>
        <w:spacing w:before="120" w:after="120"/>
        <w:jc w:val="both"/>
        <w:rPr>
          <w:noProof/>
          <w:lang w:val="de-DE"/>
        </w:rPr>
      </w:pPr>
      <w:r w:rsidRPr="00170422">
        <w:rPr>
          <w:noProof/>
          <w:lang w:val="de-DE"/>
        </w:rPr>
        <w:t>Investition 1.2: Auf dem Weg zu einem sicheren und nachhaltigen Krankenhaus</w:t>
      </w:r>
    </w:p>
    <w:p w14:paraId="1B9A00CD" w14:textId="4A94710A" w:rsidR="0057163C" w:rsidRPr="00170422" w:rsidRDefault="00F37BF9">
      <w:pPr>
        <w:pStyle w:val="P68B1DB1-Normal7"/>
        <w:spacing w:before="120" w:after="120"/>
        <w:jc w:val="both"/>
        <w:rPr>
          <w:noProof/>
          <w:lang w:val="de-DE"/>
        </w:rPr>
      </w:pPr>
      <w:r w:rsidRPr="00170422">
        <w:rPr>
          <w:noProof/>
          <w:lang w:val="de-DE"/>
        </w:rPr>
        <w:t xml:space="preserve">Ziel dieser Maßnahme ist die Erhöhung der Sicherheit von Krankenhäusern </w:t>
      </w:r>
      <w:r w:rsidRPr="00170422">
        <w:rPr>
          <w:noProof/>
          <w:lang w:val="de-DE"/>
        </w:rPr>
        <w:t>durch seismische Modernisierungsmaßnahmen von Krankenhäusern und eine mehrjährige Maßnahme zur Renovierung und Modernisierung des physischen und technologischen Rahmens der Immobilien im öffentlichen Gesundheitswesen.</w:t>
      </w:r>
    </w:p>
    <w:p w14:paraId="7E1D7B15" w14:textId="77777777" w:rsidR="0057163C" w:rsidRPr="00170422" w:rsidRDefault="00F37BF9">
      <w:pPr>
        <w:pStyle w:val="P68B1DB1-Normal5"/>
        <w:spacing w:before="120" w:after="120" w:line="278" w:lineRule="auto"/>
        <w:jc w:val="both"/>
        <w:rPr>
          <w:noProof/>
          <w:lang w:val="de-DE"/>
        </w:rPr>
      </w:pPr>
      <w:r w:rsidRPr="00170422">
        <w:rPr>
          <w:noProof/>
          <w:lang w:val="de-DE"/>
        </w:rPr>
        <w:t>Investition 1.3: Stärkung der technolo</w:t>
      </w:r>
      <w:r w:rsidRPr="00170422">
        <w:rPr>
          <w:noProof/>
          <w:lang w:val="de-DE"/>
        </w:rPr>
        <w:t>gischen Infrastruktur und der Instrumente für die Datenerhebung, Datenverarbeitung, Datenanalyse und -simulation</w:t>
      </w:r>
    </w:p>
    <w:p w14:paraId="4C07C0D3" w14:textId="3BC17B61" w:rsidR="0057163C" w:rsidRPr="00170422" w:rsidRDefault="00F37BF9">
      <w:pPr>
        <w:pStyle w:val="P68B1DB1-Normal7"/>
        <w:spacing w:before="120" w:after="120"/>
        <w:jc w:val="both"/>
        <w:rPr>
          <w:noProof/>
          <w:u w:val="single"/>
          <w:lang w:val="de-DE"/>
        </w:rPr>
      </w:pPr>
      <w:r w:rsidRPr="00170422">
        <w:rPr>
          <w:noProof/>
          <w:lang w:val="de-DE"/>
        </w:rPr>
        <w:t>Ziel dieser Maßnahme ist es, die Gesundheitsversorgung, die Analyse der Gesundheitsversorgung und die Prognosekapazität des italienischen NHS z</w:t>
      </w:r>
      <w:r w:rsidRPr="00170422">
        <w:rPr>
          <w:noProof/>
          <w:lang w:val="de-DE"/>
        </w:rPr>
        <w:t>u verbessern. Die Investition besteht in der Stärkung der Infrastruktur und der Nutzung der bestehenden elektronischen Patientenakten (EHR) sowie in der Stärkung der Infrastruktur und der Technologie- und Analyseinstrumente des Gesundheitsministeriums.</w:t>
      </w:r>
    </w:p>
    <w:p w14:paraId="607D4394" w14:textId="77777777" w:rsidR="0057163C" w:rsidRPr="00170422" w:rsidRDefault="00F37BF9">
      <w:pPr>
        <w:pStyle w:val="P68B1DB1-Normal5"/>
        <w:spacing w:before="120" w:after="120"/>
        <w:jc w:val="both"/>
        <w:rPr>
          <w:iCs/>
          <w:noProof/>
          <w:lang w:val="de-DE"/>
        </w:rPr>
      </w:pPr>
      <w:r w:rsidRPr="00170422">
        <w:rPr>
          <w:noProof/>
          <w:lang w:val="de-DE"/>
        </w:rPr>
        <w:t>Inv</w:t>
      </w:r>
      <w:r w:rsidRPr="00170422">
        <w:rPr>
          <w:noProof/>
          <w:lang w:val="de-DE"/>
        </w:rPr>
        <w:t>estition 2.2: Entwicklung von technischen, beruflichen, digitalen und Managementkompetenzen von Fachkräften des Gesundheitssystems</w:t>
      </w:r>
    </w:p>
    <w:p w14:paraId="694154A4" w14:textId="77777777" w:rsidR="0057163C" w:rsidRPr="00170422" w:rsidRDefault="00F37BF9">
      <w:pPr>
        <w:pStyle w:val="P68B1DB1-Normal7"/>
        <w:spacing w:before="120" w:after="120"/>
        <w:jc w:val="both"/>
        <w:rPr>
          <w:noProof/>
          <w:lang w:val="de-DE"/>
        </w:rPr>
      </w:pPr>
      <w:r w:rsidRPr="00170422">
        <w:rPr>
          <w:noProof/>
          <w:lang w:val="de-DE"/>
        </w:rPr>
        <w:t xml:space="preserve">Diese Investition besteht in der Erhöhung der Stipendien für den spezifischen Kurs in der Allgemeinmedizin; Einführung eines </w:t>
      </w:r>
      <w:r w:rsidRPr="00170422">
        <w:rPr>
          <w:noProof/>
          <w:lang w:val="de-DE"/>
        </w:rPr>
        <w:t>Schulungsplans zur Sicherheit in Bezug auf Krankenhausinfektionen für das gesamte NHS-Personal; Aktivierung eines Schulungspfads für Personal mit Spitzenrollen in den NHS-Gremien in den Bereichen Management und digitale Kompetenzen und Finanzierung von Ver</w:t>
      </w:r>
      <w:r w:rsidRPr="00170422">
        <w:rPr>
          <w:noProof/>
          <w:lang w:val="de-DE"/>
        </w:rPr>
        <w:t>trägen über fachärztliche Weiterbildung.</w:t>
      </w:r>
    </w:p>
    <w:p w14:paraId="4096784E" w14:textId="77777777" w:rsidR="0057163C" w:rsidRPr="00170422" w:rsidRDefault="0057163C">
      <w:pPr>
        <w:spacing w:before="120" w:after="120"/>
        <w:jc w:val="both"/>
        <w:rPr>
          <w:rFonts w:ascii="Times New Roman" w:hAnsi="Times New Roman" w:cs="Times New Roman"/>
          <w:noProof/>
          <w:lang w:val="de-DE"/>
        </w:rPr>
        <w:sectPr w:rsidR="0057163C" w:rsidRPr="00170422" w:rsidSect="005F11B9">
          <w:headerReference w:type="even" r:id="rId304"/>
          <w:headerReference w:type="default" r:id="rId305"/>
          <w:footerReference w:type="even" r:id="rId306"/>
          <w:footerReference w:type="default" r:id="rId307"/>
          <w:headerReference w:type="first" r:id="rId308"/>
          <w:footerReference w:type="first" r:id="rId309"/>
          <w:pgSz w:w="11907" w:h="16839"/>
          <w:pgMar w:top="1134" w:right="1417" w:bottom="1134" w:left="1417" w:header="709" w:footer="709" w:gutter="0"/>
          <w:cols w:space="720"/>
          <w:docGrid w:linePitch="360"/>
        </w:sectPr>
      </w:pPr>
    </w:p>
    <w:p w14:paraId="6792259F" w14:textId="77777777" w:rsidR="0057163C" w:rsidRPr="00170422" w:rsidRDefault="00F37BF9">
      <w:pPr>
        <w:pStyle w:val="P68B1DB1-Heading39"/>
        <w:ind w:left="850" w:hanging="850"/>
        <w:rPr>
          <w:b/>
          <w:bCs/>
          <w:i/>
          <w:iCs/>
          <w:noProof/>
          <w:u w:val="single"/>
          <w:lang w:val="de-DE"/>
        </w:rPr>
      </w:pPr>
      <w:r w:rsidRPr="00170422">
        <w:rPr>
          <w:b/>
          <w:noProof/>
          <w:u w:val="single"/>
          <w:lang w:val="de-DE"/>
        </w:rPr>
        <w:t xml:space="preserve">P.4. </w:t>
      </w:r>
      <w:r w:rsidRPr="00170422">
        <w:rPr>
          <w:noProof/>
          <w:lang w:val="de-DE"/>
        </w:rPr>
        <w:t xml:space="preserve"> </w:t>
      </w:r>
      <w:r w:rsidRPr="00170422">
        <w:rPr>
          <w:b/>
          <w:noProof/>
          <w:u w:val="single"/>
          <w:lang w:val="de-DE"/>
        </w:rPr>
        <w:t xml:space="preserve">Etappenziele, Zielwerte, Indikatoren und Zeitplan für die Überwachung und Durchführung (Darlehen) </w:t>
      </w:r>
    </w:p>
    <w:tbl>
      <w:tblPr>
        <w:tblW w:w="53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1418"/>
        <w:gridCol w:w="1134"/>
        <w:gridCol w:w="1559"/>
        <w:gridCol w:w="1701"/>
        <w:gridCol w:w="1276"/>
        <w:gridCol w:w="1417"/>
        <w:gridCol w:w="993"/>
        <w:gridCol w:w="865"/>
        <w:gridCol w:w="721"/>
        <w:gridCol w:w="2881"/>
      </w:tblGrid>
      <w:tr w:rsidR="0057163C" w:rsidRPr="00170422" w14:paraId="10063AAD" w14:textId="77777777">
        <w:trPr>
          <w:trHeight w:val="939"/>
          <w:tblHeader/>
          <w:jc w:val="center"/>
        </w:trPr>
        <w:tc>
          <w:tcPr>
            <w:tcW w:w="1140" w:type="dxa"/>
            <w:vMerge w:val="restart"/>
            <w:shd w:val="clear" w:color="auto" w:fill="BDD7EE"/>
            <w:vAlign w:val="center"/>
            <w:hideMark/>
          </w:tcPr>
          <w:p w14:paraId="6CBA2411" w14:textId="77777777" w:rsidR="0057163C" w:rsidRPr="00170422" w:rsidRDefault="00F37BF9">
            <w:pPr>
              <w:pStyle w:val="P68B1DB1-Normal10"/>
              <w:spacing w:before="120" w:after="120"/>
              <w:jc w:val="center"/>
              <w:rPr>
                <w:noProof/>
                <w:szCs w:val="20"/>
                <w:lang w:val="de-DE"/>
              </w:rPr>
            </w:pPr>
            <w:r w:rsidRPr="00170422">
              <w:rPr>
                <w:noProof/>
                <w:lang w:val="de-DE"/>
              </w:rPr>
              <w:t>Laufende Nummer</w:t>
            </w:r>
          </w:p>
        </w:tc>
        <w:tc>
          <w:tcPr>
            <w:tcW w:w="1418" w:type="dxa"/>
            <w:vMerge w:val="restart"/>
            <w:shd w:val="clear" w:color="auto" w:fill="BDD7EE"/>
            <w:vAlign w:val="center"/>
            <w:hideMark/>
          </w:tcPr>
          <w:p w14:paraId="3C06A22D" w14:textId="77777777" w:rsidR="0057163C" w:rsidRPr="00170422" w:rsidRDefault="00F37BF9">
            <w:pPr>
              <w:pStyle w:val="P68B1DB1-Normal10"/>
              <w:spacing w:before="120" w:after="120"/>
              <w:jc w:val="center"/>
              <w:rPr>
                <w:noProof/>
                <w:szCs w:val="20"/>
                <w:lang w:val="de-DE"/>
              </w:rPr>
            </w:pPr>
            <w:r w:rsidRPr="00170422">
              <w:rPr>
                <w:noProof/>
                <w:lang w:val="de-DE"/>
              </w:rPr>
              <w:t xml:space="preserve">Verbundene Maßnahme (Reform oder </w:t>
            </w:r>
            <w:r w:rsidRPr="00170422">
              <w:rPr>
                <w:noProof/>
                <w:lang w:val="de-DE"/>
              </w:rPr>
              <w:t>Investition)</w:t>
            </w:r>
          </w:p>
        </w:tc>
        <w:tc>
          <w:tcPr>
            <w:tcW w:w="1134" w:type="dxa"/>
            <w:vMerge w:val="restart"/>
            <w:shd w:val="clear" w:color="auto" w:fill="BDD7EE"/>
            <w:vAlign w:val="center"/>
            <w:hideMark/>
          </w:tcPr>
          <w:p w14:paraId="658877E1" w14:textId="77777777" w:rsidR="0057163C" w:rsidRPr="00170422" w:rsidRDefault="00F37BF9">
            <w:pPr>
              <w:pStyle w:val="P68B1DB1-Normal10"/>
              <w:spacing w:before="120" w:after="120"/>
              <w:jc w:val="center"/>
              <w:rPr>
                <w:noProof/>
                <w:szCs w:val="20"/>
                <w:lang w:val="de-DE"/>
              </w:rPr>
            </w:pPr>
            <w:r w:rsidRPr="00170422">
              <w:rPr>
                <w:noProof/>
                <w:lang w:val="de-DE"/>
              </w:rPr>
              <w:t>Etappenziel/Zielwert</w:t>
            </w:r>
          </w:p>
        </w:tc>
        <w:tc>
          <w:tcPr>
            <w:tcW w:w="1559" w:type="dxa"/>
            <w:vMerge w:val="restart"/>
            <w:shd w:val="clear" w:color="auto" w:fill="BDD7EE"/>
            <w:vAlign w:val="center"/>
            <w:hideMark/>
          </w:tcPr>
          <w:p w14:paraId="3F6BE348" w14:textId="77777777" w:rsidR="0057163C" w:rsidRPr="00170422" w:rsidRDefault="00F37BF9">
            <w:pPr>
              <w:pStyle w:val="P68B1DB1-Normal10"/>
              <w:spacing w:before="120" w:after="120"/>
              <w:jc w:val="center"/>
              <w:rPr>
                <w:noProof/>
                <w:szCs w:val="20"/>
                <w:lang w:val="de-DE"/>
              </w:rPr>
            </w:pPr>
            <w:r w:rsidRPr="00170422">
              <w:rPr>
                <w:noProof/>
                <w:lang w:val="de-DE"/>
              </w:rPr>
              <w:t>Namen</w:t>
            </w:r>
          </w:p>
        </w:tc>
        <w:tc>
          <w:tcPr>
            <w:tcW w:w="1701" w:type="dxa"/>
            <w:vMerge w:val="restart"/>
            <w:shd w:val="clear" w:color="auto" w:fill="BDD7EE"/>
            <w:vAlign w:val="center"/>
            <w:hideMark/>
          </w:tcPr>
          <w:p w14:paraId="28FB1441" w14:textId="7CD9EA98" w:rsidR="0057163C" w:rsidRPr="00170422" w:rsidRDefault="00F37BF9">
            <w:pPr>
              <w:spacing w:before="120" w:after="120"/>
              <w:jc w:val="center"/>
              <w:rPr>
                <w:rFonts w:ascii="Arial Narrow" w:hAnsi="Arial Narrow"/>
                <w:b/>
                <w:noProof/>
                <w:sz w:val="20"/>
                <w:szCs w:val="20"/>
                <w:lang w:val="de-DE"/>
              </w:rPr>
            </w:pPr>
            <w:r w:rsidRPr="00170422">
              <w:rPr>
                <w:rFonts w:ascii="Arial Narrow" w:hAnsi="Arial Narrow"/>
                <w:b/>
                <w:noProof/>
                <w:sz w:val="20"/>
                <w:lang w:val="de-DE"/>
              </w:rPr>
              <w:t>Etappenziel/</w:t>
            </w:r>
            <w:r w:rsidR="00DB5D07"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686" w:type="dxa"/>
            <w:gridSpan w:val="3"/>
            <w:shd w:val="clear" w:color="auto" w:fill="BDD7EE"/>
            <w:vAlign w:val="center"/>
            <w:hideMark/>
          </w:tcPr>
          <w:p w14:paraId="4344C5F3" w14:textId="77777777" w:rsidR="0057163C" w:rsidRPr="00170422" w:rsidRDefault="00F37BF9">
            <w:pPr>
              <w:spacing w:before="120" w:after="120"/>
              <w:jc w:val="center"/>
              <w:rPr>
                <w:rFonts w:ascii="Arial Narrow" w:hAnsi="Arial Narrow"/>
                <w:b/>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86" w:type="dxa"/>
            <w:gridSpan w:val="2"/>
            <w:shd w:val="clear" w:color="auto" w:fill="BDD7EE"/>
            <w:vAlign w:val="center"/>
            <w:hideMark/>
          </w:tcPr>
          <w:p w14:paraId="406AC7EE" w14:textId="77777777" w:rsidR="0057163C" w:rsidRPr="00170422" w:rsidRDefault="00F37BF9">
            <w:pPr>
              <w:pStyle w:val="P68B1DB1-Normal10"/>
              <w:spacing w:before="120" w:after="120"/>
              <w:jc w:val="center"/>
              <w:rPr>
                <w:noProof/>
                <w:szCs w:val="20"/>
                <w:lang w:val="de-DE"/>
              </w:rPr>
            </w:pPr>
            <w:r w:rsidRPr="00170422">
              <w:rPr>
                <w:noProof/>
                <w:lang w:val="de-DE"/>
              </w:rPr>
              <w:t>Vorläufiger Zeitplan für die Fertigstellung</w:t>
            </w:r>
          </w:p>
        </w:tc>
        <w:tc>
          <w:tcPr>
            <w:tcW w:w="2881" w:type="dxa"/>
            <w:vMerge w:val="restart"/>
            <w:shd w:val="clear" w:color="auto" w:fill="BDD7EE"/>
            <w:vAlign w:val="center"/>
            <w:hideMark/>
          </w:tcPr>
          <w:p w14:paraId="5B84C855" w14:textId="77777777" w:rsidR="0057163C" w:rsidRPr="00170422" w:rsidRDefault="00F37BF9">
            <w:pPr>
              <w:pStyle w:val="P68B1DB1-Normal10"/>
              <w:spacing w:before="120" w:after="120"/>
              <w:jc w:val="center"/>
              <w:rPr>
                <w:noProof/>
                <w:szCs w:val="20"/>
                <w:lang w:val="de-DE"/>
              </w:rPr>
            </w:pPr>
            <w:r w:rsidRPr="00170422">
              <w:rPr>
                <w:noProof/>
                <w:lang w:val="de-DE"/>
              </w:rPr>
              <w:t>Beschreibung der einzelnen Etappenziele und Zielvorgaben</w:t>
            </w:r>
          </w:p>
        </w:tc>
      </w:tr>
      <w:tr w:rsidR="0057163C" w:rsidRPr="00170422" w14:paraId="259553DC" w14:textId="77777777" w:rsidTr="00DB5D07">
        <w:trPr>
          <w:trHeight w:val="883"/>
          <w:tblHeader/>
          <w:jc w:val="center"/>
        </w:trPr>
        <w:tc>
          <w:tcPr>
            <w:tcW w:w="1140" w:type="dxa"/>
            <w:vMerge/>
            <w:vAlign w:val="center"/>
            <w:hideMark/>
          </w:tcPr>
          <w:p w14:paraId="5A05B17F" w14:textId="77777777" w:rsidR="0057163C" w:rsidRPr="00170422" w:rsidRDefault="0057163C">
            <w:pPr>
              <w:spacing w:before="120" w:after="120"/>
              <w:jc w:val="center"/>
              <w:rPr>
                <w:rFonts w:ascii="Arial Narrow" w:hAnsi="Arial Narrow"/>
                <w:b/>
                <w:noProof/>
                <w:sz w:val="20"/>
                <w:szCs w:val="20"/>
                <w:lang w:val="de-DE"/>
              </w:rPr>
            </w:pPr>
          </w:p>
        </w:tc>
        <w:tc>
          <w:tcPr>
            <w:tcW w:w="1418" w:type="dxa"/>
            <w:vMerge/>
            <w:vAlign w:val="center"/>
            <w:hideMark/>
          </w:tcPr>
          <w:p w14:paraId="27774D40" w14:textId="77777777" w:rsidR="0057163C" w:rsidRPr="00170422" w:rsidRDefault="0057163C">
            <w:pPr>
              <w:spacing w:before="120" w:after="120"/>
              <w:jc w:val="center"/>
              <w:rPr>
                <w:rFonts w:ascii="Arial Narrow" w:hAnsi="Arial Narrow"/>
                <w:b/>
                <w:noProof/>
                <w:sz w:val="20"/>
                <w:szCs w:val="20"/>
                <w:lang w:val="de-DE"/>
              </w:rPr>
            </w:pPr>
          </w:p>
        </w:tc>
        <w:tc>
          <w:tcPr>
            <w:tcW w:w="1134" w:type="dxa"/>
            <w:vMerge/>
            <w:vAlign w:val="center"/>
            <w:hideMark/>
          </w:tcPr>
          <w:p w14:paraId="26DB4A3F" w14:textId="77777777" w:rsidR="0057163C" w:rsidRPr="00170422" w:rsidRDefault="0057163C">
            <w:pPr>
              <w:spacing w:before="120" w:after="120"/>
              <w:jc w:val="center"/>
              <w:rPr>
                <w:rFonts w:ascii="Arial Narrow" w:hAnsi="Arial Narrow"/>
                <w:b/>
                <w:noProof/>
                <w:sz w:val="20"/>
                <w:szCs w:val="20"/>
                <w:lang w:val="de-DE"/>
              </w:rPr>
            </w:pPr>
          </w:p>
        </w:tc>
        <w:tc>
          <w:tcPr>
            <w:tcW w:w="1559" w:type="dxa"/>
            <w:vMerge/>
            <w:vAlign w:val="center"/>
            <w:hideMark/>
          </w:tcPr>
          <w:p w14:paraId="45BC1CFE" w14:textId="77777777" w:rsidR="0057163C" w:rsidRPr="00170422" w:rsidRDefault="0057163C">
            <w:pPr>
              <w:spacing w:before="120" w:after="120"/>
              <w:jc w:val="center"/>
              <w:rPr>
                <w:rFonts w:ascii="Arial Narrow" w:hAnsi="Arial Narrow"/>
                <w:b/>
                <w:noProof/>
                <w:sz w:val="20"/>
                <w:szCs w:val="20"/>
                <w:lang w:val="de-DE"/>
              </w:rPr>
            </w:pPr>
          </w:p>
        </w:tc>
        <w:tc>
          <w:tcPr>
            <w:tcW w:w="1701" w:type="dxa"/>
            <w:vMerge/>
            <w:vAlign w:val="center"/>
            <w:hideMark/>
          </w:tcPr>
          <w:p w14:paraId="5CB10866" w14:textId="77777777" w:rsidR="0057163C" w:rsidRPr="00170422" w:rsidRDefault="0057163C">
            <w:pPr>
              <w:spacing w:before="120" w:after="120"/>
              <w:jc w:val="center"/>
              <w:rPr>
                <w:rFonts w:ascii="Arial Narrow" w:hAnsi="Arial Narrow"/>
                <w:b/>
                <w:noProof/>
                <w:sz w:val="20"/>
                <w:szCs w:val="20"/>
                <w:lang w:val="de-DE"/>
              </w:rPr>
            </w:pPr>
          </w:p>
        </w:tc>
        <w:tc>
          <w:tcPr>
            <w:tcW w:w="1276" w:type="dxa"/>
            <w:shd w:val="clear" w:color="auto" w:fill="BDD7EE"/>
            <w:vAlign w:val="center"/>
            <w:hideMark/>
          </w:tcPr>
          <w:p w14:paraId="0E9C1FE1" w14:textId="77777777" w:rsidR="0057163C" w:rsidRPr="00170422" w:rsidRDefault="00F37BF9">
            <w:pPr>
              <w:pStyle w:val="P68B1DB1-Normal10"/>
              <w:spacing w:before="120" w:after="120"/>
              <w:jc w:val="center"/>
              <w:rPr>
                <w:noProof/>
                <w:szCs w:val="20"/>
                <w:lang w:val="de-DE"/>
              </w:rPr>
            </w:pPr>
            <w:r w:rsidRPr="00170422">
              <w:rPr>
                <w:noProof/>
                <w:lang w:val="de-DE"/>
              </w:rPr>
              <w:t>Maßeinheit</w:t>
            </w:r>
          </w:p>
        </w:tc>
        <w:tc>
          <w:tcPr>
            <w:tcW w:w="1417" w:type="dxa"/>
            <w:shd w:val="clear" w:color="auto" w:fill="BDD7EE"/>
            <w:vAlign w:val="center"/>
            <w:hideMark/>
          </w:tcPr>
          <w:p w14:paraId="167FA0A8" w14:textId="77777777" w:rsidR="0057163C" w:rsidRPr="00170422" w:rsidRDefault="00F37BF9">
            <w:pPr>
              <w:pStyle w:val="P68B1DB1-Normal10"/>
              <w:spacing w:before="120" w:after="120"/>
              <w:jc w:val="center"/>
              <w:rPr>
                <w:noProof/>
                <w:szCs w:val="20"/>
                <w:lang w:val="de-DE"/>
              </w:rPr>
            </w:pPr>
            <w:r w:rsidRPr="00170422">
              <w:rPr>
                <w:noProof/>
                <w:lang w:val="de-DE"/>
              </w:rPr>
              <w:t>Ausgangslage</w:t>
            </w:r>
          </w:p>
        </w:tc>
        <w:tc>
          <w:tcPr>
            <w:tcW w:w="993" w:type="dxa"/>
            <w:shd w:val="clear" w:color="auto" w:fill="BDD7EE"/>
            <w:vAlign w:val="center"/>
            <w:hideMark/>
          </w:tcPr>
          <w:p w14:paraId="3942FD10" w14:textId="77777777" w:rsidR="0057163C" w:rsidRPr="00170422" w:rsidRDefault="00F37BF9">
            <w:pPr>
              <w:pStyle w:val="P68B1DB1-Normal10"/>
              <w:spacing w:before="120" w:after="120"/>
              <w:jc w:val="center"/>
              <w:rPr>
                <w:noProof/>
                <w:szCs w:val="20"/>
                <w:lang w:val="de-DE"/>
              </w:rPr>
            </w:pPr>
            <w:r w:rsidRPr="00170422">
              <w:rPr>
                <w:noProof/>
                <w:lang w:val="de-DE"/>
              </w:rPr>
              <w:t>Ziel</w:t>
            </w:r>
          </w:p>
        </w:tc>
        <w:tc>
          <w:tcPr>
            <w:tcW w:w="865" w:type="dxa"/>
            <w:shd w:val="clear" w:color="auto" w:fill="BDD7EE"/>
            <w:vAlign w:val="center"/>
            <w:hideMark/>
          </w:tcPr>
          <w:p w14:paraId="59F312D9" w14:textId="77777777" w:rsidR="0057163C" w:rsidRPr="00170422" w:rsidRDefault="00F37BF9">
            <w:pPr>
              <w:pStyle w:val="P68B1DB1-Normal10"/>
              <w:spacing w:before="120" w:after="120"/>
              <w:jc w:val="center"/>
              <w:rPr>
                <w:noProof/>
                <w:szCs w:val="20"/>
                <w:lang w:val="de-DE"/>
              </w:rPr>
            </w:pPr>
            <w:r w:rsidRPr="00170422">
              <w:rPr>
                <w:noProof/>
                <w:lang w:val="de-DE"/>
              </w:rPr>
              <w:t>Viertel</w:t>
            </w:r>
          </w:p>
        </w:tc>
        <w:tc>
          <w:tcPr>
            <w:tcW w:w="721" w:type="dxa"/>
            <w:shd w:val="clear" w:color="auto" w:fill="BDD7EE"/>
            <w:vAlign w:val="center"/>
            <w:hideMark/>
          </w:tcPr>
          <w:p w14:paraId="5D26E5F9" w14:textId="77777777" w:rsidR="0057163C" w:rsidRPr="00170422" w:rsidRDefault="00F37BF9">
            <w:pPr>
              <w:pStyle w:val="P68B1DB1-Normal10"/>
              <w:spacing w:before="120" w:after="120"/>
              <w:jc w:val="center"/>
              <w:rPr>
                <w:noProof/>
                <w:szCs w:val="20"/>
                <w:lang w:val="de-DE"/>
              </w:rPr>
            </w:pPr>
            <w:r w:rsidRPr="00170422">
              <w:rPr>
                <w:noProof/>
                <w:lang w:val="de-DE"/>
              </w:rPr>
              <w:t>Jahre</w:t>
            </w:r>
          </w:p>
        </w:tc>
        <w:tc>
          <w:tcPr>
            <w:tcW w:w="2881" w:type="dxa"/>
            <w:vMerge/>
            <w:vAlign w:val="center"/>
            <w:hideMark/>
          </w:tcPr>
          <w:p w14:paraId="385164D0" w14:textId="77777777" w:rsidR="0057163C" w:rsidRPr="00170422" w:rsidRDefault="0057163C">
            <w:pPr>
              <w:spacing w:before="120" w:after="120"/>
              <w:rPr>
                <w:rFonts w:ascii="Arial Narrow" w:hAnsi="Arial Narrow"/>
                <w:b/>
                <w:noProof/>
                <w:sz w:val="20"/>
                <w:szCs w:val="20"/>
                <w:lang w:val="de-DE"/>
              </w:rPr>
            </w:pPr>
          </w:p>
        </w:tc>
      </w:tr>
      <w:tr w:rsidR="0057163C" w:rsidRPr="00170422" w14:paraId="3F40E53E" w14:textId="77777777" w:rsidTr="00DB5D07">
        <w:trPr>
          <w:trHeight w:val="313"/>
          <w:jc w:val="center"/>
        </w:trPr>
        <w:tc>
          <w:tcPr>
            <w:tcW w:w="1140" w:type="dxa"/>
            <w:shd w:val="clear" w:color="auto" w:fill="C6EFCE"/>
            <w:noWrap/>
            <w:vAlign w:val="center"/>
          </w:tcPr>
          <w:p w14:paraId="6CBEDFA8" w14:textId="77777777" w:rsidR="0057163C" w:rsidRPr="00170422" w:rsidRDefault="00F37BF9">
            <w:pPr>
              <w:pStyle w:val="P68B1DB1-Normal11"/>
              <w:spacing w:before="120" w:after="120"/>
              <w:jc w:val="center"/>
              <w:rPr>
                <w:noProof/>
                <w:szCs w:val="20"/>
                <w:lang w:val="de-DE"/>
              </w:rPr>
            </w:pPr>
            <w:r w:rsidRPr="00170422">
              <w:rPr>
                <w:noProof/>
                <w:lang w:val="de-DE"/>
              </w:rPr>
              <w:t>M6C2-4</w:t>
            </w:r>
          </w:p>
        </w:tc>
        <w:tc>
          <w:tcPr>
            <w:tcW w:w="1418" w:type="dxa"/>
            <w:shd w:val="clear" w:color="auto" w:fill="C6EFCE"/>
            <w:noWrap/>
            <w:vAlign w:val="center"/>
          </w:tcPr>
          <w:p w14:paraId="71972DD5"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1.1: Digitale Aktualisierung der technischen Ausrüstung von Krankenhäusern</w:t>
            </w:r>
          </w:p>
        </w:tc>
        <w:tc>
          <w:tcPr>
            <w:tcW w:w="1134" w:type="dxa"/>
            <w:shd w:val="clear" w:color="auto" w:fill="C6EFCE"/>
            <w:noWrap/>
            <w:vAlign w:val="center"/>
          </w:tcPr>
          <w:p w14:paraId="4FC643A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Meilenstein</w:t>
            </w:r>
          </w:p>
        </w:tc>
        <w:tc>
          <w:tcPr>
            <w:tcW w:w="1559" w:type="dxa"/>
            <w:shd w:val="clear" w:color="auto" w:fill="C6EFCE"/>
            <w:noWrap/>
            <w:vAlign w:val="center"/>
          </w:tcPr>
          <w:p w14:paraId="041F5B6E"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Umstrukturierungsplan genehmigt vom Gesundheitsministerium/Italienischen Regionen </w:t>
            </w:r>
          </w:p>
        </w:tc>
        <w:tc>
          <w:tcPr>
            <w:tcW w:w="1701" w:type="dxa"/>
            <w:shd w:val="clear" w:color="auto" w:fill="C6EFCE"/>
            <w:noWrap/>
            <w:vAlign w:val="center"/>
          </w:tcPr>
          <w:p w14:paraId="4203500C"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Mitteilung der Genehmigung</w:t>
            </w:r>
          </w:p>
        </w:tc>
        <w:tc>
          <w:tcPr>
            <w:tcW w:w="1276" w:type="dxa"/>
            <w:shd w:val="clear" w:color="auto" w:fill="C6EFCE"/>
            <w:noWrap/>
            <w:vAlign w:val="center"/>
          </w:tcPr>
          <w:p w14:paraId="1422A1F9"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417" w:type="dxa"/>
            <w:shd w:val="clear" w:color="auto" w:fill="C6EFCE"/>
            <w:noWrap/>
            <w:vAlign w:val="center"/>
          </w:tcPr>
          <w:p w14:paraId="0FAC771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993" w:type="dxa"/>
            <w:shd w:val="clear" w:color="auto" w:fill="C6EFCE"/>
            <w:noWrap/>
            <w:vAlign w:val="center"/>
          </w:tcPr>
          <w:p w14:paraId="6662937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865" w:type="dxa"/>
            <w:shd w:val="clear" w:color="auto" w:fill="C6EFCE"/>
            <w:noWrap/>
            <w:vAlign w:val="center"/>
          </w:tcPr>
          <w:p w14:paraId="6EBF0BD9" w14:textId="77777777" w:rsidR="0057163C" w:rsidRPr="00170422" w:rsidRDefault="00F37BF9">
            <w:pPr>
              <w:pStyle w:val="P68B1DB1-Normal103"/>
              <w:spacing w:before="120" w:after="120"/>
              <w:jc w:val="center"/>
              <w:rPr>
                <w:noProof/>
                <w:color w:val="006100"/>
                <w:szCs w:val="20"/>
                <w:lang w:val="de-DE"/>
              </w:rPr>
            </w:pPr>
            <w:r w:rsidRPr="00170422">
              <w:rPr>
                <w:noProof/>
                <w:lang w:val="de-DE"/>
              </w:rPr>
              <w:t>4. QUARTAL</w:t>
            </w:r>
          </w:p>
        </w:tc>
        <w:tc>
          <w:tcPr>
            <w:tcW w:w="721" w:type="dxa"/>
            <w:shd w:val="clear" w:color="auto" w:fill="C6EFCE"/>
            <w:noWrap/>
            <w:vAlign w:val="center"/>
          </w:tcPr>
          <w:p w14:paraId="32366DB5"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2021</w:t>
            </w:r>
          </w:p>
        </w:tc>
        <w:tc>
          <w:tcPr>
            <w:tcW w:w="2881" w:type="dxa"/>
            <w:shd w:val="clear" w:color="auto" w:fill="C6EFCE"/>
            <w:noWrap/>
            <w:vAlign w:val="center"/>
          </w:tcPr>
          <w:p w14:paraId="6D1B858E" w14:textId="77777777" w:rsidR="0057163C" w:rsidRPr="00170422" w:rsidRDefault="00F37BF9">
            <w:pPr>
              <w:pStyle w:val="P68B1DB1-Normal103"/>
              <w:spacing w:before="120" w:after="120"/>
              <w:rPr>
                <w:noProof/>
                <w:szCs w:val="20"/>
                <w:lang w:val="de-DE"/>
              </w:rPr>
            </w:pPr>
            <w:r w:rsidRPr="00170422">
              <w:rPr>
                <w:noProof/>
                <w:lang w:val="de-DE"/>
              </w:rPr>
              <w:t xml:space="preserve">Genehmigung des Umstrukturierungsplans zur Stärkung der Kapazitäten der NHS-Krankenhäuser zur angemessenen Bewältigung von Pandemiekatastrophen durch Erhöhung der Zahl der Betten in Intensiv- und subintensiven </w:t>
            </w:r>
            <w:r w:rsidRPr="00170422">
              <w:rPr>
                <w:noProof/>
                <w:lang w:val="de-DE"/>
              </w:rPr>
              <w:t>Pflegeeinheiten.</w:t>
            </w:r>
          </w:p>
          <w:p w14:paraId="53DF7964" w14:textId="77777777" w:rsidR="0057163C" w:rsidRPr="00170422" w:rsidRDefault="00F37BF9">
            <w:pPr>
              <w:pStyle w:val="P68B1DB1-Normal103"/>
              <w:spacing w:before="120" w:after="120"/>
              <w:rPr>
                <w:noProof/>
                <w:szCs w:val="20"/>
                <w:lang w:val="de-DE"/>
              </w:rPr>
            </w:pPr>
            <w:r w:rsidRPr="00170422">
              <w:rPr>
                <w:noProof/>
                <w:lang w:val="de-DE"/>
              </w:rPr>
              <w:t>Mit dem Krankenhausreorganisationsplan wird die Zahl der Betten erhöht, die in den Intensiv- und semiintensiven Pflegeeinheiten in NHS-Krankenhäusern verfügbar sind.</w:t>
            </w:r>
          </w:p>
        </w:tc>
      </w:tr>
      <w:tr w:rsidR="0057163C" w:rsidRPr="00170422" w14:paraId="3B4E4407" w14:textId="77777777" w:rsidTr="00DB5D07">
        <w:trPr>
          <w:trHeight w:val="313"/>
          <w:jc w:val="center"/>
        </w:trPr>
        <w:tc>
          <w:tcPr>
            <w:tcW w:w="1140" w:type="dxa"/>
            <w:shd w:val="clear" w:color="auto" w:fill="C6EFCE"/>
            <w:noWrap/>
            <w:vAlign w:val="center"/>
          </w:tcPr>
          <w:p w14:paraId="37A7554A" w14:textId="77777777" w:rsidR="0057163C" w:rsidRPr="00170422" w:rsidRDefault="00F37BF9">
            <w:pPr>
              <w:pStyle w:val="P68B1DB1-Normal11"/>
              <w:spacing w:before="120" w:after="120"/>
              <w:jc w:val="center"/>
              <w:rPr>
                <w:noProof/>
                <w:szCs w:val="20"/>
                <w:lang w:val="de-DE"/>
              </w:rPr>
            </w:pPr>
            <w:r w:rsidRPr="00170422">
              <w:rPr>
                <w:noProof/>
                <w:lang w:val="de-DE"/>
              </w:rPr>
              <w:t>M6C2-5</w:t>
            </w:r>
          </w:p>
        </w:tc>
        <w:tc>
          <w:tcPr>
            <w:tcW w:w="1418" w:type="dxa"/>
            <w:shd w:val="clear" w:color="auto" w:fill="C6EFCE"/>
            <w:noWrap/>
            <w:vAlign w:val="center"/>
          </w:tcPr>
          <w:p w14:paraId="297FC297" w14:textId="77777777" w:rsidR="0057163C" w:rsidRPr="00170422" w:rsidRDefault="00F37BF9">
            <w:pPr>
              <w:pStyle w:val="P68B1DB1-Normal103"/>
              <w:spacing w:before="120" w:after="120"/>
              <w:jc w:val="center"/>
              <w:rPr>
                <w:noProof/>
                <w:color w:val="006100"/>
                <w:szCs w:val="20"/>
                <w:lang w:val="de-DE"/>
              </w:rPr>
            </w:pPr>
            <w:r w:rsidRPr="00170422">
              <w:rPr>
                <w:noProof/>
                <w:lang w:val="de-DE"/>
              </w:rPr>
              <w:t xml:space="preserve">Investition 1.1: Digitale Aktualisierung der technischen </w:t>
            </w:r>
            <w:r w:rsidRPr="00170422">
              <w:rPr>
                <w:noProof/>
                <w:lang w:val="de-DE"/>
              </w:rPr>
              <w:t>Ausrüstung von Krankenhäusern</w:t>
            </w:r>
          </w:p>
        </w:tc>
        <w:tc>
          <w:tcPr>
            <w:tcW w:w="1134" w:type="dxa"/>
            <w:shd w:val="clear" w:color="auto" w:fill="C6EFCE"/>
            <w:noWrap/>
            <w:vAlign w:val="center"/>
          </w:tcPr>
          <w:p w14:paraId="2558D201" w14:textId="77777777" w:rsidR="0057163C" w:rsidRPr="00170422" w:rsidRDefault="00F37BF9">
            <w:pPr>
              <w:pStyle w:val="P68B1DB1-Normal103"/>
              <w:spacing w:before="120" w:after="120"/>
              <w:jc w:val="center"/>
              <w:rPr>
                <w:noProof/>
                <w:color w:val="006100"/>
                <w:szCs w:val="20"/>
                <w:lang w:val="de-DE"/>
              </w:rPr>
            </w:pPr>
            <w:r w:rsidRPr="00170422">
              <w:rPr>
                <w:noProof/>
                <w:lang w:val="de-DE"/>
              </w:rPr>
              <w:t>Meilenstein</w:t>
            </w:r>
          </w:p>
        </w:tc>
        <w:tc>
          <w:tcPr>
            <w:tcW w:w="1559" w:type="dxa"/>
            <w:shd w:val="clear" w:color="auto" w:fill="C6EFCE"/>
            <w:noWrap/>
            <w:vAlign w:val="center"/>
          </w:tcPr>
          <w:p w14:paraId="5B7D3E36"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 Genehmigung des Vertrags über die institutionelle Entwicklung </w:t>
            </w:r>
          </w:p>
        </w:tc>
        <w:tc>
          <w:tcPr>
            <w:tcW w:w="1701" w:type="dxa"/>
            <w:shd w:val="clear" w:color="auto" w:fill="C6EFCE"/>
            <w:noWrap/>
            <w:vAlign w:val="center"/>
          </w:tcPr>
          <w:p w14:paraId="6EC89341" w14:textId="77777777" w:rsidR="0057163C" w:rsidRPr="00170422" w:rsidRDefault="00F37BF9">
            <w:pPr>
              <w:pStyle w:val="P68B1DB1-Normal103"/>
              <w:spacing w:before="120" w:after="120"/>
              <w:jc w:val="center"/>
              <w:rPr>
                <w:noProof/>
                <w:szCs w:val="20"/>
                <w:lang w:val="de-DE"/>
              </w:rPr>
            </w:pPr>
            <w:r w:rsidRPr="00170422">
              <w:rPr>
                <w:noProof/>
                <w:lang w:val="de-DE"/>
              </w:rPr>
              <w:t>Mitteilung über die Unterzeichnung des Vertrags über die institutionelle Entwicklung durch das Gesundheitsministerium und die italienischen Regionen</w:t>
            </w:r>
          </w:p>
        </w:tc>
        <w:tc>
          <w:tcPr>
            <w:tcW w:w="1276" w:type="dxa"/>
            <w:shd w:val="clear" w:color="auto" w:fill="C6EFCE"/>
            <w:noWrap/>
            <w:vAlign w:val="center"/>
          </w:tcPr>
          <w:p w14:paraId="1FC60533"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w:t>
            </w:r>
            <w:r w:rsidRPr="00170422">
              <w:rPr>
                <w:noProof/>
                <w:lang w:val="de-DE"/>
              </w:rPr>
              <w:t>NTFÄLLT.</w:t>
            </w:r>
          </w:p>
        </w:tc>
        <w:tc>
          <w:tcPr>
            <w:tcW w:w="1417" w:type="dxa"/>
            <w:shd w:val="clear" w:color="auto" w:fill="C6EFCE"/>
            <w:noWrap/>
            <w:vAlign w:val="center"/>
          </w:tcPr>
          <w:p w14:paraId="0AC22E4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993" w:type="dxa"/>
            <w:shd w:val="clear" w:color="auto" w:fill="C6EFCE"/>
            <w:noWrap/>
            <w:vAlign w:val="center"/>
          </w:tcPr>
          <w:p w14:paraId="567513FB"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865" w:type="dxa"/>
            <w:shd w:val="clear" w:color="auto" w:fill="C6EFCE"/>
            <w:noWrap/>
            <w:vAlign w:val="center"/>
          </w:tcPr>
          <w:p w14:paraId="648C7001" w14:textId="77777777" w:rsidR="0057163C" w:rsidRPr="00170422" w:rsidRDefault="00F37BF9">
            <w:pPr>
              <w:pStyle w:val="P68B1DB1-Normal103"/>
              <w:spacing w:before="120" w:after="120"/>
              <w:jc w:val="center"/>
              <w:rPr>
                <w:noProof/>
                <w:color w:val="006100"/>
                <w:szCs w:val="20"/>
                <w:lang w:val="de-DE"/>
              </w:rPr>
            </w:pPr>
            <w:r w:rsidRPr="00170422">
              <w:rPr>
                <w:noProof/>
                <w:lang w:val="de-DE"/>
              </w:rPr>
              <w:t>Q2</w:t>
            </w:r>
          </w:p>
        </w:tc>
        <w:tc>
          <w:tcPr>
            <w:tcW w:w="721" w:type="dxa"/>
            <w:shd w:val="clear" w:color="auto" w:fill="C6EFCE"/>
            <w:noWrap/>
            <w:vAlign w:val="center"/>
          </w:tcPr>
          <w:p w14:paraId="7AB1BEC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2022</w:t>
            </w:r>
          </w:p>
        </w:tc>
        <w:tc>
          <w:tcPr>
            <w:tcW w:w="2881" w:type="dxa"/>
            <w:shd w:val="clear" w:color="auto" w:fill="C6EFCE"/>
            <w:noWrap/>
            <w:vAlign w:val="center"/>
          </w:tcPr>
          <w:p w14:paraId="0FF21359" w14:textId="77777777" w:rsidR="0057163C" w:rsidRPr="00170422" w:rsidRDefault="00F37BF9">
            <w:pPr>
              <w:pStyle w:val="P68B1DB1-Normal103"/>
              <w:spacing w:before="120" w:after="120"/>
              <w:rPr>
                <w:rFonts w:eastAsia="Calibri"/>
                <w:noProof/>
                <w:szCs w:val="20"/>
                <w:lang w:val="de-DE"/>
              </w:rPr>
            </w:pPr>
            <w:r w:rsidRPr="00170422">
              <w:rPr>
                <w:noProof/>
                <w:lang w:val="de-DE"/>
              </w:rPr>
              <w:t>Genehmigung eines Vertrags über die institutionelle Entwicklung (Contratto Istituzionale di Sviluppo) mit dem italienischen Gesundheitsministerium als zuständige und durchführende Behörde und unter Beteiligung von Regio</w:t>
            </w:r>
            <w:r w:rsidRPr="00170422">
              <w:rPr>
                <w:noProof/>
                <w:lang w:val="de-DE"/>
              </w:rPr>
              <w:t>nalverwaltungen und anderen wichtigen Interessenträgern.</w:t>
            </w:r>
          </w:p>
          <w:p w14:paraId="54DCF275" w14:textId="77777777" w:rsidR="0057163C" w:rsidRPr="00170422" w:rsidRDefault="00F37BF9">
            <w:pPr>
              <w:pStyle w:val="P68B1DB1-Normal103"/>
              <w:spacing w:before="120" w:after="120"/>
              <w:rPr>
                <w:rFonts w:eastAsia="Calibri"/>
                <w:noProof/>
                <w:szCs w:val="20"/>
                <w:lang w:val="de-DE"/>
              </w:rPr>
            </w:pPr>
            <w:r w:rsidRPr="00170422">
              <w:rPr>
                <w:noProof/>
                <w:lang w:val="de-DE"/>
              </w:rPr>
              <w:t>Der Vertrag über die institutionelle Entwicklung ist das in den geltenden nationalen Rechtsvorschriften (kombinierte Bestimmungen von Artikel 1 und Artikel 6 des Gesetzesdekrets Nr. 88 vom 31. Mai 20</w:t>
            </w:r>
            <w:r w:rsidRPr="00170422">
              <w:rPr>
                <w:noProof/>
                <w:lang w:val="de-DE"/>
              </w:rPr>
              <w:t>11 und Artikel 7 des Gesetzesdekrets Nr. 91 vom 20. Juni 2017 durch das Gesetz Nr. 123 vom 3. August 2017) festgelegte Instrument zur Beschleunigung der Durchführung strategischer Projekte, die funktional miteinander verbunden sind. Im Vertrag über die ins</w:t>
            </w:r>
            <w:r w:rsidRPr="00170422">
              <w:rPr>
                <w:noProof/>
                <w:lang w:val="de-DE"/>
              </w:rPr>
              <w:t>titutionelle Entwicklung sind alle für die i-Investitionen geeigneten Standorte sowie die Verpflichtungen aufgeführt, die jede Region übernimmt, um die Erreichung des erwarteten Ergebnisses zu gewährleisten. Im Falle eines Verstoßes einer Region leitet das</w:t>
            </w:r>
            <w:r w:rsidRPr="00170422">
              <w:rPr>
                <w:noProof/>
                <w:lang w:val="de-DE"/>
              </w:rPr>
              <w:t xml:space="preserve"> Gesundheitsministerium den Kommissar „ad acta“ ein.</w:t>
            </w:r>
          </w:p>
        </w:tc>
      </w:tr>
      <w:tr w:rsidR="0057163C" w:rsidRPr="00170422" w14:paraId="58B5F9F4" w14:textId="77777777" w:rsidTr="00DB5D07">
        <w:trPr>
          <w:trHeight w:val="313"/>
          <w:jc w:val="center"/>
        </w:trPr>
        <w:tc>
          <w:tcPr>
            <w:tcW w:w="1140" w:type="dxa"/>
            <w:shd w:val="clear" w:color="auto" w:fill="C6EFCE"/>
            <w:noWrap/>
            <w:vAlign w:val="center"/>
          </w:tcPr>
          <w:p w14:paraId="44948BFF" w14:textId="77777777" w:rsidR="0057163C" w:rsidRPr="00170422" w:rsidRDefault="00F37BF9">
            <w:pPr>
              <w:pStyle w:val="P68B1DB1-Normal12"/>
              <w:spacing w:before="120" w:after="120"/>
              <w:jc w:val="center"/>
              <w:rPr>
                <w:noProof/>
                <w:lang w:val="de-DE"/>
              </w:rPr>
            </w:pPr>
            <w:r w:rsidRPr="00170422">
              <w:rPr>
                <w:noProof/>
                <w:lang w:val="de-DE"/>
              </w:rPr>
              <w:t>M6C2-6</w:t>
            </w:r>
          </w:p>
        </w:tc>
        <w:tc>
          <w:tcPr>
            <w:tcW w:w="1418" w:type="dxa"/>
            <w:shd w:val="clear" w:color="auto" w:fill="C6EFCE"/>
            <w:noWrap/>
            <w:vAlign w:val="center"/>
          </w:tcPr>
          <w:p w14:paraId="11CB8C1B"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1.1: Digitale Aktualisierung der technischen Ausrüstung von Krankenhäusern</w:t>
            </w:r>
          </w:p>
        </w:tc>
        <w:tc>
          <w:tcPr>
            <w:tcW w:w="1134" w:type="dxa"/>
            <w:shd w:val="clear" w:color="auto" w:fill="C6EFCE"/>
            <w:noWrap/>
            <w:vAlign w:val="center"/>
          </w:tcPr>
          <w:p w14:paraId="48CAB2D0" w14:textId="77777777" w:rsidR="0057163C" w:rsidRPr="00170422" w:rsidRDefault="00F37BF9">
            <w:pPr>
              <w:pStyle w:val="P68B1DB1-Normal104"/>
              <w:spacing w:before="120" w:after="120"/>
              <w:jc w:val="center"/>
              <w:rPr>
                <w:noProof/>
                <w:color w:val="006100"/>
                <w:lang w:val="de-DE"/>
              </w:rPr>
            </w:pPr>
            <w:r w:rsidRPr="00170422">
              <w:rPr>
                <w:noProof/>
                <w:lang w:val="de-DE"/>
              </w:rPr>
              <w:t>Ziel</w:t>
            </w:r>
          </w:p>
        </w:tc>
        <w:tc>
          <w:tcPr>
            <w:tcW w:w="1559" w:type="dxa"/>
            <w:shd w:val="clear" w:color="auto" w:fill="C6EFCE"/>
            <w:noWrap/>
            <w:vAlign w:val="center"/>
          </w:tcPr>
          <w:p w14:paraId="233AA896" w14:textId="08A6FD8D" w:rsidR="0057163C" w:rsidRPr="00170422" w:rsidRDefault="00F37BF9">
            <w:pPr>
              <w:pStyle w:val="P68B1DB1-Normal104"/>
              <w:spacing w:before="120" w:after="120"/>
              <w:jc w:val="center"/>
              <w:rPr>
                <w:noProof/>
                <w:color w:val="006100"/>
                <w:lang w:val="de-DE"/>
              </w:rPr>
            </w:pPr>
            <w:r w:rsidRPr="00170422">
              <w:rPr>
                <w:noProof/>
                <w:lang w:val="de-DE"/>
              </w:rPr>
              <w:t xml:space="preserve">Lieferung großer Diagnosegeräte </w:t>
            </w:r>
          </w:p>
        </w:tc>
        <w:tc>
          <w:tcPr>
            <w:tcW w:w="1701" w:type="dxa"/>
            <w:shd w:val="clear" w:color="auto" w:fill="C6EFCE"/>
            <w:noWrap/>
            <w:vAlign w:val="center"/>
          </w:tcPr>
          <w:p w14:paraId="1C623FDC"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0038ABB3" w14:textId="77777777" w:rsidR="0057163C" w:rsidRPr="00170422" w:rsidRDefault="00F37BF9">
            <w:pPr>
              <w:pStyle w:val="P68B1DB1-Normal104"/>
              <w:spacing w:before="120" w:after="120"/>
              <w:jc w:val="center"/>
              <w:rPr>
                <w:noProof/>
                <w:color w:val="006100"/>
                <w:lang w:val="de-DE"/>
              </w:rPr>
            </w:pPr>
            <w:r w:rsidRPr="00170422">
              <w:rPr>
                <w:noProof/>
                <w:lang w:val="de-DE"/>
              </w:rPr>
              <w:t>Anzahl</w:t>
            </w:r>
          </w:p>
        </w:tc>
        <w:tc>
          <w:tcPr>
            <w:tcW w:w="1417" w:type="dxa"/>
            <w:shd w:val="clear" w:color="auto" w:fill="C6EFCE"/>
            <w:noWrap/>
            <w:vAlign w:val="center"/>
          </w:tcPr>
          <w:p w14:paraId="191F9E2A" w14:textId="77777777" w:rsidR="0057163C" w:rsidRPr="00170422" w:rsidRDefault="00F37BF9">
            <w:pPr>
              <w:pStyle w:val="P68B1DB1-Normal104"/>
              <w:spacing w:before="120" w:after="120"/>
              <w:jc w:val="center"/>
              <w:rPr>
                <w:noProof/>
                <w:color w:val="006100"/>
                <w:lang w:val="de-DE"/>
              </w:rPr>
            </w:pPr>
            <w:r w:rsidRPr="00170422">
              <w:rPr>
                <w:noProof/>
                <w:lang w:val="de-DE"/>
              </w:rPr>
              <w:t>0</w:t>
            </w:r>
          </w:p>
        </w:tc>
        <w:tc>
          <w:tcPr>
            <w:tcW w:w="993" w:type="dxa"/>
            <w:shd w:val="clear" w:color="auto" w:fill="C6EFCE"/>
            <w:noWrap/>
            <w:vAlign w:val="center"/>
          </w:tcPr>
          <w:p w14:paraId="6D036435" w14:textId="211AF9F9" w:rsidR="0057163C" w:rsidRPr="00170422" w:rsidRDefault="00F37BF9">
            <w:pPr>
              <w:pStyle w:val="P68B1DB1-Normal104"/>
              <w:spacing w:before="120" w:after="120"/>
              <w:jc w:val="center"/>
              <w:rPr>
                <w:noProof/>
                <w:color w:val="006100"/>
                <w:lang w:val="de-DE"/>
              </w:rPr>
            </w:pPr>
            <w:r w:rsidRPr="00170422">
              <w:rPr>
                <w:noProof/>
                <w:lang w:val="de-DE"/>
              </w:rPr>
              <w:t>3 100</w:t>
            </w:r>
          </w:p>
        </w:tc>
        <w:tc>
          <w:tcPr>
            <w:tcW w:w="865" w:type="dxa"/>
            <w:shd w:val="clear" w:color="auto" w:fill="C6EFCE"/>
            <w:noWrap/>
            <w:vAlign w:val="center"/>
          </w:tcPr>
          <w:p w14:paraId="3628413E" w14:textId="77777777" w:rsidR="0057163C" w:rsidRPr="00170422" w:rsidRDefault="00F37BF9">
            <w:pPr>
              <w:pStyle w:val="P68B1DB1-Normal103"/>
              <w:spacing w:before="120" w:after="120"/>
              <w:jc w:val="center"/>
              <w:rPr>
                <w:noProof/>
                <w:szCs w:val="20"/>
                <w:lang w:val="de-DE"/>
              </w:rPr>
            </w:pPr>
            <w:r w:rsidRPr="00170422">
              <w:rPr>
                <w:noProof/>
                <w:lang w:val="de-DE"/>
              </w:rPr>
              <w:t>Q2</w:t>
            </w:r>
          </w:p>
        </w:tc>
        <w:tc>
          <w:tcPr>
            <w:tcW w:w="721" w:type="dxa"/>
            <w:shd w:val="clear" w:color="auto" w:fill="C6EFCE"/>
            <w:noWrap/>
            <w:vAlign w:val="center"/>
          </w:tcPr>
          <w:p w14:paraId="415BBA78" w14:textId="77777777" w:rsidR="0057163C" w:rsidRPr="00170422" w:rsidRDefault="00F37BF9">
            <w:pPr>
              <w:pStyle w:val="P68B1DB1-Normal103"/>
              <w:spacing w:before="120" w:after="120"/>
              <w:jc w:val="center"/>
              <w:rPr>
                <w:noProof/>
                <w:szCs w:val="20"/>
                <w:lang w:val="de-DE"/>
              </w:rPr>
            </w:pPr>
            <w:r w:rsidRPr="00170422">
              <w:rPr>
                <w:noProof/>
                <w:lang w:val="de-DE"/>
              </w:rPr>
              <w:t>2026</w:t>
            </w:r>
          </w:p>
        </w:tc>
        <w:tc>
          <w:tcPr>
            <w:tcW w:w="2881" w:type="dxa"/>
            <w:shd w:val="clear" w:color="auto" w:fill="C6EFCE"/>
            <w:noWrap/>
            <w:vAlign w:val="center"/>
          </w:tcPr>
          <w:p w14:paraId="770D6A5A" w14:textId="22F476C3" w:rsidR="0057163C" w:rsidRPr="00170422" w:rsidRDefault="00F37BF9">
            <w:pPr>
              <w:pStyle w:val="P68B1DB1-Normal104"/>
              <w:spacing w:before="120" w:after="120"/>
              <w:rPr>
                <w:noProof/>
                <w:color w:val="006100"/>
                <w:lang w:val="de-DE"/>
              </w:rPr>
            </w:pPr>
            <w:r w:rsidRPr="00170422">
              <w:rPr>
                <w:noProof/>
                <w:lang w:val="de-DE"/>
              </w:rPr>
              <w:t>Prüfbescheinigungen oder Genehmigungen für die Verwendung von 3100 großen Diagnosegeräten. Anzahl und Typologien der zu liefernden Geräte: 290 Ausrüstung (NMR – Kernmagnetresonanz – größer/gleich 1,5 T; Lineare Acceleratoren; PET/CT – Positron-Emissionstom</w:t>
            </w:r>
            <w:r w:rsidRPr="00170422">
              <w:rPr>
                <w:noProof/>
                <w:lang w:val="de-DE"/>
              </w:rPr>
              <w:t>ografie/Computertomografie); 655 Geräte (Angiografie; Gammakameras, Gammakameras/CT – Computertomografie; CT – Computertomografie); 2155 Geräte (feste Röntgensysteme; Mammografie; Ultraschall).</w:t>
            </w:r>
          </w:p>
        </w:tc>
      </w:tr>
      <w:tr w:rsidR="0057163C" w:rsidRPr="00170422" w14:paraId="7910B201" w14:textId="77777777" w:rsidTr="00DB5D07">
        <w:trPr>
          <w:trHeight w:val="313"/>
          <w:jc w:val="center"/>
        </w:trPr>
        <w:tc>
          <w:tcPr>
            <w:tcW w:w="1140" w:type="dxa"/>
            <w:shd w:val="clear" w:color="auto" w:fill="C6EFCE"/>
            <w:noWrap/>
            <w:vAlign w:val="center"/>
          </w:tcPr>
          <w:p w14:paraId="5842D7D6" w14:textId="77777777" w:rsidR="0057163C" w:rsidRPr="00170422" w:rsidRDefault="00F37BF9">
            <w:pPr>
              <w:pStyle w:val="P68B1DB1-Normal11"/>
              <w:spacing w:before="120" w:after="120"/>
              <w:jc w:val="center"/>
              <w:rPr>
                <w:noProof/>
                <w:szCs w:val="20"/>
                <w:lang w:val="de-DE"/>
              </w:rPr>
            </w:pPr>
            <w:r w:rsidRPr="00170422">
              <w:rPr>
                <w:noProof/>
                <w:lang w:val="de-DE"/>
              </w:rPr>
              <w:t>M6C2-7</w:t>
            </w:r>
          </w:p>
        </w:tc>
        <w:tc>
          <w:tcPr>
            <w:tcW w:w="1418" w:type="dxa"/>
            <w:shd w:val="clear" w:color="auto" w:fill="C6EFCE"/>
            <w:noWrap/>
            <w:vAlign w:val="center"/>
          </w:tcPr>
          <w:p w14:paraId="175F108D" w14:textId="77777777" w:rsidR="0057163C" w:rsidRPr="00170422" w:rsidRDefault="00F37BF9">
            <w:pPr>
              <w:pStyle w:val="P68B1DB1-Normal103"/>
              <w:spacing w:before="120" w:after="120"/>
              <w:jc w:val="center"/>
              <w:rPr>
                <w:noProof/>
                <w:color w:val="006100"/>
                <w:szCs w:val="20"/>
                <w:lang w:val="de-DE"/>
              </w:rPr>
            </w:pPr>
            <w:r w:rsidRPr="00170422">
              <w:rPr>
                <w:noProof/>
                <w:lang w:val="de-DE"/>
              </w:rPr>
              <w:t xml:space="preserve">Investition 1.1: Digitale Aktualisierung der </w:t>
            </w:r>
            <w:r w:rsidRPr="00170422">
              <w:rPr>
                <w:noProof/>
                <w:lang w:val="de-DE"/>
              </w:rPr>
              <w:t>technischen Ausrüstung von Krankenhäusern</w:t>
            </w:r>
          </w:p>
        </w:tc>
        <w:tc>
          <w:tcPr>
            <w:tcW w:w="1134" w:type="dxa"/>
            <w:shd w:val="clear" w:color="auto" w:fill="C6EFCE"/>
            <w:noWrap/>
            <w:vAlign w:val="center"/>
          </w:tcPr>
          <w:p w14:paraId="350AA29A" w14:textId="77777777" w:rsidR="0057163C" w:rsidRPr="00170422" w:rsidRDefault="00F37BF9">
            <w:pPr>
              <w:pStyle w:val="P68B1DB1-Normal103"/>
              <w:spacing w:before="120" w:after="120"/>
              <w:jc w:val="center"/>
              <w:rPr>
                <w:noProof/>
                <w:color w:val="006100"/>
                <w:szCs w:val="20"/>
                <w:lang w:val="de-DE"/>
              </w:rPr>
            </w:pPr>
            <w:r w:rsidRPr="00170422">
              <w:rPr>
                <w:noProof/>
                <w:lang w:val="de-DE"/>
              </w:rPr>
              <w:t>Meilenstein</w:t>
            </w:r>
          </w:p>
        </w:tc>
        <w:tc>
          <w:tcPr>
            <w:tcW w:w="1559" w:type="dxa"/>
            <w:shd w:val="clear" w:color="auto" w:fill="C6EFCE"/>
            <w:noWrap/>
            <w:vAlign w:val="center"/>
          </w:tcPr>
          <w:p w14:paraId="740CBC51" w14:textId="77777777" w:rsidR="0057163C" w:rsidRPr="00170422" w:rsidRDefault="00F37BF9">
            <w:pPr>
              <w:pStyle w:val="P68B1DB1-Normal103"/>
              <w:spacing w:before="120" w:after="120"/>
              <w:jc w:val="center"/>
              <w:rPr>
                <w:noProof/>
                <w:color w:val="006100"/>
                <w:szCs w:val="20"/>
                <w:lang w:val="de-DE"/>
              </w:rPr>
            </w:pPr>
            <w:r w:rsidRPr="00170422">
              <w:rPr>
                <w:noProof/>
                <w:lang w:val="de-DE"/>
              </w:rPr>
              <w:t>Vergabe aller öffentlichen Aufträge</w:t>
            </w:r>
          </w:p>
        </w:tc>
        <w:tc>
          <w:tcPr>
            <w:tcW w:w="1701" w:type="dxa"/>
            <w:shd w:val="clear" w:color="auto" w:fill="C6EFCE"/>
            <w:noWrap/>
            <w:vAlign w:val="center"/>
          </w:tcPr>
          <w:p w14:paraId="27A16F7B" w14:textId="77777777" w:rsidR="0057163C" w:rsidRPr="00170422" w:rsidRDefault="00F37BF9">
            <w:pPr>
              <w:pStyle w:val="P68B1DB1-Normal103"/>
              <w:spacing w:before="120" w:after="120"/>
              <w:jc w:val="center"/>
              <w:rPr>
                <w:noProof/>
                <w:color w:val="006100"/>
                <w:szCs w:val="20"/>
                <w:lang w:val="de-DE"/>
              </w:rPr>
            </w:pPr>
            <w:r w:rsidRPr="00170422">
              <w:rPr>
                <w:noProof/>
                <w:lang w:val="de-DE"/>
              </w:rPr>
              <w:t>Mitteilung aller vergebenen öffentlichen Aufträge.</w:t>
            </w:r>
          </w:p>
        </w:tc>
        <w:tc>
          <w:tcPr>
            <w:tcW w:w="1276" w:type="dxa"/>
            <w:shd w:val="clear" w:color="auto" w:fill="C6EFCE"/>
            <w:noWrap/>
            <w:vAlign w:val="center"/>
          </w:tcPr>
          <w:p w14:paraId="773E857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417" w:type="dxa"/>
            <w:shd w:val="clear" w:color="auto" w:fill="C6EFCE"/>
            <w:noWrap/>
            <w:vAlign w:val="center"/>
          </w:tcPr>
          <w:p w14:paraId="34941B6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993" w:type="dxa"/>
            <w:shd w:val="clear" w:color="auto" w:fill="C6EFCE"/>
            <w:noWrap/>
            <w:vAlign w:val="center"/>
          </w:tcPr>
          <w:p w14:paraId="30EAFB3B"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865" w:type="dxa"/>
            <w:shd w:val="clear" w:color="auto" w:fill="C6EFCE"/>
            <w:noWrap/>
            <w:vAlign w:val="center"/>
          </w:tcPr>
          <w:p w14:paraId="41B4D99B" w14:textId="77777777" w:rsidR="0057163C" w:rsidRPr="00170422" w:rsidRDefault="00F37BF9">
            <w:pPr>
              <w:pStyle w:val="P68B1DB1-Normal103"/>
              <w:spacing w:before="120" w:after="120"/>
              <w:jc w:val="center"/>
              <w:rPr>
                <w:noProof/>
                <w:color w:val="006100"/>
                <w:szCs w:val="20"/>
                <w:lang w:val="de-DE"/>
              </w:rPr>
            </w:pPr>
            <w:r w:rsidRPr="00170422">
              <w:rPr>
                <w:noProof/>
                <w:lang w:val="de-DE"/>
              </w:rPr>
              <w:t>4. QUARTAL</w:t>
            </w:r>
          </w:p>
        </w:tc>
        <w:tc>
          <w:tcPr>
            <w:tcW w:w="721" w:type="dxa"/>
            <w:shd w:val="clear" w:color="auto" w:fill="C6EFCE"/>
            <w:noWrap/>
            <w:vAlign w:val="center"/>
          </w:tcPr>
          <w:p w14:paraId="520CDA9C"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2022</w:t>
            </w:r>
          </w:p>
        </w:tc>
        <w:tc>
          <w:tcPr>
            <w:tcW w:w="2881" w:type="dxa"/>
            <w:shd w:val="clear" w:color="auto" w:fill="C6EFCE"/>
            <w:noWrap/>
            <w:vAlign w:val="center"/>
          </w:tcPr>
          <w:p w14:paraId="522B8191" w14:textId="77777777" w:rsidR="0057163C" w:rsidRPr="00170422" w:rsidRDefault="00F37BF9">
            <w:pPr>
              <w:pStyle w:val="P68B1DB1-Normal103"/>
              <w:spacing w:before="120" w:after="120"/>
              <w:rPr>
                <w:noProof/>
                <w:szCs w:val="20"/>
                <w:lang w:val="de-DE"/>
              </w:rPr>
            </w:pPr>
            <w:r w:rsidRPr="00170422">
              <w:rPr>
                <w:noProof/>
                <w:lang w:val="de-DE"/>
              </w:rPr>
              <w:t>Veröffentlichung von Ausschreibungsverfahren (Konsip-Rahmenvereinbaru</w:t>
            </w:r>
            <w:r w:rsidRPr="00170422">
              <w:rPr>
                <w:noProof/>
                <w:lang w:val="de-DE"/>
              </w:rPr>
              <w:t>ng) und Abschluss von Verträgen mit Dienstleistern und Digitalisierung von Krankenhäusern der Klassen DEA I und II</w:t>
            </w:r>
          </w:p>
          <w:p w14:paraId="6A166AEB" w14:textId="77777777" w:rsidR="0057163C" w:rsidRPr="00170422" w:rsidRDefault="00F37BF9">
            <w:pPr>
              <w:pStyle w:val="P68B1DB1-Normal103"/>
              <w:spacing w:before="120" w:after="120"/>
              <w:rPr>
                <w:noProof/>
                <w:color w:val="006100"/>
                <w:szCs w:val="20"/>
                <w:lang w:val="de-DE"/>
              </w:rPr>
            </w:pPr>
            <w:r w:rsidRPr="00170422">
              <w:rPr>
                <w:noProof/>
                <w:lang w:val="de-DE"/>
              </w:rPr>
              <w:t xml:space="preserve">Die Verträge umfassen den Erwerb von: a) Datenverarbeitungszentrum (DPC), einschließlich IKT und Nebenarbeiten, die für die Informatisierung </w:t>
            </w:r>
            <w:r w:rsidRPr="00170422">
              <w:rPr>
                <w:noProof/>
                <w:lang w:val="de-DE"/>
              </w:rPr>
              <w:t>der gesamten Krankenhausstruktur erforderlich sind, b) Erwerb von Hardware und/oder Software-Informationstechnologie, elektromedizinischen Technologien sowie zusätzlichen Technologien und Nebenarbeiten, die für die Informatisierung der Krankenhausabteilung</w:t>
            </w:r>
            <w:r w:rsidRPr="00170422">
              <w:rPr>
                <w:noProof/>
                <w:lang w:val="de-DE"/>
              </w:rPr>
              <w:t>en erforderlich sind. Die Bewertung der derzeitigen Digitalisierungsebene, die der Durchführung der Maßnahme vorausgeht, ermöglicht eine Feinabstimmung dieser Bewertung entsprechend den tatsächlichen Bedürfnissen der einzelnen Regionen/Krankenhäuser.</w:t>
            </w:r>
          </w:p>
        </w:tc>
      </w:tr>
      <w:tr w:rsidR="0057163C" w:rsidRPr="00170422" w14:paraId="58E7E03A" w14:textId="77777777" w:rsidTr="00DB5D07">
        <w:trPr>
          <w:trHeight w:val="313"/>
          <w:jc w:val="center"/>
        </w:trPr>
        <w:tc>
          <w:tcPr>
            <w:tcW w:w="1140" w:type="dxa"/>
            <w:shd w:val="clear" w:color="auto" w:fill="C6EFCE"/>
            <w:noWrap/>
            <w:vAlign w:val="center"/>
          </w:tcPr>
          <w:p w14:paraId="1089BB24" w14:textId="77777777" w:rsidR="0057163C" w:rsidRPr="00170422" w:rsidRDefault="00F37BF9">
            <w:pPr>
              <w:pStyle w:val="P68B1DB1-Normal12"/>
              <w:spacing w:before="120" w:after="120"/>
              <w:jc w:val="center"/>
              <w:rPr>
                <w:noProof/>
                <w:lang w:val="de-DE"/>
              </w:rPr>
            </w:pPr>
            <w:r w:rsidRPr="00170422">
              <w:rPr>
                <w:noProof/>
                <w:lang w:val="de-DE"/>
              </w:rPr>
              <w:t>M6C2-8</w:t>
            </w:r>
          </w:p>
        </w:tc>
        <w:tc>
          <w:tcPr>
            <w:tcW w:w="1418" w:type="dxa"/>
            <w:shd w:val="clear" w:color="auto" w:fill="C6EFCE"/>
            <w:noWrap/>
            <w:vAlign w:val="center"/>
          </w:tcPr>
          <w:p w14:paraId="0EDD016A"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1.1: Digitale Aktualisierung der technischen Ausrüstung von Krankenhäusern</w:t>
            </w:r>
          </w:p>
        </w:tc>
        <w:tc>
          <w:tcPr>
            <w:tcW w:w="1134" w:type="dxa"/>
            <w:shd w:val="clear" w:color="auto" w:fill="C6EFCE"/>
            <w:noWrap/>
            <w:vAlign w:val="center"/>
          </w:tcPr>
          <w:p w14:paraId="4F8BEEDD" w14:textId="77777777" w:rsidR="0057163C" w:rsidRPr="00170422" w:rsidRDefault="00F37BF9">
            <w:pPr>
              <w:pStyle w:val="P68B1DB1-Normal103"/>
              <w:spacing w:before="120" w:after="120"/>
              <w:jc w:val="center"/>
              <w:rPr>
                <w:noProof/>
                <w:color w:val="006100"/>
                <w:szCs w:val="20"/>
                <w:lang w:val="de-DE"/>
              </w:rPr>
            </w:pPr>
            <w:r w:rsidRPr="00170422">
              <w:rPr>
                <w:noProof/>
                <w:lang w:val="de-DE"/>
              </w:rPr>
              <w:t>Ziel</w:t>
            </w:r>
          </w:p>
        </w:tc>
        <w:tc>
          <w:tcPr>
            <w:tcW w:w="1559" w:type="dxa"/>
            <w:shd w:val="clear" w:color="auto" w:fill="C6EFCE"/>
            <w:noWrap/>
            <w:vAlign w:val="center"/>
          </w:tcPr>
          <w:p w14:paraId="46576655" w14:textId="18169467" w:rsidR="0057163C" w:rsidRPr="00170422" w:rsidRDefault="00F37BF9">
            <w:pPr>
              <w:pStyle w:val="P68B1DB1-Normal103"/>
              <w:spacing w:before="120" w:after="120"/>
              <w:jc w:val="center"/>
              <w:rPr>
                <w:rFonts w:eastAsia="Calibri"/>
                <w:noProof/>
                <w:szCs w:val="20"/>
                <w:lang w:val="de-DE"/>
              </w:rPr>
            </w:pPr>
            <w:r w:rsidRPr="00170422">
              <w:rPr>
                <w:noProof/>
                <w:lang w:val="de-DE"/>
              </w:rPr>
              <w:t>Die Krankenhäuser sind digitalisiert (DEA – Abteilungen für Notfälle und Zulassungen – Level I und Level II)</w:t>
            </w:r>
          </w:p>
        </w:tc>
        <w:tc>
          <w:tcPr>
            <w:tcW w:w="1701" w:type="dxa"/>
            <w:shd w:val="clear" w:color="auto" w:fill="C6EFCE"/>
            <w:noWrap/>
            <w:vAlign w:val="center"/>
          </w:tcPr>
          <w:p w14:paraId="21FDA0C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1A0C9F5F"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Anzahl </w:t>
            </w:r>
          </w:p>
        </w:tc>
        <w:tc>
          <w:tcPr>
            <w:tcW w:w="1417" w:type="dxa"/>
            <w:shd w:val="clear" w:color="auto" w:fill="C6EFCE"/>
            <w:noWrap/>
            <w:vAlign w:val="center"/>
          </w:tcPr>
          <w:p w14:paraId="714ACD22" w14:textId="77777777" w:rsidR="0057163C" w:rsidRPr="00170422" w:rsidRDefault="00F37BF9">
            <w:pPr>
              <w:pStyle w:val="P68B1DB1-Normal103"/>
              <w:spacing w:before="120" w:after="120"/>
              <w:jc w:val="center"/>
              <w:rPr>
                <w:noProof/>
                <w:color w:val="006100"/>
                <w:szCs w:val="20"/>
                <w:lang w:val="de-DE"/>
              </w:rPr>
            </w:pPr>
            <w:r w:rsidRPr="00170422">
              <w:rPr>
                <w:noProof/>
                <w:lang w:val="de-DE"/>
              </w:rPr>
              <w:t>0</w:t>
            </w:r>
          </w:p>
        </w:tc>
        <w:tc>
          <w:tcPr>
            <w:tcW w:w="993" w:type="dxa"/>
            <w:shd w:val="clear" w:color="auto" w:fill="C6EFCE"/>
            <w:noWrap/>
            <w:vAlign w:val="center"/>
          </w:tcPr>
          <w:p w14:paraId="5DAC9872"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280</w:t>
            </w:r>
          </w:p>
        </w:tc>
        <w:tc>
          <w:tcPr>
            <w:tcW w:w="865" w:type="dxa"/>
            <w:shd w:val="clear" w:color="auto" w:fill="C6EFCE"/>
            <w:noWrap/>
            <w:vAlign w:val="center"/>
          </w:tcPr>
          <w:p w14:paraId="41613A6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4. QUARTAL</w:t>
            </w:r>
          </w:p>
        </w:tc>
        <w:tc>
          <w:tcPr>
            <w:tcW w:w="721" w:type="dxa"/>
            <w:shd w:val="clear" w:color="auto" w:fill="C6EFCE"/>
            <w:noWrap/>
            <w:vAlign w:val="center"/>
          </w:tcPr>
          <w:p w14:paraId="4A0B992D"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2025</w:t>
            </w:r>
          </w:p>
        </w:tc>
        <w:tc>
          <w:tcPr>
            <w:tcW w:w="2881" w:type="dxa"/>
            <w:shd w:val="clear" w:color="auto" w:fill="C6EFCE"/>
            <w:noWrap/>
            <w:vAlign w:val="center"/>
          </w:tcPr>
          <w:p w14:paraId="3A003FEB" w14:textId="0959BE60" w:rsidR="0057163C" w:rsidRPr="00170422" w:rsidRDefault="00F37BF9">
            <w:pPr>
              <w:pStyle w:val="P68B1DB1-Normal104"/>
              <w:spacing w:before="120" w:after="120"/>
              <w:rPr>
                <w:noProof/>
                <w:lang w:val="de-DE"/>
              </w:rPr>
            </w:pPr>
            <w:r w:rsidRPr="00170422">
              <w:rPr>
                <w:noProof/>
                <w:lang w:val="de-DE"/>
              </w:rPr>
              <w:t>Das Ziel</w:t>
            </w:r>
            <w:r w:rsidRPr="00170422">
              <w:rPr>
                <w:noProof/>
                <w:lang w:val="de-DE"/>
              </w:rPr>
              <w:t xml:space="preserve"> muss erreicht werden, wenn die Digitalisierung jeder ersten und zweiten Notfall- und Abnahmeabteilung der ersten und zweiten Stufe (DEA) um mindestens eine Stufe nach dem Modell für die Annahme elektronischer Patientenakten (Emram) erhöht wurde, das durch</w:t>
            </w:r>
            <w:r w:rsidRPr="00170422">
              <w:rPr>
                <w:noProof/>
                <w:lang w:val="de-DE"/>
              </w:rPr>
              <w:t xml:space="preserve"> einen Bericht der Healthcare Information and Management Systems Society (HIMMS) bescheinigt wurde und die Stufe zwei oder mehr der Reifestufe für mindestens 50 DEA erreicht.</w:t>
            </w:r>
          </w:p>
          <w:p w14:paraId="36A0FBC7" w14:textId="77777777" w:rsidR="0057163C" w:rsidRPr="00170422" w:rsidRDefault="00F37BF9">
            <w:pPr>
              <w:pStyle w:val="P68B1DB1-Normal104"/>
              <w:spacing w:before="120" w:after="120"/>
              <w:rPr>
                <w:noProof/>
                <w:color w:val="006100"/>
                <w:lang w:val="de-DE"/>
              </w:rPr>
            </w:pPr>
            <w:bookmarkStart w:id="22" w:name="_Hlk149126432"/>
            <w:r w:rsidRPr="00170422">
              <w:rPr>
                <w:noProof/>
                <w:lang w:val="de-DE"/>
              </w:rPr>
              <w:t>Beschaffungsinstrumente, die von Consip („Concessionaria Servizi Informativi Pubb</w:t>
            </w:r>
            <w:r w:rsidRPr="00170422">
              <w:rPr>
                <w:noProof/>
                <w:lang w:val="de-DE"/>
              </w:rPr>
              <w:t>lici“) – zusätzlich zu den bis zum 31.12.2022 stillgelegten Instrumenten – zur Verfügung gestellt werden, sowie der elektronische Markt für öffentliche Verwaltung (Mepa) oder das dynamische Beschaffungssystem für die öffentliche Verwaltung (SDAPA) sind für</w:t>
            </w:r>
            <w:r w:rsidRPr="00170422">
              <w:rPr>
                <w:noProof/>
                <w:lang w:val="de-DE"/>
              </w:rPr>
              <w:t xml:space="preserve"> Nebenkäufe zulässig.</w:t>
            </w:r>
            <w:bookmarkEnd w:id="22"/>
          </w:p>
        </w:tc>
      </w:tr>
      <w:tr w:rsidR="0057163C" w:rsidRPr="00170422" w14:paraId="11C7CF8E" w14:textId="77777777" w:rsidTr="00DB5D07">
        <w:trPr>
          <w:trHeight w:val="313"/>
          <w:jc w:val="center"/>
        </w:trPr>
        <w:tc>
          <w:tcPr>
            <w:tcW w:w="1140" w:type="dxa"/>
            <w:shd w:val="clear" w:color="auto" w:fill="C6EFCE"/>
            <w:noWrap/>
            <w:vAlign w:val="center"/>
          </w:tcPr>
          <w:p w14:paraId="5291F03A" w14:textId="77777777" w:rsidR="0057163C" w:rsidRPr="00170422" w:rsidRDefault="00F37BF9">
            <w:pPr>
              <w:pStyle w:val="P68B1DB1-Normal12"/>
              <w:spacing w:before="120" w:after="120"/>
              <w:jc w:val="center"/>
              <w:rPr>
                <w:noProof/>
                <w:lang w:val="de-DE"/>
              </w:rPr>
            </w:pPr>
            <w:r w:rsidRPr="00170422">
              <w:rPr>
                <w:noProof/>
                <w:lang w:val="de-DE"/>
              </w:rPr>
              <w:t>M6C2-9</w:t>
            </w:r>
          </w:p>
        </w:tc>
        <w:tc>
          <w:tcPr>
            <w:tcW w:w="1418" w:type="dxa"/>
            <w:shd w:val="clear" w:color="auto" w:fill="C6EFCE"/>
            <w:noWrap/>
            <w:vAlign w:val="center"/>
          </w:tcPr>
          <w:p w14:paraId="43B9D522"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1.1: Digitale Aktualisierung der technischen Ausrüstung von Krankenhäusern</w:t>
            </w:r>
          </w:p>
        </w:tc>
        <w:tc>
          <w:tcPr>
            <w:tcW w:w="1134" w:type="dxa"/>
            <w:shd w:val="clear" w:color="auto" w:fill="C6EFCE"/>
            <w:noWrap/>
            <w:vAlign w:val="center"/>
          </w:tcPr>
          <w:p w14:paraId="4B32610D" w14:textId="77777777" w:rsidR="0057163C" w:rsidRPr="00170422" w:rsidRDefault="00F37BF9">
            <w:pPr>
              <w:pStyle w:val="P68B1DB1-Normal104"/>
              <w:spacing w:before="120" w:after="120"/>
              <w:jc w:val="center"/>
              <w:rPr>
                <w:noProof/>
                <w:color w:val="006100"/>
                <w:lang w:val="de-DE"/>
              </w:rPr>
            </w:pPr>
            <w:r w:rsidRPr="00170422">
              <w:rPr>
                <w:noProof/>
                <w:lang w:val="de-DE"/>
              </w:rPr>
              <w:t>Ziel</w:t>
            </w:r>
          </w:p>
        </w:tc>
        <w:tc>
          <w:tcPr>
            <w:tcW w:w="1559" w:type="dxa"/>
            <w:shd w:val="clear" w:color="auto" w:fill="C6EFCE"/>
            <w:noWrap/>
            <w:vAlign w:val="center"/>
          </w:tcPr>
          <w:p w14:paraId="66C2188C" w14:textId="77777777" w:rsidR="0057163C" w:rsidRPr="00170422" w:rsidRDefault="00F37BF9">
            <w:pPr>
              <w:pStyle w:val="P68B1DB1-Normal104"/>
              <w:spacing w:before="120" w:after="120"/>
              <w:jc w:val="center"/>
              <w:rPr>
                <w:noProof/>
                <w:lang w:val="de-DE"/>
              </w:rPr>
            </w:pPr>
            <w:r w:rsidRPr="00170422">
              <w:rPr>
                <w:noProof/>
                <w:lang w:val="de-DE"/>
              </w:rPr>
              <w:t>Zusätzliche Betten in Intensivstationen und subintensive Pflege</w:t>
            </w:r>
          </w:p>
        </w:tc>
        <w:tc>
          <w:tcPr>
            <w:tcW w:w="1701" w:type="dxa"/>
            <w:shd w:val="clear" w:color="auto" w:fill="C6EFCE"/>
            <w:noWrap/>
            <w:vAlign w:val="center"/>
          </w:tcPr>
          <w:p w14:paraId="3F34911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5EB01911" w14:textId="77777777" w:rsidR="0057163C" w:rsidRPr="00170422" w:rsidRDefault="00F37BF9">
            <w:pPr>
              <w:pStyle w:val="P68B1DB1-Normal104"/>
              <w:spacing w:before="120" w:after="120"/>
              <w:jc w:val="center"/>
              <w:rPr>
                <w:rFonts w:eastAsia="Calibri"/>
                <w:noProof/>
                <w:lang w:val="de-DE"/>
              </w:rPr>
            </w:pPr>
            <w:r w:rsidRPr="00170422">
              <w:rPr>
                <w:noProof/>
                <w:lang w:val="de-DE"/>
              </w:rPr>
              <w:t xml:space="preserve">Anzahl </w:t>
            </w:r>
          </w:p>
        </w:tc>
        <w:tc>
          <w:tcPr>
            <w:tcW w:w="1417" w:type="dxa"/>
            <w:shd w:val="clear" w:color="auto" w:fill="C6EFCE"/>
            <w:noWrap/>
            <w:vAlign w:val="center"/>
          </w:tcPr>
          <w:p w14:paraId="24BE93F8" w14:textId="77777777" w:rsidR="0057163C" w:rsidRPr="00170422" w:rsidRDefault="0057163C">
            <w:pPr>
              <w:spacing w:before="120" w:after="120"/>
              <w:jc w:val="center"/>
              <w:rPr>
                <w:rFonts w:ascii="Arial Narrow" w:hAnsi="Arial Narrow"/>
                <w:noProof/>
                <w:color w:val="006100"/>
                <w:sz w:val="20"/>
                <w:szCs w:val="20"/>
                <w:lang w:val="de-DE"/>
              </w:rPr>
            </w:pPr>
          </w:p>
        </w:tc>
        <w:tc>
          <w:tcPr>
            <w:tcW w:w="993" w:type="dxa"/>
            <w:shd w:val="clear" w:color="auto" w:fill="C6EFCE"/>
            <w:noWrap/>
            <w:vAlign w:val="center"/>
          </w:tcPr>
          <w:p w14:paraId="3E3F4F0F" w14:textId="77777777" w:rsidR="0057163C" w:rsidRPr="00170422" w:rsidRDefault="00F37BF9">
            <w:pPr>
              <w:pStyle w:val="P68B1DB1-Normal104"/>
              <w:spacing w:before="120" w:after="120"/>
              <w:jc w:val="center"/>
              <w:rPr>
                <w:noProof/>
                <w:color w:val="006100"/>
                <w:lang w:val="de-DE"/>
              </w:rPr>
            </w:pPr>
            <w:r w:rsidRPr="00170422">
              <w:rPr>
                <w:noProof/>
                <w:lang w:val="de-DE"/>
              </w:rPr>
              <w:t>5 922</w:t>
            </w:r>
          </w:p>
        </w:tc>
        <w:tc>
          <w:tcPr>
            <w:tcW w:w="865" w:type="dxa"/>
            <w:shd w:val="clear" w:color="auto" w:fill="C6EFCE"/>
            <w:noWrap/>
            <w:vAlign w:val="center"/>
          </w:tcPr>
          <w:p w14:paraId="1DC8D49C" w14:textId="77777777" w:rsidR="0057163C" w:rsidRPr="00170422" w:rsidRDefault="00F37BF9">
            <w:pPr>
              <w:pStyle w:val="P68B1DB1-Normal104"/>
              <w:spacing w:before="120" w:after="120"/>
              <w:jc w:val="center"/>
              <w:rPr>
                <w:noProof/>
                <w:color w:val="006100"/>
                <w:lang w:val="de-DE"/>
              </w:rPr>
            </w:pPr>
            <w:r w:rsidRPr="00170422">
              <w:rPr>
                <w:noProof/>
                <w:lang w:val="de-DE"/>
              </w:rPr>
              <w:t>Q2</w:t>
            </w:r>
          </w:p>
        </w:tc>
        <w:tc>
          <w:tcPr>
            <w:tcW w:w="721" w:type="dxa"/>
            <w:shd w:val="clear" w:color="auto" w:fill="C6EFCE"/>
            <w:noWrap/>
            <w:vAlign w:val="center"/>
          </w:tcPr>
          <w:p w14:paraId="3C911633" w14:textId="77777777" w:rsidR="0057163C" w:rsidRPr="00170422" w:rsidRDefault="00F37BF9">
            <w:pPr>
              <w:pStyle w:val="P68B1DB1-Normal104"/>
              <w:spacing w:before="120" w:after="120"/>
              <w:jc w:val="center"/>
              <w:rPr>
                <w:noProof/>
                <w:color w:val="006100"/>
                <w:lang w:val="de-DE"/>
              </w:rPr>
            </w:pPr>
            <w:r w:rsidRPr="00170422">
              <w:rPr>
                <w:noProof/>
                <w:lang w:val="de-DE"/>
              </w:rPr>
              <w:t>2026</w:t>
            </w:r>
          </w:p>
        </w:tc>
        <w:tc>
          <w:tcPr>
            <w:tcW w:w="2881" w:type="dxa"/>
            <w:shd w:val="clear" w:color="auto" w:fill="C6EFCE"/>
            <w:noWrap/>
            <w:vAlign w:val="center"/>
          </w:tcPr>
          <w:p w14:paraId="250D7ED7" w14:textId="5995DBD8" w:rsidR="0057163C" w:rsidRPr="00170422" w:rsidRDefault="00F37BF9">
            <w:pPr>
              <w:pStyle w:val="P68B1DB1-Normal104"/>
              <w:spacing w:before="120" w:after="120"/>
              <w:rPr>
                <w:rFonts w:eastAsia="Calibri"/>
                <w:noProof/>
                <w:lang w:val="de-DE"/>
              </w:rPr>
            </w:pPr>
            <w:r w:rsidRPr="00170422">
              <w:rPr>
                <w:noProof/>
                <w:lang w:val="de-DE"/>
              </w:rPr>
              <w:t xml:space="preserve">Nachweis des Abschlusses der </w:t>
            </w:r>
            <w:r w:rsidRPr="00170422">
              <w:rPr>
                <w:noProof/>
                <w:lang w:val="de-DE"/>
              </w:rPr>
              <w:t xml:space="preserve">Interventionen zur Bereitstellung oder Umstellung von mindestens 5922 Intensivbetten und Betten im semiintensiven Bereich mit zugehörigen Lüftungsanlagen gemäß der einschlägigen Verordnung (Art. 2 DL 34/2020). Die Bereitstellung von Intensivbetten beträgt </w:t>
            </w:r>
            <w:r w:rsidRPr="00170422">
              <w:rPr>
                <w:noProof/>
                <w:lang w:val="de-DE"/>
              </w:rPr>
              <w:t>mindestens 40 % aller Betten, die im Rahmen dieser Maßnahme bereitgestellt werden.</w:t>
            </w:r>
          </w:p>
        </w:tc>
      </w:tr>
      <w:tr w:rsidR="0057163C" w:rsidRPr="00170422" w14:paraId="3FAD3A56" w14:textId="77777777" w:rsidTr="00DB5D07">
        <w:trPr>
          <w:trHeight w:val="313"/>
          <w:jc w:val="center"/>
        </w:trPr>
        <w:tc>
          <w:tcPr>
            <w:tcW w:w="1140" w:type="dxa"/>
            <w:shd w:val="clear" w:color="auto" w:fill="C6EFCE"/>
            <w:noWrap/>
            <w:vAlign w:val="center"/>
          </w:tcPr>
          <w:p w14:paraId="39723F12" w14:textId="77777777" w:rsidR="0057163C" w:rsidRPr="00170422" w:rsidRDefault="00F37BF9">
            <w:pPr>
              <w:pStyle w:val="P68B1DB1-Normal12"/>
              <w:spacing w:before="120" w:after="120"/>
              <w:jc w:val="center"/>
              <w:rPr>
                <w:noProof/>
                <w:lang w:val="de-DE"/>
              </w:rPr>
            </w:pPr>
            <w:r w:rsidRPr="00170422">
              <w:rPr>
                <w:noProof/>
                <w:lang w:val="de-DE"/>
              </w:rPr>
              <w:t>M6C2-10</w:t>
            </w:r>
          </w:p>
        </w:tc>
        <w:tc>
          <w:tcPr>
            <w:tcW w:w="1418" w:type="dxa"/>
            <w:shd w:val="clear" w:color="auto" w:fill="C6EFCE"/>
            <w:noWrap/>
            <w:vAlign w:val="center"/>
          </w:tcPr>
          <w:p w14:paraId="6EEA702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1.2: Auf dem Weg zu einem sicheren und nachhaltigen Krankenhaus</w:t>
            </w:r>
          </w:p>
        </w:tc>
        <w:tc>
          <w:tcPr>
            <w:tcW w:w="1134" w:type="dxa"/>
            <w:shd w:val="clear" w:color="auto" w:fill="C6EFCE"/>
            <w:noWrap/>
            <w:vAlign w:val="center"/>
          </w:tcPr>
          <w:p w14:paraId="32DC6C9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Ziel</w:t>
            </w:r>
          </w:p>
        </w:tc>
        <w:tc>
          <w:tcPr>
            <w:tcW w:w="1559" w:type="dxa"/>
            <w:shd w:val="clear" w:color="auto" w:fill="C6EFCE"/>
            <w:noWrap/>
            <w:vAlign w:val="center"/>
          </w:tcPr>
          <w:p w14:paraId="4D3FBFF1"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Abschluss antiseismischer Maßnahmen in Krankenhäusern</w:t>
            </w:r>
          </w:p>
        </w:tc>
        <w:tc>
          <w:tcPr>
            <w:tcW w:w="1701" w:type="dxa"/>
            <w:shd w:val="clear" w:color="auto" w:fill="C6EFCE"/>
            <w:noWrap/>
            <w:vAlign w:val="center"/>
          </w:tcPr>
          <w:p w14:paraId="21B35286"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7771AD93"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Anzahl </w:t>
            </w:r>
          </w:p>
        </w:tc>
        <w:tc>
          <w:tcPr>
            <w:tcW w:w="1417" w:type="dxa"/>
            <w:shd w:val="clear" w:color="auto" w:fill="C6EFCE"/>
            <w:noWrap/>
            <w:vAlign w:val="center"/>
          </w:tcPr>
          <w:p w14:paraId="5F1CEAD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0</w:t>
            </w:r>
          </w:p>
        </w:tc>
        <w:tc>
          <w:tcPr>
            <w:tcW w:w="993" w:type="dxa"/>
            <w:shd w:val="clear" w:color="auto" w:fill="C6EFCE"/>
            <w:noWrap/>
            <w:vAlign w:val="center"/>
          </w:tcPr>
          <w:p w14:paraId="736B3A43" w14:textId="77777777" w:rsidR="0057163C" w:rsidRPr="00170422" w:rsidRDefault="00F37BF9">
            <w:pPr>
              <w:pStyle w:val="P68B1DB1-Normal103"/>
              <w:spacing w:before="120" w:after="120"/>
              <w:jc w:val="center"/>
              <w:rPr>
                <w:noProof/>
                <w:szCs w:val="20"/>
                <w:lang w:val="de-DE"/>
              </w:rPr>
            </w:pPr>
            <w:r w:rsidRPr="00170422">
              <w:rPr>
                <w:noProof/>
                <w:lang w:val="de-DE"/>
              </w:rPr>
              <w:t>84</w:t>
            </w:r>
          </w:p>
        </w:tc>
        <w:tc>
          <w:tcPr>
            <w:tcW w:w="865" w:type="dxa"/>
            <w:shd w:val="clear" w:color="auto" w:fill="C6EFCE"/>
            <w:noWrap/>
            <w:vAlign w:val="center"/>
          </w:tcPr>
          <w:p w14:paraId="73A70097" w14:textId="77777777" w:rsidR="0057163C" w:rsidRPr="00170422" w:rsidRDefault="00F37BF9">
            <w:pPr>
              <w:pStyle w:val="P68B1DB1-Normal103"/>
              <w:spacing w:before="120" w:after="120"/>
              <w:jc w:val="center"/>
              <w:rPr>
                <w:noProof/>
                <w:color w:val="006100"/>
                <w:szCs w:val="20"/>
                <w:lang w:val="de-DE"/>
              </w:rPr>
            </w:pPr>
            <w:r w:rsidRPr="00170422">
              <w:rPr>
                <w:noProof/>
                <w:lang w:val="de-DE"/>
              </w:rPr>
              <w:t>Q2</w:t>
            </w:r>
          </w:p>
        </w:tc>
        <w:tc>
          <w:tcPr>
            <w:tcW w:w="721" w:type="dxa"/>
            <w:shd w:val="clear" w:color="auto" w:fill="C6EFCE"/>
            <w:noWrap/>
            <w:vAlign w:val="center"/>
          </w:tcPr>
          <w:p w14:paraId="68CEA28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2026</w:t>
            </w:r>
          </w:p>
        </w:tc>
        <w:tc>
          <w:tcPr>
            <w:tcW w:w="2881" w:type="dxa"/>
            <w:shd w:val="clear" w:color="auto" w:fill="C6EFCE"/>
            <w:noWrap/>
            <w:vAlign w:val="center"/>
          </w:tcPr>
          <w:p w14:paraId="5A3F0B9C" w14:textId="77777777" w:rsidR="0057163C" w:rsidRPr="00170422" w:rsidRDefault="00F37BF9">
            <w:pPr>
              <w:pStyle w:val="P68B1DB1-Normal104"/>
              <w:spacing w:before="120" w:after="120"/>
              <w:rPr>
                <w:noProof/>
                <w:lang w:val="de-DE"/>
              </w:rPr>
            </w:pPr>
            <w:r w:rsidRPr="00170422">
              <w:rPr>
                <w:noProof/>
                <w:lang w:val="de-DE"/>
              </w:rPr>
              <w:t>Bericht über abgeschlossene Struktur- oder Statische Testbescheinigungen, die für mindestens 84 Maßnahmen gegen Seismizität in Krankenhäusern ausgestellt wurden.</w:t>
            </w:r>
          </w:p>
        </w:tc>
      </w:tr>
      <w:tr w:rsidR="0057163C" w:rsidRPr="00170422" w14:paraId="14F63673" w14:textId="77777777" w:rsidTr="00DB5D07">
        <w:trPr>
          <w:trHeight w:val="313"/>
          <w:jc w:val="center"/>
        </w:trPr>
        <w:tc>
          <w:tcPr>
            <w:tcW w:w="1140" w:type="dxa"/>
            <w:shd w:val="clear" w:color="auto" w:fill="C6EFCE"/>
            <w:noWrap/>
            <w:vAlign w:val="center"/>
          </w:tcPr>
          <w:p w14:paraId="73A3C6D6" w14:textId="77777777" w:rsidR="0057163C" w:rsidRPr="00170422" w:rsidRDefault="00F37BF9">
            <w:pPr>
              <w:pStyle w:val="P68B1DB1-Normal12"/>
              <w:jc w:val="center"/>
              <w:rPr>
                <w:noProof/>
                <w:lang w:val="de-DE"/>
              </w:rPr>
            </w:pPr>
            <w:r w:rsidRPr="00170422">
              <w:rPr>
                <w:noProof/>
                <w:lang w:val="de-DE"/>
              </w:rPr>
              <w:t>M6C2-10 8</w:t>
            </w:r>
          </w:p>
        </w:tc>
        <w:tc>
          <w:tcPr>
            <w:tcW w:w="1418" w:type="dxa"/>
            <w:shd w:val="clear" w:color="auto" w:fill="C6EFCE"/>
            <w:noWrap/>
            <w:vAlign w:val="center"/>
          </w:tcPr>
          <w:p w14:paraId="6D0FF886" w14:textId="77777777" w:rsidR="0057163C" w:rsidRPr="00170422" w:rsidRDefault="00F37BF9">
            <w:pPr>
              <w:pStyle w:val="P68B1DB1-Normal103"/>
              <w:spacing w:before="120" w:after="120" w:line="276" w:lineRule="auto"/>
              <w:jc w:val="center"/>
              <w:rPr>
                <w:noProof/>
                <w:szCs w:val="20"/>
                <w:lang w:val="de-DE"/>
              </w:rPr>
            </w:pPr>
            <w:bookmarkStart w:id="23" w:name="_Hlk160472567"/>
            <w:r w:rsidRPr="00170422">
              <w:rPr>
                <w:noProof/>
                <w:lang w:val="de-DE"/>
              </w:rPr>
              <w:t>Investition 1.2: Auf dem Weg zu einem sicheren und nachhaltigen Krankenhaus</w:t>
            </w:r>
            <w:bookmarkEnd w:id="23"/>
          </w:p>
        </w:tc>
        <w:tc>
          <w:tcPr>
            <w:tcW w:w="1134" w:type="dxa"/>
            <w:shd w:val="clear" w:color="auto" w:fill="C6EFCE"/>
            <w:noWrap/>
            <w:vAlign w:val="center"/>
          </w:tcPr>
          <w:p w14:paraId="18BE2564" w14:textId="77777777" w:rsidR="0057163C" w:rsidRPr="00170422" w:rsidRDefault="00F37BF9">
            <w:pPr>
              <w:pStyle w:val="P68B1DB1-Normal104"/>
              <w:jc w:val="center"/>
              <w:rPr>
                <w:noProof/>
                <w:lang w:val="de-DE"/>
              </w:rPr>
            </w:pPr>
            <w:r w:rsidRPr="00170422">
              <w:rPr>
                <w:noProof/>
                <w:lang w:val="de-DE"/>
              </w:rPr>
              <w:t xml:space="preserve">Ziel </w:t>
            </w:r>
          </w:p>
        </w:tc>
        <w:tc>
          <w:tcPr>
            <w:tcW w:w="1559" w:type="dxa"/>
            <w:shd w:val="clear" w:color="auto" w:fill="C6EFCE"/>
            <w:noWrap/>
            <w:vAlign w:val="center"/>
          </w:tcPr>
          <w:p w14:paraId="51AD38C8" w14:textId="7172C527" w:rsidR="0057163C" w:rsidRPr="00170422" w:rsidRDefault="00F37BF9">
            <w:pPr>
              <w:pStyle w:val="P68B1DB1-Normal104"/>
              <w:spacing w:before="120" w:after="120"/>
              <w:jc w:val="center"/>
              <w:rPr>
                <w:rFonts w:eastAsia="Calibri"/>
                <w:noProof/>
                <w:lang w:val="de-DE"/>
              </w:rPr>
            </w:pPr>
            <w:r w:rsidRPr="00170422">
              <w:rPr>
                <w:noProof/>
                <w:lang w:val="de-DE"/>
              </w:rPr>
              <w:t>Auszahlung von Mitteln aus der Aufbau- und Resilienzfazilität für Projekte gemäß Artikel 20 des Finanzgesetzes 67/88 Gebäude im Gesundheitswesen</w:t>
            </w:r>
          </w:p>
        </w:tc>
        <w:tc>
          <w:tcPr>
            <w:tcW w:w="1701" w:type="dxa"/>
            <w:shd w:val="clear" w:color="auto" w:fill="C6EFCE"/>
            <w:noWrap/>
            <w:vAlign w:val="center"/>
          </w:tcPr>
          <w:p w14:paraId="7D68271F" w14:textId="77777777" w:rsidR="0057163C" w:rsidRPr="00170422" w:rsidRDefault="00F37BF9">
            <w:pPr>
              <w:pStyle w:val="P68B1DB1-Normal104"/>
              <w:jc w:val="center"/>
              <w:rPr>
                <w:noProof/>
                <w:lang w:val="de-DE"/>
              </w:rPr>
            </w:pPr>
            <w:r w:rsidRPr="00170422">
              <w:rPr>
                <w:noProof/>
                <w:lang w:val="de-DE"/>
              </w:rPr>
              <w:t>ENTFÄLLT.</w:t>
            </w:r>
          </w:p>
        </w:tc>
        <w:tc>
          <w:tcPr>
            <w:tcW w:w="1276" w:type="dxa"/>
            <w:shd w:val="clear" w:color="auto" w:fill="C6EFCE"/>
            <w:noWrap/>
            <w:vAlign w:val="center"/>
          </w:tcPr>
          <w:p w14:paraId="1FB1C1A1" w14:textId="77777777" w:rsidR="0057163C" w:rsidRPr="00170422" w:rsidRDefault="00F37BF9">
            <w:pPr>
              <w:pStyle w:val="P68B1DB1-Normal104"/>
              <w:jc w:val="center"/>
              <w:rPr>
                <w:rFonts w:eastAsia="Calibri"/>
                <w:noProof/>
                <w:lang w:val="de-DE"/>
              </w:rPr>
            </w:pPr>
            <w:r w:rsidRPr="00170422">
              <w:rPr>
                <w:noProof/>
                <w:lang w:val="de-DE"/>
              </w:rPr>
              <w:t>Anzahl</w:t>
            </w:r>
          </w:p>
        </w:tc>
        <w:tc>
          <w:tcPr>
            <w:tcW w:w="1417" w:type="dxa"/>
            <w:shd w:val="clear" w:color="auto" w:fill="C6EFCE"/>
            <w:noWrap/>
            <w:vAlign w:val="center"/>
          </w:tcPr>
          <w:p w14:paraId="015E1097" w14:textId="77777777" w:rsidR="0057163C" w:rsidRPr="00170422" w:rsidRDefault="00F37BF9">
            <w:pPr>
              <w:pStyle w:val="P68B1DB1-Normal104"/>
              <w:jc w:val="center"/>
              <w:rPr>
                <w:noProof/>
                <w:lang w:val="de-DE"/>
              </w:rPr>
            </w:pPr>
            <w:r w:rsidRPr="00170422">
              <w:rPr>
                <w:noProof/>
                <w:lang w:val="de-DE"/>
              </w:rPr>
              <w:t>0</w:t>
            </w:r>
          </w:p>
        </w:tc>
        <w:tc>
          <w:tcPr>
            <w:tcW w:w="993" w:type="dxa"/>
            <w:shd w:val="clear" w:color="auto" w:fill="C6EFCE"/>
            <w:noWrap/>
            <w:vAlign w:val="center"/>
          </w:tcPr>
          <w:p w14:paraId="10AF0ED4" w14:textId="560E5B77" w:rsidR="0057163C" w:rsidRPr="00170422" w:rsidRDefault="00F37BF9">
            <w:pPr>
              <w:pStyle w:val="P68B1DB1-Normal16"/>
              <w:jc w:val="center"/>
              <w:rPr>
                <w:noProof/>
                <w:color w:val="006600"/>
                <w:lang w:val="de-DE"/>
              </w:rPr>
            </w:pPr>
            <w:r w:rsidRPr="00170422">
              <w:rPr>
                <w:noProof/>
                <w:color w:val="006600"/>
                <w:lang w:val="de-DE"/>
              </w:rPr>
              <w:t>225</w:t>
            </w:r>
            <w:r w:rsidRPr="00170422">
              <w:rPr>
                <w:noProof/>
                <w:color w:val="006100"/>
                <w:lang w:val="de-DE"/>
              </w:rPr>
              <w:t xml:space="preserve"> </w:t>
            </w:r>
            <w:r w:rsidRPr="00170422">
              <w:rPr>
                <w:noProof/>
                <w:color w:val="006600"/>
                <w:lang w:val="de-DE"/>
              </w:rPr>
              <w:t>000</w:t>
            </w:r>
            <w:r w:rsidRPr="00170422">
              <w:rPr>
                <w:noProof/>
                <w:color w:val="006100"/>
                <w:lang w:val="de-DE"/>
              </w:rPr>
              <w:t xml:space="preserve"> </w:t>
            </w:r>
            <w:r w:rsidRPr="00170422">
              <w:rPr>
                <w:noProof/>
                <w:color w:val="006600"/>
                <w:lang w:val="de-DE"/>
              </w:rPr>
              <w:t>000</w:t>
            </w:r>
          </w:p>
        </w:tc>
        <w:tc>
          <w:tcPr>
            <w:tcW w:w="865" w:type="dxa"/>
            <w:shd w:val="clear" w:color="auto" w:fill="C6EFCE"/>
            <w:noWrap/>
            <w:vAlign w:val="center"/>
          </w:tcPr>
          <w:p w14:paraId="26D8A7AC" w14:textId="77777777" w:rsidR="0057163C" w:rsidRPr="00170422" w:rsidRDefault="00F37BF9">
            <w:pPr>
              <w:pStyle w:val="P68B1DB1-Normal103"/>
              <w:jc w:val="center"/>
              <w:rPr>
                <w:noProof/>
                <w:szCs w:val="20"/>
                <w:lang w:val="de-DE"/>
              </w:rPr>
            </w:pPr>
            <w:r w:rsidRPr="00170422">
              <w:rPr>
                <w:noProof/>
                <w:lang w:val="de-DE"/>
              </w:rPr>
              <w:t>Q2</w:t>
            </w:r>
          </w:p>
        </w:tc>
        <w:tc>
          <w:tcPr>
            <w:tcW w:w="721" w:type="dxa"/>
            <w:shd w:val="clear" w:color="auto" w:fill="C6EFCE"/>
            <w:noWrap/>
            <w:vAlign w:val="center"/>
          </w:tcPr>
          <w:p w14:paraId="60A5297E" w14:textId="77777777" w:rsidR="0057163C" w:rsidRPr="00170422" w:rsidRDefault="00F37BF9">
            <w:pPr>
              <w:pStyle w:val="P68B1DB1-Normal103"/>
              <w:jc w:val="center"/>
              <w:rPr>
                <w:noProof/>
                <w:szCs w:val="20"/>
                <w:lang w:val="de-DE"/>
              </w:rPr>
            </w:pPr>
            <w:r w:rsidRPr="00170422">
              <w:rPr>
                <w:noProof/>
                <w:lang w:val="de-DE"/>
              </w:rPr>
              <w:t>2026</w:t>
            </w:r>
          </w:p>
        </w:tc>
        <w:tc>
          <w:tcPr>
            <w:tcW w:w="2881" w:type="dxa"/>
            <w:shd w:val="clear" w:color="auto" w:fill="C6EFCE"/>
            <w:noWrap/>
            <w:vAlign w:val="center"/>
          </w:tcPr>
          <w:p w14:paraId="3B35AB37" w14:textId="77777777" w:rsidR="0057163C" w:rsidRPr="00170422" w:rsidRDefault="00F37BF9">
            <w:pPr>
              <w:pStyle w:val="P68B1DB1-Normal104"/>
              <w:rPr>
                <w:rFonts w:eastAsia="Calibri"/>
                <w:noProof/>
                <w:lang w:val="de-DE"/>
              </w:rPr>
            </w:pPr>
            <w:r w:rsidRPr="00170422">
              <w:rPr>
                <w:noProof/>
                <w:lang w:val="de-DE"/>
              </w:rPr>
              <w:t xml:space="preserve">Nachweis der Zahlung von 225 000 000 EUR für die Durchführung von </w:t>
            </w:r>
            <w:r w:rsidRPr="00170422">
              <w:rPr>
                <w:noProof/>
                <w:lang w:val="de-DE"/>
              </w:rPr>
              <w:t>Maßnahmen im Bereich der Gebäuderenovierung und/oder technologischen Modernisierung von Gesundheitseinrichtungen im Zusammenhang mit Programmvereinbarungen gemäß Artikel 20 L. 67/88, die vom Gesundheitsministerium mit der jeweiligen Region oder Autonomen P</w:t>
            </w:r>
            <w:r w:rsidRPr="00170422">
              <w:rPr>
                <w:noProof/>
                <w:lang w:val="de-DE"/>
              </w:rPr>
              <w:t>rovinz durchgeführt werden.</w:t>
            </w:r>
          </w:p>
        </w:tc>
      </w:tr>
      <w:tr w:rsidR="0057163C" w:rsidRPr="00170422" w14:paraId="5B5BB4DF" w14:textId="77777777" w:rsidTr="00DB5D07">
        <w:trPr>
          <w:trHeight w:val="313"/>
          <w:jc w:val="center"/>
        </w:trPr>
        <w:tc>
          <w:tcPr>
            <w:tcW w:w="1140" w:type="dxa"/>
            <w:shd w:val="clear" w:color="auto" w:fill="C6EFCE"/>
            <w:noWrap/>
            <w:vAlign w:val="center"/>
          </w:tcPr>
          <w:p w14:paraId="4493889C" w14:textId="77777777" w:rsidR="0057163C" w:rsidRPr="00170422" w:rsidRDefault="00F37BF9">
            <w:pPr>
              <w:pStyle w:val="P68B1DB1-Normal12"/>
              <w:spacing w:before="120" w:after="120"/>
              <w:jc w:val="center"/>
              <w:rPr>
                <w:noProof/>
                <w:lang w:val="de-DE"/>
              </w:rPr>
            </w:pPr>
            <w:r w:rsidRPr="00170422">
              <w:rPr>
                <w:noProof/>
                <w:lang w:val="de-DE"/>
              </w:rPr>
              <w:t>M6C2-11</w:t>
            </w:r>
          </w:p>
        </w:tc>
        <w:tc>
          <w:tcPr>
            <w:tcW w:w="1418" w:type="dxa"/>
            <w:shd w:val="clear" w:color="auto" w:fill="C6EFCE"/>
            <w:noWrap/>
            <w:vAlign w:val="center"/>
          </w:tcPr>
          <w:p w14:paraId="6AEC904D"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1.3: Stärkung der technologischen Infrastruktur und der Instrumente für die Datenerhebung, Datenverarbeitung, Datenanalyse und -simulation</w:t>
            </w:r>
          </w:p>
        </w:tc>
        <w:tc>
          <w:tcPr>
            <w:tcW w:w="1134" w:type="dxa"/>
            <w:shd w:val="clear" w:color="auto" w:fill="C6EFCE"/>
            <w:noWrap/>
            <w:vAlign w:val="center"/>
          </w:tcPr>
          <w:p w14:paraId="1068CCB1" w14:textId="77777777" w:rsidR="0057163C" w:rsidRPr="00170422" w:rsidRDefault="00F37BF9">
            <w:pPr>
              <w:pStyle w:val="P68B1DB1-Normal103"/>
              <w:spacing w:before="120" w:after="120"/>
              <w:jc w:val="center"/>
              <w:rPr>
                <w:noProof/>
                <w:color w:val="006100"/>
                <w:szCs w:val="20"/>
                <w:lang w:val="de-DE"/>
              </w:rPr>
            </w:pPr>
            <w:r w:rsidRPr="00170422">
              <w:rPr>
                <w:noProof/>
                <w:lang w:val="de-DE"/>
              </w:rPr>
              <w:t>Ziel</w:t>
            </w:r>
          </w:p>
        </w:tc>
        <w:tc>
          <w:tcPr>
            <w:tcW w:w="1559" w:type="dxa"/>
            <w:shd w:val="clear" w:color="auto" w:fill="C6EFCE"/>
            <w:noWrap/>
            <w:vAlign w:val="center"/>
          </w:tcPr>
          <w:p w14:paraId="1F815960" w14:textId="77777777" w:rsidR="0057163C" w:rsidRPr="00170422" w:rsidRDefault="00F37BF9">
            <w:pPr>
              <w:pStyle w:val="P68B1DB1-Normal103"/>
              <w:spacing w:before="120" w:after="120"/>
              <w:jc w:val="center"/>
              <w:rPr>
                <w:noProof/>
                <w:szCs w:val="20"/>
                <w:lang w:val="de-DE"/>
              </w:rPr>
            </w:pPr>
            <w:r w:rsidRPr="00170422">
              <w:rPr>
                <w:noProof/>
                <w:lang w:val="de-DE"/>
              </w:rPr>
              <w:t xml:space="preserve">Allgemeinmediziner, die in die elektronische Patientenakte </w:t>
            </w:r>
            <w:r w:rsidRPr="00170422">
              <w:rPr>
                <w:noProof/>
                <w:lang w:val="de-DE"/>
              </w:rPr>
              <w:t>einspeisen.</w:t>
            </w:r>
          </w:p>
        </w:tc>
        <w:tc>
          <w:tcPr>
            <w:tcW w:w="1701" w:type="dxa"/>
            <w:shd w:val="clear" w:color="auto" w:fill="C6EFCE"/>
            <w:noWrap/>
            <w:vAlign w:val="center"/>
          </w:tcPr>
          <w:p w14:paraId="404E7EC2"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1E61ABE0"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Prozentuale </w:t>
            </w:r>
          </w:p>
        </w:tc>
        <w:tc>
          <w:tcPr>
            <w:tcW w:w="1417" w:type="dxa"/>
            <w:shd w:val="clear" w:color="auto" w:fill="C6EFCE"/>
            <w:noWrap/>
            <w:vAlign w:val="center"/>
          </w:tcPr>
          <w:p w14:paraId="240B6A39" w14:textId="77777777" w:rsidR="0057163C" w:rsidRPr="00170422" w:rsidRDefault="00F37BF9">
            <w:pPr>
              <w:pStyle w:val="P68B1DB1-Normal103"/>
              <w:spacing w:before="120" w:after="120"/>
              <w:jc w:val="center"/>
              <w:rPr>
                <w:noProof/>
                <w:color w:val="006100"/>
                <w:szCs w:val="20"/>
                <w:lang w:val="de-DE"/>
              </w:rPr>
            </w:pPr>
            <w:r w:rsidRPr="00170422">
              <w:rPr>
                <w:noProof/>
                <w:lang w:val="de-DE"/>
              </w:rPr>
              <w:t>0</w:t>
            </w:r>
          </w:p>
        </w:tc>
        <w:tc>
          <w:tcPr>
            <w:tcW w:w="993" w:type="dxa"/>
            <w:shd w:val="clear" w:color="auto" w:fill="C6EFCE"/>
            <w:noWrap/>
            <w:vAlign w:val="center"/>
          </w:tcPr>
          <w:p w14:paraId="64F6C8D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85</w:t>
            </w:r>
          </w:p>
        </w:tc>
        <w:tc>
          <w:tcPr>
            <w:tcW w:w="865" w:type="dxa"/>
            <w:shd w:val="clear" w:color="auto" w:fill="C6EFCE"/>
            <w:noWrap/>
            <w:vAlign w:val="center"/>
          </w:tcPr>
          <w:p w14:paraId="6A850DB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4. QUARTAL</w:t>
            </w:r>
          </w:p>
        </w:tc>
        <w:tc>
          <w:tcPr>
            <w:tcW w:w="721" w:type="dxa"/>
            <w:shd w:val="clear" w:color="auto" w:fill="C6EFCE"/>
            <w:noWrap/>
            <w:vAlign w:val="center"/>
          </w:tcPr>
          <w:p w14:paraId="0D6D2019" w14:textId="77777777" w:rsidR="0057163C" w:rsidRPr="00170422" w:rsidRDefault="00F37BF9">
            <w:pPr>
              <w:pStyle w:val="P68B1DB1-Normal104"/>
              <w:spacing w:before="120" w:after="120"/>
              <w:jc w:val="center"/>
              <w:rPr>
                <w:noProof/>
                <w:color w:val="006100"/>
                <w:lang w:val="de-DE"/>
              </w:rPr>
            </w:pPr>
            <w:r w:rsidRPr="00170422">
              <w:rPr>
                <w:noProof/>
                <w:lang w:val="de-DE"/>
              </w:rPr>
              <w:t>2025</w:t>
            </w:r>
          </w:p>
        </w:tc>
        <w:tc>
          <w:tcPr>
            <w:tcW w:w="2881" w:type="dxa"/>
            <w:shd w:val="clear" w:color="auto" w:fill="C6EFCE"/>
            <w:noWrap/>
            <w:vAlign w:val="center"/>
          </w:tcPr>
          <w:p w14:paraId="2E750C0A" w14:textId="77777777" w:rsidR="0057163C" w:rsidRPr="00170422" w:rsidRDefault="00F37BF9">
            <w:pPr>
              <w:pStyle w:val="P68B1DB1-Normal104"/>
              <w:spacing w:before="120" w:after="120"/>
              <w:rPr>
                <w:noProof/>
                <w:lang w:val="de-DE"/>
              </w:rPr>
            </w:pPr>
            <w:r w:rsidRPr="00170422">
              <w:rPr>
                <w:noProof/>
                <w:lang w:val="de-DE"/>
              </w:rPr>
              <w:t>Allgemeinmediziner (MMG/PLS), die die elektronische Patientenakte (EHR) nutzen, die mindestens 85 % der Gesamtzahl erreicht. Das Ziel wi</w:t>
            </w:r>
            <w:r w:rsidRPr="00170422">
              <w:rPr>
                <w:noProof/>
                <w:lang w:val="de-DE"/>
              </w:rPr>
              <w:t xml:space="preserve">rd durch die Überprüfung des Wertes von Indikator 2 auf nationaler Ebene gemäß Anhang 2 des Dekrets vom 8. August 2022 und durch Änderungen auf dem EHR-Monitoring-Dashboard erreicht. </w:t>
            </w:r>
          </w:p>
        </w:tc>
      </w:tr>
      <w:tr w:rsidR="0057163C" w:rsidRPr="00170422" w14:paraId="7EF2B9FB" w14:textId="77777777" w:rsidTr="00DB5D07">
        <w:trPr>
          <w:trHeight w:val="313"/>
          <w:jc w:val="center"/>
        </w:trPr>
        <w:tc>
          <w:tcPr>
            <w:tcW w:w="1140" w:type="dxa"/>
            <w:shd w:val="clear" w:color="auto" w:fill="C6EFCE"/>
            <w:noWrap/>
            <w:vAlign w:val="center"/>
          </w:tcPr>
          <w:p w14:paraId="6836B5A9" w14:textId="77777777" w:rsidR="0057163C" w:rsidRPr="00170422" w:rsidRDefault="00F37BF9">
            <w:pPr>
              <w:pStyle w:val="P68B1DB1-Normal12"/>
              <w:spacing w:before="120" w:after="120"/>
              <w:jc w:val="center"/>
              <w:rPr>
                <w:noProof/>
                <w:lang w:val="de-DE"/>
              </w:rPr>
            </w:pPr>
            <w:r w:rsidRPr="00170422">
              <w:rPr>
                <w:noProof/>
                <w:lang w:val="de-DE"/>
              </w:rPr>
              <w:t>M6C2-12</w:t>
            </w:r>
          </w:p>
        </w:tc>
        <w:tc>
          <w:tcPr>
            <w:tcW w:w="1418" w:type="dxa"/>
            <w:shd w:val="clear" w:color="auto" w:fill="C6EFCE"/>
            <w:noWrap/>
            <w:vAlign w:val="center"/>
          </w:tcPr>
          <w:p w14:paraId="15E40EC1"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1.3: Stärkung der technologischen Infrastruktur und</w:t>
            </w:r>
            <w:r w:rsidRPr="00170422">
              <w:rPr>
                <w:noProof/>
                <w:lang w:val="de-DE"/>
              </w:rPr>
              <w:t xml:space="preserve"> der Instrumente für die Datenerhebung, Datenverarbeitung, Datenanalyse und -simulation</w:t>
            </w:r>
          </w:p>
        </w:tc>
        <w:tc>
          <w:tcPr>
            <w:tcW w:w="1134" w:type="dxa"/>
            <w:shd w:val="clear" w:color="auto" w:fill="C6EFCE"/>
            <w:noWrap/>
            <w:vAlign w:val="center"/>
          </w:tcPr>
          <w:p w14:paraId="6916CD57" w14:textId="77777777" w:rsidR="0057163C" w:rsidRPr="00170422" w:rsidRDefault="00F37BF9">
            <w:pPr>
              <w:pStyle w:val="P68B1DB1-Normal103"/>
              <w:spacing w:before="120" w:after="120"/>
              <w:jc w:val="center"/>
              <w:rPr>
                <w:noProof/>
                <w:color w:val="006100"/>
                <w:szCs w:val="20"/>
                <w:lang w:val="de-DE"/>
              </w:rPr>
            </w:pPr>
            <w:r w:rsidRPr="00170422">
              <w:rPr>
                <w:noProof/>
                <w:lang w:val="de-DE"/>
              </w:rPr>
              <w:t>Meilenstein</w:t>
            </w:r>
          </w:p>
        </w:tc>
        <w:tc>
          <w:tcPr>
            <w:tcW w:w="1559" w:type="dxa"/>
            <w:shd w:val="clear" w:color="auto" w:fill="C6EFCE"/>
            <w:noWrap/>
            <w:vAlign w:val="center"/>
          </w:tcPr>
          <w:p w14:paraId="2AD06A88" w14:textId="5B0261E0" w:rsidR="0057163C" w:rsidRPr="00170422" w:rsidRDefault="00F37BF9">
            <w:pPr>
              <w:pStyle w:val="P68B1DB1-Normal104"/>
              <w:spacing w:before="120" w:after="120"/>
              <w:jc w:val="center"/>
              <w:rPr>
                <w:noProof/>
                <w:lang w:val="de-DE"/>
              </w:rPr>
            </w:pPr>
            <w:r w:rsidRPr="00170422">
              <w:rPr>
                <w:noProof/>
                <w:lang w:val="de-DE"/>
              </w:rPr>
              <w:t>Das System der Krankenversicherungskarte und die Infrastruktur für die Interoperabilität der elektronischen Patientenakte sind betriebsbereit.</w:t>
            </w:r>
          </w:p>
        </w:tc>
        <w:tc>
          <w:tcPr>
            <w:tcW w:w="1701" w:type="dxa"/>
            <w:shd w:val="clear" w:color="auto" w:fill="C6EFCE"/>
            <w:noWrap/>
            <w:vAlign w:val="center"/>
          </w:tcPr>
          <w:p w14:paraId="1893BAC6" w14:textId="714F9811" w:rsidR="0057163C" w:rsidRPr="00170422" w:rsidRDefault="00F37BF9">
            <w:pPr>
              <w:spacing w:before="120" w:after="120"/>
              <w:jc w:val="center"/>
              <w:rPr>
                <w:rFonts w:ascii="Arial Narrow" w:hAnsi="Arial Narrow"/>
                <w:noProof/>
                <w:sz w:val="20"/>
                <w:szCs w:val="20"/>
                <w:lang w:val="de-DE"/>
              </w:rPr>
            </w:pPr>
            <w:r w:rsidRPr="00170422">
              <w:rPr>
                <w:rFonts w:ascii="Arial Narrow" w:hAnsi="Arial Narrow"/>
                <w:noProof/>
                <w:color w:val="006600"/>
                <w:sz w:val="20"/>
                <w:szCs w:val="20"/>
                <w:lang w:val="de-DE"/>
              </w:rPr>
              <w:t>Inbetriebnahm</w:t>
            </w:r>
            <w:r w:rsidRPr="00170422">
              <w:rPr>
                <w:rFonts w:ascii="Arial Narrow" w:hAnsi="Arial Narrow"/>
                <w:noProof/>
                <w:color w:val="006600"/>
                <w:sz w:val="20"/>
                <w:szCs w:val="20"/>
                <w:lang w:val="de-DE"/>
              </w:rPr>
              <w:t>e des Krankenversicherungskartensystems</w:t>
            </w:r>
            <w:r w:rsidRPr="00170422">
              <w:rPr>
                <w:rFonts w:ascii="Arial Narrow" w:hAnsi="Arial Narrow"/>
                <w:noProof/>
                <w:lang w:val="de-DE"/>
              </w:rPr>
              <w:t xml:space="preserve"> </w:t>
            </w:r>
            <w:r w:rsidRPr="00170422">
              <w:rPr>
                <w:noProof/>
                <w:lang w:val="de-DE"/>
              </w:rPr>
              <w:t xml:space="preserve"> </w:t>
            </w:r>
            <w:r w:rsidRPr="00170422">
              <w:rPr>
                <w:noProof/>
                <w:lang w:val="de-DE"/>
              </w:rPr>
              <w:br/>
            </w:r>
            <w:r w:rsidRPr="00170422">
              <w:rPr>
                <w:rFonts w:ascii="Arial Narrow" w:hAnsi="Arial Narrow"/>
                <w:noProof/>
                <w:color w:val="006600"/>
                <w:sz w:val="20"/>
                <w:szCs w:val="20"/>
                <w:lang w:val="de-DE"/>
              </w:rPr>
              <w:t>und der Infrastruktur für die Interoperabilität der EHR.</w:t>
            </w:r>
          </w:p>
        </w:tc>
        <w:tc>
          <w:tcPr>
            <w:tcW w:w="1276" w:type="dxa"/>
            <w:shd w:val="clear" w:color="auto" w:fill="C6EFCE"/>
            <w:noWrap/>
            <w:vAlign w:val="center"/>
          </w:tcPr>
          <w:p w14:paraId="76710FD3"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417" w:type="dxa"/>
            <w:shd w:val="clear" w:color="auto" w:fill="C6EFCE"/>
            <w:noWrap/>
            <w:vAlign w:val="center"/>
          </w:tcPr>
          <w:p w14:paraId="6A78FFF2"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993" w:type="dxa"/>
            <w:shd w:val="clear" w:color="auto" w:fill="C6EFCE"/>
            <w:noWrap/>
            <w:vAlign w:val="center"/>
          </w:tcPr>
          <w:p w14:paraId="3EFFCF24"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865" w:type="dxa"/>
            <w:shd w:val="clear" w:color="auto" w:fill="C6EFCE"/>
            <w:noWrap/>
            <w:vAlign w:val="center"/>
          </w:tcPr>
          <w:p w14:paraId="76BA64F4" w14:textId="77777777" w:rsidR="0057163C" w:rsidRPr="00170422" w:rsidRDefault="00F37BF9">
            <w:pPr>
              <w:pStyle w:val="P68B1DB1-Normal103"/>
              <w:spacing w:before="120" w:after="120"/>
              <w:jc w:val="center"/>
              <w:rPr>
                <w:noProof/>
                <w:color w:val="006100"/>
                <w:szCs w:val="20"/>
                <w:lang w:val="de-DE"/>
              </w:rPr>
            </w:pPr>
            <w:r w:rsidRPr="00170422">
              <w:rPr>
                <w:noProof/>
                <w:lang w:val="de-DE"/>
              </w:rPr>
              <w:t>Q2</w:t>
            </w:r>
          </w:p>
        </w:tc>
        <w:tc>
          <w:tcPr>
            <w:tcW w:w="721" w:type="dxa"/>
            <w:shd w:val="clear" w:color="auto" w:fill="C6EFCE"/>
            <w:noWrap/>
            <w:vAlign w:val="center"/>
          </w:tcPr>
          <w:p w14:paraId="67BFCC6A"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2026</w:t>
            </w:r>
          </w:p>
        </w:tc>
        <w:tc>
          <w:tcPr>
            <w:tcW w:w="2881" w:type="dxa"/>
            <w:shd w:val="clear" w:color="auto" w:fill="C6EFCE"/>
            <w:noWrap/>
            <w:vAlign w:val="center"/>
          </w:tcPr>
          <w:p w14:paraId="4411EE60" w14:textId="77777777" w:rsidR="0057163C" w:rsidRPr="00170422" w:rsidRDefault="00F37BF9">
            <w:pPr>
              <w:spacing w:before="120" w:after="120"/>
              <w:rPr>
                <w:rFonts w:ascii="Arial Narrow" w:eastAsia="Calibri" w:hAnsi="Arial Narrow"/>
                <w:noProof/>
                <w:color w:val="006600"/>
                <w:sz w:val="20"/>
                <w:szCs w:val="20"/>
                <w:lang w:val="de-DE"/>
              </w:rPr>
            </w:pPr>
            <w:r w:rsidRPr="00170422">
              <w:rPr>
                <w:rFonts w:ascii="Arial Narrow" w:hAnsi="Arial Narrow"/>
                <w:noProof/>
                <w:color w:val="006600"/>
                <w:sz w:val="20"/>
                <w:szCs w:val="20"/>
                <w:lang w:val="de-DE"/>
              </w:rPr>
              <w:t>Testbescheinigungen über die Inbetriebnahme des Krankenversicherungskartensystems und der Infrastruktur für die Interop</w:t>
            </w:r>
            <w:r w:rsidRPr="00170422">
              <w:rPr>
                <w:rFonts w:ascii="Arial Narrow" w:hAnsi="Arial Narrow"/>
                <w:noProof/>
                <w:color w:val="006600"/>
                <w:sz w:val="20"/>
                <w:szCs w:val="20"/>
                <w:lang w:val="de-DE"/>
              </w:rPr>
              <w:t>erabilität der elektronischen Patientenakte und die Umsetzung des „ecosistema Dati Sanitari“ (EDS).</w:t>
            </w:r>
          </w:p>
        </w:tc>
      </w:tr>
      <w:tr w:rsidR="0057163C" w:rsidRPr="00170422" w14:paraId="091128D8" w14:textId="77777777" w:rsidTr="00DB5D07">
        <w:trPr>
          <w:trHeight w:val="313"/>
          <w:jc w:val="center"/>
        </w:trPr>
        <w:tc>
          <w:tcPr>
            <w:tcW w:w="114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D5BB9C" w14:textId="77777777" w:rsidR="0057163C" w:rsidRPr="00170422" w:rsidRDefault="00F37BF9">
            <w:pPr>
              <w:pStyle w:val="P68B1DB1-Normal11"/>
              <w:spacing w:before="120" w:after="120"/>
              <w:jc w:val="center"/>
              <w:rPr>
                <w:noProof/>
                <w:szCs w:val="20"/>
                <w:lang w:val="de-DE"/>
              </w:rPr>
            </w:pPr>
            <w:r w:rsidRPr="00170422">
              <w:rPr>
                <w:noProof/>
                <w:lang w:val="de-DE"/>
              </w:rPr>
              <w:t>M6C2-13</w:t>
            </w:r>
          </w:p>
        </w:tc>
        <w:tc>
          <w:tcPr>
            <w:tcW w:w="1418"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8B1906" w14:textId="77777777" w:rsidR="0057163C" w:rsidRPr="00170422" w:rsidRDefault="00F37BF9">
            <w:pPr>
              <w:pStyle w:val="P68B1DB1-Normal103"/>
              <w:spacing w:before="120" w:after="120"/>
              <w:jc w:val="center"/>
              <w:rPr>
                <w:noProof/>
                <w:color w:val="006100"/>
                <w:szCs w:val="20"/>
                <w:lang w:val="de-DE"/>
              </w:rPr>
            </w:pPr>
            <w:r w:rsidRPr="00170422">
              <w:rPr>
                <w:noProof/>
                <w:lang w:val="de-DE"/>
              </w:rPr>
              <w:t xml:space="preserve">Investition 1.3: Stärkung der technologischen Infrastruktur und der Instrumente für die Datenerhebung, Datenverarbeitung, Datenanalyse und </w:t>
            </w:r>
            <w:r w:rsidRPr="00170422">
              <w:rPr>
                <w:noProof/>
                <w:lang w:val="de-DE"/>
              </w:rPr>
              <w:t>-simulation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4BF4B7" w14:textId="77777777" w:rsidR="0057163C" w:rsidRPr="00170422" w:rsidRDefault="00F37BF9">
            <w:pPr>
              <w:pStyle w:val="P68B1DB1-Normal104"/>
              <w:spacing w:before="120" w:after="120"/>
              <w:jc w:val="center"/>
              <w:rPr>
                <w:noProof/>
                <w:color w:val="006100"/>
                <w:lang w:val="de-DE"/>
              </w:rPr>
            </w:pPr>
            <w:r w:rsidRPr="00170422">
              <w:rPr>
                <w:noProof/>
                <w:lang w:val="de-DE"/>
              </w:rPr>
              <w:t>Ziel</w:t>
            </w:r>
          </w:p>
        </w:tc>
        <w:tc>
          <w:tcPr>
            <w:tcW w:w="155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F7DBC9" w14:textId="1589BDA3" w:rsidR="0057163C" w:rsidRPr="00170422" w:rsidRDefault="00F37BF9">
            <w:pPr>
              <w:pStyle w:val="P68B1DB1-Normal104"/>
              <w:spacing w:before="120" w:after="120"/>
              <w:jc w:val="center"/>
              <w:rPr>
                <w:rFonts w:eastAsia="Calibri"/>
                <w:noProof/>
                <w:lang w:val="de-DE"/>
              </w:rPr>
            </w:pPr>
            <w:r w:rsidRPr="00170422">
              <w:rPr>
                <w:noProof/>
                <w:lang w:val="de-DE"/>
              </w:rPr>
              <w:t xml:space="preserve">Die elektronische Patientenakte wird für die meisten Patientenakten verwendet. </w:t>
            </w:r>
          </w:p>
        </w:tc>
        <w:tc>
          <w:tcPr>
            <w:tcW w:w="170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B7768E"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4BD278" w14:textId="77777777" w:rsidR="0057163C" w:rsidRPr="00170422" w:rsidRDefault="00F37BF9">
            <w:pPr>
              <w:pStyle w:val="P68B1DB1-Normal103"/>
              <w:spacing w:before="120" w:after="120"/>
              <w:jc w:val="center"/>
              <w:rPr>
                <w:rFonts w:eastAsia="Arial"/>
                <w:noProof/>
                <w:szCs w:val="20"/>
                <w:lang w:val="de-DE"/>
              </w:rPr>
            </w:pPr>
            <w:r w:rsidRPr="00170422">
              <w:rPr>
                <w:noProof/>
                <w:lang w:val="de-DE"/>
              </w:rPr>
              <w:t>Prozentuale</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617D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0</w:t>
            </w:r>
          </w:p>
        </w:tc>
        <w:tc>
          <w:tcPr>
            <w:tcW w:w="9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5E6F9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90</w:t>
            </w:r>
          </w:p>
        </w:tc>
        <w:tc>
          <w:tcPr>
            <w:tcW w:w="86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EAA338" w14:textId="77777777" w:rsidR="0057163C" w:rsidRPr="00170422" w:rsidRDefault="00F37BF9">
            <w:pPr>
              <w:pStyle w:val="P68B1DB1-Normal103"/>
              <w:spacing w:before="120" w:after="120"/>
              <w:jc w:val="center"/>
              <w:rPr>
                <w:noProof/>
                <w:color w:val="006100"/>
                <w:szCs w:val="20"/>
                <w:lang w:val="de-DE"/>
              </w:rPr>
            </w:pPr>
            <w:r w:rsidRPr="00170422">
              <w:rPr>
                <w:noProof/>
                <w:lang w:val="de-DE"/>
              </w:rPr>
              <w:t>Q2</w:t>
            </w:r>
          </w:p>
        </w:tc>
        <w:tc>
          <w:tcPr>
            <w:tcW w:w="72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46A81"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2026</w:t>
            </w:r>
          </w:p>
        </w:tc>
        <w:tc>
          <w:tcPr>
            <w:tcW w:w="288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375051" w14:textId="7FD7B9DF" w:rsidR="0057163C" w:rsidRPr="00170422" w:rsidRDefault="00F37BF9">
            <w:pPr>
              <w:pStyle w:val="P68B1DB1-Normal104"/>
              <w:spacing w:before="120" w:after="120"/>
              <w:rPr>
                <w:rFonts w:eastAsia="Calibri"/>
                <w:noProof/>
                <w:lang w:val="de-DE"/>
              </w:rPr>
            </w:pPr>
            <w:r w:rsidRPr="00170422">
              <w:rPr>
                <w:noProof/>
                <w:lang w:val="de-DE"/>
              </w:rPr>
              <w:t xml:space="preserve">Die Produktion einheimischer EHR-Dokumente aus der Gesamtzahl der Dokumente beträgt 90 %. Das Ziel wird erreicht, indem auf </w:t>
            </w:r>
            <w:r w:rsidRPr="00170422">
              <w:rPr>
                <w:noProof/>
                <w:lang w:val="de-DE"/>
              </w:rPr>
              <w:t>dem EHR-Monitoring-Dashboard der Wert des Indikators 1 gemäß Anhang 2 des Erlasses vom 8. August 2022 auf nationaler Ebene überprüft und Änderungen zumindest in Bezug auf die folgenden Dokumente vorgenommen werden: Schreiben zur Krankenhausentlassung; Beri</w:t>
            </w:r>
            <w:r w:rsidRPr="00170422">
              <w:rPr>
                <w:noProof/>
                <w:lang w:val="de-DE"/>
              </w:rPr>
              <w:t>cht über den Notfallraum; Laborbericht; Radiologiebericht; Bericht über die pathologische Anatomie.</w:t>
            </w:r>
          </w:p>
        </w:tc>
      </w:tr>
      <w:tr w:rsidR="0057163C" w:rsidRPr="00170422" w14:paraId="1B5BCAA2" w14:textId="77777777" w:rsidTr="00DB5D07">
        <w:trPr>
          <w:trHeight w:val="313"/>
          <w:jc w:val="center"/>
        </w:trPr>
        <w:tc>
          <w:tcPr>
            <w:tcW w:w="1140" w:type="dxa"/>
            <w:shd w:val="clear" w:color="auto" w:fill="C6EFCE"/>
            <w:noWrap/>
            <w:vAlign w:val="center"/>
          </w:tcPr>
          <w:p w14:paraId="72588BDB" w14:textId="77777777" w:rsidR="0057163C" w:rsidRPr="00170422" w:rsidRDefault="00F37BF9">
            <w:pPr>
              <w:pStyle w:val="P68B1DB1-Normal11"/>
              <w:spacing w:before="120" w:after="120"/>
              <w:jc w:val="center"/>
              <w:rPr>
                <w:noProof/>
                <w:szCs w:val="20"/>
                <w:lang w:val="de-DE"/>
              </w:rPr>
            </w:pPr>
            <w:r w:rsidRPr="00170422">
              <w:rPr>
                <w:noProof/>
                <w:lang w:val="de-DE"/>
              </w:rPr>
              <w:t>M6C2-14</w:t>
            </w:r>
          </w:p>
        </w:tc>
        <w:tc>
          <w:tcPr>
            <w:tcW w:w="1418" w:type="dxa"/>
            <w:shd w:val="clear" w:color="auto" w:fill="C6EFCE"/>
            <w:noWrap/>
            <w:vAlign w:val="center"/>
          </w:tcPr>
          <w:p w14:paraId="49FA42E6"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2.2: Entwicklung von technischen, beruflichen, digitalen und Managementkompetenzen von Fachkräften des Gesundheitssystems</w:t>
            </w:r>
          </w:p>
        </w:tc>
        <w:tc>
          <w:tcPr>
            <w:tcW w:w="1134" w:type="dxa"/>
            <w:shd w:val="clear" w:color="auto" w:fill="C6EFCE"/>
            <w:noWrap/>
            <w:vAlign w:val="center"/>
          </w:tcPr>
          <w:p w14:paraId="20E55297" w14:textId="77777777" w:rsidR="0057163C" w:rsidRPr="00170422" w:rsidRDefault="00F37BF9">
            <w:pPr>
              <w:pStyle w:val="P68B1DB1-Normal103"/>
              <w:spacing w:before="120" w:after="120"/>
              <w:jc w:val="center"/>
              <w:rPr>
                <w:noProof/>
                <w:color w:val="006100"/>
                <w:szCs w:val="20"/>
                <w:lang w:val="de-DE"/>
              </w:rPr>
            </w:pPr>
            <w:r w:rsidRPr="00170422">
              <w:rPr>
                <w:noProof/>
                <w:lang w:val="de-DE"/>
              </w:rPr>
              <w:t>Ziel</w:t>
            </w:r>
          </w:p>
        </w:tc>
        <w:tc>
          <w:tcPr>
            <w:tcW w:w="1559" w:type="dxa"/>
            <w:shd w:val="clear" w:color="auto" w:fill="C6EFCE"/>
            <w:noWrap/>
            <w:vAlign w:val="center"/>
          </w:tcPr>
          <w:p w14:paraId="189E26F3" w14:textId="77777777" w:rsidR="0057163C" w:rsidRPr="00170422" w:rsidRDefault="00F37BF9">
            <w:pPr>
              <w:pStyle w:val="P68B1DB1-Normal103"/>
              <w:spacing w:before="120" w:after="120"/>
              <w:jc w:val="center"/>
              <w:rPr>
                <w:noProof/>
                <w:szCs w:val="20"/>
                <w:lang w:val="de-DE"/>
              </w:rPr>
            </w:pPr>
            <w:r w:rsidRPr="00170422">
              <w:rPr>
                <w:noProof/>
                <w:lang w:val="de-DE"/>
              </w:rPr>
              <w:t xml:space="preserve">Es </w:t>
            </w:r>
            <w:r w:rsidRPr="00170422">
              <w:rPr>
                <w:noProof/>
                <w:lang w:val="de-DE"/>
              </w:rPr>
              <w:t>werden Stipendien für eine spezifische Ausbildung in der Allgemeinmedizin vergeben.</w:t>
            </w:r>
          </w:p>
        </w:tc>
        <w:tc>
          <w:tcPr>
            <w:tcW w:w="1701" w:type="dxa"/>
            <w:shd w:val="clear" w:color="auto" w:fill="C6EFCE"/>
            <w:noWrap/>
            <w:vAlign w:val="center"/>
          </w:tcPr>
          <w:p w14:paraId="064905A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3A6BB00A"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Anzahl </w:t>
            </w:r>
          </w:p>
        </w:tc>
        <w:tc>
          <w:tcPr>
            <w:tcW w:w="1417" w:type="dxa"/>
            <w:shd w:val="clear" w:color="auto" w:fill="C6EFCE"/>
            <w:noWrap/>
            <w:vAlign w:val="center"/>
          </w:tcPr>
          <w:p w14:paraId="504D4294" w14:textId="77777777" w:rsidR="0057163C" w:rsidRPr="00170422" w:rsidRDefault="00F37BF9">
            <w:pPr>
              <w:pStyle w:val="P68B1DB1-Normal103"/>
              <w:spacing w:before="120" w:after="120"/>
              <w:jc w:val="center"/>
              <w:rPr>
                <w:noProof/>
                <w:color w:val="006100"/>
                <w:szCs w:val="20"/>
                <w:lang w:val="de-DE"/>
              </w:rPr>
            </w:pPr>
            <w:r w:rsidRPr="00170422">
              <w:rPr>
                <w:noProof/>
                <w:lang w:val="de-DE"/>
              </w:rPr>
              <w:t>0</w:t>
            </w:r>
          </w:p>
        </w:tc>
        <w:tc>
          <w:tcPr>
            <w:tcW w:w="993" w:type="dxa"/>
            <w:shd w:val="clear" w:color="auto" w:fill="C6EFCE"/>
            <w:noWrap/>
            <w:vAlign w:val="center"/>
          </w:tcPr>
          <w:p w14:paraId="3F000487" w14:textId="77777777" w:rsidR="0057163C" w:rsidRPr="00170422" w:rsidRDefault="00F37BF9">
            <w:pPr>
              <w:spacing w:before="120" w:after="120"/>
              <w:jc w:val="center"/>
              <w:rPr>
                <w:rFonts w:ascii="Arial Narrow" w:hAnsi="Arial Narrow"/>
                <w:noProof/>
                <w:color w:val="006100"/>
                <w:sz w:val="20"/>
                <w:szCs w:val="20"/>
                <w:lang w:val="de-DE"/>
              </w:rPr>
            </w:pPr>
            <w:r w:rsidRPr="00170422">
              <w:rPr>
                <w:rFonts w:ascii="Arial Narrow" w:hAnsi="Arial Narrow"/>
                <w:noProof/>
                <w:color w:val="006600"/>
                <w:sz w:val="20"/>
                <w:lang w:val="de-DE"/>
              </w:rPr>
              <w:t>1</w:t>
            </w:r>
            <w:r w:rsidRPr="00170422">
              <w:rPr>
                <w:noProof/>
                <w:sz w:val="23"/>
                <w:szCs w:val="23"/>
                <w:lang w:val="de-DE"/>
              </w:rPr>
              <w:t xml:space="preserve"> </w:t>
            </w:r>
            <w:r w:rsidRPr="00170422">
              <w:rPr>
                <w:rFonts w:ascii="Arial Narrow" w:hAnsi="Arial Narrow"/>
                <w:noProof/>
                <w:color w:val="006600"/>
                <w:sz w:val="20"/>
                <w:lang w:val="de-DE"/>
              </w:rPr>
              <w:t>800</w:t>
            </w:r>
          </w:p>
        </w:tc>
        <w:tc>
          <w:tcPr>
            <w:tcW w:w="865" w:type="dxa"/>
            <w:shd w:val="clear" w:color="auto" w:fill="C6EFCE"/>
            <w:noWrap/>
            <w:vAlign w:val="center"/>
          </w:tcPr>
          <w:p w14:paraId="7EBA83E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Q2</w:t>
            </w:r>
          </w:p>
        </w:tc>
        <w:tc>
          <w:tcPr>
            <w:tcW w:w="721" w:type="dxa"/>
            <w:shd w:val="clear" w:color="auto" w:fill="C6EFCE"/>
            <w:noWrap/>
            <w:vAlign w:val="center"/>
          </w:tcPr>
          <w:p w14:paraId="5464604F"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2023</w:t>
            </w:r>
          </w:p>
        </w:tc>
        <w:tc>
          <w:tcPr>
            <w:tcW w:w="2881" w:type="dxa"/>
            <w:shd w:val="clear" w:color="auto" w:fill="C6EFCE"/>
            <w:noWrap/>
            <w:vAlign w:val="center"/>
          </w:tcPr>
          <w:p w14:paraId="29CF9389" w14:textId="4054461F" w:rsidR="0057163C" w:rsidRPr="00170422" w:rsidRDefault="00F37BF9">
            <w:pPr>
              <w:pStyle w:val="P68B1DB1-Normal103"/>
              <w:spacing w:before="120" w:after="120"/>
              <w:rPr>
                <w:rFonts w:eastAsia="Calibri"/>
                <w:noProof/>
                <w:szCs w:val="20"/>
                <w:lang w:val="de-DE"/>
              </w:rPr>
            </w:pPr>
            <w:r w:rsidRPr="00170422">
              <w:rPr>
                <w:noProof/>
                <w:lang w:val="de-DE"/>
              </w:rPr>
              <w:t>Mit dieser Investition sollen die Stipendien für den spezifischen Lehrgang in der Allgemeinmedizin erhöht werden, um den Abschluss von dre</w:t>
            </w:r>
            <w:r w:rsidRPr="00170422">
              <w:rPr>
                <w:noProof/>
                <w:lang w:val="de-DE"/>
              </w:rPr>
              <w:t>i dreijährigen Ausbildungszyklen zu gewährleisten.</w:t>
            </w:r>
          </w:p>
        </w:tc>
      </w:tr>
      <w:tr w:rsidR="0057163C" w:rsidRPr="00170422" w14:paraId="6141FF9A" w14:textId="77777777" w:rsidTr="00DB5D07">
        <w:trPr>
          <w:trHeight w:val="313"/>
          <w:jc w:val="center"/>
        </w:trPr>
        <w:tc>
          <w:tcPr>
            <w:tcW w:w="1140" w:type="dxa"/>
            <w:shd w:val="clear" w:color="auto" w:fill="C6EFCE"/>
            <w:noWrap/>
            <w:vAlign w:val="center"/>
          </w:tcPr>
          <w:p w14:paraId="2B7976DA" w14:textId="77777777" w:rsidR="0057163C" w:rsidRPr="00170422" w:rsidRDefault="00F37BF9">
            <w:pPr>
              <w:pStyle w:val="P68B1DB1-Normal11"/>
              <w:spacing w:before="120" w:after="120"/>
              <w:jc w:val="center"/>
              <w:rPr>
                <w:noProof/>
                <w:szCs w:val="20"/>
                <w:lang w:val="de-DE"/>
              </w:rPr>
            </w:pPr>
            <w:r w:rsidRPr="00170422">
              <w:rPr>
                <w:noProof/>
                <w:lang w:val="de-DE"/>
              </w:rPr>
              <w:t>M6C2-15</w:t>
            </w:r>
          </w:p>
        </w:tc>
        <w:tc>
          <w:tcPr>
            <w:tcW w:w="1418" w:type="dxa"/>
            <w:shd w:val="clear" w:color="auto" w:fill="C6EFCE"/>
            <w:noWrap/>
            <w:vAlign w:val="center"/>
          </w:tcPr>
          <w:p w14:paraId="6DD16667" w14:textId="77777777" w:rsidR="0057163C" w:rsidRPr="00170422" w:rsidRDefault="00F37BF9">
            <w:pPr>
              <w:pStyle w:val="P68B1DB1-Normal103"/>
              <w:spacing w:before="120" w:after="120"/>
              <w:jc w:val="center"/>
              <w:rPr>
                <w:noProof/>
                <w:color w:val="006100"/>
                <w:szCs w:val="20"/>
                <w:lang w:val="de-DE"/>
              </w:rPr>
            </w:pPr>
            <w:r w:rsidRPr="00170422">
              <w:rPr>
                <w:noProof/>
                <w:lang w:val="de-DE"/>
              </w:rPr>
              <w:t>Investition 2.2: Entwicklung von technischen, beruflichen, digitalen und Managementkompetenzen von Fachkräften des Gesundheitssystems</w:t>
            </w:r>
          </w:p>
        </w:tc>
        <w:tc>
          <w:tcPr>
            <w:tcW w:w="1134" w:type="dxa"/>
            <w:shd w:val="clear" w:color="auto" w:fill="C6EFCE"/>
            <w:noWrap/>
            <w:vAlign w:val="center"/>
          </w:tcPr>
          <w:p w14:paraId="15527C20" w14:textId="77777777" w:rsidR="0057163C" w:rsidRPr="00170422" w:rsidRDefault="00F37BF9">
            <w:pPr>
              <w:pStyle w:val="P68B1DB1-Normal103"/>
              <w:spacing w:before="120" w:after="120"/>
              <w:jc w:val="center"/>
              <w:rPr>
                <w:noProof/>
                <w:color w:val="006100"/>
                <w:szCs w:val="20"/>
                <w:lang w:val="de-DE"/>
              </w:rPr>
            </w:pPr>
            <w:r w:rsidRPr="00170422">
              <w:rPr>
                <w:noProof/>
                <w:lang w:val="de-DE"/>
              </w:rPr>
              <w:t>Ziel</w:t>
            </w:r>
          </w:p>
        </w:tc>
        <w:tc>
          <w:tcPr>
            <w:tcW w:w="1559" w:type="dxa"/>
            <w:shd w:val="clear" w:color="auto" w:fill="C6EFCE"/>
            <w:noWrap/>
            <w:vAlign w:val="center"/>
          </w:tcPr>
          <w:p w14:paraId="18709119" w14:textId="77777777" w:rsidR="0057163C" w:rsidRPr="00170422" w:rsidRDefault="00F37BF9">
            <w:pPr>
              <w:pStyle w:val="P68B1DB1-Normal103"/>
              <w:spacing w:before="120" w:after="120"/>
              <w:jc w:val="center"/>
              <w:rPr>
                <w:noProof/>
                <w:szCs w:val="20"/>
                <w:lang w:val="de-DE"/>
              </w:rPr>
            </w:pPr>
            <w:r w:rsidRPr="00170422">
              <w:rPr>
                <w:noProof/>
                <w:lang w:val="de-DE"/>
              </w:rPr>
              <w:t xml:space="preserve">Es werden zusätzliche Stipendien für eine spezifische </w:t>
            </w:r>
            <w:r w:rsidRPr="00170422">
              <w:rPr>
                <w:noProof/>
                <w:lang w:val="de-DE"/>
              </w:rPr>
              <w:t>Ausbildung in der Allgemeinmedizin vergeben.</w:t>
            </w:r>
          </w:p>
        </w:tc>
        <w:tc>
          <w:tcPr>
            <w:tcW w:w="1701" w:type="dxa"/>
            <w:shd w:val="clear" w:color="auto" w:fill="C6EFCE"/>
            <w:noWrap/>
            <w:vAlign w:val="center"/>
          </w:tcPr>
          <w:p w14:paraId="317B2BC6" w14:textId="77777777" w:rsidR="0057163C" w:rsidRPr="00170422" w:rsidRDefault="00F37BF9">
            <w:pPr>
              <w:pStyle w:val="P68B1DB1-Normal103"/>
              <w:spacing w:before="120" w:after="120"/>
              <w:jc w:val="center"/>
              <w:rPr>
                <w:noProof/>
                <w:color w:val="006100"/>
                <w:szCs w:val="20"/>
                <w:lang w:val="de-DE"/>
              </w:rPr>
            </w:pPr>
            <w:r w:rsidRPr="00170422">
              <w:rPr>
                <w:noProof/>
                <w:lang w:val="de-DE"/>
              </w:rPr>
              <w:t>ENTFÄLLT.</w:t>
            </w:r>
          </w:p>
        </w:tc>
        <w:tc>
          <w:tcPr>
            <w:tcW w:w="1276" w:type="dxa"/>
            <w:shd w:val="clear" w:color="auto" w:fill="C6EFCE"/>
            <w:noWrap/>
            <w:vAlign w:val="center"/>
          </w:tcPr>
          <w:p w14:paraId="5D4B0D8A" w14:textId="77777777" w:rsidR="0057163C" w:rsidRPr="00170422" w:rsidRDefault="00F37BF9">
            <w:pPr>
              <w:pStyle w:val="P68B1DB1-Normal103"/>
              <w:spacing w:before="120" w:after="120"/>
              <w:jc w:val="center"/>
              <w:rPr>
                <w:rFonts w:eastAsia="Calibri"/>
                <w:noProof/>
                <w:szCs w:val="20"/>
                <w:lang w:val="de-DE"/>
              </w:rPr>
            </w:pPr>
            <w:r w:rsidRPr="00170422">
              <w:rPr>
                <w:noProof/>
                <w:lang w:val="de-DE"/>
              </w:rPr>
              <w:t xml:space="preserve">Anzahl </w:t>
            </w:r>
          </w:p>
        </w:tc>
        <w:tc>
          <w:tcPr>
            <w:tcW w:w="1417" w:type="dxa"/>
            <w:shd w:val="clear" w:color="auto" w:fill="C6EFCE"/>
            <w:noWrap/>
            <w:vAlign w:val="center"/>
          </w:tcPr>
          <w:p w14:paraId="23535355" w14:textId="77777777" w:rsidR="0057163C" w:rsidRPr="00170422" w:rsidRDefault="00F37BF9">
            <w:pPr>
              <w:spacing w:before="120" w:after="120"/>
              <w:jc w:val="center"/>
              <w:rPr>
                <w:rFonts w:ascii="Arial Narrow" w:hAnsi="Arial Narrow"/>
                <w:noProof/>
                <w:color w:val="006100"/>
                <w:sz w:val="20"/>
                <w:szCs w:val="20"/>
                <w:lang w:val="de-DE"/>
              </w:rPr>
            </w:pPr>
            <w:r w:rsidRPr="00170422">
              <w:rPr>
                <w:rFonts w:ascii="Arial Narrow" w:hAnsi="Arial Narrow"/>
                <w:noProof/>
                <w:color w:val="006600"/>
                <w:sz w:val="20"/>
                <w:lang w:val="de-DE"/>
              </w:rPr>
              <w:t>1</w:t>
            </w:r>
            <w:r w:rsidRPr="00170422">
              <w:rPr>
                <w:noProof/>
                <w:sz w:val="23"/>
                <w:szCs w:val="23"/>
                <w:lang w:val="de-DE"/>
              </w:rPr>
              <w:t xml:space="preserve"> </w:t>
            </w:r>
            <w:r w:rsidRPr="00170422">
              <w:rPr>
                <w:rFonts w:ascii="Arial Narrow" w:hAnsi="Arial Narrow"/>
                <w:noProof/>
                <w:color w:val="006600"/>
                <w:sz w:val="20"/>
                <w:lang w:val="de-DE"/>
              </w:rPr>
              <w:t>800</w:t>
            </w:r>
          </w:p>
        </w:tc>
        <w:tc>
          <w:tcPr>
            <w:tcW w:w="993" w:type="dxa"/>
            <w:shd w:val="clear" w:color="auto" w:fill="C6EFCE"/>
            <w:noWrap/>
            <w:vAlign w:val="center"/>
          </w:tcPr>
          <w:p w14:paraId="4EB0A272" w14:textId="77777777" w:rsidR="0057163C" w:rsidRPr="00170422" w:rsidRDefault="00F37BF9">
            <w:pPr>
              <w:spacing w:before="120" w:after="120"/>
              <w:jc w:val="center"/>
              <w:rPr>
                <w:rFonts w:ascii="Arial Narrow" w:hAnsi="Arial Narrow"/>
                <w:noProof/>
                <w:color w:val="006100"/>
                <w:sz w:val="20"/>
                <w:szCs w:val="20"/>
                <w:lang w:val="de-DE"/>
              </w:rPr>
            </w:pPr>
            <w:r w:rsidRPr="00170422">
              <w:rPr>
                <w:rFonts w:ascii="Arial Narrow" w:hAnsi="Arial Narrow"/>
                <w:noProof/>
                <w:color w:val="006600"/>
                <w:sz w:val="20"/>
                <w:lang w:val="de-DE"/>
              </w:rPr>
              <w:t>2</w:t>
            </w:r>
            <w:r w:rsidRPr="00170422">
              <w:rPr>
                <w:noProof/>
                <w:sz w:val="23"/>
                <w:szCs w:val="23"/>
                <w:lang w:val="de-DE"/>
              </w:rPr>
              <w:t xml:space="preserve"> </w:t>
            </w:r>
            <w:r w:rsidRPr="00170422">
              <w:rPr>
                <w:rFonts w:ascii="Arial Narrow" w:hAnsi="Arial Narrow"/>
                <w:noProof/>
                <w:color w:val="006600"/>
                <w:sz w:val="20"/>
                <w:lang w:val="de-DE"/>
              </w:rPr>
              <w:t>700</w:t>
            </w:r>
          </w:p>
        </w:tc>
        <w:tc>
          <w:tcPr>
            <w:tcW w:w="865" w:type="dxa"/>
            <w:shd w:val="clear" w:color="auto" w:fill="C6EFCE"/>
            <w:noWrap/>
            <w:vAlign w:val="center"/>
          </w:tcPr>
          <w:p w14:paraId="6954BC97" w14:textId="77777777" w:rsidR="0057163C" w:rsidRPr="00170422" w:rsidRDefault="00F37BF9">
            <w:pPr>
              <w:pStyle w:val="P68B1DB1-Normal103"/>
              <w:spacing w:before="120" w:after="120"/>
              <w:jc w:val="center"/>
              <w:rPr>
                <w:noProof/>
                <w:color w:val="006100"/>
                <w:szCs w:val="20"/>
                <w:lang w:val="de-DE"/>
              </w:rPr>
            </w:pPr>
            <w:r w:rsidRPr="00170422">
              <w:rPr>
                <w:noProof/>
                <w:lang w:val="de-DE"/>
              </w:rPr>
              <w:t>Q2</w:t>
            </w:r>
          </w:p>
        </w:tc>
        <w:tc>
          <w:tcPr>
            <w:tcW w:w="721" w:type="dxa"/>
            <w:shd w:val="clear" w:color="auto" w:fill="C6EFCE"/>
            <w:noWrap/>
            <w:vAlign w:val="center"/>
          </w:tcPr>
          <w:p w14:paraId="72D3CA23" w14:textId="77777777" w:rsidR="0057163C" w:rsidRPr="00170422" w:rsidRDefault="00F37BF9">
            <w:pPr>
              <w:pStyle w:val="P68B1DB1-Normal103"/>
              <w:spacing w:before="120" w:after="120"/>
              <w:jc w:val="center"/>
              <w:rPr>
                <w:noProof/>
                <w:color w:val="006100"/>
                <w:szCs w:val="20"/>
                <w:lang w:val="de-DE"/>
              </w:rPr>
            </w:pPr>
            <w:r w:rsidRPr="00170422">
              <w:rPr>
                <w:noProof/>
                <w:lang w:val="de-DE"/>
              </w:rPr>
              <w:t>2024</w:t>
            </w:r>
          </w:p>
        </w:tc>
        <w:tc>
          <w:tcPr>
            <w:tcW w:w="2881" w:type="dxa"/>
            <w:shd w:val="clear" w:color="auto" w:fill="C6EFCE"/>
            <w:noWrap/>
            <w:vAlign w:val="center"/>
          </w:tcPr>
          <w:p w14:paraId="41FEA663" w14:textId="77777777" w:rsidR="0057163C" w:rsidRPr="00170422" w:rsidRDefault="00F37BF9">
            <w:pPr>
              <w:pStyle w:val="P68B1DB1-Normal103"/>
              <w:spacing w:before="120" w:after="120"/>
              <w:rPr>
                <w:rFonts w:eastAsia="Calibri"/>
                <w:noProof/>
                <w:szCs w:val="20"/>
                <w:lang w:val="de-DE"/>
              </w:rPr>
            </w:pPr>
            <w:r w:rsidRPr="00170422">
              <w:rPr>
                <w:noProof/>
                <w:lang w:val="de-DE"/>
              </w:rPr>
              <w:t>Mit dieser Investition sollen die Stipendien für den spezifischen Lehrgang in der Allgemeinmedizin erhöht werden, um den Abschluss von drei dreijährigen Ausbildungszyklen zu</w:t>
            </w:r>
            <w:r w:rsidRPr="00170422">
              <w:rPr>
                <w:noProof/>
                <w:lang w:val="de-DE"/>
              </w:rPr>
              <w:t xml:space="preserve"> gewährleisten.</w:t>
            </w:r>
          </w:p>
        </w:tc>
      </w:tr>
    </w:tbl>
    <w:p w14:paraId="7C05B642" w14:textId="77777777" w:rsidR="0057163C" w:rsidRPr="00170422" w:rsidRDefault="0057163C">
      <w:pPr>
        <w:pStyle w:val="Text1"/>
        <w:ind w:left="0"/>
        <w:rPr>
          <w:rFonts w:eastAsiaTheme="majorEastAsia"/>
          <w:b/>
          <w:bCs/>
          <w:smallCaps/>
          <w:noProof/>
          <w:szCs w:val="28"/>
          <w:lang w:val="de-DE"/>
        </w:rPr>
        <w:sectPr w:rsidR="0057163C" w:rsidRPr="00170422" w:rsidSect="005F11B9">
          <w:headerReference w:type="even" r:id="rId310"/>
          <w:headerReference w:type="default" r:id="rId311"/>
          <w:footerReference w:type="even" r:id="rId312"/>
          <w:footerReference w:type="default" r:id="rId313"/>
          <w:headerReference w:type="first" r:id="rId314"/>
          <w:footerReference w:type="first" r:id="rId315"/>
          <w:pgSz w:w="16839" w:h="11907" w:orient="landscape"/>
          <w:pgMar w:top="1440" w:right="1440" w:bottom="1440" w:left="1440" w:header="567" w:footer="567" w:gutter="0"/>
          <w:cols w:space="720"/>
          <w:docGrid w:linePitch="360"/>
        </w:sectPr>
      </w:pPr>
    </w:p>
    <w:p w14:paraId="2912CA9F" w14:textId="1E8DDE12" w:rsidR="0057163C" w:rsidRPr="00170422" w:rsidRDefault="00F37BF9">
      <w:pPr>
        <w:pStyle w:val="P68B1DB1-Heading23"/>
        <w:ind w:left="1080"/>
        <w:rPr>
          <w:bCs/>
          <w:noProof/>
          <w:lang w:val="de-DE"/>
        </w:rPr>
      </w:pPr>
      <w:r w:rsidRPr="00170422">
        <w:rPr>
          <w:noProof/>
          <w:lang w:val="de-DE"/>
        </w:rPr>
        <w:t>Q.MISSION 7: REPowerEU</w:t>
      </w:r>
    </w:p>
    <w:p w14:paraId="50F407CF" w14:textId="77777777" w:rsidR="0057163C" w:rsidRPr="00170422" w:rsidRDefault="00F37BF9">
      <w:pPr>
        <w:pStyle w:val="P68B1DB1-paragraph105"/>
        <w:spacing w:before="0" w:beforeAutospacing="0" w:after="120" w:afterAutospacing="0"/>
        <w:jc w:val="both"/>
        <w:textAlignment w:val="baseline"/>
        <w:rPr>
          <w:noProof/>
          <w:lang w:val="de-DE"/>
        </w:rPr>
      </w:pPr>
      <w:r w:rsidRPr="00170422">
        <w:rPr>
          <w:noProof/>
          <w:lang w:val="de-DE"/>
        </w:rPr>
        <w:t xml:space="preserve">Das REPowerEU-Kapitel zielt darauf ab, die Fernleitungs- und Verteilernetze, auch im Zusammenhang mit Gas, zu stärken; Beschleunigung der Energieerzeugung aus </w:t>
      </w:r>
      <w:r w:rsidRPr="00170422">
        <w:rPr>
          <w:noProof/>
          <w:lang w:val="de-DE"/>
        </w:rPr>
        <w:t>erneuerbaren Quellen, Senkung der Energienachfrage, Steigerung der Energieeffizienz und Schaffung von Kompetenzen im öffentlichen und privaten Sektor für den ökologischen Wandel; Förderung der Wertschöpfungsketten für erneuerbare Energien und Wasserstoff d</w:t>
      </w:r>
      <w:r w:rsidRPr="00170422">
        <w:rPr>
          <w:noProof/>
          <w:lang w:val="de-DE"/>
        </w:rPr>
        <w:t>urch Maßnahmen zur Erleichterung des Zugangs zu Krediten und Steuergutschriften.</w:t>
      </w:r>
    </w:p>
    <w:p w14:paraId="3CDC6611" w14:textId="77777777" w:rsidR="0057163C" w:rsidRPr="00170422" w:rsidRDefault="00F37BF9">
      <w:pPr>
        <w:pStyle w:val="P68B1DB1-paragraph105"/>
        <w:spacing w:before="0" w:beforeAutospacing="0" w:after="120" w:afterAutospacing="0"/>
        <w:jc w:val="both"/>
        <w:textAlignment w:val="baseline"/>
        <w:rPr>
          <w:noProof/>
          <w:lang w:val="de-DE"/>
        </w:rPr>
      </w:pPr>
      <w:r w:rsidRPr="00170422">
        <w:rPr>
          <w:noProof/>
          <w:lang w:val="de-DE"/>
        </w:rPr>
        <w:t>Mit der Komponente werden die länderspezifischen Empfehlungen an Italien in den Jahren 2022 und 2023 umgesetzt. Sie zielt insbesondere darauf ab, den Ausbau zusätzlicher Kapaz</w:t>
      </w:r>
      <w:r w:rsidRPr="00170422">
        <w:rPr>
          <w:noProof/>
          <w:lang w:val="de-DE"/>
        </w:rPr>
        <w:t>itäten für erneuerbare Energien durch Investitionen in große Stromverbindungsleitungen (nämlich zwei Verbindungsleitungen zwischen Sardinien und Sizilien und dem Festland), den Ausbau des nationalen Übertragungsnetzes und die Straffung der Genehmigungsverf</w:t>
      </w:r>
      <w:r w:rsidRPr="00170422">
        <w:rPr>
          <w:noProof/>
          <w:lang w:val="de-DE"/>
        </w:rPr>
        <w:t>ahren zu beschleunigen. Sie trägt dazu bei, die Kapazitäten für die interne Gasfernleitung zu erhöhen, um Engpässe zu überwinden, Energieimporte zu diversifizieren und die Versorgungssicherheit zu stärken. Sie fördert eine nachhaltige Mobilität, indem umwe</w:t>
      </w:r>
      <w:r w:rsidRPr="00170422">
        <w:rPr>
          <w:noProof/>
          <w:lang w:val="de-DE"/>
        </w:rPr>
        <w:t>ltschädliche Subventionen verringert und die Eisenbahnflotte gestärkt werden. Sie trägt dazu bei, die Abhängigkeit von fossilen Brennstoffen zu verringern, indem sie den Verbrauch der Haushalte elektrifiziert und die Widerstandsfähigkeit des Netzes erhöht.</w:t>
      </w:r>
      <w:r w:rsidRPr="00170422">
        <w:rPr>
          <w:noProof/>
          <w:lang w:val="de-DE"/>
        </w:rPr>
        <w:t xml:space="preserve"> Sie trägt zur Steigerung der Energieeffizienz im Wohn- und Unternehmenssektor bei, unter anderem durch gezielte Anreizsysteme und Finanzinstrumente. Schließlich umfasst sie Reformen und Investitionen zur Verbesserung der Bereitstellung und des Erwerbs der</w:t>
      </w:r>
      <w:r w:rsidRPr="00170422">
        <w:rPr>
          <w:noProof/>
          <w:lang w:val="de-DE"/>
        </w:rPr>
        <w:t xml:space="preserve"> Kompetenzen, die für den ökologischen Wandel – sowohl im privaten als auch im öffentlichen Sektor – erforderlich sind.</w:t>
      </w:r>
    </w:p>
    <w:p w14:paraId="6E447A28" w14:textId="77777777" w:rsidR="0057163C" w:rsidRPr="00170422" w:rsidRDefault="00F37BF9">
      <w:pPr>
        <w:pStyle w:val="P68B1DB1-paragraph105"/>
        <w:spacing w:before="0" w:beforeAutospacing="0" w:after="120" w:afterAutospacing="0"/>
        <w:jc w:val="both"/>
        <w:textAlignment w:val="baseline"/>
        <w:rPr>
          <w:rFonts w:eastAsia="Calibri"/>
          <w:noProof/>
          <w:lang w:val="de-DE"/>
        </w:rPr>
      </w:pPr>
      <w:r w:rsidRPr="00170422">
        <w:rPr>
          <w:noProof/>
          <w:lang w:val="de-DE"/>
        </w:rPr>
        <w:t>Neun Projekte haben eine grenzüberschreitende Dimension. Drei davon haben direkte grenzüberschreitende Auswirkungen: 1) eine Investition</w:t>
      </w:r>
      <w:r w:rsidRPr="00170422">
        <w:rPr>
          <w:noProof/>
          <w:lang w:val="de-DE"/>
        </w:rPr>
        <w:t xml:space="preserve"> zum Bau einer elektrischen Verbindungsleitung zwischen Sardinien, Korsika und der Toskana; 3. eine Investition in eine Kompressorstation, die den Gasexport nach Mitteleuropa steigern wird. Andere Projekte kommen den grenzüberschreitenden Mitgliedstaaten i</w:t>
      </w:r>
      <w:r w:rsidRPr="00170422">
        <w:rPr>
          <w:noProof/>
          <w:lang w:val="de-DE"/>
        </w:rPr>
        <w:t>ndirekt zugute, da sie Engpässe bei der internen Energieübertragung und -verteilung beseitigen und die Effizienz und Widerstandsfähigkeit des Netzes erhöhen.</w:t>
      </w:r>
    </w:p>
    <w:p w14:paraId="540F4485" w14:textId="436101D0" w:rsidR="0057163C" w:rsidRPr="00170422" w:rsidRDefault="00F37BF9">
      <w:pPr>
        <w:pStyle w:val="P68B1DB1-Normal7"/>
        <w:spacing w:after="120"/>
        <w:jc w:val="both"/>
        <w:rPr>
          <w:noProof/>
          <w:lang w:val="de-DE"/>
        </w:rPr>
      </w:pPr>
      <w:r w:rsidRPr="00170422">
        <w:rPr>
          <w:noProof/>
          <w:lang w:val="de-DE"/>
        </w:rPr>
        <w:t>Es wird davon ausgegangen, dass keine Maßnahme im Rahmen dieser Komponente die Umweltziele im Sinn</w:t>
      </w:r>
      <w:r w:rsidRPr="00170422">
        <w:rPr>
          <w:noProof/>
          <w:lang w:val="de-DE"/>
        </w:rPr>
        <w:t xml:space="preserve">e des Artikels 17 der Verordnung (EU) 2020/852 erheblich beeinträchtigt, wobei die Beschreibung der Maßnahmen und Abhilfemaßnahmen, die im Aufbau- und Resilienzplan im Einklang mit den technischen Leitlinien „Vermeidung erheblicher Beeinträchtigungen“ </w:t>
      </w:r>
      <w:r w:rsidRPr="00170422">
        <w:rPr>
          <w:noProof/>
          <w:color w:val="000000" w:themeColor="text1"/>
          <w:lang w:val="de-DE"/>
        </w:rPr>
        <w:t>(</w:t>
      </w:r>
      <w:r w:rsidRPr="00170422">
        <w:rPr>
          <w:noProof/>
          <w:lang w:val="de-DE"/>
        </w:rPr>
        <w:t>C(2</w:t>
      </w:r>
      <w:r w:rsidRPr="00170422">
        <w:rPr>
          <w:noProof/>
          <w:lang w:val="de-DE"/>
        </w:rPr>
        <w:t xml:space="preserve">023) 6454 final) festgelegt sind, zu berücksichtigen </w:t>
      </w:r>
      <w:r w:rsidR="00DB5D07" w:rsidRPr="00170422">
        <w:rPr>
          <w:noProof/>
          <w:lang w:val="de-DE"/>
        </w:rPr>
        <w:t>ist,</w:t>
      </w:r>
      <w:r w:rsidR="00DB5D07" w:rsidRPr="00170422">
        <w:rPr>
          <w:noProof/>
          <w:color w:val="000000" w:themeColor="text1"/>
          <w:lang w:val="de-DE"/>
        </w:rPr>
        <w:t xml:space="preserve"> während</w:t>
      </w:r>
      <w:r w:rsidRPr="00170422">
        <w:rPr>
          <w:noProof/>
          <w:lang w:val="de-DE"/>
        </w:rPr>
        <w:t xml:space="preserve"> der Grundsatz der „Vermeidung erheblicher Beeinträchtigungen“ gemäß Artikel 21c Absatz 6 der Verordnung (EU) 2021/241 nicht für die Investition 13 – Adriatic Line 1 (Kompressorstation Sulmon</w:t>
      </w:r>
      <w:r w:rsidRPr="00170422">
        <w:rPr>
          <w:noProof/>
          <w:lang w:val="de-DE"/>
        </w:rPr>
        <w:t>a und Sestino-Minerbio-Gaspipeline) und die Investition 14 – Grenzüberschreitende Gasausfuhrinfrastruktur gilt.</w:t>
      </w:r>
    </w:p>
    <w:p w14:paraId="68C4830C" w14:textId="77777777" w:rsidR="0057163C" w:rsidRPr="00170422" w:rsidRDefault="00F37BF9">
      <w:pPr>
        <w:pStyle w:val="P68B1DB1-Heading368"/>
        <w:ind w:left="850" w:hanging="850"/>
        <w:rPr>
          <w:noProof/>
          <w:lang w:val="de-DE"/>
        </w:rPr>
      </w:pPr>
      <w:r w:rsidRPr="00170422">
        <w:rPr>
          <w:noProof/>
          <w:lang w:val="de-DE"/>
        </w:rPr>
        <w:t xml:space="preserve">FRAGE 1. </w:t>
      </w:r>
      <w:r w:rsidRPr="00170422">
        <w:rPr>
          <w:noProof/>
          <w:lang w:val="de-DE"/>
        </w:rPr>
        <w:tab/>
        <w:t>Beschreibung der Reformen und Investitionen für nicht rückzahlbare finanzielle Unterstützung</w:t>
      </w:r>
    </w:p>
    <w:p w14:paraId="55E4504E" w14:textId="77777777" w:rsidR="0057163C" w:rsidRPr="00170422" w:rsidRDefault="00F37BF9">
      <w:pPr>
        <w:pStyle w:val="Heading4"/>
        <w:rPr>
          <w:rStyle w:val="normaltextrun"/>
          <w:rFonts w:ascii="Times New Roman" w:hAnsi="Times New Roman" w:cs="Times New Roman"/>
          <w:b/>
          <w:i w:val="0"/>
          <w:noProof/>
          <w:color w:val="000000" w:themeColor="text1"/>
          <w:lang w:val="de-DE"/>
        </w:rPr>
      </w:pPr>
      <w:r w:rsidRPr="00170422">
        <w:rPr>
          <w:rStyle w:val="normaltextrun"/>
          <w:rFonts w:ascii="Times New Roman" w:hAnsi="Times New Roman" w:cs="Times New Roman"/>
          <w:b/>
          <w:i w:val="0"/>
          <w:noProof/>
          <w:color w:val="000000" w:themeColor="text1"/>
          <w:lang w:val="de-DE"/>
        </w:rPr>
        <w:t>Reform 1. Straffung der Genehmigungsverfa</w:t>
      </w:r>
      <w:r w:rsidRPr="00170422">
        <w:rPr>
          <w:rStyle w:val="normaltextrun"/>
          <w:rFonts w:ascii="Times New Roman" w:hAnsi="Times New Roman" w:cs="Times New Roman"/>
          <w:b/>
          <w:i w:val="0"/>
          <w:noProof/>
          <w:color w:val="000000" w:themeColor="text1"/>
          <w:lang w:val="de-DE"/>
        </w:rPr>
        <w:t xml:space="preserve">hren für erneuerbare Energien auf zentraler und lokaler Ebene </w:t>
      </w:r>
    </w:p>
    <w:p w14:paraId="32E99E39" w14:textId="10AF1124" w:rsidR="0057163C" w:rsidRPr="00170422" w:rsidRDefault="00F37BF9">
      <w:pPr>
        <w:pStyle w:val="P68B1DB1-Text143"/>
        <w:spacing w:before="0"/>
        <w:ind w:left="0"/>
        <w:rPr>
          <w:noProof/>
          <w:lang w:val="de-DE"/>
        </w:rPr>
      </w:pPr>
      <w:r w:rsidRPr="00170422">
        <w:rPr>
          <w:rFonts w:eastAsiaTheme="minorHAnsi"/>
          <w:noProof/>
          <w:kern w:val="2"/>
          <w:lang w:val="de-DE"/>
        </w:rPr>
        <w:t>Ziel dieser Reform ist es, die bestehenden Rechtsvorschriften und Bestimmungen über die Genehmigung erneuerbarer Energiequellen zu konsolidieren und zu straffen. Die Reform besteht in der Annah</w:t>
      </w:r>
      <w:r w:rsidRPr="00170422">
        <w:rPr>
          <w:rFonts w:eastAsiaTheme="minorHAnsi"/>
          <w:noProof/>
          <w:kern w:val="2"/>
          <w:lang w:val="de-DE"/>
        </w:rPr>
        <w:t>me und dem</w:t>
      </w:r>
      <w:r w:rsidRPr="00170422">
        <w:rPr>
          <w:noProof/>
          <w:lang w:val="de-DE"/>
        </w:rPr>
        <w:t xml:space="preserve"> </w:t>
      </w:r>
      <w:r w:rsidRPr="00170422">
        <w:rPr>
          <w:rFonts w:eastAsiaTheme="minorHAnsi"/>
          <w:noProof/>
          <w:kern w:val="2"/>
          <w:lang w:val="de-DE"/>
        </w:rPr>
        <w:t>Inkrafttreten eines Rechtsakts (auch bekannt</w:t>
      </w:r>
      <w:r w:rsidRPr="00170422">
        <w:rPr>
          <w:noProof/>
          <w:lang w:val="de-DE"/>
        </w:rPr>
        <w:t xml:space="preserve"> als </w:t>
      </w:r>
      <w:r w:rsidRPr="00170422">
        <w:rPr>
          <w:i/>
          <w:noProof/>
          <w:lang w:val="de-DE"/>
        </w:rPr>
        <w:t>Testo Unico</w:t>
      </w:r>
      <w:r w:rsidRPr="00170422">
        <w:rPr>
          <w:noProof/>
          <w:lang w:val="de-DE"/>
        </w:rPr>
        <w:t>)</w:t>
      </w:r>
      <w:r w:rsidRPr="00170422">
        <w:rPr>
          <w:rFonts w:eastAsiaTheme="minorHAnsi"/>
          <w:noProof/>
          <w:kern w:val="2"/>
          <w:lang w:val="de-DE"/>
        </w:rPr>
        <w:t xml:space="preserve">, mit dem die Normen für die Genehmigung erneuerbarer Energien gesammelt, zusammengestellt und konsolidiert werden und frühere Rechtsvorschriften in diesem Bereich ersetzt werden. Die </w:t>
      </w:r>
      <w:r w:rsidRPr="00170422">
        <w:rPr>
          <w:rFonts w:eastAsiaTheme="minorHAnsi"/>
          <w:noProof/>
          <w:kern w:val="2"/>
          <w:lang w:val="de-DE"/>
        </w:rPr>
        <w:t xml:space="preserve">Reform zielt auch darauf ab, den Rechtsrahmen für die Ermittlung von „beschleunigten Beschleunigungsgebieten für erneuerbare Energien“ zu schaffen und eine digitale Plattform für einen einzigen Zugang zur Beantragung von Genehmigungen für die Installation </w:t>
      </w:r>
      <w:r w:rsidRPr="00170422">
        <w:rPr>
          <w:rFonts w:eastAsiaTheme="minorHAnsi"/>
          <w:noProof/>
          <w:kern w:val="2"/>
          <w:lang w:val="de-DE"/>
        </w:rPr>
        <w:t>erneuerbarer Energiequellen auf nationaler und subnationaler Ebene einzurichten.</w:t>
      </w:r>
    </w:p>
    <w:p w14:paraId="4767BB09" w14:textId="77777777" w:rsidR="0057163C" w:rsidRPr="00170422" w:rsidRDefault="00F37BF9">
      <w:pPr>
        <w:pStyle w:val="Heading4"/>
        <w:numPr>
          <w:ilvl w:val="3"/>
          <w:numId w:val="0"/>
        </w:numPr>
        <w:spacing w:line="240" w:lineRule="auto"/>
        <w:rPr>
          <w:rStyle w:val="normaltextrun"/>
          <w:rFonts w:ascii="Times New Roman" w:eastAsiaTheme="minorEastAsia" w:hAnsi="Times New Roman" w:cs="Times New Roman"/>
          <w:b/>
          <w:i w:val="0"/>
          <w:iCs w:val="0"/>
          <w:noProof/>
          <w:snapToGrid w:val="0"/>
          <w:color w:val="000000" w:themeColor="text1"/>
          <w:sz w:val="0"/>
          <w:szCs w:val="0"/>
          <w:u w:color="000000"/>
          <w:bdr w:val="none" w:sz="0" w:space="0" w:color="000000"/>
          <w:shd w:val="clear" w:color="000000" w:fill="000000"/>
          <w:lang w:val="de-DE"/>
        </w:rPr>
      </w:pPr>
      <w:r w:rsidRPr="00170422">
        <w:rPr>
          <w:noProof/>
          <w:lang w:val="de-DE"/>
        </w:rPr>
        <w:br w:type="page"/>
      </w:r>
      <w:r w:rsidRPr="00170422">
        <w:rPr>
          <w:rStyle w:val="normaltextrun"/>
          <w:rFonts w:ascii="Times New Roman" w:hAnsi="Times New Roman" w:cs="Times New Roman"/>
          <w:b/>
          <w:i w:val="0"/>
          <w:noProof/>
          <w:color w:val="000000" w:themeColor="text1"/>
          <w:lang w:val="de-DE"/>
        </w:rPr>
        <w:t>Reform 2. Verringerung umweltschädlicher Subventionen</w:t>
      </w:r>
    </w:p>
    <w:p w14:paraId="717F294D" w14:textId="5C045CB0" w:rsidR="0057163C" w:rsidRPr="00170422" w:rsidRDefault="00F37BF9">
      <w:pPr>
        <w:pStyle w:val="P68B1DB1-Normal27"/>
        <w:spacing w:after="120" w:line="240" w:lineRule="auto"/>
        <w:jc w:val="both"/>
        <w:rPr>
          <w:noProof/>
          <w:lang w:val="de-DE"/>
        </w:rPr>
      </w:pPr>
      <w:r w:rsidRPr="00170422">
        <w:rPr>
          <w:noProof/>
          <w:lang w:val="de-DE"/>
        </w:rPr>
        <w:t xml:space="preserve">Ziel dieser Reform ist es, auf der Grundlage des von MASE veröffentlichten Katalogs umweltschädlicher Subventionen 2022 </w:t>
      </w:r>
      <w:r w:rsidRPr="00170422">
        <w:rPr>
          <w:noProof/>
          <w:lang w:val="de-DE"/>
        </w:rPr>
        <w:t>zu einer Verringerung umweltschädlicher Subventionen zu führen. Die Reform besteht in der Annahme eines Berichts über die Konsultation der Interessenträger und von Rechtsakten.</w:t>
      </w:r>
    </w:p>
    <w:p w14:paraId="3660516E" w14:textId="77777777" w:rsidR="0057163C" w:rsidRPr="00170422" w:rsidRDefault="00F37BF9">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lang w:val="de-DE"/>
        </w:rPr>
      </w:pPr>
      <w:r w:rsidRPr="00170422">
        <w:rPr>
          <w:rStyle w:val="normaltextrun"/>
          <w:rFonts w:ascii="Times New Roman" w:hAnsi="Times New Roman" w:cs="Times New Roman"/>
          <w:b/>
          <w:i w:val="0"/>
          <w:noProof/>
          <w:color w:val="000000" w:themeColor="text1"/>
          <w:lang w:val="de-DE"/>
        </w:rPr>
        <w:t>Reform 3. Senkung der Kosten für den Anschluss an das Biomethan-Gasnetz</w:t>
      </w:r>
    </w:p>
    <w:p w14:paraId="2820B683" w14:textId="4DFED333" w:rsidR="0057163C" w:rsidRPr="00170422" w:rsidRDefault="00F37BF9">
      <w:pPr>
        <w:pStyle w:val="P68B1DB1-Text1106"/>
        <w:spacing w:before="0"/>
        <w:ind w:left="0"/>
        <w:rPr>
          <w:noProof/>
          <w:lang w:val="de-DE"/>
        </w:rPr>
      </w:pPr>
      <w:r w:rsidRPr="00170422">
        <w:rPr>
          <w:noProof/>
          <w:lang w:val="de-DE"/>
        </w:rPr>
        <w:t>Ziel de</w:t>
      </w:r>
      <w:r w:rsidRPr="00170422">
        <w:rPr>
          <w:noProof/>
          <w:lang w:val="de-DE"/>
        </w:rPr>
        <w:t>r Reform ist es, die Einbeziehung von Biomethan in das Energiesystem und den Energiemarkt zu erleichtern und neue nachhaltige Kapazitäten zur Erzeugung von Biomethan im Einklang mit der Richtlinie (EU) 2018/2001 (Erneuerbare-Richtlinie) und ihren delegiert</w:t>
      </w:r>
      <w:r w:rsidRPr="00170422">
        <w:rPr>
          <w:noProof/>
          <w:lang w:val="de-DE"/>
        </w:rPr>
        <w:t>en Rechtsakten zu schaffen und insbesondere die Flexibilität und Effizienz des Erdgasnetzes zu fördern, indem die Umstellung auf Biomethan erleichtert wird. Die Reform besteht aus dem Inkrafttreten von Rechtsakten zur Senkung der Anschlusskosten nachhaltig</w:t>
      </w:r>
      <w:r w:rsidRPr="00170422">
        <w:rPr>
          <w:noProof/>
          <w:lang w:val="de-DE"/>
        </w:rPr>
        <w:t>er Biomethanerzeugungsanlagen und zur Förderung von Investitionen, die auf die Einführung von nachhaltigem Biomethan in Erdgasnetzen abzielen.</w:t>
      </w:r>
    </w:p>
    <w:p w14:paraId="0A06995C" w14:textId="77777777" w:rsidR="0057163C" w:rsidRPr="00170422" w:rsidRDefault="00F37BF9">
      <w:pPr>
        <w:pStyle w:val="P68B1DB1-Heading4107"/>
        <w:rPr>
          <w:noProof/>
          <w:lang w:val="de-DE"/>
        </w:rPr>
      </w:pPr>
      <w:r w:rsidRPr="00170422">
        <w:rPr>
          <w:noProof/>
          <w:lang w:val="de-DE"/>
        </w:rPr>
        <w:t>Reform 4. Minderung des finanziellen Risikos im Zusammenhang mit Strombezugsverträgen für erneuerbare Energien (P</w:t>
      </w:r>
      <w:r w:rsidRPr="00170422">
        <w:rPr>
          <w:noProof/>
          <w:lang w:val="de-DE"/>
        </w:rPr>
        <w:t>ower Purchase Agreements)</w:t>
      </w:r>
    </w:p>
    <w:p w14:paraId="3A3602C3" w14:textId="77777777" w:rsidR="0057163C" w:rsidRPr="00170422" w:rsidRDefault="00F37BF9">
      <w:pPr>
        <w:pStyle w:val="P68B1DB1-Text143"/>
        <w:spacing w:before="0"/>
        <w:ind w:left="0"/>
        <w:rPr>
          <w:noProof/>
          <w:lang w:val="de-DE"/>
        </w:rPr>
      </w:pPr>
      <w:r w:rsidRPr="00170422">
        <w:rPr>
          <w:noProof/>
          <w:lang w:val="de-DE"/>
        </w:rPr>
        <w:t xml:space="preserve">Ziel der Reform ist die Schaffung eines Systems von Garantien zur Minderung des finanziellen Risikos im Zusammenhang mit Verträgen über den Bezug von Strom aus erneuerbaren Quellen mit einer Laufzeit von mindestens drei Jahren. </w:t>
      </w:r>
    </w:p>
    <w:p w14:paraId="4514D05A" w14:textId="77777777" w:rsidR="0057163C" w:rsidRPr="00170422" w:rsidRDefault="00F37BF9">
      <w:pPr>
        <w:pStyle w:val="P68B1DB1-Text143"/>
        <w:spacing w:before="0"/>
        <w:ind w:left="0"/>
        <w:rPr>
          <w:noProof/>
          <w:lang w:val="de-DE"/>
        </w:rPr>
      </w:pPr>
      <w:r w:rsidRPr="00170422">
        <w:rPr>
          <w:noProof/>
          <w:lang w:val="de-DE"/>
        </w:rPr>
        <w:t xml:space="preserve">Mit der Reform wird Folgendes erreicht: </w:t>
      </w:r>
    </w:p>
    <w:p w14:paraId="4A89DA8C" w14:textId="77777777" w:rsidR="0057163C" w:rsidRPr="00170422" w:rsidRDefault="00F37BF9">
      <w:pPr>
        <w:pStyle w:val="P68B1DB1-Text143"/>
        <w:numPr>
          <w:ilvl w:val="0"/>
          <w:numId w:val="45"/>
        </w:numPr>
        <w:spacing w:before="0"/>
        <w:rPr>
          <w:noProof/>
          <w:lang w:val="de-DE"/>
        </w:rPr>
      </w:pPr>
      <w:r w:rsidRPr="00170422">
        <w:rPr>
          <w:noProof/>
          <w:lang w:val="de-DE"/>
        </w:rPr>
        <w:t xml:space="preserve">von jedem Betreiber zu verlangen, dass er eine teilweise Deckung des Gegenwerts der Strombezugsverträge durch auf dem Strommarkt bereitgestellte Garantieinstrumente garantiert; </w:t>
      </w:r>
    </w:p>
    <w:p w14:paraId="2591FC23" w14:textId="77777777" w:rsidR="0057163C" w:rsidRPr="00170422" w:rsidRDefault="00F37BF9">
      <w:pPr>
        <w:pStyle w:val="P68B1DB1-Text143"/>
        <w:numPr>
          <w:ilvl w:val="0"/>
          <w:numId w:val="45"/>
        </w:numPr>
        <w:spacing w:before="0"/>
        <w:rPr>
          <w:noProof/>
          <w:lang w:val="de-DE"/>
        </w:rPr>
      </w:pPr>
      <w:r w:rsidRPr="00170422">
        <w:rPr>
          <w:noProof/>
          <w:lang w:val="de-DE"/>
        </w:rPr>
        <w:t>Einführung von Maßnahmen zur Minderun</w:t>
      </w:r>
      <w:r w:rsidRPr="00170422">
        <w:rPr>
          <w:noProof/>
          <w:lang w:val="de-DE"/>
        </w:rPr>
        <w:t>g des Ausfallrisikos, einschließlich Anforderungen und Einschränkungen für den Bieter und regulatorische Sanktionen im Falle eines Ausfalls des Herstellers;</w:t>
      </w:r>
    </w:p>
    <w:p w14:paraId="6C8284EF" w14:textId="43F92B5C" w:rsidR="0057163C" w:rsidRPr="00170422" w:rsidRDefault="00F37BF9">
      <w:pPr>
        <w:pStyle w:val="P68B1DB1-Text143"/>
        <w:numPr>
          <w:ilvl w:val="0"/>
          <w:numId w:val="45"/>
        </w:numPr>
        <w:spacing w:before="0"/>
        <w:rPr>
          <w:noProof/>
          <w:lang w:val="de-DE"/>
        </w:rPr>
      </w:pPr>
      <w:r w:rsidRPr="00170422">
        <w:rPr>
          <w:noProof/>
          <w:lang w:val="de-DE"/>
        </w:rPr>
        <w:t>Ermittlung einer institutionellen Einheit, die die Rolle eines Verkäufers/Käufers letzter Instanz ü</w:t>
      </w:r>
      <w:r w:rsidRPr="00170422">
        <w:rPr>
          <w:noProof/>
          <w:lang w:val="de-DE"/>
        </w:rPr>
        <w:t xml:space="preserve">bernimmt, der von der ausfallenden Gegenpartei übernehmen und die Erfüllung der gegenüber der leistungsstarken Gegenpartei eingegangenen Verpflichtungen sicherstellen würde. </w:t>
      </w:r>
    </w:p>
    <w:p w14:paraId="3FC40882" w14:textId="77777777" w:rsidR="0057163C" w:rsidRPr="00170422" w:rsidRDefault="00F37BF9">
      <w:pPr>
        <w:pStyle w:val="P68B1DB1-Heading4107"/>
        <w:spacing w:line="240" w:lineRule="auto"/>
        <w:ind w:left="850" w:hanging="850"/>
        <w:rPr>
          <w:noProof/>
          <w:lang w:val="de-DE"/>
        </w:rPr>
      </w:pPr>
      <w:bookmarkStart w:id="24" w:name="_Hlk160472416"/>
      <w:r w:rsidRPr="00170422">
        <w:rPr>
          <w:noProof/>
          <w:lang w:val="de-DE"/>
        </w:rPr>
        <w:t>Reform 5. Plan für neue Kompetenzen – Übergänge</w:t>
      </w:r>
    </w:p>
    <w:bookmarkEnd w:id="24"/>
    <w:p w14:paraId="5E872CCE" w14:textId="49014E79" w:rsidR="0057163C" w:rsidRPr="00170422" w:rsidRDefault="00F37BF9">
      <w:pPr>
        <w:pStyle w:val="P68B1DB1-Normal7"/>
        <w:spacing w:after="120" w:line="240" w:lineRule="auto"/>
        <w:jc w:val="both"/>
        <w:rPr>
          <w:rFonts w:eastAsia="Times New Roman"/>
          <w:noProof/>
          <w:lang w:val="de-DE"/>
        </w:rPr>
      </w:pPr>
      <w:r w:rsidRPr="00170422">
        <w:rPr>
          <w:noProof/>
          <w:lang w:val="de-DE"/>
        </w:rPr>
        <w:t xml:space="preserve">Ziel der Reform ist es, die </w:t>
      </w:r>
      <w:r w:rsidRPr="00170422">
        <w:rPr>
          <w:noProof/>
          <w:lang w:val="de-DE"/>
        </w:rPr>
        <w:t>Ausbildungsprogramme besser an die Erfordernisse des Arbeitsmarktes anzupassen, um das Missverhältnis zwischen Qualifikationsangebot und -nachfrage zu bekämpfen, wobei ein besonderes Augenmerk auf grüne und digitale Kompetenzen gelegt wird. Diese Reform be</w:t>
      </w:r>
      <w:r w:rsidRPr="00170422">
        <w:rPr>
          <w:noProof/>
          <w:lang w:val="de-DE"/>
        </w:rPr>
        <w:t>steht in der Annahme und dem Inkrafttreten von Rechtsakten auf nationaler Ebene, mit denen der neue Kompetenzplan („Piano Nuove Competenze – Transizioni“) und regionale Rechtsakte aktualisiert werden.</w:t>
      </w:r>
    </w:p>
    <w:p w14:paraId="02CEC2EA" w14:textId="77777777" w:rsidR="0057163C" w:rsidRPr="00170422" w:rsidRDefault="00F37BF9">
      <w:pPr>
        <w:pStyle w:val="Heading4"/>
        <w:spacing w:line="240" w:lineRule="auto"/>
        <w:ind w:left="850" w:hanging="850"/>
        <w:rPr>
          <w:rStyle w:val="normaltextrun"/>
          <w:rFonts w:ascii="Times New Roman" w:eastAsiaTheme="minorEastAsia" w:hAnsi="Times New Roman" w:cs="Times New Roman"/>
          <w:b/>
          <w:i w:val="0"/>
          <w:iCs w:val="0"/>
          <w:noProof/>
          <w:color w:val="000000" w:themeColor="text1"/>
          <w:lang w:val="de-DE"/>
        </w:rPr>
      </w:pPr>
      <w:r w:rsidRPr="00170422">
        <w:rPr>
          <w:rStyle w:val="normaltextrun"/>
          <w:rFonts w:ascii="Times New Roman" w:hAnsi="Times New Roman" w:cs="Times New Roman"/>
          <w:b/>
          <w:i w:val="0"/>
          <w:noProof/>
          <w:color w:val="000000" w:themeColor="text1"/>
          <w:lang w:val="de-DE"/>
        </w:rPr>
        <w:t>Investition 1. Ausgeweitete Maßnahme: Intelligente Netz</w:t>
      </w:r>
      <w:r w:rsidRPr="00170422">
        <w:rPr>
          <w:rStyle w:val="normaltextrun"/>
          <w:rFonts w:ascii="Times New Roman" w:hAnsi="Times New Roman" w:cs="Times New Roman"/>
          <w:b/>
          <w:i w:val="0"/>
          <w:noProof/>
          <w:color w:val="000000" w:themeColor="text1"/>
          <w:lang w:val="de-DE"/>
        </w:rPr>
        <w:t>e</w:t>
      </w:r>
    </w:p>
    <w:p w14:paraId="511849F2" w14:textId="77777777" w:rsidR="0057163C" w:rsidRPr="00170422" w:rsidRDefault="00F37BF9">
      <w:pPr>
        <w:pStyle w:val="Text1"/>
        <w:spacing w:before="0"/>
        <w:ind w:left="0"/>
        <w:rPr>
          <w:noProof/>
          <w:lang w:val="de-DE"/>
        </w:rPr>
      </w:pPr>
      <w:r w:rsidRPr="00170422">
        <w:rPr>
          <w:noProof/>
          <w:lang w:val="de-DE"/>
        </w:rPr>
        <w:t>Ziel dieser Investition ist es, das Stromverteilungsnetz als Aufstockung der Investition 2.1 (Stärkung intelligenter Netze) im Rahmen der Komponente 2 von Mission 2 zu digitalisieren. Die Investition besteht aus Interventionen in Mittel- und Niederspannu</w:t>
      </w:r>
      <w:r w:rsidRPr="00170422">
        <w:rPr>
          <w:noProof/>
          <w:lang w:val="de-DE"/>
        </w:rPr>
        <w:t>ngsnetzen, wodurch der Energieverbrauch von mindestens 230000 mehr Einwohnern als in der M2C2-Maßnahme vorgesehen elektrifiziert wird.</w:t>
      </w:r>
    </w:p>
    <w:p w14:paraId="2BD9B8F0" w14:textId="77777777" w:rsidR="0057163C" w:rsidRPr="00170422" w:rsidRDefault="00F37BF9">
      <w:pPr>
        <w:pStyle w:val="Heading4"/>
        <w:spacing w:line="240" w:lineRule="auto"/>
        <w:ind w:left="850" w:hanging="850"/>
        <w:jc w:val="both"/>
        <w:rPr>
          <w:rStyle w:val="normaltextrun"/>
          <w:rFonts w:ascii="Times New Roman" w:hAnsi="Times New Roman" w:cs="Times New Roman"/>
          <w:b/>
          <w:i w:val="0"/>
          <w:iCs w:val="0"/>
          <w:noProof/>
          <w:color w:val="000000" w:themeColor="text1"/>
          <w:lang w:val="de-DE"/>
        </w:rPr>
      </w:pPr>
      <w:r w:rsidRPr="00170422">
        <w:rPr>
          <w:rStyle w:val="normaltextrun"/>
          <w:rFonts w:ascii="Times New Roman" w:hAnsi="Times New Roman" w:cs="Times New Roman"/>
          <w:b/>
          <w:i w:val="0"/>
          <w:noProof/>
          <w:color w:val="000000" w:themeColor="text1"/>
          <w:lang w:val="de-DE"/>
        </w:rPr>
        <w:t>Investition 2. Ausgeweitete Maßnahme: Interventionen zur Erhöhung der Widerstandsfähigkeit des Stromnetzes</w:t>
      </w:r>
    </w:p>
    <w:p w14:paraId="5A988882" w14:textId="522C60EE" w:rsidR="0057163C" w:rsidRPr="00170422" w:rsidRDefault="00F37BF9">
      <w:pPr>
        <w:pStyle w:val="P68B1DB1-Text143"/>
        <w:spacing w:before="0"/>
        <w:ind w:left="0"/>
        <w:rPr>
          <w:noProof/>
          <w:lang w:val="de-DE"/>
        </w:rPr>
      </w:pPr>
      <w:r w:rsidRPr="00170422">
        <w:rPr>
          <w:noProof/>
          <w:lang w:val="de-DE"/>
        </w:rPr>
        <w:t>Ziel dieser In</w:t>
      </w:r>
      <w:r w:rsidRPr="00170422">
        <w:rPr>
          <w:noProof/>
          <w:lang w:val="de-DE"/>
        </w:rPr>
        <w:t>vestition ist es, die Widerstandsfähigkeit des Stromnetzes gegenüber extremen Wetterereignissen durch eine Aufstockung der Investition 2.2 im Rahmen der Komponente 2 von Mission 2 zu erhöhen. Die Investition besteht in der Gewährung von Zuschüssen an Übert</w:t>
      </w:r>
      <w:r w:rsidRPr="00170422">
        <w:rPr>
          <w:noProof/>
          <w:lang w:val="de-DE"/>
        </w:rPr>
        <w:t>ragungs- und Verteilernetzbetreiber für Arbeiten an der Strominfrastruktur, die einer erhöhten Widerstandsfähigkeit für mindestens 648 km Stromnetz entsprechen, zusätzlich zu dem, was bereits in der M2C2-Maßnahme vorgesehen ist.</w:t>
      </w:r>
    </w:p>
    <w:p w14:paraId="28B9BB58" w14:textId="77777777" w:rsidR="0057163C" w:rsidRPr="00170422" w:rsidRDefault="00F37BF9">
      <w:pPr>
        <w:pStyle w:val="P68B1DB1-Heading4107"/>
        <w:spacing w:line="240" w:lineRule="auto"/>
        <w:jc w:val="both"/>
        <w:rPr>
          <w:noProof/>
          <w:lang w:val="de-DE"/>
        </w:rPr>
      </w:pPr>
      <w:r w:rsidRPr="00170422">
        <w:rPr>
          <w:noProof/>
          <w:lang w:val="de-DE"/>
        </w:rPr>
        <w:t>Investition 3. Ausgeweitete</w:t>
      </w:r>
      <w:r w:rsidRPr="00170422">
        <w:rPr>
          <w:noProof/>
          <w:lang w:val="de-DE"/>
        </w:rPr>
        <w:t xml:space="preserve"> Maßnahme: Wasserstoffproduktion auf Brachflächen (Hydrogen Valleys)</w:t>
      </w:r>
    </w:p>
    <w:p w14:paraId="7854E9D2" w14:textId="77777777" w:rsidR="0057163C" w:rsidRPr="00170422" w:rsidRDefault="00F37BF9">
      <w:pPr>
        <w:pStyle w:val="P68B1DB1-Text143"/>
        <w:spacing w:before="0"/>
        <w:ind w:left="0"/>
        <w:rPr>
          <w:noProof/>
          <w:lang w:val="de-DE"/>
        </w:rPr>
      </w:pPr>
      <w:r w:rsidRPr="00170422">
        <w:rPr>
          <w:noProof/>
          <w:lang w:val="de-DE"/>
        </w:rPr>
        <w:t>Ziel dieser Investition ist die Schaffung neuer Wasserstofftäler, d. h. die lokale Erzeugung und Nutzung von erneuerbarem Wasserstoff in der Industrie, in KMU und im lokalen Verkehr als A</w:t>
      </w:r>
      <w:r w:rsidRPr="00170422">
        <w:rPr>
          <w:noProof/>
          <w:lang w:val="de-DE"/>
        </w:rPr>
        <w:t>ufstockung der Investition 3.1 im Rahmen der Komponente 2 von Mission 2. Die Scale-up-Investition besteht in der Durchführung von zwei zusätzlichen Projekten zur Erzeugung von Wasserstoff in aufgegebenen Industriegebieten im Vergleich zu den Projekten, die</w:t>
      </w:r>
      <w:r w:rsidRPr="00170422">
        <w:rPr>
          <w:noProof/>
          <w:lang w:val="de-DE"/>
        </w:rPr>
        <w:t xml:space="preserve"> im Rahmen der Investition 3.1 im Rahmen der Komponente 2 von Mission 2 vorgesehen sind.</w:t>
      </w:r>
    </w:p>
    <w:p w14:paraId="6C9B08BC" w14:textId="77777777" w:rsidR="0057163C" w:rsidRPr="00170422" w:rsidRDefault="00F37BF9">
      <w:pPr>
        <w:pStyle w:val="P68B1DB1-Heading4107"/>
        <w:ind w:left="850" w:hanging="850"/>
        <w:rPr>
          <w:noProof/>
          <w:lang w:val="de-DE"/>
        </w:rPr>
      </w:pPr>
      <w:r w:rsidRPr="00170422">
        <w:rPr>
          <w:noProof/>
          <w:lang w:val="de-DE"/>
        </w:rPr>
        <w:t>Investition 4. Tyrrhenischer Link</w:t>
      </w:r>
    </w:p>
    <w:p w14:paraId="12AB006C" w14:textId="77777777" w:rsidR="0057163C" w:rsidRPr="00170422" w:rsidRDefault="00F37BF9">
      <w:pPr>
        <w:pStyle w:val="P68B1DB1-Text143"/>
        <w:spacing w:before="0"/>
        <w:ind w:left="0"/>
        <w:rPr>
          <w:noProof/>
          <w:lang w:val="de-DE"/>
        </w:rPr>
      </w:pPr>
      <w:r w:rsidRPr="00170422">
        <w:rPr>
          <w:noProof/>
          <w:lang w:val="de-DE"/>
        </w:rPr>
        <w:t>Ziel dieser Investition ist es, die Integration Süditaliens in das nationale Übertragungsnetz zu verbessern. Diese Investition besteh</w:t>
      </w:r>
      <w:r w:rsidRPr="00170422">
        <w:rPr>
          <w:noProof/>
          <w:lang w:val="de-DE"/>
        </w:rPr>
        <w:t>t im Bau der „Östlichen Verbindungsleitung“ der Tyrrhenischen Verbindungsleitung zwischen Sizilien und Kampanien, insbesondere der Verlegung der Direktstromkabel zwischen Eboli und Caracoli.</w:t>
      </w:r>
    </w:p>
    <w:p w14:paraId="453BE6E8" w14:textId="77777777" w:rsidR="0057163C" w:rsidRPr="00170422" w:rsidRDefault="00F37BF9">
      <w:pPr>
        <w:pStyle w:val="P68B1DB1-Normal5"/>
        <w:rPr>
          <w:noProof/>
          <w:lang w:val="de-DE"/>
        </w:rPr>
      </w:pPr>
      <w:r w:rsidRPr="00170422">
        <w:rPr>
          <w:noProof/>
          <w:lang w:val="de-DE"/>
        </w:rPr>
        <w:t>Investition 5. SA.CO.I.3</w:t>
      </w:r>
    </w:p>
    <w:p w14:paraId="26162A8C" w14:textId="77777777" w:rsidR="0057163C" w:rsidRPr="00170422" w:rsidRDefault="00F37BF9">
      <w:pPr>
        <w:pStyle w:val="P68B1DB1-Text143"/>
        <w:spacing w:before="0"/>
        <w:ind w:left="0"/>
        <w:rPr>
          <w:noProof/>
          <w:lang w:val="de-DE"/>
        </w:rPr>
      </w:pPr>
      <w:r w:rsidRPr="00170422">
        <w:rPr>
          <w:noProof/>
          <w:lang w:val="de-DE"/>
        </w:rPr>
        <w:t>Ziel dieser Investition ist die Modernis</w:t>
      </w:r>
      <w:r w:rsidRPr="00170422">
        <w:rPr>
          <w:noProof/>
          <w:lang w:val="de-DE"/>
        </w:rPr>
        <w:t>ierung der Stromübertragungsinfrastruktur, die Sardinien über Korsika mit dem Rest Italiens verbindet, und die verstärkte Integration Sardiniens in das nationale Übertragungsnetz. Diese Investition besteht in dem Bau der Schalen (externe Infrastruktur) der</w:t>
      </w:r>
      <w:r w:rsidRPr="00170422">
        <w:rPr>
          <w:noProof/>
          <w:lang w:val="de-DE"/>
        </w:rPr>
        <w:t xml:space="preserve"> Umwandlungsstationen in Codrongianos und Suvereto für das Verbundprojekt „Sardinian-Korsika-Italien 3“.</w:t>
      </w:r>
    </w:p>
    <w:p w14:paraId="3B6B15A6" w14:textId="77777777" w:rsidR="0057163C" w:rsidRPr="00170422" w:rsidRDefault="00F37BF9">
      <w:pPr>
        <w:pStyle w:val="P68B1DB1-Heading4108"/>
        <w:rPr>
          <w:noProof/>
          <w:lang w:val="de-DE"/>
        </w:rPr>
      </w:pPr>
      <w:r w:rsidRPr="00170422">
        <w:rPr>
          <w:noProof/>
          <w:lang w:val="de-DE"/>
        </w:rPr>
        <w:t xml:space="preserve">Investition 7. Intelligentes nationales Übertragungsnetz </w:t>
      </w:r>
    </w:p>
    <w:p w14:paraId="162A6483" w14:textId="77777777" w:rsidR="0057163C" w:rsidRPr="00170422" w:rsidRDefault="00F37BF9">
      <w:pPr>
        <w:pStyle w:val="P68B1DB1-Text143"/>
        <w:spacing w:before="0"/>
        <w:ind w:left="0"/>
        <w:rPr>
          <w:noProof/>
          <w:lang w:val="de-DE"/>
        </w:rPr>
      </w:pPr>
      <w:r w:rsidRPr="00170422">
        <w:rPr>
          <w:noProof/>
          <w:lang w:val="de-DE"/>
        </w:rPr>
        <w:t xml:space="preserve">Ziel dieser Investition ist es, das nationale Übertragungsnetz zu digitalisieren und das vom </w:t>
      </w:r>
      <w:r w:rsidRPr="00170422">
        <w:rPr>
          <w:noProof/>
          <w:lang w:val="de-DE"/>
        </w:rPr>
        <w:t>Übertragungsnetzbetreiber betriebene Verwaltungs- und Kontrollsystem zu verbessern. Die Investition besteht in der Installation von sicheren Protokoll-104- und 5G-Geräten oder einer IKT-Architektur in Stromstationen sowie von industriellen IoT-Überwachungs</w:t>
      </w:r>
      <w:r w:rsidRPr="00170422">
        <w:rPr>
          <w:noProof/>
          <w:lang w:val="de-DE"/>
        </w:rPr>
        <w:t>systemen auf Stromspeichern.</w:t>
      </w:r>
    </w:p>
    <w:p w14:paraId="735EBBF2" w14:textId="77777777" w:rsidR="0057163C" w:rsidRPr="00170422" w:rsidRDefault="00F37BF9">
      <w:pPr>
        <w:pStyle w:val="P68B1DB1-Heading4109"/>
        <w:ind w:left="850" w:hanging="850"/>
        <w:rPr>
          <w:b/>
          <w:bCs/>
          <w:i w:val="0"/>
          <w:iCs w:val="0"/>
          <w:noProof/>
          <w:color w:val="000000" w:themeColor="text1"/>
          <w:lang w:val="de-DE"/>
        </w:rPr>
      </w:pPr>
      <w:r w:rsidRPr="00170422">
        <w:rPr>
          <w:noProof/>
          <w:lang w:val="de-DE"/>
        </w:rPr>
        <w:t xml:space="preserve"> </w:t>
      </w:r>
      <w:r w:rsidRPr="00170422">
        <w:rPr>
          <w:b/>
          <w:i w:val="0"/>
          <w:iCs w:val="0"/>
          <w:noProof/>
          <w:color w:val="000000" w:themeColor="text1"/>
          <w:lang w:val="de-DE"/>
        </w:rPr>
        <w:t>Investition 8. Nachhaltige, kreislauforientierte und sichere Versorgung mit kritischen Rohstoffen</w:t>
      </w:r>
    </w:p>
    <w:p w14:paraId="145D2243" w14:textId="19C7EFF6" w:rsidR="0057163C" w:rsidRPr="00170422" w:rsidRDefault="00F37BF9">
      <w:pPr>
        <w:pStyle w:val="P68B1DB1-Text143"/>
        <w:spacing w:before="0"/>
        <w:ind w:left="0"/>
        <w:rPr>
          <w:noProof/>
          <w:lang w:val="de-DE"/>
        </w:rPr>
      </w:pPr>
      <w:r w:rsidRPr="00170422">
        <w:rPr>
          <w:noProof/>
          <w:lang w:val="de-DE"/>
        </w:rPr>
        <w:t xml:space="preserve">Ziel dieser Investition ist es, die Rückgewinnung und das Recycling kritischer Rohstoffe und damit die Wertschöpfungsketten für </w:t>
      </w:r>
      <w:r w:rsidRPr="00170422">
        <w:rPr>
          <w:noProof/>
          <w:lang w:val="de-DE"/>
        </w:rPr>
        <w:t>kritische Rohstoffe und Technologien im Zusammenhang mit dem ökologischen Wandel zu unterstützen. Die Investition besteht in der Analyse des künftigen Bedarfs an kritischen Rohstoffen und des Potenzials des Ökodesigns zur Verringerung ihrer Nachfrage sowie</w:t>
      </w:r>
      <w:r w:rsidRPr="00170422">
        <w:rPr>
          <w:noProof/>
          <w:lang w:val="de-DE"/>
        </w:rPr>
        <w:t xml:space="preserve"> in der Unterstützung der Einrichtung einer öffentlichen Datenbank für die Lokalisierung von „städtischen Bergwerken“ und Abfällen in stillgelegten Bergwerken. Sie umfasst auch die Finanzierung von FuE-Projekten in den Bereichen Ökodesign und Recycling von</w:t>
      </w:r>
      <w:r w:rsidRPr="00170422">
        <w:rPr>
          <w:noProof/>
          <w:lang w:val="de-DE"/>
        </w:rPr>
        <w:t xml:space="preserve"> Elektro- und Elektronik-Altgeräten sowie die Ausstattung von Labors, um eine zentrale Drehscheibe für den städtischen Bergbau und die umweltgerechte Gestaltung zu schaffen.</w:t>
      </w:r>
      <w:r w:rsidRPr="00170422">
        <w:rPr>
          <w:rFonts w:eastAsiaTheme="minorEastAsia"/>
          <w:noProof/>
          <w:lang w:val="de-DE"/>
        </w:rPr>
        <w:t xml:space="preserve"> </w:t>
      </w:r>
    </w:p>
    <w:p w14:paraId="53F814D1" w14:textId="77777777" w:rsidR="0057163C" w:rsidRPr="00170422" w:rsidRDefault="00F37BF9">
      <w:pPr>
        <w:pStyle w:val="P68B1DB1-Normal5"/>
        <w:spacing w:after="120"/>
        <w:ind w:right="-45"/>
        <w:jc w:val="both"/>
        <w:rPr>
          <w:bCs/>
          <w:noProof/>
          <w:color w:val="000000" w:themeColor="text1"/>
          <w:lang w:val="de-DE"/>
        </w:rPr>
      </w:pPr>
      <w:r w:rsidRPr="00170422">
        <w:rPr>
          <w:noProof/>
          <w:lang w:val="de-DE"/>
        </w:rPr>
        <w:t>Investition 10. Pilotprojekt zu Kompetenzen „Crescere Green“</w:t>
      </w:r>
    </w:p>
    <w:p w14:paraId="6F4383C5" w14:textId="11F8EF0B" w:rsidR="0057163C" w:rsidRPr="00170422" w:rsidRDefault="00F37BF9">
      <w:pPr>
        <w:pStyle w:val="P68B1DB1-Normal7"/>
        <w:spacing w:after="120"/>
        <w:jc w:val="both"/>
        <w:rPr>
          <w:noProof/>
          <w:color w:val="000000" w:themeColor="text1"/>
          <w:lang w:val="de-DE"/>
        </w:rPr>
      </w:pPr>
      <w:r w:rsidRPr="00170422">
        <w:rPr>
          <w:noProof/>
          <w:lang w:val="de-DE"/>
        </w:rPr>
        <w:t>Ziel dieser Inve</w:t>
      </w:r>
      <w:r w:rsidRPr="00170422">
        <w:rPr>
          <w:noProof/>
          <w:lang w:val="de-DE"/>
        </w:rPr>
        <w:t xml:space="preserve">stition ist die Förderung grüner Kompetenzen unter Einbeziehung des Privatsektors. </w:t>
      </w:r>
      <w:r w:rsidRPr="00170422">
        <w:rPr>
          <w:noProof/>
          <w:color w:val="000000" w:themeColor="text1"/>
          <w:lang w:val="de-DE"/>
        </w:rPr>
        <w:t>Die Maßnahme besteht in kurzen Schulungsmaßnahmen mit Schwerpunkt auf grünen Kompetenzen.</w:t>
      </w:r>
    </w:p>
    <w:p w14:paraId="0C230159" w14:textId="77777777" w:rsidR="0057163C" w:rsidRPr="00170422" w:rsidRDefault="00F37BF9">
      <w:pPr>
        <w:pStyle w:val="P68B1DB1-Heading4110"/>
        <w:rPr>
          <w:bCs/>
          <w:noProof/>
          <w:lang w:val="de-DE"/>
        </w:rPr>
      </w:pPr>
      <w:r w:rsidRPr="00170422">
        <w:rPr>
          <w:noProof/>
          <w:lang w:val="de-DE"/>
        </w:rPr>
        <w:t>Investition 11. Stärkung der regionalen Eisenbahnflotte des öffentlichen Verkehrs m</w:t>
      </w:r>
      <w:r w:rsidRPr="00170422">
        <w:rPr>
          <w:noProof/>
          <w:lang w:val="de-DE"/>
        </w:rPr>
        <w:t>it emissionsfreien Zügen und Universaldienst</w:t>
      </w:r>
    </w:p>
    <w:p w14:paraId="35F772A6" w14:textId="77777777" w:rsidR="0057163C" w:rsidRPr="00170422" w:rsidRDefault="00F37BF9">
      <w:pPr>
        <w:pStyle w:val="P68B1DB1-Normal7"/>
        <w:spacing w:before="120" w:after="120"/>
        <w:jc w:val="both"/>
        <w:rPr>
          <w:noProof/>
          <w:lang w:val="de-DE"/>
        </w:rPr>
      </w:pPr>
      <w:bookmarkStart w:id="25" w:name="_Hlk180665112"/>
      <w:r w:rsidRPr="00170422">
        <w:rPr>
          <w:noProof/>
          <w:lang w:val="de-DE"/>
        </w:rPr>
        <w:t>Ziel der Investition ist die Verringerung der Treibhausgasemissionen des Schienenverkehrs und die Modernisierung der Eisenbahnflotte. Diese Investition besteht in der Registrierung von mindestens 75 emissionsfre</w:t>
      </w:r>
      <w:r w:rsidRPr="00170422">
        <w:rPr>
          <w:noProof/>
          <w:lang w:val="de-DE"/>
        </w:rPr>
        <w:t xml:space="preserve">ien Personenzügen. </w:t>
      </w:r>
    </w:p>
    <w:bookmarkEnd w:id="25"/>
    <w:p w14:paraId="70F6106F" w14:textId="264D7D8C" w:rsidR="0057163C" w:rsidRPr="00170422" w:rsidRDefault="00F37BF9">
      <w:pPr>
        <w:pStyle w:val="P68B1DB1-Normal5"/>
        <w:rPr>
          <w:bCs/>
          <w:noProof/>
          <w:lang w:val="de-DE"/>
        </w:rPr>
      </w:pPr>
      <w:r w:rsidRPr="00170422">
        <w:rPr>
          <w:noProof/>
          <w:lang w:val="de-DE"/>
        </w:rPr>
        <w:t>Investition 18 – Scale-up-Maßnahme: Programm zur Erneuerung der Flotte privater und leichter Nutzfahrzeuge mit Elektrofahrzeugen</w:t>
      </w:r>
    </w:p>
    <w:p w14:paraId="2AE17321" w14:textId="77777777" w:rsidR="0057163C" w:rsidRPr="00170422" w:rsidRDefault="00F37BF9">
      <w:pPr>
        <w:pStyle w:val="P68B1DB1-Normal7"/>
        <w:jc w:val="both"/>
        <w:rPr>
          <w:noProof/>
          <w:lang w:val="de-DE"/>
        </w:rPr>
      </w:pPr>
      <w:r w:rsidRPr="00170422">
        <w:rPr>
          <w:noProof/>
          <w:lang w:val="de-DE"/>
        </w:rPr>
        <w:t>Diese Investition zielt darauf ab, die Treibhausgasemissionen und die Luftverschmutzung durch den Straßenve</w:t>
      </w:r>
      <w:r w:rsidRPr="00170422">
        <w:rPr>
          <w:noProof/>
          <w:lang w:val="de-DE"/>
        </w:rPr>
        <w:t>rkehr in städtischen Gebieten zu verringern. Bei dieser Investition handelt es sich um ein Car-Scrpping-System, bei dem ein thermisches Fahrzeug zurückgegeben und durch ein neu erworbenes emissionsfreies Fahrzeug ersetzt wird.</w:t>
      </w:r>
    </w:p>
    <w:p w14:paraId="260A75C2" w14:textId="77777777" w:rsidR="0057163C" w:rsidRPr="00170422" w:rsidRDefault="0057163C">
      <w:pPr>
        <w:rPr>
          <w:noProof/>
          <w:lang w:val="de-DE"/>
        </w:rPr>
        <w:sectPr w:rsidR="0057163C" w:rsidRPr="00170422" w:rsidSect="005F11B9">
          <w:headerReference w:type="even" r:id="rId316"/>
          <w:headerReference w:type="default" r:id="rId317"/>
          <w:footerReference w:type="even" r:id="rId318"/>
          <w:footerReference w:type="default" r:id="rId319"/>
          <w:headerReference w:type="first" r:id="rId320"/>
          <w:footerReference w:type="first" r:id="rId321"/>
          <w:pgSz w:w="11906" w:h="16838"/>
          <w:pgMar w:top="1440" w:right="1440" w:bottom="1440" w:left="1440" w:header="708" w:footer="708" w:gutter="0"/>
          <w:cols w:space="708"/>
          <w:docGrid w:linePitch="360"/>
        </w:sectPr>
      </w:pPr>
    </w:p>
    <w:p w14:paraId="7A5452DD" w14:textId="77777777" w:rsidR="0057163C" w:rsidRPr="00170422" w:rsidRDefault="00F37BF9">
      <w:pPr>
        <w:pStyle w:val="P68B1DB1-Heading368"/>
        <w:ind w:left="850" w:hanging="850"/>
        <w:rPr>
          <w:noProof/>
          <w:lang w:val="de-DE"/>
        </w:rPr>
      </w:pPr>
      <w:r w:rsidRPr="00170422">
        <w:rPr>
          <w:noProof/>
          <w:lang w:val="de-DE"/>
        </w:rPr>
        <w:t xml:space="preserve">FRAGE 2. </w:t>
      </w:r>
      <w:r w:rsidRPr="00170422">
        <w:rPr>
          <w:noProof/>
          <w:lang w:val="de-DE"/>
        </w:rPr>
        <w:tab/>
        <w:t>Etappenziele, Zielwerte, Indikatoren und Zeitplan für die Überwachung und Durchführung der nicht rückzahlbaren finanziellen Unterstützung</w:t>
      </w:r>
    </w:p>
    <w:tbl>
      <w:tblPr>
        <w:tblW w:w="14884"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134"/>
        <w:gridCol w:w="1560"/>
        <w:gridCol w:w="1275"/>
        <w:gridCol w:w="1134"/>
        <w:gridCol w:w="1560"/>
        <w:gridCol w:w="1134"/>
        <w:gridCol w:w="1417"/>
        <w:gridCol w:w="851"/>
        <w:gridCol w:w="850"/>
        <w:gridCol w:w="709"/>
        <w:gridCol w:w="3260"/>
      </w:tblGrid>
      <w:tr w:rsidR="0057163C" w:rsidRPr="00170422" w14:paraId="06AF2EB1" w14:textId="77777777" w:rsidTr="00A400C5">
        <w:trPr>
          <w:trHeight w:val="300"/>
          <w:tblHeader/>
        </w:trPr>
        <w:tc>
          <w:tcPr>
            <w:tcW w:w="1134" w:type="dxa"/>
            <w:vMerge w:val="restart"/>
            <w:shd w:val="clear" w:color="auto" w:fill="BDD7EE"/>
            <w:vAlign w:val="center"/>
            <w:hideMark/>
          </w:tcPr>
          <w:p w14:paraId="0FFBDBC1" w14:textId="77777777" w:rsidR="0057163C" w:rsidRPr="00170422" w:rsidRDefault="00F37BF9">
            <w:pPr>
              <w:pStyle w:val="P68B1DB1-Normal10"/>
              <w:spacing w:after="120"/>
              <w:jc w:val="center"/>
              <w:rPr>
                <w:bCs/>
                <w:noProof/>
                <w:szCs w:val="20"/>
                <w:lang w:val="de-DE"/>
              </w:rPr>
            </w:pPr>
            <w:r w:rsidRPr="00170422">
              <w:rPr>
                <w:noProof/>
                <w:lang w:val="de-DE"/>
              </w:rPr>
              <w:t>Laufende Nummer</w:t>
            </w:r>
          </w:p>
        </w:tc>
        <w:tc>
          <w:tcPr>
            <w:tcW w:w="1560" w:type="dxa"/>
            <w:vMerge w:val="restart"/>
            <w:shd w:val="clear" w:color="auto" w:fill="BDD7EE"/>
            <w:vAlign w:val="center"/>
            <w:hideMark/>
          </w:tcPr>
          <w:p w14:paraId="4C2A2B24" w14:textId="77777777" w:rsidR="0057163C" w:rsidRPr="00170422" w:rsidRDefault="00F37BF9">
            <w:pPr>
              <w:pStyle w:val="P68B1DB1-Normal10"/>
              <w:spacing w:after="120"/>
              <w:jc w:val="center"/>
              <w:rPr>
                <w:bCs/>
                <w:noProof/>
                <w:szCs w:val="20"/>
                <w:lang w:val="de-DE"/>
              </w:rPr>
            </w:pPr>
            <w:r w:rsidRPr="00170422">
              <w:rPr>
                <w:noProof/>
                <w:lang w:val="de-DE"/>
              </w:rPr>
              <w:t>Verbundene Maßnahme (Reform oder Investition)</w:t>
            </w:r>
          </w:p>
        </w:tc>
        <w:tc>
          <w:tcPr>
            <w:tcW w:w="1275" w:type="dxa"/>
            <w:vMerge w:val="restart"/>
            <w:shd w:val="clear" w:color="auto" w:fill="BDD7EE"/>
            <w:vAlign w:val="center"/>
            <w:hideMark/>
          </w:tcPr>
          <w:p w14:paraId="08C5EE7B" w14:textId="77777777" w:rsidR="0057163C" w:rsidRPr="00170422" w:rsidRDefault="00F37BF9">
            <w:pPr>
              <w:pStyle w:val="P68B1DB1-Normal10"/>
              <w:spacing w:after="120"/>
              <w:jc w:val="center"/>
              <w:rPr>
                <w:bCs/>
                <w:noProof/>
                <w:szCs w:val="20"/>
                <w:lang w:val="de-DE"/>
              </w:rPr>
            </w:pPr>
            <w:r w:rsidRPr="00170422">
              <w:rPr>
                <w:noProof/>
                <w:lang w:val="de-DE"/>
              </w:rPr>
              <w:t>Meilenstein</w:t>
            </w:r>
          </w:p>
          <w:p w14:paraId="2C5A9577" w14:textId="77777777" w:rsidR="0057163C" w:rsidRPr="00170422" w:rsidRDefault="00F37BF9">
            <w:pPr>
              <w:pStyle w:val="P68B1DB1-Normal10"/>
              <w:spacing w:after="120"/>
              <w:jc w:val="center"/>
              <w:rPr>
                <w:bCs/>
                <w:noProof/>
                <w:szCs w:val="20"/>
                <w:lang w:val="de-DE"/>
              </w:rPr>
            </w:pPr>
            <w:r w:rsidRPr="00170422">
              <w:rPr>
                <w:noProof/>
                <w:lang w:val="de-DE"/>
              </w:rPr>
              <w:t>/Ziel</w:t>
            </w:r>
          </w:p>
        </w:tc>
        <w:tc>
          <w:tcPr>
            <w:tcW w:w="1134" w:type="dxa"/>
            <w:vMerge w:val="restart"/>
            <w:shd w:val="clear" w:color="auto" w:fill="BDD7EE"/>
            <w:vAlign w:val="center"/>
            <w:hideMark/>
          </w:tcPr>
          <w:p w14:paraId="2A24B339" w14:textId="77777777" w:rsidR="0057163C" w:rsidRPr="00170422" w:rsidRDefault="00F37BF9">
            <w:pPr>
              <w:pStyle w:val="P68B1DB1-Normal10"/>
              <w:spacing w:after="120"/>
              <w:jc w:val="center"/>
              <w:rPr>
                <w:bCs/>
                <w:noProof/>
                <w:szCs w:val="20"/>
                <w:lang w:val="de-DE"/>
              </w:rPr>
            </w:pPr>
            <w:r w:rsidRPr="00170422">
              <w:rPr>
                <w:noProof/>
                <w:lang w:val="de-DE"/>
              </w:rPr>
              <w:t>Namen</w:t>
            </w:r>
          </w:p>
        </w:tc>
        <w:tc>
          <w:tcPr>
            <w:tcW w:w="1560" w:type="dxa"/>
            <w:vMerge w:val="restart"/>
            <w:shd w:val="clear" w:color="auto" w:fill="BDD7EE"/>
            <w:vAlign w:val="center"/>
            <w:hideMark/>
          </w:tcPr>
          <w:p w14:paraId="5CFC6600" w14:textId="366B606B" w:rsidR="0057163C" w:rsidRPr="00170422" w:rsidRDefault="00F37BF9">
            <w:pPr>
              <w:spacing w:after="120"/>
              <w:jc w:val="center"/>
              <w:rPr>
                <w:rFonts w:ascii="Arial Narrow" w:hAnsi="Arial Narrow"/>
                <w:b/>
                <w:bCs/>
                <w:noProof/>
                <w:sz w:val="20"/>
                <w:szCs w:val="20"/>
                <w:lang w:val="de-DE"/>
              </w:rPr>
            </w:pPr>
            <w:r w:rsidRPr="00170422">
              <w:rPr>
                <w:rFonts w:ascii="Arial Narrow" w:hAnsi="Arial Narrow"/>
                <w:b/>
                <w:noProof/>
                <w:sz w:val="20"/>
                <w:lang w:val="de-DE"/>
              </w:rPr>
              <w:t>Etappenziel/</w:t>
            </w:r>
            <w:r w:rsidR="00A400C5"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t xml:space="preserve"> </w:t>
            </w:r>
            <w:r w:rsidRPr="00170422">
              <w:rPr>
                <w:noProof/>
                <w:lang w:val="de-DE"/>
              </w:rPr>
              <w:br/>
            </w:r>
            <w:r w:rsidRPr="00170422">
              <w:rPr>
                <w:rFonts w:ascii="Arial Narrow" w:hAnsi="Arial Narrow"/>
                <w:b/>
                <w:noProof/>
                <w:sz w:val="20"/>
                <w:lang w:val="de-DE"/>
              </w:rPr>
              <w:t>(für Etappenziele)</w:t>
            </w:r>
          </w:p>
        </w:tc>
        <w:tc>
          <w:tcPr>
            <w:tcW w:w="3402" w:type="dxa"/>
            <w:gridSpan w:val="3"/>
            <w:shd w:val="clear" w:color="auto" w:fill="BDD7EE"/>
            <w:vAlign w:val="center"/>
            <w:hideMark/>
          </w:tcPr>
          <w:p w14:paraId="59E1F51A" w14:textId="77777777" w:rsidR="0057163C" w:rsidRPr="00170422" w:rsidRDefault="00F37BF9">
            <w:pPr>
              <w:spacing w:after="120"/>
              <w:jc w:val="center"/>
              <w:rPr>
                <w:rFonts w:ascii="Arial Narrow" w:hAnsi="Arial Narrow"/>
                <w:b/>
                <w:bCs/>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(für Ziele)</w:t>
            </w:r>
          </w:p>
        </w:tc>
        <w:tc>
          <w:tcPr>
            <w:tcW w:w="1559" w:type="dxa"/>
            <w:gridSpan w:val="2"/>
            <w:shd w:val="clear" w:color="auto" w:fill="BDD7EE"/>
            <w:vAlign w:val="center"/>
            <w:hideMark/>
          </w:tcPr>
          <w:p w14:paraId="4C84BDE3" w14:textId="77777777" w:rsidR="0057163C" w:rsidRPr="00170422" w:rsidRDefault="00F37BF9">
            <w:pPr>
              <w:pStyle w:val="P68B1DB1-Normal10"/>
              <w:spacing w:after="120"/>
              <w:jc w:val="center"/>
              <w:rPr>
                <w:bCs/>
                <w:noProof/>
                <w:szCs w:val="20"/>
                <w:lang w:val="de-DE"/>
              </w:rPr>
            </w:pPr>
            <w:r w:rsidRPr="00170422">
              <w:rPr>
                <w:noProof/>
                <w:lang w:val="de-DE"/>
              </w:rPr>
              <w:t>Vorläufiger Zeitplan für die Fertigstellung</w:t>
            </w:r>
          </w:p>
        </w:tc>
        <w:tc>
          <w:tcPr>
            <w:tcW w:w="3260" w:type="dxa"/>
            <w:vMerge w:val="restart"/>
            <w:shd w:val="clear" w:color="auto" w:fill="BDD7EE"/>
            <w:vAlign w:val="center"/>
            <w:hideMark/>
          </w:tcPr>
          <w:p w14:paraId="1B758655" w14:textId="77777777" w:rsidR="0057163C" w:rsidRPr="00170422" w:rsidRDefault="00F37BF9">
            <w:pPr>
              <w:pStyle w:val="P68B1DB1-Normal10"/>
              <w:spacing w:after="120"/>
              <w:jc w:val="center"/>
              <w:rPr>
                <w:bCs/>
                <w:noProof/>
                <w:szCs w:val="20"/>
                <w:lang w:val="de-DE"/>
              </w:rPr>
            </w:pPr>
            <w:r w:rsidRPr="00170422">
              <w:rPr>
                <w:noProof/>
                <w:lang w:val="de-DE"/>
              </w:rPr>
              <w:t>Beschreibung der einzelnen Etappenziele und Zielvorgaben</w:t>
            </w:r>
          </w:p>
        </w:tc>
      </w:tr>
      <w:tr w:rsidR="0057163C" w:rsidRPr="00170422" w14:paraId="3921A39D" w14:textId="77777777" w:rsidTr="00A400C5">
        <w:trPr>
          <w:trHeight w:val="300"/>
          <w:tblHeader/>
        </w:trPr>
        <w:tc>
          <w:tcPr>
            <w:tcW w:w="1134" w:type="dxa"/>
            <w:vMerge/>
            <w:vAlign w:val="center"/>
            <w:hideMark/>
          </w:tcPr>
          <w:p w14:paraId="099EFE8B" w14:textId="77777777" w:rsidR="0057163C" w:rsidRPr="00170422" w:rsidRDefault="0057163C">
            <w:pPr>
              <w:spacing w:after="120"/>
              <w:jc w:val="center"/>
              <w:rPr>
                <w:rFonts w:ascii="Arial Narrow" w:hAnsi="Arial Narrow"/>
                <w:b/>
                <w:bCs/>
                <w:noProof/>
                <w:sz w:val="20"/>
                <w:szCs w:val="20"/>
                <w:lang w:val="de-DE"/>
              </w:rPr>
            </w:pPr>
          </w:p>
        </w:tc>
        <w:tc>
          <w:tcPr>
            <w:tcW w:w="1560" w:type="dxa"/>
            <w:vMerge/>
            <w:vAlign w:val="center"/>
            <w:hideMark/>
          </w:tcPr>
          <w:p w14:paraId="3397BD7D" w14:textId="77777777" w:rsidR="0057163C" w:rsidRPr="00170422" w:rsidRDefault="0057163C">
            <w:pPr>
              <w:spacing w:after="120"/>
              <w:jc w:val="center"/>
              <w:rPr>
                <w:rFonts w:ascii="Arial Narrow" w:hAnsi="Arial Narrow"/>
                <w:b/>
                <w:bCs/>
                <w:noProof/>
                <w:sz w:val="20"/>
                <w:szCs w:val="20"/>
                <w:lang w:val="de-DE"/>
              </w:rPr>
            </w:pPr>
          </w:p>
        </w:tc>
        <w:tc>
          <w:tcPr>
            <w:tcW w:w="1275" w:type="dxa"/>
            <w:vMerge/>
            <w:vAlign w:val="center"/>
            <w:hideMark/>
          </w:tcPr>
          <w:p w14:paraId="5F4D3794" w14:textId="77777777" w:rsidR="0057163C" w:rsidRPr="00170422" w:rsidRDefault="0057163C">
            <w:pPr>
              <w:spacing w:after="120"/>
              <w:jc w:val="center"/>
              <w:rPr>
                <w:rFonts w:ascii="Arial Narrow" w:hAnsi="Arial Narrow"/>
                <w:b/>
                <w:bCs/>
                <w:noProof/>
                <w:sz w:val="20"/>
                <w:szCs w:val="20"/>
                <w:lang w:val="de-DE"/>
              </w:rPr>
            </w:pPr>
          </w:p>
        </w:tc>
        <w:tc>
          <w:tcPr>
            <w:tcW w:w="1134" w:type="dxa"/>
            <w:vMerge/>
            <w:vAlign w:val="center"/>
            <w:hideMark/>
          </w:tcPr>
          <w:p w14:paraId="305A1A6F" w14:textId="77777777" w:rsidR="0057163C" w:rsidRPr="00170422" w:rsidRDefault="0057163C">
            <w:pPr>
              <w:spacing w:after="120"/>
              <w:jc w:val="center"/>
              <w:rPr>
                <w:rFonts w:ascii="Arial Narrow" w:hAnsi="Arial Narrow"/>
                <w:b/>
                <w:bCs/>
                <w:noProof/>
                <w:sz w:val="20"/>
                <w:szCs w:val="20"/>
                <w:lang w:val="de-DE"/>
              </w:rPr>
            </w:pPr>
          </w:p>
        </w:tc>
        <w:tc>
          <w:tcPr>
            <w:tcW w:w="1560" w:type="dxa"/>
            <w:vMerge/>
            <w:vAlign w:val="center"/>
            <w:hideMark/>
          </w:tcPr>
          <w:p w14:paraId="0BB4DCDC" w14:textId="77777777" w:rsidR="0057163C" w:rsidRPr="00170422" w:rsidRDefault="0057163C">
            <w:pPr>
              <w:spacing w:after="120"/>
              <w:jc w:val="center"/>
              <w:rPr>
                <w:rFonts w:ascii="Arial Narrow" w:hAnsi="Arial Narrow"/>
                <w:b/>
                <w:bCs/>
                <w:noProof/>
                <w:sz w:val="20"/>
                <w:szCs w:val="20"/>
                <w:lang w:val="de-DE"/>
              </w:rPr>
            </w:pPr>
          </w:p>
        </w:tc>
        <w:tc>
          <w:tcPr>
            <w:tcW w:w="1134" w:type="dxa"/>
            <w:shd w:val="clear" w:color="auto" w:fill="BDD7EE"/>
            <w:vAlign w:val="center"/>
            <w:hideMark/>
          </w:tcPr>
          <w:p w14:paraId="348990CE" w14:textId="77777777" w:rsidR="0057163C" w:rsidRPr="00170422" w:rsidRDefault="00F37BF9">
            <w:pPr>
              <w:pStyle w:val="P68B1DB1-Normal10"/>
              <w:spacing w:after="120"/>
              <w:jc w:val="center"/>
              <w:rPr>
                <w:bCs/>
                <w:noProof/>
                <w:szCs w:val="20"/>
                <w:lang w:val="de-DE"/>
              </w:rPr>
            </w:pPr>
            <w:r w:rsidRPr="00170422">
              <w:rPr>
                <w:noProof/>
                <w:lang w:val="de-DE"/>
              </w:rPr>
              <w:t>Maßeinheit</w:t>
            </w:r>
          </w:p>
        </w:tc>
        <w:tc>
          <w:tcPr>
            <w:tcW w:w="1417" w:type="dxa"/>
            <w:shd w:val="clear" w:color="auto" w:fill="BDD7EE"/>
            <w:vAlign w:val="center"/>
            <w:hideMark/>
          </w:tcPr>
          <w:p w14:paraId="1C85011C" w14:textId="77777777" w:rsidR="0057163C" w:rsidRPr="00170422" w:rsidRDefault="00F37BF9">
            <w:pPr>
              <w:pStyle w:val="P68B1DB1-Normal10"/>
              <w:spacing w:after="120"/>
              <w:jc w:val="center"/>
              <w:rPr>
                <w:bCs/>
                <w:noProof/>
                <w:szCs w:val="20"/>
                <w:lang w:val="de-DE"/>
              </w:rPr>
            </w:pPr>
            <w:r w:rsidRPr="00170422">
              <w:rPr>
                <w:noProof/>
                <w:lang w:val="de-DE"/>
              </w:rPr>
              <w:t>Ausgangslage</w:t>
            </w:r>
          </w:p>
        </w:tc>
        <w:tc>
          <w:tcPr>
            <w:tcW w:w="851" w:type="dxa"/>
            <w:shd w:val="clear" w:color="auto" w:fill="BDD7EE"/>
            <w:vAlign w:val="center"/>
            <w:hideMark/>
          </w:tcPr>
          <w:p w14:paraId="35885395" w14:textId="77777777" w:rsidR="0057163C" w:rsidRPr="00170422" w:rsidRDefault="00F37BF9">
            <w:pPr>
              <w:pStyle w:val="P68B1DB1-Normal10"/>
              <w:spacing w:after="120"/>
              <w:jc w:val="center"/>
              <w:rPr>
                <w:bCs/>
                <w:noProof/>
                <w:szCs w:val="20"/>
                <w:lang w:val="de-DE"/>
              </w:rPr>
            </w:pPr>
            <w:r w:rsidRPr="00170422">
              <w:rPr>
                <w:noProof/>
                <w:lang w:val="de-DE"/>
              </w:rPr>
              <w:t>Ziel</w:t>
            </w:r>
          </w:p>
        </w:tc>
        <w:tc>
          <w:tcPr>
            <w:tcW w:w="850" w:type="dxa"/>
            <w:shd w:val="clear" w:color="auto" w:fill="BDD7EE"/>
            <w:vAlign w:val="center"/>
            <w:hideMark/>
          </w:tcPr>
          <w:p w14:paraId="49FB4EC0" w14:textId="77777777" w:rsidR="0057163C" w:rsidRPr="00170422" w:rsidRDefault="00F37BF9">
            <w:pPr>
              <w:pStyle w:val="P68B1DB1-Normal10"/>
              <w:spacing w:after="120"/>
              <w:jc w:val="center"/>
              <w:rPr>
                <w:bCs/>
                <w:noProof/>
                <w:szCs w:val="20"/>
                <w:lang w:val="de-DE"/>
              </w:rPr>
            </w:pPr>
            <w:r w:rsidRPr="00170422">
              <w:rPr>
                <w:noProof/>
                <w:lang w:val="de-DE"/>
              </w:rPr>
              <w:t>Viertel</w:t>
            </w:r>
          </w:p>
        </w:tc>
        <w:tc>
          <w:tcPr>
            <w:tcW w:w="709" w:type="dxa"/>
            <w:shd w:val="clear" w:color="auto" w:fill="BDD7EE"/>
            <w:vAlign w:val="center"/>
            <w:hideMark/>
          </w:tcPr>
          <w:p w14:paraId="4908EA80" w14:textId="77777777" w:rsidR="0057163C" w:rsidRPr="00170422" w:rsidRDefault="00F37BF9">
            <w:pPr>
              <w:pStyle w:val="P68B1DB1-Normal10"/>
              <w:spacing w:after="120"/>
              <w:jc w:val="center"/>
              <w:rPr>
                <w:bCs/>
                <w:noProof/>
                <w:szCs w:val="20"/>
                <w:lang w:val="de-DE"/>
              </w:rPr>
            </w:pPr>
            <w:r w:rsidRPr="00170422">
              <w:rPr>
                <w:noProof/>
                <w:lang w:val="de-DE"/>
              </w:rPr>
              <w:t>Jahre</w:t>
            </w:r>
          </w:p>
        </w:tc>
        <w:tc>
          <w:tcPr>
            <w:tcW w:w="3260" w:type="dxa"/>
            <w:vMerge/>
            <w:vAlign w:val="center"/>
            <w:hideMark/>
          </w:tcPr>
          <w:p w14:paraId="761906AA" w14:textId="77777777" w:rsidR="0057163C" w:rsidRPr="00170422" w:rsidRDefault="0057163C">
            <w:pPr>
              <w:spacing w:after="120"/>
              <w:jc w:val="center"/>
              <w:rPr>
                <w:rFonts w:ascii="Arial Narrow" w:hAnsi="Arial Narrow"/>
                <w:b/>
                <w:bCs/>
                <w:noProof/>
                <w:sz w:val="20"/>
                <w:szCs w:val="20"/>
                <w:lang w:val="de-DE"/>
              </w:rPr>
            </w:pPr>
          </w:p>
        </w:tc>
      </w:tr>
      <w:tr w:rsidR="0057163C" w:rsidRPr="00170422" w14:paraId="54381A13"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8EA19D" w14:textId="77777777" w:rsidR="0057163C" w:rsidRPr="00170422" w:rsidRDefault="00F37BF9">
            <w:pPr>
              <w:pStyle w:val="P68B1DB1-Normal11"/>
              <w:spacing w:after="120"/>
              <w:jc w:val="center"/>
              <w:rPr>
                <w:noProof/>
                <w:szCs w:val="20"/>
                <w:lang w:val="de-DE"/>
              </w:rPr>
            </w:pPr>
            <w:r w:rsidRPr="00170422">
              <w:rPr>
                <w:noProof/>
                <w:lang w:val="de-DE"/>
              </w:rPr>
              <w:t>M7-1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DAED3C" w14:textId="77777777" w:rsidR="0057163C" w:rsidRPr="00170422" w:rsidRDefault="00F37BF9">
            <w:pPr>
              <w:pStyle w:val="P68B1DB1-Normal11"/>
              <w:spacing w:after="120"/>
              <w:jc w:val="center"/>
              <w:rPr>
                <w:noProof/>
                <w:szCs w:val="20"/>
                <w:lang w:val="de-DE"/>
              </w:rPr>
            </w:pPr>
            <w:r w:rsidRPr="00170422">
              <w:rPr>
                <w:noProof/>
                <w:lang w:val="de-DE"/>
              </w:rPr>
              <w:t>Reform 1: Straffung der Genehmigungsverfahren für erneuerbare Energien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CBF188"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FDED55" w14:textId="77777777" w:rsidR="0057163C" w:rsidRPr="00170422" w:rsidRDefault="00F37BF9">
            <w:pPr>
              <w:pStyle w:val="P68B1DB1-Normal11"/>
              <w:spacing w:after="120"/>
              <w:jc w:val="center"/>
              <w:rPr>
                <w:noProof/>
                <w:lang w:val="de-DE"/>
              </w:rPr>
            </w:pPr>
            <w:r w:rsidRPr="00170422">
              <w:rPr>
                <w:noProof/>
                <w:lang w:val="de-DE"/>
              </w:rPr>
              <w:t>Rechtsrahmen für die Ermittlung „erneuerbarer Beschleunigungsgebiete“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86CA8B" w14:textId="415029DF" w:rsidR="0057163C" w:rsidRPr="00170422" w:rsidRDefault="00F37BF9">
            <w:pPr>
              <w:pStyle w:val="P68B1DB1-Normal11"/>
              <w:spacing w:after="120"/>
              <w:jc w:val="center"/>
              <w:rPr>
                <w:noProof/>
                <w:lang w:val="de-DE"/>
              </w:rPr>
            </w:pPr>
            <w:r w:rsidRPr="00170422">
              <w:rPr>
                <w:noProof/>
                <w:lang w:val="de-DE"/>
              </w:rPr>
              <w:t xml:space="preserve">Gesetzliche Bestimmung über das Inkrafttreten des Rechtsrahmens für die Ermittlung von </w:t>
            </w:r>
            <w:r w:rsidRPr="00170422">
              <w:rPr>
                <w:noProof/>
                <w:lang w:val="de-DE"/>
              </w:rPr>
              <w:t>Beschleunigungsgebieten für erneuerbare Energie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150937"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0F7133"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7692C9"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E9FA03"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2952DB"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105C6883" w14:textId="77777777" w:rsidR="0057163C" w:rsidRPr="00170422" w:rsidRDefault="00F37BF9">
            <w:pPr>
              <w:pStyle w:val="P68B1DB1-Normal12"/>
              <w:spacing w:after="120"/>
              <w:rPr>
                <w:noProof/>
                <w:lang w:val="de-DE"/>
              </w:rPr>
            </w:pPr>
            <w:r w:rsidRPr="00170422">
              <w:rPr>
                <w:noProof/>
                <w:lang w:val="de-DE"/>
              </w:rPr>
              <w:t>Inkrafttreten des Primärrechts zur Festlegung des Rechtsrahmens für die Bestimmung von „beschleunigungsgebieten für erneuerbare Energie“.</w:t>
            </w:r>
          </w:p>
          <w:p w14:paraId="442231F8" w14:textId="77777777" w:rsidR="0057163C" w:rsidRPr="00170422" w:rsidRDefault="00F37BF9">
            <w:pPr>
              <w:pStyle w:val="P68B1DB1-Normal12"/>
              <w:spacing w:after="120"/>
              <w:rPr>
                <w:noProof/>
                <w:lang w:val="de-DE"/>
              </w:rPr>
            </w:pPr>
            <w:r w:rsidRPr="00170422">
              <w:rPr>
                <w:noProof/>
                <w:lang w:val="de-DE"/>
              </w:rPr>
              <w:t>Der Rechtsrahmen muss</w:t>
            </w:r>
          </w:p>
          <w:p w14:paraId="6EE3E2C3" w14:textId="77777777" w:rsidR="0057163C" w:rsidRPr="00170422" w:rsidRDefault="00F37BF9">
            <w:pPr>
              <w:pStyle w:val="P68B1DB1-Normal12"/>
              <w:spacing w:after="120"/>
              <w:rPr>
                <w:noProof/>
                <w:lang w:val="de-DE"/>
              </w:rPr>
            </w:pPr>
            <w:r w:rsidRPr="00170422">
              <w:rPr>
                <w:noProof/>
                <w:lang w:val="de-DE"/>
              </w:rPr>
              <w:t>1)</w:t>
            </w:r>
            <w:r w:rsidRPr="00170422">
              <w:rPr>
                <w:noProof/>
                <w:lang w:val="de-DE"/>
              </w:rPr>
              <w:tab/>
              <w:t>eine landesweite Kartierun</w:t>
            </w:r>
            <w:r w:rsidRPr="00170422">
              <w:rPr>
                <w:noProof/>
                <w:lang w:val="de-DE"/>
              </w:rPr>
              <w:t>g des Potenzials erneuerbarer Energien zu verlangen;</w:t>
            </w:r>
          </w:p>
          <w:p w14:paraId="377F53B8" w14:textId="77777777" w:rsidR="0057163C" w:rsidRPr="00170422" w:rsidRDefault="00F37BF9">
            <w:pPr>
              <w:pStyle w:val="P68B1DB1-Normal12"/>
              <w:spacing w:after="120"/>
              <w:rPr>
                <w:noProof/>
                <w:lang w:val="de-DE"/>
              </w:rPr>
            </w:pPr>
            <w:r w:rsidRPr="00170422">
              <w:rPr>
                <w:noProof/>
                <w:lang w:val="de-DE"/>
              </w:rPr>
              <w:t>2)</w:t>
            </w:r>
            <w:r w:rsidRPr="00170422">
              <w:rPr>
                <w:noProof/>
                <w:lang w:val="de-DE"/>
              </w:rPr>
              <w:tab/>
              <w:t>auf der Grundlage der Kartierung eine erste Reihe von Gebieten festlegen, in denen ein Mindestsatz für die künftige Ermittlung von Beschleunigungsgebieten für erneuerbare Energie festgelegt wird;</w:t>
            </w:r>
          </w:p>
          <w:p w14:paraId="2ABB7D81" w14:textId="77777777" w:rsidR="0057163C" w:rsidRPr="00170422" w:rsidRDefault="00F37BF9">
            <w:pPr>
              <w:pStyle w:val="P68B1DB1-Normal12"/>
              <w:spacing w:after="120"/>
              <w:rPr>
                <w:noProof/>
                <w:lang w:val="de-DE"/>
              </w:rPr>
            </w:pPr>
            <w:r w:rsidRPr="00170422">
              <w:rPr>
                <w:noProof/>
                <w:lang w:val="de-DE"/>
              </w:rPr>
              <w:t>3)</w:t>
            </w:r>
            <w:r w:rsidRPr="00170422">
              <w:rPr>
                <w:noProof/>
                <w:lang w:val="de-DE"/>
              </w:rPr>
              <w:tab/>
              <w:t>a</w:t>
            </w:r>
            <w:r w:rsidRPr="00170422">
              <w:rPr>
                <w:noProof/>
                <w:lang w:val="de-DE"/>
              </w:rPr>
              <w:t>uf der Grundlage der Mindestflächenzahl die Regionen und autonomen Provinzen auffordern, bis zum 21. Februar 2026 Beschleunigungsgebiete für erneuerbare Energien zu ermitteln;</w:t>
            </w:r>
          </w:p>
          <w:p w14:paraId="75CA9886" w14:textId="77777777" w:rsidR="0057163C" w:rsidRPr="00170422" w:rsidRDefault="00F37BF9">
            <w:pPr>
              <w:pStyle w:val="P68B1DB1-Normal12"/>
              <w:spacing w:after="120"/>
              <w:rPr>
                <w:noProof/>
                <w:lang w:val="de-DE"/>
              </w:rPr>
            </w:pPr>
            <w:r w:rsidRPr="00170422">
              <w:rPr>
                <w:noProof/>
                <w:lang w:val="de-DE"/>
              </w:rPr>
              <w:t>4)</w:t>
            </w:r>
            <w:r w:rsidRPr="00170422">
              <w:rPr>
                <w:noProof/>
                <w:lang w:val="de-DE"/>
              </w:rPr>
              <w:tab/>
              <w:t>die Zentralregierung berechtigt, substitutive Befugnisse auszuüben, falls Reg</w:t>
            </w:r>
            <w:r w:rsidRPr="00170422">
              <w:rPr>
                <w:noProof/>
                <w:lang w:val="de-DE"/>
              </w:rPr>
              <w:t>ionen oder autonome Provinzen bis zum 21. Februar 2026 keine Beschleunigungsgebiete für erneuerbare Energien ermitteln;</w:t>
            </w:r>
          </w:p>
          <w:p w14:paraId="784A44A3" w14:textId="77777777" w:rsidR="0057163C" w:rsidRPr="00170422" w:rsidRDefault="00F37BF9">
            <w:pPr>
              <w:pStyle w:val="P68B1DB1-Normal12"/>
              <w:spacing w:after="120"/>
              <w:rPr>
                <w:noProof/>
                <w:lang w:val="de-DE"/>
              </w:rPr>
            </w:pPr>
            <w:r w:rsidRPr="00170422">
              <w:rPr>
                <w:noProof/>
                <w:lang w:val="de-DE"/>
              </w:rPr>
              <w:t>5)</w:t>
            </w:r>
            <w:r w:rsidRPr="00170422">
              <w:rPr>
                <w:noProof/>
                <w:lang w:val="de-DE"/>
              </w:rPr>
              <w:tab/>
              <w:t>Festlegung von Offshore-Gebieten für den Einsatz erneuerbarer Energien im Einklang mit maritimen Raumordnungsplänen.</w:t>
            </w:r>
          </w:p>
        </w:tc>
      </w:tr>
      <w:tr w:rsidR="0057163C" w:rsidRPr="00170422" w14:paraId="1B35535B"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4D244C" w14:textId="77777777" w:rsidR="0057163C" w:rsidRPr="00170422" w:rsidRDefault="00F37BF9">
            <w:pPr>
              <w:pStyle w:val="P68B1DB1-Normal12"/>
              <w:spacing w:after="120"/>
              <w:jc w:val="center"/>
              <w:rPr>
                <w:noProof/>
                <w:lang w:val="de-DE"/>
              </w:rPr>
            </w:pPr>
            <w:r w:rsidRPr="00170422">
              <w:rPr>
                <w:noProof/>
                <w:lang w:val="de-DE"/>
              </w:rPr>
              <w:t>M7-2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761F79" w14:textId="77777777" w:rsidR="0057163C" w:rsidRPr="00170422" w:rsidRDefault="00F37BF9">
            <w:pPr>
              <w:pStyle w:val="P68B1DB1-Normal11"/>
              <w:spacing w:after="120"/>
              <w:jc w:val="center"/>
              <w:rPr>
                <w:noProof/>
                <w:szCs w:val="20"/>
                <w:lang w:val="de-DE"/>
              </w:rPr>
            </w:pPr>
            <w:r w:rsidRPr="00170422">
              <w:rPr>
                <w:noProof/>
                <w:lang w:val="de-DE"/>
              </w:rPr>
              <w:t xml:space="preserve">Reform 1: </w:t>
            </w:r>
            <w:r w:rsidRPr="00170422">
              <w:rPr>
                <w:noProof/>
                <w:lang w:val="de-DE"/>
              </w:rPr>
              <w:t>Straffung der Genehmigungsverfahren für erneuerbare Energien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A230B6"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338218" w14:textId="28B3D431" w:rsidR="0057163C" w:rsidRPr="00170422" w:rsidRDefault="00F37BF9">
            <w:pPr>
              <w:pStyle w:val="P68B1DB1-Normal12"/>
              <w:spacing w:after="120"/>
              <w:jc w:val="center"/>
              <w:rPr>
                <w:noProof/>
                <w:lang w:val="de-DE"/>
              </w:rPr>
            </w:pPr>
            <w:r w:rsidRPr="00170422">
              <w:rPr>
                <w:noProof/>
                <w:lang w:val="de-DE"/>
              </w:rPr>
              <w:t>Inkrafttreten des Rechtsakts (Testo Unico)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12B39A" w14:textId="77777777" w:rsidR="0057163C" w:rsidRPr="00170422" w:rsidRDefault="00F37BF9">
            <w:pPr>
              <w:pStyle w:val="P68B1DB1-Normal12"/>
              <w:spacing w:after="120"/>
              <w:jc w:val="center"/>
              <w:rPr>
                <w:noProof/>
                <w:lang w:val="de-DE"/>
              </w:rPr>
            </w:pPr>
            <w:r w:rsidRPr="00170422">
              <w:rPr>
                <w:noProof/>
                <w:lang w:val="de-DE"/>
              </w:rPr>
              <w:t>Gesetzliche Bestimmung, die das Inkrafttreten des Rechtsakts angibt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0EF77"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6F7DE0"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3CC574"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6FCD21"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1D4A99"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4CC3A0BB" w14:textId="01CE49F8" w:rsidR="0057163C" w:rsidRPr="00170422" w:rsidRDefault="00F37BF9">
            <w:pPr>
              <w:pStyle w:val="P68B1DB1-Normal12"/>
              <w:spacing w:after="120"/>
              <w:rPr>
                <w:noProof/>
                <w:lang w:val="de-DE"/>
              </w:rPr>
            </w:pPr>
            <w:r w:rsidRPr="00170422">
              <w:rPr>
                <w:noProof/>
                <w:lang w:val="de-DE"/>
              </w:rPr>
              <w:t>Inkrafttreten eines Rechtsakts (Testo Unico), mit dem die Nor</w:t>
            </w:r>
            <w:r w:rsidRPr="00170422">
              <w:rPr>
                <w:noProof/>
                <w:lang w:val="de-DE"/>
              </w:rPr>
              <w:t>men für die Genehmigung erneuerbarer Energien gesammelt, zusammengestellt und konsolidiert werden und frühere Rechtsvorschriften in diesem Bereich ersetzt werden.</w:t>
            </w:r>
          </w:p>
          <w:p w14:paraId="07F9F4E9" w14:textId="77777777" w:rsidR="0057163C" w:rsidRPr="00170422" w:rsidRDefault="00F37BF9">
            <w:pPr>
              <w:pStyle w:val="P68B1DB1-Normal12"/>
              <w:spacing w:after="120"/>
              <w:rPr>
                <w:noProof/>
                <w:lang w:val="de-DE"/>
              </w:rPr>
            </w:pPr>
            <w:r w:rsidRPr="00170422">
              <w:rPr>
                <w:noProof/>
                <w:lang w:val="de-DE"/>
              </w:rPr>
              <w:t xml:space="preserve">Der Testo Unico legt ferner „Obergrenzen“ für die Genehmigung fest, damit die Regionen keine </w:t>
            </w:r>
            <w:r w:rsidRPr="00170422">
              <w:rPr>
                <w:noProof/>
                <w:lang w:val="de-DE"/>
              </w:rPr>
              <w:t xml:space="preserve">strengeren als die in den nationalen Rechtsvorschriften festgelegten Vorschriften anwenden können. </w:t>
            </w:r>
          </w:p>
        </w:tc>
      </w:tr>
      <w:tr w:rsidR="0057163C" w:rsidRPr="00170422" w14:paraId="358697A3"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7CB9330" w14:textId="77777777" w:rsidR="0057163C" w:rsidRPr="00170422" w:rsidRDefault="00F37BF9">
            <w:pPr>
              <w:pStyle w:val="P68B1DB1-Normal11"/>
              <w:spacing w:after="120"/>
              <w:jc w:val="center"/>
              <w:rPr>
                <w:noProof/>
                <w:szCs w:val="20"/>
                <w:lang w:val="de-DE"/>
              </w:rPr>
            </w:pPr>
            <w:r w:rsidRPr="00170422">
              <w:rPr>
                <w:noProof/>
                <w:lang w:val="de-DE"/>
              </w:rPr>
              <w:t>M7-3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DA7D12" w14:textId="77777777" w:rsidR="0057163C" w:rsidRPr="00170422" w:rsidRDefault="00F37BF9">
            <w:pPr>
              <w:pStyle w:val="P68B1DB1-Normal11"/>
              <w:spacing w:after="120"/>
              <w:jc w:val="center"/>
              <w:rPr>
                <w:noProof/>
                <w:szCs w:val="20"/>
                <w:lang w:val="de-DE"/>
              </w:rPr>
            </w:pPr>
            <w:r w:rsidRPr="00170422">
              <w:rPr>
                <w:noProof/>
                <w:lang w:val="de-DE"/>
              </w:rPr>
              <w:t>Reform 1: Straffung der Genehmigungsverfahren für erneuerbare Energien</w:t>
            </w:r>
          </w:p>
          <w:p w14:paraId="63FCCCD7" w14:textId="77777777" w:rsidR="0057163C" w:rsidRPr="00170422" w:rsidRDefault="0057163C">
            <w:pPr>
              <w:spacing w:after="120"/>
              <w:jc w:val="center"/>
              <w:rPr>
                <w:rFonts w:ascii="Arial Narrow" w:hAnsi="Arial Narrow"/>
                <w:noProof/>
                <w:color w:val="006100"/>
                <w:sz w:val="20"/>
                <w:szCs w:val="20"/>
                <w:lang w:val="de-DE"/>
              </w:rPr>
            </w:pP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4B41DF"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2B0C30" w14:textId="77777777" w:rsidR="0057163C" w:rsidRPr="00170422" w:rsidRDefault="00F37BF9">
            <w:pPr>
              <w:pStyle w:val="P68B1DB1-Normal11"/>
              <w:spacing w:after="120"/>
              <w:jc w:val="center"/>
              <w:rPr>
                <w:noProof/>
                <w:szCs w:val="20"/>
                <w:lang w:val="de-DE"/>
              </w:rPr>
            </w:pPr>
            <w:r w:rsidRPr="00170422">
              <w:rPr>
                <w:noProof/>
                <w:lang w:val="de-DE"/>
              </w:rPr>
              <w:t xml:space="preserve">Einrichtung der digitalen Plattform für einen einzigen Zugang für </w:t>
            </w:r>
            <w:r w:rsidRPr="00170422">
              <w:rPr>
                <w:noProof/>
                <w:lang w:val="de-DE"/>
              </w:rPr>
              <w:t>Genehmigungen im Zusammenhang mit erneuerbaren Energien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7F50CC" w14:textId="61F8645E" w:rsidR="0057163C" w:rsidRPr="00170422" w:rsidRDefault="00F37BF9">
            <w:pPr>
              <w:pStyle w:val="P68B1DB1-Normal12"/>
              <w:spacing w:after="120"/>
              <w:jc w:val="center"/>
              <w:rPr>
                <w:noProof/>
                <w:lang w:val="de-DE"/>
              </w:rPr>
            </w:pPr>
            <w:r w:rsidRPr="00170422">
              <w:rPr>
                <w:noProof/>
                <w:lang w:val="de-DE"/>
              </w:rPr>
              <w:t>Einrichtung der digitalen Plattform für einen einzigen Zugang für Genehmigungen im Zusammenhang mit erneuerbaren Energien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B8742"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90F76C"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70BB3C"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6CBADD6"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D8B7B2"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1B0BF00C" w14:textId="112F499D" w:rsidR="0057163C" w:rsidRPr="00170422" w:rsidRDefault="00F37BF9">
            <w:pPr>
              <w:pStyle w:val="P68B1DB1-Normal12"/>
              <w:spacing w:after="120"/>
              <w:rPr>
                <w:noProof/>
                <w:lang w:val="de-DE"/>
              </w:rPr>
            </w:pPr>
            <w:r w:rsidRPr="00170422">
              <w:rPr>
                <w:noProof/>
                <w:lang w:val="de-DE"/>
              </w:rPr>
              <w:t>Die zentrale digitale Plattform ist online und ermöglicht e</w:t>
            </w:r>
            <w:r w:rsidRPr="00170422">
              <w:rPr>
                <w:noProof/>
                <w:lang w:val="de-DE"/>
              </w:rPr>
              <w:t>s den Betreibern, Genehmigungen (Autorizzazione Unica, Procedura Autorizzativa semplificata) für die Installation erneuerbarer Energiequellen auf nationaler und subnationaler Ebene zu beantragen und Informationen über unter Edilizia Libera errichtete Anlag</w:t>
            </w:r>
            <w:r w:rsidRPr="00170422">
              <w:rPr>
                <w:noProof/>
                <w:lang w:val="de-DE"/>
              </w:rPr>
              <w:t>en hochzuladen.</w:t>
            </w:r>
          </w:p>
          <w:p w14:paraId="3404C1AB" w14:textId="77777777" w:rsidR="0057163C" w:rsidRPr="00170422" w:rsidRDefault="00F37BF9">
            <w:pPr>
              <w:pStyle w:val="P68B1DB1-Normal12"/>
              <w:spacing w:after="120"/>
              <w:rPr>
                <w:noProof/>
                <w:lang w:val="de-DE"/>
              </w:rPr>
            </w:pPr>
            <w:r w:rsidRPr="00170422">
              <w:rPr>
                <w:noProof/>
                <w:lang w:val="de-DE"/>
              </w:rPr>
              <w:t>Die Platte muss auf dem Prinzip der einmaligen Erfassung („onnce and only“) aufgebaut sein, wonach Antragsteller verpflichtet sind, den öffentlichen Einrichtungen die gleichen Informationen oder Dokumente nur einmal zur Verfügung zu stellen</w:t>
            </w:r>
            <w:r w:rsidRPr="00170422">
              <w:rPr>
                <w:noProof/>
                <w:lang w:val="de-DE"/>
              </w:rPr>
              <w:t xml:space="preserve">. </w:t>
            </w:r>
          </w:p>
        </w:tc>
      </w:tr>
      <w:tr w:rsidR="0057163C" w:rsidRPr="00170422" w14:paraId="513BA347"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740BE1" w14:textId="77777777" w:rsidR="0057163C" w:rsidRPr="00170422" w:rsidRDefault="00F37BF9">
            <w:pPr>
              <w:pStyle w:val="P68B1DB1-Normal11"/>
              <w:spacing w:after="120"/>
              <w:jc w:val="center"/>
              <w:rPr>
                <w:noProof/>
                <w:szCs w:val="20"/>
                <w:lang w:val="de-DE"/>
              </w:rPr>
            </w:pPr>
            <w:r w:rsidRPr="00170422">
              <w:rPr>
                <w:noProof/>
                <w:lang w:val="de-DE"/>
              </w:rPr>
              <w:t>M7-4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F86B0B" w14:textId="77777777" w:rsidR="0057163C" w:rsidRPr="00170422" w:rsidRDefault="00F37BF9">
            <w:pPr>
              <w:pStyle w:val="P68B1DB1-Normal11"/>
              <w:spacing w:after="120"/>
              <w:jc w:val="center"/>
              <w:rPr>
                <w:noProof/>
                <w:szCs w:val="20"/>
                <w:lang w:val="de-DE"/>
              </w:rPr>
            </w:pPr>
            <w:r w:rsidRPr="00170422">
              <w:rPr>
                <w:noProof/>
                <w:lang w:val="de-DE"/>
              </w:rPr>
              <w:t>Reform 2: Verringerung umweltschädlicher Subventionen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2F303B"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F5A19DB" w14:textId="77777777" w:rsidR="0057163C" w:rsidRPr="00170422" w:rsidRDefault="00F37BF9">
            <w:pPr>
              <w:pStyle w:val="P68B1DB1-Normal11"/>
              <w:spacing w:after="120"/>
              <w:jc w:val="center"/>
              <w:rPr>
                <w:noProof/>
                <w:szCs w:val="20"/>
                <w:lang w:val="de-DE"/>
              </w:rPr>
            </w:pPr>
            <w:r w:rsidRPr="00170422">
              <w:rPr>
                <w:noProof/>
                <w:lang w:val="de-DE"/>
              </w:rPr>
              <w:t xml:space="preserve">Annahme eines Regierungsberichts, in </w:t>
            </w:r>
            <w:r w:rsidRPr="00170422">
              <w:rPr>
                <w:noProof/>
                <w:szCs w:val="20"/>
                <w:lang w:val="de-DE"/>
              </w:rPr>
              <w:t>dem</w:t>
            </w:r>
            <w:r w:rsidRPr="00170422">
              <w:rPr>
                <w:noProof/>
                <w:lang w:val="de-DE"/>
              </w:rPr>
              <w:t xml:space="preserve"> das Ergebnis </w:t>
            </w:r>
            <w:r w:rsidRPr="00170422">
              <w:rPr>
                <w:noProof/>
                <w:szCs w:val="20"/>
                <w:lang w:val="de-DE"/>
              </w:rPr>
              <w:t xml:space="preserve">einer Regierungskonsultation </w:t>
            </w:r>
            <w:r w:rsidRPr="00170422">
              <w:rPr>
                <w:noProof/>
                <w:lang w:val="de-DE"/>
              </w:rPr>
              <w:t>mit Interessenträgern zur Verringerung umweltschädlicher Subventionen dargelegt wird.</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9EB8E7" w14:textId="77777777" w:rsidR="0057163C" w:rsidRPr="00170422" w:rsidRDefault="00F37BF9">
            <w:pPr>
              <w:pStyle w:val="P68B1DB1-Normal11"/>
              <w:spacing w:after="120"/>
              <w:jc w:val="center"/>
              <w:rPr>
                <w:noProof/>
                <w:szCs w:val="20"/>
                <w:lang w:val="de-DE"/>
              </w:rPr>
            </w:pPr>
            <w:r w:rsidRPr="00170422">
              <w:rPr>
                <w:noProof/>
                <w:lang w:val="de-DE"/>
              </w:rPr>
              <w:t xml:space="preserve">Annahme des </w:t>
            </w:r>
            <w:r w:rsidRPr="00170422">
              <w:rPr>
                <w:noProof/>
                <w:lang w:val="de-DE"/>
              </w:rPr>
              <w:t>Regierungsberichts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2867AA"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1D8DE5"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D95951"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444B12"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0D8CA"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0E89A2EA" w14:textId="77777777" w:rsidR="0057163C" w:rsidRPr="00170422" w:rsidRDefault="00F37BF9">
            <w:pPr>
              <w:pStyle w:val="P68B1DB1-Normal11"/>
              <w:spacing w:after="120"/>
              <w:rPr>
                <w:noProof/>
                <w:szCs w:val="20"/>
                <w:lang w:val="de-DE"/>
              </w:rPr>
            </w:pPr>
            <w:r w:rsidRPr="00170422">
              <w:rPr>
                <w:noProof/>
                <w:szCs w:val="20"/>
                <w:lang w:val="de-DE"/>
              </w:rPr>
              <w:t>In einem Bericht werden die Maßnahmen dargelegt</w:t>
            </w:r>
            <w:r w:rsidRPr="00170422">
              <w:rPr>
                <w:noProof/>
                <w:lang w:val="de-DE"/>
              </w:rPr>
              <w:t xml:space="preserve">, die ergriffen wurden, um die einschlägigen Interessenträger zur Reform umweltschädlicher Subventionen zu konsultieren, einschließlich der Beiträge der Interessenträger. </w:t>
            </w:r>
            <w:r w:rsidRPr="00170422">
              <w:rPr>
                <w:noProof/>
                <w:lang w:val="de-DE"/>
              </w:rPr>
              <w:t>Zu den konsultierten Interessenträgern gehören einschlägige öffentliche Stellen und private Interessenträger.</w:t>
            </w:r>
          </w:p>
        </w:tc>
      </w:tr>
      <w:tr w:rsidR="0057163C" w:rsidRPr="00170422" w14:paraId="6F5FFE82"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F3C470" w14:textId="77777777" w:rsidR="0057163C" w:rsidRPr="00170422" w:rsidRDefault="00F37BF9">
            <w:pPr>
              <w:pStyle w:val="P68B1DB1-Normal11"/>
              <w:spacing w:after="120"/>
              <w:jc w:val="center"/>
              <w:rPr>
                <w:noProof/>
                <w:szCs w:val="20"/>
                <w:lang w:val="de-DE"/>
              </w:rPr>
            </w:pPr>
            <w:r w:rsidRPr="00170422">
              <w:rPr>
                <w:noProof/>
                <w:lang w:val="de-DE"/>
              </w:rPr>
              <w:t>M7-5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C4013C" w14:textId="77777777" w:rsidR="0057163C" w:rsidRPr="00170422" w:rsidRDefault="00F37BF9">
            <w:pPr>
              <w:pStyle w:val="P68B1DB1-Normal11"/>
              <w:spacing w:after="120"/>
              <w:jc w:val="center"/>
              <w:rPr>
                <w:noProof/>
                <w:szCs w:val="20"/>
                <w:lang w:val="de-DE"/>
              </w:rPr>
            </w:pPr>
            <w:r w:rsidRPr="00170422">
              <w:rPr>
                <w:noProof/>
                <w:lang w:val="de-DE"/>
              </w:rPr>
              <w:t>Reform 2: Verringerung umweltschädlicher Subventionen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704113"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7D4D6B" w14:textId="5E27BFE2" w:rsidR="0057163C" w:rsidRPr="00170422" w:rsidRDefault="00F37BF9">
            <w:pPr>
              <w:pStyle w:val="P68B1DB1-Normal11"/>
              <w:spacing w:after="120"/>
              <w:jc w:val="center"/>
              <w:rPr>
                <w:noProof/>
                <w:szCs w:val="20"/>
                <w:lang w:val="de-DE"/>
              </w:rPr>
            </w:pPr>
            <w:r w:rsidRPr="00170422">
              <w:rPr>
                <w:noProof/>
                <w:lang w:val="de-DE"/>
              </w:rPr>
              <w:t>Inkrafttreten des Rechtsakts/der Rechtsakte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0FE1B5" w14:textId="35F9359E" w:rsidR="0057163C" w:rsidRPr="00170422" w:rsidRDefault="00F37BF9">
            <w:pPr>
              <w:pStyle w:val="P68B1DB1-Normal11"/>
              <w:spacing w:after="120"/>
              <w:jc w:val="center"/>
              <w:rPr>
                <w:noProof/>
                <w:szCs w:val="20"/>
                <w:lang w:val="de-DE"/>
              </w:rPr>
            </w:pPr>
            <w:r w:rsidRPr="00170422">
              <w:rPr>
                <w:noProof/>
                <w:lang w:val="de-DE"/>
              </w:rPr>
              <w:t xml:space="preserve">Gesetzliche Bestimmung über </w:t>
            </w:r>
            <w:r w:rsidRPr="00170422">
              <w:rPr>
                <w:noProof/>
                <w:lang w:val="de-DE"/>
              </w:rPr>
              <w:t>das Inkrafttreten des Rechtsakts/der Rechtsakte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29C71"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488406"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FDC673"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B315AC"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5356E8"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39B9A7" w14:textId="4808E22C" w:rsidR="0057163C" w:rsidRPr="00170422" w:rsidRDefault="00F37BF9">
            <w:pPr>
              <w:pStyle w:val="P68B1DB1-Normal12"/>
              <w:spacing w:after="120"/>
              <w:rPr>
                <w:noProof/>
                <w:lang w:val="de-DE"/>
              </w:rPr>
            </w:pPr>
            <w:r w:rsidRPr="00170422">
              <w:rPr>
                <w:noProof/>
                <w:lang w:val="de-DE"/>
              </w:rPr>
              <w:t xml:space="preserve">Annahme von Rechtsakten zur Verringerung umweltschädlicher Subventionen in Höhe von mindestens 2 Mrd. EUR im Jahr 2026. </w:t>
            </w:r>
          </w:p>
          <w:p w14:paraId="0A941E6D" w14:textId="17D9927F" w:rsidR="0057163C" w:rsidRPr="00170422" w:rsidRDefault="00F37BF9">
            <w:pPr>
              <w:pStyle w:val="P68B1DB1-Normal11"/>
              <w:spacing w:after="120"/>
              <w:rPr>
                <w:noProof/>
                <w:szCs w:val="20"/>
                <w:lang w:val="de-DE"/>
              </w:rPr>
            </w:pPr>
            <w:r w:rsidRPr="00170422">
              <w:rPr>
                <w:noProof/>
                <w:lang w:val="de-DE"/>
              </w:rPr>
              <w:t>Darüber hinaus wird in den Rechtsakten der Zeitplan für eine weitere</w:t>
            </w:r>
            <w:r w:rsidRPr="00170422">
              <w:rPr>
                <w:noProof/>
                <w:lang w:val="de-DE"/>
              </w:rPr>
              <w:t xml:space="preserve"> Verringerung umweltschädlicher Subventionen um mindestens 3,5 Mrd. EUR bis 2030 festgelegt.</w:t>
            </w:r>
          </w:p>
        </w:tc>
      </w:tr>
      <w:tr w:rsidR="0057163C" w:rsidRPr="00170422" w14:paraId="7FB92D61"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B3A2EF" w14:textId="77777777" w:rsidR="0057163C" w:rsidRPr="00170422" w:rsidRDefault="00F37BF9">
            <w:pPr>
              <w:pStyle w:val="P68B1DB1-Normal12"/>
              <w:spacing w:after="120"/>
              <w:jc w:val="center"/>
              <w:rPr>
                <w:noProof/>
                <w:lang w:val="de-DE"/>
              </w:rPr>
            </w:pPr>
            <w:r w:rsidRPr="00170422">
              <w:rPr>
                <w:noProof/>
                <w:lang w:val="de-DE"/>
              </w:rPr>
              <w:t>M7-6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7E7F45" w14:textId="77777777" w:rsidR="0057163C" w:rsidRPr="00170422" w:rsidRDefault="00F37BF9">
            <w:pPr>
              <w:pStyle w:val="P68B1DB1-Normal11"/>
              <w:spacing w:after="120"/>
              <w:jc w:val="center"/>
              <w:rPr>
                <w:noProof/>
                <w:szCs w:val="20"/>
                <w:lang w:val="de-DE"/>
              </w:rPr>
            </w:pPr>
            <w:r w:rsidRPr="00170422">
              <w:rPr>
                <w:noProof/>
                <w:lang w:val="de-DE"/>
              </w:rPr>
              <w:t>Reform 3: Senkung der Kosten für den Anschluss an das Biomethan-Gasnetz</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E548BF"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247039" w14:textId="15E02EE6" w:rsidR="0057163C" w:rsidRPr="00170422" w:rsidRDefault="00F37BF9">
            <w:pPr>
              <w:pStyle w:val="P68B1DB1-Normal12"/>
              <w:spacing w:after="120"/>
              <w:jc w:val="center"/>
              <w:rPr>
                <w:noProof/>
                <w:lang w:val="de-DE"/>
              </w:rPr>
            </w:pPr>
            <w:r w:rsidRPr="00170422">
              <w:rPr>
                <w:noProof/>
                <w:lang w:val="de-DE"/>
              </w:rPr>
              <w:t xml:space="preserve">Inkrafttreten von Rechtsakten zur Senkung der Kosten für den Anschluss </w:t>
            </w:r>
            <w:r w:rsidRPr="00170422">
              <w:rPr>
                <w:noProof/>
                <w:lang w:val="de-DE"/>
              </w:rPr>
              <w:t>von Anlagen zur Erzeugung von Biomethan an das Gasnetz</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F21453" w14:textId="78F141D1" w:rsidR="0057163C" w:rsidRPr="00170422" w:rsidRDefault="00F37BF9">
            <w:pPr>
              <w:pStyle w:val="P68B1DB1-Normal12"/>
              <w:spacing w:after="120"/>
              <w:jc w:val="center"/>
              <w:rPr>
                <w:noProof/>
                <w:lang w:val="de-DE"/>
              </w:rPr>
            </w:pPr>
            <w:r w:rsidRPr="00170422">
              <w:rPr>
                <w:noProof/>
                <w:lang w:val="de-DE"/>
              </w:rPr>
              <w:t>Gesetzliche Bestimmung über das Inkrafttreten von Rechtsakten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0270EB"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B2CD21"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0741D30"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90AF1A" w14:textId="77777777" w:rsidR="0057163C" w:rsidRPr="00170422" w:rsidRDefault="00F37BF9">
            <w:pPr>
              <w:pStyle w:val="P68B1DB1-Normal11"/>
              <w:spacing w:after="120"/>
              <w:jc w:val="center"/>
              <w:rPr>
                <w:noProof/>
                <w:szCs w:val="20"/>
                <w:lang w:val="de-DE"/>
              </w:rPr>
            </w:pPr>
            <w:r w:rsidRPr="00170422">
              <w:rPr>
                <w:noProof/>
                <w:lang w:val="de-DE"/>
              </w:rPr>
              <w:t>Q3</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9A4B3E"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38455859" w14:textId="77777777" w:rsidR="0057163C" w:rsidRPr="00170422" w:rsidRDefault="00F37BF9">
            <w:pPr>
              <w:pStyle w:val="P68B1DB1-Normal12"/>
              <w:spacing w:after="120"/>
              <w:rPr>
                <w:noProof/>
                <w:lang w:val="de-DE"/>
              </w:rPr>
            </w:pPr>
            <w:r w:rsidRPr="00170422">
              <w:rPr>
                <w:noProof/>
                <w:lang w:val="de-DE"/>
              </w:rPr>
              <w:t>Die Rechtsakte</w:t>
            </w:r>
          </w:p>
          <w:p w14:paraId="575B2B78" w14:textId="77777777" w:rsidR="0057163C" w:rsidRPr="00170422" w:rsidRDefault="00F37BF9">
            <w:pPr>
              <w:pStyle w:val="P68B1DB1-ListParagraph15"/>
              <w:numPr>
                <w:ilvl w:val="3"/>
                <w:numId w:val="37"/>
              </w:numPr>
              <w:spacing w:after="120" w:line="240" w:lineRule="auto"/>
              <w:ind w:left="382"/>
              <w:contextualSpacing w:val="0"/>
              <w:jc w:val="both"/>
              <w:rPr>
                <w:noProof/>
                <w:szCs w:val="20"/>
                <w:lang w:val="de-DE"/>
              </w:rPr>
            </w:pPr>
            <w:r w:rsidRPr="00170422">
              <w:rPr>
                <w:noProof/>
                <w:lang w:val="de-DE"/>
              </w:rPr>
              <w:t>Senkung der Kosten für den Anschluss von Biomethan-Produktionsanlagen an das Gasnetz für den Erzeuger.</w:t>
            </w:r>
          </w:p>
          <w:p w14:paraId="5F9F6BF7" w14:textId="77777777" w:rsidR="0057163C" w:rsidRPr="00170422" w:rsidRDefault="00F37BF9">
            <w:pPr>
              <w:pStyle w:val="P68B1DB1-ListParagraph13"/>
              <w:numPr>
                <w:ilvl w:val="3"/>
                <w:numId w:val="37"/>
              </w:numPr>
              <w:spacing w:after="120" w:line="240" w:lineRule="auto"/>
              <w:ind w:left="382"/>
              <w:jc w:val="both"/>
              <w:rPr>
                <w:noProof/>
                <w:lang w:val="de-DE"/>
              </w:rPr>
            </w:pPr>
            <w:r w:rsidRPr="00170422">
              <w:rPr>
                <w:noProof/>
                <w:lang w:val="de-DE"/>
              </w:rPr>
              <w:t xml:space="preserve">Schaffung </w:t>
            </w:r>
            <w:r w:rsidRPr="00170422">
              <w:rPr>
                <w:noProof/>
                <w:lang w:val="de-DE"/>
              </w:rPr>
              <w:t xml:space="preserve">regulatorischer Anreize für Investitionen in das Gasnetz, um die Integration erneuerbarer Gase zu fördern. </w:t>
            </w:r>
          </w:p>
          <w:p w14:paraId="01FDC69D" w14:textId="77777777" w:rsidR="0057163C" w:rsidRPr="00170422" w:rsidRDefault="00F37BF9">
            <w:pPr>
              <w:pStyle w:val="P68B1DB1-ListParagraph13"/>
              <w:numPr>
                <w:ilvl w:val="3"/>
                <w:numId w:val="37"/>
              </w:numPr>
              <w:spacing w:after="120" w:line="240" w:lineRule="auto"/>
              <w:ind w:left="382"/>
              <w:jc w:val="both"/>
              <w:rPr>
                <w:noProof/>
                <w:lang w:val="de-DE"/>
              </w:rPr>
            </w:pPr>
            <w:r w:rsidRPr="00170422">
              <w:rPr>
                <w:noProof/>
                <w:lang w:val="de-DE"/>
              </w:rPr>
              <w:t>Erleichterung der Integration zwischen Übertragungs- und Verteilernetz, auch durch Mechanismen zur Teilung der Kosten von Investitionen in den Netza</w:t>
            </w:r>
            <w:r w:rsidRPr="00170422">
              <w:rPr>
                <w:noProof/>
                <w:lang w:val="de-DE"/>
              </w:rPr>
              <w:t xml:space="preserve">nschluss. </w:t>
            </w:r>
          </w:p>
        </w:tc>
      </w:tr>
      <w:tr w:rsidR="0057163C" w:rsidRPr="00170422" w14:paraId="770A2DA7"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0ED2DB" w14:textId="77777777" w:rsidR="0057163C" w:rsidRPr="00170422" w:rsidRDefault="00F37BF9">
            <w:pPr>
              <w:pStyle w:val="P68B1DB1-Normal11"/>
              <w:spacing w:after="120"/>
              <w:jc w:val="center"/>
              <w:rPr>
                <w:noProof/>
                <w:szCs w:val="20"/>
                <w:lang w:val="de-DE"/>
              </w:rPr>
            </w:pPr>
            <w:r w:rsidRPr="00170422">
              <w:rPr>
                <w:noProof/>
                <w:lang w:val="de-DE"/>
              </w:rPr>
              <w:t>M7-7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BC0CA1" w14:textId="77777777" w:rsidR="0057163C" w:rsidRPr="00170422" w:rsidRDefault="00F37BF9">
            <w:pPr>
              <w:pStyle w:val="P68B1DB1-Normal11"/>
              <w:spacing w:after="120"/>
              <w:jc w:val="center"/>
              <w:rPr>
                <w:noProof/>
                <w:szCs w:val="20"/>
                <w:lang w:val="de-DE"/>
              </w:rPr>
            </w:pPr>
            <w:r w:rsidRPr="00170422">
              <w:rPr>
                <w:noProof/>
                <w:lang w:val="de-DE"/>
              </w:rPr>
              <w:t>Reform 4: Minderung des finanziellen Risikos im Zusammenhang mit Strombezugsverträgen für erneuerbare Energien (Power Purchase Agreements)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D33B5"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F5A1EF" w14:textId="77777777" w:rsidR="0057163C" w:rsidRPr="00170422" w:rsidRDefault="00F37BF9">
            <w:pPr>
              <w:pStyle w:val="P68B1DB1-Normal12"/>
              <w:spacing w:after="120"/>
              <w:jc w:val="center"/>
              <w:rPr>
                <w:noProof/>
                <w:lang w:val="de-DE"/>
              </w:rPr>
            </w:pPr>
            <w:r w:rsidRPr="00170422">
              <w:rPr>
                <w:noProof/>
                <w:lang w:val="de-DE"/>
              </w:rPr>
              <w:t>Inkrafttreten des Primär- und Sekundärrechts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523F58" w14:textId="77777777" w:rsidR="0057163C" w:rsidRPr="00170422" w:rsidRDefault="00F37BF9">
            <w:pPr>
              <w:pStyle w:val="P68B1DB1-Normal11"/>
              <w:spacing w:after="120"/>
              <w:jc w:val="center"/>
              <w:rPr>
                <w:noProof/>
                <w:szCs w:val="20"/>
                <w:lang w:val="de-DE"/>
              </w:rPr>
            </w:pPr>
            <w:r w:rsidRPr="00170422">
              <w:rPr>
                <w:noProof/>
                <w:lang w:val="de-DE"/>
              </w:rPr>
              <w:t xml:space="preserve">Gesetzliche Bestimmung über das </w:t>
            </w:r>
            <w:r w:rsidRPr="00170422">
              <w:rPr>
                <w:noProof/>
                <w:lang w:val="de-DE"/>
              </w:rPr>
              <w:t>Inkrafttreten des Gesetzes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4CDA3"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61C8AC"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5C3BE2"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723F4A" w14:textId="77777777" w:rsidR="0057163C" w:rsidRPr="00170422" w:rsidRDefault="00F37BF9">
            <w:pPr>
              <w:pStyle w:val="P68B1DB1-Normal12"/>
              <w:spacing w:after="120"/>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F2F331"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3687B8F" w14:textId="77777777" w:rsidR="0057163C" w:rsidRPr="00170422" w:rsidRDefault="00F37BF9">
            <w:pPr>
              <w:pStyle w:val="P68B1DB1-Normal12"/>
              <w:spacing w:after="120"/>
              <w:rPr>
                <w:noProof/>
                <w:lang w:val="de-DE"/>
              </w:rPr>
            </w:pPr>
            <w:r w:rsidRPr="00170422">
              <w:rPr>
                <w:noProof/>
                <w:lang w:val="de-DE"/>
              </w:rPr>
              <w:t>Inkrafttreten des Primär- und Sekundärrechts.</w:t>
            </w:r>
          </w:p>
          <w:p w14:paraId="0A591836" w14:textId="77777777" w:rsidR="0057163C" w:rsidRPr="00170422" w:rsidRDefault="00F37BF9">
            <w:pPr>
              <w:pStyle w:val="P68B1DB1-Normal12"/>
              <w:spacing w:after="120"/>
              <w:rPr>
                <w:noProof/>
                <w:lang w:val="de-DE"/>
              </w:rPr>
            </w:pPr>
            <w:r w:rsidRPr="00170422">
              <w:rPr>
                <w:noProof/>
                <w:lang w:val="de-DE"/>
              </w:rPr>
              <w:t>Das Primärrecht sieht den Erlass sekundärer Rechtsvorschriften zur Umsetzung der nachstehenden Voraussetzungen i), ii) und iii) vor.</w:t>
            </w:r>
          </w:p>
          <w:p w14:paraId="17027B74" w14:textId="77777777" w:rsidR="0057163C" w:rsidRPr="00170422" w:rsidRDefault="00F37BF9">
            <w:pPr>
              <w:pStyle w:val="P68B1DB1-Normal12"/>
              <w:spacing w:after="120"/>
              <w:rPr>
                <w:noProof/>
                <w:lang w:val="de-DE"/>
              </w:rPr>
            </w:pPr>
            <w:r w:rsidRPr="00170422">
              <w:rPr>
                <w:noProof/>
                <w:lang w:val="de-DE"/>
              </w:rPr>
              <w:t>Die abgeleiteten Rechtsvorschri</w:t>
            </w:r>
            <w:r w:rsidRPr="00170422">
              <w:rPr>
                <w:noProof/>
                <w:lang w:val="de-DE"/>
              </w:rPr>
              <w:t>ften</w:t>
            </w:r>
          </w:p>
          <w:p w14:paraId="5546CE95" w14:textId="77777777" w:rsidR="0057163C" w:rsidRPr="00170422" w:rsidRDefault="00F37BF9">
            <w:pPr>
              <w:pStyle w:val="P68B1DB1-ListParagraph13"/>
              <w:numPr>
                <w:ilvl w:val="0"/>
                <w:numId w:val="65"/>
              </w:numPr>
              <w:spacing w:before="120" w:after="120" w:line="240" w:lineRule="auto"/>
              <w:jc w:val="both"/>
              <w:rPr>
                <w:noProof/>
                <w:lang w:val="de-DE"/>
              </w:rPr>
            </w:pPr>
            <w:r w:rsidRPr="00170422">
              <w:rPr>
                <w:noProof/>
                <w:lang w:val="de-DE"/>
              </w:rPr>
              <w:t xml:space="preserve">von jedem Betreiber zu verlangen, dass er eine teilweise Deckung des Gegenwerts der Strombezugsverträge durch auf dem Strommarkt bereitgestellte Garantieinstrumente garantiert; </w:t>
            </w:r>
          </w:p>
          <w:p w14:paraId="187001DF" w14:textId="77777777" w:rsidR="0057163C" w:rsidRPr="00170422" w:rsidRDefault="00F37BF9">
            <w:pPr>
              <w:pStyle w:val="P68B1DB1-ListParagraph13"/>
              <w:numPr>
                <w:ilvl w:val="0"/>
                <w:numId w:val="65"/>
              </w:numPr>
              <w:spacing w:before="120" w:after="120" w:line="240" w:lineRule="auto"/>
              <w:jc w:val="both"/>
              <w:rPr>
                <w:noProof/>
                <w:lang w:val="de-DE"/>
              </w:rPr>
            </w:pPr>
            <w:r w:rsidRPr="00170422">
              <w:rPr>
                <w:noProof/>
                <w:lang w:val="de-DE"/>
              </w:rPr>
              <w:t>Einführung von Maßnahmen zur Minderung des Ausfallrisikos, einschließlich</w:t>
            </w:r>
            <w:r w:rsidRPr="00170422">
              <w:rPr>
                <w:noProof/>
                <w:lang w:val="de-DE"/>
              </w:rPr>
              <w:t xml:space="preserve"> Anforderungen und Einschränkungen für den Bieter und regulatorische Sanktionen im Falle eines Ausfalls des Herstellers;</w:t>
            </w:r>
          </w:p>
          <w:p w14:paraId="1C049664" w14:textId="77777777" w:rsidR="0057163C" w:rsidRPr="00170422" w:rsidRDefault="00F37BF9">
            <w:pPr>
              <w:pStyle w:val="P68B1DB1-ListParagraph13"/>
              <w:numPr>
                <w:ilvl w:val="0"/>
                <w:numId w:val="65"/>
              </w:numPr>
              <w:spacing w:before="120" w:after="120" w:line="240" w:lineRule="auto"/>
              <w:jc w:val="both"/>
              <w:rPr>
                <w:noProof/>
                <w:lang w:val="de-DE"/>
              </w:rPr>
            </w:pPr>
            <w:r w:rsidRPr="00170422">
              <w:rPr>
                <w:noProof/>
                <w:lang w:val="de-DE"/>
              </w:rPr>
              <w:t>Ermittlung einer institutionellen Einheit, die die Rolle eines Verkäufers/Käufers letzter Instanz übernimmt, der von der ausfallenden G</w:t>
            </w:r>
            <w:r w:rsidRPr="00170422">
              <w:rPr>
                <w:noProof/>
                <w:lang w:val="de-DE"/>
              </w:rPr>
              <w:t>egenpartei übernehmen und die Erfüllung der gegenüber der leistungsstarken Gegenpartei eingegangenen Verpflichtungen sicherstellen würde.</w:t>
            </w:r>
          </w:p>
        </w:tc>
      </w:tr>
      <w:tr w:rsidR="0057163C" w:rsidRPr="00170422" w14:paraId="39B61CD7"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8649C4" w14:textId="77777777" w:rsidR="0057163C" w:rsidRPr="00170422" w:rsidRDefault="00F37BF9">
            <w:pPr>
              <w:pStyle w:val="P68B1DB1-Normal11"/>
              <w:spacing w:after="120"/>
              <w:jc w:val="center"/>
              <w:rPr>
                <w:noProof/>
                <w:szCs w:val="20"/>
                <w:lang w:val="de-DE"/>
              </w:rPr>
            </w:pPr>
            <w:r w:rsidRPr="00170422">
              <w:rPr>
                <w:noProof/>
                <w:lang w:val="de-DE"/>
              </w:rPr>
              <w:t>M7-9</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C8C5D6" w14:textId="77777777" w:rsidR="0057163C" w:rsidRPr="00170422" w:rsidRDefault="00F37BF9">
            <w:pPr>
              <w:pStyle w:val="P68B1DB1-Normal11"/>
              <w:spacing w:after="120"/>
              <w:jc w:val="center"/>
              <w:rPr>
                <w:noProof/>
                <w:szCs w:val="20"/>
                <w:lang w:val="de-DE"/>
              </w:rPr>
            </w:pPr>
            <w:r w:rsidRPr="00170422">
              <w:rPr>
                <w:noProof/>
                <w:lang w:val="de-DE"/>
              </w:rPr>
              <w:t>Reform 5: Plan für neue Kompetenzen – Übergänge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5A7037"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8FE724" w14:textId="77777777" w:rsidR="0057163C" w:rsidRPr="00170422" w:rsidRDefault="00F37BF9">
            <w:pPr>
              <w:pStyle w:val="P68B1DB1-Normal11"/>
              <w:spacing w:after="120"/>
              <w:jc w:val="center"/>
              <w:rPr>
                <w:noProof/>
                <w:szCs w:val="20"/>
                <w:lang w:val="de-DE"/>
              </w:rPr>
            </w:pPr>
            <w:r w:rsidRPr="00170422">
              <w:rPr>
                <w:noProof/>
                <w:lang w:val="de-DE"/>
              </w:rPr>
              <w:t xml:space="preserve">Annahme und Veröffentlichung des neuen Plans für </w:t>
            </w:r>
            <w:r w:rsidRPr="00170422">
              <w:rPr>
                <w:noProof/>
                <w:lang w:val="de-DE"/>
              </w:rPr>
              <w:t>Kompetenzen – Übergänge und des Fahrplans für die Umsetzung</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A31EFA" w14:textId="77777777" w:rsidR="0057163C" w:rsidRPr="00170422" w:rsidRDefault="00F37BF9">
            <w:pPr>
              <w:pStyle w:val="P68B1DB1-Normal11"/>
              <w:spacing w:after="120"/>
              <w:jc w:val="center"/>
              <w:rPr>
                <w:noProof/>
                <w:szCs w:val="20"/>
                <w:lang w:val="de-DE"/>
              </w:rPr>
            </w:pPr>
            <w:r w:rsidRPr="00170422">
              <w:rPr>
                <w:noProof/>
                <w:lang w:val="de-DE"/>
              </w:rPr>
              <w:t>Annahme des Plans und des Fahrplans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E840EE"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F9158"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47E797"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8C40D4" w14:textId="77777777" w:rsidR="0057163C" w:rsidRPr="00170422" w:rsidRDefault="00F37BF9">
            <w:pPr>
              <w:pStyle w:val="P68B1DB1-Normal11"/>
              <w:spacing w:after="120"/>
              <w:jc w:val="center"/>
              <w:rPr>
                <w:noProof/>
                <w:szCs w:val="20"/>
                <w:lang w:val="de-DE"/>
              </w:rPr>
            </w:pPr>
            <w:r w:rsidRPr="00170422">
              <w:rPr>
                <w:noProof/>
                <w:lang w:val="de-DE"/>
              </w:rPr>
              <w:t>Q1</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9FEEF7"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F4D6D" w14:textId="77777777" w:rsidR="0057163C" w:rsidRPr="00170422" w:rsidRDefault="00F37BF9">
            <w:pPr>
              <w:pStyle w:val="P68B1DB1-Normal11"/>
              <w:spacing w:after="120"/>
              <w:rPr>
                <w:noProof/>
                <w:szCs w:val="20"/>
                <w:lang w:val="de-DE"/>
              </w:rPr>
            </w:pPr>
            <w:r w:rsidRPr="00170422">
              <w:rPr>
                <w:noProof/>
                <w:lang w:val="de-DE"/>
              </w:rPr>
              <w:t>Der mit Dekret vom 14. Dezember 2021 angenommene und in der Gazzetta ufficiale n.307 vom 28. Dezember 2021 veröffentlichte „Piano Nuove Competenze“ w</w:t>
            </w:r>
            <w:r w:rsidRPr="00170422">
              <w:rPr>
                <w:noProof/>
                <w:lang w:val="de-DE"/>
              </w:rPr>
              <w:t>ird geändert und der neue Plan für Kompetenzen für Übergänge tritt in Kraft. Der Plan enthält die allgemeinen Grundsätze, die in regionalen Gesetzen näher ausgeführt werden müssen und die Folgendes umfassen:</w:t>
            </w:r>
          </w:p>
          <w:p w14:paraId="436A2451" w14:textId="77777777" w:rsidR="0057163C" w:rsidRPr="00170422" w:rsidRDefault="00F37BF9">
            <w:pPr>
              <w:pStyle w:val="P68B1DB1-ListParagraph15"/>
              <w:numPr>
                <w:ilvl w:val="0"/>
                <w:numId w:val="44"/>
              </w:numPr>
              <w:spacing w:after="120" w:line="240" w:lineRule="auto"/>
              <w:ind w:left="382" w:hanging="142"/>
              <w:jc w:val="both"/>
              <w:rPr>
                <w:noProof/>
                <w:szCs w:val="20"/>
                <w:lang w:val="de-DE"/>
              </w:rPr>
            </w:pPr>
            <w:r w:rsidRPr="00170422">
              <w:rPr>
                <w:noProof/>
                <w:lang w:val="de-DE"/>
              </w:rPr>
              <w:t>stärkere Einbeziehung des Privatsektors in das A</w:t>
            </w:r>
            <w:r w:rsidRPr="00170422">
              <w:rPr>
                <w:noProof/>
                <w:lang w:val="de-DE"/>
              </w:rPr>
              <w:t xml:space="preserve">usbildungsangebot, </w:t>
            </w:r>
          </w:p>
          <w:p w14:paraId="5A000979" w14:textId="77777777" w:rsidR="0057163C" w:rsidRPr="00170422" w:rsidRDefault="00F37BF9">
            <w:pPr>
              <w:pStyle w:val="P68B1DB1-ListParagraph15"/>
              <w:numPr>
                <w:ilvl w:val="0"/>
                <w:numId w:val="44"/>
              </w:numPr>
              <w:spacing w:after="120" w:line="240" w:lineRule="auto"/>
              <w:ind w:left="382" w:hanging="142"/>
              <w:contextualSpacing w:val="0"/>
              <w:jc w:val="both"/>
              <w:rPr>
                <w:noProof/>
                <w:szCs w:val="20"/>
                <w:lang w:val="de-DE"/>
              </w:rPr>
            </w:pPr>
            <w:r w:rsidRPr="00170422">
              <w:rPr>
                <w:noProof/>
                <w:lang w:val="de-DE"/>
              </w:rPr>
              <w:t xml:space="preserve">verbesserte Anerkennung von Ausbildung am Arbeitsplatz und Microcredentials, </w:t>
            </w:r>
          </w:p>
          <w:p w14:paraId="4E783CD3" w14:textId="77777777" w:rsidR="0057163C" w:rsidRPr="00170422" w:rsidRDefault="00F37BF9">
            <w:pPr>
              <w:pStyle w:val="P68B1DB1-ListParagraph15"/>
              <w:numPr>
                <w:ilvl w:val="0"/>
                <w:numId w:val="44"/>
              </w:numPr>
              <w:spacing w:after="120" w:line="240" w:lineRule="auto"/>
              <w:ind w:left="382" w:hanging="142"/>
              <w:contextualSpacing w:val="0"/>
              <w:jc w:val="both"/>
              <w:rPr>
                <w:noProof/>
                <w:szCs w:val="20"/>
                <w:lang w:val="de-DE"/>
              </w:rPr>
            </w:pPr>
            <w:r w:rsidRPr="00170422">
              <w:rPr>
                <w:noProof/>
                <w:lang w:val="de-DE"/>
              </w:rPr>
              <w:t xml:space="preserve">umfassendere Ex-ante-Arbeitsmarktanalyse und Überwachung der Auswirkungen der Ausbildung auf den Arbeitsmarkt. </w:t>
            </w:r>
          </w:p>
          <w:p w14:paraId="75C24AA2" w14:textId="77777777" w:rsidR="0057163C" w:rsidRPr="00170422" w:rsidRDefault="00F37BF9">
            <w:pPr>
              <w:pStyle w:val="P68B1DB1-Normal11"/>
              <w:spacing w:after="120"/>
              <w:rPr>
                <w:noProof/>
                <w:szCs w:val="20"/>
                <w:lang w:val="de-DE"/>
              </w:rPr>
            </w:pPr>
            <w:r w:rsidRPr="00170422">
              <w:rPr>
                <w:noProof/>
                <w:lang w:val="de-DE"/>
              </w:rPr>
              <w:t>Außerdem wird ein Fahrplan für die Umsetzung a</w:t>
            </w:r>
            <w:r w:rsidRPr="00170422">
              <w:rPr>
                <w:noProof/>
                <w:lang w:val="de-DE"/>
              </w:rPr>
              <w:t>ngenommen.</w:t>
            </w:r>
          </w:p>
        </w:tc>
      </w:tr>
      <w:tr w:rsidR="0057163C" w:rsidRPr="00170422" w14:paraId="768D55AC"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7D44D7" w14:textId="77777777" w:rsidR="0057163C" w:rsidRPr="00170422" w:rsidRDefault="00F37BF9">
            <w:pPr>
              <w:pStyle w:val="P68B1DB1-Normal12"/>
              <w:spacing w:after="120"/>
              <w:jc w:val="center"/>
              <w:rPr>
                <w:rFonts w:eastAsia="Arial Narrow" w:cs="Arial Narrow"/>
                <w:noProof/>
                <w:lang w:val="de-DE"/>
              </w:rPr>
            </w:pPr>
            <w:r w:rsidRPr="00170422">
              <w:rPr>
                <w:noProof/>
                <w:lang w:val="de-DE"/>
              </w:rPr>
              <w:t>M7-10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6B2B0" w14:textId="77777777" w:rsidR="0057163C" w:rsidRPr="00170422" w:rsidRDefault="00F37BF9">
            <w:pPr>
              <w:pStyle w:val="P68B1DB1-Normal12"/>
              <w:spacing w:after="120"/>
              <w:jc w:val="center"/>
              <w:rPr>
                <w:rFonts w:eastAsia="Arial Narrow" w:cs="Arial Narrow"/>
                <w:noProof/>
                <w:lang w:val="de-DE"/>
              </w:rPr>
            </w:pPr>
            <w:r w:rsidRPr="00170422">
              <w:rPr>
                <w:noProof/>
                <w:lang w:val="de-DE"/>
              </w:rPr>
              <w:t>Reform 5: Plan für neue Kompetenzen – Übergänge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C1E7D3" w14:textId="77777777" w:rsidR="0057163C" w:rsidRPr="00170422" w:rsidRDefault="00F37BF9">
            <w:pPr>
              <w:pStyle w:val="P68B1DB1-Normal11"/>
              <w:spacing w:after="120"/>
              <w:jc w:val="center"/>
              <w:rPr>
                <w:rFonts w:eastAsia="Arial Narrow" w:cs="Arial Narrow"/>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8E753FB" w14:textId="2ACE358E" w:rsidR="0057163C" w:rsidRPr="00170422" w:rsidRDefault="00F37BF9">
            <w:pPr>
              <w:pStyle w:val="P68B1DB1-Normal12"/>
              <w:spacing w:after="120"/>
              <w:rPr>
                <w:noProof/>
                <w:lang w:val="de-DE"/>
              </w:rPr>
            </w:pPr>
            <w:r w:rsidRPr="00170422">
              <w:rPr>
                <w:noProof/>
                <w:lang w:val="de-DE"/>
              </w:rPr>
              <w:t xml:space="preserve">Inkrafttreten eines oder mehrerer Rechtsakte für Regionen und autonome Provinzen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8DA537" w14:textId="19FC3AE1" w:rsidR="0057163C" w:rsidRPr="00170422" w:rsidRDefault="00F37BF9">
            <w:pPr>
              <w:pStyle w:val="P68B1DB1-Normal12"/>
              <w:spacing w:after="120"/>
              <w:jc w:val="center"/>
              <w:rPr>
                <w:noProof/>
                <w:lang w:val="de-DE"/>
              </w:rPr>
            </w:pPr>
            <w:r w:rsidRPr="00170422">
              <w:rPr>
                <w:noProof/>
                <w:lang w:val="de-DE"/>
              </w:rPr>
              <w:t xml:space="preserve"> Bestimmung(en) in Rechtsakten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08116F" w14:textId="77777777" w:rsidR="0057163C" w:rsidRPr="00170422" w:rsidRDefault="0057163C">
            <w:pPr>
              <w:spacing w:after="120"/>
              <w:jc w:val="center"/>
              <w:rPr>
                <w:rFonts w:ascii="Arial Narrow" w:eastAsia="Arial Narrow" w:hAnsi="Arial Narrow" w:cs="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91C33D" w14:textId="77777777" w:rsidR="0057163C" w:rsidRPr="00170422" w:rsidRDefault="0057163C">
            <w:pPr>
              <w:spacing w:after="120"/>
              <w:jc w:val="center"/>
              <w:rPr>
                <w:rFonts w:ascii="Arial Narrow" w:eastAsia="Arial Narrow" w:hAnsi="Arial Narrow" w:cs="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0FBD4FF" w14:textId="77777777" w:rsidR="0057163C" w:rsidRPr="00170422" w:rsidRDefault="0057163C">
            <w:pPr>
              <w:spacing w:after="120"/>
              <w:jc w:val="center"/>
              <w:rPr>
                <w:rFonts w:ascii="Arial Narrow" w:eastAsia="Arial Narrow" w:hAnsi="Arial Narrow" w:cs="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2732AC" w14:textId="77777777" w:rsidR="0057163C" w:rsidRPr="00170422" w:rsidRDefault="00F37BF9">
            <w:pPr>
              <w:pStyle w:val="P68B1DB1-Normal11"/>
              <w:spacing w:after="120"/>
              <w:jc w:val="center"/>
              <w:rPr>
                <w:rFonts w:eastAsia="Arial Narrow" w:cs="Arial Narrow"/>
                <w:noProof/>
                <w:szCs w:val="20"/>
                <w:lang w:val="de-DE"/>
              </w:rPr>
            </w:pPr>
            <w:r w:rsidRPr="00170422">
              <w:rPr>
                <w:noProof/>
                <w:lang w:val="de-DE"/>
              </w:rPr>
              <w:t>Q3</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FC9DF" w14:textId="77777777" w:rsidR="0057163C" w:rsidRPr="00170422" w:rsidRDefault="00F37BF9">
            <w:pPr>
              <w:pStyle w:val="P68B1DB1-Normal11"/>
              <w:spacing w:after="120"/>
              <w:jc w:val="center"/>
              <w:rPr>
                <w:rFonts w:eastAsia="Arial Narrow" w:cs="Arial Narrow"/>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80649B" w14:textId="77777777" w:rsidR="0057163C" w:rsidRPr="00170422" w:rsidRDefault="00F37BF9">
            <w:pPr>
              <w:pStyle w:val="P68B1DB1-Normal11"/>
              <w:rPr>
                <w:noProof/>
                <w:lang w:val="de-DE"/>
              </w:rPr>
            </w:pPr>
            <w:r w:rsidRPr="00170422">
              <w:rPr>
                <w:noProof/>
                <w:lang w:val="de-DE"/>
              </w:rPr>
              <w:t xml:space="preserve">Inkrafttreten eines oder mehrerer Rechtsakte, </w:t>
            </w:r>
            <w:r w:rsidRPr="00170422">
              <w:rPr>
                <w:noProof/>
                <w:lang w:val="de-DE"/>
              </w:rPr>
              <w:t>einschließlich Bestimmungen über</w:t>
            </w:r>
          </w:p>
          <w:p w14:paraId="40A033B3" w14:textId="77777777" w:rsidR="0057163C" w:rsidRPr="00170422" w:rsidRDefault="00F37BF9">
            <w:pPr>
              <w:pStyle w:val="P68B1DB1-ListParagraph111"/>
              <w:numPr>
                <w:ilvl w:val="0"/>
                <w:numId w:val="97"/>
              </w:numPr>
              <w:spacing w:before="120" w:after="120" w:line="240" w:lineRule="auto"/>
              <w:jc w:val="both"/>
              <w:rPr>
                <w:noProof/>
                <w:lang w:val="de-DE"/>
              </w:rPr>
            </w:pPr>
            <w:r w:rsidRPr="00170422">
              <w:rPr>
                <w:noProof/>
                <w:lang w:val="de-DE"/>
              </w:rPr>
              <w:t>sicherstellen, dass bei der Planung von Schulungsmaßnahmen Interessenträger aus dem Privatsektor einbezogen werden und dass Instrumente zur Erfassung von Kompetenzen eingesetzt werden, um dem mittel- und langfristigen Quali</w:t>
            </w:r>
            <w:r w:rsidRPr="00170422">
              <w:rPr>
                <w:noProof/>
                <w:lang w:val="de-DE"/>
              </w:rPr>
              <w:t xml:space="preserve">fikationsbedarf gerecht zu werden, wobei der Schwerpunkt auf den Kompetenzen liegen sollte, die für den ökologischen und digitalen Wandel erforderlich sind; </w:t>
            </w:r>
          </w:p>
          <w:p w14:paraId="5CEC2601" w14:textId="77777777" w:rsidR="0057163C" w:rsidRPr="00170422" w:rsidRDefault="00F37BF9">
            <w:pPr>
              <w:pStyle w:val="P68B1DB1-Normal12"/>
              <w:rPr>
                <w:noProof/>
                <w:lang w:val="de-DE"/>
              </w:rPr>
            </w:pPr>
            <w:r w:rsidRPr="00170422">
              <w:rPr>
                <w:noProof/>
                <w:lang w:val="de-DE"/>
              </w:rPr>
              <w:t>und/oder</w:t>
            </w:r>
          </w:p>
          <w:p w14:paraId="6A7AD53E" w14:textId="77777777" w:rsidR="0057163C" w:rsidRPr="00170422" w:rsidRDefault="00F37BF9">
            <w:pPr>
              <w:pStyle w:val="P68B1DB1-ListParagraph111"/>
              <w:numPr>
                <w:ilvl w:val="0"/>
                <w:numId w:val="96"/>
              </w:numPr>
              <w:spacing w:before="120" w:after="120" w:line="240" w:lineRule="auto"/>
              <w:jc w:val="both"/>
              <w:rPr>
                <w:noProof/>
                <w:lang w:val="de-DE"/>
              </w:rPr>
            </w:pPr>
            <w:r w:rsidRPr="00170422">
              <w:rPr>
                <w:noProof/>
                <w:lang w:val="de-DE"/>
              </w:rPr>
              <w:t>Validierung unternehmensinterner Schulungen (einschließlich Microcredentials) und ihrer E</w:t>
            </w:r>
            <w:r w:rsidRPr="00170422">
              <w:rPr>
                <w:noProof/>
                <w:lang w:val="de-DE"/>
              </w:rPr>
              <w:t>rgebnisse durch Freigabe von Zertifikaten auf der Grundlage gemeinsamer Mindeststandards.</w:t>
            </w:r>
          </w:p>
          <w:p w14:paraId="7523B96C" w14:textId="7F13847A" w:rsidR="0057163C" w:rsidRPr="00170422" w:rsidRDefault="00F37BF9">
            <w:pPr>
              <w:pStyle w:val="P68B1DB1-Normal11"/>
              <w:rPr>
                <w:rFonts w:cs="Times New Roman"/>
                <w:noProof/>
                <w:lang w:val="de-DE"/>
              </w:rPr>
            </w:pPr>
            <w:r w:rsidRPr="00170422">
              <w:rPr>
                <w:noProof/>
                <w:lang w:val="de-DE"/>
              </w:rPr>
              <w:t>Die Rechtsakte treten für alle italienischen Regionen und Autonomen Provinzen mit Ausnahme von Bozen und dem Aostatal in Kraft.</w:t>
            </w:r>
          </w:p>
        </w:tc>
      </w:tr>
      <w:tr w:rsidR="0057163C" w:rsidRPr="00170422" w14:paraId="3CC06066"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1CA7FD" w14:textId="77777777" w:rsidR="0057163C" w:rsidRPr="00170422" w:rsidRDefault="00F37BF9">
            <w:pPr>
              <w:pStyle w:val="P68B1DB1-Normal11"/>
              <w:spacing w:after="120"/>
              <w:jc w:val="center"/>
              <w:rPr>
                <w:noProof/>
                <w:szCs w:val="20"/>
                <w:lang w:val="de-DE"/>
              </w:rPr>
            </w:pPr>
            <w:r w:rsidRPr="00170422">
              <w:rPr>
                <w:noProof/>
                <w:lang w:val="de-DE"/>
              </w:rPr>
              <w:t>M7-11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1655C2C" w14:textId="77777777" w:rsidR="0057163C" w:rsidRPr="00170422" w:rsidRDefault="00F37BF9">
            <w:pPr>
              <w:pStyle w:val="P68B1DB1-Normal11"/>
              <w:spacing w:after="120"/>
              <w:jc w:val="center"/>
              <w:rPr>
                <w:noProof/>
                <w:szCs w:val="20"/>
                <w:lang w:val="de-DE"/>
              </w:rPr>
            </w:pPr>
            <w:r w:rsidRPr="00170422">
              <w:rPr>
                <w:noProof/>
                <w:lang w:val="de-DE"/>
              </w:rPr>
              <w:t xml:space="preserve">Investition 1: Ausgeweitete </w:t>
            </w:r>
            <w:r w:rsidRPr="00170422">
              <w:rPr>
                <w:noProof/>
                <w:lang w:val="de-DE"/>
              </w:rPr>
              <w:t>Maßnahme: Intelligente Netze</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8DAD7E" w14:textId="77777777" w:rsidR="0057163C" w:rsidRPr="00170422" w:rsidRDefault="00F37BF9">
            <w:pPr>
              <w:pStyle w:val="P68B1DB1-Normal11"/>
              <w:spacing w:after="120"/>
              <w:jc w:val="center"/>
              <w:rPr>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45ACBD" w14:textId="77777777" w:rsidR="0057163C" w:rsidRPr="00170422" w:rsidRDefault="00F37BF9">
            <w:pPr>
              <w:pStyle w:val="P68B1DB1-Normal11"/>
              <w:spacing w:after="120"/>
              <w:jc w:val="center"/>
              <w:rPr>
                <w:noProof/>
                <w:szCs w:val="20"/>
                <w:lang w:val="de-DE"/>
              </w:rPr>
            </w:pPr>
            <w:r w:rsidRPr="00170422">
              <w:rPr>
                <w:noProof/>
                <w:lang w:val="de-DE"/>
              </w:rPr>
              <w:t>Intelligente Netze – Elektrifizierung des Energieverbrauchs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00B325" w14:textId="77777777" w:rsidR="0057163C" w:rsidRPr="00170422" w:rsidRDefault="0057163C">
            <w:pPr>
              <w:spacing w:after="120"/>
              <w:jc w:val="center"/>
              <w:rPr>
                <w:rFonts w:ascii="Arial Narrow" w:hAnsi="Arial Narrow"/>
                <w:noProof/>
                <w:color w:val="006100"/>
                <w:sz w:val="20"/>
                <w:szCs w:val="20"/>
                <w:lang w:val="de-DE"/>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E535E1" w14:textId="77777777" w:rsidR="0057163C" w:rsidRPr="00170422" w:rsidRDefault="00F37BF9">
            <w:pPr>
              <w:pStyle w:val="P68B1DB1-Normal11"/>
              <w:spacing w:after="120"/>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750F5B9" w14:textId="77777777" w:rsidR="0057163C" w:rsidRPr="00170422" w:rsidRDefault="00F37BF9">
            <w:pPr>
              <w:pStyle w:val="P68B1DB1-Normal11"/>
              <w:spacing w:after="120"/>
              <w:jc w:val="center"/>
              <w:rPr>
                <w:noProof/>
                <w:szCs w:val="20"/>
                <w:lang w:val="de-DE"/>
              </w:rPr>
            </w:pPr>
            <w:r w:rsidRPr="00170422">
              <w:rPr>
                <w:noProof/>
                <w:lang w:val="de-DE"/>
              </w:rPr>
              <w:t>1 500 000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EF83DE" w14:textId="77777777" w:rsidR="0057163C" w:rsidRPr="00170422" w:rsidRDefault="00F37BF9">
            <w:pPr>
              <w:pStyle w:val="P68B1DB1-Normal11"/>
              <w:spacing w:after="120"/>
              <w:jc w:val="center"/>
              <w:rPr>
                <w:noProof/>
                <w:szCs w:val="20"/>
                <w:lang w:val="de-DE"/>
              </w:rPr>
            </w:pPr>
            <w:r w:rsidRPr="00170422">
              <w:rPr>
                <w:noProof/>
                <w:lang w:val="de-DE"/>
              </w:rPr>
              <w:t>1 730 000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AA27DF8"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C74DEA"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4748CC" w14:textId="6ADC47FE" w:rsidR="0057163C" w:rsidRPr="00170422" w:rsidRDefault="00F37BF9">
            <w:pPr>
              <w:pStyle w:val="P68B1DB1-Normal11"/>
              <w:spacing w:after="120"/>
              <w:rPr>
                <w:noProof/>
                <w:color w:val="FF0000"/>
                <w:szCs w:val="20"/>
                <w:lang w:val="de-DE"/>
              </w:rPr>
            </w:pPr>
            <w:r w:rsidRPr="00170422">
              <w:rPr>
                <w:noProof/>
                <w:szCs w:val="20"/>
                <w:lang w:val="de-DE"/>
              </w:rPr>
              <w:t xml:space="preserve">Einbau- oder Abnahmeprüfberichte, die für Eingriffe ausgestellt wurden, die zu einer Erhöhung der Höchstleistung für den </w:t>
            </w:r>
            <w:r w:rsidRPr="00170422">
              <w:rPr>
                <w:noProof/>
                <w:szCs w:val="20"/>
                <w:lang w:val="de-DE"/>
              </w:rPr>
              <w:t>Energieverbrauch des Netzes für eine Anzahl von Lieferpunkten führen, die mindestens 1730000 Einwohnern entspricht, was durch einen oder mehrere unabhängige Ingenieurberichte bestätigt wird.</w:t>
            </w:r>
            <w:r w:rsidRPr="00170422">
              <w:rPr>
                <w:noProof/>
                <w:lang w:val="de-DE"/>
              </w:rPr>
              <w:t xml:space="preserve"> </w:t>
            </w:r>
          </w:p>
        </w:tc>
      </w:tr>
      <w:tr w:rsidR="0057163C" w:rsidRPr="00170422" w14:paraId="48B540B4"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B3EFBED" w14:textId="77777777" w:rsidR="0057163C" w:rsidRPr="00170422" w:rsidRDefault="00F37BF9">
            <w:pPr>
              <w:pStyle w:val="P68B1DB1-Normal11"/>
              <w:spacing w:after="120"/>
              <w:jc w:val="center"/>
              <w:rPr>
                <w:noProof/>
                <w:szCs w:val="20"/>
                <w:lang w:val="de-DE"/>
              </w:rPr>
            </w:pPr>
            <w:r w:rsidRPr="00170422">
              <w:rPr>
                <w:noProof/>
                <w:lang w:val="de-DE"/>
              </w:rPr>
              <w:t>M7-12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5388E3" w14:textId="77777777" w:rsidR="0057163C" w:rsidRPr="00170422" w:rsidRDefault="00F37BF9">
            <w:pPr>
              <w:pStyle w:val="P68B1DB1-Normal11"/>
              <w:spacing w:after="120"/>
              <w:jc w:val="center"/>
              <w:rPr>
                <w:noProof/>
                <w:szCs w:val="20"/>
                <w:lang w:val="de-DE"/>
              </w:rPr>
            </w:pPr>
            <w:r w:rsidRPr="00170422">
              <w:rPr>
                <w:noProof/>
                <w:lang w:val="de-DE"/>
              </w:rPr>
              <w:t xml:space="preserve">Investition 2: Ausgeweitete Maßnahme: Interventionen zur </w:t>
            </w:r>
            <w:r w:rsidRPr="00170422">
              <w:rPr>
                <w:noProof/>
                <w:lang w:val="de-DE"/>
              </w:rPr>
              <w:t>Erhöhung der Widerstandsfähigkeit des Stromnetzes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1B76BD7" w14:textId="77777777" w:rsidR="0057163C" w:rsidRPr="00170422" w:rsidRDefault="00F37BF9">
            <w:pPr>
              <w:pStyle w:val="P68B1DB1-Normal11"/>
              <w:spacing w:after="120"/>
              <w:jc w:val="center"/>
              <w:rPr>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B10F38" w14:textId="77777777" w:rsidR="0057163C" w:rsidRPr="00170422" w:rsidRDefault="00F37BF9">
            <w:pPr>
              <w:pStyle w:val="P68B1DB1-Normal11"/>
              <w:spacing w:after="120"/>
              <w:jc w:val="center"/>
              <w:rPr>
                <w:noProof/>
                <w:szCs w:val="20"/>
                <w:lang w:val="de-DE"/>
              </w:rPr>
            </w:pPr>
            <w:r w:rsidRPr="00170422">
              <w:rPr>
                <w:noProof/>
                <w:lang w:val="de-DE"/>
              </w:rPr>
              <w:t>Erhöhung der Widerstandsfähigkeit des Stromnetzes</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A1916A" w14:textId="77777777" w:rsidR="0057163C" w:rsidRPr="00170422" w:rsidRDefault="0057163C">
            <w:pPr>
              <w:spacing w:after="120"/>
              <w:jc w:val="center"/>
              <w:rPr>
                <w:rFonts w:ascii="Arial Narrow" w:hAnsi="Arial Narrow"/>
                <w:noProof/>
                <w:color w:val="006100"/>
                <w:sz w:val="20"/>
                <w:szCs w:val="20"/>
                <w:lang w:val="de-DE"/>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546094" w14:textId="77777777" w:rsidR="0057163C" w:rsidRPr="00170422" w:rsidRDefault="00F37BF9">
            <w:pPr>
              <w:pStyle w:val="P68B1DB1-Normal11"/>
              <w:spacing w:after="120"/>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09FC22" w14:textId="77777777" w:rsidR="0057163C" w:rsidRPr="00170422" w:rsidRDefault="00F37BF9">
            <w:pPr>
              <w:pStyle w:val="P68B1DB1-Normal11"/>
              <w:spacing w:after="120"/>
              <w:jc w:val="center"/>
              <w:rPr>
                <w:noProof/>
                <w:szCs w:val="20"/>
                <w:lang w:val="de-DE"/>
              </w:rPr>
            </w:pPr>
            <w:r w:rsidRPr="00170422">
              <w:rPr>
                <w:noProof/>
                <w:lang w:val="de-DE"/>
              </w:rPr>
              <w:t>4 000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1A938D" w14:textId="77777777" w:rsidR="0057163C" w:rsidRPr="00170422" w:rsidRDefault="00F37BF9">
            <w:pPr>
              <w:pStyle w:val="P68B1DB1-Normal11"/>
              <w:spacing w:after="120"/>
              <w:jc w:val="center"/>
              <w:rPr>
                <w:noProof/>
                <w:szCs w:val="20"/>
                <w:lang w:val="de-DE"/>
              </w:rPr>
            </w:pPr>
            <w:r w:rsidRPr="00170422">
              <w:rPr>
                <w:noProof/>
                <w:lang w:val="de-DE"/>
              </w:rPr>
              <w:t>4 648</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9B2A9D"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BEB130"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1A04459" w14:textId="77777777" w:rsidR="0057163C" w:rsidRPr="00170422" w:rsidRDefault="00F37BF9">
            <w:pPr>
              <w:pStyle w:val="P68B1DB1-Normal11"/>
              <w:spacing w:after="120"/>
              <w:rPr>
                <w:noProof/>
                <w:lang w:val="de-DE"/>
              </w:rPr>
            </w:pPr>
            <w:r w:rsidRPr="00170422">
              <w:rPr>
                <w:noProof/>
                <w:lang w:val="de-DE"/>
              </w:rPr>
              <w:t xml:space="preserve">Bescheinigungen über den Abschluss von Arbeiten, die für Interventionen ausgestellt wurden, die einer Erhöhung der </w:t>
            </w:r>
            <w:r w:rsidRPr="00170422">
              <w:rPr>
                <w:noProof/>
                <w:lang w:val="de-DE"/>
              </w:rPr>
              <w:t xml:space="preserve">Widerstandsfähigkeit um mindestens 4 648 km Stromnetz entsprechen, was durch einen oder mehrere unabhängige Ingenieurberichte bestätigt wird. </w:t>
            </w:r>
          </w:p>
          <w:p w14:paraId="1C6ACFDE" w14:textId="77777777" w:rsidR="0057163C" w:rsidRPr="00170422" w:rsidRDefault="0057163C">
            <w:pPr>
              <w:spacing w:after="120"/>
              <w:rPr>
                <w:rFonts w:ascii="Arial Narrow" w:hAnsi="Arial Narrow"/>
                <w:noProof/>
                <w:color w:val="FF0000"/>
                <w:sz w:val="20"/>
                <w:szCs w:val="20"/>
                <w:lang w:val="de-DE"/>
              </w:rPr>
            </w:pPr>
          </w:p>
        </w:tc>
      </w:tr>
      <w:tr w:rsidR="0057163C" w:rsidRPr="00170422" w14:paraId="47F0566B"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C80170C" w14:textId="77777777" w:rsidR="0057163C" w:rsidRPr="00170422" w:rsidRDefault="00F37BF9">
            <w:pPr>
              <w:pStyle w:val="P68B1DB1-Normal11"/>
              <w:spacing w:after="120"/>
              <w:jc w:val="center"/>
              <w:rPr>
                <w:noProof/>
                <w:szCs w:val="20"/>
                <w:lang w:val="de-DE"/>
              </w:rPr>
            </w:pPr>
            <w:r w:rsidRPr="00170422">
              <w:rPr>
                <w:noProof/>
                <w:lang w:val="de-DE"/>
              </w:rPr>
              <w:t>M7-13</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012983" w14:textId="77777777" w:rsidR="0057163C" w:rsidRPr="00170422" w:rsidRDefault="00F37BF9">
            <w:pPr>
              <w:pStyle w:val="P68B1DB1-Normal11"/>
              <w:spacing w:after="120"/>
              <w:jc w:val="center"/>
              <w:rPr>
                <w:noProof/>
                <w:szCs w:val="20"/>
                <w:lang w:val="de-DE"/>
              </w:rPr>
            </w:pPr>
            <w:r w:rsidRPr="00170422">
              <w:rPr>
                <w:noProof/>
                <w:lang w:val="de-DE"/>
              </w:rPr>
              <w:t xml:space="preserve">Investition 3: Wissenschaftsexzellenz. Ausgeweitete Maßnahme: Wasserstoffproduktion auf Brachflächen </w:t>
            </w:r>
            <w:r w:rsidRPr="00170422">
              <w:rPr>
                <w:noProof/>
                <w:lang w:val="de-DE"/>
              </w:rPr>
              <w:t>(Hydrogen Valleys)</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A24DB3" w14:textId="77777777" w:rsidR="0057163C" w:rsidRPr="00170422" w:rsidRDefault="00F37BF9">
            <w:pPr>
              <w:pStyle w:val="P68B1DB1-Normal11"/>
              <w:spacing w:after="120"/>
              <w:jc w:val="center"/>
              <w:rPr>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8B8DF7" w14:textId="7C6B7DE3" w:rsidR="0057163C" w:rsidRPr="00170422" w:rsidRDefault="00F37BF9">
            <w:pPr>
              <w:pStyle w:val="P68B1DB1-Normal12"/>
              <w:spacing w:after="120"/>
              <w:jc w:val="center"/>
              <w:rPr>
                <w:noProof/>
                <w:lang w:val="de-DE"/>
              </w:rPr>
            </w:pPr>
            <w:r w:rsidRPr="00170422">
              <w:rPr>
                <w:noProof/>
                <w:lang w:val="de-DE"/>
              </w:rPr>
              <w:t xml:space="preserve">Durchgeführte Projekte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D21094" w14:textId="77777777" w:rsidR="0057163C" w:rsidRPr="00170422" w:rsidRDefault="0057163C">
            <w:pPr>
              <w:spacing w:after="120"/>
              <w:jc w:val="center"/>
              <w:rPr>
                <w:rFonts w:ascii="Arial Narrow" w:hAnsi="Arial Narrow"/>
                <w:noProof/>
                <w:color w:val="006100"/>
                <w:sz w:val="20"/>
                <w:szCs w:val="20"/>
                <w:lang w:val="de-DE"/>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D2BB0E" w14:textId="77777777" w:rsidR="0057163C" w:rsidRPr="00170422" w:rsidRDefault="00F37BF9">
            <w:pPr>
              <w:pStyle w:val="P68B1DB1-Normal11"/>
              <w:spacing w:after="120"/>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5EF840" w14:textId="77777777" w:rsidR="0057163C" w:rsidRPr="00170422" w:rsidRDefault="00F37BF9">
            <w:pPr>
              <w:pStyle w:val="P68B1DB1-Normal11"/>
              <w:spacing w:after="120"/>
              <w:jc w:val="center"/>
              <w:rPr>
                <w:noProof/>
                <w:szCs w:val="20"/>
                <w:lang w:val="de-DE"/>
              </w:rPr>
            </w:pPr>
            <w:r w:rsidRPr="00170422">
              <w:rPr>
                <w:noProof/>
                <w:lang w:val="de-DE"/>
              </w:rPr>
              <w:t>10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366AC3C" w14:textId="77777777" w:rsidR="0057163C" w:rsidRPr="00170422" w:rsidRDefault="00F37BF9">
            <w:pPr>
              <w:pStyle w:val="P68B1DB1-Normal11"/>
              <w:spacing w:after="120"/>
              <w:jc w:val="center"/>
              <w:rPr>
                <w:noProof/>
                <w:szCs w:val="20"/>
                <w:lang w:val="de-DE"/>
              </w:rPr>
            </w:pPr>
            <w:r w:rsidRPr="00170422">
              <w:rPr>
                <w:noProof/>
                <w:lang w:val="de-DE"/>
              </w:rPr>
              <w:t>12</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4EA2C5F"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B529A8"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F0BD025" w14:textId="77777777" w:rsidR="0057163C" w:rsidRPr="00170422" w:rsidRDefault="00F37BF9">
            <w:pPr>
              <w:pStyle w:val="P68B1DB1-Normal12"/>
              <w:spacing w:after="120"/>
              <w:jc w:val="both"/>
              <w:rPr>
                <w:noProof/>
                <w:lang w:val="de-DE"/>
              </w:rPr>
            </w:pPr>
            <w:r w:rsidRPr="00170422">
              <w:rPr>
                <w:noProof/>
                <w:lang w:val="de-DE"/>
              </w:rPr>
              <w:t xml:space="preserve">Bescheinigungen, die für den Abschluss von Arbeiten für 12 Wasserstofftalprojekte ausgestellt wurden, einschließlich der Installation von 12 Elektrolyseuren mit einer Leistung von jeweils mindestens 1 MW. </w:t>
            </w:r>
          </w:p>
          <w:p w14:paraId="333D0B89" w14:textId="77777777" w:rsidR="0057163C" w:rsidRPr="00170422" w:rsidRDefault="00F37BF9">
            <w:pPr>
              <w:pStyle w:val="P68B1DB1-Normal11"/>
              <w:spacing w:after="120"/>
              <w:rPr>
                <w:noProof/>
                <w:szCs w:val="20"/>
                <w:lang w:val="de-DE"/>
              </w:rPr>
            </w:pPr>
            <w:r w:rsidRPr="00170422">
              <w:rPr>
                <w:noProof/>
                <w:lang w:val="de-DE"/>
              </w:rPr>
              <w:t>Für die Elektrolyseure, die einen Netzanschluss be</w:t>
            </w:r>
            <w:r w:rsidRPr="00170422">
              <w:rPr>
                <w:noProof/>
                <w:lang w:val="de-DE"/>
              </w:rPr>
              <w:t>nötigen, werden die vom Projektträger akzeptierten Kostenschätzungen für den Anschluss erstellt.</w:t>
            </w:r>
          </w:p>
        </w:tc>
      </w:tr>
      <w:tr w:rsidR="0057163C" w:rsidRPr="00170422" w14:paraId="4495184C"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A3023EE" w14:textId="77777777" w:rsidR="0057163C" w:rsidRPr="00170422" w:rsidRDefault="00F37BF9">
            <w:pPr>
              <w:pStyle w:val="P68B1DB1-Normal11"/>
              <w:spacing w:after="120"/>
              <w:jc w:val="center"/>
              <w:rPr>
                <w:noProof/>
                <w:szCs w:val="20"/>
                <w:lang w:val="de-DE"/>
              </w:rPr>
            </w:pPr>
            <w:r w:rsidRPr="00170422">
              <w:rPr>
                <w:noProof/>
                <w:lang w:val="de-DE"/>
              </w:rPr>
              <w:t>M7-14</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F523A" w14:textId="77777777" w:rsidR="0057163C" w:rsidRPr="00170422" w:rsidRDefault="00F37BF9">
            <w:pPr>
              <w:pStyle w:val="P68B1DB1-Normal11"/>
              <w:spacing w:after="120"/>
              <w:jc w:val="center"/>
              <w:rPr>
                <w:noProof/>
                <w:szCs w:val="20"/>
                <w:lang w:val="de-DE"/>
              </w:rPr>
            </w:pPr>
            <w:r w:rsidRPr="00170422">
              <w:rPr>
                <w:noProof/>
                <w:lang w:val="de-DE"/>
              </w:rPr>
              <w:t>Investition 4: Tyrrhenischer Link</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626312"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7F87E1" w14:textId="77777777" w:rsidR="0057163C" w:rsidRPr="00170422" w:rsidRDefault="00F37BF9">
            <w:pPr>
              <w:pStyle w:val="P68B1DB1-Normal11"/>
              <w:spacing w:after="120"/>
              <w:jc w:val="center"/>
              <w:rPr>
                <w:noProof/>
                <w:szCs w:val="20"/>
                <w:lang w:val="de-DE"/>
              </w:rPr>
            </w:pPr>
            <w:r w:rsidRPr="00170422">
              <w:rPr>
                <w:noProof/>
                <w:lang w:val="de-DE"/>
              </w:rPr>
              <w:t>Vergabe öffentlicher Aufträge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D8C6A26" w14:textId="77777777" w:rsidR="0057163C" w:rsidRPr="00170422" w:rsidRDefault="00F37BF9">
            <w:pPr>
              <w:pStyle w:val="P68B1DB1-Normal11"/>
              <w:spacing w:after="120"/>
              <w:jc w:val="center"/>
              <w:rPr>
                <w:noProof/>
                <w:szCs w:val="20"/>
                <w:lang w:val="de-DE"/>
              </w:rPr>
            </w:pPr>
            <w:r w:rsidRPr="00170422">
              <w:rPr>
                <w:noProof/>
                <w:lang w:val="de-DE"/>
              </w:rPr>
              <w:t>Mitteilung über die Auftragsvergabe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D1227A"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82460A9"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9D1208"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C98031" w14:textId="77777777" w:rsidR="0057163C" w:rsidRPr="00170422" w:rsidRDefault="00F37BF9">
            <w:pPr>
              <w:pStyle w:val="P68B1DB1-Normal11"/>
              <w:spacing w:after="120"/>
              <w:jc w:val="center"/>
              <w:rPr>
                <w:noProof/>
                <w:szCs w:val="20"/>
                <w:lang w:val="de-DE"/>
              </w:rPr>
            </w:pPr>
            <w:r w:rsidRPr="00170422">
              <w:rPr>
                <w:noProof/>
                <w:lang w:val="de-DE"/>
              </w:rPr>
              <w:t>Q3</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47B5FD"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51D6AC0" w14:textId="77777777" w:rsidR="0057163C" w:rsidRPr="00170422" w:rsidRDefault="00F37BF9">
            <w:pPr>
              <w:pStyle w:val="P68B1DB1-Normal12"/>
              <w:spacing w:after="120"/>
              <w:rPr>
                <w:noProof/>
                <w:lang w:val="de-DE"/>
              </w:rPr>
            </w:pPr>
            <w:r w:rsidRPr="00170422">
              <w:rPr>
                <w:noProof/>
                <w:lang w:val="de-DE"/>
              </w:rPr>
              <w:t xml:space="preserve">Mitteilung über die Vergabe </w:t>
            </w:r>
            <w:r w:rsidRPr="00170422">
              <w:rPr>
                <w:noProof/>
                <w:lang w:val="de-DE"/>
              </w:rPr>
              <w:t>aller Aufträge für die Arbeiten, die für die Verlegung von 511 km Kabel zwischen Caracoli und Eboli erforderlich sind.</w:t>
            </w:r>
          </w:p>
        </w:tc>
      </w:tr>
      <w:tr w:rsidR="0057163C" w:rsidRPr="00170422" w14:paraId="4EE78AC9"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D1FF91" w14:textId="77777777" w:rsidR="0057163C" w:rsidRPr="00170422" w:rsidRDefault="00F37BF9">
            <w:pPr>
              <w:pStyle w:val="P68B1DB1-Normal11"/>
              <w:spacing w:after="120"/>
              <w:jc w:val="center"/>
              <w:rPr>
                <w:noProof/>
                <w:szCs w:val="20"/>
                <w:lang w:val="de-DE"/>
              </w:rPr>
            </w:pPr>
            <w:r w:rsidRPr="00170422">
              <w:rPr>
                <w:noProof/>
                <w:lang w:val="de-DE"/>
              </w:rPr>
              <w:t>M7-15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461CFD" w14:textId="77777777" w:rsidR="0057163C" w:rsidRPr="00170422" w:rsidRDefault="00F37BF9">
            <w:pPr>
              <w:pStyle w:val="P68B1DB1-Normal11"/>
              <w:spacing w:after="120"/>
              <w:jc w:val="center"/>
              <w:rPr>
                <w:noProof/>
                <w:szCs w:val="20"/>
                <w:lang w:val="de-DE"/>
              </w:rPr>
            </w:pPr>
            <w:r w:rsidRPr="00170422">
              <w:rPr>
                <w:noProof/>
                <w:lang w:val="de-DE"/>
              </w:rPr>
              <w:t>Investition 4: Tyrrhenischer Link</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D30268" w14:textId="77777777" w:rsidR="0057163C" w:rsidRPr="00170422" w:rsidRDefault="00F37BF9">
            <w:pPr>
              <w:pStyle w:val="P68B1DB1-Normal12"/>
              <w:spacing w:after="120"/>
              <w:jc w:val="center"/>
              <w:rPr>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F102A39" w14:textId="77777777" w:rsidR="0057163C" w:rsidRPr="00170422" w:rsidRDefault="00F37BF9">
            <w:pPr>
              <w:pStyle w:val="P68B1DB1-Normal11"/>
              <w:spacing w:after="120"/>
              <w:jc w:val="center"/>
              <w:rPr>
                <w:noProof/>
                <w:szCs w:val="20"/>
                <w:lang w:val="de-DE"/>
              </w:rPr>
            </w:pPr>
            <w:r w:rsidRPr="00170422">
              <w:rPr>
                <w:noProof/>
                <w:szCs w:val="20"/>
                <w:lang w:val="de-DE"/>
              </w:rPr>
              <w:t>C</w:t>
            </w:r>
            <w:r w:rsidRPr="00170422">
              <w:rPr>
                <w:noProof/>
                <w:lang w:val="de-DE"/>
              </w:rPr>
              <w:t>kann festgelegt werden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308965" w14:textId="33C0041C" w:rsidR="0057163C" w:rsidRPr="00170422" w:rsidRDefault="00F37BF9">
            <w:pPr>
              <w:pStyle w:val="P68B1DB1-Normal12"/>
              <w:spacing w:after="120"/>
              <w:jc w:val="center"/>
              <w:rPr>
                <w:noProof/>
                <w:lang w:val="de-DE"/>
              </w:rPr>
            </w:pPr>
            <w:r w:rsidRPr="00170422">
              <w:rPr>
                <w:noProof/>
                <w:lang w:val="de-DE"/>
              </w:rPr>
              <w:t>Bescheinigung(en) über den Abschluss der Arbeiten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313ECD7"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E71C568"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DAEDD55"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86DC25A"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5C59A35" w14:textId="77777777" w:rsidR="0057163C" w:rsidRPr="00170422" w:rsidRDefault="00F37BF9">
            <w:pPr>
              <w:pStyle w:val="P68B1DB1-Normal12"/>
              <w:spacing w:after="120"/>
              <w:jc w:val="center"/>
              <w:rPr>
                <w:noProof/>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8B9E734" w14:textId="77777777" w:rsidR="0057163C" w:rsidRPr="00170422" w:rsidRDefault="00F37BF9">
            <w:pPr>
              <w:pStyle w:val="P68B1DB1-Normal12"/>
              <w:spacing w:after="120"/>
              <w:rPr>
                <w:noProof/>
                <w:lang w:val="de-DE"/>
              </w:rPr>
            </w:pPr>
            <w:r w:rsidRPr="00170422">
              <w:rPr>
                <w:noProof/>
                <w:lang w:val="de-DE"/>
              </w:rPr>
              <w:t>Bescheinigung(en) über den Abschluss der Arbeiten zur Verlegung der Ostverbindung Pol 1, die Caracoli (Palermo) nach Eboli (Salerno) verbindet und eine Nennkapazität von 500 MW gewährleistet.</w:t>
            </w:r>
          </w:p>
        </w:tc>
      </w:tr>
      <w:tr w:rsidR="0057163C" w:rsidRPr="00170422" w14:paraId="3DFFCB9E"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C41325" w14:textId="77777777" w:rsidR="0057163C" w:rsidRPr="00170422" w:rsidRDefault="00F37BF9">
            <w:pPr>
              <w:pStyle w:val="P68B1DB1-Normal11"/>
              <w:spacing w:after="120"/>
              <w:jc w:val="center"/>
              <w:rPr>
                <w:noProof/>
                <w:szCs w:val="20"/>
                <w:lang w:val="de-DE"/>
              </w:rPr>
            </w:pPr>
            <w:r w:rsidRPr="00170422">
              <w:rPr>
                <w:noProof/>
                <w:lang w:val="de-DE"/>
              </w:rPr>
              <w:t>M7-16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1F28EA" w14:textId="77777777" w:rsidR="0057163C" w:rsidRPr="00170422" w:rsidRDefault="00F37BF9">
            <w:pPr>
              <w:pStyle w:val="P68B1DB1-Normal11"/>
              <w:spacing w:after="120"/>
              <w:jc w:val="center"/>
              <w:rPr>
                <w:noProof/>
                <w:szCs w:val="20"/>
                <w:lang w:val="de-DE"/>
              </w:rPr>
            </w:pPr>
            <w:r w:rsidRPr="00170422">
              <w:rPr>
                <w:noProof/>
                <w:lang w:val="de-DE"/>
              </w:rPr>
              <w:t>Investition 5: SA.CO.I.3</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7174DF"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D9D5D03" w14:textId="77777777" w:rsidR="0057163C" w:rsidRPr="00170422" w:rsidRDefault="00F37BF9">
            <w:pPr>
              <w:pStyle w:val="P68B1DB1-Normal11"/>
              <w:spacing w:after="120"/>
              <w:jc w:val="center"/>
              <w:rPr>
                <w:noProof/>
                <w:szCs w:val="20"/>
                <w:lang w:val="de-DE"/>
              </w:rPr>
            </w:pPr>
            <w:r w:rsidRPr="00170422">
              <w:rPr>
                <w:noProof/>
                <w:lang w:val="de-DE"/>
              </w:rPr>
              <w:t xml:space="preserve">Vergabe </w:t>
            </w:r>
            <w:r w:rsidRPr="00170422">
              <w:rPr>
                <w:noProof/>
                <w:lang w:val="de-DE"/>
              </w:rPr>
              <w:t>öffentlicher Aufträge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06194C" w14:textId="77777777" w:rsidR="0057163C" w:rsidRPr="00170422" w:rsidRDefault="00F37BF9">
            <w:pPr>
              <w:pStyle w:val="P68B1DB1-Normal12"/>
              <w:spacing w:after="120"/>
              <w:jc w:val="center"/>
              <w:rPr>
                <w:noProof/>
                <w:lang w:val="de-DE"/>
              </w:rPr>
            </w:pPr>
            <w:r w:rsidRPr="00170422">
              <w:rPr>
                <w:noProof/>
                <w:lang w:val="de-DE"/>
              </w:rPr>
              <w:t>Vergabe öffentlicher Aufträge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05774F" w14:textId="77777777" w:rsidR="0057163C" w:rsidRPr="00170422" w:rsidRDefault="0057163C">
            <w:pPr>
              <w:spacing w:after="120"/>
              <w:jc w:val="center"/>
              <w:rPr>
                <w:rFonts w:ascii="Arial Narrow" w:hAnsi="Arial Narrow"/>
                <w:noProof/>
                <w:color w:val="FF00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BF17E5"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49252"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6E1D5D"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1698739"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757B16" w14:textId="77777777" w:rsidR="0057163C" w:rsidRPr="00170422" w:rsidRDefault="00F37BF9">
            <w:pPr>
              <w:pStyle w:val="P68B1DB1-Normal12"/>
              <w:spacing w:after="120"/>
              <w:rPr>
                <w:noProof/>
                <w:lang w:val="de-DE"/>
              </w:rPr>
            </w:pPr>
            <w:r w:rsidRPr="00170422">
              <w:rPr>
                <w:noProof/>
                <w:lang w:val="de-DE"/>
              </w:rPr>
              <w:t>Vergabe aller Aufträge für die Arbeiten, die für die Fertigstellung der Schalen der Umrüstungsstationen Sardinien und Toskana erforderlich sind.</w:t>
            </w:r>
          </w:p>
        </w:tc>
      </w:tr>
      <w:tr w:rsidR="0057163C" w:rsidRPr="00170422" w14:paraId="57683B5E"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93330F6" w14:textId="77777777" w:rsidR="0057163C" w:rsidRPr="00170422" w:rsidRDefault="00F37BF9">
            <w:pPr>
              <w:pStyle w:val="P68B1DB1-Normal11"/>
              <w:spacing w:after="120"/>
              <w:jc w:val="center"/>
              <w:rPr>
                <w:noProof/>
                <w:szCs w:val="20"/>
                <w:lang w:val="de-DE"/>
              </w:rPr>
            </w:pPr>
            <w:r w:rsidRPr="00170422">
              <w:rPr>
                <w:noProof/>
                <w:lang w:val="de-DE"/>
              </w:rPr>
              <w:t>M7-17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BEA088F" w14:textId="77777777" w:rsidR="0057163C" w:rsidRPr="00170422" w:rsidRDefault="00F37BF9">
            <w:pPr>
              <w:pStyle w:val="P68B1DB1-Normal11"/>
              <w:spacing w:after="120"/>
              <w:jc w:val="center"/>
              <w:rPr>
                <w:noProof/>
                <w:szCs w:val="20"/>
                <w:lang w:val="de-DE"/>
              </w:rPr>
            </w:pPr>
            <w:r w:rsidRPr="00170422">
              <w:rPr>
                <w:noProof/>
                <w:lang w:val="de-DE"/>
              </w:rPr>
              <w:t>Investition 5: SA.CO.I.3</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5742D2"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AAB4934" w14:textId="77777777" w:rsidR="0057163C" w:rsidRPr="00170422" w:rsidRDefault="00F37BF9">
            <w:pPr>
              <w:pStyle w:val="P68B1DB1-Normal11"/>
              <w:spacing w:after="120"/>
              <w:jc w:val="center"/>
              <w:rPr>
                <w:noProof/>
                <w:szCs w:val="20"/>
                <w:lang w:val="de-DE"/>
              </w:rPr>
            </w:pPr>
            <w:r w:rsidRPr="00170422">
              <w:rPr>
                <w:noProof/>
                <w:lang w:val="de-DE"/>
              </w:rPr>
              <w:t>Fertigstellung der Umspannwerke auf Sardinien (Codrongianos) und Toskana (Suvereto)</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82444B5" w14:textId="42C9577D" w:rsidR="0057163C" w:rsidRPr="00170422" w:rsidRDefault="00F37BF9">
            <w:pPr>
              <w:pStyle w:val="P68B1DB1-Normal12"/>
              <w:spacing w:after="120"/>
              <w:jc w:val="center"/>
              <w:rPr>
                <w:noProof/>
                <w:lang w:val="de-DE"/>
              </w:rPr>
            </w:pPr>
            <w:r w:rsidRPr="00170422">
              <w:rPr>
                <w:noProof/>
                <w:lang w:val="de-DE"/>
              </w:rPr>
              <w:t>Bescheinigung(en) über den Abschluss der Arbeiten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26C8E20"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952835"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345724" w14:textId="77777777" w:rsidR="0057163C" w:rsidRPr="00170422" w:rsidRDefault="0057163C">
            <w:pPr>
              <w:spacing w:after="120"/>
              <w:jc w:val="center"/>
              <w:rPr>
                <w:rFonts w:ascii="Arial Narrow" w:hAnsi="Arial Narrow"/>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FFCA68"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404D8CF"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FE8604" w14:textId="4E960FEF" w:rsidR="0057163C" w:rsidRPr="00170422" w:rsidRDefault="00F37BF9">
            <w:pPr>
              <w:pStyle w:val="P68B1DB1-Normal12"/>
              <w:spacing w:after="120"/>
              <w:rPr>
                <w:noProof/>
                <w:lang w:val="de-DE"/>
              </w:rPr>
            </w:pPr>
            <w:r w:rsidRPr="00170422">
              <w:rPr>
                <w:noProof/>
                <w:lang w:val="de-DE"/>
              </w:rPr>
              <w:t xml:space="preserve">Bescheinigung(en) über den Abschluss der Arbeiten für den Bau der Schalen der Umwandlungsstationen </w:t>
            </w:r>
            <w:r w:rsidRPr="00170422">
              <w:rPr>
                <w:noProof/>
                <w:lang w:val="de-DE"/>
              </w:rPr>
              <w:t>auf Sardinien und in der Toskana.</w:t>
            </w:r>
          </w:p>
        </w:tc>
      </w:tr>
      <w:tr w:rsidR="0057163C" w:rsidRPr="00170422" w14:paraId="57463F32"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BA5EFD" w14:textId="77777777" w:rsidR="0057163C" w:rsidRPr="00170422" w:rsidRDefault="00F37BF9">
            <w:pPr>
              <w:pStyle w:val="P68B1DB1-Normal11"/>
              <w:spacing w:after="120"/>
              <w:jc w:val="center"/>
              <w:rPr>
                <w:noProof/>
                <w:szCs w:val="20"/>
                <w:lang w:val="de-DE"/>
              </w:rPr>
            </w:pPr>
            <w:r w:rsidRPr="00170422">
              <w:rPr>
                <w:noProof/>
                <w:lang w:val="de-DE"/>
              </w:rPr>
              <w:t>M7-22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E196" w14:textId="77777777" w:rsidR="0057163C" w:rsidRPr="00170422" w:rsidRDefault="00F37BF9">
            <w:pPr>
              <w:pStyle w:val="P68B1DB1-Normal11"/>
              <w:spacing w:after="120"/>
              <w:jc w:val="center"/>
              <w:rPr>
                <w:noProof/>
                <w:szCs w:val="20"/>
                <w:lang w:val="de-DE"/>
              </w:rPr>
            </w:pPr>
            <w:r w:rsidRPr="00170422">
              <w:rPr>
                <w:noProof/>
                <w:lang w:val="de-DE"/>
              </w:rPr>
              <w:t>Investition 7: Intelligentes nationales Übertragungsnetz</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40CEA85"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8DBE8B" w14:textId="07C4A5D1" w:rsidR="0057163C" w:rsidRPr="00170422" w:rsidRDefault="00F37BF9">
            <w:pPr>
              <w:pStyle w:val="P68B1DB1-Normal11"/>
              <w:spacing w:after="120"/>
              <w:jc w:val="center"/>
              <w:rPr>
                <w:noProof/>
                <w:szCs w:val="20"/>
                <w:lang w:val="de-DE"/>
              </w:rPr>
            </w:pPr>
            <w:r w:rsidRPr="00170422">
              <w:rPr>
                <w:noProof/>
                <w:lang w:val="de-DE"/>
              </w:rPr>
              <w:t>Installation von 5G-Geräten, IT-Architektur, sicheres Protokoll 104 in elektrischen Stationen und industrielles IoT in Stromspeichern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D3A63F" w14:textId="77777777" w:rsidR="0057163C" w:rsidRPr="00170422" w:rsidRDefault="00F37BF9">
            <w:pPr>
              <w:pStyle w:val="P68B1DB1-Normal12"/>
              <w:spacing w:after="120"/>
              <w:jc w:val="center"/>
              <w:rPr>
                <w:noProof/>
                <w:lang w:val="de-DE"/>
              </w:rPr>
            </w:pPr>
            <w:r w:rsidRPr="00170422">
              <w:rPr>
                <w:noProof/>
                <w:lang w:val="de-DE"/>
              </w:rPr>
              <w:t xml:space="preserve">Einbau- und </w:t>
            </w:r>
            <w:r w:rsidRPr="00170422">
              <w:rPr>
                <w:noProof/>
                <w:lang w:val="de-DE"/>
              </w:rPr>
              <w:t>Abnahmeprüfberichte</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89DB139" w14:textId="77777777" w:rsidR="0057163C" w:rsidRPr="00170422" w:rsidRDefault="0057163C">
            <w:pPr>
              <w:spacing w:after="120"/>
              <w:jc w:val="center"/>
              <w:rPr>
                <w:rFonts w:ascii="Arial Narrow" w:hAnsi="Arial Narrow"/>
                <w:noProof/>
                <w:color w:val="006100"/>
                <w:sz w:val="20"/>
                <w:szCs w:val="20"/>
                <w:lang w:val="de-DE"/>
              </w:rPr>
            </w:pP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A4DEF4" w14:textId="77777777" w:rsidR="0057163C" w:rsidRPr="00170422" w:rsidRDefault="0057163C">
            <w:pPr>
              <w:spacing w:after="120"/>
              <w:jc w:val="center"/>
              <w:rPr>
                <w:rFonts w:ascii="Arial Narrow" w:hAnsi="Arial Narrow"/>
                <w:noProof/>
                <w:color w:val="006100"/>
                <w:sz w:val="20"/>
                <w:szCs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0A0B3C" w14:textId="77777777" w:rsidR="0057163C" w:rsidRPr="00170422" w:rsidRDefault="0057163C">
            <w:pPr>
              <w:spacing w:after="120"/>
              <w:jc w:val="center"/>
              <w:rPr>
                <w:rFonts w:ascii="Arial Narrow" w:hAnsi="Arial Narrow"/>
                <w:strike/>
                <w:noProof/>
                <w:color w:val="006100"/>
                <w:sz w:val="20"/>
                <w:szCs w:val="20"/>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05DD969"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6A581A"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9C2B7CF" w14:textId="63FD8B60" w:rsidR="0057163C" w:rsidRPr="00170422" w:rsidRDefault="00F37BF9">
            <w:pPr>
              <w:pStyle w:val="P68B1DB1-Normal12"/>
              <w:spacing w:after="120"/>
              <w:jc w:val="both"/>
              <w:rPr>
                <w:noProof/>
                <w:lang w:val="de-DE"/>
              </w:rPr>
            </w:pPr>
            <w:r w:rsidRPr="00170422">
              <w:rPr>
                <w:noProof/>
                <w:lang w:val="de-DE"/>
              </w:rPr>
              <w:t>Abnahmeprüfberichte für neue 5G-Ausrüstungen oder IT-Architekturen, die in mindestens 40 Stationen installiert sind.</w:t>
            </w:r>
          </w:p>
          <w:p w14:paraId="4E125C49" w14:textId="77777777" w:rsidR="0057163C" w:rsidRPr="00170422" w:rsidRDefault="00F37BF9">
            <w:pPr>
              <w:pStyle w:val="P68B1DB1-Normal12"/>
              <w:spacing w:after="120"/>
              <w:jc w:val="both"/>
              <w:rPr>
                <w:noProof/>
                <w:lang w:val="de-DE"/>
              </w:rPr>
            </w:pPr>
            <w:r w:rsidRPr="00170422">
              <w:rPr>
                <w:noProof/>
                <w:lang w:val="de-DE"/>
              </w:rPr>
              <w:t>Einbaubescheinigungen ausgestellt für:</w:t>
            </w:r>
          </w:p>
          <w:p w14:paraId="316B3F6D" w14:textId="77777777" w:rsidR="0057163C" w:rsidRPr="00170422" w:rsidRDefault="00F37BF9">
            <w:pPr>
              <w:pStyle w:val="P68B1DB1-Normal12"/>
              <w:spacing w:after="120"/>
              <w:jc w:val="both"/>
              <w:rPr>
                <w:noProof/>
                <w:lang w:val="de-DE"/>
              </w:rPr>
            </w:pPr>
            <w:r w:rsidRPr="00170422">
              <w:rPr>
                <w:noProof/>
                <w:lang w:val="de-DE"/>
              </w:rPr>
              <w:t>—Sicheres Protokoll 104 (Protokoll der Internationalen Elektrotechnis</w:t>
            </w:r>
            <w:r w:rsidRPr="00170422">
              <w:rPr>
                <w:noProof/>
                <w:lang w:val="de-DE"/>
              </w:rPr>
              <w:t xml:space="preserve">chen Kommission 62351) an mindestens 250 elektrischen Stationen. </w:t>
            </w:r>
          </w:p>
          <w:p w14:paraId="7A6D0971" w14:textId="77777777" w:rsidR="0057163C" w:rsidRPr="00170422" w:rsidRDefault="00F37BF9">
            <w:pPr>
              <w:spacing w:after="120"/>
              <w:jc w:val="both"/>
              <w:rPr>
                <w:rFonts w:ascii="Arial Narrow" w:hAnsi="Arial Narrow"/>
                <w:noProof/>
                <w:color w:val="006100"/>
                <w:sz w:val="20"/>
                <w:lang w:val="de-DE"/>
              </w:rPr>
            </w:pPr>
            <w:r w:rsidRPr="00170422">
              <w:rPr>
                <w:rFonts w:ascii="Arial Narrow" w:hAnsi="Arial Narrow"/>
                <w:noProof/>
                <w:color w:val="006100"/>
                <w:sz w:val="20"/>
                <w:szCs w:val="20"/>
                <w:lang w:val="de-DE"/>
              </w:rPr>
              <w:t>-</w:t>
            </w:r>
            <w:r w:rsidRPr="00170422">
              <w:rPr>
                <w:rFonts w:ascii="Arial Narrow" w:hAnsi="Arial Narrow"/>
                <w:noProof/>
                <w:color w:val="006100"/>
                <w:sz w:val="20"/>
                <w:lang w:val="de-DE"/>
              </w:rPr>
              <w:t>Industrielle Überwachungssysteme für das Internet der Dinge in mindestens 1500</w:t>
            </w:r>
            <w:r w:rsidRPr="00170422">
              <w:rPr>
                <w:noProof/>
                <w:sz w:val="23"/>
                <w:szCs w:val="23"/>
                <w:lang w:val="de-DE"/>
              </w:rPr>
              <w:t xml:space="preserve"> </w:t>
            </w:r>
            <w:r w:rsidRPr="00170422">
              <w:rPr>
                <w:rFonts w:ascii="Arial Narrow" w:hAnsi="Arial Narrow"/>
                <w:noProof/>
                <w:color w:val="006100"/>
                <w:sz w:val="20"/>
                <w:lang w:val="de-DE"/>
              </w:rPr>
              <w:t>Strompylonen.</w:t>
            </w:r>
          </w:p>
          <w:p w14:paraId="3CA31415" w14:textId="1FC2CB25" w:rsidR="0057163C" w:rsidRPr="00170422" w:rsidRDefault="00F37BF9">
            <w:pPr>
              <w:pStyle w:val="P68B1DB1-Normal11"/>
              <w:spacing w:after="120"/>
              <w:jc w:val="both"/>
              <w:rPr>
                <w:noProof/>
                <w:szCs w:val="20"/>
                <w:lang w:val="de-DE"/>
              </w:rPr>
            </w:pPr>
            <w:r w:rsidRPr="00170422">
              <w:rPr>
                <w:noProof/>
                <w:lang w:val="de-DE"/>
              </w:rPr>
              <w:t xml:space="preserve">Es ist ein unabhängiger Ingenieurbericht vorzulegen, um festzustellen, ob die oben genannten </w:t>
            </w:r>
            <w:r w:rsidRPr="00170422">
              <w:rPr>
                <w:noProof/>
                <w:lang w:val="de-DE"/>
              </w:rPr>
              <w:t>technischen Anforderungen erfüllt sind.</w:t>
            </w:r>
          </w:p>
        </w:tc>
      </w:tr>
      <w:tr w:rsidR="0057163C" w:rsidRPr="00170422" w14:paraId="7E820482"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F34BA3" w14:textId="77777777" w:rsidR="0057163C" w:rsidRPr="00170422" w:rsidRDefault="00F37BF9">
            <w:pPr>
              <w:pStyle w:val="P68B1DB1-Normal11"/>
              <w:spacing w:after="120"/>
              <w:jc w:val="center"/>
              <w:rPr>
                <w:noProof/>
                <w:szCs w:val="20"/>
                <w:lang w:val="de-DE"/>
              </w:rPr>
            </w:pPr>
            <w:r w:rsidRPr="00170422">
              <w:rPr>
                <w:noProof/>
                <w:lang w:val="de-DE"/>
              </w:rPr>
              <w:t>M7-25</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5CA98A53" w14:textId="77777777" w:rsidR="0057163C" w:rsidRPr="00170422" w:rsidRDefault="00F37BF9">
            <w:pPr>
              <w:pStyle w:val="P68B1DB1-Normal11"/>
              <w:spacing w:after="120"/>
              <w:jc w:val="center"/>
              <w:rPr>
                <w:noProof/>
                <w:szCs w:val="20"/>
                <w:lang w:val="de-DE"/>
              </w:rPr>
            </w:pPr>
            <w:r w:rsidRPr="00170422">
              <w:rPr>
                <w:noProof/>
                <w:lang w:val="de-DE"/>
              </w:rPr>
              <w:t>Investition 8: Nachhaltige, kreislauforientierte und sichere Versorgung mit kritischen Rohstoffen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tcPr>
          <w:p w14:paraId="6F2C7162"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tcPr>
          <w:p w14:paraId="1706B7A3" w14:textId="10D8C323" w:rsidR="0057163C" w:rsidRPr="00170422" w:rsidRDefault="00F37BF9">
            <w:pPr>
              <w:pStyle w:val="P68B1DB1-Normal12"/>
              <w:spacing w:after="120"/>
              <w:jc w:val="center"/>
              <w:rPr>
                <w:noProof/>
                <w:lang w:val="de-DE"/>
              </w:rPr>
            </w:pPr>
            <w:r w:rsidRPr="00170422">
              <w:rPr>
                <w:noProof/>
                <w:lang w:val="de-DE"/>
              </w:rPr>
              <w:t xml:space="preserve">Veröffentlichung des Berichts über den künftigen Bedarf an kritischen Rohstoffen und das Potenzial des Ökodesigns </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7BFA594" w14:textId="77777777" w:rsidR="0057163C" w:rsidRPr="00170422" w:rsidRDefault="00F37BF9">
            <w:pPr>
              <w:pStyle w:val="P68B1DB1-Normal12"/>
              <w:spacing w:after="120"/>
              <w:jc w:val="center"/>
              <w:rPr>
                <w:noProof/>
                <w:lang w:val="de-DE"/>
              </w:rPr>
            </w:pPr>
            <w:r w:rsidRPr="00170422">
              <w:rPr>
                <w:noProof/>
                <w:lang w:val="de-DE"/>
              </w:rPr>
              <w:t xml:space="preserve">Veröffentlichung des Berichts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4015E8"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951190"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0CFA891"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98281B1"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EB633ED"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44154197" w14:textId="0EF80543" w:rsidR="0057163C" w:rsidRPr="00170422" w:rsidRDefault="00F37BF9">
            <w:pPr>
              <w:pStyle w:val="P68B1DB1-Normal12"/>
              <w:spacing w:after="120"/>
              <w:rPr>
                <w:noProof/>
                <w:lang w:val="de-DE"/>
              </w:rPr>
            </w:pPr>
            <w:r w:rsidRPr="00170422">
              <w:rPr>
                <w:noProof/>
                <w:lang w:val="de-DE"/>
              </w:rPr>
              <w:t>Veröffentlichung eines Berichts, in dem der künftige Bedarf an kritische</w:t>
            </w:r>
            <w:r w:rsidRPr="00170422">
              <w:rPr>
                <w:noProof/>
                <w:lang w:val="de-DE"/>
              </w:rPr>
              <w:t>n Rohstoffen und das Potenzial des Ökodesigns zur Verringerung der Nachfrage nach kritischen Rohstoffen analysiert werden.</w:t>
            </w:r>
          </w:p>
        </w:tc>
      </w:tr>
      <w:tr w:rsidR="0057163C" w:rsidRPr="00170422" w14:paraId="4FC0AE69"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CF3FA71" w14:textId="77777777" w:rsidR="0057163C" w:rsidRPr="00170422" w:rsidRDefault="00F37BF9">
            <w:pPr>
              <w:pStyle w:val="P68B1DB1-Normal11"/>
              <w:spacing w:after="120"/>
              <w:jc w:val="center"/>
              <w:rPr>
                <w:noProof/>
                <w:szCs w:val="20"/>
                <w:lang w:val="de-DE"/>
              </w:rPr>
            </w:pPr>
            <w:r w:rsidRPr="00170422">
              <w:rPr>
                <w:noProof/>
                <w:lang w:val="de-DE"/>
              </w:rPr>
              <w:t>M7-26</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16DBADC6" w14:textId="77777777" w:rsidR="0057163C" w:rsidRPr="00170422" w:rsidRDefault="00F37BF9">
            <w:pPr>
              <w:pStyle w:val="P68B1DB1-Normal11"/>
              <w:spacing w:after="120"/>
              <w:jc w:val="center"/>
              <w:rPr>
                <w:noProof/>
                <w:szCs w:val="20"/>
                <w:lang w:val="de-DE"/>
              </w:rPr>
            </w:pPr>
            <w:r w:rsidRPr="00170422">
              <w:rPr>
                <w:noProof/>
                <w:lang w:val="de-DE"/>
              </w:rPr>
              <w:t>Investition 8: Nachhaltige, kreislauforientierte und sichere Versorgung mit kritischen Rohstoffen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tcPr>
          <w:p w14:paraId="04A64DEA"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tcPr>
          <w:p w14:paraId="7B07BA55" w14:textId="77777777" w:rsidR="0057163C" w:rsidRPr="00170422" w:rsidRDefault="00F37BF9">
            <w:pPr>
              <w:pStyle w:val="P68B1DB1-Normal11"/>
              <w:spacing w:after="120"/>
              <w:jc w:val="center"/>
              <w:rPr>
                <w:noProof/>
                <w:szCs w:val="20"/>
                <w:lang w:val="de-DE"/>
              </w:rPr>
            </w:pPr>
            <w:r w:rsidRPr="00170422">
              <w:rPr>
                <w:noProof/>
                <w:lang w:val="de-DE"/>
              </w:rPr>
              <w:t xml:space="preserve">Geografisches </w:t>
            </w:r>
            <w:r w:rsidRPr="00170422">
              <w:rPr>
                <w:noProof/>
                <w:lang w:val="de-DE"/>
              </w:rPr>
              <w:t>Informationssystem (GIS) über mineralische Abfälle für die nachhaltige, kreislauforientierte und sichere Versorgung mit kritischen Rohstoffen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845526" w14:textId="77777777" w:rsidR="0057163C" w:rsidRPr="00170422" w:rsidRDefault="00F37BF9">
            <w:pPr>
              <w:pStyle w:val="P68B1DB1-Normal11"/>
              <w:spacing w:after="120"/>
              <w:jc w:val="center"/>
              <w:rPr>
                <w:noProof/>
                <w:szCs w:val="20"/>
                <w:lang w:val="de-DE"/>
              </w:rPr>
            </w:pPr>
            <w:r w:rsidRPr="00170422">
              <w:rPr>
                <w:noProof/>
                <w:lang w:val="de-DE"/>
              </w:rPr>
              <w:t>Veröffentlichung der Datenbank</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C37FD3"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0BA695"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6026F4F"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74E09F"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DA1313" w14:textId="77777777" w:rsidR="0057163C" w:rsidRPr="00170422" w:rsidRDefault="00F37BF9">
            <w:pPr>
              <w:pStyle w:val="P68B1DB1-Normal12"/>
              <w:spacing w:after="120"/>
              <w:jc w:val="center"/>
              <w:rPr>
                <w:noProof/>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30E1ECF" w14:textId="5BEEA55E" w:rsidR="0057163C" w:rsidRPr="00170422" w:rsidRDefault="00F37BF9">
            <w:pPr>
              <w:pStyle w:val="P68B1DB1-Normal12"/>
              <w:rPr>
                <w:noProof/>
                <w:lang w:val="de-DE"/>
              </w:rPr>
            </w:pPr>
            <w:r w:rsidRPr="00170422">
              <w:rPr>
                <w:noProof/>
                <w:lang w:val="de-DE"/>
              </w:rPr>
              <w:t>Eine Plattform für geografische Infor</w:t>
            </w:r>
            <w:r w:rsidRPr="00170422">
              <w:rPr>
                <w:noProof/>
                <w:lang w:val="de-DE"/>
              </w:rPr>
              <w:t>mationssysteme ist online verfügbar, auf der rezyklierbare Materialien in städtischen Umgebungen und vorhandene Abfälle in stillgelegten Bergwerken ermittelt werden.</w:t>
            </w:r>
          </w:p>
        </w:tc>
      </w:tr>
      <w:tr w:rsidR="0057163C" w:rsidRPr="00170422" w14:paraId="52FC143C"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DEFC95D" w14:textId="77777777" w:rsidR="0057163C" w:rsidRPr="00170422" w:rsidRDefault="00F37BF9">
            <w:pPr>
              <w:pStyle w:val="P68B1DB1-Normal11"/>
              <w:spacing w:after="120"/>
              <w:jc w:val="center"/>
              <w:rPr>
                <w:noProof/>
                <w:lang w:val="de-DE"/>
              </w:rPr>
            </w:pPr>
            <w:r w:rsidRPr="00170422">
              <w:rPr>
                <w:noProof/>
                <w:lang w:val="de-DE"/>
              </w:rPr>
              <w:t>M7-27</w:t>
            </w:r>
          </w:p>
        </w:tc>
        <w:tc>
          <w:tcPr>
            <w:tcW w:w="1560" w:type="dxa"/>
            <w:tcBorders>
              <w:top w:val="single" w:sz="4" w:space="0" w:color="auto"/>
              <w:left w:val="single" w:sz="4" w:space="0" w:color="auto"/>
              <w:bottom w:val="single" w:sz="4" w:space="0" w:color="auto"/>
              <w:right w:val="single" w:sz="4" w:space="0" w:color="auto"/>
            </w:tcBorders>
            <w:shd w:val="clear" w:color="auto" w:fill="C6EFCE"/>
            <w:noWrap/>
          </w:tcPr>
          <w:p w14:paraId="630CCFBF" w14:textId="77777777" w:rsidR="0057163C" w:rsidRPr="00170422" w:rsidRDefault="00F37BF9">
            <w:pPr>
              <w:pStyle w:val="P68B1DB1-Normal11"/>
              <w:spacing w:after="120"/>
              <w:jc w:val="center"/>
              <w:rPr>
                <w:noProof/>
                <w:lang w:val="de-DE"/>
              </w:rPr>
            </w:pPr>
            <w:r w:rsidRPr="00170422">
              <w:rPr>
                <w:noProof/>
                <w:lang w:val="de-DE"/>
              </w:rPr>
              <w:t xml:space="preserve">Investition 8: Nachhaltige, kreislauforientierte und sichere Versorgung mit </w:t>
            </w:r>
            <w:r w:rsidRPr="00170422">
              <w:rPr>
                <w:noProof/>
                <w:lang w:val="de-DE"/>
              </w:rPr>
              <w:t>kritischen Rohstoffen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tcPr>
          <w:p w14:paraId="7D8ABFDB" w14:textId="77777777" w:rsidR="0057163C" w:rsidRPr="00170422" w:rsidRDefault="00F37BF9">
            <w:pPr>
              <w:pStyle w:val="P68B1DB1-Normal11"/>
              <w:spacing w:after="120"/>
              <w:jc w:val="center"/>
              <w:rPr>
                <w:noProof/>
                <w:lang w:val="de-DE"/>
              </w:rPr>
            </w:pPr>
            <w:r w:rsidRPr="00170422">
              <w:rPr>
                <w:noProof/>
                <w:lang w:val="de-DE"/>
              </w:rPr>
              <w:t xml:space="preserve">Meilenstein </w:t>
            </w:r>
          </w:p>
        </w:tc>
        <w:tc>
          <w:tcPr>
            <w:tcW w:w="1134" w:type="dxa"/>
            <w:tcBorders>
              <w:top w:val="single" w:sz="4" w:space="0" w:color="auto"/>
              <w:left w:val="single" w:sz="4" w:space="0" w:color="auto"/>
              <w:bottom w:val="single" w:sz="4" w:space="0" w:color="auto"/>
              <w:right w:val="single" w:sz="4" w:space="0" w:color="auto"/>
            </w:tcBorders>
            <w:shd w:val="clear" w:color="auto" w:fill="C6EFCE"/>
            <w:noWrap/>
          </w:tcPr>
          <w:p w14:paraId="4EEF1CDC" w14:textId="6016098D" w:rsidR="0057163C" w:rsidRPr="00170422" w:rsidRDefault="00F37BF9">
            <w:pPr>
              <w:pStyle w:val="P68B1DB1-Normal12"/>
              <w:spacing w:after="120"/>
              <w:jc w:val="center"/>
              <w:rPr>
                <w:noProof/>
                <w:lang w:val="de-DE"/>
              </w:rPr>
            </w:pPr>
            <w:r w:rsidRPr="00170422">
              <w:rPr>
                <w:noProof/>
                <w:lang w:val="de-DE"/>
              </w:rPr>
              <w:t>FuE-Projekte und Ausrüstung von Laboratorien für den städtischen Bergbau und Ökodesign</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32F7C4" w14:textId="77777777" w:rsidR="0057163C" w:rsidRPr="00170422" w:rsidRDefault="00F37BF9">
            <w:pPr>
              <w:pStyle w:val="P68B1DB1-Normal12"/>
              <w:spacing w:after="120"/>
              <w:jc w:val="center"/>
              <w:rPr>
                <w:noProof/>
                <w:lang w:val="de-DE"/>
              </w:rPr>
            </w:pPr>
            <w:r w:rsidRPr="00170422">
              <w:rPr>
                <w:noProof/>
                <w:lang w:val="de-DE"/>
              </w:rPr>
              <w:t xml:space="preserve">Durchführung von FuE-Projekten und Ausrüstung von mindestens sechs Laboratorien des Technologiezentrums für den städtischen Bergbau </w:t>
            </w:r>
            <w:r w:rsidRPr="00170422">
              <w:rPr>
                <w:noProof/>
                <w:lang w:val="de-DE"/>
              </w:rPr>
              <w:t>und Ökodesign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C57FDDC" w14:textId="77777777" w:rsidR="0057163C" w:rsidRPr="00170422" w:rsidRDefault="00F37BF9">
            <w:pPr>
              <w:pStyle w:val="P68B1DB1-Normal11"/>
              <w:spacing w:after="120"/>
              <w:jc w:val="center"/>
              <w:rPr>
                <w:noProof/>
                <w:lang w:val="de-DE"/>
              </w:rPr>
            </w:pPr>
            <w:r w:rsidRPr="00170422">
              <w:rPr>
                <w:noProof/>
                <w:lang w:val="de-DE"/>
              </w:rPr>
              <w:t>ENTFÄLLT.</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B2AABA" w14:textId="77777777" w:rsidR="0057163C" w:rsidRPr="00170422" w:rsidRDefault="00F37BF9">
            <w:pPr>
              <w:pStyle w:val="P68B1DB1-Normal11"/>
              <w:spacing w:after="120"/>
              <w:jc w:val="center"/>
              <w:rPr>
                <w:noProof/>
                <w:lang w:val="de-DE"/>
              </w:rPr>
            </w:pPr>
            <w:r w:rsidRPr="00170422">
              <w:rPr>
                <w:noProof/>
                <w:lang w:val="de-DE"/>
              </w:rPr>
              <w:t>ENTFÄLLT.</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4C7830" w14:textId="77777777" w:rsidR="0057163C" w:rsidRPr="00170422" w:rsidRDefault="00F37BF9">
            <w:pPr>
              <w:pStyle w:val="P68B1DB1-Normal11"/>
              <w:spacing w:after="120"/>
              <w:jc w:val="center"/>
              <w:rPr>
                <w:noProof/>
                <w:lang w:val="de-DE"/>
              </w:rPr>
            </w:pPr>
            <w:r w:rsidRPr="00170422">
              <w:rPr>
                <w:noProof/>
                <w:lang w:val="de-DE"/>
              </w:rPr>
              <w:t>ENTFÄLLT.</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3ABA261" w14:textId="77777777" w:rsidR="0057163C" w:rsidRPr="00170422" w:rsidRDefault="00F37BF9">
            <w:pPr>
              <w:pStyle w:val="P68B1DB1-Normal12"/>
              <w:spacing w:after="120"/>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A812E05" w14:textId="77777777" w:rsidR="0057163C" w:rsidRPr="00170422" w:rsidRDefault="00F37BF9">
            <w:pPr>
              <w:pStyle w:val="P68B1DB1-Normal12"/>
              <w:spacing w:after="120"/>
              <w:jc w:val="center"/>
              <w:rPr>
                <w:noProof/>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tcPr>
          <w:p w14:paraId="38CF33EF" w14:textId="0E83B81A" w:rsidR="0057163C" w:rsidRPr="00170422" w:rsidRDefault="00F37BF9">
            <w:pPr>
              <w:pStyle w:val="P68B1DB1-Normal12"/>
              <w:spacing w:after="120"/>
              <w:jc w:val="both"/>
              <w:rPr>
                <w:noProof/>
                <w:lang w:val="de-DE"/>
              </w:rPr>
            </w:pPr>
            <w:r w:rsidRPr="00170422">
              <w:rPr>
                <w:noProof/>
                <w:lang w:val="de-DE"/>
              </w:rPr>
              <w:t>Abschlussberichte für mindestens 10 FuE-Projekte zur umweltgerechten Gestaltung und zum Recycling von Elektro- und Elektronik-Altgeräten.</w:t>
            </w:r>
          </w:p>
          <w:p w14:paraId="0008218F" w14:textId="77777777" w:rsidR="0057163C" w:rsidRPr="00170422" w:rsidRDefault="00F37BF9">
            <w:pPr>
              <w:pStyle w:val="P68B1DB1-Normal12"/>
              <w:rPr>
                <w:noProof/>
                <w:lang w:val="de-DE"/>
              </w:rPr>
            </w:pPr>
            <w:r w:rsidRPr="00170422">
              <w:rPr>
                <w:noProof/>
                <w:lang w:val="de-DE"/>
              </w:rPr>
              <w:t>Liefer- und Abnahmeberichte für die Ausrüstung von mindestens sech</w:t>
            </w:r>
            <w:r w:rsidRPr="00170422">
              <w:rPr>
                <w:noProof/>
                <w:lang w:val="de-DE"/>
              </w:rPr>
              <w:t>s Labors des Technologiezentrums für den städtischen Bergbau und Ökodesign.</w:t>
            </w:r>
          </w:p>
        </w:tc>
      </w:tr>
      <w:tr w:rsidR="0057163C" w:rsidRPr="00170422" w14:paraId="007A0BED"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BA11EDC" w14:textId="77777777" w:rsidR="0057163C" w:rsidRPr="00170422" w:rsidRDefault="00F37BF9">
            <w:pPr>
              <w:pStyle w:val="P68B1DB1-Normal12"/>
              <w:spacing w:after="120"/>
              <w:jc w:val="center"/>
              <w:rPr>
                <w:noProof/>
                <w:lang w:val="de-DE"/>
              </w:rPr>
            </w:pPr>
            <w:r w:rsidRPr="00170422">
              <w:rPr>
                <w:noProof/>
                <w:lang w:val="de-DE"/>
              </w:rPr>
              <w:t>M7-30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29B5F6" w14:textId="77777777" w:rsidR="0057163C" w:rsidRPr="00170422" w:rsidRDefault="00F37BF9">
            <w:pPr>
              <w:pStyle w:val="P68B1DB1-Normal11"/>
              <w:spacing w:after="120"/>
              <w:jc w:val="center"/>
              <w:rPr>
                <w:noProof/>
                <w:szCs w:val="20"/>
                <w:lang w:val="de-DE"/>
              </w:rPr>
            </w:pPr>
            <w:r w:rsidRPr="00170422">
              <w:rPr>
                <w:noProof/>
                <w:lang w:val="de-DE"/>
              </w:rPr>
              <w:t>Investition 10: Pilotprojekt zu Kompetenzen „Crescere Green“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36889D" w14:textId="77777777" w:rsidR="0057163C" w:rsidRPr="00170422" w:rsidRDefault="00F37BF9">
            <w:pPr>
              <w:pStyle w:val="P68B1DB1-Normal11"/>
              <w:spacing w:after="120"/>
              <w:jc w:val="center"/>
              <w:rPr>
                <w:noProof/>
                <w:szCs w:val="20"/>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D23DE9A" w14:textId="3DEE7F12" w:rsidR="0057163C" w:rsidRPr="00170422" w:rsidRDefault="00F37BF9">
            <w:pPr>
              <w:pStyle w:val="P68B1DB1-Normal12"/>
              <w:spacing w:after="120"/>
              <w:jc w:val="center"/>
              <w:rPr>
                <w:noProof/>
                <w:lang w:val="de-DE"/>
              </w:rPr>
            </w:pPr>
            <w:r w:rsidRPr="00170422">
              <w:rPr>
                <w:noProof/>
                <w:lang w:val="de-DE"/>
              </w:rPr>
              <w:t>Ausbildungsnachweise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1FA58C" w14:textId="77777777" w:rsidR="0057163C" w:rsidRPr="00170422" w:rsidRDefault="0057163C">
            <w:pPr>
              <w:spacing w:after="120"/>
              <w:jc w:val="center"/>
              <w:rPr>
                <w:rFonts w:ascii="Arial Narrow" w:hAnsi="Arial Narrow"/>
                <w:noProof/>
                <w:color w:val="006100"/>
                <w:sz w:val="20"/>
                <w:szCs w:val="20"/>
                <w:lang w:val="de-DE"/>
              </w:rPr>
            </w:pP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D1E990B" w14:textId="77777777" w:rsidR="0057163C" w:rsidRPr="00170422" w:rsidRDefault="00F37BF9">
            <w:pPr>
              <w:pStyle w:val="P68B1DB1-Normal11"/>
              <w:spacing w:after="120"/>
              <w:jc w:val="center"/>
              <w:rPr>
                <w:noProof/>
                <w:szCs w:val="20"/>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9E202C7" w14:textId="77777777" w:rsidR="0057163C" w:rsidRPr="00170422" w:rsidRDefault="00F37BF9">
            <w:pPr>
              <w:pStyle w:val="P68B1DB1-Normal11"/>
              <w:spacing w:after="120"/>
              <w:jc w:val="center"/>
              <w:rPr>
                <w:noProof/>
                <w:szCs w:val="20"/>
                <w:lang w:val="de-DE"/>
              </w:rPr>
            </w:pPr>
            <w:r w:rsidRPr="00170422">
              <w:rPr>
                <w:noProof/>
                <w:lang w:val="de-DE"/>
              </w:rPr>
              <w:t>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E916695" w14:textId="77777777" w:rsidR="0057163C" w:rsidRPr="00170422" w:rsidRDefault="00F37BF9">
            <w:pPr>
              <w:pStyle w:val="P68B1DB1-Normal11"/>
              <w:spacing w:after="120"/>
              <w:jc w:val="center"/>
              <w:rPr>
                <w:noProof/>
                <w:szCs w:val="20"/>
                <w:lang w:val="de-DE"/>
              </w:rPr>
            </w:pPr>
            <w:r w:rsidRPr="00170422">
              <w:rPr>
                <w:noProof/>
                <w:lang w:val="de-DE"/>
              </w:rPr>
              <w:t>20 000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B193740" w14:textId="77777777" w:rsidR="0057163C" w:rsidRPr="00170422" w:rsidRDefault="00F37BF9">
            <w:pPr>
              <w:pStyle w:val="P68B1DB1-Normal12"/>
              <w:spacing w:after="120"/>
              <w:jc w:val="center"/>
              <w:rPr>
                <w:noProof/>
                <w:lang w:val="de-DE"/>
              </w:rPr>
            </w:pPr>
            <w:r w:rsidRPr="00170422">
              <w:rPr>
                <w:noProof/>
                <w:lang w:val="de-DE"/>
              </w:rPr>
              <w:t>4. QUARTAL</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6952EA"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256AAB" w14:textId="6F4C7D0F" w:rsidR="0057163C" w:rsidRPr="00170422" w:rsidRDefault="00F37BF9">
            <w:pPr>
              <w:pStyle w:val="P68B1DB1-Normal12"/>
              <w:spacing w:after="120"/>
              <w:rPr>
                <w:noProof/>
                <w:lang w:val="de-DE"/>
              </w:rPr>
            </w:pPr>
            <w:r w:rsidRPr="00170422">
              <w:rPr>
                <w:noProof/>
                <w:lang w:val="de-DE"/>
              </w:rPr>
              <w:t xml:space="preserve">Ausbildungsnachweise, die für mindestens 20000 </w:t>
            </w:r>
            <w:r w:rsidRPr="00170422">
              <w:rPr>
                <w:noProof/>
                <w:lang w:val="de-DE"/>
              </w:rPr>
              <w:t>Begünstigte des Pilotprojekts ausgestellt wurden. Das Pilotprojekt erstreckt sich auf mindestens zwei Regionen und betrifft grüne Kompetenzen gemäß der Definition in der ESCO-Datenbank.</w:t>
            </w:r>
          </w:p>
        </w:tc>
      </w:tr>
      <w:tr w:rsidR="0057163C" w:rsidRPr="00170422" w14:paraId="3CF3346F"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28227E" w14:textId="77777777" w:rsidR="0057163C" w:rsidRPr="00170422" w:rsidRDefault="00F37BF9">
            <w:pPr>
              <w:pStyle w:val="P68B1DB1-Normal11"/>
              <w:spacing w:after="120"/>
              <w:jc w:val="center"/>
              <w:rPr>
                <w:noProof/>
                <w:szCs w:val="20"/>
                <w:lang w:val="de-DE"/>
              </w:rPr>
            </w:pPr>
            <w:r w:rsidRPr="00170422">
              <w:rPr>
                <w:noProof/>
                <w:lang w:val="de-DE"/>
              </w:rPr>
              <w:t>M7-31</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FC019BC" w14:textId="34E28CC5" w:rsidR="0057163C" w:rsidRPr="00170422" w:rsidRDefault="00F37BF9">
            <w:pPr>
              <w:pStyle w:val="P68B1DB1-Normal11"/>
              <w:spacing w:after="120"/>
              <w:jc w:val="center"/>
              <w:rPr>
                <w:noProof/>
                <w:lang w:val="de-DE"/>
              </w:rPr>
            </w:pPr>
            <w:bookmarkStart w:id="26" w:name="_Hlk160472344"/>
            <w:r w:rsidRPr="00170422">
              <w:rPr>
                <w:noProof/>
                <w:lang w:val="de-DE"/>
              </w:rPr>
              <w:t xml:space="preserve">Investition 11: Stärkung der regionalen Eisenbahnflotte des </w:t>
            </w:r>
            <w:r w:rsidRPr="00170422">
              <w:rPr>
                <w:noProof/>
                <w:lang w:val="de-DE"/>
              </w:rPr>
              <w:t>öffentlichen Verkehrs mit emissionsfreien Zügen und Universaldienst</w:t>
            </w:r>
            <w:bookmarkEnd w:id="26"/>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7A81E10" w14:textId="77777777" w:rsidR="0057163C" w:rsidRPr="00170422" w:rsidRDefault="00F37BF9">
            <w:pPr>
              <w:pStyle w:val="P68B1DB1-Normal11"/>
              <w:spacing w:after="120"/>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95FA58" w14:textId="3E9B35CD" w:rsidR="0057163C" w:rsidRPr="00170422" w:rsidRDefault="00F37BF9">
            <w:pPr>
              <w:pStyle w:val="P68B1DB1-Normal12"/>
              <w:spacing w:after="120"/>
              <w:jc w:val="center"/>
              <w:rPr>
                <w:noProof/>
                <w:lang w:val="de-DE"/>
              </w:rPr>
            </w:pPr>
            <w:r w:rsidRPr="00170422">
              <w:rPr>
                <w:noProof/>
                <w:lang w:val="de-DE"/>
              </w:rPr>
              <w:t>Anzahl der zugelassenen Züge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FB1D417"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4225332" w14:textId="77777777" w:rsidR="0057163C" w:rsidRPr="00170422" w:rsidRDefault="00F37BF9">
            <w:pPr>
              <w:pStyle w:val="P68B1DB1-Normal11"/>
              <w:spacing w:after="120"/>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3DE5AA9" w14:textId="77777777" w:rsidR="0057163C" w:rsidRPr="00170422" w:rsidRDefault="00F37BF9">
            <w:pPr>
              <w:pStyle w:val="P68B1DB1-Normal11"/>
              <w:spacing w:after="120"/>
              <w:jc w:val="center"/>
              <w:rPr>
                <w:noProof/>
                <w:lang w:val="de-DE"/>
              </w:rPr>
            </w:pPr>
            <w:r w:rsidRPr="00170422">
              <w:rPr>
                <w:noProof/>
                <w:lang w:val="de-DE"/>
              </w:rPr>
              <w:t>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448F9C3" w14:textId="77777777" w:rsidR="0057163C" w:rsidRPr="00170422" w:rsidRDefault="00F37BF9">
            <w:pPr>
              <w:pStyle w:val="P68B1DB1-Normal12"/>
              <w:spacing w:after="120"/>
              <w:jc w:val="center"/>
              <w:rPr>
                <w:noProof/>
                <w:lang w:val="de-DE"/>
              </w:rPr>
            </w:pPr>
            <w:r w:rsidRPr="00170422">
              <w:rPr>
                <w:noProof/>
                <w:lang w:val="de-DE"/>
              </w:rPr>
              <w:t>75</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EA264B0" w14:textId="77777777" w:rsidR="0057163C" w:rsidRPr="00170422" w:rsidRDefault="00F37BF9">
            <w:pPr>
              <w:pStyle w:val="P68B1DB1-Normal11"/>
              <w:spacing w:after="120"/>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6FD8C47" w14:textId="77777777" w:rsidR="0057163C" w:rsidRPr="00170422" w:rsidRDefault="00F37BF9">
            <w:pPr>
              <w:pStyle w:val="P68B1DB1-Normal11"/>
              <w:spacing w:after="120"/>
              <w:jc w:val="center"/>
              <w:rPr>
                <w:noProof/>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18D834E" w14:textId="4C34A364" w:rsidR="0057163C" w:rsidRPr="00170422" w:rsidRDefault="00F37BF9">
            <w:pPr>
              <w:pStyle w:val="P68B1DB1-Normal12"/>
              <w:spacing w:after="120"/>
              <w:rPr>
                <w:noProof/>
                <w:highlight w:val="yellow"/>
                <w:lang w:val="de-DE"/>
              </w:rPr>
            </w:pPr>
            <w:r w:rsidRPr="00170422">
              <w:rPr>
                <w:noProof/>
                <w:lang w:val="de-DE"/>
              </w:rPr>
              <w:t xml:space="preserve">Registrierung von mindestens 75 emissionsfreien Zügen (elektrischer oder wasserstoffbetriebener Brennstoffzellen) auf den </w:t>
            </w:r>
            <w:r w:rsidRPr="00170422">
              <w:rPr>
                <w:noProof/>
                <w:lang w:val="de-DE"/>
              </w:rPr>
              <w:t>Fahrzeugen gemäß Investition 4.4.2 der Komponente 2 von Mission 2</w:t>
            </w:r>
          </w:p>
        </w:tc>
      </w:tr>
      <w:tr w:rsidR="0057163C" w:rsidRPr="00170422" w14:paraId="700A56EF"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92F4BC8" w14:textId="77777777" w:rsidR="0057163C" w:rsidRPr="00170422" w:rsidRDefault="00F37BF9">
            <w:pPr>
              <w:pStyle w:val="P68B1DB1-Normal11"/>
              <w:spacing w:after="120"/>
              <w:jc w:val="center"/>
              <w:rPr>
                <w:noProof/>
                <w:szCs w:val="20"/>
                <w:lang w:val="de-DE"/>
              </w:rPr>
            </w:pPr>
            <w:r w:rsidRPr="00170422">
              <w:rPr>
                <w:noProof/>
                <w:lang w:val="de-DE"/>
              </w:rPr>
              <w:t>M7-32</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67B201C" w14:textId="77777777" w:rsidR="0057163C" w:rsidRPr="00170422" w:rsidRDefault="00F37BF9">
            <w:pPr>
              <w:pStyle w:val="P68B1DB1-Normal11"/>
              <w:spacing w:after="120"/>
              <w:jc w:val="center"/>
              <w:rPr>
                <w:noProof/>
                <w:szCs w:val="20"/>
                <w:lang w:val="de-DE"/>
              </w:rPr>
            </w:pPr>
            <w:r w:rsidRPr="00170422">
              <w:rPr>
                <w:noProof/>
                <w:lang w:val="de-DE"/>
              </w:rPr>
              <w:t>Investition 12 Finanzierungsinstrument für die Entwicklung einer internationalen, industriellen und FuE-Führungsrolle in emissionsfreien Bussen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8B8D97" w14:textId="77777777" w:rsidR="0057163C" w:rsidRPr="00170422" w:rsidRDefault="00F37BF9">
            <w:pPr>
              <w:pStyle w:val="P68B1DB1-Normal11"/>
              <w:spacing w:after="120"/>
              <w:jc w:val="center"/>
              <w:rPr>
                <w:noProof/>
                <w:lang w:val="de-DE"/>
              </w:rPr>
            </w:pPr>
            <w:r w:rsidRPr="00170422">
              <w:rPr>
                <w:noProof/>
                <w:lang w:val="de-DE"/>
              </w:rPr>
              <w:t>Meilenstein</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0C3B544" w14:textId="77777777" w:rsidR="0057163C" w:rsidRPr="00170422" w:rsidRDefault="00F37BF9">
            <w:pPr>
              <w:pStyle w:val="P68B1DB1-Normal11"/>
              <w:spacing w:after="120"/>
              <w:jc w:val="center"/>
              <w:rPr>
                <w:noProof/>
                <w:lang w:val="de-DE"/>
              </w:rPr>
            </w:pPr>
            <w:r w:rsidRPr="00170422">
              <w:rPr>
                <w:noProof/>
                <w:lang w:val="de-DE"/>
              </w:rPr>
              <w:t>Durchführungsvereinbarung</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F0DE29E" w14:textId="77777777" w:rsidR="0057163C" w:rsidRPr="00170422" w:rsidRDefault="00F37BF9">
            <w:pPr>
              <w:pStyle w:val="P68B1DB1-Normal11"/>
              <w:spacing w:after="120"/>
              <w:jc w:val="center"/>
              <w:rPr>
                <w:noProof/>
                <w:szCs w:val="20"/>
                <w:lang w:val="de-DE"/>
              </w:rPr>
            </w:pPr>
            <w:r w:rsidRPr="00170422">
              <w:rPr>
                <w:noProof/>
                <w:lang w:val="de-DE"/>
              </w:rPr>
              <w:t>Inkrafttreten des Durchführungsübereinkommens</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2BBBD56" w14:textId="77777777" w:rsidR="0057163C" w:rsidRPr="00170422" w:rsidRDefault="00F37BF9">
            <w:pPr>
              <w:pStyle w:val="P68B1DB1-Normal11"/>
              <w:spacing w:after="120"/>
              <w:jc w:val="center"/>
              <w:rPr>
                <w:noProof/>
                <w:lang w:val="de-DE"/>
              </w:rPr>
            </w:pPr>
            <w:r w:rsidRPr="00170422">
              <w:rPr>
                <w:noProof/>
                <w:lang w:val="de-DE"/>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75B627D" w14:textId="77777777" w:rsidR="0057163C" w:rsidRPr="00170422" w:rsidRDefault="0057163C">
            <w:pPr>
              <w:spacing w:after="120"/>
              <w:jc w:val="center"/>
              <w:rPr>
                <w:rFonts w:ascii="Arial Narrow" w:hAnsi="Arial Narrow"/>
                <w:noProof/>
                <w:color w:val="006100"/>
                <w:sz w:val="20"/>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DE0B82" w14:textId="77777777" w:rsidR="0057163C" w:rsidRPr="00170422" w:rsidRDefault="00F37BF9">
            <w:pPr>
              <w:pStyle w:val="P68B1DB1-Normal11"/>
              <w:spacing w:after="120"/>
              <w:jc w:val="center"/>
              <w:rPr>
                <w:noProof/>
                <w:lang w:val="de-DE"/>
              </w:rPr>
            </w:pPr>
            <w:r w:rsidRPr="00170422">
              <w:rPr>
                <w:noProof/>
                <w:lang w:val="de-DE"/>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C6C599B" w14:textId="77777777" w:rsidR="0057163C" w:rsidRPr="00170422" w:rsidRDefault="00F37BF9">
            <w:pPr>
              <w:pStyle w:val="P68B1DB1-Normal11"/>
              <w:spacing w:after="120"/>
              <w:jc w:val="center"/>
              <w:rPr>
                <w:noProof/>
                <w:lang w:val="de-DE"/>
              </w:rPr>
            </w:pPr>
            <w:r w:rsidRPr="00170422">
              <w:rPr>
                <w:noProof/>
                <w:lang w:val="de-DE"/>
              </w:rPr>
              <w:t>Q1</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3B69847" w14:textId="77777777" w:rsidR="0057163C" w:rsidRPr="00170422" w:rsidRDefault="00F37BF9">
            <w:pPr>
              <w:pStyle w:val="P68B1DB1-Normal11"/>
              <w:spacing w:after="120"/>
              <w:jc w:val="center"/>
              <w:rPr>
                <w:noProof/>
                <w:lang w:val="de-DE"/>
              </w:rPr>
            </w:pPr>
            <w:r w:rsidRPr="00170422">
              <w:rPr>
                <w:noProof/>
                <w:lang w:val="de-DE"/>
              </w:rPr>
              <w:t>2024</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EFCB721" w14:textId="77777777" w:rsidR="0057163C" w:rsidRPr="00170422" w:rsidRDefault="00F37BF9">
            <w:pPr>
              <w:pStyle w:val="P68B1DB1-Normal11"/>
              <w:jc w:val="both"/>
              <w:rPr>
                <w:noProof/>
                <w:lang w:val="de-DE"/>
              </w:rPr>
            </w:pPr>
            <w:r w:rsidRPr="00170422">
              <w:rPr>
                <w:noProof/>
                <w:lang w:val="de-DE"/>
              </w:rPr>
              <w:t>Inkrafttreten des Durchführungsübereinkommens.</w:t>
            </w:r>
          </w:p>
        </w:tc>
      </w:tr>
      <w:tr w:rsidR="0057163C" w:rsidRPr="00170422" w14:paraId="6BFC66F1" w14:textId="77777777" w:rsidTr="00A400C5">
        <w:trPr>
          <w:trHeight w:val="300"/>
        </w:trPr>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B60908" w14:textId="77777777" w:rsidR="0057163C" w:rsidRPr="00170422" w:rsidRDefault="00F37BF9">
            <w:pPr>
              <w:pStyle w:val="P68B1DB1-Normal11"/>
              <w:spacing w:after="120"/>
              <w:jc w:val="center"/>
              <w:rPr>
                <w:noProof/>
                <w:lang w:val="de-DE"/>
              </w:rPr>
            </w:pPr>
            <w:r w:rsidRPr="00170422">
              <w:rPr>
                <w:noProof/>
                <w:lang w:val="de-DE"/>
              </w:rPr>
              <w:t>M7-50</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855BA2" w14:textId="532D7DF6" w:rsidR="0057163C" w:rsidRPr="00170422" w:rsidRDefault="00F37BF9">
            <w:pPr>
              <w:pStyle w:val="P68B1DB1-Normal12"/>
              <w:spacing w:after="120"/>
              <w:jc w:val="center"/>
              <w:rPr>
                <w:noProof/>
                <w:lang w:val="de-DE"/>
              </w:rPr>
            </w:pPr>
            <w:r w:rsidRPr="00170422">
              <w:rPr>
                <w:noProof/>
                <w:lang w:val="de-DE"/>
              </w:rPr>
              <w:t>Investition 18 – Scale-up-Maßnahme: Programm zur Erneuerung der Flotte privater und leichter Nutzfahrzeuge mit Elektrofahrzeugen</w:t>
            </w:r>
          </w:p>
        </w:tc>
        <w:tc>
          <w:tcPr>
            <w:tcW w:w="127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0194CFE" w14:textId="77777777" w:rsidR="0057163C" w:rsidRPr="00170422" w:rsidRDefault="00F37BF9">
            <w:pPr>
              <w:pStyle w:val="P68B1DB1-Normal11"/>
              <w:spacing w:after="120"/>
              <w:jc w:val="center"/>
              <w:rPr>
                <w:noProof/>
                <w:lang w:val="de-DE"/>
              </w:rPr>
            </w:pPr>
            <w:r w:rsidRPr="00170422">
              <w:rPr>
                <w:noProof/>
                <w:lang w:val="de-DE"/>
              </w:rPr>
              <w:t>Ziel</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5AB588E" w14:textId="77777777" w:rsidR="0057163C" w:rsidRPr="00170422" w:rsidRDefault="00F37BF9">
            <w:pPr>
              <w:pStyle w:val="P68B1DB1-Normal12"/>
              <w:spacing w:after="120"/>
              <w:jc w:val="center"/>
              <w:rPr>
                <w:noProof/>
                <w:lang w:val="de-DE"/>
              </w:rPr>
            </w:pPr>
            <w:r w:rsidRPr="00170422">
              <w:rPr>
                <w:noProof/>
                <w:lang w:val="de-DE"/>
              </w:rPr>
              <w:t xml:space="preserve">Anzahl </w:t>
            </w:r>
            <w:r w:rsidRPr="00170422">
              <w:rPr>
                <w:noProof/>
                <w:lang w:val="de-DE"/>
              </w:rPr>
              <w:t>der gekauften Fahrzeuge</w:t>
            </w:r>
          </w:p>
        </w:tc>
        <w:tc>
          <w:tcPr>
            <w:tcW w:w="15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97126D6" w14:textId="77777777" w:rsidR="0057163C" w:rsidRPr="00170422" w:rsidRDefault="00F37BF9">
            <w:pPr>
              <w:pStyle w:val="P68B1DB1-Normal11"/>
              <w:spacing w:after="120"/>
              <w:jc w:val="center"/>
              <w:rPr>
                <w:noProof/>
                <w:lang w:val="de-DE"/>
              </w:rPr>
            </w:pPr>
            <w:r w:rsidRPr="00170422">
              <w:rPr>
                <w:noProof/>
                <w:lang w:val="de-DE"/>
              </w:rPr>
              <w:t>ENTFÄLLT.</w:t>
            </w:r>
          </w:p>
        </w:tc>
        <w:tc>
          <w:tcPr>
            <w:tcW w:w="1134"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4EBD2C3" w14:textId="77777777" w:rsidR="0057163C" w:rsidRPr="00170422" w:rsidRDefault="00F37BF9">
            <w:pPr>
              <w:pStyle w:val="P68B1DB1-Normal11"/>
              <w:spacing w:after="120"/>
              <w:jc w:val="center"/>
              <w:rPr>
                <w:noProof/>
                <w:lang w:val="de-DE"/>
              </w:rPr>
            </w:pPr>
            <w:r w:rsidRPr="00170422">
              <w:rPr>
                <w:noProof/>
                <w:lang w:val="de-DE"/>
              </w:rPr>
              <w:t>Anzahl</w:t>
            </w:r>
          </w:p>
        </w:tc>
        <w:tc>
          <w:tcPr>
            <w:tcW w:w="14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6012F6C" w14:textId="25FE5254" w:rsidR="0057163C" w:rsidRPr="00170422" w:rsidRDefault="00F37BF9">
            <w:pPr>
              <w:pStyle w:val="P68B1DB1-Normal12"/>
              <w:spacing w:after="120"/>
              <w:jc w:val="center"/>
              <w:rPr>
                <w:noProof/>
                <w:lang w:val="de-DE"/>
              </w:rPr>
            </w:pPr>
            <w:r w:rsidRPr="00170422">
              <w:rPr>
                <w:noProof/>
                <w:lang w:val="de-DE"/>
              </w:rPr>
              <w:t>30 830</w:t>
            </w:r>
          </w:p>
        </w:tc>
        <w:tc>
          <w:tcPr>
            <w:tcW w:w="851"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851EFF" w14:textId="79E98383" w:rsidR="0057163C" w:rsidRPr="00170422" w:rsidRDefault="00F37BF9">
            <w:pPr>
              <w:pStyle w:val="P68B1DB1-Normal11"/>
              <w:spacing w:after="120"/>
              <w:jc w:val="center"/>
              <w:rPr>
                <w:noProof/>
                <w:lang w:val="de-DE"/>
              </w:rPr>
            </w:pPr>
            <w:r w:rsidRPr="00170422">
              <w:rPr>
                <w:noProof/>
                <w:lang w:val="de-DE"/>
              </w:rPr>
              <w:t>46 500</w:t>
            </w:r>
          </w:p>
        </w:tc>
        <w:tc>
          <w:tcPr>
            <w:tcW w:w="85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02F188" w14:textId="77777777" w:rsidR="0057163C" w:rsidRPr="00170422" w:rsidRDefault="00F37BF9">
            <w:pPr>
              <w:pStyle w:val="P68B1DB1-Normal11"/>
              <w:spacing w:after="120"/>
              <w:jc w:val="center"/>
              <w:rPr>
                <w:noProof/>
                <w:lang w:val="de-DE"/>
              </w:rPr>
            </w:pPr>
            <w:r w:rsidRPr="00170422">
              <w:rPr>
                <w:noProof/>
                <w:lang w:val="de-DE"/>
              </w:rPr>
              <w:t>Q2</w:t>
            </w:r>
          </w:p>
        </w:tc>
        <w:tc>
          <w:tcPr>
            <w:tcW w:w="70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7F8C088" w14:textId="77777777" w:rsidR="0057163C" w:rsidRPr="00170422" w:rsidRDefault="00F37BF9">
            <w:pPr>
              <w:pStyle w:val="P68B1DB1-Normal11"/>
              <w:spacing w:after="120"/>
              <w:jc w:val="center"/>
              <w:rPr>
                <w:noProof/>
                <w:lang w:val="de-DE"/>
              </w:rPr>
            </w:pPr>
            <w:r w:rsidRPr="00170422">
              <w:rPr>
                <w:noProof/>
                <w:lang w:val="de-DE"/>
              </w:rPr>
              <w:t>2026</w:t>
            </w:r>
          </w:p>
        </w:tc>
        <w:tc>
          <w:tcPr>
            <w:tcW w:w="3260"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CFED7E2" w14:textId="62BDE14E" w:rsidR="0057163C" w:rsidRPr="00170422" w:rsidRDefault="00F37BF9">
            <w:pPr>
              <w:pStyle w:val="P68B1DB1-Normal11"/>
              <w:spacing w:after="120"/>
              <w:rPr>
                <w:noProof/>
                <w:szCs w:val="20"/>
                <w:lang w:val="de-DE"/>
              </w:rPr>
            </w:pPr>
            <w:r w:rsidRPr="00170422">
              <w:rPr>
                <w:noProof/>
                <w:szCs w:val="20"/>
                <w:lang w:val="de-DE"/>
              </w:rPr>
              <w:t xml:space="preserve">Verträge über den Kauf von mindestens  </w:t>
            </w:r>
            <w:r w:rsidRPr="00170422">
              <w:rPr>
                <w:noProof/>
                <w:lang w:val="de-DE"/>
              </w:rPr>
              <w:t xml:space="preserve"> </w:t>
            </w:r>
            <w:r w:rsidRPr="00170422">
              <w:rPr>
                <w:noProof/>
                <w:szCs w:val="20"/>
                <w:lang w:val="de-DE"/>
              </w:rPr>
              <w:t>46500 emissionsfreien Fahrzeugen.</w:t>
            </w:r>
          </w:p>
          <w:p w14:paraId="27ACAE9A" w14:textId="77777777" w:rsidR="0057163C" w:rsidRPr="00170422" w:rsidRDefault="00F37BF9">
            <w:pPr>
              <w:pStyle w:val="P68B1DB1-Normal12"/>
              <w:spacing w:after="120"/>
              <w:jc w:val="both"/>
              <w:rPr>
                <w:noProof/>
                <w:lang w:val="de-DE"/>
              </w:rPr>
            </w:pPr>
            <w:r w:rsidRPr="00170422">
              <w:rPr>
                <w:noProof/>
                <w:lang w:val="de-DE"/>
              </w:rPr>
              <w:t>Für jedes Fahrzeug ist auch eine Abwrackbescheinigung vorzulegen, in der die Verschrottung eines Wärmefahrzeugs ausgewi</w:t>
            </w:r>
            <w:r w:rsidRPr="00170422">
              <w:rPr>
                <w:noProof/>
                <w:lang w:val="de-DE"/>
              </w:rPr>
              <w:t>esen wird.</w:t>
            </w:r>
          </w:p>
          <w:p w14:paraId="26B317F3" w14:textId="77777777" w:rsidR="0057163C" w:rsidRPr="00170422" w:rsidRDefault="00F37BF9">
            <w:pPr>
              <w:pStyle w:val="P68B1DB1-Normal12"/>
              <w:spacing w:after="120"/>
              <w:rPr>
                <w:noProof/>
                <w:lang w:val="de-DE"/>
              </w:rPr>
            </w:pPr>
            <w:r w:rsidRPr="00170422">
              <w:rPr>
                <w:noProof/>
                <w:lang w:val="de-DE"/>
              </w:rPr>
              <w:t>Die Regelung zielt auf Folgendes ab:</w:t>
            </w:r>
          </w:p>
          <w:p w14:paraId="3FAA7C20" w14:textId="5D5C6260" w:rsidR="0057163C" w:rsidRPr="00170422" w:rsidRDefault="00F37BF9">
            <w:pPr>
              <w:pStyle w:val="P68B1DB1-Normal12"/>
              <w:spacing w:after="120"/>
              <w:rPr>
                <w:noProof/>
                <w:lang w:val="de-DE"/>
              </w:rPr>
            </w:pPr>
            <w:r w:rsidRPr="00170422">
              <w:rPr>
                <w:noProof/>
                <w:lang w:val="de-DE"/>
              </w:rPr>
              <w:t>• Einzelpersonen, die in funktionalen städtischen Gebieten leben. Für Einzelpersonen sind nur Fahrzeuge der Klasse M1 zulässig.</w:t>
            </w:r>
          </w:p>
          <w:p w14:paraId="0A68AFF8" w14:textId="21983616" w:rsidR="0057163C" w:rsidRPr="00170422" w:rsidRDefault="00F37BF9">
            <w:pPr>
              <w:pStyle w:val="P68B1DB1-Normal12"/>
              <w:spacing w:after="120"/>
              <w:rPr>
                <w:noProof/>
                <w:lang w:val="de-DE"/>
              </w:rPr>
            </w:pPr>
            <w:r w:rsidRPr="00170422">
              <w:rPr>
                <w:noProof/>
                <w:lang w:val="de-DE"/>
              </w:rPr>
              <w:t>• Kleinstunternehmen im Sinne von Artikel 2 Nummer 9 der Verordnung (EU) 2023/95</w:t>
            </w:r>
            <w:r w:rsidRPr="00170422">
              <w:rPr>
                <w:noProof/>
                <w:lang w:val="de-DE"/>
              </w:rPr>
              <w:t>5 mit Sitz in funktionalen städtischen Gebieten. Bei Kleinstunternehmen sind nur Fahrzeuge der Klassen N1 und N2 förderfähig.</w:t>
            </w:r>
          </w:p>
          <w:p w14:paraId="6D33767D" w14:textId="1875A1AC" w:rsidR="0057163C" w:rsidRPr="00170422" w:rsidRDefault="00F37BF9">
            <w:pPr>
              <w:pStyle w:val="P68B1DB1-Normal12"/>
              <w:spacing w:after="120"/>
              <w:rPr>
                <w:noProof/>
                <w:lang w:val="de-DE"/>
              </w:rPr>
            </w:pPr>
            <w:r w:rsidRPr="00170422">
              <w:rPr>
                <w:noProof/>
                <w:lang w:val="de-DE"/>
              </w:rPr>
              <w:t>Für Privatfahrzeuge (M1) beträgt der Anreiz höchstens 11 000 EUR je Neufahrzeug für Personen mit einem Indikator für die gleichwer</w:t>
            </w:r>
            <w:r w:rsidRPr="00170422">
              <w:rPr>
                <w:noProof/>
                <w:lang w:val="de-DE"/>
              </w:rPr>
              <w:t>tige wirtschaftliche Lage (ISEE – Indicatore della Situazione Economica Equivalente) von höchstens 30 000 EUR und höchstens 9 000 EUR pro Neufahrzeug für Personen mit einem ISEE-Wert von mehr als 30 000 EUR, aber weniger als 40 000 EUR. Für Nutzfahrzeuge (</w:t>
            </w:r>
            <w:r w:rsidRPr="00170422">
              <w:rPr>
                <w:noProof/>
                <w:lang w:val="de-DE"/>
              </w:rPr>
              <w:t xml:space="preserve">N1 und N2) deckt der Anreiz bis zu 30 % des Kaufpreises bis zu einer Obergrenze von 20 000 EUR pro Neufahrzeug ab. </w:t>
            </w:r>
          </w:p>
          <w:p w14:paraId="6A55787E" w14:textId="77777777" w:rsidR="0057163C" w:rsidRPr="00170422" w:rsidRDefault="00F37BF9">
            <w:pPr>
              <w:pStyle w:val="P68B1DB1-Normal12"/>
              <w:jc w:val="both"/>
              <w:rPr>
                <w:noProof/>
                <w:lang w:val="de-DE"/>
              </w:rPr>
            </w:pPr>
            <w:r w:rsidRPr="00170422">
              <w:rPr>
                <w:noProof/>
                <w:lang w:val="de-DE"/>
              </w:rPr>
              <w:t>Das System zielt ausschließlich auf den Erwerb emissionsfreier Fahrzeuge ab.</w:t>
            </w:r>
          </w:p>
        </w:tc>
      </w:tr>
    </w:tbl>
    <w:p w14:paraId="4D061E57" w14:textId="77777777" w:rsidR="0057163C" w:rsidRPr="00170422" w:rsidRDefault="0057163C">
      <w:pPr>
        <w:tabs>
          <w:tab w:val="left" w:pos="4252"/>
        </w:tabs>
        <w:spacing w:after="120"/>
        <w:rPr>
          <w:i/>
          <w:noProof/>
          <w:lang w:val="de-DE"/>
        </w:rPr>
        <w:sectPr w:rsidR="0057163C" w:rsidRPr="00170422" w:rsidSect="005F11B9">
          <w:headerReference w:type="default" r:id="rId322"/>
          <w:footerReference w:type="default" r:id="rId323"/>
          <w:pgSz w:w="16838" w:h="11906" w:orient="landscape" w:code="9"/>
          <w:pgMar w:top="1134" w:right="1134" w:bottom="1134" w:left="1134" w:header="567" w:footer="567" w:gutter="0"/>
          <w:cols w:space="720"/>
          <w:docGrid w:linePitch="360"/>
        </w:sectPr>
      </w:pPr>
    </w:p>
    <w:p w14:paraId="7EC6D3EE" w14:textId="0D4AA0C6" w:rsidR="0057163C" w:rsidRPr="00170422" w:rsidRDefault="00F37BF9">
      <w:pPr>
        <w:pStyle w:val="P68B1DB1-Heading368"/>
        <w:ind w:left="850" w:hanging="850"/>
        <w:rPr>
          <w:bCs/>
          <w:noProof/>
          <w:lang w:val="de-DE"/>
        </w:rPr>
      </w:pPr>
      <w:bookmarkStart w:id="27" w:name="_Hlk180665465"/>
      <w:r w:rsidRPr="00170422">
        <w:rPr>
          <w:noProof/>
          <w:lang w:val="de-DE"/>
        </w:rPr>
        <w:t xml:space="preserve">FRAGE 3. </w:t>
      </w:r>
      <w:r w:rsidRPr="00170422">
        <w:rPr>
          <w:noProof/>
          <w:lang w:val="de-DE"/>
        </w:rPr>
        <w:tab/>
        <w:t xml:space="preserve">Beschreibung der Reformen und Investitionen (Darlehen) </w:t>
      </w:r>
    </w:p>
    <w:p w14:paraId="2CBD59FB" w14:textId="77777777" w:rsidR="0057163C" w:rsidRPr="00170422" w:rsidRDefault="00F37BF9">
      <w:pPr>
        <w:pStyle w:val="P68B1DB1-Heading4107"/>
        <w:spacing w:before="0"/>
        <w:rPr>
          <w:noProof/>
          <w:lang w:val="de-DE"/>
        </w:rPr>
      </w:pPr>
      <w:bookmarkStart w:id="28" w:name="_Hlk140650645"/>
      <w:bookmarkEnd w:id="27"/>
      <w:r w:rsidRPr="00170422">
        <w:rPr>
          <w:noProof/>
          <w:lang w:val="de-DE"/>
        </w:rPr>
        <w:t>Investition 13. Adriatic Line Phase 1 (Kompressorstation Sulmona und Gaspipeline Sestino-Minerbio)</w:t>
      </w:r>
    </w:p>
    <w:p w14:paraId="7731CA39" w14:textId="77777777" w:rsidR="0057163C" w:rsidRPr="00170422" w:rsidRDefault="00F37BF9">
      <w:pPr>
        <w:pStyle w:val="P68B1DB1-Text143"/>
        <w:spacing w:before="0"/>
        <w:ind w:left="0"/>
        <w:rPr>
          <w:noProof/>
          <w:lang w:val="de-DE"/>
        </w:rPr>
      </w:pPr>
      <w:r w:rsidRPr="00170422">
        <w:rPr>
          <w:noProof/>
          <w:lang w:val="de-DE"/>
        </w:rPr>
        <w:t>Ziel dieser Investition ist es, die Versorgungssicherheit für Erdgas, einschließlich Flüssi</w:t>
      </w:r>
      <w:r w:rsidRPr="00170422">
        <w:rPr>
          <w:noProof/>
          <w:lang w:val="de-DE"/>
        </w:rPr>
        <w:t>gerdgas, zu erhöhen und zu diversifizieren. Die Maßnahme umfasst den Bau einer Kompressorstation in Sulmona und einer Gasleitung, die die Knotenpunkte Sestino und Minerbio als Teil der Adrialeitung miteinander verbindet.</w:t>
      </w:r>
    </w:p>
    <w:p w14:paraId="4C27D6F4" w14:textId="77777777" w:rsidR="0057163C" w:rsidRPr="00170422" w:rsidRDefault="00F37BF9">
      <w:pPr>
        <w:pStyle w:val="P68B1DB1-Heading4107"/>
        <w:numPr>
          <w:ilvl w:val="3"/>
          <w:numId w:val="0"/>
        </w:numPr>
        <w:ind w:left="850" w:hanging="850"/>
        <w:rPr>
          <w:noProof/>
          <w:lang w:val="de-DE"/>
        </w:rPr>
      </w:pPr>
      <w:r w:rsidRPr="00170422">
        <w:rPr>
          <w:noProof/>
          <w:lang w:val="de-DE"/>
        </w:rPr>
        <w:t>Investition 14. Infrastruktur für d</w:t>
      </w:r>
      <w:r w:rsidRPr="00170422">
        <w:rPr>
          <w:noProof/>
          <w:lang w:val="de-DE"/>
        </w:rPr>
        <w:t>en grenzüberschreitenden Gasexport</w:t>
      </w:r>
    </w:p>
    <w:p w14:paraId="2F6E3E5C" w14:textId="77777777" w:rsidR="0057163C" w:rsidRPr="00170422" w:rsidRDefault="00F37BF9">
      <w:pPr>
        <w:pStyle w:val="P68B1DB1-Text143"/>
        <w:spacing w:before="0"/>
        <w:ind w:left="0"/>
        <w:rPr>
          <w:noProof/>
          <w:lang w:val="de-DE"/>
        </w:rPr>
      </w:pPr>
      <w:r w:rsidRPr="00170422">
        <w:rPr>
          <w:noProof/>
          <w:lang w:val="de-DE"/>
        </w:rPr>
        <w:t>Ziel dieser Investition ist es, die Versorgungssicherheit für Gas, einschließlich Flüssigerdgas, zu erhöhen und zu diversifizieren. Diese Investition besteht in der Modernisierung der bestehenden Gasinfrastruktur, die den</w:t>
      </w:r>
      <w:r w:rsidRPr="00170422">
        <w:rPr>
          <w:noProof/>
          <w:lang w:val="de-DE"/>
        </w:rPr>
        <w:t xml:space="preserve"> Export von Erdgas über den Ausspeisepunkt Tarvisio ermöglicht, insbesondere durch den Bau einer neuen elektrischen Verdichtungsanlage in der Kompressorstation Poggio Renatico.</w:t>
      </w:r>
    </w:p>
    <w:p w14:paraId="335B2298" w14:textId="77777777" w:rsidR="0057163C" w:rsidRPr="00170422" w:rsidRDefault="00F37BF9">
      <w:pPr>
        <w:pStyle w:val="P68B1DB1-Heading4107"/>
        <w:numPr>
          <w:ilvl w:val="3"/>
          <w:numId w:val="0"/>
        </w:numPr>
        <w:ind w:left="850" w:hanging="850"/>
        <w:rPr>
          <w:noProof/>
          <w:lang w:val="de-DE"/>
        </w:rPr>
      </w:pPr>
      <w:r w:rsidRPr="00170422">
        <w:rPr>
          <w:noProof/>
          <w:lang w:val="de-DE"/>
        </w:rPr>
        <w:t xml:space="preserve">Investition 15. Transizione 5.0 </w:t>
      </w:r>
    </w:p>
    <w:bookmarkEnd w:id="28"/>
    <w:p w14:paraId="4A4AEC85" w14:textId="63AF0E84" w:rsidR="0057163C" w:rsidRPr="00170422" w:rsidRDefault="00F37BF9">
      <w:pPr>
        <w:pStyle w:val="P68B1DB1-Normal7"/>
        <w:spacing w:after="120"/>
        <w:jc w:val="both"/>
        <w:rPr>
          <w:noProof/>
          <w:lang w:val="de-DE"/>
        </w:rPr>
      </w:pPr>
      <w:r w:rsidRPr="00170422">
        <w:rPr>
          <w:noProof/>
          <w:lang w:val="de-DE"/>
        </w:rPr>
        <w:t>Ziel dieser Investition ist es, den Übergang z</w:t>
      </w:r>
      <w:r w:rsidRPr="00170422">
        <w:rPr>
          <w:noProof/>
          <w:lang w:val="de-DE"/>
        </w:rPr>
        <w:t>u energieeffizienten, nachhaltigen und auf erneuerbaren Energien basierenden Produktionsmodellen für Unternehmen zu unterstützen. Die Investition besteht in der Gewährung einer Steuergutschrift für Unternehmen, die den zwischen dem 1. Januar 2024 und dem 3</w:t>
      </w:r>
      <w:r w:rsidRPr="00170422">
        <w:rPr>
          <w:noProof/>
          <w:lang w:val="de-DE"/>
        </w:rPr>
        <w:t>1. Dezember 2025 angefallenen beihilfefähigen Ausgaben entspricht, d. h. digitalen Vermögenswerten (4,0 materielle Investitionsgüter, 4,0 immaterielle Investitionsgüter)</w:t>
      </w:r>
      <w:r w:rsidRPr="00170422">
        <w:rPr>
          <w:noProof/>
          <w:vertAlign w:val="superscript"/>
          <w:lang w:val="de-DE"/>
        </w:rPr>
        <w:footnoteReference w:id="97"/>
      </w:r>
      <w:r w:rsidRPr="00170422">
        <w:rPr>
          <w:noProof/>
          <w:lang w:val="de-DE"/>
        </w:rPr>
        <w:t>, Vermögenswerten, die für die Eigenproduktion und den Eigenverbrauch aus erneuerbaren</w:t>
      </w:r>
      <w:r w:rsidRPr="00170422">
        <w:rPr>
          <w:noProof/>
          <w:lang w:val="de-DE"/>
        </w:rPr>
        <w:t xml:space="preserve"> Quellen (mit Ausnahme von Biomasse) erforderlich sind, und in der Schulung des Personals in Kompetenzen für den ökologischen Wandel. Die Investition besteht auch in der Einrichtung einer IT-Unterstützungsplattform und damit zusammenhängenden Tätigkeiten f</w:t>
      </w:r>
      <w:r w:rsidRPr="00170422">
        <w:rPr>
          <w:noProof/>
          <w:lang w:val="de-DE"/>
        </w:rPr>
        <w:t>ür Verwaltungs-, Überwachungs- und Kontrollzwecke, die von GSE – Gestore Servizi Energetici bereitgestellt werden.</w:t>
      </w:r>
    </w:p>
    <w:p w14:paraId="42FBCC12" w14:textId="77777777" w:rsidR="0057163C" w:rsidRPr="00170422" w:rsidRDefault="0057163C">
      <w:pPr>
        <w:spacing w:after="120"/>
        <w:jc w:val="both"/>
        <w:rPr>
          <w:rFonts w:ascii="Times New Roman" w:hAnsi="Times New Roman" w:cs="Times New Roman"/>
          <w:noProof/>
          <w:lang w:val="de-DE"/>
        </w:rPr>
      </w:pPr>
    </w:p>
    <w:p w14:paraId="37609936" w14:textId="77777777" w:rsidR="0057163C" w:rsidRPr="00170422" w:rsidRDefault="00F37BF9">
      <w:pPr>
        <w:pStyle w:val="P68B1DB1-Heading4107"/>
        <w:numPr>
          <w:ilvl w:val="3"/>
          <w:numId w:val="0"/>
        </w:numPr>
        <w:rPr>
          <w:noProof/>
          <w:lang w:val="de-DE"/>
        </w:rPr>
      </w:pPr>
      <w:r w:rsidRPr="00170422">
        <w:rPr>
          <w:noProof/>
          <w:lang w:val="de-DE"/>
        </w:rPr>
        <w:t>Investition 16. Unterstützung von KMU bei der Eigenerzeugung aus erneuerbaren Energiequellen</w:t>
      </w:r>
    </w:p>
    <w:p w14:paraId="0FE27FDE" w14:textId="77777777" w:rsidR="0057163C" w:rsidRPr="00170422" w:rsidRDefault="00F37BF9">
      <w:pPr>
        <w:pStyle w:val="P68B1DB1-Normal7"/>
        <w:spacing w:after="120"/>
        <w:jc w:val="both"/>
        <w:rPr>
          <w:noProof/>
          <w:lang w:val="de-DE"/>
        </w:rPr>
      </w:pPr>
      <w:r w:rsidRPr="00170422">
        <w:rPr>
          <w:noProof/>
          <w:lang w:val="de-DE"/>
        </w:rPr>
        <w:t>Diese Maßnahme besteht aus einer öffentlichen I</w:t>
      </w:r>
      <w:r w:rsidRPr="00170422">
        <w:rPr>
          <w:noProof/>
          <w:lang w:val="de-DE"/>
        </w:rPr>
        <w:t xml:space="preserve">nvestition in eine Zuschussregelung </w:t>
      </w:r>
      <w:r w:rsidRPr="00170422">
        <w:rPr>
          <w:i/>
          <w:noProof/>
          <w:lang w:val="de-DE"/>
        </w:rPr>
        <w:t xml:space="preserve">„Unterstützung von KMU bei der Eigenerzeugung aus erneuerbaren Energiequellen“, um Anreize für </w:t>
      </w:r>
      <w:r w:rsidRPr="00170422">
        <w:rPr>
          <w:noProof/>
          <w:lang w:val="de-DE"/>
        </w:rPr>
        <w:t>private Investitionen zu schaffen und den Zugang zu Finanzmitteln für die Eigenerzeugung von Energie aus erneuerbaren Quellen</w:t>
      </w:r>
      <w:r w:rsidRPr="00170422">
        <w:rPr>
          <w:noProof/>
          <w:lang w:val="de-DE"/>
        </w:rPr>
        <w:t xml:space="preserve"> in Italien zu verbessern.</w:t>
      </w:r>
    </w:p>
    <w:p w14:paraId="7F50138E" w14:textId="27358390" w:rsidR="0057163C" w:rsidRPr="00170422" w:rsidRDefault="00F37BF9">
      <w:pPr>
        <w:spacing w:after="120"/>
        <w:jc w:val="both"/>
        <w:rPr>
          <w:rFonts w:ascii="Times New Roman" w:hAnsi="Times New Roman" w:cs="Times New Roman"/>
          <w:noProof/>
          <w:lang w:val="de-DE"/>
        </w:rPr>
      </w:pPr>
      <w:r w:rsidRPr="00170422">
        <w:rPr>
          <w:rFonts w:ascii="Times New Roman" w:hAnsi="Times New Roman" w:cs="Times New Roman"/>
          <w:noProof/>
          <w:lang w:val="de-DE"/>
        </w:rPr>
        <w:t>Mit der Regelung sollen Kleinstunternehmen sowie kleine und mittlere Unternehmen (KMU) bei der Durchführung von Investitionsprogrammen unterstützt werden, die auf die Eigenerzeugung von Energie aus erneuerbaren Quellen abzielen</w:t>
      </w:r>
      <w:r w:rsidRPr="00170422">
        <w:rPr>
          <w:rStyle w:val="FootnoteReference"/>
          <w:rFonts w:ascii="Times New Roman" w:hAnsi="Times New Roman" w:cs="Times New Roman"/>
          <w:noProof/>
          <w:lang w:val="de-DE"/>
        </w:rPr>
        <w:footnoteReference w:id="98"/>
      </w:r>
      <w:r w:rsidRPr="00170422">
        <w:rPr>
          <w:rFonts w:ascii="Times New Roman" w:hAnsi="Times New Roman" w:cs="Times New Roman"/>
          <w:noProof/>
          <w:lang w:val="de-DE"/>
        </w:rPr>
        <w:t>.</w:t>
      </w:r>
      <w:r w:rsidRPr="00170422">
        <w:rPr>
          <w:rFonts w:ascii="Times New Roman" w:hAnsi="Times New Roman" w:cs="Times New Roman"/>
          <w:noProof/>
          <w:lang w:val="de-DE"/>
        </w:rPr>
        <w:t xml:space="preserve"> </w:t>
      </w:r>
    </w:p>
    <w:p w14:paraId="3E0B195C" w14:textId="1A2AA8D3" w:rsidR="0057163C" w:rsidRPr="00170422" w:rsidRDefault="00F37BF9">
      <w:pPr>
        <w:pStyle w:val="P68B1DB1-Normal7"/>
        <w:spacing w:after="120"/>
        <w:rPr>
          <w:noProof/>
          <w:lang w:val="de-DE"/>
        </w:rPr>
      </w:pPr>
      <w:r w:rsidRPr="00170422">
        <w:rPr>
          <w:noProof/>
          <w:lang w:val="de-DE"/>
        </w:rPr>
        <w:t>Die Regelung wird durch die direkte Gewährung von Zuschüssen an den privaten Sektor durchgeführt.</w:t>
      </w:r>
    </w:p>
    <w:p w14:paraId="4AD8B21E" w14:textId="77777777" w:rsidR="0057163C" w:rsidRPr="00170422" w:rsidRDefault="00F37BF9">
      <w:pPr>
        <w:pStyle w:val="P68B1DB1-Normal7"/>
        <w:spacing w:after="120"/>
        <w:jc w:val="both"/>
        <w:rPr>
          <w:noProof/>
          <w:lang w:val="de-DE"/>
        </w:rPr>
      </w:pPr>
      <w:r w:rsidRPr="00170422">
        <w:rPr>
          <w:noProof/>
          <w:lang w:val="de-DE"/>
        </w:rPr>
        <w:t>Die Regelung wird von der Invitalia SpA als Durchführungspartner verwaltet. Die Regelung umfasst folgende Produktlinien:</w:t>
      </w:r>
    </w:p>
    <w:p w14:paraId="7635FE9D" w14:textId="680AA7D8" w:rsidR="0057163C" w:rsidRPr="00170422" w:rsidRDefault="00F37BF9">
      <w:pPr>
        <w:pStyle w:val="P68B1DB1-ListParagraph37"/>
        <w:numPr>
          <w:ilvl w:val="0"/>
          <w:numId w:val="38"/>
        </w:numPr>
        <w:spacing w:after="120" w:line="240" w:lineRule="auto"/>
        <w:jc w:val="both"/>
        <w:rPr>
          <w:noProof/>
          <w:lang w:val="de-DE"/>
        </w:rPr>
      </w:pPr>
      <w:r w:rsidRPr="00170422">
        <w:rPr>
          <w:noProof/>
          <w:lang w:val="de-DE"/>
        </w:rPr>
        <w:t>nicht rückzahlbare Beiträge in Höhe</w:t>
      </w:r>
      <w:r w:rsidRPr="00170422">
        <w:rPr>
          <w:noProof/>
          <w:lang w:val="de-DE"/>
        </w:rPr>
        <w:t xml:space="preserve"> von mindestens 30 % der Gesamtinvestition – für den Erwerb von Systemen und damit zusammenhängenden digitalen Technologien, die die direkte Erzeugung von Energie aus erneuerbaren Quellen für den unmittelbaren Eigenverbrauch oder durch Akkumulierungs-/Spei</w:t>
      </w:r>
      <w:r w:rsidRPr="00170422">
        <w:rPr>
          <w:noProof/>
          <w:lang w:val="de-DE"/>
        </w:rPr>
        <w:t>chersysteme ermöglichen.</w:t>
      </w:r>
    </w:p>
    <w:p w14:paraId="1075C573" w14:textId="77777777" w:rsidR="0057163C" w:rsidRPr="00170422" w:rsidRDefault="00F37BF9">
      <w:pPr>
        <w:pStyle w:val="P68B1DB1-Normal7"/>
        <w:spacing w:after="120"/>
        <w:jc w:val="both"/>
        <w:rPr>
          <w:noProof/>
          <w:lang w:val="de-DE"/>
        </w:rPr>
      </w:pPr>
      <w:r w:rsidRPr="00170422">
        <w:rPr>
          <w:noProof/>
          <w:lang w:val="de-DE"/>
        </w:rPr>
        <w:t>Zur Durchführung der Investition in die Regelung unterzeichnen Italien und Invitalia SpA ein Durchführungsabkommen, das Folgendes enthält:</w:t>
      </w:r>
    </w:p>
    <w:p w14:paraId="11247C5C" w14:textId="77777777" w:rsidR="0057163C" w:rsidRPr="00170422" w:rsidRDefault="00F37BF9">
      <w:pPr>
        <w:pStyle w:val="P68B1DB1-LegalNumPar79"/>
        <w:numPr>
          <w:ilvl w:val="0"/>
          <w:numId w:val="177"/>
        </w:numPr>
        <w:spacing w:after="120" w:line="240" w:lineRule="auto"/>
        <w:rPr>
          <w:rFonts w:eastAsia="Times New Roman"/>
          <w:noProof/>
          <w:lang w:val="de-DE"/>
        </w:rPr>
      </w:pPr>
      <w:r w:rsidRPr="00170422">
        <w:rPr>
          <w:noProof/>
          <w:lang w:val="de-DE"/>
        </w:rPr>
        <w:t xml:space="preserve">Beschreibung des Entscheidungsprozesses der Regelung: Die endgültige </w:t>
      </w:r>
      <w:r w:rsidRPr="00170422">
        <w:rPr>
          <w:noProof/>
          <w:lang w:val="de-DE"/>
        </w:rPr>
        <w:t>Investitionsentscheidung des Systems wird von einem Investitionsausschuss oder einem anderen gleichwertigen Leitungsgremium getroffen und mit der Mehrheit der Stimmen der von der Regierung unabhängigen Mitglieder genehmigt.</w:t>
      </w:r>
    </w:p>
    <w:p w14:paraId="3FC39603" w14:textId="77777777" w:rsidR="0057163C" w:rsidRPr="00170422" w:rsidRDefault="00F37BF9">
      <w:pPr>
        <w:pStyle w:val="P68B1DB1-LegalNumPar79"/>
        <w:spacing w:after="120" w:line="240" w:lineRule="auto"/>
        <w:jc w:val="both"/>
        <w:rPr>
          <w:noProof/>
          <w:lang w:val="de-DE"/>
        </w:rPr>
      </w:pPr>
      <w:r w:rsidRPr="00170422">
        <w:rPr>
          <w:noProof/>
          <w:lang w:val="de-DE"/>
        </w:rPr>
        <w:t>Kernanforderungen der zugehörige</w:t>
      </w:r>
      <w:r w:rsidRPr="00170422">
        <w:rPr>
          <w:noProof/>
          <w:lang w:val="de-DE"/>
        </w:rPr>
        <w:t>n Anlagepolitik,</w:t>
      </w:r>
      <w:r w:rsidRPr="00170422">
        <w:rPr>
          <w:b/>
          <w:noProof/>
          <w:lang w:val="de-DE"/>
        </w:rPr>
        <w:t xml:space="preserve"> </w:t>
      </w:r>
      <w:r w:rsidRPr="00170422">
        <w:rPr>
          <w:noProof/>
          <w:lang w:val="de-DE"/>
        </w:rPr>
        <w:t>die Folgendes umfassen:</w:t>
      </w:r>
    </w:p>
    <w:p w14:paraId="4D5EBA98" w14:textId="77777777" w:rsidR="0057163C" w:rsidRPr="00170422" w:rsidRDefault="00F37BF9">
      <w:pPr>
        <w:pStyle w:val="P68B1DB1-LegalNumPar280"/>
        <w:numPr>
          <w:ilvl w:val="1"/>
          <w:numId w:val="47"/>
        </w:numPr>
        <w:spacing w:after="120" w:line="240" w:lineRule="auto"/>
        <w:ind w:left="1418"/>
        <w:jc w:val="both"/>
        <w:rPr>
          <w:noProof/>
          <w:lang w:val="de-DE"/>
        </w:rPr>
      </w:pPr>
      <w:r w:rsidRPr="00170422">
        <w:rPr>
          <w:noProof/>
          <w:lang w:val="de-DE"/>
        </w:rPr>
        <w:t xml:space="preserve">Die Beschreibung der Art der gewährten Unterstützung und der förderfähigen Endbegünstigten. </w:t>
      </w:r>
    </w:p>
    <w:p w14:paraId="46293A53" w14:textId="77777777" w:rsidR="0057163C" w:rsidRPr="00170422" w:rsidRDefault="00F37BF9">
      <w:pPr>
        <w:pStyle w:val="P68B1DB1-LegalNumPar280"/>
        <w:numPr>
          <w:ilvl w:val="1"/>
          <w:numId w:val="47"/>
        </w:numPr>
        <w:spacing w:after="120" w:line="240" w:lineRule="auto"/>
        <w:ind w:left="1418"/>
        <w:jc w:val="both"/>
        <w:rPr>
          <w:noProof/>
          <w:lang w:val="de-DE"/>
        </w:rPr>
      </w:pPr>
      <w:r w:rsidRPr="00170422">
        <w:rPr>
          <w:noProof/>
          <w:lang w:val="de-DE"/>
        </w:rPr>
        <w:t>Die Anforderung, dass alle geförderten Investitionen wirtschaftlich tragfähig sind</w:t>
      </w:r>
      <w:r w:rsidRPr="00170422">
        <w:rPr>
          <w:b/>
          <w:noProof/>
          <w:lang w:val="de-DE"/>
        </w:rPr>
        <w:t>.</w:t>
      </w:r>
    </w:p>
    <w:p w14:paraId="36AF6B94" w14:textId="719B75A0" w:rsidR="0057163C" w:rsidRPr="00170422" w:rsidRDefault="00F37BF9">
      <w:pPr>
        <w:pStyle w:val="P68B1DB1-LegalNumPar280"/>
        <w:spacing w:after="120" w:line="240" w:lineRule="auto"/>
        <w:ind w:left="1418"/>
        <w:jc w:val="both"/>
        <w:rPr>
          <w:noProof/>
          <w:lang w:val="de-DE"/>
        </w:rPr>
      </w:pPr>
      <w:r w:rsidRPr="00170422">
        <w:rPr>
          <w:noProof/>
          <w:lang w:val="de-DE"/>
        </w:rPr>
        <w:t>Die Anforderung, den Grundsatz</w:t>
      </w:r>
      <w:r w:rsidRPr="00170422">
        <w:rPr>
          <w:noProof/>
          <w:lang w:val="de-DE"/>
        </w:rPr>
        <w:t xml:space="preserve"> der „Vermeidung erheblicher Beeinträchtigungen“ (DNSH) gemäß den technischen Leitlinien zur Vermeidung erheblicher Beeinträchtigungen (2021/C58/01) einzuhalten. Insbesondere im Falle der allgemeinen Unterstützung von Unternehmen schließt die Anlagepolitik</w:t>
      </w:r>
      <w:r w:rsidRPr="00170422">
        <w:rPr>
          <w:noProof/>
          <w:lang w:val="de-DE"/>
        </w:rPr>
        <w:t xml:space="preserve"> Unternehmen mit einem wesentlichen Schwerpunkt</w:t>
      </w:r>
      <w:r w:rsidRPr="00170422">
        <w:rPr>
          <w:noProof/>
          <w:vertAlign w:val="superscript"/>
          <w:lang w:val="de-DE"/>
        </w:rPr>
        <w:footnoteReference w:id="99"/>
      </w:r>
      <w:r w:rsidRPr="00170422">
        <w:rPr>
          <w:noProof/>
          <w:lang w:val="de-DE"/>
        </w:rPr>
        <w:t xml:space="preserve"> in folgenden Sektoren aus: I) auf fossilen Brennstoffen basierende Energieerzeugung und damit verbundene Tätigkeiten</w:t>
      </w:r>
      <w:r w:rsidRPr="00170422">
        <w:rPr>
          <w:noProof/>
          <w:vertAlign w:val="superscript"/>
          <w:lang w:val="de-DE"/>
        </w:rPr>
        <w:footnoteReference w:id="100"/>
      </w:r>
      <w:r w:rsidRPr="00170422">
        <w:rPr>
          <w:noProof/>
          <w:lang w:val="de-DE"/>
        </w:rPr>
        <w:t>; II) energieintensive und/oder CO2-Emissionen verursachende Industrien</w:t>
      </w:r>
      <w:r w:rsidRPr="00170422">
        <w:rPr>
          <w:noProof/>
          <w:vertAlign w:val="superscript"/>
          <w:lang w:val="de-DE"/>
        </w:rPr>
        <w:footnoteReference w:id="101"/>
      </w:r>
      <w:r w:rsidRPr="00170422">
        <w:rPr>
          <w:noProof/>
          <w:lang w:val="de-DE"/>
        </w:rPr>
        <w:t>; III) Herstellung</w:t>
      </w:r>
      <w:r w:rsidRPr="00170422">
        <w:rPr>
          <w:noProof/>
          <w:lang w:val="de-DE"/>
        </w:rPr>
        <w:t>, Vermietung oder Verkauf umweltschädlicher Fahrzeuge</w:t>
      </w:r>
      <w:r w:rsidRPr="00170422">
        <w:rPr>
          <w:noProof/>
          <w:vertAlign w:val="superscript"/>
          <w:lang w:val="de-DE"/>
        </w:rPr>
        <w:footnoteReference w:id="102"/>
      </w:r>
      <w:r w:rsidRPr="00170422">
        <w:rPr>
          <w:noProof/>
          <w:lang w:val="de-DE"/>
        </w:rPr>
        <w:t>; IV) Abfallsammlung, Abfallbehandlung und -entsorgung</w:t>
      </w:r>
      <w:r w:rsidRPr="00170422">
        <w:rPr>
          <w:noProof/>
          <w:vertAlign w:val="superscript"/>
          <w:lang w:val="de-DE"/>
        </w:rPr>
        <w:footnoteReference w:id="103"/>
      </w:r>
      <w:r w:rsidRPr="00170422">
        <w:rPr>
          <w:noProof/>
          <w:lang w:val="de-DE"/>
        </w:rPr>
        <w:t>, v) Aufbereitung von Kernbrennstoffen, Erzeugung von Kernenergie. Darüber hinaus muss die Investitionspolitik die</w:t>
      </w:r>
      <w:r w:rsidRPr="00170422">
        <w:rPr>
          <w:b/>
          <w:noProof/>
          <w:lang w:val="de-DE"/>
        </w:rPr>
        <w:t xml:space="preserve"> </w:t>
      </w:r>
      <w:r w:rsidRPr="00170422">
        <w:rPr>
          <w:noProof/>
          <w:lang w:val="de-DE"/>
        </w:rPr>
        <w:t>Einhaltung der einschlägigen Umw</w:t>
      </w:r>
      <w:r w:rsidRPr="00170422">
        <w:rPr>
          <w:noProof/>
          <w:lang w:val="de-DE"/>
        </w:rPr>
        <w:t xml:space="preserve">eltvorschriften der EU und der Mitgliedstaaten durch die Endbegünstigten der Regelung vorschreiben. </w:t>
      </w:r>
    </w:p>
    <w:p w14:paraId="02BED60D" w14:textId="77777777" w:rsidR="0057163C" w:rsidRPr="00170422" w:rsidRDefault="00F37BF9">
      <w:pPr>
        <w:pStyle w:val="P68B1DB1-LegalNumPar280"/>
        <w:numPr>
          <w:ilvl w:val="1"/>
          <w:numId w:val="47"/>
        </w:numPr>
        <w:spacing w:after="120" w:line="240" w:lineRule="auto"/>
        <w:ind w:left="1418"/>
        <w:jc w:val="both"/>
        <w:rPr>
          <w:bCs/>
          <w:noProof/>
          <w:lang w:val="de-DE"/>
        </w:rPr>
      </w:pPr>
      <w:r w:rsidRPr="00170422">
        <w:rPr>
          <w:noProof/>
          <w:lang w:val="de-DE"/>
        </w:rPr>
        <w:t>Die Anforderung, dass die Endbegünstigten der Regelung keine Unterstützung aus anderen Instrumenten der Union erhalten dürfen, um dieselben Kosten zu decke</w:t>
      </w:r>
      <w:r w:rsidRPr="00170422">
        <w:rPr>
          <w:noProof/>
          <w:lang w:val="de-DE"/>
        </w:rPr>
        <w:t>n.</w:t>
      </w:r>
    </w:p>
    <w:p w14:paraId="6E26568F" w14:textId="77777777" w:rsidR="0057163C" w:rsidRPr="00170422" w:rsidRDefault="00F37BF9">
      <w:pPr>
        <w:pStyle w:val="P68B1DB1-LegalNumPar112"/>
        <w:spacing w:after="120" w:line="240" w:lineRule="auto"/>
        <w:jc w:val="both"/>
        <w:rPr>
          <w:rFonts w:cs="Times New Roman"/>
          <w:noProof/>
          <w:lang w:val="de-DE"/>
        </w:rPr>
      </w:pPr>
      <w:r w:rsidRPr="00170422">
        <w:rPr>
          <w:noProof/>
          <w:lang w:val="de-DE"/>
        </w:rPr>
        <w:t>Den unter das Durchführungsabkommen fallenden Betrag, die Gebührenstruktur für den Durchführungspartner und die Anforderung, etwaige ungenutzte Einnahmen aus dem System, auch nach 2026, für dieselben politischen Zwecke zu investieren.</w:t>
      </w:r>
    </w:p>
    <w:p w14:paraId="4FD3A1BD" w14:textId="77777777" w:rsidR="0057163C" w:rsidRPr="00170422" w:rsidRDefault="00F37BF9">
      <w:pPr>
        <w:pStyle w:val="P68B1DB1-LegalNumPar112"/>
        <w:spacing w:after="120" w:line="240" w:lineRule="auto"/>
        <w:jc w:val="both"/>
        <w:rPr>
          <w:rFonts w:cs="Times New Roman"/>
          <w:noProof/>
          <w:lang w:val="de-DE"/>
        </w:rPr>
      </w:pPr>
      <w:r w:rsidRPr="00170422">
        <w:rPr>
          <w:noProof/>
          <w:lang w:val="de-DE"/>
        </w:rPr>
        <w:t>Überwachungs-, Prü</w:t>
      </w:r>
      <w:r w:rsidRPr="00170422">
        <w:rPr>
          <w:noProof/>
          <w:lang w:val="de-DE"/>
        </w:rPr>
        <w:t>f- und Kontrollanforderungen, einschließlich:</w:t>
      </w:r>
    </w:p>
    <w:p w14:paraId="04F0AEE6" w14:textId="77777777" w:rsidR="0057163C" w:rsidRPr="00170422" w:rsidRDefault="00F37BF9">
      <w:pPr>
        <w:pStyle w:val="P68B1DB1-Normal96"/>
        <w:numPr>
          <w:ilvl w:val="0"/>
          <w:numId w:val="46"/>
        </w:numPr>
        <w:spacing w:after="120" w:line="240" w:lineRule="auto"/>
        <w:jc w:val="both"/>
        <w:rPr>
          <w:rFonts w:hint="default"/>
          <w:noProof/>
          <w:lang w:val="de-DE"/>
        </w:rPr>
      </w:pPr>
      <w:r w:rsidRPr="00170422">
        <w:rPr>
          <w:rFonts w:hint="default"/>
          <w:noProof/>
          <w:lang w:val="de-DE"/>
        </w:rPr>
        <w:t>Die Beschreibung des Überwachungssystems des Durchführungspartners zur Berichterstattung über die mobilisierten Investitionen.</w:t>
      </w:r>
    </w:p>
    <w:p w14:paraId="20725BDD" w14:textId="77777777" w:rsidR="0057163C" w:rsidRPr="00170422" w:rsidRDefault="00F37BF9">
      <w:pPr>
        <w:pStyle w:val="P68B1DB1-Normal96"/>
        <w:numPr>
          <w:ilvl w:val="0"/>
          <w:numId w:val="46"/>
        </w:numPr>
        <w:spacing w:after="120" w:line="240" w:lineRule="auto"/>
        <w:jc w:val="both"/>
        <w:rPr>
          <w:rFonts w:hint="default"/>
          <w:noProof/>
          <w:lang w:val="de-DE"/>
        </w:rPr>
      </w:pPr>
      <w:r w:rsidRPr="00170422">
        <w:rPr>
          <w:rFonts w:hint="default"/>
          <w:noProof/>
          <w:lang w:val="de-DE"/>
        </w:rPr>
        <w:t>Die Beschreibung der Verfahren des Durchführungspartners, die die Prävention, Aufde</w:t>
      </w:r>
      <w:r w:rsidRPr="00170422">
        <w:rPr>
          <w:rFonts w:hint="default"/>
          <w:noProof/>
          <w:lang w:val="de-DE"/>
        </w:rPr>
        <w:t xml:space="preserve">ckung und Behebung von Betrug, Korruption und Interessenkonflikten gewährleisten. </w:t>
      </w:r>
    </w:p>
    <w:p w14:paraId="5E3AEA80" w14:textId="77777777" w:rsidR="0057163C" w:rsidRPr="00170422" w:rsidRDefault="00F37BF9">
      <w:pPr>
        <w:pStyle w:val="P68B1DB1-Normal7"/>
        <w:numPr>
          <w:ilvl w:val="0"/>
          <w:numId w:val="46"/>
        </w:numPr>
        <w:spacing w:after="120" w:line="240" w:lineRule="auto"/>
        <w:jc w:val="both"/>
        <w:rPr>
          <w:noProof/>
          <w:lang w:val="de-DE"/>
        </w:rPr>
      </w:pPr>
      <w:r w:rsidRPr="00170422">
        <w:rPr>
          <w:noProof/>
          <w:lang w:val="de-DE"/>
        </w:rPr>
        <w:t xml:space="preserve">Die Verpflichtung, die Förderfähigkeit jeder Maßnahme im Einklang mit den Anforderungen des Durchführungsübereinkommens zu überprüfen, bevor sie sich zur Finanzierung einer </w:t>
      </w:r>
      <w:r w:rsidRPr="00170422">
        <w:rPr>
          <w:noProof/>
          <w:lang w:val="de-DE"/>
        </w:rPr>
        <w:t>Operation verpflichtet.</w:t>
      </w:r>
    </w:p>
    <w:p w14:paraId="154319B4" w14:textId="77777777" w:rsidR="0057163C" w:rsidRPr="00170422" w:rsidRDefault="00F37BF9">
      <w:pPr>
        <w:pStyle w:val="P68B1DB1-Normal96"/>
        <w:numPr>
          <w:ilvl w:val="0"/>
          <w:numId w:val="46"/>
        </w:numPr>
        <w:spacing w:after="120" w:line="240" w:lineRule="auto"/>
        <w:jc w:val="both"/>
        <w:rPr>
          <w:rFonts w:hint="default"/>
          <w:noProof/>
          <w:lang w:val="de-DE"/>
        </w:rPr>
      </w:pPr>
      <w:r w:rsidRPr="00170422">
        <w:rPr>
          <w:rFonts w:hint="default"/>
          <w:noProof/>
          <w:lang w:val="de-DE"/>
        </w:rPr>
        <w:t>Die Verpflichtung zur Durchführung risikobasierter Ex-post-Prüfungen gemäß einem Auditplan der Invitalia SpA. Bei diesen Prüfungen wird Folgendes überprüft: i) die Wirksamkeit der Kontrollsysteme, einschließlich der Aufdeckung von B</w:t>
      </w:r>
      <w:r w:rsidRPr="00170422">
        <w:rPr>
          <w:rFonts w:hint="default"/>
          <w:noProof/>
          <w:lang w:val="de-DE"/>
        </w:rPr>
        <w:t>etrug, Korruption und Interessenkonflikten; II) Einhaltung des DNSH-Grundsatzes, der Vorschriften über staatliche Beihilfen und der Klimazielvorgaben; und iii) die Anforderung, dass die Endbegünstigten der Regelung keine Unterstützung aus anderen Instrumen</w:t>
      </w:r>
      <w:r w:rsidRPr="00170422">
        <w:rPr>
          <w:rFonts w:hint="default"/>
          <w:noProof/>
          <w:lang w:val="de-DE"/>
        </w:rPr>
        <w:t xml:space="preserve">ten der Union erhalten haben, um dieselben Kosten zu decken, eingehalten wird. Bei den Prüfungen wird auch die Rechtmäßigkeit der Vorgänge und die Einhaltung der Bedingungen des geltenden Durchführungsabkommens überprüft. </w:t>
      </w:r>
    </w:p>
    <w:p w14:paraId="5E61A0DD" w14:textId="77777777" w:rsidR="0057163C" w:rsidRPr="00170422" w:rsidRDefault="00F37BF9">
      <w:pPr>
        <w:pStyle w:val="P68B1DB1-Heading4107"/>
        <w:spacing w:before="0"/>
        <w:rPr>
          <w:noProof/>
          <w:lang w:val="de-DE"/>
        </w:rPr>
      </w:pPr>
      <w:r w:rsidRPr="00170422">
        <w:rPr>
          <w:noProof/>
          <w:lang w:val="de-DE"/>
        </w:rPr>
        <w:t xml:space="preserve">Investition 17. Finanzinstrument </w:t>
      </w:r>
      <w:r w:rsidRPr="00170422">
        <w:rPr>
          <w:noProof/>
          <w:lang w:val="de-DE"/>
        </w:rPr>
        <w:t>für die energetische Sanierung öffentlicher Wohngebäude</w:t>
      </w:r>
    </w:p>
    <w:p w14:paraId="6265375E" w14:textId="5E043A51" w:rsidR="0057163C" w:rsidRPr="00170422" w:rsidRDefault="00F37BF9">
      <w:pPr>
        <w:spacing w:after="120"/>
        <w:jc w:val="both"/>
        <w:rPr>
          <w:rFonts w:ascii="Times New Roman" w:hAnsi="Times New Roman" w:cs="Times New Roman"/>
          <w:noProof/>
          <w:lang w:val="de-DE"/>
        </w:rPr>
      </w:pPr>
      <w:r w:rsidRPr="00170422">
        <w:rPr>
          <w:rFonts w:ascii="Times New Roman" w:hAnsi="Times New Roman" w:cs="Times New Roman"/>
          <w:noProof/>
          <w:lang w:val="de-DE"/>
        </w:rPr>
        <w:t xml:space="preserve">Ziel der Maßnahme ist die Förderung der Renovierung öffentlicher Wohngebäude. Diese Maßnahme besteht aus einer öffentlichen Investition in eine Fazilität, das „Finanzinstrument zur Verringerung der </w:t>
      </w:r>
      <w:r w:rsidRPr="00170422">
        <w:rPr>
          <w:rFonts w:ascii="Times New Roman" w:hAnsi="Times New Roman" w:cs="Times New Roman"/>
          <w:noProof/>
          <w:lang w:val="de-DE"/>
        </w:rPr>
        <w:t>Energiearmut“, um Anreize für private Investitionen zu schaffen und den Zugang zu Finanzmitteln zu verbessern. Das Instrument zielt auf energetische Renovierungen öffentlicher Wohngebäude ab, die im Durchschnitt eine Verringerung der Primärenergienachfrage</w:t>
      </w:r>
      <w:r w:rsidRPr="00170422">
        <w:rPr>
          <w:rFonts w:ascii="Times New Roman" w:hAnsi="Times New Roman" w:cs="Times New Roman"/>
          <w:noProof/>
          <w:lang w:val="de-DE"/>
        </w:rPr>
        <w:t xml:space="preserve"> um mindestens 30 % erreichen</w:t>
      </w:r>
      <w:r w:rsidRPr="00170422">
        <w:rPr>
          <w:rStyle w:val="FootnoteReference"/>
          <w:rFonts w:ascii="Times New Roman" w:hAnsi="Times New Roman" w:cs="Times New Roman"/>
          <w:noProof/>
          <w:lang w:val="de-DE"/>
        </w:rPr>
        <w:footnoteReference w:id="104"/>
      </w:r>
      <w:r w:rsidRPr="00170422">
        <w:rPr>
          <w:rFonts w:ascii="Times New Roman" w:hAnsi="Times New Roman" w:cs="Times New Roman"/>
          <w:noProof/>
          <w:lang w:val="de-DE"/>
        </w:rPr>
        <w:t xml:space="preserve">. </w:t>
      </w:r>
    </w:p>
    <w:p w14:paraId="6009FF5E" w14:textId="77777777" w:rsidR="0057163C" w:rsidRPr="00170422" w:rsidRDefault="00F37BF9">
      <w:pPr>
        <w:pStyle w:val="P68B1DB1-Normal7"/>
        <w:rPr>
          <w:noProof/>
          <w:lang w:val="de-DE"/>
        </w:rPr>
      </w:pPr>
      <w:r w:rsidRPr="00170422">
        <w:rPr>
          <w:noProof/>
          <w:lang w:val="de-DE"/>
        </w:rPr>
        <w:t xml:space="preserve">Die Fazilität wird von zwei Durchführungspartnern verwaltet. </w:t>
      </w:r>
    </w:p>
    <w:p w14:paraId="7A969A67" w14:textId="77777777" w:rsidR="0057163C" w:rsidRPr="00170422" w:rsidRDefault="00F37BF9">
      <w:pPr>
        <w:pStyle w:val="P68B1DB1-ListParagraph37"/>
        <w:numPr>
          <w:ilvl w:val="0"/>
          <w:numId w:val="67"/>
        </w:numPr>
        <w:rPr>
          <w:noProof/>
          <w:lang w:val="de-DE"/>
        </w:rPr>
      </w:pPr>
      <w:r w:rsidRPr="00170422">
        <w:rPr>
          <w:noProof/>
          <w:lang w:val="de-DE"/>
        </w:rPr>
        <w:t>Gestore Servizi Energetici (GSE Spa) als technischer Partner, der für die Zuschusskomponente verantwortlich ist;</w:t>
      </w:r>
    </w:p>
    <w:p w14:paraId="7EAE58C6" w14:textId="7C3CA09A" w:rsidR="0057163C" w:rsidRPr="00170422" w:rsidRDefault="00F37BF9">
      <w:pPr>
        <w:pStyle w:val="P68B1DB1-ListParagraph37"/>
        <w:numPr>
          <w:ilvl w:val="0"/>
          <w:numId w:val="67"/>
        </w:numPr>
        <w:rPr>
          <w:noProof/>
          <w:lang w:val="de-DE"/>
        </w:rPr>
      </w:pPr>
      <w:r w:rsidRPr="00170422">
        <w:rPr>
          <w:noProof/>
          <w:lang w:val="de-DE"/>
        </w:rPr>
        <w:t>Cassa Depositi e Prestiti (CDP Spa) als Finanzpa</w:t>
      </w:r>
      <w:r w:rsidRPr="00170422">
        <w:rPr>
          <w:noProof/>
          <w:lang w:val="de-DE"/>
        </w:rPr>
        <w:t>rtner und verantwortlich für die (fakultative) Darlehenskomponente.</w:t>
      </w:r>
    </w:p>
    <w:p w14:paraId="2700A690" w14:textId="77777777" w:rsidR="0057163C" w:rsidRPr="00170422" w:rsidRDefault="00F37BF9">
      <w:pPr>
        <w:pStyle w:val="P68B1DB1-Normal7"/>
        <w:shd w:val="clear" w:color="auto" w:fill="FFFFFF" w:themeFill="background1"/>
        <w:spacing w:after="120"/>
        <w:jc w:val="both"/>
        <w:rPr>
          <w:noProof/>
          <w:lang w:val="de-DE"/>
        </w:rPr>
      </w:pPr>
      <w:r w:rsidRPr="00170422">
        <w:rPr>
          <w:noProof/>
          <w:lang w:val="de-DE"/>
        </w:rPr>
        <w:t>Im Rahmen der Fazilität wird Energiedienstleistungsunternehmen (ESCO) finanzielle Unterstützung in Form von Zuschüssen und/oder Darlehen für die energetische Sanierung öffentlicher Wohngeb</w:t>
      </w:r>
      <w:r w:rsidRPr="00170422">
        <w:rPr>
          <w:noProof/>
          <w:lang w:val="de-DE"/>
        </w:rPr>
        <w:t xml:space="preserve">äude gewährt, um die Primärenergienachfrage um durchschnittlich mindestens 30 % zu senken. </w:t>
      </w:r>
    </w:p>
    <w:p w14:paraId="5F02AD8A" w14:textId="790FD170" w:rsidR="0057163C" w:rsidRPr="00170422" w:rsidRDefault="00F37BF9">
      <w:pPr>
        <w:pStyle w:val="P68B1DB1-Normal7"/>
        <w:spacing w:line="257" w:lineRule="auto"/>
        <w:jc w:val="both"/>
        <w:rPr>
          <w:noProof/>
          <w:lang w:val="de-DE"/>
        </w:rPr>
      </w:pPr>
      <w:r w:rsidRPr="00170422">
        <w:rPr>
          <w:noProof/>
          <w:lang w:val="de-DE"/>
        </w:rPr>
        <w:t xml:space="preserve">Die Fazilität umfasst die folgenden Produktlinien zur Förderung öffentlicher Wohngebäude:  </w:t>
      </w:r>
    </w:p>
    <w:p w14:paraId="04C87A90" w14:textId="77777777" w:rsidR="0057163C" w:rsidRPr="00170422" w:rsidRDefault="00F37BF9">
      <w:pPr>
        <w:pStyle w:val="P68B1DB1-ListParagraph100"/>
        <w:numPr>
          <w:ilvl w:val="0"/>
          <w:numId w:val="66"/>
        </w:numPr>
        <w:spacing w:after="0" w:line="257" w:lineRule="auto"/>
        <w:jc w:val="both"/>
        <w:rPr>
          <w:noProof/>
          <w:lang w:val="de-DE"/>
        </w:rPr>
      </w:pPr>
      <w:r w:rsidRPr="00170422">
        <w:rPr>
          <w:noProof/>
          <w:lang w:val="de-DE"/>
        </w:rPr>
        <w:t xml:space="preserve">Eine vom technischen Partner Gestore Servizi Energetici Spa </w:t>
      </w:r>
      <w:r w:rsidRPr="00170422">
        <w:rPr>
          <w:noProof/>
          <w:lang w:val="de-DE"/>
        </w:rPr>
        <w:t>bereitgestellte Zuschusskomponente, die höchstens 65 % der Gesamtkosten abdeckt;</w:t>
      </w:r>
    </w:p>
    <w:p w14:paraId="1A12A601" w14:textId="77777777" w:rsidR="0057163C" w:rsidRPr="00170422" w:rsidRDefault="00F37BF9">
      <w:pPr>
        <w:pStyle w:val="P68B1DB1-ListParagraph100"/>
        <w:numPr>
          <w:ilvl w:val="0"/>
          <w:numId w:val="66"/>
        </w:numPr>
        <w:spacing w:after="0" w:line="257" w:lineRule="auto"/>
        <w:jc w:val="both"/>
        <w:rPr>
          <w:noProof/>
          <w:lang w:val="de-DE"/>
        </w:rPr>
      </w:pPr>
      <w:r w:rsidRPr="00170422">
        <w:rPr>
          <w:noProof/>
          <w:lang w:val="de-DE"/>
        </w:rPr>
        <w:t>Eine fakultative Darlehenskomponente, die 35 % der Gesamtkosten abdeckt. Die Darlehenskomponente kann vom Finanzpartner Cassa Depositi e Prestiti bereitgestellt werden.</w:t>
      </w:r>
    </w:p>
    <w:p w14:paraId="587736F9" w14:textId="77777777" w:rsidR="0057163C" w:rsidRPr="00170422" w:rsidRDefault="0057163C">
      <w:pPr>
        <w:pStyle w:val="ListParagraph"/>
        <w:spacing w:after="0" w:line="257" w:lineRule="auto"/>
        <w:rPr>
          <w:rFonts w:ascii="Times New Roman" w:hAnsi="Times New Roman" w:cs="Times New Roman"/>
          <w:noProof/>
          <w:lang w:val="de-DE"/>
        </w:rPr>
      </w:pPr>
    </w:p>
    <w:p w14:paraId="7084DAA7" w14:textId="77777777" w:rsidR="0057163C" w:rsidRPr="00170422" w:rsidRDefault="00F37BF9">
      <w:pPr>
        <w:pStyle w:val="P68B1DB1-Normal7"/>
        <w:spacing w:after="120"/>
        <w:jc w:val="both"/>
        <w:rPr>
          <w:noProof/>
          <w:lang w:val="de-DE"/>
        </w:rPr>
      </w:pPr>
      <w:r w:rsidRPr="00170422">
        <w:rPr>
          <w:noProof/>
          <w:lang w:val="de-DE"/>
        </w:rPr>
        <w:t>Zur D</w:t>
      </w:r>
      <w:r w:rsidRPr="00170422">
        <w:rPr>
          <w:noProof/>
          <w:lang w:val="de-DE"/>
        </w:rPr>
        <w:t>urchführung der Investition in die Fazilität unterzeichnen Italien und der (die) Durchführungspartner Durchführungsabkommen, die Folgendes enthalten:</w:t>
      </w:r>
    </w:p>
    <w:p w14:paraId="33C51D99" w14:textId="77777777" w:rsidR="0057163C" w:rsidRPr="00170422" w:rsidRDefault="00F37BF9">
      <w:pPr>
        <w:pStyle w:val="P68B1DB1-ListParagraph37"/>
        <w:numPr>
          <w:ilvl w:val="0"/>
          <w:numId w:val="43"/>
        </w:numPr>
        <w:spacing w:after="120" w:line="240" w:lineRule="auto"/>
        <w:ind w:left="709" w:hanging="425"/>
        <w:contextualSpacing w:val="0"/>
        <w:jc w:val="both"/>
        <w:rPr>
          <w:noProof/>
          <w:lang w:val="de-DE"/>
        </w:rPr>
      </w:pPr>
      <w:r w:rsidRPr="00170422">
        <w:rPr>
          <w:noProof/>
          <w:lang w:val="de-DE"/>
        </w:rPr>
        <w:t>Beschreibung des Entscheidungsprozesses der Fazilität: Die endgültige Investitionsentscheidung der Fazilit</w:t>
      </w:r>
      <w:r w:rsidRPr="00170422">
        <w:rPr>
          <w:noProof/>
          <w:lang w:val="de-DE"/>
        </w:rPr>
        <w:t>ät wird von einem Investitionsausschuss oder einem anderen einschlägigen gleichwertigen Leitungsgremium getroffen und mit der Mehrheit der Stimmen der von der Regierung unabhängigen Mitglieder genehmigt.</w:t>
      </w:r>
    </w:p>
    <w:p w14:paraId="2C0D43D6" w14:textId="77777777" w:rsidR="0057163C" w:rsidRPr="00170422" w:rsidRDefault="00F37BF9">
      <w:pPr>
        <w:pStyle w:val="P68B1DB1-ListParagraph37"/>
        <w:numPr>
          <w:ilvl w:val="0"/>
          <w:numId w:val="43"/>
        </w:numPr>
        <w:spacing w:after="120" w:line="240" w:lineRule="auto"/>
        <w:ind w:left="709" w:hanging="425"/>
        <w:contextualSpacing w:val="0"/>
        <w:jc w:val="both"/>
        <w:rPr>
          <w:noProof/>
          <w:lang w:val="de-DE"/>
        </w:rPr>
      </w:pPr>
      <w:r w:rsidRPr="00170422">
        <w:rPr>
          <w:noProof/>
          <w:lang w:val="de-DE"/>
        </w:rPr>
        <w:t>Kernanforderungen der zugehörigen Anlagepolitik,</w:t>
      </w:r>
      <w:r w:rsidRPr="00170422">
        <w:rPr>
          <w:b/>
          <w:noProof/>
          <w:lang w:val="de-DE"/>
        </w:rPr>
        <w:t xml:space="preserve"> </w:t>
      </w:r>
      <w:r w:rsidRPr="00170422">
        <w:rPr>
          <w:noProof/>
          <w:lang w:val="de-DE"/>
        </w:rPr>
        <w:t>die</w:t>
      </w:r>
      <w:r w:rsidRPr="00170422">
        <w:rPr>
          <w:noProof/>
          <w:lang w:val="de-DE"/>
        </w:rPr>
        <w:t xml:space="preserve"> Folgendes umfassen:</w:t>
      </w:r>
    </w:p>
    <w:p w14:paraId="13F026A3" w14:textId="64A9190D" w:rsidR="0057163C" w:rsidRPr="00170422" w:rsidRDefault="00F37BF9">
      <w:pPr>
        <w:pStyle w:val="P68B1DB1-ListParagraph37"/>
        <w:numPr>
          <w:ilvl w:val="1"/>
          <w:numId w:val="43"/>
        </w:numPr>
        <w:spacing w:after="120" w:line="240" w:lineRule="auto"/>
        <w:ind w:left="1418"/>
        <w:contextualSpacing w:val="0"/>
        <w:jc w:val="both"/>
        <w:rPr>
          <w:noProof/>
          <w:lang w:val="de-DE"/>
        </w:rPr>
      </w:pPr>
      <w:r w:rsidRPr="00170422">
        <w:rPr>
          <w:noProof/>
          <w:lang w:val="de-DE"/>
        </w:rPr>
        <w:t>Die Beschreibung des/der Finanzprodukt(s) und der förderfähigen Endbegünstigten.</w:t>
      </w:r>
    </w:p>
    <w:p w14:paraId="7F06F009" w14:textId="77777777" w:rsidR="0057163C" w:rsidRPr="00170422" w:rsidRDefault="00F37BF9">
      <w:pPr>
        <w:pStyle w:val="P68B1DB1-ListParagraph37"/>
        <w:numPr>
          <w:ilvl w:val="1"/>
          <w:numId w:val="43"/>
        </w:numPr>
        <w:spacing w:after="120" w:line="240" w:lineRule="auto"/>
        <w:ind w:left="1418"/>
        <w:contextualSpacing w:val="0"/>
        <w:jc w:val="both"/>
        <w:rPr>
          <w:noProof/>
          <w:lang w:val="de-DE"/>
        </w:rPr>
      </w:pPr>
      <w:r w:rsidRPr="00170422">
        <w:rPr>
          <w:noProof/>
          <w:lang w:val="de-DE"/>
        </w:rPr>
        <w:t>Die Anforderung, dass alle geförderten Investitionen wirtschaftlich tragfähig sind</w:t>
      </w:r>
      <w:r w:rsidRPr="00170422">
        <w:rPr>
          <w:b/>
          <w:noProof/>
          <w:lang w:val="de-DE"/>
        </w:rPr>
        <w:t>.</w:t>
      </w:r>
    </w:p>
    <w:p w14:paraId="48338BA5" w14:textId="77777777" w:rsidR="0057163C" w:rsidRPr="00170422" w:rsidRDefault="00F37BF9">
      <w:pPr>
        <w:pStyle w:val="ListParagraph"/>
        <w:numPr>
          <w:ilvl w:val="1"/>
          <w:numId w:val="43"/>
        </w:numPr>
        <w:spacing w:after="120" w:line="240" w:lineRule="auto"/>
        <w:ind w:left="1418"/>
        <w:contextualSpacing w:val="0"/>
        <w:jc w:val="both"/>
        <w:rPr>
          <w:rFonts w:ascii="Times New Roman" w:hAnsi="Times New Roman" w:cs="Times New Roman"/>
          <w:noProof/>
          <w:lang w:val="de-DE"/>
        </w:rPr>
      </w:pPr>
      <w:r w:rsidRPr="00170422">
        <w:rPr>
          <w:rFonts w:ascii="Times New Roman" w:hAnsi="Times New Roman" w:cs="Times New Roman"/>
          <w:noProof/>
          <w:lang w:val="de-DE"/>
        </w:rPr>
        <w:t>Die Anforderung, den Grundsatz der „Vermeidung erheblicher Beeinträcht</w:t>
      </w:r>
      <w:r w:rsidRPr="00170422">
        <w:rPr>
          <w:rFonts w:ascii="Times New Roman" w:hAnsi="Times New Roman" w:cs="Times New Roman"/>
          <w:noProof/>
          <w:lang w:val="de-DE"/>
        </w:rPr>
        <w:t>igungen“ (DNSH) gemäß den technischen Leitlinien zur Vermeidung erheblicher Beeinträchtigungen (2021/C58/01) einzuhalten. Insbesondere schließt die Anlagepolitik die folgende Liste von Tätigkeiten und Vermögenswerten von der Förderfähigkeit aus: Tätigkeite</w:t>
      </w:r>
      <w:r w:rsidRPr="00170422">
        <w:rPr>
          <w:rFonts w:ascii="Times New Roman" w:hAnsi="Times New Roman" w:cs="Times New Roman"/>
          <w:noProof/>
          <w:lang w:val="de-DE"/>
        </w:rPr>
        <w:t>n und Vermögenswerte im Zusammenhang mit fossilen Brennstoffen, einschließlich nachgelagerter Nutzung,</w:t>
      </w:r>
      <w:r w:rsidRPr="00170422">
        <w:rPr>
          <w:rStyle w:val="FootnoteReference"/>
          <w:rFonts w:ascii="Times New Roman" w:hAnsi="Times New Roman" w:cs="Times New Roman"/>
          <w:noProof/>
          <w:lang w:val="de-DE"/>
        </w:rPr>
        <w:footnoteReference w:id="105"/>
      </w:r>
      <w:r w:rsidRPr="00170422">
        <w:rPr>
          <w:rFonts w:ascii="Times New Roman" w:hAnsi="Times New Roman" w:cs="Times New Roman"/>
          <w:noProof/>
          <w:lang w:val="de-DE"/>
        </w:rPr>
        <w:t xml:space="preserve">ii) Tätigkeiten und Vermögenswerte im Rahmen des EU-Emissionshandelssystems (EHS), mit denen prognostizierte Treibhausgasemissionen erreicht werden, die </w:t>
      </w:r>
      <w:r w:rsidRPr="00170422">
        <w:rPr>
          <w:rFonts w:ascii="Times New Roman" w:hAnsi="Times New Roman" w:cs="Times New Roman"/>
          <w:noProof/>
          <w:lang w:val="de-DE"/>
        </w:rPr>
        <w:t>nicht unter den einschlägigen Richtwerten liegen,</w:t>
      </w:r>
      <w:r w:rsidRPr="00170422">
        <w:rPr>
          <w:rFonts w:ascii="Times New Roman" w:hAnsi="Times New Roman" w:cs="Times New Roman"/>
          <w:noProof/>
          <w:vertAlign w:val="superscript"/>
          <w:lang w:val="de-DE"/>
        </w:rPr>
        <w:footnoteReference w:id="106"/>
      </w:r>
      <w:r w:rsidRPr="00170422">
        <w:rPr>
          <w:rFonts w:ascii="Times New Roman" w:hAnsi="Times New Roman" w:cs="Times New Roman"/>
          <w:noProof/>
          <w:lang w:val="de-DE"/>
        </w:rPr>
        <w:t>iii) Tätigkeiten und Vermögenswerte im Zusammenhang mit Abfalldeponien, Verbrennungsanlagen</w:t>
      </w:r>
      <w:r w:rsidRPr="00170422">
        <w:rPr>
          <w:rStyle w:val="FootnoteReference"/>
          <w:rFonts w:ascii="Times New Roman" w:hAnsi="Times New Roman" w:cs="Times New Roman"/>
          <w:noProof/>
          <w:lang w:val="de-DE"/>
        </w:rPr>
        <w:footnoteReference w:id="107"/>
      </w:r>
      <w:r w:rsidRPr="00170422">
        <w:rPr>
          <w:rFonts w:ascii="Times New Roman" w:hAnsi="Times New Roman" w:cs="Times New Roman"/>
          <w:noProof/>
          <w:lang w:val="de-DE"/>
        </w:rPr>
        <w:t xml:space="preserve"> und mechanisch-biologischen Behandlungsanlagen</w:t>
      </w:r>
      <w:r w:rsidRPr="00170422">
        <w:rPr>
          <w:rStyle w:val="FootnoteReference"/>
          <w:rFonts w:ascii="Times New Roman" w:hAnsi="Times New Roman" w:cs="Times New Roman"/>
          <w:noProof/>
          <w:lang w:val="de-DE"/>
        </w:rPr>
        <w:footnoteReference w:id="108"/>
      </w:r>
      <w:r w:rsidRPr="00170422">
        <w:rPr>
          <w:rFonts w:ascii="Times New Roman" w:hAnsi="Times New Roman" w:cs="Times New Roman"/>
          <w:noProof/>
          <w:lang w:val="de-DE"/>
        </w:rPr>
        <w:t xml:space="preserve">. </w:t>
      </w:r>
    </w:p>
    <w:p w14:paraId="7C8114E0" w14:textId="77777777" w:rsidR="0057163C" w:rsidRPr="00170422" w:rsidRDefault="00F37BF9">
      <w:pPr>
        <w:pStyle w:val="P68B1DB1-ListParagraph37"/>
        <w:numPr>
          <w:ilvl w:val="1"/>
          <w:numId w:val="43"/>
        </w:numPr>
        <w:spacing w:after="120" w:line="240" w:lineRule="auto"/>
        <w:ind w:left="1418"/>
        <w:jc w:val="both"/>
        <w:rPr>
          <w:noProof/>
          <w:lang w:val="de-DE"/>
        </w:rPr>
      </w:pPr>
      <w:r w:rsidRPr="00170422">
        <w:rPr>
          <w:noProof/>
          <w:lang w:val="de-DE"/>
        </w:rPr>
        <w:t>Die Anforderung, dass die Endbegünstigten der Fazilität keine U</w:t>
      </w:r>
      <w:r w:rsidRPr="00170422">
        <w:rPr>
          <w:noProof/>
          <w:lang w:val="de-DE"/>
        </w:rPr>
        <w:t xml:space="preserve">nterstützung aus anderen Instrumenten der Union erhalten dürfen, um dieselben Kosten zu decken. </w:t>
      </w:r>
      <w:r w:rsidRPr="00170422">
        <w:rPr>
          <w:noProof/>
          <w:color w:val="000000" w:themeColor="text1"/>
          <w:lang w:val="de-DE"/>
        </w:rPr>
        <w:t>Die über die Darlehenskomponente des Instruments gewährte finanzielle Unterstützung deckt nicht dieselben Kosten ab, die durch die Zuschusskomponente dieses Ins</w:t>
      </w:r>
      <w:r w:rsidRPr="00170422">
        <w:rPr>
          <w:noProof/>
          <w:color w:val="000000" w:themeColor="text1"/>
          <w:lang w:val="de-DE"/>
        </w:rPr>
        <w:t>truments unterstützt werden.</w:t>
      </w:r>
    </w:p>
    <w:p w14:paraId="7F0AD0B4" w14:textId="77777777" w:rsidR="0057163C" w:rsidRPr="00170422" w:rsidRDefault="0057163C">
      <w:pPr>
        <w:pStyle w:val="ListParagraph"/>
        <w:ind w:left="1418"/>
        <w:rPr>
          <w:rFonts w:ascii="Times New Roman" w:hAnsi="Times New Roman" w:cs="Times New Roman"/>
          <w:noProof/>
          <w:lang w:val="de-DE"/>
        </w:rPr>
      </w:pPr>
    </w:p>
    <w:p w14:paraId="5CF588FE" w14:textId="77777777" w:rsidR="0057163C" w:rsidRPr="00170422" w:rsidRDefault="00F37BF9">
      <w:pPr>
        <w:pStyle w:val="P68B1DB1-ListParagraph37"/>
        <w:numPr>
          <w:ilvl w:val="0"/>
          <w:numId w:val="43"/>
        </w:numPr>
        <w:spacing w:after="120" w:line="240" w:lineRule="auto"/>
        <w:ind w:left="709"/>
        <w:contextualSpacing w:val="0"/>
        <w:jc w:val="both"/>
        <w:rPr>
          <w:noProof/>
          <w:lang w:val="de-DE"/>
        </w:rPr>
      </w:pPr>
      <w:r w:rsidRPr="00170422">
        <w:rPr>
          <w:noProof/>
          <w:lang w:val="de-DE"/>
        </w:rPr>
        <w:t>Den unter die Durchführungsvereinbarung fallenden Betrag, die Gebührenstruktur für den Durchführungspartner und die Anforderung, etwaige Rückflüsse entsprechend der Investitionspolitik der Fazilität zu reinvestieren, es sei de</w:t>
      </w:r>
      <w:r w:rsidRPr="00170422">
        <w:rPr>
          <w:noProof/>
          <w:lang w:val="de-DE"/>
        </w:rPr>
        <w:t>nn, sie werden zur Bedienung von Darlehensrückzahlungen aus der Aufbau- und Resilienzfazilität verwendet.</w:t>
      </w:r>
    </w:p>
    <w:p w14:paraId="52955F00" w14:textId="77777777" w:rsidR="0057163C" w:rsidRPr="00170422" w:rsidRDefault="00F37BF9">
      <w:pPr>
        <w:pStyle w:val="P68B1DB1-ListParagraph37"/>
        <w:numPr>
          <w:ilvl w:val="0"/>
          <w:numId w:val="43"/>
        </w:numPr>
        <w:spacing w:after="120" w:line="240" w:lineRule="auto"/>
        <w:ind w:left="709"/>
        <w:contextualSpacing w:val="0"/>
        <w:jc w:val="both"/>
        <w:rPr>
          <w:noProof/>
          <w:lang w:val="de-DE"/>
        </w:rPr>
      </w:pPr>
      <w:r w:rsidRPr="00170422">
        <w:rPr>
          <w:noProof/>
          <w:lang w:val="de-DE"/>
        </w:rPr>
        <w:t>Überwachungs-, Prüf- und Kontrollanforderungen, einschließlich:</w:t>
      </w:r>
    </w:p>
    <w:p w14:paraId="476A5DF6" w14:textId="77777777" w:rsidR="0057163C" w:rsidRPr="00170422" w:rsidRDefault="00F37BF9">
      <w:pPr>
        <w:pStyle w:val="P68B1DB1-ListParagraph37"/>
        <w:numPr>
          <w:ilvl w:val="1"/>
          <w:numId w:val="43"/>
        </w:numPr>
        <w:spacing w:after="120" w:line="240" w:lineRule="auto"/>
        <w:contextualSpacing w:val="0"/>
        <w:jc w:val="both"/>
        <w:rPr>
          <w:noProof/>
          <w:lang w:val="de-DE"/>
        </w:rPr>
      </w:pPr>
      <w:r w:rsidRPr="00170422">
        <w:rPr>
          <w:noProof/>
          <w:lang w:val="de-DE"/>
        </w:rPr>
        <w:t xml:space="preserve">Die Beschreibung des Überwachungssystems des Durchführungspartners zur </w:t>
      </w:r>
      <w:r w:rsidRPr="00170422">
        <w:rPr>
          <w:noProof/>
          <w:lang w:val="de-DE"/>
        </w:rPr>
        <w:t>Berichterstattung über die mobilisierten Investitionen.</w:t>
      </w:r>
    </w:p>
    <w:p w14:paraId="56A393D6" w14:textId="77777777" w:rsidR="0057163C" w:rsidRPr="00170422" w:rsidRDefault="00F37BF9">
      <w:pPr>
        <w:pStyle w:val="P68B1DB1-ListParagraph37"/>
        <w:numPr>
          <w:ilvl w:val="1"/>
          <w:numId w:val="43"/>
        </w:numPr>
        <w:spacing w:after="120" w:line="240" w:lineRule="auto"/>
        <w:contextualSpacing w:val="0"/>
        <w:jc w:val="both"/>
        <w:rPr>
          <w:noProof/>
          <w:lang w:val="de-DE"/>
        </w:rPr>
      </w:pPr>
      <w:r w:rsidRPr="00170422">
        <w:rPr>
          <w:noProof/>
          <w:lang w:val="de-DE"/>
        </w:rPr>
        <w:t xml:space="preserve">Die Beschreibung der Verfahren des Durchführungspartners, die die Prävention, Aufdeckung und Behebung von Betrug, Korruption und Interessenkonflikten gewährleisten. </w:t>
      </w:r>
    </w:p>
    <w:p w14:paraId="5C6B610A" w14:textId="77777777" w:rsidR="0057163C" w:rsidRPr="00170422" w:rsidRDefault="00F37BF9">
      <w:pPr>
        <w:pStyle w:val="P68B1DB1-ListParagraph37"/>
        <w:numPr>
          <w:ilvl w:val="1"/>
          <w:numId w:val="43"/>
        </w:numPr>
        <w:spacing w:after="120" w:line="240" w:lineRule="auto"/>
        <w:contextualSpacing w:val="0"/>
        <w:jc w:val="both"/>
        <w:rPr>
          <w:noProof/>
          <w:lang w:val="de-DE"/>
        </w:rPr>
      </w:pPr>
      <w:r w:rsidRPr="00170422">
        <w:rPr>
          <w:noProof/>
          <w:lang w:val="de-DE"/>
        </w:rPr>
        <w:t>Die Verpflichtung, die Förderfähig</w:t>
      </w:r>
      <w:r w:rsidRPr="00170422">
        <w:rPr>
          <w:noProof/>
          <w:lang w:val="de-DE"/>
        </w:rPr>
        <w:t>keit jeder Maßnahme im Einklang mit den Anforderungen des Durchführungsübereinkommens zu überprüfen, bevor sie sich zur Finanzierung einer Operation verpflichtet.</w:t>
      </w:r>
    </w:p>
    <w:p w14:paraId="1E76B6D8" w14:textId="4653F2A3" w:rsidR="0057163C" w:rsidRPr="00170422" w:rsidRDefault="00F37BF9">
      <w:pPr>
        <w:pStyle w:val="P68B1DB1-ListParagraph37"/>
        <w:numPr>
          <w:ilvl w:val="1"/>
          <w:numId w:val="43"/>
        </w:numPr>
        <w:spacing w:after="120" w:line="240" w:lineRule="auto"/>
        <w:jc w:val="both"/>
        <w:rPr>
          <w:noProof/>
          <w:lang w:val="de-DE"/>
        </w:rPr>
      </w:pPr>
      <w:r w:rsidRPr="00170422">
        <w:rPr>
          <w:noProof/>
          <w:lang w:val="de-DE"/>
        </w:rPr>
        <w:t>Die Verpflichtung, risikobasierte Ex-post-Prüfungen gemäß einem Auditplan der Gestore dei Ser</w:t>
      </w:r>
      <w:r w:rsidRPr="00170422">
        <w:rPr>
          <w:noProof/>
          <w:lang w:val="de-DE"/>
        </w:rPr>
        <w:t>vizi Energetici (GSE) und der Cassa Depositi e Prestiti (CDP) durchzuführen. Bei diesen Prüfungen wird Folgendes überprüft: i) die Wirksamkeit der Kontrollsysteme, einschließlich der Aufdeckung von Betrug, Korruption und Interessenkonflikten; II) Einhaltun</w:t>
      </w:r>
      <w:r w:rsidRPr="00170422">
        <w:rPr>
          <w:noProof/>
          <w:lang w:val="de-DE"/>
        </w:rPr>
        <w:t>g des DNSH-Grundsatzes, der Vorschriften über staatliche Beihilfen und der Klimazielvorgaben; und iii) dass die Anforderung, dass die Endbegünstigten der Fazilität keine Unterstützung aus anderen Instrumenten der Union erhalten haben, um dieselben Kosten z</w:t>
      </w:r>
      <w:r w:rsidRPr="00170422">
        <w:rPr>
          <w:noProof/>
          <w:lang w:val="de-DE"/>
        </w:rPr>
        <w:t xml:space="preserve">u decken, eingehalten wird. Bei den Prüfungen wird auch die Rechtmäßigkeit der Vorgänge und die Einhaltung der Bedingungen des geltenden Durchführungsabkommens überprüft. </w:t>
      </w:r>
    </w:p>
    <w:p w14:paraId="65601374" w14:textId="77777777" w:rsidR="0057163C" w:rsidRPr="00170422" w:rsidRDefault="0057163C">
      <w:pPr>
        <w:pStyle w:val="ListParagraph"/>
        <w:ind w:left="1440"/>
        <w:rPr>
          <w:rFonts w:ascii="Times New Roman" w:hAnsi="Times New Roman" w:cs="Times New Roman"/>
          <w:noProof/>
          <w:lang w:val="de-DE"/>
        </w:rPr>
        <w:sectPr w:rsidR="0057163C" w:rsidRPr="00170422" w:rsidSect="00854F34">
          <w:headerReference w:type="even" r:id="rId324"/>
          <w:headerReference w:type="default" r:id="rId325"/>
          <w:footerReference w:type="even" r:id="rId326"/>
          <w:footerReference w:type="default" r:id="rId327"/>
          <w:headerReference w:type="first" r:id="rId328"/>
          <w:footerReference w:type="first" r:id="rId329"/>
          <w:pgSz w:w="11906" w:h="16838" w:code="12"/>
          <w:pgMar w:top="1440" w:right="1440" w:bottom="1440" w:left="1440" w:header="567" w:footer="567" w:gutter="0"/>
          <w:cols w:space="720"/>
          <w:docGrid w:linePitch="360"/>
        </w:sectPr>
      </w:pPr>
    </w:p>
    <w:p w14:paraId="4B5139C2" w14:textId="77777777" w:rsidR="0057163C" w:rsidRPr="00170422" w:rsidRDefault="0057163C">
      <w:pPr>
        <w:pStyle w:val="ListParagraph"/>
        <w:ind w:left="1440"/>
        <w:rPr>
          <w:rFonts w:ascii="Times New Roman" w:hAnsi="Times New Roman" w:cs="Times New Roman"/>
          <w:noProof/>
          <w:lang w:val="de-DE"/>
        </w:rPr>
      </w:pPr>
    </w:p>
    <w:p w14:paraId="568F0B8F" w14:textId="4265B8D9" w:rsidR="0057163C" w:rsidRPr="00170422" w:rsidRDefault="00F37BF9">
      <w:pPr>
        <w:pStyle w:val="P68B1DB1-Heading368"/>
        <w:ind w:left="850" w:hanging="850"/>
        <w:rPr>
          <w:bCs/>
          <w:noProof/>
          <w:lang w:val="de-DE"/>
        </w:rPr>
      </w:pPr>
      <w:r w:rsidRPr="00170422">
        <w:rPr>
          <w:noProof/>
          <w:lang w:val="de-DE"/>
        </w:rPr>
        <w:t xml:space="preserve">FRAGE 4. </w:t>
      </w:r>
      <w:r w:rsidRPr="00170422">
        <w:rPr>
          <w:noProof/>
          <w:lang w:val="de-DE"/>
        </w:rPr>
        <w:tab/>
        <w:t>Etappenziele, Ziel</w:t>
      </w:r>
      <w:r w:rsidRPr="00170422">
        <w:rPr>
          <w:noProof/>
          <w:lang w:val="de-DE"/>
        </w:rPr>
        <w:t xml:space="preserve">werte, Indikatoren und Zeitplan für die Überwachung und Durchführung (Darlehen) </w:t>
      </w:r>
    </w:p>
    <w:tbl>
      <w:tblPr>
        <w:tblpPr w:leftFromText="141" w:rightFromText="141" w:vertAnchor="text" w:tblpX="-766" w:tblpY="1"/>
        <w:tblOverlap w:val="never"/>
        <w:tblW w:w="5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1202"/>
        <w:gridCol w:w="1579"/>
        <w:gridCol w:w="1149"/>
        <w:gridCol w:w="1435"/>
        <w:gridCol w:w="1723"/>
        <w:gridCol w:w="1293"/>
        <w:gridCol w:w="1343"/>
        <w:gridCol w:w="955"/>
        <w:gridCol w:w="862"/>
        <w:gridCol w:w="717"/>
        <w:gridCol w:w="3303"/>
      </w:tblGrid>
      <w:tr w:rsidR="0057163C" w:rsidRPr="00170422" w14:paraId="51783F9A" w14:textId="77777777" w:rsidTr="00A400C5">
        <w:trPr>
          <w:trHeight w:val="765"/>
          <w:tblHeader/>
        </w:trPr>
        <w:tc>
          <w:tcPr>
            <w:tcW w:w="1202" w:type="dxa"/>
            <w:vMerge w:val="restart"/>
            <w:shd w:val="clear" w:color="auto" w:fill="BDD7EE"/>
            <w:vAlign w:val="center"/>
            <w:hideMark/>
          </w:tcPr>
          <w:p w14:paraId="48BB45E4" w14:textId="77777777" w:rsidR="0057163C" w:rsidRPr="00170422" w:rsidRDefault="00F37BF9">
            <w:pPr>
              <w:pStyle w:val="P68B1DB1-Normal10"/>
              <w:spacing w:after="120"/>
              <w:jc w:val="center"/>
              <w:rPr>
                <w:bCs/>
                <w:noProof/>
                <w:szCs w:val="20"/>
                <w:lang w:val="de-DE"/>
              </w:rPr>
            </w:pPr>
            <w:r w:rsidRPr="00170422">
              <w:rPr>
                <w:noProof/>
                <w:lang w:val="de-DE"/>
              </w:rPr>
              <w:t>Laufende Nummer</w:t>
            </w:r>
          </w:p>
        </w:tc>
        <w:tc>
          <w:tcPr>
            <w:tcW w:w="1579" w:type="dxa"/>
            <w:vMerge w:val="restart"/>
            <w:shd w:val="clear" w:color="auto" w:fill="BDD7EE"/>
            <w:vAlign w:val="center"/>
            <w:hideMark/>
          </w:tcPr>
          <w:p w14:paraId="5375069B" w14:textId="77777777" w:rsidR="0057163C" w:rsidRPr="00170422" w:rsidRDefault="00F37BF9">
            <w:pPr>
              <w:pStyle w:val="P68B1DB1-Normal10"/>
              <w:spacing w:after="120"/>
              <w:jc w:val="center"/>
              <w:rPr>
                <w:bCs/>
                <w:noProof/>
                <w:szCs w:val="20"/>
                <w:lang w:val="de-DE"/>
              </w:rPr>
            </w:pPr>
            <w:r w:rsidRPr="00170422">
              <w:rPr>
                <w:noProof/>
                <w:lang w:val="de-DE"/>
              </w:rPr>
              <w:t>Verbundene Maßnahme (Reform oder Investition)</w:t>
            </w:r>
          </w:p>
        </w:tc>
        <w:tc>
          <w:tcPr>
            <w:tcW w:w="1149" w:type="dxa"/>
            <w:vMerge w:val="restart"/>
            <w:shd w:val="clear" w:color="auto" w:fill="BDD7EE"/>
            <w:vAlign w:val="center"/>
            <w:hideMark/>
          </w:tcPr>
          <w:p w14:paraId="4B8B4CC9" w14:textId="77777777" w:rsidR="0057163C" w:rsidRPr="00170422" w:rsidRDefault="00F37BF9">
            <w:pPr>
              <w:pStyle w:val="P68B1DB1-Normal10"/>
              <w:spacing w:after="120"/>
              <w:jc w:val="center"/>
              <w:rPr>
                <w:bCs/>
                <w:noProof/>
                <w:szCs w:val="20"/>
                <w:lang w:val="de-DE"/>
              </w:rPr>
            </w:pPr>
            <w:r w:rsidRPr="00170422">
              <w:rPr>
                <w:noProof/>
                <w:lang w:val="de-DE"/>
              </w:rPr>
              <w:t>Meilenstein</w:t>
            </w:r>
          </w:p>
          <w:p w14:paraId="3A0DAB1D" w14:textId="77777777" w:rsidR="0057163C" w:rsidRPr="00170422" w:rsidRDefault="00F37BF9">
            <w:pPr>
              <w:pStyle w:val="P68B1DB1-Normal10"/>
              <w:spacing w:after="120"/>
              <w:jc w:val="center"/>
              <w:rPr>
                <w:bCs/>
                <w:noProof/>
                <w:szCs w:val="20"/>
                <w:lang w:val="de-DE"/>
              </w:rPr>
            </w:pPr>
            <w:r w:rsidRPr="00170422">
              <w:rPr>
                <w:noProof/>
                <w:lang w:val="de-DE"/>
              </w:rPr>
              <w:t>/Ziel</w:t>
            </w:r>
          </w:p>
        </w:tc>
        <w:tc>
          <w:tcPr>
            <w:tcW w:w="1435" w:type="dxa"/>
            <w:vMerge w:val="restart"/>
            <w:shd w:val="clear" w:color="auto" w:fill="BDD7EE"/>
            <w:vAlign w:val="center"/>
            <w:hideMark/>
          </w:tcPr>
          <w:p w14:paraId="396A472F" w14:textId="77777777" w:rsidR="0057163C" w:rsidRPr="00170422" w:rsidRDefault="00F37BF9">
            <w:pPr>
              <w:pStyle w:val="P68B1DB1-Normal10"/>
              <w:spacing w:after="120"/>
              <w:jc w:val="center"/>
              <w:rPr>
                <w:bCs/>
                <w:noProof/>
                <w:szCs w:val="20"/>
                <w:lang w:val="de-DE"/>
              </w:rPr>
            </w:pPr>
            <w:r w:rsidRPr="00170422">
              <w:rPr>
                <w:noProof/>
                <w:lang w:val="de-DE"/>
              </w:rPr>
              <w:t>Namen</w:t>
            </w:r>
          </w:p>
        </w:tc>
        <w:tc>
          <w:tcPr>
            <w:tcW w:w="1723" w:type="dxa"/>
            <w:vMerge w:val="restart"/>
            <w:shd w:val="clear" w:color="auto" w:fill="BDD7EE"/>
            <w:vAlign w:val="center"/>
            <w:hideMark/>
          </w:tcPr>
          <w:p w14:paraId="3D39B323" w14:textId="45EC25EE" w:rsidR="0057163C" w:rsidRPr="00170422" w:rsidRDefault="00F37BF9">
            <w:pPr>
              <w:spacing w:after="120"/>
              <w:jc w:val="center"/>
              <w:rPr>
                <w:rFonts w:ascii="Arial Narrow" w:hAnsi="Arial Narrow"/>
                <w:b/>
                <w:bCs/>
                <w:noProof/>
                <w:sz w:val="20"/>
                <w:szCs w:val="20"/>
                <w:lang w:val="de-DE"/>
              </w:rPr>
            </w:pPr>
            <w:r w:rsidRPr="00170422">
              <w:rPr>
                <w:rFonts w:ascii="Arial Narrow" w:hAnsi="Arial Narrow"/>
                <w:b/>
                <w:noProof/>
                <w:sz w:val="20"/>
                <w:lang w:val="de-DE"/>
              </w:rPr>
              <w:t>Etappenziel/</w:t>
            </w:r>
            <w:r w:rsidR="00A400C5" w:rsidRPr="00170422">
              <w:rPr>
                <w:rFonts w:ascii="Arial Narrow" w:hAnsi="Arial Narrow"/>
                <w:b/>
                <w:noProof/>
                <w:sz w:val="20"/>
                <w:lang w:val="de-DE"/>
              </w:rPr>
              <w:br/>
            </w:r>
            <w:r w:rsidRPr="00170422">
              <w:rPr>
                <w:rFonts w:ascii="Arial Narrow" w:hAnsi="Arial Narrow"/>
                <w:b/>
                <w:noProof/>
                <w:sz w:val="20"/>
                <w:lang w:val="de-DE"/>
              </w:rPr>
              <w:t>Zielwert</w:t>
            </w:r>
            <w:r w:rsidRPr="00170422">
              <w:rPr>
                <w:noProof/>
                <w:lang w:val="de-DE"/>
              </w:rPr>
              <w:br/>
            </w:r>
            <w:r w:rsidRPr="00170422">
              <w:rPr>
                <w:rFonts w:ascii="Arial Narrow" w:hAnsi="Arial Narrow"/>
                <w:b/>
                <w:noProof/>
                <w:sz w:val="20"/>
                <w:lang w:val="de-DE"/>
              </w:rPr>
              <w:t>(für Etappenziele)</w:t>
            </w:r>
          </w:p>
        </w:tc>
        <w:tc>
          <w:tcPr>
            <w:tcW w:w="3591" w:type="dxa"/>
            <w:gridSpan w:val="3"/>
            <w:shd w:val="clear" w:color="auto" w:fill="BDD7EE"/>
            <w:vAlign w:val="center"/>
            <w:hideMark/>
          </w:tcPr>
          <w:p w14:paraId="699A101E" w14:textId="77777777" w:rsidR="0057163C" w:rsidRPr="00170422" w:rsidRDefault="00F37BF9">
            <w:pPr>
              <w:spacing w:after="120"/>
              <w:jc w:val="center"/>
              <w:rPr>
                <w:rFonts w:ascii="Arial Narrow" w:hAnsi="Arial Narrow"/>
                <w:b/>
                <w:bCs/>
                <w:noProof/>
                <w:sz w:val="20"/>
                <w:szCs w:val="20"/>
                <w:lang w:val="de-DE"/>
              </w:rPr>
            </w:pPr>
            <w:r w:rsidRPr="00170422">
              <w:rPr>
                <w:rFonts w:ascii="Arial Narrow" w:hAnsi="Arial Narrow"/>
                <w:b/>
                <w:noProof/>
                <w:sz w:val="20"/>
                <w:lang w:val="de-DE"/>
              </w:rPr>
              <w:t>Qualitative Indikatoren (für Etappenziele)</w:t>
            </w:r>
            <w:r w:rsidRPr="00170422">
              <w:rPr>
                <w:noProof/>
                <w:lang w:val="de-DE"/>
              </w:rPr>
              <w:br/>
            </w:r>
            <w:r w:rsidRPr="00170422">
              <w:rPr>
                <w:rFonts w:ascii="Arial Narrow" w:hAnsi="Arial Narrow"/>
                <w:b/>
                <w:noProof/>
                <w:sz w:val="20"/>
                <w:lang w:val="de-DE"/>
              </w:rPr>
              <w:t xml:space="preserve">(für </w:t>
            </w:r>
            <w:r w:rsidRPr="00170422">
              <w:rPr>
                <w:rFonts w:ascii="Arial Narrow" w:hAnsi="Arial Narrow"/>
                <w:b/>
                <w:noProof/>
                <w:sz w:val="20"/>
                <w:lang w:val="de-DE"/>
              </w:rPr>
              <w:t>Ziele)</w:t>
            </w:r>
          </w:p>
        </w:tc>
        <w:tc>
          <w:tcPr>
            <w:tcW w:w="1579" w:type="dxa"/>
            <w:gridSpan w:val="2"/>
            <w:shd w:val="clear" w:color="auto" w:fill="BDD7EE"/>
            <w:vAlign w:val="center"/>
            <w:hideMark/>
          </w:tcPr>
          <w:p w14:paraId="566936E6" w14:textId="77777777" w:rsidR="0057163C" w:rsidRPr="00170422" w:rsidRDefault="00F37BF9">
            <w:pPr>
              <w:pStyle w:val="P68B1DB1-Normal10"/>
              <w:spacing w:after="120"/>
              <w:jc w:val="center"/>
              <w:rPr>
                <w:bCs/>
                <w:noProof/>
                <w:szCs w:val="20"/>
                <w:lang w:val="de-DE"/>
              </w:rPr>
            </w:pPr>
            <w:r w:rsidRPr="00170422">
              <w:rPr>
                <w:noProof/>
                <w:lang w:val="de-DE"/>
              </w:rPr>
              <w:t>Vorläufiger Zeitplan für die Fertigstellung</w:t>
            </w:r>
          </w:p>
        </w:tc>
        <w:tc>
          <w:tcPr>
            <w:tcW w:w="3303" w:type="dxa"/>
            <w:vMerge w:val="restart"/>
            <w:shd w:val="clear" w:color="auto" w:fill="BDD7EE"/>
            <w:vAlign w:val="center"/>
            <w:hideMark/>
          </w:tcPr>
          <w:p w14:paraId="1D6BF3E4" w14:textId="77777777" w:rsidR="0057163C" w:rsidRPr="00170422" w:rsidRDefault="00F37BF9">
            <w:pPr>
              <w:pStyle w:val="P68B1DB1-Normal10"/>
              <w:spacing w:after="120"/>
              <w:jc w:val="center"/>
              <w:rPr>
                <w:bCs/>
                <w:noProof/>
                <w:szCs w:val="20"/>
                <w:lang w:val="de-DE"/>
              </w:rPr>
            </w:pPr>
            <w:r w:rsidRPr="00170422">
              <w:rPr>
                <w:noProof/>
                <w:lang w:val="de-DE"/>
              </w:rPr>
              <w:t>Beschreibung der einzelnen Etappenziele und Zielvorgaben</w:t>
            </w:r>
          </w:p>
        </w:tc>
      </w:tr>
      <w:tr w:rsidR="0057163C" w:rsidRPr="00170422" w14:paraId="07C529AE" w14:textId="77777777" w:rsidTr="00A400C5">
        <w:trPr>
          <w:trHeight w:val="691"/>
          <w:tblHeader/>
        </w:trPr>
        <w:tc>
          <w:tcPr>
            <w:tcW w:w="1202" w:type="dxa"/>
            <w:vMerge/>
            <w:vAlign w:val="center"/>
            <w:hideMark/>
          </w:tcPr>
          <w:p w14:paraId="0D2CE59E" w14:textId="77777777" w:rsidR="0057163C" w:rsidRPr="00170422" w:rsidRDefault="0057163C">
            <w:pPr>
              <w:spacing w:after="120"/>
              <w:jc w:val="center"/>
              <w:rPr>
                <w:rFonts w:ascii="Arial Narrow" w:hAnsi="Arial Narrow"/>
                <w:b/>
                <w:bCs/>
                <w:noProof/>
                <w:sz w:val="20"/>
                <w:szCs w:val="20"/>
                <w:lang w:val="de-DE"/>
              </w:rPr>
            </w:pPr>
          </w:p>
        </w:tc>
        <w:tc>
          <w:tcPr>
            <w:tcW w:w="1579" w:type="dxa"/>
            <w:vMerge/>
            <w:vAlign w:val="center"/>
            <w:hideMark/>
          </w:tcPr>
          <w:p w14:paraId="0E719CBE" w14:textId="77777777" w:rsidR="0057163C" w:rsidRPr="00170422" w:rsidRDefault="0057163C">
            <w:pPr>
              <w:spacing w:after="120"/>
              <w:jc w:val="center"/>
              <w:rPr>
                <w:rFonts w:ascii="Arial Narrow" w:hAnsi="Arial Narrow"/>
                <w:b/>
                <w:bCs/>
                <w:noProof/>
                <w:sz w:val="20"/>
                <w:szCs w:val="20"/>
                <w:lang w:val="de-DE"/>
              </w:rPr>
            </w:pPr>
          </w:p>
        </w:tc>
        <w:tc>
          <w:tcPr>
            <w:tcW w:w="1149" w:type="dxa"/>
            <w:vMerge/>
            <w:vAlign w:val="center"/>
            <w:hideMark/>
          </w:tcPr>
          <w:p w14:paraId="3796DD4C" w14:textId="77777777" w:rsidR="0057163C" w:rsidRPr="00170422" w:rsidRDefault="0057163C">
            <w:pPr>
              <w:spacing w:after="120"/>
              <w:jc w:val="center"/>
              <w:rPr>
                <w:rFonts w:ascii="Arial Narrow" w:hAnsi="Arial Narrow"/>
                <w:b/>
                <w:bCs/>
                <w:noProof/>
                <w:sz w:val="20"/>
                <w:szCs w:val="20"/>
                <w:lang w:val="de-DE"/>
              </w:rPr>
            </w:pPr>
          </w:p>
        </w:tc>
        <w:tc>
          <w:tcPr>
            <w:tcW w:w="1435" w:type="dxa"/>
            <w:vMerge/>
            <w:vAlign w:val="center"/>
            <w:hideMark/>
          </w:tcPr>
          <w:p w14:paraId="31B46FE5" w14:textId="77777777" w:rsidR="0057163C" w:rsidRPr="00170422" w:rsidRDefault="0057163C">
            <w:pPr>
              <w:spacing w:after="120"/>
              <w:jc w:val="center"/>
              <w:rPr>
                <w:rFonts w:ascii="Arial Narrow" w:hAnsi="Arial Narrow"/>
                <w:b/>
                <w:bCs/>
                <w:noProof/>
                <w:sz w:val="20"/>
                <w:szCs w:val="20"/>
                <w:lang w:val="de-DE"/>
              </w:rPr>
            </w:pPr>
          </w:p>
        </w:tc>
        <w:tc>
          <w:tcPr>
            <w:tcW w:w="1723" w:type="dxa"/>
            <w:vMerge/>
            <w:vAlign w:val="center"/>
            <w:hideMark/>
          </w:tcPr>
          <w:p w14:paraId="72358260" w14:textId="77777777" w:rsidR="0057163C" w:rsidRPr="00170422" w:rsidRDefault="0057163C">
            <w:pPr>
              <w:spacing w:after="120"/>
              <w:jc w:val="center"/>
              <w:rPr>
                <w:rFonts w:ascii="Arial Narrow" w:hAnsi="Arial Narrow"/>
                <w:b/>
                <w:bCs/>
                <w:noProof/>
                <w:sz w:val="20"/>
                <w:szCs w:val="20"/>
                <w:lang w:val="de-DE"/>
              </w:rPr>
            </w:pPr>
          </w:p>
        </w:tc>
        <w:tc>
          <w:tcPr>
            <w:tcW w:w="1293" w:type="dxa"/>
            <w:shd w:val="clear" w:color="auto" w:fill="BDD7EE"/>
            <w:vAlign w:val="center"/>
            <w:hideMark/>
          </w:tcPr>
          <w:p w14:paraId="09D78315" w14:textId="77777777" w:rsidR="0057163C" w:rsidRPr="00170422" w:rsidRDefault="00F37BF9">
            <w:pPr>
              <w:pStyle w:val="P68B1DB1-Normal10"/>
              <w:spacing w:after="120"/>
              <w:jc w:val="center"/>
              <w:rPr>
                <w:bCs/>
                <w:noProof/>
                <w:szCs w:val="20"/>
                <w:lang w:val="de-DE"/>
              </w:rPr>
            </w:pPr>
            <w:r w:rsidRPr="00170422">
              <w:rPr>
                <w:noProof/>
                <w:lang w:val="de-DE"/>
              </w:rPr>
              <w:t>Maßeinheit</w:t>
            </w:r>
          </w:p>
        </w:tc>
        <w:tc>
          <w:tcPr>
            <w:tcW w:w="1343" w:type="dxa"/>
            <w:shd w:val="clear" w:color="auto" w:fill="BDD7EE"/>
            <w:vAlign w:val="center"/>
            <w:hideMark/>
          </w:tcPr>
          <w:p w14:paraId="2BCC66D1" w14:textId="77777777" w:rsidR="0057163C" w:rsidRPr="00170422" w:rsidRDefault="00F37BF9">
            <w:pPr>
              <w:pStyle w:val="P68B1DB1-Normal10"/>
              <w:spacing w:after="120"/>
              <w:jc w:val="center"/>
              <w:rPr>
                <w:bCs/>
                <w:noProof/>
                <w:szCs w:val="20"/>
                <w:lang w:val="de-DE"/>
              </w:rPr>
            </w:pPr>
            <w:r w:rsidRPr="00170422">
              <w:rPr>
                <w:noProof/>
                <w:lang w:val="de-DE"/>
              </w:rPr>
              <w:t>Ausgangslage</w:t>
            </w:r>
          </w:p>
        </w:tc>
        <w:tc>
          <w:tcPr>
            <w:tcW w:w="955" w:type="dxa"/>
            <w:shd w:val="clear" w:color="auto" w:fill="BDD7EE"/>
            <w:vAlign w:val="center"/>
            <w:hideMark/>
          </w:tcPr>
          <w:p w14:paraId="5B911D84" w14:textId="77777777" w:rsidR="0057163C" w:rsidRPr="00170422" w:rsidRDefault="00F37BF9">
            <w:pPr>
              <w:pStyle w:val="P68B1DB1-Normal10"/>
              <w:spacing w:after="120"/>
              <w:jc w:val="center"/>
              <w:rPr>
                <w:bCs/>
                <w:noProof/>
                <w:szCs w:val="20"/>
                <w:lang w:val="de-DE"/>
              </w:rPr>
            </w:pPr>
            <w:r w:rsidRPr="00170422">
              <w:rPr>
                <w:noProof/>
                <w:lang w:val="de-DE"/>
              </w:rPr>
              <w:t>Ziel</w:t>
            </w:r>
          </w:p>
        </w:tc>
        <w:tc>
          <w:tcPr>
            <w:tcW w:w="862" w:type="dxa"/>
            <w:shd w:val="clear" w:color="auto" w:fill="BDD7EE"/>
            <w:vAlign w:val="center"/>
            <w:hideMark/>
          </w:tcPr>
          <w:p w14:paraId="692636A1" w14:textId="77777777" w:rsidR="0057163C" w:rsidRPr="00170422" w:rsidRDefault="00F37BF9">
            <w:pPr>
              <w:pStyle w:val="P68B1DB1-Normal10"/>
              <w:spacing w:after="120"/>
              <w:jc w:val="center"/>
              <w:rPr>
                <w:bCs/>
                <w:noProof/>
                <w:szCs w:val="20"/>
                <w:lang w:val="de-DE"/>
              </w:rPr>
            </w:pPr>
            <w:r w:rsidRPr="00170422">
              <w:rPr>
                <w:noProof/>
                <w:lang w:val="de-DE"/>
              </w:rPr>
              <w:t>Viertel</w:t>
            </w:r>
          </w:p>
        </w:tc>
        <w:tc>
          <w:tcPr>
            <w:tcW w:w="717" w:type="dxa"/>
            <w:shd w:val="clear" w:color="auto" w:fill="BDD7EE"/>
            <w:vAlign w:val="center"/>
            <w:hideMark/>
          </w:tcPr>
          <w:p w14:paraId="7A0AAAFB" w14:textId="77777777" w:rsidR="0057163C" w:rsidRPr="00170422" w:rsidRDefault="00F37BF9">
            <w:pPr>
              <w:pStyle w:val="P68B1DB1-Normal10"/>
              <w:spacing w:after="120"/>
              <w:jc w:val="center"/>
              <w:rPr>
                <w:bCs/>
                <w:noProof/>
                <w:szCs w:val="20"/>
                <w:lang w:val="de-DE"/>
              </w:rPr>
            </w:pPr>
            <w:r w:rsidRPr="00170422">
              <w:rPr>
                <w:noProof/>
                <w:lang w:val="de-DE"/>
              </w:rPr>
              <w:t>Jahre</w:t>
            </w:r>
          </w:p>
        </w:tc>
        <w:tc>
          <w:tcPr>
            <w:tcW w:w="3303" w:type="dxa"/>
            <w:vMerge/>
            <w:vAlign w:val="center"/>
            <w:hideMark/>
          </w:tcPr>
          <w:p w14:paraId="064E5FFD" w14:textId="77777777" w:rsidR="0057163C" w:rsidRPr="00170422" w:rsidRDefault="0057163C">
            <w:pPr>
              <w:spacing w:after="120"/>
              <w:jc w:val="center"/>
              <w:rPr>
                <w:rFonts w:ascii="Arial Narrow" w:hAnsi="Arial Narrow"/>
                <w:b/>
                <w:bCs/>
                <w:noProof/>
                <w:sz w:val="20"/>
                <w:szCs w:val="20"/>
                <w:lang w:val="de-DE"/>
              </w:rPr>
            </w:pPr>
          </w:p>
        </w:tc>
      </w:tr>
      <w:tr w:rsidR="0057163C" w:rsidRPr="00170422" w14:paraId="455B7767" w14:textId="77777777" w:rsidTr="00A400C5">
        <w:trPr>
          <w:trHeight w:val="309"/>
        </w:trPr>
        <w:tc>
          <w:tcPr>
            <w:tcW w:w="1202" w:type="dxa"/>
            <w:shd w:val="clear" w:color="auto" w:fill="C6EFCE"/>
            <w:noWrap/>
            <w:vAlign w:val="center"/>
          </w:tcPr>
          <w:p w14:paraId="31DCB79A" w14:textId="77777777" w:rsidR="0057163C" w:rsidRPr="00170422" w:rsidRDefault="00F37BF9">
            <w:pPr>
              <w:pStyle w:val="P68B1DB1-Normal11"/>
              <w:spacing w:after="120"/>
              <w:jc w:val="center"/>
              <w:rPr>
                <w:noProof/>
                <w:szCs w:val="20"/>
                <w:lang w:val="de-DE"/>
              </w:rPr>
            </w:pPr>
            <w:r w:rsidRPr="00170422">
              <w:rPr>
                <w:noProof/>
                <w:lang w:val="de-DE"/>
              </w:rPr>
              <w:t>M7-35</w:t>
            </w:r>
          </w:p>
        </w:tc>
        <w:tc>
          <w:tcPr>
            <w:tcW w:w="1579" w:type="dxa"/>
            <w:shd w:val="clear" w:color="auto" w:fill="C6EFCE"/>
            <w:noWrap/>
            <w:vAlign w:val="center"/>
          </w:tcPr>
          <w:p w14:paraId="7B7C5C0B" w14:textId="77777777" w:rsidR="0057163C" w:rsidRPr="00170422" w:rsidRDefault="00F37BF9">
            <w:pPr>
              <w:pStyle w:val="P68B1DB1-Normal11"/>
              <w:spacing w:after="120"/>
              <w:jc w:val="center"/>
              <w:rPr>
                <w:noProof/>
                <w:szCs w:val="20"/>
                <w:lang w:val="de-DE"/>
              </w:rPr>
            </w:pPr>
            <w:r w:rsidRPr="00170422">
              <w:rPr>
                <w:noProof/>
                <w:lang w:val="de-DE"/>
              </w:rPr>
              <w:t>Investition 13: Adriatic</w:t>
            </w:r>
            <w:r w:rsidRPr="00170422">
              <w:rPr>
                <w:noProof/>
                <w:lang w:val="de-DE"/>
              </w:rPr>
              <w:t xml:space="preserve"> Line Phase 1 (Kompressorstation Sulmona und Gaspipeline Sestino-Minerbio)</w:t>
            </w:r>
          </w:p>
        </w:tc>
        <w:tc>
          <w:tcPr>
            <w:tcW w:w="1149" w:type="dxa"/>
            <w:shd w:val="clear" w:color="auto" w:fill="C6EFCE"/>
            <w:noWrap/>
            <w:vAlign w:val="center"/>
          </w:tcPr>
          <w:p w14:paraId="6CE40EAD"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435" w:type="dxa"/>
            <w:shd w:val="clear" w:color="auto" w:fill="C6EFCE"/>
            <w:noWrap/>
            <w:vAlign w:val="center"/>
          </w:tcPr>
          <w:p w14:paraId="0413E648" w14:textId="77777777" w:rsidR="0057163C" w:rsidRPr="00170422" w:rsidRDefault="00F37BF9">
            <w:pPr>
              <w:pStyle w:val="P68B1DB1-Normal11"/>
              <w:spacing w:after="120"/>
              <w:jc w:val="center"/>
              <w:rPr>
                <w:noProof/>
                <w:szCs w:val="20"/>
                <w:lang w:val="de-DE"/>
              </w:rPr>
            </w:pPr>
            <w:r w:rsidRPr="00170422">
              <w:rPr>
                <w:noProof/>
                <w:lang w:val="de-DE"/>
              </w:rPr>
              <w:t>Annahme und Aktualisierung einschlägiger Umweltverträglichkeitsprüfungen (VIncA)</w:t>
            </w:r>
          </w:p>
        </w:tc>
        <w:tc>
          <w:tcPr>
            <w:tcW w:w="1723" w:type="dxa"/>
            <w:shd w:val="clear" w:color="auto" w:fill="C6EFCE"/>
            <w:noWrap/>
            <w:vAlign w:val="center"/>
          </w:tcPr>
          <w:p w14:paraId="0A760D22" w14:textId="77777777" w:rsidR="0057163C" w:rsidRPr="00170422" w:rsidRDefault="00F37BF9">
            <w:pPr>
              <w:pStyle w:val="P68B1DB1-Normal11"/>
              <w:spacing w:after="120"/>
              <w:jc w:val="center"/>
              <w:rPr>
                <w:noProof/>
                <w:szCs w:val="20"/>
                <w:lang w:val="de-DE"/>
              </w:rPr>
            </w:pPr>
            <w:r w:rsidRPr="00170422">
              <w:rPr>
                <w:noProof/>
                <w:lang w:val="de-DE"/>
              </w:rPr>
              <w:t>SSCO ermittelt und VincA entsprechend überarbeitet und angenommen</w:t>
            </w:r>
          </w:p>
        </w:tc>
        <w:tc>
          <w:tcPr>
            <w:tcW w:w="1293" w:type="dxa"/>
            <w:shd w:val="clear" w:color="auto" w:fill="C6EFCE"/>
            <w:noWrap/>
            <w:vAlign w:val="center"/>
          </w:tcPr>
          <w:p w14:paraId="6DE294EF" w14:textId="77777777" w:rsidR="0057163C" w:rsidRPr="00170422" w:rsidRDefault="0057163C">
            <w:pPr>
              <w:spacing w:after="120"/>
              <w:jc w:val="center"/>
              <w:rPr>
                <w:rFonts w:ascii="Arial Narrow" w:hAnsi="Arial Narrow"/>
                <w:noProof/>
                <w:color w:val="006100"/>
                <w:sz w:val="20"/>
                <w:szCs w:val="20"/>
                <w:lang w:val="de-DE"/>
              </w:rPr>
            </w:pPr>
          </w:p>
        </w:tc>
        <w:tc>
          <w:tcPr>
            <w:tcW w:w="1343" w:type="dxa"/>
            <w:shd w:val="clear" w:color="auto" w:fill="C6EFCE"/>
            <w:noWrap/>
            <w:vAlign w:val="center"/>
          </w:tcPr>
          <w:p w14:paraId="28788EE2" w14:textId="77777777" w:rsidR="0057163C" w:rsidRPr="00170422" w:rsidRDefault="0057163C">
            <w:pPr>
              <w:spacing w:after="120"/>
              <w:jc w:val="center"/>
              <w:rPr>
                <w:rFonts w:ascii="Arial Narrow" w:hAnsi="Arial Narrow"/>
                <w:noProof/>
                <w:color w:val="006100"/>
                <w:sz w:val="20"/>
                <w:szCs w:val="20"/>
                <w:lang w:val="de-DE"/>
              </w:rPr>
            </w:pPr>
          </w:p>
        </w:tc>
        <w:tc>
          <w:tcPr>
            <w:tcW w:w="955" w:type="dxa"/>
            <w:shd w:val="clear" w:color="auto" w:fill="C6EFCE"/>
            <w:noWrap/>
            <w:vAlign w:val="center"/>
          </w:tcPr>
          <w:p w14:paraId="340E49E5" w14:textId="77777777" w:rsidR="0057163C" w:rsidRPr="00170422" w:rsidRDefault="0057163C">
            <w:pPr>
              <w:spacing w:after="120"/>
              <w:jc w:val="center"/>
              <w:rPr>
                <w:rFonts w:ascii="Arial Narrow" w:hAnsi="Arial Narrow"/>
                <w:noProof/>
                <w:color w:val="006100"/>
                <w:sz w:val="20"/>
                <w:szCs w:val="20"/>
                <w:lang w:val="de-DE"/>
              </w:rPr>
            </w:pPr>
          </w:p>
        </w:tc>
        <w:tc>
          <w:tcPr>
            <w:tcW w:w="862" w:type="dxa"/>
            <w:shd w:val="clear" w:color="auto" w:fill="C6EFCE"/>
            <w:noWrap/>
            <w:vAlign w:val="center"/>
          </w:tcPr>
          <w:p w14:paraId="2335AF35" w14:textId="77777777" w:rsidR="0057163C" w:rsidRPr="00170422" w:rsidRDefault="00F37BF9">
            <w:pPr>
              <w:pStyle w:val="P68B1DB1-Normal11"/>
              <w:spacing w:after="120"/>
              <w:jc w:val="center"/>
              <w:rPr>
                <w:noProof/>
                <w:szCs w:val="20"/>
                <w:lang w:val="de-DE"/>
              </w:rPr>
            </w:pPr>
            <w:r w:rsidRPr="00170422">
              <w:rPr>
                <w:noProof/>
                <w:lang w:val="de-DE"/>
              </w:rPr>
              <w:t>Q1</w:t>
            </w:r>
          </w:p>
        </w:tc>
        <w:tc>
          <w:tcPr>
            <w:tcW w:w="717" w:type="dxa"/>
            <w:shd w:val="clear" w:color="auto" w:fill="C6EFCE"/>
            <w:noWrap/>
            <w:vAlign w:val="center"/>
          </w:tcPr>
          <w:p w14:paraId="5D8F5600"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303" w:type="dxa"/>
            <w:shd w:val="clear" w:color="auto" w:fill="C6EFCE"/>
            <w:noWrap/>
            <w:vAlign w:val="center"/>
          </w:tcPr>
          <w:p w14:paraId="5EE31E5B" w14:textId="77777777" w:rsidR="0057163C" w:rsidRPr="00170422" w:rsidRDefault="00F37BF9">
            <w:pPr>
              <w:pStyle w:val="P68B1DB1-Normal11"/>
              <w:spacing w:after="120"/>
              <w:rPr>
                <w:noProof/>
                <w:szCs w:val="20"/>
                <w:lang w:val="de-DE"/>
              </w:rPr>
            </w:pPr>
            <w:bookmarkStart w:id="29" w:name="_Hlk147330404"/>
            <w:r w:rsidRPr="00170422">
              <w:rPr>
                <w:noProof/>
                <w:lang w:val="de-DE"/>
              </w:rPr>
              <w:t>Die italien</w:t>
            </w:r>
            <w:r w:rsidRPr="00170422">
              <w:rPr>
                <w:noProof/>
                <w:lang w:val="de-DE"/>
              </w:rPr>
              <w:t>ischen Behörden</w:t>
            </w:r>
          </w:p>
          <w:p w14:paraId="4A107987" w14:textId="6D4E3B5A" w:rsidR="0057163C" w:rsidRPr="00170422" w:rsidRDefault="00F37BF9">
            <w:pPr>
              <w:pStyle w:val="P68B1DB1-ListParagraph15"/>
              <w:numPr>
                <w:ilvl w:val="0"/>
                <w:numId w:val="39"/>
              </w:numPr>
              <w:spacing w:after="120" w:line="240" w:lineRule="auto"/>
              <w:rPr>
                <w:noProof/>
                <w:szCs w:val="20"/>
                <w:lang w:val="de-DE"/>
              </w:rPr>
            </w:pPr>
            <w:r w:rsidRPr="00170422">
              <w:rPr>
                <w:noProof/>
                <w:lang w:val="de-DE"/>
              </w:rPr>
              <w:t>Festlegung der gebietsspezifischen Erhaltungsziele (SSCO) für die von dem Projekt betroffenen Natura-2000-Gebiete nach der vom Ministerium für Umwelt und Energiesicherheit in den Jahren 2021 und 2023 angenommenen Methodik.</w:t>
            </w:r>
          </w:p>
          <w:p w14:paraId="7512FC2B" w14:textId="77777777" w:rsidR="0057163C" w:rsidRPr="00170422" w:rsidRDefault="00F37BF9">
            <w:pPr>
              <w:pStyle w:val="P68B1DB1-ListParagraph15"/>
              <w:numPr>
                <w:ilvl w:val="0"/>
                <w:numId w:val="39"/>
              </w:numPr>
              <w:spacing w:after="120" w:line="240" w:lineRule="auto"/>
              <w:contextualSpacing w:val="0"/>
              <w:rPr>
                <w:noProof/>
                <w:szCs w:val="20"/>
                <w:lang w:val="de-DE"/>
              </w:rPr>
            </w:pPr>
            <w:r w:rsidRPr="00170422">
              <w:rPr>
                <w:noProof/>
                <w:lang w:val="de-DE"/>
              </w:rPr>
              <w:t>Überprüfung der b</w:t>
            </w:r>
            <w:r w:rsidRPr="00170422">
              <w:rPr>
                <w:noProof/>
                <w:lang w:val="de-DE"/>
              </w:rPr>
              <w:t>ereits im Rahmen der Habitat-Richtlinie (VINCA) durchgeführten Verträglichkeitsprüfungen unter Berücksichtigung der neu eingerichteten SSCO.</w:t>
            </w:r>
            <w:bookmarkEnd w:id="29"/>
          </w:p>
          <w:p w14:paraId="7460EC70" w14:textId="77777777" w:rsidR="0057163C" w:rsidRPr="00170422" w:rsidRDefault="00F37BF9">
            <w:pPr>
              <w:pStyle w:val="P68B1DB1-ListParagraph15"/>
              <w:numPr>
                <w:ilvl w:val="0"/>
                <w:numId w:val="39"/>
              </w:numPr>
              <w:spacing w:after="120" w:line="240" w:lineRule="auto"/>
              <w:contextualSpacing w:val="0"/>
              <w:rPr>
                <w:noProof/>
                <w:szCs w:val="20"/>
                <w:lang w:val="de-DE"/>
              </w:rPr>
            </w:pPr>
            <w:r w:rsidRPr="00170422">
              <w:rPr>
                <w:noProof/>
                <w:lang w:val="de-DE"/>
              </w:rPr>
              <w:t>Aktualisierung (falls erforderlich) der Verträglichkeitsprüfungen (VINCA), die bereits im Rahmen der Habitat-Richtl</w:t>
            </w:r>
            <w:r w:rsidRPr="00170422">
              <w:rPr>
                <w:noProof/>
                <w:lang w:val="de-DE"/>
              </w:rPr>
              <w:t>inie im Einklang mit den nationalen Leitlinien vom 28. Dezember 2019 durchgeführt wurden, und Gewährleistung ihrer Einbeziehung in das allgemeine Umweltverträglichkeitsprüfungsverfahren.</w:t>
            </w:r>
          </w:p>
        </w:tc>
      </w:tr>
      <w:tr w:rsidR="0057163C" w:rsidRPr="00170422" w14:paraId="4D332C1E" w14:textId="77777777" w:rsidTr="00A400C5">
        <w:trPr>
          <w:trHeight w:val="309"/>
        </w:trPr>
        <w:tc>
          <w:tcPr>
            <w:tcW w:w="1202" w:type="dxa"/>
            <w:shd w:val="clear" w:color="auto" w:fill="C6EFCE"/>
            <w:noWrap/>
            <w:vAlign w:val="center"/>
          </w:tcPr>
          <w:p w14:paraId="610087DA" w14:textId="77777777" w:rsidR="0057163C" w:rsidRPr="00170422" w:rsidRDefault="00F37BF9">
            <w:pPr>
              <w:pStyle w:val="P68B1DB1-Normal11"/>
              <w:spacing w:after="120"/>
              <w:jc w:val="center"/>
              <w:rPr>
                <w:noProof/>
                <w:szCs w:val="20"/>
                <w:lang w:val="de-DE"/>
              </w:rPr>
            </w:pPr>
            <w:r w:rsidRPr="00170422">
              <w:rPr>
                <w:noProof/>
                <w:lang w:val="de-DE"/>
              </w:rPr>
              <w:t>M7-36</w:t>
            </w:r>
          </w:p>
        </w:tc>
        <w:tc>
          <w:tcPr>
            <w:tcW w:w="1579" w:type="dxa"/>
            <w:shd w:val="clear" w:color="auto" w:fill="C6EFCE"/>
            <w:noWrap/>
            <w:vAlign w:val="center"/>
          </w:tcPr>
          <w:p w14:paraId="6C68A370" w14:textId="77777777" w:rsidR="0057163C" w:rsidRPr="00170422" w:rsidRDefault="00F37BF9">
            <w:pPr>
              <w:pStyle w:val="P68B1DB1-Normal11"/>
              <w:spacing w:after="120"/>
              <w:jc w:val="center"/>
              <w:rPr>
                <w:noProof/>
                <w:szCs w:val="20"/>
                <w:lang w:val="de-DE"/>
              </w:rPr>
            </w:pPr>
            <w:r w:rsidRPr="00170422">
              <w:rPr>
                <w:noProof/>
                <w:lang w:val="de-DE"/>
              </w:rPr>
              <w:t xml:space="preserve">Investition 13: Adriatic Line Phase 1 (Kompressorstation </w:t>
            </w:r>
            <w:r w:rsidRPr="00170422">
              <w:rPr>
                <w:noProof/>
                <w:lang w:val="de-DE"/>
              </w:rPr>
              <w:t>Sulmona und Gaspipeline Sestino-Minerbio)</w:t>
            </w:r>
          </w:p>
        </w:tc>
        <w:tc>
          <w:tcPr>
            <w:tcW w:w="1149" w:type="dxa"/>
            <w:shd w:val="clear" w:color="auto" w:fill="C6EFCE"/>
            <w:noWrap/>
            <w:vAlign w:val="center"/>
          </w:tcPr>
          <w:p w14:paraId="0552F973"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435" w:type="dxa"/>
            <w:shd w:val="clear" w:color="auto" w:fill="C6EFCE"/>
            <w:noWrap/>
            <w:vAlign w:val="center"/>
          </w:tcPr>
          <w:p w14:paraId="5B386AB2" w14:textId="77777777" w:rsidR="0057163C" w:rsidRPr="00170422" w:rsidRDefault="00F37BF9">
            <w:pPr>
              <w:pStyle w:val="P68B1DB1-Normal11"/>
              <w:spacing w:after="120"/>
              <w:jc w:val="center"/>
              <w:rPr>
                <w:noProof/>
                <w:szCs w:val="20"/>
                <w:lang w:val="de-DE"/>
              </w:rPr>
            </w:pPr>
            <w:r w:rsidRPr="00170422">
              <w:rPr>
                <w:noProof/>
                <w:lang w:val="de-DE"/>
              </w:rPr>
              <w:t>Vergabe öffentlicher Aufträge</w:t>
            </w:r>
          </w:p>
        </w:tc>
        <w:tc>
          <w:tcPr>
            <w:tcW w:w="1723" w:type="dxa"/>
            <w:shd w:val="clear" w:color="auto" w:fill="C6EFCE"/>
            <w:noWrap/>
            <w:vAlign w:val="center"/>
          </w:tcPr>
          <w:p w14:paraId="1E62182A" w14:textId="77777777" w:rsidR="0057163C" w:rsidRPr="00170422" w:rsidRDefault="00F37BF9">
            <w:pPr>
              <w:pStyle w:val="P68B1DB1-Normal11"/>
              <w:spacing w:after="120"/>
              <w:jc w:val="center"/>
              <w:rPr>
                <w:noProof/>
                <w:szCs w:val="20"/>
                <w:lang w:val="de-DE"/>
              </w:rPr>
            </w:pPr>
            <w:r w:rsidRPr="00170422">
              <w:rPr>
                <w:noProof/>
                <w:lang w:val="de-DE"/>
              </w:rPr>
              <w:t>Mitteilung über die Auftragsvergabe</w:t>
            </w:r>
          </w:p>
        </w:tc>
        <w:tc>
          <w:tcPr>
            <w:tcW w:w="1293" w:type="dxa"/>
            <w:shd w:val="clear" w:color="auto" w:fill="C6EFCE"/>
            <w:noWrap/>
            <w:vAlign w:val="center"/>
          </w:tcPr>
          <w:p w14:paraId="3445D382" w14:textId="77777777" w:rsidR="0057163C" w:rsidRPr="00170422" w:rsidRDefault="0057163C">
            <w:pPr>
              <w:spacing w:after="120"/>
              <w:jc w:val="center"/>
              <w:rPr>
                <w:rFonts w:ascii="Arial Narrow" w:hAnsi="Arial Narrow"/>
                <w:noProof/>
                <w:color w:val="006100"/>
                <w:sz w:val="20"/>
                <w:szCs w:val="20"/>
                <w:lang w:val="de-DE"/>
              </w:rPr>
            </w:pPr>
          </w:p>
        </w:tc>
        <w:tc>
          <w:tcPr>
            <w:tcW w:w="1343" w:type="dxa"/>
            <w:shd w:val="clear" w:color="auto" w:fill="C6EFCE"/>
            <w:noWrap/>
            <w:vAlign w:val="center"/>
          </w:tcPr>
          <w:p w14:paraId="75CFEA4E" w14:textId="77777777" w:rsidR="0057163C" w:rsidRPr="00170422" w:rsidRDefault="0057163C">
            <w:pPr>
              <w:spacing w:after="120"/>
              <w:jc w:val="center"/>
              <w:rPr>
                <w:rFonts w:ascii="Arial Narrow" w:hAnsi="Arial Narrow"/>
                <w:noProof/>
                <w:color w:val="006100"/>
                <w:sz w:val="20"/>
                <w:szCs w:val="20"/>
                <w:lang w:val="de-DE"/>
              </w:rPr>
            </w:pPr>
          </w:p>
        </w:tc>
        <w:tc>
          <w:tcPr>
            <w:tcW w:w="955" w:type="dxa"/>
            <w:shd w:val="clear" w:color="auto" w:fill="C6EFCE"/>
            <w:noWrap/>
            <w:vAlign w:val="center"/>
          </w:tcPr>
          <w:p w14:paraId="445CA87F" w14:textId="77777777" w:rsidR="0057163C" w:rsidRPr="00170422" w:rsidRDefault="0057163C">
            <w:pPr>
              <w:spacing w:after="120"/>
              <w:jc w:val="center"/>
              <w:rPr>
                <w:rFonts w:ascii="Arial Narrow" w:hAnsi="Arial Narrow"/>
                <w:noProof/>
                <w:color w:val="006100"/>
                <w:sz w:val="20"/>
                <w:szCs w:val="20"/>
                <w:lang w:val="de-DE"/>
              </w:rPr>
            </w:pPr>
          </w:p>
        </w:tc>
        <w:tc>
          <w:tcPr>
            <w:tcW w:w="862" w:type="dxa"/>
            <w:shd w:val="clear" w:color="auto" w:fill="C6EFCE"/>
            <w:noWrap/>
            <w:vAlign w:val="center"/>
          </w:tcPr>
          <w:p w14:paraId="31B8FB36"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17" w:type="dxa"/>
            <w:shd w:val="clear" w:color="auto" w:fill="C6EFCE"/>
            <w:noWrap/>
            <w:vAlign w:val="center"/>
          </w:tcPr>
          <w:p w14:paraId="208A0FC0"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303" w:type="dxa"/>
            <w:shd w:val="clear" w:color="auto" w:fill="C6EFCE"/>
            <w:noWrap/>
            <w:vAlign w:val="center"/>
          </w:tcPr>
          <w:p w14:paraId="6B8AF703" w14:textId="77777777" w:rsidR="0057163C" w:rsidRPr="00170422" w:rsidRDefault="00F37BF9">
            <w:pPr>
              <w:pStyle w:val="P68B1DB1-ListParagraph15"/>
              <w:ind w:left="0"/>
              <w:contextualSpacing w:val="0"/>
              <w:rPr>
                <w:noProof/>
                <w:szCs w:val="20"/>
                <w:lang w:val="de-DE"/>
              </w:rPr>
            </w:pPr>
            <w:r w:rsidRPr="00170422">
              <w:rPr>
                <w:noProof/>
                <w:lang w:val="de-DE"/>
              </w:rPr>
              <w:t xml:space="preserve">Mitteilung über die Vergabe aller Aufträge für die Arbeiten, die für den Bau der Kompressorstation Sulmona und der </w:t>
            </w:r>
            <w:r w:rsidRPr="00170422">
              <w:rPr>
                <w:noProof/>
                <w:lang w:val="de-DE"/>
              </w:rPr>
              <w:t>Gasfernleitung Sestino-Minerbio erforderlich sind.</w:t>
            </w:r>
          </w:p>
        </w:tc>
      </w:tr>
      <w:tr w:rsidR="0057163C" w:rsidRPr="00170422" w14:paraId="1EE82ADA" w14:textId="77777777" w:rsidTr="00A400C5">
        <w:trPr>
          <w:trHeight w:val="309"/>
        </w:trPr>
        <w:tc>
          <w:tcPr>
            <w:tcW w:w="1202" w:type="dxa"/>
            <w:shd w:val="clear" w:color="auto" w:fill="C6EFCE"/>
            <w:noWrap/>
            <w:vAlign w:val="center"/>
          </w:tcPr>
          <w:p w14:paraId="3F3068D2" w14:textId="77777777" w:rsidR="0057163C" w:rsidRPr="00170422" w:rsidRDefault="00F37BF9">
            <w:pPr>
              <w:pStyle w:val="P68B1DB1-Normal11"/>
              <w:jc w:val="center"/>
              <w:rPr>
                <w:noProof/>
                <w:szCs w:val="20"/>
                <w:lang w:val="de-DE"/>
              </w:rPr>
            </w:pPr>
            <w:r w:rsidRPr="00170422">
              <w:rPr>
                <w:noProof/>
                <w:lang w:val="de-DE"/>
              </w:rPr>
              <w:t>M7-37</w:t>
            </w:r>
          </w:p>
        </w:tc>
        <w:tc>
          <w:tcPr>
            <w:tcW w:w="1579" w:type="dxa"/>
            <w:shd w:val="clear" w:color="auto" w:fill="C6EFCE"/>
            <w:noWrap/>
            <w:vAlign w:val="center"/>
          </w:tcPr>
          <w:p w14:paraId="3F3205AC" w14:textId="77777777" w:rsidR="0057163C" w:rsidRPr="00170422" w:rsidRDefault="00F37BF9">
            <w:pPr>
              <w:pStyle w:val="P68B1DB1-Normal11"/>
              <w:jc w:val="center"/>
              <w:rPr>
                <w:noProof/>
                <w:szCs w:val="20"/>
                <w:lang w:val="de-DE"/>
              </w:rPr>
            </w:pPr>
            <w:r w:rsidRPr="00170422">
              <w:rPr>
                <w:noProof/>
                <w:lang w:val="de-DE"/>
              </w:rPr>
              <w:t>Investition 13: Adriatic Line Phase 1 (Kompressorstation Sulmona und Gaspipeline Sestino-Minerbio)</w:t>
            </w:r>
          </w:p>
        </w:tc>
        <w:tc>
          <w:tcPr>
            <w:tcW w:w="1149" w:type="dxa"/>
            <w:shd w:val="clear" w:color="auto" w:fill="C6EFCE"/>
            <w:noWrap/>
            <w:vAlign w:val="center"/>
          </w:tcPr>
          <w:p w14:paraId="7D1078F6" w14:textId="77777777" w:rsidR="0057163C" w:rsidRPr="00170422" w:rsidRDefault="00F37BF9">
            <w:pPr>
              <w:pStyle w:val="P68B1DB1-Normal11"/>
              <w:jc w:val="center"/>
              <w:rPr>
                <w:noProof/>
                <w:szCs w:val="20"/>
                <w:lang w:val="de-DE"/>
              </w:rPr>
            </w:pPr>
            <w:r w:rsidRPr="00170422">
              <w:rPr>
                <w:noProof/>
                <w:lang w:val="de-DE"/>
              </w:rPr>
              <w:t>Meilenstein</w:t>
            </w:r>
          </w:p>
        </w:tc>
        <w:tc>
          <w:tcPr>
            <w:tcW w:w="1435" w:type="dxa"/>
            <w:shd w:val="clear" w:color="auto" w:fill="C6EFCE"/>
            <w:noWrap/>
            <w:vAlign w:val="center"/>
          </w:tcPr>
          <w:p w14:paraId="7BFD81A1" w14:textId="77777777" w:rsidR="0057163C" w:rsidRPr="00170422" w:rsidRDefault="00F37BF9">
            <w:pPr>
              <w:pStyle w:val="P68B1DB1-Normal11"/>
              <w:jc w:val="center"/>
              <w:rPr>
                <w:rFonts w:eastAsia="Calibri" w:cstheme="minorHAnsi"/>
                <w:noProof/>
                <w:szCs w:val="20"/>
                <w:lang w:val="de-DE"/>
              </w:rPr>
            </w:pPr>
            <w:r w:rsidRPr="00170422">
              <w:rPr>
                <w:noProof/>
                <w:lang w:val="de-DE"/>
              </w:rPr>
              <w:t>Abschluss der Arbeiten</w:t>
            </w:r>
          </w:p>
        </w:tc>
        <w:tc>
          <w:tcPr>
            <w:tcW w:w="1723" w:type="dxa"/>
            <w:shd w:val="clear" w:color="auto" w:fill="C6EFCE"/>
            <w:noWrap/>
            <w:vAlign w:val="center"/>
          </w:tcPr>
          <w:p w14:paraId="4762FEE4" w14:textId="77777777" w:rsidR="0057163C" w:rsidRPr="00170422" w:rsidRDefault="00F37BF9">
            <w:pPr>
              <w:pStyle w:val="P68B1DB1-Normal11"/>
              <w:jc w:val="center"/>
              <w:rPr>
                <w:noProof/>
                <w:szCs w:val="20"/>
                <w:lang w:val="de-DE"/>
              </w:rPr>
            </w:pPr>
            <w:r w:rsidRPr="00170422">
              <w:rPr>
                <w:noProof/>
                <w:szCs w:val="20"/>
                <w:lang w:val="de-DE"/>
              </w:rPr>
              <w:t>Ausstellung von Bescheinigungen</w:t>
            </w:r>
            <w:r w:rsidRPr="00170422">
              <w:rPr>
                <w:noProof/>
                <w:lang w:val="de-DE"/>
              </w:rPr>
              <w:t xml:space="preserve"> über den Abschluss der Arbeiten</w:t>
            </w:r>
            <w:r w:rsidRPr="00170422">
              <w:rPr>
                <w:noProof/>
                <w:szCs w:val="20"/>
                <w:lang w:val="de-DE"/>
              </w:rPr>
              <w:t xml:space="preserve"> </w:t>
            </w:r>
          </w:p>
        </w:tc>
        <w:tc>
          <w:tcPr>
            <w:tcW w:w="1293" w:type="dxa"/>
            <w:shd w:val="clear" w:color="auto" w:fill="C6EFCE"/>
            <w:noWrap/>
            <w:vAlign w:val="center"/>
          </w:tcPr>
          <w:p w14:paraId="3BD93EFB" w14:textId="77777777" w:rsidR="0057163C" w:rsidRPr="00170422" w:rsidRDefault="0057163C">
            <w:pPr>
              <w:jc w:val="center"/>
              <w:rPr>
                <w:rFonts w:ascii="Arial Narrow" w:hAnsi="Arial Narrow"/>
                <w:noProof/>
                <w:color w:val="006100"/>
                <w:sz w:val="20"/>
                <w:szCs w:val="20"/>
                <w:lang w:val="de-DE"/>
              </w:rPr>
            </w:pPr>
          </w:p>
        </w:tc>
        <w:tc>
          <w:tcPr>
            <w:tcW w:w="1343" w:type="dxa"/>
            <w:shd w:val="clear" w:color="auto" w:fill="C6EFCE"/>
            <w:noWrap/>
            <w:vAlign w:val="center"/>
          </w:tcPr>
          <w:p w14:paraId="1851E7F8" w14:textId="77777777" w:rsidR="0057163C" w:rsidRPr="00170422" w:rsidRDefault="0057163C">
            <w:pPr>
              <w:jc w:val="center"/>
              <w:rPr>
                <w:rFonts w:ascii="Arial Narrow" w:hAnsi="Arial Narrow"/>
                <w:noProof/>
                <w:color w:val="006100"/>
                <w:sz w:val="20"/>
                <w:szCs w:val="20"/>
                <w:lang w:val="de-DE"/>
              </w:rPr>
            </w:pPr>
          </w:p>
        </w:tc>
        <w:tc>
          <w:tcPr>
            <w:tcW w:w="955" w:type="dxa"/>
            <w:shd w:val="clear" w:color="auto" w:fill="C6EFCE"/>
            <w:noWrap/>
            <w:vAlign w:val="center"/>
          </w:tcPr>
          <w:p w14:paraId="193CE532" w14:textId="77777777" w:rsidR="0057163C" w:rsidRPr="00170422" w:rsidRDefault="0057163C">
            <w:pPr>
              <w:jc w:val="center"/>
              <w:rPr>
                <w:rFonts w:ascii="Arial Narrow" w:hAnsi="Arial Narrow"/>
                <w:noProof/>
                <w:color w:val="006100"/>
                <w:sz w:val="20"/>
                <w:szCs w:val="20"/>
                <w:lang w:val="de-DE"/>
              </w:rPr>
            </w:pPr>
          </w:p>
        </w:tc>
        <w:tc>
          <w:tcPr>
            <w:tcW w:w="862" w:type="dxa"/>
            <w:shd w:val="clear" w:color="auto" w:fill="C6EFCE"/>
            <w:noWrap/>
            <w:vAlign w:val="center"/>
          </w:tcPr>
          <w:p w14:paraId="5031694F" w14:textId="77777777" w:rsidR="0057163C" w:rsidRPr="00170422" w:rsidRDefault="00F37BF9">
            <w:pPr>
              <w:pStyle w:val="P68B1DB1-Normal11"/>
              <w:jc w:val="center"/>
              <w:rPr>
                <w:noProof/>
                <w:szCs w:val="20"/>
                <w:lang w:val="de-DE"/>
              </w:rPr>
            </w:pPr>
            <w:r w:rsidRPr="00170422">
              <w:rPr>
                <w:noProof/>
                <w:lang w:val="de-DE"/>
              </w:rPr>
              <w:t>Q2</w:t>
            </w:r>
          </w:p>
        </w:tc>
        <w:tc>
          <w:tcPr>
            <w:tcW w:w="717" w:type="dxa"/>
            <w:shd w:val="clear" w:color="auto" w:fill="C6EFCE"/>
            <w:noWrap/>
            <w:vAlign w:val="center"/>
          </w:tcPr>
          <w:p w14:paraId="12A1D3BE" w14:textId="77777777" w:rsidR="0057163C" w:rsidRPr="00170422" w:rsidRDefault="00F37BF9">
            <w:pPr>
              <w:pStyle w:val="P68B1DB1-Normal11"/>
              <w:jc w:val="center"/>
              <w:rPr>
                <w:noProof/>
                <w:szCs w:val="20"/>
                <w:lang w:val="de-DE"/>
              </w:rPr>
            </w:pPr>
            <w:r w:rsidRPr="00170422">
              <w:rPr>
                <w:noProof/>
                <w:lang w:val="de-DE"/>
              </w:rPr>
              <w:t>2026</w:t>
            </w:r>
          </w:p>
        </w:tc>
        <w:tc>
          <w:tcPr>
            <w:tcW w:w="3303" w:type="dxa"/>
            <w:shd w:val="clear" w:color="auto" w:fill="C6EFCE"/>
            <w:noWrap/>
            <w:vAlign w:val="center"/>
          </w:tcPr>
          <w:p w14:paraId="6544E3E8" w14:textId="77777777" w:rsidR="0057163C" w:rsidRPr="00170422" w:rsidRDefault="00F37BF9">
            <w:pPr>
              <w:pStyle w:val="P68B1DB1-Normal12"/>
              <w:rPr>
                <w:noProof/>
                <w:lang w:val="de-DE"/>
              </w:rPr>
            </w:pPr>
            <w:r w:rsidRPr="00170422">
              <w:rPr>
                <w:noProof/>
                <w:lang w:val="de-DE"/>
              </w:rPr>
              <w:t>Die Fertigstellungsbescheinigung für die Arbeiten an der Kompressorstation Sulmona und der Gaspipeline Sestino-Minerbio wird zur Erhöhung der technischen Kapazität des Gastransports um 14 Mio. m³/Tag ausgestellt.</w:t>
            </w:r>
          </w:p>
        </w:tc>
      </w:tr>
      <w:tr w:rsidR="0057163C" w:rsidRPr="00170422" w14:paraId="6CEB988D" w14:textId="77777777" w:rsidTr="00A400C5">
        <w:trPr>
          <w:trHeight w:val="309"/>
        </w:trPr>
        <w:tc>
          <w:tcPr>
            <w:tcW w:w="1202" w:type="dxa"/>
            <w:shd w:val="clear" w:color="auto" w:fill="C6EFCE"/>
            <w:noWrap/>
            <w:vAlign w:val="center"/>
          </w:tcPr>
          <w:p w14:paraId="4BC0B26E" w14:textId="77777777" w:rsidR="0057163C" w:rsidRPr="00170422" w:rsidRDefault="00F37BF9">
            <w:pPr>
              <w:pStyle w:val="P68B1DB1-Normal11"/>
              <w:jc w:val="center"/>
              <w:rPr>
                <w:noProof/>
                <w:szCs w:val="20"/>
                <w:lang w:val="de-DE"/>
              </w:rPr>
            </w:pPr>
            <w:r w:rsidRPr="00170422">
              <w:rPr>
                <w:noProof/>
                <w:lang w:val="de-DE"/>
              </w:rPr>
              <w:t>M7-38</w:t>
            </w:r>
          </w:p>
        </w:tc>
        <w:tc>
          <w:tcPr>
            <w:tcW w:w="1579" w:type="dxa"/>
            <w:shd w:val="clear" w:color="auto" w:fill="C6EFCE"/>
            <w:noWrap/>
            <w:vAlign w:val="center"/>
          </w:tcPr>
          <w:p w14:paraId="3A89F982" w14:textId="77777777" w:rsidR="0057163C" w:rsidRPr="00170422" w:rsidRDefault="00F37BF9">
            <w:pPr>
              <w:pStyle w:val="P68B1DB1-Normal11"/>
              <w:jc w:val="center"/>
              <w:rPr>
                <w:noProof/>
                <w:szCs w:val="20"/>
                <w:lang w:val="de-DE"/>
              </w:rPr>
            </w:pPr>
            <w:r w:rsidRPr="00170422">
              <w:rPr>
                <w:noProof/>
                <w:lang w:val="de-DE"/>
              </w:rPr>
              <w:t xml:space="preserve">Investition 14: </w:t>
            </w:r>
            <w:r w:rsidRPr="00170422">
              <w:rPr>
                <w:noProof/>
                <w:lang w:val="de-DE"/>
              </w:rPr>
              <w:t>Infrastruktur für den grenzüberschreitenden Gasexport</w:t>
            </w:r>
          </w:p>
        </w:tc>
        <w:tc>
          <w:tcPr>
            <w:tcW w:w="1149" w:type="dxa"/>
            <w:shd w:val="clear" w:color="auto" w:fill="C6EFCE"/>
            <w:noWrap/>
            <w:vAlign w:val="center"/>
          </w:tcPr>
          <w:p w14:paraId="5A35B802" w14:textId="77777777" w:rsidR="0057163C" w:rsidRPr="00170422" w:rsidRDefault="00F37BF9">
            <w:pPr>
              <w:pStyle w:val="P68B1DB1-Normal11"/>
              <w:jc w:val="center"/>
              <w:rPr>
                <w:noProof/>
                <w:szCs w:val="20"/>
                <w:lang w:val="de-DE"/>
              </w:rPr>
            </w:pPr>
            <w:r w:rsidRPr="00170422">
              <w:rPr>
                <w:noProof/>
                <w:lang w:val="de-DE"/>
              </w:rPr>
              <w:t>Meilenstein</w:t>
            </w:r>
          </w:p>
        </w:tc>
        <w:tc>
          <w:tcPr>
            <w:tcW w:w="1435" w:type="dxa"/>
            <w:shd w:val="clear" w:color="auto" w:fill="C6EFCE"/>
            <w:noWrap/>
            <w:vAlign w:val="center"/>
          </w:tcPr>
          <w:p w14:paraId="59E0FF04" w14:textId="77777777" w:rsidR="0057163C" w:rsidRPr="00170422" w:rsidRDefault="00F37BF9">
            <w:pPr>
              <w:pStyle w:val="P68B1DB1-Normal11"/>
              <w:jc w:val="center"/>
              <w:rPr>
                <w:noProof/>
                <w:szCs w:val="20"/>
                <w:lang w:val="de-DE"/>
              </w:rPr>
            </w:pPr>
            <w:r w:rsidRPr="00170422">
              <w:rPr>
                <w:noProof/>
                <w:lang w:val="de-DE"/>
              </w:rPr>
              <w:t>Vergabe öffentlicher Aufträge</w:t>
            </w:r>
          </w:p>
        </w:tc>
        <w:tc>
          <w:tcPr>
            <w:tcW w:w="1723" w:type="dxa"/>
            <w:shd w:val="clear" w:color="auto" w:fill="C6EFCE"/>
            <w:noWrap/>
            <w:vAlign w:val="center"/>
          </w:tcPr>
          <w:p w14:paraId="27A41193" w14:textId="77777777" w:rsidR="0057163C" w:rsidRPr="00170422" w:rsidRDefault="00F37BF9">
            <w:pPr>
              <w:pStyle w:val="P68B1DB1-Normal11"/>
              <w:jc w:val="center"/>
              <w:rPr>
                <w:noProof/>
                <w:szCs w:val="20"/>
                <w:lang w:val="de-DE"/>
              </w:rPr>
            </w:pPr>
            <w:r w:rsidRPr="00170422">
              <w:rPr>
                <w:noProof/>
                <w:lang w:val="de-DE"/>
              </w:rPr>
              <w:t>Mitteilung über die Auftragsvergabe</w:t>
            </w:r>
          </w:p>
        </w:tc>
        <w:tc>
          <w:tcPr>
            <w:tcW w:w="1293" w:type="dxa"/>
            <w:shd w:val="clear" w:color="auto" w:fill="C6EFCE"/>
            <w:noWrap/>
            <w:vAlign w:val="center"/>
          </w:tcPr>
          <w:p w14:paraId="5C42F510" w14:textId="77777777" w:rsidR="0057163C" w:rsidRPr="00170422" w:rsidRDefault="0057163C">
            <w:pPr>
              <w:jc w:val="center"/>
              <w:rPr>
                <w:rFonts w:ascii="Arial Narrow" w:hAnsi="Arial Narrow"/>
                <w:noProof/>
                <w:color w:val="FF0000"/>
                <w:sz w:val="20"/>
                <w:szCs w:val="20"/>
                <w:lang w:val="de-DE"/>
              </w:rPr>
            </w:pPr>
          </w:p>
        </w:tc>
        <w:tc>
          <w:tcPr>
            <w:tcW w:w="1343" w:type="dxa"/>
            <w:shd w:val="clear" w:color="auto" w:fill="C6EFCE"/>
            <w:noWrap/>
            <w:vAlign w:val="center"/>
          </w:tcPr>
          <w:p w14:paraId="0FC05DA7" w14:textId="77777777" w:rsidR="0057163C" w:rsidRPr="00170422" w:rsidRDefault="0057163C">
            <w:pPr>
              <w:jc w:val="center"/>
              <w:rPr>
                <w:rFonts w:ascii="Arial Narrow" w:hAnsi="Arial Narrow"/>
                <w:noProof/>
                <w:color w:val="006100"/>
                <w:sz w:val="20"/>
                <w:szCs w:val="20"/>
                <w:lang w:val="de-DE"/>
              </w:rPr>
            </w:pPr>
          </w:p>
        </w:tc>
        <w:tc>
          <w:tcPr>
            <w:tcW w:w="955" w:type="dxa"/>
            <w:shd w:val="clear" w:color="auto" w:fill="C6EFCE"/>
            <w:noWrap/>
            <w:vAlign w:val="center"/>
          </w:tcPr>
          <w:p w14:paraId="61D5864A" w14:textId="77777777" w:rsidR="0057163C" w:rsidRPr="00170422" w:rsidRDefault="0057163C">
            <w:pPr>
              <w:jc w:val="center"/>
              <w:rPr>
                <w:rFonts w:ascii="Arial Narrow" w:hAnsi="Arial Narrow"/>
                <w:noProof/>
                <w:color w:val="006100"/>
                <w:sz w:val="20"/>
                <w:szCs w:val="20"/>
                <w:lang w:val="de-DE"/>
              </w:rPr>
            </w:pPr>
          </w:p>
        </w:tc>
        <w:tc>
          <w:tcPr>
            <w:tcW w:w="862" w:type="dxa"/>
            <w:shd w:val="clear" w:color="auto" w:fill="C6EFCE"/>
            <w:noWrap/>
            <w:vAlign w:val="center"/>
          </w:tcPr>
          <w:p w14:paraId="578DAEAE" w14:textId="77777777" w:rsidR="0057163C" w:rsidRPr="00170422" w:rsidRDefault="00F37BF9">
            <w:pPr>
              <w:pStyle w:val="P68B1DB1-Normal11"/>
              <w:jc w:val="center"/>
              <w:rPr>
                <w:noProof/>
                <w:szCs w:val="20"/>
                <w:lang w:val="de-DE"/>
              </w:rPr>
            </w:pPr>
            <w:r w:rsidRPr="00170422">
              <w:rPr>
                <w:noProof/>
                <w:lang w:val="de-DE"/>
              </w:rPr>
              <w:t>Q2</w:t>
            </w:r>
          </w:p>
        </w:tc>
        <w:tc>
          <w:tcPr>
            <w:tcW w:w="717" w:type="dxa"/>
            <w:shd w:val="clear" w:color="auto" w:fill="C6EFCE"/>
            <w:noWrap/>
            <w:vAlign w:val="center"/>
          </w:tcPr>
          <w:p w14:paraId="71733554" w14:textId="77777777" w:rsidR="0057163C" w:rsidRPr="00170422" w:rsidRDefault="00F37BF9">
            <w:pPr>
              <w:pStyle w:val="P68B1DB1-Normal11"/>
              <w:jc w:val="center"/>
              <w:rPr>
                <w:noProof/>
                <w:szCs w:val="20"/>
                <w:lang w:val="de-DE"/>
              </w:rPr>
            </w:pPr>
            <w:r w:rsidRPr="00170422">
              <w:rPr>
                <w:noProof/>
                <w:lang w:val="de-DE"/>
              </w:rPr>
              <w:t>2024</w:t>
            </w:r>
          </w:p>
        </w:tc>
        <w:tc>
          <w:tcPr>
            <w:tcW w:w="3303" w:type="dxa"/>
            <w:shd w:val="clear" w:color="auto" w:fill="C6EFCE"/>
            <w:noWrap/>
            <w:vAlign w:val="center"/>
          </w:tcPr>
          <w:p w14:paraId="6BD1DBD6" w14:textId="77777777" w:rsidR="0057163C" w:rsidRPr="00170422" w:rsidRDefault="00F37BF9">
            <w:pPr>
              <w:pStyle w:val="P68B1DB1-Normal11"/>
              <w:rPr>
                <w:noProof/>
                <w:szCs w:val="20"/>
                <w:lang w:val="de-DE"/>
              </w:rPr>
            </w:pPr>
            <w:r w:rsidRPr="00170422">
              <w:rPr>
                <w:noProof/>
                <w:lang w:val="de-DE"/>
              </w:rPr>
              <w:t xml:space="preserve">Mitteilung über die Vergabe aller Aufträge für die Arbeiten, die für die Fertigstellung der Kompressorstation </w:t>
            </w:r>
            <w:r w:rsidRPr="00170422">
              <w:rPr>
                <w:noProof/>
                <w:lang w:val="de-DE"/>
              </w:rPr>
              <w:t>Poggio Renatico erforderlich sind</w:t>
            </w:r>
          </w:p>
        </w:tc>
      </w:tr>
      <w:tr w:rsidR="0057163C" w:rsidRPr="00170422" w14:paraId="41926CEA" w14:textId="77777777" w:rsidTr="00A400C5">
        <w:trPr>
          <w:trHeight w:val="309"/>
        </w:trPr>
        <w:tc>
          <w:tcPr>
            <w:tcW w:w="1202" w:type="dxa"/>
            <w:shd w:val="clear" w:color="auto" w:fill="C6EFCE"/>
            <w:noWrap/>
            <w:vAlign w:val="center"/>
          </w:tcPr>
          <w:p w14:paraId="25484426" w14:textId="77777777" w:rsidR="0057163C" w:rsidRPr="00170422" w:rsidRDefault="00F37BF9">
            <w:pPr>
              <w:pStyle w:val="P68B1DB1-Normal11"/>
              <w:jc w:val="center"/>
              <w:rPr>
                <w:noProof/>
                <w:szCs w:val="20"/>
                <w:lang w:val="de-DE"/>
              </w:rPr>
            </w:pPr>
            <w:r w:rsidRPr="00170422">
              <w:rPr>
                <w:noProof/>
                <w:lang w:val="de-DE"/>
              </w:rPr>
              <w:t>M7-39</w:t>
            </w:r>
          </w:p>
        </w:tc>
        <w:tc>
          <w:tcPr>
            <w:tcW w:w="1579" w:type="dxa"/>
            <w:shd w:val="clear" w:color="auto" w:fill="C6EFCE"/>
            <w:noWrap/>
            <w:vAlign w:val="center"/>
          </w:tcPr>
          <w:p w14:paraId="606B2112" w14:textId="77777777" w:rsidR="0057163C" w:rsidRPr="00170422" w:rsidRDefault="00F37BF9">
            <w:pPr>
              <w:pStyle w:val="P68B1DB1-Normal11"/>
              <w:jc w:val="center"/>
              <w:rPr>
                <w:noProof/>
                <w:szCs w:val="20"/>
                <w:lang w:val="de-DE"/>
              </w:rPr>
            </w:pPr>
            <w:r w:rsidRPr="00170422">
              <w:rPr>
                <w:noProof/>
                <w:lang w:val="de-DE"/>
              </w:rPr>
              <w:t>Investition 14: Infrastruktur für den grenzüberschreitenden Gasexport</w:t>
            </w:r>
          </w:p>
        </w:tc>
        <w:tc>
          <w:tcPr>
            <w:tcW w:w="1149" w:type="dxa"/>
            <w:shd w:val="clear" w:color="auto" w:fill="C6EFCE"/>
            <w:noWrap/>
            <w:vAlign w:val="center"/>
          </w:tcPr>
          <w:p w14:paraId="08E0A362" w14:textId="77777777" w:rsidR="0057163C" w:rsidRPr="00170422" w:rsidRDefault="00F37BF9">
            <w:pPr>
              <w:pStyle w:val="P68B1DB1-Normal11"/>
              <w:jc w:val="center"/>
              <w:rPr>
                <w:noProof/>
                <w:szCs w:val="20"/>
                <w:lang w:val="de-DE"/>
              </w:rPr>
            </w:pPr>
            <w:r w:rsidRPr="00170422">
              <w:rPr>
                <w:noProof/>
                <w:lang w:val="de-DE"/>
              </w:rPr>
              <w:t>Meilenstein</w:t>
            </w:r>
          </w:p>
        </w:tc>
        <w:tc>
          <w:tcPr>
            <w:tcW w:w="1435" w:type="dxa"/>
            <w:shd w:val="clear" w:color="auto" w:fill="C6EFCE"/>
            <w:noWrap/>
            <w:vAlign w:val="center"/>
          </w:tcPr>
          <w:p w14:paraId="2CE89309" w14:textId="77777777" w:rsidR="0057163C" w:rsidRPr="00170422" w:rsidRDefault="00F37BF9">
            <w:pPr>
              <w:pStyle w:val="P68B1DB1-Normal11"/>
              <w:jc w:val="center"/>
              <w:rPr>
                <w:noProof/>
                <w:szCs w:val="20"/>
                <w:lang w:val="de-DE"/>
              </w:rPr>
            </w:pPr>
            <w:r w:rsidRPr="00170422">
              <w:rPr>
                <w:noProof/>
                <w:lang w:val="de-DE"/>
              </w:rPr>
              <w:t>Abschluss der Arbeiten</w:t>
            </w:r>
          </w:p>
        </w:tc>
        <w:tc>
          <w:tcPr>
            <w:tcW w:w="1723" w:type="dxa"/>
            <w:shd w:val="clear" w:color="auto" w:fill="C6EFCE"/>
            <w:noWrap/>
            <w:vAlign w:val="center"/>
          </w:tcPr>
          <w:p w14:paraId="715D8F17" w14:textId="77777777" w:rsidR="0057163C" w:rsidRPr="00170422" w:rsidRDefault="00F37BF9">
            <w:pPr>
              <w:pStyle w:val="P68B1DB1-Normal11"/>
              <w:jc w:val="center"/>
              <w:rPr>
                <w:noProof/>
                <w:szCs w:val="20"/>
                <w:lang w:val="de-DE"/>
              </w:rPr>
            </w:pPr>
            <w:r w:rsidRPr="00170422">
              <w:rPr>
                <w:noProof/>
                <w:szCs w:val="20"/>
                <w:lang w:val="de-DE"/>
              </w:rPr>
              <w:t>Bescheinigung über</w:t>
            </w:r>
            <w:r w:rsidRPr="00170422">
              <w:rPr>
                <w:noProof/>
                <w:lang w:val="de-DE"/>
              </w:rPr>
              <w:t xml:space="preserve"> den Abschluss der Arbeiten</w:t>
            </w:r>
            <w:r w:rsidRPr="00170422">
              <w:rPr>
                <w:noProof/>
                <w:szCs w:val="20"/>
                <w:lang w:val="de-DE"/>
              </w:rPr>
              <w:t xml:space="preserve"> ausgestellt</w:t>
            </w:r>
          </w:p>
        </w:tc>
        <w:tc>
          <w:tcPr>
            <w:tcW w:w="1293" w:type="dxa"/>
            <w:shd w:val="clear" w:color="auto" w:fill="C6EFCE"/>
            <w:noWrap/>
            <w:vAlign w:val="center"/>
          </w:tcPr>
          <w:p w14:paraId="2D4768DB" w14:textId="77777777" w:rsidR="0057163C" w:rsidRPr="00170422" w:rsidRDefault="0057163C">
            <w:pPr>
              <w:jc w:val="center"/>
              <w:rPr>
                <w:rFonts w:ascii="Arial Narrow" w:hAnsi="Arial Narrow"/>
                <w:noProof/>
                <w:color w:val="006100"/>
                <w:sz w:val="20"/>
                <w:szCs w:val="20"/>
                <w:lang w:val="de-DE"/>
              </w:rPr>
            </w:pPr>
          </w:p>
        </w:tc>
        <w:tc>
          <w:tcPr>
            <w:tcW w:w="1343" w:type="dxa"/>
            <w:shd w:val="clear" w:color="auto" w:fill="C6EFCE"/>
            <w:noWrap/>
            <w:vAlign w:val="center"/>
          </w:tcPr>
          <w:p w14:paraId="278E6B02" w14:textId="77777777" w:rsidR="0057163C" w:rsidRPr="00170422" w:rsidRDefault="0057163C">
            <w:pPr>
              <w:jc w:val="center"/>
              <w:rPr>
                <w:rFonts w:ascii="Arial Narrow" w:hAnsi="Arial Narrow"/>
                <w:noProof/>
                <w:color w:val="006100"/>
                <w:sz w:val="20"/>
                <w:szCs w:val="20"/>
                <w:lang w:val="de-DE"/>
              </w:rPr>
            </w:pPr>
          </w:p>
        </w:tc>
        <w:tc>
          <w:tcPr>
            <w:tcW w:w="955" w:type="dxa"/>
            <w:shd w:val="clear" w:color="auto" w:fill="C6EFCE"/>
            <w:noWrap/>
            <w:vAlign w:val="center"/>
          </w:tcPr>
          <w:p w14:paraId="1DABF037" w14:textId="77777777" w:rsidR="0057163C" w:rsidRPr="00170422" w:rsidRDefault="0057163C">
            <w:pPr>
              <w:jc w:val="center"/>
              <w:rPr>
                <w:rFonts w:ascii="Arial Narrow" w:hAnsi="Arial Narrow"/>
                <w:noProof/>
                <w:color w:val="006100"/>
                <w:sz w:val="20"/>
                <w:szCs w:val="20"/>
                <w:lang w:val="de-DE"/>
              </w:rPr>
            </w:pPr>
          </w:p>
        </w:tc>
        <w:tc>
          <w:tcPr>
            <w:tcW w:w="862" w:type="dxa"/>
            <w:shd w:val="clear" w:color="auto" w:fill="C6EFCE"/>
            <w:noWrap/>
            <w:vAlign w:val="center"/>
          </w:tcPr>
          <w:p w14:paraId="682B2234" w14:textId="77777777" w:rsidR="0057163C" w:rsidRPr="00170422" w:rsidRDefault="00F37BF9">
            <w:pPr>
              <w:pStyle w:val="P68B1DB1-Normal11"/>
              <w:jc w:val="center"/>
              <w:rPr>
                <w:noProof/>
                <w:szCs w:val="20"/>
                <w:lang w:val="de-DE"/>
              </w:rPr>
            </w:pPr>
            <w:r w:rsidRPr="00170422">
              <w:rPr>
                <w:noProof/>
                <w:lang w:val="de-DE"/>
              </w:rPr>
              <w:t>Q2</w:t>
            </w:r>
          </w:p>
        </w:tc>
        <w:tc>
          <w:tcPr>
            <w:tcW w:w="717" w:type="dxa"/>
            <w:shd w:val="clear" w:color="auto" w:fill="C6EFCE"/>
            <w:noWrap/>
            <w:vAlign w:val="center"/>
          </w:tcPr>
          <w:p w14:paraId="59CC15E2" w14:textId="77777777" w:rsidR="0057163C" w:rsidRPr="00170422" w:rsidRDefault="00F37BF9">
            <w:pPr>
              <w:pStyle w:val="P68B1DB1-Normal11"/>
              <w:jc w:val="center"/>
              <w:rPr>
                <w:noProof/>
                <w:szCs w:val="20"/>
                <w:lang w:val="de-DE"/>
              </w:rPr>
            </w:pPr>
            <w:r w:rsidRPr="00170422">
              <w:rPr>
                <w:noProof/>
                <w:lang w:val="de-DE"/>
              </w:rPr>
              <w:t>2026</w:t>
            </w:r>
          </w:p>
        </w:tc>
        <w:tc>
          <w:tcPr>
            <w:tcW w:w="3303" w:type="dxa"/>
            <w:shd w:val="clear" w:color="auto" w:fill="C6EFCE"/>
            <w:noWrap/>
            <w:vAlign w:val="center"/>
          </w:tcPr>
          <w:p w14:paraId="057055A6" w14:textId="77777777" w:rsidR="0057163C" w:rsidRPr="00170422" w:rsidRDefault="00F37BF9">
            <w:pPr>
              <w:pStyle w:val="P68B1DB1-Normal11"/>
              <w:rPr>
                <w:noProof/>
                <w:szCs w:val="20"/>
                <w:lang w:val="de-DE"/>
              </w:rPr>
            </w:pPr>
            <w:r w:rsidRPr="00170422">
              <w:rPr>
                <w:noProof/>
                <w:szCs w:val="20"/>
                <w:lang w:val="de-DE"/>
              </w:rPr>
              <w:t xml:space="preserve">Die Abschlussbescheinigung für die </w:t>
            </w:r>
            <w:r w:rsidRPr="00170422">
              <w:rPr>
                <w:noProof/>
                <w:szCs w:val="20"/>
                <w:lang w:val="de-DE"/>
              </w:rPr>
              <w:t>Arbeiten am Kompressionsgerät</w:t>
            </w:r>
            <w:r w:rsidRPr="00170422">
              <w:rPr>
                <w:noProof/>
                <w:lang w:val="de-DE"/>
              </w:rPr>
              <w:t xml:space="preserve"> in der Kompressorstation Poggio Renatico </w:t>
            </w:r>
            <w:r w:rsidRPr="00170422">
              <w:rPr>
                <w:noProof/>
                <w:szCs w:val="20"/>
                <w:lang w:val="de-DE"/>
              </w:rPr>
              <w:t>wird ausgestellt, um die technische Kapazität der Gasausfuhr über die Ausspeisestelle Tarvisio um 8 Mrd. m³/Jahr zu erhöhen.</w:t>
            </w:r>
          </w:p>
        </w:tc>
      </w:tr>
      <w:tr w:rsidR="0057163C" w:rsidRPr="00170422" w14:paraId="39A71B65" w14:textId="77777777" w:rsidTr="00A400C5">
        <w:trPr>
          <w:trHeight w:val="309"/>
        </w:trPr>
        <w:tc>
          <w:tcPr>
            <w:tcW w:w="1202" w:type="dxa"/>
            <w:shd w:val="clear" w:color="auto" w:fill="C6EFCE"/>
            <w:noWrap/>
            <w:vAlign w:val="center"/>
          </w:tcPr>
          <w:p w14:paraId="29691BE9" w14:textId="77777777" w:rsidR="0057163C" w:rsidRPr="00170422" w:rsidRDefault="00F37BF9">
            <w:pPr>
              <w:pStyle w:val="P68B1DB1-Normal11"/>
              <w:jc w:val="center"/>
              <w:rPr>
                <w:noProof/>
                <w:szCs w:val="20"/>
                <w:lang w:val="de-DE"/>
              </w:rPr>
            </w:pPr>
            <w:r w:rsidRPr="00170422">
              <w:rPr>
                <w:noProof/>
                <w:lang w:val="de-DE"/>
              </w:rPr>
              <w:t>M7-40</w:t>
            </w:r>
          </w:p>
        </w:tc>
        <w:tc>
          <w:tcPr>
            <w:tcW w:w="1579" w:type="dxa"/>
            <w:shd w:val="clear" w:color="auto" w:fill="C6EFCE"/>
            <w:noWrap/>
            <w:vAlign w:val="center"/>
          </w:tcPr>
          <w:p w14:paraId="40607763" w14:textId="633E23DE" w:rsidR="0057163C" w:rsidRPr="00170422" w:rsidRDefault="00F37BF9">
            <w:pPr>
              <w:pStyle w:val="P68B1DB1-Normal11"/>
              <w:jc w:val="center"/>
              <w:rPr>
                <w:noProof/>
                <w:szCs w:val="20"/>
                <w:lang w:val="de-DE"/>
              </w:rPr>
            </w:pPr>
            <w:r w:rsidRPr="00170422">
              <w:rPr>
                <w:noProof/>
                <w:lang w:val="de-DE"/>
              </w:rPr>
              <w:t>Investition 15: Transizione 5.0</w:t>
            </w:r>
          </w:p>
        </w:tc>
        <w:tc>
          <w:tcPr>
            <w:tcW w:w="1149" w:type="dxa"/>
            <w:shd w:val="clear" w:color="auto" w:fill="C6EFCE"/>
            <w:noWrap/>
            <w:vAlign w:val="center"/>
          </w:tcPr>
          <w:p w14:paraId="4FD0DE37" w14:textId="77777777" w:rsidR="0057163C" w:rsidRPr="00170422" w:rsidRDefault="00F37BF9">
            <w:pPr>
              <w:pStyle w:val="P68B1DB1-Normal11"/>
              <w:jc w:val="center"/>
              <w:rPr>
                <w:noProof/>
                <w:szCs w:val="20"/>
                <w:lang w:val="de-DE"/>
              </w:rPr>
            </w:pPr>
            <w:r w:rsidRPr="00170422">
              <w:rPr>
                <w:noProof/>
                <w:lang w:val="de-DE"/>
              </w:rPr>
              <w:t>Meilenstein</w:t>
            </w:r>
          </w:p>
        </w:tc>
        <w:tc>
          <w:tcPr>
            <w:tcW w:w="1435" w:type="dxa"/>
            <w:shd w:val="clear" w:color="auto" w:fill="C6EFCE"/>
            <w:noWrap/>
            <w:vAlign w:val="center"/>
          </w:tcPr>
          <w:p w14:paraId="1AE9C83D" w14:textId="77777777" w:rsidR="0057163C" w:rsidRPr="00170422" w:rsidRDefault="00F37BF9">
            <w:pPr>
              <w:pStyle w:val="P68B1DB1-Normal11"/>
              <w:jc w:val="center"/>
              <w:rPr>
                <w:noProof/>
                <w:szCs w:val="20"/>
                <w:lang w:val="de-DE"/>
              </w:rPr>
            </w:pPr>
            <w:r w:rsidRPr="00170422">
              <w:rPr>
                <w:noProof/>
                <w:lang w:val="de-DE"/>
              </w:rPr>
              <w:t>Inkrafttreten des Rechtsakts zur Festlegung der Kriterien für förderfähige Interventionen</w:t>
            </w:r>
          </w:p>
        </w:tc>
        <w:tc>
          <w:tcPr>
            <w:tcW w:w="1723" w:type="dxa"/>
            <w:shd w:val="clear" w:color="auto" w:fill="C6EFCE"/>
            <w:noWrap/>
            <w:vAlign w:val="center"/>
          </w:tcPr>
          <w:p w14:paraId="15B380FD" w14:textId="77777777" w:rsidR="0057163C" w:rsidRPr="00170422" w:rsidRDefault="00F37BF9">
            <w:pPr>
              <w:pStyle w:val="P68B1DB1-Normal11"/>
              <w:jc w:val="center"/>
              <w:rPr>
                <w:noProof/>
                <w:color w:val="FF0000"/>
                <w:szCs w:val="20"/>
                <w:lang w:val="de-DE"/>
              </w:rPr>
            </w:pPr>
            <w:r w:rsidRPr="00170422">
              <w:rPr>
                <w:noProof/>
                <w:lang w:val="de-DE"/>
              </w:rPr>
              <w:t>Gesetzliche Bestimmung über das Inkrafttreten des Gesetzes</w:t>
            </w:r>
          </w:p>
        </w:tc>
        <w:tc>
          <w:tcPr>
            <w:tcW w:w="1293" w:type="dxa"/>
            <w:shd w:val="clear" w:color="auto" w:fill="C6EFCE"/>
            <w:noWrap/>
            <w:vAlign w:val="center"/>
          </w:tcPr>
          <w:p w14:paraId="22681F90" w14:textId="77777777" w:rsidR="0057163C" w:rsidRPr="00170422" w:rsidRDefault="0057163C">
            <w:pPr>
              <w:jc w:val="center"/>
              <w:rPr>
                <w:rFonts w:ascii="Arial Narrow" w:hAnsi="Arial Narrow"/>
                <w:noProof/>
                <w:color w:val="006100"/>
                <w:sz w:val="20"/>
                <w:szCs w:val="20"/>
                <w:lang w:val="de-DE"/>
              </w:rPr>
            </w:pPr>
          </w:p>
        </w:tc>
        <w:tc>
          <w:tcPr>
            <w:tcW w:w="1343" w:type="dxa"/>
            <w:shd w:val="clear" w:color="auto" w:fill="C6EFCE"/>
            <w:noWrap/>
            <w:vAlign w:val="center"/>
          </w:tcPr>
          <w:p w14:paraId="0F8F8CE4" w14:textId="77777777" w:rsidR="0057163C" w:rsidRPr="00170422" w:rsidRDefault="0057163C">
            <w:pPr>
              <w:jc w:val="center"/>
              <w:rPr>
                <w:rFonts w:ascii="Arial Narrow" w:hAnsi="Arial Narrow"/>
                <w:noProof/>
                <w:color w:val="006100"/>
                <w:sz w:val="20"/>
                <w:szCs w:val="20"/>
                <w:lang w:val="de-DE"/>
              </w:rPr>
            </w:pPr>
          </w:p>
        </w:tc>
        <w:tc>
          <w:tcPr>
            <w:tcW w:w="955" w:type="dxa"/>
            <w:shd w:val="clear" w:color="auto" w:fill="C6EFCE"/>
            <w:noWrap/>
            <w:vAlign w:val="center"/>
          </w:tcPr>
          <w:p w14:paraId="111CB570" w14:textId="77777777" w:rsidR="0057163C" w:rsidRPr="00170422" w:rsidRDefault="0057163C">
            <w:pPr>
              <w:jc w:val="center"/>
              <w:rPr>
                <w:rFonts w:ascii="Arial Narrow" w:hAnsi="Arial Narrow"/>
                <w:noProof/>
                <w:color w:val="006100"/>
                <w:sz w:val="20"/>
                <w:szCs w:val="20"/>
                <w:lang w:val="de-DE"/>
              </w:rPr>
            </w:pPr>
          </w:p>
        </w:tc>
        <w:tc>
          <w:tcPr>
            <w:tcW w:w="862" w:type="dxa"/>
            <w:shd w:val="clear" w:color="auto" w:fill="C6EFCE"/>
            <w:noWrap/>
            <w:vAlign w:val="center"/>
          </w:tcPr>
          <w:p w14:paraId="15693C6B" w14:textId="77777777" w:rsidR="0057163C" w:rsidRPr="00170422" w:rsidRDefault="00F37BF9">
            <w:pPr>
              <w:pStyle w:val="P68B1DB1-Normal11"/>
              <w:jc w:val="center"/>
              <w:rPr>
                <w:noProof/>
                <w:szCs w:val="20"/>
                <w:lang w:val="de-DE"/>
              </w:rPr>
            </w:pPr>
            <w:r w:rsidRPr="00170422">
              <w:rPr>
                <w:noProof/>
                <w:lang w:val="de-DE"/>
              </w:rPr>
              <w:t>Q1</w:t>
            </w:r>
          </w:p>
        </w:tc>
        <w:tc>
          <w:tcPr>
            <w:tcW w:w="717" w:type="dxa"/>
            <w:shd w:val="clear" w:color="auto" w:fill="C6EFCE"/>
            <w:noWrap/>
            <w:vAlign w:val="center"/>
          </w:tcPr>
          <w:p w14:paraId="013F873A" w14:textId="77777777" w:rsidR="0057163C" w:rsidRPr="00170422" w:rsidRDefault="00F37BF9">
            <w:pPr>
              <w:pStyle w:val="P68B1DB1-Normal11"/>
              <w:jc w:val="center"/>
              <w:rPr>
                <w:noProof/>
                <w:szCs w:val="20"/>
                <w:lang w:val="de-DE"/>
              </w:rPr>
            </w:pPr>
            <w:r w:rsidRPr="00170422">
              <w:rPr>
                <w:noProof/>
                <w:lang w:val="de-DE"/>
              </w:rPr>
              <w:t>2024</w:t>
            </w:r>
          </w:p>
        </w:tc>
        <w:tc>
          <w:tcPr>
            <w:tcW w:w="3303" w:type="dxa"/>
            <w:shd w:val="clear" w:color="auto" w:fill="C6EFCE"/>
            <w:noWrap/>
            <w:vAlign w:val="center"/>
          </w:tcPr>
          <w:p w14:paraId="7D3371F1" w14:textId="77777777" w:rsidR="0057163C" w:rsidRPr="00170422" w:rsidRDefault="00F37BF9">
            <w:pPr>
              <w:pStyle w:val="P68B1DB1-Normal11"/>
              <w:rPr>
                <w:noProof/>
                <w:szCs w:val="20"/>
                <w:lang w:val="de-DE"/>
              </w:rPr>
            </w:pPr>
            <w:r w:rsidRPr="00170422">
              <w:rPr>
                <w:noProof/>
                <w:lang w:val="de-DE"/>
              </w:rPr>
              <w:t>Mit dem Rechtsakt werden potenziellen Empfängern Steuergutschriften von 5,0 für den Übergang zur</w:t>
            </w:r>
            <w:r w:rsidRPr="00170422">
              <w:rPr>
                <w:noProof/>
                <w:lang w:val="de-DE"/>
              </w:rPr>
              <w:t xml:space="preserve"> Verfügung gestellt, wobei die Förderkriterien, auch in Bezug auf Mindestenergieeinsparungen, und die maximale Ausgabenobergrenze für die Maßnahme festgelegt werden.</w:t>
            </w:r>
          </w:p>
        </w:tc>
      </w:tr>
      <w:tr w:rsidR="0057163C" w:rsidRPr="00170422" w14:paraId="3632720D" w14:textId="77777777" w:rsidTr="00A400C5">
        <w:trPr>
          <w:trHeight w:val="64"/>
        </w:trPr>
        <w:tc>
          <w:tcPr>
            <w:tcW w:w="1202" w:type="dxa"/>
            <w:shd w:val="clear" w:color="auto" w:fill="C6EFCE"/>
            <w:noWrap/>
            <w:vAlign w:val="center"/>
          </w:tcPr>
          <w:p w14:paraId="5AD2C5D6" w14:textId="77777777" w:rsidR="0057163C" w:rsidRPr="00170422" w:rsidRDefault="00F37BF9">
            <w:pPr>
              <w:pStyle w:val="P68B1DB1-Normal12"/>
              <w:jc w:val="center"/>
              <w:rPr>
                <w:noProof/>
                <w:lang w:val="de-DE"/>
              </w:rPr>
            </w:pPr>
            <w:r w:rsidRPr="00170422">
              <w:rPr>
                <w:noProof/>
                <w:lang w:val="de-DE"/>
              </w:rPr>
              <w:t>M7-41</w:t>
            </w:r>
          </w:p>
        </w:tc>
        <w:tc>
          <w:tcPr>
            <w:tcW w:w="1579" w:type="dxa"/>
            <w:shd w:val="clear" w:color="auto" w:fill="C6EFCE"/>
            <w:noWrap/>
            <w:vAlign w:val="center"/>
          </w:tcPr>
          <w:p w14:paraId="62FC7BE8" w14:textId="61F2F1CF" w:rsidR="0057163C" w:rsidRPr="00170422" w:rsidRDefault="00F37BF9">
            <w:pPr>
              <w:pStyle w:val="P68B1DB1-Normal12"/>
              <w:jc w:val="center"/>
              <w:rPr>
                <w:noProof/>
                <w:lang w:val="de-DE"/>
              </w:rPr>
            </w:pPr>
            <w:r w:rsidRPr="00170422">
              <w:rPr>
                <w:noProof/>
                <w:lang w:val="de-DE"/>
              </w:rPr>
              <w:t>Investition 15: Transizione 5.0</w:t>
            </w:r>
          </w:p>
        </w:tc>
        <w:tc>
          <w:tcPr>
            <w:tcW w:w="1149" w:type="dxa"/>
            <w:shd w:val="clear" w:color="auto" w:fill="C6EFCE"/>
            <w:noWrap/>
            <w:vAlign w:val="center"/>
          </w:tcPr>
          <w:p w14:paraId="0B2A52F8" w14:textId="77777777" w:rsidR="0057163C" w:rsidRPr="00170422" w:rsidRDefault="00F37BF9">
            <w:pPr>
              <w:pStyle w:val="P68B1DB1-Normal12"/>
              <w:jc w:val="center"/>
              <w:rPr>
                <w:noProof/>
                <w:lang w:val="de-DE"/>
              </w:rPr>
            </w:pPr>
            <w:r w:rsidRPr="00170422">
              <w:rPr>
                <w:noProof/>
                <w:lang w:val="de-DE"/>
              </w:rPr>
              <w:t>Ziel</w:t>
            </w:r>
          </w:p>
        </w:tc>
        <w:tc>
          <w:tcPr>
            <w:tcW w:w="1435" w:type="dxa"/>
            <w:shd w:val="clear" w:color="auto" w:fill="C6EFCE"/>
            <w:noWrap/>
            <w:vAlign w:val="center"/>
          </w:tcPr>
          <w:p w14:paraId="71BDA5D8" w14:textId="77777777" w:rsidR="0057163C" w:rsidRPr="00170422" w:rsidRDefault="00F37BF9">
            <w:pPr>
              <w:pStyle w:val="P68B1DB1-Normal12"/>
              <w:jc w:val="center"/>
              <w:rPr>
                <w:noProof/>
                <w:lang w:val="de-DE"/>
              </w:rPr>
            </w:pPr>
            <w:r w:rsidRPr="00170422">
              <w:rPr>
                <w:noProof/>
                <w:lang w:val="de-DE"/>
              </w:rPr>
              <w:t>Gewährung von ARF-Mitteln</w:t>
            </w:r>
          </w:p>
        </w:tc>
        <w:tc>
          <w:tcPr>
            <w:tcW w:w="1723" w:type="dxa"/>
            <w:shd w:val="clear" w:color="auto" w:fill="C6EFCE"/>
            <w:noWrap/>
            <w:vAlign w:val="center"/>
          </w:tcPr>
          <w:p w14:paraId="139040B0" w14:textId="4C3321E6" w:rsidR="0057163C" w:rsidRPr="00170422" w:rsidRDefault="00F37BF9">
            <w:pPr>
              <w:pStyle w:val="P68B1DB1-Normal12"/>
              <w:jc w:val="center"/>
              <w:rPr>
                <w:noProof/>
                <w:lang w:val="de-DE"/>
              </w:rPr>
            </w:pPr>
            <w:r w:rsidRPr="00170422">
              <w:rPr>
                <w:noProof/>
                <w:lang w:val="de-DE"/>
              </w:rPr>
              <w:t>ENTFÄLLT.</w:t>
            </w:r>
          </w:p>
        </w:tc>
        <w:tc>
          <w:tcPr>
            <w:tcW w:w="1293" w:type="dxa"/>
            <w:shd w:val="clear" w:color="auto" w:fill="C6EFCE"/>
            <w:noWrap/>
            <w:vAlign w:val="center"/>
          </w:tcPr>
          <w:p w14:paraId="200E6519" w14:textId="77777777" w:rsidR="0057163C" w:rsidRPr="00170422" w:rsidRDefault="00F37BF9">
            <w:pPr>
              <w:pStyle w:val="P68B1DB1-Normal12"/>
              <w:jc w:val="center"/>
              <w:rPr>
                <w:noProof/>
                <w:lang w:val="de-DE"/>
              </w:rPr>
            </w:pPr>
            <w:r w:rsidRPr="00170422">
              <w:rPr>
                <w:noProof/>
                <w:lang w:val="de-DE"/>
              </w:rPr>
              <w:t xml:space="preserve">Höhe der </w:t>
            </w:r>
            <w:r w:rsidRPr="00170422">
              <w:rPr>
                <w:noProof/>
                <w:lang w:val="de-DE"/>
              </w:rPr>
              <w:t>bewilligten Mittel (EUR)</w:t>
            </w:r>
          </w:p>
        </w:tc>
        <w:tc>
          <w:tcPr>
            <w:tcW w:w="1343" w:type="dxa"/>
            <w:shd w:val="clear" w:color="auto" w:fill="C6EFCE"/>
            <w:noWrap/>
            <w:vAlign w:val="center"/>
          </w:tcPr>
          <w:p w14:paraId="63493CA8" w14:textId="77777777" w:rsidR="0057163C" w:rsidRPr="00170422" w:rsidRDefault="00F37BF9">
            <w:pPr>
              <w:pStyle w:val="P68B1DB1-Normal12"/>
              <w:jc w:val="center"/>
              <w:rPr>
                <w:noProof/>
                <w:lang w:val="de-DE"/>
              </w:rPr>
            </w:pPr>
            <w:r w:rsidRPr="00170422">
              <w:rPr>
                <w:noProof/>
                <w:lang w:val="de-DE"/>
              </w:rPr>
              <w:t>0</w:t>
            </w:r>
          </w:p>
        </w:tc>
        <w:tc>
          <w:tcPr>
            <w:tcW w:w="955" w:type="dxa"/>
            <w:shd w:val="clear" w:color="auto" w:fill="C6EFCE"/>
            <w:noWrap/>
            <w:vAlign w:val="center"/>
          </w:tcPr>
          <w:p w14:paraId="0BA8EB4D" w14:textId="77777777" w:rsidR="0057163C" w:rsidRPr="00170422" w:rsidRDefault="00F37BF9">
            <w:pPr>
              <w:pStyle w:val="P68B1DB1-Normal12"/>
              <w:jc w:val="center"/>
              <w:rPr>
                <w:noProof/>
                <w:lang w:val="de-DE"/>
              </w:rPr>
            </w:pPr>
            <w:r w:rsidRPr="00170422">
              <w:rPr>
                <w:noProof/>
                <w:lang w:val="de-DE"/>
              </w:rPr>
              <w:t>2 500 000 000</w:t>
            </w:r>
          </w:p>
        </w:tc>
        <w:tc>
          <w:tcPr>
            <w:tcW w:w="862" w:type="dxa"/>
            <w:shd w:val="clear" w:color="auto" w:fill="C6EFCE"/>
            <w:noWrap/>
            <w:vAlign w:val="center"/>
          </w:tcPr>
          <w:p w14:paraId="6A579C85" w14:textId="77777777" w:rsidR="0057163C" w:rsidRPr="00170422" w:rsidRDefault="00F37BF9">
            <w:pPr>
              <w:pStyle w:val="P68B1DB1-Normal12"/>
              <w:jc w:val="center"/>
              <w:rPr>
                <w:noProof/>
                <w:lang w:val="de-DE"/>
              </w:rPr>
            </w:pPr>
            <w:r w:rsidRPr="00170422">
              <w:rPr>
                <w:noProof/>
                <w:lang w:val="de-DE"/>
              </w:rPr>
              <w:t>Q2</w:t>
            </w:r>
          </w:p>
        </w:tc>
        <w:tc>
          <w:tcPr>
            <w:tcW w:w="717" w:type="dxa"/>
            <w:shd w:val="clear" w:color="auto" w:fill="C6EFCE"/>
            <w:noWrap/>
            <w:vAlign w:val="center"/>
          </w:tcPr>
          <w:p w14:paraId="3E1C9952" w14:textId="77777777" w:rsidR="0057163C" w:rsidRPr="00170422" w:rsidRDefault="00F37BF9">
            <w:pPr>
              <w:pStyle w:val="P68B1DB1-Normal12"/>
              <w:jc w:val="center"/>
              <w:rPr>
                <w:noProof/>
                <w:lang w:val="de-DE"/>
              </w:rPr>
            </w:pPr>
            <w:r w:rsidRPr="00170422">
              <w:rPr>
                <w:noProof/>
                <w:lang w:val="de-DE"/>
              </w:rPr>
              <w:t>2026</w:t>
            </w:r>
          </w:p>
        </w:tc>
        <w:tc>
          <w:tcPr>
            <w:tcW w:w="3303" w:type="dxa"/>
            <w:shd w:val="clear" w:color="auto" w:fill="C6EFCE"/>
            <w:noWrap/>
            <w:vAlign w:val="center"/>
          </w:tcPr>
          <w:p w14:paraId="1F468384" w14:textId="77777777" w:rsidR="0057163C" w:rsidRPr="00170422" w:rsidRDefault="00F37BF9">
            <w:pPr>
              <w:pStyle w:val="P68B1DB1-Normal12"/>
              <w:rPr>
                <w:noProof/>
                <w:lang w:val="de-DE"/>
              </w:rPr>
            </w:pPr>
            <w:r w:rsidRPr="00170422">
              <w:rPr>
                <w:noProof/>
                <w:lang w:val="de-DE"/>
              </w:rPr>
              <w:t>Mitteilung über die Gewährung aller für diese Investition vorgesehenen ARF-Mittel.</w:t>
            </w:r>
          </w:p>
          <w:p w14:paraId="6A32B40E" w14:textId="3B17E63B" w:rsidR="0057163C" w:rsidRPr="00170422" w:rsidRDefault="00F37BF9">
            <w:pPr>
              <w:pStyle w:val="P68B1DB1-Normal12"/>
              <w:rPr>
                <w:noProof/>
                <w:lang w:val="de-DE"/>
              </w:rPr>
            </w:pPr>
            <w:r w:rsidRPr="00170422">
              <w:rPr>
                <w:noProof/>
                <w:lang w:val="de-DE"/>
              </w:rPr>
              <w:t>Mindestens 1 135 000 000 EUR der Investition tragen zu den Klimaschutzzielen gemäß Anhang VI der ARF-Verordnung bei.</w:t>
            </w:r>
          </w:p>
        </w:tc>
      </w:tr>
      <w:tr w:rsidR="0057163C" w:rsidRPr="00170422" w14:paraId="222E27DF" w14:textId="77777777" w:rsidTr="00A400C5">
        <w:trPr>
          <w:trHeight w:val="309"/>
        </w:trPr>
        <w:tc>
          <w:tcPr>
            <w:tcW w:w="1202" w:type="dxa"/>
            <w:shd w:val="clear" w:color="auto" w:fill="C6EFCE"/>
            <w:noWrap/>
            <w:vAlign w:val="center"/>
          </w:tcPr>
          <w:p w14:paraId="484E24F4" w14:textId="77777777" w:rsidR="0057163C" w:rsidRPr="00170422" w:rsidRDefault="00F37BF9">
            <w:pPr>
              <w:pStyle w:val="P68B1DB1-Normal12"/>
              <w:spacing w:after="120"/>
              <w:jc w:val="center"/>
              <w:rPr>
                <w:noProof/>
                <w:lang w:val="de-DE"/>
              </w:rPr>
            </w:pPr>
            <w:r w:rsidRPr="00170422">
              <w:rPr>
                <w:noProof/>
                <w:lang w:val="de-DE"/>
              </w:rPr>
              <w:t>M7-42</w:t>
            </w:r>
          </w:p>
        </w:tc>
        <w:tc>
          <w:tcPr>
            <w:tcW w:w="1579" w:type="dxa"/>
            <w:shd w:val="clear" w:color="auto" w:fill="C6EFCE"/>
            <w:noWrap/>
            <w:vAlign w:val="center"/>
          </w:tcPr>
          <w:p w14:paraId="78EC825F" w14:textId="40337D32" w:rsidR="0057163C" w:rsidRPr="00170422" w:rsidRDefault="00F37BF9">
            <w:pPr>
              <w:pStyle w:val="P68B1DB1-Normal12"/>
              <w:spacing w:after="120"/>
              <w:jc w:val="center"/>
              <w:rPr>
                <w:noProof/>
                <w:lang w:val="de-DE"/>
              </w:rPr>
            </w:pPr>
            <w:r w:rsidRPr="00170422">
              <w:rPr>
                <w:noProof/>
                <w:lang w:val="de-DE"/>
              </w:rPr>
              <w:t>Investition 15: Transizione 5.0</w:t>
            </w:r>
          </w:p>
        </w:tc>
        <w:tc>
          <w:tcPr>
            <w:tcW w:w="1149" w:type="dxa"/>
            <w:shd w:val="clear" w:color="auto" w:fill="C6EFCE"/>
            <w:noWrap/>
            <w:vAlign w:val="center"/>
          </w:tcPr>
          <w:p w14:paraId="24527FA2" w14:textId="77777777" w:rsidR="0057163C" w:rsidRPr="00170422" w:rsidRDefault="00F37BF9">
            <w:pPr>
              <w:pStyle w:val="P68B1DB1-Normal12"/>
              <w:spacing w:after="120"/>
              <w:jc w:val="center"/>
              <w:rPr>
                <w:noProof/>
                <w:lang w:val="de-DE"/>
              </w:rPr>
            </w:pPr>
            <w:r w:rsidRPr="00170422">
              <w:rPr>
                <w:noProof/>
                <w:lang w:val="de-DE"/>
              </w:rPr>
              <w:t>Ziel</w:t>
            </w:r>
          </w:p>
        </w:tc>
        <w:tc>
          <w:tcPr>
            <w:tcW w:w="1435" w:type="dxa"/>
            <w:shd w:val="clear" w:color="auto" w:fill="C6EFCE"/>
            <w:noWrap/>
            <w:vAlign w:val="center"/>
          </w:tcPr>
          <w:p w14:paraId="0BF72CEA" w14:textId="77777777" w:rsidR="0057163C" w:rsidRPr="00170422" w:rsidRDefault="00F37BF9">
            <w:pPr>
              <w:pStyle w:val="P68B1DB1-Normal12"/>
              <w:spacing w:after="120"/>
              <w:jc w:val="center"/>
              <w:rPr>
                <w:noProof/>
                <w:lang w:val="de-DE"/>
              </w:rPr>
            </w:pPr>
            <w:r w:rsidRPr="00170422">
              <w:rPr>
                <w:noProof/>
                <w:lang w:val="de-DE"/>
              </w:rPr>
              <w:t>0,16 Mio. t RÖE Energieeinsparungen beim Endenergieverbrauch im Zeitraum 2024-2026</w:t>
            </w:r>
          </w:p>
        </w:tc>
        <w:tc>
          <w:tcPr>
            <w:tcW w:w="1723" w:type="dxa"/>
            <w:shd w:val="clear" w:color="auto" w:fill="C6EFCE"/>
            <w:noWrap/>
            <w:vAlign w:val="center"/>
          </w:tcPr>
          <w:p w14:paraId="2482D64A" w14:textId="41A556A3" w:rsidR="0057163C" w:rsidRPr="00170422" w:rsidRDefault="00F37BF9">
            <w:pPr>
              <w:pStyle w:val="P68B1DB1-Normal12"/>
              <w:spacing w:after="120"/>
              <w:jc w:val="center"/>
              <w:rPr>
                <w:noProof/>
                <w:lang w:val="de-DE"/>
              </w:rPr>
            </w:pPr>
            <w:r w:rsidRPr="00170422">
              <w:rPr>
                <w:noProof/>
                <w:lang w:val="de-DE"/>
              </w:rPr>
              <w:t>ENTFÄLLT.</w:t>
            </w:r>
          </w:p>
        </w:tc>
        <w:tc>
          <w:tcPr>
            <w:tcW w:w="1293" w:type="dxa"/>
            <w:shd w:val="clear" w:color="auto" w:fill="C6EFCE"/>
            <w:noWrap/>
            <w:vAlign w:val="center"/>
          </w:tcPr>
          <w:p w14:paraId="4A63A116" w14:textId="537142BC" w:rsidR="0057163C" w:rsidRPr="00170422" w:rsidRDefault="00F37BF9">
            <w:pPr>
              <w:pStyle w:val="P68B1DB1-Normal12"/>
              <w:spacing w:after="120"/>
              <w:jc w:val="center"/>
              <w:rPr>
                <w:noProof/>
                <w:lang w:val="de-DE"/>
              </w:rPr>
            </w:pPr>
            <w:r w:rsidRPr="00170422">
              <w:rPr>
                <w:noProof/>
                <w:lang w:val="de-DE"/>
              </w:rPr>
              <w:t>MIO. T RÖE</w:t>
            </w:r>
          </w:p>
        </w:tc>
        <w:tc>
          <w:tcPr>
            <w:tcW w:w="1343" w:type="dxa"/>
            <w:shd w:val="clear" w:color="auto" w:fill="C6EFCE"/>
            <w:noWrap/>
            <w:vAlign w:val="center"/>
          </w:tcPr>
          <w:p w14:paraId="6B27986A" w14:textId="77777777" w:rsidR="0057163C" w:rsidRPr="00170422" w:rsidRDefault="00F37BF9">
            <w:pPr>
              <w:pStyle w:val="P68B1DB1-Normal12"/>
              <w:spacing w:after="120"/>
              <w:jc w:val="center"/>
              <w:rPr>
                <w:noProof/>
                <w:lang w:val="de-DE"/>
              </w:rPr>
            </w:pPr>
            <w:r w:rsidRPr="00170422">
              <w:rPr>
                <w:noProof/>
                <w:lang w:val="de-DE"/>
              </w:rPr>
              <w:t>0</w:t>
            </w:r>
          </w:p>
        </w:tc>
        <w:tc>
          <w:tcPr>
            <w:tcW w:w="955" w:type="dxa"/>
            <w:shd w:val="clear" w:color="auto" w:fill="C6EFCE"/>
            <w:noWrap/>
            <w:vAlign w:val="center"/>
          </w:tcPr>
          <w:p w14:paraId="690F0906" w14:textId="77777777" w:rsidR="0057163C" w:rsidRPr="00170422" w:rsidRDefault="00F37BF9">
            <w:pPr>
              <w:pStyle w:val="P68B1DB1-Normal12"/>
              <w:spacing w:after="120"/>
              <w:jc w:val="center"/>
              <w:rPr>
                <w:noProof/>
                <w:lang w:val="de-DE"/>
              </w:rPr>
            </w:pPr>
            <w:r w:rsidRPr="00170422">
              <w:rPr>
                <w:noProof/>
                <w:lang w:val="de-DE"/>
              </w:rPr>
              <w:t>0.16</w:t>
            </w:r>
          </w:p>
        </w:tc>
        <w:tc>
          <w:tcPr>
            <w:tcW w:w="862" w:type="dxa"/>
            <w:shd w:val="clear" w:color="auto" w:fill="C6EFCE"/>
            <w:noWrap/>
            <w:vAlign w:val="center"/>
          </w:tcPr>
          <w:p w14:paraId="00DA2864" w14:textId="77777777" w:rsidR="0057163C" w:rsidRPr="00170422" w:rsidRDefault="00F37BF9">
            <w:pPr>
              <w:pStyle w:val="P68B1DB1-Normal12"/>
              <w:spacing w:after="120"/>
              <w:jc w:val="center"/>
              <w:rPr>
                <w:noProof/>
                <w:lang w:val="de-DE"/>
              </w:rPr>
            </w:pPr>
            <w:r w:rsidRPr="00170422">
              <w:rPr>
                <w:noProof/>
                <w:lang w:val="de-DE"/>
              </w:rPr>
              <w:t>Q2</w:t>
            </w:r>
          </w:p>
        </w:tc>
        <w:tc>
          <w:tcPr>
            <w:tcW w:w="717" w:type="dxa"/>
            <w:shd w:val="clear" w:color="auto" w:fill="C6EFCE"/>
            <w:noWrap/>
            <w:vAlign w:val="center"/>
          </w:tcPr>
          <w:p w14:paraId="4C4C2572" w14:textId="77777777" w:rsidR="0057163C" w:rsidRPr="00170422" w:rsidRDefault="00F37BF9">
            <w:pPr>
              <w:pStyle w:val="P68B1DB1-Normal12"/>
              <w:spacing w:after="120"/>
              <w:jc w:val="center"/>
              <w:rPr>
                <w:noProof/>
                <w:lang w:val="de-DE"/>
              </w:rPr>
            </w:pPr>
            <w:r w:rsidRPr="00170422">
              <w:rPr>
                <w:noProof/>
                <w:lang w:val="de-DE"/>
              </w:rPr>
              <w:t>2026</w:t>
            </w:r>
          </w:p>
        </w:tc>
        <w:tc>
          <w:tcPr>
            <w:tcW w:w="3303" w:type="dxa"/>
            <w:shd w:val="clear" w:color="auto" w:fill="C6EFCE"/>
            <w:noWrap/>
            <w:vAlign w:val="center"/>
          </w:tcPr>
          <w:p w14:paraId="2EF787EA" w14:textId="49A1ADB1" w:rsidR="0057163C" w:rsidRPr="00170422" w:rsidRDefault="00F37BF9">
            <w:pPr>
              <w:pStyle w:val="P68B1DB1-Normal12"/>
              <w:spacing w:after="120"/>
              <w:rPr>
                <w:noProof/>
                <w:lang w:val="de-DE"/>
              </w:rPr>
            </w:pPr>
            <w:r w:rsidRPr="00170422">
              <w:rPr>
                <w:noProof/>
                <w:lang w:val="de-DE"/>
              </w:rPr>
              <w:t xml:space="preserve">Die Investition soll im Zeitraum 2024-2026 Energieeinsparungen beim Endenergieverbrauch von 0,16 </w:t>
            </w:r>
            <w:r w:rsidRPr="00170422">
              <w:rPr>
                <w:noProof/>
                <w:lang w:val="de-DE"/>
              </w:rPr>
              <w:t>MTOE bewirken.</w:t>
            </w:r>
          </w:p>
          <w:p w14:paraId="20456B32" w14:textId="7CE15F74" w:rsidR="0057163C" w:rsidRPr="00170422" w:rsidRDefault="0057163C">
            <w:pPr>
              <w:spacing w:after="120"/>
              <w:rPr>
                <w:rFonts w:ascii="Arial Narrow" w:hAnsi="Arial Narrow"/>
                <w:noProof/>
                <w:color w:val="006100"/>
                <w:sz w:val="20"/>
                <w:szCs w:val="20"/>
                <w:lang w:val="de-DE"/>
              </w:rPr>
            </w:pPr>
          </w:p>
        </w:tc>
      </w:tr>
      <w:tr w:rsidR="0057163C" w:rsidRPr="00170422" w14:paraId="6E8D66C2" w14:textId="77777777" w:rsidTr="00A400C5">
        <w:trPr>
          <w:trHeight w:val="309"/>
        </w:trPr>
        <w:tc>
          <w:tcPr>
            <w:tcW w:w="1202" w:type="dxa"/>
            <w:shd w:val="clear" w:color="auto" w:fill="C6EFCE"/>
            <w:noWrap/>
            <w:vAlign w:val="center"/>
          </w:tcPr>
          <w:p w14:paraId="5FBC4D28" w14:textId="77777777" w:rsidR="0057163C" w:rsidRPr="00170422" w:rsidRDefault="00F37BF9">
            <w:pPr>
              <w:pStyle w:val="P68B1DB1-Normal11"/>
              <w:spacing w:after="120"/>
              <w:jc w:val="center"/>
              <w:rPr>
                <w:noProof/>
                <w:szCs w:val="20"/>
                <w:lang w:val="de-DE"/>
              </w:rPr>
            </w:pPr>
            <w:r w:rsidRPr="00170422">
              <w:rPr>
                <w:noProof/>
                <w:lang w:val="de-DE"/>
              </w:rPr>
              <w:t>M7-43</w:t>
            </w:r>
          </w:p>
        </w:tc>
        <w:tc>
          <w:tcPr>
            <w:tcW w:w="1579" w:type="dxa"/>
            <w:shd w:val="clear" w:color="auto" w:fill="C6EFCE"/>
            <w:noWrap/>
            <w:vAlign w:val="center"/>
          </w:tcPr>
          <w:p w14:paraId="55E8EBBE" w14:textId="77777777" w:rsidR="0057163C" w:rsidRPr="00170422" w:rsidRDefault="00F37BF9">
            <w:pPr>
              <w:pStyle w:val="P68B1DB1-Normal11"/>
              <w:spacing w:after="120"/>
              <w:jc w:val="center"/>
              <w:rPr>
                <w:noProof/>
                <w:szCs w:val="20"/>
                <w:lang w:val="de-DE"/>
              </w:rPr>
            </w:pPr>
            <w:r w:rsidRPr="00170422">
              <w:rPr>
                <w:noProof/>
                <w:lang w:val="de-DE"/>
              </w:rPr>
              <w:t>Investition 16: Unterstützung von KMU bei der Eigenerzeugung aus erneuerbaren Energiequellen</w:t>
            </w:r>
          </w:p>
        </w:tc>
        <w:tc>
          <w:tcPr>
            <w:tcW w:w="1149" w:type="dxa"/>
            <w:shd w:val="clear" w:color="auto" w:fill="C6EFCE"/>
            <w:noWrap/>
            <w:vAlign w:val="center"/>
          </w:tcPr>
          <w:p w14:paraId="63A8CDA9"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435" w:type="dxa"/>
            <w:shd w:val="clear" w:color="auto" w:fill="C6EFCE"/>
            <w:noWrap/>
            <w:vAlign w:val="center"/>
          </w:tcPr>
          <w:p w14:paraId="5DE6ACFA" w14:textId="77777777" w:rsidR="0057163C" w:rsidRPr="00170422" w:rsidRDefault="00F37BF9">
            <w:pPr>
              <w:pStyle w:val="P68B1DB1-Normal11"/>
              <w:spacing w:after="120"/>
              <w:jc w:val="center"/>
              <w:rPr>
                <w:noProof/>
                <w:szCs w:val="20"/>
                <w:lang w:val="de-DE"/>
              </w:rPr>
            </w:pPr>
            <w:r w:rsidRPr="00170422">
              <w:rPr>
                <w:noProof/>
                <w:lang w:val="de-DE"/>
              </w:rPr>
              <w:t>Durchführungsvereinbarung</w:t>
            </w:r>
          </w:p>
        </w:tc>
        <w:tc>
          <w:tcPr>
            <w:tcW w:w="1723" w:type="dxa"/>
            <w:shd w:val="clear" w:color="auto" w:fill="C6EFCE"/>
            <w:noWrap/>
            <w:vAlign w:val="center"/>
          </w:tcPr>
          <w:p w14:paraId="7586D1D4" w14:textId="77777777" w:rsidR="0057163C" w:rsidRPr="00170422" w:rsidRDefault="00F37BF9">
            <w:pPr>
              <w:pStyle w:val="P68B1DB1-Normal11"/>
              <w:spacing w:after="120"/>
              <w:jc w:val="center"/>
              <w:rPr>
                <w:noProof/>
                <w:szCs w:val="20"/>
                <w:lang w:val="de-DE"/>
              </w:rPr>
            </w:pPr>
            <w:r w:rsidRPr="00170422">
              <w:rPr>
                <w:noProof/>
                <w:lang w:val="de-DE"/>
              </w:rPr>
              <w:t>Inkrafttreten des Durchführungsübereinkommens</w:t>
            </w:r>
          </w:p>
        </w:tc>
        <w:tc>
          <w:tcPr>
            <w:tcW w:w="1293" w:type="dxa"/>
            <w:shd w:val="clear" w:color="auto" w:fill="C6EFCE"/>
            <w:noWrap/>
            <w:vAlign w:val="center"/>
          </w:tcPr>
          <w:p w14:paraId="502C9824" w14:textId="77777777" w:rsidR="0057163C" w:rsidRPr="00170422" w:rsidRDefault="0057163C">
            <w:pPr>
              <w:spacing w:after="120"/>
              <w:jc w:val="center"/>
              <w:rPr>
                <w:rFonts w:ascii="Arial Narrow" w:hAnsi="Arial Narrow"/>
                <w:noProof/>
                <w:color w:val="006100"/>
                <w:sz w:val="20"/>
                <w:szCs w:val="20"/>
                <w:lang w:val="de-DE"/>
              </w:rPr>
            </w:pPr>
          </w:p>
        </w:tc>
        <w:tc>
          <w:tcPr>
            <w:tcW w:w="1343" w:type="dxa"/>
            <w:shd w:val="clear" w:color="auto" w:fill="C6EFCE"/>
            <w:noWrap/>
            <w:vAlign w:val="center"/>
          </w:tcPr>
          <w:p w14:paraId="59D58D18" w14:textId="77777777" w:rsidR="0057163C" w:rsidRPr="00170422" w:rsidRDefault="0057163C">
            <w:pPr>
              <w:spacing w:after="120"/>
              <w:jc w:val="center"/>
              <w:rPr>
                <w:rFonts w:ascii="Arial Narrow" w:hAnsi="Arial Narrow"/>
                <w:noProof/>
                <w:color w:val="006100"/>
                <w:sz w:val="20"/>
                <w:szCs w:val="20"/>
                <w:lang w:val="de-DE"/>
              </w:rPr>
            </w:pPr>
          </w:p>
        </w:tc>
        <w:tc>
          <w:tcPr>
            <w:tcW w:w="955" w:type="dxa"/>
            <w:shd w:val="clear" w:color="auto" w:fill="C6EFCE"/>
            <w:noWrap/>
            <w:vAlign w:val="center"/>
          </w:tcPr>
          <w:p w14:paraId="7092C0C3" w14:textId="77777777" w:rsidR="0057163C" w:rsidRPr="00170422" w:rsidRDefault="0057163C">
            <w:pPr>
              <w:spacing w:after="120"/>
              <w:jc w:val="center"/>
              <w:rPr>
                <w:rFonts w:ascii="Arial Narrow" w:hAnsi="Arial Narrow"/>
                <w:noProof/>
                <w:color w:val="006100"/>
                <w:sz w:val="20"/>
                <w:szCs w:val="20"/>
                <w:lang w:val="de-DE"/>
              </w:rPr>
            </w:pPr>
          </w:p>
        </w:tc>
        <w:tc>
          <w:tcPr>
            <w:tcW w:w="862" w:type="dxa"/>
            <w:shd w:val="clear" w:color="auto" w:fill="C6EFCE"/>
            <w:noWrap/>
            <w:vAlign w:val="center"/>
          </w:tcPr>
          <w:p w14:paraId="48F9DA06"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17" w:type="dxa"/>
            <w:shd w:val="clear" w:color="auto" w:fill="C6EFCE"/>
            <w:noWrap/>
            <w:vAlign w:val="center"/>
          </w:tcPr>
          <w:p w14:paraId="342DE249"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303" w:type="dxa"/>
            <w:shd w:val="clear" w:color="auto" w:fill="C6EFCE"/>
            <w:noWrap/>
            <w:vAlign w:val="center"/>
          </w:tcPr>
          <w:p w14:paraId="5F4ED6A5" w14:textId="77777777" w:rsidR="0057163C" w:rsidRPr="00170422" w:rsidRDefault="00F37BF9">
            <w:pPr>
              <w:pStyle w:val="P68B1DB1-Normal11"/>
              <w:spacing w:after="120"/>
              <w:rPr>
                <w:noProof/>
                <w:szCs w:val="20"/>
                <w:lang w:val="de-DE"/>
              </w:rPr>
            </w:pPr>
            <w:r w:rsidRPr="00170422">
              <w:rPr>
                <w:noProof/>
                <w:lang w:val="de-DE"/>
              </w:rPr>
              <w:t xml:space="preserve">Inkrafttreten des </w:t>
            </w:r>
            <w:r w:rsidRPr="00170422">
              <w:rPr>
                <w:noProof/>
                <w:lang w:val="de-DE"/>
              </w:rPr>
              <w:t>Durchführungsübereinkommens.</w:t>
            </w:r>
          </w:p>
        </w:tc>
      </w:tr>
      <w:tr w:rsidR="0057163C" w:rsidRPr="00170422" w14:paraId="7F1D4D35" w14:textId="77777777" w:rsidTr="00A400C5">
        <w:trPr>
          <w:trHeight w:val="309"/>
        </w:trPr>
        <w:tc>
          <w:tcPr>
            <w:tcW w:w="1202" w:type="dxa"/>
            <w:shd w:val="clear" w:color="auto" w:fill="C6EFCE"/>
            <w:noWrap/>
            <w:vAlign w:val="center"/>
          </w:tcPr>
          <w:p w14:paraId="41AC131E" w14:textId="77777777" w:rsidR="0057163C" w:rsidRPr="00170422" w:rsidRDefault="00F37BF9">
            <w:pPr>
              <w:pStyle w:val="P68B1DB1-Normal11"/>
              <w:spacing w:after="120"/>
              <w:jc w:val="center"/>
              <w:rPr>
                <w:noProof/>
                <w:color w:val="000000" w:themeColor="text1"/>
                <w:szCs w:val="20"/>
                <w:lang w:val="de-DE"/>
              </w:rPr>
            </w:pPr>
            <w:r w:rsidRPr="00170422">
              <w:rPr>
                <w:noProof/>
                <w:lang w:val="de-DE"/>
              </w:rPr>
              <w:t>M7-44</w:t>
            </w:r>
          </w:p>
        </w:tc>
        <w:tc>
          <w:tcPr>
            <w:tcW w:w="1579" w:type="dxa"/>
            <w:shd w:val="clear" w:color="auto" w:fill="C6EFCE"/>
            <w:noWrap/>
            <w:vAlign w:val="center"/>
          </w:tcPr>
          <w:p w14:paraId="01663C72" w14:textId="77777777" w:rsidR="0057163C" w:rsidRPr="00170422" w:rsidRDefault="00F37BF9">
            <w:pPr>
              <w:pStyle w:val="P68B1DB1-Normal11"/>
              <w:spacing w:after="120"/>
              <w:jc w:val="center"/>
              <w:rPr>
                <w:noProof/>
                <w:szCs w:val="20"/>
                <w:lang w:val="de-DE"/>
              </w:rPr>
            </w:pPr>
            <w:r w:rsidRPr="00170422">
              <w:rPr>
                <w:noProof/>
                <w:lang w:val="de-DE"/>
              </w:rPr>
              <w:t>Investition 16: Unterstützung von KMU bei der Eigenerzeugung aus erneuerbaren Energiequellen</w:t>
            </w:r>
          </w:p>
        </w:tc>
        <w:tc>
          <w:tcPr>
            <w:tcW w:w="1149" w:type="dxa"/>
            <w:shd w:val="clear" w:color="auto" w:fill="C6EFCE"/>
            <w:noWrap/>
            <w:vAlign w:val="center"/>
          </w:tcPr>
          <w:p w14:paraId="4A298D06" w14:textId="77777777" w:rsidR="0057163C" w:rsidRPr="00170422" w:rsidRDefault="00F37BF9">
            <w:pPr>
              <w:pStyle w:val="P68B1DB1-Normal11"/>
              <w:spacing w:after="120"/>
              <w:jc w:val="center"/>
              <w:rPr>
                <w:noProof/>
                <w:szCs w:val="20"/>
                <w:lang w:val="de-DE"/>
              </w:rPr>
            </w:pPr>
            <w:r w:rsidRPr="00170422">
              <w:rPr>
                <w:noProof/>
                <w:lang w:val="de-DE"/>
              </w:rPr>
              <w:t>Meilenstein</w:t>
            </w:r>
          </w:p>
        </w:tc>
        <w:tc>
          <w:tcPr>
            <w:tcW w:w="1435" w:type="dxa"/>
            <w:shd w:val="clear" w:color="auto" w:fill="C6EFCE"/>
            <w:noWrap/>
            <w:vAlign w:val="center"/>
          </w:tcPr>
          <w:p w14:paraId="3713EE15" w14:textId="77777777" w:rsidR="0057163C" w:rsidRPr="00170422" w:rsidRDefault="00F37BF9">
            <w:pPr>
              <w:pStyle w:val="P68B1DB1-Normal11"/>
              <w:spacing w:after="120"/>
              <w:jc w:val="center"/>
              <w:rPr>
                <w:noProof/>
                <w:szCs w:val="20"/>
                <w:lang w:val="de-DE"/>
              </w:rPr>
            </w:pPr>
            <w:r w:rsidRPr="00170422">
              <w:rPr>
                <w:noProof/>
                <w:lang w:val="de-DE"/>
              </w:rPr>
              <w:t>Das italienische Ministerium für Unternehmen und Made hat die Mittelübertragung an Invitalia abgeschlossen.</w:t>
            </w:r>
          </w:p>
        </w:tc>
        <w:tc>
          <w:tcPr>
            <w:tcW w:w="1723" w:type="dxa"/>
            <w:shd w:val="clear" w:color="auto" w:fill="C6EFCE"/>
            <w:noWrap/>
            <w:vAlign w:val="center"/>
          </w:tcPr>
          <w:p w14:paraId="12A164D6" w14:textId="77777777" w:rsidR="0057163C" w:rsidRPr="00170422" w:rsidRDefault="00F37BF9">
            <w:pPr>
              <w:pStyle w:val="P68B1DB1-Normal11"/>
              <w:spacing w:after="120"/>
              <w:jc w:val="center"/>
              <w:rPr>
                <w:noProof/>
                <w:szCs w:val="20"/>
                <w:lang w:val="de-DE"/>
              </w:rPr>
            </w:pPr>
            <w:r w:rsidRPr="00170422">
              <w:rPr>
                <w:noProof/>
                <w:lang w:val="de-DE"/>
              </w:rPr>
              <w:t>Übertragungsbescheinigung</w:t>
            </w:r>
          </w:p>
        </w:tc>
        <w:tc>
          <w:tcPr>
            <w:tcW w:w="1293" w:type="dxa"/>
            <w:shd w:val="clear" w:color="auto" w:fill="C6EFCE"/>
            <w:noWrap/>
            <w:vAlign w:val="center"/>
          </w:tcPr>
          <w:p w14:paraId="54A62AFA" w14:textId="77777777" w:rsidR="0057163C" w:rsidRPr="00170422" w:rsidRDefault="0057163C">
            <w:pPr>
              <w:spacing w:after="120"/>
              <w:jc w:val="center"/>
              <w:rPr>
                <w:rFonts w:ascii="Arial Narrow" w:hAnsi="Arial Narrow"/>
                <w:noProof/>
                <w:color w:val="006100"/>
                <w:sz w:val="20"/>
                <w:szCs w:val="20"/>
                <w:lang w:val="de-DE"/>
              </w:rPr>
            </w:pPr>
          </w:p>
        </w:tc>
        <w:tc>
          <w:tcPr>
            <w:tcW w:w="1343" w:type="dxa"/>
            <w:shd w:val="clear" w:color="auto" w:fill="C6EFCE"/>
            <w:noWrap/>
            <w:vAlign w:val="center"/>
          </w:tcPr>
          <w:p w14:paraId="05CB8C5F" w14:textId="77777777" w:rsidR="0057163C" w:rsidRPr="00170422" w:rsidRDefault="0057163C">
            <w:pPr>
              <w:spacing w:after="120"/>
              <w:jc w:val="center"/>
              <w:rPr>
                <w:rFonts w:ascii="Arial Narrow" w:hAnsi="Arial Narrow"/>
                <w:noProof/>
                <w:color w:val="006100"/>
                <w:sz w:val="20"/>
                <w:szCs w:val="20"/>
                <w:lang w:val="de-DE"/>
              </w:rPr>
            </w:pPr>
          </w:p>
        </w:tc>
        <w:tc>
          <w:tcPr>
            <w:tcW w:w="955" w:type="dxa"/>
            <w:shd w:val="clear" w:color="auto" w:fill="C6EFCE"/>
            <w:noWrap/>
            <w:vAlign w:val="center"/>
          </w:tcPr>
          <w:p w14:paraId="6CD4B9ED" w14:textId="77777777" w:rsidR="0057163C" w:rsidRPr="00170422" w:rsidRDefault="0057163C">
            <w:pPr>
              <w:spacing w:after="120"/>
              <w:jc w:val="center"/>
              <w:rPr>
                <w:rFonts w:ascii="Arial Narrow" w:hAnsi="Arial Narrow"/>
                <w:noProof/>
                <w:color w:val="006100"/>
                <w:sz w:val="20"/>
                <w:szCs w:val="20"/>
                <w:lang w:val="de-DE"/>
              </w:rPr>
            </w:pPr>
          </w:p>
        </w:tc>
        <w:tc>
          <w:tcPr>
            <w:tcW w:w="862" w:type="dxa"/>
            <w:shd w:val="clear" w:color="auto" w:fill="C6EFCE"/>
            <w:noWrap/>
            <w:vAlign w:val="center"/>
          </w:tcPr>
          <w:p w14:paraId="37EDB9C0" w14:textId="77777777" w:rsidR="0057163C" w:rsidRPr="00170422" w:rsidRDefault="00F37BF9">
            <w:pPr>
              <w:pStyle w:val="P68B1DB1-Normal11"/>
              <w:spacing w:after="120"/>
              <w:jc w:val="center"/>
              <w:rPr>
                <w:noProof/>
                <w:szCs w:val="20"/>
                <w:lang w:val="de-DE"/>
              </w:rPr>
            </w:pPr>
            <w:r w:rsidRPr="00170422">
              <w:rPr>
                <w:noProof/>
                <w:lang w:val="de-DE"/>
              </w:rPr>
              <w:t>4. QUARTAL</w:t>
            </w:r>
          </w:p>
        </w:tc>
        <w:tc>
          <w:tcPr>
            <w:tcW w:w="717" w:type="dxa"/>
            <w:shd w:val="clear" w:color="auto" w:fill="C6EFCE"/>
            <w:noWrap/>
            <w:vAlign w:val="center"/>
          </w:tcPr>
          <w:p w14:paraId="35FBCFF2" w14:textId="77777777" w:rsidR="0057163C" w:rsidRPr="00170422" w:rsidRDefault="00F37BF9">
            <w:pPr>
              <w:pStyle w:val="P68B1DB1-Normal11"/>
              <w:spacing w:after="120"/>
              <w:jc w:val="center"/>
              <w:rPr>
                <w:noProof/>
                <w:szCs w:val="20"/>
                <w:lang w:val="de-DE"/>
              </w:rPr>
            </w:pPr>
            <w:r w:rsidRPr="00170422">
              <w:rPr>
                <w:noProof/>
                <w:lang w:val="de-DE"/>
              </w:rPr>
              <w:t>2024</w:t>
            </w:r>
          </w:p>
        </w:tc>
        <w:tc>
          <w:tcPr>
            <w:tcW w:w="3303" w:type="dxa"/>
            <w:shd w:val="clear" w:color="auto" w:fill="C6EFCE"/>
            <w:noWrap/>
            <w:vAlign w:val="center"/>
          </w:tcPr>
          <w:p w14:paraId="18653E8C" w14:textId="37F239AA" w:rsidR="0057163C" w:rsidRPr="00170422" w:rsidRDefault="00F37BF9">
            <w:pPr>
              <w:pStyle w:val="P68B1DB1-Normal12"/>
              <w:spacing w:after="120"/>
              <w:rPr>
                <w:noProof/>
                <w:lang w:val="de-DE"/>
              </w:rPr>
            </w:pPr>
            <w:r w:rsidRPr="00170422">
              <w:rPr>
                <w:noProof/>
                <w:lang w:val="de-DE"/>
              </w:rPr>
              <w:t>Italien überträgt 155 000 000 EUR an Invitalia für die Fazilität.</w:t>
            </w:r>
          </w:p>
        </w:tc>
      </w:tr>
      <w:tr w:rsidR="0057163C" w:rsidRPr="00170422" w14:paraId="7AED0A06" w14:textId="77777777" w:rsidTr="00A400C5">
        <w:trPr>
          <w:trHeight w:val="309"/>
        </w:trPr>
        <w:tc>
          <w:tcPr>
            <w:tcW w:w="1202" w:type="dxa"/>
            <w:shd w:val="clear" w:color="auto" w:fill="C6EFCE"/>
            <w:noWrap/>
            <w:vAlign w:val="center"/>
          </w:tcPr>
          <w:p w14:paraId="2227EDFB" w14:textId="77777777" w:rsidR="0057163C" w:rsidRPr="00170422" w:rsidRDefault="00F37BF9">
            <w:pPr>
              <w:pStyle w:val="P68B1DB1-Normal11"/>
              <w:spacing w:after="120"/>
              <w:jc w:val="center"/>
              <w:rPr>
                <w:noProof/>
                <w:szCs w:val="20"/>
                <w:lang w:val="de-DE"/>
              </w:rPr>
            </w:pPr>
            <w:r w:rsidRPr="00170422">
              <w:rPr>
                <w:noProof/>
                <w:lang w:val="de-DE"/>
              </w:rPr>
              <w:t>M7-45</w:t>
            </w:r>
          </w:p>
        </w:tc>
        <w:tc>
          <w:tcPr>
            <w:tcW w:w="1579" w:type="dxa"/>
            <w:shd w:val="clear" w:color="auto" w:fill="C6EFCE"/>
            <w:noWrap/>
            <w:vAlign w:val="center"/>
          </w:tcPr>
          <w:p w14:paraId="70E1763F" w14:textId="77777777" w:rsidR="0057163C" w:rsidRPr="00170422" w:rsidRDefault="00F37BF9">
            <w:pPr>
              <w:pStyle w:val="P68B1DB1-Normal11"/>
              <w:spacing w:after="120"/>
              <w:jc w:val="center"/>
              <w:rPr>
                <w:noProof/>
                <w:szCs w:val="20"/>
                <w:lang w:val="de-DE"/>
              </w:rPr>
            </w:pPr>
            <w:r w:rsidRPr="00170422">
              <w:rPr>
                <w:noProof/>
                <w:lang w:val="de-DE"/>
              </w:rPr>
              <w:t>Investition 16: Unterstützung von KMU bei der Eigenerzeugung aus erneuerbaren Energiequellen</w:t>
            </w:r>
          </w:p>
        </w:tc>
        <w:tc>
          <w:tcPr>
            <w:tcW w:w="1149" w:type="dxa"/>
            <w:shd w:val="clear" w:color="auto" w:fill="C6EFCE"/>
            <w:noWrap/>
            <w:vAlign w:val="center"/>
          </w:tcPr>
          <w:p w14:paraId="14823458" w14:textId="77777777" w:rsidR="0057163C" w:rsidRPr="00170422" w:rsidRDefault="00F37BF9">
            <w:pPr>
              <w:pStyle w:val="P68B1DB1-Normal11"/>
              <w:spacing w:after="120"/>
              <w:jc w:val="center"/>
              <w:rPr>
                <w:noProof/>
                <w:szCs w:val="20"/>
                <w:lang w:val="de-DE"/>
              </w:rPr>
            </w:pPr>
            <w:r w:rsidRPr="00170422">
              <w:rPr>
                <w:noProof/>
                <w:lang w:val="de-DE"/>
              </w:rPr>
              <w:t>Ziel</w:t>
            </w:r>
          </w:p>
        </w:tc>
        <w:tc>
          <w:tcPr>
            <w:tcW w:w="1435" w:type="dxa"/>
            <w:shd w:val="clear" w:color="auto" w:fill="C6EFCE"/>
            <w:noWrap/>
            <w:vAlign w:val="center"/>
          </w:tcPr>
          <w:p w14:paraId="621EC558" w14:textId="77777777" w:rsidR="0057163C" w:rsidRPr="00170422" w:rsidRDefault="00F37BF9">
            <w:pPr>
              <w:pStyle w:val="P68B1DB1-Normal11"/>
              <w:spacing w:after="120"/>
              <w:jc w:val="center"/>
              <w:rPr>
                <w:noProof/>
                <w:szCs w:val="20"/>
                <w:lang w:val="de-DE"/>
              </w:rPr>
            </w:pPr>
            <w:r w:rsidRPr="00170422">
              <w:rPr>
                <w:noProof/>
                <w:lang w:val="de-DE"/>
              </w:rPr>
              <w:t xml:space="preserve">Rechtliche Vereinbarungen mit </w:t>
            </w:r>
            <w:r w:rsidRPr="00170422">
              <w:rPr>
                <w:noProof/>
                <w:lang w:val="de-DE"/>
              </w:rPr>
              <w:t>Endbegünstigten</w:t>
            </w:r>
          </w:p>
        </w:tc>
        <w:tc>
          <w:tcPr>
            <w:tcW w:w="1723" w:type="dxa"/>
            <w:shd w:val="clear" w:color="auto" w:fill="C6EFCE"/>
            <w:noWrap/>
            <w:vAlign w:val="center"/>
          </w:tcPr>
          <w:p w14:paraId="5185B5B5" w14:textId="77777777" w:rsidR="0057163C" w:rsidRPr="00170422" w:rsidRDefault="00F37BF9">
            <w:pPr>
              <w:pStyle w:val="P68B1DB1-Normal11"/>
              <w:spacing w:after="120"/>
              <w:jc w:val="center"/>
              <w:rPr>
                <w:noProof/>
                <w:szCs w:val="20"/>
                <w:lang w:val="de-DE"/>
              </w:rPr>
            </w:pPr>
            <w:r w:rsidRPr="00170422">
              <w:rPr>
                <w:noProof/>
                <w:lang w:val="de-DE"/>
              </w:rPr>
              <w:t>ENTFÄLLT.</w:t>
            </w:r>
          </w:p>
        </w:tc>
        <w:tc>
          <w:tcPr>
            <w:tcW w:w="1293" w:type="dxa"/>
            <w:shd w:val="clear" w:color="auto" w:fill="C6EFCE"/>
            <w:noWrap/>
            <w:vAlign w:val="center"/>
          </w:tcPr>
          <w:p w14:paraId="1198BA72" w14:textId="77777777" w:rsidR="0057163C" w:rsidRPr="00170422" w:rsidRDefault="00F37BF9">
            <w:pPr>
              <w:pStyle w:val="P68B1DB1-Normal11"/>
              <w:jc w:val="center"/>
              <w:rPr>
                <w:noProof/>
                <w:szCs w:val="20"/>
                <w:lang w:val="de-DE"/>
              </w:rPr>
            </w:pPr>
            <w:r w:rsidRPr="00170422">
              <w:rPr>
                <w:noProof/>
                <w:lang w:val="de-DE"/>
              </w:rPr>
              <w:t>Prozentsatz(%)</w:t>
            </w:r>
          </w:p>
        </w:tc>
        <w:tc>
          <w:tcPr>
            <w:tcW w:w="1343" w:type="dxa"/>
            <w:shd w:val="clear" w:color="auto" w:fill="C6EFCE"/>
            <w:noWrap/>
            <w:vAlign w:val="center"/>
          </w:tcPr>
          <w:p w14:paraId="2B356B27" w14:textId="77777777" w:rsidR="0057163C" w:rsidRPr="00170422" w:rsidRDefault="00F37BF9">
            <w:pPr>
              <w:pStyle w:val="P68B1DB1-Normal11"/>
              <w:spacing w:after="120"/>
              <w:jc w:val="center"/>
              <w:rPr>
                <w:noProof/>
                <w:szCs w:val="20"/>
                <w:lang w:val="de-DE"/>
              </w:rPr>
            </w:pPr>
            <w:r w:rsidRPr="00170422">
              <w:rPr>
                <w:noProof/>
                <w:lang w:val="de-DE"/>
              </w:rPr>
              <w:t>0</w:t>
            </w:r>
          </w:p>
        </w:tc>
        <w:tc>
          <w:tcPr>
            <w:tcW w:w="955" w:type="dxa"/>
            <w:shd w:val="clear" w:color="auto" w:fill="C6EFCE"/>
            <w:noWrap/>
            <w:vAlign w:val="center"/>
          </w:tcPr>
          <w:p w14:paraId="3B5C7270" w14:textId="77777777" w:rsidR="0057163C" w:rsidRPr="00170422" w:rsidRDefault="00F37BF9">
            <w:pPr>
              <w:pStyle w:val="P68B1DB1-Normal11"/>
              <w:spacing w:after="120"/>
              <w:jc w:val="center"/>
              <w:rPr>
                <w:noProof/>
                <w:szCs w:val="20"/>
                <w:lang w:val="de-DE"/>
              </w:rPr>
            </w:pPr>
            <w:r w:rsidRPr="00170422">
              <w:rPr>
                <w:noProof/>
                <w:lang w:val="de-DE"/>
              </w:rPr>
              <w:t>100 %</w:t>
            </w:r>
          </w:p>
        </w:tc>
        <w:tc>
          <w:tcPr>
            <w:tcW w:w="862" w:type="dxa"/>
            <w:shd w:val="clear" w:color="auto" w:fill="C6EFCE"/>
            <w:noWrap/>
            <w:vAlign w:val="center"/>
          </w:tcPr>
          <w:p w14:paraId="649F0029"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17" w:type="dxa"/>
            <w:shd w:val="clear" w:color="auto" w:fill="C6EFCE"/>
            <w:noWrap/>
            <w:vAlign w:val="center"/>
          </w:tcPr>
          <w:p w14:paraId="42D61E0E" w14:textId="77777777" w:rsidR="0057163C" w:rsidRPr="00170422" w:rsidRDefault="00F37BF9">
            <w:pPr>
              <w:pStyle w:val="P68B1DB1-Normal11"/>
              <w:spacing w:after="120"/>
              <w:jc w:val="center"/>
              <w:rPr>
                <w:noProof/>
                <w:szCs w:val="20"/>
                <w:lang w:val="de-DE"/>
              </w:rPr>
            </w:pPr>
            <w:r w:rsidRPr="00170422">
              <w:rPr>
                <w:noProof/>
                <w:lang w:val="de-DE"/>
              </w:rPr>
              <w:t>2026</w:t>
            </w:r>
          </w:p>
        </w:tc>
        <w:tc>
          <w:tcPr>
            <w:tcW w:w="3303" w:type="dxa"/>
            <w:shd w:val="clear" w:color="auto" w:fill="C6EFCE"/>
            <w:noWrap/>
            <w:vAlign w:val="center"/>
          </w:tcPr>
          <w:p w14:paraId="162740C9" w14:textId="02ED26C4" w:rsidR="0057163C" w:rsidRPr="00170422" w:rsidRDefault="00F37BF9">
            <w:pPr>
              <w:pStyle w:val="P68B1DB1-Normal11"/>
              <w:spacing w:after="120"/>
              <w:rPr>
                <w:noProof/>
                <w:lang w:val="de-DE"/>
              </w:rPr>
            </w:pPr>
            <w:r w:rsidRPr="00170422">
              <w:rPr>
                <w:noProof/>
                <w:szCs w:val="20"/>
                <w:lang w:val="de-DE"/>
              </w:rPr>
              <w:t>Invitalia S.p.A. muss mit den Endbegünstigten rechtliche Vereinbarungen über einen Betrag geschlossen haben</w:t>
            </w:r>
            <w:r w:rsidRPr="00170422">
              <w:rPr>
                <w:noProof/>
                <w:lang w:val="de-DE"/>
              </w:rPr>
              <w:t>, der erforderlich ist, um 100 % der ARF-Investitionen in das Programm zu verwenden (unter B</w:t>
            </w:r>
            <w:r w:rsidRPr="00170422">
              <w:rPr>
                <w:noProof/>
                <w:lang w:val="de-DE"/>
              </w:rPr>
              <w:t xml:space="preserve">erücksichtigung der Verwaltungsgebühren). </w:t>
            </w:r>
          </w:p>
        </w:tc>
      </w:tr>
      <w:tr w:rsidR="0057163C" w:rsidRPr="00170422" w14:paraId="47176A85" w14:textId="77777777" w:rsidTr="00A400C5">
        <w:trPr>
          <w:trHeight w:val="309"/>
        </w:trPr>
        <w:tc>
          <w:tcPr>
            <w:tcW w:w="12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2A6926B" w14:textId="77777777" w:rsidR="0057163C" w:rsidRPr="00170422" w:rsidRDefault="00F37BF9">
            <w:pPr>
              <w:pStyle w:val="P68B1DB1-Normal11"/>
              <w:spacing w:after="120"/>
              <w:jc w:val="center"/>
              <w:rPr>
                <w:noProof/>
                <w:szCs w:val="20"/>
                <w:lang w:val="de-DE"/>
              </w:rPr>
            </w:pPr>
            <w:r w:rsidRPr="00170422">
              <w:rPr>
                <w:noProof/>
                <w:lang w:val="de-DE"/>
              </w:rPr>
              <w:t>M7-46</w:t>
            </w:r>
          </w:p>
        </w:tc>
        <w:tc>
          <w:tcPr>
            <w:tcW w:w="157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B4C1804" w14:textId="3B1A0156" w:rsidR="0057163C" w:rsidRPr="00170422" w:rsidRDefault="00F37BF9">
            <w:pPr>
              <w:pStyle w:val="P68B1DB1-Normal12"/>
              <w:spacing w:after="120"/>
              <w:jc w:val="center"/>
              <w:rPr>
                <w:noProof/>
                <w:lang w:val="de-DE"/>
              </w:rPr>
            </w:pPr>
            <w:r w:rsidRPr="00170422">
              <w:rPr>
                <w:noProof/>
                <w:lang w:val="de-DE"/>
              </w:rPr>
              <w:t xml:space="preserve">Investition 17: Finanzinstrument für die energetische Sanierung öffentlicher Wohngebäude </w:t>
            </w:r>
          </w:p>
        </w:tc>
        <w:tc>
          <w:tcPr>
            <w:tcW w:w="114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142491D" w14:textId="77777777" w:rsidR="0057163C" w:rsidRPr="00170422" w:rsidRDefault="00F37BF9">
            <w:pPr>
              <w:pStyle w:val="P68B1DB1-Normal11"/>
              <w:spacing w:after="120"/>
              <w:jc w:val="center"/>
              <w:rPr>
                <w:noProof/>
                <w:lang w:val="de-DE"/>
              </w:rPr>
            </w:pPr>
            <w:r w:rsidRPr="00170422">
              <w:rPr>
                <w:noProof/>
                <w:lang w:val="de-DE"/>
              </w:rPr>
              <w:t>Meilenstein</w:t>
            </w:r>
          </w:p>
        </w:tc>
        <w:tc>
          <w:tcPr>
            <w:tcW w:w="14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FBBA85" w14:textId="77777777" w:rsidR="0057163C" w:rsidRPr="00170422" w:rsidRDefault="00F37BF9">
            <w:pPr>
              <w:pStyle w:val="P68B1DB1-Normal11"/>
              <w:spacing w:after="120"/>
              <w:jc w:val="center"/>
              <w:rPr>
                <w:noProof/>
                <w:lang w:val="de-DE"/>
              </w:rPr>
            </w:pPr>
            <w:r w:rsidRPr="00170422">
              <w:rPr>
                <w:noProof/>
                <w:lang w:val="de-DE"/>
              </w:rPr>
              <w:t>Festlegung des Ziels der Leistungsbeschreibung</w:t>
            </w:r>
          </w:p>
        </w:tc>
        <w:tc>
          <w:tcPr>
            <w:tcW w:w="17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2F6A1E" w14:textId="77777777" w:rsidR="0057163C" w:rsidRPr="00170422" w:rsidRDefault="00F37BF9">
            <w:pPr>
              <w:pStyle w:val="P68B1DB1-Normal11"/>
              <w:spacing w:after="120"/>
              <w:jc w:val="center"/>
              <w:rPr>
                <w:noProof/>
                <w:lang w:val="de-DE"/>
              </w:rPr>
            </w:pPr>
            <w:r w:rsidRPr="00170422">
              <w:rPr>
                <w:noProof/>
                <w:lang w:val="de-DE"/>
              </w:rPr>
              <w:t xml:space="preserve">Inkrafttreten des Rechtsakts mit der Festlegung der </w:t>
            </w:r>
            <w:r w:rsidRPr="00170422">
              <w:rPr>
                <w:noProof/>
                <w:lang w:val="de-DE"/>
              </w:rPr>
              <w:t>Leistungsbeschreibung für das Finanzinstrument</w:t>
            </w:r>
          </w:p>
        </w:tc>
        <w:tc>
          <w:tcPr>
            <w:tcW w:w="12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006C6A8" w14:textId="77777777" w:rsidR="0057163C" w:rsidRPr="00170422" w:rsidRDefault="0057163C">
            <w:pPr>
              <w:spacing w:after="120"/>
              <w:jc w:val="center"/>
              <w:rPr>
                <w:rFonts w:ascii="Arial Narrow" w:hAnsi="Arial Narrow"/>
                <w:noProof/>
                <w:color w:val="006100"/>
                <w:sz w:val="20"/>
                <w:lang w:val="de-DE"/>
              </w:rPr>
            </w:pPr>
          </w:p>
        </w:tc>
        <w:tc>
          <w:tcPr>
            <w:tcW w:w="13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EFFF8FD" w14:textId="77777777" w:rsidR="0057163C" w:rsidRPr="00170422" w:rsidRDefault="0057163C">
            <w:pPr>
              <w:spacing w:after="120"/>
              <w:jc w:val="center"/>
              <w:rPr>
                <w:rFonts w:ascii="Arial Narrow" w:hAnsi="Arial Narrow"/>
                <w:noProof/>
                <w:color w:val="006100"/>
                <w:sz w:val="20"/>
                <w:lang w:val="de-DE"/>
              </w:rPr>
            </w:pP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CFFF993" w14:textId="77777777" w:rsidR="0057163C" w:rsidRPr="00170422" w:rsidRDefault="0057163C">
            <w:pPr>
              <w:spacing w:after="120"/>
              <w:jc w:val="center"/>
              <w:rPr>
                <w:rFonts w:ascii="Arial Narrow" w:hAnsi="Arial Narrow"/>
                <w:noProof/>
                <w:color w:val="006100"/>
                <w:sz w:val="20"/>
                <w:lang w:val="de-DE"/>
              </w:rPr>
            </w:pP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1632F4" w14:textId="77777777" w:rsidR="0057163C" w:rsidRPr="00170422" w:rsidRDefault="00F37BF9">
            <w:pPr>
              <w:pStyle w:val="P68B1DB1-Normal11"/>
              <w:spacing w:after="120"/>
              <w:jc w:val="center"/>
              <w:rPr>
                <w:noProof/>
                <w:szCs w:val="20"/>
                <w:lang w:val="de-DE"/>
              </w:rPr>
            </w:pPr>
            <w:r w:rsidRPr="00170422">
              <w:rPr>
                <w:noProof/>
                <w:lang w:val="de-DE"/>
              </w:rPr>
              <w:t>Q3</w:t>
            </w:r>
          </w:p>
        </w:tc>
        <w:tc>
          <w:tcPr>
            <w:tcW w:w="7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5AD771C" w14:textId="77777777" w:rsidR="0057163C" w:rsidRPr="00170422" w:rsidRDefault="00F37BF9">
            <w:pPr>
              <w:pStyle w:val="P68B1DB1-Normal11"/>
              <w:spacing w:after="120"/>
              <w:jc w:val="center"/>
              <w:rPr>
                <w:noProof/>
                <w:lang w:val="de-DE"/>
              </w:rPr>
            </w:pPr>
            <w:r w:rsidRPr="00170422">
              <w:rPr>
                <w:noProof/>
                <w:lang w:val="de-DE"/>
              </w:rPr>
              <w:t>2024</w:t>
            </w:r>
          </w:p>
        </w:tc>
        <w:tc>
          <w:tcPr>
            <w:tcW w:w="3303" w:type="dxa"/>
            <w:tcBorders>
              <w:top w:val="single" w:sz="4" w:space="0" w:color="auto"/>
              <w:left w:val="single" w:sz="4" w:space="0" w:color="auto"/>
              <w:bottom w:val="single" w:sz="4" w:space="0" w:color="auto"/>
              <w:right w:val="single" w:sz="4" w:space="0" w:color="auto"/>
            </w:tcBorders>
            <w:shd w:val="clear" w:color="auto" w:fill="C6EFCE"/>
            <w:noWrap/>
          </w:tcPr>
          <w:p w14:paraId="0ABF370E" w14:textId="6FB20E51" w:rsidR="0057163C" w:rsidRPr="00170422" w:rsidRDefault="00F37BF9">
            <w:pPr>
              <w:pStyle w:val="P68B1DB1-Normal11"/>
              <w:spacing w:after="120"/>
              <w:rPr>
                <w:noProof/>
                <w:szCs w:val="20"/>
                <w:lang w:val="de-DE"/>
              </w:rPr>
            </w:pPr>
            <w:r w:rsidRPr="00170422">
              <w:rPr>
                <w:noProof/>
                <w:lang w:val="de-DE"/>
              </w:rPr>
              <w:t xml:space="preserve">Festlegung der Leistungsbeschreibung für das Finanzinstrument, das auf energetische Renovierungen in </w:t>
            </w:r>
            <w:r w:rsidRPr="00170422">
              <w:rPr>
                <w:noProof/>
                <w:szCs w:val="20"/>
                <w:lang w:val="de-DE"/>
              </w:rPr>
              <w:t>öffentlichen Wohngebäuden abzielt.</w:t>
            </w:r>
          </w:p>
          <w:p w14:paraId="64AFCB4E" w14:textId="77777777" w:rsidR="0057163C" w:rsidRPr="00170422" w:rsidRDefault="0057163C">
            <w:pPr>
              <w:spacing w:after="120"/>
              <w:rPr>
                <w:rFonts w:ascii="Arial Narrow" w:hAnsi="Arial Narrow"/>
                <w:noProof/>
                <w:color w:val="006100"/>
                <w:sz w:val="20"/>
                <w:lang w:val="de-DE"/>
              </w:rPr>
            </w:pPr>
          </w:p>
        </w:tc>
      </w:tr>
      <w:tr w:rsidR="0057163C" w:rsidRPr="00170422" w14:paraId="1476515C" w14:textId="77777777" w:rsidTr="00A400C5">
        <w:trPr>
          <w:trHeight w:val="309"/>
        </w:trPr>
        <w:tc>
          <w:tcPr>
            <w:tcW w:w="12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85E3B78" w14:textId="77777777" w:rsidR="0057163C" w:rsidRPr="00170422" w:rsidRDefault="00F37BF9">
            <w:pPr>
              <w:pStyle w:val="P68B1DB1-Normal11"/>
              <w:spacing w:after="120"/>
              <w:jc w:val="center"/>
              <w:rPr>
                <w:noProof/>
                <w:szCs w:val="20"/>
                <w:lang w:val="de-DE"/>
              </w:rPr>
            </w:pPr>
            <w:r w:rsidRPr="00170422">
              <w:rPr>
                <w:noProof/>
                <w:lang w:val="de-DE"/>
              </w:rPr>
              <w:t>M7-47</w:t>
            </w:r>
          </w:p>
        </w:tc>
        <w:tc>
          <w:tcPr>
            <w:tcW w:w="157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1C4B8E" w14:textId="77777777" w:rsidR="0057163C" w:rsidRPr="00170422" w:rsidRDefault="00F37BF9">
            <w:pPr>
              <w:pStyle w:val="P68B1DB1-Normal12"/>
              <w:spacing w:after="120"/>
              <w:jc w:val="center"/>
              <w:rPr>
                <w:noProof/>
                <w:lang w:val="de-DE"/>
              </w:rPr>
            </w:pPr>
            <w:r w:rsidRPr="00170422">
              <w:rPr>
                <w:noProof/>
                <w:lang w:val="de-DE"/>
              </w:rPr>
              <w:t xml:space="preserve">Investition 17: Finanzinstrument für die energetische Sanierung öffentlicher Wohngebäude </w:t>
            </w:r>
          </w:p>
        </w:tc>
        <w:tc>
          <w:tcPr>
            <w:tcW w:w="114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28B3BB7" w14:textId="77777777" w:rsidR="0057163C" w:rsidRPr="00170422" w:rsidRDefault="00F37BF9">
            <w:pPr>
              <w:pStyle w:val="P68B1DB1-Normal11"/>
              <w:spacing w:after="120"/>
              <w:jc w:val="center"/>
              <w:rPr>
                <w:noProof/>
                <w:lang w:val="de-DE"/>
              </w:rPr>
            </w:pPr>
            <w:r w:rsidRPr="00170422">
              <w:rPr>
                <w:noProof/>
                <w:lang w:val="de-DE"/>
              </w:rPr>
              <w:t>Meilenstein</w:t>
            </w:r>
          </w:p>
        </w:tc>
        <w:tc>
          <w:tcPr>
            <w:tcW w:w="14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27E86A5" w14:textId="77777777" w:rsidR="0057163C" w:rsidRPr="00170422" w:rsidRDefault="00F37BF9">
            <w:pPr>
              <w:pStyle w:val="P68B1DB1-Normal11"/>
              <w:spacing w:after="120"/>
              <w:jc w:val="center"/>
              <w:rPr>
                <w:noProof/>
                <w:lang w:val="de-DE"/>
              </w:rPr>
            </w:pPr>
            <w:r w:rsidRPr="00170422">
              <w:rPr>
                <w:noProof/>
                <w:lang w:val="de-DE"/>
              </w:rPr>
              <w:t>Durchführungsvereinbarung</w:t>
            </w:r>
          </w:p>
        </w:tc>
        <w:tc>
          <w:tcPr>
            <w:tcW w:w="17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002409" w14:textId="77777777" w:rsidR="0057163C" w:rsidRPr="00170422" w:rsidRDefault="00F37BF9">
            <w:pPr>
              <w:pStyle w:val="P68B1DB1-Normal11"/>
              <w:spacing w:after="120"/>
              <w:jc w:val="center"/>
              <w:rPr>
                <w:noProof/>
                <w:lang w:val="de-DE"/>
              </w:rPr>
            </w:pPr>
            <w:r w:rsidRPr="00170422">
              <w:rPr>
                <w:noProof/>
                <w:lang w:val="de-DE"/>
              </w:rPr>
              <w:t>Inkrafttreten des Durchführungsübereinkommens</w:t>
            </w:r>
          </w:p>
        </w:tc>
        <w:tc>
          <w:tcPr>
            <w:tcW w:w="12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F733AAC" w14:textId="77777777" w:rsidR="0057163C" w:rsidRPr="00170422" w:rsidRDefault="0057163C">
            <w:pPr>
              <w:spacing w:after="120"/>
              <w:jc w:val="center"/>
              <w:rPr>
                <w:rFonts w:ascii="Arial Narrow" w:hAnsi="Arial Narrow"/>
                <w:noProof/>
                <w:color w:val="006100"/>
                <w:sz w:val="20"/>
                <w:lang w:val="de-DE"/>
              </w:rPr>
            </w:pPr>
          </w:p>
        </w:tc>
        <w:tc>
          <w:tcPr>
            <w:tcW w:w="13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629EBB50" w14:textId="77777777" w:rsidR="0057163C" w:rsidRPr="00170422" w:rsidRDefault="0057163C">
            <w:pPr>
              <w:spacing w:after="120"/>
              <w:jc w:val="center"/>
              <w:rPr>
                <w:rFonts w:ascii="Arial Narrow" w:hAnsi="Arial Narrow"/>
                <w:noProof/>
                <w:color w:val="006100"/>
                <w:sz w:val="20"/>
                <w:lang w:val="de-DE"/>
              </w:rPr>
            </w:pP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E84DC4D" w14:textId="77777777" w:rsidR="0057163C" w:rsidRPr="00170422" w:rsidRDefault="0057163C">
            <w:pPr>
              <w:spacing w:after="120"/>
              <w:jc w:val="center"/>
              <w:rPr>
                <w:rFonts w:ascii="Arial Narrow" w:hAnsi="Arial Narrow"/>
                <w:noProof/>
                <w:color w:val="006100"/>
                <w:sz w:val="20"/>
                <w:lang w:val="de-DE"/>
              </w:rPr>
            </w:pP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A0479EC" w14:textId="77777777" w:rsidR="0057163C" w:rsidRPr="00170422" w:rsidRDefault="00F37BF9">
            <w:pPr>
              <w:pStyle w:val="P68B1DB1-Normal11"/>
              <w:spacing w:after="120"/>
              <w:jc w:val="center"/>
              <w:rPr>
                <w:noProof/>
                <w:szCs w:val="20"/>
                <w:lang w:val="de-DE"/>
              </w:rPr>
            </w:pPr>
            <w:r w:rsidRPr="00170422">
              <w:rPr>
                <w:noProof/>
                <w:lang w:val="de-DE"/>
              </w:rPr>
              <w:t>Q2</w:t>
            </w:r>
          </w:p>
        </w:tc>
        <w:tc>
          <w:tcPr>
            <w:tcW w:w="7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8C627A1" w14:textId="77777777" w:rsidR="0057163C" w:rsidRPr="00170422" w:rsidRDefault="00F37BF9">
            <w:pPr>
              <w:pStyle w:val="P68B1DB1-Normal11"/>
              <w:spacing w:after="120"/>
              <w:jc w:val="center"/>
              <w:rPr>
                <w:noProof/>
                <w:szCs w:val="20"/>
                <w:lang w:val="de-DE"/>
              </w:rPr>
            </w:pPr>
            <w:r w:rsidRPr="00170422">
              <w:rPr>
                <w:noProof/>
                <w:lang w:val="de-DE"/>
              </w:rPr>
              <w:t>2025</w:t>
            </w:r>
          </w:p>
        </w:tc>
        <w:tc>
          <w:tcPr>
            <w:tcW w:w="3303" w:type="dxa"/>
            <w:tcBorders>
              <w:top w:val="single" w:sz="4" w:space="0" w:color="auto"/>
              <w:left w:val="single" w:sz="4" w:space="0" w:color="auto"/>
              <w:bottom w:val="single" w:sz="4" w:space="0" w:color="auto"/>
              <w:right w:val="single" w:sz="4" w:space="0" w:color="auto"/>
            </w:tcBorders>
            <w:shd w:val="clear" w:color="auto" w:fill="C6EFCE"/>
            <w:noWrap/>
          </w:tcPr>
          <w:p w14:paraId="54EB1D9C" w14:textId="77777777" w:rsidR="0057163C" w:rsidRPr="00170422" w:rsidRDefault="00F37BF9">
            <w:pPr>
              <w:pStyle w:val="P68B1DB1-Normal11"/>
              <w:spacing w:after="120"/>
              <w:jc w:val="both"/>
              <w:rPr>
                <w:noProof/>
                <w:lang w:val="de-DE"/>
              </w:rPr>
            </w:pPr>
            <w:r w:rsidRPr="00170422">
              <w:rPr>
                <w:noProof/>
                <w:lang w:val="de-DE"/>
              </w:rPr>
              <w:t>Inkrafttreten des Durchführungsübereinkommens/der</w:t>
            </w:r>
            <w:r w:rsidRPr="00170422">
              <w:rPr>
                <w:noProof/>
                <w:szCs w:val="20"/>
                <w:lang w:val="de-DE"/>
              </w:rPr>
              <w:t xml:space="preserve">Durchführungsabkommen </w:t>
            </w:r>
            <w:r w:rsidRPr="00170422">
              <w:rPr>
                <w:noProof/>
                <w:szCs w:val="20"/>
                <w:lang w:val="de-DE"/>
              </w:rPr>
              <w:t>im</w:t>
            </w:r>
            <w:r w:rsidRPr="00170422">
              <w:rPr>
                <w:noProof/>
                <w:lang w:val="de-DE"/>
              </w:rPr>
              <w:t xml:space="preserve"> Einklang mit den in der Beschreibung der Maßnahme genannten Anforderungen.</w:t>
            </w:r>
          </w:p>
          <w:p w14:paraId="5ADBC682" w14:textId="77777777" w:rsidR="0057163C" w:rsidRPr="00170422" w:rsidRDefault="00F37BF9">
            <w:pPr>
              <w:pStyle w:val="P68B1DB1-Normal11"/>
              <w:spacing w:after="120"/>
              <w:jc w:val="both"/>
              <w:rPr>
                <w:noProof/>
                <w:szCs w:val="20"/>
                <w:lang w:val="de-DE"/>
              </w:rPr>
            </w:pPr>
            <w:r w:rsidRPr="00170422">
              <w:rPr>
                <w:noProof/>
                <w:lang w:val="de-DE"/>
              </w:rPr>
              <w:t>Das Durchführungsabkommen</w:t>
            </w:r>
            <w:r w:rsidRPr="00170422">
              <w:rPr>
                <w:noProof/>
                <w:szCs w:val="20"/>
                <w:lang w:val="de-DE"/>
              </w:rPr>
              <w:t>enthält</w:t>
            </w:r>
            <w:r w:rsidRPr="00170422">
              <w:rPr>
                <w:noProof/>
                <w:lang w:val="de-DE"/>
              </w:rPr>
              <w:t xml:space="preserve"> insbesondere Förderkriterien für die Mindestverbesserung der Energieeffizienz, die mit dem Instrument erreicht werden soll (im Durchschnitt minde</w:t>
            </w:r>
            <w:r w:rsidRPr="00170422">
              <w:rPr>
                <w:noProof/>
                <w:lang w:val="de-DE"/>
              </w:rPr>
              <w:t>stens 30 % der Primärenergienachfrage).</w:t>
            </w:r>
          </w:p>
          <w:p w14:paraId="3C5B4517" w14:textId="77777777" w:rsidR="0057163C" w:rsidRPr="00170422" w:rsidRDefault="00F37BF9">
            <w:pPr>
              <w:pStyle w:val="P68B1DB1-Normal113"/>
              <w:spacing w:after="120" w:line="257" w:lineRule="auto"/>
              <w:jc w:val="both"/>
              <w:rPr>
                <w:rFonts w:ascii="Arial Narrow" w:hAnsi="Arial Narrow"/>
                <w:noProof/>
                <w:color w:val="006100"/>
                <w:szCs w:val="20"/>
                <w:lang w:val="de-DE"/>
              </w:rPr>
            </w:pPr>
            <w:r w:rsidRPr="00170422">
              <w:rPr>
                <w:rFonts w:ascii="Arial Narrow" w:hAnsi="Arial Narrow"/>
                <w:noProof/>
                <w:color w:val="006100"/>
                <w:lang w:val="de-DE"/>
              </w:rPr>
              <w:t>Bei den Auswahlkriterien wird auch den Interventionen mit den höchsten Erträgen in Bezug auf die Energieeffizienz Vorrang eingeräumt.</w:t>
            </w:r>
            <w:r w:rsidRPr="00170422">
              <w:rPr>
                <w:rFonts w:ascii="Arial Narrow" w:eastAsia="Arial Narrow" w:hAnsi="Arial Narrow" w:cs="Arial Narrow"/>
                <w:noProof/>
                <w:szCs w:val="20"/>
                <w:lang w:val="de-DE"/>
              </w:rPr>
              <w:t xml:space="preserve"> </w:t>
            </w:r>
          </w:p>
        </w:tc>
      </w:tr>
      <w:tr w:rsidR="0057163C" w:rsidRPr="00170422" w14:paraId="321FDF05" w14:textId="77777777" w:rsidTr="00A400C5">
        <w:trPr>
          <w:trHeight w:val="309"/>
        </w:trPr>
        <w:tc>
          <w:tcPr>
            <w:tcW w:w="12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A1BED46" w14:textId="77777777" w:rsidR="0057163C" w:rsidRPr="00170422" w:rsidRDefault="00F37BF9">
            <w:pPr>
              <w:pStyle w:val="P68B1DB1-Normal12"/>
              <w:spacing w:after="120"/>
              <w:jc w:val="center"/>
              <w:rPr>
                <w:noProof/>
                <w:lang w:val="de-DE"/>
              </w:rPr>
            </w:pPr>
            <w:r w:rsidRPr="00170422">
              <w:rPr>
                <w:noProof/>
                <w:lang w:val="de-DE"/>
              </w:rPr>
              <w:t xml:space="preserve"> M7-48</w:t>
            </w:r>
          </w:p>
        </w:tc>
        <w:tc>
          <w:tcPr>
            <w:tcW w:w="157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C6A4868" w14:textId="77777777" w:rsidR="0057163C" w:rsidRPr="00170422" w:rsidRDefault="00F37BF9">
            <w:pPr>
              <w:pStyle w:val="P68B1DB1-Normal12"/>
              <w:spacing w:after="120"/>
              <w:jc w:val="center"/>
              <w:rPr>
                <w:noProof/>
                <w:lang w:val="de-DE"/>
              </w:rPr>
            </w:pPr>
            <w:r w:rsidRPr="00170422">
              <w:rPr>
                <w:noProof/>
                <w:lang w:val="de-DE"/>
              </w:rPr>
              <w:t xml:space="preserve">Investition 17: Finanzinstrument für die energetische Sanierung </w:t>
            </w:r>
            <w:r w:rsidRPr="00170422">
              <w:rPr>
                <w:noProof/>
                <w:lang w:val="de-DE"/>
              </w:rPr>
              <w:t>öffentlicher Wohngebäude</w:t>
            </w:r>
          </w:p>
        </w:tc>
        <w:tc>
          <w:tcPr>
            <w:tcW w:w="114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4689D8A" w14:textId="77777777" w:rsidR="0057163C" w:rsidRPr="00170422" w:rsidRDefault="00F37BF9">
            <w:pPr>
              <w:pStyle w:val="P68B1DB1-Normal11"/>
              <w:spacing w:after="120"/>
              <w:jc w:val="center"/>
              <w:rPr>
                <w:noProof/>
                <w:lang w:val="de-DE"/>
              </w:rPr>
            </w:pPr>
            <w:r w:rsidRPr="00170422">
              <w:rPr>
                <w:noProof/>
                <w:lang w:val="de-DE"/>
              </w:rPr>
              <w:t>Meilenstein</w:t>
            </w:r>
          </w:p>
        </w:tc>
        <w:tc>
          <w:tcPr>
            <w:tcW w:w="14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C709637" w14:textId="77777777" w:rsidR="0057163C" w:rsidRPr="00170422" w:rsidRDefault="00F37BF9">
            <w:pPr>
              <w:pStyle w:val="P68B1DB1-Normal11"/>
              <w:spacing w:after="120"/>
              <w:jc w:val="center"/>
              <w:rPr>
                <w:noProof/>
                <w:lang w:val="de-DE"/>
              </w:rPr>
            </w:pPr>
            <w:r w:rsidRPr="00170422">
              <w:rPr>
                <w:noProof/>
                <w:lang w:val="de-DE"/>
              </w:rPr>
              <w:t>Das Ministerium hat die Investition abgeschlossen</w:t>
            </w:r>
          </w:p>
        </w:tc>
        <w:tc>
          <w:tcPr>
            <w:tcW w:w="17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3FA914" w14:textId="77777777" w:rsidR="0057163C" w:rsidRPr="00170422" w:rsidRDefault="00F37BF9">
            <w:pPr>
              <w:pStyle w:val="P68B1DB1-Normal11"/>
              <w:spacing w:after="120"/>
              <w:jc w:val="center"/>
              <w:rPr>
                <w:noProof/>
                <w:lang w:val="de-DE"/>
              </w:rPr>
            </w:pPr>
            <w:r w:rsidRPr="00170422">
              <w:rPr>
                <w:noProof/>
                <w:lang w:val="de-DE"/>
              </w:rPr>
              <w:t>Übertragungsbescheinigung</w:t>
            </w:r>
          </w:p>
        </w:tc>
        <w:tc>
          <w:tcPr>
            <w:tcW w:w="12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234629BA" w14:textId="77777777" w:rsidR="0057163C" w:rsidRPr="00170422" w:rsidRDefault="0057163C">
            <w:pPr>
              <w:spacing w:after="120"/>
              <w:jc w:val="center"/>
              <w:rPr>
                <w:rFonts w:ascii="Arial Narrow" w:hAnsi="Arial Narrow"/>
                <w:noProof/>
                <w:color w:val="006100"/>
                <w:sz w:val="20"/>
                <w:lang w:val="de-DE"/>
              </w:rPr>
            </w:pPr>
          </w:p>
        </w:tc>
        <w:tc>
          <w:tcPr>
            <w:tcW w:w="13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5BB86A8" w14:textId="77777777" w:rsidR="0057163C" w:rsidRPr="00170422" w:rsidRDefault="00F37BF9">
            <w:pPr>
              <w:pStyle w:val="P68B1DB1-Normal11"/>
              <w:spacing w:after="120"/>
              <w:jc w:val="center"/>
              <w:rPr>
                <w:rFonts w:eastAsia="Arial Narrow" w:cs="Arial Narrow"/>
                <w:noProof/>
                <w:szCs w:val="20"/>
                <w:lang w:val="de-DE"/>
              </w:rPr>
            </w:pPr>
            <w:r w:rsidRPr="00170422">
              <w:rPr>
                <w:noProof/>
                <w:lang w:val="de-DE"/>
              </w:rPr>
              <w:t>ENTFÄLLT.</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629BCD1" w14:textId="77777777" w:rsidR="0057163C" w:rsidRPr="00170422" w:rsidRDefault="00F37BF9">
            <w:pPr>
              <w:pStyle w:val="P68B1DB1-Normal11"/>
              <w:spacing w:after="120"/>
              <w:jc w:val="center"/>
              <w:rPr>
                <w:rFonts w:eastAsia="Arial Narrow" w:cs="Arial Narrow"/>
                <w:noProof/>
                <w:szCs w:val="20"/>
                <w:lang w:val="de-DE"/>
              </w:rPr>
            </w:pPr>
            <w:r w:rsidRPr="00170422">
              <w:rPr>
                <w:noProof/>
                <w:lang w:val="de-DE"/>
              </w:rPr>
              <w:t xml:space="preserve"> ENTFÄLLT.</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A3D52F9" w14:textId="77777777" w:rsidR="0057163C" w:rsidRPr="00170422" w:rsidRDefault="00F37BF9">
            <w:pPr>
              <w:pStyle w:val="P68B1DB1-Normal11"/>
              <w:spacing w:after="120"/>
              <w:jc w:val="center"/>
              <w:rPr>
                <w:noProof/>
                <w:lang w:val="de-DE"/>
              </w:rPr>
            </w:pPr>
            <w:r w:rsidRPr="00170422">
              <w:rPr>
                <w:noProof/>
                <w:lang w:val="de-DE"/>
              </w:rPr>
              <w:t>Q2</w:t>
            </w:r>
          </w:p>
        </w:tc>
        <w:tc>
          <w:tcPr>
            <w:tcW w:w="7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7DA50B5F" w14:textId="77777777" w:rsidR="0057163C" w:rsidRPr="00170422" w:rsidRDefault="00F37BF9">
            <w:pPr>
              <w:pStyle w:val="P68B1DB1-Normal11"/>
              <w:spacing w:after="120"/>
              <w:jc w:val="center"/>
              <w:rPr>
                <w:noProof/>
                <w:lang w:val="de-DE"/>
              </w:rPr>
            </w:pPr>
            <w:r w:rsidRPr="00170422">
              <w:rPr>
                <w:noProof/>
                <w:lang w:val="de-DE"/>
              </w:rPr>
              <w:t>2025</w:t>
            </w:r>
          </w:p>
        </w:tc>
        <w:tc>
          <w:tcPr>
            <w:tcW w:w="3303" w:type="dxa"/>
            <w:tcBorders>
              <w:top w:val="single" w:sz="4" w:space="0" w:color="auto"/>
              <w:left w:val="single" w:sz="4" w:space="0" w:color="auto"/>
              <w:bottom w:val="single" w:sz="4" w:space="0" w:color="auto"/>
              <w:right w:val="single" w:sz="4" w:space="0" w:color="auto"/>
            </w:tcBorders>
            <w:shd w:val="clear" w:color="auto" w:fill="C6EFCE"/>
            <w:noWrap/>
          </w:tcPr>
          <w:p w14:paraId="3FB23173" w14:textId="77777777" w:rsidR="0057163C" w:rsidRPr="00170422" w:rsidRDefault="00F37BF9">
            <w:pPr>
              <w:pStyle w:val="P68B1DB1-Normal114"/>
              <w:spacing w:after="0"/>
              <w:jc w:val="both"/>
              <w:rPr>
                <w:rFonts w:hAnsi="Arial Narrow"/>
                <w:noProof/>
                <w:lang w:val="de-DE"/>
              </w:rPr>
            </w:pPr>
            <w:r w:rsidRPr="00170422">
              <w:rPr>
                <w:noProof/>
                <w:lang w:val="de-DE"/>
              </w:rPr>
              <w:t xml:space="preserve">Italien </w:t>
            </w:r>
            <w:r w:rsidRPr="00170422">
              <w:rPr>
                <w:noProof/>
                <w:lang w:val="de-DE"/>
              </w:rPr>
              <w:t>ü</w:t>
            </w:r>
            <w:r w:rsidRPr="00170422">
              <w:rPr>
                <w:noProof/>
                <w:lang w:val="de-DE"/>
              </w:rPr>
              <w:t>bertr</w:t>
            </w:r>
            <w:r w:rsidRPr="00170422">
              <w:rPr>
                <w:noProof/>
                <w:lang w:val="de-DE"/>
              </w:rPr>
              <w:t>ä</w:t>
            </w:r>
            <w:r w:rsidRPr="00170422">
              <w:rPr>
                <w:noProof/>
                <w:lang w:val="de-DE"/>
              </w:rPr>
              <w:t>gt 1</w:t>
            </w:r>
            <w:r w:rsidRPr="00170422">
              <w:rPr>
                <w:noProof/>
                <w:lang w:val="de-DE"/>
              </w:rPr>
              <w:t> </w:t>
            </w:r>
            <w:r w:rsidRPr="00170422">
              <w:rPr>
                <w:noProof/>
                <w:lang w:val="de-DE"/>
              </w:rPr>
              <w:t>381</w:t>
            </w:r>
            <w:r w:rsidRPr="00170422">
              <w:rPr>
                <w:noProof/>
                <w:lang w:val="de-DE"/>
              </w:rPr>
              <w:t> </w:t>
            </w:r>
            <w:r w:rsidRPr="00170422">
              <w:rPr>
                <w:noProof/>
                <w:lang w:val="de-DE"/>
              </w:rPr>
              <w:t>000</w:t>
            </w:r>
            <w:r w:rsidRPr="00170422">
              <w:rPr>
                <w:noProof/>
                <w:lang w:val="de-DE"/>
              </w:rPr>
              <w:t> </w:t>
            </w:r>
            <w:r w:rsidRPr="00170422">
              <w:rPr>
                <w:noProof/>
                <w:lang w:val="de-DE"/>
              </w:rPr>
              <w:t>000</w:t>
            </w:r>
            <w:r w:rsidRPr="00170422">
              <w:rPr>
                <w:noProof/>
                <w:lang w:val="de-DE"/>
              </w:rPr>
              <w:t> </w:t>
            </w:r>
            <w:r w:rsidRPr="00170422">
              <w:rPr>
                <w:noProof/>
                <w:lang w:val="de-DE"/>
              </w:rPr>
              <w:t>EUR an den (die) Durchf</w:t>
            </w:r>
            <w:r w:rsidRPr="00170422">
              <w:rPr>
                <w:noProof/>
                <w:lang w:val="de-DE"/>
              </w:rPr>
              <w:t>ü</w:t>
            </w:r>
            <w:r w:rsidRPr="00170422">
              <w:rPr>
                <w:noProof/>
                <w:lang w:val="de-DE"/>
              </w:rPr>
              <w:t>hrungspartner f</w:t>
            </w:r>
            <w:r w:rsidRPr="00170422">
              <w:rPr>
                <w:noProof/>
                <w:lang w:val="de-DE"/>
              </w:rPr>
              <w:t>ü</w:t>
            </w:r>
            <w:r w:rsidRPr="00170422">
              <w:rPr>
                <w:noProof/>
                <w:lang w:val="de-DE"/>
              </w:rPr>
              <w:t>r die Fazilit</w:t>
            </w:r>
            <w:r w:rsidRPr="00170422">
              <w:rPr>
                <w:noProof/>
                <w:lang w:val="de-DE"/>
              </w:rPr>
              <w:t>ä</w:t>
            </w:r>
            <w:r w:rsidRPr="00170422">
              <w:rPr>
                <w:noProof/>
                <w:lang w:val="de-DE"/>
              </w:rPr>
              <w:t>t.</w:t>
            </w:r>
          </w:p>
        </w:tc>
      </w:tr>
      <w:tr w:rsidR="0057163C" w:rsidRPr="00170422" w14:paraId="1A60B290" w14:textId="77777777" w:rsidTr="00A400C5">
        <w:trPr>
          <w:trHeight w:val="309"/>
        </w:trPr>
        <w:tc>
          <w:tcPr>
            <w:tcW w:w="120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BBB9F48" w14:textId="77777777" w:rsidR="0057163C" w:rsidRPr="00170422" w:rsidRDefault="00F37BF9">
            <w:pPr>
              <w:pStyle w:val="P68B1DB1-Normal11"/>
              <w:spacing w:after="120"/>
              <w:jc w:val="center"/>
              <w:rPr>
                <w:noProof/>
                <w:szCs w:val="20"/>
                <w:lang w:val="de-DE"/>
              </w:rPr>
            </w:pPr>
            <w:r w:rsidRPr="00170422">
              <w:rPr>
                <w:noProof/>
                <w:lang w:val="de-DE"/>
              </w:rPr>
              <w:t>M7-49</w:t>
            </w:r>
          </w:p>
        </w:tc>
        <w:tc>
          <w:tcPr>
            <w:tcW w:w="157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7DA462D" w14:textId="77777777" w:rsidR="0057163C" w:rsidRPr="00170422" w:rsidRDefault="00F37BF9">
            <w:pPr>
              <w:pStyle w:val="P68B1DB1-Normal12"/>
              <w:spacing w:after="120"/>
              <w:jc w:val="center"/>
              <w:rPr>
                <w:noProof/>
                <w:lang w:val="de-DE"/>
              </w:rPr>
            </w:pPr>
            <w:r w:rsidRPr="00170422">
              <w:rPr>
                <w:noProof/>
                <w:lang w:val="de-DE"/>
              </w:rPr>
              <w:t xml:space="preserve">Investition 17: Finanzinstrument für die energetische Sanierung öffentlicher Wohngebäude </w:t>
            </w:r>
          </w:p>
        </w:tc>
        <w:tc>
          <w:tcPr>
            <w:tcW w:w="1149"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BC30EF4" w14:textId="77777777" w:rsidR="0057163C" w:rsidRPr="00170422" w:rsidRDefault="00F37BF9">
            <w:pPr>
              <w:pStyle w:val="P68B1DB1-Normal11"/>
              <w:spacing w:after="120"/>
              <w:jc w:val="center"/>
              <w:rPr>
                <w:noProof/>
                <w:lang w:val="de-DE"/>
              </w:rPr>
            </w:pPr>
            <w:r w:rsidRPr="00170422">
              <w:rPr>
                <w:noProof/>
                <w:lang w:val="de-DE"/>
              </w:rPr>
              <w:t>Ziel</w:t>
            </w:r>
          </w:p>
        </w:tc>
        <w:tc>
          <w:tcPr>
            <w:tcW w:w="143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152181FB" w14:textId="77777777" w:rsidR="0057163C" w:rsidRPr="00170422" w:rsidRDefault="00F37BF9">
            <w:pPr>
              <w:pStyle w:val="P68B1DB1-Normal11"/>
              <w:spacing w:after="120"/>
              <w:jc w:val="center"/>
              <w:rPr>
                <w:noProof/>
                <w:lang w:val="de-DE"/>
              </w:rPr>
            </w:pPr>
            <w:r w:rsidRPr="00170422">
              <w:rPr>
                <w:noProof/>
                <w:lang w:val="de-DE"/>
              </w:rPr>
              <w:t>Mit Endbegünstigten unterzeichnete rechtliche Vereinbarungen</w:t>
            </w:r>
          </w:p>
        </w:tc>
        <w:tc>
          <w:tcPr>
            <w:tcW w:w="172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41843DC5" w14:textId="77777777" w:rsidR="0057163C" w:rsidRPr="00170422" w:rsidRDefault="0057163C">
            <w:pPr>
              <w:spacing w:after="120"/>
              <w:jc w:val="center"/>
              <w:rPr>
                <w:rFonts w:ascii="Arial Narrow" w:hAnsi="Arial Narrow"/>
                <w:noProof/>
                <w:color w:val="006100"/>
                <w:sz w:val="20"/>
                <w:lang w:val="de-DE"/>
              </w:rPr>
            </w:pPr>
          </w:p>
        </w:tc>
        <w:tc>
          <w:tcPr>
            <w:tcW w:w="129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09428244" w14:textId="77777777" w:rsidR="0057163C" w:rsidRPr="00170422" w:rsidRDefault="00F37BF9">
            <w:pPr>
              <w:pStyle w:val="P68B1DB1-Normal11"/>
              <w:spacing w:after="120"/>
              <w:jc w:val="center"/>
              <w:rPr>
                <w:noProof/>
                <w:lang w:val="de-DE"/>
              </w:rPr>
            </w:pPr>
            <w:r w:rsidRPr="00170422">
              <w:rPr>
                <w:noProof/>
                <w:lang w:val="de-DE"/>
              </w:rPr>
              <w:t>Anteil (%)</w:t>
            </w:r>
          </w:p>
        </w:tc>
        <w:tc>
          <w:tcPr>
            <w:tcW w:w="1343"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78C1A0F" w14:textId="77777777" w:rsidR="0057163C" w:rsidRPr="00170422" w:rsidRDefault="00F37BF9">
            <w:pPr>
              <w:pStyle w:val="P68B1DB1-Normal11"/>
              <w:spacing w:after="120"/>
              <w:jc w:val="center"/>
              <w:rPr>
                <w:noProof/>
                <w:lang w:val="de-DE"/>
              </w:rPr>
            </w:pPr>
            <w:r w:rsidRPr="00170422">
              <w:rPr>
                <w:noProof/>
                <w:lang w:val="de-DE"/>
              </w:rPr>
              <w:t>0 %</w:t>
            </w:r>
          </w:p>
        </w:tc>
        <w:tc>
          <w:tcPr>
            <w:tcW w:w="955"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4D0837F" w14:textId="77777777" w:rsidR="0057163C" w:rsidRPr="00170422" w:rsidRDefault="00F37BF9">
            <w:pPr>
              <w:pStyle w:val="P68B1DB1-Normal11"/>
              <w:spacing w:after="120"/>
              <w:jc w:val="center"/>
              <w:rPr>
                <w:noProof/>
                <w:lang w:val="de-DE"/>
              </w:rPr>
            </w:pPr>
            <w:r w:rsidRPr="00170422">
              <w:rPr>
                <w:noProof/>
                <w:lang w:val="de-DE"/>
              </w:rPr>
              <w:t>100 %</w:t>
            </w:r>
          </w:p>
        </w:tc>
        <w:tc>
          <w:tcPr>
            <w:tcW w:w="862"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3E517501" w14:textId="77777777" w:rsidR="0057163C" w:rsidRPr="00170422" w:rsidRDefault="00F37BF9">
            <w:pPr>
              <w:pStyle w:val="P68B1DB1-Normal11"/>
              <w:spacing w:after="120"/>
              <w:jc w:val="center"/>
              <w:rPr>
                <w:noProof/>
                <w:lang w:val="de-DE"/>
              </w:rPr>
            </w:pPr>
            <w:r w:rsidRPr="00170422">
              <w:rPr>
                <w:noProof/>
                <w:lang w:val="de-DE"/>
              </w:rPr>
              <w:t>Q2</w:t>
            </w:r>
          </w:p>
        </w:tc>
        <w:tc>
          <w:tcPr>
            <w:tcW w:w="717" w:type="dxa"/>
            <w:tcBorders>
              <w:top w:val="single" w:sz="4" w:space="0" w:color="auto"/>
              <w:left w:val="single" w:sz="4" w:space="0" w:color="auto"/>
              <w:bottom w:val="single" w:sz="4" w:space="0" w:color="auto"/>
              <w:right w:val="single" w:sz="4" w:space="0" w:color="auto"/>
            </w:tcBorders>
            <w:shd w:val="clear" w:color="auto" w:fill="C6EFCE"/>
            <w:noWrap/>
            <w:vAlign w:val="center"/>
          </w:tcPr>
          <w:p w14:paraId="56028758" w14:textId="77777777" w:rsidR="0057163C" w:rsidRPr="00170422" w:rsidRDefault="00F37BF9">
            <w:pPr>
              <w:pStyle w:val="P68B1DB1-Normal11"/>
              <w:spacing w:after="120"/>
              <w:jc w:val="center"/>
              <w:rPr>
                <w:noProof/>
                <w:lang w:val="de-DE"/>
              </w:rPr>
            </w:pPr>
            <w:r w:rsidRPr="00170422">
              <w:rPr>
                <w:noProof/>
                <w:lang w:val="de-DE"/>
              </w:rPr>
              <w:t>2026</w:t>
            </w:r>
          </w:p>
        </w:tc>
        <w:tc>
          <w:tcPr>
            <w:tcW w:w="3303" w:type="dxa"/>
            <w:tcBorders>
              <w:top w:val="single" w:sz="4" w:space="0" w:color="auto"/>
              <w:left w:val="single" w:sz="4" w:space="0" w:color="auto"/>
              <w:bottom w:val="single" w:sz="4" w:space="0" w:color="auto"/>
              <w:right w:val="single" w:sz="4" w:space="0" w:color="auto"/>
            </w:tcBorders>
            <w:shd w:val="clear" w:color="auto" w:fill="C6EFCE"/>
            <w:noWrap/>
          </w:tcPr>
          <w:p w14:paraId="3A0F2EF5" w14:textId="77777777" w:rsidR="0057163C" w:rsidRPr="00170422" w:rsidRDefault="00F37BF9">
            <w:pPr>
              <w:pStyle w:val="P68B1DB1-Normal12"/>
              <w:spacing w:after="120"/>
              <w:jc w:val="both"/>
              <w:rPr>
                <w:noProof/>
                <w:lang w:val="de-DE"/>
              </w:rPr>
            </w:pPr>
            <w:r w:rsidRPr="00170422">
              <w:rPr>
                <w:noProof/>
                <w:lang w:val="de-DE"/>
              </w:rPr>
              <w:t>Der/die Durchführungspartner muss/müssen rechtliche Finanzierungsverei</w:t>
            </w:r>
            <w:r w:rsidRPr="00170422">
              <w:rPr>
                <w:noProof/>
                <w:lang w:val="de-DE"/>
              </w:rPr>
              <w:t>nbarungen mit Energiedienstleistungsunternehmen (ESCO) über einen Betrag geschlossen haben, der erforderlich ist, um 100 % der ARF-Investitionen in die Fazilität zu verwenden (unter Berücksichtigung der Verwaltungsgebühren).</w:t>
            </w:r>
          </w:p>
          <w:p w14:paraId="7578123D" w14:textId="4B629020" w:rsidR="0057163C" w:rsidRPr="00170422" w:rsidRDefault="00F37BF9">
            <w:pPr>
              <w:pStyle w:val="P68B1DB1-Normal11"/>
              <w:spacing w:after="120"/>
              <w:jc w:val="both"/>
              <w:rPr>
                <w:noProof/>
                <w:lang w:val="de-DE"/>
              </w:rPr>
            </w:pPr>
            <w:r w:rsidRPr="00170422">
              <w:rPr>
                <w:noProof/>
                <w:lang w:val="de-DE"/>
              </w:rPr>
              <w:t xml:space="preserve">In </w:t>
            </w:r>
            <w:r w:rsidRPr="00170422">
              <w:rPr>
                <w:noProof/>
                <w:szCs w:val="20"/>
                <w:lang w:val="de-DE"/>
              </w:rPr>
              <w:t>den Finanzierungsvereinbarun</w:t>
            </w:r>
            <w:r w:rsidRPr="00170422">
              <w:rPr>
                <w:noProof/>
                <w:szCs w:val="20"/>
                <w:lang w:val="de-DE"/>
              </w:rPr>
              <w:t>gen</w:t>
            </w:r>
            <w:r w:rsidRPr="00170422">
              <w:rPr>
                <w:noProof/>
                <w:lang w:val="de-DE"/>
              </w:rPr>
              <w:t xml:space="preserve"> mit Energiedienstleistungsunternehmen (ESCO) ist anzugeben, welche Anlage einer energetischen Sanierung unterzogen werden soll.</w:t>
            </w:r>
          </w:p>
        </w:tc>
      </w:tr>
    </w:tbl>
    <w:p w14:paraId="0AAEF04B" w14:textId="77777777" w:rsidR="0057163C" w:rsidRPr="00170422" w:rsidRDefault="0057163C">
      <w:pPr>
        <w:spacing w:after="120"/>
        <w:jc w:val="both"/>
        <w:rPr>
          <w:rFonts w:ascii="Calibri" w:eastAsia="Calibri" w:hAnsi="Calibri" w:cs="Calibri"/>
          <w:noProof/>
          <w:color w:val="000000" w:themeColor="text1"/>
          <w:lang w:val="de-DE"/>
        </w:rPr>
        <w:sectPr w:rsidR="0057163C" w:rsidRPr="00170422" w:rsidSect="005F11B9">
          <w:headerReference w:type="default" r:id="rId330"/>
          <w:footerReference w:type="default" r:id="rId331"/>
          <w:pgSz w:w="16838" w:h="11906" w:orient="landscape" w:code="12"/>
          <w:pgMar w:top="1440" w:right="1440" w:bottom="1440" w:left="1440" w:header="567" w:footer="567" w:gutter="0"/>
          <w:cols w:space="720"/>
          <w:docGrid w:linePitch="360"/>
        </w:sectPr>
      </w:pPr>
    </w:p>
    <w:p w14:paraId="5C57166A" w14:textId="77777777" w:rsidR="0057163C" w:rsidRPr="00170422" w:rsidRDefault="00F37BF9">
      <w:pPr>
        <w:pStyle w:val="P68B1DB1-ListParagraph115"/>
        <w:keepNext/>
        <w:numPr>
          <w:ilvl w:val="0"/>
          <w:numId w:val="47"/>
        </w:numPr>
        <w:spacing w:before="360" w:after="120" w:line="240" w:lineRule="auto"/>
        <w:jc w:val="both"/>
        <w:outlineLvl w:val="0"/>
        <w:rPr>
          <w:rFonts w:eastAsia="Yu Gothic Light"/>
          <w:bCs/>
          <w:noProof/>
          <w:szCs w:val="28"/>
          <w:lang w:val="de-DE"/>
        </w:rPr>
      </w:pPr>
      <w:r w:rsidRPr="00170422">
        <w:rPr>
          <w:noProof/>
          <w:lang w:val="de-DE"/>
        </w:rPr>
        <w:t xml:space="preserve">Geschätzte Gesamtkosten des Aufbau- und Resilienzplans </w:t>
      </w:r>
    </w:p>
    <w:p w14:paraId="1403CE22" w14:textId="77777777" w:rsidR="0057163C" w:rsidRPr="00170422" w:rsidRDefault="00F37BF9">
      <w:pPr>
        <w:pStyle w:val="P68B1DB1-Normal8"/>
        <w:spacing w:before="120" w:after="120" w:line="240" w:lineRule="auto"/>
        <w:jc w:val="both"/>
        <w:rPr>
          <w:noProof/>
          <w:lang w:val="de-DE"/>
        </w:rPr>
      </w:pPr>
      <w:r w:rsidRPr="00170422">
        <w:rPr>
          <w:noProof/>
          <w:lang w:val="de-DE"/>
        </w:rPr>
        <w:t xml:space="preserve">Die </w:t>
      </w:r>
      <w:r w:rsidRPr="00170422">
        <w:rPr>
          <w:noProof/>
          <w:lang w:val="de-DE"/>
        </w:rPr>
        <w:t>geschätzten Gesamtkosten des Aufbau- und Resilienzplans Italiens belaufen sich auf 194 415 951 466 EUR.</w:t>
      </w:r>
    </w:p>
    <w:p w14:paraId="710797DC" w14:textId="77777777" w:rsidR="0057163C" w:rsidRPr="00170422" w:rsidRDefault="00F37BF9">
      <w:pPr>
        <w:pStyle w:val="P68B1DB1-Normal116"/>
        <w:spacing w:before="120" w:after="120" w:line="240" w:lineRule="auto"/>
        <w:jc w:val="both"/>
        <w:rPr>
          <w:noProof/>
          <w:lang w:val="de-DE"/>
        </w:rPr>
      </w:pPr>
      <w:r w:rsidRPr="00170422">
        <w:rPr>
          <w:noProof/>
          <w:lang w:val="de-DE"/>
        </w:rPr>
        <w:t xml:space="preserve"> </w:t>
      </w:r>
    </w:p>
    <w:p w14:paraId="4B59C4E3" w14:textId="77777777" w:rsidR="0057163C" w:rsidRPr="00170422" w:rsidRDefault="00F37BF9">
      <w:pPr>
        <w:pStyle w:val="P68B1DB1-Heading2117"/>
        <w:rPr>
          <w:bCs/>
          <w:noProof/>
          <w:lang w:val="de-DE"/>
        </w:rPr>
      </w:pPr>
      <w:r w:rsidRPr="00170422">
        <w:rPr>
          <w:noProof/>
          <w:lang w:val="de-DE"/>
        </w:rPr>
        <w:t>ABSCHNITT 2: FINANZIELLE UNTERSTÜTZUNG</w:t>
      </w:r>
    </w:p>
    <w:p w14:paraId="4DE31CF1" w14:textId="77777777" w:rsidR="0057163C" w:rsidRPr="00170422" w:rsidRDefault="00F37BF9">
      <w:pPr>
        <w:pStyle w:val="P68B1DB1-Heading3118"/>
        <w:numPr>
          <w:ilvl w:val="0"/>
          <w:numId w:val="179"/>
        </w:numPr>
        <w:tabs>
          <w:tab w:val="clear" w:pos="850"/>
          <w:tab w:val="num" w:pos="720"/>
        </w:tabs>
        <w:ind w:left="720" w:hanging="360"/>
        <w:rPr>
          <w:bCs/>
          <w:noProof/>
          <w:lang w:val="de-DE"/>
        </w:rPr>
      </w:pPr>
      <w:r w:rsidRPr="00170422">
        <w:rPr>
          <w:noProof/>
          <w:lang w:val="de-DE"/>
        </w:rPr>
        <w:t>Finanziellen Beitrag</w:t>
      </w:r>
    </w:p>
    <w:p w14:paraId="1CDA39A5" w14:textId="77777777" w:rsidR="0057163C" w:rsidRPr="00170422" w:rsidRDefault="00F37BF9">
      <w:pPr>
        <w:pStyle w:val="P68B1DB1-Normal8"/>
        <w:spacing w:before="120" w:after="120" w:line="240" w:lineRule="auto"/>
        <w:ind w:left="850"/>
        <w:jc w:val="both"/>
        <w:rPr>
          <w:noProof/>
          <w:lang w:val="de-DE"/>
        </w:rPr>
      </w:pPr>
      <w:r w:rsidRPr="00170422">
        <w:rPr>
          <w:noProof/>
          <w:lang w:val="de-DE"/>
        </w:rPr>
        <w:t>Die in Artikel 2 Absatz 2 genannten Tranchen werden wie folgt strukturiert:</w:t>
      </w:r>
    </w:p>
    <w:p w14:paraId="7AE23E96" w14:textId="58F612A8" w:rsidR="0057163C" w:rsidRPr="00170422" w:rsidRDefault="0057163C">
      <w:pPr>
        <w:spacing w:before="120" w:after="120" w:line="240" w:lineRule="auto"/>
        <w:ind w:left="850"/>
        <w:jc w:val="both"/>
        <w:rPr>
          <w:rFonts w:ascii="Times New Roman" w:eastAsia="Times New Roman" w:hAnsi="Times New Roman" w:cs="Times New Roman"/>
          <w:noProof/>
          <w:lang w:val="de-DE"/>
        </w:rPr>
      </w:pPr>
    </w:p>
    <w:p w14:paraId="548803EA"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Erste Tranche</w:t>
      </w:r>
      <w:r w:rsidRPr="00170422">
        <w:rPr>
          <w:noProof/>
          <w:lang w:val="de-DE"/>
        </w:rPr>
        <w:t xml:space="preserve"> (nicht rückzahlbare Unterstützung):</w:t>
      </w:r>
    </w:p>
    <w:tbl>
      <w:tblPr>
        <w:tblW w:w="9595" w:type="dxa"/>
        <w:tblInd w:w="120" w:type="dxa"/>
        <w:tblLayout w:type="fixed"/>
        <w:tblLook w:val="04A0" w:firstRow="1" w:lastRow="0" w:firstColumn="1" w:lastColumn="0" w:noHBand="0" w:noVBand="1"/>
      </w:tblPr>
      <w:tblGrid>
        <w:gridCol w:w="1275"/>
        <w:gridCol w:w="2250"/>
        <w:gridCol w:w="2275"/>
        <w:gridCol w:w="3559"/>
        <w:gridCol w:w="236"/>
      </w:tblGrid>
      <w:tr w:rsidR="0057163C" w:rsidRPr="00170422" w14:paraId="7EA7044C" w14:textId="77777777" w:rsidTr="00A400C5">
        <w:trPr>
          <w:trHeight w:val="900"/>
          <w:tblHeader/>
        </w:trPr>
        <w:tc>
          <w:tcPr>
            <w:tcW w:w="127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10B18EE"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1C80BAC"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7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2749B95"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9"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1E8156CB" w14:textId="77777777" w:rsidR="0057163C" w:rsidRPr="00170422" w:rsidRDefault="00F37BF9">
            <w:pPr>
              <w:pStyle w:val="P68B1DB1-Normal120"/>
              <w:spacing w:after="0" w:line="240" w:lineRule="auto"/>
              <w:jc w:val="center"/>
              <w:rPr>
                <w:noProof/>
                <w:lang w:val="de-DE"/>
              </w:rPr>
            </w:pPr>
            <w:r w:rsidRPr="00170422">
              <w:rPr>
                <w:noProof/>
                <w:lang w:val="de-DE"/>
              </w:rPr>
              <w:t>Namen</w:t>
            </w:r>
          </w:p>
        </w:tc>
        <w:tc>
          <w:tcPr>
            <w:tcW w:w="236" w:type="dxa"/>
            <w:tcBorders>
              <w:top w:val="nil"/>
              <w:left w:val="single" w:sz="4" w:space="0" w:color="auto"/>
              <w:bottom w:val="nil"/>
              <w:right w:val="nil"/>
            </w:tcBorders>
            <w:vAlign w:val="center"/>
          </w:tcPr>
          <w:p w14:paraId="62EB79A8"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80D20F2" w14:textId="77777777" w:rsidTr="00A400C5">
        <w:trPr>
          <w:trHeight w:val="510"/>
        </w:trPr>
        <w:tc>
          <w:tcPr>
            <w:tcW w:w="1275" w:type="dxa"/>
            <w:vMerge/>
            <w:tcBorders>
              <w:top w:val="single" w:sz="4" w:space="0" w:color="auto"/>
              <w:left w:val="single" w:sz="4" w:space="0" w:color="auto"/>
              <w:bottom w:val="single" w:sz="4" w:space="0" w:color="auto"/>
              <w:right w:val="single" w:sz="4" w:space="0" w:color="auto"/>
            </w:tcBorders>
            <w:vAlign w:val="center"/>
          </w:tcPr>
          <w:p w14:paraId="685CCD18"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50" w:type="dxa"/>
            <w:vMerge/>
            <w:tcBorders>
              <w:top w:val="single" w:sz="4" w:space="0" w:color="auto"/>
              <w:left w:val="single" w:sz="4" w:space="0" w:color="auto"/>
              <w:bottom w:val="single" w:sz="4" w:space="0" w:color="auto"/>
              <w:right w:val="single" w:sz="4" w:space="0" w:color="auto"/>
            </w:tcBorders>
            <w:vAlign w:val="center"/>
          </w:tcPr>
          <w:p w14:paraId="4B350ABA" w14:textId="77777777" w:rsidR="0057163C" w:rsidRPr="00170422" w:rsidRDefault="0057163C">
            <w:pPr>
              <w:spacing w:after="0" w:line="240" w:lineRule="auto"/>
              <w:rPr>
                <w:rFonts w:ascii="Times New Roman" w:eastAsia="Times New Roman" w:hAnsi="Times New Roman" w:cs="Times New Roman"/>
                <w:noProof/>
                <w:lang w:val="de-DE"/>
              </w:rPr>
            </w:pPr>
          </w:p>
        </w:tc>
        <w:tc>
          <w:tcPr>
            <w:tcW w:w="2275" w:type="dxa"/>
            <w:vMerge/>
            <w:tcBorders>
              <w:top w:val="single" w:sz="4" w:space="0" w:color="auto"/>
              <w:left w:val="single" w:sz="4" w:space="0" w:color="auto"/>
              <w:bottom w:val="single" w:sz="4" w:space="0" w:color="auto"/>
              <w:right w:val="single" w:sz="4" w:space="0" w:color="auto"/>
            </w:tcBorders>
            <w:vAlign w:val="center"/>
          </w:tcPr>
          <w:p w14:paraId="4CE968D2"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9" w:type="dxa"/>
            <w:vMerge/>
            <w:tcBorders>
              <w:top w:val="single" w:sz="4" w:space="0" w:color="auto"/>
              <w:left w:val="single" w:sz="4" w:space="0" w:color="auto"/>
              <w:bottom w:val="single" w:sz="4" w:space="0" w:color="auto"/>
              <w:right w:val="single" w:sz="4" w:space="0" w:color="auto"/>
            </w:tcBorders>
            <w:vAlign w:val="center"/>
          </w:tcPr>
          <w:p w14:paraId="316725AB" w14:textId="77777777" w:rsidR="0057163C" w:rsidRPr="00170422" w:rsidRDefault="0057163C">
            <w:pPr>
              <w:spacing w:after="0" w:line="240" w:lineRule="auto"/>
              <w:rPr>
                <w:rFonts w:ascii="Times New Roman" w:eastAsia="Times New Roman" w:hAnsi="Times New Roman" w:cs="Times New Roman"/>
                <w:noProof/>
                <w:lang w:val="de-DE"/>
              </w:rPr>
            </w:pPr>
          </w:p>
        </w:tc>
        <w:tc>
          <w:tcPr>
            <w:tcW w:w="236" w:type="dxa"/>
            <w:tcBorders>
              <w:top w:val="nil"/>
              <w:left w:val="single" w:sz="4" w:space="0" w:color="auto"/>
              <w:bottom w:val="nil"/>
              <w:right w:val="nil"/>
            </w:tcBorders>
            <w:vAlign w:val="center"/>
          </w:tcPr>
          <w:p w14:paraId="5D1CE1B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A495F0C"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B5C578" w14:textId="77777777" w:rsidR="0057163C" w:rsidRPr="00170422" w:rsidRDefault="00F37BF9">
            <w:pPr>
              <w:pStyle w:val="P68B1DB1-Normal121"/>
              <w:spacing w:after="0" w:line="240" w:lineRule="auto"/>
              <w:jc w:val="center"/>
              <w:rPr>
                <w:noProof/>
                <w:lang w:val="de-DE"/>
              </w:rPr>
            </w:pPr>
            <w:r w:rsidRPr="00170422">
              <w:rPr>
                <w:noProof/>
                <w:lang w:val="de-DE"/>
              </w:rPr>
              <w:t>M1C1-51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657977"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F1A12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BFFD42" w14:textId="77777777" w:rsidR="0057163C" w:rsidRPr="00170422" w:rsidRDefault="00F37BF9">
            <w:pPr>
              <w:pStyle w:val="P68B1DB1-Normal121"/>
              <w:spacing w:after="0" w:line="240" w:lineRule="auto"/>
              <w:rPr>
                <w:noProof/>
                <w:lang w:val="de-DE"/>
              </w:rPr>
            </w:pPr>
            <w:r w:rsidRPr="00170422">
              <w:rPr>
                <w:noProof/>
                <w:lang w:val="de-DE"/>
              </w:rPr>
              <w:t xml:space="preserve">Inkrafttreten des Primärrechts zur Steuerung des </w:t>
            </w:r>
            <w:r w:rsidRPr="00170422">
              <w:rPr>
                <w:noProof/>
                <w:lang w:val="de-DE"/>
              </w:rPr>
              <w:t>italienischen Aufbau- und Resilienzplans</w:t>
            </w:r>
          </w:p>
        </w:tc>
        <w:tc>
          <w:tcPr>
            <w:tcW w:w="236" w:type="dxa"/>
            <w:tcBorders>
              <w:top w:val="nil"/>
              <w:left w:val="single" w:sz="4" w:space="0" w:color="auto"/>
              <w:bottom w:val="nil"/>
              <w:right w:val="nil"/>
            </w:tcBorders>
            <w:vAlign w:val="center"/>
          </w:tcPr>
          <w:p w14:paraId="3963874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87BB41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D0284D" w14:textId="77777777" w:rsidR="0057163C" w:rsidRPr="00170422" w:rsidRDefault="00F37BF9">
            <w:pPr>
              <w:pStyle w:val="P68B1DB1-Normal121"/>
              <w:spacing w:after="0" w:line="240" w:lineRule="auto"/>
              <w:jc w:val="center"/>
              <w:rPr>
                <w:noProof/>
                <w:lang w:val="de-DE"/>
              </w:rPr>
            </w:pPr>
            <w:r w:rsidRPr="00170422">
              <w:rPr>
                <w:noProof/>
                <w:lang w:val="de-DE"/>
              </w:rPr>
              <w:t>M1C1-52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A6DCC0"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6F963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31F3E" w14:textId="77777777" w:rsidR="0057163C" w:rsidRPr="00170422" w:rsidRDefault="00F37BF9">
            <w:pPr>
              <w:pStyle w:val="P68B1DB1-Normal121"/>
              <w:spacing w:after="0" w:line="240" w:lineRule="auto"/>
              <w:rPr>
                <w:noProof/>
                <w:lang w:val="de-DE"/>
              </w:rPr>
            </w:pPr>
            <w:r w:rsidRPr="00170422">
              <w:rPr>
                <w:noProof/>
                <w:lang w:val="de-DE"/>
              </w:rPr>
              <w:t>Inkrafttreten des Primärrechts zur Vereinfachung der Verwaltungsverfahren für die Umsetzung des italienischen Aufbau- und Resilienzplans.</w:t>
            </w:r>
          </w:p>
        </w:tc>
        <w:tc>
          <w:tcPr>
            <w:tcW w:w="236" w:type="dxa"/>
            <w:tcBorders>
              <w:top w:val="nil"/>
              <w:left w:val="single" w:sz="4" w:space="0" w:color="auto"/>
              <w:bottom w:val="nil"/>
              <w:right w:val="nil"/>
            </w:tcBorders>
            <w:vAlign w:val="center"/>
          </w:tcPr>
          <w:p w14:paraId="5E323DD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82E5FEA"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94D78" w14:textId="77777777" w:rsidR="0057163C" w:rsidRPr="00170422" w:rsidRDefault="00F37BF9">
            <w:pPr>
              <w:pStyle w:val="P68B1DB1-Normal121"/>
              <w:spacing w:after="0" w:line="240" w:lineRule="auto"/>
              <w:jc w:val="center"/>
              <w:rPr>
                <w:noProof/>
                <w:lang w:val="de-DE"/>
              </w:rPr>
            </w:pPr>
            <w:r w:rsidRPr="00170422">
              <w:rPr>
                <w:noProof/>
                <w:lang w:val="de-DE"/>
              </w:rPr>
              <w:t>M1C1-53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DDD061" w14:textId="77777777" w:rsidR="0057163C" w:rsidRPr="00170422" w:rsidRDefault="00F37BF9">
            <w:pPr>
              <w:pStyle w:val="P68B1DB1-Normal121"/>
              <w:spacing w:after="0" w:line="240" w:lineRule="auto"/>
              <w:rPr>
                <w:noProof/>
                <w:lang w:val="de-DE"/>
              </w:rPr>
            </w:pPr>
            <w:r w:rsidRPr="00170422">
              <w:rPr>
                <w:noProof/>
                <w:lang w:val="de-DE"/>
              </w:rPr>
              <w:t>Investition 1.9: Bereitstellung technischer Hilfe und Stärkung des Kapazitätsaufbaus für die Umsetzung des italienischen Aufbau- und Resilienzplans</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9006A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B5B562F" w14:textId="77777777" w:rsidR="0057163C" w:rsidRPr="00170422" w:rsidRDefault="00F37BF9">
            <w:pPr>
              <w:pStyle w:val="P68B1DB1-Normal121"/>
              <w:spacing w:after="0" w:line="240" w:lineRule="auto"/>
              <w:rPr>
                <w:noProof/>
                <w:lang w:val="de-DE"/>
              </w:rPr>
            </w:pPr>
            <w:r w:rsidRPr="00170422">
              <w:rPr>
                <w:noProof/>
                <w:lang w:val="de-DE"/>
              </w:rPr>
              <w:t xml:space="preserve">Inkrafttreten peirimärer Rechtsvorschriften zur Bereitstellung technischer Hilfe und </w:t>
            </w:r>
            <w:r w:rsidRPr="00170422">
              <w:rPr>
                <w:noProof/>
                <w:lang w:val="de-DE"/>
              </w:rPr>
              <w:t>Stärkung des Kapazitätsaufbaus für die Umsetzung des italienischen Aufbau- und Resilienzplans</w:t>
            </w:r>
          </w:p>
        </w:tc>
        <w:tc>
          <w:tcPr>
            <w:tcW w:w="236" w:type="dxa"/>
            <w:tcBorders>
              <w:top w:val="nil"/>
              <w:left w:val="single" w:sz="4" w:space="0" w:color="auto"/>
              <w:bottom w:val="nil"/>
              <w:right w:val="nil"/>
            </w:tcBorders>
            <w:vAlign w:val="center"/>
          </w:tcPr>
          <w:p w14:paraId="3A06210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BAF5D87"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226155" w14:textId="77777777" w:rsidR="0057163C" w:rsidRPr="00170422" w:rsidRDefault="00F37BF9">
            <w:pPr>
              <w:pStyle w:val="P68B1DB1-Normal121"/>
              <w:spacing w:after="0" w:line="240" w:lineRule="auto"/>
              <w:jc w:val="center"/>
              <w:rPr>
                <w:noProof/>
                <w:lang w:val="de-DE"/>
              </w:rPr>
            </w:pPr>
            <w:r w:rsidRPr="00170422">
              <w:rPr>
                <w:noProof/>
                <w:lang w:val="de-DE"/>
              </w:rPr>
              <w:t>M1C1-69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CE51A"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DED8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BD96FA" w14:textId="77777777" w:rsidR="0057163C" w:rsidRPr="00170422" w:rsidRDefault="00F37BF9">
            <w:pPr>
              <w:pStyle w:val="P68B1DB1-Normal121"/>
              <w:spacing w:after="0" w:line="240" w:lineRule="auto"/>
              <w:rPr>
                <w:noProof/>
                <w:lang w:val="de-DE"/>
              </w:rPr>
            </w:pPr>
            <w:r w:rsidRPr="00170422">
              <w:rPr>
                <w:noProof/>
                <w:lang w:val="de-DE"/>
              </w:rPr>
              <w:t>Inkrafttreten des Erlasses zur Vereinfachung des öffentlichen Auftra</w:t>
            </w:r>
            <w:r w:rsidRPr="00170422">
              <w:rPr>
                <w:noProof/>
                <w:lang w:val="de-DE"/>
              </w:rPr>
              <w:t>gswesens</w:t>
            </w:r>
          </w:p>
        </w:tc>
        <w:tc>
          <w:tcPr>
            <w:tcW w:w="236" w:type="dxa"/>
            <w:tcBorders>
              <w:top w:val="nil"/>
              <w:left w:val="single" w:sz="4" w:space="0" w:color="auto"/>
              <w:bottom w:val="nil"/>
              <w:right w:val="nil"/>
            </w:tcBorders>
            <w:vAlign w:val="center"/>
          </w:tcPr>
          <w:p w14:paraId="6955CD3C"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C1672B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A3B8A5" w14:textId="77777777" w:rsidR="0057163C" w:rsidRPr="00170422" w:rsidRDefault="00F37BF9">
            <w:pPr>
              <w:pStyle w:val="P68B1DB1-Normal121"/>
              <w:spacing w:after="0" w:line="240" w:lineRule="auto"/>
              <w:jc w:val="center"/>
              <w:rPr>
                <w:noProof/>
                <w:lang w:val="de-DE"/>
              </w:rPr>
            </w:pPr>
            <w:r w:rsidRPr="00170422">
              <w:rPr>
                <w:noProof/>
                <w:lang w:val="de-DE"/>
              </w:rPr>
              <w:t>M1C1-1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EF590C" w14:textId="77777777" w:rsidR="0057163C" w:rsidRPr="00170422" w:rsidRDefault="00F37BF9">
            <w:pPr>
              <w:pStyle w:val="P68B1DB1-Normal121"/>
              <w:spacing w:after="0" w:line="240" w:lineRule="auto"/>
              <w:rPr>
                <w:noProof/>
                <w:lang w:val="de-DE"/>
              </w:rPr>
            </w:pPr>
            <w:r w:rsidRPr="00170422">
              <w:rPr>
                <w:noProof/>
                <w:lang w:val="de-DE"/>
              </w:rPr>
              <w:t>Reform 1.1: IKT-Beschaffung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3809A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D76C3D" w14:textId="77777777" w:rsidR="0057163C" w:rsidRPr="00170422" w:rsidRDefault="00F37BF9">
            <w:pPr>
              <w:pStyle w:val="P68B1DB1-Normal121"/>
              <w:spacing w:after="0" w:line="240" w:lineRule="auto"/>
              <w:rPr>
                <w:noProof/>
                <w:lang w:val="de-DE"/>
              </w:rPr>
            </w:pPr>
            <w:r w:rsidRPr="00170422">
              <w:rPr>
                <w:noProof/>
                <w:lang w:val="de-DE"/>
              </w:rPr>
              <w:t>Inkrafttreten der Gesetzesverordnungen zur Reform 1.1 „IKT-Beschaffung“</w:t>
            </w:r>
          </w:p>
        </w:tc>
        <w:tc>
          <w:tcPr>
            <w:tcW w:w="236" w:type="dxa"/>
            <w:tcBorders>
              <w:top w:val="nil"/>
              <w:left w:val="single" w:sz="4" w:space="0" w:color="auto"/>
              <w:bottom w:val="nil"/>
              <w:right w:val="nil"/>
            </w:tcBorders>
            <w:vAlign w:val="center"/>
          </w:tcPr>
          <w:p w14:paraId="146043D1"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0C06C56"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3C468E" w14:textId="77777777" w:rsidR="0057163C" w:rsidRPr="00170422" w:rsidRDefault="00F37BF9">
            <w:pPr>
              <w:pStyle w:val="P68B1DB1-Normal121"/>
              <w:spacing w:after="0" w:line="240" w:lineRule="auto"/>
              <w:jc w:val="center"/>
              <w:rPr>
                <w:noProof/>
                <w:lang w:val="de-DE"/>
              </w:rPr>
            </w:pPr>
            <w:r w:rsidRPr="00170422">
              <w:rPr>
                <w:noProof/>
                <w:lang w:val="de-DE"/>
              </w:rPr>
              <w:t>M1C1-2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B6829" w14:textId="77777777" w:rsidR="0057163C" w:rsidRPr="00170422" w:rsidRDefault="00F37BF9">
            <w:pPr>
              <w:pStyle w:val="P68B1DB1-Normal121"/>
              <w:spacing w:after="0" w:line="240" w:lineRule="auto"/>
              <w:rPr>
                <w:noProof/>
                <w:lang w:val="de-DE"/>
              </w:rPr>
            </w:pPr>
            <w:r w:rsidRPr="00170422">
              <w:rPr>
                <w:noProof/>
                <w:lang w:val="de-DE"/>
              </w:rPr>
              <w:t>Reform 1.3: Cloud First und Interoperabilität</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87DE0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DE3BF" w14:textId="77777777" w:rsidR="0057163C" w:rsidRPr="00170422" w:rsidRDefault="00F37BF9">
            <w:pPr>
              <w:pStyle w:val="P68B1DB1-Normal121"/>
              <w:spacing w:after="0" w:line="240" w:lineRule="auto"/>
              <w:rPr>
                <w:noProof/>
                <w:lang w:val="de-DE"/>
              </w:rPr>
            </w:pPr>
            <w:r w:rsidRPr="00170422">
              <w:rPr>
                <w:noProof/>
                <w:lang w:val="de-DE"/>
              </w:rPr>
              <w:t>Inkrafttreten der Gesetzesverordnungen zur Reform 1.3</w:t>
            </w:r>
            <w:r w:rsidRPr="00170422">
              <w:rPr>
                <w:noProof/>
                <w:lang w:val="de-DE"/>
              </w:rPr>
              <w:t xml:space="preserve"> „Cloud First and Interoperability“</w:t>
            </w:r>
          </w:p>
        </w:tc>
        <w:tc>
          <w:tcPr>
            <w:tcW w:w="236" w:type="dxa"/>
            <w:tcBorders>
              <w:top w:val="nil"/>
              <w:left w:val="single" w:sz="4" w:space="0" w:color="auto"/>
              <w:bottom w:val="nil"/>
              <w:right w:val="nil"/>
            </w:tcBorders>
            <w:vAlign w:val="center"/>
          </w:tcPr>
          <w:p w14:paraId="75F7067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FE9A94E"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08D605" w14:textId="77777777" w:rsidR="0057163C" w:rsidRPr="00170422" w:rsidRDefault="00F37BF9">
            <w:pPr>
              <w:pStyle w:val="P68B1DB1-Normal121"/>
              <w:spacing w:after="0" w:line="240" w:lineRule="auto"/>
              <w:jc w:val="center"/>
              <w:rPr>
                <w:noProof/>
                <w:lang w:val="de-DE"/>
              </w:rPr>
            </w:pPr>
            <w:r w:rsidRPr="00170422">
              <w:rPr>
                <w:noProof/>
                <w:lang w:val="de-DE"/>
              </w:rPr>
              <w:t>M1C1-29</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0728D4" w14:textId="77777777" w:rsidR="0057163C" w:rsidRPr="00170422" w:rsidRDefault="00F37BF9">
            <w:pPr>
              <w:pStyle w:val="P68B1DB1-Normal121"/>
              <w:spacing w:after="0" w:line="240" w:lineRule="auto"/>
              <w:rPr>
                <w:noProof/>
                <w:lang w:val="de-DE"/>
              </w:rPr>
            </w:pPr>
            <w:r w:rsidRPr="00170422">
              <w:rPr>
                <w:noProof/>
                <w:lang w:val="de-DE"/>
              </w:rPr>
              <w:t>Reform 1.4: Reform der Ziviljustiz</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B60A8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BEE21D" w14:textId="77777777" w:rsidR="0057163C" w:rsidRPr="00170422" w:rsidRDefault="00F37BF9">
            <w:pPr>
              <w:pStyle w:val="P68B1DB1-Normal121"/>
              <w:spacing w:after="0" w:line="240" w:lineRule="auto"/>
              <w:rPr>
                <w:noProof/>
                <w:lang w:val="de-DE"/>
              </w:rPr>
            </w:pPr>
            <w:r w:rsidRPr="00170422">
              <w:rPr>
                <w:noProof/>
                <w:lang w:val="de-DE"/>
              </w:rPr>
              <w:t>Inkrafttreten von Rechtsvorschriften für die Ziviljustizreform</w:t>
            </w:r>
          </w:p>
        </w:tc>
        <w:tc>
          <w:tcPr>
            <w:tcW w:w="236" w:type="dxa"/>
            <w:tcBorders>
              <w:top w:val="nil"/>
              <w:left w:val="single" w:sz="4" w:space="0" w:color="auto"/>
              <w:bottom w:val="nil"/>
              <w:right w:val="nil"/>
            </w:tcBorders>
            <w:vAlign w:val="center"/>
          </w:tcPr>
          <w:p w14:paraId="2BF56327"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294D8C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1102E2" w14:textId="77777777" w:rsidR="0057163C" w:rsidRPr="00170422" w:rsidRDefault="00F37BF9">
            <w:pPr>
              <w:pStyle w:val="P68B1DB1-Normal121"/>
              <w:spacing w:after="0" w:line="240" w:lineRule="auto"/>
              <w:jc w:val="center"/>
              <w:rPr>
                <w:noProof/>
                <w:lang w:val="de-DE"/>
              </w:rPr>
            </w:pPr>
            <w:r w:rsidRPr="00170422">
              <w:rPr>
                <w:noProof/>
                <w:lang w:val="de-DE"/>
              </w:rPr>
              <w:t>M1C1-30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86129" w14:textId="77777777" w:rsidR="0057163C" w:rsidRPr="00170422" w:rsidRDefault="00F37BF9">
            <w:pPr>
              <w:pStyle w:val="P68B1DB1-Normal121"/>
              <w:spacing w:after="0" w:line="240" w:lineRule="auto"/>
              <w:rPr>
                <w:noProof/>
                <w:lang w:val="de-DE"/>
              </w:rPr>
            </w:pPr>
            <w:r w:rsidRPr="00170422">
              <w:rPr>
                <w:noProof/>
                <w:lang w:val="de-DE"/>
              </w:rPr>
              <w:t>Reform 1.5: Reform der Strafjustiz</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4193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674896" w14:textId="77777777" w:rsidR="0057163C" w:rsidRPr="00170422" w:rsidRDefault="00F37BF9">
            <w:pPr>
              <w:pStyle w:val="P68B1DB1-Normal121"/>
              <w:spacing w:after="0" w:line="240" w:lineRule="auto"/>
              <w:rPr>
                <w:noProof/>
                <w:lang w:val="de-DE"/>
              </w:rPr>
            </w:pPr>
            <w:r w:rsidRPr="00170422">
              <w:rPr>
                <w:noProof/>
                <w:lang w:val="de-DE"/>
              </w:rPr>
              <w:t xml:space="preserve">Inkrafttreten von Rechtsvorschriften zur </w:t>
            </w:r>
            <w:r w:rsidRPr="00170422">
              <w:rPr>
                <w:noProof/>
                <w:lang w:val="de-DE"/>
              </w:rPr>
              <w:t>Strafjustizreform</w:t>
            </w:r>
          </w:p>
        </w:tc>
        <w:tc>
          <w:tcPr>
            <w:tcW w:w="236" w:type="dxa"/>
            <w:tcBorders>
              <w:top w:val="nil"/>
              <w:left w:val="single" w:sz="4" w:space="0" w:color="auto"/>
              <w:bottom w:val="nil"/>
              <w:right w:val="nil"/>
            </w:tcBorders>
            <w:vAlign w:val="center"/>
          </w:tcPr>
          <w:p w14:paraId="6A588FE3"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E82A47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DE214" w14:textId="77777777" w:rsidR="0057163C" w:rsidRPr="00170422" w:rsidRDefault="00F37BF9">
            <w:pPr>
              <w:pStyle w:val="P68B1DB1-Normal121"/>
              <w:spacing w:after="0" w:line="240" w:lineRule="auto"/>
              <w:jc w:val="center"/>
              <w:rPr>
                <w:noProof/>
                <w:lang w:val="de-DE"/>
              </w:rPr>
            </w:pPr>
            <w:r w:rsidRPr="00170422">
              <w:rPr>
                <w:noProof/>
                <w:lang w:val="de-DE"/>
              </w:rPr>
              <w:t>M1C1-31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E6D62E" w14:textId="77777777" w:rsidR="0057163C" w:rsidRPr="00170422" w:rsidRDefault="00F37BF9">
            <w:pPr>
              <w:pStyle w:val="P68B1DB1-Normal121"/>
              <w:spacing w:after="0" w:line="240" w:lineRule="auto"/>
              <w:rPr>
                <w:noProof/>
                <w:lang w:val="de-DE"/>
              </w:rPr>
            </w:pPr>
            <w:r w:rsidRPr="00170422">
              <w:rPr>
                <w:noProof/>
                <w:lang w:val="de-DE"/>
              </w:rPr>
              <w:t>Reform 1.6: Reform des Insolvenzrahmens</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B3966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39DC948" w14:textId="77777777" w:rsidR="0057163C" w:rsidRPr="00170422" w:rsidRDefault="00F37BF9">
            <w:pPr>
              <w:pStyle w:val="P68B1DB1-Normal121"/>
              <w:spacing w:after="0" w:line="240" w:lineRule="auto"/>
              <w:rPr>
                <w:noProof/>
                <w:lang w:val="de-DE"/>
              </w:rPr>
            </w:pPr>
            <w:r w:rsidRPr="00170422">
              <w:rPr>
                <w:noProof/>
                <w:lang w:val="de-DE"/>
              </w:rPr>
              <w:t>Inkrafttreten der einschlägigen Rechtsvorschriften für den Rahmen für die Insolvenzreform</w:t>
            </w:r>
          </w:p>
        </w:tc>
        <w:tc>
          <w:tcPr>
            <w:tcW w:w="236" w:type="dxa"/>
            <w:tcBorders>
              <w:top w:val="nil"/>
              <w:left w:val="single" w:sz="4" w:space="0" w:color="auto"/>
              <w:bottom w:val="nil"/>
              <w:right w:val="nil"/>
            </w:tcBorders>
            <w:vAlign w:val="center"/>
          </w:tcPr>
          <w:p w14:paraId="473F9D4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6E332D6"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ECF926" w14:textId="77777777" w:rsidR="0057163C" w:rsidRPr="00170422" w:rsidRDefault="00F37BF9">
            <w:pPr>
              <w:pStyle w:val="P68B1DB1-Normal121"/>
              <w:spacing w:after="0" w:line="240" w:lineRule="auto"/>
              <w:jc w:val="center"/>
              <w:rPr>
                <w:noProof/>
                <w:lang w:val="de-DE"/>
              </w:rPr>
            </w:pPr>
            <w:r w:rsidRPr="00170422">
              <w:rPr>
                <w:noProof/>
                <w:lang w:val="de-DE"/>
              </w:rPr>
              <w:t>M1C1-32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EE106" w14:textId="77777777" w:rsidR="0057163C" w:rsidRPr="00170422" w:rsidRDefault="00F37BF9">
            <w:pPr>
              <w:pStyle w:val="P68B1DB1-Normal121"/>
              <w:spacing w:after="0" w:line="240" w:lineRule="auto"/>
              <w:rPr>
                <w:noProof/>
                <w:lang w:val="de-DE"/>
              </w:rPr>
            </w:pPr>
            <w:r w:rsidRPr="00170422">
              <w:rPr>
                <w:noProof/>
                <w:lang w:val="de-DE"/>
              </w:rPr>
              <w:t xml:space="preserve">Investition 1.8: Einstellungsverfahren für Zivil-, Straf- und </w:t>
            </w:r>
            <w:r w:rsidRPr="00170422">
              <w:rPr>
                <w:noProof/>
                <w:lang w:val="de-DE"/>
              </w:rPr>
              <w:t>Verwaltungsgerichte</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5AB823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AE5190" w14:textId="77777777" w:rsidR="0057163C" w:rsidRPr="00170422" w:rsidRDefault="00F37BF9">
            <w:pPr>
              <w:pStyle w:val="P68B1DB1-Normal121"/>
              <w:spacing w:after="0" w:line="240" w:lineRule="auto"/>
              <w:rPr>
                <w:noProof/>
                <w:lang w:val="de-DE"/>
              </w:rPr>
            </w:pPr>
            <w:r w:rsidRPr="00170422">
              <w:rPr>
                <w:noProof/>
                <w:lang w:val="de-DE"/>
              </w:rPr>
              <w:t>Inkrafttreten besonderer Rechtsvorschriften für die Einstellung im Rahmen des nationalen Aufbau- und Resilienzplans</w:t>
            </w:r>
          </w:p>
        </w:tc>
        <w:tc>
          <w:tcPr>
            <w:tcW w:w="236" w:type="dxa"/>
            <w:tcBorders>
              <w:top w:val="nil"/>
              <w:left w:val="single" w:sz="4" w:space="0" w:color="auto"/>
              <w:bottom w:val="nil"/>
              <w:right w:val="nil"/>
            </w:tcBorders>
            <w:vAlign w:val="center"/>
          </w:tcPr>
          <w:p w14:paraId="5D7BF141"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2B5A3F8"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222EFC" w14:textId="77777777" w:rsidR="0057163C" w:rsidRPr="00170422" w:rsidRDefault="00F37BF9">
            <w:pPr>
              <w:pStyle w:val="P68B1DB1-Normal121"/>
              <w:spacing w:after="0" w:line="240" w:lineRule="auto"/>
              <w:jc w:val="center"/>
              <w:rPr>
                <w:noProof/>
                <w:lang w:val="de-DE"/>
              </w:rPr>
            </w:pPr>
            <w:r w:rsidRPr="00170422">
              <w:rPr>
                <w:noProof/>
                <w:lang w:val="de-DE"/>
              </w:rPr>
              <w:t>M1C1-54</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713B1D" w14:textId="77777777" w:rsidR="0057163C" w:rsidRPr="00170422" w:rsidRDefault="00F37BF9">
            <w:pPr>
              <w:pStyle w:val="P68B1DB1-Normal121"/>
              <w:spacing w:after="0" w:line="240" w:lineRule="auto"/>
              <w:rPr>
                <w:noProof/>
                <w:lang w:val="de-DE"/>
              </w:rPr>
            </w:pPr>
            <w:r w:rsidRPr="00170422">
              <w:rPr>
                <w:noProof/>
                <w:lang w:val="de-DE"/>
              </w:rPr>
              <w:t>Investition 1.9: Bereitstellung technischer Hilfe und Stärkung des Kapazitätsaufbaus für die Umset</w:t>
            </w:r>
            <w:r w:rsidRPr="00170422">
              <w:rPr>
                <w:noProof/>
                <w:lang w:val="de-DE"/>
              </w:rPr>
              <w:t>zung des italienischen Aufbau- und Resilienzplans</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F5788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1E1808" w14:textId="77777777" w:rsidR="0057163C" w:rsidRPr="00170422" w:rsidRDefault="00F37BF9">
            <w:pPr>
              <w:pStyle w:val="P68B1DB1-Normal121"/>
              <w:spacing w:after="0" w:line="240" w:lineRule="auto"/>
              <w:rPr>
                <w:noProof/>
                <w:lang w:val="de-DE"/>
              </w:rPr>
            </w:pPr>
            <w:r w:rsidRPr="00170422">
              <w:rPr>
                <w:noProof/>
                <w:lang w:val="de-DE"/>
              </w:rPr>
              <w:t>Abgeschlossene Einstellung von Sachverständigen für die Umsetzung des italienischen Aufbau- und Resilienzplans</w:t>
            </w:r>
          </w:p>
        </w:tc>
        <w:tc>
          <w:tcPr>
            <w:tcW w:w="236" w:type="dxa"/>
            <w:tcBorders>
              <w:top w:val="nil"/>
              <w:left w:val="single" w:sz="4" w:space="0" w:color="auto"/>
              <w:bottom w:val="nil"/>
              <w:right w:val="nil"/>
            </w:tcBorders>
            <w:vAlign w:val="center"/>
          </w:tcPr>
          <w:p w14:paraId="4A8CB2D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B10D174"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602DF8" w14:textId="77777777" w:rsidR="0057163C" w:rsidRPr="00170422" w:rsidRDefault="00F37BF9">
            <w:pPr>
              <w:pStyle w:val="P68B1DB1-Normal121"/>
              <w:spacing w:after="0" w:line="240" w:lineRule="auto"/>
              <w:jc w:val="center"/>
              <w:rPr>
                <w:noProof/>
                <w:lang w:val="de-DE"/>
              </w:rPr>
            </w:pPr>
            <w:r w:rsidRPr="00170422">
              <w:rPr>
                <w:noProof/>
                <w:lang w:val="de-DE"/>
              </w:rPr>
              <w:t>M1C1-55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D06ADE"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A0B67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83E730" w14:textId="77777777" w:rsidR="0057163C" w:rsidRPr="00170422" w:rsidRDefault="00F37BF9">
            <w:pPr>
              <w:pStyle w:val="P68B1DB1-Normal121"/>
              <w:spacing w:after="0" w:line="240" w:lineRule="auto"/>
              <w:rPr>
                <w:noProof/>
                <w:lang w:val="de-DE"/>
              </w:rPr>
            </w:pPr>
            <w:r w:rsidRPr="00170422">
              <w:rPr>
                <w:noProof/>
                <w:lang w:val="de-DE"/>
              </w:rPr>
              <w:t xml:space="preserve">Ausweitung der </w:t>
            </w:r>
            <w:r w:rsidRPr="00170422">
              <w:rPr>
                <w:noProof/>
                <w:lang w:val="de-DE"/>
              </w:rPr>
              <w:t>Methodik für den Aufbau- und Resilienzplan Italiens auf den nationalen Haushalt, um die Absorption von Investitionen zu erhöhen</w:t>
            </w:r>
          </w:p>
        </w:tc>
        <w:tc>
          <w:tcPr>
            <w:tcW w:w="236" w:type="dxa"/>
            <w:tcBorders>
              <w:top w:val="nil"/>
              <w:left w:val="single" w:sz="4" w:space="0" w:color="auto"/>
              <w:bottom w:val="nil"/>
              <w:right w:val="nil"/>
            </w:tcBorders>
            <w:vAlign w:val="center"/>
          </w:tcPr>
          <w:p w14:paraId="564909FB"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186F102"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401EDD" w14:textId="77777777" w:rsidR="0057163C" w:rsidRPr="00170422" w:rsidRDefault="00F37BF9">
            <w:pPr>
              <w:pStyle w:val="P68B1DB1-Normal121"/>
              <w:spacing w:after="0" w:line="240" w:lineRule="auto"/>
              <w:jc w:val="center"/>
              <w:rPr>
                <w:noProof/>
                <w:lang w:val="de-DE"/>
              </w:rPr>
            </w:pPr>
            <w:r w:rsidRPr="00170422">
              <w:rPr>
                <w:noProof/>
                <w:lang w:val="de-DE"/>
              </w:rPr>
              <w:t>M1C1-68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9ECE851"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9931B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14D522" w14:textId="77777777" w:rsidR="0057163C" w:rsidRPr="00170422" w:rsidRDefault="00F37BF9">
            <w:pPr>
              <w:pStyle w:val="P68B1DB1-Normal121"/>
              <w:spacing w:after="0" w:line="240" w:lineRule="auto"/>
              <w:rPr>
                <w:noProof/>
                <w:lang w:val="de-DE"/>
              </w:rPr>
            </w:pPr>
            <w:r w:rsidRPr="00170422">
              <w:rPr>
                <w:noProof/>
                <w:lang w:val="de-DE"/>
              </w:rPr>
              <w:t xml:space="preserve">Archivsystem für Audit und Kontrollen: Informationen für </w:t>
            </w:r>
            <w:r w:rsidRPr="00170422">
              <w:rPr>
                <w:noProof/>
                <w:lang w:val="de-DE"/>
              </w:rPr>
              <w:t>die Überwachung der Umsetzung der Aufbau- und Resilienzfazilität</w:t>
            </w:r>
          </w:p>
        </w:tc>
        <w:tc>
          <w:tcPr>
            <w:tcW w:w="236" w:type="dxa"/>
            <w:tcBorders>
              <w:top w:val="nil"/>
              <w:left w:val="single" w:sz="4" w:space="0" w:color="auto"/>
              <w:bottom w:val="nil"/>
              <w:right w:val="nil"/>
            </w:tcBorders>
            <w:vAlign w:val="center"/>
          </w:tcPr>
          <w:p w14:paraId="5A412DCD"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B23FCF3"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D8A3E9" w14:textId="77777777" w:rsidR="0057163C" w:rsidRPr="00170422" w:rsidRDefault="00F37BF9">
            <w:pPr>
              <w:pStyle w:val="P68B1DB1-Normal121"/>
              <w:spacing w:after="0" w:line="240" w:lineRule="auto"/>
              <w:jc w:val="center"/>
              <w:rPr>
                <w:noProof/>
                <w:lang w:val="de-DE"/>
              </w:rPr>
            </w:pPr>
            <w:r w:rsidRPr="00170422">
              <w:rPr>
                <w:noProof/>
                <w:lang w:val="de-DE"/>
              </w:rPr>
              <w:t>M1C1-71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4CE61"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3E239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E7968E" w14:textId="77777777" w:rsidR="0057163C" w:rsidRPr="00170422" w:rsidRDefault="00F37BF9">
            <w:pPr>
              <w:pStyle w:val="P68B1DB1-Normal121"/>
              <w:spacing w:after="0" w:line="240" w:lineRule="auto"/>
              <w:rPr>
                <w:noProof/>
                <w:lang w:val="de-DE"/>
              </w:rPr>
            </w:pPr>
            <w:r w:rsidRPr="00170422">
              <w:rPr>
                <w:noProof/>
                <w:lang w:val="de-DE"/>
              </w:rPr>
              <w:t>Inkrafttreten aller erforderlichen Rechts- und Verwaltungsvorschriften und Durchführungsrechtsakt</w:t>
            </w:r>
            <w:r w:rsidRPr="00170422">
              <w:rPr>
                <w:noProof/>
                <w:lang w:val="de-DE"/>
              </w:rPr>
              <w:t>e (einschließlich des Sekundärrechts) für das öffentliche Auftragswesen</w:t>
            </w:r>
          </w:p>
        </w:tc>
        <w:tc>
          <w:tcPr>
            <w:tcW w:w="236" w:type="dxa"/>
            <w:tcBorders>
              <w:top w:val="nil"/>
              <w:left w:val="single" w:sz="4" w:space="0" w:color="auto"/>
              <w:bottom w:val="nil"/>
              <w:right w:val="nil"/>
            </w:tcBorders>
            <w:vAlign w:val="center"/>
          </w:tcPr>
          <w:p w14:paraId="6C87A724"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277BA55"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ABCD45" w14:textId="77777777" w:rsidR="0057163C" w:rsidRPr="00170422" w:rsidRDefault="00F37BF9">
            <w:pPr>
              <w:pStyle w:val="P68B1DB1-Normal121"/>
              <w:spacing w:after="0" w:line="240" w:lineRule="auto"/>
              <w:jc w:val="center"/>
              <w:rPr>
                <w:noProof/>
                <w:lang w:val="de-DE"/>
              </w:rPr>
            </w:pPr>
            <w:r w:rsidRPr="00170422">
              <w:rPr>
                <w:noProof/>
                <w:lang w:val="de-DE"/>
              </w:rPr>
              <w:t>M1C1-100</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EEA57C" w14:textId="77777777" w:rsidR="0057163C" w:rsidRPr="00170422" w:rsidRDefault="00F37BF9">
            <w:pPr>
              <w:pStyle w:val="P68B1DB1-Normal121"/>
              <w:spacing w:after="0" w:line="240" w:lineRule="auto"/>
              <w:rPr>
                <w:noProof/>
                <w:lang w:val="de-DE"/>
              </w:rPr>
            </w:pPr>
            <w:r w:rsidRPr="00170422">
              <w:rPr>
                <w:noProof/>
                <w:lang w:val="de-DE"/>
              </w:rPr>
              <w:t>Reform 1.13: Reform des Rahmens für die Ausgabenüberprüfung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4F629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D47C" w14:textId="77777777" w:rsidR="0057163C" w:rsidRPr="00170422" w:rsidRDefault="00F37BF9">
            <w:pPr>
              <w:pStyle w:val="P68B1DB1-Normal121"/>
              <w:spacing w:after="0" w:line="240" w:lineRule="auto"/>
              <w:rPr>
                <w:noProof/>
                <w:lang w:val="de-DE"/>
              </w:rPr>
            </w:pPr>
            <w:r w:rsidRPr="00170422">
              <w:rPr>
                <w:noProof/>
                <w:lang w:val="de-DE"/>
              </w:rPr>
              <w:t xml:space="preserve">Inkrafttreten von Rechtsvorschriften zur Verbesserung der Wirksamkeit der Ausgabenüberprüfung – </w:t>
            </w:r>
            <w:r w:rsidRPr="00170422">
              <w:rPr>
                <w:noProof/>
                <w:lang w:val="de-DE"/>
              </w:rPr>
              <w:t>Stärkung des Finanzministeriums</w:t>
            </w:r>
          </w:p>
        </w:tc>
        <w:tc>
          <w:tcPr>
            <w:tcW w:w="236" w:type="dxa"/>
            <w:tcBorders>
              <w:top w:val="nil"/>
              <w:left w:val="single" w:sz="4" w:space="0" w:color="auto"/>
              <w:bottom w:val="nil"/>
              <w:right w:val="nil"/>
            </w:tcBorders>
            <w:vAlign w:val="center"/>
          </w:tcPr>
          <w:p w14:paraId="3235512B"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1B8AFA1"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34354F" w14:textId="77777777" w:rsidR="0057163C" w:rsidRPr="00170422" w:rsidRDefault="00F37BF9">
            <w:pPr>
              <w:pStyle w:val="P68B1DB1-Normal121"/>
              <w:spacing w:after="0" w:line="240" w:lineRule="auto"/>
              <w:jc w:val="center"/>
              <w:rPr>
                <w:noProof/>
                <w:lang w:val="de-DE"/>
              </w:rPr>
            </w:pPr>
            <w:r w:rsidRPr="00170422">
              <w:rPr>
                <w:noProof/>
                <w:lang w:val="de-DE"/>
              </w:rPr>
              <w:t>M1C1-101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EDD6CB" w14:textId="77777777" w:rsidR="0057163C" w:rsidRPr="00170422" w:rsidRDefault="00F37BF9">
            <w:pPr>
              <w:pStyle w:val="P68B1DB1-Normal121"/>
              <w:spacing w:after="0" w:line="240" w:lineRule="auto"/>
              <w:rPr>
                <w:noProof/>
                <w:lang w:val="de-DE"/>
              </w:rPr>
            </w:pPr>
            <w:r w:rsidRPr="00170422">
              <w:rPr>
                <w:noProof/>
                <w:lang w:val="de-DE"/>
              </w:rPr>
              <w:t xml:space="preserve">Reform 1.12: Reform der Steuerverwaltung </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55DAF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BE6943" w14:textId="77777777" w:rsidR="0057163C" w:rsidRPr="00170422" w:rsidRDefault="00F37BF9">
            <w:pPr>
              <w:pStyle w:val="P68B1DB1-Normal121"/>
              <w:spacing w:after="0" w:line="240" w:lineRule="auto"/>
              <w:rPr>
                <w:noProof/>
                <w:lang w:val="de-DE"/>
              </w:rPr>
            </w:pPr>
            <w:r w:rsidRPr="00170422">
              <w:rPr>
                <w:noProof/>
                <w:lang w:val="de-DE"/>
              </w:rPr>
              <w:t>Annahme einer Überprüfung möglicher Maßnahmen zur Bekämpfung der Steuerhinterziehung</w:t>
            </w:r>
          </w:p>
        </w:tc>
        <w:tc>
          <w:tcPr>
            <w:tcW w:w="236" w:type="dxa"/>
            <w:tcBorders>
              <w:top w:val="nil"/>
              <w:left w:val="single" w:sz="4" w:space="0" w:color="auto"/>
              <w:bottom w:val="nil"/>
              <w:right w:val="nil"/>
            </w:tcBorders>
            <w:vAlign w:val="center"/>
          </w:tcPr>
          <w:p w14:paraId="39D8EAE9"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2D63B53"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369C2A" w14:textId="77777777" w:rsidR="0057163C" w:rsidRPr="00170422" w:rsidRDefault="00F37BF9">
            <w:pPr>
              <w:pStyle w:val="P68B1DB1-Normal121"/>
              <w:spacing w:after="0" w:line="240" w:lineRule="auto"/>
              <w:jc w:val="center"/>
              <w:rPr>
                <w:noProof/>
                <w:lang w:val="de-DE"/>
              </w:rPr>
            </w:pPr>
            <w:r w:rsidRPr="00170422">
              <w:rPr>
                <w:noProof/>
                <w:lang w:val="de-DE"/>
              </w:rPr>
              <w:t>M1C2-1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11C796" w14:textId="77777777" w:rsidR="0057163C" w:rsidRPr="00170422" w:rsidRDefault="00F37BF9">
            <w:pPr>
              <w:pStyle w:val="P68B1DB1-Normal121"/>
              <w:spacing w:after="0" w:line="240" w:lineRule="auto"/>
              <w:rPr>
                <w:noProof/>
                <w:lang w:val="de-DE"/>
              </w:rPr>
            </w:pPr>
            <w:r w:rsidRPr="00170422">
              <w:rPr>
                <w:noProof/>
                <w:lang w:val="de-DE"/>
              </w:rPr>
              <w:t>Investition 1: Übergang 4.0</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226E2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E9A663" w14:textId="77777777" w:rsidR="0057163C" w:rsidRPr="00170422" w:rsidRDefault="00F37BF9">
            <w:pPr>
              <w:pStyle w:val="P68B1DB1-Normal121"/>
              <w:spacing w:after="0" w:line="240" w:lineRule="auto"/>
              <w:rPr>
                <w:noProof/>
                <w:lang w:val="de-DE"/>
              </w:rPr>
            </w:pPr>
            <w:r w:rsidRPr="00170422">
              <w:rPr>
                <w:noProof/>
                <w:lang w:val="de-DE"/>
              </w:rPr>
              <w:t xml:space="preserve">Inkrafttreten von </w:t>
            </w:r>
            <w:r w:rsidRPr="00170422">
              <w:rPr>
                <w:noProof/>
                <w:lang w:val="de-DE"/>
              </w:rPr>
              <w:t>Rechtsakten zur Bereitstellung von Steuergutschriften für den Übergang 4.0 für potenzielle Begünstigte und Einsetzung des Wissenschaftlichen Ausschusses</w:t>
            </w:r>
          </w:p>
        </w:tc>
        <w:tc>
          <w:tcPr>
            <w:tcW w:w="236" w:type="dxa"/>
            <w:tcBorders>
              <w:top w:val="nil"/>
              <w:left w:val="single" w:sz="4" w:space="0" w:color="auto"/>
              <w:bottom w:val="nil"/>
              <w:right w:val="nil"/>
            </w:tcBorders>
            <w:vAlign w:val="center"/>
          </w:tcPr>
          <w:p w14:paraId="59A10F5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EE06177"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E93E7" w14:textId="77777777" w:rsidR="0057163C" w:rsidRPr="00170422" w:rsidRDefault="00F37BF9">
            <w:pPr>
              <w:pStyle w:val="P68B1DB1-Normal121"/>
              <w:spacing w:after="0" w:line="240" w:lineRule="auto"/>
              <w:jc w:val="center"/>
              <w:rPr>
                <w:noProof/>
                <w:lang w:val="de-DE"/>
              </w:rPr>
            </w:pPr>
            <w:r w:rsidRPr="00170422">
              <w:rPr>
                <w:noProof/>
                <w:lang w:val="de-DE"/>
              </w:rPr>
              <w:t>M1C3-8</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CD9F7" w14:textId="77777777" w:rsidR="0057163C" w:rsidRPr="00170422" w:rsidRDefault="00F37BF9">
            <w:pPr>
              <w:pStyle w:val="P68B1DB1-Normal121"/>
              <w:spacing w:after="0" w:line="240" w:lineRule="auto"/>
              <w:rPr>
                <w:noProof/>
                <w:lang w:val="de-DE"/>
              </w:rPr>
            </w:pPr>
            <w:r w:rsidRPr="00170422">
              <w:rPr>
                <w:noProof/>
                <w:lang w:val="de-DE"/>
              </w:rPr>
              <w:t>Investitionen – 4.1 Digitales Tourismuszentrum</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F2926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E83432" w14:textId="77777777" w:rsidR="0057163C" w:rsidRPr="00170422" w:rsidRDefault="00F37BF9">
            <w:pPr>
              <w:pStyle w:val="P68B1DB1-Normal121"/>
              <w:spacing w:after="0" w:line="240" w:lineRule="auto"/>
              <w:rPr>
                <w:noProof/>
                <w:lang w:val="de-DE"/>
              </w:rPr>
            </w:pPr>
            <w:r w:rsidRPr="00170422">
              <w:rPr>
                <w:noProof/>
                <w:lang w:val="de-DE"/>
              </w:rPr>
              <w:t>Auftragsvergabe für die Entwicklung</w:t>
            </w:r>
            <w:r w:rsidRPr="00170422">
              <w:rPr>
                <w:noProof/>
                <w:lang w:val="de-DE"/>
              </w:rPr>
              <w:t xml:space="preserve"> des digitalen Tourismusportals</w:t>
            </w:r>
          </w:p>
        </w:tc>
        <w:tc>
          <w:tcPr>
            <w:tcW w:w="236" w:type="dxa"/>
            <w:tcBorders>
              <w:top w:val="nil"/>
              <w:left w:val="single" w:sz="4" w:space="0" w:color="auto"/>
              <w:bottom w:val="nil"/>
              <w:right w:val="nil"/>
            </w:tcBorders>
            <w:vAlign w:val="center"/>
          </w:tcPr>
          <w:p w14:paraId="0827186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04168E2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07EC98" w14:textId="77777777" w:rsidR="0057163C" w:rsidRPr="00170422" w:rsidRDefault="00F37BF9">
            <w:pPr>
              <w:pStyle w:val="P68B1DB1-Normal121"/>
              <w:spacing w:after="0" w:line="240" w:lineRule="auto"/>
              <w:jc w:val="center"/>
              <w:rPr>
                <w:noProof/>
                <w:lang w:val="de-DE"/>
              </w:rPr>
            </w:pPr>
            <w:r w:rsidRPr="00170422">
              <w:rPr>
                <w:noProof/>
                <w:lang w:val="de-DE"/>
              </w:rPr>
              <w:t>M2C2-7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0C5F4F" w14:textId="77777777" w:rsidR="0057163C" w:rsidRPr="00170422" w:rsidRDefault="00F37BF9">
            <w:pPr>
              <w:pStyle w:val="P68B1DB1-Normal121"/>
              <w:spacing w:after="0" w:line="240" w:lineRule="auto"/>
              <w:rPr>
                <w:noProof/>
                <w:lang w:val="de-DE"/>
              </w:rPr>
            </w:pPr>
            <w:r w:rsidRPr="00170422">
              <w:rPr>
                <w:noProof/>
                <w:lang w:val="de-DE"/>
              </w:rPr>
              <w:t>Reform 2 Neue Rechtsvorschriften zur Förderung der Erzeugung und des Verbrauchs von erneuerbarem Gas</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B1163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F195E" w14:textId="77777777" w:rsidR="0057163C" w:rsidRPr="00170422" w:rsidRDefault="00F37BF9">
            <w:pPr>
              <w:pStyle w:val="P68B1DB1-Normal121"/>
              <w:spacing w:after="0" w:line="240" w:lineRule="auto"/>
              <w:rPr>
                <w:noProof/>
                <w:lang w:val="de-DE"/>
              </w:rPr>
            </w:pPr>
            <w:r w:rsidRPr="00170422">
              <w:rPr>
                <w:noProof/>
                <w:lang w:val="de-DE"/>
              </w:rPr>
              <w:t>Inkrafttreten eines gesetzesvertretenden Dekrets zur Förderung der Nutzung von erneuerbarem Gas für di</w:t>
            </w:r>
            <w:r w:rsidRPr="00170422">
              <w:rPr>
                <w:noProof/>
                <w:lang w:val="de-DE"/>
              </w:rPr>
              <w:t>e Nutzung von Biomethan im Verkehrs-, Industrie- und Wohnungssektor sowie eines Durchführungserlasses, in dem die Bedingungen und Kriterien für seine Nutzung und das neue Anreizsystem festgelegt sind.</w:t>
            </w:r>
          </w:p>
        </w:tc>
        <w:tc>
          <w:tcPr>
            <w:tcW w:w="236" w:type="dxa"/>
            <w:tcBorders>
              <w:top w:val="nil"/>
              <w:left w:val="single" w:sz="4" w:space="0" w:color="auto"/>
              <w:bottom w:val="nil"/>
              <w:right w:val="nil"/>
            </w:tcBorders>
            <w:vAlign w:val="center"/>
          </w:tcPr>
          <w:p w14:paraId="716D2AF9"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D1F9BC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58B6E6" w14:textId="77777777" w:rsidR="0057163C" w:rsidRPr="00170422" w:rsidRDefault="00F37BF9">
            <w:pPr>
              <w:pStyle w:val="P68B1DB1-Normal121"/>
              <w:spacing w:after="0" w:line="240" w:lineRule="auto"/>
              <w:jc w:val="center"/>
              <w:rPr>
                <w:noProof/>
                <w:lang w:val="de-DE"/>
              </w:rPr>
            </w:pPr>
            <w:r w:rsidRPr="00170422">
              <w:rPr>
                <w:noProof/>
                <w:lang w:val="de-DE"/>
              </w:rPr>
              <w:t>M2C2-37</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D8700" w14:textId="77777777" w:rsidR="0057163C" w:rsidRPr="00170422" w:rsidRDefault="00F37BF9">
            <w:pPr>
              <w:pStyle w:val="P68B1DB1-Normal121"/>
              <w:spacing w:after="0" w:line="240" w:lineRule="auto"/>
              <w:rPr>
                <w:noProof/>
                <w:lang w:val="de-DE"/>
              </w:rPr>
            </w:pPr>
            <w:r w:rsidRPr="00170422">
              <w:rPr>
                <w:noProof/>
                <w:lang w:val="de-DE"/>
              </w:rPr>
              <w:t xml:space="preserve">Reform 5: Intelligentere Verfahren für die </w:t>
            </w:r>
            <w:r w:rsidRPr="00170422">
              <w:rPr>
                <w:noProof/>
                <w:lang w:val="de-DE"/>
              </w:rPr>
              <w:t>Projektbewertung im Bereich des öffentlichen Nahverkehrs mit ortsfesten Anlagen und im Bereich des schnellen Massentransports</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E0BEC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039F7B" w14:textId="77777777" w:rsidR="0057163C" w:rsidRPr="00170422" w:rsidRDefault="00F37BF9">
            <w:pPr>
              <w:pStyle w:val="P68B1DB1-Normal121"/>
              <w:spacing w:after="0" w:line="240" w:lineRule="auto"/>
              <w:rPr>
                <w:noProof/>
                <w:lang w:val="de-DE"/>
              </w:rPr>
            </w:pPr>
            <w:r w:rsidRPr="00170422">
              <w:rPr>
                <w:noProof/>
                <w:lang w:val="de-DE"/>
              </w:rPr>
              <w:t>Inkrafttreten eines Gesetzesdekrets</w:t>
            </w:r>
          </w:p>
        </w:tc>
        <w:tc>
          <w:tcPr>
            <w:tcW w:w="236" w:type="dxa"/>
            <w:tcBorders>
              <w:top w:val="nil"/>
              <w:left w:val="single" w:sz="4" w:space="0" w:color="auto"/>
              <w:bottom w:val="nil"/>
              <w:right w:val="nil"/>
            </w:tcBorders>
            <w:vAlign w:val="center"/>
          </w:tcPr>
          <w:p w14:paraId="3D09D43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7D4385C"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88E12" w14:textId="77777777" w:rsidR="0057163C" w:rsidRPr="00170422" w:rsidRDefault="00F37BF9">
            <w:pPr>
              <w:pStyle w:val="P68B1DB1-Normal121"/>
              <w:spacing w:after="0" w:line="240" w:lineRule="auto"/>
              <w:jc w:val="center"/>
              <w:rPr>
                <w:noProof/>
                <w:lang w:val="de-DE"/>
              </w:rPr>
            </w:pPr>
            <w:r w:rsidRPr="00170422">
              <w:rPr>
                <w:noProof/>
                <w:lang w:val="de-DE"/>
              </w:rPr>
              <w:t>M2C2-41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5EFB6A" w14:textId="77777777" w:rsidR="0057163C" w:rsidRPr="00170422" w:rsidRDefault="00F37BF9">
            <w:pPr>
              <w:pStyle w:val="P68B1DB1-Normal121"/>
              <w:spacing w:after="0" w:line="240" w:lineRule="auto"/>
              <w:rPr>
                <w:noProof/>
                <w:lang w:val="de-DE"/>
              </w:rPr>
            </w:pPr>
            <w:r w:rsidRPr="00170422">
              <w:rPr>
                <w:noProof/>
                <w:lang w:val="de-DE"/>
              </w:rPr>
              <w:t>Investition 5.3: Elektrobusse</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DFF82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401C5A" w14:textId="77777777" w:rsidR="0057163C" w:rsidRPr="00170422" w:rsidRDefault="00F37BF9">
            <w:pPr>
              <w:pStyle w:val="P68B1DB1-Normal121"/>
              <w:spacing w:after="0" w:line="240" w:lineRule="auto"/>
              <w:rPr>
                <w:noProof/>
                <w:lang w:val="de-DE"/>
              </w:rPr>
            </w:pPr>
            <w:r w:rsidRPr="00170422">
              <w:rPr>
                <w:noProof/>
                <w:lang w:val="de-DE"/>
              </w:rPr>
              <w:t>Inkrafttreten eines Ministeria</w:t>
            </w:r>
            <w:r w:rsidRPr="00170422">
              <w:rPr>
                <w:noProof/>
                <w:lang w:val="de-DE"/>
              </w:rPr>
              <w:t>ldekrets, in dem die Höhe der verfügbaren Ressourcen festgelegt wird, um den Zweck der Intervention zu erreichen (Lieferkette für Busse)</w:t>
            </w:r>
          </w:p>
        </w:tc>
        <w:tc>
          <w:tcPr>
            <w:tcW w:w="236" w:type="dxa"/>
            <w:tcBorders>
              <w:top w:val="nil"/>
              <w:left w:val="single" w:sz="4" w:space="0" w:color="auto"/>
              <w:bottom w:val="nil"/>
              <w:right w:val="nil"/>
            </w:tcBorders>
            <w:vAlign w:val="center"/>
          </w:tcPr>
          <w:p w14:paraId="2C8C9245"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12FC3A7"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82EC5A" w14:textId="77777777" w:rsidR="0057163C" w:rsidRPr="00170422" w:rsidRDefault="00F37BF9">
            <w:pPr>
              <w:pStyle w:val="P68B1DB1-Normal121"/>
              <w:spacing w:after="0" w:line="240" w:lineRule="auto"/>
              <w:jc w:val="center"/>
              <w:rPr>
                <w:noProof/>
                <w:lang w:val="de-DE"/>
              </w:rPr>
            </w:pPr>
            <w:r w:rsidRPr="00170422">
              <w:rPr>
                <w:noProof/>
                <w:lang w:val="de-DE"/>
              </w:rPr>
              <w:t>M2C3-1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204C0" w14:textId="77777777" w:rsidR="0057163C" w:rsidRPr="00170422" w:rsidRDefault="00F37BF9">
            <w:pPr>
              <w:pStyle w:val="P68B1DB1-Normal121"/>
              <w:spacing w:after="0" w:line="240" w:lineRule="auto"/>
              <w:rPr>
                <w:noProof/>
                <w:lang w:val="de-DE"/>
              </w:rPr>
            </w:pPr>
            <w:r w:rsidRPr="00170422">
              <w:rPr>
                <w:noProof/>
                <w:lang w:val="de-DE"/>
              </w:rPr>
              <w:t xml:space="preserve">Investition 2.1 – Stärkung des Ökobonus für Energieeffizienz </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6CFB3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EF238F" w14:textId="77777777" w:rsidR="0057163C" w:rsidRPr="00170422" w:rsidRDefault="00F37BF9">
            <w:pPr>
              <w:pStyle w:val="P68B1DB1-Normal121"/>
              <w:spacing w:after="0" w:line="240" w:lineRule="auto"/>
              <w:rPr>
                <w:noProof/>
                <w:lang w:val="de-DE"/>
              </w:rPr>
            </w:pPr>
            <w:r w:rsidRPr="00170422">
              <w:rPr>
                <w:noProof/>
                <w:lang w:val="de-DE"/>
              </w:rPr>
              <w:t xml:space="preserve">Inkrafttreten der Verlängerung des Superbonus  </w:t>
            </w:r>
          </w:p>
        </w:tc>
        <w:tc>
          <w:tcPr>
            <w:tcW w:w="236" w:type="dxa"/>
            <w:tcBorders>
              <w:top w:val="nil"/>
              <w:left w:val="single" w:sz="4" w:space="0" w:color="auto"/>
              <w:bottom w:val="nil"/>
              <w:right w:val="nil"/>
            </w:tcBorders>
            <w:vAlign w:val="center"/>
          </w:tcPr>
          <w:p w14:paraId="6C33FAF7"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91B39CE"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71A320" w14:textId="77777777" w:rsidR="0057163C" w:rsidRPr="00170422" w:rsidRDefault="00F37BF9">
            <w:pPr>
              <w:pStyle w:val="P68B1DB1-Normal121"/>
              <w:spacing w:after="0" w:line="240" w:lineRule="auto"/>
              <w:jc w:val="center"/>
              <w:rPr>
                <w:noProof/>
                <w:lang w:val="de-DE"/>
              </w:rPr>
            </w:pPr>
            <w:r w:rsidRPr="00170422">
              <w:rPr>
                <w:noProof/>
                <w:lang w:val="de-DE"/>
              </w:rPr>
              <w:t>M2C4-3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8BEB13" w14:textId="77777777" w:rsidR="0057163C" w:rsidRPr="00170422" w:rsidRDefault="00F37BF9">
            <w:pPr>
              <w:pStyle w:val="P68B1DB1-Normal121"/>
              <w:spacing w:after="0" w:line="240" w:lineRule="auto"/>
              <w:rPr>
                <w:noProof/>
                <w:lang w:val="de-DE"/>
              </w:rPr>
            </w:pPr>
            <w:r w:rsidRPr="00170422">
              <w:rPr>
                <w:noProof/>
                <w:lang w:val="de-DE"/>
              </w:rPr>
              <w:t>Reform 4.2 „Maßnahmen zur Gewährleistung vollständiger Verwaltungskapazitäten für integrierte Wasserversorgungsdienste“</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619A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429FD" w14:textId="77777777" w:rsidR="0057163C" w:rsidRPr="00170422" w:rsidRDefault="00F37BF9">
            <w:pPr>
              <w:pStyle w:val="P68B1DB1-Normal121"/>
              <w:spacing w:after="0" w:line="240" w:lineRule="auto"/>
              <w:rPr>
                <w:noProof/>
                <w:lang w:val="de-DE"/>
              </w:rPr>
            </w:pPr>
            <w:r w:rsidRPr="00170422">
              <w:rPr>
                <w:noProof/>
                <w:lang w:val="de-DE"/>
              </w:rPr>
              <w:t xml:space="preserve">Reform des Rechtsrahmens für eine bessere Bewirtschaftung und </w:t>
            </w:r>
            <w:r w:rsidRPr="00170422">
              <w:rPr>
                <w:noProof/>
                <w:lang w:val="de-DE"/>
              </w:rPr>
              <w:t>nachhaltige Wassernutzung</w:t>
            </w:r>
          </w:p>
        </w:tc>
        <w:tc>
          <w:tcPr>
            <w:tcW w:w="236" w:type="dxa"/>
            <w:tcBorders>
              <w:top w:val="nil"/>
              <w:left w:val="single" w:sz="4" w:space="0" w:color="auto"/>
              <w:bottom w:val="nil"/>
              <w:right w:val="nil"/>
            </w:tcBorders>
            <w:vAlign w:val="center"/>
          </w:tcPr>
          <w:p w14:paraId="545B9977"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E0A78D7"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569EF" w14:textId="77777777" w:rsidR="0057163C" w:rsidRPr="00170422" w:rsidRDefault="00F37BF9">
            <w:pPr>
              <w:pStyle w:val="P68B1DB1-Normal121"/>
              <w:spacing w:after="0" w:line="240" w:lineRule="auto"/>
              <w:jc w:val="center"/>
              <w:rPr>
                <w:noProof/>
                <w:lang w:val="de-DE"/>
              </w:rPr>
            </w:pPr>
            <w:r w:rsidRPr="00170422">
              <w:rPr>
                <w:noProof/>
                <w:lang w:val="de-DE"/>
              </w:rPr>
              <w:t>M3C2-3</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3D9DFD" w14:textId="77777777" w:rsidR="0057163C" w:rsidRPr="00170422" w:rsidRDefault="00F37BF9">
            <w:pPr>
              <w:pStyle w:val="P68B1DB1-Normal121"/>
              <w:spacing w:after="0" w:line="240" w:lineRule="auto"/>
              <w:rPr>
                <w:noProof/>
                <w:lang w:val="de-DE"/>
              </w:rPr>
            </w:pPr>
            <w:r w:rsidRPr="00170422">
              <w:rPr>
                <w:noProof/>
                <w:lang w:val="de-DE"/>
              </w:rPr>
              <w:t xml:space="preserve">Reform 2.1 – Einrichtung eines einzigen Zollportals („Sportello Unico Doganale“) </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E2B42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26DDD8" w14:textId="0A770B51" w:rsidR="0057163C" w:rsidRPr="00170422" w:rsidRDefault="00F37BF9">
            <w:pPr>
              <w:pStyle w:val="P68B1DB1-Normal121"/>
              <w:spacing w:after="0" w:line="240" w:lineRule="auto"/>
              <w:rPr>
                <w:noProof/>
                <w:lang w:val="de-DE"/>
              </w:rPr>
            </w:pPr>
            <w:r w:rsidRPr="00170422">
              <w:rPr>
                <w:noProof/>
                <w:lang w:val="de-DE"/>
              </w:rPr>
              <w:t xml:space="preserve">Inkrafttreten des Erlasses über die zentrale Zollstelle (Sportello Unico Doganale) </w:t>
            </w:r>
          </w:p>
        </w:tc>
        <w:tc>
          <w:tcPr>
            <w:tcW w:w="236" w:type="dxa"/>
            <w:tcBorders>
              <w:top w:val="nil"/>
              <w:left w:val="single" w:sz="4" w:space="0" w:color="auto"/>
              <w:bottom w:val="nil"/>
              <w:right w:val="nil"/>
            </w:tcBorders>
            <w:vAlign w:val="center"/>
          </w:tcPr>
          <w:p w14:paraId="7919637C"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410527E"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AC66B" w14:textId="77777777" w:rsidR="0057163C" w:rsidRPr="00170422" w:rsidRDefault="00F37BF9">
            <w:pPr>
              <w:pStyle w:val="P68B1DB1-Normal121"/>
              <w:spacing w:after="0" w:line="240" w:lineRule="auto"/>
              <w:jc w:val="center"/>
              <w:rPr>
                <w:noProof/>
                <w:lang w:val="de-DE"/>
              </w:rPr>
            </w:pPr>
            <w:r w:rsidRPr="00170422">
              <w:rPr>
                <w:noProof/>
                <w:lang w:val="de-DE"/>
              </w:rPr>
              <w:t>M4C1-1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AC971" w14:textId="77777777" w:rsidR="0057163C" w:rsidRPr="00170422" w:rsidRDefault="00F37BF9">
            <w:pPr>
              <w:pStyle w:val="P68B1DB1-Normal121"/>
              <w:spacing w:after="0" w:line="240" w:lineRule="auto"/>
              <w:rPr>
                <w:noProof/>
                <w:lang w:val="de-DE"/>
              </w:rPr>
            </w:pPr>
            <w:r w:rsidRPr="00170422">
              <w:rPr>
                <w:noProof/>
                <w:lang w:val="de-DE"/>
              </w:rPr>
              <w:t xml:space="preserve">Reform 1.5: Reform der </w:t>
            </w:r>
            <w:r w:rsidRPr="00170422">
              <w:rPr>
                <w:noProof/>
                <w:lang w:val="de-DE"/>
              </w:rPr>
              <w:t>Hochschulgruppen; Reform 1.6: Ermöglichung der Reform der Hochschulabschlüsse; Reform 4.1: Ph.D. Programmreform</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7ED45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4AA61" w14:textId="77777777" w:rsidR="0057163C" w:rsidRPr="00170422" w:rsidRDefault="00F37BF9">
            <w:pPr>
              <w:pStyle w:val="P68B1DB1-Normal121"/>
              <w:spacing w:after="0" w:line="240" w:lineRule="auto"/>
              <w:rPr>
                <w:noProof/>
                <w:lang w:val="de-DE"/>
              </w:rPr>
            </w:pPr>
            <w:r w:rsidRPr="00170422">
              <w:rPr>
                <w:noProof/>
                <w:lang w:val="de-DE"/>
              </w:rPr>
              <w:t>Inkrafttreten der Reformen des tertiären Bildungssystems zur Verbesserung der Bildungsergebnisse (Primärrecht) in folgenden Bereiche</w:t>
            </w:r>
            <w:r w:rsidRPr="00170422">
              <w:rPr>
                <w:noProof/>
                <w:lang w:val="de-DE"/>
              </w:rPr>
              <w:t>n: a) Hochschulabschlüsse ermöglichen; B) Hochschulabschlußgruppen; C) Reform der Promotionsprogramme</w:t>
            </w:r>
          </w:p>
        </w:tc>
        <w:tc>
          <w:tcPr>
            <w:tcW w:w="236" w:type="dxa"/>
            <w:tcBorders>
              <w:top w:val="nil"/>
              <w:left w:val="single" w:sz="4" w:space="0" w:color="auto"/>
              <w:bottom w:val="nil"/>
              <w:right w:val="nil"/>
            </w:tcBorders>
            <w:vAlign w:val="center"/>
          </w:tcPr>
          <w:p w14:paraId="00291B7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E8C74BD"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397B93" w14:textId="77777777" w:rsidR="0057163C" w:rsidRPr="00170422" w:rsidRDefault="00F37BF9">
            <w:pPr>
              <w:pStyle w:val="P68B1DB1-Normal121"/>
              <w:spacing w:after="0" w:line="240" w:lineRule="auto"/>
              <w:jc w:val="center"/>
              <w:rPr>
                <w:noProof/>
                <w:lang w:val="de-DE"/>
              </w:rPr>
            </w:pPr>
            <w:r w:rsidRPr="00170422">
              <w:rPr>
                <w:noProof/>
                <w:lang w:val="de-DE"/>
              </w:rPr>
              <w:t>M4C1-2</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46896C" w14:textId="77777777" w:rsidR="0057163C" w:rsidRPr="00170422" w:rsidRDefault="00F37BF9">
            <w:pPr>
              <w:pStyle w:val="P68B1DB1-Normal121"/>
              <w:spacing w:after="0" w:line="240" w:lineRule="auto"/>
              <w:rPr>
                <w:noProof/>
                <w:lang w:val="de-DE"/>
              </w:rPr>
            </w:pPr>
            <w:r w:rsidRPr="00170422">
              <w:rPr>
                <w:noProof/>
                <w:lang w:val="de-DE"/>
              </w:rPr>
              <w:t>Investition 1.7: Stipendien für den Zugang zu Universitäten</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12D7F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F3EF82" w14:textId="77777777" w:rsidR="0057163C" w:rsidRPr="00170422" w:rsidRDefault="00F37BF9">
            <w:pPr>
              <w:pStyle w:val="P68B1DB1-Normal121"/>
              <w:spacing w:after="0" w:line="240" w:lineRule="auto"/>
              <w:rPr>
                <w:noProof/>
                <w:lang w:val="de-DE"/>
              </w:rPr>
            </w:pPr>
            <w:r w:rsidRPr="00170422">
              <w:rPr>
                <w:noProof/>
                <w:lang w:val="de-DE"/>
              </w:rPr>
              <w:t>Inkrafttreten von Ministerialerlassen zur Reform von Stipendien zur Verbe</w:t>
            </w:r>
            <w:r w:rsidRPr="00170422">
              <w:rPr>
                <w:noProof/>
                <w:lang w:val="de-DE"/>
              </w:rPr>
              <w:t>sserung des Zugangs zur tertiären Bildung</w:t>
            </w:r>
          </w:p>
        </w:tc>
        <w:tc>
          <w:tcPr>
            <w:tcW w:w="236" w:type="dxa"/>
            <w:tcBorders>
              <w:top w:val="nil"/>
              <w:left w:val="single" w:sz="4" w:space="0" w:color="auto"/>
              <w:bottom w:val="nil"/>
              <w:right w:val="nil"/>
            </w:tcBorders>
            <w:vAlign w:val="center"/>
          </w:tcPr>
          <w:p w14:paraId="4037FA5C"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757F478"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673DEB" w14:textId="77777777" w:rsidR="0057163C" w:rsidRPr="00170422" w:rsidRDefault="00F37BF9">
            <w:pPr>
              <w:pStyle w:val="P68B1DB1-Normal121"/>
              <w:spacing w:after="0" w:line="240" w:lineRule="auto"/>
              <w:jc w:val="center"/>
              <w:rPr>
                <w:noProof/>
                <w:lang w:val="de-DE"/>
              </w:rPr>
            </w:pPr>
            <w:r w:rsidRPr="00170422">
              <w:rPr>
                <w:noProof/>
                <w:lang w:val="de-DE"/>
              </w:rPr>
              <w:t>M5C1-1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CBF303E" w14:textId="77777777" w:rsidR="0057163C" w:rsidRPr="00170422" w:rsidRDefault="00F37BF9">
            <w:pPr>
              <w:pStyle w:val="P68B1DB1-Normal121"/>
              <w:spacing w:after="0" w:line="240" w:lineRule="auto"/>
              <w:rPr>
                <w:noProof/>
                <w:lang w:val="de-DE"/>
              </w:rPr>
            </w:pPr>
            <w:r w:rsidRPr="00170422">
              <w:rPr>
                <w:noProof/>
                <w:lang w:val="de-DE"/>
              </w:rPr>
              <w:t>Reform 1 – aktive arbeitsmarktpolitische Maßnahmen und Berufsbildung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AAAC7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A81BE4" w14:textId="77777777" w:rsidR="0057163C" w:rsidRPr="00170422" w:rsidRDefault="00F37BF9">
            <w:pPr>
              <w:pStyle w:val="P68B1DB1-Normal121"/>
              <w:spacing w:after="0" w:line="240" w:lineRule="auto"/>
              <w:rPr>
                <w:noProof/>
                <w:lang w:val="de-DE"/>
              </w:rPr>
            </w:pPr>
            <w:r w:rsidRPr="00170422">
              <w:rPr>
                <w:noProof/>
                <w:lang w:val="de-DE"/>
              </w:rPr>
              <w:t xml:space="preserve">Inkrafttreten des interministeriellen Dekrets zur Festlegung eines nationalen Programms für die garantierte </w:t>
            </w:r>
            <w:r w:rsidRPr="00170422">
              <w:rPr>
                <w:noProof/>
                <w:lang w:val="de-DE"/>
              </w:rPr>
              <w:t>Beschäftigungsfähigkeit der Arbeitnehmer (GOL) und eines interministeriellen Dekrets zur Festlegung eines nationalen Plans für neue Kompetenzen</w:t>
            </w:r>
          </w:p>
        </w:tc>
        <w:tc>
          <w:tcPr>
            <w:tcW w:w="236" w:type="dxa"/>
            <w:tcBorders>
              <w:top w:val="nil"/>
              <w:left w:val="single" w:sz="4" w:space="0" w:color="auto"/>
              <w:bottom w:val="nil"/>
              <w:right w:val="nil"/>
            </w:tcBorders>
            <w:vAlign w:val="center"/>
          </w:tcPr>
          <w:p w14:paraId="2742C3A2"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B22C1E4"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4A7889" w14:textId="77777777" w:rsidR="0057163C" w:rsidRPr="00170422" w:rsidRDefault="00F37BF9">
            <w:pPr>
              <w:pStyle w:val="P68B1DB1-Normal121"/>
              <w:spacing w:after="0" w:line="240" w:lineRule="auto"/>
              <w:jc w:val="center"/>
              <w:rPr>
                <w:noProof/>
                <w:lang w:val="de-DE"/>
              </w:rPr>
            </w:pPr>
            <w:r w:rsidRPr="00170422">
              <w:rPr>
                <w:noProof/>
                <w:lang w:val="de-DE"/>
              </w:rPr>
              <w:t>M5C2-1</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FEEA8D" w14:textId="77777777" w:rsidR="0057163C" w:rsidRPr="00170422" w:rsidRDefault="00F37BF9">
            <w:pPr>
              <w:pStyle w:val="P68B1DB1-Normal121"/>
              <w:spacing w:after="0" w:line="240" w:lineRule="auto"/>
              <w:rPr>
                <w:noProof/>
                <w:lang w:val="de-DE"/>
              </w:rPr>
            </w:pPr>
            <w:r w:rsidRPr="00170422">
              <w:rPr>
                <w:noProof/>
                <w:lang w:val="de-DE"/>
              </w:rPr>
              <w:t>Reform 1 – Rahmengesetz für Menschen mit Behinderungen</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8E15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699057" w14:textId="77777777" w:rsidR="0057163C" w:rsidRPr="00170422" w:rsidRDefault="00F37BF9">
            <w:pPr>
              <w:pStyle w:val="P68B1DB1-Normal121"/>
              <w:spacing w:after="0" w:line="240" w:lineRule="auto"/>
              <w:rPr>
                <w:noProof/>
                <w:lang w:val="de-DE"/>
              </w:rPr>
            </w:pPr>
            <w:r w:rsidRPr="00170422">
              <w:rPr>
                <w:noProof/>
                <w:lang w:val="de-DE"/>
              </w:rPr>
              <w:t>Inkrafttreten des Rahmengesetzes zur</w:t>
            </w:r>
            <w:r w:rsidRPr="00170422">
              <w:rPr>
                <w:noProof/>
                <w:lang w:val="de-DE"/>
              </w:rPr>
              <w:t xml:space="preserve"> Stärkung der Autonomie von Menschen mit Behinderungen.</w:t>
            </w:r>
          </w:p>
        </w:tc>
        <w:tc>
          <w:tcPr>
            <w:tcW w:w="236" w:type="dxa"/>
            <w:tcBorders>
              <w:top w:val="nil"/>
              <w:left w:val="single" w:sz="4" w:space="0" w:color="auto"/>
              <w:bottom w:val="nil"/>
              <w:right w:val="nil"/>
            </w:tcBorders>
            <w:vAlign w:val="center"/>
          </w:tcPr>
          <w:p w14:paraId="25D302E5"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0ABC477B"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5123B" w14:textId="77777777" w:rsidR="0057163C" w:rsidRPr="00170422" w:rsidRDefault="00F37BF9">
            <w:pPr>
              <w:pStyle w:val="P68B1DB1-Normal121"/>
              <w:spacing w:after="0" w:line="240" w:lineRule="auto"/>
              <w:jc w:val="center"/>
              <w:rPr>
                <w:noProof/>
                <w:lang w:val="de-DE"/>
              </w:rPr>
            </w:pPr>
            <w:r w:rsidRPr="00170422">
              <w:rPr>
                <w:noProof/>
                <w:lang w:val="de-DE"/>
              </w:rPr>
              <w:t>M5C2-5</w:t>
            </w: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49496E" w14:textId="77777777" w:rsidR="0057163C" w:rsidRPr="00170422" w:rsidRDefault="00F37BF9">
            <w:pPr>
              <w:pStyle w:val="P68B1DB1-Normal121"/>
              <w:spacing w:after="0" w:line="240" w:lineRule="auto"/>
              <w:rPr>
                <w:noProof/>
                <w:lang w:val="de-DE"/>
              </w:rPr>
            </w:pPr>
            <w:r w:rsidRPr="00170422">
              <w:rPr>
                <w:noProof/>
                <w:lang w:val="de-DE"/>
              </w:rPr>
              <w:t>Investition 1 – Unterstützung schutzbedürftiger Menschen und Verhinderung der Institutionalisierung</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9305A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F23F" w14:textId="77777777" w:rsidR="0057163C" w:rsidRPr="00170422" w:rsidRDefault="00F37BF9">
            <w:pPr>
              <w:pStyle w:val="P68B1DB1-Normal121"/>
              <w:spacing w:after="0" w:line="240" w:lineRule="auto"/>
              <w:rPr>
                <w:noProof/>
                <w:lang w:val="de-DE"/>
              </w:rPr>
            </w:pPr>
            <w:r w:rsidRPr="00170422">
              <w:rPr>
                <w:noProof/>
                <w:lang w:val="de-DE"/>
              </w:rPr>
              <w:t>Inkrafttreten des Einsatzplans</w:t>
            </w:r>
          </w:p>
        </w:tc>
        <w:tc>
          <w:tcPr>
            <w:tcW w:w="236" w:type="dxa"/>
            <w:tcBorders>
              <w:top w:val="nil"/>
              <w:left w:val="single" w:sz="4" w:space="0" w:color="auto"/>
              <w:bottom w:val="nil"/>
              <w:right w:val="nil"/>
            </w:tcBorders>
            <w:vAlign w:val="center"/>
          </w:tcPr>
          <w:p w14:paraId="7CF62A28"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A72554E" w14:textId="77777777" w:rsidTr="00A400C5">
        <w:trPr>
          <w:trHeight w:val="300"/>
        </w:trPr>
        <w:tc>
          <w:tcPr>
            <w:tcW w:w="1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EF267"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764683"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7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7BFB69"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68D3AC"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11494252874 EUR</w:t>
            </w:r>
            <w:r w:rsidRPr="00170422">
              <w:rPr>
                <w:noProof/>
                <w:sz w:val="23"/>
                <w:szCs w:val="23"/>
                <w:lang w:val="de-DE"/>
              </w:rPr>
              <w:t xml:space="preserve">  </w:t>
            </w:r>
            <w:r w:rsidRPr="00170422">
              <w:rPr>
                <w:noProof/>
                <w:color w:val="006100"/>
                <w:sz w:val="20"/>
                <w:szCs w:val="20"/>
                <w:lang w:val="de-DE"/>
              </w:rPr>
              <w:t xml:space="preserve"> </w:t>
            </w:r>
          </w:p>
        </w:tc>
        <w:tc>
          <w:tcPr>
            <w:tcW w:w="236" w:type="dxa"/>
            <w:tcBorders>
              <w:top w:val="nil"/>
              <w:left w:val="single" w:sz="4" w:space="0" w:color="auto"/>
              <w:bottom w:val="nil"/>
              <w:right w:val="nil"/>
            </w:tcBorders>
            <w:vAlign w:val="center"/>
          </w:tcPr>
          <w:p w14:paraId="438D2FDF" w14:textId="77777777" w:rsidR="0057163C" w:rsidRPr="00170422" w:rsidRDefault="0057163C">
            <w:pPr>
              <w:spacing w:after="0" w:line="240" w:lineRule="auto"/>
              <w:rPr>
                <w:rFonts w:ascii="Times New Roman" w:eastAsia="Times New Roman" w:hAnsi="Times New Roman" w:cs="Times New Roman"/>
                <w:noProof/>
                <w:lang w:val="de-DE"/>
              </w:rPr>
            </w:pPr>
          </w:p>
        </w:tc>
      </w:tr>
    </w:tbl>
    <w:p w14:paraId="2CC368C2" w14:textId="4087073C" w:rsidR="00A400C5" w:rsidRPr="00170422" w:rsidRDefault="00F37BF9">
      <w:pPr>
        <w:pStyle w:val="P68B1DB1-Normal8"/>
        <w:spacing w:before="120" w:after="120" w:line="240" w:lineRule="auto"/>
        <w:ind w:left="850"/>
        <w:jc w:val="both"/>
        <w:rPr>
          <w:noProof/>
          <w:lang w:val="de-DE"/>
        </w:rPr>
      </w:pPr>
      <w:r w:rsidRPr="00170422">
        <w:rPr>
          <w:noProof/>
          <w:lang w:val="de-DE"/>
        </w:rPr>
        <w:t xml:space="preserve"> </w:t>
      </w:r>
    </w:p>
    <w:p w14:paraId="172D6915" w14:textId="77777777" w:rsidR="00A400C5" w:rsidRPr="00170422" w:rsidRDefault="00A400C5">
      <w:pPr>
        <w:rPr>
          <w:rFonts w:ascii="Times New Roman" w:eastAsia="Times New Roman" w:hAnsi="Times New Roman" w:cs="Times New Roman"/>
          <w:noProof/>
          <w:lang w:val="de-DE"/>
        </w:rPr>
      </w:pPr>
      <w:r w:rsidRPr="00170422">
        <w:rPr>
          <w:noProof/>
          <w:lang w:val="de-DE"/>
        </w:rPr>
        <w:br w:type="page"/>
      </w:r>
    </w:p>
    <w:p w14:paraId="5F969BF6"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Zweite Tranche (nicht rückzahlbare Unterstützung):</w:t>
      </w:r>
    </w:p>
    <w:tbl>
      <w:tblPr>
        <w:tblW w:w="9593" w:type="dxa"/>
        <w:tblInd w:w="120" w:type="dxa"/>
        <w:tblLayout w:type="fixed"/>
        <w:tblLook w:val="04A0" w:firstRow="1" w:lastRow="0" w:firstColumn="1" w:lastColumn="0" w:noHBand="0" w:noVBand="1"/>
      </w:tblPr>
      <w:tblGrid>
        <w:gridCol w:w="1288"/>
        <w:gridCol w:w="2268"/>
        <w:gridCol w:w="2244"/>
        <w:gridCol w:w="3557"/>
        <w:gridCol w:w="236"/>
      </w:tblGrid>
      <w:tr w:rsidR="0057163C" w:rsidRPr="00170422" w14:paraId="6CC981F4" w14:textId="77777777" w:rsidTr="00A400C5">
        <w:trPr>
          <w:trHeight w:val="900"/>
          <w:tblHeader/>
        </w:trPr>
        <w:tc>
          <w:tcPr>
            <w:tcW w:w="128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FEA2321" w14:textId="77777777" w:rsidR="0057163C" w:rsidRPr="00170422" w:rsidRDefault="00F37BF9">
            <w:pPr>
              <w:pStyle w:val="P68B1DB1-Normal120"/>
              <w:spacing w:after="0" w:line="240" w:lineRule="auto"/>
              <w:jc w:val="center"/>
              <w:rPr>
                <w:bCs/>
                <w:noProof/>
                <w:lang w:val="de-DE"/>
              </w:rPr>
            </w:pPr>
            <w:r w:rsidRPr="00170422">
              <w:rPr>
                <w:noProof/>
                <w:lang w:val="de-DE"/>
              </w:rPr>
              <w:t>Laufende Nummer</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44527F02"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44"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BDF3749"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7"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D58B0E8" w14:textId="77777777" w:rsidR="0057163C" w:rsidRPr="00170422" w:rsidRDefault="00F37BF9">
            <w:pPr>
              <w:pStyle w:val="P68B1DB1-Normal120"/>
              <w:spacing w:after="0" w:line="240" w:lineRule="auto"/>
              <w:jc w:val="center"/>
              <w:rPr>
                <w:noProof/>
                <w:lang w:val="de-DE"/>
              </w:rPr>
            </w:pPr>
            <w:r w:rsidRPr="00170422">
              <w:rPr>
                <w:noProof/>
                <w:lang w:val="de-DE"/>
              </w:rPr>
              <w:t>Namen</w:t>
            </w:r>
          </w:p>
        </w:tc>
        <w:tc>
          <w:tcPr>
            <w:tcW w:w="236" w:type="dxa"/>
            <w:tcBorders>
              <w:top w:val="nil"/>
              <w:left w:val="single" w:sz="4" w:space="0" w:color="auto"/>
              <w:bottom w:val="nil"/>
              <w:right w:val="nil"/>
            </w:tcBorders>
            <w:vAlign w:val="center"/>
          </w:tcPr>
          <w:p w14:paraId="3E876F6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5F04BD9" w14:textId="77777777" w:rsidTr="00A400C5">
        <w:trPr>
          <w:trHeight w:val="510"/>
        </w:trPr>
        <w:tc>
          <w:tcPr>
            <w:tcW w:w="1288" w:type="dxa"/>
            <w:vMerge/>
            <w:tcBorders>
              <w:top w:val="single" w:sz="4" w:space="0" w:color="auto"/>
              <w:left w:val="single" w:sz="4" w:space="0" w:color="auto"/>
              <w:bottom w:val="single" w:sz="4" w:space="0" w:color="auto"/>
              <w:right w:val="single" w:sz="4" w:space="0" w:color="auto"/>
            </w:tcBorders>
            <w:vAlign w:val="center"/>
          </w:tcPr>
          <w:p w14:paraId="098B6F0C"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452FC725" w14:textId="77777777" w:rsidR="0057163C" w:rsidRPr="00170422" w:rsidRDefault="0057163C">
            <w:pPr>
              <w:spacing w:after="0" w:line="240" w:lineRule="auto"/>
              <w:rPr>
                <w:rFonts w:ascii="Times New Roman" w:eastAsia="Times New Roman" w:hAnsi="Times New Roman" w:cs="Times New Roman"/>
                <w:noProof/>
                <w:lang w:val="de-DE"/>
              </w:rPr>
            </w:pPr>
          </w:p>
        </w:tc>
        <w:tc>
          <w:tcPr>
            <w:tcW w:w="2244" w:type="dxa"/>
            <w:vMerge/>
            <w:tcBorders>
              <w:top w:val="single" w:sz="4" w:space="0" w:color="auto"/>
              <w:left w:val="single" w:sz="4" w:space="0" w:color="auto"/>
              <w:bottom w:val="single" w:sz="4" w:space="0" w:color="auto"/>
              <w:right w:val="single" w:sz="4" w:space="0" w:color="auto"/>
            </w:tcBorders>
            <w:vAlign w:val="center"/>
          </w:tcPr>
          <w:p w14:paraId="54F7C197"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7" w:type="dxa"/>
            <w:vMerge/>
            <w:tcBorders>
              <w:top w:val="single" w:sz="4" w:space="0" w:color="auto"/>
              <w:left w:val="single" w:sz="4" w:space="0" w:color="auto"/>
              <w:bottom w:val="single" w:sz="4" w:space="0" w:color="auto"/>
              <w:right w:val="single" w:sz="4" w:space="0" w:color="auto"/>
            </w:tcBorders>
            <w:vAlign w:val="center"/>
          </w:tcPr>
          <w:p w14:paraId="3FCA8DF4" w14:textId="77777777" w:rsidR="0057163C" w:rsidRPr="00170422" w:rsidRDefault="0057163C">
            <w:pPr>
              <w:spacing w:after="0" w:line="240" w:lineRule="auto"/>
              <w:rPr>
                <w:rFonts w:ascii="Times New Roman" w:eastAsia="Times New Roman" w:hAnsi="Times New Roman" w:cs="Times New Roman"/>
                <w:noProof/>
                <w:lang w:val="de-DE"/>
              </w:rPr>
            </w:pPr>
          </w:p>
        </w:tc>
        <w:tc>
          <w:tcPr>
            <w:tcW w:w="236" w:type="dxa"/>
            <w:tcBorders>
              <w:top w:val="nil"/>
              <w:left w:val="single" w:sz="4" w:space="0" w:color="auto"/>
              <w:bottom w:val="nil"/>
              <w:right w:val="nil"/>
            </w:tcBorders>
            <w:vAlign w:val="center"/>
          </w:tcPr>
          <w:p w14:paraId="58B4AA2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827A9A6"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9A87B8" w14:textId="77777777" w:rsidR="0057163C" w:rsidRPr="00170422" w:rsidRDefault="00F37BF9">
            <w:pPr>
              <w:pStyle w:val="P68B1DB1-Normal121"/>
              <w:spacing w:after="0" w:line="240" w:lineRule="auto"/>
              <w:jc w:val="center"/>
              <w:rPr>
                <w:noProof/>
                <w:lang w:val="de-DE"/>
              </w:rPr>
            </w:pPr>
            <w:r w:rsidRPr="00170422">
              <w:rPr>
                <w:noProof/>
                <w:lang w:val="de-DE"/>
              </w:rPr>
              <w:t>M2C4-5</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55670C" w14:textId="77777777" w:rsidR="0057163C" w:rsidRPr="00170422" w:rsidRDefault="00F37BF9">
            <w:pPr>
              <w:pStyle w:val="P68B1DB1-Normal121"/>
              <w:spacing w:after="0" w:line="240" w:lineRule="auto"/>
              <w:rPr>
                <w:noProof/>
                <w:lang w:val="de-DE"/>
              </w:rPr>
            </w:pPr>
            <w:r w:rsidRPr="00170422">
              <w:rPr>
                <w:noProof/>
                <w:lang w:val="de-DE"/>
              </w:rPr>
              <w:t>Investition 3.2: Digitalisierung von Nationalparks</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F22F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8CCE48D" w14:textId="77777777" w:rsidR="0057163C" w:rsidRPr="00170422" w:rsidRDefault="00F37BF9">
            <w:pPr>
              <w:pStyle w:val="P68B1DB1-Normal121"/>
              <w:spacing w:after="0" w:line="240" w:lineRule="auto"/>
              <w:rPr>
                <w:noProof/>
                <w:lang w:val="de-DE"/>
              </w:rPr>
            </w:pPr>
            <w:r w:rsidRPr="00170422">
              <w:rPr>
                <w:noProof/>
                <w:lang w:val="de-DE"/>
              </w:rPr>
              <w:t xml:space="preserve">Inkrafttreten der administrativen </w:t>
            </w:r>
            <w:r w:rsidRPr="00170422">
              <w:rPr>
                <w:noProof/>
                <w:lang w:val="de-DE"/>
              </w:rPr>
              <w:t>Vereinfachung und Entwicklung digitaler Dienste für Besucher von Nationalparks und Meeresschutzgebieten</w:t>
            </w:r>
          </w:p>
        </w:tc>
        <w:tc>
          <w:tcPr>
            <w:tcW w:w="236" w:type="dxa"/>
            <w:tcBorders>
              <w:top w:val="nil"/>
              <w:left w:val="single" w:sz="4" w:space="0" w:color="auto"/>
              <w:bottom w:val="nil"/>
              <w:right w:val="nil"/>
            </w:tcBorders>
            <w:vAlign w:val="center"/>
          </w:tcPr>
          <w:p w14:paraId="5768BD01"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BAD4F40"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A440C9" w14:textId="77777777" w:rsidR="0057163C" w:rsidRPr="00170422" w:rsidRDefault="00F37BF9">
            <w:pPr>
              <w:pStyle w:val="P68B1DB1-Normal121"/>
              <w:spacing w:after="0" w:line="240" w:lineRule="auto"/>
              <w:jc w:val="center"/>
              <w:rPr>
                <w:noProof/>
                <w:lang w:val="de-DE"/>
              </w:rPr>
            </w:pPr>
            <w:r w:rsidRPr="00170422">
              <w:rPr>
                <w:noProof/>
                <w:lang w:val="de-DE"/>
              </w:rPr>
              <w:t>M5C2-9</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56460C" w14:textId="77777777" w:rsidR="0057163C" w:rsidRPr="00170422" w:rsidRDefault="00F37BF9">
            <w:pPr>
              <w:pStyle w:val="P68B1DB1-Normal121"/>
              <w:spacing w:after="0" w:line="240" w:lineRule="auto"/>
              <w:rPr>
                <w:noProof/>
                <w:lang w:val="de-DE"/>
              </w:rPr>
            </w:pPr>
            <w:r w:rsidRPr="00170422">
              <w:rPr>
                <w:noProof/>
                <w:lang w:val="de-DE"/>
              </w:rPr>
              <w:t>Investition 3 – Wohnen Erst- und Poststellen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CA0AD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E6A5D" w14:textId="77777777" w:rsidR="0057163C" w:rsidRPr="00170422" w:rsidRDefault="00F37BF9">
            <w:pPr>
              <w:pStyle w:val="P68B1DB1-Normal121"/>
              <w:spacing w:after="0" w:line="240" w:lineRule="auto"/>
              <w:rPr>
                <w:noProof/>
                <w:lang w:val="de-DE"/>
              </w:rPr>
            </w:pPr>
            <w:r w:rsidRPr="00170422">
              <w:rPr>
                <w:noProof/>
                <w:lang w:val="de-DE"/>
              </w:rPr>
              <w:t>Inkrafttreten des operativen Plans für Projekte in Bezug auf Erst- und Poststellen für</w:t>
            </w:r>
            <w:r w:rsidRPr="00170422">
              <w:rPr>
                <w:noProof/>
                <w:lang w:val="de-DE"/>
              </w:rPr>
              <w:t xml:space="preserve"> Wohnungswesen, Festlegung der Anforderungen an Projekte, die von lokalen Stellen vorgelegt werden können, und Veröffentlichung einer Aufforderung zur Einreichung von Vorschlägen</w:t>
            </w:r>
          </w:p>
        </w:tc>
        <w:tc>
          <w:tcPr>
            <w:tcW w:w="236" w:type="dxa"/>
            <w:tcBorders>
              <w:top w:val="nil"/>
              <w:left w:val="single" w:sz="4" w:space="0" w:color="auto"/>
              <w:bottom w:val="nil"/>
              <w:right w:val="nil"/>
            </w:tcBorders>
            <w:vAlign w:val="center"/>
          </w:tcPr>
          <w:p w14:paraId="52135B95"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DE6A226"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62836" w14:textId="77777777" w:rsidR="0057163C" w:rsidRPr="00170422" w:rsidRDefault="00F37BF9">
            <w:pPr>
              <w:pStyle w:val="P68B1DB1-Normal121"/>
              <w:spacing w:after="0" w:line="240" w:lineRule="auto"/>
              <w:jc w:val="center"/>
              <w:rPr>
                <w:noProof/>
                <w:lang w:val="de-DE"/>
              </w:rPr>
            </w:pPr>
            <w:r w:rsidRPr="00170422">
              <w:rPr>
                <w:noProof/>
                <w:lang w:val="de-DE"/>
              </w:rPr>
              <w:t>M1C1-33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0170EB"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Verwaltungsgerichte</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559DE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982334" w14:textId="77777777" w:rsidR="0057163C" w:rsidRPr="00170422" w:rsidRDefault="00F37BF9">
            <w:pPr>
              <w:pStyle w:val="P68B1DB1-Normal121"/>
              <w:spacing w:after="0" w:line="240" w:lineRule="auto"/>
              <w:rPr>
                <w:noProof/>
                <w:lang w:val="de-DE"/>
              </w:rPr>
            </w:pPr>
            <w:r w:rsidRPr="00170422">
              <w:rPr>
                <w:noProof/>
                <w:lang w:val="de-DE"/>
              </w:rPr>
              <w:t>Beginn der Einstellungsverfahren für Verwaltungsgerichte</w:t>
            </w:r>
          </w:p>
        </w:tc>
        <w:tc>
          <w:tcPr>
            <w:tcW w:w="236" w:type="dxa"/>
            <w:tcBorders>
              <w:top w:val="nil"/>
              <w:left w:val="single" w:sz="4" w:space="0" w:color="auto"/>
              <w:bottom w:val="nil"/>
              <w:right w:val="nil"/>
            </w:tcBorders>
            <w:vAlign w:val="center"/>
          </w:tcPr>
          <w:p w14:paraId="0F8B4BC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E22881F"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E786FD" w14:textId="77777777" w:rsidR="0057163C" w:rsidRPr="00170422" w:rsidRDefault="00F37BF9">
            <w:pPr>
              <w:pStyle w:val="P68B1DB1-Normal121"/>
              <w:spacing w:after="0" w:line="240" w:lineRule="auto"/>
              <w:jc w:val="center"/>
              <w:rPr>
                <w:noProof/>
                <w:lang w:val="de-DE"/>
              </w:rPr>
            </w:pPr>
            <w:r w:rsidRPr="00170422">
              <w:rPr>
                <w:noProof/>
                <w:lang w:val="de-DE"/>
              </w:rPr>
              <w:t>M1C1-56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326311"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0F3DC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18A0E" w14:textId="77777777" w:rsidR="0057163C" w:rsidRPr="00170422" w:rsidRDefault="00F37BF9">
            <w:pPr>
              <w:pStyle w:val="P68B1DB1-Normal121"/>
              <w:spacing w:after="0" w:line="240" w:lineRule="auto"/>
              <w:rPr>
                <w:noProof/>
                <w:lang w:val="de-DE"/>
              </w:rPr>
            </w:pPr>
            <w:r w:rsidRPr="00170422">
              <w:rPr>
                <w:noProof/>
                <w:lang w:val="de-DE"/>
              </w:rPr>
              <w:t>Inkrafttreten der Rechtsvorschriften zur Reform der Beschäftigung im öffentlichen Dienst</w:t>
            </w:r>
          </w:p>
        </w:tc>
        <w:tc>
          <w:tcPr>
            <w:tcW w:w="236" w:type="dxa"/>
            <w:tcBorders>
              <w:top w:val="nil"/>
              <w:left w:val="single" w:sz="4" w:space="0" w:color="auto"/>
              <w:bottom w:val="nil"/>
              <w:right w:val="nil"/>
            </w:tcBorders>
            <w:vAlign w:val="center"/>
          </w:tcPr>
          <w:p w14:paraId="2EDA0C9C"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B3EBC1E"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CD0A18" w14:textId="77777777" w:rsidR="0057163C" w:rsidRPr="00170422" w:rsidRDefault="00F37BF9">
            <w:pPr>
              <w:pStyle w:val="P68B1DB1-Normal121"/>
              <w:spacing w:after="0" w:line="240" w:lineRule="auto"/>
              <w:jc w:val="center"/>
              <w:rPr>
                <w:noProof/>
                <w:lang w:val="de-DE"/>
              </w:rPr>
            </w:pPr>
            <w:r w:rsidRPr="00170422">
              <w:rPr>
                <w:noProof/>
                <w:lang w:val="de-DE"/>
              </w:rPr>
              <w:t>M1C1-70</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0905E0" w14:textId="77777777" w:rsidR="0057163C" w:rsidRPr="00170422" w:rsidRDefault="00F37BF9">
            <w:pPr>
              <w:pStyle w:val="P68B1DB1-Normal121"/>
              <w:spacing w:after="0" w:line="240" w:lineRule="auto"/>
              <w:rPr>
                <w:noProof/>
                <w:lang w:val="de-DE"/>
              </w:rPr>
            </w:pPr>
            <w:r w:rsidRPr="00170422">
              <w:rPr>
                <w:noProof/>
                <w:lang w:val="de-DE"/>
              </w:rPr>
              <w:t xml:space="preserve">Reform 1.10: Reform des </w:t>
            </w:r>
            <w:r w:rsidRPr="00170422">
              <w:rPr>
                <w:noProof/>
                <w:lang w:val="de-DE"/>
              </w:rPr>
              <w:t>Rechtsrahmens für das öffentliche Auftragswesen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31CF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EB3195" w14:textId="77777777" w:rsidR="0057163C" w:rsidRPr="00170422" w:rsidRDefault="00F37BF9">
            <w:pPr>
              <w:pStyle w:val="P68B1DB1-Normal121"/>
              <w:spacing w:after="0" w:line="240" w:lineRule="auto"/>
              <w:rPr>
                <w:noProof/>
                <w:lang w:val="de-DE"/>
              </w:rPr>
            </w:pPr>
            <w:r w:rsidRPr="00170422">
              <w:rPr>
                <w:noProof/>
                <w:lang w:val="de-DE"/>
              </w:rPr>
              <w:t>Inkrafttreten der Überarbeitung des Kodex für die Vergabe öffentlicher Aufträge (D.Lgs. Nr. 50/2016)</w:t>
            </w:r>
          </w:p>
        </w:tc>
        <w:tc>
          <w:tcPr>
            <w:tcW w:w="236" w:type="dxa"/>
            <w:tcBorders>
              <w:top w:val="nil"/>
              <w:left w:val="single" w:sz="4" w:space="0" w:color="auto"/>
              <w:bottom w:val="nil"/>
              <w:right w:val="nil"/>
            </w:tcBorders>
            <w:vAlign w:val="center"/>
          </w:tcPr>
          <w:p w14:paraId="53D9F2A6"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4BA0006"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C3C7BA" w14:textId="77777777" w:rsidR="0057163C" w:rsidRPr="00170422" w:rsidRDefault="00F37BF9">
            <w:pPr>
              <w:pStyle w:val="P68B1DB1-Normal121"/>
              <w:spacing w:after="0" w:line="240" w:lineRule="auto"/>
              <w:jc w:val="center"/>
              <w:rPr>
                <w:noProof/>
                <w:lang w:val="de-DE"/>
              </w:rPr>
            </w:pPr>
            <w:r w:rsidRPr="00170422">
              <w:rPr>
                <w:noProof/>
                <w:lang w:val="de-DE"/>
              </w:rPr>
              <w:t>M1C1-103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D21C16"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8C58F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3D3DC5" w14:textId="77777777" w:rsidR="0057163C" w:rsidRPr="00170422" w:rsidRDefault="00F37BF9">
            <w:pPr>
              <w:pStyle w:val="P68B1DB1-Normal121"/>
              <w:spacing w:after="0" w:line="240" w:lineRule="auto"/>
              <w:rPr>
                <w:noProof/>
                <w:lang w:val="de-DE"/>
              </w:rPr>
            </w:pPr>
            <w:r w:rsidRPr="00170422">
              <w:rPr>
                <w:noProof/>
                <w:lang w:val="de-DE"/>
              </w:rPr>
              <w:t>Inkrafttreten des Primär- und S</w:t>
            </w:r>
            <w:r w:rsidRPr="00170422">
              <w:rPr>
                <w:noProof/>
                <w:lang w:val="de-DE"/>
              </w:rPr>
              <w:t>ekundärrechts und der Rechtsvorschriften sowie Abschluss von Verwaltungsverfahren zur Förderung der Steuerehrlichkeit und zur Verbesserung der Prüfungen und Kontrollen</w:t>
            </w:r>
          </w:p>
        </w:tc>
        <w:tc>
          <w:tcPr>
            <w:tcW w:w="236" w:type="dxa"/>
            <w:tcBorders>
              <w:top w:val="nil"/>
              <w:left w:val="single" w:sz="4" w:space="0" w:color="auto"/>
              <w:bottom w:val="nil"/>
              <w:right w:val="nil"/>
            </w:tcBorders>
            <w:vAlign w:val="center"/>
          </w:tcPr>
          <w:p w14:paraId="237759B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6B0A2D8"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9FBCA5" w14:textId="77777777" w:rsidR="0057163C" w:rsidRPr="00170422" w:rsidRDefault="00F37BF9">
            <w:pPr>
              <w:pStyle w:val="P68B1DB1-Normal121"/>
              <w:spacing w:after="0" w:line="240" w:lineRule="auto"/>
              <w:jc w:val="center"/>
              <w:rPr>
                <w:noProof/>
                <w:lang w:val="de-DE"/>
              </w:rPr>
            </w:pPr>
            <w:r w:rsidRPr="00170422">
              <w:rPr>
                <w:noProof/>
                <w:lang w:val="de-DE"/>
              </w:rPr>
              <w:t>M1C1-104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14F74F" w14:textId="77777777" w:rsidR="0057163C" w:rsidRPr="00170422" w:rsidRDefault="00F37BF9">
            <w:pPr>
              <w:pStyle w:val="P68B1DB1-Normal121"/>
              <w:spacing w:after="0" w:line="240" w:lineRule="auto"/>
              <w:rPr>
                <w:noProof/>
                <w:lang w:val="de-DE"/>
              </w:rPr>
            </w:pPr>
            <w:r w:rsidRPr="00170422">
              <w:rPr>
                <w:noProof/>
                <w:lang w:val="de-DE"/>
              </w:rPr>
              <w:t>Reform 1.13: Reform des Rahmens für die Ausgabenüberprüfung</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6064B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CA92" w14:textId="77777777" w:rsidR="0057163C" w:rsidRPr="00170422" w:rsidRDefault="00F37BF9">
            <w:pPr>
              <w:pStyle w:val="P68B1DB1-Normal121"/>
              <w:spacing w:after="0" w:line="240" w:lineRule="auto"/>
              <w:rPr>
                <w:noProof/>
                <w:lang w:val="de-DE"/>
              </w:rPr>
            </w:pPr>
            <w:r w:rsidRPr="00170422">
              <w:rPr>
                <w:noProof/>
                <w:lang w:val="de-DE"/>
              </w:rPr>
              <w:t>Annahme von Einsparzielen für Ausgabenüberprüfungen für die Jahre 2023-2025</w:t>
            </w:r>
          </w:p>
        </w:tc>
        <w:tc>
          <w:tcPr>
            <w:tcW w:w="236" w:type="dxa"/>
            <w:tcBorders>
              <w:top w:val="nil"/>
              <w:left w:val="single" w:sz="4" w:space="0" w:color="auto"/>
              <w:bottom w:val="nil"/>
              <w:right w:val="nil"/>
            </w:tcBorders>
            <w:vAlign w:val="center"/>
          </w:tcPr>
          <w:p w14:paraId="77DC3A2C"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02BF5AB5"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6411DC" w14:textId="77777777" w:rsidR="0057163C" w:rsidRPr="00170422" w:rsidRDefault="00F37BF9">
            <w:pPr>
              <w:pStyle w:val="P68B1DB1-Normal121"/>
              <w:spacing w:after="0" w:line="240" w:lineRule="auto"/>
              <w:jc w:val="center"/>
              <w:rPr>
                <w:noProof/>
                <w:lang w:val="de-DE"/>
              </w:rPr>
            </w:pPr>
            <w:r w:rsidRPr="00170422">
              <w:rPr>
                <w:noProof/>
                <w:lang w:val="de-DE"/>
              </w:rPr>
              <w:t>M1C3-11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0DF327" w14:textId="77777777" w:rsidR="0057163C" w:rsidRPr="00170422" w:rsidRDefault="00F37BF9">
            <w:pPr>
              <w:pStyle w:val="P68B1DB1-Normal121"/>
              <w:spacing w:after="0" w:line="240" w:lineRule="auto"/>
              <w:rPr>
                <w:noProof/>
                <w:lang w:val="de-DE"/>
              </w:rPr>
            </w:pPr>
            <w:r w:rsidRPr="00170422">
              <w:rPr>
                <w:noProof/>
                <w:lang w:val="de-DE"/>
              </w:rPr>
              <w:t>Investition 1.3 – Verbesserung der Energieeffizienz in Kinos, Theatern und Museen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35C48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C26DED" w14:textId="77777777" w:rsidR="0057163C" w:rsidRPr="00170422" w:rsidRDefault="00F37BF9">
            <w:pPr>
              <w:pStyle w:val="P68B1DB1-Normal121"/>
              <w:spacing w:after="0" w:line="240" w:lineRule="auto"/>
              <w:rPr>
                <w:noProof/>
                <w:lang w:val="de-DE"/>
              </w:rPr>
            </w:pPr>
            <w:r w:rsidRPr="00170422">
              <w:rPr>
                <w:noProof/>
                <w:lang w:val="de-DE"/>
              </w:rPr>
              <w:t xml:space="preserve">Inkrafttreten des Dekrets des Kulturministeriums über die Zuweisung von Mitteln: Verbesserung der Energieeffizienz an kulturellen Orten </w:t>
            </w:r>
          </w:p>
        </w:tc>
        <w:tc>
          <w:tcPr>
            <w:tcW w:w="236" w:type="dxa"/>
            <w:tcBorders>
              <w:top w:val="nil"/>
              <w:left w:val="single" w:sz="4" w:space="0" w:color="auto"/>
              <w:bottom w:val="nil"/>
              <w:right w:val="nil"/>
            </w:tcBorders>
            <w:vAlign w:val="center"/>
          </w:tcPr>
          <w:p w14:paraId="07FFFDFC"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B140707"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07810A" w14:textId="77777777" w:rsidR="0057163C" w:rsidRPr="00170422" w:rsidRDefault="00F37BF9">
            <w:pPr>
              <w:pStyle w:val="P68B1DB1-Normal121"/>
              <w:spacing w:after="0" w:line="240" w:lineRule="auto"/>
              <w:jc w:val="center"/>
              <w:rPr>
                <w:noProof/>
                <w:lang w:val="de-DE"/>
              </w:rPr>
            </w:pPr>
            <w:r w:rsidRPr="00170422">
              <w:rPr>
                <w:noProof/>
                <w:lang w:val="de-DE"/>
              </w:rPr>
              <w:t>M2C1-1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E0159" w14:textId="77777777" w:rsidR="0057163C" w:rsidRPr="00170422" w:rsidRDefault="00F37BF9">
            <w:pPr>
              <w:pStyle w:val="P68B1DB1-Normal121"/>
              <w:spacing w:after="0" w:line="240" w:lineRule="auto"/>
              <w:rPr>
                <w:noProof/>
                <w:lang w:val="de-DE"/>
              </w:rPr>
            </w:pPr>
            <w:r w:rsidRPr="00170422">
              <w:rPr>
                <w:noProof/>
                <w:lang w:val="de-DE"/>
              </w:rPr>
              <w:t>Reform 1.1 – Nationale Strategie für die Kreislaufwirtschaft</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6A45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CAACD7" w14:textId="77777777" w:rsidR="0057163C" w:rsidRPr="00170422" w:rsidRDefault="00F37BF9">
            <w:pPr>
              <w:pStyle w:val="P68B1DB1-Normal121"/>
              <w:spacing w:after="0" w:line="240" w:lineRule="auto"/>
              <w:rPr>
                <w:noProof/>
                <w:lang w:val="de-DE"/>
              </w:rPr>
            </w:pPr>
            <w:r w:rsidRPr="00170422">
              <w:rPr>
                <w:noProof/>
                <w:lang w:val="de-DE"/>
              </w:rPr>
              <w:t xml:space="preserve">Inkrafttreten des Ministerialdekrets </w:t>
            </w:r>
            <w:r w:rsidRPr="00170422">
              <w:rPr>
                <w:noProof/>
                <w:lang w:val="de-DE"/>
              </w:rPr>
              <w:t>zur Annahme der nationalen Strategie für die Kreislaufwirtschaft</w:t>
            </w:r>
          </w:p>
        </w:tc>
        <w:tc>
          <w:tcPr>
            <w:tcW w:w="236" w:type="dxa"/>
            <w:tcBorders>
              <w:top w:val="nil"/>
              <w:left w:val="single" w:sz="4" w:space="0" w:color="auto"/>
              <w:bottom w:val="nil"/>
              <w:right w:val="nil"/>
            </w:tcBorders>
            <w:vAlign w:val="center"/>
          </w:tcPr>
          <w:p w14:paraId="60557FC8"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4BCA992"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5E7C8C" w14:textId="77777777" w:rsidR="0057163C" w:rsidRPr="00170422" w:rsidRDefault="00F37BF9">
            <w:pPr>
              <w:pStyle w:val="P68B1DB1-Normal121"/>
              <w:spacing w:after="0" w:line="240" w:lineRule="auto"/>
              <w:jc w:val="center"/>
              <w:rPr>
                <w:noProof/>
                <w:lang w:val="de-DE"/>
              </w:rPr>
            </w:pPr>
            <w:r w:rsidRPr="00170422">
              <w:rPr>
                <w:noProof/>
                <w:lang w:val="de-DE"/>
              </w:rPr>
              <w:t>M2C1-2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CDB00" w14:textId="77777777" w:rsidR="0057163C" w:rsidRPr="00170422" w:rsidRDefault="00F37BF9">
            <w:pPr>
              <w:pStyle w:val="P68B1DB1-Normal121"/>
              <w:spacing w:after="0" w:line="240" w:lineRule="auto"/>
              <w:rPr>
                <w:noProof/>
                <w:lang w:val="de-DE"/>
              </w:rPr>
            </w:pPr>
            <w:r w:rsidRPr="00170422">
              <w:rPr>
                <w:noProof/>
                <w:lang w:val="de-DE"/>
              </w:rPr>
              <w:t>Reform 1.3 – Technische Unterstützung für lokale Behörden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CA8E8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CAB0E0" w14:textId="77777777" w:rsidR="0057163C" w:rsidRPr="00170422" w:rsidRDefault="00F37BF9">
            <w:pPr>
              <w:pStyle w:val="P68B1DB1-Normal121"/>
              <w:spacing w:after="0" w:line="240" w:lineRule="auto"/>
              <w:rPr>
                <w:noProof/>
                <w:lang w:val="de-DE"/>
              </w:rPr>
            </w:pPr>
            <w:r w:rsidRPr="00170422">
              <w:rPr>
                <w:noProof/>
                <w:lang w:val="de-DE"/>
              </w:rPr>
              <w:t xml:space="preserve">Genehmigung der Einigung über die Entwicklung des Aktionsplans für den Aufbau von Kapazitäten zur Unterstützung </w:t>
            </w:r>
            <w:r w:rsidRPr="00170422">
              <w:rPr>
                <w:noProof/>
                <w:lang w:val="de-DE"/>
              </w:rPr>
              <w:t>lokaler Behörden</w:t>
            </w:r>
          </w:p>
        </w:tc>
        <w:tc>
          <w:tcPr>
            <w:tcW w:w="236" w:type="dxa"/>
            <w:tcBorders>
              <w:top w:val="nil"/>
              <w:left w:val="single" w:sz="4" w:space="0" w:color="auto"/>
              <w:bottom w:val="nil"/>
              <w:right w:val="nil"/>
            </w:tcBorders>
            <w:vAlign w:val="center"/>
          </w:tcPr>
          <w:p w14:paraId="4FF0676D"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A4B9C54"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2323C" w14:textId="77777777" w:rsidR="0057163C" w:rsidRPr="00170422" w:rsidRDefault="00F37BF9">
            <w:pPr>
              <w:pStyle w:val="P68B1DB1-Normal121"/>
              <w:spacing w:after="0" w:line="240" w:lineRule="auto"/>
              <w:jc w:val="center"/>
              <w:rPr>
                <w:noProof/>
                <w:lang w:val="de-DE"/>
              </w:rPr>
            </w:pPr>
            <w:r w:rsidRPr="00170422">
              <w:rPr>
                <w:noProof/>
                <w:lang w:val="de-DE"/>
              </w:rPr>
              <w:t>M2C1-11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0E0CBB" w14:textId="77777777" w:rsidR="0057163C" w:rsidRPr="00170422" w:rsidRDefault="00F37BF9">
            <w:pPr>
              <w:pStyle w:val="P68B1DB1-Normal121"/>
              <w:spacing w:after="0" w:line="240" w:lineRule="auto"/>
              <w:rPr>
                <w:noProof/>
                <w:lang w:val="de-DE"/>
              </w:rPr>
            </w:pPr>
            <w:r w:rsidRPr="00170422">
              <w:rPr>
                <w:noProof/>
                <w:lang w:val="de-DE"/>
              </w:rPr>
              <w:t>Investition 3.3: Kultur und Sensibilisierung für Umweltthemen und -herausforderungen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B08B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5B64AB" w14:textId="77777777" w:rsidR="0057163C" w:rsidRPr="00170422" w:rsidRDefault="00F37BF9">
            <w:pPr>
              <w:pStyle w:val="P68B1DB1-Normal121"/>
              <w:spacing w:after="0" w:line="240" w:lineRule="auto"/>
              <w:rPr>
                <w:noProof/>
                <w:lang w:val="de-DE"/>
              </w:rPr>
            </w:pPr>
            <w:r w:rsidRPr="00170422">
              <w:rPr>
                <w:noProof/>
                <w:lang w:val="de-DE"/>
              </w:rPr>
              <w:t>Start der Internetplattform und Verträge mit Autoren</w:t>
            </w:r>
          </w:p>
        </w:tc>
        <w:tc>
          <w:tcPr>
            <w:tcW w:w="236" w:type="dxa"/>
            <w:tcBorders>
              <w:top w:val="nil"/>
              <w:left w:val="single" w:sz="4" w:space="0" w:color="auto"/>
              <w:bottom w:val="nil"/>
              <w:right w:val="nil"/>
            </w:tcBorders>
            <w:vAlign w:val="center"/>
          </w:tcPr>
          <w:p w14:paraId="5A31F9D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C8B91AE"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B924D2" w14:textId="77777777" w:rsidR="0057163C" w:rsidRPr="00170422" w:rsidRDefault="00F37BF9">
            <w:pPr>
              <w:pStyle w:val="P68B1DB1-Normal121"/>
              <w:spacing w:after="0" w:line="240" w:lineRule="auto"/>
              <w:jc w:val="center"/>
              <w:rPr>
                <w:noProof/>
                <w:lang w:val="de-DE"/>
              </w:rPr>
            </w:pPr>
            <w:r w:rsidRPr="00170422">
              <w:rPr>
                <w:noProof/>
                <w:lang w:val="de-DE"/>
              </w:rPr>
              <w:t>M2C2-18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C6721E" w14:textId="77777777" w:rsidR="0057163C" w:rsidRPr="00170422" w:rsidRDefault="00F37BF9">
            <w:pPr>
              <w:pStyle w:val="P68B1DB1-Normal121"/>
              <w:spacing w:after="0" w:line="240" w:lineRule="auto"/>
              <w:rPr>
                <w:noProof/>
                <w:lang w:val="de-DE"/>
              </w:rPr>
            </w:pPr>
            <w:r w:rsidRPr="00170422">
              <w:rPr>
                <w:noProof/>
                <w:lang w:val="de-DE"/>
              </w:rPr>
              <w:t>Investition 3.5 Wasserstoffforschung und -entwicklung</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14BCF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A2484B" w14:textId="77777777" w:rsidR="0057163C" w:rsidRPr="00170422" w:rsidRDefault="00F37BF9">
            <w:pPr>
              <w:pStyle w:val="P68B1DB1-Normal121"/>
              <w:spacing w:after="0" w:line="240" w:lineRule="auto"/>
              <w:rPr>
                <w:noProof/>
                <w:lang w:val="de-DE"/>
              </w:rPr>
            </w:pPr>
            <w:r w:rsidRPr="00170422">
              <w:rPr>
                <w:noProof/>
                <w:lang w:val="de-DE"/>
              </w:rPr>
              <w:t>Vergabe aller öffentlichen FuE-Aufträge für Wasserstoffforschungsprojekte</w:t>
            </w:r>
          </w:p>
        </w:tc>
        <w:tc>
          <w:tcPr>
            <w:tcW w:w="236" w:type="dxa"/>
            <w:tcBorders>
              <w:top w:val="nil"/>
              <w:left w:val="single" w:sz="4" w:space="0" w:color="auto"/>
              <w:bottom w:val="nil"/>
              <w:right w:val="nil"/>
            </w:tcBorders>
            <w:vAlign w:val="center"/>
          </w:tcPr>
          <w:p w14:paraId="00BC22B1"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7C4D9E2"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608E97" w14:textId="77777777" w:rsidR="0057163C" w:rsidRPr="00170422" w:rsidRDefault="00F37BF9">
            <w:pPr>
              <w:pStyle w:val="P68B1DB1-Normal121"/>
              <w:spacing w:after="0" w:line="240" w:lineRule="auto"/>
              <w:jc w:val="center"/>
              <w:rPr>
                <w:noProof/>
                <w:lang w:val="de-DE"/>
              </w:rPr>
            </w:pPr>
            <w:r w:rsidRPr="00170422">
              <w:rPr>
                <w:noProof/>
                <w:lang w:val="de-DE"/>
              </w:rPr>
              <w:t>M2C2-21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4AF5A6" w14:textId="77777777" w:rsidR="0057163C" w:rsidRPr="00170422" w:rsidRDefault="00F37BF9">
            <w:pPr>
              <w:pStyle w:val="P68B1DB1-Normal121"/>
              <w:spacing w:after="0" w:line="240" w:lineRule="auto"/>
              <w:rPr>
                <w:noProof/>
                <w:lang w:val="de-DE"/>
              </w:rPr>
            </w:pPr>
            <w:r w:rsidRPr="00170422">
              <w:rPr>
                <w:noProof/>
                <w:lang w:val="de-DE"/>
              </w:rPr>
              <w:t>Reform 4 Maßnahmen zur Förderung der Wettbewerbsfähigkeit von Wasserstoff</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BE9D0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9AC019" w14:textId="77777777" w:rsidR="0057163C" w:rsidRPr="00170422" w:rsidRDefault="00F37BF9">
            <w:pPr>
              <w:pStyle w:val="P68B1DB1-Normal121"/>
              <w:spacing w:after="0" w:line="240" w:lineRule="auto"/>
              <w:rPr>
                <w:noProof/>
                <w:lang w:val="de-DE"/>
              </w:rPr>
            </w:pPr>
            <w:r w:rsidRPr="00170422">
              <w:rPr>
                <w:noProof/>
                <w:lang w:val="de-DE"/>
              </w:rPr>
              <w:t>Inkrafttreten steuerlicher Anreize</w:t>
            </w:r>
          </w:p>
        </w:tc>
        <w:tc>
          <w:tcPr>
            <w:tcW w:w="236" w:type="dxa"/>
            <w:tcBorders>
              <w:top w:val="nil"/>
              <w:left w:val="single" w:sz="4" w:space="0" w:color="auto"/>
              <w:bottom w:val="nil"/>
              <w:right w:val="nil"/>
            </w:tcBorders>
            <w:vAlign w:val="center"/>
          </w:tcPr>
          <w:p w14:paraId="40C885E1"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7A256C9"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E7A871" w14:textId="77777777" w:rsidR="0057163C" w:rsidRPr="00170422" w:rsidRDefault="00F37BF9">
            <w:pPr>
              <w:pStyle w:val="P68B1DB1-Normal121"/>
              <w:spacing w:after="0" w:line="240" w:lineRule="auto"/>
              <w:jc w:val="center"/>
              <w:rPr>
                <w:noProof/>
                <w:lang w:val="de-DE"/>
              </w:rPr>
            </w:pPr>
            <w:r w:rsidRPr="00170422">
              <w:rPr>
                <w:noProof/>
                <w:lang w:val="de-DE"/>
              </w:rPr>
              <w:t>M2C2-38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35BBC3" w14:textId="77777777" w:rsidR="0057163C" w:rsidRPr="00170422" w:rsidRDefault="00F37BF9">
            <w:pPr>
              <w:pStyle w:val="P68B1DB1-Normal121"/>
              <w:spacing w:after="0" w:line="240" w:lineRule="auto"/>
              <w:rPr>
                <w:noProof/>
                <w:lang w:val="de-DE"/>
              </w:rPr>
            </w:pPr>
            <w:r w:rsidRPr="00170422">
              <w:rPr>
                <w:noProof/>
                <w:lang w:val="de-DE"/>
              </w:rPr>
              <w:t>Investition 5.1: Erneuerbare Energien und</w:t>
            </w:r>
            <w:r w:rsidRPr="00170422">
              <w:rPr>
                <w:noProof/>
                <w:lang w:val="de-DE"/>
              </w:rPr>
              <w:t xml:space="preserve"> Batterien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70F0F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93EBA" w14:textId="77777777" w:rsidR="0057163C" w:rsidRPr="00170422" w:rsidRDefault="00F37BF9">
            <w:pPr>
              <w:pStyle w:val="P68B1DB1-Normal121"/>
              <w:spacing w:after="0" w:line="240" w:lineRule="auto"/>
              <w:rPr>
                <w:noProof/>
                <w:lang w:val="de-DE"/>
              </w:rPr>
            </w:pPr>
            <w:r w:rsidRPr="00170422">
              <w:rPr>
                <w:noProof/>
                <w:lang w:val="de-DE"/>
              </w:rPr>
              <w:t>Inkrafttreten eines Ministerialdekrets</w:t>
            </w:r>
          </w:p>
        </w:tc>
        <w:tc>
          <w:tcPr>
            <w:tcW w:w="236" w:type="dxa"/>
            <w:tcBorders>
              <w:top w:val="nil"/>
              <w:left w:val="single" w:sz="4" w:space="0" w:color="auto"/>
              <w:bottom w:val="nil"/>
              <w:right w:val="nil"/>
            </w:tcBorders>
            <w:vAlign w:val="center"/>
          </w:tcPr>
          <w:p w14:paraId="4B4816DF"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45B2C68"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E81478" w14:textId="77777777" w:rsidR="0057163C" w:rsidRPr="00170422" w:rsidRDefault="00F37BF9">
            <w:pPr>
              <w:pStyle w:val="P68B1DB1-Normal121"/>
              <w:spacing w:after="0" w:line="240" w:lineRule="auto"/>
              <w:jc w:val="center"/>
              <w:rPr>
                <w:noProof/>
                <w:lang w:val="de-DE"/>
              </w:rPr>
            </w:pPr>
            <w:r w:rsidRPr="00170422">
              <w:rPr>
                <w:noProof/>
                <w:lang w:val="de-DE"/>
              </w:rPr>
              <w:t>M2C2-42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6602F4" w14:textId="77777777" w:rsidR="0057163C" w:rsidRPr="00170422" w:rsidRDefault="00F37BF9">
            <w:pPr>
              <w:pStyle w:val="P68B1DB1-Normal121"/>
              <w:spacing w:after="0" w:line="240" w:lineRule="auto"/>
              <w:rPr>
                <w:noProof/>
                <w:lang w:val="de-DE"/>
              </w:rPr>
            </w:pPr>
            <w:r w:rsidRPr="00170422">
              <w:rPr>
                <w:noProof/>
                <w:lang w:val="de-DE"/>
              </w:rPr>
              <w:t>Investition 5.4: Kapitalzuführung in den Fonds für den grünen Wandel („GTF“)</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8C2FC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260FA" w14:textId="77777777" w:rsidR="0057163C" w:rsidRPr="00170422" w:rsidRDefault="00F37BF9">
            <w:pPr>
              <w:pStyle w:val="P68B1DB1-Normal121"/>
              <w:spacing w:after="0" w:line="240" w:lineRule="auto"/>
              <w:rPr>
                <w:noProof/>
                <w:lang w:val="de-DE"/>
              </w:rPr>
            </w:pPr>
            <w:r w:rsidRPr="00170422">
              <w:rPr>
                <w:noProof/>
                <w:lang w:val="de-DE"/>
              </w:rPr>
              <w:t>Unterzeichnung der Finanzvereinbarung</w:t>
            </w:r>
          </w:p>
        </w:tc>
        <w:tc>
          <w:tcPr>
            <w:tcW w:w="236" w:type="dxa"/>
            <w:tcBorders>
              <w:top w:val="nil"/>
              <w:left w:val="single" w:sz="4" w:space="0" w:color="auto"/>
              <w:bottom w:val="nil"/>
              <w:right w:val="nil"/>
            </w:tcBorders>
            <w:vAlign w:val="center"/>
          </w:tcPr>
          <w:p w14:paraId="3C1F35A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31D941D"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C33D3E" w14:textId="77777777" w:rsidR="0057163C" w:rsidRPr="00170422" w:rsidRDefault="00F37BF9">
            <w:pPr>
              <w:pStyle w:val="P68B1DB1-Normal121"/>
              <w:spacing w:after="0" w:line="240" w:lineRule="auto"/>
              <w:jc w:val="center"/>
              <w:rPr>
                <w:noProof/>
                <w:lang w:val="de-DE"/>
              </w:rPr>
            </w:pPr>
            <w:r w:rsidRPr="00170422">
              <w:rPr>
                <w:noProof/>
                <w:lang w:val="de-DE"/>
              </w:rPr>
              <w:t>M2C3-4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11347C" w14:textId="77777777" w:rsidR="0057163C" w:rsidRPr="00170422" w:rsidRDefault="00F37BF9">
            <w:pPr>
              <w:pStyle w:val="P68B1DB1-Normal121"/>
              <w:spacing w:after="0" w:line="240" w:lineRule="auto"/>
              <w:rPr>
                <w:noProof/>
                <w:lang w:val="de-DE"/>
              </w:rPr>
            </w:pPr>
            <w:r w:rsidRPr="00170422">
              <w:rPr>
                <w:noProof/>
                <w:lang w:val="de-DE"/>
              </w:rPr>
              <w:t>Reform 1.1: Vereinfachung und Beschleunigung der</w:t>
            </w:r>
            <w:r w:rsidRPr="00170422">
              <w:rPr>
                <w:noProof/>
                <w:lang w:val="de-DE"/>
              </w:rPr>
              <w:t xml:space="preserve"> Verfahren für Energieeffizienzmaßnahmen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17656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9A031" w14:textId="77777777" w:rsidR="0057163C" w:rsidRPr="00170422" w:rsidRDefault="00F37BF9">
            <w:pPr>
              <w:pStyle w:val="P68B1DB1-Normal121"/>
              <w:spacing w:after="0" w:line="240" w:lineRule="auto"/>
              <w:rPr>
                <w:noProof/>
                <w:lang w:val="de-DE"/>
              </w:rPr>
            </w:pPr>
            <w:r w:rsidRPr="00170422">
              <w:rPr>
                <w:noProof/>
                <w:lang w:val="de-DE"/>
              </w:rPr>
              <w:t>Vereinfachung und Beschleunigung der Verfahren für Energieeffizienzmaßnahmen</w:t>
            </w:r>
          </w:p>
        </w:tc>
        <w:tc>
          <w:tcPr>
            <w:tcW w:w="236" w:type="dxa"/>
            <w:tcBorders>
              <w:top w:val="nil"/>
              <w:left w:val="single" w:sz="4" w:space="0" w:color="auto"/>
              <w:bottom w:val="nil"/>
              <w:right w:val="nil"/>
            </w:tcBorders>
            <w:vAlign w:val="center"/>
          </w:tcPr>
          <w:p w14:paraId="0CA3631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E0D8DAE"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C81B2A" w14:textId="77777777" w:rsidR="0057163C" w:rsidRPr="00170422" w:rsidRDefault="00F37BF9">
            <w:pPr>
              <w:pStyle w:val="P68B1DB1-Normal121"/>
              <w:spacing w:after="0" w:line="240" w:lineRule="auto"/>
              <w:jc w:val="center"/>
              <w:rPr>
                <w:noProof/>
                <w:lang w:val="de-DE"/>
              </w:rPr>
            </w:pPr>
            <w:r w:rsidRPr="00170422">
              <w:rPr>
                <w:noProof/>
                <w:lang w:val="de-DE"/>
              </w:rPr>
              <w:t>M2C4-1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C6F333" w14:textId="77777777" w:rsidR="0057163C" w:rsidRPr="00170422" w:rsidRDefault="00F37BF9">
            <w:pPr>
              <w:pStyle w:val="P68B1DB1-Normal121"/>
              <w:spacing w:after="0" w:line="240" w:lineRule="auto"/>
              <w:rPr>
                <w:noProof/>
                <w:lang w:val="de-DE"/>
              </w:rPr>
            </w:pPr>
            <w:r w:rsidRPr="00170422">
              <w:rPr>
                <w:noProof/>
                <w:lang w:val="de-DE"/>
              </w:rPr>
              <w:t xml:space="preserve">Reform 2.1. Vereinfachung und Beschleunigung der Verfahren für die Durchführung von Interventionen gegen </w:t>
            </w:r>
            <w:r w:rsidRPr="00170422">
              <w:rPr>
                <w:noProof/>
                <w:lang w:val="de-DE"/>
              </w:rPr>
              <w:t>hydrogeologische Instabilität</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6CB64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9AB2D0" w14:textId="77777777" w:rsidR="0057163C" w:rsidRPr="00170422" w:rsidRDefault="00F37BF9">
            <w:pPr>
              <w:pStyle w:val="P68B1DB1-Normal121"/>
              <w:spacing w:after="0" w:line="240" w:lineRule="auto"/>
              <w:rPr>
                <w:noProof/>
                <w:lang w:val="de-DE"/>
              </w:rPr>
            </w:pPr>
            <w:r w:rsidRPr="00170422">
              <w:rPr>
                <w:noProof/>
                <w:lang w:val="de-DE"/>
              </w:rPr>
              <w:t>Inkrafttreten der Vereinfachung des Rechtsrahmens für ein besseres Management hydrologischer Risiken</w:t>
            </w:r>
          </w:p>
        </w:tc>
        <w:tc>
          <w:tcPr>
            <w:tcW w:w="236" w:type="dxa"/>
            <w:tcBorders>
              <w:top w:val="nil"/>
              <w:left w:val="single" w:sz="4" w:space="0" w:color="auto"/>
              <w:bottom w:val="nil"/>
              <w:right w:val="nil"/>
            </w:tcBorders>
            <w:vAlign w:val="center"/>
          </w:tcPr>
          <w:p w14:paraId="40CAC5A8"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E60F803"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012946" w14:textId="77777777" w:rsidR="0057163C" w:rsidRPr="00170422" w:rsidRDefault="00F37BF9">
            <w:pPr>
              <w:pStyle w:val="P68B1DB1-Normal121"/>
              <w:spacing w:after="0" w:line="240" w:lineRule="auto"/>
              <w:jc w:val="center"/>
              <w:rPr>
                <w:noProof/>
                <w:lang w:val="de-DE"/>
              </w:rPr>
            </w:pPr>
            <w:r w:rsidRPr="00170422">
              <w:rPr>
                <w:noProof/>
                <w:lang w:val="de-DE"/>
              </w:rPr>
              <w:t>M2C4-4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992CD6" w14:textId="77777777" w:rsidR="0057163C" w:rsidRPr="00170422" w:rsidRDefault="00F37BF9">
            <w:pPr>
              <w:pStyle w:val="P68B1DB1-Normal121"/>
              <w:spacing w:after="0" w:line="240" w:lineRule="auto"/>
              <w:rPr>
                <w:noProof/>
                <w:lang w:val="de-DE"/>
              </w:rPr>
            </w:pPr>
            <w:r w:rsidRPr="00170422">
              <w:rPr>
                <w:noProof/>
                <w:lang w:val="de-DE"/>
              </w:rPr>
              <w:t>Reform 4.2 „Maßnahmen zur Gewährleistung vollständiger Verwaltungskapazitäten für integrierte Wasservers</w:t>
            </w:r>
            <w:r w:rsidRPr="00170422">
              <w:rPr>
                <w:noProof/>
                <w:lang w:val="de-DE"/>
              </w:rPr>
              <w:t>orgungsdienste“</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9CF6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759A94" w14:textId="13F9D348" w:rsidR="0057163C" w:rsidRPr="00170422" w:rsidRDefault="00F37BF9">
            <w:pPr>
              <w:pStyle w:val="P68B1DB1-Normal121"/>
              <w:spacing w:after="0" w:line="240" w:lineRule="auto"/>
              <w:rPr>
                <w:noProof/>
                <w:lang w:val="de-DE"/>
              </w:rPr>
            </w:pPr>
            <w:r w:rsidRPr="00170422">
              <w:rPr>
                <w:noProof/>
                <w:lang w:val="de-DE"/>
              </w:rPr>
              <w:t>Inkrafttreten des neuen Rechtsrahmens für Bewässerungszwecke</w:t>
            </w:r>
          </w:p>
        </w:tc>
        <w:tc>
          <w:tcPr>
            <w:tcW w:w="236" w:type="dxa"/>
            <w:tcBorders>
              <w:top w:val="nil"/>
              <w:left w:val="single" w:sz="4" w:space="0" w:color="auto"/>
              <w:bottom w:val="nil"/>
              <w:right w:val="nil"/>
            </w:tcBorders>
            <w:vAlign w:val="center"/>
          </w:tcPr>
          <w:p w14:paraId="2DB7C72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C58E2E0"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79628" w14:textId="77777777" w:rsidR="0057163C" w:rsidRPr="00170422" w:rsidRDefault="00F37BF9">
            <w:pPr>
              <w:pStyle w:val="P68B1DB1-Normal121"/>
              <w:spacing w:after="0" w:line="240" w:lineRule="auto"/>
              <w:jc w:val="center"/>
              <w:rPr>
                <w:noProof/>
                <w:lang w:val="de-DE"/>
              </w:rPr>
            </w:pPr>
            <w:r w:rsidRPr="00170422">
              <w:rPr>
                <w:noProof/>
                <w:lang w:val="de-DE"/>
              </w:rPr>
              <w:t>M4C1-3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E85B2A" w14:textId="77777777" w:rsidR="0057163C" w:rsidRPr="00170422" w:rsidRDefault="00F37BF9">
            <w:pPr>
              <w:pStyle w:val="P68B1DB1-Normal121"/>
              <w:spacing w:after="0" w:line="240" w:lineRule="auto"/>
              <w:rPr>
                <w:noProof/>
                <w:lang w:val="de-DE"/>
              </w:rPr>
            </w:pPr>
            <w:r w:rsidRPr="00170422">
              <w:rPr>
                <w:noProof/>
                <w:lang w:val="de-DE"/>
              </w:rPr>
              <w:t>Reform 2.1: Einstellung von Lehrkräften</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4FE43E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7FF977" w14:textId="77777777" w:rsidR="0057163C" w:rsidRPr="00170422" w:rsidRDefault="00F37BF9">
            <w:pPr>
              <w:pStyle w:val="P68B1DB1-Normal121"/>
              <w:spacing w:after="0" w:line="240" w:lineRule="auto"/>
              <w:rPr>
                <w:noProof/>
                <w:lang w:val="de-DE"/>
              </w:rPr>
            </w:pPr>
            <w:r w:rsidRPr="00170422">
              <w:rPr>
                <w:noProof/>
                <w:lang w:val="de-DE"/>
              </w:rPr>
              <w:t>Inkrafttreten der Reform des Lehrberufs.</w:t>
            </w:r>
          </w:p>
        </w:tc>
        <w:tc>
          <w:tcPr>
            <w:tcW w:w="236" w:type="dxa"/>
            <w:tcBorders>
              <w:top w:val="nil"/>
              <w:left w:val="single" w:sz="4" w:space="0" w:color="auto"/>
              <w:bottom w:val="nil"/>
              <w:right w:val="nil"/>
            </w:tcBorders>
            <w:vAlign w:val="center"/>
          </w:tcPr>
          <w:p w14:paraId="3D92306F"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C292558"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0468F7" w14:textId="77777777" w:rsidR="0057163C" w:rsidRPr="00170422" w:rsidRDefault="00F37BF9">
            <w:pPr>
              <w:pStyle w:val="P68B1DB1-Normal121"/>
              <w:spacing w:after="0" w:line="240" w:lineRule="auto"/>
              <w:jc w:val="center"/>
              <w:rPr>
                <w:noProof/>
                <w:lang w:val="de-DE"/>
              </w:rPr>
            </w:pPr>
            <w:r w:rsidRPr="00170422">
              <w:rPr>
                <w:noProof/>
                <w:lang w:val="de-DE"/>
              </w:rPr>
              <w:t>M4C1-4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BB168" w14:textId="77777777" w:rsidR="0057163C" w:rsidRPr="00170422" w:rsidRDefault="00F37BF9">
            <w:pPr>
              <w:pStyle w:val="P68B1DB1-Normal121"/>
              <w:spacing w:after="0" w:line="240" w:lineRule="auto"/>
              <w:rPr>
                <w:noProof/>
                <w:lang w:val="de-DE"/>
              </w:rPr>
            </w:pPr>
            <w:r w:rsidRPr="00170422">
              <w:rPr>
                <w:noProof/>
                <w:lang w:val="de-DE"/>
              </w:rPr>
              <w:t xml:space="preserve">Investition 3.2: Schule 4.0: innovative Schulen, </w:t>
            </w:r>
            <w:r w:rsidRPr="00170422">
              <w:rPr>
                <w:noProof/>
                <w:lang w:val="de-DE"/>
              </w:rPr>
              <w:t>Verkabelung, neue Klassenzimmer und Workshops</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11CF4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49B13B" w14:textId="77777777" w:rsidR="0057163C" w:rsidRPr="00170422" w:rsidRDefault="00F37BF9">
            <w:pPr>
              <w:pStyle w:val="P68B1DB1-Normal121"/>
              <w:spacing w:after="0" w:line="240" w:lineRule="auto"/>
              <w:rPr>
                <w:noProof/>
                <w:lang w:val="de-DE"/>
              </w:rPr>
            </w:pPr>
            <w:r w:rsidRPr="00170422">
              <w:rPr>
                <w:noProof/>
                <w:lang w:val="de-DE"/>
              </w:rPr>
              <w:t>Annahme des Schulplans 4.0 zur Förderung des digitalen Wandels des italienischen Schulsystems</w:t>
            </w:r>
          </w:p>
        </w:tc>
        <w:tc>
          <w:tcPr>
            <w:tcW w:w="236" w:type="dxa"/>
            <w:tcBorders>
              <w:top w:val="nil"/>
              <w:left w:val="single" w:sz="4" w:space="0" w:color="auto"/>
              <w:bottom w:val="nil"/>
              <w:right w:val="nil"/>
            </w:tcBorders>
            <w:vAlign w:val="center"/>
          </w:tcPr>
          <w:p w14:paraId="5621077D"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8CE38FF"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18A8020" w14:textId="77777777" w:rsidR="0057163C" w:rsidRPr="00170422" w:rsidRDefault="00F37BF9">
            <w:pPr>
              <w:pStyle w:val="P68B1DB1-Normal121"/>
              <w:spacing w:after="0" w:line="240" w:lineRule="auto"/>
              <w:jc w:val="center"/>
              <w:rPr>
                <w:noProof/>
                <w:lang w:val="de-DE"/>
              </w:rPr>
            </w:pPr>
            <w:r w:rsidRPr="00170422">
              <w:rPr>
                <w:noProof/>
                <w:lang w:val="de-DE"/>
              </w:rPr>
              <w:t>M4C2-4</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23FB1" w14:textId="77777777" w:rsidR="0057163C" w:rsidRPr="00170422" w:rsidRDefault="00F37BF9">
            <w:pPr>
              <w:pStyle w:val="P68B1DB1-Normal121"/>
              <w:spacing w:after="0" w:line="240" w:lineRule="auto"/>
              <w:rPr>
                <w:noProof/>
                <w:lang w:val="de-DE"/>
              </w:rPr>
            </w:pPr>
            <w:r w:rsidRPr="00170422">
              <w:rPr>
                <w:noProof/>
                <w:lang w:val="de-DE"/>
              </w:rPr>
              <w:t>Reform 1.1: Durchführung von FuE-Unterstützungsmaßnahmen zur Förderung von Vereinfachung und Mo</w:t>
            </w:r>
            <w:r w:rsidRPr="00170422">
              <w:rPr>
                <w:noProof/>
                <w:lang w:val="de-DE"/>
              </w:rPr>
              <w:t>bilität</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322AA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A980A" w14:textId="77777777" w:rsidR="0057163C" w:rsidRPr="00170422" w:rsidRDefault="00F37BF9">
            <w:pPr>
              <w:pStyle w:val="P68B1DB1-Normal121"/>
              <w:spacing w:after="0" w:line="240" w:lineRule="auto"/>
              <w:rPr>
                <w:noProof/>
                <w:lang w:val="de-DE"/>
              </w:rPr>
            </w:pPr>
            <w:r w:rsidRPr="00170422">
              <w:rPr>
                <w:noProof/>
                <w:lang w:val="de-DE"/>
              </w:rPr>
              <w:t>Inkrafttreten von Ministerialerlassen zur Vereinfachung von FuE und Mobilität im Zusammenhang mit dem ordentlichen Finanzierungsfonds.</w:t>
            </w:r>
          </w:p>
        </w:tc>
        <w:tc>
          <w:tcPr>
            <w:tcW w:w="236" w:type="dxa"/>
            <w:tcBorders>
              <w:top w:val="nil"/>
              <w:left w:val="single" w:sz="4" w:space="0" w:color="auto"/>
              <w:bottom w:val="nil"/>
              <w:right w:val="nil"/>
            </w:tcBorders>
            <w:vAlign w:val="center"/>
          </w:tcPr>
          <w:p w14:paraId="79C795E4"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6576812" w14:textId="77777777" w:rsidTr="00A400C5">
        <w:trPr>
          <w:trHeight w:val="300"/>
        </w:trPr>
        <w:tc>
          <w:tcPr>
            <w:tcW w:w="128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D8181"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0DF6DF"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4AE05"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4A399"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11494252874 EUR</w:t>
            </w:r>
            <w:r w:rsidRPr="00170422">
              <w:rPr>
                <w:noProof/>
                <w:sz w:val="23"/>
                <w:szCs w:val="23"/>
                <w:lang w:val="de-DE"/>
              </w:rPr>
              <w:t xml:space="preserve">  </w:t>
            </w:r>
            <w:r w:rsidRPr="00170422">
              <w:rPr>
                <w:noProof/>
                <w:color w:val="006100"/>
                <w:sz w:val="20"/>
                <w:szCs w:val="20"/>
                <w:lang w:val="de-DE"/>
              </w:rPr>
              <w:t xml:space="preserve"> </w:t>
            </w:r>
          </w:p>
        </w:tc>
        <w:tc>
          <w:tcPr>
            <w:tcW w:w="236" w:type="dxa"/>
            <w:tcBorders>
              <w:top w:val="nil"/>
              <w:left w:val="single" w:sz="4" w:space="0" w:color="auto"/>
              <w:bottom w:val="nil"/>
              <w:right w:val="nil"/>
            </w:tcBorders>
            <w:vAlign w:val="center"/>
          </w:tcPr>
          <w:p w14:paraId="1E14FDC0" w14:textId="77777777" w:rsidR="0057163C" w:rsidRPr="00170422" w:rsidRDefault="0057163C">
            <w:pPr>
              <w:spacing w:after="0" w:line="240" w:lineRule="auto"/>
              <w:rPr>
                <w:rFonts w:ascii="Times New Roman" w:eastAsia="Times New Roman" w:hAnsi="Times New Roman" w:cs="Times New Roman"/>
                <w:noProof/>
                <w:lang w:val="de-DE"/>
              </w:rPr>
            </w:pPr>
          </w:p>
        </w:tc>
      </w:tr>
    </w:tbl>
    <w:p w14:paraId="024052A9" w14:textId="77777777" w:rsidR="0057163C" w:rsidRPr="00170422" w:rsidRDefault="00F37BF9">
      <w:pPr>
        <w:pStyle w:val="P68B1DB1-Normal8"/>
        <w:spacing w:after="0" w:line="257" w:lineRule="auto"/>
        <w:rPr>
          <w:noProof/>
          <w:lang w:val="de-DE"/>
        </w:rPr>
      </w:pPr>
      <w:r w:rsidRPr="00170422">
        <w:rPr>
          <w:noProof/>
          <w:lang w:val="de-DE"/>
        </w:rPr>
        <w:t xml:space="preserve"> </w:t>
      </w:r>
    </w:p>
    <w:p w14:paraId="78AFC1E2" w14:textId="77777777" w:rsidR="0057163C" w:rsidRPr="00170422" w:rsidRDefault="00F37BF9">
      <w:pPr>
        <w:pStyle w:val="P68B1DB1-Normal8"/>
        <w:rPr>
          <w:noProof/>
          <w:lang w:val="de-DE"/>
        </w:rPr>
      </w:pPr>
      <w:r w:rsidRPr="00170422">
        <w:rPr>
          <w:noProof/>
          <w:lang w:val="de-DE"/>
        </w:rPr>
        <w:br w:type="page"/>
      </w:r>
    </w:p>
    <w:p w14:paraId="09ADE68E"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Dritte Tranche (nicht rückzahlbare Unterstützung):</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5"/>
        <w:gridCol w:w="2137"/>
        <w:gridCol w:w="2268"/>
        <w:gridCol w:w="3558"/>
      </w:tblGrid>
      <w:tr w:rsidR="0057163C" w:rsidRPr="00170422" w14:paraId="57DB9CC8" w14:textId="77777777" w:rsidTr="00A400C5">
        <w:trPr>
          <w:trHeight w:val="900"/>
          <w:tblHeader/>
        </w:trPr>
        <w:tc>
          <w:tcPr>
            <w:tcW w:w="1395" w:type="dxa"/>
            <w:vMerge w:val="restart"/>
            <w:shd w:val="clear" w:color="auto" w:fill="BDD7EE"/>
            <w:tcMar>
              <w:left w:w="108" w:type="dxa"/>
              <w:right w:w="108" w:type="dxa"/>
            </w:tcMar>
            <w:vAlign w:val="center"/>
          </w:tcPr>
          <w:p w14:paraId="6F728BE8"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137" w:type="dxa"/>
            <w:vMerge w:val="restart"/>
            <w:shd w:val="clear" w:color="auto" w:fill="BDD7EE"/>
            <w:tcMar>
              <w:left w:w="108" w:type="dxa"/>
              <w:right w:w="108" w:type="dxa"/>
            </w:tcMar>
            <w:vAlign w:val="center"/>
          </w:tcPr>
          <w:p w14:paraId="186E3793"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68" w:type="dxa"/>
            <w:vMerge w:val="restart"/>
            <w:shd w:val="clear" w:color="auto" w:fill="BDD7EE"/>
            <w:tcMar>
              <w:left w:w="108" w:type="dxa"/>
              <w:right w:w="108" w:type="dxa"/>
            </w:tcMar>
            <w:vAlign w:val="center"/>
          </w:tcPr>
          <w:p w14:paraId="5756B248"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8" w:type="dxa"/>
            <w:vMerge w:val="restart"/>
            <w:shd w:val="clear" w:color="auto" w:fill="BDD7EE"/>
            <w:tcMar>
              <w:left w:w="108" w:type="dxa"/>
              <w:right w:w="108" w:type="dxa"/>
            </w:tcMar>
            <w:vAlign w:val="center"/>
          </w:tcPr>
          <w:p w14:paraId="3402509E"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2CBD1B8E" w14:textId="77777777" w:rsidTr="00A400C5">
        <w:trPr>
          <w:trHeight w:val="510"/>
        </w:trPr>
        <w:tc>
          <w:tcPr>
            <w:tcW w:w="1395" w:type="dxa"/>
            <w:vMerge/>
            <w:vAlign w:val="center"/>
          </w:tcPr>
          <w:p w14:paraId="1F1A8744"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137" w:type="dxa"/>
            <w:vMerge/>
            <w:vAlign w:val="center"/>
          </w:tcPr>
          <w:p w14:paraId="57C3F0AD"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vAlign w:val="center"/>
          </w:tcPr>
          <w:p w14:paraId="12F506CD"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8" w:type="dxa"/>
            <w:vMerge/>
            <w:vAlign w:val="center"/>
          </w:tcPr>
          <w:p w14:paraId="5D1293CE"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EDFC83D" w14:textId="77777777" w:rsidTr="00A400C5">
        <w:trPr>
          <w:trHeight w:val="300"/>
        </w:trPr>
        <w:tc>
          <w:tcPr>
            <w:tcW w:w="1395" w:type="dxa"/>
            <w:shd w:val="clear" w:color="auto" w:fill="C6EFCE"/>
            <w:tcMar>
              <w:left w:w="108" w:type="dxa"/>
              <w:right w:w="108" w:type="dxa"/>
            </w:tcMar>
            <w:vAlign w:val="center"/>
          </w:tcPr>
          <w:p w14:paraId="6DD6E8A1" w14:textId="77777777" w:rsidR="0057163C" w:rsidRPr="00170422" w:rsidRDefault="00F37BF9">
            <w:pPr>
              <w:pStyle w:val="P68B1DB1-Normal121"/>
              <w:spacing w:after="0" w:line="240" w:lineRule="auto"/>
              <w:jc w:val="center"/>
              <w:rPr>
                <w:noProof/>
                <w:lang w:val="de-DE"/>
              </w:rPr>
            </w:pPr>
            <w:r w:rsidRPr="00170422">
              <w:rPr>
                <w:noProof/>
                <w:lang w:val="de-DE"/>
              </w:rPr>
              <w:t>M2C4-2</w:t>
            </w:r>
          </w:p>
        </w:tc>
        <w:tc>
          <w:tcPr>
            <w:tcW w:w="2137" w:type="dxa"/>
            <w:shd w:val="clear" w:color="auto" w:fill="C6EFCE"/>
            <w:tcMar>
              <w:left w:w="108" w:type="dxa"/>
              <w:right w:w="108" w:type="dxa"/>
            </w:tcMar>
            <w:vAlign w:val="center"/>
          </w:tcPr>
          <w:p w14:paraId="68A764B8" w14:textId="77777777" w:rsidR="0057163C" w:rsidRPr="00170422" w:rsidRDefault="00F37BF9">
            <w:pPr>
              <w:pStyle w:val="P68B1DB1-Normal121"/>
              <w:spacing w:after="0" w:line="240" w:lineRule="auto"/>
              <w:rPr>
                <w:noProof/>
                <w:lang w:val="de-DE"/>
              </w:rPr>
            </w:pPr>
            <w:r w:rsidRPr="00170422">
              <w:rPr>
                <w:noProof/>
                <w:lang w:val="de-DE"/>
              </w:rPr>
              <w:t>Reform 4.2 „Maßnahmen zur Gewährleistung vollständiger Verwaltungskapazitäten für integrierte Wasserversorgungsdienste“</w:t>
            </w:r>
          </w:p>
        </w:tc>
        <w:tc>
          <w:tcPr>
            <w:tcW w:w="2268" w:type="dxa"/>
            <w:shd w:val="clear" w:color="auto" w:fill="C6EFCE"/>
            <w:tcMar>
              <w:left w:w="108" w:type="dxa"/>
              <w:right w:w="108" w:type="dxa"/>
            </w:tcMar>
            <w:vAlign w:val="center"/>
          </w:tcPr>
          <w:p w14:paraId="78CFC6F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6114062" w14:textId="77777777" w:rsidR="0057163C" w:rsidRPr="00170422" w:rsidRDefault="00F37BF9">
            <w:pPr>
              <w:pStyle w:val="P68B1DB1-Normal121"/>
              <w:spacing w:after="0" w:line="240" w:lineRule="auto"/>
              <w:rPr>
                <w:noProof/>
                <w:lang w:val="de-DE"/>
              </w:rPr>
            </w:pPr>
            <w:r w:rsidRPr="00170422">
              <w:rPr>
                <w:noProof/>
                <w:lang w:val="de-DE"/>
              </w:rPr>
              <w:t xml:space="preserve">Inkrafttreten der Reform zur Gewährleistung umfassender Verwaltungskapazitäten für integrierte Wasserversorgungsdienste </w:t>
            </w:r>
          </w:p>
        </w:tc>
      </w:tr>
      <w:tr w:rsidR="0057163C" w:rsidRPr="00170422" w14:paraId="767AE098" w14:textId="77777777" w:rsidTr="00A400C5">
        <w:trPr>
          <w:trHeight w:val="300"/>
        </w:trPr>
        <w:tc>
          <w:tcPr>
            <w:tcW w:w="1395" w:type="dxa"/>
            <w:shd w:val="clear" w:color="auto" w:fill="C6EFCE"/>
            <w:tcMar>
              <w:left w:w="108" w:type="dxa"/>
              <w:right w:w="108" w:type="dxa"/>
            </w:tcMar>
            <w:vAlign w:val="center"/>
          </w:tcPr>
          <w:p w14:paraId="1A11C7CB" w14:textId="77777777" w:rsidR="0057163C" w:rsidRPr="00170422" w:rsidRDefault="00F37BF9">
            <w:pPr>
              <w:pStyle w:val="P68B1DB1-Normal121"/>
              <w:spacing w:after="0" w:line="240" w:lineRule="auto"/>
              <w:jc w:val="center"/>
              <w:rPr>
                <w:noProof/>
                <w:lang w:val="de-DE"/>
              </w:rPr>
            </w:pPr>
            <w:r w:rsidRPr="00170422">
              <w:rPr>
                <w:noProof/>
                <w:lang w:val="de-DE"/>
              </w:rPr>
              <w:t>M1C1-3</w:t>
            </w:r>
          </w:p>
        </w:tc>
        <w:tc>
          <w:tcPr>
            <w:tcW w:w="2137" w:type="dxa"/>
            <w:shd w:val="clear" w:color="auto" w:fill="C6EFCE"/>
            <w:tcMar>
              <w:left w:w="108" w:type="dxa"/>
              <w:right w:w="108" w:type="dxa"/>
            </w:tcMar>
            <w:vAlign w:val="center"/>
          </w:tcPr>
          <w:p w14:paraId="372A857F" w14:textId="77777777" w:rsidR="0057163C" w:rsidRPr="00170422" w:rsidRDefault="00F37BF9">
            <w:pPr>
              <w:pStyle w:val="P68B1DB1-Normal121"/>
              <w:spacing w:after="0" w:line="240" w:lineRule="auto"/>
              <w:rPr>
                <w:noProof/>
                <w:lang w:val="de-DE"/>
              </w:rPr>
            </w:pPr>
            <w:r w:rsidRPr="00170422">
              <w:rPr>
                <w:noProof/>
                <w:lang w:val="de-DE"/>
              </w:rPr>
              <w:t>Investition 1.1: Digitale Infrastruktur</w:t>
            </w:r>
          </w:p>
        </w:tc>
        <w:tc>
          <w:tcPr>
            <w:tcW w:w="2268" w:type="dxa"/>
            <w:shd w:val="clear" w:color="auto" w:fill="C6EFCE"/>
            <w:tcMar>
              <w:left w:w="108" w:type="dxa"/>
              <w:right w:w="108" w:type="dxa"/>
            </w:tcMar>
            <w:vAlign w:val="center"/>
          </w:tcPr>
          <w:p w14:paraId="75502F4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03398D5" w14:textId="77777777" w:rsidR="0057163C" w:rsidRPr="00170422" w:rsidRDefault="00F37BF9">
            <w:pPr>
              <w:pStyle w:val="P68B1DB1-Normal121"/>
              <w:spacing w:after="0" w:line="240" w:lineRule="auto"/>
              <w:rPr>
                <w:noProof/>
                <w:lang w:val="de-DE"/>
              </w:rPr>
            </w:pPr>
            <w:r w:rsidRPr="00170422">
              <w:rPr>
                <w:noProof/>
                <w:lang w:val="de-DE"/>
              </w:rPr>
              <w:t>Abschluss des Polo Strategico Nazionale (PSN)</w:t>
            </w:r>
          </w:p>
        </w:tc>
      </w:tr>
      <w:tr w:rsidR="0057163C" w:rsidRPr="00170422" w14:paraId="2AA5AB97" w14:textId="77777777" w:rsidTr="00A400C5">
        <w:trPr>
          <w:trHeight w:val="300"/>
        </w:trPr>
        <w:tc>
          <w:tcPr>
            <w:tcW w:w="1395" w:type="dxa"/>
            <w:shd w:val="clear" w:color="auto" w:fill="C6EFCE"/>
            <w:tcMar>
              <w:left w:w="108" w:type="dxa"/>
              <w:right w:w="108" w:type="dxa"/>
            </w:tcMar>
            <w:vAlign w:val="center"/>
          </w:tcPr>
          <w:p w14:paraId="6307106B" w14:textId="77777777" w:rsidR="0057163C" w:rsidRPr="00170422" w:rsidRDefault="00F37BF9">
            <w:pPr>
              <w:pStyle w:val="P68B1DB1-Normal121"/>
              <w:spacing w:after="0" w:line="240" w:lineRule="auto"/>
              <w:jc w:val="center"/>
              <w:rPr>
                <w:noProof/>
                <w:lang w:val="de-DE"/>
              </w:rPr>
            </w:pPr>
            <w:r w:rsidRPr="00170422">
              <w:rPr>
                <w:noProof/>
                <w:lang w:val="de-DE"/>
              </w:rPr>
              <w:t>M1C1-4</w:t>
            </w:r>
          </w:p>
        </w:tc>
        <w:tc>
          <w:tcPr>
            <w:tcW w:w="2137" w:type="dxa"/>
            <w:shd w:val="clear" w:color="auto" w:fill="C6EFCE"/>
            <w:tcMar>
              <w:left w:w="108" w:type="dxa"/>
              <w:right w:w="108" w:type="dxa"/>
            </w:tcMar>
            <w:vAlign w:val="center"/>
          </w:tcPr>
          <w:p w14:paraId="210DB39D" w14:textId="77777777" w:rsidR="0057163C" w:rsidRPr="00170422" w:rsidRDefault="00F37BF9">
            <w:pPr>
              <w:pStyle w:val="P68B1DB1-Normal121"/>
              <w:spacing w:after="0" w:line="240" w:lineRule="auto"/>
              <w:rPr>
                <w:noProof/>
                <w:lang w:val="de-DE"/>
              </w:rPr>
            </w:pPr>
            <w:r w:rsidRPr="00170422">
              <w:rPr>
                <w:noProof/>
                <w:lang w:val="de-DE"/>
              </w:rPr>
              <w:t xml:space="preserve">Investition 1.3.1: </w:t>
            </w:r>
            <w:r w:rsidRPr="00170422">
              <w:rPr>
                <w:noProof/>
                <w:lang w:val="de-DE"/>
              </w:rPr>
              <w:t>Nationale digitale Datenplattform</w:t>
            </w:r>
          </w:p>
        </w:tc>
        <w:tc>
          <w:tcPr>
            <w:tcW w:w="2268" w:type="dxa"/>
            <w:shd w:val="clear" w:color="auto" w:fill="C6EFCE"/>
            <w:tcMar>
              <w:left w:w="108" w:type="dxa"/>
              <w:right w:w="108" w:type="dxa"/>
            </w:tcMar>
            <w:vAlign w:val="center"/>
          </w:tcPr>
          <w:p w14:paraId="25B0403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59D3275" w14:textId="77777777" w:rsidR="0057163C" w:rsidRPr="00170422" w:rsidRDefault="00F37BF9">
            <w:pPr>
              <w:pStyle w:val="P68B1DB1-Normal121"/>
              <w:spacing w:after="0" w:line="240" w:lineRule="auto"/>
              <w:rPr>
                <w:noProof/>
                <w:lang w:val="de-DE"/>
              </w:rPr>
            </w:pPr>
            <w:r w:rsidRPr="00170422">
              <w:rPr>
                <w:noProof/>
                <w:lang w:val="de-DE"/>
              </w:rPr>
              <w:t>Nationale digitale Datenplattform operativ</w:t>
            </w:r>
          </w:p>
        </w:tc>
      </w:tr>
      <w:tr w:rsidR="0057163C" w:rsidRPr="00170422" w14:paraId="16127E76" w14:textId="77777777" w:rsidTr="00A400C5">
        <w:trPr>
          <w:trHeight w:val="300"/>
        </w:trPr>
        <w:tc>
          <w:tcPr>
            <w:tcW w:w="1395" w:type="dxa"/>
            <w:shd w:val="clear" w:color="auto" w:fill="C6EFCE"/>
            <w:tcMar>
              <w:left w:w="108" w:type="dxa"/>
              <w:right w:w="108" w:type="dxa"/>
            </w:tcMar>
            <w:vAlign w:val="center"/>
          </w:tcPr>
          <w:p w14:paraId="30B487B7" w14:textId="77777777" w:rsidR="0057163C" w:rsidRPr="00170422" w:rsidRDefault="00F37BF9">
            <w:pPr>
              <w:pStyle w:val="P68B1DB1-Normal121"/>
              <w:spacing w:after="0" w:line="240" w:lineRule="auto"/>
              <w:jc w:val="center"/>
              <w:rPr>
                <w:noProof/>
                <w:lang w:val="de-DE"/>
              </w:rPr>
            </w:pPr>
            <w:r w:rsidRPr="00170422">
              <w:rPr>
                <w:noProof/>
                <w:lang w:val="de-DE"/>
              </w:rPr>
              <w:t>M1C1-5</w:t>
            </w:r>
          </w:p>
        </w:tc>
        <w:tc>
          <w:tcPr>
            <w:tcW w:w="2137" w:type="dxa"/>
            <w:shd w:val="clear" w:color="auto" w:fill="C6EFCE"/>
            <w:tcMar>
              <w:left w:w="108" w:type="dxa"/>
              <w:right w:w="108" w:type="dxa"/>
            </w:tcMar>
            <w:vAlign w:val="center"/>
          </w:tcPr>
          <w:p w14:paraId="18C73260"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shd w:val="clear" w:color="auto" w:fill="C6EFCE"/>
            <w:tcMar>
              <w:left w:w="108" w:type="dxa"/>
              <w:right w:w="108" w:type="dxa"/>
            </w:tcMar>
            <w:vAlign w:val="center"/>
          </w:tcPr>
          <w:p w14:paraId="2CE45DE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FF21B6A" w14:textId="77777777" w:rsidR="0057163C" w:rsidRPr="00170422" w:rsidRDefault="00F37BF9">
            <w:pPr>
              <w:pStyle w:val="P68B1DB1-Normal121"/>
              <w:spacing w:after="0" w:line="240" w:lineRule="auto"/>
              <w:rPr>
                <w:noProof/>
                <w:lang w:val="de-DE"/>
              </w:rPr>
            </w:pPr>
            <w:r w:rsidRPr="00170422">
              <w:rPr>
                <w:noProof/>
                <w:lang w:val="de-DE"/>
              </w:rPr>
              <w:t>Einrichtung der neuen nationalen Agentur für Cybersicherheit</w:t>
            </w:r>
          </w:p>
        </w:tc>
      </w:tr>
      <w:tr w:rsidR="0057163C" w:rsidRPr="00170422" w14:paraId="15A55E7F" w14:textId="77777777" w:rsidTr="00A400C5">
        <w:trPr>
          <w:trHeight w:val="300"/>
        </w:trPr>
        <w:tc>
          <w:tcPr>
            <w:tcW w:w="1395" w:type="dxa"/>
            <w:shd w:val="clear" w:color="auto" w:fill="C6EFCE"/>
            <w:tcMar>
              <w:left w:w="108" w:type="dxa"/>
              <w:right w:w="108" w:type="dxa"/>
            </w:tcMar>
            <w:vAlign w:val="center"/>
          </w:tcPr>
          <w:p w14:paraId="5E8A3D3F" w14:textId="77777777" w:rsidR="0057163C" w:rsidRPr="00170422" w:rsidRDefault="00F37BF9">
            <w:pPr>
              <w:pStyle w:val="P68B1DB1-Normal121"/>
              <w:spacing w:after="0" w:line="240" w:lineRule="auto"/>
              <w:jc w:val="center"/>
              <w:rPr>
                <w:noProof/>
                <w:lang w:val="de-DE"/>
              </w:rPr>
            </w:pPr>
            <w:r w:rsidRPr="00170422">
              <w:rPr>
                <w:noProof/>
                <w:lang w:val="de-DE"/>
              </w:rPr>
              <w:t>M1C1-6</w:t>
            </w:r>
          </w:p>
        </w:tc>
        <w:tc>
          <w:tcPr>
            <w:tcW w:w="2137" w:type="dxa"/>
            <w:shd w:val="clear" w:color="auto" w:fill="C6EFCE"/>
            <w:tcMar>
              <w:left w:w="108" w:type="dxa"/>
              <w:right w:w="108" w:type="dxa"/>
            </w:tcMar>
            <w:vAlign w:val="center"/>
          </w:tcPr>
          <w:p w14:paraId="785C858E"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shd w:val="clear" w:color="auto" w:fill="C6EFCE"/>
            <w:tcMar>
              <w:left w:w="108" w:type="dxa"/>
              <w:right w:w="108" w:type="dxa"/>
            </w:tcMar>
            <w:vAlign w:val="center"/>
          </w:tcPr>
          <w:p w14:paraId="107C997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7182DE5" w14:textId="77777777" w:rsidR="0057163C" w:rsidRPr="00170422" w:rsidRDefault="00F37BF9">
            <w:pPr>
              <w:pStyle w:val="P68B1DB1-Normal121"/>
              <w:spacing w:after="0" w:line="240" w:lineRule="auto"/>
              <w:rPr>
                <w:noProof/>
                <w:lang w:val="de-DE"/>
              </w:rPr>
            </w:pPr>
            <w:r w:rsidRPr="00170422">
              <w:rPr>
                <w:noProof/>
                <w:lang w:val="de-DE"/>
              </w:rPr>
              <w:t>Erste Einführung der nationalen Cybersicherheitsdienste</w:t>
            </w:r>
          </w:p>
        </w:tc>
      </w:tr>
      <w:tr w:rsidR="0057163C" w:rsidRPr="00170422" w14:paraId="09DC204A" w14:textId="77777777" w:rsidTr="00A400C5">
        <w:trPr>
          <w:trHeight w:val="300"/>
        </w:trPr>
        <w:tc>
          <w:tcPr>
            <w:tcW w:w="1395" w:type="dxa"/>
            <w:shd w:val="clear" w:color="auto" w:fill="C6EFCE"/>
            <w:tcMar>
              <w:left w:w="108" w:type="dxa"/>
              <w:right w:w="108" w:type="dxa"/>
            </w:tcMar>
            <w:vAlign w:val="center"/>
          </w:tcPr>
          <w:p w14:paraId="0426D960" w14:textId="77777777" w:rsidR="0057163C" w:rsidRPr="00170422" w:rsidRDefault="00F37BF9">
            <w:pPr>
              <w:pStyle w:val="P68B1DB1-Normal121"/>
              <w:spacing w:after="0" w:line="240" w:lineRule="auto"/>
              <w:jc w:val="center"/>
              <w:rPr>
                <w:noProof/>
                <w:lang w:val="de-DE"/>
              </w:rPr>
            </w:pPr>
            <w:r w:rsidRPr="00170422">
              <w:rPr>
                <w:noProof/>
                <w:lang w:val="de-DE"/>
              </w:rPr>
              <w:t>M1C1-7</w:t>
            </w:r>
          </w:p>
        </w:tc>
        <w:tc>
          <w:tcPr>
            <w:tcW w:w="2137" w:type="dxa"/>
            <w:shd w:val="clear" w:color="auto" w:fill="C6EFCE"/>
            <w:tcMar>
              <w:left w:w="108" w:type="dxa"/>
              <w:right w:w="108" w:type="dxa"/>
            </w:tcMar>
            <w:vAlign w:val="center"/>
          </w:tcPr>
          <w:p w14:paraId="616DE3EE"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shd w:val="clear" w:color="auto" w:fill="C6EFCE"/>
            <w:tcMar>
              <w:left w:w="108" w:type="dxa"/>
              <w:right w:w="108" w:type="dxa"/>
            </w:tcMar>
            <w:vAlign w:val="center"/>
          </w:tcPr>
          <w:p w14:paraId="4FCE1A2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0CED55D" w14:textId="77777777" w:rsidR="0057163C" w:rsidRPr="00170422" w:rsidRDefault="00F37BF9">
            <w:pPr>
              <w:pStyle w:val="P68B1DB1-Normal121"/>
              <w:spacing w:after="0" w:line="240" w:lineRule="auto"/>
              <w:rPr>
                <w:noProof/>
                <w:lang w:val="de-DE"/>
              </w:rPr>
            </w:pPr>
            <w:r w:rsidRPr="00170422">
              <w:rPr>
                <w:noProof/>
                <w:lang w:val="de-DE"/>
              </w:rPr>
              <w:t>Einrichtung des Netzes von Laboratorien für Cybersicherheitsüberprüfung und -zertifizierung</w:t>
            </w:r>
          </w:p>
        </w:tc>
      </w:tr>
      <w:tr w:rsidR="0057163C" w:rsidRPr="00170422" w14:paraId="3F1CDA0B" w14:textId="77777777" w:rsidTr="00A400C5">
        <w:trPr>
          <w:trHeight w:val="300"/>
        </w:trPr>
        <w:tc>
          <w:tcPr>
            <w:tcW w:w="1395" w:type="dxa"/>
            <w:shd w:val="clear" w:color="auto" w:fill="C6EFCE"/>
            <w:tcMar>
              <w:left w:w="108" w:type="dxa"/>
              <w:right w:w="108" w:type="dxa"/>
            </w:tcMar>
            <w:vAlign w:val="center"/>
          </w:tcPr>
          <w:p w14:paraId="5CCF5FA4" w14:textId="77777777" w:rsidR="0057163C" w:rsidRPr="00170422" w:rsidRDefault="00F37BF9">
            <w:pPr>
              <w:pStyle w:val="P68B1DB1-Normal121"/>
              <w:spacing w:after="0" w:line="240" w:lineRule="auto"/>
              <w:jc w:val="center"/>
              <w:rPr>
                <w:noProof/>
                <w:lang w:val="de-DE"/>
              </w:rPr>
            </w:pPr>
            <w:r w:rsidRPr="00170422">
              <w:rPr>
                <w:noProof/>
                <w:lang w:val="de-DE"/>
              </w:rPr>
              <w:t>M1C1-8</w:t>
            </w:r>
          </w:p>
        </w:tc>
        <w:tc>
          <w:tcPr>
            <w:tcW w:w="2137" w:type="dxa"/>
            <w:shd w:val="clear" w:color="auto" w:fill="C6EFCE"/>
            <w:tcMar>
              <w:left w:w="108" w:type="dxa"/>
              <w:right w:w="108" w:type="dxa"/>
            </w:tcMar>
            <w:vAlign w:val="center"/>
          </w:tcPr>
          <w:p w14:paraId="1A950F97"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shd w:val="clear" w:color="auto" w:fill="C6EFCE"/>
            <w:tcMar>
              <w:left w:w="108" w:type="dxa"/>
              <w:right w:w="108" w:type="dxa"/>
            </w:tcMar>
            <w:vAlign w:val="center"/>
          </w:tcPr>
          <w:p w14:paraId="6383D4B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3856267" w14:textId="77777777" w:rsidR="0057163C" w:rsidRPr="00170422" w:rsidRDefault="00F37BF9">
            <w:pPr>
              <w:pStyle w:val="P68B1DB1-Normal121"/>
              <w:spacing w:after="0" w:line="240" w:lineRule="auto"/>
              <w:rPr>
                <w:noProof/>
                <w:lang w:val="de-DE"/>
              </w:rPr>
            </w:pPr>
            <w:r w:rsidRPr="00170422">
              <w:rPr>
                <w:noProof/>
                <w:lang w:val="de-DE"/>
              </w:rPr>
              <w:t>Aktivierung einer zentralen Auditstelle für PSNC und NIS-Sicherheitsmaßnahmen</w:t>
            </w:r>
          </w:p>
        </w:tc>
      </w:tr>
      <w:tr w:rsidR="0057163C" w:rsidRPr="00170422" w14:paraId="71B8AB9C" w14:textId="77777777" w:rsidTr="00A400C5">
        <w:trPr>
          <w:trHeight w:val="300"/>
        </w:trPr>
        <w:tc>
          <w:tcPr>
            <w:tcW w:w="1395" w:type="dxa"/>
            <w:shd w:val="clear" w:color="auto" w:fill="C6EFCE"/>
            <w:tcMar>
              <w:left w:w="108" w:type="dxa"/>
              <w:right w:w="108" w:type="dxa"/>
            </w:tcMar>
            <w:vAlign w:val="center"/>
          </w:tcPr>
          <w:p w14:paraId="50E59C8E" w14:textId="77777777" w:rsidR="0057163C" w:rsidRPr="00170422" w:rsidRDefault="00F37BF9">
            <w:pPr>
              <w:pStyle w:val="P68B1DB1-Normal121"/>
              <w:spacing w:after="0" w:line="240" w:lineRule="auto"/>
              <w:jc w:val="center"/>
              <w:rPr>
                <w:noProof/>
                <w:lang w:val="de-DE"/>
              </w:rPr>
            </w:pPr>
            <w:r w:rsidRPr="00170422">
              <w:rPr>
                <w:noProof/>
                <w:lang w:val="de-DE"/>
              </w:rPr>
              <w:t>M1C1-9</w:t>
            </w:r>
          </w:p>
        </w:tc>
        <w:tc>
          <w:tcPr>
            <w:tcW w:w="2137" w:type="dxa"/>
            <w:shd w:val="clear" w:color="auto" w:fill="C6EFCE"/>
            <w:tcMar>
              <w:left w:w="108" w:type="dxa"/>
              <w:right w:w="108" w:type="dxa"/>
            </w:tcMar>
            <w:vAlign w:val="center"/>
          </w:tcPr>
          <w:p w14:paraId="13B3D525"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shd w:val="clear" w:color="auto" w:fill="C6EFCE"/>
            <w:tcMar>
              <w:left w:w="108" w:type="dxa"/>
              <w:right w:w="108" w:type="dxa"/>
            </w:tcMar>
            <w:vAlign w:val="center"/>
          </w:tcPr>
          <w:p w14:paraId="7504B2F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5051EB32" w14:textId="77777777" w:rsidR="0057163C" w:rsidRPr="00170422" w:rsidRDefault="00F37BF9">
            <w:pPr>
              <w:pStyle w:val="P68B1DB1-Normal121"/>
              <w:spacing w:after="0" w:line="240" w:lineRule="auto"/>
              <w:rPr>
                <w:noProof/>
                <w:lang w:val="de-DE"/>
              </w:rPr>
            </w:pPr>
            <w:r w:rsidRPr="00170422">
              <w:rPr>
                <w:noProof/>
                <w:lang w:val="de-DE"/>
              </w:rPr>
              <w:t>Unterstützung der Modernisierung der Sicherheitsstrukturen T1</w:t>
            </w:r>
          </w:p>
        </w:tc>
      </w:tr>
      <w:tr w:rsidR="0057163C" w:rsidRPr="00170422" w14:paraId="7951038E" w14:textId="77777777" w:rsidTr="00A400C5">
        <w:trPr>
          <w:trHeight w:val="300"/>
        </w:trPr>
        <w:tc>
          <w:tcPr>
            <w:tcW w:w="1395" w:type="dxa"/>
            <w:shd w:val="clear" w:color="auto" w:fill="C6EFCE"/>
            <w:tcMar>
              <w:left w:w="108" w:type="dxa"/>
              <w:right w:w="108" w:type="dxa"/>
            </w:tcMar>
            <w:vAlign w:val="center"/>
          </w:tcPr>
          <w:p w14:paraId="549C86B1" w14:textId="77777777" w:rsidR="0057163C" w:rsidRPr="00170422" w:rsidRDefault="00F37BF9">
            <w:pPr>
              <w:pStyle w:val="P68B1DB1-Normal121"/>
              <w:spacing w:after="0" w:line="240" w:lineRule="auto"/>
              <w:jc w:val="center"/>
              <w:rPr>
                <w:noProof/>
                <w:lang w:val="de-DE"/>
              </w:rPr>
            </w:pPr>
            <w:r w:rsidRPr="00170422">
              <w:rPr>
                <w:noProof/>
                <w:lang w:val="de-DE"/>
              </w:rPr>
              <w:t>M1C1-10</w:t>
            </w:r>
          </w:p>
        </w:tc>
        <w:tc>
          <w:tcPr>
            <w:tcW w:w="2137" w:type="dxa"/>
            <w:shd w:val="clear" w:color="auto" w:fill="C6EFCE"/>
            <w:tcMar>
              <w:left w:w="108" w:type="dxa"/>
              <w:right w:w="108" w:type="dxa"/>
            </w:tcMar>
            <w:vAlign w:val="center"/>
          </w:tcPr>
          <w:p w14:paraId="13E81A6E" w14:textId="77777777" w:rsidR="0057163C" w:rsidRPr="00170422" w:rsidRDefault="00F37BF9">
            <w:pPr>
              <w:pStyle w:val="P68B1DB1-Normal121"/>
              <w:spacing w:after="0" w:line="240" w:lineRule="auto"/>
              <w:rPr>
                <w:noProof/>
                <w:lang w:val="de-DE"/>
              </w:rPr>
            </w:pPr>
            <w:r w:rsidRPr="00170422">
              <w:rPr>
                <w:noProof/>
                <w:lang w:val="de-DE"/>
              </w:rPr>
              <w:t>Reform 1.2: Unterstützung des Wandels</w:t>
            </w:r>
          </w:p>
        </w:tc>
        <w:tc>
          <w:tcPr>
            <w:tcW w:w="2268" w:type="dxa"/>
            <w:shd w:val="clear" w:color="auto" w:fill="C6EFCE"/>
            <w:tcMar>
              <w:left w:w="108" w:type="dxa"/>
              <w:right w:w="108" w:type="dxa"/>
            </w:tcMar>
            <w:vAlign w:val="center"/>
          </w:tcPr>
          <w:p w14:paraId="4A4AB78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F701136" w14:textId="77777777" w:rsidR="0057163C" w:rsidRPr="00170422" w:rsidRDefault="00F37BF9">
            <w:pPr>
              <w:pStyle w:val="P68B1DB1-Normal121"/>
              <w:spacing w:after="0" w:line="240" w:lineRule="auto"/>
              <w:rPr>
                <w:noProof/>
                <w:lang w:val="de-DE"/>
              </w:rPr>
            </w:pPr>
            <w:r w:rsidRPr="00170422">
              <w:rPr>
                <w:noProof/>
                <w:lang w:val="de-DE"/>
              </w:rPr>
              <w:t>Inkrafttreten der Einrichtung von Transformationsteam und NewCo</w:t>
            </w:r>
          </w:p>
        </w:tc>
      </w:tr>
      <w:tr w:rsidR="0057163C" w:rsidRPr="00170422" w14:paraId="243D901D" w14:textId="77777777" w:rsidTr="00A400C5">
        <w:trPr>
          <w:trHeight w:val="300"/>
        </w:trPr>
        <w:tc>
          <w:tcPr>
            <w:tcW w:w="1395" w:type="dxa"/>
            <w:shd w:val="clear" w:color="auto" w:fill="C6EFCE"/>
            <w:tcMar>
              <w:left w:w="108" w:type="dxa"/>
              <w:right w:w="108" w:type="dxa"/>
            </w:tcMar>
            <w:vAlign w:val="center"/>
          </w:tcPr>
          <w:p w14:paraId="34024E9B" w14:textId="77777777" w:rsidR="0057163C" w:rsidRPr="00170422" w:rsidRDefault="00F37BF9">
            <w:pPr>
              <w:pStyle w:val="P68B1DB1-Normal121"/>
              <w:spacing w:after="0" w:line="240" w:lineRule="auto"/>
              <w:jc w:val="center"/>
              <w:rPr>
                <w:noProof/>
                <w:lang w:val="de-DE"/>
              </w:rPr>
            </w:pPr>
            <w:r w:rsidRPr="00170422">
              <w:rPr>
                <w:noProof/>
                <w:lang w:val="de-DE"/>
              </w:rPr>
              <w:t>M1C1-34</w:t>
            </w:r>
          </w:p>
        </w:tc>
        <w:tc>
          <w:tcPr>
            <w:tcW w:w="2137" w:type="dxa"/>
            <w:shd w:val="clear" w:color="auto" w:fill="C6EFCE"/>
            <w:tcMar>
              <w:left w:w="108" w:type="dxa"/>
              <w:right w:w="108" w:type="dxa"/>
            </w:tcMar>
            <w:vAlign w:val="center"/>
          </w:tcPr>
          <w:p w14:paraId="578E5910"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das Amt für Zivil- und Strafgerichte</w:t>
            </w:r>
          </w:p>
        </w:tc>
        <w:tc>
          <w:tcPr>
            <w:tcW w:w="2268" w:type="dxa"/>
            <w:shd w:val="clear" w:color="auto" w:fill="C6EFCE"/>
            <w:tcMar>
              <w:left w:w="108" w:type="dxa"/>
              <w:right w:w="108" w:type="dxa"/>
            </w:tcMar>
            <w:vAlign w:val="center"/>
          </w:tcPr>
          <w:p w14:paraId="0AFBA2F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72A7A3A3" w14:textId="77777777" w:rsidR="0057163C" w:rsidRPr="00170422" w:rsidRDefault="00F37BF9">
            <w:pPr>
              <w:pStyle w:val="P68B1DB1-Normal121"/>
              <w:spacing w:after="0" w:line="240" w:lineRule="auto"/>
              <w:rPr>
                <w:noProof/>
                <w:lang w:val="de-DE"/>
              </w:rPr>
            </w:pPr>
            <w:r w:rsidRPr="00170422">
              <w:rPr>
                <w:noProof/>
                <w:lang w:val="de-DE"/>
              </w:rPr>
              <w:t>Beginn der Einstellungsverfahren für Zivil- und Strafgerichte</w:t>
            </w:r>
          </w:p>
        </w:tc>
      </w:tr>
      <w:tr w:rsidR="0057163C" w:rsidRPr="00170422" w14:paraId="76A4EC6A" w14:textId="77777777" w:rsidTr="00A400C5">
        <w:trPr>
          <w:trHeight w:val="300"/>
        </w:trPr>
        <w:tc>
          <w:tcPr>
            <w:tcW w:w="1395" w:type="dxa"/>
            <w:shd w:val="clear" w:color="auto" w:fill="C6EFCE"/>
            <w:tcMar>
              <w:left w:w="108" w:type="dxa"/>
              <w:right w:w="108" w:type="dxa"/>
            </w:tcMar>
            <w:vAlign w:val="center"/>
          </w:tcPr>
          <w:p w14:paraId="68CE7197" w14:textId="77777777" w:rsidR="0057163C" w:rsidRPr="00170422" w:rsidRDefault="00F37BF9">
            <w:pPr>
              <w:pStyle w:val="P68B1DB1-Normal121"/>
              <w:spacing w:after="0" w:line="240" w:lineRule="auto"/>
              <w:jc w:val="center"/>
              <w:rPr>
                <w:noProof/>
                <w:lang w:val="de-DE"/>
              </w:rPr>
            </w:pPr>
            <w:r w:rsidRPr="00170422">
              <w:rPr>
                <w:noProof/>
                <w:lang w:val="de-DE"/>
              </w:rPr>
              <w:t>M1C1-35</w:t>
            </w:r>
          </w:p>
        </w:tc>
        <w:tc>
          <w:tcPr>
            <w:tcW w:w="2137" w:type="dxa"/>
            <w:shd w:val="clear" w:color="auto" w:fill="C6EFCE"/>
            <w:tcMar>
              <w:left w:w="108" w:type="dxa"/>
              <w:right w:w="108" w:type="dxa"/>
            </w:tcMar>
            <w:vAlign w:val="center"/>
          </w:tcPr>
          <w:p w14:paraId="52E88B84" w14:textId="77777777" w:rsidR="0057163C" w:rsidRPr="00170422" w:rsidRDefault="00F37BF9">
            <w:pPr>
              <w:pStyle w:val="P68B1DB1-Normal121"/>
              <w:spacing w:after="0" w:line="240" w:lineRule="auto"/>
              <w:rPr>
                <w:noProof/>
                <w:lang w:val="de-DE"/>
              </w:rPr>
            </w:pPr>
            <w:r w:rsidRPr="00170422">
              <w:rPr>
                <w:noProof/>
                <w:lang w:val="de-DE"/>
              </w:rPr>
              <w:t>Reform 1.7: Reform der Steu</w:t>
            </w:r>
            <w:r w:rsidRPr="00170422">
              <w:rPr>
                <w:noProof/>
                <w:lang w:val="de-DE"/>
              </w:rPr>
              <w:t>ergerichtsbarkeit</w:t>
            </w:r>
          </w:p>
        </w:tc>
        <w:tc>
          <w:tcPr>
            <w:tcW w:w="2268" w:type="dxa"/>
            <w:shd w:val="clear" w:color="auto" w:fill="C6EFCE"/>
            <w:tcMar>
              <w:left w:w="108" w:type="dxa"/>
              <w:right w:w="108" w:type="dxa"/>
            </w:tcMar>
            <w:vAlign w:val="center"/>
          </w:tcPr>
          <w:p w14:paraId="3E3D22B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A6A9A0E" w14:textId="77777777" w:rsidR="0057163C" w:rsidRPr="00170422" w:rsidRDefault="00F37BF9">
            <w:pPr>
              <w:pStyle w:val="P68B1DB1-Normal121"/>
              <w:spacing w:after="0" w:line="240" w:lineRule="auto"/>
              <w:rPr>
                <w:noProof/>
                <w:lang w:val="de-DE"/>
              </w:rPr>
            </w:pPr>
            <w:r w:rsidRPr="00170422">
              <w:rPr>
                <w:noProof/>
                <w:lang w:val="de-DE"/>
              </w:rPr>
              <w:t>Umfassende Reform der Finanzgerichte erster und zweiter Instanz</w:t>
            </w:r>
          </w:p>
        </w:tc>
      </w:tr>
      <w:tr w:rsidR="0057163C" w:rsidRPr="00170422" w14:paraId="60C2B376" w14:textId="77777777" w:rsidTr="00A400C5">
        <w:trPr>
          <w:trHeight w:val="300"/>
        </w:trPr>
        <w:tc>
          <w:tcPr>
            <w:tcW w:w="1395" w:type="dxa"/>
            <w:shd w:val="clear" w:color="auto" w:fill="C6EFCE"/>
            <w:tcMar>
              <w:left w:w="108" w:type="dxa"/>
              <w:right w:w="108" w:type="dxa"/>
            </w:tcMar>
            <w:vAlign w:val="center"/>
          </w:tcPr>
          <w:p w14:paraId="300E9CD7" w14:textId="77777777" w:rsidR="0057163C" w:rsidRPr="00170422" w:rsidRDefault="00F37BF9">
            <w:pPr>
              <w:pStyle w:val="P68B1DB1-Normal121"/>
              <w:spacing w:after="0" w:line="240" w:lineRule="auto"/>
              <w:jc w:val="center"/>
              <w:rPr>
                <w:noProof/>
                <w:lang w:val="de-DE"/>
              </w:rPr>
            </w:pPr>
            <w:r w:rsidRPr="00170422">
              <w:rPr>
                <w:noProof/>
                <w:lang w:val="de-DE"/>
              </w:rPr>
              <w:t>M1C1-36</w:t>
            </w:r>
          </w:p>
        </w:tc>
        <w:tc>
          <w:tcPr>
            <w:tcW w:w="2137" w:type="dxa"/>
            <w:shd w:val="clear" w:color="auto" w:fill="C6EFCE"/>
            <w:tcMar>
              <w:left w:w="108" w:type="dxa"/>
              <w:right w:w="108" w:type="dxa"/>
            </w:tcMar>
            <w:vAlign w:val="center"/>
          </w:tcPr>
          <w:p w14:paraId="3BA3A12C" w14:textId="77777777" w:rsidR="0057163C" w:rsidRPr="00170422" w:rsidRDefault="00F37BF9">
            <w:pPr>
              <w:pStyle w:val="P68B1DB1-Normal121"/>
              <w:spacing w:after="0" w:line="240" w:lineRule="auto"/>
              <w:rPr>
                <w:noProof/>
                <w:lang w:val="de-DE"/>
              </w:rPr>
            </w:pPr>
            <w:r w:rsidRPr="00170422">
              <w:rPr>
                <w:noProof/>
                <w:lang w:val="de-DE"/>
              </w:rPr>
              <w:t>Reformen 1.4, 1.5 und 1.6: Reform der Zivil- und Strafjustiz und Insolvenzreform</w:t>
            </w:r>
          </w:p>
        </w:tc>
        <w:tc>
          <w:tcPr>
            <w:tcW w:w="2268" w:type="dxa"/>
            <w:shd w:val="clear" w:color="auto" w:fill="C6EFCE"/>
            <w:tcMar>
              <w:left w:w="108" w:type="dxa"/>
              <w:right w:w="108" w:type="dxa"/>
            </w:tcMar>
            <w:vAlign w:val="center"/>
          </w:tcPr>
          <w:p w14:paraId="0F6AF04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48F83DF" w14:textId="77777777" w:rsidR="0057163C" w:rsidRPr="00170422" w:rsidRDefault="00F37BF9">
            <w:pPr>
              <w:pStyle w:val="P68B1DB1-Normal121"/>
              <w:spacing w:after="0" w:line="240" w:lineRule="auto"/>
              <w:rPr>
                <w:noProof/>
                <w:lang w:val="de-DE"/>
              </w:rPr>
            </w:pPr>
            <w:r w:rsidRPr="00170422">
              <w:rPr>
                <w:noProof/>
                <w:lang w:val="de-DE"/>
              </w:rPr>
              <w:t xml:space="preserve">Inkrafttreten delegierter Rechtsakte für die Reform der </w:t>
            </w:r>
            <w:r w:rsidRPr="00170422">
              <w:rPr>
                <w:noProof/>
                <w:lang w:val="de-DE"/>
              </w:rPr>
              <w:t>Zivil- und Strafjustiz und der Insolvenzreform</w:t>
            </w:r>
          </w:p>
        </w:tc>
      </w:tr>
      <w:tr w:rsidR="0057163C" w:rsidRPr="00170422" w14:paraId="6412B740" w14:textId="77777777" w:rsidTr="00A400C5">
        <w:trPr>
          <w:trHeight w:val="300"/>
        </w:trPr>
        <w:tc>
          <w:tcPr>
            <w:tcW w:w="1395" w:type="dxa"/>
            <w:shd w:val="clear" w:color="auto" w:fill="C6EFCE"/>
            <w:tcMar>
              <w:left w:w="108" w:type="dxa"/>
              <w:right w:w="108" w:type="dxa"/>
            </w:tcMar>
            <w:vAlign w:val="center"/>
          </w:tcPr>
          <w:p w14:paraId="286BB193" w14:textId="77777777" w:rsidR="0057163C" w:rsidRPr="00170422" w:rsidRDefault="00F37BF9">
            <w:pPr>
              <w:pStyle w:val="P68B1DB1-Normal121"/>
              <w:spacing w:after="0" w:line="240" w:lineRule="auto"/>
              <w:jc w:val="center"/>
              <w:rPr>
                <w:noProof/>
                <w:lang w:val="de-DE"/>
              </w:rPr>
            </w:pPr>
            <w:r w:rsidRPr="00170422">
              <w:rPr>
                <w:noProof/>
                <w:lang w:val="de-DE"/>
              </w:rPr>
              <w:t>M1C1-57</w:t>
            </w:r>
          </w:p>
        </w:tc>
        <w:tc>
          <w:tcPr>
            <w:tcW w:w="2137" w:type="dxa"/>
            <w:shd w:val="clear" w:color="auto" w:fill="C6EFCE"/>
            <w:tcMar>
              <w:left w:w="108" w:type="dxa"/>
              <w:right w:w="108" w:type="dxa"/>
            </w:tcMar>
            <w:vAlign w:val="center"/>
          </w:tcPr>
          <w:p w14:paraId="468829F8"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68" w:type="dxa"/>
            <w:shd w:val="clear" w:color="auto" w:fill="C6EFCE"/>
            <w:tcMar>
              <w:left w:w="108" w:type="dxa"/>
              <w:right w:w="108" w:type="dxa"/>
            </w:tcMar>
            <w:vAlign w:val="center"/>
          </w:tcPr>
          <w:p w14:paraId="70BEF99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9790DC9" w14:textId="77777777" w:rsidR="0057163C" w:rsidRPr="00170422" w:rsidRDefault="00F37BF9">
            <w:pPr>
              <w:pStyle w:val="P68B1DB1-Normal121"/>
              <w:spacing w:after="0" w:line="240" w:lineRule="auto"/>
              <w:rPr>
                <w:noProof/>
                <w:lang w:val="de-DE"/>
              </w:rPr>
            </w:pPr>
            <w:r w:rsidRPr="00170422">
              <w:rPr>
                <w:noProof/>
                <w:lang w:val="de-DE"/>
              </w:rPr>
              <w:t>Inkrafttreten der Verwaltungsverfahren für die Reform der Vereinfachung zur Umsetzung der Aufbau- und Resilienzfazilität</w:t>
            </w:r>
          </w:p>
        </w:tc>
      </w:tr>
      <w:tr w:rsidR="0057163C" w:rsidRPr="00170422" w14:paraId="5992FEF0" w14:textId="77777777" w:rsidTr="00A400C5">
        <w:trPr>
          <w:trHeight w:val="300"/>
        </w:trPr>
        <w:tc>
          <w:tcPr>
            <w:tcW w:w="1395" w:type="dxa"/>
            <w:shd w:val="clear" w:color="auto" w:fill="C6EFCE"/>
            <w:tcMar>
              <w:left w:w="108" w:type="dxa"/>
              <w:right w:w="108" w:type="dxa"/>
            </w:tcMar>
            <w:vAlign w:val="center"/>
          </w:tcPr>
          <w:p w14:paraId="3D0D0D48" w14:textId="77777777" w:rsidR="0057163C" w:rsidRPr="00170422" w:rsidRDefault="00F37BF9">
            <w:pPr>
              <w:pStyle w:val="P68B1DB1-Normal121"/>
              <w:spacing w:after="0" w:line="240" w:lineRule="auto"/>
              <w:jc w:val="center"/>
              <w:rPr>
                <w:noProof/>
                <w:lang w:val="de-DE"/>
              </w:rPr>
            </w:pPr>
            <w:r w:rsidRPr="00170422">
              <w:rPr>
                <w:noProof/>
                <w:lang w:val="de-DE"/>
              </w:rPr>
              <w:t>M1C1-102</w:t>
            </w:r>
          </w:p>
        </w:tc>
        <w:tc>
          <w:tcPr>
            <w:tcW w:w="2137" w:type="dxa"/>
            <w:shd w:val="clear" w:color="auto" w:fill="C6EFCE"/>
            <w:tcMar>
              <w:left w:w="108" w:type="dxa"/>
              <w:right w:w="108" w:type="dxa"/>
            </w:tcMar>
            <w:vAlign w:val="center"/>
          </w:tcPr>
          <w:p w14:paraId="38C366BD" w14:textId="77777777" w:rsidR="0057163C" w:rsidRPr="00170422" w:rsidRDefault="00F37BF9">
            <w:pPr>
              <w:pStyle w:val="P68B1DB1-Normal121"/>
              <w:spacing w:after="0" w:line="240" w:lineRule="auto"/>
              <w:rPr>
                <w:noProof/>
                <w:lang w:val="de-DE"/>
              </w:rPr>
            </w:pPr>
            <w:r w:rsidRPr="00170422">
              <w:rPr>
                <w:noProof/>
                <w:lang w:val="de-DE"/>
              </w:rPr>
              <w:t xml:space="preserve">Reform </w:t>
            </w:r>
            <w:r w:rsidRPr="00170422">
              <w:rPr>
                <w:noProof/>
                <w:lang w:val="de-DE"/>
              </w:rPr>
              <w:t>1.13: Reform des Rahmens für die Ausgabenüberprüfung</w:t>
            </w:r>
          </w:p>
        </w:tc>
        <w:tc>
          <w:tcPr>
            <w:tcW w:w="2268" w:type="dxa"/>
            <w:shd w:val="clear" w:color="auto" w:fill="C6EFCE"/>
            <w:tcMar>
              <w:left w:w="108" w:type="dxa"/>
              <w:right w:w="108" w:type="dxa"/>
            </w:tcMar>
            <w:vAlign w:val="center"/>
          </w:tcPr>
          <w:p w14:paraId="3B49237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FE399DF" w14:textId="77777777" w:rsidR="0057163C" w:rsidRPr="00170422" w:rsidRDefault="00F37BF9">
            <w:pPr>
              <w:pStyle w:val="P68B1DB1-Normal121"/>
              <w:spacing w:after="0" w:line="240" w:lineRule="auto"/>
              <w:rPr>
                <w:noProof/>
                <w:lang w:val="de-DE"/>
              </w:rPr>
            </w:pPr>
            <w:r w:rsidRPr="00170422">
              <w:rPr>
                <w:noProof/>
                <w:lang w:val="de-DE"/>
              </w:rPr>
              <w:t>Annahme eines Berichts über die Wirksamkeit der Verfahren ausgewählter öffentlicher Verwaltungen bei der Ausarbeitung und Umsetzung von Sparplänen</w:t>
            </w:r>
          </w:p>
        </w:tc>
      </w:tr>
      <w:tr w:rsidR="0057163C" w:rsidRPr="00170422" w14:paraId="76019D08" w14:textId="77777777" w:rsidTr="00A400C5">
        <w:trPr>
          <w:trHeight w:val="300"/>
        </w:trPr>
        <w:tc>
          <w:tcPr>
            <w:tcW w:w="1395" w:type="dxa"/>
            <w:shd w:val="clear" w:color="auto" w:fill="C6EFCE"/>
            <w:tcMar>
              <w:left w:w="108" w:type="dxa"/>
              <w:right w:w="108" w:type="dxa"/>
            </w:tcMar>
            <w:vAlign w:val="center"/>
          </w:tcPr>
          <w:p w14:paraId="774B31FF" w14:textId="77777777" w:rsidR="0057163C" w:rsidRPr="00170422" w:rsidRDefault="00F37BF9">
            <w:pPr>
              <w:pStyle w:val="P68B1DB1-Normal121"/>
              <w:spacing w:after="0" w:line="240" w:lineRule="auto"/>
              <w:jc w:val="center"/>
              <w:rPr>
                <w:noProof/>
                <w:lang w:val="de-DE"/>
              </w:rPr>
            </w:pPr>
            <w:r w:rsidRPr="00170422">
              <w:rPr>
                <w:noProof/>
                <w:lang w:val="de-DE"/>
              </w:rPr>
              <w:t>M1C1-105</w:t>
            </w:r>
          </w:p>
        </w:tc>
        <w:tc>
          <w:tcPr>
            <w:tcW w:w="2137" w:type="dxa"/>
            <w:shd w:val="clear" w:color="auto" w:fill="C6EFCE"/>
            <w:tcMar>
              <w:left w:w="108" w:type="dxa"/>
              <w:right w:w="108" w:type="dxa"/>
            </w:tcMar>
            <w:vAlign w:val="center"/>
          </w:tcPr>
          <w:p w14:paraId="1ACA0AA9" w14:textId="77777777" w:rsidR="0057163C" w:rsidRPr="00170422" w:rsidRDefault="00F37BF9">
            <w:pPr>
              <w:pStyle w:val="P68B1DB1-Normal121"/>
              <w:spacing w:after="0" w:line="240" w:lineRule="auto"/>
              <w:rPr>
                <w:noProof/>
                <w:lang w:val="de-DE"/>
              </w:rPr>
            </w:pPr>
            <w:r w:rsidRPr="00170422">
              <w:rPr>
                <w:noProof/>
                <w:lang w:val="de-DE"/>
              </w:rPr>
              <w:t>Reform 1.12: Reform der Steuerverw</w:t>
            </w:r>
            <w:r w:rsidRPr="00170422">
              <w:rPr>
                <w:noProof/>
                <w:lang w:val="de-DE"/>
              </w:rPr>
              <w:t>altung</w:t>
            </w:r>
          </w:p>
        </w:tc>
        <w:tc>
          <w:tcPr>
            <w:tcW w:w="2268" w:type="dxa"/>
            <w:shd w:val="clear" w:color="auto" w:fill="C6EFCE"/>
            <w:tcMar>
              <w:left w:w="108" w:type="dxa"/>
              <w:right w:w="108" w:type="dxa"/>
            </w:tcMar>
            <w:vAlign w:val="center"/>
          </w:tcPr>
          <w:p w14:paraId="5407B52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46BDAF79" w14:textId="77777777" w:rsidR="0057163C" w:rsidRPr="00170422" w:rsidRDefault="00F37BF9">
            <w:pPr>
              <w:pStyle w:val="P68B1DB1-Normal121"/>
              <w:spacing w:after="0" w:line="240" w:lineRule="auto"/>
              <w:rPr>
                <w:noProof/>
                <w:lang w:val="de-DE"/>
              </w:rPr>
            </w:pPr>
            <w:r w:rsidRPr="00170422">
              <w:rPr>
                <w:noProof/>
                <w:lang w:val="de-DE"/>
              </w:rPr>
              <w:t>Höhere Zahl von „Konformitätsschreiben“</w:t>
            </w:r>
          </w:p>
        </w:tc>
      </w:tr>
      <w:tr w:rsidR="0057163C" w:rsidRPr="00170422" w14:paraId="5838B717" w14:textId="77777777" w:rsidTr="00A400C5">
        <w:trPr>
          <w:trHeight w:val="300"/>
        </w:trPr>
        <w:tc>
          <w:tcPr>
            <w:tcW w:w="1395" w:type="dxa"/>
            <w:shd w:val="clear" w:color="auto" w:fill="C6EFCE"/>
            <w:tcMar>
              <w:left w:w="108" w:type="dxa"/>
              <w:right w:w="108" w:type="dxa"/>
            </w:tcMar>
            <w:vAlign w:val="center"/>
          </w:tcPr>
          <w:p w14:paraId="36F22136" w14:textId="77777777" w:rsidR="0057163C" w:rsidRPr="00170422" w:rsidRDefault="00F37BF9">
            <w:pPr>
              <w:pStyle w:val="P68B1DB1-Normal121"/>
              <w:spacing w:after="0" w:line="240" w:lineRule="auto"/>
              <w:jc w:val="center"/>
              <w:rPr>
                <w:noProof/>
                <w:lang w:val="de-DE"/>
              </w:rPr>
            </w:pPr>
            <w:r w:rsidRPr="00170422">
              <w:rPr>
                <w:noProof/>
                <w:lang w:val="de-DE"/>
              </w:rPr>
              <w:t>M1C1-106</w:t>
            </w:r>
          </w:p>
        </w:tc>
        <w:tc>
          <w:tcPr>
            <w:tcW w:w="2137" w:type="dxa"/>
            <w:shd w:val="clear" w:color="auto" w:fill="C6EFCE"/>
            <w:tcMar>
              <w:left w:w="108" w:type="dxa"/>
              <w:right w:w="108" w:type="dxa"/>
            </w:tcMar>
            <w:vAlign w:val="center"/>
          </w:tcPr>
          <w:p w14:paraId="01F0DE47"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108BEC1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2EDCF5B" w14:textId="77777777" w:rsidR="0057163C" w:rsidRPr="00170422" w:rsidRDefault="00F37BF9">
            <w:pPr>
              <w:pStyle w:val="P68B1DB1-Normal121"/>
              <w:spacing w:after="0" w:line="240" w:lineRule="auto"/>
              <w:rPr>
                <w:noProof/>
                <w:lang w:val="de-DE"/>
              </w:rPr>
            </w:pPr>
            <w:r w:rsidRPr="00170422">
              <w:rPr>
                <w:noProof/>
                <w:lang w:val="de-DE"/>
              </w:rPr>
              <w:t>Verringerung der Zahl falsch positiver „Konformitätsschreiben“</w:t>
            </w:r>
          </w:p>
        </w:tc>
      </w:tr>
      <w:tr w:rsidR="0057163C" w:rsidRPr="00170422" w14:paraId="45B0CBF4" w14:textId="77777777" w:rsidTr="00A400C5">
        <w:trPr>
          <w:trHeight w:val="300"/>
        </w:trPr>
        <w:tc>
          <w:tcPr>
            <w:tcW w:w="1395" w:type="dxa"/>
            <w:shd w:val="clear" w:color="auto" w:fill="C6EFCE"/>
            <w:tcMar>
              <w:left w:w="108" w:type="dxa"/>
              <w:right w:w="108" w:type="dxa"/>
            </w:tcMar>
            <w:vAlign w:val="center"/>
          </w:tcPr>
          <w:p w14:paraId="12D4CFD0" w14:textId="77777777" w:rsidR="0057163C" w:rsidRPr="00170422" w:rsidRDefault="00F37BF9">
            <w:pPr>
              <w:pStyle w:val="P68B1DB1-Normal121"/>
              <w:spacing w:after="0" w:line="240" w:lineRule="auto"/>
              <w:jc w:val="center"/>
              <w:rPr>
                <w:noProof/>
                <w:lang w:val="de-DE"/>
              </w:rPr>
            </w:pPr>
            <w:r w:rsidRPr="00170422">
              <w:rPr>
                <w:noProof/>
                <w:lang w:val="de-DE"/>
              </w:rPr>
              <w:t>M1C1-107</w:t>
            </w:r>
          </w:p>
        </w:tc>
        <w:tc>
          <w:tcPr>
            <w:tcW w:w="2137" w:type="dxa"/>
            <w:shd w:val="clear" w:color="auto" w:fill="C6EFCE"/>
            <w:tcMar>
              <w:left w:w="108" w:type="dxa"/>
              <w:right w:w="108" w:type="dxa"/>
            </w:tcMar>
            <w:vAlign w:val="center"/>
          </w:tcPr>
          <w:p w14:paraId="09352BF8"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57E46E8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717236E4" w14:textId="77777777" w:rsidR="0057163C" w:rsidRPr="00170422" w:rsidRDefault="00F37BF9">
            <w:pPr>
              <w:pStyle w:val="P68B1DB1-Normal121"/>
              <w:spacing w:after="0" w:line="240" w:lineRule="auto"/>
              <w:rPr>
                <w:noProof/>
                <w:lang w:val="de-DE"/>
              </w:rPr>
            </w:pPr>
            <w:r w:rsidRPr="00170422">
              <w:rPr>
                <w:noProof/>
                <w:lang w:val="de-DE"/>
              </w:rPr>
              <w:t xml:space="preserve">Erhöhung der Steuereinnahmen </w:t>
            </w:r>
            <w:r w:rsidRPr="00170422">
              <w:rPr>
                <w:noProof/>
                <w:lang w:val="de-DE"/>
              </w:rPr>
              <w:t>durch „Compliance-Briefe“</w:t>
            </w:r>
          </w:p>
        </w:tc>
      </w:tr>
      <w:tr w:rsidR="0057163C" w:rsidRPr="00170422" w14:paraId="75EDD17F" w14:textId="77777777" w:rsidTr="00A400C5">
        <w:trPr>
          <w:trHeight w:val="300"/>
        </w:trPr>
        <w:tc>
          <w:tcPr>
            <w:tcW w:w="1395" w:type="dxa"/>
            <w:shd w:val="clear" w:color="auto" w:fill="C6EFCE"/>
            <w:tcMar>
              <w:left w:w="108" w:type="dxa"/>
              <w:right w:w="108" w:type="dxa"/>
            </w:tcMar>
            <w:vAlign w:val="center"/>
          </w:tcPr>
          <w:p w14:paraId="2A8D24B0" w14:textId="77777777" w:rsidR="0057163C" w:rsidRPr="00170422" w:rsidRDefault="00F37BF9">
            <w:pPr>
              <w:pStyle w:val="P68B1DB1-Normal121"/>
              <w:spacing w:after="0" w:line="240" w:lineRule="auto"/>
              <w:jc w:val="center"/>
              <w:rPr>
                <w:noProof/>
                <w:lang w:val="de-DE"/>
              </w:rPr>
            </w:pPr>
            <w:r w:rsidRPr="00170422">
              <w:rPr>
                <w:noProof/>
                <w:lang w:val="de-DE"/>
              </w:rPr>
              <w:t>M1C2-6</w:t>
            </w:r>
          </w:p>
        </w:tc>
        <w:tc>
          <w:tcPr>
            <w:tcW w:w="2137" w:type="dxa"/>
            <w:shd w:val="clear" w:color="auto" w:fill="C6EFCE"/>
            <w:tcMar>
              <w:left w:w="108" w:type="dxa"/>
              <w:right w:w="108" w:type="dxa"/>
            </w:tcMar>
            <w:vAlign w:val="center"/>
          </w:tcPr>
          <w:p w14:paraId="03C52DA3"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3E74747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4A41607" w14:textId="77777777" w:rsidR="0057163C" w:rsidRPr="00170422" w:rsidRDefault="00F37BF9">
            <w:pPr>
              <w:pStyle w:val="P68B1DB1-Normal121"/>
              <w:spacing w:after="0" w:line="240" w:lineRule="auto"/>
              <w:rPr>
                <w:noProof/>
                <w:lang w:val="de-DE"/>
              </w:rPr>
            </w:pPr>
            <w:r w:rsidRPr="00170422">
              <w:rPr>
                <w:noProof/>
                <w:lang w:val="de-DE"/>
              </w:rPr>
              <w:t>Inkrafttreten des jährlichen Wettbewerbsrechts 2021</w:t>
            </w:r>
          </w:p>
        </w:tc>
      </w:tr>
      <w:tr w:rsidR="0057163C" w:rsidRPr="00170422" w14:paraId="1CDB1FB7" w14:textId="77777777" w:rsidTr="00A400C5">
        <w:trPr>
          <w:trHeight w:val="300"/>
        </w:trPr>
        <w:tc>
          <w:tcPr>
            <w:tcW w:w="1395" w:type="dxa"/>
            <w:shd w:val="clear" w:color="auto" w:fill="C6EFCE"/>
            <w:tcMar>
              <w:left w:w="108" w:type="dxa"/>
              <w:right w:w="108" w:type="dxa"/>
            </w:tcMar>
            <w:vAlign w:val="center"/>
          </w:tcPr>
          <w:p w14:paraId="3F8AF5DD" w14:textId="77777777" w:rsidR="0057163C" w:rsidRPr="00170422" w:rsidRDefault="00F37BF9">
            <w:pPr>
              <w:pStyle w:val="P68B1DB1-Normal121"/>
              <w:spacing w:after="0" w:line="240" w:lineRule="auto"/>
              <w:jc w:val="center"/>
              <w:rPr>
                <w:noProof/>
                <w:lang w:val="de-DE"/>
              </w:rPr>
            </w:pPr>
            <w:r w:rsidRPr="00170422">
              <w:rPr>
                <w:noProof/>
                <w:lang w:val="de-DE"/>
              </w:rPr>
              <w:t>M1C2-7</w:t>
            </w:r>
          </w:p>
        </w:tc>
        <w:tc>
          <w:tcPr>
            <w:tcW w:w="2137" w:type="dxa"/>
            <w:shd w:val="clear" w:color="auto" w:fill="C6EFCE"/>
            <w:tcMar>
              <w:left w:w="108" w:type="dxa"/>
              <w:right w:w="108" w:type="dxa"/>
            </w:tcMar>
            <w:vAlign w:val="center"/>
          </w:tcPr>
          <w:p w14:paraId="5106FB85"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13EC0E2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1E80380" w14:textId="77777777" w:rsidR="0057163C" w:rsidRPr="00170422" w:rsidRDefault="00F37BF9">
            <w:pPr>
              <w:pStyle w:val="P68B1DB1-Normal121"/>
              <w:spacing w:after="0" w:line="240" w:lineRule="auto"/>
              <w:rPr>
                <w:noProof/>
                <w:lang w:val="de-DE"/>
              </w:rPr>
            </w:pPr>
            <w:r w:rsidRPr="00170422">
              <w:rPr>
                <w:noProof/>
                <w:lang w:val="de-DE"/>
              </w:rPr>
              <w:t xml:space="preserve">Inkrafttreten aller energiebezogenen Durchführungsmaßnahmen </w:t>
            </w:r>
            <w:r w:rsidRPr="00170422">
              <w:rPr>
                <w:noProof/>
                <w:lang w:val="de-DE"/>
              </w:rPr>
              <w:t>und des abgeleiteten Rechts (falls erforderlich)</w:t>
            </w:r>
          </w:p>
        </w:tc>
      </w:tr>
      <w:tr w:rsidR="0057163C" w:rsidRPr="00170422" w14:paraId="4D5D3972" w14:textId="77777777" w:rsidTr="00A400C5">
        <w:trPr>
          <w:trHeight w:val="300"/>
        </w:trPr>
        <w:tc>
          <w:tcPr>
            <w:tcW w:w="1395" w:type="dxa"/>
            <w:shd w:val="clear" w:color="auto" w:fill="C6EFCE"/>
            <w:tcMar>
              <w:left w:w="108" w:type="dxa"/>
              <w:right w:w="108" w:type="dxa"/>
            </w:tcMar>
            <w:vAlign w:val="center"/>
          </w:tcPr>
          <w:p w14:paraId="1D5C7DA2" w14:textId="77777777" w:rsidR="0057163C" w:rsidRPr="00170422" w:rsidRDefault="00F37BF9">
            <w:pPr>
              <w:pStyle w:val="P68B1DB1-Normal121"/>
              <w:spacing w:after="0" w:line="240" w:lineRule="auto"/>
              <w:jc w:val="center"/>
              <w:rPr>
                <w:noProof/>
                <w:lang w:val="de-DE"/>
              </w:rPr>
            </w:pPr>
            <w:r w:rsidRPr="00170422">
              <w:rPr>
                <w:noProof/>
                <w:lang w:val="de-DE"/>
              </w:rPr>
              <w:t>M1C2-8</w:t>
            </w:r>
          </w:p>
        </w:tc>
        <w:tc>
          <w:tcPr>
            <w:tcW w:w="2137" w:type="dxa"/>
            <w:shd w:val="clear" w:color="auto" w:fill="C6EFCE"/>
            <w:tcMar>
              <w:left w:w="108" w:type="dxa"/>
              <w:right w:w="108" w:type="dxa"/>
            </w:tcMar>
            <w:vAlign w:val="center"/>
          </w:tcPr>
          <w:p w14:paraId="004C74A4"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1023615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8591A93" w14:textId="77777777" w:rsidR="0057163C" w:rsidRPr="00170422" w:rsidRDefault="00F37BF9">
            <w:pPr>
              <w:pStyle w:val="P68B1DB1-Normal121"/>
              <w:spacing w:after="0" w:line="240" w:lineRule="auto"/>
              <w:rPr>
                <w:noProof/>
                <w:lang w:val="de-DE"/>
              </w:rPr>
            </w:pPr>
            <w:r w:rsidRPr="00170422">
              <w:rPr>
                <w:noProof/>
                <w:lang w:val="de-DE"/>
              </w:rPr>
              <w:t xml:space="preserve">Inkrafttreten aller Durchführungsmaßnahmen (gegebenenfalls einschließlich abgeleiteter Rechtsvorschriften) für die wirksame Umsetzung und Anwendung </w:t>
            </w:r>
            <w:r w:rsidRPr="00170422">
              <w:rPr>
                <w:noProof/>
                <w:lang w:val="de-DE"/>
              </w:rPr>
              <w:t>der Maßnahmen, die sich aus dem jährlichen Wettbewerbsrecht 2021 ergeben</w:t>
            </w:r>
          </w:p>
        </w:tc>
      </w:tr>
      <w:tr w:rsidR="0057163C" w:rsidRPr="00170422" w14:paraId="7E2C562A" w14:textId="77777777" w:rsidTr="00A400C5">
        <w:trPr>
          <w:trHeight w:val="300"/>
        </w:trPr>
        <w:tc>
          <w:tcPr>
            <w:tcW w:w="1395" w:type="dxa"/>
            <w:shd w:val="clear" w:color="auto" w:fill="C6EFCE"/>
            <w:tcMar>
              <w:left w:w="108" w:type="dxa"/>
              <w:right w:w="108" w:type="dxa"/>
            </w:tcMar>
            <w:vAlign w:val="center"/>
          </w:tcPr>
          <w:p w14:paraId="0C71B7BD" w14:textId="77777777" w:rsidR="0057163C" w:rsidRPr="00170422" w:rsidRDefault="00F37BF9">
            <w:pPr>
              <w:pStyle w:val="P68B1DB1-Normal121"/>
              <w:spacing w:after="0" w:line="240" w:lineRule="auto"/>
              <w:jc w:val="center"/>
              <w:rPr>
                <w:noProof/>
                <w:lang w:val="de-DE"/>
              </w:rPr>
            </w:pPr>
            <w:r w:rsidRPr="00170422">
              <w:rPr>
                <w:noProof/>
                <w:lang w:val="de-DE"/>
              </w:rPr>
              <w:t>M1C3-6</w:t>
            </w:r>
          </w:p>
        </w:tc>
        <w:tc>
          <w:tcPr>
            <w:tcW w:w="2137" w:type="dxa"/>
            <w:shd w:val="clear" w:color="auto" w:fill="C6EFCE"/>
            <w:tcMar>
              <w:left w:w="108" w:type="dxa"/>
              <w:right w:w="108" w:type="dxa"/>
            </w:tcMar>
            <w:vAlign w:val="center"/>
          </w:tcPr>
          <w:p w14:paraId="01A281AA" w14:textId="722B351D" w:rsidR="0057163C" w:rsidRPr="00170422" w:rsidRDefault="00F37BF9">
            <w:pPr>
              <w:pStyle w:val="P68B1DB1-Normal121"/>
              <w:spacing w:after="0" w:line="240" w:lineRule="auto"/>
              <w:rPr>
                <w:noProof/>
                <w:lang w:val="de-DE"/>
              </w:rPr>
            </w:pPr>
            <w:r w:rsidRPr="00170422">
              <w:rPr>
                <w:noProof/>
                <w:lang w:val="de-DE"/>
              </w:rPr>
              <w:t>Reform – 3.1 Umweltmindestkriterien für kulturelle Veranstaltungen</w:t>
            </w:r>
          </w:p>
        </w:tc>
        <w:tc>
          <w:tcPr>
            <w:tcW w:w="2268" w:type="dxa"/>
            <w:shd w:val="clear" w:color="auto" w:fill="C6EFCE"/>
            <w:tcMar>
              <w:left w:w="108" w:type="dxa"/>
              <w:right w:w="108" w:type="dxa"/>
            </w:tcMar>
            <w:vAlign w:val="center"/>
          </w:tcPr>
          <w:p w14:paraId="52550C7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3CCAD98" w14:textId="77777777" w:rsidR="0057163C" w:rsidRPr="00170422" w:rsidRDefault="00F37BF9">
            <w:pPr>
              <w:pStyle w:val="P68B1DB1-Normal121"/>
              <w:spacing w:after="0" w:line="240" w:lineRule="auto"/>
              <w:rPr>
                <w:noProof/>
                <w:lang w:val="de-DE"/>
              </w:rPr>
            </w:pPr>
            <w:r w:rsidRPr="00170422">
              <w:rPr>
                <w:noProof/>
                <w:lang w:val="de-DE"/>
              </w:rPr>
              <w:t xml:space="preserve">Inkrafttreten eines Dekrets zur Festlegung sozialer und ökologischer Kriterien bei öffentlichen </w:t>
            </w:r>
            <w:r w:rsidRPr="00170422">
              <w:rPr>
                <w:noProof/>
                <w:lang w:val="de-DE"/>
              </w:rPr>
              <w:t>Ausschreibungen für öffentlich finanzierte Kulturveranstaltungen</w:t>
            </w:r>
          </w:p>
        </w:tc>
      </w:tr>
      <w:tr w:rsidR="0057163C" w:rsidRPr="00170422" w14:paraId="275318E9" w14:textId="77777777" w:rsidTr="00A400C5">
        <w:trPr>
          <w:trHeight w:val="300"/>
        </w:trPr>
        <w:tc>
          <w:tcPr>
            <w:tcW w:w="1395" w:type="dxa"/>
            <w:shd w:val="clear" w:color="auto" w:fill="C6EFCE"/>
            <w:tcMar>
              <w:left w:w="108" w:type="dxa"/>
              <w:right w:w="108" w:type="dxa"/>
            </w:tcMar>
            <w:vAlign w:val="center"/>
          </w:tcPr>
          <w:p w14:paraId="05F28112" w14:textId="77777777" w:rsidR="0057163C" w:rsidRPr="00170422" w:rsidRDefault="00F37BF9">
            <w:pPr>
              <w:pStyle w:val="P68B1DB1-Normal121"/>
              <w:spacing w:after="0" w:line="240" w:lineRule="auto"/>
              <w:jc w:val="center"/>
              <w:rPr>
                <w:noProof/>
                <w:lang w:val="de-DE"/>
              </w:rPr>
            </w:pPr>
            <w:r w:rsidRPr="00170422">
              <w:rPr>
                <w:noProof/>
                <w:lang w:val="de-DE"/>
              </w:rPr>
              <w:t>M2C1-3</w:t>
            </w:r>
          </w:p>
        </w:tc>
        <w:tc>
          <w:tcPr>
            <w:tcW w:w="2137" w:type="dxa"/>
            <w:shd w:val="clear" w:color="auto" w:fill="C6EFCE"/>
            <w:tcMar>
              <w:left w:w="108" w:type="dxa"/>
              <w:right w:w="108" w:type="dxa"/>
            </w:tcMar>
            <w:vAlign w:val="center"/>
          </w:tcPr>
          <w:p w14:paraId="434E5419" w14:textId="77777777" w:rsidR="0057163C" w:rsidRPr="00170422" w:rsidRDefault="00F37BF9">
            <w:pPr>
              <w:pStyle w:val="P68B1DB1-Normal121"/>
              <w:spacing w:after="0" w:line="240" w:lineRule="auto"/>
              <w:rPr>
                <w:noProof/>
                <w:lang w:val="de-DE"/>
              </w:rPr>
            </w:pPr>
            <w:r w:rsidRPr="00170422">
              <w:rPr>
                <w:noProof/>
                <w:lang w:val="de-DE"/>
              </w:rPr>
              <w:t>Investition 2.1: Logistikplan für die Sektoren Agrar- und Ernährungswirtschaft, Fischerei und Aquakultur, Forstwirtschaft, Blumenzucht und Pflanzenzucht</w:t>
            </w:r>
          </w:p>
        </w:tc>
        <w:tc>
          <w:tcPr>
            <w:tcW w:w="2268" w:type="dxa"/>
            <w:shd w:val="clear" w:color="auto" w:fill="C6EFCE"/>
            <w:tcMar>
              <w:left w:w="108" w:type="dxa"/>
              <w:right w:w="108" w:type="dxa"/>
            </w:tcMar>
            <w:vAlign w:val="center"/>
          </w:tcPr>
          <w:p w14:paraId="2EFD24A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0736E16" w14:textId="77777777" w:rsidR="0057163C" w:rsidRPr="00170422" w:rsidRDefault="00F37BF9">
            <w:pPr>
              <w:pStyle w:val="P68B1DB1-Normal121"/>
              <w:spacing w:after="0" w:line="240" w:lineRule="auto"/>
              <w:rPr>
                <w:noProof/>
                <w:lang w:val="de-DE"/>
              </w:rPr>
            </w:pPr>
            <w:r w:rsidRPr="00170422">
              <w:rPr>
                <w:noProof/>
                <w:lang w:val="de-DE"/>
              </w:rPr>
              <w:t>Veröffentlichung d</w:t>
            </w:r>
            <w:r w:rsidRPr="00170422">
              <w:rPr>
                <w:noProof/>
                <w:lang w:val="de-DE"/>
              </w:rPr>
              <w:t>er endgültigen Rangfolge im Rahmen der logistischen Anreizregelung</w:t>
            </w:r>
          </w:p>
        </w:tc>
      </w:tr>
      <w:tr w:rsidR="0057163C" w:rsidRPr="00170422" w14:paraId="45EEF3D8" w14:textId="77777777" w:rsidTr="00A400C5">
        <w:trPr>
          <w:trHeight w:val="300"/>
        </w:trPr>
        <w:tc>
          <w:tcPr>
            <w:tcW w:w="1395" w:type="dxa"/>
            <w:shd w:val="clear" w:color="auto" w:fill="C6EFCE"/>
            <w:tcMar>
              <w:left w:w="108" w:type="dxa"/>
              <w:right w:w="108" w:type="dxa"/>
            </w:tcMar>
            <w:vAlign w:val="center"/>
          </w:tcPr>
          <w:p w14:paraId="39EF7118" w14:textId="77777777" w:rsidR="0057163C" w:rsidRPr="00170422" w:rsidRDefault="00F37BF9">
            <w:pPr>
              <w:pStyle w:val="P68B1DB1-Normal121"/>
              <w:spacing w:after="0" w:line="240" w:lineRule="auto"/>
              <w:jc w:val="center"/>
              <w:rPr>
                <w:noProof/>
                <w:lang w:val="de-DE"/>
              </w:rPr>
            </w:pPr>
            <w:r w:rsidRPr="00170422">
              <w:rPr>
                <w:noProof/>
                <w:lang w:val="de-DE"/>
              </w:rPr>
              <w:t>M2C1-4</w:t>
            </w:r>
          </w:p>
        </w:tc>
        <w:tc>
          <w:tcPr>
            <w:tcW w:w="2137" w:type="dxa"/>
            <w:shd w:val="clear" w:color="auto" w:fill="C6EFCE"/>
            <w:tcMar>
              <w:left w:w="108" w:type="dxa"/>
              <w:right w:w="108" w:type="dxa"/>
            </w:tcMar>
            <w:vAlign w:val="center"/>
          </w:tcPr>
          <w:p w14:paraId="31D28661" w14:textId="77777777" w:rsidR="0057163C" w:rsidRPr="00170422" w:rsidRDefault="00F37BF9">
            <w:pPr>
              <w:pStyle w:val="P68B1DB1-Normal121"/>
              <w:spacing w:after="0" w:line="240" w:lineRule="auto"/>
              <w:rPr>
                <w:noProof/>
                <w:lang w:val="de-DE"/>
              </w:rPr>
            </w:pPr>
            <w:r w:rsidRPr="00170422">
              <w:rPr>
                <w:noProof/>
                <w:lang w:val="de-DE"/>
              </w:rPr>
              <w:t>Investition 2.2: AGRI-Solarpark</w:t>
            </w:r>
          </w:p>
        </w:tc>
        <w:tc>
          <w:tcPr>
            <w:tcW w:w="2268" w:type="dxa"/>
            <w:shd w:val="clear" w:color="auto" w:fill="C6EFCE"/>
            <w:tcMar>
              <w:left w:w="108" w:type="dxa"/>
              <w:right w:w="108" w:type="dxa"/>
            </w:tcMar>
            <w:vAlign w:val="center"/>
          </w:tcPr>
          <w:p w14:paraId="7479F6D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5FFEB35" w14:textId="77777777" w:rsidR="0057163C" w:rsidRPr="00170422" w:rsidRDefault="00F37BF9">
            <w:pPr>
              <w:pStyle w:val="P68B1DB1-Normal121"/>
              <w:spacing w:after="0" w:line="240" w:lineRule="auto"/>
              <w:rPr>
                <w:noProof/>
                <w:lang w:val="de-DE"/>
              </w:rPr>
            </w:pPr>
            <w:r w:rsidRPr="00170422">
              <w:rPr>
                <w:noProof/>
                <w:lang w:val="de-DE"/>
              </w:rPr>
              <w:t>Zuweisung der Mittel an die Begünstigten in % der Gesamtmittel für die Investition</w:t>
            </w:r>
          </w:p>
        </w:tc>
      </w:tr>
      <w:tr w:rsidR="0057163C" w:rsidRPr="00170422" w14:paraId="2010BEDA" w14:textId="77777777" w:rsidTr="00A400C5">
        <w:trPr>
          <w:trHeight w:val="300"/>
        </w:trPr>
        <w:tc>
          <w:tcPr>
            <w:tcW w:w="1395" w:type="dxa"/>
            <w:shd w:val="clear" w:color="auto" w:fill="C6EFCE"/>
            <w:tcMar>
              <w:left w:w="108" w:type="dxa"/>
              <w:right w:w="108" w:type="dxa"/>
            </w:tcMar>
            <w:vAlign w:val="center"/>
          </w:tcPr>
          <w:p w14:paraId="7B0D8A05" w14:textId="77777777" w:rsidR="0057163C" w:rsidRPr="00170422" w:rsidRDefault="00F37BF9">
            <w:pPr>
              <w:pStyle w:val="P68B1DB1-Normal121"/>
              <w:spacing w:after="0" w:line="240" w:lineRule="auto"/>
              <w:jc w:val="center"/>
              <w:rPr>
                <w:noProof/>
                <w:lang w:val="de-DE"/>
              </w:rPr>
            </w:pPr>
            <w:r w:rsidRPr="00170422">
              <w:rPr>
                <w:noProof/>
                <w:lang w:val="de-DE"/>
              </w:rPr>
              <w:t>M2C2-8</w:t>
            </w:r>
          </w:p>
        </w:tc>
        <w:tc>
          <w:tcPr>
            <w:tcW w:w="2137" w:type="dxa"/>
            <w:shd w:val="clear" w:color="auto" w:fill="C6EFCE"/>
            <w:tcMar>
              <w:left w:w="108" w:type="dxa"/>
              <w:right w:w="108" w:type="dxa"/>
            </w:tcMar>
            <w:vAlign w:val="center"/>
          </w:tcPr>
          <w:p w14:paraId="5174D8E0" w14:textId="77777777" w:rsidR="0057163C" w:rsidRPr="00170422" w:rsidRDefault="00F37BF9">
            <w:pPr>
              <w:pStyle w:val="P68B1DB1-Normal121"/>
              <w:spacing w:after="0" w:line="240" w:lineRule="auto"/>
              <w:rPr>
                <w:noProof/>
                <w:lang w:val="de-DE"/>
              </w:rPr>
            </w:pPr>
            <w:r w:rsidRPr="00170422">
              <w:rPr>
                <w:noProof/>
                <w:lang w:val="de-DE"/>
              </w:rPr>
              <w:t>Investition 2.1 Stärkung intelligenter Netze</w:t>
            </w:r>
          </w:p>
        </w:tc>
        <w:tc>
          <w:tcPr>
            <w:tcW w:w="2268" w:type="dxa"/>
            <w:shd w:val="clear" w:color="auto" w:fill="C6EFCE"/>
            <w:tcMar>
              <w:left w:w="108" w:type="dxa"/>
              <w:right w:w="108" w:type="dxa"/>
            </w:tcMar>
            <w:vAlign w:val="center"/>
          </w:tcPr>
          <w:p w14:paraId="0AB0FB5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2A71D02" w14:textId="77777777" w:rsidR="0057163C" w:rsidRPr="00170422" w:rsidRDefault="00F37BF9">
            <w:pPr>
              <w:pStyle w:val="P68B1DB1-Normal121"/>
              <w:spacing w:after="0" w:line="240" w:lineRule="auto"/>
              <w:rPr>
                <w:noProof/>
                <w:lang w:val="de-DE"/>
              </w:rPr>
            </w:pPr>
            <w:r w:rsidRPr="00170422">
              <w:rPr>
                <w:noProof/>
                <w:lang w:val="de-DE"/>
              </w:rPr>
              <w:t>Vergabe (aller) öffentlicher Aufträge zur Erhöhung der Netzkapazität</w:t>
            </w:r>
          </w:p>
        </w:tc>
      </w:tr>
      <w:tr w:rsidR="0057163C" w:rsidRPr="00170422" w14:paraId="24C84B29" w14:textId="77777777" w:rsidTr="00A400C5">
        <w:trPr>
          <w:trHeight w:val="300"/>
        </w:trPr>
        <w:tc>
          <w:tcPr>
            <w:tcW w:w="1395" w:type="dxa"/>
            <w:shd w:val="clear" w:color="auto" w:fill="C6EFCE"/>
            <w:tcMar>
              <w:left w:w="108" w:type="dxa"/>
              <w:right w:w="108" w:type="dxa"/>
            </w:tcMar>
            <w:vAlign w:val="center"/>
          </w:tcPr>
          <w:p w14:paraId="3D7684F7" w14:textId="77777777" w:rsidR="0057163C" w:rsidRPr="00170422" w:rsidRDefault="00F37BF9">
            <w:pPr>
              <w:pStyle w:val="P68B1DB1-Normal121"/>
              <w:spacing w:after="0" w:line="240" w:lineRule="auto"/>
              <w:jc w:val="center"/>
              <w:rPr>
                <w:noProof/>
                <w:lang w:val="de-DE"/>
              </w:rPr>
            </w:pPr>
            <w:r w:rsidRPr="00170422">
              <w:rPr>
                <w:noProof/>
                <w:lang w:val="de-DE"/>
              </w:rPr>
              <w:t>M2C2-12</w:t>
            </w:r>
          </w:p>
        </w:tc>
        <w:tc>
          <w:tcPr>
            <w:tcW w:w="2137" w:type="dxa"/>
            <w:shd w:val="clear" w:color="auto" w:fill="C6EFCE"/>
            <w:tcMar>
              <w:left w:w="108" w:type="dxa"/>
              <w:right w:w="108" w:type="dxa"/>
            </w:tcMar>
            <w:vAlign w:val="center"/>
          </w:tcPr>
          <w:p w14:paraId="06D7D46C" w14:textId="77777777" w:rsidR="0057163C" w:rsidRPr="00170422" w:rsidRDefault="00F37BF9">
            <w:pPr>
              <w:pStyle w:val="P68B1DB1-Normal121"/>
              <w:spacing w:after="0" w:line="240" w:lineRule="auto"/>
              <w:rPr>
                <w:noProof/>
                <w:lang w:val="de-DE"/>
              </w:rPr>
            </w:pPr>
            <w:r w:rsidRPr="00170422">
              <w:rPr>
                <w:noProof/>
                <w:lang w:val="de-DE"/>
              </w:rPr>
              <w:t>Investition 2.2 Interventionen zur Erhöhung der Widerstandsfähigkeit des Stromnetzes</w:t>
            </w:r>
          </w:p>
        </w:tc>
        <w:tc>
          <w:tcPr>
            <w:tcW w:w="2268" w:type="dxa"/>
            <w:shd w:val="clear" w:color="auto" w:fill="C6EFCE"/>
            <w:tcMar>
              <w:left w:w="108" w:type="dxa"/>
              <w:right w:w="108" w:type="dxa"/>
            </w:tcMar>
            <w:vAlign w:val="center"/>
          </w:tcPr>
          <w:p w14:paraId="20FCDAC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F629A5B" w14:textId="77777777" w:rsidR="0057163C" w:rsidRPr="00170422" w:rsidRDefault="00F37BF9">
            <w:pPr>
              <w:pStyle w:val="P68B1DB1-Normal121"/>
              <w:spacing w:after="0" w:line="240" w:lineRule="auto"/>
              <w:rPr>
                <w:noProof/>
                <w:lang w:val="de-DE"/>
              </w:rPr>
            </w:pPr>
            <w:r w:rsidRPr="00170422">
              <w:rPr>
                <w:noProof/>
                <w:lang w:val="de-DE"/>
              </w:rPr>
              <w:t>Vergabe der Projekte zur Erhöhung der Widerstandsfähigkeit des Stromn</w:t>
            </w:r>
            <w:r w:rsidRPr="00170422">
              <w:rPr>
                <w:noProof/>
                <w:lang w:val="de-DE"/>
              </w:rPr>
              <w:t>etzes</w:t>
            </w:r>
          </w:p>
        </w:tc>
      </w:tr>
      <w:tr w:rsidR="0057163C" w:rsidRPr="00170422" w14:paraId="7C27BD6E" w14:textId="77777777" w:rsidTr="00A400C5">
        <w:trPr>
          <w:trHeight w:val="300"/>
        </w:trPr>
        <w:tc>
          <w:tcPr>
            <w:tcW w:w="1395" w:type="dxa"/>
            <w:shd w:val="clear" w:color="auto" w:fill="C6EFCE"/>
            <w:tcMar>
              <w:left w:w="108" w:type="dxa"/>
              <w:right w:w="108" w:type="dxa"/>
            </w:tcMar>
            <w:vAlign w:val="center"/>
          </w:tcPr>
          <w:p w14:paraId="32F81CEB" w14:textId="77777777" w:rsidR="0057163C" w:rsidRPr="00170422" w:rsidRDefault="00F37BF9">
            <w:pPr>
              <w:pStyle w:val="P68B1DB1-Normal121"/>
              <w:spacing w:after="0" w:line="240" w:lineRule="auto"/>
              <w:jc w:val="center"/>
              <w:rPr>
                <w:noProof/>
                <w:lang w:val="de-DE"/>
              </w:rPr>
            </w:pPr>
            <w:r w:rsidRPr="00170422">
              <w:rPr>
                <w:noProof/>
                <w:lang w:val="de-DE"/>
              </w:rPr>
              <w:t>M3C2-1</w:t>
            </w:r>
          </w:p>
        </w:tc>
        <w:tc>
          <w:tcPr>
            <w:tcW w:w="2137" w:type="dxa"/>
            <w:shd w:val="clear" w:color="auto" w:fill="C6EFCE"/>
            <w:tcMar>
              <w:left w:w="108" w:type="dxa"/>
              <w:right w:w="108" w:type="dxa"/>
            </w:tcMar>
            <w:vAlign w:val="center"/>
          </w:tcPr>
          <w:p w14:paraId="737A1F9C" w14:textId="77777777" w:rsidR="0057163C" w:rsidRPr="00170422" w:rsidRDefault="00F37BF9">
            <w:pPr>
              <w:pStyle w:val="P68B1DB1-Normal121"/>
              <w:spacing w:after="0" w:line="240" w:lineRule="auto"/>
              <w:rPr>
                <w:noProof/>
                <w:lang w:val="de-DE"/>
              </w:rPr>
            </w:pPr>
            <w:r w:rsidRPr="00170422">
              <w:rPr>
                <w:noProof/>
                <w:lang w:val="de-DE"/>
              </w:rPr>
              <w:t xml:space="preserve">Reform 1.1 – Vereinfachung der Verfahren für die strategische Planung </w:t>
            </w:r>
          </w:p>
        </w:tc>
        <w:tc>
          <w:tcPr>
            <w:tcW w:w="2268" w:type="dxa"/>
            <w:shd w:val="clear" w:color="auto" w:fill="C6EFCE"/>
            <w:tcMar>
              <w:left w:w="108" w:type="dxa"/>
              <w:right w:w="108" w:type="dxa"/>
            </w:tcMar>
            <w:vAlign w:val="center"/>
          </w:tcPr>
          <w:p w14:paraId="2F1BA56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2A41789" w14:textId="77777777" w:rsidR="0057163C" w:rsidRPr="00170422" w:rsidRDefault="00F37BF9">
            <w:pPr>
              <w:pStyle w:val="P68B1DB1-Normal121"/>
              <w:spacing w:after="0" w:line="240" w:lineRule="auto"/>
              <w:rPr>
                <w:noProof/>
                <w:lang w:val="de-DE"/>
              </w:rPr>
            </w:pPr>
            <w:r w:rsidRPr="00170422">
              <w:rPr>
                <w:noProof/>
                <w:lang w:val="de-DE"/>
              </w:rPr>
              <w:t>Inkrafttreten von Gesetzesänderungen im Zusammenhang mit der Vereinfachung der Verfahren für die strategische Planung</w:t>
            </w:r>
          </w:p>
        </w:tc>
      </w:tr>
      <w:tr w:rsidR="0057163C" w:rsidRPr="00170422" w14:paraId="6A615199" w14:textId="77777777" w:rsidTr="00A400C5">
        <w:trPr>
          <w:trHeight w:val="300"/>
        </w:trPr>
        <w:tc>
          <w:tcPr>
            <w:tcW w:w="1395" w:type="dxa"/>
            <w:shd w:val="clear" w:color="auto" w:fill="C6EFCE"/>
            <w:tcMar>
              <w:left w:w="108" w:type="dxa"/>
              <w:right w:w="108" w:type="dxa"/>
            </w:tcMar>
            <w:vAlign w:val="center"/>
          </w:tcPr>
          <w:p w14:paraId="1B9B1CEC" w14:textId="77777777" w:rsidR="0057163C" w:rsidRPr="00170422" w:rsidRDefault="00F37BF9">
            <w:pPr>
              <w:pStyle w:val="P68B1DB1-Normal121"/>
              <w:spacing w:after="0" w:line="240" w:lineRule="auto"/>
              <w:jc w:val="center"/>
              <w:rPr>
                <w:noProof/>
                <w:lang w:val="de-DE"/>
              </w:rPr>
            </w:pPr>
            <w:r w:rsidRPr="00170422">
              <w:rPr>
                <w:noProof/>
                <w:lang w:val="de-DE"/>
              </w:rPr>
              <w:t>M3C2-2</w:t>
            </w:r>
          </w:p>
        </w:tc>
        <w:tc>
          <w:tcPr>
            <w:tcW w:w="2137" w:type="dxa"/>
            <w:shd w:val="clear" w:color="auto" w:fill="C6EFCE"/>
            <w:tcMar>
              <w:left w:w="108" w:type="dxa"/>
              <w:right w:w="108" w:type="dxa"/>
            </w:tcMar>
            <w:vAlign w:val="center"/>
          </w:tcPr>
          <w:p w14:paraId="28B15C3B" w14:textId="77777777" w:rsidR="0057163C" w:rsidRPr="00170422" w:rsidRDefault="00F37BF9">
            <w:pPr>
              <w:pStyle w:val="P68B1DB1-Normal121"/>
              <w:spacing w:after="0" w:line="240" w:lineRule="auto"/>
              <w:rPr>
                <w:noProof/>
                <w:lang w:val="de-DE"/>
              </w:rPr>
            </w:pPr>
            <w:r w:rsidRPr="00170422">
              <w:rPr>
                <w:noProof/>
                <w:lang w:val="de-DE"/>
              </w:rPr>
              <w:t xml:space="preserve">Reform 1.2 – </w:t>
            </w:r>
            <w:r w:rsidRPr="00170422">
              <w:rPr>
                <w:noProof/>
                <w:lang w:val="de-DE"/>
              </w:rPr>
              <w:t>Wettbewerbsorientierte Konzessionsvergabe in italienischen Häfen</w:t>
            </w:r>
          </w:p>
        </w:tc>
        <w:tc>
          <w:tcPr>
            <w:tcW w:w="2268" w:type="dxa"/>
            <w:shd w:val="clear" w:color="auto" w:fill="C6EFCE"/>
            <w:tcMar>
              <w:left w:w="108" w:type="dxa"/>
              <w:right w:w="108" w:type="dxa"/>
            </w:tcMar>
            <w:vAlign w:val="center"/>
          </w:tcPr>
          <w:p w14:paraId="372C1CC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257B902" w14:textId="77777777" w:rsidR="0057163C" w:rsidRPr="00170422" w:rsidRDefault="00F37BF9">
            <w:pPr>
              <w:pStyle w:val="P68B1DB1-Normal121"/>
              <w:spacing w:after="0" w:line="240" w:lineRule="auto"/>
              <w:rPr>
                <w:noProof/>
                <w:lang w:val="de-DE"/>
              </w:rPr>
            </w:pPr>
            <w:r w:rsidRPr="00170422">
              <w:rPr>
                <w:noProof/>
                <w:lang w:val="de-DE"/>
              </w:rPr>
              <w:t>Inkrafttreten der Verordnung über Hafenkonzessionen</w:t>
            </w:r>
          </w:p>
        </w:tc>
      </w:tr>
      <w:tr w:rsidR="0057163C" w:rsidRPr="00170422" w14:paraId="492973B0" w14:textId="77777777" w:rsidTr="00A400C5">
        <w:trPr>
          <w:trHeight w:val="300"/>
        </w:trPr>
        <w:tc>
          <w:tcPr>
            <w:tcW w:w="1395" w:type="dxa"/>
            <w:shd w:val="clear" w:color="auto" w:fill="C6EFCE"/>
            <w:tcMar>
              <w:left w:w="108" w:type="dxa"/>
              <w:right w:w="108" w:type="dxa"/>
            </w:tcMar>
            <w:vAlign w:val="center"/>
          </w:tcPr>
          <w:p w14:paraId="32844C8D" w14:textId="77777777" w:rsidR="0057163C" w:rsidRPr="00170422" w:rsidRDefault="00F37BF9">
            <w:pPr>
              <w:pStyle w:val="P68B1DB1-Normal121"/>
              <w:spacing w:after="0" w:line="240" w:lineRule="auto"/>
              <w:jc w:val="center"/>
              <w:rPr>
                <w:noProof/>
                <w:lang w:val="de-DE"/>
              </w:rPr>
            </w:pPr>
            <w:r w:rsidRPr="00170422">
              <w:rPr>
                <w:noProof/>
                <w:lang w:val="de-DE"/>
              </w:rPr>
              <w:t>M3C2-4</w:t>
            </w:r>
          </w:p>
        </w:tc>
        <w:tc>
          <w:tcPr>
            <w:tcW w:w="2137" w:type="dxa"/>
            <w:shd w:val="clear" w:color="auto" w:fill="C6EFCE"/>
            <w:tcMar>
              <w:left w:w="108" w:type="dxa"/>
              <w:right w:w="108" w:type="dxa"/>
            </w:tcMar>
            <w:vAlign w:val="center"/>
          </w:tcPr>
          <w:p w14:paraId="18797B44" w14:textId="77777777" w:rsidR="0057163C" w:rsidRPr="00170422" w:rsidRDefault="00F37BF9">
            <w:pPr>
              <w:pStyle w:val="P68B1DB1-Normal121"/>
              <w:spacing w:after="0" w:line="240" w:lineRule="auto"/>
              <w:rPr>
                <w:noProof/>
                <w:lang w:val="de-DE"/>
              </w:rPr>
            </w:pPr>
            <w:r w:rsidRPr="00170422">
              <w:rPr>
                <w:noProof/>
                <w:lang w:val="de-DE"/>
              </w:rPr>
              <w:t>Reform 1.3 – Vereinfachung der Genehmigungsverfahren für Kaltbügelanlagen</w:t>
            </w:r>
          </w:p>
        </w:tc>
        <w:tc>
          <w:tcPr>
            <w:tcW w:w="2268" w:type="dxa"/>
            <w:shd w:val="clear" w:color="auto" w:fill="C6EFCE"/>
            <w:tcMar>
              <w:left w:w="108" w:type="dxa"/>
              <w:right w:w="108" w:type="dxa"/>
            </w:tcMar>
            <w:vAlign w:val="center"/>
          </w:tcPr>
          <w:p w14:paraId="077AA27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06B78301" w14:textId="77777777" w:rsidR="0057163C" w:rsidRPr="00170422" w:rsidRDefault="00F37BF9">
            <w:pPr>
              <w:pStyle w:val="P68B1DB1-Normal121"/>
              <w:spacing w:after="0" w:line="240" w:lineRule="auto"/>
              <w:rPr>
                <w:noProof/>
                <w:lang w:val="de-DE"/>
              </w:rPr>
            </w:pPr>
            <w:r w:rsidRPr="00170422">
              <w:rPr>
                <w:noProof/>
                <w:lang w:val="de-DE"/>
              </w:rPr>
              <w:t xml:space="preserve">Inkrafttreten der Vereinfachung </w:t>
            </w:r>
            <w:r w:rsidRPr="00170422">
              <w:rPr>
                <w:noProof/>
                <w:lang w:val="de-DE"/>
              </w:rPr>
              <w:t>der Genehmigungsverfahren für Kaltbügelanlagen</w:t>
            </w:r>
          </w:p>
        </w:tc>
      </w:tr>
      <w:tr w:rsidR="0057163C" w:rsidRPr="00170422" w14:paraId="0FE73E7F" w14:textId="77777777" w:rsidTr="00A400C5">
        <w:trPr>
          <w:trHeight w:val="300"/>
        </w:trPr>
        <w:tc>
          <w:tcPr>
            <w:tcW w:w="1395" w:type="dxa"/>
            <w:shd w:val="clear" w:color="auto" w:fill="C6EFCE"/>
            <w:tcMar>
              <w:left w:w="108" w:type="dxa"/>
              <w:right w:w="108" w:type="dxa"/>
            </w:tcMar>
            <w:vAlign w:val="center"/>
          </w:tcPr>
          <w:p w14:paraId="5647F4DD" w14:textId="77777777" w:rsidR="0057163C" w:rsidRPr="00170422" w:rsidRDefault="00F37BF9">
            <w:pPr>
              <w:pStyle w:val="P68B1DB1-Normal121"/>
              <w:spacing w:after="0" w:line="240" w:lineRule="auto"/>
              <w:jc w:val="center"/>
              <w:rPr>
                <w:noProof/>
                <w:lang w:val="de-DE"/>
              </w:rPr>
            </w:pPr>
            <w:r w:rsidRPr="00170422">
              <w:rPr>
                <w:noProof/>
                <w:lang w:val="de-DE"/>
              </w:rPr>
              <w:t>M4C1-5</w:t>
            </w:r>
          </w:p>
        </w:tc>
        <w:tc>
          <w:tcPr>
            <w:tcW w:w="2137" w:type="dxa"/>
            <w:shd w:val="clear" w:color="auto" w:fill="C6EFCE"/>
            <w:tcMar>
              <w:left w:w="108" w:type="dxa"/>
              <w:right w:w="108" w:type="dxa"/>
            </w:tcMar>
            <w:vAlign w:val="center"/>
          </w:tcPr>
          <w:p w14:paraId="21899888" w14:textId="77777777" w:rsidR="0057163C" w:rsidRPr="00170422" w:rsidRDefault="00F37BF9">
            <w:pPr>
              <w:pStyle w:val="P68B1DB1-Normal121"/>
              <w:spacing w:after="0" w:line="240" w:lineRule="auto"/>
              <w:rPr>
                <w:noProof/>
                <w:lang w:val="de-DE"/>
              </w:rPr>
            </w:pPr>
            <w:r w:rsidRPr="00170422">
              <w:rPr>
                <w:noProof/>
                <w:lang w:val="de-DE"/>
              </w:rPr>
              <w:t>Reform 1.3: Umstrukturierung des Schulsystems; Reform 1.2: Reform des tertiären Berufsbildungssystems (ITS); Reform 1.1: Reform der technischen und beruflichen Institute; Reform 1.4: Reform des Orienti</w:t>
            </w:r>
            <w:r w:rsidRPr="00170422">
              <w:rPr>
                <w:noProof/>
                <w:lang w:val="de-DE"/>
              </w:rPr>
              <w:t>erungssystems</w:t>
            </w:r>
          </w:p>
        </w:tc>
        <w:tc>
          <w:tcPr>
            <w:tcW w:w="2268" w:type="dxa"/>
            <w:shd w:val="clear" w:color="auto" w:fill="C6EFCE"/>
            <w:tcMar>
              <w:left w:w="108" w:type="dxa"/>
              <w:right w:w="108" w:type="dxa"/>
            </w:tcMar>
            <w:vAlign w:val="center"/>
          </w:tcPr>
          <w:p w14:paraId="36AD4F81" w14:textId="77777777" w:rsidR="0057163C" w:rsidRPr="00170422" w:rsidRDefault="00F37BF9">
            <w:pPr>
              <w:pStyle w:val="P68B1DB1-Normal121"/>
              <w:spacing w:after="0" w:line="240" w:lineRule="auto"/>
              <w:jc w:val="center"/>
              <w:rPr>
                <w:noProof/>
                <w:lang w:val="de-DE"/>
              </w:rPr>
            </w:pPr>
            <w:r w:rsidRPr="00170422">
              <w:rPr>
                <w:noProof/>
                <w:lang w:val="de-DE"/>
              </w:rPr>
              <w:t>Meilensteine</w:t>
            </w:r>
          </w:p>
        </w:tc>
        <w:tc>
          <w:tcPr>
            <w:tcW w:w="3558" w:type="dxa"/>
            <w:shd w:val="clear" w:color="auto" w:fill="C6EFCE"/>
            <w:tcMar>
              <w:left w:w="108" w:type="dxa"/>
              <w:right w:w="108" w:type="dxa"/>
            </w:tcMar>
            <w:vAlign w:val="center"/>
          </w:tcPr>
          <w:p w14:paraId="31CFE740" w14:textId="77777777" w:rsidR="0057163C" w:rsidRPr="00170422" w:rsidRDefault="00F37BF9">
            <w:pPr>
              <w:pStyle w:val="P68B1DB1-Normal121"/>
              <w:spacing w:after="0" w:line="240" w:lineRule="auto"/>
              <w:rPr>
                <w:noProof/>
                <w:lang w:val="de-DE"/>
              </w:rPr>
            </w:pPr>
            <w:r w:rsidRPr="00170422">
              <w:rPr>
                <w:noProof/>
                <w:lang w:val="de-DE"/>
              </w:rPr>
              <w:t>Inkrafttreten der Reformen des Primar- und Sekundarbildungssystems zur Verbesserung der Bildungsergebnisse</w:t>
            </w:r>
          </w:p>
        </w:tc>
      </w:tr>
      <w:tr w:rsidR="0057163C" w:rsidRPr="00170422" w14:paraId="3705DE41" w14:textId="77777777" w:rsidTr="00A400C5">
        <w:trPr>
          <w:trHeight w:val="300"/>
        </w:trPr>
        <w:tc>
          <w:tcPr>
            <w:tcW w:w="1395" w:type="dxa"/>
            <w:shd w:val="clear" w:color="auto" w:fill="C6EFCE"/>
            <w:tcMar>
              <w:left w:w="108" w:type="dxa"/>
              <w:right w:w="108" w:type="dxa"/>
            </w:tcMar>
            <w:vAlign w:val="center"/>
          </w:tcPr>
          <w:p w14:paraId="3555431D" w14:textId="77777777" w:rsidR="0057163C" w:rsidRPr="00170422" w:rsidRDefault="00F37BF9">
            <w:pPr>
              <w:pStyle w:val="P68B1DB1-Normal121"/>
              <w:spacing w:after="0" w:line="240" w:lineRule="auto"/>
              <w:jc w:val="center"/>
              <w:rPr>
                <w:noProof/>
                <w:lang w:val="de-DE"/>
              </w:rPr>
            </w:pPr>
            <w:r w:rsidRPr="00170422">
              <w:rPr>
                <w:noProof/>
                <w:lang w:val="de-DE"/>
              </w:rPr>
              <w:t>M4C1-6</w:t>
            </w:r>
          </w:p>
        </w:tc>
        <w:tc>
          <w:tcPr>
            <w:tcW w:w="2137" w:type="dxa"/>
            <w:shd w:val="clear" w:color="auto" w:fill="C6EFCE"/>
            <w:tcMar>
              <w:left w:w="108" w:type="dxa"/>
              <w:right w:w="108" w:type="dxa"/>
            </w:tcMar>
            <w:vAlign w:val="center"/>
          </w:tcPr>
          <w:p w14:paraId="22FC731F" w14:textId="77777777" w:rsidR="0057163C" w:rsidRPr="00170422" w:rsidRDefault="00F37BF9">
            <w:pPr>
              <w:pStyle w:val="P68B1DB1-Normal121"/>
              <w:spacing w:after="0" w:line="240" w:lineRule="auto"/>
              <w:rPr>
                <w:noProof/>
                <w:lang w:val="de-DE"/>
              </w:rPr>
            </w:pPr>
            <w:r w:rsidRPr="00170422">
              <w:rPr>
                <w:noProof/>
                <w:lang w:val="de-DE"/>
              </w:rPr>
              <w:t>Reform 2.2: Tertiäre weiterführende Schule und Weiterbildung von Schulleitern, Lehrkräften, Verwaltungspersonal un</w:t>
            </w:r>
            <w:r w:rsidRPr="00170422">
              <w:rPr>
                <w:noProof/>
                <w:lang w:val="de-DE"/>
              </w:rPr>
              <w:t>d technischem Personal</w:t>
            </w:r>
          </w:p>
        </w:tc>
        <w:tc>
          <w:tcPr>
            <w:tcW w:w="2268" w:type="dxa"/>
            <w:shd w:val="clear" w:color="auto" w:fill="C6EFCE"/>
            <w:tcMar>
              <w:left w:w="108" w:type="dxa"/>
              <w:right w:w="108" w:type="dxa"/>
            </w:tcMar>
            <w:vAlign w:val="center"/>
          </w:tcPr>
          <w:p w14:paraId="49D93FF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E776FB9" w14:textId="77777777" w:rsidR="0057163C" w:rsidRPr="00170422" w:rsidRDefault="00F37BF9">
            <w:pPr>
              <w:pStyle w:val="P68B1DB1-Normal121"/>
              <w:spacing w:after="0" w:line="240" w:lineRule="auto"/>
              <w:rPr>
                <w:noProof/>
                <w:lang w:val="de-DE"/>
              </w:rPr>
            </w:pPr>
            <w:r w:rsidRPr="00170422">
              <w:rPr>
                <w:noProof/>
                <w:lang w:val="de-DE"/>
              </w:rPr>
              <w:t>Inkrafttreten von Rechtsvorschriften, mit denen ein hochwertiges Ausbildungssystem für Schulen aufgebaut werden soll.</w:t>
            </w:r>
          </w:p>
        </w:tc>
      </w:tr>
      <w:tr w:rsidR="0057163C" w:rsidRPr="00170422" w14:paraId="0FA8D99C" w14:textId="77777777" w:rsidTr="00A400C5">
        <w:trPr>
          <w:trHeight w:val="300"/>
        </w:trPr>
        <w:tc>
          <w:tcPr>
            <w:tcW w:w="1395" w:type="dxa"/>
            <w:shd w:val="clear" w:color="auto" w:fill="C6EFCE"/>
            <w:tcMar>
              <w:left w:w="108" w:type="dxa"/>
              <w:right w:w="108" w:type="dxa"/>
            </w:tcMar>
            <w:vAlign w:val="center"/>
          </w:tcPr>
          <w:p w14:paraId="772C397A" w14:textId="77777777" w:rsidR="0057163C" w:rsidRPr="00170422" w:rsidRDefault="00F37BF9">
            <w:pPr>
              <w:pStyle w:val="P68B1DB1-Normal121"/>
              <w:spacing w:after="0" w:line="240" w:lineRule="auto"/>
              <w:jc w:val="center"/>
              <w:rPr>
                <w:noProof/>
                <w:lang w:val="de-DE"/>
              </w:rPr>
            </w:pPr>
            <w:r w:rsidRPr="00170422">
              <w:rPr>
                <w:noProof/>
                <w:lang w:val="de-DE"/>
              </w:rPr>
              <w:t>M4C2-1</w:t>
            </w:r>
          </w:p>
        </w:tc>
        <w:tc>
          <w:tcPr>
            <w:tcW w:w="2137" w:type="dxa"/>
            <w:shd w:val="clear" w:color="auto" w:fill="C6EFCE"/>
            <w:tcMar>
              <w:left w:w="108" w:type="dxa"/>
              <w:right w:w="108" w:type="dxa"/>
            </w:tcMar>
            <w:vAlign w:val="center"/>
          </w:tcPr>
          <w:p w14:paraId="76A603AA" w14:textId="77777777" w:rsidR="0057163C" w:rsidRPr="00170422" w:rsidRDefault="00F37BF9">
            <w:pPr>
              <w:pStyle w:val="P68B1DB1-Normal121"/>
              <w:spacing w:after="0" w:line="240" w:lineRule="auto"/>
              <w:rPr>
                <w:noProof/>
                <w:lang w:val="de-DE"/>
              </w:rPr>
            </w:pPr>
            <w:r w:rsidRPr="00170422">
              <w:rPr>
                <w:noProof/>
                <w:lang w:val="de-DE"/>
              </w:rPr>
              <w:t>Investition 1.2: Finanzierung von Projekten, die von Nachwuchsforschern vorgestellt werden</w:t>
            </w:r>
          </w:p>
        </w:tc>
        <w:tc>
          <w:tcPr>
            <w:tcW w:w="2268" w:type="dxa"/>
            <w:shd w:val="clear" w:color="auto" w:fill="C6EFCE"/>
            <w:tcMar>
              <w:left w:w="108" w:type="dxa"/>
              <w:right w:w="108" w:type="dxa"/>
            </w:tcMar>
            <w:vAlign w:val="center"/>
          </w:tcPr>
          <w:p w14:paraId="59E784D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21DF5411" w14:textId="77777777" w:rsidR="0057163C" w:rsidRPr="00170422" w:rsidRDefault="00F37BF9">
            <w:pPr>
              <w:pStyle w:val="P68B1DB1-Normal121"/>
              <w:spacing w:after="0" w:line="240" w:lineRule="auto"/>
              <w:rPr>
                <w:noProof/>
                <w:lang w:val="de-DE"/>
              </w:rPr>
            </w:pPr>
            <w:r w:rsidRPr="00170422">
              <w:rPr>
                <w:noProof/>
                <w:lang w:val="de-DE"/>
              </w:rPr>
              <w:t>Zahl der Studierenden, denen ein Forschungsstipendium gewährt wurde</w:t>
            </w:r>
          </w:p>
        </w:tc>
      </w:tr>
      <w:tr w:rsidR="0057163C" w:rsidRPr="00170422" w14:paraId="0BD44E33" w14:textId="77777777" w:rsidTr="00A400C5">
        <w:trPr>
          <w:trHeight w:val="300"/>
        </w:trPr>
        <w:tc>
          <w:tcPr>
            <w:tcW w:w="1395" w:type="dxa"/>
            <w:shd w:val="clear" w:color="auto" w:fill="C6EFCE"/>
            <w:tcMar>
              <w:left w:w="108" w:type="dxa"/>
              <w:right w:w="108" w:type="dxa"/>
            </w:tcMar>
            <w:vAlign w:val="center"/>
          </w:tcPr>
          <w:p w14:paraId="5BB0E972" w14:textId="77777777" w:rsidR="0057163C" w:rsidRPr="00170422" w:rsidRDefault="00F37BF9">
            <w:pPr>
              <w:pStyle w:val="P68B1DB1-Normal121"/>
              <w:spacing w:after="0" w:line="240" w:lineRule="auto"/>
              <w:jc w:val="center"/>
              <w:rPr>
                <w:noProof/>
                <w:lang w:val="de-DE"/>
              </w:rPr>
            </w:pPr>
            <w:r w:rsidRPr="00170422">
              <w:rPr>
                <w:noProof/>
                <w:lang w:val="de-DE"/>
              </w:rPr>
              <w:t>M5C1-2</w:t>
            </w:r>
          </w:p>
        </w:tc>
        <w:tc>
          <w:tcPr>
            <w:tcW w:w="2137" w:type="dxa"/>
            <w:shd w:val="clear" w:color="auto" w:fill="C6EFCE"/>
            <w:tcMar>
              <w:left w:w="108" w:type="dxa"/>
              <w:right w:w="108" w:type="dxa"/>
            </w:tcMar>
            <w:vAlign w:val="center"/>
          </w:tcPr>
          <w:p w14:paraId="2CF8A7F6" w14:textId="77777777" w:rsidR="0057163C" w:rsidRPr="00170422" w:rsidRDefault="00F37BF9">
            <w:pPr>
              <w:pStyle w:val="P68B1DB1-Normal121"/>
              <w:spacing w:after="0" w:line="240" w:lineRule="auto"/>
              <w:rPr>
                <w:noProof/>
                <w:lang w:val="de-DE"/>
              </w:rPr>
            </w:pPr>
            <w:r w:rsidRPr="00170422">
              <w:rPr>
                <w:noProof/>
                <w:lang w:val="de-DE"/>
              </w:rPr>
              <w:t>Reform 1 – aktive arbeitsmarktpolitische Maßnahmen und Berufsbildung</w:t>
            </w:r>
          </w:p>
        </w:tc>
        <w:tc>
          <w:tcPr>
            <w:tcW w:w="2268" w:type="dxa"/>
            <w:shd w:val="clear" w:color="auto" w:fill="C6EFCE"/>
            <w:tcMar>
              <w:left w:w="108" w:type="dxa"/>
              <w:right w:w="108" w:type="dxa"/>
            </w:tcMar>
            <w:vAlign w:val="center"/>
          </w:tcPr>
          <w:p w14:paraId="5A50514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64ABA27" w14:textId="77777777" w:rsidR="0057163C" w:rsidRPr="00170422" w:rsidRDefault="00F37BF9">
            <w:pPr>
              <w:pStyle w:val="P68B1DB1-Normal121"/>
              <w:spacing w:after="0" w:line="240" w:lineRule="auto"/>
              <w:rPr>
                <w:noProof/>
                <w:lang w:val="de-DE"/>
              </w:rPr>
            </w:pPr>
            <w:r w:rsidRPr="00170422">
              <w:rPr>
                <w:noProof/>
                <w:lang w:val="de-DE"/>
              </w:rPr>
              <w:t xml:space="preserve">Inkrafttreten aller Pläne für die öffentlichen Arbeitsverwaltungen (ÖAV) auf regionaler Ebene  </w:t>
            </w:r>
          </w:p>
        </w:tc>
      </w:tr>
      <w:tr w:rsidR="0057163C" w:rsidRPr="00170422" w14:paraId="52C65806" w14:textId="77777777" w:rsidTr="00A400C5">
        <w:trPr>
          <w:trHeight w:val="300"/>
        </w:trPr>
        <w:tc>
          <w:tcPr>
            <w:tcW w:w="1395" w:type="dxa"/>
            <w:shd w:val="clear" w:color="auto" w:fill="C6EFCE"/>
            <w:tcMar>
              <w:left w:w="108" w:type="dxa"/>
              <w:right w:w="108" w:type="dxa"/>
            </w:tcMar>
            <w:vAlign w:val="center"/>
          </w:tcPr>
          <w:p w14:paraId="6AC8C0CF" w14:textId="77777777" w:rsidR="0057163C" w:rsidRPr="00170422" w:rsidRDefault="00F37BF9">
            <w:pPr>
              <w:pStyle w:val="P68B1DB1-Normal121"/>
              <w:spacing w:after="0" w:line="240" w:lineRule="auto"/>
              <w:jc w:val="center"/>
              <w:rPr>
                <w:noProof/>
                <w:lang w:val="de-DE"/>
              </w:rPr>
            </w:pPr>
            <w:r w:rsidRPr="00170422">
              <w:rPr>
                <w:noProof/>
                <w:lang w:val="de-DE"/>
              </w:rPr>
              <w:t>M5C1-6</w:t>
            </w:r>
          </w:p>
        </w:tc>
        <w:tc>
          <w:tcPr>
            <w:tcW w:w="2137" w:type="dxa"/>
            <w:shd w:val="clear" w:color="auto" w:fill="C6EFCE"/>
            <w:tcMar>
              <w:left w:w="108" w:type="dxa"/>
              <w:right w:w="108" w:type="dxa"/>
            </w:tcMar>
            <w:vAlign w:val="center"/>
          </w:tcPr>
          <w:p w14:paraId="3299AD93" w14:textId="77777777" w:rsidR="0057163C" w:rsidRPr="00170422" w:rsidRDefault="00F37BF9">
            <w:pPr>
              <w:pStyle w:val="P68B1DB1-Normal121"/>
              <w:spacing w:after="0" w:line="240" w:lineRule="auto"/>
              <w:rPr>
                <w:noProof/>
                <w:lang w:val="de-DE"/>
              </w:rPr>
            </w:pPr>
            <w:r w:rsidRPr="00170422">
              <w:rPr>
                <w:noProof/>
                <w:lang w:val="de-DE"/>
              </w:rPr>
              <w:t xml:space="preserve">Investition 1 – Stärkung der öffentlichen Arbeitsverwaltungen (ÖAV) </w:t>
            </w:r>
          </w:p>
        </w:tc>
        <w:tc>
          <w:tcPr>
            <w:tcW w:w="2268" w:type="dxa"/>
            <w:shd w:val="clear" w:color="auto" w:fill="C6EFCE"/>
            <w:tcMar>
              <w:left w:w="108" w:type="dxa"/>
              <w:right w:w="108" w:type="dxa"/>
            </w:tcMar>
            <w:vAlign w:val="center"/>
          </w:tcPr>
          <w:p w14:paraId="4CA4BB4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6B1EC62" w14:textId="77777777" w:rsidR="0057163C" w:rsidRPr="00170422" w:rsidRDefault="00F37BF9">
            <w:pPr>
              <w:pStyle w:val="P68B1DB1-Normal121"/>
              <w:spacing w:after="0" w:line="240" w:lineRule="auto"/>
              <w:rPr>
                <w:noProof/>
                <w:lang w:val="de-DE"/>
              </w:rPr>
            </w:pPr>
            <w:r w:rsidRPr="00170422">
              <w:rPr>
                <w:noProof/>
                <w:lang w:val="de-DE"/>
              </w:rPr>
              <w:t>Die öffentlichen Arbeitsverwaltungen (ÖAV) führen die im Stärkungsplan vorgesehenen Maßnahmen im Dreijahreszeitraum 2021-2023 durch.</w:t>
            </w:r>
          </w:p>
        </w:tc>
      </w:tr>
      <w:tr w:rsidR="0057163C" w:rsidRPr="00170422" w14:paraId="20C80B6B" w14:textId="77777777" w:rsidTr="00A400C5">
        <w:trPr>
          <w:trHeight w:val="300"/>
        </w:trPr>
        <w:tc>
          <w:tcPr>
            <w:tcW w:w="1395" w:type="dxa"/>
            <w:shd w:val="clear" w:color="auto" w:fill="C6EFCE"/>
            <w:tcMar>
              <w:left w:w="108" w:type="dxa"/>
              <w:right w:w="108" w:type="dxa"/>
            </w:tcMar>
            <w:vAlign w:val="center"/>
          </w:tcPr>
          <w:p w14:paraId="1E2BB1A7" w14:textId="77777777" w:rsidR="0057163C" w:rsidRPr="00170422" w:rsidRDefault="00F37BF9">
            <w:pPr>
              <w:pStyle w:val="P68B1DB1-Normal121"/>
              <w:spacing w:after="0" w:line="240" w:lineRule="auto"/>
              <w:jc w:val="center"/>
              <w:rPr>
                <w:noProof/>
                <w:lang w:val="de-DE"/>
              </w:rPr>
            </w:pPr>
            <w:r w:rsidRPr="00170422">
              <w:rPr>
                <w:noProof/>
                <w:lang w:val="de-DE"/>
              </w:rPr>
              <w:t>M5C1-8</w:t>
            </w:r>
          </w:p>
        </w:tc>
        <w:tc>
          <w:tcPr>
            <w:tcW w:w="2137" w:type="dxa"/>
            <w:shd w:val="clear" w:color="auto" w:fill="C6EFCE"/>
            <w:tcMar>
              <w:left w:w="108" w:type="dxa"/>
              <w:right w:w="108" w:type="dxa"/>
            </w:tcMar>
            <w:vAlign w:val="center"/>
          </w:tcPr>
          <w:p w14:paraId="0D4B147C" w14:textId="77777777" w:rsidR="0057163C" w:rsidRPr="00170422" w:rsidRDefault="00F37BF9">
            <w:pPr>
              <w:pStyle w:val="P68B1DB1-Normal121"/>
              <w:spacing w:after="0" w:line="240" w:lineRule="auto"/>
              <w:rPr>
                <w:noProof/>
                <w:lang w:val="de-DE"/>
              </w:rPr>
            </w:pPr>
            <w:r w:rsidRPr="00170422">
              <w:rPr>
                <w:noProof/>
                <w:lang w:val="de-DE"/>
              </w:rPr>
              <w:t>Reform 2 – Nicht angemeldete Erwer</w:t>
            </w:r>
            <w:r w:rsidRPr="00170422">
              <w:rPr>
                <w:noProof/>
                <w:lang w:val="de-DE"/>
              </w:rPr>
              <w:t>bstätigkeit</w:t>
            </w:r>
          </w:p>
        </w:tc>
        <w:tc>
          <w:tcPr>
            <w:tcW w:w="2268" w:type="dxa"/>
            <w:shd w:val="clear" w:color="auto" w:fill="C6EFCE"/>
            <w:tcMar>
              <w:left w:w="108" w:type="dxa"/>
              <w:right w:w="108" w:type="dxa"/>
            </w:tcMar>
            <w:vAlign w:val="center"/>
          </w:tcPr>
          <w:p w14:paraId="145D911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4941A76" w14:textId="77777777" w:rsidR="0057163C" w:rsidRPr="00170422" w:rsidRDefault="00F37BF9">
            <w:pPr>
              <w:pStyle w:val="P68B1DB1-Normal121"/>
              <w:spacing w:after="0" w:line="240" w:lineRule="auto"/>
              <w:rPr>
                <w:noProof/>
                <w:lang w:val="de-DE"/>
              </w:rPr>
            </w:pPr>
            <w:r w:rsidRPr="00170422">
              <w:rPr>
                <w:noProof/>
                <w:lang w:val="de-DE"/>
              </w:rPr>
              <w:t>Inkrafttreten eines nationalen Plans und Umsetzungsfahrplan zur Bekämpfung nicht angemeldeter Erwerbstätigkeit in allen Wirtschaftszweigen.</w:t>
            </w:r>
          </w:p>
        </w:tc>
      </w:tr>
      <w:tr w:rsidR="0057163C" w:rsidRPr="00170422" w14:paraId="7FB642B4" w14:textId="77777777" w:rsidTr="00A400C5">
        <w:trPr>
          <w:trHeight w:val="300"/>
        </w:trPr>
        <w:tc>
          <w:tcPr>
            <w:tcW w:w="1395" w:type="dxa"/>
            <w:shd w:val="clear" w:color="auto" w:fill="C6EFCE"/>
            <w:tcMar>
              <w:left w:w="108" w:type="dxa"/>
              <w:right w:w="108" w:type="dxa"/>
            </w:tcMar>
            <w:vAlign w:val="center"/>
          </w:tcPr>
          <w:p w14:paraId="356AC696" w14:textId="77777777" w:rsidR="0057163C" w:rsidRPr="00170422" w:rsidRDefault="00F37BF9">
            <w:pPr>
              <w:pStyle w:val="P68B1DB1-Normal121"/>
              <w:spacing w:after="0" w:line="240" w:lineRule="auto"/>
              <w:jc w:val="center"/>
              <w:rPr>
                <w:noProof/>
                <w:lang w:val="de-DE"/>
              </w:rPr>
            </w:pPr>
            <w:r w:rsidRPr="00170422">
              <w:rPr>
                <w:noProof/>
                <w:lang w:val="de-DE"/>
              </w:rPr>
              <w:t>M5C1-12</w:t>
            </w:r>
          </w:p>
        </w:tc>
        <w:tc>
          <w:tcPr>
            <w:tcW w:w="2137" w:type="dxa"/>
            <w:shd w:val="clear" w:color="auto" w:fill="C6EFCE"/>
            <w:tcMar>
              <w:left w:w="108" w:type="dxa"/>
              <w:right w:w="108" w:type="dxa"/>
            </w:tcMar>
            <w:vAlign w:val="center"/>
          </w:tcPr>
          <w:p w14:paraId="5C51439B" w14:textId="77777777" w:rsidR="0057163C" w:rsidRPr="00170422" w:rsidRDefault="00F37BF9">
            <w:pPr>
              <w:pStyle w:val="P68B1DB1-Normal121"/>
              <w:spacing w:after="0" w:line="240" w:lineRule="auto"/>
              <w:rPr>
                <w:noProof/>
                <w:lang w:val="de-DE"/>
              </w:rPr>
            </w:pPr>
            <w:r w:rsidRPr="00170422">
              <w:rPr>
                <w:noProof/>
                <w:lang w:val="de-DE"/>
              </w:rPr>
              <w:t>Investition 2 – Zertifizierungssystem für die Gleichstellung der Geschlechter</w:t>
            </w:r>
          </w:p>
        </w:tc>
        <w:tc>
          <w:tcPr>
            <w:tcW w:w="2268" w:type="dxa"/>
            <w:shd w:val="clear" w:color="auto" w:fill="C6EFCE"/>
            <w:tcMar>
              <w:left w:w="108" w:type="dxa"/>
              <w:right w:w="108" w:type="dxa"/>
            </w:tcMar>
            <w:vAlign w:val="center"/>
          </w:tcPr>
          <w:p w14:paraId="349B665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8B26AC1" w14:textId="77777777" w:rsidR="0057163C" w:rsidRPr="00170422" w:rsidRDefault="00F37BF9">
            <w:pPr>
              <w:pStyle w:val="P68B1DB1-Normal121"/>
              <w:spacing w:after="0" w:line="240" w:lineRule="auto"/>
              <w:rPr>
                <w:noProof/>
                <w:lang w:val="de-DE"/>
              </w:rPr>
            </w:pPr>
            <w:r w:rsidRPr="00170422">
              <w:rPr>
                <w:noProof/>
                <w:lang w:val="de-DE"/>
              </w:rPr>
              <w:t xml:space="preserve">Inkrafttreten des Zertifizierungssystems für die Gleichstellung der Geschlechter und begleitender Anreizmechanismen für Unternehmen </w:t>
            </w:r>
          </w:p>
        </w:tc>
      </w:tr>
      <w:tr w:rsidR="0057163C" w:rsidRPr="00170422" w14:paraId="05DB3631" w14:textId="77777777" w:rsidTr="00A400C5">
        <w:trPr>
          <w:trHeight w:val="300"/>
        </w:trPr>
        <w:tc>
          <w:tcPr>
            <w:tcW w:w="1395" w:type="dxa"/>
            <w:shd w:val="clear" w:color="auto" w:fill="C6EFCE"/>
            <w:tcMar>
              <w:left w:w="108" w:type="dxa"/>
              <w:right w:w="108" w:type="dxa"/>
            </w:tcMar>
            <w:vAlign w:val="center"/>
          </w:tcPr>
          <w:p w14:paraId="0E29F65E" w14:textId="77777777" w:rsidR="0057163C" w:rsidRPr="00170422" w:rsidRDefault="00F37BF9">
            <w:pPr>
              <w:pStyle w:val="P68B1DB1-Normal121"/>
              <w:spacing w:after="0" w:line="240" w:lineRule="auto"/>
              <w:jc w:val="center"/>
              <w:rPr>
                <w:noProof/>
                <w:lang w:val="de-DE"/>
              </w:rPr>
            </w:pPr>
            <w:r w:rsidRPr="00170422">
              <w:rPr>
                <w:noProof/>
                <w:lang w:val="de-DE"/>
              </w:rPr>
              <w:t>M5C2-7</w:t>
            </w:r>
          </w:p>
        </w:tc>
        <w:tc>
          <w:tcPr>
            <w:tcW w:w="2137" w:type="dxa"/>
            <w:shd w:val="clear" w:color="auto" w:fill="C6EFCE"/>
            <w:tcMar>
              <w:left w:w="108" w:type="dxa"/>
              <w:right w:w="108" w:type="dxa"/>
            </w:tcMar>
            <w:vAlign w:val="center"/>
          </w:tcPr>
          <w:p w14:paraId="7ADD3B1A" w14:textId="77777777" w:rsidR="0057163C" w:rsidRPr="00170422" w:rsidRDefault="00F37BF9">
            <w:pPr>
              <w:pStyle w:val="P68B1DB1-Normal121"/>
              <w:spacing w:after="0" w:line="240" w:lineRule="auto"/>
              <w:rPr>
                <w:noProof/>
                <w:lang w:val="de-DE"/>
              </w:rPr>
            </w:pPr>
            <w:r w:rsidRPr="00170422">
              <w:rPr>
                <w:noProof/>
                <w:lang w:val="de-DE"/>
              </w:rPr>
              <w:t>Investition 2 – Autonomiemuster für Menschen mit Behinderungen</w:t>
            </w:r>
          </w:p>
        </w:tc>
        <w:tc>
          <w:tcPr>
            <w:tcW w:w="2268" w:type="dxa"/>
            <w:shd w:val="clear" w:color="auto" w:fill="C6EFCE"/>
            <w:tcMar>
              <w:left w:w="108" w:type="dxa"/>
              <w:right w:w="108" w:type="dxa"/>
            </w:tcMar>
            <w:vAlign w:val="center"/>
          </w:tcPr>
          <w:p w14:paraId="1431552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439D5539" w14:textId="77777777" w:rsidR="0057163C" w:rsidRPr="00170422" w:rsidRDefault="00F37BF9">
            <w:pPr>
              <w:pStyle w:val="P68B1DB1-Normal121"/>
              <w:spacing w:after="0" w:line="240" w:lineRule="auto"/>
              <w:rPr>
                <w:noProof/>
                <w:lang w:val="de-DE"/>
              </w:rPr>
            </w:pPr>
            <w:r w:rsidRPr="00170422">
              <w:rPr>
                <w:noProof/>
                <w:lang w:val="de-DE"/>
              </w:rPr>
              <w:t xml:space="preserve">Die Sozialbezirke haben mindestens </w:t>
            </w:r>
            <w:r w:rsidRPr="00170422">
              <w:rPr>
                <w:noProof/>
                <w:lang w:val="de-DE"/>
              </w:rPr>
              <w:t>ein Projekt im Zusammenhang mit der Renovierung von Wohnräumen und/oder der Bereitstellung von IKT-Geräten für Menschen mit Behinderungen durchgeführt, begleitet von Schulungen zu digitalen Kompetenzen.</w:t>
            </w:r>
          </w:p>
        </w:tc>
      </w:tr>
      <w:tr w:rsidR="0057163C" w:rsidRPr="00170422" w14:paraId="27B293CC" w14:textId="77777777" w:rsidTr="00A400C5">
        <w:trPr>
          <w:trHeight w:val="300"/>
        </w:trPr>
        <w:tc>
          <w:tcPr>
            <w:tcW w:w="1395" w:type="dxa"/>
            <w:shd w:val="clear" w:color="auto" w:fill="C6EFCE"/>
            <w:tcMar>
              <w:left w:w="108" w:type="dxa"/>
              <w:right w:w="108" w:type="dxa"/>
            </w:tcMar>
            <w:vAlign w:val="center"/>
          </w:tcPr>
          <w:p w14:paraId="45BA980B" w14:textId="77777777" w:rsidR="0057163C" w:rsidRPr="00170422" w:rsidRDefault="00F37BF9">
            <w:pPr>
              <w:pStyle w:val="P68B1DB1-Normal121"/>
              <w:spacing w:after="0" w:line="240" w:lineRule="auto"/>
              <w:jc w:val="center"/>
              <w:rPr>
                <w:noProof/>
                <w:lang w:val="de-DE"/>
              </w:rPr>
            </w:pPr>
            <w:r w:rsidRPr="00170422">
              <w:rPr>
                <w:noProof/>
                <w:lang w:val="de-DE"/>
              </w:rPr>
              <w:t>M5C3-1</w:t>
            </w:r>
          </w:p>
        </w:tc>
        <w:tc>
          <w:tcPr>
            <w:tcW w:w="2137" w:type="dxa"/>
            <w:shd w:val="clear" w:color="auto" w:fill="C6EFCE"/>
            <w:tcMar>
              <w:left w:w="108" w:type="dxa"/>
              <w:right w:w="108" w:type="dxa"/>
            </w:tcMar>
            <w:vAlign w:val="center"/>
          </w:tcPr>
          <w:p w14:paraId="2267B836" w14:textId="77777777" w:rsidR="0057163C" w:rsidRPr="00170422" w:rsidRDefault="00F37BF9">
            <w:pPr>
              <w:pStyle w:val="P68B1DB1-Normal121"/>
              <w:spacing w:after="0" w:line="240" w:lineRule="auto"/>
              <w:rPr>
                <w:noProof/>
                <w:lang w:val="de-DE"/>
              </w:rPr>
            </w:pPr>
            <w:r w:rsidRPr="00170422">
              <w:rPr>
                <w:noProof/>
                <w:lang w:val="de-DE"/>
              </w:rPr>
              <w:t>Investition 1.1.1: Innere Gebiete – Verbesser</w:t>
            </w:r>
            <w:r w:rsidRPr="00170422">
              <w:rPr>
                <w:noProof/>
                <w:lang w:val="de-DE"/>
              </w:rPr>
              <w:t>ung der gemeinschaftlichen Sozialdienste und -infrastrukturen</w:t>
            </w:r>
          </w:p>
        </w:tc>
        <w:tc>
          <w:tcPr>
            <w:tcW w:w="2268" w:type="dxa"/>
            <w:shd w:val="clear" w:color="auto" w:fill="C6EFCE"/>
            <w:tcMar>
              <w:left w:w="108" w:type="dxa"/>
              <w:right w:w="108" w:type="dxa"/>
            </w:tcMar>
            <w:vAlign w:val="center"/>
          </w:tcPr>
          <w:p w14:paraId="0012BDC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A06F359"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Vergabe der Ausschreibung für Maßnahmen zur Verbesserung der sozialen Dienstleistungen und Infrastrukturen in Binnengebieten und für die Unterstützung von Apotheken in Gemeinden mit </w:t>
            </w:r>
            <w:r w:rsidRPr="00170422">
              <w:rPr>
                <w:noProof/>
                <w:color w:val="006100"/>
                <w:sz w:val="20"/>
                <w:szCs w:val="20"/>
                <w:lang w:val="de-DE"/>
              </w:rPr>
              <w:t>weniger als 3000</w:t>
            </w:r>
            <w:r w:rsidRPr="00170422">
              <w:rPr>
                <w:noProof/>
                <w:sz w:val="23"/>
                <w:szCs w:val="23"/>
                <w:lang w:val="de-DE"/>
              </w:rPr>
              <w:t xml:space="preserve"> </w:t>
            </w:r>
            <w:r w:rsidRPr="00170422">
              <w:rPr>
                <w:noProof/>
                <w:color w:val="006100"/>
                <w:sz w:val="20"/>
                <w:szCs w:val="20"/>
                <w:lang w:val="de-DE"/>
              </w:rPr>
              <w:t>Einwohnern</w:t>
            </w:r>
          </w:p>
        </w:tc>
      </w:tr>
      <w:tr w:rsidR="0057163C" w:rsidRPr="00170422" w14:paraId="17F18C29" w14:textId="77777777" w:rsidTr="00A400C5">
        <w:trPr>
          <w:trHeight w:val="300"/>
        </w:trPr>
        <w:tc>
          <w:tcPr>
            <w:tcW w:w="1395" w:type="dxa"/>
            <w:shd w:val="clear" w:color="auto" w:fill="C6EFCE"/>
            <w:tcMar>
              <w:left w:w="108" w:type="dxa"/>
              <w:right w:w="108" w:type="dxa"/>
            </w:tcMar>
            <w:vAlign w:val="center"/>
          </w:tcPr>
          <w:p w14:paraId="08DCC0E5" w14:textId="77777777" w:rsidR="0057163C" w:rsidRPr="00170422" w:rsidRDefault="00F37BF9">
            <w:pPr>
              <w:pStyle w:val="P68B1DB1-Normal121"/>
              <w:spacing w:after="0" w:line="240" w:lineRule="auto"/>
              <w:jc w:val="center"/>
              <w:rPr>
                <w:noProof/>
                <w:lang w:val="de-DE"/>
              </w:rPr>
            </w:pPr>
            <w:r w:rsidRPr="00170422">
              <w:rPr>
                <w:noProof/>
                <w:lang w:val="de-DE"/>
              </w:rPr>
              <w:t>M6C2-1</w:t>
            </w:r>
          </w:p>
        </w:tc>
        <w:tc>
          <w:tcPr>
            <w:tcW w:w="2137" w:type="dxa"/>
            <w:shd w:val="clear" w:color="auto" w:fill="C6EFCE"/>
            <w:tcMar>
              <w:left w:w="108" w:type="dxa"/>
              <w:right w:w="108" w:type="dxa"/>
            </w:tcMar>
            <w:vAlign w:val="center"/>
          </w:tcPr>
          <w:p w14:paraId="17E0C51F" w14:textId="77777777" w:rsidR="0057163C" w:rsidRPr="00170422" w:rsidRDefault="00F37BF9">
            <w:pPr>
              <w:pStyle w:val="P68B1DB1-Normal121"/>
              <w:spacing w:after="0" w:line="240" w:lineRule="auto"/>
              <w:rPr>
                <w:noProof/>
                <w:lang w:val="de-DE"/>
              </w:rPr>
            </w:pPr>
            <w:r w:rsidRPr="00170422">
              <w:rPr>
                <w:noProof/>
                <w:lang w:val="de-DE"/>
              </w:rPr>
              <w:t xml:space="preserve">Reform 1: Überarbeitung und Aktualisierung des derzeitigen Rechtsrahmens der Wissenschaftlichen Institute für Krankenhaus- und Pflegewesen (IRCCS) und der Forschungspolitik des Gesundheitsministeriums, um die Verbindung </w:t>
            </w:r>
            <w:r w:rsidRPr="00170422">
              <w:rPr>
                <w:noProof/>
                <w:lang w:val="de-DE"/>
              </w:rPr>
              <w:t>zwischen Forschung, Innovation und Gesundheitsversorgung zu stärken</w:t>
            </w:r>
          </w:p>
        </w:tc>
        <w:tc>
          <w:tcPr>
            <w:tcW w:w="2268" w:type="dxa"/>
            <w:shd w:val="clear" w:color="auto" w:fill="C6EFCE"/>
            <w:tcMar>
              <w:left w:w="108" w:type="dxa"/>
              <w:right w:w="108" w:type="dxa"/>
            </w:tcMar>
            <w:vAlign w:val="center"/>
          </w:tcPr>
          <w:p w14:paraId="24F6E50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EBCB17B" w14:textId="77777777" w:rsidR="0057163C" w:rsidRPr="00170422" w:rsidRDefault="00F37BF9">
            <w:pPr>
              <w:pStyle w:val="P68B1DB1-Normal121"/>
              <w:spacing w:after="0" w:line="240" w:lineRule="auto"/>
              <w:rPr>
                <w:noProof/>
                <w:lang w:val="de-DE"/>
              </w:rPr>
            </w:pPr>
            <w:r w:rsidRPr="00170422">
              <w:rPr>
                <w:noProof/>
                <w:lang w:val="de-DE"/>
              </w:rPr>
              <w:t>Inkrafttreten des gesetzesvertretenden Dekrets über die Neuordnung der Verordnungen über die wissenschaftlichen Einrichtungen für Krankenhausbehandlung und Pflege (IRCSS)</w:t>
            </w:r>
          </w:p>
        </w:tc>
      </w:tr>
      <w:tr w:rsidR="0057163C" w:rsidRPr="00170422" w14:paraId="3EF71EE8" w14:textId="77777777" w:rsidTr="00A400C5">
        <w:trPr>
          <w:trHeight w:val="300"/>
        </w:trPr>
        <w:tc>
          <w:tcPr>
            <w:tcW w:w="1395" w:type="dxa"/>
            <w:shd w:val="clear" w:color="auto" w:fill="C6EFCE"/>
            <w:tcMar>
              <w:left w:w="108" w:type="dxa"/>
              <w:right w:w="108" w:type="dxa"/>
            </w:tcMar>
            <w:vAlign w:val="center"/>
          </w:tcPr>
          <w:p w14:paraId="289AB785"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137" w:type="dxa"/>
            <w:shd w:val="clear" w:color="auto" w:fill="C6EFCE"/>
            <w:tcMar>
              <w:left w:w="108" w:type="dxa"/>
              <w:right w:w="108" w:type="dxa"/>
            </w:tcMar>
            <w:vAlign w:val="center"/>
          </w:tcPr>
          <w:p w14:paraId="527F2CC0"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73E4ADDE"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8" w:type="dxa"/>
            <w:shd w:val="clear" w:color="auto" w:fill="C6EFCE"/>
            <w:tcMar>
              <w:left w:w="108" w:type="dxa"/>
              <w:right w:w="108" w:type="dxa"/>
            </w:tcMar>
            <w:vAlign w:val="center"/>
          </w:tcPr>
          <w:p w14:paraId="26EF21F9"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11494252874 EUR</w:t>
            </w:r>
            <w:r w:rsidRPr="00170422">
              <w:rPr>
                <w:noProof/>
                <w:sz w:val="23"/>
                <w:szCs w:val="23"/>
                <w:lang w:val="de-DE"/>
              </w:rPr>
              <w:t xml:space="preserve">  </w:t>
            </w:r>
          </w:p>
        </w:tc>
      </w:tr>
    </w:tbl>
    <w:p w14:paraId="29696EC4"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4CCB2FCA"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Vierte Tranche (nicht rückzahlbare Unterstützung):</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097"/>
        <w:gridCol w:w="2268"/>
        <w:gridCol w:w="3557"/>
      </w:tblGrid>
      <w:tr w:rsidR="0057163C" w:rsidRPr="00170422" w14:paraId="447B3354" w14:textId="77777777" w:rsidTr="00A400C5">
        <w:trPr>
          <w:trHeight w:val="900"/>
          <w:tblHeader/>
        </w:trPr>
        <w:tc>
          <w:tcPr>
            <w:tcW w:w="1435" w:type="dxa"/>
            <w:vMerge w:val="restart"/>
            <w:shd w:val="clear" w:color="auto" w:fill="BDD7EE"/>
            <w:tcMar>
              <w:left w:w="108" w:type="dxa"/>
              <w:right w:w="108" w:type="dxa"/>
            </w:tcMar>
            <w:vAlign w:val="center"/>
          </w:tcPr>
          <w:p w14:paraId="29F54960" w14:textId="77777777" w:rsidR="0057163C" w:rsidRPr="00170422" w:rsidRDefault="00F37BF9">
            <w:pPr>
              <w:pStyle w:val="P68B1DB1-Normal120"/>
              <w:spacing w:after="0" w:line="240" w:lineRule="auto"/>
              <w:jc w:val="center"/>
              <w:rPr>
                <w:bCs/>
                <w:noProof/>
                <w:lang w:val="de-DE"/>
              </w:rPr>
            </w:pPr>
            <w:r w:rsidRPr="00170422">
              <w:rPr>
                <w:noProof/>
                <w:lang w:val="de-DE"/>
              </w:rPr>
              <w:t>Laufende Nummer</w:t>
            </w:r>
          </w:p>
        </w:tc>
        <w:tc>
          <w:tcPr>
            <w:tcW w:w="2097" w:type="dxa"/>
            <w:vMerge w:val="restart"/>
            <w:shd w:val="clear" w:color="auto" w:fill="BDD7EE"/>
            <w:tcMar>
              <w:left w:w="108" w:type="dxa"/>
              <w:right w:w="108" w:type="dxa"/>
            </w:tcMar>
            <w:vAlign w:val="center"/>
          </w:tcPr>
          <w:p w14:paraId="420CBE6B"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68" w:type="dxa"/>
            <w:vMerge w:val="restart"/>
            <w:shd w:val="clear" w:color="auto" w:fill="BDD7EE"/>
            <w:tcMar>
              <w:left w:w="108" w:type="dxa"/>
              <w:right w:w="108" w:type="dxa"/>
            </w:tcMar>
            <w:vAlign w:val="center"/>
          </w:tcPr>
          <w:p w14:paraId="7DF1E0D7"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7" w:type="dxa"/>
            <w:vMerge w:val="restart"/>
            <w:shd w:val="clear" w:color="auto" w:fill="BDD7EE"/>
            <w:tcMar>
              <w:left w:w="108" w:type="dxa"/>
              <w:right w:w="108" w:type="dxa"/>
            </w:tcMar>
            <w:vAlign w:val="center"/>
          </w:tcPr>
          <w:p w14:paraId="434B8D5E"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5596840E" w14:textId="77777777" w:rsidTr="00A400C5">
        <w:trPr>
          <w:trHeight w:val="510"/>
        </w:trPr>
        <w:tc>
          <w:tcPr>
            <w:tcW w:w="1435" w:type="dxa"/>
            <w:vMerge/>
            <w:vAlign w:val="center"/>
          </w:tcPr>
          <w:p w14:paraId="456CF1BC"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vMerge/>
            <w:vAlign w:val="center"/>
          </w:tcPr>
          <w:p w14:paraId="7F82996D"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vAlign w:val="center"/>
          </w:tcPr>
          <w:p w14:paraId="5044EC86"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7" w:type="dxa"/>
            <w:vMerge/>
            <w:vAlign w:val="center"/>
          </w:tcPr>
          <w:p w14:paraId="7F32A951"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1634B5F" w14:textId="77777777" w:rsidTr="00A400C5">
        <w:trPr>
          <w:trHeight w:val="300"/>
        </w:trPr>
        <w:tc>
          <w:tcPr>
            <w:tcW w:w="1435" w:type="dxa"/>
            <w:shd w:val="clear" w:color="auto" w:fill="C6EFCE"/>
            <w:tcMar>
              <w:left w:w="108" w:type="dxa"/>
              <w:right w:w="108" w:type="dxa"/>
            </w:tcMar>
            <w:vAlign w:val="center"/>
          </w:tcPr>
          <w:p w14:paraId="0A550234" w14:textId="77777777" w:rsidR="0057163C" w:rsidRPr="00170422" w:rsidRDefault="00F37BF9">
            <w:pPr>
              <w:pStyle w:val="P68B1DB1-Normal121"/>
              <w:spacing w:after="0" w:line="240" w:lineRule="auto"/>
              <w:jc w:val="center"/>
              <w:rPr>
                <w:noProof/>
                <w:lang w:val="de-DE"/>
              </w:rPr>
            </w:pPr>
            <w:r w:rsidRPr="00170422">
              <w:rPr>
                <w:noProof/>
                <w:lang w:val="de-DE"/>
              </w:rPr>
              <w:t>M1C1-11</w:t>
            </w:r>
          </w:p>
        </w:tc>
        <w:tc>
          <w:tcPr>
            <w:tcW w:w="2097" w:type="dxa"/>
            <w:shd w:val="clear" w:color="auto" w:fill="C6EFCE"/>
            <w:tcMar>
              <w:left w:w="108" w:type="dxa"/>
              <w:right w:w="108" w:type="dxa"/>
            </w:tcMar>
            <w:vAlign w:val="center"/>
          </w:tcPr>
          <w:p w14:paraId="7A4234B1" w14:textId="77777777" w:rsidR="0057163C" w:rsidRPr="00170422" w:rsidRDefault="00F37BF9">
            <w:pPr>
              <w:pStyle w:val="P68B1DB1-Normal121"/>
              <w:spacing w:after="0" w:line="240" w:lineRule="auto"/>
              <w:rPr>
                <w:noProof/>
                <w:lang w:val="de-DE"/>
              </w:rPr>
            </w:pPr>
            <w:r w:rsidRPr="00170422">
              <w:rPr>
                <w:noProof/>
                <w:lang w:val="de-DE"/>
              </w:rPr>
              <w:t>Investition 1.6.6: Digitalisierung der Finanzpolizei</w:t>
            </w:r>
          </w:p>
        </w:tc>
        <w:tc>
          <w:tcPr>
            <w:tcW w:w="2268" w:type="dxa"/>
            <w:shd w:val="clear" w:color="auto" w:fill="C6EFCE"/>
            <w:tcMar>
              <w:left w:w="108" w:type="dxa"/>
              <w:right w:w="108" w:type="dxa"/>
            </w:tcMar>
            <w:vAlign w:val="center"/>
          </w:tcPr>
          <w:p w14:paraId="58EC662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0017F01D" w14:textId="77777777" w:rsidR="0057163C" w:rsidRPr="00170422" w:rsidRDefault="00F37BF9">
            <w:pPr>
              <w:pStyle w:val="P68B1DB1-Normal121"/>
              <w:spacing w:after="0" w:line="240" w:lineRule="auto"/>
              <w:rPr>
                <w:noProof/>
                <w:lang w:val="de-DE"/>
              </w:rPr>
            </w:pPr>
            <w:r w:rsidRPr="00170422">
              <w:rPr>
                <w:noProof/>
                <w:lang w:val="de-DE"/>
              </w:rPr>
              <w:t>Finanzpolizei – Erwerb professioneller datenwissenschaftlicher Dienstleistungen T1</w:t>
            </w:r>
          </w:p>
        </w:tc>
      </w:tr>
      <w:tr w:rsidR="0057163C" w:rsidRPr="00170422" w14:paraId="557B5081" w14:textId="77777777" w:rsidTr="00A400C5">
        <w:trPr>
          <w:trHeight w:val="300"/>
        </w:trPr>
        <w:tc>
          <w:tcPr>
            <w:tcW w:w="1435" w:type="dxa"/>
            <w:shd w:val="clear" w:color="auto" w:fill="C6EFCE"/>
            <w:tcMar>
              <w:left w:w="108" w:type="dxa"/>
              <w:right w:w="108" w:type="dxa"/>
            </w:tcMar>
            <w:vAlign w:val="center"/>
          </w:tcPr>
          <w:p w14:paraId="494F5640" w14:textId="77777777" w:rsidR="0057163C" w:rsidRPr="00170422" w:rsidRDefault="00F37BF9">
            <w:pPr>
              <w:pStyle w:val="P68B1DB1-Normal121"/>
              <w:spacing w:after="0" w:line="240" w:lineRule="auto"/>
              <w:jc w:val="center"/>
              <w:rPr>
                <w:noProof/>
                <w:lang w:val="de-DE"/>
              </w:rPr>
            </w:pPr>
            <w:r w:rsidRPr="00170422">
              <w:rPr>
                <w:noProof/>
                <w:lang w:val="de-DE"/>
              </w:rPr>
              <w:t>M1C1-72</w:t>
            </w:r>
          </w:p>
        </w:tc>
        <w:tc>
          <w:tcPr>
            <w:tcW w:w="2097" w:type="dxa"/>
            <w:shd w:val="clear" w:color="auto" w:fill="C6EFCE"/>
            <w:tcMar>
              <w:left w:w="108" w:type="dxa"/>
              <w:right w:w="108" w:type="dxa"/>
            </w:tcMar>
            <w:vAlign w:val="center"/>
          </w:tcPr>
          <w:p w14:paraId="03ACBB75"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14A021B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5E3940E4" w14:textId="77777777" w:rsidR="0057163C" w:rsidRPr="00170422" w:rsidRDefault="00F37BF9">
            <w:pPr>
              <w:pStyle w:val="P68B1DB1-Normal121"/>
              <w:spacing w:after="0" w:line="240" w:lineRule="auto"/>
              <w:rPr>
                <w:noProof/>
                <w:lang w:val="de-DE"/>
              </w:rPr>
            </w:pPr>
            <w:r w:rsidRPr="00170422">
              <w:rPr>
                <w:noProof/>
                <w:lang w:val="de-DE"/>
              </w:rPr>
              <w:t xml:space="preserve">Maßnahmen zur Verringerung der verspäteten </w:t>
            </w:r>
            <w:r w:rsidRPr="00170422">
              <w:rPr>
                <w:noProof/>
                <w:lang w:val="de-DE"/>
              </w:rPr>
              <w:t>Zahlungen der öffentlichen Verwaltung an Unternehmen werden genehmigt.</w:t>
            </w:r>
          </w:p>
        </w:tc>
      </w:tr>
      <w:tr w:rsidR="0057163C" w:rsidRPr="00170422" w14:paraId="3B85D092" w14:textId="77777777" w:rsidTr="00A400C5">
        <w:trPr>
          <w:trHeight w:val="300"/>
        </w:trPr>
        <w:tc>
          <w:tcPr>
            <w:tcW w:w="1435" w:type="dxa"/>
            <w:shd w:val="clear" w:color="auto" w:fill="C6EFCE"/>
            <w:tcMar>
              <w:left w:w="108" w:type="dxa"/>
              <w:right w:w="108" w:type="dxa"/>
            </w:tcMar>
            <w:vAlign w:val="center"/>
          </w:tcPr>
          <w:p w14:paraId="76CC515B" w14:textId="77777777" w:rsidR="0057163C" w:rsidRPr="00170422" w:rsidRDefault="00F37BF9">
            <w:pPr>
              <w:pStyle w:val="P68B1DB1-Normal121"/>
              <w:spacing w:after="0" w:line="240" w:lineRule="auto"/>
              <w:jc w:val="center"/>
              <w:rPr>
                <w:noProof/>
                <w:lang w:val="de-DE"/>
              </w:rPr>
            </w:pPr>
            <w:r w:rsidRPr="00170422">
              <w:rPr>
                <w:noProof/>
                <w:lang w:val="de-DE"/>
              </w:rPr>
              <w:t>M1C1-73</w:t>
            </w:r>
          </w:p>
        </w:tc>
        <w:tc>
          <w:tcPr>
            <w:tcW w:w="2097" w:type="dxa"/>
            <w:shd w:val="clear" w:color="auto" w:fill="C6EFCE"/>
            <w:tcMar>
              <w:left w:w="108" w:type="dxa"/>
              <w:right w:w="108" w:type="dxa"/>
            </w:tcMar>
            <w:vAlign w:val="center"/>
          </w:tcPr>
          <w:p w14:paraId="175A10DD"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7545AB0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0CBFF77B" w14:textId="77777777" w:rsidR="0057163C" w:rsidRPr="00170422" w:rsidRDefault="00F37BF9">
            <w:pPr>
              <w:pStyle w:val="P68B1DB1-Normal121"/>
              <w:spacing w:after="0" w:line="240" w:lineRule="auto"/>
              <w:rPr>
                <w:noProof/>
                <w:lang w:val="de-DE"/>
              </w:rPr>
            </w:pPr>
            <w:r w:rsidRPr="00170422">
              <w:rPr>
                <w:noProof/>
                <w:lang w:val="de-DE"/>
              </w:rPr>
              <w:t>Inkrafttreten der Reform des Gesetzbuchs über das öffentliche Auftragswesen</w:t>
            </w:r>
          </w:p>
        </w:tc>
      </w:tr>
      <w:tr w:rsidR="0057163C" w:rsidRPr="00170422" w14:paraId="7E75E7AD" w14:textId="77777777" w:rsidTr="00A400C5">
        <w:trPr>
          <w:trHeight w:val="300"/>
        </w:trPr>
        <w:tc>
          <w:tcPr>
            <w:tcW w:w="1435" w:type="dxa"/>
            <w:shd w:val="clear" w:color="auto" w:fill="C6EFCE"/>
            <w:tcMar>
              <w:left w:w="108" w:type="dxa"/>
              <w:right w:w="108" w:type="dxa"/>
            </w:tcMar>
            <w:vAlign w:val="center"/>
          </w:tcPr>
          <w:p w14:paraId="179F554C" w14:textId="77777777" w:rsidR="0057163C" w:rsidRPr="00170422" w:rsidRDefault="00F37BF9">
            <w:pPr>
              <w:pStyle w:val="P68B1DB1-Normal121"/>
              <w:spacing w:after="0" w:line="240" w:lineRule="auto"/>
              <w:jc w:val="center"/>
              <w:rPr>
                <w:noProof/>
                <w:lang w:val="de-DE"/>
              </w:rPr>
            </w:pPr>
            <w:r w:rsidRPr="00170422">
              <w:rPr>
                <w:noProof/>
                <w:lang w:val="de-DE"/>
              </w:rPr>
              <w:t>M2C2-14</w:t>
            </w:r>
          </w:p>
        </w:tc>
        <w:tc>
          <w:tcPr>
            <w:tcW w:w="2097" w:type="dxa"/>
            <w:shd w:val="clear" w:color="auto" w:fill="C6EFCE"/>
            <w:tcMar>
              <w:left w:w="108" w:type="dxa"/>
              <w:right w:w="108" w:type="dxa"/>
            </w:tcMar>
            <w:vAlign w:val="center"/>
          </w:tcPr>
          <w:p w14:paraId="5697F96F" w14:textId="77777777" w:rsidR="0057163C" w:rsidRPr="00170422" w:rsidRDefault="00F37BF9">
            <w:pPr>
              <w:pStyle w:val="P68B1DB1-Normal121"/>
              <w:spacing w:after="0" w:line="240" w:lineRule="auto"/>
              <w:rPr>
                <w:noProof/>
                <w:lang w:val="de-DE"/>
              </w:rPr>
            </w:pPr>
            <w:r w:rsidRPr="00170422">
              <w:rPr>
                <w:noProof/>
                <w:lang w:val="de-DE"/>
              </w:rPr>
              <w:t>Investition 3.3 Wasserstofftests für den Straßenverkehr</w:t>
            </w:r>
          </w:p>
        </w:tc>
        <w:tc>
          <w:tcPr>
            <w:tcW w:w="2268" w:type="dxa"/>
            <w:shd w:val="clear" w:color="auto" w:fill="C6EFCE"/>
            <w:tcMar>
              <w:left w:w="108" w:type="dxa"/>
              <w:right w:w="108" w:type="dxa"/>
            </w:tcMar>
            <w:vAlign w:val="center"/>
          </w:tcPr>
          <w:p w14:paraId="1F48F35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4CAC062E" w14:textId="77777777" w:rsidR="0057163C" w:rsidRPr="00170422" w:rsidRDefault="00F37BF9">
            <w:pPr>
              <w:pStyle w:val="P68B1DB1-Normal121"/>
              <w:spacing w:after="0" w:line="240" w:lineRule="auto"/>
              <w:rPr>
                <w:noProof/>
                <w:lang w:val="de-DE"/>
              </w:rPr>
            </w:pPr>
            <w:r w:rsidRPr="00170422">
              <w:rPr>
                <w:noProof/>
                <w:lang w:val="de-DE"/>
              </w:rPr>
              <w:t>Vergabe (aller) öffentlicher Aufträge für die Entwicklung von Aufladestationen auf Wasserstoffbasis</w:t>
            </w:r>
          </w:p>
        </w:tc>
      </w:tr>
      <w:tr w:rsidR="0057163C" w:rsidRPr="00170422" w14:paraId="406AD2D3" w14:textId="77777777" w:rsidTr="00A400C5">
        <w:trPr>
          <w:trHeight w:val="300"/>
        </w:trPr>
        <w:tc>
          <w:tcPr>
            <w:tcW w:w="1435" w:type="dxa"/>
            <w:shd w:val="clear" w:color="auto" w:fill="C6EFCE"/>
            <w:tcMar>
              <w:left w:w="108" w:type="dxa"/>
              <w:right w:w="108" w:type="dxa"/>
            </w:tcMar>
            <w:vAlign w:val="center"/>
          </w:tcPr>
          <w:p w14:paraId="0C45D74E" w14:textId="77777777" w:rsidR="0057163C" w:rsidRPr="00170422" w:rsidRDefault="00F37BF9">
            <w:pPr>
              <w:pStyle w:val="P68B1DB1-Normal121"/>
              <w:spacing w:after="0" w:line="240" w:lineRule="auto"/>
              <w:jc w:val="center"/>
              <w:rPr>
                <w:noProof/>
                <w:lang w:val="de-DE"/>
              </w:rPr>
            </w:pPr>
            <w:r w:rsidRPr="00170422">
              <w:rPr>
                <w:noProof/>
                <w:lang w:val="de-DE"/>
              </w:rPr>
              <w:t>M2C2-16</w:t>
            </w:r>
          </w:p>
        </w:tc>
        <w:tc>
          <w:tcPr>
            <w:tcW w:w="2097" w:type="dxa"/>
            <w:shd w:val="clear" w:color="auto" w:fill="C6EFCE"/>
            <w:tcMar>
              <w:left w:w="108" w:type="dxa"/>
              <w:right w:w="108" w:type="dxa"/>
            </w:tcMar>
            <w:vAlign w:val="center"/>
          </w:tcPr>
          <w:p w14:paraId="6E617DC3" w14:textId="77777777" w:rsidR="0057163C" w:rsidRPr="00170422" w:rsidRDefault="00F37BF9">
            <w:pPr>
              <w:pStyle w:val="P68B1DB1-Normal121"/>
              <w:spacing w:after="0" w:line="240" w:lineRule="auto"/>
              <w:rPr>
                <w:noProof/>
                <w:lang w:val="de-DE"/>
              </w:rPr>
            </w:pPr>
            <w:r w:rsidRPr="00170422">
              <w:rPr>
                <w:noProof/>
                <w:lang w:val="de-DE"/>
              </w:rPr>
              <w:t>Investition 3.4 Wasserstofftests für die Eisenbahnmobilität</w:t>
            </w:r>
          </w:p>
        </w:tc>
        <w:tc>
          <w:tcPr>
            <w:tcW w:w="2268" w:type="dxa"/>
            <w:shd w:val="clear" w:color="auto" w:fill="C6EFCE"/>
            <w:tcMar>
              <w:left w:w="108" w:type="dxa"/>
              <w:right w:w="108" w:type="dxa"/>
            </w:tcMar>
            <w:vAlign w:val="center"/>
          </w:tcPr>
          <w:p w14:paraId="2D22850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2056E3B8" w14:textId="77777777" w:rsidR="0057163C" w:rsidRPr="00170422" w:rsidRDefault="00F37BF9">
            <w:pPr>
              <w:pStyle w:val="P68B1DB1-Normal121"/>
              <w:spacing w:after="0" w:line="240" w:lineRule="auto"/>
              <w:rPr>
                <w:noProof/>
                <w:lang w:val="de-DE"/>
              </w:rPr>
            </w:pPr>
            <w:r w:rsidRPr="00170422">
              <w:rPr>
                <w:noProof/>
                <w:lang w:val="de-DE"/>
              </w:rPr>
              <w:t>Zuweisu</w:t>
            </w:r>
            <w:r w:rsidRPr="00170422">
              <w:rPr>
                <w:noProof/>
                <w:lang w:val="de-DE"/>
              </w:rPr>
              <w:t>ng von Mitteln für Wasserstofftests für die Eisenbahnmobilität</w:t>
            </w:r>
          </w:p>
        </w:tc>
      </w:tr>
      <w:tr w:rsidR="0057163C" w:rsidRPr="00170422" w14:paraId="0D967412" w14:textId="77777777" w:rsidTr="00A400C5">
        <w:trPr>
          <w:trHeight w:val="300"/>
        </w:trPr>
        <w:tc>
          <w:tcPr>
            <w:tcW w:w="1435" w:type="dxa"/>
            <w:shd w:val="clear" w:color="auto" w:fill="C6EFCE"/>
            <w:tcMar>
              <w:left w:w="108" w:type="dxa"/>
              <w:right w:w="108" w:type="dxa"/>
            </w:tcMar>
            <w:vAlign w:val="center"/>
          </w:tcPr>
          <w:p w14:paraId="5D26BF58" w14:textId="77777777" w:rsidR="0057163C" w:rsidRPr="00170422" w:rsidRDefault="00F37BF9">
            <w:pPr>
              <w:pStyle w:val="P68B1DB1-Normal121"/>
              <w:spacing w:after="0" w:line="240" w:lineRule="auto"/>
              <w:jc w:val="center"/>
              <w:rPr>
                <w:noProof/>
                <w:lang w:val="de-DE"/>
              </w:rPr>
            </w:pPr>
            <w:r w:rsidRPr="00170422">
              <w:rPr>
                <w:noProof/>
                <w:lang w:val="de-DE"/>
              </w:rPr>
              <w:t>M2C2-20</w:t>
            </w:r>
          </w:p>
        </w:tc>
        <w:tc>
          <w:tcPr>
            <w:tcW w:w="2097" w:type="dxa"/>
            <w:shd w:val="clear" w:color="auto" w:fill="C6EFCE"/>
            <w:tcMar>
              <w:left w:w="108" w:type="dxa"/>
              <w:right w:w="108" w:type="dxa"/>
            </w:tcMar>
            <w:vAlign w:val="center"/>
          </w:tcPr>
          <w:p w14:paraId="328772E1" w14:textId="77777777" w:rsidR="0057163C" w:rsidRPr="00170422" w:rsidRDefault="00F37BF9">
            <w:pPr>
              <w:pStyle w:val="P68B1DB1-Normal121"/>
              <w:spacing w:after="0" w:line="240" w:lineRule="auto"/>
              <w:rPr>
                <w:noProof/>
                <w:lang w:val="de-DE"/>
              </w:rPr>
            </w:pPr>
            <w:r w:rsidRPr="00170422">
              <w:rPr>
                <w:noProof/>
                <w:lang w:val="de-DE"/>
              </w:rPr>
              <w:t>Reform 3 Verwaltungsvereinfachung und Abbau regulatorischer Hindernisse für die Einführung von Wasserstoff</w:t>
            </w:r>
          </w:p>
        </w:tc>
        <w:tc>
          <w:tcPr>
            <w:tcW w:w="2268" w:type="dxa"/>
            <w:shd w:val="clear" w:color="auto" w:fill="C6EFCE"/>
            <w:tcMar>
              <w:left w:w="108" w:type="dxa"/>
              <w:right w:w="108" w:type="dxa"/>
            </w:tcMar>
            <w:vAlign w:val="center"/>
          </w:tcPr>
          <w:p w14:paraId="114EE86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1B364F8C" w14:textId="77777777" w:rsidR="0057163C" w:rsidRPr="00170422" w:rsidRDefault="00F37BF9">
            <w:pPr>
              <w:pStyle w:val="P68B1DB1-Normal121"/>
              <w:spacing w:after="0" w:line="240" w:lineRule="auto"/>
              <w:rPr>
                <w:noProof/>
                <w:lang w:val="de-DE"/>
              </w:rPr>
            </w:pPr>
            <w:r w:rsidRPr="00170422">
              <w:rPr>
                <w:noProof/>
                <w:lang w:val="de-DE"/>
              </w:rPr>
              <w:t>Inkrafttreten der erforderlichen legislativen Maßnahmen</w:t>
            </w:r>
          </w:p>
        </w:tc>
      </w:tr>
      <w:tr w:rsidR="0057163C" w:rsidRPr="00170422" w14:paraId="1360903C" w14:textId="77777777" w:rsidTr="00A400C5">
        <w:trPr>
          <w:trHeight w:val="300"/>
        </w:trPr>
        <w:tc>
          <w:tcPr>
            <w:tcW w:w="1435" w:type="dxa"/>
            <w:shd w:val="clear" w:color="auto" w:fill="C6EFCE"/>
            <w:tcMar>
              <w:left w:w="108" w:type="dxa"/>
              <w:right w:w="108" w:type="dxa"/>
            </w:tcMar>
            <w:vAlign w:val="center"/>
          </w:tcPr>
          <w:p w14:paraId="5FEF9195" w14:textId="77777777" w:rsidR="0057163C" w:rsidRPr="00170422" w:rsidRDefault="00F37BF9">
            <w:pPr>
              <w:pStyle w:val="P68B1DB1-Normal121"/>
              <w:spacing w:after="0" w:line="240" w:lineRule="auto"/>
              <w:jc w:val="center"/>
              <w:rPr>
                <w:noProof/>
                <w:lang w:val="de-DE"/>
              </w:rPr>
            </w:pPr>
            <w:r w:rsidRPr="00170422">
              <w:rPr>
                <w:noProof/>
                <w:lang w:val="de-DE"/>
              </w:rPr>
              <w:t>M5C2-3</w:t>
            </w:r>
          </w:p>
        </w:tc>
        <w:tc>
          <w:tcPr>
            <w:tcW w:w="2097" w:type="dxa"/>
            <w:shd w:val="clear" w:color="auto" w:fill="C6EFCE"/>
            <w:tcMar>
              <w:left w:w="108" w:type="dxa"/>
              <w:right w:w="108" w:type="dxa"/>
            </w:tcMar>
            <w:vAlign w:val="center"/>
          </w:tcPr>
          <w:p w14:paraId="04B0E011" w14:textId="77777777" w:rsidR="0057163C" w:rsidRPr="00170422" w:rsidRDefault="00F37BF9">
            <w:pPr>
              <w:pStyle w:val="P68B1DB1-Normal121"/>
              <w:spacing w:after="0" w:line="240" w:lineRule="auto"/>
              <w:rPr>
                <w:noProof/>
                <w:lang w:val="de-DE"/>
              </w:rPr>
            </w:pPr>
            <w:r w:rsidRPr="00170422">
              <w:rPr>
                <w:noProof/>
                <w:lang w:val="de-DE"/>
              </w:rPr>
              <w:t>Reform 2 – Reform für ältere Menschen ohne Selbstversorgung</w:t>
            </w:r>
          </w:p>
        </w:tc>
        <w:tc>
          <w:tcPr>
            <w:tcW w:w="2268" w:type="dxa"/>
            <w:shd w:val="clear" w:color="auto" w:fill="C6EFCE"/>
            <w:tcMar>
              <w:left w:w="108" w:type="dxa"/>
              <w:right w:w="108" w:type="dxa"/>
            </w:tcMar>
            <w:vAlign w:val="center"/>
          </w:tcPr>
          <w:p w14:paraId="1090A4F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1815B229" w14:textId="77777777" w:rsidR="0057163C" w:rsidRPr="00170422" w:rsidRDefault="00F37BF9">
            <w:pPr>
              <w:pStyle w:val="P68B1DB1-Normal121"/>
              <w:spacing w:after="0" w:line="240" w:lineRule="auto"/>
              <w:rPr>
                <w:noProof/>
                <w:lang w:val="de-DE"/>
              </w:rPr>
            </w:pPr>
            <w:r w:rsidRPr="00170422">
              <w:rPr>
                <w:noProof/>
                <w:lang w:val="de-DE"/>
              </w:rPr>
              <w:t>Inkrafttreten eines Rahmengesetzes zur Stärkung der Maßnahmen zugunsten älterer Menschen ohne Selbstversorgung</w:t>
            </w:r>
          </w:p>
        </w:tc>
      </w:tr>
      <w:tr w:rsidR="0057163C" w:rsidRPr="00170422" w14:paraId="1777986E" w14:textId="77777777" w:rsidTr="00A400C5">
        <w:trPr>
          <w:trHeight w:val="300"/>
        </w:trPr>
        <w:tc>
          <w:tcPr>
            <w:tcW w:w="1435" w:type="dxa"/>
            <w:shd w:val="clear" w:color="auto" w:fill="C6EFCE"/>
            <w:tcMar>
              <w:left w:w="108" w:type="dxa"/>
              <w:right w:w="108" w:type="dxa"/>
            </w:tcMar>
            <w:vAlign w:val="center"/>
          </w:tcPr>
          <w:p w14:paraId="7A8A1041" w14:textId="77777777" w:rsidR="0057163C" w:rsidRPr="00170422" w:rsidRDefault="00F37BF9">
            <w:pPr>
              <w:pStyle w:val="P68B1DB1-Normal121"/>
              <w:spacing w:after="0" w:line="240" w:lineRule="auto"/>
              <w:jc w:val="center"/>
              <w:rPr>
                <w:noProof/>
                <w:lang w:val="de-DE"/>
              </w:rPr>
            </w:pPr>
            <w:r w:rsidRPr="00170422">
              <w:rPr>
                <w:noProof/>
                <w:lang w:val="de-DE"/>
              </w:rPr>
              <w:t>M1C1-37</w:t>
            </w:r>
          </w:p>
        </w:tc>
        <w:tc>
          <w:tcPr>
            <w:tcW w:w="2097" w:type="dxa"/>
            <w:shd w:val="clear" w:color="auto" w:fill="C6EFCE"/>
            <w:tcMar>
              <w:left w:w="108" w:type="dxa"/>
              <w:right w:w="108" w:type="dxa"/>
            </w:tcMar>
            <w:vAlign w:val="center"/>
          </w:tcPr>
          <w:p w14:paraId="1D9E923D" w14:textId="77777777" w:rsidR="0057163C" w:rsidRPr="00170422" w:rsidRDefault="00F37BF9">
            <w:pPr>
              <w:pStyle w:val="P68B1DB1-Normal121"/>
              <w:spacing w:after="0" w:line="240" w:lineRule="auto"/>
              <w:rPr>
                <w:noProof/>
                <w:lang w:val="de-DE"/>
              </w:rPr>
            </w:pPr>
            <w:r w:rsidRPr="00170422">
              <w:rPr>
                <w:noProof/>
                <w:lang w:val="de-DE"/>
              </w:rPr>
              <w:t>Reformen 1.4 und 1.5: Reform der Zivil- und Strafjustiz</w:t>
            </w:r>
          </w:p>
        </w:tc>
        <w:tc>
          <w:tcPr>
            <w:tcW w:w="2268" w:type="dxa"/>
            <w:shd w:val="clear" w:color="auto" w:fill="C6EFCE"/>
            <w:tcMar>
              <w:left w:w="108" w:type="dxa"/>
              <w:right w:w="108" w:type="dxa"/>
            </w:tcMar>
            <w:vAlign w:val="center"/>
          </w:tcPr>
          <w:p w14:paraId="675CF51D" w14:textId="77777777" w:rsidR="0057163C" w:rsidRPr="00170422" w:rsidRDefault="00F37BF9">
            <w:pPr>
              <w:pStyle w:val="P68B1DB1-Normal121"/>
              <w:spacing w:after="0" w:line="240" w:lineRule="auto"/>
              <w:jc w:val="center"/>
              <w:rPr>
                <w:noProof/>
                <w:lang w:val="de-DE"/>
              </w:rPr>
            </w:pPr>
            <w:r w:rsidRPr="00170422">
              <w:rPr>
                <w:noProof/>
                <w:lang w:val="de-DE"/>
              </w:rPr>
              <w:t>Meilenst</w:t>
            </w:r>
            <w:r w:rsidRPr="00170422">
              <w:rPr>
                <w:noProof/>
                <w:lang w:val="de-DE"/>
              </w:rPr>
              <w:t>ein</w:t>
            </w:r>
          </w:p>
        </w:tc>
        <w:tc>
          <w:tcPr>
            <w:tcW w:w="3557" w:type="dxa"/>
            <w:shd w:val="clear" w:color="auto" w:fill="C6EFCE"/>
            <w:tcMar>
              <w:left w:w="108" w:type="dxa"/>
              <w:right w:w="108" w:type="dxa"/>
            </w:tcMar>
            <w:vAlign w:val="center"/>
          </w:tcPr>
          <w:p w14:paraId="74345A42" w14:textId="77777777" w:rsidR="0057163C" w:rsidRPr="00170422" w:rsidRDefault="00F37BF9">
            <w:pPr>
              <w:pStyle w:val="P68B1DB1-Normal121"/>
              <w:spacing w:after="0" w:line="240" w:lineRule="auto"/>
              <w:rPr>
                <w:noProof/>
                <w:lang w:val="de-DE"/>
              </w:rPr>
            </w:pPr>
            <w:r w:rsidRPr="00170422">
              <w:rPr>
                <w:noProof/>
                <w:lang w:val="de-DE"/>
              </w:rPr>
              <w:t>Inkrafttreten der Zivil- und Strafjustizreform</w:t>
            </w:r>
          </w:p>
        </w:tc>
      </w:tr>
      <w:tr w:rsidR="0057163C" w:rsidRPr="00170422" w14:paraId="2D3F541A" w14:textId="77777777" w:rsidTr="00A400C5">
        <w:trPr>
          <w:trHeight w:val="300"/>
        </w:trPr>
        <w:tc>
          <w:tcPr>
            <w:tcW w:w="1435" w:type="dxa"/>
            <w:shd w:val="clear" w:color="auto" w:fill="C6EFCE"/>
            <w:tcMar>
              <w:left w:w="108" w:type="dxa"/>
              <w:right w:w="108" w:type="dxa"/>
            </w:tcMar>
            <w:vAlign w:val="center"/>
          </w:tcPr>
          <w:p w14:paraId="621F7094" w14:textId="77777777" w:rsidR="0057163C" w:rsidRPr="00170422" w:rsidRDefault="00F37BF9">
            <w:pPr>
              <w:pStyle w:val="P68B1DB1-Normal121"/>
              <w:spacing w:after="0" w:line="240" w:lineRule="auto"/>
              <w:jc w:val="center"/>
              <w:rPr>
                <w:noProof/>
                <w:lang w:val="de-DE"/>
              </w:rPr>
            </w:pPr>
            <w:r w:rsidRPr="00170422">
              <w:rPr>
                <w:noProof/>
                <w:lang w:val="de-DE"/>
              </w:rPr>
              <w:t>M1C1-58</w:t>
            </w:r>
          </w:p>
        </w:tc>
        <w:tc>
          <w:tcPr>
            <w:tcW w:w="2097" w:type="dxa"/>
            <w:shd w:val="clear" w:color="auto" w:fill="C6EFCE"/>
            <w:tcMar>
              <w:left w:w="108" w:type="dxa"/>
              <w:right w:w="108" w:type="dxa"/>
            </w:tcMar>
            <w:vAlign w:val="center"/>
          </w:tcPr>
          <w:p w14:paraId="6B2EB594"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68" w:type="dxa"/>
            <w:shd w:val="clear" w:color="auto" w:fill="C6EFCE"/>
            <w:tcMar>
              <w:left w:w="108" w:type="dxa"/>
              <w:right w:w="108" w:type="dxa"/>
            </w:tcMar>
            <w:vAlign w:val="center"/>
          </w:tcPr>
          <w:p w14:paraId="79F8EA7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5D47F999" w14:textId="77777777" w:rsidR="0057163C" w:rsidRPr="00170422" w:rsidRDefault="00F37BF9">
            <w:pPr>
              <w:pStyle w:val="P68B1DB1-Normal121"/>
              <w:spacing w:after="0" w:line="240" w:lineRule="auto"/>
              <w:rPr>
                <w:noProof/>
                <w:lang w:val="de-DE"/>
              </w:rPr>
            </w:pPr>
            <w:r w:rsidRPr="00170422">
              <w:rPr>
                <w:noProof/>
                <w:lang w:val="de-DE"/>
              </w:rPr>
              <w:t>Inkrafttreten von Rechtsakten zur Reform der Beschäftigung im öffentlichen Dienst</w:t>
            </w:r>
          </w:p>
        </w:tc>
      </w:tr>
      <w:tr w:rsidR="0057163C" w:rsidRPr="00170422" w14:paraId="7B2F3550" w14:textId="77777777" w:rsidTr="00A400C5">
        <w:trPr>
          <w:trHeight w:val="300"/>
        </w:trPr>
        <w:tc>
          <w:tcPr>
            <w:tcW w:w="1435" w:type="dxa"/>
            <w:shd w:val="clear" w:color="auto" w:fill="C6EFCE"/>
            <w:tcMar>
              <w:left w:w="108" w:type="dxa"/>
              <w:right w:w="108" w:type="dxa"/>
            </w:tcMar>
            <w:vAlign w:val="center"/>
          </w:tcPr>
          <w:p w14:paraId="718A2409" w14:textId="77777777" w:rsidR="0057163C" w:rsidRPr="00170422" w:rsidRDefault="00F37BF9">
            <w:pPr>
              <w:pStyle w:val="P68B1DB1-Normal121"/>
              <w:spacing w:after="0" w:line="240" w:lineRule="auto"/>
              <w:jc w:val="center"/>
              <w:rPr>
                <w:noProof/>
                <w:lang w:val="de-DE"/>
              </w:rPr>
            </w:pPr>
            <w:r w:rsidRPr="00170422">
              <w:rPr>
                <w:noProof/>
                <w:lang w:val="de-DE"/>
              </w:rPr>
              <w:t>M1C1-74</w:t>
            </w:r>
          </w:p>
        </w:tc>
        <w:tc>
          <w:tcPr>
            <w:tcW w:w="2097" w:type="dxa"/>
            <w:shd w:val="clear" w:color="auto" w:fill="C6EFCE"/>
            <w:tcMar>
              <w:left w:w="108" w:type="dxa"/>
              <w:right w:w="108" w:type="dxa"/>
            </w:tcMar>
            <w:vAlign w:val="center"/>
          </w:tcPr>
          <w:p w14:paraId="5B956F1E" w14:textId="77777777" w:rsidR="0057163C" w:rsidRPr="00170422" w:rsidRDefault="00F37BF9">
            <w:pPr>
              <w:pStyle w:val="P68B1DB1-Normal121"/>
              <w:spacing w:after="0" w:line="240" w:lineRule="auto"/>
              <w:rPr>
                <w:noProof/>
                <w:lang w:val="de-DE"/>
              </w:rPr>
            </w:pPr>
            <w:r w:rsidRPr="00170422">
              <w:rPr>
                <w:noProof/>
                <w:lang w:val="de-DE"/>
              </w:rPr>
              <w:t xml:space="preserve">Reform 1.10: Reform des Rechtsrahmens für das </w:t>
            </w:r>
            <w:r w:rsidRPr="00170422">
              <w:rPr>
                <w:noProof/>
                <w:lang w:val="de-DE"/>
              </w:rPr>
              <w:t>öffentliche Auftragswesen</w:t>
            </w:r>
          </w:p>
        </w:tc>
        <w:tc>
          <w:tcPr>
            <w:tcW w:w="2268" w:type="dxa"/>
            <w:shd w:val="clear" w:color="auto" w:fill="C6EFCE"/>
            <w:tcMar>
              <w:left w:w="108" w:type="dxa"/>
              <w:right w:w="108" w:type="dxa"/>
            </w:tcMar>
            <w:vAlign w:val="center"/>
          </w:tcPr>
          <w:p w14:paraId="0ED4C9D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1450CF59" w14:textId="77777777" w:rsidR="0057163C" w:rsidRPr="00170422" w:rsidRDefault="00F37BF9">
            <w:pPr>
              <w:pStyle w:val="P68B1DB1-Normal121"/>
              <w:spacing w:after="0" w:line="240" w:lineRule="auto"/>
              <w:rPr>
                <w:noProof/>
                <w:lang w:val="de-DE"/>
              </w:rPr>
            </w:pPr>
            <w:r w:rsidRPr="00170422">
              <w:rPr>
                <w:noProof/>
                <w:lang w:val="de-DE"/>
              </w:rPr>
              <w:t>Inkrafttreten aller erforderlichen Durchführungsmaßnahmen und sekundärrechtlichen Vorschriften für die Reform zur Vereinfachung des Kodex für das öffentliche Auftragswesen</w:t>
            </w:r>
          </w:p>
        </w:tc>
      </w:tr>
      <w:tr w:rsidR="0057163C" w:rsidRPr="00170422" w14:paraId="3B17C267" w14:textId="77777777" w:rsidTr="00A400C5">
        <w:trPr>
          <w:trHeight w:val="300"/>
        </w:trPr>
        <w:tc>
          <w:tcPr>
            <w:tcW w:w="1435" w:type="dxa"/>
            <w:shd w:val="clear" w:color="auto" w:fill="C6EFCE"/>
            <w:tcMar>
              <w:left w:w="108" w:type="dxa"/>
              <w:right w:w="108" w:type="dxa"/>
            </w:tcMar>
            <w:vAlign w:val="center"/>
          </w:tcPr>
          <w:p w14:paraId="5D1D2FCD" w14:textId="77777777" w:rsidR="0057163C" w:rsidRPr="00170422" w:rsidRDefault="00F37BF9">
            <w:pPr>
              <w:pStyle w:val="P68B1DB1-Normal121"/>
              <w:spacing w:after="0" w:line="240" w:lineRule="auto"/>
              <w:jc w:val="center"/>
              <w:rPr>
                <w:noProof/>
                <w:lang w:val="de-DE"/>
              </w:rPr>
            </w:pPr>
            <w:r w:rsidRPr="00170422">
              <w:rPr>
                <w:noProof/>
                <w:lang w:val="de-DE"/>
              </w:rPr>
              <w:t>M1C1-109</w:t>
            </w:r>
          </w:p>
        </w:tc>
        <w:tc>
          <w:tcPr>
            <w:tcW w:w="2097" w:type="dxa"/>
            <w:shd w:val="clear" w:color="auto" w:fill="C6EFCE"/>
            <w:tcMar>
              <w:left w:w="108" w:type="dxa"/>
              <w:right w:w="108" w:type="dxa"/>
            </w:tcMar>
            <w:vAlign w:val="center"/>
          </w:tcPr>
          <w:p w14:paraId="43BFC17C" w14:textId="77777777" w:rsidR="0057163C" w:rsidRPr="00170422" w:rsidRDefault="00F37BF9">
            <w:pPr>
              <w:pStyle w:val="P68B1DB1-Normal121"/>
              <w:spacing w:after="0" w:line="240" w:lineRule="auto"/>
              <w:rPr>
                <w:noProof/>
                <w:lang w:val="de-DE"/>
              </w:rPr>
            </w:pPr>
            <w:r w:rsidRPr="00170422">
              <w:rPr>
                <w:noProof/>
                <w:lang w:val="de-DE"/>
              </w:rPr>
              <w:t>Reform 1.12: Reform der Steuerverwal</w:t>
            </w:r>
            <w:r w:rsidRPr="00170422">
              <w:rPr>
                <w:noProof/>
                <w:lang w:val="de-DE"/>
              </w:rPr>
              <w:t>tung</w:t>
            </w:r>
          </w:p>
        </w:tc>
        <w:tc>
          <w:tcPr>
            <w:tcW w:w="2268" w:type="dxa"/>
            <w:shd w:val="clear" w:color="auto" w:fill="C6EFCE"/>
            <w:tcMar>
              <w:left w:w="108" w:type="dxa"/>
              <w:right w:w="108" w:type="dxa"/>
            </w:tcMar>
            <w:vAlign w:val="center"/>
          </w:tcPr>
          <w:p w14:paraId="2E6E8F1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6274EF93" w14:textId="77777777" w:rsidR="0057163C" w:rsidRPr="00170422" w:rsidRDefault="00F37BF9">
            <w:pPr>
              <w:pStyle w:val="P68B1DB1-Normal121"/>
              <w:spacing w:after="0" w:line="240" w:lineRule="auto"/>
              <w:rPr>
                <w:noProof/>
                <w:lang w:val="de-DE"/>
              </w:rPr>
            </w:pPr>
            <w:r w:rsidRPr="00170422">
              <w:rPr>
                <w:noProof/>
                <w:lang w:val="de-DE"/>
              </w:rPr>
              <w:t>Übermittlung der ersten vorab erstellten MwSt-Erklärungen</w:t>
            </w:r>
          </w:p>
        </w:tc>
      </w:tr>
      <w:tr w:rsidR="0057163C" w:rsidRPr="00170422" w14:paraId="2E4EBFB9" w14:textId="77777777" w:rsidTr="00A400C5">
        <w:trPr>
          <w:trHeight w:val="300"/>
        </w:trPr>
        <w:tc>
          <w:tcPr>
            <w:tcW w:w="1435" w:type="dxa"/>
            <w:shd w:val="clear" w:color="auto" w:fill="C6EFCE"/>
            <w:tcMar>
              <w:left w:w="108" w:type="dxa"/>
              <w:right w:w="108" w:type="dxa"/>
            </w:tcMar>
            <w:vAlign w:val="center"/>
          </w:tcPr>
          <w:p w14:paraId="1989C7C1" w14:textId="77777777" w:rsidR="0057163C" w:rsidRPr="00170422" w:rsidRDefault="00F37BF9">
            <w:pPr>
              <w:pStyle w:val="P68B1DB1-Normal121"/>
              <w:spacing w:after="0" w:line="240" w:lineRule="auto"/>
              <w:jc w:val="center"/>
              <w:rPr>
                <w:noProof/>
                <w:lang w:val="de-DE"/>
              </w:rPr>
            </w:pPr>
            <w:r w:rsidRPr="00170422">
              <w:rPr>
                <w:noProof/>
                <w:lang w:val="de-DE"/>
              </w:rPr>
              <w:t>M2C2-27</w:t>
            </w:r>
          </w:p>
        </w:tc>
        <w:tc>
          <w:tcPr>
            <w:tcW w:w="2097" w:type="dxa"/>
            <w:shd w:val="clear" w:color="auto" w:fill="C6EFCE"/>
            <w:tcMar>
              <w:left w:w="108" w:type="dxa"/>
              <w:right w:w="108" w:type="dxa"/>
            </w:tcMar>
            <w:vAlign w:val="center"/>
          </w:tcPr>
          <w:p w14:paraId="55C104E3" w14:textId="77777777" w:rsidR="0057163C" w:rsidRPr="00170422" w:rsidRDefault="00F37BF9">
            <w:pPr>
              <w:pStyle w:val="P68B1DB1-Normal121"/>
              <w:spacing w:after="0" w:line="240" w:lineRule="auto"/>
              <w:rPr>
                <w:noProof/>
                <w:lang w:val="de-DE"/>
              </w:rPr>
            </w:pPr>
            <w:r w:rsidRPr="00170422">
              <w:rPr>
                <w:noProof/>
                <w:lang w:val="de-DE"/>
              </w:rPr>
              <w:t>Investition 4.3 Installation von Ladeinfrastrukturen</w:t>
            </w:r>
          </w:p>
        </w:tc>
        <w:tc>
          <w:tcPr>
            <w:tcW w:w="2268" w:type="dxa"/>
            <w:shd w:val="clear" w:color="auto" w:fill="C6EFCE"/>
            <w:tcMar>
              <w:left w:w="108" w:type="dxa"/>
              <w:right w:w="108" w:type="dxa"/>
            </w:tcMar>
            <w:vAlign w:val="center"/>
          </w:tcPr>
          <w:p w14:paraId="68E5672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43B2680E" w14:textId="77777777" w:rsidR="0057163C" w:rsidRPr="00170422" w:rsidRDefault="00F37BF9">
            <w:pPr>
              <w:pStyle w:val="P68B1DB1-Normal121"/>
              <w:spacing w:after="0" w:line="240" w:lineRule="auto"/>
              <w:rPr>
                <w:noProof/>
                <w:lang w:val="de-DE"/>
              </w:rPr>
            </w:pPr>
            <w:r w:rsidRPr="00170422">
              <w:rPr>
                <w:noProof/>
                <w:lang w:val="de-DE"/>
              </w:rPr>
              <w:t>Vergabe sämtlicher öffentlicher Aufträge für die Installation von Ladeinfrastrukturen M1</w:t>
            </w:r>
          </w:p>
        </w:tc>
      </w:tr>
      <w:tr w:rsidR="0057163C" w:rsidRPr="00170422" w14:paraId="612BC86D" w14:textId="77777777" w:rsidTr="00A400C5">
        <w:trPr>
          <w:trHeight w:val="300"/>
        </w:trPr>
        <w:tc>
          <w:tcPr>
            <w:tcW w:w="1435" w:type="dxa"/>
            <w:shd w:val="clear" w:color="auto" w:fill="C6EFCE"/>
            <w:tcMar>
              <w:left w:w="108" w:type="dxa"/>
              <w:right w:w="108" w:type="dxa"/>
            </w:tcMar>
            <w:vAlign w:val="center"/>
          </w:tcPr>
          <w:p w14:paraId="1E1DDF7F" w14:textId="77777777" w:rsidR="0057163C" w:rsidRPr="00170422" w:rsidRDefault="00F37BF9">
            <w:pPr>
              <w:pStyle w:val="P68B1DB1-Normal121"/>
              <w:spacing w:after="0" w:line="240" w:lineRule="auto"/>
              <w:jc w:val="center"/>
              <w:rPr>
                <w:noProof/>
                <w:lang w:val="de-DE"/>
              </w:rPr>
            </w:pPr>
            <w:r w:rsidRPr="00170422">
              <w:rPr>
                <w:noProof/>
                <w:lang w:val="de-DE"/>
              </w:rPr>
              <w:t>M2C2-33</w:t>
            </w:r>
          </w:p>
        </w:tc>
        <w:tc>
          <w:tcPr>
            <w:tcW w:w="2097" w:type="dxa"/>
            <w:shd w:val="clear" w:color="auto" w:fill="C6EFCE"/>
            <w:tcMar>
              <w:left w:w="108" w:type="dxa"/>
              <w:right w:w="108" w:type="dxa"/>
            </w:tcMar>
            <w:vAlign w:val="center"/>
          </w:tcPr>
          <w:p w14:paraId="7B13C2F4" w14:textId="77777777" w:rsidR="0057163C" w:rsidRPr="00170422" w:rsidRDefault="00F37BF9">
            <w:pPr>
              <w:pStyle w:val="P68B1DB1-Normal122"/>
              <w:spacing w:after="0" w:line="240" w:lineRule="auto"/>
              <w:rPr>
                <w:noProof/>
                <w:lang w:val="de-DE"/>
              </w:rPr>
            </w:pPr>
            <w:r w:rsidRPr="00170422">
              <w:rPr>
                <w:noProof/>
                <w:color w:val="006100"/>
                <w:lang w:val="de-DE"/>
              </w:rPr>
              <w:t xml:space="preserve">Investition 4.4.2: </w:t>
            </w:r>
            <w:r w:rsidRPr="00170422">
              <w:rPr>
                <w:noProof/>
                <w:color w:val="000000"/>
                <w:lang w:val="de-DE"/>
              </w:rPr>
              <w:t xml:space="preserve"> </w:t>
            </w:r>
            <w:r w:rsidRPr="00170422">
              <w:rPr>
                <w:noProof/>
                <w:color w:val="006100"/>
                <w:lang w:val="de-DE"/>
              </w:rPr>
              <w:t>Stärkung der regionalen Eisenbahnflotte des öffentlichen Verkehrs mit emissionsfreien Zügen und Universaldienst</w:t>
            </w:r>
          </w:p>
        </w:tc>
        <w:tc>
          <w:tcPr>
            <w:tcW w:w="2268" w:type="dxa"/>
            <w:shd w:val="clear" w:color="auto" w:fill="C6EFCE"/>
            <w:tcMar>
              <w:left w:w="108" w:type="dxa"/>
              <w:right w:w="108" w:type="dxa"/>
            </w:tcMar>
            <w:vAlign w:val="center"/>
          </w:tcPr>
          <w:p w14:paraId="402B173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50261CCD" w14:textId="77777777" w:rsidR="0057163C" w:rsidRPr="00170422" w:rsidRDefault="00F37BF9">
            <w:pPr>
              <w:pStyle w:val="P68B1DB1-Normal121"/>
              <w:spacing w:after="0" w:line="240" w:lineRule="auto"/>
              <w:rPr>
                <w:noProof/>
                <w:lang w:val="de-DE"/>
              </w:rPr>
            </w:pPr>
            <w:r w:rsidRPr="00170422">
              <w:rPr>
                <w:noProof/>
                <w:lang w:val="de-DE"/>
              </w:rPr>
              <w:t xml:space="preserve">Vergabe aller öffentlichen Aufträge zur Stärkung der regionalen Eisenbahnflotte des öffentlichen Verkehrs mit </w:t>
            </w:r>
            <w:r w:rsidRPr="00170422">
              <w:rPr>
                <w:noProof/>
                <w:lang w:val="de-DE"/>
              </w:rPr>
              <w:t>emissionsfreien Zügen und Universaldienst</w:t>
            </w:r>
          </w:p>
        </w:tc>
      </w:tr>
      <w:tr w:rsidR="0057163C" w:rsidRPr="00170422" w14:paraId="4AEB2D70" w14:textId="77777777" w:rsidTr="00A400C5">
        <w:trPr>
          <w:trHeight w:val="300"/>
        </w:trPr>
        <w:tc>
          <w:tcPr>
            <w:tcW w:w="1435" w:type="dxa"/>
            <w:shd w:val="clear" w:color="auto" w:fill="C6EFCE"/>
            <w:tcMar>
              <w:left w:w="108" w:type="dxa"/>
              <w:right w:w="108" w:type="dxa"/>
            </w:tcMar>
            <w:vAlign w:val="center"/>
          </w:tcPr>
          <w:p w14:paraId="67B4E346" w14:textId="77777777" w:rsidR="0057163C" w:rsidRPr="00170422" w:rsidRDefault="00F37BF9">
            <w:pPr>
              <w:pStyle w:val="P68B1DB1-Normal121"/>
              <w:spacing w:after="0" w:line="240" w:lineRule="auto"/>
              <w:jc w:val="center"/>
              <w:rPr>
                <w:noProof/>
                <w:lang w:val="de-DE"/>
              </w:rPr>
            </w:pPr>
            <w:r w:rsidRPr="00170422">
              <w:rPr>
                <w:noProof/>
                <w:lang w:val="de-DE"/>
              </w:rPr>
              <w:t>M2C3-2</w:t>
            </w:r>
          </w:p>
        </w:tc>
        <w:tc>
          <w:tcPr>
            <w:tcW w:w="2097" w:type="dxa"/>
            <w:shd w:val="clear" w:color="auto" w:fill="C6EFCE"/>
            <w:tcMar>
              <w:left w:w="108" w:type="dxa"/>
              <w:right w:w="108" w:type="dxa"/>
            </w:tcMar>
            <w:vAlign w:val="center"/>
          </w:tcPr>
          <w:p w14:paraId="217FE0EE" w14:textId="64C42F30" w:rsidR="0057163C" w:rsidRPr="00170422" w:rsidRDefault="00F37BF9">
            <w:pPr>
              <w:pStyle w:val="P68B1DB1-Normal121"/>
              <w:spacing w:after="0" w:line="240" w:lineRule="auto"/>
              <w:rPr>
                <w:noProof/>
                <w:lang w:val="de-DE"/>
              </w:rPr>
            </w:pPr>
            <w:r w:rsidRPr="00170422">
              <w:rPr>
                <w:noProof/>
                <w:lang w:val="de-DE"/>
              </w:rPr>
              <w:t xml:space="preserve">Investition 2.1 – Stärkung des Ökobonus für Energieeffizienz </w:t>
            </w:r>
          </w:p>
        </w:tc>
        <w:tc>
          <w:tcPr>
            <w:tcW w:w="2268" w:type="dxa"/>
            <w:shd w:val="clear" w:color="auto" w:fill="C6EFCE"/>
            <w:tcMar>
              <w:left w:w="108" w:type="dxa"/>
              <w:right w:w="108" w:type="dxa"/>
            </w:tcMar>
            <w:vAlign w:val="center"/>
          </w:tcPr>
          <w:p w14:paraId="41E4BE8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7F6E70D2" w14:textId="77777777" w:rsidR="0057163C" w:rsidRPr="00170422" w:rsidRDefault="00F37BF9">
            <w:pPr>
              <w:pStyle w:val="P68B1DB1-Normal121"/>
              <w:spacing w:after="0" w:line="240" w:lineRule="auto"/>
              <w:rPr>
                <w:noProof/>
                <w:lang w:val="de-DE"/>
              </w:rPr>
            </w:pPr>
            <w:r w:rsidRPr="00170422">
              <w:rPr>
                <w:noProof/>
                <w:lang w:val="de-DE"/>
              </w:rPr>
              <w:t>Gebäuderenovierung Superbonus T1</w:t>
            </w:r>
          </w:p>
        </w:tc>
      </w:tr>
      <w:tr w:rsidR="0057163C" w:rsidRPr="00170422" w14:paraId="1F6F10D9" w14:textId="77777777" w:rsidTr="00A400C5">
        <w:trPr>
          <w:trHeight w:val="300"/>
        </w:trPr>
        <w:tc>
          <w:tcPr>
            <w:tcW w:w="1435" w:type="dxa"/>
            <w:shd w:val="clear" w:color="auto" w:fill="C6EFCE"/>
            <w:tcMar>
              <w:left w:w="108" w:type="dxa"/>
              <w:right w:w="108" w:type="dxa"/>
            </w:tcMar>
            <w:vAlign w:val="center"/>
          </w:tcPr>
          <w:p w14:paraId="3B3AF2FC" w14:textId="77777777" w:rsidR="0057163C" w:rsidRPr="00170422" w:rsidRDefault="00F37BF9">
            <w:pPr>
              <w:pStyle w:val="P68B1DB1-Normal121"/>
              <w:spacing w:after="0" w:line="240" w:lineRule="auto"/>
              <w:jc w:val="center"/>
              <w:rPr>
                <w:noProof/>
                <w:lang w:val="de-DE"/>
              </w:rPr>
            </w:pPr>
            <w:r w:rsidRPr="00170422">
              <w:rPr>
                <w:noProof/>
                <w:lang w:val="de-DE"/>
              </w:rPr>
              <w:t>M4C1-9</w:t>
            </w:r>
          </w:p>
        </w:tc>
        <w:tc>
          <w:tcPr>
            <w:tcW w:w="2097" w:type="dxa"/>
            <w:shd w:val="clear" w:color="auto" w:fill="C6EFCE"/>
            <w:tcMar>
              <w:left w:w="108" w:type="dxa"/>
              <w:right w:w="108" w:type="dxa"/>
            </w:tcMar>
            <w:vAlign w:val="center"/>
          </w:tcPr>
          <w:p w14:paraId="5F888A75" w14:textId="77777777" w:rsidR="0057163C" w:rsidRPr="00170422" w:rsidRDefault="00F37BF9">
            <w:pPr>
              <w:pStyle w:val="P68B1DB1-Normal121"/>
              <w:spacing w:after="0" w:line="240" w:lineRule="auto"/>
              <w:rPr>
                <w:noProof/>
                <w:lang w:val="de-DE"/>
              </w:rPr>
            </w:pPr>
            <w:r w:rsidRPr="00170422">
              <w:rPr>
                <w:noProof/>
                <w:lang w:val="de-DE"/>
              </w:rPr>
              <w:t xml:space="preserve">Investition 1.1: Plan für Kinderkrippen und Vorschulen sowie frühkindliche Betreuung, Bildung und </w:t>
            </w:r>
            <w:r w:rsidRPr="00170422">
              <w:rPr>
                <w:noProof/>
                <w:lang w:val="de-DE"/>
              </w:rPr>
              <w:t>Erziehung</w:t>
            </w:r>
          </w:p>
        </w:tc>
        <w:tc>
          <w:tcPr>
            <w:tcW w:w="2268" w:type="dxa"/>
            <w:shd w:val="clear" w:color="auto" w:fill="C6EFCE"/>
            <w:tcMar>
              <w:left w:w="108" w:type="dxa"/>
              <w:right w:w="108" w:type="dxa"/>
            </w:tcMar>
            <w:vAlign w:val="center"/>
          </w:tcPr>
          <w:p w14:paraId="14348D5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3F1EE61F" w14:textId="7EA19011" w:rsidR="0057163C" w:rsidRPr="00170422" w:rsidRDefault="00F37BF9">
            <w:pPr>
              <w:pStyle w:val="P68B1DB1-Normal121"/>
              <w:spacing w:after="0" w:line="240" w:lineRule="auto"/>
              <w:rPr>
                <w:noProof/>
                <w:lang w:val="de-DE"/>
              </w:rPr>
            </w:pPr>
            <w:r w:rsidRPr="00170422">
              <w:rPr>
                <w:noProof/>
                <w:lang w:val="de-DE"/>
              </w:rPr>
              <w:t>Vergabe von Aufträgen für den Bau, die Renovierung und die Gewährleistung der Sicherheit von Kinderkrippen, Vorschulen und frühkindlicher Betreuung, Bildung und Erziehung</w:t>
            </w:r>
          </w:p>
        </w:tc>
      </w:tr>
      <w:tr w:rsidR="0057163C" w:rsidRPr="00170422" w14:paraId="2DE1B7B2" w14:textId="77777777" w:rsidTr="00A400C5">
        <w:trPr>
          <w:trHeight w:val="300"/>
        </w:trPr>
        <w:tc>
          <w:tcPr>
            <w:tcW w:w="1435" w:type="dxa"/>
            <w:shd w:val="clear" w:color="auto" w:fill="C6EFCE"/>
            <w:tcMar>
              <w:left w:w="108" w:type="dxa"/>
              <w:right w:w="108" w:type="dxa"/>
            </w:tcMar>
            <w:vAlign w:val="center"/>
          </w:tcPr>
          <w:p w14:paraId="02E629A8" w14:textId="77777777" w:rsidR="0057163C" w:rsidRPr="00170422" w:rsidRDefault="00F37BF9">
            <w:pPr>
              <w:pStyle w:val="P68B1DB1-Normal121"/>
              <w:spacing w:after="0" w:line="240" w:lineRule="auto"/>
              <w:jc w:val="center"/>
              <w:rPr>
                <w:noProof/>
                <w:lang w:val="de-DE"/>
              </w:rPr>
            </w:pPr>
            <w:r w:rsidRPr="00170422">
              <w:rPr>
                <w:noProof/>
                <w:lang w:val="de-DE"/>
              </w:rPr>
              <w:t>M5C3-8</w:t>
            </w:r>
          </w:p>
        </w:tc>
        <w:tc>
          <w:tcPr>
            <w:tcW w:w="2097" w:type="dxa"/>
            <w:shd w:val="clear" w:color="auto" w:fill="C6EFCE"/>
            <w:tcMar>
              <w:left w:w="108" w:type="dxa"/>
              <w:right w:w="108" w:type="dxa"/>
            </w:tcMar>
            <w:vAlign w:val="center"/>
          </w:tcPr>
          <w:p w14:paraId="52D8B6D2" w14:textId="77777777" w:rsidR="0057163C" w:rsidRPr="00170422" w:rsidRDefault="00F37BF9">
            <w:pPr>
              <w:pStyle w:val="P68B1DB1-Normal121"/>
              <w:spacing w:after="0" w:line="240" w:lineRule="auto"/>
              <w:rPr>
                <w:noProof/>
                <w:lang w:val="de-DE"/>
              </w:rPr>
            </w:pPr>
            <w:r w:rsidRPr="00170422">
              <w:rPr>
                <w:noProof/>
                <w:lang w:val="de-DE"/>
              </w:rPr>
              <w:t xml:space="preserve">Investition 1.3: Strukturierte sozialpädagogische </w:t>
            </w:r>
            <w:r w:rsidRPr="00170422">
              <w:rPr>
                <w:noProof/>
                <w:lang w:val="de-DE"/>
              </w:rPr>
              <w:t>Maßnahmen zur Bekämpfung der Bildungsarmut im Süden zur Unterstützung des dritten Sektors</w:t>
            </w:r>
          </w:p>
        </w:tc>
        <w:tc>
          <w:tcPr>
            <w:tcW w:w="2268" w:type="dxa"/>
            <w:shd w:val="clear" w:color="auto" w:fill="C6EFCE"/>
            <w:tcMar>
              <w:left w:w="108" w:type="dxa"/>
              <w:right w:w="108" w:type="dxa"/>
            </w:tcMar>
            <w:vAlign w:val="center"/>
          </w:tcPr>
          <w:p w14:paraId="5EEA773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63ED9E60" w14:textId="77777777" w:rsidR="0057163C" w:rsidRPr="00170422" w:rsidRDefault="00F37BF9">
            <w:pPr>
              <w:pStyle w:val="P68B1DB1-Normal121"/>
              <w:spacing w:after="0" w:line="240" w:lineRule="auto"/>
              <w:rPr>
                <w:noProof/>
                <w:lang w:val="de-DE"/>
              </w:rPr>
            </w:pPr>
            <w:r w:rsidRPr="00170422">
              <w:rPr>
                <w:noProof/>
                <w:lang w:val="de-DE"/>
              </w:rPr>
              <w:t>Pädagogische Unterstützung für Minderjährige (erste Gruppe)</w:t>
            </w:r>
          </w:p>
        </w:tc>
      </w:tr>
      <w:tr w:rsidR="0057163C" w:rsidRPr="00170422" w14:paraId="49F92A3A" w14:textId="77777777" w:rsidTr="00A400C5">
        <w:trPr>
          <w:trHeight w:val="300"/>
        </w:trPr>
        <w:tc>
          <w:tcPr>
            <w:tcW w:w="1435" w:type="dxa"/>
            <w:shd w:val="clear" w:color="auto" w:fill="C6EFCE"/>
            <w:tcMar>
              <w:left w:w="108" w:type="dxa"/>
              <w:right w:w="108" w:type="dxa"/>
            </w:tcMar>
            <w:vAlign w:val="center"/>
          </w:tcPr>
          <w:p w14:paraId="4750F3F1"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shd w:val="clear" w:color="auto" w:fill="C6EFCE"/>
            <w:tcMar>
              <w:left w:w="108" w:type="dxa"/>
              <w:right w:w="108" w:type="dxa"/>
            </w:tcMar>
            <w:vAlign w:val="center"/>
          </w:tcPr>
          <w:p w14:paraId="07AB3AF2"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4F0119F3"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7" w:type="dxa"/>
            <w:shd w:val="clear" w:color="auto" w:fill="C6EFCE"/>
            <w:tcMar>
              <w:left w:w="108" w:type="dxa"/>
              <w:right w:w="108" w:type="dxa"/>
            </w:tcMar>
            <w:vAlign w:val="center"/>
          </w:tcPr>
          <w:p w14:paraId="784D566A"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2315646882 EUR</w:t>
            </w:r>
            <w:r w:rsidRPr="00170422">
              <w:rPr>
                <w:noProof/>
                <w:sz w:val="23"/>
                <w:szCs w:val="23"/>
                <w:lang w:val="de-DE"/>
              </w:rPr>
              <w:t xml:space="preserve">  </w:t>
            </w:r>
          </w:p>
        </w:tc>
      </w:tr>
    </w:tbl>
    <w:p w14:paraId="0253E1A2" w14:textId="2AF57A8C" w:rsidR="0057163C" w:rsidRPr="00170422" w:rsidRDefault="0057163C">
      <w:pPr>
        <w:rPr>
          <w:rFonts w:ascii="Times New Roman" w:eastAsiaTheme="majorEastAsia" w:hAnsi="Times New Roman" w:cs="Times New Roman"/>
          <w:noProof/>
          <w:highlight w:val="lightGray"/>
          <w:lang w:val="de-DE"/>
        </w:rPr>
      </w:pPr>
    </w:p>
    <w:p w14:paraId="6703ACD6"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Fünfte Tranche (nicht rückzahlbare Unterstützung):</w:t>
      </w:r>
    </w:p>
    <w:tbl>
      <w:tblPr>
        <w:tblW w:w="936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0"/>
        <w:gridCol w:w="2102"/>
        <w:gridCol w:w="2268"/>
        <w:gridCol w:w="3561"/>
      </w:tblGrid>
      <w:tr w:rsidR="0057163C" w:rsidRPr="00170422" w14:paraId="421DF51F" w14:textId="77777777" w:rsidTr="00A400C5">
        <w:trPr>
          <w:trHeight w:val="1425"/>
          <w:tblHeader/>
        </w:trPr>
        <w:tc>
          <w:tcPr>
            <w:tcW w:w="1430" w:type="dxa"/>
            <w:shd w:val="clear" w:color="auto" w:fill="BDD7EE"/>
            <w:tcMar>
              <w:left w:w="108" w:type="dxa"/>
              <w:right w:w="108" w:type="dxa"/>
            </w:tcMar>
            <w:vAlign w:val="center"/>
          </w:tcPr>
          <w:p w14:paraId="130A754C"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102" w:type="dxa"/>
            <w:shd w:val="clear" w:color="auto" w:fill="BDD7EE"/>
            <w:tcMar>
              <w:left w:w="108" w:type="dxa"/>
              <w:right w:w="108" w:type="dxa"/>
            </w:tcMar>
            <w:vAlign w:val="center"/>
          </w:tcPr>
          <w:p w14:paraId="1342B024"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68" w:type="dxa"/>
            <w:shd w:val="clear" w:color="auto" w:fill="BDD7EE"/>
            <w:tcMar>
              <w:left w:w="108" w:type="dxa"/>
              <w:right w:w="108" w:type="dxa"/>
            </w:tcMar>
            <w:vAlign w:val="center"/>
          </w:tcPr>
          <w:p w14:paraId="006C0C28"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61" w:type="dxa"/>
            <w:shd w:val="clear" w:color="auto" w:fill="BDD7EE"/>
            <w:tcMar>
              <w:left w:w="108" w:type="dxa"/>
              <w:right w:w="108" w:type="dxa"/>
            </w:tcMar>
            <w:vAlign w:val="center"/>
          </w:tcPr>
          <w:p w14:paraId="4C1AFB0D"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4781D6F8" w14:textId="77777777" w:rsidTr="00A400C5">
        <w:trPr>
          <w:trHeight w:val="300"/>
        </w:trPr>
        <w:tc>
          <w:tcPr>
            <w:tcW w:w="1430" w:type="dxa"/>
            <w:shd w:val="clear" w:color="auto" w:fill="C6EFCE"/>
            <w:tcMar>
              <w:left w:w="108" w:type="dxa"/>
              <w:right w:w="108" w:type="dxa"/>
            </w:tcMar>
            <w:vAlign w:val="center"/>
          </w:tcPr>
          <w:p w14:paraId="12516B93" w14:textId="77777777" w:rsidR="0057163C" w:rsidRPr="00170422" w:rsidRDefault="00F37BF9">
            <w:pPr>
              <w:pStyle w:val="P68B1DB1-Normal121"/>
              <w:spacing w:after="0" w:line="240" w:lineRule="auto"/>
              <w:jc w:val="center"/>
              <w:rPr>
                <w:noProof/>
                <w:lang w:val="de-DE"/>
              </w:rPr>
            </w:pPr>
            <w:r w:rsidRPr="00170422">
              <w:rPr>
                <w:noProof/>
                <w:lang w:val="de-DE"/>
              </w:rPr>
              <w:t>M1C2-4</w:t>
            </w:r>
          </w:p>
        </w:tc>
        <w:tc>
          <w:tcPr>
            <w:tcW w:w="2102" w:type="dxa"/>
            <w:shd w:val="clear" w:color="auto" w:fill="C6EFCE"/>
            <w:tcMar>
              <w:left w:w="108" w:type="dxa"/>
              <w:right w:w="108" w:type="dxa"/>
            </w:tcMar>
            <w:vAlign w:val="center"/>
          </w:tcPr>
          <w:p w14:paraId="58989A8D" w14:textId="77777777" w:rsidR="0057163C" w:rsidRPr="00170422" w:rsidRDefault="00F37BF9">
            <w:pPr>
              <w:pStyle w:val="P68B1DB1-Normal121"/>
              <w:spacing w:after="0" w:line="240" w:lineRule="auto"/>
              <w:rPr>
                <w:noProof/>
                <w:lang w:val="de-DE"/>
              </w:rPr>
            </w:pPr>
            <w:r w:rsidRPr="00170422">
              <w:rPr>
                <w:noProof/>
                <w:lang w:val="de-DE"/>
              </w:rPr>
              <w:t>Reform 1: Reform des Systems des gewerblichen Eigentums</w:t>
            </w:r>
          </w:p>
        </w:tc>
        <w:tc>
          <w:tcPr>
            <w:tcW w:w="2268" w:type="dxa"/>
            <w:shd w:val="clear" w:color="auto" w:fill="C6EFCE"/>
            <w:tcMar>
              <w:left w:w="108" w:type="dxa"/>
              <w:right w:w="108" w:type="dxa"/>
            </w:tcMar>
            <w:vAlign w:val="center"/>
          </w:tcPr>
          <w:p w14:paraId="716DFD3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2399348D" w14:textId="77777777" w:rsidR="0057163C" w:rsidRPr="00170422" w:rsidRDefault="00F37BF9">
            <w:pPr>
              <w:pStyle w:val="P68B1DB1-Normal121"/>
              <w:spacing w:after="0" w:line="240" w:lineRule="auto"/>
              <w:rPr>
                <w:noProof/>
                <w:lang w:val="de-DE"/>
              </w:rPr>
            </w:pPr>
            <w:r w:rsidRPr="00170422">
              <w:rPr>
                <w:noProof/>
                <w:lang w:val="de-DE"/>
              </w:rPr>
              <w:t xml:space="preserve">Inkrafttreten eines gesetzesvertretenden Dekrets zur Reform des italienischen Gesetzbuchs </w:t>
            </w:r>
            <w:r w:rsidRPr="00170422">
              <w:rPr>
                <w:noProof/>
                <w:lang w:val="de-DE"/>
              </w:rPr>
              <w:t>über den gewerblichen Rechtsschutz und der entsprechenden Durchführungsrechtsakte</w:t>
            </w:r>
          </w:p>
        </w:tc>
      </w:tr>
      <w:tr w:rsidR="0057163C" w:rsidRPr="00170422" w14:paraId="1222FCED" w14:textId="77777777" w:rsidTr="00A400C5">
        <w:trPr>
          <w:trHeight w:val="300"/>
        </w:trPr>
        <w:tc>
          <w:tcPr>
            <w:tcW w:w="1430" w:type="dxa"/>
            <w:shd w:val="clear" w:color="auto" w:fill="C6EFCE"/>
            <w:tcMar>
              <w:left w:w="108" w:type="dxa"/>
              <w:right w:w="108" w:type="dxa"/>
            </w:tcMar>
            <w:vAlign w:val="center"/>
          </w:tcPr>
          <w:p w14:paraId="5B20C873" w14:textId="77777777" w:rsidR="0057163C" w:rsidRPr="00170422" w:rsidRDefault="00F37BF9">
            <w:pPr>
              <w:pStyle w:val="P68B1DB1-Normal121"/>
              <w:spacing w:after="0" w:line="240" w:lineRule="auto"/>
              <w:jc w:val="center"/>
              <w:rPr>
                <w:noProof/>
                <w:lang w:val="de-DE"/>
              </w:rPr>
            </w:pPr>
            <w:r w:rsidRPr="00170422">
              <w:rPr>
                <w:noProof/>
                <w:lang w:val="de-DE"/>
              </w:rPr>
              <w:t>M1C3-4</w:t>
            </w:r>
          </w:p>
        </w:tc>
        <w:tc>
          <w:tcPr>
            <w:tcW w:w="2102" w:type="dxa"/>
            <w:shd w:val="clear" w:color="auto" w:fill="C6EFCE"/>
            <w:tcMar>
              <w:left w:w="108" w:type="dxa"/>
              <w:right w:w="108" w:type="dxa"/>
            </w:tcMar>
            <w:vAlign w:val="center"/>
          </w:tcPr>
          <w:p w14:paraId="13B6D43F" w14:textId="77777777" w:rsidR="0057163C" w:rsidRPr="00170422" w:rsidRDefault="00F37BF9">
            <w:pPr>
              <w:pStyle w:val="P68B1DB1-Normal121"/>
              <w:spacing w:after="0" w:line="240" w:lineRule="auto"/>
              <w:rPr>
                <w:noProof/>
                <w:lang w:val="de-DE"/>
              </w:rPr>
            </w:pPr>
            <w:r w:rsidRPr="00170422">
              <w:rPr>
                <w:noProof/>
                <w:lang w:val="de-DE"/>
              </w:rPr>
              <w:t>Investitionen – 1.3 Verbesserung der Energieeffizienz in Kinos, Theatern und Museen</w:t>
            </w:r>
          </w:p>
        </w:tc>
        <w:tc>
          <w:tcPr>
            <w:tcW w:w="2268" w:type="dxa"/>
            <w:shd w:val="clear" w:color="auto" w:fill="C6EFCE"/>
            <w:tcMar>
              <w:left w:w="108" w:type="dxa"/>
              <w:right w:w="108" w:type="dxa"/>
            </w:tcMar>
            <w:vAlign w:val="center"/>
          </w:tcPr>
          <w:p w14:paraId="67F9410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603FFEE8" w14:textId="731060B1" w:rsidR="0057163C" w:rsidRPr="00170422" w:rsidRDefault="00F37BF9">
            <w:pPr>
              <w:pStyle w:val="P68B1DB1-Normal121"/>
              <w:spacing w:after="0" w:line="240" w:lineRule="auto"/>
              <w:rPr>
                <w:noProof/>
                <w:lang w:val="de-DE"/>
              </w:rPr>
            </w:pPr>
            <w:r w:rsidRPr="00170422">
              <w:rPr>
                <w:noProof/>
                <w:lang w:val="de-DE"/>
              </w:rPr>
              <w:t xml:space="preserve">Abschluss der Interventionen in staatlichen Museen und Kulturstätten, </w:t>
            </w:r>
            <w:r w:rsidRPr="00170422">
              <w:rPr>
                <w:noProof/>
                <w:lang w:val="de-DE"/>
              </w:rPr>
              <w:t>Theaterhallen und Kinos (erste Serie)</w:t>
            </w:r>
          </w:p>
        </w:tc>
      </w:tr>
      <w:tr w:rsidR="0057163C" w:rsidRPr="00170422" w14:paraId="4F7A6BBC" w14:textId="77777777" w:rsidTr="00A400C5">
        <w:trPr>
          <w:trHeight w:val="300"/>
        </w:trPr>
        <w:tc>
          <w:tcPr>
            <w:tcW w:w="1430" w:type="dxa"/>
            <w:shd w:val="clear" w:color="auto" w:fill="C6EFCE"/>
            <w:tcMar>
              <w:left w:w="108" w:type="dxa"/>
              <w:right w:w="108" w:type="dxa"/>
            </w:tcMar>
            <w:vAlign w:val="center"/>
          </w:tcPr>
          <w:p w14:paraId="634DC020" w14:textId="77777777" w:rsidR="0057163C" w:rsidRPr="00170422" w:rsidRDefault="00F37BF9">
            <w:pPr>
              <w:pStyle w:val="P68B1DB1-Normal121"/>
              <w:spacing w:after="0" w:line="240" w:lineRule="auto"/>
              <w:jc w:val="center"/>
              <w:rPr>
                <w:noProof/>
                <w:lang w:val="de-DE"/>
              </w:rPr>
            </w:pPr>
            <w:r w:rsidRPr="00170422">
              <w:rPr>
                <w:noProof/>
                <w:lang w:val="de-DE"/>
              </w:rPr>
              <w:t>M1C1-12</w:t>
            </w:r>
          </w:p>
        </w:tc>
        <w:tc>
          <w:tcPr>
            <w:tcW w:w="2102" w:type="dxa"/>
            <w:shd w:val="clear" w:color="auto" w:fill="C6EFCE"/>
            <w:tcMar>
              <w:left w:w="108" w:type="dxa"/>
              <w:right w:w="108" w:type="dxa"/>
            </w:tcMar>
            <w:vAlign w:val="center"/>
          </w:tcPr>
          <w:p w14:paraId="38D07606" w14:textId="55532DC9" w:rsidR="0057163C" w:rsidRPr="00170422" w:rsidRDefault="00F37BF9">
            <w:pPr>
              <w:pStyle w:val="P68B1DB1-Normal121"/>
              <w:spacing w:after="0" w:line="240" w:lineRule="auto"/>
              <w:rPr>
                <w:noProof/>
                <w:lang w:val="de-DE"/>
              </w:rPr>
            </w:pPr>
            <w:r w:rsidRPr="00170422">
              <w:rPr>
                <w:noProof/>
                <w:lang w:val="de-DE"/>
              </w:rPr>
              <w:t>Investition 1.3.2: Zentrales digitales Zugangstor</w:t>
            </w:r>
          </w:p>
        </w:tc>
        <w:tc>
          <w:tcPr>
            <w:tcW w:w="2268" w:type="dxa"/>
            <w:shd w:val="clear" w:color="auto" w:fill="C6EFCE"/>
            <w:tcMar>
              <w:left w:w="108" w:type="dxa"/>
              <w:right w:w="108" w:type="dxa"/>
            </w:tcMar>
            <w:vAlign w:val="center"/>
          </w:tcPr>
          <w:p w14:paraId="304C9B5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05EF7C26" w14:textId="77777777" w:rsidR="0057163C" w:rsidRPr="00170422" w:rsidRDefault="00F37BF9">
            <w:pPr>
              <w:pStyle w:val="P68B1DB1-Normal121"/>
              <w:spacing w:after="0" w:line="240" w:lineRule="auto"/>
              <w:rPr>
                <w:noProof/>
                <w:lang w:val="de-DE"/>
              </w:rPr>
            </w:pPr>
            <w:r w:rsidRPr="00170422">
              <w:rPr>
                <w:noProof/>
                <w:lang w:val="de-DE"/>
              </w:rPr>
              <w:t>Zentrales digitales Zugangstor</w:t>
            </w:r>
          </w:p>
        </w:tc>
      </w:tr>
      <w:tr w:rsidR="0057163C" w:rsidRPr="00170422" w14:paraId="36485D96" w14:textId="77777777" w:rsidTr="00A400C5">
        <w:trPr>
          <w:trHeight w:val="300"/>
        </w:trPr>
        <w:tc>
          <w:tcPr>
            <w:tcW w:w="1430" w:type="dxa"/>
            <w:shd w:val="clear" w:color="auto" w:fill="C6EFCE"/>
            <w:tcMar>
              <w:left w:w="108" w:type="dxa"/>
              <w:right w:w="108" w:type="dxa"/>
            </w:tcMar>
            <w:vAlign w:val="center"/>
          </w:tcPr>
          <w:p w14:paraId="2683F266" w14:textId="77777777" w:rsidR="0057163C" w:rsidRPr="00170422" w:rsidRDefault="00F37BF9">
            <w:pPr>
              <w:pStyle w:val="P68B1DB1-Normal121"/>
              <w:spacing w:after="0" w:line="240" w:lineRule="auto"/>
              <w:jc w:val="center"/>
              <w:rPr>
                <w:noProof/>
                <w:lang w:val="de-DE"/>
              </w:rPr>
            </w:pPr>
            <w:r w:rsidRPr="00170422">
              <w:rPr>
                <w:noProof/>
                <w:lang w:val="de-DE"/>
              </w:rPr>
              <w:t>M1C1-13</w:t>
            </w:r>
          </w:p>
        </w:tc>
        <w:tc>
          <w:tcPr>
            <w:tcW w:w="2102" w:type="dxa"/>
            <w:shd w:val="clear" w:color="auto" w:fill="C6EFCE"/>
            <w:tcMar>
              <w:left w:w="108" w:type="dxa"/>
              <w:right w:w="108" w:type="dxa"/>
            </w:tcMar>
            <w:vAlign w:val="center"/>
          </w:tcPr>
          <w:p w14:paraId="2EF70A7F" w14:textId="77777777" w:rsidR="0057163C" w:rsidRPr="00170422" w:rsidRDefault="00F37BF9">
            <w:pPr>
              <w:pStyle w:val="P68B1DB1-Normal121"/>
              <w:spacing w:after="0" w:line="240" w:lineRule="auto"/>
              <w:rPr>
                <w:noProof/>
                <w:lang w:val="de-DE"/>
              </w:rPr>
            </w:pPr>
            <w:r w:rsidRPr="00170422">
              <w:rPr>
                <w:noProof/>
                <w:lang w:val="de-DE"/>
              </w:rPr>
              <w:t>Investition 1.4.6: Mobilität als Dienstleistung für Italien</w:t>
            </w:r>
          </w:p>
        </w:tc>
        <w:tc>
          <w:tcPr>
            <w:tcW w:w="2268" w:type="dxa"/>
            <w:shd w:val="clear" w:color="auto" w:fill="C6EFCE"/>
            <w:tcMar>
              <w:left w:w="108" w:type="dxa"/>
              <w:right w:w="108" w:type="dxa"/>
            </w:tcMar>
            <w:vAlign w:val="center"/>
          </w:tcPr>
          <w:p w14:paraId="565A830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6960812C" w14:textId="77777777" w:rsidR="0057163C" w:rsidRPr="00170422" w:rsidRDefault="00F37BF9">
            <w:pPr>
              <w:pStyle w:val="P68B1DB1-Normal121"/>
              <w:spacing w:after="0" w:line="240" w:lineRule="auto"/>
              <w:rPr>
                <w:noProof/>
                <w:lang w:val="de-DE"/>
              </w:rPr>
            </w:pPr>
            <w:r w:rsidRPr="00170422">
              <w:rPr>
                <w:noProof/>
                <w:lang w:val="de-DE"/>
              </w:rPr>
              <w:t>Mobilität als Dienstleistungslösungen M1</w:t>
            </w:r>
          </w:p>
        </w:tc>
      </w:tr>
      <w:tr w:rsidR="0057163C" w:rsidRPr="00170422" w14:paraId="154B5EEB" w14:textId="77777777" w:rsidTr="00A400C5">
        <w:trPr>
          <w:trHeight w:val="300"/>
        </w:trPr>
        <w:tc>
          <w:tcPr>
            <w:tcW w:w="1430" w:type="dxa"/>
            <w:shd w:val="clear" w:color="auto" w:fill="C6EFCE"/>
            <w:tcMar>
              <w:left w:w="108" w:type="dxa"/>
              <w:right w:w="108" w:type="dxa"/>
            </w:tcMar>
            <w:vAlign w:val="center"/>
          </w:tcPr>
          <w:p w14:paraId="113B0CDA" w14:textId="77777777" w:rsidR="0057163C" w:rsidRPr="00170422" w:rsidRDefault="00F37BF9">
            <w:pPr>
              <w:pStyle w:val="P68B1DB1-Normal121"/>
              <w:spacing w:after="0" w:line="240" w:lineRule="auto"/>
              <w:jc w:val="center"/>
              <w:rPr>
                <w:noProof/>
                <w:lang w:val="de-DE"/>
              </w:rPr>
            </w:pPr>
            <w:r w:rsidRPr="00170422">
              <w:rPr>
                <w:noProof/>
                <w:lang w:val="de-DE"/>
              </w:rPr>
              <w:t>M1C1-38</w:t>
            </w:r>
          </w:p>
        </w:tc>
        <w:tc>
          <w:tcPr>
            <w:tcW w:w="2102" w:type="dxa"/>
            <w:shd w:val="clear" w:color="auto" w:fill="C6EFCE"/>
            <w:tcMar>
              <w:left w:w="108" w:type="dxa"/>
              <w:right w:w="108" w:type="dxa"/>
            </w:tcMar>
            <w:vAlign w:val="center"/>
          </w:tcPr>
          <w:p w14:paraId="2168B401" w14:textId="77777777" w:rsidR="0057163C" w:rsidRPr="00170422" w:rsidRDefault="00F37BF9">
            <w:pPr>
              <w:pStyle w:val="P68B1DB1-Normal121"/>
              <w:spacing w:after="0" w:line="240" w:lineRule="auto"/>
              <w:rPr>
                <w:noProof/>
                <w:lang w:val="de-DE"/>
              </w:rPr>
            </w:pPr>
            <w:r w:rsidRPr="00170422">
              <w:rPr>
                <w:noProof/>
                <w:lang w:val="de-DE"/>
              </w:rPr>
              <w:t>Reform 1.8: Digitalisierung der Justiz</w:t>
            </w:r>
          </w:p>
        </w:tc>
        <w:tc>
          <w:tcPr>
            <w:tcW w:w="2268" w:type="dxa"/>
            <w:shd w:val="clear" w:color="auto" w:fill="C6EFCE"/>
            <w:tcMar>
              <w:left w:w="108" w:type="dxa"/>
              <w:right w:w="108" w:type="dxa"/>
            </w:tcMar>
            <w:vAlign w:val="center"/>
          </w:tcPr>
          <w:p w14:paraId="48CE55A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2EB949A7" w14:textId="77777777" w:rsidR="0057163C" w:rsidRPr="00170422" w:rsidRDefault="00F37BF9">
            <w:pPr>
              <w:pStyle w:val="P68B1DB1-Normal121"/>
              <w:spacing w:after="0" w:line="240" w:lineRule="auto"/>
              <w:rPr>
                <w:noProof/>
                <w:lang w:val="de-DE"/>
              </w:rPr>
            </w:pPr>
            <w:r w:rsidRPr="00170422">
              <w:rPr>
                <w:noProof/>
                <w:lang w:val="de-DE"/>
              </w:rPr>
              <w:t>Digitalisierung des Justizsystems</w:t>
            </w:r>
          </w:p>
        </w:tc>
      </w:tr>
      <w:tr w:rsidR="0057163C" w:rsidRPr="00170422" w14:paraId="0FE96698" w14:textId="77777777" w:rsidTr="00A400C5">
        <w:trPr>
          <w:trHeight w:val="300"/>
        </w:trPr>
        <w:tc>
          <w:tcPr>
            <w:tcW w:w="1430" w:type="dxa"/>
            <w:shd w:val="clear" w:color="auto" w:fill="C6EFCE"/>
            <w:tcMar>
              <w:left w:w="108" w:type="dxa"/>
              <w:right w:w="108" w:type="dxa"/>
            </w:tcMar>
            <w:vAlign w:val="center"/>
          </w:tcPr>
          <w:p w14:paraId="07850948" w14:textId="77777777" w:rsidR="0057163C" w:rsidRPr="00170422" w:rsidRDefault="00F37BF9">
            <w:pPr>
              <w:pStyle w:val="P68B1DB1-Normal121"/>
              <w:spacing w:after="0" w:line="240" w:lineRule="auto"/>
              <w:jc w:val="center"/>
              <w:rPr>
                <w:noProof/>
                <w:lang w:val="de-DE"/>
              </w:rPr>
            </w:pPr>
            <w:r w:rsidRPr="00170422">
              <w:rPr>
                <w:noProof/>
                <w:lang w:val="de-DE"/>
              </w:rPr>
              <w:t>M1C1-59</w:t>
            </w:r>
          </w:p>
        </w:tc>
        <w:tc>
          <w:tcPr>
            <w:tcW w:w="2102" w:type="dxa"/>
            <w:shd w:val="clear" w:color="auto" w:fill="C6EFCE"/>
            <w:tcMar>
              <w:left w:w="108" w:type="dxa"/>
              <w:right w:w="108" w:type="dxa"/>
            </w:tcMar>
            <w:vAlign w:val="center"/>
          </w:tcPr>
          <w:p w14:paraId="15C1D392"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68" w:type="dxa"/>
            <w:shd w:val="clear" w:color="auto" w:fill="C6EFCE"/>
            <w:tcMar>
              <w:left w:w="108" w:type="dxa"/>
              <w:right w:w="108" w:type="dxa"/>
            </w:tcMar>
            <w:vAlign w:val="center"/>
          </w:tcPr>
          <w:p w14:paraId="47DE354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32AF735C" w14:textId="77777777" w:rsidR="0057163C" w:rsidRPr="00170422" w:rsidRDefault="00F37BF9">
            <w:pPr>
              <w:pStyle w:val="P68B1DB1-Normal121"/>
              <w:spacing w:after="0" w:line="240" w:lineRule="auto"/>
              <w:rPr>
                <w:noProof/>
                <w:lang w:val="de-DE"/>
              </w:rPr>
            </w:pPr>
            <w:r w:rsidRPr="00170422">
              <w:rPr>
                <w:noProof/>
                <w:lang w:val="de-DE"/>
              </w:rPr>
              <w:t>Inkrafttreten der strategischen Personalverwaltung in der öffentlichen Verwaltung</w:t>
            </w:r>
          </w:p>
        </w:tc>
      </w:tr>
      <w:tr w:rsidR="0057163C" w:rsidRPr="00170422" w14:paraId="6373BA9D" w14:textId="77777777" w:rsidTr="00A400C5">
        <w:trPr>
          <w:trHeight w:val="300"/>
        </w:trPr>
        <w:tc>
          <w:tcPr>
            <w:tcW w:w="1430" w:type="dxa"/>
            <w:shd w:val="clear" w:color="auto" w:fill="C6EFCE"/>
            <w:tcMar>
              <w:left w:w="108" w:type="dxa"/>
              <w:right w:w="108" w:type="dxa"/>
            </w:tcMar>
            <w:vAlign w:val="center"/>
          </w:tcPr>
          <w:p w14:paraId="0811845A" w14:textId="77777777" w:rsidR="0057163C" w:rsidRPr="00170422" w:rsidRDefault="00F37BF9">
            <w:pPr>
              <w:pStyle w:val="P68B1DB1-Normal121"/>
              <w:spacing w:after="0" w:line="240" w:lineRule="auto"/>
              <w:jc w:val="center"/>
              <w:rPr>
                <w:noProof/>
                <w:lang w:val="de-DE"/>
              </w:rPr>
            </w:pPr>
            <w:r w:rsidRPr="00170422">
              <w:rPr>
                <w:noProof/>
                <w:lang w:val="de-DE"/>
              </w:rPr>
              <w:t>M1C1-73quater</w:t>
            </w:r>
          </w:p>
        </w:tc>
        <w:tc>
          <w:tcPr>
            <w:tcW w:w="2102" w:type="dxa"/>
            <w:shd w:val="clear" w:color="auto" w:fill="C6EFCE"/>
            <w:tcMar>
              <w:left w:w="108" w:type="dxa"/>
              <w:right w:w="108" w:type="dxa"/>
            </w:tcMar>
            <w:vAlign w:val="center"/>
          </w:tcPr>
          <w:p w14:paraId="230F2DD7"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185E4CF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74BBCB50" w14:textId="77777777" w:rsidR="0057163C" w:rsidRPr="00170422" w:rsidRDefault="00F37BF9">
            <w:pPr>
              <w:pStyle w:val="P68B1DB1-Normal121"/>
              <w:spacing w:after="0" w:line="240" w:lineRule="auto"/>
              <w:rPr>
                <w:noProof/>
                <w:lang w:val="de-DE"/>
              </w:rPr>
            </w:pPr>
            <w:r w:rsidRPr="00170422">
              <w:rPr>
                <w:noProof/>
                <w:lang w:val="de-DE"/>
              </w:rPr>
              <w:t>Inkrafttreten von Leitlinien für die Vergabe von Aufträgen unterhalb des EU-Schwellenwerts</w:t>
            </w:r>
          </w:p>
        </w:tc>
      </w:tr>
      <w:tr w:rsidR="0057163C" w:rsidRPr="00170422" w14:paraId="75D24762" w14:textId="77777777" w:rsidTr="00A400C5">
        <w:trPr>
          <w:trHeight w:val="300"/>
        </w:trPr>
        <w:tc>
          <w:tcPr>
            <w:tcW w:w="1430" w:type="dxa"/>
            <w:shd w:val="clear" w:color="auto" w:fill="C6EFCE"/>
            <w:tcMar>
              <w:left w:w="108" w:type="dxa"/>
              <w:right w:w="108" w:type="dxa"/>
            </w:tcMar>
            <w:vAlign w:val="center"/>
          </w:tcPr>
          <w:p w14:paraId="69CB114B" w14:textId="77777777" w:rsidR="0057163C" w:rsidRPr="00170422" w:rsidRDefault="00F37BF9">
            <w:pPr>
              <w:pStyle w:val="P68B1DB1-Normal121"/>
              <w:spacing w:after="0" w:line="240" w:lineRule="auto"/>
              <w:jc w:val="center"/>
              <w:rPr>
                <w:noProof/>
                <w:lang w:val="de-DE"/>
              </w:rPr>
            </w:pPr>
            <w:r w:rsidRPr="00170422">
              <w:rPr>
                <w:noProof/>
                <w:lang w:val="de-DE"/>
              </w:rPr>
              <w:t>M1C1-75</w:t>
            </w:r>
          </w:p>
        </w:tc>
        <w:tc>
          <w:tcPr>
            <w:tcW w:w="2102" w:type="dxa"/>
            <w:shd w:val="clear" w:color="auto" w:fill="C6EFCE"/>
            <w:tcMar>
              <w:left w:w="108" w:type="dxa"/>
              <w:right w:w="108" w:type="dxa"/>
            </w:tcMar>
            <w:vAlign w:val="center"/>
          </w:tcPr>
          <w:p w14:paraId="2E63588B" w14:textId="77777777" w:rsidR="0057163C" w:rsidRPr="00170422" w:rsidRDefault="00F37BF9">
            <w:pPr>
              <w:pStyle w:val="P68B1DB1-Normal121"/>
              <w:spacing w:after="0" w:line="240" w:lineRule="auto"/>
              <w:rPr>
                <w:noProof/>
                <w:lang w:val="de-DE"/>
              </w:rPr>
            </w:pPr>
            <w:r w:rsidRPr="00170422">
              <w:rPr>
                <w:noProof/>
                <w:lang w:val="de-DE"/>
              </w:rPr>
              <w:t xml:space="preserve">Reform 1.10: Reform des Rechtsrahmens für das öffentliche </w:t>
            </w:r>
            <w:r w:rsidRPr="00170422">
              <w:rPr>
                <w:noProof/>
                <w:lang w:val="de-DE"/>
              </w:rPr>
              <w:t>Auftragswesen</w:t>
            </w:r>
          </w:p>
        </w:tc>
        <w:tc>
          <w:tcPr>
            <w:tcW w:w="2268" w:type="dxa"/>
            <w:shd w:val="clear" w:color="auto" w:fill="C6EFCE"/>
            <w:tcMar>
              <w:left w:w="108" w:type="dxa"/>
              <w:right w:w="108" w:type="dxa"/>
            </w:tcMar>
            <w:vAlign w:val="center"/>
          </w:tcPr>
          <w:p w14:paraId="34488E5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5E8A2C4C" w14:textId="77777777" w:rsidR="0057163C" w:rsidRPr="00170422" w:rsidRDefault="00F37BF9">
            <w:pPr>
              <w:pStyle w:val="P68B1DB1-Normal121"/>
              <w:spacing w:after="0" w:line="240" w:lineRule="auto"/>
              <w:rPr>
                <w:noProof/>
                <w:lang w:val="de-DE"/>
              </w:rPr>
            </w:pPr>
            <w:r w:rsidRPr="00170422">
              <w:rPr>
                <w:noProof/>
                <w:lang w:val="de-DE"/>
              </w:rPr>
              <w:t>Vollständiger Betrieb des nationalen eProcurement-Systems</w:t>
            </w:r>
          </w:p>
        </w:tc>
      </w:tr>
      <w:tr w:rsidR="0057163C" w:rsidRPr="00170422" w14:paraId="2CA23512" w14:textId="77777777" w:rsidTr="00A400C5">
        <w:trPr>
          <w:trHeight w:val="300"/>
        </w:trPr>
        <w:tc>
          <w:tcPr>
            <w:tcW w:w="1430" w:type="dxa"/>
            <w:shd w:val="clear" w:color="auto" w:fill="C6EFCE"/>
            <w:tcMar>
              <w:left w:w="108" w:type="dxa"/>
              <w:right w:w="108" w:type="dxa"/>
            </w:tcMar>
            <w:vAlign w:val="center"/>
          </w:tcPr>
          <w:p w14:paraId="1F096A66" w14:textId="77777777" w:rsidR="0057163C" w:rsidRPr="00170422" w:rsidRDefault="00F37BF9">
            <w:pPr>
              <w:pStyle w:val="P68B1DB1-Normal121"/>
              <w:spacing w:after="0" w:line="240" w:lineRule="auto"/>
              <w:jc w:val="center"/>
              <w:rPr>
                <w:noProof/>
                <w:lang w:val="de-DE"/>
              </w:rPr>
            </w:pPr>
            <w:r w:rsidRPr="00170422">
              <w:rPr>
                <w:noProof/>
                <w:lang w:val="de-DE"/>
              </w:rPr>
              <w:t>M1C1-84</w:t>
            </w:r>
          </w:p>
        </w:tc>
        <w:tc>
          <w:tcPr>
            <w:tcW w:w="2102" w:type="dxa"/>
            <w:shd w:val="clear" w:color="auto" w:fill="C6EFCE"/>
            <w:tcMar>
              <w:left w:w="108" w:type="dxa"/>
              <w:right w:w="108" w:type="dxa"/>
            </w:tcMar>
            <w:vAlign w:val="center"/>
          </w:tcPr>
          <w:p w14:paraId="47437ED4"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0365789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66CEF537" w14:textId="77777777" w:rsidR="0057163C" w:rsidRPr="00170422" w:rsidRDefault="00F37BF9">
            <w:pPr>
              <w:pStyle w:val="P68B1DB1-Normal121"/>
              <w:spacing w:after="0" w:line="240" w:lineRule="auto"/>
              <w:rPr>
                <w:noProof/>
                <w:lang w:val="de-DE"/>
              </w:rPr>
            </w:pPr>
            <w:r w:rsidRPr="00170422">
              <w:rPr>
                <w:noProof/>
                <w:lang w:val="de-DE"/>
              </w:rPr>
              <w:t>Durchschnittlicher Zeitraum zwischen der Veröffentlichung und der Auftragsvergabe</w:t>
            </w:r>
          </w:p>
        </w:tc>
      </w:tr>
      <w:tr w:rsidR="0057163C" w:rsidRPr="00170422" w14:paraId="08FBAF27" w14:textId="77777777" w:rsidTr="00A400C5">
        <w:trPr>
          <w:trHeight w:val="300"/>
        </w:trPr>
        <w:tc>
          <w:tcPr>
            <w:tcW w:w="1430" w:type="dxa"/>
            <w:shd w:val="clear" w:color="auto" w:fill="C6EFCE"/>
            <w:tcMar>
              <w:left w:w="108" w:type="dxa"/>
              <w:right w:w="108" w:type="dxa"/>
            </w:tcMar>
            <w:vAlign w:val="center"/>
          </w:tcPr>
          <w:p w14:paraId="65DAB134" w14:textId="77777777" w:rsidR="0057163C" w:rsidRPr="00170422" w:rsidRDefault="00F37BF9">
            <w:pPr>
              <w:pStyle w:val="P68B1DB1-Normal121"/>
              <w:spacing w:after="0" w:line="240" w:lineRule="auto"/>
              <w:jc w:val="center"/>
              <w:rPr>
                <w:noProof/>
                <w:lang w:val="de-DE"/>
              </w:rPr>
            </w:pPr>
            <w:r w:rsidRPr="00170422">
              <w:rPr>
                <w:noProof/>
                <w:lang w:val="de-DE"/>
              </w:rPr>
              <w:t>M1C1-86</w:t>
            </w:r>
          </w:p>
        </w:tc>
        <w:tc>
          <w:tcPr>
            <w:tcW w:w="2102" w:type="dxa"/>
            <w:shd w:val="clear" w:color="auto" w:fill="C6EFCE"/>
            <w:tcMar>
              <w:left w:w="108" w:type="dxa"/>
              <w:right w:w="108" w:type="dxa"/>
            </w:tcMar>
            <w:vAlign w:val="center"/>
          </w:tcPr>
          <w:p w14:paraId="11CD048A"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0133E42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3EC43A41" w14:textId="77777777" w:rsidR="0057163C" w:rsidRPr="00170422" w:rsidRDefault="00F37BF9">
            <w:pPr>
              <w:pStyle w:val="P68B1DB1-Normal121"/>
              <w:spacing w:after="0" w:line="240" w:lineRule="auto"/>
              <w:rPr>
                <w:noProof/>
                <w:lang w:val="de-DE"/>
              </w:rPr>
            </w:pPr>
            <w:r w:rsidRPr="00170422">
              <w:rPr>
                <w:noProof/>
                <w:lang w:val="de-DE"/>
              </w:rPr>
              <w:t>Beamte, die im Rahmen der Professionalisierungsstrategie für öffentliche Auftraggeber geschult wurden</w:t>
            </w:r>
          </w:p>
        </w:tc>
      </w:tr>
      <w:tr w:rsidR="0057163C" w:rsidRPr="00170422" w14:paraId="141D99BE" w14:textId="77777777" w:rsidTr="00A400C5">
        <w:trPr>
          <w:trHeight w:val="300"/>
        </w:trPr>
        <w:tc>
          <w:tcPr>
            <w:tcW w:w="1430" w:type="dxa"/>
            <w:shd w:val="clear" w:color="auto" w:fill="C6EFCE"/>
            <w:tcMar>
              <w:left w:w="108" w:type="dxa"/>
              <w:right w:w="108" w:type="dxa"/>
            </w:tcMar>
            <w:vAlign w:val="center"/>
          </w:tcPr>
          <w:p w14:paraId="3A7B1A73" w14:textId="77777777" w:rsidR="0057163C" w:rsidRPr="00170422" w:rsidRDefault="00F37BF9">
            <w:pPr>
              <w:pStyle w:val="P68B1DB1-Normal121"/>
              <w:spacing w:after="0" w:line="240" w:lineRule="auto"/>
              <w:jc w:val="center"/>
              <w:rPr>
                <w:noProof/>
                <w:lang w:val="de-DE"/>
              </w:rPr>
            </w:pPr>
            <w:r w:rsidRPr="00170422">
              <w:rPr>
                <w:noProof/>
                <w:lang w:val="de-DE"/>
              </w:rPr>
              <w:t>M1C1-87</w:t>
            </w:r>
          </w:p>
        </w:tc>
        <w:tc>
          <w:tcPr>
            <w:tcW w:w="2102" w:type="dxa"/>
            <w:shd w:val="clear" w:color="auto" w:fill="C6EFCE"/>
            <w:tcMar>
              <w:left w:w="108" w:type="dxa"/>
              <w:right w:w="108" w:type="dxa"/>
            </w:tcMar>
            <w:vAlign w:val="center"/>
          </w:tcPr>
          <w:p w14:paraId="1FB278DC"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w:t>
            </w:r>
            <w:r w:rsidRPr="00170422">
              <w:rPr>
                <w:noProof/>
                <w:lang w:val="de-DE"/>
              </w:rPr>
              <w:t>ftragswesen</w:t>
            </w:r>
          </w:p>
        </w:tc>
        <w:tc>
          <w:tcPr>
            <w:tcW w:w="2268" w:type="dxa"/>
            <w:shd w:val="clear" w:color="auto" w:fill="C6EFCE"/>
            <w:tcMar>
              <w:left w:w="108" w:type="dxa"/>
              <w:right w:w="108" w:type="dxa"/>
            </w:tcMar>
            <w:vAlign w:val="center"/>
          </w:tcPr>
          <w:p w14:paraId="1CD3438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6FD33177" w14:textId="77777777" w:rsidR="0057163C" w:rsidRPr="00170422" w:rsidRDefault="00F37BF9">
            <w:pPr>
              <w:pStyle w:val="P68B1DB1-Normal121"/>
              <w:spacing w:after="0" w:line="240" w:lineRule="auto"/>
              <w:rPr>
                <w:noProof/>
                <w:lang w:val="de-DE"/>
              </w:rPr>
            </w:pPr>
            <w:r w:rsidRPr="00170422">
              <w:rPr>
                <w:noProof/>
                <w:lang w:val="de-DE"/>
              </w:rPr>
              <w:t>Öffentliche Auftraggeber, die dynamische Beschaffungssysteme verwenden</w:t>
            </w:r>
          </w:p>
        </w:tc>
      </w:tr>
      <w:tr w:rsidR="0057163C" w:rsidRPr="00170422" w14:paraId="0ED15FFE" w14:textId="77777777" w:rsidTr="00A400C5">
        <w:trPr>
          <w:trHeight w:val="300"/>
        </w:trPr>
        <w:tc>
          <w:tcPr>
            <w:tcW w:w="1430" w:type="dxa"/>
            <w:shd w:val="clear" w:color="auto" w:fill="C6EFCE"/>
            <w:tcMar>
              <w:left w:w="108" w:type="dxa"/>
              <w:right w:w="108" w:type="dxa"/>
            </w:tcMar>
            <w:vAlign w:val="center"/>
          </w:tcPr>
          <w:p w14:paraId="4E9FDD12" w14:textId="77777777" w:rsidR="0057163C" w:rsidRPr="00170422" w:rsidRDefault="00F37BF9">
            <w:pPr>
              <w:pStyle w:val="P68B1DB1-Normal121"/>
              <w:spacing w:after="0" w:line="240" w:lineRule="auto"/>
              <w:jc w:val="center"/>
              <w:rPr>
                <w:noProof/>
                <w:lang w:val="de-DE"/>
              </w:rPr>
            </w:pPr>
            <w:r w:rsidRPr="00170422">
              <w:rPr>
                <w:noProof/>
                <w:lang w:val="de-DE"/>
              </w:rPr>
              <w:t>M1C1-110</w:t>
            </w:r>
          </w:p>
        </w:tc>
        <w:tc>
          <w:tcPr>
            <w:tcW w:w="2102" w:type="dxa"/>
            <w:shd w:val="clear" w:color="auto" w:fill="C6EFCE"/>
            <w:tcMar>
              <w:left w:w="108" w:type="dxa"/>
              <w:right w:w="108" w:type="dxa"/>
            </w:tcMar>
            <w:vAlign w:val="center"/>
          </w:tcPr>
          <w:p w14:paraId="65F0ED94" w14:textId="77777777" w:rsidR="0057163C" w:rsidRPr="00170422" w:rsidRDefault="00F37BF9">
            <w:pPr>
              <w:pStyle w:val="P68B1DB1-Normal121"/>
              <w:spacing w:after="0" w:line="240" w:lineRule="auto"/>
              <w:rPr>
                <w:noProof/>
                <w:lang w:val="de-DE"/>
              </w:rPr>
            </w:pPr>
            <w:r w:rsidRPr="00170422">
              <w:rPr>
                <w:noProof/>
                <w:lang w:val="de-DE"/>
              </w:rPr>
              <w:t>Reform 1.13: Reform des Rahmens für die Ausgabenüberprüfung</w:t>
            </w:r>
          </w:p>
        </w:tc>
        <w:tc>
          <w:tcPr>
            <w:tcW w:w="2268" w:type="dxa"/>
            <w:shd w:val="clear" w:color="auto" w:fill="C6EFCE"/>
            <w:tcMar>
              <w:left w:w="108" w:type="dxa"/>
              <w:right w:w="108" w:type="dxa"/>
            </w:tcMar>
            <w:vAlign w:val="center"/>
          </w:tcPr>
          <w:p w14:paraId="66D7322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68AB4DB7" w14:textId="77777777" w:rsidR="0057163C" w:rsidRPr="00170422" w:rsidRDefault="00F37BF9">
            <w:pPr>
              <w:pStyle w:val="P68B1DB1-Normal121"/>
              <w:spacing w:after="0" w:line="240" w:lineRule="auto"/>
              <w:rPr>
                <w:noProof/>
                <w:lang w:val="de-DE"/>
              </w:rPr>
            </w:pPr>
            <w:r w:rsidRPr="00170422">
              <w:rPr>
                <w:noProof/>
                <w:lang w:val="de-DE"/>
              </w:rPr>
              <w:t xml:space="preserve">Neueinstufung des allgemeinen Staatshaushalts in Bezug auf die Umweltausgaben und die </w:t>
            </w:r>
            <w:r w:rsidRPr="00170422">
              <w:rPr>
                <w:noProof/>
                <w:lang w:val="de-DE"/>
              </w:rPr>
              <w:t>Ausgaben zur Förderung der Gleichstellung der Geschlechter</w:t>
            </w:r>
          </w:p>
        </w:tc>
      </w:tr>
      <w:tr w:rsidR="0057163C" w:rsidRPr="00170422" w14:paraId="6979BF20" w14:textId="77777777" w:rsidTr="00A400C5">
        <w:trPr>
          <w:trHeight w:val="300"/>
        </w:trPr>
        <w:tc>
          <w:tcPr>
            <w:tcW w:w="1430" w:type="dxa"/>
            <w:shd w:val="clear" w:color="auto" w:fill="C6EFCE"/>
            <w:tcMar>
              <w:left w:w="108" w:type="dxa"/>
              <w:right w:w="108" w:type="dxa"/>
            </w:tcMar>
            <w:vAlign w:val="center"/>
          </w:tcPr>
          <w:p w14:paraId="115C4614" w14:textId="77777777" w:rsidR="0057163C" w:rsidRPr="00170422" w:rsidRDefault="00F37BF9">
            <w:pPr>
              <w:pStyle w:val="P68B1DB1-Normal121"/>
              <w:spacing w:after="0" w:line="240" w:lineRule="auto"/>
              <w:jc w:val="center"/>
              <w:rPr>
                <w:noProof/>
                <w:lang w:val="de-DE"/>
              </w:rPr>
            </w:pPr>
            <w:r w:rsidRPr="00170422">
              <w:rPr>
                <w:noProof/>
                <w:lang w:val="de-DE"/>
              </w:rPr>
              <w:t>M1C2-9</w:t>
            </w:r>
          </w:p>
        </w:tc>
        <w:tc>
          <w:tcPr>
            <w:tcW w:w="2102" w:type="dxa"/>
            <w:shd w:val="clear" w:color="auto" w:fill="C6EFCE"/>
            <w:tcMar>
              <w:left w:w="108" w:type="dxa"/>
              <w:right w:w="108" w:type="dxa"/>
            </w:tcMar>
            <w:vAlign w:val="center"/>
          </w:tcPr>
          <w:p w14:paraId="1BF92697"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404A209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76D1CB86" w14:textId="77777777" w:rsidR="0057163C" w:rsidRPr="00170422" w:rsidRDefault="00F37BF9">
            <w:pPr>
              <w:pStyle w:val="P68B1DB1-Normal121"/>
              <w:spacing w:after="0" w:line="240" w:lineRule="auto"/>
              <w:rPr>
                <w:noProof/>
                <w:lang w:val="de-DE"/>
              </w:rPr>
            </w:pPr>
            <w:r w:rsidRPr="00170422">
              <w:rPr>
                <w:noProof/>
                <w:lang w:val="de-DE"/>
              </w:rPr>
              <w:t>Inkrafttreten des jährlichen Wettbewerbsgesetzes 2022</w:t>
            </w:r>
          </w:p>
        </w:tc>
      </w:tr>
      <w:tr w:rsidR="0057163C" w:rsidRPr="00170422" w14:paraId="738332AA" w14:textId="77777777" w:rsidTr="00A400C5">
        <w:trPr>
          <w:trHeight w:val="300"/>
        </w:trPr>
        <w:tc>
          <w:tcPr>
            <w:tcW w:w="1430" w:type="dxa"/>
            <w:shd w:val="clear" w:color="auto" w:fill="C6EFCE"/>
            <w:tcMar>
              <w:left w:w="108" w:type="dxa"/>
              <w:right w:w="108" w:type="dxa"/>
            </w:tcMar>
            <w:vAlign w:val="center"/>
          </w:tcPr>
          <w:p w14:paraId="7EA61ABE" w14:textId="77777777" w:rsidR="0057163C" w:rsidRPr="00170422" w:rsidRDefault="00F37BF9">
            <w:pPr>
              <w:pStyle w:val="P68B1DB1-Normal121"/>
              <w:spacing w:after="0" w:line="240" w:lineRule="auto"/>
              <w:jc w:val="center"/>
              <w:rPr>
                <w:noProof/>
                <w:lang w:val="de-DE"/>
              </w:rPr>
            </w:pPr>
            <w:r w:rsidRPr="00170422">
              <w:rPr>
                <w:noProof/>
                <w:lang w:val="de-DE"/>
              </w:rPr>
              <w:t>M1C2-10</w:t>
            </w:r>
          </w:p>
        </w:tc>
        <w:tc>
          <w:tcPr>
            <w:tcW w:w="2102" w:type="dxa"/>
            <w:shd w:val="clear" w:color="auto" w:fill="C6EFCE"/>
            <w:tcMar>
              <w:left w:w="108" w:type="dxa"/>
              <w:right w:w="108" w:type="dxa"/>
            </w:tcMar>
            <w:vAlign w:val="center"/>
          </w:tcPr>
          <w:p w14:paraId="455CEF59"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1956FAC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38DF8F24" w14:textId="77777777" w:rsidR="0057163C" w:rsidRPr="00170422" w:rsidRDefault="00F37BF9">
            <w:pPr>
              <w:pStyle w:val="P68B1DB1-Normal121"/>
              <w:spacing w:after="0" w:line="240" w:lineRule="auto"/>
              <w:rPr>
                <w:noProof/>
                <w:lang w:val="de-DE"/>
              </w:rPr>
            </w:pPr>
            <w:r w:rsidRPr="00170422">
              <w:rPr>
                <w:noProof/>
                <w:lang w:val="de-DE"/>
              </w:rPr>
              <w:t xml:space="preserve">Inkrafttreten aller </w:t>
            </w:r>
            <w:r w:rsidRPr="00170422">
              <w:rPr>
                <w:noProof/>
                <w:lang w:val="de-DE"/>
              </w:rPr>
              <w:t>Durchführungsmaßnahmen (gegebenenfalls einschließlich abgeleiteter Rechtsvorschriften) für die wirksame Umsetzung und Anwendung der Maßnahmen, die sich aus dem jährlichen Wettbewerbsrecht 2022 ergeben</w:t>
            </w:r>
          </w:p>
        </w:tc>
      </w:tr>
      <w:tr w:rsidR="0057163C" w:rsidRPr="00170422" w14:paraId="13325CA1" w14:textId="77777777" w:rsidTr="00A400C5">
        <w:trPr>
          <w:trHeight w:val="300"/>
        </w:trPr>
        <w:tc>
          <w:tcPr>
            <w:tcW w:w="1430" w:type="dxa"/>
            <w:shd w:val="clear" w:color="auto" w:fill="C6EFCE"/>
            <w:tcMar>
              <w:left w:w="108" w:type="dxa"/>
              <w:right w:w="108" w:type="dxa"/>
            </w:tcMar>
            <w:vAlign w:val="center"/>
          </w:tcPr>
          <w:p w14:paraId="0B3B94C1" w14:textId="77777777" w:rsidR="0057163C" w:rsidRPr="00170422" w:rsidRDefault="00F37BF9">
            <w:pPr>
              <w:pStyle w:val="P68B1DB1-Normal121"/>
              <w:spacing w:after="0" w:line="240" w:lineRule="auto"/>
              <w:jc w:val="center"/>
              <w:rPr>
                <w:noProof/>
                <w:lang w:val="de-DE"/>
              </w:rPr>
            </w:pPr>
            <w:r w:rsidRPr="00170422">
              <w:rPr>
                <w:noProof/>
                <w:lang w:val="de-DE"/>
              </w:rPr>
              <w:t>M1C3-7</w:t>
            </w:r>
          </w:p>
        </w:tc>
        <w:tc>
          <w:tcPr>
            <w:tcW w:w="2102" w:type="dxa"/>
            <w:shd w:val="clear" w:color="auto" w:fill="C6EFCE"/>
            <w:tcMar>
              <w:left w:w="108" w:type="dxa"/>
              <w:right w:w="108" w:type="dxa"/>
            </w:tcMar>
            <w:vAlign w:val="center"/>
          </w:tcPr>
          <w:p w14:paraId="07C6604C" w14:textId="77777777" w:rsidR="0057163C" w:rsidRPr="00170422" w:rsidRDefault="00F37BF9">
            <w:pPr>
              <w:pStyle w:val="P68B1DB1-Normal121"/>
              <w:spacing w:after="0" w:line="240" w:lineRule="auto"/>
              <w:rPr>
                <w:noProof/>
                <w:lang w:val="de-DE"/>
              </w:rPr>
            </w:pPr>
            <w:r w:rsidRPr="00170422">
              <w:rPr>
                <w:noProof/>
                <w:lang w:val="de-DE"/>
              </w:rPr>
              <w:t xml:space="preserve">Investitionen – 3.3 Aufbau von Kapazitäten für </w:t>
            </w:r>
            <w:r w:rsidRPr="00170422">
              <w:rPr>
                <w:noProof/>
                <w:lang w:val="de-DE"/>
              </w:rPr>
              <w:t>Kulturakteure zur Bewältigung des digitalen und ökologischen Wandels.</w:t>
            </w:r>
          </w:p>
        </w:tc>
        <w:tc>
          <w:tcPr>
            <w:tcW w:w="2268" w:type="dxa"/>
            <w:shd w:val="clear" w:color="auto" w:fill="C6EFCE"/>
            <w:tcMar>
              <w:left w:w="108" w:type="dxa"/>
              <w:right w:w="108" w:type="dxa"/>
            </w:tcMar>
            <w:vAlign w:val="center"/>
          </w:tcPr>
          <w:p w14:paraId="6068EF3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34AE063F"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an die Durchführungsorganisation/die Begünstigten für alle Interventionen zur Bewältigung des digitalen und ökologischen Wandels von Kultu</w:t>
            </w:r>
            <w:r w:rsidRPr="00170422">
              <w:rPr>
                <w:noProof/>
                <w:lang w:val="de-DE"/>
              </w:rPr>
              <w:t>rakteuren</w:t>
            </w:r>
          </w:p>
        </w:tc>
      </w:tr>
      <w:tr w:rsidR="0057163C" w:rsidRPr="00170422" w14:paraId="6E5E4F48" w14:textId="77777777" w:rsidTr="00A400C5">
        <w:trPr>
          <w:trHeight w:val="300"/>
        </w:trPr>
        <w:tc>
          <w:tcPr>
            <w:tcW w:w="1430" w:type="dxa"/>
            <w:shd w:val="clear" w:color="auto" w:fill="C6EFCE"/>
            <w:tcMar>
              <w:left w:w="108" w:type="dxa"/>
              <w:right w:w="108" w:type="dxa"/>
            </w:tcMar>
            <w:vAlign w:val="center"/>
          </w:tcPr>
          <w:p w14:paraId="0E1859BE" w14:textId="77777777" w:rsidR="0057163C" w:rsidRPr="00170422" w:rsidRDefault="00F37BF9">
            <w:pPr>
              <w:pStyle w:val="P68B1DB1-Normal121"/>
              <w:spacing w:after="0" w:line="240" w:lineRule="auto"/>
              <w:jc w:val="center"/>
              <w:rPr>
                <w:noProof/>
                <w:lang w:val="de-DE"/>
              </w:rPr>
            </w:pPr>
            <w:r w:rsidRPr="00170422">
              <w:rPr>
                <w:noProof/>
                <w:lang w:val="de-DE"/>
              </w:rPr>
              <w:t>M2C1-5</w:t>
            </w:r>
          </w:p>
        </w:tc>
        <w:tc>
          <w:tcPr>
            <w:tcW w:w="2102" w:type="dxa"/>
            <w:shd w:val="clear" w:color="auto" w:fill="C6EFCE"/>
            <w:tcMar>
              <w:left w:w="108" w:type="dxa"/>
              <w:right w:w="108" w:type="dxa"/>
            </w:tcMar>
            <w:vAlign w:val="center"/>
          </w:tcPr>
          <w:p w14:paraId="57378BEA" w14:textId="77777777" w:rsidR="0057163C" w:rsidRPr="00170422" w:rsidRDefault="00F37BF9">
            <w:pPr>
              <w:pStyle w:val="P68B1DB1-Normal121"/>
              <w:spacing w:after="0" w:line="240" w:lineRule="auto"/>
              <w:rPr>
                <w:noProof/>
                <w:lang w:val="de-DE"/>
              </w:rPr>
            </w:pPr>
            <w:r w:rsidRPr="00170422">
              <w:rPr>
                <w:noProof/>
                <w:lang w:val="de-DE"/>
              </w:rPr>
              <w:t>Investition 2.2: AGRI-Solarpark</w:t>
            </w:r>
          </w:p>
        </w:tc>
        <w:tc>
          <w:tcPr>
            <w:tcW w:w="2268" w:type="dxa"/>
            <w:shd w:val="clear" w:color="auto" w:fill="C6EFCE"/>
            <w:tcMar>
              <w:left w:w="108" w:type="dxa"/>
              <w:right w:w="108" w:type="dxa"/>
            </w:tcMar>
            <w:vAlign w:val="center"/>
          </w:tcPr>
          <w:p w14:paraId="08FF6B3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49C0392D" w14:textId="77777777" w:rsidR="0057163C" w:rsidRPr="00170422" w:rsidRDefault="00F37BF9">
            <w:pPr>
              <w:pStyle w:val="P68B1DB1-Normal121"/>
              <w:spacing w:after="0" w:line="240" w:lineRule="auto"/>
              <w:rPr>
                <w:noProof/>
                <w:lang w:val="de-DE"/>
              </w:rPr>
            </w:pPr>
            <w:r w:rsidRPr="00170422">
              <w:rPr>
                <w:noProof/>
                <w:lang w:val="de-DE"/>
              </w:rPr>
              <w:t>Zuweisung der Mittel an die Begünstigten in % der Gesamtmittel für die Investition</w:t>
            </w:r>
          </w:p>
        </w:tc>
      </w:tr>
      <w:tr w:rsidR="0057163C" w:rsidRPr="00170422" w14:paraId="63C09C3A" w14:textId="77777777" w:rsidTr="00A400C5">
        <w:trPr>
          <w:trHeight w:val="300"/>
        </w:trPr>
        <w:tc>
          <w:tcPr>
            <w:tcW w:w="1430" w:type="dxa"/>
            <w:shd w:val="clear" w:color="auto" w:fill="C6EFCE"/>
            <w:tcMar>
              <w:left w:w="108" w:type="dxa"/>
              <w:right w:w="108" w:type="dxa"/>
            </w:tcMar>
            <w:vAlign w:val="center"/>
          </w:tcPr>
          <w:p w14:paraId="3314787D" w14:textId="77777777" w:rsidR="0057163C" w:rsidRPr="00170422" w:rsidRDefault="00F37BF9">
            <w:pPr>
              <w:pStyle w:val="P68B1DB1-Normal121"/>
              <w:spacing w:after="0" w:line="240" w:lineRule="auto"/>
              <w:jc w:val="center"/>
              <w:rPr>
                <w:noProof/>
                <w:lang w:val="de-DE"/>
              </w:rPr>
            </w:pPr>
            <w:r w:rsidRPr="00170422">
              <w:rPr>
                <w:noProof/>
                <w:lang w:val="de-DE"/>
              </w:rPr>
              <w:t>M2C2-22</w:t>
            </w:r>
          </w:p>
        </w:tc>
        <w:tc>
          <w:tcPr>
            <w:tcW w:w="2102" w:type="dxa"/>
            <w:shd w:val="clear" w:color="auto" w:fill="C6EFCE"/>
            <w:tcMar>
              <w:left w:w="108" w:type="dxa"/>
              <w:right w:w="108" w:type="dxa"/>
            </w:tcMar>
            <w:vAlign w:val="center"/>
          </w:tcPr>
          <w:p w14:paraId="335F2CA7" w14:textId="77777777" w:rsidR="0057163C" w:rsidRPr="00170422" w:rsidRDefault="00F37BF9">
            <w:pPr>
              <w:pStyle w:val="P68B1DB1-Normal121"/>
              <w:spacing w:after="0" w:line="240" w:lineRule="auto"/>
              <w:rPr>
                <w:noProof/>
                <w:lang w:val="de-DE"/>
              </w:rPr>
            </w:pPr>
            <w:r w:rsidRPr="00170422">
              <w:rPr>
                <w:noProof/>
                <w:lang w:val="de-DE"/>
              </w:rPr>
              <w:t>Investition 4.1 Investitionen in sanfte Mobilität (Nationaler Plan für den Zyklusweg)</w:t>
            </w:r>
          </w:p>
        </w:tc>
        <w:tc>
          <w:tcPr>
            <w:tcW w:w="2268" w:type="dxa"/>
            <w:shd w:val="clear" w:color="auto" w:fill="C6EFCE"/>
            <w:tcMar>
              <w:left w:w="108" w:type="dxa"/>
              <w:right w:w="108" w:type="dxa"/>
            </w:tcMar>
            <w:vAlign w:val="center"/>
          </w:tcPr>
          <w:p w14:paraId="6540C2F4" w14:textId="77777777" w:rsidR="0057163C" w:rsidRPr="00170422" w:rsidRDefault="00F37BF9">
            <w:pPr>
              <w:pStyle w:val="P68B1DB1-Normal121"/>
              <w:spacing w:after="0" w:line="240" w:lineRule="auto"/>
              <w:jc w:val="center"/>
              <w:rPr>
                <w:noProof/>
                <w:lang w:val="de-DE"/>
              </w:rPr>
            </w:pPr>
            <w:r w:rsidRPr="00170422">
              <w:rPr>
                <w:noProof/>
                <w:lang w:val="de-DE"/>
              </w:rPr>
              <w:t>Zielvorgabe:</w:t>
            </w:r>
          </w:p>
        </w:tc>
        <w:tc>
          <w:tcPr>
            <w:tcW w:w="3561" w:type="dxa"/>
            <w:shd w:val="clear" w:color="auto" w:fill="C6EFCE"/>
            <w:tcMar>
              <w:left w:w="108" w:type="dxa"/>
              <w:right w:w="108" w:type="dxa"/>
            </w:tcMar>
            <w:vAlign w:val="center"/>
          </w:tcPr>
          <w:p w14:paraId="00840501" w14:textId="77777777" w:rsidR="0057163C" w:rsidRPr="00170422" w:rsidRDefault="00F37BF9">
            <w:pPr>
              <w:pStyle w:val="P68B1DB1-Normal121"/>
              <w:spacing w:after="0" w:line="240" w:lineRule="auto"/>
              <w:rPr>
                <w:noProof/>
                <w:lang w:val="de-DE"/>
              </w:rPr>
            </w:pPr>
            <w:r w:rsidRPr="00170422">
              <w:rPr>
                <w:noProof/>
                <w:lang w:val="de-DE"/>
              </w:rPr>
              <w:t>Radwege T1</w:t>
            </w:r>
          </w:p>
        </w:tc>
      </w:tr>
      <w:tr w:rsidR="0057163C" w:rsidRPr="00170422" w14:paraId="2A4F6435" w14:textId="77777777" w:rsidTr="00A400C5">
        <w:trPr>
          <w:trHeight w:val="300"/>
        </w:trPr>
        <w:tc>
          <w:tcPr>
            <w:tcW w:w="1430" w:type="dxa"/>
            <w:shd w:val="clear" w:color="auto" w:fill="C6EFCE"/>
            <w:tcMar>
              <w:left w:w="108" w:type="dxa"/>
              <w:right w:w="108" w:type="dxa"/>
            </w:tcMar>
            <w:vAlign w:val="center"/>
          </w:tcPr>
          <w:p w14:paraId="6F3644FF" w14:textId="77777777" w:rsidR="0057163C" w:rsidRPr="00170422" w:rsidRDefault="00F37BF9">
            <w:pPr>
              <w:pStyle w:val="P68B1DB1-Normal121"/>
              <w:spacing w:after="0" w:line="240" w:lineRule="auto"/>
              <w:jc w:val="center"/>
              <w:rPr>
                <w:noProof/>
                <w:lang w:val="de-DE"/>
              </w:rPr>
            </w:pPr>
            <w:r w:rsidRPr="00170422">
              <w:rPr>
                <w:noProof/>
                <w:lang w:val="de-DE"/>
              </w:rPr>
              <w:t>M4C1-10</w:t>
            </w:r>
          </w:p>
        </w:tc>
        <w:tc>
          <w:tcPr>
            <w:tcW w:w="2102" w:type="dxa"/>
            <w:shd w:val="clear" w:color="auto" w:fill="C6EFCE"/>
            <w:tcMar>
              <w:left w:w="108" w:type="dxa"/>
              <w:right w:w="108" w:type="dxa"/>
            </w:tcMar>
            <w:vAlign w:val="center"/>
          </w:tcPr>
          <w:p w14:paraId="1001CD78" w14:textId="77777777" w:rsidR="0057163C" w:rsidRPr="00170422" w:rsidRDefault="00F37BF9">
            <w:pPr>
              <w:pStyle w:val="P68B1DB1-Normal121"/>
              <w:spacing w:after="0" w:line="240" w:lineRule="auto"/>
              <w:rPr>
                <w:noProof/>
                <w:lang w:val="de-DE"/>
              </w:rPr>
            </w:pPr>
            <w:r w:rsidRPr="00170422">
              <w:rPr>
                <w:noProof/>
                <w:lang w:val="de-DE"/>
              </w:rPr>
              <w:t>Reform 2.1: Einstellung von Lehrkräften; Reform 1.3: Umstrukturierung des Schulsystems; Reform 1.2: Reform des tertiären Berufsbildungssystems (ITS); Reform 1.4: Reform des „Orientierungssystems“; Reform 1.5: Reform der Hochschulgruppen; Reform 1</w:t>
            </w:r>
            <w:r w:rsidRPr="00170422">
              <w:rPr>
                <w:noProof/>
                <w:lang w:val="de-DE"/>
              </w:rPr>
              <w:t>.6: Ermöglichung der Reform der Hochschulabschlüsse</w:t>
            </w:r>
          </w:p>
        </w:tc>
        <w:tc>
          <w:tcPr>
            <w:tcW w:w="2268" w:type="dxa"/>
            <w:shd w:val="clear" w:color="auto" w:fill="C6EFCE"/>
            <w:tcMar>
              <w:left w:w="108" w:type="dxa"/>
              <w:right w:w="108" w:type="dxa"/>
            </w:tcMar>
            <w:vAlign w:val="center"/>
          </w:tcPr>
          <w:p w14:paraId="30343E8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61" w:type="dxa"/>
            <w:shd w:val="clear" w:color="auto" w:fill="C6EFCE"/>
            <w:tcMar>
              <w:left w:w="108" w:type="dxa"/>
              <w:right w:w="108" w:type="dxa"/>
            </w:tcMar>
            <w:vAlign w:val="center"/>
          </w:tcPr>
          <w:p w14:paraId="5F506569" w14:textId="77777777" w:rsidR="0057163C" w:rsidRPr="00170422" w:rsidRDefault="00F37BF9">
            <w:pPr>
              <w:pStyle w:val="P68B1DB1-Normal121"/>
              <w:spacing w:after="0" w:line="240" w:lineRule="auto"/>
              <w:rPr>
                <w:noProof/>
                <w:lang w:val="de-DE"/>
              </w:rPr>
            </w:pPr>
            <w:r w:rsidRPr="00170422">
              <w:rPr>
                <w:noProof/>
                <w:lang w:val="de-DE"/>
              </w:rPr>
              <w:t>Inkrafttreten von Verordnungen zur wirksamen Umsetzung und Anwendung aller Maßnahmen zur Reform der Primar-, Sekundar- und Tertiärbildung, soweit erforderlich</w:t>
            </w:r>
          </w:p>
        </w:tc>
      </w:tr>
      <w:tr w:rsidR="0057163C" w:rsidRPr="00170422" w14:paraId="47F969A1" w14:textId="77777777" w:rsidTr="00A400C5">
        <w:trPr>
          <w:trHeight w:val="300"/>
        </w:trPr>
        <w:tc>
          <w:tcPr>
            <w:tcW w:w="1430" w:type="dxa"/>
            <w:shd w:val="clear" w:color="auto" w:fill="C6EFCE"/>
            <w:tcMar>
              <w:left w:w="108" w:type="dxa"/>
              <w:right w:w="108" w:type="dxa"/>
            </w:tcMar>
            <w:vAlign w:val="center"/>
          </w:tcPr>
          <w:p w14:paraId="42C410C8" w14:textId="77777777" w:rsidR="0057163C" w:rsidRPr="00170422" w:rsidRDefault="00F37BF9">
            <w:pPr>
              <w:pStyle w:val="P68B1DB1-Normal121"/>
              <w:spacing w:after="0" w:line="240" w:lineRule="auto"/>
              <w:jc w:val="center"/>
              <w:rPr>
                <w:noProof/>
                <w:lang w:val="de-DE"/>
              </w:rPr>
            </w:pPr>
            <w:r w:rsidRPr="00170422">
              <w:rPr>
                <w:noProof/>
                <w:lang w:val="de-DE"/>
              </w:rPr>
              <w:t>M4C1-11</w:t>
            </w:r>
          </w:p>
        </w:tc>
        <w:tc>
          <w:tcPr>
            <w:tcW w:w="2102" w:type="dxa"/>
            <w:shd w:val="clear" w:color="auto" w:fill="C6EFCE"/>
            <w:tcMar>
              <w:left w:w="108" w:type="dxa"/>
              <w:right w:w="108" w:type="dxa"/>
            </w:tcMar>
            <w:vAlign w:val="center"/>
          </w:tcPr>
          <w:p w14:paraId="76C4A617" w14:textId="77777777" w:rsidR="0057163C" w:rsidRPr="00170422" w:rsidRDefault="00F37BF9">
            <w:pPr>
              <w:pStyle w:val="P68B1DB1-Normal121"/>
              <w:spacing w:after="0" w:line="240" w:lineRule="auto"/>
              <w:rPr>
                <w:noProof/>
                <w:lang w:val="de-DE"/>
              </w:rPr>
            </w:pPr>
            <w:r w:rsidRPr="00170422">
              <w:rPr>
                <w:noProof/>
                <w:lang w:val="de-DE"/>
              </w:rPr>
              <w:t xml:space="preserve">Investition 1.7: </w:t>
            </w:r>
            <w:r w:rsidRPr="00170422">
              <w:rPr>
                <w:noProof/>
                <w:lang w:val="de-DE"/>
              </w:rPr>
              <w:t>Stipendien für den Zugang zu Universitäten</w:t>
            </w:r>
          </w:p>
        </w:tc>
        <w:tc>
          <w:tcPr>
            <w:tcW w:w="2268" w:type="dxa"/>
            <w:shd w:val="clear" w:color="auto" w:fill="C6EFCE"/>
            <w:tcMar>
              <w:left w:w="108" w:type="dxa"/>
              <w:right w:w="108" w:type="dxa"/>
            </w:tcMar>
            <w:vAlign w:val="center"/>
          </w:tcPr>
          <w:p w14:paraId="7124AD9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2724C07E" w14:textId="77777777" w:rsidR="0057163C" w:rsidRPr="00170422" w:rsidRDefault="00F37BF9">
            <w:pPr>
              <w:pStyle w:val="P68B1DB1-Normal121"/>
              <w:spacing w:after="0" w:line="240" w:lineRule="auto"/>
              <w:rPr>
                <w:noProof/>
                <w:lang w:val="de-DE"/>
              </w:rPr>
            </w:pPr>
            <w:r w:rsidRPr="00170422">
              <w:rPr>
                <w:noProof/>
                <w:lang w:val="de-DE"/>
              </w:rPr>
              <w:t>Hochschulstipendium vergeben</w:t>
            </w:r>
          </w:p>
        </w:tc>
      </w:tr>
      <w:tr w:rsidR="0057163C" w:rsidRPr="00170422" w14:paraId="37F1F7CF" w14:textId="77777777" w:rsidTr="00A400C5">
        <w:trPr>
          <w:trHeight w:val="300"/>
        </w:trPr>
        <w:tc>
          <w:tcPr>
            <w:tcW w:w="1430" w:type="dxa"/>
            <w:shd w:val="clear" w:color="auto" w:fill="C6EFCE"/>
            <w:tcMar>
              <w:left w:w="108" w:type="dxa"/>
              <w:right w:w="108" w:type="dxa"/>
            </w:tcMar>
            <w:vAlign w:val="center"/>
          </w:tcPr>
          <w:p w14:paraId="465626BF" w14:textId="77777777" w:rsidR="0057163C" w:rsidRPr="00170422" w:rsidRDefault="00F37BF9">
            <w:pPr>
              <w:pStyle w:val="P68B1DB1-Normal121"/>
              <w:spacing w:after="0" w:line="240" w:lineRule="auto"/>
              <w:jc w:val="center"/>
              <w:rPr>
                <w:noProof/>
                <w:lang w:val="de-DE"/>
              </w:rPr>
            </w:pPr>
            <w:r w:rsidRPr="00170422">
              <w:rPr>
                <w:noProof/>
                <w:lang w:val="de-DE"/>
              </w:rPr>
              <w:t>M5C3-3</w:t>
            </w:r>
          </w:p>
        </w:tc>
        <w:tc>
          <w:tcPr>
            <w:tcW w:w="2102" w:type="dxa"/>
            <w:shd w:val="clear" w:color="auto" w:fill="C6EFCE"/>
            <w:tcMar>
              <w:left w:w="108" w:type="dxa"/>
              <w:right w:w="108" w:type="dxa"/>
            </w:tcMar>
            <w:vAlign w:val="center"/>
          </w:tcPr>
          <w:p w14:paraId="72193E62" w14:textId="77777777" w:rsidR="0057163C" w:rsidRPr="00170422" w:rsidRDefault="00F37BF9">
            <w:pPr>
              <w:pStyle w:val="P68B1DB1-Normal121"/>
              <w:spacing w:after="0" w:line="240" w:lineRule="auto"/>
              <w:rPr>
                <w:noProof/>
                <w:lang w:val="de-DE"/>
              </w:rPr>
            </w:pPr>
            <w:r w:rsidRPr="00170422">
              <w:rPr>
                <w:noProof/>
                <w:lang w:val="de-DE"/>
              </w:rPr>
              <w:t>Investition 2: Gesundheitseinrichtungen in räumlicher Nähe</w:t>
            </w:r>
          </w:p>
        </w:tc>
        <w:tc>
          <w:tcPr>
            <w:tcW w:w="2268" w:type="dxa"/>
            <w:shd w:val="clear" w:color="auto" w:fill="C6EFCE"/>
            <w:tcMar>
              <w:left w:w="108" w:type="dxa"/>
              <w:right w:w="108" w:type="dxa"/>
            </w:tcMar>
            <w:vAlign w:val="center"/>
          </w:tcPr>
          <w:p w14:paraId="4D7B1D0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07147C52"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Förderung ländlicher Apotheken in Gemeinden, Hamlets oder Siedlungen mit weniger als 5000</w:t>
            </w:r>
            <w:r w:rsidRPr="00170422">
              <w:rPr>
                <w:noProof/>
                <w:sz w:val="23"/>
                <w:szCs w:val="23"/>
                <w:lang w:val="de-DE"/>
              </w:rPr>
              <w:t xml:space="preserve"> </w:t>
            </w:r>
            <w:r w:rsidRPr="00170422">
              <w:rPr>
                <w:noProof/>
                <w:color w:val="006100"/>
                <w:sz w:val="20"/>
                <w:szCs w:val="20"/>
                <w:lang w:val="de-DE"/>
              </w:rPr>
              <w:t>Einwohnern (erste</w:t>
            </w:r>
            <w:r w:rsidRPr="00170422">
              <w:rPr>
                <w:noProof/>
                <w:color w:val="006100"/>
                <w:sz w:val="20"/>
                <w:szCs w:val="20"/>
                <w:lang w:val="de-DE"/>
              </w:rPr>
              <w:t xml:space="preserve"> Charge)</w:t>
            </w:r>
          </w:p>
        </w:tc>
      </w:tr>
      <w:tr w:rsidR="0057163C" w:rsidRPr="00170422" w14:paraId="126193C3" w14:textId="77777777" w:rsidTr="00A400C5">
        <w:trPr>
          <w:trHeight w:val="300"/>
        </w:trPr>
        <w:tc>
          <w:tcPr>
            <w:tcW w:w="1430" w:type="dxa"/>
            <w:shd w:val="clear" w:color="auto" w:fill="C6EFCE"/>
            <w:tcMar>
              <w:left w:w="108" w:type="dxa"/>
              <w:right w:w="108" w:type="dxa"/>
            </w:tcMar>
            <w:vAlign w:val="center"/>
          </w:tcPr>
          <w:p w14:paraId="58BC8582" w14:textId="77777777" w:rsidR="0057163C" w:rsidRPr="00170422" w:rsidRDefault="00F37BF9">
            <w:pPr>
              <w:pStyle w:val="P68B1DB1-Normal121"/>
              <w:spacing w:after="0" w:line="240" w:lineRule="auto"/>
              <w:jc w:val="center"/>
              <w:rPr>
                <w:noProof/>
                <w:lang w:val="de-DE"/>
              </w:rPr>
            </w:pPr>
            <w:r w:rsidRPr="00170422">
              <w:rPr>
                <w:noProof/>
                <w:lang w:val="de-DE"/>
              </w:rPr>
              <w:t>M1C1-113</w:t>
            </w:r>
          </w:p>
        </w:tc>
        <w:tc>
          <w:tcPr>
            <w:tcW w:w="2102" w:type="dxa"/>
            <w:shd w:val="clear" w:color="auto" w:fill="C6EFCE"/>
            <w:tcMar>
              <w:left w:w="108" w:type="dxa"/>
              <w:right w:w="108" w:type="dxa"/>
            </w:tcMar>
            <w:vAlign w:val="center"/>
          </w:tcPr>
          <w:p w14:paraId="535AA6BD"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57BB8AA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50C4363D" w14:textId="77777777" w:rsidR="0057163C" w:rsidRPr="00170422" w:rsidRDefault="00F37BF9">
            <w:pPr>
              <w:pStyle w:val="P68B1DB1-Normal121"/>
              <w:spacing w:after="0" w:line="240" w:lineRule="auto"/>
              <w:rPr>
                <w:noProof/>
                <w:lang w:val="de-DE"/>
              </w:rPr>
            </w:pPr>
            <w:r w:rsidRPr="00170422">
              <w:rPr>
                <w:noProof/>
                <w:lang w:val="de-DE"/>
              </w:rPr>
              <w:t>Höhere Zahl von „Konformitätsschreiben“</w:t>
            </w:r>
          </w:p>
        </w:tc>
      </w:tr>
      <w:tr w:rsidR="0057163C" w:rsidRPr="00170422" w14:paraId="7C58A14B" w14:textId="77777777" w:rsidTr="00A400C5">
        <w:trPr>
          <w:trHeight w:val="300"/>
        </w:trPr>
        <w:tc>
          <w:tcPr>
            <w:tcW w:w="1430" w:type="dxa"/>
            <w:shd w:val="clear" w:color="auto" w:fill="C6EFCE"/>
            <w:tcMar>
              <w:left w:w="108" w:type="dxa"/>
              <w:right w:w="108" w:type="dxa"/>
            </w:tcMar>
            <w:vAlign w:val="center"/>
          </w:tcPr>
          <w:p w14:paraId="446E4BE6" w14:textId="77777777" w:rsidR="0057163C" w:rsidRPr="00170422" w:rsidRDefault="00F37BF9">
            <w:pPr>
              <w:pStyle w:val="P68B1DB1-Normal121"/>
              <w:spacing w:after="0" w:line="240" w:lineRule="auto"/>
              <w:jc w:val="center"/>
              <w:rPr>
                <w:noProof/>
                <w:lang w:val="de-DE"/>
              </w:rPr>
            </w:pPr>
            <w:r w:rsidRPr="00170422">
              <w:rPr>
                <w:noProof/>
                <w:lang w:val="de-DE"/>
              </w:rPr>
              <w:t>M1C1-114</w:t>
            </w:r>
          </w:p>
        </w:tc>
        <w:tc>
          <w:tcPr>
            <w:tcW w:w="2102" w:type="dxa"/>
            <w:shd w:val="clear" w:color="auto" w:fill="C6EFCE"/>
            <w:tcMar>
              <w:left w:w="108" w:type="dxa"/>
              <w:right w:w="108" w:type="dxa"/>
            </w:tcMar>
            <w:vAlign w:val="center"/>
          </w:tcPr>
          <w:p w14:paraId="566288E6"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1D2AD14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61" w:type="dxa"/>
            <w:shd w:val="clear" w:color="auto" w:fill="C6EFCE"/>
            <w:tcMar>
              <w:left w:w="108" w:type="dxa"/>
              <w:right w:w="108" w:type="dxa"/>
            </w:tcMar>
            <w:vAlign w:val="center"/>
          </w:tcPr>
          <w:p w14:paraId="0EAC201D" w14:textId="77777777" w:rsidR="0057163C" w:rsidRPr="00170422" w:rsidRDefault="00F37BF9">
            <w:pPr>
              <w:pStyle w:val="P68B1DB1-Normal121"/>
              <w:spacing w:after="0" w:line="240" w:lineRule="auto"/>
              <w:rPr>
                <w:noProof/>
                <w:lang w:val="de-DE"/>
              </w:rPr>
            </w:pPr>
            <w:r w:rsidRPr="00170422">
              <w:rPr>
                <w:noProof/>
                <w:lang w:val="de-DE"/>
              </w:rPr>
              <w:t>Erhöhung der Steuereinnahmen durch „Compliance-Briefe“</w:t>
            </w:r>
          </w:p>
        </w:tc>
      </w:tr>
      <w:tr w:rsidR="0057163C" w:rsidRPr="00170422" w14:paraId="4742C241" w14:textId="77777777" w:rsidTr="00A400C5">
        <w:trPr>
          <w:trHeight w:val="300"/>
        </w:trPr>
        <w:tc>
          <w:tcPr>
            <w:tcW w:w="1430" w:type="dxa"/>
            <w:shd w:val="clear" w:color="auto" w:fill="C6EFCE"/>
            <w:tcMar>
              <w:left w:w="108" w:type="dxa"/>
              <w:right w:w="108" w:type="dxa"/>
            </w:tcMar>
            <w:vAlign w:val="bottom"/>
          </w:tcPr>
          <w:p w14:paraId="6F30B341" w14:textId="77777777" w:rsidR="0057163C" w:rsidRPr="00170422" w:rsidRDefault="00F37BF9">
            <w:pPr>
              <w:pStyle w:val="P68B1DB1-Normal121"/>
              <w:spacing w:after="0" w:line="240" w:lineRule="auto"/>
              <w:jc w:val="center"/>
              <w:rPr>
                <w:noProof/>
                <w:lang w:val="de-DE"/>
              </w:rPr>
            </w:pPr>
            <w:r w:rsidRPr="00170422">
              <w:rPr>
                <w:noProof/>
                <w:lang w:val="de-DE"/>
              </w:rPr>
              <w:t xml:space="preserve"> </w:t>
            </w:r>
          </w:p>
        </w:tc>
        <w:tc>
          <w:tcPr>
            <w:tcW w:w="2102" w:type="dxa"/>
            <w:shd w:val="clear" w:color="auto" w:fill="C6EFCE"/>
            <w:tcMar>
              <w:left w:w="108" w:type="dxa"/>
              <w:right w:w="108" w:type="dxa"/>
            </w:tcMar>
            <w:vAlign w:val="center"/>
          </w:tcPr>
          <w:p w14:paraId="3A59ABF1"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1D26029C"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61" w:type="dxa"/>
            <w:shd w:val="clear" w:color="auto" w:fill="C6EFCE"/>
            <w:tcMar>
              <w:left w:w="108" w:type="dxa"/>
              <w:right w:w="108" w:type="dxa"/>
            </w:tcMar>
            <w:vAlign w:val="center"/>
          </w:tcPr>
          <w:p w14:paraId="563EEE24" w14:textId="77777777" w:rsidR="0057163C" w:rsidRPr="00170422" w:rsidRDefault="00F37BF9">
            <w:pPr>
              <w:spacing w:after="0" w:line="240" w:lineRule="auto"/>
              <w:rPr>
                <w:rFonts w:ascii="Times New Roman" w:eastAsia="Times New Roman" w:hAnsi="Times New Roman" w:cs="Times New Roman"/>
                <w:noProof/>
                <w:lang w:val="de-DE"/>
              </w:rPr>
            </w:pPr>
            <w:r w:rsidRPr="00170422">
              <w:rPr>
                <w:rFonts w:ascii="Times New Roman" w:eastAsia="Times New Roman" w:hAnsi="Times New Roman" w:cs="Times New Roman"/>
                <w:noProof/>
                <w:color w:val="006100"/>
                <w:sz w:val="20"/>
                <w:szCs w:val="20"/>
                <w:lang w:val="de-DE"/>
              </w:rPr>
              <w:t xml:space="preserve"> 3621492701 EUR</w:t>
            </w:r>
            <w:r w:rsidRPr="00170422">
              <w:rPr>
                <w:rFonts w:ascii="Times New Roman" w:eastAsia="Times New Roman" w:hAnsi="Times New Roman" w:cs="Times New Roman"/>
                <w:noProof/>
                <w:sz w:val="23"/>
                <w:szCs w:val="23"/>
                <w:lang w:val="de-DE"/>
              </w:rPr>
              <w:t xml:space="preserve">  </w:t>
            </w:r>
            <w:r w:rsidRPr="00170422">
              <w:rPr>
                <w:rFonts w:ascii="Arial Narrow" w:eastAsia="Arial Narrow" w:hAnsi="Arial Narrow" w:cs="Arial Narrow"/>
                <w:noProof/>
                <w:color w:val="006100"/>
                <w:sz w:val="20"/>
                <w:szCs w:val="20"/>
                <w:lang w:val="de-DE"/>
              </w:rPr>
              <w:t xml:space="preserve"> </w:t>
            </w:r>
          </w:p>
        </w:tc>
      </w:tr>
    </w:tbl>
    <w:p w14:paraId="67231605" w14:textId="23AC50AA" w:rsidR="00A400C5" w:rsidRPr="00170422" w:rsidRDefault="00A400C5">
      <w:pPr>
        <w:spacing w:after="0"/>
        <w:ind w:left="850"/>
        <w:contextualSpacing/>
        <w:jc w:val="both"/>
        <w:rPr>
          <w:rFonts w:ascii="Times New Roman" w:eastAsia="Times New Roman" w:hAnsi="Times New Roman" w:cs="Times New Roman"/>
          <w:noProof/>
          <w:lang w:val="de-DE"/>
        </w:rPr>
      </w:pPr>
    </w:p>
    <w:p w14:paraId="249F5091" w14:textId="77777777" w:rsidR="00A400C5" w:rsidRPr="00170422" w:rsidRDefault="00A400C5">
      <w:pPr>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br w:type="page"/>
      </w:r>
    </w:p>
    <w:p w14:paraId="44932048"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Sechste Tranche (nicht rückzahlbare Unterstützung):</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097"/>
        <w:gridCol w:w="2268"/>
        <w:gridCol w:w="3558"/>
      </w:tblGrid>
      <w:tr w:rsidR="0057163C" w:rsidRPr="00170422" w14:paraId="52EF9C3B" w14:textId="77777777" w:rsidTr="00A400C5">
        <w:trPr>
          <w:trHeight w:val="900"/>
          <w:tblHeader/>
        </w:trPr>
        <w:tc>
          <w:tcPr>
            <w:tcW w:w="1435" w:type="dxa"/>
            <w:vMerge w:val="restart"/>
            <w:shd w:val="clear" w:color="auto" w:fill="BDD7EE"/>
            <w:tcMar>
              <w:left w:w="108" w:type="dxa"/>
              <w:right w:w="108" w:type="dxa"/>
            </w:tcMar>
            <w:vAlign w:val="center"/>
          </w:tcPr>
          <w:p w14:paraId="5B4A4F3C" w14:textId="77777777" w:rsidR="0057163C" w:rsidRPr="00170422" w:rsidRDefault="00F37BF9">
            <w:pPr>
              <w:pStyle w:val="P68B1DB1-Normal120"/>
              <w:spacing w:after="0" w:line="240" w:lineRule="auto"/>
              <w:jc w:val="center"/>
              <w:rPr>
                <w:bCs/>
                <w:noProof/>
                <w:lang w:val="de-DE"/>
              </w:rPr>
            </w:pPr>
            <w:r w:rsidRPr="00170422">
              <w:rPr>
                <w:noProof/>
                <w:lang w:val="de-DE"/>
              </w:rPr>
              <w:t>Laufende Nummer</w:t>
            </w:r>
          </w:p>
        </w:tc>
        <w:tc>
          <w:tcPr>
            <w:tcW w:w="2097" w:type="dxa"/>
            <w:vMerge w:val="restart"/>
            <w:shd w:val="clear" w:color="auto" w:fill="BDD7EE"/>
            <w:tcMar>
              <w:left w:w="108" w:type="dxa"/>
              <w:right w:w="108" w:type="dxa"/>
            </w:tcMar>
            <w:vAlign w:val="center"/>
          </w:tcPr>
          <w:p w14:paraId="4CCE8BE9"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68" w:type="dxa"/>
            <w:vMerge w:val="restart"/>
            <w:shd w:val="clear" w:color="auto" w:fill="BDD7EE"/>
            <w:tcMar>
              <w:left w:w="108" w:type="dxa"/>
              <w:right w:w="108" w:type="dxa"/>
            </w:tcMar>
            <w:vAlign w:val="center"/>
          </w:tcPr>
          <w:p w14:paraId="2ADA3EB1"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8" w:type="dxa"/>
            <w:vMerge w:val="restart"/>
            <w:shd w:val="clear" w:color="auto" w:fill="BDD7EE"/>
            <w:tcMar>
              <w:left w:w="108" w:type="dxa"/>
              <w:right w:w="108" w:type="dxa"/>
            </w:tcMar>
            <w:vAlign w:val="center"/>
          </w:tcPr>
          <w:p w14:paraId="11A3C600"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0EBFBF81" w14:textId="77777777" w:rsidTr="00A400C5">
        <w:trPr>
          <w:trHeight w:val="510"/>
        </w:trPr>
        <w:tc>
          <w:tcPr>
            <w:tcW w:w="1435" w:type="dxa"/>
            <w:vMerge/>
            <w:vAlign w:val="center"/>
          </w:tcPr>
          <w:p w14:paraId="4D49600B"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vMerge/>
            <w:vAlign w:val="center"/>
          </w:tcPr>
          <w:p w14:paraId="12F67352"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vAlign w:val="center"/>
          </w:tcPr>
          <w:p w14:paraId="13B2C4CB"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8" w:type="dxa"/>
            <w:vMerge/>
            <w:vAlign w:val="center"/>
          </w:tcPr>
          <w:p w14:paraId="4C345578"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225D13B" w14:textId="77777777" w:rsidTr="00A400C5">
        <w:trPr>
          <w:trHeight w:val="300"/>
        </w:trPr>
        <w:tc>
          <w:tcPr>
            <w:tcW w:w="1435" w:type="dxa"/>
            <w:shd w:val="clear" w:color="auto" w:fill="C6EFCE"/>
            <w:tcMar>
              <w:left w:w="108" w:type="dxa"/>
              <w:right w:w="108" w:type="dxa"/>
            </w:tcMar>
            <w:vAlign w:val="center"/>
          </w:tcPr>
          <w:p w14:paraId="6D226258" w14:textId="77777777" w:rsidR="0057163C" w:rsidRPr="00170422" w:rsidRDefault="00F37BF9">
            <w:pPr>
              <w:pStyle w:val="P68B1DB1-Normal121"/>
              <w:spacing w:after="0" w:line="240" w:lineRule="auto"/>
              <w:jc w:val="center"/>
              <w:rPr>
                <w:noProof/>
                <w:lang w:val="de-DE"/>
              </w:rPr>
            </w:pPr>
            <w:r w:rsidRPr="00170422">
              <w:rPr>
                <w:noProof/>
                <w:lang w:val="de-DE"/>
              </w:rPr>
              <w:t>M1C1-14bis</w:t>
            </w:r>
          </w:p>
        </w:tc>
        <w:tc>
          <w:tcPr>
            <w:tcW w:w="2097" w:type="dxa"/>
            <w:shd w:val="clear" w:color="auto" w:fill="C6EFCE"/>
            <w:tcMar>
              <w:left w:w="108" w:type="dxa"/>
              <w:right w:w="108" w:type="dxa"/>
            </w:tcMar>
            <w:vAlign w:val="center"/>
          </w:tcPr>
          <w:p w14:paraId="5B23C9CC" w14:textId="77777777" w:rsidR="0057163C" w:rsidRPr="00170422" w:rsidRDefault="00F37BF9">
            <w:pPr>
              <w:pStyle w:val="P68B1DB1-Normal121"/>
              <w:spacing w:after="0" w:line="240" w:lineRule="auto"/>
              <w:rPr>
                <w:noProof/>
                <w:lang w:val="de-DE"/>
              </w:rPr>
            </w:pPr>
            <w:r w:rsidRPr="00170422">
              <w:rPr>
                <w:noProof/>
                <w:lang w:val="de-DE"/>
              </w:rPr>
              <w:t>Reform 1.9a: Reform zur Beschleunigung der Umsetzung der Kohäsionspolitik</w:t>
            </w:r>
          </w:p>
        </w:tc>
        <w:tc>
          <w:tcPr>
            <w:tcW w:w="2268" w:type="dxa"/>
            <w:shd w:val="clear" w:color="auto" w:fill="C6EFCE"/>
            <w:tcMar>
              <w:left w:w="108" w:type="dxa"/>
              <w:right w:w="108" w:type="dxa"/>
            </w:tcMar>
            <w:vAlign w:val="center"/>
          </w:tcPr>
          <w:p w14:paraId="07016C7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CAA73B5" w14:textId="77777777" w:rsidR="0057163C" w:rsidRPr="00170422" w:rsidRDefault="00F37BF9">
            <w:pPr>
              <w:pStyle w:val="P68B1DB1-Normal121"/>
              <w:spacing w:after="0" w:line="240" w:lineRule="auto"/>
              <w:rPr>
                <w:noProof/>
                <w:lang w:val="de-DE"/>
              </w:rPr>
            </w:pPr>
            <w:r w:rsidRPr="00170422">
              <w:rPr>
                <w:noProof/>
                <w:lang w:val="de-DE"/>
              </w:rPr>
              <w:t>Inkrafttreten der nationalen Rechtsvorschriften zur Beschleunigung der Umsetzung der Kohäsionspolitik</w:t>
            </w:r>
          </w:p>
        </w:tc>
      </w:tr>
      <w:tr w:rsidR="0057163C" w:rsidRPr="00170422" w14:paraId="2BBCE6F4" w14:textId="77777777" w:rsidTr="00A400C5">
        <w:trPr>
          <w:trHeight w:val="300"/>
        </w:trPr>
        <w:tc>
          <w:tcPr>
            <w:tcW w:w="1435" w:type="dxa"/>
            <w:shd w:val="clear" w:color="auto" w:fill="C6EFCE"/>
            <w:tcMar>
              <w:left w:w="108" w:type="dxa"/>
              <w:right w:w="108" w:type="dxa"/>
            </w:tcMar>
            <w:vAlign w:val="center"/>
          </w:tcPr>
          <w:p w14:paraId="4FD87C2E" w14:textId="77777777" w:rsidR="0057163C" w:rsidRPr="00170422" w:rsidRDefault="00F37BF9">
            <w:pPr>
              <w:pStyle w:val="P68B1DB1-Normal121"/>
              <w:spacing w:after="0" w:line="240" w:lineRule="auto"/>
              <w:jc w:val="center"/>
              <w:rPr>
                <w:noProof/>
                <w:lang w:val="de-DE"/>
              </w:rPr>
            </w:pPr>
            <w:r w:rsidRPr="00170422">
              <w:rPr>
                <w:noProof/>
                <w:lang w:val="de-DE"/>
              </w:rPr>
              <w:t>M1C1-15</w:t>
            </w:r>
          </w:p>
        </w:tc>
        <w:tc>
          <w:tcPr>
            <w:tcW w:w="2097" w:type="dxa"/>
            <w:shd w:val="clear" w:color="auto" w:fill="C6EFCE"/>
            <w:tcMar>
              <w:left w:w="108" w:type="dxa"/>
              <w:right w:w="108" w:type="dxa"/>
            </w:tcMar>
            <w:vAlign w:val="center"/>
          </w:tcPr>
          <w:p w14:paraId="3F20CFF2" w14:textId="77777777" w:rsidR="0057163C" w:rsidRPr="00170422" w:rsidRDefault="00F37BF9">
            <w:pPr>
              <w:pStyle w:val="P68B1DB1-Normal121"/>
              <w:spacing w:after="0" w:line="240" w:lineRule="auto"/>
              <w:rPr>
                <w:noProof/>
                <w:lang w:val="de-DE"/>
              </w:rPr>
            </w:pPr>
            <w:r w:rsidRPr="00170422">
              <w:rPr>
                <w:noProof/>
                <w:lang w:val="de-DE"/>
              </w:rPr>
              <w:t>Investition 1.6.6: Digitalisierung der Finanzpolizei</w:t>
            </w:r>
          </w:p>
        </w:tc>
        <w:tc>
          <w:tcPr>
            <w:tcW w:w="2268" w:type="dxa"/>
            <w:shd w:val="clear" w:color="auto" w:fill="C6EFCE"/>
            <w:tcMar>
              <w:left w:w="108" w:type="dxa"/>
              <w:right w:w="108" w:type="dxa"/>
            </w:tcMar>
            <w:vAlign w:val="center"/>
          </w:tcPr>
          <w:p w14:paraId="68D64B9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01E76B6" w14:textId="77777777" w:rsidR="0057163C" w:rsidRPr="00170422" w:rsidRDefault="00F37BF9">
            <w:pPr>
              <w:pStyle w:val="P68B1DB1-Normal121"/>
              <w:spacing w:after="0" w:line="240" w:lineRule="auto"/>
              <w:rPr>
                <w:noProof/>
                <w:lang w:val="de-DE"/>
              </w:rPr>
            </w:pPr>
            <w:r w:rsidRPr="00170422">
              <w:rPr>
                <w:noProof/>
                <w:lang w:val="de-DE"/>
              </w:rPr>
              <w:t>Finanzpolizei – Erwerb professioneller datenwissenschaftlicher Dienstleistungen T2</w:t>
            </w:r>
          </w:p>
        </w:tc>
      </w:tr>
      <w:tr w:rsidR="0057163C" w:rsidRPr="00170422" w14:paraId="1DF2E77A" w14:textId="77777777" w:rsidTr="00A400C5">
        <w:trPr>
          <w:trHeight w:val="300"/>
        </w:trPr>
        <w:tc>
          <w:tcPr>
            <w:tcW w:w="1435" w:type="dxa"/>
            <w:shd w:val="clear" w:color="auto" w:fill="C6EFCE"/>
            <w:tcMar>
              <w:left w:w="108" w:type="dxa"/>
              <w:right w:w="108" w:type="dxa"/>
            </w:tcMar>
            <w:vAlign w:val="center"/>
          </w:tcPr>
          <w:p w14:paraId="08F4F962" w14:textId="77777777" w:rsidR="0057163C" w:rsidRPr="00170422" w:rsidRDefault="00F37BF9">
            <w:pPr>
              <w:pStyle w:val="P68B1DB1-Normal121"/>
              <w:spacing w:after="0" w:line="240" w:lineRule="auto"/>
              <w:jc w:val="center"/>
              <w:rPr>
                <w:noProof/>
                <w:lang w:val="de-DE"/>
              </w:rPr>
            </w:pPr>
            <w:r w:rsidRPr="00170422">
              <w:rPr>
                <w:noProof/>
                <w:lang w:val="de-DE"/>
              </w:rPr>
              <w:t>M1C1-37bis</w:t>
            </w:r>
          </w:p>
        </w:tc>
        <w:tc>
          <w:tcPr>
            <w:tcW w:w="2097" w:type="dxa"/>
            <w:shd w:val="clear" w:color="auto" w:fill="C6EFCE"/>
            <w:tcMar>
              <w:left w:w="108" w:type="dxa"/>
              <w:right w:w="108" w:type="dxa"/>
            </w:tcMar>
            <w:vAlign w:val="center"/>
          </w:tcPr>
          <w:p w14:paraId="390FE531" w14:textId="77777777" w:rsidR="0057163C" w:rsidRPr="00170422" w:rsidRDefault="00F37BF9">
            <w:pPr>
              <w:pStyle w:val="P68B1DB1-Normal121"/>
              <w:spacing w:after="0" w:line="240" w:lineRule="auto"/>
              <w:rPr>
                <w:noProof/>
                <w:lang w:val="de-DE"/>
              </w:rPr>
            </w:pPr>
            <w:r w:rsidRPr="00170422">
              <w:rPr>
                <w:noProof/>
                <w:lang w:val="de-DE"/>
              </w:rPr>
              <w:t>Reform 1.4: Reform der Ziviljustiz</w:t>
            </w:r>
          </w:p>
        </w:tc>
        <w:tc>
          <w:tcPr>
            <w:tcW w:w="2268" w:type="dxa"/>
            <w:shd w:val="clear" w:color="auto" w:fill="C6EFCE"/>
            <w:tcMar>
              <w:left w:w="108" w:type="dxa"/>
              <w:right w:w="108" w:type="dxa"/>
            </w:tcMar>
            <w:vAlign w:val="center"/>
          </w:tcPr>
          <w:p w14:paraId="31D8524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2DA5B71" w14:textId="77777777" w:rsidR="0057163C" w:rsidRPr="00170422" w:rsidRDefault="00F37BF9">
            <w:pPr>
              <w:pStyle w:val="P68B1DB1-Normal121"/>
              <w:spacing w:after="0" w:line="240" w:lineRule="auto"/>
              <w:rPr>
                <w:noProof/>
                <w:lang w:val="de-DE"/>
              </w:rPr>
            </w:pPr>
            <w:r w:rsidRPr="00170422">
              <w:rPr>
                <w:noProof/>
                <w:lang w:val="de-DE"/>
              </w:rPr>
              <w:t>Inkrafttreten von Maßnahmen zur Verringerung des Rückstands</w:t>
            </w:r>
          </w:p>
        </w:tc>
      </w:tr>
      <w:tr w:rsidR="0057163C" w:rsidRPr="00170422" w14:paraId="61C79FB2" w14:textId="77777777" w:rsidTr="00A400C5">
        <w:trPr>
          <w:trHeight w:val="300"/>
        </w:trPr>
        <w:tc>
          <w:tcPr>
            <w:tcW w:w="1435" w:type="dxa"/>
            <w:shd w:val="clear" w:color="auto" w:fill="C6EFCE"/>
            <w:tcMar>
              <w:left w:w="108" w:type="dxa"/>
              <w:right w:w="108" w:type="dxa"/>
            </w:tcMar>
            <w:vAlign w:val="center"/>
          </w:tcPr>
          <w:p w14:paraId="0AA6FC9B" w14:textId="77777777" w:rsidR="0057163C" w:rsidRPr="00170422" w:rsidRDefault="00F37BF9">
            <w:pPr>
              <w:pStyle w:val="P68B1DB1-Normal121"/>
              <w:spacing w:after="0" w:line="240" w:lineRule="auto"/>
              <w:jc w:val="center"/>
              <w:rPr>
                <w:noProof/>
                <w:lang w:val="de-DE"/>
              </w:rPr>
            </w:pPr>
            <w:r w:rsidRPr="00170422">
              <w:rPr>
                <w:noProof/>
                <w:lang w:val="de-DE"/>
              </w:rPr>
              <w:t>M1C1-72bis</w:t>
            </w:r>
          </w:p>
        </w:tc>
        <w:tc>
          <w:tcPr>
            <w:tcW w:w="2097" w:type="dxa"/>
            <w:shd w:val="clear" w:color="auto" w:fill="C6EFCE"/>
            <w:tcMar>
              <w:left w:w="108" w:type="dxa"/>
              <w:right w:w="108" w:type="dxa"/>
            </w:tcMar>
            <w:vAlign w:val="center"/>
          </w:tcPr>
          <w:p w14:paraId="43356C26"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7382BD3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9A24896" w14:textId="77777777" w:rsidR="0057163C" w:rsidRPr="00170422" w:rsidRDefault="00F37BF9">
            <w:pPr>
              <w:pStyle w:val="P68B1DB1-Normal121"/>
              <w:spacing w:after="0" w:line="240" w:lineRule="auto"/>
              <w:rPr>
                <w:noProof/>
                <w:lang w:val="de-DE"/>
              </w:rPr>
            </w:pPr>
            <w:r w:rsidRPr="00170422">
              <w:rPr>
                <w:noProof/>
                <w:lang w:val="de-DE"/>
              </w:rPr>
              <w:t xml:space="preserve">Legislative </w:t>
            </w:r>
            <w:r w:rsidRPr="00170422">
              <w:rPr>
                <w:noProof/>
                <w:lang w:val="de-DE"/>
              </w:rPr>
              <w:t>und spezifische Maßnahmen zur Verringerung des Zahlungsverzugs auf zentraler/lokaler Ebene</w:t>
            </w:r>
          </w:p>
        </w:tc>
      </w:tr>
      <w:tr w:rsidR="0057163C" w:rsidRPr="00170422" w14:paraId="7C4AAEE7" w14:textId="77777777" w:rsidTr="00A400C5">
        <w:trPr>
          <w:trHeight w:val="300"/>
        </w:trPr>
        <w:tc>
          <w:tcPr>
            <w:tcW w:w="1435" w:type="dxa"/>
            <w:shd w:val="clear" w:color="auto" w:fill="C6EFCE"/>
            <w:tcMar>
              <w:left w:w="108" w:type="dxa"/>
              <w:right w:w="108" w:type="dxa"/>
            </w:tcMar>
            <w:vAlign w:val="center"/>
          </w:tcPr>
          <w:p w14:paraId="42465D96" w14:textId="77777777" w:rsidR="0057163C" w:rsidRPr="00170422" w:rsidRDefault="00F37BF9">
            <w:pPr>
              <w:pStyle w:val="P68B1DB1-Normal121"/>
              <w:spacing w:after="0" w:line="240" w:lineRule="auto"/>
              <w:jc w:val="center"/>
              <w:rPr>
                <w:noProof/>
                <w:lang w:val="de-DE"/>
              </w:rPr>
            </w:pPr>
            <w:r w:rsidRPr="00170422">
              <w:rPr>
                <w:noProof/>
                <w:lang w:val="de-DE"/>
              </w:rPr>
              <w:t>M1C1-85</w:t>
            </w:r>
          </w:p>
        </w:tc>
        <w:tc>
          <w:tcPr>
            <w:tcW w:w="2097" w:type="dxa"/>
            <w:shd w:val="clear" w:color="auto" w:fill="C6EFCE"/>
            <w:tcMar>
              <w:left w:w="108" w:type="dxa"/>
              <w:right w:w="108" w:type="dxa"/>
            </w:tcMar>
            <w:vAlign w:val="center"/>
          </w:tcPr>
          <w:p w14:paraId="208108E1"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113E5AD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20306977" w14:textId="77777777" w:rsidR="0057163C" w:rsidRPr="00170422" w:rsidRDefault="00F37BF9">
            <w:pPr>
              <w:pStyle w:val="P68B1DB1-Normal121"/>
              <w:spacing w:after="0" w:line="240" w:lineRule="auto"/>
              <w:rPr>
                <w:noProof/>
                <w:lang w:val="de-DE"/>
              </w:rPr>
            </w:pPr>
            <w:r w:rsidRPr="00170422">
              <w:rPr>
                <w:noProof/>
                <w:lang w:val="de-DE"/>
              </w:rPr>
              <w:t xml:space="preserve">Durchschnittliche Zeitspanne zwischen der Auftragsvergabe und der Realisierung </w:t>
            </w:r>
            <w:r w:rsidRPr="00170422">
              <w:rPr>
                <w:noProof/>
                <w:lang w:val="de-DE"/>
              </w:rPr>
              <w:t>der Infrastruktur</w:t>
            </w:r>
          </w:p>
        </w:tc>
      </w:tr>
      <w:tr w:rsidR="0057163C" w:rsidRPr="00170422" w14:paraId="5912808E" w14:textId="77777777" w:rsidTr="00A400C5">
        <w:trPr>
          <w:trHeight w:val="300"/>
        </w:trPr>
        <w:tc>
          <w:tcPr>
            <w:tcW w:w="1435" w:type="dxa"/>
            <w:shd w:val="clear" w:color="auto" w:fill="C6EFCE"/>
            <w:tcMar>
              <w:left w:w="108" w:type="dxa"/>
              <w:right w:w="108" w:type="dxa"/>
            </w:tcMar>
            <w:vAlign w:val="center"/>
          </w:tcPr>
          <w:p w14:paraId="5824C85B" w14:textId="77777777" w:rsidR="0057163C" w:rsidRPr="00170422" w:rsidRDefault="00F37BF9">
            <w:pPr>
              <w:pStyle w:val="P68B1DB1-Normal121"/>
              <w:spacing w:after="0" w:line="240" w:lineRule="auto"/>
              <w:jc w:val="center"/>
              <w:rPr>
                <w:noProof/>
                <w:lang w:val="de-DE"/>
              </w:rPr>
            </w:pPr>
            <w:r w:rsidRPr="00170422">
              <w:rPr>
                <w:noProof/>
                <w:lang w:val="de-DE"/>
              </w:rPr>
              <w:t>M1C1-99</w:t>
            </w:r>
          </w:p>
        </w:tc>
        <w:tc>
          <w:tcPr>
            <w:tcW w:w="2097" w:type="dxa"/>
            <w:shd w:val="clear" w:color="auto" w:fill="C6EFCE"/>
            <w:tcMar>
              <w:left w:w="108" w:type="dxa"/>
              <w:right w:w="108" w:type="dxa"/>
            </w:tcMar>
            <w:vAlign w:val="center"/>
          </w:tcPr>
          <w:p w14:paraId="16272F64"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 </w:t>
            </w:r>
          </w:p>
        </w:tc>
        <w:tc>
          <w:tcPr>
            <w:tcW w:w="2268" w:type="dxa"/>
            <w:shd w:val="clear" w:color="auto" w:fill="C6EFCE"/>
            <w:tcMar>
              <w:left w:w="108" w:type="dxa"/>
              <w:right w:w="108" w:type="dxa"/>
            </w:tcMar>
            <w:vAlign w:val="center"/>
          </w:tcPr>
          <w:p w14:paraId="7851CB1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74EA3C26" w14:textId="77777777" w:rsidR="0057163C" w:rsidRPr="00170422" w:rsidRDefault="00F37BF9">
            <w:pPr>
              <w:pStyle w:val="P68B1DB1-Normal121"/>
              <w:spacing w:after="0" w:line="240" w:lineRule="auto"/>
              <w:rPr>
                <w:noProof/>
                <w:lang w:val="de-DE"/>
              </w:rPr>
            </w:pPr>
            <w:r w:rsidRPr="00170422">
              <w:rPr>
                <w:noProof/>
                <w:lang w:val="de-DE"/>
              </w:rPr>
              <w:t>Öffentliche Auftraggeber, die dynamische Beschaffungssysteme verwenden </w:t>
            </w:r>
          </w:p>
        </w:tc>
      </w:tr>
      <w:tr w:rsidR="0057163C" w:rsidRPr="00170422" w14:paraId="3395CF0C" w14:textId="77777777" w:rsidTr="00A400C5">
        <w:trPr>
          <w:trHeight w:val="300"/>
        </w:trPr>
        <w:tc>
          <w:tcPr>
            <w:tcW w:w="1435" w:type="dxa"/>
            <w:shd w:val="clear" w:color="auto" w:fill="C6EFCE"/>
            <w:tcMar>
              <w:left w:w="108" w:type="dxa"/>
              <w:right w:w="108" w:type="dxa"/>
            </w:tcMar>
            <w:vAlign w:val="center"/>
          </w:tcPr>
          <w:p w14:paraId="35DAA014" w14:textId="77777777" w:rsidR="0057163C" w:rsidRPr="00170422" w:rsidRDefault="00F37BF9">
            <w:pPr>
              <w:pStyle w:val="P68B1DB1-Normal121"/>
              <w:spacing w:after="0" w:line="240" w:lineRule="auto"/>
              <w:jc w:val="center"/>
              <w:rPr>
                <w:noProof/>
                <w:lang w:val="de-DE"/>
              </w:rPr>
            </w:pPr>
            <w:r w:rsidRPr="00170422">
              <w:rPr>
                <w:noProof/>
                <w:lang w:val="de-DE"/>
              </w:rPr>
              <w:t>M2C2-6</w:t>
            </w:r>
          </w:p>
        </w:tc>
        <w:tc>
          <w:tcPr>
            <w:tcW w:w="2097" w:type="dxa"/>
            <w:shd w:val="clear" w:color="auto" w:fill="C6EFCE"/>
            <w:tcMar>
              <w:left w:w="108" w:type="dxa"/>
              <w:right w:w="108" w:type="dxa"/>
            </w:tcMar>
            <w:vAlign w:val="center"/>
          </w:tcPr>
          <w:p w14:paraId="1F3BE69A" w14:textId="77777777" w:rsidR="0057163C" w:rsidRPr="00170422" w:rsidRDefault="00F37BF9">
            <w:pPr>
              <w:pStyle w:val="P68B1DB1-Normal121"/>
              <w:spacing w:after="0" w:line="240" w:lineRule="auto"/>
              <w:rPr>
                <w:noProof/>
                <w:lang w:val="de-DE"/>
              </w:rPr>
            </w:pPr>
            <w:r w:rsidRPr="00170422">
              <w:rPr>
                <w:noProof/>
                <w:lang w:val="de-DE"/>
              </w:rPr>
              <w:t xml:space="preserve">Reform 1: Vereinfachung der Genehmigungsverfahren für erneuerbare </w:t>
            </w:r>
            <w:r w:rsidRPr="00170422">
              <w:rPr>
                <w:noProof/>
                <w:lang w:val="de-DE"/>
              </w:rPr>
              <w:t>Onshore- und Offshore-Anlagen und neuer Rechtsrahmen zur Förderung der Erzeugung aus erneuerbaren Quellen und der Dauer und Verlängerung der Förderfähigkeit der derzeitigen Förderregelungen</w:t>
            </w:r>
          </w:p>
        </w:tc>
        <w:tc>
          <w:tcPr>
            <w:tcW w:w="2268" w:type="dxa"/>
            <w:shd w:val="clear" w:color="auto" w:fill="C6EFCE"/>
            <w:tcMar>
              <w:left w:w="108" w:type="dxa"/>
              <w:right w:w="108" w:type="dxa"/>
            </w:tcMar>
            <w:vAlign w:val="center"/>
          </w:tcPr>
          <w:p w14:paraId="580A526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F08E715" w14:textId="77777777" w:rsidR="0057163C" w:rsidRPr="00170422" w:rsidRDefault="00F37BF9">
            <w:pPr>
              <w:pStyle w:val="P68B1DB1-Normal121"/>
              <w:spacing w:after="0" w:line="240" w:lineRule="auto"/>
              <w:rPr>
                <w:noProof/>
                <w:lang w:val="de-DE"/>
              </w:rPr>
            </w:pPr>
            <w:r w:rsidRPr="00170422">
              <w:rPr>
                <w:noProof/>
                <w:lang w:val="de-DE"/>
              </w:rPr>
              <w:t>Inkrafttreten eines Rechtsrahmens zur Vereinfachung de</w:t>
            </w:r>
            <w:r w:rsidRPr="00170422">
              <w:rPr>
                <w:noProof/>
                <w:lang w:val="de-DE"/>
              </w:rPr>
              <w:t>r Genehmigungsverfahren für den Bau von Anlagen für erneuerbare Onshore- und Offshore-Energien</w:t>
            </w:r>
          </w:p>
        </w:tc>
      </w:tr>
      <w:tr w:rsidR="0057163C" w:rsidRPr="00170422" w14:paraId="0AB27E58" w14:textId="77777777" w:rsidTr="00A400C5">
        <w:trPr>
          <w:trHeight w:val="300"/>
        </w:trPr>
        <w:tc>
          <w:tcPr>
            <w:tcW w:w="1435" w:type="dxa"/>
            <w:shd w:val="clear" w:color="auto" w:fill="C6EFCE"/>
            <w:tcMar>
              <w:left w:w="108" w:type="dxa"/>
              <w:right w:w="108" w:type="dxa"/>
            </w:tcMar>
            <w:vAlign w:val="center"/>
          </w:tcPr>
          <w:p w14:paraId="1534BE9A" w14:textId="77777777" w:rsidR="0057163C" w:rsidRPr="00170422" w:rsidRDefault="00F37BF9">
            <w:pPr>
              <w:pStyle w:val="P68B1DB1-Normal121"/>
              <w:spacing w:after="0" w:line="240" w:lineRule="auto"/>
              <w:jc w:val="center"/>
              <w:rPr>
                <w:noProof/>
                <w:lang w:val="de-DE"/>
              </w:rPr>
            </w:pPr>
            <w:r w:rsidRPr="00170422">
              <w:rPr>
                <w:noProof/>
                <w:lang w:val="de-DE"/>
              </w:rPr>
              <w:t>M4C1-8</w:t>
            </w:r>
          </w:p>
        </w:tc>
        <w:tc>
          <w:tcPr>
            <w:tcW w:w="2097" w:type="dxa"/>
            <w:shd w:val="clear" w:color="auto" w:fill="C6EFCE"/>
            <w:tcMar>
              <w:left w:w="108" w:type="dxa"/>
              <w:right w:w="108" w:type="dxa"/>
            </w:tcMar>
            <w:vAlign w:val="center"/>
          </w:tcPr>
          <w:p w14:paraId="2380D91D" w14:textId="77777777" w:rsidR="0057163C" w:rsidRPr="00170422" w:rsidRDefault="00F37BF9">
            <w:pPr>
              <w:pStyle w:val="P68B1DB1-Normal121"/>
              <w:spacing w:after="0" w:line="240" w:lineRule="auto"/>
              <w:rPr>
                <w:noProof/>
                <w:lang w:val="de-DE"/>
              </w:rPr>
            </w:pPr>
            <w:r w:rsidRPr="00170422">
              <w:rPr>
                <w:noProof/>
                <w:lang w:val="de-DE"/>
              </w:rPr>
              <w:t>Investition 1.3: Plan zur Verbesserung der Infrastruktur für den Schulsport</w:t>
            </w:r>
          </w:p>
        </w:tc>
        <w:tc>
          <w:tcPr>
            <w:tcW w:w="2268" w:type="dxa"/>
            <w:shd w:val="clear" w:color="auto" w:fill="C6EFCE"/>
            <w:tcMar>
              <w:left w:w="108" w:type="dxa"/>
              <w:right w:w="108" w:type="dxa"/>
            </w:tcMar>
            <w:vAlign w:val="center"/>
          </w:tcPr>
          <w:p w14:paraId="2115E5B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01B199D" w14:textId="77777777" w:rsidR="0057163C" w:rsidRPr="00170422" w:rsidRDefault="00F37BF9">
            <w:pPr>
              <w:pStyle w:val="P68B1DB1-Normal121"/>
              <w:spacing w:after="0" w:line="240" w:lineRule="auto"/>
              <w:rPr>
                <w:noProof/>
                <w:lang w:val="de-DE"/>
              </w:rPr>
            </w:pPr>
            <w:r w:rsidRPr="00170422">
              <w:rPr>
                <w:noProof/>
                <w:lang w:val="de-DE"/>
              </w:rPr>
              <w:t>Vergabe von Aufträgen für Maßnahmen zum Bau und zur Renovierung v</w:t>
            </w:r>
            <w:r w:rsidRPr="00170422">
              <w:rPr>
                <w:noProof/>
                <w:lang w:val="de-DE"/>
              </w:rPr>
              <w:t>on Sportanlagen und Fitnessstudios für den Schulgebrauch</w:t>
            </w:r>
          </w:p>
        </w:tc>
      </w:tr>
      <w:tr w:rsidR="0057163C" w:rsidRPr="00170422" w14:paraId="2316D176" w14:textId="77777777" w:rsidTr="00A400C5">
        <w:trPr>
          <w:trHeight w:val="300"/>
        </w:trPr>
        <w:tc>
          <w:tcPr>
            <w:tcW w:w="1435" w:type="dxa"/>
            <w:shd w:val="clear" w:color="auto" w:fill="C6EFCE"/>
            <w:tcMar>
              <w:left w:w="108" w:type="dxa"/>
              <w:right w:w="108" w:type="dxa"/>
            </w:tcMar>
            <w:vAlign w:val="center"/>
          </w:tcPr>
          <w:p w14:paraId="7CA5B56E" w14:textId="77777777" w:rsidR="0057163C" w:rsidRPr="00170422" w:rsidRDefault="00F37BF9">
            <w:pPr>
              <w:pStyle w:val="P68B1DB1-Normal121"/>
              <w:spacing w:after="0" w:line="240" w:lineRule="auto"/>
              <w:jc w:val="center"/>
              <w:rPr>
                <w:noProof/>
                <w:lang w:val="de-DE"/>
              </w:rPr>
            </w:pPr>
            <w:r w:rsidRPr="00170422">
              <w:rPr>
                <w:noProof/>
                <w:lang w:val="de-DE"/>
              </w:rPr>
              <w:t>M5C1-9</w:t>
            </w:r>
          </w:p>
        </w:tc>
        <w:tc>
          <w:tcPr>
            <w:tcW w:w="2097" w:type="dxa"/>
            <w:shd w:val="clear" w:color="auto" w:fill="C6EFCE"/>
            <w:tcMar>
              <w:left w:w="108" w:type="dxa"/>
              <w:right w:w="108" w:type="dxa"/>
            </w:tcMar>
            <w:vAlign w:val="center"/>
          </w:tcPr>
          <w:p w14:paraId="7C2E3764" w14:textId="77777777" w:rsidR="0057163C" w:rsidRPr="00170422" w:rsidRDefault="00F37BF9">
            <w:pPr>
              <w:pStyle w:val="P68B1DB1-Normal121"/>
              <w:spacing w:after="0" w:line="240" w:lineRule="auto"/>
              <w:rPr>
                <w:noProof/>
                <w:lang w:val="de-DE"/>
              </w:rPr>
            </w:pPr>
            <w:r w:rsidRPr="00170422">
              <w:rPr>
                <w:noProof/>
                <w:lang w:val="de-DE"/>
              </w:rPr>
              <w:t>Reform 2 – Nicht angemeldete Erwerbstätigkeit</w:t>
            </w:r>
          </w:p>
        </w:tc>
        <w:tc>
          <w:tcPr>
            <w:tcW w:w="2268" w:type="dxa"/>
            <w:shd w:val="clear" w:color="auto" w:fill="C6EFCE"/>
            <w:tcMar>
              <w:left w:w="108" w:type="dxa"/>
              <w:right w:w="108" w:type="dxa"/>
            </w:tcMar>
            <w:vAlign w:val="center"/>
          </w:tcPr>
          <w:p w14:paraId="140FF00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2787B16" w14:textId="77777777" w:rsidR="0057163C" w:rsidRPr="00170422" w:rsidRDefault="00F37BF9">
            <w:pPr>
              <w:pStyle w:val="P68B1DB1-Normal121"/>
              <w:spacing w:after="0" w:line="240" w:lineRule="auto"/>
              <w:rPr>
                <w:noProof/>
                <w:lang w:val="de-DE"/>
              </w:rPr>
            </w:pPr>
            <w:r w:rsidRPr="00170422">
              <w:rPr>
                <w:noProof/>
                <w:lang w:val="de-DE"/>
              </w:rPr>
              <w:t>Durchführung von Maßnahmen zur Bekämpfung nicht angemeldeter Erwerbstätigkeit</w:t>
            </w:r>
          </w:p>
        </w:tc>
      </w:tr>
      <w:tr w:rsidR="0057163C" w:rsidRPr="00170422" w14:paraId="2197A769" w14:textId="77777777" w:rsidTr="00A400C5">
        <w:trPr>
          <w:trHeight w:val="300"/>
        </w:trPr>
        <w:tc>
          <w:tcPr>
            <w:tcW w:w="1435" w:type="dxa"/>
            <w:shd w:val="clear" w:color="auto" w:fill="C6EFCE"/>
            <w:tcMar>
              <w:left w:w="108" w:type="dxa"/>
              <w:right w:w="108" w:type="dxa"/>
            </w:tcMar>
            <w:vAlign w:val="center"/>
          </w:tcPr>
          <w:p w14:paraId="3D6E66DF" w14:textId="77777777" w:rsidR="0057163C" w:rsidRPr="00170422" w:rsidRDefault="00F37BF9">
            <w:pPr>
              <w:pStyle w:val="P68B1DB1-Normal121"/>
              <w:spacing w:after="0" w:line="240" w:lineRule="auto"/>
              <w:jc w:val="center"/>
              <w:rPr>
                <w:noProof/>
                <w:lang w:val="de-DE"/>
              </w:rPr>
            </w:pPr>
            <w:r w:rsidRPr="00170422">
              <w:rPr>
                <w:noProof/>
                <w:lang w:val="de-DE"/>
              </w:rPr>
              <w:t>M5C2-4</w:t>
            </w:r>
          </w:p>
        </w:tc>
        <w:tc>
          <w:tcPr>
            <w:tcW w:w="2097" w:type="dxa"/>
            <w:shd w:val="clear" w:color="auto" w:fill="C6EFCE"/>
            <w:tcMar>
              <w:left w:w="108" w:type="dxa"/>
              <w:right w:w="108" w:type="dxa"/>
            </w:tcMar>
            <w:vAlign w:val="center"/>
          </w:tcPr>
          <w:p w14:paraId="4F6D4C08" w14:textId="77777777" w:rsidR="0057163C" w:rsidRPr="00170422" w:rsidRDefault="00F37BF9">
            <w:pPr>
              <w:pStyle w:val="P68B1DB1-Normal121"/>
              <w:spacing w:after="0" w:line="240" w:lineRule="auto"/>
              <w:rPr>
                <w:noProof/>
                <w:lang w:val="de-DE"/>
              </w:rPr>
            </w:pPr>
            <w:r w:rsidRPr="00170422">
              <w:rPr>
                <w:noProof/>
                <w:lang w:val="de-DE"/>
              </w:rPr>
              <w:t xml:space="preserve">Reform 2 – Reform für ältere Menschen ohne </w:t>
            </w:r>
            <w:r w:rsidRPr="00170422">
              <w:rPr>
                <w:noProof/>
                <w:lang w:val="de-DE"/>
              </w:rPr>
              <w:t>Selbstversorgung</w:t>
            </w:r>
          </w:p>
        </w:tc>
        <w:tc>
          <w:tcPr>
            <w:tcW w:w="2268" w:type="dxa"/>
            <w:shd w:val="clear" w:color="auto" w:fill="C6EFCE"/>
            <w:tcMar>
              <w:left w:w="108" w:type="dxa"/>
              <w:right w:w="108" w:type="dxa"/>
            </w:tcMar>
            <w:vAlign w:val="center"/>
          </w:tcPr>
          <w:p w14:paraId="2F0AB2A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873E7FD" w14:textId="77777777" w:rsidR="0057163C" w:rsidRPr="00170422" w:rsidRDefault="00F37BF9">
            <w:pPr>
              <w:pStyle w:val="P68B1DB1-Normal121"/>
              <w:spacing w:after="0" w:line="240" w:lineRule="auto"/>
              <w:rPr>
                <w:noProof/>
                <w:lang w:val="de-DE"/>
              </w:rPr>
            </w:pPr>
            <w:r w:rsidRPr="00170422">
              <w:rPr>
                <w:noProof/>
                <w:lang w:val="de-DE"/>
              </w:rPr>
              <w:t>Inkrafttreten der gesetzesvertretenden Dekrete zur Weiterentwicklung der Bestimmungen des Rahmengesetzes zur Stärkung der Maßnahmen zugunsten älterer Menschen ohne Selbstversorgung</w:t>
            </w:r>
          </w:p>
        </w:tc>
      </w:tr>
      <w:tr w:rsidR="0057163C" w:rsidRPr="00170422" w14:paraId="2A781FED" w14:textId="77777777" w:rsidTr="00A400C5">
        <w:trPr>
          <w:trHeight w:val="300"/>
        </w:trPr>
        <w:tc>
          <w:tcPr>
            <w:tcW w:w="1435" w:type="dxa"/>
            <w:shd w:val="clear" w:color="auto" w:fill="C6EFCE"/>
            <w:tcMar>
              <w:left w:w="108" w:type="dxa"/>
              <w:right w:w="108" w:type="dxa"/>
            </w:tcMar>
            <w:vAlign w:val="center"/>
          </w:tcPr>
          <w:p w14:paraId="51FE1A18" w14:textId="77777777" w:rsidR="0057163C" w:rsidRPr="00170422" w:rsidRDefault="00F37BF9">
            <w:pPr>
              <w:pStyle w:val="P68B1DB1-Normal121"/>
              <w:spacing w:after="0" w:line="240" w:lineRule="auto"/>
              <w:jc w:val="center"/>
              <w:rPr>
                <w:noProof/>
                <w:lang w:val="de-DE"/>
              </w:rPr>
            </w:pPr>
            <w:r w:rsidRPr="00170422">
              <w:rPr>
                <w:noProof/>
                <w:lang w:val="de-DE"/>
              </w:rPr>
              <w:t>M7-9</w:t>
            </w:r>
          </w:p>
        </w:tc>
        <w:tc>
          <w:tcPr>
            <w:tcW w:w="2097" w:type="dxa"/>
            <w:shd w:val="clear" w:color="auto" w:fill="C6EFCE"/>
            <w:tcMar>
              <w:left w:w="108" w:type="dxa"/>
              <w:right w:w="108" w:type="dxa"/>
            </w:tcMar>
            <w:vAlign w:val="center"/>
          </w:tcPr>
          <w:p w14:paraId="1C3BF857" w14:textId="77777777" w:rsidR="0057163C" w:rsidRPr="00170422" w:rsidRDefault="00F37BF9">
            <w:pPr>
              <w:pStyle w:val="P68B1DB1-Normal121"/>
              <w:spacing w:after="0" w:line="240" w:lineRule="auto"/>
              <w:rPr>
                <w:noProof/>
                <w:lang w:val="de-DE"/>
              </w:rPr>
            </w:pPr>
            <w:r w:rsidRPr="00170422">
              <w:rPr>
                <w:noProof/>
                <w:lang w:val="de-DE"/>
              </w:rPr>
              <w:t>Reform 5: Plan für neue Kompetenzen – Üb</w:t>
            </w:r>
            <w:r w:rsidRPr="00170422">
              <w:rPr>
                <w:noProof/>
                <w:lang w:val="de-DE"/>
              </w:rPr>
              <w:t>ergänge</w:t>
            </w:r>
          </w:p>
        </w:tc>
        <w:tc>
          <w:tcPr>
            <w:tcW w:w="2268" w:type="dxa"/>
            <w:shd w:val="clear" w:color="auto" w:fill="C6EFCE"/>
            <w:tcMar>
              <w:left w:w="108" w:type="dxa"/>
              <w:right w:w="108" w:type="dxa"/>
            </w:tcMar>
            <w:vAlign w:val="center"/>
          </w:tcPr>
          <w:p w14:paraId="43B2F17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2E6C749" w14:textId="77777777" w:rsidR="0057163C" w:rsidRPr="00170422" w:rsidRDefault="00F37BF9">
            <w:pPr>
              <w:pStyle w:val="P68B1DB1-Normal121"/>
              <w:spacing w:after="0" w:line="240" w:lineRule="auto"/>
              <w:rPr>
                <w:noProof/>
                <w:lang w:val="de-DE"/>
              </w:rPr>
            </w:pPr>
            <w:r w:rsidRPr="00170422">
              <w:rPr>
                <w:noProof/>
                <w:lang w:val="de-DE"/>
              </w:rPr>
              <w:t>Annahme und Veröffentlichung des neuen Plans für Kompetenzen – Übergänge und des Fahrplans für die Umsetzung</w:t>
            </w:r>
          </w:p>
        </w:tc>
      </w:tr>
      <w:tr w:rsidR="0057163C" w:rsidRPr="00170422" w14:paraId="1F1224FD" w14:textId="77777777" w:rsidTr="00A400C5">
        <w:trPr>
          <w:trHeight w:val="300"/>
        </w:trPr>
        <w:tc>
          <w:tcPr>
            <w:tcW w:w="1435" w:type="dxa"/>
            <w:shd w:val="clear" w:color="auto" w:fill="C6EFCE"/>
            <w:tcMar>
              <w:left w:w="108" w:type="dxa"/>
              <w:right w:w="108" w:type="dxa"/>
            </w:tcMar>
            <w:vAlign w:val="center"/>
          </w:tcPr>
          <w:p w14:paraId="5D6D89DB" w14:textId="77777777" w:rsidR="0057163C" w:rsidRPr="00170422" w:rsidRDefault="00F37BF9">
            <w:pPr>
              <w:pStyle w:val="P68B1DB1-Normal121"/>
              <w:spacing w:after="0" w:line="240" w:lineRule="auto"/>
              <w:jc w:val="center"/>
              <w:rPr>
                <w:noProof/>
                <w:lang w:val="de-DE"/>
              </w:rPr>
            </w:pPr>
            <w:r w:rsidRPr="00170422">
              <w:rPr>
                <w:noProof/>
                <w:lang w:val="de-DE"/>
              </w:rPr>
              <w:t>M7-32</w:t>
            </w:r>
          </w:p>
        </w:tc>
        <w:tc>
          <w:tcPr>
            <w:tcW w:w="2097" w:type="dxa"/>
            <w:shd w:val="clear" w:color="auto" w:fill="C6EFCE"/>
            <w:tcMar>
              <w:left w:w="108" w:type="dxa"/>
              <w:right w:w="108" w:type="dxa"/>
            </w:tcMar>
            <w:vAlign w:val="center"/>
          </w:tcPr>
          <w:p w14:paraId="4E4E90B1" w14:textId="77777777" w:rsidR="0057163C" w:rsidRPr="00170422" w:rsidRDefault="00F37BF9">
            <w:pPr>
              <w:pStyle w:val="P68B1DB1-Normal121"/>
              <w:spacing w:after="0" w:line="240" w:lineRule="auto"/>
              <w:rPr>
                <w:noProof/>
                <w:lang w:val="de-DE"/>
              </w:rPr>
            </w:pPr>
            <w:r w:rsidRPr="00170422">
              <w:rPr>
                <w:noProof/>
                <w:lang w:val="de-DE"/>
              </w:rPr>
              <w:t>Investition 12 Finanzierungsinstrument für die Entwicklung einer internationalen, industriellen und FuE-Führungsrolle in</w:t>
            </w:r>
            <w:r w:rsidRPr="00170422">
              <w:rPr>
                <w:noProof/>
                <w:lang w:val="de-DE"/>
              </w:rPr>
              <w:t xml:space="preserve"> emissionsfreien Bussen</w:t>
            </w:r>
          </w:p>
        </w:tc>
        <w:tc>
          <w:tcPr>
            <w:tcW w:w="2268" w:type="dxa"/>
            <w:shd w:val="clear" w:color="auto" w:fill="C6EFCE"/>
            <w:tcMar>
              <w:left w:w="108" w:type="dxa"/>
              <w:right w:w="108" w:type="dxa"/>
            </w:tcMar>
            <w:vAlign w:val="center"/>
          </w:tcPr>
          <w:p w14:paraId="3711B2F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D0C61D6"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4E126783" w14:textId="77777777" w:rsidTr="00A400C5">
        <w:trPr>
          <w:trHeight w:val="300"/>
        </w:trPr>
        <w:tc>
          <w:tcPr>
            <w:tcW w:w="1435" w:type="dxa"/>
            <w:shd w:val="clear" w:color="auto" w:fill="C6EFCE"/>
            <w:tcMar>
              <w:left w:w="108" w:type="dxa"/>
              <w:right w:w="108" w:type="dxa"/>
            </w:tcMar>
            <w:vAlign w:val="center"/>
          </w:tcPr>
          <w:p w14:paraId="1621B403" w14:textId="77777777" w:rsidR="0057163C" w:rsidRPr="00170422" w:rsidRDefault="00F37BF9">
            <w:pPr>
              <w:pStyle w:val="P68B1DB1-Normal121"/>
              <w:spacing w:after="0" w:line="240" w:lineRule="auto"/>
              <w:jc w:val="center"/>
              <w:rPr>
                <w:noProof/>
                <w:lang w:val="de-DE"/>
              </w:rPr>
            </w:pPr>
            <w:r w:rsidRPr="00170422">
              <w:rPr>
                <w:noProof/>
                <w:lang w:val="de-DE"/>
              </w:rPr>
              <w:t>M1C1-39</w:t>
            </w:r>
          </w:p>
        </w:tc>
        <w:tc>
          <w:tcPr>
            <w:tcW w:w="2097" w:type="dxa"/>
            <w:shd w:val="clear" w:color="auto" w:fill="C6EFCE"/>
            <w:tcMar>
              <w:left w:w="108" w:type="dxa"/>
              <w:right w:w="108" w:type="dxa"/>
            </w:tcMar>
            <w:vAlign w:val="center"/>
          </w:tcPr>
          <w:p w14:paraId="2603901D"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Zivil- und Strafgerichte</w:t>
            </w:r>
          </w:p>
        </w:tc>
        <w:tc>
          <w:tcPr>
            <w:tcW w:w="2268" w:type="dxa"/>
            <w:shd w:val="clear" w:color="auto" w:fill="C6EFCE"/>
            <w:tcMar>
              <w:left w:w="108" w:type="dxa"/>
              <w:right w:w="108" w:type="dxa"/>
            </w:tcMar>
            <w:vAlign w:val="center"/>
          </w:tcPr>
          <w:p w14:paraId="71BC64C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37301A1" w14:textId="77777777" w:rsidR="0057163C" w:rsidRPr="00170422" w:rsidRDefault="00F37BF9">
            <w:pPr>
              <w:pStyle w:val="P68B1DB1-Normal121"/>
              <w:spacing w:after="0" w:line="240" w:lineRule="auto"/>
              <w:rPr>
                <w:noProof/>
                <w:lang w:val="de-DE"/>
              </w:rPr>
            </w:pPr>
            <w:r w:rsidRPr="00170422">
              <w:rPr>
                <w:noProof/>
                <w:lang w:val="de-DE"/>
              </w:rPr>
              <w:t>Abschluss der Einstellungsverfahren für Zivil- und Strafgerichte sowie territoriale und zentrale Dienststellen d</w:t>
            </w:r>
            <w:r w:rsidRPr="00170422">
              <w:rPr>
                <w:noProof/>
                <w:lang w:val="de-DE"/>
              </w:rPr>
              <w:t>es für die Durchführung des Aufbau- und Resilienzplans zuständigen Justizministeriums</w:t>
            </w:r>
          </w:p>
        </w:tc>
      </w:tr>
      <w:tr w:rsidR="0057163C" w:rsidRPr="00170422" w14:paraId="61D8F18F" w14:textId="77777777" w:rsidTr="00A400C5">
        <w:trPr>
          <w:trHeight w:val="300"/>
        </w:trPr>
        <w:tc>
          <w:tcPr>
            <w:tcW w:w="1435" w:type="dxa"/>
            <w:shd w:val="clear" w:color="auto" w:fill="C6EFCE"/>
            <w:tcMar>
              <w:left w:w="108" w:type="dxa"/>
              <w:right w:w="108" w:type="dxa"/>
            </w:tcMar>
            <w:vAlign w:val="center"/>
          </w:tcPr>
          <w:p w14:paraId="3319E741" w14:textId="77777777" w:rsidR="0057163C" w:rsidRPr="00170422" w:rsidRDefault="00F37BF9">
            <w:pPr>
              <w:pStyle w:val="P68B1DB1-Normal121"/>
              <w:spacing w:after="0" w:line="240" w:lineRule="auto"/>
              <w:jc w:val="center"/>
              <w:rPr>
                <w:noProof/>
                <w:lang w:val="de-DE"/>
              </w:rPr>
            </w:pPr>
            <w:r w:rsidRPr="00170422">
              <w:rPr>
                <w:noProof/>
                <w:lang w:val="de-DE"/>
              </w:rPr>
              <w:t>M1C1-40</w:t>
            </w:r>
          </w:p>
        </w:tc>
        <w:tc>
          <w:tcPr>
            <w:tcW w:w="2097" w:type="dxa"/>
            <w:shd w:val="clear" w:color="auto" w:fill="C6EFCE"/>
            <w:tcMar>
              <w:left w:w="108" w:type="dxa"/>
              <w:right w:w="108" w:type="dxa"/>
            </w:tcMar>
            <w:vAlign w:val="center"/>
          </w:tcPr>
          <w:p w14:paraId="03C97A37"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Verwaltungsgerichte</w:t>
            </w:r>
          </w:p>
        </w:tc>
        <w:tc>
          <w:tcPr>
            <w:tcW w:w="2268" w:type="dxa"/>
            <w:shd w:val="clear" w:color="auto" w:fill="C6EFCE"/>
            <w:tcMar>
              <w:left w:w="108" w:type="dxa"/>
              <w:right w:w="108" w:type="dxa"/>
            </w:tcMar>
            <w:vAlign w:val="center"/>
          </w:tcPr>
          <w:p w14:paraId="63623C0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4AA61DFB" w14:textId="77777777" w:rsidR="0057163C" w:rsidRPr="00170422" w:rsidRDefault="00F37BF9">
            <w:pPr>
              <w:pStyle w:val="P68B1DB1-Normal121"/>
              <w:spacing w:after="0" w:line="240" w:lineRule="auto"/>
              <w:rPr>
                <w:noProof/>
                <w:lang w:val="de-DE"/>
              </w:rPr>
            </w:pPr>
            <w:r w:rsidRPr="00170422">
              <w:rPr>
                <w:noProof/>
                <w:lang w:val="de-DE"/>
              </w:rPr>
              <w:t>Abschluss von Einstellungsverfahren für Verwaltungsgerichte</w:t>
            </w:r>
          </w:p>
        </w:tc>
      </w:tr>
      <w:tr w:rsidR="0057163C" w:rsidRPr="00170422" w14:paraId="4440F19E" w14:textId="77777777" w:rsidTr="00A400C5">
        <w:trPr>
          <w:trHeight w:val="300"/>
        </w:trPr>
        <w:tc>
          <w:tcPr>
            <w:tcW w:w="1435" w:type="dxa"/>
            <w:shd w:val="clear" w:color="auto" w:fill="C6EFCE"/>
            <w:tcMar>
              <w:left w:w="108" w:type="dxa"/>
              <w:right w:w="108" w:type="dxa"/>
            </w:tcMar>
            <w:vAlign w:val="center"/>
          </w:tcPr>
          <w:p w14:paraId="5AB7F0CF" w14:textId="77777777" w:rsidR="0057163C" w:rsidRPr="00170422" w:rsidRDefault="00F37BF9">
            <w:pPr>
              <w:pStyle w:val="P68B1DB1-Normal121"/>
              <w:spacing w:after="0" w:line="240" w:lineRule="auto"/>
              <w:jc w:val="center"/>
              <w:rPr>
                <w:noProof/>
                <w:lang w:val="de-DE"/>
              </w:rPr>
            </w:pPr>
            <w:r w:rsidRPr="00170422">
              <w:rPr>
                <w:noProof/>
                <w:lang w:val="de-DE"/>
              </w:rPr>
              <w:t>M1C1-41</w:t>
            </w:r>
          </w:p>
        </w:tc>
        <w:tc>
          <w:tcPr>
            <w:tcW w:w="2097" w:type="dxa"/>
            <w:shd w:val="clear" w:color="auto" w:fill="C6EFCE"/>
            <w:tcMar>
              <w:left w:w="108" w:type="dxa"/>
              <w:right w:w="108" w:type="dxa"/>
            </w:tcMar>
            <w:vAlign w:val="center"/>
          </w:tcPr>
          <w:p w14:paraId="5D9E2AAF" w14:textId="77777777" w:rsidR="0057163C" w:rsidRPr="00170422" w:rsidRDefault="00F37BF9">
            <w:pPr>
              <w:pStyle w:val="P68B1DB1-Normal121"/>
              <w:spacing w:after="0" w:line="240" w:lineRule="auto"/>
              <w:rPr>
                <w:noProof/>
                <w:lang w:val="de-DE"/>
              </w:rPr>
            </w:pPr>
            <w:r w:rsidRPr="00170422">
              <w:rPr>
                <w:noProof/>
                <w:lang w:val="de-DE"/>
              </w:rPr>
              <w:t xml:space="preserve">Investition 1.8: </w:t>
            </w:r>
            <w:r w:rsidRPr="00170422">
              <w:rPr>
                <w:noProof/>
                <w:lang w:val="de-DE"/>
              </w:rPr>
              <w:t>Einstellungsverfahren für Verwaltungsgerichte</w:t>
            </w:r>
          </w:p>
        </w:tc>
        <w:tc>
          <w:tcPr>
            <w:tcW w:w="2268" w:type="dxa"/>
            <w:shd w:val="clear" w:color="auto" w:fill="C6EFCE"/>
            <w:tcMar>
              <w:left w:w="108" w:type="dxa"/>
              <w:right w:w="108" w:type="dxa"/>
            </w:tcMar>
            <w:vAlign w:val="center"/>
          </w:tcPr>
          <w:p w14:paraId="17D8749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5FD5F61" w14:textId="77777777" w:rsidR="0057163C" w:rsidRPr="00170422" w:rsidRDefault="00F37BF9">
            <w:pPr>
              <w:pStyle w:val="P68B1DB1-Normal121"/>
              <w:spacing w:after="0" w:line="240" w:lineRule="auto"/>
              <w:rPr>
                <w:noProof/>
                <w:lang w:val="de-DE"/>
              </w:rPr>
            </w:pPr>
            <w:r w:rsidRPr="00170422">
              <w:rPr>
                <w:noProof/>
                <w:lang w:val="de-DE"/>
              </w:rPr>
              <w:t>Abbau des Verfahrensrückstaus bei den regionalen Verwaltungsgerichten</w:t>
            </w:r>
          </w:p>
        </w:tc>
      </w:tr>
      <w:tr w:rsidR="0057163C" w:rsidRPr="00170422" w14:paraId="3983E530" w14:textId="77777777" w:rsidTr="00A400C5">
        <w:trPr>
          <w:trHeight w:val="300"/>
        </w:trPr>
        <w:tc>
          <w:tcPr>
            <w:tcW w:w="1435" w:type="dxa"/>
            <w:shd w:val="clear" w:color="auto" w:fill="C6EFCE"/>
            <w:tcMar>
              <w:left w:w="108" w:type="dxa"/>
              <w:right w:w="108" w:type="dxa"/>
            </w:tcMar>
            <w:vAlign w:val="center"/>
          </w:tcPr>
          <w:p w14:paraId="0A820B06" w14:textId="77777777" w:rsidR="0057163C" w:rsidRPr="00170422" w:rsidRDefault="00F37BF9">
            <w:pPr>
              <w:pStyle w:val="P68B1DB1-Normal121"/>
              <w:spacing w:after="0" w:line="240" w:lineRule="auto"/>
              <w:jc w:val="center"/>
              <w:rPr>
                <w:noProof/>
                <w:lang w:val="de-DE"/>
              </w:rPr>
            </w:pPr>
            <w:r w:rsidRPr="00170422">
              <w:rPr>
                <w:noProof/>
                <w:lang w:val="de-DE"/>
              </w:rPr>
              <w:t>M1C1-42</w:t>
            </w:r>
          </w:p>
        </w:tc>
        <w:tc>
          <w:tcPr>
            <w:tcW w:w="2097" w:type="dxa"/>
            <w:shd w:val="clear" w:color="auto" w:fill="C6EFCE"/>
            <w:tcMar>
              <w:left w:w="108" w:type="dxa"/>
              <w:right w:w="108" w:type="dxa"/>
            </w:tcMar>
            <w:vAlign w:val="center"/>
          </w:tcPr>
          <w:p w14:paraId="39EDA9BD"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Verwaltungsgerichte</w:t>
            </w:r>
          </w:p>
        </w:tc>
        <w:tc>
          <w:tcPr>
            <w:tcW w:w="2268" w:type="dxa"/>
            <w:shd w:val="clear" w:color="auto" w:fill="C6EFCE"/>
            <w:tcMar>
              <w:left w:w="108" w:type="dxa"/>
              <w:right w:w="108" w:type="dxa"/>
            </w:tcMar>
            <w:vAlign w:val="center"/>
          </w:tcPr>
          <w:p w14:paraId="6D95993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F23BFDB" w14:textId="77777777" w:rsidR="0057163C" w:rsidRPr="00170422" w:rsidRDefault="00F37BF9">
            <w:pPr>
              <w:pStyle w:val="P68B1DB1-Normal121"/>
              <w:spacing w:after="0" w:line="240" w:lineRule="auto"/>
              <w:rPr>
                <w:noProof/>
                <w:lang w:val="de-DE"/>
              </w:rPr>
            </w:pPr>
            <w:r w:rsidRPr="00170422">
              <w:rPr>
                <w:noProof/>
                <w:lang w:val="de-DE"/>
              </w:rPr>
              <w:t>Abbau des Verfahrensrückstaus für den Staatsrat</w:t>
            </w:r>
          </w:p>
        </w:tc>
      </w:tr>
      <w:tr w:rsidR="0057163C" w:rsidRPr="00170422" w14:paraId="3AD072E4" w14:textId="77777777" w:rsidTr="00A400C5">
        <w:trPr>
          <w:trHeight w:val="300"/>
        </w:trPr>
        <w:tc>
          <w:tcPr>
            <w:tcW w:w="1435" w:type="dxa"/>
            <w:shd w:val="clear" w:color="auto" w:fill="C6EFCE"/>
            <w:tcMar>
              <w:left w:w="108" w:type="dxa"/>
              <w:right w:w="108" w:type="dxa"/>
            </w:tcMar>
            <w:vAlign w:val="center"/>
          </w:tcPr>
          <w:p w14:paraId="13FC37DC" w14:textId="77777777" w:rsidR="0057163C" w:rsidRPr="00170422" w:rsidRDefault="00F37BF9">
            <w:pPr>
              <w:pStyle w:val="P68B1DB1-Normal121"/>
              <w:spacing w:after="0" w:line="240" w:lineRule="auto"/>
              <w:jc w:val="center"/>
              <w:rPr>
                <w:noProof/>
                <w:lang w:val="de-DE"/>
              </w:rPr>
            </w:pPr>
            <w:r w:rsidRPr="00170422">
              <w:rPr>
                <w:noProof/>
                <w:lang w:val="de-DE"/>
              </w:rPr>
              <w:t xml:space="preserve">M1C1-59 </w:t>
            </w:r>
            <w:r w:rsidRPr="00170422">
              <w:rPr>
                <w:noProof/>
                <w:lang w:val="de-DE"/>
              </w:rPr>
              <w:t>BIS</w:t>
            </w:r>
          </w:p>
        </w:tc>
        <w:tc>
          <w:tcPr>
            <w:tcW w:w="2097" w:type="dxa"/>
            <w:shd w:val="clear" w:color="auto" w:fill="C6EFCE"/>
            <w:tcMar>
              <w:left w:w="108" w:type="dxa"/>
              <w:right w:w="108" w:type="dxa"/>
            </w:tcMar>
            <w:vAlign w:val="center"/>
          </w:tcPr>
          <w:p w14:paraId="4DF7A918" w14:textId="77777777" w:rsidR="0057163C" w:rsidRPr="00170422" w:rsidRDefault="00F37BF9">
            <w:pPr>
              <w:pStyle w:val="P68B1DB1-Normal121"/>
              <w:spacing w:after="0" w:line="240" w:lineRule="auto"/>
              <w:rPr>
                <w:noProof/>
                <w:lang w:val="de-DE"/>
              </w:rPr>
            </w:pPr>
            <w:r w:rsidRPr="00170422">
              <w:rPr>
                <w:noProof/>
                <w:lang w:val="de-DE"/>
              </w:rPr>
              <w:t xml:space="preserve">Reform 1.9: Reform der öffentlichen Verwaltung </w:t>
            </w:r>
          </w:p>
        </w:tc>
        <w:tc>
          <w:tcPr>
            <w:tcW w:w="2268" w:type="dxa"/>
            <w:shd w:val="clear" w:color="auto" w:fill="C6EFCE"/>
            <w:tcMar>
              <w:left w:w="108" w:type="dxa"/>
              <w:right w:w="108" w:type="dxa"/>
            </w:tcMar>
            <w:vAlign w:val="center"/>
          </w:tcPr>
          <w:p w14:paraId="311EE41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09206507" w14:textId="77777777" w:rsidR="0057163C" w:rsidRPr="00170422" w:rsidRDefault="00F37BF9">
            <w:pPr>
              <w:pStyle w:val="P68B1DB1-Normal121"/>
              <w:spacing w:after="0" w:line="240" w:lineRule="auto"/>
              <w:rPr>
                <w:noProof/>
                <w:lang w:val="de-DE"/>
              </w:rPr>
            </w:pPr>
            <w:r w:rsidRPr="00170422">
              <w:rPr>
                <w:noProof/>
                <w:lang w:val="de-DE"/>
              </w:rPr>
              <w:t>Umsetzung der strategischen Personalverwaltung in der öffentlichen Verwaltung</w:t>
            </w:r>
          </w:p>
        </w:tc>
      </w:tr>
      <w:tr w:rsidR="0057163C" w:rsidRPr="00170422" w14:paraId="0BB6CB4C" w14:textId="77777777" w:rsidTr="00A400C5">
        <w:trPr>
          <w:trHeight w:val="300"/>
        </w:trPr>
        <w:tc>
          <w:tcPr>
            <w:tcW w:w="1435" w:type="dxa"/>
            <w:shd w:val="clear" w:color="auto" w:fill="C6EFCE"/>
            <w:tcMar>
              <w:left w:w="108" w:type="dxa"/>
              <w:right w:w="108" w:type="dxa"/>
            </w:tcMar>
            <w:vAlign w:val="center"/>
          </w:tcPr>
          <w:p w14:paraId="69D47B41" w14:textId="77777777" w:rsidR="0057163C" w:rsidRPr="00170422" w:rsidRDefault="00F37BF9">
            <w:pPr>
              <w:pStyle w:val="P68B1DB1-Normal121"/>
              <w:spacing w:after="0" w:line="240" w:lineRule="auto"/>
              <w:jc w:val="center"/>
              <w:rPr>
                <w:noProof/>
                <w:lang w:val="de-DE"/>
              </w:rPr>
            </w:pPr>
            <w:r w:rsidRPr="00170422">
              <w:rPr>
                <w:noProof/>
                <w:lang w:val="de-DE"/>
              </w:rPr>
              <w:t>M1C1-73bis</w:t>
            </w:r>
          </w:p>
        </w:tc>
        <w:tc>
          <w:tcPr>
            <w:tcW w:w="2097" w:type="dxa"/>
            <w:shd w:val="clear" w:color="auto" w:fill="C6EFCE"/>
            <w:tcMar>
              <w:left w:w="108" w:type="dxa"/>
              <w:right w:w="108" w:type="dxa"/>
            </w:tcMar>
            <w:vAlign w:val="center"/>
          </w:tcPr>
          <w:p w14:paraId="17895212"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0A1E2DC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2CE9F01" w14:textId="77777777" w:rsidR="0057163C" w:rsidRPr="00170422" w:rsidRDefault="00F37BF9">
            <w:pPr>
              <w:pStyle w:val="P68B1DB1-Normal121"/>
              <w:spacing w:after="0" w:line="240" w:lineRule="auto"/>
              <w:rPr>
                <w:noProof/>
                <w:lang w:val="de-DE"/>
              </w:rPr>
            </w:pPr>
            <w:r w:rsidRPr="00170422">
              <w:rPr>
                <w:noProof/>
                <w:lang w:val="de-DE"/>
              </w:rPr>
              <w:t xml:space="preserve">Annahme eines </w:t>
            </w:r>
            <w:r w:rsidRPr="00170422">
              <w:rPr>
                <w:noProof/>
                <w:lang w:val="de-DE"/>
              </w:rPr>
              <w:t>Rundschreibens mit Leitlinien zum Qualifikationssystem für öffentliche Auftraggeber</w:t>
            </w:r>
          </w:p>
        </w:tc>
      </w:tr>
      <w:tr w:rsidR="0057163C" w:rsidRPr="00170422" w14:paraId="47AB7FEE" w14:textId="77777777" w:rsidTr="00A400C5">
        <w:trPr>
          <w:trHeight w:val="300"/>
        </w:trPr>
        <w:tc>
          <w:tcPr>
            <w:tcW w:w="1435" w:type="dxa"/>
            <w:shd w:val="clear" w:color="auto" w:fill="C6EFCE"/>
            <w:tcMar>
              <w:left w:w="108" w:type="dxa"/>
              <w:right w:w="108" w:type="dxa"/>
            </w:tcMar>
            <w:vAlign w:val="center"/>
          </w:tcPr>
          <w:p w14:paraId="7EA1E597" w14:textId="77777777" w:rsidR="0057163C" w:rsidRPr="00170422" w:rsidRDefault="00F37BF9">
            <w:pPr>
              <w:pStyle w:val="P68B1DB1-Normal121"/>
              <w:spacing w:after="0" w:line="240" w:lineRule="auto"/>
              <w:jc w:val="center"/>
              <w:rPr>
                <w:noProof/>
                <w:lang w:val="de-DE"/>
              </w:rPr>
            </w:pPr>
            <w:r w:rsidRPr="00170422">
              <w:rPr>
                <w:noProof/>
                <w:lang w:val="de-DE"/>
              </w:rPr>
              <w:t>M1C1-108</w:t>
            </w:r>
          </w:p>
        </w:tc>
        <w:tc>
          <w:tcPr>
            <w:tcW w:w="2097" w:type="dxa"/>
            <w:shd w:val="clear" w:color="auto" w:fill="C6EFCE"/>
            <w:tcMar>
              <w:left w:w="108" w:type="dxa"/>
              <w:right w:w="108" w:type="dxa"/>
            </w:tcMar>
            <w:vAlign w:val="center"/>
          </w:tcPr>
          <w:p w14:paraId="23F1E0E5" w14:textId="77777777" w:rsidR="0057163C" w:rsidRPr="00170422" w:rsidRDefault="00F37BF9">
            <w:pPr>
              <w:pStyle w:val="P68B1DB1-Normal121"/>
              <w:spacing w:after="0" w:line="240" w:lineRule="auto"/>
              <w:rPr>
                <w:noProof/>
                <w:lang w:val="de-DE"/>
              </w:rPr>
            </w:pPr>
            <w:r w:rsidRPr="00170422">
              <w:rPr>
                <w:noProof/>
                <w:lang w:val="de-DE"/>
              </w:rPr>
              <w:t>Reform 1.15: Reform der Vorschriften für das öffentliche Rechnungswesen</w:t>
            </w:r>
          </w:p>
        </w:tc>
        <w:tc>
          <w:tcPr>
            <w:tcW w:w="2268" w:type="dxa"/>
            <w:shd w:val="clear" w:color="auto" w:fill="C6EFCE"/>
            <w:tcMar>
              <w:left w:w="108" w:type="dxa"/>
              <w:right w:w="108" w:type="dxa"/>
            </w:tcMar>
            <w:vAlign w:val="center"/>
          </w:tcPr>
          <w:p w14:paraId="114D819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57153DF" w14:textId="77777777" w:rsidR="0057163C" w:rsidRPr="00170422" w:rsidRDefault="00F37BF9">
            <w:pPr>
              <w:pStyle w:val="P68B1DB1-Normal121"/>
              <w:spacing w:after="0" w:line="240" w:lineRule="auto"/>
              <w:rPr>
                <w:noProof/>
                <w:lang w:val="de-DE"/>
              </w:rPr>
            </w:pPr>
            <w:r w:rsidRPr="00170422">
              <w:rPr>
                <w:noProof/>
                <w:lang w:val="de-DE"/>
              </w:rPr>
              <w:t xml:space="preserve">Billigung des konzeptionellen Rahmens, der Standards für die periodengerechte </w:t>
            </w:r>
            <w:r w:rsidRPr="00170422">
              <w:rPr>
                <w:noProof/>
                <w:lang w:val="de-DE"/>
              </w:rPr>
              <w:t>Rechnungsführung und des multidimensionalen Kontenplans</w:t>
            </w:r>
          </w:p>
        </w:tc>
      </w:tr>
      <w:tr w:rsidR="0057163C" w:rsidRPr="00170422" w14:paraId="0D7CF0C1" w14:textId="77777777" w:rsidTr="00A400C5">
        <w:trPr>
          <w:trHeight w:val="300"/>
        </w:trPr>
        <w:tc>
          <w:tcPr>
            <w:tcW w:w="1435" w:type="dxa"/>
            <w:shd w:val="clear" w:color="auto" w:fill="C6EFCE"/>
            <w:tcMar>
              <w:left w:w="108" w:type="dxa"/>
              <w:right w:w="108" w:type="dxa"/>
            </w:tcMar>
            <w:vAlign w:val="center"/>
          </w:tcPr>
          <w:p w14:paraId="1957B936" w14:textId="77777777" w:rsidR="0057163C" w:rsidRPr="00170422" w:rsidRDefault="00F37BF9">
            <w:pPr>
              <w:pStyle w:val="P68B1DB1-Normal121"/>
              <w:spacing w:after="0" w:line="240" w:lineRule="auto"/>
              <w:jc w:val="center"/>
              <w:rPr>
                <w:noProof/>
                <w:lang w:val="de-DE"/>
              </w:rPr>
            </w:pPr>
            <w:r w:rsidRPr="00170422">
              <w:rPr>
                <w:noProof/>
                <w:lang w:val="de-DE"/>
              </w:rPr>
              <w:t>M1C1-111</w:t>
            </w:r>
          </w:p>
        </w:tc>
        <w:tc>
          <w:tcPr>
            <w:tcW w:w="2097" w:type="dxa"/>
            <w:shd w:val="clear" w:color="auto" w:fill="C6EFCE"/>
            <w:tcMar>
              <w:left w:w="108" w:type="dxa"/>
              <w:right w:w="108" w:type="dxa"/>
            </w:tcMar>
            <w:vAlign w:val="center"/>
          </w:tcPr>
          <w:p w14:paraId="556907BC" w14:textId="77777777" w:rsidR="0057163C" w:rsidRPr="00170422" w:rsidRDefault="00F37BF9">
            <w:pPr>
              <w:pStyle w:val="P68B1DB1-Normal121"/>
              <w:spacing w:after="0" w:line="240" w:lineRule="auto"/>
              <w:rPr>
                <w:noProof/>
                <w:lang w:val="de-DE"/>
              </w:rPr>
            </w:pPr>
            <w:r w:rsidRPr="00170422">
              <w:rPr>
                <w:noProof/>
                <w:lang w:val="de-DE"/>
              </w:rPr>
              <w:t>Reform 1.13: Reform des Rahmens für die Ausgabenüberprüfung</w:t>
            </w:r>
          </w:p>
        </w:tc>
        <w:tc>
          <w:tcPr>
            <w:tcW w:w="2268" w:type="dxa"/>
            <w:shd w:val="clear" w:color="auto" w:fill="C6EFCE"/>
            <w:tcMar>
              <w:left w:w="108" w:type="dxa"/>
              <w:right w:w="108" w:type="dxa"/>
            </w:tcMar>
            <w:vAlign w:val="center"/>
          </w:tcPr>
          <w:p w14:paraId="395A9D3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44D8890" w14:textId="77777777" w:rsidR="0057163C" w:rsidRPr="00170422" w:rsidRDefault="00F37BF9">
            <w:pPr>
              <w:pStyle w:val="P68B1DB1-Normal121"/>
              <w:spacing w:after="0" w:line="240" w:lineRule="auto"/>
              <w:rPr>
                <w:noProof/>
                <w:lang w:val="de-DE"/>
              </w:rPr>
            </w:pPr>
            <w:r w:rsidRPr="00170422">
              <w:rPr>
                <w:noProof/>
                <w:lang w:val="de-DE"/>
              </w:rPr>
              <w:t>Abschluss der jährlichen Ausgabenüberprüfung für 2023 unter Bezugnahme auf das für 2022 festgelegte Einsparziel für 20</w:t>
            </w:r>
            <w:r w:rsidRPr="00170422">
              <w:rPr>
                <w:noProof/>
                <w:lang w:val="de-DE"/>
              </w:rPr>
              <w:t>23</w:t>
            </w:r>
          </w:p>
        </w:tc>
      </w:tr>
      <w:tr w:rsidR="0057163C" w:rsidRPr="00170422" w14:paraId="6283A2E5" w14:textId="77777777" w:rsidTr="00A400C5">
        <w:trPr>
          <w:trHeight w:val="300"/>
        </w:trPr>
        <w:tc>
          <w:tcPr>
            <w:tcW w:w="1435" w:type="dxa"/>
            <w:shd w:val="clear" w:color="auto" w:fill="C6EFCE"/>
            <w:tcMar>
              <w:left w:w="108" w:type="dxa"/>
              <w:right w:w="108" w:type="dxa"/>
            </w:tcMar>
            <w:vAlign w:val="center"/>
          </w:tcPr>
          <w:p w14:paraId="0D2CD9EF" w14:textId="77777777" w:rsidR="0057163C" w:rsidRPr="00170422" w:rsidRDefault="00F37BF9">
            <w:pPr>
              <w:pStyle w:val="P68B1DB1-Normal121"/>
              <w:spacing w:after="0" w:line="240" w:lineRule="auto"/>
              <w:jc w:val="center"/>
              <w:rPr>
                <w:noProof/>
                <w:lang w:val="de-DE"/>
              </w:rPr>
            </w:pPr>
            <w:r w:rsidRPr="00170422">
              <w:rPr>
                <w:noProof/>
                <w:lang w:val="de-DE"/>
              </w:rPr>
              <w:t>M1C1-112</w:t>
            </w:r>
          </w:p>
        </w:tc>
        <w:tc>
          <w:tcPr>
            <w:tcW w:w="2097" w:type="dxa"/>
            <w:shd w:val="clear" w:color="auto" w:fill="C6EFCE"/>
            <w:tcMar>
              <w:left w:w="108" w:type="dxa"/>
              <w:right w:w="108" w:type="dxa"/>
            </w:tcMar>
            <w:vAlign w:val="center"/>
          </w:tcPr>
          <w:p w14:paraId="0CB153AF"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09E41A5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ED37D89" w14:textId="77777777" w:rsidR="0057163C" w:rsidRPr="00170422" w:rsidRDefault="00F37BF9">
            <w:pPr>
              <w:pStyle w:val="P68B1DB1-Normal121"/>
              <w:spacing w:after="0" w:line="240" w:lineRule="auto"/>
              <w:rPr>
                <w:noProof/>
                <w:lang w:val="de-DE"/>
              </w:rPr>
            </w:pPr>
            <w:r w:rsidRPr="00170422">
              <w:rPr>
                <w:noProof/>
                <w:lang w:val="de-DE"/>
              </w:rPr>
              <w:t>Verbesserung der operativen Kapazitäten der Steuerverwaltung im Einklang mit den Einstellungszielen gemäß dem „Leistungsplan 2021-2023“ der Agentur für Einnahmen</w:t>
            </w:r>
          </w:p>
        </w:tc>
      </w:tr>
      <w:tr w:rsidR="0057163C" w:rsidRPr="00170422" w14:paraId="36C0FCE8" w14:textId="77777777" w:rsidTr="00A400C5">
        <w:trPr>
          <w:trHeight w:val="300"/>
        </w:trPr>
        <w:tc>
          <w:tcPr>
            <w:tcW w:w="1435" w:type="dxa"/>
            <w:shd w:val="clear" w:color="auto" w:fill="C6EFCE"/>
            <w:tcMar>
              <w:left w:w="108" w:type="dxa"/>
              <w:right w:w="108" w:type="dxa"/>
            </w:tcMar>
            <w:vAlign w:val="center"/>
          </w:tcPr>
          <w:p w14:paraId="6F0D18E2" w14:textId="77777777" w:rsidR="0057163C" w:rsidRPr="00170422" w:rsidRDefault="00F37BF9">
            <w:pPr>
              <w:pStyle w:val="P68B1DB1-Normal121"/>
              <w:spacing w:after="0" w:line="240" w:lineRule="auto"/>
              <w:jc w:val="center"/>
              <w:rPr>
                <w:noProof/>
                <w:lang w:val="de-DE"/>
              </w:rPr>
            </w:pPr>
            <w:r w:rsidRPr="00170422">
              <w:rPr>
                <w:noProof/>
                <w:lang w:val="de-DE"/>
              </w:rPr>
              <w:t>M1C2-2</w:t>
            </w:r>
          </w:p>
        </w:tc>
        <w:tc>
          <w:tcPr>
            <w:tcW w:w="2097" w:type="dxa"/>
            <w:shd w:val="clear" w:color="auto" w:fill="C6EFCE"/>
            <w:tcMar>
              <w:left w:w="108" w:type="dxa"/>
              <w:right w:w="108" w:type="dxa"/>
            </w:tcMar>
            <w:vAlign w:val="center"/>
          </w:tcPr>
          <w:p w14:paraId="6480934E" w14:textId="77777777" w:rsidR="0057163C" w:rsidRPr="00170422" w:rsidRDefault="00F37BF9">
            <w:pPr>
              <w:pStyle w:val="P68B1DB1-Normal121"/>
              <w:spacing w:after="0" w:line="240" w:lineRule="auto"/>
              <w:rPr>
                <w:noProof/>
                <w:lang w:val="de-DE"/>
              </w:rPr>
            </w:pPr>
            <w:r w:rsidRPr="00170422">
              <w:rPr>
                <w:noProof/>
                <w:lang w:val="de-DE"/>
              </w:rPr>
              <w:t>Investition 1: Übergang 4.0</w:t>
            </w:r>
          </w:p>
        </w:tc>
        <w:tc>
          <w:tcPr>
            <w:tcW w:w="2268" w:type="dxa"/>
            <w:shd w:val="clear" w:color="auto" w:fill="C6EFCE"/>
            <w:tcMar>
              <w:left w:w="108" w:type="dxa"/>
              <w:right w:w="108" w:type="dxa"/>
            </w:tcMar>
            <w:vAlign w:val="center"/>
          </w:tcPr>
          <w:p w14:paraId="33A0054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CF67A5D" w14:textId="77777777" w:rsidR="0057163C" w:rsidRPr="00170422" w:rsidRDefault="00F37BF9">
            <w:pPr>
              <w:pStyle w:val="P68B1DB1-Normal121"/>
              <w:spacing w:after="0" w:line="240" w:lineRule="auto"/>
              <w:rPr>
                <w:noProof/>
                <w:lang w:val="de-DE"/>
              </w:rPr>
            </w:pPr>
            <w:r w:rsidRPr="00170422">
              <w:rPr>
                <w:noProof/>
                <w:lang w:val="de-DE"/>
              </w:rPr>
              <w:t>Übergang 4.0 Steuergutschriften, die Unternehmen auf der Grundlage von im Zeitraum 2021-2022 vorgelegten Steuererklärungen gewährt werden</w:t>
            </w:r>
          </w:p>
        </w:tc>
      </w:tr>
      <w:tr w:rsidR="0057163C" w:rsidRPr="00170422" w14:paraId="5164E07D" w14:textId="77777777" w:rsidTr="00A400C5">
        <w:trPr>
          <w:trHeight w:val="300"/>
        </w:trPr>
        <w:tc>
          <w:tcPr>
            <w:tcW w:w="1435" w:type="dxa"/>
            <w:shd w:val="clear" w:color="auto" w:fill="C6EFCE"/>
            <w:tcMar>
              <w:left w:w="108" w:type="dxa"/>
              <w:right w:w="108" w:type="dxa"/>
            </w:tcMar>
            <w:vAlign w:val="center"/>
          </w:tcPr>
          <w:p w14:paraId="24B30FD3" w14:textId="77777777" w:rsidR="0057163C" w:rsidRPr="00170422" w:rsidRDefault="00F37BF9">
            <w:pPr>
              <w:pStyle w:val="P68B1DB1-Normal121"/>
              <w:spacing w:after="0" w:line="240" w:lineRule="auto"/>
              <w:jc w:val="center"/>
              <w:rPr>
                <w:noProof/>
                <w:lang w:val="de-DE"/>
              </w:rPr>
            </w:pPr>
            <w:r w:rsidRPr="00170422">
              <w:rPr>
                <w:noProof/>
                <w:lang w:val="de-DE"/>
              </w:rPr>
              <w:t>M1C3-9</w:t>
            </w:r>
          </w:p>
        </w:tc>
        <w:tc>
          <w:tcPr>
            <w:tcW w:w="2097" w:type="dxa"/>
            <w:shd w:val="clear" w:color="auto" w:fill="C6EFCE"/>
            <w:tcMar>
              <w:left w:w="108" w:type="dxa"/>
              <w:right w:w="108" w:type="dxa"/>
            </w:tcMar>
            <w:vAlign w:val="center"/>
          </w:tcPr>
          <w:p w14:paraId="0472C655" w14:textId="77777777" w:rsidR="0057163C" w:rsidRPr="00170422" w:rsidRDefault="00F37BF9">
            <w:pPr>
              <w:pStyle w:val="P68B1DB1-Normal121"/>
              <w:spacing w:after="0" w:line="240" w:lineRule="auto"/>
              <w:rPr>
                <w:noProof/>
                <w:lang w:val="de-DE"/>
              </w:rPr>
            </w:pPr>
            <w:r w:rsidRPr="00170422">
              <w:rPr>
                <w:noProof/>
                <w:lang w:val="de-DE"/>
              </w:rPr>
              <w:t>Investition 4.1 Digitales Tourismuszentrum</w:t>
            </w:r>
          </w:p>
        </w:tc>
        <w:tc>
          <w:tcPr>
            <w:tcW w:w="2268" w:type="dxa"/>
            <w:shd w:val="clear" w:color="auto" w:fill="C6EFCE"/>
            <w:tcMar>
              <w:left w:w="108" w:type="dxa"/>
              <w:right w:w="108" w:type="dxa"/>
            </w:tcMar>
            <w:vAlign w:val="center"/>
          </w:tcPr>
          <w:p w14:paraId="422F529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2C804F09" w14:textId="77777777" w:rsidR="0057163C" w:rsidRPr="00170422" w:rsidRDefault="00F37BF9">
            <w:pPr>
              <w:pStyle w:val="P68B1DB1-Normal121"/>
              <w:spacing w:after="0" w:line="240" w:lineRule="auto"/>
              <w:rPr>
                <w:noProof/>
                <w:lang w:val="de-DE"/>
              </w:rPr>
            </w:pPr>
            <w:r w:rsidRPr="00170422">
              <w:rPr>
                <w:noProof/>
                <w:lang w:val="de-DE"/>
              </w:rPr>
              <w:t xml:space="preserve">Beteiligung touristischer Akteure am digitalen </w:t>
            </w:r>
            <w:r w:rsidRPr="00170422">
              <w:rPr>
                <w:noProof/>
                <w:lang w:val="de-DE"/>
              </w:rPr>
              <w:t>Tourismus-Hub</w:t>
            </w:r>
          </w:p>
        </w:tc>
      </w:tr>
      <w:tr w:rsidR="0057163C" w:rsidRPr="00170422" w14:paraId="1DD3F2F2" w14:textId="77777777" w:rsidTr="00A400C5">
        <w:trPr>
          <w:trHeight w:val="300"/>
        </w:trPr>
        <w:tc>
          <w:tcPr>
            <w:tcW w:w="1435" w:type="dxa"/>
            <w:shd w:val="clear" w:color="auto" w:fill="C6EFCE"/>
            <w:tcMar>
              <w:left w:w="108" w:type="dxa"/>
              <w:right w:w="108" w:type="dxa"/>
            </w:tcMar>
            <w:vAlign w:val="center"/>
          </w:tcPr>
          <w:p w14:paraId="2604FB8C" w14:textId="77777777" w:rsidR="0057163C" w:rsidRPr="00170422" w:rsidRDefault="00F37BF9">
            <w:pPr>
              <w:pStyle w:val="P68B1DB1-Normal121"/>
              <w:spacing w:after="0" w:line="240" w:lineRule="auto"/>
              <w:jc w:val="center"/>
              <w:rPr>
                <w:noProof/>
                <w:lang w:val="de-DE"/>
              </w:rPr>
            </w:pPr>
            <w:r w:rsidRPr="00170422">
              <w:rPr>
                <w:noProof/>
                <w:lang w:val="de-DE"/>
              </w:rPr>
              <w:t>M1C3-10</w:t>
            </w:r>
          </w:p>
        </w:tc>
        <w:tc>
          <w:tcPr>
            <w:tcW w:w="2097" w:type="dxa"/>
            <w:shd w:val="clear" w:color="auto" w:fill="C6EFCE"/>
            <w:tcMar>
              <w:left w:w="108" w:type="dxa"/>
              <w:right w:w="108" w:type="dxa"/>
            </w:tcMar>
            <w:vAlign w:val="center"/>
          </w:tcPr>
          <w:p w14:paraId="2832DF0F" w14:textId="77777777" w:rsidR="0057163C" w:rsidRPr="00170422" w:rsidRDefault="00F37BF9">
            <w:pPr>
              <w:pStyle w:val="P68B1DB1-Normal121"/>
              <w:spacing w:after="0" w:line="240" w:lineRule="auto"/>
              <w:rPr>
                <w:noProof/>
                <w:lang w:val="de-DE"/>
              </w:rPr>
            </w:pPr>
            <w:r w:rsidRPr="00170422">
              <w:rPr>
                <w:noProof/>
                <w:lang w:val="de-DE"/>
              </w:rPr>
              <w:t xml:space="preserve">Reform 4.1 Reglementierung der Berufe von Fremdenführern. </w:t>
            </w:r>
          </w:p>
        </w:tc>
        <w:tc>
          <w:tcPr>
            <w:tcW w:w="2268" w:type="dxa"/>
            <w:shd w:val="clear" w:color="auto" w:fill="C6EFCE"/>
            <w:tcMar>
              <w:left w:w="108" w:type="dxa"/>
              <w:right w:w="108" w:type="dxa"/>
            </w:tcMar>
            <w:vAlign w:val="center"/>
          </w:tcPr>
          <w:p w14:paraId="42A41AF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CAA56E2" w14:textId="77777777" w:rsidR="0057163C" w:rsidRPr="00170422" w:rsidRDefault="00F37BF9">
            <w:pPr>
              <w:pStyle w:val="P68B1DB1-Normal121"/>
              <w:spacing w:after="0" w:line="240" w:lineRule="auto"/>
              <w:rPr>
                <w:noProof/>
                <w:lang w:val="de-DE"/>
              </w:rPr>
            </w:pPr>
            <w:r w:rsidRPr="00170422">
              <w:rPr>
                <w:noProof/>
                <w:lang w:val="de-DE"/>
              </w:rPr>
              <w:t>Festlegung einer nationalen Norm für Fremdenführer</w:t>
            </w:r>
          </w:p>
        </w:tc>
      </w:tr>
      <w:tr w:rsidR="0057163C" w:rsidRPr="00170422" w14:paraId="2E072CDD" w14:textId="77777777" w:rsidTr="00A400C5">
        <w:trPr>
          <w:trHeight w:val="300"/>
        </w:trPr>
        <w:tc>
          <w:tcPr>
            <w:tcW w:w="1435" w:type="dxa"/>
            <w:shd w:val="clear" w:color="auto" w:fill="C6EFCE"/>
            <w:tcMar>
              <w:left w:w="108" w:type="dxa"/>
              <w:right w:w="108" w:type="dxa"/>
            </w:tcMar>
            <w:vAlign w:val="center"/>
          </w:tcPr>
          <w:p w14:paraId="671BF565" w14:textId="77777777" w:rsidR="0057163C" w:rsidRPr="00170422" w:rsidRDefault="00F37BF9">
            <w:pPr>
              <w:pStyle w:val="P68B1DB1-Normal121"/>
              <w:spacing w:after="0" w:line="240" w:lineRule="auto"/>
              <w:jc w:val="center"/>
              <w:rPr>
                <w:noProof/>
                <w:lang w:val="de-DE"/>
              </w:rPr>
            </w:pPr>
            <w:r w:rsidRPr="00170422">
              <w:rPr>
                <w:noProof/>
                <w:lang w:val="de-DE"/>
              </w:rPr>
              <w:t>M2C1-6</w:t>
            </w:r>
          </w:p>
        </w:tc>
        <w:tc>
          <w:tcPr>
            <w:tcW w:w="2097" w:type="dxa"/>
            <w:shd w:val="clear" w:color="auto" w:fill="C6EFCE"/>
            <w:tcMar>
              <w:left w:w="108" w:type="dxa"/>
              <w:right w:w="108" w:type="dxa"/>
            </w:tcMar>
            <w:vAlign w:val="center"/>
          </w:tcPr>
          <w:p w14:paraId="36A20879" w14:textId="77777777" w:rsidR="0057163C" w:rsidRPr="00170422" w:rsidRDefault="00F37BF9">
            <w:pPr>
              <w:pStyle w:val="P68B1DB1-Normal121"/>
              <w:spacing w:after="0" w:line="240" w:lineRule="auto"/>
              <w:rPr>
                <w:noProof/>
                <w:lang w:val="de-DE"/>
              </w:rPr>
            </w:pPr>
            <w:r w:rsidRPr="00170422">
              <w:rPr>
                <w:noProof/>
                <w:lang w:val="de-DE"/>
              </w:rPr>
              <w:t>Investition 2.2: AGRI-Solarpark</w:t>
            </w:r>
          </w:p>
        </w:tc>
        <w:tc>
          <w:tcPr>
            <w:tcW w:w="2268" w:type="dxa"/>
            <w:shd w:val="clear" w:color="auto" w:fill="C6EFCE"/>
            <w:tcMar>
              <w:left w:w="108" w:type="dxa"/>
              <w:right w:w="108" w:type="dxa"/>
            </w:tcMar>
            <w:vAlign w:val="center"/>
          </w:tcPr>
          <w:p w14:paraId="012BC93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7D268B2" w14:textId="77777777" w:rsidR="0057163C" w:rsidRPr="00170422" w:rsidRDefault="00F37BF9">
            <w:pPr>
              <w:pStyle w:val="P68B1DB1-Normal121"/>
              <w:spacing w:after="0" w:line="240" w:lineRule="auto"/>
              <w:rPr>
                <w:noProof/>
                <w:lang w:val="de-DE"/>
              </w:rPr>
            </w:pPr>
            <w:r w:rsidRPr="00170422">
              <w:rPr>
                <w:noProof/>
                <w:lang w:val="de-DE"/>
              </w:rPr>
              <w:t>Zuweisung der Mittel an die Begünstigten in % der Gesamtmittel für</w:t>
            </w:r>
            <w:r w:rsidRPr="00170422">
              <w:rPr>
                <w:noProof/>
                <w:lang w:val="de-DE"/>
              </w:rPr>
              <w:t xml:space="preserve"> die Investition</w:t>
            </w:r>
          </w:p>
        </w:tc>
      </w:tr>
      <w:tr w:rsidR="0057163C" w:rsidRPr="00170422" w14:paraId="3B66F3A2" w14:textId="77777777" w:rsidTr="00A400C5">
        <w:trPr>
          <w:trHeight w:val="300"/>
        </w:trPr>
        <w:tc>
          <w:tcPr>
            <w:tcW w:w="1435" w:type="dxa"/>
            <w:shd w:val="clear" w:color="auto" w:fill="C6EFCE"/>
            <w:tcMar>
              <w:left w:w="108" w:type="dxa"/>
              <w:right w:w="108" w:type="dxa"/>
            </w:tcMar>
            <w:vAlign w:val="center"/>
          </w:tcPr>
          <w:p w14:paraId="6450E21A" w14:textId="77777777" w:rsidR="0057163C" w:rsidRPr="00170422" w:rsidRDefault="00F37BF9">
            <w:pPr>
              <w:pStyle w:val="P68B1DB1-Normal121"/>
              <w:spacing w:after="0" w:line="240" w:lineRule="auto"/>
              <w:jc w:val="center"/>
              <w:rPr>
                <w:noProof/>
                <w:lang w:val="de-DE"/>
              </w:rPr>
            </w:pPr>
            <w:r w:rsidRPr="00170422">
              <w:rPr>
                <w:noProof/>
                <w:lang w:val="de-DE"/>
              </w:rPr>
              <w:t>M3C2-5</w:t>
            </w:r>
          </w:p>
        </w:tc>
        <w:tc>
          <w:tcPr>
            <w:tcW w:w="2097" w:type="dxa"/>
            <w:shd w:val="clear" w:color="auto" w:fill="C6EFCE"/>
            <w:tcMar>
              <w:left w:w="108" w:type="dxa"/>
              <w:right w:w="108" w:type="dxa"/>
            </w:tcMar>
            <w:vAlign w:val="center"/>
          </w:tcPr>
          <w:p w14:paraId="0DFEF067" w14:textId="77777777" w:rsidR="0057163C" w:rsidRPr="00170422" w:rsidRDefault="00F37BF9">
            <w:pPr>
              <w:pStyle w:val="P68B1DB1-Normal121"/>
              <w:spacing w:after="0" w:line="240" w:lineRule="auto"/>
              <w:rPr>
                <w:noProof/>
                <w:lang w:val="de-DE"/>
              </w:rPr>
            </w:pPr>
            <w:r w:rsidRPr="00170422">
              <w:rPr>
                <w:noProof/>
                <w:lang w:val="de-DE"/>
              </w:rPr>
              <w:t>Investition 2.1 – Digitalisierung der Logistikkette</w:t>
            </w:r>
          </w:p>
        </w:tc>
        <w:tc>
          <w:tcPr>
            <w:tcW w:w="2268" w:type="dxa"/>
            <w:shd w:val="clear" w:color="auto" w:fill="C6EFCE"/>
            <w:tcMar>
              <w:left w:w="108" w:type="dxa"/>
              <w:right w:w="108" w:type="dxa"/>
            </w:tcMar>
            <w:vAlign w:val="center"/>
          </w:tcPr>
          <w:p w14:paraId="08595F4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7A83786" w14:textId="77777777" w:rsidR="0057163C" w:rsidRPr="00170422" w:rsidRDefault="00F37BF9">
            <w:pPr>
              <w:pStyle w:val="P68B1DB1-Normal121"/>
              <w:spacing w:after="0" w:line="240" w:lineRule="auto"/>
              <w:rPr>
                <w:noProof/>
                <w:lang w:val="de-DE"/>
              </w:rPr>
            </w:pPr>
            <w:r w:rsidRPr="00170422">
              <w:rPr>
                <w:noProof/>
                <w:lang w:val="de-DE"/>
              </w:rPr>
              <w:t>Digitalisierung der Logistikkette</w:t>
            </w:r>
          </w:p>
        </w:tc>
      </w:tr>
      <w:tr w:rsidR="0057163C" w:rsidRPr="00170422" w14:paraId="1A75F960" w14:textId="77777777" w:rsidTr="00A400C5">
        <w:trPr>
          <w:trHeight w:val="300"/>
        </w:trPr>
        <w:tc>
          <w:tcPr>
            <w:tcW w:w="1435" w:type="dxa"/>
            <w:shd w:val="clear" w:color="auto" w:fill="C6EFCE"/>
            <w:tcMar>
              <w:left w:w="108" w:type="dxa"/>
              <w:right w:w="108" w:type="dxa"/>
            </w:tcMar>
            <w:vAlign w:val="center"/>
          </w:tcPr>
          <w:p w14:paraId="779D7387" w14:textId="77777777" w:rsidR="0057163C" w:rsidRPr="00170422" w:rsidRDefault="00F37BF9">
            <w:pPr>
              <w:pStyle w:val="P68B1DB1-Normal121"/>
              <w:spacing w:after="0" w:line="240" w:lineRule="auto"/>
              <w:jc w:val="center"/>
              <w:rPr>
                <w:noProof/>
                <w:lang w:val="de-DE"/>
              </w:rPr>
            </w:pPr>
            <w:r w:rsidRPr="00170422">
              <w:rPr>
                <w:noProof/>
                <w:lang w:val="de-DE"/>
              </w:rPr>
              <w:t>M5C2-2</w:t>
            </w:r>
          </w:p>
        </w:tc>
        <w:tc>
          <w:tcPr>
            <w:tcW w:w="2097" w:type="dxa"/>
            <w:shd w:val="clear" w:color="auto" w:fill="C6EFCE"/>
            <w:tcMar>
              <w:left w:w="108" w:type="dxa"/>
              <w:right w:w="108" w:type="dxa"/>
            </w:tcMar>
            <w:vAlign w:val="center"/>
          </w:tcPr>
          <w:p w14:paraId="6E65EE89" w14:textId="77777777" w:rsidR="0057163C" w:rsidRPr="00170422" w:rsidRDefault="00F37BF9">
            <w:pPr>
              <w:pStyle w:val="P68B1DB1-Normal121"/>
              <w:spacing w:after="0" w:line="240" w:lineRule="auto"/>
              <w:rPr>
                <w:noProof/>
                <w:lang w:val="de-DE"/>
              </w:rPr>
            </w:pPr>
            <w:r w:rsidRPr="00170422">
              <w:rPr>
                <w:noProof/>
                <w:lang w:val="de-DE"/>
              </w:rPr>
              <w:t>Reform 1 – Rahmengesetz für Menschen mit Behinderungen</w:t>
            </w:r>
          </w:p>
        </w:tc>
        <w:tc>
          <w:tcPr>
            <w:tcW w:w="2268" w:type="dxa"/>
            <w:shd w:val="clear" w:color="auto" w:fill="C6EFCE"/>
            <w:tcMar>
              <w:left w:w="108" w:type="dxa"/>
              <w:right w:w="108" w:type="dxa"/>
            </w:tcMar>
            <w:vAlign w:val="center"/>
          </w:tcPr>
          <w:p w14:paraId="577CFE9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13F0A2B" w14:textId="77777777" w:rsidR="0057163C" w:rsidRPr="00170422" w:rsidRDefault="00F37BF9">
            <w:pPr>
              <w:pStyle w:val="P68B1DB1-Normal121"/>
              <w:spacing w:after="0" w:line="240" w:lineRule="auto"/>
              <w:rPr>
                <w:noProof/>
                <w:lang w:val="de-DE"/>
              </w:rPr>
            </w:pPr>
            <w:r w:rsidRPr="00170422">
              <w:rPr>
                <w:noProof/>
                <w:lang w:val="de-DE"/>
              </w:rPr>
              <w:t xml:space="preserve">Inkrafttreten der gesetzesvertretenden Dekrete zur </w:t>
            </w:r>
            <w:r w:rsidRPr="00170422">
              <w:rPr>
                <w:noProof/>
                <w:lang w:val="de-DE"/>
              </w:rPr>
              <w:t>Weiterentwicklung der Bestimmungen des Rahmengesetzes zur Stärkung der Autonomie von Menschen mit Behinderungen</w:t>
            </w:r>
          </w:p>
        </w:tc>
      </w:tr>
      <w:tr w:rsidR="0057163C" w:rsidRPr="00170422" w14:paraId="57E4B01C" w14:textId="77777777" w:rsidTr="00A400C5">
        <w:trPr>
          <w:trHeight w:val="300"/>
        </w:trPr>
        <w:tc>
          <w:tcPr>
            <w:tcW w:w="1435" w:type="dxa"/>
            <w:shd w:val="clear" w:color="auto" w:fill="C6EFCE"/>
            <w:tcMar>
              <w:left w:w="108" w:type="dxa"/>
              <w:right w:w="108" w:type="dxa"/>
            </w:tcMar>
            <w:vAlign w:val="center"/>
          </w:tcPr>
          <w:p w14:paraId="3AECA520"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shd w:val="clear" w:color="auto" w:fill="C6EFCE"/>
            <w:tcMar>
              <w:left w:w="108" w:type="dxa"/>
              <w:right w:w="108" w:type="dxa"/>
            </w:tcMar>
            <w:vAlign w:val="center"/>
          </w:tcPr>
          <w:p w14:paraId="2387A0E2"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2533B2EE"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8" w:type="dxa"/>
            <w:shd w:val="clear" w:color="auto" w:fill="C6EFCE"/>
            <w:tcMar>
              <w:left w:w="108" w:type="dxa"/>
              <w:right w:w="108" w:type="dxa"/>
            </w:tcMar>
            <w:vAlign w:val="center"/>
          </w:tcPr>
          <w:p w14:paraId="4B640A1C"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2053579667 EUR</w:t>
            </w:r>
            <w:r w:rsidRPr="00170422">
              <w:rPr>
                <w:noProof/>
                <w:sz w:val="23"/>
                <w:szCs w:val="23"/>
                <w:lang w:val="de-DE"/>
              </w:rPr>
              <w:t xml:space="preserve">  </w:t>
            </w:r>
          </w:p>
        </w:tc>
      </w:tr>
    </w:tbl>
    <w:p w14:paraId="7B44F723"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1FC9F92C"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Siebte Tranche (nicht rückzahlbare Unterstützung):</w:t>
      </w:r>
    </w:p>
    <w:tbl>
      <w:tblPr>
        <w:tblW w:w="9357" w:type="dxa"/>
        <w:tblInd w:w="120" w:type="dxa"/>
        <w:tblLayout w:type="fixed"/>
        <w:tblLook w:val="04A0" w:firstRow="1" w:lastRow="0" w:firstColumn="1" w:lastColumn="0" w:noHBand="0" w:noVBand="1"/>
      </w:tblPr>
      <w:tblGrid>
        <w:gridCol w:w="1435"/>
        <w:gridCol w:w="2097"/>
        <w:gridCol w:w="2268"/>
        <w:gridCol w:w="3557"/>
      </w:tblGrid>
      <w:tr w:rsidR="0057163C" w:rsidRPr="00170422" w14:paraId="5A3D21DE" w14:textId="77777777" w:rsidTr="00A400C5">
        <w:trPr>
          <w:trHeight w:val="900"/>
          <w:tblHeader/>
        </w:trPr>
        <w:tc>
          <w:tcPr>
            <w:tcW w:w="1435"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268BF6A"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097"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2784025A" w14:textId="77777777" w:rsidR="0057163C" w:rsidRPr="00170422" w:rsidRDefault="00F37BF9">
            <w:pPr>
              <w:pStyle w:val="P68B1DB1-Normal120"/>
              <w:spacing w:after="0" w:line="240" w:lineRule="auto"/>
              <w:jc w:val="center"/>
              <w:rPr>
                <w:noProof/>
                <w:lang w:val="de-DE"/>
              </w:rPr>
            </w:pPr>
            <w:r w:rsidRPr="00170422">
              <w:rPr>
                <w:noProof/>
                <w:lang w:val="de-DE"/>
              </w:rPr>
              <w:t xml:space="preserve">Verbundene Maßnahme (Reform oder </w:t>
            </w:r>
            <w:r w:rsidRPr="00170422">
              <w:rPr>
                <w:noProof/>
                <w:lang w:val="de-DE"/>
              </w:rPr>
              <w:t>Investition)</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E5AFD0E"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7"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3AACB11"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09607967" w14:textId="77777777" w:rsidTr="00A400C5">
        <w:trPr>
          <w:trHeight w:val="510"/>
        </w:trPr>
        <w:tc>
          <w:tcPr>
            <w:tcW w:w="1435" w:type="dxa"/>
            <w:vMerge/>
            <w:tcBorders>
              <w:top w:val="single" w:sz="4" w:space="0" w:color="auto"/>
              <w:left w:val="single" w:sz="4" w:space="0" w:color="auto"/>
              <w:bottom w:val="single" w:sz="4" w:space="0" w:color="auto"/>
              <w:right w:val="single" w:sz="4" w:space="0" w:color="auto"/>
            </w:tcBorders>
            <w:vAlign w:val="center"/>
          </w:tcPr>
          <w:p w14:paraId="7649218E"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vMerge/>
            <w:tcBorders>
              <w:top w:val="single" w:sz="4" w:space="0" w:color="auto"/>
              <w:left w:val="single" w:sz="4" w:space="0" w:color="auto"/>
              <w:bottom w:val="single" w:sz="4" w:space="0" w:color="auto"/>
              <w:right w:val="single" w:sz="4" w:space="0" w:color="auto"/>
            </w:tcBorders>
            <w:vAlign w:val="center"/>
          </w:tcPr>
          <w:p w14:paraId="6E99319B"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tcBorders>
              <w:top w:val="single" w:sz="4" w:space="0" w:color="auto"/>
              <w:left w:val="single" w:sz="4" w:space="0" w:color="auto"/>
              <w:bottom w:val="single" w:sz="4" w:space="0" w:color="auto"/>
              <w:right w:val="single" w:sz="4" w:space="0" w:color="auto"/>
            </w:tcBorders>
            <w:vAlign w:val="center"/>
          </w:tcPr>
          <w:p w14:paraId="0610EC3E"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7" w:type="dxa"/>
            <w:vMerge/>
            <w:tcBorders>
              <w:top w:val="single" w:sz="4" w:space="0" w:color="auto"/>
              <w:left w:val="single" w:sz="4" w:space="0" w:color="auto"/>
              <w:bottom w:val="single" w:sz="4" w:space="0" w:color="auto"/>
              <w:right w:val="single" w:sz="4" w:space="0" w:color="auto"/>
            </w:tcBorders>
            <w:vAlign w:val="center"/>
          </w:tcPr>
          <w:p w14:paraId="5243AD69"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7F4F83F"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1E193E" w14:textId="77777777" w:rsidR="0057163C" w:rsidRPr="00170422" w:rsidRDefault="00F37BF9">
            <w:pPr>
              <w:pStyle w:val="P68B1DB1-Normal121"/>
              <w:spacing w:after="0" w:line="240" w:lineRule="auto"/>
              <w:jc w:val="center"/>
              <w:rPr>
                <w:noProof/>
                <w:lang w:val="de-DE"/>
              </w:rPr>
            </w:pPr>
            <w:r w:rsidRPr="00170422">
              <w:rPr>
                <w:noProof/>
                <w:lang w:val="de-DE"/>
              </w:rPr>
              <w:t>M1C1-17</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B3B88" w14:textId="77777777" w:rsidR="0057163C" w:rsidRPr="00170422" w:rsidRDefault="00F37BF9">
            <w:pPr>
              <w:pStyle w:val="P68B1DB1-Normal121"/>
              <w:spacing w:after="0" w:line="240" w:lineRule="auto"/>
              <w:rPr>
                <w:noProof/>
                <w:lang w:val="de-DE"/>
              </w:rPr>
            </w:pPr>
            <w:r w:rsidRPr="00170422">
              <w:rPr>
                <w:noProof/>
                <w:lang w:val="de-DE"/>
              </w:rPr>
              <w:t>Investition 1.1: Digitale Infrastruktur</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E7D2B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B3ECD" w14:textId="77777777" w:rsidR="0057163C" w:rsidRPr="00170422" w:rsidRDefault="00F37BF9">
            <w:pPr>
              <w:pStyle w:val="P68B1DB1-Normal121"/>
              <w:spacing w:after="0" w:line="240" w:lineRule="auto"/>
              <w:rPr>
                <w:noProof/>
                <w:lang w:val="de-DE"/>
              </w:rPr>
            </w:pPr>
            <w:r w:rsidRPr="00170422">
              <w:rPr>
                <w:noProof/>
                <w:lang w:val="de-DE"/>
              </w:rPr>
              <w:t>Migration zum Polo Strategico Nazionale T1</w:t>
            </w:r>
          </w:p>
        </w:tc>
      </w:tr>
      <w:tr w:rsidR="0057163C" w:rsidRPr="00170422" w14:paraId="54865B1C"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E43E16" w14:textId="77777777" w:rsidR="0057163C" w:rsidRPr="00170422" w:rsidRDefault="00F37BF9">
            <w:pPr>
              <w:pStyle w:val="P68B1DB1-Normal121"/>
              <w:spacing w:after="0" w:line="240" w:lineRule="auto"/>
              <w:jc w:val="center"/>
              <w:rPr>
                <w:noProof/>
                <w:lang w:val="de-DE"/>
              </w:rPr>
            </w:pPr>
            <w:r w:rsidRPr="00170422">
              <w:rPr>
                <w:noProof/>
                <w:lang w:val="de-DE"/>
              </w:rPr>
              <w:t>M7-7</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2EAA7B" w14:textId="77777777" w:rsidR="0057163C" w:rsidRPr="00170422" w:rsidRDefault="00F37BF9">
            <w:pPr>
              <w:pStyle w:val="P68B1DB1-Normal121"/>
              <w:spacing w:after="0" w:line="240" w:lineRule="auto"/>
              <w:rPr>
                <w:noProof/>
                <w:lang w:val="de-DE"/>
              </w:rPr>
            </w:pPr>
            <w:r w:rsidRPr="00170422">
              <w:rPr>
                <w:noProof/>
                <w:lang w:val="de-DE"/>
              </w:rPr>
              <w:t xml:space="preserve">Reform 4: Minderung des finanziellen Risikos im Zusammenhang mit Strombezugsverträgen für erneuerbare </w:t>
            </w:r>
            <w:r w:rsidRPr="00170422">
              <w:rPr>
                <w:noProof/>
                <w:lang w:val="de-DE"/>
              </w:rPr>
              <w:t>Energien (Power Purchase Agreements)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4F1E6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4D4614" w14:textId="77777777" w:rsidR="0057163C" w:rsidRPr="00170422" w:rsidRDefault="00F37BF9">
            <w:pPr>
              <w:pStyle w:val="P68B1DB1-Normal121"/>
              <w:spacing w:after="0" w:line="240" w:lineRule="auto"/>
              <w:rPr>
                <w:noProof/>
                <w:lang w:val="de-DE"/>
              </w:rPr>
            </w:pPr>
            <w:r w:rsidRPr="00170422">
              <w:rPr>
                <w:noProof/>
                <w:lang w:val="de-DE"/>
              </w:rPr>
              <w:t>Inkrafttreten des Primär- und Sekundärrechts</w:t>
            </w:r>
          </w:p>
        </w:tc>
      </w:tr>
      <w:tr w:rsidR="0057163C" w:rsidRPr="00170422" w14:paraId="6BE844E4"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6225F3" w14:textId="77777777" w:rsidR="0057163C" w:rsidRPr="00170422" w:rsidRDefault="00F37BF9">
            <w:pPr>
              <w:pStyle w:val="P68B1DB1-Normal121"/>
              <w:spacing w:after="0" w:line="240" w:lineRule="auto"/>
              <w:jc w:val="center"/>
              <w:rPr>
                <w:noProof/>
                <w:lang w:val="de-DE"/>
              </w:rPr>
            </w:pPr>
            <w:r w:rsidRPr="00170422">
              <w:rPr>
                <w:noProof/>
                <w:lang w:val="de-DE"/>
              </w:rPr>
              <w:t>M7-14</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56C0E1" w14:textId="77777777" w:rsidR="0057163C" w:rsidRPr="00170422" w:rsidRDefault="00F37BF9">
            <w:pPr>
              <w:pStyle w:val="P68B1DB1-Normal121"/>
              <w:spacing w:after="0" w:line="240" w:lineRule="auto"/>
              <w:rPr>
                <w:noProof/>
                <w:lang w:val="de-DE"/>
              </w:rPr>
            </w:pPr>
            <w:r w:rsidRPr="00170422">
              <w:rPr>
                <w:noProof/>
                <w:lang w:val="de-DE"/>
              </w:rPr>
              <w:t>Investition 4: Tyrrhenischer Link</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25D4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30D857" w14:textId="77777777" w:rsidR="0057163C" w:rsidRPr="00170422" w:rsidRDefault="00F37BF9">
            <w:pPr>
              <w:pStyle w:val="P68B1DB1-Normal121"/>
              <w:spacing w:after="0" w:line="240" w:lineRule="auto"/>
              <w:rPr>
                <w:noProof/>
                <w:lang w:val="de-DE"/>
              </w:rPr>
            </w:pPr>
            <w:r w:rsidRPr="00170422">
              <w:rPr>
                <w:noProof/>
                <w:lang w:val="de-DE"/>
              </w:rPr>
              <w:t>Vergabe öffentlicher Aufträge</w:t>
            </w:r>
          </w:p>
        </w:tc>
      </w:tr>
      <w:tr w:rsidR="0057163C" w:rsidRPr="00170422" w14:paraId="632BFAE8"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7BD03" w14:textId="77777777" w:rsidR="0057163C" w:rsidRPr="00170422" w:rsidRDefault="00F37BF9">
            <w:pPr>
              <w:pStyle w:val="P68B1DB1-Normal121"/>
              <w:spacing w:after="0" w:line="240" w:lineRule="auto"/>
              <w:jc w:val="center"/>
              <w:rPr>
                <w:noProof/>
                <w:lang w:val="de-DE"/>
              </w:rPr>
            </w:pPr>
            <w:r w:rsidRPr="00170422">
              <w:rPr>
                <w:noProof/>
                <w:lang w:val="de-DE"/>
              </w:rPr>
              <w:t>M3C2-7</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0B025D" w14:textId="77777777" w:rsidR="0057163C" w:rsidRPr="00170422" w:rsidRDefault="00F37BF9">
            <w:pPr>
              <w:pStyle w:val="P68B1DB1-Normal121"/>
              <w:spacing w:after="0" w:line="240" w:lineRule="auto"/>
              <w:rPr>
                <w:noProof/>
                <w:lang w:val="de-DE"/>
              </w:rPr>
            </w:pPr>
            <w:r w:rsidRPr="00170422">
              <w:rPr>
                <w:noProof/>
                <w:lang w:val="de-DE"/>
              </w:rPr>
              <w:t xml:space="preserve">Investition 2.3: Kaltbügeln </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66A7A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B0498" w14:textId="77777777" w:rsidR="0057163C" w:rsidRPr="00170422" w:rsidRDefault="00F37BF9">
            <w:pPr>
              <w:pStyle w:val="P68B1DB1-Normal121"/>
              <w:spacing w:after="0" w:line="240" w:lineRule="auto"/>
              <w:rPr>
                <w:noProof/>
                <w:lang w:val="de-DE"/>
              </w:rPr>
            </w:pPr>
            <w:r w:rsidRPr="00170422">
              <w:rPr>
                <w:noProof/>
                <w:lang w:val="de-DE"/>
              </w:rPr>
              <w:t xml:space="preserve">Vergabe aller öffentlichen Aufträge </w:t>
            </w:r>
          </w:p>
        </w:tc>
      </w:tr>
      <w:tr w:rsidR="0057163C" w:rsidRPr="00170422" w14:paraId="786B418A"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457F42" w14:textId="77777777" w:rsidR="0057163C" w:rsidRPr="00170422" w:rsidRDefault="00F37BF9">
            <w:pPr>
              <w:pStyle w:val="P68B1DB1-Normal121"/>
              <w:spacing w:after="0" w:line="240" w:lineRule="auto"/>
              <w:jc w:val="center"/>
              <w:rPr>
                <w:noProof/>
                <w:lang w:val="de-DE"/>
              </w:rPr>
            </w:pPr>
            <w:r w:rsidRPr="00170422">
              <w:rPr>
                <w:noProof/>
                <w:lang w:val="de-DE"/>
              </w:rPr>
              <w:t>M1C1-18</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2FCCCF" w14:textId="77777777" w:rsidR="0057163C" w:rsidRPr="00170422" w:rsidRDefault="00F37BF9">
            <w:pPr>
              <w:pStyle w:val="P68B1DB1-Normal121"/>
              <w:spacing w:after="0" w:line="240" w:lineRule="auto"/>
              <w:rPr>
                <w:noProof/>
                <w:lang w:val="de-DE"/>
              </w:rPr>
            </w:pPr>
            <w:r w:rsidRPr="00170422">
              <w:rPr>
                <w:noProof/>
                <w:lang w:val="de-DE"/>
              </w:rPr>
              <w:t>Investition 1.3.1: Nationale digitale Datenplattform</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D1062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E4ED2A" w14:textId="77777777" w:rsidR="0057163C" w:rsidRPr="00170422" w:rsidRDefault="00F37BF9">
            <w:pPr>
              <w:pStyle w:val="P68B1DB1-Normal121"/>
              <w:spacing w:after="0" w:line="240" w:lineRule="auto"/>
              <w:rPr>
                <w:noProof/>
                <w:lang w:val="de-DE"/>
              </w:rPr>
            </w:pPr>
            <w:r w:rsidRPr="00170422">
              <w:rPr>
                <w:noProof/>
                <w:lang w:val="de-DE"/>
              </w:rPr>
              <w:t>API auf der nationalen digitalen Datenplattform T1</w:t>
            </w:r>
          </w:p>
        </w:tc>
      </w:tr>
      <w:tr w:rsidR="0057163C" w:rsidRPr="00170422" w14:paraId="2A9CD3EC"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BE50CE" w14:textId="77777777" w:rsidR="0057163C" w:rsidRPr="00170422" w:rsidRDefault="00F37BF9">
            <w:pPr>
              <w:pStyle w:val="P68B1DB1-Normal121"/>
              <w:spacing w:after="0" w:line="240" w:lineRule="auto"/>
              <w:jc w:val="center"/>
              <w:rPr>
                <w:noProof/>
                <w:lang w:val="de-DE"/>
              </w:rPr>
            </w:pPr>
            <w:r w:rsidRPr="00170422">
              <w:rPr>
                <w:noProof/>
                <w:lang w:val="de-DE"/>
              </w:rPr>
              <w:t>M1C1-19</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2ECA79"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1A636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64C314" w14:textId="77777777" w:rsidR="0057163C" w:rsidRPr="00170422" w:rsidRDefault="00F37BF9">
            <w:pPr>
              <w:pStyle w:val="P68B1DB1-Normal121"/>
              <w:spacing w:after="0" w:line="240" w:lineRule="auto"/>
              <w:rPr>
                <w:noProof/>
                <w:lang w:val="de-DE"/>
              </w:rPr>
            </w:pPr>
            <w:r w:rsidRPr="00170422">
              <w:rPr>
                <w:noProof/>
                <w:lang w:val="de-DE"/>
              </w:rPr>
              <w:t>Unterstützung der Modernisierung der Sicherheitsstrukt</w:t>
            </w:r>
            <w:r w:rsidRPr="00170422">
              <w:rPr>
                <w:noProof/>
                <w:lang w:val="de-DE"/>
              </w:rPr>
              <w:t>uren T2</w:t>
            </w:r>
          </w:p>
        </w:tc>
      </w:tr>
      <w:tr w:rsidR="0057163C" w:rsidRPr="00170422" w14:paraId="24AA96A7"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7ACFBC" w14:textId="77777777" w:rsidR="0057163C" w:rsidRPr="00170422" w:rsidRDefault="00F37BF9">
            <w:pPr>
              <w:pStyle w:val="P68B1DB1-Normal121"/>
              <w:spacing w:after="0" w:line="240" w:lineRule="auto"/>
              <w:jc w:val="center"/>
              <w:rPr>
                <w:noProof/>
                <w:lang w:val="de-DE"/>
              </w:rPr>
            </w:pPr>
            <w:r w:rsidRPr="00170422">
              <w:rPr>
                <w:noProof/>
                <w:lang w:val="de-DE"/>
              </w:rPr>
              <w:t>M1C1-20</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8058AE"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D6EEF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96452" w14:textId="77777777" w:rsidR="0057163C" w:rsidRPr="00170422" w:rsidRDefault="00F37BF9">
            <w:pPr>
              <w:pStyle w:val="P68B1DB1-Normal121"/>
              <w:spacing w:after="0" w:line="240" w:lineRule="auto"/>
              <w:rPr>
                <w:noProof/>
                <w:lang w:val="de-DE"/>
              </w:rPr>
            </w:pPr>
            <w:r w:rsidRPr="00170422">
              <w:rPr>
                <w:noProof/>
                <w:lang w:val="de-DE"/>
              </w:rPr>
              <w:t>Vollständige Einführung nationaler Cybersicherheitsdienste</w:t>
            </w:r>
          </w:p>
        </w:tc>
      </w:tr>
      <w:tr w:rsidR="0057163C" w:rsidRPr="00170422" w14:paraId="4B75FBB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6237B2" w14:textId="77777777" w:rsidR="0057163C" w:rsidRPr="00170422" w:rsidRDefault="00F37BF9">
            <w:pPr>
              <w:pStyle w:val="P68B1DB1-Normal121"/>
              <w:spacing w:after="0" w:line="240" w:lineRule="auto"/>
              <w:jc w:val="center"/>
              <w:rPr>
                <w:noProof/>
                <w:lang w:val="de-DE"/>
              </w:rPr>
            </w:pPr>
            <w:r w:rsidRPr="00170422">
              <w:rPr>
                <w:noProof/>
                <w:lang w:val="de-DE"/>
              </w:rPr>
              <w:t>M1C1-21</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FF75E4"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A779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AA5B1B" w14:textId="77777777" w:rsidR="0057163C" w:rsidRPr="00170422" w:rsidRDefault="00F37BF9">
            <w:pPr>
              <w:pStyle w:val="P68B1DB1-Normal121"/>
              <w:spacing w:after="0" w:line="240" w:lineRule="auto"/>
              <w:rPr>
                <w:noProof/>
                <w:lang w:val="de-DE"/>
              </w:rPr>
            </w:pPr>
            <w:r w:rsidRPr="00170422">
              <w:rPr>
                <w:noProof/>
                <w:lang w:val="de-DE"/>
              </w:rPr>
              <w:t xml:space="preserve">Fertigstellung des Netzes von Laboratorien für Cybersicherheitsüberprüfung und </w:t>
            </w:r>
            <w:r w:rsidRPr="00170422">
              <w:rPr>
                <w:noProof/>
                <w:lang w:val="de-DE"/>
              </w:rPr>
              <w:t>-zertifizierung, Evaluierungszentren</w:t>
            </w:r>
          </w:p>
        </w:tc>
      </w:tr>
      <w:tr w:rsidR="0057163C" w:rsidRPr="00170422" w14:paraId="5D9FABA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4589D3" w14:textId="77777777" w:rsidR="0057163C" w:rsidRPr="00170422" w:rsidRDefault="00F37BF9">
            <w:pPr>
              <w:pStyle w:val="P68B1DB1-Normal121"/>
              <w:spacing w:after="0" w:line="240" w:lineRule="auto"/>
              <w:jc w:val="center"/>
              <w:rPr>
                <w:noProof/>
                <w:lang w:val="de-DE"/>
              </w:rPr>
            </w:pPr>
            <w:r w:rsidRPr="00170422">
              <w:rPr>
                <w:noProof/>
                <w:lang w:val="de-DE"/>
              </w:rPr>
              <w:t>M1C1-22</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C512EE" w14:textId="77777777" w:rsidR="0057163C" w:rsidRPr="00170422" w:rsidRDefault="00F37BF9">
            <w:pPr>
              <w:pStyle w:val="P68B1DB1-Normal121"/>
              <w:spacing w:after="0" w:line="240" w:lineRule="auto"/>
              <w:rPr>
                <w:noProof/>
                <w:lang w:val="de-DE"/>
              </w:rPr>
            </w:pPr>
            <w:r w:rsidRPr="00170422">
              <w:rPr>
                <w:noProof/>
                <w:lang w:val="de-DE"/>
              </w:rPr>
              <w:t>Investition 1.5: Cybersicherheit</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425E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DEE90F" w14:textId="77777777" w:rsidR="0057163C" w:rsidRPr="00170422" w:rsidRDefault="00F37BF9">
            <w:pPr>
              <w:pStyle w:val="P68B1DB1-Normal121"/>
              <w:spacing w:after="0" w:line="240" w:lineRule="auto"/>
              <w:rPr>
                <w:noProof/>
                <w:lang w:val="de-DE"/>
              </w:rPr>
            </w:pPr>
            <w:r w:rsidRPr="00170422">
              <w:rPr>
                <w:noProof/>
                <w:lang w:val="de-DE"/>
              </w:rPr>
              <w:t>Vollständiger Betrieb der zentralen Auditstelle für PSNC und NIS-Sicherheitsmaßnahmen mit mindestens 30 abgeschlossenen Inspektionen</w:t>
            </w:r>
          </w:p>
        </w:tc>
      </w:tr>
      <w:tr w:rsidR="0057163C" w:rsidRPr="00170422" w14:paraId="0ED543AF"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882EC2" w14:textId="77777777" w:rsidR="0057163C" w:rsidRPr="00170422" w:rsidRDefault="00F37BF9">
            <w:pPr>
              <w:pStyle w:val="P68B1DB1-Normal121"/>
              <w:spacing w:after="0" w:line="240" w:lineRule="auto"/>
              <w:jc w:val="center"/>
              <w:rPr>
                <w:noProof/>
                <w:lang w:val="de-DE"/>
              </w:rPr>
            </w:pPr>
            <w:r w:rsidRPr="00170422">
              <w:rPr>
                <w:noProof/>
                <w:lang w:val="de-DE"/>
              </w:rPr>
              <w:t>M1C1-43</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769833" w14:textId="77777777" w:rsidR="0057163C" w:rsidRPr="00170422" w:rsidRDefault="00F37BF9">
            <w:pPr>
              <w:pStyle w:val="P68B1DB1-Normal121"/>
              <w:spacing w:after="0" w:line="240" w:lineRule="auto"/>
              <w:rPr>
                <w:noProof/>
                <w:lang w:val="de-DE"/>
              </w:rPr>
            </w:pPr>
            <w:r w:rsidRPr="00170422">
              <w:rPr>
                <w:noProof/>
                <w:lang w:val="de-DE"/>
              </w:rPr>
              <w:t xml:space="preserve">Reform 1.4: Reform der </w:t>
            </w:r>
            <w:r w:rsidRPr="00170422">
              <w:rPr>
                <w:noProof/>
                <w:lang w:val="de-DE"/>
              </w:rPr>
              <w:t>Ziviljustiz</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B9C08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1CF44F" w14:textId="77777777" w:rsidR="0057163C" w:rsidRPr="00170422" w:rsidRDefault="00F37BF9">
            <w:pPr>
              <w:pStyle w:val="P68B1DB1-Normal121"/>
              <w:spacing w:after="0" w:line="240" w:lineRule="auto"/>
              <w:rPr>
                <w:noProof/>
                <w:lang w:val="de-DE"/>
              </w:rPr>
            </w:pPr>
            <w:r w:rsidRPr="00170422">
              <w:rPr>
                <w:noProof/>
                <w:lang w:val="de-DE"/>
              </w:rPr>
              <w:t>Abbau des Verfahrensrückstaus bei den ordentlichen Zivilgerichten (erste Instanz)</w:t>
            </w:r>
          </w:p>
        </w:tc>
      </w:tr>
      <w:tr w:rsidR="0057163C" w:rsidRPr="00170422" w14:paraId="20DBC2D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9240E8" w14:textId="77777777" w:rsidR="0057163C" w:rsidRPr="00170422" w:rsidRDefault="00F37BF9">
            <w:pPr>
              <w:pStyle w:val="P68B1DB1-Normal121"/>
              <w:spacing w:after="0" w:line="240" w:lineRule="auto"/>
              <w:jc w:val="center"/>
              <w:rPr>
                <w:noProof/>
                <w:lang w:val="de-DE"/>
              </w:rPr>
            </w:pPr>
            <w:r w:rsidRPr="00170422">
              <w:rPr>
                <w:noProof/>
                <w:lang w:val="de-DE"/>
              </w:rPr>
              <w:t>M1C1-44</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D0BDD3" w14:textId="77777777" w:rsidR="0057163C" w:rsidRPr="00170422" w:rsidRDefault="00F37BF9">
            <w:pPr>
              <w:pStyle w:val="P68B1DB1-Normal121"/>
              <w:spacing w:after="0" w:line="240" w:lineRule="auto"/>
              <w:rPr>
                <w:noProof/>
                <w:lang w:val="de-DE"/>
              </w:rPr>
            </w:pPr>
            <w:r w:rsidRPr="00170422">
              <w:rPr>
                <w:noProof/>
                <w:lang w:val="de-DE"/>
              </w:rPr>
              <w:t>Reform 1.4: Reform der Ziviljustiz</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0F34A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48F58" w14:textId="77777777" w:rsidR="0057163C" w:rsidRPr="00170422" w:rsidRDefault="00F37BF9">
            <w:pPr>
              <w:pStyle w:val="P68B1DB1-Normal121"/>
              <w:spacing w:after="0" w:line="240" w:lineRule="auto"/>
              <w:rPr>
                <w:noProof/>
                <w:lang w:val="de-DE"/>
              </w:rPr>
            </w:pPr>
            <w:r w:rsidRPr="00170422">
              <w:rPr>
                <w:noProof/>
                <w:lang w:val="de-DE"/>
              </w:rPr>
              <w:t>Abbau des Verfahrensrückstaus beim Zivilgericht (zweite Instanz)</w:t>
            </w:r>
          </w:p>
        </w:tc>
      </w:tr>
      <w:tr w:rsidR="0057163C" w:rsidRPr="00170422" w14:paraId="5530BB2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CD86F9" w14:textId="77777777" w:rsidR="0057163C" w:rsidRPr="00170422" w:rsidRDefault="00F37BF9">
            <w:pPr>
              <w:pStyle w:val="P68B1DB1-Normal121"/>
              <w:spacing w:after="0" w:line="240" w:lineRule="auto"/>
              <w:jc w:val="center"/>
              <w:rPr>
                <w:noProof/>
                <w:lang w:val="de-DE"/>
              </w:rPr>
            </w:pPr>
            <w:r w:rsidRPr="00170422">
              <w:rPr>
                <w:noProof/>
                <w:lang w:val="de-DE"/>
              </w:rPr>
              <w:t>M1C1-60</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FB707" w14:textId="77777777" w:rsidR="0057163C" w:rsidRPr="00170422" w:rsidRDefault="00F37BF9">
            <w:pPr>
              <w:pStyle w:val="P68B1DB1-Normal121"/>
              <w:spacing w:after="0" w:line="240" w:lineRule="auto"/>
              <w:rPr>
                <w:noProof/>
                <w:lang w:val="de-DE"/>
              </w:rPr>
            </w:pPr>
            <w:r w:rsidRPr="00170422">
              <w:rPr>
                <w:noProof/>
                <w:lang w:val="de-DE"/>
              </w:rPr>
              <w:t>Reform 1.9: Reform der öffentliche</w:t>
            </w:r>
            <w:r w:rsidRPr="00170422">
              <w:rPr>
                <w:noProof/>
                <w:lang w:val="de-DE"/>
              </w:rPr>
              <w:t>n Verwaltung</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DD66B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B9D517" w14:textId="77777777" w:rsidR="0057163C" w:rsidRPr="00170422" w:rsidRDefault="00F37BF9">
            <w:pPr>
              <w:pStyle w:val="P68B1DB1-Normal121"/>
              <w:spacing w:after="0" w:line="240" w:lineRule="auto"/>
              <w:rPr>
                <w:noProof/>
                <w:lang w:val="de-DE"/>
              </w:rPr>
            </w:pPr>
            <w:r w:rsidRPr="00170422">
              <w:rPr>
                <w:noProof/>
                <w:lang w:val="de-DE"/>
              </w:rPr>
              <w:t>Vereinfachung und/oder Digitalisierung von 200 kritischen Verfahren, die Bürger und Unternehmen betreffen</w:t>
            </w:r>
          </w:p>
        </w:tc>
      </w:tr>
      <w:tr w:rsidR="0057163C" w:rsidRPr="00170422" w14:paraId="7EEB60A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7D0C8" w14:textId="77777777" w:rsidR="0057163C" w:rsidRPr="00170422" w:rsidRDefault="00F37BF9">
            <w:pPr>
              <w:pStyle w:val="P68B1DB1-Normal121"/>
              <w:spacing w:after="0" w:line="240" w:lineRule="auto"/>
              <w:jc w:val="center"/>
              <w:rPr>
                <w:noProof/>
                <w:lang w:val="de-DE"/>
              </w:rPr>
            </w:pPr>
            <w:r w:rsidRPr="00170422">
              <w:rPr>
                <w:noProof/>
                <w:lang w:val="de-DE"/>
              </w:rPr>
              <w:t>M1C1-72ter</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A6162CB"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17F34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DD4D4E" w14:textId="77777777" w:rsidR="0057163C" w:rsidRPr="00170422" w:rsidRDefault="00F37BF9">
            <w:pPr>
              <w:pStyle w:val="P68B1DB1-Normal121"/>
              <w:spacing w:after="0" w:line="240" w:lineRule="auto"/>
              <w:rPr>
                <w:noProof/>
                <w:lang w:val="de-DE"/>
              </w:rPr>
            </w:pPr>
            <w:r w:rsidRPr="00170422">
              <w:rPr>
                <w:noProof/>
                <w:lang w:val="de-DE"/>
              </w:rPr>
              <w:t>Aufstockung der Humanressourcen für Zahlungen</w:t>
            </w:r>
          </w:p>
        </w:tc>
      </w:tr>
      <w:tr w:rsidR="0057163C" w:rsidRPr="00170422" w14:paraId="7BAD240B"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702A5" w14:textId="77777777" w:rsidR="0057163C" w:rsidRPr="00170422" w:rsidRDefault="00F37BF9">
            <w:pPr>
              <w:pStyle w:val="P68B1DB1-Normal121"/>
              <w:spacing w:after="0" w:line="240" w:lineRule="auto"/>
              <w:jc w:val="center"/>
              <w:rPr>
                <w:noProof/>
                <w:lang w:val="de-DE"/>
              </w:rPr>
            </w:pPr>
            <w:r w:rsidRPr="00170422">
              <w:rPr>
                <w:noProof/>
                <w:lang w:val="de-DE"/>
              </w:rPr>
              <w:t>M1C1-72quater</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5D2B9E"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5EFE4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4EA8C4" w14:textId="77777777" w:rsidR="0057163C" w:rsidRPr="00170422" w:rsidRDefault="00F37BF9">
            <w:pPr>
              <w:pStyle w:val="P68B1DB1-Normal121"/>
              <w:spacing w:after="0" w:line="240" w:lineRule="auto"/>
              <w:rPr>
                <w:noProof/>
                <w:lang w:val="de-DE"/>
              </w:rPr>
            </w:pPr>
            <w:r w:rsidRPr="00170422">
              <w:rPr>
                <w:noProof/>
                <w:lang w:val="de-DE"/>
              </w:rPr>
              <w:t>Annahme des Aktionsplans</w:t>
            </w:r>
          </w:p>
        </w:tc>
      </w:tr>
      <w:tr w:rsidR="0057163C" w:rsidRPr="00170422" w14:paraId="1AEC49A6"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C4CA6B8" w14:textId="77777777" w:rsidR="0057163C" w:rsidRPr="00170422" w:rsidRDefault="00F37BF9">
            <w:pPr>
              <w:pStyle w:val="P68B1DB1-Normal121"/>
              <w:spacing w:after="0" w:line="240" w:lineRule="auto"/>
              <w:jc w:val="center"/>
              <w:rPr>
                <w:noProof/>
                <w:lang w:val="de-DE"/>
              </w:rPr>
            </w:pPr>
            <w:r w:rsidRPr="00170422">
              <w:rPr>
                <w:noProof/>
                <w:lang w:val="de-DE"/>
              </w:rPr>
              <w:t>M1C1-73ter</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4C0D3"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w:t>
            </w:r>
            <w:r w:rsidRPr="00170422">
              <w:rPr>
                <w:noProof/>
                <w:lang w:val="de-DE"/>
              </w:rPr>
              <w:t xml:space="preserve"> öffentliche Auftragswesen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8652A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1D3E50" w14:textId="77777777" w:rsidR="0057163C" w:rsidRPr="00170422" w:rsidRDefault="00F37BF9">
            <w:pPr>
              <w:pStyle w:val="P68B1DB1-Normal121"/>
              <w:spacing w:after="0" w:line="240" w:lineRule="auto"/>
              <w:rPr>
                <w:noProof/>
                <w:lang w:val="de-DE"/>
              </w:rPr>
            </w:pPr>
            <w:r w:rsidRPr="00170422">
              <w:rPr>
                <w:noProof/>
                <w:lang w:val="de-DE"/>
              </w:rPr>
              <w:t xml:space="preserve">Anreize für die Qualifizierung und Professionalisierung der öffentlichen Auftraggeber. </w:t>
            </w:r>
          </w:p>
        </w:tc>
      </w:tr>
      <w:tr w:rsidR="0057163C" w:rsidRPr="00170422" w14:paraId="7BC06FE7"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D21CD3" w14:textId="77777777" w:rsidR="0057163C" w:rsidRPr="00170422" w:rsidRDefault="00F37BF9">
            <w:pPr>
              <w:pStyle w:val="P68B1DB1-Normal121"/>
              <w:spacing w:after="0" w:line="240" w:lineRule="auto"/>
              <w:jc w:val="center"/>
              <w:rPr>
                <w:noProof/>
                <w:lang w:val="de-DE"/>
              </w:rPr>
            </w:pPr>
            <w:r w:rsidRPr="00170422">
              <w:rPr>
                <w:noProof/>
                <w:lang w:val="de-DE"/>
              </w:rPr>
              <w:t>M1C1-73quinquies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8BB59"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28000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94E275" w14:textId="77777777" w:rsidR="0057163C" w:rsidRPr="00170422" w:rsidRDefault="00F37BF9">
            <w:pPr>
              <w:pStyle w:val="P68B1DB1-Normal121"/>
              <w:spacing w:after="0" w:line="240" w:lineRule="auto"/>
              <w:rPr>
                <w:noProof/>
                <w:lang w:val="de-DE"/>
              </w:rPr>
            </w:pPr>
            <w:r w:rsidRPr="00170422">
              <w:rPr>
                <w:noProof/>
                <w:lang w:val="de-DE"/>
              </w:rPr>
              <w:t xml:space="preserve">Inkrafttreten neuer </w:t>
            </w:r>
            <w:r w:rsidRPr="00170422">
              <w:rPr>
                <w:noProof/>
                <w:lang w:val="de-DE"/>
              </w:rPr>
              <w:t>Rechtsvorschriften über die Projektfinanzierung</w:t>
            </w:r>
          </w:p>
        </w:tc>
      </w:tr>
      <w:tr w:rsidR="0057163C" w:rsidRPr="00170422" w14:paraId="3360500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1E31C" w14:textId="77777777" w:rsidR="0057163C" w:rsidRPr="00170422" w:rsidRDefault="00F37BF9">
            <w:pPr>
              <w:pStyle w:val="P68B1DB1-Normal121"/>
              <w:spacing w:after="0" w:line="240" w:lineRule="auto"/>
              <w:jc w:val="center"/>
              <w:rPr>
                <w:noProof/>
                <w:lang w:val="de-DE"/>
              </w:rPr>
            </w:pPr>
            <w:r w:rsidRPr="00170422">
              <w:rPr>
                <w:noProof/>
                <w:lang w:val="de-DE"/>
              </w:rPr>
              <w:t>M1C1-75bis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C27C1F" w14:textId="77777777" w:rsidR="0057163C" w:rsidRPr="00170422" w:rsidRDefault="00F37BF9">
            <w:pPr>
              <w:pStyle w:val="P68B1DB1-Normal121"/>
              <w:spacing w:after="0" w:line="240" w:lineRule="auto"/>
              <w:rPr>
                <w:noProof/>
                <w:lang w:val="de-DE"/>
              </w:rPr>
            </w:pPr>
            <w:r w:rsidRPr="00170422">
              <w:rPr>
                <w:noProof/>
                <w:lang w:val="de-DE"/>
              </w:rPr>
              <w:t xml:space="preserve">Investition 1.10: Unterstützung von Qualifikationen und eProcurement </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2067A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5934A" w14:textId="77777777" w:rsidR="0057163C" w:rsidRPr="00170422" w:rsidRDefault="00F37BF9">
            <w:pPr>
              <w:pStyle w:val="P68B1DB1-Normal121"/>
              <w:spacing w:after="0" w:line="240" w:lineRule="auto"/>
              <w:rPr>
                <w:noProof/>
                <w:lang w:val="de-DE"/>
              </w:rPr>
            </w:pPr>
            <w:r w:rsidRPr="00170422">
              <w:rPr>
                <w:noProof/>
                <w:lang w:val="de-DE"/>
              </w:rPr>
              <w:t>Unterstützung von Qualifikationen und eProcurement</w:t>
            </w:r>
          </w:p>
        </w:tc>
      </w:tr>
      <w:tr w:rsidR="0057163C" w:rsidRPr="00170422" w14:paraId="2594FBC9"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EA1334" w14:textId="77777777" w:rsidR="0057163C" w:rsidRPr="00170422" w:rsidRDefault="00F37BF9">
            <w:pPr>
              <w:pStyle w:val="P68B1DB1-Normal121"/>
              <w:spacing w:after="0" w:line="240" w:lineRule="auto"/>
              <w:jc w:val="center"/>
              <w:rPr>
                <w:noProof/>
                <w:lang w:val="de-DE"/>
              </w:rPr>
            </w:pPr>
            <w:r w:rsidRPr="00170422">
              <w:rPr>
                <w:noProof/>
                <w:lang w:val="de-DE"/>
              </w:rPr>
              <w:t>M1C1-84bis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EF6763" w14:textId="77777777" w:rsidR="0057163C" w:rsidRPr="00170422" w:rsidRDefault="00F37BF9">
            <w:pPr>
              <w:pStyle w:val="P68B1DB1-Normal121"/>
              <w:spacing w:after="0" w:line="240" w:lineRule="auto"/>
              <w:rPr>
                <w:noProof/>
                <w:lang w:val="de-DE"/>
              </w:rPr>
            </w:pPr>
            <w:r w:rsidRPr="00170422">
              <w:rPr>
                <w:noProof/>
                <w:lang w:val="de-DE"/>
              </w:rPr>
              <w:t>Reform 1.10: Reform</w:t>
            </w:r>
            <w:r w:rsidRPr="00170422">
              <w:rPr>
                <w:noProof/>
                <w:lang w:val="de-DE"/>
              </w:rPr>
              <w:t xml:space="preserve"> des Rechtsrahmens für das öffentliche Auftragswesen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E355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30B4CD" w14:textId="77777777" w:rsidR="0057163C" w:rsidRPr="00170422" w:rsidRDefault="00F37BF9">
            <w:pPr>
              <w:pStyle w:val="P68B1DB1-Normal121"/>
              <w:spacing w:after="0" w:line="240" w:lineRule="auto"/>
              <w:rPr>
                <w:noProof/>
                <w:lang w:val="de-DE"/>
              </w:rPr>
            </w:pPr>
            <w:r w:rsidRPr="00170422">
              <w:rPr>
                <w:noProof/>
                <w:lang w:val="de-DE"/>
              </w:rPr>
              <w:t>Maßnahmen zur Beschleunigung der Entscheidungsfindung bei der Auftragsvergabe durch öffentliche Auftraggeber</w:t>
            </w:r>
          </w:p>
        </w:tc>
      </w:tr>
      <w:tr w:rsidR="0057163C" w:rsidRPr="00170422" w14:paraId="6CAFD13C"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8C034B" w14:textId="77777777" w:rsidR="0057163C" w:rsidRPr="00170422" w:rsidRDefault="00F37BF9">
            <w:pPr>
              <w:pStyle w:val="P68B1DB1-Normal121"/>
              <w:spacing w:after="0" w:line="240" w:lineRule="auto"/>
              <w:jc w:val="center"/>
              <w:rPr>
                <w:noProof/>
                <w:lang w:val="de-DE"/>
              </w:rPr>
            </w:pPr>
            <w:r w:rsidRPr="00170422">
              <w:rPr>
                <w:noProof/>
                <w:lang w:val="de-DE"/>
              </w:rPr>
              <w:t>M1C1-98</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6733B5"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3769F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E8FFF3" w14:textId="77777777" w:rsidR="0057163C" w:rsidRPr="00170422" w:rsidRDefault="00F37BF9">
            <w:pPr>
              <w:pStyle w:val="P68B1DB1-Normal121"/>
              <w:spacing w:after="0" w:line="240" w:lineRule="auto"/>
              <w:rPr>
                <w:noProof/>
                <w:lang w:val="de-DE"/>
              </w:rPr>
            </w:pPr>
            <w:r w:rsidRPr="00170422">
              <w:rPr>
                <w:noProof/>
                <w:lang w:val="de-DE"/>
              </w:rPr>
              <w:t>Beamte, die im Rahmen der Professionalisierungsstrategie für öffentliche Auftraggeber geschult wurden</w:t>
            </w:r>
          </w:p>
        </w:tc>
      </w:tr>
      <w:tr w:rsidR="0057163C" w:rsidRPr="00170422" w14:paraId="5047438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FAE156" w14:textId="77777777" w:rsidR="0057163C" w:rsidRPr="00170422" w:rsidRDefault="00F37BF9">
            <w:pPr>
              <w:pStyle w:val="P68B1DB1-Normal121"/>
              <w:spacing w:after="0" w:line="240" w:lineRule="auto"/>
              <w:jc w:val="center"/>
              <w:rPr>
                <w:noProof/>
                <w:lang w:val="de-DE"/>
              </w:rPr>
            </w:pPr>
            <w:r w:rsidRPr="00170422">
              <w:rPr>
                <w:noProof/>
                <w:lang w:val="de-DE"/>
              </w:rPr>
              <w:t>M1C2-11</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A36181"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E073B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C43C3A" w14:textId="77777777" w:rsidR="0057163C" w:rsidRPr="00170422" w:rsidRDefault="00F37BF9">
            <w:pPr>
              <w:pStyle w:val="P68B1DB1-Normal121"/>
              <w:spacing w:after="0" w:line="240" w:lineRule="auto"/>
              <w:rPr>
                <w:noProof/>
                <w:lang w:val="de-DE"/>
              </w:rPr>
            </w:pPr>
            <w:r w:rsidRPr="00170422">
              <w:rPr>
                <w:noProof/>
                <w:lang w:val="de-DE"/>
              </w:rPr>
              <w:t>Inkrafttreten des jährlichen Wettbewerbsgesetzes 2023</w:t>
            </w:r>
          </w:p>
        </w:tc>
      </w:tr>
      <w:tr w:rsidR="0057163C" w:rsidRPr="00170422" w14:paraId="0F22D5F2"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57BD0" w14:textId="77777777" w:rsidR="0057163C" w:rsidRPr="00170422" w:rsidRDefault="00F37BF9">
            <w:pPr>
              <w:pStyle w:val="P68B1DB1-Normal121"/>
              <w:spacing w:after="0" w:line="240" w:lineRule="auto"/>
              <w:jc w:val="center"/>
              <w:rPr>
                <w:noProof/>
                <w:lang w:val="de-DE"/>
              </w:rPr>
            </w:pPr>
            <w:r w:rsidRPr="00170422">
              <w:rPr>
                <w:noProof/>
                <w:lang w:val="de-DE"/>
              </w:rPr>
              <w:t>M1C2-12</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9BAD22" w14:textId="77777777" w:rsidR="0057163C" w:rsidRPr="00170422" w:rsidRDefault="00F37BF9">
            <w:pPr>
              <w:pStyle w:val="P68B1DB1-Normal121"/>
              <w:spacing w:after="0" w:line="240" w:lineRule="auto"/>
              <w:rPr>
                <w:noProof/>
                <w:lang w:val="de-DE"/>
              </w:rPr>
            </w:pPr>
            <w:r w:rsidRPr="00170422">
              <w:rPr>
                <w:noProof/>
                <w:lang w:val="de-DE"/>
              </w:rPr>
              <w:t>Reform 2: Jährliche Wettbe</w:t>
            </w:r>
            <w:r w:rsidRPr="00170422">
              <w:rPr>
                <w:noProof/>
                <w:lang w:val="de-DE"/>
              </w:rPr>
              <w:t>werbsgesetze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B4DD1A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701D5A" w14:textId="77777777" w:rsidR="0057163C" w:rsidRPr="00170422" w:rsidRDefault="00F37BF9">
            <w:pPr>
              <w:pStyle w:val="P68B1DB1-Normal19"/>
              <w:spacing w:after="0" w:line="240" w:lineRule="auto"/>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Inkrafttreten von Durchführungsmaßnahmen (einschließlich des Sekundärrechts, falls erforderlich) zur Umsetzung und Anwendung der im Jahr</w:t>
            </w:r>
            <w:r w:rsidRPr="00170422">
              <w:rPr>
                <w:rFonts w:ascii="Arial Narrow" w:hAnsi="Arial Narrow"/>
                <w:noProof/>
                <w:lang w:val="de-DE"/>
              </w:rPr>
              <w:t xml:space="preserve"> </w:t>
            </w:r>
            <w:r w:rsidRPr="00170422">
              <w:rPr>
                <w:rFonts w:ascii="Times New Roman" w:eastAsia="Times New Roman" w:hAnsi="Times New Roman" w:cs="Times New Roman"/>
                <w:noProof/>
                <w:lang w:val="de-DE"/>
              </w:rPr>
              <w:t xml:space="preserve"> 2023 festgelegten Maßnahmen des jährlichen Wettbewerbsrechts und anderer primärer Rechtsvorschriften</w:t>
            </w:r>
          </w:p>
        </w:tc>
      </w:tr>
      <w:tr w:rsidR="0057163C" w:rsidRPr="00170422" w14:paraId="01CA0ED1"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766CFF" w14:textId="77777777" w:rsidR="0057163C" w:rsidRPr="00170422" w:rsidRDefault="00F37BF9">
            <w:pPr>
              <w:pStyle w:val="P68B1DB1-Normal121"/>
              <w:spacing w:after="0" w:line="240" w:lineRule="auto"/>
              <w:jc w:val="center"/>
              <w:rPr>
                <w:noProof/>
                <w:lang w:val="de-DE"/>
              </w:rPr>
            </w:pPr>
            <w:r w:rsidRPr="00170422">
              <w:rPr>
                <w:noProof/>
                <w:lang w:val="de-DE"/>
              </w:rPr>
              <w:t>M2C1-6bis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40426F" w14:textId="77777777" w:rsidR="0057163C" w:rsidRPr="00170422" w:rsidRDefault="00F37BF9">
            <w:pPr>
              <w:pStyle w:val="P68B1DB1-Normal121"/>
              <w:spacing w:after="0" w:line="240" w:lineRule="auto"/>
              <w:rPr>
                <w:noProof/>
                <w:lang w:val="de-DE"/>
              </w:rPr>
            </w:pPr>
            <w:r w:rsidRPr="00170422">
              <w:rPr>
                <w:noProof/>
                <w:lang w:val="de-DE"/>
              </w:rPr>
              <w:t>Investition 2.2: AGRI-Solarpark</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41875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F13D50" w14:textId="77777777" w:rsidR="0057163C" w:rsidRPr="00170422" w:rsidRDefault="00F37BF9">
            <w:pPr>
              <w:pStyle w:val="P68B1DB1-Normal121"/>
              <w:spacing w:after="0" w:line="240" w:lineRule="auto"/>
              <w:rPr>
                <w:noProof/>
                <w:lang w:val="de-DE"/>
              </w:rPr>
            </w:pPr>
            <w:r w:rsidRPr="00170422">
              <w:rPr>
                <w:noProof/>
                <w:lang w:val="de-DE"/>
              </w:rPr>
              <w:t>Zuweisung der Mittel an die Begünstigten in % der Gesamtmittel für die Investition</w:t>
            </w:r>
          </w:p>
        </w:tc>
      </w:tr>
      <w:tr w:rsidR="0057163C" w:rsidRPr="00170422" w14:paraId="793C80BF"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718DB" w14:textId="77777777" w:rsidR="0057163C" w:rsidRPr="00170422" w:rsidRDefault="00F37BF9">
            <w:pPr>
              <w:pStyle w:val="P68B1DB1-Normal121"/>
              <w:spacing w:after="0" w:line="240" w:lineRule="auto"/>
              <w:jc w:val="center"/>
              <w:rPr>
                <w:noProof/>
                <w:lang w:val="de-DE"/>
              </w:rPr>
            </w:pPr>
            <w:r w:rsidRPr="00170422">
              <w:rPr>
                <w:noProof/>
                <w:lang w:val="de-DE"/>
              </w:rPr>
              <w:t>M2C1-7</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1547E" w14:textId="77777777" w:rsidR="0057163C" w:rsidRPr="00170422" w:rsidRDefault="00F37BF9">
            <w:pPr>
              <w:pStyle w:val="P68B1DB1-Normal121"/>
              <w:spacing w:after="0" w:line="240" w:lineRule="auto"/>
              <w:rPr>
                <w:noProof/>
                <w:lang w:val="de-DE"/>
              </w:rPr>
            </w:pPr>
            <w:r w:rsidRPr="00170422">
              <w:rPr>
                <w:noProof/>
                <w:lang w:val="de-DE"/>
              </w:rPr>
              <w:t>Investition 2.3</w:t>
            </w:r>
            <w:r w:rsidRPr="00170422">
              <w:rPr>
                <w:noProof/>
                <w:lang w:val="de-DE"/>
              </w:rPr>
              <w:t>: Innovation und Mechanisierung im Agrar- und Lebensmittelsektor</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C3227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0E0E04" w14:textId="77777777" w:rsidR="0057163C" w:rsidRPr="00170422" w:rsidRDefault="00F37BF9">
            <w:pPr>
              <w:pStyle w:val="P68B1DB1-Normal121"/>
              <w:spacing w:after="0" w:line="240" w:lineRule="auto"/>
              <w:rPr>
                <w:noProof/>
                <w:lang w:val="de-DE"/>
              </w:rPr>
            </w:pPr>
            <w:r w:rsidRPr="00170422">
              <w:rPr>
                <w:noProof/>
                <w:lang w:val="de-DE"/>
              </w:rPr>
              <w:t>Veröffentlichung der endgültigen Rankings mit Angabe der Endempfänger.</w:t>
            </w:r>
          </w:p>
        </w:tc>
      </w:tr>
      <w:tr w:rsidR="0057163C" w:rsidRPr="00170422" w14:paraId="2DAA6F1C"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2422AA" w14:textId="77777777" w:rsidR="0057163C" w:rsidRPr="00170422" w:rsidRDefault="00F37BF9">
            <w:pPr>
              <w:pStyle w:val="P68B1DB1-Normal121"/>
              <w:spacing w:after="0" w:line="240" w:lineRule="auto"/>
              <w:jc w:val="center"/>
              <w:rPr>
                <w:noProof/>
                <w:lang w:val="de-DE"/>
              </w:rPr>
            </w:pPr>
            <w:r w:rsidRPr="00170422">
              <w:rPr>
                <w:noProof/>
                <w:lang w:val="de-DE"/>
              </w:rPr>
              <w:t>M2C2-28</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52903B" w14:textId="77777777" w:rsidR="0057163C" w:rsidRPr="00170422" w:rsidRDefault="00F37BF9">
            <w:pPr>
              <w:pStyle w:val="P68B1DB1-Normal121"/>
              <w:spacing w:after="0" w:line="240" w:lineRule="auto"/>
              <w:rPr>
                <w:noProof/>
                <w:lang w:val="de-DE"/>
              </w:rPr>
            </w:pPr>
            <w:r w:rsidRPr="00170422">
              <w:rPr>
                <w:noProof/>
                <w:lang w:val="de-DE"/>
              </w:rPr>
              <w:t>Investition 4.3 Installation von Ladeinfrastrukturen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73CAF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3DA9DD" w14:textId="77777777" w:rsidR="0057163C" w:rsidRPr="00170422" w:rsidRDefault="00F37BF9">
            <w:pPr>
              <w:pStyle w:val="P68B1DB1-Normal121"/>
              <w:spacing w:after="0" w:line="240" w:lineRule="auto"/>
              <w:rPr>
                <w:noProof/>
                <w:lang w:val="de-DE"/>
              </w:rPr>
            </w:pPr>
            <w:r w:rsidRPr="00170422">
              <w:rPr>
                <w:noProof/>
                <w:lang w:val="de-DE"/>
              </w:rPr>
              <w:t xml:space="preserve">Vergabe öffentlicher Aufträge für die </w:t>
            </w:r>
            <w:r w:rsidRPr="00170422">
              <w:rPr>
                <w:noProof/>
                <w:lang w:val="de-DE"/>
              </w:rPr>
              <w:t>Errichtung von Ladeinfrastrukturen</w:t>
            </w:r>
          </w:p>
        </w:tc>
      </w:tr>
      <w:tr w:rsidR="0057163C" w:rsidRPr="00170422" w14:paraId="7A5FAEEF"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754741" w14:textId="77777777" w:rsidR="0057163C" w:rsidRPr="00170422" w:rsidRDefault="00F37BF9">
            <w:pPr>
              <w:pStyle w:val="P68B1DB1-Normal121"/>
              <w:spacing w:after="0" w:line="240" w:lineRule="auto"/>
              <w:jc w:val="center"/>
              <w:rPr>
                <w:noProof/>
                <w:lang w:val="de-DE"/>
              </w:rPr>
            </w:pPr>
            <w:r w:rsidRPr="00170422">
              <w:rPr>
                <w:noProof/>
                <w:lang w:val="de-DE"/>
              </w:rPr>
              <w:t>M4C1-12</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3B90C1" w14:textId="77777777" w:rsidR="0057163C" w:rsidRPr="00170422" w:rsidRDefault="00F37BF9">
            <w:pPr>
              <w:pStyle w:val="P68B1DB1-Normal121"/>
              <w:spacing w:after="0" w:line="240" w:lineRule="auto"/>
              <w:rPr>
                <w:noProof/>
                <w:lang w:val="de-DE"/>
              </w:rPr>
            </w:pPr>
            <w:r w:rsidRPr="00170422">
              <w:rPr>
                <w:noProof/>
                <w:lang w:val="de-DE"/>
              </w:rPr>
              <w:t>Investition 4.1: Erhöhung der Zahl und der beruflichen Möglichkeiten von Doktoranden (Forschungsorientierte, öffentliche Verwaltung und Kulturerbe)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2D3DF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AEFE53" w14:textId="77777777" w:rsidR="0057163C" w:rsidRPr="00170422" w:rsidRDefault="00F37BF9">
            <w:pPr>
              <w:pStyle w:val="P68B1DB1-Normal121"/>
              <w:spacing w:after="0" w:line="240" w:lineRule="auto"/>
              <w:rPr>
                <w:noProof/>
                <w:lang w:val="de-DE"/>
              </w:rPr>
            </w:pPr>
            <w:r w:rsidRPr="00170422">
              <w:rPr>
                <w:noProof/>
                <w:lang w:val="de-DE"/>
              </w:rPr>
              <w:t>Pro Jahr gewährte Promotionsstipendien (über drei Jahre)</w:t>
            </w:r>
          </w:p>
        </w:tc>
      </w:tr>
      <w:tr w:rsidR="0057163C" w:rsidRPr="00170422" w14:paraId="027D0BB8"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C6FF89" w14:textId="77777777" w:rsidR="0057163C" w:rsidRPr="00170422" w:rsidRDefault="00F37BF9">
            <w:pPr>
              <w:pStyle w:val="P68B1DB1-Normal121"/>
              <w:spacing w:after="0" w:line="240" w:lineRule="auto"/>
              <w:jc w:val="center"/>
              <w:rPr>
                <w:noProof/>
                <w:lang w:val="de-DE"/>
              </w:rPr>
            </w:pPr>
            <w:r w:rsidRPr="00170422">
              <w:rPr>
                <w:noProof/>
                <w:lang w:val="de-DE"/>
              </w:rPr>
              <w:t>M</w:t>
            </w:r>
            <w:r w:rsidRPr="00170422">
              <w:rPr>
                <w:noProof/>
                <w:lang w:val="de-DE"/>
              </w:rPr>
              <w:t>4C1-14</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45F639" w14:textId="77777777" w:rsidR="0057163C" w:rsidRPr="00170422" w:rsidRDefault="00F37BF9">
            <w:pPr>
              <w:pStyle w:val="P68B1DB1-Normal121"/>
              <w:spacing w:after="0" w:line="240" w:lineRule="auto"/>
              <w:rPr>
                <w:noProof/>
                <w:lang w:val="de-DE"/>
              </w:rPr>
            </w:pPr>
            <w:r w:rsidRPr="00170422">
              <w:rPr>
                <w:noProof/>
                <w:lang w:val="de-DE"/>
              </w:rPr>
              <w:t xml:space="preserve">Reform 2.1: Einstellung von Lehrkräften </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3BF2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C9EC59" w14:textId="77777777" w:rsidR="0057163C" w:rsidRPr="00170422" w:rsidRDefault="00F37BF9">
            <w:pPr>
              <w:pStyle w:val="P68B1DB1-Normal121"/>
              <w:spacing w:after="0" w:line="240" w:lineRule="auto"/>
              <w:rPr>
                <w:noProof/>
                <w:lang w:val="de-DE"/>
              </w:rPr>
            </w:pPr>
            <w:r w:rsidRPr="00170422">
              <w:rPr>
                <w:noProof/>
                <w:lang w:val="de-DE"/>
              </w:rPr>
              <w:t>Mit dem reformierten Einstellungssystem eingestellte Lehrkräfte</w:t>
            </w:r>
          </w:p>
        </w:tc>
      </w:tr>
      <w:tr w:rsidR="0057163C" w:rsidRPr="00170422" w14:paraId="68F7EDC8"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374F37" w14:textId="77777777" w:rsidR="0057163C" w:rsidRPr="00170422" w:rsidRDefault="00F37BF9">
            <w:pPr>
              <w:pStyle w:val="P68B1DB1-Normal121"/>
              <w:spacing w:after="0" w:line="240" w:lineRule="auto"/>
              <w:jc w:val="center"/>
              <w:rPr>
                <w:noProof/>
                <w:lang w:val="de-DE"/>
              </w:rPr>
            </w:pPr>
            <w:r w:rsidRPr="00170422">
              <w:rPr>
                <w:noProof/>
                <w:lang w:val="de-DE"/>
              </w:rPr>
              <w:t>M4C1-15</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69B64" w14:textId="77777777" w:rsidR="0057163C" w:rsidRPr="00170422" w:rsidRDefault="00F37BF9">
            <w:pPr>
              <w:pStyle w:val="P68B1DB1-Normal121"/>
              <w:spacing w:after="0" w:line="240" w:lineRule="auto"/>
              <w:rPr>
                <w:noProof/>
                <w:lang w:val="de-DE"/>
              </w:rPr>
            </w:pPr>
            <w:r w:rsidRPr="00170422">
              <w:rPr>
                <w:noProof/>
                <w:lang w:val="de-DE"/>
              </w:rPr>
              <w:t>Investition 1.7: Stipendien für den Zugang zu Universitäten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E434D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0CB7944" w14:textId="77777777" w:rsidR="0057163C" w:rsidRPr="00170422" w:rsidRDefault="00F37BF9">
            <w:pPr>
              <w:pStyle w:val="P68B1DB1-Normal121"/>
              <w:spacing w:after="0" w:line="240" w:lineRule="auto"/>
              <w:rPr>
                <w:noProof/>
                <w:lang w:val="de-DE"/>
              </w:rPr>
            </w:pPr>
            <w:r w:rsidRPr="00170422">
              <w:rPr>
                <w:noProof/>
                <w:lang w:val="de-DE"/>
              </w:rPr>
              <w:t>Vergebene Stipendien für den Zugang zu Universitäten</w:t>
            </w:r>
          </w:p>
        </w:tc>
      </w:tr>
      <w:tr w:rsidR="0057163C" w:rsidRPr="00170422" w14:paraId="1F6BABDD" w14:textId="77777777" w:rsidTr="00A400C5">
        <w:trPr>
          <w:trHeight w:val="114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A07D2" w14:textId="77777777" w:rsidR="0057163C" w:rsidRPr="00170422" w:rsidRDefault="00F37BF9">
            <w:pPr>
              <w:pStyle w:val="P68B1DB1-Normal121"/>
              <w:spacing w:after="0" w:line="240" w:lineRule="auto"/>
              <w:jc w:val="center"/>
              <w:rPr>
                <w:noProof/>
                <w:lang w:val="de-DE"/>
              </w:rPr>
            </w:pPr>
            <w:r w:rsidRPr="00170422">
              <w:rPr>
                <w:noProof/>
                <w:lang w:val="de-DE"/>
              </w:rPr>
              <w:t>M4C2-3</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BAC7ED" w14:textId="77777777" w:rsidR="0057163C" w:rsidRPr="00170422" w:rsidRDefault="00F37BF9">
            <w:pPr>
              <w:pStyle w:val="P68B1DB1-Normal19"/>
              <w:spacing w:after="0" w:line="240" w:lineRule="auto"/>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t>Investition 3.3: Vergabe von Promotionsstipendien in Zusammenarbeit mit Unternehmen</w:t>
            </w:r>
            <w:r w:rsidRPr="00170422">
              <w:rPr>
                <w:rFonts w:ascii="Arial Narrow" w:hAnsi="Arial Narrow"/>
                <w:noProof/>
                <w:lang w:val="de-DE"/>
              </w:rPr>
              <w:t xml:space="preserve"> </w:t>
            </w:r>
            <w:r w:rsidRPr="00170422">
              <w:rPr>
                <w:rFonts w:ascii="Times New Roman" w:eastAsia="Times New Roman" w:hAnsi="Times New Roman" w:cs="Times New Roman"/>
                <w:noProof/>
                <w:lang w:val="de-DE"/>
              </w:rPr>
              <w:t>und Förderung der Einstellung von Forschern durch Unternehmen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94914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69579BA" w14:textId="77777777" w:rsidR="0057163C" w:rsidRPr="00170422" w:rsidRDefault="00F37BF9">
            <w:pPr>
              <w:pStyle w:val="P68B1DB1-Normal121"/>
              <w:spacing w:after="0" w:line="240" w:lineRule="auto"/>
              <w:rPr>
                <w:noProof/>
                <w:lang w:val="de-DE"/>
              </w:rPr>
            </w:pPr>
            <w:r w:rsidRPr="00170422">
              <w:rPr>
                <w:noProof/>
                <w:lang w:val="de-DE"/>
              </w:rPr>
              <w:t>Anzahl der gewährten Doktorandenstipendien</w:t>
            </w:r>
          </w:p>
        </w:tc>
      </w:tr>
      <w:tr w:rsidR="0057163C" w:rsidRPr="00170422" w14:paraId="20A3E195"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AD0838" w14:textId="77777777" w:rsidR="0057163C" w:rsidRPr="00170422" w:rsidRDefault="00F37BF9">
            <w:pPr>
              <w:pStyle w:val="P68B1DB1-Normal121"/>
              <w:spacing w:after="0" w:line="240" w:lineRule="auto"/>
              <w:jc w:val="center"/>
              <w:rPr>
                <w:noProof/>
                <w:lang w:val="de-DE"/>
              </w:rPr>
            </w:pPr>
            <w:r w:rsidRPr="00170422">
              <w:rPr>
                <w:noProof/>
                <w:lang w:val="de-DE"/>
              </w:rPr>
              <w:t>M5C1-15bis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20F209" w14:textId="77777777" w:rsidR="0057163C" w:rsidRPr="00170422" w:rsidRDefault="00F37BF9">
            <w:pPr>
              <w:pStyle w:val="P68B1DB1-Normal121"/>
              <w:spacing w:after="0" w:line="240" w:lineRule="auto"/>
              <w:rPr>
                <w:noProof/>
                <w:lang w:val="de-DE"/>
              </w:rPr>
            </w:pPr>
            <w:r w:rsidRPr="00170422">
              <w:rPr>
                <w:noProof/>
                <w:lang w:val="de-DE"/>
              </w:rPr>
              <w:t>Investition 4 – Allgemeiner öffentlicher Dienst</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F204C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AD6261" w14:textId="565A5CFC" w:rsidR="0057163C" w:rsidRPr="00170422" w:rsidRDefault="00F37BF9">
            <w:pPr>
              <w:pStyle w:val="P68B1DB1-Normal121"/>
              <w:spacing w:after="0" w:line="240" w:lineRule="auto"/>
              <w:rPr>
                <w:noProof/>
                <w:lang w:val="de-DE"/>
              </w:rPr>
            </w:pPr>
            <w:r w:rsidRPr="00170422">
              <w:rPr>
                <w:noProof/>
                <w:lang w:val="de-DE"/>
              </w:rPr>
              <w:t>Durchführung von Maßnahmen zur Steigerung der Beteiligung junger Menschen, zur Vereinfachung der Verfahren und zur Verbesserung der Qualität der Projekte des universellen öffentlichen Dienstes;</w:t>
            </w:r>
          </w:p>
        </w:tc>
      </w:tr>
      <w:tr w:rsidR="0057163C" w:rsidRPr="00170422" w14:paraId="500605DB"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1C966" w14:textId="77777777" w:rsidR="0057163C" w:rsidRPr="00170422" w:rsidRDefault="00F37BF9">
            <w:pPr>
              <w:pStyle w:val="P68B1DB1-Normal121"/>
              <w:spacing w:after="0" w:line="240" w:lineRule="auto"/>
              <w:jc w:val="center"/>
              <w:rPr>
                <w:noProof/>
                <w:lang w:val="de-DE"/>
              </w:rPr>
            </w:pPr>
            <w:r w:rsidRPr="00170422">
              <w:rPr>
                <w:noProof/>
                <w:lang w:val="de-DE"/>
              </w:rPr>
              <w:t>M7-1</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837B5" w14:textId="77777777" w:rsidR="0057163C" w:rsidRPr="00170422" w:rsidRDefault="00F37BF9">
            <w:pPr>
              <w:pStyle w:val="P68B1DB1-Normal121"/>
              <w:spacing w:after="0" w:line="240" w:lineRule="auto"/>
              <w:rPr>
                <w:noProof/>
                <w:lang w:val="de-DE"/>
              </w:rPr>
            </w:pPr>
            <w:r w:rsidRPr="00170422">
              <w:rPr>
                <w:noProof/>
                <w:lang w:val="de-DE"/>
              </w:rPr>
              <w:t xml:space="preserve">Reform 1: Straffung der </w:t>
            </w:r>
            <w:r w:rsidRPr="00170422">
              <w:rPr>
                <w:noProof/>
                <w:lang w:val="de-DE"/>
              </w:rPr>
              <w:t>Genehmigungsverfahren für erneuerbare Energien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2DD29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4379B" w14:textId="77777777" w:rsidR="0057163C" w:rsidRPr="00170422" w:rsidRDefault="00F37BF9">
            <w:pPr>
              <w:pStyle w:val="P68B1DB1-Normal121"/>
              <w:spacing w:after="0" w:line="240" w:lineRule="auto"/>
              <w:rPr>
                <w:noProof/>
                <w:lang w:val="de-DE"/>
              </w:rPr>
            </w:pPr>
            <w:r w:rsidRPr="00170422">
              <w:rPr>
                <w:noProof/>
                <w:lang w:val="de-DE"/>
              </w:rPr>
              <w:t>Ermittlung von „Beschleunigungsgebieten für erneuerbare Energien“</w:t>
            </w:r>
          </w:p>
        </w:tc>
      </w:tr>
      <w:tr w:rsidR="0057163C" w:rsidRPr="00170422" w14:paraId="46637AC9"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1B8684" w14:textId="77777777" w:rsidR="0057163C" w:rsidRPr="00170422" w:rsidRDefault="00F37BF9">
            <w:pPr>
              <w:pStyle w:val="P68B1DB1-Normal121"/>
              <w:spacing w:after="0" w:line="240" w:lineRule="auto"/>
              <w:jc w:val="center"/>
              <w:rPr>
                <w:noProof/>
                <w:lang w:val="de-DE"/>
              </w:rPr>
            </w:pPr>
            <w:r w:rsidRPr="00170422">
              <w:rPr>
                <w:noProof/>
                <w:lang w:val="de-DE"/>
              </w:rPr>
              <w:t>M7-4</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043544" w14:textId="77777777" w:rsidR="0057163C" w:rsidRPr="00170422" w:rsidRDefault="00F37BF9">
            <w:pPr>
              <w:pStyle w:val="P68B1DB1-Normal121"/>
              <w:spacing w:after="0" w:line="240" w:lineRule="auto"/>
              <w:rPr>
                <w:noProof/>
                <w:lang w:val="de-DE"/>
              </w:rPr>
            </w:pPr>
            <w:r w:rsidRPr="00170422">
              <w:rPr>
                <w:noProof/>
                <w:lang w:val="de-DE"/>
              </w:rPr>
              <w:t>Reform 2: Verringerung umweltschädlicher Subventionen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7C5E3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36A4F7" w14:textId="77777777" w:rsidR="0057163C" w:rsidRPr="00170422" w:rsidRDefault="00F37BF9">
            <w:pPr>
              <w:pStyle w:val="P68B1DB1-Normal121"/>
              <w:spacing w:after="0" w:line="240" w:lineRule="auto"/>
              <w:rPr>
                <w:noProof/>
                <w:lang w:val="de-DE"/>
              </w:rPr>
            </w:pPr>
            <w:r w:rsidRPr="00170422">
              <w:rPr>
                <w:noProof/>
                <w:lang w:val="de-DE"/>
              </w:rPr>
              <w:t>Annahme eines Regierungsberichts, in dem das Ergebnis einer</w:t>
            </w:r>
            <w:r w:rsidRPr="00170422">
              <w:rPr>
                <w:noProof/>
                <w:lang w:val="de-DE"/>
              </w:rPr>
              <w:t xml:space="preserve"> Regierungskonsultation mit Interessenträgern zur Festlegung des Fahrplans zur Verringerung umweltschädlicher Subventionen dargelegt wird.</w:t>
            </w:r>
          </w:p>
        </w:tc>
      </w:tr>
      <w:tr w:rsidR="0057163C" w:rsidRPr="00170422" w14:paraId="1B3176D0"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6A4FCD" w14:textId="77777777" w:rsidR="0057163C" w:rsidRPr="00170422" w:rsidRDefault="00F37BF9">
            <w:pPr>
              <w:pStyle w:val="P68B1DB1-Normal121"/>
              <w:spacing w:after="0" w:line="240" w:lineRule="auto"/>
              <w:jc w:val="center"/>
              <w:rPr>
                <w:noProof/>
                <w:lang w:val="de-DE"/>
              </w:rPr>
            </w:pPr>
            <w:r w:rsidRPr="00170422">
              <w:rPr>
                <w:noProof/>
                <w:lang w:val="de-DE"/>
              </w:rPr>
              <w:t>M7-16</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6846310" w14:textId="77777777" w:rsidR="0057163C" w:rsidRPr="00170422" w:rsidRDefault="00F37BF9">
            <w:pPr>
              <w:pStyle w:val="P68B1DB1-Normal121"/>
              <w:spacing w:after="0" w:line="240" w:lineRule="auto"/>
              <w:rPr>
                <w:noProof/>
                <w:lang w:val="de-DE"/>
              </w:rPr>
            </w:pPr>
            <w:r w:rsidRPr="00170422">
              <w:rPr>
                <w:noProof/>
                <w:lang w:val="de-DE"/>
              </w:rPr>
              <w:t>Investition 5: SA.CO.I.3</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D90C6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BD3F47" w14:textId="77777777" w:rsidR="0057163C" w:rsidRPr="00170422" w:rsidRDefault="00F37BF9">
            <w:pPr>
              <w:pStyle w:val="P68B1DB1-Normal121"/>
              <w:spacing w:after="0" w:line="240" w:lineRule="auto"/>
              <w:rPr>
                <w:noProof/>
                <w:lang w:val="de-DE"/>
              </w:rPr>
            </w:pPr>
            <w:r w:rsidRPr="00170422">
              <w:rPr>
                <w:noProof/>
                <w:lang w:val="de-DE"/>
              </w:rPr>
              <w:t>Vergabe öffentlicher Aufträge</w:t>
            </w:r>
          </w:p>
        </w:tc>
      </w:tr>
      <w:tr w:rsidR="0057163C" w:rsidRPr="00170422" w14:paraId="5A0396A8"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A7D251" w14:textId="77777777" w:rsidR="0057163C" w:rsidRPr="00170422" w:rsidRDefault="00F37BF9">
            <w:pPr>
              <w:pStyle w:val="P68B1DB1-Normal121"/>
              <w:spacing w:after="0" w:line="240" w:lineRule="auto"/>
              <w:jc w:val="center"/>
              <w:rPr>
                <w:noProof/>
                <w:lang w:val="de-DE"/>
              </w:rPr>
            </w:pPr>
            <w:r w:rsidRPr="00170422">
              <w:rPr>
                <w:noProof/>
                <w:lang w:val="de-DE"/>
              </w:rPr>
              <w:t>M4C1-10 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3C5593" w14:textId="77777777" w:rsidR="0057163C" w:rsidRPr="00170422" w:rsidRDefault="00F37BF9">
            <w:pPr>
              <w:pStyle w:val="P68B1DB1-Normal121"/>
              <w:spacing w:after="0" w:line="240" w:lineRule="auto"/>
              <w:rPr>
                <w:noProof/>
                <w:lang w:val="de-DE"/>
              </w:rPr>
            </w:pPr>
            <w:r w:rsidRPr="00170422">
              <w:rPr>
                <w:noProof/>
                <w:lang w:val="de-DE"/>
              </w:rPr>
              <w:t xml:space="preserve">Reform 1.1: Reform der </w:t>
            </w:r>
            <w:r w:rsidRPr="00170422">
              <w:rPr>
                <w:noProof/>
                <w:lang w:val="de-DE"/>
              </w:rPr>
              <w:t>technischen und beruflichen Institute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ABD4A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0AB661" w14:textId="77777777" w:rsidR="0057163C" w:rsidRPr="00170422" w:rsidRDefault="00F37BF9">
            <w:pPr>
              <w:pStyle w:val="P68B1DB1-Normal121"/>
              <w:spacing w:after="0" w:line="240" w:lineRule="auto"/>
              <w:rPr>
                <w:noProof/>
                <w:lang w:val="de-DE"/>
              </w:rPr>
            </w:pPr>
            <w:r w:rsidRPr="00170422">
              <w:rPr>
                <w:noProof/>
                <w:lang w:val="de-DE"/>
              </w:rPr>
              <w:t>Inkrafttreten des Sekundärrechts.</w:t>
            </w:r>
          </w:p>
        </w:tc>
      </w:tr>
      <w:tr w:rsidR="0057163C" w:rsidRPr="00170422" w14:paraId="0EA940F3"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788C4"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A06A9F5"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B30547"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DE5681"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5294563760 EUR</w:t>
            </w:r>
            <w:r w:rsidRPr="00170422">
              <w:rPr>
                <w:noProof/>
                <w:sz w:val="23"/>
                <w:szCs w:val="23"/>
                <w:lang w:val="de-DE"/>
              </w:rPr>
              <w:t xml:space="preserve">  </w:t>
            </w:r>
          </w:p>
        </w:tc>
      </w:tr>
    </w:tbl>
    <w:p w14:paraId="0E2D5298" w14:textId="16604680" w:rsidR="0057163C" w:rsidRPr="00170422" w:rsidRDefault="0057163C">
      <w:pPr>
        <w:spacing w:after="0"/>
        <w:ind w:left="850"/>
        <w:contextualSpacing/>
        <w:jc w:val="both"/>
        <w:rPr>
          <w:rFonts w:ascii="Times New Roman" w:eastAsia="Times New Roman" w:hAnsi="Times New Roman" w:cs="Times New Roman"/>
          <w:noProof/>
          <w:lang w:val="de-DE"/>
        </w:rPr>
      </w:pPr>
    </w:p>
    <w:p w14:paraId="067D608A" w14:textId="77777777" w:rsidR="0057163C" w:rsidRPr="00170422" w:rsidRDefault="00F37BF9">
      <w:pPr>
        <w:pStyle w:val="P68B1DB1-Normal8"/>
        <w:rPr>
          <w:noProof/>
          <w:lang w:val="de-DE"/>
        </w:rPr>
      </w:pPr>
      <w:r w:rsidRPr="00170422">
        <w:rPr>
          <w:noProof/>
          <w:lang w:val="de-DE"/>
        </w:rPr>
        <w:br w:type="page"/>
      </w:r>
    </w:p>
    <w:p w14:paraId="7BC63A0D"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Achte Tranche (nicht rückzahlbare Unterstützung):</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4"/>
        <w:gridCol w:w="2098"/>
        <w:gridCol w:w="2268"/>
        <w:gridCol w:w="3559"/>
      </w:tblGrid>
      <w:tr w:rsidR="0057163C" w:rsidRPr="00170422" w14:paraId="36E872D7" w14:textId="77777777" w:rsidTr="00A400C5">
        <w:trPr>
          <w:trHeight w:val="900"/>
          <w:tblHeader/>
        </w:trPr>
        <w:tc>
          <w:tcPr>
            <w:tcW w:w="1434" w:type="dxa"/>
            <w:vMerge w:val="restart"/>
            <w:shd w:val="clear" w:color="auto" w:fill="BDD7EE"/>
            <w:tcMar>
              <w:left w:w="108" w:type="dxa"/>
              <w:right w:w="108" w:type="dxa"/>
            </w:tcMar>
            <w:vAlign w:val="center"/>
          </w:tcPr>
          <w:p w14:paraId="7EAE04B2"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098" w:type="dxa"/>
            <w:vMerge w:val="restart"/>
            <w:shd w:val="clear" w:color="auto" w:fill="BDD7EE"/>
            <w:tcMar>
              <w:left w:w="108" w:type="dxa"/>
              <w:right w:w="108" w:type="dxa"/>
            </w:tcMar>
            <w:vAlign w:val="center"/>
          </w:tcPr>
          <w:p w14:paraId="74F72A28"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68" w:type="dxa"/>
            <w:vMerge w:val="restart"/>
            <w:shd w:val="clear" w:color="auto" w:fill="BDD7EE"/>
            <w:tcMar>
              <w:left w:w="108" w:type="dxa"/>
              <w:right w:w="108" w:type="dxa"/>
            </w:tcMar>
            <w:vAlign w:val="center"/>
          </w:tcPr>
          <w:p w14:paraId="4919265C"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9" w:type="dxa"/>
            <w:vMerge w:val="restart"/>
            <w:shd w:val="clear" w:color="auto" w:fill="BDD7EE"/>
            <w:tcMar>
              <w:left w:w="108" w:type="dxa"/>
              <w:right w:w="108" w:type="dxa"/>
            </w:tcMar>
            <w:vAlign w:val="center"/>
          </w:tcPr>
          <w:p w14:paraId="64E16B90"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63865BEB" w14:textId="77777777" w:rsidTr="00A400C5">
        <w:trPr>
          <w:trHeight w:val="510"/>
        </w:trPr>
        <w:tc>
          <w:tcPr>
            <w:tcW w:w="1434" w:type="dxa"/>
            <w:vMerge/>
            <w:vAlign w:val="center"/>
          </w:tcPr>
          <w:p w14:paraId="0E8A81CB"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8" w:type="dxa"/>
            <w:vMerge/>
            <w:vAlign w:val="center"/>
          </w:tcPr>
          <w:p w14:paraId="72A1FA7F"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vAlign w:val="center"/>
          </w:tcPr>
          <w:p w14:paraId="4B13CB5A"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9" w:type="dxa"/>
            <w:vMerge/>
            <w:vAlign w:val="center"/>
          </w:tcPr>
          <w:p w14:paraId="516D2737"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14479714" w14:textId="77777777" w:rsidTr="00A400C5">
        <w:trPr>
          <w:trHeight w:val="300"/>
        </w:trPr>
        <w:tc>
          <w:tcPr>
            <w:tcW w:w="1434" w:type="dxa"/>
            <w:shd w:val="clear" w:color="auto" w:fill="C6EFCE"/>
            <w:tcMar>
              <w:left w:w="108" w:type="dxa"/>
              <w:right w:w="108" w:type="dxa"/>
            </w:tcMar>
            <w:vAlign w:val="center"/>
          </w:tcPr>
          <w:p w14:paraId="348138A3" w14:textId="77777777" w:rsidR="0057163C" w:rsidRPr="00170422" w:rsidRDefault="00F37BF9">
            <w:pPr>
              <w:pStyle w:val="P68B1DB1-Normal121"/>
              <w:spacing w:after="0" w:line="240" w:lineRule="auto"/>
              <w:jc w:val="center"/>
              <w:rPr>
                <w:noProof/>
                <w:lang w:val="de-DE"/>
              </w:rPr>
            </w:pPr>
            <w:r w:rsidRPr="00170422">
              <w:rPr>
                <w:noProof/>
                <w:lang w:val="de-DE"/>
              </w:rPr>
              <w:t>M1C1-23</w:t>
            </w:r>
          </w:p>
        </w:tc>
        <w:tc>
          <w:tcPr>
            <w:tcW w:w="2098" w:type="dxa"/>
            <w:shd w:val="clear" w:color="auto" w:fill="C6EFCE"/>
            <w:tcMar>
              <w:left w:w="108" w:type="dxa"/>
              <w:right w:w="108" w:type="dxa"/>
            </w:tcMar>
            <w:vAlign w:val="center"/>
          </w:tcPr>
          <w:p w14:paraId="5C669F21" w14:textId="77777777" w:rsidR="0057163C" w:rsidRPr="00170422" w:rsidRDefault="00F37BF9">
            <w:pPr>
              <w:pStyle w:val="P68B1DB1-Normal121"/>
              <w:spacing w:after="0" w:line="240" w:lineRule="auto"/>
              <w:rPr>
                <w:noProof/>
                <w:lang w:val="de-DE"/>
              </w:rPr>
            </w:pPr>
            <w:r w:rsidRPr="00170422">
              <w:rPr>
                <w:noProof/>
                <w:lang w:val="de-DE"/>
              </w:rPr>
              <w:t>Investition 1.4.6: Mobilität als Dienstleistung für Italien</w:t>
            </w:r>
          </w:p>
        </w:tc>
        <w:tc>
          <w:tcPr>
            <w:tcW w:w="2268" w:type="dxa"/>
            <w:shd w:val="clear" w:color="auto" w:fill="C6EFCE"/>
            <w:tcMar>
              <w:left w:w="108" w:type="dxa"/>
              <w:right w:w="108" w:type="dxa"/>
            </w:tcMar>
            <w:vAlign w:val="center"/>
          </w:tcPr>
          <w:p w14:paraId="67F38DA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058D2EC3" w14:textId="77777777" w:rsidR="0057163C" w:rsidRPr="00170422" w:rsidRDefault="00F37BF9">
            <w:pPr>
              <w:pStyle w:val="P68B1DB1-Normal121"/>
              <w:spacing w:after="0" w:line="240" w:lineRule="auto"/>
              <w:rPr>
                <w:noProof/>
                <w:lang w:val="de-DE"/>
              </w:rPr>
            </w:pPr>
            <w:r w:rsidRPr="00170422">
              <w:rPr>
                <w:noProof/>
                <w:lang w:val="de-DE"/>
              </w:rPr>
              <w:t xml:space="preserve">Durchführung von sieben Pilotprojekten </w:t>
            </w:r>
          </w:p>
        </w:tc>
      </w:tr>
      <w:tr w:rsidR="0057163C" w:rsidRPr="00170422" w14:paraId="37038207" w14:textId="77777777" w:rsidTr="00A400C5">
        <w:trPr>
          <w:trHeight w:val="300"/>
        </w:trPr>
        <w:tc>
          <w:tcPr>
            <w:tcW w:w="1434" w:type="dxa"/>
            <w:shd w:val="clear" w:color="auto" w:fill="C6EFCE"/>
            <w:tcMar>
              <w:left w:w="108" w:type="dxa"/>
              <w:right w:w="108" w:type="dxa"/>
            </w:tcMar>
            <w:vAlign w:val="center"/>
          </w:tcPr>
          <w:p w14:paraId="197BA280" w14:textId="77777777" w:rsidR="0057163C" w:rsidRPr="00170422" w:rsidRDefault="00F37BF9">
            <w:pPr>
              <w:pStyle w:val="P68B1DB1-Normal121"/>
              <w:spacing w:after="0" w:line="240" w:lineRule="auto"/>
              <w:jc w:val="center"/>
              <w:rPr>
                <w:noProof/>
                <w:lang w:val="de-DE"/>
              </w:rPr>
            </w:pPr>
            <w:r w:rsidRPr="00170422">
              <w:rPr>
                <w:noProof/>
                <w:lang w:val="de-DE"/>
              </w:rPr>
              <w:t>M1C1-76</w:t>
            </w:r>
          </w:p>
        </w:tc>
        <w:tc>
          <w:tcPr>
            <w:tcW w:w="2098" w:type="dxa"/>
            <w:shd w:val="clear" w:color="auto" w:fill="C6EFCE"/>
            <w:tcMar>
              <w:left w:w="108" w:type="dxa"/>
              <w:right w:w="108" w:type="dxa"/>
            </w:tcMar>
            <w:vAlign w:val="center"/>
          </w:tcPr>
          <w:p w14:paraId="3715BFDF" w14:textId="77777777" w:rsidR="0057163C" w:rsidRPr="00170422" w:rsidRDefault="00F37BF9">
            <w:pPr>
              <w:pStyle w:val="P68B1DB1-Normal121"/>
              <w:spacing w:after="0" w:line="240" w:lineRule="auto"/>
              <w:rPr>
                <w:noProof/>
                <w:lang w:val="de-DE"/>
              </w:rPr>
            </w:pPr>
            <w:r w:rsidRPr="00170422">
              <w:rPr>
                <w:noProof/>
                <w:lang w:val="de-DE"/>
              </w:rPr>
              <w:t xml:space="preserve">Reform 1.11: Verringerung des Zahlungsverzugs durch öffentliche Verwaltungen und </w:t>
            </w:r>
            <w:r w:rsidRPr="00170422">
              <w:rPr>
                <w:noProof/>
                <w:lang w:val="de-DE"/>
              </w:rPr>
              <w:t>Gesundheitsbehörden</w:t>
            </w:r>
          </w:p>
        </w:tc>
        <w:tc>
          <w:tcPr>
            <w:tcW w:w="2268" w:type="dxa"/>
            <w:shd w:val="clear" w:color="auto" w:fill="C6EFCE"/>
            <w:tcMar>
              <w:left w:w="108" w:type="dxa"/>
              <w:right w:w="108" w:type="dxa"/>
            </w:tcMar>
            <w:vAlign w:val="center"/>
          </w:tcPr>
          <w:p w14:paraId="586EB0C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980387B" w14:textId="77777777" w:rsidR="0057163C" w:rsidRPr="00170422" w:rsidRDefault="00F37BF9">
            <w:pPr>
              <w:pStyle w:val="P68B1DB1-Normal121"/>
              <w:spacing w:after="0" w:line="240" w:lineRule="auto"/>
              <w:rPr>
                <w:noProof/>
                <w:lang w:val="de-DE"/>
              </w:rPr>
            </w:pPr>
            <w:r w:rsidRPr="00170422">
              <w:rPr>
                <w:noProof/>
                <w:lang w:val="de-DE"/>
              </w:rPr>
              <w:t>Verringerung der durchschnittlichen Anzahl der Tage für die Bezahlung von Unternehmen durch die zentralen Behörden</w:t>
            </w:r>
          </w:p>
        </w:tc>
      </w:tr>
      <w:tr w:rsidR="0057163C" w:rsidRPr="00170422" w14:paraId="7C199A22" w14:textId="77777777" w:rsidTr="00A400C5">
        <w:trPr>
          <w:trHeight w:val="300"/>
        </w:trPr>
        <w:tc>
          <w:tcPr>
            <w:tcW w:w="1434" w:type="dxa"/>
            <w:shd w:val="clear" w:color="auto" w:fill="C6EFCE"/>
            <w:tcMar>
              <w:left w:w="108" w:type="dxa"/>
              <w:right w:w="108" w:type="dxa"/>
            </w:tcMar>
            <w:vAlign w:val="center"/>
          </w:tcPr>
          <w:p w14:paraId="1CA01AFD" w14:textId="77777777" w:rsidR="0057163C" w:rsidRPr="00170422" w:rsidRDefault="00F37BF9">
            <w:pPr>
              <w:pStyle w:val="P68B1DB1-Normal121"/>
              <w:spacing w:after="0" w:line="240" w:lineRule="auto"/>
              <w:jc w:val="center"/>
              <w:rPr>
                <w:noProof/>
                <w:lang w:val="de-DE"/>
              </w:rPr>
            </w:pPr>
            <w:r w:rsidRPr="00170422">
              <w:rPr>
                <w:noProof/>
                <w:lang w:val="de-DE"/>
              </w:rPr>
              <w:t>M1C1-77</w:t>
            </w:r>
          </w:p>
        </w:tc>
        <w:tc>
          <w:tcPr>
            <w:tcW w:w="2098" w:type="dxa"/>
            <w:shd w:val="clear" w:color="auto" w:fill="C6EFCE"/>
            <w:tcMar>
              <w:left w:w="108" w:type="dxa"/>
              <w:right w:w="108" w:type="dxa"/>
            </w:tcMar>
            <w:vAlign w:val="center"/>
          </w:tcPr>
          <w:p w14:paraId="45382A96"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16C68BB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9E9DEEA" w14:textId="77777777" w:rsidR="0057163C" w:rsidRPr="00170422" w:rsidRDefault="00F37BF9">
            <w:pPr>
              <w:pStyle w:val="P68B1DB1-Normal121"/>
              <w:spacing w:after="0" w:line="240" w:lineRule="auto"/>
              <w:rPr>
                <w:noProof/>
                <w:lang w:val="de-DE"/>
              </w:rPr>
            </w:pPr>
            <w:r w:rsidRPr="00170422">
              <w:rPr>
                <w:noProof/>
                <w:lang w:val="de-DE"/>
              </w:rPr>
              <w:t>V</w:t>
            </w:r>
            <w:r w:rsidRPr="00170422">
              <w:rPr>
                <w:noProof/>
                <w:lang w:val="de-DE"/>
              </w:rPr>
              <w:t>erringerung der durchschnittlichen Anzahl der Tage für die Bezahlung von Unternehmen durch die regionalen Behörden</w:t>
            </w:r>
          </w:p>
        </w:tc>
      </w:tr>
      <w:tr w:rsidR="0057163C" w:rsidRPr="00170422" w14:paraId="1A4BDC99" w14:textId="77777777" w:rsidTr="00A400C5">
        <w:trPr>
          <w:trHeight w:val="300"/>
        </w:trPr>
        <w:tc>
          <w:tcPr>
            <w:tcW w:w="1434" w:type="dxa"/>
            <w:shd w:val="clear" w:color="auto" w:fill="C6EFCE"/>
            <w:tcMar>
              <w:left w:w="108" w:type="dxa"/>
              <w:right w:w="108" w:type="dxa"/>
            </w:tcMar>
            <w:vAlign w:val="center"/>
          </w:tcPr>
          <w:p w14:paraId="7D3B1677" w14:textId="77777777" w:rsidR="0057163C" w:rsidRPr="00170422" w:rsidRDefault="00F37BF9">
            <w:pPr>
              <w:pStyle w:val="P68B1DB1-Normal121"/>
              <w:spacing w:after="0" w:line="240" w:lineRule="auto"/>
              <w:jc w:val="center"/>
              <w:rPr>
                <w:noProof/>
                <w:lang w:val="de-DE"/>
              </w:rPr>
            </w:pPr>
            <w:r w:rsidRPr="00170422">
              <w:rPr>
                <w:noProof/>
                <w:lang w:val="de-DE"/>
              </w:rPr>
              <w:t>M1C1-78</w:t>
            </w:r>
          </w:p>
        </w:tc>
        <w:tc>
          <w:tcPr>
            <w:tcW w:w="2098" w:type="dxa"/>
            <w:shd w:val="clear" w:color="auto" w:fill="C6EFCE"/>
            <w:tcMar>
              <w:left w:w="108" w:type="dxa"/>
              <w:right w:w="108" w:type="dxa"/>
            </w:tcMar>
            <w:vAlign w:val="center"/>
          </w:tcPr>
          <w:p w14:paraId="5ED9C6D8"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63AE30C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C92E444" w14:textId="77777777" w:rsidR="0057163C" w:rsidRPr="00170422" w:rsidRDefault="00F37BF9">
            <w:pPr>
              <w:pStyle w:val="P68B1DB1-Normal121"/>
              <w:spacing w:after="0" w:line="240" w:lineRule="auto"/>
              <w:rPr>
                <w:noProof/>
                <w:lang w:val="de-DE"/>
              </w:rPr>
            </w:pPr>
            <w:r w:rsidRPr="00170422">
              <w:rPr>
                <w:noProof/>
                <w:lang w:val="de-DE"/>
              </w:rPr>
              <w:t xml:space="preserve">Verringerung der </w:t>
            </w:r>
            <w:r w:rsidRPr="00170422">
              <w:rPr>
                <w:noProof/>
                <w:lang w:val="de-DE"/>
              </w:rPr>
              <w:t>durchschnittlichen Anzahl der Tage für die Bezahlung von Unternehmen durch die lokalen Behörden</w:t>
            </w:r>
          </w:p>
        </w:tc>
      </w:tr>
      <w:tr w:rsidR="0057163C" w:rsidRPr="00170422" w14:paraId="0E64AE04" w14:textId="77777777" w:rsidTr="00A400C5">
        <w:trPr>
          <w:trHeight w:val="300"/>
        </w:trPr>
        <w:tc>
          <w:tcPr>
            <w:tcW w:w="1434" w:type="dxa"/>
            <w:shd w:val="clear" w:color="auto" w:fill="C6EFCE"/>
            <w:tcMar>
              <w:left w:w="108" w:type="dxa"/>
              <w:right w:w="108" w:type="dxa"/>
            </w:tcMar>
            <w:vAlign w:val="center"/>
          </w:tcPr>
          <w:p w14:paraId="6B5A8F87" w14:textId="77777777" w:rsidR="0057163C" w:rsidRPr="00170422" w:rsidRDefault="00F37BF9">
            <w:pPr>
              <w:pStyle w:val="P68B1DB1-Normal121"/>
              <w:spacing w:after="0" w:line="240" w:lineRule="auto"/>
              <w:jc w:val="center"/>
              <w:rPr>
                <w:noProof/>
                <w:lang w:val="de-DE"/>
              </w:rPr>
            </w:pPr>
            <w:r w:rsidRPr="00170422">
              <w:rPr>
                <w:noProof/>
                <w:lang w:val="de-DE"/>
              </w:rPr>
              <w:t>M1C1-79</w:t>
            </w:r>
          </w:p>
        </w:tc>
        <w:tc>
          <w:tcPr>
            <w:tcW w:w="2098" w:type="dxa"/>
            <w:shd w:val="clear" w:color="auto" w:fill="C6EFCE"/>
            <w:tcMar>
              <w:left w:w="108" w:type="dxa"/>
              <w:right w:w="108" w:type="dxa"/>
            </w:tcMar>
            <w:vAlign w:val="center"/>
          </w:tcPr>
          <w:p w14:paraId="0C4125DB"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3A56071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115BEB75" w14:textId="77777777" w:rsidR="0057163C" w:rsidRPr="00170422" w:rsidRDefault="00F37BF9">
            <w:pPr>
              <w:pStyle w:val="P68B1DB1-Normal121"/>
              <w:spacing w:after="0" w:line="240" w:lineRule="auto"/>
              <w:rPr>
                <w:noProof/>
                <w:lang w:val="de-DE"/>
              </w:rPr>
            </w:pPr>
            <w:r w:rsidRPr="00170422">
              <w:rPr>
                <w:noProof/>
                <w:lang w:val="de-DE"/>
              </w:rPr>
              <w:t>Verringerung der durchschnittlichen Anzahl de</w:t>
            </w:r>
            <w:r w:rsidRPr="00170422">
              <w:rPr>
                <w:noProof/>
                <w:lang w:val="de-DE"/>
              </w:rPr>
              <w:t>r Tage für die Bezahlung von Unternehmen durch die Gesundheitsbehörden</w:t>
            </w:r>
          </w:p>
        </w:tc>
      </w:tr>
      <w:tr w:rsidR="0057163C" w:rsidRPr="00170422" w14:paraId="796025AF" w14:textId="77777777" w:rsidTr="00A400C5">
        <w:trPr>
          <w:trHeight w:val="300"/>
        </w:trPr>
        <w:tc>
          <w:tcPr>
            <w:tcW w:w="1434" w:type="dxa"/>
            <w:shd w:val="clear" w:color="auto" w:fill="C6EFCE"/>
            <w:tcMar>
              <w:left w:w="108" w:type="dxa"/>
              <w:right w:w="108" w:type="dxa"/>
            </w:tcMar>
            <w:vAlign w:val="center"/>
          </w:tcPr>
          <w:p w14:paraId="47748002" w14:textId="77777777" w:rsidR="0057163C" w:rsidRPr="00170422" w:rsidRDefault="00F37BF9">
            <w:pPr>
              <w:pStyle w:val="P68B1DB1-Normal121"/>
              <w:spacing w:after="0" w:line="240" w:lineRule="auto"/>
              <w:jc w:val="center"/>
              <w:rPr>
                <w:noProof/>
                <w:lang w:val="de-DE"/>
              </w:rPr>
            </w:pPr>
            <w:r w:rsidRPr="00170422">
              <w:rPr>
                <w:noProof/>
                <w:lang w:val="de-DE"/>
              </w:rPr>
              <w:t>M1C1-25</w:t>
            </w:r>
          </w:p>
        </w:tc>
        <w:tc>
          <w:tcPr>
            <w:tcW w:w="2098" w:type="dxa"/>
            <w:shd w:val="clear" w:color="auto" w:fill="C6EFCE"/>
            <w:tcMar>
              <w:left w:w="108" w:type="dxa"/>
              <w:right w:w="108" w:type="dxa"/>
            </w:tcMar>
            <w:vAlign w:val="center"/>
          </w:tcPr>
          <w:p w14:paraId="5B5F9B2D" w14:textId="77777777" w:rsidR="0057163C" w:rsidRPr="00170422" w:rsidRDefault="00F37BF9">
            <w:pPr>
              <w:pStyle w:val="P68B1DB1-Normal121"/>
              <w:spacing w:after="0" w:line="240" w:lineRule="auto"/>
              <w:rPr>
                <w:noProof/>
                <w:lang w:val="de-DE"/>
              </w:rPr>
            </w:pPr>
            <w:r w:rsidRPr="00170422">
              <w:rPr>
                <w:noProof/>
                <w:lang w:val="de-DE"/>
              </w:rPr>
              <w:t>Investition 1.6.6: Digitalisierung der Finanzpolizei</w:t>
            </w:r>
          </w:p>
        </w:tc>
        <w:tc>
          <w:tcPr>
            <w:tcW w:w="2268" w:type="dxa"/>
            <w:shd w:val="clear" w:color="auto" w:fill="C6EFCE"/>
            <w:tcMar>
              <w:left w:w="108" w:type="dxa"/>
              <w:right w:w="108" w:type="dxa"/>
            </w:tcMar>
            <w:vAlign w:val="center"/>
          </w:tcPr>
          <w:p w14:paraId="7DD0EE0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53478257" w14:textId="77777777" w:rsidR="0057163C" w:rsidRPr="00170422" w:rsidRDefault="00F37BF9">
            <w:pPr>
              <w:pStyle w:val="P68B1DB1-Normal121"/>
              <w:spacing w:after="0" w:line="240" w:lineRule="auto"/>
              <w:rPr>
                <w:noProof/>
                <w:lang w:val="de-DE"/>
              </w:rPr>
            </w:pPr>
            <w:r w:rsidRPr="00170422">
              <w:rPr>
                <w:noProof/>
                <w:lang w:val="de-DE"/>
              </w:rPr>
              <w:t>Weiterentwicklung der Informationssysteme zur Bekämpfung der Wirtschaftskriminalität</w:t>
            </w:r>
          </w:p>
        </w:tc>
      </w:tr>
      <w:tr w:rsidR="0057163C" w:rsidRPr="00170422" w14:paraId="50AA1924" w14:textId="77777777" w:rsidTr="00A400C5">
        <w:trPr>
          <w:trHeight w:val="300"/>
        </w:trPr>
        <w:tc>
          <w:tcPr>
            <w:tcW w:w="1434" w:type="dxa"/>
            <w:shd w:val="clear" w:color="auto" w:fill="C6EFCE"/>
            <w:tcMar>
              <w:left w:w="108" w:type="dxa"/>
              <w:right w:w="108" w:type="dxa"/>
            </w:tcMar>
            <w:vAlign w:val="center"/>
          </w:tcPr>
          <w:p w14:paraId="7892A1DB" w14:textId="77777777" w:rsidR="0057163C" w:rsidRPr="00170422" w:rsidRDefault="00F37BF9">
            <w:pPr>
              <w:pStyle w:val="P68B1DB1-Normal121"/>
              <w:spacing w:after="0" w:line="240" w:lineRule="auto"/>
              <w:jc w:val="center"/>
              <w:rPr>
                <w:noProof/>
                <w:lang w:val="de-DE"/>
              </w:rPr>
            </w:pPr>
            <w:r w:rsidRPr="00170422">
              <w:rPr>
                <w:noProof/>
                <w:lang w:val="de-DE"/>
              </w:rPr>
              <w:t>M1C1-62</w:t>
            </w:r>
          </w:p>
        </w:tc>
        <w:tc>
          <w:tcPr>
            <w:tcW w:w="2098" w:type="dxa"/>
            <w:shd w:val="clear" w:color="auto" w:fill="C6EFCE"/>
            <w:tcMar>
              <w:left w:w="108" w:type="dxa"/>
              <w:right w:w="108" w:type="dxa"/>
            </w:tcMar>
            <w:vAlign w:val="center"/>
          </w:tcPr>
          <w:p w14:paraId="2C58555B" w14:textId="77777777" w:rsidR="0057163C" w:rsidRPr="00170422" w:rsidRDefault="00F37BF9">
            <w:pPr>
              <w:pStyle w:val="P68B1DB1-Normal121"/>
              <w:spacing w:after="0" w:line="240" w:lineRule="auto"/>
              <w:rPr>
                <w:noProof/>
                <w:lang w:val="de-DE"/>
              </w:rPr>
            </w:pPr>
            <w:r w:rsidRPr="00170422">
              <w:rPr>
                <w:noProof/>
                <w:lang w:val="de-DE"/>
              </w:rPr>
              <w:t xml:space="preserve">Reform 1.9: </w:t>
            </w:r>
            <w:r w:rsidRPr="00170422">
              <w:rPr>
                <w:noProof/>
                <w:lang w:val="de-DE"/>
              </w:rPr>
              <w:t>Reform der öffentlichen Verwaltung</w:t>
            </w:r>
          </w:p>
        </w:tc>
        <w:tc>
          <w:tcPr>
            <w:tcW w:w="2268" w:type="dxa"/>
            <w:shd w:val="clear" w:color="auto" w:fill="C6EFCE"/>
            <w:tcMar>
              <w:left w:w="108" w:type="dxa"/>
              <w:right w:w="108" w:type="dxa"/>
            </w:tcMar>
            <w:vAlign w:val="center"/>
          </w:tcPr>
          <w:p w14:paraId="53CF553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5404A13A" w14:textId="77777777" w:rsidR="0057163C" w:rsidRPr="00170422" w:rsidRDefault="00F37BF9">
            <w:pPr>
              <w:pStyle w:val="P68B1DB1-Normal121"/>
              <w:spacing w:after="0" w:line="240" w:lineRule="auto"/>
              <w:rPr>
                <w:noProof/>
                <w:lang w:val="de-DE"/>
              </w:rPr>
            </w:pPr>
            <w:r w:rsidRPr="00170422">
              <w:rPr>
                <w:noProof/>
                <w:lang w:val="de-DE"/>
              </w:rPr>
              <w:t>Höhere Absorption von Investitionen</w:t>
            </w:r>
          </w:p>
        </w:tc>
      </w:tr>
      <w:tr w:rsidR="0057163C" w:rsidRPr="00170422" w14:paraId="7DD28031" w14:textId="77777777" w:rsidTr="00A400C5">
        <w:trPr>
          <w:trHeight w:val="300"/>
        </w:trPr>
        <w:tc>
          <w:tcPr>
            <w:tcW w:w="1434" w:type="dxa"/>
            <w:shd w:val="clear" w:color="auto" w:fill="C6EFCE"/>
            <w:tcMar>
              <w:left w:w="108" w:type="dxa"/>
              <w:right w:w="108" w:type="dxa"/>
            </w:tcMar>
            <w:vAlign w:val="center"/>
          </w:tcPr>
          <w:p w14:paraId="28936993" w14:textId="77777777" w:rsidR="0057163C" w:rsidRPr="00170422" w:rsidRDefault="00F37BF9">
            <w:pPr>
              <w:pStyle w:val="P68B1DB1-Normal121"/>
              <w:spacing w:after="0" w:line="240" w:lineRule="auto"/>
              <w:jc w:val="center"/>
              <w:rPr>
                <w:noProof/>
                <w:lang w:val="de-DE"/>
              </w:rPr>
            </w:pPr>
            <w:r w:rsidRPr="00170422">
              <w:rPr>
                <w:noProof/>
                <w:lang w:val="de-DE"/>
              </w:rPr>
              <w:t>M1C1-115</w:t>
            </w:r>
          </w:p>
        </w:tc>
        <w:tc>
          <w:tcPr>
            <w:tcW w:w="2098" w:type="dxa"/>
            <w:shd w:val="clear" w:color="auto" w:fill="C6EFCE"/>
            <w:tcMar>
              <w:left w:w="108" w:type="dxa"/>
              <w:right w:w="108" w:type="dxa"/>
            </w:tcMar>
            <w:vAlign w:val="center"/>
          </w:tcPr>
          <w:p w14:paraId="3A45EAAB" w14:textId="77777777" w:rsidR="0057163C" w:rsidRPr="00170422" w:rsidRDefault="00F37BF9">
            <w:pPr>
              <w:pStyle w:val="P68B1DB1-Normal121"/>
              <w:spacing w:after="0" w:line="240" w:lineRule="auto"/>
              <w:rPr>
                <w:noProof/>
                <w:lang w:val="de-DE"/>
              </w:rPr>
            </w:pPr>
            <w:r w:rsidRPr="00170422">
              <w:rPr>
                <w:noProof/>
                <w:lang w:val="de-DE"/>
              </w:rPr>
              <w:t>Reform 1.13: Reform des Rahmens für die Ausgabenüberprüfung</w:t>
            </w:r>
          </w:p>
        </w:tc>
        <w:tc>
          <w:tcPr>
            <w:tcW w:w="2268" w:type="dxa"/>
            <w:shd w:val="clear" w:color="auto" w:fill="C6EFCE"/>
            <w:tcMar>
              <w:left w:w="108" w:type="dxa"/>
              <w:right w:w="108" w:type="dxa"/>
            </w:tcMar>
            <w:vAlign w:val="center"/>
          </w:tcPr>
          <w:p w14:paraId="274879C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27501CB" w14:textId="77777777" w:rsidR="0057163C" w:rsidRPr="00170422" w:rsidRDefault="00F37BF9">
            <w:pPr>
              <w:pStyle w:val="P68B1DB1-Normal121"/>
              <w:spacing w:after="0" w:line="240" w:lineRule="auto"/>
              <w:rPr>
                <w:noProof/>
                <w:lang w:val="de-DE"/>
              </w:rPr>
            </w:pPr>
            <w:r w:rsidRPr="00170422">
              <w:rPr>
                <w:noProof/>
                <w:lang w:val="de-DE"/>
              </w:rPr>
              <w:t>Abschluss der jährlichen Ausgabenüberprüfung für 2024 unter Bezugnahme auf das in den Jahre</w:t>
            </w:r>
            <w:r w:rsidRPr="00170422">
              <w:rPr>
                <w:noProof/>
                <w:lang w:val="de-DE"/>
              </w:rPr>
              <w:t>n 2022 und 2023 festgelegte Einsparziel für 2024</w:t>
            </w:r>
          </w:p>
        </w:tc>
      </w:tr>
      <w:tr w:rsidR="0057163C" w:rsidRPr="00170422" w14:paraId="54A8FC18" w14:textId="77777777" w:rsidTr="00A400C5">
        <w:trPr>
          <w:trHeight w:val="300"/>
        </w:trPr>
        <w:tc>
          <w:tcPr>
            <w:tcW w:w="1434" w:type="dxa"/>
            <w:shd w:val="clear" w:color="auto" w:fill="C6EFCE"/>
            <w:tcMar>
              <w:left w:w="108" w:type="dxa"/>
              <w:right w:w="108" w:type="dxa"/>
            </w:tcMar>
            <w:vAlign w:val="center"/>
          </w:tcPr>
          <w:p w14:paraId="0F8CC187" w14:textId="77777777" w:rsidR="0057163C" w:rsidRPr="00170422" w:rsidRDefault="00F37BF9">
            <w:pPr>
              <w:pStyle w:val="P68B1DB1-Normal121"/>
              <w:spacing w:after="0" w:line="240" w:lineRule="auto"/>
              <w:jc w:val="center"/>
              <w:rPr>
                <w:noProof/>
                <w:lang w:val="de-DE"/>
              </w:rPr>
            </w:pPr>
            <w:r w:rsidRPr="00170422">
              <w:rPr>
                <w:noProof/>
                <w:lang w:val="de-DE"/>
              </w:rPr>
              <w:t>M1C2-3</w:t>
            </w:r>
          </w:p>
        </w:tc>
        <w:tc>
          <w:tcPr>
            <w:tcW w:w="2098" w:type="dxa"/>
            <w:shd w:val="clear" w:color="auto" w:fill="C6EFCE"/>
            <w:tcMar>
              <w:left w:w="108" w:type="dxa"/>
              <w:right w:w="108" w:type="dxa"/>
            </w:tcMar>
            <w:vAlign w:val="center"/>
          </w:tcPr>
          <w:p w14:paraId="25E916E9" w14:textId="77777777" w:rsidR="0057163C" w:rsidRPr="00170422" w:rsidRDefault="00F37BF9">
            <w:pPr>
              <w:pStyle w:val="P68B1DB1-Normal121"/>
              <w:spacing w:after="0" w:line="240" w:lineRule="auto"/>
              <w:rPr>
                <w:noProof/>
                <w:lang w:val="de-DE"/>
              </w:rPr>
            </w:pPr>
            <w:r w:rsidRPr="00170422">
              <w:rPr>
                <w:noProof/>
                <w:lang w:val="de-DE"/>
              </w:rPr>
              <w:t>Investition 1: Übergang 4.0</w:t>
            </w:r>
          </w:p>
        </w:tc>
        <w:tc>
          <w:tcPr>
            <w:tcW w:w="2268" w:type="dxa"/>
            <w:shd w:val="clear" w:color="auto" w:fill="C6EFCE"/>
            <w:tcMar>
              <w:left w:w="108" w:type="dxa"/>
              <w:right w:w="108" w:type="dxa"/>
            </w:tcMar>
            <w:vAlign w:val="center"/>
          </w:tcPr>
          <w:p w14:paraId="7A20AB5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259A8AE" w14:textId="77777777" w:rsidR="0057163C" w:rsidRPr="00170422" w:rsidRDefault="00F37BF9">
            <w:pPr>
              <w:pStyle w:val="P68B1DB1-Normal121"/>
              <w:spacing w:after="0" w:line="240" w:lineRule="auto"/>
              <w:rPr>
                <w:noProof/>
                <w:lang w:val="de-DE"/>
              </w:rPr>
            </w:pPr>
            <w:r w:rsidRPr="00170422">
              <w:rPr>
                <w:noProof/>
                <w:lang w:val="de-DE"/>
              </w:rPr>
              <w:t>Übergangs 4.0 Steuergutschriften, die Unternehmen auf der Grundlage von im Zeitraum 2021-2023 vorgelegten Steuererklärungen gewährt werden</w:t>
            </w:r>
          </w:p>
        </w:tc>
      </w:tr>
      <w:tr w:rsidR="0057163C" w:rsidRPr="00170422" w14:paraId="31655923" w14:textId="77777777" w:rsidTr="00A400C5">
        <w:trPr>
          <w:trHeight w:val="300"/>
        </w:trPr>
        <w:tc>
          <w:tcPr>
            <w:tcW w:w="1434" w:type="dxa"/>
            <w:shd w:val="clear" w:color="auto" w:fill="C6EFCE"/>
            <w:tcMar>
              <w:left w:w="108" w:type="dxa"/>
              <w:right w:w="108" w:type="dxa"/>
            </w:tcMar>
            <w:vAlign w:val="center"/>
          </w:tcPr>
          <w:p w14:paraId="71DBF93C" w14:textId="77777777" w:rsidR="0057163C" w:rsidRPr="00170422" w:rsidRDefault="00F37BF9">
            <w:pPr>
              <w:pStyle w:val="P68B1DB1-Normal121"/>
              <w:spacing w:after="0" w:line="240" w:lineRule="auto"/>
              <w:jc w:val="center"/>
              <w:rPr>
                <w:noProof/>
                <w:lang w:val="de-DE"/>
              </w:rPr>
            </w:pPr>
            <w:r w:rsidRPr="00170422">
              <w:rPr>
                <w:noProof/>
                <w:lang w:val="de-DE"/>
              </w:rPr>
              <w:t>M4C1-16</w:t>
            </w:r>
          </w:p>
        </w:tc>
        <w:tc>
          <w:tcPr>
            <w:tcW w:w="2098" w:type="dxa"/>
            <w:shd w:val="clear" w:color="auto" w:fill="C6EFCE"/>
            <w:tcMar>
              <w:left w:w="108" w:type="dxa"/>
              <w:right w:w="108" w:type="dxa"/>
            </w:tcMar>
            <w:vAlign w:val="center"/>
          </w:tcPr>
          <w:p w14:paraId="1EF56ECE" w14:textId="77777777" w:rsidR="0057163C" w:rsidRPr="00170422" w:rsidRDefault="00F37BF9">
            <w:pPr>
              <w:pStyle w:val="P68B1DB1-Normal121"/>
              <w:spacing w:after="0" w:line="240" w:lineRule="auto"/>
              <w:rPr>
                <w:noProof/>
                <w:lang w:val="de-DE"/>
              </w:rPr>
            </w:pPr>
            <w:r w:rsidRPr="00170422">
              <w:rPr>
                <w:noProof/>
                <w:lang w:val="de-DE"/>
              </w:rPr>
              <w:t xml:space="preserve">Investition 3.1: </w:t>
            </w:r>
            <w:r w:rsidRPr="00170422">
              <w:rPr>
                <w:noProof/>
                <w:lang w:val="de-DE"/>
              </w:rPr>
              <w:t>Neue Kompetenzen und neue Sprachen</w:t>
            </w:r>
          </w:p>
        </w:tc>
        <w:tc>
          <w:tcPr>
            <w:tcW w:w="2268" w:type="dxa"/>
            <w:shd w:val="clear" w:color="auto" w:fill="C6EFCE"/>
            <w:tcMar>
              <w:left w:w="108" w:type="dxa"/>
              <w:right w:w="108" w:type="dxa"/>
            </w:tcMar>
            <w:vAlign w:val="center"/>
          </w:tcPr>
          <w:p w14:paraId="48A89FF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080E8DDF" w14:textId="77777777" w:rsidR="0057163C" w:rsidRPr="00170422" w:rsidRDefault="00F37BF9">
            <w:pPr>
              <w:pStyle w:val="P68B1DB1-Normal121"/>
              <w:spacing w:after="0" w:line="240" w:lineRule="auto"/>
              <w:rPr>
                <w:noProof/>
                <w:lang w:val="de-DE"/>
              </w:rPr>
            </w:pPr>
            <w:r w:rsidRPr="00170422">
              <w:rPr>
                <w:noProof/>
                <w:lang w:val="de-DE"/>
              </w:rPr>
              <w:t xml:space="preserve">Annahme des Beschlusses/der Beschlüsse über die Gewährung einer Finanzhilfe für die Aktivierung von MINT-Projekten  </w:t>
            </w:r>
          </w:p>
        </w:tc>
      </w:tr>
      <w:tr w:rsidR="0057163C" w:rsidRPr="00170422" w14:paraId="712D7FAB" w14:textId="77777777" w:rsidTr="00A400C5">
        <w:trPr>
          <w:trHeight w:val="300"/>
        </w:trPr>
        <w:tc>
          <w:tcPr>
            <w:tcW w:w="1434" w:type="dxa"/>
            <w:shd w:val="clear" w:color="auto" w:fill="C6EFCE"/>
            <w:tcMar>
              <w:left w:w="108" w:type="dxa"/>
              <w:right w:w="108" w:type="dxa"/>
            </w:tcMar>
            <w:vAlign w:val="center"/>
          </w:tcPr>
          <w:p w14:paraId="1819653D" w14:textId="77777777" w:rsidR="0057163C" w:rsidRPr="00170422" w:rsidRDefault="00F37BF9">
            <w:pPr>
              <w:pStyle w:val="P68B1DB1-Normal121"/>
              <w:spacing w:after="0" w:line="240" w:lineRule="auto"/>
              <w:jc w:val="center"/>
              <w:rPr>
                <w:noProof/>
                <w:lang w:val="de-DE"/>
              </w:rPr>
            </w:pPr>
            <w:r w:rsidRPr="00170422">
              <w:rPr>
                <w:noProof/>
                <w:lang w:val="de-DE"/>
              </w:rPr>
              <w:t>M4C1-17</w:t>
            </w:r>
          </w:p>
        </w:tc>
        <w:tc>
          <w:tcPr>
            <w:tcW w:w="2098" w:type="dxa"/>
            <w:shd w:val="clear" w:color="auto" w:fill="C6EFCE"/>
            <w:tcMar>
              <w:left w:w="108" w:type="dxa"/>
              <w:right w:w="108" w:type="dxa"/>
            </w:tcMar>
            <w:vAlign w:val="center"/>
          </w:tcPr>
          <w:p w14:paraId="214DA09D" w14:textId="77777777" w:rsidR="0057163C" w:rsidRPr="00170422" w:rsidRDefault="00F37BF9">
            <w:pPr>
              <w:pStyle w:val="P68B1DB1-Normal121"/>
              <w:spacing w:after="0" w:line="240" w:lineRule="auto"/>
              <w:rPr>
                <w:noProof/>
                <w:lang w:val="de-DE"/>
              </w:rPr>
            </w:pPr>
            <w:r w:rsidRPr="00170422">
              <w:rPr>
                <w:noProof/>
                <w:lang w:val="de-DE"/>
              </w:rPr>
              <w:t>Investition 3.1: Neue Kompetenzen und neue Sprachen</w:t>
            </w:r>
          </w:p>
        </w:tc>
        <w:tc>
          <w:tcPr>
            <w:tcW w:w="2268" w:type="dxa"/>
            <w:shd w:val="clear" w:color="auto" w:fill="C6EFCE"/>
            <w:tcMar>
              <w:left w:w="108" w:type="dxa"/>
              <w:right w:w="108" w:type="dxa"/>
            </w:tcMar>
            <w:vAlign w:val="center"/>
          </w:tcPr>
          <w:p w14:paraId="3A177D8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23688DE" w14:textId="77777777" w:rsidR="0057163C" w:rsidRPr="00170422" w:rsidRDefault="00F37BF9">
            <w:pPr>
              <w:pStyle w:val="P68B1DB1-Normal121"/>
              <w:spacing w:after="0" w:line="240" w:lineRule="auto"/>
              <w:rPr>
                <w:noProof/>
                <w:lang w:val="de-DE"/>
              </w:rPr>
            </w:pPr>
            <w:r w:rsidRPr="00170422">
              <w:rPr>
                <w:noProof/>
                <w:lang w:val="de-DE"/>
              </w:rPr>
              <w:t xml:space="preserve">Neue Kompetenzen      </w:t>
            </w:r>
          </w:p>
        </w:tc>
      </w:tr>
      <w:tr w:rsidR="0057163C" w:rsidRPr="00170422" w14:paraId="6E743455" w14:textId="77777777" w:rsidTr="00A400C5">
        <w:trPr>
          <w:trHeight w:val="300"/>
        </w:trPr>
        <w:tc>
          <w:tcPr>
            <w:tcW w:w="1434" w:type="dxa"/>
            <w:shd w:val="clear" w:color="auto" w:fill="C6EFCE"/>
            <w:tcMar>
              <w:left w:w="108" w:type="dxa"/>
              <w:right w:w="108" w:type="dxa"/>
            </w:tcMar>
            <w:vAlign w:val="center"/>
          </w:tcPr>
          <w:p w14:paraId="7987A6D9" w14:textId="77777777" w:rsidR="0057163C" w:rsidRPr="00170422" w:rsidRDefault="00F37BF9">
            <w:pPr>
              <w:pStyle w:val="P68B1DB1-Normal121"/>
              <w:spacing w:after="0" w:line="240" w:lineRule="auto"/>
              <w:jc w:val="center"/>
              <w:rPr>
                <w:noProof/>
                <w:lang w:val="de-DE"/>
              </w:rPr>
            </w:pPr>
            <w:r w:rsidRPr="00170422">
              <w:rPr>
                <w:noProof/>
                <w:lang w:val="de-DE"/>
              </w:rPr>
              <w:t>M4C2-1 bis</w:t>
            </w:r>
          </w:p>
        </w:tc>
        <w:tc>
          <w:tcPr>
            <w:tcW w:w="2098" w:type="dxa"/>
            <w:shd w:val="clear" w:color="auto" w:fill="C6EFCE"/>
            <w:tcMar>
              <w:left w:w="108" w:type="dxa"/>
              <w:right w:w="108" w:type="dxa"/>
            </w:tcMar>
            <w:vAlign w:val="center"/>
          </w:tcPr>
          <w:p w14:paraId="6418CA0B" w14:textId="77777777" w:rsidR="0057163C" w:rsidRPr="00170422" w:rsidRDefault="00F37BF9">
            <w:pPr>
              <w:pStyle w:val="P68B1DB1-Normal121"/>
              <w:spacing w:after="0" w:line="240" w:lineRule="auto"/>
              <w:rPr>
                <w:noProof/>
                <w:lang w:val="de-DE"/>
              </w:rPr>
            </w:pPr>
            <w:r w:rsidRPr="00170422">
              <w:rPr>
                <w:noProof/>
                <w:lang w:val="de-DE"/>
              </w:rPr>
              <w:t xml:space="preserve">Investition 1.2: Finanzierung von Projekten, die von Nachwuchsforschern vorgestellt werden </w:t>
            </w:r>
          </w:p>
        </w:tc>
        <w:tc>
          <w:tcPr>
            <w:tcW w:w="2268" w:type="dxa"/>
            <w:shd w:val="clear" w:color="auto" w:fill="C6EFCE"/>
            <w:tcMar>
              <w:left w:w="108" w:type="dxa"/>
              <w:right w:w="108" w:type="dxa"/>
            </w:tcMar>
            <w:vAlign w:val="center"/>
          </w:tcPr>
          <w:p w14:paraId="260BE18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0D820EF" w14:textId="77777777" w:rsidR="0057163C" w:rsidRPr="00170422" w:rsidRDefault="00F37BF9">
            <w:pPr>
              <w:pStyle w:val="P68B1DB1-Normal121"/>
              <w:spacing w:after="0" w:line="240" w:lineRule="auto"/>
              <w:rPr>
                <w:noProof/>
                <w:lang w:val="de-DE"/>
              </w:rPr>
            </w:pPr>
            <w:r w:rsidRPr="00170422">
              <w:rPr>
                <w:noProof/>
                <w:lang w:val="de-DE"/>
              </w:rPr>
              <w:t xml:space="preserve">Veröffentlichung der Verordnung(en) über die Gewährung der Förderung an Nachwuchsforscher </w:t>
            </w:r>
          </w:p>
        </w:tc>
      </w:tr>
      <w:tr w:rsidR="0057163C" w:rsidRPr="00170422" w14:paraId="16A27429" w14:textId="77777777" w:rsidTr="00A400C5">
        <w:trPr>
          <w:trHeight w:val="300"/>
        </w:trPr>
        <w:tc>
          <w:tcPr>
            <w:tcW w:w="1434" w:type="dxa"/>
            <w:shd w:val="clear" w:color="auto" w:fill="C6EFCE"/>
            <w:tcMar>
              <w:left w:w="108" w:type="dxa"/>
              <w:right w:w="108" w:type="dxa"/>
            </w:tcMar>
            <w:vAlign w:val="center"/>
          </w:tcPr>
          <w:p w14:paraId="7B0893F7" w14:textId="77777777" w:rsidR="0057163C" w:rsidRPr="00170422" w:rsidRDefault="00F37BF9">
            <w:pPr>
              <w:pStyle w:val="P68B1DB1-Normal121"/>
              <w:spacing w:after="0" w:line="240" w:lineRule="auto"/>
              <w:jc w:val="center"/>
              <w:rPr>
                <w:noProof/>
                <w:lang w:val="de-DE"/>
              </w:rPr>
            </w:pPr>
            <w:r w:rsidRPr="00170422">
              <w:rPr>
                <w:noProof/>
                <w:lang w:val="de-DE"/>
              </w:rPr>
              <w:t>M6C2-2</w:t>
            </w:r>
          </w:p>
        </w:tc>
        <w:tc>
          <w:tcPr>
            <w:tcW w:w="2098" w:type="dxa"/>
            <w:shd w:val="clear" w:color="auto" w:fill="C6EFCE"/>
            <w:tcMar>
              <w:left w:w="108" w:type="dxa"/>
              <w:right w:w="108" w:type="dxa"/>
            </w:tcMar>
            <w:vAlign w:val="center"/>
          </w:tcPr>
          <w:p w14:paraId="13216AF0" w14:textId="77777777" w:rsidR="0057163C" w:rsidRPr="00170422" w:rsidRDefault="00F37BF9">
            <w:pPr>
              <w:pStyle w:val="P68B1DB1-Normal121"/>
              <w:spacing w:after="0" w:line="240" w:lineRule="auto"/>
              <w:rPr>
                <w:noProof/>
                <w:lang w:val="de-DE"/>
              </w:rPr>
            </w:pPr>
            <w:r w:rsidRPr="00170422">
              <w:rPr>
                <w:noProof/>
                <w:lang w:val="de-DE"/>
              </w:rPr>
              <w:t>Investition 2.1: S</w:t>
            </w:r>
            <w:r w:rsidRPr="00170422">
              <w:rPr>
                <w:noProof/>
                <w:lang w:val="de-DE"/>
              </w:rPr>
              <w:t>tärkung und Verbesserung der biomedizinischen Forschung des NHS</w:t>
            </w:r>
          </w:p>
        </w:tc>
        <w:tc>
          <w:tcPr>
            <w:tcW w:w="2268" w:type="dxa"/>
            <w:shd w:val="clear" w:color="auto" w:fill="C6EFCE"/>
            <w:tcMar>
              <w:left w:w="108" w:type="dxa"/>
              <w:right w:w="108" w:type="dxa"/>
            </w:tcMar>
            <w:vAlign w:val="center"/>
          </w:tcPr>
          <w:p w14:paraId="0410249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A57D565" w14:textId="77777777" w:rsidR="0057163C" w:rsidRPr="00170422" w:rsidRDefault="00F37BF9">
            <w:pPr>
              <w:pStyle w:val="P68B1DB1-Normal121"/>
              <w:spacing w:after="0" w:line="240" w:lineRule="auto"/>
              <w:rPr>
                <w:noProof/>
                <w:lang w:val="de-DE"/>
              </w:rPr>
            </w:pPr>
            <w:r w:rsidRPr="00170422">
              <w:rPr>
                <w:noProof/>
                <w:lang w:val="de-DE"/>
              </w:rPr>
              <w:t>Geförderte Forschungsprojekte zu PoC (Proof of Concept) und seltenen Krebsarten und seltenen Krankheiten</w:t>
            </w:r>
          </w:p>
        </w:tc>
      </w:tr>
      <w:tr w:rsidR="0057163C" w:rsidRPr="00170422" w14:paraId="18104808" w14:textId="77777777" w:rsidTr="00A400C5">
        <w:trPr>
          <w:trHeight w:val="300"/>
        </w:trPr>
        <w:tc>
          <w:tcPr>
            <w:tcW w:w="1434" w:type="dxa"/>
            <w:shd w:val="clear" w:color="auto" w:fill="C6EFCE"/>
            <w:tcMar>
              <w:left w:w="108" w:type="dxa"/>
              <w:right w:w="108" w:type="dxa"/>
            </w:tcMar>
            <w:vAlign w:val="center"/>
          </w:tcPr>
          <w:p w14:paraId="714F1518" w14:textId="77777777" w:rsidR="0057163C" w:rsidRPr="00170422" w:rsidRDefault="00F37BF9">
            <w:pPr>
              <w:pStyle w:val="P68B1DB1-Normal121"/>
              <w:spacing w:after="0" w:line="240" w:lineRule="auto"/>
              <w:jc w:val="center"/>
              <w:rPr>
                <w:noProof/>
                <w:lang w:val="de-DE"/>
              </w:rPr>
            </w:pPr>
            <w:r w:rsidRPr="00170422">
              <w:rPr>
                <w:noProof/>
                <w:lang w:val="de-DE"/>
              </w:rPr>
              <w:t>M6C2-3</w:t>
            </w:r>
          </w:p>
        </w:tc>
        <w:tc>
          <w:tcPr>
            <w:tcW w:w="2098" w:type="dxa"/>
            <w:shd w:val="clear" w:color="auto" w:fill="C6EFCE"/>
            <w:tcMar>
              <w:left w:w="108" w:type="dxa"/>
              <w:right w:w="108" w:type="dxa"/>
            </w:tcMar>
            <w:vAlign w:val="center"/>
          </w:tcPr>
          <w:p w14:paraId="01E92F83" w14:textId="77777777" w:rsidR="0057163C" w:rsidRPr="00170422" w:rsidRDefault="00F37BF9">
            <w:pPr>
              <w:pStyle w:val="P68B1DB1-Normal121"/>
              <w:spacing w:after="0" w:line="240" w:lineRule="auto"/>
              <w:rPr>
                <w:noProof/>
                <w:lang w:val="de-DE"/>
              </w:rPr>
            </w:pPr>
            <w:r w:rsidRPr="00170422">
              <w:rPr>
                <w:noProof/>
                <w:lang w:val="de-DE"/>
              </w:rPr>
              <w:t xml:space="preserve">Investition 2.1: Stärkung und Verbesserung der biomedizinischen Forschung </w:t>
            </w:r>
            <w:r w:rsidRPr="00170422">
              <w:rPr>
                <w:noProof/>
                <w:lang w:val="de-DE"/>
              </w:rPr>
              <w:t>des NHS</w:t>
            </w:r>
          </w:p>
        </w:tc>
        <w:tc>
          <w:tcPr>
            <w:tcW w:w="2268" w:type="dxa"/>
            <w:shd w:val="clear" w:color="auto" w:fill="C6EFCE"/>
            <w:tcMar>
              <w:left w:w="108" w:type="dxa"/>
              <w:right w:w="108" w:type="dxa"/>
            </w:tcMar>
            <w:vAlign w:val="center"/>
          </w:tcPr>
          <w:p w14:paraId="69D0566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88EC45E" w14:textId="77777777" w:rsidR="0057163C" w:rsidRPr="00170422" w:rsidRDefault="00F37BF9">
            <w:pPr>
              <w:pStyle w:val="P68B1DB1-Normal121"/>
              <w:spacing w:after="0" w:line="240" w:lineRule="auto"/>
              <w:rPr>
                <w:noProof/>
                <w:lang w:val="de-DE"/>
              </w:rPr>
            </w:pPr>
            <w:r w:rsidRPr="00170422">
              <w:rPr>
                <w:noProof/>
                <w:lang w:val="de-DE"/>
              </w:rPr>
              <w:t>Finanzierung von Forschungsprojekten zu Krankheiten mit erheblichen Auswirkungen auf die Gesundheit</w:t>
            </w:r>
          </w:p>
        </w:tc>
      </w:tr>
      <w:tr w:rsidR="0057163C" w:rsidRPr="00170422" w14:paraId="39D4C83A" w14:textId="77777777" w:rsidTr="00A400C5">
        <w:trPr>
          <w:trHeight w:val="300"/>
        </w:trPr>
        <w:tc>
          <w:tcPr>
            <w:tcW w:w="1434" w:type="dxa"/>
            <w:shd w:val="clear" w:color="auto" w:fill="C6EFCE"/>
            <w:tcMar>
              <w:left w:w="108" w:type="dxa"/>
              <w:right w:w="108" w:type="dxa"/>
            </w:tcMar>
            <w:vAlign w:val="center"/>
          </w:tcPr>
          <w:p w14:paraId="43A81460" w14:textId="77777777" w:rsidR="0057163C" w:rsidRPr="00170422" w:rsidRDefault="00F37BF9">
            <w:pPr>
              <w:pStyle w:val="P68B1DB1-Normal121"/>
              <w:spacing w:after="0" w:line="240" w:lineRule="auto"/>
              <w:jc w:val="center"/>
              <w:rPr>
                <w:noProof/>
                <w:lang w:val="de-DE"/>
              </w:rPr>
            </w:pPr>
            <w:r w:rsidRPr="00170422">
              <w:rPr>
                <w:noProof/>
                <w:lang w:val="de-DE"/>
              </w:rPr>
              <w:t>M7-2</w:t>
            </w:r>
          </w:p>
        </w:tc>
        <w:tc>
          <w:tcPr>
            <w:tcW w:w="2098" w:type="dxa"/>
            <w:shd w:val="clear" w:color="auto" w:fill="C6EFCE"/>
            <w:tcMar>
              <w:left w:w="108" w:type="dxa"/>
              <w:right w:w="108" w:type="dxa"/>
            </w:tcMar>
            <w:vAlign w:val="center"/>
          </w:tcPr>
          <w:p w14:paraId="22228CEE" w14:textId="77777777" w:rsidR="0057163C" w:rsidRPr="00170422" w:rsidRDefault="00F37BF9">
            <w:pPr>
              <w:pStyle w:val="P68B1DB1-Normal121"/>
              <w:spacing w:after="0" w:line="240" w:lineRule="auto"/>
              <w:rPr>
                <w:noProof/>
                <w:lang w:val="de-DE"/>
              </w:rPr>
            </w:pPr>
            <w:r w:rsidRPr="00170422">
              <w:rPr>
                <w:noProof/>
                <w:lang w:val="de-DE"/>
              </w:rPr>
              <w:t>Reform 1: Straffung der Genehmigungsverfahren für erneuerbare Energien</w:t>
            </w:r>
          </w:p>
        </w:tc>
        <w:tc>
          <w:tcPr>
            <w:tcW w:w="2268" w:type="dxa"/>
            <w:shd w:val="clear" w:color="auto" w:fill="C6EFCE"/>
            <w:tcMar>
              <w:left w:w="108" w:type="dxa"/>
              <w:right w:w="108" w:type="dxa"/>
            </w:tcMar>
            <w:vAlign w:val="center"/>
          </w:tcPr>
          <w:p w14:paraId="2285491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E5123BC" w14:textId="77777777" w:rsidR="0057163C" w:rsidRPr="00170422" w:rsidRDefault="00F37BF9">
            <w:pPr>
              <w:pStyle w:val="P68B1DB1-Normal121"/>
              <w:spacing w:after="0" w:line="240" w:lineRule="auto"/>
              <w:rPr>
                <w:noProof/>
                <w:lang w:val="de-DE"/>
              </w:rPr>
            </w:pPr>
            <w:r w:rsidRPr="00170422">
              <w:rPr>
                <w:noProof/>
                <w:lang w:val="de-DE"/>
              </w:rPr>
              <w:t xml:space="preserve">Inkrafttreten des Rechtsakts (Testo Unico) </w:t>
            </w:r>
          </w:p>
        </w:tc>
      </w:tr>
      <w:tr w:rsidR="0057163C" w:rsidRPr="00170422" w14:paraId="2A58F8FC" w14:textId="77777777" w:rsidTr="00A400C5">
        <w:trPr>
          <w:trHeight w:val="300"/>
        </w:trPr>
        <w:tc>
          <w:tcPr>
            <w:tcW w:w="1434" w:type="dxa"/>
            <w:shd w:val="clear" w:color="auto" w:fill="C6EFCE"/>
            <w:tcMar>
              <w:left w:w="108" w:type="dxa"/>
              <w:right w:w="108" w:type="dxa"/>
            </w:tcMar>
            <w:vAlign w:val="center"/>
          </w:tcPr>
          <w:p w14:paraId="42DA4A6E" w14:textId="77777777" w:rsidR="0057163C" w:rsidRPr="00170422" w:rsidRDefault="00F37BF9">
            <w:pPr>
              <w:pStyle w:val="P68B1DB1-Normal121"/>
              <w:spacing w:after="0" w:line="240" w:lineRule="auto"/>
              <w:jc w:val="center"/>
              <w:rPr>
                <w:noProof/>
                <w:lang w:val="de-DE"/>
              </w:rPr>
            </w:pPr>
            <w:r w:rsidRPr="00170422">
              <w:rPr>
                <w:noProof/>
                <w:lang w:val="de-DE"/>
              </w:rPr>
              <w:t>M7-25</w:t>
            </w:r>
          </w:p>
        </w:tc>
        <w:tc>
          <w:tcPr>
            <w:tcW w:w="2098" w:type="dxa"/>
            <w:shd w:val="clear" w:color="auto" w:fill="C6EFCE"/>
            <w:tcMar>
              <w:left w:w="108" w:type="dxa"/>
              <w:right w:w="108" w:type="dxa"/>
            </w:tcMar>
            <w:vAlign w:val="center"/>
          </w:tcPr>
          <w:p w14:paraId="4B663733" w14:textId="77777777" w:rsidR="0057163C" w:rsidRPr="00170422" w:rsidRDefault="00F37BF9">
            <w:pPr>
              <w:pStyle w:val="P68B1DB1-Normal121"/>
              <w:spacing w:after="0" w:line="240" w:lineRule="auto"/>
              <w:rPr>
                <w:noProof/>
                <w:lang w:val="de-DE"/>
              </w:rPr>
            </w:pPr>
            <w:r w:rsidRPr="00170422">
              <w:rPr>
                <w:noProof/>
                <w:lang w:val="de-DE"/>
              </w:rPr>
              <w:t>Investition 8: Nachhaltige, kreislauforientierte und sichere Versorgung mit kritischen Rohstoffen</w:t>
            </w:r>
          </w:p>
        </w:tc>
        <w:tc>
          <w:tcPr>
            <w:tcW w:w="2268" w:type="dxa"/>
            <w:shd w:val="clear" w:color="auto" w:fill="C6EFCE"/>
            <w:tcMar>
              <w:left w:w="108" w:type="dxa"/>
              <w:right w:w="108" w:type="dxa"/>
            </w:tcMar>
            <w:vAlign w:val="center"/>
          </w:tcPr>
          <w:p w14:paraId="2B60862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10866B5" w14:textId="77777777" w:rsidR="0057163C" w:rsidRPr="00170422" w:rsidRDefault="00F37BF9">
            <w:pPr>
              <w:pStyle w:val="P68B1DB1-Normal121"/>
              <w:spacing w:after="0" w:line="240" w:lineRule="auto"/>
              <w:rPr>
                <w:noProof/>
                <w:lang w:val="de-DE"/>
              </w:rPr>
            </w:pPr>
            <w:r w:rsidRPr="00170422">
              <w:rPr>
                <w:noProof/>
                <w:lang w:val="de-DE"/>
              </w:rPr>
              <w:t xml:space="preserve">Veröffentlichung des Berichts über den künftigen Bedarf an kritischen Rohstoffen und das Potenzial des Ökodesigns </w:t>
            </w:r>
          </w:p>
        </w:tc>
      </w:tr>
      <w:tr w:rsidR="0057163C" w:rsidRPr="00170422" w14:paraId="0EC985D7" w14:textId="77777777" w:rsidTr="00A400C5">
        <w:trPr>
          <w:trHeight w:val="300"/>
        </w:trPr>
        <w:tc>
          <w:tcPr>
            <w:tcW w:w="1434" w:type="dxa"/>
            <w:shd w:val="clear" w:color="auto" w:fill="C6EFCE"/>
            <w:tcMar>
              <w:left w:w="108" w:type="dxa"/>
              <w:right w:w="108" w:type="dxa"/>
            </w:tcMar>
            <w:vAlign w:val="center"/>
          </w:tcPr>
          <w:p w14:paraId="32549D1C" w14:textId="77777777" w:rsidR="0057163C" w:rsidRPr="00170422" w:rsidRDefault="00F37BF9">
            <w:pPr>
              <w:pStyle w:val="P68B1DB1-Normal121"/>
              <w:spacing w:after="0" w:line="240" w:lineRule="auto"/>
              <w:jc w:val="center"/>
              <w:rPr>
                <w:noProof/>
                <w:lang w:val="de-DE"/>
              </w:rPr>
            </w:pPr>
            <w:r w:rsidRPr="00170422">
              <w:rPr>
                <w:noProof/>
                <w:lang w:val="de-DE"/>
              </w:rPr>
              <w:t>M1C2-14bis</w:t>
            </w:r>
          </w:p>
        </w:tc>
        <w:tc>
          <w:tcPr>
            <w:tcW w:w="2098" w:type="dxa"/>
            <w:shd w:val="clear" w:color="auto" w:fill="C6EFCE"/>
            <w:tcMar>
              <w:left w:w="108" w:type="dxa"/>
              <w:right w:w="108" w:type="dxa"/>
            </w:tcMar>
            <w:vAlign w:val="center"/>
          </w:tcPr>
          <w:p w14:paraId="731C1289" w14:textId="77777777" w:rsidR="0057163C" w:rsidRPr="00170422" w:rsidRDefault="00F37BF9">
            <w:pPr>
              <w:pStyle w:val="P68B1DB1-Normal121"/>
              <w:spacing w:after="0" w:line="240" w:lineRule="auto"/>
              <w:rPr>
                <w:noProof/>
                <w:lang w:val="de-DE"/>
              </w:rPr>
            </w:pPr>
            <w:r w:rsidRPr="00170422">
              <w:rPr>
                <w:noProof/>
                <w:lang w:val="de-DE"/>
              </w:rPr>
              <w:t>Reform 3: Rationali</w:t>
            </w:r>
            <w:r w:rsidRPr="00170422">
              <w:rPr>
                <w:noProof/>
                <w:lang w:val="de-DE"/>
              </w:rPr>
              <w:t>sierung und Vereinfachung der Anreize für Unternehmen.</w:t>
            </w:r>
          </w:p>
        </w:tc>
        <w:tc>
          <w:tcPr>
            <w:tcW w:w="2268" w:type="dxa"/>
            <w:shd w:val="clear" w:color="auto" w:fill="C6EFCE"/>
            <w:tcMar>
              <w:left w:w="108" w:type="dxa"/>
              <w:right w:w="108" w:type="dxa"/>
            </w:tcMar>
            <w:vAlign w:val="center"/>
          </w:tcPr>
          <w:p w14:paraId="17000A0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78D9CE9" w14:textId="77777777" w:rsidR="0057163C" w:rsidRPr="00170422" w:rsidRDefault="00F37BF9">
            <w:pPr>
              <w:pStyle w:val="P68B1DB1-Normal121"/>
              <w:spacing w:after="0" w:line="240" w:lineRule="auto"/>
              <w:rPr>
                <w:noProof/>
                <w:lang w:val="de-DE"/>
              </w:rPr>
            </w:pPr>
            <w:r w:rsidRPr="00170422">
              <w:rPr>
                <w:noProof/>
                <w:lang w:val="de-DE"/>
              </w:rPr>
              <w:t>Veröffentlichung des Berichts zur Bewertung aller Anreize für Unternehmen</w:t>
            </w:r>
          </w:p>
        </w:tc>
      </w:tr>
      <w:tr w:rsidR="0057163C" w:rsidRPr="00170422" w14:paraId="0694A424" w14:textId="77777777" w:rsidTr="00A400C5">
        <w:trPr>
          <w:trHeight w:val="300"/>
        </w:trPr>
        <w:tc>
          <w:tcPr>
            <w:tcW w:w="1434" w:type="dxa"/>
            <w:shd w:val="clear" w:color="auto" w:fill="C6EFCE"/>
            <w:tcMar>
              <w:left w:w="108" w:type="dxa"/>
              <w:right w:w="108" w:type="dxa"/>
            </w:tcMar>
            <w:vAlign w:val="center"/>
          </w:tcPr>
          <w:p w14:paraId="642051DC" w14:textId="77777777" w:rsidR="0057163C" w:rsidRPr="00170422" w:rsidRDefault="00F37BF9">
            <w:pPr>
              <w:pStyle w:val="P68B1DB1-Normal121"/>
              <w:spacing w:after="0" w:line="240" w:lineRule="auto"/>
              <w:jc w:val="center"/>
              <w:rPr>
                <w:noProof/>
                <w:lang w:val="de-DE"/>
              </w:rPr>
            </w:pPr>
            <w:r w:rsidRPr="00170422">
              <w:rPr>
                <w:noProof/>
                <w:lang w:val="de-DE"/>
              </w:rPr>
              <w:t>M5C1-15</w:t>
            </w:r>
          </w:p>
        </w:tc>
        <w:tc>
          <w:tcPr>
            <w:tcW w:w="2098" w:type="dxa"/>
            <w:shd w:val="clear" w:color="auto" w:fill="C6EFCE"/>
            <w:tcMar>
              <w:left w:w="108" w:type="dxa"/>
              <w:right w:w="108" w:type="dxa"/>
            </w:tcMar>
            <w:vAlign w:val="center"/>
          </w:tcPr>
          <w:p w14:paraId="46F14D12" w14:textId="77777777" w:rsidR="0057163C" w:rsidRPr="00170422" w:rsidRDefault="00F37BF9">
            <w:pPr>
              <w:pStyle w:val="P68B1DB1-Normal121"/>
              <w:spacing w:after="0" w:line="240" w:lineRule="auto"/>
              <w:rPr>
                <w:noProof/>
                <w:lang w:val="de-DE"/>
              </w:rPr>
            </w:pPr>
            <w:r w:rsidRPr="00170422">
              <w:rPr>
                <w:noProof/>
                <w:lang w:val="de-DE"/>
              </w:rPr>
              <w:t>Investition 3 – Stärkung des dualen Systems</w:t>
            </w:r>
          </w:p>
        </w:tc>
        <w:tc>
          <w:tcPr>
            <w:tcW w:w="2268" w:type="dxa"/>
            <w:shd w:val="clear" w:color="auto" w:fill="C6EFCE"/>
            <w:tcMar>
              <w:left w:w="108" w:type="dxa"/>
              <w:right w:w="108" w:type="dxa"/>
            </w:tcMar>
            <w:vAlign w:val="center"/>
          </w:tcPr>
          <w:p w14:paraId="322697D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D9ACC19" w14:textId="77777777" w:rsidR="0057163C" w:rsidRPr="00170422" w:rsidRDefault="00F37BF9">
            <w:pPr>
              <w:pStyle w:val="P68B1DB1-Normal121"/>
              <w:spacing w:after="0" w:line="240" w:lineRule="auto"/>
              <w:rPr>
                <w:noProof/>
                <w:lang w:val="de-DE"/>
              </w:rPr>
            </w:pPr>
            <w:r w:rsidRPr="00170422">
              <w:rPr>
                <w:noProof/>
                <w:lang w:val="de-DE"/>
              </w:rPr>
              <w:t xml:space="preserve">Im Rahmen des dualen Ausbildungssystems ausgestellte </w:t>
            </w:r>
            <w:r w:rsidRPr="00170422">
              <w:rPr>
                <w:noProof/>
                <w:lang w:val="de-DE"/>
              </w:rPr>
              <w:t>Bescheinigungen</w:t>
            </w:r>
          </w:p>
        </w:tc>
      </w:tr>
      <w:tr w:rsidR="0057163C" w:rsidRPr="00170422" w14:paraId="34D23886" w14:textId="77777777" w:rsidTr="00A400C5">
        <w:trPr>
          <w:trHeight w:val="300"/>
        </w:trPr>
        <w:tc>
          <w:tcPr>
            <w:tcW w:w="1434" w:type="dxa"/>
            <w:shd w:val="clear" w:color="auto" w:fill="C6EFCE"/>
            <w:tcMar>
              <w:left w:w="108" w:type="dxa"/>
              <w:right w:w="108" w:type="dxa"/>
            </w:tcMar>
            <w:vAlign w:val="center"/>
          </w:tcPr>
          <w:p w14:paraId="0F69B061" w14:textId="77777777" w:rsidR="0057163C" w:rsidRPr="00170422" w:rsidRDefault="00F37BF9">
            <w:pPr>
              <w:pStyle w:val="P68B1DB1-Normal121"/>
              <w:spacing w:after="0" w:line="240" w:lineRule="auto"/>
              <w:jc w:val="center"/>
              <w:rPr>
                <w:noProof/>
                <w:lang w:val="de-DE"/>
              </w:rPr>
            </w:pPr>
            <w:r w:rsidRPr="00170422">
              <w:rPr>
                <w:noProof/>
                <w:lang w:val="de-DE"/>
              </w:rPr>
              <w:t>M2C1-12</w:t>
            </w:r>
          </w:p>
        </w:tc>
        <w:tc>
          <w:tcPr>
            <w:tcW w:w="2098" w:type="dxa"/>
            <w:shd w:val="clear" w:color="auto" w:fill="C6EFCE"/>
            <w:tcMar>
              <w:left w:w="108" w:type="dxa"/>
              <w:right w:w="108" w:type="dxa"/>
            </w:tcMar>
            <w:vAlign w:val="center"/>
          </w:tcPr>
          <w:p w14:paraId="64A02EA9" w14:textId="77777777" w:rsidR="0057163C" w:rsidRPr="00170422" w:rsidRDefault="00F37BF9">
            <w:pPr>
              <w:pStyle w:val="P68B1DB1-Normal121"/>
              <w:spacing w:after="0" w:line="240" w:lineRule="auto"/>
              <w:rPr>
                <w:noProof/>
                <w:lang w:val="de-DE"/>
              </w:rPr>
            </w:pPr>
            <w:r w:rsidRPr="00170422">
              <w:rPr>
                <w:noProof/>
                <w:lang w:val="de-DE"/>
              </w:rPr>
              <w:t>Investition 3.3: Kultur und Sensibilisierung für Umweltthemen und -herausforderungen</w:t>
            </w:r>
          </w:p>
        </w:tc>
        <w:tc>
          <w:tcPr>
            <w:tcW w:w="2268" w:type="dxa"/>
            <w:shd w:val="clear" w:color="auto" w:fill="C6EFCE"/>
            <w:tcMar>
              <w:left w:w="108" w:type="dxa"/>
              <w:right w:w="108" w:type="dxa"/>
            </w:tcMar>
            <w:vAlign w:val="center"/>
          </w:tcPr>
          <w:p w14:paraId="702AF6C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B4A84B7" w14:textId="77777777" w:rsidR="0057163C" w:rsidRPr="00170422" w:rsidRDefault="00F37BF9">
            <w:pPr>
              <w:pStyle w:val="P68B1DB1-Normal121"/>
              <w:spacing w:after="0" w:line="240" w:lineRule="auto"/>
              <w:rPr>
                <w:noProof/>
                <w:lang w:val="de-DE"/>
              </w:rPr>
            </w:pPr>
            <w:r w:rsidRPr="00170422">
              <w:rPr>
                <w:noProof/>
                <w:lang w:val="de-DE"/>
              </w:rPr>
              <w:t>Podcasts zum ökologischen Wandel</w:t>
            </w:r>
          </w:p>
        </w:tc>
      </w:tr>
      <w:tr w:rsidR="0057163C" w:rsidRPr="00170422" w14:paraId="413C4F0E" w14:textId="77777777" w:rsidTr="00A400C5">
        <w:trPr>
          <w:trHeight w:val="300"/>
        </w:trPr>
        <w:tc>
          <w:tcPr>
            <w:tcW w:w="1434" w:type="dxa"/>
            <w:shd w:val="clear" w:color="auto" w:fill="C6EFCE"/>
            <w:tcMar>
              <w:left w:w="108" w:type="dxa"/>
              <w:right w:w="108" w:type="dxa"/>
            </w:tcMar>
            <w:vAlign w:val="center"/>
          </w:tcPr>
          <w:p w14:paraId="7FCF3090" w14:textId="77777777" w:rsidR="0057163C" w:rsidRPr="00170422" w:rsidRDefault="00F37BF9">
            <w:pPr>
              <w:pStyle w:val="P68B1DB1-Normal121"/>
              <w:spacing w:after="0" w:line="240" w:lineRule="auto"/>
              <w:jc w:val="center"/>
              <w:rPr>
                <w:noProof/>
                <w:lang w:val="de-DE"/>
              </w:rPr>
            </w:pPr>
            <w:r w:rsidRPr="00170422">
              <w:rPr>
                <w:noProof/>
                <w:lang w:val="de-DE"/>
              </w:rPr>
              <w:t>M4C1-19</w:t>
            </w:r>
          </w:p>
        </w:tc>
        <w:tc>
          <w:tcPr>
            <w:tcW w:w="2098" w:type="dxa"/>
            <w:shd w:val="clear" w:color="auto" w:fill="C6EFCE"/>
            <w:tcMar>
              <w:left w:w="108" w:type="dxa"/>
              <w:right w:w="108" w:type="dxa"/>
            </w:tcMar>
            <w:vAlign w:val="center"/>
          </w:tcPr>
          <w:p w14:paraId="4A86F3E1" w14:textId="77777777" w:rsidR="0057163C" w:rsidRPr="00170422" w:rsidRDefault="00F37BF9">
            <w:pPr>
              <w:pStyle w:val="P68B1DB1-Normal121"/>
              <w:spacing w:after="0" w:line="240" w:lineRule="auto"/>
              <w:rPr>
                <w:noProof/>
                <w:lang w:val="de-DE"/>
              </w:rPr>
            </w:pPr>
            <w:r w:rsidRPr="00170422">
              <w:rPr>
                <w:noProof/>
                <w:lang w:val="de-DE"/>
              </w:rPr>
              <w:t>Investition 3.2: Schule 4.0: innovative Schulen, Verkabelung, neue Klassenzimmer und Workshops</w:t>
            </w:r>
          </w:p>
        </w:tc>
        <w:tc>
          <w:tcPr>
            <w:tcW w:w="2268" w:type="dxa"/>
            <w:shd w:val="clear" w:color="auto" w:fill="C6EFCE"/>
            <w:tcMar>
              <w:left w:w="108" w:type="dxa"/>
              <w:right w:w="108" w:type="dxa"/>
            </w:tcMar>
            <w:vAlign w:val="center"/>
          </w:tcPr>
          <w:p w14:paraId="3646EA69" w14:textId="77777777" w:rsidR="0057163C" w:rsidRPr="00170422" w:rsidRDefault="00F37BF9">
            <w:pPr>
              <w:pStyle w:val="P68B1DB1-Normal121"/>
              <w:spacing w:after="0" w:line="240" w:lineRule="auto"/>
              <w:jc w:val="center"/>
              <w:rPr>
                <w:noProof/>
                <w:lang w:val="de-DE"/>
              </w:rPr>
            </w:pPr>
            <w:r w:rsidRPr="00170422">
              <w:rPr>
                <w:noProof/>
                <w:lang w:val="de-DE"/>
              </w:rPr>
              <w:t>Meil</w:t>
            </w:r>
            <w:r w:rsidRPr="00170422">
              <w:rPr>
                <w:noProof/>
                <w:lang w:val="de-DE"/>
              </w:rPr>
              <w:t>enstein</w:t>
            </w:r>
          </w:p>
        </w:tc>
        <w:tc>
          <w:tcPr>
            <w:tcW w:w="3559" w:type="dxa"/>
            <w:shd w:val="clear" w:color="auto" w:fill="C6EFCE"/>
            <w:tcMar>
              <w:left w:w="108" w:type="dxa"/>
              <w:right w:w="108" w:type="dxa"/>
            </w:tcMar>
            <w:vAlign w:val="center"/>
          </w:tcPr>
          <w:p w14:paraId="599B98A8" w14:textId="77777777" w:rsidR="0057163C" w:rsidRPr="00170422" w:rsidRDefault="00F37BF9">
            <w:pPr>
              <w:pStyle w:val="P68B1DB1-Normal121"/>
              <w:spacing w:after="0" w:line="240" w:lineRule="auto"/>
              <w:rPr>
                <w:noProof/>
                <w:lang w:val="de-DE"/>
              </w:rPr>
            </w:pPr>
            <w:r w:rsidRPr="00170422">
              <w:rPr>
                <w:noProof/>
                <w:lang w:val="de-DE"/>
              </w:rPr>
              <w:t>Annahme des Beschlusses/der Beschlüsse über die Gewährung einer Finanzhilfe für den Erwerb digitaler Geräte und/oder die Einrichtung digitaler Laboratorien</w:t>
            </w:r>
          </w:p>
        </w:tc>
      </w:tr>
      <w:tr w:rsidR="0057163C" w:rsidRPr="00170422" w14:paraId="7128613E" w14:textId="77777777" w:rsidTr="00A400C5">
        <w:trPr>
          <w:trHeight w:val="300"/>
        </w:trPr>
        <w:tc>
          <w:tcPr>
            <w:tcW w:w="1434" w:type="dxa"/>
            <w:shd w:val="clear" w:color="auto" w:fill="C6EFCE"/>
            <w:tcMar>
              <w:left w:w="108" w:type="dxa"/>
              <w:right w:w="108" w:type="dxa"/>
            </w:tcMar>
            <w:vAlign w:val="center"/>
          </w:tcPr>
          <w:p w14:paraId="41B1A6C0" w14:textId="77777777" w:rsidR="0057163C" w:rsidRPr="00170422" w:rsidRDefault="00F37BF9">
            <w:pPr>
              <w:pStyle w:val="P68B1DB1-Normal121"/>
              <w:spacing w:after="0" w:line="240" w:lineRule="auto"/>
              <w:jc w:val="center"/>
              <w:rPr>
                <w:noProof/>
                <w:lang w:val="de-DE"/>
              </w:rPr>
            </w:pPr>
            <w:r w:rsidRPr="00170422">
              <w:rPr>
                <w:noProof/>
                <w:lang w:val="de-DE"/>
              </w:rPr>
              <w:t>M1C1-98bis</w:t>
            </w:r>
          </w:p>
        </w:tc>
        <w:tc>
          <w:tcPr>
            <w:tcW w:w="2098" w:type="dxa"/>
            <w:shd w:val="clear" w:color="auto" w:fill="C6EFCE"/>
            <w:tcMar>
              <w:left w:w="108" w:type="dxa"/>
              <w:right w:w="108" w:type="dxa"/>
            </w:tcMar>
            <w:vAlign w:val="center"/>
          </w:tcPr>
          <w:p w14:paraId="5756E559"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3BA959C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6AE51375" w14:textId="77777777" w:rsidR="0057163C" w:rsidRPr="00170422" w:rsidRDefault="00F37BF9">
            <w:pPr>
              <w:pStyle w:val="P68B1DB1-Normal121"/>
              <w:spacing w:after="0" w:line="240" w:lineRule="auto"/>
              <w:rPr>
                <w:noProof/>
                <w:lang w:val="de-DE"/>
              </w:rPr>
            </w:pPr>
            <w:r w:rsidRPr="00170422">
              <w:rPr>
                <w:noProof/>
                <w:lang w:val="de-DE"/>
              </w:rPr>
              <w:t>Beamte, die im Rahmen der Professionalisierungsstrategie für öffentliche Auftraggeber geschult wurden</w:t>
            </w:r>
          </w:p>
        </w:tc>
      </w:tr>
      <w:tr w:rsidR="0057163C" w:rsidRPr="00170422" w14:paraId="2F4FD992" w14:textId="77777777" w:rsidTr="00A400C5">
        <w:trPr>
          <w:trHeight w:val="300"/>
        </w:trPr>
        <w:tc>
          <w:tcPr>
            <w:tcW w:w="1434" w:type="dxa"/>
            <w:shd w:val="clear" w:color="auto" w:fill="C6EFCE"/>
            <w:tcMar>
              <w:left w:w="108" w:type="dxa"/>
              <w:right w:w="108" w:type="dxa"/>
            </w:tcMar>
            <w:vAlign w:val="center"/>
          </w:tcPr>
          <w:p w14:paraId="35277D89"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8" w:type="dxa"/>
            <w:shd w:val="clear" w:color="auto" w:fill="C6EFCE"/>
            <w:tcMar>
              <w:left w:w="108" w:type="dxa"/>
              <w:right w:w="108" w:type="dxa"/>
            </w:tcMar>
            <w:vAlign w:val="center"/>
          </w:tcPr>
          <w:p w14:paraId="4707CDE8"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11730EA8"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9" w:type="dxa"/>
            <w:shd w:val="clear" w:color="auto" w:fill="C6EFCE"/>
            <w:tcMar>
              <w:left w:w="108" w:type="dxa"/>
              <w:right w:w="108" w:type="dxa"/>
            </w:tcMar>
            <w:vAlign w:val="center"/>
          </w:tcPr>
          <w:p w14:paraId="0606008D"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3541589877 EUR</w:t>
            </w:r>
            <w:r w:rsidRPr="00170422">
              <w:rPr>
                <w:noProof/>
                <w:sz w:val="23"/>
                <w:szCs w:val="23"/>
                <w:lang w:val="de-DE"/>
              </w:rPr>
              <w:t xml:space="preserve">  </w:t>
            </w:r>
          </w:p>
        </w:tc>
      </w:tr>
    </w:tbl>
    <w:p w14:paraId="1BF89750" w14:textId="15E53BD8" w:rsidR="00A400C5" w:rsidRPr="00170422" w:rsidRDefault="00A400C5">
      <w:pPr>
        <w:rPr>
          <w:rFonts w:ascii="Times New Roman" w:eastAsia="Times New Roman" w:hAnsi="Times New Roman" w:cs="Times New Roman"/>
          <w:noProof/>
          <w:lang w:val="de-DE"/>
        </w:rPr>
      </w:pPr>
    </w:p>
    <w:p w14:paraId="163591BB" w14:textId="77777777" w:rsidR="00A400C5" w:rsidRPr="00170422" w:rsidRDefault="00A400C5">
      <w:pPr>
        <w:rPr>
          <w:rFonts w:ascii="Times New Roman" w:eastAsia="Times New Roman" w:hAnsi="Times New Roman" w:cs="Times New Roman"/>
          <w:noProof/>
          <w:lang w:val="de-DE"/>
        </w:rPr>
      </w:pPr>
      <w:r w:rsidRPr="00170422">
        <w:rPr>
          <w:rFonts w:ascii="Times New Roman" w:eastAsia="Times New Roman" w:hAnsi="Times New Roman" w:cs="Times New Roman"/>
          <w:noProof/>
          <w:lang w:val="de-DE"/>
        </w:rPr>
        <w:br w:type="page"/>
      </w:r>
    </w:p>
    <w:p w14:paraId="2AD19847"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Neunte Tranche (nicht rückzahlbare Unterstützung):</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097"/>
        <w:gridCol w:w="2268"/>
        <w:gridCol w:w="3559"/>
      </w:tblGrid>
      <w:tr w:rsidR="0057163C" w:rsidRPr="00170422" w14:paraId="5987E9DB" w14:textId="77777777" w:rsidTr="00A400C5">
        <w:trPr>
          <w:trHeight w:val="1425"/>
          <w:tblHeader/>
        </w:trPr>
        <w:tc>
          <w:tcPr>
            <w:tcW w:w="1435" w:type="dxa"/>
            <w:shd w:val="clear" w:color="auto" w:fill="BDD7EE"/>
            <w:tcMar>
              <w:left w:w="108" w:type="dxa"/>
              <w:right w:w="108" w:type="dxa"/>
            </w:tcMar>
            <w:vAlign w:val="center"/>
          </w:tcPr>
          <w:p w14:paraId="45CBA8D2"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097" w:type="dxa"/>
            <w:shd w:val="clear" w:color="auto" w:fill="BDD7EE"/>
            <w:tcMar>
              <w:left w:w="108" w:type="dxa"/>
              <w:right w:w="108" w:type="dxa"/>
            </w:tcMar>
            <w:vAlign w:val="center"/>
          </w:tcPr>
          <w:p w14:paraId="31184FA4" w14:textId="77777777" w:rsidR="0057163C" w:rsidRPr="00170422" w:rsidRDefault="00F37BF9">
            <w:pPr>
              <w:pStyle w:val="P68B1DB1-Normal120"/>
              <w:spacing w:after="0" w:line="240" w:lineRule="auto"/>
              <w:jc w:val="center"/>
              <w:rPr>
                <w:noProof/>
                <w:lang w:val="de-DE"/>
              </w:rPr>
            </w:pPr>
            <w:r w:rsidRPr="00170422">
              <w:rPr>
                <w:noProof/>
                <w:lang w:val="de-DE"/>
              </w:rPr>
              <w:t xml:space="preserve">Verbundene Maßnahme (Reform oder </w:t>
            </w:r>
            <w:r w:rsidRPr="00170422">
              <w:rPr>
                <w:noProof/>
                <w:lang w:val="de-DE"/>
              </w:rPr>
              <w:t>Investition)</w:t>
            </w:r>
          </w:p>
        </w:tc>
        <w:tc>
          <w:tcPr>
            <w:tcW w:w="2268" w:type="dxa"/>
            <w:shd w:val="clear" w:color="auto" w:fill="BDD7EE"/>
            <w:tcMar>
              <w:left w:w="108" w:type="dxa"/>
              <w:right w:w="108" w:type="dxa"/>
            </w:tcMar>
            <w:vAlign w:val="center"/>
          </w:tcPr>
          <w:p w14:paraId="0CB407C5"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9" w:type="dxa"/>
            <w:shd w:val="clear" w:color="auto" w:fill="BDD7EE"/>
            <w:tcMar>
              <w:left w:w="108" w:type="dxa"/>
              <w:right w:w="108" w:type="dxa"/>
            </w:tcMar>
            <w:vAlign w:val="center"/>
          </w:tcPr>
          <w:p w14:paraId="719AC517"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5C129F7B" w14:textId="77777777" w:rsidTr="00A400C5">
        <w:trPr>
          <w:trHeight w:val="300"/>
        </w:trPr>
        <w:tc>
          <w:tcPr>
            <w:tcW w:w="1435" w:type="dxa"/>
            <w:shd w:val="clear" w:color="auto" w:fill="C6EFCE"/>
            <w:tcMar>
              <w:left w:w="108" w:type="dxa"/>
              <w:right w:w="108" w:type="dxa"/>
            </w:tcMar>
            <w:vAlign w:val="center"/>
          </w:tcPr>
          <w:p w14:paraId="4E2362FB" w14:textId="77777777" w:rsidR="0057163C" w:rsidRPr="00170422" w:rsidRDefault="00F37BF9">
            <w:pPr>
              <w:pStyle w:val="P68B1DB1-Normal121"/>
              <w:spacing w:after="0" w:line="240" w:lineRule="auto"/>
              <w:jc w:val="center"/>
              <w:rPr>
                <w:noProof/>
                <w:lang w:val="de-DE"/>
              </w:rPr>
            </w:pPr>
            <w:r w:rsidRPr="00170422">
              <w:rPr>
                <w:noProof/>
                <w:lang w:val="de-DE"/>
              </w:rPr>
              <w:t>M4C1-7</w:t>
            </w:r>
          </w:p>
        </w:tc>
        <w:tc>
          <w:tcPr>
            <w:tcW w:w="2097" w:type="dxa"/>
            <w:shd w:val="clear" w:color="auto" w:fill="C6EFCE"/>
            <w:tcMar>
              <w:left w:w="108" w:type="dxa"/>
              <w:right w:w="108" w:type="dxa"/>
            </w:tcMar>
            <w:vAlign w:val="center"/>
          </w:tcPr>
          <w:p w14:paraId="3E990AA7" w14:textId="77777777" w:rsidR="0057163C" w:rsidRPr="00170422" w:rsidRDefault="00F37BF9">
            <w:pPr>
              <w:pStyle w:val="P68B1DB1-Normal121"/>
              <w:spacing w:after="0" w:line="240" w:lineRule="auto"/>
              <w:rPr>
                <w:noProof/>
                <w:lang w:val="de-DE"/>
              </w:rPr>
            </w:pPr>
            <w:r w:rsidRPr="00170422">
              <w:rPr>
                <w:noProof/>
                <w:lang w:val="de-DE"/>
              </w:rPr>
              <w:t>Investition 1.4: Außerordentliche Maßnahmen zur Verringerung der territorialen Unterschiede in den I- und II-Zyklen der Sekundarschulen und zur Bekämpfung des Schulabbruchs</w:t>
            </w:r>
          </w:p>
        </w:tc>
        <w:tc>
          <w:tcPr>
            <w:tcW w:w="2268" w:type="dxa"/>
            <w:shd w:val="clear" w:color="auto" w:fill="C6EFCE"/>
            <w:tcMar>
              <w:left w:w="108" w:type="dxa"/>
              <w:right w:w="108" w:type="dxa"/>
            </w:tcMar>
            <w:vAlign w:val="center"/>
          </w:tcPr>
          <w:p w14:paraId="103A8FD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1AD2FE1" w14:textId="63AE24F5" w:rsidR="0057163C" w:rsidRPr="00170422" w:rsidRDefault="00F37BF9">
            <w:pPr>
              <w:pStyle w:val="P68B1DB1-Normal121"/>
              <w:spacing w:after="0" w:line="240" w:lineRule="auto"/>
              <w:rPr>
                <w:noProof/>
                <w:lang w:val="de-DE"/>
              </w:rPr>
            </w:pPr>
            <w:r w:rsidRPr="00170422">
              <w:rPr>
                <w:noProof/>
                <w:lang w:val="de-DE"/>
              </w:rPr>
              <w:t xml:space="preserve">Studierende oder junge </w:t>
            </w:r>
            <w:r w:rsidRPr="00170422">
              <w:rPr>
                <w:noProof/>
                <w:lang w:val="de-DE"/>
              </w:rPr>
              <w:t>Menschen, die an Mentoring-Aktivitäten oder Schulungen teilgenommen haben</w:t>
            </w:r>
          </w:p>
        </w:tc>
      </w:tr>
      <w:tr w:rsidR="0057163C" w:rsidRPr="00170422" w14:paraId="00E93C63" w14:textId="77777777" w:rsidTr="00A400C5">
        <w:trPr>
          <w:trHeight w:val="300"/>
        </w:trPr>
        <w:tc>
          <w:tcPr>
            <w:tcW w:w="1435" w:type="dxa"/>
            <w:shd w:val="clear" w:color="auto" w:fill="C6EFCE"/>
            <w:tcMar>
              <w:left w:w="108" w:type="dxa"/>
              <w:right w:w="108" w:type="dxa"/>
            </w:tcMar>
            <w:vAlign w:val="center"/>
          </w:tcPr>
          <w:p w14:paraId="517D1C3B" w14:textId="77777777" w:rsidR="0057163C" w:rsidRPr="00170422" w:rsidRDefault="00F37BF9">
            <w:pPr>
              <w:pStyle w:val="P68B1DB1-Normal121"/>
              <w:spacing w:after="0" w:line="240" w:lineRule="auto"/>
              <w:jc w:val="center"/>
              <w:rPr>
                <w:noProof/>
                <w:lang w:val="de-DE"/>
              </w:rPr>
            </w:pPr>
            <w:r w:rsidRPr="00170422">
              <w:rPr>
                <w:noProof/>
                <w:lang w:val="de-DE"/>
              </w:rPr>
              <w:t>M4C1-14 bis</w:t>
            </w:r>
          </w:p>
        </w:tc>
        <w:tc>
          <w:tcPr>
            <w:tcW w:w="2097" w:type="dxa"/>
            <w:shd w:val="clear" w:color="auto" w:fill="C6EFCE"/>
            <w:tcMar>
              <w:left w:w="108" w:type="dxa"/>
              <w:right w:w="108" w:type="dxa"/>
            </w:tcMar>
            <w:vAlign w:val="center"/>
          </w:tcPr>
          <w:p w14:paraId="47B0E883" w14:textId="77777777" w:rsidR="0057163C" w:rsidRPr="00170422" w:rsidRDefault="00F37BF9">
            <w:pPr>
              <w:pStyle w:val="P68B1DB1-Normal121"/>
              <w:spacing w:after="0" w:line="240" w:lineRule="auto"/>
              <w:rPr>
                <w:noProof/>
                <w:lang w:val="de-DE"/>
              </w:rPr>
            </w:pPr>
            <w:r w:rsidRPr="00170422">
              <w:rPr>
                <w:noProof/>
                <w:lang w:val="de-DE"/>
              </w:rPr>
              <w:t xml:space="preserve">Reform 2.1: Einstellung von Lehrkräften   </w:t>
            </w:r>
          </w:p>
        </w:tc>
        <w:tc>
          <w:tcPr>
            <w:tcW w:w="2268" w:type="dxa"/>
            <w:shd w:val="clear" w:color="auto" w:fill="C6EFCE"/>
            <w:tcMar>
              <w:left w:w="108" w:type="dxa"/>
              <w:right w:w="108" w:type="dxa"/>
            </w:tcMar>
            <w:vAlign w:val="center"/>
          </w:tcPr>
          <w:p w14:paraId="68D4C4B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58B026F" w14:textId="77777777" w:rsidR="0057163C" w:rsidRPr="00170422" w:rsidRDefault="00F37BF9">
            <w:pPr>
              <w:pStyle w:val="P68B1DB1-Normal121"/>
              <w:spacing w:after="0" w:line="240" w:lineRule="auto"/>
              <w:rPr>
                <w:noProof/>
                <w:lang w:val="de-DE"/>
              </w:rPr>
            </w:pPr>
            <w:r w:rsidRPr="00170422">
              <w:rPr>
                <w:noProof/>
                <w:lang w:val="de-DE"/>
              </w:rPr>
              <w:t>Mit dem reformierten Einstellungssystem eingestellte Lehrkräfte</w:t>
            </w:r>
          </w:p>
        </w:tc>
      </w:tr>
      <w:tr w:rsidR="0057163C" w:rsidRPr="00170422" w14:paraId="0BF79147" w14:textId="77777777" w:rsidTr="00A400C5">
        <w:trPr>
          <w:trHeight w:val="300"/>
        </w:trPr>
        <w:tc>
          <w:tcPr>
            <w:tcW w:w="1435" w:type="dxa"/>
            <w:shd w:val="clear" w:color="auto" w:fill="C6EFCE"/>
            <w:tcMar>
              <w:left w:w="108" w:type="dxa"/>
              <w:right w:w="108" w:type="dxa"/>
            </w:tcMar>
            <w:vAlign w:val="center"/>
          </w:tcPr>
          <w:p w14:paraId="0EBE5033" w14:textId="77777777" w:rsidR="0057163C" w:rsidRPr="00170422" w:rsidRDefault="00F37BF9">
            <w:pPr>
              <w:pStyle w:val="P68B1DB1-Normal121"/>
              <w:spacing w:after="0" w:line="240" w:lineRule="auto"/>
              <w:jc w:val="center"/>
              <w:rPr>
                <w:noProof/>
                <w:lang w:val="de-DE"/>
              </w:rPr>
            </w:pPr>
            <w:r w:rsidRPr="00170422">
              <w:rPr>
                <w:noProof/>
                <w:lang w:val="de-DE"/>
              </w:rPr>
              <w:t>M7-6</w:t>
            </w:r>
          </w:p>
        </w:tc>
        <w:tc>
          <w:tcPr>
            <w:tcW w:w="2097" w:type="dxa"/>
            <w:shd w:val="clear" w:color="auto" w:fill="C6EFCE"/>
            <w:tcMar>
              <w:left w:w="108" w:type="dxa"/>
              <w:right w:w="108" w:type="dxa"/>
            </w:tcMar>
            <w:vAlign w:val="center"/>
          </w:tcPr>
          <w:p w14:paraId="36176AC7" w14:textId="77777777" w:rsidR="0057163C" w:rsidRPr="00170422" w:rsidRDefault="00F37BF9">
            <w:pPr>
              <w:pStyle w:val="P68B1DB1-Normal121"/>
              <w:spacing w:after="0" w:line="240" w:lineRule="auto"/>
              <w:rPr>
                <w:noProof/>
                <w:lang w:val="de-DE"/>
              </w:rPr>
            </w:pPr>
            <w:r w:rsidRPr="00170422">
              <w:rPr>
                <w:noProof/>
                <w:lang w:val="de-DE"/>
              </w:rPr>
              <w:t xml:space="preserve">Reform 3: Senkung der Kosten für den Anschluss an </w:t>
            </w:r>
            <w:r w:rsidRPr="00170422">
              <w:rPr>
                <w:noProof/>
                <w:lang w:val="de-DE"/>
              </w:rPr>
              <w:t>das Biomethan-Gasnetz</w:t>
            </w:r>
          </w:p>
        </w:tc>
        <w:tc>
          <w:tcPr>
            <w:tcW w:w="2268" w:type="dxa"/>
            <w:shd w:val="clear" w:color="auto" w:fill="C6EFCE"/>
            <w:tcMar>
              <w:left w:w="108" w:type="dxa"/>
              <w:right w:w="108" w:type="dxa"/>
            </w:tcMar>
            <w:vAlign w:val="center"/>
          </w:tcPr>
          <w:p w14:paraId="3B6826C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5A37CCD" w14:textId="77777777" w:rsidR="0057163C" w:rsidRPr="00170422" w:rsidRDefault="00F37BF9">
            <w:pPr>
              <w:pStyle w:val="P68B1DB1-Normal121"/>
              <w:spacing w:after="0" w:line="240" w:lineRule="auto"/>
              <w:rPr>
                <w:noProof/>
                <w:lang w:val="de-DE"/>
              </w:rPr>
            </w:pPr>
            <w:r w:rsidRPr="00170422">
              <w:rPr>
                <w:noProof/>
                <w:lang w:val="de-DE"/>
              </w:rPr>
              <w:t xml:space="preserve">Inkrafttreten von Rechtsvorschriften zur Senkung der Kosten für den Anschluss von Anlagen zur Erzeugung von Biomethan an das Gasnetz </w:t>
            </w:r>
          </w:p>
        </w:tc>
      </w:tr>
      <w:tr w:rsidR="0057163C" w:rsidRPr="00170422" w14:paraId="7EBACB58" w14:textId="77777777" w:rsidTr="00A400C5">
        <w:trPr>
          <w:trHeight w:val="300"/>
        </w:trPr>
        <w:tc>
          <w:tcPr>
            <w:tcW w:w="1435" w:type="dxa"/>
            <w:shd w:val="clear" w:color="auto" w:fill="C6EFCE"/>
            <w:tcMar>
              <w:left w:w="108" w:type="dxa"/>
              <w:right w:w="108" w:type="dxa"/>
            </w:tcMar>
            <w:vAlign w:val="center"/>
          </w:tcPr>
          <w:p w14:paraId="338D0B3D" w14:textId="77777777" w:rsidR="0057163C" w:rsidRPr="00170422" w:rsidRDefault="00F37BF9">
            <w:pPr>
              <w:pStyle w:val="P68B1DB1-Normal121"/>
              <w:spacing w:after="0" w:line="240" w:lineRule="auto"/>
              <w:jc w:val="center"/>
              <w:rPr>
                <w:noProof/>
                <w:lang w:val="de-DE"/>
              </w:rPr>
            </w:pPr>
            <w:r w:rsidRPr="00170422">
              <w:rPr>
                <w:noProof/>
                <w:lang w:val="de-DE"/>
              </w:rPr>
              <w:t>M7-10</w:t>
            </w:r>
          </w:p>
        </w:tc>
        <w:tc>
          <w:tcPr>
            <w:tcW w:w="2097" w:type="dxa"/>
            <w:shd w:val="clear" w:color="auto" w:fill="C6EFCE"/>
            <w:tcMar>
              <w:left w:w="108" w:type="dxa"/>
              <w:right w:w="108" w:type="dxa"/>
            </w:tcMar>
            <w:vAlign w:val="center"/>
          </w:tcPr>
          <w:p w14:paraId="44F4F0B6" w14:textId="77777777" w:rsidR="0057163C" w:rsidRPr="00170422" w:rsidRDefault="00F37BF9">
            <w:pPr>
              <w:pStyle w:val="P68B1DB1-Normal121"/>
              <w:spacing w:after="0" w:line="240" w:lineRule="auto"/>
              <w:rPr>
                <w:noProof/>
                <w:lang w:val="de-DE"/>
              </w:rPr>
            </w:pPr>
            <w:r w:rsidRPr="00170422">
              <w:rPr>
                <w:noProof/>
                <w:lang w:val="de-DE"/>
              </w:rPr>
              <w:t>Reform 5: Plan für neue Kompetenzen – Übergänge</w:t>
            </w:r>
          </w:p>
        </w:tc>
        <w:tc>
          <w:tcPr>
            <w:tcW w:w="2268" w:type="dxa"/>
            <w:shd w:val="clear" w:color="auto" w:fill="C6EFCE"/>
            <w:tcMar>
              <w:left w:w="108" w:type="dxa"/>
              <w:right w:w="108" w:type="dxa"/>
            </w:tcMar>
            <w:vAlign w:val="center"/>
          </w:tcPr>
          <w:p w14:paraId="03C34FE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6DC5BCD" w14:textId="77777777" w:rsidR="0057163C" w:rsidRPr="00170422" w:rsidRDefault="00F37BF9">
            <w:pPr>
              <w:pStyle w:val="P68B1DB1-Normal121"/>
              <w:spacing w:after="0" w:line="240" w:lineRule="auto"/>
              <w:rPr>
                <w:noProof/>
                <w:lang w:val="de-DE"/>
              </w:rPr>
            </w:pPr>
            <w:r w:rsidRPr="00170422">
              <w:rPr>
                <w:noProof/>
                <w:lang w:val="de-DE"/>
              </w:rPr>
              <w:t xml:space="preserve">Inkrafttreten eines </w:t>
            </w:r>
            <w:r w:rsidRPr="00170422">
              <w:rPr>
                <w:noProof/>
                <w:lang w:val="de-DE"/>
              </w:rPr>
              <w:t>oder mehrerer Rechtsakte für Regionen und autonome Provinzen</w:t>
            </w:r>
          </w:p>
        </w:tc>
      </w:tr>
      <w:tr w:rsidR="0057163C" w:rsidRPr="00170422" w14:paraId="523E2AAC" w14:textId="77777777" w:rsidTr="00A400C5">
        <w:trPr>
          <w:trHeight w:val="300"/>
        </w:trPr>
        <w:tc>
          <w:tcPr>
            <w:tcW w:w="1435" w:type="dxa"/>
            <w:shd w:val="clear" w:color="auto" w:fill="C6EFCE"/>
            <w:tcMar>
              <w:left w:w="108" w:type="dxa"/>
              <w:right w:w="108" w:type="dxa"/>
            </w:tcMar>
            <w:vAlign w:val="center"/>
          </w:tcPr>
          <w:p w14:paraId="7CC7B713" w14:textId="77777777" w:rsidR="0057163C" w:rsidRPr="00170422" w:rsidRDefault="00F37BF9">
            <w:pPr>
              <w:pStyle w:val="P68B1DB1-Normal121"/>
              <w:spacing w:after="0" w:line="240" w:lineRule="auto"/>
              <w:jc w:val="center"/>
              <w:rPr>
                <w:noProof/>
                <w:lang w:val="de-DE"/>
              </w:rPr>
            </w:pPr>
            <w:r w:rsidRPr="00170422">
              <w:rPr>
                <w:noProof/>
                <w:lang w:val="de-DE"/>
              </w:rPr>
              <w:t>M1C1-24</w:t>
            </w:r>
          </w:p>
        </w:tc>
        <w:tc>
          <w:tcPr>
            <w:tcW w:w="2097" w:type="dxa"/>
            <w:shd w:val="clear" w:color="auto" w:fill="C6EFCE"/>
            <w:tcMar>
              <w:left w:w="108" w:type="dxa"/>
              <w:right w:w="108" w:type="dxa"/>
            </w:tcMar>
            <w:vAlign w:val="center"/>
          </w:tcPr>
          <w:p w14:paraId="14C74DBD" w14:textId="77777777" w:rsidR="0057163C" w:rsidRPr="00170422" w:rsidRDefault="00F37BF9">
            <w:pPr>
              <w:pStyle w:val="P68B1DB1-Normal121"/>
              <w:spacing w:after="0" w:line="240" w:lineRule="auto"/>
              <w:rPr>
                <w:noProof/>
                <w:lang w:val="de-DE"/>
              </w:rPr>
            </w:pPr>
            <w:r w:rsidRPr="00170422">
              <w:rPr>
                <w:noProof/>
                <w:lang w:val="de-DE"/>
              </w:rPr>
              <w:t>Investition 1.7.1: Digitaler öffentlicher Dienst</w:t>
            </w:r>
          </w:p>
        </w:tc>
        <w:tc>
          <w:tcPr>
            <w:tcW w:w="2268" w:type="dxa"/>
            <w:shd w:val="clear" w:color="auto" w:fill="C6EFCE"/>
            <w:tcMar>
              <w:left w:w="108" w:type="dxa"/>
              <w:right w:w="108" w:type="dxa"/>
            </w:tcMar>
            <w:vAlign w:val="center"/>
          </w:tcPr>
          <w:p w14:paraId="3CFE0CA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9371C1B" w14:textId="77777777" w:rsidR="0057163C" w:rsidRPr="00170422" w:rsidRDefault="00F37BF9">
            <w:pPr>
              <w:pStyle w:val="P68B1DB1-Normal121"/>
              <w:spacing w:after="0" w:line="240" w:lineRule="auto"/>
              <w:rPr>
                <w:noProof/>
                <w:lang w:val="de-DE"/>
              </w:rPr>
            </w:pPr>
            <w:r w:rsidRPr="00170422">
              <w:rPr>
                <w:noProof/>
                <w:lang w:val="de-DE"/>
              </w:rPr>
              <w:t xml:space="preserve">Die Freiwilligen werden geschult. </w:t>
            </w:r>
          </w:p>
        </w:tc>
      </w:tr>
      <w:tr w:rsidR="0057163C" w:rsidRPr="00170422" w14:paraId="36A855F5" w14:textId="77777777" w:rsidTr="00A400C5">
        <w:trPr>
          <w:trHeight w:val="300"/>
        </w:trPr>
        <w:tc>
          <w:tcPr>
            <w:tcW w:w="1435" w:type="dxa"/>
            <w:shd w:val="clear" w:color="auto" w:fill="C6EFCE"/>
            <w:tcMar>
              <w:left w:w="108" w:type="dxa"/>
              <w:right w:w="108" w:type="dxa"/>
            </w:tcMar>
            <w:vAlign w:val="center"/>
          </w:tcPr>
          <w:p w14:paraId="35F7F3DC" w14:textId="77777777" w:rsidR="0057163C" w:rsidRPr="00170422" w:rsidRDefault="00F37BF9">
            <w:pPr>
              <w:pStyle w:val="P68B1DB1-Normal121"/>
              <w:spacing w:after="0" w:line="240" w:lineRule="auto"/>
              <w:jc w:val="center"/>
              <w:rPr>
                <w:noProof/>
                <w:lang w:val="de-DE"/>
              </w:rPr>
            </w:pPr>
            <w:r w:rsidRPr="00170422">
              <w:rPr>
                <w:noProof/>
                <w:lang w:val="de-DE"/>
              </w:rPr>
              <w:t>M1C1-96</w:t>
            </w:r>
          </w:p>
        </w:tc>
        <w:tc>
          <w:tcPr>
            <w:tcW w:w="2097" w:type="dxa"/>
            <w:shd w:val="clear" w:color="auto" w:fill="C6EFCE"/>
            <w:tcMar>
              <w:left w:w="108" w:type="dxa"/>
              <w:right w:w="108" w:type="dxa"/>
            </w:tcMar>
            <w:vAlign w:val="center"/>
          </w:tcPr>
          <w:p w14:paraId="0452FD91" w14:textId="77777777" w:rsidR="0057163C" w:rsidRPr="00170422" w:rsidRDefault="00F37BF9">
            <w:pPr>
              <w:pStyle w:val="P68B1DB1-Normal121"/>
              <w:spacing w:after="0" w:line="240" w:lineRule="auto"/>
              <w:rPr>
                <w:noProof/>
                <w:lang w:val="de-DE"/>
              </w:rPr>
            </w:pPr>
            <w:r w:rsidRPr="00170422">
              <w:rPr>
                <w:noProof/>
                <w:lang w:val="de-DE"/>
              </w:rPr>
              <w:t>Reform 1.10: Reform des Rechtsrahmens für das öffentliche Auftragswesen</w:t>
            </w:r>
          </w:p>
        </w:tc>
        <w:tc>
          <w:tcPr>
            <w:tcW w:w="2268" w:type="dxa"/>
            <w:shd w:val="clear" w:color="auto" w:fill="C6EFCE"/>
            <w:tcMar>
              <w:left w:w="108" w:type="dxa"/>
              <w:right w:w="108" w:type="dxa"/>
            </w:tcMar>
            <w:vAlign w:val="center"/>
          </w:tcPr>
          <w:p w14:paraId="7ED6517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EFFCEAA" w14:textId="77777777" w:rsidR="0057163C" w:rsidRPr="00170422" w:rsidRDefault="00F37BF9">
            <w:pPr>
              <w:pStyle w:val="P68B1DB1-Normal121"/>
              <w:spacing w:after="0" w:line="240" w:lineRule="auto"/>
              <w:rPr>
                <w:noProof/>
                <w:lang w:val="de-DE"/>
              </w:rPr>
            </w:pPr>
            <w:r w:rsidRPr="00170422">
              <w:rPr>
                <w:noProof/>
                <w:lang w:val="de-DE"/>
              </w:rPr>
              <w:t>Durchschnittliche Zeitspanne zwischen der Einreichung der Angebote und der Auftragsvergabe</w:t>
            </w:r>
          </w:p>
        </w:tc>
      </w:tr>
      <w:tr w:rsidR="0057163C" w:rsidRPr="00170422" w14:paraId="64401748" w14:textId="77777777" w:rsidTr="00A400C5">
        <w:trPr>
          <w:trHeight w:val="300"/>
        </w:trPr>
        <w:tc>
          <w:tcPr>
            <w:tcW w:w="1435" w:type="dxa"/>
            <w:shd w:val="clear" w:color="auto" w:fill="C6EFCE"/>
            <w:tcMar>
              <w:left w:w="108" w:type="dxa"/>
              <w:right w:w="108" w:type="dxa"/>
            </w:tcMar>
            <w:vAlign w:val="center"/>
          </w:tcPr>
          <w:p w14:paraId="72F657C4" w14:textId="77777777" w:rsidR="0057163C" w:rsidRPr="00170422" w:rsidRDefault="00F37BF9">
            <w:pPr>
              <w:pStyle w:val="P68B1DB1-Normal121"/>
              <w:spacing w:after="0" w:line="240" w:lineRule="auto"/>
              <w:jc w:val="center"/>
              <w:rPr>
                <w:noProof/>
                <w:lang w:val="de-DE"/>
              </w:rPr>
            </w:pPr>
            <w:r w:rsidRPr="00170422">
              <w:rPr>
                <w:noProof/>
                <w:lang w:val="de-DE"/>
              </w:rPr>
              <w:t>M1C1-116</w:t>
            </w:r>
          </w:p>
        </w:tc>
        <w:tc>
          <w:tcPr>
            <w:tcW w:w="2097" w:type="dxa"/>
            <w:shd w:val="clear" w:color="auto" w:fill="C6EFCE"/>
            <w:tcMar>
              <w:left w:w="108" w:type="dxa"/>
              <w:right w:w="108" w:type="dxa"/>
            </w:tcMar>
            <w:vAlign w:val="center"/>
          </w:tcPr>
          <w:p w14:paraId="6F91EA25"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4BD075A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173EEE13" w14:textId="77777777" w:rsidR="0057163C" w:rsidRPr="00170422" w:rsidRDefault="00F37BF9">
            <w:pPr>
              <w:pStyle w:val="P68B1DB1-Normal121"/>
              <w:spacing w:after="0" w:line="240" w:lineRule="auto"/>
              <w:rPr>
                <w:noProof/>
                <w:lang w:val="de-DE"/>
              </w:rPr>
            </w:pPr>
            <w:r w:rsidRPr="00170422">
              <w:rPr>
                <w:noProof/>
                <w:lang w:val="de-DE"/>
              </w:rPr>
              <w:t>Verringerung der Steuerhinterziehung gemäß der Definition des Indikators „Gegenstand zur Umgehung“</w:t>
            </w:r>
          </w:p>
        </w:tc>
      </w:tr>
      <w:tr w:rsidR="0057163C" w:rsidRPr="00170422" w14:paraId="54BE4FB4" w14:textId="77777777" w:rsidTr="00A400C5">
        <w:trPr>
          <w:trHeight w:val="300"/>
        </w:trPr>
        <w:tc>
          <w:tcPr>
            <w:tcW w:w="1435" w:type="dxa"/>
            <w:shd w:val="clear" w:color="auto" w:fill="C6EFCE"/>
            <w:tcMar>
              <w:left w:w="108" w:type="dxa"/>
              <w:right w:w="108" w:type="dxa"/>
            </w:tcMar>
            <w:vAlign w:val="center"/>
          </w:tcPr>
          <w:p w14:paraId="09CA10D5" w14:textId="77777777" w:rsidR="0057163C" w:rsidRPr="00170422" w:rsidRDefault="00F37BF9">
            <w:pPr>
              <w:pStyle w:val="P68B1DB1-Normal121"/>
              <w:spacing w:after="0" w:line="240" w:lineRule="auto"/>
              <w:jc w:val="center"/>
              <w:rPr>
                <w:noProof/>
                <w:lang w:val="de-DE"/>
              </w:rPr>
            </w:pPr>
            <w:r w:rsidRPr="00170422">
              <w:rPr>
                <w:noProof/>
                <w:lang w:val="de-DE"/>
              </w:rPr>
              <w:t>M1C2-5</w:t>
            </w:r>
          </w:p>
        </w:tc>
        <w:tc>
          <w:tcPr>
            <w:tcW w:w="2097" w:type="dxa"/>
            <w:shd w:val="clear" w:color="auto" w:fill="C6EFCE"/>
            <w:tcMar>
              <w:left w:w="108" w:type="dxa"/>
              <w:right w:w="108" w:type="dxa"/>
            </w:tcMar>
            <w:vAlign w:val="center"/>
          </w:tcPr>
          <w:p w14:paraId="27F46F88" w14:textId="77777777" w:rsidR="0057163C" w:rsidRPr="00170422" w:rsidRDefault="00F37BF9">
            <w:pPr>
              <w:pStyle w:val="P68B1DB1-Normal121"/>
              <w:spacing w:after="0" w:line="240" w:lineRule="auto"/>
              <w:rPr>
                <w:noProof/>
                <w:lang w:val="de-DE"/>
              </w:rPr>
            </w:pPr>
            <w:r w:rsidRPr="00170422">
              <w:rPr>
                <w:noProof/>
                <w:lang w:val="de-DE"/>
              </w:rPr>
              <w:t>In</w:t>
            </w:r>
            <w:r w:rsidRPr="00170422">
              <w:rPr>
                <w:noProof/>
                <w:lang w:val="de-DE"/>
              </w:rPr>
              <w:t>vestition 6: Investitionen in das System des gewerblichen Eigentums</w:t>
            </w:r>
          </w:p>
        </w:tc>
        <w:tc>
          <w:tcPr>
            <w:tcW w:w="2268" w:type="dxa"/>
            <w:shd w:val="clear" w:color="auto" w:fill="C6EFCE"/>
            <w:tcMar>
              <w:left w:w="108" w:type="dxa"/>
              <w:right w:w="108" w:type="dxa"/>
            </w:tcMar>
            <w:vAlign w:val="center"/>
          </w:tcPr>
          <w:p w14:paraId="6767781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775FED8" w14:textId="77777777" w:rsidR="0057163C" w:rsidRPr="00170422" w:rsidRDefault="00F37BF9">
            <w:pPr>
              <w:pStyle w:val="P68B1DB1-Normal121"/>
              <w:spacing w:after="0" w:line="240" w:lineRule="auto"/>
              <w:rPr>
                <w:noProof/>
                <w:lang w:val="de-DE"/>
              </w:rPr>
            </w:pPr>
            <w:r w:rsidRPr="00170422">
              <w:rPr>
                <w:noProof/>
                <w:lang w:val="de-DE"/>
              </w:rPr>
              <w:t>Vorlage des abschließenden Tätigkeitsberichts für mindestens 254 Projekte im Zusammenhang mit gewerblichem Eigentum und Forschung</w:t>
            </w:r>
          </w:p>
        </w:tc>
      </w:tr>
      <w:tr w:rsidR="0057163C" w:rsidRPr="00170422" w14:paraId="36B45856" w14:textId="77777777" w:rsidTr="00A400C5">
        <w:trPr>
          <w:trHeight w:val="300"/>
        </w:trPr>
        <w:tc>
          <w:tcPr>
            <w:tcW w:w="1435" w:type="dxa"/>
            <w:shd w:val="clear" w:color="auto" w:fill="C6EFCE"/>
            <w:tcMar>
              <w:left w:w="108" w:type="dxa"/>
              <w:right w:w="108" w:type="dxa"/>
            </w:tcMar>
            <w:vAlign w:val="center"/>
          </w:tcPr>
          <w:p w14:paraId="24047ED0" w14:textId="77777777" w:rsidR="0057163C" w:rsidRPr="00170422" w:rsidRDefault="00F37BF9">
            <w:pPr>
              <w:pStyle w:val="P68B1DB1-Normal121"/>
              <w:spacing w:after="0" w:line="240" w:lineRule="auto"/>
              <w:jc w:val="center"/>
              <w:rPr>
                <w:noProof/>
                <w:lang w:val="de-DE"/>
              </w:rPr>
            </w:pPr>
            <w:r w:rsidRPr="00170422">
              <w:rPr>
                <w:noProof/>
                <w:lang w:val="de-DE"/>
              </w:rPr>
              <w:t>M1C2-13</w:t>
            </w:r>
          </w:p>
        </w:tc>
        <w:tc>
          <w:tcPr>
            <w:tcW w:w="2097" w:type="dxa"/>
            <w:shd w:val="clear" w:color="auto" w:fill="C6EFCE"/>
            <w:tcMar>
              <w:left w:w="108" w:type="dxa"/>
              <w:right w:w="108" w:type="dxa"/>
            </w:tcMar>
            <w:vAlign w:val="center"/>
          </w:tcPr>
          <w:p w14:paraId="5B81C3E8"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1C458D0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33FEEAE" w14:textId="77777777" w:rsidR="0057163C" w:rsidRPr="00170422" w:rsidRDefault="00F37BF9">
            <w:pPr>
              <w:pStyle w:val="P68B1DB1-Normal121"/>
              <w:spacing w:after="0" w:line="240" w:lineRule="auto"/>
              <w:rPr>
                <w:noProof/>
                <w:lang w:val="de-DE"/>
              </w:rPr>
            </w:pPr>
            <w:r w:rsidRPr="00170422">
              <w:rPr>
                <w:noProof/>
                <w:lang w:val="de-DE"/>
              </w:rPr>
              <w:t>Inkrafttreten des jährlichen Wettbewerbsgesetzes 2025</w:t>
            </w:r>
          </w:p>
        </w:tc>
      </w:tr>
      <w:tr w:rsidR="0057163C" w:rsidRPr="00170422" w14:paraId="29CFD46C" w14:textId="77777777" w:rsidTr="00A400C5">
        <w:trPr>
          <w:trHeight w:val="300"/>
        </w:trPr>
        <w:tc>
          <w:tcPr>
            <w:tcW w:w="1435" w:type="dxa"/>
            <w:shd w:val="clear" w:color="auto" w:fill="C6EFCE"/>
            <w:tcMar>
              <w:left w:w="108" w:type="dxa"/>
              <w:right w:w="108" w:type="dxa"/>
            </w:tcMar>
            <w:vAlign w:val="center"/>
          </w:tcPr>
          <w:p w14:paraId="3FADADE3" w14:textId="77777777" w:rsidR="0057163C" w:rsidRPr="00170422" w:rsidRDefault="00F37BF9">
            <w:pPr>
              <w:pStyle w:val="P68B1DB1-Normal121"/>
              <w:spacing w:after="0" w:line="240" w:lineRule="auto"/>
              <w:jc w:val="center"/>
              <w:rPr>
                <w:noProof/>
                <w:lang w:val="de-DE"/>
              </w:rPr>
            </w:pPr>
            <w:r w:rsidRPr="00170422">
              <w:rPr>
                <w:noProof/>
                <w:lang w:val="de-DE"/>
              </w:rPr>
              <w:t>M1C2-14</w:t>
            </w:r>
          </w:p>
        </w:tc>
        <w:tc>
          <w:tcPr>
            <w:tcW w:w="2097" w:type="dxa"/>
            <w:shd w:val="clear" w:color="auto" w:fill="C6EFCE"/>
            <w:tcMar>
              <w:left w:w="108" w:type="dxa"/>
              <w:right w:w="108" w:type="dxa"/>
            </w:tcMar>
            <w:vAlign w:val="center"/>
          </w:tcPr>
          <w:p w14:paraId="04F4C4B8"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3D2B85D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9BB198B" w14:textId="77777777" w:rsidR="0057163C" w:rsidRPr="00170422" w:rsidRDefault="00F37BF9">
            <w:pPr>
              <w:pStyle w:val="P68B1DB1-Normal121"/>
              <w:spacing w:after="0" w:line="240" w:lineRule="auto"/>
              <w:rPr>
                <w:noProof/>
                <w:lang w:val="de-DE"/>
              </w:rPr>
            </w:pPr>
            <w:r w:rsidRPr="00170422">
              <w:rPr>
                <w:noProof/>
                <w:lang w:val="de-DE"/>
              </w:rPr>
              <w:t>Einführung von Millionen intelligenter 2G-Messgeräte.</w:t>
            </w:r>
          </w:p>
        </w:tc>
      </w:tr>
      <w:tr w:rsidR="0057163C" w:rsidRPr="00170422" w14:paraId="3BAE8A5E" w14:textId="77777777" w:rsidTr="00A400C5">
        <w:trPr>
          <w:trHeight w:val="300"/>
        </w:trPr>
        <w:tc>
          <w:tcPr>
            <w:tcW w:w="1435" w:type="dxa"/>
            <w:shd w:val="clear" w:color="auto" w:fill="C6EFCE"/>
            <w:tcMar>
              <w:left w:w="108" w:type="dxa"/>
              <w:right w:w="108" w:type="dxa"/>
            </w:tcMar>
            <w:vAlign w:val="center"/>
          </w:tcPr>
          <w:p w14:paraId="2514EE6E" w14:textId="77777777" w:rsidR="0057163C" w:rsidRPr="00170422" w:rsidRDefault="00F37BF9">
            <w:pPr>
              <w:pStyle w:val="P68B1DB1-Normal121"/>
              <w:spacing w:after="0" w:line="240" w:lineRule="auto"/>
              <w:jc w:val="center"/>
              <w:rPr>
                <w:noProof/>
                <w:lang w:val="de-DE"/>
              </w:rPr>
            </w:pPr>
            <w:r w:rsidRPr="00170422">
              <w:rPr>
                <w:noProof/>
                <w:lang w:val="de-DE"/>
              </w:rPr>
              <w:t>M1C3-2</w:t>
            </w:r>
          </w:p>
        </w:tc>
        <w:tc>
          <w:tcPr>
            <w:tcW w:w="2097" w:type="dxa"/>
            <w:shd w:val="clear" w:color="auto" w:fill="C6EFCE"/>
            <w:tcMar>
              <w:left w:w="108" w:type="dxa"/>
              <w:right w:w="108" w:type="dxa"/>
            </w:tcMar>
            <w:vAlign w:val="center"/>
          </w:tcPr>
          <w:p w14:paraId="2F0BB878" w14:textId="77777777" w:rsidR="0057163C" w:rsidRPr="00170422" w:rsidRDefault="00F37BF9">
            <w:pPr>
              <w:pStyle w:val="P68B1DB1-Normal121"/>
              <w:spacing w:after="0" w:line="240" w:lineRule="auto"/>
              <w:rPr>
                <w:noProof/>
                <w:lang w:val="de-DE"/>
              </w:rPr>
            </w:pPr>
            <w:r w:rsidRPr="00170422">
              <w:rPr>
                <w:noProof/>
                <w:lang w:val="de-DE"/>
              </w:rPr>
              <w:t>Investitionen – 1.1 Digitale Strategie und Plattformen für das Kulturerbe</w:t>
            </w:r>
          </w:p>
        </w:tc>
        <w:tc>
          <w:tcPr>
            <w:tcW w:w="2268" w:type="dxa"/>
            <w:shd w:val="clear" w:color="auto" w:fill="C6EFCE"/>
            <w:tcMar>
              <w:left w:w="108" w:type="dxa"/>
              <w:right w:w="108" w:type="dxa"/>
            </w:tcMar>
            <w:vAlign w:val="center"/>
          </w:tcPr>
          <w:p w14:paraId="6FB0AA8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678A320A" w14:textId="77777777" w:rsidR="0057163C" w:rsidRPr="00170422" w:rsidRDefault="00F37BF9">
            <w:pPr>
              <w:pStyle w:val="P68B1DB1-Normal121"/>
              <w:spacing w:after="0" w:line="240" w:lineRule="auto"/>
              <w:rPr>
                <w:noProof/>
                <w:lang w:val="de-DE"/>
              </w:rPr>
            </w:pPr>
            <w:r w:rsidRPr="00170422">
              <w:rPr>
                <w:noProof/>
                <w:lang w:val="de-DE"/>
              </w:rPr>
              <w:t>Veröffentlichte digitale Ressourcen und Medienressourcen</w:t>
            </w:r>
          </w:p>
        </w:tc>
      </w:tr>
      <w:tr w:rsidR="0057163C" w:rsidRPr="00170422" w14:paraId="6076936A" w14:textId="77777777" w:rsidTr="00A400C5">
        <w:trPr>
          <w:trHeight w:val="300"/>
        </w:trPr>
        <w:tc>
          <w:tcPr>
            <w:tcW w:w="1435" w:type="dxa"/>
            <w:shd w:val="clear" w:color="auto" w:fill="C6EFCE"/>
            <w:tcMar>
              <w:left w:w="108" w:type="dxa"/>
              <w:right w:w="108" w:type="dxa"/>
            </w:tcMar>
            <w:vAlign w:val="center"/>
          </w:tcPr>
          <w:p w14:paraId="31FEFEBB" w14:textId="77777777" w:rsidR="0057163C" w:rsidRPr="00170422" w:rsidRDefault="00F37BF9">
            <w:pPr>
              <w:pStyle w:val="P68B1DB1-Normal121"/>
              <w:spacing w:after="0" w:line="240" w:lineRule="auto"/>
              <w:jc w:val="center"/>
              <w:rPr>
                <w:noProof/>
                <w:lang w:val="de-DE"/>
              </w:rPr>
            </w:pPr>
            <w:r w:rsidRPr="00170422">
              <w:rPr>
                <w:noProof/>
                <w:lang w:val="de-DE"/>
              </w:rPr>
              <w:t>M1C3-5</w:t>
            </w:r>
          </w:p>
        </w:tc>
        <w:tc>
          <w:tcPr>
            <w:tcW w:w="2097" w:type="dxa"/>
            <w:shd w:val="clear" w:color="auto" w:fill="C6EFCE"/>
            <w:tcMar>
              <w:left w:w="108" w:type="dxa"/>
              <w:right w:w="108" w:type="dxa"/>
            </w:tcMar>
            <w:vAlign w:val="center"/>
          </w:tcPr>
          <w:p w14:paraId="1E7F29D2" w14:textId="77777777" w:rsidR="0057163C" w:rsidRPr="00170422" w:rsidRDefault="00F37BF9">
            <w:pPr>
              <w:pStyle w:val="P68B1DB1-Normal121"/>
              <w:spacing w:after="0" w:line="240" w:lineRule="auto"/>
              <w:rPr>
                <w:noProof/>
                <w:lang w:val="de-DE"/>
              </w:rPr>
            </w:pPr>
            <w:r w:rsidRPr="00170422">
              <w:rPr>
                <w:noProof/>
                <w:lang w:val="de-DE"/>
              </w:rPr>
              <w:t>Investitionen – 1.3 Verbesserung der Energieeffizienz in Kinos, Theatern und Museen</w:t>
            </w:r>
          </w:p>
        </w:tc>
        <w:tc>
          <w:tcPr>
            <w:tcW w:w="2268" w:type="dxa"/>
            <w:shd w:val="clear" w:color="auto" w:fill="C6EFCE"/>
            <w:tcMar>
              <w:left w:w="108" w:type="dxa"/>
              <w:right w:w="108" w:type="dxa"/>
            </w:tcMar>
            <w:vAlign w:val="center"/>
          </w:tcPr>
          <w:p w14:paraId="0F74279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620B96D" w14:textId="77777777" w:rsidR="0057163C" w:rsidRPr="00170422" w:rsidRDefault="00F37BF9">
            <w:pPr>
              <w:pStyle w:val="P68B1DB1-Normal121"/>
              <w:spacing w:after="0" w:line="240" w:lineRule="auto"/>
              <w:rPr>
                <w:noProof/>
                <w:lang w:val="de-DE"/>
              </w:rPr>
            </w:pPr>
            <w:r w:rsidRPr="00170422">
              <w:rPr>
                <w:noProof/>
                <w:lang w:val="de-DE"/>
              </w:rPr>
              <w:t>Abschluss der Interventionen in staatlichen Museen und Kulturstätten, Theaterhallen und Kinos (zw</w:t>
            </w:r>
            <w:r w:rsidRPr="00170422">
              <w:rPr>
                <w:noProof/>
                <w:lang w:val="de-DE"/>
              </w:rPr>
              <w:t>eite Serie)</w:t>
            </w:r>
          </w:p>
        </w:tc>
      </w:tr>
      <w:tr w:rsidR="0057163C" w:rsidRPr="00170422" w14:paraId="3090BDC5" w14:textId="77777777" w:rsidTr="00A400C5">
        <w:trPr>
          <w:trHeight w:val="300"/>
        </w:trPr>
        <w:tc>
          <w:tcPr>
            <w:tcW w:w="1435" w:type="dxa"/>
            <w:shd w:val="clear" w:color="auto" w:fill="C6EFCE"/>
            <w:tcMar>
              <w:left w:w="108" w:type="dxa"/>
              <w:right w:w="108" w:type="dxa"/>
            </w:tcMar>
            <w:vAlign w:val="center"/>
          </w:tcPr>
          <w:p w14:paraId="40023D6C" w14:textId="77777777" w:rsidR="0057163C" w:rsidRPr="00170422" w:rsidRDefault="00F37BF9">
            <w:pPr>
              <w:pStyle w:val="P68B1DB1-Normal121"/>
              <w:spacing w:after="0" w:line="240" w:lineRule="auto"/>
              <w:jc w:val="center"/>
              <w:rPr>
                <w:noProof/>
                <w:lang w:val="de-DE"/>
              </w:rPr>
            </w:pPr>
            <w:r w:rsidRPr="00170422">
              <w:rPr>
                <w:noProof/>
                <w:lang w:val="de-DE"/>
              </w:rPr>
              <w:t>M2C3-3</w:t>
            </w:r>
          </w:p>
        </w:tc>
        <w:tc>
          <w:tcPr>
            <w:tcW w:w="2097" w:type="dxa"/>
            <w:shd w:val="clear" w:color="auto" w:fill="C6EFCE"/>
            <w:tcMar>
              <w:left w:w="108" w:type="dxa"/>
              <w:right w:w="108" w:type="dxa"/>
            </w:tcMar>
            <w:vAlign w:val="center"/>
          </w:tcPr>
          <w:p w14:paraId="30FB3200" w14:textId="77777777" w:rsidR="0057163C" w:rsidRPr="00170422" w:rsidRDefault="00F37BF9">
            <w:pPr>
              <w:pStyle w:val="P68B1DB1-Normal121"/>
              <w:spacing w:after="0" w:line="240" w:lineRule="auto"/>
              <w:rPr>
                <w:noProof/>
                <w:lang w:val="de-DE"/>
              </w:rPr>
            </w:pPr>
            <w:r w:rsidRPr="00170422">
              <w:rPr>
                <w:noProof/>
                <w:lang w:val="de-DE"/>
              </w:rPr>
              <w:t xml:space="preserve">Investition 2.1 – Stärkung des Ökobonus für Energieeffizienz </w:t>
            </w:r>
          </w:p>
        </w:tc>
        <w:tc>
          <w:tcPr>
            <w:tcW w:w="2268" w:type="dxa"/>
            <w:shd w:val="clear" w:color="auto" w:fill="C6EFCE"/>
            <w:tcMar>
              <w:left w:w="108" w:type="dxa"/>
              <w:right w:w="108" w:type="dxa"/>
            </w:tcMar>
            <w:vAlign w:val="center"/>
          </w:tcPr>
          <w:p w14:paraId="2FB9F4B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BED7AE8" w14:textId="77777777" w:rsidR="0057163C" w:rsidRPr="00170422" w:rsidRDefault="00F37BF9">
            <w:pPr>
              <w:pStyle w:val="P68B1DB1-Normal121"/>
              <w:spacing w:after="0" w:line="240" w:lineRule="auto"/>
              <w:rPr>
                <w:noProof/>
                <w:lang w:val="de-DE"/>
              </w:rPr>
            </w:pPr>
            <w:r w:rsidRPr="00170422">
              <w:rPr>
                <w:noProof/>
                <w:lang w:val="de-DE"/>
              </w:rPr>
              <w:t>Gebäuderenovierung Superbonus T2</w:t>
            </w:r>
          </w:p>
        </w:tc>
      </w:tr>
      <w:tr w:rsidR="0057163C" w:rsidRPr="00170422" w14:paraId="4B836493" w14:textId="77777777" w:rsidTr="00A400C5">
        <w:trPr>
          <w:trHeight w:val="300"/>
        </w:trPr>
        <w:tc>
          <w:tcPr>
            <w:tcW w:w="1435" w:type="dxa"/>
            <w:shd w:val="clear" w:color="auto" w:fill="C6EFCE"/>
            <w:tcMar>
              <w:left w:w="108" w:type="dxa"/>
              <w:right w:w="108" w:type="dxa"/>
            </w:tcMar>
            <w:vAlign w:val="center"/>
          </w:tcPr>
          <w:p w14:paraId="3BCCFDD7" w14:textId="77777777" w:rsidR="0057163C" w:rsidRPr="00170422" w:rsidRDefault="00F37BF9">
            <w:pPr>
              <w:pStyle w:val="P68B1DB1-Normal121"/>
              <w:spacing w:after="0" w:line="240" w:lineRule="auto"/>
              <w:jc w:val="center"/>
              <w:rPr>
                <w:noProof/>
                <w:lang w:val="de-DE"/>
              </w:rPr>
            </w:pPr>
            <w:r w:rsidRPr="00170422">
              <w:rPr>
                <w:noProof/>
                <w:lang w:val="de-DE"/>
              </w:rPr>
              <w:t>M4C1-13</w:t>
            </w:r>
          </w:p>
        </w:tc>
        <w:tc>
          <w:tcPr>
            <w:tcW w:w="2097" w:type="dxa"/>
            <w:shd w:val="clear" w:color="auto" w:fill="C6EFCE"/>
            <w:tcMar>
              <w:left w:w="108" w:type="dxa"/>
              <w:right w:w="108" w:type="dxa"/>
            </w:tcMar>
            <w:vAlign w:val="center"/>
          </w:tcPr>
          <w:p w14:paraId="423301B0" w14:textId="77777777" w:rsidR="0057163C" w:rsidRPr="00170422" w:rsidRDefault="00F37BF9">
            <w:pPr>
              <w:pStyle w:val="P68B1DB1-Normal121"/>
              <w:spacing w:after="0" w:line="240" w:lineRule="auto"/>
              <w:rPr>
                <w:noProof/>
                <w:lang w:val="de-DE"/>
              </w:rPr>
            </w:pPr>
            <w:r w:rsidRPr="00170422">
              <w:rPr>
                <w:noProof/>
                <w:lang w:val="de-DE"/>
              </w:rPr>
              <w:t>Investition 2.1: Integrierte digitale Lehre und Schulungen zum digitalen Wandel für Schulpersonal;</w:t>
            </w:r>
          </w:p>
        </w:tc>
        <w:tc>
          <w:tcPr>
            <w:tcW w:w="2268" w:type="dxa"/>
            <w:shd w:val="clear" w:color="auto" w:fill="C6EFCE"/>
            <w:tcMar>
              <w:left w:w="108" w:type="dxa"/>
              <w:right w:w="108" w:type="dxa"/>
            </w:tcMar>
            <w:vAlign w:val="center"/>
          </w:tcPr>
          <w:p w14:paraId="39D49BF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C6F790B" w14:textId="77777777" w:rsidR="0057163C" w:rsidRPr="00170422" w:rsidRDefault="00F37BF9">
            <w:pPr>
              <w:pStyle w:val="P68B1DB1-Normal121"/>
              <w:spacing w:after="0" w:line="240" w:lineRule="auto"/>
              <w:rPr>
                <w:noProof/>
                <w:lang w:val="de-DE"/>
              </w:rPr>
            </w:pPr>
            <w:r w:rsidRPr="00170422">
              <w:rPr>
                <w:noProof/>
                <w:lang w:val="de-DE"/>
              </w:rPr>
              <w:t xml:space="preserve">Schulung von Schulleitern, Lehrkräften und Verwaltungspersonal    </w:t>
            </w:r>
          </w:p>
        </w:tc>
      </w:tr>
      <w:tr w:rsidR="0057163C" w:rsidRPr="00170422" w14:paraId="30A1906D" w14:textId="77777777" w:rsidTr="00A400C5">
        <w:trPr>
          <w:trHeight w:val="300"/>
        </w:trPr>
        <w:tc>
          <w:tcPr>
            <w:tcW w:w="1435" w:type="dxa"/>
            <w:shd w:val="clear" w:color="auto" w:fill="C6EFCE"/>
            <w:tcMar>
              <w:left w:w="108" w:type="dxa"/>
              <w:right w:w="108" w:type="dxa"/>
            </w:tcMar>
            <w:vAlign w:val="center"/>
          </w:tcPr>
          <w:p w14:paraId="0AB6437B" w14:textId="77777777" w:rsidR="0057163C" w:rsidRPr="00170422" w:rsidRDefault="00F37BF9">
            <w:pPr>
              <w:pStyle w:val="P68B1DB1-Normal121"/>
              <w:spacing w:after="0" w:line="240" w:lineRule="auto"/>
              <w:jc w:val="center"/>
              <w:rPr>
                <w:noProof/>
                <w:lang w:val="de-DE"/>
              </w:rPr>
            </w:pPr>
            <w:r w:rsidRPr="00170422">
              <w:rPr>
                <w:noProof/>
                <w:lang w:val="de-DE"/>
              </w:rPr>
              <w:t>M4C2-2bis</w:t>
            </w:r>
          </w:p>
        </w:tc>
        <w:tc>
          <w:tcPr>
            <w:tcW w:w="2097" w:type="dxa"/>
            <w:shd w:val="clear" w:color="auto" w:fill="C6EFCE"/>
            <w:tcMar>
              <w:left w:w="108" w:type="dxa"/>
              <w:right w:w="108" w:type="dxa"/>
            </w:tcMar>
            <w:vAlign w:val="center"/>
          </w:tcPr>
          <w:p w14:paraId="0D4784A0" w14:textId="77777777" w:rsidR="0057163C" w:rsidRPr="00170422" w:rsidRDefault="00F37BF9">
            <w:pPr>
              <w:pStyle w:val="P68B1DB1-Normal121"/>
              <w:spacing w:after="0" w:line="240" w:lineRule="auto"/>
              <w:rPr>
                <w:noProof/>
                <w:lang w:val="de-DE"/>
              </w:rPr>
            </w:pPr>
            <w:r w:rsidRPr="00170422">
              <w:rPr>
                <w:noProof/>
                <w:lang w:val="de-DE"/>
              </w:rPr>
              <w:t>Investition 2.2 bis: Innovationsvereinbarungen</w:t>
            </w:r>
          </w:p>
        </w:tc>
        <w:tc>
          <w:tcPr>
            <w:tcW w:w="2268" w:type="dxa"/>
            <w:shd w:val="clear" w:color="auto" w:fill="C6EFCE"/>
            <w:tcMar>
              <w:left w:w="108" w:type="dxa"/>
              <w:right w:w="108" w:type="dxa"/>
            </w:tcMar>
            <w:vAlign w:val="center"/>
          </w:tcPr>
          <w:p w14:paraId="0BB7B7C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2123C57" w14:textId="77777777" w:rsidR="0057163C" w:rsidRPr="00170422" w:rsidRDefault="00F37BF9">
            <w:pPr>
              <w:pStyle w:val="P68B1DB1-Normal121"/>
              <w:spacing w:after="0" w:line="240" w:lineRule="auto"/>
              <w:rPr>
                <w:noProof/>
                <w:lang w:val="de-DE"/>
              </w:rPr>
            </w:pPr>
            <w:r w:rsidRPr="00170422">
              <w:rPr>
                <w:noProof/>
                <w:lang w:val="de-DE"/>
              </w:rPr>
              <w:t xml:space="preserve">Abgeschlossene Innovationsvereinbarungen  </w:t>
            </w:r>
          </w:p>
        </w:tc>
      </w:tr>
      <w:tr w:rsidR="0057163C" w:rsidRPr="00170422" w14:paraId="3BFEE647" w14:textId="77777777" w:rsidTr="00A400C5">
        <w:trPr>
          <w:trHeight w:val="300"/>
        </w:trPr>
        <w:tc>
          <w:tcPr>
            <w:tcW w:w="1435" w:type="dxa"/>
            <w:shd w:val="clear" w:color="auto" w:fill="C6EFCE"/>
            <w:tcMar>
              <w:left w:w="108" w:type="dxa"/>
              <w:right w:w="108" w:type="dxa"/>
            </w:tcMar>
            <w:vAlign w:val="center"/>
          </w:tcPr>
          <w:p w14:paraId="412E6FA1" w14:textId="77777777" w:rsidR="0057163C" w:rsidRPr="00170422" w:rsidRDefault="00F37BF9">
            <w:pPr>
              <w:pStyle w:val="P68B1DB1-Normal121"/>
              <w:spacing w:after="0" w:line="240" w:lineRule="auto"/>
              <w:jc w:val="center"/>
              <w:rPr>
                <w:noProof/>
                <w:lang w:val="de-DE"/>
              </w:rPr>
            </w:pPr>
            <w:r w:rsidRPr="00170422">
              <w:rPr>
                <w:noProof/>
                <w:lang w:val="de-DE"/>
              </w:rPr>
              <w:t xml:space="preserve">M5C1-3 </w:t>
            </w:r>
          </w:p>
        </w:tc>
        <w:tc>
          <w:tcPr>
            <w:tcW w:w="2097" w:type="dxa"/>
            <w:shd w:val="clear" w:color="auto" w:fill="C6EFCE"/>
            <w:tcMar>
              <w:left w:w="108" w:type="dxa"/>
              <w:right w:w="108" w:type="dxa"/>
            </w:tcMar>
            <w:vAlign w:val="center"/>
          </w:tcPr>
          <w:p w14:paraId="2D7D38A6" w14:textId="77777777" w:rsidR="0057163C" w:rsidRPr="00170422" w:rsidRDefault="00F37BF9">
            <w:pPr>
              <w:pStyle w:val="P68B1DB1-Normal121"/>
              <w:spacing w:after="0" w:line="240" w:lineRule="auto"/>
              <w:rPr>
                <w:noProof/>
                <w:lang w:val="de-DE"/>
              </w:rPr>
            </w:pPr>
            <w:r w:rsidRPr="00170422">
              <w:rPr>
                <w:noProof/>
                <w:lang w:val="de-DE"/>
              </w:rPr>
              <w:t>Reform 1 – aktive arbeitsmarktpolitische Maßnahmen und Berufsbildung</w:t>
            </w:r>
          </w:p>
        </w:tc>
        <w:tc>
          <w:tcPr>
            <w:tcW w:w="2268" w:type="dxa"/>
            <w:shd w:val="clear" w:color="auto" w:fill="C6EFCE"/>
            <w:tcMar>
              <w:left w:w="108" w:type="dxa"/>
              <w:right w:w="108" w:type="dxa"/>
            </w:tcMar>
            <w:vAlign w:val="center"/>
          </w:tcPr>
          <w:p w14:paraId="37F304E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10F1E02" w14:textId="77777777" w:rsidR="0057163C" w:rsidRPr="00170422" w:rsidRDefault="00F37BF9">
            <w:pPr>
              <w:pStyle w:val="P68B1DB1-Normal121"/>
              <w:spacing w:after="0" w:line="240" w:lineRule="auto"/>
              <w:rPr>
                <w:noProof/>
                <w:lang w:val="de-DE"/>
              </w:rPr>
            </w:pPr>
            <w:r w:rsidRPr="00170422">
              <w:rPr>
                <w:noProof/>
                <w:lang w:val="de-DE"/>
              </w:rPr>
              <w:t xml:space="preserve">Menschen, die vom Programm „Gewährleistung der Beschäftigungsfähigkeit der Arbeitnehmer“ (GOL) profitieren </w:t>
            </w:r>
          </w:p>
        </w:tc>
      </w:tr>
      <w:tr w:rsidR="0057163C" w:rsidRPr="00170422" w14:paraId="05BF7514" w14:textId="77777777" w:rsidTr="00A400C5">
        <w:trPr>
          <w:trHeight w:val="300"/>
        </w:trPr>
        <w:tc>
          <w:tcPr>
            <w:tcW w:w="1435" w:type="dxa"/>
            <w:shd w:val="clear" w:color="auto" w:fill="C6EFCE"/>
            <w:tcMar>
              <w:left w:w="108" w:type="dxa"/>
              <w:right w:w="108" w:type="dxa"/>
            </w:tcMar>
            <w:vAlign w:val="center"/>
          </w:tcPr>
          <w:p w14:paraId="3CD50A6F" w14:textId="77777777" w:rsidR="0057163C" w:rsidRPr="00170422" w:rsidRDefault="00F37BF9">
            <w:pPr>
              <w:pStyle w:val="P68B1DB1-Normal121"/>
              <w:spacing w:after="0" w:line="240" w:lineRule="auto"/>
              <w:jc w:val="center"/>
              <w:rPr>
                <w:noProof/>
                <w:lang w:val="de-DE"/>
              </w:rPr>
            </w:pPr>
            <w:r w:rsidRPr="00170422">
              <w:rPr>
                <w:noProof/>
                <w:lang w:val="de-DE"/>
              </w:rPr>
              <w:t xml:space="preserve">M5C1-4 </w:t>
            </w:r>
          </w:p>
        </w:tc>
        <w:tc>
          <w:tcPr>
            <w:tcW w:w="2097" w:type="dxa"/>
            <w:shd w:val="clear" w:color="auto" w:fill="C6EFCE"/>
            <w:tcMar>
              <w:left w:w="108" w:type="dxa"/>
              <w:right w:w="108" w:type="dxa"/>
            </w:tcMar>
            <w:vAlign w:val="center"/>
          </w:tcPr>
          <w:p w14:paraId="53FE250E" w14:textId="77777777" w:rsidR="0057163C" w:rsidRPr="00170422" w:rsidRDefault="00F37BF9">
            <w:pPr>
              <w:pStyle w:val="P68B1DB1-Normal121"/>
              <w:spacing w:after="0" w:line="240" w:lineRule="auto"/>
              <w:rPr>
                <w:noProof/>
                <w:lang w:val="de-DE"/>
              </w:rPr>
            </w:pPr>
            <w:r w:rsidRPr="00170422">
              <w:rPr>
                <w:noProof/>
                <w:lang w:val="de-DE"/>
              </w:rPr>
              <w:t xml:space="preserve">Reform 1 – aktive arbeitsmarktpolitische Maßnahmen und Berufsbildung </w:t>
            </w:r>
          </w:p>
        </w:tc>
        <w:tc>
          <w:tcPr>
            <w:tcW w:w="2268" w:type="dxa"/>
            <w:shd w:val="clear" w:color="auto" w:fill="C6EFCE"/>
            <w:tcMar>
              <w:left w:w="108" w:type="dxa"/>
              <w:right w:w="108" w:type="dxa"/>
            </w:tcMar>
            <w:vAlign w:val="center"/>
          </w:tcPr>
          <w:p w14:paraId="57E0770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9434BCA" w14:textId="77777777" w:rsidR="0057163C" w:rsidRPr="00170422" w:rsidRDefault="00F37BF9">
            <w:pPr>
              <w:pStyle w:val="P68B1DB1-Normal121"/>
              <w:spacing w:after="0" w:line="240" w:lineRule="auto"/>
              <w:rPr>
                <w:noProof/>
                <w:lang w:val="de-DE"/>
              </w:rPr>
            </w:pPr>
            <w:r w:rsidRPr="00170422">
              <w:rPr>
                <w:noProof/>
                <w:lang w:val="de-DE"/>
              </w:rPr>
              <w:t>Teilnehmer an Schulungsprogrammen</w:t>
            </w:r>
          </w:p>
        </w:tc>
      </w:tr>
      <w:tr w:rsidR="0057163C" w:rsidRPr="00170422" w14:paraId="7E4EA21B" w14:textId="77777777" w:rsidTr="00A400C5">
        <w:trPr>
          <w:trHeight w:val="300"/>
        </w:trPr>
        <w:tc>
          <w:tcPr>
            <w:tcW w:w="1435" w:type="dxa"/>
            <w:shd w:val="clear" w:color="auto" w:fill="C6EFCE"/>
            <w:tcMar>
              <w:left w:w="108" w:type="dxa"/>
              <w:right w:w="108" w:type="dxa"/>
            </w:tcMar>
            <w:vAlign w:val="center"/>
          </w:tcPr>
          <w:p w14:paraId="1CFB3AF0" w14:textId="77777777" w:rsidR="0057163C" w:rsidRPr="00170422" w:rsidRDefault="00F37BF9">
            <w:pPr>
              <w:pStyle w:val="P68B1DB1-Normal121"/>
              <w:spacing w:after="0" w:line="240" w:lineRule="auto"/>
              <w:jc w:val="center"/>
              <w:rPr>
                <w:noProof/>
                <w:lang w:val="de-DE"/>
              </w:rPr>
            </w:pPr>
            <w:r w:rsidRPr="00170422">
              <w:rPr>
                <w:noProof/>
                <w:lang w:val="de-DE"/>
              </w:rPr>
              <w:t>M5C1-7</w:t>
            </w:r>
          </w:p>
        </w:tc>
        <w:tc>
          <w:tcPr>
            <w:tcW w:w="2097" w:type="dxa"/>
            <w:shd w:val="clear" w:color="auto" w:fill="C6EFCE"/>
            <w:tcMar>
              <w:left w:w="108" w:type="dxa"/>
              <w:right w:w="108" w:type="dxa"/>
            </w:tcMar>
            <w:vAlign w:val="center"/>
          </w:tcPr>
          <w:p w14:paraId="6D10C547" w14:textId="77777777" w:rsidR="0057163C" w:rsidRPr="00170422" w:rsidRDefault="00F37BF9">
            <w:pPr>
              <w:pStyle w:val="P68B1DB1-Normal121"/>
              <w:spacing w:after="0" w:line="240" w:lineRule="auto"/>
              <w:rPr>
                <w:noProof/>
                <w:lang w:val="de-DE"/>
              </w:rPr>
            </w:pPr>
            <w:r w:rsidRPr="00170422">
              <w:rPr>
                <w:noProof/>
                <w:lang w:val="de-DE"/>
              </w:rPr>
              <w:t>Investition 1 – Stärku</w:t>
            </w:r>
            <w:r w:rsidRPr="00170422">
              <w:rPr>
                <w:noProof/>
                <w:lang w:val="de-DE"/>
              </w:rPr>
              <w:t xml:space="preserve">ng der öffentlichen Arbeitsverwaltungen (ÖAV) </w:t>
            </w:r>
          </w:p>
        </w:tc>
        <w:tc>
          <w:tcPr>
            <w:tcW w:w="2268" w:type="dxa"/>
            <w:shd w:val="clear" w:color="auto" w:fill="C6EFCE"/>
            <w:tcMar>
              <w:left w:w="108" w:type="dxa"/>
              <w:right w:w="108" w:type="dxa"/>
            </w:tcMar>
            <w:vAlign w:val="center"/>
          </w:tcPr>
          <w:p w14:paraId="376D288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1B9C1D9" w14:textId="77777777" w:rsidR="0057163C" w:rsidRPr="00170422" w:rsidRDefault="00F37BF9">
            <w:pPr>
              <w:pStyle w:val="P68B1DB1-Normal121"/>
              <w:spacing w:after="0" w:line="240" w:lineRule="auto"/>
              <w:rPr>
                <w:noProof/>
                <w:lang w:val="de-DE"/>
              </w:rPr>
            </w:pPr>
            <w:r w:rsidRPr="00170422">
              <w:rPr>
                <w:noProof/>
                <w:lang w:val="de-DE"/>
              </w:rPr>
              <w:t>Die öffentlichen Arbeitsverwaltungen (ÖAV) haben die im Stärkungsplan vorgesehenen Maßnahmen abgeschlossen.</w:t>
            </w:r>
          </w:p>
        </w:tc>
      </w:tr>
      <w:tr w:rsidR="0057163C" w:rsidRPr="00170422" w14:paraId="41F72672" w14:textId="77777777" w:rsidTr="00A400C5">
        <w:trPr>
          <w:trHeight w:val="300"/>
        </w:trPr>
        <w:tc>
          <w:tcPr>
            <w:tcW w:w="1435" w:type="dxa"/>
            <w:shd w:val="clear" w:color="auto" w:fill="C6EFCE"/>
            <w:tcMar>
              <w:left w:w="108" w:type="dxa"/>
              <w:right w:w="108" w:type="dxa"/>
            </w:tcMar>
            <w:vAlign w:val="center"/>
          </w:tcPr>
          <w:p w14:paraId="29ADE4D0" w14:textId="77777777" w:rsidR="0057163C" w:rsidRPr="00170422" w:rsidRDefault="00F37BF9">
            <w:pPr>
              <w:pStyle w:val="P68B1DB1-Normal121"/>
              <w:spacing w:after="0" w:line="240" w:lineRule="auto"/>
              <w:jc w:val="center"/>
              <w:rPr>
                <w:noProof/>
                <w:lang w:val="de-DE"/>
              </w:rPr>
            </w:pPr>
            <w:r w:rsidRPr="00170422">
              <w:rPr>
                <w:noProof/>
                <w:lang w:val="de-DE"/>
              </w:rPr>
              <w:t xml:space="preserve">M5C1-10 </w:t>
            </w:r>
          </w:p>
        </w:tc>
        <w:tc>
          <w:tcPr>
            <w:tcW w:w="2097" w:type="dxa"/>
            <w:shd w:val="clear" w:color="auto" w:fill="C6EFCE"/>
            <w:tcMar>
              <w:left w:w="108" w:type="dxa"/>
              <w:right w:w="108" w:type="dxa"/>
            </w:tcMar>
            <w:vAlign w:val="center"/>
          </w:tcPr>
          <w:p w14:paraId="0F2FD4E9" w14:textId="77777777" w:rsidR="0057163C" w:rsidRPr="00170422" w:rsidRDefault="00F37BF9">
            <w:pPr>
              <w:pStyle w:val="P68B1DB1-Normal121"/>
              <w:spacing w:after="0" w:line="240" w:lineRule="auto"/>
              <w:rPr>
                <w:noProof/>
                <w:lang w:val="de-DE"/>
              </w:rPr>
            </w:pPr>
            <w:r w:rsidRPr="00170422">
              <w:rPr>
                <w:noProof/>
                <w:lang w:val="de-DE"/>
              </w:rPr>
              <w:t xml:space="preserve">Reform 2 – Nicht angemeldete Erwerbstätigkeit </w:t>
            </w:r>
          </w:p>
        </w:tc>
        <w:tc>
          <w:tcPr>
            <w:tcW w:w="2268" w:type="dxa"/>
            <w:shd w:val="clear" w:color="auto" w:fill="C6EFCE"/>
            <w:tcMar>
              <w:left w:w="108" w:type="dxa"/>
              <w:right w:w="108" w:type="dxa"/>
            </w:tcMar>
            <w:vAlign w:val="center"/>
          </w:tcPr>
          <w:p w14:paraId="39079DD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43F784D" w14:textId="77777777" w:rsidR="0057163C" w:rsidRPr="00170422" w:rsidRDefault="00F37BF9">
            <w:pPr>
              <w:pStyle w:val="P68B1DB1-Normal121"/>
              <w:spacing w:after="0" w:line="240" w:lineRule="auto"/>
              <w:rPr>
                <w:noProof/>
                <w:lang w:val="de-DE"/>
              </w:rPr>
            </w:pPr>
            <w:r w:rsidRPr="00170422">
              <w:rPr>
                <w:noProof/>
                <w:lang w:val="de-DE"/>
              </w:rPr>
              <w:t>Erhöhung der</w:t>
            </w:r>
            <w:r w:rsidRPr="00170422">
              <w:rPr>
                <w:noProof/>
                <w:lang w:val="de-DE"/>
              </w:rPr>
              <w:t xml:space="preserve"> Zahl der Arbeitsinspektionen und der Mitgliedschaft im Agrarnetz</w:t>
            </w:r>
          </w:p>
        </w:tc>
      </w:tr>
      <w:tr w:rsidR="0057163C" w:rsidRPr="00170422" w14:paraId="13C582CC" w14:textId="77777777" w:rsidTr="00A400C5">
        <w:trPr>
          <w:trHeight w:val="300"/>
        </w:trPr>
        <w:tc>
          <w:tcPr>
            <w:tcW w:w="1435" w:type="dxa"/>
            <w:shd w:val="clear" w:color="auto" w:fill="C6EFCE"/>
            <w:tcMar>
              <w:left w:w="108" w:type="dxa"/>
              <w:right w:w="108" w:type="dxa"/>
            </w:tcMar>
            <w:vAlign w:val="center"/>
          </w:tcPr>
          <w:p w14:paraId="6DB9B784" w14:textId="77777777" w:rsidR="0057163C" w:rsidRPr="00170422" w:rsidRDefault="00F37BF9">
            <w:pPr>
              <w:pStyle w:val="P68B1DB1-Normal121"/>
              <w:spacing w:after="0" w:line="240" w:lineRule="auto"/>
              <w:jc w:val="center"/>
              <w:rPr>
                <w:noProof/>
                <w:lang w:val="de-DE"/>
              </w:rPr>
            </w:pPr>
            <w:r w:rsidRPr="00170422">
              <w:rPr>
                <w:noProof/>
                <w:lang w:val="de-DE"/>
              </w:rPr>
              <w:t>M5C3-9</w:t>
            </w:r>
          </w:p>
        </w:tc>
        <w:tc>
          <w:tcPr>
            <w:tcW w:w="2097" w:type="dxa"/>
            <w:shd w:val="clear" w:color="auto" w:fill="C6EFCE"/>
            <w:tcMar>
              <w:left w:w="108" w:type="dxa"/>
              <w:right w:w="108" w:type="dxa"/>
            </w:tcMar>
            <w:vAlign w:val="center"/>
          </w:tcPr>
          <w:p w14:paraId="08C23E97" w14:textId="77777777" w:rsidR="0057163C" w:rsidRPr="00170422" w:rsidRDefault="00F37BF9">
            <w:pPr>
              <w:pStyle w:val="P68B1DB1-Normal121"/>
              <w:spacing w:after="0" w:line="240" w:lineRule="auto"/>
              <w:rPr>
                <w:noProof/>
                <w:lang w:val="de-DE"/>
              </w:rPr>
            </w:pPr>
            <w:r w:rsidRPr="00170422">
              <w:rPr>
                <w:noProof/>
                <w:lang w:val="de-DE"/>
              </w:rPr>
              <w:t>Investition1.3: Strukturierte sozialpädagogische Maßnahmen zur Bekämpfung der Bildungsarmut im Süden zur Unterstützung des dritten Sektors</w:t>
            </w:r>
          </w:p>
        </w:tc>
        <w:tc>
          <w:tcPr>
            <w:tcW w:w="2268" w:type="dxa"/>
            <w:shd w:val="clear" w:color="auto" w:fill="C6EFCE"/>
            <w:tcMar>
              <w:left w:w="108" w:type="dxa"/>
              <w:right w:w="108" w:type="dxa"/>
            </w:tcMar>
            <w:vAlign w:val="center"/>
          </w:tcPr>
          <w:p w14:paraId="1EE7CF3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E0653B1" w14:textId="77777777" w:rsidR="0057163C" w:rsidRPr="00170422" w:rsidRDefault="00F37BF9">
            <w:pPr>
              <w:pStyle w:val="P68B1DB1-Normal121"/>
              <w:spacing w:after="0" w:line="240" w:lineRule="auto"/>
              <w:rPr>
                <w:noProof/>
                <w:lang w:val="de-DE"/>
              </w:rPr>
            </w:pPr>
            <w:r w:rsidRPr="00170422">
              <w:rPr>
                <w:noProof/>
                <w:lang w:val="de-DE"/>
              </w:rPr>
              <w:t>Pädagogische Unterstützung für Minderj</w:t>
            </w:r>
            <w:r w:rsidRPr="00170422">
              <w:rPr>
                <w:noProof/>
                <w:lang w:val="de-DE"/>
              </w:rPr>
              <w:t>ährige (zweite Gruppe)</w:t>
            </w:r>
          </w:p>
        </w:tc>
      </w:tr>
      <w:tr w:rsidR="0057163C" w:rsidRPr="00170422" w14:paraId="51C558C2" w14:textId="77777777" w:rsidTr="00A400C5">
        <w:trPr>
          <w:trHeight w:val="300"/>
        </w:trPr>
        <w:tc>
          <w:tcPr>
            <w:tcW w:w="1435" w:type="dxa"/>
            <w:shd w:val="clear" w:color="auto" w:fill="C6EFCE"/>
            <w:tcMar>
              <w:left w:w="108" w:type="dxa"/>
              <w:right w:w="108" w:type="dxa"/>
            </w:tcMar>
            <w:vAlign w:val="center"/>
          </w:tcPr>
          <w:p w14:paraId="1B378941" w14:textId="77777777" w:rsidR="0057163C" w:rsidRPr="00170422" w:rsidRDefault="00F37BF9">
            <w:pPr>
              <w:pStyle w:val="P68B1DB1-Normal121"/>
              <w:spacing w:after="0" w:line="240" w:lineRule="auto"/>
              <w:jc w:val="center"/>
              <w:rPr>
                <w:noProof/>
                <w:lang w:val="de-DE"/>
              </w:rPr>
            </w:pPr>
            <w:r w:rsidRPr="00170422">
              <w:rPr>
                <w:noProof/>
                <w:lang w:val="de-DE"/>
              </w:rPr>
              <w:t>M7-3</w:t>
            </w:r>
          </w:p>
        </w:tc>
        <w:tc>
          <w:tcPr>
            <w:tcW w:w="2097" w:type="dxa"/>
            <w:shd w:val="clear" w:color="auto" w:fill="C6EFCE"/>
            <w:tcMar>
              <w:left w:w="108" w:type="dxa"/>
              <w:right w:w="108" w:type="dxa"/>
            </w:tcMar>
            <w:vAlign w:val="center"/>
          </w:tcPr>
          <w:p w14:paraId="3C993E7B" w14:textId="77777777" w:rsidR="0057163C" w:rsidRPr="00170422" w:rsidRDefault="00F37BF9">
            <w:pPr>
              <w:pStyle w:val="P68B1DB1-Normal121"/>
              <w:spacing w:after="0" w:line="240" w:lineRule="auto"/>
              <w:rPr>
                <w:noProof/>
                <w:lang w:val="de-DE"/>
              </w:rPr>
            </w:pPr>
            <w:r w:rsidRPr="00170422">
              <w:rPr>
                <w:noProof/>
                <w:lang w:val="de-DE"/>
              </w:rPr>
              <w:t xml:space="preserve">Reform 1: Straffung der Genehmigungsverfahren für erneuerbare Energien </w:t>
            </w:r>
          </w:p>
        </w:tc>
        <w:tc>
          <w:tcPr>
            <w:tcW w:w="2268" w:type="dxa"/>
            <w:shd w:val="clear" w:color="auto" w:fill="C6EFCE"/>
            <w:tcMar>
              <w:left w:w="108" w:type="dxa"/>
              <w:right w:w="108" w:type="dxa"/>
            </w:tcMar>
            <w:vAlign w:val="center"/>
          </w:tcPr>
          <w:p w14:paraId="5DFED38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140653B1" w14:textId="77777777" w:rsidR="0057163C" w:rsidRPr="00170422" w:rsidRDefault="00F37BF9">
            <w:pPr>
              <w:pStyle w:val="P68B1DB1-Normal121"/>
              <w:spacing w:after="0" w:line="240" w:lineRule="auto"/>
              <w:rPr>
                <w:noProof/>
                <w:lang w:val="de-DE"/>
              </w:rPr>
            </w:pPr>
            <w:r w:rsidRPr="00170422">
              <w:rPr>
                <w:noProof/>
                <w:lang w:val="de-DE"/>
              </w:rPr>
              <w:t>Einrichtung der digitalen Plattform für einen einzigen Zugang für Genehmigungen im Zusammenhang mit erneuerbaren Energien</w:t>
            </w:r>
          </w:p>
        </w:tc>
      </w:tr>
      <w:tr w:rsidR="0057163C" w:rsidRPr="00170422" w14:paraId="0FACBA40" w14:textId="77777777" w:rsidTr="00A400C5">
        <w:trPr>
          <w:trHeight w:val="300"/>
        </w:trPr>
        <w:tc>
          <w:tcPr>
            <w:tcW w:w="1435" w:type="dxa"/>
            <w:shd w:val="clear" w:color="auto" w:fill="C6EFCE"/>
            <w:tcMar>
              <w:left w:w="108" w:type="dxa"/>
              <w:right w:w="108" w:type="dxa"/>
            </w:tcMar>
            <w:vAlign w:val="center"/>
          </w:tcPr>
          <w:p w14:paraId="1AEAF1CE" w14:textId="77777777" w:rsidR="0057163C" w:rsidRPr="00170422" w:rsidRDefault="00F37BF9">
            <w:pPr>
              <w:pStyle w:val="P68B1DB1-Normal121"/>
              <w:spacing w:after="0" w:line="240" w:lineRule="auto"/>
              <w:jc w:val="center"/>
              <w:rPr>
                <w:noProof/>
                <w:lang w:val="de-DE"/>
              </w:rPr>
            </w:pPr>
            <w:r w:rsidRPr="00170422">
              <w:rPr>
                <w:noProof/>
                <w:lang w:val="de-DE"/>
              </w:rPr>
              <w:t>M7-5</w:t>
            </w:r>
          </w:p>
        </w:tc>
        <w:tc>
          <w:tcPr>
            <w:tcW w:w="2097" w:type="dxa"/>
            <w:shd w:val="clear" w:color="auto" w:fill="C6EFCE"/>
            <w:tcMar>
              <w:left w:w="108" w:type="dxa"/>
              <w:right w:w="108" w:type="dxa"/>
            </w:tcMar>
            <w:vAlign w:val="center"/>
          </w:tcPr>
          <w:p w14:paraId="424B31D2" w14:textId="77777777" w:rsidR="0057163C" w:rsidRPr="00170422" w:rsidRDefault="00F37BF9">
            <w:pPr>
              <w:pStyle w:val="P68B1DB1-Normal121"/>
              <w:spacing w:after="0" w:line="240" w:lineRule="auto"/>
              <w:rPr>
                <w:noProof/>
                <w:lang w:val="de-DE"/>
              </w:rPr>
            </w:pPr>
            <w:r w:rsidRPr="00170422">
              <w:rPr>
                <w:noProof/>
                <w:lang w:val="de-DE"/>
              </w:rPr>
              <w:t xml:space="preserve">Reform 2: </w:t>
            </w:r>
            <w:r w:rsidRPr="00170422">
              <w:rPr>
                <w:noProof/>
                <w:lang w:val="de-DE"/>
              </w:rPr>
              <w:t>Verringerung umweltschädlicher Subventionen</w:t>
            </w:r>
          </w:p>
        </w:tc>
        <w:tc>
          <w:tcPr>
            <w:tcW w:w="2268" w:type="dxa"/>
            <w:shd w:val="clear" w:color="auto" w:fill="C6EFCE"/>
            <w:tcMar>
              <w:left w:w="108" w:type="dxa"/>
              <w:right w:w="108" w:type="dxa"/>
            </w:tcMar>
            <w:vAlign w:val="center"/>
          </w:tcPr>
          <w:p w14:paraId="59C311C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B8E5DAF" w14:textId="77777777" w:rsidR="0057163C" w:rsidRPr="00170422" w:rsidRDefault="00F37BF9">
            <w:pPr>
              <w:pStyle w:val="P68B1DB1-Normal121"/>
              <w:spacing w:after="0" w:line="240" w:lineRule="auto"/>
              <w:rPr>
                <w:noProof/>
                <w:lang w:val="de-DE"/>
              </w:rPr>
            </w:pPr>
            <w:r w:rsidRPr="00170422">
              <w:rPr>
                <w:noProof/>
                <w:lang w:val="de-DE"/>
              </w:rPr>
              <w:t>Inkrafttreten des Primär- und Sekundärrechts.</w:t>
            </w:r>
          </w:p>
        </w:tc>
      </w:tr>
      <w:tr w:rsidR="0057163C" w:rsidRPr="00170422" w14:paraId="046D17B2" w14:textId="77777777" w:rsidTr="00A400C5">
        <w:trPr>
          <w:trHeight w:val="300"/>
        </w:trPr>
        <w:tc>
          <w:tcPr>
            <w:tcW w:w="1435" w:type="dxa"/>
            <w:shd w:val="clear" w:color="auto" w:fill="C6EFCE"/>
            <w:tcMar>
              <w:left w:w="108" w:type="dxa"/>
              <w:right w:w="108" w:type="dxa"/>
            </w:tcMar>
            <w:vAlign w:val="center"/>
          </w:tcPr>
          <w:p w14:paraId="7071DB26" w14:textId="77777777" w:rsidR="0057163C" w:rsidRPr="00170422" w:rsidRDefault="00F37BF9">
            <w:pPr>
              <w:pStyle w:val="P68B1DB1-Normal121"/>
              <w:spacing w:after="0" w:line="240" w:lineRule="auto"/>
              <w:jc w:val="center"/>
              <w:rPr>
                <w:noProof/>
                <w:lang w:val="de-DE"/>
              </w:rPr>
            </w:pPr>
            <w:r w:rsidRPr="00170422">
              <w:rPr>
                <w:noProof/>
                <w:lang w:val="de-DE"/>
              </w:rPr>
              <w:t>M7-26</w:t>
            </w:r>
          </w:p>
        </w:tc>
        <w:tc>
          <w:tcPr>
            <w:tcW w:w="2097" w:type="dxa"/>
            <w:shd w:val="clear" w:color="auto" w:fill="C6EFCE"/>
            <w:tcMar>
              <w:left w:w="108" w:type="dxa"/>
              <w:right w:w="108" w:type="dxa"/>
            </w:tcMar>
            <w:vAlign w:val="center"/>
          </w:tcPr>
          <w:p w14:paraId="5AF13FF5" w14:textId="77777777" w:rsidR="0057163C" w:rsidRPr="00170422" w:rsidRDefault="00F37BF9">
            <w:pPr>
              <w:pStyle w:val="P68B1DB1-Normal121"/>
              <w:spacing w:after="0" w:line="240" w:lineRule="auto"/>
              <w:rPr>
                <w:noProof/>
                <w:lang w:val="de-DE"/>
              </w:rPr>
            </w:pPr>
            <w:r w:rsidRPr="00170422">
              <w:rPr>
                <w:noProof/>
                <w:lang w:val="de-DE"/>
              </w:rPr>
              <w:t>Investition 8: Nachhaltige, kreislauforientierte und sichere Versorgung mit kritischen Rohstoffen</w:t>
            </w:r>
          </w:p>
        </w:tc>
        <w:tc>
          <w:tcPr>
            <w:tcW w:w="2268" w:type="dxa"/>
            <w:shd w:val="clear" w:color="auto" w:fill="C6EFCE"/>
            <w:tcMar>
              <w:left w:w="108" w:type="dxa"/>
              <w:right w:w="108" w:type="dxa"/>
            </w:tcMar>
            <w:vAlign w:val="center"/>
          </w:tcPr>
          <w:p w14:paraId="742F7D4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CE626D8" w14:textId="77777777" w:rsidR="0057163C" w:rsidRPr="00170422" w:rsidRDefault="00F37BF9">
            <w:pPr>
              <w:pStyle w:val="P68B1DB1-Normal121"/>
              <w:spacing w:after="0" w:line="240" w:lineRule="auto"/>
              <w:rPr>
                <w:noProof/>
                <w:lang w:val="de-DE"/>
              </w:rPr>
            </w:pPr>
            <w:r w:rsidRPr="00170422">
              <w:rPr>
                <w:noProof/>
                <w:lang w:val="de-DE"/>
              </w:rPr>
              <w:t xml:space="preserve">Geografisches Informationssystem (GIS) über </w:t>
            </w:r>
            <w:r w:rsidRPr="00170422">
              <w:rPr>
                <w:noProof/>
                <w:lang w:val="de-DE"/>
              </w:rPr>
              <w:t>mineralische Abfälle für die nachhaltige, kreislauforientierte und sichere Versorgung mit kritischen Rohstoffen</w:t>
            </w:r>
          </w:p>
        </w:tc>
      </w:tr>
      <w:tr w:rsidR="0057163C" w:rsidRPr="00170422" w14:paraId="7C4B7282" w14:textId="77777777" w:rsidTr="00A400C5">
        <w:trPr>
          <w:trHeight w:val="300"/>
        </w:trPr>
        <w:tc>
          <w:tcPr>
            <w:tcW w:w="1435" w:type="dxa"/>
            <w:shd w:val="clear" w:color="auto" w:fill="C6EFCE"/>
            <w:tcMar>
              <w:left w:w="108" w:type="dxa"/>
              <w:right w:w="108" w:type="dxa"/>
            </w:tcMar>
            <w:vAlign w:val="center"/>
          </w:tcPr>
          <w:p w14:paraId="6832B85E" w14:textId="77777777" w:rsidR="0057163C" w:rsidRPr="00170422" w:rsidRDefault="00F37BF9">
            <w:pPr>
              <w:pStyle w:val="P68B1DB1-Normal121"/>
              <w:spacing w:after="0" w:line="240" w:lineRule="auto"/>
              <w:jc w:val="center"/>
              <w:rPr>
                <w:noProof/>
                <w:lang w:val="de-DE"/>
              </w:rPr>
            </w:pPr>
            <w:r w:rsidRPr="00170422">
              <w:rPr>
                <w:noProof/>
                <w:lang w:val="de-DE"/>
              </w:rPr>
              <w:t>M1C1-38bis</w:t>
            </w:r>
          </w:p>
        </w:tc>
        <w:tc>
          <w:tcPr>
            <w:tcW w:w="2097" w:type="dxa"/>
            <w:shd w:val="clear" w:color="auto" w:fill="C6EFCE"/>
            <w:tcMar>
              <w:left w:w="108" w:type="dxa"/>
              <w:right w:w="108" w:type="dxa"/>
            </w:tcMar>
            <w:vAlign w:val="center"/>
          </w:tcPr>
          <w:p w14:paraId="7CD7CA88" w14:textId="77777777" w:rsidR="0057163C" w:rsidRPr="00170422" w:rsidRDefault="00F37BF9">
            <w:pPr>
              <w:pStyle w:val="P68B1DB1-Normal121"/>
              <w:spacing w:after="0" w:line="240" w:lineRule="auto"/>
              <w:rPr>
                <w:noProof/>
                <w:lang w:val="de-DE"/>
              </w:rPr>
            </w:pPr>
            <w:r w:rsidRPr="00170422">
              <w:rPr>
                <w:noProof/>
                <w:lang w:val="de-DE"/>
              </w:rPr>
              <w:t xml:space="preserve">Reform 1.8: Digitalisierung der Justiz </w:t>
            </w:r>
          </w:p>
        </w:tc>
        <w:tc>
          <w:tcPr>
            <w:tcW w:w="2268" w:type="dxa"/>
            <w:shd w:val="clear" w:color="auto" w:fill="C6EFCE"/>
            <w:tcMar>
              <w:left w:w="108" w:type="dxa"/>
              <w:right w:w="108" w:type="dxa"/>
            </w:tcMar>
            <w:vAlign w:val="center"/>
          </w:tcPr>
          <w:p w14:paraId="7D81C22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6036BCC" w14:textId="77777777" w:rsidR="0057163C" w:rsidRPr="00170422" w:rsidRDefault="00F37BF9">
            <w:pPr>
              <w:pStyle w:val="P68B1DB1-Normal121"/>
              <w:spacing w:after="0" w:line="240" w:lineRule="auto"/>
              <w:rPr>
                <w:noProof/>
                <w:lang w:val="de-DE"/>
              </w:rPr>
            </w:pPr>
            <w:r w:rsidRPr="00170422">
              <w:rPr>
                <w:noProof/>
                <w:lang w:val="de-DE"/>
              </w:rPr>
              <w:t>Digitalisierung des Justizsystems</w:t>
            </w:r>
          </w:p>
        </w:tc>
      </w:tr>
      <w:tr w:rsidR="0057163C" w:rsidRPr="00170422" w14:paraId="29625C2F" w14:textId="77777777" w:rsidTr="00A400C5">
        <w:trPr>
          <w:trHeight w:val="300"/>
        </w:trPr>
        <w:tc>
          <w:tcPr>
            <w:tcW w:w="1435" w:type="dxa"/>
            <w:shd w:val="clear" w:color="auto" w:fill="C6EFCE"/>
            <w:tcMar>
              <w:left w:w="108" w:type="dxa"/>
              <w:right w:w="108" w:type="dxa"/>
            </w:tcMar>
            <w:vAlign w:val="center"/>
          </w:tcPr>
          <w:p w14:paraId="7574D9BD" w14:textId="77777777" w:rsidR="0057163C" w:rsidRPr="00170422" w:rsidRDefault="00F37BF9">
            <w:pPr>
              <w:pStyle w:val="P68B1DB1-Normal121"/>
              <w:spacing w:after="0" w:line="240" w:lineRule="auto"/>
              <w:jc w:val="center"/>
              <w:rPr>
                <w:noProof/>
                <w:lang w:val="de-DE"/>
              </w:rPr>
            </w:pPr>
            <w:r w:rsidRPr="00170422">
              <w:rPr>
                <w:noProof/>
                <w:lang w:val="de-DE"/>
              </w:rPr>
              <w:t>M1C1-72quinquies</w:t>
            </w:r>
          </w:p>
        </w:tc>
        <w:tc>
          <w:tcPr>
            <w:tcW w:w="2097" w:type="dxa"/>
            <w:shd w:val="clear" w:color="auto" w:fill="C6EFCE"/>
            <w:tcMar>
              <w:left w:w="108" w:type="dxa"/>
              <w:right w:w="108" w:type="dxa"/>
            </w:tcMar>
            <w:vAlign w:val="center"/>
          </w:tcPr>
          <w:p w14:paraId="1ED212E3" w14:textId="77777777" w:rsidR="0057163C" w:rsidRPr="00170422" w:rsidRDefault="00F37BF9">
            <w:pPr>
              <w:pStyle w:val="P68B1DB1-Normal121"/>
              <w:spacing w:after="0" w:line="240" w:lineRule="auto"/>
              <w:rPr>
                <w:noProof/>
                <w:lang w:val="de-DE"/>
              </w:rPr>
            </w:pPr>
            <w:r w:rsidRPr="00170422">
              <w:rPr>
                <w:noProof/>
                <w:lang w:val="de-DE"/>
              </w:rPr>
              <w:t>Reform 1.11: Verringerung de</w:t>
            </w:r>
            <w:r w:rsidRPr="00170422">
              <w:rPr>
                <w:noProof/>
                <w:lang w:val="de-DE"/>
              </w:rPr>
              <w:t>s Zahlungsverzugs durch öffentliche Verwaltungen und Gesundheitsbehörden</w:t>
            </w:r>
          </w:p>
        </w:tc>
        <w:tc>
          <w:tcPr>
            <w:tcW w:w="2268" w:type="dxa"/>
            <w:shd w:val="clear" w:color="auto" w:fill="C6EFCE"/>
            <w:tcMar>
              <w:left w:w="108" w:type="dxa"/>
              <w:right w:w="108" w:type="dxa"/>
            </w:tcMar>
            <w:vAlign w:val="center"/>
          </w:tcPr>
          <w:p w14:paraId="7C2B3F3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22610E1" w14:textId="77777777" w:rsidR="0057163C" w:rsidRPr="00170422" w:rsidRDefault="00F37BF9">
            <w:pPr>
              <w:pStyle w:val="P68B1DB1-Normal121"/>
              <w:spacing w:after="0" w:line="240" w:lineRule="auto"/>
              <w:rPr>
                <w:noProof/>
                <w:lang w:val="de-DE"/>
              </w:rPr>
            </w:pPr>
            <w:r w:rsidRPr="00170422">
              <w:rPr>
                <w:noProof/>
                <w:lang w:val="de-DE"/>
              </w:rPr>
              <w:t xml:space="preserve">Website mit Informationen und Daten über Zahlungen der öffentlichen Verwaltung </w:t>
            </w:r>
          </w:p>
        </w:tc>
      </w:tr>
      <w:tr w:rsidR="0057163C" w:rsidRPr="00170422" w14:paraId="76EE29D4" w14:textId="77777777" w:rsidTr="00A400C5">
        <w:trPr>
          <w:trHeight w:val="300"/>
        </w:trPr>
        <w:tc>
          <w:tcPr>
            <w:tcW w:w="1435" w:type="dxa"/>
            <w:shd w:val="clear" w:color="auto" w:fill="C6EFCE"/>
            <w:tcMar>
              <w:left w:w="108" w:type="dxa"/>
              <w:right w:w="108" w:type="dxa"/>
            </w:tcMar>
            <w:vAlign w:val="center"/>
          </w:tcPr>
          <w:p w14:paraId="3D7745C0" w14:textId="77777777" w:rsidR="0057163C" w:rsidRPr="00170422" w:rsidRDefault="00F37BF9">
            <w:pPr>
              <w:pStyle w:val="P68B1DB1-Normal121"/>
              <w:spacing w:after="0" w:line="240" w:lineRule="auto"/>
              <w:jc w:val="center"/>
              <w:rPr>
                <w:noProof/>
                <w:lang w:val="de-DE"/>
              </w:rPr>
            </w:pPr>
            <w:r w:rsidRPr="00170422">
              <w:rPr>
                <w:noProof/>
                <w:lang w:val="de-DE"/>
              </w:rPr>
              <w:t>M1C1-72sixe</w:t>
            </w:r>
          </w:p>
        </w:tc>
        <w:tc>
          <w:tcPr>
            <w:tcW w:w="2097" w:type="dxa"/>
            <w:shd w:val="clear" w:color="auto" w:fill="C6EFCE"/>
            <w:tcMar>
              <w:left w:w="108" w:type="dxa"/>
              <w:right w:w="108" w:type="dxa"/>
            </w:tcMar>
            <w:vAlign w:val="center"/>
          </w:tcPr>
          <w:p w14:paraId="23BBA5F4" w14:textId="77777777" w:rsidR="0057163C" w:rsidRPr="00170422" w:rsidRDefault="00F37BF9">
            <w:pPr>
              <w:pStyle w:val="P68B1DB1-Normal121"/>
              <w:spacing w:after="0" w:line="240" w:lineRule="auto"/>
              <w:rPr>
                <w:noProof/>
                <w:lang w:val="de-DE"/>
              </w:rPr>
            </w:pPr>
            <w:r w:rsidRPr="00170422">
              <w:rPr>
                <w:noProof/>
                <w:lang w:val="de-DE"/>
              </w:rPr>
              <w:t xml:space="preserve">Reform 1.11: Verringerung des Zahlungsverzugs durch öffentliche Verwaltungen </w:t>
            </w:r>
            <w:r w:rsidRPr="00170422">
              <w:rPr>
                <w:noProof/>
                <w:lang w:val="de-DE"/>
              </w:rPr>
              <w:t>und Gesundheitsbehörden</w:t>
            </w:r>
          </w:p>
        </w:tc>
        <w:tc>
          <w:tcPr>
            <w:tcW w:w="2268" w:type="dxa"/>
            <w:shd w:val="clear" w:color="auto" w:fill="C6EFCE"/>
            <w:tcMar>
              <w:left w:w="108" w:type="dxa"/>
              <w:right w:w="108" w:type="dxa"/>
            </w:tcMar>
            <w:vAlign w:val="center"/>
          </w:tcPr>
          <w:p w14:paraId="70DA34E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E2BF1F4" w14:textId="77777777" w:rsidR="0057163C" w:rsidRPr="00170422" w:rsidRDefault="00F37BF9">
            <w:pPr>
              <w:pStyle w:val="P68B1DB1-Normal121"/>
              <w:spacing w:after="0" w:line="240" w:lineRule="auto"/>
              <w:rPr>
                <w:noProof/>
                <w:lang w:val="de-DE"/>
              </w:rPr>
            </w:pPr>
            <w:r w:rsidRPr="00170422">
              <w:rPr>
                <w:noProof/>
                <w:lang w:val="de-DE"/>
              </w:rPr>
              <w:t>Annahme des abschließenden Prüfberichts des Prüfplans</w:t>
            </w:r>
          </w:p>
        </w:tc>
      </w:tr>
      <w:tr w:rsidR="0057163C" w:rsidRPr="00170422" w14:paraId="4064EE51" w14:textId="77777777" w:rsidTr="00A400C5">
        <w:trPr>
          <w:trHeight w:val="300"/>
        </w:trPr>
        <w:tc>
          <w:tcPr>
            <w:tcW w:w="1435" w:type="dxa"/>
            <w:shd w:val="clear" w:color="auto" w:fill="C6EFCE"/>
            <w:tcMar>
              <w:left w:w="108" w:type="dxa"/>
              <w:right w:w="108" w:type="dxa"/>
            </w:tcMar>
            <w:vAlign w:val="center"/>
          </w:tcPr>
          <w:p w14:paraId="29C7A486" w14:textId="77777777" w:rsidR="0057163C" w:rsidRPr="00170422" w:rsidRDefault="00F37BF9">
            <w:pPr>
              <w:pStyle w:val="P68B1DB1-Normal121"/>
              <w:spacing w:after="0" w:line="240" w:lineRule="auto"/>
              <w:jc w:val="center"/>
              <w:rPr>
                <w:noProof/>
                <w:lang w:val="de-DE"/>
              </w:rPr>
            </w:pPr>
            <w:r w:rsidRPr="00170422">
              <w:rPr>
                <w:noProof/>
                <w:lang w:val="de-DE"/>
              </w:rPr>
              <w:t>M1C1-27</w:t>
            </w:r>
          </w:p>
        </w:tc>
        <w:tc>
          <w:tcPr>
            <w:tcW w:w="2097" w:type="dxa"/>
            <w:shd w:val="clear" w:color="auto" w:fill="C6EFCE"/>
            <w:tcMar>
              <w:left w:w="108" w:type="dxa"/>
              <w:right w:w="108" w:type="dxa"/>
            </w:tcMar>
            <w:vAlign w:val="center"/>
          </w:tcPr>
          <w:p w14:paraId="6AFF81EB" w14:textId="77777777" w:rsidR="0057163C" w:rsidRPr="00170422" w:rsidRDefault="00F37BF9">
            <w:pPr>
              <w:pStyle w:val="P68B1DB1-Normal121"/>
              <w:spacing w:after="0" w:line="240" w:lineRule="auto"/>
              <w:rPr>
                <w:noProof/>
                <w:lang w:val="de-DE"/>
              </w:rPr>
            </w:pPr>
            <w:r w:rsidRPr="00170422">
              <w:rPr>
                <w:noProof/>
                <w:lang w:val="de-DE"/>
              </w:rPr>
              <w:t>Investition 1.3.1: Nationale digitale Datenplattform</w:t>
            </w:r>
          </w:p>
        </w:tc>
        <w:tc>
          <w:tcPr>
            <w:tcW w:w="2268" w:type="dxa"/>
            <w:shd w:val="clear" w:color="auto" w:fill="C6EFCE"/>
            <w:tcMar>
              <w:left w:w="108" w:type="dxa"/>
              <w:right w:w="108" w:type="dxa"/>
            </w:tcMar>
            <w:vAlign w:val="center"/>
          </w:tcPr>
          <w:p w14:paraId="6727FB0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3D5E954" w14:textId="77777777" w:rsidR="0057163C" w:rsidRPr="00170422" w:rsidRDefault="00F37BF9">
            <w:pPr>
              <w:pStyle w:val="P68B1DB1-Normal121"/>
              <w:spacing w:after="0" w:line="240" w:lineRule="auto"/>
              <w:rPr>
                <w:noProof/>
                <w:lang w:val="de-DE"/>
              </w:rPr>
            </w:pPr>
            <w:r w:rsidRPr="00170422">
              <w:rPr>
                <w:noProof/>
                <w:lang w:val="de-DE"/>
              </w:rPr>
              <w:t>API auf der nationalen digitalen Datenplattform T2</w:t>
            </w:r>
          </w:p>
        </w:tc>
      </w:tr>
      <w:tr w:rsidR="0057163C" w:rsidRPr="00170422" w14:paraId="7D5B63FE" w14:textId="77777777" w:rsidTr="00A400C5">
        <w:trPr>
          <w:trHeight w:val="300"/>
        </w:trPr>
        <w:tc>
          <w:tcPr>
            <w:tcW w:w="1435" w:type="dxa"/>
            <w:shd w:val="clear" w:color="auto" w:fill="C6EFCE"/>
            <w:tcMar>
              <w:left w:w="108" w:type="dxa"/>
              <w:right w:w="108" w:type="dxa"/>
            </w:tcMar>
            <w:vAlign w:val="bottom"/>
          </w:tcPr>
          <w:p w14:paraId="7B17791B" w14:textId="77777777" w:rsidR="0057163C" w:rsidRPr="00170422" w:rsidRDefault="00F37BF9">
            <w:pPr>
              <w:pStyle w:val="P68B1DB1-Normal121"/>
              <w:spacing w:after="0" w:line="240" w:lineRule="auto"/>
              <w:jc w:val="center"/>
              <w:rPr>
                <w:noProof/>
                <w:lang w:val="de-DE"/>
              </w:rPr>
            </w:pPr>
            <w:r w:rsidRPr="00170422">
              <w:rPr>
                <w:noProof/>
                <w:lang w:val="de-DE"/>
              </w:rPr>
              <w:t>M1C1-97ter</w:t>
            </w:r>
          </w:p>
        </w:tc>
        <w:tc>
          <w:tcPr>
            <w:tcW w:w="2097" w:type="dxa"/>
            <w:shd w:val="clear" w:color="auto" w:fill="C6EFCE"/>
            <w:tcMar>
              <w:left w:w="108" w:type="dxa"/>
              <w:right w:w="108" w:type="dxa"/>
            </w:tcMar>
            <w:vAlign w:val="center"/>
          </w:tcPr>
          <w:p w14:paraId="4E8DFF49" w14:textId="77777777" w:rsidR="0057163C" w:rsidRPr="00170422" w:rsidRDefault="00F37BF9">
            <w:pPr>
              <w:pStyle w:val="P68B1DB1-Normal121"/>
              <w:spacing w:after="0" w:line="240" w:lineRule="auto"/>
              <w:rPr>
                <w:noProof/>
                <w:lang w:val="de-DE"/>
              </w:rPr>
            </w:pPr>
            <w:r w:rsidRPr="00170422">
              <w:rPr>
                <w:noProof/>
                <w:lang w:val="de-DE"/>
              </w:rPr>
              <w:t xml:space="preserve">Reform 1.10: Reform des </w:t>
            </w:r>
            <w:r w:rsidRPr="00170422">
              <w:rPr>
                <w:noProof/>
                <w:lang w:val="de-DE"/>
              </w:rPr>
              <w:t>Rechtsrahmens für das öffentliche Auftragswesen</w:t>
            </w:r>
          </w:p>
        </w:tc>
        <w:tc>
          <w:tcPr>
            <w:tcW w:w="2268" w:type="dxa"/>
            <w:shd w:val="clear" w:color="auto" w:fill="C6EFCE"/>
            <w:tcMar>
              <w:left w:w="108" w:type="dxa"/>
              <w:right w:w="108" w:type="dxa"/>
            </w:tcMar>
            <w:vAlign w:val="center"/>
          </w:tcPr>
          <w:p w14:paraId="388784B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41FC0BBF" w14:textId="77777777" w:rsidR="0057163C" w:rsidRPr="00170422" w:rsidRDefault="00F37BF9">
            <w:pPr>
              <w:pStyle w:val="P68B1DB1-Normal121"/>
              <w:spacing w:after="0" w:line="240" w:lineRule="auto"/>
              <w:rPr>
                <w:noProof/>
                <w:lang w:val="de-DE"/>
              </w:rPr>
            </w:pPr>
            <w:r w:rsidRPr="00170422">
              <w:rPr>
                <w:noProof/>
                <w:lang w:val="de-DE"/>
              </w:rPr>
              <w:t>Maßnahmen zur Beschleunigung der Ausführung</w:t>
            </w:r>
          </w:p>
        </w:tc>
      </w:tr>
      <w:tr w:rsidR="0057163C" w:rsidRPr="00170422" w14:paraId="56389C72"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72C09E11" w14:textId="77777777" w:rsidR="0057163C" w:rsidRPr="00170422" w:rsidRDefault="00F37BF9">
            <w:pPr>
              <w:pStyle w:val="P68B1DB1-Normal121"/>
              <w:spacing w:after="0"/>
              <w:jc w:val="center"/>
              <w:rPr>
                <w:noProof/>
                <w:lang w:val="de-DE"/>
              </w:rPr>
            </w:pPr>
            <w:r w:rsidRPr="00170422">
              <w:rPr>
                <w:noProof/>
                <w:lang w:val="de-DE"/>
              </w:rPr>
              <w:t>M4C2-4bis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7CF96B" w14:textId="77777777" w:rsidR="0057163C" w:rsidRPr="00170422" w:rsidRDefault="00F37BF9">
            <w:pPr>
              <w:pStyle w:val="P68B1DB1-Normal121"/>
              <w:spacing w:after="0"/>
              <w:rPr>
                <w:noProof/>
                <w:lang w:val="de-DE"/>
              </w:rPr>
            </w:pPr>
            <w:r w:rsidRPr="00170422">
              <w:rPr>
                <w:noProof/>
                <w:lang w:val="de-DE"/>
              </w:rPr>
              <w:t>Reform 1.2: Dreijahresplan für die Finanzierung von Forschungstätigkeiten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7978D3" w14:textId="77777777" w:rsidR="0057163C" w:rsidRPr="00170422" w:rsidRDefault="00F37BF9">
            <w:pPr>
              <w:pStyle w:val="P68B1DB1-Normal121"/>
              <w:spacing w:after="0"/>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1D39A1" w14:textId="77777777" w:rsidR="0057163C" w:rsidRPr="00170422" w:rsidRDefault="00F37BF9">
            <w:pPr>
              <w:pStyle w:val="P68B1DB1-Normal121"/>
              <w:spacing w:after="0"/>
              <w:rPr>
                <w:noProof/>
                <w:lang w:val="de-DE"/>
              </w:rPr>
            </w:pPr>
            <w:r w:rsidRPr="00170422">
              <w:rPr>
                <w:noProof/>
                <w:lang w:val="de-DE"/>
              </w:rPr>
              <w:t>Primärrecht für die Annahme des Dreijahresplans für die</w:t>
            </w:r>
            <w:r w:rsidRPr="00170422">
              <w:rPr>
                <w:noProof/>
                <w:lang w:val="de-DE"/>
              </w:rPr>
              <w:t xml:space="preserve"> Finanzierung von Forschungstätigkeiten </w:t>
            </w:r>
          </w:p>
        </w:tc>
      </w:tr>
      <w:tr w:rsidR="0057163C" w:rsidRPr="00170422" w14:paraId="0B06195A"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4D69BC7" w14:textId="77777777" w:rsidR="0057163C" w:rsidRPr="00170422" w:rsidRDefault="00F37BF9">
            <w:pPr>
              <w:pStyle w:val="P68B1DB1-Normal121"/>
              <w:spacing w:after="0"/>
              <w:jc w:val="center"/>
              <w:rPr>
                <w:noProof/>
                <w:lang w:val="de-DE"/>
              </w:rPr>
            </w:pPr>
            <w:r w:rsidRPr="00170422">
              <w:rPr>
                <w:noProof/>
                <w:lang w:val="de-DE"/>
              </w:rPr>
              <w:t>M7-30</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22FD61" w14:textId="77777777" w:rsidR="0057163C" w:rsidRPr="00170422" w:rsidRDefault="00F37BF9">
            <w:pPr>
              <w:pStyle w:val="P68B1DB1-Normal121"/>
              <w:spacing w:after="0"/>
              <w:rPr>
                <w:noProof/>
                <w:lang w:val="de-DE"/>
              </w:rPr>
            </w:pPr>
            <w:r w:rsidRPr="00170422">
              <w:rPr>
                <w:noProof/>
                <w:lang w:val="de-DE"/>
              </w:rPr>
              <w:t>Investition 10: Pilotprojekt zu Kompetenzen „Crescere Green“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5F5526" w14:textId="77777777" w:rsidR="0057163C" w:rsidRPr="00170422" w:rsidRDefault="00F37BF9">
            <w:pPr>
              <w:pStyle w:val="P68B1DB1-Normal121"/>
              <w:spacing w:after="0"/>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523D4A" w14:textId="77777777" w:rsidR="0057163C" w:rsidRPr="00170422" w:rsidRDefault="00F37BF9">
            <w:pPr>
              <w:pStyle w:val="P68B1DB1-Normal121"/>
              <w:spacing w:after="0"/>
              <w:rPr>
                <w:noProof/>
                <w:lang w:val="de-DE"/>
              </w:rPr>
            </w:pPr>
            <w:r w:rsidRPr="00170422">
              <w:rPr>
                <w:noProof/>
                <w:lang w:val="de-DE"/>
              </w:rPr>
              <w:t>Durchgeführte Schulungsmodule</w:t>
            </w:r>
          </w:p>
        </w:tc>
      </w:tr>
      <w:tr w:rsidR="0057163C" w:rsidRPr="00170422" w14:paraId="0DC50A34"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04074BFE" w14:textId="77777777" w:rsidR="0057163C" w:rsidRPr="00170422" w:rsidRDefault="00F37BF9">
            <w:pPr>
              <w:pStyle w:val="P68B1DB1-Normal121"/>
              <w:spacing w:after="0"/>
              <w:jc w:val="center"/>
              <w:rPr>
                <w:noProof/>
                <w:lang w:val="de-DE"/>
              </w:rPr>
            </w:pPr>
            <w:r w:rsidRPr="00170422">
              <w:rPr>
                <w:noProof/>
                <w:lang w:val="de-DE"/>
              </w:rPr>
              <w:t>M1C1-144</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FB0EE4" w14:textId="77777777" w:rsidR="0057163C" w:rsidRPr="00170422" w:rsidRDefault="00F37BF9">
            <w:pPr>
              <w:pStyle w:val="P68B1DB1-Normal121"/>
              <w:spacing w:after="0"/>
              <w:rPr>
                <w:noProof/>
                <w:lang w:val="de-DE"/>
              </w:rPr>
            </w:pPr>
            <w:r w:rsidRPr="00170422">
              <w:rPr>
                <w:noProof/>
                <w:lang w:val="de-DE"/>
              </w:rPr>
              <w:t>Investition 1.4.2 – Einbeziehung der Bürger – Verbesserung der Barrierefreiheit digitaler öffentlicher</w:t>
            </w:r>
            <w:r w:rsidRPr="00170422">
              <w:rPr>
                <w:noProof/>
                <w:lang w:val="de-DE"/>
              </w:rPr>
              <w:t xml:space="preserve"> Dienste/Interventionen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76FC7A" w14:textId="77777777" w:rsidR="0057163C" w:rsidRPr="00170422" w:rsidRDefault="00F37BF9">
            <w:pPr>
              <w:pStyle w:val="P68B1DB1-Normal121"/>
              <w:spacing w:after="0"/>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C077E9" w14:textId="77777777" w:rsidR="0057163C" w:rsidRPr="00170422" w:rsidRDefault="00F37BF9">
            <w:pPr>
              <w:pStyle w:val="P68B1DB1-Normal121"/>
              <w:spacing w:after="0"/>
              <w:rPr>
                <w:noProof/>
                <w:lang w:val="de-DE"/>
              </w:rPr>
            </w:pPr>
            <w:r w:rsidRPr="00170422">
              <w:rPr>
                <w:noProof/>
                <w:lang w:val="de-DE"/>
              </w:rPr>
              <w:t>Bessere Zugänglichkeit digitaler öffentlicher Dienste</w:t>
            </w:r>
          </w:p>
        </w:tc>
      </w:tr>
      <w:tr w:rsidR="0057163C" w:rsidRPr="00170422" w14:paraId="5BC2EA6C"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B251739" w14:textId="77777777" w:rsidR="0057163C" w:rsidRPr="00170422" w:rsidRDefault="00F37BF9">
            <w:pPr>
              <w:pStyle w:val="P68B1DB1-Normal121"/>
              <w:spacing w:after="0"/>
              <w:jc w:val="center"/>
              <w:rPr>
                <w:noProof/>
                <w:lang w:val="de-DE"/>
              </w:rPr>
            </w:pPr>
            <w:r w:rsidRPr="00170422">
              <w:rPr>
                <w:noProof/>
                <w:lang w:val="de-DE"/>
              </w:rPr>
              <w:t>M2C2-36</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F8D799" w14:textId="77777777" w:rsidR="0057163C" w:rsidRPr="00170422" w:rsidRDefault="00F37BF9">
            <w:pPr>
              <w:pStyle w:val="P68B1DB1-Normal121"/>
              <w:spacing w:after="0"/>
              <w:rPr>
                <w:noProof/>
                <w:lang w:val="de-DE"/>
              </w:rPr>
            </w:pPr>
            <w:r w:rsidRPr="00170422">
              <w:rPr>
                <w:noProof/>
                <w:lang w:val="de-DE"/>
              </w:rPr>
              <w:t>Investition 4.4.3: Erneuerungsflotte für den Nationalen Feuerwehrkommando</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73E605" w14:textId="77777777" w:rsidR="0057163C" w:rsidRPr="00170422" w:rsidRDefault="00F37BF9">
            <w:pPr>
              <w:pStyle w:val="P68B1DB1-Normal121"/>
              <w:spacing w:after="0"/>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4C14B3" w14:textId="77777777" w:rsidR="0057163C" w:rsidRPr="00170422" w:rsidRDefault="00F37BF9">
            <w:pPr>
              <w:pStyle w:val="P68B1DB1-Normal121"/>
              <w:spacing w:after="0"/>
              <w:rPr>
                <w:noProof/>
                <w:lang w:val="de-DE"/>
              </w:rPr>
            </w:pPr>
            <w:r w:rsidRPr="00170422">
              <w:rPr>
                <w:noProof/>
                <w:lang w:val="de-DE"/>
              </w:rPr>
              <w:t xml:space="preserve">Zahl der sauberen Fahrzeuge für die Erneuerungsflotte für den Befehl der nationalen </w:t>
            </w:r>
            <w:r w:rsidRPr="00170422">
              <w:rPr>
                <w:noProof/>
                <w:lang w:val="de-DE"/>
              </w:rPr>
              <w:t>Feuerwehr</w:t>
            </w:r>
          </w:p>
        </w:tc>
      </w:tr>
      <w:tr w:rsidR="0057163C" w:rsidRPr="00170422" w14:paraId="3C418093"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5FA81171" w14:textId="77777777" w:rsidR="0057163C" w:rsidRPr="00170422" w:rsidRDefault="00F37BF9">
            <w:pPr>
              <w:pStyle w:val="P68B1DB1-Normal121"/>
              <w:spacing w:after="0"/>
              <w:jc w:val="center"/>
              <w:rPr>
                <w:noProof/>
                <w:lang w:val="de-DE"/>
              </w:rPr>
            </w:pPr>
            <w:r w:rsidRPr="00170422">
              <w:rPr>
                <w:noProof/>
                <w:lang w:val="de-DE"/>
              </w:rPr>
              <w:t>M2C4-32</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1FE95" w14:textId="77777777" w:rsidR="0057163C" w:rsidRPr="00170422" w:rsidRDefault="00F37BF9">
            <w:pPr>
              <w:pStyle w:val="P68B1DB1-Normal121"/>
              <w:spacing w:after="0"/>
              <w:rPr>
                <w:noProof/>
                <w:lang w:val="de-DE"/>
              </w:rPr>
            </w:pPr>
            <w:r w:rsidRPr="00170422">
              <w:rPr>
                <w:noProof/>
                <w:lang w:val="de-DE"/>
              </w:rPr>
              <w:t>Investition 4.2. Verringerung der Verluste in den Wasserverteilungsnetzen, einschließlich Digitalisierung und Überwachung der Netze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806E80" w14:textId="77777777" w:rsidR="0057163C" w:rsidRPr="00170422" w:rsidRDefault="00F37BF9">
            <w:pPr>
              <w:pStyle w:val="P68B1DB1-Normal121"/>
              <w:spacing w:after="0"/>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1BEC36" w14:textId="77777777" w:rsidR="0057163C" w:rsidRPr="00170422" w:rsidRDefault="00F37BF9">
            <w:pPr>
              <w:pStyle w:val="P68B1DB1-Normal121"/>
              <w:spacing w:after="0"/>
              <w:rPr>
                <w:noProof/>
                <w:lang w:val="de-DE"/>
              </w:rPr>
            </w:pPr>
            <w:r w:rsidRPr="00170422">
              <w:rPr>
                <w:noProof/>
                <w:lang w:val="de-DE"/>
              </w:rPr>
              <w:t xml:space="preserve">Interventionen in Wasserversorgungsnetzen, einschließlich Digitalisierung und Überwachung der Netze </w:t>
            </w:r>
            <w:r w:rsidRPr="00170422">
              <w:rPr>
                <w:noProof/>
                <w:lang w:val="de-DE"/>
              </w:rPr>
              <w:t>T2</w:t>
            </w:r>
          </w:p>
        </w:tc>
      </w:tr>
      <w:tr w:rsidR="0057163C" w:rsidRPr="00170422" w14:paraId="14CAE95E"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37EE60A5" w14:textId="77777777" w:rsidR="0057163C" w:rsidRPr="00170422" w:rsidRDefault="00F37BF9">
            <w:pPr>
              <w:pStyle w:val="P68B1DB1-Normal121"/>
              <w:spacing w:after="0"/>
              <w:jc w:val="center"/>
              <w:rPr>
                <w:noProof/>
                <w:lang w:val="de-DE"/>
              </w:rPr>
            </w:pPr>
            <w:r w:rsidRPr="00170422">
              <w:rPr>
                <w:noProof/>
                <w:lang w:val="de-DE"/>
              </w:rPr>
              <w:t>M1C1-153</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FE5A3B" w14:textId="77777777" w:rsidR="0057163C" w:rsidRPr="00170422" w:rsidRDefault="00F37BF9">
            <w:pPr>
              <w:pStyle w:val="P68B1DB1-Normal121"/>
              <w:spacing w:after="0"/>
              <w:rPr>
                <w:noProof/>
                <w:lang w:val="de-DE"/>
              </w:rPr>
            </w:pPr>
            <w:r w:rsidRPr="00170422">
              <w:rPr>
                <w:noProof/>
                <w:lang w:val="de-DE"/>
              </w:rPr>
              <w:t>Investition 1.6.2 – Digitalisierung des Justizministeriums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D85D6E" w14:textId="77777777" w:rsidR="0057163C" w:rsidRPr="00170422" w:rsidRDefault="00F37BF9">
            <w:pPr>
              <w:pStyle w:val="P68B1DB1-Normal121"/>
              <w:spacing w:after="0"/>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851031" w14:textId="77777777" w:rsidR="0057163C" w:rsidRPr="00170422" w:rsidRDefault="00F37BF9">
            <w:pPr>
              <w:pStyle w:val="P68B1DB1-Normal121"/>
              <w:spacing w:after="0"/>
              <w:rPr>
                <w:noProof/>
                <w:lang w:val="de-DE"/>
              </w:rPr>
            </w:pPr>
            <w:r w:rsidRPr="00170422">
              <w:rPr>
                <w:noProof/>
                <w:lang w:val="de-DE"/>
              </w:rPr>
              <w:t>Digitalisierte Gerichtsakten T2</w:t>
            </w:r>
          </w:p>
        </w:tc>
      </w:tr>
      <w:tr w:rsidR="0057163C" w:rsidRPr="00170422" w14:paraId="528C3C25" w14:textId="77777777" w:rsidTr="00A400C5">
        <w:trPr>
          <w:trHeight w:val="300"/>
        </w:trPr>
        <w:tc>
          <w:tcPr>
            <w:tcW w:w="1435" w:type="dxa"/>
            <w:shd w:val="clear" w:color="auto" w:fill="C6EFCE"/>
            <w:tcMar>
              <w:left w:w="108" w:type="dxa"/>
              <w:right w:w="108" w:type="dxa"/>
            </w:tcMar>
            <w:vAlign w:val="bottom"/>
          </w:tcPr>
          <w:p w14:paraId="47676C27" w14:textId="77777777" w:rsidR="0057163C" w:rsidRPr="00170422" w:rsidRDefault="00F37BF9">
            <w:pPr>
              <w:pStyle w:val="P68B1DB1-Normal121"/>
              <w:spacing w:after="0" w:line="240" w:lineRule="auto"/>
              <w:jc w:val="center"/>
              <w:rPr>
                <w:noProof/>
                <w:lang w:val="de-DE"/>
              </w:rPr>
            </w:pPr>
            <w:r w:rsidRPr="00170422">
              <w:rPr>
                <w:noProof/>
                <w:lang w:val="de-DE"/>
              </w:rPr>
              <w:t xml:space="preserve"> </w:t>
            </w:r>
          </w:p>
        </w:tc>
        <w:tc>
          <w:tcPr>
            <w:tcW w:w="2097" w:type="dxa"/>
            <w:shd w:val="clear" w:color="auto" w:fill="C6EFCE"/>
            <w:tcMar>
              <w:left w:w="108" w:type="dxa"/>
              <w:right w:w="108" w:type="dxa"/>
            </w:tcMar>
            <w:vAlign w:val="center"/>
          </w:tcPr>
          <w:p w14:paraId="65ACE610"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3502E21C"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9" w:type="dxa"/>
            <w:shd w:val="clear" w:color="auto" w:fill="C6EFCE"/>
            <w:tcMar>
              <w:left w:w="108" w:type="dxa"/>
              <w:right w:w="108" w:type="dxa"/>
            </w:tcMar>
            <w:vAlign w:val="center"/>
          </w:tcPr>
          <w:p w14:paraId="4AA90E09" w14:textId="77777777" w:rsidR="0057163C" w:rsidRPr="00170422" w:rsidRDefault="00F37BF9">
            <w:pPr>
              <w:pStyle w:val="P68B1DB1-Normal121"/>
              <w:spacing w:after="0" w:line="240" w:lineRule="auto"/>
              <w:rPr>
                <w:noProof/>
                <w:lang w:val="de-DE"/>
              </w:rPr>
            </w:pPr>
            <w:r w:rsidRPr="00170422">
              <w:rPr>
                <w:noProof/>
                <w:lang w:val="de-DE"/>
              </w:rPr>
              <w:t>7 670 089 282 EUR</w:t>
            </w:r>
          </w:p>
        </w:tc>
      </w:tr>
    </w:tbl>
    <w:p w14:paraId="68EC3F37"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638A5611" w14:textId="77777777" w:rsidR="0057163C" w:rsidRPr="00170422" w:rsidRDefault="00F37BF9">
      <w:pPr>
        <w:pStyle w:val="P68B1DB1-Heading4119"/>
        <w:numPr>
          <w:ilvl w:val="1"/>
          <w:numId w:val="180"/>
        </w:numPr>
        <w:tabs>
          <w:tab w:val="num" w:pos="1440"/>
        </w:tabs>
        <w:ind w:left="1440" w:hanging="360"/>
        <w:rPr>
          <w:noProof/>
          <w:lang w:val="de-DE"/>
        </w:rPr>
      </w:pPr>
      <w:r w:rsidRPr="00170422">
        <w:rPr>
          <w:noProof/>
          <w:lang w:val="de-DE"/>
        </w:rPr>
        <w:t>Zehnte Tranche (nicht rückzahlbare Unterstützung):</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097"/>
        <w:gridCol w:w="2268"/>
        <w:gridCol w:w="3559"/>
      </w:tblGrid>
      <w:tr w:rsidR="0057163C" w:rsidRPr="00170422" w14:paraId="0DE91403" w14:textId="77777777" w:rsidTr="00A400C5">
        <w:trPr>
          <w:trHeight w:val="900"/>
          <w:tblHeader/>
        </w:trPr>
        <w:tc>
          <w:tcPr>
            <w:tcW w:w="1435" w:type="dxa"/>
            <w:vMerge w:val="restart"/>
            <w:shd w:val="clear" w:color="auto" w:fill="BDD7EE"/>
            <w:tcMar>
              <w:left w:w="108" w:type="dxa"/>
              <w:right w:w="108" w:type="dxa"/>
            </w:tcMar>
            <w:vAlign w:val="center"/>
          </w:tcPr>
          <w:p w14:paraId="4D14B7B8" w14:textId="77777777" w:rsidR="0057163C" w:rsidRPr="00170422" w:rsidRDefault="00F37BF9">
            <w:pPr>
              <w:pStyle w:val="P68B1DB1-Normal120"/>
              <w:spacing w:after="0" w:line="240" w:lineRule="auto"/>
              <w:jc w:val="center"/>
              <w:rPr>
                <w:bCs/>
                <w:noProof/>
                <w:lang w:val="de-DE"/>
              </w:rPr>
            </w:pPr>
            <w:r w:rsidRPr="00170422">
              <w:rPr>
                <w:noProof/>
                <w:lang w:val="de-DE"/>
              </w:rPr>
              <w:t>Laufende Nummer</w:t>
            </w:r>
          </w:p>
        </w:tc>
        <w:tc>
          <w:tcPr>
            <w:tcW w:w="2097" w:type="dxa"/>
            <w:vMerge w:val="restart"/>
            <w:shd w:val="clear" w:color="auto" w:fill="BDD7EE"/>
            <w:tcMar>
              <w:left w:w="108" w:type="dxa"/>
              <w:right w:w="108" w:type="dxa"/>
            </w:tcMar>
            <w:vAlign w:val="center"/>
          </w:tcPr>
          <w:p w14:paraId="2ED8FD1D" w14:textId="77777777" w:rsidR="0057163C" w:rsidRPr="00170422" w:rsidRDefault="00F37BF9">
            <w:pPr>
              <w:pStyle w:val="P68B1DB1-Normal120"/>
              <w:spacing w:after="0" w:line="240" w:lineRule="auto"/>
              <w:jc w:val="center"/>
              <w:rPr>
                <w:noProof/>
                <w:lang w:val="de-DE"/>
              </w:rPr>
            </w:pPr>
            <w:r w:rsidRPr="00170422">
              <w:rPr>
                <w:noProof/>
                <w:lang w:val="de-DE"/>
              </w:rPr>
              <w:t xml:space="preserve">Verbundene Maßnahme (Reform oder </w:t>
            </w:r>
            <w:r w:rsidRPr="00170422">
              <w:rPr>
                <w:noProof/>
                <w:lang w:val="de-DE"/>
              </w:rPr>
              <w:t>Investition)</w:t>
            </w:r>
          </w:p>
        </w:tc>
        <w:tc>
          <w:tcPr>
            <w:tcW w:w="2268" w:type="dxa"/>
            <w:vMerge w:val="restart"/>
            <w:shd w:val="clear" w:color="auto" w:fill="BDD7EE"/>
            <w:tcMar>
              <w:left w:w="108" w:type="dxa"/>
              <w:right w:w="108" w:type="dxa"/>
            </w:tcMar>
            <w:vAlign w:val="center"/>
          </w:tcPr>
          <w:p w14:paraId="55731142"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9" w:type="dxa"/>
            <w:vMerge w:val="restart"/>
            <w:shd w:val="clear" w:color="auto" w:fill="BDD7EE"/>
            <w:tcMar>
              <w:left w:w="108" w:type="dxa"/>
              <w:right w:w="108" w:type="dxa"/>
            </w:tcMar>
            <w:vAlign w:val="center"/>
          </w:tcPr>
          <w:p w14:paraId="3A69F502"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5C8FDBA9" w14:textId="77777777" w:rsidTr="00A400C5">
        <w:trPr>
          <w:trHeight w:val="510"/>
        </w:trPr>
        <w:tc>
          <w:tcPr>
            <w:tcW w:w="1435" w:type="dxa"/>
            <w:vMerge/>
            <w:vAlign w:val="center"/>
          </w:tcPr>
          <w:p w14:paraId="41B1791A"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vMerge/>
            <w:vAlign w:val="center"/>
          </w:tcPr>
          <w:p w14:paraId="507FB542"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vAlign w:val="center"/>
          </w:tcPr>
          <w:p w14:paraId="4E598482"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9" w:type="dxa"/>
            <w:vMerge/>
            <w:vAlign w:val="center"/>
          </w:tcPr>
          <w:p w14:paraId="5B3D5FC4"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0F972973" w14:textId="77777777" w:rsidTr="00A400C5">
        <w:trPr>
          <w:trHeight w:val="300"/>
        </w:trPr>
        <w:tc>
          <w:tcPr>
            <w:tcW w:w="1435" w:type="dxa"/>
            <w:shd w:val="clear" w:color="auto" w:fill="C6EFCE"/>
            <w:tcMar>
              <w:left w:w="108" w:type="dxa"/>
              <w:right w:w="108" w:type="dxa"/>
            </w:tcMar>
            <w:vAlign w:val="center"/>
          </w:tcPr>
          <w:p w14:paraId="15EACD18" w14:textId="77777777" w:rsidR="0057163C" w:rsidRPr="00170422" w:rsidRDefault="00F37BF9">
            <w:pPr>
              <w:pStyle w:val="P68B1DB1-Normal121"/>
              <w:spacing w:after="0" w:line="240" w:lineRule="auto"/>
              <w:jc w:val="center"/>
              <w:rPr>
                <w:noProof/>
                <w:lang w:val="de-DE"/>
              </w:rPr>
            </w:pPr>
            <w:r w:rsidRPr="00170422">
              <w:rPr>
                <w:noProof/>
                <w:lang w:val="de-DE"/>
              </w:rPr>
              <w:t>M1C1-88</w:t>
            </w:r>
          </w:p>
        </w:tc>
        <w:tc>
          <w:tcPr>
            <w:tcW w:w="2097" w:type="dxa"/>
            <w:shd w:val="clear" w:color="auto" w:fill="C6EFCE"/>
            <w:tcMar>
              <w:left w:w="108" w:type="dxa"/>
              <w:right w:w="108" w:type="dxa"/>
            </w:tcMar>
            <w:vAlign w:val="center"/>
          </w:tcPr>
          <w:p w14:paraId="6BCADE5E"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60C1B56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258468C" w14:textId="77777777" w:rsidR="0057163C" w:rsidRPr="00170422" w:rsidRDefault="00F37BF9">
            <w:pPr>
              <w:pStyle w:val="P68B1DB1-Normal121"/>
              <w:spacing w:after="0" w:line="240" w:lineRule="auto"/>
              <w:rPr>
                <w:noProof/>
                <w:lang w:val="de-DE"/>
              </w:rPr>
            </w:pPr>
            <w:r w:rsidRPr="00170422">
              <w:rPr>
                <w:noProof/>
                <w:lang w:val="de-DE"/>
              </w:rPr>
              <w:t xml:space="preserve">Verringerung der durchschnittlichen Anzahl der Tage für die Bezahlung von Unternehmen durch die </w:t>
            </w:r>
            <w:r w:rsidRPr="00170422">
              <w:rPr>
                <w:noProof/>
                <w:lang w:val="de-DE"/>
              </w:rPr>
              <w:t>zentralen Behörden</w:t>
            </w:r>
          </w:p>
        </w:tc>
      </w:tr>
      <w:tr w:rsidR="0057163C" w:rsidRPr="00170422" w14:paraId="4FF0437F" w14:textId="77777777" w:rsidTr="00A400C5">
        <w:trPr>
          <w:trHeight w:val="300"/>
        </w:trPr>
        <w:tc>
          <w:tcPr>
            <w:tcW w:w="1435" w:type="dxa"/>
            <w:shd w:val="clear" w:color="auto" w:fill="C6EFCE"/>
            <w:tcMar>
              <w:left w:w="108" w:type="dxa"/>
              <w:right w:w="108" w:type="dxa"/>
            </w:tcMar>
            <w:vAlign w:val="center"/>
          </w:tcPr>
          <w:p w14:paraId="351DEA49" w14:textId="77777777" w:rsidR="0057163C" w:rsidRPr="00170422" w:rsidRDefault="00F37BF9">
            <w:pPr>
              <w:pStyle w:val="P68B1DB1-Normal121"/>
              <w:spacing w:after="0" w:line="240" w:lineRule="auto"/>
              <w:jc w:val="center"/>
              <w:rPr>
                <w:noProof/>
                <w:lang w:val="de-DE"/>
              </w:rPr>
            </w:pPr>
            <w:r w:rsidRPr="00170422">
              <w:rPr>
                <w:noProof/>
                <w:lang w:val="de-DE"/>
              </w:rPr>
              <w:t>M1C1-89</w:t>
            </w:r>
          </w:p>
        </w:tc>
        <w:tc>
          <w:tcPr>
            <w:tcW w:w="2097" w:type="dxa"/>
            <w:shd w:val="clear" w:color="auto" w:fill="C6EFCE"/>
            <w:tcMar>
              <w:left w:w="108" w:type="dxa"/>
              <w:right w:w="108" w:type="dxa"/>
            </w:tcMar>
            <w:vAlign w:val="center"/>
          </w:tcPr>
          <w:p w14:paraId="57B1C444"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59C3450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33D40EB" w14:textId="77777777" w:rsidR="0057163C" w:rsidRPr="00170422" w:rsidRDefault="00F37BF9">
            <w:pPr>
              <w:pStyle w:val="P68B1DB1-Normal121"/>
              <w:spacing w:after="0" w:line="240" w:lineRule="auto"/>
              <w:rPr>
                <w:noProof/>
                <w:lang w:val="de-DE"/>
              </w:rPr>
            </w:pPr>
            <w:r w:rsidRPr="00170422">
              <w:rPr>
                <w:noProof/>
                <w:lang w:val="de-DE"/>
              </w:rPr>
              <w:t>Verringerung der durchschnittlichen Anzahl der Tage für die Bezahlung von Unternehmen durch die regionalen Behörden</w:t>
            </w:r>
          </w:p>
        </w:tc>
      </w:tr>
      <w:tr w:rsidR="0057163C" w:rsidRPr="00170422" w14:paraId="0214F81F" w14:textId="77777777" w:rsidTr="00A400C5">
        <w:trPr>
          <w:trHeight w:val="300"/>
        </w:trPr>
        <w:tc>
          <w:tcPr>
            <w:tcW w:w="1435" w:type="dxa"/>
            <w:shd w:val="clear" w:color="auto" w:fill="C6EFCE"/>
            <w:tcMar>
              <w:left w:w="108" w:type="dxa"/>
              <w:right w:w="108" w:type="dxa"/>
            </w:tcMar>
            <w:vAlign w:val="center"/>
          </w:tcPr>
          <w:p w14:paraId="4F5A4DF4" w14:textId="77777777" w:rsidR="0057163C" w:rsidRPr="00170422" w:rsidRDefault="00F37BF9">
            <w:pPr>
              <w:pStyle w:val="P68B1DB1-Normal121"/>
              <w:spacing w:after="0" w:line="240" w:lineRule="auto"/>
              <w:jc w:val="center"/>
              <w:rPr>
                <w:noProof/>
                <w:lang w:val="de-DE"/>
              </w:rPr>
            </w:pPr>
            <w:r w:rsidRPr="00170422">
              <w:rPr>
                <w:noProof/>
                <w:lang w:val="de-DE"/>
              </w:rPr>
              <w:t>M1C1-90</w:t>
            </w:r>
          </w:p>
        </w:tc>
        <w:tc>
          <w:tcPr>
            <w:tcW w:w="2097" w:type="dxa"/>
            <w:shd w:val="clear" w:color="auto" w:fill="C6EFCE"/>
            <w:tcMar>
              <w:left w:w="108" w:type="dxa"/>
              <w:right w:w="108" w:type="dxa"/>
            </w:tcMar>
            <w:vAlign w:val="center"/>
          </w:tcPr>
          <w:p w14:paraId="566D7C48" w14:textId="77777777" w:rsidR="0057163C" w:rsidRPr="00170422" w:rsidRDefault="00F37BF9">
            <w:pPr>
              <w:pStyle w:val="P68B1DB1-Normal121"/>
              <w:spacing w:after="0" w:line="240" w:lineRule="auto"/>
              <w:rPr>
                <w:noProof/>
                <w:lang w:val="de-DE"/>
              </w:rPr>
            </w:pPr>
            <w:r w:rsidRPr="00170422">
              <w:rPr>
                <w:noProof/>
                <w:lang w:val="de-DE"/>
              </w:rPr>
              <w:t>Reform 1.11: Verringerung des Zahlungsverzugs durch öffentliche Verwaltungen und Gesundheitsbehörden</w:t>
            </w:r>
          </w:p>
        </w:tc>
        <w:tc>
          <w:tcPr>
            <w:tcW w:w="2268" w:type="dxa"/>
            <w:shd w:val="clear" w:color="auto" w:fill="C6EFCE"/>
            <w:tcMar>
              <w:left w:w="108" w:type="dxa"/>
              <w:right w:w="108" w:type="dxa"/>
            </w:tcMar>
            <w:vAlign w:val="center"/>
          </w:tcPr>
          <w:p w14:paraId="4145AC8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8F96142" w14:textId="77777777" w:rsidR="0057163C" w:rsidRPr="00170422" w:rsidRDefault="00F37BF9">
            <w:pPr>
              <w:pStyle w:val="P68B1DB1-Normal121"/>
              <w:spacing w:after="0" w:line="240" w:lineRule="auto"/>
              <w:rPr>
                <w:noProof/>
                <w:lang w:val="de-DE"/>
              </w:rPr>
            </w:pPr>
            <w:r w:rsidRPr="00170422">
              <w:rPr>
                <w:noProof/>
                <w:lang w:val="de-DE"/>
              </w:rPr>
              <w:t>Verringerung der durchschnittlichen Anzahl der Tage für die Bezahlung von Unternehmen durch die lokalen Behörden</w:t>
            </w:r>
          </w:p>
        </w:tc>
      </w:tr>
      <w:tr w:rsidR="0057163C" w:rsidRPr="00170422" w14:paraId="4E17384B" w14:textId="77777777" w:rsidTr="00A400C5">
        <w:trPr>
          <w:trHeight w:val="300"/>
        </w:trPr>
        <w:tc>
          <w:tcPr>
            <w:tcW w:w="1435" w:type="dxa"/>
            <w:shd w:val="clear" w:color="auto" w:fill="C6EFCE"/>
            <w:tcMar>
              <w:left w:w="108" w:type="dxa"/>
              <w:right w:w="108" w:type="dxa"/>
            </w:tcMar>
            <w:vAlign w:val="center"/>
          </w:tcPr>
          <w:p w14:paraId="797F7A40" w14:textId="77777777" w:rsidR="0057163C" w:rsidRPr="00170422" w:rsidRDefault="00F37BF9">
            <w:pPr>
              <w:pStyle w:val="P68B1DB1-Normal121"/>
              <w:spacing w:after="0" w:line="240" w:lineRule="auto"/>
              <w:jc w:val="center"/>
              <w:rPr>
                <w:noProof/>
                <w:lang w:val="de-DE"/>
              </w:rPr>
            </w:pPr>
            <w:r w:rsidRPr="00170422">
              <w:rPr>
                <w:noProof/>
                <w:lang w:val="de-DE"/>
              </w:rPr>
              <w:t>M1C1-91</w:t>
            </w:r>
          </w:p>
        </w:tc>
        <w:tc>
          <w:tcPr>
            <w:tcW w:w="2097" w:type="dxa"/>
            <w:shd w:val="clear" w:color="auto" w:fill="C6EFCE"/>
            <w:tcMar>
              <w:left w:w="108" w:type="dxa"/>
              <w:right w:w="108" w:type="dxa"/>
            </w:tcMar>
            <w:vAlign w:val="center"/>
          </w:tcPr>
          <w:p w14:paraId="2A81E3E9" w14:textId="77777777" w:rsidR="0057163C" w:rsidRPr="00170422" w:rsidRDefault="00F37BF9">
            <w:pPr>
              <w:pStyle w:val="P68B1DB1-Normal121"/>
              <w:spacing w:after="0" w:line="240" w:lineRule="auto"/>
              <w:rPr>
                <w:noProof/>
                <w:lang w:val="de-DE"/>
              </w:rPr>
            </w:pPr>
            <w:r w:rsidRPr="00170422">
              <w:rPr>
                <w:noProof/>
                <w:lang w:val="de-DE"/>
              </w:rPr>
              <w:t xml:space="preserve">Reform 1.11: </w:t>
            </w:r>
            <w:r w:rsidRPr="00170422">
              <w:rPr>
                <w:noProof/>
                <w:lang w:val="de-DE"/>
              </w:rPr>
              <w:t>Verringerung des Zahlungsverzugs durch öffentliche Verwaltungen und Gesundheitsbehörden</w:t>
            </w:r>
          </w:p>
        </w:tc>
        <w:tc>
          <w:tcPr>
            <w:tcW w:w="2268" w:type="dxa"/>
            <w:shd w:val="clear" w:color="auto" w:fill="C6EFCE"/>
            <w:tcMar>
              <w:left w:w="108" w:type="dxa"/>
              <w:right w:w="108" w:type="dxa"/>
            </w:tcMar>
            <w:vAlign w:val="center"/>
          </w:tcPr>
          <w:p w14:paraId="5411396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3D35957" w14:textId="77777777" w:rsidR="0057163C" w:rsidRPr="00170422" w:rsidRDefault="00F37BF9">
            <w:pPr>
              <w:pStyle w:val="P68B1DB1-Normal121"/>
              <w:spacing w:after="0" w:line="240" w:lineRule="auto"/>
              <w:rPr>
                <w:noProof/>
                <w:lang w:val="de-DE"/>
              </w:rPr>
            </w:pPr>
            <w:r w:rsidRPr="00170422">
              <w:rPr>
                <w:noProof/>
                <w:lang w:val="de-DE"/>
              </w:rPr>
              <w:t>Verringerung der durchschnittlichen Anzahl der Tage für die Bezahlung von Unternehmen durch die Gesundheitsbehörden</w:t>
            </w:r>
          </w:p>
        </w:tc>
      </w:tr>
      <w:tr w:rsidR="0057163C" w:rsidRPr="00170422" w14:paraId="6344D29F" w14:textId="77777777" w:rsidTr="00A400C5">
        <w:trPr>
          <w:trHeight w:val="300"/>
        </w:trPr>
        <w:tc>
          <w:tcPr>
            <w:tcW w:w="1435" w:type="dxa"/>
            <w:shd w:val="clear" w:color="auto" w:fill="C6EFCE"/>
            <w:tcMar>
              <w:left w:w="108" w:type="dxa"/>
              <w:right w:w="108" w:type="dxa"/>
            </w:tcMar>
            <w:vAlign w:val="center"/>
          </w:tcPr>
          <w:p w14:paraId="6BD77F58" w14:textId="77777777" w:rsidR="0057163C" w:rsidRPr="00170422" w:rsidRDefault="00F37BF9">
            <w:pPr>
              <w:pStyle w:val="P68B1DB1-Normal121"/>
              <w:spacing w:after="0" w:line="240" w:lineRule="auto"/>
              <w:jc w:val="center"/>
              <w:rPr>
                <w:noProof/>
                <w:lang w:val="de-DE"/>
              </w:rPr>
            </w:pPr>
            <w:r w:rsidRPr="00170422">
              <w:rPr>
                <w:noProof/>
                <w:lang w:val="de-DE"/>
              </w:rPr>
              <w:t>M1C1-117</w:t>
            </w:r>
          </w:p>
        </w:tc>
        <w:tc>
          <w:tcPr>
            <w:tcW w:w="2097" w:type="dxa"/>
            <w:shd w:val="clear" w:color="auto" w:fill="C6EFCE"/>
            <w:tcMar>
              <w:left w:w="108" w:type="dxa"/>
              <w:right w:w="108" w:type="dxa"/>
            </w:tcMar>
            <w:vAlign w:val="center"/>
          </w:tcPr>
          <w:p w14:paraId="453D349A" w14:textId="77777777" w:rsidR="0057163C" w:rsidRPr="00170422" w:rsidRDefault="00F37BF9">
            <w:pPr>
              <w:pStyle w:val="P68B1DB1-Normal121"/>
              <w:spacing w:after="0" w:line="240" w:lineRule="auto"/>
              <w:rPr>
                <w:noProof/>
                <w:lang w:val="de-DE"/>
              </w:rPr>
            </w:pPr>
            <w:r w:rsidRPr="00170422">
              <w:rPr>
                <w:noProof/>
                <w:lang w:val="de-DE"/>
              </w:rPr>
              <w:t xml:space="preserve">Reform 1.15: Reform der Vorschriften </w:t>
            </w:r>
            <w:r w:rsidRPr="00170422">
              <w:rPr>
                <w:noProof/>
                <w:lang w:val="de-DE"/>
              </w:rPr>
              <w:t>für das öffentliche Rechnungswesen</w:t>
            </w:r>
          </w:p>
        </w:tc>
        <w:tc>
          <w:tcPr>
            <w:tcW w:w="2268" w:type="dxa"/>
            <w:shd w:val="clear" w:color="auto" w:fill="C6EFCE"/>
            <w:tcMar>
              <w:left w:w="108" w:type="dxa"/>
              <w:right w:w="108" w:type="dxa"/>
            </w:tcMar>
            <w:vAlign w:val="center"/>
          </w:tcPr>
          <w:p w14:paraId="5817C57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30072E7" w14:textId="77777777" w:rsidR="0057163C" w:rsidRPr="00170422" w:rsidRDefault="00F37BF9">
            <w:pPr>
              <w:pStyle w:val="P68B1DB1-Normal121"/>
              <w:spacing w:after="0" w:line="240" w:lineRule="auto"/>
              <w:rPr>
                <w:noProof/>
                <w:lang w:val="de-DE"/>
              </w:rPr>
            </w:pPr>
            <w:r w:rsidRPr="00170422">
              <w:rPr>
                <w:noProof/>
                <w:lang w:val="de-DE"/>
              </w:rPr>
              <w:t>Schulung öffentlicher Einrichtungen für den Übergang zum neuen periodengerechten Rechnungsführungssystem</w:t>
            </w:r>
          </w:p>
        </w:tc>
      </w:tr>
      <w:tr w:rsidR="0057163C" w:rsidRPr="00170422" w14:paraId="6D16A281" w14:textId="77777777" w:rsidTr="00A400C5">
        <w:trPr>
          <w:trHeight w:val="300"/>
        </w:trPr>
        <w:tc>
          <w:tcPr>
            <w:tcW w:w="1435" w:type="dxa"/>
            <w:shd w:val="clear" w:color="auto" w:fill="C6EFCE"/>
            <w:tcMar>
              <w:left w:w="108" w:type="dxa"/>
              <w:right w:w="108" w:type="dxa"/>
            </w:tcMar>
            <w:vAlign w:val="center"/>
          </w:tcPr>
          <w:p w14:paraId="6250FB45" w14:textId="77777777" w:rsidR="0057163C" w:rsidRPr="00170422" w:rsidRDefault="00F37BF9">
            <w:pPr>
              <w:pStyle w:val="P68B1DB1-Normal121"/>
              <w:spacing w:after="0" w:line="240" w:lineRule="auto"/>
              <w:jc w:val="center"/>
              <w:rPr>
                <w:noProof/>
                <w:lang w:val="de-DE"/>
              </w:rPr>
            </w:pPr>
            <w:r w:rsidRPr="00170422">
              <w:rPr>
                <w:noProof/>
                <w:lang w:val="de-DE"/>
              </w:rPr>
              <w:t>M1C1-119</w:t>
            </w:r>
          </w:p>
        </w:tc>
        <w:tc>
          <w:tcPr>
            <w:tcW w:w="2097" w:type="dxa"/>
            <w:shd w:val="clear" w:color="auto" w:fill="C6EFCE"/>
            <w:tcMar>
              <w:left w:w="108" w:type="dxa"/>
              <w:right w:w="108" w:type="dxa"/>
            </w:tcMar>
            <w:vAlign w:val="center"/>
          </w:tcPr>
          <w:p w14:paraId="57C47A47" w14:textId="77777777" w:rsidR="0057163C" w:rsidRPr="00170422" w:rsidRDefault="00F37BF9">
            <w:pPr>
              <w:pStyle w:val="P68B1DB1-Normal121"/>
              <w:spacing w:after="0" w:line="240" w:lineRule="auto"/>
              <w:rPr>
                <w:noProof/>
                <w:lang w:val="de-DE"/>
              </w:rPr>
            </w:pPr>
            <w:r w:rsidRPr="00170422">
              <w:rPr>
                <w:noProof/>
                <w:lang w:val="de-DE"/>
              </w:rPr>
              <w:t>Reform 1.14: Reform des haushaltspolitischen Rahmens auf subnationaler Ebene</w:t>
            </w:r>
          </w:p>
        </w:tc>
        <w:tc>
          <w:tcPr>
            <w:tcW w:w="2268" w:type="dxa"/>
            <w:shd w:val="clear" w:color="auto" w:fill="C6EFCE"/>
            <w:tcMar>
              <w:left w:w="108" w:type="dxa"/>
              <w:right w:w="108" w:type="dxa"/>
            </w:tcMar>
            <w:vAlign w:val="center"/>
          </w:tcPr>
          <w:p w14:paraId="2793EB6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0BBBB8A" w14:textId="77777777" w:rsidR="0057163C" w:rsidRPr="00170422" w:rsidRDefault="00F37BF9">
            <w:pPr>
              <w:pStyle w:val="P68B1DB1-Normal121"/>
              <w:spacing w:after="0" w:line="240" w:lineRule="auto"/>
              <w:rPr>
                <w:noProof/>
                <w:lang w:val="de-DE"/>
              </w:rPr>
            </w:pPr>
            <w:r w:rsidRPr="00170422">
              <w:rPr>
                <w:noProof/>
                <w:lang w:val="de-DE"/>
              </w:rPr>
              <w:t xml:space="preserve">Festlegung </w:t>
            </w:r>
            <w:r w:rsidRPr="00170422">
              <w:rPr>
                <w:noProof/>
                <w:lang w:val="de-DE"/>
              </w:rPr>
              <w:t>der Parameter für den regionalen Fiskalföderalismus</w:t>
            </w:r>
          </w:p>
        </w:tc>
      </w:tr>
      <w:tr w:rsidR="0057163C" w:rsidRPr="00170422" w14:paraId="442CDE1C" w14:textId="77777777" w:rsidTr="00A400C5">
        <w:trPr>
          <w:trHeight w:val="300"/>
        </w:trPr>
        <w:tc>
          <w:tcPr>
            <w:tcW w:w="1435" w:type="dxa"/>
            <w:shd w:val="clear" w:color="auto" w:fill="C6EFCE"/>
            <w:tcMar>
              <w:left w:w="108" w:type="dxa"/>
              <w:right w:w="108" w:type="dxa"/>
            </w:tcMar>
            <w:vAlign w:val="center"/>
          </w:tcPr>
          <w:p w14:paraId="186514FE" w14:textId="77777777" w:rsidR="0057163C" w:rsidRPr="00170422" w:rsidRDefault="00F37BF9">
            <w:pPr>
              <w:pStyle w:val="P68B1DB1-Normal121"/>
              <w:spacing w:after="0" w:line="240" w:lineRule="auto"/>
              <w:jc w:val="center"/>
              <w:rPr>
                <w:noProof/>
                <w:lang w:val="de-DE"/>
              </w:rPr>
            </w:pPr>
            <w:r w:rsidRPr="00170422">
              <w:rPr>
                <w:noProof/>
                <w:lang w:val="de-DE"/>
              </w:rPr>
              <w:t>M1C1-120</w:t>
            </w:r>
          </w:p>
        </w:tc>
        <w:tc>
          <w:tcPr>
            <w:tcW w:w="2097" w:type="dxa"/>
            <w:shd w:val="clear" w:color="auto" w:fill="C6EFCE"/>
            <w:tcMar>
              <w:left w:w="108" w:type="dxa"/>
              <w:right w:w="108" w:type="dxa"/>
            </w:tcMar>
            <w:vAlign w:val="center"/>
          </w:tcPr>
          <w:p w14:paraId="78E31DED" w14:textId="77777777" w:rsidR="0057163C" w:rsidRPr="00170422" w:rsidRDefault="00F37BF9">
            <w:pPr>
              <w:pStyle w:val="P68B1DB1-Normal121"/>
              <w:spacing w:after="0" w:line="240" w:lineRule="auto"/>
              <w:rPr>
                <w:noProof/>
                <w:lang w:val="de-DE"/>
              </w:rPr>
            </w:pPr>
            <w:r w:rsidRPr="00170422">
              <w:rPr>
                <w:noProof/>
                <w:lang w:val="de-DE"/>
              </w:rPr>
              <w:t>Reform 1.14: Reform des haushaltspolitischen Rahmens auf subnationaler Ebene</w:t>
            </w:r>
          </w:p>
        </w:tc>
        <w:tc>
          <w:tcPr>
            <w:tcW w:w="2268" w:type="dxa"/>
            <w:shd w:val="clear" w:color="auto" w:fill="C6EFCE"/>
            <w:tcMar>
              <w:left w:w="108" w:type="dxa"/>
              <w:right w:w="108" w:type="dxa"/>
            </w:tcMar>
            <w:vAlign w:val="center"/>
          </w:tcPr>
          <w:p w14:paraId="3BFFFC2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678D268" w14:textId="77777777" w:rsidR="0057163C" w:rsidRPr="00170422" w:rsidRDefault="00F37BF9">
            <w:pPr>
              <w:pStyle w:val="P68B1DB1-Normal121"/>
              <w:spacing w:after="0" w:line="240" w:lineRule="auto"/>
              <w:rPr>
                <w:noProof/>
                <w:lang w:val="de-DE"/>
              </w:rPr>
            </w:pPr>
            <w:r w:rsidRPr="00170422">
              <w:rPr>
                <w:noProof/>
                <w:lang w:val="de-DE"/>
              </w:rPr>
              <w:t>Inkrafttreten des Rechtsakts zur Festlegung des Fiskalföderalismus für Provinzen und Großstädte</w:t>
            </w:r>
          </w:p>
        </w:tc>
      </w:tr>
      <w:tr w:rsidR="0057163C" w:rsidRPr="00170422" w14:paraId="16AFD8A5" w14:textId="77777777" w:rsidTr="00A400C5">
        <w:trPr>
          <w:trHeight w:val="300"/>
        </w:trPr>
        <w:tc>
          <w:tcPr>
            <w:tcW w:w="1435" w:type="dxa"/>
            <w:shd w:val="clear" w:color="auto" w:fill="C6EFCE"/>
            <w:tcMar>
              <w:left w:w="108" w:type="dxa"/>
              <w:right w:w="108" w:type="dxa"/>
            </w:tcMar>
            <w:vAlign w:val="center"/>
          </w:tcPr>
          <w:p w14:paraId="0851BB75" w14:textId="77777777" w:rsidR="0057163C" w:rsidRPr="00170422" w:rsidRDefault="00F37BF9">
            <w:pPr>
              <w:pStyle w:val="P68B1DB1-Normal121"/>
              <w:spacing w:after="0" w:line="240" w:lineRule="auto"/>
              <w:jc w:val="center"/>
              <w:rPr>
                <w:noProof/>
                <w:lang w:val="de-DE"/>
              </w:rPr>
            </w:pPr>
            <w:r w:rsidRPr="00170422">
              <w:rPr>
                <w:noProof/>
                <w:lang w:val="de-DE"/>
              </w:rPr>
              <w:t>M3C2-6</w:t>
            </w:r>
          </w:p>
        </w:tc>
        <w:tc>
          <w:tcPr>
            <w:tcW w:w="2097" w:type="dxa"/>
            <w:shd w:val="clear" w:color="auto" w:fill="C6EFCE"/>
            <w:tcMar>
              <w:left w:w="108" w:type="dxa"/>
              <w:right w:w="108" w:type="dxa"/>
            </w:tcMar>
            <w:vAlign w:val="center"/>
          </w:tcPr>
          <w:p w14:paraId="42911E77" w14:textId="77777777" w:rsidR="0057163C" w:rsidRPr="00170422" w:rsidRDefault="00F37BF9">
            <w:pPr>
              <w:pStyle w:val="P68B1DB1-Normal121"/>
              <w:spacing w:after="0" w:line="240" w:lineRule="auto"/>
              <w:rPr>
                <w:noProof/>
                <w:lang w:val="de-DE"/>
              </w:rPr>
            </w:pPr>
            <w:r w:rsidRPr="00170422">
              <w:rPr>
                <w:noProof/>
                <w:lang w:val="de-DE"/>
              </w:rPr>
              <w:t>I</w:t>
            </w:r>
            <w:r w:rsidRPr="00170422">
              <w:rPr>
                <w:noProof/>
                <w:lang w:val="de-DE"/>
              </w:rPr>
              <w:t>nvestition 2.2: Digitalisierung des Flugverkehrsmanagements</w:t>
            </w:r>
          </w:p>
        </w:tc>
        <w:tc>
          <w:tcPr>
            <w:tcW w:w="2268" w:type="dxa"/>
            <w:shd w:val="clear" w:color="auto" w:fill="C6EFCE"/>
            <w:tcMar>
              <w:left w:w="108" w:type="dxa"/>
              <w:right w:w="108" w:type="dxa"/>
            </w:tcMar>
            <w:vAlign w:val="center"/>
          </w:tcPr>
          <w:p w14:paraId="544AA67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4EE08735" w14:textId="77777777" w:rsidR="0057163C" w:rsidRPr="00170422" w:rsidRDefault="00F37BF9">
            <w:pPr>
              <w:pStyle w:val="P68B1DB1-Normal121"/>
              <w:spacing w:after="0" w:line="240" w:lineRule="auto"/>
              <w:rPr>
                <w:noProof/>
                <w:lang w:val="de-DE"/>
              </w:rPr>
            </w:pPr>
            <w:r w:rsidRPr="00170422">
              <w:rPr>
                <w:noProof/>
                <w:lang w:val="de-DE"/>
              </w:rPr>
              <w:t>Digitalisierung des Flugverkehrsmanagements: Inbetriebnahme neuer Instrumente</w:t>
            </w:r>
          </w:p>
        </w:tc>
      </w:tr>
      <w:tr w:rsidR="0057163C" w:rsidRPr="00170422" w14:paraId="278A15EF" w14:textId="77777777" w:rsidTr="00A400C5">
        <w:trPr>
          <w:trHeight w:val="300"/>
        </w:trPr>
        <w:tc>
          <w:tcPr>
            <w:tcW w:w="1435" w:type="dxa"/>
            <w:shd w:val="clear" w:color="auto" w:fill="C6EFCE"/>
            <w:tcMar>
              <w:left w:w="108" w:type="dxa"/>
              <w:right w:w="108" w:type="dxa"/>
            </w:tcMar>
            <w:vAlign w:val="center"/>
          </w:tcPr>
          <w:p w14:paraId="7316E3FE" w14:textId="77777777" w:rsidR="0057163C" w:rsidRPr="00170422" w:rsidRDefault="00F37BF9">
            <w:pPr>
              <w:pStyle w:val="P68B1DB1-Normal121"/>
              <w:spacing w:after="0" w:line="240" w:lineRule="auto"/>
              <w:jc w:val="center"/>
              <w:rPr>
                <w:noProof/>
                <w:lang w:val="de-DE"/>
              </w:rPr>
            </w:pPr>
            <w:r w:rsidRPr="00170422">
              <w:rPr>
                <w:noProof/>
                <w:lang w:val="de-DE"/>
              </w:rPr>
              <w:t xml:space="preserve">M5C1-11 </w:t>
            </w:r>
          </w:p>
        </w:tc>
        <w:tc>
          <w:tcPr>
            <w:tcW w:w="2097" w:type="dxa"/>
            <w:shd w:val="clear" w:color="auto" w:fill="C6EFCE"/>
            <w:tcMar>
              <w:left w:w="108" w:type="dxa"/>
              <w:right w:w="108" w:type="dxa"/>
            </w:tcMar>
            <w:vAlign w:val="center"/>
          </w:tcPr>
          <w:p w14:paraId="50356E00" w14:textId="77777777" w:rsidR="0057163C" w:rsidRPr="00170422" w:rsidRDefault="00F37BF9">
            <w:pPr>
              <w:pStyle w:val="P68B1DB1-Normal121"/>
              <w:spacing w:after="0" w:line="240" w:lineRule="auto"/>
              <w:rPr>
                <w:noProof/>
                <w:lang w:val="de-DE"/>
              </w:rPr>
            </w:pPr>
            <w:r w:rsidRPr="00170422">
              <w:rPr>
                <w:noProof/>
                <w:lang w:val="de-DE"/>
              </w:rPr>
              <w:t xml:space="preserve">Reform 2 – Nicht angemeldete Erwerbstätigkeit </w:t>
            </w:r>
          </w:p>
        </w:tc>
        <w:tc>
          <w:tcPr>
            <w:tcW w:w="2268" w:type="dxa"/>
            <w:shd w:val="clear" w:color="auto" w:fill="C6EFCE"/>
            <w:tcMar>
              <w:left w:w="108" w:type="dxa"/>
              <w:right w:w="108" w:type="dxa"/>
            </w:tcMar>
            <w:vAlign w:val="center"/>
          </w:tcPr>
          <w:p w14:paraId="2CC9D10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5653AB5" w14:textId="77777777" w:rsidR="0057163C" w:rsidRPr="00170422" w:rsidRDefault="00F37BF9">
            <w:pPr>
              <w:pStyle w:val="P68B1DB1-Normal121"/>
              <w:spacing w:after="0" w:line="240" w:lineRule="auto"/>
              <w:rPr>
                <w:noProof/>
                <w:lang w:val="de-DE"/>
              </w:rPr>
            </w:pPr>
            <w:r w:rsidRPr="00170422">
              <w:rPr>
                <w:noProof/>
                <w:lang w:val="de-DE"/>
              </w:rPr>
              <w:t xml:space="preserve">Durchführung von Maßnahmen zur Bekämpfung </w:t>
            </w:r>
            <w:r w:rsidRPr="00170422">
              <w:rPr>
                <w:noProof/>
                <w:lang w:val="de-DE"/>
              </w:rPr>
              <w:t>nicht angemeldeter Erwerbstätigkeit</w:t>
            </w:r>
          </w:p>
        </w:tc>
      </w:tr>
      <w:tr w:rsidR="0057163C" w:rsidRPr="00170422" w14:paraId="4762CBB4" w14:textId="77777777" w:rsidTr="00A400C5">
        <w:trPr>
          <w:trHeight w:val="300"/>
        </w:trPr>
        <w:tc>
          <w:tcPr>
            <w:tcW w:w="1435" w:type="dxa"/>
            <w:shd w:val="clear" w:color="auto" w:fill="C6EFCE"/>
            <w:tcMar>
              <w:left w:w="108" w:type="dxa"/>
              <w:right w:w="108" w:type="dxa"/>
            </w:tcMar>
            <w:vAlign w:val="center"/>
          </w:tcPr>
          <w:p w14:paraId="7778460A" w14:textId="77777777" w:rsidR="0057163C" w:rsidRPr="00170422" w:rsidRDefault="00F37BF9">
            <w:pPr>
              <w:pStyle w:val="P68B1DB1-Normal121"/>
              <w:spacing w:after="0" w:line="240" w:lineRule="auto"/>
              <w:jc w:val="center"/>
              <w:rPr>
                <w:noProof/>
                <w:lang w:val="de-DE"/>
              </w:rPr>
            </w:pPr>
            <w:r w:rsidRPr="00170422">
              <w:rPr>
                <w:noProof/>
                <w:lang w:val="de-DE"/>
              </w:rPr>
              <w:t>M3C2-12</w:t>
            </w:r>
          </w:p>
        </w:tc>
        <w:tc>
          <w:tcPr>
            <w:tcW w:w="2097" w:type="dxa"/>
            <w:shd w:val="clear" w:color="auto" w:fill="C6EFCE"/>
            <w:tcMar>
              <w:left w:w="108" w:type="dxa"/>
              <w:right w:w="108" w:type="dxa"/>
            </w:tcMar>
            <w:vAlign w:val="center"/>
          </w:tcPr>
          <w:p w14:paraId="5C23F421" w14:textId="77777777" w:rsidR="0057163C" w:rsidRPr="00170422" w:rsidRDefault="00F37BF9">
            <w:pPr>
              <w:pStyle w:val="P68B1DB1-Normal121"/>
              <w:spacing w:after="0" w:line="240" w:lineRule="auto"/>
              <w:rPr>
                <w:noProof/>
                <w:lang w:val="de-DE"/>
              </w:rPr>
            </w:pPr>
            <w:r w:rsidRPr="00170422">
              <w:rPr>
                <w:noProof/>
                <w:lang w:val="de-DE"/>
              </w:rPr>
              <w:t xml:space="preserve">Investition 2.3: Kaltbügeln </w:t>
            </w:r>
          </w:p>
        </w:tc>
        <w:tc>
          <w:tcPr>
            <w:tcW w:w="2268" w:type="dxa"/>
            <w:shd w:val="clear" w:color="auto" w:fill="C6EFCE"/>
            <w:tcMar>
              <w:left w:w="108" w:type="dxa"/>
              <w:right w:w="108" w:type="dxa"/>
            </w:tcMar>
            <w:vAlign w:val="center"/>
          </w:tcPr>
          <w:p w14:paraId="6A5971A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468E696" w14:textId="77777777" w:rsidR="0057163C" w:rsidRPr="00170422" w:rsidRDefault="00F37BF9">
            <w:pPr>
              <w:pStyle w:val="P68B1DB1-Normal121"/>
              <w:spacing w:after="0" w:line="240" w:lineRule="auto"/>
              <w:rPr>
                <w:noProof/>
                <w:lang w:val="de-DE"/>
              </w:rPr>
            </w:pPr>
            <w:r w:rsidRPr="00170422">
              <w:rPr>
                <w:noProof/>
                <w:lang w:val="de-DE"/>
              </w:rPr>
              <w:t xml:space="preserve">Abschluss der Arbeiten und Abnahme der geschätzten Anschlusskosten durch den Projektträger für Kaltbügelinfrastrukturen </w:t>
            </w:r>
          </w:p>
        </w:tc>
      </w:tr>
      <w:tr w:rsidR="0057163C" w:rsidRPr="00170422" w14:paraId="1440FBF4" w14:textId="77777777" w:rsidTr="00A400C5">
        <w:trPr>
          <w:trHeight w:val="300"/>
        </w:trPr>
        <w:tc>
          <w:tcPr>
            <w:tcW w:w="1435" w:type="dxa"/>
            <w:shd w:val="clear" w:color="auto" w:fill="C6EFCE"/>
            <w:tcMar>
              <w:left w:w="108" w:type="dxa"/>
              <w:right w:w="108" w:type="dxa"/>
            </w:tcMar>
            <w:vAlign w:val="center"/>
          </w:tcPr>
          <w:p w14:paraId="342D8F9C" w14:textId="77777777" w:rsidR="0057163C" w:rsidRPr="00170422" w:rsidRDefault="00F37BF9">
            <w:pPr>
              <w:pStyle w:val="P68B1DB1-Normal121"/>
              <w:spacing w:after="0" w:line="240" w:lineRule="auto"/>
              <w:jc w:val="center"/>
              <w:rPr>
                <w:noProof/>
                <w:lang w:val="de-DE"/>
              </w:rPr>
            </w:pPr>
            <w:r w:rsidRPr="00170422">
              <w:rPr>
                <w:noProof/>
                <w:lang w:val="de-DE"/>
              </w:rPr>
              <w:t>M1C1-26</w:t>
            </w:r>
          </w:p>
        </w:tc>
        <w:tc>
          <w:tcPr>
            <w:tcW w:w="2097" w:type="dxa"/>
            <w:shd w:val="clear" w:color="auto" w:fill="C6EFCE"/>
            <w:tcMar>
              <w:left w:w="108" w:type="dxa"/>
              <w:right w:w="108" w:type="dxa"/>
            </w:tcMar>
            <w:vAlign w:val="center"/>
          </w:tcPr>
          <w:p w14:paraId="52EB17A2" w14:textId="77777777" w:rsidR="0057163C" w:rsidRPr="00170422" w:rsidRDefault="00F37BF9">
            <w:pPr>
              <w:pStyle w:val="P68B1DB1-Normal121"/>
              <w:spacing w:after="0" w:line="240" w:lineRule="auto"/>
              <w:rPr>
                <w:noProof/>
                <w:lang w:val="de-DE"/>
              </w:rPr>
            </w:pPr>
            <w:r w:rsidRPr="00170422">
              <w:rPr>
                <w:noProof/>
                <w:lang w:val="de-DE"/>
              </w:rPr>
              <w:t>Investition 1.1: Digitale Infrastruktur</w:t>
            </w:r>
          </w:p>
        </w:tc>
        <w:tc>
          <w:tcPr>
            <w:tcW w:w="2268" w:type="dxa"/>
            <w:shd w:val="clear" w:color="auto" w:fill="C6EFCE"/>
            <w:tcMar>
              <w:left w:w="108" w:type="dxa"/>
              <w:right w:w="108" w:type="dxa"/>
            </w:tcMar>
            <w:vAlign w:val="center"/>
          </w:tcPr>
          <w:p w14:paraId="1FF6720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C8137A8" w14:textId="77777777" w:rsidR="0057163C" w:rsidRPr="00170422" w:rsidRDefault="00F37BF9">
            <w:pPr>
              <w:pStyle w:val="P68B1DB1-Normal121"/>
              <w:spacing w:after="0" w:line="240" w:lineRule="auto"/>
              <w:rPr>
                <w:noProof/>
                <w:lang w:val="de-DE"/>
              </w:rPr>
            </w:pPr>
            <w:r w:rsidRPr="00170422">
              <w:rPr>
                <w:noProof/>
                <w:lang w:val="de-DE"/>
              </w:rPr>
              <w:t>Migration zum Polo Strategico Nazionale oder zu einem sicheren, zertifizierten öffentlichen Cloud-Umfeld</w:t>
            </w:r>
          </w:p>
        </w:tc>
      </w:tr>
      <w:tr w:rsidR="0057163C" w:rsidRPr="00170422" w14:paraId="67F0AECA" w14:textId="77777777" w:rsidTr="00A400C5">
        <w:trPr>
          <w:trHeight w:val="300"/>
        </w:trPr>
        <w:tc>
          <w:tcPr>
            <w:tcW w:w="1435" w:type="dxa"/>
            <w:shd w:val="clear" w:color="auto" w:fill="C6EFCE"/>
            <w:tcMar>
              <w:left w:w="108" w:type="dxa"/>
              <w:right w:w="108" w:type="dxa"/>
            </w:tcMar>
            <w:vAlign w:val="center"/>
          </w:tcPr>
          <w:p w14:paraId="1C0E83E7" w14:textId="77777777" w:rsidR="0057163C" w:rsidRPr="00170422" w:rsidRDefault="00F37BF9">
            <w:pPr>
              <w:pStyle w:val="P68B1DB1-Normal121"/>
              <w:spacing w:after="0" w:line="240" w:lineRule="auto"/>
              <w:jc w:val="center"/>
              <w:rPr>
                <w:noProof/>
                <w:lang w:val="de-DE"/>
              </w:rPr>
            </w:pPr>
            <w:r w:rsidRPr="00170422">
              <w:rPr>
                <w:noProof/>
                <w:lang w:val="de-DE"/>
              </w:rPr>
              <w:t>M1C1-28</w:t>
            </w:r>
          </w:p>
        </w:tc>
        <w:tc>
          <w:tcPr>
            <w:tcW w:w="2097" w:type="dxa"/>
            <w:shd w:val="clear" w:color="auto" w:fill="C6EFCE"/>
            <w:tcMar>
              <w:left w:w="108" w:type="dxa"/>
              <w:right w:w="108" w:type="dxa"/>
            </w:tcMar>
            <w:vAlign w:val="center"/>
          </w:tcPr>
          <w:p w14:paraId="73E6FA99" w14:textId="77777777" w:rsidR="0057163C" w:rsidRPr="00170422" w:rsidRDefault="00F37BF9">
            <w:pPr>
              <w:pStyle w:val="P68B1DB1-Normal121"/>
              <w:spacing w:after="0" w:line="240" w:lineRule="auto"/>
              <w:rPr>
                <w:noProof/>
                <w:lang w:val="de-DE"/>
              </w:rPr>
            </w:pPr>
            <w:r w:rsidRPr="00170422">
              <w:rPr>
                <w:noProof/>
                <w:lang w:val="de-DE"/>
              </w:rPr>
              <w:t>Investition 1.7.2: Netz digitaler Unterstützungsdienste</w:t>
            </w:r>
          </w:p>
        </w:tc>
        <w:tc>
          <w:tcPr>
            <w:tcW w:w="2268" w:type="dxa"/>
            <w:shd w:val="clear" w:color="auto" w:fill="C6EFCE"/>
            <w:tcMar>
              <w:left w:w="108" w:type="dxa"/>
              <w:right w:w="108" w:type="dxa"/>
            </w:tcMar>
            <w:vAlign w:val="center"/>
          </w:tcPr>
          <w:p w14:paraId="7F28BCE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8E518AE" w14:textId="77777777" w:rsidR="0057163C" w:rsidRPr="00170422" w:rsidRDefault="00F37BF9">
            <w:pPr>
              <w:pStyle w:val="P68B1DB1-Normal121"/>
              <w:spacing w:after="0" w:line="240" w:lineRule="auto"/>
              <w:rPr>
                <w:noProof/>
                <w:lang w:val="de-DE"/>
              </w:rPr>
            </w:pPr>
            <w:r w:rsidRPr="00170422">
              <w:rPr>
                <w:noProof/>
                <w:lang w:val="de-DE"/>
              </w:rPr>
              <w:t>Zahl der Bürgerinnen und Bürger, die an digitalen Bildungs- und/oder Vermittlungs</w:t>
            </w:r>
            <w:r w:rsidRPr="00170422">
              <w:rPr>
                <w:noProof/>
                <w:lang w:val="de-DE"/>
              </w:rPr>
              <w:t>initiativen teilnehmen, die von digitalen Vermittlungszentren angeboten werden</w:t>
            </w:r>
          </w:p>
        </w:tc>
      </w:tr>
      <w:tr w:rsidR="0057163C" w:rsidRPr="00170422" w14:paraId="101E5362" w14:textId="77777777" w:rsidTr="00A400C5">
        <w:trPr>
          <w:trHeight w:val="300"/>
        </w:trPr>
        <w:tc>
          <w:tcPr>
            <w:tcW w:w="1435" w:type="dxa"/>
            <w:shd w:val="clear" w:color="auto" w:fill="C6EFCE"/>
            <w:tcMar>
              <w:left w:w="108" w:type="dxa"/>
              <w:right w:w="108" w:type="dxa"/>
            </w:tcMar>
            <w:vAlign w:val="center"/>
          </w:tcPr>
          <w:p w14:paraId="176E6496" w14:textId="77777777" w:rsidR="0057163C" w:rsidRPr="00170422" w:rsidRDefault="00F37BF9">
            <w:pPr>
              <w:pStyle w:val="P68B1DB1-Normal121"/>
              <w:spacing w:after="0" w:line="240" w:lineRule="auto"/>
              <w:jc w:val="center"/>
              <w:rPr>
                <w:noProof/>
                <w:lang w:val="de-DE"/>
              </w:rPr>
            </w:pPr>
            <w:r w:rsidRPr="00170422">
              <w:rPr>
                <w:noProof/>
                <w:lang w:val="de-DE"/>
              </w:rPr>
              <w:t>M1C1-45</w:t>
            </w:r>
          </w:p>
        </w:tc>
        <w:tc>
          <w:tcPr>
            <w:tcW w:w="2097" w:type="dxa"/>
            <w:shd w:val="clear" w:color="auto" w:fill="C6EFCE"/>
            <w:tcMar>
              <w:left w:w="108" w:type="dxa"/>
              <w:right w:w="108" w:type="dxa"/>
            </w:tcMar>
            <w:vAlign w:val="center"/>
          </w:tcPr>
          <w:p w14:paraId="011582DF" w14:textId="77777777" w:rsidR="0057163C" w:rsidRPr="00170422" w:rsidRDefault="00F37BF9">
            <w:pPr>
              <w:pStyle w:val="P68B1DB1-Normal121"/>
              <w:spacing w:after="0" w:line="240" w:lineRule="auto"/>
              <w:rPr>
                <w:noProof/>
                <w:lang w:val="de-DE"/>
              </w:rPr>
            </w:pPr>
            <w:r w:rsidRPr="00170422">
              <w:rPr>
                <w:noProof/>
                <w:lang w:val="de-DE"/>
              </w:rPr>
              <w:t>Reform 1.4: Reform der Ziviljustiz</w:t>
            </w:r>
          </w:p>
        </w:tc>
        <w:tc>
          <w:tcPr>
            <w:tcW w:w="2268" w:type="dxa"/>
            <w:shd w:val="clear" w:color="auto" w:fill="C6EFCE"/>
            <w:tcMar>
              <w:left w:w="108" w:type="dxa"/>
              <w:right w:w="108" w:type="dxa"/>
            </w:tcMar>
            <w:vAlign w:val="center"/>
          </w:tcPr>
          <w:p w14:paraId="314A573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C00A749" w14:textId="77777777" w:rsidR="0057163C" w:rsidRPr="00170422" w:rsidRDefault="00F37BF9">
            <w:pPr>
              <w:pStyle w:val="P68B1DB1-Normal121"/>
              <w:spacing w:after="0" w:line="240" w:lineRule="auto"/>
              <w:rPr>
                <w:noProof/>
                <w:lang w:val="de-DE"/>
              </w:rPr>
            </w:pPr>
            <w:r w:rsidRPr="00170422">
              <w:rPr>
                <w:noProof/>
                <w:lang w:val="de-DE"/>
              </w:rPr>
              <w:t>Verkürzung der Dauer von Zivilverfahren</w:t>
            </w:r>
          </w:p>
        </w:tc>
      </w:tr>
      <w:tr w:rsidR="0057163C" w:rsidRPr="00170422" w14:paraId="3E44B9EC" w14:textId="77777777" w:rsidTr="00A400C5">
        <w:trPr>
          <w:trHeight w:val="300"/>
        </w:trPr>
        <w:tc>
          <w:tcPr>
            <w:tcW w:w="1435" w:type="dxa"/>
            <w:shd w:val="clear" w:color="auto" w:fill="C6EFCE"/>
            <w:tcMar>
              <w:left w:w="108" w:type="dxa"/>
              <w:right w:w="108" w:type="dxa"/>
            </w:tcMar>
            <w:vAlign w:val="center"/>
          </w:tcPr>
          <w:p w14:paraId="767186BD" w14:textId="77777777" w:rsidR="0057163C" w:rsidRPr="00170422" w:rsidRDefault="00F37BF9">
            <w:pPr>
              <w:pStyle w:val="P68B1DB1-Normal121"/>
              <w:spacing w:after="0" w:line="240" w:lineRule="auto"/>
              <w:jc w:val="center"/>
              <w:rPr>
                <w:noProof/>
                <w:lang w:val="de-DE"/>
              </w:rPr>
            </w:pPr>
            <w:r w:rsidRPr="00170422">
              <w:rPr>
                <w:noProof/>
                <w:lang w:val="de-DE"/>
              </w:rPr>
              <w:t>M1C1-46</w:t>
            </w:r>
          </w:p>
        </w:tc>
        <w:tc>
          <w:tcPr>
            <w:tcW w:w="2097" w:type="dxa"/>
            <w:shd w:val="clear" w:color="auto" w:fill="C6EFCE"/>
            <w:tcMar>
              <w:left w:w="108" w:type="dxa"/>
              <w:right w:w="108" w:type="dxa"/>
            </w:tcMar>
            <w:vAlign w:val="center"/>
          </w:tcPr>
          <w:p w14:paraId="7C4B08B0" w14:textId="77777777" w:rsidR="0057163C" w:rsidRPr="00170422" w:rsidRDefault="00F37BF9">
            <w:pPr>
              <w:pStyle w:val="P68B1DB1-Normal121"/>
              <w:spacing w:after="0" w:line="240" w:lineRule="auto"/>
              <w:rPr>
                <w:noProof/>
                <w:lang w:val="de-DE"/>
              </w:rPr>
            </w:pPr>
            <w:r w:rsidRPr="00170422">
              <w:rPr>
                <w:noProof/>
                <w:lang w:val="de-DE"/>
              </w:rPr>
              <w:t>Reform1.5: Reform der Strafjustiz</w:t>
            </w:r>
          </w:p>
        </w:tc>
        <w:tc>
          <w:tcPr>
            <w:tcW w:w="2268" w:type="dxa"/>
            <w:shd w:val="clear" w:color="auto" w:fill="C6EFCE"/>
            <w:tcMar>
              <w:left w:w="108" w:type="dxa"/>
              <w:right w:w="108" w:type="dxa"/>
            </w:tcMar>
            <w:vAlign w:val="center"/>
          </w:tcPr>
          <w:p w14:paraId="6599527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5FE0CFA" w14:textId="77777777" w:rsidR="0057163C" w:rsidRPr="00170422" w:rsidRDefault="00F37BF9">
            <w:pPr>
              <w:pStyle w:val="P68B1DB1-Normal121"/>
              <w:spacing w:after="0" w:line="240" w:lineRule="auto"/>
              <w:rPr>
                <w:noProof/>
                <w:lang w:val="de-DE"/>
              </w:rPr>
            </w:pPr>
            <w:r w:rsidRPr="00170422">
              <w:rPr>
                <w:noProof/>
                <w:lang w:val="de-DE"/>
              </w:rPr>
              <w:t>Verkürzung der Dauer von Strafverfahren</w:t>
            </w:r>
          </w:p>
        </w:tc>
      </w:tr>
      <w:tr w:rsidR="0057163C" w:rsidRPr="00170422" w14:paraId="20DAFFAF" w14:textId="77777777" w:rsidTr="00A400C5">
        <w:trPr>
          <w:trHeight w:val="300"/>
        </w:trPr>
        <w:tc>
          <w:tcPr>
            <w:tcW w:w="1435" w:type="dxa"/>
            <w:shd w:val="clear" w:color="auto" w:fill="C6EFCE"/>
            <w:tcMar>
              <w:left w:w="108" w:type="dxa"/>
              <w:right w:w="108" w:type="dxa"/>
            </w:tcMar>
            <w:vAlign w:val="center"/>
          </w:tcPr>
          <w:p w14:paraId="6D9D6A2C" w14:textId="77777777" w:rsidR="0057163C" w:rsidRPr="00170422" w:rsidRDefault="00F37BF9">
            <w:pPr>
              <w:pStyle w:val="P68B1DB1-Normal121"/>
              <w:spacing w:after="0" w:line="240" w:lineRule="auto"/>
              <w:jc w:val="center"/>
              <w:rPr>
                <w:noProof/>
                <w:lang w:val="de-DE"/>
              </w:rPr>
            </w:pPr>
            <w:r w:rsidRPr="00170422">
              <w:rPr>
                <w:noProof/>
                <w:lang w:val="de-DE"/>
              </w:rPr>
              <w:t>M1C1-47</w:t>
            </w:r>
          </w:p>
        </w:tc>
        <w:tc>
          <w:tcPr>
            <w:tcW w:w="2097" w:type="dxa"/>
            <w:shd w:val="clear" w:color="auto" w:fill="C6EFCE"/>
            <w:tcMar>
              <w:left w:w="108" w:type="dxa"/>
              <w:right w:w="108" w:type="dxa"/>
            </w:tcMar>
            <w:vAlign w:val="center"/>
          </w:tcPr>
          <w:p w14:paraId="4AFF1936" w14:textId="77777777" w:rsidR="0057163C" w:rsidRPr="00170422" w:rsidRDefault="00F37BF9">
            <w:pPr>
              <w:pStyle w:val="P68B1DB1-Normal121"/>
              <w:spacing w:after="0" w:line="240" w:lineRule="auto"/>
              <w:rPr>
                <w:noProof/>
                <w:lang w:val="de-DE"/>
              </w:rPr>
            </w:pPr>
            <w:r w:rsidRPr="00170422">
              <w:rPr>
                <w:noProof/>
                <w:lang w:val="de-DE"/>
              </w:rPr>
              <w:t>Reform 1.4: Reform der Ziviljustiz</w:t>
            </w:r>
          </w:p>
        </w:tc>
        <w:tc>
          <w:tcPr>
            <w:tcW w:w="2268" w:type="dxa"/>
            <w:shd w:val="clear" w:color="auto" w:fill="C6EFCE"/>
            <w:tcMar>
              <w:left w:w="108" w:type="dxa"/>
              <w:right w:w="108" w:type="dxa"/>
            </w:tcMar>
            <w:vAlign w:val="center"/>
          </w:tcPr>
          <w:p w14:paraId="377716F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6EB7EBB9" w14:textId="77777777" w:rsidR="0057163C" w:rsidRPr="00170422" w:rsidRDefault="00F37BF9">
            <w:pPr>
              <w:pStyle w:val="P68B1DB1-Normal121"/>
              <w:spacing w:after="0" w:line="240" w:lineRule="auto"/>
              <w:rPr>
                <w:noProof/>
                <w:lang w:val="de-DE"/>
              </w:rPr>
            </w:pPr>
            <w:r w:rsidRPr="00170422">
              <w:rPr>
                <w:noProof/>
                <w:lang w:val="de-DE"/>
              </w:rPr>
              <w:t>Abbau des Verfahrensrückstaus bei den ordentlichen Zivilgerichten (erste Instanz)</w:t>
            </w:r>
          </w:p>
        </w:tc>
      </w:tr>
      <w:tr w:rsidR="0057163C" w:rsidRPr="00170422" w14:paraId="214E2254" w14:textId="77777777" w:rsidTr="00A400C5">
        <w:trPr>
          <w:trHeight w:val="300"/>
        </w:trPr>
        <w:tc>
          <w:tcPr>
            <w:tcW w:w="1435" w:type="dxa"/>
            <w:shd w:val="clear" w:color="auto" w:fill="C6EFCE"/>
            <w:tcMar>
              <w:left w:w="108" w:type="dxa"/>
              <w:right w:w="108" w:type="dxa"/>
            </w:tcMar>
            <w:vAlign w:val="center"/>
          </w:tcPr>
          <w:p w14:paraId="0C8FB093" w14:textId="77777777" w:rsidR="0057163C" w:rsidRPr="00170422" w:rsidRDefault="00F37BF9">
            <w:pPr>
              <w:pStyle w:val="P68B1DB1-Normal121"/>
              <w:spacing w:after="0" w:line="240" w:lineRule="auto"/>
              <w:jc w:val="center"/>
              <w:rPr>
                <w:noProof/>
                <w:lang w:val="de-DE"/>
              </w:rPr>
            </w:pPr>
            <w:r w:rsidRPr="00170422">
              <w:rPr>
                <w:noProof/>
                <w:lang w:val="de-DE"/>
              </w:rPr>
              <w:t>M1C1-48</w:t>
            </w:r>
          </w:p>
        </w:tc>
        <w:tc>
          <w:tcPr>
            <w:tcW w:w="2097" w:type="dxa"/>
            <w:shd w:val="clear" w:color="auto" w:fill="C6EFCE"/>
            <w:tcMar>
              <w:left w:w="108" w:type="dxa"/>
              <w:right w:w="108" w:type="dxa"/>
            </w:tcMar>
            <w:vAlign w:val="center"/>
          </w:tcPr>
          <w:p w14:paraId="7F759C43" w14:textId="77777777" w:rsidR="0057163C" w:rsidRPr="00170422" w:rsidRDefault="00F37BF9">
            <w:pPr>
              <w:pStyle w:val="P68B1DB1-Normal121"/>
              <w:spacing w:after="0" w:line="240" w:lineRule="auto"/>
              <w:rPr>
                <w:noProof/>
                <w:lang w:val="de-DE"/>
              </w:rPr>
            </w:pPr>
            <w:r w:rsidRPr="00170422">
              <w:rPr>
                <w:noProof/>
                <w:lang w:val="de-DE"/>
              </w:rPr>
              <w:t>Reform 1.4: Reform der Ziviljustiz</w:t>
            </w:r>
          </w:p>
        </w:tc>
        <w:tc>
          <w:tcPr>
            <w:tcW w:w="2268" w:type="dxa"/>
            <w:shd w:val="clear" w:color="auto" w:fill="C6EFCE"/>
            <w:tcMar>
              <w:left w:w="108" w:type="dxa"/>
              <w:right w:w="108" w:type="dxa"/>
            </w:tcMar>
            <w:vAlign w:val="center"/>
          </w:tcPr>
          <w:p w14:paraId="5DF8C4A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B9C2BEE" w14:textId="77777777" w:rsidR="0057163C" w:rsidRPr="00170422" w:rsidRDefault="00F37BF9">
            <w:pPr>
              <w:pStyle w:val="P68B1DB1-Normal121"/>
              <w:spacing w:after="0" w:line="240" w:lineRule="auto"/>
              <w:rPr>
                <w:noProof/>
                <w:lang w:val="de-DE"/>
              </w:rPr>
            </w:pPr>
            <w:r w:rsidRPr="00170422">
              <w:rPr>
                <w:noProof/>
                <w:lang w:val="de-DE"/>
              </w:rPr>
              <w:t>Abbau des Verfahrensrückstaus beim Zivilgericht (zweite Instanz)</w:t>
            </w:r>
          </w:p>
        </w:tc>
      </w:tr>
      <w:tr w:rsidR="0057163C" w:rsidRPr="00170422" w14:paraId="72C3C981" w14:textId="77777777" w:rsidTr="00A400C5">
        <w:trPr>
          <w:trHeight w:val="300"/>
        </w:trPr>
        <w:tc>
          <w:tcPr>
            <w:tcW w:w="1435" w:type="dxa"/>
            <w:shd w:val="clear" w:color="auto" w:fill="C6EFCE"/>
            <w:tcMar>
              <w:left w:w="108" w:type="dxa"/>
              <w:right w:w="108" w:type="dxa"/>
            </w:tcMar>
            <w:vAlign w:val="center"/>
          </w:tcPr>
          <w:p w14:paraId="4D87B453" w14:textId="77777777" w:rsidR="0057163C" w:rsidRPr="00170422" w:rsidRDefault="00F37BF9">
            <w:pPr>
              <w:pStyle w:val="P68B1DB1-Normal121"/>
              <w:spacing w:after="0" w:line="240" w:lineRule="auto"/>
              <w:jc w:val="center"/>
              <w:rPr>
                <w:noProof/>
                <w:lang w:val="de-DE"/>
              </w:rPr>
            </w:pPr>
            <w:r w:rsidRPr="00170422">
              <w:rPr>
                <w:noProof/>
                <w:lang w:val="de-DE"/>
              </w:rPr>
              <w:t>M1C1-49</w:t>
            </w:r>
          </w:p>
        </w:tc>
        <w:tc>
          <w:tcPr>
            <w:tcW w:w="2097" w:type="dxa"/>
            <w:shd w:val="clear" w:color="auto" w:fill="C6EFCE"/>
            <w:tcMar>
              <w:left w:w="108" w:type="dxa"/>
              <w:right w:w="108" w:type="dxa"/>
            </w:tcMar>
            <w:vAlign w:val="center"/>
          </w:tcPr>
          <w:p w14:paraId="6A1DBCC0"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Verwaltungsgerichte</w:t>
            </w:r>
          </w:p>
        </w:tc>
        <w:tc>
          <w:tcPr>
            <w:tcW w:w="2268" w:type="dxa"/>
            <w:shd w:val="clear" w:color="auto" w:fill="C6EFCE"/>
            <w:tcMar>
              <w:left w:w="108" w:type="dxa"/>
              <w:right w:w="108" w:type="dxa"/>
            </w:tcMar>
            <w:vAlign w:val="center"/>
          </w:tcPr>
          <w:p w14:paraId="11DF017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3482BC4" w14:textId="77777777" w:rsidR="0057163C" w:rsidRPr="00170422" w:rsidRDefault="00F37BF9">
            <w:pPr>
              <w:pStyle w:val="P68B1DB1-Normal121"/>
              <w:spacing w:after="0" w:line="240" w:lineRule="auto"/>
              <w:rPr>
                <w:noProof/>
                <w:lang w:val="de-DE"/>
              </w:rPr>
            </w:pPr>
            <w:r w:rsidRPr="00170422">
              <w:rPr>
                <w:noProof/>
                <w:lang w:val="de-DE"/>
              </w:rPr>
              <w:t>Abbau des Verfahrensrückstaus bei den regionalen Verwaltungsgerichten (erste Instanz)</w:t>
            </w:r>
          </w:p>
        </w:tc>
      </w:tr>
      <w:tr w:rsidR="0057163C" w:rsidRPr="00170422" w14:paraId="344E5757" w14:textId="77777777" w:rsidTr="00A400C5">
        <w:trPr>
          <w:trHeight w:val="300"/>
        </w:trPr>
        <w:tc>
          <w:tcPr>
            <w:tcW w:w="1435" w:type="dxa"/>
            <w:shd w:val="clear" w:color="auto" w:fill="C6EFCE"/>
            <w:tcMar>
              <w:left w:w="108" w:type="dxa"/>
              <w:right w:w="108" w:type="dxa"/>
            </w:tcMar>
            <w:vAlign w:val="center"/>
          </w:tcPr>
          <w:p w14:paraId="5C1648C1" w14:textId="77777777" w:rsidR="0057163C" w:rsidRPr="00170422" w:rsidRDefault="00F37BF9">
            <w:pPr>
              <w:pStyle w:val="P68B1DB1-Normal121"/>
              <w:spacing w:after="0" w:line="240" w:lineRule="auto"/>
              <w:jc w:val="center"/>
              <w:rPr>
                <w:noProof/>
                <w:lang w:val="de-DE"/>
              </w:rPr>
            </w:pPr>
            <w:r w:rsidRPr="00170422">
              <w:rPr>
                <w:noProof/>
                <w:lang w:val="de-DE"/>
              </w:rPr>
              <w:t>M1C1-50</w:t>
            </w:r>
          </w:p>
        </w:tc>
        <w:tc>
          <w:tcPr>
            <w:tcW w:w="2097" w:type="dxa"/>
            <w:shd w:val="clear" w:color="auto" w:fill="C6EFCE"/>
            <w:tcMar>
              <w:left w:w="108" w:type="dxa"/>
              <w:right w:w="108" w:type="dxa"/>
            </w:tcMar>
            <w:vAlign w:val="center"/>
          </w:tcPr>
          <w:p w14:paraId="5DF20DB8" w14:textId="77777777" w:rsidR="0057163C" w:rsidRPr="00170422" w:rsidRDefault="00F37BF9">
            <w:pPr>
              <w:pStyle w:val="P68B1DB1-Normal121"/>
              <w:spacing w:after="0" w:line="240" w:lineRule="auto"/>
              <w:rPr>
                <w:noProof/>
                <w:lang w:val="de-DE"/>
              </w:rPr>
            </w:pPr>
            <w:r w:rsidRPr="00170422">
              <w:rPr>
                <w:noProof/>
                <w:lang w:val="de-DE"/>
              </w:rPr>
              <w:t>Investition 1.8: Einstellungsverfahren für Verwaltungsgerichte</w:t>
            </w:r>
          </w:p>
        </w:tc>
        <w:tc>
          <w:tcPr>
            <w:tcW w:w="2268" w:type="dxa"/>
            <w:shd w:val="clear" w:color="auto" w:fill="C6EFCE"/>
            <w:tcMar>
              <w:left w:w="108" w:type="dxa"/>
              <w:right w:w="108" w:type="dxa"/>
            </w:tcMar>
            <w:vAlign w:val="center"/>
          </w:tcPr>
          <w:p w14:paraId="2A05447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720E718" w14:textId="77777777" w:rsidR="0057163C" w:rsidRPr="00170422" w:rsidRDefault="00F37BF9">
            <w:pPr>
              <w:pStyle w:val="P68B1DB1-Normal121"/>
              <w:spacing w:after="0" w:line="240" w:lineRule="auto"/>
              <w:rPr>
                <w:noProof/>
                <w:lang w:val="de-DE"/>
              </w:rPr>
            </w:pPr>
            <w:r w:rsidRPr="00170422">
              <w:rPr>
                <w:noProof/>
                <w:lang w:val="de-DE"/>
              </w:rPr>
              <w:t xml:space="preserve">Abbau des </w:t>
            </w:r>
            <w:r w:rsidRPr="00170422">
              <w:rPr>
                <w:noProof/>
                <w:lang w:val="de-DE"/>
              </w:rPr>
              <w:t>Verfahrensrückstaus für den Staatsrat</w:t>
            </w:r>
          </w:p>
        </w:tc>
      </w:tr>
      <w:tr w:rsidR="0057163C" w:rsidRPr="00170422" w14:paraId="43A7E528" w14:textId="77777777" w:rsidTr="00A400C5">
        <w:trPr>
          <w:trHeight w:val="300"/>
        </w:trPr>
        <w:tc>
          <w:tcPr>
            <w:tcW w:w="1435" w:type="dxa"/>
            <w:shd w:val="clear" w:color="auto" w:fill="C6EFCE"/>
            <w:tcMar>
              <w:left w:w="108" w:type="dxa"/>
              <w:right w:w="108" w:type="dxa"/>
            </w:tcMar>
            <w:vAlign w:val="center"/>
          </w:tcPr>
          <w:p w14:paraId="3C79735B" w14:textId="77777777" w:rsidR="0057163C" w:rsidRPr="00170422" w:rsidRDefault="00F37BF9">
            <w:pPr>
              <w:pStyle w:val="P68B1DB1-Normal121"/>
              <w:spacing w:after="0" w:line="240" w:lineRule="auto"/>
              <w:jc w:val="center"/>
              <w:rPr>
                <w:noProof/>
                <w:lang w:val="de-DE"/>
              </w:rPr>
            </w:pPr>
            <w:r w:rsidRPr="00170422">
              <w:rPr>
                <w:noProof/>
                <w:lang w:val="de-DE"/>
              </w:rPr>
              <w:t>M1C1-59ter</w:t>
            </w:r>
          </w:p>
        </w:tc>
        <w:tc>
          <w:tcPr>
            <w:tcW w:w="2097" w:type="dxa"/>
            <w:shd w:val="clear" w:color="auto" w:fill="C6EFCE"/>
            <w:tcMar>
              <w:left w:w="108" w:type="dxa"/>
              <w:right w:w="108" w:type="dxa"/>
            </w:tcMar>
            <w:vAlign w:val="center"/>
          </w:tcPr>
          <w:p w14:paraId="1A4B403B"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68" w:type="dxa"/>
            <w:shd w:val="clear" w:color="auto" w:fill="C6EFCE"/>
            <w:tcMar>
              <w:left w:w="108" w:type="dxa"/>
              <w:right w:w="108" w:type="dxa"/>
            </w:tcMar>
            <w:vAlign w:val="center"/>
          </w:tcPr>
          <w:p w14:paraId="53EBC69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172D65D2" w14:textId="77777777" w:rsidR="0057163C" w:rsidRPr="00170422" w:rsidRDefault="00F37BF9">
            <w:pPr>
              <w:pStyle w:val="P68B1DB1-Normal121"/>
              <w:spacing w:after="0" w:line="240" w:lineRule="auto"/>
              <w:rPr>
                <w:noProof/>
                <w:lang w:val="de-DE"/>
              </w:rPr>
            </w:pPr>
            <w:r w:rsidRPr="00170422">
              <w:rPr>
                <w:noProof/>
                <w:lang w:val="de-DE"/>
              </w:rPr>
              <w:t xml:space="preserve"> Umsetzung der strategischen Personalverwaltung in der öffentlichen Verwaltung  </w:t>
            </w:r>
          </w:p>
        </w:tc>
      </w:tr>
      <w:tr w:rsidR="0057163C" w:rsidRPr="00170422" w14:paraId="43D88BFB" w14:textId="77777777" w:rsidTr="00A400C5">
        <w:trPr>
          <w:trHeight w:val="300"/>
        </w:trPr>
        <w:tc>
          <w:tcPr>
            <w:tcW w:w="1435" w:type="dxa"/>
            <w:shd w:val="clear" w:color="auto" w:fill="C6EFCE"/>
            <w:tcMar>
              <w:left w:w="108" w:type="dxa"/>
              <w:right w:w="108" w:type="dxa"/>
            </w:tcMar>
            <w:vAlign w:val="center"/>
          </w:tcPr>
          <w:p w14:paraId="1B0F0E65" w14:textId="77777777" w:rsidR="0057163C" w:rsidRPr="00170422" w:rsidRDefault="00F37BF9">
            <w:pPr>
              <w:pStyle w:val="P68B1DB1-Normal121"/>
              <w:spacing w:after="0" w:line="240" w:lineRule="auto"/>
              <w:jc w:val="center"/>
              <w:rPr>
                <w:noProof/>
                <w:lang w:val="de-DE"/>
              </w:rPr>
            </w:pPr>
            <w:r w:rsidRPr="00170422">
              <w:rPr>
                <w:noProof/>
                <w:lang w:val="de-DE"/>
              </w:rPr>
              <w:t>M1C1-63</w:t>
            </w:r>
          </w:p>
        </w:tc>
        <w:tc>
          <w:tcPr>
            <w:tcW w:w="2097" w:type="dxa"/>
            <w:shd w:val="clear" w:color="auto" w:fill="C6EFCE"/>
            <w:tcMar>
              <w:left w:w="108" w:type="dxa"/>
              <w:right w:w="108" w:type="dxa"/>
            </w:tcMar>
            <w:vAlign w:val="center"/>
          </w:tcPr>
          <w:p w14:paraId="2BA7EA85" w14:textId="77777777" w:rsidR="0057163C" w:rsidRPr="00170422" w:rsidRDefault="00F37BF9">
            <w:pPr>
              <w:pStyle w:val="P68B1DB1-Normal121"/>
              <w:spacing w:after="0" w:line="240" w:lineRule="auto"/>
              <w:rPr>
                <w:noProof/>
                <w:lang w:val="de-DE"/>
              </w:rPr>
            </w:pPr>
            <w:r w:rsidRPr="00170422">
              <w:rPr>
                <w:noProof/>
                <w:lang w:val="de-DE"/>
              </w:rPr>
              <w:t>Reform 1.9: Reform der öffentlichen Verwaltung</w:t>
            </w:r>
          </w:p>
        </w:tc>
        <w:tc>
          <w:tcPr>
            <w:tcW w:w="2268" w:type="dxa"/>
            <w:shd w:val="clear" w:color="auto" w:fill="C6EFCE"/>
            <w:tcMar>
              <w:left w:w="108" w:type="dxa"/>
              <w:right w:w="108" w:type="dxa"/>
            </w:tcMar>
            <w:vAlign w:val="center"/>
          </w:tcPr>
          <w:p w14:paraId="63DCC223" w14:textId="77777777" w:rsidR="0057163C" w:rsidRPr="00170422" w:rsidRDefault="00F37BF9">
            <w:pPr>
              <w:pStyle w:val="P68B1DB1-Normal121"/>
              <w:spacing w:after="0" w:line="240" w:lineRule="auto"/>
              <w:jc w:val="center"/>
              <w:rPr>
                <w:noProof/>
                <w:lang w:val="de-DE"/>
              </w:rPr>
            </w:pPr>
            <w:r w:rsidRPr="00170422">
              <w:rPr>
                <w:noProof/>
                <w:lang w:val="de-DE"/>
              </w:rPr>
              <w:t>Meilenstei</w:t>
            </w:r>
            <w:r w:rsidRPr="00170422">
              <w:rPr>
                <w:noProof/>
                <w:lang w:val="de-DE"/>
              </w:rPr>
              <w:t>n</w:t>
            </w:r>
          </w:p>
        </w:tc>
        <w:tc>
          <w:tcPr>
            <w:tcW w:w="3559" w:type="dxa"/>
            <w:shd w:val="clear" w:color="auto" w:fill="C6EFCE"/>
            <w:tcMar>
              <w:left w:w="108" w:type="dxa"/>
              <w:right w:w="108" w:type="dxa"/>
            </w:tcMar>
            <w:vAlign w:val="center"/>
          </w:tcPr>
          <w:p w14:paraId="2710A00B" w14:textId="77777777" w:rsidR="0057163C" w:rsidRPr="00170422" w:rsidRDefault="00F37BF9">
            <w:pPr>
              <w:pStyle w:val="P68B1DB1-Normal121"/>
              <w:spacing w:after="0" w:line="240" w:lineRule="auto"/>
              <w:rPr>
                <w:noProof/>
                <w:lang w:val="de-DE"/>
              </w:rPr>
            </w:pPr>
            <w:r w:rsidRPr="00170422">
              <w:rPr>
                <w:noProof/>
                <w:lang w:val="de-DE"/>
              </w:rPr>
              <w:t>Veröffentlichung eines Verzeichnisses aller vereinfachten und/oder digitalisierten Verfahren</w:t>
            </w:r>
          </w:p>
        </w:tc>
      </w:tr>
      <w:tr w:rsidR="0057163C" w:rsidRPr="00170422" w14:paraId="49E1D3EA" w14:textId="77777777" w:rsidTr="00A400C5">
        <w:trPr>
          <w:trHeight w:val="300"/>
        </w:trPr>
        <w:tc>
          <w:tcPr>
            <w:tcW w:w="1435" w:type="dxa"/>
            <w:shd w:val="clear" w:color="auto" w:fill="C6EFCE"/>
            <w:tcMar>
              <w:left w:w="108" w:type="dxa"/>
              <w:right w:w="108" w:type="dxa"/>
            </w:tcMar>
            <w:vAlign w:val="center"/>
          </w:tcPr>
          <w:p w14:paraId="657EE8AF" w14:textId="77777777" w:rsidR="0057163C" w:rsidRPr="00170422" w:rsidRDefault="00F37BF9">
            <w:pPr>
              <w:pStyle w:val="P68B1DB1-Normal121"/>
              <w:spacing w:after="0" w:line="240" w:lineRule="auto"/>
              <w:jc w:val="center"/>
              <w:rPr>
                <w:noProof/>
                <w:lang w:val="de-DE"/>
              </w:rPr>
            </w:pPr>
            <w:r w:rsidRPr="00170422">
              <w:rPr>
                <w:noProof/>
                <w:lang w:val="de-DE"/>
              </w:rPr>
              <w:t>M1C1-66</w:t>
            </w:r>
          </w:p>
        </w:tc>
        <w:tc>
          <w:tcPr>
            <w:tcW w:w="2097" w:type="dxa"/>
            <w:shd w:val="clear" w:color="auto" w:fill="C6EFCE"/>
            <w:tcMar>
              <w:left w:w="108" w:type="dxa"/>
              <w:right w:w="108" w:type="dxa"/>
            </w:tcMar>
            <w:vAlign w:val="center"/>
          </w:tcPr>
          <w:p w14:paraId="50B16CDF" w14:textId="77777777" w:rsidR="0057163C" w:rsidRPr="00170422" w:rsidRDefault="00F37BF9">
            <w:pPr>
              <w:pStyle w:val="P68B1DB1-Normal121"/>
              <w:spacing w:after="0" w:line="240" w:lineRule="auto"/>
              <w:rPr>
                <w:noProof/>
                <w:lang w:val="de-DE"/>
              </w:rPr>
            </w:pPr>
            <w:r w:rsidRPr="00170422">
              <w:rPr>
                <w:noProof/>
                <w:lang w:val="de-DE"/>
              </w:rPr>
              <w:t>Investition 1.9: Bereitstellung technischer Hilfe und Stärkung des Kapazitätsaufbaus für die Umsetzung des italienischen Aufbau- und Resilienzplans</w:t>
            </w:r>
          </w:p>
        </w:tc>
        <w:tc>
          <w:tcPr>
            <w:tcW w:w="2268" w:type="dxa"/>
            <w:shd w:val="clear" w:color="auto" w:fill="C6EFCE"/>
            <w:tcMar>
              <w:left w:w="108" w:type="dxa"/>
              <w:right w:w="108" w:type="dxa"/>
            </w:tcMar>
            <w:vAlign w:val="center"/>
          </w:tcPr>
          <w:p w14:paraId="41AA850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5BEF5A0" w14:textId="77777777" w:rsidR="0057163C" w:rsidRPr="00170422" w:rsidRDefault="00F37BF9">
            <w:pPr>
              <w:pStyle w:val="P68B1DB1-Normal121"/>
              <w:spacing w:after="0" w:line="240" w:lineRule="auto"/>
              <w:rPr>
                <w:noProof/>
                <w:lang w:val="de-DE"/>
              </w:rPr>
            </w:pPr>
            <w:r w:rsidRPr="00170422">
              <w:rPr>
                <w:noProof/>
                <w:lang w:val="de-DE"/>
              </w:rPr>
              <w:t>Ausbildung und Schulungen</w:t>
            </w:r>
          </w:p>
        </w:tc>
      </w:tr>
      <w:tr w:rsidR="0057163C" w:rsidRPr="00170422" w14:paraId="0B6442E0" w14:textId="77777777" w:rsidTr="00A400C5">
        <w:trPr>
          <w:trHeight w:val="300"/>
        </w:trPr>
        <w:tc>
          <w:tcPr>
            <w:tcW w:w="1435" w:type="dxa"/>
            <w:shd w:val="clear" w:color="auto" w:fill="C6EFCE"/>
            <w:tcMar>
              <w:left w:w="108" w:type="dxa"/>
              <w:right w:w="108" w:type="dxa"/>
            </w:tcMar>
            <w:vAlign w:val="center"/>
          </w:tcPr>
          <w:p w14:paraId="778B9B36" w14:textId="77777777" w:rsidR="0057163C" w:rsidRPr="00170422" w:rsidRDefault="00F37BF9">
            <w:pPr>
              <w:pStyle w:val="P68B1DB1-Normal121"/>
              <w:spacing w:after="0" w:line="240" w:lineRule="auto"/>
              <w:jc w:val="center"/>
              <w:rPr>
                <w:noProof/>
                <w:lang w:val="de-DE"/>
              </w:rPr>
            </w:pPr>
            <w:r w:rsidRPr="00170422">
              <w:rPr>
                <w:noProof/>
                <w:lang w:val="de-DE"/>
              </w:rPr>
              <w:t>M1C1-118</w:t>
            </w:r>
          </w:p>
        </w:tc>
        <w:tc>
          <w:tcPr>
            <w:tcW w:w="2097" w:type="dxa"/>
            <w:shd w:val="clear" w:color="auto" w:fill="C6EFCE"/>
            <w:tcMar>
              <w:left w:w="108" w:type="dxa"/>
              <w:right w:w="108" w:type="dxa"/>
            </w:tcMar>
            <w:vAlign w:val="center"/>
          </w:tcPr>
          <w:p w14:paraId="41CE5357" w14:textId="77777777" w:rsidR="0057163C" w:rsidRPr="00170422" w:rsidRDefault="00F37BF9">
            <w:pPr>
              <w:pStyle w:val="P68B1DB1-Normal121"/>
              <w:spacing w:after="0" w:line="240" w:lineRule="auto"/>
              <w:rPr>
                <w:noProof/>
                <w:lang w:val="de-DE"/>
              </w:rPr>
            </w:pPr>
            <w:r w:rsidRPr="00170422">
              <w:rPr>
                <w:noProof/>
                <w:lang w:val="de-DE"/>
              </w:rPr>
              <w:t>Reform 1.15: Reform der Vorschriften für das öffentliche Rechnungswesen</w:t>
            </w:r>
          </w:p>
        </w:tc>
        <w:tc>
          <w:tcPr>
            <w:tcW w:w="2268" w:type="dxa"/>
            <w:shd w:val="clear" w:color="auto" w:fill="C6EFCE"/>
            <w:tcMar>
              <w:left w:w="108" w:type="dxa"/>
              <w:right w:w="108" w:type="dxa"/>
            </w:tcMar>
            <w:vAlign w:val="center"/>
          </w:tcPr>
          <w:p w14:paraId="235FF9A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3F9A60E" w14:textId="77777777" w:rsidR="0057163C" w:rsidRPr="00170422" w:rsidRDefault="00F37BF9">
            <w:pPr>
              <w:pStyle w:val="P68B1DB1-Normal121"/>
              <w:spacing w:after="0" w:line="240" w:lineRule="auto"/>
              <w:rPr>
                <w:noProof/>
                <w:lang w:val="de-DE"/>
              </w:rPr>
            </w:pPr>
            <w:r w:rsidRPr="00170422">
              <w:rPr>
                <w:noProof/>
                <w:lang w:val="de-DE"/>
              </w:rPr>
              <w:t>Inkrafttreten der Rechtsvorschriften zur Reform der periodengerechten Rechnungsführung für mindestens 90 % des gesamten öffentlichen Se</w:t>
            </w:r>
            <w:r w:rsidRPr="00170422">
              <w:rPr>
                <w:noProof/>
                <w:lang w:val="de-DE"/>
              </w:rPr>
              <w:t>ktors, abzüglich staatseigener Gesellschaften</w:t>
            </w:r>
          </w:p>
        </w:tc>
      </w:tr>
      <w:tr w:rsidR="0057163C" w:rsidRPr="00170422" w14:paraId="3152E7FC" w14:textId="77777777" w:rsidTr="00A400C5">
        <w:trPr>
          <w:trHeight w:val="300"/>
        </w:trPr>
        <w:tc>
          <w:tcPr>
            <w:tcW w:w="1435" w:type="dxa"/>
            <w:shd w:val="clear" w:color="auto" w:fill="C6EFCE"/>
            <w:tcMar>
              <w:left w:w="108" w:type="dxa"/>
              <w:right w:w="108" w:type="dxa"/>
            </w:tcMar>
            <w:vAlign w:val="center"/>
          </w:tcPr>
          <w:p w14:paraId="20665269" w14:textId="77777777" w:rsidR="0057163C" w:rsidRPr="00170422" w:rsidRDefault="00F37BF9">
            <w:pPr>
              <w:pStyle w:val="P68B1DB1-Normal121"/>
              <w:spacing w:after="0" w:line="240" w:lineRule="auto"/>
              <w:jc w:val="center"/>
              <w:rPr>
                <w:noProof/>
                <w:lang w:val="de-DE"/>
              </w:rPr>
            </w:pPr>
            <w:r w:rsidRPr="00170422">
              <w:rPr>
                <w:noProof/>
                <w:lang w:val="de-DE"/>
              </w:rPr>
              <w:t>M1C1-122</w:t>
            </w:r>
          </w:p>
        </w:tc>
        <w:tc>
          <w:tcPr>
            <w:tcW w:w="2097" w:type="dxa"/>
            <w:shd w:val="clear" w:color="auto" w:fill="C6EFCE"/>
            <w:tcMar>
              <w:left w:w="108" w:type="dxa"/>
              <w:right w:w="108" w:type="dxa"/>
            </w:tcMar>
            <w:vAlign w:val="center"/>
          </w:tcPr>
          <w:p w14:paraId="1074411E" w14:textId="77777777" w:rsidR="0057163C" w:rsidRPr="00170422" w:rsidRDefault="00F37BF9">
            <w:pPr>
              <w:pStyle w:val="P68B1DB1-Normal121"/>
              <w:spacing w:after="0" w:line="240" w:lineRule="auto"/>
              <w:rPr>
                <w:noProof/>
                <w:lang w:val="de-DE"/>
              </w:rPr>
            </w:pPr>
            <w:r w:rsidRPr="00170422">
              <w:rPr>
                <w:noProof/>
                <w:lang w:val="de-DE"/>
              </w:rPr>
              <w:t>Reform 1.13: Reform des Rahmens für die Ausgabenüberprüfung</w:t>
            </w:r>
          </w:p>
        </w:tc>
        <w:tc>
          <w:tcPr>
            <w:tcW w:w="2268" w:type="dxa"/>
            <w:shd w:val="clear" w:color="auto" w:fill="C6EFCE"/>
            <w:tcMar>
              <w:left w:w="108" w:type="dxa"/>
              <w:right w:w="108" w:type="dxa"/>
            </w:tcMar>
            <w:vAlign w:val="center"/>
          </w:tcPr>
          <w:p w14:paraId="56F2CD8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BC28AC8" w14:textId="77777777" w:rsidR="0057163C" w:rsidRPr="00170422" w:rsidRDefault="00F37BF9">
            <w:pPr>
              <w:pStyle w:val="P68B1DB1-Normal121"/>
              <w:spacing w:after="0" w:line="240" w:lineRule="auto"/>
              <w:rPr>
                <w:noProof/>
                <w:lang w:val="de-DE"/>
              </w:rPr>
            </w:pPr>
            <w:r w:rsidRPr="00170422">
              <w:rPr>
                <w:noProof/>
                <w:lang w:val="de-DE"/>
              </w:rPr>
              <w:t xml:space="preserve">Abschluss der jährlichen Ausgabenüberprüfung für 2025 unter Bezugnahme auf das in den Jahren 2022, 2023 und 2024 festgelegte </w:t>
            </w:r>
            <w:r w:rsidRPr="00170422">
              <w:rPr>
                <w:noProof/>
                <w:lang w:val="de-DE"/>
              </w:rPr>
              <w:t>Einsparziel für 2025.</w:t>
            </w:r>
          </w:p>
        </w:tc>
      </w:tr>
      <w:tr w:rsidR="0057163C" w:rsidRPr="00170422" w14:paraId="2551ED35" w14:textId="77777777" w:rsidTr="00A400C5">
        <w:trPr>
          <w:trHeight w:val="300"/>
        </w:trPr>
        <w:tc>
          <w:tcPr>
            <w:tcW w:w="1435" w:type="dxa"/>
            <w:shd w:val="clear" w:color="auto" w:fill="C6EFCE"/>
            <w:tcMar>
              <w:left w:w="108" w:type="dxa"/>
              <w:right w:w="108" w:type="dxa"/>
            </w:tcMar>
            <w:vAlign w:val="center"/>
          </w:tcPr>
          <w:p w14:paraId="549A7368" w14:textId="77777777" w:rsidR="0057163C" w:rsidRPr="00170422" w:rsidRDefault="00F37BF9">
            <w:pPr>
              <w:pStyle w:val="P68B1DB1-Normal121"/>
              <w:spacing w:after="0" w:line="240" w:lineRule="auto"/>
              <w:jc w:val="center"/>
              <w:rPr>
                <w:noProof/>
                <w:lang w:val="de-DE"/>
              </w:rPr>
            </w:pPr>
            <w:r w:rsidRPr="00170422">
              <w:rPr>
                <w:noProof/>
                <w:lang w:val="de-DE"/>
              </w:rPr>
              <w:t>M1C2-13bis</w:t>
            </w:r>
          </w:p>
        </w:tc>
        <w:tc>
          <w:tcPr>
            <w:tcW w:w="2097" w:type="dxa"/>
            <w:shd w:val="clear" w:color="auto" w:fill="C6EFCE"/>
            <w:tcMar>
              <w:left w:w="108" w:type="dxa"/>
              <w:right w:w="108" w:type="dxa"/>
            </w:tcMar>
            <w:vAlign w:val="center"/>
          </w:tcPr>
          <w:p w14:paraId="444A33D9" w14:textId="77777777" w:rsidR="0057163C" w:rsidRPr="00170422" w:rsidRDefault="00F37BF9">
            <w:pPr>
              <w:pStyle w:val="P68B1DB1-Normal121"/>
              <w:spacing w:after="0" w:line="240" w:lineRule="auto"/>
              <w:rPr>
                <w:noProof/>
                <w:lang w:val="de-DE"/>
              </w:rPr>
            </w:pPr>
            <w:r w:rsidRPr="00170422">
              <w:rPr>
                <w:noProof/>
                <w:lang w:val="de-DE"/>
              </w:rPr>
              <w:t>Reform 2: Jährliche Wettbewerbsgesetze</w:t>
            </w:r>
          </w:p>
        </w:tc>
        <w:tc>
          <w:tcPr>
            <w:tcW w:w="2268" w:type="dxa"/>
            <w:shd w:val="clear" w:color="auto" w:fill="C6EFCE"/>
            <w:tcMar>
              <w:left w:w="108" w:type="dxa"/>
              <w:right w:w="108" w:type="dxa"/>
            </w:tcMar>
            <w:vAlign w:val="center"/>
          </w:tcPr>
          <w:p w14:paraId="6DB3E83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9E084C3" w14:textId="77777777" w:rsidR="0057163C" w:rsidRPr="00170422" w:rsidRDefault="00F37BF9">
            <w:pPr>
              <w:pStyle w:val="P68B1DB1-Normal121"/>
              <w:spacing w:after="0" w:line="240" w:lineRule="auto"/>
              <w:rPr>
                <w:noProof/>
                <w:lang w:val="de-DE"/>
              </w:rPr>
            </w:pPr>
            <w:r w:rsidRPr="00170422">
              <w:rPr>
                <w:noProof/>
                <w:lang w:val="de-DE"/>
              </w:rPr>
              <w:t>Inkrafttreten von Rechtsvorschriften (einschließlich abgeleiteter Rechtsvorschriften und Durchführungsrechtsakten zum jährlichen Wettbewerbsgesetz 2025) über Regionalbahne</w:t>
            </w:r>
            <w:r w:rsidRPr="00170422">
              <w:rPr>
                <w:noProof/>
                <w:lang w:val="de-DE"/>
              </w:rPr>
              <w:t>n und Technologietransfer</w:t>
            </w:r>
          </w:p>
        </w:tc>
      </w:tr>
      <w:tr w:rsidR="0057163C" w:rsidRPr="00170422" w14:paraId="37A70FFA" w14:textId="77777777" w:rsidTr="00A400C5">
        <w:trPr>
          <w:trHeight w:val="300"/>
        </w:trPr>
        <w:tc>
          <w:tcPr>
            <w:tcW w:w="1435" w:type="dxa"/>
            <w:shd w:val="clear" w:color="auto" w:fill="C6EFCE"/>
            <w:tcMar>
              <w:left w:w="108" w:type="dxa"/>
              <w:right w:w="108" w:type="dxa"/>
            </w:tcMar>
            <w:vAlign w:val="center"/>
          </w:tcPr>
          <w:p w14:paraId="5305BEDA" w14:textId="77777777" w:rsidR="0057163C" w:rsidRPr="00170422" w:rsidRDefault="00F37BF9">
            <w:pPr>
              <w:pStyle w:val="P68B1DB1-Normal121"/>
              <w:spacing w:after="0" w:line="240" w:lineRule="auto"/>
              <w:jc w:val="center"/>
              <w:rPr>
                <w:noProof/>
                <w:lang w:val="de-DE"/>
              </w:rPr>
            </w:pPr>
            <w:r w:rsidRPr="00170422">
              <w:rPr>
                <w:noProof/>
                <w:lang w:val="de-DE"/>
              </w:rPr>
              <w:t>M1C3-3</w:t>
            </w:r>
          </w:p>
        </w:tc>
        <w:tc>
          <w:tcPr>
            <w:tcW w:w="2097" w:type="dxa"/>
            <w:shd w:val="clear" w:color="auto" w:fill="C6EFCE"/>
            <w:tcMar>
              <w:left w:w="108" w:type="dxa"/>
              <w:right w:w="108" w:type="dxa"/>
            </w:tcMar>
            <w:vAlign w:val="center"/>
          </w:tcPr>
          <w:p w14:paraId="1E779EAB" w14:textId="77777777" w:rsidR="0057163C" w:rsidRPr="00170422" w:rsidRDefault="00F37BF9">
            <w:pPr>
              <w:pStyle w:val="P68B1DB1-Normal121"/>
              <w:spacing w:after="0" w:line="240" w:lineRule="auto"/>
              <w:rPr>
                <w:noProof/>
                <w:lang w:val="de-DE"/>
              </w:rPr>
            </w:pPr>
            <w:r w:rsidRPr="00170422">
              <w:rPr>
                <w:noProof/>
                <w:lang w:val="de-DE"/>
              </w:rPr>
              <w:t>Investitionen – 1.2 Beseitigung physischer und kognitiver Barrieren in Museen, Bibliotheken und Archiven, um einen breiteren Zugang zur Kultur und eine breitere Teilhabe daran zu ermöglichen</w:t>
            </w:r>
          </w:p>
        </w:tc>
        <w:tc>
          <w:tcPr>
            <w:tcW w:w="2268" w:type="dxa"/>
            <w:shd w:val="clear" w:color="auto" w:fill="C6EFCE"/>
            <w:tcMar>
              <w:left w:w="108" w:type="dxa"/>
              <w:right w:w="108" w:type="dxa"/>
            </w:tcMar>
            <w:vAlign w:val="center"/>
          </w:tcPr>
          <w:p w14:paraId="6E0EC80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81DBB4B" w14:textId="77777777" w:rsidR="0057163C" w:rsidRPr="00170422" w:rsidRDefault="00F37BF9">
            <w:pPr>
              <w:pStyle w:val="P68B1DB1-Normal121"/>
              <w:spacing w:after="0" w:line="240" w:lineRule="auto"/>
              <w:rPr>
                <w:noProof/>
                <w:lang w:val="de-DE"/>
              </w:rPr>
            </w:pPr>
            <w:r w:rsidRPr="00170422">
              <w:rPr>
                <w:noProof/>
                <w:lang w:val="de-DE"/>
              </w:rPr>
              <w:t>Maßnahmen</w:t>
            </w:r>
            <w:r w:rsidRPr="00170422">
              <w:rPr>
                <w:noProof/>
                <w:lang w:val="de-DE"/>
              </w:rPr>
              <w:t xml:space="preserve"> zur Beseitigung physischer und kognitiver Barrieren in Museen, Denkmälern, archäologischen Gebieten und Parks, Archiven und Bibliotheken</w:t>
            </w:r>
          </w:p>
        </w:tc>
      </w:tr>
      <w:tr w:rsidR="0057163C" w:rsidRPr="00170422" w14:paraId="19233F06" w14:textId="77777777" w:rsidTr="00A400C5">
        <w:trPr>
          <w:trHeight w:val="300"/>
        </w:trPr>
        <w:tc>
          <w:tcPr>
            <w:tcW w:w="1435" w:type="dxa"/>
            <w:shd w:val="clear" w:color="auto" w:fill="C6EFCE"/>
            <w:tcMar>
              <w:left w:w="108" w:type="dxa"/>
              <w:right w:w="108" w:type="dxa"/>
            </w:tcMar>
            <w:vAlign w:val="center"/>
          </w:tcPr>
          <w:p w14:paraId="1F1CBA98" w14:textId="77777777" w:rsidR="0057163C" w:rsidRPr="00170422" w:rsidRDefault="00F37BF9">
            <w:pPr>
              <w:pStyle w:val="P68B1DB1-Normal121"/>
              <w:spacing w:after="0" w:line="240" w:lineRule="auto"/>
              <w:jc w:val="center"/>
              <w:rPr>
                <w:noProof/>
                <w:lang w:val="de-DE"/>
              </w:rPr>
            </w:pPr>
            <w:r w:rsidRPr="00170422">
              <w:rPr>
                <w:noProof/>
                <w:lang w:val="de-DE"/>
              </w:rPr>
              <w:t>M2C1-8</w:t>
            </w:r>
          </w:p>
        </w:tc>
        <w:tc>
          <w:tcPr>
            <w:tcW w:w="2097" w:type="dxa"/>
            <w:shd w:val="clear" w:color="auto" w:fill="C6EFCE"/>
            <w:tcMar>
              <w:left w:w="108" w:type="dxa"/>
              <w:right w:w="108" w:type="dxa"/>
            </w:tcMar>
            <w:vAlign w:val="center"/>
          </w:tcPr>
          <w:p w14:paraId="2C2F2BB7" w14:textId="77777777" w:rsidR="0057163C" w:rsidRPr="00170422" w:rsidRDefault="00F37BF9">
            <w:pPr>
              <w:pStyle w:val="P68B1DB1-Normal121"/>
              <w:spacing w:after="0" w:line="240" w:lineRule="auto"/>
              <w:rPr>
                <w:noProof/>
                <w:lang w:val="de-DE"/>
              </w:rPr>
            </w:pPr>
            <w:r w:rsidRPr="00170422">
              <w:rPr>
                <w:noProof/>
                <w:lang w:val="de-DE"/>
              </w:rPr>
              <w:t>Investition 2.3: Innovation und Mechanisierung im Agrar- und Lebensmittelsektor</w:t>
            </w:r>
          </w:p>
        </w:tc>
        <w:tc>
          <w:tcPr>
            <w:tcW w:w="2268" w:type="dxa"/>
            <w:shd w:val="clear" w:color="auto" w:fill="C6EFCE"/>
            <w:tcMar>
              <w:left w:w="108" w:type="dxa"/>
              <w:right w:w="108" w:type="dxa"/>
            </w:tcMar>
            <w:vAlign w:val="center"/>
          </w:tcPr>
          <w:p w14:paraId="28ACE4C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BD22D5F" w14:textId="77777777" w:rsidR="0057163C" w:rsidRPr="00170422" w:rsidRDefault="00F37BF9">
            <w:pPr>
              <w:pStyle w:val="P68B1DB1-Normal121"/>
              <w:spacing w:after="0" w:line="240" w:lineRule="auto"/>
              <w:rPr>
                <w:noProof/>
                <w:lang w:val="de-DE"/>
              </w:rPr>
            </w:pPr>
            <w:r w:rsidRPr="00170422">
              <w:rPr>
                <w:noProof/>
                <w:lang w:val="de-DE"/>
              </w:rPr>
              <w:t xml:space="preserve">Förderung von </w:t>
            </w:r>
            <w:r w:rsidRPr="00170422">
              <w:rPr>
                <w:noProof/>
                <w:lang w:val="de-DE"/>
              </w:rPr>
              <w:t>Investitionen in Innovationen in der Kreislaufwirtschaft und der Bioökonomie</w:t>
            </w:r>
          </w:p>
        </w:tc>
      </w:tr>
      <w:tr w:rsidR="0057163C" w:rsidRPr="00170422" w14:paraId="487590AC" w14:textId="77777777" w:rsidTr="00A400C5">
        <w:trPr>
          <w:trHeight w:val="300"/>
        </w:trPr>
        <w:tc>
          <w:tcPr>
            <w:tcW w:w="1435" w:type="dxa"/>
            <w:shd w:val="clear" w:color="auto" w:fill="C6EFCE"/>
            <w:tcMar>
              <w:left w:w="108" w:type="dxa"/>
              <w:right w:w="108" w:type="dxa"/>
            </w:tcMar>
            <w:vAlign w:val="center"/>
          </w:tcPr>
          <w:p w14:paraId="783594C7" w14:textId="77777777" w:rsidR="0057163C" w:rsidRPr="00170422" w:rsidRDefault="00F37BF9">
            <w:pPr>
              <w:pStyle w:val="P68B1DB1-Normal121"/>
              <w:spacing w:after="0" w:line="240" w:lineRule="auto"/>
              <w:jc w:val="center"/>
              <w:rPr>
                <w:noProof/>
                <w:lang w:val="de-DE"/>
              </w:rPr>
            </w:pPr>
            <w:r w:rsidRPr="00170422">
              <w:rPr>
                <w:noProof/>
                <w:lang w:val="de-DE"/>
              </w:rPr>
              <w:t>M2C1-9</w:t>
            </w:r>
          </w:p>
        </w:tc>
        <w:tc>
          <w:tcPr>
            <w:tcW w:w="2097" w:type="dxa"/>
            <w:shd w:val="clear" w:color="auto" w:fill="C6EFCE"/>
            <w:tcMar>
              <w:left w:w="108" w:type="dxa"/>
              <w:right w:w="108" w:type="dxa"/>
            </w:tcMar>
            <w:vAlign w:val="center"/>
          </w:tcPr>
          <w:p w14:paraId="3A99A110" w14:textId="77777777" w:rsidR="0057163C" w:rsidRPr="00170422" w:rsidRDefault="00F37BF9">
            <w:pPr>
              <w:pStyle w:val="P68B1DB1-Normal121"/>
              <w:spacing w:after="0" w:line="240" w:lineRule="auto"/>
              <w:rPr>
                <w:noProof/>
                <w:lang w:val="de-DE"/>
              </w:rPr>
            </w:pPr>
            <w:r w:rsidRPr="00170422">
              <w:rPr>
                <w:noProof/>
                <w:lang w:val="de-DE"/>
              </w:rPr>
              <w:t>Investition 2.2: AGRI-Solarpark</w:t>
            </w:r>
          </w:p>
        </w:tc>
        <w:tc>
          <w:tcPr>
            <w:tcW w:w="2268" w:type="dxa"/>
            <w:shd w:val="clear" w:color="auto" w:fill="C6EFCE"/>
            <w:tcMar>
              <w:left w:w="108" w:type="dxa"/>
              <w:right w:w="108" w:type="dxa"/>
            </w:tcMar>
            <w:vAlign w:val="center"/>
          </w:tcPr>
          <w:p w14:paraId="32C4A59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3D10CC2C" w14:textId="77777777" w:rsidR="0057163C" w:rsidRPr="00170422" w:rsidRDefault="00F37BF9">
            <w:pPr>
              <w:pStyle w:val="P68B1DB1-Normal121"/>
              <w:spacing w:after="0" w:line="240" w:lineRule="auto"/>
              <w:rPr>
                <w:noProof/>
                <w:lang w:val="de-DE"/>
              </w:rPr>
            </w:pPr>
            <w:r w:rsidRPr="00170422">
              <w:rPr>
                <w:noProof/>
                <w:lang w:val="de-DE"/>
              </w:rPr>
              <w:t>Voltaische Stromerzeugung im AGRI-Bereich</w:t>
            </w:r>
          </w:p>
        </w:tc>
      </w:tr>
      <w:tr w:rsidR="0057163C" w:rsidRPr="00170422" w14:paraId="7DEF23C9" w14:textId="77777777" w:rsidTr="00A400C5">
        <w:trPr>
          <w:trHeight w:val="300"/>
        </w:trPr>
        <w:tc>
          <w:tcPr>
            <w:tcW w:w="1435" w:type="dxa"/>
            <w:shd w:val="clear" w:color="auto" w:fill="C6EFCE"/>
            <w:tcMar>
              <w:left w:w="108" w:type="dxa"/>
              <w:right w:w="108" w:type="dxa"/>
            </w:tcMar>
            <w:vAlign w:val="center"/>
          </w:tcPr>
          <w:p w14:paraId="613BE468" w14:textId="77777777" w:rsidR="0057163C" w:rsidRPr="00170422" w:rsidRDefault="00F37BF9">
            <w:pPr>
              <w:pStyle w:val="P68B1DB1-Normal121"/>
              <w:spacing w:after="0" w:line="240" w:lineRule="auto"/>
              <w:jc w:val="center"/>
              <w:rPr>
                <w:noProof/>
                <w:lang w:val="de-DE"/>
              </w:rPr>
            </w:pPr>
            <w:r w:rsidRPr="00170422">
              <w:rPr>
                <w:noProof/>
                <w:lang w:val="de-DE"/>
              </w:rPr>
              <w:t>M2C2-23</w:t>
            </w:r>
          </w:p>
        </w:tc>
        <w:tc>
          <w:tcPr>
            <w:tcW w:w="2097" w:type="dxa"/>
            <w:shd w:val="clear" w:color="auto" w:fill="C6EFCE"/>
            <w:tcMar>
              <w:left w:w="108" w:type="dxa"/>
              <w:right w:w="108" w:type="dxa"/>
            </w:tcMar>
            <w:vAlign w:val="center"/>
          </w:tcPr>
          <w:p w14:paraId="51B66663" w14:textId="77777777" w:rsidR="0057163C" w:rsidRPr="00170422" w:rsidRDefault="00F37BF9">
            <w:pPr>
              <w:pStyle w:val="P68B1DB1-Normal121"/>
              <w:spacing w:after="0" w:line="240" w:lineRule="auto"/>
              <w:rPr>
                <w:noProof/>
                <w:lang w:val="de-DE"/>
              </w:rPr>
            </w:pPr>
            <w:r w:rsidRPr="00170422">
              <w:rPr>
                <w:noProof/>
                <w:lang w:val="de-DE"/>
              </w:rPr>
              <w:t xml:space="preserve">Investition 4.1 Investitionen in sanfte Mobilität (Nationaler Plan für den </w:t>
            </w:r>
            <w:r w:rsidRPr="00170422">
              <w:rPr>
                <w:noProof/>
                <w:lang w:val="de-DE"/>
              </w:rPr>
              <w:t>Zyklusweg)</w:t>
            </w:r>
          </w:p>
        </w:tc>
        <w:tc>
          <w:tcPr>
            <w:tcW w:w="2268" w:type="dxa"/>
            <w:shd w:val="clear" w:color="auto" w:fill="C6EFCE"/>
            <w:tcMar>
              <w:left w:w="108" w:type="dxa"/>
              <w:right w:w="108" w:type="dxa"/>
            </w:tcMar>
            <w:vAlign w:val="center"/>
          </w:tcPr>
          <w:p w14:paraId="5D82C06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C1CF4FA" w14:textId="77777777" w:rsidR="0057163C" w:rsidRPr="00170422" w:rsidRDefault="00F37BF9">
            <w:pPr>
              <w:pStyle w:val="P68B1DB1-Normal121"/>
              <w:spacing w:after="0" w:line="240" w:lineRule="auto"/>
              <w:rPr>
                <w:noProof/>
                <w:lang w:val="de-DE"/>
              </w:rPr>
            </w:pPr>
            <w:r w:rsidRPr="00170422">
              <w:rPr>
                <w:noProof/>
                <w:lang w:val="de-DE"/>
              </w:rPr>
              <w:t>Radwege T2</w:t>
            </w:r>
          </w:p>
        </w:tc>
      </w:tr>
      <w:tr w:rsidR="0057163C" w:rsidRPr="00170422" w14:paraId="09B30590" w14:textId="77777777" w:rsidTr="00A400C5">
        <w:trPr>
          <w:trHeight w:val="300"/>
        </w:trPr>
        <w:tc>
          <w:tcPr>
            <w:tcW w:w="1435" w:type="dxa"/>
            <w:shd w:val="clear" w:color="auto" w:fill="C6EFCE"/>
            <w:tcMar>
              <w:left w:w="108" w:type="dxa"/>
              <w:right w:w="108" w:type="dxa"/>
            </w:tcMar>
            <w:vAlign w:val="center"/>
          </w:tcPr>
          <w:p w14:paraId="5A3CD7B8" w14:textId="77777777" w:rsidR="0057163C" w:rsidRPr="00170422" w:rsidRDefault="00F37BF9">
            <w:pPr>
              <w:pStyle w:val="P68B1DB1-Normal121"/>
              <w:spacing w:after="0" w:line="240" w:lineRule="auto"/>
              <w:jc w:val="center"/>
              <w:rPr>
                <w:noProof/>
                <w:lang w:val="de-DE"/>
              </w:rPr>
            </w:pPr>
            <w:r w:rsidRPr="00170422">
              <w:rPr>
                <w:noProof/>
                <w:lang w:val="de-DE"/>
              </w:rPr>
              <w:t>M3C2-5bis</w:t>
            </w:r>
          </w:p>
        </w:tc>
        <w:tc>
          <w:tcPr>
            <w:tcW w:w="2097" w:type="dxa"/>
            <w:shd w:val="clear" w:color="auto" w:fill="C6EFCE"/>
            <w:tcMar>
              <w:left w:w="108" w:type="dxa"/>
              <w:right w:w="108" w:type="dxa"/>
            </w:tcMar>
            <w:vAlign w:val="center"/>
          </w:tcPr>
          <w:p w14:paraId="6B2C97DD" w14:textId="77777777" w:rsidR="0057163C" w:rsidRPr="00170422" w:rsidRDefault="00F37BF9">
            <w:pPr>
              <w:pStyle w:val="P68B1DB1-Normal121"/>
              <w:spacing w:after="0" w:line="240" w:lineRule="auto"/>
              <w:rPr>
                <w:noProof/>
                <w:lang w:val="de-DE"/>
              </w:rPr>
            </w:pPr>
            <w:r w:rsidRPr="00170422">
              <w:rPr>
                <w:noProof/>
                <w:lang w:val="de-DE"/>
              </w:rPr>
              <w:t>Investition 2.1 – Digitalisierung der Logistikkette</w:t>
            </w:r>
          </w:p>
        </w:tc>
        <w:tc>
          <w:tcPr>
            <w:tcW w:w="2268" w:type="dxa"/>
            <w:shd w:val="clear" w:color="auto" w:fill="C6EFCE"/>
            <w:tcMar>
              <w:left w:w="108" w:type="dxa"/>
              <w:right w:w="108" w:type="dxa"/>
            </w:tcMar>
            <w:vAlign w:val="center"/>
          </w:tcPr>
          <w:p w14:paraId="28CAFA5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DF1A0D0" w14:textId="77777777" w:rsidR="0057163C" w:rsidRPr="00170422" w:rsidRDefault="00F37BF9">
            <w:pPr>
              <w:pStyle w:val="P68B1DB1-Normal121"/>
              <w:spacing w:after="0" w:line="240" w:lineRule="auto"/>
              <w:rPr>
                <w:noProof/>
                <w:lang w:val="de-DE"/>
              </w:rPr>
            </w:pPr>
            <w:r w:rsidRPr="00170422">
              <w:rPr>
                <w:noProof/>
                <w:lang w:val="de-DE"/>
              </w:rPr>
              <w:t>Digitalisierung der Logistikkette</w:t>
            </w:r>
          </w:p>
        </w:tc>
      </w:tr>
      <w:tr w:rsidR="0057163C" w:rsidRPr="00170422" w14:paraId="48EA261F" w14:textId="77777777" w:rsidTr="00A400C5">
        <w:trPr>
          <w:trHeight w:val="300"/>
        </w:trPr>
        <w:tc>
          <w:tcPr>
            <w:tcW w:w="1435" w:type="dxa"/>
            <w:shd w:val="clear" w:color="auto" w:fill="C6EFCE"/>
            <w:tcMar>
              <w:left w:w="108" w:type="dxa"/>
              <w:right w:w="108" w:type="dxa"/>
            </w:tcMar>
            <w:vAlign w:val="center"/>
          </w:tcPr>
          <w:p w14:paraId="33E9090E" w14:textId="77777777" w:rsidR="0057163C" w:rsidRPr="00170422" w:rsidRDefault="00F37BF9">
            <w:pPr>
              <w:pStyle w:val="P68B1DB1-Normal121"/>
              <w:spacing w:after="0" w:line="240" w:lineRule="auto"/>
              <w:jc w:val="center"/>
              <w:rPr>
                <w:noProof/>
                <w:lang w:val="de-DE"/>
              </w:rPr>
            </w:pPr>
            <w:r w:rsidRPr="00170422">
              <w:rPr>
                <w:noProof/>
                <w:lang w:val="de-DE"/>
              </w:rPr>
              <w:t>M4C1-20</w:t>
            </w:r>
          </w:p>
        </w:tc>
        <w:tc>
          <w:tcPr>
            <w:tcW w:w="2097" w:type="dxa"/>
            <w:shd w:val="clear" w:color="auto" w:fill="C6EFCE"/>
            <w:tcMar>
              <w:left w:w="108" w:type="dxa"/>
              <w:right w:w="108" w:type="dxa"/>
            </w:tcMar>
            <w:vAlign w:val="center"/>
          </w:tcPr>
          <w:p w14:paraId="0E0D2A37" w14:textId="77777777" w:rsidR="0057163C" w:rsidRPr="00170422" w:rsidRDefault="00F37BF9">
            <w:pPr>
              <w:pStyle w:val="P68B1DB1-Normal121"/>
              <w:spacing w:after="0" w:line="240" w:lineRule="auto"/>
              <w:rPr>
                <w:noProof/>
                <w:lang w:val="de-DE"/>
              </w:rPr>
            </w:pPr>
            <w:r w:rsidRPr="00170422">
              <w:rPr>
                <w:noProof/>
                <w:lang w:val="de-DE"/>
              </w:rPr>
              <w:t>Investition 1.5: Entwicklung des tertiären Berufsbildungssystems (ITS)</w:t>
            </w:r>
          </w:p>
        </w:tc>
        <w:tc>
          <w:tcPr>
            <w:tcW w:w="2268" w:type="dxa"/>
            <w:shd w:val="clear" w:color="auto" w:fill="C6EFCE"/>
            <w:tcMar>
              <w:left w:w="108" w:type="dxa"/>
              <w:right w:w="108" w:type="dxa"/>
            </w:tcMar>
            <w:vAlign w:val="center"/>
          </w:tcPr>
          <w:p w14:paraId="2A19487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6FCBCF7" w14:textId="77777777" w:rsidR="0057163C" w:rsidRPr="00170422" w:rsidRDefault="00F37BF9">
            <w:pPr>
              <w:pStyle w:val="P68B1DB1-Normal121"/>
              <w:spacing w:after="0" w:line="240" w:lineRule="auto"/>
              <w:rPr>
                <w:noProof/>
                <w:lang w:val="de-DE"/>
              </w:rPr>
            </w:pPr>
            <w:r w:rsidRPr="00170422">
              <w:rPr>
                <w:noProof/>
                <w:lang w:val="de-DE"/>
              </w:rPr>
              <w:t xml:space="preserve">Zahl der Studierenden, die in einem </w:t>
            </w:r>
            <w:r w:rsidRPr="00170422">
              <w:rPr>
                <w:noProof/>
                <w:lang w:val="de-DE"/>
              </w:rPr>
              <w:t>Berufsausbildungssystem (ITS) eingeschrieben sind</w:t>
            </w:r>
          </w:p>
        </w:tc>
      </w:tr>
      <w:tr w:rsidR="0057163C" w:rsidRPr="00170422" w14:paraId="2587A379" w14:textId="77777777" w:rsidTr="00A400C5">
        <w:trPr>
          <w:trHeight w:val="300"/>
        </w:trPr>
        <w:tc>
          <w:tcPr>
            <w:tcW w:w="1435" w:type="dxa"/>
            <w:shd w:val="clear" w:color="auto" w:fill="C6EFCE"/>
            <w:tcMar>
              <w:left w:w="108" w:type="dxa"/>
              <w:right w:w="108" w:type="dxa"/>
            </w:tcMar>
            <w:vAlign w:val="center"/>
          </w:tcPr>
          <w:p w14:paraId="59C55DA9" w14:textId="77777777" w:rsidR="0057163C" w:rsidRPr="00170422" w:rsidRDefault="00F37BF9">
            <w:pPr>
              <w:pStyle w:val="P68B1DB1-Normal121"/>
              <w:spacing w:after="0" w:line="240" w:lineRule="auto"/>
              <w:jc w:val="center"/>
              <w:rPr>
                <w:noProof/>
                <w:lang w:val="de-DE"/>
              </w:rPr>
            </w:pPr>
            <w:r w:rsidRPr="00170422">
              <w:rPr>
                <w:noProof/>
                <w:lang w:val="de-DE"/>
              </w:rPr>
              <w:t>M4C1-22</w:t>
            </w:r>
          </w:p>
        </w:tc>
        <w:tc>
          <w:tcPr>
            <w:tcW w:w="2097" w:type="dxa"/>
            <w:shd w:val="clear" w:color="auto" w:fill="C6EFCE"/>
            <w:tcMar>
              <w:left w:w="108" w:type="dxa"/>
              <w:right w:w="108" w:type="dxa"/>
            </w:tcMar>
            <w:vAlign w:val="center"/>
          </w:tcPr>
          <w:p w14:paraId="03A6F38A" w14:textId="77777777" w:rsidR="0057163C" w:rsidRPr="00170422" w:rsidRDefault="00F37BF9">
            <w:pPr>
              <w:pStyle w:val="P68B1DB1-Normal121"/>
              <w:spacing w:after="0" w:line="240" w:lineRule="auto"/>
              <w:rPr>
                <w:noProof/>
                <w:lang w:val="de-DE"/>
              </w:rPr>
            </w:pPr>
            <w:r w:rsidRPr="00170422">
              <w:rPr>
                <w:noProof/>
                <w:lang w:val="de-DE"/>
              </w:rPr>
              <w:t>Investition 1.3: Plan zur Verbesserung der Infrastruktur für den Schulsport</w:t>
            </w:r>
          </w:p>
        </w:tc>
        <w:tc>
          <w:tcPr>
            <w:tcW w:w="2268" w:type="dxa"/>
            <w:shd w:val="clear" w:color="auto" w:fill="C6EFCE"/>
            <w:tcMar>
              <w:left w:w="108" w:type="dxa"/>
              <w:right w:w="108" w:type="dxa"/>
            </w:tcMar>
            <w:vAlign w:val="center"/>
          </w:tcPr>
          <w:p w14:paraId="36D9B22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89349EB" w14:textId="77777777" w:rsidR="0057163C" w:rsidRPr="00170422" w:rsidRDefault="00F37BF9">
            <w:pPr>
              <w:pStyle w:val="P68B1DB1-Normal121"/>
              <w:spacing w:after="0" w:line="240" w:lineRule="auto"/>
              <w:rPr>
                <w:noProof/>
                <w:lang w:val="de-DE"/>
              </w:rPr>
            </w:pPr>
            <w:r w:rsidRPr="00170422">
              <w:rPr>
                <w:noProof/>
                <w:lang w:val="de-DE"/>
              </w:rPr>
              <w:t>Bau oder Renovierung von Sportanlagen und Sporthallen für den Schulgebrauch</w:t>
            </w:r>
          </w:p>
        </w:tc>
      </w:tr>
      <w:tr w:rsidR="0057163C" w:rsidRPr="00170422" w14:paraId="0B99EF71" w14:textId="77777777" w:rsidTr="00A400C5">
        <w:trPr>
          <w:trHeight w:val="300"/>
        </w:trPr>
        <w:tc>
          <w:tcPr>
            <w:tcW w:w="1435" w:type="dxa"/>
            <w:shd w:val="clear" w:color="auto" w:fill="C6EFCE"/>
            <w:tcMar>
              <w:left w:w="108" w:type="dxa"/>
              <w:right w:w="108" w:type="dxa"/>
            </w:tcMar>
            <w:vAlign w:val="center"/>
          </w:tcPr>
          <w:p w14:paraId="5F973066" w14:textId="77777777" w:rsidR="0057163C" w:rsidRPr="00170422" w:rsidRDefault="00F37BF9">
            <w:pPr>
              <w:pStyle w:val="P68B1DB1-Normal121"/>
              <w:spacing w:after="0" w:line="240" w:lineRule="auto"/>
              <w:jc w:val="center"/>
              <w:rPr>
                <w:noProof/>
                <w:lang w:val="de-DE"/>
              </w:rPr>
            </w:pPr>
            <w:r w:rsidRPr="00170422">
              <w:rPr>
                <w:noProof/>
                <w:lang w:val="de-DE"/>
              </w:rPr>
              <w:t>M4C1-23</w:t>
            </w:r>
          </w:p>
        </w:tc>
        <w:tc>
          <w:tcPr>
            <w:tcW w:w="2097" w:type="dxa"/>
            <w:shd w:val="clear" w:color="auto" w:fill="C6EFCE"/>
            <w:tcMar>
              <w:left w:w="108" w:type="dxa"/>
              <w:right w:w="108" w:type="dxa"/>
            </w:tcMar>
            <w:vAlign w:val="center"/>
          </w:tcPr>
          <w:p w14:paraId="462891EB" w14:textId="77777777" w:rsidR="0057163C" w:rsidRPr="00170422" w:rsidRDefault="00F37BF9">
            <w:pPr>
              <w:pStyle w:val="P68B1DB1-Normal121"/>
              <w:spacing w:after="0" w:line="240" w:lineRule="auto"/>
              <w:rPr>
                <w:noProof/>
                <w:lang w:val="de-DE"/>
              </w:rPr>
            </w:pPr>
            <w:r w:rsidRPr="00170422">
              <w:rPr>
                <w:noProof/>
                <w:lang w:val="de-DE"/>
              </w:rPr>
              <w:t>Investition 3.4: Lehre und fort</w:t>
            </w:r>
            <w:r w:rsidRPr="00170422">
              <w:rPr>
                <w:noProof/>
                <w:lang w:val="de-DE"/>
              </w:rPr>
              <w:t xml:space="preserve">geschrittene Universitätskompetenzen </w:t>
            </w:r>
          </w:p>
        </w:tc>
        <w:tc>
          <w:tcPr>
            <w:tcW w:w="2268" w:type="dxa"/>
            <w:shd w:val="clear" w:color="auto" w:fill="C6EFCE"/>
            <w:tcMar>
              <w:left w:w="108" w:type="dxa"/>
              <w:right w:w="108" w:type="dxa"/>
            </w:tcMar>
            <w:vAlign w:val="center"/>
          </w:tcPr>
          <w:p w14:paraId="1D72CE8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586A9318" w14:textId="77777777" w:rsidR="0057163C" w:rsidRPr="00170422" w:rsidRDefault="00F37BF9">
            <w:pPr>
              <w:pStyle w:val="P68B1DB1-Normal121"/>
              <w:spacing w:after="0" w:line="240" w:lineRule="auto"/>
              <w:rPr>
                <w:noProof/>
                <w:lang w:val="de-DE"/>
              </w:rPr>
            </w:pPr>
            <w:r w:rsidRPr="00170422">
              <w:rPr>
                <w:noProof/>
                <w:lang w:val="de-DE"/>
              </w:rPr>
              <w:t xml:space="preserve">Maßnahmen zur Qualifizierung und Innovation von Sekundarschulen und Hochschulprogrammen, einschließlich Doktoranden </w:t>
            </w:r>
          </w:p>
        </w:tc>
      </w:tr>
      <w:tr w:rsidR="0057163C" w:rsidRPr="00170422" w14:paraId="5965B312" w14:textId="77777777" w:rsidTr="00A400C5">
        <w:trPr>
          <w:trHeight w:val="300"/>
        </w:trPr>
        <w:tc>
          <w:tcPr>
            <w:tcW w:w="1435" w:type="dxa"/>
            <w:shd w:val="clear" w:color="auto" w:fill="C6EFCE"/>
            <w:tcMar>
              <w:left w:w="108" w:type="dxa"/>
              <w:right w:w="108" w:type="dxa"/>
            </w:tcMar>
            <w:vAlign w:val="center"/>
          </w:tcPr>
          <w:p w14:paraId="2B836EDC" w14:textId="77777777" w:rsidR="0057163C" w:rsidRPr="00170422" w:rsidRDefault="00F37BF9">
            <w:pPr>
              <w:pStyle w:val="P68B1DB1-Normal121"/>
              <w:spacing w:after="0" w:line="240" w:lineRule="auto"/>
              <w:jc w:val="center"/>
              <w:rPr>
                <w:noProof/>
                <w:lang w:val="de-DE"/>
              </w:rPr>
            </w:pPr>
            <w:r w:rsidRPr="00170422">
              <w:rPr>
                <w:noProof/>
                <w:lang w:val="de-DE"/>
              </w:rPr>
              <w:t>M4C1-24</w:t>
            </w:r>
          </w:p>
        </w:tc>
        <w:tc>
          <w:tcPr>
            <w:tcW w:w="2097" w:type="dxa"/>
            <w:shd w:val="clear" w:color="auto" w:fill="C6EFCE"/>
            <w:tcMar>
              <w:left w:w="108" w:type="dxa"/>
              <w:right w:w="108" w:type="dxa"/>
            </w:tcMar>
            <w:vAlign w:val="center"/>
          </w:tcPr>
          <w:p w14:paraId="6C40B939" w14:textId="77777777" w:rsidR="0057163C" w:rsidRPr="00170422" w:rsidRDefault="00F37BF9">
            <w:pPr>
              <w:pStyle w:val="P68B1DB1-Normal121"/>
              <w:spacing w:after="0" w:line="240" w:lineRule="auto"/>
              <w:rPr>
                <w:noProof/>
                <w:lang w:val="de-DE"/>
              </w:rPr>
            </w:pPr>
            <w:r w:rsidRPr="00170422">
              <w:rPr>
                <w:noProof/>
                <w:lang w:val="de-DE"/>
              </w:rPr>
              <w:t xml:space="preserve">Investition 1.6: Aktive Orientierung beim Übergang zwischen Schule und </w:t>
            </w:r>
            <w:r w:rsidRPr="00170422">
              <w:rPr>
                <w:noProof/>
                <w:lang w:val="de-DE"/>
              </w:rPr>
              <w:t>Hochschule.</w:t>
            </w:r>
          </w:p>
        </w:tc>
        <w:tc>
          <w:tcPr>
            <w:tcW w:w="2268" w:type="dxa"/>
            <w:shd w:val="clear" w:color="auto" w:fill="C6EFCE"/>
            <w:tcMar>
              <w:left w:w="108" w:type="dxa"/>
              <w:right w:w="108" w:type="dxa"/>
            </w:tcMar>
            <w:vAlign w:val="center"/>
          </w:tcPr>
          <w:p w14:paraId="0A0EAE9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04D1D30" w14:textId="2ACCBD0C" w:rsidR="0057163C" w:rsidRPr="00170422" w:rsidRDefault="00F37BF9">
            <w:pPr>
              <w:pStyle w:val="P68B1DB1-Normal121"/>
              <w:spacing w:after="0" w:line="240" w:lineRule="auto"/>
              <w:rPr>
                <w:noProof/>
                <w:lang w:val="de-DE"/>
              </w:rPr>
            </w:pPr>
            <w:r w:rsidRPr="00170422">
              <w:rPr>
                <w:noProof/>
                <w:lang w:val="de-DE"/>
              </w:rPr>
              <w:t>Teilnahmebescheinigungen, die für Übergangskurse zwischen Schulen und Hochschulen ausgestellt wurden</w:t>
            </w:r>
          </w:p>
        </w:tc>
      </w:tr>
      <w:tr w:rsidR="0057163C" w:rsidRPr="00170422" w14:paraId="51FB7805" w14:textId="77777777" w:rsidTr="00A400C5">
        <w:trPr>
          <w:trHeight w:val="300"/>
        </w:trPr>
        <w:tc>
          <w:tcPr>
            <w:tcW w:w="1435" w:type="dxa"/>
            <w:shd w:val="clear" w:color="auto" w:fill="C6EFCE"/>
            <w:tcMar>
              <w:left w:w="108" w:type="dxa"/>
              <w:right w:w="108" w:type="dxa"/>
            </w:tcMar>
            <w:vAlign w:val="center"/>
          </w:tcPr>
          <w:p w14:paraId="2D93A477" w14:textId="77777777" w:rsidR="0057163C" w:rsidRPr="00170422" w:rsidRDefault="00F37BF9">
            <w:pPr>
              <w:pStyle w:val="P68B1DB1-Normal121"/>
              <w:spacing w:after="0" w:line="240" w:lineRule="auto"/>
              <w:jc w:val="center"/>
              <w:rPr>
                <w:noProof/>
                <w:lang w:val="de-DE"/>
              </w:rPr>
            </w:pPr>
            <w:r w:rsidRPr="00170422">
              <w:rPr>
                <w:noProof/>
                <w:lang w:val="de-DE"/>
              </w:rPr>
              <w:t>M5C1-7bis</w:t>
            </w:r>
          </w:p>
        </w:tc>
        <w:tc>
          <w:tcPr>
            <w:tcW w:w="2097" w:type="dxa"/>
            <w:shd w:val="clear" w:color="auto" w:fill="C6EFCE"/>
            <w:tcMar>
              <w:left w:w="108" w:type="dxa"/>
              <w:right w:w="108" w:type="dxa"/>
            </w:tcMar>
            <w:vAlign w:val="center"/>
          </w:tcPr>
          <w:p w14:paraId="1419246D" w14:textId="77777777" w:rsidR="0057163C" w:rsidRPr="00170422" w:rsidRDefault="00F37BF9">
            <w:pPr>
              <w:pStyle w:val="P68B1DB1-Normal121"/>
              <w:spacing w:after="0" w:line="240" w:lineRule="auto"/>
              <w:rPr>
                <w:noProof/>
                <w:lang w:val="de-DE"/>
              </w:rPr>
            </w:pPr>
            <w:r w:rsidRPr="00170422">
              <w:rPr>
                <w:noProof/>
                <w:lang w:val="de-DE"/>
              </w:rPr>
              <w:t xml:space="preserve">Investition 1 – Stärkung der öffentlichen Arbeitsverwaltungen (ÖAV) </w:t>
            </w:r>
          </w:p>
        </w:tc>
        <w:tc>
          <w:tcPr>
            <w:tcW w:w="2268" w:type="dxa"/>
            <w:shd w:val="clear" w:color="auto" w:fill="C6EFCE"/>
            <w:tcMar>
              <w:left w:w="108" w:type="dxa"/>
              <w:right w:w="108" w:type="dxa"/>
            </w:tcMar>
            <w:vAlign w:val="center"/>
          </w:tcPr>
          <w:p w14:paraId="2397301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7A1D52B9" w14:textId="77777777" w:rsidR="0057163C" w:rsidRPr="00170422" w:rsidRDefault="00F37BF9">
            <w:pPr>
              <w:pStyle w:val="P68B1DB1-Normal121"/>
              <w:spacing w:after="0" w:line="240" w:lineRule="auto"/>
              <w:rPr>
                <w:noProof/>
                <w:lang w:val="de-DE"/>
              </w:rPr>
            </w:pPr>
            <w:r w:rsidRPr="00170422">
              <w:rPr>
                <w:noProof/>
                <w:lang w:val="de-DE"/>
              </w:rPr>
              <w:t xml:space="preserve">Die öffentlichen Arbeitsverwaltungen (ÖAV) haben die </w:t>
            </w:r>
            <w:r w:rsidRPr="00170422">
              <w:rPr>
                <w:noProof/>
                <w:lang w:val="de-DE"/>
              </w:rPr>
              <w:t xml:space="preserve">Renovierungsarbeiten abgeschlossen. </w:t>
            </w:r>
          </w:p>
        </w:tc>
      </w:tr>
      <w:tr w:rsidR="0057163C" w:rsidRPr="00170422" w14:paraId="7BFCEDCD" w14:textId="77777777" w:rsidTr="00A400C5">
        <w:trPr>
          <w:trHeight w:val="300"/>
        </w:trPr>
        <w:tc>
          <w:tcPr>
            <w:tcW w:w="1435" w:type="dxa"/>
            <w:shd w:val="clear" w:color="auto" w:fill="C6EFCE"/>
            <w:tcMar>
              <w:left w:w="108" w:type="dxa"/>
              <w:right w:w="108" w:type="dxa"/>
            </w:tcMar>
            <w:vAlign w:val="center"/>
          </w:tcPr>
          <w:p w14:paraId="3738388D" w14:textId="77777777" w:rsidR="0057163C" w:rsidRPr="00170422" w:rsidRDefault="00F37BF9">
            <w:pPr>
              <w:pStyle w:val="P68B1DB1-Normal121"/>
              <w:spacing w:after="0" w:line="240" w:lineRule="auto"/>
              <w:jc w:val="center"/>
              <w:rPr>
                <w:noProof/>
                <w:lang w:val="de-DE"/>
              </w:rPr>
            </w:pPr>
            <w:r w:rsidRPr="00170422">
              <w:rPr>
                <w:noProof/>
                <w:lang w:val="de-DE"/>
              </w:rPr>
              <w:t>M5C1-14</w:t>
            </w:r>
          </w:p>
        </w:tc>
        <w:tc>
          <w:tcPr>
            <w:tcW w:w="2097" w:type="dxa"/>
            <w:shd w:val="clear" w:color="auto" w:fill="C6EFCE"/>
            <w:tcMar>
              <w:left w:w="108" w:type="dxa"/>
              <w:right w:w="108" w:type="dxa"/>
            </w:tcMar>
            <w:vAlign w:val="center"/>
          </w:tcPr>
          <w:p w14:paraId="02DE3FCF" w14:textId="77777777" w:rsidR="0057163C" w:rsidRPr="00170422" w:rsidRDefault="00F37BF9">
            <w:pPr>
              <w:pStyle w:val="P68B1DB1-Normal121"/>
              <w:spacing w:after="0" w:line="240" w:lineRule="auto"/>
              <w:rPr>
                <w:noProof/>
                <w:lang w:val="de-DE"/>
              </w:rPr>
            </w:pPr>
            <w:r w:rsidRPr="00170422">
              <w:rPr>
                <w:noProof/>
                <w:lang w:val="de-DE"/>
              </w:rPr>
              <w:t>Investition 2 – Zertifizierungssystem für die Gleichstellung der Geschlechter</w:t>
            </w:r>
          </w:p>
        </w:tc>
        <w:tc>
          <w:tcPr>
            <w:tcW w:w="2268" w:type="dxa"/>
            <w:shd w:val="clear" w:color="auto" w:fill="C6EFCE"/>
            <w:tcMar>
              <w:left w:w="108" w:type="dxa"/>
              <w:right w:w="108" w:type="dxa"/>
            </w:tcMar>
            <w:vAlign w:val="center"/>
          </w:tcPr>
          <w:p w14:paraId="23429FB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DF6468A" w14:textId="77777777" w:rsidR="0057163C" w:rsidRPr="00170422" w:rsidRDefault="00F37BF9">
            <w:pPr>
              <w:pStyle w:val="P68B1DB1-Normal121"/>
              <w:spacing w:after="0" w:line="240" w:lineRule="auto"/>
              <w:rPr>
                <w:noProof/>
                <w:lang w:val="de-DE"/>
              </w:rPr>
            </w:pPr>
            <w:r w:rsidRPr="00170422">
              <w:rPr>
                <w:noProof/>
                <w:lang w:val="de-DE"/>
              </w:rPr>
              <w:t>Unternehmen haben die Gleichstellungsbescheinigung erhalten</w:t>
            </w:r>
          </w:p>
        </w:tc>
      </w:tr>
      <w:tr w:rsidR="0057163C" w:rsidRPr="00170422" w14:paraId="032E5BEE" w14:textId="77777777" w:rsidTr="00A400C5">
        <w:trPr>
          <w:trHeight w:val="300"/>
        </w:trPr>
        <w:tc>
          <w:tcPr>
            <w:tcW w:w="1435" w:type="dxa"/>
            <w:shd w:val="clear" w:color="auto" w:fill="C6EFCE"/>
            <w:tcMar>
              <w:left w:w="108" w:type="dxa"/>
              <w:right w:w="108" w:type="dxa"/>
            </w:tcMar>
            <w:vAlign w:val="center"/>
          </w:tcPr>
          <w:p w14:paraId="313BD13A" w14:textId="77777777" w:rsidR="0057163C" w:rsidRPr="00170422" w:rsidRDefault="00F37BF9">
            <w:pPr>
              <w:pStyle w:val="P68B1DB1-Normal121"/>
              <w:spacing w:after="0" w:line="240" w:lineRule="auto"/>
              <w:jc w:val="center"/>
              <w:rPr>
                <w:noProof/>
                <w:lang w:val="de-DE"/>
              </w:rPr>
            </w:pPr>
            <w:r w:rsidRPr="00170422">
              <w:rPr>
                <w:noProof/>
                <w:lang w:val="de-DE"/>
              </w:rPr>
              <w:t>M5C1-16</w:t>
            </w:r>
          </w:p>
        </w:tc>
        <w:tc>
          <w:tcPr>
            <w:tcW w:w="2097" w:type="dxa"/>
            <w:shd w:val="clear" w:color="auto" w:fill="C6EFCE"/>
            <w:tcMar>
              <w:left w:w="108" w:type="dxa"/>
              <w:right w:w="108" w:type="dxa"/>
            </w:tcMar>
            <w:vAlign w:val="center"/>
          </w:tcPr>
          <w:p w14:paraId="5ED66C5E" w14:textId="77777777" w:rsidR="0057163C" w:rsidRPr="00170422" w:rsidRDefault="00F37BF9">
            <w:pPr>
              <w:pStyle w:val="P68B1DB1-Normal121"/>
              <w:spacing w:after="0" w:line="240" w:lineRule="auto"/>
              <w:rPr>
                <w:noProof/>
                <w:lang w:val="de-DE"/>
              </w:rPr>
            </w:pPr>
            <w:r w:rsidRPr="00170422">
              <w:rPr>
                <w:noProof/>
                <w:lang w:val="de-DE"/>
              </w:rPr>
              <w:t>Investition 4 – Allgemeiner öffentlicher Dienst</w:t>
            </w:r>
          </w:p>
        </w:tc>
        <w:tc>
          <w:tcPr>
            <w:tcW w:w="2268" w:type="dxa"/>
            <w:shd w:val="clear" w:color="auto" w:fill="C6EFCE"/>
            <w:tcMar>
              <w:left w:w="108" w:type="dxa"/>
              <w:right w:w="108" w:type="dxa"/>
            </w:tcMar>
            <w:vAlign w:val="center"/>
          </w:tcPr>
          <w:p w14:paraId="63084B3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503B04A7" w14:textId="77777777" w:rsidR="0057163C" w:rsidRPr="00170422" w:rsidRDefault="00F37BF9">
            <w:pPr>
              <w:pStyle w:val="P68B1DB1-Normal121"/>
              <w:spacing w:after="0" w:line="240" w:lineRule="auto"/>
              <w:rPr>
                <w:noProof/>
                <w:lang w:val="de-DE"/>
              </w:rPr>
            </w:pPr>
            <w:r w:rsidRPr="00170422">
              <w:rPr>
                <w:noProof/>
                <w:lang w:val="de-DE"/>
              </w:rPr>
              <w:t xml:space="preserve">Die </w:t>
            </w:r>
            <w:r w:rsidRPr="00170422">
              <w:rPr>
                <w:noProof/>
                <w:lang w:val="de-DE"/>
              </w:rPr>
              <w:t>Menschen haben an den im Vierjahreszeitraum 2021-2024 eingeleiteten Projekten für den öffentlichen Universaldienst teilgenommen und die entsprechende Zertifizierung erhalten.</w:t>
            </w:r>
          </w:p>
        </w:tc>
      </w:tr>
      <w:tr w:rsidR="0057163C" w:rsidRPr="00170422" w14:paraId="05A88588" w14:textId="77777777" w:rsidTr="00A400C5">
        <w:trPr>
          <w:trHeight w:val="300"/>
        </w:trPr>
        <w:tc>
          <w:tcPr>
            <w:tcW w:w="1435" w:type="dxa"/>
            <w:shd w:val="clear" w:color="auto" w:fill="C6EFCE"/>
            <w:tcMar>
              <w:left w:w="108" w:type="dxa"/>
              <w:right w:w="108" w:type="dxa"/>
            </w:tcMar>
            <w:vAlign w:val="center"/>
          </w:tcPr>
          <w:p w14:paraId="24896419" w14:textId="77777777" w:rsidR="0057163C" w:rsidRPr="00170422" w:rsidRDefault="00F37BF9">
            <w:pPr>
              <w:pStyle w:val="P68B1DB1-Normal121"/>
              <w:spacing w:after="0" w:line="240" w:lineRule="auto"/>
              <w:jc w:val="center"/>
              <w:rPr>
                <w:noProof/>
                <w:lang w:val="de-DE"/>
              </w:rPr>
            </w:pPr>
            <w:r w:rsidRPr="00170422">
              <w:rPr>
                <w:noProof/>
                <w:lang w:val="de-DE"/>
              </w:rPr>
              <w:t>M5C3-4</w:t>
            </w:r>
          </w:p>
        </w:tc>
        <w:tc>
          <w:tcPr>
            <w:tcW w:w="2097" w:type="dxa"/>
            <w:shd w:val="clear" w:color="auto" w:fill="C6EFCE"/>
            <w:tcMar>
              <w:left w:w="108" w:type="dxa"/>
              <w:right w:w="108" w:type="dxa"/>
            </w:tcMar>
            <w:vAlign w:val="center"/>
          </w:tcPr>
          <w:p w14:paraId="45D1D41F" w14:textId="77777777" w:rsidR="0057163C" w:rsidRPr="00170422" w:rsidRDefault="00F37BF9">
            <w:pPr>
              <w:pStyle w:val="P68B1DB1-Normal121"/>
              <w:spacing w:after="0" w:line="240" w:lineRule="auto"/>
              <w:rPr>
                <w:noProof/>
                <w:lang w:val="de-DE"/>
              </w:rPr>
            </w:pPr>
            <w:r w:rsidRPr="00170422">
              <w:rPr>
                <w:noProof/>
                <w:lang w:val="de-DE"/>
              </w:rPr>
              <w:t>Investition 2: Gesundheitseinrichtungen in räumlicher Nähe</w:t>
            </w:r>
          </w:p>
        </w:tc>
        <w:tc>
          <w:tcPr>
            <w:tcW w:w="2268" w:type="dxa"/>
            <w:shd w:val="clear" w:color="auto" w:fill="C6EFCE"/>
            <w:tcMar>
              <w:left w:w="108" w:type="dxa"/>
              <w:right w:w="108" w:type="dxa"/>
            </w:tcMar>
            <w:vAlign w:val="center"/>
          </w:tcPr>
          <w:p w14:paraId="1DC38D3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20D5CA8" w14:textId="77777777" w:rsidR="0057163C" w:rsidRPr="00170422" w:rsidRDefault="00F37BF9">
            <w:pPr>
              <w:pStyle w:val="P68B1DB1-Normal121"/>
              <w:spacing w:after="0" w:line="240" w:lineRule="auto"/>
              <w:rPr>
                <w:noProof/>
                <w:lang w:val="de-DE"/>
              </w:rPr>
            </w:pPr>
            <w:r w:rsidRPr="00170422">
              <w:rPr>
                <w:noProof/>
                <w:lang w:val="de-DE"/>
              </w:rPr>
              <w:t>Fö</w:t>
            </w:r>
            <w:r w:rsidRPr="00170422">
              <w:rPr>
                <w:noProof/>
                <w:lang w:val="de-DE"/>
              </w:rPr>
              <w:t>rderung ländlicher Apotheken in Gemeinden, Hamlets oder Siedlungen mit weniger als 5000 Einwohnern (zweite Serie)</w:t>
            </w:r>
          </w:p>
        </w:tc>
      </w:tr>
      <w:tr w:rsidR="0057163C" w:rsidRPr="00170422" w14:paraId="6CB60507" w14:textId="77777777" w:rsidTr="00A400C5">
        <w:trPr>
          <w:trHeight w:val="300"/>
        </w:trPr>
        <w:tc>
          <w:tcPr>
            <w:tcW w:w="1435" w:type="dxa"/>
            <w:shd w:val="clear" w:color="auto" w:fill="C6EFCE"/>
            <w:tcMar>
              <w:left w:w="108" w:type="dxa"/>
              <w:right w:w="108" w:type="dxa"/>
            </w:tcMar>
            <w:vAlign w:val="center"/>
          </w:tcPr>
          <w:p w14:paraId="2D17667C" w14:textId="77777777" w:rsidR="0057163C" w:rsidRPr="00170422" w:rsidRDefault="00F37BF9">
            <w:pPr>
              <w:pStyle w:val="P68B1DB1-Normal121"/>
              <w:spacing w:after="0" w:line="240" w:lineRule="auto"/>
              <w:jc w:val="center"/>
              <w:rPr>
                <w:noProof/>
                <w:lang w:val="de-DE"/>
              </w:rPr>
            </w:pPr>
            <w:r w:rsidRPr="00170422">
              <w:rPr>
                <w:noProof/>
                <w:lang w:val="de-DE"/>
              </w:rPr>
              <w:t>M7-11</w:t>
            </w:r>
          </w:p>
        </w:tc>
        <w:tc>
          <w:tcPr>
            <w:tcW w:w="2097" w:type="dxa"/>
            <w:shd w:val="clear" w:color="auto" w:fill="C6EFCE"/>
            <w:tcMar>
              <w:left w:w="108" w:type="dxa"/>
              <w:right w:w="108" w:type="dxa"/>
            </w:tcMar>
            <w:vAlign w:val="center"/>
          </w:tcPr>
          <w:p w14:paraId="75C35FBC" w14:textId="77777777" w:rsidR="0057163C" w:rsidRPr="00170422" w:rsidRDefault="00F37BF9">
            <w:pPr>
              <w:pStyle w:val="P68B1DB1-Normal121"/>
              <w:spacing w:after="0" w:line="240" w:lineRule="auto"/>
              <w:rPr>
                <w:noProof/>
                <w:lang w:val="de-DE"/>
              </w:rPr>
            </w:pPr>
            <w:r w:rsidRPr="00170422">
              <w:rPr>
                <w:noProof/>
                <w:lang w:val="de-DE"/>
              </w:rPr>
              <w:t>Investition 1: Ausgeweitete Maßnahme: Intelligente Netze</w:t>
            </w:r>
          </w:p>
        </w:tc>
        <w:tc>
          <w:tcPr>
            <w:tcW w:w="2268" w:type="dxa"/>
            <w:shd w:val="clear" w:color="auto" w:fill="C6EFCE"/>
            <w:tcMar>
              <w:left w:w="108" w:type="dxa"/>
              <w:right w:w="108" w:type="dxa"/>
            </w:tcMar>
            <w:vAlign w:val="center"/>
          </w:tcPr>
          <w:p w14:paraId="633CB47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AE34AB6" w14:textId="77777777" w:rsidR="0057163C" w:rsidRPr="00170422" w:rsidRDefault="00F37BF9">
            <w:pPr>
              <w:pStyle w:val="P68B1DB1-Normal121"/>
              <w:spacing w:after="0" w:line="240" w:lineRule="auto"/>
              <w:rPr>
                <w:noProof/>
                <w:lang w:val="de-DE"/>
              </w:rPr>
            </w:pPr>
            <w:r w:rsidRPr="00170422">
              <w:rPr>
                <w:noProof/>
                <w:lang w:val="de-DE"/>
              </w:rPr>
              <w:t>Intelligente Netze – Elektrifizierung des Energieverbrauchs</w:t>
            </w:r>
          </w:p>
        </w:tc>
      </w:tr>
      <w:tr w:rsidR="0057163C" w:rsidRPr="00170422" w14:paraId="508477EE" w14:textId="77777777" w:rsidTr="00A400C5">
        <w:trPr>
          <w:trHeight w:val="300"/>
        </w:trPr>
        <w:tc>
          <w:tcPr>
            <w:tcW w:w="1435" w:type="dxa"/>
            <w:shd w:val="clear" w:color="auto" w:fill="C6EFCE"/>
            <w:tcMar>
              <w:left w:w="108" w:type="dxa"/>
              <w:right w:w="108" w:type="dxa"/>
            </w:tcMar>
            <w:vAlign w:val="center"/>
          </w:tcPr>
          <w:p w14:paraId="1DEBC060" w14:textId="77777777" w:rsidR="0057163C" w:rsidRPr="00170422" w:rsidRDefault="00F37BF9">
            <w:pPr>
              <w:pStyle w:val="P68B1DB1-Normal121"/>
              <w:spacing w:after="0" w:line="240" w:lineRule="auto"/>
              <w:jc w:val="center"/>
              <w:rPr>
                <w:noProof/>
                <w:lang w:val="de-DE"/>
              </w:rPr>
            </w:pPr>
            <w:r w:rsidRPr="00170422">
              <w:rPr>
                <w:noProof/>
                <w:lang w:val="de-DE"/>
              </w:rPr>
              <w:t>M7-12</w:t>
            </w:r>
          </w:p>
        </w:tc>
        <w:tc>
          <w:tcPr>
            <w:tcW w:w="2097" w:type="dxa"/>
            <w:shd w:val="clear" w:color="auto" w:fill="C6EFCE"/>
            <w:tcMar>
              <w:left w:w="108" w:type="dxa"/>
              <w:right w:w="108" w:type="dxa"/>
            </w:tcMar>
            <w:vAlign w:val="center"/>
          </w:tcPr>
          <w:p w14:paraId="783FECD3" w14:textId="77777777" w:rsidR="0057163C" w:rsidRPr="00170422" w:rsidRDefault="00F37BF9">
            <w:pPr>
              <w:pStyle w:val="P68B1DB1-Normal121"/>
              <w:spacing w:after="0" w:line="240" w:lineRule="auto"/>
              <w:rPr>
                <w:noProof/>
                <w:lang w:val="de-DE"/>
              </w:rPr>
            </w:pPr>
            <w:r w:rsidRPr="00170422">
              <w:rPr>
                <w:noProof/>
                <w:lang w:val="de-DE"/>
              </w:rPr>
              <w:t>Investition 2: Ausgeweitete Maßnahme: Interventionen zur Erhöhung der Widerstandsfähigkeit des Stromnetzes</w:t>
            </w:r>
          </w:p>
        </w:tc>
        <w:tc>
          <w:tcPr>
            <w:tcW w:w="2268" w:type="dxa"/>
            <w:shd w:val="clear" w:color="auto" w:fill="C6EFCE"/>
            <w:tcMar>
              <w:left w:w="108" w:type="dxa"/>
              <w:right w:w="108" w:type="dxa"/>
            </w:tcMar>
            <w:vAlign w:val="center"/>
          </w:tcPr>
          <w:p w14:paraId="476D659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ADE62E3" w14:textId="77777777" w:rsidR="0057163C" w:rsidRPr="00170422" w:rsidRDefault="00F37BF9">
            <w:pPr>
              <w:pStyle w:val="P68B1DB1-Normal121"/>
              <w:spacing w:after="0" w:line="240" w:lineRule="auto"/>
              <w:rPr>
                <w:noProof/>
                <w:lang w:val="de-DE"/>
              </w:rPr>
            </w:pPr>
            <w:r w:rsidRPr="00170422">
              <w:rPr>
                <w:noProof/>
                <w:lang w:val="de-DE"/>
              </w:rPr>
              <w:t>Erhöhung der Widerstandsfähigkeit des Stromnetzes</w:t>
            </w:r>
          </w:p>
        </w:tc>
      </w:tr>
      <w:tr w:rsidR="0057163C" w:rsidRPr="00170422" w14:paraId="59602E8E" w14:textId="77777777" w:rsidTr="00A400C5">
        <w:trPr>
          <w:trHeight w:val="300"/>
        </w:trPr>
        <w:tc>
          <w:tcPr>
            <w:tcW w:w="1435" w:type="dxa"/>
            <w:shd w:val="clear" w:color="auto" w:fill="C6EFCE"/>
            <w:tcMar>
              <w:left w:w="108" w:type="dxa"/>
              <w:right w:w="108" w:type="dxa"/>
            </w:tcMar>
            <w:vAlign w:val="center"/>
          </w:tcPr>
          <w:p w14:paraId="04F9BAA9" w14:textId="77777777" w:rsidR="0057163C" w:rsidRPr="00170422" w:rsidRDefault="00F37BF9">
            <w:pPr>
              <w:pStyle w:val="P68B1DB1-Normal121"/>
              <w:spacing w:after="0" w:line="240" w:lineRule="auto"/>
              <w:jc w:val="center"/>
              <w:rPr>
                <w:noProof/>
                <w:lang w:val="de-DE"/>
              </w:rPr>
            </w:pPr>
            <w:r w:rsidRPr="00170422">
              <w:rPr>
                <w:noProof/>
                <w:lang w:val="de-DE"/>
              </w:rPr>
              <w:t>M7-13</w:t>
            </w:r>
          </w:p>
        </w:tc>
        <w:tc>
          <w:tcPr>
            <w:tcW w:w="2097" w:type="dxa"/>
            <w:shd w:val="clear" w:color="auto" w:fill="C6EFCE"/>
            <w:tcMar>
              <w:left w:w="108" w:type="dxa"/>
              <w:right w:w="108" w:type="dxa"/>
            </w:tcMar>
            <w:vAlign w:val="center"/>
          </w:tcPr>
          <w:p w14:paraId="7B7A86A9" w14:textId="77777777" w:rsidR="0057163C" w:rsidRPr="00170422" w:rsidRDefault="00F37BF9">
            <w:pPr>
              <w:pStyle w:val="P68B1DB1-Normal121"/>
              <w:spacing w:after="0" w:line="240" w:lineRule="auto"/>
              <w:rPr>
                <w:noProof/>
                <w:lang w:val="de-DE"/>
              </w:rPr>
            </w:pPr>
            <w:r w:rsidRPr="00170422">
              <w:rPr>
                <w:noProof/>
                <w:lang w:val="de-DE"/>
              </w:rPr>
              <w:t>Investition 3: Wissenschaftsexzellenz. Ausgeweitete Maßnahme: Wasserstoffproduktion auf</w:t>
            </w:r>
            <w:r w:rsidRPr="00170422">
              <w:rPr>
                <w:noProof/>
                <w:lang w:val="de-DE"/>
              </w:rPr>
              <w:t xml:space="preserve"> Brachflächen (Hydrogen Valleys)</w:t>
            </w:r>
          </w:p>
        </w:tc>
        <w:tc>
          <w:tcPr>
            <w:tcW w:w="2268" w:type="dxa"/>
            <w:shd w:val="clear" w:color="auto" w:fill="C6EFCE"/>
            <w:tcMar>
              <w:left w:w="108" w:type="dxa"/>
              <w:right w:w="108" w:type="dxa"/>
            </w:tcMar>
            <w:vAlign w:val="center"/>
          </w:tcPr>
          <w:p w14:paraId="268CF41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087DB39C" w14:textId="77777777" w:rsidR="0057163C" w:rsidRPr="00170422" w:rsidRDefault="00F37BF9">
            <w:pPr>
              <w:pStyle w:val="P68B1DB1-Normal121"/>
              <w:spacing w:after="0" w:line="240" w:lineRule="auto"/>
              <w:rPr>
                <w:noProof/>
                <w:lang w:val="de-DE"/>
              </w:rPr>
            </w:pPr>
            <w:r w:rsidRPr="00170422">
              <w:rPr>
                <w:noProof/>
                <w:lang w:val="de-DE"/>
              </w:rPr>
              <w:t>Durchgeführtes Projekt</w:t>
            </w:r>
          </w:p>
        </w:tc>
      </w:tr>
      <w:tr w:rsidR="0057163C" w:rsidRPr="00170422" w14:paraId="088EAFF5" w14:textId="77777777" w:rsidTr="00A400C5">
        <w:trPr>
          <w:trHeight w:val="300"/>
        </w:trPr>
        <w:tc>
          <w:tcPr>
            <w:tcW w:w="1435" w:type="dxa"/>
            <w:shd w:val="clear" w:color="auto" w:fill="C6EFCE"/>
            <w:tcMar>
              <w:left w:w="108" w:type="dxa"/>
              <w:right w:w="108" w:type="dxa"/>
            </w:tcMar>
            <w:vAlign w:val="center"/>
          </w:tcPr>
          <w:p w14:paraId="59E6D0FB" w14:textId="77777777" w:rsidR="0057163C" w:rsidRPr="00170422" w:rsidRDefault="00F37BF9">
            <w:pPr>
              <w:pStyle w:val="P68B1DB1-Normal121"/>
              <w:spacing w:after="0" w:line="240" w:lineRule="auto"/>
              <w:jc w:val="center"/>
              <w:rPr>
                <w:noProof/>
                <w:lang w:val="de-DE"/>
              </w:rPr>
            </w:pPr>
            <w:r w:rsidRPr="00170422">
              <w:rPr>
                <w:noProof/>
                <w:lang w:val="de-DE"/>
              </w:rPr>
              <w:t>M7-15</w:t>
            </w:r>
          </w:p>
        </w:tc>
        <w:tc>
          <w:tcPr>
            <w:tcW w:w="2097" w:type="dxa"/>
            <w:shd w:val="clear" w:color="auto" w:fill="C6EFCE"/>
            <w:tcMar>
              <w:left w:w="108" w:type="dxa"/>
              <w:right w:w="108" w:type="dxa"/>
            </w:tcMar>
            <w:vAlign w:val="center"/>
          </w:tcPr>
          <w:p w14:paraId="06EC0D65" w14:textId="77777777" w:rsidR="0057163C" w:rsidRPr="00170422" w:rsidRDefault="00F37BF9">
            <w:pPr>
              <w:pStyle w:val="P68B1DB1-Normal121"/>
              <w:spacing w:after="0" w:line="240" w:lineRule="auto"/>
              <w:rPr>
                <w:noProof/>
                <w:lang w:val="de-DE"/>
              </w:rPr>
            </w:pPr>
            <w:r w:rsidRPr="00170422">
              <w:rPr>
                <w:noProof/>
                <w:lang w:val="de-DE"/>
              </w:rPr>
              <w:t>Investition 4: Tyrrhenischer Link</w:t>
            </w:r>
          </w:p>
        </w:tc>
        <w:tc>
          <w:tcPr>
            <w:tcW w:w="2268" w:type="dxa"/>
            <w:shd w:val="clear" w:color="auto" w:fill="C6EFCE"/>
            <w:tcMar>
              <w:left w:w="108" w:type="dxa"/>
              <w:right w:w="108" w:type="dxa"/>
            </w:tcMar>
            <w:vAlign w:val="center"/>
          </w:tcPr>
          <w:p w14:paraId="28CA97D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F30A74A" w14:textId="77777777" w:rsidR="0057163C" w:rsidRPr="00170422" w:rsidRDefault="00F37BF9">
            <w:pPr>
              <w:pStyle w:val="P68B1DB1-Normal121"/>
              <w:spacing w:after="0" w:line="240" w:lineRule="auto"/>
              <w:rPr>
                <w:noProof/>
                <w:lang w:val="de-DE"/>
              </w:rPr>
            </w:pPr>
            <w:r w:rsidRPr="00170422">
              <w:rPr>
                <w:noProof/>
                <w:lang w:val="de-DE"/>
              </w:rPr>
              <w:t>Verlegung des Kabels</w:t>
            </w:r>
          </w:p>
        </w:tc>
      </w:tr>
      <w:tr w:rsidR="0057163C" w:rsidRPr="00170422" w14:paraId="36FA4341" w14:textId="77777777" w:rsidTr="00A400C5">
        <w:trPr>
          <w:trHeight w:val="300"/>
        </w:trPr>
        <w:tc>
          <w:tcPr>
            <w:tcW w:w="1435" w:type="dxa"/>
            <w:shd w:val="clear" w:color="auto" w:fill="C6EFCE"/>
            <w:tcMar>
              <w:left w:w="108" w:type="dxa"/>
              <w:right w:w="108" w:type="dxa"/>
            </w:tcMar>
            <w:vAlign w:val="center"/>
          </w:tcPr>
          <w:p w14:paraId="6500F709" w14:textId="77777777" w:rsidR="0057163C" w:rsidRPr="00170422" w:rsidRDefault="00F37BF9">
            <w:pPr>
              <w:pStyle w:val="P68B1DB1-Normal121"/>
              <w:spacing w:after="0" w:line="240" w:lineRule="auto"/>
              <w:jc w:val="center"/>
              <w:rPr>
                <w:noProof/>
                <w:lang w:val="de-DE"/>
              </w:rPr>
            </w:pPr>
            <w:r w:rsidRPr="00170422">
              <w:rPr>
                <w:noProof/>
                <w:lang w:val="de-DE"/>
              </w:rPr>
              <w:t>M7-17</w:t>
            </w:r>
          </w:p>
        </w:tc>
        <w:tc>
          <w:tcPr>
            <w:tcW w:w="2097" w:type="dxa"/>
            <w:shd w:val="clear" w:color="auto" w:fill="C6EFCE"/>
            <w:tcMar>
              <w:left w:w="108" w:type="dxa"/>
              <w:right w:w="108" w:type="dxa"/>
            </w:tcMar>
            <w:vAlign w:val="center"/>
          </w:tcPr>
          <w:p w14:paraId="7111F47A" w14:textId="77777777" w:rsidR="0057163C" w:rsidRPr="00170422" w:rsidRDefault="00F37BF9">
            <w:pPr>
              <w:pStyle w:val="P68B1DB1-Normal121"/>
              <w:spacing w:after="0" w:line="240" w:lineRule="auto"/>
              <w:rPr>
                <w:noProof/>
                <w:lang w:val="de-DE"/>
              </w:rPr>
            </w:pPr>
            <w:r w:rsidRPr="00170422">
              <w:rPr>
                <w:noProof/>
                <w:lang w:val="de-DE"/>
              </w:rPr>
              <w:t>Investition 5: SA.CO.I.3</w:t>
            </w:r>
          </w:p>
        </w:tc>
        <w:tc>
          <w:tcPr>
            <w:tcW w:w="2268" w:type="dxa"/>
            <w:shd w:val="clear" w:color="auto" w:fill="C6EFCE"/>
            <w:tcMar>
              <w:left w:w="108" w:type="dxa"/>
              <w:right w:w="108" w:type="dxa"/>
            </w:tcMar>
            <w:vAlign w:val="center"/>
          </w:tcPr>
          <w:p w14:paraId="58DCCED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9F855A4" w14:textId="77777777" w:rsidR="0057163C" w:rsidRPr="00170422" w:rsidRDefault="00F37BF9">
            <w:pPr>
              <w:pStyle w:val="P68B1DB1-Normal121"/>
              <w:spacing w:after="0" w:line="240" w:lineRule="auto"/>
              <w:rPr>
                <w:noProof/>
                <w:lang w:val="de-DE"/>
              </w:rPr>
            </w:pPr>
            <w:r w:rsidRPr="00170422">
              <w:rPr>
                <w:noProof/>
                <w:lang w:val="de-DE"/>
              </w:rPr>
              <w:t xml:space="preserve">Fertigstellung der Umspannwerke auf Sardinien (Codrongianos) und Toskana </w:t>
            </w:r>
            <w:r w:rsidRPr="00170422">
              <w:rPr>
                <w:noProof/>
                <w:lang w:val="de-DE"/>
              </w:rPr>
              <w:t>(Suvereto)</w:t>
            </w:r>
          </w:p>
        </w:tc>
      </w:tr>
      <w:tr w:rsidR="0057163C" w:rsidRPr="00170422" w14:paraId="714DB080" w14:textId="77777777" w:rsidTr="00A400C5">
        <w:trPr>
          <w:trHeight w:val="300"/>
        </w:trPr>
        <w:tc>
          <w:tcPr>
            <w:tcW w:w="1435" w:type="dxa"/>
            <w:shd w:val="clear" w:color="auto" w:fill="C6EFCE"/>
            <w:tcMar>
              <w:left w:w="108" w:type="dxa"/>
              <w:right w:w="108" w:type="dxa"/>
            </w:tcMar>
            <w:vAlign w:val="center"/>
          </w:tcPr>
          <w:p w14:paraId="7C03D58A" w14:textId="77777777" w:rsidR="0057163C" w:rsidRPr="00170422" w:rsidRDefault="00F37BF9">
            <w:pPr>
              <w:pStyle w:val="P68B1DB1-Normal121"/>
              <w:spacing w:after="0" w:line="240" w:lineRule="auto"/>
              <w:jc w:val="center"/>
              <w:rPr>
                <w:noProof/>
                <w:lang w:val="de-DE"/>
              </w:rPr>
            </w:pPr>
            <w:r w:rsidRPr="00170422">
              <w:rPr>
                <w:noProof/>
                <w:lang w:val="de-DE"/>
              </w:rPr>
              <w:t>M7-22</w:t>
            </w:r>
          </w:p>
        </w:tc>
        <w:tc>
          <w:tcPr>
            <w:tcW w:w="2097" w:type="dxa"/>
            <w:shd w:val="clear" w:color="auto" w:fill="C6EFCE"/>
            <w:tcMar>
              <w:left w:w="108" w:type="dxa"/>
              <w:right w:w="108" w:type="dxa"/>
            </w:tcMar>
            <w:vAlign w:val="center"/>
          </w:tcPr>
          <w:p w14:paraId="3A240B11" w14:textId="77777777" w:rsidR="0057163C" w:rsidRPr="00170422" w:rsidRDefault="00F37BF9">
            <w:pPr>
              <w:pStyle w:val="P68B1DB1-Normal121"/>
              <w:spacing w:after="0" w:line="240" w:lineRule="auto"/>
              <w:rPr>
                <w:noProof/>
                <w:lang w:val="de-DE"/>
              </w:rPr>
            </w:pPr>
            <w:r w:rsidRPr="00170422">
              <w:rPr>
                <w:noProof/>
                <w:lang w:val="de-DE"/>
              </w:rPr>
              <w:t>Investition 7: Intelligentes nationales Übertragungsnetz</w:t>
            </w:r>
          </w:p>
        </w:tc>
        <w:tc>
          <w:tcPr>
            <w:tcW w:w="2268" w:type="dxa"/>
            <w:shd w:val="clear" w:color="auto" w:fill="C6EFCE"/>
            <w:tcMar>
              <w:left w:w="108" w:type="dxa"/>
              <w:right w:w="108" w:type="dxa"/>
            </w:tcMar>
            <w:vAlign w:val="center"/>
          </w:tcPr>
          <w:p w14:paraId="13C94F7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CF9415F" w14:textId="5E350D26" w:rsidR="0057163C" w:rsidRPr="00170422" w:rsidRDefault="00F37BF9">
            <w:pPr>
              <w:pStyle w:val="P68B1DB1-Normal121"/>
              <w:spacing w:after="0" w:line="240" w:lineRule="auto"/>
              <w:rPr>
                <w:noProof/>
                <w:lang w:val="de-DE"/>
              </w:rPr>
            </w:pPr>
            <w:r w:rsidRPr="00170422">
              <w:rPr>
                <w:noProof/>
                <w:lang w:val="de-DE"/>
              </w:rPr>
              <w:t>Installation von 5G-Geräten, IKT-Architektur, sicheres Protokoll 104 in elektrischen Stationen und industrielles IoT in Stromanlagen</w:t>
            </w:r>
          </w:p>
        </w:tc>
      </w:tr>
      <w:tr w:rsidR="0057163C" w:rsidRPr="00170422" w14:paraId="03A43BA9" w14:textId="77777777" w:rsidTr="00A400C5">
        <w:trPr>
          <w:trHeight w:val="300"/>
        </w:trPr>
        <w:tc>
          <w:tcPr>
            <w:tcW w:w="1435" w:type="dxa"/>
            <w:shd w:val="clear" w:color="auto" w:fill="C6EFCE"/>
            <w:tcMar>
              <w:left w:w="108" w:type="dxa"/>
              <w:right w:w="108" w:type="dxa"/>
            </w:tcMar>
            <w:vAlign w:val="center"/>
          </w:tcPr>
          <w:p w14:paraId="1718DBB6" w14:textId="77777777" w:rsidR="0057163C" w:rsidRPr="00170422" w:rsidRDefault="00F37BF9">
            <w:pPr>
              <w:pStyle w:val="P68B1DB1-Normal121"/>
              <w:spacing w:after="0" w:line="240" w:lineRule="auto"/>
              <w:jc w:val="center"/>
              <w:rPr>
                <w:noProof/>
                <w:lang w:val="de-DE"/>
              </w:rPr>
            </w:pPr>
            <w:r w:rsidRPr="00170422">
              <w:rPr>
                <w:noProof/>
                <w:lang w:val="de-DE"/>
              </w:rPr>
              <w:t>M7-27</w:t>
            </w:r>
          </w:p>
        </w:tc>
        <w:tc>
          <w:tcPr>
            <w:tcW w:w="2097" w:type="dxa"/>
            <w:shd w:val="clear" w:color="auto" w:fill="C6EFCE"/>
            <w:tcMar>
              <w:left w:w="108" w:type="dxa"/>
              <w:right w:w="108" w:type="dxa"/>
            </w:tcMar>
            <w:vAlign w:val="center"/>
          </w:tcPr>
          <w:p w14:paraId="2FB19063" w14:textId="77777777" w:rsidR="0057163C" w:rsidRPr="00170422" w:rsidRDefault="00F37BF9">
            <w:pPr>
              <w:pStyle w:val="P68B1DB1-Normal121"/>
              <w:spacing w:after="0" w:line="240" w:lineRule="auto"/>
              <w:rPr>
                <w:noProof/>
                <w:lang w:val="de-DE"/>
              </w:rPr>
            </w:pPr>
            <w:r w:rsidRPr="00170422">
              <w:rPr>
                <w:noProof/>
                <w:lang w:val="de-DE"/>
              </w:rPr>
              <w:t>Investition 8: Nachhaltige, k</w:t>
            </w:r>
            <w:r w:rsidRPr="00170422">
              <w:rPr>
                <w:noProof/>
                <w:lang w:val="de-DE"/>
              </w:rPr>
              <w:t>reislauforientierte und sichere Versorgung mit kritischen Rohstoffen</w:t>
            </w:r>
          </w:p>
        </w:tc>
        <w:tc>
          <w:tcPr>
            <w:tcW w:w="2268" w:type="dxa"/>
            <w:shd w:val="clear" w:color="auto" w:fill="C6EFCE"/>
            <w:tcMar>
              <w:left w:w="108" w:type="dxa"/>
              <w:right w:w="108" w:type="dxa"/>
            </w:tcMar>
            <w:vAlign w:val="center"/>
          </w:tcPr>
          <w:p w14:paraId="49FCF37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081408DA" w14:textId="77777777" w:rsidR="0057163C" w:rsidRPr="00170422" w:rsidRDefault="00F37BF9">
            <w:pPr>
              <w:pStyle w:val="P68B1DB1-Normal121"/>
              <w:spacing w:after="0" w:line="240" w:lineRule="auto"/>
              <w:rPr>
                <w:noProof/>
                <w:lang w:val="de-DE"/>
              </w:rPr>
            </w:pPr>
            <w:r w:rsidRPr="00170422">
              <w:rPr>
                <w:noProof/>
                <w:lang w:val="de-DE"/>
              </w:rPr>
              <w:t xml:space="preserve">FuE-Projekte und Ausrüstung von Laboratorien für den städtischen Bergbau und Ökodesign </w:t>
            </w:r>
          </w:p>
        </w:tc>
      </w:tr>
      <w:tr w:rsidR="0057163C" w:rsidRPr="00170422" w14:paraId="028746FF" w14:textId="77777777" w:rsidTr="00A400C5">
        <w:trPr>
          <w:trHeight w:val="300"/>
        </w:trPr>
        <w:tc>
          <w:tcPr>
            <w:tcW w:w="1435" w:type="dxa"/>
            <w:shd w:val="clear" w:color="auto" w:fill="C6EFCE"/>
            <w:tcMar>
              <w:left w:w="108" w:type="dxa"/>
              <w:right w:w="108" w:type="dxa"/>
            </w:tcMar>
            <w:vAlign w:val="center"/>
          </w:tcPr>
          <w:p w14:paraId="4E91792B" w14:textId="77777777" w:rsidR="0057163C" w:rsidRPr="00170422" w:rsidRDefault="00F37BF9">
            <w:pPr>
              <w:pStyle w:val="P68B1DB1-Normal121"/>
              <w:spacing w:after="0" w:line="240" w:lineRule="auto"/>
              <w:jc w:val="center"/>
              <w:rPr>
                <w:noProof/>
                <w:lang w:val="de-DE"/>
              </w:rPr>
            </w:pPr>
            <w:r w:rsidRPr="00170422">
              <w:rPr>
                <w:noProof/>
                <w:lang w:val="de-DE"/>
              </w:rPr>
              <w:t>M7-31</w:t>
            </w:r>
          </w:p>
        </w:tc>
        <w:tc>
          <w:tcPr>
            <w:tcW w:w="2097" w:type="dxa"/>
            <w:shd w:val="clear" w:color="auto" w:fill="C6EFCE"/>
            <w:tcMar>
              <w:left w:w="108" w:type="dxa"/>
              <w:right w:w="108" w:type="dxa"/>
            </w:tcMar>
            <w:vAlign w:val="center"/>
          </w:tcPr>
          <w:p w14:paraId="3DE237FE" w14:textId="77777777" w:rsidR="0057163C" w:rsidRPr="00170422" w:rsidRDefault="00F37BF9">
            <w:pPr>
              <w:pStyle w:val="P68B1DB1-Normal121"/>
              <w:spacing w:after="0" w:line="240" w:lineRule="auto"/>
              <w:rPr>
                <w:noProof/>
                <w:lang w:val="de-DE"/>
              </w:rPr>
            </w:pPr>
            <w:r w:rsidRPr="00170422">
              <w:rPr>
                <w:noProof/>
                <w:lang w:val="de-DE"/>
              </w:rPr>
              <w:t xml:space="preserve">Investition 11:  Stärkung der regionalen Eisenbahnflotte des öffentlichen </w:t>
            </w:r>
            <w:r w:rsidRPr="00170422">
              <w:rPr>
                <w:noProof/>
                <w:lang w:val="de-DE"/>
              </w:rPr>
              <w:t>Verkehrs mit emissionsfreien Zügen und Universaldienst</w:t>
            </w:r>
          </w:p>
        </w:tc>
        <w:tc>
          <w:tcPr>
            <w:tcW w:w="2268" w:type="dxa"/>
            <w:shd w:val="clear" w:color="auto" w:fill="C6EFCE"/>
            <w:tcMar>
              <w:left w:w="108" w:type="dxa"/>
              <w:right w:w="108" w:type="dxa"/>
            </w:tcMar>
            <w:vAlign w:val="center"/>
          </w:tcPr>
          <w:p w14:paraId="2A8AEF2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2F0589E1" w14:textId="77777777" w:rsidR="0057163C" w:rsidRPr="00170422" w:rsidRDefault="00F37BF9">
            <w:pPr>
              <w:pStyle w:val="P68B1DB1-Normal121"/>
              <w:spacing w:after="0" w:line="240" w:lineRule="auto"/>
              <w:rPr>
                <w:noProof/>
                <w:lang w:val="de-DE"/>
              </w:rPr>
            </w:pPr>
            <w:r w:rsidRPr="00170422">
              <w:rPr>
                <w:noProof/>
                <w:lang w:val="de-DE"/>
              </w:rPr>
              <w:t>Anzahl der zugelassenen Züge</w:t>
            </w:r>
          </w:p>
        </w:tc>
      </w:tr>
      <w:tr w:rsidR="0057163C" w:rsidRPr="00170422" w14:paraId="702E6BE9" w14:textId="77777777" w:rsidTr="00A400C5">
        <w:trPr>
          <w:trHeight w:val="300"/>
        </w:trPr>
        <w:tc>
          <w:tcPr>
            <w:tcW w:w="1435" w:type="dxa"/>
            <w:shd w:val="clear" w:color="auto" w:fill="C6EFCE"/>
            <w:tcMar>
              <w:left w:w="108" w:type="dxa"/>
              <w:right w:w="108" w:type="dxa"/>
            </w:tcMar>
            <w:vAlign w:val="center"/>
          </w:tcPr>
          <w:p w14:paraId="1ABB5857" w14:textId="77777777" w:rsidR="0057163C" w:rsidRPr="00170422" w:rsidRDefault="00F37BF9">
            <w:pPr>
              <w:pStyle w:val="P68B1DB1-Normal121"/>
              <w:spacing w:after="0" w:line="240" w:lineRule="auto"/>
              <w:jc w:val="center"/>
              <w:rPr>
                <w:noProof/>
                <w:lang w:val="de-DE"/>
              </w:rPr>
            </w:pPr>
            <w:r w:rsidRPr="00170422">
              <w:rPr>
                <w:noProof/>
                <w:lang w:val="de-DE"/>
              </w:rPr>
              <w:t>M2C2-30</w:t>
            </w:r>
          </w:p>
        </w:tc>
        <w:tc>
          <w:tcPr>
            <w:tcW w:w="2097" w:type="dxa"/>
            <w:shd w:val="clear" w:color="auto" w:fill="C6EFCE"/>
            <w:tcMar>
              <w:left w:w="108" w:type="dxa"/>
              <w:right w:w="108" w:type="dxa"/>
            </w:tcMar>
            <w:vAlign w:val="center"/>
          </w:tcPr>
          <w:p w14:paraId="2038C1D3" w14:textId="77777777" w:rsidR="0057163C" w:rsidRPr="00170422" w:rsidRDefault="00F37BF9">
            <w:pPr>
              <w:pStyle w:val="P68B1DB1-Normal121"/>
              <w:spacing w:after="0" w:line="240" w:lineRule="auto"/>
              <w:rPr>
                <w:noProof/>
                <w:lang w:val="de-DE"/>
              </w:rPr>
            </w:pPr>
            <w:r w:rsidRPr="00170422">
              <w:rPr>
                <w:noProof/>
                <w:lang w:val="de-DE"/>
              </w:rPr>
              <w:t>Investition 4.5 – Programm zur Erneuerung der Flotte privater und leichter Nutzfahrzeuge mit Elektrofahrzeugen</w:t>
            </w:r>
          </w:p>
        </w:tc>
        <w:tc>
          <w:tcPr>
            <w:tcW w:w="2268" w:type="dxa"/>
            <w:shd w:val="clear" w:color="auto" w:fill="C6EFCE"/>
            <w:tcMar>
              <w:left w:w="108" w:type="dxa"/>
              <w:right w:w="108" w:type="dxa"/>
            </w:tcMar>
            <w:vAlign w:val="center"/>
          </w:tcPr>
          <w:p w14:paraId="3C70795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41EB0512" w14:textId="77777777" w:rsidR="0057163C" w:rsidRPr="00170422" w:rsidRDefault="00F37BF9">
            <w:pPr>
              <w:pStyle w:val="P68B1DB1-Normal121"/>
              <w:spacing w:after="0" w:line="240" w:lineRule="auto"/>
              <w:rPr>
                <w:noProof/>
                <w:lang w:val="de-DE"/>
              </w:rPr>
            </w:pPr>
            <w:r w:rsidRPr="00170422">
              <w:rPr>
                <w:noProof/>
                <w:lang w:val="de-DE"/>
              </w:rPr>
              <w:t>Anzahl der gekauften Fahrzeuge</w:t>
            </w:r>
          </w:p>
        </w:tc>
      </w:tr>
      <w:tr w:rsidR="0057163C" w:rsidRPr="00170422" w14:paraId="3B4857A8" w14:textId="77777777" w:rsidTr="00A400C5">
        <w:trPr>
          <w:trHeight w:val="300"/>
        </w:trPr>
        <w:tc>
          <w:tcPr>
            <w:tcW w:w="1435" w:type="dxa"/>
            <w:shd w:val="clear" w:color="auto" w:fill="C6EFCE"/>
            <w:tcMar>
              <w:left w:w="108" w:type="dxa"/>
              <w:right w:w="108" w:type="dxa"/>
            </w:tcMar>
            <w:vAlign w:val="center"/>
          </w:tcPr>
          <w:p w14:paraId="3FEECAD2" w14:textId="77777777" w:rsidR="0057163C" w:rsidRPr="00170422" w:rsidRDefault="00F37BF9">
            <w:pPr>
              <w:pStyle w:val="P68B1DB1-Normal121"/>
              <w:spacing w:after="0" w:line="240" w:lineRule="auto"/>
              <w:jc w:val="center"/>
              <w:rPr>
                <w:noProof/>
                <w:lang w:val="de-DE"/>
              </w:rPr>
            </w:pPr>
            <w:r w:rsidRPr="00170422">
              <w:rPr>
                <w:noProof/>
                <w:lang w:val="de-DE"/>
              </w:rPr>
              <w:t>M1C2-14ter</w:t>
            </w:r>
          </w:p>
        </w:tc>
        <w:tc>
          <w:tcPr>
            <w:tcW w:w="2097" w:type="dxa"/>
            <w:shd w:val="clear" w:color="auto" w:fill="C6EFCE"/>
            <w:tcMar>
              <w:left w:w="108" w:type="dxa"/>
              <w:right w:w="108" w:type="dxa"/>
            </w:tcMar>
            <w:vAlign w:val="center"/>
          </w:tcPr>
          <w:p w14:paraId="46E7B9D3" w14:textId="77777777" w:rsidR="0057163C" w:rsidRPr="00170422" w:rsidRDefault="00F37BF9">
            <w:pPr>
              <w:pStyle w:val="P68B1DB1-Normal121"/>
              <w:spacing w:after="0" w:line="240" w:lineRule="auto"/>
              <w:rPr>
                <w:noProof/>
                <w:lang w:val="de-DE"/>
              </w:rPr>
            </w:pPr>
            <w:r w:rsidRPr="00170422">
              <w:rPr>
                <w:noProof/>
                <w:lang w:val="de-DE"/>
              </w:rPr>
              <w:t>Reform 3: Rationalisierung und Vereinfachung der Anreize für Unternehmen.</w:t>
            </w:r>
          </w:p>
        </w:tc>
        <w:tc>
          <w:tcPr>
            <w:tcW w:w="2268" w:type="dxa"/>
            <w:shd w:val="clear" w:color="auto" w:fill="C6EFCE"/>
            <w:tcMar>
              <w:left w:w="108" w:type="dxa"/>
              <w:right w:w="108" w:type="dxa"/>
            </w:tcMar>
            <w:vAlign w:val="center"/>
          </w:tcPr>
          <w:p w14:paraId="42D09DD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5843C779" w14:textId="77777777" w:rsidR="0057163C" w:rsidRPr="00170422" w:rsidRDefault="00F37BF9">
            <w:pPr>
              <w:pStyle w:val="P68B1DB1-Normal121"/>
              <w:spacing w:after="0" w:line="240" w:lineRule="auto"/>
              <w:rPr>
                <w:noProof/>
                <w:lang w:val="de-DE"/>
              </w:rPr>
            </w:pPr>
            <w:r w:rsidRPr="00170422">
              <w:rPr>
                <w:noProof/>
                <w:lang w:val="de-DE"/>
              </w:rPr>
              <w:t>Inkrafttreten von Rechtsakten zur Rationalisierung fester Anreize</w:t>
            </w:r>
          </w:p>
        </w:tc>
      </w:tr>
      <w:tr w:rsidR="0057163C" w:rsidRPr="00170422" w14:paraId="5FCEFDAF" w14:textId="77777777" w:rsidTr="00A400C5">
        <w:trPr>
          <w:trHeight w:val="300"/>
        </w:trPr>
        <w:tc>
          <w:tcPr>
            <w:tcW w:w="1435" w:type="dxa"/>
            <w:shd w:val="clear" w:color="auto" w:fill="C6EFCE"/>
            <w:tcMar>
              <w:left w:w="108" w:type="dxa"/>
              <w:right w:w="108" w:type="dxa"/>
            </w:tcMar>
            <w:vAlign w:val="center"/>
          </w:tcPr>
          <w:p w14:paraId="615794AE" w14:textId="77777777" w:rsidR="0057163C" w:rsidRPr="00170422" w:rsidRDefault="00F37BF9">
            <w:pPr>
              <w:pStyle w:val="P68B1DB1-Normal121"/>
              <w:spacing w:after="0" w:line="240" w:lineRule="auto"/>
              <w:jc w:val="center"/>
              <w:rPr>
                <w:noProof/>
                <w:lang w:val="de-DE"/>
              </w:rPr>
            </w:pPr>
            <w:r w:rsidRPr="00170422">
              <w:rPr>
                <w:noProof/>
                <w:lang w:val="de-DE"/>
              </w:rPr>
              <w:t>M4C1-14ter</w:t>
            </w:r>
          </w:p>
        </w:tc>
        <w:tc>
          <w:tcPr>
            <w:tcW w:w="2097" w:type="dxa"/>
            <w:shd w:val="clear" w:color="auto" w:fill="C6EFCE"/>
            <w:tcMar>
              <w:left w:w="108" w:type="dxa"/>
              <w:right w:w="108" w:type="dxa"/>
            </w:tcMar>
            <w:vAlign w:val="center"/>
          </w:tcPr>
          <w:p w14:paraId="77EFD071" w14:textId="77777777" w:rsidR="0057163C" w:rsidRPr="00170422" w:rsidRDefault="00F37BF9">
            <w:pPr>
              <w:pStyle w:val="P68B1DB1-Normal121"/>
              <w:spacing w:after="0" w:line="240" w:lineRule="auto"/>
              <w:rPr>
                <w:noProof/>
                <w:lang w:val="de-DE"/>
              </w:rPr>
            </w:pPr>
            <w:r w:rsidRPr="00170422">
              <w:rPr>
                <w:noProof/>
                <w:lang w:val="de-DE"/>
              </w:rPr>
              <w:t>Reform 2.1: Einstellung von Lehrkräften</w:t>
            </w:r>
          </w:p>
        </w:tc>
        <w:tc>
          <w:tcPr>
            <w:tcW w:w="2268" w:type="dxa"/>
            <w:shd w:val="clear" w:color="auto" w:fill="C6EFCE"/>
            <w:tcMar>
              <w:left w:w="108" w:type="dxa"/>
              <w:right w:w="108" w:type="dxa"/>
            </w:tcMar>
            <w:vAlign w:val="center"/>
          </w:tcPr>
          <w:p w14:paraId="461C7B3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4DAF7958" w14:textId="77777777" w:rsidR="0057163C" w:rsidRPr="00170422" w:rsidRDefault="00F37BF9">
            <w:pPr>
              <w:pStyle w:val="P68B1DB1-Normal121"/>
              <w:spacing w:after="0" w:line="240" w:lineRule="auto"/>
              <w:rPr>
                <w:noProof/>
                <w:lang w:val="de-DE"/>
              </w:rPr>
            </w:pPr>
            <w:r w:rsidRPr="00170422">
              <w:rPr>
                <w:noProof/>
                <w:lang w:val="de-DE"/>
              </w:rPr>
              <w:t xml:space="preserve">Bewerber, die das öffentliche </w:t>
            </w:r>
            <w:r w:rsidRPr="00170422">
              <w:rPr>
                <w:noProof/>
                <w:lang w:val="de-DE"/>
              </w:rPr>
              <w:t>Auswahlverfahren erfolgreich bestanden haben, um Lehrer nach dem reformierten Einstellungssystem zu werden</w:t>
            </w:r>
          </w:p>
        </w:tc>
      </w:tr>
      <w:tr w:rsidR="0057163C" w:rsidRPr="00170422" w14:paraId="14D1F30C" w14:textId="77777777" w:rsidTr="00A400C5">
        <w:trPr>
          <w:trHeight w:val="300"/>
        </w:trPr>
        <w:tc>
          <w:tcPr>
            <w:tcW w:w="1435" w:type="dxa"/>
            <w:shd w:val="clear" w:color="auto" w:fill="C6EFCE"/>
            <w:tcMar>
              <w:left w:w="108" w:type="dxa"/>
              <w:right w:w="108" w:type="dxa"/>
            </w:tcMar>
            <w:vAlign w:val="center"/>
          </w:tcPr>
          <w:p w14:paraId="22E6FED0" w14:textId="77777777" w:rsidR="0057163C" w:rsidRPr="00170422" w:rsidRDefault="00F37BF9">
            <w:pPr>
              <w:pStyle w:val="P68B1DB1-Normal121"/>
              <w:spacing w:after="0" w:line="240" w:lineRule="auto"/>
              <w:jc w:val="center"/>
              <w:rPr>
                <w:noProof/>
                <w:lang w:val="de-DE"/>
              </w:rPr>
            </w:pPr>
            <w:r w:rsidRPr="00170422">
              <w:rPr>
                <w:noProof/>
                <w:lang w:val="de-DE"/>
              </w:rPr>
              <w:t>M1C1-121a</w:t>
            </w:r>
          </w:p>
        </w:tc>
        <w:tc>
          <w:tcPr>
            <w:tcW w:w="2097" w:type="dxa"/>
            <w:shd w:val="clear" w:color="auto" w:fill="C6EFCE"/>
            <w:tcMar>
              <w:left w:w="108" w:type="dxa"/>
              <w:right w:w="108" w:type="dxa"/>
            </w:tcMar>
            <w:vAlign w:val="center"/>
          </w:tcPr>
          <w:p w14:paraId="12CA3C0B" w14:textId="77777777" w:rsidR="0057163C" w:rsidRPr="00170422" w:rsidRDefault="00F37BF9">
            <w:pPr>
              <w:pStyle w:val="P68B1DB1-Normal121"/>
              <w:spacing w:after="0" w:line="240" w:lineRule="auto"/>
              <w:rPr>
                <w:noProof/>
                <w:lang w:val="de-DE"/>
              </w:rPr>
            </w:pPr>
            <w:r w:rsidRPr="00170422">
              <w:rPr>
                <w:noProof/>
                <w:lang w:val="de-DE"/>
              </w:rPr>
              <w:t>Reform 1.12: Reform der Steuerverwaltung</w:t>
            </w:r>
          </w:p>
        </w:tc>
        <w:tc>
          <w:tcPr>
            <w:tcW w:w="2268" w:type="dxa"/>
            <w:shd w:val="clear" w:color="auto" w:fill="C6EFCE"/>
            <w:tcMar>
              <w:left w:w="108" w:type="dxa"/>
              <w:right w:w="108" w:type="dxa"/>
            </w:tcMar>
            <w:vAlign w:val="center"/>
          </w:tcPr>
          <w:p w14:paraId="736E3A9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6CB0028" w14:textId="77777777" w:rsidR="0057163C" w:rsidRPr="00170422" w:rsidRDefault="00F37BF9">
            <w:pPr>
              <w:pStyle w:val="P68B1DB1-Normal121"/>
              <w:spacing w:after="0" w:line="240" w:lineRule="auto"/>
              <w:rPr>
                <w:noProof/>
                <w:lang w:val="de-DE"/>
              </w:rPr>
            </w:pPr>
            <w:r w:rsidRPr="00170422">
              <w:rPr>
                <w:noProof/>
                <w:lang w:val="de-DE"/>
              </w:rPr>
              <w:t>Inkrafttreten des Primär- und Sekundärrechts zur Verbesserung der Steuererhebung</w:t>
            </w:r>
          </w:p>
        </w:tc>
      </w:tr>
      <w:tr w:rsidR="0057163C" w:rsidRPr="00170422" w14:paraId="74F97F6D"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0C052A7" w14:textId="77777777" w:rsidR="0057163C" w:rsidRPr="00170422" w:rsidRDefault="00F37BF9">
            <w:pPr>
              <w:pStyle w:val="P68B1DB1-Normal121"/>
              <w:spacing w:after="0" w:line="240" w:lineRule="auto"/>
              <w:jc w:val="center"/>
              <w:rPr>
                <w:noProof/>
                <w:lang w:val="de-DE"/>
              </w:rPr>
            </w:pPr>
            <w:r w:rsidRPr="00170422">
              <w:rPr>
                <w:noProof/>
                <w:lang w:val="de-DE"/>
              </w:rPr>
              <w:t>M2C2-29</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F8843" w14:textId="77777777" w:rsidR="0057163C" w:rsidRPr="00170422" w:rsidRDefault="00F37BF9">
            <w:pPr>
              <w:pStyle w:val="P68B1DB1-Normal121"/>
              <w:spacing w:after="0" w:line="240" w:lineRule="auto"/>
              <w:rPr>
                <w:noProof/>
                <w:lang w:val="de-DE"/>
              </w:rPr>
            </w:pPr>
            <w:r w:rsidRPr="00170422">
              <w:rPr>
                <w:noProof/>
                <w:lang w:val="de-DE"/>
              </w:rPr>
              <w:t>Investition 4.3 Installation von Ladeinfrastrukturen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8B6A0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E6A87" w14:textId="77777777" w:rsidR="0057163C" w:rsidRPr="00170422" w:rsidRDefault="00F37BF9">
            <w:pPr>
              <w:pStyle w:val="P68B1DB1-Normal121"/>
              <w:spacing w:after="0" w:line="240" w:lineRule="auto"/>
              <w:rPr>
                <w:noProof/>
                <w:lang w:val="de-DE"/>
              </w:rPr>
            </w:pPr>
            <w:r w:rsidRPr="00170422">
              <w:rPr>
                <w:noProof/>
                <w:lang w:val="de-DE"/>
              </w:rPr>
              <w:t>Anzahl der Schnellladestationen</w:t>
            </w:r>
          </w:p>
        </w:tc>
      </w:tr>
      <w:tr w:rsidR="0057163C" w:rsidRPr="00170422" w14:paraId="611B1EB7"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9A7641" w14:textId="77777777" w:rsidR="0057163C" w:rsidRPr="00170422" w:rsidRDefault="00F37BF9">
            <w:pPr>
              <w:pStyle w:val="P68B1DB1-Normal121"/>
              <w:spacing w:after="0" w:line="240" w:lineRule="auto"/>
              <w:jc w:val="center"/>
              <w:rPr>
                <w:noProof/>
                <w:lang w:val="de-DE"/>
              </w:rPr>
            </w:pPr>
            <w:r w:rsidRPr="00170422">
              <w:rPr>
                <w:noProof/>
                <w:lang w:val="de-DE"/>
              </w:rPr>
              <w:t>M4C1-15bis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7669E" w14:textId="77777777" w:rsidR="0057163C" w:rsidRPr="00170422" w:rsidRDefault="00F37BF9">
            <w:pPr>
              <w:pStyle w:val="P68B1DB1-Normal121"/>
              <w:spacing w:after="0" w:line="240" w:lineRule="auto"/>
              <w:rPr>
                <w:noProof/>
                <w:lang w:val="de-DE"/>
              </w:rPr>
            </w:pPr>
            <w:r w:rsidRPr="00170422">
              <w:rPr>
                <w:noProof/>
                <w:lang w:val="de-DE"/>
              </w:rPr>
              <w:t>Investition 1.7: Stipendien für den Zugang zu Universitäten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E88E6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C8299" w14:textId="77777777" w:rsidR="0057163C" w:rsidRPr="00170422" w:rsidRDefault="00F37BF9">
            <w:pPr>
              <w:pStyle w:val="P68B1DB1-Normal121"/>
              <w:spacing w:after="0" w:line="240" w:lineRule="auto"/>
              <w:rPr>
                <w:noProof/>
                <w:lang w:val="de-DE"/>
              </w:rPr>
            </w:pPr>
            <w:r w:rsidRPr="00170422">
              <w:rPr>
                <w:noProof/>
                <w:lang w:val="de-DE"/>
              </w:rPr>
              <w:t>Vergebene Stipendien für den Zugang zu Universitäten</w:t>
            </w:r>
          </w:p>
        </w:tc>
      </w:tr>
      <w:tr w:rsidR="0057163C" w:rsidRPr="00170422" w14:paraId="0FFFC669"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764B56" w14:textId="77777777" w:rsidR="0057163C" w:rsidRPr="00170422" w:rsidRDefault="00F37BF9">
            <w:pPr>
              <w:pStyle w:val="P68B1DB1-Normal121"/>
              <w:spacing w:after="0" w:line="240" w:lineRule="auto"/>
              <w:jc w:val="center"/>
              <w:rPr>
                <w:noProof/>
                <w:lang w:val="de-DE"/>
              </w:rPr>
            </w:pPr>
            <w:r w:rsidRPr="00170422">
              <w:rPr>
                <w:noProof/>
                <w:lang w:val="de-DE"/>
              </w:rPr>
              <w:t>M5C1-4bis</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521EC" w14:textId="77777777" w:rsidR="0057163C" w:rsidRPr="00170422" w:rsidRDefault="00F37BF9">
            <w:pPr>
              <w:pStyle w:val="P68B1DB1-Normal121"/>
              <w:spacing w:after="0" w:line="240" w:lineRule="auto"/>
              <w:rPr>
                <w:noProof/>
                <w:lang w:val="de-DE"/>
              </w:rPr>
            </w:pPr>
            <w:r w:rsidRPr="00170422">
              <w:rPr>
                <w:noProof/>
                <w:lang w:val="de-DE"/>
              </w:rPr>
              <w:t>Reform 1 – aktive</w:t>
            </w:r>
            <w:r w:rsidRPr="00170422">
              <w:rPr>
                <w:noProof/>
                <w:lang w:val="de-DE"/>
              </w:rPr>
              <w:t xml:space="preserve"> arbeitsmarktpolitische Maßnahmen und Berufsbildung</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6321F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1BDD25" w14:textId="77777777" w:rsidR="0057163C" w:rsidRPr="00170422" w:rsidRDefault="00F37BF9">
            <w:pPr>
              <w:pStyle w:val="P68B1DB1-Normal121"/>
              <w:spacing w:after="0" w:line="240" w:lineRule="auto"/>
              <w:rPr>
                <w:noProof/>
                <w:lang w:val="de-DE"/>
              </w:rPr>
            </w:pPr>
            <w:r w:rsidRPr="00170422">
              <w:rPr>
                <w:noProof/>
                <w:lang w:val="de-DE"/>
              </w:rPr>
              <w:t>Personen, die an Schulungsprogrammen teilnehmen</w:t>
            </w:r>
          </w:p>
        </w:tc>
      </w:tr>
      <w:tr w:rsidR="0057163C" w:rsidRPr="00170422" w14:paraId="3E9D5589"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6B682F" w14:textId="77777777" w:rsidR="0057163C" w:rsidRPr="00170422" w:rsidRDefault="00F37BF9">
            <w:pPr>
              <w:pStyle w:val="P68B1DB1-Normal121"/>
              <w:spacing w:after="0" w:line="240" w:lineRule="auto"/>
              <w:jc w:val="center"/>
              <w:rPr>
                <w:noProof/>
                <w:lang w:val="de-DE"/>
              </w:rPr>
            </w:pPr>
            <w:r w:rsidRPr="00170422">
              <w:rPr>
                <w:noProof/>
                <w:lang w:val="de-DE"/>
              </w:rPr>
              <w:t>M1C1-147</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88BC33" w14:textId="77777777" w:rsidR="0057163C" w:rsidRPr="00170422" w:rsidRDefault="00F37BF9">
            <w:pPr>
              <w:pStyle w:val="P68B1DB1-Normal121"/>
              <w:spacing w:after="0" w:line="240" w:lineRule="auto"/>
              <w:rPr>
                <w:noProof/>
                <w:lang w:val="de-DE"/>
              </w:rPr>
            </w:pPr>
            <w:r w:rsidRPr="00170422">
              <w:rPr>
                <w:noProof/>
                <w:lang w:val="de-DE"/>
              </w:rPr>
              <w:t>Investition 1.2 – Cloud-Ermöglichung für lokale PA</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A8C44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7F744C" w14:textId="77777777" w:rsidR="0057163C" w:rsidRPr="00170422" w:rsidRDefault="00F37BF9">
            <w:pPr>
              <w:pStyle w:val="P68B1DB1-Normal121"/>
              <w:spacing w:after="0" w:line="240" w:lineRule="auto"/>
              <w:rPr>
                <w:noProof/>
                <w:lang w:val="de-DE"/>
              </w:rPr>
            </w:pPr>
            <w:r w:rsidRPr="00170422">
              <w:rPr>
                <w:noProof/>
                <w:lang w:val="de-DE"/>
              </w:rPr>
              <w:t>Cloud-Ermöglichung für die lokale öffentliche Verwaltung T2</w:t>
            </w:r>
          </w:p>
        </w:tc>
      </w:tr>
      <w:tr w:rsidR="0057163C" w:rsidRPr="00170422" w14:paraId="60461258"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E73F03" w14:textId="77777777" w:rsidR="0057163C" w:rsidRPr="00170422" w:rsidRDefault="00F37BF9">
            <w:pPr>
              <w:pStyle w:val="P68B1DB1-Normal121"/>
              <w:spacing w:after="0" w:line="240" w:lineRule="auto"/>
              <w:jc w:val="center"/>
              <w:rPr>
                <w:noProof/>
                <w:lang w:val="de-DE"/>
              </w:rPr>
            </w:pPr>
            <w:r w:rsidRPr="00170422">
              <w:rPr>
                <w:noProof/>
                <w:lang w:val="de-DE"/>
              </w:rPr>
              <w:t>M1C1-148</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69328E" w14:textId="77777777" w:rsidR="0057163C" w:rsidRPr="00170422" w:rsidRDefault="00F37BF9">
            <w:pPr>
              <w:pStyle w:val="P68B1DB1-Normal121"/>
              <w:spacing w:after="0" w:line="240" w:lineRule="auto"/>
              <w:rPr>
                <w:noProof/>
                <w:lang w:val="de-DE"/>
              </w:rPr>
            </w:pPr>
            <w:r w:rsidRPr="00170422">
              <w:rPr>
                <w:noProof/>
                <w:lang w:val="de-DE"/>
              </w:rPr>
              <w:t xml:space="preserve">Investition </w:t>
            </w:r>
            <w:r w:rsidRPr="00170422">
              <w:rPr>
                <w:noProof/>
                <w:lang w:val="de-DE"/>
              </w:rPr>
              <w:t>1.4.1 – Bürgererfahrung – Verbesserung der Qualität und Nutzbarkeit digitaler öffentlicher Dienste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C52A9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005EEB" w14:textId="77777777" w:rsidR="0057163C" w:rsidRPr="00170422" w:rsidRDefault="00F37BF9">
            <w:pPr>
              <w:pStyle w:val="P68B1DB1-Normal121"/>
              <w:spacing w:after="0" w:line="240" w:lineRule="auto"/>
              <w:rPr>
                <w:noProof/>
                <w:lang w:val="de-DE"/>
              </w:rPr>
            </w:pPr>
            <w:r w:rsidRPr="00170422">
              <w:rPr>
                <w:noProof/>
                <w:lang w:val="de-DE"/>
              </w:rPr>
              <w:t>Verbesserung der Qualität und Nutzbarkeit digitaler öffentlicher Dienste T2</w:t>
            </w:r>
          </w:p>
        </w:tc>
      </w:tr>
      <w:tr w:rsidR="0057163C" w:rsidRPr="00170422" w14:paraId="155A8DEC"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3AA3EA" w14:textId="77777777" w:rsidR="0057163C" w:rsidRPr="00170422" w:rsidRDefault="00F37BF9">
            <w:pPr>
              <w:pStyle w:val="P68B1DB1-Normal121"/>
              <w:spacing w:after="0" w:line="240" w:lineRule="auto"/>
              <w:jc w:val="center"/>
              <w:rPr>
                <w:noProof/>
                <w:lang w:val="de-DE"/>
              </w:rPr>
            </w:pPr>
            <w:r w:rsidRPr="00170422">
              <w:rPr>
                <w:noProof/>
                <w:lang w:val="de-DE"/>
              </w:rPr>
              <w:t>M2C2-10</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AF4212" w14:textId="77777777" w:rsidR="0057163C" w:rsidRPr="00170422" w:rsidRDefault="00F37BF9">
            <w:pPr>
              <w:pStyle w:val="P68B1DB1-Normal121"/>
              <w:spacing w:after="0" w:line="240" w:lineRule="auto"/>
              <w:rPr>
                <w:noProof/>
                <w:lang w:val="de-DE"/>
              </w:rPr>
            </w:pPr>
            <w:r w:rsidRPr="00170422">
              <w:rPr>
                <w:noProof/>
                <w:lang w:val="de-DE"/>
              </w:rPr>
              <w:t>Investition 2.1 Stärkung intelligenter Netze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865BF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83121C" w14:textId="77777777" w:rsidR="0057163C" w:rsidRPr="00170422" w:rsidRDefault="00F37BF9">
            <w:pPr>
              <w:pStyle w:val="P68B1DB1-Normal121"/>
              <w:spacing w:after="0" w:line="240" w:lineRule="auto"/>
              <w:rPr>
                <w:noProof/>
                <w:lang w:val="de-DE"/>
              </w:rPr>
            </w:pPr>
            <w:r w:rsidRPr="00170422">
              <w:rPr>
                <w:noProof/>
                <w:lang w:val="de-DE"/>
              </w:rPr>
              <w:t xml:space="preserve">Intelligente Netze – Erhöhung der Netzkapazität und Elektrifizierung des Energieverbrauchs </w:t>
            </w:r>
          </w:p>
        </w:tc>
      </w:tr>
      <w:tr w:rsidR="0057163C" w:rsidRPr="00170422" w14:paraId="5648CFE3"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0350BA" w14:textId="77777777" w:rsidR="0057163C" w:rsidRPr="00170422" w:rsidRDefault="00F37BF9">
            <w:pPr>
              <w:pStyle w:val="P68B1DB1-Normal121"/>
              <w:spacing w:after="0" w:line="240" w:lineRule="auto"/>
              <w:jc w:val="center"/>
              <w:rPr>
                <w:noProof/>
                <w:lang w:val="de-DE"/>
              </w:rPr>
            </w:pPr>
            <w:r w:rsidRPr="00170422">
              <w:rPr>
                <w:noProof/>
                <w:lang w:val="de-DE"/>
              </w:rPr>
              <w:t>M2C2-13</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3CE009" w14:textId="77777777" w:rsidR="0057163C" w:rsidRPr="00170422" w:rsidRDefault="00F37BF9">
            <w:pPr>
              <w:pStyle w:val="P68B1DB1-Normal121"/>
              <w:spacing w:after="0" w:line="240" w:lineRule="auto"/>
              <w:rPr>
                <w:noProof/>
                <w:lang w:val="de-DE"/>
              </w:rPr>
            </w:pPr>
            <w:r w:rsidRPr="00170422">
              <w:rPr>
                <w:noProof/>
                <w:lang w:val="de-DE"/>
              </w:rPr>
              <w:t>Investition 2.2 Interventionen zur Erhöhung der Widerstandsfähigkeit des Stromnetzes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6BABC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A9204C" w14:textId="77777777" w:rsidR="0057163C" w:rsidRPr="00170422" w:rsidRDefault="00F37BF9">
            <w:pPr>
              <w:pStyle w:val="P68B1DB1-Normal121"/>
              <w:spacing w:after="0" w:line="240" w:lineRule="auto"/>
              <w:rPr>
                <w:noProof/>
                <w:lang w:val="de-DE"/>
              </w:rPr>
            </w:pPr>
            <w:r w:rsidRPr="00170422">
              <w:rPr>
                <w:noProof/>
                <w:lang w:val="de-DE"/>
              </w:rPr>
              <w:t>Erhöhung der Widerstandsfähigkeit des Stromnetzes</w:t>
            </w:r>
          </w:p>
        </w:tc>
      </w:tr>
      <w:tr w:rsidR="0057163C" w:rsidRPr="00170422" w14:paraId="484E1E67"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25C0DDB" w14:textId="77777777" w:rsidR="0057163C" w:rsidRPr="00170422" w:rsidRDefault="00F37BF9">
            <w:pPr>
              <w:pStyle w:val="P68B1DB1-Normal121"/>
              <w:spacing w:after="0" w:line="240" w:lineRule="auto"/>
              <w:jc w:val="center"/>
              <w:rPr>
                <w:noProof/>
                <w:lang w:val="de-DE"/>
              </w:rPr>
            </w:pPr>
            <w:r w:rsidRPr="00170422">
              <w:rPr>
                <w:noProof/>
                <w:lang w:val="de-DE"/>
              </w:rPr>
              <w:t>M2C2-35</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8C74F5" w14:textId="77777777" w:rsidR="0057163C" w:rsidRPr="00170422" w:rsidRDefault="00F37BF9">
            <w:pPr>
              <w:pStyle w:val="P68B1DB1-Normal121"/>
              <w:spacing w:after="0" w:line="240" w:lineRule="auto"/>
              <w:rPr>
                <w:noProof/>
                <w:lang w:val="de-DE"/>
              </w:rPr>
            </w:pPr>
            <w:r w:rsidRPr="00170422">
              <w:rPr>
                <w:noProof/>
                <w:lang w:val="de-DE"/>
              </w:rPr>
              <w:t>Invest</w:t>
            </w:r>
            <w:r w:rsidRPr="00170422">
              <w:rPr>
                <w:noProof/>
                <w:lang w:val="de-DE"/>
              </w:rPr>
              <w:t>ition 4.4.1: Stärkung der Busflotte des regionalen öffentlichen Verkehrs durch emissionsfreie Busse</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6FB22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1218CB" w14:textId="77777777" w:rsidR="0057163C" w:rsidRPr="00170422" w:rsidRDefault="00F37BF9">
            <w:pPr>
              <w:pStyle w:val="P68B1DB1-Normal121"/>
              <w:spacing w:after="0" w:line="240" w:lineRule="auto"/>
              <w:rPr>
                <w:noProof/>
                <w:lang w:val="de-DE"/>
              </w:rPr>
            </w:pPr>
            <w:r w:rsidRPr="00170422">
              <w:rPr>
                <w:noProof/>
                <w:lang w:val="de-DE"/>
              </w:rPr>
              <w:t>Anzahl der zugelassenen emissionsfreien Busse T2</w:t>
            </w:r>
          </w:p>
        </w:tc>
      </w:tr>
      <w:tr w:rsidR="0057163C" w:rsidRPr="00170422" w14:paraId="52FDA3A7"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F13C84" w14:textId="77777777" w:rsidR="0057163C" w:rsidRPr="00170422" w:rsidRDefault="00F37BF9">
            <w:pPr>
              <w:pStyle w:val="P68B1DB1-Normal121"/>
              <w:spacing w:after="0" w:line="240" w:lineRule="auto"/>
              <w:jc w:val="center"/>
              <w:rPr>
                <w:noProof/>
                <w:lang w:val="de-DE"/>
              </w:rPr>
            </w:pPr>
            <w:r w:rsidRPr="00170422">
              <w:rPr>
                <w:noProof/>
                <w:lang w:val="de-DE"/>
              </w:rPr>
              <w:t>M2C2-35 ter</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CAB91C1" w14:textId="77777777" w:rsidR="0057163C" w:rsidRPr="00170422" w:rsidRDefault="00F37BF9">
            <w:pPr>
              <w:pStyle w:val="P68B1DB1-Normal121"/>
              <w:spacing w:after="0" w:line="240" w:lineRule="auto"/>
              <w:rPr>
                <w:noProof/>
                <w:lang w:val="de-DE"/>
              </w:rPr>
            </w:pPr>
            <w:r w:rsidRPr="00170422">
              <w:rPr>
                <w:noProof/>
                <w:lang w:val="de-DE"/>
              </w:rPr>
              <w:t>Investition 4.4.1: Stärkung der regionalen Busflotte mit sauberen Kraftstoffen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03986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B0BB9" w14:textId="77777777" w:rsidR="0057163C" w:rsidRPr="00170422" w:rsidRDefault="00F37BF9">
            <w:pPr>
              <w:pStyle w:val="P68B1DB1-Normal121"/>
              <w:spacing w:after="0" w:line="240" w:lineRule="auto"/>
              <w:rPr>
                <w:noProof/>
                <w:lang w:val="de-DE"/>
              </w:rPr>
            </w:pPr>
            <w:r w:rsidRPr="00170422">
              <w:rPr>
                <w:noProof/>
                <w:lang w:val="de-DE"/>
              </w:rPr>
              <w:t>Anzahl der Ladestationen für emissionsfreie und emissionsarme Niederflurbusse</w:t>
            </w:r>
          </w:p>
        </w:tc>
      </w:tr>
      <w:tr w:rsidR="0057163C" w:rsidRPr="00170422" w14:paraId="3CA613DE"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7C29CA" w14:textId="77777777" w:rsidR="0057163C" w:rsidRPr="00170422" w:rsidRDefault="00F37BF9">
            <w:pPr>
              <w:pStyle w:val="P68B1DB1-Normal121"/>
              <w:spacing w:after="0" w:line="240" w:lineRule="auto"/>
              <w:jc w:val="center"/>
              <w:rPr>
                <w:noProof/>
                <w:lang w:val="de-DE"/>
              </w:rPr>
            </w:pPr>
            <w:r w:rsidRPr="00170422">
              <w:rPr>
                <w:noProof/>
                <w:lang w:val="de-DE"/>
              </w:rPr>
              <w:t>M6C2-16</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C0858" w14:textId="77777777" w:rsidR="0057163C" w:rsidRPr="00170422" w:rsidRDefault="00F37BF9">
            <w:pPr>
              <w:pStyle w:val="P68B1DB1-Normal121"/>
              <w:spacing w:after="0" w:line="240" w:lineRule="auto"/>
              <w:rPr>
                <w:noProof/>
                <w:lang w:val="de-DE"/>
              </w:rPr>
            </w:pPr>
            <w:r w:rsidRPr="00170422">
              <w:rPr>
                <w:noProof/>
                <w:lang w:val="de-DE"/>
              </w:rPr>
              <w:t>Investition 2.2: Entwicklung von technischen, beruflichen, digitalen und Managementkompetenzen von Fachkräften des Gesundheitssystems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8E94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AD9B29D" w14:textId="77777777" w:rsidR="0057163C" w:rsidRPr="00170422" w:rsidRDefault="00F37BF9">
            <w:pPr>
              <w:pStyle w:val="P68B1DB1-Normal121"/>
              <w:spacing w:after="0" w:line="240" w:lineRule="auto"/>
              <w:rPr>
                <w:noProof/>
                <w:lang w:val="de-DE"/>
              </w:rPr>
            </w:pPr>
            <w:r w:rsidRPr="00170422">
              <w:rPr>
                <w:noProof/>
                <w:lang w:val="de-DE"/>
              </w:rPr>
              <w:t>Schulung des</w:t>
            </w:r>
            <w:r w:rsidRPr="00170422">
              <w:rPr>
                <w:noProof/>
                <w:lang w:val="de-DE"/>
              </w:rPr>
              <w:t xml:space="preserve"> Personals im Gesundheitswesen zu Management- und digitalen Kompetenzen</w:t>
            </w:r>
          </w:p>
        </w:tc>
      </w:tr>
      <w:tr w:rsidR="0057163C" w:rsidRPr="00170422" w14:paraId="21606D90"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54F59A" w14:textId="77777777" w:rsidR="0057163C" w:rsidRPr="00170422" w:rsidRDefault="00F37BF9">
            <w:pPr>
              <w:pStyle w:val="P68B1DB1-Normal121"/>
              <w:spacing w:after="0" w:line="240" w:lineRule="auto"/>
              <w:jc w:val="center"/>
              <w:rPr>
                <w:noProof/>
                <w:lang w:val="de-DE"/>
              </w:rPr>
            </w:pPr>
            <w:r w:rsidRPr="00170422">
              <w:rPr>
                <w:noProof/>
                <w:lang w:val="de-DE"/>
              </w:rPr>
              <w:t>M6C2-17</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5EF980" w14:textId="77777777" w:rsidR="0057163C" w:rsidRPr="00170422" w:rsidRDefault="00F37BF9">
            <w:pPr>
              <w:pStyle w:val="P68B1DB1-Normal121"/>
              <w:spacing w:after="0" w:line="240" w:lineRule="auto"/>
              <w:rPr>
                <w:noProof/>
                <w:lang w:val="de-DE"/>
              </w:rPr>
            </w:pPr>
            <w:r w:rsidRPr="00170422">
              <w:rPr>
                <w:noProof/>
                <w:lang w:val="de-DE"/>
              </w:rPr>
              <w:t>Investition 2.2: Entwicklung von technischen, beruflichen, digitalen und Managementkompetenzen von Fachkräften des Gesundheitssystems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E96743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F4940E" w14:textId="77777777" w:rsidR="0057163C" w:rsidRPr="00170422" w:rsidRDefault="00F37BF9">
            <w:pPr>
              <w:pStyle w:val="P68B1DB1-Normal121"/>
              <w:spacing w:after="0" w:line="240" w:lineRule="auto"/>
              <w:rPr>
                <w:noProof/>
                <w:lang w:val="de-DE"/>
              </w:rPr>
            </w:pPr>
            <w:r w:rsidRPr="00170422">
              <w:rPr>
                <w:noProof/>
                <w:lang w:val="de-DE"/>
              </w:rPr>
              <w:t xml:space="preserve">Vergabe medizinischer Leistungen </w:t>
            </w:r>
          </w:p>
          <w:p w14:paraId="2DE0BA86" w14:textId="77777777" w:rsidR="0057163C" w:rsidRPr="00170422" w:rsidRDefault="00F37BF9">
            <w:pPr>
              <w:pStyle w:val="P68B1DB1-Normal121"/>
              <w:spacing w:after="0" w:line="240" w:lineRule="auto"/>
              <w:rPr>
                <w:noProof/>
                <w:lang w:val="de-DE"/>
              </w:rPr>
            </w:pPr>
            <w:r w:rsidRPr="00170422">
              <w:rPr>
                <w:noProof/>
                <w:lang w:val="de-DE"/>
              </w:rPr>
              <w:t>Au</w:t>
            </w:r>
            <w:r w:rsidRPr="00170422">
              <w:rPr>
                <w:noProof/>
                <w:lang w:val="de-DE"/>
              </w:rPr>
              <w:t>sbildungsverträge für Spezialisten</w:t>
            </w:r>
          </w:p>
        </w:tc>
      </w:tr>
      <w:tr w:rsidR="0057163C" w:rsidRPr="00170422" w14:paraId="346A7CCE"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5800B6" w14:textId="77777777" w:rsidR="0057163C" w:rsidRPr="00170422" w:rsidRDefault="00F37BF9">
            <w:pPr>
              <w:pStyle w:val="P68B1DB1-Normal121"/>
              <w:spacing w:after="0" w:line="240" w:lineRule="auto"/>
              <w:jc w:val="center"/>
              <w:rPr>
                <w:noProof/>
                <w:lang w:val="de-DE"/>
              </w:rPr>
            </w:pPr>
            <w:r w:rsidRPr="00170422">
              <w:rPr>
                <w:noProof/>
                <w:lang w:val="de-DE"/>
              </w:rPr>
              <w:t>M1C1-149</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1FFFF6" w14:textId="77777777" w:rsidR="0057163C" w:rsidRPr="00170422" w:rsidRDefault="00F37BF9">
            <w:pPr>
              <w:pStyle w:val="P68B1DB1-Normal121"/>
              <w:spacing w:after="0" w:line="240" w:lineRule="auto"/>
              <w:rPr>
                <w:noProof/>
                <w:lang w:val="de-DE"/>
              </w:rPr>
            </w:pPr>
            <w:r w:rsidRPr="00170422">
              <w:rPr>
                <w:noProof/>
                <w:lang w:val="de-DE"/>
              </w:rPr>
              <w:t>Investition 1.4.3 – Ausbau der PagoPA-Plattformdienste und der „IO“-App</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AB62E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FDE5EC" w14:textId="77777777" w:rsidR="0057163C" w:rsidRPr="00170422" w:rsidRDefault="00F37BF9">
            <w:pPr>
              <w:pStyle w:val="P68B1DB1-Normal121"/>
              <w:spacing w:after="0" w:line="240" w:lineRule="auto"/>
              <w:rPr>
                <w:noProof/>
                <w:lang w:val="de-DE"/>
              </w:rPr>
            </w:pPr>
            <w:r w:rsidRPr="00170422">
              <w:rPr>
                <w:noProof/>
                <w:lang w:val="de-DE"/>
              </w:rPr>
              <w:t>Ausbau der PagoPA-Plattformdienste T2</w:t>
            </w:r>
          </w:p>
        </w:tc>
      </w:tr>
      <w:tr w:rsidR="0057163C" w:rsidRPr="00170422" w14:paraId="5210215A"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42BE3A" w14:textId="77777777" w:rsidR="0057163C" w:rsidRPr="00170422" w:rsidRDefault="00F37BF9">
            <w:pPr>
              <w:pStyle w:val="P68B1DB1-Normal121"/>
              <w:spacing w:after="0" w:line="240" w:lineRule="auto"/>
              <w:jc w:val="center"/>
              <w:rPr>
                <w:noProof/>
                <w:lang w:val="de-DE"/>
              </w:rPr>
            </w:pPr>
            <w:r w:rsidRPr="00170422">
              <w:rPr>
                <w:noProof/>
                <w:lang w:val="de-DE"/>
              </w:rPr>
              <w:t>M1C1-150</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F88BDA4" w14:textId="77777777" w:rsidR="0057163C" w:rsidRPr="00170422" w:rsidRDefault="00F37BF9">
            <w:pPr>
              <w:pStyle w:val="P68B1DB1-Normal121"/>
              <w:spacing w:after="0" w:line="240" w:lineRule="auto"/>
              <w:rPr>
                <w:noProof/>
                <w:lang w:val="de-DE"/>
              </w:rPr>
            </w:pPr>
            <w:r w:rsidRPr="00170422">
              <w:rPr>
                <w:noProof/>
                <w:lang w:val="de-DE"/>
              </w:rPr>
              <w:t>Investition 1.4.3 – Ausbau der PagoPA-Plattformdienste und der „IO“-App</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E01F1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16498A" w14:textId="77777777" w:rsidR="0057163C" w:rsidRPr="00170422" w:rsidRDefault="00F37BF9">
            <w:pPr>
              <w:pStyle w:val="P68B1DB1-Normal121"/>
              <w:spacing w:after="0" w:line="240" w:lineRule="auto"/>
              <w:rPr>
                <w:noProof/>
                <w:lang w:val="de-DE"/>
              </w:rPr>
            </w:pPr>
            <w:r w:rsidRPr="00170422">
              <w:rPr>
                <w:noProof/>
                <w:lang w:val="de-DE"/>
              </w:rPr>
              <w:t>Ausweitung der Einführung der „IO“-App T2</w:t>
            </w:r>
          </w:p>
        </w:tc>
      </w:tr>
      <w:tr w:rsidR="0057163C" w:rsidRPr="00170422" w14:paraId="16A3EA14"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DC5AF4" w14:textId="77777777" w:rsidR="0057163C" w:rsidRPr="00170422" w:rsidRDefault="00F37BF9">
            <w:pPr>
              <w:pStyle w:val="P68B1DB1-Normal121"/>
              <w:spacing w:after="0" w:line="240" w:lineRule="auto"/>
              <w:jc w:val="center"/>
              <w:rPr>
                <w:noProof/>
                <w:lang w:val="de-DE"/>
              </w:rPr>
            </w:pPr>
            <w:r w:rsidRPr="00170422">
              <w:rPr>
                <w:noProof/>
                <w:lang w:val="de-DE"/>
              </w:rPr>
              <w:t>M1C1-152</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39A13A3" w14:textId="77777777" w:rsidR="0057163C" w:rsidRPr="00170422" w:rsidRDefault="00F37BF9">
            <w:pPr>
              <w:pStyle w:val="P68B1DB1-Normal121"/>
              <w:spacing w:after="0" w:line="240" w:lineRule="auto"/>
              <w:rPr>
                <w:noProof/>
                <w:lang w:val="de-DE"/>
              </w:rPr>
            </w:pPr>
            <w:r w:rsidRPr="00170422">
              <w:rPr>
                <w:noProof/>
                <w:lang w:val="de-DE"/>
              </w:rPr>
              <w:t>Investition 1.6.1 – Digitalisierung des Innenministeriums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3B9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2BE95A" w14:textId="77777777" w:rsidR="0057163C" w:rsidRPr="00170422" w:rsidRDefault="00F37BF9">
            <w:pPr>
              <w:pStyle w:val="P68B1DB1-Normal121"/>
              <w:spacing w:after="0" w:line="240" w:lineRule="auto"/>
              <w:rPr>
                <w:noProof/>
                <w:lang w:val="de-DE"/>
              </w:rPr>
            </w:pPr>
            <w:r w:rsidRPr="00170422">
              <w:rPr>
                <w:noProof/>
                <w:lang w:val="de-DE"/>
              </w:rPr>
              <w:t>Innenministerium – Neu entwickelte und digitalisierte Prozesse T2</w:t>
            </w:r>
          </w:p>
        </w:tc>
      </w:tr>
      <w:tr w:rsidR="0057163C" w:rsidRPr="00170422" w14:paraId="1AEF89A3"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957C693" w14:textId="77777777" w:rsidR="0057163C" w:rsidRPr="00170422" w:rsidRDefault="00F37BF9">
            <w:pPr>
              <w:pStyle w:val="P68B1DB1-Normal121"/>
              <w:spacing w:after="0" w:line="240" w:lineRule="auto"/>
              <w:jc w:val="center"/>
              <w:rPr>
                <w:noProof/>
                <w:lang w:val="de-DE"/>
              </w:rPr>
            </w:pPr>
            <w:r w:rsidRPr="00170422">
              <w:rPr>
                <w:noProof/>
                <w:lang w:val="de-DE"/>
              </w:rPr>
              <w:t>M1C1-154</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69CFEB" w14:textId="77777777" w:rsidR="0057163C" w:rsidRPr="00170422" w:rsidRDefault="00F37BF9">
            <w:pPr>
              <w:pStyle w:val="P68B1DB1-Normal121"/>
              <w:spacing w:after="0" w:line="240" w:lineRule="auto"/>
              <w:rPr>
                <w:noProof/>
                <w:lang w:val="de-DE"/>
              </w:rPr>
            </w:pPr>
            <w:r w:rsidRPr="00170422">
              <w:rPr>
                <w:noProof/>
                <w:lang w:val="de-DE"/>
              </w:rPr>
              <w:t>Investition 1.6.2 – Digitalisierung des Justizministeriums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5A2E0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A4C392" w14:textId="77777777" w:rsidR="0057163C" w:rsidRPr="00170422" w:rsidRDefault="00F37BF9">
            <w:pPr>
              <w:pStyle w:val="P68B1DB1-Normal121"/>
              <w:spacing w:after="0" w:line="240" w:lineRule="auto"/>
              <w:rPr>
                <w:noProof/>
                <w:lang w:val="de-DE"/>
              </w:rPr>
            </w:pPr>
            <w:r w:rsidRPr="00170422">
              <w:rPr>
                <w:noProof/>
                <w:lang w:val="de-DE"/>
              </w:rPr>
              <w:t>Justizdatensysteme für Wissen über den Seen T2</w:t>
            </w:r>
          </w:p>
        </w:tc>
      </w:tr>
      <w:tr w:rsidR="0057163C" w:rsidRPr="00170422" w14:paraId="4FBD5E73"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0B61BDD" w14:textId="1F17DA47" w:rsidR="0057163C" w:rsidRPr="00170422" w:rsidRDefault="00F37BF9">
            <w:pPr>
              <w:pStyle w:val="P68B1DB1-Normal121"/>
              <w:spacing w:after="0" w:line="240" w:lineRule="auto"/>
              <w:jc w:val="center"/>
              <w:rPr>
                <w:noProof/>
                <w:lang w:val="de-DE"/>
              </w:rPr>
            </w:pPr>
            <w:r w:rsidRPr="00170422">
              <w:rPr>
                <w:noProof/>
                <w:lang w:val="de-DE"/>
              </w:rPr>
              <w:t>M7-50</w:t>
            </w: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557D2A9" w14:textId="711D9C00" w:rsidR="0057163C" w:rsidRPr="00170422" w:rsidRDefault="00F37BF9">
            <w:pPr>
              <w:pStyle w:val="P68B1DB1-Normal121"/>
              <w:spacing w:after="0" w:line="240" w:lineRule="auto"/>
              <w:rPr>
                <w:noProof/>
                <w:lang w:val="de-DE"/>
              </w:rPr>
            </w:pPr>
            <w:r w:rsidRPr="00170422">
              <w:rPr>
                <w:noProof/>
                <w:lang w:val="de-DE"/>
              </w:rPr>
              <w:t>Investition 18 – Scale-up-Maßnahme: Programm zur Erneuerung der Flotte privater und leichter Nutzfahrzeuge mit Elektrofahrzeugen</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399461" w14:textId="17F68D69"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FE3829" w14:textId="689BADB7" w:rsidR="0057163C" w:rsidRPr="00170422" w:rsidRDefault="00F37BF9">
            <w:pPr>
              <w:pStyle w:val="P68B1DB1-Normal121"/>
              <w:spacing w:after="0" w:line="240" w:lineRule="auto"/>
              <w:rPr>
                <w:noProof/>
                <w:lang w:val="de-DE"/>
              </w:rPr>
            </w:pPr>
            <w:r w:rsidRPr="00170422">
              <w:rPr>
                <w:noProof/>
                <w:lang w:val="de-DE"/>
              </w:rPr>
              <w:t>Anzahl der gekauften Fahrzeuge</w:t>
            </w:r>
          </w:p>
        </w:tc>
      </w:tr>
      <w:tr w:rsidR="0057163C" w:rsidRPr="00170422" w14:paraId="568AE87D" w14:textId="77777777" w:rsidTr="00A400C5">
        <w:trPr>
          <w:trHeight w:val="300"/>
        </w:trPr>
        <w:tc>
          <w:tcPr>
            <w:tcW w:w="143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004A2"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3EB390"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7B66C3"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9"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2243AB"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12799902997 EUR</w:t>
            </w:r>
            <w:r w:rsidRPr="00170422">
              <w:rPr>
                <w:noProof/>
                <w:sz w:val="23"/>
                <w:szCs w:val="23"/>
                <w:lang w:val="de-DE"/>
              </w:rPr>
              <w:t xml:space="preserve">  </w:t>
            </w:r>
          </w:p>
        </w:tc>
      </w:tr>
    </w:tbl>
    <w:p w14:paraId="2A05D682" w14:textId="77777777" w:rsidR="0057163C" w:rsidRPr="00170422" w:rsidRDefault="00F37BF9">
      <w:pPr>
        <w:pStyle w:val="P68B1DB1-Normal8"/>
        <w:spacing w:before="120" w:after="120" w:line="240" w:lineRule="auto"/>
        <w:jc w:val="both"/>
        <w:rPr>
          <w:noProof/>
          <w:lang w:val="de-DE"/>
        </w:rPr>
      </w:pPr>
      <w:r w:rsidRPr="00170422">
        <w:rPr>
          <w:noProof/>
          <w:lang w:val="de-DE"/>
        </w:rPr>
        <w:t xml:space="preserve"> </w:t>
      </w:r>
    </w:p>
    <w:p w14:paraId="3D02FD90" w14:textId="77777777" w:rsidR="0057163C" w:rsidRPr="00170422" w:rsidRDefault="00F37BF9">
      <w:pPr>
        <w:pStyle w:val="P68B1DB1-Normal8"/>
        <w:rPr>
          <w:noProof/>
          <w:lang w:val="de-DE"/>
        </w:rPr>
      </w:pPr>
      <w:r w:rsidRPr="00170422">
        <w:rPr>
          <w:noProof/>
          <w:lang w:val="de-DE"/>
        </w:rPr>
        <w:br w:type="page"/>
      </w:r>
    </w:p>
    <w:p w14:paraId="36C649F7" w14:textId="77777777" w:rsidR="0057163C" w:rsidRPr="00170422" w:rsidRDefault="00F37BF9">
      <w:pPr>
        <w:pStyle w:val="P68B1DB1-Heading3118"/>
        <w:numPr>
          <w:ilvl w:val="0"/>
          <w:numId w:val="179"/>
        </w:numPr>
        <w:tabs>
          <w:tab w:val="clear" w:pos="850"/>
          <w:tab w:val="num" w:pos="720"/>
        </w:tabs>
        <w:ind w:left="720" w:hanging="360"/>
        <w:rPr>
          <w:bCs/>
          <w:noProof/>
          <w:lang w:val="de-DE"/>
        </w:rPr>
      </w:pPr>
      <w:r w:rsidRPr="00170422">
        <w:rPr>
          <w:noProof/>
          <w:lang w:val="de-DE"/>
        </w:rPr>
        <w:t>Unterstützung in Darlehensform</w:t>
      </w:r>
    </w:p>
    <w:p w14:paraId="70105B99" w14:textId="77777777" w:rsidR="0057163C" w:rsidRPr="00170422" w:rsidRDefault="00F37BF9">
      <w:pPr>
        <w:pStyle w:val="P68B1DB1-Normal8"/>
        <w:spacing w:before="120" w:after="120" w:line="240" w:lineRule="auto"/>
        <w:jc w:val="both"/>
        <w:rPr>
          <w:noProof/>
          <w:lang w:val="de-DE"/>
        </w:rPr>
      </w:pPr>
      <w:r w:rsidRPr="00170422">
        <w:rPr>
          <w:noProof/>
          <w:lang w:val="de-DE"/>
        </w:rPr>
        <w:t>Die in Artikel 3 Absatz 2 genannten Tranchen werden wie folgt strukturiert:</w:t>
      </w:r>
    </w:p>
    <w:p w14:paraId="3E96F8BD"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Erste Tranche (Unterstützung in Form eines Darlehens):</w:t>
      </w:r>
    </w:p>
    <w:tbl>
      <w:tblPr>
        <w:tblW w:w="935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097"/>
        <w:gridCol w:w="2268"/>
        <w:gridCol w:w="3559"/>
      </w:tblGrid>
      <w:tr w:rsidR="0057163C" w:rsidRPr="00170422" w14:paraId="4B745182" w14:textId="77777777" w:rsidTr="001C6E23">
        <w:trPr>
          <w:trHeight w:val="900"/>
          <w:tblHeader/>
        </w:trPr>
        <w:tc>
          <w:tcPr>
            <w:tcW w:w="1435" w:type="dxa"/>
            <w:vMerge w:val="restart"/>
            <w:shd w:val="clear" w:color="auto" w:fill="BDD7EE"/>
            <w:tcMar>
              <w:left w:w="108" w:type="dxa"/>
              <w:right w:w="108" w:type="dxa"/>
            </w:tcMar>
            <w:vAlign w:val="center"/>
          </w:tcPr>
          <w:p w14:paraId="40D143C0"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097" w:type="dxa"/>
            <w:vMerge w:val="restart"/>
            <w:shd w:val="clear" w:color="auto" w:fill="BDD7EE"/>
            <w:tcMar>
              <w:left w:w="108" w:type="dxa"/>
              <w:right w:w="108" w:type="dxa"/>
            </w:tcMar>
            <w:vAlign w:val="center"/>
          </w:tcPr>
          <w:p w14:paraId="3720F577"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268" w:type="dxa"/>
            <w:vMerge w:val="restart"/>
            <w:shd w:val="clear" w:color="auto" w:fill="BDD7EE"/>
            <w:tcMar>
              <w:left w:w="108" w:type="dxa"/>
              <w:right w:w="108" w:type="dxa"/>
            </w:tcMar>
            <w:vAlign w:val="center"/>
          </w:tcPr>
          <w:p w14:paraId="0675B279" w14:textId="60F78AC1"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9" w:type="dxa"/>
            <w:vMerge w:val="restart"/>
            <w:shd w:val="clear" w:color="auto" w:fill="BDD7EE"/>
            <w:tcMar>
              <w:left w:w="108" w:type="dxa"/>
              <w:right w:w="108" w:type="dxa"/>
            </w:tcMar>
            <w:vAlign w:val="center"/>
          </w:tcPr>
          <w:p w14:paraId="6C4C7012"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0683A1F2" w14:textId="77777777" w:rsidTr="001C6E23">
        <w:trPr>
          <w:trHeight w:val="510"/>
        </w:trPr>
        <w:tc>
          <w:tcPr>
            <w:tcW w:w="1435" w:type="dxa"/>
            <w:vMerge/>
            <w:vAlign w:val="center"/>
          </w:tcPr>
          <w:p w14:paraId="4867C284"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vMerge/>
            <w:vAlign w:val="center"/>
          </w:tcPr>
          <w:p w14:paraId="4F9E1712" w14:textId="77777777" w:rsidR="0057163C" w:rsidRPr="00170422" w:rsidRDefault="0057163C">
            <w:pPr>
              <w:spacing w:after="0" w:line="240" w:lineRule="auto"/>
              <w:rPr>
                <w:rFonts w:ascii="Times New Roman" w:eastAsia="Times New Roman" w:hAnsi="Times New Roman" w:cs="Times New Roman"/>
                <w:noProof/>
                <w:lang w:val="de-DE"/>
              </w:rPr>
            </w:pPr>
          </w:p>
        </w:tc>
        <w:tc>
          <w:tcPr>
            <w:tcW w:w="2268" w:type="dxa"/>
            <w:vMerge/>
            <w:vAlign w:val="center"/>
          </w:tcPr>
          <w:p w14:paraId="7EE7F490"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9" w:type="dxa"/>
            <w:vMerge/>
            <w:vAlign w:val="center"/>
          </w:tcPr>
          <w:p w14:paraId="239E2F27"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BE2F7F1" w14:textId="77777777" w:rsidTr="001C6E23">
        <w:trPr>
          <w:trHeight w:val="300"/>
        </w:trPr>
        <w:tc>
          <w:tcPr>
            <w:tcW w:w="1435" w:type="dxa"/>
            <w:shd w:val="clear" w:color="auto" w:fill="C6EFCE"/>
            <w:tcMar>
              <w:left w:w="108" w:type="dxa"/>
              <w:right w:w="108" w:type="dxa"/>
            </w:tcMar>
            <w:vAlign w:val="center"/>
          </w:tcPr>
          <w:p w14:paraId="02E86BED" w14:textId="77777777" w:rsidR="0057163C" w:rsidRPr="00170422" w:rsidRDefault="00F37BF9">
            <w:pPr>
              <w:pStyle w:val="P68B1DB1-Normal121"/>
              <w:spacing w:after="0" w:line="240" w:lineRule="auto"/>
              <w:jc w:val="center"/>
              <w:rPr>
                <w:noProof/>
                <w:lang w:val="de-DE"/>
              </w:rPr>
            </w:pPr>
            <w:r w:rsidRPr="00170422">
              <w:rPr>
                <w:noProof/>
                <w:lang w:val="de-DE"/>
              </w:rPr>
              <w:t>M4C2-10</w:t>
            </w:r>
          </w:p>
        </w:tc>
        <w:tc>
          <w:tcPr>
            <w:tcW w:w="2097" w:type="dxa"/>
            <w:shd w:val="clear" w:color="auto" w:fill="C6EFCE"/>
            <w:tcMar>
              <w:left w:w="108" w:type="dxa"/>
              <w:right w:w="108" w:type="dxa"/>
            </w:tcMar>
            <w:vAlign w:val="center"/>
          </w:tcPr>
          <w:p w14:paraId="2981209E" w14:textId="77777777" w:rsidR="0057163C" w:rsidRPr="00170422" w:rsidRDefault="00F37BF9">
            <w:pPr>
              <w:pStyle w:val="P68B1DB1-Normal121"/>
              <w:spacing w:after="0" w:line="240" w:lineRule="auto"/>
              <w:rPr>
                <w:noProof/>
                <w:lang w:val="de-DE"/>
              </w:rPr>
            </w:pPr>
            <w:r w:rsidRPr="00170422">
              <w:rPr>
                <w:noProof/>
                <w:lang w:val="de-DE"/>
              </w:rPr>
              <w:t>Investition 2.1: IPCEI</w:t>
            </w:r>
          </w:p>
        </w:tc>
        <w:tc>
          <w:tcPr>
            <w:tcW w:w="2268" w:type="dxa"/>
            <w:shd w:val="clear" w:color="auto" w:fill="C6EFCE"/>
            <w:tcMar>
              <w:left w:w="108" w:type="dxa"/>
              <w:right w:w="108" w:type="dxa"/>
            </w:tcMar>
            <w:vAlign w:val="center"/>
          </w:tcPr>
          <w:p w14:paraId="59CD05B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96251A5" w14:textId="77777777" w:rsidR="0057163C" w:rsidRPr="00170422" w:rsidRDefault="00F37BF9">
            <w:pPr>
              <w:pStyle w:val="P68B1DB1-Normal121"/>
              <w:spacing w:after="0" w:line="240" w:lineRule="auto"/>
              <w:rPr>
                <w:noProof/>
                <w:lang w:val="de-DE"/>
              </w:rPr>
            </w:pPr>
            <w:r w:rsidRPr="00170422">
              <w:rPr>
                <w:noProof/>
                <w:lang w:val="de-DE"/>
              </w:rPr>
              <w:t>Veröffentlichung der Aufforderung zur Interessenbekundung für die Ermittlung der nationalen Projekte, einschließlich IPCEI-Mikroelektronik</w:t>
            </w:r>
          </w:p>
        </w:tc>
      </w:tr>
      <w:tr w:rsidR="0057163C" w:rsidRPr="00170422" w14:paraId="73E3B733" w14:textId="77777777" w:rsidTr="001C6E23">
        <w:trPr>
          <w:trHeight w:val="300"/>
        </w:trPr>
        <w:tc>
          <w:tcPr>
            <w:tcW w:w="1435" w:type="dxa"/>
            <w:shd w:val="clear" w:color="auto" w:fill="C6EFCE"/>
            <w:tcMar>
              <w:left w:w="108" w:type="dxa"/>
              <w:right w:w="108" w:type="dxa"/>
            </w:tcMar>
            <w:vAlign w:val="center"/>
          </w:tcPr>
          <w:p w14:paraId="0D4E9998" w14:textId="77777777" w:rsidR="0057163C" w:rsidRPr="00170422" w:rsidRDefault="00F37BF9">
            <w:pPr>
              <w:pStyle w:val="P68B1DB1-Normal121"/>
              <w:spacing w:after="0" w:line="240" w:lineRule="auto"/>
              <w:jc w:val="center"/>
              <w:rPr>
                <w:noProof/>
                <w:lang w:val="de-DE"/>
              </w:rPr>
            </w:pPr>
            <w:r w:rsidRPr="00170422">
              <w:rPr>
                <w:noProof/>
                <w:lang w:val="de-DE"/>
              </w:rPr>
              <w:t>M1C2-26</w:t>
            </w:r>
          </w:p>
        </w:tc>
        <w:tc>
          <w:tcPr>
            <w:tcW w:w="2097" w:type="dxa"/>
            <w:shd w:val="clear" w:color="auto" w:fill="C6EFCE"/>
            <w:tcMar>
              <w:left w:w="108" w:type="dxa"/>
              <w:right w:w="108" w:type="dxa"/>
            </w:tcMar>
            <w:vAlign w:val="center"/>
          </w:tcPr>
          <w:p w14:paraId="1B6702CF" w14:textId="77777777" w:rsidR="0057163C" w:rsidRPr="00170422" w:rsidRDefault="00F37BF9">
            <w:pPr>
              <w:pStyle w:val="P68B1DB1-Normal121"/>
              <w:spacing w:after="0" w:line="240" w:lineRule="auto"/>
              <w:rPr>
                <w:noProof/>
                <w:lang w:val="de-DE"/>
              </w:rPr>
            </w:pPr>
            <w:r w:rsidRPr="00170422">
              <w:rPr>
                <w:noProof/>
                <w:lang w:val="de-DE"/>
              </w:rPr>
              <w:t xml:space="preserve">Investition 5.1: Refinanzierung </w:t>
            </w:r>
            <w:r w:rsidRPr="00170422">
              <w:rPr>
                <w:noProof/>
                <w:lang w:val="de-DE"/>
              </w:rPr>
              <w:t>und Neugestaltung des von SIMEST verwalteten Fonds 394/81</w:t>
            </w:r>
          </w:p>
        </w:tc>
        <w:tc>
          <w:tcPr>
            <w:tcW w:w="2268" w:type="dxa"/>
            <w:shd w:val="clear" w:color="auto" w:fill="C6EFCE"/>
            <w:tcMar>
              <w:left w:w="108" w:type="dxa"/>
              <w:right w:w="108" w:type="dxa"/>
            </w:tcMar>
            <w:vAlign w:val="center"/>
          </w:tcPr>
          <w:p w14:paraId="59E3879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08D52471" w14:textId="77777777" w:rsidR="0057163C" w:rsidRPr="00170422" w:rsidRDefault="00F37BF9">
            <w:pPr>
              <w:pStyle w:val="P68B1DB1-Normal121"/>
              <w:spacing w:after="0" w:line="240" w:lineRule="auto"/>
              <w:rPr>
                <w:noProof/>
                <w:lang w:val="de-DE"/>
              </w:rPr>
            </w:pPr>
            <w:r w:rsidRPr="00170422">
              <w:rPr>
                <w:noProof/>
                <w:lang w:val="de-DE"/>
              </w:rPr>
              <w:t>Inkrafttreten der Refinanzierung des Fonds 394/81 und Annahme der Investitionspolitik</w:t>
            </w:r>
          </w:p>
        </w:tc>
      </w:tr>
      <w:tr w:rsidR="0057163C" w:rsidRPr="00170422" w14:paraId="4A5036A4" w14:textId="77777777" w:rsidTr="001C6E23">
        <w:trPr>
          <w:trHeight w:val="300"/>
        </w:trPr>
        <w:tc>
          <w:tcPr>
            <w:tcW w:w="1435" w:type="dxa"/>
            <w:shd w:val="clear" w:color="auto" w:fill="C6EFCE"/>
            <w:tcMar>
              <w:left w:w="108" w:type="dxa"/>
              <w:right w:w="108" w:type="dxa"/>
            </w:tcMar>
            <w:vAlign w:val="center"/>
          </w:tcPr>
          <w:p w14:paraId="01F8098E" w14:textId="77777777" w:rsidR="0057163C" w:rsidRPr="00170422" w:rsidRDefault="00F37BF9">
            <w:pPr>
              <w:pStyle w:val="P68B1DB1-Normal121"/>
              <w:spacing w:after="0" w:line="240" w:lineRule="auto"/>
              <w:jc w:val="center"/>
              <w:rPr>
                <w:noProof/>
                <w:lang w:val="de-DE"/>
              </w:rPr>
            </w:pPr>
            <w:r w:rsidRPr="00170422">
              <w:rPr>
                <w:noProof/>
                <w:lang w:val="de-DE"/>
              </w:rPr>
              <w:t>M2C1-14</w:t>
            </w:r>
          </w:p>
        </w:tc>
        <w:tc>
          <w:tcPr>
            <w:tcW w:w="2097" w:type="dxa"/>
            <w:shd w:val="clear" w:color="auto" w:fill="C6EFCE"/>
            <w:tcMar>
              <w:left w:w="108" w:type="dxa"/>
              <w:right w:w="108" w:type="dxa"/>
            </w:tcMar>
            <w:vAlign w:val="center"/>
          </w:tcPr>
          <w:p w14:paraId="239340F6" w14:textId="77777777" w:rsidR="0057163C" w:rsidRPr="00170422" w:rsidRDefault="00F37BF9">
            <w:pPr>
              <w:pStyle w:val="P68B1DB1-Normal121"/>
              <w:spacing w:after="0" w:line="240" w:lineRule="auto"/>
              <w:rPr>
                <w:noProof/>
                <w:lang w:val="de-DE"/>
              </w:rPr>
            </w:pPr>
            <w:r w:rsidRPr="00170422">
              <w:rPr>
                <w:noProof/>
                <w:lang w:val="de-DE"/>
              </w:rPr>
              <w:t>Investition 1.1 – Errichtung neuer Abfallbewirtschaftungsanlagen und Modernisierung bestehe</w:t>
            </w:r>
            <w:r w:rsidRPr="00170422">
              <w:rPr>
                <w:noProof/>
                <w:lang w:val="de-DE"/>
              </w:rPr>
              <w:t>nder Anlagen; Investition 1.2 – Leitinitiativen für die Kreislaufwirtschaft</w:t>
            </w:r>
          </w:p>
        </w:tc>
        <w:tc>
          <w:tcPr>
            <w:tcW w:w="2268" w:type="dxa"/>
            <w:shd w:val="clear" w:color="auto" w:fill="C6EFCE"/>
            <w:tcMar>
              <w:left w:w="108" w:type="dxa"/>
              <w:right w:w="108" w:type="dxa"/>
            </w:tcMar>
            <w:vAlign w:val="center"/>
          </w:tcPr>
          <w:p w14:paraId="632FF5E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41FAB721" w14:textId="77777777" w:rsidR="0057163C" w:rsidRPr="00170422" w:rsidRDefault="00F37BF9">
            <w:pPr>
              <w:pStyle w:val="P68B1DB1-Normal121"/>
              <w:spacing w:after="0" w:line="240" w:lineRule="auto"/>
              <w:rPr>
                <w:noProof/>
                <w:lang w:val="de-DE"/>
              </w:rPr>
            </w:pPr>
            <w:r w:rsidRPr="00170422">
              <w:rPr>
                <w:noProof/>
                <w:lang w:val="de-DE"/>
              </w:rPr>
              <w:t>Inkrafttreten des Ministerialdekrets.</w:t>
            </w:r>
          </w:p>
        </w:tc>
      </w:tr>
      <w:tr w:rsidR="0057163C" w:rsidRPr="00170422" w14:paraId="02F33BC8" w14:textId="77777777" w:rsidTr="001C6E23">
        <w:trPr>
          <w:trHeight w:val="300"/>
        </w:trPr>
        <w:tc>
          <w:tcPr>
            <w:tcW w:w="1435" w:type="dxa"/>
            <w:shd w:val="clear" w:color="auto" w:fill="C6EFCE"/>
            <w:tcMar>
              <w:left w:w="108" w:type="dxa"/>
              <w:right w:w="108" w:type="dxa"/>
            </w:tcMar>
            <w:vAlign w:val="center"/>
          </w:tcPr>
          <w:p w14:paraId="024D20A0" w14:textId="77777777" w:rsidR="0057163C" w:rsidRPr="00170422" w:rsidRDefault="00F37BF9">
            <w:pPr>
              <w:pStyle w:val="P68B1DB1-Normal121"/>
              <w:spacing w:after="0" w:line="240" w:lineRule="auto"/>
              <w:jc w:val="center"/>
              <w:rPr>
                <w:noProof/>
                <w:lang w:val="de-DE"/>
              </w:rPr>
            </w:pPr>
            <w:r w:rsidRPr="00170422">
              <w:rPr>
                <w:noProof/>
                <w:lang w:val="de-DE"/>
              </w:rPr>
              <w:t>M2C4-8</w:t>
            </w:r>
          </w:p>
        </w:tc>
        <w:tc>
          <w:tcPr>
            <w:tcW w:w="2097" w:type="dxa"/>
            <w:shd w:val="clear" w:color="auto" w:fill="C6EFCE"/>
            <w:tcMar>
              <w:left w:w="108" w:type="dxa"/>
              <w:right w:w="108" w:type="dxa"/>
            </w:tcMar>
            <w:vAlign w:val="center"/>
          </w:tcPr>
          <w:p w14:paraId="63E954F1" w14:textId="77777777" w:rsidR="0057163C" w:rsidRPr="00170422" w:rsidRDefault="00F37BF9">
            <w:pPr>
              <w:pStyle w:val="P68B1DB1-Normal121"/>
              <w:spacing w:after="0" w:line="240" w:lineRule="auto"/>
              <w:rPr>
                <w:noProof/>
                <w:lang w:val="de-DE"/>
              </w:rPr>
            </w:pPr>
            <w:r w:rsidRPr="00170422">
              <w:rPr>
                <w:noProof/>
                <w:lang w:val="de-DE"/>
              </w:rPr>
              <w:t>Erhält Investition 1.1 Einführung eines fortgeschrittenen und integrierten Überwachungs- und Prognosesystems</w:t>
            </w:r>
          </w:p>
        </w:tc>
        <w:tc>
          <w:tcPr>
            <w:tcW w:w="2268" w:type="dxa"/>
            <w:shd w:val="clear" w:color="auto" w:fill="C6EFCE"/>
            <w:tcMar>
              <w:left w:w="108" w:type="dxa"/>
              <w:right w:w="108" w:type="dxa"/>
            </w:tcMar>
            <w:vAlign w:val="center"/>
          </w:tcPr>
          <w:p w14:paraId="096C91F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527CD14" w14:textId="77777777" w:rsidR="0057163C" w:rsidRPr="00170422" w:rsidRDefault="00F37BF9">
            <w:pPr>
              <w:pStyle w:val="P68B1DB1-Normal121"/>
              <w:spacing w:after="0" w:line="240" w:lineRule="auto"/>
              <w:rPr>
                <w:noProof/>
                <w:lang w:val="de-DE"/>
              </w:rPr>
            </w:pPr>
            <w:r w:rsidRPr="00170422">
              <w:rPr>
                <w:noProof/>
                <w:lang w:val="de-DE"/>
              </w:rPr>
              <w:t xml:space="preserve">Einsatzplan für ein fortschrittliches und integriertes Überwachungs- und Prognosesystem zur Ermittlung hydrologischer Risiken </w:t>
            </w:r>
          </w:p>
        </w:tc>
      </w:tr>
      <w:tr w:rsidR="0057163C" w:rsidRPr="00170422" w14:paraId="69ABE650" w14:textId="77777777" w:rsidTr="001C6E23">
        <w:trPr>
          <w:trHeight w:val="300"/>
        </w:trPr>
        <w:tc>
          <w:tcPr>
            <w:tcW w:w="1435" w:type="dxa"/>
            <w:shd w:val="clear" w:color="auto" w:fill="C6EFCE"/>
            <w:tcMar>
              <w:left w:w="108" w:type="dxa"/>
              <w:right w:w="108" w:type="dxa"/>
            </w:tcMar>
            <w:vAlign w:val="center"/>
          </w:tcPr>
          <w:p w14:paraId="48490E05" w14:textId="77777777" w:rsidR="0057163C" w:rsidRPr="00170422" w:rsidRDefault="00F37BF9">
            <w:pPr>
              <w:pStyle w:val="P68B1DB1-Normal121"/>
              <w:spacing w:after="0" w:line="240" w:lineRule="auto"/>
              <w:jc w:val="center"/>
              <w:rPr>
                <w:noProof/>
                <w:lang w:val="de-DE"/>
              </w:rPr>
            </w:pPr>
            <w:r w:rsidRPr="00170422">
              <w:rPr>
                <w:noProof/>
                <w:lang w:val="de-DE"/>
              </w:rPr>
              <w:t>M5C1-17</w:t>
            </w:r>
          </w:p>
        </w:tc>
        <w:tc>
          <w:tcPr>
            <w:tcW w:w="2097" w:type="dxa"/>
            <w:shd w:val="clear" w:color="auto" w:fill="C6EFCE"/>
            <w:tcMar>
              <w:left w:w="108" w:type="dxa"/>
              <w:right w:w="108" w:type="dxa"/>
            </w:tcMar>
            <w:vAlign w:val="center"/>
          </w:tcPr>
          <w:p w14:paraId="35ABAFA9" w14:textId="77777777" w:rsidR="0057163C" w:rsidRPr="00170422" w:rsidRDefault="00F37BF9">
            <w:pPr>
              <w:pStyle w:val="P68B1DB1-Normal121"/>
              <w:spacing w:after="0" w:line="240" w:lineRule="auto"/>
              <w:rPr>
                <w:noProof/>
                <w:lang w:val="de-DE"/>
              </w:rPr>
            </w:pPr>
            <w:r w:rsidRPr="00170422">
              <w:rPr>
                <w:noProof/>
                <w:lang w:val="de-DE"/>
              </w:rPr>
              <w:t>Investition 5 Gründung von Frauenunternehmen</w:t>
            </w:r>
          </w:p>
        </w:tc>
        <w:tc>
          <w:tcPr>
            <w:tcW w:w="2268" w:type="dxa"/>
            <w:shd w:val="clear" w:color="auto" w:fill="C6EFCE"/>
            <w:tcMar>
              <w:left w:w="108" w:type="dxa"/>
              <w:right w:w="108" w:type="dxa"/>
            </w:tcMar>
            <w:vAlign w:val="center"/>
          </w:tcPr>
          <w:p w14:paraId="167EA8B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141AF814" w14:textId="77777777" w:rsidR="0057163C" w:rsidRPr="00170422" w:rsidRDefault="00F37BF9">
            <w:pPr>
              <w:pStyle w:val="P68B1DB1-Normal121"/>
              <w:spacing w:after="0" w:line="240" w:lineRule="auto"/>
              <w:rPr>
                <w:noProof/>
                <w:lang w:val="de-DE"/>
              </w:rPr>
            </w:pPr>
            <w:r w:rsidRPr="00170422">
              <w:rPr>
                <w:noProof/>
                <w:lang w:val="de-DE"/>
              </w:rPr>
              <w:t>Der Fonds zur Förderung des Unternehmertums von Frauen wird ang</w:t>
            </w:r>
            <w:r w:rsidRPr="00170422">
              <w:rPr>
                <w:noProof/>
                <w:lang w:val="de-DE"/>
              </w:rPr>
              <w:t>enommen.</w:t>
            </w:r>
          </w:p>
        </w:tc>
      </w:tr>
      <w:tr w:rsidR="0057163C" w:rsidRPr="00170422" w14:paraId="7BE0D4C4" w14:textId="77777777" w:rsidTr="001C6E23">
        <w:trPr>
          <w:trHeight w:val="300"/>
        </w:trPr>
        <w:tc>
          <w:tcPr>
            <w:tcW w:w="1435" w:type="dxa"/>
            <w:shd w:val="clear" w:color="auto" w:fill="C6EFCE"/>
            <w:tcMar>
              <w:left w:w="108" w:type="dxa"/>
              <w:right w:w="108" w:type="dxa"/>
            </w:tcMar>
            <w:vAlign w:val="center"/>
          </w:tcPr>
          <w:p w14:paraId="02AF7D1C" w14:textId="77777777" w:rsidR="0057163C" w:rsidRPr="00170422" w:rsidRDefault="00F37BF9">
            <w:pPr>
              <w:pStyle w:val="P68B1DB1-Normal121"/>
              <w:spacing w:after="0" w:line="240" w:lineRule="auto"/>
              <w:jc w:val="center"/>
              <w:rPr>
                <w:noProof/>
                <w:lang w:val="de-DE"/>
              </w:rPr>
            </w:pPr>
            <w:r w:rsidRPr="00170422">
              <w:rPr>
                <w:noProof/>
                <w:lang w:val="de-DE"/>
              </w:rPr>
              <w:t>M1C2-27</w:t>
            </w:r>
          </w:p>
        </w:tc>
        <w:tc>
          <w:tcPr>
            <w:tcW w:w="2097" w:type="dxa"/>
            <w:shd w:val="clear" w:color="auto" w:fill="C6EFCE"/>
            <w:tcMar>
              <w:left w:w="108" w:type="dxa"/>
              <w:right w:w="108" w:type="dxa"/>
            </w:tcMar>
            <w:vAlign w:val="center"/>
          </w:tcPr>
          <w:p w14:paraId="215F39D2" w14:textId="77777777" w:rsidR="0057163C" w:rsidRPr="00170422" w:rsidRDefault="00F37BF9">
            <w:pPr>
              <w:pStyle w:val="P68B1DB1-Normal121"/>
              <w:spacing w:after="0" w:line="240" w:lineRule="auto"/>
              <w:rPr>
                <w:noProof/>
                <w:lang w:val="de-DE"/>
              </w:rPr>
            </w:pPr>
            <w:r w:rsidRPr="00170422">
              <w:rPr>
                <w:noProof/>
                <w:lang w:val="de-DE"/>
              </w:rPr>
              <w:t>Investition 5.1: Refinanzierung und Neugestaltung des von SIMEST verwalteten Fonds 394/81</w:t>
            </w:r>
          </w:p>
        </w:tc>
        <w:tc>
          <w:tcPr>
            <w:tcW w:w="2268" w:type="dxa"/>
            <w:shd w:val="clear" w:color="auto" w:fill="C6EFCE"/>
            <w:tcMar>
              <w:left w:w="108" w:type="dxa"/>
              <w:right w:w="108" w:type="dxa"/>
            </w:tcMar>
            <w:vAlign w:val="center"/>
          </w:tcPr>
          <w:p w14:paraId="5D39EBE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9" w:type="dxa"/>
            <w:shd w:val="clear" w:color="auto" w:fill="C6EFCE"/>
            <w:tcMar>
              <w:left w:w="108" w:type="dxa"/>
              <w:right w:w="108" w:type="dxa"/>
            </w:tcMar>
            <w:vAlign w:val="center"/>
          </w:tcPr>
          <w:p w14:paraId="121CF49D" w14:textId="77777777" w:rsidR="0057163C" w:rsidRPr="00170422" w:rsidRDefault="00F37BF9">
            <w:pPr>
              <w:pStyle w:val="P68B1DB1-Normal121"/>
              <w:spacing w:after="0" w:line="240" w:lineRule="auto"/>
              <w:rPr>
                <w:noProof/>
                <w:lang w:val="de-DE"/>
              </w:rPr>
            </w:pPr>
            <w:r w:rsidRPr="00170422">
              <w:rPr>
                <w:noProof/>
                <w:lang w:val="de-DE"/>
              </w:rPr>
              <w:t>KMU, die Unterstützung aus dem Fonds 394/81 erhalten haben</w:t>
            </w:r>
          </w:p>
        </w:tc>
      </w:tr>
      <w:tr w:rsidR="0057163C" w:rsidRPr="00170422" w14:paraId="5A549856" w14:textId="77777777" w:rsidTr="001C6E23">
        <w:trPr>
          <w:trHeight w:val="300"/>
        </w:trPr>
        <w:tc>
          <w:tcPr>
            <w:tcW w:w="1435" w:type="dxa"/>
            <w:shd w:val="clear" w:color="auto" w:fill="C6EFCE"/>
            <w:tcMar>
              <w:left w:w="108" w:type="dxa"/>
              <w:right w:w="108" w:type="dxa"/>
            </w:tcMar>
            <w:vAlign w:val="center"/>
          </w:tcPr>
          <w:p w14:paraId="7B4F6A12" w14:textId="77777777" w:rsidR="0057163C" w:rsidRPr="00170422" w:rsidRDefault="00F37BF9">
            <w:pPr>
              <w:pStyle w:val="P68B1DB1-Normal121"/>
              <w:spacing w:after="0" w:line="240" w:lineRule="auto"/>
              <w:jc w:val="center"/>
              <w:rPr>
                <w:noProof/>
                <w:lang w:val="de-DE"/>
              </w:rPr>
            </w:pPr>
            <w:r w:rsidRPr="00170422">
              <w:rPr>
                <w:noProof/>
                <w:lang w:val="de-DE"/>
              </w:rPr>
              <w:t>M1C3-22</w:t>
            </w:r>
          </w:p>
        </w:tc>
        <w:tc>
          <w:tcPr>
            <w:tcW w:w="2097" w:type="dxa"/>
            <w:shd w:val="clear" w:color="auto" w:fill="C6EFCE"/>
            <w:tcMar>
              <w:left w:w="108" w:type="dxa"/>
              <w:right w:w="108" w:type="dxa"/>
            </w:tcMar>
            <w:vAlign w:val="center"/>
          </w:tcPr>
          <w:p w14:paraId="30A532F2" w14:textId="0BA9873B" w:rsidR="0057163C" w:rsidRPr="00170422" w:rsidRDefault="00F37BF9">
            <w:pPr>
              <w:pStyle w:val="P68B1DB1-Normal121"/>
              <w:spacing w:after="0" w:line="240" w:lineRule="auto"/>
              <w:rPr>
                <w:noProof/>
                <w:lang w:val="de-DE"/>
              </w:rPr>
            </w:pPr>
            <w:r w:rsidRPr="00170422">
              <w:rPr>
                <w:noProof/>
                <w:lang w:val="de-DE"/>
              </w:rPr>
              <w:t xml:space="preserve">Investitionen 4.2 Fonds für die Wettbewerbsfähigkeit von Tourismusunternehmen </w:t>
            </w:r>
          </w:p>
        </w:tc>
        <w:tc>
          <w:tcPr>
            <w:tcW w:w="2268" w:type="dxa"/>
            <w:shd w:val="clear" w:color="auto" w:fill="C6EFCE"/>
            <w:tcMar>
              <w:left w:w="108" w:type="dxa"/>
              <w:right w:w="108" w:type="dxa"/>
            </w:tcMar>
            <w:vAlign w:val="center"/>
          </w:tcPr>
          <w:p w14:paraId="4CA031E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8A62E8D" w14:textId="34466550" w:rsidR="0057163C" w:rsidRPr="00170422" w:rsidRDefault="00F37BF9">
            <w:pPr>
              <w:pStyle w:val="P68B1DB1-Normal121"/>
              <w:spacing w:after="0" w:line="240" w:lineRule="auto"/>
              <w:rPr>
                <w:noProof/>
                <w:lang w:val="de-DE"/>
              </w:rPr>
            </w:pPr>
            <w:r w:rsidRPr="00170422">
              <w:rPr>
                <w:noProof/>
                <w:lang w:val="de-DE"/>
              </w:rPr>
              <w:t xml:space="preserve">Investitionspolitik für: thematischer Fonds der Europäischen Investitionsbank;  </w:t>
            </w:r>
          </w:p>
        </w:tc>
      </w:tr>
      <w:tr w:rsidR="0057163C" w:rsidRPr="00170422" w14:paraId="331FCB95" w14:textId="77777777" w:rsidTr="001C6E23">
        <w:trPr>
          <w:trHeight w:val="300"/>
        </w:trPr>
        <w:tc>
          <w:tcPr>
            <w:tcW w:w="1435" w:type="dxa"/>
            <w:shd w:val="clear" w:color="auto" w:fill="C6EFCE"/>
            <w:tcMar>
              <w:left w:w="108" w:type="dxa"/>
              <w:right w:w="108" w:type="dxa"/>
            </w:tcMar>
            <w:vAlign w:val="center"/>
          </w:tcPr>
          <w:p w14:paraId="7A64EF29" w14:textId="77777777" w:rsidR="0057163C" w:rsidRPr="00170422" w:rsidRDefault="00F37BF9">
            <w:pPr>
              <w:pStyle w:val="P68B1DB1-Normal121"/>
              <w:spacing w:after="0" w:line="240" w:lineRule="auto"/>
              <w:jc w:val="center"/>
              <w:rPr>
                <w:noProof/>
                <w:lang w:val="de-DE"/>
              </w:rPr>
            </w:pPr>
            <w:r w:rsidRPr="00170422">
              <w:rPr>
                <w:noProof/>
                <w:lang w:val="de-DE"/>
              </w:rPr>
              <w:t>M1C3-23</w:t>
            </w:r>
          </w:p>
        </w:tc>
        <w:tc>
          <w:tcPr>
            <w:tcW w:w="2097" w:type="dxa"/>
            <w:shd w:val="clear" w:color="auto" w:fill="C6EFCE"/>
            <w:tcMar>
              <w:left w:w="108" w:type="dxa"/>
              <w:right w:w="108" w:type="dxa"/>
            </w:tcMar>
            <w:vAlign w:val="center"/>
          </w:tcPr>
          <w:p w14:paraId="0D37E285" w14:textId="77777777" w:rsidR="0057163C" w:rsidRPr="00170422" w:rsidRDefault="00F37BF9">
            <w:pPr>
              <w:pStyle w:val="P68B1DB1-Normal121"/>
              <w:spacing w:after="0" w:line="240" w:lineRule="auto"/>
              <w:rPr>
                <w:noProof/>
                <w:lang w:val="de-DE"/>
              </w:rPr>
            </w:pPr>
            <w:r w:rsidRPr="00170422">
              <w:rPr>
                <w:noProof/>
                <w:lang w:val="de-DE"/>
              </w:rPr>
              <w:t>Investition 4.2:  Mittel für die Wettbewerbsfähigkeit von Tourismusunterneh</w:t>
            </w:r>
            <w:r w:rsidRPr="00170422">
              <w:rPr>
                <w:noProof/>
                <w:lang w:val="de-DE"/>
              </w:rPr>
              <w:t xml:space="preserve">men </w:t>
            </w:r>
          </w:p>
        </w:tc>
        <w:tc>
          <w:tcPr>
            <w:tcW w:w="2268" w:type="dxa"/>
            <w:shd w:val="clear" w:color="auto" w:fill="C6EFCE"/>
            <w:tcMar>
              <w:left w:w="108" w:type="dxa"/>
              <w:right w:w="108" w:type="dxa"/>
            </w:tcMar>
            <w:vAlign w:val="center"/>
          </w:tcPr>
          <w:p w14:paraId="33F9CE1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11638CDE" w14:textId="77777777" w:rsidR="0057163C" w:rsidRPr="00170422" w:rsidRDefault="00F37BF9">
            <w:pPr>
              <w:pStyle w:val="P68B1DB1-Normal121"/>
              <w:spacing w:after="0" w:line="240" w:lineRule="auto"/>
              <w:rPr>
                <w:noProof/>
                <w:lang w:val="de-DE"/>
              </w:rPr>
            </w:pPr>
            <w:r w:rsidRPr="00170422">
              <w:rPr>
                <w:noProof/>
                <w:lang w:val="de-DE"/>
              </w:rPr>
              <w:t xml:space="preserve">Investitionspolitik für den Nationalen Tourismusfonds, </w:t>
            </w:r>
          </w:p>
        </w:tc>
      </w:tr>
      <w:tr w:rsidR="0057163C" w:rsidRPr="00170422" w14:paraId="21D10B4C" w14:textId="77777777" w:rsidTr="001C6E23">
        <w:trPr>
          <w:trHeight w:val="300"/>
        </w:trPr>
        <w:tc>
          <w:tcPr>
            <w:tcW w:w="1435" w:type="dxa"/>
            <w:shd w:val="clear" w:color="auto" w:fill="C6EFCE"/>
            <w:tcMar>
              <w:left w:w="108" w:type="dxa"/>
              <w:right w:w="108" w:type="dxa"/>
            </w:tcMar>
            <w:vAlign w:val="center"/>
          </w:tcPr>
          <w:p w14:paraId="65D1F00A" w14:textId="77777777" w:rsidR="0057163C" w:rsidRPr="00170422" w:rsidRDefault="00F37BF9">
            <w:pPr>
              <w:pStyle w:val="P68B1DB1-Normal121"/>
              <w:spacing w:after="0" w:line="240" w:lineRule="auto"/>
              <w:jc w:val="center"/>
              <w:rPr>
                <w:noProof/>
                <w:lang w:val="de-DE"/>
              </w:rPr>
            </w:pPr>
            <w:r w:rsidRPr="00170422">
              <w:rPr>
                <w:noProof/>
                <w:lang w:val="de-DE"/>
              </w:rPr>
              <w:t>M1C3-24</w:t>
            </w:r>
          </w:p>
        </w:tc>
        <w:tc>
          <w:tcPr>
            <w:tcW w:w="2097" w:type="dxa"/>
            <w:shd w:val="clear" w:color="auto" w:fill="C6EFCE"/>
            <w:tcMar>
              <w:left w:w="108" w:type="dxa"/>
              <w:right w:w="108" w:type="dxa"/>
            </w:tcMar>
            <w:vAlign w:val="center"/>
          </w:tcPr>
          <w:p w14:paraId="41F29277" w14:textId="01B59BC2" w:rsidR="0057163C" w:rsidRPr="00170422" w:rsidRDefault="00F37BF9">
            <w:pPr>
              <w:pStyle w:val="P68B1DB1-Normal121"/>
              <w:spacing w:after="0" w:line="240" w:lineRule="auto"/>
              <w:rPr>
                <w:noProof/>
                <w:lang w:val="de-DE"/>
              </w:rPr>
            </w:pPr>
            <w:r w:rsidRPr="00170422">
              <w:rPr>
                <w:noProof/>
                <w:lang w:val="de-DE"/>
              </w:rPr>
              <w:t xml:space="preserve">Investitionen 4.2 Fonds für die Wettbewerbsfähigkeit von Tourismusunternehmen </w:t>
            </w:r>
          </w:p>
        </w:tc>
        <w:tc>
          <w:tcPr>
            <w:tcW w:w="2268" w:type="dxa"/>
            <w:shd w:val="clear" w:color="auto" w:fill="C6EFCE"/>
            <w:tcMar>
              <w:left w:w="108" w:type="dxa"/>
              <w:right w:w="108" w:type="dxa"/>
            </w:tcMar>
            <w:vAlign w:val="center"/>
          </w:tcPr>
          <w:p w14:paraId="11E9A91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4C0974C2" w14:textId="77777777" w:rsidR="0057163C" w:rsidRPr="00170422" w:rsidRDefault="00F37BF9">
            <w:pPr>
              <w:pStyle w:val="P68B1DB1-Normal121"/>
              <w:spacing w:after="0" w:line="240" w:lineRule="auto"/>
              <w:rPr>
                <w:noProof/>
                <w:lang w:val="de-DE"/>
              </w:rPr>
            </w:pPr>
            <w:r w:rsidRPr="00170422">
              <w:rPr>
                <w:noProof/>
                <w:lang w:val="de-DE"/>
              </w:rPr>
              <w:t>Investitionspolitik für: KMU-Garantiefonds,</w:t>
            </w:r>
          </w:p>
        </w:tc>
      </w:tr>
      <w:tr w:rsidR="0057163C" w:rsidRPr="00170422" w14:paraId="45BADD0B" w14:textId="77777777" w:rsidTr="001C6E23">
        <w:trPr>
          <w:trHeight w:val="300"/>
        </w:trPr>
        <w:tc>
          <w:tcPr>
            <w:tcW w:w="1435" w:type="dxa"/>
            <w:shd w:val="clear" w:color="auto" w:fill="C6EFCE"/>
            <w:tcMar>
              <w:left w:w="108" w:type="dxa"/>
              <w:right w:w="108" w:type="dxa"/>
            </w:tcMar>
            <w:vAlign w:val="center"/>
          </w:tcPr>
          <w:p w14:paraId="6BAB2DC3" w14:textId="77777777" w:rsidR="0057163C" w:rsidRPr="00170422" w:rsidRDefault="00F37BF9">
            <w:pPr>
              <w:pStyle w:val="P68B1DB1-Normal121"/>
              <w:spacing w:after="0" w:line="240" w:lineRule="auto"/>
              <w:jc w:val="center"/>
              <w:rPr>
                <w:noProof/>
                <w:lang w:val="de-DE"/>
              </w:rPr>
            </w:pPr>
            <w:r w:rsidRPr="00170422">
              <w:rPr>
                <w:noProof/>
                <w:lang w:val="de-DE"/>
              </w:rPr>
              <w:t>M1C3-25</w:t>
            </w:r>
          </w:p>
        </w:tc>
        <w:tc>
          <w:tcPr>
            <w:tcW w:w="2097" w:type="dxa"/>
            <w:shd w:val="clear" w:color="auto" w:fill="C6EFCE"/>
            <w:tcMar>
              <w:left w:w="108" w:type="dxa"/>
              <w:right w:w="108" w:type="dxa"/>
            </w:tcMar>
            <w:vAlign w:val="center"/>
          </w:tcPr>
          <w:p w14:paraId="210772CD" w14:textId="2F25133B" w:rsidR="0057163C" w:rsidRPr="00170422" w:rsidRDefault="00F37BF9">
            <w:pPr>
              <w:pStyle w:val="P68B1DB1-Normal121"/>
              <w:spacing w:after="0" w:line="240" w:lineRule="auto"/>
              <w:rPr>
                <w:noProof/>
                <w:lang w:val="de-DE"/>
              </w:rPr>
            </w:pPr>
            <w:r w:rsidRPr="00170422">
              <w:rPr>
                <w:noProof/>
                <w:lang w:val="de-DE"/>
              </w:rPr>
              <w:t xml:space="preserve">Investition 4.2: Mittel für die Wettbewerbsfähigkeit von Tourismusunternehmen </w:t>
            </w:r>
          </w:p>
        </w:tc>
        <w:tc>
          <w:tcPr>
            <w:tcW w:w="2268" w:type="dxa"/>
            <w:shd w:val="clear" w:color="auto" w:fill="C6EFCE"/>
            <w:tcMar>
              <w:left w:w="108" w:type="dxa"/>
              <w:right w:w="108" w:type="dxa"/>
            </w:tcMar>
            <w:vAlign w:val="center"/>
          </w:tcPr>
          <w:p w14:paraId="35CBD7B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82099D8" w14:textId="77777777" w:rsidR="0057163C" w:rsidRPr="00170422" w:rsidRDefault="00F37BF9">
            <w:pPr>
              <w:pStyle w:val="P68B1DB1-Normal121"/>
              <w:spacing w:after="0" w:line="240" w:lineRule="auto"/>
              <w:rPr>
                <w:noProof/>
                <w:lang w:val="de-DE"/>
              </w:rPr>
            </w:pPr>
            <w:r w:rsidRPr="00170422">
              <w:rPr>
                <w:noProof/>
                <w:lang w:val="de-DE"/>
              </w:rPr>
              <w:t xml:space="preserve">Investitionspolitik für den Fondo Rotativo </w:t>
            </w:r>
          </w:p>
        </w:tc>
      </w:tr>
      <w:tr w:rsidR="0057163C" w:rsidRPr="00170422" w14:paraId="18A6ED7F" w14:textId="77777777" w:rsidTr="001C6E23">
        <w:trPr>
          <w:trHeight w:val="300"/>
        </w:trPr>
        <w:tc>
          <w:tcPr>
            <w:tcW w:w="1435" w:type="dxa"/>
            <w:shd w:val="clear" w:color="auto" w:fill="C6EFCE"/>
            <w:tcMar>
              <w:left w:w="108" w:type="dxa"/>
              <w:right w:w="108" w:type="dxa"/>
            </w:tcMar>
            <w:vAlign w:val="center"/>
          </w:tcPr>
          <w:p w14:paraId="2CBEC637" w14:textId="77777777" w:rsidR="0057163C" w:rsidRPr="00170422" w:rsidRDefault="00F37BF9">
            <w:pPr>
              <w:pStyle w:val="P68B1DB1-Normal121"/>
              <w:spacing w:after="0" w:line="240" w:lineRule="auto"/>
              <w:jc w:val="center"/>
              <w:rPr>
                <w:noProof/>
                <w:lang w:val="de-DE"/>
              </w:rPr>
            </w:pPr>
            <w:r w:rsidRPr="00170422">
              <w:rPr>
                <w:noProof/>
                <w:lang w:val="de-DE"/>
              </w:rPr>
              <w:t>M1C3-26</w:t>
            </w:r>
          </w:p>
        </w:tc>
        <w:tc>
          <w:tcPr>
            <w:tcW w:w="2097" w:type="dxa"/>
            <w:shd w:val="clear" w:color="auto" w:fill="C6EFCE"/>
            <w:tcMar>
              <w:left w:w="108" w:type="dxa"/>
              <w:right w:w="108" w:type="dxa"/>
            </w:tcMar>
            <w:vAlign w:val="center"/>
          </w:tcPr>
          <w:p w14:paraId="2DC6EFF1" w14:textId="3C5F894A" w:rsidR="0057163C" w:rsidRPr="00170422" w:rsidRDefault="00F37BF9">
            <w:pPr>
              <w:pStyle w:val="P68B1DB1-Normal121"/>
              <w:spacing w:after="0" w:line="240" w:lineRule="auto"/>
              <w:rPr>
                <w:noProof/>
                <w:lang w:val="de-DE"/>
              </w:rPr>
            </w:pPr>
            <w:r w:rsidRPr="00170422">
              <w:rPr>
                <w:noProof/>
                <w:lang w:val="de-DE"/>
              </w:rPr>
              <w:t xml:space="preserve">Investition 4.2: Mittel für die Wettbewerbsfähigkeit von Tourismusunternehmen </w:t>
            </w:r>
          </w:p>
        </w:tc>
        <w:tc>
          <w:tcPr>
            <w:tcW w:w="2268" w:type="dxa"/>
            <w:shd w:val="clear" w:color="auto" w:fill="C6EFCE"/>
            <w:tcMar>
              <w:left w:w="108" w:type="dxa"/>
              <w:right w:w="108" w:type="dxa"/>
            </w:tcMar>
            <w:vAlign w:val="center"/>
          </w:tcPr>
          <w:p w14:paraId="43EFC0B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5FC160AE" w14:textId="77777777" w:rsidR="0057163C" w:rsidRPr="00170422" w:rsidRDefault="00F37BF9">
            <w:pPr>
              <w:pStyle w:val="P68B1DB1-Normal121"/>
              <w:spacing w:after="0" w:line="240" w:lineRule="auto"/>
              <w:rPr>
                <w:noProof/>
                <w:lang w:val="de-DE"/>
              </w:rPr>
            </w:pPr>
            <w:r w:rsidRPr="00170422">
              <w:rPr>
                <w:noProof/>
                <w:lang w:val="de-DE"/>
              </w:rPr>
              <w:t xml:space="preserve">Inkrafttreten des </w:t>
            </w:r>
            <w:r w:rsidRPr="00170422">
              <w:rPr>
                <w:noProof/>
                <w:lang w:val="de-DE"/>
              </w:rPr>
              <w:t>Durchführungserlasses über die Steuergutschrift für die Sanierung von Unterkünften.</w:t>
            </w:r>
          </w:p>
        </w:tc>
      </w:tr>
      <w:tr w:rsidR="0057163C" w:rsidRPr="00170422" w14:paraId="4F2A8087" w14:textId="77777777" w:rsidTr="001C6E23">
        <w:trPr>
          <w:trHeight w:val="300"/>
        </w:trPr>
        <w:tc>
          <w:tcPr>
            <w:tcW w:w="1435" w:type="dxa"/>
            <w:shd w:val="clear" w:color="auto" w:fill="C6EFCE"/>
            <w:tcMar>
              <w:left w:w="108" w:type="dxa"/>
              <w:right w:w="108" w:type="dxa"/>
            </w:tcMar>
            <w:vAlign w:val="center"/>
          </w:tcPr>
          <w:p w14:paraId="56F1E565" w14:textId="77777777" w:rsidR="0057163C" w:rsidRPr="00170422" w:rsidRDefault="00F37BF9">
            <w:pPr>
              <w:pStyle w:val="P68B1DB1-Normal121"/>
              <w:spacing w:after="0" w:line="240" w:lineRule="auto"/>
              <w:jc w:val="center"/>
              <w:rPr>
                <w:noProof/>
                <w:lang w:val="de-DE"/>
              </w:rPr>
            </w:pPr>
            <w:r w:rsidRPr="00170422">
              <w:rPr>
                <w:noProof/>
                <w:lang w:val="de-DE"/>
              </w:rPr>
              <w:t>M2C4-7</w:t>
            </w:r>
          </w:p>
        </w:tc>
        <w:tc>
          <w:tcPr>
            <w:tcW w:w="2097" w:type="dxa"/>
            <w:shd w:val="clear" w:color="auto" w:fill="C6EFCE"/>
            <w:tcMar>
              <w:left w:w="108" w:type="dxa"/>
              <w:right w:w="108" w:type="dxa"/>
            </w:tcMar>
            <w:vAlign w:val="center"/>
          </w:tcPr>
          <w:p w14:paraId="18FA3FBE" w14:textId="77777777" w:rsidR="0057163C" w:rsidRPr="00170422" w:rsidRDefault="00F37BF9">
            <w:pPr>
              <w:pStyle w:val="P68B1DB1-Normal121"/>
              <w:spacing w:after="0" w:line="240" w:lineRule="auto"/>
              <w:rPr>
                <w:noProof/>
                <w:lang w:val="de-DE"/>
              </w:rPr>
            </w:pPr>
            <w:r w:rsidRPr="00170422">
              <w:rPr>
                <w:noProof/>
                <w:lang w:val="de-DE"/>
              </w:rPr>
              <w:t>Reform 3.1: Annahme nationaler Programme zur Luftreinhaltung</w:t>
            </w:r>
          </w:p>
        </w:tc>
        <w:tc>
          <w:tcPr>
            <w:tcW w:w="2268" w:type="dxa"/>
            <w:shd w:val="clear" w:color="auto" w:fill="C6EFCE"/>
            <w:tcMar>
              <w:left w:w="108" w:type="dxa"/>
              <w:right w:w="108" w:type="dxa"/>
            </w:tcMar>
            <w:vAlign w:val="center"/>
          </w:tcPr>
          <w:p w14:paraId="536C0CA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32E3815" w14:textId="77777777" w:rsidR="0057163C" w:rsidRPr="00170422" w:rsidRDefault="00F37BF9">
            <w:pPr>
              <w:pStyle w:val="P68B1DB1-Normal121"/>
              <w:spacing w:after="0" w:line="240" w:lineRule="auto"/>
              <w:rPr>
                <w:noProof/>
                <w:lang w:val="de-DE"/>
              </w:rPr>
            </w:pPr>
            <w:r w:rsidRPr="00170422">
              <w:rPr>
                <w:noProof/>
                <w:lang w:val="de-DE"/>
              </w:rPr>
              <w:t>Inkrafttreten eines nationalen Luftreinhalteprogramms</w:t>
            </w:r>
          </w:p>
        </w:tc>
      </w:tr>
      <w:tr w:rsidR="0057163C" w:rsidRPr="00170422" w14:paraId="2CE31F33" w14:textId="77777777" w:rsidTr="001C6E23">
        <w:trPr>
          <w:trHeight w:val="300"/>
        </w:trPr>
        <w:tc>
          <w:tcPr>
            <w:tcW w:w="1435" w:type="dxa"/>
            <w:shd w:val="clear" w:color="auto" w:fill="C6EFCE"/>
            <w:tcMar>
              <w:left w:w="108" w:type="dxa"/>
              <w:right w:w="108" w:type="dxa"/>
            </w:tcMar>
            <w:vAlign w:val="center"/>
          </w:tcPr>
          <w:p w14:paraId="2C91A179" w14:textId="77777777" w:rsidR="0057163C" w:rsidRPr="00170422" w:rsidRDefault="00F37BF9">
            <w:pPr>
              <w:pStyle w:val="P68B1DB1-Normal121"/>
              <w:spacing w:after="0" w:line="240" w:lineRule="auto"/>
              <w:jc w:val="center"/>
              <w:rPr>
                <w:noProof/>
                <w:lang w:val="de-DE"/>
              </w:rPr>
            </w:pPr>
            <w:r w:rsidRPr="00170422">
              <w:rPr>
                <w:noProof/>
                <w:lang w:val="de-DE"/>
              </w:rPr>
              <w:t>M2C4-12</w:t>
            </w:r>
          </w:p>
        </w:tc>
        <w:tc>
          <w:tcPr>
            <w:tcW w:w="2097" w:type="dxa"/>
            <w:shd w:val="clear" w:color="auto" w:fill="C6EFCE"/>
            <w:tcMar>
              <w:left w:w="108" w:type="dxa"/>
              <w:right w:w="108" w:type="dxa"/>
            </w:tcMar>
            <w:vAlign w:val="center"/>
          </w:tcPr>
          <w:p w14:paraId="69EC5E0B" w14:textId="77777777" w:rsidR="0057163C" w:rsidRPr="00170422" w:rsidRDefault="00F37BF9">
            <w:pPr>
              <w:pStyle w:val="P68B1DB1-Normal121"/>
              <w:spacing w:after="0" w:line="240" w:lineRule="auto"/>
              <w:rPr>
                <w:noProof/>
                <w:lang w:val="de-DE"/>
              </w:rPr>
            </w:pPr>
            <w:r w:rsidRPr="00170422">
              <w:rPr>
                <w:noProof/>
                <w:lang w:val="de-DE"/>
              </w:rPr>
              <w:t xml:space="preserve">Investition 2.1.b Maßnahmen </w:t>
            </w:r>
            <w:r w:rsidRPr="00170422">
              <w:rPr>
                <w:noProof/>
                <w:lang w:val="de-DE"/>
              </w:rPr>
              <w:t>zur Verringerung des Hochwasserrisikos und des hydrogeologischen Risikos</w:t>
            </w:r>
          </w:p>
        </w:tc>
        <w:tc>
          <w:tcPr>
            <w:tcW w:w="2268" w:type="dxa"/>
            <w:shd w:val="clear" w:color="auto" w:fill="C6EFCE"/>
            <w:tcMar>
              <w:left w:w="108" w:type="dxa"/>
              <w:right w:w="108" w:type="dxa"/>
            </w:tcMar>
            <w:vAlign w:val="center"/>
          </w:tcPr>
          <w:p w14:paraId="2BE0C9F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9B05614" w14:textId="77777777" w:rsidR="0057163C" w:rsidRPr="00170422" w:rsidRDefault="00F37BF9">
            <w:pPr>
              <w:pStyle w:val="P68B1DB1-Normal121"/>
              <w:spacing w:after="0" w:line="240" w:lineRule="auto"/>
              <w:rPr>
                <w:noProof/>
                <w:lang w:val="de-DE"/>
              </w:rPr>
            </w:pPr>
            <w:r w:rsidRPr="00170422">
              <w:rPr>
                <w:noProof/>
                <w:lang w:val="de-DE"/>
              </w:rPr>
              <w:t>Inkrafttreten des überarbeiteten Rechtsrahmens für Maßnahmen gegen Hochwasser und hydrogeologische Risiken</w:t>
            </w:r>
          </w:p>
        </w:tc>
      </w:tr>
      <w:tr w:rsidR="0057163C" w:rsidRPr="00170422" w14:paraId="4B0E66E5" w14:textId="77777777" w:rsidTr="001C6E23">
        <w:trPr>
          <w:trHeight w:val="300"/>
        </w:trPr>
        <w:tc>
          <w:tcPr>
            <w:tcW w:w="1435" w:type="dxa"/>
            <w:shd w:val="clear" w:color="auto" w:fill="C6EFCE"/>
            <w:tcMar>
              <w:left w:w="108" w:type="dxa"/>
              <w:right w:w="108" w:type="dxa"/>
            </w:tcMar>
            <w:vAlign w:val="center"/>
          </w:tcPr>
          <w:p w14:paraId="2030AA84" w14:textId="77777777" w:rsidR="0057163C" w:rsidRPr="00170422" w:rsidRDefault="00F37BF9">
            <w:pPr>
              <w:pStyle w:val="P68B1DB1-Normal121"/>
              <w:spacing w:after="0" w:line="240" w:lineRule="auto"/>
              <w:jc w:val="center"/>
              <w:rPr>
                <w:noProof/>
                <w:lang w:val="de-DE"/>
              </w:rPr>
            </w:pPr>
            <w:r w:rsidRPr="00170422">
              <w:rPr>
                <w:noProof/>
                <w:lang w:val="de-DE"/>
              </w:rPr>
              <w:t>M2C4-18</w:t>
            </w:r>
          </w:p>
        </w:tc>
        <w:tc>
          <w:tcPr>
            <w:tcW w:w="2097" w:type="dxa"/>
            <w:shd w:val="clear" w:color="auto" w:fill="C6EFCE"/>
            <w:tcMar>
              <w:left w:w="108" w:type="dxa"/>
              <w:right w:w="108" w:type="dxa"/>
            </w:tcMar>
            <w:vAlign w:val="center"/>
          </w:tcPr>
          <w:p w14:paraId="060A4C45" w14:textId="77777777" w:rsidR="0057163C" w:rsidRPr="00170422" w:rsidRDefault="00F37BF9">
            <w:pPr>
              <w:pStyle w:val="P68B1DB1-Normal121"/>
              <w:spacing w:after="0" w:line="240" w:lineRule="auto"/>
              <w:rPr>
                <w:noProof/>
                <w:lang w:val="de-DE"/>
              </w:rPr>
            </w:pPr>
            <w:r w:rsidRPr="00170422">
              <w:rPr>
                <w:noProof/>
                <w:lang w:val="de-DE"/>
              </w:rPr>
              <w:t xml:space="preserve">Investieren. 3.1: Schutz und Verbesserung städtischer </w:t>
            </w:r>
            <w:r w:rsidRPr="00170422">
              <w:rPr>
                <w:noProof/>
                <w:lang w:val="de-DE"/>
              </w:rPr>
              <w:t>und stadtnaher Wälder</w:t>
            </w:r>
          </w:p>
        </w:tc>
        <w:tc>
          <w:tcPr>
            <w:tcW w:w="2268" w:type="dxa"/>
            <w:shd w:val="clear" w:color="auto" w:fill="C6EFCE"/>
            <w:tcMar>
              <w:left w:w="108" w:type="dxa"/>
              <w:right w:w="108" w:type="dxa"/>
            </w:tcMar>
            <w:vAlign w:val="center"/>
          </w:tcPr>
          <w:p w14:paraId="541C9D0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8C0E497" w14:textId="77777777" w:rsidR="0057163C" w:rsidRPr="00170422" w:rsidRDefault="00F37BF9">
            <w:pPr>
              <w:pStyle w:val="P68B1DB1-Normal121"/>
              <w:spacing w:after="0" w:line="240" w:lineRule="auto"/>
              <w:rPr>
                <w:noProof/>
                <w:lang w:val="de-DE"/>
              </w:rPr>
            </w:pPr>
            <w:r w:rsidRPr="00170422">
              <w:rPr>
                <w:noProof/>
                <w:lang w:val="de-DE"/>
              </w:rPr>
              <w:t xml:space="preserve">Inkrafttreten der überarbeiteten rechtlichen Änderungen zum Schutz und zur Valorisierung städtischer und stadtnaher Grünflächen </w:t>
            </w:r>
          </w:p>
        </w:tc>
      </w:tr>
      <w:tr w:rsidR="0057163C" w:rsidRPr="00170422" w14:paraId="66DA6ADE" w14:textId="77777777" w:rsidTr="001C6E23">
        <w:trPr>
          <w:trHeight w:val="300"/>
        </w:trPr>
        <w:tc>
          <w:tcPr>
            <w:tcW w:w="1435" w:type="dxa"/>
            <w:shd w:val="clear" w:color="auto" w:fill="C6EFCE"/>
            <w:tcMar>
              <w:left w:w="108" w:type="dxa"/>
              <w:right w:w="108" w:type="dxa"/>
            </w:tcMar>
            <w:vAlign w:val="center"/>
          </w:tcPr>
          <w:p w14:paraId="028E4A91" w14:textId="77777777" w:rsidR="0057163C" w:rsidRPr="00170422" w:rsidRDefault="00F37BF9">
            <w:pPr>
              <w:pStyle w:val="P68B1DB1-Normal121"/>
              <w:spacing w:after="0" w:line="240" w:lineRule="auto"/>
              <w:jc w:val="center"/>
              <w:rPr>
                <w:noProof/>
                <w:lang w:val="de-DE"/>
              </w:rPr>
            </w:pPr>
            <w:r w:rsidRPr="00170422">
              <w:rPr>
                <w:noProof/>
                <w:lang w:val="de-DE"/>
              </w:rPr>
              <w:t>M3C1-1</w:t>
            </w:r>
          </w:p>
        </w:tc>
        <w:tc>
          <w:tcPr>
            <w:tcW w:w="2097" w:type="dxa"/>
            <w:shd w:val="clear" w:color="auto" w:fill="C6EFCE"/>
            <w:tcMar>
              <w:left w:w="108" w:type="dxa"/>
              <w:right w:w="108" w:type="dxa"/>
            </w:tcMar>
            <w:vAlign w:val="center"/>
          </w:tcPr>
          <w:p w14:paraId="27CF5B51" w14:textId="77777777" w:rsidR="0057163C" w:rsidRPr="00170422" w:rsidRDefault="00F37BF9">
            <w:pPr>
              <w:pStyle w:val="P68B1DB1-Normal121"/>
              <w:spacing w:after="0" w:line="240" w:lineRule="auto"/>
              <w:rPr>
                <w:noProof/>
                <w:lang w:val="de-DE"/>
              </w:rPr>
            </w:pPr>
            <w:r w:rsidRPr="00170422">
              <w:rPr>
                <w:noProof/>
                <w:lang w:val="de-DE"/>
              </w:rPr>
              <w:t>Reform 1.1 – Beschleunigung des Genehmigungsverfahrens für den Vertrag zwischen dem M</w:t>
            </w:r>
            <w:r w:rsidRPr="00170422">
              <w:rPr>
                <w:noProof/>
                <w:lang w:val="de-DE"/>
              </w:rPr>
              <w:t>IT und RFI</w:t>
            </w:r>
          </w:p>
        </w:tc>
        <w:tc>
          <w:tcPr>
            <w:tcW w:w="2268" w:type="dxa"/>
            <w:shd w:val="clear" w:color="auto" w:fill="C6EFCE"/>
            <w:tcMar>
              <w:left w:w="108" w:type="dxa"/>
              <w:right w:w="108" w:type="dxa"/>
            </w:tcMar>
            <w:vAlign w:val="center"/>
          </w:tcPr>
          <w:p w14:paraId="58EF069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4DBFF34" w14:textId="77777777" w:rsidR="0057163C" w:rsidRPr="00170422" w:rsidRDefault="00F37BF9">
            <w:pPr>
              <w:pStyle w:val="P68B1DB1-Normal121"/>
              <w:spacing w:after="0" w:line="240" w:lineRule="auto"/>
              <w:rPr>
                <w:noProof/>
                <w:lang w:val="de-DE"/>
              </w:rPr>
            </w:pPr>
            <w:r w:rsidRPr="00170422">
              <w:rPr>
                <w:noProof/>
                <w:lang w:val="de-DE"/>
              </w:rPr>
              <w:t>Inkrafttreten einer Gesetzesänderung über das Genehmigungsverfahren für das Contratti di Programma (CdP)</w:t>
            </w:r>
          </w:p>
        </w:tc>
      </w:tr>
      <w:tr w:rsidR="0057163C" w:rsidRPr="00170422" w14:paraId="4193241E" w14:textId="77777777" w:rsidTr="001C6E23">
        <w:trPr>
          <w:trHeight w:val="300"/>
        </w:trPr>
        <w:tc>
          <w:tcPr>
            <w:tcW w:w="1435" w:type="dxa"/>
            <w:shd w:val="clear" w:color="auto" w:fill="C6EFCE"/>
            <w:tcMar>
              <w:left w:w="108" w:type="dxa"/>
              <w:right w:w="108" w:type="dxa"/>
            </w:tcMar>
            <w:vAlign w:val="center"/>
          </w:tcPr>
          <w:p w14:paraId="6442C5F3" w14:textId="77777777" w:rsidR="0057163C" w:rsidRPr="00170422" w:rsidRDefault="00F37BF9">
            <w:pPr>
              <w:pStyle w:val="P68B1DB1-Normal121"/>
              <w:spacing w:after="0" w:line="240" w:lineRule="auto"/>
              <w:jc w:val="center"/>
              <w:rPr>
                <w:noProof/>
                <w:lang w:val="de-DE"/>
              </w:rPr>
            </w:pPr>
            <w:r w:rsidRPr="00170422">
              <w:rPr>
                <w:noProof/>
                <w:lang w:val="de-DE"/>
              </w:rPr>
              <w:t>M3C1-2</w:t>
            </w:r>
          </w:p>
        </w:tc>
        <w:tc>
          <w:tcPr>
            <w:tcW w:w="2097" w:type="dxa"/>
            <w:shd w:val="clear" w:color="auto" w:fill="C6EFCE"/>
            <w:tcMar>
              <w:left w:w="108" w:type="dxa"/>
              <w:right w:w="108" w:type="dxa"/>
            </w:tcMar>
            <w:vAlign w:val="center"/>
          </w:tcPr>
          <w:p w14:paraId="70B0EC6B" w14:textId="77777777" w:rsidR="0057163C" w:rsidRPr="00170422" w:rsidRDefault="00F37BF9">
            <w:pPr>
              <w:pStyle w:val="P68B1DB1-Normal121"/>
              <w:spacing w:after="0" w:line="240" w:lineRule="auto"/>
              <w:rPr>
                <w:noProof/>
                <w:lang w:val="de-DE"/>
              </w:rPr>
            </w:pPr>
            <w:r w:rsidRPr="00170422">
              <w:rPr>
                <w:noProof/>
                <w:lang w:val="de-DE"/>
              </w:rPr>
              <w:t>Reform 1.2 – Beschleunigung des Genehmigungsverfahrens für Projekte</w:t>
            </w:r>
          </w:p>
        </w:tc>
        <w:tc>
          <w:tcPr>
            <w:tcW w:w="2268" w:type="dxa"/>
            <w:shd w:val="clear" w:color="auto" w:fill="C6EFCE"/>
            <w:tcMar>
              <w:left w:w="108" w:type="dxa"/>
              <w:right w:w="108" w:type="dxa"/>
            </w:tcMar>
            <w:vAlign w:val="center"/>
          </w:tcPr>
          <w:p w14:paraId="4E6AA95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CEFAB7F" w14:textId="77777777" w:rsidR="0057163C" w:rsidRPr="00170422" w:rsidRDefault="00F37BF9">
            <w:pPr>
              <w:pStyle w:val="P68B1DB1-Normal121"/>
              <w:spacing w:after="0" w:line="240" w:lineRule="auto"/>
              <w:rPr>
                <w:noProof/>
                <w:lang w:val="de-DE"/>
              </w:rPr>
            </w:pPr>
            <w:r w:rsidRPr="00170422">
              <w:rPr>
                <w:noProof/>
                <w:lang w:val="de-DE"/>
              </w:rPr>
              <w:t xml:space="preserve">Inkrafttreten einer Änderung der </w:t>
            </w:r>
            <w:r w:rsidRPr="00170422">
              <w:rPr>
                <w:noProof/>
                <w:lang w:val="de-DE"/>
              </w:rPr>
              <w:t>Rechtsvorschriften, durch die die Genehmigungsdauer von Projekten von 11 auf sechs Monate verkürzt wird</w:t>
            </w:r>
          </w:p>
        </w:tc>
      </w:tr>
      <w:tr w:rsidR="0057163C" w:rsidRPr="00170422" w14:paraId="4E72E771" w14:textId="77777777" w:rsidTr="001C6E23">
        <w:trPr>
          <w:trHeight w:val="300"/>
        </w:trPr>
        <w:tc>
          <w:tcPr>
            <w:tcW w:w="1435" w:type="dxa"/>
            <w:shd w:val="clear" w:color="auto" w:fill="C6EFCE"/>
            <w:tcMar>
              <w:left w:w="108" w:type="dxa"/>
              <w:right w:w="108" w:type="dxa"/>
            </w:tcMar>
            <w:vAlign w:val="center"/>
          </w:tcPr>
          <w:p w14:paraId="44DD6BD7" w14:textId="77777777" w:rsidR="0057163C" w:rsidRPr="00170422" w:rsidRDefault="00F37BF9">
            <w:pPr>
              <w:pStyle w:val="P68B1DB1-Normal121"/>
              <w:spacing w:after="0" w:line="240" w:lineRule="auto"/>
              <w:jc w:val="center"/>
              <w:rPr>
                <w:noProof/>
                <w:lang w:val="de-DE"/>
              </w:rPr>
            </w:pPr>
            <w:r w:rsidRPr="00170422">
              <w:rPr>
                <w:noProof/>
                <w:lang w:val="de-DE"/>
              </w:rPr>
              <w:t>M3C1-21</w:t>
            </w:r>
          </w:p>
        </w:tc>
        <w:tc>
          <w:tcPr>
            <w:tcW w:w="2097" w:type="dxa"/>
            <w:shd w:val="clear" w:color="auto" w:fill="C6EFCE"/>
            <w:tcMar>
              <w:left w:w="108" w:type="dxa"/>
              <w:right w:w="108" w:type="dxa"/>
            </w:tcMar>
            <w:vAlign w:val="center"/>
          </w:tcPr>
          <w:p w14:paraId="7D7EE1E1" w14:textId="77777777" w:rsidR="0057163C" w:rsidRPr="00170422" w:rsidRDefault="00F37BF9">
            <w:pPr>
              <w:pStyle w:val="P68B1DB1-Normal121"/>
              <w:spacing w:after="0" w:line="240" w:lineRule="auto"/>
              <w:rPr>
                <w:noProof/>
                <w:lang w:val="de-DE"/>
              </w:rPr>
            </w:pPr>
            <w:r w:rsidRPr="00170422">
              <w:rPr>
                <w:noProof/>
                <w:lang w:val="de-DE"/>
              </w:rPr>
              <w:t>Reform 2.1 – Umsetzung der jüngsten „Vereinfachungsverordnung“ (umgesetzt in das Gesetz Nr. 120 vom 11. September 2020) durch Erlass eines Dekr</w:t>
            </w:r>
            <w:r w:rsidRPr="00170422">
              <w:rPr>
                <w:noProof/>
                <w:lang w:val="de-DE"/>
              </w:rPr>
              <w:t>ets über die Annahme von „Leitlinien für die Einstufung und das Risikomanagement, die Bewertung der Sicherheit und die Überwachung bestehender Brücken“</w:t>
            </w:r>
          </w:p>
        </w:tc>
        <w:tc>
          <w:tcPr>
            <w:tcW w:w="2268" w:type="dxa"/>
            <w:shd w:val="clear" w:color="auto" w:fill="C6EFCE"/>
            <w:tcMar>
              <w:left w:w="108" w:type="dxa"/>
              <w:right w:w="108" w:type="dxa"/>
            </w:tcMar>
            <w:vAlign w:val="center"/>
          </w:tcPr>
          <w:p w14:paraId="07AC7F9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7FA740EE" w14:textId="77777777" w:rsidR="0057163C" w:rsidRPr="00170422" w:rsidRDefault="00F37BF9">
            <w:pPr>
              <w:pStyle w:val="P68B1DB1-Normal121"/>
              <w:spacing w:after="0" w:line="240" w:lineRule="auto"/>
              <w:rPr>
                <w:noProof/>
                <w:lang w:val="de-DE"/>
              </w:rPr>
            </w:pPr>
            <w:r w:rsidRPr="00170422">
              <w:rPr>
                <w:noProof/>
                <w:lang w:val="de-DE"/>
              </w:rPr>
              <w:t>Inkrafttreten der „Leitlinien für die Klassifizierung und das Risikomanagement, die Bewertun</w:t>
            </w:r>
            <w:r w:rsidRPr="00170422">
              <w:rPr>
                <w:noProof/>
                <w:lang w:val="de-DE"/>
              </w:rPr>
              <w:t>g der Sicherheit und die Überwachung bestehender Brücken“</w:t>
            </w:r>
          </w:p>
        </w:tc>
      </w:tr>
      <w:tr w:rsidR="0057163C" w:rsidRPr="00170422" w14:paraId="6272CF69" w14:textId="77777777" w:rsidTr="001C6E23">
        <w:trPr>
          <w:trHeight w:val="300"/>
        </w:trPr>
        <w:tc>
          <w:tcPr>
            <w:tcW w:w="1435" w:type="dxa"/>
            <w:shd w:val="clear" w:color="auto" w:fill="C6EFCE"/>
            <w:tcMar>
              <w:left w:w="108" w:type="dxa"/>
              <w:right w:w="108" w:type="dxa"/>
            </w:tcMar>
            <w:vAlign w:val="center"/>
          </w:tcPr>
          <w:p w14:paraId="2925B2FE" w14:textId="77777777" w:rsidR="0057163C" w:rsidRPr="00170422" w:rsidRDefault="00F37BF9">
            <w:pPr>
              <w:pStyle w:val="P68B1DB1-Normal121"/>
              <w:spacing w:after="0" w:line="240" w:lineRule="auto"/>
              <w:jc w:val="center"/>
              <w:rPr>
                <w:noProof/>
                <w:lang w:val="de-DE"/>
              </w:rPr>
            </w:pPr>
            <w:r w:rsidRPr="00170422">
              <w:rPr>
                <w:noProof/>
                <w:lang w:val="de-DE"/>
              </w:rPr>
              <w:t>M3C1-22</w:t>
            </w:r>
          </w:p>
        </w:tc>
        <w:tc>
          <w:tcPr>
            <w:tcW w:w="2097" w:type="dxa"/>
            <w:shd w:val="clear" w:color="auto" w:fill="C6EFCE"/>
            <w:tcMar>
              <w:left w:w="108" w:type="dxa"/>
              <w:right w:w="108" w:type="dxa"/>
            </w:tcMar>
            <w:vAlign w:val="center"/>
          </w:tcPr>
          <w:p w14:paraId="2650850E" w14:textId="77777777" w:rsidR="0057163C" w:rsidRPr="00170422" w:rsidRDefault="00F37BF9">
            <w:pPr>
              <w:pStyle w:val="P68B1DB1-Normal121"/>
              <w:spacing w:after="0" w:line="240" w:lineRule="auto"/>
              <w:rPr>
                <w:noProof/>
                <w:lang w:val="de-DE"/>
              </w:rPr>
            </w:pPr>
            <w:r w:rsidRPr="00170422">
              <w:rPr>
                <w:noProof/>
                <w:lang w:val="de-DE"/>
              </w:rPr>
              <w:t>Reform 2.2 – Übertragung des Eigentums an den Brücken und Viadukten von den Straßen der unteren Ebene auf die höherrangigen Straßen</w:t>
            </w:r>
          </w:p>
        </w:tc>
        <w:tc>
          <w:tcPr>
            <w:tcW w:w="2268" w:type="dxa"/>
            <w:shd w:val="clear" w:color="auto" w:fill="C6EFCE"/>
            <w:tcMar>
              <w:left w:w="108" w:type="dxa"/>
              <w:right w:w="108" w:type="dxa"/>
            </w:tcMar>
            <w:vAlign w:val="center"/>
          </w:tcPr>
          <w:p w14:paraId="7A0D283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5CC1C9E" w14:textId="77777777" w:rsidR="0057163C" w:rsidRPr="00170422" w:rsidRDefault="00F37BF9">
            <w:pPr>
              <w:pStyle w:val="P68B1DB1-Normal121"/>
              <w:spacing w:after="0" w:line="240" w:lineRule="auto"/>
              <w:rPr>
                <w:noProof/>
                <w:lang w:val="de-DE"/>
              </w:rPr>
            </w:pPr>
            <w:r w:rsidRPr="00170422">
              <w:rPr>
                <w:noProof/>
                <w:lang w:val="de-DE"/>
              </w:rPr>
              <w:t xml:space="preserve">Übertragung des Eigentums an den Brücken, </w:t>
            </w:r>
            <w:r w:rsidRPr="00170422">
              <w:rPr>
                <w:noProof/>
                <w:lang w:val="de-DE"/>
              </w:rPr>
              <w:t>Viadukten und Überfahrten von den unteren Ranking-Straßen auf die höherrangigen Straßen (Straßen und Hauptverkehrsstraßen)</w:t>
            </w:r>
          </w:p>
        </w:tc>
      </w:tr>
      <w:tr w:rsidR="0057163C" w:rsidRPr="00170422" w14:paraId="63D4F54C" w14:textId="77777777" w:rsidTr="001C6E23">
        <w:trPr>
          <w:trHeight w:val="300"/>
        </w:trPr>
        <w:tc>
          <w:tcPr>
            <w:tcW w:w="1435" w:type="dxa"/>
            <w:shd w:val="clear" w:color="auto" w:fill="C6EFCE"/>
            <w:tcMar>
              <w:left w:w="108" w:type="dxa"/>
              <w:right w:w="108" w:type="dxa"/>
            </w:tcMar>
            <w:vAlign w:val="center"/>
          </w:tcPr>
          <w:p w14:paraId="698BCC34" w14:textId="77777777" w:rsidR="0057163C" w:rsidRPr="00170422" w:rsidRDefault="00F37BF9">
            <w:pPr>
              <w:pStyle w:val="P68B1DB1-Normal121"/>
              <w:spacing w:after="0" w:line="240" w:lineRule="auto"/>
              <w:jc w:val="center"/>
              <w:rPr>
                <w:noProof/>
                <w:lang w:val="de-DE"/>
              </w:rPr>
            </w:pPr>
            <w:r w:rsidRPr="00170422">
              <w:rPr>
                <w:noProof/>
                <w:lang w:val="de-DE"/>
              </w:rPr>
              <w:t>M4C1-27</w:t>
            </w:r>
          </w:p>
        </w:tc>
        <w:tc>
          <w:tcPr>
            <w:tcW w:w="2097" w:type="dxa"/>
            <w:shd w:val="clear" w:color="auto" w:fill="C6EFCE"/>
            <w:tcMar>
              <w:left w:w="108" w:type="dxa"/>
              <w:right w:w="108" w:type="dxa"/>
            </w:tcMar>
            <w:vAlign w:val="center"/>
          </w:tcPr>
          <w:p w14:paraId="3325D7A9" w14:textId="77777777" w:rsidR="0057163C" w:rsidRPr="00170422" w:rsidRDefault="00F37BF9">
            <w:pPr>
              <w:pStyle w:val="P68B1DB1-Normal121"/>
              <w:spacing w:after="0" w:line="240" w:lineRule="auto"/>
              <w:rPr>
                <w:noProof/>
                <w:lang w:val="de-DE"/>
              </w:rPr>
            </w:pPr>
            <w:r w:rsidRPr="00170422">
              <w:rPr>
                <w:noProof/>
                <w:lang w:val="de-DE"/>
              </w:rPr>
              <w:t>Reform 1.7: Reform der Regelung für den Studentenwohnsitz und Investitionen in den Studentenwohnsitz</w:t>
            </w:r>
          </w:p>
        </w:tc>
        <w:tc>
          <w:tcPr>
            <w:tcW w:w="2268" w:type="dxa"/>
            <w:shd w:val="clear" w:color="auto" w:fill="C6EFCE"/>
            <w:tcMar>
              <w:left w:w="108" w:type="dxa"/>
              <w:right w:w="108" w:type="dxa"/>
            </w:tcMar>
            <w:vAlign w:val="center"/>
          </w:tcPr>
          <w:p w14:paraId="4DCF300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2072813E" w14:textId="77777777" w:rsidR="0057163C" w:rsidRPr="00170422" w:rsidRDefault="00F37BF9">
            <w:pPr>
              <w:pStyle w:val="P68B1DB1-Normal121"/>
              <w:spacing w:after="0" w:line="240" w:lineRule="auto"/>
              <w:rPr>
                <w:noProof/>
                <w:lang w:val="de-DE"/>
              </w:rPr>
            </w:pPr>
            <w:r w:rsidRPr="00170422">
              <w:rPr>
                <w:noProof/>
                <w:lang w:val="de-DE"/>
              </w:rPr>
              <w:t>Inkrafttret</w:t>
            </w:r>
            <w:r w:rsidRPr="00170422">
              <w:rPr>
                <w:noProof/>
                <w:lang w:val="de-DE"/>
              </w:rPr>
              <w:t>en von Rechtsvorschriften zur Änderung der geltenden Vorschriften für Studentenwohnungen.</w:t>
            </w:r>
          </w:p>
        </w:tc>
      </w:tr>
      <w:tr w:rsidR="0057163C" w:rsidRPr="00170422" w14:paraId="38775009" w14:textId="77777777" w:rsidTr="001C6E23">
        <w:trPr>
          <w:trHeight w:val="300"/>
        </w:trPr>
        <w:tc>
          <w:tcPr>
            <w:tcW w:w="1435" w:type="dxa"/>
            <w:shd w:val="clear" w:color="auto" w:fill="C6EFCE"/>
            <w:tcMar>
              <w:left w:w="108" w:type="dxa"/>
              <w:right w:w="108" w:type="dxa"/>
            </w:tcMar>
            <w:vAlign w:val="center"/>
          </w:tcPr>
          <w:p w14:paraId="7BD35346" w14:textId="77777777" w:rsidR="0057163C" w:rsidRPr="00170422" w:rsidRDefault="00F37BF9">
            <w:pPr>
              <w:pStyle w:val="P68B1DB1-Normal121"/>
              <w:spacing w:after="0" w:line="240" w:lineRule="auto"/>
              <w:jc w:val="center"/>
              <w:rPr>
                <w:noProof/>
                <w:lang w:val="de-DE"/>
              </w:rPr>
            </w:pPr>
            <w:r w:rsidRPr="00170422">
              <w:rPr>
                <w:noProof/>
                <w:lang w:val="de-DE"/>
              </w:rPr>
              <w:t>M5C3-10</w:t>
            </w:r>
          </w:p>
        </w:tc>
        <w:tc>
          <w:tcPr>
            <w:tcW w:w="2097" w:type="dxa"/>
            <w:shd w:val="clear" w:color="auto" w:fill="C6EFCE"/>
            <w:tcMar>
              <w:left w:w="108" w:type="dxa"/>
              <w:right w:w="108" w:type="dxa"/>
            </w:tcMar>
            <w:vAlign w:val="center"/>
          </w:tcPr>
          <w:p w14:paraId="752EAF7E" w14:textId="77777777" w:rsidR="0057163C" w:rsidRPr="00170422" w:rsidRDefault="00F37BF9">
            <w:pPr>
              <w:pStyle w:val="P68B1DB1-Normal121"/>
              <w:spacing w:after="0" w:line="240" w:lineRule="auto"/>
              <w:rPr>
                <w:noProof/>
                <w:lang w:val="de-DE"/>
              </w:rPr>
            </w:pPr>
            <w:r w:rsidRPr="00170422">
              <w:rPr>
                <w:noProof/>
                <w:lang w:val="de-DE"/>
              </w:rPr>
              <w:t>Reform1: Vereinfachung der Verfahren und Stärkung des Kommissars in den Sonderwirtschaftszonen</w:t>
            </w:r>
          </w:p>
        </w:tc>
        <w:tc>
          <w:tcPr>
            <w:tcW w:w="2268" w:type="dxa"/>
            <w:shd w:val="clear" w:color="auto" w:fill="C6EFCE"/>
            <w:tcMar>
              <w:left w:w="108" w:type="dxa"/>
              <w:right w:w="108" w:type="dxa"/>
            </w:tcMar>
            <w:vAlign w:val="center"/>
          </w:tcPr>
          <w:p w14:paraId="1B0F79C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3BBF644A" w14:textId="77777777" w:rsidR="0057163C" w:rsidRPr="00170422" w:rsidRDefault="00F37BF9">
            <w:pPr>
              <w:pStyle w:val="P68B1DB1-Normal121"/>
              <w:spacing w:after="0" w:line="240" w:lineRule="auto"/>
              <w:rPr>
                <w:noProof/>
                <w:lang w:val="de-DE"/>
              </w:rPr>
            </w:pPr>
            <w:r w:rsidRPr="00170422">
              <w:rPr>
                <w:noProof/>
                <w:lang w:val="de-DE"/>
              </w:rPr>
              <w:t>Inkrafttreten der Verordnung, um lediglich die Ver</w:t>
            </w:r>
            <w:r w:rsidRPr="00170422">
              <w:rPr>
                <w:noProof/>
                <w:lang w:val="de-DE"/>
              </w:rPr>
              <w:t>fahren zu regeln und die Rolle des Kommissars in den Sonderwirtschaftszonen zu stärken</w:t>
            </w:r>
          </w:p>
        </w:tc>
      </w:tr>
      <w:tr w:rsidR="0057163C" w:rsidRPr="00170422" w14:paraId="1D4DE726" w14:textId="77777777" w:rsidTr="001C6E23">
        <w:trPr>
          <w:trHeight w:val="300"/>
        </w:trPr>
        <w:tc>
          <w:tcPr>
            <w:tcW w:w="1435" w:type="dxa"/>
            <w:shd w:val="clear" w:color="auto" w:fill="C6EFCE"/>
            <w:tcMar>
              <w:left w:w="108" w:type="dxa"/>
              <w:right w:w="108" w:type="dxa"/>
            </w:tcMar>
            <w:vAlign w:val="center"/>
          </w:tcPr>
          <w:p w14:paraId="54464B5A" w14:textId="77777777" w:rsidR="0057163C" w:rsidRPr="00170422" w:rsidRDefault="00F37BF9">
            <w:pPr>
              <w:pStyle w:val="P68B1DB1-Normal121"/>
              <w:spacing w:after="0" w:line="240" w:lineRule="auto"/>
              <w:jc w:val="center"/>
              <w:rPr>
                <w:noProof/>
                <w:lang w:val="de-DE"/>
              </w:rPr>
            </w:pPr>
            <w:r w:rsidRPr="00170422">
              <w:rPr>
                <w:noProof/>
                <w:lang w:val="de-DE"/>
              </w:rPr>
              <w:t>M5C3-11</w:t>
            </w:r>
          </w:p>
        </w:tc>
        <w:tc>
          <w:tcPr>
            <w:tcW w:w="2097" w:type="dxa"/>
            <w:shd w:val="clear" w:color="auto" w:fill="C6EFCE"/>
            <w:tcMar>
              <w:left w:w="108" w:type="dxa"/>
              <w:right w:w="108" w:type="dxa"/>
            </w:tcMar>
            <w:vAlign w:val="center"/>
          </w:tcPr>
          <w:p w14:paraId="27C58C9F" w14:textId="77777777" w:rsidR="0057163C" w:rsidRPr="00170422" w:rsidRDefault="00F37BF9">
            <w:pPr>
              <w:pStyle w:val="P68B1DB1-Normal121"/>
              <w:spacing w:after="0" w:line="240" w:lineRule="auto"/>
              <w:rPr>
                <w:noProof/>
                <w:lang w:val="de-DE"/>
              </w:rPr>
            </w:pPr>
            <w:r w:rsidRPr="00170422">
              <w:rPr>
                <w:noProof/>
                <w:lang w:val="de-DE"/>
              </w:rPr>
              <w:t xml:space="preserve">Investition 1.4: Infrastrukturinvestitionen für die Sonderwirtschaftszone </w:t>
            </w:r>
          </w:p>
        </w:tc>
        <w:tc>
          <w:tcPr>
            <w:tcW w:w="2268" w:type="dxa"/>
            <w:shd w:val="clear" w:color="auto" w:fill="C6EFCE"/>
            <w:tcMar>
              <w:left w:w="108" w:type="dxa"/>
              <w:right w:w="108" w:type="dxa"/>
            </w:tcMar>
            <w:vAlign w:val="center"/>
          </w:tcPr>
          <w:p w14:paraId="60B069D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AD8E173" w14:textId="77777777" w:rsidR="0057163C" w:rsidRPr="00170422" w:rsidRDefault="00F37BF9">
            <w:pPr>
              <w:pStyle w:val="P68B1DB1-Normal121"/>
              <w:spacing w:after="0" w:line="240" w:lineRule="auto"/>
              <w:rPr>
                <w:noProof/>
                <w:lang w:val="de-DE"/>
              </w:rPr>
            </w:pPr>
            <w:r w:rsidRPr="00170422">
              <w:rPr>
                <w:noProof/>
                <w:lang w:val="de-DE"/>
              </w:rPr>
              <w:t xml:space="preserve">Inkrafttreten von Dekreten des Ministeriums zur Genehmigung von </w:t>
            </w:r>
            <w:r w:rsidRPr="00170422">
              <w:rPr>
                <w:noProof/>
                <w:lang w:val="de-DE"/>
              </w:rPr>
              <w:t>Einsatzplänen für alle acht Sonderwirtschaftszonen</w:t>
            </w:r>
          </w:p>
        </w:tc>
      </w:tr>
      <w:tr w:rsidR="0057163C" w:rsidRPr="00170422" w14:paraId="6E8C6D02" w14:textId="77777777" w:rsidTr="001C6E23">
        <w:trPr>
          <w:trHeight w:val="300"/>
        </w:trPr>
        <w:tc>
          <w:tcPr>
            <w:tcW w:w="1435" w:type="dxa"/>
            <w:shd w:val="clear" w:color="auto" w:fill="C6EFCE"/>
            <w:tcMar>
              <w:left w:w="108" w:type="dxa"/>
              <w:right w:w="108" w:type="dxa"/>
            </w:tcMar>
            <w:vAlign w:val="center"/>
          </w:tcPr>
          <w:p w14:paraId="50A965B6" w14:textId="77777777" w:rsidR="0057163C" w:rsidRPr="00170422" w:rsidRDefault="00F37BF9">
            <w:pPr>
              <w:pStyle w:val="P68B1DB1-Normal121"/>
              <w:spacing w:after="0" w:line="240" w:lineRule="auto"/>
              <w:jc w:val="center"/>
              <w:rPr>
                <w:noProof/>
                <w:lang w:val="de-DE"/>
              </w:rPr>
            </w:pPr>
            <w:r w:rsidRPr="00170422">
              <w:rPr>
                <w:noProof/>
                <w:lang w:val="de-DE"/>
              </w:rPr>
              <w:t>M6C2-4</w:t>
            </w:r>
          </w:p>
        </w:tc>
        <w:tc>
          <w:tcPr>
            <w:tcW w:w="2097" w:type="dxa"/>
            <w:shd w:val="clear" w:color="auto" w:fill="C6EFCE"/>
            <w:tcMar>
              <w:left w:w="108" w:type="dxa"/>
              <w:right w:w="108" w:type="dxa"/>
            </w:tcMar>
            <w:vAlign w:val="center"/>
          </w:tcPr>
          <w:p w14:paraId="0DAFC6D8" w14:textId="77777777" w:rsidR="0057163C" w:rsidRPr="00170422" w:rsidRDefault="00F37BF9">
            <w:pPr>
              <w:pStyle w:val="P68B1DB1-Normal123"/>
              <w:spacing w:after="0" w:line="240" w:lineRule="auto"/>
              <w:rPr>
                <w:noProof/>
                <w:lang w:val="de-DE"/>
              </w:rPr>
            </w:pPr>
            <w:r w:rsidRPr="00170422">
              <w:rPr>
                <w:noProof/>
                <w:lang w:val="de-DE"/>
              </w:rPr>
              <w:t>Investition 1.1: Digitale Aktualisierung der technischen Ausrüstung von Krankenhäusern</w:t>
            </w:r>
          </w:p>
        </w:tc>
        <w:tc>
          <w:tcPr>
            <w:tcW w:w="2268" w:type="dxa"/>
            <w:shd w:val="clear" w:color="auto" w:fill="C6EFCE"/>
            <w:tcMar>
              <w:left w:w="108" w:type="dxa"/>
              <w:right w:w="108" w:type="dxa"/>
            </w:tcMar>
            <w:vAlign w:val="center"/>
          </w:tcPr>
          <w:p w14:paraId="2B6C0A23" w14:textId="77777777" w:rsidR="0057163C" w:rsidRPr="00170422" w:rsidRDefault="00F37BF9">
            <w:pPr>
              <w:pStyle w:val="P68B1DB1-Normal123"/>
              <w:spacing w:after="0" w:line="240" w:lineRule="auto"/>
              <w:jc w:val="center"/>
              <w:rPr>
                <w:noProof/>
                <w:lang w:val="de-DE"/>
              </w:rPr>
            </w:pPr>
            <w:r w:rsidRPr="00170422">
              <w:rPr>
                <w:noProof/>
                <w:lang w:val="de-DE"/>
              </w:rPr>
              <w:t>Meilenstein</w:t>
            </w:r>
          </w:p>
        </w:tc>
        <w:tc>
          <w:tcPr>
            <w:tcW w:w="3559" w:type="dxa"/>
            <w:shd w:val="clear" w:color="auto" w:fill="C6EFCE"/>
            <w:tcMar>
              <w:left w:w="108" w:type="dxa"/>
              <w:right w:w="108" w:type="dxa"/>
            </w:tcMar>
            <w:vAlign w:val="center"/>
          </w:tcPr>
          <w:p w14:paraId="6ACDA6FF" w14:textId="77777777" w:rsidR="0057163C" w:rsidRPr="00170422" w:rsidRDefault="00F37BF9">
            <w:pPr>
              <w:pStyle w:val="P68B1DB1-Normal123"/>
              <w:spacing w:after="0" w:line="240" w:lineRule="auto"/>
              <w:rPr>
                <w:noProof/>
                <w:lang w:val="de-DE"/>
              </w:rPr>
            </w:pPr>
            <w:r w:rsidRPr="00170422">
              <w:rPr>
                <w:noProof/>
                <w:lang w:val="de-DE"/>
              </w:rPr>
              <w:t>Umstrukturierungsplan genehmigt vom Gesundheitsministerium/Italienischen Regionen</w:t>
            </w:r>
          </w:p>
        </w:tc>
      </w:tr>
      <w:tr w:rsidR="0057163C" w:rsidRPr="00170422" w14:paraId="6308DF5F" w14:textId="77777777" w:rsidTr="001C6E23">
        <w:trPr>
          <w:trHeight w:val="300"/>
        </w:trPr>
        <w:tc>
          <w:tcPr>
            <w:tcW w:w="1435" w:type="dxa"/>
            <w:shd w:val="clear" w:color="auto" w:fill="C6EFCE"/>
            <w:tcMar>
              <w:left w:w="108" w:type="dxa"/>
              <w:right w:w="108" w:type="dxa"/>
            </w:tcMar>
            <w:vAlign w:val="center"/>
          </w:tcPr>
          <w:p w14:paraId="1C3EE6FB"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097" w:type="dxa"/>
            <w:shd w:val="clear" w:color="auto" w:fill="C6EFCE"/>
            <w:tcMar>
              <w:left w:w="108" w:type="dxa"/>
              <w:right w:w="108" w:type="dxa"/>
            </w:tcMar>
            <w:vAlign w:val="center"/>
          </w:tcPr>
          <w:p w14:paraId="342FEB66"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268" w:type="dxa"/>
            <w:shd w:val="clear" w:color="auto" w:fill="C6EFCE"/>
            <w:tcMar>
              <w:left w:w="108" w:type="dxa"/>
              <w:right w:w="108" w:type="dxa"/>
            </w:tcMar>
            <w:vAlign w:val="center"/>
          </w:tcPr>
          <w:p w14:paraId="2D667515"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9" w:type="dxa"/>
            <w:shd w:val="clear" w:color="auto" w:fill="C6EFCE"/>
            <w:tcMar>
              <w:left w:w="108" w:type="dxa"/>
              <w:right w:w="108" w:type="dxa"/>
            </w:tcMar>
            <w:vAlign w:val="center"/>
          </w:tcPr>
          <w:p w14:paraId="4EA675FA"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12643678161 EUR</w:t>
            </w:r>
            <w:r w:rsidRPr="00170422">
              <w:rPr>
                <w:noProof/>
                <w:sz w:val="23"/>
                <w:szCs w:val="23"/>
                <w:lang w:val="de-DE"/>
              </w:rPr>
              <w:t xml:space="preserve">  </w:t>
            </w:r>
          </w:p>
        </w:tc>
      </w:tr>
    </w:tbl>
    <w:p w14:paraId="666E1A66"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28F7A18F" w14:textId="77777777" w:rsidR="0057163C" w:rsidRPr="00170422" w:rsidRDefault="00F37BF9">
      <w:pPr>
        <w:pStyle w:val="P68B1DB1-Normal8"/>
        <w:rPr>
          <w:noProof/>
          <w:lang w:val="de-DE"/>
        </w:rPr>
      </w:pPr>
      <w:r w:rsidRPr="00170422">
        <w:rPr>
          <w:noProof/>
          <w:lang w:val="de-DE"/>
        </w:rPr>
        <w:br w:type="page"/>
      </w:r>
    </w:p>
    <w:p w14:paraId="3EFDB102"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Zweite Tranche (Unterstützung in Form eines Darlehens):</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0"/>
        <w:gridCol w:w="2553"/>
        <w:gridCol w:w="2047"/>
        <w:gridCol w:w="3558"/>
      </w:tblGrid>
      <w:tr w:rsidR="0057163C" w:rsidRPr="00170422" w14:paraId="6CA67CB6" w14:textId="77777777" w:rsidTr="001C6E23">
        <w:trPr>
          <w:trHeight w:val="900"/>
          <w:tblHeader/>
        </w:trPr>
        <w:tc>
          <w:tcPr>
            <w:tcW w:w="1200" w:type="dxa"/>
            <w:vMerge w:val="restart"/>
            <w:shd w:val="clear" w:color="auto" w:fill="BDD7EE"/>
            <w:tcMar>
              <w:left w:w="108" w:type="dxa"/>
              <w:right w:w="108" w:type="dxa"/>
            </w:tcMar>
            <w:vAlign w:val="center"/>
          </w:tcPr>
          <w:p w14:paraId="257C6D33"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553" w:type="dxa"/>
            <w:vMerge w:val="restart"/>
            <w:shd w:val="clear" w:color="auto" w:fill="BDD7EE"/>
            <w:tcMar>
              <w:left w:w="108" w:type="dxa"/>
              <w:right w:w="108" w:type="dxa"/>
            </w:tcMar>
            <w:vAlign w:val="center"/>
          </w:tcPr>
          <w:p w14:paraId="3175FE57"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047" w:type="dxa"/>
            <w:vMerge w:val="restart"/>
            <w:shd w:val="clear" w:color="auto" w:fill="BDD7EE"/>
            <w:tcMar>
              <w:left w:w="108" w:type="dxa"/>
              <w:right w:w="108" w:type="dxa"/>
            </w:tcMar>
            <w:vAlign w:val="center"/>
          </w:tcPr>
          <w:p w14:paraId="16AB2E05"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8" w:type="dxa"/>
            <w:vMerge w:val="restart"/>
            <w:shd w:val="clear" w:color="auto" w:fill="BDD7EE"/>
            <w:tcMar>
              <w:left w:w="108" w:type="dxa"/>
              <w:right w:w="108" w:type="dxa"/>
            </w:tcMar>
            <w:vAlign w:val="center"/>
          </w:tcPr>
          <w:p w14:paraId="40112433"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68CD4644" w14:textId="77777777" w:rsidTr="001C6E23">
        <w:trPr>
          <w:trHeight w:val="510"/>
        </w:trPr>
        <w:tc>
          <w:tcPr>
            <w:tcW w:w="1200" w:type="dxa"/>
            <w:vMerge/>
            <w:vAlign w:val="center"/>
          </w:tcPr>
          <w:p w14:paraId="4A0B3732"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553" w:type="dxa"/>
            <w:vMerge/>
            <w:vAlign w:val="center"/>
          </w:tcPr>
          <w:p w14:paraId="2B51545A" w14:textId="77777777" w:rsidR="0057163C" w:rsidRPr="00170422" w:rsidRDefault="0057163C">
            <w:pPr>
              <w:spacing w:after="0" w:line="240" w:lineRule="auto"/>
              <w:rPr>
                <w:rFonts w:ascii="Times New Roman" w:eastAsia="Times New Roman" w:hAnsi="Times New Roman" w:cs="Times New Roman"/>
                <w:noProof/>
                <w:lang w:val="de-DE"/>
              </w:rPr>
            </w:pPr>
          </w:p>
        </w:tc>
        <w:tc>
          <w:tcPr>
            <w:tcW w:w="2047" w:type="dxa"/>
            <w:vMerge/>
            <w:vAlign w:val="center"/>
          </w:tcPr>
          <w:p w14:paraId="6A1DDCB4"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8" w:type="dxa"/>
            <w:vMerge/>
            <w:vAlign w:val="center"/>
          </w:tcPr>
          <w:p w14:paraId="16A8E7B2"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B1CD848" w14:textId="77777777" w:rsidTr="001C6E23">
        <w:trPr>
          <w:trHeight w:val="300"/>
        </w:trPr>
        <w:tc>
          <w:tcPr>
            <w:tcW w:w="1200" w:type="dxa"/>
            <w:shd w:val="clear" w:color="auto" w:fill="C6EFCE"/>
            <w:tcMar>
              <w:left w:w="108" w:type="dxa"/>
              <w:right w:w="108" w:type="dxa"/>
            </w:tcMar>
            <w:vAlign w:val="center"/>
          </w:tcPr>
          <w:p w14:paraId="260D9E28" w14:textId="77777777" w:rsidR="0057163C" w:rsidRPr="00170422" w:rsidRDefault="00F37BF9">
            <w:pPr>
              <w:pStyle w:val="P68B1DB1-Normal121"/>
              <w:spacing w:after="0" w:line="240" w:lineRule="auto"/>
              <w:jc w:val="center"/>
              <w:rPr>
                <w:noProof/>
                <w:lang w:val="de-DE"/>
              </w:rPr>
            </w:pPr>
            <w:r w:rsidRPr="00170422">
              <w:rPr>
                <w:noProof/>
                <w:lang w:val="de-DE"/>
              </w:rPr>
              <w:t>M1C2-28</w:t>
            </w:r>
          </w:p>
        </w:tc>
        <w:tc>
          <w:tcPr>
            <w:tcW w:w="2553" w:type="dxa"/>
            <w:shd w:val="clear" w:color="auto" w:fill="C6EFCE"/>
            <w:tcMar>
              <w:left w:w="108" w:type="dxa"/>
              <w:right w:w="108" w:type="dxa"/>
            </w:tcMar>
            <w:vAlign w:val="center"/>
          </w:tcPr>
          <w:p w14:paraId="73793D3E" w14:textId="77777777" w:rsidR="0057163C" w:rsidRPr="00170422" w:rsidRDefault="00F37BF9">
            <w:pPr>
              <w:pStyle w:val="P68B1DB1-Normal121"/>
              <w:spacing w:after="0" w:line="240" w:lineRule="auto"/>
              <w:rPr>
                <w:noProof/>
                <w:lang w:val="de-DE"/>
              </w:rPr>
            </w:pPr>
            <w:r w:rsidRPr="00170422">
              <w:rPr>
                <w:noProof/>
                <w:lang w:val="de-DE"/>
              </w:rPr>
              <w:t xml:space="preserve">Investition 5.2: Wettbewerbsfähigkeit und </w:t>
            </w:r>
            <w:r w:rsidRPr="00170422">
              <w:rPr>
                <w:noProof/>
                <w:lang w:val="de-DE"/>
              </w:rPr>
              <w:t>Widerstandsfähigkeit der Lieferketten</w:t>
            </w:r>
          </w:p>
        </w:tc>
        <w:tc>
          <w:tcPr>
            <w:tcW w:w="2047" w:type="dxa"/>
            <w:shd w:val="clear" w:color="auto" w:fill="C6EFCE"/>
            <w:tcMar>
              <w:left w:w="108" w:type="dxa"/>
              <w:right w:w="108" w:type="dxa"/>
            </w:tcMar>
            <w:vAlign w:val="center"/>
          </w:tcPr>
          <w:p w14:paraId="0D2F762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0D3742D" w14:textId="77777777" w:rsidR="0057163C" w:rsidRPr="00170422" w:rsidRDefault="00F37BF9">
            <w:pPr>
              <w:pStyle w:val="P68B1DB1-Normal121"/>
              <w:spacing w:after="0" w:line="240" w:lineRule="auto"/>
              <w:rPr>
                <w:noProof/>
                <w:lang w:val="de-DE"/>
              </w:rPr>
            </w:pPr>
            <w:r w:rsidRPr="00170422">
              <w:rPr>
                <w:noProof/>
                <w:lang w:val="de-DE"/>
              </w:rPr>
              <w:t>Inkrafttreten eines Dekrets, das die Investitionspolitik der Entwicklungsverträge umfasst</w:t>
            </w:r>
          </w:p>
        </w:tc>
      </w:tr>
      <w:tr w:rsidR="0057163C" w:rsidRPr="00170422" w14:paraId="28236E4D" w14:textId="77777777" w:rsidTr="001C6E23">
        <w:trPr>
          <w:trHeight w:val="300"/>
        </w:trPr>
        <w:tc>
          <w:tcPr>
            <w:tcW w:w="1200" w:type="dxa"/>
            <w:shd w:val="clear" w:color="auto" w:fill="C6EFCE"/>
            <w:tcMar>
              <w:left w:w="108" w:type="dxa"/>
              <w:right w:w="108" w:type="dxa"/>
            </w:tcMar>
            <w:vAlign w:val="center"/>
          </w:tcPr>
          <w:p w14:paraId="1CA23EC4" w14:textId="77777777" w:rsidR="0057163C" w:rsidRPr="00170422" w:rsidRDefault="00F37BF9">
            <w:pPr>
              <w:pStyle w:val="P68B1DB1-Normal121"/>
              <w:spacing w:after="0" w:line="240" w:lineRule="auto"/>
              <w:jc w:val="center"/>
              <w:rPr>
                <w:noProof/>
                <w:lang w:val="de-DE"/>
              </w:rPr>
            </w:pPr>
            <w:r w:rsidRPr="00170422">
              <w:rPr>
                <w:noProof/>
                <w:lang w:val="de-DE"/>
              </w:rPr>
              <w:t>M2C4-27</w:t>
            </w:r>
          </w:p>
        </w:tc>
        <w:tc>
          <w:tcPr>
            <w:tcW w:w="2553" w:type="dxa"/>
            <w:shd w:val="clear" w:color="auto" w:fill="C6EFCE"/>
            <w:tcMar>
              <w:left w:w="108" w:type="dxa"/>
              <w:right w:w="108" w:type="dxa"/>
            </w:tcMar>
            <w:vAlign w:val="center"/>
          </w:tcPr>
          <w:p w14:paraId="174E9B61" w14:textId="77777777" w:rsidR="0057163C" w:rsidRPr="00170422" w:rsidRDefault="00F37BF9">
            <w:pPr>
              <w:pStyle w:val="P68B1DB1-Normal121"/>
              <w:spacing w:after="0" w:line="240" w:lineRule="auto"/>
              <w:rPr>
                <w:noProof/>
                <w:lang w:val="de-DE"/>
              </w:rPr>
            </w:pPr>
            <w:r w:rsidRPr="00170422">
              <w:rPr>
                <w:noProof/>
                <w:lang w:val="de-DE"/>
              </w:rPr>
              <w:t xml:space="preserve">Reform 4.1. Vereinfachung der Rechtsvorschriften und Stärkung der Governance für die Durchführung von </w:t>
            </w:r>
            <w:r w:rsidRPr="00170422">
              <w:rPr>
                <w:noProof/>
                <w:lang w:val="de-DE"/>
              </w:rPr>
              <w:t>Investitionen in die Wasserversorgungsinfrastrukturen</w:t>
            </w:r>
          </w:p>
        </w:tc>
        <w:tc>
          <w:tcPr>
            <w:tcW w:w="2047" w:type="dxa"/>
            <w:shd w:val="clear" w:color="auto" w:fill="C6EFCE"/>
            <w:tcMar>
              <w:left w:w="108" w:type="dxa"/>
              <w:right w:w="108" w:type="dxa"/>
            </w:tcMar>
            <w:vAlign w:val="center"/>
          </w:tcPr>
          <w:p w14:paraId="3DAB983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AFBC78D" w14:textId="77777777" w:rsidR="0057163C" w:rsidRPr="00170422" w:rsidRDefault="00F37BF9">
            <w:pPr>
              <w:pStyle w:val="P68B1DB1-Normal121"/>
              <w:spacing w:after="0" w:line="240" w:lineRule="auto"/>
              <w:rPr>
                <w:noProof/>
                <w:lang w:val="de-DE"/>
              </w:rPr>
            </w:pPr>
            <w:r w:rsidRPr="00170422">
              <w:rPr>
                <w:noProof/>
                <w:lang w:val="de-DE"/>
              </w:rPr>
              <w:t xml:space="preserve">Inkrafttreten der Vereinfachung der Rechtsvorschriften für Maßnahmen in der Primärwasserinfrastruktur zur Sicherung der Wasserversorgung </w:t>
            </w:r>
          </w:p>
        </w:tc>
      </w:tr>
      <w:tr w:rsidR="0057163C" w:rsidRPr="00170422" w14:paraId="5766BE5B" w14:textId="77777777" w:rsidTr="001C6E23">
        <w:trPr>
          <w:trHeight w:val="300"/>
        </w:trPr>
        <w:tc>
          <w:tcPr>
            <w:tcW w:w="1200" w:type="dxa"/>
            <w:shd w:val="clear" w:color="auto" w:fill="C6EFCE"/>
            <w:tcMar>
              <w:left w:w="108" w:type="dxa"/>
              <w:right w:w="108" w:type="dxa"/>
            </w:tcMar>
            <w:vAlign w:val="center"/>
          </w:tcPr>
          <w:p w14:paraId="724B4009" w14:textId="77777777" w:rsidR="0057163C" w:rsidRPr="00170422" w:rsidRDefault="00F37BF9">
            <w:pPr>
              <w:pStyle w:val="P68B1DB1-Normal121"/>
              <w:spacing w:after="0" w:line="240" w:lineRule="auto"/>
              <w:jc w:val="center"/>
              <w:rPr>
                <w:noProof/>
                <w:lang w:val="de-DE"/>
              </w:rPr>
            </w:pPr>
            <w:r w:rsidRPr="00170422">
              <w:rPr>
                <w:noProof/>
                <w:lang w:val="de-DE"/>
              </w:rPr>
              <w:t>M5C2-11</w:t>
            </w:r>
          </w:p>
        </w:tc>
        <w:tc>
          <w:tcPr>
            <w:tcW w:w="2553" w:type="dxa"/>
            <w:shd w:val="clear" w:color="auto" w:fill="C6EFCE"/>
            <w:tcMar>
              <w:left w:w="108" w:type="dxa"/>
              <w:right w:w="108" w:type="dxa"/>
            </w:tcMar>
            <w:vAlign w:val="center"/>
          </w:tcPr>
          <w:p w14:paraId="4BE47EB9" w14:textId="77777777" w:rsidR="0057163C" w:rsidRPr="00170422" w:rsidRDefault="00F37BF9">
            <w:pPr>
              <w:pStyle w:val="P68B1DB1-Normal121"/>
              <w:spacing w:after="0" w:line="240" w:lineRule="auto"/>
              <w:rPr>
                <w:noProof/>
                <w:lang w:val="de-DE"/>
              </w:rPr>
            </w:pPr>
            <w:r w:rsidRPr="00170422">
              <w:rPr>
                <w:noProof/>
                <w:lang w:val="de-DE"/>
              </w:rPr>
              <w:t>Investition 4 – Investitionen in Stadterneu</w:t>
            </w:r>
            <w:r w:rsidRPr="00170422">
              <w:rPr>
                <w:noProof/>
                <w:lang w:val="de-DE"/>
              </w:rPr>
              <w:t>erungsprojekte zur Verringerung von Marginalisierung und sozialer Degradation</w:t>
            </w:r>
          </w:p>
        </w:tc>
        <w:tc>
          <w:tcPr>
            <w:tcW w:w="2047" w:type="dxa"/>
            <w:shd w:val="clear" w:color="auto" w:fill="C6EFCE"/>
            <w:tcMar>
              <w:left w:w="108" w:type="dxa"/>
              <w:right w:w="108" w:type="dxa"/>
            </w:tcMar>
            <w:vAlign w:val="center"/>
          </w:tcPr>
          <w:p w14:paraId="17DE56F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7BA76A7" w14:textId="77777777" w:rsidR="0057163C" w:rsidRPr="00170422" w:rsidRDefault="00F37BF9">
            <w:pPr>
              <w:pStyle w:val="P68B1DB1-Normal121"/>
              <w:spacing w:after="0" w:line="240" w:lineRule="auto"/>
              <w:rPr>
                <w:noProof/>
                <w:lang w:val="de-DE"/>
              </w:rPr>
            </w:pPr>
            <w:r w:rsidRPr="00170422">
              <w:rPr>
                <w:noProof/>
                <w:lang w:val="de-DE"/>
              </w:rPr>
              <w:t xml:space="preserve">Vergabe aller öffentlichen Aufträge für Investitionen in die Stadterneuerung zur Verringerung von Marginalisierung und sozialer Degradation mit Projekten im Einklang </w:t>
            </w:r>
            <w:r w:rsidRPr="00170422">
              <w:rPr>
                <w:noProof/>
                <w:lang w:val="de-DE"/>
              </w:rPr>
              <w:t>mit den Zielen der Aufbau- und Resilienzfazilität, einschließlich des Grundsatzes der Vermeidung erheblicher Beeinträchtigungen</w:t>
            </w:r>
          </w:p>
        </w:tc>
      </w:tr>
      <w:tr w:rsidR="0057163C" w:rsidRPr="00170422" w14:paraId="28F1458C" w14:textId="77777777" w:rsidTr="001C6E23">
        <w:trPr>
          <w:trHeight w:val="300"/>
        </w:trPr>
        <w:tc>
          <w:tcPr>
            <w:tcW w:w="1200" w:type="dxa"/>
            <w:shd w:val="clear" w:color="auto" w:fill="C6EFCE"/>
            <w:tcMar>
              <w:left w:w="108" w:type="dxa"/>
              <w:right w:w="108" w:type="dxa"/>
            </w:tcMar>
            <w:vAlign w:val="center"/>
          </w:tcPr>
          <w:p w14:paraId="1BA19329" w14:textId="77777777" w:rsidR="0057163C" w:rsidRPr="00170422" w:rsidRDefault="00F37BF9">
            <w:pPr>
              <w:pStyle w:val="P68B1DB1-Normal121"/>
              <w:spacing w:after="0" w:line="240" w:lineRule="auto"/>
              <w:jc w:val="center"/>
              <w:rPr>
                <w:noProof/>
                <w:lang w:val="de-DE"/>
              </w:rPr>
            </w:pPr>
            <w:r w:rsidRPr="00170422">
              <w:rPr>
                <w:noProof/>
                <w:lang w:val="de-DE"/>
              </w:rPr>
              <w:t>M5C2-15</w:t>
            </w:r>
          </w:p>
        </w:tc>
        <w:tc>
          <w:tcPr>
            <w:tcW w:w="2553" w:type="dxa"/>
            <w:shd w:val="clear" w:color="auto" w:fill="C6EFCE"/>
            <w:tcMar>
              <w:left w:w="108" w:type="dxa"/>
              <w:right w:w="108" w:type="dxa"/>
            </w:tcMar>
            <w:vAlign w:val="center"/>
          </w:tcPr>
          <w:p w14:paraId="2097472A" w14:textId="77777777" w:rsidR="0057163C" w:rsidRPr="00170422" w:rsidRDefault="00F37BF9">
            <w:pPr>
              <w:pStyle w:val="P68B1DB1-Normal121"/>
              <w:spacing w:after="0" w:line="240" w:lineRule="auto"/>
              <w:rPr>
                <w:noProof/>
                <w:lang w:val="de-DE"/>
              </w:rPr>
            </w:pPr>
            <w:r w:rsidRPr="00170422">
              <w:rPr>
                <w:noProof/>
                <w:lang w:val="de-DE"/>
              </w:rPr>
              <w:t>Investition 5 – Integrierte städtische Pläne – Überwindung illegaler Siedlungen zur Bekämpfung der Ausbeutung</w:t>
            </w:r>
            <w:r w:rsidRPr="00170422">
              <w:rPr>
                <w:noProof/>
                <w:lang w:val="de-DE"/>
              </w:rPr>
              <w:t xml:space="preserve"> von Arbeitskräften in der Landwirtschaft</w:t>
            </w:r>
          </w:p>
        </w:tc>
        <w:tc>
          <w:tcPr>
            <w:tcW w:w="2047" w:type="dxa"/>
            <w:shd w:val="clear" w:color="auto" w:fill="C6EFCE"/>
            <w:tcMar>
              <w:left w:w="108" w:type="dxa"/>
              <w:right w:w="108" w:type="dxa"/>
            </w:tcMar>
            <w:vAlign w:val="center"/>
          </w:tcPr>
          <w:p w14:paraId="6691E3B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05DA7619" w14:textId="77777777" w:rsidR="0057163C" w:rsidRPr="00170422" w:rsidRDefault="00F37BF9">
            <w:pPr>
              <w:pStyle w:val="P68B1DB1-Normal121"/>
              <w:spacing w:after="0" w:line="240" w:lineRule="auto"/>
              <w:rPr>
                <w:noProof/>
                <w:lang w:val="de-DE"/>
              </w:rPr>
            </w:pPr>
            <w:r w:rsidRPr="00170422">
              <w:rPr>
                <w:noProof/>
                <w:lang w:val="de-DE"/>
              </w:rPr>
              <w:t>Das Inkrafttreten des Ministerialdekrets über die Kartierung illegaler Siedlungen wird vom „Tavolo di contrasto allo sfruttamento lavorativo in agricoltura“ angenommen, und der Ministerialerlass zur Zuw</w:t>
            </w:r>
            <w:r w:rsidRPr="00170422">
              <w:rPr>
                <w:noProof/>
                <w:lang w:val="de-DE"/>
              </w:rPr>
              <w:t>eisung von Mitteln wird angenommen.</w:t>
            </w:r>
          </w:p>
        </w:tc>
      </w:tr>
      <w:tr w:rsidR="0057163C" w:rsidRPr="00170422" w14:paraId="79662224" w14:textId="77777777" w:rsidTr="001C6E23">
        <w:trPr>
          <w:trHeight w:val="300"/>
        </w:trPr>
        <w:tc>
          <w:tcPr>
            <w:tcW w:w="1200" w:type="dxa"/>
            <w:shd w:val="clear" w:color="auto" w:fill="C6EFCE"/>
            <w:tcMar>
              <w:left w:w="108" w:type="dxa"/>
              <w:right w:w="108" w:type="dxa"/>
            </w:tcMar>
            <w:vAlign w:val="center"/>
          </w:tcPr>
          <w:p w14:paraId="4B05C2A2" w14:textId="77777777" w:rsidR="0057163C" w:rsidRPr="00170422" w:rsidRDefault="00F37BF9">
            <w:pPr>
              <w:pStyle w:val="P68B1DB1-Normal121"/>
              <w:spacing w:after="0" w:line="240" w:lineRule="auto"/>
              <w:jc w:val="center"/>
              <w:rPr>
                <w:noProof/>
                <w:lang w:val="de-DE"/>
              </w:rPr>
            </w:pPr>
            <w:r w:rsidRPr="00170422">
              <w:rPr>
                <w:noProof/>
                <w:lang w:val="de-DE"/>
              </w:rPr>
              <w:t>M5C2-19</w:t>
            </w:r>
          </w:p>
        </w:tc>
        <w:tc>
          <w:tcPr>
            <w:tcW w:w="2553" w:type="dxa"/>
            <w:shd w:val="clear" w:color="auto" w:fill="C6EFCE"/>
            <w:tcMar>
              <w:left w:w="108" w:type="dxa"/>
              <w:right w:w="108" w:type="dxa"/>
            </w:tcMar>
            <w:vAlign w:val="center"/>
          </w:tcPr>
          <w:p w14:paraId="37089239" w14:textId="77777777" w:rsidR="0057163C" w:rsidRPr="00170422" w:rsidRDefault="00F37BF9">
            <w:pPr>
              <w:pStyle w:val="P68B1DB1-Normal121"/>
              <w:spacing w:after="0" w:line="240" w:lineRule="auto"/>
              <w:rPr>
                <w:noProof/>
                <w:lang w:val="de-DE"/>
              </w:rPr>
            </w:pPr>
            <w:r w:rsidRPr="00170422">
              <w:rPr>
                <w:noProof/>
                <w:lang w:val="de-DE"/>
              </w:rPr>
              <w:t>Investition 6 – Innovationsprogramm für die Qualität des Wohnraums</w:t>
            </w:r>
          </w:p>
        </w:tc>
        <w:tc>
          <w:tcPr>
            <w:tcW w:w="2047" w:type="dxa"/>
            <w:shd w:val="clear" w:color="auto" w:fill="C6EFCE"/>
            <w:tcMar>
              <w:left w:w="108" w:type="dxa"/>
              <w:right w:w="108" w:type="dxa"/>
            </w:tcMar>
            <w:vAlign w:val="center"/>
          </w:tcPr>
          <w:p w14:paraId="5EDE789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7C4F134" w14:textId="77777777" w:rsidR="0057163C" w:rsidRPr="00170422" w:rsidRDefault="00F37BF9">
            <w:pPr>
              <w:pStyle w:val="P68B1DB1-Normal121"/>
              <w:spacing w:after="0" w:line="240" w:lineRule="auto"/>
              <w:rPr>
                <w:noProof/>
                <w:lang w:val="de-DE"/>
              </w:rPr>
            </w:pPr>
            <w:r w:rsidRPr="00170422">
              <w:rPr>
                <w:noProof/>
                <w:lang w:val="de-DE"/>
              </w:rPr>
              <w:t xml:space="preserve">Die Regionen und Autonomen Provinzen (einschließlich Gemeinden und/oder Metropolstädte in diesen Gebieten) haben die Vereinbarungen </w:t>
            </w:r>
            <w:r w:rsidRPr="00170422">
              <w:rPr>
                <w:noProof/>
                <w:lang w:val="de-DE"/>
              </w:rPr>
              <w:t>über die Neugestaltung und den Ausbau des sozialen Wohnungsbaus unterzeichnet.</w:t>
            </w:r>
          </w:p>
        </w:tc>
      </w:tr>
      <w:tr w:rsidR="0057163C" w:rsidRPr="00170422" w14:paraId="491996FE" w14:textId="77777777" w:rsidTr="001C6E23">
        <w:trPr>
          <w:trHeight w:val="300"/>
        </w:trPr>
        <w:tc>
          <w:tcPr>
            <w:tcW w:w="1200" w:type="dxa"/>
            <w:shd w:val="clear" w:color="auto" w:fill="C6EFCE"/>
            <w:tcMar>
              <w:left w:w="108" w:type="dxa"/>
              <w:right w:w="108" w:type="dxa"/>
            </w:tcMar>
            <w:vAlign w:val="center"/>
          </w:tcPr>
          <w:p w14:paraId="5E38BF81" w14:textId="77777777" w:rsidR="0057163C" w:rsidRPr="00170422" w:rsidRDefault="00F37BF9">
            <w:pPr>
              <w:pStyle w:val="P68B1DB1-Normal121"/>
              <w:spacing w:after="0" w:line="240" w:lineRule="auto"/>
              <w:jc w:val="center"/>
              <w:rPr>
                <w:noProof/>
                <w:lang w:val="de-DE"/>
              </w:rPr>
            </w:pPr>
            <w:r w:rsidRPr="00170422">
              <w:rPr>
                <w:noProof/>
                <w:lang w:val="de-DE"/>
              </w:rPr>
              <w:t>M1C2-16</w:t>
            </w:r>
          </w:p>
        </w:tc>
        <w:tc>
          <w:tcPr>
            <w:tcW w:w="2553" w:type="dxa"/>
            <w:shd w:val="clear" w:color="auto" w:fill="C6EFCE"/>
            <w:tcMar>
              <w:left w:w="108" w:type="dxa"/>
              <w:right w:w="108" w:type="dxa"/>
            </w:tcMar>
            <w:vAlign w:val="center"/>
          </w:tcPr>
          <w:p w14:paraId="42179E97" w14:textId="77777777" w:rsidR="0057163C" w:rsidRPr="00170422" w:rsidRDefault="00F37BF9">
            <w:pPr>
              <w:pStyle w:val="P68B1DB1-Normal121"/>
              <w:spacing w:after="0" w:line="240" w:lineRule="auto"/>
              <w:rPr>
                <w:noProof/>
                <w:lang w:val="de-DE"/>
              </w:rPr>
            </w:pPr>
            <w:r w:rsidRPr="00170422">
              <w:rPr>
                <w:noProof/>
                <w:lang w:val="de-DE"/>
              </w:rPr>
              <w:t>Investition 3: Wissenschaftsexzellenz. Schnelle Internetverbindungen (Ultrabreitband und 5G)</w:t>
            </w:r>
          </w:p>
        </w:tc>
        <w:tc>
          <w:tcPr>
            <w:tcW w:w="2047" w:type="dxa"/>
            <w:shd w:val="clear" w:color="auto" w:fill="C6EFCE"/>
            <w:tcMar>
              <w:left w:w="108" w:type="dxa"/>
              <w:right w:w="108" w:type="dxa"/>
            </w:tcMar>
            <w:vAlign w:val="center"/>
          </w:tcPr>
          <w:p w14:paraId="1F2BE1D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182FC65" w14:textId="77777777" w:rsidR="0057163C" w:rsidRPr="00170422" w:rsidRDefault="00F37BF9">
            <w:pPr>
              <w:pStyle w:val="P68B1DB1-Normal121"/>
              <w:spacing w:after="0" w:line="240" w:lineRule="auto"/>
              <w:rPr>
                <w:noProof/>
                <w:lang w:val="de-DE"/>
              </w:rPr>
            </w:pPr>
            <w:r w:rsidRPr="00170422">
              <w:rPr>
                <w:noProof/>
                <w:lang w:val="de-DE"/>
              </w:rPr>
              <w:t xml:space="preserve">Vergabe aller öffentlichen Aufträge für schnellere </w:t>
            </w:r>
            <w:r w:rsidRPr="00170422">
              <w:rPr>
                <w:noProof/>
                <w:lang w:val="de-DE"/>
              </w:rPr>
              <w:t>Anschlussprojekte</w:t>
            </w:r>
          </w:p>
        </w:tc>
      </w:tr>
      <w:tr w:rsidR="0057163C" w:rsidRPr="00170422" w14:paraId="10587FA3" w14:textId="77777777" w:rsidTr="001C6E23">
        <w:trPr>
          <w:trHeight w:val="300"/>
        </w:trPr>
        <w:tc>
          <w:tcPr>
            <w:tcW w:w="1200" w:type="dxa"/>
            <w:shd w:val="clear" w:color="auto" w:fill="C6EFCE"/>
            <w:tcMar>
              <w:left w:w="108" w:type="dxa"/>
              <w:right w:w="108" w:type="dxa"/>
            </w:tcMar>
            <w:vAlign w:val="center"/>
          </w:tcPr>
          <w:p w14:paraId="75C2621E" w14:textId="77777777" w:rsidR="0057163C" w:rsidRPr="00170422" w:rsidRDefault="00F37BF9">
            <w:pPr>
              <w:pStyle w:val="P68B1DB1-Normal121"/>
              <w:spacing w:after="0" w:line="240" w:lineRule="auto"/>
              <w:jc w:val="center"/>
              <w:rPr>
                <w:noProof/>
                <w:lang w:val="de-DE"/>
              </w:rPr>
            </w:pPr>
            <w:r w:rsidRPr="00170422">
              <w:rPr>
                <w:noProof/>
                <w:lang w:val="de-DE"/>
              </w:rPr>
              <w:t>M1C3-12</w:t>
            </w:r>
          </w:p>
        </w:tc>
        <w:tc>
          <w:tcPr>
            <w:tcW w:w="2553" w:type="dxa"/>
            <w:shd w:val="clear" w:color="auto" w:fill="C6EFCE"/>
            <w:tcMar>
              <w:left w:w="108" w:type="dxa"/>
              <w:right w:w="108" w:type="dxa"/>
            </w:tcMar>
            <w:vAlign w:val="center"/>
          </w:tcPr>
          <w:p w14:paraId="3D3AFC8E" w14:textId="77777777" w:rsidR="0057163C" w:rsidRPr="00170422" w:rsidRDefault="00F37BF9">
            <w:pPr>
              <w:pStyle w:val="P68B1DB1-Normal121"/>
              <w:spacing w:after="0" w:line="240" w:lineRule="auto"/>
              <w:rPr>
                <w:noProof/>
                <w:lang w:val="de-DE"/>
              </w:rPr>
            </w:pPr>
            <w:r w:rsidRPr="00170422">
              <w:rPr>
                <w:noProof/>
                <w:lang w:val="de-DE"/>
              </w:rPr>
              <w:t>Investition 2.1 – Attraktivität einer kleinen historischen Stadt</w:t>
            </w:r>
          </w:p>
        </w:tc>
        <w:tc>
          <w:tcPr>
            <w:tcW w:w="2047" w:type="dxa"/>
            <w:shd w:val="clear" w:color="auto" w:fill="C6EFCE"/>
            <w:tcMar>
              <w:left w:w="108" w:type="dxa"/>
              <w:right w:w="108" w:type="dxa"/>
            </w:tcMar>
            <w:vAlign w:val="center"/>
          </w:tcPr>
          <w:p w14:paraId="1AF79D8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8639BB0" w14:textId="77777777" w:rsidR="0057163C" w:rsidRPr="00170422" w:rsidRDefault="00F37BF9">
            <w:pPr>
              <w:pStyle w:val="P68B1DB1-Normal121"/>
              <w:spacing w:after="0" w:line="240" w:lineRule="auto"/>
              <w:rPr>
                <w:noProof/>
                <w:lang w:val="de-DE"/>
              </w:rPr>
            </w:pPr>
            <w:r w:rsidRPr="00170422">
              <w:rPr>
                <w:noProof/>
                <w:lang w:val="de-DE"/>
              </w:rPr>
              <w:t xml:space="preserve">Inkrafttreten des Dekrets des Kulturministeriums über die Zuweisung von Mitteln an Gemeinden für die Attraktivität kleiner historischer Städte  </w:t>
            </w:r>
          </w:p>
        </w:tc>
      </w:tr>
      <w:tr w:rsidR="0057163C" w:rsidRPr="00170422" w14:paraId="014AD6A7" w14:textId="77777777" w:rsidTr="001C6E23">
        <w:trPr>
          <w:trHeight w:val="300"/>
        </w:trPr>
        <w:tc>
          <w:tcPr>
            <w:tcW w:w="1200" w:type="dxa"/>
            <w:shd w:val="clear" w:color="auto" w:fill="C6EFCE"/>
            <w:tcMar>
              <w:left w:w="108" w:type="dxa"/>
              <w:right w:w="108" w:type="dxa"/>
            </w:tcMar>
            <w:vAlign w:val="center"/>
          </w:tcPr>
          <w:p w14:paraId="2E255BBE" w14:textId="77777777" w:rsidR="0057163C" w:rsidRPr="00170422" w:rsidRDefault="00F37BF9">
            <w:pPr>
              <w:pStyle w:val="P68B1DB1-Normal121"/>
              <w:spacing w:after="0" w:line="240" w:lineRule="auto"/>
              <w:jc w:val="center"/>
              <w:rPr>
                <w:noProof/>
                <w:lang w:val="de-DE"/>
              </w:rPr>
            </w:pPr>
            <w:r w:rsidRPr="00170422">
              <w:rPr>
                <w:noProof/>
                <w:lang w:val="de-DE"/>
              </w:rPr>
              <w:t>M1C3-1</w:t>
            </w:r>
            <w:r w:rsidRPr="00170422">
              <w:rPr>
                <w:noProof/>
                <w:lang w:val="de-DE"/>
              </w:rPr>
              <w:t>3</w:t>
            </w:r>
          </w:p>
        </w:tc>
        <w:tc>
          <w:tcPr>
            <w:tcW w:w="2553" w:type="dxa"/>
            <w:shd w:val="clear" w:color="auto" w:fill="C6EFCE"/>
            <w:tcMar>
              <w:left w:w="108" w:type="dxa"/>
              <w:right w:w="108" w:type="dxa"/>
            </w:tcMar>
            <w:vAlign w:val="center"/>
          </w:tcPr>
          <w:p w14:paraId="6A3D6575" w14:textId="77777777" w:rsidR="0057163C" w:rsidRPr="00170422" w:rsidRDefault="00F37BF9">
            <w:pPr>
              <w:pStyle w:val="P68B1DB1-Normal121"/>
              <w:spacing w:after="0" w:line="240" w:lineRule="auto"/>
              <w:rPr>
                <w:noProof/>
                <w:lang w:val="de-DE"/>
              </w:rPr>
            </w:pPr>
            <w:r w:rsidRPr="00170422">
              <w:rPr>
                <w:noProof/>
                <w:lang w:val="de-DE"/>
              </w:rPr>
              <w:t>Investition 2.2 – Schutz und Verbesserung der ländlichen Architektur und Landschaft</w:t>
            </w:r>
          </w:p>
        </w:tc>
        <w:tc>
          <w:tcPr>
            <w:tcW w:w="2047" w:type="dxa"/>
            <w:shd w:val="clear" w:color="auto" w:fill="C6EFCE"/>
            <w:tcMar>
              <w:left w:w="108" w:type="dxa"/>
              <w:right w:w="108" w:type="dxa"/>
            </w:tcMar>
            <w:vAlign w:val="center"/>
          </w:tcPr>
          <w:p w14:paraId="506A26C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35D6726" w14:textId="77777777" w:rsidR="0057163C" w:rsidRPr="00170422" w:rsidRDefault="00F37BF9">
            <w:pPr>
              <w:pStyle w:val="P68B1DB1-Normal121"/>
              <w:spacing w:after="0" w:line="240" w:lineRule="auto"/>
              <w:rPr>
                <w:noProof/>
                <w:lang w:val="de-DE"/>
              </w:rPr>
            </w:pPr>
            <w:r w:rsidRPr="00170422">
              <w:rPr>
                <w:noProof/>
                <w:lang w:val="de-DE"/>
              </w:rPr>
              <w:t xml:space="preserve">Inkrafttreten des Dekrets des Kulturministeriums über die Zuweisung von Mitteln: zum Schutz und zur Verbesserung der ländlichen Architektur und Landschaft </w:t>
            </w:r>
          </w:p>
        </w:tc>
      </w:tr>
      <w:tr w:rsidR="0057163C" w:rsidRPr="00170422" w14:paraId="02B06881" w14:textId="77777777" w:rsidTr="001C6E23">
        <w:trPr>
          <w:trHeight w:val="300"/>
        </w:trPr>
        <w:tc>
          <w:tcPr>
            <w:tcW w:w="1200" w:type="dxa"/>
            <w:shd w:val="clear" w:color="auto" w:fill="C6EFCE"/>
            <w:tcMar>
              <w:left w:w="108" w:type="dxa"/>
              <w:right w:w="108" w:type="dxa"/>
            </w:tcMar>
            <w:vAlign w:val="center"/>
          </w:tcPr>
          <w:p w14:paraId="2F1980D6" w14:textId="77777777" w:rsidR="0057163C" w:rsidRPr="00170422" w:rsidRDefault="00F37BF9">
            <w:pPr>
              <w:pStyle w:val="P68B1DB1-Normal121"/>
              <w:spacing w:after="0" w:line="240" w:lineRule="auto"/>
              <w:jc w:val="center"/>
              <w:rPr>
                <w:noProof/>
                <w:lang w:val="de-DE"/>
              </w:rPr>
            </w:pPr>
            <w:r w:rsidRPr="00170422">
              <w:rPr>
                <w:noProof/>
                <w:lang w:val="de-DE"/>
              </w:rPr>
              <w:t>M1C3-14</w:t>
            </w:r>
          </w:p>
        </w:tc>
        <w:tc>
          <w:tcPr>
            <w:tcW w:w="2553" w:type="dxa"/>
            <w:shd w:val="clear" w:color="auto" w:fill="C6EFCE"/>
            <w:tcMar>
              <w:left w:w="108" w:type="dxa"/>
              <w:right w:w="108" w:type="dxa"/>
            </w:tcMar>
            <w:vAlign w:val="center"/>
          </w:tcPr>
          <w:p w14:paraId="0070661E" w14:textId="77777777" w:rsidR="0057163C" w:rsidRPr="00170422" w:rsidRDefault="00F37BF9">
            <w:pPr>
              <w:pStyle w:val="P68B1DB1-Normal121"/>
              <w:spacing w:after="0" w:line="240" w:lineRule="auto"/>
              <w:rPr>
                <w:noProof/>
                <w:lang w:val="de-DE"/>
              </w:rPr>
            </w:pPr>
            <w:r w:rsidRPr="00170422">
              <w:rPr>
                <w:noProof/>
                <w:lang w:val="de-DE"/>
              </w:rPr>
              <w:t>Investition 2.3 – Programme zur Verbesserung der Identität von Orten, Parks und historischen Gärten</w:t>
            </w:r>
          </w:p>
        </w:tc>
        <w:tc>
          <w:tcPr>
            <w:tcW w:w="2047" w:type="dxa"/>
            <w:shd w:val="clear" w:color="auto" w:fill="C6EFCE"/>
            <w:tcMar>
              <w:left w:w="108" w:type="dxa"/>
              <w:right w:w="108" w:type="dxa"/>
            </w:tcMar>
            <w:vAlign w:val="center"/>
          </w:tcPr>
          <w:p w14:paraId="730A39B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A560FFE" w14:textId="77777777" w:rsidR="0057163C" w:rsidRPr="00170422" w:rsidRDefault="00F37BF9">
            <w:pPr>
              <w:pStyle w:val="P68B1DB1-Normal121"/>
              <w:spacing w:after="0" w:line="240" w:lineRule="auto"/>
              <w:rPr>
                <w:noProof/>
                <w:lang w:val="de-DE"/>
              </w:rPr>
            </w:pPr>
            <w:r w:rsidRPr="00170422">
              <w:rPr>
                <w:noProof/>
                <w:lang w:val="de-DE"/>
              </w:rPr>
              <w:t xml:space="preserve">Inkrafttreten des Dekrets des Kulturministeriums über die Zuweisung von Mitteln: für Projekte zur Verbesserung der Identität von Orten, </w:t>
            </w:r>
            <w:r w:rsidRPr="00170422">
              <w:rPr>
                <w:noProof/>
                <w:lang w:val="de-DE"/>
              </w:rPr>
              <w:t xml:space="preserve">Parks und historischen Gärten </w:t>
            </w:r>
          </w:p>
        </w:tc>
      </w:tr>
      <w:tr w:rsidR="0057163C" w:rsidRPr="00170422" w14:paraId="40E22B11" w14:textId="77777777" w:rsidTr="001C6E23">
        <w:trPr>
          <w:trHeight w:val="300"/>
        </w:trPr>
        <w:tc>
          <w:tcPr>
            <w:tcW w:w="1200" w:type="dxa"/>
            <w:shd w:val="clear" w:color="auto" w:fill="C6EFCE"/>
            <w:tcMar>
              <w:left w:w="108" w:type="dxa"/>
              <w:right w:w="108" w:type="dxa"/>
            </w:tcMar>
            <w:vAlign w:val="center"/>
          </w:tcPr>
          <w:p w14:paraId="44A5DF8D" w14:textId="77777777" w:rsidR="0057163C" w:rsidRPr="00170422" w:rsidRDefault="00F37BF9">
            <w:pPr>
              <w:pStyle w:val="P68B1DB1-Normal121"/>
              <w:spacing w:after="0" w:line="240" w:lineRule="auto"/>
              <w:jc w:val="center"/>
              <w:rPr>
                <w:noProof/>
                <w:lang w:val="de-DE"/>
              </w:rPr>
            </w:pPr>
            <w:r w:rsidRPr="00170422">
              <w:rPr>
                <w:noProof/>
                <w:lang w:val="de-DE"/>
              </w:rPr>
              <w:t>M1C3-15</w:t>
            </w:r>
          </w:p>
        </w:tc>
        <w:tc>
          <w:tcPr>
            <w:tcW w:w="2553" w:type="dxa"/>
            <w:shd w:val="clear" w:color="auto" w:fill="C6EFCE"/>
            <w:tcMar>
              <w:left w:w="108" w:type="dxa"/>
              <w:right w:w="108" w:type="dxa"/>
            </w:tcMar>
            <w:vAlign w:val="center"/>
          </w:tcPr>
          <w:p w14:paraId="2A7DF107" w14:textId="77777777" w:rsidR="0057163C" w:rsidRPr="00170422" w:rsidRDefault="00F37BF9">
            <w:pPr>
              <w:pStyle w:val="P68B1DB1-Normal121"/>
              <w:spacing w:after="0" w:line="240" w:lineRule="auto"/>
              <w:rPr>
                <w:noProof/>
                <w:lang w:val="de-DE"/>
              </w:rPr>
            </w:pPr>
            <w:r w:rsidRPr="00170422">
              <w:rPr>
                <w:noProof/>
                <w:lang w:val="de-DE"/>
              </w:rPr>
              <w:t>Investition 2.4 – Seismische Sicherheit von Gebetsstätten, Restaurierung des FEC-Erbes und Schutzeinrichtungen für Kunstwerke</w:t>
            </w:r>
          </w:p>
        </w:tc>
        <w:tc>
          <w:tcPr>
            <w:tcW w:w="2047" w:type="dxa"/>
            <w:shd w:val="clear" w:color="auto" w:fill="C6EFCE"/>
            <w:tcMar>
              <w:left w:w="108" w:type="dxa"/>
              <w:right w:w="108" w:type="dxa"/>
            </w:tcMar>
            <w:vAlign w:val="center"/>
          </w:tcPr>
          <w:p w14:paraId="3C946AF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4D956C3" w14:textId="77777777" w:rsidR="0057163C" w:rsidRPr="00170422" w:rsidRDefault="00F37BF9">
            <w:pPr>
              <w:pStyle w:val="P68B1DB1-Normal121"/>
              <w:spacing w:after="0" w:line="240" w:lineRule="auto"/>
              <w:rPr>
                <w:noProof/>
                <w:lang w:val="de-DE"/>
              </w:rPr>
            </w:pPr>
            <w:r w:rsidRPr="00170422">
              <w:rPr>
                <w:noProof/>
                <w:lang w:val="de-DE"/>
              </w:rPr>
              <w:t>Inkrafttreten des Dekrets des Kulturministeriums über die Zuweisung von Mittel</w:t>
            </w:r>
            <w:r w:rsidRPr="00170422">
              <w:rPr>
                <w:noProof/>
                <w:lang w:val="de-DE"/>
              </w:rPr>
              <w:t xml:space="preserve">n: zur seismischen Sicherheit anstelle von Gebets und zur Wiederherstellung des kulturellen Erbes (Fondo Edifici di Culto) </w:t>
            </w:r>
          </w:p>
        </w:tc>
      </w:tr>
      <w:tr w:rsidR="0057163C" w:rsidRPr="00170422" w14:paraId="2DDD3B0F" w14:textId="77777777" w:rsidTr="001C6E23">
        <w:trPr>
          <w:trHeight w:val="300"/>
        </w:trPr>
        <w:tc>
          <w:tcPr>
            <w:tcW w:w="1200" w:type="dxa"/>
            <w:shd w:val="clear" w:color="auto" w:fill="C6EFCE"/>
            <w:tcMar>
              <w:left w:w="108" w:type="dxa"/>
              <w:right w:w="108" w:type="dxa"/>
            </w:tcMar>
            <w:vAlign w:val="center"/>
          </w:tcPr>
          <w:p w14:paraId="3F9AF5CE" w14:textId="77777777" w:rsidR="0057163C" w:rsidRPr="00170422" w:rsidRDefault="00F37BF9">
            <w:pPr>
              <w:pStyle w:val="P68B1DB1-Normal121"/>
              <w:spacing w:after="0" w:line="240" w:lineRule="auto"/>
              <w:jc w:val="center"/>
              <w:rPr>
                <w:noProof/>
                <w:lang w:val="de-DE"/>
              </w:rPr>
            </w:pPr>
            <w:r w:rsidRPr="00170422">
              <w:rPr>
                <w:noProof/>
                <w:lang w:val="de-DE"/>
              </w:rPr>
              <w:t>M1C3-35</w:t>
            </w:r>
          </w:p>
        </w:tc>
        <w:tc>
          <w:tcPr>
            <w:tcW w:w="2553" w:type="dxa"/>
            <w:shd w:val="clear" w:color="auto" w:fill="C6EFCE"/>
            <w:tcMar>
              <w:left w:w="108" w:type="dxa"/>
              <w:right w:w="108" w:type="dxa"/>
            </w:tcMar>
            <w:vAlign w:val="center"/>
          </w:tcPr>
          <w:p w14:paraId="36D4B661" w14:textId="77777777" w:rsidR="0057163C" w:rsidRPr="00170422" w:rsidRDefault="00F37BF9">
            <w:pPr>
              <w:pStyle w:val="P68B1DB1-Normal121"/>
              <w:spacing w:after="0" w:line="240" w:lineRule="auto"/>
              <w:rPr>
                <w:noProof/>
                <w:lang w:val="de-DE"/>
              </w:rPr>
            </w:pPr>
            <w:r w:rsidRPr="00170422">
              <w:rPr>
                <w:noProof/>
                <w:lang w:val="de-DE"/>
              </w:rPr>
              <w:t>— Investitionen – 4.3 Caput Mundi-Next Generation EU für touristische Großveranstaltungen</w:t>
            </w:r>
          </w:p>
        </w:tc>
        <w:tc>
          <w:tcPr>
            <w:tcW w:w="2047" w:type="dxa"/>
            <w:shd w:val="clear" w:color="auto" w:fill="C6EFCE"/>
            <w:tcMar>
              <w:left w:w="108" w:type="dxa"/>
              <w:right w:w="108" w:type="dxa"/>
            </w:tcMar>
            <w:vAlign w:val="center"/>
          </w:tcPr>
          <w:p w14:paraId="1965793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4E7DB84" w14:textId="3822B7F8" w:rsidR="0057163C" w:rsidRPr="00170422" w:rsidRDefault="00F37BF9">
            <w:pPr>
              <w:pStyle w:val="P68B1DB1-Normal121"/>
              <w:spacing w:after="0" w:line="240" w:lineRule="auto"/>
              <w:rPr>
                <w:noProof/>
                <w:lang w:val="de-DE"/>
              </w:rPr>
            </w:pPr>
            <w:r w:rsidRPr="00170422">
              <w:rPr>
                <w:noProof/>
                <w:lang w:val="de-DE"/>
              </w:rPr>
              <w:t xml:space="preserve">Unterzeichnung jeder </w:t>
            </w:r>
            <w:r w:rsidRPr="00170422">
              <w:rPr>
                <w:noProof/>
                <w:lang w:val="de-DE"/>
              </w:rPr>
              <w:t>Vereinbarung über sechs Projekte zwischen einem Tourismusministerium und Begünstigten/Durchführungsstellen</w:t>
            </w:r>
          </w:p>
        </w:tc>
      </w:tr>
      <w:tr w:rsidR="0057163C" w:rsidRPr="00170422" w14:paraId="36AB031F" w14:textId="77777777" w:rsidTr="001C6E23">
        <w:trPr>
          <w:trHeight w:val="300"/>
        </w:trPr>
        <w:tc>
          <w:tcPr>
            <w:tcW w:w="1200" w:type="dxa"/>
            <w:shd w:val="clear" w:color="auto" w:fill="C6EFCE"/>
            <w:tcMar>
              <w:left w:w="108" w:type="dxa"/>
              <w:right w:w="108" w:type="dxa"/>
            </w:tcMar>
            <w:vAlign w:val="center"/>
          </w:tcPr>
          <w:p w14:paraId="1B2F7BB4" w14:textId="77777777" w:rsidR="0057163C" w:rsidRPr="00170422" w:rsidRDefault="00F37BF9">
            <w:pPr>
              <w:pStyle w:val="P68B1DB1-Normal121"/>
              <w:spacing w:after="0" w:line="240" w:lineRule="auto"/>
              <w:jc w:val="center"/>
              <w:rPr>
                <w:noProof/>
                <w:lang w:val="de-DE"/>
              </w:rPr>
            </w:pPr>
            <w:r w:rsidRPr="00170422">
              <w:rPr>
                <w:noProof/>
                <w:lang w:val="de-DE"/>
              </w:rPr>
              <w:t>M2C1-13</w:t>
            </w:r>
          </w:p>
        </w:tc>
        <w:tc>
          <w:tcPr>
            <w:tcW w:w="2553" w:type="dxa"/>
            <w:shd w:val="clear" w:color="auto" w:fill="C6EFCE"/>
            <w:tcMar>
              <w:left w:w="108" w:type="dxa"/>
              <w:right w:w="108" w:type="dxa"/>
            </w:tcMar>
            <w:vAlign w:val="center"/>
          </w:tcPr>
          <w:p w14:paraId="07A96649" w14:textId="77777777" w:rsidR="0057163C" w:rsidRPr="00170422" w:rsidRDefault="00F37BF9">
            <w:pPr>
              <w:pStyle w:val="P68B1DB1-Normal121"/>
              <w:spacing w:after="0" w:line="240" w:lineRule="auto"/>
              <w:rPr>
                <w:noProof/>
                <w:lang w:val="de-DE"/>
              </w:rPr>
            </w:pPr>
            <w:r w:rsidRPr="00170422">
              <w:rPr>
                <w:noProof/>
                <w:lang w:val="de-DE"/>
              </w:rPr>
              <w:t>Reform 1.2 – Nationales Abfallwirtschaftsprogramm</w:t>
            </w:r>
          </w:p>
        </w:tc>
        <w:tc>
          <w:tcPr>
            <w:tcW w:w="2047" w:type="dxa"/>
            <w:shd w:val="clear" w:color="auto" w:fill="C6EFCE"/>
            <w:tcMar>
              <w:left w:w="108" w:type="dxa"/>
              <w:right w:w="108" w:type="dxa"/>
            </w:tcMar>
            <w:vAlign w:val="center"/>
          </w:tcPr>
          <w:p w14:paraId="08C5B35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37E12FC" w14:textId="77777777" w:rsidR="0057163C" w:rsidRPr="00170422" w:rsidRDefault="00F37BF9">
            <w:pPr>
              <w:pStyle w:val="P68B1DB1-Normal121"/>
              <w:spacing w:after="0" w:line="240" w:lineRule="auto"/>
              <w:rPr>
                <w:noProof/>
                <w:lang w:val="de-DE"/>
              </w:rPr>
            </w:pPr>
            <w:r w:rsidRPr="00170422">
              <w:rPr>
                <w:noProof/>
                <w:lang w:val="de-DE"/>
              </w:rPr>
              <w:t>Inkrafttreten des Ministerialerlasses über das Nationale Abfallbewirtschaftung</w:t>
            </w:r>
            <w:r w:rsidRPr="00170422">
              <w:rPr>
                <w:noProof/>
                <w:lang w:val="de-DE"/>
              </w:rPr>
              <w:t>sprogramm</w:t>
            </w:r>
          </w:p>
        </w:tc>
      </w:tr>
      <w:tr w:rsidR="0057163C" w:rsidRPr="00170422" w14:paraId="31AFA104" w14:textId="77777777" w:rsidTr="001C6E23">
        <w:trPr>
          <w:trHeight w:val="300"/>
        </w:trPr>
        <w:tc>
          <w:tcPr>
            <w:tcW w:w="1200" w:type="dxa"/>
            <w:shd w:val="clear" w:color="auto" w:fill="C6EFCE"/>
            <w:tcMar>
              <w:left w:w="108" w:type="dxa"/>
              <w:right w:w="108" w:type="dxa"/>
            </w:tcMar>
            <w:vAlign w:val="center"/>
          </w:tcPr>
          <w:p w14:paraId="59A3913B" w14:textId="77777777" w:rsidR="0057163C" w:rsidRPr="00170422" w:rsidRDefault="00F37BF9">
            <w:pPr>
              <w:pStyle w:val="P68B1DB1-Normal121"/>
              <w:spacing w:after="0" w:line="240" w:lineRule="auto"/>
              <w:jc w:val="center"/>
              <w:rPr>
                <w:noProof/>
                <w:lang w:val="de-DE"/>
              </w:rPr>
            </w:pPr>
            <w:r w:rsidRPr="00170422">
              <w:rPr>
                <w:noProof/>
                <w:lang w:val="de-DE"/>
              </w:rPr>
              <w:t>M2C2-52</w:t>
            </w:r>
          </w:p>
        </w:tc>
        <w:tc>
          <w:tcPr>
            <w:tcW w:w="2553" w:type="dxa"/>
            <w:shd w:val="clear" w:color="auto" w:fill="C6EFCE"/>
            <w:tcMar>
              <w:left w:w="108" w:type="dxa"/>
              <w:right w:w="108" w:type="dxa"/>
            </w:tcMar>
            <w:vAlign w:val="center"/>
          </w:tcPr>
          <w:p w14:paraId="73075D85" w14:textId="77777777" w:rsidR="0057163C" w:rsidRPr="00170422" w:rsidRDefault="00F37BF9">
            <w:pPr>
              <w:pStyle w:val="P68B1DB1-Normal121"/>
              <w:spacing w:after="0" w:line="240" w:lineRule="auto"/>
              <w:rPr>
                <w:noProof/>
                <w:lang w:val="de-DE"/>
              </w:rPr>
            </w:pPr>
            <w:r w:rsidRPr="00170422">
              <w:rPr>
                <w:noProof/>
                <w:lang w:val="de-DE"/>
              </w:rPr>
              <w:t>Investition 5.2 Wasserstoff</w:t>
            </w:r>
          </w:p>
        </w:tc>
        <w:tc>
          <w:tcPr>
            <w:tcW w:w="2047" w:type="dxa"/>
            <w:shd w:val="clear" w:color="auto" w:fill="C6EFCE"/>
            <w:tcMar>
              <w:left w:w="108" w:type="dxa"/>
              <w:right w:w="108" w:type="dxa"/>
            </w:tcMar>
            <w:vAlign w:val="center"/>
          </w:tcPr>
          <w:p w14:paraId="7C9BB66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CB11CED" w14:textId="77777777" w:rsidR="0057163C" w:rsidRPr="00170422" w:rsidRDefault="00F37BF9">
            <w:pPr>
              <w:pStyle w:val="P68B1DB1-Normal121"/>
              <w:spacing w:after="0" w:line="240" w:lineRule="auto"/>
              <w:rPr>
                <w:noProof/>
                <w:lang w:val="de-DE"/>
              </w:rPr>
            </w:pPr>
            <w:r w:rsidRPr="00170422">
              <w:rPr>
                <w:noProof/>
                <w:lang w:val="de-DE"/>
              </w:rPr>
              <w:t>Herstellung von Elektrolyseuren</w:t>
            </w:r>
          </w:p>
        </w:tc>
      </w:tr>
      <w:tr w:rsidR="0057163C" w:rsidRPr="00170422" w14:paraId="18F43EBF" w14:textId="77777777" w:rsidTr="001C6E23">
        <w:trPr>
          <w:trHeight w:val="300"/>
        </w:trPr>
        <w:tc>
          <w:tcPr>
            <w:tcW w:w="1200" w:type="dxa"/>
            <w:shd w:val="clear" w:color="auto" w:fill="C6EFCE"/>
            <w:tcMar>
              <w:left w:w="108" w:type="dxa"/>
              <w:right w:w="108" w:type="dxa"/>
            </w:tcMar>
            <w:vAlign w:val="center"/>
          </w:tcPr>
          <w:p w14:paraId="39C0E61A" w14:textId="77777777" w:rsidR="0057163C" w:rsidRPr="00170422" w:rsidRDefault="00F37BF9">
            <w:pPr>
              <w:pStyle w:val="P68B1DB1-Normal121"/>
              <w:spacing w:after="0" w:line="240" w:lineRule="auto"/>
              <w:jc w:val="center"/>
              <w:rPr>
                <w:noProof/>
                <w:lang w:val="de-DE"/>
              </w:rPr>
            </w:pPr>
            <w:r w:rsidRPr="00170422">
              <w:rPr>
                <w:noProof/>
                <w:lang w:val="de-DE"/>
              </w:rPr>
              <w:t>M4C2-11</w:t>
            </w:r>
          </w:p>
        </w:tc>
        <w:tc>
          <w:tcPr>
            <w:tcW w:w="2553" w:type="dxa"/>
            <w:shd w:val="clear" w:color="auto" w:fill="C6EFCE"/>
            <w:tcMar>
              <w:left w:w="108" w:type="dxa"/>
              <w:right w:w="108" w:type="dxa"/>
            </w:tcMar>
            <w:vAlign w:val="center"/>
          </w:tcPr>
          <w:p w14:paraId="38485082" w14:textId="77777777" w:rsidR="0057163C" w:rsidRPr="00170422" w:rsidRDefault="00F37BF9">
            <w:pPr>
              <w:pStyle w:val="P68B1DB1-Normal121"/>
              <w:spacing w:after="0" w:line="240" w:lineRule="auto"/>
              <w:rPr>
                <w:noProof/>
                <w:lang w:val="de-DE"/>
              </w:rPr>
            </w:pPr>
            <w:r w:rsidRPr="00170422">
              <w:rPr>
                <w:noProof/>
                <w:lang w:val="de-DE"/>
              </w:rPr>
              <w:t xml:space="preserve">Investition 2.1: IPCEI </w:t>
            </w:r>
          </w:p>
        </w:tc>
        <w:tc>
          <w:tcPr>
            <w:tcW w:w="2047" w:type="dxa"/>
            <w:shd w:val="clear" w:color="auto" w:fill="C6EFCE"/>
            <w:tcMar>
              <w:left w:w="108" w:type="dxa"/>
              <w:right w:w="108" w:type="dxa"/>
            </w:tcMar>
            <w:vAlign w:val="center"/>
          </w:tcPr>
          <w:p w14:paraId="494555A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03F2E97E" w14:textId="77777777" w:rsidR="0057163C" w:rsidRPr="00170422" w:rsidRDefault="00F37BF9">
            <w:pPr>
              <w:pStyle w:val="P68B1DB1-Normal121"/>
              <w:spacing w:after="0" w:line="240" w:lineRule="auto"/>
              <w:rPr>
                <w:noProof/>
                <w:lang w:val="de-DE"/>
              </w:rPr>
            </w:pPr>
            <w:r w:rsidRPr="00170422">
              <w:rPr>
                <w:noProof/>
                <w:lang w:val="de-DE"/>
              </w:rPr>
              <w:t>Inkrafttreten eines nationalen Rechtsakts, mit dem die für die Unterstützung der Projektteilnehmer erforderlichen Mittel</w:t>
            </w:r>
            <w:r w:rsidRPr="00170422">
              <w:rPr>
                <w:noProof/>
                <w:lang w:val="de-DE"/>
              </w:rPr>
              <w:t xml:space="preserve"> bereitgestellt werden.</w:t>
            </w:r>
          </w:p>
        </w:tc>
      </w:tr>
      <w:tr w:rsidR="0057163C" w:rsidRPr="00170422" w14:paraId="0FFAFA89" w14:textId="77777777" w:rsidTr="001C6E23">
        <w:trPr>
          <w:trHeight w:val="300"/>
        </w:trPr>
        <w:tc>
          <w:tcPr>
            <w:tcW w:w="1200" w:type="dxa"/>
            <w:shd w:val="clear" w:color="auto" w:fill="C6EFCE"/>
            <w:tcMar>
              <w:left w:w="108" w:type="dxa"/>
              <w:right w:w="108" w:type="dxa"/>
            </w:tcMar>
            <w:vAlign w:val="center"/>
          </w:tcPr>
          <w:p w14:paraId="6D17F329" w14:textId="77777777" w:rsidR="0057163C" w:rsidRPr="00170422" w:rsidRDefault="00F37BF9">
            <w:pPr>
              <w:pStyle w:val="P68B1DB1-Normal121"/>
              <w:spacing w:after="0" w:line="240" w:lineRule="auto"/>
              <w:jc w:val="center"/>
              <w:rPr>
                <w:noProof/>
                <w:lang w:val="de-DE"/>
              </w:rPr>
            </w:pPr>
            <w:r w:rsidRPr="00170422">
              <w:rPr>
                <w:noProof/>
                <w:lang w:val="de-DE"/>
              </w:rPr>
              <w:t>M4C2-17</w:t>
            </w:r>
          </w:p>
        </w:tc>
        <w:tc>
          <w:tcPr>
            <w:tcW w:w="2553" w:type="dxa"/>
            <w:shd w:val="clear" w:color="auto" w:fill="C6EFCE"/>
            <w:tcMar>
              <w:left w:w="108" w:type="dxa"/>
              <w:right w:w="108" w:type="dxa"/>
            </w:tcMar>
            <w:vAlign w:val="center"/>
          </w:tcPr>
          <w:p w14:paraId="4AD85A90" w14:textId="77777777" w:rsidR="0057163C" w:rsidRPr="00170422" w:rsidRDefault="00F37BF9">
            <w:pPr>
              <w:pStyle w:val="P68B1DB1-Normal121"/>
              <w:spacing w:after="0" w:line="240" w:lineRule="auto"/>
              <w:rPr>
                <w:noProof/>
                <w:lang w:val="de-DE"/>
              </w:rPr>
            </w:pPr>
            <w:r w:rsidRPr="00170422">
              <w:rPr>
                <w:noProof/>
                <w:lang w:val="de-DE"/>
              </w:rPr>
              <w:t>Investition 3.1: Fonds für den Aufbau eines integrierten Systems von Forschungs- und Innovationsinfrastrukturen; Investitionen</w:t>
            </w:r>
          </w:p>
        </w:tc>
        <w:tc>
          <w:tcPr>
            <w:tcW w:w="2047" w:type="dxa"/>
            <w:shd w:val="clear" w:color="auto" w:fill="C6EFCE"/>
            <w:tcMar>
              <w:left w:w="108" w:type="dxa"/>
              <w:right w:w="108" w:type="dxa"/>
            </w:tcMar>
            <w:vAlign w:val="center"/>
          </w:tcPr>
          <w:p w14:paraId="69172B1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8DCF6F6" w14:textId="278638D9" w:rsidR="0057163C" w:rsidRPr="00170422" w:rsidRDefault="00F37BF9">
            <w:pPr>
              <w:pStyle w:val="P68B1DB1-Normal121"/>
              <w:spacing w:after="0" w:line="240" w:lineRule="auto"/>
              <w:rPr>
                <w:noProof/>
                <w:lang w:val="de-DE"/>
              </w:rPr>
            </w:pPr>
            <w:r w:rsidRPr="00170422">
              <w:rPr>
                <w:noProof/>
                <w:lang w:val="de-DE"/>
              </w:rPr>
              <w:t>Vergabe von Aufträgen für folgende Projekte: integriertes System von Forschungs- und</w:t>
            </w:r>
            <w:r w:rsidRPr="00170422">
              <w:rPr>
                <w:noProof/>
                <w:lang w:val="de-DE"/>
              </w:rPr>
              <w:t xml:space="preserve"> Innovationsinfrastrukturen</w:t>
            </w:r>
          </w:p>
        </w:tc>
      </w:tr>
      <w:tr w:rsidR="0057163C" w:rsidRPr="00170422" w14:paraId="3D327861" w14:textId="77777777" w:rsidTr="001C6E23">
        <w:trPr>
          <w:trHeight w:val="300"/>
        </w:trPr>
        <w:tc>
          <w:tcPr>
            <w:tcW w:w="1200" w:type="dxa"/>
            <w:shd w:val="clear" w:color="auto" w:fill="C6EFCE"/>
            <w:tcMar>
              <w:left w:w="108" w:type="dxa"/>
              <w:right w:w="108" w:type="dxa"/>
            </w:tcMar>
            <w:vAlign w:val="center"/>
          </w:tcPr>
          <w:p w14:paraId="2A6A11F8" w14:textId="77777777" w:rsidR="0057163C" w:rsidRPr="00170422" w:rsidRDefault="00F37BF9">
            <w:pPr>
              <w:pStyle w:val="P68B1DB1-Normal121"/>
              <w:spacing w:after="0" w:line="240" w:lineRule="auto"/>
              <w:jc w:val="center"/>
              <w:rPr>
                <w:noProof/>
                <w:lang w:val="de-DE"/>
              </w:rPr>
            </w:pPr>
            <w:r w:rsidRPr="00170422">
              <w:rPr>
                <w:noProof/>
                <w:lang w:val="de-DE"/>
              </w:rPr>
              <w:t>M4C2-18</w:t>
            </w:r>
          </w:p>
        </w:tc>
        <w:tc>
          <w:tcPr>
            <w:tcW w:w="2553" w:type="dxa"/>
            <w:shd w:val="clear" w:color="auto" w:fill="C6EFCE"/>
            <w:tcMar>
              <w:left w:w="108" w:type="dxa"/>
              <w:right w:w="108" w:type="dxa"/>
            </w:tcMar>
            <w:vAlign w:val="center"/>
          </w:tcPr>
          <w:p w14:paraId="42401369" w14:textId="77777777" w:rsidR="0057163C" w:rsidRPr="00170422" w:rsidRDefault="00F37BF9">
            <w:pPr>
              <w:pStyle w:val="P68B1DB1-Normal121"/>
              <w:spacing w:after="0" w:line="240" w:lineRule="auto"/>
              <w:rPr>
                <w:noProof/>
                <w:lang w:val="de-DE"/>
              </w:rPr>
            </w:pPr>
            <w:r w:rsidRPr="00170422">
              <w:rPr>
                <w:noProof/>
                <w:lang w:val="de-DE"/>
              </w:rPr>
              <w:t>Invement1.5: Schaffung und Stärkung von „Innovationsökosystemen für Nachhaltigkeit“, Aufbau von „territorialen führenden F &amp; E“</w:t>
            </w:r>
          </w:p>
        </w:tc>
        <w:tc>
          <w:tcPr>
            <w:tcW w:w="2047" w:type="dxa"/>
            <w:shd w:val="clear" w:color="auto" w:fill="C6EFCE"/>
            <w:tcMar>
              <w:left w:w="108" w:type="dxa"/>
              <w:right w:w="108" w:type="dxa"/>
            </w:tcMar>
            <w:vAlign w:val="center"/>
          </w:tcPr>
          <w:p w14:paraId="2F35857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34D729B" w14:textId="26F88800" w:rsidR="0057163C" w:rsidRPr="00170422" w:rsidRDefault="00F37BF9">
            <w:pPr>
              <w:pStyle w:val="P68B1DB1-Normal121"/>
              <w:spacing w:after="0" w:line="240" w:lineRule="auto"/>
              <w:rPr>
                <w:noProof/>
                <w:lang w:val="de-DE"/>
              </w:rPr>
            </w:pPr>
            <w:r w:rsidRPr="00170422">
              <w:rPr>
                <w:noProof/>
                <w:lang w:val="de-DE"/>
              </w:rPr>
              <w:t>Vergabe von Aufträgen für Projekte, die Innovationsökosysteme betreffen;</w:t>
            </w:r>
          </w:p>
        </w:tc>
      </w:tr>
      <w:tr w:rsidR="0057163C" w:rsidRPr="00170422" w14:paraId="36D08664" w14:textId="77777777" w:rsidTr="001C6E23">
        <w:trPr>
          <w:trHeight w:val="300"/>
        </w:trPr>
        <w:tc>
          <w:tcPr>
            <w:tcW w:w="1200" w:type="dxa"/>
            <w:shd w:val="clear" w:color="auto" w:fill="C6EFCE"/>
            <w:tcMar>
              <w:left w:w="108" w:type="dxa"/>
              <w:right w:w="108" w:type="dxa"/>
            </w:tcMar>
            <w:vAlign w:val="center"/>
          </w:tcPr>
          <w:p w14:paraId="5440F36F" w14:textId="77777777" w:rsidR="0057163C" w:rsidRPr="00170422" w:rsidRDefault="00F37BF9">
            <w:pPr>
              <w:pStyle w:val="P68B1DB1-Normal121"/>
              <w:spacing w:after="0" w:line="240" w:lineRule="auto"/>
              <w:jc w:val="center"/>
              <w:rPr>
                <w:noProof/>
                <w:lang w:val="de-DE"/>
              </w:rPr>
            </w:pPr>
            <w:r w:rsidRPr="00170422">
              <w:rPr>
                <w:noProof/>
                <w:lang w:val="de-DE"/>
              </w:rPr>
              <w:t>M4C2-19</w:t>
            </w:r>
          </w:p>
        </w:tc>
        <w:tc>
          <w:tcPr>
            <w:tcW w:w="2553" w:type="dxa"/>
            <w:shd w:val="clear" w:color="auto" w:fill="C6EFCE"/>
            <w:tcMar>
              <w:left w:w="108" w:type="dxa"/>
              <w:right w:w="108" w:type="dxa"/>
            </w:tcMar>
            <w:vAlign w:val="center"/>
          </w:tcPr>
          <w:p w14:paraId="5AC7CD21" w14:textId="77777777" w:rsidR="0057163C" w:rsidRPr="00170422" w:rsidRDefault="00F37BF9">
            <w:pPr>
              <w:pStyle w:val="P68B1DB1-Normal121"/>
              <w:spacing w:after="0" w:line="240" w:lineRule="auto"/>
              <w:rPr>
                <w:noProof/>
                <w:lang w:val="de-DE"/>
              </w:rPr>
            </w:pPr>
            <w:r w:rsidRPr="00170422">
              <w:rPr>
                <w:noProof/>
                <w:lang w:val="de-DE"/>
              </w:rPr>
              <w:t>Investition 1.4: Stärkung der Forschungsstrukturen und Unterstützung der Schaffung „nationaler FuE-Führer“ zu einigen Schlüsseltechnologien</w:t>
            </w:r>
          </w:p>
        </w:tc>
        <w:tc>
          <w:tcPr>
            <w:tcW w:w="2047" w:type="dxa"/>
            <w:shd w:val="clear" w:color="auto" w:fill="C6EFCE"/>
            <w:tcMar>
              <w:left w:w="108" w:type="dxa"/>
              <w:right w:w="108" w:type="dxa"/>
            </w:tcMar>
            <w:vAlign w:val="center"/>
          </w:tcPr>
          <w:p w14:paraId="3E1542B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0ADCE4F" w14:textId="77777777" w:rsidR="0057163C" w:rsidRPr="00170422" w:rsidRDefault="00F37BF9">
            <w:pPr>
              <w:pStyle w:val="P68B1DB1-Normal121"/>
              <w:spacing w:after="0" w:line="240" w:lineRule="auto"/>
              <w:rPr>
                <w:noProof/>
                <w:lang w:val="de-DE"/>
              </w:rPr>
            </w:pPr>
            <w:r w:rsidRPr="00170422">
              <w:rPr>
                <w:noProof/>
                <w:lang w:val="de-DE"/>
              </w:rPr>
              <w:t>Vergabe von Aufträgen für Projekte, die nationale FuE-Leiter im Bereich Schlüsseltechnologien be</w:t>
            </w:r>
            <w:r w:rsidRPr="00170422">
              <w:rPr>
                <w:noProof/>
                <w:lang w:val="de-DE"/>
              </w:rPr>
              <w:t>treffen</w:t>
            </w:r>
          </w:p>
        </w:tc>
      </w:tr>
      <w:tr w:rsidR="0057163C" w:rsidRPr="00170422" w14:paraId="187BBED8" w14:textId="77777777" w:rsidTr="001C6E23">
        <w:trPr>
          <w:trHeight w:val="300"/>
        </w:trPr>
        <w:tc>
          <w:tcPr>
            <w:tcW w:w="1200" w:type="dxa"/>
            <w:shd w:val="clear" w:color="auto" w:fill="C6EFCE"/>
            <w:tcMar>
              <w:left w:w="108" w:type="dxa"/>
              <w:right w:w="108" w:type="dxa"/>
            </w:tcMar>
            <w:vAlign w:val="center"/>
          </w:tcPr>
          <w:p w14:paraId="78C06E0F" w14:textId="77777777" w:rsidR="0057163C" w:rsidRPr="00170422" w:rsidRDefault="00F37BF9">
            <w:pPr>
              <w:pStyle w:val="P68B1DB1-Normal121"/>
              <w:spacing w:after="0" w:line="240" w:lineRule="auto"/>
              <w:jc w:val="center"/>
              <w:rPr>
                <w:noProof/>
                <w:lang w:val="de-DE"/>
              </w:rPr>
            </w:pPr>
            <w:r w:rsidRPr="00170422">
              <w:rPr>
                <w:noProof/>
                <w:lang w:val="de-DE"/>
              </w:rPr>
              <w:t>M4C2-20</w:t>
            </w:r>
          </w:p>
        </w:tc>
        <w:tc>
          <w:tcPr>
            <w:tcW w:w="2553" w:type="dxa"/>
            <w:shd w:val="clear" w:color="auto" w:fill="C6EFCE"/>
            <w:tcMar>
              <w:left w:w="108" w:type="dxa"/>
              <w:right w:w="108" w:type="dxa"/>
            </w:tcMar>
            <w:vAlign w:val="center"/>
          </w:tcPr>
          <w:p w14:paraId="094B3D73" w14:textId="77777777" w:rsidR="0057163C" w:rsidRPr="00170422" w:rsidRDefault="00F37BF9">
            <w:pPr>
              <w:pStyle w:val="P68B1DB1-Normal121"/>
              <w:spacing w:after="0" w:line="240" w:lineRule="auto"/>
              <w:rPr>
                <w:noProof/>
                <w:lang w:val="de-DE"/>
              </w:rPr>
            </w:pPr>
            <w:r w:rsidRPr="00170422">
              <w:rPr>
                <w:noProof/>
                <w:lang w:val="de-DE"/>
              </w:rPr>
              <w:t>Investition 3.2: Kapitalzuführung in den Fonds für den digitalen Wandel (DTF)</w:t>
            </w:r>
          </w:p>
        </w:tc>
        <w:tc>
          <w:tcPr>
            <w:tcW w:w="2047" w:type="dxa"/>
            <w:shd w:val="clear" w:color="auto" w:fill="C6EFCE"/>
            <w:tcMar>
              <w:left w:w="108" w:type="dxa"/>
              <w:right w:w="108" w:type="dxa"/>
            </w:tcMar>
            <w:vAlign w:val="center"/>
          </w:tcPr>
          <w:p w14:paraId="26810BF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FB4DC7F" w14:textId="77777777" w:rsidR="0057163C" w:rsidRPr="00170422" w:rsidRDefault="00F37BF9">
            <w:pPr>
              <w:pStyle w:val="P68B1DB1-Normal121"/>
              <w:spacing w:after="0" w:line="240" w:lineRule="auto"/>
              <w:rPr>
                <w:noProof/>
                <w:lang w:val="de-DE"/>
              </w:rPr>
            </w:pPr>
            <w:r w:rsidRPr="00170422">
              <w:rPr>
                <w:noProof/>
                <w:lang w:val="de-DE"/>
              </w:rPr>
              <w:t xml:space="preserve">Unterzeichnung der Vereinbarung zwischen der IT-Regierung und dem Durchführungspartner Cassa Depositi e Prestiti (CDP) über das </w:t>
            </w:r>
            <w:r w:rsidRPr="00170422">
              <w:rPr>
                <w:noProof/>
                <w:lang w:val="de-DE"/>
              </w:rPr>
              <w:t>Finanzierungsinstrument</w:t>
            </w:r>
          </w:p>
        </w:tc>
      </w:tr>
      <w:tr w:rsidR="0057163C" w:rsidRPr="00170422" w14:paraId="4C78895A" w14:textId="77777777" w:rsidTr="001C6E23">
        <w:trPr>
          <w:trHeight w:val="300"/>
        </w:trPr>
        <w:tc>
          <w:tcPr>
            <w:tcW w:w="1200" w:type="dxa"/>
            <w:shd w:val="clear" w:color="auto" w:fill="C6EFCE"/>
            <w:tcMar>
              <w:left w:w="108" w:type="dxa"/>
              <w:right w:w="108" w:type="dxa"/>
            </w:tcMar>
            <w:vAlign w:val="center"/>
          </w:tcPr>
          <w:p w14:paraId="5E551B9D" w14:textId="77777777" w:rsidR="0057163C" w:rsidRPr="00170422" w:rsidRDefault="00F37BF9">
            <w:pPr>
              <w:pStyle w:val="P68B1DB1-Normal121"/>
              <w:spacing w:after="0" w:line="240" w:lineRule="auto"/>
              <w:jc w:val="center"/>
              <w:rPr>
                <w:noProof/>
                <w:lang w:val="de-DE"/>
              </w:rPr>
            </w:pPr>
            <w:r w:rsidRPr="00170422">
              <w:rPr>
                <w:noProof/>
                <w:lang w:val="de-DE"/>
              </w:rPr>
              <w:t>M6C1-1</w:t>
            </w:r>
          </w:p>
        </w:tc>
        <w:tc>
          <w:tcPr>
            <w:tcW w:w="2553" w:type="dxa"/>
            <w:shd w:val="clear" w:color="auto" w:fill="C6EFCE"/>
            <w:tcMar>
              <w:left w:w="108" w:type="dxa"/>
              <w:right w:w="108" w:type="dxa"/>
            </w:tcMar>
            <w:vAlign w:val="center"/>
          </w:tcPr>
          <w:p w14:paraId="02114A41" w14:textId="77777777" w:rsidR="0057163C" w:rsidRPr="00170422" w:rsidRDefault="00F37BF9">
            <w:pPr>
              <w:pStyle w:val="P68B1DB1-Normal121"/>
              <w:spacing w:after="0" w:line="240" w:lineRule="auto"/>
              <w:rPr>
                <w:noProof/>
                <w:lang w:val="de-DE"/>
              </w:rPr>
            </w:pPr>
            <w:r w:rsidRPr="00170422">
              <w:rPr>
                <w:noProof/>
                <w:lang w:val="de-DE"/>
              </w:rPr>
              <w:t>Reform 1:  Festlegung eines neuen Organisationsmodells für das territoriale Gesundheitsversorgungsnetz</w:t>
            </w:r>
          </w:p>
        </w:tc>
        <w:tc>
          <w:tcPr>
            <w:tcW w:w="2047" w:type="dxa"/>
            <w:shd w:val="clear" w:color="auto" w:fill="C6EFCE"/>
            <w:tcMar>
              <w:left w:w="108" w:type="dxa"/>
              <w:right w:w="108" w:type="dxa"/>
            </w:tcMar>
            <w:vAlign w:val="center"/>
          </w:tcPr>
          <w:p w14:paraId="6C5A488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E9D1D43" w14:textId="77777777" w:rsidR="0057163C" w:rsidRPr="00170422" w:rsidRDefault="00F37BF9">
            <w:pPr>
              <w:pStyle w:val="P68B1DB1-Normal121"/>
              <w:spacing w:after="0" w:line="240" w:lineRule="auto"/>
              <w:rPr>
                <w:noProof/>
                <w:lang w:val="de-DE"/>
              </w:rPr>
            </w:pPr>
            <w:r w:rsidRPr="00170422">
              <w:rPr>
                <w:noProof/>
                <w:lang w:val="de-DE"/>
              </w:rPr>
              <w:t>Inkrafttreten des Sekundärrechts (Ministerialdekret) zur Reform der Organisation des Gesundheitswesens.</w:t>
            </w:r>
          </w:p>
        </w:tc>
      </w:tr>
      <w:tr w:rsidR="0057163C" w:rsidRPr="00170422" w14:paraId="527D1569" w14:textId="77777777" w:rsidTr="001C6E23">
        <w:trPr>
          <w:trHeight w:val="300"/>
        </w:trPr>
        <w:tc>
          <w:tcPr>
            <w:tcW w:w="1200" w:type="dxa"/>
            <w:shd w:val="clear" w:color="auto" w:fill="C6EFCE"/>
            <w:tcMar>
              <w:left w:w="108" w:type="dxa"/>
              <w:right w:w="108" w:type="dxa"/>
            </w:tcMar>
            <w:vAlign w:val="center"/>
          </w:tcPr>
          <w:p w14:paraId="473A1EC2" w14:textId="77777777" w:rsidR="0057163C" w:rsidRPr="00170422" w:rsidRDefault="00F37BF9">
            <w:pPr>
              <w:pStyle w:val="P68B1DB1-Normal121"/>
              <w:spacing w:after="0" w:line="240" w:lineRule="auto"/>
              <w:jc w:val="center"/>
              <w:rPr>
                <w:noProof/>
                <w:lang w:val="de-DE"/>
              </w:rPr>
            </w:pPr>
            <w:r w:rsidRPr="00170422">
              <w:rPr>
                <w:noProof/>
                <w:lang w:val="de-DE"/>
              </w:rPr>
              <w:t>M6C1</w:t>
            </w:r>
            <w:r w:rsidRPr="00170422">
              <w:rPr>
                <w:noProof/>
                <w:lang w:val="de-DE"/>
              </w:rPr>
              <w:t>-2</w:t>
            </w:r>
          </w:p>
        </w:tc>
        <w:tc>
          <w:tcPr>
            <w:tcW w:w="2553" w:type="dxa"/>
            <w:shd w:val="clear" w:color="auto" w:fill="C6EFCE"/>
            <w:tcMar>
              <w:left w:w="108" w:type="dxa"/>
              <w:right w:w="108" w:type="dxa"/>
            </w:tcMar>
            <w:vAlign w:val="center"/>
          </w:tcPr>
          <w:p w14:paraId="1BBAC2E2" w14:textId="77777777" w:rsidR="0057163C" w:rsidRPr="00170422" w:rsidRDefault="00F37BF9">
            <w:pPr>
              <w:pStyle w:val="P68B1DB1-Normal121"/>
              <w:spacing w:after="0" w:line="240" w:lineRule="auto"/>
              <w:rPr>
                <w:noProof/>
                <w:lang w:val="de-DE"/>
              </w:rPr>
            </w:pPr>
            <w:r w:rsidRPr="00170422">
              <w:rPr>
                <w:noProof/>
                <w:lang w:val="de-DE"/>
              </w:rPr>
              <w:t>Investition 1.1: Gemeinschaftliche Gesundheitseinrichtungen zur Verbesserung der territorialen Gesundheitsversorgung</w:t>
            </w:r>
          </w:p>
        </w:tc>
        <w:tc>
          <w:tcPr>
            <w:tcW w:w="2047" w:type="dxa"/>
            <w:shd w:val="clear" w:color="auto" w:fill="C6EFCE"/>
            <w:tcMar>
              <w:left w:w="108" w:type="dxa"/>
              <w:right w:w="108" w:type="dxa"/>
            </w:tcMar>
            <w:vAlign w:val="center"/>
          </w:tcPr>
          <w:p w14:paraId="66D319B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B8F45FF" w14:textId="77777777" w:rsidR="0057163C" w:rsidRPr="00170422" w:rsidRDefault="00F37BF9">
            <w:pPr>
              <w:pStyle w:val="P68B1DB1-Normal121"/>
              <w:spacing w:after="0" w:line="240" w:lineRule="auto"/>
              <w:rPr>
                <w:noProof/>
                <w:lang w:val="de-DE"/>
              </w:rPr>
            </w:pPr>
            <w:r w:rsidRPr="00170422">
              <w:rPr>
                <w:noProof/>
                <w:lang w:val="de-DE"/>
              </w:rPr>
              <w:t xml:space="preserve">Genehmigung eines Vertrags über die institutionelle Entwicklung </w:t>
            </w:r>
          </w:p>
        </w:tc>
      </w:tr>
      <w:tr w:rsidR="0057163C" w:rsidRPr="00170422" w14:paraId="526856F5" w14:textId="77777777" w:rsidTr="001C6E23">
        <w:trPr>
          <w:trHeight w:val="300"/>
        </w:trPr>
        <w:tc>
          <w:tcPr>
            <w:tcW w:w="1200" w:type="dxa"/>
            <w:shd w:val="clear" w:color="auto" w:fill="C6EFCE"/>
            <w:tcMar>
              <w:left w:w="108" w:type="dxa"/>
              <w:right w:w="108" w:type="dxa"/>
            </w:tcMar>
            <w:vAlign w:val="center"/>
          </w:tcPr>
          <w:p w14:paraId="23AB4BD1" w14:textId="77777777" w:rsidR="0057163C" w:rsidRPr="00170422" w:rsidRDefault="00F37BF9">
            <w:pPr>
              <w:pStyle w:val="P68B1DB1-Normal121"/>
              <w:spacing w:after="0" w:line="240" w:lineRule="auto"/>
              <w:jc w:val="center"/>
              <w:rPr>
                <w:noProof/>
                <w:lang w:val="de-DE"/>
              </w:rPr>
            </w:pPr>
            <w:r w:rsidRPr="00170422">
              <w:rPr>
                <w:noProof/>
                <w:lang w:val="de-DE"/>
              </w:rPr>
              <w:t>M6C1-4</w:t>
            </w:r>
          </w:p>
        </w:tc>
        <w:tc>
          <w:tcPr>
            <w:tcW w:w="2553" w:type="dxa"/>
            <w:shd w:val="clear" w:color="auto" w:fill="C6EFCE"/>
            <w:tcMar>
              <w:left w:w="108" w:type="dxa"/>
              <w:right w:w="108" w:type="dxa"/>
            </w:tcMar>
            <w:vAlign w:val="center"/>
          </w:tcPr>
          <w:p w14:paraId="7D884F43" w14:textId="77777777" w:rsidR="0057163C" w:rsidRPr="00170422" w:rsidRDefault="00F37BF9">
            <w:pPr>
              <w:pStyle w:val="P68B1DB1-Normal121"/>
              <w:spacing w:after="0" w:line="240" w:lineRule="auto"/>
              <w:rPr>
                <w:noProof/>
                <w:lang w:val="de-DE"/>
              </w:rPr>
            </w:pPr>
            <w:r w:rsidRPr="00170422">
              <w:rPr>
                <w:noProof/>
                <w:lang w:val="de-DE"/>
              </w:rPr>
              <w:t>Investition 1.2: Zuhause als Erstversorgungsort und</w:t>
            </w:r>
            <w:r w:rsidRPr="00170422">
              <w:rPr>
                <w:noProof/>
                <w:lang w:val="de-DE"/>
              </w:rPr>
              <w:t xml:space="preserve"> Telemedizin</w:t>
            </w:r>
          </w:p>
        </w:tc>
        <w:tc>
          <w:tcPr>
            <w:tcW w:w="2047" w:type="dxa"/>
            <w:shd w:val="clear" w:color="auto" w:fill="C6EFCE"/>
            <w:tcMar>
              <w:left w:w="108" w:type="dxa"/>
              <w:right w:w="108" w:type="dxa"/>
            </w:tcMar>
            <w:vAlign w:val="center"/>
          </w:tcPr>
          <w:p w14:paraId="7155C25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020D46F8" w14:textId="77777777" w:rsidR="0057163C" w:rsidRPr="00170422" w:rsidRDefault="00F37BF9">
            <w:pPr>
              <w:pStyle w:val="P68B1DB1-Normal121"/>
              <w:spacing w:after="0" w:line="240" w:lineRule="auto"/>
              <w:rPr>
                <w:noProof/>
                <w:lang w:val="de-DE"/>
              </w:rPr>
            </w:pPr>
            <w:r w:rsidRPr="00170422">
              <w:rPr>
                <w:noProof/>
                <w:lang w:val="de-DE"/>
              </w:rPr>
              <w:t>Genehmigung der Leitlinien mit dem digitalen Modell für die Umsetzung der häuslichen Pflege</w:t>
            </w:r>
          </w:p>
        </w:tc>
      </w:tr>
      <w:tr w:rsidR="0057163C" w:rsidRPr="00170422" w14:paraId="1FE10B33" w14:textId="77777777" w:rsidTr="001C6E23">
        <w:trPr>
          <w:trHeight w:val="300"/>
        </w:trPr>
        <w:tc>
          <w:tcPr>
            <w:tcW w:w="1200" w:type="dxa"/>
            <w:shd w:val="clear" w:color="auto" w:fill="C6EFCE"/>
            <w:tcMar>
              <w:left w:w="108" w:type="dxa"/>
              <w:right w:w="108" w:type="dxa"/>
            </w:tcMar>
            <w:vAlign w:val="center"/>
          </w:tcPr>
          <w:p w14:paraId="07DCDE0F" w14:textId="77777777" w:rsidR="0057163C" w:rsidRPr="00170422" w:rsidRDefault="00F37BF9">
            <w:pPr>
              <w:pStyle w:val="P68B1DB1-Normal121"/>
              <w:spacing w:after="0" w:line="240" w:lineRule="auto"/>
              <w:jc w:val="center"/>
              <w:rPr>
                <w:noProof/>
                <w:lang w:val="de-DE"/>
              </w:rPr>
            </w:pPr>
            <w:r w:rsidRPr="00170422">
              <w:rPr>
                <w:noProof/>
                <w:lang w:val="de-DE"/>
              </w:rPr>
              <w:t>M6C1-5</w:t>
            </w:r>
          </w:p>
        </w:tc>
        <w:tc>
          <w:tcPr>
            <w:tcW w:w="2553" w:type="dxa"/>
            <w:shd w:val="clear" w:color="auto" w:fill="C6EFCE"/>
            <w:tcMar>
              <w:left w:w="108" w:type="dxa"/>
              <w:right w:w="108" w:type="dxa"/>
            </w:tcMar>
            <w:vAlign w:val="center"/>
          </w:tcPr>
          <w:p w14:paraId="3F3FA2E4" w14:textId="77777777" w:rsidR="0057163C" w:rsidRPr="00170422" w:rsidRDefault="00F37BF9">
            <w:pPr>
              <w:pStyle w:val="P68B1DB1-Normal121"/>
              <w:spacing w:after="0" w:line="240" w:lineRule="auto"/>
              <w:rPr>
                <w:noProof/>
                <w:lang w:val="de-DE"/>
              </w:rPr>
            </w:pPr>
            <w:r w:rsidRPr="00170422">
              <w:rPr>
                <w:noProof/>
                <w:lang w:val="de-DE"/>
              </w:rPr>
              <w:t>Investition 1.2: Zuhause als Erstversorgungsort und Telemedizin</w:t>
            </w:r>
          </w:p>
        </w:tc>
        <w:tc>
          <w:tcPr>
            <w:tcW w:w="2047" w:type="dxa"/>
            <w:shd w:val="clear" w:color="auto" w:fill="C6EFCE"/>
            <w:tcMar>
              <w:left w:w="108" w:type="dxa"/>
              <w:right w:w="108" w:type="dxa"/>
            </w:tcMar>
            <w:vAlign w:val="center"/>
          </w:tcPr>
          <w:p w14:paraId="0758DC9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7129B69" w14:textId="77777777" w:rsidR="0057163C" w:rsidRPr="00170422" w:rsidRDefault="00F37BF9">
            <w:pPr>
              <w:pStyle w:val="P68B1DB1-Normal121"/>
              <w:spacing w:after="0" w:line="240" w:lineRule="auto"/>
              <w:rPr>
                <w:noProof/>
                <w:lang w:val="de-DE"/>
              </w:rPr>
            </w:pPr>
            <w:r w:rsidRPr="00170422">
              <w:rPr>
                <w:noProof/>
                <w:lang w:val="de-DE"/>
              </w:rPr>
              <w:t>Vom Ministerium für Gesundheit und Regionen genehmigter</w:t>
            </w:r>
            <w:r w:rsidRPr="00170422">
              <w:rPr>
                <w:noProof/>
                <w:lang w:val="de-DE"/>
              </w:rPr>
              <w:t xml:space="preserve"> Vertrag über die institutionelle Entwicklung </w:t>
            </w:r>
          </w:p>
        </w:tc>
      </w:tr>
      <w:tr w:rsidR="0057163C" w:rsidRPr="00170422" w14:paraId="6A5B23F4" w14:textId="77777777" w:rsidTr="001C6E23">
        <w:trPr>
          <w:trHeight w:val="300"/>
        </w:trPr>
        <w:tc>
          <w:tcPr>
            <w:tcW w:w="1200" w:type="dxa"/>
            <w:shd w:val="clear" w:color="auto" w:fill="C6EFCE"/>
            <w:tcMar>
              <w:left w:w="108" w:type="dxa"/>
              <w:right w:w="108" w:type="dxa"/>
            </w:tcMar>
            <w:vAlign w:val="center"/>
          </w:tcPr>
          <w:p w14:paraId="17776757" w14:textId="77777777" w:rsidR="0057163C" w:rsidRPr="00170422" w:rsidRDefault="00F37BF9">
            <w:pPr>
              <w:pStyle w:val="P68B1DB1-Normal121"/>
              <w:spacing w:after="0" w:line="240" w:lineRule="auto"/>
              <w:jc w:val="center"/>
              <w:rPr>
                <w:noProof/>
                <w:lang w:val="de-DE"/>
              </w:rPr>
            </w:pPr>
            <w:r w:rsidRPr="00170422">
              <w:rPr>
                <w:noProof/>
                <w:lang w:val="de-DE"/>
              </w:rPr>
              <w:t>M6C1-10</w:t>
            </w:r>
          </w:p>
        </w:tc>
        <w:tc>
          <w:tcPr>
            <w:tcW w:w="2553" w:type="dxa"/>
            <w:shd w:val="clear" w:color="auto" w:fill="C6EFCE"/>
            <w:tcMar>
              <w:left w:w="108" w:type="dxa"/>
              <w:right w:w="108" w:type="dxa"/>
            </w:tcMar>
            <w:vAlign w:val="center"/>
          </w:tcPr>
          <w:p w14:paraId="5AC436D7" w14:textId="77777777" w:rsidR="0057163C" w:rsidRPr="00170422" w:rsidRDefault="00F37BF9">
            <w:pPr>
              <w:pStyle w:val="P68B1DB1-Normal121"/>
              <w:spacing w:after="0" w:line="240" w:lineRule="auto"/>
              <w:rPr>
                <w:noProof/>
                <w:lang w:val="de-DE"/>
              </w:rPr>
            </w:pPr>
            <w:r w:rsidRPr="00170422">
              <w:rPr>
                <w:noProof/>
                <w:lang w:val="de-DE"/>
              </w:rPr>
              <w:t>Investition 1.3: Stärkung der zwischengeschalteten Gesundheitsversorgung und ihrer Einrichtungen (Gemeinschaftskrankenhäuser)</w:t>
            </w:r>
          </w:p>
        </w:tc>
        <w:tc>
          <w:tcPr>
            <w:tcW w:w="2047" w:type="dxa"/>
            <w:shd w:val="clear" w:color="auto" w:fill="C6EFCE"/>
            <w:tcMar>
              <w:left w:w="108" w:type="dxa"/>
              <w:right w:w="108" w:type="dxa"/>
            </w:tcMar>
            <w:vAlign w:val="center"/>
          </w:tcPr>
          <w:p w14:paraId="3478C5D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84A02D3" w14:textId="633FB64B" w:rsidR="0057163C" w:rsidRPr="00170422" w:rsidRDefault="00F37BF9">
            <w:pPr>
              <w:pStyle w:val="P68B1DB1-Normal121"/>
              <w:spacing w:after="0" w:line="240" w:lineRule="auto"/>
              <w:rPr>
                <w:noProof/>
                <w:lang w:val="de-DE"/>
              </w:rPr>
            </w:pPr>
            <w:r w:rsidRPr="00170422">
              <w:rPr>
                <w:noProof/>
                <w:lang w:val="de-DE"/>
              </w:rPr>
              <w:t xml:space="preserve">Genehmigung eines Vertrags über die institutionelle </w:t>
            </w:r>
            <w:r w:rsidRPr="00170422">
              <w:rPr>
                <w:noProof/>
                <w:lang w:val="de-DE"/>
              </w:rPr>
              <w:t>Entwicklung (Contratto Istituzionale di Sviluppo)</w:t>
            </w:r>
          </w:p>
        </w:tc>
      </w:tr>
      <w:tr w:rsidR="0057163C" w:rsidRPr="00170422" w14:paraId="3F0387CE" w14:textId="77777777" w:rsidTr="001C6E23">
        <w:trPr>
          <w:trHeight w:val="300"/>
        </w:trPr>
        <w:tc>
          <w:tcPr>
            <w:tcW w:w="1200" w:type="dxa"/>
            <w:shd w:val="clear" w:color="auto" w:fill="C6EFCE"/>
            <w:tcMar>
              <w:left w:w="108" w:type="dxa"/>
              <w:right w:w="108" w:type="dxa"/>
            </w:tcMar>
            <w:vAlign w:val="center"/>
          </w:tcPr>
          <w:p w14:paraId="457F3689" w14:textId="77777777" w:rsidR="0057163C" w:rsidRPr="00170422" w:rsidRDefault="00F37BF9">
            <w:pPr>
              <w:pStyle w:val="P68B1DB1-Normal121"/>
              <w:spacing w:after="0" w:line="240" w:lineRule="auto"/>
              <w:jc w:val="center"/>
              <w:rPr>
                <w:noProof/>
                <w:lang w:val="de-DE"/>
              </w:rPr>
            </w:pPr>
            <w:r w:rsidRPr="00170422">
              <w:rPr>
                <w:noProof/>
                <w:lang w:val="de-DE"/>
              </w:rPr>
              <w:t>M6C2-5</w:t>
            </w:r>
          </w:p>
        </w:tc>
        <w:tc>
          <w:tcPr>
            <w:tcW w:w="2553" w:type="dxa"/>
            <w:shd w:val="clear" w:color="auto" w:fill="C6EFCE"/>
            <w:tcMar>
              <w:left w:w="108" w:type="dxa"/>
              <w:right w:w="108" w:type="dxa"/>
            </w:tcMar>
            <w:vAlign w:val="center"/>
          </w:tcPr>
          <w:p w14:paraId="3C5BF904" w14:textId="77777777" w:rsidR="0057163C" w:rsidRPr="00170422" w:rsidRDefault="00F37BF9">
            <w:pPr>
              <w:pStyle w:val="P68B1DB1-Normal123"/>
              <w:spacing w:after="0" w:line="240" w:lineRule="auto"/>
              <w:rPr>
                <w:noProof/>
                <w:lang w:val="de-DE"/>
              </w:rPr>
            </w:pPr>
            <w:r w:rsidRPr="00170422">
              <w:rPr>
                <w:noProof/>
                <w:lang w:val="de-DE"/>
              </w:rPr>
              <w:t>Investition 1.1: Digitale Aktualisierung der technischen Ausrüstung von Krankenhäusern</w:t>
            </w:r>
          </w:p>
        </w:tc>
        <w:tc>
          <w:tcPr>
            <w:tcW w:w="2047" w:type="dxa"/>
            <w:shd w:val="clear" w:color="auto" w:fill="C6EFCE"/>
            <w:tcMar>
              <w:left w:w="108" w:type="dxa"/>
              <w:right w:w="108" w:type="dxa"/>
            </w:tcMar>
            <w:vAlign w:val="center"/>
          </w:tcPr>
          <w:p w14:paraId="2F6CE0BA" w14:textId="77777777" w:rsidR="0057163C" w:rsidRPr="00170422" w:rsidRDefault="00F37BF9">
            <w:pPr>
              <w:pStyle w:val="P68B1DB1-Normal123"/>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EF603FA" w14:textId="77777777" w:rsidR="0057163C" w:rsidRPr="00170422" w:rsidRDefault="00F37BF9">
            <w:pPr>
              <w:pStyle w:val="P68B1DB1-Normal123"/>
              <w:spacing w:after="0" w:line="240" w:lineRule="auto"/>
              <w:rPr>
                <w:noProof/>
                <w:lang w:val="de-DE"/>
              </w:rPr>
            </w:pPr>
            <w:r w:rsidRPr="00170422">
              <w:rPr>
                <w:noProof/>
                <w:lang w:val="de-DE"/>
              </w:rPr>
              <w:t>Genehmigung des Vertrags über die institutionelle Entwicklung</w:t>
            </w:r>
          </w:p>
        </w:tc>
      </w:tr>
      <w:tr w:rsidR="0057163C" w:rsidRPr="00170422" w14:paraId="64DF2753" w14:textId="77777777" w:rsidTr="001C6E23">
        <w:trPr>
          <w:trHeight w:val="300"/>
        </w:trPr>
        <w:tc>
          <w:tcPr>
            <w:tcW w:w="1200" w:type="dxa"/>
            <w:shd w:val="clear" w:color="auto" w:fill="C6EFCE"/>
            <w:tcMar>
              <w:left w:w="108" w:type="dxa"/>
              <w:right w:w="108" w:type="dxa"/>
            </w:tcMar>
            <w:vAlign w:val="center"/>
          </w:tcPr>
          <w:p w14:paraId="057DB897"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553" w:type="dxa"/>
            <w:shd w:val="clear" w:color="auto" w:fill="C6EFCE"/>
            <w:tcMar>
              <w:left w:w="108" w:type="dxa"/>
              <w:right w:w="108" w:type="dxa"/>
            </w:tcMar>
            <w:vAlign w:val="center"/>
          </w:tcPr>
          <w:p w14:paraId="431F28A9"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047" w:type="dxa"/>
            <w:shd w:val="clear" w:color="auto" w:fill="C6EFCE"/>
            <w:tcMar>
              <w:left w:w="108" w:type="dxa"/>
              <w:right w:w="108" w:type="dxa"/>
            </w:tcMar>
            <w:vAlign w:val="center"/>
          </w:tcPr>
          <w:p w14:paraId="1D67B0E4"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8" w:type="dxa"/>
            <w:shd w:val="clear" w:color="auto" w:fill="C6EFCE"/>
            <w:tcMar>
              <w:left w:w="108" w:type="dxa"/>
              <w:right w:w="108" w:type="dxa"/>
            </w:tcMar>
            <w:vAlign w:val="center"/>
          </w:tcPr>
          <w:p w14:paraId="2DF9D7F9"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12643678161 EUR</w:t>
            </w:r>
            <w:r w:rsidRPr="00170422">
              <w:rPr>
                <w:noProof/>
                <w:sz w:val="23"/>
                <w:szCs w:val="23"/>
                <w:lang w:val="de-DE"/>
              </w:rPr>
              <w:t xml:space="preserve">  </w:t>
            </w:r>
          </w:p>
        </w:tc>
      </w:tr>
    </w:tbl>
    <w:p w14:paraId="5FF47A03" w14:textId="77777777" w:rsidR="0057163C" w:rsidRPr="00170422" w:rsidRDefault="00F37BF9">
      <w:pPr>
        <w:pStyle w:val="Heading3"/>
        <w:numPr>
          <w:ilvl w:val="1"/>
          <w:numId w:val="179"/>
        </w:numPr>
        <w:tabs>
          <w:tab w:val="clear" w:pos="850"/>
          <w:tab w:val="num" w:pos="1440"/>
        </w:tabs>
        <w:ind w:left="1440" w:hanging="360"/>
        <w:rPr>
          <w:rFonts w:ascii="Times New Roman" w:hAnsi="Times New Roman" w:cs="Times New Roman"/>
          <w:noProof/>
          <w:color w:val="auto"/>
          <w:sz w:val="24"/>
          <w:szCs w:val="24"/>
          <w:lang w:val="de-DE"/>
        </w:rPr>
      </w:pPr>
      <w:r w:rsidRPr="00170422">
        <w:rPr>
          <w:rFonts w:ascii="Times New Roman" w:eastAsia="Times New Roman" w:hAnsi="Times New Roman" w:cs="Times New Roman"/>
          <w:noProof/>
          <w:lang w:val="de-DE"/>
        </w:rPr>
        <w:t xml:space="preserve"> </w:t>
      </w:r>
      <w:r w:rsidRPr="00170422">
        <w:rPr>
          <w:rFonts w:ascii="Times New Roman" w:hAnsi="Times New Roman" w:cs="Times New Roman"/>
          <w:noProof/>
          <w:color w:val="auto"/>
          <w:sz w:val="24"/>
          <w:szCs w:val="24"/>
          <w:lang w:val="de-DE"/>
        </w:rPr>
        <w:t>Dritte Tranche (Unterstützung in Form eines Darlehens):</w:t>
      </w:r>
    </w:p>
    <w:tbl>
      <w:tblPr>
        <w:tblW w:w="935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2534"/>
        <w:gridCol w:w="2126"/>
        <w:gridCol w:w="3556"/>
      </w:tblGrid>
      <w:tr w:rsidR="0057163C" w:rsidRPr="00170422" w14:paraId="2DFE4EE3" w14:textId="77777777" w:rsidTr="001C6E23">
        <w:trPr>
          <w:trHeight w:val="900"/>
          <w:tblHeader/>
        </w:trPr>
        <w:tc>
          <w:tcPr>
            <w:tcW w:w="1140" w:type="dxa"/>
            <w:vMerge w:val="restart"/>
            <w:shd w:val="clear" w:color="auto" w:fill="BDD7EE"/>
            <w:tcMar>
              <w:left w:w="108" w:type="dxa"/>
              <w:right w:w="108" w:type="dxa"/>
            </w:tcMar>
            <w:vAlign w:val="center"/>
          </w:tcPr>
          <w:p w14:paraId="40F99D48"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534" w:type="dxa"/>
            <w:vMerge w:val="restart"/>
            <w:shd w:val="clear" w:color="auto" w:fill="BDD7EE"/>
            <w:tcMar>
              <w:left w:w="108" w:type="dxa"/>
              <w:right w:w="108" w:type="dxa"/>
            </w:tcMar>
            <w:vAlign w:val="center"/>
          </w:tcPr>
          <w:p w14:paraId="4313A4FA"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26" w:type="dxa"/>
            <w:vMerge w:val="restart"/>
            <w:shd w:val="clear" w:color="auto" w:fill="BDD7EE"/>
            <w:tcMar>
              <w:left w:w="108" w:type="dxa"/>
              <w:right w:w="108" w:type="dxa"/>
            </w:tcMar>
            <w:vAlign w:val="center"/>
          </w:tcPr>
          <w:p w14:paraId="63ACF225"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6" w:type="dxa"/>
            <w:vMerge w:val="restart"/>
            <w:shd w:val="clear" w:color="auto" w:fill="BDD7EE"/>
            <w:tcMar>
              <w:left w:w="108" w:type="dxa"/>
              <w:right w:w="108" w:type="dxa"/>
            </w:tcMar>
            <w:vAlign w:val="center"/>
          </w:tcPr>
          <w:p w14:paraId="7CD261C9"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14D863AC" w14:textId="77777777" w:rsidTr="001C6E23">
        <w:trPr>
          <w:trHeight w:val="465"/>
        </w:trPr>
        <w:tc>
          <w:tcPr>
            <w:tcW w:w="1140" w:type="dxa"/>
            <w:vMerge/>
            <w:vAlign w:val="center"/>
          </w:tcPr>
          <w:p w14:paraId="10251F7A"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534" w:type="dxa"/>
            <w:vMerge/>
            <w:vAlign w:val="center"/>
          </w:tcPr>
          <w:p w14:paraId="7B3549F5"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vAlign w:val="center"/>
          </w:tcPr>
          <w:p w14:paraId="46633683"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6" w:type="dxa"/>
            <w:vMerge/>
            <w:vAlign w:val="center"/>
          </w:tcPr>
          <w:p w14:paraId="672F18D4"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0995E2C1" w14:textId="77777777" w:rsidTr="001C6E23">
        <w:trPr>
          <w:trHeight w:val="300"/>
        </w:trPr>
        <w:tc>
          <w:tcPr>
            <w:tcW w:w="1140" w:type="dxa"/>
            <w:shd w:val="clear" w:color="auto" w:fill="C6EFCE"/>
            <w:tcMar>
              <w:left w:w="108" w:type="dxa"/>
              <w:right w:w="108" w:type="dxa"/>
            </w:tcMar>
            <w:vAlign w:val="center"/>
          </w:tcPr>
          <w:p w14:paraId="4C746B1E" w14:textId="77777777" w:rsidR="0057163C" w:rsidRPr="00170422" w:rsidRDefault="00F37BF9">
            <w:pPr>
              <w:pStyle w:val="P68B1DB1-Normal121"/>
              <w:spacing w:after="0" w:line="240" w:lineRule="auto"/>
              <w:jc w:val="center"/>
              <w:rPr>
                <w:noProof/>
                <w:lang w:val="de-DE"/>
              </w:rPr>
            </w:pPr>
            <w:r w:rsidRPr="00170422">
              <w:rPr>
                <w:noProof/>
                <w:lang w:val="de-DE"/>
              </w:rPr>
              <w:t>M2C1-18</w:t>
            </w:r>
          </w:p>
        </w:tc>
        <w:tc>
          <w:tcPr>
            <w:tcW w:w="2534" w:type="dxa"/>
            <w:shd w:val="clear" w:color="auto" w:fill="C6EFCE"/>
            <w:tcMar>
              <w:left w:w="108" w:type="dxa"/>
              <w:right w:w="108" w:type="dxa"/>
            </w:tcMar>
            <w:vAlign w:val="center"/>
          </w:tcPr>
          <w:p w14:paraId="293E2921" w14:textId="77777777" w:rsidR="0057163C" w:rsidRPr="00170422" w:rsidRDefault="00F37BF9">
            <w:pPr>
              <w:pStyle w:val="P68B1DB1-Normal121"/>
              <w:spacing w:after="0" w:line="240" w:lineRule="auto"/>
              <w:rPr>
                <w:noProof/>
                <w:lang w:val="de-DE"/>
              </w:rPr>
            </w:pPr>
            <w:r w:rsidRPr="00170422">
              <w:rPr>
                <w:noProof/>
                <w:lang w:val="de-DE"/>
              </w:rPr>
              <w:t>Investition 3.1: Grüne Inseln</w:t>
            </w:r>
          </w:p>
        </w:tc>
        <w:tc>
          <w:tcPr>
            <w:tcW w:w="2126" w:type="dxa"/>
            <w:shd w:val="clear" w:color="auto" w:fill="C6EFCE"/>
            <w:tcMar>
              <w:left w:w="108" w:type="dxa"/>
              <w:right w:w="108" w:type="dxa"/>
            </w:tcMar>
            <w:vAlign w:val="center"/>
          </w:tcPr>
          <w:p w14:paraId="50BC988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6E353096" w14:textId="77777777" w:rsidR="0057163C" w:rsidRPr="00170422" w:rsidRDefault="00F37BF9">
            <w:pPr>
              <w:pStyle w:val="P68B1DB1-Normal121"/>
              <w:spacing w:after="0" w:line="240" w:lineRule="auto"/>
              <w:rPr>
                <w:noProof/>
                <w:lang w:val="de-DE"/>
              </w:rPr>
            </w:pPr>
            <w:r w:rsidRPr="00170422">
              <w:rPr>
                <w:noProof/>
                <w:lang w:val="de-DE"/>
              </w:rPr>
              <w:t xml:space="preserve">Inkrafttreten des </w:t>
            </w:r>
            <w:r w:rsidRPr="00170422">
              <w:rPr>
                <w:noProof/>
                <w:lang w:val="de-DE"/>
              </w:rPr>
              <w:t>Direktorialdekrets</w:t>
            </w:r>
          </w:p>
        </w:tc>
      </w:tr>
      <w:tr w:rsidR="0057163C" w:rsidRPr="00170422" w14:paraId="18C8F707" w14:textId="77777777" w:rsidTr="001C6E23">
        <w:trPr>
          <w:trHeight w:val="300"/>
        </w:trPr>
        <w:tc>
          <w:tcPr>
            <w:tcW w:w="1140" w:type="dxa"/>
            <w:shd w:val="clear" w:color="auto" w:fill="C6EFCE"/>
            <w:tcMar>
              <w:left w:w="108" w:type="dxa"/>
              <w:right w:w="108" w:type="dxa"/>
            </w:tcMar>
            <w:vAlign w:val="center"/>
          </w:tcPr>
          <w:p w14:paraId="5628CE1E" w14:textId="77777777" w:rsidR="0057163C" w:rsidRPr="00170422" w:rsidRDefault="00F37BF9">
            <w:pPr>
              <w:pStyle w:val="P68B1DB1-Normal121"/>
              <w:spacing w:after="0" w:line="240" w:lineRule="auto"/>
              <w:jc w:val="center"/>
              <w:rPr>
                <w:noProof/>
                <w:lang w:val="de-DE"/>
              </w:rPr>
            </w:pPr>
            <w:r w:rsidRPr="00170422">
              <w:rPr>
                <w:noProof/>
                <w:lang w:val="de-DE"/>
              </w:rPr>
              <w:t>M2C1-20</w:t>
            </w:r>
          </w:p>
        </w:tc>
        <w:tc>
          <w:tcPr>
            <w:tcW w:w="2534" w:type="dxa"/>
            <w:shd w:val="clear" w:color="auto" w:fill="C6EFCE"/>
            <w:tcMar>
              <w:left w:w="108" w:type="dxa"/>
              <w:right w:w="108" w:type="dxa"/>
            </w:tcMar>
            <w:vAlign w:val="center"/>
          </w:tcPr>
          <w:p w14:paraId="76784417" w14:textId="77777777" w:rsidR="0057163C" w:rsidRPr="00170422" w:rsidRDefault="00F37BF9">
            <w:pPr>
              <w:pStyle w:val="P68B1DB1-Normal121"/>
              <w:spacing w:after="0" w:line="240" w:lineRule="auto"/>
              <w:rPr>
                <w:noProof/>
                <w:lang w:val="de-DE"/>
              </w:rPr>
            </w:pPr>
            <w:r w:rsidRPr="00170422">
              <w:rPr>
                <w:noProof/>
                <w:lang w:val="de-DE"/>
              </w:rPr>
              <w:t>Investition 3.2: Grüne Gemeinschaften</w:t>
            </w:r>
          </w:p>
        </w:tc>
        <w:tc>
          <w:tcPr>
            <w:tcW w:w="2126" w:type="dxa"/>
            <w:shd w:val="clear" w:color="auto" w:fill="C6EFCE"/>
            <w:tcMar>
              <w:left w:w="108" w:type="dxa"/>
              <w:right w:w="108" w:type="dxa"/>
            </w:tcMar>
            <w:vAlign w:val="center"/>
          </w:tcPr>
          <w:p w14:paraId="7ED9157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6919AB2E" w14:textId="77777777" w:rsidR="0057163C" w:rsidRPr="00170422" w:rsidRDefault="00F37BF9">
            <w:pPr>
              <w:pStyle w:val="P68B1DB1-Normal121"/>
              <w:spacing w:after="0" w:line="240" w:lineRule="auto"/>
              <w:rPr>
                <w:noProof/>
                <w:lang w:val="de-DE"/>
              </w:rPr>
            </w:pPr>
            <w:r w:rsidRPr="00170422">
              <w:rPr>
                <w:noProof/>
                <w:lang w:val="de-DE"/>
              </w:rPr>
              <w:t>Vergabe von (allen) öffentlichen Aufträgen für die Auswahl grüner Gemeinschaften</w:t>
            </w:r>
          </w:p>
        </w:tc>
      </w:tr>
      <w:tr w:rsidR="0057163C" w:rsidRPr="00170422" w14:paraId="4AF1E29F" w14:textId="77777777" w:rsidTr="001C6E23">
        <w:trPr>
          <w:trHeight w:val="300"/>
        </w:trPr>
        <w:tc>
          <w:tcPr>
            <w:tcW w:w="1140" w:type="dxa"/>
            <w:shd w:val="clear" w:color="auto" w:fill="C6EFCE"/>
            <w:tcMar>
              <w:left w:w="108" w:type="dxa"/>
              <w:right w:w="108" w:type="dxa"/>
            </w:tcMar>
            <w:vAlign w:val="center"/>
          </w:tcPr>
          <w:p w14:paraId="70B98FEC" w14:textId="77777777" w:rsidR="0057163C" w:rsidRPr="00170422" w:rsidRDefault="00F37BF9">
            <w:pPr>
              <w:pStyle w:val="P68B1DB1-Normal121"/>
              <w:spacing w:after="0" w:line="240" w:lineRule="auto"/>
              <w:jc w:val="center"/>
              <w:rPr>
                <w:noProof/>
                <w:lang w:val="de-DE"/>
              </w:rPr>
            </w:pPr>
            <w:r w:rsidRPr="00170422">
              <w:rPr>
                <w:noProof/>
                <w:lang w:val="de-DE"/>
              </w:rPr>
              <w:t>M5C2-17</w:t>
            </w:r>
          </w:p>
        </w:tc>
        <w:tc>
          <w:tcPr>
            <w:tcW w:w="2534" w:type="dxa"/>
            <w:shd w:val="clear" w:color="auto" w:fill="C6EFCE"/>
            <w:tcMar>
              <w:left w:w="108" w:type="dxa"/>
              <w:right w:w="108" w:type="dxa"/>
            </w:tcMar>
            <w:vAlign w:val="center"/>
          </w:tcPr>
          <w:p w14:paraId="19D33C69" w14:textId="77777777" w:rsidR="0057163C" w:rsidRPr="00170422" w:rsidRDefault="00F37BF9">
            <w:pPr>
              <w:pStyle w:val="P68B1DB1-Normal121"/>
              <w:spacing w:after="0" w:line="240" w:lineRule="auto"/>
              <w:rPr>
                <w:noProof/>
                <w:lang w:val="de-DE"/>
              </w:rPr>
            </w:pPr>
            <w:r w:rsidRPr="00170422">
              <w:rPr>
                <w:noProof/>
                <w:lang w:val="de-DE"/>
              </w:rPr>
              <w:t>Investition 5 – integrierte städtische Pläne – EIB-Fonds-Of-Fonds</w:t>
            </w:r>
          </w:p>
        </w:tc>
        <w:tc>
          <w:tcPr>
            <w:tcW w:w="2126" w:type="dxa"/>
            <w:shd w:val="clear" w:color="auto" w:fill="C6EFCE"/>
            <w:tcMar>
              <w:left w:w="108" w:type="dxa"/>
              <w:right w:w="108" w:type="dxa"/>
            </w:tcMar>
            <w:vAlign w:val="center"/>
          </w:tcPr>
          <w:p w14:paraId="57C13C5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2B35D324" w14:textId="77777777" w:rsidR="0057163C" w:rsidRPr="00170422" w:rsidRDefault="00F37BF9">
            <w:pPr>
              <w:pStyle w:val="P68B1DB1-Normal121"/>
              <w:spacing w:after="0" w:line="240" w:lineRule="auto"/>
              <w:rPr>
                <w:noProof/>
                <w:lang w:val="de-DE"/>
              </w:rPr>
            </w:pPr>
            <w:r w:rsidRPr="00170422">
              <w:rPr>
                <w:noProof/>
                <w:lang w:val="de-DE"/>
              </w:rPr>
              <w:t xml:space="preserve">Die </w:t>
            </w:r>
            <w:r w:rsidRPr="00170422">
              <w:rPr>
                <w:noProof/>
                <w:lang w:val="de-DE"/>
              </w:rPr>
              <w:t>Investitionsstrategie des Fonds wird vom Finanzministerium (MEF) genehmigt.</w:t>
            </w:r>
          </w:p>
        </w:tc>
      </w:tr>
      <w:tr w:rsidR="0057163C" w:rsidRPr="00170422" w14:paraId="634CE3AE" w14:textId="77777777" w:rsidTr="001C6E23">
        <w:trPr>
          <w:trHeight w:val="300"/>
        </w:trPr>
        <w:tc>
          <w:tcPr>
            <w:tcW w:w="1140" w:type="dxa"/>
            <w:shd w:val="clear" w:color="auto" w:fill="C6EFCE"/>
            <w:tcMar>
              <w:left w:w="108" w:type="dxa"/>
              <w:right w:w="108" w:type="dxa"/>
            </w:tcMar>
            <w:vAlign w:val="center"/>
          </w:tcPr>
          <w:p w14:paraId="3C8FBFBC" w14:textId="77777777" w:rsidR="0057163C" w:rsidRPr="00170422" w:rsidRDefault="00F37BF9">
            <w:pPr>
              <w:pStyle w:val="P68B1DB1-Normal121"/>
              <w:spacing w:after="0" w:line="240" w:lineRule="auto"/>
              <w:jc w:val="center"/>
              <w:rPr>
                <w:noProof/>
                <w:lang w:val="de-DE"/>
              </w:rPr>
            </w:pPr>
            <w:r w:rsidRPr="00170422">
              <w:rPr>
                <w:noProof/>
                <w:lang w:val="de-DE"/>
              </w:rPr>
              <w:t>M1C1-123</w:t>
            </w:r>
          </w:p>
        </w:tc>
        <w:tc>
          <w:tcPr>
            <w:tcW w:w="2534" w:type="dxa"/>
            <w:shd w:val="clear" w:color="auto" w:fill="C6EFCE"/>
            <w:tcMar>
              <w:left w:w="108" w:type="dxa"/>
              <w:right w:w="108" w:type="dxa"/>
            </w:tcMar>
            <w:vAlign w:val="center"/>
          </w:tcPr>
          <w:p w14:paraId="71BB5E32" w14:textId="77777777" w:rsidR="0057163C" w:rsidRPr="00170422" w:rsidRDefault="00F37BF9">
            <w:pPr>
              <w:pStyle w:val="P68B1DB1-Normal121"/>
              <w:spacing w:after="0" w:line="240" w:lineRule="auto"/>
              <w:rPr>
                <w:noProof/>
                <w:lang w:val="de-DE"/>
              </w:rPr>
            </w:pPr>
            <w:r w:rsidRPr="00170422">
              <w:rPr>
                <w:noProof/>
                <w:lang w:val="de-DE"/>
              </w:rPr>
              <w:t>Investition 1.6.3 – Digitalisierung der nationalen Sozialversicherungsanstalt (INPS) und des Nationalen Instituts für die Unfallversicherung (INAIL)</w:t>
            </w:r>
          </w:p>
        </w:tc>
        <w:tc>
          <w:tcPr>
            <w:tcW w:w="2126" w:type="dxa"/>
            <w:shd w:val="clear" w:color="auto" w:fill="C6EFCE"/>
            <w:tcMar>
              <w:left w:w="108" w:type="dxa"/>
              <w:right w:w="108" w:type="dxa"/>
            </w:tcMar>
            <w:vAlign w:val="center"/>
          </w:tcPr>
          <w:p w14:paraId="3C19884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6" w:type="dxa"/>
            <w:shd w:val="clear" w:color="auto" w:fill="C6EFCE"/>
            <w:tcMar>
              <w:left w:w="108" w:type="dxa"/>
              <w:right w:w="108" w:type="dxa"/>
            </w:tcMar>
            <w:vAlign w:val="center"/>
          </w:tcPr>
          <w:p w14:paraId="3A8D8C51" w14:textId="77777777" w:rsidR="0057163C" w:rsidRPr="00170422" w:rsidRDefault="00F37BF9">
            <w:pPr>
              <w:pStyle w:val="P68B1DB1-Normal121"/>
              <w:spacing w:after="0" w:line="240" w:lineRule="auto"/>
              <w:rPr>
                <w:noProof/>
                <w:lang w:val="de-DE"/>
              </w:rPr>
            </w:pPr>
            <w:r w:rsidRPr="00170422">
              <w:rPr>
                <w:noProof/>
                <w:lang w:val="de-DE"/>
              </w:rPr>
              <w:t xml:space="preserve">INPS – </w:t>
            </w:r>
            <w:r w:rsidRPr="00170422">
              <w:rPr>
                <w:noProof/>
                <w:lang w:val="de-DE"/>
              </w:rPr>
              <w:t>Dienstleistungen/Inhalt T1 „ein Klick durch Technikgestaltung“</w:t>
            </w:r>
          </w:p>
        </w:tc>
      </w:tr>
      <w:tr w:rsidR="0057163C" w:rsidRPr="00170422" w14:paraId="7ACD5CF3" w14:textId="77777777" w:rsidTr="001C6E23">
        <w:trPr>
          <w:trHeight w:val="300"/>
        </w:trPr>
        <w:tc>
          <w:tcPr>
            <w:tcW w:w="1140" w:type="dxa"/>
            <w:shd w:val="clear" w:color="auto" w:fill="C6EFCE"/>
            <w:tcMar>
              <w:left w:w="108" w:type="dxa"/>
              <w:right w:w="108" w:type="dxa"/>
            </w:tcMar>
            <w:vAlign w:val="center"/>
          </w:tcPr>
          <w:p w14:paraId="17C76567" w14:textId="77777777" w:rsidR="0057163C" w:rsidRPr="00170422" w:rsidRDefault="00F37BF9">
            <w:pPr>
              <w:pStyle w:val="P68B1DB1-Normal121"/>
              <w:spacing w:after="0" w:line="240" w:lineRule="auto"/>
              <w:jc w:val="center"/>
              <w:rPr>
                <w:noProof/>
                <w:lang w:val="de-DE"/>
              </w:rPr>
            </w:pPr>
            <w:r w:rsidRPr="00170422">
              <w:rPr>
                <w:noProof/>
                <w:lang w:val="de-DE"/>
              </w:rPr>
              <w:t>M1C1-124</w:t>
            </w:r>
          </w:p>
        </w:tc>
        <w:tc>
          <w:tcPr>
            <w:tcW w:w="2534" w:type="dxa"/>
            <w:shd w:val="clear" w:color="auto" w:fill="C6EFCE"/>
            <w:tcMar>
              <w:left w:w="108" w:type="dxa"/>
              <w:right w:w="108" w:type="dxa"/>
            </w:tcMar>
            <w:vAlign w:val="center"/>
          </w:tcPr>
          <w:p w14:paraId="5789D611" w14:textId="77777777" w:rsidR="0057163C" w:rsidRPr="00170422" w:rsidRDefault="00F37BF9">
            <w:pPr>
              <w:pStyle w:val="P68B1DB1-Normal121"/>
              <w:spacing w:after="0" w:line="240" w:lineRule="auto"/>
              <w:rPr>
                <w:noProof/>
                <w:lang w:val="de-DE"/>
              </w:rPr>
            </w:pPr>
            <w:r w:rsidRPr="00170422">
              <w:rPr>
                <w:noProof/>
                <w:lang w:val="de-DE"/>
              </w:rPr>
              <w:t>Investition 1.6.3 – Digitalisierung der nationalen Sozialversicherungsanstalt (INPS) und des Nationalen Instituts für die Unfallversicherung (INAIL)</w:t>
            </w:r>
          </w:p>
        </w:tc>
        <w:tc>
          <w:tcPr>
            <w:tcW w:w="2126" w:type="dxa"/>
            <w:shd w:val="clear" w:color="auto" w:fill="C6EFCE"/>
            <w:tcMar>
              <w:left w:w="108" w:type="dxa"/>
              <w:right w:w="108" w:type="dxa"/>
            </w:tcMar>
            <w:vAlign w:val="center"/>
          </w:tcPr>
          <w:p w14:paraId="5DE6261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6" w:type="dxa"/>
            <w:shd w:val="clear" w:color="auto" w:fill="C6EFCE"/>
            <w:tcMar>
              <w:left w:w="108" w:type="dxa"/>
              <w:right w:w="108" w:type="dxa"/>
            </w:tcMar>
            <w:vAlign w:val="center"/>
          </w:tcPr>
          <w:p w14:paraId="6150FB81" w14:textId="77777777" w:rsidR="0057163C" w:rsidRPr="00170422" w:rsidRDefault="00F37BF9">
            <w:pPr>
              <w:pStyle w:val="P68B1DB1-Normal121"/>
              <w:spacing w:after="0" w:line="240" w:lineRule="auto"/>
              <w:rPr>
                <w:noProof/>
                <w:lang w:val="de-DE"/>
              </w:rPr>
            </w:pPr>
            <w:r w:rsidRPr="00170422">
              <w:rPr>
                <w:noProof/>
                <w:lang w:val="de-DE"/>
              </w:rPr>
              <w:t>INPS – Arbeitnehmer mit verbe</w:t>
            </w:r>
            <w:r w:rsidRPr="00170422">
              <w:rPr>
                <w:noProof/>
                <w:lang w:val="de-DE"/>
              </w:rPr>
              <w:t>sserten Kenntnissen im Bereich der Informations- und Kommunikationstechnologien (IKT) T1</w:t>
            </w:r>
          </w:p>
        </w:tc>
      </w:tr>
      <w:tr w:rsidR="0057163C" w:rsidRPr="00170422" w14:paraId="6EAB0752" w14:textId="77777777" w:rsidTr="001C6E23">
        <w:trPr>
          <w:trHeight w:val="300"/>
        </w:trPr>
        <w:tc>
          <w:tcPr>
            <w:tcW w:w="1140" w:type="dxa"/>
            <w:shd w:val="clear" w:color="auto" w:fill="C6EFCE"/>
            <w:tcMar>
              <w:left w:w="108" w:type="dxa"/>
              <w:right w:w="108" w:type="dxa"/>
            </w:tcMar>
            <w:vAlign w:val="center"/>
          </w:tcPr>
          <w:p w14:paraId="3373D55B" w14:textId="77777777" w:rsidR="0057163C" w:rsidRPr="00170422" w:rsidRDefault="00F37BF9">
            <w:pPr>
              <w:pStyle w:val="P68B1DB1-Normal121"/>
              <w:spacing w:after="0" w:line="240" w:lineRule="auto"/>
              <w:jc w:val="center"/>
              <w:rPr>
                <w:noProof/>
                <w:lang w:val="de-DE"/>
              </w:rPr>
            </w:pPr>
            <w:r w:rsidRPr="00170422">
              <w:rPr>
                <w:noProof/>
                <w:lang w:val="de-DE"/>
              </w:rPr>
              <w:t>M1C3-30</w:t>
            </w:r>
          </w:p>
        </w:tc>
        <w:tc>
          <w:tcPr>
            <w:tcW w:w="2534" w:type="dxa"/>
            <w:shd w:val="clear" w:color="auto" w:fill="C6EFCE"/>
            <w:tcMar>
              <w:left w:w="108" w:type="dxa"/>
              <w:right w:w="108" w:type="dxa"/>
            </w:tcMar>
            <w:vAlign w:val="center"/>
          </w:tcPr>
          <w:p w14:paraId="7DCCE04B" w14:textId="77777777" w:rsidR="0057163C" w:rsidRPr="00170422" w:rsidRDefault="00F37BF9">
            <w:pPr>
              <w:pStyle w:val="P68B1DB1-Normal121"/>
              <w:spacing w:after="0" w:line="240" w:lineRule="auto"/>
              <w:rPr>
                <w:noProof/>
                <w:lang w:val="de-DE"/>
              </w:rPr>
            </w:pPr>
            <w:r w:rsidRPr="00170422">
              <w:rPr>
                <w:noProof/>
                <w:lang w:val="de-DE"/>
              </w:rPr>
              <w:t>Investition 4.2:  Mittel für die Wettbewerbsfähigkeit von Tourismusunternehmen</w:t>
            </w:r>
          </w:p>
        </w:tc>
        <w:tc>
          <w:tcPr>
            <w:tcW w:w="2126" w:type="dxa"/>
            <w:shd w:val="clear" w:color="auto" w:fill="C6EFCE"/>
            <w:tcMar>
              <w:left w:w="108" w:type="dxa"/>
              <w:right w:w="108" w:type="dxa"/>
            </w:tcMar>
            <w:vAlign w:val="center"/>
          </w:tcPr>
          <w:p w14:paraId="37C58E1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6" w:type="dxa"/>
            <w:shd w:val="clear" w:color="auto" w:fill="C6EFCE"/>
            <w:tcMar>
              <w:left w:w="108" w:type="dxa"/>
              <w:right w:w="108" w:type="dxa"/>
            </w:tcMar>
            <w:vAlign w:val="center"/>
          </w:tcPr>
          <w:p w14:paraId="30E8D11D" w14:textId="77777777" w:rsidR="0057163C" w:rsidRPr="00170422" w:rsidRDefault="00F37BF9">
            <w:pPr>
              <w:pStyle w:val="P68B1DB1-Normal8"/>
              <w:spacing w:after="0" w:line="240" w:lineRule="auto"/>
              <w:rPr>
                <w:noProof/>
                <w:lang w:val="de-DE"/>
              </w:rPr>
            </w:pPr>
            <w:r w:rsidRPr="00170422">
              <w:rPr>
                <w:noProof/>
                <w:sz w:val="23"/>
                <w:szCs w:val="23"/>
                <w:lang w:val="de-DE"/>
              </w:rPr>
              <w:t xml:space="preserve">Thematische Fonds der </w:t>
            </w:r>
            <w:r w:rsidRPr="00170422">
              <w:rPr>
                <w:noProof/>
                <w:color w:val="006100"/>
                <w:sz w:val="20"/>
                <w:szCs w:val="20"/>
                <w:lang w:val="de-DE"/>
              </w:rPr>
              <w:t xml:space="preserve">Europäischen Investitionsbank: Auszahlung an den </w:t>
            </w:r>
            <w:r w:rsidRPr="00170422">
              <w:rPr>
                <w:noProof/>
                <w:color w:val="006100"/>
                <w:sz w:val="20"/>
                <w:szCs w:val="20"/>
                <w:lang w:val="de-DE"/>
              </w:rPr>
              <w:t>Fonds in Höhe von insgesamt</w:t>
            </w:r>
            <w:r w:rsidRPr="00170422">
              <w:rPr>
                <w:noProof/>
                <w:sz w:val="23"/>
                <w:szCs w:val="23"/>
                <w:lang w:val="de-DE"/>
              </w:rPr>
              <w:t xml:space="preserve"> </w:t>
            </w:r>
            <w:r w:rsidRPr="00170422">
              <w:rPr>
                <w:noProof/>
                <w:color w:val="006100"/>
                <w:sz w:val="20"/>
                <w:szCs w:val="20"/>
                <w:lang w:val="de-DE"/>
              </w:rPr>
              <w:t>350000000</w:t>
            </w:r>
            <w:r w:rsidRPr="00170422">
              <w:rPr>
                <w:noProof/>
                <w:sz w:val="23"/>
                <w:szCs w:val="23"/>
                <w:lang w:val="de-DE"/>
              </w:rPr>
              <w:t xml:space="preserve"> </w:t>
            </w:r>
            <w:r w:rsidRPr="00170422">
              <w:rPr>
                <w:noProof/>
                <w:color w:val="006100"/>
                <w:sz w:val="20"/>
                <w:szCs w:val="20"/>
                <w:lang w:val="de-DE"/>
              </w:rPr>
              <w:t>EUR.</w:t>
            </w:r>
          </w:p>
        </w:tc>
      </w:tr>
      <w:tr w:rsidR="0057163C" w:rsidRPr="00170422" w14:paraId="6B24EC1D" w14:textId="77777777" w:rsidTr="001C6E23">
        <w:trPr>
          <w:trHeight w:val="300"/>
        </w:trPr>
        <w:tc>
          <w:tcPr>
            <w:tcW w:w="1140" w:type="dxa"/>
            <w:shd w:val="clear" w:color="auto" w:fill="C6EFCE"/>
            <w:tcMar>
              <w:left w:w="108" w:type="dxa"/>
              <w:right w:w="108" w:type="dxa"/>
            </w:tcMar>
            <w:vAlign w:val="center"/>
          </w:tcPr>
          <w:p w14:paraId="3244C110" w14:textId="77777777" w:rsidR="0057163C" w:rsidRPr="00170422" w:rsidRDefault="00F37BF9">
            <w:pPr>
              <w:pStyle w:val="P68B1DB1-Normal121"/>
              <w:spacing w:after="0" w:line="240" w:lineRule="auto"/>
              <w:jc w:val="center"/>
              <w:rPr>
                <w:noProof/>
                <w:lang w:val="de-DE"/>
              </w:rPr>
            </w:pPr>
            <w:r w:rsidRPr="00170422">
              <w:rPr>
                <w:noProof/>
                <w:lang w:val="de-DE"/>
              </w:rPr>
              <w:t>M1C3-31</w:t>
            </w:r>
          </w:p>
        </w:tc>
        <w:tc>
          <w:tcPr>
            <w:tcW w:w="2534" w:type="dxa"/>
            <w:shd w:val="clear" w:color="auto" w:fill="C6EFCE"/>
            <w:tcMar>
              <w:left w:w="108" w:type="dxa"/>
              <w:right w:w="108" w:type="dxa"/>
            </w:tcMar>
            <w:vAlign w:val="center"/>
          </w:tcPr>
          <w:p w14:paraId="12AF486D" w14:textId="77777777" w:rsidR="0057163C" w:rsidRPr="00170422" w:rsidRDefault="00F37BF9">
            <w:pPr>
              <w:pStyle w:val="P68B1DB1-Normal121"/>
              <w:spacing w:after="0" w:line="240" w:lineRule="auto"/>
              <w:rPr>
                <w:noProof/>
                <w:lang w:val="de-DE"/>
              </w:rPr>
            </w:pPr>
            <w:r w:rsidRPr="00170422">
              <w:rPr>
                <w:noProof/>
                <w:lang w:val="de-DE"/>
              </w:rPr>
              <w:t>Investition 4.2:  Mittel für die Wettbewerbsfähigkeit von Tourismusunternehmen</w:t>
            </w:r>
          </w:p>
        </w:tc>
        <w:tc>
          <w:tcPr>
            <w:tcW w:w="2126" w:type="dxa"/>
            <w:shd w:val="clear" w:color="auto" w:fill="C6EFCE"/>
            <w:tcMar>
              <w:left w:w="108" w:type="dxa"/>
              <w:right w:w="108" w:type="dxa"/>
            </w:tcMar>
            <w:vAlign w:val="center"/>
          </w:tcPr>
          <w:p w14:paraId="697A274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6" w:type="dxa"/>
            <w:shd w:val="clear" w:color="auto" w:fill="C6EFCE"/>
            <w:tcMar>
              <w:left w:w="108" w:type="dxa"/>
              <w:right w:w="108" w:type="dxa"/>
            </w:tcMar>
            <w:vAlign w:val="center"/>
          </w:tcPr>
          <w:p w14:paraId="0E40E885"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Nationaler Tourismusfonds: Auszahlung von insgesamt 150 000 000 EUR an</w:t>
            </w:r>
            <w:r w:rsidRPr="00170422">
              <w:rPr>
                <w:noProof/>
                <w:sz w:val="23"/>
                <w:szCs w:val="23"/>
                <w:lang w:val="de-DE"/>
              </w:rPr>
              <w:t xml:space="preserve"> </w:t>
            </w:r>
            <w:r w:rsidRPr="00170422">
              <w:rPr>
                <w:noProof/>
                <w:color w:val="006100"/>
                <w:sz w:val="20"/>
                <w:szCs w:val="20"/>
                <w:lang w:val="de-DE"/>
              </w:rPr>
              <w:t>den</w:t>
            </w:r>
            <w:r w:rsidRPr="00170422">
              <w:rPr>
                <w:noProof/>
                <w:sz w:val="23"/>
                <w:szCs w:val="23"/>
                <w:lang w:val="de-DE"/>
              </w:rPr>
              <w:t xml:space="preserve"> </w:t>
            </w:r>
            <w:r w:rsidRPr="00170422">
              <w:rPr>
                <w:noProof/>
                <w:color w:val="006100"/>
                <w:sz w:val="20"/>
                <w:szCs w:val="20"/>
                <w:lang w:val="de-DE"/>
              </w:rPr>
              <w:t>Fonds zur Eigenkapitalunterstützung.</w:t>
            </w:r>
          </w:p>
        </w:tc>
      </w:tr>
      <w:tr w:rsidR="0057163C" w:rsidRPr="00170422" w14:paraId="68573C68" w14:textId="77777777" w:rsidTr="001C6E23">
        <w:trPr>
          <w:trHeight w:val="300"/>
        </w:trPr>
        <w:tc>
          <w:tcPr>
            <w:tcW w:w="1140" w:type="dxa"/>
            <w:shd w:val="clear" w:color="auto" w:fill="C6EFCE"/>
            <w:tcMar>
              <w:left w:w="108" w:type="dxa"/>
              <w:right w:w="108" w:type="dxa"/>
            </w:tcMar>
            <w:vAlign w:val="center"/>
          </w:tcPr>
          <w:p w14:paraId="0282FE6A" w14:textId="77777777" w:rsidR="0057163C" w:rsidRPr="00170422" w:rsidRDefault="00F37BF9">
            <w:pPr>
              <w:pStyle w:val="P68B1DB1-Normal121"/>
              <w:spacing w:after="0" w:line="240" w:lineRule="auto"/>
              <w:jc w:val="center"/>
              <w:rPr>
                <w:noProof/>
                <w:lang w:val="de-DE"/>
              </w:rPr>
            </w:pPr>
            <w:r w:rsidRPr="00170422">
              <w:rPr>
                <w:noProof/>
                <w:lang w:val="de-DE"/>
              </w:rPr>
              <w:t>M2C3-9</w:t>
            </w:r>
          </w:p>
        </w:tc>
        <w:tc>
          <w:tcPr>
            <w:tcW w:w="2534" w:type="dxa"/>
            <w:shd w:val="clear" w:color="auto" w:fill="C6EFCE"/>
            <w:tcMar>
              <w:left w:w="108" w:type="dxa"/>
              <w:right w:w="108" w:type="dxa"/>
            </w:tcMar>
            <w:vAlign w:val="center"/>
          </w:tcPr>
          <w:p w14:paraId="7666CEF1" w14:textId="77777777" w:rsidR="0057163C" w:rsidRPr="00170422" w:rsidRDefault="00F37BF9">
            <w:pPr>
              <w:pStyle w:val="P68B1DB1-Normal121"/>
              <w:spacing w:after="0" w:line="240" w:lineRule="auto"/>
              <w:rPr>
                <w:noProof/>
                <w:lang w:val="de-DE"/>
              </w:rPr>
            </w:pPr>
            <w:r w:rsidRPr="00170422">
              <w:rPr>
                <w:noProof/>
                <w:lang w:val="de-DE"/>
              </w:rPr>
              <w:t>Investition 3.1: Förderung effizienter Fernwärme</w:t>
            </w:r>
          </w:p>
        </w:tc>
        <w:tc>
          <w:tcPr>
            <w:tcW w:w="2126" w:type="dxa"/>
            <w:shd w:val="clear" w:color="auto" w:fill="C6EFCE"/>
            <w:tcMar>
              <w:left w:w="108" w:type="dxa"/>
              <w:right w:w="108" w:type="dxa"/>
            </w:tcMar>
            <w:vAlign w:val="center"/>
          </w:tcPr>
          <w:p w14:paraId="611DFAB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56286FD6" w14:textId="77777777" w:rsidR="0057163C" w:rsidRPr="00170422" w:rsidRDefault="00F37BF9">
            <w:pPr>
              <w:pStyle w:val="P68B1DB1-Normal121"/>
              <w:spacing w:after="0" w:line="240" w:lineRule="auto"/>
              <w:rPr>
                <w:noProof/>
                <w:lang w:val="de-DE"/>
              </w:rPr>
            </w:pPr>
            <w:r w:rsidRPr="00170422">
              <w:rPr>
                <w:noProof/>
                <w:lang w:val="de-DE"/>
              </w:rPr>
              <w:t xml:space="preserve">Aufträge zur Verbesserung der Wärmenetze werden vom Ministerium für ökologischen Wandel nach einem öffentlichen Ausschreibungsverfahren vergeben. </w:t>
            </w:r>
          </w:p>
        </w:tc>
      </w:tr>
      <w:tr w:rsidR="0057163C" w:rsidRPr="00170422" w14:paraId="32C6BCA9" w14:textId="77777777" w:rsidTr="001C6E23">
        <w:trPr>
          <w:trHeight w:val="300"/>
        </w:trPr>
        <w:tc>
          <w:tcPr>
            <w:tcW w:w="1140" w:type="dxa"/>
            <w:shd w:val="clear" w:color="auto" w:fill="C6EFCE"/>
            <w:tcMar>
              <w:left w:w="108" w:type="dxa"/>
              <w:right w:w="108" w:type="dxa"/>
            </w:tcMar>
            <w:vAlign w:val="center"/>
          </w:tcPr>
          <w:p w14:paraId="75B54F8C" w14:textId="77777777" w:rsidR="0057163C" w:rsidRPr="00170422" w:rsidRDefault="00F37BF9">
            <w:pPr>
              <w:pStyle w:val="P68B1DB1-Normal121"/>
              <w:spacing w:after="0" w:line="240" w:lineRule="auto"/>
              <w:jc w:val="center"/>
              <w:rPr>
                <w:noProof/>
                <w:lang w:val="de-DE"/>
              </w:rPr>
            </w:pPr>
            <w:r w:rsidRPr="00170422">
              <w:rPr>
                <w:noProof/>
                <w:lang w:val="de-DE"/>
              </w:rPr>
              <w:t>M2C4-19</w:t>
            </w:r>
          </w:p>
        </w:tc>
        <w:tc>
          <w:tcPr>
            <w:tcW w:w="2534" w:type="dxa"/>
            <w:shd w:val="clear" w:color="auto" w:fill="C6EFCE"/>
            <w:tcMar>
              <w:left w:w="108" w:type="dxa"/>
              <w:right w:w="108" w:type="dxa"/>
            </w:tcMar>
            <w:vAlign w:val="center"/>
          </w:tcPr>
          <w:p w14:paraId="47B9B208" w14:textId="77777777" w:rsidR="0057163C" w:rsidRPr="00170422" w:rsidRDefault="00F37BF9">
            <w:pPr>
              <w:pStyle w:val="P68B1DB1-Normal121"/>
              <w:spacing w:after="0" w:line="240" w:lineRule="auto"/>
              <w:rPr>
                <w:noProof/>
                <w:lang w:val="de-DE"/>
              </w:rPr>
            </w:pPr>
            <w:r w:rsidRPr="00170422">
              <w:rPr>
                <w:noProof/>
                <w:lang w:val="de-DE"/>
              </w:rPr>
              <w:t xml:space="preserve">Investieren. 3.1: Schutz und </w:t>
            </w:r>
            <w:r w:rsidRPr="00170422">
              <w:rPr>
                <w:noProof/>
                <w:lang w:val="de-DE"/>
              </w:rPr>
              <w:t>Verbesserung städtischer und stadtnaher Wälder</w:t>
            </w:r>
          </w:p>
        </w:tc>
        <w:tc>
          <w:tcPr>
            <w:tcW w:w="2126" w:type="dxa"/>
            <w:shd w:val="clear" w:color="auto" w:fill="C6EFCE"/>
            <w:tcMar>
              <w:left w:w="108" w:type="dxa"/>
              <w:right w:w="108" w:type="dxa"/>
            </w:tcMar>
            <w:vAlign w:val="center"/>
          </w:tcPr>
          <w:p w14:paraId="39EFC6A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6" w:type="dxa"/>
            <w:shd w:val="clear" w:color="auto" w:fill="C6EFCE"/>
            <w:tcMar>
              <w:left w:w="108" w:type="dxa"/>
              <w:right w:w="108" w:type="dxa"/>
            </w:tcMar>
            <w:vAlign w:val="center"/>
          </w:tcPr>
          <w:p w14:paraId="3EA3F3A4" w14:textId="77777777" w:rsidR="0057163C" w:rsidRPr="00170422" w:rsidRDefault="00F37BF9">
            <w:pPr>
              <w:pStyle w:val="P68B1DB1-Normal121"/>
              <w:spacing w:after="0" w:line="240" w:lineRule="auto"/>
              <w:rPr>
                <w:noProof/>
                <w:lang w:val="de-DE"/>
              </w:rPr>
            </w:pPr>
            <w:r w:rsidRPr="00170422">
              <w:rPr>
                <w:noProof/>
                <w:lang w:val="de-DE"/>
              </w:rPr>
              <w:t>Pflanzenbäume zum Schutz und zur Valorisierung städtischer und stadtnaher Grünflächen T1</w:t>
            </w:r>
          </w:p>
        </w:tc>
      </w:tr>
      <w:tr w:rsidR="0057163C" w:rsidRPr="00170422" w14:paraId="33800F84" w14:textId="77777777" w:rsidTr="001C6E23">
        <w:trPr>
          <w:trHeight w:val="300"/>
        </w:trPr>
        <w:tc>
          <w:tcPr>
            <w:tcW w:w="1140" w:type="dxa"/>
            <w:shd w:val="clear" w:color="auto" w:fill="C6EFCE"/>
            <w:tcMar>
              <w:left w:w="108" w:type="dxa"/>
              <w:right w:w="108" w:type="dxa"/>
            </w:tcMar>
            <w:vAlign w:val="center"/>
          </w:tcPr>
          <w:p w14:paraId="0D407052" w14:textId="77777777" w:rsidR="0057163C" w:rsidRPr="00170422" w:rsidRDefault="00F37BF9">
            <w:pPr>
              <w:pStyle w:val="P68B1DB1-Normal121"/>
              <w:spacing w:after="0" w:line="240" w:lineRule="auto"/>
              <w:jc w:val="center"/>
              <w:rPr>
                <w:noProof/>
                <w:lang w:val="de-DE"/>
              </w:rPr>
            </w:pPr>
            <w:r w:rsidRPr="00170422">
              <w:rPr>
                <w:noProof/>
                <w:lang w:val="de-DE"/>
              </w:rPr>
              <w:t>M2C4-24</w:t>
            </w:r>
          </w:p>
        </w:tc>
        <w:tc>
          <w:tcPr>
            <w:tcW w:w="2534" w:type="dxa"/>
            <w:shd w:val="clear" w:color="auto" w:fill="C6EFCE"/>
            <w:tcMar>
              <w:left w:w="108" w:type="dxa"/>
              <w:right w:w="108" w:type="dxa"/>
            </w:tcMar>
            <w:vAlign w:val="center"/>
          </w:tcPr>
          <w:p w14:paraId="7C21B3DB" w14:textId="77777777" w:rsidR="0057163C" w:rsidRPr="00170422" w:rsidRDefault="00F37BF9">
            <w:pPr>
              <w:pStyle w:val="P68B1DB1-Normal121"/>
              <w:spacing w:after="0" w:line="240" w:lineRule="auto"/>
              <w:rPr>
                <w:noProof/>
                <w:lang w:val="de-DE"/>
              </w:rPr>
            </w:pPr>
            <w:r w:rsidRPr="00170422">
              <w:rPr>
                <w:noProof/>
                <w:lang w:val="de-DE"/>
              </w:rPr>
              <w:t>Investition 3.4. Sanierung von „Orphan-Standorten“</w:t>
            </w:r>
          </w:p>
        </w:tc>
        <w:tc>
          <w:tcPr>
            <w:tcW w:w="2126" w:type="dxa"/>
            <w:shd w:val="clear" w:color="auto" w:fill="C6EFCE"/>
            <w:tcMar>
              <w:left w:w="108" w:type="dxa"/>
              <w:right w:w="108" w:type="dxa"/>
            </w:tcMar>
            <w:vAlign w:val="center"/>
          </w:tcPr>
          <w:p w14:paraId="33FDCFF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2B2131CB" w14:textId="77777777" w:rsidR="0057163C" w:rsidRPr="00170422" w:rsidRDefault="00F37BF9">
            <w:pPr>
              <w:pStyle w:val="P68B1DB1-Normal121"/>
              <w:spacing w:after="0" w:line="240" w:lineRule="auto"/>
              <w:rPr>
                <w:noProof/>
                <w:lang w:val="de-DE"/>
              </w:rPr>
            </w:pPr>
            <w:r w:rsidRPr="00170422">
              <w:rPr>
                <w:noProof/>
                <w:lang w:val="de-DE"/>
              </w:rPr>
              <w:t>Rechtsrahmen für die Sanierung verwaister S</w:t>
            </w:r>
            <w:r w:rsidRPr="00170422">
              <w:rPr>
                <w:noProof/>
                <w:lang w:val="de-DE"/>
              </w:rPr>
              <w:t>tätten</w:t>
            </w:r>
          </w:p>
        </w:tc>
      </w:tr>
      <w:tr w:rsidR="0057163C" w:rsidRPr="00170422" w14:paraId="38297A94" w14:textId="77777777" w:rsidTr="001C6E23">
        <w:trPr>
          <w:trHeight w:val="300"/>
        </w:trPr>
        <w:tc>
          <w:tcPr>
            <w:tcW w:w="1140" w:type="dxa"/>
            <w:shd w:val="clear" w:color="auto" w:fill="C6EFCE"/>
            <w:tcMar>
              <w:left w:w="108" w:type="dxa"/>
              <w:right w:w="108" w:type="dxa"/>
            </w:tcMar>
            <w:vAlign w:val="center"/>
          </w:tcPr>
          <w:p w14:paraId="52DFFB77" w14:textId="77777777" w:rsidR="0057163C" w:rsidRPr="00170422" w:rsidRDefault="00F37BF9">
            <w:pPr>
              <w:pStyle w:val="P68B1DB1-Normal121"/>
              <w:spacing w:after="0" w:line="240" w:lineRule="auto"/>
              <w:jc w:val="center"/>
              <w:rPr>
                <w:noProof/>
                <w:lang w:val="de-DE"/>
              </w:rPr>
            </w:pPr>
            <w:r w:rsidRPr="00170422">
              <w:rPr>
                <w:noProof/>
                <w:lang w:val="de-DE"/>
              </w:rPr>
              <w:t>M3C1-3</w:t>
            </w:r>
          </w:p>
        </w:tc>
        <w:tc>
          <w:tcPr>
            <w:tcW w:w="2534" w:type="dxa"/>
            <w:shd w:val="clear" w:color="auto" w:fill="C6EFCE"/>
            <w:tcMar>
              <w:left w:w="108" w:type="dxa"/>
              <w:right w:w="108" w:type="dxa"/>
            </w:tcMar>
            <w:vAlign w:val="center"/>
          </w:tcPr>
          <w:p w14:paraId="75BEED21" w14:textId="77777777" w:rsidR="0057163C" w:rsidRPr="00170422" w:rsidRDefault="00F37BF9">
            <w:pPr>
              <w:pStyle w:val="P68B1DB1-Normal121"/>
              <w:spacing w:after="0" w:line="240" w:lineRule="auto"/>
              <w:rPr>
                <w:noProof/>
                <w:lang w:val="de-DE"/>
              </w:rPr>
            </w:pPr>
            <w:r w:rsidRPr="00170422">
              <w:rPr>
                <w:noProof/>
                <w:lang w:val="de-DE"/>
              </w:rPr>
              <w:t>Investition 1.1 – Hochgeschwindigkeitsbahnverbindungen nach Süden für den Personen- und Güterverkehr</w:t>
            </w:r>
          </w:p>
        </w:tc>
        <w:tc>
          <w:tcPr>
            <w:tcW w:w="2126" w:type="dxa"/>
            <w:shd w:val="clear" w:color="auto" w:fill="C6EFCE"/>
            <w:tcMar>
              <w:left w:w="108" w:type="dxa"/>
              <w:right w:w="108" w:type="dxa"/>
            </w:tcMar>
            <w:vAlign w:val="center"/>
          </w:tcPr>
          <w:p w14:paraId="389BF03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515B571B" w14:textId="77777777" w:rsidR="0057163C" w:rsidRPr="00170422" w:rsidRDefault="00F37BF9">
            <w:pPr>
              <w:pStyle w:val="P68B1DB1-Normal121"/>
              <w:spacing w:after="0" w:line="240" w:lineRule="auto"/>
              <w:rPr>
                <w:noProof/>
                <w:lang w:val="de-DE"/>
              </w:rPr>
            </w:pPr>
            <w:r w:rsidRPr="00170422">
              <w:rPr>
                <w:noProof/>
                <w:lang w:val="de-DE"/>
              </w:rPr>
              <w:t>Vergabe der Aufträge für den Bau von Hochgeschwindigkeitsbahnstrecken auf den Strecken Napoli-Bari und Palermo-Katania</w:t>
            </w:r>
          </w:p>
        </w:tc>
      </w:tr>
      <w:tr w:rsidR="0057163C" w:rsidRPr="00170422" w14:paraId="04BACB44" w14:textId="77777777" w:rsidTr="001C6E23">
        <w:trPr>
          <w:trHeight w:val="300"/>
        </w:trPr>
        <w:tc>
          <w:tcPr>
            <w:tcW w:w="1140" w:type="dxa"/>
            <w:shd w:val="clear" w:color="auto" w:fill="C6EFCE"/>
            <w:tcMar>
              <w:left w:w="108" w:type="dxa"/>
              <w:right w:w="108" w:type="dxa"/>
            </w:tcMar>
            <w:vAlign w:val="center"/>
          </w:tcPr>
          <w:p w14:paraId="2A505C74" w14:textId="77777777" w:rsidR="0057163C" w:rsidRPr="00170422" w:rsidRDefault="00F37BF9">
            <w:pPr>
              <w:pStyle w:val="P68B1DB1-Normal121"/>
              <w:spacing w:after="0" w:line="240" w:lineRule="auto"/>
              <w:jc w:val="center"/>
              <w:rPr>
                <w:noProof/>
                <w:lang w:val="de-DE"/>
              </w:rPr>
            </w:pPr>
            <w:r w:rsidRPr="00170422">
              <w:rPr>
                <w:noProof/>
                <w:lang w:val="de-DE"/>
              </w:rPr>
              <w:t>M3C1-12</w:t>
            </w:r>
          </w:p>
        </w:tc>
        <w:tc>
          <w:tcPr>
            <w:tcW w:w="2534" w:type="dxa"/>
            <w:shd w:val="clear" w:color="auto" w:fill="C6EFCE"/>
            <w:tcMar>
              <w:left w:w="108" w:type="dxa"/>
              <w:right w:w="108" w:type="dxa"/>
            </w:tcMar>
            <w:vAlign w:val="center"/>
          </w:tcPr>
          <w:p w14:paraId="67F79C10" w14:textId="77777777" w:rsidR="0057163C" w:rsidRPr="00170422" w:rsidRDefault="00F37BF9">
            <w:pPr>
              <w:pStyle w:val="P68B1DB1-Normal121"/>
              <w:spacing w:after="0" w:line="240" w:lineRule="auto"/>
              <w:rPr>
                <w:noProof/>
                <w:lang w:val="de-DE"/>
              </w:rPr>
            </w:pPr>
            <w:r w:rsidRPr="00170422">
              <w:rPr>
                <w:noProof/>
                <w:lang w:val="de-DE"/>
              </w:rPr>
              <w:t>Investition 1.4 – Einführung des Europäischen Eisenbahnverkehrsleitsystems (ERTMS)</w:t>
            </w:r>
          </w:p>
        </w:tc>
        <w:tc>
          <w:tcPr>
            <w:tcW w:w="2126" w:type="dxa"/>
            <w:shd w:val="clear" w:color="auto" w:fill="C6EFCE"/>
            <w:tcMar>
              <w:left w:w="108" w:type="dxa"/>
              <w:right w:w="108" w:type="dxa"/>
            </w:tcMar>
            <w:vAlign w:val="center"/>
          </w:tcPr>
          <w:p w14:paraId="212B0E6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0BD4FB56" w14:textId="77777777" w:rsidR="0057163C" w:rsidRPr="00170422" w:rsidRDefault="00F37BF9">
            <w:pPr>
              <w:pStyle w:val="P68B1DB1-Normal121"/>
              <w:spacing w:after="0" w:line="240" w:lineRule="auto"/>
              <w:rPr>
                <w:noProof/>
                <w:lang w:val="de-DE"/>
              </w:rPr>
            </w:pPr>
            <w:r w:rsidRPr="00170422">
              <w:rPr>
                <w:noProof/>
                <w:lang w:val="de-DE"/>
              </w:rPr>
              <w:t>Vergabe der Aufträge für das Europäische Eisenbahnverkehrsleitsystem</w:t>
            </w:r>
          </w:p>
        </w:tc>
      </w:tr>
      <w:tr w:rsidR="0057163C" w:rsidRPr="00170422" w14:paraId="701D372A" w14:textId="77777777" w:rsidTr="001C6E23">
        <w:trPr>
          <w:trHeight w:val="300"/>
        </w:trPr>
        <w:tc>
          <w:tcPr>
            <w:tcW w:w="1140" w:type="dxa"/>
            <w:shd w:val="clear" w:color="auto" w:fill="C6EFCE"/>
            <w:tcMar>
              <w:left w:w="108" w:type="dxa"/>
              <w:right w:w="108" w:type="dxa"/>
            </w:tcMar>
            <w:vAlign w:val="center"/>
          </w:tcPr>
          <w:p w14:paraId="0D14ABF3" w14:textId="77777777" w:rsidR="0057163C" w:rsidRPr="00170422" w:rsidRDefault="00F37BF9">
            <w:pPr>
              <w:pStyle w:val="P68B1DB1-Normal121"/>
              <w:spacing w:after="0" w:line="240" w:lineRule="auto"/>
              <w:jc w:val="center"/>
              <w:rPr>
                <w:noProof/>
                <w:lang w:val="de-DE"/>
              </w:rPr>
            </w:pPr>
            <w:r w:rsidRPr="00170422">
              <w:rPr>
                <w:noProof/>
                <w:lang w:val="de-DE"/>
              </w:rPr>
              <w:t>M3C2-8</w:t>
            </w:r>
          </w:p>
        </w:tc>
        <w:tc>
          <w:tcPr>
            <w:tcW w:w="2534" w:type="dxa"/>
            <w:shd w:val="clear" w:color="auto" w:fill="C6EFCE"/>
            <w:tcMar>
              <w:left w:w="108" w:type="dxa"/>
              <w:right w:w="108" w:type="dxa"/>
            </w:tcMar>
            <w:vAlign w:val="center"/>
          </w:tcPr>
          <w:p w14:paraId="6D153E40" w14:textId="77777777" w:rsidR="0057163C" w:rsidRPr="00170422" w:rsidRDefault="00F37BF9">
            <w:pPr>
              <w:pStyle w:val="P68B1DB1-Normal121"/>
              <w:spacing w:after="0" w:line="240" w:lineRule="auto"/>
              <w:rPr>
                <w:noProof/>
                <w:lang w:val="de-DE"/>
              </w:rPr>
            </w:pPr>
            <w:r w:rsidRPr="00170422">
              <w:rPr>
                <w:noProof/>
                <w:lang w:val="de-DE"/>
              </w:rPr>
              <w:t>Investition 1.1: „Grüne Häfen: Maßnahmen im Bereich der erneuerbaren Energien und de</w:t>
            </w:r>
            <w:r w:rsidRPr="00170422">
              <w:rPr>
                <w:noProof/>
                <w:lang w:val="de-DE"/>
              </w:rPr>
              <w:t>r Energieeffizienz in Häfen</w:t>
            </w:r>
          </w:p>
        </w:tc>
        <w:tc>
          <w:tcPr>
            <w:tcW w:w="2126" w:type="dxa"/>
            <w:shd w:val="clear" w:color="auto" w:fill="C6EFCE"/>
            <w:tcMar>
              <w:left w:w="108" w:type="dxa"/>
              <w:right w:w="108" w:type="dxa"/>
            </w:tcMar>
            <w:vAlign w:val="center"/>
          </w:tcPr>
          <w:p w14:paraId="6302073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6" w:type="dxa"/>
            <w:shd w:val="clear" w:color="auto" w:fill="C6EFCE"/>
            <w:tcMar>
              <w:left w:w="108" w:type="dxa"/>
              <w:right w:w="108" w:type="dxa"/>
            </w:tcMar>
            <w:vAlign w:val="center"/>
          </w:tcPr>
          <w:p w14:paraId="5FDB035F" w14:textId="77777777" w:rsidR="0057163C" w:rsidRPr="00170422" w:rsidRDefault="00F37BF9">
            <w:pPr>
              <w:pStyle w:val="P68B1DB1-Normal121"/>
              <w:spacing w:after="0" w:line="240" w:lineRule="auto"/>
              <w:rPr>
                <w:noProof/>
                <w:lang w:val="de-DE"/>
              </w:rPr>
            </w:pPr>
            <w:r w:rsidRPr="00170422">
              <w:rPr>
                <w:noProof/>
                <w:lang w:val="de-DE"/>
              </w:rPr>
              <w:t>„Grüne Häfen: Vergabe von Bauwerken</w:t>
            </w:r>
          </w:p>
        </w:tc>
      </w:tr>
      <w:tr w:rsidR="0057163C" w:rsidRPr="00170422" w14:paraId="52799645" w14:textId="77777777" w:rsidTr="001C6E23">
        <w:trPr>
          <w:trHeight w:val="300"/>
        </w:trPr>
        <w:tc>
          <w:tcPr>
            <w:tcW w:w="1140" w:type="dxa"/>
            <w:shd w:val="clear" w:color="auto" w:fill="C6EFCE"/>
            <w:tcMar>
              <w:left w:w="108" w:type="dxa"/>
              <w:right w:w="108" w:type="dxa"/>
            </w:tcMar>
            <w:vAlign w:val="center"/>
          </w:tcPr>
          <w:p w14:paraId="2BDA366D" w14:textId="77777777" w:rsidR="0057163C" w:rsidRPr="00170422" w:rsidRDefault="00F37BF9">
            <w:pPr>
              <w:pStyle w:val="P68B1DB1-Normal121"/>
              <w:spacing w:after="0" w:line="240" w:lineRule="auto"/>
              <w:jc w:val="center"/>
              <w:rPr>
                <w:noProof/>
                <w:lang w:val="de-DE"/>
              </w:rPr>
            </w:pPr>
            <w:r w:rsidRPr="00170422">
              <w:rPr>
                <w:noProof/>
                <w:lang w:val="de-DE"/>
              </w:rPr>
              <w:t>M4C1-29</w:t>
            </w:r>
          </w:p>
        </w:tc>
        <w:tc>
          <w:tcPr>
            <w:tcW w:w="2534" w:type="dxa"/>
            <w:shd w:val="clear" w:color="auto" w:fill="C6EFCE"/>
            <w:tcMar>
              <w:left w:w="108" w:type="dxa"/>
              <w:right w:w="108" w:type="dxa"/>
            </w:tcMar>
            <w:vAlign w:val="center"/>
          </w:tcPr>
          <w:p w14:paraId="6D66CA4A" w14:textId="77777777" w:rsidR="0057163C" w:rsidRPr="00170422" w:rsidRDefault="00F37BF9">
            <w:pPr>
              <w:pStyle w:val="P68B1DB1-Normal121"/>
              <w:spacing w:after="0" w:line="240" w:lineRule="auto"/>
              <w:rPr>
                <w:noProof/>
                <w:lang w:val="de-DE"/>
              </w:rPr>
            </w:pPr>
            <w:r w:rsidRPr="00170422">
              <w:rPr>
                <w:noProof/>
                <w:lang w:val="de-DE"/>
              </w:rPr>
              <w:t xml:space="preserve">Reform 1.7: Reform der Regelung für den Studentenwohnsitz und Investitionen in den Studentenwohnsitz </w:t>
            </w:r>
          </w:p>
        </w:tc>
        <w:tc>
          <w:tcPr>
            <w:tcW w:w="2126" w:type="dxa"/>
            <w:shd w:val="clear" w:color="auto" w:fill="C6EFCE"/>
            <w:tcMar>
              <w:left w:w="108" w:type="dxa"/>
              <w:right w:w="108" w:type="dxa"/>
            </w:tcMar>
            <w:vAlign w:val="center"/>
          </w:tcPr>
          <w:p w14:paraId="1B6B58C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003A2A68" w14:textId="77777777" w:rsidR="0057163C" w:rsidRPr="00170422" w:rsidRDefault="00F37BF9">
            <w:pPr>
              <w:pStyle w:val="P68B1DB1-Normal121"/>
              <w:spacing w:after="0" w:line="240" w:lineRule="auto"/>
              <w:rPr>
                <w:noProof/>
                <w:lang w:val="de-DE"/>
              </w:rPr>
            </w:pPr>
            <w:r w:rsidRPr="00170422">
              <w:rPr>
                <w:noProof/>
                <w:lang w:val="de-DE"/>
              </w:rPr>
              <w:t xml:space="preserve">Inkrafttreten der Reform des Studentenwohnrechts.    </w:t>
            </w:r>
          </w:p>
        </w:tc>
      </w:tr>
      <w:tr w:rsidR="0057163C" w:rsidRPr="00170422" w14:paraId="6EF6EB48" w14:textId="77777777" w:rsidTr="001C6E23">
        <w:trPr>
          <w:trHeight w:val="300"/>
        </w:trPr>
        <w:tc>
          <w:tcPr>
            <w:tcW w:w="1140" w:type="dxa"/>
            <w:shd w:val="clear" w:color="auto" w:fill="C6EFCE"/>
            <w:tcMar>
              <w:left w:w="108" w:type="dxa"/>
              <w:right w:w="108" w:type="dxa"/>
            </w:tcMar>
            <w:vAlign w:val="center"/>
          </w:tcPr>
          <w:p w14:paraId="1D86C1A4" w14:textId="77777777" w:rsidR="0057163C" w:rsidRPr="00170422" w:rsidRDefault="00F37BF9">
            <w:pPr>
              <w:pStyle w:val="P68B1DB1-Normal121"/>
              <w:spacing w:after="0" w:line="240" w:lineRule="auto"/>
              <w:jc w:val="center"/>
              <w:rPr>
                <w:noProof/>
                <w:lang w:val="de-DE"/>
              </w:rPr>
            </w:pPr>
            <w:r w:rsidRPr="00170422">
              <w:rPr>
                <w:noProof/>
                <w:lang w:val="de-DE"/>
              </w:rPr>
              <w:t>M5C2-13</w:t>
            </w:r>
          </w:p>
        </w:tc>
        <w:tc>
          <w:tcPr>
            <w:tcW w:w="2534" w:type="dxa"/>
            <w:shd w:val="clear" w:color="auto" w:fill="C6EFCE"/>
            <w:tcMar>
              <w:left w:w="108" w:type="dxa"/>
              <w:right w:w="108" w:type="dxa"/>
            </w:tcMar>
            <w:vAlign w:val="center"/>
          </w:tcPr>
          <w:p w14:paraId="55BF7A02" w14:textId="77777777" w:rsidR="0057163C" w:rsidRPr="00170422" w:rsidRDefault="00F37BF9">
            <w:pPr>
              <w:pStyle w:val="P68B1DB1-Normal121"/>
              <w:spacing w:after="0" w:line="240" w:lineRule="auto"/>
              <w:rPr>
                <w:noProof/>
                <w:lang w:val="de-DE"/>
              </w:rPr>
            </w:pPr>
            <w:r w:rsidRPr="00170422">
              <w:rPr>
                <w:noProof/>
                <w:lang w:val="de-DE"/>
              </w:rPr>
              <w:t>Investition 5 – integrierte städtische Pläne – allgemeine Projekte</w:t>
            </w:r>
          </w:p>
        </w:tc>
        <w:tc>
          <w:tcPr>
            <w:tcW w:w="2126" w:type="dxa"/>
            <w:shd w:val="clear" w:color="auto" w:fill="C6EFCE"/>
            <w:tcMar>
              <w:left w:w="108" w:type="dxa"/>
              <w:right w:w="108" w:type="dxa"/>
            </w:tcMar>
            <w:vAlign w:val="center"/>
          </w:tcPr>
          <w:p w14:paraId="2DB878D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1901A3D5" w14:textId="77777777" w:rsidR="0057163C" w:rsidRPr="00170422" w:rsidRDefault="00F37BF9">
            <w:pPr>
              <w:pStyle w:val="P68B1DB1-Normal121"/>
              <w:spacing w:after="0" w:line="240" w:lineRule="auto"/>
              <w:rPr>
                <w:noProof/>
                <w:lang w:val="de-DE"/>
              </w:rPr>
            </w:pPr>
            <w:r w:rsidRPr="00170422">
              <w:rPr>
                <w:noProof/>
                <w:lang w:val="de-DE"/>
              </w:rPr>
              <w:t>Inkrafttreten des Investitionsplans für Stadterneuerungsprojekte in Ballungsräumen</w:t>
            </w:r>
          </w:p>
        </w:tc>
      </w:tr>
      <w:tr w:rsidR="0057163C" w:rsidRPr="00170422" w14:paraId="350583FE" w14:textId="77777777" w:rsidTr="001C6E23">
        <w:trPr>
          <w:trHeight w:val="300"/>
        </w:trPr>
        <w:tc>
          <w:tcPr>
            <w:tcW w:w="1140" w:type="dxa"/>
            <w:shd w:val="clear" w:color="auto" w:fill="C6EFCE"/>
            <w:tcMar>
              <w:left w:w="108" w:type="dxa"/>
              <w:right w:w="108" w:type="dxa"/>
            </w:tcMar>
            <w:vAlign w:val="center"/>
          </w:tcPr>
          <w:p w14:paraId="11AD1F3F" w14:textId="77777777" w:rsidR="0057163C" w:rsidRPr="00170422" w:rsidRDefault="00F37BF9">
            <w:pPr>
              <w:pStyle w:val="P68B1DB1-Normal121"/>
              <w:spacing w:after="0" w:line="240" w:lineRule="auto"/>
              <w:jc w:val="center"/>
              <w:rPr>
                <w:noProof/>
                <w:lang w:val="de-DE"/>
              </w:rPr>
            </w:pPr>
            <w:r w:rsidRPr="00170422">
              <w:rPr>
                <w:noProof/>
                <w:lang w:val="de-DE"/>
              </w:rPr>
              <w:t>M6C2-7</w:t>
            </w:r>
          </w:p>
        </w:tc>
        <w:tc>
          <w:tcPr>
            <w:tcW w:w="2534" w:type="dxa"/>
            <w:shd w:val="clear" w:color="auto" w:fill="C6EFCE"/>
            <w:tcMar>
              <w:left w:w="108" w:type="dxa"/>
              <w:right w:w="108" w:type="dxa"/>
            </w:tcMar>
            <w:vAlign w:val="center"/>
          </w:tcPr>
          <w:p w14:paraId="3994718E" w14:textId="77777777" w:rsidR="0057163C" w:rsidRPr="00170422" w:rsidRDefault="00F37BF9">
            <w:pPr>
              <w:pStyle w:val="P68B1DB1-Normal123"/>
              <w:spacing w:after="0" w:line="240" w:lineRule="auto"/>
              <w:rPr>
                <w:noProof/>
                <w:lang w:val="de-DE"/>
              </w:rPr>
            </w:pPr>
            <w:r w:rsidRPr="00170422">
              <w:rPr>
                <w:noProof/>
                <w:lang w:val="de-DE"/>
              </w:rPr>
              <w:t>Investition 1.1: Digitale Aktualisierung der technischen Ausrüstung von Krankenhäusern</w:t>
            </w:r>
          </w:p>
        </w:tc>
        <w:tc>
          <w:tcPr>
            <w:tcW w:w="2126" w:type="dxa"/>
            <w:shd w:val="clear" w:color="auto" w:fill="C6EFCE"/>
            <w:tcMar>
              <w:left w:w="108" w:type="dxa"/>
              <w:right w:w="108" w:type="dxa"/>
            </w:tcMar>
            <w:vAlign w:val="center"/>
          </w:tcPr>
          <w:p w14:paraId="0ED51ADF" w14:textId="77777777" w:rsidR="0057163C" w:rsidRPr="00170422" w:rsidRDefault="00F37BF9">
            <w:pPr>
              <w:pStyle w:val="P68B1DB1-Normal123"/>
              <w:spacing w:after="0" w:line="240" w:lineRule="auto"/>
              <w:jc w:val="center"/>
              <w:rPr>
                <w:noProof/>
                <w:lang w:val="de-DE"/>
              </w:rPr>
            </w:pPr>
            <w:r w:rsidRPr="00170422">
              <w:rPr>
                <w:noProof/>
                <w:lang w:val="de-DE"/>
              </w:rPr>
              <w:t>Meilenstein</w:t>
            </w:r>
          </w:p>
        </w:tc>
        <w:tc>
          <w:tcPr>
            <w:tcW w:w="3556" w:type="dxa"/>
            <w:shd w:val="clear" w:color="auto" w:fill="C6EFCE"/>
            <w:tcMar>
              <w:left w:w="108" w:type="dxa"/>
              <w:right w:w="108" w:type="dxa"/>
            </w:tcMar>
            <w:vAlign w:val="center"/>
          </w:tcPr>
          <w:p w14:paraId="20749F07" w14:textId="77777777" w:rsidR="0057163C" w:rsidRPr="00170422" w:rsidRDefault="00F37BF9">
            <w:pPr>
              <w:pStyle w:val="P68B1DB1-Normal123"/>
              <w:spacing w:after="0" w:line="240" w:lineRule="auto"/>
              <w:rPr>
                <w:noProof/>
                <w:lang w:val="de-DE"/>
              </w:rPr>
            </w:pPr>
            <w:r w:rsidRPr="00170422">
              <w:rPr>
                <w:noProof/>
                <w:lang w:val="de-DE"/>
              </w:rPr>
              <w:t>Vergabe aller öffentlichen Aufträge</w:t>
            </w:r>
          </w:p>
        </w:tc>
      </w:tr>
      <w:tr w:rsidR="0057163C" w:rsidRPr="00170422" w14:paraId="7F483249" w14:textId="77777777" w:rsidTr="001C6E23">
        <w:trPr>
          <w:trHeight w:val="300"/>
        </w:trPr>
        <w:tc>
          <w:tcPr>
            <w:tcW w:w="1140" w:type="dxa"/>
            <w:shd w:val="clear" w:color="auto" w:fill="C6EFCE"/>
            <w:tcMar>
              <w:left w:w="108" w:type="dxa"/>
              <w:right w:w="108" w:type="dxa"/>
            </w:tcMar>
            <w:vAlign w:val="center"/>
          </w:tcPr>
          <w:p w14:paraId="2FA586CF"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534" w:type="dxa"/>
            <w:shd w:val="clear" w:color="auto" w:fill="C6EFCE"/>
            <w:tcMar>
              <w:left w:w="108" w:type="dxa"/>
              <w:right w:w="108" w:type="dxa"/>
            </w:tcMar>
            <w:vAlign w:val="center"/>
          </w:tcPr>
          <w:p w14:paraId="7C317D60"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126" w:type="dxa"/>
            <w:shd w:val="clear" w:color="auto" w:fill="C6EFCE"/>
            <w:tcMar>
              <w:left w:w="108" w:type="dxa"/>
              <w:right w:w="108" w:type="dxa"/>
            </w:tcMar>
            <w:vAlign w:val="center"/>
          </w:tcPr>
          <w:p w14:paraId="11A3C556"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6" w:type="dxa"/>
            <w:shd w:val="clear" w:color="auto" w:fill="C6EFCE"/>
            <w:tcMar>
              <w:left w:w="108" w:type="dxa"/>
              <w:right w:w="108" w:type="dxa"/>
            </w:tcMar>
            <w:vAlign w:val="center"/>
          </w:tcPr>
          <w:p w14:paraId="52D638A7"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9825328389 EUR</w:t>
            </w:r>
            <w:r w:rsidRPr="00170422">
              <w:rPr>
                <w:noProof/>
                <w:sz w:val="23"/>
                <w:szCs w:val="23"/>
                <w:lang w:val="de-DE"/>
              </w:rPr>
              <w:t xml:space="preserve">  </w:t>
            </w:r>
          </w:p>
        </w:tc>
      </w:tr>
    </w:tbl>
    <w:p w14:paraId="0FBE0FA3" w14:textId="77777777" w:rsidR="0057163C" w:rsidRPr="00170422" w:rsidRDefault="00F37BF9">
      <w:pPr>
        <w:pStyle w:val="P68B1DB1-Normal8"/>
        <w:spacing w:after="200" w:line="276" w:lineRule="auto"/>
        <w:rPr>
          <w:noProof/>
          <w:lang w:val="de-DE"/>
        </w:rPr>
      </w:pPr>
      <w:r w:rsidRPr="00170422">
        <w:rPr>
          <w:noProof/>
          <w:lang w:val="de-DE"/>
        </w:rPr>
        <w:t xml:space="preserve"> </w:t>
      </w:r>
    </w:p>
    <w:p w14:paraId="096A9019" w14:textId="77777777" w:rsidR="0057163C" w:rsidRPr="00170422" w:rsidRDefault="00F37BF9">
      <w:pPr>
        <w:pStyle w:val="P68B1DB1-Normal8"/>
        <w:rPr>
          <w:noProof/>
          <w:lang w:val="de-DE"/>
        </w:rPr>
      </w:pPr>
      <w:r w:rsidRPr="00170422">
        <w:rPr>
          <w:noProof/>
          <w:lang w:val="de-DE"/>
        </w:rPr>
        <w:br w:type="page"/>
      </w:r>
    </w:p>
    <w:p w14:paraId="5826C52E"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Vierte Tranche (Darlehensunterstützung):</w:t>
      </w:r>
    </w:p>
    <w:tbl>
      <w:tblPr>
        <w:tblW w:w="93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0"/>
        <w:gridCol w:w="2384"/>
        <w:gridCol w:w="2126"/>
        <w:gridCol w:w="3557"/>
      </w:tblGrid>
      <w:tr w:rsidR="0057163C" w:rsidRPr="00170422" w14:paraId="624C3D1D" w14:textId="77777777" w:rsidTr="003833D5">
        <w:trPr>
          <w:trHeight w:val="900"/>
          <w:tblHeader/>
        </w:trPr>
        <w:tc>
          <w:tcPr>
            <w:tcW w:w="1290" w:type="dxa"/>
            <w:vMerge w:val="restart"/>
            <w:shd w:val="clear" w:color="auto" w:fill="BDD7EE"/>
            <w:tcMar>
              <w:left w:w="108" w:type="dxa"/>
              <w:right w:w="108" w:type="dxa"/>
            </w:tcMar>
            <w:vAlign w:val="center"/>
          </w:tcPr>
          <w:p w14:paraId="62675518"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384" w:type="dxa"/>
            <w:vMerge w:val="restart"/>
            <w:shd w:val="clear" w:color="auto" w:fill="BDD7EE"/>
            <w:tcMar>
              <w:left w:w="108" w:type="dxa"/>
              <w:right w:w="108" w:type="dxa"/>
            </w:tcMar>
            <w:vAlign w:val="center"/>
          </w:tcPr>
          <w:p w14:paraId="31385C53"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26" w:type="dxa"/>
            <w:vMerge w:val="restart"/>
            <w:shd w:val="clear" w:color="auto" w:fill="BDD7EE"/>
            <w:tcMar>
              <w:left w:w="108" w:type="dxa"/>
              <w:right w:w="108" w:type="dxa"/>
            </w:tcMar>
            <w:vAlign w:val="center"/>
          </w:tcPr>
          <w:p w14:paraId="5A3AB77D"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7" w:type="dxa"/>
            <w:vMerge w:val="restart"/>
            <w:shd w:val="clear" w:color="auto" w:fill="BDD7EE"/>
            <w:tcMar>
              <w:left w:w="108" w:type="dxa"/>
              <w:right w:w="108" w:type="dxa"/>
            </w:tcMar>
            <w:vAlign w:val="center"/>
          </w:tcPr>
          <w:p w14:paraId="199E205D"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6929BF71" w14:textId="77777777" w:rsidTr="003833D5">
        <w:trPr>
          <w:trHeight w:val="510"/>
        </w:trPr>
        <w:tc>
          <w:tcPr>
            <w:tcW w:w="1290" w:type="dxa"/>
            <w:vMerge/>
            <w:vAlign w:val="center"/>
          </w:tcPr>
          <w:p w14:paraId="21D17D9E"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384" w:type="dxa"/>
            <w:vMerge/>
            <w:vAlign w:val="center"/>
          </w:tcPr>
          <w:p w14:paraId="7CCCE871"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vAlign w:val="center"/>
          </w:tcPr>
          <w:p w14:paraId="5BFE3348"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7" w:type="dxa"/>
            <w:vMerge/>
            <w:vAlign w:val="center"/>
          </w:tcPr>
          <w:p w14:paraId="4202314A"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4FFA4456" w14:textId="77777777" w:rsidTr="003833D5">
        <w:trPr>
          <w:trHeight w:val="300"/>
        </w:trPr>
        <w:tc>
          <w:tcPr>
            <w:tcW w:w="1290" w:type="dxa"/>
            <w:shd w:val="clear" w:color="auto" w:fill="C6EFCE"/>
            <w:tcMar>
              <w:left w:w="108" w:type="dxa"/>
              <w:right w:w="108" w:type="dxa"/>
            </w:tcMar>
            <w:vAlign w:val="center"/>
          </w:tcPr>
          <w:p w14:paraId="01A250E9" w14:textId="77777777" w:rsidR="0057163C" w:rsidRPr="00170422" w:rsidRDefault="00F37BF9">
            <w:pPr>
              <w:pStyle w:val="P68B1DB1-Normal121"/>
              <w:spacing w:after="0" w:line="240" w:lineRule="auto"/>
              <w:jc w:val="center"/>
              <w:rPr>
                <w:noProof/>
                <w:lang w:val="de-DE"/>
              </w:rPr>
            </w:pPr>
            <w:r w:rsidRPr="00170422">
              <w:rPr>
                <w:noProof/>
                <w:lang w:val="de-DE"/>
              </w:rPr>
              <w:t>M1C1-125</w:t>
            </w:r>
          </w:p>
        </w:tc>
        <w:tc>
          <w:tcPr>
            <w:tcW w:w="2384" w:type="dxa"/>
            <w:shd w:val="clear" w:color="auto" w:fill="C6EFCE"/>
            <w:tcMar>
              <w:left w:w="108" w:type="dxa"/>
              <w:right w:w="108" w:type="dxa"/>
            </w:tcMar>
            <w:vAlign w:val="center"/>
          </w:tcPr>
          <w:p w14:paraId="4B069B9D" w14:textId="77777777" w:rsidR="0057163C" w:rsidRPr="00170422" w:rsidRDefault="00F37BF9">
            <w:pPr>
              <w:pStyle w:val="P68B1DB1-Normal121"/>
              <w:spacing w:after="0" w:line="240" w:lineRule="auto"/>
              <w:rPr>
                <w:noProof/>
                <w:lang w:val="de-DE"/>
              </w:rPr>
            </w:pPr>
            <w:r w:rsidRPr="00170422">
              <w:rPr>
                <w:noProof/>
                <w:lang w:val="de-DE"/>
              </w:rPr>
              <w:t>Investition 1.2</w:t>
            </w:r>
            <w:r w:rsidRPr="00170422">
              <w:rPr>
                <w:noProof/>
                <w:lang w:val="de-DE"/>
              </w:rPr>
              <w:t xml:space="preserve"> – Cloud-Ermöglichung für lokale PA</w:t>
            </w:r>
          </w:p>
        </w:tc>
        <w:tc>
          <w:tcPr>
            <w:tcW w:w="2126" w:type="dxa"/>
            <w:shd w:val="clear" w:color="auto" w:fill="C6EFCE"/>
            <w:tcMar>
              <w:left w:w="108" w:type="dxa"/>
              <w:right w:w="108" w:type="dxa"/>
            </w:tcMar>
            <w:vAlign w:val="center"/>
          </w:tcPr>
          <w:p w14:paraId="578CACE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4AD106AF" w14:textId="77777777" w:rsidR="0057163C" w:rsidRPr="00170422" w:rsidRDefault="00F37BF9">
            <w:pPr>
              <w:pStyle w:val="P68B1DB1-Normal121"/>
              <w:spacing w:after="0" w:line="240" w:lineRule="auto"/>
              <w:rPr>
                <w:noProof/>
                <w:lang w:val="de-DE"/>
              </w:rPr>
            </w:pPr>
            <w:r w:rsidRPr="00170422">
              <w:rPr>
                <w:noProof/>
                <w:lang w:val="de-DE"/>
              </w:rPr>
              <w:t>Vergabe (aller) öffentlicher Ausschreibungen für Cloud-Möglichkeiten für Ausschreibungen der lokalen öffentlichen Verwaltung</w:t>
            </w:r>
          </w:p>
        </w:tc>
      </w:tr>
      <w:tr w:rsidR="0057163C" w:rsidRPr="00170422" w14:paraId="17B48D7E" w14:textId="77777777" w:rsidTr="003833D5">
        <w:trPr>
          <w:trHeight w:val="300"/>
        </w:trPr>
        <w:tc>
          <w:tcPr>
            <w:tcW w:w="1290" w:type="dxa"/>
            <w:shd w:val="clear" w:color="auto" w:fill="C6EFCE"/>
            <w:tcMar>
              <w:left w:w="108" w:type="dxa"/>
              <w:right w:w="108" w:type="dxa"/>
            </w:tcMar>
            <w:vAlign w:val="center"/>
          </w:tcPr>
          <w:p w14:paraId="4F1C6C23" w14:textId="77777777" w:rsidR="0057163C" w:rsidRPr="00170422" w:rsidRDefault="00F37BF9">
            <w:pPr>
              <w:pStyle w:val="P68B1DB1-Normal121"/>
              <w:spacing w:after="0" w:line="240" w:lineRule="auto"/>
              <w:jc w:val="center"/>
              <w:rPr>
                <w:noProof/>
                <w:lang w:val="de-DE"/>
              </w:rPr>
            </w:pPr>
            <w:r w:rsidRPr="00170422">
              <w:rPr>
                <w:noProof/>
                <w:lang w:val="de-DE"/>
              </w:rPr>
              <w:t>M1C2-22</w:t>
            </w:r>
          </w:p>
        </w:tc>
        <w:tc>
          <w:tcPr>
            <w:tcW w:w="2384" w:type="dxa"/>
            <w:shd w:val="clear" w:color="auto" w:fill="C6EFCE"/>
            <w:tcMar>
              <w:left w:w="108" w:type="dxa"/>
              <w:right w:w="108" w:type="dxa"/>
            </w:tcMar>
            <w:vAlign w:val="center"/>
          </w:tcPr>
          <w:p w14:paraId="106D4CD7" w14:textId="77777777" w:rsidR="0057163C" w:rsidRPr="00170422" w:rsidRDefault="00F37BF9">
            <w:pPr>
              <w:pStyle w:val="P68B1DB1-Normal121"/>
              <w:spacing w:after="0" w:line="240" w:lineRule="auto"/>
              <w:rPr>
                <w:noProof/>
                <w:lang w:val="de-DE"/>
              </w:rPr>
            </w:pPr>
            <w:r w:rsidRPr="00170422">
              <w:rPr>
                <w:noProof/>
                <w:lang w:val="de-DE"/>
              </w:rPr>
              <w:t>Investition 4: Satellitentechnologie und Weltraumwirtschaft</w:t>
            </w:r>
          </w:p>
        </w:tc>
        <w:tc>
          <w:tcPr>
            <w:tcW w:w="2126" w:type="dxa"/>
            <w:shd w:val="clear" w:color="auto" w:fill="C6EFCE"/>
            <w:tcMar>
              <w:left w:w="108" w:type="dxa"/>
              <w:right w:w="108" w:type="dxa"/>
            </w:tcMar>
            <w:vAlign w:val="center"/>
          </w:tcPr>
          <w:p w14:paraId="4C298A9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70B62BA0"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für Satellitentechnologie- und Weltraumprojekte</w:t>
            </w:r>
          </w:p>
        </w:tc>
      </w:tr>
      <w:tr w:rsidR="0057163C" w:rsidRPr="00170422" w14:paraId="52C323EC" w14:textId="77777777" w:rsidTr="003833D5">
        <w:trPr>
          <w:trHeight w:val="300"/>
        </w:trPr>
        <w:tc>
          <w:tcPr>
            <w:tcW w:w="1290" w:type="dxa"/>
            <w:shd w:val="clear" w:color="auto" w:fill="C6EFCE"/>
            <w:tcMar>
              <w:left w:w="108" w:type="dxa"/>
              <w:right w:w="108" w:type="dxa"/>
            </w:tcMar>
            <w:vAlign w:val="center"/>
          </w:tcPr>
          <w:p w14:paraId="04A4D1B3" w14:textId="77777777" w:rsidR="0057163C" w:rsidRPr="00170422" w:rsidRDefault="00F37BF9">
            <w:pPr>
              <w:pStyle w:val="P68B1DB1-Normal121"/>
              <w:spacing w:after="0" w:line="240" w:lineRule="auto"/>
              <w:jc w:val="center"/>
              <w:rPr>
                <w:noProof/>
                <w:lang w:val="de-DE"/>
              </w:rPr>
            </w:pPr>
            <w:r w:rsidRPr="00170422">
              <w:rPr>
                <w:noProof/>
                <w:lang w:val="de-DE"/>
              </w:rPr>
              <w:t>M2C2-48</w:t>
            </w:r>
          </w:p>
        </w:tc>
        <w:tc>
          <w:tcPr>
            <w:tcW w:w="2384" w:type="dxa"/>
            <w:shd w:val="clear" w:color="auto" w:fill="C6EFCE"/>
            <w:tcMar>
              <w:left w:w="108" w:type="dxa"/>
              <w:right w:w="108" w:type="dxa"/>
            </w:tcMar>
            <w:vAlign w:val="center"/>
          </w:tcPr>
          <w:p w14:paraId="420D78F9" w14:textId="77777777" w:rsidR="0057163C" w:rsidRPr="00170422" w:rsidRDefault="00F37BF9">
            <w:pPr>
              <w:pStyle w:val="P68B1DB1-Normal121"/>
              <w:spacing w:after="0" w:line="240" w:lineRule="auto"/>
              <w:rPr>
                <w:noProof/>
                <w:lang w:val="de-DE"/>
              </w:rPr>
            </w:pPr>
            <w:r w:rsidRPr="00170422">
              <w:rPr>
                <w:noProof/>
                <w:lang w:val="de-DE"/>
              </w:rPr>
              <w:t>Investition 3.1 Herstellung von Wasserstoff in Industriebrachen (Hydrogen Valleys)</w:t>
            </w:r>
          </w:p>
        </w:tc>
        <w:tc>
          <w:tcPr>
            <w:tcW w:w="2126" w:type="dxa"/>
            <w:shd w:val="clear" w:color="auto" w:fill="C6EFCE"/>
            <w:tcMar>
              <w:left w:w="108" w:type="dxa"/>
              <w:right w:w="108" w:type="dxa"/>
            </w:tcMar>
            <w:vAlign w:val="center"/>
          </w:tcPr>
          <w:p w14:paraId="19E6C41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44FDAC2D" w14:textId="77777777" w:rsidR="0057163C" w:rsidRPr="00170422" w:rsidRDefault="00F37BF9">
            <w:pPr>
              <w:pStyle w:val="P68B1DB1-Normal121"/>
              <w:spacing w:after="0" w:line="240" w:lineRule="auto"/>
              <w:rPr>
                <w:noProof/>
                <w:lang w:val="de-DE"/>
              </w:rPr>
            </w:pPr>
            <w:r w:rsidRPr="00170422">
              <w:rPr>
                <w:noProof/>
                <w:lang w:val="de-DE"/>
              </w:rPr>
              <w:t>Vergabe des gesamten öffentlichen Auftrags für die Projekte zur Erze</w:t>
            </w:r>
            <w:r w:rsidRPr="00170422">
              <w:rPr>
                <w:noProof/>
                <w:lang w:val="de-DE"/>
              </w:rPr>
              <w:t>ugung von Wasserstoff in aufgegebenen Industriegebieten</w:t>
            </w:r>
          </w:p>
        </w:tc>
      </w:tr>
      <w:tr w:rsidR="0057163C" w:rsidRPr="00170422" w14:paraId="0B4BC7E0" w14:textId="77777777" w:rsidTr="003833D5">
        <w:trPr>
          <w:trHeight w:val="300"/>
        </w:trPr>
        <w:tc>
          <w:tcPr>
            <w:tcW w:w="1290" w:type="dxa"/>
            <w:shd w:val="clear" w:color="auto" w:fill="C6EFCE"/>
            <w:tcMar>
              <w:left w:w="108" w:type="dxa"/>
              <w:right w:w="108" w:type="dxa"/>
            </w:tcMar>
            <w:vAlign w:val="center"/>
          </w:tcPr>
          <w:p w14:paraId="2345EBF4" w14:textId="77777777" w:rsidR="0057163C" w:rsidRPr="00170422" w:rsidRDefault="00F37BF9">
            <w:pPr>
              <w:pStyle w:val="P68B1DB1-Normal121"/>
              <w:spacing w:after="0" w:line="240" w:lineRule="auto"/>
              <w:jc w:val="center"/>
              <w:rPr>
                <w:noProof/>
                <w:lang w:val="de-DE"/>
              </w:rPr>
            </w:pPr>
            <w:r w:rsidRPr="00170422">
              <w:rPr>
                <w:noProof/>
                <w:lang w:val="de-DE"/>
              </w:rPr>
              <w:t>M2C2-50</w:t>
            </w:r>
          </w:p>
        </w:tc>
        <w:tc>
          <w:tcPr>
            <w:tcW w:w="2384" w:type="dxa"/>
            <w:shd w:val="clear" w:color="auto" w:fill="C6EFCE"/>
            <w:tcMar>
              <w:left w:w="108" w:type="dxa"/>
              <w:right w:w="108" w:type="dxa"/>
            </w:tcMar>
            <w:vAlign w:val="center"/>
          </w:tcPr>
          <w:p w14:paraId="4C79B39A" w14:textId="77777777" w:rsidR="0057163C" w:rsidRPr="00170422" w:rsidRDefault="00F37BF9">
            <w:pPr>
              <w:pStyle w:val="P68B1DB1-Normal121"/>
              <w:spacing w:after="0" w:line="240" w:lineRule="auto"/>
              <w:rPr>
                <w:noProof/>
                <w:lang w:val="de-DE"/>
              </w:rPr>
            </w:pPr>
            <w:r w:rsidRPr="00170422">
              <w:rPr>
                <w:noProof/>
                <w:lang w:val="de-DE"/>
              </w:rPr>
              <w:t>Investition 3.2 Wasserstoffnutzung in schwer zu dekarbonisierenden Industrien</w:t>
            </w:r>
          </w:p>
        </w:tc>
        <w:tc>
          <w:tcPr>
            <w:tcW w:w="2126" w:type="dxa"/>
            <w:shd w:val="clear" w:color="auto" w:fill="C6EFCE"/>
            <w:tcMar>
              <w:left w:w="108" w:type="dxa"/>
              <w:right w:w="108" w:type="dxa"/>
            </w:tcMar>
            <w:vAlign w:val="center"/>
          </w:tcPr>
          <w:p w14:paraId="73EBEB1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3CA7C560" w14:textId="77777777" w:rsidR="0057163C" w:rsidRPr="00170422" w:rsidRDefault="00F37BF9">
            <w:pPr>
              <w:pStyle w:val="P68B1DB1-Normal121"/>
              <w:spacing w:after="0" w:line="240" w:lineRule="auto"/>
              <w:rPr>
                <w:noProof/>
                <w:lang w:val="de-DE"/>
              </w:rPr>
            </w:pPr>
            <w:r w:rsidRPr="00170422">
              <w:rPr>
                <w:noProof/>
                <w:lang w:val="de-DE"/>
              </w:rPr>
              <w:t>Einigung zur Förderung des Übergangs von Methan zu grünem Wasserstoff</w:t>
            </w:r>
          </w:p>
        </w:tc>
      </w:tr>
      <w:tr w:rsidR="0057163C" w:rsidRPr="00170422" w14:paraId="261BD29D" w14:textId="77777777" w:rsidTr="003833D5">
        <w:trPr>
          <w:trHeight w:val="300"/>
        </w:trPr>
        <w:tc>
          <w:tcPr>
            <w:tcW w:w="1290" w:type="dxa"/>
            <w:shd w:val="clear" w:color="auto" w:fill="C6EFCE"/>
            <w:tcMar>
              <w:left w:w="108" w:type="dxa"/>
              <w:right w:w="108" w:type="dxa"/>
            </w:tcMar>
            <w:vAlign w:val="center"/>
          </w:tcPr>
          <w:p w14:paraId="753F813D" w14:textId="77777777" w:rsidR="0057163C" w:rsidRPr="00170422" w:rsidRDefault="00F37BF9">
            <w:pPr>
              <w:pStyle w:val="P68B1DB1-Normal121"/>
              <w:spacing w:after="0" w:line="240" w:lineRule="auto"/>
              <w:jc w:val="center"/>
              <w:rPr>
                <w:noProof/>
                <w:lang w:val="de-DE"/>
              </w:rPr>
            </w:pPr>
            <w:r w:rsidRPr="00170422">
              <w:rPr>
                <w:noProof/>
                <w:lang w:val="de-DE"/>
              </w:rPr>
              <w:t>M5C2-21</w:t>
            </w:r>
          </w:p>
        </w:tc>
        <w:tc>
          <w:tcPr>
            <w:tcW w:w="2384" w:type="dxa"/>
            <w:shd w:val="clear" w:color="auto" w:fill="C6EFCE"/>
            <w:tcMar>
              <w:left w:w="108" w:type="dxa"/>
              <w:right w:w="108" w:type="dxa"/>
            </w:tcMar>
            <w:vAlign w:val="center"/>
          </w:tcPr>
          <w:p w14:paraId="204DE917" w14:textId="77777777" w:rsidR="0057163C" w:rsidRPr="00170422" w:rsidRDefault="00F37BF9">
            <w:pPr>
              <w:pStyle w:val="P68B1DB1-Normal121"/>
              <w:spacing w:after="0" w:line="240" w:lineRule="auto"/>
              <w:rPr>
                <w:noProof/>
                <w:lang w:val="de-DE"/>
              </w:rPr>
            </w:pPr>
            <w:r w:rsidRPr="00170422">
              <w:rPr>
                <w:noProof/>
                <w:lang w:val="de-DE"/>
              </w:rPr>
              <w:t xml:space="preserve">Investition 7 – Das </w:t>
            </w:r>
            <w:r w:rsidRPr="00170422">
              <w:rPr>
                <w:noProof/>
                <w:lang w:val="de-DE"/>
              </w:rPr>
              <w:t>Projekt Sport und soziale Eingliederung</w:t>
            </w:r>
          </w:p>
        </w:tc>
        <w:tc>
          <w:tcPr>
            <w:tcW w:w="2126" w:type="dxa"/>
            <w:shd w:val="clear" w:color="auto" w:fill="C6EFCE"/>
            <w:tcMar>
              <w:left w:w="108" w:type="dxa"/>
              <w:right w:w="108" w:type="dxa"/>
            </w:tcMar>
            <w:vAlign w:val="center"/>
          </w:tcPr>
          <w:p w14:paraId="67F3C86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0E5D2331"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für Projekte im Bereich Sport und soziale Eingliederung im Anschluss an eine öffentliche Aufforderung zur Einreichung von Vorschlägen</w:t>
            </w:r>
          </w:p>
        </w:tc>
      </w:tr>
      <w:tr w:rsidR="0057163C" w:rsidRPr="00170422" w14:paraId="4217AE15" w14:textId="77777777" w:rsidTr="003833D5">
        <w:trPr>
          <w:trHeight w:val="300"/>
        </w:trPr>
        <w:tc>
          <w:tcPr>
            <w:tcW w:w="1290" w:type="dxa"/>
            <w:shd w:val="clear" w:color="auto" w:fill="C6EFCE"/>
            <w:tcMar>
              <w:left w:w="108" w:type="dxa"/>
              <w:right w:w="108" w:type="dxa"/>
            </w:tcMar>
            <w:vAlign w:val="center"/>
          </w:tcPr>
          <w:p w14:paraId="146B9346" w14:textId="77777777" w:rsidR="0057163C" w:rsidRPr="00170422" w:rsidRDefault="00F37BF9">
            <w:pPr>
              <w:pStyle w:val="P68B1DB1-Normal121"/>
              <w:spacing w:after="0" w:line="240" w:lineRule="auto"/>
              <w:jc w:val="center"/>
              <w:rPr>
                <w:noProof/>
                <w:lang w:val="de-DE"/>
              </w:rPr>
            </w:pPr>
            <w:r w:rsidRPr="00170422">
              <w:rPr>
                <w:noProof/>
                <w:lang w:val="de-DE"/>
              </w:rPr>
              <w:t>M1C3-20</w:t>
            </w:r>
          </w:p>
        </w:tc>
        <w:tc>
          <w:tcPr>
            <w:tcW w:w="2384" w:type="dxa"/>
            <w:shd w:val="clear" w:color="auto" w:fill="C6EFCE"/>
            <w:tcMar>
              <w:left w:w="108" w:type="dxa"/>
              <w:right w:w="108" w:type="dxa"/>
            </w:tcMar>
            <w:vAlign w:val="center"/>
          </w:tcPr>
          <w:p w14:paraId="7DFDADC8" w14:textId="77777777" w:rsidR="0057163C" w:rsidRPr="00170422" w:rsidRDefault="00F37BF9">
            <w:pPr>
              <w:pStyle w:val="P68B1DB1-Normal121"/>
              <w:spacing w:after="0" w:line="240" w:lineRule="auto"/>
              <w:rPr>
                <w:noProof/>
                <w:lang w:val="de-DE"/>
              </w:rPr>
            </w:pPr>
            <w:r w:rsidRPr="00170422">
              <w:rPr>
                <w:noProof/>
                <w:lang w:val="de-DE"/>
              </w:rPr>
              <w:t>Investition – 3.2 Entwick</w:t>
            </w:r>
            <w:r w:rsidRPr="00170422">
              <w:rPr>
                <w:noProof/>
                <w:lang w:val="de-DE"/>
              </w:rPr>
              <w:t>lung der Filmindustrie (Projekt Cinecittà)</w:t>
            </w:r>
          </w:p>
        </w:tc>
        <w:tc>
          <w:tcPr>
            <w:tcW w:w="2126" w:type="dxa"/>
            <w:shd w:val="clear" w:color="auto" w:fill="C6EFCE"/>
            <w:tcMar>
              <w:left w:w="108" w:type="dxa"/>
              <w:right w:w="108" w:type="dxa"/>
            </w:tcMar>
            <w:vAlign w:val="center"/>
          </w:tcPr>
          <w:p w14:paraId="0800CB32"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217FE241" w14:textId="77777777" w:rsidR="0057163C" w:rsidRPr="00170422" w:rsidRDefault="00F37BF9">
            <w:pPr>
              <w:pStyle w:val="P68B1DB1-Normal121"/>
              <w:spacing w:after="0" w:line="240" w:lineRule="auto"/>
              <w:rPr>
                <w:noProof/>
                <w:lang w:val="de-DE"/>
              </w:rPr>
            </w:pPr>
            <w:r w:rsidRPr="00170422">
              <w:rPr>
                <w:noProof/>
                <w:lang w:val="de-DE"/>
              </w:rPr>
              <w:t>Unterzeichnung der Verträge zwischen der Durchführungsstelle Cinecittà SPA und den Unternehmen über den Bau von neun Studios</w:t>
            </w:r>
          </w:p>
        </w:tc>
      </w:tr>
      <w:tr w:rsidR="0057163C" w:rsidRPr="00170422" w14:paraId="4A7D8A7A" w14:textId="77777777" w:rsidTr="003833D5">
        <w:trPr>
          <w:trHeight w:val="300"/>
        </w:trPr>
        <w:tc>
          <w:tcPr>
            <w:tcW w:w="1290" w:type="dxa"/>
            <w:shd w:val="clear" w:color="auto" w:fill="C6EFCE"/>
            <w:tcMar>
              <w:left w:w="108" w:type="dxa"/>
              <w:right w:w="108" w:type="dxa"/>
            </w:tcMar>
            <w:vAlign w:val="center"/>
          </w:tcPr>
          <w:p w14:paraId="217E26A2" w14:textId="77777777" w:rsidR="0057163C" w:rsidRPr="00170422" w:rsidRDefault="00F37BF9">
            <w:pPr>
              <w:pStyle w:val="P68B1DB1-Normal121"/>
              <w:spacing w:after="0" w:line="240" w:lineRule="auto"/>
              <w:jc w:val="center"/>
              <w:rPr>
                <w:noProof/>
                <w:lang w:val="de-DE"/>
              </w:rPr>
            </w:pPr>
            <w:r w:rsidRPr="00170422">
              <w:rPr>
                <w:noProof/>
                <w:lang w:val="de-DE"/>
              </w:rPr>
              <w:t>M2C4-21</w:t>
            </w:r>
          </w:p>
        </w:tc>
        <w:tc>
          <w:tcPr>
            <w:tcW w:w="2384" w:type="dxa"/>
            <w:shd w:val="clear" w:color="auto" w:fill="C6EFCE"/>
            <w:tcMar>
              <w:left w:w="108" w:type="dxa"/>
              <w:right w:w="108" w:type="dxa"/>
            </w:tcMar>
            <w:vAlign w:val="center"/>
          </w:tcPr>
          <w:p w14:paraId="7F9CE7DE" w14:textId="77777777" w:rsidR="0057163C" w:rsidRPr="00170422" w:rsidRDefault="00F37BF9">
            <w:pPr>
              <w:pStyle w:val="P68B1DB1-Normal121"/>
              <w:spacing w:after="0" w:line="240" w:lineRule="auto"/>
              <w:rPr>
                <w:noProof/>
                <w:lang w:val="de-DE"/>
              </w:rPr>
            </w:pPr>
            <w:r w:rsidRPr="00170422">
              <w:rPr>
                <w:noProof/>
                <w:lang w:val="de-DE"/>
              </w:rPr>
              <w:t>Investition 3.3 Sanierung des Po-Gebiets</w:t>
            </w:r>
          </w:p>
        </w:tc>
        <w:tc>
          <w:tcPr>
            <w:tcW w:w="2126" w:type="dxa"/>
            <w:shd w:val="clear" w:color="auto" w:fill="C6EFCE"/>
            <w:tcMar>
              <w:left w:w="108" w:type="dxa"/>
              <w:right w:w="108" w:type="dxa"/>
            </w:tcMar>
            <w:vAlign w:val="center"/>
          </w:tcPr>
          <w:p w14:paraId="417839B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3C4BFEDF" w14:textId="77777777" w:rsidR="0057163C" w:rsidRPr="00170422" w:rsidRDefault="00F37BF9">
            <w:pPr>
              <w:pStyle w:val="P68B1DB1-Normal121"/>
              <w:spacing w:after="0" w:line="240" w:lineRule="auto"/>
              <w:rPr>
                <w:noProof/>
                <w:lang w:val="de-DE"/>
              </w:rPr>
            </w:pPr>
            <w:r w:rsidRPr="00170422">
              <w:rPr>
                <w:noProof/>
                <w:lang w:val="de-DE"/>
              </w:rPr>
              <w:t xml:space="preserve">Überarbeitung des Rechtsrahmens für Interventionen zur Neunaturierung des Po-Gebiets </w:t>
            </w:r>
          </w:p>
        </w:tc>
      </w:tr>
      <w:tr w:rsidR="0057163C" w:rsidRPr="00170422" w14:paraId="55BA4A71" w14:textId="77777777" w:rsidTr="003833D5">
        <w:trPr>
          <w:trHeight w:val="300"/>
        </w:trPr>
        <w:tc>
          <w:tcPr>
            <w:tcW w:w="1290" w:type="dxa"/>
            <w:shd w:val="clear" w:color="auto" w:fill="C6EFCE"/>
            <w:tcMar>
              <w:left w:w="108" w:type="dxa"/>
              <w:right w:w="108" w:type="dxa"/>
            </w:tcMar>
            <w:vAlign w:val="center"/>
          </w:tcPr>
          <w:p w14:paraId="4D363F83" w14:textId="77777777" w:rsidR="0057163C" w:rsidRPr="00170422" w:rsidRDefault="00F37BF9">
            <w:pPr>
              <w:pStyle w:val="P68B1DB1-Normal121"/>
              <w:spacing w:after="0" w:line="240" w:lineRule="auto"/>
              <w:jc w:val="center"/>
              <w:rPr>
                <w:noProof/>
                <w:lang w:val="de-DE"/>
              </w:rPr>
            </w:pPr>
            <w:r w:rsidRPr="00170422">
              <w:rPr>
                <w:noProof/>
                <w:lang w:val="de-DE"/>
              </w:rPr>
              <w:t>M4C1-28</w:t>
            </w:r>
          </w:p>
        </w:tc>
        <w:tc>
          <w:tcPr>
            <w:tcW w:w="2384" w:type="dxa"/>
            <w:shd w:val="clear" w:color="auto" w:fill="C6EFCE"/>
            <w:tcMar>
              <w:left w:w="108" w:type="dxa"/>
              <w:right w:w="108" w:type="dxa"/>
            </w:tcMar>
            <w:vAlign w:val="center"/>
          </w:tcPr>
          <w:p w14:paraId="352F7296" w14:textId="77777777" w:rsidR="0057163C" w:rsidRPr="00170422" w:rsidRDefault="00F37BF9">
            <w:pPr>
              <w:pStyle w:val="P68B1DB1-Normal121"/>
              <w:spacing w:after="0" w:line="240" w:lineRule="auto"/>
              <w:rPr>
                <w:noProof/>
                <w:lang w:val="de-DE"/>
              </w:rPr>
            </w:pPr>
            <w:r w:rsidRPr="00170422">
              <w:rPr>
                <w:noProof/>
                <w:lang w:val="de-DE"/>
              </w:rPr>
              <w:t>Reform 1.7: Reform der Regelung für den Studentenwohnsitz und Investitionen in den Studentenwohnsitz</w:t>
            </w:r>
          </w:p>
        </w:tc>
        <w:tc>
          <w:tcPr>
            <w:tcW w:w="2126" w:type="dxa"/>
            <w:shd w:val="clear" w:color="auto" w:fill="C6EFCE"/>
            <w:tcMar>
              <w:left w:w="108" w:type="dxa"/>
              <w:right w:w="108" w:type="dxa"/>
            </w:tcMar>
            <w:vAlign w:val="center"/>
          </w:tcPr>
          <w:p w14:paraId="784BB0D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0ACC2BD5" w14:textId="77777777" w:rsidR="0057163C" w:rsidRPr="00170422" w:rsidRDefault="00F37BF9">
            <w:pPr>
              <w:pStyle w:val="P68B1DB1-Normal121"/>
              <w:spacing w:after="0" w:line="240" w:lineRule="auto"/>
              <w:rPr>
                <w:noProof/>
                <w:lang w:val="de-DE"/>
              </w:rPr>
            </w:pPr>
            <w:r w:rsidRPr="00170422">
              <w:rPr>
                <w:noProof/>
                <w:lang w:val="de-DE"/>
              </w:rPr>
              <w:t xml:space="preserve"> Vergabe öffentlicher Aufträge für die Schaffung</w:t>
            </w:r>
            <w:r w:rsidRPr="00170422">
              <w:rPr>
                <w:noProof/>
                <w:lang w:val="de-DE"/>
              </w:rPr>
              <w:t xml:space="preserve"> zusätzlicher Schlafgelegenheiten (Betten)</w:t>
            </w:r>
          </w:p>
        </w:tc>
      </w:tr>
      <w:tr w:rsidR="0057163C" w:rsidRPr="00170422" w14:paraId="2929F51C" w14:textId="77777777" w:rsidTr="003833D5">
        <w:trPr>
          <w:trHeight w:val="300"/>
        </w:trPr>
        <w:tc>
          <w:tcPr>
            <w:tcW w:w="1290" w:type="dxa"/>
            <w:shd w:val="clear" w:color="auto" w:fill="C6EFCE"/>
            <w:tcMar>
              <w:left w:w="108" w:type="dxa"/>
              <w:right w:w="108" w:type="dxa"/>
            </w:tcMar>
            <w:vAlign w:val="center"/>
          </w:tcPr>
          <w:p w14:paraId="66C6B680" w14:textId="77777777" w:rsidR="0057163C" w:rsidRPr="00170422" w:rsidRDefault="00F37BF9">
            <w:pPr>
              <w:pStyle w:val="P68B1DB1-Normal121"/>
              <w:spacing w:after="0" w:line="240" w:lineRule="auto"/>
              <w:jc w:val="center"/>
              <w:rPr>
                <w:noProof/>
                <w:lang w:val="de-DE"/>
              </w:rPr>
            </w:pPr>
            <w:r w:rsidRPr="00170422">
              <w:rPr>
                <w:noProof/>
                <w:lang w:val="de-DE"/>
              </w:rPr>
              <w:t>M4C2-12</w:t>
            </w:r>
          </w:p>
        </w:tc>
        <w:tc>
          <w:tcPr>
            <w:tcW w:w="2384" w:type="dxa"/>
            <w:shd w:val="clear" w:color="auto" w:fill="C6EFCE"/>
            <w:tcMar>
              <w:left w:w="108" w:type="dxa"/>
              <w:right w:w="108" w:type="dxa"/>
            </w:tcMar>
            <w:vAlign w:val="center"/>
          </w:tcPr>
          <w:p w14:paraId="70544A74" w14:textId="77777777" w:rsidR="0057163C" w:rsidRPr="00170422" w:rsidRDefault="00F37BF9">
            <w:pPr>
              <w:pStyle w:val="P68B1DB1-Normal121"/>
              <w:spacing w:after="0" w:line="240" w:lineRule="auto"/>
              <w:rPr>
                <w:noProof/>
                <w:lang w:val="de-DE"/>
              </w:rPr>
            </w:pPr>
            <w:r w:rsidRPr="00170422">
              <w:rPr>
                <w:noProof/>
                <w:lang w:val="de-DE"/>
              </w:rPr>
              <w:t>Investition 2.1: IPCEI</w:t>
            </w:r>
          </w:p>
        </w:tc>
        <w:tc>
          <w:tcPr>
            <w:tcW w:w="2126" w:type="dxa"/>
            <w:shd w:val="clear" w:color="auto" w:fill="C6EFCE"/>
            <w:tcMar>
              <w:left w:w="108" w:type="dxa"/>
              <w:right w:w="108" w:type="dxa"/>
            </w:tcMar>
            <w:vAlign w:val="center"/>
          </w:tcPr>
          <w:p w14:paraId="6CB92AF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7" w:type="dxa"/>
            <w:shd w:val="clear" w:color="auto" w:fill="C6EFCE"/>
            <w:tcMar>
              <w:left w:w="108" w:type="dxa"/>
              <w:right w:w="108" w:type="dxa"/>
            </w:tcMar>
            <w:vAlign w:val="center"/>
          </w:tcPr>
          <w:p w14:paraId="16B1417C" w14:textId="77777777" w:rsidR="0057163C" w:rsidRPr="00170422" w:rsidRDefault="00F37BF9">
            <w:pPr>
              <w:pStyle w:val="P68B1DB1-Normal121"/>
              <w:spacing w:after="0" w:line="240" w:lineRule="auto"/>
              <w:rPr>
                <w:noProof/>
                <w:lang w:val="de-DE"/>
              </w:rPr>
            </w:pPr>
            <w:r w:rsidRPr="00170422">
              <w:rPr>
                <w:noProof/>
                <w:lang w:val="de-DE"/>
              </w:rPr>
              <w:t>Die Liste der Teilnehmer an IPCEI-Projekten ist bis zum 30.6.2023 fertiggestellt.</w:t>
            </w:r>
          </w:p>
        </w:tc>
      </w:tr>
      <w:tr w:rsidR="0057163C" w:rsidRPr="00170422" w14:paraId="17DE369B" w14:textId="77777777" w:rsidTr="003833D5">
        <w:trPr>
          <w:trHeight w:val="300"/>
        </w:trPr>
        <w:tc>
          <w:tcPr>
            <w:tcW w:w="1290" w:type="dxa"/>
            <w:shd w:val="clear" w:color="auto" w:fill="C6EFCE"/>
            <w:tcMar>
              <w:left w:w="108" w:type="dxa"/>
              <w:right w:w="108" w:type="dxa"/>
            </w:tcMar>
            <w:vAlign w:val="center"/>
          </w:tcPr>
          <w:p w14:paraId="49ACFC74" w14:textId="77777777" w:rsidR="0057163C" w:rsidRPr="00170422" w:rsidRDefault="00F37BF9">
            <w:pPr>
              <w:pStyle w:val="P68B1DB1-Normal121"/>
              <w:spacing w:after="0" w:line="240" w:lineRule="auto"/>
              <w:jc w:val="center"/>
              <w:rPr>
                <w:noProof/>
                <w:lang w:val="de-DE"/>
              </w:rPr>
            </w:pPr>
            <w:r w:rsidRPr="00170422">
              <w:rPr>
                <w:noProof/>
                <w:lang w:val="de-DE"/>
              </w:rPr>
              <w:t>M4C2-16</w:t>
            </w:r>
          </w:p>
        </w:tc>
        <w:tc>
          <w:tcPr>
            <w:tcW w:w="2384" w:type="dxa"/>
            <w:shd w:val="clear" w:color="auto" w:fill="C6EFCE"/>
            <w:tcMar>
              <w:left w:w="108" w:type="dxa"/>
              <w:right w:w="108" w:type="dxa"/>
            </w:tcMar>
            <w:vAlign w:val="center"/>
          </w:tcPr>
          <w:p w14:paraId="0C5DBA59" w14:textId="77777777" w:rsidR="0057163C" w:rsidRPr="00170422" w:rsidRDefault="00F37BF9">
            <w:pPr>
              <w:pStyle w:val="P68B1DB1-Normal121"/>
              <w:spacing w:after="0" w:line="240" w:lineRule="auto"/>
              <w:rPr>
                <w:noProof/>
                <w:lang w:val="de-DE"/>
              </w:rPr>
            </w:pPr>
            <w:r w:rsidRPr="00170422">
              <w:rPr>
                <w:noProof/>
                <w:lang w:val="de-DE"/>
              </w:rPr>
              <w:t>Investition 3.1 Forschungs- und Innovationsinfrastrukturen</w:t>
            </w:r>
          </w:p>
        </w:tc>
        <w:tc>
          <w:tcPr>
            <w:tcW w:w="2126" w:type="dxa"/>
            <w:shd w:val="clear" w:color="auto" w:fill="C6EFCE"/>
            <w:tcMar>
              <w:left w:w="108" w:type="dxa"/>
              <w:right w:w="108" w:type="dxa"/>
            </w:tcMar>
            <w:vAlign w:val="center"/>
          </w:tcPr>
          <w:p w14:paraId="02C2916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7D5097D8" w14:textId="77777777" w:rsidR="0057163C" w:rsidRPr="00170422" w:rsidRDefault="00F37BF9">
            <w:pPr>
              <w:pStyle w:val="P68B1DB1-Normal121"/>
              <w:spacing w:after="0" w:line="240" w:lineRule="auto"/>
              <w:rPr>
                <w:noProof/>
                <w:lang w:val="de-DE"/>
              </w:rPr>
            </w:pPr>
            <w:r w:rsidRPr="00170422">
              <w:rPr>
                <w:noProof/>
                <w:lang w:val="de-DE"/>
              </w:rPr>
              <w:t xml:space="preserve">Anzahl der </w:t>
            </w:r>
            <w:r w:rsidRPr="00170422">
              <w:rPr>
                <w:noProof/>
                <w:lang w:val="de-DE"/>
              </w:rPr>
              <w:t>finanzierten Infrastrukturen</w:t>
            </w:r>
          </w:p>
        </w:tc>
      </w:tr>
      <w:tr w:rsidR="0057163C" w:rsidRPr="00170422" w14:paraId="687C0FB9" w14:textId="77777777" w:rsidTr="003833D5">
        <w:trPr>
          <w:trHeight w:val="300"/>
        </w:trPr>
        <w:tc>
          <w:tcPr>
            <w:tcW w:w="1290" w:type="dxa"/>
            <w:shd w:val="clear" w:color="auto" w:fill="C6EFCE"/>
            <w:tcMar>
              <w:left w:w="108" w:type="dxa"/>
              <w:right w:w="108" w:type="dxa"/>
            </w:tcMar>
            <w:vAlign w:val="center"/>
          </w:tcPr>
          <w:p w14:paraId="42E18989" w14:textId="77777777" w:rsidR="0057163C" w:rsidRPr="00170422" w:rsidRDefault="00F37BF9">
            <w:pPr>
              <w:pStyle w:val="P68B1DB1-Normal121"/>
              <w:spacing w:after="0" w:line="240" w:lineRule="auto"/>
              <w:jc w:val="center"/>
              <w:rPr>
                <w:noProof/>
                <w:lang w:val="de-DE"/>
              </w:rPr>
            </w:pPr>
            <w:r w:rsidRPr="00170422">
              <w:rPr>
                <w:noProof/>
                <w:lang w:val="de-DE"/>
              </w:rPr>
              <w:t>M5C1-18</w:t>
            </w:r>
          </w:p>
        </w:tc>
        <w:tc>
          <w:tcPr>
            <w:tcW w:w="2384" w:type="dxa"/>
            <w:shd w:val="clear" w:color="auto" w:fill="C6EFCE"/>
            <w:tcMar>
              <w:left w:w="108" w:type="dxa"/>
              <w:right w:w="108" w:type="dxa"/>
            </w:tcMar>
            <w:vAlign w:val="center"/>
          </w:tcPr>
          <w:p w14:paraId="61663392" w14:textId="77777777" w:rsidR="0057163C" w:rsidRPr="00170422" w:rsidRDefault="00F37BF9">
            <w:pPr>
              <w:pStyle w:val="P68B1DB1-Normal121"/>
              <w:spacing w:after="0" w:line="240" w:lineRule="auto"/>
              <w:rPr>
                <w:noProof/>
                <w:lang w:val="de-DE"/>
              </w:rPr>
            </w:pPr>
            <w:r w:rsidRPr="00170422">
              <w:rPr>
                <w:noProof/>
                <w:lang w:val="de-DE"/>
              </w:rPr>
              <w:t>Investition 5 Gründung von Frauenunternehmen</w:t>
            </w:r>
          </w:p>
        </w:tc>
        <w:tc>
          <w:tcPr>
            <w:tcW w:w="2126" w:type="dxa"/>
            <w:shd w:val="clear" w:color="auto" w:fill="C6EFCE"/>
            <w:tcMar>
              <w:left w:w="108" w:type="dxa"/>
              <w:right w:w="108" w:type="dxa"/>
            </w:tcMar>
            <w:vAlign w:val="center"/>
          </w:tcPr>
          <w:p w14:paraId="28D549F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19839872" w14:textId="77777777" w:rsidR="0057163C" w:rsidRPr="00170422" w:rsidRDefault="00F37BF9">
            <w:pPr>
              <w:pStyle w:val="P68B1DB1-Normal121"/>
              <w:spacing w:after="0" w:line="240" w:lineRule="auto"/>
              <w:rPr>
                <w:noProof/>
                <w:lang w:val="de-DE"/>
              </w:rPr>
            </w:pPr>
            <w:r w:rsidRPr="00170422">
              <w:rPr>
                <w:noProof/>
                <w:lang w:val="de-DE"/>
              </w:rPr>
              <w:t xml:space="preserve">Finanzielle Unterstützung für Unternehmen wurde zugesagt </w:t>
            </w:r>
          </w:p>
        </w:tc>
      </w:tr>
      <w:tr w:rsidR="0057163C" w:rsidRPr="00170422" w14:paraId="15266174" w14:textId="77777777" w:rsidTr="003833D5">
        <w:trPr>
          <w:trHeight w:val="300"/>
        </w:trPr>
        <w:tc>
          <w:tcPr>
            <w:tcW w:w="1290" w:type="dxa"/>
            <w:shd w:val="clear" w:color="auto" w:fill="C6EFCE"/>
            <w:tcMar>
              <w:left w:w="108" w:type="dxa"/>
              <w:right w:w="108" w:type="dxa"/>
            </w:tcMar>
            <w:vAlign w:val="center"/>
          </w:tcPr>
          <w:p w14:paraId="7A7422E4" w14:textId="77777777" w:rsidR="0057163C" w:rsidRPr="00170422" w:rsidRDefault="00F37BF9">
            <w:pPr>
              <w:pStyle w:val="P68B1DB1-Normal121"/>
              <w:spacing w:after="0" w:line="240" w:lineRule="auto"/>
              <w:jc w:val="center"/>
              <w:rPr>
                <w:noProof/>
                <w:lang w:val="de-DE"/>
              </w:rPr>
            </w:pPr>
            <w:r w:rsidRPr="00170422">
              <w:rPr>
                <w:noProof/>
                <w:lang w:val="de-DE"/>
              </w:rPr>
              <w:t>M6C2-14</w:t>
            </w:r>
          </w:p>
        </w:tc>
        <w:tc>
          <w:tcPr>
            <w:tcW w:w="2384" w:type="dxa"/>
            <w:shd w:val="clear" w:color="auto" w:fill="C6EFCE"/>
            <w:tcMar>
              <w:left w:w="108" w:type="dxa"/>
              <w:right w:w="108" w:type="dxa"/>
            </w:tcMar>
            <w:vAlign w:val="center"/>
          </w:tcPr>
          <w:p w14:paraId="546B7A3D" w14:textId="77777777" w:rsidR="0057163C" w:rsidRPr="00170422" w:rsidRDefault="00F37BF9">
            <w:pPr>
              <w:pStyle w:val="P68B1DB1-Normal123"/>
              <w:spacing w:after="0" w:line="240" w:lineRule="auto"/>
              <w:rPr>
                <w:noProof/>
                <w:lang w:val="de-DE"/>
              </w:rPr>
            </w:pPr>
            <w:r w:rsidRPr="00170422">
              <w:rPr>
                <w:noProof/>
                <w:lang w:val="de-DE"/>
              </w:rPr>
              <w:t xml:space="preserve">Investition 2.2: Entwicklung von technischen, beruflichen, digitalen und Managementkompetenzen von </w:t>
            </w:r>
            <w:r w:rsidRPr="00170422">
              <w:rPr>
                <w:noProof/>
                <w:lang w:val="de-DE"/>
              </w:rPr>
              <w:t>Fachkräften des Gesundheitssystems</w:t>
            </w:r>
          </w:p>
        </w:tc>
        <w:tc>
          <w:tcPr>
            <w:tcW w:w="2126" w:type="dxa"/>
            <w:shd w:val="clear" w:color="auto" w:fill="C6EFCE"/>
            <w:tcMar>
              <w:left w:w="108" w:type="dxa"/>
              <w:right w:w="108" w:type="dxa"/>
            </w:tcMar>
            <w:vAlign w:val="center"/>
          </w:tcPr>
          <w:p w14:paraId="3A3D6847"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557" w:type="dxa"/>
            <w:shd w:val="clear" w:color="auto" w:fill="C6EFCE"/>
            <w:tcMar>
              <w:left w:w="108" w:type="dxa"/>
              <w:right w:w="108" w:type="dxa"/>
            </w:tcMar>
            <w:vAlign w:val="center"/>
          </w:tcPr>
          <w:p w14:paraId="60D637C5" w14:textId="77777777" w:rsidR="0057163C" w:rsidRPr="00170422" w:rsidRDefault="00F37BF9">
            <w:pPr>
              <w:pStyle w:val="P68B1DB1-Normal123"/>
              <w:spacing w:after="0" w:line="240" w:lineRule="auto"/>
              <w:rPr>
                <w:noProof/>
                <w:lang w:val="de-DE"/>
              </w:rPr>
            </w:pPr>
            <w:r w:rsidRPr="00170422">
              <w:rPr>
                <w:noProof/>
                <w:lang w:val="de-DE"/>
              </w:rPr>
              <w:t>Es werden Stipendien für eine spezifische Ausbildung in der Allgemeinmedizin vergeben.</w:t>
            </w:r>
          </w:p>
        </w:tc>
      </w:tr>
      <w:tr w:rsidR="0057163C" w:rsidRPr="00170422" w14:paraId="7AC50261" w14:textId="77777777" w:rsidTr="003833D5">
        <w:trPr>
          <w:trHeight w:val="300"/>
        </w:trPr>
        <w:tc>
          <w:tcPr>
            <w:tcW w:w="1290" w:type="dxa"/>
            <w:shd w:val="clear" w:color="auto" w:fill="C6EFCE"/>
            <w:tcMar>
              <w:left w:w="108" w:type="dxa"/>
              <w:right w:w="108" w:type="dxa"/>
            </w:tcMar>
            <w:vAlign w:val="center"/>
          </w:tcPr>
          <w:p w14:paraId="7C754D4B"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384" w:type="dxa"/>
            <w:shd w:val="clear" w:color="auto" w:fill="C6EFCE"/>
            <w:tcMar>
              <w:left w:w="108" w:type="dxa"/>
              <w:right w:w="108" w:type="dxa"/>
            </w:tcMar>
            <w:vAlign w:val="center"/>
          </w:tcPr>
          <w:p w14:paraId="3B233241"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126" w:type="dxa"/>
            <w:shd w:val="clear" w:color="auto" w:fill="C6EFCE"/>
            <w:tcMar>
              <w:left w:w="108" w:type="dxa"/>
              <w:right w:w="108" w:type="dxa"/>
            </w:tcMar>
            <w:vAlign w:val="center"/>
          </w:tcPr>
          <w:p w14:paraId="504BB2C4"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7" w:type="dxa"/>
            <w:shd w:val="clear" w:color="auto" w:fill="C6EFCE"/>
            <w:tcMar>
              <w:left w:w="108" w:type="dxa"/>
              <w:right w:w="108" w:type="dxa"/>
            </w:tcMar>
            <w:vAlign w:val="center"/>
          </w:tcPr>
          <w:p w14:paraId="0315EA2A"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16611453220 EUR</w:t>
            </w:r>
            <w:r w:rsidRPr="00170422">
              <w:rPr>
                <w:noProof/>
                <w:sz w:val="23"/>
                <w:szCs w:val="23"/>
                <w:lang w:val="de-DE"/>
              </w:rPr>
              <w:t xml:space="preserve">  </w:t>
            </w:r>
          </w:p>
        </w:tc>
      </w:tr>
    </w:tbl>
    <w:p w14:paraId="72F93B20" w14:textId="77777777" w:rsidR="0057163C" w:rsidRPr="00170422" w:rsidRDefault="00F37BF9">
      <w:pPr>
        <w:pStyle w:val="P68B1DB1-Normal8"/>
        <w:spacing w:before="120" w:after="120" w:line="240" w:lineRule="auto"/>
        <w:jc w:val="both"/>
        <w:rPr>
          <w:noProof/>
          <w:lang w:val="de-DE"/>
        </w:rPr>
      </w:pPr>
      <w:r w:rsidRPr="00170422">
        <w:rPr>
          <w:noProof/>
          <w:lang w:val="de-DE"/>
        </w:rPr>
        <w:t xml:space="preserve"> </w:t>
      </w:r>
    </w:p>
    <w:p w14:paraId="5E5E1D27"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Fünfte Tranche (Darlehensunterstützung):</w:t>
      </w:r>
    </w:p>
    <w:tbl>
      <w:tblPr>
        <w:tblW w:w="9344" w:type="dxa"/>
        <w:tblInd w:w="120" w:type="dxa"/>
        <w:tblLayout w:type="fixed"/>
        <w:tblLook w:val="04A0" w:firstRow="1" w:lastRow="0" w:firstColumn="1" w:lastColumn="0" w:noHBand="0" w:noVBand="1"/>
      </w:tblPr>
      <w:tblGrid>
        <w:gridCol w:w="1320"/>
        <w:gridCol w:w="2354"/>
        <w:gridCol w:w="2126"/>
        <w:gridCol w:w="3544"/>
      </w:tblGrid>
      <w:tr w:rsidR="0057163C" w:rsidRPr="00170422" w14:paraId="4658538F" w14:textId="77777777" w:rsidTr="0018154D">
        <w:trPr>
          <w:trHeight w:val="900"/>
          <w:tblHeader/>
        </w:trPr>
        <w:tc>
          <w:tcPr>
            <w:tcW w:w="1320"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5B915BF9"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354"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282547E" w14:textId="77777777" w:rsidR="0057163C" w:rsidRPr="00170422" w:rsidRDefault="00F37BF9">
            <w:pPr>
              <w:pStyle w:val="P68B1DB1-Normal120"/>
              <w:spacing w:after="0" w:line="240" w:lineRule="auto"/>
              <w:jc w:val="center"/>
              <w:rPr>
                <w:noProof/>
                <w:lang w:val="de-DE"/>
              </w:rPr>
            </w:pPr>
            <w:r w:rsidRPr="00170422">
              <w:rPr>
                <w:noProof/>
                <w:lang w:val="de-DE"/>
              </w:rPr>
              <w:t xml:space="preserve">Verbundene Maßnahme </w:t>
            </w:r>
            <w:r w:rsidRPr="00170422">
              <w:rPr>
                <w:noProof/>
                <w:lang w:val="de-DE"/>
              </w:rPr>
              <w:t>(Reform oder Investition)</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0CF05B57"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BDD7EE"/>
            <w:tcMar>
              <w:left w:w="108" w:type="dxa"/>
              <w:right w:w="108" w:type="dxa"/>
            </w:tcMar>
            <w:vAlign w:val="center"/>
          </w:tcPr>
          <w:p w14:paraId="7BECCBEE"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788665DB" w14:textId="77777777" w:rsidTr="0018154D">
        <w:trPr>
          <w:trHeight w:val="510"/>
        </w:trPr>
        <w:tc>
          <w:tcPr>
            <w:tcW w:w="1320" w:type="dxa"/>
            <w:vMerge/>
            <w:tcBorders>
              <w:top w:val="single" w:sz="4" w:space="0" w:color="auto"/>
              <w:left w:val="single" w:sz="4" w:space="0" w:color="auto"/>
              <w:bottom w:val="single" w:sz="4" w:space="0" w:color="auto"/>
              <w:right w:val="single" w:sz="4" w:space="0" w:color="auto"/>
            </w:tcBorders>
            <w:vAlign w:val="center"/>
          </w:tcPr>
          <w:p w14:paraId="458A7695"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354" w:type="dxa"/>
            <w:vMerge/>
            <w:tcBorders>
              <w:top w:val="single" w:sz="4" w:space="0" w:color="auto"/>
              <w:left w:val="single" w:sz="4" w:space="0" w:color="auto"/>
              <w:bottom w:val="single" w:sz="4" w:space="0" w:color="auto"/>
              <w:right w:val="single" w:sz="4" w:space="0" w:color="auto"/>
            </w:tcBorders>
            <w:vAlign w:val="center"/>
          </w:tcPr>
          <w:p w14:paraId="6BF3FF9A"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0AA1B01C"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44" w:type="dxa"/>
            <w:vMerge/>
            <w:tcBorders>
              <w:top w:val="single" w:sz="4" w:space="0" w:color="auto"/>
              <w:left w:val="single" w:sz="4" w:space="0" w:color="auto"/>
              <w:bottom w:val="single" w:sz="4" w:space="0" w:color="auto"/>
              <w:right w:val="single" w:sz="4" w:space="0" w:color="auto"/>
            </w:tcBorders>
            <w:vAlign w:val="center"/>
          </w:tcPr>
          <w:p w14:paraId="77EDCAB4"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385E3EDA"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FE762C" w14:textId="77777777" w:rsidR="0057163C" w:rsidRPr="00170422" w:rsidRDefault="00F37BF9">
            <w:pPr>
              <w:pStyle w:val="P68B1DB1-Normal121"/>
              <w:spacing w:after="0" w:line="240" w:lineRule="auto"/>
              <w:jc w:val="center"/>
              <w:rPr>
                <w:noProof/>
                <w:lang w:val="de-DE"/>
              </w:rPr>
            </w:pPr>
            <w:r w:rsidRPr="00170422">
              <w:rPr>
                <w:noProof/>
                <w:lang w:val="de-DE"/>
              </w:rPr>
              <w:t>M2C3-5</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085A4F" w14:textId="77777777" w:rsidR="0057163C" w:rsidRPr="00170422" w:rsidRDefault="00F37BF9">
            <w:pPr>
              <w:pStyle w:val="P68B1DB1-Normal121"/>
              <w:spacing w:after="0" w:line="240" w:lineRule="auto"/>
              <w:rPr>
                <w:noProof/>
                <w:lang w:val="de-DE"/>
              </w:rPr>
            </w:pPr>
            <w:r w:rsidRPr="00170422">
              <w:rPr>
                <w:noProof/>
                <w:lang w:val="de-DE"/>
              </w:rPr>
              <w:t xml:space="preserve">Investition 1.1: Bau neuer Schulen durch Austausch von Gebäuden </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7D913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E38E963" w14:textId="77777777" w:rsidR="0057163C" w:rsidRPr="00170422" w:rsidRDefault="00F37BF9">
            <w:pPr>
              <w:pStyle w:val="P68B1DB1-Normal121"/>
              <w:spacing w:after="0" w:line="240" w:lineRule="auto"/>
              <w:rPr>
                <w:noProof/>
                <w:lang w:val="de-DE"/>
              </w:rPr>
            </w:pPr>
            <w:r w:rsidRPr="00170422">
              <w:rPr>
                <w:noProof/>
                <w:lang w:val="de-DE"/>
              </w:rPr>
              <w:t xml:space="preserve">Vergabe aller öffentlichen Aufträge für den Bau neuer Schulen durch Ersetzung von Gebäuden zur Verbesserung der Energieversorgung in Schulgebäuden im Anschluss an eine öffentliche Ausschreibung </w:t>
            </w:r>
          </w:p>
        </w:tc>
      </w:tr>
      <w:tr w:rsidR="0057163C" w:rsidRPr="00170422" w14:paraId="67F12C20"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9DFA67" w14:textId="77777777" w:rsidR="0057163C" w:rsidRPr="00170422" w:rsidRDefault="00F37BF9">
            <w:pPr>
              <w:pStyle w:val="P68B1DB1-Normal121"/>
              <w:spacing w:after="0" w:line="240" w:lineRule="auto"/>
              <w:jc w:val="center"/>
              <w:rPr>
                <w:noProof/>
                <w:lang w:val="de-DE"/>
              </w:rPr>
            </w:pPr>
            <w:r w:rsidRPr="00170422">
              <w:rPr>
                <w:noProof/>
                <w:lang w:val="de-DE"/>
              </w:rPr>
              <w:t>M2C4-28</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9C06A7" w14:textId="77777777" w:rsidR="0057163C" w:rsidRPr="00170422" w:rsidRDefault="00F37BF9">
            <w:pPr>
              <w:pStyle w:val="P68B1DB1-Normal121"/>
              <w:spacing w:after="0" w:line="240" w:lineRule="auto"/>
              <w:rPr>
                <w:noProof/>
                <w:lang w:val="de-DE"/>
              </w:rPr>
            </w:pPr>
            <w:r w:rsidRPr="00170422">
              <w:rPr>
                <w:noProof/>
                <w:lang w:val="de-DE"/>
              </w:rPr>
              <w:t xml:space="preserve">Investition 4.1. Investitionen in primäre </w:t>
            </w:r>
            <w:r w:rsidRPr="00170422">
              <w:rPr>
                <w:noProof/>
                <w:lang w:val="de-DE"/>
              </w:rPr>
              <w:t>Wasserinfrastrukturen für die Sicherheit der Wasserversorgung</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B8083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1FEDC3" w14:textId="1E4156CE" w:rsidR="0057163C" w:rsidRPr="00170422" w:rsidRDefault="00F37BF9">
            <w:pPr>
              <w:pStyle w:val="P68B1DB1-Normal121"/>
              <w:spacing w:after="0" w:line="240" w:lineRule="auto"/>
              <w:rPr>
                <w:noProof/>
                <w:lang w:val="de-DE"/>
              </w:rPr>
            </w:pPr>
            <w:r w:rsidRPr="00170422">
              <w:rPr>
                <w:noProof/>
                <w:lang w:val="de-DE"/>
              </w:rPr>
              <w:t xml:space="preserve">Gewährung von Fördermitteln für alle Projekte (für Investitionen in die Primärwasserinfrastruktur und für die Sicherheit der Wasserversorgung) </w:t>
            </w:r>
          </w:p>
        </w:tc>
      </w:tr>
      <w:tr w:rsidR="0057163C" w:rsidRPr="00170422" w14:paraId="445EBE87"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A36C31C" w14:textId="77777777" w:rsidR="0057163C" w:rsidRPr="00170422" w:rsidRDefault="00F37BF9">
            <w:pPr>
              <w:pStyle w:val="P68B1DB1-Normal121"/>
              <w:spacing w:after="0" w:line="240" w:lineRule="auto"/>
              <w:jc w:val="center"/>
              <w:rPr>
                <w:noProof/>
                <w:lang w:val="de-DE"/>
              </w:rPr>
            </w:pPr>
            <w:r w:rsidRPr="00170422">
              <w:rPr>
                <w:noProof/>
                <w:lang w:val="de-DE"/>
              </w:rPr>
              <w:t>M2C4-30</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E7C9D7" w14:textId="77777777" w:rsidR="0057163C" w:rsidRPr="00170422" w:rsidRDefault="00F37BF9">
            <w:pPr>
              <w:pStyle w:val="P68B1DB1-Normal121"/>
              <w:spacing w:after="0" w:line="240" w:lineRule="auto"/>
              <w:rPr>
                <w:noProof/>
                <w:lang w:val="de-DE"/>
              </w:rPr>
            </w:pPr>
            <w:r w:rsidRPr="00170422">
              <w:rPr>
                <w:noProof/>
                <w:lang w:val="de-DE"/>
              </w:rPr>
              <w:t>Investition 4.2. Verringerung</w:t>
            </w:r>
            <w:r w:rsidRPr="00170422">
              <w:rPr>
                <w:noProof/>
                <w:lang w:val="de-DE"/>
              </w:rPr>
              <w:t xml:space="preserve"> der Verluste in den Wasserverteilungsnetzen, einschließlich Digitalisierung und Überwachung der Netze</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6E73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5105F7" w14:textId="77777777" w:rsidR="0057163C" w:rsidRPr="00170422" w:rsidRDefault="00F37BF9">
            <w:pPr>
              <w:pStyle w:val="P68B1DB1-Normal121"/>
              <w:spacing w:after="0" w:line="240" w:lineRule="auto"/>
              <w:rPr>
                <w:noProof/>
                <w:lang w:val="de-DE"/>
              </w:rPr>
            </w:pPr>
            <w:r w:rsidRPr="00170422">
              <w:rPr>
                <w:noProof/>
                <w:lang w:val="de-DE"/>
              </w:rPr>
              <w:t>Gewährung von Fördermitteln für alle Projekte für Maßnahmen in den Wasserversorgungsnetzen, einschließlich Digitalisierung und Überwachung de</w:t>
            </w:r>
            <w:r w:rsidRPr="00170422">
              <w:rPr>
                <w:noProof/>
                <w:lang w:val="de-DE"/>
              </w:rPr>
              <w:t>r Netze</w:t>
            </w:r>
          </w:p>
        </w:tc>
      </w:tr>
      <w:tr w:rsidR="0057163C" w:rsidRPr="00170422" w14:paraId="2AFAED8A"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C02D2B" w14:textId="77777777" w:rsidR="0057163C" w:rsidRPr="00170422" w:rsidRDefault="00F37BF9">
            <w:pPr>
              <w:pStyle w:val="P68B1DB1-Normal121"/>
              <w:spacing w:after="0" w:line="240" w:lineRule="auto"/>
              <w:jc w:val="center"/>
              <w:rPr>
                <w:noProof/>
                <w:lang w:val="de-DE"/>
              </w:rPr>
            </w:pPr>
            <w:r w:rsidRPr="00170422">
              <w:rPr>
                <w:noProof/>
                <w:lang w:val="de-DE"/>
              </w:rPr>
              <w:t>M1C1-14</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918238" w14:textId="77777777" w:rsidR="0057163C" w:rsidRPr="00170422" w:rsidRDefault="00F37BF9">
            <w:pPr>
              <w:pStyle w:val="P68B1DB1-Normal121"/>
              <w:spacing w:after="0" w:line="240" w:lineRule="auto"/>
              <w:rPr>
                <w:noProof/>
                <w:lang w:val="de-DE"/>
              </w:rPr>
            </w:pPr>
            <w:r w:rsidRPr="00170422">
              <w:rPr>
                <w:noProof/>
                <w:lang w:val="de-DE"/>
              </w:rPr>
              <w:t>Investition 1.6.5: Digitalisierung des Staatsrats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3D6FA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F0DA7E" w14:textId="77777777" w:rsidR="0057163C" w:rsidRPr="00170422" w:rsidRDefault="00F37BF9">
            <w:pPr>
              <w:pStyle w:val="P68B1DB1-Normal121"/>
              <w:spacing w:after="0" w:line="240" w:lineRule="auto"/>
              <w:rPr>
                <w:noProof/>
                <w:lang w:val="de-DE"/>
              </w:rPr>
            </w:pPr>
            <w:r w:rsidRPr="00170422">
              <w:rPr>
                <w:noProof/>
                <w:lang w:val="de-DE"/>
              </w:rPr>
              <w:t>Staatsrat – Gerichtliche Dokumente zur Auswertung im Datenlager T1 verfügbar</w:t>
            </w:r>
          </w:p>
        </w:tc>
      </w:tr>
      <w:tr w:rsidR="0057163C" w:rsidRPr="00170422" w14:paraId="0378F873"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7791D5" w14:textId="77777777" w:rsidR="0057163C" w:rsidRPr="00170422" w:rsidRDefault="00F37BF9">
            <w:pPr>
              <w:pStyle w:val="P68B1DB1-Normal121"/>
              <w:spacing w:after="0" w:line="240" w:lineRule="auto"/>
              <w:jc w:val="center"/>
              <w:rPr>
                <w:noProof/>
                <w:lang w:val="de-DE"/>
              </w:rPr>
            </w:pPr>
            <w:r w:rsidRPr="00170422">
              <w:rPr>
                <w:noProof/>
                <w:lang w:val="de-DE"/>
              </w:rPr>
              <w:t>M1C1-16</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1229C41" w14:textId="77777777" w:rsidR="0057163C" w:rsidRPr="00170422" w:rsidRDefault="00F37BF9">
            <w:pPr>
              <w:pStyle w:val="P68B1DB1-Normal121"/>
              <w:spacing w:after="0" w:line="240" w:lineRule="auto"/>
              <w:rPr>
                <w:noProof/>
                <w:lang w:val="de-DE"/>
              </w:rPr>
            </w:pPr>
            <w:r w:rsidRPr="00170422">
              <w:rPr>
                <w:noProof/>
                <w:lang w:val="de-DE"/>
              </w:rPr>
              <w:t>Investition 1.6.5: Digitalisierung des Staatsrats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D1377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499F81" w14:textId="77777777" w:rsidR="0057163C" w:rsidRPr="00170422" w:rsidRDefault="00F37BF9">
            <w:pPr>
              <w:pStyle w:val="P68B1DB1-Normal121"/>
              <w:spacing w:after="0" w:line="240" w:lineRule="auto"/>
              <w:rPr>
                <w:noProof/>
                <w:lang w:val="de-DE"/>
              </w:rPr>
            </w:pPr>
            <w:r w:rsidRPr="00170422">
              <w:rPr>
                <w:noProof/>
                <w:lang w:val="de-DE"/>
              </w:rPr>
              <w:t xml:space="preserve">Staatsrat – Gerichtliche Dokumente zur </w:t>
            </w:r>
            <w:r w:rsidRPr="00170422">
              <w:rPr>
                <w:noProof/>
                <w:lang w:val="de-DE"/>
              </w:rPr>
              <w:t>Auswertung im Datenlager T2 verfügbar</w:t>
            </w:r>
          </w:p>
        </w:tc>
      </w:tr>
      <w:tr w:rsidR="0057163C" w:rsidRPr="00170422" w14:paraId="56252DF7"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E00C6C" w14:textId="77777777" w:rsidR="0057163C" w:rsidRPr="00170422" w:rsidRDefault="00F37BF9">
            <w:pPr>
              <w:pStyle w:val="P68B1DB1-Normal121"/>
              <w:spacing w:after="0" w:line="240" w:lineRule="auto"/>
              <w:jc w:val="center"/>
              <w:rPr>
                <w:noProof/>
                <w:lang w:val="de-DE"/>
              </w:rPr>
            </w:pPr>
            <w:r w:rsidRPr="00170422">
              <w:rPr>
                <w:noProof/>
                <w:lang w:val="de-DE"/>
              </w:rPr>
              <w:t>M1C1-126</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49715C" w14:textId="77777777" w:rsidR="0057163C" w:rsidRPr="00170422" w:rsidRDefault="00F37BF9">
            <w:pPr>
              <w:pStyle w:val="P68B1DB1-Normal121"/>
              <w:spacing w:after="0" w:line="240" w:lineRule="auto"/>
              <w:rPr>
                <w:noProof/>
                <w:lang w:val="de-DE"/>
              </w:rPr>
            </w:pPr>
            <w:r w:rsidRPr="00170422">
              <w:rPr>
                <w:noProof/>
                <w:lang w:val="de-DE"/>
              </w:rPr>
              <w:t>Investition 1.4.3 – Ausbau der PagoPA-Plattformdienste und der „IO“-App</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48EC65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5CC602" w14:textId="77777777" w:rsidR="0057163C" w:rsidRPr="00170422" w:rsidRDefault="00F37BF9">
            <w:pPr>
              <w:pStyle w:val="P68B1DB1-Normal121"/>
              <w:spacing w:after="0" w:line="240" w:lineRule="auto"/>
              <w:rPr>
                <w:noProof/>
                <w:lang w:val="de-DE"/>
              </w:rPr>
            </w:pPr>
            <w:r w:rsidRPr="00170422">
              <w:rPr>
                <w:noProof/>
                <w:lang w:val="de-DE"/>
              </w:rPr>
              <w:t>Ausbau der PagoPA-Plattformdienste T1</w:t>
            </w:r>
          </w:p>
        </w:tc>
      </w:tr>
      <w:tr w:rsidR="0057163C" w:rsidRPr="00170422" w14:paraId="03C31488"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614481" w14:textId="77777777" w:rsidR="0057163C" w:rsidRPr="00170422" w:rsidRDefault="00F37BF9">
            <w:pPr>
              <w:pStyle w:val="P68B1DB1-Normal121"/>
              <w:spacing w:after="0" w:line="240" w:lineRule="auto"/>
              <w:jc w:val="center"/>
              <w:rPr>
                <w:noProof/>
                <w:lang w:val="de-DE"/>
              </w:rPr>
            </w:pPr>
            <w:r w:rsidRPr="00170422">
              <w:rPr>
                <w:noProof/>
                <w:lang w:val="de-DE"/>
              </w:rPr>
              <w:t>M1C1-127</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D8DF8A9" w14:textId="77777777" w:rsidR="0057163C" w:rsidRPr="00170422" w:rsidRDefault="00F37BF9">
            <w:pPr>
              <w:pStyle w:val="P68B1DB1-Normal121"/>
              <w:spacing w:after="0" w:line="240" w:lineRule="auto"/>
              <w:rPr>
                <w:noProof/>
                <w:lang w:val="de-DE"/>
              </w:rPr>
            </w:pPr>
            <w:r w:rsidRPr="00170422">
              <w:rPr>
                <w:noProof/>
                <w:lang w:val="de-DE"/>
              </w:rPr>
              <w:t>Investition 1.4.3 – Ausbau der PagoPA-Plattformdienste und der „IO“-App</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891F2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7DA22B" w14:textId="77777777" w:rsidR="0057163C" w:rsidRPr="00170422" w:rsidRDefault="00F37BF9">
            <w:pPr>
              <w:pStyle w:val="P68B1DB1-Normal121"/>
              <w:spacing w:after="0" w:line="240" w:lineRule="auto"/>
              <w:rPr>
                <w:noProof/>
                <w:lang w:val="de-DE"/>
              </w:rPr>
            </w:pPr>
            <w:r w:rsidRPr="00170422">
              <w:rPr>
                <w:noProof/>
                <w:lang w:val="de-DE"/>
              </w:rPr>
              <w:t>Ausweitung der Einführung der „IO“-App T1</w:t>
            </w:r>
          </w:p>
        </w:tc>
      </w:tr>
      <w:tr w:rsidR="0057163C" w:rsidRPr="00170422" w14:paraId="18BBA449"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74EC4" w14:textId="77777777" w:rsidR="0057163C" w:rsidRPr="00170422" w:rsidRDefault="00F37BF9">
            <w:pPr>
              <w:pStyle w:val="P68B1DB1-Normal121"/>
              <w:spacing w:after="0" w:line="240" w:lineRule="auto"/>
              <w:jc w:val="center"/>
              <w:rPr>
                <w:noProof/>
                <w:lang w:val="de-DE"/>
              </w:rPr>
            </w:pPr>
            <w:r w:rsidRPr="00170422">
              <w:rPr>
                <w:noProof/>
                <w:lang w:val="de-DE"/>
              </w:rPr>
              <w:t>M1C1-128</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395993C" w14:textId="77777777" w:rsidR="0057163C" w:rsidRPr="00170422" w:rsidRDefault="00F37BF9">
            <w:pPr>
              <w:pStyle w:val="P68B1DB1-Normal121"/>
              <w:spacing w:after="0" w:line="240" w:lineRule="auto"/>
              <w:rPr>
                <w:noProof/>
                <w:lang w:val="de-DE"/>
              </w:rPr>
            </w:pPr>
            <w:r w:rsidRPr="00170422">
              <w:rPr>
                <w:noProof/>
                <w:lang w:val="de-DE"/>
              </w:rPr>
              <w:t>Investition 1.4.5 – Digitalisierung öffentlicher Bekanntmachungen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24592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7D1C83" w14:textId="77777777" w:rsidR="0057163C" w:rsidRPr="00170422" w:rsidRDefault="00F37BF9">
            <w:pPr>
              <w:pStyle w:val="P68B1DB1-Normal121"/>
              <w:spacing w:after="0" w:line="240" w:lineRule="auto"/>
              <w:rPr>
                <w:noProof/>
                <w:lang w:val="de-DE"/>
              </w:rPr>
            </w:pPr>
            <w:r w:rsidRPr="00170422">
              <w:rPr>
                <w:noProof/>
                <w:lang w:val="de-DE"/>
              </w:rPr>
              <w:t>Ausweitung der digitalen öffentlichen Bekanntmachungen T1</w:t>
            </w:r>
          </w:p>
        </w:tc>
      </w:tr>
      <w:tr w:rsidR="0057163C" w:rsidRPr="00170422" w14:paraId="5A4E2DA9"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9A3E10" w14:textId="77777777" w:rsidR="0057163C" w:rsidRPr="00170422" w:rsidRDefault="00F37BF9">
            <w:pPr>
              <w:pStyle w:val="P68B1DB1-Normal121"/>
              <w:spacing w:after="0" w:line="240" w:lineRule="auto"/>
              <w:jc w:val="center"/>
              <w:rPr>
                <w:noProof/>
                <w:lang w:val="de-DE"/>
              </w:rPr>
            </w:pPr>
            <w:r w:rsidRPr="00170422">
              <w:rPr>
                <w:noProof/>
                <w:lang w:val="de-DE"/>
              </w:rPr>
              <w:t>M1C1-129</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4BD8D5" w14:textId="77777777" w:rsidR="0057163C" w:rsidRPr="00170422" w:rsidRDefault="00F37BF9">
            <w:pPr>
              <w:pStyle w:val="P68B1DB1-Normal121"/>
              <w:spacing w:after="0" w:line="240" w:lineRule="auto"/>
              <w:rPr>
                <w:noProof/>
                <w:lang w:val="de-DE"/>
              </w:rPr>
            </w:pPr>
            <w:r w:rsidRPr="00170422">
              <w:rPr>
                <w:noProof/>
                <w:lang w:val="de-DE"/>
              </w:rPr>
              <w:t>Investition 1.6.1 – Digitalisierung des Innenministeriums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9CA485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44CBE0" w14:textId="77777777" w:rsidR="0057163C" w:rsidRPr="00170422" w:rsidRDefault="00F37BF9">
            <w:pPr>
              <w:pStyle w:val="P68B1DB1-Normal121"/>
              <w:spacing w:after="0" w:line="240" w:lineRule="auto"/>
              <w:rPr>
                <w:noProof/>
                <w:lang w:val="de-DE"/>
              </w:rPr>
            </w:pPr>
            <w:r w:rsidRPr="00170422">
              <w:rPr>
                <w:noProof/>
                <w:lang w:val="de-DE"/>
              </w:rPr>
              <w:t>In</w:t>
            </w:r>
            <w:r w:rsidRPr="00170422">
              <w:rPr>
                <w:noProof/>
                <w:lang w:val="de-DE"/>
              </w:rPr>
              <w:t>nenministerium – vollständig umgerüstete und digitalisierte Prozesse T1</w:t>
            </w:r>
          </w:p>
        </w:tc>
      </w:tr>
      <w:tr w:rsidR="0057163C" w:rsidRPr="00170422" w14:paraId="097B739F"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3A8BB5" w14:textId="77777777" w:rsidR="0057163C" w:rsidRPr="00170422" w:rsidRDefault="00F37BF9">
            <w:pPr>
              <w:pStyle w:val="P68B1DB1-Normal121"/>
              <w:spacing w:after="0" w:line="240" w:lineRule="auto"/>
              <w:jc w:val="center"/>
              <w:rPr>
                <w:noProof/>
                <w:lang w:val="de-DE"/>
              </w:rPr>
            </w:pPr>
            <w:r w:rsidRPr="00170422">
              <w:rPr>
                <w:noProof/>
                <w:lang w:val="de-DE"/>
              </w:rPr>
              <w:t>M1C1-130</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0E5407" w14:textId="77777777" w:rsidR="0057163C" w:rsidRPr="00170422" w:rsidRDefault="00F37BF9">
            <w:pPr>
              <w:pStyle w:val="P68B1DB1-Normal121"/>
              <w:spacing w:after="0" w:line="240" w:lineRule="auto"/>
              <w:rPr>
                <w:noProof/>
                <w:lang w:val="de-DE"/>
              </w:rPr>
            </w:pPr>
            <w:r w:rsidRPr="00170422">
              <w:rPr>
                <w:noProof/>
                <w:lang w:val="de-DE"/>
              </w:rPr>
              <w:t>Investition 1.6.2 – Digitalisierung des Justizministeriums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BA700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679994" w14:textId="77777777" w:rsidR="0057163C" w:rsidRPr="00170422" w:rsidRDefault="00F37BF9">
            <w:pPr>
              <w:pStyle w:val="P68B1DB1-Normal121"/>
              <w:spacing w:after="0" w:line="240" w:lineRule="auto"/>
              <w:rPr>
                <w:noProof/>
                <w:lang w:val="de-DE"/>
              </w:rPr>
            </w:pPr>
            <w:r w:rsidRPr="00170422">
              <w:rPr>
                <w:noProof/>
                <w:lang w:val="de-DE"/>
              </w:rPr>
              <w:t>Digitalisierte Gerichtsakten T1</w:t>
            </w:r>
          </w:p>
        </w:tc>
      </w:tr>
      <w:tr w:rsidR="0057163C" w:rsidRPr="00170422" w14:paraId="05A6CEAE"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00F5EB8" w14:textId="77777777" w:rsidR="0057163C" w:rsidRPr="00170422" w:rsidRDefault="00F37BF9">
            <w:pPr>
              <w:pStyle w:val="P68B1DB1-Normal121"/>
              <w:spacing w:after="0" w:line="240" w:lineRule="auto"/>
              <w:jc w:val="center"/>
              <w:rPr>
                <w:noProof/>
                <w:lang w:val="de-DE"/>
              </w:rPr>
            </w:pPr>
            <w:r w:rsidRPr="00170422">
              <w:rPr>
                <w:noProof/>
                <w:lang w:val="de-DE"/>
              </w:rPr>
              <w:t>M1C1-131</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B1AF61" w14:textId="77777777" w:rsidR="0057163C" w:rsidRPr="00170422" w:rsidRDefault="00F37BF9">
            <w:pPr>
              <w:pStyle w:val="P68B1DB1-Normal121"/>
              <w:spacing w:after="0" w:line="240" w:lineRule="auto"/>
              <w:rPr>
                <w:noProof/>
                <w:lang w:val="de-DE"/>
              </w:rPr>
            </w:pPr>
            <w:r w:rsidRPr="00170422">
              <w:rPr>
                <w:noProof/>
                <w:lang w:val="de-DE"/>
              </w:rPr>
              <w:t>Investition 1.6.2 – Digitalisierung des Justizministeriums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3A203B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755766" w14:textId="77777777" w:rsidR="0057163C" w:rsidRPr="00170422" w:rsidRDefault="00F37BF9">
            <w:pPr>
              <w:pStyle w:val="P68B1DB1-Normal121"/>
              <w:spacing w:after="0" w:line="240" w:lineRule="auto"/>
              <w:rPr>
                <w:noProof/>
                <w:lang w:val="de-DE"/>
              </w:rPr>
            </w:pPr>
            <w:r w:rsidRPr="00170422">
              <w:rPr>
                <w:noProof/>
                <w:lang w:val="de-DE"/>
              </w:rPr>
              <w:t>Justizdatensysteme für Wissen über den Seen T1</w:t>
            </w:r>
          </w:p>
        </w:tc>
      </w:tr>
      <w:tr w:rsidR="0057163C" w:rsidRPr="00170422" w14:paraId="0A94E2F2"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B53AEE4" w14:textId="77777777" w:rsidR="0057163C" w:rsidRPr="00170422" w:rsidRDefault="00F37BF9">
            <w:pPr>
              <w:pStyle w:val="P68B1DB1-Normal121"/>
              <w:spacing w:after="0" w:line="240" w:lineRule="auto"/>
              <w:jc w:val="center"/>
              <w:rPr>
                <w:noProof/>
                <w:lang w:val="de-DE"/>
              </w:rPr>
            </w:pPr>
            <w:r w:rsidRPr="00170422">
              <w:rPr>
                <w:noProof/>
                <w:lang w:val="de-DE"/>
              </w:rPr>
              <w:t>M1C1-132</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4695E30" w14:textId="77777777" w:rsidR="0057163C" w:rsidRPr="00170422" w:rsidRDefault="00F37BF9">
            <w:pPr>
              <w:pStyle w:val="P68B1DB1-Normal121"/>
              <w:spacing w:after="0" w:line="240" w:lineRule="auto"/>
              <w:rPr>
                <w:noProof/>
                <w:lang w:val="de-DE"/>
              </w:rPr>
            </w:pPr>
            <w:r w:rsidRPr="00170422">
              <w:rPr>
                <w:noProof/>
                <w:lang w:val="de-DE"/>
              </w:rPr>
              <w:t>Investition 1.6.3 – Digitalisierung der nationalen Sozialversicherungsanstalt (INPS) und des Nationalen Instituts für die Unfallversicherung (INAIL)</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069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7BBCC2E" w14:textId="77777777" w:rsidR="0057163C" w:rsidRPr="00170422" w:rsidRDefault="00F37BF9">
            <w:pPr>
              <w:pStyle w:val="P68B1DB1-Normal121"/>
              <w:spacing w:after="0" w:line="240" w:lineRule="auto"/>
              <w:rPr>
                <w:noProof/>
                <w:lang w:val="de-DE"/>
              </w:rPr>
            </w:pPr>
            <w:r w:rsidRPr="00170422">
              <w:rPr>
                <w:noProof/>
                <w:lang w:val="de-DE"/>
              </w:rPr>
              <w:t>INPS – Dienstleistungen/Inhalt T2</w:t>
            </w:r>
            <w:r w:rsidRPr="00170422">
              <w:rPr>
                <w:noProof/>
                <w:lang w:val="de-DE"/>
              </w:rPr>
              <w:t xml:space="preserve"> „ein Klick durch Technikgestaltung“</w:t>
            </w:r>
          </w:p>
        </w:tc>
      </w:tr>
      <w:tr w:rsidR="0057163C" w:rsidRPr="00170422" w14:paraId="7F3D1B0F"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D3166A" w14:textId="77777777" w:rsidR="0057163C" w:rsidRPr="00170422" w:rsidRDefault="00F37BF9">
            <w:pPr>
              <w:pStyle w:val="P68B1DB1-Normal121"/>
              <w:spacing w:after="0" w:line="240" w:lineRule="auto"/>
              <w:jc w:val="center"/>
              <w:rPr>
                <w:noProof/>
                <w:lang w:val="de-DE"/>
              </w:rPr>
            </w:pPr>
            <w:r w:rsidRPr="00170422">
              <w:rPr>
                <w:noProof/>
                <w:lang w:val="de-DE"/>
              </w:rPr>
              <w:t>M1C1-133</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90F9256" w14:textId="77777777" w:rsidR="0057163C" w:rsidRPr="00170422" w:rsidRDefault="00F37BF9">
            <w:pPr>
              <w:pStyle w:val="P68B1DB1-Normal121"/>
              <w:spacing w:after="0" w:line="240" w:lineRule="auto"/>
              <w:rPr>
                <w:noProof/>
                <w:lang w:val="de-DE"/>
              </w:rPr>
            </w:pPr>
            <w:r w:rsidRPr="00170422">
              <w:rPr>
                <w:noProof/>
                <w:lang w:val="de-DE"/>
              </w:rPr>
              <w:t>Investition 1.6.3 – Digitalisierung der nationalen Sozialversicherungsanstalt (INPS) und des Nationalen Instituts für die Unfallversicherung (INAIL)</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56DBF1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47B023" w14:textId="77777777" w:rsidR="0057163C" w:rsidRPr="00170422" w:rsidRDefault="00F37BF9">
            <w:pPr>
              <w:pStyle w:val="P68B1DB1-Normal121"/>
              <w:spacing w:after="0" w:line="240" w:lineRule="auto"/>
              <w:rPr>
                <w:noProof/>
                <w:lang w:val="de-DE"/>
              </w:rPr>
            </w:pPr>
            <w:r w:rsidRPr="00170422">
              <w:rPr>
                <w:noProof/>
                <w:lang w:val="de-DE"/>
              </w:rPr>
              <w:t xml:space="preserve">INPS – Arbeitnehmer mit verbesserten Kenntnissen im </w:t>
            </w:r>
            <w:r w:rsidRPr="00170422">
              <w:rPr>
                <w:noProof/>
                <w:lang w:val="de-DE"/>
              </w:rPr>
              <w:t>Bereich der Informations- und Kommunikationstechnologien (IKT) T2</w:t>
            </w:r>
          </w:p>
        </w:tc>
      </w:tr>
      <w:tr w:rsidR="0057163C" w:rsidRPr="00170422" w14:paraId="37A0068F"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6440150" w14:textId="77777777" w:rsidR="0057163C" w:rsidRPr="00170422" w:rsidRDefault="00F37BF9">
            <w:pPr>
              <w:pStyle w:val="P68B1DB1-Normal121"/>
              <w:spacing w:after="0" w:line="240" w:lineRule="auto"/>
              <w:jc w:val="center"/>
              <w:rPr>
                <w:noProof/>
                <w:lang w:val="de-DE"/>
              </w:rPr>
            </w:pPr>
            <w:r w:rsidRPr="00170422">
              <w:rPr>
                <w:noProof/>
                <w:lang w:val="de-DE"/>
              </w:rPr>
              <w:t>M1C1-134</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F3456F" w14:textId="77777777" w:rsidR="0057163C" w:rsidRPr="00170422" w:rsidRDefault="00F37BF9">
            <w:pPr>
              <w:pStyle w:val="P68B1DB1-Normal121"/>
              <w:spacing w:after="0" w:line="240" w:lineRule="auto"/>
              <w:rPr>
                <w:noProof/>
                <w:lang w:val="de-DE"/>
              </w:rPr>
            </w:pPr>
            <w:r w:rsidRPr="00170422">
              <w:rPr>
                <w:noProof/>
                <w:lang w:val="de-DE"/>
              </w:rPr>
              <w:t>Investition 1.6.3 – Digitalisierung der nationalen Sozialversicherungsanstalt (INPS) und des Nationalen Instituts für die Unfallversicherung (INAIL)</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BB985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BCFA2AA" w14:textId="77777777" w:rsidR="0057163C" w:rsidRPr="00170422" w:rsidRDefault="00F37BF9">
            <w:pPr>
              <w:pStyle w:val="P68B1DB1-Normal121"/>
              <w:spacing w:after="0" w:line="240" w:lineRule="auto"/>
              <w:rPr>
                <w:noProof/>
                <w:lang w:val="de-DE"/>
              </w:rPr>
            </w:pPr>
            <w:r w:rsidRPr="00170422">
              <w:rPr>
                <w:noProof/>
                <w:lang w:val="de-DE"/>
              </w:rPr>
              <w:t>INAIL – vollständig umgerü</w:t>
            </w:r>
            <w:r w:rsidRPr="00170422">
              <w:rPr>
                <w:noProof/>
                <w:lang w:val="de-DE"/>
              </w:rPr>
              <w:t>stete und digitalisierte Prozesse/Dienstleistungen T1</w:t>
            </w:r>
          </w:p>
        </w:tc>
      </w:tr>
      <w:tr w:rsidR="0057163C" w:rsidRPr="00170422" w14:paraId="7D025D64"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1287BA3" w14:textId="77777777" w:rsidR="0057163C" w:rsidRPr="00170422" w:rsidRDefault="00F37BF9">
            <w:pPr>
              <w:pStyle w:val="P68B1DB1-Normal121"/>
              <w:spacing w:after="0" w:line="240" w:lineRule="auto"/>
              <w:jc w:val="center"/>
              <w:rPr>
                <w:noProof/>
                <w:lang w:val="de-DE"/>
              </w:rPr>
            </w:pPr>
            <w:r w:rsidRPr="00170422">
              <w:rPr>
                <w:noProof/>
                <w:lang w:val="de-DE"/>
              </w:rPr>
              <w:t>M1C1-135</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1BCDF7" w14:textId="77777777" w:rsidR="0057163C" w:rsidRPr="00170422" w:rsidRDefault="00F37BF9">
            <w:pPr>
              <w:pStyle w:val="P68B1DB1-Normal121"/>
              <w:spacing w:after="0" w:line="240" w:lineRule="auto"/>
              <w:rPr>
                <w:noProof/>
                <w:lang w:val="de-DE"/>
              </w:rPr>
            </w:pPr>
            <w:r w:rsidRPr="00170422">
              <w:rPr>
                <w:noProof/>
                <w:lang w:val="de-DE"/>
              </w:rPr>
              <w:t>Investition 1.6.4 – Digitalisierung des Verteidigungsministeriums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B96DF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6BBC85C" w14:textId="77777777" w:rsidR="0057163C" w:rsidRPr="00170422" w:rsidRDefault="00F37BF9">
            <w:pPr>
              <w:pStyle w:val="P68B1DB1-Normal121"/>
              <w:spacing w:after="0" w:line="240" w:lineRule="auto"/>
              <w:rPr>
                <w:noProof/>
                <w:lang w:val="de-DE"/>
              </w:rPr>
            </w:pPr>
            <w:r w:rsidRPr="00170422">
              <w:rPr>
                <w:noProof/>
                <w:lang w:val="de-DE"/>
              </w:rPr>
              <w:t>Verteidigungsministerium – Digitalisierung der Verfahren T1</w:t>
            </w:r>
          </w:p>
        </w:tc>
      </w:tr>
      <w:tr w:rsidR="0057163C" w:rsidRPr="00170422" w14:paraId="62F61564"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EC5BBB7" w14:textId="77777777" w:rsidR="0057163C" w:rsidRPr="00170422" w:rsidRDefault="00F37BF9">
            <w:pPr>
              <w:pStyle w:val="P68B1DB1-Normal121"/>
              <w:spacing w:after="0" w:line="240" w:lineRule="auto"/>
              <w:jc w:val="center"/>
              <w:rPr>
                <w:noProof/>
                <w:lang w:val="de-DE"/>
              </w:rPr>
            </w:pPr>
            <w:r w:rsidRPr="00170422">
              <w:rPr>
                <w:noProof/>
                <w:lang w:val="de-DE"/>
              </w:rPr>
              <w:t>M1C1-136</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2BF3505" w14:textId="77777777" w:rsidR="0057163C" w:rsidRPr="00170422" w:rsidRDefault="00F37BF9">
            <w:pPr>
              <w:pStyle w:val="P68B1DB1-Normal121"/>
              <w:spacing w:after="0" w:line="240" w:lineRule="auto"/>
              <w:rPr>
                <w:noProof/>
                <w:lang w:val="de-DE"/>
              </w:rPr>
            </w:pPr>
            <w:r w:rsidRPr="00170422">
              <w:rPr>
                <w:noProof/>
                <w:lang w:val="de-DE"/>
              </w:rPr>
              <w:t xml:space="preserve">Investition 1.6.4 – Digitalisierung des </w:t>
            </w:r>
            <w:r w:rsidRPr="00170422">
              <w:rPr>
                <w:noProof/>
                <w:lang w:val="de-DE"/>
              </w:rPr>
              <w:t>Verteidigungsministeriums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61DCF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674CB2" w14:textId="77777777" w:rsidR="0057163C" w:rsidRPr="00170422" w:rsidRDefault="00F37BF9">
            <w:pPr>
              <w:pStyle w:val="P68B1DB1-Normal121"/>
              <w:spacing w:after="0" w:line="240" w:lineRule="auto"/>
              <w:rPr>
                <w:noProof/>
                <w:lang w:val="de-DE"/>
              </w:rPr>
            </w:pPr>
            <w:r w:rsidRPr="00170422">
              <w:rPr>
                <w:noProof/>
                <w:lang w:val="de-DE"/>
              </w:rPr>
              <w:t>Verteidigungsministerium – Digitalisierung der Zertifikate T1</w:t>
            </w:r>
          </w:p>
        </w:tc>
      </w:tr>
      <w:tr w:rsidR="0057163C" w:rsidRPr="00170422" w14:paraId="7356E5CD"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9F772C" w14:textId="77777777" w:rsidR="0057163C" w:rsidRPr="00170422" w:rsidRDefault="00F37BF9">
            <w:pPr>
              <w:pStyle w:val="P68B1DB1-Normal121"/>
              <w:spacing w:after="0" w:line="240" w:lineRule="auto"/>
              <w:jc w:val="center"/>
              <w:rPr>
                <w:noProof/>
                <w:lang w:val="de-DE"/>
              </w:rPr>
            </w:pPr>
            <w:r w:rsidRPr="00170422">
              <w:rPr>
                <w:noProof/>
                <w:lang w:val="de-DE"/>
              </w:rPr>
              <w:t>M1C1-137</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1AB7E4C" w14:textId="77777777" w:rsidR="0057163C" w:rsidRPr="00170422" w:rsidRDefault="00F37BF9">
            <w:pPr>
              <w:pStyle w:val="P68B1DB1-Normal121"/>
              <w:spacing w:after="0" w:line="240" w:lineRule="auto"/>
              <w:rPr>
                <w:noProof/>
                <w:lang w:val="de-DE"/>
              </w:rPr>
            </w:pPr>
            <w:r w:rsidRPr="00170422">
              <w:rPr>
                <w:noProof/>
                <w:lang w:val="de-DE"/>
              </w:rPr>
              <w:t>Investition 1.6.4 – Digitalisierung des Verteidigungsministeriums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18DCA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D52771" w14:textId="77777777" w:rsidR="0057163C" w:rsidRPr="00170422" w:rsidRDefault="00F37BF9">
            <w:pPr>
              <w:pStyle w:val="P68B1DB1-Normal121"/>
              <w:spacing w:after="0" w:line="240" w:lineRule="auto"/>
              <w:rPr>
                <w:noProof/>
                <w:lang w:val="de-DE"/>
              </w:rPr>
            </w:pPr>
            <w:r w:rsidRPr="00170422">
              <w:rPr>
                <w:noProof/>
                <w:lang w:val="de-DE"/>
              </w:rPr>
              <w:t>Verteidigungsministerium – Inbetriebnahme institutioneller Webportale und I</w:t>
            </w:r>
            <w:r w:rsidRPr="00170422">
              <w:rPr>
                <w:noProof/>
                <w:lang w:val="de-DE"/>
              </w:rPr>
              <w:t>ntranetportale</w:t>
            </w:r>
          </w:p>
        </w:tc>
      </w:tr>
      <w:tr w:rsidR="0057163C" w:rsidRPr="00170422" w14:paraId="046EAD15"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BADBD0" w14:textId="77777777" w:rsidR="0057163C" w:rsidRPr="00170422" w:rsidRDefault="00F37BF9">
            <w:pPr>
              <w:pStyle w:val="P68B1DB1-Normal121"/>
              <w:spacing w:after="0" w:line="240" w:lineRule="auto"/>
              <w:jc w:val="center"/>
              <w:rPr>
                <w:noProof/>
                <w:lang w:val="de-DE"/>
              </w:rPr>
            </w:pPr>
            <w:r w:rsidRPr="00170422">
              <w:rPr>
                <w:noProof/>
                <w:lang w:val="de-DE"/>
              </w:rPr>
              <w:t>M1C1-138</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8F9B99" w14:textId="77777777" w:rsidR="0057163C" w:rsidRPr="00170422" w:rsidRDefault="00F37BF9">
            <w:pPr>
              <w:pStyle w:val="P68B1DB1-Normal121"/>
              <w:spacing w:after="0" w:line="240" w:lineRule="auto"/>
              <w:rPr>
                <w:noProof/>
                <w:lang w:val="de-DE"/>
              </w:rPr>
            </w:pPr>
            <w:r w:rsidRPr="00170422">
              <w:rPr>
                <w:noProof/>
                <w:lang w:val="de-DE"/>
              </w:rPr>
              <w:t>Investition 1.6.4 – Digitalisierung des Verteidigungsministeriums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E50F8A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360D240" w14:textId="77777777" w:rsidR="0057163C" w:rsidRPr="00170422" w:rsidRDefault="00F37BF9">
            <w:pPr>
              <w:pStyle w:val="P68B1DB1-Normal121"/>
              <w:spacing w:after="0" w:line="240" w:lineRule="auto"/>
              <w:rPr>
                <w:noProof/>
                <w:lang w:val="de-DE"/>
              </w:rPr>
            </w:pPr>
            <w:r w:rsidRPr="00170422">
              <w:rPr>
                <w:noProof/>
                <w:lang w:val="de-DE"/>
              </w:rPr>
              <w:t xml:space="preserve">Verteidigungsministerium – Migration von nicht missionskritischen Anwendungen in die Lösung für den vollständigen Informationsschutz durch </w:t>
            </w:r>
            <w:r w:rsidRPr="00170422">
              <w:rPr>
                <w:noProof/>
                <w:lang w:val="de-DE"/>
              </w:rPr>
              <w:t>Infrastrukturoffenheit (S.C.I.P.I.O.) T1</w:t>
            </w:r>
          </w:p>
        </w:tc>
      </w:tr>
      <w:tr w:rsidR="0057163C" w:rsidRPr="00170422" w14:paraId="67332DCB"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F2AB37" w14:textId="77777777" w:rsidR="0057163C" w:rsidRPr="00170422" w:rsidRDefault="00F37BF9">
            <w:pPr>
              <w:pStyle w:val="P68B1DB1-Normal121"/>
              <w:spacing w:after="0" w:line="240" w:lineRule="auto"/>
              <w:jc w:val="center"/>
              <w:rPr>
                <w:noProof/>
                <w:lang w:val="de-DE"/>
              </w:rPr>
            </w:pPr>
            <w:r w:rsidRPr="00170422">
              <w:rPr>
                <w:noProof/>
                <w:lang w:val="de-DE"/>
              </w:rPr>
              <w:t>M1C2-29</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9F1362" w14:textId="77777777" w:rsidR="0057163C" w:rsidRPr="00170422" w:rsidRDefault="00F37BF9">
            <w:pPr>
              <w:pStyle w:val="P68B1DB1-Normal121"/>
              <w:spacing w:after="0" w:line="240" w:lineRule="auto"/>
              <w:rPr>
                <w:noProof/>
                <w:lang w:val="de-DE"/>
              </w:rPr>
            </w:pPr>
            <w:r w:rsidRPr="00170422">
              <w:rPr>
                <w:noProof/>
                <w:lang w:val="de-DE"/>
              </w:rPr>
              <w:t>Investition 5.2: Wettbewerbsfähigkeit und Widerstandsfähigkeit der Lieferketten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B7452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E3FB7A" w14:textId="77777777" w:rsidR="0057163C" w:rsidRPr="00170422" w:rsidRDefault="00F37BF9">
            <w:pPr>
              <w:pStyle w:val="P68B1DB1-Normal121"/>
              <w:spacing w:after="0" w:line="240" w:lineRule="auto"/>
              <w:rPr>
                <w:noProof/>
                <w:lang w:val="de-DE"/>
              </w:rPr>
            </w:pPr>
            <w:r w:rsidRPr="00170422">
              <w:rPr>
                <w:noProof/>
                <w:lang w:val="de-DE"/>
              </w:rPr>
              <w:t>Genehmigte Entwicklungsverträge</w:t>
            </w:r>
          </w:p>
        </w:tc>
      </w:tr>
      <w:tr w:rsidR="0057163C" w:rsidRPr="00170422" w14:paraId="2DCAD820"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70A09C" w14:textId="77777777" w:rsidR="0057163C" w:rsidRPr="00170422" w:rsidRDefault="00F37BF9">
            <w:pPr>
              <w:pStyle w:val="P68B1DB1-Normal121"/>
              <w:spacing w:after="0" w:line="240" w:lineRule="auto"/>
              <w:jc w:val="center"/>
              <w:rPr>
                <w:noProof/>
                <w:lang w:val="de-DE"/>
              </w:rPr>
            </w:pPr>
            <w:r w:rsidRPr="00170422">
              <w:rPr>
                <w:noProof/>
                <w:lang w:val="de-DE"/>
              </w:rPr>
              <w:t>M2C1-15bis</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8CE4EAC" w14:textId="77777777" w:rsidR="0057163C" w:rsidRPr="00170422" w:rsidRDefault="00F37BF9">
            <w:pPr>
              <w:pStyle w:val="P68B1DB1-Normal121"/>
              <w:spacing w:after="0" w:line="240" w:lineRule="auto"/>
              <w:rPr>
                <w:noProof/>
                <w:lang w:val="de-DE"/>
              </w:rPr>
            </w:pPr>
            <w:r w:rsidRPr="00170422">
              <w:rPr>
                <w:noProof/>
                <w:lang w:val="de-DE"/>
              </w:rPr>
              <w:t>Reform 1.2 Nationales Abfallwirtschaftsprogramm:  Investition 1.1 – Errichtun</w:t>
            </w:r>
            <w:r w:rsidRPr="00170422">
              <w:rPr>
                <w:noProof/>
                <w:lang w:val="de-DE"/>
              </w:rPr>
              <w:t>g neuer Abfallbewirtschaftungsanlagen und Modernisierung bestehender Anlagen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DACF9B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F3FA01" w14:textId="77777777" w:rsidR="0057163C" w:rsidRPr="00170422" w:rsidRDefault="00F37BF9">
            <w:pPr>
              <w:pStyle w:val="P68B1DB1-Normal121"/>
              <w:spacing w:after="0" w:line="240" w:lineRule="auto"/>
              <w:rPr>
                <w:noProof/>
                <w:lang w:val="de-DE"/>
              </w:rPr>
            </w:pPr>
            <w:r w:rsidRPr="00170422">
              <w:rPr>
                <w:noProof/>
                <w:lang w:val="de-DE"/>
              </w:rPr>
              <w:t>Verringerung unregelmäßiger Deponien (T2)</w:t>
            </w:r>
          </w:p>
        </w:tc>
      </w:tr>
      <w:tr w:rsidR="0057163C" w:rsidRPr="00170422" w14:paraId="1F6564C2"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D1FC58" w14:textId="77777777" w:rsidR="0057163C" w:rsidRPr="00170422" w:rsidRDefault="00F37BF9">
            <w:pPr>
              <w:pStyle w:val="P68B1DB1-Normal121"/>
              <w:spacing w:after="0" w:line="240" w:lineRule="auto"/>
              <w:jc w:val="center"/>
              <w:rPr>
                <w:noProof/>
                <w:lang w:val="de-DE"/>
              </w:rPr>
            </w:pPr>
            <w:r w:rsidRPr="00170422">
              <w:rPr>
                <w:noProof/>
                <w:lang w:val="de-DE"/>
              </w:rPr>
              <w:t>M2C1-15ter</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CAA910" w14:textId="77777777" w:rsidR="0057163C" w:rsidRPr="00170422" w:rsidRDefault="00F37BF9">
            <w:pPr>
              <w:pStyle w:val="P68B1DB1-Normal121"/>
              <w:spacing w:after="0" w:line="240" w:lineRule="auto"/>
              <w:rPr>
                <w:noProof/>
                <w:lang w:val="de-DE"/>
              </w:rPr>
            </w:pPr>
            <w:r w:rsidRPr="00170422">
              <w:rPr>
                <w:noProof/>
                <w:lang w:val="de-DE"/>
              </w:rPr>
              <w:t>Reform 1.2 Nationales Abfallwirtschaftsprogramm:  Investition 1.1 – Errichtung neuer Abfallbewirtschaftungsanlagen und M</w:t>
            </w:r>
            <w:r w:rsidRPr="00170422">
              <w:rPr>
                <w:noProof/>
                <w:lang w:val="de-DE"/>
              </w:rPr>
              <w:t>odernisierung bestehender Anlagen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C4B6A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9F4D4D" w14:textId="77777777" w:rsidR="0057163C" w:rsidRPr="00170422" w:rsidRDefault="00F37BF9">
            <w:pPr>
              <w:pStyle w:val="P68B1DB1-Normal121"/>
              <w:spacing w:after="0" w:line="240" w:lineRule="auto"/>
              <w:rPr>
                <w:noProof/>
                <w:lang w:val="de-DE"/>
              </w:rPr>
            </w:pPr>
            <w:r w:rsidRPr="00170422">
              <w:rPr>
                <w:noProof/>
                <w:lang w:val="de-DE"/>
              </w:rPr>
              <w:t>Regionale Unterschiede bei der getrennten Sammlung</w:t>
            </w:r>
          </w:p>
        </w:tc>
      </w:tr>
      <w:tr w:rsidR="0057163C" w:rsidRPr="00170422" w14:paraId="3E1355A6"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FD71B87" w14:textId="77777777" w:rsidR="0057163C" w:rsidRPr="00170422" w:rsidRDefault="00F37BF9">
            <w:pPr>
              <w:pStyle w:val="P68B1DB1-Normal121"/>
              <w:spacing w:after="0" w:line="240" w:lineRule="auto"/>
              <w:jc w:val="center"/>
              <w:rPr>
                <w:noProof/>
                <w:lang w:val="de-DE"/>
              </w:rPr>
            </w:pPr>
            <w:r w:rsidRPr="00170422">
              <w:rPr>
                <w:noProof/>
                <w:lang w:val="de-DE"/>
              </w:rPr>
              <w:t>M2C1-15-Quader</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A47D499" w14:textId="77777777" w:rsidR="0057163C" w:rsidRPr="00170422" w:rsidRDefault="00F37BF9">
            <w:pPr>
              <w:pStyle w:val="P68B1DB1-Normal121"/>
              <w:spacing w:after="0" w:line="240" w:lineRule="auto"/>
              <w:rPr>
                <w:noProof/>
                <w:lang w:val="de-DE"/>
              </w:rPr>
            </w:pPr>
            <w:r w:rsidRPr="00170422">
              <w:rPr>
                <w:noProof/>
                <w:lang w:val="de-DE"/>
              </w:rPr>
              <w:t>Investition 1.1 – Errichtung neuer Abfallbewirtschaftungsanlagen und Modernisierung bestehender Anlagen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3C12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05F1A0" w14:textId="77777777" w:rsidR="0057163C" w:rsidRPr="00170422" w:rsidRDefault="00F37BF9">
            <w:pPr>
              <w:pStyle w:val="P68B1DB1-Normal121"/>
              <w:spacing w:after="0" w:line="240" w:lineRule="auto"/>
              <w:rPr>
                <w:noProof/>
                <w:lang w:val="de-DE"/>
              </w:rPr>
            </w:pPr>
            <w:r w:rsidRPr="00170422">
              <w:rPr>
                <w:noProof/>
                <w:lang w:val="de-DE"/>
              </w:rPr>
              <w:t xml:space="preserve">Inkrafttreten der Verpflichtung </w:t>
            </w:r>
            <w:r w:rsidRPr="00170422">
              <w:rPr>
                <w:noProof/>
                <w:lang w:val="de-DE"/>
              </w:rPr>
              <w:t>zur getrennten Sammlung von Bioabfällen</w:t>
            </w:r>
          </w:p>
        </w:tc>
      </w:tr>
      <w:tr w:rsidR="0057163C" w:rsidRPr="00170422" w14:paraId="7B12B243"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C9A8EF" w14:textId="77777777" w:rsidR="0057163C" w:rsidRPr="00170422" w:rsidRDefault="00F37BF9">
            <w:pPr>
              <w:pStyle w:val="P68B1DB1-Normal121"/>
              <w:spacing w:after="0" w:line="240" w:lineRule="auto"/>
              <w:jc w:val="center"/>
              <w:rPr>
                <w:noProof/>
                <w:lang w:val="de-DE"/>
              </w:rPr>
            </w:pPr>
            <w:r w:rsidRPr="00170422">
              <w:rPr>
                <w:noProof/>
                <w:lang w:val="de-DE"/>
              </w:rPr>
              <w:t>M2C2-24</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1629452" w14:textId="77777777" w:rsidR="0057163C" w:rsidRPr="00170422" w:rsidRDefault="00F37BF9">
            <w:pPr>
              <w:pStyle w:val="P68B1DB1-Normal121"/>
              <w:spacing w:after="0" w:line="240" w:lineRule="auto"/>
              <w:rPr>
                <w:noProof/>
                <w:lang w:val="de-DE"/>
              </w:rPr>
            </w:pPr>
            <w:r w:rsidRPr="00170422">
              <w:rPr>
                <w:noProof/>
                <w:lang w:val="de-DE"/>
              </w:rPr>
              <w:t xml:space="preserve">Investition 4.2 Entwicklung schneller Massentransportsysteme </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E0C9C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AAD0A1" w14:textId="77777777" w:rsidR="0057163C" w:rsidRPr="00170422" w:rsidRDefault="00F37BF9">
            <w:pPr>
              <w:pStyle w:val="P68B1DB1-Normal122"/>
              <w:spacing w:after="0" w:line="240" w:lineRule="auto"/>
              <w:rPr>
                <w:noProof/>
                <w:lang w:val="de-DE"/>
              </w:rPr>
            </w:pPr>
            <w:r w:rsidRPr="00170422">
              <w:rPr>
                <w:noProof/>
                <w:color w:val="006100"/>
                <w:lang w:val="de-DE"/>
              </w:rPr>
              <w:t>Vergabe</w:t>
            </w:r>
            <w:r w:rsidRPr="00170422">
              <w:rPr>
                <w:noProof/>
                <w:color w:val="000000"/>
                <w:lang w:val="de-DE"/>
              </w:rPr>
              <w:t xml:space="preserve"> </w:t>
            </w:r>
            <w:r w:rsidRPr="00170422">
              <w:rPr>
                <w:noProof/>
                <w:color w:val="006100"/>
                <w:lang w:val="de-DE"/>
              </w:rPr>
              <w:t>aller öffentlichen Aufträge für den Bau von U-Bahn-, Straßenbahnen, Oberleitungsbussen und Seilbahnen in Metropolregionen</w:t>
            </w:r>
          </w:p>
        </w:tc>
      </w:tr>
      <w:tr w:rsidR="0057163C" w:rsidRPr="00170422" w14:paraId="0469521C"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74DA542" w14:textId="77777777" w:rsidR="0057163C" w:rsidRPr="00170422" w:rsidRDefault="00F37BF9">
            <w:pPr>
              <w:pStyle w:val="P68B1DB1-Normal121"/>
              <w:spacing w:after="0" w:line="240" w:lineRule="auto"/>
              <w:jc w:val="center"/>
              <w:rPr>
                <w:noProof/>
                <w:lang w:val="de-DE"/>
              </w:rPr>
            </w:pPr>
            <w:r w:rsidRPr="00170422">
              <w:rPr>
                <w:noProof/>
                <w:lang w:val="de-DE"/>
              </w:rPr>
              <w:t>M2C2-32</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C9A4A1" w14:textId="77777777" w:rsidR="0057163C" w:rsidRPr="00170422" w:rsidRDefault="00F37BF9">
            <w:pPr>
              <w:pStyle w:val="P68B1DB1-Normal121"/>
              <w:spacing w:after="0" w:line="240" w:lineRule="auto"/>
              <w:rPr>
                <w:noProof/>
                <w:lang w:val="de-DE"/>
              </w:rPr>
            </w:pPr>
            <w:r w:rsidRPr="00170422">
              <w:rPr>
                <w:noProof/>
                <w:lang w:val="de-DE"/>
              </w:rPr>
              <w:t>Investition 4.4.1: Stärkung der Busflotte des regionalen öffentlichen Verkehrs durch emissionsfreie Busse</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BD6B3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C5DAD8"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zur Stärkung der regionalen öffentlichen Verkehrsbusflotte mit emissionsfreien Niederflurbusse</w:t>
            </w:r>
            <w:r w:rsidRPr="00170422">
              <w:rPr>
                <w:noProof/>
                <w:lang w:val="de-DE"/>
              </w:rPr>
              <w:t>n</w:t>
            </w:r>
          </w:p>
        </w:tc>
      </w:tr>
      <w:tr w:rsidR="0057163C" w:rsidRPr="00170422" w14:paraId="54B0F95C"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77FB424" w14:textId="77777777" w:rsidR="0057163C" w:rsidRPr="00170422" w:rsidRDefault="00F37BF9">
            <w:pPr>
              <w:pStyle w:val="P68B1DB1-Normal121"/>
              <w:spacing w:after="0" w:line="240" w:lineRule="auto"/>
              <w:jc w:val="center"/>
              <w:rPr>
                <w:noProof/>
                <w:lang w:val="de-DE"/>
              </w:rPr>
            </w:pPr>
            <w:r w:rsidRPr="00170422">
              <w:rPr>
                <w:noProof/>
                <w:lang w:val="de-DE"/>
              </w:rPr>
              <w:t>M2C3-7</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2EBD37" w14:textId="77777777" w:rsidR="0057163C" w:rsidRPr="00170422" w:rsidRDefault="00F37BF9">
            <w:pPr>
              <w:pStyle w:val="P68B1DB1-Normal121"/>
              <w:spacing w:after="0" w:line="240" w:lineRule="auto"/>
              <w:rPr>
                <w:noProof/>
                <w:lang w:val="de-DE"/>
              </w:rPr>
            </w:pPr>
            <w:r w:rsidRPr="00170422">
              <w:rPr>
                <w:noProof/>
                <w:lang w:val="de-DE"/>
              </w:rPr>
              <w:t>Investition 1.2 – Bau von Gebäuden, Umschulung und Stärkung des Immobilienvermögens der Rechtspflege</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1DD5A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A2603" w14:textId="77777777" w:rsidR="0057163C" w:rsidRPr="00170422" w:rsidRDefault="00F37BF9">
            <w:pPr>
              <w:pStyle w:val="P68B1DB1-Normal121"/>
              <w:spacing w:after="0" w:line="240" w:lineRule="auto"/>
              <w:rPr>
                <w:noProof/>
                <w:lang w:val="de-DE"/>
              </w:rPr>
            </w:pPr>
            <w:r w:rsidRPr="00170422">
              <w:rPr>
                <w:noProof/>
                <w:lang w:val="de-DE"/>
              </w:rPr>
              <w:t>Die Vergabe aller öffentlichen Aufträge für den Bau neuer Gebäude, die Neuqualifizierung und die Stärkung des Immobilienvermögens der</w:t>
            </w:r>
            <w:r w:rsidRPr="00170422">
              <w:rPr>
                <w:noProof/>
                <w:lang w:val="de-DE"/>
              </w:rPr>
              <w:t xml:space="preserve"> Rechtspflege wird vom öffentlichen Auftraggeber im Anschluss an eine öffentliche Ausschreibung unterzeichnet.</w:t>
            </w:r>
          </w:p>
        </w:tc>
      </w:tr>
      <w:tr w:rsidR="0057163C" w:rsidRPr="00170422" w14:paraId="5DE79554"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45B2813" w14:textId="77777777" w:rsidR="0057163C" w:rsidRPr="00170422" w:rsidRDefault="00F37BF9">
            <w:pPr>
              <w:pStyle w:val="P68B1DB1-Normal121"/>
              <w:spacing w:after="0" w:line="240" w:lineRule="auto"/>
              <w:jc w:val="center"/>
              <w:rPr>
                <w:noProof/>
                <w:lang w:val="de-DE"/>
              </w:rPr>
            </w:pPr>
            <w:r w:rsidRPr="00170422">
              <w:rPr>
                <w:noProof/>
                <w:lang w:val="de-DE"/>
              </w:rPr>
              <w:t>M2C4-33</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1D18B9" w14:textId="77777777" w:rsidR="0057163C" w:rsidRPr="00170422" w:rsidRDefault="00F37BF9">
            <w:pPr>
              <w:pStyle w:val="P68B1DB1-Normal121"/>
              <w:spacing w:after="0" w:line="240" w:lineRule="auto"/>
              <w:rPr>
                <w:noProof/>
                <w:lang w:val="de-DE"/>
              </w:rPr>
            </w:pPr>
            <w:r w:rsidRPr="00170422">
              <w:rPr>
                <w:noProof/>
                <w:lang w:val="de-DE"/>
              </w:rPr>
              <w:t>Investition 4.3 Investitionen in die Widerstandsfähigkeit des Bewässerungs-Agrarsystems für eine bessere Bewirtschaftung der Wasserresso</w:t>
            </w:r>
            <w:r w:rsidRPr="00170422">
              <w:rPr>
                <w:noProof/>
                <w:lang w:val="de-DE"/>
              </w:rPr>
              <w:t>urcen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F4A576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20827B2" w14:textId="77777777" w:rsidR="0057163C" w:rsidRPr="00170422" w:rsidRDefault="00F37BF9">
            <w:pPr>
              <w:pStyle w:val="P68B1DB1-Normal121"/>
              <w:spacing w:after="0" w:line="240" w:lineRule="auto"/>
              <w:rPr>
                <w:noProof/>
                <w:lang w:val="de-DE"/>
              </w:rPr>
            </w:pPr>
            <w:r w:rsidRPr="00170422">
              <w:rPr>
                <w:noProof/>
                <w:lang w:val="de-DE"/>
              </w:rPr>
              <w:t>Gewährung von Mitteln für alle Projekte zur Stärkung der Widerstandsfähigkeit des Bewässerungs-Agrarsystems für eine bessere Bewirtschaftung der Wasserressourcen</w:t>
            </w:r>
          </w:p>
        </w:tc>
      </w:tr>
      <w:tr w:rsidR="0057163C" w:rsidRPr="00170422" w14:paraId="03B1C09D"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58A42A" w14:textId="77777777" w:rsidR="0057163C" w:rsidRPr="00170422" w:rsidRDefault="00F37BF9">
            <w:pPr>
              <w:pStyle w:val="P68B1DB1-Normal121"/>
              <w:spacing w:after="0" w:line="240" w:lineRule="auto"/>
              <w:jc w:val="center"/>
              <w:rPr>
                <w:noProof/>
                <w:lang w:val="de-DE"/>
              </w:rPr>
            </w:pPr>
            <w:r w:rsidRPr="00170422">
              <w:rPr>
                <w:noProof/>
                <w:lang w:val="de-DE"/>
              </w:rPr>
              <w:t>M2C4-36</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9EA146" w14:textId="77777777" w:rsidR="0057163C" w:rsidRPr="00170422" w:rsidRDefault="00F37BF9">
            <w:pPr>
              <w:pStyle w:val="P68B1DB1-Normal121"/>
              <w:spacing w:after="0" w:line="240" w:lineRule="auto"/>
              <w:rPr>
                <w:noProof/>
                <w:lang w:val="de-DE"/>
              </w:rPr>
            </w:pPr>
            <w:r w:rsidRPr="00170422">
              <w:rPr>
                <w:noProof/>
                <w:lang w:val="de-DE"/>
              </w:rPr>
              <w:t>Investition 4.4 Investitionen in Kanalisation und Reinigung</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9DAEE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ACD45"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für Abwasserentsorgung und -reinigung</w:t>
            </w:r>
          </w:p>
        </w:tc>
      </w:tr>
      <w:tr w:rsidR="0057163C" w:rsidRPr="00170422" w14:paraId="5655D170"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536F3C4" w14:textId="77777777" w:rsidR="0057163C" w:rsidRPr="00170422" w:rsidRDefault="00F37BF9">
            <w:pPr>
              <w:pStyle w:val="P68B1DB1-Normal121"/>
              <w:spacing w:after="0" w:line="240" w:lineRule="auto"/>
              <w:jc w:val="center"/>
              <w:rPr>
                <w:noProof/>
                <w:lang w:val="de-DE"/>
              </w:rPr>
            </w:pPr>
            <w:r w:rsidRPr="00170422">
              <w:rPr>
                <w:noProof/>
                <w:lang w:val="de-DE"/>
              </w:rPr>
              <w:t>M3C1-4</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3290E7" w14:textId="77777777" w:rsidR="0057163C" w:rsidRPr="00170422" w:rsidRDefault="00F37BF9">
            <w:pPr>
              <w:pStyle w:val="P68B1DB1-Normal121"/>
              <w:spacing w:after="0" w:line="240" w:lineRule="auto"/>
              <w:rPr>
                <w:noProof/>
                <w:lang w:val="de-DE"/>
              </w:rPr>
            </w:pPr>
            <w:r w:rsidRPr="00170422">
              <w:rPr>
                <w:noProof/>
                <w:lang w:val="de-DE"/>
              </w:rPr>
              <w:t>Investition 1.1 – Hochgeschwindigkeitsbahnverbindungen nach Süden für den Personen- und Güterverkehr</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6EDBA9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91B45E8" w14:textId="77777777" w:rsidR="0057163C" w:rsidRPr="00170422" w:rsidRDefault="00F37BF9">
            <w:pPr>
              <w:pStyle w:val="P68B1DB1-Normal121"/>
              <w:spacing w:after="0" w:line="240" w:lineRule="auto"/>
              <w:rPr>
                <w:noProof/>
                <w:lang w:val="de-DE"/>
              </w:rPr>
            </w:pPr>
            <w:r w:rsidRPr="00170422">
              <w:rPr>
                <w:noProof/>
                <w:lang w:val="de-DE"/>
              </w:rPr>
              <w:t>Vergabe des Auftrags für den Bau von Hochgeschwin</w:t>
            </w:r>
            <w:r w:rsidRPr="00170422">
              <w:rPr>
                <w:noProof/>
                <w:lang w:val="de-DE"/>
              </w:rPr>
              <w:t>digkeitsbahnstrecken auf den Strecken Salerno Reggio Calabria</w:t>
            </w:r>
          </w:p>
        </w:tc>
      </w:tr>
      <w:tr w:rsidR="0057163C" w:rsidRPr="00170422" w14:paraId="24554B99"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5508EB4" w14:textId="77777777" w:rsidR="0057163C" w:rsidRPr="00170422" w:rsidRDefault="00F37BF9">
            <w:pPr>
              <w:pStyle w:val="P68B1DB1-Normal121"/>
              <w:spacing w:after="0" w:line="240" w:lineRule="auto"/>
              <w:jc w:val="center"/>
              <w:rPr>
                <w:noProof/>
                <w:lang w:val="de-DE"/>
              </w:rPr>
            </w:pPr>
            <w:r w:rsidRPr="00170422">
              <w:rPr>
                <w:noProof/>
                <w:lang w:val="de-DE"/>
              </w:rPr>
              <w:t>M3C1-17</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7F6123" w14:textId="77777777" w:rsidR="0057163C" w:rsidRPr="00170422" w:rsidRDefault="00F37BF9">
            <w:pPr>
              <w:pStyle w:val="P68B1DB1-Normal121"/>
              <w:spacing w:after="0" w:line="240" w:lineRule="auto"/>
              <w:rPr>
                <w:noProof/>
                <w:lang w:val="de-DE"/>
              </w:rPr>
            </w:pPr>
            <w:r w:rsidRPr="00170422">
              <w:rPr>
                <w:noProof/>
                <w:lang w:val="de-DE"/>
              </w:rPr>
              <w:t>Investition 1.7 – Modernisierung, Elektrifizierung und Widerstandsfähigkeit der Eisenbahnen im Süden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7BE5C1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CDF0F28" w14:textId="77777777" w:rsidR="0057163C" w:rsidRPr="00170422" w:rsidRDefault="00F37BF9">
            <w:pPr>
              <w:pStyle w:val="P68B1DB1-Normal121"/>
              <w:spacing w:after="0" w:line="240" w:lineRule="auto"/>
              <w:rPr>
                <w:noProof/>
                <w:lang w:val="de-DE"/>
              </w:rPr>
            </w:pPr>
            <w:r w:rsidRPr="00170422">
              <w:rPr>
                <w:noProof/>
                <w:lang w:val="de-DE"/>
              </w:rPr>
              <w:t xml:space="preserve">150 km abgeschlossene Arbeiten im Zusammenhang mit der Modernisierung, </w:t>
            </w:r>
            <w:r w:rsidRPr="00170422">
              <w:rPr>
                <w:noProof/>
                <w:lang w:val="de-DE"/>
              </w:rPr>
              <w:t>Elektrifizierung und Widerstandsfähigkeit der Eisenbahnen im Süden, die für die Genehmigungs- und Betriebsphase bereit sind.</w:t>
            </w:r>
          </w:p>
        </w:tc>
      </w:tr>
      <w:tr w:rsidR="0057163C" w:rsidRPr="00170422" w14:paraId="567148AC"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41ECCB" w14:textId="77777777" w:rsidR="0057163C" w:rsidRPr="00170422" w:rsidRDefault="00F37BF9">
            <w:pPr>
              <w:pStyle w:val="P68B1DB1-Normal121"/>
              <w:spacing w:after="0" w:line="240" w:lineRule="auto"/>
              <w:jc w:val="center"/>
              <w:rPr>
                <w:noProof/>
                <w:lang w:val="de-DE"/>
              </w:rPr>
            </w:pPr>
            <w:r w:rsidRPr="00170422">
              <w:rPr>
                <w:noProof/>
                <w:lang w:val="de-DE"/>
              </w:rPr>
              <w:t>M4C2-5</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7261B23" w14:textId="77777777" w:rsidR="0057163C" w:rsidRPr="00170422" w:rsidRDefault="00F37BF9">
            <w:pPr>
              <w:pStyle w:val="P68B1DB1-Normal121"/>
              <w:spacing w:after="0" w:line="240" w:lineRule="auto"/>
              <w:rPr>
                <w:noProof/>
                <w:lang w:val="de-DE"/>
              </w:rPr>
            </w:pPr>
            <w:r w:rsidRPr="00170422">
              <w:rPr>
                <w:noProof/>
                <w:lang w:val="de-DE"/>
              </w:rPr>
              <w:t xml:space="preserve">Investition 1.1: Forschungsprojekte von erheblicher nationaler Bedeutung (PRIN) </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BEBDD1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28C965D" w14:textId="77777777" w:rsidR="0057163C" w:rsidRPr="00170422" w:rsidRDefault="00F37BF9">
            <w:pPr>
              <w:pStyle w:val="P68B1DB1-Normal121"/>
              <w:spacing w:after="0" w:line="240" w:lineRule="auto"/>
              <w:rPr>
                <w:noProof/>
                <w:lang w:val="de-DE"/>
              </w:rPr>
            </w:pPr>
            <w:r w:rsidRPr="00170422">
              <w:rPr>
                <w:noProof/>
                <w:lang w:val="de-DE"/>
              </w:rPr>
              <w:t>Anzahl der vergebenen Forschungsproje</w:t>
            </w:r>
            <w:r w:rsidRPr="00170422">
              <w:rPr>
                <w:noProof/>
                <w:lang w:val="de-DE"/>
              </w:rPr>
              <w:t xml:space="preserve">kte </w:t>
            </w:r>
          </w:p>
        </w:tc>
      </w:tr>
      <w:tr w:rsidR="0057163C" w:rsidRPr="00170422" w14:paraId="59322C8F"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DD4FC" w14:textId="77777777" w:rsidR="0057163C" w:rsidRPr="00170422" w:rsidRDefault="00F37BF9">
            <w:pPr>
              <w:pStyle w:val="P68B1DB1-Normal121"/>
              <w:spacing w:after="0" w:line="240" w:lineRule="auto"/>
              <w:jc w:val="center"/>
              <w:rPr>
                <w:noProof/>
                <w:lang w:val="de-DE"/>
              </w:rPr>
            </w:pPr>
            <w:r w:rsidRPr="00170422">
              <w:rPr>
                <w:noProof/>
                <w:lang w:val="de-DE"/>
              </w:rPr>
              <w:t>M6C1-8</w:t>
            </w: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E0B3F7" w14:textId="77777777" w:rsidR="0057163C" w:rsidRPr="00170422" w:rsidRDefault="00F37BF9">
            <w:pPr>
              <w:pStyle w:val="P68B1DB1-Normal121"/>
              <w:spacing w:after="0" w:line="240" w:lineRule="auto"/>
              <w:rPr>
                <w:noProof/>
                <w:lang w:val="de-DE"/>
              </w:rPr>
            </w:pPr>
            <w:r w:rsidRPr="00170422">
              <w:rPr>
                <w:noProof/>
                <w:lang w:val="de-DE"/>
              </w:rPr>
              <w:t>Investition 1.2: Zuhause als Erstversorgungsort und Telemedizin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D65049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76CEFA3" w14:textId="77777777" w:rsidR="0057163C" w:rsidRPr="00170422" w:rsidRDefault="00F37BF9">
            <w:pPr>
              <w:pStyle w:val="P68B1DB1-Normal121"/>
              <w:spacing w:after="0" w:line="240" w:lineRule="auto"/>
              <w:rPr>
                <w:noProof/>
                <w:lang w:val="de-DE"/>
              </w:rPr>
            </w:pPr>
            <w:r w:rsidRPr="00170422">
              <w:rPr>
                <w:noProof/>
                <w:lang w:val="de-DE"/>
              </w:rPr>
              <w:t>Mindestens ein telemedizinisches Projekt, das jeder Region zugewiesen wird (unter Berücksichtigung sowohl von Projekten, die in der jeweiligen Region durchgeführt werden, als</w:t>
            </w:r>
            <w:r w:rsidRPr="00170422">
              <w:rPr>
                <w:noProof/>
                <w:lang w:val="de-DE"/>
              </w:rPr>
              <w:t xml:space="preserve"> auch von Projekten, die im Rahmen von Regionalkonsortien entwickelt werden können)</w:t>
            </w:r>
          </w:p>
        </w:tc>
      </w:tr>
      <w:tr w:rsidR="0057163C" w:rsidRPr="00170422" w14:paraId="5A11C9BA" w14:textId="77777777" w:rsidTr="0018154D">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4E45CD0"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35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C982DB"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8AE0FF6"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44"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8A70259"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9030593086 EUR</w:t>
            </w:r>
            <w:r w:rsidRPr="00170422">
              <w:rPr>
                <w:noProof/>
                <w:sz w:val="23"/>
                <w:szCs w:val="23"/>
                <w:lang w:val="de-DE"/>
              </w:rPr>
              <w:t xml:space="preserve">  </w:t>
            </w:r>
          </w:p>
        </w:tc>
      </w:tr>
    </w:tbl>
    <w:p w14:paraId="7774C3A7"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5582CAC3" w14:textId="77777777" w:rsidR="0057163C" w:rsidRPr="00170422" w:rsidRDefault="00F37BF9">
      <w:pPr>
        <w:pStyle w:val="P68B1DB1-Normal8"/>
        <w:rPr>
          <w:noProof/>
          <w:lang w:val="de-DE"/>
        </w:rPr>
      </w:pPr>
      <w:r w:rsidRPr="00170422">
        <w:rPr>
          <w:noProof/>
          <w:lang w:val="de-DE"/>
        </w:rPr>
        <w:br w:type="page"/>
      </w:r>
    </w:p>
    <w:p w14:paraId="15A986AA"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Sechste Tranche (Darlehensunterstützung):</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6"/>
        <w:gridCol w:w="2268"/>
        <w:gridCol w:w="2126"/>
        <w:gridCol w:w="3558"/>
      </w:tblGrid>
      <w:tr w:rsidR="0057163C" w:rsidRPr="00170422" w14:paraId="390F7BA3" w14:textId="77777777" w:rsidTr="0018154D">
        <w:trPr>
          <w:trHeight w:val="900"/>
          <w:tblHeader/>
        </w:trPr>
        <w:tc>
          <w:tcPr>
            <w:tcW w:w="1406" w:type="dxa"/>
            <w:vMerge w:val="restart"/>
            <w:shd w:val="clear" w:color="auto" w:fill="BDD7EE"/>
            <w:tcMar>
              <w:left w:w="108" w:type="dxa"/>
              <w:right w:w="108" w:type="dxa"/>
            </w:tcMar>
            <w:vAlign w:val="center"/>
          </w:tcPr>
          <w:p w14:paraId="239FE9D9"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268" w:type="dxa"/>
            <w:vMerge w:val="restart"/>
            <w:shd w:val="clear" w:color="auto" w:fill="BDD7EE"/>
            <w:tcMar>
              <w:left w:w="108" w:type="dxa"/>
              <w:right w:w="108" w:type="dxa"/>
            </w:tcMar>
            <w:vAlign w:val="center"/>
          </w:tcPr>
          <w:p w14:paraId="48DAE540"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26" w:type="dxa"/>
            <w:vMerge w:val="restart"/>
            <w:shd w:val="clear" w:color="auto" w:fill="BDD7EE"/>
            <w:tcMar>
              <w:left w:w="108" w:type="dxa"/>
              <w:right w:w="108" w:type="dxa"/>
            </w:tcMar>
            <w:vAlign w:val="center"/>
          </w:tcPr>
          <w:p w14:paraId="1099A3AA"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8" w:type="dxa"/>
            <w:vMerge w:val="restart"/>
            <w:shd w:val="clear" w:color="auto" w:fill="BDD7EE"/>
            <w:tcMar>
              <w:left w:w="108" w:type="dxa"/>
              <w:right w:w="108" w:type="dxa"/>
            </w:tcMar>
            <w:vAlign w:val="center"/>
          </w:tcPr>
          <w:p w14:paraId="71287B4F"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0F9D504A" w14:textId="77777777" w:rsidTr="0018154D">
        <w:trPr>
          <w:trHeight w:val="510"/>
        </w:trPr>
        <w:tc>
          <w:tcPr>
            <w:tcW w:w="1406" w:type="dxa"/>
            <w:vMerge/>
            <w:vAlign w:val="center"/>
          </w:tcPr>
          <w:p w14:paraId="2206F276"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vMerge/>
            <w:vAlign w:val="center"/>
          </w:tcPr>
          <w:p w14:paraId="7F904EF6"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vAlign w:val="center"/>
          </w:tcPr>
          <w:p w14:paraId="5E32391D"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8" w:type="dxa"/>
            <w:vMerge/>
            <w:vAlign w:val="center"/>
          </w:tcPr>
          <w:p w14:paraId="47C5F037"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6A9532D9" w14:textId="77777777" w:rsidTr="0018154D">
        <w:trPr>
          <w:trHeight w:val="300"/>
        </w:trPr>
        <w:tc>
          <w:tcPr>
            <w:tcW w:w="1406" w:type="dxa"/>
            <w:shd w:val="clear" w:color="auto" w:fill="C6EFCE"/>
            <w:tcMar>
              <w:left w:w="108" w:type="dxa"/>
              <w:right w:w="108" w:type="dxa"/>
            </w:tcMar>
            <w:vAlign w:val="center"/>
          </w:tcPr>
          <w:p w14:paraId="211DE659" w14:textId="77777777" w:rsidR="0057163C" w:rsidRPr="00170422" w:rsidRDefault="00F37BF9">
            <w:pPr>
              <w:pStyle w:val="P68B1DB1-Normal121"/>
              <w:spacing w:after="0" w:line="240" w:lineRule="auto"/>
              <w:jc w:val="center"/>
              <w:rPr>
                <w:noProof/>
                <w:lang w:val="de-DE"/>
              </w:rPr>
            </w:pPr>
            <w:r w:rsidRPr="00170422">
              <w:rPr>
                <w:noProof/>
                <w:lang w:val="de-DE"/>
              </w:rPr>
              <w:t>M3C1-10</w:t>
            </w:r>
          </w:p>
        </w:tc>
        <w:tc>
          <w:tcPr>
            <w:tcW w:w="2268" w:type="dxa"/>
            <w:shd w:val="clear" w:color="auto" w:fill="C6EFCE"/>
            <w:tcMar>
              <w:left w:w="108" w:type="dxa"/>
              <w:right w:w="108" w:type="dxa"/>
            </w:tcMar>
            <w:vAlign w:val="center"/>
          </w:tcPr>
          <w:p w14:paraId="131AB868" w14:textId="77777777" w:rsidR="0057163C" w:rsidRPr="00170422" w:rsidRDefault="00F37BF9">
            <w:pPr>
              <w:pStyle w:val="P68B1DB1-Normal121"/>
              <w:spacing w:after="0" w:line="240" w:lineRule="auto"/>
              <w:rPr>
                <w:noProof/>
                <w:lang w:val="de-DE"/>
              </w:rPr>
            </w:pPr>
            <w:r w:rsidRPr="00170422">
              <w:rPr>
                <w:noProof/>
                <w:lang w:val="de-DE"/>
              </w:rPr>
              <w:t>Investition 1.3 – Diagonale Verbindungen</w:t>
            </w:r>
          </w:p>
        </w:tc>
        <w:tc>
          <w:tcPr>
            <w:tcW w:w="2126" w:type="dxa"/>
            <w:shd w:val="clear" w:color="auto" w:fill="C6EFCE"/>
            <w:tcMar>
              <w:left w:w="108" w:type="dxa"/>
              <w:right w:w="108" w:type="dxa"/>
            </w:tcMar>
            <w:vAlign w:val="center"/>
          </w:tcPr>
          <w:p w14:paraId="0321199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7E07FD7" w14:textId="77777777" w:rsidR="0057163C" w:rsidRPr="00170422" w:rsidRDefault="00F37BF9">
            <w:pPr>
              <w:pStyle w:val="P68B1DB1-Normal121"/>
              <w:spacing w:after="0" w:line="240" w:lineRule="auto"/>
              <w:rPr>
                <w:noProof/>
                <w:lang w:val="de-DE"/>
              </w:rPr>
            </w:pPr>
            <w:r w:rsidRPr="00170422">
              <w:rPr>
                <w:noProof/>
                <w:lang w:val="de-DE"/>
              </w:rPr>
              <w:t>Vergabe der Aufträge für den Bau der Verbindungen auf den Strecken Orte-Falconara und Taranto-Metaponto-Potenza-Battipaglia</w:t>
            </w:r>
          </w:p>
        </w:tc>
      </w:tr>
      <w:tr w:rsidR="0057163C" w:rsidRPr="00170422" w14:paraId="128EA5F3" w14:textId="77777777" w:rsidTr="0018154D">
        <w:trPr>
          <w:trHeight w:val="300"/>
        </w:trPr>
        <w:tc>
          <w:tcPr>
            <w:tcW w:w="1406" w:type="dxa"/>
            <w:shd w:val="clear" w:color="auto" w:fill="C6EFCE"/>
            <w:tcMar>
              <w:left w:w="108" w:type="dxa"/>
              <w:right w:w="108" w:type="dxa"/>
            </w:tcMar>
            <w:vAlign w:val="center"/>
          </w:tcPr>
          <w:p w14:paraId="78CC9435" w14:textId="77777777" w:rsidR="0057163C" w:rsidRPr="00170422" w:rsidRDefault="00F37BF9">
            <w:pPr>
              <w:pStyle w:val="P68B1DB1-Normal121"/>
              <w:spacing w:after="0" w:line="240" w:lineRule="auto"/>
              <w:jc w:val="center"/>
              <w:rPr>
                <w:noProof/>
                <w:lang w:val="de-DE"/>
              </w:rPr>
            </w:pPr>
            <w:r w:rsidRPr="00170422">
              <w:rPr>
                <w:noProof/>
                <w:lang w:val="de-DE"/>
              </w:rPr>
              <w:t>M7-35</w:t>
            </w:r>
          </w:p>
        </w:tc>
        <w:tc>
          <w:tcPr>
            <w:tcW w:w="2268" w:type="dxa"/>
            <w:shd w:val="clear" w:color="auto" w:fill="C6EFCE"/>
            <w:tcMar>
              <w:left w:w="108" w:type="dxa"/>
              <w:right w:w="108" w:type="dxa"/>
            </w:tcMar>
            <w:vAlign w:val="center"/>
          </w:tcPr>
          <w:p w14:paraId="5B5EAC3D" w14:textId="77777777" w:rsidR="0057163C" w:rsidRPr="00170422" w:rsidRDefault="00F37BF9">
            <w:pPr>
              <w:pStyle w:val="P68B1DB1-Normal121"/>
              <w:spacing w:after="0" w:line="240" w:lineRule="auto"/>
              <w:rPr>
                <w:noProof/>
                <w:lang w:val="de-DE"/>
              </w:rPr>
            </w:pPr>
            <w:r w:rsidRPr="00170422">
              <w:rPr>
                <w:noProof/>
                <w:lang w:val="de-DE"/>
              </w:rPr>
              <w:t xml:space="preserve">Investition 13: Adriatic Line Phase 1 </w:t>
            </w:r>
            <w:r w:rsidRPr="00170422">
              <w:rPr>
                <w:noProof/>
                <w:lang w:val="de-DE"/>
              </w:rPr>
              <w:t>(Kompressorstation Sulmona und Gaspipeline Sestino-Minerbio)</w:t>
            </w:r>
          </w:p>
        </w:tc>
        <w:tc>
          <w:tcPr>
            <w:tcW w:w="2126" w:type="dxa"/>
            <w:shd w:val="clear" w:color="auto" w:fill="C6EFCE"/>
            <w:tcMar>
              <w:left w:w="108" w:type="dxa"/>
              <w:right w:w="108" w:type="dxa"/>
            </w:tcMar>
            <w:vAlign w:val="center"/>
          </w:tcPr>
          <w:p w14:paraId="5A028B1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E9E8630" w14:textId="77777777" w:rsidR="0057163C" w:rsidRPr="00170422" w:rsidRDefault="00F37BF9">
            <w:pPr>
              <w:pStyle w:val="P68B1DB1-Normal121"/>
              <w:spacing w:after="0" w:line="240" w:lineRule="auto"/>
              <w:rPr>
                <w:noProof/>
                <w:lang w:val="de-DE"/>
              </w:rPr>
            </w:pPr>
            <w:r w:rsidRPr="00170422">
              <w:rPr>
                <w:noProof/>
                <w:lang w:val="de-DE"/>
              </w:rPr>
              <w:t>Annahme und Aktualisierung einschlägiger Umweltverträglichkeitsprüfungen (VIncA)</w:t>
            </w:r>
          </w:p>
        </w:tc>
      </w:tr>
      <w:tr w:rsidR="0057163C" w:rsidRPr="00170422" w14:paraId="59C031DF" w14:textId="77777777" w:rsidTr="0018154D">
        <w:trPr>
          <w:trHeight w:val="300"/>
        </w:trPr>
        <w:tc>
          <w:tcPr>
            <w:tcW w:w="1406" w:type="dxa"/>
            <w:shd w:val="clear" w:color="auto" w:fill="C6EFCE"/>
            <w:tcMar>
              <w:left w:w="108" w:type="dxa"/>
              <w:right w:w="108" w:type="dxa"/>
            </w:tcMar>
            <w:vAlign w:val="center"/>
          </w:tcPr>
          <w:p w14:paraId="05810BD6" w14:textId="77777777" w:rsidR="0057163C" w:rsidRPr="00170422" w:rsidRDefault="00F37BF9">
            <w:pPr>
              <w:pStyle w:val="P68B1DB1-Normal121"/>
              <w:spacing w:after="0" w:line="240" w:lineRule="auto"/>
              <w:jc w:val="center"/>
              <w:rPr>
                <w:noProof/>
                <w:lang w:val="de-DE"/>
              </w:rPr>
            </w:pPr>
            <w:r w:rsidRPr="00170422">
              <w:rPr>
                <w:noProof/>
                <w:lang w:val="de-DE"/>
              </w:rPr>
              <w:t>M7-40</w:t>
            </w:r>
          </w:p>
        </w:tc>
        <w:tc>
          <w:tcPr>
            <w:tcW w:w="2268" w:type="dxa"/>
            <w:shd w:val="clear" w:color="auto" w:fill="C6EFCE"/>
            <w:tcMar>
              <w:left w:w="108" w:type="dxa"/>
              <w:right w:w="108" w:type="dxa"/>
            </w:tcMar>
            <w:vAlign w:val="center"/>
          </w:tcPr>
          <w:p w14:paraId="42AFB8D4" w14:textId="77777777" w:rsidR="0057163C" w:rsidRPr="00170422" w:rsidRDefault="00F37BF9">
            <w:pPr>
              <w:pStyle w:val="P68B1DB1-Normal121"/>
              <w:spacing w:after="0" w:line="240" w:lineRule="auto"/>
              <w:rPr>
                <w:noProof/>
                <w:lang w:val="de-DE"/>
              </w:rPr>
            </w:pPr>
            <w:r w:rsidRPr="00170422">
              <w:rPr>
                <w:noProof/>
                <w:lang w:val="de-DE"/>
              </w:rPr>
              <w:t xml:space="preserve">Investition 15: Transizione 5.0 </w:t>
            </w:r>
          </w:p>
        </w:tc>
        <w:tc>
          <w:tcPr>
            <w:tcW w:w="2126" w:type="dxa"/>
            <w:shd w:val="clear" w:color="auto" w:fill="C6EFCE"/>
            <w:tcMar>
              <w:left w:w="108" w:type="dxa"/>
              <w:right w:w="108" w:type="dxa"/>
            </w:tcMar>
            <w:vAlign w:val="center"/>
          </w:tcPr>
          <w:p w14:paraId="6A527DA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9AC1575" w14:textId="77777777" w:rsidR="0057163C" w:rsidRPr="00170422" w:rsidRDefault="00F37BF9">
            <w:pPr>
              <w:pStyle w:val="P68B1DB1-Normal121"/>
              <w:spacing w:after="0" w:line="240" w:lineRule="auto"/>
              <w:rPr>
                <w:noProof/>
                <w:lang w:val="de-DE"/>
              </w:rPr>
            </w:pPr>
            <w:r w:rsidRPr="00170422">
              <w:rPr>
                <w:noProof/>
                <w:lang w:val="de-DE"/>
              </w:rPr>
              <w:t>Inkrafttreten des Rechtsakts zur Festlegung der Kr</w:t>
            </w:r>
            <w:r w:rsidRPr="00170422">
              <w:rPr>
                <w:noProof/>
                <w:lang w:val="de-DE"/>
              </w:rPr>
              <w:t>iterien für förderfähige Interventionen</w:t>
            </w:r>
          </w:p>
        </w:tc>
      </w:tr>
      <w:tr w:rsidR="0057163C" w:rsidRPr="00170422" w14:paraId="3473FA60" w14:textId="77777777" w:rsidTr="0018154D">
        <w:trPr>
          <w:trHeight w:val="300"/>
        </w:trPr>
        <w:tc>
          <w:tcPr>
            <w:tcW w:w="1406" w:type="dxa"/>
            <w:shd w:val="clear" w:color="auto" w:fill="C6EFCE"/>
            <w:tcMar>
              <w:left w:w="108" w:type="dxa"/>
              <w:right w:w="108" w:type="dxa"/>
            </w:tcMar>
            <w:vAlign w:val="center"/>
          </w:tcPr>
          <w:p w14:paraId="3D462854" w14:textId="77777777" w:rsidR="0057163C" w:rsidRPr="00170422" w:rsidRDefault="00F37BF9">
            <w:pPr>
              <w:pStyle w:val="P68B1DB1-Normal121"/>
              <w:spacing w:after="0" w:line="240" w:lineRule="auto"/>
              <w:jc w:val="center"/>
              <w:rPr>
                <w:noProof/>
                <w:lang w:val="de-DE"/>
              </w:rPr>
            </w:pPr>
            <w:r w:rsidRPr="00170422">
              <w:rPr>
                <w:noProof/>
                <w:lang w:val="de-DE"/>
              </w:rPr>
              <w:t>M2C1-15</w:t>
            </w:r>
          </w:p>
        </w:tc>
        <w:tc>
          <w:tcPr>
            <w:tcW w:w="2268" w:type="dxa"/>
            <w:shd w:val="clear" w:color="auto" w:fill="C6EFCE"/>
            <w:tcMar>
              <w:left w:w="108" w:type="dxa"/>
              <w:right w:w="108" w:type="dxa"/>
            </w:tcMar>
            <w:vAlign w:val="center"/>
          </w:tcPr>
          <w:p w14:paraId="47860312" w14:textId="77777777" w:rsidR="0057163C" w:rsidRPr="00170422" w:rsidRDefault="00F37BF9">
            <w:pPr>
              <w:pStyle w:val="P68B1DB1-Normal121"/>
              <w:spacing w:after="0" w:line="240" w:lineRule="auto"/>
              <w:rPr>
                <w:noProof/>
                <w:lang w:val="de-DE"/>
              </w:rPr>
            </w:pPr>
            <w:r w:rsidRPr="00170422">
              <w:rPr>
                <w:noProof/>
                <w:lang w:val="de-DE"/>
              </w:rPr>
              <w:t>Reform 1.2 Nationales Abfallwirtschaftsprogramm</w:t>
            </w:r>
          </w:p>
        </w:tc>
        <w:tc>
          <w:tcPr>
            <w:tcW w:w="2126" w:type="dxa"/>
            <w:shd w:val="clear" w:color="auto" w:fill="C6EFCE"/>
            <w:tcMar>
              <w:left w:w="108" w:type="dxa"/>
              <w:right w:w="108" w:type="dxa"/>
            </w:tcMar>
            <w:vAlign w:val="center"/>
          </w:tcPr>
          <w:p w14:paraId="7B309A3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299E1B1" w14:textId="77777777" w:rsidR="0057163C" w:rsidRPr="00170422" w:rsidRDefault="00F37BF9">
            <w:pPr>
              <w:pStyle w:val="P68B1DB1-Normal121"/>
              <w:spacing w:after="0" w:line="240" w:lineRule="auto"/>
              <w:rPr>
                <w:noProof/>
                <w:lang w:val="de-DE"/>
              </w:rPr>
            </w:pPr>
            <w:r w:rsidRPr="00170422">
              <w:rPr>
                <w:noProof/>
                <w:lang w:val="de-DE"/>
              </w:rPr>
              <w:t xml:space="preserve">Verringerung unregelmäßiger Deponien (T1)  </w:t>
            </w:r>
          </w:p>
        </w:tc>
      </w:tr>
      <w:tr w:rsidR="0057163C" w:rsidRPr="00170422" w14:paraId="6B601ABE" w14:textId="77777777" w:rsidTr="0018154D">
        <w:trPr>
          <w:trHeight w:val="300"/>
        </w:trPr>
        <w:tc>
          <w:tcPr>
            <w:tcW w:w="1406" w:type="dxa"/>
            <w:shd w:val="clear" w:color="auto" w:fill="C6EFCE"/>
            <w:tcMar>
              <w:left w:w="108" w:type="dxa"/>
              <w:right w:w="108" w:type="dxa"/>
            </w:tcMar>
            <w:vAlign w:val="center"/>
          </w:tcPr>
          <w:p w14:paraId="6058FBC1" w14:textId="77777777" w:rsidR="0057163C" w:rsidRPr="00170422" w:rsidRDefault="00F37BF9">
            <w:pPr>
              <w:pStyle w:val="P68B1DB1-Normal121"/>
              <w:spacing w:after="0" w:line="240" w:lineRule="auto"/>
              <w:jc w:val="center"/>
              <w:rPr>
                <w:noProof/>
                <w:lang w:val="de-DE"/>
              </w:rPr>
            </w:pPr>
            <w:r w:rsidRPr="00170422">
              <w:rPr>
                <w:noProof/>
                <w:lang w:val="de-DE"/>
              </w:rPr>
              <w:t>M2C1-16bis</w:t>
            </w:r>
          </w:p>
        </w:tc>
        <w:tc>
          <w:tcPr>
            <w:tcW w:w="2268" w:type="dxa"/>
            <w:shd w:val="clear" w:color="auto" w:fill="C6EFCE"/>
            <w:tcMar>
              <w:left w:w="108" w:type="dxa"/>
              <w:right w:w="108" w:type="dxa"/>
            </w:tcMar>
            <w:vAlign w:val="center"/>
          </w:tcPr>
          <w:p w14:paraId="50BF14DF" w14:textId="77777777" w:rsidR="0057163C" w:rsidRPr="00170422" w:rsidRDefault="00F37BF9">
            <w:pPr>
              <w:pStyle w:val="P68B1DB1-Normal121"/>
              <w:spacing w:after="0" w:line="240" w:lineRule="auto"/>
              <w:rPr>
                <w:noProof/>
                <w:lang w:val="de-DE"/>
              </w:rPr>
            </w:pPr>
            <w:r w:rsidRPr="00170422">
              <w:rPr>
                <w:noProof/>
                <w:lang w:val="de-DE"/>
              </w:rPr>
              <w:t>Reform 1.2 Nationales Abfallwirtschaftsprogramm</w:t>
            </w:r>
          </w:p>
        </w:tc>
        <w:tc>
          <w:tcPr>
            <w:tcW w:w="2126" w:type="dxa"/>
            <w:shd w:val="clear" w:color="auto" w:fill="C6EFCE"/>
            <w:tcMar>
              <w:left w:w="108" w:type="dxa"/>
              <w:right w:w="108" w:type="dxa"/>
            </w:tcMar>
            <w:vAlign w:val="center"/>
          </w:tcPr>
          <w:p w14:paraId="4D908F3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3DD339E0" w14:textId="77777777" w:rsidR="0057163C" w:rsidRPr="00170422" w:rsidRDefault="00F37BF9">
            <w:pPr>
              <w:pStyle w:val="P68B1DB1-Normal121"/>
              <w:spacing w:after="0" w:line="240" w:lineRule="auto"/>
              <w:rPr>
                <w:noProof/>
                <w:lang w:val="de-DE"/>
              </w:rPr>
            </w:pPr>
            <w:r w:rsidRPr="00170422">
              <w:rPr>
                <w:noProof/>
                <w:lang w:val="de-DE"/>
              </w:rPr>
              <w:t>Unregelmäßige Deponien</w:t>
            </w:r>
          </w:p>
        </w:tc>
      </w:tr>
      <w:tr w:rsidR="0057163C" w:rsidRPr="00170422" w14:paraId="178767F5" w14:textId="77777777" w:rsidTr="0018154D">
        <w:trPr>
          <w:trHeight w:val="300"/>
        </w:trPr>
        <w:tc>
          <w:tcPr>
            <w:tcW w:w="1406" w:type="dxa"/>
            <w:shd w:val="clear" w:color="auto" w:fill="C6EFCE"/>
            <w:tcMar>
              <w:left w:w="108" w:type="dxa"/>
              <w:right w:w="108" w:type="dxa"/>
            </w:tcMar>
            <w:vAlign w:val="center"/>
          </w:tcPr>
          <w:p w14:paraId="60EED917" w14:textId="77777777" w:rsidR="0057163C" w:rsidRPr="00170422" w:rsidRDefault="00F37BF9">
            <w:pPr>
              <w:pStyle w:val="P68B1DB1-Normal121"/>
              <w:spacing w:after="0" w:line="240" w:lineRule="auto"/>
              <w:jc w:val="center"/>
              <w:rPr>
                <w:noProof/>
                <w:lang w:val="de-DE"/>
              </w:rPr>
            </w:pPr>
            <w:r w:rsidRPr="00170422">
              <w:rPr>
                <w:noProof/>
                <w:lang w:val="de-DE"/>
              </w:rPr>
              <w:t>M2C1-22</w:t>
            </w:r>
          </w:p>
        </w:tc>
        <w:tc>
          <w:tcPr>
            <w:tcW w:w="2268" w:type="dxa"/>
            <w:shd w:val="clear" w:color="auto" w:fill="C6EFCE"/>
            <w:tcMar>
              <w:left w:w="108" w:type="dxa"/>
              <w:right w:w="108" w:type="dxa"/>
            </w:tcMar>
            <w:vAlign w:val="center"/>
          </w:tcPr>
          <w:p w14:paraId="460B411D" w14:textId="77777777" w:rsidR="0057163C" w:rsidRPr="00170422" w:rsidRDefault="00F37BF9">
            <w:pPr>
              <w:pStyle w:val="P68B1DB1-Normal121"/>
              <w:spacing w:after="0" w:line="240" w:lineRule="auto"/>
              <w:rPr>
                <w:noProof/>
                <w:lang w:val="de-DE"/>
              </w:rPr>
            </w:pPr>
            <w:r w:rsidRPr="00170422">
              <w:rPr>
                <w:noProof/>
                <w:lang w:val="de-DE"/>
              </w:rPr>
              <w:t xml:space="preserve">Investition </w:t>
            </w:r>
            <w:r w:rsidRPr="00170422">
              <w:rPr>
                <w:noProof/>
                <w:lang w:val="de-DE"/>
              </w:rPr>
              <w:t>3.4: Fondo Contratti di Filiera (FCF) zur Unterstützung von Lieferkettenverträgen in den Sektoren Agrar- und Ernährungswirtschaft, Fischerei und Aquakultur, Forstwirtschaft, Blumenzucht und Pflanzenzucht</w:t>
            </w:r>
          </w:p>
        </w:tc>
        <w:tc>
          <w:tcPr>
            <w:tcW w:w="2126" w:type="dxa"/>
            <w:shd w:val="clear" w:color="auto" w:fill="C6EFCE"/>
            <w:tcMar>
              <w:left w:w="108" w:type="dxa"/>
              <w:right w:w="108" w:type="dxa"/>
            </w:tcMar>
            <w:vAlign w:val="center"/>
          </w:tcPr>
          <w:p w14:paraId="38CDD5B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B8DBC8E"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02053AE6" w14:textId="77777777" w:rsidTr="0018154D">
        <w:trPr>
          <w:trHeight w:val="300"/>
        </w:trPr>
        <w:tc>
          <w:tcPr>
            <w:tcW w:w="1406" w:type="dxa"/>
            <w:shd w:val="clear" w:color="auto" w:fill="C6EFCE"/>
            <w:tcMar>
              <w:left w:w="108" w:type="dxa"/>
              <w:right w:w="108" w:type="dxa"/>
            </w:tcMar>
            <w:vAlign w:val="center"/>
          </w:tcPr>
          <w:p w14:paraId="40ABE9B6" w14:textId="77777777" w:rsidR="0057163C" w:rsidRPr="00170422" w:rsidRDefault="00F37BF9">
            <w:pPr>
              <w:pStyle w:val="P68B1DB1-Normal121"/>
              <w:spacing w:after="0" w:line="240" w:lineRule="auto"/>
              <w:jc w:val="center"/>
              <w:rPr>
                <w:noProof/>
                <w:lang w:val="de-DE"/>
              </w:rPr>
            </w:pPr>
            <w:r w:rsidRPr="00170422">
              <w:rPr>
                <w:noProof/>
                <w:lang w:val="de-DE"/>
              </w:rPr>
              <w:t>M2C2-31</w:t>
            </w:r>
          </w:p>
        </w:tc>
        <w:tc>
          <w:tcPr>
            <w:tcW w:w="2268" w:type="dxa"/>
            <w:shd w:val="clear" w:color="auto" w:fill="C6EFCE"/>
            <w:tcMar>
              <w:left w:w="108" w:type="dxa"/>
              <w:right w:w="108" w:type="dxa"/>
            </w:tcMar>
            <w:vAlign w:val="center"/>
          </w:tcPr>
          <w:p w14:paraId="1E31BE71" w14:textId="77777777" w:rsidR="0057163C" w:rsidRPr="00170422" w:rsidRDefault="00F37BF9">
            <w:pPr>
              <w:pStyle w:val="P68B1DB1-Normal121"/>
              <w:spacing w:after="0" w:line="240" w:lineRule="auto"/>
              <w:rPr>
                <w:noProof/>
                <w:lang w:val="de-DE"/>
              </w:rPr>
            </w:pPr>
            <w:r w:rsidRPr="00170422">
              <w:rPr>
                <w:noProof/>
                <w:lang w:val="de-DE"/>
              </w:rPr>
              <w:t>Investition 4.4.3: Erneuerungsflotte für den Nationalen Feuerwehrkommando</w:t>
            </w:r>
          </w:p>
        </w:tc>
        <w:tc>
          <w:tcPr>
            <w:tcW w:w="2126" w:type="dxa"/>
            <w:shd w:val="clear" w:color="auto" w:fill="C6EFCE"/>
            <w:tcMar>
              <w:left w:w="108" w:type="dxa"/>
              <w:right w:w="108" w:type="dxa"/>
            </w:tcMar>
            <w:vAlign w:val="center"/>
          </w:tcPr>
          <w:p w14:paraId="7563A7ED"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0B2E15C1"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für die Erneuerung der Flotte für den Befehl der nationalen Feuerwehr</w:t>
            </w:r>
          </w:p>
        </w:tc>
      </w:tr>
      <w:tr w:rsidR="0057163C" w:rsidRPr="00170422" w14:paraId="155EC458" w14:textId="77777777" w:rsidTr="0018154D">
        <w:trPr>
          <w:trHeight w:val="300"/>
        </w:trPr>
        <w:tc>
          <w:tcPr>
            <w:tcW w:w="1406" w:type="dxa"/>
            <w:shd w:val="clear" w:color="auto" w:fill="C6EFCE"/>
            <w:tcMar>
              <w:left w:w="108" w:type="dxa"/>
              <w:right w:w="108" w:type="dxa"/>
            </w:tcMar>
            <w:vAlign w:val="center"/>
          </w:tcPr>
          <w:p w14:paraId="1DB13C5C" w14:textId="77777777" w:rsidR="0057163C" w:rsidRPr="00170422" w:rsidRDefault="00F37BF9">
            <w:pPr>
              <w:pStyle w:val="P68B1DB1-Normal121"/>
              <w:spacing w:after="0" w:line="240" w:lineRule="auto"/>
              <w:jc w:val="center"/>
              <w:rPr>
                <w:noProof/>
                <w:lang w:val="de-DE"/>
              </w:rPr>
            </w:pPr>
            <w:r w:rsidRPr="00170422">
              <w:rPr>
                <w:noProof/>
                <w:lang w:val="de-DE"/>
              </w:rPr>
              <w:t>M2C4-6</w:t>
            </w:r>
          </w:p>
        </w:tc>
        <w:tc>
          <w:tcPr>
            <w:tcW w:w="2268" w:type="dxa"/>
            <w:shd w:val="clear" w:color="auto" w:fill="C6EFCE"/>
            <w:tcMar>
              <w:left w:w="108" w:type="dxa"/>
              <w:right w:w="108" w:type="dxa"/>
            </w:tcMar>
            <w:vAlign w:val="center"/>
          </w:tcPr>
          <w:p w14:paraId="33654EBF" w14:textId="77777777" w:rsidR="0057163C" w:rsidRPr="00170422" w:rsidRDefault="00F37BF9">
            <w:pPr>
              <w:pStyle w:val="P68B1DB1-Normal121"/>
              <w:spacing w:after="0" w:line="240" w:lineRule="auto"/>
              <w:rPr>
                <w:noProof/>
                <w:lang w:val="de-DE"/>
              </w:rPr>
            </w:pPr>
            <w:r w:rsidRPr="00170422">
              <w:rPr>
                <w:noProof/>
                <w:lang w:val="de-DE"/>
              </w:rPr>
              <w:t>Investition 3.2: Digitalisierung von Nationalparks</w:t>
            </w:r>
          </w:p>
        </w:tc>
        <w:tc>
          <w:tcPr>
            <w:tcW w:w="2126" w:type="dxa"/>
            <w:shd w:val="clear" w:color="auto" w:fill="C6EFCE"/>
            <w:tcMar>
              <w:left w:w="108" w:type="dxa"/>
              <w:right w:w="108" w:type="dxa"/>
            </w:tcMar>
            <w:vAlign w:val="center"/>
          </w:tcPr>
          <w:p w14:paraId="508ABE2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75AD533A" w14:textId="77777777" w:rsidR="0057163C" w:rsidRPr="00170422" w:rsidRDefault="00F37BF9">
            <w:pPr>
              <w:pStyle w:val="P68B1DB1-Normal121"/>
              <w:spacing w:after="0" w:line="240" w:lineRule="auto"/>
              <w:rPr>
                <w:noProof/>
                <w:lang w:val="de-DE"/>
              </w:rPr>
            </w:pPr>
            <w:r w:rsidRPr="00170422">
              <w:rPr>
                <w:noProof/>
                <w:lang w:val="de-DE"/>
              </w:rPr>
              <w:t xml:space="preserve">Verwaltungsvereinfachung und Entwicklung digitaler Dienste für Besucher von Nationalparks und Meeresschutzgebieten </w:t>
            </w:r>
          </w:p>
        </w:tc>
      </w:tr>
      <w:tr w:rsidR="0057163C" w:rsidRPr="00170422" w14:paraId="5EF0E810" w14:textId="77777777" w:rsidTr="0018154D">
        <w:trPr>
          <w:trHeight w:val="300"/>
        </w:trPr>
        <w:tc>
          <w:tcPr>
            <w:tcW w:w="1406" w:type="dxa"/>
            <w:shd w:val="clear" w:color="auto" w:fill="C6EFCE"/>
            <w:tcMar>
              <w:left w:w="108" w:type="dxa"/>
              <w:right w:w="108" w:type="dxa"/>
            </w:tcMar>
            <w:vAlign w:val="center"/>
          </w:tcPr>
          <w:p w14:paraId="6F9F2993" w14:textId="77777777" w:rsidR="0057163C" w:rsidRPr="00170422" w:rsidRDefault="00F37BF9">
            <w:pPr>
              <w:pStyle w:val="P68B1DB1-Normal121"/>
              <w:spacing w:after="0" w:line="240" w:lineRule="auto"/>
              <w:jc w:val="center"/>
              <w:rPr>
                <w:noProof/>
                <w:lang w:val="de-DE"/>
              </w:rPr>
            </w:pPr>
            <w:r w:rsidRPr="00170422">
              <w:rPr>
                <w:noProof/>
                <w:lang w:val="de-DE"/>
              </w:rPr>
              <w:t>M3C2-10</w:t>
            </w:r>
          </w:p>
        </w:tc>
        <w:tc>
          <w:tcPr>
            <w:tcW w:w="2268" w:type="dxa"/>
            <w:shd w:val="clear" w:color="auto" w:fill="C6EFCE"/>
            <w:tcMar>
              <w:left w:w="108" w:type="dxa"/>
              <w:right w:w="108" w:type="dxa"/>
            </w:tcMar>
            <w:vAlign w:val="center"/>
          </w:tcPr>
          <w:p w14:paraId="480AE2CA" w14:textId="77777777" w:rsidR="0057163C" w:rsidRPr="00170422" w:rsidRDefault="00F37BF9">
            <w:pPr>
              <w:pStyle w:val="P68B1DB1-Normal121"/>
              <w:spacing w:after="0" w:line="240" w:lineRule="auto"/>
              <w:rPr>
                <w:noProof/>
                <w:lang w:val="de-DE"/>
              </w:rPr>
            </w:pPr>
            <w:r w:rsidRPr="00170422">
              <w:rPr>
                <w:noProof/>
                <w:lang w:val="de-DE"/>
              </w:rPr>
              <w:t xml:space="preserve">Reform 2.2: Einrichtung einer nationalen Plattform für digitale Logistik zur Einführung der Digitalisierung des Güter- und/oder </w:t>
            </w:r>
            <w:r w:rsidRPr="00170422">
              <w:rPr>
                <w:noProof/>
                <w:lang w:val="de-DE"/>
              </w:rPr>
              <w:t>Personenverkehrs</w:t>
            </w:r>
          </w:p>
        </w:tc>
        <w:tc>
          <w:tcPr>
            <w:tcW w:w="2126" w:type="dxa"/>
            <w:shd w:val="clear" w:color="auto" w:fill="C6EFCE"/>
            <w:tcMar>
              <w:left w:w="108" w:type="dxa"/>
              <w:right w:w="108" w:type="dxa"/>
            </w:tcMar>
            <w:vAlign w:val="center"/>
          </w:tcPr>
          <w:p w14:paraId="64AB38E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7B391E6" w14:textId="77777777" w:rsidR="0057163C" w:rsidRPr="00170422" w:rsidRDefault="00F37BF9">
            <w:pPr>
              <w:pStyle w:val="P68B1DB1-Normal121"/>
              <w:spacing w:after="0" w:line="240" w:lineRule="auto"/>
              <w:rPr>
                <w:noProof/>
                <w:lang w:val="de-DE"/>
              </w:rPr>
            </w:pPr>
            <w:r w:rsidRPr="00170422">
              <w:rPr>
                <w:noProof/>
                <w:lang w:val="de-DE"/>
              </w:rPr>
              <w:t xml:space="preserve">Nationale Plattform für digitale Logistik </w:t>
            </w:r>
          </w:p>
        </w:tc>
      </w:tr>
      <w:tr w:rsidR="0057163C" w:rsidRPr="00170422" w14:paraId="03E5C265" w14:textId="77777777" w:rsidTr="0018154D">
        <w:trPr>
          <w:trHeight w:val="300"/>
        </w:trPr>
        <w:tc>
          <w:tcPr>
            <w:tcW w:w="1406" w:type="dxa"/>
            <w:shd w:val="clear" w:color="auto" w:fill="C6EFCE"/>
            <w:tcMar>
              <w:left w:w="108" w:type="dxa"/>
              <w:right w:w="108" w:type="dxa"/>
            </w:tcMar>
            <w:vAlign w:val="center"/>
          </w:tcPr>
          <w:p w14:paraId="5B03A0E7" w14:textId="77777777" w:rsidR="0057163C" w:rsidRPr="00170422" w:rsidRDefault="00F37BF9">
            <w:pPr>
              <w:pStyle w:val="P68B1DB1-Normal121"/>
              <w:spacing w:after="0" w:line="240" w:lineRule="auto"/>
              <w:jc w:val="center"/>
              <w:rPr>
                <w:noProof/>
                <w:lang w:val="de-DE"/>
              </w:rPr>
            </w:pPr>
            <w:r w:rsidRPr="00170422">
              <w:rPr>
                <w:noProof/>
                <w:lang w:val="de-DE"/>
              </w:rPr>
              <w:t>M6C2-15</w:t>
            </w:r>
          </w:p>
        </w:tc>
        <w:tc>
          <w:tcPr>
            <w:tcW w:w="2268" w:type="dxa"/>
            <w:shd w:val="clear" w:color="auto" w:fill="C6EFCE"/>
            <w:tcMar>
              <w:left w:w="108" w:type="dxa"/>
              <w:right w:w="108" w:type="dxa"/>
            </w:tcMar>
            <w:vAlign w:val="center"/>
          </w:tcPr>
          <w:p w14:paraId="354097C2" w14:textId="77777777" w:rsidR="0057163C" w:rsidRPr="00170422" w:rsidRDefault="00F37BF9">
            <w:pPr>
              <w:pStyle w:val="P68B1DB1-Normal123"/>
              <w:spacing w:after="0" w:line="240" w:lineRule="auto"/>
              <w:rPr>
                <w:noProof/>
                <w:lang w:val="de-DE"/>
              </w:rPr>
            </w:pPr>
            <w:r w:rsidRPr="00170422">
              <w:rPr>
                <w:noProof/>
                <w:lang w:val="de-DE"/>
              </w:rPr>
              <w:t>Investition 2.2: Entwicklung von technischen, beruflichen, digitalen und Managementkompetenzen von Fachkräften des Gesundheitssystems</w:t>
            </w:r>
          </w:p>
        </w:tc>
        <w:tc>
          <w:tcPr>
            <w:tcW w:w="2126" w:type="dxa"/>
            <w:shd w:val="clear" w:color="auto" w:fill="C6EFCE"/>
            <w:tcMar>
              <w:left w:w="108" w:type="dxa"/>
              <w:right w:w="108" w:type="dxa"/>
            </w:tcMar>
            <w:vAlign w:val="center"/>
          </w:tcPr>
          <w:p w14:paraId="0A0ABF27"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5953EE31" w14:textId="77777777" w:rsidR="0057163C" w:rsidRPr="00170422" w:rsidRDefault="00F37BF9">
            <w:pPr>
              <w:pStyle w:val="P68B1DB1-Normal123"/>
              <w:spacing w:after="0" w:line="240" w:lineRule="auto"/>
              <w:rPr>
                <w:noProof/>
                <w:lang w:val="de-DE"/>
              </w:rPr>
            </w:pPr>
            <w:r w:rsidRPr="00170422">
              <w:rPr>
                <w:noProof/>
                <w:lang w:val="de-DE"/>
              </w:rPr>
              <w:t>Es werden zusätzliche Stipendien für</w:t>
            </w:r>
            <w:r w:rsidRPr="00170422">
              <w:rPr>
                <w:noProof/>
                <w:lang w:val="de-DE"/>
              </w:rPr>
              <w:t xml:space="preserve"> eine spezifische Ausbildung in der Allgemeinmedizin vergeben.</w:t>
            </w:r>
          </w:p>
        </w:tc>
      </w:tr>
      <w:tr w:rsidR="0057163C" w:rsidRPr="00170422" w14:paraId="2C27F0E6" w14:textId="77777777" w:rsidTr="0018154D">
        <w:trPr>
          <w:trHeight w:val="300"/>
        </w:trPr>
        <w:tc>
          <w:tcPr>
            <w:tcW w:w="1406" w:type="dxa"/>
            <w:shd w:val="clear" w:color="auto" w:fill="C6EFCE"/>
            <w:tcMar>
              <w:left w:w="108" w:type="dxa"/>
              <w:right w:w="108" w:type="dxa"/>
            </w:tcMar>
            <w:vAlign w:val="center"/>
          </w:tcPr>
          <w:p w14:paraId="205F4215" w14:textId="77777777" w:rsidR="0057163C" w:rsidRPr="00170422" w:rsidRDefault="00F37BF9">
            <w:pPr>
              <w:pStyle w:val="P68B1DB1-Normal121"/>
              <w:spacing w:after="0" w:line="240" w:lineRule="auto"/>
              <w:jc w:val="center"/>
              <w:rPr>
                <w:noProof/>
                <w:lang w:val="de-DE"/>
              </w:rPr>
            </w:pPr>
            <w:r w:rsidRPr="00170422">
              <w:rPr>
                <w:noProof/>
                <w:lang w:val="de-DE"/>
              </w:rPr>
              <w:t>M7-36</w:t>
            </w:r>
          </w:p>
        </w:tc>
        <w:tc>
          <w:tcPr>
            <w:tcW w:w="2268" w:type="dxa"/>
            <w:shd w:val="clear" w:color="auto" w:fill="C6EFCE"/>
            <w:tcMar>
              <w:left w:w="108" w:type="dxa"/>
              <w:right w:w="108" w:type="dxa"/>
            </w:tcMar>
            <w:vAlign w:val="center"/>
          </w:tcPr>
          <w:p w14:paraId="0176EB9C" w14:textId="77777777" w:rsidR="0057163C" w:rsidRPr="00170422" w:rsidRDefault="00F37BF9">
            <w:pPr>
              <w:pStyle w:val="P68B1DB1-Normal121"/>
              <w:spacing w:after="0" w:line="240" w:lineRule="auto"/>
              <w:rPr>
                <w:noProof/>
                <w:lang w:val="de-DE"/>
              </w:rPr>
            </w:pPr>
            <w:r w:rsidRPr="00170422">
              <w:rPr>
                <w:noProof/>
                <w:lang w:val="de-DE"/>
              </w:rPr>
              <w:t>Investition 13: Adriatic Line Phase 1 (Kompressorstation Sulmona und Gaspipeline Sestino-Minerbio)</w:t>
            </w:r>
          </w:p>
        </w:tc>
        <w:tc>
          <w:tcPr>
            <w:tcW w:w="2126" w:type="dxa"/>
            <w:shd w:val="clear" w:color="auto" w:fill="C6EFCE"/>
            <w:tcMar>
              <w:left w:w="108" w:type="dxa"/>
              <w:right w:w="108" w:type="dxa"/>
            </w:tcMar>
            <w:vAlign w:val="center"/>
          </w:tcPr>
          <w:p w14:paraId="4A397A3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A117E53" w14:textId="77777777" w:rsidR="0057163C" w:rsidRPr="00170422" w:rsidRDefault="00F37BF9">
            <w:pPr>
              <w:pStyle w:val="P68B1DB1-Normal121"/>
              <w:spacing w:after="0" w:line="240" w:lineRule="auto"/>
              <w:rPr>
                <w:noProof/>
                <w:lang w:val="de-DE"/>
              </w:rPr>
            </w:pPr>
            <w:r w:rsidRPr="00170422">
              <w:rPr>
                <w:noProof/>
                <w:lang w:val="de-DE"/>
              </w:rPr>
              <w:t>Vergabe öffentlicher Aufträge</w:t>
            </w:r>
          </w:p>
        </w:tc>
      </w:tr>
      <w:tr w:rsidR="0057163C" w:rsidRPr="00170422" w14:paraId="290ED4FB" w14:textId="77777777" w:rsidTr="0018154D">
        <w:trPr>
          <w:trHeight w:val="300"/>
        </w:trPr>
        <w:tc>
          <w:tcPr>
            <w:tcW w:w="1406" w:type="dxa"/>
            <w:shd w:val="clear" w:color="auto" w:fill="C6EFCE"/>
            <w:tcMar>
              <w:left w:w="108" w:type="dxa"/>
              <w:right w:w="108" w:type="dxa"/>
            </w:tcMar>
            <w:vAlign w:val="center"/>
          </w:tcPr>
          <w:p w14:paraId="13516A9E" w14:textId="77777777" w:rsidR="0057163C" w:rsidRPr="00170422" w:rsidRDefault="00F37BF9">
            <w:pPr>
              <w:pStyle w:val="P68B1DB1-Normal121"/>
              <w:spacing w:after="0" w:line="240" w:lineRule="auto"/>
              <w:jc w:val="center"/>
              <w:rPr>
                <w:noProof/>
                <w:lang w:val="de-DE"/>
              </w:rPr>
            </w:pPr>
            <w:r w:rsidRPr="00170422">
              <w:rPr>
                <w:noProof/>
                <w:lang w:val="de-DE"/>
              </w:rPr>
              <w:t>M7-38</w:t>
            </w:r>
          </w:p>
        </w:tc>
        <w:tc>
          <w:tcPr>
            <w:tcW w:w="2268" w:type="dxa"/>
            <w:shd w:val="clear" w:color="auto" w:fill="C6EFCE"/>
            <w:tcMar>
              <w:left w:w="108" w:type="dxa"/>
              <w:right w:w="108" w:type="dxa"/>
            </w:tcMar>
            <w:vAlign w:val="center"/>
          </w:tcPr>
          <w:p w14:paraId="3573F8AE" w14:textId="77777777" w:rsidR="0057163C" w:rsidRPr="00170422" w:rsidRDefault="00F37BF9">
            <w:pPr>
              <w:pStyle w:val="P68B1DB1-Normal121"/>
              <w:spacing w:after="0" w:line="240" w:lineRule="auto"/>
              <w:rPr>
                <w:noProof/>
                <w:lang w:val="de-DE"/>
              </w:rPr>
            </w:pPr>
            <w:r w:rsidRPr="00170422">
              <w:rPr>
                <w:noProof/>
                <w:lang w:val="de-DE"/>
              </w:rPr>
              <w:t xml:space="preserve">Investition 14: Infrastruktur für den </w:t>
            </w:r>
            <w:r w:rsidRPr="00170422">
              <w:rPr>
                <w:noProof/>
                <w:lang w:val="de-DE"/>
              </w:rPr>
              <w:t>grenzüberschreitenden Gasexport</w:t>
            </w:r>
          </w:p>
        </w:tc>
        <w:tc>
          <w:tcPr>
            <w:tcW w:w="2126" w:type="dxa"/>
            <w:shd w:val="clear" w:color="auto" w:fill="C6EFCE"/>
            <w:tcMar>
              <w:left w:w="108" w:type="dxa"/>
              <w:right w:w="108" w:type="dxa"/>
            </w:tcMar>
            <w:vAlign w:val="center"/>
          </w:tcPr>
          <w:p w14:paraId="3D17F76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B7B6CEE" w14:textId="77777777" w:rsidR="0057163C" w:rsidRPr="00170422" w:rsidRDefault="00F37BF9">
            <w:pPr>
              <w:pStyle w:val="P68B1DB1-Normal121"/>
              <w:spacing w:after="0" w:line="240" w:lineRule="auto"/>
              <w:rPr>
                <w:noProof/>
                <w:lang w:val="de-DE"/>
              </w:rPr>
            </w:pPr>
            <w:r w:rsidRPr="00170422">
              <w:rPr>
                <w:noProof/>
                <w:lang w:val="de-DE"/>
              </w:rPr>
              <w:t>Vergabe öffentlicher Aufträge</w:t>
            </w:r>
          </w:p>
        </w:tc>
      </w:tr>
      <w:tr w:rsidR="0057163C" w:rsidRPr="00170422" w14:paraId="04D2AA79" w14:textId="77777777" w:rsidTr="0018154D">
        <w:trPr>
          <w:trHeight w:val="300"/>
        </w:trPr>
        <w:tc>
          <w:tcPr>
            <w:tcW w:w="1406" w:type="dxa"/>
            <w:shd w:val="clear" w:color="auto" w:fill="C6EFCE"/>
            <w:tcMar>
              <w:left w:w="108" w:type="dxa"/>
              <w:right w:w="108" w:type="dxa"/>
            </w:tcMar>
            <w:vAlign w:val="center"/>
          </w:tcPr>
          <w:p w14:paraId="390D77F4"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shd w:val="clear" w:color="auto" w:fill="C6EFCE"/>
            <w:tcMar>
              <w:left w:w="108" w:type="dxa"/>
              <w:right w:w="108" w:type="dxa"/>
            </w:tcMar>
            <w:vAlign w:val="center"/>
          </w:tcPr>
          <w:p w14:paraId="54BF8C27"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126" w:type="dxa"/>
            <w:shd w:val="clear" w:color="auto" w:fill="C6EFCE"/>
            <w:tcMar>
              <w:left w:w="108" w:type="dxa"/>
              <w:right w:w="108" w:type="dxa"/>
            </w:tcMar>
            <w:vAlign w:val="center"/>
          </w:tcPr>
          <w:p w14:paraId="53709D11"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8" w:type="dxa"/>
            <w:shd w:val="clear" w:color="auto" w:fill="C6EFCE"/>
            <w:tcMar>
              <w:left w:w="108" w:type="dxa"/>
              <w:right w:w="108" w:type="dxa"/>
            </w:tcMar>
            <w:vAlign w:val="center"/>
          </w:tcPr>
          <w:p w14:paraId="22467A68"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7908481227 EUR</w:t>
            </w:r>
            <w:r w:rsidRPr="00170422">
              <w:rPr>
                <w:noProof/>
                <w:sz w:val="23"/>
                <w:szCs w:val="23"/>
                <w:lang w:val="de-DE"/>
              </w:rPr>
              <w:t xml:space="preserve">  </w:t>
            </w:r>
          </w:p>
        </w:tc>
      </w:tr>
    </w:tbl>
    <w:p w14:paraId="20E28A66"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2DE42580"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Siebte Tranche (Darlehensunterstützung):</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6"/>
        <w:gridCol w:w="2268"/>
        <w:gridCol w:w="2126"/>
        <w:gridCol w:w="3558"/>
      </w:tblGrid>
      <w:tr w:rsidR="0057163C" w:rsidRPr="00170422" w14:paraId="758E6735" w14:textId="77777777" w:rsidTr="0018154D">
        <w:trPr>
          <w:trHeight w:val="900"/>
          <w:tblHeader/>
        </w:trPr>
        <w:tc>
          <w:tcPr>
            <w:tcW w:w="1406" w:type="dxa"/>
            <w:vMerge w:val="restart"/>
            <w:shd w:val="clear" w:color="auto" w:fill="BDD7EE"/>
            <w:tcMar>
              <w:left w:w="108" w:type="dxa"/>
              <w:right w:w="108" w:type="dxa"/>
            </w:tcMar>
            <w:vAlign w:val="center"/>
          </w:tcPr>
          <w:p w14:paraId="247F6D0E"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268" w:type="dxa"/>
            <w:vMerge w:val="restart"/>
            <w:shd w:val="clear" w:color="auto" w:fill="BDD7EE"/>
            <w:tcMar>
              <w:left w:w="108" w:type="dxa"/>
              <w:right w:w="108" w:type="dxa"/>
            </w:tcMar>
            <w:vAlign w:val="center"/>
          </w:tcPr>
          <w:p w14:paraId="4787657D"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26" w:type="dxa"/>
            <w:vMerge w:val="restart"/>
            <w:shd w:val="clear" w:color="auto" w:fill="BDD7EE"/>
            <w:tcMar>
              <w:left w:w="108" w:type="dxa"/>
              <w:right w:w="108" w:type="dxa"/>
            </w:tcMar>
            <w:vAlign w:val="center"/>
          </w:tcPr>
          <w:p w14:paraId="304D371D"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8" w:type="dxa"/>
            <w:vMerge w:val="restart"/>
            <w:shd w:val="clear" w:color="auto" w:fill="BDD7EE"/>
            <w:tcMar>
              <w:left w:w="108" w:type="dxa"/>
              <w:right w:w="108" w:type="dxa"/>
            </w:tcMar>
            <w:vAlign w:val="center"/>
          </w:tcPr>
          <w:p w14:paraId="1D48310C"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4375487C" w14:textId="77777777" w:rsidTr="0018154D">
        <w:trPr>
          <w:trHeight w:val="510"/>
        </w:trPr>
        <w:tc>
          <w:tcPr>
            <w:tcW w:w="1406" w:type="dxa"/>
            <w:vMerge/>
            <w:vAlign w:val="center"/>
          </w:tcPr>
          <w:p w14:paraId="731A51E3"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vMerge/>
            <w:vAlign w:val="center"/>
          </w:tcPr>
          <w:p w14:paraId="53C4788F"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vAlign w:val="center"/>
          </w:tcPr>
          <w:p w14:paraId="3351F2F9"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8" w:type="dxa"/>
            <w:vMerge/>
            <w:vAlign w:val="center"/>
          </w:tcPr>
          <w:p w14:paraId="69E2F8F2"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263CB4B" w14:textId="77777777" w:rsidTr="0018154D">
        <w:trPr>
          <w:trHeight w:val="300"/>
        </w:trPr>
        <w:tc>
          <w:tcPr>
            <w:tcW w:w="1406" w:type="dxa"/>
            <w:shd w:val="clear" w:color="auto" w:fill="C6EFCE"/>
            <w:tcMar>
              <w:left w:w="108" w:type="dxa"/>
              <w:right w:w="108" w:type="dxa"/>
            </w:tcMar>
            <w:vAlign w:val="center"/>
          </w:tcPr>
          <w:p w14:paraId="056A9E75" w14:textId="77777777" w:rsidR="0057163C" w:rsidRPr="00170422" w:rsidRDefault="00F37BF9">
            <w:pPr>
              <w:pStyle w:val="P68B1DB1-Normal121"/>
              <w:spacing w:after="0" w:line="240" w:lineRule="auto"/>
              <w:jc w:val="center"/>
              <w:rPr>
                <w:noProof/>
                <w:lang w:val="de-DE"/>
              </w:rPr>
            </w:pPr>
            <w:r w:rsidRPr="00170422">
              <w:rPr>
                <w:noProof/>
                <w:lang w:val="de-DE"/>
              </w:rPr>
              <w:t>M1C1-139</w:t>
            </w:r>
          </w:p>
        </w:tc>
        <w:tc>
          <w:tcPr>
            <w:tcW w:w="2268" w:type="dxa"/>
            <w:shd w:val="clear" w:color="auto" w:fill="C6EFCE"/>
            <w:tcMar>
              <w:left w:w="108" w:type="dxa"/>
              <w:right w:w="108" w:type="dxa"/>
            </w:tcMar>
            <w:vAlign w:val="center"/>
          </w:tcPr>
          <w:p w14:paraId="664DA713" w14:textId="77777777" w:rsidR="0057163C" w:rsidRPr="00170422" w:rsidRDefault="00F37BF9">
            <w:pPr>
              <w:pStyle w:val="P68B1DB1-Normal121"/>
              <w:spacing w:after="0" w:line="240" w:lineRule="auto"/>
              <w:rPr>
                <w:noProof/>
                <w:lang w:val="de-DE"/>
              </w:rPr>
            </w:pPr>
            <w:r w:rsidRPr="00170422">
              <w:rPr>
                <w:noProof/>
                <w:lang w:val="de-DE"/>
              </w:rPr>
              <w:t>Investition 1.2 – Cloud-Ermöglichung für lokale PA</w:t>
            </w:r>
          </w:p>
        </w:tc>
        <w:tc>
          <w:tcPr>
            <w:tcW w:w="2126" w:type="dxa"/>
            <w:shd w:val="clear" w:color="auto" w:fill="C6EFCE"/>
            <w:tcMar>
              <w:left w:w="108" w:type="dxa"/>
              <w:right w:w="108" w:type="dxa"/>
            </w:tcMar>
            <w:vAlign w:val="center"/>
          </w:tcPr>
          <w:p w14:paraId="4C0F631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5582A84" w14:textId="77777777" w:rsidR="0057163C" w:rsidRPr="00170422" w:rsidRDefault="00F37BF9">
            <w:pPr>
              <w:pStyle w:val="P68B1DB1-Normal121"/>
              <w:spacing w:after="0" w:line="240" w:lineRule="auto"/>
              <w:rPr>
                <w:noProof/>
                <w:lang w:val="de-DE"/>
              </w:rPr>
            </w:pPr>
            <w:r w:rsidRPr="00170422">
              <w:rPr>
                <w:noProof/>
                <w:lang w:val="de-DE"/>
              </w:rPr>
              <w:t>Cloud-Ermöglichung für die lokale öffentliche Verwaltung T1</w:t>
            </w:r>
          </w:p>
        </w:tc>
      </w:tr>
      <w:tr w:rsidR="0057163C" w:rsidRPr="00170422" w14:paraId="73797587" w14:textId="77777777" w:rsidTr="0018154D">
        <w:trPr>
          <w:trHeight w:val="300"/>
        </w:trPr>
        <w:tc>
          <w:tcPr>
            <w:tcW w:w="1406" w:type="dxa"/>
            <w:shd w:val="clear" w:color="auto" w:fill="C6EFCE"/>
            <w:tcMar>
              <w:left w:w="108" w:type="dxa"/>
              <w:right w:w="108" w:type="dxa"/>
            </w:tcMar>
            <w:vAlign w:val="center"/>
          </w:tcPr>
          <w:p w14:paraId="697ABEB5" w14:textId="77777777" w:rsidR="0057163C" w:rsidRPr="00170422" w:rsidRDefault="00F37BF9">
            <w:pPr>
              <w:pStyle w:val="P68B1DB1-Normal121"/>
              <w:spacing w:after="0" w:line="240" w:lineRule="auto"/>
              <w:jc w:val="center"/>
              <w:rPr>
                <w:noProof/>
                <w:lang w:val="de-DE"/>
              </w:rPr>
            </w:pPr>
            <w:r w:rsidRPr="00170422">
              <w:rPr>
                <w:noProof/>
                <w:lang w:val="de-DE"/>
              </w:rPr>
              <w:t>M2C2-25</w:t>
            </w:r>
          </w:p>
        </w:tc>
        <w:tc>
          <w:tcPr>
            <w:tcW w:w="2268" w:type="dxa"/>
            <w:shd w:val="clear" w:color="auto" w:fill="C6EFCE"/>
            <w:tcMar>
              <w:left w:w="108" w:type="dxa"/>
              <w:right w:w="108" w:type="dxa"/>
            </w:tcMar>
            <w:vAlign w:val="center"/>
          </w:tcPr>
          <w:p w14:paraId="24F30404" w14:textId="77777777" w:rsidR="0057163C" w:rsidRPr="00170422" w:rsidRDefault="00F37BF9">
            <w:pPr>
              <w:pStyle w:val="P68B1DB1-Normal121"/>
              <w:spacing w:after="0" w:line="240" w:lineRule="auto"/>
              <w:rPr>
                <w:noProof/>
                <w:lang w:val="de-DE"/>
              </w:rPr>
            </w:pPr>
            <w:r w:rsidRPr="00170422">
              <w:rPr>
                <w:noProof/>
                <w:lang w:val="de-DE"/>
              </w:rPr>
              <w:t xml:space="preserve">Investition 4.2 Entwicklung schneller Massentransportsysteme </w:t>
            </w:r>
          </w:p>
        </w:tc>
        <w:tc>
          <w:tcPr>
            <w:tcW w:w="2126" w:type="dxa"/>
            <w:shd w:val="clear" w:color="auto" w:fill="C6EFCE"/>
            <w:tcMar>
              <w:left w:w="108" w:type="dxa"/>
              <w:right w:w="108" w:type="dxa"/>
            </w:tcMar>
            <w:vAlign w:val="center"/>
          </w:tcPr>
          <w:p w14:paraId="19EDD44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3F4DAC4" w14:textId="77777777" w:rsidR="0057163C" w:rsidRPr="00170422" w:rsidRDefault="00F37BF9">
            <w:pPr>
              <w:pStyle w:val="P68B1DB1-Normal122"/>
              <w:spacing w:after="0" w:line="240" w:lineRule="auto"/>
              <w:rPr>
                <w:noProof/>
                <w:lang w:val="de-DE"/>
              </w:rPr>
            </w:pPr>
            <w:r w:rsidRPr="00170422">
              <w:rPr>
                <w:noProof/>
                <w:color w:val="006100"/>
                <w:lang w:val="de-DE"/>
              </w:rPr>
              <w:t>Vergabe</w:t>
            </w:r>
            <w:r w:rsidRPr="00170422">
              <w:rPr>
                <w:noProof/>
                <w:color w:val="000000"/>
                <w:lang w:val="de-DE"/>
              </w:rPr>
              <w:t xml:space="preserve"> </w:t>
            </w:r>
            <w:r w:rsidRPr="00170422">
              <w:rPr>
                <w:noProof/>
                <w:color w:val="006100"/>
                <w:lang w:val="de-DE"/>
              </w:rPr>
              <w:t xml:space="preserve">aller öffentlichen Aufträge für die </w:t>
            </w:r>
            <w:r w:rsidRPr="00170422">
              <w:rPr>
                <w:noProof/>
                <w:color w:val="006100"/>
                <w:lang w:val="de-DE"/>
              </w:rPr>
              <w:t>Beschaffung emissionsfreier Fahrzeuge und Maßnahmen zur Modernisierung der Infrastruktur von schnellen Massentransportsystemen</w:t>
            </w:r>
          </w:p>
        </w:tc>
      </w:tr>
      <w:tr w:rsidR="0057163C" w:rsidRPr="00170422" w14:paraId="1A5F5993" w14:textId="77777777" w:rsidTr="0018154D">
        <w:trPr>
          <w:trHeight w:val="300"/>
        </w:trPr>
        <w:tc>
          <w:tcPr>
            <w:tcW w:w="1406" w:type="dxa"/>
            <w:shd w:val="clear" w:color="auto" w:fill="C6EFCE"/>
            <w:tcMar>
              <w:left w:w="108" w:type="dxa"/>
              <w:right w:w="108" w:type="dxa"/>
            </w:tcMar>
            <w:vAlign w:val="center"/>
          </w:tcPr>
          <w:p w14:paraId="159EC491" w14:textId="77777777" w:rsidR="0057163C" w:rsidRPr="00170422" w:rsidRDefault="00F37BF9">
            <w:pPr>
              <w:pStyle w:val="P68B1DB1-Normal121"/>
              <w:spacing w:after="0" w:line="240" w:lineRule="auto"/>
              <w:jc w:val="center"/>
              <w:rPr>
                <w:noProof/>
                <w:lang w:val="de-DE"/>
              </w:rPr>
            </w:pPr>
            <w:r w:rsidRPr="00170422">
              <w:rPr>
                <w:noProof/>
                <w:lang w:val="de-DE"/>
              </w:rPr>
              <w:t>M2C4-11</w:t>
            </w:r>
          </w:p>
        </w:tc>
        <w:tc>
          <w:tcPr>
            <w:tcW w:w="2268" w:type="dxa"/>
            <w:shd w:val="clear" w:color="auto" w:fill="C6EFCE"/>
            <w:tcMar>
              <w:left w:w="108" w:type="dxa"/>
              <w:right w:w="108" w:type="dxa"/>
            </w:tcMar>
            <w:vAlign w:val="center"/>
          </w:tcPr>
          <w:p w14:paraId="06E7A05B" w14:textId="77777777" w:rsidR="0057163C" w:rsidRPr="00170422" w:rsidRDefault="00F37BF9">
            <w:pPr>
              <w:pStyle w:val="P68B1DB1-Normal121"/>
              <w:spacing w:after="0" w:line="240" w:lineRule="auto"/>
              <w:rPr>
                <w:noProof/>
                <w:lang w:val="de-DE"/>
              </w:rPr>
            </w:pPr>
            <w:r w:rsidRPr="00170422">
              <w:rPr>
                <w:noProof/>
                <w:lang w:val="de-DE"/>
              </w:rPr>
              <w:t>Investition 2.1.a Maßnahmen zur Verringerung des Hochwasserrisikos und des hydrogeologischen Risikos – Interventionen in</w:t>
            </w:r>
            <w:r w:rsidRPr="00170422">
              <w:rPr>
                <w:noProof/>
                <w:lang w:val="de-DE"/>
              </w:rPr>
              <w:t xml:space="preserve"> der Emilia-Romagna, Toskana und Marken</w:t>
            </w:r>
          </w:p>
        </w:tc>
        <w:tc>
          <w:tcPr>
            <w:tcW w:w="2126" w:type="dxa"/>
            <w:shd w:val="clear" w:color="auto" w:fill="C6EFCE"/>
            <w:tcMar>
              <w:left w:w="108" w:type="dxa"/>
              <w:right w:w="108" w:type="dxa"/>
            </w:tcMar>
            <w:vAlign w:val="center"/>
          </w:tcPr>
          <w:p w14:paraId="7EFF86F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BE8BB1F" w14:textId="77777777" w:rsidR="0057163C" w:rsidRPr="00170422" w:rsidRDefault="00F37BF9">
            <w:pPr>
              <w:pStyle w:val="P68B1DB1-Normal121"/>
              <w:spacing w:after="0" w:line="240" w:lineRule="auto"/>
              <w:rPr>
                <w:noProof/>
                <w:lang w:val="de-DE"/>
              </w:rPr>
            </w:pPr>
            <w:r w:rsidRPr="00170422">
              <w:rPr>
                <w:noProof/>
                <w:lang w:val="de-DE"/>
              </w:rPr>
              <w:t>Ermittlung der Interventionen durch Verordnung(en) des Notstandskommissars</w:t>
            </w:r>
          </w:p>
        </w:tc>
      </w:tr>
      <w:tr w:rsidR="0057163C" w:rsidRPr="00170422" w14:paraId="4EC85EB6" w14:textId="77777777" w:rsidTr="0018154D">
        <w:trPr>
          <w:trHeight w:val="300"/>
        </w:trPr>
        <w:tc>
          <w:tcPr>
            <w:tcW w:w="1406" w:type="dxa"/>
            <w:shd w:val="clear" w:color="auto" w:fill="C6EFCE"/>
            <w:tcMar>
              <w:left w:w="108" w:type="dxa"/>
              <w:right w:w="108" w:type="dxa"/>
            </w:tcMar>
            <w:vAlign w:val="center"/>
          </w:tcPr>
          <w:p w14:paraId="56FC108D" w14:textId="77777777" w:rsidR="0057163C" w:rsidRPr="00170422" w:rsidRDefault="00F37BF9">
            <w:pPr>
              <w:pStyle w:val="P68B1DB1-Normal121"/>
              <w:spacing w:after="0" w:line="240" w:lineRule="auto"/>
              <w:jc w:val="center"/>
              <w:rPr>
                <w:noProof/>
                <w:lang w:val="de-DE"/>
              </w:rPr>
            </w:pPr>
            <w:r w:rsidRPr="00170422">
              <w:rPr>
                <w:noProof/>
                <w:lang w:val="de-DE"/>
              </w:rPr>
              <w:t>M7-46</w:t>
            </w:r>
          </w:p>
        </w:tc>
        <w:tc>
          <w:tcPr>
            <w:tcW w:w="2268" w:type="dxa"/>
            <w:shd w:val="clear" w:color="auto" w:fill="C6EFCE"/>
            <w:tcMar>
              <w:left w:w="108" w:type="dxa"/>
              <w:right w:w="108" w:type="dxa"/>
            </w:tcMar>
            <w:vAlign w:val="center"/>
          </w:tcPr>
          <w:p w14:paraId="1F13DB40" w14:textId="77777777" w:rsidR="0057163C" w:rsidRPr="00170422" w:rsidRDefault="00F37BF9">
            <w:pPr>
              <w:pStyle w:val="P68B1DB1-Normal121"/>
              <w:spacing w:after="0" w:line="240" w:lineRule="auto"/>
              <w:rPr>
                <w:noProof/>
                <w:lang w:val="de-DE"/>
              </w:rPr>
            </w:pPr>
            <w:r w:rsidRPr="00170422">
              <w:rPr>
                <w:noProof/>
                <w:lang w:val="de-DE"/>
              </w:rPr>
              <w:t>Investition 17: Finanzinstrument für die energetische Sanierung öffentlicher Wohngebäude</w:t>
            </w:r>
          </w:p>
        </w:tc>
        <w:tc>
          <w:tcPr>
            <w:tcW w:w="2126" w:type="dxa"/>
            <w:shd w:val="clear" w:color="auto" w:fill="C6EFCE"/>
            <w:tcMar>
              <w:left w:w="108" w:type="dxa"/>
              <w:right w:w="108" w:type="dxa"/>
            </w:tcMar>
            <w:vAlign w:val="center"/>
          </w:tcPr>
          <w:p w14:paraId="57CEDA8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5A324D2" w14:textId="77777777" w:rsidR="0057163C" w:rsidRPr="00170422" w:rsidRDefault="00F37BF9">
            <w:pPr>
              <w:pStyle w:val="P68B1DB1-Normal121"/>
              <w:spacing w:after="0" w:line="240" w:lineRule="auto"/>
              <w:rPr>
                <w:noProof/>
                <w:lang w:val="de-DE"/>
              </w:rPr>
            </w:pPr>
            <w:r w:rsidRPr="00170422">
              <w:rPr>
                <w:noProof/>
                <w:lang w:val="de-DE"/>
              </w:rPr>
              <w:t xml:space="preserve">Festlegung des Ziels </w:t>
            </w:r>
            <w:r w:rsidRPr="00170422">
              <w:rPr>
                <w:noProof/>
                <w:lang w:val="de-DE"/>
              </w:rPr>
              <w:t>der Leistungsbeschreibung</w:t>
            </w:r>
          </w:p>
        </w:tc>
      </w:tr>
      <w:tr w:rsidR="0057163C" w:rsidRPr="00170422" w14:paraId="2051B19A" w14:textId="77777777" w:rsidTr="0018154D">
        <w:trPr>
          <w:trHeight w:val="300"/>
        </w:trPr>
        <w:tc>
          <w:tcPr>
            <w:tcW w:w="1406" w:type="dxa"/>
            <w:shd w:val="clear" w:color="auto" w:fill="C6EFCE"/>
            <w:tcMar>
              <w:left w:w="108" w:type="dxa"/>
              <w:right w:w="108" w:type="dxa"/>
            </w:tcMar>
            <w:vAlign w:val="center"/>
          </w:tcPr>
          <w:p w14:paraId="77E63E76" w14:textId="77777777" w:rsidR="0057163C" w:rsidRPr="00170422" w:rsidRDefault="00F37BF9">
            <w:pPr>
              <w:pStyle w:val="P68B1DB1-Normal121"/>
              <w:spacing w:after="0" w:line="240" w:lineRule="auto"/>
              <w:jc w:val="center"/>
              <w:rPr>
                <w:noProof/>
                <w:lang w:val="de-DE"/>
              </w:rPr>
            </w:pPr>
            <w:r w:rsidRPr="00170422">
              <w:rPr>
                <w:noProof/>
                <w:lang w:val="de-DE"/>
              </w:rPr>
              <w:t>M1C1-140</w:t>
            </w:r>
          </w:p>
        </w:tc>
        <w:tc>
          <w:tcPr>
            <w:tcW w:w="2268" w:type="dxa"/>
            <w:shd w:val="clear" w:color="auto" w:fill="C6EFCE"/>
            <w:tcMar>
              <w:left w:w="108" w:type="dxa"/>
              <w:right w:w="108" w:type="dxa"/>
            </w:tcMar>
            <w:vAlign w:val="center"/>
          </w:tcPr>
          <w:p w14:paraId="56F7269B" w14:textId="77777777" w:rsidR="0057163C" w:rsidRPr="00170422" w:rsidRDefault="00F37BF9">
            <w:pPr>
              <w:pStyle w:val="P68B1DB1-Normal121"/>
              <w:spacing w:after="0" w:line="240" w:lineRule="auto"/>
              <w:rPr>
                <w:noProof/>
                <w:lang w:val="de-DE"/>
              </w:rPr>
            </w:pPr>
            <w:r w:rsidRPr="00170422">
              <w:rPr>
                <w:noProof/>
                <w:lang w:val="de-DE"/>
              </w:rPr>
              <w:t>Investition 1.4.1 – Bürgererfahrung – Verbesserung der Qualität und Nutzbarkeit digitaler öffentlicher Dienste</w:t>
            </w:r>
          </w:p>
        </w:tc>
        <w:tc>
          <w:tcPr>
            <w:tcW w:w="2126" w:type="dxa"/>
            <w:shd w:val="clear" w:color="auto" w:fill="C6EFCE"/>
            <w:tcMar>
              <w:left w:w="108" w:type="dxa"/>
              <w:right w:w="108" w:type="dxa"/>
            </w:tcMar>
            <w:vAlign w:val="center"/>
          </w:tcPr>
          <w:p w14:paraId="6290FE5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F796CD9" w14:textId="77777777" w:rsidR="0057163C" w:rsidRPr="00170422" w:rsidRDefault="00F37BF9">
            <w:pPr>
              <w:pStyle w:val="P68B1DB1-Normal121"/>
              <w:spacing w:after="0" w:line="240" w:lineRule="auto"/>
              <w:rPr>
                <w:noProof/>
                <w:lang w:val="de-DE"/>
              </w:rPr>
            </w:pPr>
            <w:r w:rsidRPr="00170422">
              <w:rPr>
                <w:noProof/>
                <w:lang w:val="de-DE"/>
              </w:rPr>
              <w:t>Verbesserung der Qualität und Nutzbarkeit digitaler öffentlicher Dienste T1</w:t>
            </w:r>
          </w:p>
        </w:tc>
      </w:tr>
      <w:tr w:rsidR="0057163C" w:rsidRPr="00170422" w14:paraId="144346FB" w14:textId="77777777" w:rsidTr="0018154D">
        <w:trPr>
          <w:trHeight w:val="300"/>
        </w:trPr>
        <w:tc>
          <w:tcPr>
            <w:tcW w:w="1406" w:type="dxa"/>
            <w:shd w:val="clear" w:color="auto" w:fill="C6EFCE"/>
            <w:tcMar>
              <w:left w:w="108" w:type="dxa"/>
              <w:right w:w="108" w:type="dxa"/>
            </w:tcMar>
            <w:vAlign w:val="center"/>
          </w:tcPr>
          <w:p w14:paraId="791722A7" w14:textId="77777777" w:rsidR="0057163C" w:rsidRPr="00170422" w:rsidRDefault="00F37BF9">
            <w:pPr>
              <w:pStyle w:val="P68B1DB1-Normal121"/>
              <w:spacing w:after="0" w:line="240" w:lineRule="auto"/>
              <w:jc w:val="center"/>
              <w:rPr>
                <w:noProof/>
                <w:lang w:val="de-DE"/>
              </w:rPr>
            </w:pPr>
            <w:r w:rsidRPr="00170422">
              <w:rPr>
                <w:noProof/>
                <w:lang w:val="de-DE"/>
              </w:rPr>
              <w:t>M1C1-141</w:t>
            </w:r>
          </w:p>
        </w:tc>
        <w:tc>
          <w:tcPr>
            <w:tcW w:w="2268" w:type="dxa"/>
            <w:shd w:val="clear" w:color="auto" w:fill="C6EFCE"/>
            <w:tcMar>
              <w:left w:w="108" w:type="dxa"/>
              <w:right w:w="108" w:type="dxa"/>
            </w:tcMar>
            <w:vAlign w:val="center"/>
          </w:tcPr>
          <w:p w14:paraId="07996C57" w14:textId="77777777" w:rsidR="0057163C" w:rsidRPr="00170422" w:rsidRDefault="00F37BF9">
            <w:pPr>
              <w:pStyle w:val="P68B1DB1-Normal121"/>
              <w:spacing w:after="0" w:line="240" w:lineRule="auto"/>
              <w:rPr>
                <w:noProof/>
                <w:lang w:val="de-DE"/>
              </w:rPr>
            </w:pPr>
            <w:r w:rsidRPr="00170422">
              <w:rPr>
                <w:noProof/>
                <w:lang w:val="de-DE"/>
              </w:rPr>
              <w:t xml:space="preserve">Investition 1.6.4 </w:t>
            </w:r>
            <w:r w:rsidRPr="00170422">
              <w:rPr>
                <w:noProof/>
                <w:lang w:val="de-DE"/>
              </w:rPr>
              <w:t>– Digitalisierung des Verteidigungsministeriums</w:t>
            </w:r>
          </w:p>
        </w:tc>
        <w:tc>
          <w:tcPr>
            <w:tcW w:w="2126" w:type="dxa"/>
            <w:shd w:val="clear" w:color="auto" w:fill="C6EFCE"/>
            <w:tcMar>
              <w:left w:w="108" w:type="dxa"/>
              <w:right w:w="108" w:type="dxa"/>
            </w:tcMar>
            <w:vAlign w:val="center"/>
          </w:tcPr>
          <w:p w14:paraId="23DDE8E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33C883D" w14:textId="77777777" w:rsidR="0057163C" w:rsidRPr="00170422" w:rsidRDefault="00F37BF9">
            <w:pPr>
              <w:pStyle w:val="P68B1DB1-Normal121"/>
              <w:spacing w:after="0" w:line="240" w:lineRule="auto"/>
              <w:rPr>
                <w:noProof/>
                <w:lang w:val="de-DE"/>
              </w:rPr>
            </w:pPr>
            <w:r w:rsidRPr="00170422">
              <w:rPr>
                <w:noProof/>
                <w:lang w:val="de-DE"/>
              </w:rPr>
              <w:t>Digitalisierung der Verfahren des Verteidigungsministeriums T2</w:t>
            </w:r>
          </w:p>
        </w:tc>
      </w:tr>
      <w:tr w:rsidR="0057163C" w:rsidRPr="00170422" w14:paraId="4B8F99A1" w14:textId="77777777" w:rsidTr="0018154D">
        <w:trPr>
          <w:trHeight w:val="300"/>
        </w:trPr>
        <w:tc>
          <w:tcPr>
            <w:tcW w:w="1406" w:type="dxa"/>
            <w:shd w:val="clear" w:color="auto" w:fill="C6EFCE"/>
            <w:tcMar>
              <w:left w:w="108" w:type="dxa"/>
              <w:right w:w="108" w:type="dxa"/>
            </w:tcMar>
            <w:vAlign w:val="center"/>
          </w:tcPr>
          <w:p w14:paraId="7406D536" w14:textId="77777777" w:rsidR="0057163C" w:rsidRPr="00170422" w:rsidRDefault="00F37BF9">
            <w:pPr>
              <w:pStyle w:val="P68B1DB1-Normal121"/>
              <w:spacing w:after="0" w:line="240" w:lineRule="auto"/>
              <w:jc w:val="center"/>
              <w:rPr>
                <w:noProof/>
                <w:lang w:val="de-DE"/>
              </w:rPr>
            </w:pPr>
            <w:r w:rsidRPr="00170422">
              <w:rPr>
                <w:noProof/>
                <w:lang w:val="de-DE"/>
              </w:rPr>
              <w:t>M1C1-142</w:t>
            </w:r>
          </w:p>
        </w:tc>
        <w:tc>
          <w:tcPr>
            <w:tcW w:w="2268" w:type="dxa"/>
            <w:shd w:val="clear" w:color="auto" w:fill="C6EFCE"/>
            <w:tcMar>
              <w:left w:w="108" w:type="dxa"/>
              <w:right w:w="108" w:type="dxa"/>
            </w:tcMar>
            <w:vAlign w:val="center"/>
          </w:tcPr>
          <w:p w14:paraId="452E6424" w14:textId="77777777" w:rsidR="0057163C" w:rsidRPr="00170422" w:rsidRDefault="00F37BF9">
            <w:pPr>
              <w:pStyle w:val="P68B1DB1-Normal121"/>
              <w:spacing w:after="0" w:line="240" w:lineRule="auto"/>
              <w:rPr>
                <w:noProof/>
                <w:lang w:val="de-DE"/>
              </w:rPr>
            </w:pPr>
            <w:r w:rsidRPr="00170422">
              <w:rPr>
                <w:noProof/>
                <w:lang w:val="de-DE"/>
              </w:rPr>
              <w:t>Investition 1.6.4 – Digitalisierung des Verteidigungsministeriums</w:t>
            </w:r>
          </w:p>
        </w:tc>
        <w:tc>
          <w:tcPr>
            <w:tcW w:w="2126" w:type="dxa"/>
            <w:shd w:val="clear" w:color="auto" w:fill="C6EFCE"/>
            <w:tcMar>
              <w:left w:w="108" w:type="dxa"/>
              <w:right w:w="108" w:type="dxa"/>
            </w:tcMar>
            <w:vAlign w:val="center"/>
          </w:tcPr>
          <w:p w14:paraId="1FC485B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514B29CE" w14:textId="77777777" w:rsidR="0057163C" w:rsidRPr="00170422" w:rsidRDefault="00F37BF9">
            <w:pPr>
              <w:pStyle w:val="P68B1DB1-Normal121"/>
              <w:spacing w:after="0" w:line="240" w:lineRule="auto"/>
              <w:rPr>
                <w:noProof/>
                <w:lang w:val="de-DE"/>
              </w:rPr>
            </w:pPr>
            <w:r w:rsidRPr="00170422">
              <w:rPr>
                <w:noProof/>
                <w:lang w:val="de-DE"/>
              </w:rPr>
              <w:t>Digitalisierung der Zertifikate des Verteidigungsministeriu</w:t>
            </w:r>
            <w:r w:rsidRPr="00170422">
              <w:rPr>
                <w:noProof/>
                <w:lang w:val="de-DE"/>
              </w:rPr>
              <w:t>ms T2</w:t>
            </w:r>
          </w:p>
        </w:tc>
      </w:tr>
      <w:tr w:rsidR="0057163C" w:rsidRPr="00170422" w14:paraId="1C259CF6" w14:textId="77777777" w:rsidTr="0018154D">
        <w:trPr>
          <w:trHeight w:val="300"/>
        </w:trPr>
        <w:tc>
          <w:tcPr>
            <w:tcW w:w="1406" w:type="dxa"/>
            <w:shd w:val="clear" w:color="auto" w:fill="C6EFCE"/>
            <w:tcMar>
              <w:left w:w="108" w:type="dxa"/>
              <w:right w:w="108" w:type="dxa"/>
            </w:tcMar>
            <w:vAlign w:val="center"/>
          </w:tcPr>
          <w:p w14:paraId="5F058E80" w14:textId="77777777" w:rsidR="0057163C" w:rsidRPr="00170422" w:rsidRDefault="00F37BF9">
            <w:pPr>
              <w:pStyle w:val="P68B1DB1-Normal121"/>
              <w:spacing w:after="0" w:line="240" w:lineRule="auto"/>
              <w:jc w:val="center"/>
              <w:rPr>
                <w:noProof/>
                <w:lang w:val="de-DE"/>
              </w:rPr>
            </w:pPr>
            <w:r w:rsidRPr="00170422">
              <w:rPr>
                <w:noProof/>
                <w:lang w:val="de-DE"/>
              </w:rPr>
              <w:t>M1C1-143</w:t>
            </w:r>
          </w:p>
        </w:tc>
        <w:tc>
          <w:tcPr>
            <w:tcW w:w="2268" w:type="dxa"/>
            <w:shd w:val="clear" w:color="auto" w:fill="C6EFCE"/>
            <w:tcMar>
              <w:left w:w="108" w:type="dxa"/>
              <w:right w:w="108" w:type="dxa"/>
            </w:tcMar>
            <w:vAlign w:val="center"/>
          </w:tcPr>
          <w:p w14:paraId="7338BC9B" w14:textId="77777777" w:rsidR="0057163C" w:rsidRPr="00170422" w:rsidRDefault="00F37BF9">
            <w:pPr>
              <w:pStyle w:val="P68B1DB1-Normal121"/>
              <w:spacing w:after="0" w:line="240" w:lineRule="auto"/>
              <w:rPr>
                <w:noProof/>
                <w:lang w:val="de-DE"/>
              </w:rPr>
            </w:pPr>
            <w:r w:rsidRPr="00170422">
              <w:rPr>
                <w:noProof/>
                <w:lang w:val="de-DE"/>
              </w:rPr>
              <w:t>Investition 1.6.4 – Digitalisierung des Verteidigungsministeriums</w:t>
            </w:r>
          </w:p>
        </w:tc>
        <w:tc>
          <w:tcPr>
            <w:tcW w:w="2126" w:type="dxa"/>
            <w:shd w:val="clear" w:color="auto" w:fill="C6EFCE"/>
            <w:tcMar>
              <w:left w:w="108" w:type="dxa"/>
              <w:right w:w="108" w:type="dxa"/>
            </w:tcMar>
            <w:vAlign w:val="center"/>
          </w:tcPr>
          <w:p w14:paraId="62A88D0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77373628" w14:textId="77777777" w:rsidR="0057163C" w:rsidRPr="00170422" w:rsidRDefault="00F37BF9">
            <w:pPr>
              <w:pStyle w:val="P68B1DB1-Normal121"/>
              <w:spacing w:after="0" w:line="240" w:lineRule="auto"/>
              <w:rPr>
                <w:noProof/>
                <w:lang w:val="de-DE"/>
              </w:rPr>
            </w:pPr>
            <w:r w:rsidRPr="00170422">
              <w:rPr>
                <w:noProof/>
                <w:lang w:val="de-DE"/>
              </w:rPr>
              <w:t xml:space="preserve">Verteidigungsministerium – Migration von für die Mission kritischen und nicht missionskritischen Anwendungen zur Lösung des vollständigen Informationsschutzes durch </w:t>
            </w:r>
            <w:r w:rsidRPr="00170422">
              <w:rPr>
                <w:noProof/>
                <w:lang w:val="de-DE"/>
              </w:rPr>
              <w:t>Infrastrukturoffenheit (S.C.I.P.I.O.) T2</w:t>
            </w:r>
          </w:p>
        </w:tc>
      </w:tr>
      <w:tr w:rsidR="0057163C" w:rsidRPr="00170422" w14:paraId="35849683" w14:textId="77777777" w:rsidTr="0018154D">
        <w:trPr>
          <w:trHeight w:val="300"/>
        </w:trPr>
        <w:tc>
          <w:tcPr>
            <w:tcW w:w="1406" w:type="dxa"/>
            <w:shd w:val="clear" w:color="auto" w:fill="C6EFCE"/>
            <w:tcMar>
              <w:left w:w="108" w:type="dxa"/>
              <w:right w:w="108" w:type="dxa"/>
            </w:tcMar>
            <w:vAlign w:val="center"/>
          </w:tcPr>
          <w:p w14:paraId="6A0349BA" w14:textId="77777777" w:rsidR="0057163C" w:rsidRPr="00170422" w:rsidRDefault="00F37BF9">
            <w:pPr>
              <w:pStyle w:val="P68B1DB1-Normal121"/>
              <w:spacing w:after="0" w:line="240" w:lineRule="auto"/>
              <w:jc w:val="center"/>
              <w:rPr>
                <w:noProof/>
                <w:lang w:val="de-DE"/>
              </w:rPr>
            </w:pPr>
            <w:r w:rsidRPr="00170422">
              <w:rPr>
                <w:noProof/>
                <w:lang w:val="de-DE"/>
              </w:rPr>
              <w:t>M1C2-19</w:t>
            </w:r>
          </w:p>
        </w:tc>
        <w:tc>
          <w:tcPr>
            <w:tcW w:w="2268" w:type="dxa"/>
            <w:shd w:val="clear" w:color="auto" w:fill="C6EFCE"/>
            <w:tcMar>
              <w:left w:w="108" w:type="dxa"/>
              <w:right w:w="108" w:type="dxa"/>
            </w:tcMar>
            <w:vAlign w:val="center"/>
          </w:tcPr>
          <w:p w14:paraId="1B3065E6" w14:textId="77777777" w:rsidR="0057163C" w:rsidRPr="00170422" w:rsidRDefault="00F37BF9">
            <w:pPr>
              <w:pStyle w:val="P68B1DB1-Normal121"/>
              <w:spacing w:after="0" w:line="240" w:lineRule="auto"/>
              <w:rPr>
                <w:noProof/>
                <w:lang w:val="de-DE"/>
              </w:rPr>
            </w:pPr>
            <w:r w:rsidRPr="00170422">
              <w:rPr>
                <w:noProof/>
                <w:lang w:val="de-DE"/>
              </w:rPr>
              <w:t>Investition 3: Wissenschaftsexzellenz. Schnelle Internetverbindungen (Ultrabreitband und 5G)</w:t>
            </w:r>
          </w:p>
        </w:tc>
        <w:tc>
          <w:tcPr>
            <w:tcW w:w="2126" w:type="dxa"/>
            <w:shd w:val="clear" w:color="auto" w:fill="C6EFCE"/>
            <w:tcMar>
              <w:left w:w="108" w:type="dxa"/>
              <w:right w:w="108" w:type="dxa"/>
            </w:tcMar>
            <w:vAlign w:val="center"/>
          </w:tcPr>
          <w:p w14:paraId="2AC1EFA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D140EB1" w14:textId="77777777" w:rsidR="0057163C" w:rsidRPr="00170422" w:rsidRDefault="00F37BF9">
            <w:pPr>
              <w:pStyle w:val="P68B1DB1-Normal121"/>
              <w:spacing w:after="0" w:line="240" w:lineRule="auto"/>
              <w:rPr>
                <w:noProof/>
                <w:lang w:val="de-DE"/>
              </w:rPr>
            </w:pPr>
            <w:r w:rsidRPr="00170422">
              <w:rPr>
                <w:noProof/>
                <w:lang w:val="de-DE"/>
              </w:rPr>
              <w:t>Inseln mit Ultrabreitbandanbindung</w:t>
            </w:r>
          </w:p>
        </w:tc>
      </w:tr>
      <w:tr w:rsidR="0057163C" w:rsidRPr="00170422" w14:paraId="53698349" w14:textId="77777777" w:rsidTr="0018154D">
        <w:trPr>
          <w:trHeight w:val="300"/>
        </w:trPr>
        <w:tc>
          <w:tcPr>
            <w:tcW w:w="1406" w:type="dxa"/>
            <w:shd w:val="clear" w:color="auto" w:fill="C6EFCE"/>
            <w:tcMar>
              <w:left w:w="108" w:type="dxa"/>
              <w:right w:w="108" w:type="dxa"/>
            </w:tcMar>
            <w:vAlign w:val="center"/>
          </w:tcPr>
          <w:p w14:paraId="3A8EDCF5" w14:textId="77777777" w:rsidR="0057163C" w:rsidRPr="00170422" w:rsidRDefault="00F37BF9">
            <w:pPr>
              <w:pStyle w:val="P68B1DB1-Normal121"/>
              <w:spacing w:after="0" w:line="240" w:lineRule="auto"/>
              <w:jc w:val="center"/>
              <w:rPr>
                <w:noProof/>
                <w:lang w:val="de-DE"/>
              </w:rPr>
            </w:pPr>
            <w:r w:rsidRPr="00170422">
              <w:rPr>
                <w:noProof/>
                <w:lang w:val="de-DE"/>
              </w:rPr>
              <w:t>M1C3-27</w:t>
            </w:r>
          </w:p>
        </w:tc>
        <w:tc>
          <w:tcPr>
            <w:tcW w:w="2268" w:type="dxa"/>
            <w:shd w:val="clear" w:color="auto" w:fill="C6EFCE"/>
            <w:tcMar>
              <w:left w:w="108" w:type="dxa"/>
              <w:right w:w="108" w:type="dxa"/>
            </w:tcMar>
            <w:vAlign w:val="center"/>
          </w:tcPr>
          <w:p w14:paraId="15BF73C8" w14:textId="77777777" w:rsidR="0057163C" w:rsidRPr="00170422" w:rsidRDefault="00F37BF9">
            <w:pPr>
              <w:pStyle w:val="P68B1DB1-Normal121"/>
              <w:spacing w:after="0" w:line="240" w:lineRule="auto"/>
              <w:rPr>
                <w:noProof/>
                <w:lang w:val="de-DE"/>
              </w:rPr>
            </w:pPr>
            <w:r w:rsidRPr="00170422">
              <w:rPr>
                <w:noProof/>
                <w:lang w:val="de-DE"/>
              </w:rPr>
              <w:t>Investition – 4.3 Caput Mundi-Next Generation EU für touristisch</w:t>
            </w:r>
            <w:r w:rsidRPr="00170422">
              <w:rPr>
                <w:noProof/>
                <w:lang w:val="de-DE"/>
              </w:rPr>
              <w:t>e Großveranstaltungen</w:t>
            </w:r>
          </w:p>
        </w:tc>
        <w:tc>
          <w:tcPr>
            <w:tcW w:w="2126" w:type="dxa"/>
            <w:shd w:val="clear" w:color="auto" w:fill="C6EFCE"/>
            <w:tcMar>
              <w:left w:w="108" w:type="dxa"/>
              <w:right w:w="108" w:type="dxa"/>
            </w:tcMar>
            <w:vAlign w:val="center"/>
          </w:tcPr>
          <w:p w14:paraId="6CC96BC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638FDB4" w14:textId="77777777" w:rsidR="0057163C" w:rsidRPr="00170422" w:rsidRDefault="00F37BF9">
            <w:pPr>
              <w:pStyle w:val="P68B1DB1-Normal121"/>
              <w:spacing w:after="0" w:line="240" w:lineRule="auto"/>
              <w:rPr>
                <w:noProof/>
                <w:lang w:val="de-DE"/>
              </w:rPr>
            </w:pPr>
            <w:r w:rsidRPr="00170422">
              <w:rPr>
                <w:noProof/>
                <w:lang w:val="de-DE"/>
              </w:rPr>
              <w:t xml:space="preserve">Zahl der Kultur- und Tourismusstätten, deren Umschulung im Durchschnitt 50 % der Anteile von Stato Avanzamento Lavori (SAL) erreichte (erste Gruppe) </w:t>
            </w:r>
          </w:p>
        </w:tc>
      </w:tr>
      <w:tr w:rsidR="0057163C" w:rsidRPr="00170422" w14:paraId="37FDEABB" w14:textId="77777777" w:rsidTr="0018154D">
        <w:trPr>
          <w:trHeight w:val="300"/>
        </w:trPr>
        <w:tc>
          <w:tcPr>
            <w:tcW w:w="1406" w:type="dxa"/>
            <w:shd w:val="clear" w:color="auto" w:fill="C6EFCE"/>
            <w:tcMar>
              <w:left w:w="108" w:type="dxa"/>
              <w:right w:w="108" w:type="dxa"/>
            </w:tcMar>
            <w:vAlign w:val="center"/>
          </w:tcPr>
          <w:p w14:paraId="11DE5765" w14:textId="77777777" w:rsidR="0057163C" w:rsidRPr="00170422" w:rsidRDefault="00F37BF9">
            <w:pPr>
              <w:pStyle w:val="P68B1DB1-Normal121"/>
              <w:spacing w:after="0" w:line="240" w:lineRule="auto"/>
              <w:jc w:val="center"/>
              <w:rPr>
                <w:noProof/>
                <w:lang w:val="de-DE"/>
              </w:rPr>
            </w:pPr>
            <w:r w:rsidRPr="00170422">
              <w:rPr>
                <w:noProof/>
                <w:lang w:val="de-DE"/>
              </w:rPr>
              <w:t>M2C1-16ter</w:t>
            </w:r>
          </w:p>
        </w:tc>
        <w:tc>
          <w:tcPr>
            <w:tcW w:w="2268" w:type="dxa"/>
            <w:shd w:val="clear" w:color="auto" w:fill="C6EFCE"/>
            <w:tcMar>
              <w:left w:w="108" w:type="dxa"/>
              <w:right w:w="108" w:type="dxa"/>
            </w:tcMar>
            <w:vAlign w:val="center"/>
          </w:tcPr>
          <w:p w14:paraId="19CB894C" w14:textId="77777777" w:rsidR="0057163C" w:rsidRPr="00170422" w:rsidRDefault="00F37BF9">
            <w:pPr>
              <w:pStyle w:val="P68B1DB1-Normal121"/>
              <w:spacing w:after="0" w:line="240" w:lineRule="auto"/>
              <w:rPr>
                <w:noProof/>
                <w:lang w:val="de-DE"/>
              </w:rPr>
            </w:pPr>
            <w:r w:rsidRPr="00170422">
              <w:rPr>
                <w:noProof/>
                <w:lang w:val="de-DE"/>
              </w:rPr>
              <w:t xml:space="preserve">Investition 1.1 – Errichtung neuer Abfallbewirtschaftungsanlagen </w:t>
            </w:r>
            <w:r w:rsidRPr="00170422">
              <w:rPr>
                <w:noProof/>
                <w:lang w:val="de-DE"/>
              </w:rPr>
              <w:t>und Modernisierung bestehender Anlagen</w:t>
            </w:r>
          </w:p>
        </w:tc>
        <w:tc>
          <w:tcPr>
            <w:tcW w:w="2126" w:type="dxa"/>
            <w:shd w:val="clear" w:color="auto" w:fill="C6EFCE"/>
            <w:tcMar>
              <w:left w:w="108" w:type="dxa"/>
              <w:right w:w="108" w:type="dxa"/>
            </w:tcMar>
            <w:vAlign w:val="center"/>
          </w:tcPr>
          <w:p w14:paraId="305EE6A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43C3576E" w14:textId="77777777" w:rsidR="0057163C" w:rsidRPr="00170422" w:rsidRDefault="00F37BF9">
            <w:pPr>
              <w:pStyle w:val="P68B1DB1-Normal121"/>
              <w:spacing w:after="0" w:line="240" w:lineRule="auto"/>
              <w:rPr>
                <w:noProof/>
                <w:lang w:val="de-DE"/>
              </w:rPr>
            </w:pPr>
            <w:r w:rsidRPr="00170422">
              <w:rPr>
                <w:noProof/>
                <w:lang w:val="de-DE"/>
              </w:rPr>
              <w:t>Regionale Unterschiede bei den Quoten der getrennten Sammlung</w:t>
            </w:r>
          </w:p>
        </w:tc>
      </w:tr>
      <w:tr w:rsidR="0057163C" w:rsidRPr="00170422" w14:paraId="0045435F" w14:textId="77777777" w:rsidTr="0018154D">
        <w:trPr>
          <w:trHeight w:val="300"/>
        </w:trPr>
        <w:tc>
          <w:tcPr>
            <w:tcW w:w="1406" w:type="dxa"/>
            <w:shd w:val="clear" w:color="auto" w:fill="C6EFCE"/>
            <w:tcMar>
              <w:left w:w="108" w:type="dxa"/>
              <w:right w:w="108" w:type="dxa"/>
            </w:tcMar>
            <w:vAlign w:val="center"/>
          </w:tcPr>
          <w:p w14:paraId="2322E49F" w14:textId="77777777" w:rsidR="0057163C" w:rsidRPr="00170422" w:rsidRDefault="00F37BF9">
            <w:pPr>
              <w:pStyle w:val="P68B1DB1-Normal121"/>
              <w:spacing w:after="0" w:line="240" w:lineRule="auto"/>
              <w:jc w:val="center"/>
              <w:rPr>
                <w:noProof/>
                <w:lang w:val="de-DE"/>
              </w:rPr>
            </w:pPr>
            <w:r w:rsidRPr="00170422">
              <w:rPr>
                <w:noProof/>
                <w:lang w:val="de-DE"/>
              </w:rPr>
              <w:t>M2C1-25</w:t>
            </w:r>
          </w:p>
        </w:tc>
        <w:tc>
          <w:tcPr>
            <w:tcW w:w="2268" w:type="dxa"/>
            <w:shd w:val="clear" w:color="auto" w:fill="C6EFCE"/>
            <w:tcMar>
              <w:left w:w="108" w:type="dxa"/>
              <w:right w:w="108" w:type="dxa"/>
            </w:tcMar>
            <w:vAlign w:val="center"/>
          </w:tcPr>
          <w:p w14:paraId="0CA975B1" w14:textId="77777777" w:rsidR="0057163C" w:rsidRPr="00170422" w:rsidRDefault="00F37BF9">
            <w:pPr>
              <w:pStyle w:val="P68B1DB1-Normal121"/>
              <w:spacing w:after="0" w:line="240" w:lineRule="auto"/>
              <w:rPr>
                <w:noProof/>
                <w:lang w:val="de-DE"/>
              </w:rPr>
            </w:pPr>
            <w:r w:rsidRPr="00170422">
              <w:rPr>
                <w:noProof/>
                <w:lang w:val="de-DE"/>
              </w:rPr>
              <w:t>Investition 3.4: Fondo Contratti di Filiera (FCF) zur Unterstützung von Lieferkettenverträgen in den Sektoren Agrar- und Ernährungswirtschaft</w:t>
            </w:r>
            <w:r w:rsidRPr="00170422">
              <w:rPr>
                <w:noProof/>
                <w:lang w:val="de-DE"/>
              </w:rPr>
              <w:t>, Fischerei und Aquakultur, Forstwirtschaft, Blumenzucht und Pflanzenzucht</w:t>
            </w:r>
          </w:p>
        </w:tc>
        <w:tc>
          <w:tcPr>
            <w:tcW w:w="2126" w:type="dxa"/>
            <w:shd w:val="clear" w:color="auto" w:fill="C6EFCE"/>
            <w:tcMar>
              <w:left w:w="108" w:type="dxa"/>
              <w:right w:w="108" w:type="dxa"/>
            </w:tcMar>
            <w:vAlign w:val="center"/>
          </w:tcPr>
          <w:p w14:paraId="5C14B72E"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1C43C2D" w14:textId="77777777" w:rsidR="0057163C" w:rsidRPr="00170422" w:rsidRDefault="00F37BF9">
            <w:pPr>
              <w:pStyle w:val="P68B1DB1-Normal121"/>
              <w:spacing w:after="0" w:line="240" w:lineRule="auto"/>
              <w:rPr>
                <w:noProof/>
                <w:lang w:val="de-DE"/>
              </w:rPr>
            </w:pPr>
            <w:r w:rsidRPr="00170422">
              <w:rPr>
                <w:noProof/>
                <w:lang w:val="de-DE"/>
              </w:rPr>
              <w:t>Das Ministerium hat den Gesamtbetrag der Mittel übertragen</w:t>
            </w:r>
          </w:p>
        </w:tc>
      </w:tr>
      <w:tr w:rsidR="0057163C" w:rsidRPr="00170422" w14:paraId="1FEC5152" w14:textId="77777777" w:rsidTr="0018154D">
        <w:trPr>
          <w:trHeight w:val="300"/>
        </w:trPr>
        <w:tc>
          <w:tcPr>
            <w:tcW w:w="1406" w:type="dxa"/>
            <w:shd w:val="clear" w:color="auto" w:fill="C6EFCE"/>
            <w:tcMar>
              <w:left w:w="108" w:type="dxa"/>
              <w:right w:w="108" w:type="dxa"/>
            </w:tcMar>
            <w:vAlign w:val="center"/>
          </w:tcPr>
          <w:p w14:paraId="7C364FC0" w14:textId="77777777" w:rsidR="0057163C" w:rsidRPr="00170422" w:rsidRDefault="00F37BF9">
            <w:pPr>
              <w:pStyle w:val="P68B1DB1-Normal121"/>
              <w:spacing w:after="0" w:line="240" w:lineRule="auto"/>
              <w:jc w:val="center"/>
              <w:rPr>
                <w:noProof/>
                <w:lang w:val="de-DE"/>
              </w:rPr>
            </w:pPr>
            <w:r w:rsidRPr="00170422">
              <w:rPr>
                <w:noProof/>
                <w:lang w:val="de-DE"/>
              </w:rPr>
              <w:t>M2C2-9</w:t>
            </w:r>
          </w:p>
        </w:tc>
        <w:tc>
          <w:tcPr>
            <w:tcW w:w="2268" w:type="dxa"/>
            <w:shd w:val="clear" w:color="auto" w:fill="C6EFCE"/>
            <w:tcMar>
              <w:left w:w="108" w:type="dxa"/>
              <w:right w:w="108" w:type="dxa"/>
            </w:tcMar>
            <w:vAlign w:val="center"/>
          </w:tcPr>
          <w:p w14:paraId="4A9E7A74" w14:textId="77777777" w:rsidR="0057163C" w:rsidRPr="00170422" w:rsidRDefault="00F37BF9">
            <w:pPr>
              <w:pStyle w:val="P68B1DB1-Normal121"/>
              <w:spacing w:after="0" w:line="240" w:lineRule="auto"/>
              <w:rPr>
                <w:noProof/>
                <w:lang w:val="de-DE"/>
              </w:rPr>
            </w:pPr>
            <w:r w:rsidRPr="00170422">
              <w:rPr>
                <w:noProof/>
                <w:lang w:val="de-DE"/>
              </w:rPr>
              <w:t>Investition 2.1 Stärkung intelligenter Netze</w:t>
            </w:r>
          </w:p>
        </w:tc>
        <w:tc>
          <w:tcPr>
            <w:tcW w:w="2126" w:type="dxa"/>
            <w:shd w:val="clear" w:color="auto" w:fill="C6EFCE"/>
            <w:tcMar>
              <w:left w:w="108" w:type="dxa"/>
              <w:right w:w="108" w:type="dxa"/>
            </w:tcMar>
            <w:vAlign w:val="center"/>
          </w:tcPr>
          <w:p w14:paraId="3CCC863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D44B54F" w14:textId="77777777" w:rsidR="0057163C" w:rsidRPr="00170422" w:rsidRDefault="00F37BF9">
            <w:pPr>
              <w:pStyle w:val="P68B1DB1-Normal121"/>
              <w:spacing w:after="0" w:line="240" w:lineRule="auto"/>
              <w:rPr>
                <w:noProof/>
                <w:lang w:val="de-DE"/>
              </w:rPr>
            </w:pPr>
            <w:r w:rsidRPr="00170422">
              <w:rPr>
                <w:noProof/>
                <w:lang w:val="de-DE"/>
              </w:rPr>
              <w:t xml:space="preserve">Intelligente Netze – Ausbau der Netzkapazität für </w:t>
            </w:r>
            <w:r w:rsidRPr="00170422">
              <w:rPr>
                <w:noProof/>
                <w:lang w:val="de-DE"/>
              </w:rPr>
              <w:t>die Verteilung erneuerbarer Energien</w:t>
            </w:r>
          </w:p>
        </w:tc>
      </w:tr>
      <w:tr w:rsidR="0057163C" w:rsidRPr="00170422" w14:paraId="28AA07FF" w14:textId="77777777" w:rsidTr="0018154D">
        <w:trPr>
          <w:trHeight w:val="300"/>
        </w:trPr>
        <w:tc>
          <w:tcPr>
            <w:tcW w:w="1406" w:type="dxa"/>
            <w:shd w:val="clear" w:color="auto" w:fill="C6EFCE"/>
            <w:tcMar>
              <w:left w:w="108" w:type="dxa"/>
              <w:right w:w="108" w:type="dxa"/>
            </w:tcMar>
            <w:vAlign w:val="center"/>
          </w:tcPr>
          <w:p w14:paraId="47F8846A" w14:textId="77777777" w:rsidR="0057163C" w:rsidRPr="00170422" w:rsidRDefault="00F37BF9">
            <w:pPr>
              <w:pStyle w:val="P68B1DB1-Normal121"/>
              <w:spacing w:after="0" w:line="240" w:lineRule="auto"/>
              <w:jc w:val="center"/>
              <w:rPr>
                <w:noProof/>
                <w:lang w:val="de-DE"/>
              </w:rPr>
            </w:pPr>
            <w:r w:rsidRPr="00170422">
              <w:rPr>
                <w:noProof/>
                <w:lang w:val="de-DE"/>
              </w:rPr>
              <w:t>M2C2-34</w:t>
            </w:r>
          </w:p>
        </w:tc>
        <w:tc>
          <w:tcPr>
            <w:tcW w:w="2268" w:type="dxa"/>
            <w:shd w:val="clear" w:color="auto" w:fill="C6EFCE"/>
            <w:tcMar>
              <w:left w:w="108" w:type="dxa"/>
              <w:right w:w="108" w:type="dxa"/>
            </w:tcMar>
            <w:vAlign w:val="center"/>
          </w:tcPr>
          <w:p w14:paraId="23FCB73E" w14:textId="77777777" w:rsidR="0057163C" w:rsidRPr="00170422" w:rsidRDefault="00F37BF9">
            <w:pPr>
              <w:pStyle w:val="P68B1DB1-Normal121"/>
              <w:spacing w:after="0" w:line="240" w:lineRule="auto"/>
              <w:rPr>
                <w:noProof/>
                <w:lang w:val="de-DE"/>
              </w:rPr>
            </w:pPr>
            <w:r w:rsidRPr="00170422">
              <w:rPr>
                <w:noProof/>
                <w:lang w:val="de-DE"/>
              </w:rPr>
              <w:t>Investition 4.4.1: Stärkung der Busflotte des regionalen öffentlichen Verkehrs durch emissionsfreie Busse</w:t>
            </w:r>
          </w:p>
        </w:tc>
        <w:tc>
          <w:tcPr>
            <w:tcW w:w="2126" w:type="dxa"/>
            <w:shd w:val="clear" w:color="auto" w:fill="C6EFCE"/>
            <w:tcMar>
              <w:left w:w="108" w:type="dxa"/>
              <w:right w:w="108" w:type="dxa"/>
            </w:tcMar>
            <w:vAlign w:val="center"/>
          </w:tcPr>
          <w:p w14:paraId="310E8C1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621C5B2" w14:textId="77777777" w:rsidR="0057163C" w:rsidRPr="00170422" w:rsidRDefault="00F37BF9">
            <w:pPr>
              <w:pStyle w:val="P68B1DB1-Normal121"/>
              <w:spacing w:after="0" w:line="240" w:lineRule="auto"/>
              <w:rPr>
                <w:noProof/>
                <w:lang w:val="de-DE"/>
              </w:rPr>
            </w:pPr>
            <w:r w:rsidRPr="00170422">
              <w:rPr>
                <w:noProof/>
                <w:lang w:val="de-DE"/>
              </w:rPr>
              <w:t>Anzahl emissionsfreier Niederflurbusse T1</w:t>
            </w:r>
          </w:p>
        </w:tc>
      </w:tr>
      <w:tr w:rsidR="0057163C" w:rsidRPr="00170422" w14:paraId="1C1459CD" w14:textId="77777777" w:rsidTr="0018154D">
        <w:trPr>
          <w:trHeight w:val="300"/>
        </w:trPr>
        <w:tc>
          <w:tcPr>
            <w:tcW w:w="1406" w:type="dxa"/>
            <w:shd w:val="clear" w:color="auto" w:fill="C6EFCE"/>
            <w:tcMar>
              <w:left w:w="108" w:type="dxa"/>
              <w:right w:w="108" w:type="dxa"/>
            </w:tcMar>
            <w:vAlign w:val="center"/>
          </w:tcPr>
          <w:p w14:paraId="1E017C4F" w14:textId="77777777" w:rsidR="0057163C" w:rsidRPr="00170422" w:rsidRDefault="00F37BF9">
            <w:pPr>
              <w:pStyle w:val="P68B1DB1-Normal121"/>
              <w:spacing w:after="0" w:line="240" w:lineRule="auto"/>
              <w:jc w:val="center"/>
              <w:rPr>
                <w:noProof/>
                <w:lang w:val="de-DE"/>
              </w:rPr>
            </w:pPr>
            <w:r w:rsidRPr="00170422">
              <w:rPr>
                <w:noProof/>
                <w:lang w:val="de-DE"/>
              </w:rPr>
              <w:t>M2C2-34bis</w:t>
            </w:r>
          </w:p>
        </w:tc>
        <w:tc>
          <w:tcPr>
            <w:tcW w:w="2268" w:type="dxa"/>
            <w:shd w:val="clear" w:color="auto" w:fill="C6EFCE"/>
            <w:tcMar>
              <w:left w:w="108" w:type="dxa"/>
              <w:right w:w="108" w:type="dxa"/>
            </w:tcMar>
            <w:vAlign w:val="center"/>
          </w:tcPr>
          <w:p w14:paraId="3A0A9ECB" w14:textId="77777777" w:rsidR="0057163C" w:rsidRPr="00170422" w:rsidRDefault="00F37BF9">
            <w:pPr>
              <w:pStyle w:val="P68B1DB1-Normal121"/>
              <w:spacing w:after="0" w:line="240" w:lineRule="auto"/>
              <w:rPr>
                <w:noProof/>
                <w:lang w:val="de-DE"/>
              </w:rPr>
            </w:pPr>
            <w:r w:rsidRPr="00170422">
              <w:rPr>
                <w:noProof/>
                <w:lang w:val="de-DE"/>
              </w:rPr>
              <w:t>Investition 4.4.2:  Stärkung der regionalen E</w:t>
            </w:r>
            <w:r w:rsidRPr="00170422">
              <w:rPr>
                <w:noProof/>
                <w:lang w:val="de-DE"/>
              </w:rPr>
              <w:t>isenbahnflotte des öffentlichen Verkehrs mit emissionsfreien Zügen und Universaldienst</w:t>
            </w:r>
          </w:p>
        </w:tc>
        <w:tc>
          <w:tcPr>
            <w:tcW w:w="2126" w:type="dxa"/>
            <w:shd w:val="clear" w:color="auto" w:fill="C6EFCE"/>
            <w:tcMar>
              <w:left w:w="108" w:type="dxa"/>
              <w:right w:w="108" w:type="dxa"/>
            </w:tcMar>
            <w:vAlign w:val="center"/>
          </w:tcPr>
          <w:p w14:paraId="447A9F2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2F3840A2" w14:textId="77777777" w:rsidR="0057163C" w:rsidRPr="00170422" w:rsidRDefault="00F37BF9">
            <w:pPr>
              <w:pStyle w:val="P68B1DB1-Normal121"/>
              <w:spacing w:after="0" w:line="240" w:lineRule="auto"/>
              <w:rPr>
                <w:noProof/>
                <w:lang w:val="de-DE"/>
              </w:rPr>
            </w:pPr>
            <w:r w:rsidRPr="00170422">
              <w:rPr>
                <w:noProof/>
                <w:lang w:val="de-DE"/>
              </w:rPr>
              <w:t>Anzahl emissionsfreier Züge</w:t>
            </w:r>
          </w:p>
        </w:tc>
      </w:tr>
      <w:tr w:rsidR="0057163C" w:rsidRPr="00170422" w14:paraId="77C96979" w14:textId="77777777" w:rsidTr="0018154D">
        <w:trPr>
          <w:trHeight w:val="300"/>
        </w:trPr>
        <w:tc>
          <w:tcPr>
            <w:tcW w:w="1406" w:type="dxa"/>
            <w:shd w:val="clear" w:color="auto" w:fill="C6EFCE"/>
            <w:tcMar>
              <w:left w:w="108" w:type="dxa"/>
              <w:right w:w="108" w:type="dxa"/>
            </w:tcMar>
            <w:vAlign w:val="center"/>
          </w:tcPr>
          <w:p w14:paraId="53C5C3DF" w14:textId="77777777" w:rsidR="0057163C" w:rsidRPr="00170422" w:rsidRDefault="00F37BF9">
            <w:pPr>
              <w:pStyle w:val="P68B1DB1-Normal121"/>
              <w:spacing w:after="0" w:line="240" w:lineRule="auto"/>
              <w:jc w:val="center"/>
              <w:rPr>
                <w:noProof/>
                <w:lang w:val="de-DE"/>
              </w:rPr>
            </w:pPr>
            <w:r w:rsidRPr="00170422">
              <w:rPr>
                <w:noProof/>
                <w:lang w:val="de-DE"/>
              </w:rPr>
              <w:t>M2C2-38bis</w:t>
            </w:r>
          </w:p>
        </w:tc>
        <w:tc>
          <w:tcPr>
            <w:tcW w:w="2268" w:type="dxa"/>
            <w:shd w:val="clear" w:color="auto" w:fill="C6EFCE"/>
            <w:tcMar>
              <w:left w:w="108" w:type="dxa"/>
              <w:right w:w="108" w:type="dxa"/>
            </w:tcMar>
            <w:vAlign w:val="center"/>
          </w:tcPr>
          <w:p w14:paraId="64F816E7" w14:textId="77777777" w:rsidR="0057163C" w:rsidRPr="00170422" w:rsidRDefault="00F37BF9">
            <w:pPr>
              <w:pStyle w:val="P68B1DB1-Normal121"/>
              <w:spacing w:after="0" w:line="240" w:lineRule="auto"/>
              <w:rPr>
                <w:noProof/>
                <w:lang w:val="de-DE"/>
              </w:rPr>
            </w:pPr>
            <w:r w:rsidRPr="00170422">
              <w:rPr>
                <w:noProof/>
                <w:lang w:val="de-DE"/>
              </w:rPr>
              <w:t xml:space="preserve">Investition 5.1: Unterstützung des Produktionssystems für den ökologischen Wandel, Netto-Null-Technologien sowie </w:t>
            </w:r>
            <w:r w:rsidRPr="00170422">
              <w:rPr>
                <w:noProof/>
                <w:lang w:val="de-DE"/>
              </w:rPr>
              <w:t>Wettbewerbsfähigkeit und Resilienz strategischer Lieferketten</w:t>
            </w:r>
          </w:p>
        </w:tc>
        <w:tc>
          <w:tcPr>
            <w:tcW w:w="2126" w:type="dxa"/>
            <w:shd w:val="clear" w:color="auto" w:fill="C6EFCE"/>
            <w:tcMar>
              <w:left w:w="108" w:type="dxa"/>
              <w:right w:w="108" w:type="dxa"/>
            </w:tcMar>
            <w:vAlign w:val="center"/>
          </w:tcPr>
          <w:p w14:paraId="1C93946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4B11041"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15B74A13" w14:textId="77777777" w:rsidTr="0018154D">
        <w:trPr>
          <w:trHeight w:val="300"/>
        </w:trPr>
        <w:tc>
          <w:tcPr>
            <w:tcW w:w="1406" w:type="dxa"/>
            <w:shd w:val="clear" w:color="auto" w:fill="C6EFCE"/>
            <w:tcMar>
              <w:left w:w="108" w:type="dxa"/>
              <w:right w:w="108" w:type="dxa"/>
            </w:tcMar>
            <w:vAlign w:val="center"/>
          </w:tcPr>
          <w:p w14:paraId="04E03B53" w14:textId="77777777" w:rsidR="0057163C" w:rsidRPr="00170422" w:rsidRDefault="00F37BF9">
            <w:pPr>
              <w:pStyle w:val="P68B1DB1-Normal121"/>
              <w:spacing w:after="0" w:line="240" w:lineRule="auto"/>
              <w:jc w:val="center"/>
              <w:rPr>
                <w:noProof/>
                <w:lang w:val="de-DE"/>
              </w:rPr>
            </w:pPr>
            <w:r w:rsidRPr="00170422">
              <w:rPr>
                <w:noProof/>
                <w:lang w:val="de-DE"/>
              </w:rPr>
              <w:t>M2C2-39</w:t>
            </w:r>
          </w:p>
        </w:tc>
        <w:tc>
          <w:tcPr>
            <w:tcW w:w="2268" w:type="dxa"/>
            <w:shd w:val="clear" w:color="auto" w:fill="C6EFCE"/>
            <w:tcMar>
              <w:left w:w="108" w:type="dxa"/>
              <w:right w:w="108" w:type="dxa"/>
            </w:tcMar>
            <w:vAlign w:val="center"/>
          </w:tcPr>
          <w:p w14:paraId="29509614" w14:textId="77777777" w:rsidR="0057163C" w:rsidRPr="00170422" w:rsidRDefault="00F37BF9">
            <w:pPr>
              <w:pStyle w:val="P68B1DB1-Normal121"/>
              <w:spacing w:after="0" w:line="240" w:lineRule="auto"/>
              <w:rPr>
                <w:noProof/>
                <w:lang w:val="de-DE"/>
              </w:rPr>
            </w:pPr>
            <w:r w:rsidRPr="00170422">
              <w:rPr>
                <w:noProof/>
                <w:lang w:val="de-DE"/>
              </w:rPr>
              <w:t>Investition 5.1. Unterstützung des Produktionssystems für den ökologischen Wandel, Netto-Null-Technologien sowie Wettbewerbsfähigkeit und Resilienz</w:t>
            </w:r>
            <w:r w:rsidRPr="00170422">
              <w:rPr>
                <w:noProof/>
                <w:lang w:val="de-DE"/>
              </w:rPr>
              <w:t xml:space="preserve"> der strategischen Versorgung</w:t>
            </w:r>
          </w:p>
        </w:tc>
        <w:tc>
          <w:tcPr>
            <w:tcW w:w="2126" w:type="dxa"/>
            <w:shd w:val="clear" w:color="auto" w:fill="C6EFCE"/>
            <w:tcMar>
              <w:left w:w="108" w:type="dxa"/>
              <w:right w:w="108" w:type="dxa"/>
            </w:tcMar>
            <w:vAlign w:val="center"/>
          </w:tcPr>
          <w:p w14:paraId="139A363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1E1E9142" w14:textId="77777777" w:rsidR="0057163C" w:rsidRPr="00170422" w:rsidRDefault="00F37BF9">
            <w:pPr>
              <w:pStyle w:val="P68B1DB1-Normal121"/>
              <w:spacing w:after="0" w:line="240" w:lineRule="auto"/>
              <w:rPr>
                <w:noProof/>
                <w:lang w:val="de-DE"/>
              </w:rPr>
            </w:pPr>
            <w:r w:rsidRPr="00170422">
              <w:rPr>
                <w:noProof/>
                <w:lang w:val="de-DE"/>
              </w:rPr>
              <w:t>Das italienische Ministerium für Unternehmen und Made hat die Mittelübertragung an Invitalia S.p.A. abgeschlossen.</w:t>
            </w:r>
          </w:p>
        </w:tc>
      </w:tr>
      <w:tr w:rsidR="0057163C" w:rsidRPr="00170422" w14:paraId="3F191E61" w14:textId="77777777" w:rsidTr="0018154D">
        <w:trPr>
          <w:trHeight w:val="300"/>
        </w:trPr>
        <w:tc>
          <w:tcPr>
            <w:tcW w:w="1406" w:type="dxa"/>
            <w:shd w:val="clear" w:color="auto" w:fill="C6EFCE"/>
            <w:tcMar>
              <w:left w:w="108" w:type="dxa"/>
              <w:right w:w="108" w:type="dxa"/>
            </w:tcMar>
            <w:vAlign w:val="center"/>
          </w:tcPr>
          <w:p w14:paraId="33A17E1D" w14:textId="77777777" w:rsidR="0057163C" w:rsidRPr="00170422" w:rsidRDefault="00F37BF9">
            <w:pPr>
              <w:pStyle w:val="P68B1DB1-Normal121"/>
              <w:spacing w:after="0" w:line="240" w:lineRule="auto"/>
              <w:jc w:val="center"/>
              <w:rPr>
                <w:noProof/>
                <w:lang w:val="de-DE"/>
              </w:rPr>
            </w:pPr>
            <w:r w:rsidRPr="00170422">
              <w:rPr>
                <w:noProof/>
                <w:lang w:val="de-DE"/>
              </w:rPr>
              <w:t>M2C2-42bis</w:t>
            </w:r>
          </w:p>
        </w:tc>
        <w:tc>
          <w:tcPr>
            <w:tcW w:w="2268" w:type="dxa"/>
            <w:shd w:val="clear" w:color="auto" w:fill="C6EFCE"/>
            <w:tcMar>
              <w:left w:w="108" w:type="dxa"/>
              <w:right w:w="108" w:type="dxa"/>
            </w:tcMar>
            <w:vAlign w:val="center"/>
          </w:tcPr>
          <w:p w14:paraId="556FF5C0" w14:textId="77777777" w:rsidR="0057163C" w:rsidRPr="00170422" w:rsidRDefault="00F37BF9">
            <w:pPr>
              <w:pStyle w:val="P68B1DB1-Normal121"/>
              <w:spacing w:after="0" w:line="240" w:lineRule="auto"/>
              <w:rPr>
                <w:noProof/>
                <w:lang w:val="de-DE"/>
              </w:rPr>
            </w:pPr>
            <w:r w:rsidRPr="00170422">
              <w:rPr>
                <w:noProof/>
                <w:lang w:val="de-DE"/>
              </w:rPr>
              <w:t>Investition 5.4 – Eigenkapitalzufuhr in den Fonds für den grünen Wandel (GTF)</w:t>
            </w:r>
          </w:p>
        </w:tc>
        <w:tc>
          <w:tcPr>
            <w:tcW w:w="2126" w:type="dxa"/>
            <w:shd w:val="clear" w:color="auto" w:fill="C6EFCE"/>
            <w:tcMar>
              <w:left w:w="108" w:type="dxa"/>
              <w:right w:w="108" w:type="dxa"/>
            </w:tcMar>
            <w:vAlign w:val="center"/>
          </w:tcPr>
          <w:p w14:paraId="4333B113"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11CF614" w14:textId="77777777" w:rsidR="0057163C" w:rsidRPr="00170422" w:rsidRDefault="00F37BF9">
            <w:pPr>
              <w:pStyle w:val="P68B1DB1-Normal121"/>
              <w:spacing w:after="0" w:line="240" w:lineRule="auto"/>
              <w:rPr>
                <w:noProof/>
                <w:lang w:val="de-DE"/>
              </w:rPr>
            </w:pPr>
            <w:r w:rsidRPr="00170422">
              <w:rPr>
                <w:noProof/>
                <w:lang w:val="de-DE"/>
              </w:rPr>
              <w:t>Kapitalzuführung in den Fonds für den grünen Wandel</w:t>
            </w:r>
          </w:p>
        </w:tc>
      </w:tr>
      <w:tr w:rsidR="0057163C" w:rsidRPr="00170422" w14:paraId="47B94D9E" w14:textId="77777777" w:rsidTr="0018154D">
        <w:trPr>
          <w:trHeight w:val="300"/>
        </w:trPr>
        <w:tc>
          <w:tcPr>
            <w:tcW w:w="1406" w:type="dxa"/>
            <w:shd w:val="clear" w:color="auto" w:fill="C6EFCE"/>
            <w:tcMar>
              <w:left w:w="108" w:type="dxa"/>
              <w:right w:w="108" w:type="dxa"/>
            </w:tcMar>
            <w:vAlign w:val="center"/>
          </w:tcPr>
          <w:p w14:paraId="41AF4328" w14:textId="77777777" w:rsidR="0057163C" w:rsidRPr="00170422" w:rsidRDefault="00F37BF9">
            <w:pPr>
              <w:pStyle w:val="P68B1DB1-Normal121"/>
              <w:spacing w:after="0" w:line="240" w:lineRule="auto"/>
              <w:jc w:val="center"/>
              <w:rPr>
                <w:noProof/>
                <w:lang w:val="de-DE"/>
              </w:rPr>
            </w:pPr>
            <w:r w:rsidRPr="00170422">
              <w:rPr>
                <w:noProof/>
                <w:lang w:val="de-DE"/>
              </w:rPr>
              <w:t>M2C2-44</w:t>
            </w:r>
          </w:p>
        </w:tc>
        <w:tc>
          <w:tcPr>
            <w:tcW w:w="2268" w:type="dxa"/>
            <w:shd w:val="clear" w:color="auto" w:fill="C6EFCE"/>
            <w:tcMar>
              <w:left w:w="108" w:type="dxa"/>
              <w:right w:w="108" w:type="dxa"/>
            </w:tcMar>
            <w:vAlign w:val="center"/>
          </w:tcPr>
          <w:p w14:paraId="7BB04027" w14:textId="77777777" w:rsidR="0057163C" w:rsidRPr="00170422" w:rsidRDefault="00F37BF9">
            <w:pPr>
              <w:pStyle w:val="P68B1DB1-Normal121"/>
              <w:spacing w:after="0" w:line="240" w:lineRule="auto"/>
              <w:rPr>
                <w:noProof/>
                <w:lang w:val="de-DE"/>
              </w:rPr>
            </w:pPr>
            <w:r w:rsidRPr="00170422">
              <w:rPr>
                <w:noProof/>
                <w:lang w:val="de-DE"/>
              </w:rPr>
              <w:t>Investition 1.1 Entwicklung von Agrarvoltaiksystemen</w:t>
            </w:r>
          </w:p>
        </w:tc>
        <w:tc>
          <w:tcPr>
            <w:tcW w:w="2126" w:type="dxa"/>
            <w:shd w:val="clear" w:color="auto" w:fill="C6EFCE"/>
            <w:tcMar>
              <w:left w:w="108" w:type="dxa"/>
              <w:right w:w="108" w:type="dxa"/>
            </w:tcMar>
            <w:vAlign w:val="center"/>
          </w:tcPr>
          <w:p w14:paraId="339A0437"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6A0891F" w14:textId="77777777" w:rsidR="0057163C" w:rsidRPr="00170422" w:rsidRDefault="00F37BF9">
            <w:pPr>
              <w:pStyle w:val="P68B1DB1-Normal121"/>
              <w:spacing w:after="0" w:line="240" w:lineRule="auto"/>
              <w:rPr>
                <w:noProof/>
                <w:lang w:val="de-DE"/>
              </w:rPr>
            </w:pPr>
            <w:r w:rsidRPr="00170422">
              <w:rPr>
                <w:noProof/>
                <w:lang w:val="de-DE"/>
              </w:rPr>
              <w:t>Vergabe aller öffentlichen Aufträge für die Installation von Photovoltaikmodulen in agrovoltaischen Systemen</w:t>
            </w:r>
          </w:p>
        </w:tc>
      </w:tr>
      <w:tr w:rsidR="0057163C" w:rsidRPr="00170422" w14:paraId="204D2A24" w14:textId="77777777" w:rsidTr="0018154D">
        <w:trPr>
          <w:trHeight w:val="300"/>
        </w:trPr>
        <w:tc>
          <w:tcPr>
            <w:tcW w:w="1406" w:type="dxa"/>
            <w:shd w:val="clear" w:color="auto" w:fill="C6EFCE"/>
            <w:tcMar>
              <w:left w:w="108" w:type="dxa"/>
              <w:right w:w="108" w:type="dxa"/>
            </w:tcMar>
            <w:vAlign w:val="center"/>
          </w:tcPr>
          <w:p w14:paraId="2AE37AB2" w14:textId="77777777" w:rsidR="0057163C" w:rsidRPr="00170422" w:rsidRDefault="00F37BF9">
            <w:pPr>
              <w:pStyle w:val="P68B1DB1-Normal121"/>
              <w:spacing w:after="0" w:line="240" w:lineRule="auto"/>
              <w:jc w:val="center"/>
              <w:rPr>
                <w:noProof/>
                <w:lang w:val="de-DE"/>
              </w:rPr>
            </w:pPr>
            <w:r w:rsidRPr="00170422">
              <w:rPr>
                <w:noProof/>
                <w:lang w:val="de-DE"/>
              </w:rPr>
              <w:t>M2C4-22</w:t>
            </w:r>
          </w:p>
        </w:tc>
        <w:tc>
          <w:tcPr>
            <w:tcW w:w="2268" w:type="dxa"/>
            <w:shd w:val="clear" w:color="auto" w:fill="C6EFCE"/>
            <w:tcMar>
              <w:left w:w="108" w:type="dxa"/>
              <w:right w:w="108" w:type="dxa"/>
            </w:tcMar>
            <w:vAlign w:val="center"/>
          </w:tcPr>
          <w:p w14:paraId="73E6BF66" w14:textId="77777777" w:rsidR="0057163C" w:rsidRPr="00170422" w:rsidRDefault="00F37BF9">
            <w:pPr>
              <w:pStyle w:val="P68B1DB1-Normal121"/>
              <w:spacing w:after="0" w:line="240" w:lineRule="auto"/>
              <w:rPr>
                <w:noProof/>
                <w:lang w:val="de-DE"/>
              </w:rPr>
            </w:pPr>
            <w:r w:rsidRPr="00170422">
              <w:rPr>
                <w:noProof/>
                <w:lang w:val="de-DE"/>
              </w:rPr>
              <w:t>Investition 3.3 Sanierung des Po-Gebiets</w:t>
            </w:r>
          </w:p>
        </w:tc>
        <w:tc>
          <w:tcPr>
            <w:tcW w:w="2126" w:type="dxa"/>
            <w:shd w:val="clear" w:color="auto" w:fill="C6EFCE"/>
            <w:tcMar>
              <w:left w:w="108" w:type="dxa"/>
              <w:right w:w="108" w:type="dxa"/>
            </w:tcMar>
            <w:vAlign w:val="center"/>
          </w:tcPr>
          <w:p w14:paraId="7649A9D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030635DE" w14:textId="77777777" w:rsidR="0057163C" w:rsidRPr="00170422" w:rsidRDefault="00F37BF9">
            <w:pPr>
              <w:pStyle w:val="P68B1DB1-Normal121"/>
              <w:spacing w:after="0" w:line="240" w:lineRule="auto"/>
              <w:rPr>
                <w:noProof/>
                <w:lang w:val="de-DE"/>
              </w:rPr>
            </w:pPr>
            <w:r w:rsidRPr="00170422">
              <w:rPr>
                <w:noProof/>
                <w:lang w:val="de-DE"/>
              </w:rPr>
              <w:t xml:space="preserve">Verringerung der künstlichen Flussbette für die Neunaturierung des Po-Gebiets T1 </w:t>
            </w:r>
          </w:p>
        </w:tc>
      </w:tr>
      <w:tr w:rsidR="0057163C" w:rsidRPr="00170422" w14:paraId="532D4097" w14:textId="77777777" w:rsidTr="0018154D">
        <w:trPr>
          <w:trHeight w:val="300"/>
        </w:trPr>
        <w:tc>
          <w:tcPr>
            <w:tcW w:w="1406" w:type="dxa"/>
            <w:shd w:val="clear" w:color="auto" w:fill="C6EFCE"/>
            <w:tcMar>
              <w:left w:w="108" w:type="dxa"/>
              <w:right w:w="108" w:type="dxa"/>
            </w:tcMar>
            <w:vAlign w:val="center"/>
          </w:tcPr>
          <w:p w14:paraId="4B566C2A" w14:textId="77777777" w:rsidR="0057163C" w:rsidRPr="00170422" w:rsidRDefault="00F37BF9">
            <w:pPr>
              <w:pStyle w:val="P68B1DB1-Normal121"/>
              <w:spacing w:after="0" w:line="240" w:lineRule="auto"/>
              <w:jc w:val="center"/>
              <w:rPr>
                <w:noProof/>
                <w:lang w:val="de-DE"/>
              </w:rPr>
            </w:pPr>
            <w:r w:rsidRPr="00170422">
              <w:rPr>
                <w:noProof/>
                <w:lang w:val="de-DE"/>
              </w:rPr>
              <w:t>M2C4-31</w:t>
            </w:r>
          </w:p>
        </w:tc>
        <w:tc>
          <w:tcPr>
            <w:tcW w:w="2268" w:type="dxa"/>
            <w:shd w:val="clear" w:color="auto" w:fill="C6EFCE"/>
            <w:tcMar>
              <w:left w:w="108" w:type="dxa"/>
              <w:right w:w="108" w:type="dxa"/>
            </w:tcMar>
            <w:vAlign w:val="center"/>
          </w:tcPr>
          <w:p w14:paraId="4D8063DE" w14:textId="77777777" w:rsidR="0057163C" w:rsidRPr="00170422" w:rsidRDefault="00F37BF9">
            <w:pPr>
              <w:pStyle w:val="P68B1DB1-Normal121"/>
              <w:spacing w:after="0" w:line="240" w:lineRule="auto"/>
              <w:rPr>
                <w:noProof/>
                <w:lang w:val="de-DE"/>
              </w:rPr>
            </w:pPr>
            <w:r w:rsidRPr="00170422">
              <w:rPr>
                <w:noProof/>
                <w:lang w:val="de-DE"/>
              </w:rPr>
              <w:t xml:space="preserve">Investition 4.2. Verringerung der Verluste in den Wasserverteilungsnetzen, einschließlich Digitalisierung und </w:t>
            </w:r>
            <w:r w:rsidRPr="00170422">
              <w:rPr>
                <w:noProof/>
                <w:lang w:val="de-DE"/>
              </w:rPr>
              <w:t>Überwachung der Netze</w:t>
            </w:r>
          </w:p>
        </w:tc>
        <w:tc>
          <w:tcPr>
            <w:tcW w:w="2126" w:type="dxa"/>
            <w:shd w:val="clear" w:color="auto" w:fill="C6EFCE"/>
            <w:tcMar>
              <w:left w:w="108" w:type="dxa"/>
              <w:right w:w="108" w:type="dxa"/>
            </w:tcMar>
            <w:vAlign w:val="center"/>
          </w:tcPr>
          <w:p w14:paraId="518428F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56248C75" w14:textId="77777777" w:rsidR="0057163C" w:rsidRPr="00170422" w:rsidRDefault="00F37BF9">
            <w:pPr>
              <w:pStyle w:val="P68B1DB1-Normal121"/>
              <w:spacing w:after="0" w:line="240" w:lineRule="auto"/>
              <w:rPr>
                <w:noProof/>
                <w:lang w:val="de-DE"/>
              </w:rPr>
            </w:pPr>
            <w:r w:rsidRPr="00170422">
              <w:rPr>
                <w:noProof/>
                <w:lang w:val="de-DE"/>
              </w:rPr>
              <w:t>Eingriffe in Wasserversorgungsnetze, einschließlich Digitalisierung und Überwachung der Netze T1</w:t>
            </w:r>
          </w:p>
        </w:tc>
      </w:tr>
      <w:tr w:rsidR="0057163C" w:rsidRPr="00170422" w14:paraId="4BD323AB" w14:textId="77777777" w:rsidTr="0018154D">
        <w:trPr>
          <w:trHeight w:val="300"/>
        </w:trPr>
        <w:tc>
          <w:tcPr>
            <w:tcW w:w="1406" w:type="dxa"/>
            <w:shd w:val="clear" w:color="auto" w:fill="C6EFCE"/>
            <w:tcMar>
              <w:left w:w="108" w:type="dxa"/>
              <w:right w:w="108" w:type="dxa"/>
            </w:tcMar>
            <w:vAlign w:val="center"/>
          </w:tcPr>
          <w:p w14:paraId="0A13C3C4" w14:textId="77777777" w:rsidR="0057163C" w:rsidRPr="00170422" w:rsidRDefault="00F37BF9">
            <w:pPr>
              <w:pStyle w:val="P68B1DB1-Normal121"/>
              <w:spacing w:after="0" w:line="240" w:lineRule="auto"/>
              <w:jc w:val="center"/>
              <w:rPr>
                <w:noProof/>
                <w:lang w:val="de-DE"/>
              </w:rPr>
            </w:pPr>
            <w:r w:rsidRPr="00170422">
              <w:rPr>
                <w:noProof/>
                <w:lang w:val="de-DE"/>
              </w:rPr>
              <w:t>M2C4-34</w:t>
            </w:r>
          </w:p>
        </w:tc>
        <w:tc>
          <w:tcPr>
            <w:tcW w:w="2268" w:type="dxa"/>
            <w:shd w:val="clear" w:color="auto" w:fill="C6EFCE"/>
            <w:tcMar>
              <w:left w:w="108" w:type="dxa"/>
              <w:right w:w="108" w:type="dxa"/>
            </w:tcMar>
            <w:vAlign w:val="center"/>
          </w:tcPr>
          <w:p w14:paraId="3349E0B0" w14:textId="77777777" w:rsidR="0057163C" w:rsidRPr="00170422" w:rsidRDefault="00F37BF9">
            <w:pPr>
              <w:pStyle w:val="P68B1DB1-Normal121"/>
              <w:spacing w:after="0" w:line="240" w:lineRule="auto"/>
              <w:rPr>
                <w:noProof/>
                <w:lang w:val="de-DE"/>
              </w:rPr>
            </w:pPr>
            <w:r w:rsidRPr="00170422">
              <w:rPr>
                <w:noProof/>
                <w:lang w:val="de-DE"/>
              </w:rPr>
              <w:t>Investition 4.3 Investitionen in die Widerstandsfähigkeit des Bewässerungs-Agrarsystems für eine bessere Bewirtschaftung de</w:t>
            </w:r>
            <w:r w:rsidRPr="00170422">
              <w:rPr>
                <w:noProof/>
                <w:lang w:val="de-DE"/>
              </w:rPr>
              <w:t>r Wasserressourcen</w:t>
            </w:r>
          </w:p>
        </w:tc>
        <w:tc>
          <w:tcPr>
            <w:tcW w:w="2126" w:type="dxa"/>
            <w:shd w:val="clear" w:color="auto" w:fill="C6EFCE"/>
            <w:tcMar>
              <w:left w:w="108" w:type="dxa"/>
              <w:right w:w="108" w:type="dxa"/>
            </w:tcMar>
            <w:vAlign w:val="center"/>
          </w:tcPr>
          <w:p w14:paraId="343D996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3A32D99D" w14:textId="77777777" w:rsidR="0057163C" w:rsidRPr="00170422" w:rsidRDefault="00F37BF9">
            <w:pPr>
              <w:pStyle w:val="P68B1DB1-Normal121"/>
              <w:spacing w:after="0" w:line="240" w:lineRule="auto"/>
              <w:rPr>
                <w:noProof/>
                <w:lang w:val="de-DE"/>
              </w:rPr>
            </w:pPr>
            <w:r w:rsidRPr="00170422">
              <w:rPr>
                <w:noProof/>
                <w:lang w:val="de-DE"/>
              </w:rPr>
              <w:t>Interventionen zur Stärkung der Widerstandsfähigkeit des Bewässerungs-Agrarsystems für eine bessere Bewirtschaftung der Wasserressourcen T1</w:t>
            </w:r>
          </w:p>
        </w:tc>
      </w:tr>
      <w:tr w:rsidR="0057163C" w:rsidRPr="00170422" w14:paraId="4D30A6E5" w14:textId="77777777" w:rsidTr="0018154D">
        <w:trPr>
          <w:trHeight w:val="300"/>
        </w:trPr>
        <w:tc>
          <w:tcPr>
            <w:tcW w:w="1406" w:type="dxa"/>
            <w:shd w:val="clear" w:color="auto" w:fill="C6EFCE"/>
            <w:tcMar>
              <w:left w:w="108" w:type="dxa"/>
              <w:right w:w="108" w:type="dxa"/>
            </w:tcMar>
            <w:vAlign w:val="center"/>
          </w:tcPr>
          <w:p w14:paraId="7E0C2378" w14:textId="77777777" w:rsidR="0057163C" w:rsidRPr="00170422" w:rsidRDefault="00F37BF9">
            <w:pPr>
              <w:pStyle w:val="P68B1DB1-Normal121"/>
              <w:spacing w:after="0" w:line="240" w:lineRule="auto"/>
              <w:jc w:val="center"/>
              <w:rPr>
                <w:noProof/>
                <w:lang w:val="de-DE"/>
              </w:rPr>
            </w:pPr>
            <w:r w:rsidRPr="00170422">
              <w:rPr>
                <w:noProof/>
                <w:lang w:val="de-DE"/>
              </w:rPr>
              <w:t>M2C4-35</w:t>
            </w:r>
          </w:p>
        </w:tc>
        <w:tc>
          <w:tcPr>
            <w:tcW w:w="2268" w:type="dxa"/>
            <w:shd w:val="clear" w:color="auto" w:fill="C6EFCE"/>
            <w:tcMar>
              <w:left w:w="108" w:type="dxa"/>
              <w:right w:w="108" w:type="dxa"/>
            </w:tcMar>
            <w:vAlign w:val="center"/>
          </w:tcPr>
          <w:p w14:paraId="32B9B652" w14:textId="77777777" w:rsidR="0057163C" w:rsidRPr="00170422" w:rsidRDefault="00F37BF9">
            <w:pPr>
              <w:pStyle w:val="P68B1DB1-Normal121"/>
              <w:spacing w:after="0" w:line="240" w:lineRule="auto"/>
              <w:rPr>
                <w:noProof/>
                <w:lang w:val="de-DE"/>
              </w:rPr>
            </w:pPr>
            <w:r w:rsidRPr="00170422">
              <w:rPr>
                <w:noProof/>
                <w:lang w:val="de-DE"/>
              </w:rPr>
              <w:t xml:space="preserve">Investition 4.3 Investitionen in die Widerstandsfähigkeit des </w:t>
            </w:r>
            <w:r w:rsidRPr="00170422">
              <w:rPr>
                <w:noProof/>
                <w:lang w:val="de-DE"/>
              </w:rPr>
              <w:t>Bewässerungs-Agrarsystems für eine bessere Bewirtschaftung der Wasserressourcen</w:t>
            </w:r>
          </w:p>
        </w:tc>
        <w:tc>
          <w:tcPr>
            <w:tcW w:w="2126" w:type="dxa"/>
            <w:shd w:val="clear" w:color="auto" w:fill="C6EFCE"/>
            <w:tcMar>
              <w:left w:w="108" w:type="dxa"/>
              <w:right w:w="108" w:type="dxa"/>
            </w:tcMar>
            <w:vAlign w:val="center"/>
          </w:tcPr>
          <w:p w14:paraId="199427D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3C9BBA5" w14:textId="77777777" w:rsidR="0057163C" w:rsidRPr="00170422" w:rsidRDefault="00F37BF9">
            <w:pPr>
              <w:pStyle w:val="P68B1DB1-Normal121"/>
              <w:spacing w:after="0" w:line="240" w:lineRule="auto"/>
              <w:rPr>
                <w:noProof/>
                <w:lang w:val="de-DE"/>
              </w:rPr>
            </w:pPr>
            <w:r w:rsidRPr="00170422">
              <w:rPr>
                <w:noProof/>
                <w:lang w:val="de-DE"/>
              </w:rPr>
              <w:t>Interventionen zur Stärkung der Widerstandsfähigkeit des Bewässerungs-Agrarsystems für eine bessere Bewirtschaftung der Wasserressourcen T1</w:t>
            </w:r>
          </w:p>
        </w:tc>
      </w:tr>
      <w:tr w:rsidR="0057163C" w:rsidRPr="00170422" w14:paraId="6FC9E110" w14:textId="77777777" w:rsidTr="0018154D">
        <w:trPr>
          <w:trHeight w:val="300"/>
        </w:trPr>
        <w:tc>
          <w:tcPr>
            <w:tcW w:w="1406" w:type="dxa"/>
            <w:shd w:val="clear" w:color="auto" w:fill="C6EFCE"/>
            <w:tcMar>
              <w:left w:w="108" w:type="dxa"/>
              <w:right w:w="108" w:type="dxa"/>
            </w:tcMar>
            <w:vAlign w:val="center"/>
          </w:tcPr>
          <w:p w14:paraId="5E7F85FE" w14:textId="77777777" w:rsidR="0057163C" w:rsidRPr="00170422" w:rsidRDefault="00F37BF9">
            <w:pPr>
              <w:pStyle w:val="P68B1DB1-Normal121"/>
              <w:spacing w:after="0" w:line="240" w:lineRule="auto"/>
              <w:jc w:val="center"/>
              <w:rPr>
                <w:noProof/>
                <w:lang w:val="de-DE"/>
              </w:rPr>
            </w:pPr>
            <w:r w:rsidRPr="00170422">
              <w:rPr>
                <w:noProof/>
                <w:lang w:val="de-DE"/>
              </w:rPr>
              <w:t>M3C1-15</w:t>
            </w:r>
          </w:p>
        </w:tc>
        <w:tc>
          <w:tcPr>
            <w:tcW w:w="2268" w:type="dxa"/>
            <w:shd w:val="clear" w:color="auto" w:fill="C6EFCE"/>
            <w:tcMar>
              <w:left w:w="108" w:type="dxa"/>
              <w:right w:w="108" w:type="dxa"/>
            </w:tcMar>
            <w:vAlign w:val="center"/>
          </w:tcPr>
          <w:p w14:paraId="5D444334" w14:textId="77777777" w:rsidR="0057163C" w:rsidRPr="00170422" w:rsidRDefault="00F37BF9">
            <w:pPr>
              <w:pStyle w:val="P68B1DB1-Normal121"/>
              <w:spacing w:after="0" w:line="240" w:lineRule="auto"/>
              <w:rPr>
                <w:noProof/>
                <w:lang w:val="de-DE"/>
              </w:rPr>
            </w:pPr>
            <w:r w:rsidRPr="00170422">
              <w:rPr>
                <w:noProof/>
                <w:lang w:val="de-DE"/>
              </w:rPr>
              <w:t>Investition 1.5 – Stär</w:t>
            </w:r>
            <w:r w:rsidRPr="00170422">
              <w:rPr>
                <w:noProof/>
                <w:lang w:val="de-DE"/>
              </w:rPr>
              <w:t>kung der Metropol-Knoten und der wichtigsten nationalen Verbindungen</w:t>
            </w:r>
          </w:p>
        </w:tc>
        <w:tc>
          <w:tcPr>
            <w:tcW w:w="2126" w:type="dxa"/>
            <w:shd w:val="clear" w:color="auto" w:fill="C6EFCE"/>
            <w:tcMar>
              <w:left w:w="108" w:type="dxa"/>
              <w:right w:w="108" w:type="dxa"/>
            </w:tcMar>
            <w:vAlign w:val="center"/>
          </w:tcPr>
          <w:p w14:paraId="1ED30B3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21630BD6" w14:textId="77777777" w:rsidR="0057163C" w:rsidRPr="00170422" w:rsidRDefault="00F37BF9">
            <w:pPr>
              <w:pStyle w:val="P68B1DB1-Normal121"/>
              <w:spacing w:after="0" w:line="240" w:lineRule="auto"/>
              <w:rPr>
                <w:noProof/>
                <w:lang w:val="de-DE"/>
              </w:rPr>
            </w:pPr>
            <w:r w:rsidRPr="00170422">
              <w:rPr>
                <w:noProof/>
                <w:lang w:val="de-DE"/>
              </w:rPr>
              <w:t>700 km ausgebaute Streckenabschnitte, die an Metropolknoten und wichtigen nationalen Verbindungen gebaut werden</w:t>
            </w:r>
          </w:p>
        </w:tc>
      </w:tr>
      <w:tr w:rsidR="0057163C" w:rsidRPr="00170422" w14:paraId="0266AC1C" w14:textId="77777777" w:rsidTr="0018154D">
        <w:trPr>
          <w:trHeight w:val="300"/>
        </w:trPr>
        <w:tc>
          <w:tcPr>
            <w:tcW w:w="1406" w:type="dxa"/>
            <w:shd w:val="clear" w:color="auto" w:fill="C6EFCE"/>
            <w:tcMar>
              <w:left w:w="108" w:type="dxa"/>
              <w:right w:w="108" w:type="dxa"/>
            </w:tcMar>
            <w:vAlign w:val="center"/>
          </w:tcPr>
          <w:p w14:paraId="2ECC183A" w14:textId="77777777" w:rsidR="0057163C" w:rsidRPr="00170422" w:rsidRDefault="00F37BF9">
            <w:pPr>
              <w:pStyle w:val="P68B1DB1-Normal121"/>
              <w:spacing w:after="0" w:line="240" w:lineRule="auto"/>
              <w:jc w:val="center"/>
              <w:rPr>
                <w:noProof/>
                <w:lang w:val="de-DE"/>
              </w:rPr>
            </w:pPr>
            <w:r w:rsidRPr="00170422">
              <w:rPr>
                <w:noProof/>
                <w:lang w:val="de-DE"/>
              </w:rPr>
              <w:t>M3C1-19</w:t>
            </w:r>
          </w:p>
        </w:tc>
        <w:tc>
          <w:tcPr>
            <w:tcW w:w="2268" w:type="dxa"/>
            <w:shd w:val="clear" w:color="auto" w:fill="C6EFCE"/>
            <w:tcMar>
              <w:left w:w="108" w:type="dxa"/>
              <w:right w:w="108" w:type="dxa"/>
            </w:tcMar>
            <w:vAlign w:val="center"/>
          </w:tcPr>
          <w:p w14:paraId="66CA34D2" w14:textId="77777777" w:rsidR="0057163C" w:rsidRPr="00170422" w:rsidRDefault="00F37BF9">
            <w:pPr>
              <w:pStyle w:val="P68B1DB1-Normal121"/>
              <w:spacing w:after="0" w:line="240" w:lineRule="auto"/>
              <w:rPr>
                <w:noProof/>
                <w:lang w:val="de-DE"/>
              </w:rPr>
            </w:pPr>
            <w:r w:rsidRPr="00170422">
              <w:rPr>
                <w:noProof/>
                <w:lang w:val="de-DE"/>
              </w:rPr>
              <w:t>Investition 1.8 – Modernisierung der Bahnhöfe (RFI-Management</w:t>
            </w:r>
            <w:r w:rsidRPr="00170422">
              <w:rPr>
                <w:noProof/>
                <w:lang w:val="de-DE"/>
              </w:rPr>
              <w:t>; im Süden)</w:t>
            </w:r>
          </w:p>
        </w:tc>
        <w:tc>
          <w:tcPr>
            <w:tcW w:w="2126" w:type="dxa"/>
            <w:shd w:val="clear" w:color="auto" w:fill="C6EFCE"/>
            <w:tcMar>
              <w:left w:w="108" w:type="dxa"/>
              <w:right w:w="108" w:type="dxa"/>
            </w:tcMar>
            <w:vAlign w:val="center"/>
          </w:tcPr>
          <w:p w14:paraId="76594EA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5B2A575F" w14:textId="77777777" w:rsidR="0057163C" w:rsidRPr="00170422" w:rsidRDefault="00F37BF9">
            <w:pPr>
              <w:pStyle w:val="P68B1DB1-Normal121"/>
              <w:spacing w:after="0" w:line="240" w:lineRule="auto"/>
              <w:rPr>
                <w:noProof/>
                <w:lang w:val="de-DE"/>
              </w:rPr>
            </w:pPr>
            <w:r w:rsidRPr="00170422">
              <w:rPr>
                <w:noProof/>
                <w:lang w:val="de-DE"/>
              </w:rPr>
              <w:t>Modernisierte und zugängliche Bahnhöfe</w:t>
            </w:r>
          </w:p>
        </w:tc>
      </w:tr>
      <w:tr w:rsidR="0057163C" w:rsidRPr="00170422" w14:paraId="5855CE2D" w14:textId="77777777" w:rsidTr="0018154D">
        <w:trPr>
          <w:trHeight w:val="300"/>
        </w:trPr>
        <w:tc>
          <w:tcPr>
            <w:tcW w:w="1406" w:type="dxa"/>
            <w:shd w:val="clear" w:color="auto" w:fill="C6EFCE"/>
            <w:tcMar>
              <w:left w:w="108" w:type="dxa"/>
              <w:right w:w="108" w:type="dxa"/>
            </w:tcMar>
            <w:vAlign w:val="center"/>
          </w:tcPr>
          <w:p w14:paraId="37E5646C" w14:textId="77777777" w:rsidR="0057163C" w:rsidRPr="00170422" w:rsidRDefault="00F37BF9">
            <w:pPr>
              <w:pStyle w:val="P68B1DB1-Normal121"/>
              <w:spacing w:after="0" w:line="240" w:lineRule="auto"/>
              <w:jc w:val="center"/>
              <w:rPr>
                <w:noProof/>
                <w:lang w:val="de-DE"/>
              </w:rPr>
            </w:pPr>
            <w:r w:rsidRPr="00170422">
              <w:rPr>
                <w:noProof/>
                <w:lang w:val="de-DE"/>
              </w:rPr>
              <w:t>M4C2-21bis</w:t>
            </w:r>
          </w:p>
        </w:tc>
        <w:tc>
          <w:tcPr>
            <w:tcW w:w="2268" w:type="dxa"/>
            <w:shd w:val="clear" w:color="auto" w:fill="C6EFCE"/>
            <w:tcMar>
              <w:left w:w="108" w:type="dxa"/>
              <w:right w:w="108" w:type="dxa"/>
            </w:tcMar>
            <w:vAlign w:val="center"/>
          </w:tcPr>
          <w:p w14:paraId="764A4A31" w14:textId="77777777" w:rsidR="0057163C" w:rsidRPr="00170422" w:rsidRDefault="00F37BF9">
            <w:pPr>
              <w:pStyle w:val="P68B1DB1-Normal121"/>
              <w:spacing w:after="0" w:line="240" w:lineRule="auto"/>
              <w:rPr>
                <w:noProof/>
                <w:lang w:val="de-DE"/>
              </w:rPr>
            </w:pPr>
            <w:r w:rsidRPr="00170422">
              <w:rPr>
                <w:noProof/>
                <w:lang w:val="de-DE"/>
              </w:rPr>
              <w:t>Investition 3.2 – Eigenkapitalzufuhr in den Fonds für den digitalen Wandel (DTF)</w:t>
            </w:r>
          </w:p>
        </w:tc>
        <w:tc>
          <w:tcPr>
            <w:tcW w:w="2126" w:type="dxa"/>
            <w:shd w:val="clear" w:color="auto" w:fill="C6EFCE"/>
            <w:tcMar>
              <w:left w:w="108" w:type="dxa"/>
              <w:right w:w="108" w:type="dxa"/>
            </w:tcMar>
            <w:vAlign w:val="center"/>
          </w:tcPr>
          <w:p w14:paraId="1B0D2B2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33DE3B7" w14:textId="77777777" w:rsidR="0057163C" w:rsidRPr="00170422" w:rsidRDefault="00F37BF9">
            <w:pPr>
              <w:pStyle w:val="P68B1DB1-Normal121"/>
              <w:spacing w:after="0" w:line="240" w:lineRule="auto"/>
              <w:rPr>
                <w:noProof/>
                <w:lang w:val="de-DE"/>
              </w:rPr>
            </w:pPr>
            <w:r w:rsidRPr="00170422">
              <w:rPr>
                <w:noProof/>
                <w:lang w:val="de-DE"/>
              </w:rPr>
              <w:t>Kapitalzuführung in den Fonds für den digitalen Wandel</w:t>
            </w:r>
          </w:p>
        </w:tc>
      </w:tr>
      <w:tr w:rsidR="0057163C" w:rsidRPr="00170422" w14:paraId="19EE13A7" w14:textId="77777777" w:rsidTr="0018154D">
        <w:trPr>
          <w:trHeight w:val="300"/>
        </w:trPr>
        <w:tc>
          <w:tcPr>
            <w:tcW w:w="1406" w:type="dxa"/>
            <w:shd w:val="clear" w:color="auto" w:fill="C6EFCE"/>
            <w:tcMar>
              <w:left w:w="108" w:type="dxa"/>
              <w:right w:w="108" w:type="dxa"/>
            </w:tcMar>
            <w:vAlign w:val="center"/>
          </w:tcPr>
          <w:p w14:paraId="6ED3875C" w14:textId="77777777" w:rsidR="0057163C" w:rsidRPr="00170422" w:rsidRDefault="00F37BF9">
            <w:pPr>
              <w:pStyle w:val="P68B1DB1-Normal121"/>
              <w:spacing w:after="0" w:line="240" w:lineRule="auto"/>
              <w:jc w:val="center"/>
              <w:rPr>
                <w:noProof/>
                <w:lang w:val="de-DE"/>
              </w:rPr>
            </w:pPr>
            <w:r w:rsidRPr="00170422">
              <w:rPr>
                <w:noProof/>
                <w:lang w:val="de-DE"/>
              </w:rPr>
              <w:t>M5C3-12</w:t>
            </w:r>
          </w:p>
        </w:tc>
        <w:tc>
          <w:tcPr>
            <w:tcW w:w="2268" w:type="dxa"/>
            <w:shd w:val="clear" w:color="auto" w:fill="C6EFCE"/>
            <w:tcMar>
              <w:left w:w="108" w:type="dxa"/>
              <w:right w:w="108" w:type="dxa"/>
            </w:tcMar>
            <w:vAlign w:val="center"/>
          </w:tcPr>
          <w:p w14:paraId="43FCCDA8" w14:textId="77777777" w:rsidR="0057163C" w:rsidRPr="00170422" w:rsidRDefault="00F37BF9">
            <w:pPr>
              <w:pStyle w:val="P68B1DB1-Normal121"/>
              <w:spacing w:after="0" w:line="240" w:lineRule="auto"/>
              <w:rPr>
                <w:noProof/>
                <w:lang w:val="de-DE"/>
              </w:rPr>
            </w:pPr>
            <w:r w:rsidRPr="00170422">
              <w:rPr>
                <w:noProof/>
                <w:lang w:val="de-DE"/>
              </w:rPr>
              <w:t xml:space="preserve">Investition 1.4: </w:t>
            </w:r>
            <w:r w:rsidRPr="00170422">
              <w:rPr>
                <w:noProof/>
                <w:lang w:val="de-DE"/>
              </w:rPr>
              <w:t>Infrastrukturinvestitionen für die Sonderwirtschaftszone</w:t>
            </w:r>
          </w:p>
        </w:tc>
        <w:tc>
          <w:tcPr>
            <w:tcW w:w="2126" w:type="dxa"/>
            <w:shd w:val="clear" w:color="auto" w:fill="C6EFCE"/>
            <w:tcMar>
              <w:left w:w="108" w:type="dxa"/>
              <w:right w:w="108" w:type="dxa"/>
            </w:tcMar>
            <w:vAlign w:val="center"/>
          </w:tcPr>
          <w:p w14:paraId="546A7BF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422E669" w14:textId="77777777" w:rsidR="0057163C" w:rsidRPr="00170422" w:rsidRDefault="00F37BF9">
            <w:pPr>
              <w:pStyle w:val="P68B1DB1-Normal121"/>
              <w:spacing w:after="0" w:line="240" w:lineRule="auto"/>
              <w:rPr>
                <w:noProof/>
                <w:lang w:val="de-DE"/>
              </w:rPr>
            </w:pPr>
            <w:r w:rsidRPr="00170422">
              <w:rPr>
                <w:noProof/>
                <w:lang w:val="de-DE"/>
              </w:rPr>
              <w:t>Beginn der Arbeiten für Projekte für Infrastrukturinterventionen in den Sonderwirtschaftszonen</w:t>
            </w:r>
          </w:p>
        </w:tc>
      </w:tr>
      <w:tr w:rsidR="0057163C" w:rsidRPr="00170422" w14:paraId="0B735BB3" w14:textId="77777777" w:rsidTr="0018154D">
        <w:trPr>
          <w:trHeight w:val="300"/>
        </w:trPr>
        <w:tc>
          <w:tcPr>
            <w:tcW w:w="1406" w:type="dxa"/>
            <w:shd w:val="clear" w:color="auto" w:fill="C6EFCE"/>
            <w:tcMar>
              <w:left w:w="108" w:type="dxa"/>
              <w:right w:w="108" w:type="dxa"/>
            </w:tcMar>
            <w:vAlign w:val="center"/>
          </w:tcPr>
          <w:p w14:paraId="5D74A869" w14:textId="77777777" w:rsidR="0057163C" w:rsidRPr="00170422" w:rsidRDefault="00F37BF9">
            <w:pPr>
              <w:pStyle w:val="P68B1DB1-Normal121"/>
              <w:spacing w:after="0" w:line="240" w:lineRule="auto"/>
              <w:jc w:val="center"/>
              <w:rPr>
                <w:noProof/>
                <w:lang w:val="de-DE"/>
              </w:rPr>
            </w:pPr>
            <w:r w:rsidRPr="00170422">
              <w:rPr>
                <w:noProof/>
                <w:lang w:val="de-DE"/>
              </w:rPr>
              <w:t>M6C1-7</w:t>
            </w:r>
          </w:p>
        </w:tc>
        <w:tc>
          <w:tcPr>
            <w:tcW w:w="2268" w:type="dxa"/>
            <w:shd w:val="clear" w:color="auto" w:fill="C6EFCE"/>
            <w:tcMar>
              <w:left w:w="108" w:type="dxa"/>
              <w:right w:w="108" w:type="dxa"/>
            </w:tcMar>
            <w:vAlign w:val="center"/>
          </w:tcPr>
          <w:p w14:paraId="5F6DAD91" w14:textId="77777777" w:rsidR="0057163C" w:rsidRPr="00170422" w:rsidRDefault="00F37BF9">
            <w:pPr>
              <w:pStyle w:val="P68B1DB1-Normal121"/>
              <w:spacing w:after="0" w:line="240" w:lineRule="auto"/>
              <w:rPr>
                <w:noProof/>
                <w:lang w:val="de-DE"/>
              </w:rPr>
            </w:pPr>
            <w:r w:rsidRPr="00170422">
              <w:rPr>
                <w:noProof/>
                <w:lang w:val="de-DE"/>
              </w:rPr>
              <w:t>Investition 1.2: Zuhause als Erstversorgungsort und Telemedizin</w:t>
            </w:r>
          </w:p>
        </w:tc>
        <w:tc>
          <w:tcPr>
            <w:tcW w:w="2126" w:type="dxa"/>
            <w:shd w:val="clear" w:color="auto" w:fill="C6EFCE"/>
            <w:tcMar>
              <w:left w:w="108" w:type="dxa"/>
              <w:right w:w="108" w:type="dxa"/>
            </w:tcMar>
            <w:vAlign w:val="center"/>
          </w:tcPr>
          <w:p w14:paraId="0DA8835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14C2ACFE" w14:textId="77777777" w:rsidR="0057163C" w:rsidRPr="00170422" w:rsidRDefault="00F37BF9">
            <w:pPr>
              <w:pStyle w:val="P68B1DB1-Normal121"/>
              <w:spacing w:after="0" w:line="240" w:lineRule="auto"/>
              <w:rPr>
                <w:noProof/>
                <w:lang w:val="de-DE"/>
              </w:rPr>
            </w:pPr>
            <w:r w:rsidRPr="00170422">
              <w:rPr>
                <w:noProof/>
                <w:lang w:val="de-DE"/>
              </w:rPr>
              <w:t xml:space="preserve">Koordinierungszentren </w:t>
            </w:r>
            <w:r w:rsidRPr="00170422">
              <w:rPr>
                <w:noProof/>
                <w:lang w:val="de-DE"/>
              </w:rPr>
              <w:t>voll funktionsfähig (zweite Gruppe)</w:t>
            </w:r>
          </w:p>
        </w:tc>
      </w:tr>
      <w:tr w:rsidR="0057163C" w:rsidRPr="00170422" w14:paraId="2B5E75DC" w14:textId="77777777" w:rsidTr="0018154D">
        <w:trPr>
          <w:trHeight w:val="300"/>
        </w:trPr>
        <w:tc>
          <w:tcPr>
            <w:tcW w:w="1406" w:type="dxa"/>
            <w:shd w:val="clear" w:color="auto" w:fill="C6EFCE"/>
            <w:tcMar>
              <w:left w:w="108" w:type="dxa"/>
              <w:right w:w="108" w:type="dxa"/>
            </w:tcMar>
            <w:vAlign w:val="center"/>
          </w:tcPr>
          <w:p w14:paraId="6391AA2E" w14:textId="77777777" w:rsidR="0057163C" w:rsidRPr="00170422" w:rsidRDefault="00F37BF9">
            <w:pPr>
              <w:pStyle w:val="P68B1DB1-Normal121"/>
              <w:spacing w:after="0" w:line="240" w:lineRule="auto"/>
              <w:jc w:val="center"/>
              <w:rPr>
                <w:noProof/>
                <w:lang w:val="de-DE"/>
              </w:rPr>
            </w:pPr>
            <w:r w:rsidRPr="00170422">
              <w:rPr>
                <w:noProof/>
                <w:lang w:val="de-DE"/>
              </w:rPr>
              <w:t>M7-43</w:t>
            </w:r>
          </w:p>
        </w:tc>
        <w:tc>
          <w:tcPr>
            <w:tcW w:w="2268" w:type="dxa"/>
            <w:shd w:val="clear" w:color="auto" w:fill="C6EFCE"/>
            <w:tcMar>
              <w:left w:w="108" w:type="dxa"/>
              <w:right w:w="108" w:type="dxa"/>
            </w:tcMar>
            <w:vAlign w:val="center"/>
          </w:tcPr>
          <w:p w14:paraId="663AA3D7" w14:textId="77777777" w:rsidR="0057163C" w:rsidRPr="00170422" w:rsidRDefault="00F37BF9">
            <w:pPr>
              <w:pStyle w:val="P68B1DB1-Normal121"/>
              <w:spacing w:after="0" w:line="240" w:lineRule="auto"/>
              <w:rPr>
                <w:noProof/>
                <w:lang w:val="de-DE"/>
              </w:rPr>
            </w:pPr>
            <w:r w:rsidRPr="00170422">
              <w:rPr>
                <w:noProof/>
                <w:lang w:val="de-DE"/>
              </w:rPr>
              <w:t>Investition 16: Unterstützung von KMU bei der Eigenerzeugung aus erneuerbaren Energiequellen</w:t>
            </w:r>
          </w:p>
        </w:tc>
        <w:tc>
          <w:tcPr>
            <w:tcW w:w="2126" w:type="dxa"/>
            <w:shd w:val="clear" w:color="auto" w:fill="C6EFCE"/>
            <w:tcMar>
              <w:left w:w="108" w:type="dxa"/>
              <w:right w:w="108" w:type="dxa"/>
            </w:tcMar>
            <w:vAlign w:val="center"/>
          </w:tcPr>
          <w:p w14:paraId="72AC55FB"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586B6715"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2C3C5FE1" w14:textId="77777777" w:rsidTr="0018154D">
        <w:trPr>
          <w:trHeight w:val="300"/>
        </w:trPr>
        <w:tc>
          <w:tcPr>
            <w:tcW w:w="1406" w:type="dxa"/>
            <w:shd w:val="clear" w:color="auto" w:fill="C6EFCE"/>
            <w:tcMar>
              <w:left w:w="108" w:type="dxa"/>
              <w:right w:w="108" w:type="dxa"/>
            </w:tcMar>
            <w:vAlign w:val="center"/>
          </w:tcPr>
          <w:p w14:paraId="61DC3B9B" w14:textId="77777777" w:rsidR="0057163C" w:rsidRPr="00170422" w:rsidRDefault="00F37BF9">
            <w:pPr>
              <w:pStyle w:val="P68B1DB1-Normal121"/>
              <w:spacing w:after="0" w:line="240" w:lineRule="auto"/>
              <w:jc w:val="center"/>
              <w:rPr>
                <w:noProof/>
                <w:lang w:val="de-DE"/>
              </w:rPr>
            </w:pPr>
            <w:r w:rsidRPr="00170422">
              <w:rPr>
                <w:noProof/>
                <w:lang w:val="de-DE"/>
              </w:rPr>
              <w:t>M7-44</w:t>
            </w:r>
          </w:p>
        </w:tc>
        <w:tc>
          <w:tcPr>
            <w:tcW w:w="2268" w:type="dxa"/>
            <w:shd w:val="clear" w:color="auto" w:fill="C6EFCE"/>
            <w:tcMar>
              <w:left w:w="108" w:type="dxa"/>
              <w:right w:w="108" w:type="dxa"/>
            </w:tcMar>
            <w:vAlign w:val="center"/>
          </w:tcPr>
          <w:p w14:paraId="58E79C79" w14:textId="77777777" w:rsidR="0057163C" w:rsidRPr="00170422" w:rsidRDefault="00F37BF9">
            <w:pPr>
              <w:pStyle w:val="P68B1DB1-Normal121"/>
              <w:spacing w:after="0" w:line="240" w:lineRule="auto"/>
              <w:rPr>
                <w:noProof/>
                <w:lang w:val="de-DE"/>
              </w:rPr>
            </w:pPr>
            <w:r w:rsidRPr="00170422">
              <w:rPr>
                <w:noProof/>
                <w:lang w:val="de-DE"/>
              </w:rPr>
              <w:t xml:space="preserve">Investition 16: Unterstützung von KMU bei der Eigenerzeugung aus </w:t>
            </w:r>
            <w:r w:rsidRPr="00170422">
              <w:rPr>
                <w:noProof/>
                <w:lang w:val="de-DE"/>
              </w:rPr>
              <w:t>erneuerbaren Energiequellen</w:t>
            </w:r>
          </w:p>
        </w:tc>
        <w:tc>
          <w:tcPr>
            <w:tcW w:w="2126" w:type="dxa"/>
            <w:shd w:val="clear" w:color="auto" w:fill="C6EFCE"/>
            <w:tcMar>
              <w:left w:w="108" w:type="dxa"/>
              <w:right w:w="108" w:type="dxa"/>
            </w:tcMar>
            <w:vAlign w:val="center"/>
          </w:tcPr>
          <w:p w14:paraId="486AAEC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FBF62C1" w14:textId="77777777" w:rsidR="0057163C" w:rsidRPr="00170422" w:rsidRDefault="00F37BF9">
            <w:pPr>
              <w:pStyle w:val="P68B1DB1-Normal121"/>
              <w:spacing w:after="0" w:line="240" w:lineRule="auto"/>
              <w:rPr>
                <w:noProof/>
                <w:lang w:val="de-DE"/>
              </w:rPr>
            </w:pPr>
            <w:r w:rsidRPr="00170422">
              <w:rPr>
                <w:noProof/>
                <w:lang w:val="de-DE"/>
              </w:rPr>
              <w:t>Das italienische Ministerium für Unternehmen und Made hat die Mittelübertragung an Invitalia abgeschlossen.</w:t>
            </w:r>
          </w:p>
        </w:tc>
      </w:tr>
      <w:tr w:rsidR="0057163C" w:rsidRPr="00170422" w14:paraId="0B29B6FE" w14:textId="77777777" w:rsidTr="0018154D">
        <w:trPr>
          <w:trHeight w:val="300"/>
        </w:trPr>
        <w:tc>
          <w:tcPr>
            <w:tcW w:w="1406" w:type="dxa"/>
            <w:shd w:val="clear" w:color="auto" w:fill="C6EFCE"/>
            <w:tcMar>
              <w:left w:w="108" w:type="dxa"/>
              <w:right w:w="108" w:type="dxa"/>
            </w:tcMar>
            <w:vAlign w:val="center"/>
          </w:tcPr>
          <w:p w14:paraId="23370572" w14:textId="77777777" w:rsidR="0057163C" w:rsidRPr="00170422" w:rsidRDefault="00F37BF9">
            <w:pPr>
              <w:pStyle w:val="P68B1DB1-Normal121"/>
              <w:spacing w:after="0" w:line="240" w:lineRule="auto"/>
              <w:jc w:val="center"/>
              <w:rPr>
                <w:noProof/>
                <w:lang w:val="de-DE"/>
              </w:rPr>
            </w:pPr>
            <w:r w:rsidRPr="00170422">
              <w:rPr>
                <w:noProof/>
                <w:lang w:val="de-DE"/>
              </w:rPr>
              <w:t>M2C4-20</w:t>
            </w:r>
          </w:p>
        </w:tc>
        <w:tc>
          <w:tcPr>
            <w:tcW w:w="2268" w:type="dxa"/>
            <w:shd w:val="clear" w:color="auto" w:fill="C6EFCE"/>
            <w:tcMar>
              <w:left w:w="108" w:type="dxa"/>
              <w:right w:w="108" w:type="dxa"/>
            </w:tcMar>
            <w:vAlign w:val="center"/>
          </w:tcPr>
          <w:p w14:paraId="10D89D91" w14:textId="77777777" w:rsidR="0057163C" w:rsidRPr="00170422" w:rsidRDefault="00F37BF9">
            <w:pPr>
              <w:pStyle w:val="P68B1DB1-Normal121"/>
              <w:spacing w:after="0" w:line="240" w:lineRule="auto"/>
              <w:rPr>
                <w:noProof/>
                <w:lang w:val="de-DE"/>
              </w:rPr>
            </w:pPr>
            <w:r w:rsidRPr="00170422">
              <w:rPr>
                <w:noProof/>
                <w:lang w:val="de-DE"/>
              </w:rPr>
              <w:t>Investieren. 3.1: Schutz und Verbesserung städtischer und stadtnaher Wälder</w:t>
            </w:r>
          </w:p>
        </w:tc>
        <w:tc>
          <w:tcPr>
            <w:tcW w:w="2126" w:type="dxa"/>
            <w:shd w:val="clear" w:color="auto" w:fill="C6EFCE"/>
            <w:tcMar>
              <w:left w:w="108" w:type="dxa"/>
              <w:right w:w="108" w:type="dxa"/>
            </w:tcMar>
            <w:vAlign w:val="center"/>
          </w:tcPr>
          <w:p w14:paraId="61216B2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5A18F988" w14:textId="77777777" w:rsidR="0057163C" w:rsidRPr="00170422" w:rsidRDefault="00F37BF9">
            <w:pPr>
              <w:pStyle w:val="P68B1DB1-Normal121"/>
              <w:spacing w:after="0" w:line="240" w:lineRule="auto"/>
              <w:rPr>
                <w:noProof/>
                <w:lang w:val="de-DE"/>
              </w:rPr>
            </w:pPr>
            <w:r w:rsidRPr="00170422">
              <w:rPr>
                <w:noProof/>
                <w:lang w:val="de-DE"/>
              </w:rPr>
              <w:t xml:space="preserve">Pflanzenbäume zum </w:t>
            </w:r>
            <w:r w:rsidRPr="00170422">
              <w:rPr>
                <w:noProof/>
                <w:lang w:val="de-DE"/>
              </w:rPr>
              <w:t xml:space="preserve">Schutz und zur Valorisierung städtischer und stadtnaher Grünflächen T2 </w:t>
            </w:r>
          </w:p>
        </w:tc>
      </w:tr>
      <w:tr w:rsidR="0057163C" w:rsidRPr="00170422" w14:paraId="0E27E8EA" w14:textId="77777777" w:rsidTr="0018154D">
        <w:trPr>
          <w:trHeight w:val="300"/>
        </w:trPr>
        <w:tc>
          <w:tcPr>
            <w:tcW w:w="1406" w:type="dxa"/>
            <w:shd w:val="clear" w:color="auto" w:fill="C6EFCE"/>
            <w:tcMar>
              <w:left w:w="108" w:type="dxa"/>
              <w:right w:w="108" w:type="dxa"/>
            </w:tcMar>
            <w:vAlign w:val="center"/>
          </w:tcPr>
          <w:p w14:paraId="5A5DE6EB"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shd w:val="clear" w:color="auto" w:fill="C6EFCE"/>
            <w:tcMar>
              <w:left w:w="108" w:type="dxa"/>
              <w:right w:w="108" w:type="dxa"/>
            </w:tcMar>
            <w:vAlign w:val="center"/>
          </w:tcPr>
          <w:p w14:paraId="5F70AB7F"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126" w:type="dxa"/>
            <w:shd w:val="clear" w:color="auto" w:fill="C6EFCE"/>
            <w:tcMar>
              <w:left w:w="108" w:type="dxa"/>
              <w:right w:w="108" w:type="dxa"/>
            </w:tcMar>
            <w:vAlign w:val="center"/>
          </w:tcPr>
          <w:p w14:paraId="00701715"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8" w:type="dxa"/>
            <w:shd w:val="clear" w:color="auto" w:fill="C6EFCE"/>
            <w:tcMar>
              <w:left w:w="108" w:type="dxa"/>
              <w:right w:w="108" w:type="dxa"/>
            </w:tcMar>
            <w:vAlign w:val="center"/>
          </w:tcPr>
          <w:p w14:paraId="67324257"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15715972025 EUR</w:t>
            </w:r>
            <w:r w:rsidRPr="00170422">
              <w:rPr>
                <w:noProof/>
                <w:sz w:val="23"/>
                <w:szCs w:val="23"/>
                <w:lang w:val="de-DE"/>
              </w:rPr>
              <w:t xml:space="preserve">  </w:t>
            </w:r>
          </w:p>
        </w:tc>
      </w:tr>
    </w:tbl>
    <w:p w14:paraId="2C1F07C4"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3D79AADE"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7F9CD71E" w14:textId="77777777" w:rsidR="0057163C" w:rsidRPr="00170422" w:rsidRDefault="0057163C">
      <w:pPr>
        <w:spacing w:after="0"/>
        <w:ind w:left="850"/>
        <w:contextualSpacing/>
        <w:jc w:val="both"/>
        <w:rPr>
          <w:rFonts w:ascii="Times New Roman" w:eastAsia="Times New Roman" w:hAnsi="Times New Roman" w:cs="Times New Roman"/>
          <w:noProof/>
          <w:lang w:val="de-DE"/>
        </w:rPr>
      </w:pPr>
    </w:p>
    <w:p w14:paraId="3EF59D40" w14:textId="77777777" w:rsidR="0057163C" w:rsidRPr="00170422" w:rsidRDefault="00F37BF9">
      <w:pPr>
        <w:pStyle w:val="P68B1DB1-Normal8"/>
        <w:rPr>
          <w:noProof/>
          <w:lang w:val="de-DE"/>
        </w:rPr>
      </w:pPr>
      <w:r w:rsidRPr="00170422">
        <w:rPr>
          <w:noProof/>
          <w:lang w:val="de-DE"/>
        </w:rPr>
        <w:br w:type="page"/>
      </w:r>
    </w:p>
    <w:p w14:paraId="6F9E63C2"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Achte Tranche (Darlehensunterstützung):</w:t>
      </w:r>
    </w:p>
    <w:tbl>
      <w:tblPr>
        <w:tblW w:w="9358"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5"/>
        <w:gridCol w:w="2339"/>
        <w:gridCol w:w="2126"/>
        <w:gridCol w:w="3558"/>
      </w:tblGrid>
      <w:tr w:rsidR="0057163C" w:rsidRPr="00170422" w14:paraId="2053FE2E" w14:textId="77777777" w:rsidTr="0018154D">
        <w:trPr>
          <w:trHeight w:val="900"/>
          <w:tblHeader/>
        </w:trPr>
        <w:tc>
          <w:tcPr>
            <w:tcW w:w="1335" w:type="dxa"/>
            <w:vMerge w:val="restart"/>
            <w:shd w:val="clear" w:color="auto" w:fill="BDD7EE"/>
            <w:tcMar>
              <w:left w:w="108" w:type="dxa"/>
              <w:right w:w="108" w:type="dxa"/>
            </w:tcMar>
            <w:vAlign w:val="center"/>
          </w:tcPr>
          <w:p w14:paraId="2A65FC91"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339" w:type="dxa"/>
            <w:vMerge w:val="restart"/>
            <w:shd w:val="clear" w:color="auto" w:fill="BDD7EE"/>
            <w:tcMar>
              <w:left w:w="108" w:type="dxa"/>
              <w:right w:w="108" w:type="dxa"/>
            </w:tcMar>
            <w:vAlign w:val="center"/>
          </w:tcPr>
          <w:p w14:paraId="25972084"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26" w:type="dxa"/>
            <w:vMerge w:val="restart"/>
            <w:shd w:val="clear" w:color="auto" w:fill="BDD7EE"/>
            <w:tcMar>
              <w:left w:w="108" w:type="dxa"/>
              <w:right w:w="108" w:type="dxa"/>
            </w:tcMar>
            <w:vAlign w:val="center"/>
          </w:tcPr>
          <w:p w14:paraId="31C739A0"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558" w:type="dxa"/>
            <w:vMerge w:val="restart"/>
            <w:shd w:val="clear" w:color="auto" w:fill="BDD7EE"/>
            <w:tcMar>
              <w:left w:w="108" w:type="dxa"/>
              <w:right w:w="108" w:type="dxa"/>
            </w:tcMar>
            <w:vAlign w:val="center"/>
          </w:tcPr>
          <w:p w14:paraId="42FA8884"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5F699770" w14:textId="77777777" w:rsidTr="0018154D">
        <w:trPr>
          <w:trHeight w:val="510"/>
        </w:trPr>
        <w:tc>
          <w:tcPr>
            <w:tcW w:w="1335" w:type="dxa"/>
            <w:vMerge/>
            <w:vAlign w:val="center"/>
          </w:tcPr>
          <w:p w14:paraId="514AF676"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339" w:type="dxa"/>
            <w:vMerge/>
            <w:vAlign w:val="center"/>
          </w:tcPr>
          <w:p w14:paraId="43DDFF35"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vAlign w:val="center"/>
          </w:tcPr>
          <w:p w14:paraId="36947523"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558" w:type="dxa"/>
            <w:vMerge/>
            <w:vAlign w:val="center"/>
          </w:tcPr>
          <w:p w14:paraId="785E943B"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7905C74B" w14:textId="77777777" w:rsidTr="0018154D">
        <w:trPr>
          <w:trHeight w:val="300"/>
        </w:trPr>
        <w:tc>
          <w:tcPr>
            <w:tcW w:w="1335" w:type="dxa"/>
            <w:shd w:val="clear" w:color="auto" w:fill="C6EFCE"/>
            <w:tcMar>
              <w:left w:w="108" w:type="dxa"/>
              <w:right w:w="108" w:type="dxa"/>
            </w:tcMar>
            <w:vAlign w:val="center"/>
          </w:tcPr>
          <w:p w14:paraId="70E39534" w14:textId="77777777" w:rsidR="0057163C" w:rsidRPr="00170422" w:rsidRDefault="00F37BF9">
            <w:pPr>
              <w:pStyle w:val="P68B1DB1-Normal121"/>
              <w:spacing w:after="0" w:line="240" w:lineRule="auto"/>
              <w:jc w:val="center"/>
              <w:rPr>
                <w:noProof/>
                <w:lang w:val="de-DE"/>
              </w:rPr>
            </w:pPr>
            <w:r w:rsidRPr="00170422">
              <w:rPr>
                <w:noProof/>
                <w:lang w:val="de-DE"/>
              </w:rPr>
              <w:t>M7-47</w:t>
            </w:r>
          </w:p>
        </w:tc>
        <w:tc>
          <w:tcPr>
            <w:tcW w:w="2339" w:type="dxa"/>
            <w:shd w:val="clear" w:color="auto" w:fill="C6EFCE"/>
            <w:tcMar>
              <w:left w:w="108" w:type="dxa"/>
              <w:right w:w="108" w:type="dxa"/>
            </w:tcMar>
            <w:vAlign w:val="center"/>
          </w:tcPr>
          <w:p w14:paraId="65DFCCD9" w14:textId="77777777" w:rsidR="0057163C" w:rsidRPr="00170422" w:rsidRDefault="00F37BF9">
            <w:pPr>
              <w:pStyle w:val="P68B1DB1-Normal121"/>
              <w:spacing w:after="0" w:line="240" w:lineRule="auto"/>
              <w:rPr>
                <w:noProof/>
                <w:lang w:val="de-DE"/>
              </w:rPr>
            </w:pPr>
            <w:r w:rsidRPr="00170422">
              <w:rPr>
                <w:noProof/>
                <w:lang w:val="de-DE"/>
              </w:rPr>
              <w:t>Investition 17: Finanzinstrument für die energetische Sanierung öffentlicher Wohngebäude</w:t>
            </w:r>
          </w:p>
        </w:tc>
        <w:tc>
          <w:tcPr>
            <w:tcW w:w="2126" w:type="dxa"/>
            <w:shd w:val="clear" w:color="auto" w:fill="C6EFCE"/>
            <w:tcMar>
              <w:left w:w="108" w:type="dxa"/>
              <w:right w:w="108" w:type="dxa"/>
            </w:tcMar>
            <w:vAlign w:val="center"/>
          </w:tcPr>
          <w:p w14:paraId="55C27C7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212DE70E"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407DF1B6" w14:textId="77777777" w:rsidTr="0018154D">
        <w:trPr>
          <w:trHeight w:val="300"/>
        </w:trPr>
        <w:tc>
          <w:tcPr>
            <w:tcW w:w="1335" w:type="dxa"/>
            <w:shd w:val="clear" w:color="auto" w:fill="C6EFCE"/>
            <w:tcMar>
              <w:left w:w="108" w:type="dxa"/>
              <w:right w:w="108" w:type="dxa"/>
            </w:tcMar>
            <w:vAlign w:val="center"/>
          </w:tcPr>
          <w:p w14:paraId="6DBB85D3" w14:textId="77777777" w:rsidR="0057163C" w:rsidRPr="00170422" w:rsidRDefault="00F37BF9">
            <w:pPr>
              <w:pStyle w:val="P68B1DB1-Normal121"/>
              <w:spacing w:after="0" w:line="240" w:lineRule="auto"/>
              <w:jc w:val="center"/>
              <w:rPr>
                <w:noProof/>
                <w:lang w:val="de-DE"/>
              </w:rPr>
            </w:pPr>
            <w:r w:rsidRPr="00170422">
              <w:rPr>
                <w:noProof/>
                <w:lang w:val="de-DE"/>
              </w:rPr>
              <w:t>M7-48</w:t>
            </w:r>
          </w:p>
        </w:tc>
        <w:tc>
          <w:tcPr>
            <w:tcW w:w="2339" w:type="dxa"/>
            <w:shd w:val="clear" w:color="auto" w:fill="C6EFCE"/>
            <w:tcMar>
              <w:left w:w="108" w:type="dxa"/>
              <w:right w:w="108" w:type="dxa"/>
            </w:tcMar>
            <w:vAlign w:val="center"/>
          </w:tcPr>
          <w:p w14:paraId="4E09D9FA" w14:textId="77777777" w:rsidR="0057163C" w:rsidRPr="00170422" w:rsidRDefault="00F37BF9">
            <w:pPr>
              <w:pStyle w:val="P68B1DB1-Normal121"/>
              <w:spacing w:after="0" w:line="240" w:lineRule="auto"/>
              <w:rPr>
                <w:noProof/>
                <w:lang w:val="de-DE"/>
              </w:rPr>
            </w:pPr>
            <w:r w:rsidRPr="00170422">
              <w:rPr>
                <w:noProof/>
                <w:lang w:val="de-DE"/>
              </w:rPr>
              <w:t>Investition 17: Finanzinstrument für die energetische Sanierung öffentlicher Wohngebäude</w:t>
            </w:r>
          </w:p>
        </w:tc>
        <w:tc>
          <w:tcPr>
            <w:tcW w:w="2126" w:type="dxa"/>
            <w:shd w:val="clear" w:color="auto" w:fill="C6EFCE"/>
            <w:tcMar>
              <w:left w:w="108" w:type="dxa"/>
              <w:right w:w="108" w:type="dxa"/>
            </w:tcMar>
            <w:vAlign w:val="center"/>
          </w:tcPr>
          <w:p w14:paraId="6AFC1C1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64CDA69E" w14:textId="77777777" w:rsidR="0057163C" w:rsidRPr="00170422" w:rsidRDefault="00F37BF9">
            <w:pPr>
              <w:pStyle w:val="P68B1DB1-Normal121"/>
              <w:spacing w:after="0" w:line="240" w:lineRule="auto"/>
              <w:rPr>
                <w:noProof/>
                <w:lang w:val="de-DE"/>
              </w:rPr>
            </w:pPr>
            <w:r w:rsidRPr="00170422">
              <w:rPr>
                <w:noProof/>
                <w:lang w:val="de-DE"/>
              </w:rPr>
              <w:t>Das Ministerium</w:t>
            </w:r>
            <w:r w:rsidRPr="00170422">
              <w:rPr>
                <w:noProof/>
                <w:lang w:val="de-DE"/>
              </w:rPr>
              <w:t xml:space="preserve"> hat die Investition abgeschlossen</w:t>
            </w:r>
          </w:p>
        </w:tc>
      </w:tr>
      <w:tr w:rsidR="0057163C" w:rsidRPr="00170422" w14:paraId="5EB47AEC" w14:textId="77777777" w:rsidTr="0018154D">
        <w:trPr>
          <w:trHeight w:val="300"/>
        </w:trPr>
        <w:tc>
          <w:tcPr>
            <w:tcW w:w="1335" w:type="dxa"/>
            <w:shd w:val="clear" w:color="auto" w:fill="C6EFCE"/>
            <w:tcMar>
              <w:left w:w="108" w:type="dxa"/>
              <w:right w:w="108" w:type="dxa"/>
            </w:tcMar>
            <w:vAlign w:val="center"/>
          </w:tcPr>
          <w:p w14:paraId="3AAEA5B0" w14:textId="77777777" w:rsidR="0057163C" w:rsidRPr="00170422" w:rsidRDefault="00F37BF9">
            <w:pPr>
              <w:pStyle w:val="P68B1DB1-Normal121"/>
              <w:spacing w:after="0" w:line="240" w:lineRule="auto"/>
              <w:jc w:val="center"/>
              <w:rPr>
                <w:noProof/>
                <w:lang w:val="de-DE"/>
              </w:rPr>
            </w:pPr>
            <w:r w:rsidRPr="00170422">
              <w:rPr>
                <w:noProof/>
                <w:lang w:val="de-DE"/>
              </w:rPr>
              <w:t>M1C1-146</w:t>
            </w:r>
          </w:p>
        </w:tc>
        <w:tc>
          <w:tcPr>
            <w:tcW w:w="2339" w:type="dxa"/>
            <w:shd w:val="clear" w:color="auto" w:fill="C6EFCE"/>
            <w:tcMar>
              <w:left w:w="108" w:type="dxa"/>
              <w:right w:w="108" w:type="dxa"/>
            </w:tcMar>
            <w:vAlign w:val="center"/>
          </w:tcPr>
          <w:p w14:paraId="59173138" w14:textId="77777777" w:rsidR="0057163C" w:rsidRPr="00170422" w:rsidRDefault="00F37BF9">
            <w:pPr>
              <w:pStyle w:val="P68B1DB1-Normal121"/>
              <w:spacing w:after="0" w:line="240" w:lineRule="auto"/>
              <w:rPr>
                <w:noProof/>
                <w:lang w:val="de-DE"/>
              </w:rPr>
            </w:pPr>
            <w:r w:rsidRPr="00170422">
              <w:rPr>
                <w:noProof/>
                <w:lang w:val="de-DE"/>
              </w:rPr>
              <w:t>Investition 1.4.4 – Ausbau der nationalen Plattformen für die digitale Identität (SPID, CIE) und des nationalen Registers (ANPR)</w:t>
            </w:r>
          </w:p>
        </w:tc>
        <w:tc>
          <w:tcPr>
            <w:tcW w:w="2126" w:type="dxa"/>
            <w:shd w:val="clear" w:color="auto" w:fill="C6EFCE"/>
            <w:tcMar>
              <w:left w:w="108" w:type="dxa"/>
              <w:right w:w="108" w:type="dxa"/>
            </w:tcMar>
            <w:vAlign w:val="center"/>
          </w:tcPr>
          <w:p w14:paraId="69C81AD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3CBAA0B8" w14:textId="77777777" w:rsidR="0057163C" w:rsidRPr="00170422" w:rsidRDefault="00F37BF9">
            <w:pPr>
              <w:pStyle w:val="P68B1DB1-Normal121"/>
              <w:spacing w:after="0" w:line="240" w:lineRule="auto"/>
              <w:rPr>
                <w:noProof/>
                <w:lang w:val="de-DE"/>
              </w:rPr>
            </w:pPr>
            <w:r w:rsidRPr="00170422">
              <w:rPr>
                <w:noProof/>
                <w:lang w:val="de-DE"/>
              </w:rPr>
              <w:t>Nationale Plattform für die digitale Identität (CIE)</w:t>
            </w:r>
          </w:p>
        </w:tc>
      </w:tr>
      <w:tr w:rsidR="0057163C" w:rsidRPr="00170422" w14:paraId="2918C631" w14:textId="77777777" w:rsidTr="0018154D">
        <w:trPr>
          <w:trHeight w:val="300"/>
        </w:trPr>
        <w:tc>
          <w:tcPr>
            <w:tcW w:w="1335" w:type="dxa"/>
            <w:shd w:val="clear" w:color="auto" w:fill="C6EFCE"/>
            <w:tcMar>
              <w:left w:w="108" w:type="dxa"/>
              <w:right w:w="108" w:type="dxa"/>
            </w:tcMar>
            <w:vAlign w:val="center"/>
          </w:tcPr>
          <w:p w14:paraId="4CDCA5E5" w14:textId="77777777" w:rsidR="0057163C" w:rsidRPr="00170422" w:rsidRDefault="00F37BF9">
            <w:pPr>
              <w:pStyle w:val="P68B1DB1-Normal121"/>
              <w:spacing w:after="0" w:line="240" w:lineRule="auto"/>
              <w:jc w:val="center"/>
              <w:rPr>
                <w:noProof/>
                <w:lang w:val="de-DE"/>
              </w:rPr>
            </w:pPr>
            <w:r w:rsidRPr="00170422">
              <w:rPr>
                <w:noProof/>
                <w:lang w:val="de-DE"/>
              </w:rPr>
              <w:t>M1C3-16</w:t>
            </w:r>
          </w:p>
        </w:tc>
        <w:tc>
          <w:tcPr>
            <w:tcW w:w="2339" w:type="dxa"/>
            <w:shd w:val="clear" w:color="auto" w:fill="C6EFCE"/>
            <w:tcMar>
              <w:left w:w="108" w:type="dxa"/>
              <w:right w:w="108" w:type="dxa"/>
            </w:tcMar>
            <w:vAlign w:val="center"/>
          </w:tcPr>
          <w:p w14:paraId="47D52D30" w14:textId="77777777" w:rsidR="0057163C" w:rsidRPr="00170422" w:rsidRDefault="00F37BF9">
            <w:pPr>
              <w:pStyle w:val="P68B1DB1-Normal121"/>
              <w:spacing w:after="0" w:line="240" w:lineRule="auto"/>
              <w:rPr>
                <w:noProof/>
                <w:lang w:val="de-DE"/>
              </w:rPr>
            </w:pPr>
            <w:r w:rsidRPr="00170422">
              <w:rPr>
                <w:noProof/>
                <w:lang w:val="de-DE"/>
              </w:rPr>
              <w:t>Investitionen –</w:t>
            </w:r>
            <w:r w:rsidRPr="00170422">
              <w:rPr>
                <w:noProof/>
                <w:lang w:val="de-DE"/>
              </w:rPr>
              <w:t xml:space="preserve"> 2.1 Attraktivität kleiner historischer Städte</w:t>
            </w:r>
          </w:p>
        </w:tc>
        <w:tc>
          <w:tcPr>
            <w:tcW w:w="2126" w:type="dxa"/>
            <w:shd w:val="clear" w:color="auto" w:fill="C6EFCE"/>
            <w:tcMar>
              <w:left w:w="108" w:type="dxa"/>
              <w:right w:w="108" w:type="dxa"/>
            </w:tcMar>
            <w:vAlign w:val="center"/>
          </w:tcPr>
          <w:p w14:paraId="583372F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48CE301E" w14:textId="77777777" w:rsidR="0057163C" w:rsidRPr="00170422" w:rsidRDefault="00F37BF9">
            <w:pPr>
              <w:pStyle w:val="P68B1DB1-Normal121"/>
              <w:spacing w:after="0" w:line="240" w:lineRule="auto"/>
              <w:rPr>
                <w:noProof/>
                <w:lang w:val="de-DE"/>
              </w:rPr>
            </w:pPr>
            <w:r w:rsidRPr="00170422">
              <w:rPr>
                <w:noProof/>
                <w:lang w:val="de-DE"/>
              </w:rPr>
              <w:t>Annahme von Erlassen zur Börsennotierung von Unternehmen, die in kleinen historischen Städten unterstützt werden</w:t>
            </w:r>
          </w:p>
        </w:tc>
      </w:tr>
      <w:tr w:rsidR="0057163C" w:rsidRPr="00170422" w14:paraId="6C99B528" w14:textId="77777777" w:rsidTr="0018154D">
        <w:trPr>
          <w:trHeight w:val="300"/>
        </w:trPr>
        <w:tc>
          <w:tcPr>
            <w:tcW w:w="1335" w:type="dxa"/>
            <w:shd w:val="clear" w:color="auto" w:fill="C6EFCE"/>
            <w:tcMar>
              <w:left w:w="108" w:type="dxa"/>
              <w:right w:w="108" w:type="dxa"/>
            </w:tcMar>
            <w:vAlign w:val="center"/>
          </w:tcPr>
          <w:p w14:paraId="367810BB" w14:textId="77777777" w:rsidR="0057163C" w:rsidRPr="00170422" w:rsidRDefault="00F37BF9">
            <w:pPr>
              <w:pStyle w:val="P68B1DB1-Normal121"/>
              <w:spacing w:after="0" w:line="240" w:lineRule="auto"/>
              <w:jc w:val="center"/>
              <w:rPr>
                <w:noProof/>
                <w:lang w:val="de-DE"/>
              </w:rPr>
            </w:pPr>
            <w:r w:rsidRPr="00170422">
              <w:rPr>
                <w:noProof/>
                <w:lang w:val="de-DE"/>
              </w:rPr>
              <w:t>M2C4-9</w:t>
            </w:r>
          </w:p>
        </w:tc>
        <w:tc>
          <w:tcPr>
            <w:tcW w:w="2339" w:type="dxa"/>
            <w:shd w:val="clear" w:color="auto" w:fill="C6EFCE"/>
            <w:tcMar>
              <w:left w:w="108" w:type="dxa"/>
              <w:right w:w="108" w:type="dxa"/>
            </w:tcMar>
            <w:vAlign w:val="center"/>
          </w:tcPr>
          <w:p w14:paraId="3726A1FD" w14:textId="77777777" w:rsidR="0057163C" w:rsidRPr="00170422" w:rsidRDefault="00F37BF9">
            <w:pPr>
              <w:pStyle w:val="P68B1DB1-Normal121"/>
              <w:spacing w:after="0" w:line="240" w:lineRule="auto"/>
              <w:rPr>
                <w:noProof/>
                <w:lang w:val="de-DE"/>
              </w:rPr>
            </w:pPr>
            <w:r w:rsidRPr="00170422">
              <w:rPr>
                <w:noProof/>
                <w:lang w:val="de-DE"/>
              </w:rPr>
              <w:t>Erhält Investition 1.1 Einführung eines fortgeschrittenen und integrierten Ü</w:t>
            </w:r>
            <w:r w:rsidRPr="00170422">
              <w:rPr>
                <w:noProof/>
                <w:lang w:val="de-DE"/>
              </w:rPr>
              <w:t>berwachungs- und Prognosesystems</w:t>
            </w:r>
          </w:p>
        </w:tc>
        <w:tc>
          <w:tcPr>
            <w:tcW w:w="2126" w:type="dxa"/>
            <w:shd w:val="clear" w:color="auto" w:fill="C6EFCE"/>
            <w:tcMar>
              <w:left w:w="108" w:type="dxa"/>
              <w:right w:w="108" w:type="dxa"/>
            </w:tcMar>
            <w:vAlign w:val="center"/>
          </w:tcPr>
          <w:p w14:paraId="60212865"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7317A173" w14:textId="77777777" w:rsidR="0057163C" w:rsidRPr="00170422" w:rsidRDefault="00F37BF9">
            <w:pPr>
              <w:pStyle w:val="P68B1DB1-Normal121"/>
              <w:spacing w:after="0" w:line="240" w:lineRule="auto"/>
              <w:rPr>
                <w:noProof/>
                <w:lang w:val="de-DE"/>
              </w:rPr>
            </w:pPr>
            <w:r w:rsidRPr="00170422">
              <w:rPr>
                <w:noProof/>
                <w:lang w:val="de-DE"/>
              </w:rPr>
              <w:t xml:space="preserve">Das Überwachungs- und Prognosesystem ist zugänglich.  </w:t>
            </w:r>
          </w:p>
        </w:tc>
      </w:tr>
      <w:tr w:rsidR="0057163C" w:rsidRPr="00170422" w14:paraId="580B8559" w14:textId="77777777" w:rsidTr="0018154D">
        <w:trPr>
          <w:trHeight w:val="300"/>
        </w:trPr>
        <w:tc>
          <w:tcPr>
            <w:tcW w:w="1335" w:type="dxa"/>
            <w:shd w:val="clear" w:color="auto" w:fill="C6EFCE"/>
            <w:tcMar>
              <w:left w:w="108" w:type="dxa"/>
              <w:right w:w="108" w:type="dxa"/>
            </w:tcMar>
            <w:vAlign w:val="center"/>
          </w:tcPr>
          <w:p w14:paraId="5FC7AD73" w14:textId="77777777" w:rsidR="0057163C" w:rsidRPr="00170422" w:rsidRDefault="00F37BF9">
            <w:pPr>
              <w:pStyle w:val="P68B1DB1-Normal121"/>
              <w:spacing w:after="0" w:line="240" w:lineRule="auto"/>
              <w:jc w:val="center"/>
              <w:rPr>
                <w:noProof/>
                <w:lang w:val="de-DE"/>
              </w:rPr>
            </w:pPr>
            <w:r w:rsidRPr="00170422">
              <w:rPr>
                <w:noProof/>
                <w:lang w:val="de-DE"/>
              </w:rPr>
              <w:t>M2C4-26</w:t>
            </w:r>
          </w:p>
        </w:tc>
        <w:tc>
          <w:tcPr>
            <w:tcW w:w="2339" w:type="dxa"/>
            <w:shd w:val="clear" w:color="auto" w:fill="C6EFCE"/>
            <w:tcMar>
              <w:left w:w="108" w:type="dxa"/>
              <w:right w:w="108" w:type="dxa"/>
            </w:tcMar>
            <w:vAlign w:val="center"/>
          </w:tcPr>
          <w:p w14:paraId="0A56009A" w14:textId="77777777" w:rsidR="0057163C" w:rsidRPr="00170422" w:rsidRDefault="00F37BF9">
            <w:pPr>
              <w:pStyle w:val="P68B1DB1-Normal121"/>
              <w:spacing w:after="0" w:line="240" w:lineRule="auto"/>
              <w:rPr>
                <w:noProof/>
                <w:lang w:val="de-DE"/>
              </w:rPr>
            </w:pPr>
            <w:r w:rsidRPr="00170422">
              <w:rPr>
                <w:noProof/>
                <w:lang w:val="de-DE"/>
              </w:rPr>
              <w:t>Investition 3.5. Wiederherstellung und Schutz des Meeresbodens und der marinen Lebensräume</w:t>
            </w:r>
          </w:p>
        </w:tc>
        <w:tc>
          <w:tcPr>
            <w:tcW w:w="2126" w:type="dxa"/>
            <w:shd w:val="clear" w:color="auto" w:fill="C6EFCE"/>
            <w:tcMar>
              <w:left w:w="108" w:type="dxa"/>
              <w:right w:w="108" w:type="dxa"/>
            </w:tcMar>
            <w:vAlign w:val="center"/>
          </w:tcPr>
          <w:p w14:paraId="2061D60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45CD2B0" w14:textId="77777777" w:rsidR="0057163C" w:rsidRPr="00170422" w:rsidRDefault="00F37BF9">
            <w:pPr>
              <w:pStyle w:val="P68B1DB1-Normal121"/>
              <w:spacing w:after="0" w:line="240" w:lineRule="auto"/>
              <w:rPr>
                <w:noProof/>
                <w:lang w:val="de-DE"/>
              </w:rPr>
            </w:pPr>
            <w:r w:rsidRPr="00170422">
              <w:rPr>
                <w:noProof/>
                <w:lang w:val="de-DE"/>
              </w:rPr>
              <w:t xml:space="preserve">Wiederherstellung und Schutz des Meeresbodens und der marinen Lebensräume </w:t>
            </w:r>
          </w:p>
        </w:tc>
      </w:tr>
      <w:tr w:rsidR="0057163C" w:rsidRPr="00170422" w14:paraId="5D709545" w14:textId="77777777" w:rsidTr="0018154D">
        <w:trPr>
          <w:trHeight w:val="300"/>
        </w:trPr>
        <w:tc>
          <w:tcPr>
            <w:tcW w:w="1335" w:type="dxa"/>
            <w:shd w:val="clear" w:color="auto" w:fill="C6EFCE"/>
            <w:tcMar>
              <w:left w:w="108" w:type="dxa"/>
              <w:right w:w="108" w:type="dxa"/>
            </w:tcMar>
            <w:vAlign w:val="center"/>
          </w:tcPr>
          <w:p w14:paraId="4D079840" w14:textId="77777777" w:rsidR="0057163C" w:rsidRPr="00170422" w:rsidRDefault="00F37BF9">
            <w:pPr>
              <w:pStyle w:val="P68B1DB1-Normal121"/>
              <w:spacing w:after="0" w:line="240" w:lineRule="auto"/>
              <w:jc w:val="center"/>
              <w:rPr>
                <w:noProof/>
                <w:lang w:val="de-DE"/>
              </w:rPr>
            </w:pPr>
            <w:r w:rsidRPr="00170422">
              <w:rPr>
                <w:noProof/>
                <w:lang w:val="de-DE"/>
              </w:rPr>
              <w:t>M4C2-6</w:t>
            </w:r>
          </w:p>
        </w:tc>
        <w:tc>
          <w:tcPr>
            <w:tcW w:w="2339" w:type="dxa"/>
            <w:shd w:val="clear" w:color="auto" w:fill="C6EFCE"/>
            <w:tcMar>
              <w:left w:w="108" w:type="dxa"/>
              <w:right w:w="108" w:type="dxa"/>
            </w:tcMar>
            <w:vAlign w:val="center"/>
          </w:tcPr>
          <w:p w14:paraId="37689ED3" w14:textId="77777777" w:rsidR="0057163C" w:rsidRPr="00170422" w:rsidRDefault="00F37BF9">
            <w:pPr>
              <w:pStyle w:val="P68B1DB1-Normal121"/>
              <w:spacing w:after="0" w:line="240" w:lineRule="auto"/>
              <w:rPr>
                <w:noProof/>
                <w:lang w:val="de-DE"/>
              </w:rPr>
            </w:pPr>
            <w:r w:rsidRPr="00170422">
              <w:rPr>
                <w:noProof/>
                <w:lang w:val="de-DE"/>
              </w:rPr>
              <w:t>Investition 1.1: Forschungsprojekte von erheblicher nationaler Bedeutung (PRIN)</w:t>
            </w:r>
          </w:p>
        </w:tc>
        <w:tc>
          <w:tcPr>
            <w:tcW w:w="2126" w:type="dxa"/>
            <w:shd w:val="clear" w:color="auto" w:fill="C6EFCE"/>
            <w:tcMar>
              <w:left w:w="108" w:type="dxa"/>
              <w:right w:w="108" w:type="dxa"/>
            </w:tcMar>
            <w:vAlign w:val="center"/>
          </w:tcPr>
          <w:p w14:paraId="43A1DAB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558" w:type="dxa"/>
            <w:shd w:val="clear" w:color="auto" w:fill="C6EFCE"/>
            <w:tcMar>
              <w:left w:w="108" w:type="dxa"/>
              <w:right w:w="108" w:type="dxa"/>
            </w:tcMar>
            <w:vAlign w:val="center"/>
          </w:tcPr>
          <w:p w14:paraId="33519FEA" w14:textId="77777777" w:rsidR="0057163C" w:rsidRPr="00170422" w:rsidRDefault="00F37BF9">
            <w:pPr>
              <w:pStyle w:val="P68B1DB1-Normal121"/>
              <w:spacing w:after="0" w:line="240" w:lineRule="auto"/>
              <w:rPr>
                <w:noProof/>
                <w:lang w:val="de-DE"/>
              </w:rPr>
            </w:pPr>
            <w:r w:rsidRPr="00170422">
              <w:rPr>
                <w:noProof/>
                <w:lang w:val="de-DE"/>
              </w:rPr>
              <w:t xml:space="preserve">Veröffentlichung der Vergabeverordnung(en) </w:t>
            </w:r>
          </w:p>
        </w:tc>
      </w:tr>
      <w:tr w:rsidR="0057163C" w:rsidRPr="00170422" w14:paraId="1DD089AA" w14:textId="77777777" w:rsidTr="0018154D">
        <w:trPr>
          <w:trHeight w:val="300"/>
        </w:trPr>
        <w:tc>
          <w:tcPr>
            <w:tcW w:w="1335" w:type="dxa"/>
            <w:shd w:val="clear" w:color="auto" w:fill="C6EFCE"/>
            <w:tcMar>
              <w:left w:w="108" w:type="dxa"/>
              <w:right w:w="108" w:type="dxa"/>
            </w:tcMar>
            <w:vAlign w:val="center"/>
          </w:tcPr>
          <w:p w14:paraId="431B59EC" w14:textId="77777777" w:rsidR="0057163C" w:rsidRPr="00170422" w:rsidRDefault="00F37BF9">
            <w:pPr>
              <w:pStyle w:val="P68B1DB1-Normal121"/>
              <w:spacing w:after="0" w:line="240" w:lineRule="auto"/>
              <w:jc w:val="center"/>
              <w:rPr>
                <w:noProof/>
                <w:lang w:val="de-DE"/>
              </w:rPr>
            </w:pPr>
            <w:r w:rsidRPr="00170422">
              <w:rPr>
                <w:noProof/>
                <w:lang w:val="de-DE"/>
              </w:rPr>
              <w:t>M4C2-7</w:t>
            </w:r>
          </w:p>
        </w:tc>
        <w:tc>
          <w:tcPr>
            <w:tcW w:w="2339" w:type="dxa"/>
            <w:shd w:val="clear" w:color="auto" w:fill="C6EFCE"/>
            <w:tcMar>
              <w:left w:w="108" w:type="dxa"/>
              <w:right w:w="108" w:type="dxa"/>
            </w:tcMar>
            <w:vAlign w:val="center"/>
          </w:tcPr>
          <w:p w14:paraId="0B55951E" w14:textId="77777777" w:rsidR="0057163C" w:rsidRPr="00170422" w:rsidRDefault="00F37BF9">
            <w:pPr>
              <w:pStyle w:val="P68B1DB1-Normal121"/>
              <w:spacing w:after="0" w:line="240" w:lineRule="auto"/>
              <w:rPr>
                <w:noProof/>
                <w:lang w:val="de-DE"/>
              </w:rPr>
            </w:pPr>
            <w:r w:rsidRPr="00170422">
              <w:rPr>
                <w:noProof/>
                <w:lang w:val="de-DE"/>
              </w:rPr>
              <w:t>Investition 1.1: Forschungspr</w:t>
            </w:r>
            <w:r w:rsidRPr="00170422">
              <w:rPr>
                <w:noProof/>
                <w:lang w:val="de-DE"/>
              </w:rPr>
              <w:t>ojekte von erheblicher nationaler Bedeutung (PRIN)</w:t>
            </w:r>
          </w:p>
        </w:tc>
        <w:tc>
          <w:tcPr>
            <w:tcW w:w="2126" w:type="dxa"/>
            <w:shd w:val="clear" w:color="auto" w:fill="C6EFCE"/>
            <w:tcMar>
              <w:left w:w="108" w:type="dxa"/>
              <w:right w:w="108" w:type="dxa"/>
            </w:tcMar>
            <w:vAlign w:val="center"/>
          </w:tcPr>
          <w:p w14:paraId="6D46665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40D09AD4" w14:textId="4BABE478" w:rsidR="0057163C" w:rsidRPr="00170422" w:rsidRDefault="00F37BF9">
            <w:pPr>
              <w:pStyle w:val="P68B1DB1-Normal121"/>
              <w:spacing w:after="0" w:line="240" w:lineRule="auto"/>
              <w:rPr>
                <w:noProof/>
                <w:lang w:val="de-DE"/>
              </w:rPr>
            </w:pPr>
            <w:r w:rsidRPr="00170422">
              <w:rPr>
                <w:noProof/>
                <w:lang w:val="de-DE"/>
              </w:rPr>
              <w:t>Zahl der befristet eingestellten Forscher</w:t>
            </w:r>
          </w:p>
        </w:tc>
      </w:tr>
      <w:tr w:rsidR="0057163C" w:rsidRPr="00170422" w14:paraId="0B53CCBC" w14:textId="77777777" w:rsidTr="0018154D">
        <w:trPr>
          <w:trHeight w:val="300"/>
        </w:trPr>
        <w:tc>
          <w:tcPr>
            <w:tcW w:w="1335" w:type="dxa"/>
            <w:shd w:val="clear" w:color="auto" w:fill="C6EFCE"/>
            <w:tcMar>
              <w:left w:w="108" w:type="dxa"/>
              <w:right w:w="108" w:type="dxa"/>
            </w:tcMar>
            <w:vAlign w:val="center"/>
          </w:tcPr>
          <w:p w14:paraId="643DFFA5" w14:textId="77777777" w:rsidR="0057163C" w:rsidRPr="00170422" w:rsidRDefault="00F37BF9">
            <w:pPr>
              <w:pStyle w:val="P68B1DB1-Normal121"/>
              <w:spacing w:after="0" w:line="240" w:lineRule="auto"/>
              <w:jc w:val="center"/>
              <w:rPr>
                <w:noProof/>
                <w:lang w:val="de-DE"/>
              </w:rPr>
            </w:pPr>
            <w:r w:rsidRPr="00170422">
              <w:rPr>
                <w:noProof/>
                <w:lang w:val="de-DE"/>
              </w:rPr>
              <w:t>M4C2-8</w:t>
            </w:r>
          </w:p>
        </w:tc>
        <w:tc>
          <w:tcPr>
            <w:tcW w:w="2339" w:type="dxa"/>
            <w:shd w:val="clear" w:color="auto" w:fill="C6EFCE"/>
            <w:tcMar>
              <w:left w:w="108" w:type="dxa"/>
              <w:right w:w="108" w:type="dxa"/>
            </w:tcMar>
            <w:vAlign w:val="center"/>
          </w:tcPr>
          <w:p w14:paraId="39854252" w14:textId="77777777" w:rsidR="0057163C" w:rsidRPr="00170422" w:rsidRDefault="00F37BF9">
            <w:pPr>
              <w:pStyle w:val="P68B1DB1-Normal121"/>
              <w:spacing w:after="0" w:line="240" w:lineRule="auto"/>
              <w:rPr>
                <w:noProof/>
                <w:lang w:val="de-DE"/>
              </w:rPr>
            </w:pPr>
            <w:r w:rsidRPr="00170422">
              <w:rPr>
                <w:noProof/>
                <w:lang w:val="de-DE"/>
              </w:rPr>
              <w:t>Investition 1.3: Ausweitung der Partnerschaften auf Hochschulen, Forschungszentren, Unternehmen und Finanzierung von Projekten der Grundlagenforschung</w:t>
            </w:r>
          </w:p>
        </w:tc>
        <w:tc>
          <w:tcPr>
            <w:tcW w:w="2126" w:type="dxa"/>
            <w:shd w:val="clear" w:color="auto" w:fill="C6EFCE"/>
            <w:tcMar>
              <w:left w:w="108" w:type="dxa"/>
              <w:right w:w="108" w:type="dxa"/>
            </w:tcMar>
            <w:vAlign w:val="center"/>
          </w:tcPr>
          <w:p w14:paraId="484E146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7671EB10" w14:textId="77777777" w:rsidR="0057163C" w:rsidRPr="00170422" w:rsidRDefault="00F37BF9">
            <w:pPr>
              <w:pStyle w:val="P68B1DB1-Normal121"/>
              <w:spacing w:after="0" w:line="240" w:lineRule="auto"/>
              <w:rPr>
                <w:noProof/>
                <w:lang w:val="de-DE"/>
              </w:rPr>
            </w:pPr>
            <w:r w:rsidRPr="00170422">
              <w:rPr>
                <w:noProof/>
                <w:lang w:val="de-DE"/>
              </w:rPr>
              <w:t xml:space="preserve">Anzahl der unterzeichneten Forschungspartnerschaften </w:t>
            </w:r>
          </w:p>
        </w:tc>
      </w:tr>
      <w:tr w:rsidR="0057163C" w:rsidRPr="00170422" w14:paraId="79B6E3CE" w14:textId="77777777" w:rsidTr="0018154D">
        <w:trPr>
          <w:trHeight w:val="300"/>
        </w:trPr>
        <w:tc>
          <w:tcPr>
            <w:tcW w:w="1335" w:type="dxa"/>
            <w:shd w:val="clear" w:color="auto" w:fill="C6EFCE"/>
            <w:tcMar>
              <w:left w:w="108" w:type="dxa"/>
              <w:right w:w="108" w:type="dxa"/>
            </w:tcMar>
            <w:vAlign w:val="center"/>
          </w:tcPr>
          <w:p w14:paraId="28E20EF5" w14:textId="77777777" w:rsidR="0057163C" w:rsidRPr="00170422" w:rsidRDefault="00F37BF9">
            <w:pPr>
              <w:pStyle w:val="P68B1DB1-Normal121"/>
              <w:spacing w:after="0" w:line="240" w:lineRule="auto"/>
              <w:jc w:val="center"/>
              <w:rPr>
                <w:noProof/>
                <w:lang w:val="de-DE"/>
              </w:rPr>
            </w:pPr>
            <w:r w:rsidRPr="00170422">
              <w:rPr>
                <w:noProof/>
                <w:lang w:val="de-DE"/>
              </w:rPr>
              <w:t>M4C2-22</w:t>
            </w:r>
          </w:p>
        </w:tc>
        <w:tc>
          <w:tcPr>
            <w:tcW w:w="2339" w:type="dxa"/>
            <w:shd w:val="clear" w:color="auto" w:fill="C6EFCE"/>
            <w:tcMar>
              <w:left w:w="108" w:type="dxa"/>
              <w:right w:w="108" w:type="dxa"/>
            </w:tcMar>
            <w:vAlign w:val="center"/>
          </w:tcPr>
          <w:p w14:paraId="03648B80" w14:textId="77777777" w:rsidR="0057163C" w:rsidRPr="00170422" w:rsidRDefault="00F37BF9">
            <w:pPr>
              <w:pStyle w:val="P68B1DB1-Normal121"/>
              <w:spacing w:after="0" w:line="240" w:lineRule="auto"/>
              <w:rPr>
                <w:noProof/>
                <w:lang w:val="de-DE"/>
              </w:rPr>
            </w:pPr>
            <w:r w:rsidRPr="00170422">
              <w:rPr>
                <w:noProof/>
                <w:lang w:val="de-DE"/>
              </w:rPr>
              <w:t>Investition 2.1: IPCEI</w:t>
            </w:r>
          </w:p>
        </w:tc>
        <w:tc>
          <w:tcPr>
            <w:tcW w:w="2126" w:type="dxa"/>
            <w:shd w:val="clear" w:color="auto" w:fill="C6EFCE"/>
            <w:tcMar>
              <w:left w:w="108" w:type="dxa"/>
              <w:right w:w="108" w:type="dxa"/>
            </w:tcMar>
            <w:vAlign w:val="center"/>
          </w:tcPr>
          <w:p w14:paraId="43484D5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47CC0A60" w14:textId="77777777" w:rsidR="0057163C" w:rsidRPr="00170422" w:rsidRDefault="00F37BF9">
            <w:pPr>
              <w:pStyle w:val="P68B1DB1-Normal121"/>
              <w:spacing w:after="0" w:line="240" w:lineRule="auto"/>
              <w:rPr>
                <w:noProof/>
                <w:lang w:val="de-DE"/>
              </w:rPr>
            </w:pPr>
            <w:r w:rsidRPr="00170422">
              <w:rPr>
                <w:noProof/>
                <w:lang w:val="de-DE"/>
              </w:rPr>
              <w:t>Anzahl der unterstützten Projekte</w:t>
            </w:r>
          </w:p>
        </w:tc>
      </w:tr>
      <w:tr w:rsidR="0057163C" w:rsidRPr="00170422" w14:paraId="4C3915DB" w14:textId="77777777" w:rsidTr="0018154D">
        <w:trPr>
          <w:trHeight w:val="300"/>
        </w:trPr>
        <w:tc>
          <w:tcPr>
            <w:tcW w:w="1335" w:type="dxa"/>
            <w:shd w:val="clear" w:color="auto" w:fill="C6EFCE"/>
            <w:tcMar>
              <w:left w:w="108" w:type="dxa"/>
              <w:right w:w="108" w:type="dxa"/>
            </w:tcMar>
            <w:vAlign w:val="center"/>
          </w:tcPr>
          <w:p w14:paraId="5D0DEB73" w14:textId="77777777" w:rsidR="0057163C" w:rsidRPr="00170422" w:rsidRDefault="00F37BF9">
            <w:pPr>
              <w:pStyle w:val="P68B1DB1-Normal121"/>
              <w:spacing w:after="0" w:line="240" w:lineRule="auto"/>
              <w:jc w:val="center"/>
              <w:rPr>
                <w:noProof/>
                <w:lang w:val="de-DE"/>
              </w:rPr>
            </w:pPr>
            <w:r w:rsidRPr="00170422">
              <w:rPr>
                <w:noProof/>
                <w:lang w:val="de-DE"/>
              </w:rPr>
              <w:t>M6C1-6</w:t>
            </w:r>
          </w:p>
        </w:tc>
        <w:tc>
          <w:tcPr>
            <w:tcW w:w="2339" w:type="dxa"/>
            <w:shd w:val="clear" w:color="auto" w:fill="C6EFCE"/>
            <w:tcMar>
              <w:left w:w="108" w:type="dxa"/>
              <w:right w:w="108" w:type="dxa"/>
            </w:tcMar>
            <w:vAlign w:val="center"/>
          </w:tcPr>
          <w:p w14:paraId="7A0E8792" w14:textId="77777777" w:rsidR="0057163C" w:rsidRPr="00170422" w:rsidRDefault="00F37BF9">
            <w:pPr>
              <w:pStyle w:val="P68B1DB1-Normal121"/>
              <w:spacing w:after="0" w:line="240" w:lineRule="auto"/>
              <w:rPr>
                <w:noProof/>
                <w:lang w:val="de-DE"/>
              </w:rPr>
            </w:pPr>
            <w:r w:rsidRPr="00170422">
              <w:rPr>
                <w:noProof/>
                <w:lang w:val="de-DE"/>
              </w:rPr>
              <w:t>Investition 1.2: Zuhause als Erstversorgungsort und Telemedizin</w:t>
            </w:r>
          </w:p>
        </w:tc>
        <w:tc>
          <w:tcPr>
            <w:tcW w:w="2126" w:type="dxa"/>
            <w:shd w:val="clear" w:color="auto" w:fill="C6EFCE"/>
            <w:tcMar>
              <w:left w:w="108" w:type="dxa"/>
              <w:right w:w="108" w:type="dxa"/>
            </w:tcMar>
            <w:vAlign w:val="center"/>
          </w:tcPr>
          <w:p w14:paraId="1A73E25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558" w:type="dxa"/>
            <w:shd w:val="clear" w:color="auto" w:fill="C6EFCE"/>
            <w:tcMar>
              <w:left w:w="108" w:type="dxa"/>
              <w:right w:w="108" w:type="dxa"/>
            </w:tcMar>
            <w:vAlign w:val="center"/>
          </w:tcPr>
          <w:p w14:paraId="6ABF6957" w14:textId="77777777" w:rsidR="0057163C" w:rsidRPr="00170422" w:rsidRDefault="00F37BF9">
            <w:pPr>
              <w:pStyle w:val="P68B1DB1-Normal121"/>
              <w:spacing w:after="0" w:line="240" w:lineRule="auto"/>
              <w:rPr>
                <w:noProof/>
                <w:lang w:val="de-DE"/>
              </w:rPr>
            </w:pPr>
            <w:r w:rsidRPr="00170422">
              <w:rPr>
                <w:noProof/>
                <w:lang w:val="de-DE"/>
              </w:rPr>
              <w:t>Häusliche Pflege</w:t>
            </w:r>
          </w:p>
        </w:tc>
      </w:tr>
      <w:tr w:rsidR="0057163C" w:rsidRPr="00170422" w14:paraId="1F5C26BF" w14:textId="77777777" w:rsidTr="0018154D">
        <w:trPr>
          <w:trHeight w:val="300"/>
        </w:trPr>
        <w:tc>
          <w:tcPr>
            <w:tcW w:w="1335" w:type="dxa"/>
            <w:shd w:val="clear" w:color="auto" w:fill="C6EFCE"/>
            <w:tcMar>
              <w:left w:w="108" w:type="dxa"/>
              <w:right w:w="108" w:type="dxa"/>
            </w:tcMar>
            <w:vAlign w:val="center"/>
          </w:tcPr>
          <w:p w14:paraId="450857F0"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339" w:type="dxa"/>
            <w:shd w:val="clear" w:color="auto" w:fill="C6EFCE"/>
            <w:tcMar>
              <w:left w:w="108" w:type="dxa"/>
              <w:right w:w="108" w:type="dxa"/>
            </w:tcMar>
            <w:vAlign w:val="center"/>
          </w:tcPr>
          <w:p w14:paraId="6C2262CF"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shd w:val="clear" w:color="auto" w:fill="C6EFCE"/>
            <w:tcMar>
              <w:left w:w="108" w:type="dxa"/>
              <w:right w:w="108" w:type="dxa"/>
            </w:tcMar>
            <w:vAlign w:val="center"/>
          </w:tcPr>
          <w:p w14:paraId="7E358A1E"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558" w:type="dxa"/>
            <w:shd w:val="clear" w:color="auto" w:fill="C6EFCE"/>
            <w:tcMar>
              <w:left w:w="108" w:type="dxa"/>
              <w:right w:w="108" w:type="dxa"/>
            </w:tcMar>
            <w:vAlign w:val="center"/>
          </w:tcPr>
          <w:p w14:paraId="6700A8E4" w14:textId="77777777" w:rsidR="0057163C" w:rsidRPr="00170422" w:rsidRDefault="00F37BF9">
            <w:pPr>
              <w:pStyle w:val="P68B1DB1-Normal8"/>
              <w:spacing w:after="0" w:line="240" w:lineRule="auto"/>
              <w:rPr>
                <w:noProof/>
                <w:highlight w:val="yellow"/>
                <w:lang w:val="de-DE"/>
              </w:rPr>
            </w:pPr>
            <w:r w:rsidRPr="00170422">
              <w:rPr>
                <w:noProof/>
                <w:color w:val="006100"/>
                <w:sz w:val="20"/>
                <w:szCs w:val="20"/>
                <w:lang w:val="de-DE"/>
              </w:rPr>
              <w:t xml:space="preserve"> 11184566013 EUR</w:t>
            </w:r>
            <w:r w:rsidRPr="00170422">
              <w:rPr>
                <w:noProof/>
                <w:sz w:val="23"/>
                <w:szCs w:val="23"/>
                <w:lang w:val="de-DE"/>
              </w:rPr>
              <w:t xml:space="preserve">  </w:t>
            </w:r>
          </w:p>
        </w:tc>
      </w:tr>
    </w:tbl>
    <w:p w14:paraId="1CC1B017" w14:textId="0EF91158" w:rsidR="0057163C" w:rsidRPr="00170422" w:rsidRDefault="00F37BF9">
      <w:pPr>
        <w:pStyle w:val="P68B1DB1-Normal8"/>
        <w:spacing w:before="120" w:after="120" w:line="240" w:lineRule="auto"/>
        <w:jc w:val="both"/>
        <w:rPr>
          <w:noProof/>
          <w:lang w:val="de-DE"/>
        </w:rPr>
      </w:pPr>
      <w:r w:rsidRPr="00170422">
        <w:rPr>
          <w:noProof/>
          <w:lang w:val="de-DE"/>
        </w:rPr>
        <w:t xml:space="preserve"> </w:t>
      </w:r>
    </w:p>
    <w:p w14:paraId="4D8D1981"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Neunte Tranche (Darlehensunterstützung):</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6"/>
        <w:gridCol w:w="2268"/>
        <w:gridCol w:w="2126"/>
        <w:gridCol w:w="3431"/>
      </w:tblGrid>
      <w:tr w:rsidR="0057163C" w:rsidRPr="00170422" w14:paraId="0C5D457C" w14:textId="77777777" w:rsidTr="0018154D">
        <w:trPr>
          <w:trHeight w:val="900"/>
          <w:tblHeader/>
        </w:trPr>
        <w:tc>
          <w:tcPr>
            <w:tcW w:w="1406" w:type="dxa"/>
            <w:vMerge w:val="restart"/>
            <w:shd w:val="clear" w:color="auto" w:fill="BDD7EE"/>
            <w:tcMar>
              <w:left w:w="108" w:type="dxa"/>
              <w:right w:w="108" w:type="dxa"/>
            </w:tcMar>
            <w:vAlign w:val="center"/>
          </w:tcPr>
          <w:p w14:paraId="391837B7"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268" w:type="dxa"/>
            <w:vMerge w:val="restart"/>
            <w:shd w:val="clear" w:color="auto" w:fill="BDD7EE"/>
            <w:tcMar>
              <w:left w:w="108" w:type="dxa"/>
              <w:right w:w="108" w:type="dxa"/>
            </w:tcMar>
            <w:vAlign w:val="center"/>
          </w:tcPr>
          <w:p w14:paraId="711E36C0"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26" w:type="dxa"/>
            <w:vMerge w:val="restart"/>
            <w:shd w:val="clear" w:color="auto" w:fill="BDD7EE"/>
            <w:tcMar>
              <w:left w:w="108" w:type="dxa"/>
              <w:right w:w="108" w:type="dxa"/>
            </w:tcMar>
            <w:vAlign w:val="center"/>
          </w:tcPr>
          <w:p w14:paraId="2F276AB2"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431" w:type="dxa"/>
            <w:vMerge w:val="restart"/>
            <w:shd w:val="clear" w:color="auto" w:fill="BDD7EE"/>
            <w:tcMar>
              <w:left w:w="108" w:type="dxa"/>
              <w:right w:w="108" w:type="dxa"/>
            </w:tcMar>
            <w:vAlign w:val="center"/>
          </w:tcPr>
          <w:p w14:paraId="16350DC0"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29280B70" w14:textId="77777777" w:rsidTr="0018154D">
        <w:trPr>
          <w:trHeight w:val="510"/>
        </w:trPr>
        <w:tc>
          <w:tcPr>
            <w:tcW w:w="1406" w:type="dxa"/>
            <w:vMerge/>
            <w:vAlign w:val="center"/>
          </w:tcPr>
          <w:p w14:paraId="713F6B81"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vMerge/>
            <w:vAlign w:val="center"/>
          </w:tcPr>
          <w:p w14:paraId="290C1C51" w14:textId="77777777" w:rsidR="0057163C" w:rsidRPr="00170422" w:rsidRDefault="0057163C">
            <w:pPr>
              <w:spacing w:after="0" w:line="240" w:lineRule="auto"/>
              <w:rPr>
                <w:rFonts w:ascii="Times New Roman" w:eastAsia="Times New Roman" w:hAnsi="Times New Roman" w:cs="Times New Roman"/>
                <w:noProof/>
                <w:lang w:val="de-DE"/>
              </w:rPr>
            </w:pPr>
          </w:p>
        </w:tc>
        <w:tc>
          <w:tcPr>
            <w:tcW w:w="2126" w:type="dxa"/>
            <w:vMerge/>
            <w:vAlign w:val="center"/>
          </w:tcPr>
          <w:p w14:paraId="50A70AFE"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431" w:type="dxa"/>
            <w:vMerge/>
            <w:vAlign w:val="center"/>
          </w:tcPr>
          <w:p w14:paraId="335D9BA0"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20CD8E39" w14:textId="77777777" w:rsidTr="0018154D">
        <w:trPr>
          <w:trHeight w:val="300"/>
        </w:trPr>
        <w:tc>
          <w:tcPr>
            <w:tcW w:w="1406" w:type="dxa"/>
            <w:shd w:val="clear" w:color="auto" w:fill="C6EFCE"/>
            <w:tcMar>
              <w:left w:w="108" w:type="dxa"/>
              <w:right w:w="108" w:type="dxa"/>
            </w:tcMar>
            <w:vAlign w:val="center"/>
          </w:tcPr>
          <w:p w14:paraId="004B9804" w14:textId="77777777" w:rsidR="0057163C" w:rsidRPr="00170422" w:rsidRDefault="00F37BF9">
            <w:pPr>
              <w:pStyle w:val="P68B1DB1-Normal121"/>
              <w:spacing w:after="0" w:line="240" w:lineRule="auto"/>
              <w:jc w:val="center"/>
              <w:rPr>
                <w:noProof/>
                <w:lang w:val="de-DE"/>
              </w:rPr>
            </w:pPr>
            <w:r w:rsidRPr="00170422">
              <w:rPr>
                <w:noProof/>
                <w:lang w:val="de-DE"/>
              </w:rPr>
              <w:t>M1C1-145</w:t>
            </w:r>
          </w:p>
        </w:tc>
        <w:tc>
          <w:tcPr>
            <w:tcW w:w="2268" w:type="dxa"/>
            <w:shd w:val="clear" w:color="auto" w:fill="C6EFCE"/>
            <w:tcMar>
              <w:left w:w="108" w:type="dxa"/>
              <w:right w:w="108" w:type="dxa"/>
            </w:tcMar>
            <w:vAlign w:val="center"/>
          </w:tcPr>
          <w:p w14:paraId="6F137A23" w14:textId="77777777" w:rsidR="0057163C" w:rsidRPr="00170422" w:rsidRDefault="00F37BF9">
            <w:pPr>
              <w:pStyle w:val="P68B1DB1-Normal121"/>
              <w:spacing w:after="0" w:line="240" w:lineRule="auto"/>
              <w:rPr>
                <w:noProof/>
                <w:lang w:val="de-DE"/>
              </w:rPr>
            </w:pPr>
            <w:r w:rsidRPr="00170422">
              <w:rPr>
                <w:noProof/>
                <w:lang w:val="de-DE"/>
              </w:rPr>
              <w:t xml:space="preserve">Investition 1.4.4 – Ausweitung der nationalen Plattform für digitale Identität (SPID, </w:t>
            </w:r>
            <w:r w:rsidRPr="00170422">
              <w:rPr>
                <w:noProof/>
                <w:lang w:val="de-DE"/>
              </w:rPr>
              <w:t>CIE) und des nationalen Registers (ANPR)</w:t>
            </w:r>
          </w:p>
        </w:tc>
        <w:tc>
          <w:tcPr>
            <w:tcW w:w="2126" w:type="dxa"/>
            <w:shd w:val="clear" w:color="auto" w:fill="C6EFCE"/>
            <w:tcMar>
              <w:left w:w="108" w:type="dxa"/>
              <w:right w:w="108" w:type="dxa"/>
            </w:tcMar>
            <w:vAlign w:val="center"/>
          </w:tcPr>
          <w:p w14:paraId="594182C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41421FDF" w14:textId="77777777" w:rsidR="0057163C" w:rsidRPr="00170422" w:rsidRDefault="00F37BF9">
            <w:pPr>
              <w:pStyle w:val="P68B1DB1-Normal121"/>
              <w:spacing w:after="0" w:line="240" w:lineRule="auto"/>
              <w:rPr>
                <w:noProof/>
                <w:lang w:val="de-DE"/>
              </w:rPr>
            </w:pPr>
            <w:r w:rsidRPr="00170422">
              <w:rPr>
                <w:noProof/>
                <w:lang w:val="de-DE"/>
              </w:rPr>
              <w:t>Nationale Plattform für die digitale Identität (CIE) und nationales Register (ANPR)</w:t>
            </w:r>
          </w:p>
        </w:tc>
      </w:tr>
      <w:tr w:rsidR="0057163C" w:rsidRPr="00170422" w14:paraId="658708DF" w14:textId="77777777" w:rsidTr="0018154D">
        <w:trPr>
          <w:trHeight w:val="300"/>
        </w:trPr>
        <w:tc>
          <w:tcPr>
            <w:tcW w:w="1406" w:type="dxa"/>
            <w:shd w:val="clear" w:color="auto" w:fill="C6EFCE"/>
            <w:tcMar>
              <w:left w:w="108" w:type="dxa"/>
              <w:right w:w="108" w:type="dxa"/>
            </w:tcMar>
            <w:vAlign w:val="center"/>
          </w:tcPr>
          <w:p w14:paraId="08D5DCE1" w14:textId="77777777" w:rsidR="0057163C" w:rsidRPr="00170422" w:rsidRDefault="00F37BF9">
            <w:pPr>
              <w:pStyle w:val="P68B1DB1-Normal121"/>
              <w:spacing w:after="0" w:line="240" w:lineRule="auto"/>
              <w:jc w:val="center"/>
              <w:rPr>
                <w:noProof/>
                <w:lang w:val="de-DE"/>
              </w:rPr>
            </w:pPr>
            <w:r w:rsidRPr="00170422">
              <w:rPr>
                <w:noProof/>
                <w:lang w:val="de-DE"/>
              </w:rPr>
              <w:t>M1C3-28</w:t>
            </w:r>
          </w:p>
        </w:tc>
        <w:tc>
          <w:tcPr>
            <w:tcW w:w="2268" w:type="dxa"/>
            <w:shd w:val="clear" w:color="auto" w:fill="C6EFCE"/>
            <w:tcMar>
              <w:left w:w="108" w:type="dxa"/>
              <w:right w:w="108" w:type="dxa"/>
            </w:tcMar>
            <w:vAlign w:val="center"/>
          </w:tcPr>
          <w:p w14:paraId="0F8751BF" w14:textId="77777777" w:rsidR="0057163C" w:rsidRPr="00170422" w:rsidRDefault="00F37BF9">
            <w:pPr>
              <w:pStyle w:val="P68B1DB1-Normal121"/>
              <w:spacing w:after="0" w:line="240" w:lineRule="auto"/>
              <w:rPr>
                <w:noProof/>
                <w:lang w:val="de-DE"/>
              </w:rPr>
            </w:pPr>
            <w:r w:rsidRPr="00170422">
              <w:rPr>
                <w:noProof/>
                <w:lang w:val="de-DE"/>
              </w:rPr>
              <w:t>Investition 4.2:  Mittel für die Wettbewerbsfähigkeit von Tourismusunternehmen</w:t>
            </w:r>
          </w:p>
        </w:tc>
        <w:tc>
          <w:tcPr>
            <w:tcW w:w="2126" w:type="dxa"/>
            <w:shd w:val="clear" w:color="auto" w:fill="C6EFCE"/>
            <w:tcMar>
              <w:left w:w="108" w:type="dxa"/>
              <w:right w:w="108" w:type="dxa"/>
            </w:tcMar>
            <w:vAlign w:val="center"/>
          </w:tcPr>
          <w:p w14:paraId="5557D41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2570700A" w14:textId="77777777" w:rsidR="0057163C" w:rsidRPr="00170422" w:rsidRDefault="00F37BF9">
            <w:pPr>
              <w:pStyle w:val="P68B1DB1-Normal121"/>
              <w:spacing w:after="0" w:line="240" w:lineRule="auto"/>
              <w:rPr>
                <w:noProof/>
                <w:lang w:val="de-DE"/>
              </w:rPr>
            </w:pPr>
            <w:r w:rsidRPr="00170422">
              <w:rPr>
                <w:noProof/>
                <w:lang w:val="de-DE"/>
              </w:rPr>
              <w:t xml:space="preserve">Zahl der durch den Zuschuss und/oder die Steuergutschrift für Infrastrukturen und/oder Dienstleistungen unterstützten Tourismusunternehmen; </w:t>
            </w:r>
          </w:p>
        </w:tc>
      </w:tr>
      <w:tr w:rsidR="0057163C" w:rsidRPr="00170422" w14:paraId="6C607EC5" w14:textId="77777777" w:rsidTr="0018154D">
        <w:trPr>
          <w:trHeight w:val="300"/>
        </w:trPr>
        <w:tc>
          <w:tcPr>
            <w:tcW w:w="1406" w:type="dxa"/>
            <w:shd w:val="clear" w:color="auto" w:fill="C6EFCE"/>
            <w:tcMar>
              <w:left w:w="108" w:type="dxa"/>
              <w:right w:w="108" w:type="dxa"/>
            </w:tcMar>
            <w:vAlign w:val="center"/>
          </w:tcPr>
          <w:p w14:paraId="086C39AB" w14:textId="77777777" w:rsidR="0057163C" w:rsidRPr="00170422" w:rsidRDefault="00F37BF9">
            <w:pPr>
              <w:pStyle w:val="P68B1DB1-Normal121"/>
              <w:spacing w:after="0" w:line="240" w:lineRule="auto"/>
              <w:jc w:val="center"/>
              <w:rPr>
                <w:noProof/>
                <w:lang w:val="de-DE"/>
              </w:rPr>
            </w:pPr>
            <w:r w:rsidRPr="00170422">
              <w:rPr>
                <w:noProof/>
                <w:lang w:val="de-DE"/>
              </w:rPr>
              <w:t>M1C3-32</w:t>
            </w:r>
          </w:p>
        </w:tc>
        <w:tc>
          <w:tcPr>
            <w:tcW w:w="2268" w:type="dxa"/>
            <w:shd w:val="clear" w:color="auto" w:fill="C6EFCE"/>
            <w:tcMar>
              <w:left w:w="108" w:type="dxa"/>
              <w:right w:w="108" w:type="dxa"/>
            </w:tcMar>
            <w:vAlign w:val="center"/>
          </w:tcPr>
          <w:p w14:paraId="3AED02C1" w14:textId="77777777" w:rsidR="0057163C" w:rsidRPr="00170422" w:rsidRDefault="00F37BF9">
            <w:pPr>
              <w:pStyle w:val="P68B1DB1-Normal121"/>
              <w:spacing w:after="0" w:line="240" w:lineRule="auto"/>
              <w:rPr>
                <w:noProof/>
                <w:lang w:val="de-DE"/>
              </w:rPr>
            </w:pPr>
            <w:r w:rsidRPr="00170422">
              <w:rPr>
                <w:noProof/>
                <w:lang w:val="de-DE"/>
              </w:rPr>
              <w:t xml:space="preserve">Investition 4.2:  Mittel für die Wettbewerbsfähigkeit von Tourismusunternehmen </w:t>
            </w:r>
          </w:p>
        </w:tc>
        <w:tc>
          <w:tcPr>
            <w:tcW w:w="2126" w:type="dxa"/>
            <w:shd w:val="clear" w:color="auto" w:fill="C6EFCE"/>
            <w:tcMar>
              <w:left w:w="108" w:type="dxa"/>
              <w:right w:w="108" w:type="dxa"/>
            </w:tcMar>
            <w:vAlign w:val="center"/>
          </w:tcPr>
          <w:p w14:paraId="318F715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66FBFE87" w14:textId="1C689BF3" w:rsidR="0057163C" w:rsidRPr="00170422" w:rsidRDefault="00F37BF9">
            <w:pPr>
              <w:pStyle w:val="P68B1DB1-Normal121"/>
              <w:spacing w:after="0" w:line="240" w:lineRule="auto"/>
              <w:rPr>
                <w:noProof/>
                <w:lang w:val="de-DE"/>
              </w:rPr>
            </w:pPr>
            <w:r w:rsidRPr="00170422">
              <w:rPr>
                <w:noProof/>
                <w:lang w:val="de-DE"/>
              </w:rPr>
              <w:t xml:space="preserve"> Zahl der durch den K</w:t>
            </w:r>
            <w:r w:rsidRPr="00170422">
              <w:rPr>
                <w:noProof/>
                <w:lang w:val="de-DE"/>
              </w:rPr>
              <w:t xml:space="preserve">MU-Garantiefonds zu unterstützenden Unternehmen </w:t>
            </w:r>
          </w:p>
        </w:tc>
      </w:tr>
      <w:tr w:rsidR="0057163C" w:rsidRPr="00170422" w14:paraId="178D909F" w14:textId="77777777" w:rsidTr="0018154D">
        <w:trPr>
          <w:trHeight w:val="300"/>
        </w:trPr>
        <w:tc>
          <w:tcPr>
            <w:tcW w:w="1406" w:type="dxa"/>
            <w:shd w:val="clear" w:color="auto" w:fill="C6EFCE"/>
            <w:tcMar>
              <w:left w:w="108" w:type="dxa"/>
              <w:right w:w="108" w:type="dxa"/>
            </w:tcMar>
            <w:vAlign w:val="center"/>
          </w:tcPr>
          <w:p w14:paraId="4CEC43D3" w14:textId="77777777" w:rsidR="0057163C" w:rsidRPr="00170422" w:rsidRDefault="00F37BF9">
            <w:pPr>
              <w:pStyle w:val="P68B1DB1-Normal121"/>
              <w:spacing w:after="0" w:line="240" w:lineRule="auto"/>
              <w:jc w:val="center"/>
              <w:rPr>
                <w:noProof/>
                <w:lang w:val="de-DE"/>
              </w:rPr>
            </w:pPr>
            <w:r w:rsidRPr="00170422">
              <w:rPr>
                <w:noProof/>
                <w:lang w:val="de-DE"/>
              </w:rPr>
              <w:t>M3C1-5</w:t>
            </w:r>
          </w:p>
        </w:tc>
        <w:tc>
          <w:tcPr>
            <w:tcW w:w="2268" w:type="dxa"/>
            <w:shd w:val="clear" w:color="auto" w:fill="C6EFCE"/>
            <w:tcMar>
              <w:left w:w="108" w:type="dxa"/>
              <w:right w:w="108" w:type="dxa"/>
            </w:tcMar>
            <w:vAlign w:val="center"/>
          </w:tcPr>
          <w:p w14:paraId="1EF2E406" w14:textId="77777777" w:rsidR="0057163C" w:rsidRPr="00170422" w:rsidRDefault="00F37BF9">
            <w:pPr>
              <w:pStyle w:val="P68B1DB1-Normal124"/>
              <w:spacing w:after="0" w:line="240" w:lineRule="auto"/>
              <w:rPr>
                <w:rFonts w:eastAsia="Times New Roman" w:hAnsi="Times New Roman" w:cs="Times New Roman"/>
                <w:noProof/>
                <w:lang w:val="de-DE"/>
              </w:rPr>
            </w:pPr>
            <w:r w:rsidRPr="00170422">
              <w:rPr>
                <w:noProof/>
                <w:lang w:val="de-DE"/>
              </w:rPr>
              <w:t xml:space="preserve">Investition 1.1 </w:t>
            </w:r>
            <w:r w:rsidRPr="00170422">
              <w:rPr>
                <w:noProof/>
                <w:lang w:val="de-DE"/>
              </w:rPr>
              <w:t>–</w:t>
            </w:r>
            <w:r w:rsidRPr="00170422">
              <w:rPr>
                <w:noProof/>
                <w:lang w:val="de-DE"/>
              </w:rPr>
              <w:t xml:space="preserve"> Hochgeschwindigkeitsbahnverbindungen nach S</w:t>
            </w:r>
            <w:r w:rsidRPr="00170422">
              <w:rPr>
                <w:noProof/>
                <w:lang w:val="de-DE"/>
              </w:rPr>
              <w:t>ü</w:t>
            </w:r>
            <w:r w:rsidRPr="00170422">
              <w:rPr>
                <w:noProof/>
                <w:lang w:val="de-DE"/>
              </w:rPr>
              <w:t>den f</w:t>
            </w:r>
            <w:r w:rsidRPr="00170422">
              <w:rPr>
                <w:noProof/>
                <w:lang w:val="de-DE"/>
              </w:rPr>
              <w:t>ü</w:t>
            </w:r>
            <w:r w:rsidRPr="00170422">
              <w:rPr>
                <w:noProof/>
                <w:lang w:val="de-DE"/>
              </w:rPr>
              <w:t>r den Personen- und G</w:t>
            </w:r>
            <w:r w:rsidRPr="00170422">
              <w:rPr>
                <w:noProof/>
                <w:lang w:val="de-DE"/>
              </w:rPr>
              <w:t>ü</w:t>
            </w:r>
            <w:r w:rsidRPr="00170422">
              <w:rPr>
                <w:noProof/>
                <w:lang w:val="de-DE"/>
              </w:rPr>
              <w:t>terverkehr</w:t>
            </w:r>
            <w:r w:rsidRPr="00170422">
              <w:rPr>
                <w:noProof/>
                <w:lang w:val="de-DE"/>
              </w:rPr>
              <w:t> </w:t>
            </w:r>
          </w:p>
        </w:tc>
        <w:tc>
          <w:tcPr>
            <w:tcW w:w="2126" w:type="dxa"/>
            <w:shd w:val="clear" w:color="auto" w:fill="C6EFCE"/>
            <w:tcMar>
              <w:left w:w="108" w:type="dxa"/>
              <w:right w:w="108" w:type="dxa"/>
            </w:tcMar>
            <w:vAlign w:val="center"/>
          </w:tcPr>
          <w:p w14:paraId="6722830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3208D2D9" w14:textId="77777777" w:rsidR="0057163C" w:rsidRPr="00170422" w:rsidRDefault="00F37BF9">
            <w:pPr>
              <w:pStyle w:val="P68B1DB1-Normal121"/>
              <w:spacing w:after="0" w:line="240" w:lineRule="auto"/>
              <w:rPr>
                <w:noProof/>
                <w:lang w:val="de-DE"/>
              </w:rPr>
            </w:pPr>
            <w:r w:rsidRPr="00170422">
              <w:rPr>
                <w:noProof/>
                <w:lang w:val="de-DE"/>
              </w:rPr>
              <w:t>Hochgeschwindigkeitsschienenverkehr auf den Strecken Napoli-Bari und Palermo-Katania</w:t>
            </w:r>
          </w:p>
        </w:tc>
      </w:tr>
      <w:tr w:rsidR="0057163C" w:rsidRPr="00170422" w14:paraId="3C0D876C" w14:textId="77777777" w:rsidTr="0018154D">
        <w:trPr>
          <w:trHeight w:val="300"/>
        </w:trPr>
        <w:tc>
          <w:tcPr>
            <w:tcW w:w="1406" w:type="dxa"/>
            <w:shd w:val="clear" w:color="auto" w:fill="C6EFCE"/>
            <w:tcMar>
              <w:left w:w="108" w:type="dxa"/>
              <w:right w:w="108" w:type="dxa"/>
            </w:tcMar>
            <w:vAlign w:val="center"/>
          </w:tcPr>
          <w:p w14:paraId="2CF1E9AC" w14:textId="77777777" w:rsidR="0057163C" w:rsidRPr="00170422" w:rsidRDefault="00F37BF9">
            <w:pPr>
              <w:pStyle w:val="P68B1DB1-Normal121"/>
              <w:spacing w:after="0" w:line="240" w:lineRule="auto"/>
              <w:jc w:val="center"/>
              <w:rPr>
                <w:noProof/>
                <w:lang w:val="de-DE"/>
              </w:rPr>
            </w:pPr>
            <w:r w:rsidRPr="00170422">
              <w:rPr>
                <w:noProof/>
                <w:lang w:val="de-DE"/>
              </w:rPr>
              <w:t>M6C1-9</w:t>
            </w:r>
          </w:p>
        </w:tc>
        <w:tc>
          <w:tcPr>
            <w:tcW w:w="2268" w:type="dxa"/>
            <w:shd w:val="clear" w:color="auto" w:fill="C6EFCE"/>
            <w:tcMar>
              <w:left w:w="108" w:type="dxa"/>
              <w:right w:w="108" w:type="dxa"/>
            </w:tcMar>
            <w:vAlign w:val="center"/>
          </w:tcPr>
          <w:p w14:paraId="579E3104" w14:textId="77777777" w:rsidR="0057163C" w:rsidRPr="00170422" w:rsidRDefault="00F37BF9">
            <w:pPr>
              <w:pStyle w:val="P68B1DB1-Normal121"/>
              <w:spacing w:after="0" w:line="240" w:lineRule="auto"/>
              <w:rPr>
                <w:noProof/>
                <w:lang w:val="de-DE"/>
              </w:rPr>
            </w:pPr>
            <w:r w:rsidRPr="00170422">
              <w:rPr>
                <w:noProof/>
                <w:lang w:val="de-DE"/>
              </w:rPr>
              <w:t>Investition 1.2: Zuhause als Erstversorgungsort und Telemedizin</w:t>
            </w:r>
          </w:p>
        </w:tc>
        <w:tc>
          <w:tcPr>
            <w:tcW w:w="2126" w:type="dxa"/>
            <w:shd w:val="clear" w:color="auto" w:fill="C6EFCE"/>
            <w:tcMar>
              <w:left w:w="108" w:type="dxa"/>
              <w:right w:w="108" w:type="dxa"/>
            </w:tcMar>
            <w:vAlign w:val="center"/>
          </w:tcPr>
          <w:p w14:paraId="6ACB55DF"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15AA29AD" w14:textId="77777777" w:rsidR="0057163C" w:rsidRPr="00170422" w:rsidRDefault="00F37BF9">
            <w:pPr>
              <w:pStyle w:val="P68B1DB1-Normal121"/>
              <w:spacing w:after="0" w:line="240" w:lineRule="auto"/>
              <w:rPr>
                <w:noProof/>
                <w:lang w:val="de-DE"/>
              </w:rPr>
            </w:pPr>
            <w:r w:rsidRPr="00170422">
              <w:rPr>
                <w:noProof/>
                <w:lang w:val="de-DE"/>
              </w:rPr>
              <w:t xml:space="preserve">Unterstützung durch Telemedizin-Tools </w:t>
            </w:r>
          </w:p>
        </w:tc>
      </w:tr>
      <w:tr w:rsidR="0057163C" w:rsidRPr="00170422" w14:paraId="6EA9121D" w14:textId="77777777" w:rsidTr="0018154D">
        <w:trPr>
          <w:trHeight w:val="300"/>
        </w:trPr>
        <w:tc>
          <w:tcPr>
            <w:tcW w:w="1406" w:type="dxa"/>
            <w:shd w:val="clear" w:color="auto" w:fill="C6EFCE"/>
            <w:tcMar>
              <w:left w:w="108" w:type="dxa"/>
              <w:right w:w="108" w:type="dxa"/>
            </w:tcMar>
            <w:vAlign w:val="center"/>
          </w:tcPr>
          <w:p w14:paraId="6E110F33" w14:textId="77777777" w:rsidR="0057163C" w:rsidRPr="00170422" w:rsidRDefault="00F37BF9">
            <w:pPr>
              <w:pStyle w:val="P68B1DB1-Normal121"/>
              <w:spacing w:after="0" w:line="240" w:lineRule="auto"/>
              <w:jc w:val="center"/>
              <w:rPr>
                <w:noProof/>
                <w:lang w:val="de-DE"/>
              </w:rPr>
            </w:pPr>
            <w:r w:rsidRPr="00170422">
              <w:rPr>
                <w:noProof/>
                <w:lang w:val="de-DE"/>
              </w:rPr>
              <w:t>M6C2-8</w:t>
            </w:r>
          </w:p>
        </w:tc>
        <w:tc>
          <w:tcPr>
            <w:tcW w:w="2268" w:type="dxa"/>
            <w:shd w:val="clear" w:color="auto" w:fill="C6EFCE"/>
            <w:tcMar>
              <w:left w:w="108" w:type="dxa"/>
              <w:right w:w="108" w:type="dxa"/>
            </w:tcMar>
            <w:vAlign w:val="center"/>
          </w:tcPr>
          <w:p w14:paraId="1F8116FC" w14:textId="77777777" w:rsidR="0057163C" w:rsidRPr="00170422" w:rsidRDefault="00F37BF9">
            <w:pPr>
              <w:pStyle w:val="P68B1DB1-Normal123"/>
              <w:spacing w:after="0" w:line="240" w:lineRule="auto"/>
              <w:rPr>
                <w:noProof/>
                <w:lang w:val="de-DE"/>
              </w:rPr>
            </w:pPr>
            <w:r w:rsidRPr="00170422">
              <w:rPr>
                <w:noProof/>
                <w:lang w:val="de-DE"/>
              </w:rPr>
              <w:t>Investition 1.1: Digitale Aktualisierung der technischen Ausrüstung von Krankenhäusern</w:t>
            </w:r>
          </w:p>
        </w:tc>
        <w:tc>
          <w:tcPr>
            <w:tcW w:w="2126" w:type="dxa"/>
            <w:shd w:val="clear" w:color="auto" w:fill="C6EFCE"/>
            <w:tcMar>
              <w:left w:w="108" w:type="dxa"/>
              <w:right w:w="108" w:type="dxa"/>
            </w:tcMar>
            <w:vAlign w:val="center"/>
          </w:tcPr>
          <w:p w14:paraId="365B73F9"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6D7CFAA9" w14:textId="77777777" w:rsidR="0057163C" w:rsidRPr="00170422" w:rsidRDefault="00F37BF9">
            <w:pPr>
              <w:pStyle w:val="P68B1DB1-Normal123"/>
              <w:spacing w:after="0" w:line="240" w:lineRule="auto"/>
              <w:rPr>
                <w:noProof/>
                <w:lang w:val="de-DE"/>
              </w:rPr>
            </w:pPr>
            <w:r w:rsidRPr="00170422">
              <w:rPr>
                <w:noProof/>
                <w:lang w:val="de-DE"/>
              </w:rPr>
              <w:t xml:space="preserve">Die Krankenhäuser sind digitalisiert (DEA – </w:t>
            </w:r>
            <w:r w:rsidRPr="00170422">
              <w:rPr>
                <w:noProof/>
                <w:lang w:val="de-DE"/>
              </w:rPr>
              <w:t>Abteilungen für Notfälle und Zulassungen – Level I und Level II)</w:t>
            </w:r>
          </w:p>
        </w:tc>
      </w:tr>
      <w:tr w:rsidR="0057163C" w:rsidRPr="00170422" w14:paraId="709F538B" w14:textId="77777777" w:rsidTr="0018154D">
        <w:trPr>
          <w:trHeight w:val="300"/>
        </w:trPr>
        <w:tc>
          <w:tcPr>
            <w:tcW w:w="1406" w:type="dxa"/>
            <w:shd w:val="clear" w:color="auto" w:fill="C6EFCE"/>
            <w:tcMar>
              <w:left w:w="108" w:type="dxa"/>
              <w:right w:w="108" w:type="dxa"/>
            </w:tcMar>
            <w:vAlign w:val="center"/>
          </w:tcPr>
          <w:p w14:paraId="6728D1F4" w14:textId="77777777" w:rsidR="0057163C" w:rsidRPr="00170422" w:rsidRDefault="00F37BF9">
            <w:pPr>
              <w:pStyle w:val="P68B1DB1-Normal121"/>
              <w:spacing w:after="0" w:line="240" w:lineRule="auto"/>
              <w:jc w:val="center"/>
              <w:rPr>
                <w:noProof/>
                <w:lang w:val="de-DE"/>
              </w:rPr>
            </w:pPr>
            <w:r w:rsidRPr="00170422">
              <w:rPr>
                <w:noProof/>
                <w:lang w:val="de-DE"/>
              </w:rPr>
              <w:t>M6C2-11</w:t>
            </w:r>
          </w:p>
        </w:tc>
        <w:tc>
          <w:tcPr>
            <w:tcW w:w="2268" w:type="dxa"/>
            <w:shd w:val="clear" w:color="auto" w:fill="C6EFCE"/>
            <w:tcMar>
              <w:left w:w="108" w:type="dxa"/>
              <w:right w:w="108" w:type="dxa"/>
            </w:tcMar>
            <w:vAlign w:val="center"/>
          </w:tcPr>
          <w:p w14:paraId="240B5B61" w14:textId="77777777" w:rsidR="0057163C" w:rsidRPr="00170422" w:rsidRDefault="00F37BF9">
            <w:pPr>
              <w:pStyle w:val="P68B1DB1-Normal123"/>
              <w:spacing w:after="0" w:line="240" w:lineRule="auto"/>
              <w:rPr>
                <w:noProof/>
                <w:lang w:val="de-DE"/>
              </w:rPr>
            </w:pPr>
            <w:r w:rsidRPr="00170422">
              <w:rPr>
                <w:noProof/>
                <w:lang w:val="de-DE"/>
              </w:rPr>
              <w:t>Investition 1.3: Stärkung der technologischen Infrastruktur und der Instrumente für die Datenerhebung, Datenverarbeitung, Datenanalyse und -simulation</w:t>
            </w:r>
          </w:p>
        </w:tc>
        <w:tc>
          <w:tcPr>
            <w:tcW w:w="2126" w:type="dxa"/>
            <w:shd w:val="clear" w:color="auto" w:fill="C6EFCE"/>
            <w:tcMar>
              <w:left w:w="108" w:type="dxa"/>
              <w:right w:w="108" w:type="dxa"/>
            </w:tcMar>
            <w:vAlign w:val="center"/>
          </w:tcPr>
          <w:p w14:paraId="62BD54A1"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14648DC4" w14:textId="77777777" w:rsidR="0057163C" w:rsidRPr="00170422" w:rsidRDefault="00F37BF9">
            <w:pPr>
              <w:pStyle w:val="P68B1DB1-Normal123"/>
              <w:spacing w:after="0" w:line="240" w:lineRule="auto"/>
              <w:rPr>
                <w:noProof/>
                <w:lang w:val="de-DE"/>
              </w:rPr>
            </w:pPr>
            <w:r w:rsidRPr="00170422">
              <w:rPr>
                <w:noProof/>
                <w:lang w:val="de-DE"/>
              </w:rPr>
              <w:t>Allgemeinmediziner, die in</w:t>
            </w:r>
            <w:r w:rsidRPr="00170422">
              <w:rPr>
                <w:noProof/>
                <w:lang w:val="de-DE"/>
              </w:rPr>
              <w:t xml:space="preserve"> die elektronische Patientenakte einspeisen.</w:t>
            </w:r>
          </w:p>
        </w:tc>
      </w:tr>
      <w:tr w:rsidR="0057163C" w:rsidRPr="00170422" w14:paraId="6FF04E35" w14:textId="77777777" w:rsidTr="0018154D">
        <w:trPr>
          <w:trHeight w:val="300"/>
        </w:trPr>
        <w:tc>
          <w:tcPr>
            <w:tcW w:w="1406" w:type="dxa"/>
            <w:shd w:val="clear" w:color="auto" w:fill="C6EFCE"/>
            <w:tcMar>
              <w:left w:w="108" w:type="dxa"/>
              <w:right w:w="108" w:type="dxa"/>
            </w:tcMar>
            <w:vAlign w:val="center"/>
          </w:tcPr>
          <w:p w14:paraId="2B54F64E" w14:textId="77777777" w:rsidR="0057163C" w:rsidRPr="00170422" w:rsidRDefault="00F37BF9">
            <w:pPr>
              <w:pStyle w:val="P68B1DB1-Normal121"/>
              <w:spacing w:after="0" w:line="240" w:lineRule="auto"/>
              <w:jc w:val="center"/>
              <w:rPr>
                <w:noProof/>
                <w:lang w:val="de-DE"/>
              </w:rPr>
            </w:pPr>
            <w:r w:rsidRPr="00170422">
              <w:rPr>
                <w:noProof/>
                <w:lang w:val="de-DE"/>
              </w:rPr>
              <w:t>M1C3-33</w:t>
            </w:r>
          </w:p>
        </w:tc>
        <w:tc>
          <w:tcPr>
            <w:tcW w:w="2268" w:type="dxa"/>
            <w:shd w:val="clear" w:color="auto" w:fill="C6EFCE"/>
            <w:tcMar>
              <w:left w:w="108" w:type="dxa"/>
              <w:right w:w="108" w:type="dxa"/>
            </w:tcMar>
            <w:vAlign w:val="center"/>
          </w:tcPr>
          <w:p w14:paraId="7579DD15" w14:textId="77777777" w:rsidR="0057163C" w:rsidRPr="00170422" w:rsidRDefault="00F37BF9">
            <w:pPr>
              <w:pStyle w:val="P68B1DB1-Normal121"/>
              <w:spacing w:after="0" w:line="240" w:lineRule="auto"/>
              <w:rPr>
                <w:noProof/>
                <w:lang w:val="de-DE"/>
              </w:rPr>
            </w:pPr>
            <w:r w:rsidRPr="00170422">
              <w:rPr>
                <w:noProof/>
                <w:lang w:val="de-DE"/>
              </w:rPr>
              <w:t>Investitionen 4.2 Fonds für die Wettbewerbsfähigkeit von Tourismusunternehmen</w:t>
            </w:r>
          </w:p>
        </w:tc>
        <w:tc>
          <w:tcPr>
            <w:tcW w:w="2126" w:type="dxa"/>
            <w:shd w:val="clear" w:color="auto" w:fill="C6EFCE"/>
            <w:tcMar>
              <w:left w:w="108" w:type="dxa"/>
              <w:right w:w="108" w:type="dxa"/>
            </w:tcMar>
            <w:vAlign w:val="center"/>
          </w:tcPr>
          <w:p w14:paraId="5F236B2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6CD2D989" w14:textId="77777777" w:rsidR="0057163C" w:rsidRPr="00170422" w:rsidRDefault="00F37BF9">
            <w:pPr>
              <w:pStyle w:val="P68B1DB1-Normal121"/>
              <w:spacing w:after="0" w:line="240" w:lineRule="auto"/>
              <w:rPr>
                <w:noProof/>
                <w:lang w:val="de-DE"/>
              </w:rPr>
            </w:pPr>
            <w:r w:rsidRPr="00170422">
              <w:rPr>
                <w:noProof/>
                <w:lang w:val="de-DE"/>
              </w:rPr>
              <w:t xml:space="preserve">Fondo Rotativo: Mit den Endbegünstigten unterzeichnete rechtliche Vereinbarung  </w:t>
            </w:r>
          </w:p>
        </w:tc>
      </w:tr>
      <w:tr w:rsidR="0057163C" w:rsidRPr="00170422" w14:paraId="3589CFF0" w14:textId="77777777" w:rsidTr="0018154D">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F547C1" w14:textId="77777777" w:rsidR="0057163C" w:rsidRPr="00170422" w:rsidRDefault="00F37BF9">
            <w:pPr>
              <w:pStyle w:val="P68B1DB1-Normal121"/>
              <w:spacing w:after="0" w:line="240" w:lineRule="auto"/>
              <w:jc w:val="center"/>
              <w:rPr>
                <w:noProof/>
                <w:lang w:val="de-DE"/>
              </w:rPr>
            </w:pPr>
            <w:r w:rsidRPr="00170422">
              <w:rPr>
                <w:noProof/>
                <w:lang w:val="de-DE"/>
              </w:rPr>
              <w:t>M1C3-9bis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CCEA4BD" w14:textId="77777777" w:rsidR="0057163C" w:rsidRPr="00170422" w:rsidRDefault="00F37BF9">
            <w:pPr>
              <w:pStyle w:val="P68B1DB1-Normal121"/>
              <w:spacing w:after="0" w:line="240" w:lineRule="auto"/>
              <w:rPr>
                <w:noProof/>
                <w:lang w:val="de-DE"/>
              </w:rPr>
            </w:pPr>
            <w:r w:rsidRPr="00170422">
              <w:rPr>
                <w:noProof/>
                <w:lang w:val="de-DE"/>
              </w:rPr>
              <w:t xml:space="preserve">Investition 4.1 Digitales </w:t>
            </w:r>
            <w:r w:rsidRPr="00170422">
              <w:rPr>
                <w:noProof/>
                <w:lang w:val="de-DE"/>
              </w:rPr>
              <w:t>Tourismuszentrum</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E92903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7B49376" w14:textId="77777777" w:rsidR="0057163C" w:rsidRPr="00170422" w:rsidRDefault="00F37BF9">
            <w:pPr>
              <w:pStyle w:val="P68B1DB1-Normal121"/>
              <w:spacing w:after="0" w:line="240" w:lineRule="auto"/>
              <w:rPr>
                <w:noProof/>
                <w:lang w:val="de-DE"/>
              </w:rPr>
            </w:pPr>
            <w:r w:rsidRPr="00170422">
              <w:rPr>
                <w:noProof/>
                <w:lang w:val="de-DE"/>
              </w:rPr>
              <w:t xml:space="preserve">Registrierung von Tourismusunternehmen im digitalen Tourismuszentrum und Zugang zu den von der Plattform erbrachten Dienstleistungen  </w:t>
            </w:r>
          </w:p>
        </w:tc>
      </w:tr>
      <w:tr w:rsidR="0057163C" w:rsidRPr="00170422" w14:paraId="36345369" w14:textId="77777777" w:rsidTr="0018154D">
        <w:trPr>
          <w:trHeight w:val="300"/>
        </w:trPr>
        <w:tc>
          <w:tcPr>
            <w:tcW w:w="1406" w:type="dxa"/>
            <w:shd w:val="clear" w:color="auto" w:fill="C6EFCE"/>
            <w:tcMar>
              <w:left w:w="108" w:type="dxa"/>
              <w:right w:w="108" w:type="dxa"/>
            </w:tcMar>
            <w:vAlign w:val="center"/>
          </w:tcPr>
          <w:p w14:paraId="02FAFB44" w14:textId="77777777" w:rsidR="0057163C" w:rsidRPr="00170422" w:rsidRDefault="00F37BF9">
            <w:pPr>
              <w:pStyle w:val="P68B1DB1-Normal121"/>
              <w:spacing w:after="0" w:line="240" w:lineRule="auto"/>
              <w:jc w:val="center"/>
              <w:rPr>
                <w:noProof/>
                <w:lang w:val="de-DE"/>
              </w:rPr>
            </w:pPr>
            <w:r w:rsidRPr="00170422">
              <w:rPr>
                <w:noProof/>
                <w:lang w:val="de-DE"/>
              </w:rPr>
              <w:t>M1C3-18</w:t>
            </w:r>
          </w:p>
        </w:tc>
        <w:tc>
          <w:tcPr>
            <w:tcW w:w="2268" w:type="dxa"/>
            <w:shd w:val="clear" w:color="auto" w:fill="C6EFCE"/>
            <w:tcMar>
              <w:left w:w="108" w:type="dxa"/>
              <w:right w:w="108" w:type="dxa"/>
            </w:tcMar>
            <w:vAlign w:val="center"/>
          </w:tcPr>
          <w:p w14:paraId="71860158" w14:textId="77777777" w:rsidR="0057163C" w:rsidRPr="00170422" w:rsidRDefault="00F37BF9">
            <w:pPr>
              <w:pStyle w:val="P68B1DB1-Normal121"/>
              <w:spacing w:after="0" w:line="240" w:lineRule="auto"/>
              <w:rPr>
                <w:noProof/>
                <w:lang w:val="de-DE"/>
              </w:rPr>
            </w:pPr>
            <w:r w:rsidRPr="00170422">
              <w:rPr>
                <w:noProof/>
                <w:lang w:val="de-DE"/>
              </w:rPr>
              <w:t>Investition 2.3 Programme zur Verbesserung der Identität von Orten, Parks und historischen</w:t>
            </w:r>
            <w:r w:rsidRPr="00170422">
              <w:rPr>
                <w:noProof/>
                <w:lang w:val="de-DE"/>
              </w:rPr>
              <w:t xml:space="preserve"> Gärten</w:t>
            </w:r>
          </w:p>
        </w:tc>
        <w:tc>
          <w:tcPr>
            <w:tcW w:w="2126" w:type="dxa"/>
            <w:shd w:val="clear" w:color="auto" w:fill="C6EFCE"/>
            <w:tcMar>
              <w:left w:w="108" w:type="dxa"/>
              <w:right w:w="108" w:type="dxa"/>
            </w:tcMar>
            <w:vAlign w:val="center"/>
          </w:tcPr>
          <w:p w14:paraId="3CEE7C2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shd w:val="clear" w:color="auto" w:fill="C6EFCE"/>
            <w:tcMar>
              <w:left w:w="108" w:type="dxa"/>
              <w:right w:w="108" w:type="dxa"/>
            </w:tcMar>
            <w:vAlign w:val="center"/>
          </w:tcPr>
          <w:p w14:paraId="241E3718" w14:textId="77777777" w:rsidR="0057163C" w:rsidRPr="00170422" w:rsidRDefault="00F37BF9">
            <w:pPr>
              <w:pStyle w:val="P68B1DB1-Normal121"/>
              <w:spacing w:after="0" w:line="240" w:lineRule="auto"/>
              <w:rPr>
                <w:noProof/>
                <w:lang w:val="de-DE"/>
              </w:rPr>
            </w:pPr>
            <w:r w:rsidRPr="00170422">
              <w:rPr>
                <w:noProof/>
                <w:lang w:val="de-DE"/>
              </w:rPr>
              <w:t>Zahl der neuqualifizierten Parks und historischen Gärten</w:t>
            </w:r>
          </w:p>
        </w:tc>
      </w:tr>
      <w:tr w:rsidR="0057163C" w:rsidRPr="00170422" w14:paraId="1F23300C" w14:textId="77777777" w:rsidTr="0018154D">
        <w:trPr>
          <w:trHeight w:val="300"/>
        </w:trPr>
        <w:tc>
          <w:tcPr>
            <w:tcW w:w="1406" w:type="dxa"/>
            <w:shd w:val="clear" w:color="auto" w:fill="C6EFCE"/>
            <w:tcMar>
              <w:left w:w="108" w:type="dxa"/>
              <w:right w:w="108" w:type="dxa"/>
            </w:tcMar>
            <w:vAlign w:val="center"/>
          </w:tcPr>
          <w:p w14:paraId="1070A5C2" w14:textId="77777777" w:rsidR="0057163C" w:rsidRPr="00170422" w:rsidRDefault="00F37BF9">
            <w:pPr>
              <w:pStyle w:val="P68B1DB1-Normal121"/>
              <w:spacing w:after="0" w:line="240" w:lineRule="auto"/>
              <w:jc w:val="center"/>
              <w:rPr>
                <w:noProof/>
                <w:lang w:val="de-DE"/>
              </w:rPr>
            </w:pPr>
            <w:r w:rsidRPr="00170422">
              <w:rPr>
                <w:noProof/>
                <w:lang w:val="de-DE"/>
              </w:rPr>
              <w:t>M2C1-23</w:t>
            </w:r>
          </w:p>
        </w:tc>
        <w:tc>
          <w:tcPr>
            <w:tcW w:w="2268" w:type="dxa"/>
            <w:shd w:val="clear" w:color="auto" w:fill="C6EFCE"/>
            <w:tcMar>
              <w:left w:w="108" w:type="dxa"/>
              <w:right w:w="108" w:type="dxa"/>
            </w:tcMar>
            <w:vAlign w:val="center"/>
          </w:tcPr>
          <w:p w14:paraId="4C93C94F" w14:textId="77777777" w:rsidR="0057163C" w:rsidRPr="00170422" w:rsidRDefault="00F37BF9">
            <w:pPr>
              <w:pStyle w:val="P68B1DB1-Normal121"/>
              <w:spacing w:after="0" w:line="240" w:lineRule="auto"/>
              <w:rPr>
                <w:noProof/>
                <w:lang w:val="de-DE"/>
              </w:rPr>
            </w:pPr>
            <w:r w:rsidRPr="00170422">
              <w:rPr>
                <w:noProof/>
                <w:lang w:val="de-DE"/>
              </w:rPr>
              <w:t xml:space="preserve">Investition 3.4: Fondo Contratti di Filiera (FCF) zur Unterstützung von Lieferkettenverträgen in den Sektoren Agrar- und Ernährungswirtschaft, Fischerei und Aquakultur, </w:t>
            </w:r>
            <w:r w:rsidRPr="00170422">
              <w:rPr>
                <w:noProof/>
                <w:lang w:val="de-DE"/>
              </w:rPr>
              <w:t>Forstwirtschaft, Blumenzucht und Pflanzenzucht</w:t>
            </w:r>
          </w:p>
        </w:tc>
        <w:tc>
          <w:tcPr>
            <w:tcW w:w="2126" w:type="dxa"/>
            <w:shd w:val="clear" w:color="auto" w:fill="C6EFCE"/>
            <w:tcMar>
              <w:left w:w="108" w:type="dxa"/>
              <w:right w:w="108" w:type="dxa"/>
            </w:tcMar>
            <w:vAlign w:val="center"/>
          </w:tcPr>
          <w:p w14:paraId="5C9EC0A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31" w:type="dxa"/>
            <w:shd w:val="clear" w:color="auto" w:fill="C6EFCE"/>
            <w:tcMar>
              <w:left w:w="108" w:type="dxa"/>
              <w:right w:w="108" w:type="dxa"/>
            </w:tcMar>
            <w:vAlign w:val="center"/>
          </w:tcPr>
          <w:p w14:paraId="5150ADAA" w14:textId="77777777" w:rsidR="0057163C" w:rsidRPr="00170422" w:rsidRDefault="00F37BF9">
            <w:pPr>
              <w:pStyle w:val="P68B1DB1-Normal121"/>
              <w:spacing w:after="0" w:line="240" w:lineRule="auto"/>
              <w:rPr>
                <w:noProof/>
                <w:lang w:val="de-DE"/>
              </w:rPr>
            </w:pPr>
            <w:r w:rsidRPr="00170422">
              <w:rPr>
                <w:noProof/>
                <w:lang w:val="de-DE"/>
              </w:rPr>
              <w:t>An ISMEA übertragene Mittel und Änderung der Durchführungsvereinbarung</w:t>
            </w:r>
          </w:p>
        </w:tc>
      </w:tr>
      <w:tr w:rsidR="0057163C" w:rsidRPr="00170422" w14:paraId="310AA06C" w14:textId="77777777" w:rsidTr="0018154D">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F6F54F" w14:textId="77777777" w:rsidR="0057163C" w:rsidRPr="00170422" w:rsidRDefault="00F37BF9">
            <w:pPr>
              <w:pStyle w:val="P68B1DB1-Normal121"/>
              <w:spacing w:after="0" w:line="240" w:lineRule="auto"/>
              <w:jc w:val="center"/>
              <w:rPr>
                <w:noProof/>
                <w:lang w:val="de-DE"/>
              </w:rPr>
            </w:pPr>
            <w:r w:rsidRPr="00170422">
              <w:rPr>
                <w:noProof/>
                <w:lang w:val="de-DE"/>
              </w:rPr>
              <w:t>M4C1-31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2D8CF9" w14:textId="77777777" w:rsidR="0057163C" w:rsidRPr="00170422" w:rsidRDefault="00F37BF9">
            <w:pPr>
              <w:pStyle w:val="P68B1DB1-Normal121"/>
              <w:spacing w:after="0" w:line="240" w:lineRule="auto"/>
              <w:rPr>
                <w:noProof/>
                <w:lang w:val="de-DE"/>
              </w:rPr>
            </w:pPr>
            <w:r w:rsidRPr="00170422">
              <w:rPr>
                <w:noProof/>
                <w:lang w:val="de-DE"/>
              </w:rPr>
              <w:t>Investition 5: Stipendiatenwohnungsfonds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860BEA"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3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B83F996"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21275B8B" w14:textId="77777777" w:rsidTr="0018154D">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91A29" w14:textId="77777777" w:rsidR="0057163C" w:rsidRPr="00170422" w:rsidRDefault="00F37BF9">
            <w:pPr>
              <w:pStyle w:val="P68B1DB1-Normal121"/>
              <w:spacing w:after="0" w:line="240" w:lineRule="auto"/>
              <w:jc w:val="center"/>
              <w:rPr>
                <w:noProof/>
                <w:lang w:val="de-DE"/>
              </w:rPr>
            </w:pPr>
            <w:r w:rsidRPr="00170422">
              <w:rPr>
                <w:noProof/>
                <w:lang w:val="de-DE"/>
              </w:rPr>
              <w:t>M5C1-19bis</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B2D894F" w14:textId="77777777" w:rsidR="0057163C" w:rsidRPr="00170422" w:rsidRDefault="00F37BF9">
            <w:pPr>
              <w:pStyle w:val="P68B1DB1-Normal121"/>
              <w:spacing w:after="0" w:line="240" w:lineRule="auto"/>
              <w:rPr>
                <w:noProof/>
                <w:lang w:val="de-DE"/>
              </w:rPr>
            </w:pPr>
            <w:r w:rsidRPr="00170422">
              <w:rPr>
                <w:noProof/>
                <w:lang w:val="de-DE"/>
              </w:rPr>
              <w:t>Investition 5 Gründung von</w:t>
            </w:r>
            <w:r w:rsidRPr="00170422">
              <w:rPr>
                <w:noProof/>
                <w:lang w:val="de-DE"/>
              </w:rPr>
              <w:t xml:space="preserve"> Frauenunternehmen</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CF983A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3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3B6891" w14:textId="77777777" w:rsidR="0057163C" w:rsidRPr="00170422" w:rsidRDefault="00F37BF9">
            <w:pPr>
              <w:pStyle w:val="P68B1DB1-Normal121"/>
              <w:spacing w:after="0" w:line="240" w:lineRule="auto"/>
              <w:rPr>
                <w:noProof/>
                <w:lang w:val="de-DE"/>
              </w:rPr>
            </w:pPr>
            <w:r w:rsidRPr="00170422">
              <w:rPr>
                <w:noProof/>
                <w:lang w:val="de-DE"/>
              </w:rPr>
              <w:t>Durchführungsvereinbarung und Übertragung an Invitalia</w:t>
            </w:r>
          </w:p>
        </w:tc>
      </w:tr>
      <w:tr w:rsidR="0057163C" w:rsidRPr="00170422" w14:paraId="2F47054C" w14:textId="77777777" w:rsidTr="0018154D">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DEFA74E" w14:textId="77777777" w:rsidR="0057163C" w:rsidRPr="00170422" w:rsidRDefault="00F37BF9">
            <w:pPr>
              <w:pStyle w:val="P68B1DB1-Normal121"/>
              <w:spacing w:after="0" w:line="240" w:lineRule="auto"/>
              <w:jc w:val="center"/>
              <w:rPr>
                <w:noProof/>
                <w:lang w:val="de-DE"/>
              </w:rPr>
            </w:pPr>
            <w:r w:rsidRPr="00170422">
              <w:rPr>
                <w:noProof/>
                <w:lang w:val="de-DE"/>
              </w:rPr>
              <w:t>M1C2-30</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DF243EF" w14:textId="77777777" w:rsidR="0057163C" w:rsidRPr="00170422" w:rsidRDefault="00F37BF9">
            <w:pPr>
              <w:pStyle w:val="P68B1DB1-Normal121"/>
              <w:spacing w:after="0" w:line="240" w:lineRule="auto"/>
              <w:rPr>
                <w:noProof/>
                <w:lang w:val="de-DE"/>
              </w:rPr>
            </w:pPr>
            <w:r w:rsidRPr="00170422">
              <w:rPr>
                <w:noProof/>
                <w:lang w:val="de-DE"/>
              </w:rPr>
              <w:t>Investition 7 – Nationaler Konnektivitätsfonds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225178C"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3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40502BD" w14:textId="77777777"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1B6AB2E3" w14:textId="77777777" w:rsidTr="0018154D">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bottom"/>
          </w:tcPr>
          <w:p w14:paraId="63BF030B" w14:textId="3CD3D37C" w:rsidR="0057163C" w:rsidRPr="00170422" w:rsidRDefault="00F37BF9">
            <w:pPr>
              <w:pStyle w:val="P68B1DB1-Normal121"/>
              <w:spacing w:after="0" w:line="240" w:lineRule="auto"/>
              <w:jc w:val="center"/>
              <w:rPr>
                <w:noProof/>
                <w:lang w:val="de-DE"/>
              </w:rPr>
            </w:pPr>
            <w:r w:rsidRPr="00170422">
              <w:rPr>
                <w:noProof/>
                <w:lang w:val="de-DE"/>
              </w:rPr>
              <w:t>M2C1-26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1E4A48C" w14:textId="2564FFEF" w:rsidR="0057163C" w:rsidRPr="00170422" w:rsidRDefault="00F37BF9">
            <w:pPr>
              <w:pStyle w:val="P68B1DB1-Normal121"/>
              <w:spacing w:after="0" w:line="240" w:lineRule="auto"/>
              <w:rPr>
                <w:noProof/>
                <w:lang w:val="de-DE"/>
              </w:rPr>
            </w:pPr>
            <w:r w:rsidRPr="00170422">
              <w:rPr>
                <w:noProof/>
                <w:lang w:val="de-DE"/>
              </w:rPr>
              <w:t>Investition 4: Agrar-Solarpark-Fazilität</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B8969C0" w14:textId="2EBB3D08"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3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1AAAAE3" w14:textId="60212123" w:rsidR="0057163C" w:rsidRPr="00170422" w:rsidRDefault="00F37BF9">
            <w:pPr>
              <w:pStyle w:val="P68B1DB1-Normal121"/>
              <w:spacing w:after="0" w:line="240" w:lineRule="auto"/>
              <w:rPr>
                <w:noProof/>
                <w:lang w:val="de-DE"/>
              </w:rPr>
            </w:pPr>
            <w:r w:rsidRPr="00170422">
              <w:rPr>
                <w:noProof/>
                <w:lang w:val="de-DE"/>
              </w:rPr>
              <w:t>Durchführungsvereinbarung</w:t>
            </w:r>
          </w:p>
        </w:tc>
      </w:tr>
      <w:tr w:rsidR="0057163C" w:rsidRPr="00170422" w14:paraId="19A3807B" w14:textId="77777777" w:rsidTr="0018154D">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6E7CEFE" w14:textId="3FEC8602" w:rsidR="0057163C" w:rsidRPr="00170422" w:rsidRDefault="00F37BF9">
            <w:pPr>
              <w:pStyle w:val="P68B1DB1-Normal121"/>
              <w:spacing w:after="0" w:line="240" w:lineRule="auto"/>
              <w:jc w:val="center"/>
              <w:rPr>
                <w:noProof/>
                <w:lang w:val="de-DE"/>
              </w:rPr>
            </w:pPr>
            <w:r w:rsidRPr="00170422">
              <w:rPr>
                <w:noProof/>
                <w:lang w:val="de-DE"/>
              </w:rPr>
              <w:t>M5C2-18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FCB2ED" w14:textId="6FDDC8A6" w:rsidR="0057163C" w:rsidRPr="00170422" w:rsidRDefault="00F37BF9">
            <w:pPr>
              <w:pStyle w:val="P68B1DB1-Normal121"/>
              <w:spacing w:after="0" w:line="240" w:lineRule="auto"/>
              <w:rPr>
                <w:noProof/>
                <w:lang w:val="de-DE"/>
              </w:rPr>
            </w:pPr>
            <w:r w:rsidRPr="00170422">
              <w:rPr>
                <w:noProof/>
                <w:lang w:val="de-DE"/>
              </w:rPr>
              <w:t>Investition 5 – integrierte städtische Pläne – EIB-Fonds-Of-Fonds</w:t>
            </w:r>
          </w:p>
        </w:tc>
        <w:tc>
          <w:tcPr>
            <w:tcW w:w="212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A6900F9" w14:textId="2A6784E9" w:rsidR="0057163C" w:rsidRPr="00170422" w:rsidRDefault="00F37BF9">
            <w:pPr>
              <w:pStyle w:val="P68B1DB1-Normal121"/>
              <w:spacing w:after="0" w:line="240" w:lineRule="auto"/>
              <w:jc w:val="center"/>
              <w:rPr>
                <w:noProof/>
                <w:lang w:val="de-DE"/>
              </w:rPr>
            </w:pPr>
            <w:r w:rsidRPr="00170422">
              <w:rPr>
                <w:noProof/>
                <w:lang w:val="de-DE"/>
              </w:rPr>
              <w:t>Ziel</w:t>
            </w:r>
          </w:p>
        </w:tc>
        <w:tc>
          <w:tcPr>
            <w:tcW w:w="3431"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956FFE2" w14:textId="6062BB2E" w:rsidR="0057163C" w:rsidRPr="00170422" w:rsidRDefault="00F37BF9">
            <w:pPr>
              <w:pStyle w:val="P68B1DB1-Normal121"/>
              <w:spacing w:after="0" w:line="240" w:lineRule="auto"/>
              <w:rPr>
                <w:noProof/>
                <w:lang w:val="de-DE"/>
              </w:rPr>
            </w:pPr>
            <w:r w:rsidRPr="00170422">
              <w:rPr>
                <w:noProof/>
                <w:lang w:val="de-DE"/>
              </w:rPr>
              <w:t>Mit Endbegünstigten unterzeichnete rechtliche Vereinbarungen über einen Investitionswert der zugrunde liegenden Projekte im Wert von mindestens 545 00</w:t>
            </w:r>
            <w:r w:rsidRPr="00170422">
              <w:rPr>
                <w:noProof/>
                <w:lang w:val="de-DE"/>
              </w:rPr>
              <w:t xml:space="preserve">0 000 EUR   </w:t>
            </w:r>
          </w:p>
        </w:tc>
      </w:tr>
      <w:tr w:rsidR="0057163C" w:rsidRPr="00170422" w14:paraId="598C50AE" w14:textId="77777777" w:rsidTr="0018154D">
        <w:trPr>
          <w:trHeight w:val="300"/>
        </w:trPr>
        <w:tc>
          <w:tcPr>
            <w:tcW w:w="1406" w:type="dxa"/>
            <w:shd w:val="clear" w:color="auto" w:fill="C6EFCE"/>
            <w:tcMar>
              <w:left w:w="108" w:type="dxa"/>
              <w:right w:w="108" w:type="dxa"/>
            </w:tcMar>
            <w:vAlign w:val="center"/>
          </w:tcPr>
          <w:p w14:paraId="127A4682"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shd w:val="clear" w:color="auto" w:fill="C6EFCE"/>
            <w:tcMar>
              <w:left w:w="108" w:type="dxa"/>
              <w:right w:w="108" w:type="dxa"/>
            </w:tcMar>
            <w:vAlign w:val="center"/>
          </w:tcPr>
          <w:p w14:paraId="77EFA4B7" w14:textId="77777777" w:rsidR="0057163C" w:rsidRPr="00170422" w:rsidRDefault="00F37BF9">
            <w:pPr>
              <w:pStyle w:val="P68B1DB1-Normal121"/>
              <w:spacing w:after="0" w:line="240" w:lineRule="auto"/>
              <w:rPr>
                <w:noProof/>
                <w:lang w:val="de-DE"/>
              </w:rPr>
            </w:pPr>
            <w:r w:rsidRPr="00170422">
              <w:rPr>
                <w:noProof/>
                <w:lang w:val="de-DE"/>
              </w:rPr>
              <w:t xml:space="preserve"> </w:t>
            </w:r>
          </w:p>
        </w:tc>
        <w:tc>
          <w:tcPr>
            <w:tcW w:w="2126" w:type="dxa"/>
            <w:shd w:val="clear" w:color="auto" w:fill="C6EFCE"/>
            <w:tcMar>
              <w:left w:w="108" w:type="dxa"/>
              <w:right w:w="108" w:type="dxa"/>
            </w:tcMar>
            <w:vAlign w:val="center"/>
          </w:tcPr>
          <w:p w14:paraId="3F8F093A"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431" w:type="dxa"/>
            <w:shd w:val="clear" w:color="auto" w:fill="C6EFCE"/>
            <w:tcMar>
              <w:left w:w="108" w:type="dxa"/>
              <w:right w:w="108" w:type="dxa"/>
            </w:tcMar>
            <w:vAlign w:val="center"/>
          </w:tcPr>
          <w:p w14:paraId="6D61BC93"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 7118464154 EUR</w:t>
            </w:r>
            <w:r w:rsidRPr="00170422">
              <w:rPr>
                <w:noProof/>
                <w:sz w:val="23"/>
                <w:szCs w:val="23"/>
                <w:lang w:val="de-DE"/>
              </w:rPr>
              <w:t xml:space="preserve">  </w:t>
            </w:r>
          </w:p>
        </w:tc>
      </w:tr>
    </w:tbl>
    <w:p w14:paraId="77001805" w14:textId="77777777" w:rsidR="0057163C" w:rsidRPr="00170422" w:rsidRDefault="0057163C">
      <w:pPr>
        <w:rPr>
          <w:rFonts w:ascii="Times New Roman" w:eastAsia="Times New Roman" w:hAnsi="Times New Roman" w:cs="Times New Roman"/>
          <w:noProof/>
          <w:lang w:val="de-DE"/>
        </w:rPr>
      </w:pPr>
    </w:p>
    <w:p w14:paraId="59A67ED6" w14:textId="77777777" w:rsidR="0057163C" w:rsidRPr="00170422" w:rsidRDefault="00F37BF9">
      <w:pPr>
        <w:pStyle w:val="P68B1DB1-Heading34"/>
        <w:numPr>
          <w:ilvl w:val="1"/>
          <w:numId w:val="179"/>
        </w:numPr>
        <w:tabs>
          <w:tab w:val="clear" w:pos="850"/>
          <w:tab w:val="num" w:pos="1440"/>
        </w:tabs>
        <w:ind w:left="1440" w:hanging="360"/>
        <w:rPr>
          <w:noProof/>
          <w:lang w:val="de-DE"/>
        </w:rPr>
      </w:pPr>
      <w:r w:rsidRPr="00170422">
        <w:rPr>
          <w:noProof/>
          <w:lang w:val="de-DE"/>
        </w:rPr>
        <w:t>Zehnte Tranche (Darlehensunterstützung):</w:t>
      </w:r>
    </w:p>
    <w:tbl>
      <w:tblPr>
        <w:tblW w:w="923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6"/>
        <w:gridCol w:w="2268"/>
        <w:gridCol w:w="2155"/>
        <w:gridCol w:w="3402"/>
      </w:tblGrid>
      <w:tr w:rsidR="0057163C" w:rsidRPr="00170422" w14:paraId="3EA114BB" w14:textId="77777777" w:rsidTr="00E7779A">
        <w:trPr>
          <w:trHeight w:val="900"/>
          <w:tblHeader/>
        </w:trPr>
        <w:tc>
          <w:tcPr>
            <w:tcW w:w="1406" w:type="dxa"/>
            <w:vMerge w:val="restart"/>
            <w:shd w:val="clear" w:color="auto" w:fill="BDD7EE"/>
            <w:tcMar>
              <w:left w:w="108" w:type="dxa"/>
              <w:right w:w="108" w:type="dxa"/>
            </w:tcMar>
            <w:vAlign w:val="center"/>
          </w:tcPr>
          <w:p w14:paraId="635CBDDE" w14:textId="77777777" w:rsidR="0057163C" w:rsidRPr="00170422" w:rsidRDefault="00F37BF9">
            <w:pPr>
              <w:pStyle w:val="P68B1DB1-Normal120"/>
              <w:spacing w:after="0" w:line="240" w:lineRule="auto"/>
              <w:jc w:val="center"/>
              <w:rPr>
                <w:noProof/>
                <w:lang w:val="de-DE"/>
              </w:rPr>
            </w:pPr>
            <w:r w:rsidRPr="00170422">
              <w:rPr>
                <w:noProof/>
                <w:lang w:val="de-DE"/>
              </w:rPr>
              <w:t>Laufende Nummer</w:t>
            </w:r>
          </w:p>
        </w:tc>
        <w:tc>
          <w:tcPr>
            <w:tcW w:w="2268" w:type="dxa"/>
            <w:vMerge w:val="restart"/>
            <w:shd w:val="clear" w:color="auto" w:fill="BDD7EE"/>
            <w:tcMar>
              <w:left w:w="108" w:type="dxa"/>
              <w:right w:w="108" w:type="dxa"/>
            </w:tcMar>
            <w:vAlign w:val="center"/>
          </w:tcPr>
          <w:p w14:paraId="77ECDD97" w14:textId="77777777" w:rsidR="0057163C" w:rsidRPr="00170422" w:rsidRDefault="00F37BF9">
            <w:pPr>
              <w:pStyle w:val="P68B1DB1-Normal120"/>
              <w:spacing w:after="0" w:line="240" w:lineRule="auto"/>
              <w:jc w:val="center"/>
              <w:rPr>
                <w:noProof/>
                <w:lang w:val="de-DE"/>
              </w:rPr>
            </w:pPr>
            <w:r w:rsidRPr="00170422">
              <w:rPr>
                <w:noProof/>
                <w:lang w:val="de-DE"/>
              </w:rPr>
              <w:t>Verbundene Maßnahme (Reform oder Investition)</w:t>
            </w:r>
          </w:p>
        </w:tc>
        <w:tc>
          <w:tcPr>
            <w:tcW w:w="2155" w:type="dxa"/>
            <w:vMerge w:val="restart"/>
            <w:shd w:val="clear" w:color="auto" w:fill="BDD7EE"/>
            <w:tcMar>
              <w:left w:w="108" w:type="dxa"/>
              <w:right w:w="108" w:type="dxa"/>
            </w:tcMar>
            <w:vAlign w:val="center"/>
          </w:tcPr>
          <w:p w14:paraId="54FDD1EE" w14:textId="77777777" w:rsidR="0057163C" w:rsidRPr="00170422" w:rsidRDefault="00F37BF9">
            <w:pPr>
              <w:pStyle w:val="P68B1DB1-Normal120"/>
              <w:spacing w:after="0" w:line="240" w:lineRule="auto"/>
              <w:jc w:val="center"/>
              <w:rPr>
                <w:noProof/>
                <w:lang w:val="de-DE"/>
              </w:rPr>
            </w:pPr>
            <w:r w:rsidRPr="00170422">
              <w:rPr>
                <w:noProof/>
                <w:lang w:val="de-DE"/>
              </w:rPr>
              <w:t>Etappenziel/Zielwert</w:t>
            </w:r>
          </w:p>
        </w:tc>
        <w:tc>
          <w:tcPr>
            <w:tcW w:w="3402" w:type="dxa"/>
            <w:vMerge w:val="restart"/>
            <w:shd w:val="clear" w:color="auto" w:fill="BDD7EE"/>
            <w:tcMar>
              <w:left w:w="108" w:type="dxa"/>
              <w:right w:w="108" w:type="dxa"/>
            </w:tcMar>
            <w:vAlign w:val="center"/>
          </w:tcPr>
          <w:p w14:paraId="286B7CD7" w14:textId="77777777" w:rsidR="0057163C" w:rsidRPr="00170422" w:rsidRDefault="00F37BF9">
            <w:pPr>
              <w:pStyle w:val="P68B1DB1-Normal120"/>
              <w:spacing w:after="0" w:line="240" w:lineRule="auto"/>
              <w:jc w:val="center"/>
              <w:rPr>
                <w:noProof/>
                <w:lang w:val="de-DE"/>
              </w:rPr>
            </w:pPr>
            <w:r w:rsidRPr="00170422">
              <w:rPr>
                <w:noProof/>
                <w:lang w:val="de-DE"/>
              </w:rPr>
              <w:t>Namen</w:t>
            </w:r>
          </w:p>
        </w:tc>
      </w:tr>
      <w:tr w:rsidR="0057163C" w:rsidRPr="00170422" w14:paraId="2DDC408E" w14:textId="77777777" w:rsidTr="00E7779A">
        <w:trPr>
          <w:trHeight w:val="510"/>
        </w:trPr>
        <w:tc>
          <w:tcPr>
            <w:tcW w:w="1406" w:type="dxa"/>
            <w:vMerge/>
            <w:vAlign w:val="center"/>
          </w:tcPr>
          <w:p w14:paraId="44A50E7E"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2268" w:type="dxa"/>
            <w:vMerge/>
            <w:vAlign w:val="center"/>
          </w:tcPr>
          <w:p w14:paraId="0B29D955" w14:textId="77777777" w:rsidR="0057163C" w:rsidRPr="00170422" w:rsidRDefault="0057163C">
            <w:pPr>
              <w:spacing w:after="0" w:line="240" w:lineRule="auto"/>
              <w:rPr>
                <w:rFonts w:ascii="Times New Roman" w:eastAsia="Times New Roman" w:hAnsi="Times New Roman" w:cs="Times New Roman"/>
                <w:noProof/>
                <w:lang w:val="de-DE"/>
              </w:rPr>
            </w:pPr>
          </w:p>
        </w:tc>
        <w:tc>
          <w:tcPr>
            <w:tcW w:w="2155" w:type="dxa"/>
            <w:vMerge/>
            <w:vAlign w:val="center"/>
          </w:tcPr>
          <w:p w14:paraId="5F835863" w14:textId="77777777" w:rsidR="0057163C" w:rsidRPr="00170422" w:rsidRDefault="0057163C">
            <w:pPr>
              <w:spacing w:after="0" w:line="240" w:lineRule="auto"/>
              <w:jc w:val="center"/>
              <w:rPr>
                <w:rFonts w:ascii="Times New Roman" w:eastAsia="Times New Roman" w:hAnsi="Times New Roman" w:cs="Times New Roman"/>
                <w:noProof/>
                <w:lang w:val="de-DE"/>
              </w:rPr>
            </w:pPr>
          </w:p>
        </w:tc>
        <w:tc>
          <w:tcPr>
            <w:tcW w:w="3402" w:type="dxa"/>
            <w:vMerge/>
            <w:vAlign w:val="center"/>
          </w:tcPr>
          <w:p w14:paraId="4CE2A4E2" w14:textId="77777777" w:rsidR="0057163C" w:rsidRPr="00170422" w:rsidRDefault="0057163C">
            <w:pPr>
              <w:spacing w:after="0" w:line="240" w:lineRule="auto"/>
              <w:rPr>
                <w:rFonts w:ascii="Times New Roman" w:eastAsia="Times New Roman" w:hAnsi="Times New Roman" w:cs="Times New Roman"/>
                <w:noProof/>
                <w:lang w:val="de-DE"/>
              </w:rPr>
            </w:pPr>
          </w:p>
        </w:tc>
      </w:tr>
      <w:tr w:rsidR="0057163C" w:rsidRPr="00170422" w14:paraId="5A6FEF3A" w14:textId="77777777" w:rsidTr="00E7779A">
        <w:trPr>
          <w:trHeight w:val="300"/>
        </w:trPr>
        <w:tc>
          <w:tcPr>
            <w:tcW w:w="1406" w:type="dxa"/>
            <w:shd w:val="clear" w:color="auto" w:fill="C6EFCE"/>
            <w:tcMar>
              <w:left w:w="108" w:type="dxa"/>
              <w:right w:w="108" w:type="dxa"/>
            </w:tcMar>
            <w:vAlign w:val="center"/>
          </w:tcPr>
          <w:p w14:paraId="75A541E1" w14:textId="77777777" w:rsidR="0057163C" w:rsidRPr="00170422" w:rsidRDefault="00F37BF9">
            <w:pPr>
              <w:pStyle w:val="P68B1DB1-Normal121"/>
              <w:spacing w:after="0" w:line="240" w:lineRule="auto"/>
              <w:jc w:val="center"/>
              <w:rPr>
                <w:noProof/>
                <w:lang w:val="de-DE"/>
              </w:rPr>
            </w:pPr>
            <w:r w:rsidRPr="00170422">
              <w:rPr>
                <w:noProof/>
                <w:lang w:val="de-DE"/>
              </w:rPr>
              <w:t>M2C3-6</w:t>
            </w:r>
          </w:p>
        </w:tc>
        <w:tc>
          <w:tcPr>
            <w:tcW w:w="2268" w:type="dxa"/>
            <w:shd w:val="clear" w:color="auto" w:fill="C6EFCE"/>
            <w:tcMar>
              <w:left w:w="108" w:type="dxa"/>
              <w:right w:w="108" w:type="dxa"/>
            </w:tcMar>
            <w:vAlign w:val="center"/>
          </w:tcPr>
          <w:p w14:paraId="5FDD3AB7" w14:textId="77777777" w:rsidR="0057163C" w:rsidRPr="00170422" w:rsidRDefault="00F37BF9">
            <w:pPr>
              <w:pStyle w:val="P68B1DB1-Normal121"/>
              <w:spacing w:after="0" w:line="240" w:lineRule="auto"/>
              <w:rPr>
                <w:noProof/>
                <w:lang w:val="de-DE"/>
              </w:rPr>
            </w:pPr>
            <w:r w:rsidRPr="00170422">
              <w:rPr>
                <w:noProof/>
                <w:lang w:val="de-DE"/>
              </w:rPr>
              <w:t xml:space="preserve">Investition 1.1: Bau neuer Schulen durch Austausch von </w:t>
            </w:r>
            <w:r w:rsidRPr="00170422">
              <w:rPr>
                <w:noProof/>
                <w:lang w:val="de-DE"/>
              </w:rPr>
              <w:t>Gebäuden</w:t>
            </w:r>
          </w:p>
        </w:tc>
        <w:tc>
          <w:tcPr>
            <w:tcW w:w="2155" w:type="dxa"/>
            <w:shd w:val="clear" w:color="auto" w:fill="C6EFCE"/>
            <w:tcMar>
              <w:left w:w="108" w:type="dxa"/>
              <w:right w:w="108" w:type="dxa"/>
            </w:tcMar>
            <w:vAlign w:val="center"/>
          </w:tcPr>
          <w:p w14:paraId="4522609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2DF453C" w14:textId="77777777" w:rsidR="0057163C" w:rsidRPr="00170422" w:rsidRDefault="00F37BF9">
            <w:pPr>
              <w:pStyle w:val="P68B1DB1-Normal121"/>
              <w:spacing w:after="0" w:line="240" w:lineRule="auto"/>
              <w:rPr>
                <w:noProof/>
                <w:lang w:val="de-DE"/>
              </w:rPr>
            </w:pPr>
            <w:r w:rsidRPr="00170422">
              <w:rPr>
                <w:noProof/>
                <w:lang w:val="de-DE"/>
              </w:rPr>
              <w:t>Mindestens 166 neue Schulen werden durch den Austausch von Gebäuden gebaut.</w:t>
            </w:r>
          </w:p>
        </w:tc>
      </w:tr>
      <w:tr w:rsidR="0057163C" w:rsidRPr="00170422" w14:paraId="2ABF07AD" w14:textId="77777777" w:rsidTr="00E7779A">
        <w:trPr>
          <w:trHeight w:val="300"/>
        </w:trPr>
        <w:tc>
          <w:tcPr>
            <w:tcW w:w="1406" w:type="dxa"/>
            <w:shd w:val="clear" w:color="auto" w:fill="C6EFCE"/>
            <w:tcMar>
              <w:left w:w="108" w:type="dxa"/>
              <w:right w:w="108" w:type="dxa"/>
            </w:tcMar>
            <w:vAlign w:val="center"/>
          </w:tcPr>
          <w:p w14:paraId="13397B82" w14:textId="77777777" w:rsidR="0057163C" w:rsidRPr="00170422" w:rsidRDefault="00F37BF9">
            <w:pPr>
              <w:pStyle w:val="P68B1DB1-Normal121"/>
              <w:spacing w:after="0" w:line="240" w:lineRule="auto"/>
              <w:jc w:val="center"/>
              <w:rPr>
                <w:noProof/>
                <w:lang w:val="de-DE"/>
              </w:rPr>
            </w:pPr>
            <w:r w:rsidRPr="00170422">
              <w:rPr>
                <w:noProof/>
                <w:lang w:val="de-DE"/>
              </w:rPr>
              <w:t>M2C3-8</w:t>
            </w:r>
          </w:p>
        </w:tc>
        <w:tc>
          <w:tcPr>
            <w:tcW w:w="2268" w:type="dxa"/>
            <w:shd w:val="clear" w:color="auto" w:fill="C6EFCE"/>
            <w:tcMar>
              <w:left w:w="108" w:type="dxa"/>
              <w:right w:w="108" w:type="dxa"/>
            </w:tcMar>
            <w:vAlign w:val="center"/>
          </w:tcPr>
          <w:p w14:paraId="1F43F23C" w14:textId="77777777" w:rsidR="0057163C" w:rsidRPr="00170422" w:rsidRDefault="00F37BF9">
            <w:pPr>
              <w:pStyle w:val="P68B1DB1-Normal121"/>
              <w:spacing w:after="0" w:line="240" w:lineRule="auto"/>
              <w:rPr>
                <w:noProof/>
                <w:lang w:val="de-DE"/>
              </w:rPr>
            </w:pPr>
            <w:r w:rsidRPr="00170422">
              <w:rPr>
                <w:noProof/>
                <w:lang w:val="de-DE"/>
              </w:rPr>
              <w:t>Investition 1.2 – Qualifizierung öffentlicher Immobilien, die ganz oder teilweise von der Rechtspflege genutzt werden</w:t>
            </w:r>
          </w:p>
        </w:tc>
        <w:tc>
          <w:tcPr>
            <w:tcW w:w="2155" w:type="dxa"/>
            <w:shd w:val="clear" w:color="auto" w:fill="C6EFCE"/>
            <w:tcMar>
              <w:left w:w="108" w:type="dxa"/>
              <w:right w:w="108" w:type="dxa"/>
            </w:tcMar>
            <w:vAlign w:val="center"/>
          </w:tcPr>
          <w:p w14:paraId="0CB0B0A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174D93E" w14:textId="77777777" w:rsidR="0057163C" w:rsidRPr="00170422" w:rsidRDefault="00F37BF9">
            <w:pPr>
              <w:pStyle w:val="P68B1DB1-Normal121"/>
              <w:spacing w:after="0" w:line="240" w:lineRule="auto"/>
              <w:rPr>
                <w:noProof/>
                <w:lang w:val="de-DE"/>
              </w:rPr>
            </w:pPr>
            <w:r w:rsidRPr="00170422">
              <w:rPr>
                <w:noProof/>
                <w:lang w:val="de-DE"/>
              </w:rPr>
              <w:t xml:space="preserve">Arbeiten für mindestens 289 000 m² </w:t>
            </w:r>
            <w:r w:rsidRPr="00170422">
              <w:rPr>
                <w:noProof/>
                <w:lang w:val="de-DE"/>
              </w:rPr>
              <w:t>öffentliches Immobilienvermögen</w:t>
            </w:r>
          </w:p>
        </w:tc>
      </w:tr>
      <w:tr w:rsidR="0057163C" w:rsidRPr="00170422" w14:paraId="379989C1" w14:textId="77777777" w:rsidTr="00E7779A">
        <w:trPr>
          <w:trHeight w:val="300"/>
        </w:trPr>
        <w:tc>
          <w:tcPr>
            <w:tcW w:w="1406" w:type="dxa"/>
            <w:shd w:val="clear" w:color="auto" w:fill="C6EFCE"/>
            <w:tcMar>
              <w:left w:w="108" w:type="dxa"/>
              <w:right w:w="108" w:type="dxa"/>
            </w:tcMar>
            <w:vAlign w:val="center"/>
          </w:tcPr>
          <w:p w14:paraId="7D963DE7" w14:textId="77777777" w:rsidR="0057163C" w:rsidRPr="00170422" w:rsidRDefault="00F37BF9">
            <w:pPr>
              <w:pStyle w:val="P68B1DB1-Normal121"/>
              <w:spacing w:after="0" w:line="240" w:lineRule="auto"/>
              <w:jc w:val="center"/>
              <w:rPr>
                <w:noProof/>
                <w:lang w:val="de-DE"/>
              </w:rPr>
            </w:pPr>
            <w:r w:rsidRPr="00170422">
              <w:rPr>
                <w:noProof/>
                <w:lang w:val="de-DE"/>
              </w:rPr>
              <w:t>M2C3-10</w:t>
            </w:r>
          </w:p>
        </w:tc>
        <w:tc>
          <w:tcPr>
            <w:tcW w:w="2268" w:type="dxa"/>
            <w:shd w:val="clear" w:color="auto" w:fill="C6EFCE"/>
            <w:tcMar>
              <w:left w:w="108" w:type="dxa"/>
              <w:right w:w="108" w:type="dxa"/>
            </w:tcMar>
            <w:vAlign w:val="center"/>
          </w:tcPr>
          <w:p w14:paraId="07D1C0C1" w14:textId="77777777" w:rsidR="0057163C" w:rsidRPr="00170422" w:rsidRDefault="00F37BF9">
            <w:pPr>
              <w:pStyle w:val="P68B1DB1-Normal121"/>
              <w:spacing w:after="0" w:line="240" w:lineRule="auto"/>
              <w:rPr>
                <w:noProof/>
                <w:lang w:val="de-DE"/>
              </w:rPr>
            </w:pPr>
            <w:r w:rsidRPr="00170422">
              <w:rPr>
                <w:noProof/>
                <w:lang w:val="de-DE"/>
              </w:rPr>
              <w:t>Investition 3.1: Förderung effizienter Fernwärme</w:t>
            </w:r>
          </w:p>
        </w:tc>
        <w:tc>
          <w:tcPr>
            <w:tcW w:w="2155" w:type="dxa"/>
            <w:shd w:val="clear" w:color="auto" w:fill="C6EFCE"/>
            <w:tcMar>
              <w:left w:w="108" w:type="dxa"/>
              <w:right w:w="108" w:type="dxa"/>
            </w:tcMar>
            <w:vAlign w:val="center"/>
          </w:tcPr>
          <w:p w14:paraId="14DC6D1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7515E3F" w14:textId="77777777" w:rsidR="0057163C" w:rsidRPr="00170422" w:rsidRDefault="00F37BF9">
            <w:pPr>
              <w:pStyle w:val="P68B1DB1-Normal121"/>
              <w:spacing w:after="0" w:line="240" w:lineRule="auto"/>
              <w:rPr>
                <w:noProof/>
                <w:lang w:val="de-DE"/>
              </w:rPr>
            </w:pPr>
            <w:r w:rsidRPr="00170422">
              <w:rPr>
                <w:noProof/>
                <w:lang w:val="de-DE"/>
              </w:rPr>
              <w:t xml:space="preserve">Bau oder Ausbau von Fernwärmenetzen zur Senkung des Energieverbrauchs </w:t>
            </w:r>
          </w:p>
        </w:tc>
      </w:tr>
      <w:tr w:rsidR="0057163C" w:rsidRPr="00170422" w14:paraId="530933F3" w14:textId="77777777" w:rsidTr="00E7779A">
        <w:trPr>
          <w:trHeight w:val="300"/>
        </w:trPr>
        <w:tc>
          <w:tcPr>
            <w:tcW w:w="1406" w:type="dxa"/>
            <w:shd w:val="clear" w:color="auto" w:fill="C6EFCE"/>
            <w:tcMar>
              <w:left w:w="108" w:type="dxa"/>
              <w:right w:w="108" w:type="dxa"/>
            </w:tcMar>
            <w:vAlign w:val="center"/>
          </w:tcPr>
          <w:p w14:paraId="1846760D" w14:textId="77777777" w:rsidR="0057163C" w:rsidRPr="00170422" w:rsidRDefault="00F37BF9">
            <w:pPr>
              <w:pStyle w:val="P68B1DB1-Normal121"/>
              <w:spacing w:after="0" w:line="240" w:lineRule="auto"/>
              <w:jc w:val="center"/>
              <w:rPr>
                <w:noProof/>
                <w:lang w:val="de-DE"/>
              </w:rPr>
            </w:pPr>
            <w:r w:rsidRPr="00170422">
              <w:rPr>
                <w:noProof/>
                <w:lang w:val="de-DE"/>
              </w:rPr>
              <w:t>M2C4-23</w:t>
            </w:r>
          </w:p>
        </w:tc>
        <w:tc>
          <w:tcPr>
            <w:tcW w:w="2268" w:type="dxa"/>
            <w:shd w:val="clear" w:color="auto" w:fill="C6EFCE"/>
            <w:tcMar>
              <w:left w:w="108" w:type="dxa"/>
              <w:right w:w="108" w:type="dxa"/>
            </w:tcMar>
            <w:vAlign w:val="center"/>
          </w:tcPr>
          <w:p w14:paraId="622B8865" w14:textId="77777777" w:rsidR="0057163C" w:rsidRPr="00170422" w:rsidRDefault="00F37BF9">
            <w:pPr>
              <w:pStyle w:val="P68B1DB1-Normal121"/>
              <w:spacing w:after="0" w:line="240" w:lineRule="auto"/>
              <w:rPr>
                <w:noProof/>
                <w:lang w:val="de-DE"/>
              </w:rPr>
            </w:pPr>
            <w:r w:rsidRPr="00170422">
              <w:rPr>
                <w:noProof/>
                <w:lang w:val="de-DE"/>
              </w:rPr>
              <w:t>Investition 3.3 Sanierung des Po-Gebiets</w:t>
            </w:r>
          </w:p>
        </w:tc>
        <w:tc>
          <w:tcPr>
            <w:tcW w:w="2155" w:type="dxa"/>
            <w:shd w:val="clear" w:color="auto" w:fill="C6EFCE"/>
            <w:tcMar>
              <w:left w:w="108" w:type="dxa"/>
              <w:right w:w="108" w:type="dxa"/>
            </w:tcMar>
            <w:vAlign w:val="center"/>
          </w:tcPr>
          <w:p w14:paraId="3B1C62F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B0D29CB" w14:textId="77777777" w:rsidR="0057163C" w:rsidRPr="00170422" w:rsidRDefault="00F37BF9">
            <w:pPr>
              <w:pStyle w:val="P68B1DB1-Normal121"/>
              <w:spacing w:after="0" w:line="240" w:lineRule="auto"/>
              <w:rPr>
                <w:noProof/>
                <w:lang w:val="de-DE"/>
              </w:rPr>
            </w:pPr>
            <w:r w:rsidRPr="00170422">
              <w:rPr>
                <w:noProof/>
                <w:lang w:val="de-DE"/>
              </w:rPr>
              <w:t xml:space="preserve">Verringerung der künstlichen </w:t>
            </w:r>
            <w:r w:rsidRPr="00170422">
              <w:rPr>
                <w:noProof/>
                <w:lang w:val="de-DE"/>
              </w:rPr>
              <w:t>Flussbette für die Neunaturierung des Po-Gebiets T2</w:t>
            </w:r>
          </w:p>
        </w:tc>
      </w:tr>
      <w:tr w:rsidR="0057163C" w:rsidRPr="00170422" w14:paraId="5A01352D" w14:textId="77777777" w:rsidTr="00E7779A">
        <w:trPr>
          <w:trHeight w:val="300"/>
        </w:trPr>
        <w:tc>
          <w:tcPr>
            <w:tcW w:w="1406" w:type="dxa"/>
            <w:shd w:val="clear" w:color="auto" w:fill="C6EFCE"/>
            <w:tcMar>
              <w:left w:w="108" w:type="dxa"/>
              <w:right w:w="108" w:type="dxa"/>
            </w:tcMar>
            <w:vAlign w:val="center"/>
          </w:tcPr>
          <w:p w14:paraId="231ADE00" w14:textId="77777777" w:rsidR="0057163C" w:rsidRPr="00170422" w:rsidRDefault="00F37BF9">
            <w:pPr>
              <w:pStyle w:val="P68B1DB1-Normal121"/>
              <w:spacing w:after="0" w:line="240" w:lineRule="auto"/>
              <w:jc w:val="center"/>
              <w:rPr>
                <w:noProof/>
                <w:lang w:val="de-DE"/>
              </w:rPr>
            </w:pPr>
            <w:r w:rsidRPr="00170422">
              <w:rPr>
                <w:noProof/>
                <w:lang w:val="de-DE"/>
              </w:rPr>
              <w:t>M2C4-25</w:t>
            </w:r>
          </w:p>
        </w:tc>
        <w:tc>
          <w:tcPr>
            <w:tcW w:w="2268" w:type="dxa"/>
            <w:shd w:val="clear" w:color="auto" w:fill="C6EFCE"/>
            <w:tcMar>
              <w:left w:w="108" w:type="dxa"/>
              <w:right w:w="108" w:type="dxa"/>
            </w:tcMar>
            <w:vAlign w:val="center"/>
          </w:tcPr>
          <w:p w14:paraId="58C36EFB" w14:textId="77777777" w:rsidR="0057163C" w:rsidRPr="00170422" w:rsidRDefault="00F37BF9">
            <w:pPr>
              <w:pStyle w:val="P68B1DB1-Normal121"/>
              <w:spacing w:after="0" w:line="240" w:lineRule="auto"/>
              <w:rPr>
                <w:noProof/>
                <w:lang w:val="de-DE"/>
              </w:rPr>
            </w:pPr>
            <w:r w:rsidRPr="00170422">
              <w:rPr>
                <w:noProof/>
                <w:lang w:val="de-DE"/>
              </w:rPr>
              <w:t>Investition 3.4. Sanierung von „Orphan-Standorten“</w:t>
            </w:r>
          </w:p>
        </w:tc>
        <w:tc>
          <w:tcPr>
            <w:tcW w:w="2155" w:type="dxa"/>
            <w:shd w:val="clear" w:color="auto" w:fill="C6EFCE"/>
            <w:tcMar>
              <w:left w:w="108" w:type="dxa"/>
              <w:right w:w="108" w:type="dxa"/>
            </w:tcMar>
            <w:vAlign w:val="center"/>
          </w:tcPr>
          <w:p w14:paraId="5C8569E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053B964A" w14:textId="77777777" w:rsidR="0057163C" w:rsidRPr="00170422" w:rsidRDefault="00F37BF9">
            <w:pPr>
              <w:pStyle w:val="P68B1DB1-Normal121"/>
              <w:spacing w:after="0" w:line="240" w:lineRule="auto"/>
              <w:rPr>
                <w:noProof/>
                <w:lang w:val="de-DE"/>
              </w:rPr>
            </w:pPr>
            <w:r w:rsidRPr="00170422">
              <w:rPr>
                <w:noProof/>
                <w:lang w:val="de-DE"/>
              </w:rPr>
              <w:t xml:space="preserve">Wiederbelebung verwaister Stätten </w:t>
            </w:r>
          </w:p>
        </w:tc>
      </w:tr>
      <w:tr w:rsidR="0057163C" w:rsidRPr="00170422" w14:paraId="343DE3E4" w14:textId="77777777" w:rsidTr="00E7779A">
        <w:trPr>
          <w:trHeight w:val="300"/>
        </w:trPr>
        <w:tc>
          <w:tcPr>
            <w:tcW w:w="1406" w:type="dxa"/>
            <w:shd w:val="clear" w:color="auto" w:fill="C6EFCE"/>
            <w:tcMar>
              <w:left w:w="108" w:type="dxa"/>
              <w:right w:w="108" w:type="dxa"/>
            </w:tcMar>
            <w:vAlign w:val="center"/>
          </w:tcPr>
          <w:p w14:paraId="7B61E433" w14:textId="77777777" w:rsidR="0057163C" w:rsidRPr="00170422" w:rsidRDefault="00F37BF9">
            <w:pPr>
              <w:pStyle w:val="P68B1DB1-Normal121"/>
              <w:spacing w:after="0" w:line="240" w:lineRule="auto"/>
              <w:jc w:val="center"/>
              <w:rPr>
                <w:noProof/>
                <w:lang w:val="de-DE"/>
              </w:rPr>
            </w:pPr>
            <w:r w:rsidRPr="00170422">
              <w:rPr>
                <w:noProof/>
                <w:lang w:val="de-DE"/>
              </w:rPr>
              <w:t>M2C4-29</w:t>
            </w:r>
          </w:p>
        </w:tc>
        <w:tc>
          <w:tcPr>
            <w:tcW w:w="2268" w:type="dxa"/>
            <w:shd w:val="clear" w:color="auto" w:fill="C6EFCE"/>
            <w:tcMar>
              <w:left w:w="108" w:type="dxa"/>
              <w:right w:w="108" w:type="dxa"/>
            </w:tcMar>
            <w:vAlign w:val="center"/>
          </w:tcPr>
          <w:p w14:paraId="757C6518" w14:textId="77777777" w:rsidR="0057163C" w:rsidRPr="00170422" w:rsidRDefault="00F37BF9">
            <w:pPr>
              <w:pStyle w:val="P68B1DB1-Normal121"/>
              <w:spacing w:after="0" w:line="240" w:lineRule="auto"/>
              <w:rPr>
                <w:noProof/>
                <w:lang w:val="de-DE"/>
              </w:rPr>
            </w:pPr>
            <w:r w:rsidRPr="00170422">
              <w:rPr>
                <w:noProof/>
                <w:lang w:val="de-DE"/>
              </w:rPr>
              <w:t>Investition 4.1. Investitionen in primäre Wasserinfrastrukturen für die Sicherheit der Wasserve</w:t>
            </w:r>
            <w:r w:rsidRPr="00170422">
              <w:rPr>
                <w:noProof/>
                <w:lang w:val="de-DE"/>
              </w:rPr>
              <w:t>rsorgung</w:t>
            </w:r>
          </w:p>
        </w:tc>
        <w:tc>
          <w:tcPr>
            <w:tcW w:w="2155" w:type="dxa"/>
            <w:shd w:val="clear" w:color="auto" w:fill="C6EFCE"/>
            <w:tcMar>
              <w:left w:w="108" w:type="dxa"/>
              <w:right w:w="108" w:type="dxa"/>
            </w:tcMar>
            <w:vAlign w:val="center"/>
          </w:tcPr>
          <w:p w14:paraId="403F519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828E74A" w14:textId="77777777" w:rsidR="0057163C" w:rsidRPr="00170422" w:rsidRDefault="00F37BF9">
            <w:pPr>
              <w:pStyle w:val="P68B1DB1-Normal121"/>
              <w:spacing w:after="0" w:line="240" w:lineRule="auto"/>
              <w:rPr>
                <w:noProof/>
                <w:lang w:val="de-DE"/>
              </w:rPr>
            </w:pPr>
            <w:r w:rsidRPr="00170422">
              <w:rPr>
                <w:noProof/>
                <w:lang w:val="de-DE"/>
              </w:rPr>
              <w:t>Abschluss der Arbeiten an der Wasserinfrastruktur</w:t>
            </w:r>
          </w:p>
        </w:tc>
      </w:tr>
      <w:tr w:rsidR="0057163C" w:rsidRPr="00170422" w14:paraId="4C44B813" w14:textId="77777777" w:rsidTr="00E7779A">
        <w:trPr>
          <w:trHeight w:val="300"/>
        </w:trPr>
        <w:tc>
          <w:tcPr>
            <w:tcW w:w="1406" w:type="dxa"/>
            <w:shd w:val="clear" w:color="auto" w:fill="C6EFCE"/>
            <w:tcMar>
              <w:left w:w="108" w:type="dxa"/>
              <w:right w:w="108" w:type="dxa"/>
            </w:tcMar>
            <w:vAlign w:val="center"/>
          </w:tcPr>
          <w:p w14:paraId="455C6BC8" w14:textId="77777777" w:rsidR="0057163C" w:rsidRPr="00170422" w:rsidRDefault="00F37BF9">
            <w:pPr>
              <w:pStyle w:val="P68B1DB1-Normal121"/>
              <w:spacing w:after="0" w:line="240" w:lineRule="auto"/>
              <w:jc w:val="center"/>
              <w:rPr>
                <w:noProof/>
                <w:lang w:val="de-DE"/>
              </w:rPr>
            </w:pPr>
            <w:r w:rsidRPr="00170422">
              <w:rPr>
                <w:noProof/>
                <w:lang w:val="de-DE"/>
              </w:rPr>
              <w:t>M2C4-38</w:t>
            </w:r>
          </w:p>
        </w:tc>
        <w:tc>
          <w:tcPr>
            <w:tcW w:w="2268" w:type="dxa"/>
            <w:shd w:val="clear" w:color="auto" w:fill="C6EFCE"/>
            <w:tcMar>
              <w:left w:w="108" w:type="dxa"/>
              <w:right w:w="108" w:type="dxa"/>
            </w:tcMar>
            <w:vAlign w:val="center"/>
          </w:tcPr>
          <w:p w14:paraId="059FBC37" w14:textId="77777777" w:rsidR="0057163C" w:rsidRPr="00170422" w:rsidRDefault="00F37BF9">
            <w:pPr>
              <w:pStyle w:val="P68B1DB1-Normal121"/>
              <w:spacing w:after="0" w:line="240" w:lineRule="auto"/>
              <w:rPr>
                <w:noProof/>
                <w:lang w:val="de-DE"/>
              </w:rPr>
            </w:pPr>
            <w:r w:rsidRPr="00170422">
              <w:rPr>
                <w:noProof/>
                <w:lang w:val="de-DE"/>
              </w:rPr>
              <w:t>Investition 4.4 Investitionen in Kanalisation und Reinigung</w:t>
            </w:r>
          </w:p>
        </w:tc>
        <w:tc>
          <w:tcPr>
            <w:tcW w:w="2155" w:type="dxa"/>
            <w:shd w:val="clear" w:color="auto" w:fill="C6EFCE"/>
            <w:tcMar>
              <w:left w:w="108" w:type="dxa"/>
              <w:right w:w="108" w:type="dxa"/>
            </w:tcMar>
            <w:vAlign w:val="center"/>
          </w:tcPr>
          <w:p w14:paraId="5C04345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2857D2F5" w14:textId="77777777" w:rsidR="0057163C" w:rsidRPr="00170422" w:rsidRDefault="00F37BF9">
            <w:pPr>
              <w:pStyle w:val="P68B1DB1-Normal121"/>
              <w:spacing w:after="0" w:line="240" w:lineRule="auto"/>
              <w:rPr>
                <w:noProof/>
                <w:lang w:val="de-DE"/>
              </w:rPr>
            </w:pPr>
            <w:r w:rsidRPr="00170422">
              <w:rPr>
                <w:noProof/>
                <w:lang w:val="de-DE"/>
              </w:rPr>
              <w:t>Interventionen für Abwasserentsorgung und -reinigung T2</w:t>
            </w:r>
          </w:p>
        </w:tc>
      </w:tr>
      <w:tr w:rsidR="0057163C" w:rsidRPr="00170422" w14:paraId="6747EA62" w14:textId="77777777" w:rsidTr="00E7779A">
        <w:trPr>
          <w:trHeight w:val="300"/>
        </w:trPr>
        <w:tc>
          <w:tcPr>
            <w:tcW w:w="1406" w:type="dxa"/>
            <w:shd w:val="clear" w:color="auto" w:fill="C6EFCE"/>
            <w:tcMar>
              <w:left w:w="108" w:type="dxa"/>
              <w:right w:w="108" w:type="dxa"/>
            </w:tcMar>
            <w:vAlign w:val="center"/>
          </w:tcPr>
          <w:p w14:paraId="03569E27" w14:textId="77777777" w:rsidR="0057163C" w:rsidRPr="00170422" w:rsidRDefault="00F37BF9">
            <w:pPr>
              <w:pStyle w:val="P68B1DB1-Normal121"/>
              <w:spacing w:after="0" w:line="240" w:lineRule="auto"/>
              <w:jc w:val="center"/>
              <w:rPr>
                <w:noProof/>
                <w:lang w:val="de-DE"/>
              </w:rPr>
            </w:pPr>
            <w:r w:rsidRPr="00170422">
              <w:rPr>
                <w:noProof/>
                <w:lang w:val="de-DE"/>
              </w:rPr>
              <w:t>M5C2-20</w:t>
            </w:r>
          </w:p>
        </w:tc>
        <w:tc>
          <w:tcPr>
            <w:tcW w:w="2268" w:type="dxa"/>
            <w:shd w:val="clear" w:color="auto" w:fill="C6EFCE"/>
            <w:tcMar>
              <w:left w:w="108" w:type="dxa"/>
              <w:right w:w="108" w:type="dxa"/>
            </w:tcMar>
            <w:vAlign w:val="center"/>
          </w:tcPr>
          <w:p w14:paraId="2CFDEB34" w14:textId="77777777" w:rsidR="0057163C" w:rsidRPr="00170422" w:rsidRDefault="00F37BF9">
            <w:pPr>
              <w:pStyle w:val="P68B1DB1-Normal121"/>
              <w:spacing w:after="0" w:line="240" w:lineRule="auto"/>
              <w:rPr>
                <w:noProof/>
                <w:lang w:val="de-DE"/>
              </w:rPr>
            </w:pPr>
            <w:r w:rsidRPr="00170422">
              <w:rPr>
                <w:noProof/>
                <w:lang w:val="de-DE"/>
              </w:rPr>
              <w:t xml:space="preserve">Investition 6 – Innovationsprogramm für die Qualität </w:t>
            </w:r>
            <w:r w:rsidRPr="00170422">
              <w:rPr>
                <w:noProof/>
                <w:lang w:val="de-DE"/>
              </w:rPr>
              <w:t>des Wohnraums</w:t>
            </w:r>
          </w:p>
        </w:tc>
        <w:tc>
          <w:tcPr>
            <w:tcW w:w="2155" w:type="dxa"/>
            <w:shd w:val="clear" w:color="auto" w:fill="C6EFCE"/>
            <w:tcMar>
              <w:left w:w="108" w:type="dxa"/>
              <w:right w:w="108" w:type="dxa"/>
            </w:tcMar>
            <w:vAlign w:val="center"/>
          </w:tcPr>
          <w:p w14:paraId="2434E3B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C1185D5" w14:textId="77777777" w:rsidR="0057163C" w:rsidRPr="00170422" w:rsidRDefault="00F37BF9">
            <w:pPr>
              <w:pStyle w:val="P68B1DB1-Normal121"/>
              <w:spacing w:after="0" w:line="240" w:lineRule="auto"/>
              <w:rPr>
                <w:noProof/>
                <w:lang w:val="de-DE"/>
              </w:rPr>
            </w:pPr>
            <w:r w:rsidRPr="00170422">
              <w:rPr>
                <w:noProof/>
                <w:lang w:val="de-DE"/>
              </w:rPr>
              <w:t xml:space="preserve">Anzahl der gebauten, gekauften oder renovierten Wohneinheiten </w:t>
            </w:r>
          </w:p>
        </w:tc>
      </w:tr>
      <w:tr w:rsidR="0057163C" w:rsidRPr="00170422" w14:paraId="4BCAC295" w14:textId="77777777" w:rsidTr="00E7779A">
        <w:trPr>
          <w:trHeight w:val="300"/>
        </w:trPr>
        <w:tc>
          <w:tcPr>
            <w:tcW w:w="1406" w:type="dxa"/>
            <w:shd w:val="clear" w:color="auto" w:fill="C6EFCE"/>
            <w:tcMar>
              <w:left w:w="108" w:type="dxa"/>
              <w:right w:w="108" w:type="dxa"/>
            </w:tcMar>
            <w:vAlign w:val="center"/>
          </w:tcPr>
          <w:p w14:paraId="4CF79FAC" w14:textId="77777777" w:rsidR="0057163C" w:rsidRPr="00170422" w:rsidRDefault="00F37BF9">
            <w:pPr>
              <w:pStyle w:val="P68B1DB1-Normal121"/>
              <w:spacing w:after="0" w:line="240" w:lineRule="auto"/>
              <w:jc w:val="center"/>
              <w:rPr>
                <w:noProof/>
                <w:lang w:val="de-DE"/>
              </w:rPr>
            </w:pPr>
            <w:r w:rsidRPr="00170422">
              <w:rPr>
                <w:noProof/>
                <w:lang w:val="de-DE"/>
              </w:rPr>
              <w:t>M1C1-151</w:t>
            </w:r>
          </w:p>
        </w:tc>
        <w:tc>
          <w:tcPr>
            <w:tcW w:w="2268" w:type="dxa"/>
            <w:shd w:val="clear" w:color="auto" w:fill="C6EFCE"/>
            <w:tcMar>
              <w:left w:w="108" w:type="dxa"/>
              <w:right w:w="108" w:type="dxa"/>
            </w:tcMar>
            <w:vAlign w:val="center"/>
          </w:tcPr>
          <w:p w14:paraId="52B55CCE" w14:textId="77777777" w:rsidR="0057163C" w:rsidRPr="00170422" w:rsidRDefault="00F37BF9">
            <w:pPr>
              <w:pStyle w:val="P68B1DB1-Normal121"/>
              <w:spacing w:after="0" w:line="240" w:lineRule="auto"/>
              <w:rPr>
                <w:noProof/>
                <w:lang w:val="de-DE"/>
              </w:rPr>
            </w:pPr>
            <w:r w:rsidRPr="00170422">
              <w:rPr>
                <w:noProof/>
                <w:lang w:val="de-DE"/>
              </w:rPr>
              <w:t>Investition 1.4.5 – Digitalisierung öffentlicher Bekanntmachungen</w:t>
            </w:r>
          </w:p>
        </w:tc>
        <w:tc>
          <w:tcPr>
            <w:tcW w:w="2155" w:type="dxa"/>
            <w:shd w:val="clear" w:color="auto" w:fill="C6EFCE"/>
            <w:tcMar>
              <w:left w:w="108" w:type="dxa"/>
              <w:right w:w="108" w:type="dxa"/>
            </w:tcMar>
            <w:vAlign w:val="center"/>
          </w:tcPr>
          <w:p w14:paraId="12B6241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092D38D" w14:textId="77777777" w:rsidR="0057163C" w:rsidRPr="00170422" w:rsidRDefault="00F37BF9">
            <w:pPr>
              <w:pStyle w:val="P68B1DB1-Normal121"/>
              <w:spacing w:after="0" w:line="240" w:lineRule="auto"/>
              <w:rPr>
                <w:noProof/>
                <w:lang w:val="de-DE"/>
              </w:rPr>
            </w:pPr>
            <w:r w:rsidRPr="00170422">
              <w:rPr>
                <w:noProof/>
                <w:lang w:val="de-DE"/>
              </w:rPr>
              <w:t>Ausweitung der digitalen öffentlichen Bekanntmachungen T2</w:t>
            </w:r>
          </w:p>
        </w:tc>
      </w:tr>
      <w:tr w:rsidR="0057163C" w:rsidRPr="00170422" w14:paraId="51D602BB" w14:textId="77777777" w:rsidTr="00E7779A">
        <w:trPr>
          <w:trHeight w:val="300"/>
        </w:trPr>
        <w:tc>
          <w:tcPr>
            <w:tcW w:w="1406" w:type="dxa"/>
            <w:shd w:val="clear" w:color="auto" w:fill="C6EFCE"/>
            <w:tcMar>
              <w:left w:w="108" w:type="dxa"/>
              <w:right w:w="108" w:type="dxa"/>
            </w:tcMar>
            <w:vAlign w:val="center"/>
          </w:tcPr>
          <w:p w14:paraId="3C97996F" w14:textId="77777777" w:rsidR="0057163C" w:rsidRPr="00170422" w:rsidRDefault="00F37BF9">
            <w:pPr>
              <w:pStyle w:val="P68B1DB1-Normal121"/>
              <w:spacing w:after="0" w:line="240" w:lineRule="auto"/>
              <w:jc w:val="center"/>
              <w:rPr>
                <w:noProof/>
                <w:lang w:val="de-DE"/>
              </w:rPr>
            </w:pPr>
            <w:r w:rsidRPr="00170422">
              <w:rPr>
                <w:noProof/>
                <w:lang w:val="de-DE"/>
              </w:rPr>
              <w:t>M1C1-155</w:t>
            </w:r>
          </w:p>
        </w:tc>
        <w:tc>
          <w:tcPr>
            <w:tcW w:w="2268" w:type="dxa"/>
            <w:shd w:val="clear" w:color="auto" w:fill="C6EFCE"/>
            <w:tcMar>
              <w:left w:w="108" w:type="dxa"/>
              <w:right w:w="108" w:type="dxa"/>
            </w:tcMar>
            <w:vAlign w:val="center"/>
          </w:tcPr>
          <w:p w14:paraId="1EE5FFDB" w14:textId="77777777" w:rsidR="0057163C" w:rsidRPr="00170422" w:rsidRDefault="00F37BF9">
            <w:pPr>
              <w:pStyle w:val="P68B1DB1-Normal121"/>
              <w:spacing w:after="0" w:line="240" w:lineRule="auto"/>
              <w:rPr>
                <w:noProof/>
                <w:lang w:val="de-DE"/>
              </w:rPr>
            </w:pPr>
            <w:r w:rsidRPr="00170422">
              <w:rPr>
                <w:noProof/>
                <w:lang w:val="de-DE"/>
              </w:rPr>
              <w:t xml:space="preserve">Investition 1.6.3 – </w:t>
            </w:r>
            <w:r w:rsidRPr="00170422">
              <w:rPr>
                <w:noProof/>
                <w:lang w:val="de-DE"/>
              </w:rPr>
              <w:t>Digitalisierung der nationalen Sozialversicherungsanstalt (INPS) und des Nationalen Instituts für die Unfallversicherung (INAIL)</w:t>
            </w:r>
          </w:p>
        </w:tc>
        <w:tc>
          <w:tcPr>
            <w:tcW w:w="2155" w:type="dxa"/>
            <w:shd w:val="clear" w:color="auto" w:fill="C6EFCE"/>
            <w:tcMar>
              <w:left w:w="108" w:type="dxa"/>
              <w:right w:w="108" w:type="dxa"/>
            </w:tcMar>
            <w:vAlign w:val="center"/>
          </w:tcPr>
          <w:p w14:paraId="789547C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1F07C1C" w14:textId="77777777" w:rsidR="0057163C" w:rsidRPr="00170422" w:rsidRDefault="00F37BF9">
            <w:pPr>
              <w:pStyle w:val="P68B1DB1-Normal121"/>
              <w:spacing w:after="0" w:line="240" w:lineRule="auto"/>
              <w:rPr>
                <w:noProof/>
                <w:lang w:val="de-DE"/>
              </w:rPr>
            </w:pPr>
            <w:r w:rsidRPr="00170422">
              <w:rPr>
                <w:noProof/>
                <w:lang w:val="de-DE"/>
              </w:rPr>
              <w:t>INAIL – Neu entwickelte und digitalisierte Prozesse/Dienste T2</w:t>
            </w:r>
          </w:p>
        </w:tc>
      </w:tr>
      <w:tr w:rsidR="0057163C" w:rsidRPr="00170422" w14:paraId="1DCA2A6E" w14:textId="77777777" w:rsidTr="00E7779A">
        <w:trPr>
          <w:trHeight w:val="300"/>
        </w:trPr>
        <w:tc>
          <w:tcPr>
            <w:tcW w:w="1406" w:type="dxa"/>
            <w:shd w:val="clear" w:color="auto" w:fill="C6EFCE"/>
            <w:tcMar>
              <w:left w:w="108" w:type="dxa"/>
              <w:right w:w="108" w:type="dxa"/>
            </w:tcMar>
            <w:vAlign w:val="center"/>
          </w:tcPr>
          <w:p w14:paraId="1A33A17E" w14:textId="77777777" w:rsidR="0057163C" w:rsidRPr="00170422" w:rsidRDefault="00F37BF9">
            <w:pPr>
              <w:pStyle w:val="P68B1DB1-Normal121"/>
              <w:spacing w:after="0" w:line="240" w:lineRule="auto"/>
              <w:jc w:val="center"/>
              <w:rPr>
                <w:noProof/>
                <w:lang w:val="de-DE"/>
              </w:rPr>
            </w:pPr>
            <w:r w:rsidRPr="00170422">
              <w:rPr>
                <w:noProof/>
                <w:lang w:val="de-DE"/>
              </w:rPr>
              <w:t>M1C2-15</w:t>
            </w:r>
          </w:p>
        </w:tc>
        <w:tc>
          <w:tcPr>
            <w:tcW w:w="2268" w:type="dxa"/>
            <w:shd w:val="clear" w:color="auto" w:fill="C6EFCE"/>
            <w:tcMar>
              <w:left w:w="108" w:type="dxa"/>
              <w:right w:w="108" w:type="dxa"/>
            </w:tcMar>
            <w:vAlign w:val="center"/>
          </w:tcPr>
          <w:p w14:paraId="49C72548" w14:textId="77777777" w:rsidR="0057163C" w:rsidRPr="00170422" w:rsidRDefault="00F37BF9">
            <w:pPr>
              <w:pStyle w:val="P68B1DB1-Normal121"/>
              <w:spacing w:after="0" w:line="240" w:lineRule="auto"/>
              <w:rPr>
                <w:noProof/>
                <w:lang w:val="de-DE"/>
              </w:rPr>
            </w:pPr>
            <w:r w:rsidRPr="00170422">
              <w:rPr>
                <w:noProof/>
                <w:lang w:val="de-DE"/>
              </w:rPr>
              <w:t>Investition 2: Innovation und Technologie der Mikr</w:t>
            </w:r>
            <w:r w:rsidRPr="00170422">
              <w:rPr>
                <w:noProof/>
                <w:lang w:val="de-DE"/>
              </w:rPr>
              <w:t>oelektronik</w:t>
            </w:r>
          </w:p>
        </w:tc>
        <w:tc>
          <w:tcPr>
            <w:tcW w:w="2155" w:type="dxa"/>
            <w:shd w:val="clear" w:color="auto" w:fill="C6EFCE"/>
            <w:tcMar>
              <w:left w:w="108" w:type="dxa"/>
              <w:right w:w="108" w:type="dxa"/>
            </w:tcMar>
            <w:vAlign w:val="center"/>
          </w:tcPr>
          <w:p w14:paraId="77EE121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0338315B" w14:textId="77777777" w:rsidR="0057163C" w:rsidRPr="00170422" w:rsidRDefault="00F37BF9">
            <w:pPr>
              <w:pStyle w:val="P68B1DB1-Normal121"/>
              <w:spacing w:after="0" w:line="240" w:lineRule="auto"/>
              <w:rPr>
                <w:noProof/>
                <w:lang w:val="de-DE"/>
              </w:rPr>
            </w:pPr>
            <w:r w:rsidRPr="00170422">
              <w:rPr>
                <w:noProof/>
                <w:lang w:val="de-DE"/>
              </w:rPr>
              <w:t>Produktionskapazität von Siliziumkarbidsubstraten</w:t>
            </w:r>
          </w:p>
        </w:tc>
      </w:tr>
      <w:tr w:rsidR="0057163C" w:rsidRPr="00170422" w14:paraId="4CF9B07A" w14:textId="77777777" w:rsidTr="00E7779A">
        <w:trPr>
          <w:trHeight w:val="300"/>
        </w:trPr>
        <w:tc>
          <w:tcPr>
            <w:tcW w:w="1406" w:type="dxa"/>
            <w:shd w:val="clear" w:color="auto" w:fill="C6EFCE"/>
            <w:tcMar>
              <w:left w:w="108" w:type="dxa"/>
              <w:right w:w="108" w:type="dxa"/>
            </w:tcMar>
            <w:vAlign w:val="center"/>
          </w:tcPr>
          <w:p w14:paraId="6FCA848B" w14:textId="77777777" w:rsidR="0057163C" w:rsidRPr="00170422" w:rsidRDefault="00F37BF9">
            <w:pPr>
              <w:pStyle w:val="P68B1DB1-Normal121"/>
              <w:spacing w:after="0" w:line="240" w:lineRule="auto"/>
              <w:jc w:val="center"/>
              <w:rPr>
                <w:noProof/>
                <w:lang w:val="de-DE"/>
              </w:rPr>
            </w:pPr>
            <w:r w:rsidRPr="00170422">
              <w:rPr>
                <w:noProof/>
                <w:lang w:val="de-DE"/>
              </w:rPr>
              <w:t>M1C2-17</w:t>
            </w:r>
          </w:p>
        </w:tc>
        <w:tc>
          <w:tcPr>
            <w:tcW w:w="2268" w:type="dxa"/>
            <w:shd w:val="clear" w:color="auto" w:fill="C6EFCE"/>
            <w:tcMar>
              <w:left w:w="108" w:type="dxa"/>
              <w:right w:w="108" w:type="dxa"/>
            </w:tcMar>
            <w:vAlign w:val="center"/>
          </w:tcPr>
          <w:p w14:paraId="474BBD62" w14:textId="77777777" w:rsidR="0057163C" w:rsidRPr="00170422" w:rsidRDefault="00F37BF9">
            <w:pPr>
              <w:pStyle w:val="P68B1DB1-Normal121"/>
              <w:spacing w:after="0" w:line="240" w:lineRule="auto"/>
              <w:rPr>
                <w:noProof/>
                <w:lang w:val="de-DE"/>
              </w:rPr>
            </w:pPr>
            <w:r w:rsidRPr="00170422">
              <w:rPr>
                <w:noProof/>
                <w:lang w:val="de-DE"/>
              </w:rPr>
              <w:t>Investition 3: Wissenschaftsexzellenz. Schnelle Internetverbindungen (Ultrabreitband und 5G)</w:t>
            </w:r>
          </w:p>
        </w:tc>
        <w:tc>
          <w:tcPr>
            <w:tcW w:w="2155" w:type="dxa"/>
            <w:shd w:val="clear" w:color="auto" w:fill="C6EFCE"/>
            <w:tcMar>
              <w:left w:w="108" w:type="dxa"/>
              <w:right w:w="108" w:type="dxa"/>
            </w:tcMar>
            <w:vAlign w:val="center"/>
          </w:tcPr>
          <w:p w14:paraId="3FAD403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485D2EC" w14:textId="77777777" w:rsidR="0057163C" w:rsidRPr="00170422" w:rsidRDefault="00F37BF9">
            <w:pPr>
              <w:pStyle w:val="P68B1DB1-Normal121"/>
              <w:spacing w:after="0" w:line="240" w:lineRule="auto"/>
              <w:rPr>
                <w:noProof/>
                <w:lang w:val="de-DE"/>
              </w:rPr>
            </w:pPr>
            <w:r w:rsidRPr="00170422">
              <w:rPr>
                <w:noProof/>
                <w:lang w:val="de-DE"/>
              </w:rPr>
              <w:t>Hausnummern mit 1 Gbit/s-Konnektivität</w:t>
            </w:r>
          </w:p>
        </w:tc>
      </w:tr>
      <w:tr w:rsidR="0057163C" w:rsidRPr="00170422" w14:paraId="511B510B" w14:textId="77777777" w:rsidTr="00E7779A">
        <w:trPr>
          <w:trHeight w:val="300"/>
        </w:trPr>
        <w:tc>
          <w:tcPr>
            <w:tcW w:w="1406" w:type="dxa"/>
            <w:shd w:val="clear" w:color="auto" w:fill="C6EFCE"/>
            <w:tcMar>
              <w:left w:w="108" w:type="dxa"/>
              <w:right w:w="108" w:type="dxa"/>
            </w:tcMar>
            <w:vAlign w:val="center"/>
          </w:tcPr>
          <w:p w14:paraId="21F42531" w14:textId="77777777" w:rsidR="0057163C" w:rsidRPr="00170422" w:rsidRDefault="00F37BF9">
            <w:pPr>
              <w:pStyle w:val="P68B1DB1-Normal121"/>
              <w:spacing w:after="0" w:line="240" w:lineRule="auto"/>
              <w:jc w:val="center"/>
              <w:rPr>
                <w:noProof/>
                <w:lang w:val="de-DE"/>
              </w:rPr>
            </w:pPr>
            <w:r w:rsidRPr="00170422">
              <w:rPr>
                <w:noProof/>
                <w:lang w:val="de-DE"/>
              </w:rPr>
              <w:t>M1C2-18</w:t>
            </w:r>
          </w:p>
        </w:tc>
        <w:tc>
          <w:tcPr>
            <w:tcW w:w="2268" w:type="dxa"/>
            <w:shd w:val="clear" w:color="auto" w:fill="C6EFCE"/>
            <w:tcMar>
              <w:left w:w="108" w:type="dxa"/>
              <w:right w:w="108" w:type="dxa"/>
            </w:tcMar>
            <w:vAlign w:val="center"/>
          </w:tcPr>
          <w:p w14:paraId="2E439FB8" w14:textId="77777777" w:rsidR="0057163C" w:rsidRPr="00170422" w:rsidRDefault="00F37BF9">
            <w:pPr>
              <w:pStyle w:val="P68B1DB1-Normal121"/>
              <w:spacing w:after="0" w:line="240" w:lineRule="auto"/>
              <w:rPr>
                <w:noProof/>
                <w:lang w:val="de-DE"/>
              </w:rPr>
            </w:pPr>
            <w:r w:rsidRPr="00170422">
              <w:rPr>
                <w:noProof/>
                <w:lang w:val="de-DE"/>
              </w:rPr>
              <w:t xml:space="preserve">Investition 3: </w:t>
            </w:r>
            <w:r w:rsidRPr="00170422">
              <w:rPr>
                <w:noProof/>
                <w:lang w:val="de-DE"/>
              </w:rPr>
              <w:t>Wissenschaftsexzellenz. Schnelle Internetverbindungen (Ultrabreitband und 5G)</w:t>
            </w:r>
          </w:p>
        </w:tc>
        <w:tc>
          <w:tcPr>
            <w:tcW w:w="2155" w:type="dxa"/>
            <w:shd w:val="clear" w:color="auto" w:fill="C6EFCE"/>
            <w:tcMar>
              <w:left w:w="108" w:type="dxa"/>
              <w:right w:w="108" w:type="dxa"/>
            </w:tcMar>
            <w:vAlign w:val="center"/>
          </w:tcPr>
          <w:p w14:paraId="7353244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7A431E7" w14:textId="77777777" w:rsidR="0057163C" w:rsidRPr="00170422" w:rsidRDefault="00F37BF9">
            <w:pPr>
              <w:pStyle w:val="P68B1DB1-Normal121"/>
              <w:spacing w:after="0" w:line="240" w:lineRule="auto"/>
              <w:rPr>
                <w:noProof/>
                <w:lang w:val="de-DE"/>
              </w:rPr>
            </w:pPr>
            <w:r w:rsidRPr="00170422">
              <w:rPr>
                <w:noProof/>
                <w:lang w:val="de-DE"/>
              </w:rPr>
              <w:t>Schulgebäude und Gesundheitseinrichtungen mit einer Konnektivität von 1 Gbit/s</w:t>
            </w:r>
          </w:p>
        </w:tc>
      </w:tr>
      <w:tr w:rsidR="0057163C" w:rsidRPr="00170422" w14:paraId="5977F143" w14:textId="77777777" w:rsidTr="00E7779A">
        <w:trPr>
          <w:trHeight w:val="300"/>
        </w:trPr>
        <w:tc>
          <w:tcPr>
            <w:tcW w:w="1406" w:type="dxa"/>
            <w:shd w:val="clear" w:color="auto" w:fill="C6EFCE"/>
            <w:tcMar>
              <w:left w:w="108" w:type="dxa"/>
              <w:right w:w="108" w:type="dxa"/>
            </w:tcMar>
            <w:vAlign w:val="center"/>
          </w:tcPr>
          <w:p w14:paraId="200102F1" w14:textId="77777777" w:rsidR="0057163C" w:rsidRPr="00170422" w:rsidRDefault="00F37BF9">
            <w:pPr>
              <w:pStyle w:val="P68B1DB1-Normal121"/>
              <w:spacing w:after="0" w:line="240" w:lineRule="auto"/>
              <w:jc w:val="center"/>
              <w:rPr>
                <w:noProof/>
                <w:lang w:val="de-DE"/>
              </w:rPr>
            </w:pPr>
            <w:r w:rsidRPr="00170422">
              <w:rPr>
                <w:noProof/>
                <w:lang w:val="de-DE"/>
              </w:rPr>
              <w:t>M1C2-20</w:t>
            </w:r>
          </w:p>
        </w:tc>
        <w:tc>
          <w:tcPr>
            <w:tcW w:w="2268" w:type="dxa"/>
            <w:shd w:val="clear" w:color="auto" w:fill="C6EFCE"/>
            <w:tcMar>
              <w:left w:w="108" w:type="dxa"/>
              <w:right w:w="108" w:type="dxa"/>
            </w:tcMar>
            <w:vAlign w:val="center"/>
          </w:tcPr>
          <w:p w14:paraId="61DA9943" w14:textId="77777777" w:rsidR="0057163C" w:rsidRPr="00170422" w:rsidRDefault="00F37BF9">
            <w:pPr>
              <w:pStyle w:val="P68B1DB1-Normal121"/>
              <w:spacing w:after="0" w:line="240" w:lineRule="auto"/>
              <w:rPr>
                <w:noProof/>
                <w:lang w:val="de-DE"/>
              </w:rPr>
            </w:pPr>
            <w:r w:rsidRPr="00170422">
              <w:rPr>
                <w:noProof/>
                <w:lang w:val="de-DE"/>
              </w:rPr>
              <w:t xml:space="preserve">Investition 3: Wissenschaftsexzellenz. Schnelle Internetverbindungen (Ultrabreitband </w:t>
            </w:r>
            <w:r w:rsidRPr="00170422">
              <w:rPr>
                <w:noProof/>
                <w:lang w:val="de-DE"/>
              </w:rPr>
              <w:t>und 5G)</w:t>
            </w:r>
          </w:p>
        </w:tc>
        <w:tc>
          <w:tcPr>
            <w:tcW w:w="2155" w:type="dxa"/>
            <w:shd w:val="clear" w:color="auto" w:fill="C6EFCE"/>
            <w:tcMar>
              <w:left w:w="108" w:type="dxa"/>
              <w:right w:w="108" w:type="dxa"/>
            </w:tcMar>
            <w:vAlign w:val="center"/>
          </w:tcPr>
          <w:p w14:paraId="1A3684A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88B7799" w14:textId="77777777" w:rsidR="0057163C" w:rsidRPr="00170422" w:rsidRDefault="00F37BF9">
            <w:pPr>
              <w:pStyle w:val="P68B1DB1-Normal121"/>
              <w:spacing w:after="0" w:line="240" w:lineRule="auto"/>
              <w:rPr>
                <w:noProof/>
                <w:lang w:val="de-DE"/>
              </w:rPr>
            </w:pPr>
            <w:r w:rsidRPr="00170422">
              <w:rPr>
                <w:noProof/>
                <w:lang w:val="de-DE"/>
              </w:rPr>
              <w:t>Außerstädtische Straßen und Korridore mit 5G-Abdeckung möglich</w:t>
            </w:r>
          </w:p>
        </w:tc>
      </w:tr>
      <w:tr w:rsidR="0057163C" w:rsidRPr="00170422" w14:paraId="212E895D" w14:textId="77777777" w:rsidTr="00E7779A">
        <w:trPr>
          <w:trHeight w:val="300"/>
        </w:trPr>
        <w:tc>
          <w:tcPr>
            <w:tcW w:w="1406" w:type="dxa"/>
            <w:shd w:val="clear" w:color="auto" w:fill="C6EFCE"/>
            <w:tcMar>
              <w:left w:w="108" w:type="dxa"/>
              <w:right w:w="108" w:type="dxa"/>
            </w:tcMar>
            <w:vAlign w:val="center"/>
          </w:tcPr>
          <w:p w14:paraId="696F7885" w14:textId="77777777" w:rsidR="0057163C" w:rsidRPr="00170422" w:rsidRDefault="00F37BF9">
            <w:pPr>
              <w:pStyle w:val="P68B1DB1-Normal121"/>
              <w:spacing w:after="0" w:line="240" w:lineRule="auto"/>
              <w:jc w:val="center"/>
              <w:rPr>
                <w:noProof/>
                <w:lang w:val="de-DE"/>
              </w:rPr>
            </w:pPr>
            <w:r w:rsidRPr="00170422">
              <w:rPr>
                <w:noProof/>
                <w:lang w:val="de-DE"/>
              </w:rPr>
              <w:t>M1C2-21</w:t>
            </w:r>
          </w:p>
        </w:tc>
        <w:tc>
          <w:tcPr>
            <w:tcW w:w="2268" w:type="dxa"/>
            <w:shd w:val="clear" w:color="auto" w:fill="C6EFCE"/>
            <w:tcMar>
              <w:left w:w="108" w:type="dxa"/>
              <w:right w:w="108" w:type="dxa"/>
            </w:tcMar>
            <w:vAlign w:val="center"/>
          </w:tcPr>
          <w:p w14:paraId="746F76B5" w14:textId="77777777" w:rsidR="0057163C" w:rsidRPr="00170422" w:rsidRDefault="00F37BF9">
            <w:pPr>
              <w:pStyle w:val="P68B1DB1-Normal121"/>
              <w:spacing w:after="0" w:line="240" w:lineRule="auto"/>
              <w:rPr>
                <w:noProof/>
                <w:lang w:val="de-DE"/>
              </w:rPr>
            </w:pPr>
            <w:r w:rsidRPr="00170422">
              <w:rPr>
                <w:noProof/>
                <w:lang w:val="de-DE"/>
              </w:rPr>
              <w:t>Investition 3: Wissenschaftsexzellenz. Schnelle Internetverbindungen (Ultrabreitband und 5G)</w:t>
            </w:r>
          </w:p>
        </w:tc>
        <w:tc>
          <w:tcPr>
            <w:tcW w:w="2155" w:type="dxa"/>
            <w:shd w:val="clear" w:color="auto" w:fill="C6EFCE"/>
            <w:tcMar>
              <w:left w:w="108" w:type="dxa"/>
              <w:right w:w="108" w:type="dxa"/>
            </w:tcMar>
            <w:vAlign w:val="center"/>
          </w:tcPr>
          <w:p w14:paraId="7329E94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29E71572" w14:textId="77777777" w:rsidR="0057163C" w:rsidRPr="00170422" w:rsidRDefault="00F37BF9">
            <w:pPr>
              <w:pStyle w:val="P68B1DB1-Normal121"/>
              <w:spacing w:after="0" w:line="240" w:lineRule="auto"/>
              <w:rPr>
                <w:noProof/>
                <w:lang w:val="de-DE"/>
              </w:rPr>
            </w:pPr>
            <w:r w:rsidRPr="00170422">
              <w:rPr>
                <w:noProof/>
                <w:lang w:val="de-DE"/>
              </w:rPr>
              <w:t>Mit 5G-Versorgung ausgestattete Gebiete mit Marktversagen</w:t>
            </w:r>
          </w:p>
        </w:tc>
      </w:tr>
      <w:tr w:rsidR="0057163C" w:rsidRPr="00170422" w14:paraId="4FD531CA" w14:textId="77777777" w:rsidTr="00E7779A">
        <w:trPr>
          <w:trHeight w:val="300"/>
        </w:trPr>
        <w:tc>
          <w:tcPr>
            <w:tcW w:w="1406" w:type="dxa"/>
            <w:shd w:val="clear" w:color="auto" w:fill="C6EFCE"/>
            <w:tcMar>
              <w:left w:w="108" w:type="dxa"/>
              <w:right w:w="108" w:type="dxa"/>
            </w:tcMar>
            <w:vAlign w:val="center"/>
          </w:tcPr>
          <w:p w14:paraId="11586B30" w14:textId="77777777" w:rsidR="0057163C" w:rsidRPr="00170422" w:rsidRDefault="00F37BF9">
            <w:pPr>
              <w:pStyle w:val="P68B1DB1-Normal121"/>
              <w:spacing w:after="0" w:line="240" w:lineRule="auto"/>
              <w:jc w:val="center"/>
              <w:rPr>
                <w:noProof/>
                <w:lang w:val="de-DE"/>
              </w:rPr>
            </w:pPr>
            <w:r w:rsidRPr="00170422">
              <w:rPr>
                <w:noProof/>
                <w:lang w:val="de-DE"/>
              </w:rPr>
              <w:t>M1C3-21</w:t>
            </w:r>
          </w:p>
        </w:tc>
        <w:tc>
          <w:tcPr>
            <w:tcW w:w="2268" w:type="dxa"/>
            <w:shd w:val="clear" w:color="auto" w:fill="C6EFCE"/>
            <w:tcMar>
              <w:left w:w="108" w:type="dxa"/>
              <w:right w:w="108" w:type="dxa"/>
            </w:tcMar>
            <w:vAlign w:val="center"/>
          </w:tcPr>
          <w:p w14:paraId="0814BEF9" w14:textId="77777777" w:rsidR="0057163C" w:rsidRPr="00170422" w:rsidRDefault="00F37BF9">
            <w:pPr>
              <w:pStyle w:val="P68B1DB1-Normal121"/>
              <w:spacing w:after="0" w:line="240" w:lineRule="auto"/>
              <w:rPr>
                <w:noProof/>
                <w:lang w:val="de-DE"/>
              </w:rPr>
            </w:pPr>
            <w:r w:rsidRPr="00170422">
              <w:rPr>
                <w:noProof/>
                <w:lang w:val="de-DE"/>
              </w:rPr>
              <w:t>Investition – 3.2 Entwicklung der Filmindustrie (Projekt Cinecittà)</w:t>
            </w:r>
          </w:p>
        </w:tc>
        <w:tc>
          <w:tcPr>
            <w:tcW w:w="2155" w:type="dxa"/>
            <w:shd w:val="clear" w:color="auto" w:fill="C6EFCE"/>
            <w:tcMar>
              <w:left w:w="108" w:type="dxa"/>
              <w:right w:w="108" w:type="dxa"/>
            </w:tcMar>
            <w:vAlign w:val="center"/>
          </w:tcPr>
          <w:p w14:paraId="1EEF023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234D4D1" w14:textId="77777777" w:rsidR="0057163C" w:rsidRPr="00170422" w:rsidRDefault="00F37BF9">
            <w:pPr>
              <w:pStyle w:val="P68B1DB1-Normal121"/>
              <w:spacing w:after="0" w:line="240" w:lineRule="auto"/>
              <w:rPr>
                <w:noProof/>
                <w:lang w:val="de-DE"/>
              </w:rPr>
            </w:pPr>
            <w:r w:rsidRPr="00170422">
              <w:rPr>
                <w:noProof/>
                <w:lang w:val="de-DE"/>
              </w:rPr>
              <w:t>Anzahl der errichteten oder renovierten Studios</w:t>
            </w:r>
          </w:p>
        </w:tc>
      </w:tr>
      <w:tr w:rsidR="0057163C" w:rsidRPr="00170422" w14:paraId="32CE3766" w14:textId="77777777" w:rsidTr="00E7779A">
        <w:trPr>
          <w:trHeight w:val="300"/>
        </w:trPr>
        <w:tc>
          <w:tcPr>
            <w:tcW w:w="1406" w:type="dxa"/>
            <w:shd w:val="clear" w:color="auto" w:fill="C6EFCE"/>
            <w:tcMar>
              <w:left w:w="108" w:type="dxa"/>
              <w:right w:w="108" w:type="dxa"/>
            </w:tcMar>
            <w:vAlign w:val="center"/>
          </w:tcPr>
          <w:p w14:paraId="40E3E062" w14:textId="77777777" w:rsidR="0057163C" w:rsidRPr="00170422" w:rsidRDefault="00F37BF9">
            <w:pPr>
              <w:pStyle w:val="P68B1DB1-Normal121"/>
              <w:spacing w:after="0" w:line="240" w:lineRule="auto"/>
              <w:jc w:val="center"/>
              <w:rPr>
                <w:noProof/>
                <w:lang w:val="de-DE"/>
              </w:rPr>
            </w:pPr>
            <w:r w:rsidRPr="00170422">
              <w:rPr>
                <w:noProof/>
                <w:lang w:val="de-DE"/>
              </w:rPr>
              <w:t>M1C3-36</w:t>
            </w:r>
          </w:p>
        </w:tc>
        <w:tc>
          <w:tcPr>
            <w:tcW w:w="2268" w:type="dxa"/>
            <w:shd w:val="clear" w:color="auto" w:fill="C6EFCE"/>
            <w:tcMar>
              <w:left w:w="108" w:type="dxa"/>
              <w:right w:w="108" w:type="dxa"/>
            </w:tcMar>
            <w:vAlign w:val="center"/>
          </w:tcPr>
          <w:p w14:paraId="0123ECD1" w14:textId="77777777" w:rsidR="0057163C" w:rsidRPr="00170422" w:rsidRDefault="00F37BF9">
            <w:pPr>
              <w:pStyle w:val="P68B1DB1-Normal121"/>
              <w:spacing w:after="0" w:line="240" w:lineRule="auto"/>
              <w:rPr>
                <w:noProof/>
                <w:lang w:val="de-DE"/>
              </w:rPr>
            </w:pPr>
            <w:r w:rsidRPr="00170422">
              <w:rPr>
                <w:noProof/>
                <w:lang w:val="de-DE"/>
              </w:rPr>
              <w:t>Investitionen – 4.3 Caput Mundi-Next Generation EU für touristische Großveranstaltungen</w:t>
            </w:r>
          </w:p>
        </w:tc>
        <w:tc>
          <w:tcPr>
            <w:tcW w:w="2155" w:type="dxa"/>
            <w:shd w:val="clear" w:color="auto" w:fill="C6EFCE"/>
            <w:tcMar>
              <w:left w:w="108" w:type="dxa"/>
              <w:right w:w="108" w:type="dxa"/>
            </w:tcMar>
            <w:vAlign w:val="center"/>
          </w:tcPr>
          <w:p w14:paraId="5A40BFE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010EE0AF" w14:textId="77777777" w:rsidR="0057163C" w:rsidRPr="00170422" w:rsidRDefault="00F37BF9">
            <w:pPr>
              <w:pStyle w:val="P68B1DB1-Normal121"/>
              <w:spacing w:after="0" w:line="240" w:lineRule="auto"/>
              <w:rPr>
                <w:noProof/>
                <w:lang w:val="de-DE"/>
              </w:rPr>
            </w:pPr>
            <w:r w:rsidRPr="00170422">
              <w:rPr>
                <w:noProof/>
                <w:lang w:val="de-DE"/>
              </w:rPr>
              <w:t>Anzahl der Interventionen in kult</w:t>
            </w:r>
            <w:r w:rsidRPr="00170422">
              <w:rPr>
                <w:noProof/>
                <w:lang w:val="de-DE"/>
              </w:rPr>
              <w:t xml:space="preserve">urellen und touristischen Stätten </w:t>
            </w:r>
          </w:p>
        </w:tc>
      </w:tr>
      <w:tr w:rsidR="0057163C" w:rsidRPr="00170422" w14:paraId="1196D524" w14:textId="77777777" w:rsidTr="00E7779A">
        <w:trPr>
          <w:trHeight w:val="300"/>
        </w:trPr>
        <w:tc>
          <w:tcPr>
            <w:tcW w:w="1406" w:type="dxa"/>
            <w:shd w:val="clear" w:color="auto" w:fill="C6EFCE"/>
            <w:tcMar>
              <w:left w:w="108" w:type="dxa"/>
              <w:right w:w="108" w:type="dxa"/>
            </w:tcMar>
            <w:vAlign w:val="center"/>
          </w:tcPr>
          <w:p w14:paraId="2C3002C6" w14:textId="77777777" w:rsidR="0057163C" w:rsidRPr="00170422" w:rsidRDefault="00F37BF9">
            <w:pPr>
              <w:pStyle w:val="P68B1DB1-Normal121"/>
              <w:spacing w:after="0" w:line="240" w:lineRule="auto"/>
              <w:jc w:val="center"/>
              <w:rPr>
                <w:noProof/>
                <w:lang w:val="de-DE"/>
              </w:rPr>
            </w:pPr>
            <w:r w:rsidRPr="00170422">
              <w:rPr>
                <w:noProof/>
                <w:lang w:val="de-DE"/>
              </w:rPr>
              <w:t>M2C1-16</w:t>
            </w:r>
          </w:p>
        </w:tc>
        <w:tc>
          <w:tcPr>
            <w:tcW w:w="2268" w:type="dxa"/>
            <w:shd w:val="clear" w:color="auto" w:fill="C6EFCE"/>
            <w:tcMar>
              <w:left w:w="108" w:type="dxa"/>
              <w:right w:w="108" w:type="dxa"/>
            </w:tcMar>
            <w:vAlign w:val="center"/>
          </w:tcPr>
          <w:p w14:paraId="48E7262E" w14:textId="77777777" w:rsidR="0057163C" w:rsidRPr="00170422" w:rsidRDefault="00F37BF9">
            <w:pPr>
              <w:pStyle w:val="P68B1DB1-Normal121"/>
              <w:spacing w:after="0" w:line="240" w:lineRule="auto"/>
              <w:rPr>
                <w:noProof/>
                <w:lang w:val="de-DE"/>
              </w:rPr>
            </w:pPr>
            <w:r w:rsidRPr="00170422">
              <w:rPr>
                <w:noProof/>
                <w:lang w:val="de-DE"/>
              </w:rPr>
              <w:t xml:space="preserve">  Investition 1.1 – Errichtung neuer Abfallbewirtschaftungsanlagen und Modernisierung bestehender Anlagen</w:t>
            </w:r>
          </w:p>
        </w:tc>
        <w:tc>
          <w:tcPr>
            <w:tcW w:w="2155" w:type="dxa"/>
            <w:shd w:val="clear" w:color="auto" w:fill="C6EFCE"/>
            <w:tcMar>
              <w:left w:w="108" w:type="dxa"/>
              <w:right w:w="108" w:type="dxa"/>
            </w:tcMar>
            <w:vAlign w:val="center"/>
          </w:tcPr>
          <w:p w14:paraId="66B0966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F86CDEE" w14:textId="77777777" w:rsidR="0057163C" w:rsidRPr="00170422" w:rsidRDefault="00F37BF9">
            <w:pPr>
              <w:pStyle w:val="P68B1DB1-Normal121"/>
              <w:spacing w:after="0" w:line="240" w:lineRule="auto"/>
              <w:rPr>
                <w:noProof/>
                <w:lang w:val="de-DE"/>
              </w:rPr>
            </w:pPr>
            <w:r w:rsidRPr="00170422">
              <w:rPr>
                <w:noProof/>
                <w:lang w:val="de-DE"/>
              </w:rPr>
              <w:t>Unregelmäßige Deponien</w:t>
            </w:r>
          </w:p>
        </w:tc>
      </w:tr>
      <w:tr w:rsidR="0057163C" w:rsidRPr="00170422" w14:paraId="2962EB70" w14:textId="77777777" w:rsidTr="00E7779A">
        <w:trPr>
          <w:trHeight w:val="300"/>
        </w:trPr>
        <w:tc>
          <w:tcPr>
            <w:tcW w:w="1406" w:type="dxa"/>
            <w:shd w:val="clear" w:color="auto" w:fill="C6EFCE"/>
            <w:tcMar>
              <w:left w:w="108" w:type="dxa"/>
              <w:right w:w="108" w:type="dxa"/>
            </w:tcMar>
            <w:vAlign w:val="center"/>
          </w:tcPr>
          <w:p w14:paraId="627B89F6" w14:textId="77777777" w:rsidR="0057163C" w:rsidRPr="00170422" w:rsidRDefault="00F37BF9">
            <w:pPr>
              <w:pStyle w:val="P68B1DB1-Normal121"/>
              <w:spacing w:after="0" w:line="240" w:lineRule="auto"/>
              <w:jc w:val="center"/>
              <w:rPr>
                <w:noProof/>
                <w:lang w:val="de-DE"/>
              </w:rPr>
            </w:pPr>
            <w:r w:rsidRPr="00170422">
              <w:rPr>
                <w:noProof/>
                <w:lang w:val="de-DE"/>
              </w:rPr>
              <w:t>M2C1-19</w:t>
            </w:r>
          </w:p>
        </w:tc>
        <w:tc>
          <w:tcPr>
            <w:tcW w:w="2268" w:type="dxa"/>
            <w:shd w:val="clear" w:color="auto" w:fill="C6EFCE"/>
            <w:tcMar>
              <w:left w:w="108" w:type="dxa"/>
              <w:right w:w="108" w:type="dxa"/>
            </w:tcMar>
            <w:vAlign w:val="center"/>
          </w:tcPr>
          <w:p w14:paraId="386891F0" w14:textId="77777777" w:rsidR="0057163C" w:rsidRPr="00170422" w:rsidRDefault="00F37BF9">
            <w:pPr>
              <w:pStyle w:val="P68B1DB1-Normal121"/>
              <w:spacing w:after="0" w:line="240" w:lineRule="auto"/>
              <w:rPr>
                <w:noProof/>
                <w:lang w:val="de-DE"/>
              </w:rPr>
            </w:pPr>
            <w:r w:rsidRPr="00170422">
              <w:rPr>
                <w:noProof/>
                <w:lang w:val="de-DE"/>
              </w:rPr>
              <w:t>Investition 3.1: Grüne Inseln</w:t>
            </w:r>
          </w:p>
        </w:tc>
        <w:tc>
          <w:tcPr>
            <w:tcW w:w="2155" w:type="dxa"/>
            <w:shd w:val="clear" w:color="auto" w:fill="C6EFCE"/>
            <w:tcMar>
              <w:left w:w="108" w:type="dxa"/>
              <w:right w:w="108" w:type="dxa"/>
            </w:tcMar>
            <w:vAlign w:val="center"/>
          </w:tcPr>
          <w:p w14:paraId="1EB3696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3E027C7" w14:textId="77777777" w:rsidR="0057163C" w:rsidRPr="00170422" w:rsidRDefault="00F37BF9">
            <w:pPr>
              <w:pStyle w:val="P68B1DB1-Normal121"/>
              <w:spacing w:after="0" w:line="240" w:lineRule="auto"/>
              <w:rPr>
                <w:noProof/>
                <w:lang w:val="de-DE"/>
              </w:rPr>
            </w:pPr>
            <w:r w:rsidRPr="00170422">
              <w:rPr>
                <w:noProof/>
                <w:lang w:val="de-DE"/>
              </w:rPr>
              <w:t>Durchführung integrierter Projekte</w:t>
            </w:r>
            <w:r w:rsidRPr="00170422">
              <w:rPr>
                <w:noProof/>
                <w:lang w:val="de-DE"/>
              </w:rPr>
              <w:t xml:space="preserve"> auf kleinen Inseln</w:t>
            </w:r>
          </w:p>
        </w:tc>
      </w:tr>
      <w:tr w:rsidR="0057163C" w:rsidRPr="00170422" w14:paraId="4336EB20" w14:textId="77777777" w:rsidTr="00E7779A">
        <w:trPr>
          <w:trHeight w:val="300"/>
        </w:trPr>
        <w:tc>
          <w:tcPr>
            <w:tcW w:w="1406" w:type="dxa"/>
            <w:shd w:val="clear" w:color="auto" w:fill="C6EFCE"/>
            <w:tcMar>
              <w:left w:w="108" w:type="dxa"/>
              <w:right w:w="108" w:type="dxa"/>
            </w:tcMar>
            <w:vAlign w:val="center"/>
          </w:tcPr>
          <w:p w14:paraId="52EF01FA" w14:textId="77777777" w:rsidR="0057163C" w:rsidRPr="00170422" w:rsidRDefault="00F37BF9">
            <w:pPr>
              <w:pStyle w:val="P68B1DB1-Normal121"/>
              <w:spacing w:after="0" w:line="240" w:lineRule="auto"/>
              <w:jc w:val="center"/>
              <w:rPr>
                <w:noProof/>
                <w:lang w:val="de-DE"/>
              </w:rPr>
            </w:pPr>
            <w:r w:rsidRPr="00170422">
              <w:rPr>
                <w:noProof/>
                <w:lang w:val="de-DE"/>
              </w:rPr>
              <w:t>M2C1-21</w:t>
            </w:r>
          </w:p>
        </w:tc>
        <w:tc>
          <w:tcPr>
            <w:tcW w:w="2268" w:type="dxa"/>
            <w:shd w:val="clear" w:color="auto" w:fill="C6EFCE"/>
            <w:tcMar>
              <w:left w:w="108" w:type="dxa"/>
              <w:right w:w="108" w:type="dxa"/>
            </w:tcMar>
            <w:vAlign w:val="center"/>
          </w:tcPr>
          <w:p w14:paraId="362BA8F1" w14:textId="77777777" w:rsidR="0057163C" w:rsidRPr="00170422" w:rsidRDefault="00F37BF9">
            <w:pPr>
              <w:pStyle w:val="P68B1DB1-Normal121"/>
              <w:spacing w:after="0" w:line="240" w:lineRule="auto"/>
              <w:rPr>
                <w:noProof/>
                <w:lang w:val="de-DE"/>
              </w:rPr>
            </w:pPr>
            <w:r w:rsidRPr="00170422">
              <w:rPr>
                <w:noProof/>
                <w:lang w:val="de-DE"/>
              </w:rPr>
              <w:t>Investition 3.2: Grüne Gemeinschaften</w:t>
            </w:r>
          </w:p>
        </w:tc>
        <w:tc>
          <w:tcPr>
            <w:tcW w:w="2155" w:type="dxa"/>
            <w:shd w:val="clear" w:color="auto" w:fill="C6EFCE"/>
            <w:tcMar>
              <w:left w:w="108" w:type="dxa"/>
              <w:right w:w="108" w:type="dxa"/>
            </w:tcMar>
            <w:vAlign w:val="center"/>
          </w:tcPr>
          <w:p w14:paraId="43FCE63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8189C74" w14:textId="77777777" w:rsidR="0057163C" w:rsidRPr="00170422" w:rsidRDefault="00F37BF9">
            <w:pPr>
              <w:pStyle w:val="P68B1DB1-Normal121"/>
              <w:spacing w:after="0" w:line="240" w:lineRule="auto"/>
              <w:rPr>
                <w:noProof/>
                <w:lang w:val="de-DE"/>
              </w:rPr>
            </w:pPr>
            <w:r w:rsidRPr="00170422">
              <w:rPr>
                <w:noProof/>
                <w:lang w:val="de-DE"/>
              </w:rPr>
              <w:t>Durchführungsprojekte in den Grünen Gemeinschaften</w:t>
            </w:r>
          </w:p>
        </w:tc>
      </w:tr>
      <w:tr w:rsidR="0057163C" w:rsidRPr="00170422" w14:paraId="31EE0673" w14:textId="77777777" w:rsidTr="00E7779A">
        <w:trPr>
          <w:trHeight w:val="300"/>
        </w:trPr>
        <w:tc>
          <w:tcPr>
            <w:tcW w:w="1406" w:type="dxa"/>
            <w:shd w:val="clear" w:color="auto" w:fill="C6EFCE"/>
            <w:tcMar>
              <w:left w:w="108" w:type="dxa"/>
              <w:right w:w="108" w:type="dxa"/>
            </w:tcMar>
            <w:vAlign w:val="center"/>
          </w:tcPr>
          <w:p w14:paraId="2CE7146D" w14:textId="77777777" w:rsidR="0057163C" w:rsidRPr="00170422" w:rsidRDefault="00F37BF9">
            <w:pPr>
              <w:pStyle w:val="P68B1DB1-Normal121"/>
              <w:spacing w:after="0" w:line="240" w:lineRule="auto"/>
              <w:jc w:val="center"/>
              <w:rPr>
                <w:noProof/>
                <w:lang w:val="de-DE"/>
              </w:rPr>
            </w:pPr>
            <w:r w:rsidRPr="00170422">
              <w:rPr>
                <w:noProof/>
                <w:lang w:val="de-DE"/>
              </w:rPr>
              <w:t>M2C1-24</w:t>
            </w:r>
          </w:p>
        </w:tc>
        <w:tc>
          <w:tcPr>
            <w:tcW w:w="2268" w:type="dxa"/>
            <w:shd w:val="clear" w:color="auto" w:fill="C6EFCE"/>
            <w:tcMar>
              <w:left w:w="108" w:type="dxa"/>
              <w:right w:w="108" w:type="dxa"/>
            </w:tcMar>
            <w:vAlign w:val="center"/>
          </w:tcPr>
          <w:p w14:paraId="38075F5B" w14:textId="77777777" w:rsidR="0057163C" w:rsidRPr="00170422" w:rsidRDefault="00F37BF9">
            <w:pPr>
              <w:pStyle w:val="P68B1DB1-Normal121"/>
              <w:spacing w:after="0" w:line="240" w:lineRule="auto"/>
              <w:rPr>
                <w:noProof/>
                <w:lang w:val="de-DE"/>
              </w:rPr>
            </w:pPr>
            <w:r w:rsidRPr="00170422">
              <w:rPr>
                <w:noProof/>
                <w:lang w:val="de-DE"/>
              </w:rPr>
              <w:t xml:space="preserve">Investition 3.4: Fondo Contratti di Filiera (FCF) zur Unterstützung von Lieferkettenverträgen in den Sektoren Agrar- und </w:t>
            </w:r>
            <w:r w:rsidRPr="00170422">
              <w:rPr>
                <w:noProof/>
                <w:lang w:val="de-DE"/>
              </w:rPr>
              <w:t>Ernährungswirtschaft, Fischerei und Aquakultur, Forstwirtschaft, Blumenzucht und Pflanzenzucht</w:t>
            </w:r>
          </w:p>
        </w:tc>
        <w:tc>
          <w:tcPr>
            <w:tcW w:w="2155" w:type="dxa"/>
            <w:shd w:val="clear" w:color="auto" w:fill="C6EFCE"/>
            <w:tcMar>
              <w:left w:w="108" w:type="dxa"/>
              <w:right w:w="108" w:type="dxa"/>
            </w:tcMar>
            <w:vAlign w:val="center"/>
          </w:tcPr>
          <w:p w14:paraId="0DE2040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2C1051D" w14:textId="77777777" w:rsidR="0057163C" w:rsidRPr="00170422" w:rsidRDefault="00F37BF9">
            <w:pPr>
              <w:pStyle w:val="P68B1DB1-Normal121"/>
              <w:spacing w:after="0" w:line="240" w:lineRule="auto"/>
              <w:rPr>
                <w:noProof/>
                <w:lang w:val="de-DE"/>
              </w:rPr>
            </w:pPr>
            <w:r w:rsidRPr="00170422">
              <w:rPr>
                <w:noProof/>
                <w:lang w:val="de-DE"/>
              </w:rPr>
              <w:t>Rechtliche Vereinbarungen mit Endbegünstigten</w:t>
            </w:r>
          </w:p>
        </w:tc>
      </w:tr>
      <w:tr w:rsidR="0057163C" w:rsidRPr="00170422" w14:paraId="24D04C0C" w14:textId="77777777" w:rsidTr="00E7779A">
        <w:trPr>
          <w:trHeight w:val="300"/>
        </w:trPr>
        <w:tc>
          <w:tcPr>
            <w:tcW w:w="1406" w:type="dxa"/>
            <w:shd w:val="clear" w:color="auto" w:fill="C6EFCE"/>
            <w:tcMar>
              <w:left w:w="108" w:type="dxa"/>
              <w:right w:w="108" w:type="dxa"/>
            </w:tcMar>
            <w:vAlign w:val="center"/>
          </w:tcPr>
          <w:p w14:paraId="137A263F" w14:textId="77777777" w:rsidR="0057163C" w:rsidRPr="00170422" w:rsidRDefault="00F37BF9">
            <w:pPr>
              <w:pStyle w:val="P68B1DB1-Normal121"/>
              <w:spacing w:after="0" w:line="240" w:lineRule="auto"/>
              <w:jc w:val="center"/>
              <w:rPr>
                <w:noProof/>
                <w:lang w:val="de-DE"/>
              </w:rPr>
            </w:pPr>
            <w:r w:rsidRPr="00170422">
              <w:rPr>
                <w:noProof/>
                <w:lang w:val="de-DE"/>
              </w:rPr>
              <w:t>M2C2-5</w:t>
            </w:r>
          </w:p>
        </w:tc>
        <w:tc>
          <w:tcPr>
            <w:tcW w:w="2268" w:type="dxa"/>
            <w:shd w:val="clear" w:color="auto" w:fill="C6EFCE"/>
            <w:tcMar>
              <w:left w:w="108" w:type="dxa"/>
              <w:right w:w="108" w:type="dxa"/>
            </w:tcMar>
            <w:vAlign w:val="center"/>
          </w:tcPr>
          <w:p w14:paraId="501A08C4" w14:textId="77777777" w:rsidR="0057163C" w:rsidRPr="00170422" w:rsidRDefault="00F37BF9">
            <w:pPr>
              <w:pStyle w:val="P68B1DB1-Normal121"/>
              <w:spacing w:after="0" w:line="240" w:lineRule="auto"/>
              <w:rPr>
                <w:noProof/>
                <w:lang w:val="de-DE"/>
              </w:rPr>
            </w:pPr>
            <w:r w:rsidRPr="00170422">
              <w:rPr>
                <w:noProof/>
                <w:lang w:val="de-DE"/>
              </w:rPr>
              <w:t>Investition 1.4 Entwicklung von Biomethan nach Kriterien für die Förderung der Kreislaufwirtschaft</w:t>
            </w:r>
          </w:p>
        </w:tc>
        <w:tc>
          <w:tcPr>
            <w:tcW w:w="2155" w:type="dxa"/>
            <w:shd w:val="clear" w:color="auto" w:fill="C6EFCE"/>
            <w:tcMar>
              <w:left w:w="108" w:type="dxa"/>
              <w:right w:w="108" w:type="dxa"/>
            </w:tcMar>
            <w:vAlign w:val="center"/>
          </w:tcPr>
          <w:p w14:paraId="11CF24CB" w14:textId="77777777" w:rsidR="0057163C" w:rsidRPr="00170422" w:rsidRDefault="00F37BF9">
            <w:pPr>
              <w:pStyle w:val="P68B1DB1-Normal121"/>
              <w:spacing w:after="0" w:line="240" w:lineRule="auto"/>
              <w:jc w:val="center"/>
              <w:rPr>
                <w:noProof/>
                <w:lang w:val="de-DE"/>
              </w:rPr>
            </w:pPr>
            <w:r w:rsidRPr="00170422">
              <w:rPr>
                <w:noProof/>
                <w:lang w:val="de-DE"/>
              </w:rPr>
              <w:t>Mei</w:t>
            </w:r>
            <w:r w:rsidRPr="00170422">
              <w:rPr>
                <w:noProof/>
                <w:lang w:val="de-DE"/>
              </w:rPr>
              <w:t>lenstein</w:t>
            </w:r>
          </w:p>
        </w:tc>
        <w:tc>
          <w:tcPr>
            <w:tcW w:w="3402" w:type="dxa"/>
            <w:shd w:val="clear" w:color="auto" w:fill="C6EFCE"/>
            <w:tcMar>
              <w:left w:w="108" w:type="dxa"/>
              <w:right w:w="108" w:type="dxa"/>
            </w:tcMar>
            <w:vAlign w:val="center"/>
          </w:tcPr>
          <w:p w14:paraId="52C32E33" w14:textId="77777777" w:rsidR="0057163C" w:rsidRPr="00170422" w:rsidRDefault="00F37BF9">
            <w:pPr>
              <w:pStyle w:val="P68B1DB1-Normal121"/>
              <w:spacing w:after="0" w:line="240" w:lineRule="auto"/>
              <w:rPr>
                <w:noProof/>
                <w:lang w:val="de-DE"/>
              </w:rPr>
            </w:pPr>
            <w:r w:rsidRPr="00170422">
              <w:rPr>
                <w:noProof/>
                <w:lang w:val="de-DE"/>
              </w:rPr>
              <w:t xml:space="preserve">Durchführungsvereinbarung, mit Endbegünstigten unterzeichnete rechtliche Vereinbarungen und Abschluss der Investitionen </w:t>
            </w:r>
          </w:p>
        </w:tc>
      </w:tr>
      <w:tr w:rsidR="0057163C" w:rsidRPr="00170422" w14:paraId="2CB00E77" w14:textId="77777777" w:rsidTr="00E7779A">
        <w:trPr>
          <w:trHeight w:val="300"/>
        </w:trPr>
        <w:tc>
          <w:tcPr>
            <w:tcW w:w="1406" w:type="dxa"/>
            <w:shd w:val="clear" w:color="auto" w:fill="C6EFCE"/>
            <w:tcMar>
              <w:left w:w="108" w:type="dxa"/>
              <w:right w:w="108" w:type="dxa"/>
            </w:tcMar>
            <w:vAlign w:val="center"/>
          </w:tcPr>
          <w:p w14:paraId="660222F4" w14:textId="77777777" w:rsidR="0057163C" w:rsidRPr="00170422" w:rsidRDefault="00F37BF9">
            <w:pPr>
              <w:pStyle w:val="P68B1DB1-Normal121"/>
              <w:spacing w:after="0" w:line="240" w:lineRule="auto"/>
              <w:jc w:val="center"/>
              <w:rPr>
                <w:noProof/>
                <w:lang w:val="de-DE"/>
              </w:rPr>
            </w:pPr>
            <w:r w:rsidRPr="00170422">
              <w:rPr>
                <w:noProof/>
                <w:lang w:val="de-DE"/>
              </w:rPr>
              <w:t>M2C2-17</w:t>
            </w:r>
          </w:p>
        </w:tc>
        <w:tc>
          <w:tcPr>
            <w:tcW w:w="2268" w:type="dxa"/>
            <w:shd w:val="clear" w:color="auto" w:fill="C6EFCE"/>
            <w:tcMar>
              <w:left w:w="108" w:type="dxa"/>
              <w:right w:w="108" w:type="dxa"/>
            </w:tcMar>
            <w:vAlign w:val="center"/>
          </w:tcPr>
          <w:p w14:paraId="7B03C620" w14:textId="77777777" w:rsidR="0057163C" w:rsidRPr="00170422" w:rsidRDefault="00F37BF9">
            <w:pPr>
              <w:pStyle w:val="P68B1DB1-Normal121"/>
              <w:spacing w:after="0" w:line="240" w:lineRule="auto"/>
              <w:rPr>
                <w:noProof/>
                <w:lang w:val="de-DE"/>
              </w:rPr>
            </w:pPr>
            <w:r w:rsidRPr="00170422">
              <w:rPr>
                <w:noProof/>
                <w:lang w:val="de-DE"/>
              </w:rPr>
              <w:t xml:space="preserve">Investition 3.4 Wasserstofftests für die Mobilität im Schienenverkehr und den Straßenverkehr </w:t>
            </w:r>
          </w:p>
        </w:tc>
        <w:tc>
          <w:tcPr>
            <w:tcW w:w="2155" w:type="dxa"/>
            <w:shd w:val="clear" w:color="auto" w:fill="C6EFCE"/>
            <w:tcMar>
              <w:left w:w="108" w:type="dxa"/>
              <w:right w:w="108" w:type="dxa"/>
            </w:tcMar>
            <w:vAlign w:val="center"/>
          </w:tcPr>
          <w:p w14:paraId="5AD4B18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2CAABA0B" w14:textId="77777777" w:rsidR="0057163C" w:rsidRPr="00170422" w:rsidRDefault="00F37BF9">
            <w:pPr>
              <w:pStyle w:val="P68B1DB1-Normal121"/>
              <w:spacing w:after="0" w:line="240" w:lineRule="auto"/>
              <w:rPr>
                <w:noProof/>
                <w:lang w:val="de-DE"/>
              </w:rPr>
            </w:pPr>
            <w:r w:rsidRPr="00170422">
              <w:rPr>
                <w:noProof/>
                <w:lang w:val="de-DE"/>
              </w:rPr>
              <w:t xml:space="preserve">Anzahl der gebauten Wasserstofftankstellen </w:t>
            </w:r>
          </w:p>
        </w:tc>
      </w:tr>
      <w:tr w:rsidR="0057163C" w:rsidRPr="00170422" w14:paraId="44EFDD55" w14:textId="77777777" w:rsidTr="00E7779A">
        <w:trPr>
          <w:trHeight w:val="300"/>
        </w:trPr>
        <w:tc>
          <w:tcPr>
            <w:tcW w:w="1406" w:type="dxa"/>
            <w:shd w:val="clear" w:color="auto" w:fill="C6EFCE"/>
            <w:tcMar>
              <w:left w:w="108" w:type="dxa"/>
              <w:right w:w="108" w:type="dxa"/>
            </w:tcMar>
            <w:vAlign w:val="center"/>
          </w:tcPr>
          <w:p w14:paraId="7927B63B" w14:textId="77777777" w:rsidR="0057163C" w:rsidRPr="00170422" w:rsidRDefault="00F37BF9">
            <w:pPr>
              <w:pStyle w:val="P68B1DB1-Normal121"/>
              <w:spacing w:after="0" w:line="240" w:lineRule="auto"/>
              <w:jc w:val="center"/>
              <w:rPr>
                <w:noProof/>
                <w:lang w:val="de-DE"/>
              </w:rPr>
            </w:pPr>
            <w:r w:rsidRPr="00170422">
              <w:rPr>
                <w:noProof/>
                <w:lang w:val="de-DE"/>
              </w:rPr>
              <w:t>M2C2-19</w:t>
            </w:r>
          </w:p>
        </w:tc>
        <w:tc>
          <w:tcPr>
            <w:tcW w:w="2268" w:type="dxa"/>
            <w:shd w:val="clear" w:color="auto" w:fill="C6EFCE"/>
            <w:tcMar>
              <w:left w:w="108" w:type="dxa"/>
              <w:right w:w="108" w:type="dxa"/>
            </w:tcMar>
            <w:vAlign w:val="center"/>
          </w:tcPr>
          <w:p w14:paraId="0386EED2" w14:textId="77777777" w:rsidR="0057163C" w:rsidRPr="00170422" w:rsidRDefault="00F37BF9">
            <w:pPr>
              <w:pStyle w:val="P68B1DB1-Normal121"/>
              <w:spacing w:after="0" w:line="240" w:lineRule="auto"/>
              <w:rPr>
                <w:noProof/>
                <w:lang w:val="de-DE"/>
              </w:rPr>
            </w:pPr>
            <w:r w:rsidRPr="00170422">
              <w:rPr>
                <w:noProof/>
                <w:lang w:val="de-DE"/>
              </w:rPr>
              <w:t>Investition 3.5 Wasserstoffforschung und -entwicklung</w:t>
            </w:r>
          </w:p>
        </w:tc>
        <w:tc>
          <w:tcPr>
            <w:tcW w:w="2155" w:type="dxa"/>
            <w:shd w:val="clear" w:color="auto" w:fill="C6EFCE"/>
            <w:tcMar>
              <w:left w:w="108" w:type="dxa"/>
              <w:right w:w="108" w:type="dxa"/>
            </w:tcMar>
            <w:vAlign w:val="center"/>
          </w:tcPr>
          <w:p w14:paraId="6A84ABA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EBA1CCD" w14:textId="77777777" w:rsidR="0057163C" w:rsidRPr="00170422" w:rsidRDefault="00F37BF9">
            <w:pPr>
              <w:pStyle w:val="P68B1DB1-Normal121"/>
              <w:spacing w:after="0" w:line="240" w:lineRule="auto"/>
              <w:rPr>
                <w:noProof/>
                <w:lang w:val="de-DE"/>
              </w:rPr>
            </w:pPr>
            <w:r w:rsidRPr="00170422">
              <w:rPr>
                <w:noProof/>
                <w:lang w:val="de-DE"/>
              </w:rPr>
              <w:t>Anzahl der Projekte für Forschung und Entwicklung im Bereich Wasserstoff</w:t>
            </w:r>
          </w:p>
        </w:tc>
      </w:tr>
      <w:tr w:rsidR="0057163C" w:rsidRPr="00170422" w14:paraId="0572EFB5" w14:textId="77777777" w:rsidTr="00E7779A">
        <w:trPr>
          <w:trHeight w:val="300"/>
        </w:trPr>
        <w:tc>
          <w:tcPr>
            <w:tcW w:w="1406" w:type="dxa"/>
            <w:shd w:val="clear" w:color="auto" w:fill="C6EFCE"/>
            <w:tcMar>
              <w:left w:w="108" w:type="dxa"/>
              <w:right w:w="108" w:type="dxa"/>
            </w:tcMar>
            <w:vAlign w:val="center"/>
          </w:tcPr>
          <w:p w14:paraId="410ADF45" w14:textId="77777777" w:rsidR="0057163C" w:rsidRPr="00170422" w:rsidRDefault="00F37BF9">
            <w:pPr>
              <w:pStyle w:val="P68B1DB1-Normal121"/>
              <w:spacing w:after="0" w:line="240" w:lineRule="auto"/>
              <w:jc w:val="center"/>
              <w:rPr>
                <w:noProof/>
                <w:lang w:val="de-DE"/>
              </w:rPr>
            </w:pPr>
            <w:r w:rsidRPr="00170422">
              <w:rPr>
                <w:noProof/>
                <w:lang w:val="de-DE"/>
              </w:rPr>
              <w:t>M2C2-26</w:t>
            </w:r>
          </w:p>
        </w:tc>
        <w:tc>
          <w:tcPr>
            <w:tcW w:w="2268" w:type="dxa"/>
            <w:shd w:val="clear" w:color="auto" w:fill="C6EFCE"/>
            <w:tcMar>
              <w:left w:w="108" w:type="dxa"/>
              <w:right w:w="108" w:type="dxa"/>
            </w:tcMar>
            <w:vAlign w:val="center"/>
          </w:tcPr>
          <w:p w14:paraId="5924284A" w14:textId="77777777" w:rsidR="0057163C" w:rsidRPr="00170422" w:rsidRDefault="00F37BF9">
            <w:pPr>
              <w:pStyle w:val="P68B1DB1-Normal121"/>
              <w:spacing w:after="0" w:line="240" w:lineRule="auto"/>
              <w:rPr>
                <w:noProof/>
                <w:lang w:val="de-DE"/>
              </w:rPr>
            </w:pPr>
            <w:r w:rsidRPr="00170422">
              <w:rPr>
                <w:noProof/>
                <w:lang w:val="de-DE"/>
              </w:rPr>
              <w:t xml:space="preserve">Investition 4.2 Entwicklung schneller Massentransportsysteme </w:t>
            </w:r>
          </w:p>
        </w:tc>
        <w:tc>
          <w:tcPr>
            <w:tcW w:w="2155" w:type="dxa"/>
            <w:shd w:val="clear" w:color="auto" w:fill="C6EFCE"/>
            <w:tcMar>
              <w:left w:w="108" w:type="dxa"/>
              <w:right w:w="108" w:type="dxa"/>
            </w:tcMar>
            <w:vAlign w:val="center"/>
          </w:tcPr>
          <w:p w14:paraId="5B2A90F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0B0978FB" w14:textId="77777777" w:rsidR="0057163C" w:rsidRPr="00170422" w:rsidRDefault="00F37BF9">
            <w:pPr>
              <w:pStyle w:val="P68B1DB1-Normal121"/>
              <w:spacing w:after="0" w:line="240" w:lineRule="auto"/>
              <w:rPr>
                <w:noProof/>
                <w:lang w:val="de-DE"/>
              </w:rPr>
            </w:pPr>
            <w:r w:rsidRPr="00170422">
              <w:rPr>
                <w:noProof/>
                <w:lang w:val="de-DE"/>
              </w:rPr>
              <w:t xml:space="preserve">Öffentliche Infrastruktur für die rasche Entwicklung des Massentransports, gebaute oder ausgebaute Schienenfahrzeuge </w:t>
            </w:r>
          </w:p>
        </w:tc>
      </w:tr>
      <w:tr w:rsidR="0057163C" w:rsidRPr="00170422" w14:paraId="6D0406AA" w14:textId="77777777" w:rsidTr="00E7779A">
        <w:trPr>
          <w:trHeight w:val="300"/>
        </w:trPr>
        <w:tc>
          <w:tcPr>
            <w:tcW w:w="1406" w:type="dxa"/>
            <w:shd w:val="clear" w:color="auto" w:fill="C6EFCE"/>
            <w:tcMar>
              <w:left w:w="108" w:type="dxa"/>
              <w:right w:w="108" w:type="dxa"/>
            </w:tcMar>
            <w:vAlign w:val="center"/>
          </w:tcPr>
          <w:p w14:paraId="2562A0E9" w14:textId="77777777" w:rsidR="0057163C" w:rsidRPr="00170422" w:rsidRDefault="00F37BF9">
            <w:pPr>
              <w:pStyle w:val="P68B1DB1-Normal121"/>
              <w:spacing w:after="0" w:line="240" w:lineRule="auto"/>
              <w:jc w:val="center"/>
              <w:rPr>
                <w:noProof/>
                <w:lang w:val="de-DE"/>
              </w:rPr>
            </w:pPr>
            <w:r w:rsidRPr="00170422">
              <w:rPr>
                <w:noProof/>
                <w:lang w:val="de-DE"/>
              </w:rPr>
              <w:t>M2C2-35 bis</w:t>
            </w:r>
          </w:p>
        </w:tc>
        <w:tc>
          <w:tcPr>
            <w:tcW w:w="2268" w:type="dxa"/>
            <w:shd w:val="clear" w:color="auto" w:fill="C6EFCE"/>
            <w:tcMar>
              <w:left w:w="108" w:type="dxa"/>
              <w:right w:w="108" w:type="dxa"/>
            </w:tcMar>
            <w:vAlign w:val="center"/>
          </w:tcPr>
          <w:p w14:paraId="53C3E049" w14:textId="77777777" w:rsidR="0057163C" w:rsidRPr="00170422" w:rsidRDefault="00F37BF9">
            <w:pPr>
              <w:pStyle w:val="P68B1DB1-Normal121"/>
              <w:spacing w:after="0" w:line="240" w:lineRule="auto"/>
              <w:rPr>
                <w:noProof/>
                <w:lang w:val="de-DE"/>
              </w:rPr>
            </w:pPr>
            <w:r w:rsidRPr="00170422">
              <w:rPr>
                <w:noProof/>
                <w:lang w:val="de-DE"/>
              </w:rPr>
              <w:t xml:space="preserve">Investition 4.4.2:  Stärkung der regionalen Eisenbahnflotte des öffentlichen Verkehrs mit emissionsfreien Zügen </w:t>
            </w:r>
            <w:r w:rsidRPr="00170422">
              <w:rPr>
                <w:noProof/>
                <w:lang w:val="de-DE"/>
              </w:rPr>
              <w:t>und Universaldienst</w:t>
            </w:r>
          </w:p>
        </w:tc>
        <w:tc>
          <w:tcPr>
            <w:tcW w:w="2155" w:type="dxa"/>
            <w:shd w:val="clear" w:color="auto" w:fill="C6EFCE"/>
            <w:tcMar>
              <w:left w:w="108" w:type="dxa"/>
              <w:right w:w="108" w:type="dxa"/>
            </w:tcMar>
            <w:vAlign w:val="center"/>
          </w:tcPr>
          <w:p w14:paraId="1C8041F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F6F545A" w14:textId="77777777" w:rsidR="0057163C" w:rsidRPr="00170422" w:rsidRDefault="00F37BF9">
            <w:pPr>
              <w:pStyle w:val="P68B1DB1-Normal121"/>
              <w:spacing w:after="0" w:line="240" w:lineRule="auto"/>
              <w:rPr>
                <w:noProof/>
                <w:lang w:val="de-DE"/>
              </w:rPr>
            </w:pPr>
            <w:r w:rsidRPr="00170422">
              <w:rPr>
                <w:noProof/>
                <w:lang w:val="de-DE"/>
              </w:rPr>
              <w:t xml:space="preserve">Anzahl der zugelassenen Züge </w:t>
            </w:r>
          </w:p>
        </w:tc>
      </w:tr>
      <w:tr w:rsidR="0057163C" w:rsidRPr="00170422" w14:paraId="071C21F0" w14:textId="77777777" w:rsidTr="00E7779A">
        <w:trPr>
          <w:trHeight w:val="300"/>
        </w:trPr>
        <w:tc>
          <w:tcPr>
            <w:tcW w:w="1406" w:type="dxa"/>
            <w:shd w:val="clear" w:color="auto" w:fill="C6EFCE"/>
            <w:tcMar>
              <w:left w:w="108" w:type="dxa"/>
              <w:right w:w="108" w:type="dxa"/>
            </w:tcMar>
            <w:vAlign w:val="center"/>
          </w:tcPr>
          <w:p w14:paraId="4E809F45" w14:textId="77777777" w:rsidR="0057163C" w:rsidRPr="00170422" w:rsidRDefault="00F37BF9">
            <w:pPr>
              <w:pStyle w:val="P68B1DB1-Normal121"/>
              <w:spacing w:after="0" w:line="240" w:lineRule="auto"/>
              <w:jc w:val="center"/>
              <w:rPr>
                <w:noProof/>
                <w:lang w:val="de-DE"/>
              </w:rPr>
            </w:pPr>
            <w:r w:rsidRPr="00170422">
              <w:rPr>
                <w:noProof/>
                <w:lang w:val="de-DE"/>
              </w:rPr>
              <w:t>M2C2-40</w:t>
            </w:r>
          </w:p>
        </w:tc>
        <w:tc>
          <w:tcPr>
            <w:tcW w:w="2268" w:type="dxa"/>
            <w:shd w:val="clear" w:color="auto" w:fill="C6EFCE"/>
            <w:tcMar>
              <w:left w:w="108" w:type="dxa"/>
              <w:right w:w="108" w:type="dxa"/>
            </w:tcMar>
            <w:vAlign w:val="center"/>
          </w:tcPr>
          <w:p w14:paraId="376AE91E" w14:textId="77777777" w:rsidR="0057163C" w:rsidRPr="00170422" w:rsidRDefault="00F37BF9">
            <w:pPr>
              <w:pStyle w:val="P68B1DB1-Normal121"/>
              <w:spacing w:after="0" w:line="240" w:lineRule="auto"/>
              <w:rPr>
                <w:noProof/>
                <w:lang w:val="de-DE"/>
              </w:rPr>
            </w:pPr>
            <w:r w:rsidRPr="00170422">
              <w:rPr>
                <w:noProof/>
                <w:lang w:val="de-DE"/>
              </w:rPr>
              <w:t>Investition 5.1. Unterstützung des Produktionssystems für den ökologischen Wandel, Netto-Null-Technologien sowie Wettbewerbsfähigkeit und Resilienz strategischer Lieferketten</w:t>
            </w:r>
          </w:p>
        </w:tc>
        <w:tc>
          <w:tcPr>
            <w:tcW w:w="2155" w:type="dxa"/>
            <w:shd w:val="clear" w:color="auto" w:fill="C6EFCE"/>
            <w:tcMar>
              <w:left w:w="108" w:type="dxa"/>
              <w:right w:w="108" w:type="dxa"/>
            </w:tcMar>
            <w:vAlign w:val="center"/>
          </w:tcPr>
          <w:p w14:paraId="1B7DEF9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95CC5C6" w14:textId="77777777" w:rsidR="0057163C" w:rsidRPr="00170422" w:rsidRDefault="00F37BF9">
            <w:pPr>
              <w:pStyle w:val="P68B1DB1-Normal121"/>
              <w:spacing w:after="0" w:line="240" w:lineRule="auto"/>
              <w:rPr>
                <w:noProof/>
                <w:lang w:val="de-DE"/>
              </w:rPr>
            </w:pPr>
            <w:r w:rsidRPr="00170422">
              <w:rPr>
                <w:noProof/>
                <w:lang w:val="de-DE"/>
              </w:rPr>
              <w:t>Änderung der</w:t>
            </w:r>
            <w:r w:rsidRPr="00170422">
              <w:rPr>
                <w:noProof/>
                <w:lang w:val="de-DE"/>
              </w:rPr>
              <w:t xml:space="preserve"> Durchführungsvereinbarung, mit den Endbegünstigten unterzeichnete rechtliche Vereinbarungen</w:t>
            </w:r>
          </w:p>
        </w:tc>
      </w:tr>
      <w:tr w:rsidR="0057163C" w:rsidRPr="00170422" w14:paraId="3580A672" w14:textId="77777777" w:rsidTr="00E7779A">
        <w:trPr>
          <w:trHeight w:val="300"/>
        </w:trPr>
        <w:tc>
          <w:tcPr>
            <w:tcW w:w="1406" w:type="dxa"/>
            <w:shd w:val="clear" w:color="auto" w:fill="C6EFCE"/>
            <w:tcMar>
              <w:left w:w="108" w:type="dxa"/>
              <w:right w:w="108" w:type="dxa"/>
            </w:tcMar>
            <w:vAlign w:val="center"/>
          </w:tcPr>
          <w:p w14:paraId="5D4EA1F8" w14:textId="77777777" w:rsidR="0057163C" w:rsidRPr="00170422" w:rsidRDefault="00F37BF9">
            <w:pPr>
              <w:pStyle w:val="P68B1DB1-Normal121"/>
              <w:spacing w:after="0" w:line="240" w:lineRule="auto"/>
              <w:jc w:val="center"/>
              <w:rPr>
                <w:noProof/>
                <w:lang w:val="de-DE"/>
              </w:rPr>
            </w:pPr>
            <w:r w:rsidRPr="00170422">
              <w:rPr>
                <w:noProof/>
                <w:lang w:val="de-DE"/>
              </w:rPr>
              <w:t>M2C2-43</w:t>
            </w:r>
          </w:p>
        </w:tc>
        <w:tc>
          <w:tcPr>
            <w:tcW w:w="2268" w:type="dxa"/>
            <w:shd w:val="clear" w:color="auto" w:fill="C6EFCE"/>
            <w:tcMar>
              <w:left w:w="108" w:type="dxa"/>
              <w:right w:w="108" w:type="dxa"/>
            </w:tcMar>
            <w:vAlign w:val="center"/>
          </w:tcPr>
          <w:p w14:paraId="2CA88043" w14:textId="77777777" w:rsidR="0057163C" w:rsidRPr="00170422" w:rsidRDefault="00F37BF9">
            <w:pPr>
              <w:pStyle w:val="P68B1DB1-Normal121"/>
              <w:spacing w:after="0" w:line="240" w:lineRule="auto"/>
              <w:rPr>
                <w:noProof/>
                <w:lang w:val="de-DE"/>
              </w:rPr>
            </w:pPr>
            <w:r w:rsidRPr="00170422">
              <w:rPr>
                <w:noProof/>
                <w:lang w:val="de-DE"/>
              </w:rPr>
              <w:t>Investition 5.4 – Eigenkapitalzufuhr in den Fonds für den grünen Wandel (GTF)</w:t>
            </w:r>
          </w:p>
        </w:tc>
        <w:tc>
          <w:tcPr>
            <w:tcW w:w="2155" w:type="dxa"/>
            <w:shd w:val="clear" w:color="auto" w:fill="C6EFCE"/>
            <w:tcMar>
              <w:left w:w="108" w:type="dxa"/>
              <w:right w:w="108" w:type="dxa"/>
            </w:tcMar>
            <w:vAlign w:val="center"/>
          </w:tcPr>
          <w:p w14:paraId="574D43A9"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4A298283" w14:textId="77777777" w:rsidR="0057163C" w:rsidRPr="00170422" w:rsidRDefault="00F37BF9">
            <w:pPr>
              <w:pStyle w:val="P68B1DB1-Normal121"/>
              <w:spacing w:after="0" w:line="240" w:lineRule="auto"/>
              <w:rPr>
                <w:noProof/>
                <w:lang w:val="de-DE"/>
              </w:rPr>
            </w:pPr>
            <w:r w:rsidRPr="00170422">
              <w:rPr>
                <w:noProof/>
                <w:lang w:val="de-DE"/>
              </w:rPr>
              <w:t>Verabschiedung eines Berichts</w:t>
            </w:r>
          </w:p>
        </w:tc>
      </w:tr>
      <w:tr w:rsidR="0057163C" w:rsidRPr="00170422" w14:paraId="19A06E8E" w14:textId="77777777" w:rsidTr="00E7779A">
        <w:trPr>
          <w:trHeight w:val="300"/>
        </w:trPr>
        <w:tc>
          <w:tcPr>
            <w:tcW w:w="1406" w:type="dxa"/>
            <w:shd w:val="clear" w:color="auto" w:fill="C6EFCE"/>
            <w:tcMar>
              <w:left w:w="108" w:type="dxa"/>
              <w:right w:w="108" w:type="dxa"/>
            </w:tcMar>
            <w:vAlign w:val="center"/>
          </w:tcPr>
          <w:p w14:paraId="237E2880" w14:textId="77777777" w:rsidR="0057163C" w:rsidRPr="00170422" w:rsidRDefault="00F37BF9">
            <w:pPr>
              <w:pStyle w:val="P68B1DB1-Normal121"/>
              <w:spacing w:after="0" w:line="240" w:lineRule="auto"/>
              <w:jc w:val="center"/>
              <w:rPr>
                <w:noProof/>
                <w:lang w:val="de-DE"/>
              </w:rPr>
            </w:pPr>
            <w:r w:rsidRPr="00170422">
              <w:rPr>
                <w:noProof/>
                <w:lang w:val="de-DE"/>
              </w:rPr>
              <w:t>M2C2-47</w:t>
            </w:r>
          </w:p>
        </w:tc>
        <w:tc>
          <w:tcPr>
            <w:tcW w:w="2268" w:type="dxa"/>
            <w:shd w:val="clear" w:color="auto" w:fill="C6EFCE"/>
            <w:tcMar>
              <w:left w:w="108" w:type="dxa"/>
              <w:right w:w="108" w:type="dxa"/>
            </w:tcMar>
            <w:vAlign w:val="center"/>
          </w:tcPr>
          <w:p w14:paraId="39E47C1C" w14:textId="77777777" w:rsidR="0057163C" w:rsidRPr="00170422" w:rsidRDefault="00F37BF9">
            <w:pPr>
              <w:pStyle w:val="P68B1DB1-Normal121"/>
              <w:spacing w:after="0" w:line="240" w:lineRule="auto"/>
              <w:rPr>
                <w:noProof/>
                <w:lang w:val="de-DE"/>
              </w:rPr>
            </w:pPr>
            <w:r w:rsidRPr="00170422">
              <w:rPr>
                <w:noProof/>
                <w:lang w:val="de-DE"/>
              </w:rPr>
              <w:t>Investition 1.2 Förderung</w:t>
            </w:r>
            <w:r w:rsidRPr="00170422">
              <w:rPr>
                <w:noProof/>
                <w:lang w:val="de-DE"/>
              </w:rPr>
              <w:t xml:space="preserve"> erneuerbarer Energien für Energiegemeinschaften und gemeinsam handelnde Eigenverbraucher erneuerbarer Energien</w:t>
            </w:r>
          </w:p>
        </w:tc>
        <w:tc>
          <w:tcPr>
            <w:tcW w:w="2155" w:type="dxa"/>
            <w:shd w:val="clear" w:color="auto" w:fill="C6EFCE"/>
            <w:tcMar>
              <w:left w:w="108" w:type="dxa"/>
              <w:right w:w="108" w:type="dxa"/>
            </w:tcMar>
            <w:vAlign w:val="center"/>
          </w:tcPr>
          <w:p w14:paraId="0D7A0E3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E7F6DB5" w14:textId="74337046" w:rsidR="0057163C" w:rsidRPr="00170422" w:rsidRDefault="00F37BF9">
            <w:pPr>
              <w:pStyle w:val="P68B1DB1-Normal121"/>
              <w:spacing w:after="0" w:line="240" w:lineRule="auto"/>
              <w:rPr>
                <w:noProof/>
                <w:lang w:val="de-DE"/>
              </w:rPr>
            </w:pPr>
            <w:r w:rsidRPr="00170422">
              <w:rPr>
                <w:noProof/>
                <w:lang w:val="de-DE"/>
              </w:rPr>
              <w:t>Installation neuer Stromerzeugungskapazitäten aus erneuerbaren Energiequellen in Energiegemeinschaften und gemeinsam handelnden Eigenversor</w:t>
            </w:r>
            <w:r w:rsidRPr="00170422">
              <w:rPr>
                <w:noProof/>
                <w:lang w:val="de-DE"/>
              </w:rPr>
              <w:t>gern im Bereich erneuerbare Energie</w:t>
            </w:r>
          </w:p>
        </w:tc>
      </w:tr>
      <w:tr w:rsidR="0057163C" w:rsidRPr="00170422" w14:paraId="35D795BA" w14:textId="77777777" w:rsidTr="00E7779A">
        <w:trPr>
          <w:trHeight w:val="300"/>
        </w:trPr>
        <w:tc>
          <w:tcPr>
            <w:tcW w:w="1406" w:type="dxa"/>
            <w:shd w:val="clear" w:color="auto" w:fill="C6EFCE"/>
            <w:tcMar>
              <w:left w:w="108" w:type="dxa"/>
              <w:right w:w="108" w:type="dxa"/>
            </w:tcMar>
            <w:vAlign w:val="center"/>
          </w:tcPr>
          <w:p w14:paraId="3ABE0119" w14:textId="77777777" w:rsidR="0057163C" w:rsidRPr="00170422" w:rsidRDefault="00F37BF9">
            <w:pPr>
              <w:pStyle w:val="P68B1DB1-Normal121"/>
              <w:spacing w:after="0" w:line="240" w:lineRule="auto"/>
              <w:jc w:val="center"/>
              <w:rPr>
                <w:noProof/>
                <w:lang w:val="de-DE"/>
              </w:rPr>
            </w:pPr>
            <w:r w:rsidRPr="00170422">
              <w:rPr>
                <w:noProof/>
                <w:lang w:val="de-DE"/>
              </w:rPr>
              <w:t>M2C2-49</w:t>
            </w:r>
          </w:p>
        </w:tc>
        <w:tc>
          <w:tcPr>
            <w:tcW w:w="2268" w:type="dxa"/>
            <w:shd w:val="clear" w:color="auto" w:fill="C6EFCE"/>
            <w:tcMar>
              <w:left w:w="108" w:type="dxa"/>
              <w:right w:w="108" w:type="dxa"/>
            </w:tcMar>
            <w:vAlign w:val="center"/>
          </w:tcPr>
          <w:p w14:paraId="263CE8CF" w14:textId="77777777" w:rsidR="0057163C" w:rsidRPr="00170422" w:rsidRDefault="00F37BF9">
            <w:pPr>
              <w:pStyle w:val="P68B1DB1-Normal121"/>
              <w:spacing w:after="0" w:line="240" w:lineRule="auto"/>
              <w:rPr>
                <w:noProof/>
                <w:lang w:val="de-DE"/>
              </w:rPr>
            </w:pPr>
            <w:r w:rsidRPr="00170422">
              <w:rPr>
                <w:noProof/>
                <w:lang w:val="de-DE"/>
              </w:rPr>
              <w:t>Investition 3.1 Herstellung von Wasserstoff in Industriebrachen (Hydrogen Valleys)</w:t>
            </w:r>
          </w:p>
        </w:tc>
        <w:tc>
          <w:tcPr>
            <w:tcW w:w="2155" w:type="dxa"/>
            <w:shd w:val="clear" w:color="auto" w:fill="C6EFCE"/>
            <w:tcMar>
              <w:left w:w="108" w:type="dxa"/>
              <w:right w:w="108" w:type="dxa"/>
            </w:tcMar>
            <w:vAlign w:val="center"/>
          </w:tcPr>
          <w:p w14:paraId="09BC270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2327C4F" w14:textId="77777777" w:rsidR="0057163C" w:rsidRPr="00170422" w:rsidRDefault="00F37BF9">
            <w:pPr>
              <w:pStyle w:val="P68B1DB1-Normal121"/>
              <w:spacing w:after="0" w:line="240" w:lineRule="auto"/>
              <w:rPr>
                <w:noProof/>
                <w:lang w:val="de-DE"/>
              </w:rPr>
            </w:pPr>
            <w:r w:rsidRPr="00170422">
              <w:rPr>
                <w:noProof/>
                <w:lang w:val="de-DE"/>
              </w:rPr>
              <w:t xml:space="preserve">Durchgeführtes Projekt </w:t>
            </w:r>
          </w:p>
        </w:tc>
      </w:tr>
      <w:tr w:rsidR="0057163C" w:rsidRPr="00170422" w14:paraId="556B773A" w14:textId="77777777" w:rsidTr="00E7779A">
        <w:trPr>
          <w:trHeight w:val="300"/>
        </w:trPr>
        <w:tc>
          <w:tcPr>
            <w:tcW w:w="1406" w:type="dxa"/>
            <w:shd w:val="clear" w:color="auto" w:fill="C6EFCE"/>
            <w:tcMar>
              <w:left w:w="108" w:type="dxa"/>
              <w:right w:w="108" w:type="dxa"/>
            </w:tcMar>
            <w:vAlign w:val="center"/>
          </w:tcPr>
          <w:p w14:paraId="2A97CECC" w14:textId="77777777" w:rsidR="0057163C" w:rsidRPr="00170422" w:rsidRDefault="00F37BF9">
            <w:pPr>
              <w:pStyle w:val="P68B1DB1-Normal121"/>
              <w:spacing w:after="0" w:line="240" w:lineRule="auto"/>
              <w:jc w:val="center"/>
              <w:rPr>
                <w:noProof/>
                <w:lang w:val="de-DE"/>
              </w:rPr>
            </w:pPr>
            <w:r w:rsidRPr="00170422">
              <w:rPr>
                <w:noProof/>
                <w:lang w:val="de-DE"/>
              </w:rPr>
              <w:t>M2C2-53</w:t>
            </w:r>
          </w:p>
        </w:tc>
        <w:tc>
          <w:tcPr>
            <w:tcW w:w="2268" w:type="dxa"/>
            <w:shd w:val="clear" w:color="auto" w:fill="C6EFCE"/>
            <w:tcMar>
              <w:left w:w="108" w:type="dxa"/>
              <w:right w:w="108" w:type="dxa"/>
            </w:tcMar>
            <w:vAlign w:val="center"/>
          </w:tcPr>
          <w:p w14:paraId="1CE533DD" w14:textId="77777777" w:rsidR="0057163C" w:rsidRPr="00170422" w:rsidRDefault="00F37BF9">
            <w:pPr>
              <w:pStyle w:val="P68B1DB1-Normal121"/>
              <w:spacing w:after="0" w:line="240" w:lineRule="auto"/>
              <w:rPr>
                <w:noProof/>
                <w:lang w:val="de-DE"/>
              </w:rPr>
            </w:pPr>
            <w:r w:rsidRPr="00170422">
              <w:rPr>
                <w:noProof/>
                <w:lang w:val="de-DE"/>
              </w:rPr>
              <w:t>Investition 5.2 Wasserstoff</w:t>
            </w:r>
          </w:p>
        </w:tc>
        <w:tc>
          <w:tcPr>
            <w:tcW w:w="2155" w:type="dxa"/>
            <w:shd w:val="clear" w:color="auto" w:fill="C6EFCE"/>
            <w:tcMar>
              <w:left w:w="108" w:type="dxa"/>
              <w:right w:w="108" w:type="dxa"/>
            </w:tcMar>
            <w:vAlign w:val="center"/>
          </w:tcPr>
          <w:p w14:paraId="2003714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F1CF839" w14:textId="77777777" w:rsidR="0057163C" w:rsidRPr="00170422" w:rsidRDefault="00F37BF9">
            <w:pPr>
              <w:pStyle w:val="P68B1DB1-Normal121"/>
              <w:spacing w:after="0" w:line="240" w:lineRule="auto"/>
              <w:rPr>
                <w:noProof/>
                <w:lang w:val="de-DE"/>
              </w:rPr>
            </w:pPr>
            <w:r w:rsidRPr="00170422">
              <w:rPr>
                <w:noProof/>
                <w:lang w:val="de-DE"/>
              </w:rPr>
              <w:t xml:space="preserve">Gebaute Industrieanlage </w:t>
            </w:r>
          </w:p>
        </w:tc>
      </w:tr>
      <w:tr w:rsidR="0057163C" w:rsidRPr="00170422" w14:paraId="00208443" w14:textId="77777777" w:rsidTr="00E7779A">
        <w:trPr>
          <w:trHeight w:val="300"/>
        </w:trPr>
        <w:tc>
          <w:tcPr>
            <w:tcW w:w="1406" w:type="dxa"/>
            <w:shd w:val="clear" w:color="auto" w:fill="C6EFCE"/>
            <w:tcMar>
              <w:left w:w="108" w:type="dxa"/>
              <w:right w:w="108" w:type="dxa"/>
            </w:tcMar>
            <w:vAlign w:val="center"/>
          </w:tcPr>
          <w:p w14:paraId="16C9C1B7" w14:textId="77777777" w:rsidR="0057163C" w:rsidRPr="00170422" w:rsidRDefault="00F37BF9">
            <w:pPr>
              <w:pStyle w:val="P68B1DB1-Normal121"/>
              <w:spacing w:after="0" w:line="240" w:lineRule="auto"/>
              <w:jc w:val="center"/>
              <w:rPr>
                <w:noProof/>
                <w:lang w:val="de-DE"/>
              </w:rPr>
            </w:pPr>
            <w:r w:rsidRPr="00170422">
              <w:rPr>
                <w:noProof/>
                <w:lang w:val="de-DE"/>
              </w:rPr>
              <w:t>M2C4-6bis</w:t>
            </w:r>
          </w:p>
        </w:tc>
        <w:tc>
          <w:tcPr>
            <w:tcW w:w="2268" w:type="dxa"/>
            <w:shd w:val="clear" w:color="auto" w:fill="C6EFCE"/>
            <w:tcMar>
              <w:left w:w="108" w:type="dxa"/>
              <w:right w:w="108" w:type="dxa"/>
            </w:tcMar>
            <w:vAlign w:val="center"/>
          </w:tcPr>
          <w:p w14:paraId="5519548F" w14:textId="77777777" w:rsidR="0057163C" w:rsidRPr="00170422" w:rsidRDefault="00F37BF9">
            <w:pPr>
              <w:pStyle w:val="P68B1DB1-Normal121"/>
              <w:spacing w:after="0" w:line="240" w:lineRule="auto"/>
              <w:rPr>
                <w:noProof/>
                <w:lang w:val="de-DE"/>
              </w:rPr>
            </w:pPr>
            <w:r w:rsidRPr="00170422">
              <w:rPr>
                <w:noProof/>
                <w:lang w:val="de-DE"/>
              </w:rPr>
              <w:t xml:space="preserve">Investition 3.2: </w:t>
            </w:r>
            <w:r w:rsidRPr="00170422">
              <w:rPr>
                <w:noProof/>
                <w:lang w:val="de-DE"/>
              </w:rPr>
              <w:t>Digitalisierung von Nationalparks</w:t>
            </w:r>
          </w:p>
        </w:tc>
        <w:tc>
          <w:tcPr>
            <w:tcW w:w="2155" w:type="dxa"/>
            <w:shd w:val="clear" w:color="auto" w:fill="C6EFCE"/>
            <w:tcMar>
              <w:left w:w="108" w:type="dxa"/>
              <w:right w:w="108" w:type="dxa"/>
            </w:tcMar>
            <w:vAlign w:val="center"/>
          </w:tcPr>
          <w:p w14:paraId="47CDCBF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3D1595CC" w14:textId="77777777" w:rsidR="0057163C" w:rsidRPr="00170422" w:rsidRDefault="00F37BF9">
            <w:pPr>
              <w:pStyle w:val="P68B1DB1-Normal121"/>
              <w:spacing w:after="0" w:line="240" w:lineRule="auto"/>
              <w:rPr>
                <w:noProof/>
                <w:lang w:val="de-DE"/>
              </w:rPr>
            </w:pPr>
            <w:r w:rsidRPr="00170422">
              <w:rPr>
                <w:noProof/>
                <w:lang w:val="de-DE"/>
              </w:rPr>
              <w:t>Maßnahmen im Zusammenhang mit der Erhaltung der Natur und der Überwachung der bereitgestellten natürlichen Ressourcen</w:t>
            </w:r>
          </w:p>
        </w:tc>
      </w:tr>
      <w:tr w:rsidR="0057163C" w:rsidRPr="00170422" w14:paraId="37EA69B9" w14:textId="77777777" w:rsidTr="00E7779A">
        <w:trPr>
          <w:trHeight w:val="300"/>
        </w:trPr>
        <w:tc>
          <w:tcPr>
            <w:tcW w:w="1406" w:type="dxa"/>
            <w:shd w:val="clear" w:color="auto" w:fill="C6EFCE"/>
            <w:tcMar>
              <w:left w:w="108" w:type="dxa"/>
              <w:right w:w="108" w:type="dxa"/>
            </w:tcMar>
            <w:vAlign w:val="center"/>
          </w:tcPr>
          <w:p w14:paraId="7A7EA6F3" w14:textId="77777777" w:rsidR="0057163C" w:rsidRPr="00170422" w:rsidRDefault="00F37BF9">
            <w:pPr>
              <w:pStyle w:val="P68B1DB1-Normal121"/>
              <w:spacing w:after="0" w:line="240" w:lineRule="auto"/>
              <w:jc w:val="center"/>
              <w:rPr>
                <w:noProof/>
                <w:lang w:val="de-DE"/>
              </w:rPr>
            </w:pPr>
            <w:r w:rsidRPr="00170422">
              <w:rPr>
                <w:noProof/>
                <w:lang w:val="de-DE"/>
              </w:rPr>
              <w:t>M2C4-11bis</w:t>
            </w:r>
          </w:p>
        </w:tc>
        <w:tc>
          <w:tcPr>
            <w:tcW w:w="2268" w:type="dxa"/>
            <w:shd w:val="clear" w:color="auto" w:fill="C6EFCE"/>
            <w:tcMar>
              <w:left w:w="108" w:type="dxa"/>
              <w:right w:w="108" w:type="dxa"/>
            </w:tcMar>
            <w:vAlign w:val="center"/>
          </w:tcPr>
          <w:p w14:paraId="67D7A359" w14:textId="77777777" w:rsidR="0057163C" w:rsidRPr="00170422" w:rsidRDefault="00F37BF9">
            <w:pPr>
              <w:pStyle w:val="P68B1DB1-Normal121"/>
              <w:spacing w:after="0" w:line="240" w:lineRule="auto"/>
              <w:rPr>
                <w:noProof/>
                <w:lang w:val="de-DE"/>
              </w:rPr>
            </w:pPr>
            <w:r w:rsidRPr="00170422">
              <w:rPr>
                <w:noProof/>
                <w:lang w:val="de-DE"/>
              </w:rPr>
              <w:t xml:space="preserve">Investition 2.1.a Maßnahmen zur Verringerung des Hochwasserrisikos und des </w:t>
            </w:r>
            <w:r w:rsidRPr="00170422">
              <w:rPr>
                <w:noProof/>
                <w:lang w:val="de-DE"/>
              </w:rPr>
              <w:t>hydrogeologischen Risikos – Interventionen in der Emilia-Romagna, Toskana und Marken</w:t>
            </w:r>
          </w:p>
        </w:tc>
        <w:tc>
          <w:tcPr>
            <w:tcW w:w="2155" w:type="dxa"/>
            <w:shd w:val="clear" w:color="auto" w:fill="C6EFCE"/>
            <w:tcMar>
              <w:left w:w="108" w:type="dxa"/>
              <w:right w:w="108" w:type="dxa"/>
            </w:tcMar>
            <w:vAlign w:val="center"/>
          </w:tcPr>
          <w:p w14:paraId="56A28B4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4C65652" w14:textId="77777777" w:rsidR="0057163C" w:rsidRPr="00170422" w:rsidRDefault="00F37BF9">
            <w:pPr>
              <w:pStyle w:val="P68B1DB1-Normal121"/>
              <w:spacing w:after="0" w:line="240" w:lineRule="auto"/>
              <w:rPr>
                <w:noProof/>
                <w:lang w:val="de-DE"/>
              </w:rPr>
            </w:pPr>
            <w:r w:rsidRPr="00170422">
              <w:rPr>
                <w:noProof/>
                <w:lang w:val="de-DE"/>
              </w:rPr>
              <w:t>Durchgeführte Projekte</w:t>
            </w:r>
          </w:p>
        </w:tc>
      </w:tr>
      <w:tr w:rsidR="0057163C" w:rsidRPr="00170422" w14:paraId="089CCD08" w14:textId="77777777" w:rsidTr="00E7779A">
        <w:trPr>
          <w:trHeight w:val="300"/>
        </w:trPr>
        <w:tc>
          <w:tcPr>
            <w:tcW w:w="1406" w:type="dxa"/>
            <w:shd w:val="clear" w:color="auto" w:fill="C6EFCE"/>
            <w:tcMar>
              <w:left w:w="108" w:type="dxa"/>
              <w:right w:w="108" w:type="dxa"/>
            </w:tcMar>
            <w:vAlign w:val="center"/>
          </w:tcPr>
          <w:p w14:paraId="36E6A132" w14:textId="77777777" w:rsidR="0057163C" w:rsidRPr="00170422" w:rsidRDefault="00F37BF9">
            <w:pPr>
              <w:pStyle w:val="P68B1DB1-Normal121"/>
              <w:spacing w:after="0" w:line="240" w:lineRule="auto"/>
              <w:jc w:val="center"/>
              <w:rPr>
                <w:noProof/>
                <w:lang w:val="de-DE"/>
              </w:rPr>
            </w:pPr>
            <w:r w:rsidRPr="00170422">
              <w:rPr>
                <w:noProof/>
                <w:lang w:val="de-DE"/>
              </w:rPr>
              <w:t>M2C4-13</w:t>
            </w:r>
          </w:p>
        </w:tc>
        <w:tc>
          <w:tcPr>
            <w:tcW w:w="2268" w:type="dxa"/>
            <w:shd w:val="clear" w:color="auto" w:fill="C6EFCE"/>
            <w:tcMar>
              <w:left w:w="108" w:type="dxa"/>
              <w:right w:w="108" w:type="dxa"/>
            </w:tcMar>
            <w:vAlign w:val="center"/>
          </w:tcPr>
          <w:p w14:paraId="48C2BD7A" w14:textId="77777777" w:rsidR="0057163C" w:rsidRPr="00170422" w:rsidRDefault="00F37BF9">
            <w:pPr>
              <w:pStyle w:val="P68B1DB1-Normal121"/>
              <w:spacing w:after="0" w:line="240" w:lineRule="auto"/>
              <w:rPr>
                <w:noProof/>
                <w:lang w:val="de-DE"/>
              </w:rPr>
            </w:pPr>
            <w:r w:rsidRPr="00170422">
              <w:rPr>
                <w:noProof/>
                <w:lang w:val="de-DE"/>
              </w:rPr>
              <w:t>Investition 2.1b – Maßnahmen zur Verringerung des Hochwasserrisikos und des hydrogeologischen Risikos</w:t>
            </w:r>
          </w:p>
        </w:tc>
        <w:tc>
          <w:tcPr>
            <w:tcW w:w="2155" w:type="dxa"/>
            <w:shd w:val="clear" w:color="auto" w:fill="C6EFCE"/>
            <w:tcMar>
              <w:left w:w="108" w:type="dxa"/>
              <w:right w:w="108" w:type="dxa"/>
            </w:tcMar>
            <w:vAlign w:val="center"/>
          </w:tcPr>
          <w:p w14:paraId="71EBC1A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C70A5FD" w14:textId="77777777" w:rsidR="0057163C" w:rsidRPr="00170422" w:rsidRDefault="00F37BF9">
            <w:pPr>
              <w:pStyle w:val="P68B1DB1-Normal121"/>
              <w:spacing w:after="0" w:line="240" w:lineRule="auto"/>
              <w:rPr>
                <w:noProof/>
                <w:lang w:val="de-DE"/>
              </w:rPr>
            </w:pPr>
            <w:r w:rsidRPr="00170422">
              <w:rPr>
                <w:noProof/>
                <w:lang w:val="de-DE"/>
              </w:rPr>
              <w:t>Durchgeführte Interventione</w:t>
            </w:r>
            <w:r w:rsidRPr="00170422">
              <w:rPr>
                <w:noProof/>
                <w:lang w:val="de-DE"/>
              </w:rPr>
              <w:t>n des Typs D und des Typs E</w:t>
            </w:r>
          </w:p>
        </w:tc>
      </w:tr>
      <w:tr w:rsidR="0057163C" w:rsidRPr="00170422" w14:paraId="312C481C" w14:textId="77777777" w:rsidTr="00E7779A">
        <w:trPr>
          <w:trHeight w:val="300"/>
        </w:trPr>
        <w:tc>
          <w:tcPr>
            <w:tcW w:w="1406" w:type="dxa"/>
            <w:shd w:val="clear" w:color="auto" w:fill="C6EFCE"/>
            <w:tcMar>
              <w:left w:w="108" w:type="dxa"/>
              <w:right w:w="108" w:type="dxa"/>
            </w:tcMar>
            <w:vAlign w:val="center"/>
          </w:tcPr>
          <w:p w14:paraId="02725199" w14:textId="77777777" w:rsidR="0057163C" w:rsidRPr="00170422" w:rsidRDefault="00F37BF9">
            <w:pPr>
              <w:pStyle w:val="P68B1DB1-Normal121"/>
              <w:spacing w:after="0" w:line="240" w:lineRule="auto"/>
              <w:jc w:val="center"/>
              <w:rPr>
                <w:noProof/>
                <w:lang w:val="de-DE"/>
              </w:rPr>
            </w:pPr>
            <w:r w:rsidRPr="00170422">
              <w:rPr>
                <w:noProof/>
                <w:lang w:val="de-DE"/>
              </w:rPr>
              <w:t>M2C4-20bis</w:t>
            </w:r>
          </w:p>
        </w:tc>
        <w:tc>
          <w:tcPr>
            <w:tcW w:w="2268" w:type="dxa"/>
            <w:shd w:val="clear" w:color="auto" w:fill="C6EFCE"/>
            <w:tcMar>
              <w:left w:w="108" w:type="dxa"/>
              <w:right w:w="108" w:type="dxa"/>
            </w:tcMar>
            <w:vAlign w:val="center"/>
          </w:tcPr>
          <w:p w14:paraId="76B11C11" w14:textId="77777777" w:rsidR="0057163C" w:rsidRPr="00170422" w:rsidRDefault="00F37BF9">
            <w:pPr>
              <w:pStyle w:val="P68B1DB1-Normal121"/>
              <w:spacing w:after="0" w:line="240" w:lineRule="auto"/>
              <w:rPr>
                <w:noProof/>
                <w:lang w:val="de-DE"/>
              </w:rPr>
            </w:pPr>
            <w:r w:rsidRPr="00170422">
              <w:rPr>
                <w:noProof/>
                <w:lang w:val="de-DE"/>
              </w:rPr>
              <w:t>Investieren. 3.1: Schutz und Verbesserung städtischer und stadtnaher Wälder</w:t>
            </w:r>
          </w:p>
        </w:tc>
        <w:tc>
          <w:tcPr>
            <w:tcW w:w="2155" w:type="dxa"/>
            <w:shd w:val="clear" w:color="auto" w:fill="C6EFCE"/>
            <w:tcMar>
              <w:left w:w="108" w:type="dxa"/>
              <w:right w:w="108" w:type="dxa"/>
            </w:tcMar>
            <w:vAlign w:val="center"/>
          </w:tcPr>
          <w:p w14:paraId="038EAEF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3DA1A36" w14:textId="77777777" w:rsidR="0057163C" w:rsidRPr="00170422" w:rsidRDefault="00F37BF9">
            <w:pPr>
              <w:pStyle w:val="P68B1DB1-Normal121"/>
              <w:spacing w:after="0" w:line="240" w:lineRule="auto"/>
              <w:rPr>
                <w:noProof/>
                <w:lang w:val="de-DE"/>
              </w:rPr>
            </w:pPr>
            <w:r w:rsidRPr="00170422">
              <w:rPr>
                <w:noProof/>
                <w:lang w:val="de-DE"/>
              </w:rPr>
              <w:t xml:space="preserve">Pflanzenbäume zum Schutz und zur Valorisierung städtischer und stadtnaher Grünflächen T3 </w:t>
            </w:r>
          </w:p>
        </w:tc>
      </w:tr>
      <w:tr w:rsidR="0057163C" w:rsidRPr="00170422" w14:paraId="11396F58" w14:textId="77777777" w:rsidTr="00E7779A">
        <w:trPr>
          <w:trHeight w:val="300"/>
        </w:trPr>
        <w:tc>
          <w:tcPr>
            <w:tcW w:w="1406" w:type="dxa"/>
            <w:shd w:val="clear" w:color="auto" w:fill="C6EFCE"/>
            <w:tcMar>
              <w:left w:w="108" w:type="dxa"/>
              <w:right w:w="108" w:type="dxa"/>
            </w:tcMar>
            <w:vAlign w:val="center"/>
          </w:tcPr>
          <w:p w14:paraId="0AD72062" w14:textId="77777777" w:rsidR="0057163C" w:rsidRPr="00170422" w:rsidRDefault="00F37BF9">
            <w:pPr>
              <w:pStyle w:val="P68B1DB1-Normal121"/>
              <w:spacing w:after="0" w:line="240" w:lineRule="auto"/>
              <w:jc w:val="center"/>
              <w:rPr>
                <w:noProof/>
                <w:lang w:val="de-DE"/>
              </w:rPr>
            </w:pPr>
            <w:r w:rsidRPr="00170422">
              <w:rPr>
                <w:noProof/>
                <w:lang w:val="de-DE"/>
              </w:rPr>
              <w:t>M2C4-34bis</w:t>
            </w:r>
          </w:p>
        </w:tc>
        <w:tc>
          <w:tcPr>
            <w:tcW w:w="2268" w:type="dxa"/>
            <w:shd w:val="clear" w:color="auto" w:fill="C6EFCE"/>
            <w:tcMar>
              <w:left w:w="108" w:type="dxa"/>
              <w:right w:w="108" w:type="dxa"/>
            </w:tcMar>
            <w:vAlign w:val="center"/>
          </w:tcPr>
          <w:p w14:paraId="7A020AA4" w14:textId="77777777" w:rsidR="0057163C" w:rsidRPr="00170422" w:rsidRDefault="00F37BF9">
            <w:pPr>
              <w:pStyle w:val="P68B1DB1-Normal121"/>
              <w:spacing w:after="0" w:line="240" w:lineRule="auto"/>
              <w:rPr>
                <w:noProof/>
                <w:lang w:val="de-DE"/>
              </w:rPr>
            </w:pPr>
            <w:r w:rsidRPr="00170422">
              <w:rPr>
                <w:noProof/>
                <w:lang w:val="de-DE"/>
              </w:rPr>
              <w:t xml:space="preserve">Investition 4.3 Investitionen in </w:t>
            </w:r>
            <w:r w:rsidRPr="00170422">
              <w:rPr>
                <w:noProof/>
                <w:lang w:val="de-DE"/>
              </w:rPr>
              <w:t>die Widerstandsfähigkeit des Bewässerungs-Agrarsystems für eine bessere Bewirtschaftung der Wasserressourcen</w:t>
            </w:r>
          </w:p>
        </w:tc>
        <w:tc>
          <w:tcPr>
            <w:tcW w:w="2155" w:type="dxa"/>
            <w:shd w:val="clear" w:color="auto" w:fill="C6EFCE"/>
            <w:tcMar>
              <w:left w:w="108" w:type="dxa"/>
              <w:right w:w="108" w:type="dxa"/>
            </w:tcMar>
            <w:vAlign w:val="center"/>
          </w:tcPr>
          <w:p w14:paraId="3B5F3AE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F62829C" w14:textId="77777777" w:rsidR="0057163C" w:rsidRPr="00170422" w:rsidRDefault="00F37BF9">
            <w:pPr>
              <w:pStyle w:val="P68B1DB1-Normal121"/>
              <w:spacing w:after="0" w:line="240" w:lineRule="auto"/>
              <w:rPr>
                <w:noProof/>
                <w:lang w:val="de-DE"/>
              </w:rPr>
            </w:pPr>
            <w:r w:rsidRPr="00170422">
              <w:rPr>
                <w:noProof/>
                <w:lang w:val="de-DE"/>
              </w:rPr>
              <w:t>Interventionen zur Stärkung der Widerstandsfähigkeit des Bewässerungs-Agrarsystems für eine bessere Bewirtschaftung der Wasserressourcen T1</w:t>
            </w:r>
          </w:p>
        </w:tc>
      </w:tr>
      <w:tr w:rsidR="0057163C" w:rsidRPr="00170422" w14:paraId="7196FDBC" w14:textId="77777777" w:rsidTr="00E7779A">
        <w:trPr>
          <w:trHeight w:val="300"/>
        </w:trPr>
        <w:tc>
          <w:tcPr>
            <w:tcW w:w="1406" w:type="dxa"/>
            <w:shd w:val="clear" w:color="auto" w:fill="C6EFCE"/>
            <w:tcMar>
              <w:left w:w="108" w:type="dxa"/>
              <w:right w:w="108" w:type="dxa"/>
            </w:tcMar>
            <w:vAlign w:val="center"/>
          </w:tcPr>
          <w:p w14:paraId="6371402F" w14:textId="77777777" w:rsidR="0057163C" w:rsidRPr="00170422" w:rsidRDefault="00F37BF9">
            <w:pPr>
              <w:pStyle w:val="P68B1DB1-Normal121"/>
              <w:spacing w:after="0" w:line="240" w:lineRule="auto"/>
              <w:jc w:val="center"/>
              <w:rPr>
                <w:noProof/>
                <w:lang w:val="de-DE"/>
              </w:rPr>
            </w:pPr>
            <w:r w:rsidRPr="00170422">
              <w:rPr>
                <w:noProof/>
                <w:lang w:val="de-DE"/>
              </w:rPr>
              <w:t>M</w:t>
            </w:r>
            <w:r w:rsidRPr="00170422">
              <w:rPr>
                <w:noProof/>
                <w:lang w:val="de-DE"/>
              </w:rPr>
              <w:t>3C1-6</w:t>
            </w:r>
          </w:p>
        </w:tc>
        <w:tc>
          <w:tcPr>
            <w:tcW w:w="2268" w:type="dxa"/>
            <w:shd w:val="clear" w:color="auto" w:fill="C6EFCE"/>
            <w:tcMar>
              <w:left w:w="108" w:type="dxa"/>
              <w:right w:w="108" w:type="dxa"/>
            </w:tcMar>
            <w:vAlign w:val="center"/>
          </w:tcPr>
          <w:p w14:paraId="0AB83447" w14:textId="77777777" w:rsidR="0057163C" w:rsidRPr="00170422" w:rsidRDefault="00F37BF9">
            <w:pPr>
              <w:pStyle w:val="P68B1DB1-Normal121"/>
              <w:spacing w:after="0" w:line="240" w:lineRule="auto"/>
              <w:rPr>
                <w:noProof/>
                <w:lang w:val="de-DE"/>
              </w:rPr>
            </w:pPr>
            <w:r w:rsidRPr="00170422">
              <w:rPr>
                <w:noProof/>
                <w:lang w:val="de-DE"/>
              </w:rPr>
              <w:t>Investition 1.1 – Hochgeschwindigkeitsbahnverbindungen nach Süden für den Personen- und Güterverkehr</w:t>
            </w:r>
          </w:p>
        </w:tc>
        <w:tc>
          <w:tcPr>
            <w:tcW w:w="2155" w:type="dxa"/>
            <w:shd w:val="clear" w:color="auto" w:fill="C6EFCE"/>
            <w:tcMar>
              <w:left w:w="108" w:type="dxa"/>
              <w:right w:w="108" w:type="dxa"/>
            </w:tcMar>
            <w:vAlign w:val="center"/>
          </w:tcPr>
          <w:p w14:paraId="57BA3C2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EA31630" w14:textId="77777777" w:rsidR="0057163C" w:rsidRPr="00170422" w:rsidRDefault="00F37BF9">
            <w:pPr>
              <w:pStyle w:val="P68B1DB1-Normal121"/>
              <w:spacing w:after="0" w:line="240" w:lineRule="auto"/>
              <w:rPr>
                <w:noProof/>
                <w:lang w:val="de-DE"/>
              </w:rPr>
            </w:pPr>
            <w:r w:rsidRPr="00170422">
              <w:rPr>
                <w:noProof/>
                <w:lang w:val="de-DE"/>
              </w:rPr>
              <w:t>Hochgeschwindigkeitsschienenverkehr auf den Strecken Napoli-Bari, Salerno-Reggio Calabria, Palermo-Katania</w:t>
            </w:r>
          </w:p>
        </w:tc>
      </w:tr>
      <w:tr w:rsidR="0057163C" w:rsidRPr="00170422" w14:paraId="38C32FE3" w14:textId="77777777" w:rsidTr="00E7779A">
        <w:trPr>
          <w:trHeight w:val="300"/>
        </w:trPr>
        <w:tc>
          <w:tcPr>
            <w:tcW w:w="1406" w:type="dxa"/>
            <w:shd w:val="clear" w:color="auto" w:fill="C6EFCE"/>
            <w:tcMar>
              <w:left w:w="108" w:type="dxa"/>
              <w:right w:w="108" w:type="dxa"/>
            </w:tcMar>
            <w:vAlign w:val="center"/>
          </w:tcPr>
          <w:p w14:paraId="48910E61" w14:textId="77777777" w:rsidR="0057163C" w:rsidRPr="00170422" w:rsidRDefault="00F37BF9">
            <w:pPr>
              <w:pStyle w:val="P68B1DB1-Normal121"/>
              <w:spacing w:after="0" w:line="240" w:lineRule="auto"/>
              <w:jc w:val="center"/>
              <w:rPr>
                <w:noProof/>
                <w:lang w:val="de-DE"/>
              </w:rPr>
            </w:pPr>
            <w:r w:rsidRPr="00170422">
              <w:rPr>
                <w:noProof/>
                <w:lang w:val="de-DE"/>
              </w:rPr>
              <w:t>M3C1-9</w:t>
            </w:r>
          </w:p>
        </w:tc>
        <w:tc>
          <w:tcPr>
            <w:tcW w:w="2268" w:type="dxa"/>
            <w:shd w:val="clear" w:color="auto" w:fill="C6EFCE"/>
            <w:tcMar>
              <w:left w:w="108" w:type="dxa"/>
              <w:right w:w="108" w:type="dxa"/>
            </w:tcMar>
            <w:vAlign w:val="center"/>
          </w:tcPr>
          <w:p w14:paraId="7FE18D74" w14:textId="77777777" w:rsidR="0057163C" w:rsidRPr="00170422" w:rsidRDefault="00F37BF9">
            <w:pPr>
              <w:pStyle w:val="P68B1DB1-Normal121"/>
              <w:spacing w:after="0" w:line="240" w:lineRule="auto"/>
              <w:rPr>
                <w:noProof/>
                <w:lang w:val="de-DE"/>
              </w:rPr>
            </w:pPr>
            <w:r w:rsidRPr="00170422">
              <w:rPr>
                <w:noProof/>
                <w:lang w:val="de-DE"/>
              </w:rPr>
              <w:t xml:space="preserve">Investition 1.2 – </w:t>
            </w:r>
            <w:r w:rsidRPr="00170422">
              <w:rPr>
                <w:noProof/>
                <w:lang w:val="de-DE"/>
              </w:rPr>
              <w:t>Hochgeschwindigkeitsstrecken im Norden, die an das übrige Europa angebunden sind</w:t>
            </w:r>
          </w:p>
        </w:tc>
        <w:tc>
          <w:tcPr>
            <w:tcW w:w="2155" w:type="dxa"/>
            <w:shd w:val="clear" w:color="auto" w:fill="C6EFCE"/>
            <w:tcMar>
              <w:left w:w="108" w:type="dxa"/>
              <w:right w:w="108" w:type="dxa"/>
            </w:tcMar>
            <w:vAlign w:val="center"/>
          </w:tcPr>
          <w:p w14:paraId="0AFCA2C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8FCE3FD" w14:textId="77777777" w:rsidR="0057163C" w:rsidRPr="00170422" w:rsidRDefault="00F37BF9">
            <w:pPr>
              <w:pStyle w:val="P68B1DB1-Normal121"/>
              <w:spacing w:after="0" w:line="240" w:lineRule="auto"/>
              <w:rPr>
                <w:noProof/>
                <w:lang w:val="de-DE"/>
              </w:rPr>
            </w:pPr>
            <w:r w:rsidRPr="00170422">
              <w:rPr>
                <w:noProof/>
                <w:lang w:val="de-DE"/>
              </w:rPr>
              <w:t>Hochgeschwindigkeitsschienenverkehr auf den Strecken Brescia-Verona-Vicenza-Padova; Ligurien-Alpi.</w:t>
            </w:r>
          </w:p>
        </w:tc>
      </w:tr>
      <w:tr w:rsidR="0057163C" w:rsidRPr="00170422" w14:paraId="75D27351" w14:textId="77777777" w:rsidTr="00E7779A">
        <w:trPr>
          <w:trHeight w:val="300"/>
        </w:trPr>
        <w:tc>
          <w:tcPr>
            <w:tcW w:w="1406" w:type="dxa"/>
            <w:shd w:val="clear" w:color="auto" w:fill="C6EFCE"/>
            <w:tcMar>
              <w:left w:w="108" w:type="dxa"/>
              <w:right w:w="108" w:type="dxa"/>
            </w:tcMar>
            <w:vAlign w:val="center"/>
          </w:tcPr>
          <w:p w14:paraId="3310DC2D" w14:textId="77777777" w:rsidR="0057163C" w:rsidRPr="00170422" w:rsidRDefault="00F37BF9">
            <w:pPr>
              <w:pStyle w:val="P68B1DB1-Normal121"/>
              <w:spacing w:after="0" w:line="240" w:lineRule="auto"/>
              <w:jc w:val="center"/>
              <w:rPr>
                <w:noProof/>
                <w:lang w:val="de-DE"/>
              </w:rPr>
            </w:pPr>
            <w:r w:rsidRPr="00170422">
              <w:rPr>
                <w:noProof/>
                <w:lang w:val="de-DE"/>
              </w:rPr>
              <w:t>M3C1-11</w:t>
            </w:r>
          </w:p>
        </w:tc>
        <w:tc>
          <w:tcPr>
            <w:tcW w:w="2268" w:type="dxa"/>
            <w:shd w:val="clear" w:color="auto" w:fill="C6EFCE"/>
            <w:tcMar>
              <w:left w:w="108" w:type="dxa"/>
              <w:right w:w="108" w:type="dxa"/>
            </w:tcMar>
            <w:vAlign w:val="center"/>
          </w:tcPr>
          <w:p w14:paraId="28DB737B" w14:textId="77777777" w:rsidR="0057163C" w:rsidRPr="00170422" w:rsidRDefault="00F37BF9">
            <w:pPr>
              <w:pStyle w:val="P68B1DB1-Normal121"/>
              <w:spacing w:after="0" w:line="240" w:lineRule="auto"/>
              <w:rPr>
                <w:noProof/>
                <w:lang w:val="de-DE"/>
              </w:rPr>
            </w:pPr>
            <w:r w:rsidRPr="00170422">
              <w:rPr>
                <w:noProof/>
                <w:lang w:val="de-DE"/>
              </w:rPr>
              <w:t>Investition 1.3 – Diagonale Verbindungen</w:t>
            </w:r>
          </w:p>
        </w:tc>
        <w:tc>
          <w:tcPr>
            <w:tcW w:w="2155" w:type="dxa"/>
            <w:shd w:val="clear" w:color="auto" w:fill="C6EFCE"/>
            <w:tcMar>
              <w:left w:w="108" w:type="dxa"/>
              <w:right w:w="108" w:type="dxa"/>
            </w:tcMar>
            <w:vAlign w:val="center"/>
          </w:tcPr>
          <w:p w14:paraId="05E9F3F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B4088F1" w14:textId="77777777" w:rsidR="0057163C" w:rsidRPr="00170422" w:rsidRDefault="00F37BF9">
            <w:pPr>
              <w:pStyle w:val="P68B1DB1-Normal121"/>
              <w:spacing w:after="0" w:line="240" w:lineRule="auto"/>
              <w:rPr>
                <w:noProof/>
                <w:lang w:val="de-DE"/>
              </w:rPr>
            </w:pPr>
            <w:r w:rsidRPr="00170422">
              <w:rPr>
                <w:noProof/>
                <w:lang w:val="de-DE"/>
              </w:rPr>
              <w:t>Hochgeschwindigkeitsschienenverkehr auf den Strecken Orte-Falconara und Taranto-Metaponto-Potenza-Battipaglia</w:t>
            </w:r>
          </w:p>
        </w:tc>
      </w:tr>
      <w:tr w:rsidR="0057163C" w:rsidRPr="00170422" w14:paraId="6D526144" w14:textId="77777777" w:rsidTr="00E7779A">
        <w:trPr>
          <w:trHeight w:val="300"/>
        </w:trPr>
        <w:tc>
          <w:tcPr>
            <w:tcW w:w="1406" w:type="dxa"/>
            <w:shd w:val="clear" w:color="auto" w:fill="C6EFCE"/>
            <w:tcMar>
              <w:left w:w="108" w:type="dxa"/>
              <w:right w:w="108" w:type="dxa"/>
            </w:tcMar>
            <w:vAlign w:val="center"/>
          </w:tcPr>
          <w:p w14:paraId="259EEEAD" w14:textId="77777777" w:rsidR="0057163C" w:rsidRPr="00170422" w:rsidRDefault="00F37BF9">
            <w:pPr>
              <w:pStyle w:val="P68B1DB1-Normal121"/>
              <w:spacing w:after="0" w:line="240" w:lineRule="auto"/>
              <w:jc w:val="center"/>
              <w:rPr>
                <w:noProof/>
                <w:lang w:val="de-DE"/>
              </w:rPr>
            </w:pPr>
            <w:r w:rsidRPr="00170422">
              <w:rPr>
                <w:noProof/>
                <w:lang w:val="de-DE"/>
              </w:rPr>
              <w:t>M3C1-14</w:t>
            </w:r>
          </w:p>
        </w:tc>
        <w:tc>
          <w:tcPr>
            <w:tcW w:w="2268" w:type="dxa"/>
            <w:shd w:val="clear" w:color="auto" w:fill="C6EFCE"/>
            <w:tcMar>
              <w:left w:w="108" w:type="dxa"/>
              <w:right w:w="108" w:type="dxa"/>
            </w:tcMar>
            <w:vAlign w:val="center"/>
          </w:tcPr>
          <w:p w14:paraId="5D372D40" w14:textId="77777777" w:rsidR="0057163C" w:rsidRPr="00170422" w:rsidRDefault="00F37BF9">
            <w:pPr>
              <w:pStyle w:val="P68B1DB1-Normal121"/>
              <w:spacing w:after="0" w:line="240" w:lineRule="auto"/>
              <w:rPr>
                <w:noProof/>
                <w:lang w:val="de-DE"/>
              </w:rPr>
            </w:pPr>
            <w:r w:rsidRPr="00170422">
              <w:rPr>
                <w:noProof/>
                <w:lang w:val="de-DE"/>
              </w:rPr>
              <w:t>Investition 1.4 – Einführung des Europäischen Eisenbahnverkehrsleitsystems (ERTMS)</w:t>
            </w:r>
          </w:p>
        </w:tc>
        <w:tc>
          <w:tcPr>
            <w:tcW w:w="2155" w:type="dxa"/>
            <w:shd w:val="clear" w:color="auto" w:fill="C6EFCE"/>
            <w:tcMar>
              <w:left w:w="108" w:type="dxa"/>
              <w:right w:w="108" w:type="dxa"/>
            </w:tcMar>
            <w:vAlign w:val="center"/>
          </w:tcPr>
          <w:p w14:paraId="28CFD84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8A7ED96"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2</w:t>
            </w:r>
            <w:r w:rsidRPr="00170422">
              <w:rPr>
                <w:noProof/>
                <w:sz w:val="23"/>
                <w:szCs w:val="23"/>
                <w:lang w:val="de-DE"/>
              </w:rPr>
              <w:t xml:space="preserve"> </w:t>
            </w:r>
            <w:r w:rsidRPr="00170422">
              <w:rPr>
                <w:noProof/>
                <w:color w:val="006100"/>
                <w:sz w:val="20"/>
                <w:szCs w:val="20"/>
                <w:lang w:val="de-DE"/>
              </w:rPr>
              <w:t xml:space="preserve">785 km Eisenbahnstrecken, die mit dem </w:t>
            </w:r>
            <w:r w:rsidRPr="00170422">
              <w:rPr>
                <w:noProof/>
                <w:color w:val="006100"/>
                <w:sz w:val="20"/>
                <w:szCs w:val="20"/>
                <w:lang w:val="de-DE"/>
              </w:rPr>
              <w:t>Europäischen Eisenbahnverkehrsleitsystem ausgestattet</w:t>
            </w:r>
            <w:r w:rsidRPr="00170422">
              <w:rPr>
                <w:noProof/>
                <w:sz w:val="23"/>
                <w:szCs w:val="23"/>
                <w:lang w:val="de-DE"/>
              </w:rPr>
              <w:t xml:space="preserve"> sind</w:t>
            </w:r>
          </w:p>
        </w:tc>
      </w:tr>
      <w:tr w:rsidR="0057163C" w:rsidRPr="00170422" w14:paraId="7AB7D4F5" w14:textId="77777777" w:rsidTr="00E7779A">
        <w:trPr>
          <w:trHeight w:val="300"/>
        </w:trPr>
        <w:tc>
          <w:tcPr>
            <w:tcW w:w="1406" w:type="dxa"/>
            <w:shd w:val="clear" w:color="auto" w:fill="C6EFCE"/>
            <w:tcMar>
              <w:left w:w="108" w:type="dxa"/>
              <w:right w:w="108" w:type="dxa"/>
            </w:tcMar>
            <w:vAlign w:val="center"/>
          </w:tcPr>
          <w:p w14:paraId="0C6A5C60" w14:textId="77777777" w:rsidR="0057163C" w:rsidRPr="00170422" w:rsidRDefault="00F37BF9">
            <w:pPr>
              <w:pStyle w:val="P68B1DB1-Normal121"/>
              <w:spacing w:after="0" w:line="240" w:lineRule="auto"/>
              <w:jc w:val="center"/>
              <w:rPr>
                <w:noProof/>
                <w:lang w:val="de-DE"/>
              </w:rPr>
            </w:pPr>
            <w:r w:rsidRPr="00170422">
              <w:rPr>
                <w:noProof/>
                <w:lang w:val="de-DE"/>
              </w:rPr>
              <w:t>M3C1-20</w:t>
            </w:r>
          </w:p>
        </w:tc>
        <w:tc>
          <w:tcPr>
            <w:tcW w:w="2268" w:type="dxa"/>
            <w:shd w:val="clear" w:color="auto" w:fill="C6EFCE"/>
            <w:tcMar>
              <w:left w:w="108" w:type="dxa"/>
              <w:right w:w="108" w:type="dxa"/>
            </w:tcMar>
            <w:vAlign w:val="center"/>
          </w:tcPr>
          <w:p w14:paraId="67668D4A" w14:textId="77777777" w:rsidR="0057163C" w:rsidRPr="00170422" w:rsidRDefault="00F37BF9">
            <w:pPr>
              <w:pStyle w:val="P68B1DB1-Normal121"/>
              <w:spacing w:after="0" w:line="240" w:lineRule="auto"/>
              <w:rPr>
                <w:noProof/>
                <w:lang w:val="de-DE"/>
              </w:rPr>
            </w:pPr>
            <w:r w:rsidRPr="00170422">
              <w:rPr>
                <w:noProof/>
                <w:lang w:val="de-DE"/>
              </w:rPr>
              <w:t>Investition 1.8 – Modernisierung der Bahnhöfe (RFI-Management; im Süden)</w:t>
            </w:r>
          </w:p>
        </w:tc>
        <w:tc>
          <w:tcPr>
            <w:tcW w:w="2155" w:type="dxa"/>
            <w:shd w:val="clear" w:color="auto" w:fill="C6EFCE"/>
            <w:tcMar>
              <w:left w:w="108" w:type="dxa"/>
              <w:right w:w="108" w:type="dxa"/>
            </w:tcMar>
            <w:vAlign w:val="center"/>
          </w:tcPr>
          <w:p w14:paraId="6447357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ADBBB94" w14:textId="77777777" w:rsidR="0057163C" w:rsidRPr="00170422" w:rsidRDefault="00F37BF9">
            <w:pPr>
              <w:pStyle w:val="P68B1DB1-Normal121"/>
              <w:spacing w:after="0" w:line="240" w:lineRule="auto"/>
              <w:rPr>
                <w:noProof/>
                <w:lang w:val="de-DE"/>
              </w:rPr>
            </w:pPr>
            <w:r w:rsidRPr="00170422">
              <w:rPr>
                <w:noProof/>
                <w:lang w:val="de-DE"/>
              </w:rPr>
              <w:t>Modernisierte und zugängliche Bahnhöfe</w:t>
            </w:r>
          </w:p>
        </w:tc>
      </w:tr>
      <w:tr w:rsidR="0057163C" w:rsidRPr="00170422" w14:paraId="0156779B" w14:textId="77777777" w:rsidTr="00E7779A">
        <w:trPr>
          <w:trHeight w:val="300"/>
        </w:trPr>
        <w:tc>
          <w:tcPr>
            <w:tcW w:w="1406" w:type="dxa"/>
            <w:shd w:val="clear" w:color="auto" w:fill="C6EFCE"/>
            <w:tcMar>
              <w:left w:w="108" w:type="dxa"/>
              <w:right w:w="108" w:type="dxa"/>
            </w:tcMar>
            <w:vAlign w:val="center"/>
          </w:tcPr>
          <w:p w14:paraId="7971C40B" w14:textId="77777777" w:rsidR="0057163C" w:rsidRPr="00170422" w:rsidRDefault="00F37BF9">
            <w:pPr>
              <w:pStyle w:val="P68B1DB1-Normal121"/>
              <w:spacing w:after="0" w:line="240" w:lineRule="auto"/>
              <w:jc w:val="center"/>
              <w:rPr>
                <w:noProof/>
                <w:lang w:val="de-DE"/>
              </w:rPr>
            </w:pPr>
            <w:r w:rsidRPr="00170422">
              <w:rPr>
                <w:noProof/>
                <w:lang w:val="de-DE"/>
              </w:rPr>
              <w:t>M3C1-26</w:t>
            </w:r>
          </w:p>
        </w:tc>
        <w:tc>
          <w:tcPr>
            <w:tcW w:w="2268" w:type="dxa"/>
            <w:shd w:val="clear" w:color="auto" w:fill="C6EFCE"/>
            <w:tcMar>
              <w:left w:w="108" w:type="dxa"/>
              <w:right w:w="108" w:type="dxa"/>
            </w:tcMar>
            <w:vAlign w:val="center"/>
          </w:tcPr>
          <w:p w14:paraId="1C7AE2BE" w14:textId="77777777" w:rsidR="0057163C" w:rsidRPr="00170422" w:rsidRDefault="00F37BF9">
            <w:pPr>
              <w:pStyle w:val="P68B1DB1-Normal121"/>
              <w:spacing w:after="0" w:line="240" w:lineRule="auto"/>
              <w:rPr>
                <w:noProof/>
                <w:lang w:val="de-DE"/>
              </w:rPr>
            </w:pPr>
            <w:r w:rsidRPr="00170422">
              <w:rPr>
                <w:noProof/>
                <w:lang w:val="de-DE"/>
              </w:rPr>
              <w:t xml:space="preserve">Reform 1.3 – Steigerung der Effizienz der </w:t>
            </w:r>
            <w:r w:rsidRPr="00170422">
              <w:rPr>
                <w:noProof/>
                <w:lang w:val="de-DE"/>
              </w:rPr>
              <w:t>Eisenbahninfrastruktur in Italien</w:t>
            </w:r>
          </w:p>
        </w:tc>
        <w:tc>
          <w:tcPr>
            <w:tcW w:w="2155" w:type="dxa"/>
            <w:shd w:val="clear" w:color="auto" w:fill="C6EFCE"/>
            <w:tcMar>
              <w:left w:w="108" w:type="dxa"/>
              <w:right w:w="108" w:type="dxa"/>
            </w:tcMar>
            <w:vAlign w:val="center"/>
          </w:tcPr>
          <w:p w14:paraId="3159598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4BCC8D53" w14:textId="746713B4" w:rsidR="0057163C" w:rsidRPr="00170422" w:rsidRDefault="00F37BF9">
            <w:pPr>
              <w:pStyle w:val="P68B1DB1-Normal121"/>
              <w:spacing w:after="0" w:line="240" w:lineRule="auto"/>
              <w:rPr>
                <w:noProof/>
                <w:lang w:val="de-DE"/>
              </w:rPr>
            </w:pPr>
            <w:r w:rsidRPr="00170422">
              <w:rPr>
                <w:noProof/>
                <w:lang w:val="de-DE"/>
              </w:rPr>
              <w:t>Inkrafttreten des Primär- und Sekundärrechts (und Erlass von Durchführungsrechtsakten)</w:t>
            </w:r>
          </w:p>
        </w:tc>
      </w:tr>
      <w:tr w:rsidR="0057163C" w:rsidRPr="00170422" w14:paraId="7137054B" w14:textId="77777777" w:rsidTr="00E7779A">
        <w:trPr>
          <w:trHeight w:val="814"/>
        </w:trPr>
        <w:tc>
          <w:tcPr>
            <w:tcW w:w="1406" w:type="dxa"/>
            <w:shd w:val="clear" w:color="auto" w:fill="C6EFCE"/>
            <w:tcMar>
              <w:left w:w="108" w:type="dxa"/>
              <w:right w:w="108" w:type="dxa"/>
            </w:tcMar>
            <w:vAlign w:val="center"/>
          </w:tcPr>
          <w:p w14:paraId="6D372F9A" w14:textId="77777777" w:rsidR="0057163C" w:rsidRPr="00170422" w:rsidRDefault="00F37BF9">
            <w:pPr>
              <w:pStyle w:val="P68B1DB1-Normal121"/>
              <w:spacing w:after="0" w:line="240" w:lineRule="auto"/>
              <w:jc w:val="center"/>
              <w:rPr>
                <w:noProof/>
                <w:lang w:val="de-DE"/>
              </w:rPr>
            </w:pPr>
            <w:r w:rsidRPr="00170422">
              <w:rPr>
                <w:noProof/>
                <w:lang w:val="de-DE"/>
              </w:rPr>
              <w:t>M4C1-30</w:t>
            </w:r>
          </w:p>
        </w:tc>
        <w:tc>
          <w:tcPr>
            <w:tcW w:w="2268" w:type="dxa"/>
            <w:shd w:val="clear" w:color="auto" w:fill="C6EFCE"/>
            <w:tcMar>
              <w:left w:w="108" w:type="dxa"/>
              <w:right w:w="108" w:type="dxa"/>
            </w:tcMar>
            <w:vAlign w:val="center"/>
          </w:tcPr>
          <w:p w14:paraId="792A0CEC" w14:textId="77777777" w:rsidR="0057163C" w:rsidRPr="00170422" w:rsidRDefault="00F37BF9">
            <w:pPr>
              <w:pStyle w:val="P68B1DB1-Normal121"/>
              <w:spacing w:after="0" w:line="240" w:lineRule="auto"/>
              <w:rPr>
                <w:noProof/>
                <w:lang w:val="de-DE"/>
              </w:rPr>
            </w:pPr>
            <w:r w:rsidRPr="00170422">
              <w:rPr>
                <w:noProof/>
                <w:lang w:val="de-DE"/>
              </w:rPr>
              <w:t>Reform 1.7: Reform der Regelung für den Studentenwohnsitz und Investitionen in den Studentenwohnsitz</w:t>
            </w:r>
          </w:p>
        </w:tc>
        <w:tc>
          <w:tcPr>
            <w:tcW w:w="2155" w:type="dxa"/>
            <w:shd w:val="clear" w:color="auto" w:fill="C6EFCE"/>
            <w:tcMar>
              <w:left w:w="108" w:type="dxa"/>
              <w:right w:w="108" w:type="dxa"/>
            </w:tcMar>
            <w:vAlign w:val="center"/>
          </w:tcPr>
          <w:p w14:paraId="5D3EA75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7A71E02" w14:textId="77777777" w:rsidR="0057163C" w:rsidRPr="00170422" w:rsidRDefault="00F37BF9">
            <w:pPr>
              <w:pStyle w:val="P68B1DB1-Normal121"/>
              <w:spacing w:after="0" w:line="240" w:lineRule="auto"/>
              <w:rPr>
                <w:noProof/>
                <w:lang w:val="de-DE"/>
              </w:rPr>
            </w:pPr>
            <w:r w:rsidRPr="00170422">
              <w:rPr>
                <w:noProof/>
                <w:lang w:val="de-DE"/>
              </w:rPr>
              <w:t>Schaffun</w:t>
            </w:r>
            <w:r w:rsidRPr="00170422">
              <w:rPr>
                <w:noProof/>
                <w:lang w:val="de-DE"/>
              </w:rPr>
              <w:t>g von Schlafunterkünften für Studierende</w:t>
            </w:r>
          </w:p>
        </w:tc>
      </w:tr>
      <w:tr w:rsidR="0057163C" w:rsidRPr="00170422" w14:paraId="0AA80999" w14:textId="77777777" w:rsidTr="00E7779A">
        <w:trPr>
          <w:trHeight w:val="300"/>
        </w:trPr>
        <w:tc>
          <w:tcPr>
            <w:tcW w:w="1406" w:type="dxa"/>
            <w:shd w:val="clear" w:color="auto" w:fill="C6EFCE"/>
            <w:tcMar>
              <w:left w:w="108" w:type="dxa"/>
              <w:right w:w="108" w:type="dxa"/>
            </w:tcMar>
            <w:vAlign w:val="center"/>
          </w:tcPr>
          <w:p w14:paraId="66D314E4" w14:textId="77777777" w:rsidR="0057163C" w:rsidRPr="00170422" w:rsidRDefault="00F37BF9">
            <w:pPr>
              <w:pStyle w:val="P68B1DB1-Normal121"/>
              <w:spacing w:after="0" w:line="240" w:lineRule="auto"/>
              <w:jc w:val="center"/>
              <w:rPr>
                <w:noProof/>
                <w:lang w:val="de-DE"/>
              </w:rPr>
            </w:pPr>
            <w:r w:rsidRPr="00170422">
              <w:rPr>
                <w:noProof/>
                <w:lang w:val="de-DE"/>
              </w:rPr>
              <w:t>M4C2-9</w:t>
            </w:r>
          </w:p>
        </w:tc>
        <w:tc>
          <w:tcPr>
            <w:tcW w:w="2268" w:type="dxa"/>
            <w:shd w:val="clear" w:color="auto" w:fill="C6EFCE"/>
            <w:tcMar>
              <w:left w:w="108" w:type="dxa"/>
              <w:right w:w="108" w:type="dxa"/>
            </w:tcMar>
            <w:vAlign w:val="center"/>
          </w:tcPr>
          <w:p w14:paraId="4AD55867" w14:textId="77777777" w:rsidR="0057163C" w:rsidRPr="00170422" w:rsidRDefault="00F37BF9">
            <w:pPr>
              <w:pStyle w:val="P68B1DB1-Normal121"/>
              <w:spacing w:after="0" w:line="240" w:lineRule="auto"/>
              <w:rPr>
                <w:noProof/>
                <w:lang w:val="de-DE"/>
              </w:rPr>
            </w:pPr>
            <w:r w:rsidRPr="00170422">
              <w:rPr>
                <w:noProof/>
                <w:lang w:val="de-DE"/>
              </w:rPr>
              <w:t>Investition 1.4: Schaffung „nationaler FuE-Führer“ zu einigen Schlüsseltechnologien</w:t>
            </w:r>
          </w:p>
        </w:tc>
        <w:tc>
          <w:tcPr>
            <w:tcW w:w="2155" w:type="dxa"/>
            <w:shd w:val="clear" w:color="auto" w:fill="C6EFCE"/>
            <w:tcMar>
              <w:left w:w="108" w:type="dxa"/>
              <w:right w:w="108" w:type="dxa"/>
            </w:tcMar>
            <w:vAlign w:val="center"/>
          </w:tcPr>
          <w:p w14:paraId="75AD3EA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248B72E" w14:textId="77777777" w:rsidR="0057163C" w:rsidRPr="00170422" w:rsidRDefault="00F37BF9">
            <w:pPr>
              <w:pStyle w:val="P68B1DB1-Normal121"/>
              <w:spacing w:after="0" w:line="240" w:lineRule="auto"/>
              <w:rPr>
                <w:noProof/>
                <w:lang w:val="de-DE"/>
              </w:rPr>
            </w:pPr>
            <w:r w:rsidRPr="00170422">
              <w:rPr>
                <w:noProof/>
                <w:lang w:val="de-DE"/>
              </w:rPr>
              <w:t xml:space="preserve">Die nationalen Zentren haben ihre Forschungstätigkeiten abgeschlossen. </w:t>
            </w:r>
          </w:p>
        </w:tc>
      </w:tr>
      <w:tr w:rsidR="0057163C" w:rsidRPr="00170422" w14:paraId="1ED1EE50" w14:textId="77777777" w:rsidTr="00E7779A">
        <w:trPr>
          <w:trHeight w:val="300"/>
        </w:trPr>
        <w:tc>
          <w:tcPr>
            <w:tcW w:w="1406" w:type="dxa"/>
            <w:shd w:val="clear" w:color="auto" w:fill="C6EFCE"/>
            <w:tcMar>
              <w:left w:w="108" w:type="dxa"/>
              <w:right w:w="108" w:type="dxa"/>
            </w:tcMar>
            <w:vAlign w:val="center"/>
          </w:tcPr>
          <w:p w14:paraId="6B84FAA9" w14:textId="77777777" w:rsidR="0057163C" w:rsidRPr="00170422" w:rsidRDefault="00F37BF9">
            <w:pPr>
              <w:pStyle w:val="P68B1DB1-Normal121"/>
              <w:spacing w:after="0" w:line="240" w:lineRule="auto"/>
              <w:jc w:val="center"/>
              <w:rPr>
                <w:noProof/>
                <w:lang w:val="de-DE"/>
              </w:rPr>
            </w:pPr>
            <w:r w:rsidRPr="00170422">
              <w:rPr>
                <w:noProof/>
                <w:lang w:val="de-DE"/>
              </w:rPr>
              <w:t>M4C2-14</w:t>
            </w:r>
          </w:p>
        </w:tc>
        <w:tc>
          <w:tcPr>
            <w:tcW w:w="2268" w:type="dxa"/>
            <w:shd w:val="clear" w:color="auto" w:fill="C6EFCE"/>
            <w:tcMar>
              <w:left w:w="108" w:type="dxa"/>
              <w:right w:w="108" w:type="dxa"/>
            </w:tcMar>
            <w:vAlign w:val="center"/>
          </w:tcPr>
          <w:p w14:paraId="67911B8E" w14:textId="77777777" w:rsidR="0057163C" w:rsidRPr="00170422" w:rsidRDefault="00F37BF9">
            <w:pPr>
              <w:pStyle w:val="P68B1DB1-Normal121"/>
              <w:spacing w:after="0" w:line="240" w:lineRule="auto"/>
              <w:rPr>
                <w:noProof/>
                <w:lang w:val="de-DE"/>
              </w:rPr>
            </w:pPr>
            <w:r w:rsidRPr="00170422">
              <w:rPr>
                <w:noProof/>
                <w:lang w:val="de-DE"/>
              </w:rPr>
              <w:t xml:space="preserve">Investition 2.3: Technologietransferzentren </w:t>
            </w:r>
          </w:p>
        </w:tc>
        <w:tc>
          <w:tcPr>
            <w:tcW w:w="2155" w:type="dxa"/>
            <w:shd w:val="clear" w:color="auto" w:fill="C6EFCE"/>
            <w:tcMar>
              <w:left w:w="108" w:type="dxa"/>
              <w:right w:w="108" w:type="dxa"/>
            </w:tcMar>
            <w:vAlign w:val="center"/>
          </w:tcPr>
          <w:p w14:paraId="44DB01A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20DB7987" w14:textId="77777777" w:rsidR="0057163C" w:rsidRPr="00170422" w:rsidRDefault="00F37BF9">
            <w:pPr>
              <w:pStyle w:val="P68B1DB1-Normal8"/>
              <w:spacing w:after="0" w:line="240" w:lineRule="auto"/>
              <w:rPr>
                <w:noProof/>
                <w:lang w:val="de-DE"/>
              </w:rPr>
            </w:pPr>
            <w:r w:rsidRPr="00170422">
              <w:rPr>
                <w:noProof/>
                <w:color w:val="006100"/>
                <w:sz w:val="20"/>
                <w:szCs w:val="20"/>
                <w:lang w:val="de-DE"/>
              </w:rPr>
              <w:t xml:space="preserve">Auszahlung eines finanziellen Werts in Höhe von 330000000 EUR. </w:t>
            </w:r>
          </w:p>
        </w:tc>
      </w:tr>
      <w:tr w:rsidR="0057163C" w:rsidRPr="00170422" w14:paraId="19F34F8E" w14:textId="77777777" w:rsidTr="00E7779A">
        <w:trPr>
          <w:trHeight w:val="300"/>
        </w:trPr>
        <w:tc>
          <w:tcPr>
            <w:tcW w:w="1406" w:type="dxa"/>
            <w:shd w:val="clear" w:color="auto" w:fill="C6EFCE"/>
            <w:tcMar>
              <w:left w:w="108" w:type="dxa"/>
              <w:right w:w="108" w:type="dxa"/>
            </w:tcMar>
            <w:vAlign w:val="center"/>
          </w:tcPr>
          <w:p w14:paraId="76B0245D" w14:textId="77777777" w:rsidR="0057163C" w:rsidRPr="00170422" w:rsidRDefault="00F37BF9">
            <w:pPr>
              <w:pStyle w:val="P68B1DB1-Normal121"/>
              <w:spacing w:after="0" w:line="240" w:lineRule="auto"/>
              <w:jc w:val="center"/>
              <w:rPr>
                <w:noProof/>
                <w:lang w:val="de-DE"/>
              </w:rPr>
            </w:pPr>
            <w:r w:rsidRPr="00170422">
              <w:rPr>
                <w:noProof/>
                <w:lang w:val="de-DE"/>
              </w:rPr>
              <w:t>M4C2-16 bis</w:t>
            </w:r>
          </w:p>
        </w:tc>
        <w:tc>
          <w:tcPr>
            <w:tcW w:w="2268" w:type="dxa"/>
            <w:shd w:val="clear" w:color="auto" w:fill="C6EFCE"/>
            <w:tcMar>
              <w:left w:w="108" w:type="dxa"/>
              <w:right w:w="108" w:type="dxa"/>
            </w:tcMar>
            <w:vAlign w:val="center"/>
          </w:tcPr>
          <w:p w14:paraId="5E6FF18E" w14:textId="77777777" w:rsidR="0057163C" w:rsidRPr="00170422" w:rsidRDefault="00F37BF9">
            <w:pPr>
              <w:pStyle w:val="P68B1DB1-Normal121"/>
              <w:spacing w:after="0" w:line="240" w:lineRule="auto"/>
              <w:rPr>
                <w:noProof/>
                <w:lang w:val="de-DE"/>
              </w:rPr>
            </w:pPr>
            <w:r w:rsidRPr="00170422">
              <w:rPr>
                <w:noProof/>
                <w:lang w:val="de-DE"/>
              </w:rPr>
              <w:t>Investition 3.1: Forschungs- und Innovationsinfrastrukturen</w:t>
            </w:r>
          </w:p>
        </w:tc>
        <w:tc>
          <w:tcPr>
            <w:tcW w:w="2155" w:type="dxa"/>
            <w:shd w:val="clear" w:color="auto" w:fill="C6EFCE"/>
            <w:tcMar>
              <w:left w:w="108" w:type="dxa"/>
              <w:right w:w="108" w:type="dxa"/>
            </w:tcMar>
            <w:vAlign w:val="center"/>
          </w:tcPr>
          <w:p w14:paraId="0792B27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21D5964A" w14:textId="77777777" w:rsidR="0057163C" w:rsidRPr="00170422" w:rsidRDefault="00F37BF9">
            <w:pPr>
              <w:pStyle w:val="P68B1DB1-Normal121"/>
              <w:spacing w:after="0" w:line="240" w:lineRule="auto"/>
              <w:rPr>
                <w:noProof/>
                <w:lang w:val="de-DE"/>
              </w:rPr>
            </w:pPr>
            <w:r w:rsidRPr="00170422">
              <w:rPr>
                <w:noProof/>
                <w:lang w:val="de-DE"/>
              </w:rPr>
              <w:t xml:space="preserve">Zahl der Forschungs- und Innovationsinfrastrukturen, die ihre Tätigkeiten abgeschlossen haben </w:t>
            </w:r>
          </w:p>
        </w:tc>
      </w:tr>
      <w:tr w:rsidR="0057163C" w:rsidRPr="00170422" w14:paraId="3D9A9932" w14:textId="77777777" w:rsidTr="00E7779A">
        <w:trPr>
          <w:trHeight w:val="300"/>
        </w:trPr>
        <w:tc>
          <w:tcPr>
            <w:tcW w:w="1406" w:type="dxa"/>
            <w:shd w:val="clear" w:color="auto" w:fill="C6EFCE"/>
            <w:tcMar>
              <w:left w:w="108" w:type="dxa"/>
              <w:right w:w="108" w:type="dxa"/>
            </w:tcMar>
            <w:vAlign w:val="center"/>
          </w:tcPr>
          <w:p w14:paraId="263FB6AE" w14:textId="77777777" w:rsidR="0057163C" w:rsidRPr="00170422" w:rsidRDefault="00F37BF9">
            <w:pPr>
              <w:pStyle w:val="P68B1DB1-Normal121"/>
              <w:spacing w:after="0" w:line="240" w:lineRule="auto"/>
              <w:jc w:val="center"/>
              <w:rPr>
                <w:noProof/>
                <w:lang w:val="de-DE"/>
              </w:rPr>
            </w:pPr>
            <w:r w:rsidRPr="00170422">
              <w:rPr>
                <w:noProof/>
                <w:lang w:val="de-DE"/>
              </w:rPr>
              <w:t>M4C2-18 bis</w:t>
            </w:r>
          </w:p>
        </w:tc>
        <w:tc>
          <w:tcPr>
            <w:tcW w:w="2268" w:type="dxa"/>
            <w:shd w:val="clear" w:color="auto" w:fill="C6EFCE"/>
            <w:tcMar>
              <w:left w:w="108" w:type="dxa"/>
              <w:right w:w="108" w:type="dxa"/>
            </w:tcMar>
            <w:vAlign w:val="center"/>
          </w:tcPr>
          <w:p w14:paraId="754FFE9C" w14:textId="77777777" w:rsidR="0057163C" w:rsidRPr="00170422" w:rsidRDefault="00F37BF9">
            <w:pPr>
              <w:pStyle w:val="P68B1DB1-Normal121"/>
              <w:spacing w:after="0" w:line="240" w:lineRule="auto"/>
              <w:rPr>
                <w:noProof/>
                <w:lang w:val="de-DE"/>
              </w:rPr>
            </w:pPr>
            <w:r w:rsidRPr="00170422">
              <w:rPr>
                <w:noProof/>
                <w:lang w:val="de-DE"/>
              </w:rPr>
              <w:t>Invement1.5: „Innovationsökosysteme für Nachhaltigkeit“, Aufbau einer „territorialen Führungsposition in Forschung und Entwicklung“</w:t>
            </w:r>
          </w:p>
        </w:tc>
        <w:tc>
          <w:tcPr>
            <w:tcW w:w="2155" w:type="dxa"/>
            <w:shd w:val="clear" w:color="auto" w:fill="C6EFCE"/>
            <w:tcMar>
              <w:left w:w="108" w:type="dxa"/>
              <w:right w:w="108" w:type="dxa"/>
            </w:tcMar>
            <w:vAlign w:val="center"/>
          </w:tcPr>
          <w:p w14:paraId="18E798D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07E0293C" w14:textId="316BDE59" w:rsidR="0057163C" w:rsidRPr="00170422" w:rsidRDefault="00F37BF9">
            <w:pPr>
              <w:pStyle w:val="P68B1DB1-Normal121"/>
              <w:spacing w:after="0" w:line="240" w:lineRule="auto"/>
              <w:rPr>
                <w:noProof/>
                <w:lang w:val="de-DE"/>
              </w:rPr>
            </w:pPr>
            <w:r w:rsidRPr="00170422">
              <w:rPr>
                <w:noProof/>
                <w:lang w:val="de-DE"/>
              </w:rPr>
              <w:t xml:space="preserve">Von den </w:t>
            </w:r>
            <w:r w:rsidRPr="00170422">
              <w:rPr>
                <w:noProof/>
                <w:lang w:val="de-DE"/>
              </w:rPr>
              <w:t>Innovationsökosystemen durchgeführte Tätigkeiten</w:t>
            </w:r>
          </w:p>
        </w:tc>
      </w:tr>
      <w:tr w:rsidR="0057163C" w:rsidRPr="00170422" w14:paraId="5CFCAD4F" w14:textId="77777777" w:rsidTr="00E7779A">
        <w:trPr>
          <w:trHeight w:val="300"/>
        </w:trPr>
        <w:tc>
          <w:tcPr>
            <w:tcW w:w="1406" w:type="dxa"/>
            <w:shd w:val="clear" w:color="auto" w:fill="C6EFCE"/>
            <w:tcMar>
              <w:left w:w="108" w:type="dxa"/>
              <w:right w:w="108" w:type="dxa"/>
            </w:tcMar>
            <w:vAlign w:val="center"/>
          </w:tcPr>
          <w:p w14:paraId="6EF3E80E" w14:textId="77777777" w:rsidR="0057163C" w:rsidRPr="00170422" w:rsidRDefault="00F37BF9">
            <w:pPr>
              <w:pStyle w:val="P68B1DB1-Normal121"/>
              <w:spacing w:after="0" w:line="240" w:lineRule="auto"/>
              <w:jc w:val="center"/>
              <w:rPr>
                <w:noProof/>
                <w:lang w:val="de-DE"/>
              </w:rPr>
            </w:pPr>
            <w:r w:rsidRPr="00170422">
              <w:rPr>
                <w:noProof/>
                <w:lang w:val="de-DE"/>
              </w:rPr>
              <w:t>M4C2-21</w:t>
            </w:r>
          </w:p>
        </w:tc>
        <w:tc>
          <w:tcPr>
            <w:tcW w:w="2268" w:type="dxa"/>
            <w:shd w:val="clear" w:color="auto" w:fill="C6EFCE"/>
            <w:tcMar>
              <w:left w:w="108" w:type="dxa"/>
              <w:right w:w="108" w:type="dxa"/>
            </w:tcMar>
            <w:vAlign w:val="center"/>
          </w:tcPr>
          <w:p w14:paraId="1E1A5993" w14:textId="77777777" w:rsidR="0057163C" w:rsidRPr="00170422" w:rsidRDefault="00F37BF9">
            <w:pPr>
              <w:pStyle w:val="P68B1DB1-Normal121"/>
              <w:spacing w:after="0" w:line="240" w:lineRule="auto"/>
              <w:rPr>
                <w:noProof/>
                <w:lang w:val="de-DE"/>
              </w:rPr>
            </w:pPr>
            <w:r w:rsidRPr="00170422">
              <w:rPr>
                <w:noProof/>
                <w:lang w:val="de-DE"/>
              </w:rPr>
              <w:t>Investition 3.2 – Eigenkapitalzufuhr in den Fonds für den digitalen Wandel (DTF)</w:t>
            </w:r>
          </w:p>
        </w:tc>
        <w:tc>
          <w:tcPr>
            <w:tcW w:w="2155" w:type="dxa"/>
            <w:shd w:val="clear" w:color="auto" w:fill="C6EFCE"/>
            <w:tcMar>
              <w:left w:w="108" w:type="dxa"/>
              <w:right w:w="108" w:type="dxa"/>
            </w:tcMar>
            <w:vAlign w:val="center"/>
          </w:tcPr>
          <w:p w14:paraId="73EB12D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1C3FF73D" w14:textId="77777777" w:rsidR="0057163C" w:rsidRPr="00170422" w:rsidRDefault="00F37BF9">
            <w:pPr>
              <w:pStyle w:val="P68B1DB1-Normal121"/>
              <w:spacing w:after="0" w:line="240" w:lineRule="auto"/>
              <w:rPr>
                <w:noProof/>
                <w:lang w:val="de-DE"/>
              </w:rPr>
            </w:pPr>
            <w:r w:rsidRPr="00170422">
              <w:rPr>
                <w:noProof/>
                <w:lang w:val="de-DE"/>
              </w:rPr>
              <w:t>Verabschiedung eines Berichts</w:t>
            </w:r>
          </w:p>
        </w:tc>
      </w:tr>
      <w:tr w:rsidR="0057163C" w:rsidRPr="00170422" w14:paraId="2ADE749A" w14:textId="77777777" w:rsidTr="00E7779A">
        <w:trPr>
          <w:trHeight w:val="300"/>
        </w:trPr>
        <w:tc>
          <w:tcPr>
            <w:tcW w:w="1406" w:type="dxa"/>
            <w:shd w:val="clear" w:color="auto" w:fill="C6EFCE"/>
            <w:tcMar>
              <w:left w:w="108" w:type="dxa"/>
              <w:right w:w="108" w:type="dxa"/>
            </w:tcMar>
            <w:vAlign w:val="center"/>
          </w:tcPr>
          <w:p w14:paraId="64919AD8" w14:textId="77777777" w:rsidR="0057163C" w:rsidRPr="00170422" w:rsidRDefault="00F37BF9">
            <w:pPr>
              <w:pStyle w:val="P68B1DB1-Normal121"/>
              <w:spacing w:after="0" w:line="240" w:lineRule="auto"/>
              <w:jc w:val="center"/>
              <w:rPr>
                <w:noProof/>
                <w:lang w:val="de-DE"/>
              </w:rPr>
            </w:pPr>
            <w:r w:rsidRPr="00170422">
              <w:rPr>
                <w:noProof/>
                <w:lang w:val="de-DE"/>
              </w:rPr>
              <w:t>M5C2-12</w:t>
            </w:r>
          </w:p>
        </w:tc>
        <w:tc>
          <w:tcPr>
            <w:tcW w:w="2268" w:type="dxa"/>
            <w:shd w:val="clear" w:color="auto" w:fill="C6EFCE"/>
            <w:tcMar>
              <w:left w:w="108" w:type="dxa"/>
              <w:right w:w="108" w:type="dxa"/>
            </w:tcMar>
            <w:vAlign w:val="center"/>
          </w:tcPr>
          <w:p w14:paraId="40EE46EE" w14:textId="77777777" w:rsidR="0057163C" w:rsidRPr="00170422" w:rsidRDefault="00F37BF9">
            <w:pPr>
              <w:pStyle w:val="P68B1DB1-Normal121"/>
              <w:spacing w:after="0" w:line="240" w:lineRule="auto"/>
              <w:rPr>
                <w:noProof/>
                <w:lang w:val="de-DE"/>
              </w:rPr>
            </w:pPr>
            <w:r w:rsidRPr="00170422">
              <w:rPr>
                <w:noProof/>
                <w:lang w:val="de-DE"/>
              </w:rPr>
              <w:t xml:space="preserve">Investition 4 – Investitionen in Stadterneuerungsprojekte zur </w:t>
            </w:r>
            <w:r w:rsidRPr="00170422">
              <w:rPr>
                <w:noProof/>
                <w:lang w:val="de-DE"/>
              </w:rPr>
              <w:t>Verringerung von Marginalisierung und sozialer Degradation</w:t>
            </w:r>
          </w:p>
        </w:tc>
        <w:tc>
          <w:tcPr>
            <w:tcW w:w="2155" w:type="dxa"/>
            <w:shd w:val="clear" w:color="auto" w:fill="C6EFCE"/>
            <w:tcMar>
              <w:left w:w="108" w:type="dxa"/>
              <w:right w:w="108" w:type="dxa"/>
            </w:tcMar>
            <w:vAlign w:val="center"/>
          </w:tcPr>
          <w:p w14:paraId="1023F8F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F131A22" w14:textId="77777777" w:rsidR="0057163C" w:rsidRPr="00170422" w:rsidRDefault="00F37BF9">
            <w:pPr>
              <w:pStyle w:val="P68B1DB1-Normal121"/>
              <w:spacing w:after="0" w:line="240" w:lineRule="auto"/>
              <w:rPr>
                <w:noProof/>
                <w:lang w:val="de-DE"/>
              </w:rPr>
            </w:pPr>
            <w:r w:rsidRPr="00170422">
              <w:rPr>
                <w:noProof/>
                <w:lang w:val="de-DE"/>
              </w:rPr>
              <w:t>Projekte für Maßnahmen zur Stadterneuerung, die Gemeinden betreffen</w:t>
            </w:r>
          </w:p>
        </w:tc>
      </w:tr>
      <w:tr w:rsidR="0057163C" w:rsidRPr="00170422" w14:paraId="589BEEE1" w14:textId="77777777" w:rsidTr="00E7779A">
        <w:trPr>
          <w:trHeight w:val="300"/>
        </w:trPr>
        <w:tc>
          <w:tcPr>
            <w:tcW w:w="1406" w:type="dxa"/>
            <w:shd w:val="clear" w:color="auto" w:fill="C6EFCE"/>
            <w:tcMar>
              <w:left w:w="108" w:type="dxa"/>
              <w:right w:w="108" w:type="dxa"/>
            </w:tcMar>
            <w:vAlign w:val="center"/>
          </w:tcPr>
          <w:p w14:paraId="332C0127" w14:textId="77777777" w:rsidR="0057163C" w:rsidRPr="00170422" w:rsidRDefault="00F37BF9">
            <w:pPr>
              <w:pStyle w:val="P68B1DB1-Normal121"/>
              <w:spacing w:after="0" w:line="240" w:lineRule="auto"/>
              <w:jc w:val="center"/>
              <w:rPr>
                <w:noProof/>
                <w:lang w:val="de-DE"/>
              </w:rPr>
            </w:pPr>
            <w:r w:rsidRPr="00170422">
              <w:rPr>
                <w:noProof/>
                <w:lang w:val="de-DE"/>
              </w:rPr>
              <w:t>M5C2-14</w:t>
            </w:r>
          </w:p>
        </w:tc>
        <w:tc>
          <w:tcPr>
            <w:tcW w:w="2268" w:type="dxa"/>
            <w:shd w:val="clear" w:color="auto" w:fill="C6EFCE"/>
            <w:tcMar>
              <w:left w:w="108" w:type="dxa"/>
              <w:right w:w="108" w:type="dxa"/>
            </w:tcMar>
            <w:vAlign w:val="center"/>
          </w:tcPr>
          <w:p w14:paraId="3A34FA67" w14:textId="77777777" w:rsidR="0057163C" w:rsidRPr="00170422" w:rsidRDefault="00F37BF9">
            <w:pPr>
              <w:pStyle w:val="P68B1DB1-Normal121"/>
              <w:spacing w:after="0" w:line="240" w:lineRule="auto"/>
              <w:rPr>
                <w:noProof/>
                <w:lang w:val="de-DE"/>
              </w:rPr>
            </w:pPr>
            <w:r w:rsidRPr="00170422">
              <w:rPr>
                <w:noProof/>
                <w:lang w:val="de-DE"/>
              </w:rPr>
              <w:t>Investition 5 – integrierte städtische Pläne – allgemeine Projekte</w:t>
            </w:r>
          </w:p>
        </w:tc>
        <w:tc>
          <w:tcPr>
            <w:tcW w:w="2155" w:type="dxa"/>
            <w:shd w:val="clear" w:color="auto" w:fill="C6EFCE"/>
            <w:tcMar>
              <w:left w:w="108" w:type="dxa"/>
              <w:right w:w="108" w:type="dxa"/>
            </w:tcMar>
            <w:vAlign w:val="center"/>
          </w:tcPr>
          <w:p w14:paraId="1D7714F7"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C6C0F82" w14:textId="77777777" w:rsidR="0057163C" w:rsidRPr="00170422" w:rsidRDefault="00F37BF9">
            <w:pPr>
              <w:pStyle w:val="P68B1DB1-Normal121"/>
              <w:spacing w:after="0" w:line="240" w:lineRule="auto"/>
              <w:rPr>
                <w:noProof/>
                <w:lang w:val="de-DE"/>
              </w:rPr>
            </w:pPr>
            <w:r w:rsidRPr="00170422">
              <w:rPr>
                <w:noProof/>
                <w:lang w:val="de-DE"/>
              </w:rPr>
              <w:t xml:space="preserve">Abschluss integrierter Planungsprojekte in </w:t>
            </w:r>
            <w:r w:rsidRPr="00170422">
              <w:rPr>
                <w:noProof/>
                <w:lang w:val="de-DE"/>
              </w:rPr>
              <w:t>Großstädten</w:t>
            </w:r>
          </w:p>
        </w:tc>
      </w:tr>
      <w:tr w:rsidR="0057163C" w:rsidRPr="00170422" w14:paraId="1E9AE1A7" w14:textId="77777777" w:rsidTr="00E7779A">
        <w:trPr>
          <w:trHeight w:val="300"/>
        </w:trPr>
        <w:tc>
          <w:tcPr>
            <w:tcW w:w="1406" w:type="dxa"/>
            <w:shd w:val="clear" w:color="auto" w:fill="C6EFCE"/>
            <w:tcMar>
              <w:left w:w="108" w:type="dxa"/>
              <w:right w:w="108" w:type="dxa"/>
            </w:tcMar>
            <w:vAlign w:val="center"/>
          </w:tcPr>
          <w:p w14:paraId="712802EE" w14:textId="77777777" w:rsidR="0057163C" w:rsidRPr="00170422" w:rsidRDefault="00F37BF9">
            <w:pPr>
              <w:pStyle w:val="P68B1DB1-Normal121"/>
              <w:spacing w:after="0" w:line="240" w:lineRule="auto"/>
              <w:jc w:val="center"/>
              <w:rPr>
                <w:noProof/>
                <w:lang w:val="de-DE"/>
              </w:rPr>
            </w:pPr>
            <w:r w:rsidRPr="00170422">
              <w:rPr>
                <w:noProof/>
                <w:lang w:val="de-DE"/>
              </w:rPr>
              <w:t>M5C2-16</w:t>
            </w:r>
          </w:p>
        </w:tc>
        <w:tc>
          <w:tcPr>
            <w:tcW w:w="2268" w:type="dxa"/>
            <w:shd w:val="clear" w:color="auto" w:fill="C6EFCE"/>
            <w:tcMar>
              <w:left w:w="108" w:type="dxa"/>
              <w:right w:w="108" w:type="dxa"/>
            </w:tcMar>
            <w:vAlign w:val="center"/>
          </w:tcPr>
          <w:p w14:paraId="27055275" w14:textId="77777777" w:rsidR="0057163C" w:rsidRPr="00170422" w:rsidRDefault="00F37BF9">
            <w:pPr>
              <w:pStyle w:val="P68B1DB1-Normal121"/>
              <w:spacing w:after="0" w:line="240" w:lineRule="auto"/>
              <w:rPr>
                <w:noProof/>
                <w:lang w:val="de-DE"/>
              </w:rPr>
            </w:pPr>
            <w:r w:rsidRPr="00170422">
              <w:rPr>
                <w:noProof/>
                <w:lang w:val="de-DE"/>
              </w:rPr>
              <w:t>Investition 5 – Integrierte städtische Pläne – Überwindung illegaler Siedlungen zur Bekämpfung der Ausbeutung von Arbeitskräften in der Landwirtschaft</w:t>
            </w:r>
          </w:p>
        </w:tc>
        <w:tc>
          <w:tcPr>
            <w:tcW w:w="2155" w:type="dxa"/>
            <w:shd w:val="clear" w:color="auto" w:fill="C6EFCE"/>
            <w:tcMar>
              <w:left w:w="108" w:type="dxa"/>
              <w:right w:w="108" w:type="dxa"/>
            </w:tcMar>
            <w:vAlign w:val="center"/>
          </w:tcPr>
          <w:p w14:paraId="12391ED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46194EC" w14:textId="77777777" w:rsidR="0057163C" w:rsidRPr="00170422" w:rsidRDefault="00F37BF9">
            <w:pPr>
              <w:pStyle w:val="P68B1DB1-Normal121"/>
              <w:spacing w:after="0" w:line="240" w:lineRule="auto"/>
              <w:rPr>
                <w:noProof/>
                <w:lang w:val="de-DE"/>
              </w:rPr>
            </w:pPr>
            <w:r w:rsidRPr="00170422">
              <w:rPr>
                <w:noProof/>
                <w:lang w:val="de-DE"/>
              </w:rPr>
              <w:t xml:space="preserve">Projekte zum Thema Wohnraum für Arbeitnehmer in der Landwirtschaft und </w:t>
            </w:r>
            <w:r w:rsidRPr="00170422">
              <w:rPr>
                <w:noProof/>
                <w:lang w:val="de-DE"/>
              </w:rPr>
              <w:t>Einrichtung einer Plattform</w:t>
            </w:r>
          </w:p>
        </w:tc>
      </w:tr>
      <w:tr w:rsidR="0057163C" w:rsidRPr="00170422" w14:paraId="032F0736" w14:textId="77777777" w:rsidTr="00E7779A">
        <w:trPr>
          <w:trHeight w:val="300"/>
        </w:trPr>
        <w:tc>
          <w:tcPr>
            <w:tcW w:w="1406" w:type="dxa"/>
            <w:shd w:val="clear" w:color="auto" w:fill="C6EFCE"/>
            <w:tcMar>
              <w:left w:w="108" w:type="dxa"/>
              <w:right w:w="108" w:type="dxa"/>
            </w:tcMar>
            <w:vAlign w:val="center"/>
          </w:tcPr>
          <w:p w14:paraId="12B05429" w14:textId="77777777" w:rsidR="0057163C" w:rsidRPr="00170422" w:rsidRDefault="00F37BF9">
            <w:pPr>
              <w:pStyle w:val="P68B1DB1-Normal121"/>
              <w:spacing w:after="0" w:line="240" w:lineRule="auto"/>
              <w:jc w:val="center"/>
              <w:rPr>
                <w:noProof/>
                <w:lang w:val="de-DE"/>
              </w:rPr>
            </w:pPr>
            <w:r w:rsidRPr="00170422">
              <w:rPr>
                <w:noProof/>
                <w:lang w:val="de-DE"/>
              </w:rPr>
              <w:t>M5C2-22</w:t>
            </w:r>
          </w:p>
        </w:tc>
        <w:tc>
          <w:tcPr>
            <w:tcW w:w="2268" w:type="dxa"/>
            <w:shd w:val="clear" w:color="auto" w:fill="C6EFCE"/>
            <w:tcMar>
              <w:left w:w="108" w:type="dxa"/>
              <w:right w:w="108" w:type="dxa"/>
            </w:tcMar>
            <w:vAlign w:val="center"/>
          </w:tcPr>
          <w:p w14:paraId="11997626" w14:textId="77777777" w:rsidR="0057163C" w:rsidRPr="00170422" w:rsidRDefault="00F37BF9">
            <w:pPr>
              <w:pStyle w:val="P68B1DB1-Normal121"/>
              <w:spacing w:after="0" w:line="240" w:lineRule="auto"/>
              <w:rPr>
                <w:noProof/>
                <w:lang w:val="de-DE"/>
              </w:rPr>
            </w:pPr>
            <w:r w:rsidRPr="00170422">
              <w:rPr>
                <w:noProof/>
                <w:lang w:val="de-DE"/>
              </w:rPr>
              <w:t xml:space="preserve">Investition 7 – Sport und soziale Eingliederung </w:t>
            </w:r>
          </w:p>
        </w:tc>
        <w:tc>
          <w:tcPr>
            <w:tcW w:w="2155" w:type="dxa"/>
            <w:shd w:val="clear" w:color="auto" w:fill="C6EFCE"/>
            <w:tcMar>
              <w:left w:w="108" w:type="dxa"/>
              <w:right w:w="108" w:type="dxa"/>
            </w:tcMar>
            <w:vAlign w:val="center"/>
          </w:tcPr>
          <w:p w14:paraId="47564DB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4EF80DA" w14:textId="77777777" w:rsidR="0057163C" w:rsidRPr="00170422" w:rsidRDefault="00F37BF9">
            <w:pPr>
              <w:pStyle w:val="P68B1DB1-Normal121"/>
              <w:spacing w:after="0" w:line="240" w:lineRule="auto"/>
              <w:rPr>
                <w:noProof/>
                <w:lang w:val="de-DE"/>
              </w:rPr>
            </w:pPr>
            <w:r w:rsidRPr="00170422">
              <w:rPr>
                <w:noProof/>
                <w:lang w:val="de-DE"/>
              </w:rPr>
              <w:t>Ausstellung von Bescheinigungen über den Abschluss der Arbeiten</w:t>
            </w:r>
          </w:p>
        </w:tc>
      </w:tr>
      <w:tr w:rsidR="0057163C" w:rsidRPr="00170422" w14:paraId="7EBACB0E" w14:textId="77777777" w:rsidTr="00E7779A">
        <w:trPr>
          <w:trHeight w:val="300"/>
        </w:trPr>
        <w:tc>
          <w:tcPr>
            <w:tcW w:w="1406" w:type="dxa"/>
            <w:shd w:val="clear" w:color="auto" w:fill="C6EFCE"/>
            <w:tcMar>
              <w:left w:w="108" w:type="dxa"/>
              <w:right w:w="108" w:type="dxa"/>
            </w:tcMar>
            <w:vAlign w:val="center"/>
          </w:tcPr>
          <w:p w14:paraId="3E345831" w14:textId="77777777" w:rsidR="0057163C" w:rsidRPr="00170422" w:rsidRDefault="00F37BF9">
            <w:pPr>
              <w:pStyle w:val="P68B1DB1-Normal121"/>
              <w:spacing w:after="0" w:line="240" w:lineRule="auto"/>
              <w:jc w:val="center"/>
              <w:rPr>
                <w:noProof/>
                <w:lang w:val="de-DE"/>
              </w:rPr>
            </w:pPr>
            <w:r w:rsidRPr="00170422">
              <w:rPr>
                <w:noProof/>
                <w:lang w:val="de-DE"/>
              </w:rPr>
              <w:t>M5C3-13</w:t>
            </w:r>
          </w:p>
        </w:tc>
        <w:tc>
          <w:tcPr>
            <w:tcW w:w="2268" w:type="dxa"/>
            <w:shd w:val="clear" w:color="auto" w:fill="C6EFCE"/>
            <w:tcMar>
              <w:left w:w="108" w:type="dxa"/>
              <w:right w:w="108" w:type="dxa"/>
            </w:tcMar>
            <w:vAlign w:val="center"/>
          </w:tcPr>
          <w:p w14:paraId="792824C5" w14:textId="77777777" w:rsidR="0057163C" w:rsidRPr="00170422" w:rsidRDefault="00F37BF9">
            <w:pPr>
              <w:pStyle w:val="P68B1DB1-Normal121"/>
              <w:spacing w:after="0" w:line="240" w:lineRule="auto"/>
              <w:rPr>
                <w:noProof/>
                <w:lang w:val="de-DE"/>
              </w:rPr>
            </w:pPr>
            <w:r w:rsidRPr="00170422">
              <w:rPr>
                <w:noProof/>
                <w:lang w:val="de-DE"/>
              </w:rPr>
              <w:t>Investition 1.4: Infrastrukturinvestitionen für die Sonderwirtschaftszone</w:t>
            </w:r>
          </w:p>
        </w:tc>
        <w:tc>
          <w:tcPr>
            <w:tcW w:w="2155" w:type="dxa"/>
            <w:shd w:val="clear" w:color="auto" w:fill="C6EFCE"/>
            <w:tcMar>
              <w:left w:w="108" w:type="dxa"/>
              <w:right w:w="108" w:type="dxa"/>
            </w:tcMar>
            <w:vAlign w:val="center"/>
          </w:tcPr>
          <w:p w14:paraId="141789A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608E80B" w14:textId="77777777" w:rsidR="0057163C" w:rsidRPr="00170422" w:rsidRDefault="00F37BF9">
            <w:pPr>
              <w:pStyle w:val="P68B1DB1-Normal121"/>
              <w:spacing w:after="0" w:line="240" w:lineRule="auto"/>
              <w:rPr>
                <w:noProof/>
                <w:lang w:val="de-DE"/>
              </w:rPr>
            </w:pPr>
            <w:r w:rsidRPr="00170422">
              <w:rPr>
                <w:noProof/>
                <w:lang w:val="de-DE"/>
              </w:rPr>
              <w:t>Abschluss der</w:t>
            </w:r>
            <w:r w:rsidRPr="00170422">
              <w:rPr>
                <w:noProof/>
                <w:lang w:val="de-DE"/>
              </w:rPr>
              <w:t xml:space="preserve"> Infrastrukturmaßnahmen in den Sonderwirtschaftszonen.</w:t>
            </w:r>
          </w:p>
        </w:tc>
      </w:tr>
      <w:tr w:rsidR="0057163C" w:rsidRPr="00170422" w14:paraId="30F5AB4E" w14:textId="77777777" w:rsidTr="00E7779A">
        <w:trPr>
          <w:trHeight w:val="300"/>
        </w:trPr>
        <w:tc>
          <w:tcPr>
            <w:tcW w:w="1406" w:type="dxa"/>
            <w:shd w:val="clear" w:color="auto" w:fill="C6EFCE"/>
            <w:tcMar>
              <w:left w:w="108" w:type="dxa"/>
              <w:right w:w="108" w:type="dxa"/>
            </w:tcMar>
            <w:vAlign w:val="center"/>
          </w:tcPr>
          <w:p w14:paraId="5F0CC8DA" w14:textId="77777777" w:rsidR="0057163C" w:rsidRPr="00170422" w:rsidRDefault="00F37BF9">
            <w:pPr>
              <w:pStyle w:val="P68B1DB1-Normal121"/>
              <w:spacing w:after="0" w:line="240" w:lineRule="auto"/>
              <w:jc w:val="center"/>
              <w:rPr>
                <w:noProof/>
                <w:lang w:val="de-DE"/>
              </w:rPr>
            </w:pPr>
            <w:r w:rsidRPr="00170422">
              <w:rPr>
                <w:noProof/>
                <w:lang w:val="de-DE"/>
              </w:rPr>
              <w:t>M6C1-3</w:t>
            </w:r>
          </w:p>
        </w:tc>
        <w:tc>
          <w:tcPr>
            <w:tcW w:w="2268" w:type="dxa"/>
            <w:shd w:val="clear" w:color="auto" w:fill="C6EFCE"/>
            <w:tcMar>
              <w:left w:w="108" w:type="dxa"/>
              <w:right w:w="108" w:type="dxa"/>
            </w:tcMar>
            <w:vAlign w:val="center"/>
          </w:tcPr>
          <w:p w14:paraId="08823B46" w14:textId="77777777" w:rsidR="0057163C" w:rsidRPr="00170422" w:rsidRDefault="00F37BF9">
            <w:pPr>
              <w:pStyle w:val="P68B1DB1-Normal121"/>
              <w:spacing w:after="0" w:line="240" w:lineRule="auto"/>
              <w:rPr>
                <w:noProof/>
                <w:lang w:val="de-DE"/>
              </w:rPr>
            </w:pPr>
            <w:r w:rsidRPr="00170422">
              <w:rPr>
                <w:noProof/>
                <w:lang w:val="de-DE"/>
              </w:rPr>
              <w:t>Investition 1.1: Gemeinschaftliche Gesundheitseinrichtungen zur Verbesserung der territorialen Gesundheitsversorgung</w:t>
            </w:r>
          </w:p>
        </w:tc>
        <w:tc>
          <w:tcPr>
            <w:tcW w:w="2155" w:type="dxa"/>
            <w:shd w:val="clear" w:color="auto" w:fill="C6EFCE"/>
            <w:tcMar>
              <w:left w:w="108" w:type="dxa"/>
              <w:right w:w="108" w:type="dxa"/>
            </w:tcMar>
            <w:vAlign w:val="center"/>
          </w:tcPr>
          <w:p w14:paraId="0728AB6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E43252B" w14:textId="77777777" w:rsidR="0057163C" w:rsidRPr="00170422" w:rsidRDefault="00F37BF9">
            <w:pPr>
              <w:pStyle w:val="P68B1DB1-Normal121"/>
              <w:spacing w:after="0" w:line="240" w:lineRule="auto"/>
              <w:rPr>
                <w:noProof/>
                <w:lang w:val="de-DE"/>
              </w:rPr>
            </w:pPr>
            <w:r w:rsidRPr="00170422">
              <w:rPr>
                <w:noProof/>
                <w:lang w:val="de-DE"/>
              </w:rPr>
              <w:t xml:space="preserve">Die Dienste der gemeinschaftlichen Gesundheitseinrichtungen werden aktiviert. </w:t>
            </w:r>
          </w:p>
        </w:tc>
      </w:tr>
      <w:tr w:rsidR="0057163C" w:rsidRPr="00170422" w14:paraId="71FF1C8A" w14:textId="77777777" w:rsidTr="00E7779A">
        <w:trPr>
          <w:trHeight w:val="300"/>
        </w:trPr>
        <w:tc>
          <w:tcPr>
            <w:tcW w:w="1406" w:type="dxa"/>
            <w:shd w:val="clear" w:color="auto" w:fill="C6EFCE"/>
            <w:tcMar>
              <w:left w:w="108" w:type="dxa"/>
              <w:right w:w="108" w:type="dxa"/>
            </w:tcMar>
            <w:vAlign w:val="center"/>
          </w:tcPr>
          <w:p w14:paraId="5BB98A27" w14:textId="77777777" w:rsidR="0057163C" w:rsidRPr="00170422" w:rsidRDefault="00F37BF9">
            <w:pPr>
              <w:pStyle w:val="P68B1DB1-Normal121"/>
              <w:spacing w:after="0" w:line="240" w:lineRule="auto"/>
              <w:jc w:val="center"/>
              <w:rPr>
                <w:noProof/>
                <w:lang w:val="de-DE"/>
              </w:rPr>
            </w:pPr>
            <w:r w:rsidRPr="00170422">
              <w:rPr>
                <w:noProof/>
                <w:lang w:val="de-DE"/>
              </w:rPr>
              <w:t>M6C1-11</w:t>
            </w:r>
          </w:p>
        </w:tc>
        <w:tc>
          <w:tcPr>
            <w:tcW w:w="2268" w:type="dxa"/>
            <w:shd w:val="clear" w:color="auto" w:fill="C6EFCE"/>
            <w:tcMar>
              <w:left w:w="108" w:type="dxa"/>
              <w:right w:w="108" w:type="dxa"/>
            </w:tcMar>
            <w:vAlign w:val="center"/>
          </w:tcPr>
          <w:p w14:paraId="77F5EA8F" w14:textId="77777777" w:rsidR="0057163C" w:rsidRPr="00170422" w:rsidRDefault="00F37BF9">
            <w:pPr>
              <w:pStyle w:val="P68B1DB1-Normal121"/>
              <w:spacing w:after="0" w:line="240" w:lineRule="auto"/>
              <w:rPr>
                <w:noProof/>
                <w:lang w:val="de-DE"/>
              </w:rPr>
            </w:pPr>
            <w:r w:rsidRPr="00170422">
              <w:rPr>
                <w:noProof/>
                <w:lang w:val="de-DE"/>
              </w:rPr>
              <w:t>Investition 1.3: Stärkung der zwischengeschalteten Gesundheitsversorgung und ihrer Einrichtungen (Gemeinschaftskrankenhäuser)</w:t>
            </w:r>
          </w:p>
        </w:tc>
        <w:tc>
          <w:tcPr>
            <w:tcW w:w="2155" w:type="dxa"/>
            <w:shd w:val="clear" w:color="auto" w:fill="C6EFCE"/>
            <w:tcMar>
              <w:left w:w="108" w:type="dxa"/>
              <w:right w:w="108" w:type="dxa"/>
            </w:tcMar>
            <w:vAlign w:val="center"/>
          </w:tcPr>
          <w:p w14:paraId="30345B79"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3A5FD9B" w14:textId="123DBCD9" w:rsidR="0057163C" w:rsidRPr="00170422" w:rsidRDefault="00F37BF9">
            <w:pPr>
              <w:pStyle w:val="P68B1DB1-Normal121"/>
              <w:spacing w:after="0" w:line="240" w:lineRule="auto"/>
              <w:rPr>
                <w:noProof/>
                <w:lang w:val="de-DE"/>
              </w:rPr>
            </w:pPr>
            <w:r w:rsidRPr="00170422">
              <w:rPr>
                <w:noProof/>
                <w:lang w:val="de-DE"/>
              </w:rPr>
              <w:t>Renovierte, vernetzte und technologis</w:t>
            </w:r>
            <w:r w:rsidRPr="00170422">
              <w:rPr>
                <w:noProof/>
                <w:lang w:val="de-DE"/>
              </w:rPr>
              <w:t xml:space="preserve">ch ausgestattete kommunale Krankenhäuser </w:t>
            </w:r>
          </w:p>
        </w:tc>
      </w:tr>
      <w:tr w:rsidR="0057163C" w:rsidRPr="00170422" w14:paraId="60D40B2F" w14:textId="77777777" w:rsidTr="00E7779A">
        <w:trPr>
          <w:trHeight w:val="300"/>
        </w:trPr>
        <w:tc>
          <w:tcPr>
            <w:tcW w:w="1406" w:type="dxa"/>
            <w:shd w:val="clear" w:color="auto" w:fill="C6EFCE"/>
            <w:tcMar>
              <w:left w:w="108" w:type="dxa"/>
              <w:right w:w="108" w:type="dxa"/>
            </w:tcMar>
            <w:vAlign w:val="center"/>
          </w:tcPr>
          <w:p w14:paraId="62F6D64A" w14:textId="77777777" w:rsidR="0057163C" w:rsidRPr="00170422" w:rsidRDefault="00F37BF9">
            <w:pPr>
              <w:pStyle w:val="P68B1DB1-Normal121"/>
              <w:spacing w:after="0" w:line="240" w:lineRule="auto"/>
              <w:jc w:val="center"/>
              <w:rPr>
                <w:noProof/>
                <w:lang w:val="de-DE"/>
              </w:rPr>
            </w:pPr>
            <w:r w:rsidRPr="00170422">
              <w:rPr>
                <w:noProof/>
                <w:lang w:val="de-DE"/>
              </w:rPr>
              <w:t>M6C2-6</w:t>
            </w:r>
          </w:p>
        </w:tc>
        <w:tc>
          <w:tcPr>
            <w:tcW w:w="2268" w:type="dxa"/>
            <w:shd w:val="clear" w:color="auto" w:fill="C6EFCE"/>
            <w:tcMar>
              <w:left w:w="108" w:type="dxa"/>
              <w:right w:w="108" w:type="dxa"/>
            </w:tcMar>
            <w:vAlign w:val="center"/>
          </w:tcPr>
          <w:p w14:paraId="3287ADF9" w14:textId="77777777" w:rsidR="0057163C" w:rsidRPr="00170422" w:rsidRDefault="00F37BF9">
            <w:pPr>
              <w:pStyle w:val="P68B1DB1-Normal123"/>
              <w:spacing w:after="0" w:line="240" w:lineRule="auto"/>
              <w:rPr>
                <w:noProof/>
                <w:lang w:val="de-DE"/>
              </w:rPr>
            </w:pPr>
            <w:r w:rsidRPr="00170422">
              <w:rPr>
                <w:noProof/>
                <w:lang w:val="de-DE"/>
              </w:rPr>
              <w:t>Investition 1.1: Digitale Aktualisierung der technischen Ausrüstung von Krankenhäusern</w:t>
            </w:r>
          </w:p>
        </w:tc>
        <w:tc>
          <w:tcPr>
            <w:tcW w:w="2155" w:type="dxa"/>
            <w:shd w:val="clear" w:color="auto" w:fill="C6EFCE"/>
            <w:tcMar>
              <w:left w:w="108" w:type="dxa"/>
              <w:right w:w="108" w:type="dxa"/>
            </w:tcMar>
            <w:vAlign w:val="center"/>
          </w:tcPr>
          <w:p w14:paraId="1A2A022D"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8A22E38" w14:textId="77777777" w:rsidR="0057163C" w:rsidRPr="00170422" w:rsidRDefault="00F37BF9">
            <w:pPr>
              <w:pStyle w:val="P68B1DB1-Normal123"/>
              <w:spacing w:after="0" w:line="240" w:lineRule="auto"/>
              <w:rPr>
                <w:noProof/>
                <w:lang w:val="de-DE"/>
              </w:rPr>
            </w:pPr>
            <w:r w:rsidRPr="00170422">
              <w:rPr>
                <w:noProof/>
                <w:lang w:val="de-DE"/>
              </w:rPr>
              <w:t>Lieferung großer Diagnosegeräte</w:t>
            </w:r>
          </w:p>
        </w:tc>
      </w:tr>
      <w:tr w:rsidR="0057163C" w:rsidRPr="00170422" w14:paraId="627BC4CB" w14:textId="77777777" w:rsidTr="00E7779A">
        <w:trPr>
          <w:trHeight w:val="300"/>
        </w:trPr>
        <w:tc>
          <w:tcPr>
            <w:tcW w:w="1406" w:type="dxa"/>
            <w:shd w:val="clear" w:color="auto" w:fill="C6EFCE"/>
            <w:tcMar>
              <w:left w:w="108" w:type="dxa"/>
              <w:right w:w="108" w:type="dxa"/>
            </w:tcMar>
            <w:vAlign w:val="center"/>
          </w:tcPr>
          <w:p w14:paraId="41BDF90B" w14:textId="77777777" w:rsidR="0057163C" w:rsidRPr="00170422" w:rsidRDefault="00F37BF9">
            <w:pPr>
              <w:pStyle w:val="P68B1DB1-Normal121"/>
              <w:spacing w:after="0" w:line="240" w:lineRule="auto"/>
              <w:jc w:val="center"/>
              <w:rPr>
                <w:noProof/>
                <w:lang w:val="de-DE"/>
              </w:rPr>
            </w:pPr>
            <w:r w:rsidRPr="00170422">
              <w:rPr>
                <w:noProof/>
                <w:lang w:val="de-DE"/>
              </w:rPr>
              <w:t>M6C2-9</w:t>
            </w:r>
          </w:p>
        </w:tc>
        <w:tc>
          <w:tcPr>
            <w:tcW w:w="2268" w:type="dxa"/>
            <w:shd w:val="clear" w:color="auto" w:fill="C6EFCE"/>
            <w:tcMar>
              <w:left w:w="108" w:type="dxa"/>
              <w:right w:w="108" w:type="dxa"/>
            </w:tcMar>
            <w:vAlign w:val="center"/>
          </w:tcPr>
          <w:p w14:paraId="3007F536" w14:textId="77777777" w:rsidR="0057163C" w:rsidRPr="00170422" w:rsidRDefault="00F37BF9">
            <w:pPr>
              <w:pStyle w:val="P68B1DB1-Normal123"/>
              <w:spacing w:after="0" w:line="240" w:lineRule="auto"/>
              <w:rPr>
                <w:noProof/>
                <w:lang w:val="de-DE"/>
              </w:rPr>
            </w:pPr>
            <w:r w:rsidRPr="00170422">
              <w:rPr>
                <w:noProof/>
                <w:lang w:val="de-DE"/>
              </w:rPr>
              <w:t xml:space="preserve">Investition 1.1: Digitale Aktualisierung der technischen Ausrüstung von </w:t>
            </w:r>
            <w:r w:rsidRPr="00170422">
              <w:rPr>
                <w:noProof/>
                <w:lang w:val="de-DE"/>
              </w:rPr>
              <w:t>Krankenhäusern</w:t>
            </w:r>
          </w:p>
        </w:tc>
        <w:tc>
          <w:tcPr>
            <w:tcW w:w="2155" w:type="dxa"/>
            <w:shd w:val="clear" w:color="auto" w:fill="C6EFCE"/>
            <w:tcMar>
              <w:left w:w="108" w:type="dxa"/>
              <w:right w:w="108" w:type="dxa"/>
            </w:tcMar>
            <w:vAlign w:val="center"/>
          </w:tcPr>
          <w:p w14:paraId="3C56E6C5"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CDFD859" w14:textId="77777777" w:rsidR="0057163C" w:rsidRPr="00170422" w:rsidRDefault="00F37BF9">
            <w:pPr>
              <w:pStyle w:val="P68B1DB1-Normal123"/>
              <w:spacing w:after="0" w:line="240" w:lineRule="auto"/>
              <w:rPr>
                <w:noProof/>
                <w:lang w:val="de-DE"/>
              </w:rPr>
            </w:pPr>
            <w:r w:rsidRPr="00170422">
              <w:rPr>
                <w:noProof/>
                <w:lang w:val="de-DE"/>
              </w:rPr>
              <w:t>Zusätzliche Betten in Intensivstationen und subintensive Pflege</w:t>
            </w:r>
          </w:p>
        </w:tc>
      </w:tr>
      <w:tr w:rsidR="0057163C" w:rsidRPr="00170422" w14:paraId="6277A35E" w14:textId="77777777" w:rsidTr="00E7779A">
        <w:trPr>
          <w:trHeight w:val="300"/>
        </w:trPr>
        <w:tc>
          <w:tcPr>
            <w:tcW w:w="1406" w:type="dxa"/>
            <w:shd w:val="clear" w:color="auto" w:fill="C6EFCE"/>
            <w:tcMar>
              <w:left w:w="108" w:type="dxa"/>
              <w:right w:w="108" w:type="dxa"/>
            </w:tcMar>
            <w:vAlign w:val="center"/>
          </w:tcPr>
          <w:p w14:paraId="41398054" w14:textId="77777777" w:rsidR="0057163C" w:rsidRPr="00170422" w:rsidRDefault="00F37BF9">
            <w:pPr>
              <w:pStyle w:val="P68B1DB1-Normal121"/>
              <w:spacing w:after="0" w:line="240" w:lineRule="auto"/>
              <w:jc w:val="center"/>
              <w:rPr>
                <w:noProof/>
                <w:lang w:val="de-DE"/>
              </w:rPr>
            </w:pPr>
            <w:r w:rsidRPr="00170422">
              <w:rPr>
                <w:noProof/>
                <w:lang w:val="de-DE"/>
              </w:rPr>
              <w:t>M6C2-10</w:t>
            </w:r>
          </w:p>
        </w:tc>
        <w:tc>
          <w:tcPr>
            <w:tcW w:w="2268" w:type="dxa"/>
            <w:shd w:val="clear" w:color="auto" w:fill="C6EFCE"/>
            <w:tcMar>
              <w:left w:w="108" w:type="dxa"/>
              <w:right w:w="108" w:type="dxa"/>
            </w:tcMar>
            <w:vAlign w:val="center"/>
          </w:tcPr>
          <w:p w14:paraId="55FCF586" w14:textId="77777777" w:rsidR="0057163C" w:rsidRPr="00170422" w:rsidRDefault="00F37BF9">
            <w:pPr>
              <w:pStyle w:val="P68B1DB1-Normal123"/>
              <w:spacing w:after="0" w:line="240" w:lineRule="auto"/>
              <w:rPr>
                <w:noProof/>
                <w:lang w:val="de-DE"/>
              </w:rPr>
            </w:pPr>
            <w:r w:rsidRPr="00170422">
              <w:rPr>
                <w:noProof/>
                <w:lang w:val="de-DE"/>
              </w:rPr>
              <w:t>Investition 1.2: Auf dem Weg zu einem sicheren und nachhaltigen Krankenhaus</w:t>
            </w:r>
          </w:p>
        </w:tc>
        <w:tc>
          <w:tcPr>
            <w:tcW w:w="2155" w:type="dxa"/>
            <w:shd w:val="clear" w:color="auto" w:fill="C6EFCE"/>
            <w:tcMar>
              <w:left w:w="108" w:type="dxa"/>
              <w:right w:w="108" w:type="dxa"/>
            </w:tcMar>
            <w:vAlign w:val="center"/>
          </w:tcPr>
          <w:p w14:paraId="6463FBCE"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ABFFDC7" w14:textId="77777777" w:rsidR="0057163C" w:rsidRPr="00170422" w:rsidRDefault="00F37BF9">
            <w:pPr>
              <w:pStyle w:val="P68B1DB1-Normal123"/>
              <w:spacing w:after="0" w:line="240" w:lineRule="auto"/>
              <w:rPr>
                <w:noProof/>
                <w:lang w:val="de-DE"/>
              </w:rPr>
            </w:pPr>
            <w:r w:rsidRPr="00170422">
              <w:rPr>
                <w:noProof/>
                <w:lang w:val="de-DE"/>
              </w:rPr>
              <w:t>Abschluss antiseismischer Maßnahmen in Krankenhäusern</w:t>
            </w:r>
          </w:p>
        </w:tc>
      </w:tr>
      <w:tr w:rsidR="0057163C" w:rsidRPr="00170422" w14:paraId="1297A5B5" w14:textId="77777777" w:rsidTr="00E7779A">
        <w:trPr>
          <w:trHeight w:val="300"/>
        </w:trPr>
        <w:tc>
          <w:tcPr>
            <w:tcW w:w="1406" w:type="dxa"/>
            <w:shd w:val="clear" w:color="auto" w:fill="C6EFCE"/>
            <w:tcMar>
              <w:left w:w="108" w:type="dxa"/>
              <w:right w:w="108" w:type="dxa"/>
            </w:tcMar>
            <w:vAlign w:val="center"/>
          </w:tcPr>
          <w:p w14:paraId="22C33274" w14:textId="77777777" w:rsidR="0057163C" w:rsidRPr="00170422" w:rsidRDefault="00F37BF9">
            <w:pPr>
              <w:pStyle w:val="P68B1DB1-Normal121"/>
              <w:spacing w:after="0" w:line="240" w:lineRule="auto"/>
              <w:jc w:val="center"/>
              <w:rPr>
                <w:noProof/>
                <w:lang w:val="de-DE"/>
              </w:rPr>
            </w:pPr>
            <w:r w:rsidRPr="00170422">
              <w:rPr>
                <w:noProof/>
                <w:lang w:val="de-DE"/>
              </w:rPr>
              <w:t>M6C2-10 bis</w:t>
            </w:r>
          </w:p>
        </w:tc>
        <w:tc>
          <w:tcPr>
            <w:tcW w:w="2268" w:type="dxa"/>
            <w:shd w:val="clear" w:color="auto" w:fill="C6EFCE"/>
            <w:tcMar>
              <w:left w:w="108" w:type="dxa"/>
              <w:right w:w="108" w:type="dxa"/>
            </w:tcMar>
            <w:vAlign w:val="center"/>
          </w:tcPr>
          <w:p w14:paraId="357355CC" w14:textId="77777777" w:rsidR="0057163C" w:rsidRPr="00170422" w:rsidRDefault="00F37BF9">
            <w:pPr>
              <w:pStyle w:val="P68B1DB1-Normal123"/>
              <w:spacing w:after="0" w:line="240" w:lineRule="auto"/>
              <w:rPr>
                <w:noProof/>
                <w:lang w:val="de-DE"/>
              </w:rPr>
            </w:pPr>
            <w:r w:rsidRPr="00170422">
              <w:rPr>
                <w:noProof/>
                <w:lang w:val="de-DE"/>
              </w:rPr>
              <w:t xml:space="preserve">Investition </w:t>
            </w:r>
            <w:r w:rsidRPr="00170422">
              <w:rPr>
                <w:noProof/>
                <w:lang w:val="de-DE"/>
              </w:rPr>
              <w:t>1.2: Auf dem Weg zu einem sicheren und nachhaltigen Krankenhaus</w:t>
            </w:r>
          </w:p>
        </w:tc>
        <w:tc>
          <w:tcPr>
            <w:tcW w:w="2155" w:type="dxa"/>
            <w:shd w:val="clear" w:color="auto" w:fill="C6EFCE"/>
            <w:tcMar>
              <w:left w:w="108" w:type="dxa"/>
              <w:right w:w="108" w:type="dxa"/>
            </w:tcMar>
            <w:vAlign w:val="center"/>
          </w:tcPr>
          <w:p w14:paraId="24AF3BCB"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1959590" w14:textId="77777777" w:rsidR="0057163C" w:rsidRPr="00170422" w:rsidRDefault="00F37BF9">
            <w:pPr>
              <w:pStyle w:val="P68B1DB1-Normal123"/>
              <w:spacing w:after="0" w:line="240" w:lineRule="auto"/>
              <w:rPr>
                <w:noProof/>
                <w:lang w:val="de-DE"/>
              </w:rPr>
            </w:pPr>
            <w:r w:rsidRPr="00170422">
              <w:rPr>
                <w:noProof/>
                <w:lang w:val="de-DE"/>
              </w:rPr>
              <w:t>Auszahlung von Mitteln aus der Aufbau- und Resilienzfazilität für Projekte gemäß Artikel 20 des Finanzgesetzes 67/88 Gebäude im Gesundheitswesen</w:t>
            </w:r>
          </w:p>
        </w:tc>
      </w:tr>
      <w:tr w:rsidR="0057163C" w:rsidRPr="00170422" w14:paraId="348ACAF3" w14:textId="77777777" w:rsidTr="00E7779A">
        <w:trPr>
          <w:trHeight w:val="300"/>
        </w:trPr>
        <w:tc>
          <w:tcPr>
            <w:tcW w:w="1406" w:type="dxa"/>
            <w:shd w:val="clear" w:color="auto" w:fill="C6EFCE"/>
            <w:tcMar>
              <w:left w:w="108" w:type="dxa"/>
              <w:right w:w="108" w:type="dxa"/>
            </w:tcMar>
            <w:vAlign w:val="center"/>
          </w:tcPr>
          <w:p w14:paraId="5EBCD5E9" w14:textId="77777777" w:rsidR="0057163C" w:rsidRPr="00170422" w:rsidRDefault="00F37BF9">
            <w:pPr>
              <w:pStyle w:val="P68B1DB1-Normal121"/>
              <w:spacing w:after="0" w:line="240" w:lineRule="auto"/>
              <w:jc w:val="center"/>
              <w:rPr>
                <w:noProof/>
                <w:lang w:val="de-DE"/>
              </w:rPr>
            </w:pPr>
            <w:r w:rsidRPr="00170422">
              <w:rPr>
                <w:noProof/>
                <w:lang w:val="de-DE"/>
              </w:rPr>
              <w:t>M6C2-12</w:t>
            </w:r>
          </w:p>
        </w:tc>
        <w:tc>
          <w:tcPr>
            <w:tcW w:w="2268" w:type="dxa"/>
            <w:shd w:val="clear" w:color="auto" w:fill="C6EFCE"/>
            <w:tcMar>
              <w:left w:w="108" w:type="dxa"/>
              <w:right w:w="108" w:type="dxa"/>
            </w:tcMar>
            <w:vAlign w:val="center"/>
          </w:tcPr>
          <w:p w14:paraId="0D673E97" w14:textId="77777777" w:rsidR="0057163C" w:rsidRPr="00170422" w:rsidRDefault="00F37BF9">
            <w:pPr>
              <w:pStyle w:val="P68B1DB1-Normal123"/>
              <w:spacing w:after="0" w:line="240" w:lineRule="auto"/>
              <w:rPr>
                <w:noProof/>
                <w:lang w:val="de-DE"/>
              </w:rPr>
            </w:pPr>
            <w:r w:rsidRPr="00170422">
              <w:rPr>
                <w:noProof/>
                <w:lang w:val="de-DE"/>
              </w:rPr>
              <w:t xml:space="preserve">Investition 1.3: Stärkung der </w:t>
            </w:r>
            <w:r w:rsidRPr="00170422">
              <w:rPr>
                <w:noProof/>
                <w:lang w:val="de-DE"/>
              </w:rPr>
              <w:t>technologischen Infrastruktur und der Instrumente für die Datenerhebung, Datenverarbeitung, Datenanalyse und -simulation</w:t>
            </w:r>
          </w:p>
        </w:tc>
        <w:tc>
          <w:tcPr>
            <w:tcW w:w="2155" w:type="dxa"/>
            <w:shd w:val="clear" w:color="auto" w:fill="C6EFCE"/>
            <w:tcMar>
              <w:left w:w="108" w:type="dxa"/>
              <w:right w:w="108" w:type="dxa"/>
            </w:tcMar>
            <w:vAlign w:val="center"/>
          </w:tcPr>
          <w:p w14:paraId="4CD8CC65" w14:textId="77777777" w:rsidR="0057163C" w:rsidRPr="00170422" w:rsidRDefault="00F37BF9">
            <w:pPr>
              <w:pStyle w:val="P68B1DB1-Normal123"/>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3426189B" w14:textId="77777777" w:rsidR="0057163C" w:rsidRPr="00170422" w:rsidRDefault="00F37BF9">
            <w:pPr>
              <w:pStyle w:val="P68B1DB1-Normal123"/>
              <w:spacing w:after="0" w:line="240" w:lineRule="auto"/>
              <w:rPr>
                <w:noProof/>
                <w:lang w:val="de-DE"/>
              </w:rPr>
            </w:pPr>
            <w:r w:rsidRPr="00170422">
              <w:rPr>
                <w:noProof/>
                <w:lang w:val="de-DE"/>
              </w:rPr>
              <w:t>Das System der Krankenversicherungskarte und die Infrastruktur für die Interoperabilität der elektronischen Patientenakte s</w:t>
            </w:r>
            <w:r w:rsidRPr="00170422">
              <w:rPr>
                <w:noProof/>
                <w:lang w:val="de-DE"/>
              </w:rPr>
              <w:t>ind betriebsbereit.</w:t>
            </w:r>
          </w:p>
        </w:tc>
      </w:tr>
      <w:tr w:rsidR="0057163C" w:rsidRPr="00170422" w14:paraId="5136ADAE" w14:textId="77777777" w:rsidTr="00E7779A">
        <w:trPr>
          <w:trHeight w:val="300"/>
        </w:trPr>
        <w:tc>
          <w:tcPr>
            <w:tcW w:w="1406" w:type="dxa"/>
            <w:shd w:val="clear" w:color="auto" w:fill="C6EFCE"/>
            <w:tcMar>
              <w:left w:w="108" w:type="dxa"/>
              <w:right w:w="108" w:type="dxa"/>
            </w:tcMar>
            <w:vAlign w:val="center"/>
          </w:tcPr>
          <w:p w14:paraId="4B98A18C" w14:textId="77777777" w:rsidR="0057163C" w:rsidRPr="00170422" w:rsidRDefault="00F37BF9">
            <w:pPr>
              <w:pStyle w:val="P68B1DB1-Normal121"/>
              <w:spacing w:after="0" w:line="240" w:lineRule="auto"/>
              <w:jc w:val="center"/>
              <w:rPr>
                <w:noProof/>
                <w:lang w:val="de-DE"/>
              </w:rPr>
            </w:pPr>
            <w:r w:rsidRPr="00170422">
              <w:rPr>
                <w:noProof/>
                <w:lang w:val="de-DE"/>
              </w:rPr>
              <w:t>M6C2-13</w:t>
            </w:r>
          </w:p>
        </w:tc>
        <w:tc>
          <w:tcPr>
            <w:tcW w:w="2268" w:type="dxa"/>
            <w:shd w:val="clear" w:color="auto" w:fill="C6EFCE"/>
            <w:tcMar>
              <w:left w:w="108" w:type="dxa"/>
              <w:right w:w="108" w:type="dxa"/>
            </w:tcMar>
            <w:vAlign w:val="center"/>
          </w:tcPr>
          <w:p w14:paraId="397A4676" w14:textId="77777777" w:rsidR="0057163C" w:rsidRPr="00170422" w:rsidRDefault="00F37BF9">
            <w:pPr>
              <w:pStyle w:val="P68B1DB1-Normal123"/>
              <w:spacing w:after="0" w:line="240" w:lineRule="auto"/>
              <w:rPr>
                <w:noProof/>
                <w:lang w:val="de-DE"/>
              </w:rPr>
            </w:pPr>
            <w:r w:rsidRPr="00170422">
              <w:rPr>
                <w:noProof/>
                <w:lang w:val="de-DE"/>
              </w:rPr>
              <w:t>Investition 1.3: Stärkung der technologischen Infrastruktur und der Instrumente für die Datenerhebung, Datenverarbeitung, Datenanalyse und -simulation</w:t>
            </w:r>
          </w:p>
        </w:tc>
        <w:tc>
          <w:tcPr>
            <w:tcW w:w="2155" w:type="dxa"/>
            <w:shd w:val="clear" w:color="auto" w:fill="C6EFCE"/>
            <w:tcMar>
              <w:left w:w="108" w:type="dxa"/>
              <w:right w:w="108" w:type="dxa"/>
            </w:tcMar>
            <w:vAlign w:val="center"/>
          </w:tcPr>
          <w:p w14:paraId="22EDE51A" w14:textId="77777777" w:rsidR="0057163C" w:rsidRPr="00170422" w:rsidRDefault="00F37BF9">
            <w:pPr>
              <w:pStyle w:val="P68B1DB1-Normal123"/>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B7ACDD2" w14:textId="77777777" w:rsidR="0057163C" w:rsidRPr="00170422" w:rsidRDefault="00F37BF9">
            <w:pPr>
              <w:pStyle w:val="P68B1DB1-Normal123"/>
              <w:spacing w:after="0" w:line="240" w:lineRule="auto"/>
              <w:rPr>
                <w:noProof/>
                <w:lang w:val="de-DE"/>
              </w:rPr>
            </w:pPr>
            <w:r w:rsidRPr="00170422">
              <w:rPr>
                <w:noProof/>
                <w:lang w:val="de-DE"/>
              </w:rPr>
              <w:t>Die elektronische Patientenakte wird für die meisten Patientenakten ver</w:t>
            </w:r>
            <w:r w:rsidRPr="00170422">
              <w:rPr>
                <w:noProof/>
                <w:lang w:val="de-DE"/>
              </w:rPr>
              <w:t>wendet.</w:t>
            </w:r>
          </w:p>
        </w:tc>
      </w:tr>
      <w:tr w:rsidR="0057163C" w:rsidRPr="00170422" w14:paraId="16B66833" w14:textId="77777777" w:rsidTr="00E7779A">
        <w:trPr>
          <w:trHeight w:val="300"/>
        </w:trPr>
        <w:tc>
          <w:tcPr>
            <w:tcW w:w="1406" w:type="dxa"/>
            <w:shd w:val="clear" w:color="auto" w:fill="C6EFCE"/>
            <w:tcMar>
              <w:left w:w="108" w:type="dxa"/>
              <w:right w:w="108" w:type="dxa"/>
            </w:tcMar>
            <w:vAlign w:val="center"/>
          </w:tcPr>
          <w:p w14:paraId="39B1D57C" w14:textId="77777777" w:rsidR="0057163C" w:rsidRPr="00170422" w:rsidRDefault="00F37BF9">
            <w:pPr>
              <w:pStyle w:val="P68B1DB1-Normal121"/>
              <w:spacing w:after="0" w:line="240" w:lineRule="auto"/>
              <w:jc w:val="center"/>
              <w:rPr>
                <w:noProof/>
                <w:lang w:val="de-DE"/>
              </w:rPr>
            </w:pPr>
            <w:r w:rsidRPr="00170422">
              <w:rPr>
                <w:noProof/>
                <w:lang w:val="de-DE"/>
              </w:rPr>
              <w:t>M7-37</w:t>
            </w:r>
          </w:p>
        </w:tc>
        <w:tc>
          <w:tcPr>
            <w:tcW w:w="2268" w:type="dxa"/>
            <w:shd w:val="clear" w:color="auto" w:fill="C6EFCE"/>
            <w:tcMar>
              <w:left w:w="108" w:type="dxa"/>
              <w:right w:w="108" w:type="dxa"/>
            </w:tcMar>
            <w:vAlign w:val="center"/>
          </w:tcPr>
          <w:p w14:paraId="7657D7C0" w14:textId="77777777" w:rsidR="0057163C" w:rsidRPr="00170422" w:rsidRDefault="00F37BF9">
            <w:pPr>
              <w:pStyle w:val="P68B1DB1-Normal121"/>
              <w:spacing w:after="0" w:line="240" w:lineRule="auto"/>
              <w:rPr>
                <w:noProof/>
                <w:lang w:val="de-DE"/>
              </w:rPr>
            </w:pPr>
            <w:r w:rsidRPr="00170422">
              <w:rPr>
                <w:noProof/>
                <w:lang w:val="de-DE"/>
              </w:rPr>
              <w:t>Investition 13: Adriatic Line Phase 1 (Kompressorstation Sulmona und Gaspipeline Sestino-Minerbio)</w:t>
            </w:r>
          </w:p>
        </w:tc>
        <w:tc>
          <w:tcPr>
            <w:tcW w:w="2155" w:type="dxa"/>
            <w:shd w:val="clear" w:color="auto" w:fill="C6EFCE"/>
            <w:tcMar>
              <w:left w:w="108" w:type="dxa"/>
              <w:right w:w="108" w:type="dxa"/>
            </w:tcMar>
            <w:vAlign w:val="center"/>
          </w:tcPr>
          <w:p w14:paraId="22FCDB8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597FCBB3" w14:textId="77777777" w:rsidR="0057163C" w:rsidRPr="00170422" w:rsidRDefault="00F37BF9">
            <w:pPr>
              <w:pStyle w:val="P68B1DB1-Normal121"/>
              <w:spacing w:after="0" w:line="240" w:lineRule="auto"/>
              <w:rPr>
                <w:noProof/>
                <w:lang w:val="de-DE"/>
              </w:rPr>
            </w:pPr>
            <w:r w:rsidRPr="00170422">
              <w:rPr>
                <w:noProof/>
                <w:lang w:val="de-DE"/>
              </w:rPr>
              <w:t>Ausstellung von Bescheinigungen über den Abschluss der Arbeiten</w:t>
            </w:r>
          </w:p>
        </w:tc>
      </w:tr>
      <w:tr w:rsidR="0057163C" w:rsidRPr="00170422" w14:paraId="2EC60B44" w14:textId="77777777" w:rsidTr="00E7779A">
        <w:trPr>
          <w:trHeight w:val="300"/>
        </w:trPr>
        <w:tc>
          <w:tcPr>
            <w:tcW w:w="1406" w:type="dxa"/>
            <w:shd w:val="clear" w:color="auto" w:fill="C6EFCE"/>
            <w:tcMar>
              <w:left w:w="108" w:type="dxa"/>
              <w:right w:w="108" w:type="dxa"/>
            </w:tcMar>
            <w:vAlign w:val="center"/>
          </w:tcPr>
          <w:p w14:paraId="6EC81BA8" w14:textId="77777777" w:rsidR="0057163C" w:rsidRPr="00170422" w:rsidRDefault="00F37BF9">
            <w:pPr>
              <w:pStyle w:val="P68B1DB1-Normal121"/>
              <w:spacing w:after="0" w:line="240" w:lineRule="auto"/>
              <w:jc w:val="center"/>
              <w:rPr>
                <w:noProof/>
                <w:lang w:val="de-DE"/>
              </w:rPr>
            </w:pPr>
            <w:r w:rsidRPr="00170422">
              <w:rPr>
                <w:noProof/>
                <w:lang w:val="de-DE"/>
              </w:rPr>
              <w:t>M7-39</w:t>
            </w:r>
          </w:p>
        </w:tc>
        <w:tc>
          <w:tcPr>
            <w:tcW w:w="2268" w:type="dxa"/>
            <w:shd w:val="clear" w:color="auto" w:fill="C6EFCE"/>
            <w:tcMar>
              <w:left w:w="108" w:type="dxa"/>
              <w:right w:w="108" w:type="dxa"/>
            </w:tcMar>
            <w:vAlign w:val="center"/>
          </w:tcPr>
          <w:p w14:paraId="0DD9DF8A" w14:textId="77777777" w:rsidR="0057163C" w:rsidRPr="00170422" w:rsidRDefault="00F37BF9">
            <w:pPr>
              <w:pStyle w:val="P68B1DB1-Normal121"/>
              <w:spacing w:after="0" w:line="240" w:lineRule="auto"/>
              <w:rPr>
                <w:noProof/>
                <w:lang w:val="de-DE"/>
              </w:rPr>
            </w:pPr>
            <w:r w:rsidRPr="00170422">
              <w:rPr>
                <w:noProof/>
                <w:lang w:val="de-DE"/>
              </w:rPr>
              <w:t>Investition 14: Infrastruktur für den grenzüberschreitenden</w:t>
            </w:r>
            <w:r w:rsidRPr="00170422">
              <w:rPr>
                <w:noProof/>
                <w:lang w:val="de-DE"/>
              </w:rPr>
              <w:t xml:space="preserve"> Gasexport</w:t>
            </w:r>
          </w:p>
        </w:tc>
        <w:tc>
          <w:tcPr>
            <w:tcW w:w="2155" w:type="dxa"/>
            <w:shd w:val="clear" w:color="auto" w:fill="C6EFCE"/>
            <w:tcMar>
              <w:left w:w="108" w:type="dxa"/>
              <w:right w:w="108" w:type="dxa"/>
            </w:tcMar>
            <w:vAlign w:val="center"/>
          </w:tcPr>
          <w:p w14:paraId="7A616CFF"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069F77DD" w14:textId="77777777" w:rsidR="0057163C" w:rsidRPr="00170422" w:rsidRDefault="00F37BF9">
            <w:pPr>
              <w:pStyle w:val="P68B1DB1-Normal121"/>
              <w:spacing w:after="0" w:line="240" w:lineRule="auto"/>
              <w:rPr>
                <w:noProof/>
                <w:lang w:val="de-DE"/>
              </w:rPr>
            </w:pPr>
            <w:r w:rsidRPr="00170422">
              <w:rPr>
                <w:noProof/>
                <w:lang w:val="de-DE"/>
              </w:rPr>
              <w:t>Ausstellung von Bescheinigungen über den Abschluss der Arbeiten</w:t>
            </w:r>
          </w:p>
        </w:tc>
      </w:tr>
      <w:tr w:rsidR="0057163C" w:rsidRPr="00170422" w14:paraId="11EB092B" w14:textId="77777777" w:rsidTr="00E7779A">
        <w:trPr>
          <w:trHeight w:val="300"/>
        </w:trPr>
        <w:tc>
          <w:tcPr>
            <w:tcW w:w="1406" w:type="dxa"/>
            <w:shd w:val="clear" w:color="auto" w:fill="C6EFCE"/>
            <w:tcMar>
              <w:left w:w="108" w:type="dxa"/>
              <w:right w:w="108" w:type="dxa"/>
            </w:tcMar>
            <w:vAlign w:val="center"/>
          </w:tcPr>
          <w:p w14:paraId="7EAAE918" w14:textId="77777777" w:rsidR="0057163C" w:rsidRPr="00170422" w:rsidRDefault="00F37BF9">
            <w:pPr>
              <w:pStyle w:val="P68B1DB1-Normal121"/>
              <w:spacing w:after="0" w:line="240" w:lineRule="auto"/>
              <w:jc w:val="center"/>
              <w:rPr>
                <w:noProof/>
                <w:lang w:val="de-DE"/>
              </w:rPr>
            </w:pPr>
            <w:r w:rsidRPr="00170422">
              <w:rPr>
                <w:noProof/>
                <w:lang w:val="de-DE"/>
              </w:rPr>
              <w:t>M7-41</w:t>
            </w:r>
          </w:p>
        </w:tc>
        <w:tc>
          <w:tcPr>
            <w:tcW w:w="2268" w:type="dxa"/>
            <w:shd w:val="clear" w:color="auto" w:fill="C6EFCE"/>
            <w:tcMar>
              <w:left w:w="108" w:type="dxa"/>
              <w:right w:w="108" w:type="dxa"/>
            </w:tcMar>
            <w:vAlign w:val="center"/>
          </w:tcPr>
          <w:p w14:paraId="7DBD432A" w14:textId="77777777" w:rsidR="0057163C" w:rsidRPr="00170422" w:rsidRDefault="00F37BF9">
            <w:pPr>
              <w:pStyle w:val="P68B1DB1-Normal121"/>
              <w:spacing w:after="0" w:line="240" w:lineRule="auto"/>
              <w:rPr>
                <w:noProof/>
                <w:lang w:val="de-DE"/>
              </w:rPr>
            </w:pPr>
            <w:r w:rsidRPr="00170422">
              <w:rPr>
                <w:noProof/>
                <w:lang w:val="de-DE"/>
              </w:rPr>
              <w:t xml:space="preserve">Investition 15: Transizione 5.0 </w:t>
            </w:r>
          </w:p>
        </w:tc>
        <w:tc>
          <w:tcPr>
            <w:tcW w:w="2155" w:type="dxa"/>
            <w:shd w:val="clear" w:color="auto" w:fill="C6EFCE"/>
            <w:tcMar>
              <w:left w:w="108" w:type="dxa"/>
              <w:right w:w="108" w:type="dxa"/>
            </w:tcMar>
            <w:vAlign w:val="center"/>
          </w:tcPr>
          <w:p w14:paraId="60C68F6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C793B77" w14:textId="77777777" w:rsidR="0057163C" w:rsidRPr="00170422" w:rsidRDefault="00F37BF9">
            <w:pPr>
              <w:pStyle w:val="P68B1DB1-Normal121"/>
              <w:spacing w:after="0" w:line="240" w:lineRule="auto"/>
              <w:rPr>
                <w:noProof/>
                <w:lang w:val="de-DE"/>
              </w:rPr>
            </w:pPr>
            <w:r w:rsidRPr="00170422">
              <w:rPr>
                <w:noProof/>
                <w:lang w:val="de-DE"/>
              </w:rPr>
              <w:t>Gewährung von ARF-Mitteln</w:t>
            </w:r>
          </w:p>
        </w:tc>
      </w:tr>
      <w:tr w:rsidR="0057163C" w:rsidRPr="00170422" w14:paraId="3A9E54E2" w14:textId="77777777" w:rsidTr="00E7779A">
        <w:trPr>
          <w:trHeight w:val="300"/>
        </w:trPr>
        <w:tc>
          <w:tcPr>
            <w:tcW w:w="1406" w:type="dxa"/>
            <w:shd w:val="clear" w:color="auto" w:fill="C6EFCE"/>
            <w:tcMar>
              <w:left w:w="108" w:type="dxa"/>
              <w:right w:w="108" w:type="dxa"/>
            </w:tcMar>
            <w:vAlign w:val="center"/>
          </w:tcPr>
          <w:p w14:paraId="00CB6E4C" w14:textId="77777777" w:rsidR="0057163C" w:rsidRPr="00170422" w:rsidRDefault="00F37BF9">
            <w:pPr>
              <w:pStyle w:val="P68B1DB1-Normal121"/>
              <w:spacing w:after="0" w:line="240" w:lineRule="auto"/>
              <w:jc w:val="center"/>
              <w:rPr>
                <w:noProof/>
                <w:lang w:val="de-DE"/>
              </w:rPr>
            </w:pPr>
            <w:r w:rsidRPr="00170422">
              <w:rPr>
                <w:noProof/>
                <w:lang w:val="de-DE"/>
              </w:rPr>
              <w:t>M7-42</w:t>
            </w:r>
          </w:p>
        </w:tc>
        <w:tc>
          <w:tcPr>
            <w:tcW w:w="2268" w:type="dxa"/>
            <w:shd w:val="clear" w:color="auto" w:fill="C6EFCE"/>
            <w:tcMar>
              <w:left w:w="108" w:type="dxa"/>
              <w:right w:w="108" w:type="dxa"/>
            </w:tcMar>
            <w:vAlign w:val="center"/>
          </w:tcPr>
          <w:p w14:paraId="17530B84" w14:textId="77777777" w:rsidR="0057163C" w:rsidRPr="00170422" w:rsidRDefault="00F37BF9">
            <w:pPr>
              <w:pStyle w:val="P68B1DB1-Normal121"/>
              <w:spacing w:after="0" w:line="240" w:lineRule="auto"/>
              <w:rPr>
                <w:noProof/>
                <w:lang w:val="de-DE"/>
              </w:rPr>
            </w:pPr>
            <w:r w:rsidRPr="00170422">
              <w:rPr>
                <w:noProof/>
                <w:lang w:val="de-DE"/>
              </w:rPr>
              <w:t>Investition 15: Transizione 5.0</w:t>
            </w:r>
          </w:p>
        </w:tc>
        <w:tc>
          <w:tcPr>
            <w:tcW w:w="2155" w:type="dxa"/>
            <w:shd w:val="clear" w:color="auto" w:fill="C6EFCE"/>
            <w:tcMar>
              <w:left w:w="108" w:type="dxa"/>
              <w:right w:w="108" w:type="dxa"/>
            </w:tcMar>
            <w:vAlign w:val="center"/>
          </w:tcPr>
          <w:p w14:paraId="67ED796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1C566CF3" w14:textId="77777777" w:rsidR="0057163C" w:rsidRPr="00170422" w:rsidRDefault="00F37BF9">
            <w:pPr>
              <w:pStyle w:val="P68B1DB1-Normal121"/>
              <w:spacing w:after="0" w:line="240" w:lineRule="auto"/>
              <w:rPr>
                <w:noProof/>
                <w:lang w:val="de-DE"/>
              </w:rPr>
            </w:pPr>
            <w:r w:rsidRPr="00170422">
              <w:rPr>
                <w:noProof/>
                <w:lang w:val="de-DE"/>
              </w:rPr>
              <w:t xml:space="preserve">0,4 Mio. t RÖE Energieeinsparungen beim </w:t>
            </w:r>
            <w:r w:rsidRPr="00170422">
              <w:rPr>
                <w:noProof/>
                <w:lang w:val="de-DE"/>
              </w:rPr>
              <w:t>Endenergieverbrauch im Zeitraum 2024-2026</w:t>
            </w:r>
          </w:p>
        </w:tc>
      </w:tr>
      <w:tr w:rsidR="0057163C" w:rsidRPr="00170422" w14:paraId="0C15D73B" w14:textId="77777777" w:rsidTr="00E7779A">
        <w:trPr>
          <w:trHeight w:val="300"/>
        </w:trPr>
        <w:tc>
          <w:tcPr>
            <w:tcW w:w="1406" w:type="dxa"/>
            <w:shd w:val="clear" w:color="auto" w:fill="C6EFCE"/>
            <w:tcMar>
              <w:left w:w="108" w:type="dxa"/>
              <w:right w:w="108" w:type="dxa"/>
            </w:tcMar>
            <w:vAlign w:val="center"/>
          </w:tcPr>
          <w:p w14:paraId="672B3B30" w14:textId="77777777" w:rsidR="0057163C" w:rsidRPr="00170422" w:rsidRDefault="00F37BF9">
            <w:pPr>
              <w:pStyle w:val="P68B1DB1-Normal121"/>
              <w:spacing w:after="0" w:line="240" w:lineRule="auto"/>
              <w:jc w:val="center"/>
              <w:rPr>
                <w:noProof/>
                <w:lang w:val="de-DE"/>
              </w:rPr>
            </w:pPr>
            <w:r w:rsidRPr="00170422">
              <w:rPr>
                <w:noProof/>
                <w:lang w:val="de-DE"/>
              </w:rPr>
              <w:t>M7-45</w:t>
            </w:r>
          </w:p>
        </w:tc>
        <w:tc>
          <w:tcPr>
            <w:tcW w:w="2268" w:type="dxa"/>
            <w:shd w:val="clear" w:color="auto" w:fill="C6EFCE"/>
            <w:tcMar>
              <w:left w:w="108" w:type="dxa"/>
              <w:right w:w="108" w:type="dxa"/>
            </w:tcMar>
            <w:vAlign w:val="center"/>
          </w:tcPr>
          <w:p w14:paraId="008A9F85" w14:textId="77777777" w:rsidR="0057163C" w:rsidRPr="00170422" w:rsidRDefault="00F37BF9">
            <w:pPr>
              <w:pStyle w:val="P68B1DB1-Normal121"/>
              <w:spacing w:after="0" w:line="240" w:lineRule="auto"/>
              <w:rPr>
                <w:noProof/>
                <w:lang w:val="de-DE"/>
              </w:rPr>
            </w:pPr>
            <w:r w:rsidRPr="00170422">
              <w:rPr>
                <w:noProof/>
                <w:lang w:val="de-DE"/>
              </w:rPr>
              <w:t>Investition 16: Unterstützung von KMU bei der Eigenerzeugung aus erneuerbaren Energiequellen</w:t>
            </w:r>
          </w:p>
        </w:tc>
        <w:tc>
          <w:tcPr>
            <w:tcW w:w="2155" w:type="dxa"/>
            <w:shd w:val="clear" w:color="auto" w:fill="C6EFCE"/>
            <w:tcMar>
              <w:left w:w="108" w:type="dxa"/>
              <w:right w:w="108" w:type="dxa"/>
            </w:tcMar>
            <w:vAlign w:val="center"/>
          </w:tcPr>
          <w:p w14:paraId="61166730"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3818D48" w14:textId="77777777" w:rsidR="0057163C" w:rsidRPr="00170422" w:rsidRDefault="00F37BF9">
            <w:pPr>
              <w:pStyle w:val="P68B1DB1-Normal121"/>
              <w:spacing w:after="0" w:line="240" w:lineRule="auto"/>
              <w:rPr>
                <w:noProof/>
                <w:lang w:val="de-DE"/>
              </w:rPr>
            </w:pPr>
            <w:r w:rsidRPr="00170422">
              <w:rPr>
                <w:noProof/>
                <w:lang w:val="de-DE"/>
              </w:rPr>
              <w:t>Rechtliche Vereinbarungen mit Endbegünstigten</w:t>
            </w:r>
          </w:p>
        </w:tc>
      </w:tr>
      <w:tr w:rsidR="0057163C" w:rsidRPr="00170422" w14:paraId="4974B148" w14:textId="77777777" w:rsidTr="00E7779A">
        <w:trPr>
          <w:trHeight w:val="300"/>
        </w:trPr>
        <w:tc>
          <w:tcPr>
            <w:tcW w:w="1406" w:type="dxa"/>
            <w:shd w:val="clear" w:color="auto" w:fill="C6EFCE"/>
            <w:tcMar>
              <w:left w:w="108" w:type="dxa"/>
              <w:right w:w="108" w:type="dxa"/>
            </w:tcMar>
            <w:vAlign w:val="center"/>
          </w:tcPr>
          <w:p w14:paraId="3CEE9E44" w14:textId="77777777" w:rsidR="0057163C" w:rsidRPr="00170422" w:rsidRDefault="00F37BF9">
            <w:pPr>
              <w:pStyle w:val="P68B1DB1-Normal121"/>
              <w:spacing w:after="0" w:line="240" w:lineRule="auto"/>
              <w:jc w:val="center"/>
              <w:rPr>
                <w:noProof/>
                <w:lang w:val="de-DE"/>
              </w:rPr>
            </w:pPr>
            <w:r w:rsidRPr="00170422">
              <w:rPr>
                <w:noProof/>
                <w:lang w:val="de-DE"/>
              </w:rPr>
              <w:t>M7-49</w:t>
            </w:r>
          </w:p>
        </w:tc>
        <w:tc>
          <w:tcPr>
            <w:tcW w:w="2268" w:type="dxa"/>
            <w:shd w:val="clear" w:color="auto" w:fill="C6EFCE"/>
            <w:tcMar>
              <w:left w:w="108" w:type="dxa"/>
              <w:right w:w="108" w:type="dxa"/>
            </w:tcMar>
            <w:vAlign w:val="center"/>
          </w:tcPr>
          <w:p w14:paraId="293A7A82" w14:textId="77777777" w:rsidR="0057163C" w:rsidRPr="00170422" w:rsidRDefault="00F37BF9">
            <w:pPr>
              <w:pStyle w:val="P68B1DB1-Normal121"/>
              <w:spacing w:after="0" w:line="240" w:lineRule="auto"/>
              <w:rPr>
                <w:noProof/>
                <w:lang w:val="de-DE"/>
              </w:rPr>
            </w:pPr>
            <w:r w:rsidRPr="00170422">
              <w:rPr>
                <w:noProof/>
                <w:lang w:val="de-DE"/>
              </w:rPr>
              <w:t xml:space="preserve">Investition 17: Finanzinstrument für die energetische </w:t>
            </w:r>
            <w:r w:rsidRPr="00170422">
              <w:rPr>
                <w:noProof/>
                <w:lang w:val="de-DE"/>
              </w:rPr>
              <w:t>Sanierung öffentlicher Wohngebäude</w:t>
            </w:r>
          </w:p>
        </w:tc>
        <w:tc>
          <w:tcPr>
            <w:tcW w:w="2155" w:type="dxa"/>
            <w:shd w:val="clear" w:color="auto" w:fill="C6EFCE"/>
            <w:tcMar>
              <w:left w:w="108" w:type="dxa"/>
              <w:right w:w="108" w:type="dxa"/>
            </w:tcMar>
            <w:vAlign w:val="center"/>
          </w:tcPr>
          <w:p w14:paraId="437AA4F8"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3178C78" w14:textId="77777777" w:rsidR="0057163C" w:rsidRPr="00170422" w:rsidRDefault="00F37BF9">
            <w:pPr>
              <w:pStyle w:val="P68B1DB1-Normal121"/>
              <w:spacing w:after="0" w:line="240" w:lineRule="auto"/>
              <w:rPr>
                <w:noProof/>
                <w:lang w:val="de-DE"/>
              </w:rPr>
            </w:pPr>
            <w:r w:rsidRPr="00170422">
              <w:rPr>
                <w:noProof/>
                <w:lang w:val="de-DE"/>
              </w:rPr>
              <w:t>Mit Endbegünstigten unterzeichnete rechtliche Vereinbarungen</w:t>
            </w:r>
          </w:p>
        </w:tc>
      </w:tr>
      <w:tr w:rsidR="0057163C" w:rsidRPr="00170422" w14:paraId="485736F4" w14:textId="77777777" w:rsidTr="00E7779A">
        <w:trPr>
          <w:trHeight w:val="300"/>
        </w:trPr>
        <w:tc>
          <w:tcPr>
            <w:tcW w:w="1406" w:type="dxa"/>
            <w:shd w:val="clear" w:color="auto" w:fill="C6EFCE"/>
            <w:tcMar>
              <w:left w:w="108" w:type="dxa"/>
              <w:right w:w="108" w:type="dxa"/>
            </w:tcMar>
            <w:vAlign w:val="center"/>
          </w:tcPr>
          <w:p w14:paraId="1CC20142" w14:textId="77777777" w:rsidR="0057163C" w:rsidRPr="00170422" w:rsidRDefault="00F37BF9">
            <w:pPr>
              <w:pStyle w:val="P68B1DB1-Normal121"/>
              <w:spacing w:after="0" w:line="240" w:lineRule="auto"/>
              <w:jc w:val="center"/>
              <w:rPr>
                <w:noProof/>
                <w:lang w:val="de-DE"/>
              </w:rPr>
            </w:pPr>
            <w:r w:rsidRPr="00170422">
              <w:rPr>
                <w:noProof/>
                <w:lang w:val="de-DE"/>
              </w:rPr>
              <w:t>M1C3-29</w:t>
            </w:r>
          </w:p>
        </w:tc>
        <w:tc>
          <w:tcPr>
            <w:tcW w:w="2268" w:type="dxa"/>
            <w:shd w:val="clear" w:color="auto" w:fill="C6EFCE"/>
            <w:tcMar>
              <w:left w:w="108" w:type="dxa"/>
              <w:right w:w="108" w:type="dxa"/>
            </w:tcMar>
            <w:vAlign w:val="center"/>
          </w:tcPr>
          <w:p w14:paraId="59B6FC3E" w14:textId="77777777" w:rsidR="0057163C" w:rsidRPr="00170422" w:rsidRDefault="00F37BF9">
            <w:pPr>
              <w:pStyle w:val="P68B1DB1-Normal121"/>
              <w:spacing w:after="0" w:line="240" w:lineRule="auto"/>
              <w:rPr>
                <w:noProof/>
                <w:lang w:val="de-DE"/>
              </w:rPr>
            </w:pPr>
            <w:r w:rsidRPr="00170422">
              <w:rPr>
                <w:noProof/>
                <w:lang w:val="de-DE"/>
              </w:rPr>
              <w:t>Investition 4.2:  Mittel für die Wettbewerbsfähigkeit von Tourismusunternehmen</w:t>
            </w:r>
          </w:p>
        </w:tc>
        <w:tc>
          <w:tcPr>
            <w:tcW w:w="2155" w:type="dxa"/>
            <w:shd w:val="clear" w:color="auto" w:fill="C6EFCE"/>
            <w:tcMar>
              <w:left w:w="108" w:type="dxa"/>
              <w:right w:w="108" w:type="dxa"/>
            </w:tcMar>
            <w:vAlign w:val="center"/>
          </w:tcPr>
          <w:p w14:paraId="5BF7CA5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C1B2495" w14:textId="77777777" w:rsidR="0057163C" w:rsidRPr="00170422" w:rsidRDefault="00F37BF9">
            <w:pPr>
              <w:pStyle w:val="P68B1DB1-Normal121"/>
              <w:spacing w:after="0" w:line="240" w:lineRule="auto"/>
              <w:rPr>
                <w:noProof/>
                <w:lang w:val="de-DE"/>
              </w:rPr>
            </w:pPr>
            <w:r w:rsidRPr="00170422">
              <w:rPr>
                <w:noProof/>
                <w:lang w:val="de-DE"/>
              </w:rPr>
              <w:t>Anzahl der Tourismusprojekte, die aus den thematischen Fonds d</w:t>
            </w:r>
            <w:r w:rsidRPr="00170422">
              <w:rPr>
                <w:noProof/>
                <w:lang w:val="de-DE"/>
              </w:rPr>
              <w:t xml:space="preserve">er Europäischen Investitionsbank unterstützt werden sollen </w:t>
            </w:r>
          </w:p>
        </w:tc>
      </w:tr>
      <w:tr w:rsidR="0057163C" w:rsidRPr="00170422" w14:paraId="266DBC5A" w14:textId="77777777" w:rsidTr="00E7779A">
        <w:trPr>
          <w:trHeight w:val="300"/>
        </w:trPr>
        <w:tc>
          <w:tcPr>
            <w:tcW w:w="1406" w:type="dxa"/>
            <w:shd w:val="clear" w:color="auto" w:fill="C6EFCE"/>
            <w:tcMar>
              <w:left w:w="108" w:type="dxa"/>
              <w:right w:w="108" w:type="dxa"/>
            </w:tcMar>
            <w:vAlign w:val="center"/>
          </w:tcPr>
          <w:p w14:paraId="54E40BC7" w14:textId="77777777" w:rsidR="0057163C" w:rsidRPr="00170422" w:rsidRDefault="00F37BF9">
            <w:pPr>
              <w:pStyle w:val="P68B1DB1-Normal121"/>
              <w:spacing w:after="0" w:line="240" w:lineRule="auto"/>
              <w:jc w:val="center"/>
              <w:rPr>
                <w:noProof/>
                <w:lang w:val="de-DE"/>
              </w:rPr>
            </w:pPr>
            <w:r w:rsidRPr="00170422">
              <w:rPr>
                <w:noProof/>
                <w:lang w:val="de-DE"/>
              </w:rPr>
              <w:t>M3C2-9</w:t>
            </w:r>
          </w:p>
        </w:tc>
        <w:tc>
          <w:tcPr>
            <w:tcW w:w="2268" w:type="dxa"/>
            <w:shd w:val="clear" w:color="auto" w:fill="C6EFCE"/>
            <w:tcMar>
              <w:left w:w="108" w:type="dxa"/>
              <w:right w:w="108" w:type="dxa"/>
            </w:tcMar>
            <w:vAlign w:val="center"/>
          </w:tcPr>
          <w:p w14:paraId="4BA4A2AA" w14:textId="77777777" w:rsidR="0057163C" w:rsidRPr="00170422" w:rsidRDefault="00F37BF9">
            <w:pPr>
              <w:pStyle w:val="P68B1DB1-Normal121"/>
              <w:spacing w:after="0" w:line="240" w:lineRule="auto"/>
              <w:rPr>
                <w:noProof/>
                <w:lang w:val="de-DE"/>
              </w:rPr>
            </w:pPr>
            <w:r w:rsidRPr="00170422">
              <w:rPr>
                <w:noProof/>
                <w:lang w:val="de-DE"/>
              </w:rPr>
              <w:t xml:space="preserve">Investition 1.1: „Grüne Häfen: Maßnahmen im Bereich der erneuerbaren Energien und der Energieeffizienz in Häfen </w:t>
            </w:r>
          </w:p>
        </w:tc>
        <w:tc>
          <w:tcPr>
            <w:tcW w:w="2155" w:type="dxa"/>
            <w:shd w:val="clear" w:color="auto" w:fill="C6EFCE"/>
            <w:tcMar>
              <w:left w:w="108" w:type="dxa"/>
              <w:right w:w="108" w:type="dxa"/>
            </w:tcMar>
            <w:vAlign w:val="center"/>
          </w:tcPr>
          <w:p w14:paraId="060137A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7C046EC" w14:textId="77777777" w:rsidR="0057163C" w:rsidRPr="00170422" w:rsidRDefault="00F37BF9">
            <w:pPr>
              <w:pStyle w:val="P68B1DB1-Normal121"/>
              <w:spacing w:after="0" w:line="240" w:lineRule="auto"/>
              <w:rPr>
                <w:noProof/>
                <w:lang w:val="de-DE"/>
              </w:rPr>
            </w:pPr>
            <w:r w:rsidRPr="00170422">
              <w:rPr>
                <w:noProof/>
                <w:lang w:val="de-DE"/>
              </w:rPr>
              <w:t>„Grüne Häfen: Abschluss der Arbeiten</w:t>
            </w:r>
          </w:p>
        </w:tc>
      </w:tr>
      <w:tr w:rsidR="0057163C" w:rsidRPr="00170422" w14:paraId="53707D05" w14:textId="77777777" w:rsidTr="00E7779A">
        <w:trPr>
          <w:trHeight w:val="300"/>
        </w:trPr>
        <w:tc>
          <w:tcPr>
            <w:tcW w:w="1406" w:type="dxa"/>
            <w:shd w:val="clear" w:color="auto" w:fill="C6EFCE"/>
            <w:tcMar>
              <w:left w:w="108" w:type="dxa"/>
              <w:right w:w="108" w:type="dxa"/>
            </w:tcMar>
            <w:vAlign w:val="center"/>
          </w:tcPr>
          <w:p w14:paraId="5ADFA2D5" w14:textId="77777777" w:rsidR="0057163C" w:rsidRPr="00170422" w:rsidRDefault="00F37BF9">
            <w:pPr>
              <w:pStyle w:val="P68B1DB1-Normal121"/>
              <w:spacing w:after="0" w:line="240" w:lineRule="auto"/>
              <w:jc w:val="center"/>
              <w:rPr>
                <w:noProof/>
                <w:lang w:val="de-DE"/>
              </w:rPr>
            </w:pPr>
            <w:r w:rsidRPr="00170422">
              <w:rPr>
                <w:noProof/>
                <w:lang w:val="de-DE"/>
              </w:rPr>
              <w:t>M1C2-23bis</w:t>
            </w:r>
          </w:p>
        </w:tc>
        <w:tc>
          <w:tcPr>
            <w:tcW w:w="2268" w:type="dxa"/>
            <w:shd w:val="clear" w:color="auto" w:fill="C6EFCE"/>
            <w:tcMar>
              <w:left w:w="108" w:type="dxa"/>
              <w:right w:w="108" w:type="dxa"/>
            </w:tcMar>
            <w:vAlign w:val="center"/>
          </w:tcPr>
          <w:p w14:paraId="5076B2EC" w14:textId="77777777" w:rsidR="0057163C" w:rsidRPr="00170422" w:rsidRDefault="00F37BF9">
            <w:pPr>
              <w:pStyle w:val="P68B1DB1-Normal121"/>
              <w:spacing w:after="0" w:line="240" w:lineRule="auto"/>
              <w:rPr>
                <w:noProof/>
                <w:lang w:val="de-DE"/>
              </w:rPr>
            </w:pPr>
            <w:r w:rsidRPr="00170422">
              <w:rPr>
                <w:noProof/>
                <w:lang w:val="de-DE"/>
              </w:rPr>
              <w:t xml:space="preserve">Investition 4: Satellitentechnologie und Weltraumwirtschaft </w:t>
            </w:r>
          </w:p>
        </w:tc>
        <w:tc>
          <w:tcPr>
            <w:tcW w:w="2155" w:type="dxa"/>
            <w:shd w:val="clear" w:color="auto" w:fill="C6EFCE"/>
            <w:tcMar>
              <w:left w:w="108" w:type="dxa"/>
              <w:right w:w="108" w:type="dxa"/>
            </w:tcMar>
            <w:vAlign w:val="center"/>
          </w:tcPr>
          <w:p w14:paraId="74BAF700"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43A2B116" w14:textId="77777777" w:rsidR="0057163C" w:rsidRPr="00170422" w:rsidRDefault="00F37BF9">
            <w:pPr>
              <w:pStyle w:val="P68B1DB1-Normal121"/>
              <w:spacing w:after="0" w:line="240" w:lineRule="auto"/>
              <w:rPr>
                <w:noProof/>
                <w:lang w:val="de-DE"/>
              </w:rPr>
            </w:pPr>
            <w:r w:rsidRPr="00170422">
              <w:rPr>
                <w:noProof/>
                <w:lang w:val="de-DE"/>
              </w:rPr>
              <w:t>Abschluss von Satellitentechnologie- und Weltraumprojekten</w:t>
            </w:r>
          </w:p>
        </w:tc>
      </w:tr>
      <w:tr w:rsidR="0057163C" w:rsidRPr="00170422" w14:paraId="48E43B79" w14:textId="77777777" w:rsidTr="00E7779A">
        <w:trPr>
          <w:trHeight w:val="300"/>
        </w:trPr>
        <w:tc>
          <w:tcPr>
            <w:tcW w:w="1406" w:type="dxa"/>
            <w:shd w:val="clear" w:color="auto" w:fill="C6EFCE"/>
            <w:tcMar>
              <w:left w:w="108" w:type="dxa"/>
              <w:right w:w="108" w:type="dxa"/>
            </w:tcMar>
            <w:vAlign w:val="center"/>
          </w:tcPr>
          <w:p w14:paraId="1D791577" w14:textId="77777777" w:rsidR="0057163C" w:rsidRPr="00170422" w:rsidRDefault="00F37BF9">
            <w:pPr>
              <w:pStyle w:val="P68B1DB1-Normal121"/>
              <w:spacing w:after="0" w:line="240" w:lineRule="auto"/>
              <w:jc w:val="center"/>
              <w:rPr>
                <w:noProof/>
                <w:lang w:val="de-DE"/>
              </w:rPr>
            </w:pPr>
            <w:r w:rsidRPr="00170422">
              <w:rPr>
                <w:noProof/>
                <w:lang w:val="de-DE"/>
              </w:rPr>
              <w:t>M1C3-16bis</w:t>
            </w:r>
          </w:p>
        </w:tc>
        <w:tc>
          <w:tcPr>
            <w:tcW w:w="2268" w:type="dxa"/>
            <w:shd w:val="clear" w:color="auto" w:fill="C6EFCE"/>
            <w:tcMar>
              <w:left w:w="108" w:type="dxa"/>
              <w:right w:w="108" w:type="dxa"/>
            </w:tcMar>
            <w:vAlign w:val="center"/>
          </w:tcPr>
          <w:p w14:paraId="4939383E" w14:textId="77777777" w:rsidR="0057163C" w:rsidRPr="00170422" w:rsidRDefault="00F37BF9">
            <w:pPr>
              <w:pStyle w:val="P68B1DB1-Normal121"/>
              <w:spacing w:after="0" w:line="240" w:lineRule="auto"/>
              <w:rPr>
                <w:noProof/>
                <w:lang w:val="de-DE"/>
              </w:rPr>
            </w:pPr>
            <w:r w:rsidRPr="00170422">
              <w:rPr>
                <w:noProof/>
                <w:lang w:val="de-DE"/>
              </w:rPr>
              <w:t xml:space="preserve">Investition-2.1: Attraktivität kleiner historischer Städte </w:t>
            </w:r>
          </w:p>
        </w:tc>
        <w:tc>
          <w:tcPr>
            <w:tcW w:w="2155" w:type="dxa"/>
            <w:shd w:val="clear" w:color="auto" w:fill="C6EFCE"/>
            <w:tcMar>
              <w:left w:w="108" w:type="dxa"/>
              <w:right w:w="108" w:type="dxa"/>
            </w:tcMar>
            <w:vAlign w:val="center"/>
          </w:tcPr>
          <w:p w14:paraId="332F7D56"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FE82BC7" w14:textId="77777777" w:rsidR="0057163C" w:rsidRPr="00170422" w:rsidRDefault="00F37BF9">
            <w:pPr>
              <w:pStyle w:val="P68B1DB1-Normal121"/>
              <w:spacing w:after="0" w:line="240" w:lineRule="auto"/>
              <w:rPr>
                <w:noProof/>
                <w:lang w:val="de-DE"/>
              </w:rPr>
            </w:pPr>
            <w:r w:rsidRPr="00170422">
              <w:rPr>
                <w:noProof/>
                <w:lang w:val="de-DE"/>
              </w:rPr>
              <w:t>Projekte zur kulturellen Erneuerung kleiner his</w:t>
            </w:r>
            <w:r w:rsidRPr="00170422">
              <w:rPr>
                <w:noProof/>
                <w:lang w:val="de-DE"/>
              </w:rPr>
              <w:t>torischer Städte</w:t>
            </w:r>
          </w:p>
        </w:tc>
      </w:tr>
      <w:tr w:rsidR="0057163C" w:rsidRPr="00170422" w14:paraId="1781DC30" w14:textId="77777777" w:rsidTr="00E7779A">
        <w:trPr>
          <w:trHeight w:val="1065"/>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6CA640D" w14:textId="77777777" w:rsidR="0057163C" w:rsidRPr="00170422" w:rsidRDefault="00F37BF9">
            <w:pPr>
              <w:pStyle w:val="P68B1DB1-Normal121"/>
              <w:spacing w:after="0" w:line="240" w:lineRule="auto"/>
              <w:jc w:val="center"/>
              <w:rPr>
                <w:noProof/>
                <w:lang w:val="de-DE"/>
              </w:rPr>
            </w:pPr>
            <w:r w:rsidRPr="00170422">
              <w:rPr>
                <w:noProof/>
                <w:lang w:val="de-DE"/>
              </w:rPr>
              <w:t>M1C3-17</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D6D316C" w14:textId="77777777" w:rsidR="0057163C" w:rsidRPr="00170422" w:rsidRDefault="00F37BF9">
            <w:pPr>
              <w:pStyle w:val="P68B1DB1-Normal121"/>
              <w:spacing w:after="0" w:line="240" w:lineRule="auto"/>
              <w:rPr>
                <w:noProof/>
                <w:lang w:val="de-DE"/>
              </w:rPr>
            </w:pPr>
            <w:r w:rsidRPr="00170422">
              <w:rPr>
                <w:noProof/>
                <w:lang w:val="de-DE"/>
              </w:rPr>
              <w:t>Investitionen – 2.2 Schutz und Verbesserung der ländlichen Architektur und Landschaft</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10DC8E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8E07F56" w14:textId="77777777" w:rsidR="0057163C" w:rsidRPr="00170422" w:rsidRDefault="00F37BF9">
            <w:pPr>
              <w:pStyle w:val="P68B1DB1-Normal121"/>
              <w:spacing w:after="0" w:line="240" w:lineRule="auto"/>
              <w:rPr>
                <w:noProof/>
                <w:lang w:val="de-DE"/>
              </w:rPr>
            </w:pPr>
            <w:r w:rsidRPr="00170422">
              <w:rPr>
                <w:noProof/>
                <w:lang w:val="de-DE"/>
              </w:rPr>
              <w:t>Abgeschlossene Interventionen zum Schutz und zur Verbesserung der ländlichen Architektur und Landschaft</w:t>
            </w:r>
          </w:p>
        </w:tc>
      </w:tr>
      <w:tr w:rsidR="0057163C" w:rsidRPr="00170422" w14:paraId="5DEEA733" w14:textId="77777777" w:rsidTr="00E7779A">
        <w:trPr>
          <w:trHeight w:val="300"/>
        </w:trPr>
        <w:tc>
          <w:tcPr>
            <w:tcW w:w="1406" w:type="dxa"/>
            <w:shd w:val="clear" w:color="auto" w:fill="C6EFCE"/>
            <w:tcMar>
              <w:left w:w="108" w:type="dxa"/>
              <w:right w:w="108" w:type="dxa"/>
            </w:tcMar>
            <w:vAlign w:val="center"/>
          </w:tcPr>
          <w:p w14:paraId="6BE8DE06" w14:textId="77777777" w:rsidR="0057163C" w:rsidRPr="00170422" w:rsidRDefault="00F37BF9">
            <w:pPr>
              <w:pStyle w:val="P68B1DB1-Normal121"/>
              <w:spacing w:after="0" w:line="240" w:lineRule="auto"/>
              <w:jc w:val="center"/>
              <w:rPr>
                <w:noProof/>
                <w:lang w:val="de-DE"/>
              </w:rPr>
            </w:pPr>
            <w:r w:rsidRPr="00170422">
              <w:rPr>
                <w:noProof/>
                <w:lang w:val="de-DE"/>
              </w:rPr>
              <w:t>M1C3-19</w:t>
            </w:r>
          </w:p>
        </w:tc>
        <w:tc>
          <w:tcPr>
            <w:tcW w:w="2268" w:type="dxa"/>
            <w:shd w:val="clear" w:color="auto" w:fill="C6EFCE"/>
            <w:tcMar>
              <w:left w:w="108" w:type="dxa"/>
              <w:right w:w="108" w:type="dxa"/>
            </w:tcMar>
            <w:vAlign w:val="center"/>
          </w:tcPr>
          <w:p w14:paraId="5F9A7C0C" w14:textId="77777777" w:rsidR="0057163C" w:rsidRPr="00170422" w:rsidRDefault="00F37BF9">
            <w:pPr>
              <w:pStyle w:val="P68B1DB1-Normal121"/>
              <w:spacing w:after="0" w:line="240" w:lineRule="auto"/>
              <w:rPr>
                <w:noProof/>
                <w:lang w:val="de-DE"/>
              </w:rPr>
            </w:pPr>
            <w:r w:rsidRPr="00170422">
              <w:rPr>
                <w:noProof/>
                <w:lang w:val="de-DE"/>
              </w:rPr>
              <w:t xml:space="preserve">Investition – 2.4 </w:t>
            </w:r>
            <w:r w:rsidRPr="00170422">
              <w:rPr>
                <w:noProof/>
                <w:lang w:val="de-DE"/>
              </w:rPr>
              <w:t>Seismische Sicherheit von Gebetsstätten, Restaurierung des Erbes des FEC (Fondo Edifici di Culto) und Schutzräume für Kunstwerke (Recovery Art)</w:t>
            </w:r>
          </w:p>
        </w:tc>
        <w:tc>
          <w:tcPr>
            <w:tcW w:w="2155" w:type="dxa"/>
            <w:shd w:val="clear" w:color="auto" w:fill="C6EFCE"/>
            <w:tcMar>
              <w:left w:w="108" w:type="dxa"/>
              <w:right w:w="108" w:type="dxa"/>
            </w:tcMar>
            <w:vAlign w:val="center"/>
          </w:tcPr>
          <w:p w14:paraId="4495B98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3EFBD387" w14:textId="6582935E" w:rsidR="0057163C" w:rsidRPr="00170422" w:rsidRDefault="00F37BF9">
            <w:pPr>
              <w:pStyle w:val="P68B1DB1-Normal121"/>
              <w:spacing w:after="0" w:line="240" w:lineRule="auto"/>
              <w:rPr>
                <w:noProof/>
                <w:lang w:val="de-DE"/>
              </w:rPr>
            </w:pPr>
            <w:r w:rsidRPr="00170422">
              <w:rPr>
                <w:noProof/>
                <w:lang w:val="de-DE"/>
              </w:rPr>
              <w:t>Maßnahmen zur seismischen Sicherheit in Gebetsstätten, Restaurierung des Erbes des FEC (Fondo Edifici di Cu</w:t>
            </w:r>
            <w:r w:rsidRPr="00170422">
              <w:rPr>
                <w:noProof/>
                <w:lang w:val="de-DE"/>
              </w:rPr>
              <w:t>lto) und der Schutz von Kunstwerken abgeschlossen</w:t>
            </w:r>
          </w:p>
        </w:tc>
      </w:tr>
      <w:tr w:rsidR="0057163C" w:rsidRPr="00170422" w14:paraId="2CB5BB0E" w14:textId="77777777" w:rsidTr="00E7779A">
        <w:trPr>
          <w:trHeight w:val="300"/>
        </w:trPr>
        <w:tc>
          <w:tcPr>
            <w:tcW w:w="1406" w:type="dxa"/>
            <w:shd w:val="clear" w:color="auto" w:fill="C6EFCE"/>
            <w:tcMar>
              <w:left w:w="108" w:type="dxa"/>
              <w:right w:w="108" w:type="dxa"/>
            </w:tcMar>
            <w:vAlign w:val="center"/>
          </w:tcPr>
          <w:p w14:paraId="27914278" w14:textId="77777777" w:rsidR="0057163C" w:rsidRPr="00170422" w:rsidRDefault="00F37BF9">
            <w:pPr>
              <w:pStyle w:val="P68B1DB1-Normal121"/>
              <w:spacing w:after="0" w:line="240" w:lineRule="auto"/>
              <w:jc w:val="center"/>
              <w:rPr>
                <w:noProof/>
                <w:lang w:val="de-DE"/>
              </w:rPr>
            </w:pPr>
            <w:r w:rsidRPr="00170422">
              <w:rPr>
                <w:noProof/>
                <w:lang w:val="de-DE"/>
              </w:rPr>
              <w:t>M2C1-10</w:t>
            </w:r>
          </w:p>
        </w:tc>
        <w:tc>
          <w:tcPr>
            <w:tcW w:w="2268" w:type="dxa"/>
            <w:shd w:val="clear" w:color="auto" w:fill="C6EFCE"/>
            <w:tcMar>
              <w:left w:w="108" w:type="dxa"/>
              <w:right w:w="108" w:type="dxa"/>
            </w:tcMar>
            <w:vAlign w:val="center"/>
          </w:tcPr>
          <w:p w14:paraId="0AAFC180" w14:textId="77777777" w:rsidR="0057163C" w:rsidRPr="00170422" w:rsidRDefault="00F37BF9">
            <w:pPr>
              <w:pStyle w:val="P68B1DB1-Normal121"/>
              <w:spacing w:after="0" w:line="240" w:lineRule="auto"/>
              <w:rPr>
                <w:noProof/>
                <w:lang w:val="de-DE"/>
              </w:rPr>
            </w:pPr>
            <w:r w:rsidRPr="00170422">
              <w:rPr>
                <w:noProof/>
                <w:lang w:val="de-DE"/>
              </w:rPr>
              <w:t>Investition 2.1: Logistikplan für die Sektoren Agrar- und Ernährungswirtschaft, Fischerei und Aquakultur, Forstwirtschaft, Blumenzucht und Pflanzenzucht</w:t>
            </w:r>
          </w:p>
        </w:tc>
        <w:tc>
          <w:tcPr>
            <w:tcW w:w="2155" w:type="dxa"/>
            <w:shd w:val="clear" w:color="auto" w:fill="C6EFCE"/>
            <w:tcMar>
              <w:left w:w="108" w:type="dxa"/>
              <w:right w:w="108" w:type="dxa"/>
            </w:tcMar>
            <w:vAlign w:val="center"/>
          </w:tcPr>
          <w:p w14:paraId="139EFF0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55AB6E5D" w14:textId="77777777" w:rsidR="0057163C" w:rsidRPr="00170422" w:rsidRDefault="00F37BF9">
            <w:pPr>
              <w:pStyle w:val="P68B1DB1-Normal121"/>
              <w:spacing w:after="0" w:line="240" w:lineRule="auto"/>
              <w:rPr>
                <w:noProof/>
                <w:lang w:val="de-DE"/>
              </w:rPr>
            </w:pPr>
            <w:r w:rsidRPr="00170422">
              <w:rPr>
                <w:noProof/>
                <w:lang w:val="de-DE"/>
              </w:rPr>
              <w:t>Maßnahmen zur Verbesserung der Logistik</w:t>
            </w:r>
            <w:r w:rsidRPr="00170422">
              <w:rPr>
                <w:noProof/>
                <w:lang w:val="de-DE"/>
              </w:rPr>
              <w:t xml:space="preserve"> in den Sektoren Agrar- und Ernährungswirtschaft, Fischerei und Aquakultur, Forstwirtschaft, Blumenzucht und Pflanzenzucht</w:t>
            </w:r>
          </w:p>
        </w:tc>
      </w:tr>
      <w:tr w:rsidR="0057163C" w:rsidRPr="00170422" w14:paraId="58BCCAB5" w14:textId="77777777" w:rsidTr="00E7779A">
        <w:trPr>
          <w:trHeight w:val="300"/>
        </w:trPr>
        <w:tc>
          <w:tcPr>
            <w:tcW w:w="1406" w:type="dxa"/>
            <w:shd w:val="clear" w:color="auto" w:fill="C6EFCE"/>
            <w:tcMar>
              <w:left w:w="108" w:type="dxa"/>
              <w:right w:w="108" w:type="dxa"/>
            </w:tcMar>
            <w:vAlign w:val="center"/>
          </w:tcPr>
          <w:p w14:paraId="52D5D6AF" w14:textId="179BB4C2" w:rsidR="0057163C" w:rsidRPr="00170422" w:rsidRDefault="00F37BF9">
            <w:pPr>
              <w:pStyle w:val="P68B1DB1-Normal121"/>
              <w:spacing w:after="0" w:line="240" w:lineRule="auto"/>
              <w:jc w:val="center"/>
              <w:rPr>
                <w:noProof/>
                <w:lang w:val="de-DE"/>
              </w:rPr>
            </w:pPr>
            <w:r w:rsidRPr="00170422">
              <w:rPr>
                <w:noProof/>
                <w:lang w:val="de-DE"/>
              </w:rPr>
              <w:t>M2C1-16quater</w:t>
            </w:r>
          </w:p>
        </w:tc>
        <w:tc>
          <w:tcPr>
            <w:tcW w:w="2268" w:type="dxa"/>
            <w:shd w:val="clear" w:color="auto" w:fill="C6EFCE"/>
            <w:tcMar>
              <w:left w:w="108" w:type="dxa"/>
              <w:right w:w="108" w:type="dxa"/>
            </w:tcMar>
            <w:vAlign w:val="center"/>
          </w:tcPr>
          <w:p w14:paraId="7099E62A" w14:textId="77777777" w:rsidR="0057163C" w:rsidRPr="00170422" w:rsidRDefault="00F37BF9">
            <w:pPr>
              <w:pStyle w:val="P68B1DB1-Normal121"/>
              <w:spacing w:after="0" w:line="240" w:lineRule="auto"/>
              <w:rPr>
                <w:noProof/>
                <w:lang w:val="de-DE"/>
              </w:rPr>
            </w:pPr>
            <w:r w:rsidRPr="00170422">
              <w:rPr>
                <w:noProof/>
                <w:lang w:val="de-DE"/>
              </w:rPr>
              <w:t>Investition 1.1 – Errichtung neuer Abfallbewirtschaftungsanlagen und Modernisierung bestehender Anlagen und „Leitproje</w:t>
            </w:r>
            <w:r w:rsidRPr="00170422">
              <w:rPr>
                <w:noProof/>
                <w:lang w:val="de-DE"/>
              </w:rPr>
              <w:t>kte“ der Kreislaufwirtschaft</w:t>
            </w:r>
          </w:p>
        </w:tc>
        <w:tc>
          <w:tcPr>
            <w:tcW w:w="2155" w:type="dxa"/>
            <w:shd w:val="clear" w:color="auto" w:fill="C6EFCE"/>
            <w:tcMar>
              <w:left w:w="108" w:type="dxa"/>
              <w:right w:w="108" w:type="dxa"/>
            </w:tcMar>
            <w:vAlign w:val="center"/>
          </w:tcPr>
          <w:p w14:paraId="5B1FDD5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07BCEE3" w14:textId="44208526" w:rsidR="0057163C" w:rsidRPr="00170422" w:rsidRDefault="00F37BF9">
            <w:pPr>
              <w:pStyle w:val="P68B1DB1-Normal121"/>
              <w:spacing w:after="0" w:line="240" w:lineRule="auto"/>
              <w:rPr>
                <w:noProof/>
                <w:lang w:val="de-DE"/>
              </w:rPr>
            </w:pPr>
            <w:r w:rsidRPr="00170422">
              <w:rPr>
                <w:noProof/>
                <w:lang w:val="de-DE"/>
              </w:rPr>
              <w:t xml:space="preserve">Projecabgeschlossen  </w:t>
            </w:r>
          </w:p>
        </w:tc>
      </w:tr>
      <w:tr w:rsidR="0057163C" w:rsidRPr="00170422" w14:paraId="422FD69E"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F4EF7DC" w14:textId="77777777" w:rsidR="0057163C" w:rsidRPr="00170422" w:rsidRDefault="00F37BF9">
            <w:pPr>
              <w:pStyle w:val="P68B1DB1-Normal121"/>
              <w:spacing w:after="0" w:line="240" w:lineRule="auto"/>
              <w:jc w:val="center"/>
              <w:rPr>
                <w:noProof/>
                <w:lang w:val="de-DE"/>
              </w:rPr>
            </w:pPr>
            <w:r w:rsidRPr="00170422">
              <w:rPr>
                <w:noProof/>
                <w:lang w:val="de-DE"/>
              </w:rPr>
              <w:t>M2C2-45</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3878220" w14:textId="77777777" w:rsidR="0057163C" w:rsidRPr="00170422" w:rsidRDefault="00F37BF9">
            <w:pPr>
              <w:pStyle w:val="P68B1DB1-Normal121"/>
              <w:spacing w:after="0" w:line="240" w:lineRule="auto"/>
              <w:rPr>
                <w:noProof/>
                <w:lang w:val="de-DE"/>
              </w:rPr>
            </w:pPr>
            <w:r w:rsidRPr="00170422">
              <w:rPr>
                <w:noProof/>
                <w:lang w:val="de-DE"/>
              </w:rPr>
              <w:t>Investition 1.1: Entwicklung von Agrarvoltaiksystemen</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097B8E1"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79C4C81" w14:textId="77777777" w:rsidR="0057163C" w:rsidRPr="00170422" w:rsidRDefault="00F37BF9">
            <w:pPr>
              <w:pStyle w:val="P68B1DB1-Normal121"/>
              <w:spacing w:after="0" w:line="240" w:lineRule="auto"/>
              <w:rPr>
                <w:noProof/>
                <w:lang w:val="de-DE"/>
              </w:rPr>
            </w:pPr>
            <w:r w:rsidRPr="00170422">
              <w:rPr>
                <w:noProof/>
                <w:lang w:val="de-DE"/>
              </w:rPr>
              <w:t>Durchführungsvereinbarung, mit Endbegünstigten unterzeichnete rechtliche Vereinbarungen und Abschluss der Investitionen</w:t>
            </w:r>
          </w:p>
        </w:tc>
      </w:tr>
      <w:tr w:rsidR="0057163C" w:rsidRPr="00170422" w14:paraId="274C2514"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4EF2ED3" w14:textId="77777777" w:rsidR="0057163C" w:rsidRPr="00170422" w:rsidRDefault="00F37BF9">
            <w:pPr>
              <w:pStyle w:val="P68B1DB1-Normal121"/>
              <w:spacing w:after="0" w:line="240" w:lineRule="auto"/>
              <w:jc w:val="center"/>
              <w:rPr>
                <w:noProof/>
                <w:lang w:val="de-DE"/>
              </w:rPr>
            </w:pPr>
            <w:r w:rsidRPr="00170422">
              <w:rPr>
                <w:noProof/>
                <w:lang w:val="de-DE"/>
              </w:rPr>
              <w:t>M4C1-18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6E42EDE" w14:textId="77777777" w:rsidR="0057163C" w:rsidRPr="00170422" w:rsidRDefault="00F37BF9">
            <w:pPr>
              <w:pStyle w:val="P68B1DB1-Normal121"/>
              <w:spacing w:after="0" w:line="240" w:lineRule="auto"/>
              <w:rPr>
                <w:noProof/>
                <w:lang w:val="de-DE"/>
              </w:rPr>
            </w:pPr>
            <w:r w:rsidRPr="00170422">
              <w:rPr>
                <w:noProof/>
                <w:lang w:val="de-DE"/>
              </w:rPr>
              <w:t>Investition 1.1: Plan für Kinderkrippen und Vorschulen sowie frühkindliche Betreuung, Bildung und Erziehung</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AE6C8C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B22542" w14:textId="77777777" w:rsidR="0057163C" w:rsidRPr="00170422" w:rsidRDefault="00F37BF9">
            <w:pPr>
              <w:pStyle w:val="P68B1DB1-Normal121"/>
              <w:spacing w:after="0" w:line="240" w:lineRule="auto"/>
              <w:rPr>
                <w:noProof/>
                <w:lang w:val="de-DE"/>
              </w:rPr>
            </w:pPr>
            <w:r w:rsidRPr="00170422">
              <w:rPr>
                <w:noProof/>
                <w:lang w:val="de-DE"/>
              </w:rPr>
              <w:t>Neue Plätze für Bildungs- und frühkindliche Betreuungsdienste (von null bis sechs Jahren)</w:t>
            </w:r>
          </w:p>
        </w:tc>
      </w:tr>
      <w:tr w:rsidR="0057163C" w:rsidRPr="00170422" w14:paraId="506A8E65"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372A69" w14:textId="77777777" w:rsidR="0057163C" w:rsidRPr="00170422" w:rsidRDefault="00F37BF9">
            <w:pPr>
              <w:pStyle w:val="P68B1DB1-Normal121"/>
              <w:spacing w:after="0" w:line="240" w:lineRule="auto"/>
              <w:jc w:val="center"/>
              <w:rPr>
                <w:noProof/>
                <w:lang w:val="de-DE"/>
              </w:rPr>
            </w:pPr>
            <w:r w:rsidRPr="00170422">
              <w:rPr>
                <w:noProof/>
                <w:lang w:val="de-DE"/>
              </w:rPr>
              <w:t>M4C1-21</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62D62F" w14:textId="77777777" w:rsidR="0057163C" w:rsidRPr="00170422" w:rsidRDefault="00F37BF9">
            <w:pPr>
              <w:pStyle w:val="P68B1DB1-Normal121"/>
              <w:spacing w:after="0" w:line="240" w:lineRule="auto"/>
              <w:rPr>
                <w:noProof/>
                <w:lang w:val="de-DE"/>
              </w:rPr>
            </w:pPr>
            <w:r w:rsidRPr="00170422">
              <w:rPr>
                <w:noProof/>
                <w:lang w:val="de-DE"/>
              </w:rPr>
              <w:t>Investition 1.2: Plan für die Verlän</w:t>
            </w:r>
            <w:r w:rsidRPr="00170422">
              <w:rPr>
                <w:noProof/>
                <w:lang w:val="de-DE"/>
              </w:rPr>
              <w:t>gerung der Vollzeitbeschäftigung</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4BFB352"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94F4082" w14:textId="77777777" w:rsidR="0057163C" w:rsidRPr="00170422" w:rsidRDefault="00F37BF9">
            <w:pPr>
              <w:pStyle w:val="P68B1DB1-Normal121"/>
              <w:spacing w:after="0" w:line="240" w:lineRule="auto"/>
              <w:rPr>
                <w:noProof/>
                <w:lang w:val="de-DE"/>
              </w:rPr>
            </w:pPr>
            <w:r w:rsidRPr="00170422">
              <w:rPr>
                <w:noProof/>
                <w:lang w:val="de-DE"/>
              </w:rPr>
              <w:t>Strukturen für die Aufnahme von Schülern über die Schulzeit hinaus</w:t>
            </w:r>
          </w:p>
        </w:tc>
      </w:tr>
      <w:tr w:rsidR="0057163C" w:rsidRPr="00170422" w14:paraId="0C812F13"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2E5AA5C" w14:textId="77777777" w:rsidR="0057163C" w:rsidRPr="00170422" w:rsidRDefault="00F37BF9">
            <w:pPr>
              <w:pStyle w:val="P68B1DB1-Normal121"/>
              <w:spacing w:after="0" w:line="240" w:lineRule="auto"/>
              <w:jc w:val="center"/>
              <w:rPr>
                <w:noProof/>
                <w:lang w:val="de-DE"/>
              </w:rPr>
            </w:pPr>
            <w:r w:rsidRPr="00170422">
              <w:rPr>
                <w:noProof/>
                <w:lang w:val="de-DE"/>
              </w:rPr>
              <w:t>M4C1-26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FC553F3" w14:textId="77777777" w:rsidR="0057163C" w:rsidRPr="00170422" w:rsidRDefault="00F37BF9">
            <w:pPr>
              <w:pStyle w:val="P68B1DB1-Normal121"/>
              <w:spacing w:after="0" w:line="240" w:lineRule="auto"/>
              <w:rPr>
                <w:noProof/>
                <w:lang w:val="de-DE"/>
              </w:rPr>
            </w:pPr>
            <w:r w:rsidRPr="00170422">
              <w:rPr>
                <w:noProof/>
                <w:lang w:val="de-DE"/>
              </w:rPr>
              <w:t>Investition 3.3: Plan für Sicherheit und strukturelle Sanierung von Schulgebäuden</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30328AE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E06F8BD" w14:textId="77777777" w:rsidR="0057163C" w:rsidRPr="00170422" w:rsidRDefault="00F37BF9">
            <w:pPr>
              <w:pStyle w:val="P68B1DB1-Normal121"/>
              <w:spacing w:after="0" w:line="240" w:lineRule="auto"/>
              <w:rPr>
                <w:noProof/>
                <w:lang w:val="de-DE"/>
              </w:rPr>
            </w:pPr>
            <w:r w:rsidRPr="00170422">
              <w:rPr>
                <w:noProof/>
                <w:lang w:val="de-DE"/>
              </w:rPr>
              <w:t>M2 renovierte Schulgebäude</w:t>
            </w:r>
          </w:p>
        </w:tc>
      </w:tr>
      <w:tr w:rsidR="0057163C" w:rsidRPr="00170422" w14:paraId="0C1D6002"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2F79929" w14:textId="77777777" w:rsidR="0057163C" w:rsidRPr="00170422" w:rsidRDefault="00F37BF9">
            <w:pPr>
              <w:pStyle w:val="P68B1DB1-Normal121"/>
              <w:spacing w:after="0" w:line="240" w:lineRule="auto"/>
              <w:jc w:val="center"/>
              <w:rPr>
                <w:noProof/>
                <w:lang w:val="de-DE"/>
              </w:rPr>
            </w:pPr>
            <w:r w:rsidRPr="00170422">
              <w:rPr>
                <w:noProof/>
                <w:lang w:val="de-DE"/>
              </w:rPr>
              <w:t>M4C1-32</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FBB88A4" w14:textId="77777777" w:rsidR="0057163C" w:rsidRPr="00170422" w:rsidRDefault="00F37BF9">
            <w:pPr>
              <w:pStyle w:val="P68B1DB1-Normal121"/>
              <w:spacing w:after="0" w:line="240" w:lineRule="auto"/>
              <w:rPr>
                <w:noProof/>
                <w:lang w:val="de-DE"/>
              </w:rPr>
            </w:pPr>
            <w:r w:rsidRPr="00170422">
              <w:rPr>
                <w:noProof/>
                <w:lang w:val="de-DE"/>
              </w:rPr>
              <w:t xml:space="preserve">Investition 5: </w:t>
            </w:r>
            <w:r w:rsidRPr="00170422">
              <w:rPr>
                <w:noProof/>
                <w:lang w:val="de-DE"/>
              </w:rPr>
              <w:t>Stipendiatenwohnungsfonds</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875F81C"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0BC1FD1" w14:textId="77777777" w:rsidR="0057163C" w:rsidRPr="00170422" w:rsidRDefault="00F37BF9">
            <w:pPr>
              <w:pStyle w:val="P68B1DB1-Normal121"/>
              <w:spacing w:after="0" w:line="240" w:lineRule="auto"/>
              <w:rPr>
                <w:noProof/>
                <w:lang w:val="de-DE"/>
              </w:rPr>
            </w:pPr>
            <w:r w:rsidRPr="00170422">
              <w:rPr>
                <w:noProof/>
                <w:lang w:val="de-DE"/>
              </w:rPr>
              <w:t>Mit den Endbegünstigten unterzeichnete rechtliche Vereinbarungen und Abschluss der Investitionen</w:t>
            </w:r>
          </w:p>
        </w:tc>
      </w:tr>
      <w:tr w:rsidR="0057163C" w:rsidRPr="00170422" w14:paraId="0879F3E5"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DF8E05A" w14:textId="77777777" w:rsidR="0057163C" w:rsidRPr="00170422" w:rsidRDefault="00F37BF9">
            <w:pPr>
              <w:pStyle w:val="P68B1DB1-Normal121"/>
              <w:spacing w:after="0" w:line="240" w:lineRule="auto"/>
              <w:jc w:val="center"/>
              <w:rPr>
                <w:noProof/>
                <w:lang w:val="de-DE"/>
              </w:rPr>
            </w:pPr>
            <w:r w:rsidRPr="00170422">
              <w:rPr>
                <w:noProof/>
                <w:lang w:val="de-DE"/>
              </w:rPr>
              <w:t>M5C1-20</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FC3BC4E" w14:textId="77777777" w:rsidR="0057163C" w:rsidRPr="00170422" w:rsidRDefault="00F37BF9">
            <w:pPr>
              <w:pStyle w:val="P68B1DB1-Normal121"/>
              <w:spacing w:after="0" w:line="240" w:lineRule="auto"/>
              <w:rPr>
                <w:noProof/>
                <w:lang w:val="de-DE"/>
              </w:rPr>
            </w:pPr>
            <w:r w:rsidRPr="00170422">
              <w:rPr>
                <w:noProof/>
                <w:lang w:val="de-DE"/>
              </w:rPr>
              <w:t>Investition 5: Gründung von Frauenunternehmen</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031BCD7D"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5CA6DD05" w14:textId="77777777" w:rsidR="0057163C" w:rsidRPr="00170422" w:rsidRDefault="00F37BF9">
            <w:pPr>
              <w:pStyle w:val="P68B1DB1-Normal121"/>
              <w:spacing w:after="0" w:line="240" w:lineRule="auto"/>
              <w:rPr>
                <w:noProof/>
                <w:lang w:val="de-DE"/>
              </w:rPr>
            </w:pPr>
            <w:r w:rsidRPr="00170422">
              <w:rPr>
                <w:noProof/>
                <w:lang w:val="de-DE"/>
              </w:rPr>
              <w:t xml:space="preserve">Mit Endbegünstigten unterzeichnete rechtliche Vereinbarungen </w:t>
            </w:r>
          </w:p>
        </w:tc>
      </w:tr>
      <w:tr w:rsidR="0057163C" w:rsidRPr="00170422" w14:paraId="6D9B6D2B"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98E51F6" w14:textId="77777777" w:rsidR="0057163C" w:rsidRPr="00170422" w:rsidRDefault="00F37BF9">
            <w:pPr>
              <w:pStyle w:val="P68B1DB1-Normal121"/>
              <w:spacing w:after="0" w:line="240" w:lineRule="auto"/>
              <w:jc w:val="center"/>
              <w:rPr>
                <w:noProof/>
                <w:lang w:val="de-DE"/>
              </w:rPr>
            </w:pPr>
            <w:r w:rsidRPr="00170422">
              <w:rPr>
                <w:noProof/>
                <w:lang w:val="de-DE"/>
              </w:rPr>
              <w:t>M5C2-6</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3EB25ED" w14:textId="77777777" w:rsidR="0057163C" w:rsidRPr="00170422" w:rsidRDefault="00F37BF9">
            <w:pPr>
              <w:pStyle w:val="P68B1DB1-Normal121"/>
              <w:spacing w:after="0" w:line="240" w:lineRule="auto"/>
              <w:rPr>
                <w:noProof/>
                <w:lang w:val="de-DE"/>
              </w:rPr>
            </w:pPr>
            <w:r w:rsidRPr="00170422">
              <w:rPr>
                <w:noProof/>
                <w:lang w:val="de-DE"/>
              </w:rPr>
              <w:t>Investition 1 – Unterstützung schutzbedürftiger Menschen und Verhinderung der Institutionalisierung</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F1AF3F4"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680D9F0C" w14:textId="77777777" w:rsidR="0057163C" w:rsidRPr="00170422" w:rsidRDefault="00F37BF9">
            <w:pPr>
              <w:pStyle w:val="P68B1DB1-Normal121"/>
              <w:spacing w:after="0" w:line="240" w:lineRule="auto"/>
              <w:rPr>
                <w:noProof/>
                <w:lang w:val="de-DE"/>
              </w:rPr>
            </w:pPr>
            <w:r w:rsidRPr="00170422">
              <w:rPr>
                <w:noProof/>
                <w:lang w:val="de-DE"/>
              </w:rPr>
              <w:t>Abschluss von Maßnahmen zur Unterstützung schutzbedürftiger Menschen in Sozialbezirken</w:t>
            </w:r>
          </w:p>
        </w:tc>
      </w:tr>
      <w:tr w:rsidR="0057163C" w:rsidRPr="00170422" w14:paraId="59E94139"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EB7F457" w14:textId="77777777" w:rsidR="0057163C" w:rsidRPr="00170422" w:rsidRDefault="00F37BF9">
            <w:pPr>
              <w:pStyle w:val="P68B1DB1-Normal121"/>
              <w:spacing w:after="0" w:line="240" w:lineRule="auto"/>
              <w:jc w:val="center"/>
              <w:rPr>
                <w:noProof/>
                <w:lang w:val="de-DE"/>
              </w:rPr>
            </w:pPr>
            <w:r w:rsidRPr="00170422">
              <w:rPr>
                <w:noProof/>
                <w:lang w:val="de-DE"/>
              </w:rPr>
              <w:t>M5C2-8</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225B932" w14:textId="77777777" w:rsidR="0057163C" w:rsidRPr="00170422" w:rsidRDefault="00F37BF9">
            <w:pPr>
              <w:pStyle w:val="P68B1DB1-Normal121"/>
              <w:spacing w:after="0" w:line="240" w:lineRule="auto"/>
              <w:rPr>
                <w:noProof/>
                <w:lang w:val="de-DE"/>
              </w:rPr>
            </w:pPr>
            <w:r w:rsidRPr="00170422">
              <w:rPr>
                <w:noProof/>
                <w:lang w:val="de-DE"/>
              </w:rPr>
              <w:t xml:space="preserve">Investition 2 – Autonomiemuster für Menschen mit </w:t>
            </w:r>
            <w:r w:rsidRPr="00170422">
              <w:rPr>
                <w:noProof/>
                <w:lang w:val="de-DE"/>
              </w:rPr>
              <w:t>Behinderungen</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2C3E9C4A"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8FE96B9" w14:textId="77777777" w:rsidR="0057163C" w:rsidRPr="00170422" w:rsidRDefault="00F37BF9">
            <w:pPr>
              <w:pStyle w:val="P68B1DB1-Normal121"/>
              <w:spacing w:after="0" w:line="240" w:lineRule="auto"/>
              <w:rPr>
                <w:noProof/>
                <w:lang w:val="de-DE"/>
              </w:rPr>
            </w:pPr>
            <w:r w:rsidRPr="00170422">
              <w:rPr>
                <w:noProof/>
                <w:lang w:val="de-DE"/>
              </w:rPr>
              <w:t>Die Begünstigten haben Renovierungen von Heimräumen und/oder IKT-Geräten in Verbindung mit Schulungen zu digitalen Kompetenzen erhalten.</w:t>
            </w:r>
          </w:p>
        </w:tc>
      </w:tr>
      <w:tr w:rsidR="0057163C" w:rsidRPr="00170422" w14:paraId="4AEC28A3" w14:textId="77777777" w:rsidTr="00E7779A">
        <w:trPr>
          <w:trHeight w:val="300"/>
        </w:trPr>
        <w:tc>
          <w:tcPr>
            <w:tcW w:w="1406" w:type="dxa"/>
            <w:shd w:val="clear" w:color="auto" w:fill="C6EFCE"/>
            <w:tcMar>
              <w:left w:w="108" w:type="dxa"/>
              <w:right w:w="108" w:type="dxa"/>
            </w:tcMar>
            <w:vAlign w:val="center"/>
          </w:tcPr>
          <w:p w14:paraId="64781806" w14:textId="77777777" w:rsidR="0057163C" w:rsidRPr="00170422" w:rsidRDefault="00F37BF9">
            <w:pPr>
              <w:pStyle w:val="P68B1DB1-Normal121"/>
              <w:spacing w:after="0" w:line="240" w:lineRule="auto"/>
              <w:jc w:val="center"/>
              <w:rPr>
                <w:noProof/>
                <w:lang w:val="de-DE"/>
              </w:rPr>
            </w:pPr>
            <w:r w:rsidRPr="00170422">
              <w:rPr>
                <w:noProof/>
                <w:lang w:val="de-DE"/>
              </w:rPr>
              <w:t>M5C2-10</w:t>
            </w:r>
          </w:p>
        </w:tc>
        <w:tc>
          <w:tcPr>
            <w:tcW w:w="2268" w:type="dxa"/>
            <w:shd w:val="clear" w:color="auto" w:fill="C6EFCE"/>
            <w:tcMar>
              <w:left w:w="108" w:type="dxa"/>
              <w:right w:w="108" w:type="dxa"/>
            </w:tcMar>
            <w:vAlign w:val="center"/>
          </w:tcPr>
          <w:p w14:paraId="6E3E82BB" w14:textId="77777777" w:rsidR="0057163C" w:rsidRPr="00170422" w:rsidRDefault="00F37BF9">
            <w:pPr>
              <w:pStyle w:val="P68B1DB1-Normal121"/>
              <w:spacing w:after="0" w:line="240" w:lineRule="auto"/>
              <w:rPr>
                <w:noProof/>
                <w:lang w:val="de-DE"/>
              </w:rPr>
            </w:pPr>
            <w:r w:rsidRPr="00170422">
              <w:rPr>
                <w:noProof/>
                <w:lang w:val="de-DE"/>
              </w:rPr>
              <w:t>Investition 3 – Wohnen Erst- und Poststellen</w:t>
            </w:r>
          </w:p>
        </w:tc>
        <w:tc>
          <w:tcPr>
            <w:tcW w:w="2155" w:type="dxa"/>
            <w:shd w:val="clear" w:color="auto" w:fill="C6EFCE"/>
            <w:tcMar>
              <w:left w:w="108" w:type="dxa"/>
              <w:right w:w="108" w:type="dxa"/>
            </w:tcMar>
            <w:vAlign w:val="center"/>
          </w:tcPr>
          <w:p w14:paraId="6F2A36FE"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18CA03D" w14:textId="77777777" w:rsidR="0057163C" w:rsidRPr="00170422" w:rsidRDefault="00F37BF9">
            <w:pPr>
              <w:pStyle w:val="P68B1DB1-Normal121"/>
              <w:spacing w:after="0" w:line="240" w:lineRule="auto"/>
              <w:rPr>
                <w:noProof/>
                <w:lang w:val="de-DE"/>
              </w:rPr>
            </w:pPr>
            <w:r w:rsidRPr="00170422">
              <w:rPr>
                <w:noProof/>
                <w:lang w:val="de-DE"/>
              </w:rPr>
              <w:t>Personen, die unter erheblicher materiell</w:t>
            </w:r>
            <w:r w:rsidRPr="00170422">
              <w:rPr>
                <w:noProof/>
                <w:lang w:val="de-DE"/>
              </w:rPr>
              <w:t>er Deprivation leben und mindestens sechs Monate lang im Rahmen von Projekten zum Thema „Housing First“ und Poststationen betreut wurden</w:t>
            </w:r>
          </w:p>
        </w:tc>
      </w:tr>
      <w:tr w:rsidR="0057163C" w:rsidRPr="00170422" w14:paraId="2CB4D7B9" w14:textId="77777777" w:rsidTr="00E7779A">
        <w:trPr>
          <w:trHeight w:val="300"/>
        </w:trPr>
        <w:tc>
          <w:tcPr>
            <w:tcW w:w="1406" w:type="dxa"/>
            <w:shd w:val="clear" w:color="auto" w:fill="C6EFCE"/>
            <w:tcMar>
              <w:left w:w="108" w:type="dxa"/>
              <w:right w:w="108" w:type="dxa"/>
            </w:tcMar>
            <w:vAlign w:val="center"/>
          </w:tcPr>
          <w:p w14:paraId="60DFE54E" w14:textId="77777777" w:rsidR="0057163C" w:rsidRPr="00170422" w:rsidRDefault="00F37BF9">
            <w:pPr>
              <w:pStyle w:val="P68B1DB1-Normal121"/>
              <w:spacing w:after="0" w:line="240" w:lineRule="auto"/>
              <w:jc w:val="center"/>
              <w:rPr>
                <w:noProof/>
                <w:lang w:val="de-DE"/>
              </w:rPr>
            </w:pPr>
            <w:r w:rsidRPr="00170422">
              <w:rPr>
                <w:noProof/>
                <w:lang w:val="de-DE"/>
              </w:rPr>
              <w:t>M1C2-31</w:t>
            </w:r>
          </w:p>
        </w:tc>
        <w:tc>
          <w:tcPr>
            <w:tcW w:w="2268" w:type="dxa"/>
            <w:shd w:val="clear" w:color="auto" w:fill="C6EFCE"/>
            <w:tcMar>
              <w:left w:w="108" w:type="dxa"/>
              <w:right w:w="108" w:type="dxa"/>
            </w:tcMar>
            <w:vAlign w:val="center"/>
          </w:tcPr>
          <w:p w14:paraId="086CD75A" w14:textId="77777777" w:rsidR="0057163C" w:rsidRPr="00170422" w:rsidRDefault="00F37BF9">
            <w:pPr>
              <w:pStyle w:val="P68B1DB1-Normal121"/>
              <w:spacing w:after="0" w:line="240" w:lineRule="auto"/>
              <w:rPr>
                <w:noProof/>
                <w:lang w:val="de-DE"/>
              </w:rPr>
            </w:pPr>
            <w:r w:rsidRPr="00170422">
              <w:rPr>
                <w:noProof/>
                <w:lang w:val="de-DE"/>
              </w:rPr>
              <w:t>Investition 7 – Nationaler Konnektivitätsfonds</w:t>
            </w:r>
          </w:p>
        </w:tc>
        <w:tc>
          <w:tcPr>
            <w:tcW w:w="2155" w:type="dxa"/>
            <w:shd w:val="clear" w:color="auto" w:fill="C6EFCE"/>
            <w:tcMar>
              <w:left w:w="108" w:type="dxa"/>
              <w:right w:w="108" w:type="dxa"/>
            </w:tcMar>
            <w:vAlign w:val="center"/>
          </w:tcPr>
          <w:p w14:paraId="528E4E6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38624319" w14:textId="77777777" w:rsidR="0057163C" w:rsidRPr="00170422" w:rsidRDefault="00F37BF9">
            <w:pPr>
              <w:pStyle w:val="P68B1DB1-Normal121"/>
              <w:spacing w:after="0" w:line="240" w:lineRule="auto"/>
              <w:rPr>
                <w:noProof/>
                <w:lang w:val="de-DE"/>
              </w:rPr>
            </w:pPr>
            <w:r w:rsidRPr="00170422">
              <w:rPr>
                <w:noProof/>
                <w:lang w:val="de-DE"/>
              </w:rPr>
              <w:t xml:space="preserve">Mit den Endbegünstigten unterzeichnete rechtliche </w:t>
            </w:r>
            <w:r w:rsidRPr="00170422">
              <w:rPr>
                <w:noProof/>
                <w:lang w:val="de-DE"/>
              </w:rPr>
              <w:t>Vereinbarungen und Abschluss der Investitionen</w:t>
            </w:r>
          </w:p>
        </w:tc>
      </w:tr>
      <w:tr w:rsidR="0057163C" w:rsidRPr="00170422" w14:paraId="4673D794" w14:textId="77777777" w:rsidTr="00E7779A">
        <w:trPr>
          <w:trHeight w:val="300"/>
        </w:trPr>
        <w:tc>
          <w:tcPr>
            <w:tcW w:w="1406" w:type="dxa"/>
            <w:shd w:val="clear" w:color="auto" w:fill="C6EFCE"/>
            <w:tcMar>
              <w:left w:w="108" w:type="dxa"/>
              <w:right w:w="108" w:type="dxa"/>
            </w:tcMar>
            <w:vAlign w:val="center"/>
          </w:tcPr>
          <w:p w14:paraId="30C48C2E" w14:textId="77777777" w:rsidR="0057163C" w:rsidRPr="00170422" w:rsidRDefault="00F37BF9">
            <w:pPr>
              <w:pStyle w:val="P68B1DB1-Normal121"/>
              <w:spacing w:after="0" w:line="240" w:lineRule="auto"/>
              <w:jc w:val="center"/>
              <w:rPr>
                <w:noProof/>
                <w:lang w:val="de-DE"/>
              </w:rPr>
            </w:pPr>
            <w:r w:rsidRPr="00170422">
              <w:rPr>
                <w:noProof/>
                <w:lang w:val="de-DE"/>
              </w:rPr>
              <w:t>M1C2-32</w:t>
            </w:r>
          </w:p>
        </w:tc>
        <w:tc>
          <w:tcPr>
            <w:tcW w:w="2268" w:type="dxa"/>
            <w:shd w:val="clear" w:color="auto" w:fill="C6EFCE"/>
            <w:tcMar>
              <w:left w:w="108" w:type="dxa"/>
              <w:right w:w="108" w:type="dxa"/>
            </w:tcMar>
            <w:vAlign w:val="center"/>
          </w:tcPr>
          <w:p w14:paraId="7F428E7C" w14:textId="77777777" w:rsidR="0057163C" w:rsidRPr="00170422" w:rsidRDefault="00F37BF9">
            <w:pPr>
              <w:pStyle w:val="P68B1DB1-Normal121"/>
              <w:spacing w:after="0" w:line="240" w:lineRule="auto"/>
              <w:rPr>
                <w:noProof/>
                <w:lang w:val="de-DE"/>
              </w:rPr>
            </w:pPr>
            <w:r w:rsidRPr="00170422">
              <w:rPr>
                <w:noProof/>
                <w:lang w:val="de-DE"/>
              </w:rPr>
              <w:t xml:space="preserve">Investition 8 – InvestEU-Mitgliedstaaten-Komponente </w:t>
            </w:r>
          </w:p>
        </w:tc>
        <w:tc>
          <w:tcPr>
            <w:tcW w:w="2155" w:type="dxa"/>
            <w:shd w:val="clear" w:color="auto" w:fill="C6EFCE"/>
            <w:tcMar>
              <w:left w:w="108" w:type="dxa"/>
              <w:right w:w="108" w:type="dxa"/>
            </w:tcMar>
            <w:vAlign w:val="center"/>
          </w:tcPr>
          <w:p w14:paraId="376119B8"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23246643" w14:textId="77777777" w:rsidR="0057163C" w:rsidRPr="00170422" w:rsidRDefault="00F37BF9">
            <w:pPr>
              <w:pStyle w:val="P68B1DB1-Normal121"/>
              <w:spacing w:after="0" w:line="240" w:lineRule="auto"/>
              <w:rPr>
                <w:noProof/>
                <w:lang w:val="de-DE"/>
              </w:rPr>
            </w:pPr>
            <w:r w:rsidRPr="00170422">
              <w:rPr>
                <w:noProof/>
                <w:lang w:val="de-DE"/>
              </w:rPr>
              <w:t xml:space="preserve">Unterzeichnung der Beitragsvereinbarung zwischen der Regierung Italiens und der Europäischen Kommission </w:t>
            </w:r>
          </w:p>
        </w:tc>
      </w:tr>
      <w:tr w:rsidR="0057163C" w:rsidRPr="00170422" w14:paraId="200509C1" w14:textId="77777777" w:rsidTr="00E7779A">
        <w:trPr>
          <w:trHeight w:val="300"/>
        </w:trPr>
        <w:tc>
          <w:tcPr>
            <w:tcW w:w="1406" w:type="dxa"/>
            <w:shd w:val="clear" w:color="auto" w:fill="C6EFCE"/>
            <w:tcMar>
              <w:left w:w="108" w:type="dxa"/>
              <w:right w:w="108" w:type="dxa"/>
            </w:tcMar>
            <w:vAlign w:val="center"/>
          </w:tcPr>
          <w:p w14:paraId="65222E4B" w14:textId="77777777" w:rsidR="0057163C" w:rsidRPr="00170422" w:rsidRDefault="00F37BF9">
            <w:pPr>
              <w:pStyle w:val="P68B1DB1-Normal121"/>
              <w:spacing w:after="0" w:line="240" w:lineRule="auto"/>
              <w:jc w:val="center"/>
              <w:rPr>
                <w:noProof/>
                <w:lang w:val="de-DE"/>
              </w:rPr>
            </w:pPr>
            <w:r w:rsidRPr="00170422">
              <w:rPr>
                <w:noProof/>
                <w:lang w:val="de-DE"/>
              </w:rPr>
              <w:t>M1C2-33</w:t>
            </w:r>
          </w:p>
        </w:tc>
        <w:tc>
          <w:tcPr>
            <w:tcW w:w="2268" w:type="dxa"/>
            <w:shd w:val="clear" w:color="auto" w:fill="C6EFCE"/>
            <w:tcMar>
              <w:left w:w="108" w:type="dxa"/>
              <w:right w:w="108" w:type="dxa"/>
            </w:tcMar>
            <w:vAlign w:val="center"/>
          </w:tcPr>
          <w:p w14:paraId="6B56D1CE" w14:textId="77777777" w:rsidR="0057163C" w:rsidRPr="00170422" w:rsidRDefault="00F37BF9">
            <w:pPr>
              <w:pStyle w:val="P68B1DB1-Normal121"/>
              <w:spacing w:after="0" w:line="240" w:lineRule="auto"/>
              <w:rPr>
                <w:noProof/>
                <w:lang w:val="de-DE"/>
              </w:rPr>
            </w:pPr>
            <w:r w:rsidRPr="00170422">
              <w:rPr>
                <w:noProof/>
                <w:lang w:val="de-DE"/>
              </w:rPr>
              <w:t xml:space="preserve">Investition 8 – </w:t>
            </w:r>
            <w:r w:rsidRPr="00170422">
              <w:rPr>
                <w:noProof/>
                <w:lang w:val="de-DE"/>
              </w:rPr>
              <w:t>InvestEU-Mitgliedstaaten-Komponente</w:t>
            </w:r>
          </w:p>
        </w:tc>
        <w:tc>
          <w:tcPr>
            <w:tcW w:w="2155" w:type="dxa"/>
            <w:shd w:val="clear" w:color="auto" w:fill="C6EFCE"/>
            <w:tcMar>
              <w:left w:w="108" w:type="dxa"/>
              <w:right w:w="108" w:type="dxa"/>
            </w:tcMar>
            <w:vAlign w:val="center"/>
          </w:tcPr>
          <w:p w14:paraId="7CBBAE8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4722E055" w14:textId="77777777" w:rsidR="0057163C" w:rsidRPr="00170422" w:rsidRDefault="00F37BF9">
            <w:pPr>
              <w:pStyle w:val="P68B1DB1-Normal121"/>
              <w:spacing w:after="0" w:line="240" w:lineRule="auto"/>
              <w:rPr>
                <w:noProof/>
                <w:lang w:val="de-DE"/>
              </w:rPr>
            </w:pPr>
            <w:r w:rsidRPr="00170422">
              <w:rPr>
                <w:noProof/>
                <w:lang w:val="de-DE"/>
              </w:rPr>
              <w:t xml:space="preserve">Vom InvestEU-Investitionsausschuss genehmigte Finanzierungen oder Investitionen </w:t>
            </w:r>
          </w:p>
        </w:tc>
      </w:tr>
      <w:tr w:rsidR="0057163C" w:rsidRPr="00170422" w14:paraId="53F04979" w14:textId="77777777" w:rsidTr="00E7779A">
        <w:trPr>
          <w:trHeight w:val="300"/>
        </w:trPr>
        <w:tc>
          <w:tcPr>
            <w:tcW w:w="1406" w:type="dxa"/>
            <w:shd w:val="clear" w:color="auto" w:fill="C6EFCE"/>
            <w:tcMar>
              <w:left w:w="108" w:type="dxa"/>
              <w:right w:w="108" w:type="dxa"/>
            </w:tcMar>
            <w:vAlign w:val="center"/>
          </w:tcPr>
          <w:p w14:paraId="7C53E1AA" w14:textId="6A4FB837" w:rsidR="0057163C" w:rsidRPr="00170422" w:rsidRDefault="00F37BF9">
            <w:pPr>
              <w:pStyle w:val="P68B1DB1-Normal121"/>
              <w:spacing w:after="0" w:line="240" w:lineRule="auto"/>
              <w:jc w:val="center"/>
              <w:rPr>
                <w:noProof/>
                <w:lang w:val="de-DE"/>
              </w:rPr>
            </w:pPr>
            <w:r w:rsidRPr="00170422">
              <w:rPr>
                <w:noProof/>
                <w:lang w:val="de-DE"/>
              </w:rPr>
              <w:t>M3C1-27</w:t>
            </w:r>
          </w:p>
        </w:tc>
        <w:tc>
          <w:tcPr>
            <w:tcW w:w="2268" w:type="dxa"/>
            <w:shd w:val="clear" w:color="auto" w:fill="C6EFCE"/>
            <w:tcMar>
              <w:left w:w="108" w:type="dxa"/>
              <w:right w:w="108" w:type="dxa"/>
            </w:tcMar>
            <w:vAlign w:val="center"/>
          </w:tcPr>
          <w:p w14:paraId="39052B92" w14:textId="3DF28477" w:rsidR="0057163C" w:rsidRPr="00170422" w:rsidRDefault="00F37BF9">
            <w:pPr>
              <w:pStyle w:val="P68B1DB1-Normal121"/>
              <w:spacing w:after="0" w:line="240" w:lineRule="auto"/>
              <w:rPr>
                <w:noProof/>
                <w:lang w:val="de-DE"/>
              </w:rPr>
            </w:pPr>
            <w:r w:rsidRPr="00170422">
              <w:rPr>
                <w:noProof/>
                <w:lang w:val="de-DE"/>
              </w:rPr>
              <w:t xml:space="preserve">Reform 1.3 – Steigerung der Effizienz der Eisenbahninfrastruktur in Italien </w:t>
            </w:r>
          </w:p>
        </w:tc>
        <w:tc>
          <w:tcPr>
            <w:tcW w:w="2155" w:type="dxa"/>
            <w:shd w:val="clear" w:color="auto" w:fill="C6EFCE"/>
            <w:tcMar>
              <w:left w:w="108" w:type="dxa"/>
              <w:right w:w="108" w:type="dxa"/>
            </w:tcMar>
            <w:vAlign w:val="center"/>
          </w:tcPr>
          <w:p w14:paraId="166560C6"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4A3E5283" w14:textId="77777777" w:rsidR="0057163C" w:rsidRPr="00170422" w:rsidRDefault="00F37BF9">
            <w:pPr>
              <w:pStyle w:val="P68B1DB1-Normal121"/>
              <w:spacing w:after="0" w:line="240" w:lineRule="auto"/>
              <w:rPr>
                <w:noProof/>
                <w:lang w:val="de-DE"/>
              </w:rPr>
            </w:pPr>
            <w:r w:rsidRPr="00170422">
              <w:rPr>
                <w:noProof/>
                <w:lang w:val="de-DE"/>
              </w:rPr>
              <w:t>Finanz- und Geschäftsplan für das RO</w:t>
            </w:r>
            <w:r w:rsidRPr="00170422">
              <w:rPr>
                <w:noProof/>
                <w:lang w:val="de-DE"/>
              </w:rPr>
              <w:t xml:space="preserve">SCO-Statut und die Übertragung von Ressourcen und Vermögenswerten </w:t>
            </w:r>
          </w:p>
        </w:tc>
      </w:tr>
      <w:tr w:rsidR="0057163C" w:rsidRPr="00170422" w14:paraId="6A1F20C9" w14:textId="77777777" w:rsidTr="00E7779A">
        <w:trPr>
          <w:trHeight w:val="300"/>
        </w:trPr>
        <w:tc>
          <w:tcPr>
            <w:tcW w:w="1406" w:type="dxa"/>
            <w:shd w:val="clear" w:color="auto" w:fill="C6EFCE"/>
            <w:tcMar>
              <w:left w:w="108" w:type="dxa"/>
              <w:right w:w="108" w:type="dxa"/>
            </w:tcMar>
            <w:vAlign w:val="center"/>
          </w:tcPr>
          <w:p w14:paraId="443F97A6" w14:textId="77777777" w:rsidR="0057163C" w:rsidRPr="00170422" w:rsidRDefault="00F37BF9">
            <w:pPr>
              <w:pStyle w:val="P68B1DB1-Normal121"/>
              <w:spacing w:after="0" w:line="240" w:lineRule="auto"/>
              <w:jc w:val="center"/>
              <w:rPr>
                <w:noProof/>
                <w:lang w:val="de-DE"/>
              </w:rPr>
            </w:pPr>
            <w:r w:rsidRPr="00170422">
              <w:rPr>
                <w:noProof/>
                <w:lang w:val="de-DE"/>
              </w:rPr>
              <w:t>M5C3-14</w:t>
            </w:r>
          </w:p>
        </w:tc>
        <w:tc>
          <w:tcPr>
            <w:tcW w:w="2268" w:type="dxa"/>
            <w:shd w:val="clear" w:color="auto" w:fill="C6EFCE"/>
            <w:tcMar>
              <w:left w:w="108" w:type="dxa"/>
              <w:right w:w="108" w:type="dxa"/>
            </w:tcMar>
            <w:vAlign w:val="center"/>
          </w:tcPr>
          <w:p w14:paraId="56A99C56" w14:textId="77777777" w:rsidR="0057163C" w:rsidRPr="00170422" w:rsidRDefault="00F37BF9">
            <w:pPr>
              <w:pStyle w:val="P68B1DB1-Normal121"/>
              <w:spacing w:after="0" w:line="240" w:lineRule="auto"/>
              <w:rPr>
                <w:noProof/>
                <w:lang w:val="de-DE"/>
              </w:rPr>
            </w:pPr>
            <w:r w:rsidRPr="00170422">
              <w:rPr>
                <w:noProof/>
                <w:lang w:val="de-DE"/>
              </w:rPr>
              <w:t>Investition 1.5 – Steuervergünstigungsregelung für Investitionen in Süditalien und in der Sonderwirtschaftszone (SEZ)</w:t>
            </w:r>
          </w:p>
        </w:tc>
        <w:tc>
          <w:tcPr>
            <w:tcW w:w="2155" w:type="dxa"/>
            <w:shd w:val="clear" w:color="auto" w:fill="C6EFCE"/>
            <w:tcMar>
              <w:left w:w="108" w:type="dxa"/>
              <w:right w:w="108" w:type="dxa"/>
            </w:tcMar>
            <w:vAlign w:val="center"/>
          </w:tcPr>
          <w:p w14:paraId="43DF71B3"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E19AD6D" w14:textId="77777777" w:rsidR="0057163C" w:rsidRPr="00170422" w:rsidRDefault="00F37BF9">
            <w:pPr>
              <w:pStyle w:val="P68B1DB1-Normal121"/>
              <w:spacing w:after="0" w:line="240" w:lineRule="auto"/>
              <w:rPr>
                <w:noProof/>
                <w:lang w:val="de-DE"/>
              </w:rPr>
            </w:pPr>
            <w:r w:rsidRPr="00170422">
              <w:rPr>
                <w:noProof/>
                <w:lang w:val="de-DE"/>
              </w:rPr>
              <w:t xml:space="preserve">Steuergutschriften für Süditalien und die </w:t>
            </w:r>
            <w:r w:rsidRPr="00170422">
              <w:rPr>
                <w:noProof/>
                <w:lang w:val="de-DE"/>
              </w:rPr>
              <w:t>Sonderwirtschaftszone (SEZ), die Unternehmen auf der Grundlage der 2023-2025 vorgelegten Steuererklärungen gewährt werden</w:t>
            </w:r>
          </w:p>
        </w:tc>
      </w:tr>
      <w:tr w:rsidR="0057163C" w:rsidRPr="00170422" w14:paraId="7C3BF548" w14:textId="77777777" w:rsidTr="00E7779A">
        <w:trPr>
          <w:trHeight w:val="300"/>
        </w:trPr>
        <w:tc>
          <w:tcPr>
            <w:tcW w:w="1406" w:type="dxa"/>
            <w:shd w:val="clear" w:color="auto" w:fill="C6EFCE"/>
            <w:tcMar>
              <w:left w:w="108" w:type="dxa"/>
              <w:right w:w="108" w:type="dxa"/>
            </w:tcMar>
            <w:vAlign w:val="center"/>
          </w:tcPr>
          <w:p w14:paraId="4739B854" w14:textId="77777777" w:rsidR="0057163C" w:rsidRPr="00170422" w:rsidRDefault="00F37BF9">
            <w:pPr>
              <w:pStyle w:val="P68B1DB1-Normal121"/>
              <w:spacing w:after="0" w:line="240" w:lineRule="auto"/>
              <w:jc w:val="center"/>
              <w:rPr>
                <w:noProof/>
                <w:lang w:val="de-DE"/>
              </w:rPr>
            </w:pPr>
            <w:r w:rsidRPr="00170422">
              <w:rPr>
                <w:noProof/>
                <w:lang w:val="de-DE"/>
              </w:rPr>
              <w:t>M3C1-28</w:t>
            </w:r>
          </w:p>
        </w:tc>
        <w:tc>
          <w:tcPr>
            <w:tcW w:w="2268" w:type="dxa"/>
            <w:shd w:val="clear" w:color="auto" w:fill="C6EFCE"/>
            <w:tcMar>
              <w:left w:w="108" w:type="dxa"/>
              <w:right w:w="108" w:type="dxa"/>
            </w:tcMar>
            <w:vAlign w:val="center"/>
          </w:tcPr>
          <w:p w14:paraId="0C614B48" w14:textId="77777777" w:rsidR="0057163C" w:rsidRPr="00170422" w:rsidRDefault="00F37BF9">
            <w:pPr>
              <w:pStyle w:val="P68B1DB1-Normal121"/>
              <w:spacing w:after="0" w:line="240" w:lineRule="auto"/>
              <w:rPr>
                <w:noProof/>
                <w:lang w:val="de-DE"/>
              </w:rPr>
            </w:pPr>
            <w:r w:rsidRPr="00170422">
              <w:rPr>
                <w:noProof/>
                <w:lang w:val="de-DE"/>
              </w:rPr>
              <w:t>Investition 1.10 – Stärkung der städtischen Knoten, interregionalen und regionalen Eisenbahnstrecken</w:t>
            </w:r>
          </w:p>
        </w:tc>
        <w:tc>
          <w:tcPr>
            <w:tcW w:w="2155" w:type="dxa"/>
            <w:shd w:val="clear" w:color="auto" w:fill="C6EFCE"/>
            <w:tcMar>
              <w:left w:w="108" w:type="dxa"/>
              <w:right w:w="108" w:type="dxa"/>
            </w:tcMar>
            <w:vAlign w:val="center"/>
          </w:tcPr>
          <w:p w14:paraId="0B91B7B1"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7040AD0E" w14:textId="77777777" w:rsidR="0057163C" w:rsidRPr="00170422" w:rsidRDefault="00F37BF9">
            <w:pPr>
              <w:pStyle w:val="P68B1DB1-Normal121"/>
              <w:spacing w:after="0" w:line="240" w:lineRule="auto"/>
              <w:rPr>
                <w:noProof/>
                <w:lang w:val="de-DE"/>
              </w:rPr>
            </w:pPr>
            <w:r w:rsidRPr="00170422">
              <w:rPr>
                <w:noProof/>
                <w:lang w:val="de-DE"/>
              </w:rPr>
              <w:t>3 309 km Ausbaustre</w:t>
            </w:r>
            <w:r w:rsidRPr="00170422">
              <w:rPr>
                <w:noProof/>
                <w:lang w:val="de-DE"/>
              </w:rPr>
              <w:t>cken gebaut</w:t>
            </w:r>
          </w:p>
        </w:tc>
      </w:tr>
      <w:tr w:rsidR="0057163C" w:rsidRPr="00170422" w14:paraId="078DEB77" w14:textId="77777777" w:rsidTr="00E7779A">
        <w:trPr>
          <w:trHeight w:val="300"/>
        </w:trPr>
        <w:tc>
          <w:tcPr>
            <w:tcW w:w="1406" w:type="dxa"/>
            <w:shd w:val="clear" w:color="auto" w:fill="C6EFCE"/>
            <w:tcMar>
              <w:left w:w="108" w:type="dxa"/>
              <w:right w:w="108" w:type="dxa"/>
            </w:tcMar>
            <w:vAlign w:val="center"/>
          </w:tcPr>
          <w:p w14:paraId="233DCD75" w14:textId="77777777" w:rsidR="0057163C" w:rsidRPr="00170422" w:rsidRDefault="00F37BF9">
            <w:pPr>
              <w:pStyle w:val="P68B1DB1-Normal121"/>
              <w:spacing w:after="0" w:line="240" w:lineRule="auto"/>
              <w:jc w:val="center"/>
              <w:rPr>
                <w:noProof/>
                <w:lang w:val="de-DE"/>
              </w:rPr>
            </w:pPr>
            <w:r w:rsidRPr="00170422">
              <w:rPr>
                <w:noProof/>
                <w:lang w:val="de-DE"/>
              </w:rPr>
              <w:t>M2C4-40</w:t>
            </w:r>
          </w:p>
        </w:tc>
        <w:tc>
          <w:tcPr>
            <w:tcW w:w="2268" w:type="dxa"/>
            <w:shd w:val="clear" w:color="auto" w:fill="C6EFCE"/>
            <w:tcMar>
              <w:left w:w="108" w:type="dxa"/>
              <w:right w:w="108" w:type="dxa"/>
            </w:tcMar>
            <w:vAlign w:val="center"/>
          </w:tcPr>
          <w:p w14:paraId="14FFD68D" w14:textId="77777777" w:rsidR="0057163C" w:rsidRPr="00170422" w:rsidRDefault="00F37BF9">
            <w:pPr>
              <w:pStyle w:val="P68B1DB1-Normal121"/>
              <w:spacing w:after="0" w:line="240" w:lineRule="auto"/>
              <w:rPr>
                <w:noProof/>
                <w:lang w:val="de-DE"/>
              </w:rPr>
            </w:pPr>
            <w:r w:rsidRPr="00170422">
              <w:rPr>
                <w:noProof/>
                <w:lang w:val="de-DE"/>
              </w:rPr>
              <w:t>Investition 4.5 – Zuschussregelung für Investitionen in Wasserinfrastrukturen</w:t>
            </w:r>
          </w:p>
        </w:tc>
        <w:tc>
          <w:tcPr>
            <w:tcW w:w="2155" w:type="dxa"/>
            <w:shd w:val="clear" w:color="auto" w:fill="C6EFCE"/>
            <w:tcMar>
              <w:left w:w="108" w:type="dxa"/>
              <w:right w:w="108" w:type="dxa"/>
            </w:tcMar>
            <w:vAlign w:val="center"/>
          </w:tcPr>
          <w:p w14:paraId="35D698EB"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04B543F8" w14:textId="77777777" w:rsidR="0057163C" w:rsidRPr="00170422" w:rsidRDefault="00F37BF9">
            <w:pPr>
              <w:pStyle w:val="P68B1DB1-Normal121"/>
              <w:spacing w:after="0" w:line="240" w:lineRule="auto"/>
              <w:rPr>
                <w:noProof/>
                <w:lang w:val="de-DE"/>
              </w:rPr>
            </w:pPr>
            <w:r w:rsidRPr="00170422">
              <w:rPr>
                <w:noProof/>
                <w:lang w:val="de-DE"/>
              </w:rPr>
              <w:t xml:space="preserve">Invitalia S.p.A. muss mit Endbegünstigten gesetzliche Finanzhilfevereinbarungen über einen Betrag geschlossen haben, der erforderlich ist, um 100 % der </w:t>
            </w:r>
            <w:r w:rsidRPr="00170422">
              <w:rPr>
                <w:noProof/>
                <w:lang w:val="de-DE"/>
              </w:rPr>
              <w:t>ARF-Investitionen in das Programm zu verwenden (unter Berücksichtigung der Verwaltungsgebühren). Mindestens 40 % dieser Finanzmittel tragen nach der Methode in Anhang VI der ARF-Verordnung zu den Klimazielen bei.</w:t>
            </w:r>
          </w:p>
          <w:p w14:paraId="38FD3758" w14:textId="77777777" w:rsidR="0057163C" w:rsidRPr="00170422" w:rsidRDefault="0057163C">
            <w:pPr>
              <w:spacing w:after="0" w:line="240" w:lineRule="auto"/>
              <w:rPr>
                <w:rFonts w:ascii="Times New Roman" w:eastAsia="Times New Roman" w:hAnsi="Times New Roman" w:cs="Times New Roman"/>
                <w:noProof/>
                <w:color w:val="006100"/>
                <w:sz w:val="20"/>
                <w:szCs w:val="20"/>
                <w:lang w:val="de-DE"/>
              </w:rPr>
            </w:pPr>
          </w:p>
          <w:p w14:paraId="6540F1ED" w14:textId="4D371548" w:rsidR="0057163C" w:rsidRPr="00170422" w:rsidRDefault="00F37BF9">
            <w:pPr>
              <w:pStyle w:val="P68B1DB1-Normal121"/>
              <w:spacing w:after="0" w:line="240" w:lineRule="auto"/>
              <w:rPr>
                <w:noProof/>
                <w:lang w:val="de-DE"/>
              </w:rPr>
            </w:pPr>
            <w:r w:rsidRPr="00170422">
              <w:rPr>
                <w:noProof/>
                <w:lang w:val="de-DE"/>
              </w:rPr>
              <w:t xml:space="preserve">Italien überträgt 1 200 000 000 EUR an </w:t>
            </w:r>
            <w:r w:rsidRPr="00170422">
              <w:rPr>
                <w:noProof/>
                <w:lang w:val="de-DE"/>
              </w:rPr>
              <w:t>Invitalia S.p.A. für die Fazilität.</w:t>
            </w:r>
          </w:p>
        </w:tc>
      </w:tr>
      <w:tr w:rsidR="0057163C" w:rsidRPr="00170422" w14:paraId="2E32898A" w14:textId="77777777" w:rsidTr="00E7779A">
        <w:trPr>
          <w:trHeight w:val="300"/>
        </w:trPr>
        <w:tc>
          <w:tcPr>
            <w:tcW w:w="1406" w:type="dxa"/>
            <w:shd w:val="clear" w:color="auto" w:fill="C6EFCE"/>
            <w:tcMar>
              <w:left w:w="108" w:type="dxa"/>
              <w:right w:w="108" w:type="dxa"/>
            </w:tcMar>
            <w:vAlign w:val="center"/>
          </w:tcPr>
          <w:p w14:paraId="6A8EE9F4" w14:textId="77777777" w:rsidR="0057163C" w:rsidRPr="00170422" w:rsidRDefault="00F37BF9">
            <w:pPr>
              <w:pStyle w:val="P68B1DB1-Normal121"/>
              <w:spacing w:after="0" w:line="240" w:lineRule="auto"/>
              <w:jc w:val="center"/>
              <w:rPr>
                <w:noProof/>
                <w:lang w:val="de-DE"/>
              </w:rPr>
            </w:pPr>
            <w:r w:rsidRPr="00170422">
              <w:rPr>
                <w:noProof/>
                <w:lang w:val="de-DE"/>
              </w:rPr>
              <w:t>M1C2-34</w:t>
            </w:r>
          </w:p>
        </w:tc>
        <w:tc>
          <w:tcPr>
            <w:tcW w:w="2268" w:type="dxa"/>
            <w:shd w:val="clear" w:color="auto" w:fill="C6EFCE"/>
            <w:tcMar>
              <w:left w:w="108" w:type="dxa"/>
              <w:right w:w="108" w:type="dxa"/>
            </w:tcMar>
            <w:vAlign w:val="center"/>
          </w:tcPr>
          <w:p w14:paraId="07B2188D" w14:textId="77777777" w:rsidR="0057163C" w:rsidRPr="00170422" w:rsidRDefault="00F37BF9">
            <w:pPr>
              <w:pStyle w:val="P68B1DB1-Normal121"/>
              <w:spacing w:after="0" w:line="240" w:lineRule="auto"/>
              <w:rPr>
                <w:noProof/>
                <w:lang w:val="de-DE"/>
              </w:rPr>
            </w:pPr>
            <w:r w:rsidRPr="00170422">
              <w:rPr>
                <w:noProof/>
                <w:lang w:val="de-DE"/>
              </w:rPr>
              <w:t>Investition 9 – Übergang 4.0 – Scale-up</w:t>
            </w:r>
          </w:p>
        </w:tc>
        <w:tc>
          <w:tcPr>
            <w:tcW w:w="2155" w:type="dxa"/>
            <w:shd w:val="clear" w:color="auto" w:fill="C6EFCE"/>
            <w:tcMar>
              <w:left w:w="108" w:type="dxa"/>
              <w:right w:w="108" w:type="dxa"/>
            </w:tcMar>
            <w:vAlign w:val="center"/>
          </w:tcPr>
          <w:p w14:paraId="566483B5" w14:textId="77777777" w:rsidR="0057163C" w:rsidRPr="00170422" w:rsidRDefault="00F37BF9">
            <w:pPr>
              <w:pStyle w:val="P68B1DB1-Normal121"/>
              <w:spacing w:after="0" w:line="240" w:lineRule="auto"/>
              <w:jc w:val="center"/>
              <w:rPr>
                <w:noProof/>
                <w:lang w:val="de-DE"/>
              </w:rPr>
            </w:pPr>
            <w:r w:rsidRPr="00170422">
              <w:rPr>
                <w:noProof/>
                <w:lang w:val="de-DE"/>
              </w:rPr>
              <w:t>Ziel</w:t>
            </w:r>
          </w:p>
        </w:tc>
        <w:tc>
          <w:tcPr>
            <w:tcW w:w="3402" w:type="dxa"/>
            <w:shd w:val="clear" w:color="auto" w:fill="C6EFCE"/>
            <w:tcMar>
              <w:left w:w="108" w:type="dxa"/>
              <w:right w:w="108" w:type="dxa"/>
            </w:tcMar>
            <w:vAlign w:val="center"/>
          </w:tcPr>
          <w:p w14:paraId="691D9037" w14:textId="77777777" w:rsidR="0057163C" w:rsidRPr="00170422" w:rsidRDefault="00F37BF9">
            <w:pPr>
              <w:pStyle w:val="P68B1DB1-Normal121"/>
              <w:spacing w:after="0" w:line="240" w:lineRule="auto"/>
              <w:rPr>
                <w:noProof/>
                <w:lang w:val="de-DE"/>
              </w:rPr>
            </w:pPr>
            <w:r w:rsidRPr="00170422">
              <w:rPr>
                <w:noProof/>
                <w:lang w:val="de-DE"/>
              </w:rPr>
              <w:t>Übergangs 4.0 Steuergutschriften für Unternehmen auf der Grundlage von 2021-2026 vorgelegten Dokumenten</w:t>
            </w:r>
          </w:p>
        </w:tc>
      </w:tr>
      <w:tr w:rsidR="0057163C" w:rsidRPr="00170422" w14:paraId="0AD5C3F7" w14:textId="77777777" w:rsidTr="00E7779A">
        <w:trPr>
          <w:trHeight w:val="300"/>
        </w:trPr>
        <w:tc>
          <w:tcPr>
            <w:tcW w:w="1406" w:type="dxa"/>
            <w:shd w:val="clear" w:color="auto" w:fill="C6EFCE"/>
            <w:tcMar>
              <w:left w:w="108" w:type="dxa"/>
              <w:right w:w="108" w:type="dxa"/>
            </w:tcMar>
            <w:vAlign w:val="center"/>
          </w:tcPr>
          <w:p w14:paraId="32B9D695" w14:textId="06BF488F" w:rsidR="0057163C" w:rsidRPr="00170422" w:rsidRDefault="00F37BF9">
            <w:pPr>
              <w:pStyle w:val="P68B1DB1-Normal121"/>
              <w:spacing w:after="0" w:line="240" w:lineRule="auto"/>
              <w:jc w:val="center"/>
              <w:rPr>
                <w:noProof/>
                <w:lang w:val="de-DE"/>
              </w:rPr>
            </w:pPr>
            <w:r w:rsidRPr="00170422">
              <w:rPr>
                <w:noProof/>
                <w:lang w:val="de-DE"/>
              </w:rPr>
              <w:t>M2C1-27</w:t>
            </w:r>
          </w:p>
        </w:tc>
        <w:tc>
          <w:tcPr>
            <w:tcW w:w="2268" w:type="dxa"/>
            <w:shd w:val="clear" w:color="auto" w:fill="C6EFCE"/>
            <w:tcMar>
              <w:left w:w="108" w:type="dxa"/>
              <w:right w:w="108" w:type="dxa"/>
            </w:tcMar>
            <w:vAlign w:val="center"/>
          </w:tcPr>
          <w:p w14:paraId="1E69DEDC" w14:textId="734F4381" w:rsidR="0057163C" w:rsidRPr="00170422" w:rsidRDefault="00F37BF9">
            <w:pPr>
              <w:pStyle w:val="P68B1DB1-Normal121"/>
              <w:spacing w:after="0" w:line="240" w:lineRule="auto"/>
              <w:rPr>
                <w:noProof/>
                <w:lang w:val="de-DE"/>
              </w:rPr>
            </w:pPr>
            <w:r w:rsidRPr="00170422">
              <w:rPr>
                <w:noProof/>
                <w:lang w:val="de-DE"/>
              </w:rPr>
              <w:t>Investition 4: Agrar-Solarpark-Fazilität</w:t>
            </w:r>
          </w:p>
        </w:tc>
        <w:tc>
          <w:tcPr>
            <w:tcW w:w="2155" w:type="dxa"/>
            <w:shd w:val="clear" w:color="auto" w:fill="C6EFCE"/>
            <w:tcMar>
              <w:left w:w="108" w:type="dxa"/>
              <w:right w:w="108" w:type="dxa"/>
            </w:tcMar>
            <w:vAlign w:val="center"/>
          </w:tcPr>
          <w:p w14:paraId="5E975165" w14:textId="42DD967D"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shd w:val="clear" w:color="auto" w:fill="C6EFCE"/>
            <w:tcMar>
              <w:left w:w="108" w:type="dxa"/>
              <w:right w:w="108" w:type="dxa"/>
            </w:tcMar>
            <w:vAlign w:val="center"/>
          </w:tcPr>
          <w:p w14:paraId="6E1A87B9" w14:textId="49E2FF2B" w:rsidR="0057163C" w:rsidRPr="00170422" w:rsidRDefault="00F37BF9">
            <w:pPr>
              <w:pStyle w:val="P68B1DB1-Normal121"/>
              <w:spacing w:after="0" w:line="240" w:lineRule="auto"/>
              <w:rPr>
                <w:noProof/>
                <w:lang w:val="de-DE"/>
              </w:rPr>
            </w:pPr>
            <w:r w:rsidRPr="00170422">
              <w:rPr>
                <w:noProof/>
                <w:lang w:val="de-DE"/>
              </w:rPr>
              <w:t>Mit den Endbegünstigten unterzeichnete rechtliche Vereinbarungen und Abschluss der Investitionen</w:t>
            </w:r>
          </w:p>
        </w:tc>
      </w:tr>
      <w:tr w:rsidR="0057163C" w:rsidRPr="00170422" w14:paraId="7DD767F6" w14:textId="77777777" w:rsidTr="00E7779A">
        <w:trPr>
          <w:trHeight w:val="300"/>
        </w:trPr>
        <w:tc>
          <w:tcPr>
            <w:tcW w:w="1406"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5273B96" w14:textId="77777777" w:rsidR="0057163C" w:rsidRPr="00170422" w:rsidRDefault="00F37BF9">
            <w:pPr>
              <w:pStyle w:val="P68B1DB1-Normal121"/>
              <w:spacing w:after="0" w:line="240" w:lineRule="auto"/>
              <w:jc w:val="center"/>
              <w:rPr>
                <w:noProof/>
                <w:lang w:val="de-DE"/>
              </w:rPr>
            </w:pPr>
            <w:r w:rsidRPr="00170422">
              <w:rPr>
                <w:noProof/>
                <w:lang w:val="de-DE"/>
              </w:rPr>
              <w:t>M2C4-39</w:t>
            </w:r>
          </w:p>
        </w:tc>
        <w:tc>
          <w:tcPr>
            <w:tcW w:w="2268"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1D259567" w14:textId="77777777" w:rsidR="0057163C" w:rsidRPr="00170422" w:rsidRDefault="00F37BF9">
            <w:pPr>
              <w:pStyle w:val="P68B1DB1-Normal121"/>
              <w:spacing w:after="0" w:line="240" w:lineRule="auto"/>
              <w:rPr>
                <w:noProof/>
                <w:lang w:val="de-DE"/>
              </w:rPr>
            </w:pPr>
            <w:r w:rsidRPr="00170422">
              <w:rPr>
                <w:noProof/>
                <w:lang w:val="de-DE"/>
              </w:rPr>
              <w:t>Investition 4.5 – Zuschussregelung für Investitionen in die Wasserinfrastruktur</w:t>
            </w:r>
          </w:p>
        </w:tc>
        <w:tc>
          <w:tcPr>
            <w:tcW w:w="2155"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45E154D4" w14:textId="77777777" w:rsidR="0057163C" w:rsidRPr="00170422" w:rsidRDefault="00F37BF9">
            <w:pPr>
              <w:pStyle w:val="P68B1DB1-Normal121"/>
              <w:spacing w:after="0" w:line="240" w:lineRule="auto"/>
              <w:jc w:val="center"/>
              <w:rPr>
                <w:noProof/>
                <w:lang w:val="de-DE"/>
              </w:rPr>
            </w:pPr>
            <w:r w:rsidRPr="00170422">
              <w:rPr>
                <w:noProof/>
                <w:lang w:val="de-DE"/>
              </w:rPr>
              <w:t>Meilenstein</w:t>
            </w:r>
          </w:p>
        </w:tc>
        <w:tc>
          <w:tcPr>
            <w:tcW w:w="3402" w:type="dxa"/>
            <w:tcBorders>
              <w:top w:val="single" w:sz="4" w:space="0" w:color="auto"/>
              <w:left w:val="single" w:sz="4" w:space="0" w:color="auto"/>
              <w:bottom w:val="single" w:sz="4" w:space="0" w:color="auto"/>
              <w:right w:val="single" w:sz="4" w:space="0" w:color="auto"/>
            </w:tcBorders>
            <w:shd w:val="clear" w:color="auto" w:fill="C6EFCE"/>
            <w:tcMar>
              <w:left w:w="108" w:type="dxa"/>
              <w:right w:w="108" w:type="dxa"/>
            </w:tcMar>
            <w:vAlign w:val="center"/>
          </w:tcPr>
          <w:p w14:paraId="70801CA2" w14:textId="77777777" w:rsidR="0057163C" w:rsidRPr="00170422" w:rsidRDefault="00F37BF9">
            <w:pPr>
              <w:pStyle w:val="P68B1DB1-Normal121"/>
              <w:spacing w:after="0" w:line="240" w:lineRule="auto"/>
              <w:rPr>
                <w:noProof/>
                <w:lang w:val="de-DE"/>
              </w:rPr>
            </w:pPr>
            <w:r w:rsidRPr="00170422">
              <w:rPr>
                <w:noProof/>
                <w:lang w:val="de-DE"/>
              </w:rPr>
              <w:t xml:space="preserve">Inkrafttreten des Durchführungsübereinkommens </w:t>
            </w:r>
          </w:p>
        </w:tc>
      </w:tr>
      <w:tr w:rsidR="0057163C" w:rsidRPr="00170422" w14:paraId="4CC1E651" w14:textId="77777777" w:rsidTr="00E7779A">
        <w:trPr>
          <w:trHeight w:val="300"/>
        </w:trPr>
        <w:tc>
          <w:tcPr>
            <w:tcW w:w="1406" w:type="dxa"/>
            <w:shd w:val="clear" w:color="auto" w:fill="C6EFCE"/>
            <w:tcMar>
              <w:left w:w="108" w:type="dxa"/>
              <w:right w:w="108" w:type="dxa"/>
            </w:tcMar>
            <w:vAlign w:val="center"/>
          </w:tcPr>
          <w:p w14:paraId="63D33AC3" w14:textId="77777777" w:rsidR="0057163C" w:rsidRPr="00170422" w:rsidRDefault="0057163C">
            <w:pPr>
              <w:spacing w:after="0" w:line="240" w:lineRule="auto"/>
              <w:jc w:val="center"/>
              <w:rPr>
                <w:rFonts w:ascii="Times New Roman" w:eastAsia="Times New Roman" w:hAnsi="Times New Roman" w:cs="Times New Roman"/>
                <w:noProof/>
                <w:color w:val="006100"/>
                <w:sz w:val="20"/>
                <w:szCs w:val="20"/>
                <w:lang w:val="de-DE"/>
              </w:rPr>
            </w:pPr>
          </w:p>
        </w:tc>
        <w:tc>
          <w:tcPr>
            <w:tcW w:w="2268" w:type="dxa"/>
            <w:shd w:val="clear" w:color="auto" w:fill="C6EFCE"/>
            <w:tcMar>
              <w:left w:w="108" w:type="dxa"/>
              <w:right w:w="108" w:type="dxa"/>
            </w:tcMar>
            <w:vAlign w:val="center"/>
          </w:tcPr>
          <w:p w14:paraId="39823D8E" w14:textId="77777777" w:rsidR="0057163C" w:rsidRPr="00170422" w:rsidRDefault="0057163C">
            <w:pPr>
              <w:spacing w:after="0" w:line="240" w:lineRule="auto"/>
              <w:rPr>
                <w:rFonts w:ascii="Times New Roman" w:eastAsia="Times New Roman" w:hAnsi="Times New Roman" w:cs="Times New Roman"/>
                <w:noProof/>
                <w:color w:val="006100"/>
                <w:sz w:val="20"/>
                <w:szCs w:val="20"/>
                <w:lang w:val="de-DE"/>
              </w:rPr>
            </w:pPr>
          </w:p>
        </w:tc>
        <w:tc>
          <w:tcPr>
            <w:tcW w:w="2155" w:type="dxa"/>
            <w:shd w:val="clear" w:color="auto" w:fill="C6EFCE"/>
            <w:tcMar>
              <w:left w:w="108" w:type="dxa"/>
              <w:right w:w="108" w:type="dxa"/>
            </w:tcMar>
            <w:vAlign w:val="center"/>
          </w:tcPr>
          <w:p w14:paraId="54804DF2" w14:textId="77777777" w:rsidR="0057163C" w:rsidRPr="00170422" w:rsidRDefault="00F37BF9">
            <w:pPr>
              <w:pStyle w:val="P68B1DB1-Normal121"/>
              <w:spacing w:after="0" w:line="240" w:lineRule="auto"/>
              <w:jc w:val="center"/>
              <w:rPr>
                <w:noProof/>
                <w:lang w:val="de-DE"/>
              </w:rPr>
            </w:pPr>
            <w:r w:rsidRPr="00170422">
              <w:rPr>
                <w:noProof/>
                <w:lang w:val="de-DE"/>
              </w:rPr>
              <w:t>Ratenzahlungsbetrag</w:t>
            </w:r>
          </w:p>
        </w:tc>
        <w:tc>
          <w:tcPr>
            <w:tcW w:w="3402" w:type="dxa"/>
            <w:shd w:val="clear" w:color="auto" w:fill="C6EFCE"/>
            <w:tcMar>
              <w:left w:w="108" w:type="dxa"/>
              <w:right w:w="108" w:type="dxa"/>
            </w:tcMar>
            <w:vAlign w:val="center"/>
          </w:tcPr>
          <w:p w14:paraId="593B2331" w14:textId="77777777" w:rsidR="0057163C" w:rsidRPr="00170422" w:rsidRDefault="00F37BF9">
            <w:pPr>
              <w:pStyle w:val="P68B1DB1-Normal8"/>
              <w:spacing w:after="0" w:line="240" w:lineRule="auto"/>
              <w:rPr>
                <w:noProof/>
                <w:color w:val="006100"/>
                <w:sz w:val="20"/>
                <w:szCs w:val="20"/>
                <w:lang w:val="de-DE"/>
              </w:rPr>
            </w:pPr>
            <w:r w:rsidRPr="00170422">
              <w:rPr>
                <w:noProof/>
                <w:color w:val="006100"/>
                <w:sz w:val="20"/>
                <w:szCs w:val="20"/>
                <w:lang w:val="de-DE"/>
              </w:rPr>
              <w:t xml:space="preserve"> 19919595964 EUR</w:t>
            </w:r>
            <w:r w:rsidRPr="00170422">
              <w:rPr>
                <w:noProof/>
                <w:sz w:val="23"/>
                <w:szCs w:val="23"/>
                <w:lang w:val="de-DE"/>
              </w:rPr>
              <w:t xml:space="preserve">  </w:t>
            </w:r>
          </w:p>
        </w:tc>
      </w:tr>
    </w:tbl>
    <w:p w14:paraId="45AD9142" w14:textId="77777777" w:rsidR="0057163C" w:rsidRPr="00170422" w:rsidRDefault="0057163C">
      <w:pPr>
        <w:pStyle w:val="Heading2"/>
        <w:rPr>
          <w:rFonts w:ascii="Times New Roman" w:hAnsi="Times New Roman" w:cs="Times New Roman"/>
          <w:b/>
          <w:bCs/>
          <w:noProof/>
          <w:color w:val="auto"/>
          <w:sz w:val="24"/>
          <w:szCs w:val="24"/>
          <w:lang w:val="de-DE"/>
        </w:rPr>
      </w:pPr>
    </w:p>
    <w:p w14:paraId="2EAA7708" w14:textId="77777777" w:rsidR="0057163C" w:rsidRPr="00170422" w:rsidRDefault="00F37BF9">
      <w:pPr>
        <w:pStyle w:val="P68B1DB1-Normal7"/>
        <w:rPr>
          <w:rFonts w:eastAsiaTheme="majorEastAsia"/>
          <w:b/>
          <w:bCs/>
          <w:noProof/>
          <w:lang w:val="de-DE"/>
        </w:rPr>
      </w:pPr>
      <w:r w:rsidRPr="00170422">
        <w:rPr>
          <w:noProof/>
          <w:lang w:val="de-DE"/>
        </w:rPr>
        <w:br w:type="page"/>
      </w:r>
    </w:p>
    <w:p w14:paraId="5CA53084" w14:textId="77777777" w:rsidR="0057163C" w:rsidRPr="00170422" w:rsidRDefault="00F37BF9">
      <w:pPr>
        <w:pStyle w:val="P68B1DB1-Heading2117"/>
        <w:rPr>
          <w:bCs/>
          <w:noProof/>
          <w:lang w:val="de-DE"/>
        </w:rPr>
      </w:pPr>
      <w:r w:rsidRPr="00170422">
        <w:rPr>
          <w:noProof/>
          <w:lang w:val="de-DE"/>
        </w:rPr>
        <w:t xml:space="preserve">ABSCHNITT 3 ZUSÄTZLICHE REGELUNG </w:t>
      </w:r>
    </w:p>
    <w:p w14:paraId="48432426" w14:textId="77777777" w:rsidR="0057163C" w:rsidRPr="00170422" w:rsidRDefault="00F37BF9">
      <w:pPr>
        <w:pStyle w:val="P68B1DB1-Normal125"/>
        <w:numPr>
          <w:ilvl w:val="0"/>
          <w:numId w:val="178"/>
        </w:numPr>
        <w:spacing w:before="120" w:after="120" w:line="240" w:lineRule="auto"/>
        <w:jc w:val="both"/>
        <w:rPr>
          <w:noProof/>
          <w:lang w:val="de-DE"/>
        </w:rPr>
      </w:pPr>
      <w:r w:rsidRPr="00170422">
        <w:rPr>
          <w:noProof/>
          <w:lang w:val="de-DE"/>
        </w:rPr>
        <w:t>Vorkehrungen für die Überwachung und Durchführung des Aufbau- und Resilienzplans</w:t>
      </w:r>
    </w:p>
    <w:p w14:paraId="52CEAABB" w14:textId="77777777" w:rsidR="0057163C" w:rsidRPr="00170422" w:rsidRDefault="00F37BF9">
      <w:pPr>
        <w:pStyle w:val="P68B1DB1-Normal38"/>
        <w:spacing w:before="120" w:after="120" w:line="240" w:lineRule="auto"/>
        <w:jc w:val="both"/>
        <w:rPr>
          <w:noProof/>
          <w:lang w:val="de-DE"/>
        </w:rPr>
      </w:pPr>
      <w:r w:rsidRPr="00170422">
        <w:rPr>
          <w:noProof/>
          <w:lang w:val="de-DE"/>
        </w:rPr>
        <w:t xml:space="preserve">Die Überwachung und Durchführung des Aufbau- und Resilienzplans Italiens erfolgt nach folgenden </w:t>
      </w:r>
      <w:r w:rsidRPr="00170422">
        <w:rPr>
          <w:noProof/>
          <w:lang w:val="de-DE"/>
        </w:rPr>
        <w:t>Modalitäten:</w:t>
      </w:r>
    </w:p>
    <w:p w14:paraId="5D78BB79" w14:textId="77777777" w:rsidR="0057163C" w:rsidRPr="00170422" w:rsidRDefault="00F37BF9">
      <w:pPr>
        <w:pStyle w:val="P68B1DB1-Normal38"/>
        <w:spacing w:before="120" w:after="120" w:line="240" w:lineRule="auto"/>
        <w:jc w:val="both"/>
        <w:rPr>
          <w:noProof/>
          <w:lang w:val="de-DE"/>
        </w:rPr>
      </w:pPr>
      <w:r w:rsidRPr="00170422">
        <w:rPr>
          <w:noProof/>
          <w:lang w:val="de-DE"/>
        </w:rPr>
        <w:t>Wie in der durch Gesetzesverordnung Nr. 13 vom 24. Februar 2023 geänderten Gesetzesverordnung Nr. 77 vom 31. Mai 2021 vorgesehen, wird für die Überwachung und Durchführung des Plans eine Reihe von Koordinierungsstrukturen geschaffen. Dazu zähl</w:t>
      </w:r>
      <w:r w:rsidRPr="00170422">
        <w:rPr>
          <w:noProof/>
          <w:lang w:val="de-DE"/>
        </w:rPr>
        <w:t>en insbesondere: I) ein hochrangiger Lenkungsausschuss („cabina di regia“), der unter dem Vorsitz des Ministerrates eingesetzt wurde und dessen Hauptaufgabe darin besteht, die Umsetzung des Plans zu steuern und zu koordinieren; II) eine vom Vorsitz des Min</w:t>
      </w:r>
      <w:r w:rsidRPr="00170422">
        <w:rPr>
          <w:noProof/>
          <w:lang w:val="de-DE"/>
        </w:rPr>
        <w:t>isterrates zumindest für die Dauer des Plans eingerichtete Missionsstruktur, die befugt ist, als zentrale Koordinierungsstruktur für die Durchführung und Überwachung des Plans zu fungieren; III) eine technische Struktur im Ministerium für Wirtschaft und Fi</w:t>
      </w:r>
      <w:r w:rsidRPr="00170422">
        <w:rPr>
          <w:noProof/>
          <w:lang w:val="de-DE"/>
        </w:rPr>
        <w:t>nanzen, die die operative Überwachung der Umsetzung des Plans, die Kontrolle der Ordnungsmäßigkeit der Verfahren und Ausgaben und die Berichterstattung sowie die technische und operative Unterstützung der Durchführungsphase durchführt. Die für die Missione</w:t>
      </w:r>
      <w:r w:rsidRPr="00170422">
        <w:rPr>
          <w:noProof/>
          <w:lang w:val="de-DE"/>
        </w:rPr>
        <w:t>n zuständige Stelle beim Ministerratspräsidium fungiert auf nationaler Ebene als zentrale Anlaufstelle für die Europäische Kommission. Das Wirtschafts- und Finanzministerium stellt die Auswertung der Ergebnisses des Plans sicher. Die Sozialpartner und ande</w:t>
      </w:r>
      <w:r w:rsidRPr="00170422">
        <w:rPr>
          <w:noProof/>
          <w:lang w:val="de-DE"/>
        </w:rPr>
        <w:t>re Interessenträger nehmen an speziellen Sitzungen des „cabina di regia“ teil, um ihre Beteiligung an der Durchführung des Plans sicherzustellen. Darüber hinaus werden auf den einzelnen zentralen Verwaltungsebenen, die für im Plan enthaltene Maßnahmen zust</w:t>
      </w:r>
      <w:r w:rsidRPr="00170422">
        <w:rPr>
          <w:noProof/>
          <w:lang w:val="de-DE"/>
        </w:rPr>
        <w:t>ändig sind, Koordinierungsstrukturen benannt, deren Aufgabe im Management, in der Überwachung, der Berichterstattung und der Kontrolle der maßgeblichen Interventionen besteht, auch in Bezug auf die Aufsicht über die Durchführung und den Fortschritt bei der</w:t>
      </w:r>
      <w:r w:rsidRPr="00170422">
        <w:rPr>
          <w:noProof/>
          <w:lang w:val="de-DE"/>
        </w:rPr>
        <w:t xml:space="preserve"> Erreichung der Etappenziele und Zielwerte. Und schließlich sind für den Fall von Problemen bei der Durchführung Durchsetzungsmechanismen, unter anderem mittels Aktivierung von Bevollmächtigungen gegenüber den für die Maßnahmen des Plans zuständigen Verwal</w:t>
      </w:r>
      <w:r w:rsidRPr="00170422">
        <w:rPr>
          <w:noProof/>
          <w:lang w:val="de-DE"/>
        </w:rPr>
        <w:t>tungsstellen, vorgesehen, die dem Ziel dienen, eine fristgerechte und wirksame Fertigstellung von Projekten zu gewährleisten; ferner sind Ex-ante-Mechanismen für die Lösung von Konflikten eingerichtet worden.</w:t>
      </w:r>
    </w:p>
    <w:p w14:paraId="7BBCEE3D" w14:textId="615582C2" w:rsidR="0057163C" w:rsidRPr="00170422" w:rsidRDefault="00F37BF9">
      <w:pPr>
        <w:pStyle w:val="P68B1DB1-Normal38"/>
        <w:spacing w:before="120" w:after="120" w:line="240" w:lineRule="auto"/>
        <w:jc w:val="both"/>
        <w:rPr>
          <w:noProof/>
          <w:lang w:val="de-DE"/>
        </w:rPr>
      </w:pPr>
      <w:r w:rsidRPr="00170422">
        <w:rPr>
          <w:noProof/>
          <w:lang w:val="de-DE"/>
        </w:rPr>
        <w:t>Zur Stärkung der Verwaltungskapazitäten für die</w:t>
      </w:r>
      <w:r w:rsidRPr="00170422">
        <w:rPr>
          <w:noProof/>
          <w:lang w:val="de-DE"/>
        </w:rPr>
        <w:t xml:space="preserve"> Überwachung und Durchführung ist geplant, unter anderem hinsichtlich der zentralen, für die im Plan vorgesehenen Interventionen zuständigen Verwaltungen sowie das Ministerium für Wirtschaft und Finanzen (einschließlich der zentralen Koordinierungsstelle u</w:t>
      </w:r>
      <w:r w:rsidRPr="00170422">
        <w:rPr>
          <w:noProof/>
          <w:lang w:val="de-DE"/>
        </w:rPr>
        <w:t xml:space="preserve">nd der staatlichen Rechnungsstelle) Zeitarbeitskräfte anzuwerben, wie dies in der Gesetzesverordnung Nr. 80 vom 9. Juni 2021 vorgesehen ist; Zeitarbeitskräfte sollen auch hinsichtlich der Verwaltungsstellen für Süditalien angeworben werden, von denen eine </w:t>
      </w:r>
      <w:r w:rsidRPr="00170422">
        <w:rPr>
          <w:noProof/>
          <w:lang w:val="de-DE"/>
        </w:rPr>
        <w:t>Verstärkung des an der Planung und der Verwendung von EU-Mitteln beteiligten Humankapitals erwartet wird; dies ist insbesondere im Gesetz Nr. 178 von 2020 so vorgesehen. Der Gesetzesverordnung Nr. 13 vom 24. Februar 2023 entsprechend sind darüber hinaus de</w:t>
      </w:r>
      <w:r w:rsidRPr="00170422">
        <w:rPr>
          <w:noProof/>
          <w:lang w:val="de-DE"/>
        </w:rPr>
        <w:t>r für die Missionen zuständigen Stelle beim Ministerratspräsidium Mittel zugewiesen worden, um deren effektive Arbeit sicherzustellen. Und schließlich ist eine operative Unterstützung zentraler und lokaler Verwaltungsstellen bei der Durchführung von Projek</w:t>
      </w:r>
      <w:r w:rsidRPr="00170422">
        <w:rPr>
          <w:noProof/>
          <w:lang w:val="de-DE"/>
        </w:rPr>
        <w:t>ten vorgesehen, wobei dies auch den Einsatz öffentlicher Kapitalgesellschaften, eines Pools von Experten für technische Hilfe sowie die Möglichkeit, auf externes Expertenwissen zurückzugreifen, umfasst. Der Gesetzesverordnung Nr. 77 vom 31. Mai 2021 und de</w:t>
      </w:r>
      <w:r w:rsidRPr="00170422">
        <w:rPr>
          <w:noProof/>
          <w:lang w:val="de-DE"/>
        </w:rPr>
        <w:t xml:space="preserve">r Gesetzesverordnung Nr. 13 vom 24. Februar 2023 entsprechend werden diese Aktionen von der Umsetzung von Maßnahmen zum Bürokratieabbau und zur Vereinfachung von Verwaltungsverfahren flankiert. </w:t>
      </w:r>
    </w:p>
    <w:p w14:paraId="715C8A03" w14:textId="1E462A85" w:rsidR="0057163C" w:rsidRPr="00170422" w:rsidRDefault="00F37BF9">
      <w:pPr>
        <w:pStyle w:val="P68B1DB1-Normal38"/>
        <w:spacing w:before="120" w:after="120" w:line="240" w:lineRule="auto"/>
        <w:jc w:val="both"/>
        <w:rPr>
          <w:noProof/>
          <w:lang w:val="de-DE"/>
        </w:rPr>
      </w:pPr>
      <w:r w:rsidRPr="00170422">
        <w:rPr>
          <w:noProof/>
          <w:lang w:val="de-DE"/>
        </w:rPr>
        <w:t>Die Modalitäten beinhalten auch die Nutzung eines integrierte</w:t>
      </w:r>
      <w:r w:rsidRPr="00170422">
        <w:rPr>
          <w:noProof/>
          <w:lang w:val="de-DE"/>
        </w:rPr>
        <w:t>n IT-Systems („ReGiS“). Der bestehende Prüfdienst des Generalinspektors für die Finanzbeziehungen zur Europäischen Union (IGRUE) im Ministerium für Wirtschaft und Finanzen hat die Aufgabe, die Prüfsysteme zu koordinieren und mit Unterstützung durch die sta</w:t>
      </w:r>
      <w:r w:rsidRPr="00170422">
        <w:rPr>
          <w:noProof/>
          <w:lang w:val="de-DE"/>
        </w:rPr>
        <w:t>atlichen Rechnungsämter (Ragionerie Territoriali dello Stato, RTS) Kontrollen durchzuführen. Die verbesserten Regelungen mit der Guardia di Finanza und einschlägigen unabhängigen Behörden wie der nationalen Korruptionsbekämpfungsagentur ANAC bleiben besteh</w:t>
      </w:r>
      <w:r w:rsidRPr="00170422">
        <w:rPr>
          <w:noProof/>
          <w:lang w:val="de-DE"/>
        </w:rPr>
        <w:t>en und verstärken auf diese Weise die Rolle, die diesen Behörden bezüglich des Schutzes der öffentlichen Finanzen einschließlich der Finanzen der EU in der italienischen Rechtsordnung bereits übertragen wird.</w:t>
      </w:r>
    </w:p>
    <w:p w14:paraId="04D9E5E5" w14:textId="77777777" w:rsidR="0057163C" w:rsidRPr="00170422" w:rsidRDefault="00F37BF9">
      <w:pPr>
        <w:pStyle w:val="P68B1DB1-Normal38"/>
        <w:rPr>
          <w:noProof/>
          <w:lang w:val="de-DE"/>
        </w:rPr>
      </w:pPr>
      <w:r w:rsidRPr="00170422">
        <w:rPr>
          <w:noProof/>
          <w:lang w:val="de-DE"/>
        </w:rPr>
        <w:br w:type="page"/>
      </w:r>
    </w:p>
    <w:p w14:paraId="60FE7E75" w14:textId="77777777" w:rsidR="0057163C" w:rsidRPr="00170422" w:rsidRDefault="0057163C">
      <w:pPr>
        <w:spacing w:before="120" w:after="120" w:line="240" w:lineRule="auto"/>
        <w:jc w:val="both"/>
        <w:rPr>
          <w:rFonts w:ascii="Times New Roman" w:eastAsia="Calibri" w:hAnsi="Times New Roman" w:cs="Times New Roman"/>
          <w:noProof/>
          <w:lang w:val="de-DE"/>
        </w:rPr>
      </w:pPr>
    </w:p>
    <w:p w14:paraId="06279AEA" w14:textId="77777777" w:rsidR="0057163C" w:rsidRPr="00170422" w:rsidRDefault="00F37BF9">
      <w:pPr>
        <w:pStyle w:val="P68B1DB1-Normal29"/>
        <w:numPr>
          <w:ilvl w:val="0"/>
          <w:numId w:val="178"/>
        </w:numPr>
        <w:spacing w:before="120" w:after="120" w:line="240" w:lineRule="auto"/>
        <w:jc w:val="both"/>
        <w:rPr>
          <w:noProof/>
          <w:lang w:val="de-DE"/>
        </w:rPr>
      </w:pPr>
      <w:r w:rsidRPr="00170422">
        <w:rPr>
          <w:noProof/>
          <w:lang w:val="de-DE"/>
        </w:rPr>
        <w:t xml:space="preserve">Modalitäten für die Gewährung des </w:t>
      </w:r>
      <w:r w:rsidRPr="00170422">
        <w:rPr>
          <w:noProof/>
          <w:lang w:val="de-DE"/>
        </w:rPr>
        <w:t>uneingeschränkten Zugangs der Kommission zu den zugrunde liegenden Daten</w:t>
      </w:r>
    </w:p>
    <w:p w14:paraId="386EC65E" w14:textId="77777777" w:rsidR="0057163C" w:rsidRPr="00170422" w:rsidRDefault="00F37BF9">
      <w:pPr>
        <w:pStyle w:val="P68B1DB1-Normal38"/>
        <w:spacing w:before="120" w:after="120" w:line="240" w:lineRule="auto"/>
        <w:jc w:val="both"/>
        <w:rPr>
          <w:noProof/>
          <w:lang w:val="de-DE"/>
        </w:rPr>
      </w:pPr>
      <w:r w:rsidRPr="00170422">
        <w:rPr>
          <w:noProof/>
          <w:lang w:val="de-DE"/>
        </w:rPr>
        <w:t>Um der Kommission uneingeschränkten Zugang zu den zugrunde liegenden einschlägigen Daten zu gewähren, muss Italien über folgende Regelungen verfügen:</w:t>
      </w:r>
    </w:p>
    <w:p w14:paraId="0CBCE94E" w14:textId="77777777" w:rsidR="0057163C" w:rsidRPr="00170422" w:rsidRDefault="00F37BF9">
      <w:pPr>
        <w:pStyle w:val="P68B1DB1-Normal38"/>
        <w:spacing w:before="120" w:after="120" w:line="240" w:lineRule="auto"/>
        <w:jc w:val="both"/>
        <w:rPr>
          <w:noProof/>
          <w:lang w:val="de-DE"/>
        </w:rPr>
      </w:pPr>
      <w:r w:rsidRPr="00170422">
        <w:rPr>
          <w:noProof/>
          <w:lang w:val="de-DE"/>
        </w:rPr>
        <w:t>Das Ministerium für Wirtschaft un</w:t>
      </w:r>
      <w:r w:rsidRPr="00170422">
        <w:rPr>
          <w:noProof/>
          <w:lang w:val="de-DE"/>
        </w:rPr>
        <w:t xml:space="preserve">d Finanzen fungiert als technische Struktur für die Überwachung, einschließlich der Überwachung der Fortschritte bei den Etappenzielen und Zielwerten, sowie gegebenenfalls für die Durchführung von Kontroll- und Prüftätigkeiten sowie für die Erstellung von </w:t>
      </w:r>
      <w:r w:rsidRPr="00170422">
        <w:rPr>
          <w:noProof/>
          <w:lang w:val="de-DE"/>
        </w:rPr>
        <w:t>Berichten und die Weiterleitung von Zahlungsanträgen. Sie koordiniert die Berichterstattung über Etappenziele und Zielwerte, relevante Indikatoren, aber auch qualitative Finanzinformationen und andere Daten, z. B. über Endempfänger. Die Datenkodierung find</w:t>
      </w:r>
      <w:r w:rsidRPr="00170422">
        <w:rPr>
          <w:noProof/>
          <w:lang w:val="de-DE"/>
        </w:rPr>
        <w:t>et auf der Ebene der zentralen, für die Maßnahmen aus dem Plan zuständigen Verwaltungen statt; diese melden die erforderlichen Daten an das Ministerium für Wirtschaft und Finanzen. In Übereinstimmung mit Artikel 24 Absatz 2 der Verordnung (EU) 2021/241 übe</w:t>
      </w:r>
      <w:r w:rsidRPr="00170422">
        <w:rPr>
          <w:noProof/>
          <w:lang w:val="de-DE"/>
        </w:rPr>
        <w:t>rmittelt Italien der Kommission nach Abschluss der relevanten vereinbarten Etappenziele und Zielwerte in Abschnitt 2.1 des vorliegenden Anhangs einen gebührend begründeten Antrag auf Zahlung des Finanzbeitrags und gegebenenfalls des Darlehens. Italien stel</w:t>
      </w:r>
      <w:r w:rsidRPr="00170422">
        <w:rPr>
          <w:noProof/>
          <w:lang w:val="de-DE"/>
        </w:rPr>
        <w:t>lt sicher, dass die Kommission auf Anfrage uneingeschränkten Zugang zu den zugrunde liegenden einschlägigen Daten hat, die die ordnungsgemäße Begründung des Zahlungsantrags stützen, und zwar sowohl für die Bewertung des Zahlungsantrags gemäß Artikel 24 Abs</w:t>
      </w:r>
      <w:r w:rsidRPr="00170422">
        <w:rPr>
          <w:noProof/>
          <w:lang w:val="de-DE"/>
        </w:rPr>
        <w:t>atz 3 der Verordnung (EU) 2021/241 als auch für Prüfungs- und Kontrollzwecke.</w:t>
      </w:r>
    </w:p>
    <w:p w14:paraId="3E350CC9" w14:textId="77777777" w:rsidR="0057163C" w:rsidRPr="00170422" w:rsidRDefault="0057163C">
      <w:pPr>
        <w:rPr>
          <w:noProof/>
          <w:lang w:val="de-DE"/>
        </w:rPr>
      </w:pPr>
    </w:p>
    <w:sectPr w:rsidR="0057163C" w:rsidRPr="00170422">
      <w:headerReference w:type="default" r:id="rId332"/>
      <w:footerReference w:type="default" r:id="rId3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7DBA7" w14:textId="77777777" w:rsidR="00BE14E0" w:rsidRDefault="00BE14E0">
      <w:pPr>
        <w:spacing w:after="0" w:line="240" w:lineRule="auto"/>
      </w:pPr>
      <w:r>
        <w:separator/>
      </w:r>
    </w:p>
  </w:endnote>
  <w:endnote w:type="continuationSeparator" w:id="0">
    <w:p w14:paraId="06748D39" w14:textId="77777777" w:rsidR="00BE14E0" w:rsidRDefault="00BE14E0">
      <w:pPr>
        <w:spacing w:after="0" w:line="240" w:lineRule="auto"/>
      </w:pPr>
      <w:r>
        <w:continuationSeparator/>
      </w:r>
    </w:p>
  </w:endnote>
  <w:endnote w:type="continuationNotice" w:id="1">
    <w:p w14:paraId="69E8B441" w14:textId="77777777" w:rsidR="00BE14E0" w:rsidRDefault="00BE14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quot;Times New Roman&quot;,serif">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EC Square Sans Pro">
    <w:charset w:val="00"/>
    <w:family w:val="swiss"/>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99181" w14:textId="14F869CB" w:rsidR="00F37BF9" w:rsidRPr="00F37BF9" w:rsidRDefault="00F37BF9" w:rsidP="00F37BF9">
    <w:pPr>
      <w:pStyle w:val="FooterCoverPage"/>
      <w:rPr>
        <w:rFonts w:ascii="Arial" w:hAnsi="Arial" w:cs="Arial"/>
        <w:b/>
        <w:sz w:val="48"/>
      </w:rPr>
    </w:pPr>
    <w:r w:rsidRPr="00F37BF9">
      <w:rPr>
        <w:rFonts w:ascii="Arial" w:hAnsi="Arial" w:cs="Arial"/>
        <w:b/>
        <w:sz w:val="48"/>
      </w:rPr>
      <w:t>DE</w:t>
    </w:r>
    <w:r w:rsidRPr="00F37BF9">
      <w:rPr>
        <w:rFonts w:ascii="Arial" w:hAnsi="Arial" w:cs="Arial"/>
        <w:b/>
        <w:sz w:val="48"/>
      </w:rPr>
      <w:tab/>
    </w:r>
    <w:r w:rsidRPr="00F37BF9">
      <w:rPr>
        <w:rFonts w:ascii="Arial" w:hAnsi="Arial" w:cs="Arial"/>
        <w:b/>
        <w:sz w:val="48"/>
      </w:rPr>
      <w:tab/>
    </w:r>
    <w:r w:rsidRPr="00F37BF9">
      <w:tab/>
    </w:r>
    <w:r w:rsidRPr="00F37BF9">
      <w:rPr>
        <w:rFonts w:ascii="Arial" w:hAnsi="Arial" w:cs="Arial"/>
        <w:b/>
        <w:sz w:val="48"/>
      </w:rP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870E1" w14:textId="16EF5886" w:rsidR="00F37BF9" w:rsidRPr="00F37BF9" w:rsidRDefault="00F37BF9" w:rsidP="00F37BF9">
    <w:pPr>
      <w:pStyle w:val="FooterCoverPage"/>
      <w:rPr>
        <w:rFonts w:ascii="Arial" w:hAnsi="Arial" w:cs="Arial"/>
        <w:b/>
        <w:sz w:val="48"/>
      </w:rPr>
    </w:pPr>
    <w:r w:rsidRPr="00F37BF9">
      <w:rPr>
        <w:rFonts w:ascii="Arial" w:hAnsi="Arial" w:cs="Arial"/>
        <w:b/>
        <w:sz w:val="48"/>
      </w:rPr>
      <w:t>DE</w:t>
    </w:r>
    <w:r w:rsidRPr="00F37BF9">
      <w:rPr>
        <w:rFonts w:ascii="Arial" w:hAnsi="Arial" w:cs="Arial"/>
        <w:b/>
        <w:sz w:val="48"/>
      </w:rPr>
      <w:tab/>
    </w:r>
    <w:r w:rsidRPr="00F37BF9">
      <w:rPr>
        <w:rFonts w:ascii="Arial" w:hAnsi="Arial" w:cs="Arial"/>
        <w:b/>
        <w:sz w:val="48"/>
      </w:rPr>
      <w:tab/>
    </w:r>
    <w:r w:rsidRPr="00F37BF9">
      <w:tab/>
    </w:r>
    <w:r w:rsidRPr="00F37BF9">
      <w:rPr>
        <w:rFonts w:ascii="Arial" w:hAnsi="Arial" w:cs="Arial"/>
        <w:b/>
        <w:sz w:val="48"/>
      </w:rPr>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71928" w14:textId="77777777" w:rsidR="00F37BF9" w:rsidRPr="00F37BF9" w:rsidRDefault="00F37BF9" w:rsidP="00F37BF9">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F60F7" w14:textId="77777777" w:rsidR="0057163C" w:rsidRDefault="0057163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44638651"/>
      <w:docPartObj>
        <w:docPartGallery w:val="Page Numbers (Bottom of Page)"/>
        <w:docPartUnique/>
      </w:docPartObj>
    </w:sdtPr>
    <w:sdtEndPr/>
    <w:sdtContent>
      <w:p w14:paraId="15AFD4EF" w14:textId="32D3F8D2" w:rsidR="0057163C" w:rsidRDefault="00F37BF9">
        <w:pPr>
          <w:pStyle w:val="Footer"/>
          <w:jc w:val="center"/>
        </w:pPr>
        <w:r>
          <w:fldChar w:fldCharType="begin"/>
        </w:r>
        <w:r>
          <w:instrText xml:space="preserve"> PAGE   \* MERGEFOR</w:instrText>
        </w:r>
        <w:r>
          <w:instrText xml:space="preserve">MAT </w:instrText>
        </w:r>
        <w:r>
          <w:fldChar w:fldCharType="separate"/>
        </w:r>
        <w:r>
          <w:rPr>
            <w:noProof/>
          </w:rPr>
          <w:t>7</w:t>
        </w:r>
        <w:r>
          <w:fldChar w:fldCharType="end"/>
        </w:r>
      </w:p>
    </w:sdtContent>
  </w:sdt>
  <w:p w14:paraId="158885D5" w14:textId="77777777" w:rsidR="0057163C" w:rsidRDefault="0057163C">
    <w:pPr>
      <w:pStyle w:val="FooterCouncil"/>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6CD63" w14:textId="77777777" w:rsidR="0057163C" w:rsidRDefault="0057163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84E9A" w14:textId="77777777" w:rsidR="0057163C" w:rsidRDefault="0057163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22449238"/>
      <w:docPartObj>
        <w:docPartGallery w:val="Page Numbers (Bottom of Page)"/>
        <w:docPartUnique/>
      </w:docPartObj>
    </w:sdtPr>
    <w:sdtEndPr/>
    <w:sdtContent>
      <w:p w14:paraId="637B417B" w14:textId="79FD66C4" w:rsidR="0057163C" w:rsidRDefault="00F37BF9">
        <w:pPr>
          <w:pStyle w:val="Footer"/>
          <w:jc w:val="center"/>
        </w:pPr>
        <w:r>
          <w:fldChar w:fldCharType="begin"/>
        </w:r>
        <w:r>
          <w:instrText xml:space="preserve"> PAGE   \* MERGEFORMAT </w:instrText>
        </w:r>
        <w:r>
          <w:fldChar w:fldCharType="separate"/>
        </w:r>
        <w:r>
          <w:rPr>
            <w:noProof/>
          </w:rPr>
          <w:t>8</w:t>
        </w:r>
        <w:r>
          <w:fldChar w:fldCharType="end"/>
        </w:r>
      </w:p>
    </w:sdtContent>
  </w:sdt>
  <w:p w14:paraId="0A8C0572" w14:textId="77777777" w:rsidR="0057163C" w:rsidRDefault="0057163C">
    <w:pPr>
      <w:pStyle w:val="FooterCouncil"/>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9FE4B" w14:textId="77777777" w:rsidR="0057163C" w:rsidRDefault="0057163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AC862" w14:textId="77777777" w:rsidR="0057163C" w:rsidRDefault="0057163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30924729"/>
      <w:docPartObj>
        <w:docPartGallery w:val="Page Numbers (Bottom of Page)"/>
        <w:docPartUnique/>
      </w:docPartObj>
    </w:sdtPr>
    <w:sdtEndPr/>
    <w:sdtContent>
      <w:p w14:paraId="1A49A47D" w14:textId="77777777" w:rsidR="0057163C" w:rsidRDefault="00F37BF9">
        <w:pPr>
          <w:pStyle w:val="Footer"/>
          <w:jc w:val="center"/>
        </w:pPr>
        <w:r>
          <w:fldChar w:fldCharType="begin"/>
        </w:r>
        <w:r>
          <w:instrText xml:space="preserve"> PAGE   \* MERGEFORMAT </w:instrText>
        </w:r>
        <w:r>
          <w:fldChar w:fldCharType="separate"/>
        </w:r>
        <w:r>
          <w:t>125</w:t>
        </w:r>
        <w:r>
          <w:fldChar w:fldCharType="end"/>
        </w:r>
      </w:p>
    </w:sdtContent>
  </w:sdt>
  <w:p w14:paraId="1637FED8" w14:textId="77777777" w:rsidR="0057163C" w:rsidRDefault="0057163C">
    <w:pPr>
      <w:pStyle w:val="FooterCouncil"/>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D710A" w14:textId="77777777" w:rsidR="0057163C" w:rsidRDefault="0057163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05018848"/>
      <w:docPartObj>
        <w:docPartGallery w:val="Page Numbers (Bottom of Page)"/>
        <w:docPartUnique/>
      </w:docPartObj>
    </w:sdtPr>
    <w:sdtEndPr/>
    <w:sdtContent>
      <w:p w14:paraId="0E54A3E3" w14:textId="77777777" w:rsidR="0085607C" w:rsidRDefault="0085607C">
        <w:pPr>
          <w:pStyle w:val="Footer"/>
          <w:jc w:val="center"/>
        </w:pPr>
        <w:r>
          <w:fldChar w:fldCharType="begin"/>
        </w:r>
        <w:r>
          <w:instrText xml:space="preserve"> PAGE   \* MERGEFORMAT </w:instrText>
        </w:r>
        <w:r>
          <w:fldChar w:fldCharType="separate"/>
        </w:r>
        <w:r>
          <w:t>125</w:t>
        </w:r>
        <w:r>
          <w:fldChar w:fldCharType="end"/>
        </w:r>
      </w:p>
    </w:sdtContent>
  </w:sdt>
  <w:p w14:paraId="601FF8E8" w14:textId="77777777" w:rsidR="0085607C" w:rsidRDefault="0085607C">
    <w:pPr>
      <w:pStyle w:val="FooterCouncil"/>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40045711"/>
      <w:docPartObj>
        <w:docPartGallery w:val="Page Numbers (Bottom of Page)"/>
        <w:docPartUnique/>
      </w:docPartObj>
    </w:sdtPr>
    <w:sdtEndPr/>
    <w:sdtContent>
      <w:p w14:paraId="56E15395" w14:textId="77777777" w:rsidR="0085607C" w:rsidRDefault="0085607C">
        <w:pPr>
          <w:pStyle w:val="Footer"/>
          <w:jc w:val="center"/>
        </w:pPr>
        <w:r>
          <w:fldChar w:fldCharType="begin"/>
        </w:r>
        <w:r>
          <w:instrText xml:space="preserve"> PAGE   \* MERGEFORMAT </w:instrText>
        </w:r>
        <w:r>
          <w:fldChar w:fldCharType="separate"/>
        </w:r>
        <w:r>
          <w:t>125</w:t>
        </w:r>
        <w:r>
          <w:fldChar w:fldCharType="end"/>
        </w:r>
      </w:p>
    </w:sdtContent>
  </w:sdt>
  <w:p w14:paraId="1D504C81" w14:textId="77777777" w:rsidR="0085607C" w:rsidRDefault="0085607C">
    <w:pPr>
      <w:pStyle w:val="FooterCouncil"/>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6284C" w14:textId="77777777" w:rsidR="0057163C" w:rsidRDefault="0057163C">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69438783"/>
      <w:docPartObj>
        <w:docPartGallery w:val="Page Numbers (Bottom of Page)"/>
        <w:docPartUnique/>
      </w:docPartObj>
    </w:sdtPr>
    <w:sdtEndPr/>
    <w:sdtContent>
      <w:p w14:paraId="0C14A3A0"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ED5EF8B" w14:textId="77777777" w:rsidR="0057163C" w:rsidRDefault="0057163C">
    <w:pPr>
      <w:pStyle w:val="FooterCouncil"/>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8BA4C" w14:textId="77777777" w:rsidR="0057163C" w:rsidRDefault="0057163C">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4F1A" w14:textId="77777777" w:rsidR="0057163C" w:rsidRDefault="0057163C">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06992641"/>
      <w:docPartObj>
        <w:docPartGallery w:val="Page Numbers (Bottom of Page)"/>
        <w:docPartUnique/>
      </w:docPartObj>
    </w:sdtPr>
    <w:sdtEndPr/>
    <w:sdtContent>
      <w:p w14:paraId="7902460E" w14:textId="77777777" w:rsidR="0057163C" w:rsidRDefault="00F37BF9">
        <w:pPr>
          <w:pStyle w:val="Footer"/>
          <w:jc w:val="center"/>
        </w:pPr>
        <w:r>
          <w:fldChar w:fldCharType="begin"/>
        </w:r>
        <w:r>
          <w:instrText xml:space="preserve"> PAGE   \* MERGEFO</w:instrText>
        </w:r>
        <w:r>
          <w:instrText xml:space="preserve">RMAT </w:instrText>
        </w:r>
        <w:r>
          <w:fldChar w:fldCharType="separate"/>
        </w:r>
        <w:r>
          <w:t>150</w:t>
        </w:r>
        <w:r>
          <w:fldChar w:fldCharType="end"/>
        </w:r>
      </w:p>
    </w:sdtContent>
  </w:sdt>
  <w:p w14:paraId="67467335" w14:textId="77777777" w:rsidR="0057163C" w:rsidRDefault="0057163C">
    <w:pPr>
      <w:pStyle w:val="FooterCouncil"/>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2617F" w14:textId="77777777" w:rsidR="0057163C" w:rsidRDefault="0057163C">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1CCD6" w14:textId="77777777" w:rsidR="0057163C" w:rsidRDefault="0057163C">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71273559"/>
      <w:docPartObj>
        <w:docPartGallery w:val="Page Numbers (Bottom of Page)"/>
        <w:docPartUnique/>
      </w:docPartObj>
    </w:sdtPr>
    <w:sdtEndPr/>
    <w:sdtContent>
      <w:p w14:paraId="6D2843FF"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3CC5750A" w14:textId="77777777" w:rsidR="0057163C" w:rsidRDefault="0057163C">
    <w:pPr>
      <w:pStyle w:val="FooterCouncil"/>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DE4D3" w14:textId="77777777" w:rsidR="0057163C" w:rsidRDefault="0057163C">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00926447"/>
      <w:docPartObj>
        <w:docPartGallery w:val="Page Numbers (Bottom of Page)"/>
        <w:docPartUnique/>
      </w:docPartObj>
    </w:sdtPr>
    <w:sdtEndPr/>
    <w:sdtContent>
      <w:p w14:paraId="756DD00C" w14:textId="77777777" w:rsidR="0085607C" w:rsidRDefault="0085607C">
        <w:pPr>
          <w:pStyle w:val="Footer"/>
          <w:jc w:val="center"/>
        </w:pPr>
        <w:r>
          <w:fldChar w:fldCharType="begin"/>
        </w:r>
        <w:r>
          <w:instrText xml:space="preserve"> PAGE   \* MERGEFORMAT </w:instrText>
        </w:r>
        <w:r>
          <w:fldChar w:fldCharType="separate"/>
        </w:r>
        <w:r>
          <w:t>150</w:t>
        </w:r>
        <w:r>
          <w:fldChar w:fldCharType="end"/>
        </w:r>
      </w:p>
    </w:sdtContent>
  </w:sdt>
  <w:p w14:paraId="10D342F0" w14:textId="77777777" w:rsidR="0085607C" w:rsidRDefault="0085607C">
    <w:pPr>
      <w:pStyle w:val="FooterCouncil"/>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20757558"/>
      <w:docPartObj>
        <w:docPartGallery w:val="Page Numbers (Bottom of Page)"/>
        <w:docPartUnique/>
      </w:docPartObj>
    </w:sdtPr>
    <w:sdtEndPr/>
    <w:sdtContent>
      <w:p w14:paraId="2DAE1122"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9D417B4" w14:textId="77777777" w:rsidR="0057163C" w:rsidRDefault="0057163C">
    <w:pPr>
      <w:pStyle w:val="FooterCouncil"/>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EB488" w14:textId="77777777" w:rsidR="0057163C" w:rsidRDefault="0057163C">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73375581"/>
      <w:docPartObj>
        <w:docPartGallery w:val="Page Numbers (Bottom of Page)"/>
        <w:docPartUnique/>
      </w:docPartObj>
    </w:sdtPr>
    <w:sdtEndPr/>
    <w:sdtContent>
      <w:p w14:paraId="4B15B08D" w14:textId="77777777" w:rsidR="0057163C" w:rsidRDefault="00F37BF9">
        <w:pPr>
          <w:pStyle w:val="Footer"/>
          <w:jc w:val="center"/>
        </w:pPr>
        <w:r>
          <w:fldChar w:fldCharType="begin"/>
        </w:r>
        <w:r>
          <w:instrText xml:space="preserve"> PAGE   \* MERGEFORMAT </w:instrText>
        </w:r>
        <w:r>
          <w:fldChar w:fldCharType="separate"/>
        </w:r>
        <w:r>
          <w:t>188</w:t>
        </w:r>
        <w:r>
          <w:fldChar w:fldCharType="end"/>
        </w:r>
      </w:p>
    </w:sdtContent>
  </w:sdt>
  <w:p w14:paraId="1A22EFA3" w14:textId="77777777" w:rsidR="0057163C" w:rsidRDefault="0057163C">
    <w:pPr>
      <w:pStyle w:val="FooterCouncil"/>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CF846" w14:textId="77777777" w:rsidR="0057163C" w:rsidRDefault="0057163C">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8D3" w14:textId="77777777" w:rsidR="0057163C" w:rsidRDefault="0057163C">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17821140"/>
      <w:docPartObj>
        <w:docPartGallery w:val="Page Numbers (Bottom of Page)"/>
        <w:docPartUnique/>
      </w:docPartObj>
    </w:sdtPr>
    <w:sdtEndPr/>
    <w:sdtContent>
      <w:p w14:paraId="4AB8E351" w14:textId="77777777" w:rsidR="0057163C" w:rsidRDefault="00F37BF9">
        <w:pPr>
          <w:pStyle w:val="Footer"/>
          <w:jc w:val="center"/>
        </w:pPr>
        <w:r>
          <w:fldChar w:fldCharType="begin"/>
        </w:r>
        <w:r>
          <w:instrText xml:space="preserve"> PAGE   \* MERGEFORMAT </w:instrText>
        </w:r>
        <w:r>
          <w:fldChar w:fldCharType="separate"/>
        </w:r>
        <w:r>
          <w:t>252</w:t>
        </w:r>
        <w:r>
          <w:fldChar w:fldCharType="end"/>
        </w:r>
      </w:p>
    </w:sdtContent>
  </w:sdt>
  <w:p w14:paraId="31F56FB2" w14:textId="77777777" w:rsidR="0057163C" w:rsidRDefault="0057163C">
    <w:pPr>
      <w:pStyle w:val="FooterCouncil"/>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C44B5" w14:textId="77777777" w:rsidR="0057163C" w:rsidRDefault="0057163C">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2861227"/>
      <w:docPartObj>
        <w:docPartGallery w:val="Page Numbers (Bottom of Page)"/>
        <w:docPartUnique/>
      </w:docPartObj>
    </w:sdtPr>
    <w:sdtEndPr/>
    <w:sdtContent>
      <w:p w14:paraId="0B31C233" w14:textId="77777777" w:rsidR="0085607C" w:rsidRDefault="0085607C">
        <w:pPr>
          <w:pStyle w:val="Footer"/>
          <w:jc w:val="center"/>
        </w:pPr>
        <w:r>
          <w:fldChar w:fldCharType="begin"/>
        </w:r>
        <w:r>
          <w:instrText xml:space="preserve"> PAGE   \* MERGEFORMAT </w:instrText>
        </w:r>
        <w:r>
          <w:fldChar w:fldCharType="separate"/>
        </w:r>
        <w:r>
          <w:t>252</w:t>
        </w:r>
        <w:r>
          <w:fldChar w:fldCharType="end"/>
        </w:r>
      </w:p>
    </w:sdtContent>
  </w:sdt>
  <w:p w14:paraId="0EF3E1BE" w14:textId="77777777" w:rsidR="0085607C" w:rsidRDefault="0085607C">
    <w:pPr>
      <w:pStyle w:val="FooterCouncil"/>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1610536"/>
      <w:docPartObj>
        <w:docPartGallery w:val="Page Numbers (Bottom of Page)"/>
        <w:docPartUnique/>
      </w:docPartObj>
    </w:sdtPr>
    <w:sdtEndPr/>
    <w:sdtContent>
      <w:p w14:paraId="70960A84" w14:textId="77777777" w:rsidR="0085607C" w:rsidRDefault="0085607C">
        <w:pPr>
          <w:pStyle w:val="Footer"/>
          <w:jc w:val="center"/>
        </w:pPr>
        <w:r>
          <w:fldChar w:fldCharType="begin"/>
        </w:r>
        <w:r>
          <w:instrText xml:space="preserve"> PAGE   \* MERGEFORMAT </w:instrText>
        </w:r>
        <w:r>
          <w:fldChar w:fldCharType="separate"/>
        </w:r>
        <w:r>
          <w:t>252</w:t>
        </w:r>
        <w:r>
          <w:fldChar w:fldCharType="end"/>
        </w:r>
      </w:p>
    </w:sdtContent>
  </w:sdt>
  <w:p w14:paraId="471E662F" w14:textId="77777777" w:rsidR="0085607C" w:rsidRDefault="0085607C">
    <w:pPr>
      <w:pStyle w:val="FooterCouncil"/>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47159466"/>
      <w:docPartObj>
        <w:docPartGallery w:val="Page Numbers (Bottom of Page)"/>
        <w:docPartUnique/>
      </w:docPartObj>
    </w:sdtPr>
    <w:sdtEndPr/>
    <w:sdtContent>
      <w:p w14:paraId="471CC0C9" w14:textId="77777777" w:rsidR="0085607C" w:rsidRDefault="0085607C">
        <w:pPr>
          <w:pStyle w:val="Footer"/>
          <w:jc w:val="center"/>
        </w:pPr>
        <w:r>
          <w:fldChar w:fldCharType="begin"/>
        </w:r>
        <w:r>
          <w:instrText xml:space="preserve"> PAGE   \* MERGEFORMAT </w:instrText>
        </w:r>
        <w:r>
          <w:fldChar w:fldCharType="separate"/>
        </w:r>
        <w:r>
          <w:t>252</w:t>
        </w:r>
        <w:r>
          <w:fldChar w:fldCharType="end"/>
        </w:r>
      </w:p>
    </w:sdtContent>
  </w:sdt>
  <w:p w14:paraId="351CBC9B" w14:textId="77777777" w:rsidR="0085607C" w:rsidRDefault="0085607C">
    <w:pPr>
      <w:pStyle w:val="FooterCouncil"/>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1181308"/>
      <w:docPartObj>
        <w:docPartGallery w:val="Page Numbers (Bottom of Page)"/>
        <w:docPartUnique/>
      </w:docPartObj>
    </w:sdtPr>
    <w:sdtEndPr/>
    <w:sdtContent>
      <w:p w14:paraId="352AB599" w14:textId="77777777" w:rsidR="0085607C" w:rsidRDefault="0085607C">
        <w:pPr>
          <w:pStyle w:val="Footer"/>
          <w:jc w:val="center"/>
        </w:pPr>
        <w:r>
          <w:fldChar w:fldCharType="begin"/>
        </w:r>
        <w:r>
          <w:instrText xml:space="preserve"> PAGE   \* MERGEFORMAT </w:instrText>
        </w:r>
        <w:r>
          <w:fldChar w:fldCharType="separate"/>
        </w:r>
        <w:r>
          <w:t>252</w:t>
        </w:r>
        <w:r>
          <w:fldChar w:fldCharType="end"/>
        </w:r>
      </w:p>
    </w:sdtContent>
  </w:sdt>
  <w:p w14:paraId="42858C3E" w14:textId="77777777" w:rsidR="0085607C" w:rsidRDefault="0085607C">
    <w:pPr>
      <w:pStyle w:val="FooterCouncil"/>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97627492"/>
      <w:docPartObj>
        <w:docPartGallery w:val="Page Numbers (Bottom of Page)"/>
        <w:docPartUnique/>
      </w:docPartObj>
    </w:sdtPr>
    <w:sdtEndPr/>
    <w:sdtContent>
      <w:p w14:paraId="43A213F0" w14:textId="77777777" w:rsidR="0085607C" w:rsidRDefault="0085607C">
        <w:pPr>
          <w:pStyle w:val="Footer"/>
          <w:jc w:val="center"/>
        </w:pPr>
        <w:r>
          <w:fldChar w:fldCharType="begin"/>
        </w:r>
        <w:r>
          <w:instrText xml:space="preserve"> PAGE   \* MERGEFORMAT </w:instrText>
        </w:r>
        <w:r>
          <w:fldChar w:fldCharType="separate"/>
        </w:r>
        <w:r>
          <w:t>252</w:t>
        </w:r>
        <w:r>
          <w:fldChar w:fldCharType="end"/>
        </w:r>
      </w:p>
    </w:sdtContent>
  </w:sdt>
  <w:p w14:paraId="3BE3BAB9" w14:textId="77777777" w:rsidR="0085607C" w:rsidRDefault="0085607C">
    <w:pPr>
      <w:pStyle w:val="FooterCouncil"/>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0515B" w14:textId="77777777" w:rsidR="0057163C" w:rsidRDefault="0057163C">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04251616"/>
      <w:docPartObj>
        <w:docPartGallery w:val="Page Numbers (Bottom of Page)"/>
        <w:docPartUnique/>
      </w:docPartObj>
    </w:sdtPr>
    <w:sdtEndPr/>
    <w:sdtContent>
      <w:p w14:paraId="0037A069"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711182E1" w14:textId="77777777" w:rsidR="0057163C" w:rsidRDefault="0057163C">
    <w:pPr>
      <w:pStyle w:val="FooterCouncil"/>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EEC8" w14:textId="77777777" w:rsidR="0057163C" w:rsidRDefault="0057163C">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65E31" w14:textId="77777777" w:rsidR="0057163C" w:rsidRDefault="0057163C">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53387456"/>
      <w:docPartObj>
        <w:docPartGallery w:val="Page Numbers (Bottom of Page)"/>
        <w:docPartUnique/>
      </w:docPartObj>
    </w:sdtPr>
    <w:sdtEndPr/>
    <w:sdtContent>
      <w:p w14:paraId="7FC8B172"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514C6D41" w14:textId="77777777" w:rsidR="0057163C" w:rsidRDefault="0057163C">
    <w:pPr>
      <w:pStyle w:val="FooterCouncil"/>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22A4A" w14:textId="77777777" w:rsidR="0057163C" w:rsidRDefault="0057163C">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08437440"/>
      <w:docPartObj>
        <w:docPartGallery w:val="Page Numbers (Bottom of Page)"/>
        <w:docPartUnique/>
      </w:docPartObj>
    </w:sdtPr>
    <w:sdtEndPr/>
    <w:sdtContent>
      <w:p w14:paraId="0D1E9511" w14:textId="77777777" w:rsidR="0057163C" w:rsidRDefault="00F37BF9">
        <w:pPr>
          <w:pStyle w:val="Footer"/>
          <w:jc w:val="center"/>
        </w:pPr>
        <w:r>
          <w:fldChar w:fldCharType="begin"/>
        </w:r>
        <w:r>
          <w:instrText xml:space="preserve"> PAGE   \* MERGEFORMAT </w:instrText>
        </w:r>
        <w:r>
          <w:fldChar w:fldCharType="separate"/>
        </w:r>
        <w:r>
          <w:t>301</w:t>
        </w:r>
        <w:r>
          <w:fldChar w:fldCharType="end"/>
        </w:r>
      </w:p>
    </w:sdtContent>
  </w:sdt>
  <w:p w14:paraId="69496CCA" w14:textId="77777777" w:rsidR="0057163C" w:rsidRDefault="0057163C">
    <w:pPr>
      <w:pStyle w:val="FooterCouncil"/>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949956108"/>
      <w:docPartObj>
        <w:docPartGallery w:val="Page Numbers (Bottom of Page)"/>
        <w:docPartUnique/>
      </w:docPartObj>
    </w:sdtPr>
    <w:sdtEndPr/>
    <w:sdtContent>
      <w:p w14:paraId="29091936" w14:textId="77777777" w:rsidR="0085607C" w:rsidRDefault="0085607C">
        <w:pPr>
          <w:pStyle w:val="Footer"/>
          <w:jc w:val="center"/>
        </w:pPr>
        <w:r>
          <w:fldChar w:fldCharType="begin"/>
        </w:r>
        <w:r>
          <w:instrText xml:space="preserve"> PAGE   \* MERGEFORMAT </w:instrText>
        </w:r>
        <w:r>
          <w:fldChar w:fldCharType="separate"/>
        </w:r>
        <w:r>
          <w:t>301</w:t>
        </w:r>
        <w:r>
          <w:fldChar w:fldCharType="end"/>
        </w:r>
      </w:p>
    </w:sdtContent>
  </w:sdt>
  <w:p w14:paraId="5D18EF14" w14:textId="77777777" w:rsidR="0085607C" w:rsidRDefault="0085607C">
    <w:pPr>
      <w:pStyle w:val="FooterCouncil"/>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9C194" w14:textId="77777777" w:rsidR="0057163C" w:rsidRDefault="0057163C">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83844078"/>
      <w:docPartObj>
        <w:docPartGallery w:val="Page Numbers (Bottom of Page)"/>
        <w:docPartUnique/>
      </w:docPartObj>
    </w:sdtPr>
    <w:sdtEndPr/>
    <w:sdtContent>
      <w:p w14:paraId="4C95E0B3" w14:textId="77777777" w:rsidR="0057163C" w:rsidRDefault="00F37BF9">
        <w:pPr>
          <w:pStyle w:val="Footer"/>
          <w:jc w:val="center"/>
        </w:pPr>
        <w:r>
          <w:fldChar w:fldCharType="begin"/>
        </w:r>
        <w:r>
          <w:instrText xml:space="preserve"> PAGE   \* MERGEFORMAT </w:instrText>
        </w:r>
        <w:r>
          <w:fldChar w:fldCharType="separate"/>
        </w:r>
        <w:r>
          <w:t>303</w:t>
        </w:r>
        <w:r>
          <w:fldChar w:fldCharType="end"/>
        </w:r>
      </w:p>
    </w:sdtContent>
  </w:sdt>
  <w:p w14:paraId="2CDA133D" w14:textId="77777777" w:rsidR="0057163C" w:rsidRDefault="0057163C">
    <w:pPr>
      <w:pStyle w:val="FooterCouncil"/>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DA44F" w14:textId="77777777" w:rsidR="0057163C" w:rsidRDefault="0057163C">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5D96B" w14:textId="77777777" w:rsidR="0057163C" w:rsidRDefault="0057163C">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83001240"/>
      <w:docPartObj>
        <w:docPartGallery w:val="Page Numbers (Bottom of Page)"/>
        <w:docPartUnique/>
      </w:docPartObj>
    </w:sdtPr>
    <w:sdtEndPr/>
    <w:sdtContent>
      <w:p w14:paraId="732E22B6" w14:textId="77777777" w:rsidR="0057163C" w:rsidRDefault="00F37BF9">
        <w:pPr>
          <w:pStyle w:val="Footer"/>
          <w:jc w:val="center"/>
        </w:pPr>
        <w:r>
          <w:fldChar w:fldCharType="begin"/>
        </w:r>
        <w:r>
          <w:instrText xml:space="preserve"> PAGE   \* MERGEFORMAT </w:instrText>
        </w:r>
        <w:r>
          <w:fldChar w:fldCharType="separate"/>
        </w:r>
        <w:r>
          <w:t>305</w:t>
        </w:r>
        <w:r>
          <w:fldChar w:fldCharType="end"/>
        </w:r>
      </w:p>
    </w:sdtContent>
  </w:sdt>
  <w:p w14:paraId="4BF68858" w14:textId="77777777" w:rsidR="0057163C" w:rsidRDefault="0057163C">
    <w:pPr>
      <w:pStyle w:val="FooterCouncil"/>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49D7" w14:textId="77777777" w:rsidR="0057163C" w:rsidRDefault="0057163C">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F72C7" w14:textId="77777777" w:rsidR="0057163C" w:rsidRDefault="0057163C">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1768562"/>
      <w:docPartObj>
        <w:docPartGallery w:val="Page Numbers (Bottom of Page)"/>
        <w:docPartUnique/>
      </w:docPartObj>
    </w:sdtPr>
    <w:sdtEndPr/>
    <w:sdtContent>
      <w:p w14:paraId="7D2ED769" w14:textId="77777777" w:rsidR="0057163C" w:rsidRDefault="00F37BF9">
        <w:pPr>
          <w:pStyle w:val="Footer"/>
          <w:jc w:val="center"/>
        </w:pPr>
        <w:r>
          <w:fldChar w:fldCharType="begin"/>
        </w:r>
        <w:r>
          <w:instrText xml:space="preserve"> PAGE   \* MERGEFORMAT </w:instrText>
        </w:r>
        <w:r>
          <w:fldChar w:fldCharType="separate"/>
        </w:r>
        <w:r>
          <w:t>311</w:t>
        </w:r>
        <w:r>
          <w:fldChar w:fldCharType="end"/>
        </w:r>
      </w:p>
    </w:sdtContent>
  </w:sdt>
  <w:p w14:paraId="090ACE95" w14:textId="77777777" w:rsidR="0057163C" w:rsidRDefault="0057163C">
    <w:pPr>
      <w:pStyle w:val="FooterCouncil"/>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EDF68" w14:textId="77777777" w:rsidR="0057163C" w:rsidRDefault="0057163C">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95673846"/>
      <w:docPartObj>
        <w:docPartGallery w:val="Page Numbers (Bottom of Page)"/>
        <w:docPartUnique/>
      </w:docPartObj>
    </w:sdtPr>
    <w:sdtEndPr/>
    <w:sdtContent>
      <w:p w14:paraId="7DB296D8" w14:textId="77777777" w:rsidR="0085607C" w:rsidRDefault="0085607C">
        <w:pPr>
          <w:pStyle w:val="Footer"/>
          <w:jc w:val="center"/>
        </w:pPr>
        <w:r>
          <w:fldChar w:fldCharType="begin"/>
        </w:r>
        <w:r>
          <w:instrText xml:space="preserve"> PAGE   \* MERGEFORMAT </w:instrText>
        </w:r>
        <w:r>
          <w:fldChar w:fldCharType="separate"/>
        </w:r>
        <w:r>
          <w:t>311</w:t>
        </w:r>
        <w:r>
          <w:fldChar w:fldCharType="end"/>
        </w:r>
      </w:p>
    </w:sdtContent>
  </w:sdt>
  <w:p w14:paraId="4751C8D1" w14:textId="77777777" w:rsidR="0085607C" w:rsidRDefault="0085607C">
    <w:pPr>
      <w:pStyle w:val="FooterCouncil"/>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AE054" w14:textId="77777777" w:rsidR="0057163C" w:rsidRDefault="0057163C">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20093231"/>
      <w:docPartObj>
        <w:docPartGallery w:val="Page Numbers (Bottom of Page)"/>
        <w:docPartUnique/>
      </w:docPartObj>
    </w:sdtPr>
    <w:sdtEndPr/>
    <w:sdtContent>
      <w:p w14:paraId="3654EAC1" w14:textId="77777777" w:rsidR="0057163C" w:rsidRDefault="00F37BF9">
        <w:pPr>
          <w:pStyle w:val="Footer"/>
          <w:jc w:val="center"/>
        </w:pPr>
        <w:r>
          <w:fldChar w:fldCharType="begin"/>
        </w:r>
        <w:r>
          <w:instrText xml:space="preserve"> PAGE   \* MERGEFORMAT </w:instrText>
        </w:r>
        <w:r>
          <w:fldChar w:fldCharType="separate"/>
        </w:r>
        <w:r>
          <w:t>316</w:t>
        </w:r>
        <w:r>
          <w:fldChar w:fldCharType="end"/>
        </w:r>
      </w:p>
    </w:sdtContent>
  </w:sdt>
  <w:p w14:paraId="72BEB777" w14:textId="77777777" w:rsidR="0057163C" w:rsidRDefault="0057163C">
    <w:pPr>
      <w:pStyle w:val="FooterCouncil"/>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C77A8" w14:textId="77777777" w:rsidR="0057163C" w:rsidRDefault="0057163C">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2B878" w14:textId="77777777" w:rsidR="0057163C" w:rsidRDefault="0057163C">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88578604"/>
      <w:docPartObj>
        <w:docPartGallery w:val="Page Numbers (Bottom of Page)"/>
        <w:docPartUnique/>
      </w:docPartObj>
    </w:sdtPr>
    <w:sdtEndPr/>
    <w:sdtContent>
      <w:p w14:paraId="42B3B8C4" w14:textId="77777777" w:rsidR="0057163C" w:rsidRDefault="00F37BF9">
        <w:pPr>
          <w:pStyle w:val="Footer"/>
          <w:jc w:val="center"/>
        </w:pPr>
        <w:r>
          <w:fldChar w:fldCharType="begin"/>
        </w:r>
        <w:r>
          <w:instrText xml:space="preserve"> PAGE   \* MERGEFORMAT </w:instrText>
        </w:r>
        <w:r>
          <w:fldChar w:fldCharType="separate"/>
        </w:r>
        <w:r>
          <w:t>321</w:t>
        </w:r>
        <w:r>
          <w:fldChar w:fldCharType="end"/>
        </w:r>
      </w:p>
    </w:sdtContent>
  </w:sdt>
  <w:p w14:paraId="03C407FB" w14:textId="77777777" w:rsidR="0057163C" w:rsidRDefault="0057163C">
    <w:pPr>
      <w:pStyle w:val="FooterCouncil"/>
    </w:pPr>
  </w:p>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BDA08" w14:textId="77777777" w:rsidR="0057163C" w:rsidRDefault="0057163C">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08CF8" w14:textId="77777777" w:rsidR="0057163C" w:rsidRDefault="0057163C">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02795532"/>
      <w:docPartObj>
        <w:docPartGallery w:val="Page Numbers (Bottom of Page)"/>
        <w:docPartUnique/>
      </w:docPartObj>
    </w:sdtPr>
    <w:sdtEndPr/>
    <w:sdtContent>
      <w:p w14:paraId="12914846" w14:textId="77777777" w:rsidR="0057163C" w:rsidRDefault="00F37BF9">
        <w:pPr>
          <w:pStyle w:val="Footer"/>
          <w:jc w:val="center"/>
        </w:pPr>
        <w:r>
          <w:fldChar w:fldCharType="begin"/>
        </w:r>
        <w:r>
          <w:instrText xml:space="preserve"> PAGE   \* MERGEFORMAT </w:instrText>
        </w:r>
        <w:r>
          <w:fldChar w:fldCharType="separate"/>
        </w:r>
        <w:r>
          <w:t>329</w:t>
        </w:r>
        <w:r>
          <w:fldChar w:fldCharType="end"/>
        </w:r>
      </w:p>
    </w:sdtContent>
  </w:sdt>
  <w:p w14:paraId="6A8E4DD0" w14:textId="77777777" w:rsidR="0057163C" w:rsidRDefault="0057163C">
    <w:pPr>
      <w:pStyle w:val="FooterCouncil"/>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6995D" w14:textId="77777777" w:rsidR="0057163C" w:rsidRDefault="0057163C">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2D269" w14:textId="77777777" w:rsidR="0057163C" w:rsidRDefault="0057163C">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20231685"/>
      <w:docPartObj>
        <w:docPartGallery w:val="Page Numbers (Bottom of Page)"/>
        <w:docPartUnique/>
      </w:docPartObj>
    </w:sdtPr>
    <w:sdtEndPr/>
    <w:sdtContent>
      <w:p w14:paraId="3571F17F" w14:textId="77777777" w:rsidR="0057163C" w:rsidRDefault="00F37BF9">
        <w:pPr>
          <w:pStyle w:val="Footer"/>
          <w:jc w:val="center"/>
        </w:pPr>
        <w:r>
          <w:fldChar w:fldCharType="begin"/>
        </w:r>
        <w:r>
          <w:instrText xml:space="preserve"> PAGE   \* MERGEFORMAT </w:instrText>
        </w:r>
        <w:r>
          <w:fldChar w:fldCharType="separate"/>
        </w:r>
        <w:r>
          <w:t>333</w:t>
        </w:r>
        <w:r>
          <w:fldChar w:fldCharType="end"/>
        </w:r>
      </w:p>
    </w:sdtContent>
  </w:sdt>
  <w:p w14:paraId="6F4A6CCD" w14:textId="77777777" w:rsidR="0057163C" w:rsidRDefault="0057163C">
    <w:pPr>
      <w:pStyle w:val="FooterCouncil"/>
    </w:pPr>
  </w:p>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D82FD" w14:textId="77777777" w:rsidR="0057163C" w:rsidRDefault="0057163C">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A9ACB" w14:textId="77777777" w:rsidR="0057163C" w:rsidRDefault="0057163C">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99909044"/>
      <w:docPartObj>
        <w:docPartGallery w:val="Page Numbers (Bottom of Page)"/>
        <w:docPartUnique/>
      </w:docPartObj>
    </w:sdtPr>
    <w:sdtEndPr/>
    <w:sdtContent>
      <w:p w14:paraId="126C709C" w14:textId="77777777" w:rsidR="0057163C" w:rsidRDefault="00F37BF9">
        <w:pPr>
          <w:pStyle w:val="Footer"/>
          <w:jc w:val="center"/>
        </w:pPr>
        <w:r>
          <w:fldChar w:fldCharType="begin"/>
        </w:r>
        <w:r>
          <w:instrText xml:space="preserve"> PAGE   \* MERGEFORMAT </w:instrText>
        </w:r>
        <w:r>
          <w:fldChar w:fldCharType="separate"/>
        </w:r>
        <w:r>
          <w:t>346</w:t>
        </w:r>
        <w:r>
          <w:fldChar w:fldCharType="end"/>
        </w:r>
      </w:p>
    </w:sdtContent>
  </w:sdt>
  <w:p w14:paraId="6528BDA0" w14:textId="77777777" w:rsidR="0057163C" w:rsidRDefault="0057163C">
    <w:pPr>
      <w:pStyle w:val="FooterCouncil"/>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E8AB3" w14:textId="77777777" w:rsidR="0057163C" w:rsidRDefault="0057163C">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FDFE" w14:textId="77777777" w:rsidR="0057163C" w:rsidRDefault="0057163C">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33151712"/>
      <w:docPartObj>
        <w:docPartGallery w:val="Page Numbers (Bottom of Page)"/>
        <w:docPartUnique/>
      </w:docPartObj>
    </w:sdtPr>
    <w:sdtEndPr/>
    <w:sdtContent>
      <w:p w14:paraId="496D1DD3" w14:textId="77777777" w:rsidR="0057163C" w:rsidRDefault="00F37BF9">
        <w:pPr>
          <w:pStyle w:val="Footer"/>
          <w:jc w:val="center"/>
        </w:pPr>
        <w:r>
          <w:fldChar w:fldCharType="begin"/>
        </w:r>
        <w:r>
          <w:instrText xml:space="preserve"> PAGE   \* MERGEFORMAT </w:instrText>
        </w:r>
        <w:r>
          <w:fldChar w:fldCharType="separate"/>
        </w:r>
        <w:r>
          <w:t>348</w:t>
        </w:r>
        <w:r>
          <w:fldChar w:fldCharType="end"/>
        </w:r>
      </w:p>
    </w:sdtContent>
  </w:sdt>
  <w:p w14:paraId="7A1E035D" w14:textId="77777777" w:rsidR="0057163C" w:rsidRDefault="0057163C">
    <w:pPr>
      <w:pStyle w:val="FooterCouncil"/>
    </w:pPr>
  </w:p>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B8A8D" w14:textId="77777777" w:rsidR="0057163C" w:rsidRDefault="0057163C">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CC578" w14:textId="77777777" w:rsidR="0057163C" w:rsidRDefault="0057163C">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129649965"/>
      <w:docPartObj>
        <w:docPartGallery w:val="Page Numbers (Bottom of Page)"/>
        <w:docPartUnique/>
      </w:docPartObj>
    </w:sdtPr>
    <w:sdtEndPr/>
    <w:sdtContent>
      <w:p w14:paraId="21D91727"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2059EBF7" w14:textId="77777777" w:rsidR="0057163C" w:rsidRDefault="0057163C">
    <w:pPr>
      <w:pStyle w:val="FooterCouncil"/>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B9AE" w14:textId="77777777" w:rsidR="0057163C" w:rsidRDefault="0057163C">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23601" w14:textId="77777777" w:rsidR="0057163C" w:rsidRDefault="0057163C">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72535438"/>
      <w:docPartObj>
        <w:docPartGallery w:val="Page Numbers (Bottom of Page)"/>
        <w:docPartUnique/>
      </w:docPartObj>
    </w:sdtPr>
    <w:sdtEndPr/>
    <w:sdtContent>
      <w:p w14:paraId="4269E7DA"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73F066D1" w14:textId="77777777" w:rsidR="0057163C" w:rsidRDefault="0057163C">
    <w:pPr>
      <w:pStyle w:val="FooterCouncil"/>
    </w:pPr>
  </w:p>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2548D" w14:textId="77777777" w:rsidR="0057163C" w:rsidRDefault="0057163C">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EA315" w14:textId="77777777" w:rsidR="0057163C" w:rsidRDefault="0057163C">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38553045"/>
      <w:docPartObj>
        <w:docPartGallery w:val="Page Numbers (Bottom of Page)"/>
        <w:docPartUnique/>
      </w:docPartObj>
    </w:sdtPr>
    <w:sdtEndPr/>
    <w:sdtContent>
      <w:p w14:paraId="15941337"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6CB1D8C1" w14:textId="77777777" w:rsidR="0057163C" w:rsidRDefault="0057163C">
    <w:pPr>
      <w:pStyle w:val="FooterCouncil"/>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02A6C" w14:textId="77777777" w:rsidR="0057163C" w:rsidRDefault="0057163C">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929391998"/>
      <w:docPartObj>
        <w:docPartGallery w:val="Page Numbers (Bottom of Page)"/>
        <w:docPartUnique/>
      </w:docPartObj>
    </w:sdtPr>
    <w:sdtEndPr/>
    <w:sdtContent>
      <w:p w14:paraId="7A00A679" w14:textId="77777777" w:rsidR="0085607C" w:rsidRDefault="0085607C">
        <w:pPr>
          <w:pStyle w:val="Footer"/>
          <w:jc w:val="center"/>
        </w:pPr>
        <w:r>
          <w:fldChar w:fldCharType="begin"/>
        </w:r>
        <w:r>
          <w:instrText xml:space="preserve"> PAGE   \* MERGEFORMAT </w:instrText>
        </w:r>
        <w:r>
          <w:fldChar w:fldCharType="separate"/>
        </w:r>
        <w:r>
          <w:t>150</w:t>
        </w:r>
        <w:r>
          <w:fldChar w:fldCharType="end"/>
        </w:r>
      </w:p>
    </w:sdtContent>
  </w:sdt>
  <w:p w14:paraId="05FF5F14" w14:textId="77777777" w:rsidR="0085607C" w:rsidRDefault="0085607C">
    <w:pPr>
      <w:pStyle w:val="FooterCouncil"/>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FBEAB" w14:textId="77777777" w:rsidR="0057163C" w:rsidRDefault="0057163C">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0300025"/>
      <w:docPartObj>
        <w:docPartGallery w:val="Page Numbers (Bottom of Page)"/>
        <w:docPartUnique/>
      </w:docPartObj>
    </w:sdtPr>
    <w:sdtEndPr/>
    <w:sdtContent>
      <w:p w14:paraId="497E0612"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2BBBA9B" w14:textId="77777777" w:rsidR="0057163C" w:rsidRDefault="0057163C">
    <w:pPr>
      <w:pStyle w:val="FooterCouncil"/>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C5D2B" w14:textId="77777777" w:rsidR="0057163C" w:rsidRDefault="0057163C">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42337" w14:textId="77777777" w:rsidR="0057163C" w:rsidRDefault="0057163C">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76409279"/>
      <w:docPartObj>
        <w:docPartGallery w:val="Page Numbers (Bottom of Page)"/>
        <w:docPartUnique/>
      </w:docPartObj>
    </w:sdtPr>
    <w:sdtEndPr/>
    <w:sdtContent>
      <w:p w14:paraId="2708DEBA"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1A5547A9" w14:textId="77777777" w:rsidR="0057163C" w:rsidRDefault="0057163C">
    <w:pPr>
      <w:pStyle w:val="FooterCouncil"/>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FC273" w14:textId="77777777" w:rsidR="0057163C" w:rsidRDefault="0057163C">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42AB8" w14:textId="77777777" w:rsidR="0057163C" w:rsidRDefault="0057163C">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472487318"/>
      <w:docPartObj>
        <w:docPartGallery w:val="Page Numbers (Bottom of Page)"/>
        <w:docPartUnique/>
      </w:docPartObj>
    </w:sdtPr>
    <w:sdtEndPr/>
    <w:sdtContent>
      <w:p w14:paraId="015A18CA"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78759F2C" w14:textId="77777777" w:rsidR="0057163C" w:rsidRDefault="0057163C">
    <w:pPr>
      <w:pStyle w:val="FooterCouncil"/>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75E63" w14:textId="77777777" w:rsidR="0057163C" w:rsidRDefault="0057163C">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FBA72" w14:textId="77777777" w:rsidR="0057163C" w:rsidRDefault="0057163C">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30604405"/>
      <w:docPartObj>
        <w:docPartGallery w:val="Page Numbers (Bottom of Page)"/>
        <w:docPartUnique/>
      </w:docPartObj>
    </w:sdtPr>
    <w:sdtEndPr/>
    <w:sdtContent>
      <w:p w14:paraId="0FED1D7D" w14:textId="77777777" w:rsidR="0057163C" w:rsidRDefault="00F37BF9">
        <w:pPr>
          <w:pStyle w:val="Footer"/>
          <w:jc w:val="center"/>
        </w:pPr>
        <w:r>
          <w:fldChar w:fldCharType="begin"/>
        </w:r>
        <w:r>
          <w:instrText xml:space="preserve"> PAGE   \* MERGEFORM</w:instrText>
        </w:r>
        <w:r>
          <w:instrText xml:space="preserve">AT </w:instrText>
        </w:r>
        <w:r>
          <w:fldChar w:fldCharType="separate"/>
        </w:r>
        <w:r>
          <w:t>150</w:t>
        </w:r>
        <w:r>
          <w:fldChar w:fldCharType="end"/>
        </w:r>
      </w:p>
    </w:sdtContent>
  </w:sdt>
  <w:p w14:paraId="16910274" w14:textId="77777777" w:rsidR="0057163C" w:rsidRDefault="0057163C">
    <w:pPr>
      <w:pStyle w:val="FooterCouncil"/>
    </w:pPr>
  </w:p>
</w:ftr>
</file>

<file path=word/footer9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1A30D" w14:textId="77777777" w:rsidR="0057163C" w:rsidRDefault="0057163C">
    <w:pPr>
      <w:pStyle w:val="Footer"/>
    </w:pPr>
  </w:p>
</w:ftr>
</file>

<file path=word/footer9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5984869"/>
      <w:docPartObj>
        <w:docPartGallery w:val="Page Numbers (Bottom of Page)"/>
        <w:docPartUnique/>
      </w:docPartObj>
    </w:sdtPr>
    <w:sdtEndPr/>
    <w:sdtContent>
      <w:p w14:paraId="0673C3AF"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2226C58D" w14:textId="77777777" w:rsidR="0057163C" w:rsidRDefault="0057163C">
    <w:pPr>
      <w:pStyle w:val="FooterCouncil"/>
    </w:pPr>
  </w:p>
</w:ftr>
</file>

<file path=word/footer9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6C09A" w14:textId="77777777" w:rsidR="0057163C" w:rsidRDefault="0057163C">
    <w:pPr>
      <w:pStyle w:val="Footer"/>
    </w:pPr>
  </w:p>
</w:ftr>
</file>

<file path=word/footer9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10333636"/>
      <w:docPartObj>
        <w:docPartGallery w:val="Page Numbers (Bottom of Page)"/>
        <w:docPartUnique/>
      </w:docPartObj>
    </w:sdtPr>
    <w:sdtEndPr/>
    <w:sdtContent>
      <w:p w14:paraId="409DFC8F"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7EEC089" w14:textId="77777777" w:rsidR="0057163C" w:rsidRDefault="0057163C">
    <w:pPr>
      <w:pStyle w:val="FooterCouncil"/>
    </w:pPr>
  </w:p>
</w:ftr>
</file>

<file path=word/footer9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D46C7" w14:textId="77777777" w:rsidR="0057163C" w:rsidRDefault="0057163C">
    <w:pPr>
      <w:pStyle w:val="Footer"/>
    </w:pPr>
  </w:p>
</w:ftr>
</file>

<file path=word/footer9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030218303"/>
      <w:docPartObj>
        <w:docPartGallery w:val="Page Numbers (Bottom of Page)"/>
        <w:docPartUnique/>
      </w:docPartObj>
    </w:sdtPr>
    <w:sdtEndPr/>
    <w:sdtContent>
      <w:p w14:paraId="286B2416"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31541DBC" w14:textId="77777777" w:rsidR="0057163C" w:rsidRDefault="0057163C">
    <w:pPr>
      <w:pStyle w:val="FooterCouncil"/>
    </w:pPr>
  </w:p>
</w:ftr>
</file>

<file path=word/footer10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B20DD" w14:textId="77777777" w:rsidR="0057163C" w:rsidRDefault="0057163C">
    <w:pPr>
      <w:pStyle w:val="Footer"/>
    </w:pPr>
  </w:p>
</w:ftr>
</file>

<file path=word/footer10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285582437"/>
      <w:docPartObj>
        <w:docPartGallery w:val="Page Numbers (Bottom of Page)"/>
        <w:docPartUnique/>
      </w:docPartObj>
    </w:sdtPr>
    <w:sdtEndPr/>
    <w:sdtContent>
      <w:p w14:paraId="2671F551" w14:textId="77777777" w:rsidR="0057163C" w:rsidRDefault="00F37BF9">
        <w:pPr>
          <w:pStyle w:val="Footer"/>
          <w:jc w:val="center"/>
        </w:pPr>
        <w:r>
          <w:fldChar w:fldCharType="begin"/>
        </w:r>
        <w:r>
          <w:instrText xml:space="preserve"> PAGE   </w:instrText>
        </w:r>
        <w:r>
          <w:instrText xml:space="preserve">\* MERGEFORMAT </w:instrText>
        </w:r>
        <w:r>
          <w:fldChar w:fldCharType="separate"/>
        </w:r>
        <w:r>
          <w:t>150</w:t>
        </w:r>
        <w:r>
          <w:fldChar w:fldCharType="end"/>
        </w:r>
      </w:p>
    </w:sdtContent>
  </w:sdt>
  <w:p w14:paraId="7CDCDE31" w14:textId="77777777" w:rsidR="0057163C" w:rsidRDefault="0057163C">
    <w:pPr>
      <w:pStyle w:val="FooterCouncil"/>
    </w:pPr>
  </w:p>
</w:ftr>
</file>

<file path=word/footer10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20211" w14:textId="77777777" w:rsidR="0057163C" w:rsidRDefault="0057163C">
    <w:pPr>
      <w:pStyle w:val="Footer"/>
    </w:pPr>
  </w:p>
</w:ftr>
</file>

<file path=word/footer10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F179" w14:textId="77777777" w:rsidR="0057163C" w:rsidRDefault="0057163C">
    <w:pPr>
      <w:pStyle w:val="Footer"/>
    </w:pPr>
  </w:p>
</w:ftr>
</file>

<file path=word/footer10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73987498"/>
      <w:docPartObj>
        <w:docPartGallery w:val="Page Numbers (Bottom of Page)"/>
        <w:docPartUnique/>
      </w:docPartObj>
    </w:sdtPr>
    <w:sdtEndPr/>
    <w:sdtContent>
      <w:p w14:paraId="4EAFFB8B"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5051DA43" w14:textId="77777777" w:rsidR="0057163C" w:rsidRDefault="0057163C">
    <w:pPr>
      <w:pStyle w:val="FooterCouncil"/>
    </w:pPr>
  </w:p>
</w:ftr>
</file>

<file path=word/footer10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1DDA" w14:textId="77777777" w:rsidR="0057163C" w:rsidRDefault="0057163C">
    <w:pPr>
      <w:pStyle w:val="Footer"/>
    </w:pPr>
  </w:p>
</w:ftr>
</file>

<file path=word/footer10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CE2C1" w14:textId="77777777" w:rsidR="0057163C" w:rsidRDefault="0057163C">
    <w:pPr>
      <w:pStyle w:val="Footer"/>
    </w:pPr>
  </w:p>
</w:ftr>
</file>

<file path=word/footer10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277548900"/>
      <w:docPartObj>
        <w:docPartGallery w:val="Page Numbers (Bottom of Page)"/>
        <w:docPartUnique/>
      </w:docPartObj>
    </w:sdtPr>
    <w:sdtEndPr/>
    <w:sdtContent>
      <w:p w14:paraId="0BA6BD50"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16B96CCC" w14:textId="77777777" w:rsidR="0057163C" w:rsidRDefault="0057163C">
    <w:pPr>
      <w:pStyle w:val="FooterCouncil"/>
    </w:pPr>
  </w:p>
</w:ftr>
</file>

<file path=word/footer10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2431" w14:textId="77777777" w:rsidR="0057163C" w:rsidRDefault="0057163C">
    <w:pPr>
      <w:pStyle w:val="Footer"/>
    </w:pPr>
  </w:p>
</w:ftr>
</file>

<file path=word/footer10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5D04" w14:textId="77777777" w:rsidR="0057163C" w:rsidRDefault="0057163C">
    <w:pPr>
      <w:pStyle w:val="Footer"/>
    </w:pPr>
  </w:p>
</w:ftr>
</file>

<file path=word/footer1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977180683"/>
      <w:docPartObj>
        <w:docPartGallery w:val="Page Numbers (Bottom of Page)"/>
        <w:docPartUnique/>
      </w:docPartObj>
    </w:sdtPr>
    <w:sdtEndPr/>
    <w:sdtContent>
      <w:p w14:paraId="5AC18C2C"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4E2B6A4C" w14:textId="77777777" w:rsidR="0057163C" w:rsidRDefault="0057163C">
    <w:pPr>
      <w:pStyle w:val="FooterCouncil"/>
    </w:pPr>
  </w:p>
</w:ftr>
</file>

<file path=word/footer1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14D0D" w14:textId="77777777" w:rsidR="0057163C" w:rsidRDefault="0057163C">
    <w:pPr>
      <w:pStyle w:val="Footer"/>
    </w:pPr>
  </w:p>
</w:ftr>
</file>

<file path=word/footer1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D272B" w14:textId="77777777" w:rsidR="0057163C" w:rsidRDefault="0057163C">
    <w:pPr>
      <w:pStyle w:val="Footer"/>
    </w:pPr>
  </w:p>
</w:ftr>
</file>

<file path=word/footer1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69031883"/>
      <w:docPartObj>
        <w:docPartGallery w:val="Page Numbers (Bottom of Page)"/>
        <w:docPartUnique/>
      </w:docPartObj>
    </w:sdtPr>
    <w:sdtEndPr/>
    <w:sdtContent>
      <w:p w14:paraId="4936FD2C"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5D9B6550" w14:textId="77777777" w:rsidR="0057163C" w:rsidRDefault="0057163C">
    <w:pPr>
      <w:pStyle w:val="FooterCouncil"/>
    </w:pPr>
  </w:p>
</w:ftr>
</file>

<file path=word/footer1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A219F" w14:textId="77777777" w:rsidR="0057163C" w:rsidRDefault="0057163C">
    <w:pPr>
      <w:pStyle w:val="Footer"/>
    </w:pPr>
  </w:p>
</w:ftr>
</file>

<file path=word/footer1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F7DAD" w14:textId="77777777" w:rsidR="0057163C" w:rsidRDefault="0057163C">
    <w:pPr>
      <w:pStyle w:val="Footer"/>
    </w:pPr>
  </w:p>
</w:ftr>
</file>

<file path=word/footer1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29578663"/>
      <w:docPartObj>
        <w:docPartGallery w:val="Page Numbers (Bottom of Page)"/>
        <w:docPartUnique/>
      </w:docPartObj>
    </w:sdtPr>
    <w:sdtEndPr/>
    <w:sdtContent>
      <w:p w14:paraId="73AA753C"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6D60672B" w14:textId="77777777" w:rsidR="0057163C" w:rsidRDefault="0057163C">
    <w:pPr>
      <w:pStyle w:val="FooterCouncil"/>
    </w:pPr>
  </w:p>
</w:ftr>
</file>

<file path=word/footer1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C3073" w14:textId="77777777" w:rsidR="0057163C" w:rsidRDefault="0057163C">
    <w:pPr>
      <w:pStyle w:val="Footer"/>
    </w:pPr>
  </w:p>
</w:ftr>
</file>

<file path=word/footer1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48428" w14:textId="77777777" w:rsidR="0057163C" w:rsidRDefault="0057163C">
    <w:pPr>
      <w:pStyle w:val="Footer"/>
    </w:pPr>
  </w:p>
</w:ftr>
</file>

<file path=word/footer1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86676152"/>
      <w:docPartObj>
        <w:docPartGallery w:val="Page Numbers (Bottom of Page)"/>
        <w:docPartUnique/>
      </w:docPartObj>
    </w:sdtPr>
    <w:sdtEndPr/>
    <w:sdtContent>
      <w:p w14:paraId="0C65622B"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2873CBB0" w14:textId="77777777" w:rsidR="0057163C" w:rsidRDefault="0057163C">
    <w:pPr>
      <w:pStyle w:val="FooterCouncil"/>
    </w:pPr>
  </w:p>
</w:ftr>
</file>

<file path=word/footer1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6970B" w14:textId="77777777" w:rsidR="0057163C" w:rsidRDefault="0057163C">
    <w:pPr>
      <w:pStyle w:val="Footer"/>
    </w:pPr>
  </w:p>
</w:ftr>
</file>

<file path=word/footer1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C8D67" w14:textId="77777777" w:rsidR="0057163C" w:rsidRDefault="0057163C">
    <w:pPr>
      <w:pStyle w:val="Footer"/>
    </w:pPr>
  </w:p>
</w:ftr>
</file>

<file path=word/footer1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4835686"/>
      <w:docPartObj>
        <w:docPartGallery w:val="Page Numbers (Bottom of Page)"/>
        <w:docPartUnique/>
      </w:docPartObj>
    </w:sdtPr>
    <w:sdtEndPr/>
    <w:sdtContent>
      <w:p w14:paraId="73676C06"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61A821A2" w14:textId="77777777" w:rsidR="0057163C" w:rsidRDefault="0057163C">
    <w:pPr>
      <w:pStyle w:val="FooterCouncil"/>
    </w:pPr>
  </w:p>
</w:ftr>
</file>

<file path=word/footer1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1B537" w14:textId="77777777" w:rsidR="0057163C" w:rsidRDefault="0057163C">
    <w:pPr>
      <w:pStyle w:val="Footer"/>
    </w:pPr>
  </w:p>
</w:ftr>
</file>

<file path=word/footer1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794D1" w14:textId="77777777" w:rsidR="0057163C" w:rsidRDefault="0057163C">
    <w:pPr>
      <w:pStyle w:val="Footer"/>
    </w:pPr>
  </w:p>
</w:ftr>
</file>

<file path=word/footer1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30979719"/>
      <w:docPartObj>
        <w:docPartGallery w:val="Page Numbers (Bottom of Page)"/>
        <w:docPartUnique/>
      </w:docPartObj>
    </w:sdtPr>
    <w:sdtEndPr/>
    <w:sdtContent>
      <w:p w14:paraId="655EDE84"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38B4C4B" w14:textId="77777777" w:rsidR="0057163C" w:rsidRDefault="0057163C">
    <w:pPr>
      <w:pStyle w:val="FooterCouncil"/>
    </w:pPr>
  </w:p>
</w:ftr>
</file>

<file path=word/footer1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F1292" w14:textId="77777777" w:rsidR="0057163C" w:rsidRDefault="0057163C">
    <w:pPr>
      <w:pStyle w:val="Footer"/>
    </w:pPr>
  </w:p>
</w:ftr>
</file>

<file path=word/footer1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A4A9D" w14:textId="77777777" w:rsidR="0057163C" w:rsidRDefault="0057163C">
    <w:pPr>
      <w:pStyle w:val="Footer"/>
    </w:pPr>
  </w:p>
</w:ftr>
</file>

<file path=word/footer1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4969950"/>
      <w:docPartObj>
        <w:docPartGallery w:val="Page Numbers (Bottom of Page)"/>
        <w:docPartUnique/>
      </w:docPartObj>
    </w:sdtPr>
    <w:sdtEndPr/>
    <w:sdtContent>
      <w:p w14:paraId="0C2DC4F2"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52E91CEE" w14:textId="77777777" w:rsidR="0057163C" w:rsidRDefault="0057163C">
    <w:pPr>
      <w:pStyle w:val="FooterCouncil"/>
    </w:pPr>
  </w:p>
</w:ftr>
</file>

<file path=word/footer1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39920" w14:textId="77777777" w:rsidR="0057163C" w:rsidRDefault="0057163C">
    <w:pPr>
      <w:pStyle w:val="Footer"/>
    </w:pPr>
  </w:p>
</w:ftr>
</file>

<file path=word/footer1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FE8AA" w14:textId="77777777" w:rsidR="0057163C" w:rsidRDefault="0057163C">
    <w:pPr>
      <w:pStyle w:val="Footer"/>
    </w:pPr>
  </w:p>
</w:ftr>
</file>

<file path=word/footer1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374695283"/>
      <w:docPartObj>
        <w:docPartGallery w:val="Page Numbers (Bottom of Page)"/>
        <w:docPartUnique/>
      </w:docPartObj>
    </w:sdtPr>
    <w:sdtEndPr/>
    <w:sdtContent>
      <w:p w14:paraId="6FC1DFB2"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7BAF95A3" w14:textId="77777777" w:rsidR="0057163C" w:rsidRDefault="0057163C">
    <w:pPr>
      <w:pStyle w:val="FooterCouncil"/>
    </w:pPr>
  </w:p>
</w:ftr>
</file>

<file path=word/footer1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17BE2" w14:textId="77777777" w:rsidR="0057163C" w:rsidRDefault="0057163C">
    <w:pPr>
      <w:pStyle w:val="Footer"/>
    </w:pPr>
  </w:p>
</w:ftr>
</file>

<file path=word/footer1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654511586"/>
      <w:docPartObj>
        <w:docPartGallery w:val="Page Numbers (Bottom of Page)"/>
        <w:docPartUnique/>
      </w:docPartObj>
    </w:sdtPr>
    <w:sdtEndPr/>
    <w:sdtContent>
      <w:p w14:paraId="713BEEE0"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23480867" w14:textId="77777777" w:rsidR="0057163C" w:rsidRDefault="0057163C">
    <w:pPr>
      <w:pStyle w:val="FooterCouncil"/>
    </w:pPr>
  </w:p>
</w:ftr>
</file>

<file path=word/footer1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9EC3C" w14:textId="77777777" w:rsidR="0057163C" w:rsidRDefault="0057163C">
    <w:pPr>
      <w:pStyle w:val="Footer"/>
    </w:pPr>
  </w:p>
</w:ftr>
</file>

<file path=word/footer1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14108887"/>
      <w:docPartObj>
        <w:docPartGallery w:val="Page Numbers (Bottom of Page)"/>
        <w:docPartUnique/>
      </w:docPartObj>
    </w:sdtPr>
    <w:sdtEndPr/>
    <w:sdtContent>
      <w:p w14:paraId="1D450129"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7B4A47CD" w14:textId="77777777" w:rsidR="0057163C" w:rsidRDefault="0057163C">
    <w:pPr>
      <w:pStyle w:val="FooterCouncil"/>
    </w:pPr>
  </w:p>
</w:ftr>
</file>

<file path=word/footer1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4EEE6" w14:textId="77777777" w:rsidR="0057163C" w:rsidRDefault="0057163C">
    <w:pPr>
      <w:pStyle w:val="Footer"/>
    </w:pPr>
  </w:p>
</w:ftr>
</file>

<file path=word/footer1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14FF9" w14:textId="77777777" w:rsidR="0057163C" w:rsidRDefault="0057163C">
    <w:pPr>
      <w:pStyle w:val="Footer"/>
    </w:pPr>
  </w:p>
</w:ftr>
</file>

<file path=word/footer1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384245955"/>
      <w:docPartObj>
        <w:docPartGallery w:val="Page Numbers (Bottom of Page)"/>
        <w:docPartUnique/>
      </w:docPartObj>
    </w:sdtPr>
    <w:sdtEndPr/>
    <w:sdtContent>
      <w:p w14:paraId="7CDF7A54"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2464DBE8" w14:textId="77777777" w:rsidR="0057163C" w:rsidRDefault="0057163C">
    <w:pPr>
      <w:pStyle w:val="FooterCouncil"/>
    </w:pPr>
  </w:p>
</w:ftr>
</file>

<file path=word/footer1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878E5" w14:textId="77777777" w:rsidR="0057163C" w:rsidRDefault="0057163C">
    <w:pPr>
      <w:pStyle w:val="Footer"/>
    </w:pPr>
  </w:p>
</w:ftr>
</file>

<file path=word/footer1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28630" w14:textId="77777777" w:rsidR="0057163C" w:rsidRDefault="0057163C">
    <w:pPr>
      <w:pStyle w:val="Footer"/>
    </w:pPr>
  </w:p>
</w:ftr>
</file>

<file path=word/footer1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91572551"/>
      <w:docPartObj>
        <w:docPartGallery w:val="Page Numbers (Bottom of Page)"/>
        <w:docPartUnique/>
      </w:docPartObj>
    </w:sdtPr>
    <w:sdtEndPr/>
    <w:sdtContent>
      <w:p w14:paraId="1D52D1F4"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D4D32D8" w14:textId="77777777" w:rsidR="0057163C" w:rsidRDefault="0057163C">
    <w:pPr>
      <w:pStyle w:val="FooterCouncil"/>
    </w:pPr>
  </w:p>
</w:ftr>
</file>

<file path=word/footer1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FD3AE" w14:textId="77777777" w:rsidR="0057163C" w:rsidRDefault="0057163C">
    <w:pPr>
      <w:pStyle w:val="Footer"/>
    </w:pPr>
  </w:p>
</w:ftr>
</file>

<file path=word/footer1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8E949" w14:textId="77777777" w:rsidR="0057163C" w:rsidRDefault="0057163C">
    <w:pPr>
      <w:pStyle w:val="Footer"/>
    </w:pPr>
  </w:p>
</w:ftr>
</file>

<file path=word/footer1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504122785"/>
      <w:docPartObj>
        <w:docPartGallery w:val="Page Numbers (Bottom of Page)"/>
        <w:docPartUnique/>
      </w:docPartObj>
    </w:sdtPr>
    <w:sdtEndPr/>
    <w:sdtContent>
      <w:p w14:paraId="2F9B1B9E"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6C7F4E98" w14:textId="77777777" w:rsidR="0057163C" w:rsidRDefault="0057163C">
    <w:pPr>
      <w:pStyle w:val="FooterCouncil"/>
    </w:pPr>
  </w:p>
</w:ftr>
</file>

<file path=word/footer1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951BB" w14:textId="77777777" w:rsidR="0057163C" w:rsidRDefault="0057163C">
    <w:pPr>
      <w:pStyle w:val="Footer"/>
    </w:pPr>
  </w:p>
</w:ftr>
</file>

<file path=word/footer1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CC395" w14:textId="77777777" w:rsidR="0057163C" w:rsidRDefault="0057163C">
    <w:pPr>
      <w:pStyle w:val="Footer"/>
    </w:pPr>
  </w:p>
</w:ftr>
</file>

<file path=word/footer1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78580418"/>
      <w:docPartObj>
        <w:docPartGallery w:val="Page Numbers (Bottom of Page)"/>
        <w:docPartUnique/>
      </w:docPartObj>
    </w:sdtPr>
    <w:sdtEndPr/>
    <w:sdtContent>
      <w:p w14:paraId="725D276A"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7ABE0E4E" w14:textId="77777777" w:rsidR="0057163C" w:rsidRDefault="0057163C">
    <w:pPr>
      <w:pStyle w:val="FooterCouncil"/>
    </w:pPr>
  </w:p>
</w:ftr>
</file>

<file path=word/footer1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B2F55" w14:textId="77777777" w:rsidR="0057163C" w:rsidRDefault="0057163C">
    <w:pPr>
      <w:pStyle w:val="Footer"/>
    </w:pPr>
  </w:p>
</w:ftr>
</file>

<file path=word/footer1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E26CF" w14:textId="77777777" w:rsidR="0057163C" w:rsidRDefault="0057163C">
    <w:pPr>
      <w:pStyle w:val="Footer"/>
    </w:pPr>
  </w:p>
</w:ftr>
</file>

<file path=word/footer1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835876722"/>
      <w:docPartObj>
        <w:docPartGallery w:val="Page Numbers (Bottom of Page)"/>
        <w:docPartUnique/>
      </w:docPartObj>
    </w:sdtPr>
    <w:sdtEndPr/>
    <w:sdtContent>
      <w:p w14:paraId="6157DFA4"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032B8BC5" w14:textId="77777777" w:rsidR="0057163C" w:rsidRDefault="0057163C">
    <w:pPr>
      <w:pStyle w:val="Footer"/>
    </w:pPr>
  </w:p>
</w:ftr>
</file>

<file path=word/footer1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BAD08" w14:textId="77777777" w:rsidR="0057163C" w:rsidRDefault="0057163C">
    <w:pPr>
      <w:pStyle w:val="Footer"/>
    </w:pPr>
  </w:p>
</w:ftr>
</file>

<file path=word/footer1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5F132" w14:textId="77777777" w:rsidR="0057163C" w:rsidRDefault="0057163C">
    <w:pPr>
      <w:pStyle w:val="Footer"/>
    </w:pPr>
  </w:p>
</w:ftr>
</file>

<file path=word/footer1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17611416"/>
      <w:docPartObj>
        <w:docPartGallery w:val="Page Numbers (Bottom of Page)"/>
        <w:docPartUnique/>
      </w:docPartObj>
    </w:sdtPr>
    <w:sdtEndPr/>
    <w:sdtContent>
      <w:p w14:paraId="528D6C66"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16845681" w14:textId="77777777" w:rsidR="0057163C" w:rsidRDefault="0057163C">
    <w:pPr>
      <w:pStyle w:val="FooterCouncil"/>
    </w:pPr>
  </w:p>
</w:ftr>
</file>

<file path=word/footer1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89133" w14:textId="77777777" w:rsidR="0057163C" w:rsidRDefault="0057163C">
    <w:pPr>
      <w:pStyle w:val="Footer"/>
    </w:pPr>
  </w:p>
</w:ftr>
</file>

<file path=word/footer1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765493268"/>
      <w:docPartObj>
        <w:docPartGallery w:val="Page Numbers (Bottom of Page)"/>
        <w:docPartUnique/>
      </w:docPartObj>
    </w:sdtPr>
    <w:sdtEndPr/>
    <w:sdtContent>
      <w:p w14:paraId="1FBA63FF"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4C9AED66" w14:textId="77777777" w:rsidR="0057163C" w:rsidRDefault="0057163C">
    <w:pPr>
      <w:pStyle w:val="FooterCouncil"/>
    </w:pPr>
  </w:p>
</w:ftr>
</file>

<file path=word/footer1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12C3" w14:textId="77777777" w:rsidR="0057163C" w:rsidRDefault="0057163C">
    <w:pPr>
      <w:pStyle w:val="Footer"/>
    </w:pPr>
  </w:p>
</w:ftr>
</file>

<file path=word/footer1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677860876"/>
      <w:docPartObj>
        <w:docPartGallery w:val="Page Numbers (Bottom of Page)"/>
        <w:docPartUnique/>
      </w:docPartObj>
    </w:sdtPr>
    <w:sdtEndPr/>
    <w:sdtContent>
      <w:p w14:paraId="062A5B08"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21F2EF04" w14:textId="77777777" w:rsidR="0057163C" w:rsidRDefault="0057163C">
    <w:pPr>
      <w:pStyle w:val="FooterCouncil"/>
    </w:pPr>
  </w:p>
</w:ftr>
</file>

<file path=word/footer1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18F57" w14:textId="77777777" w:rsidR="0057163C" w:rsidRDefault="0057163C">
    <w:pPr>
      <w:pStyle w:val="Footer"/>
    </w:pPr>
  </w:p>
</w:ftr>
</file>

<file path=word/footer1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465662003"/>
      <w:docPartObj>
        <w:docPartGallery w:val="Page Numbers (Bottom of Page)"/>
        <w:docPartUnique/>
      </w:docPartObj>
    </w:sdtPr>
    <w:sdtEndPr/>
    <w:sdtContent>
      <w:p w14:paraId="008E3A1B" w14:textId="77777777" w:rsidR="0085607C" w:rsidRDefault="0085607C">
        <w:pPr>
          <w:pStyle w:val="Footer"/>
          <w:jc w:val="center"/>
        </w:pPr>
        <w:r>
          <w:fldChar w:fldCharType="begin"/>
        </w:r>
        <w:r>
          <w:instrText xml:space="preserve"> PAGE   \* MERGEFORMAT </w:instrText>
        </w:r>
        <w:r>
          <w:fldChar w:fldCharType="separate"/>
        </w:r>
        <w:r>
          <w:t>150</w:t>
        </w:r>
        <w:r>
          <w:fldChar w:fldCharType="end"/>
        </w:r>
      </w:p>
    </w:sdtContent>
  </w:sdt>
  <w:p w14:paraId="6B57BDBA" w14:textId="77777777" w:rsidR="0085607C" w:rsidRDefault="0085607C">
    <w:pPr>
      <w:pStyle w:val="FooterCouncil"/>
    </w:pPr>
  </w:p>
</w:ftr>
</file>

<file path=word/footer1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GB"/>
      </w:rPr>
      <w:id w:val="-1065108023"/>
      <w:docPartObj>
        <w:docPartGallery w:val="Page Numbers (Bottom of Page)"/>
        <w:docPartUnique/>
      </w:docPartObj>
    </w:sdtPr>
    <w:sdtEndPr/>
    <w:sdtContent>
      <w:p w14:paraId="163D7DEC" w14:textId="77777777" w:rsidR="0057163C" w:rsidRDefault="00F37BF9">
        <w:pPr>
          <w:pStyle w:val="Footer"/>
          <w:jc w:val="center"/>
        </w:pPr>
        <w:r>
          <w:fldChar w:fldCharType="begin"/>
        </w:r>
        <w:r>
          <w:instrText xml:space="preserve"> PAGE   \* MERGEFORMAT </w:instrText>
        </w:r>
        <w:r>
          <w:fldChar w:fldCharType="separate"/>
        </w:r>
        <w:r>
          <w:t>150</w:t>
        </w:r>
        <w:r>
          <w:fldChar w:fldCharType="end"/>
        </w:r>
      </w:p>
    </w:sdtContent>
  </w:sdt>
  <w:p w14:paraId="5014921D" w14:textId="77777777" w:rsidR="0057163C" w:rsidRDefault="0057163C">
    <w:pPr>
      <w:pStyle w:val="FooterCounci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AC48D" w14:textId="77777777" w:rsidR="00BE14E0" w:rsidRDefault="00BE14E0">
      <w:pPr>
        <w:spacing w:after="0" w:line="240" w:lineRule="auto"/>
      </w:pPr>
      <w:r>
        <w:separator/>
      </w:r>
    </w:p>
  </w:footnote>
  <w:footnote w:type="continuationSeparator" w:id="0">
    <w:p w14:paraId="6B72C5C5" w14:textId="77777777" w:rsidR="00BE14E0" w:rsidRDefault="00BE14E0">
      <w:pPr>
        <w:spacing w:after="0" w:line="240" w:lineRule="auto"/>
      </w:pPr>
      <w:r>
        <w:continuationSeparator/>
      </w:r>
    </w:p>
  </w:footnote>
  <w:footnote w:type="continuationNotice" w:id="1">
    <w:p w14:paraId="5AEE6C13" w14:textId="77777777" w:rsidR="00BE14E0" w:rsidRDefault="00BE14E0">
      <w:pPr>
        <w:spacing w:after="0" w:line="240" w:lineRule="auto"/>
      </w:pPr>
    </w:p>
  </w:footnote>
  <w:footnote w:id="2">
    <w:p w14:paraId="364F768C" w14:textId="77777777" w:rsidR="0057163C" w:rsidRDefault="00F37BF9">
      <w:pPr>
        <w:spacing w:after="0" w:line="240" w:lineRule="auto"/>
        <w:jc w:val="both"/>
        <w:rPr>
          <w:rFonts w:ascii="Times New Roman" w:hAnsi="Times New Roman" w:cs="Times New Roman"/>
          <w:sz w:val="20"/>
          <w:szCs w:val="20"/>
        </w:rPr>
      </w:pPr>
      <w:r w:rsidRPr="001F2F9F">
        <w:rPr>
          <w:vertAlign w:val="superscript"/>
        </w:rPr>
        <w:footnoteRef/>
      </w:r>
      <w:r>
        <w:t xml:space="preserve"> </w:t>
      </w:r>
      <w:r>
        <w:rPr>
          <w:rFonts w:ascii="Times New Roman" w:hAnsi="Times New Roman" w:cs="Times New Roman"/>
          <w:sz w:val="20"/>
          <w:szCs w:val="20"/>
        </w:rPr>
        <w:t>Ausgenommen Projekte im Rahmen dieser Maßnahme in Bezug auf die Strom- und/oder Wärmeerzeugung sowie die zugehörige Fernleitungs- und V</w:t>
      </w:r>
      <w:r>
        <w:rPr>
          <w:rFonts w:ascii="Times New Roman" w:hAnsi="Times New Roman" w:cs="Times New Roman"/>
          <w:sz w:val="20"/>
          <w:szCs w:val="20"/>
        </w:rPr>
        <w:t>erteilungsinfrastruktur unter Verwendung von Erdgas, die die Bedingungen in Anhang III der Technischen Leitlinien für die Anwendung des Grundsatzes der „Vermeidung erheblicher Beeinträchtigungen“ (2021/C58/01) erfüllen.</w:t>
      </w:r>
    </w:p>
  </w:footnote>
  <w:footnote w:id="3">
    <w:p w14:paraId="21839C26" w14:textId="77777777" w:rsidR="0057163C" w:rsidRDefault="00F37BF9">
      <w:pPr>
        <w:pStyle w:val="P68B1DB1-Normal113"/>
        <w:spacing w:after="0" w:line="240" w:lineRule="auto"/>
        <w:jc w:val="both"/>
        <w:rPr>
          <w:szCs w:val="20"/>
        </w:rPr>
      </w:pPr>
      <w:r w:rsidRPr="001F2F9F">
        <w:rPr>
          <w:rFonts w:ascii="Times New Roman" w:hAnsi="Times New Roman" w:cs="Times New Roman"/>
          <w:szCs w:val="20"/>
          <w:vertAlign w:val="superscript"/>
        </w:rPr>
        <w:footnoteRef/>
      </w:r>
      <w:r>
        <w:rPr>
          <w:rFonts w:ascii="Times New Roman" w:hAnsi="Times New Roman" w:cs="Times New Roman"/>
          <w:szCs w:val="20"/>
        </w:rPr>
        <w:t xml:space="preserve"> Erreicht die geförderte Tätigkeit </w:t>
      </w:r>
      <w:r>
        <w:rPr>
          <w:rFonts w:ascii="Times New Roman" w:hAnsi="Times New Roman" w:cs="Times New Roman"/>
          <w:szCs w:val="20"/>
        </w:rPr>
        <w:t>prognostizierte Treibhausgasemissionen, die nicht wesentlich niedriger sind als die einschlägigen Benchmarks, sollte erläutert werden, warum dies nicht möglich ist. Die Richtwerte</w:t>
      </w:r>
      <w:r>
        <w:t xml:space="preserve"> </w:t>
      </w:r>
      <w:r>
        <w:rPr>
          <w:rFonts w:ascii="Times New Roman" w:hAnsi="Times New Roman" w:cs="Times New Roman"/>
          <w:szCs w:val="20"/>
        </w:rPr>
        <w:t>für die kostenlose Zuteilung von Zertifikaten für Tätigkeiten, die unter das</w:t>
      </w:r>
      <w:r>
        <w:rPr>
          <w:rFonts w:ascii="Times New Roman" w:hAnsi="Times New Roman" w:cs="Times New Roman"/>
          <w:szCs w:val="20"/>
        </w:rPr>
        <w:t xml:space="preserve"> Emissionshandelssystem fallen, sind in der Durchführungsverordnung (EU) 2021/447 der Kommission festgelegt.</w:t>
      </w:r>
    </w:p>
  </w:footnote>
  <w:footnote w:id="4">
    <w:p w14:paraId="510A15A0" w14:textId="77777777" w:rsidR="0057163C" w:rsidRDefault="00F37BF9">
      <w:pPr>
        <w:spacing w:after="0" w:line="240" w:lineRule="auto"/>
        <w:jc w:val="both"/>
        <w:rPr>
          <w:rFonts w:ascii="Times New Roman" w:hAnsi="Times New Roman" w:cs="Times New Roman"/>
          <w:sz w:val="20"/>
          <w:szCs w:val="20"/>
        </w:rPr>
      </w:pPr>
      <w:r w:rsidRPr="001F2F9F">
        <w:rPr>
          <w:vertAlign w:val="superscript"/>
        </w:rPr>
        <w:footnoteRef/>
      </w:r>
      <w:r>
        <w:t xml:space="preserve"> </w:t>
      </w:r>
      <w:r>
        <w:rPr>
          <w:rFonts w:ascii="Times New Roman" w:hAnsi="Times New Roman" w:cs="Times New Roman"/>
          <w:sz w:val="20"/>
          <w:szCs w:val="20"/>
        </w:rPr>
        <w:t xml:space="preserve">Dieser Ausschluss gilt nicht für Maßnahmen im Rahmen dieser Maßnahme in Anlagen, die ausschließlich der Behandlung nicht rezyklierbarer </w:t>
      </w:r>
      <w:r>
        <w:rPr>
          <w:rFonts w:ascii="Times New Roman" w:hAnsi="Times New Roman" w:cs="Times New Roman"/>
          <w:sz w:val="20"/>
          <w:szCs w:val="20"/>
        </w:rPr>
        <w:t>gefährlicher Abfälle dienen, und für bestehende Anlagen, wenn die Maßnahmen im Rahmen dieser Maßnahme der Steigerung der Energieeffizienz, der Abscheidung von Abgasen zur Lagerung oder Verwendung oder der Rückgewinnung von Materialien aus Verbrennungsasche</w:t>
      </w:r>
      <w:r>
        <w:rPr>
          <w:rFonts w:ascii="Times New Roman" w:hAnsi="Times New Roman" w:cs="Times New Roman"/>
          <w:sz w:val="20"/>
          <w:szCs w:val="20"/>
        </w:rPr>
        <w:t xml:space="preserve"> dienen, sofern diese Maßnahmen im Rahmen dieser Maßnahme nicht zu einer Erhöhung der Abfallbehandlungskapazitäten der Anlagen oder zu einer Verlängerung der Lebensdauer der Anlagen führen; für die Nachweise auf Anlagenebene erbracht werden.</w:t>
      </w:r>
    </w:p>
  </w:footnote>
  <w:footnote w:id="5">
    <w:p w14:paraId="0AEC8155" w14:textId="77777777" w:rsidR="0057163C" w:rsidRDefault="00F37BF9">
      <w:pPr>
        <w:pStyle w:val="P68B1DB1-Normal126"/>
        <w:spacing w:after="0" w:line="240" w:lineRule="auto"/>
        <w:jc w:val="both"/>
      </w:pPr>
      <w:r w:rsidRPr="001F2F9F">
        <w:rPr>
          <w:vertAlign w:val="superscript"/>
        </w:rPr>
        <w:footnoteRef/>
      </w:r>
      <w:r>
        <w:t xml:space="preserve"> Dieser Aussc</w:t>
      </w:r>
      <w:r>
        <w:t>hluss gilt nicht für Maßnahmen im Rahmen dieser Maßnahme in bestehenden Anlagen zur mechanisch-biologischen Behandlung, bei denen die Maßnahmen im Rahmen dieser Maßnahme der Steigerung der Energieeffizienz oder der Nachrüstung von getrennten Abfällen zur K</w:t>
      </w:r>
      <w:r>
        <w:t>ompostierung von Bioabfällen und der anaeroben Vergärung von Bioabfällen dienen, sofern diese Maßnahmen im Rahmen dieser Maßnahme nicht zu einer Erhöhung der Abfallaufbereitungskapazität der Anlagen oder zu einer Verlängerung der Lebensdauer der Anlagen fü</w:t>
      </w:r>
      <w:r>
        <w:t>hren; für die Nachweise auf Anlagenebene erbracht werden.</w:t>
      </w:r>
    </w:p>
  </w:footnote>
  <w:footnote w:id="6">
    <w:p w14:paraId="2E2A4411" w14:textId="77777777" w:rsidR="0057163C" w:rsidRDefault="00F37BF9">
      <w:pPr>
        <w:pStyle w:val="FootnoteText"/>
        <w:ind w:left="0" w:firstLine="0"/>
      </w:pPr>
      <w:r w:rsidRPr="001F2F9F">
        <w:rPr>
          <w:rStyle w:val="FootnoteReference"/>
        </w:rPr>
        <w:footnoteRef/>
      </w:r>
      <w:r>
        <w:t xml:space="preserve"> Mit Ausnahme von a) Anlagen und Tätigkeiten im Bereich der Strom- und/oder Wärmeerzeugung sowie der damit verbundenen Fernleitungs- und Verteilungsinfrastruktur, die Erdgas nutzen, die die Bedingu</w:t>
      </w:r>
      <w:r>
        <w:t>ngen in Anhang III der Technischen Leitlinien „Vermeidung erheblicher Beeinträchtigungen“ (2021/C58/01) erfüllen, und b) Tätigkeiten und Vermögenswerte gemäß Ziffer ii, bei denen die Nutzung fossiler Brennstoffe vorübergehend und technisch für den rechtzei</w:t>
      </w:r>
      <w:r>
        <w:t>tigen Übergang zu einem Betrieb ohne fossile Brennstoffe unvermeidbar ist.</w:t>
      </w:r>
    </w:p>
  </w:footnote>
  <w:footnote w:id="7">
    <w:p w14:paraId="2681FDC5" w14:textId="77777777" w:rsidR="0057163C" w:rsidRDefault="00F37BF9">
      <w:pPr>
        <w:pStyle w:val="FootnoteText"/>
        <w:ind w:left="0" w:firstLine="0"/>
        <w:rPr>
          <w:rFonts w:eastAsia="EC Square Sans Pro"/>
        </w:rPr>
      </w:pPr>
      <w:r w:rsidRPr="001F2F9F">
        <w:rPr>
          <w:rStyle w:val="FootnoteReference"/>
        </w:rPr>
        <w:footnoteRef/>
      </w:r>
      <w:r>
        <w:t xml:space="preserve"> </w:t>
      </w:r>
      <w:r>
        <w:rPr>
          <w:rFonts w:eastAsia="EC Square Sans Pro"/>
        </w:rPr>
        <w:t>Wenn mit der geförderten Tätigkeit prognostizierte Treibhausgasemissionen erreicht werden, die nicht wesentlich unter den einschlägigen Referenzwerten liegen, ist zu erläutern, wa</w:t>
      </w:r>
      <w:r>
        <w:rPr>
          <w:rFonts w:eastAsia="EC Square Sans Pro"/>
        </w:rPr>
        <w:t xml:space="preserve">rum dies nicht möglich ist. Die Richtwerte für die kostenlose Zuteilung von Zertifikaten für Tätigkeiten, die unter das Emissionshandelssystem fallen, sind in der Durchführungsverordnung (EU) 2021/447 der Kommission festgelegt. </w:t>
      </w:r>
    </w:p>
  </w:footnote>
  <w:footnote w:id="8">
    <w:p w14:paraId="63F12DE1" w14:textId="77777777" w:rsidR="0057163C" w:rsidRDefault="00F37BF9">
      <w:pPr>
        <w:pStyle w:val="FootnoteText"/>
        <w:ind w:left="0" w:firstLine="0"/>
      </w:pPr>
      <w:r w:rsidRPr="001F2F9F">
        <w:rPr>
          <w:rStyle w:val="FootnoteReference"/>
        </w:rPr>
        <w:footnoteRef/>
      </w:r>
      <w:r>
        <w:t xml:space="preserve"> Dieser Ausschluss gilt ni</w:t>
      </w:r>
      <w:r>
        <w:t>cht für Maßnahmen im Rahmen dieser Maßnahme in Anlagen, die ausschließlich der Behandlung nicht rezyklierbarer gefährlicher Abfälle dienen, und für bestehende Anlagen, wenn die Maßnahmen im Rahmen dieser Maßnahme der Steigerung der Energieeffizienz, der Ab</w:t>
      </w:r>
      <w:r>
        <w:t>scheidung von Abgasen zur Lagerung oder Verwendung oder der Rückgewinnung von Materialien aus Verbrennungsasche dienen, sofern diese Maßnahmen im Rahmen dieser Maßnahme nicht zu einer Erhöhung der Abfallbehandlungskapazitäten der Anlagen oder zu einer Verl</w:t>
      </w:r>
      <w:r>
        <w:t>ängerung der Lebensdauer der Anlagen führen; für die Nachweise auf Anlagenebene erbracht werden. </w:t>
      </w:r>
    </w:p>
  </w:footnote>
  <w:footnote w:id="9">
    <w:p w14:paraId="3679FD3C"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Behandlung, bei denen die Maßnahmen </w:t>
      </w:r>
      <w:r>
        <w:t>im Rahmen dieser Maßnahme der Steigerung der Energieeffizienz oder der Nachrüstung von getrennten Abfällen zur Kompostierung von Bioabfällen und der anaeroben Vergärung von Bioabfällen dienen, sofern diese Maßnahmen im Rahmen dieser Maßnahme nicht zu einer</w:t>
      </w:r>
      <w:r>
        <w:t xml:space="preserve"> Erhöhung der Abfallaufbereitungskapazität der Anlagen oder zu einer Verlängerung der Lebensdauer der Anlagen führen; für die Nachweise auf Anlagenebene erbracht werden. </w:t>
      </w:r>
    </w:p>
  </w:footnote>
  <w:footnote w:id="10">
    <w:p w14:paraId="00F4C13D" w14:textId="77777777" w:rsidR="0057163C" w:rsidRDefault="00F37BF9">
      <w:pPr>
        <w:spacing w:after="0"/>
        <w:jc w:val="both"/>
        <w:rPr>
          <w:rFonts w:ascii="Times New Roman" w:hAnsi="Times New Roman" w:cs="Times New Roman"/>
          <w:sz w:val="20"/>
          <w:szCs w:val="20"/>
        </w:rPr>
      </w:pPr>
      <w:r w:rsidRPr="001F2F9F">
        <w:rPr>
          <w:rStyle w:val="FootnoteReference"/>
        </w:rPr>
        <w:footnoteRef/>
      </w:r>
      <w:r>
        <w:rPr>
          <w:rFonts w:ascii="Times New Roman" w:hAnsi="Times New Roman" w:cs="Times New Roman"/>
          <w:sz w:val="20"/>
          <w:szCs w:val="20"/>
        </w:rPr>
        <w:t>Ausgenommen sind a) Projekte im Bereich der Strom- und/oder Wärmeerzeugung sowie die damit verbundene Fernleitungs- und Verteilungsinfrastruktur, bei denen Erdgas verwendet wird und die die Bedingungen in Anhang III der Technischen Leitlinien „Vermeidung e</w:t>
      </w:r>
      <w:r>
        <w:rPr>
          <w:rFonts w:ascii="Times New Roman" w:hAnsi="Times New Roman" w:cs="Times New Roman"/>
          <w:sz w:val="20"/>
          <w:szCs w:val="20"/>
        </w:rPr>
        <w:t>rheblicher Beeinträchtigungen“ (2021/C58/01) erfüllen, und b) Tätigkeiten und Vermögenswerte gemäß Ziffer ii, bei denen die Nutzung fossiler Brennstoffe vorübergehend und für den rechtzeitigen Übergang zu einem nicht mit fossilen Brennstoffen betriebenen B</w:t>
      </w:r>
      <w:r>
        <w:rPr>
          <w:rFonts w:ascii="Times New Roman" w:hAnsi="Times New Roman" w:cs="Times New Roman"/>
          <w:sz w:val="20"/>
          <w:szCs w:val="20"/>
        </w:rPr>
        <w:t>etrieb technisch unvermeidbar ist.</w:t>
      </w:r>
    </w:p>
  </w:footnote>
  <w:footnote w:id="11">
    <w:p w14:paraId="230872FC" w14:textId="50692238" w:rsidR="0057163C" w:rsidRDefault="00F37BF9">
      <w:pPr>
        <w:pStyle w:val="FootnoteText"/>
        <w:ind w:left="0" w:firstLine="0"/>
      </w:pPr>
      <w:r w:rsidRPr="001F2F9F">
        <w:rPr>
          <w:rStyle w:val="FootnoteReference"/>
        </w:rPr>
        <w:footnoteRef/>
      </w:r>
      <w:r>
        <w:t xml:space="preserve"> Wenn mit der geförderten Tätigkeit prognostizierte Treibhausgasemissionen erreicht werden, die nicht wesentlich unter den einschlägigen Referenzwerten liegen, ist zu erläutern, warum dies nicht möglich ist. Benchmarks f</w:t>
      </w:r>
      <w:r>
        <w:t>ür die kostenlose Zuteilung für Tätigkeiten, die in den Anwendungsbereich des Emissionshandelssystems fallen, gemäß der Durchführungsverordnung (EU) 2021/447 der Kommission</w:t>
      </w:r>
    </w:p>
  </w:footnote>
  <w:footnote w:id="12">
    <w:p w14:paraId="4645AFF0" w14:textId="6C52A571" w:rsidR="0057163C" w:rsidRDefault="00F37BF9">
      <w:pPr>
        <w:pStyle w:val="FootnoteText"/>
        <w:ind w:left="0" w:firstLine="0"/>
      </w:pPr>
      <w:r w:rsidRPr="001F2F9F">
        <w:rPr>
          <w:rStyle w:val="FootnoteReference"/>
        </w:rPr>
        <w:footnoteRef/>
      </w:r>
      <w:r>
        <w:t xml:space="preserve"> Dieser Ausschluss gilt nicht für Maßnahmen in Anlagen, die ausschließlich der Beh</w:t>
      </w:r>
      <w:r>
        <w:t>andlung nicht rezyklierbarer gefährlicher Abfälle dienen, und für bestehende Anlagen, wenn die Maßnahmen der Steigerung der Energieeffizienz, der Abscheidung von Abgasen zur Lagerung oder Verwendung oder der Rückgewinnung von Materialien aus Verbrennungsas</w:t>
      </w:r>
      <w:r>
        <w:t>che dienen, sofern diese Maßnahmen nicht zu einer Erhöhung der Abfallbehandlungskapazität der Anlagen oder zu einer Verlängerung der Lebensdauer der Anlagen führen; für die Nachweise auf Anlagenebene vorgelegt werden</w:t>
      </w:r>
    </w:p>
  </w:footnote>
  <w:footnote w:id="13">
    <w:p w14:paraId="7A7B606D" w14:textId="77777777" w:rsidR="0057163C" w:rsidRDefault="00F37BF9">
      <w:pPr>
        <w:pStyle w:val="FootnoteText"/>
        <w:ind w:left="0" w:firstLine="0"/>
      </w:pPr>
      <w:r w:rsidRPr="001F2F9F">
        <w:rPr>
          <w:rStyle w:val="FootnoteReference"/>
        </w:rPr>
        <w:footnoteRef/>
      </w:r>
      <w:r>
        <w:t xml:space="preserve"> Dieser Ausschluss gilt nicht für Maßn</w:t>
      </w:r>
      <w:r>
        <w:t>ahmen in bestehenden mechanisch-biologischen Behandlungsanlagen, bei denen die Maßnahmen der Steigerung der Energieeffizienz oder der Nachrüstung getrennter Abfälle für die Kompostierung von Bioabfällen und der anaeroben Vergärung von Bioabfällen dienen, s</w:t>
      </w:r>
      <w:r>
        <w:t>ofern diese Maßnahmen nicht zu einer Erhöhung der Abfallbehandlungskapazität der Anlagen oder zu einer Verlängerung der Lebensdauer der Anlagen führen; für die Nachweise auf Anlagenebene vorgelegt werden</w:t>
      </w:r>
    </w:p>
  </w:footnote>
  <w:footnote w:id="14">
    <w:p w14:paraId="368C5BB4" w14:textId="77777777" w:rsidR="0057163C" w:rsidRDefault="00F37BF9">
      <w:pPr>
        <w:pStyle w:val="FootnoteText"/>
        <w:ind w:left="0" w:firstLine="0"/>
      </w:pPr>
      <w:r w:rsidRPr="001F2F9F">
        <w:rPr>
          <w:rStyle w:val="FootnoteReference"/>
        </w:rPr>
        <w:footnoteRef/>
      </w:r>
      <w:r>
        <w:t xml:space="preserve"> Ausgenommen sind a) Projekte im Rahmen dieser Maßn</w:t>
      </w:r>
      <w:r>
        <w:t>ahme im Bereich der Strom- und/oder Wärmeerzeugung sowie die damit verbundene Fernleitungs- und Verteilungsinfrastruktur, bei denen Erdgas verwendet wird und die die Bedingungen in Anhang III der Technischen Leitlinien „Vermeidung erheblicher Beeinträchtig</w:t>
      </w:r>
      <w:r>
        <w:t>ungen“ (2021/C58/01) erfüllen, und b) Tätigkeiten und Vermögenswerte gemäß Ziffer ii, bei denen die Nutzung fossiler Brennstoffe vorübergehend und technisch für den rechtzeitigen Übergang zu einem Betrieb ohne fossile Brennstoffe unvermeidbar ist.</w:t>
      </w:r>
    </w:p>
  </w:footnote>
  <w:footnote w:id="15">
    <w:p w14:paraId="41A6E0F5" w14:textId="77777777" w:rsidR="0057163C" w:rsidRDefault="00F37BF9">
      <w:pPr>
        <w:pStyle w:val="FootnoteText"/>
        <w:ind w:left="0" w:firstLine="0"/>
      </w:pPr>
      <w:r w:rsidRPr="001F2F9F">
        <w:rPr>
          <w:rStyle w:val="FootnoteReference"/>
        </w:rPr>
        <w:footnoteRef/>
      </w:r>
      <w:r>
        <w:t xml:space="preserve"> Erreic</w:t>
      </w:r>
      <w:r>
        <w:t>ht die geförderte Tätigkeit prognostizierte Treibhausgasemissionen, die nicht wesentlich niedriger sind als die einschlägigen Benchmarks, sollte erläutert werden, warum dies nicht möglich ist. Die Richtwerte für die kostenlose Zuteilung von Zertifikaten fü</w:t>
      </w:r>
      <w:r>
        <w:t>r Tätigkeiten, die unter das Emissionshandelssystem fallen, sind in der Durchführungsverordnung (EU) 2021/447 der Kommission festgelegt.</w:t>
      </w:r>
    </w:p>
  </w:footnote>
  <w:footnote w:id="16">
    <w:p w14:paraId="3A10E54E"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ausschließlich der Behandlung ni</w:t>
      </w:r>
      <w:r>
        <w:t>cht rezyklierbarer gefährlicher Abfälle dienen, und für bestehende Anlagen, wenn die Maßnahmen im Rahmen dieser Maßnahme der Steigerung der Energieeffizienz, der Abscheidung von Abgasen zur Lagerung oder Verwendung oder der Rückgewinnung von Materialien au</w:t>
      </w:r>
      <w:r>
        <w:t>s Verbrennungsasche dienen, sofern diese Maßnahmen im Rahmen dieser Maßnahme nicht zu einer Erhöhung der Abfallbehandlungskapazitäten der Anlagen oder zu einer Verlängerung der Lebensdauer der Anlagen führen; für die Nachweise auf Anlagenebene erbracht wer</w:t>
      </w:r>
      <w:r>
        <w:t>den.</w:t>
      </w:r>
    </w:p>
  </w:footnote>
  <w:footnote w:id="17">
    <w:p w14:paraId="3539B40F"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Behandlung, bei denen die Maßnahmen im Rahmen dieser Maßnahme der Steigerung der Energieeffizienz oder der Nachrüstung von getren</w:t>
      </w:r>
      <w:r>
        <w:t>nten Abfällen zur Kompostierung von Bioabfällen und der anaeroben Vergärung von Bioabfällen dienen, sofern diese Maßnahmen im Rahmen dieser Maßnahme nicht zu einer Erhöhung der Abfallaufbereitungskapazität der Anlagen oder zu einer Verlängerung der Lebensd</w:t>
      </w:r>
      <w:r>
        <w:t>auer der Anlagen führen; für die Nachweise auf Anlagenebene erbracht werden.</w:t>
      </w:r>
    </w:p>
  </w:footnote>
  <w:footnote w:id="18">
    <w:p w14:paraId="01BD6B4F" w14:textId="42D72CD5" w:rsidR="0057163C" w:rsidRDefault="00F37BF9">
      <w:pPr>
        <w:pStyle w:val="FootnoteText"/>
        <w:ind w:left="0" w:firstLine="0"/>
      </w:pPr>
      <w:r w:rsidRPr="001F2F9F">
        <w:rPr>
          <w:rStyle w:val="FootnoteReference"/>
        </w:rPr>
        <w:footnoteRef/>
      </w:r>
      <w:r>
        <w:t xml:space="preserve"> Ausgenommen sind a) Projekte im Rahmen dieser Maßnahme im Bereich der Strom- und/oder Wärmeerzeugung sowie die damit verbundene Fernleitungs- und Verteilungsinfrastruktur, bei d</w:t>
      </w:r>
      <w:r>
        <w:t>enen Erdgas verwendet wird und die die Bedingungen in Anhang III der Technischen Leitlinien „Vermeidung erheblicher Beeinträchtigungen“ (2021/C58/01) erfüllen, und b) Tätigkeiten und Vermögenswerte gemäß Ziffer ii, bei denen die Nutzung fossiler Brennstoff</w:t>
      </w:r>
      <w:r>
        <w:t>e vorübergehend und technisch für den rechtzeitigen Übergang zu einem Betrieb ohne fossile Brennstoffe unvermeidbar ist.</w:t>
      </w:r>
    </w:p>
  </w:footnote>
  <w:footnote w:id="19">
    <w:p w14:paraId="5ACA7097" w14:textId="77777777" w:rsidR="0057163C" w:rsidRDefault="00F37BF9">
      <w:pPr>
        <w:pStyle w:val="FootnoteText"/>
        <w:ind w:left="0" w:firstLine="0"/>
      </w:pPr>
      <w:r w:rsidRPr="001F2F9F">
        <w:rPr>
          <w:rStyle w:val="FootnoteReference"/>
        </w:rPr>
        <w:footnoteRef/>
      </w:r>
      <w:r>
        <w:t xml:space="preserve"> Erreicht die geförderte Tätigkeit prognostizierte Treibhausgasemissionen, die nicht wesentlich niedriger sind als die einschlägigen B</w:t>
      </w:r>
      <w:r>
        <w:t>enchmarks, sollte erläutert werden, warum dies nicht möglich ist. Die Richtwerte für die kostenlose Zuteilung von Zertifikaten für Tätigkeiten, die unter das Emissionshandelssystem fallen, sind in der Durchführungsverordnung (EU) 2021/447 der Kommission fe</w:t>
      </w:r>
      <w:r>
        <w:t>stgelegt.</w:t>
      </w:r>
    </w:p>
  </w:footnote>
  <w:footnote w:id="20">
    <w:p w14:paraId="234E4838" w14:textId="09192011"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ausschließlich der Behandlung nicht rezyklierbarer gefährlicher Abfälle dienen, und für bestehende Anlagen, wenn die Maßnahmen im Rahmen dieser Maßnahme der St</w:t>
      </w:r>
      <w:r>
        <w:t>eigerung der Energieeffizienz, der Abscheidung von Abgasen zur Lagerung oder Verwendung oder der Rückgewinnung von Materialien aus Verbrennungsasche dienen, sofern diese Maßnahmen im Rahmen dieser Maßnahme nicht zu einer Erhöhung der Abfallbehandlungskapaz</w:t>
      </w:r>
      <w:r>
        <w:t>itäten der Anlagen oder zu einer Verlängerung der Lebensdauer der Anlagen führen; für die Nachweise auf Anlagenebene erbracht werden.</w:t>
      </w:r>
    </w:p>
  </w:footnote>
  <w:footnote w:id="21">
    <w:p w14:paraId="0D356463"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w:t>
      </w:r>
      <w:r>
        <w:t>Behandlung, bei denen die Maßnahmen im Rahmen dieser Maßnahme der Steigerung der Energieeffizienz oder der Nachrüstung von getrennten Abfällen zur Kompostierung von Bioabfällen und der anaeroben Vergärung von Bioabfällen dienen, sofern diese Maßnahmen im R</w:t>
      </w:r>
      <w:r>
        <w:t>ahmen dieser Maßnahme nicht zu einer Erhöhung der Abfallaufbereitungskapazität der Anlagen oder zu einer Verlängerung der Lebensdauer der Anlagen führen; für die Nachweise auf Anlagenebene erbracht werden.</w:t>
      </w:r>
    </w:p>
  </w:footnote>
  <w:footnote w:id="22">
    <w:p w14:paraId="59A3E652" w14:textId="017732FB" w:rsidR="0057163C" w:rsidRDefault="00F37BF9">
      <w:pPr>
        <w:pStyle w:val="FootnoteText"/>
        <w:ind w:left="0" w:firstLine="0"/>
      </w:pPr>
      <w:r w:rsidRPr="001F2F9F">
        <w:rPr>
          <w:rStyle w:val="FootnoteReference"/>
        </w:rPr>
        <w:footnoteRef/>
      </w:r>
      <w:r>
        <w:t xml:space="preserve"> Mit Ausnahme von a) Anlagen und Tätigkeiten im B</w:t>
      </w:r>
      <w:r>
        <w:t>ereich der Strom- und/oder Wärmeerzeugung sowie der damit verbundenen Fernleitungs- und Verteilungsinfrastruktur, die Erdgas nutzen, die die Bedingungen in Anhang III der Technischen Leitlinien „Vermeidung erheblicher Beeinträchtigungen“ (2021/C58/01) erfü</w:t>
      </w:r>
      <w:r>
        <w:t>llen, und b) Tätigkeiten und Vermögenswerte gemäß Ziffer ii, bei denen die Nutzung fossiler Brennstoffe vorübergehend und technisch für den rechtzeitigen Übergang zu einem Betrieb ohne fossile Brennstoffe unvermeidbar ist.</w:t>
      </w:r>
    </w:p>
  </w:footnote>
  <w:footnote w:id="23">
    <w:p w14:paraId="5EDBC356" w14:textId="43276090" w:rsidR="0057163C" w:rsidRDefault="00F37BF9">
      <w:pPr>
        <w:pStyle w:val="FootnoteText"/>
        <w:ind w:left="0" w:firstLine="0"/>
      </w:pPr>
      <w:r w:rsidRPr="001F2F9F">
        <w:rPr>
          <w:rStyle w:val="FootnoteReference"/>
        </w:rPr>
        <w:footnoteRef/>
      </w:r>
      <w:r>
        <w:t xml:space="preserve"> Wenn mit der geförderten Tätigk</w:t>
      </w:r>
      <w:r>
        <w:t>eit prognostizierte Treibhausgasemissionen erreicht werden, die nicht wesentlich unter den einschlägigen Referenzwerten liegen, ist zu erläutern, warum dies nicht möglich ist. Benchmarks für die kostenlose Zuteilung für Tätigkeiten, die in den Anwendungsbe</w:t>
      </w:r>
      <w:r>
        <w:t>reich des Emissionshandelssystems fallen, gemäß der Durchführungsverordnung (EU) 2021/447 der Kommission</w:t>
      </w:r>
    </w:p>
  </w:footnote>
  <w:footnote w:id="24">
    <w:p w14:paraId="4F5613C7" w14:textId="67FD14AF"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ausschließlich der Behandlung nicht rezyklierbarer gefährlicher </w:t>
      </w:r>
      <w:r>
        <w:t>Abfälle dienen, und für bestehende Anlagen, wenn die Maßnahmen im Rahmen dieser Maßnahme der Steigerung der Energieeffizienz, der Abscheidung von Abgasen zur Lagerung oder Verwendung oder der Rückgewinnung von Materialien aus Verbrennungsasche dienen, sofe</w:t>
      </w:r>
      <w:r>
        <w:t>rn diese Maßnahmen im Rahmen dieser Maßnahme nicht zu einer Erhöhung der Abfallbehandlungskapazitäten der Anlagen oder zu einer Verlängerung der Lebensdauer der Anlagen führen; für die Nachweise auf Anlagenebene erbracht werden. </w:t>
      </w:r>
    </w:p>
  </w:footnote>
  <w:footnote w:id="25">
    <w:p w14:paraId="2358574C" w14:textId="72CD2514" w:rsidR="0057163C" w:rsidRDefault="00F37BF9">
      <w:pPr>
        <w:pStyle w:val="FootnoteText"/>
        <w:ind w:left="0" w:firstLine="0"/>
      </w:pPr>
      <w:r w:rsidRPr="001F2F9F">
        <w:rPr>
          <w:rStyle w:val="FootnoteReference"/>
        </w:rPr>
        <w:footnoteRef/>
      </w:r>
      <w:r>
        <w:t xml:space="preserve"> Dieser Ausschluss gilt n</w:t>
      </w:r>
      <w:r>
        <w:t>icht für Maßnahmen im Rahmen dieser Maßnahme in bestehenden Anlagen zur mechanisch-biologischen Behandlung, bei denen die Maßnahmen im Rahmen dieser Maßnahme der Steigerung der Energieeffizienz oder der Nachrüstung von getrennten Abfällen zur Kompostierung</w:t>
      </w:r>
      <w:r>
        <w:t xml:space="preserve"> von Bioabfällen und der anaeroben Vergärung von Bioabfällen dienen, sofern diese Maßnahmen im Rahmen dieser Maßnahme nicht zu einer Erhöhung der Abfallaufbereitungskapazität der Anlagen oder zu einer Verlängerung der Lebensdauer der Anlagen führen; für di</w:t>
      </w:r>
      <w:r>
        <w:t>e Nachweise auf Anlagenebene erbracht werden. </w:t>
      </w:r>
    </w:p>
  </w:footnote>
  <w:footnote w:id="26">
    <w:p w14:paraId="085F4836" w14:textId="24C59B28" w:rsidR="0057163C" w:rsidRDefault="00F37BF9">
      <w:pPr>
        <w:pStyle w:val="FootnoteText"/>
        <w:ind w:left="0" w:firstLine="0"/>
      </w:pPr>
      <w:r w:rsidRPr="001F2F9F">
        <w:rPr>
          <w:rStyle w:val="FootnoteReference"/>
        </w:rPr>
        <w:footnoteRef/>
      </w:r>
      <w:r>
        <w:t xml:space="preserve"> Endempfänger, die mit spezifischen Projekten assoziiert sind, müssen für jedes geförderte Projekt eine Begründung des ausgewählten Interventionsbereichs zusammen mit einer Beschreibung des Projekts für die Z</w:t>
      </w:r>
      <w:r>
        <w:t>wecke der Berechnung des Klimabeitrags vorlegen. Für die Zwecke der Berechnung des Klimabeitrags müssen die Endempfänger von Beteiligungskapital, beteiligungsähnlichen Anleihen, Unternehmensanleihen oder gleichwertigen Instrumenten, die nicht auf spezifisc</w:t>
      </w:r>
      <w:r>
        <w:t>he Projekte ausgerichtet sind, eine Begründung für den/die ausgewählten Interventionsbereich(e) vorlegen. Der Durchführungspartner ist ferner verpflichtet, dem Mitgliedstaat halbjährlich einen Bericht über die Durchführung jedes Projekts/jeder Tätigkeit vo</w:t>
      </w:r>
      <w:r>
        <w:t>rzulegen.</w:t>
      </w:r>
    </w:p>
  </w:footnote>
  <w:footnote w:id="27">
    <w:p w14:paraId="39AD15BC" w14:textId="6001C0E1" w:rsidR="0057163C" w:rsidRDefault="00F37BF9">
      <w:pPr>
        <w:pStyle w:val="FootnoteText"/>
        <w:ind w:left="0" w:firstLine="0"/>
      </w:pPr>
      <w:r w:rsidRPr="001F2F9F">
        <w:rPr>
          <w:rStyle w:val="FootnoteReference"/>
        </w:rPr>
        <w:footnoteRef/>
      </w:r>
      <w:r>
        <w:t xml:space="preserve"> Mit Ausnahme von a) Anlagen und Tätigkeiten im Bereich der Strom- und/oder Wärmeerzeugung sowie der damit verbundenen Fernleitungs- und Verteilungsinfrastruktur, die Erdgas nutzen, die die Bedingungen in Anhang III der Technischen Leitlinien „V</w:t>
      </w:r>
      <w:r>
        <w:t>ermeidung erheblicher Beeinträchtigungen“ (2021/C58/01) erfüllen, und b) Tätigkeiten und Vermögenswerte gemäß Ziffer ii, bei denen die Nutzung fossiler Brennstoffe vorübergehend und technisch für den rechtzeitigen Übergang zu einem Betrieb ohne fossile Bre</w:t>
      </w:r>
      <w:r>
        <w:t>nnstoffe unvermeidbar ist.</w:t>
      </w:r>
    </w:p>
  </w:footnote>
  <w:footnote w:id="28">
    <w:p w14:paraId="39EA8B56" w14:textId="6E27082C" w:rsidR="0057163C" w:rsidRDefault="00F37BF9">
      <w:pPr>
        <w:pStyle w:val="FootnoteText"/>
        <w:ind w:left="0" w:firstLine="0"/>
      </w:pPr>
      <w:r w:rsidRPr="001F2F9F">
        <w:rPr>
          <w:rStyle w:val="FootnoteReference"/>
        </w:rPr>
        <w:footnoteRef/>
      </w:r>
      <w:r>
        <w:t xml:space="preserve"> Wenn mit der geförderten Tätigkeit prognostizierte Treibhausgasemissionen erreicht werden, die nicht wesentlich unter den einschlägigen Referenzwerten liegen, ist zu erläutern, warum dies nicht möglich ist. Benchmarks für die </w:t>
      </w:r>
      <w:r>
        <w:t>kostenlose Zuteilung für Tätigkeiten, die in den Anwendungsbereich des Emissionshandelssystems fallen, gemäß der Durchführungsverordnung (EU) 2021/447 der Kommission</w:t>
      </w:r>
    </w:p>
  </w:footnote>
  <w:footnote w:id="29">
    <w:p w14:paraId="270AFB94" w14:textId="4762D7C7"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w:t>
      </w:r>
      <w:r>
        <w:t>schließlich der Behandlung nicht rezyklierbarer gefährlicher Abfälle dienen, und für bestehende Anlagen, wenn die Maßnahmen im Rahmen dieser Maßnahme der Steigerung der Energieeffizienz, der Abscheidung von Abgasen zur Lagerung oder Verwendung oder der Rüc</w:t>
      </w:r>
      <w:r>
        <w:t xml:space="preserve">kgewinnung von Materialien aus Verbrennungsasche dienen, sofern diese Maßnahmen im Rahmen dieser Maßnahme nicht zu einer Erhöhung der Abfallbehandlungskapazitäten der Anlagen oder zu einer Verlängerung der Lebensdauer der Anlagen führen; für die Nachweise </w:t>
      </w:r>
      <w:r>
        <w:t>auf Anlagenebene erbracht werden. </w:t>
      </w:r>
    </w:p>
  </w:footnote>
  <w:footnote w:id="30">
    <w:p w14:paraId="712803BE" w14:textId="0176D412"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Behandlung, bei denen die Maßnahmen im Rahmen dieser Maßnahme der Steigerung der Energieeffizienz o</w:t>
      </w:r>
      <w:r>
        <w:t xml:space="preserve">der der Nachrüstung von getrennten Abfällen zur Kompostierung von Bioabfällen und der anaeroben Vergärung von Bioabfällen dienen, sofern diese Maßnahmen im Rahmen dieser Maßnahme nicht zu einer Erhöhung der Abfallaufbereitungskapazität der Anlagen oder zu </w:t>
      </w:r>
      <w:r>
        <w:t xml:space="preserve">einer Verlängerung der Lebensdauer der Anlagen führen; für die Nachweise auf Anlagenebene erbracht werden.  </w:t>
      </w:r>
    </w:p>
  </w:footnote>
  <w:footnote w:id="31">
    <w:p w14:paraId="6FBE0893" w14:textId="4BDE0727" w:rsidR="0057163C" w:rsidRDefault="00F37BF9">
      <w:pPr>
        <w:pStyle w:val="FootnoteText"/>
        <w:ind w:left="0" w:firstLine="0"/>
      </w:pPr>
      <w:r w:rsidRPr="001F2F9F">
        <w:rPr>
          <w:rStyle w:val="FootnoteReference"/>
        </w:rPr>
        <w:footnoteRef/>
      </w:r>
      <w:r>
        <w:t xml:space="preserve"> Endempfänger, die mit spezifischen Projekten assoziiert sind, müssen für jedes geförderte Projekt eine Begründung des ausgewählten Interventionsb</w:t>
      </w:r>
      <w:r>
        <w:t>ereichs zusammen mit einer Beschreibung des Projekts für die Zwecke der Berechnung des Klimabeitrags vorlegen. Für die Zwecke der Berechnung des Klimabeitrags müssen die Endempfänger von Beteiligungskapital, beteiligungsähnlichen Anleihen, Unternehmensanle</w:t>
      </w:r>
      <w:r>
        <w:t>ihen oder gleichwertigen Instrumenten, die nicht auf spezifische Projekte ausgerichtet sind, eine Begründung für den/die ausgewählten Interventionsbereich(e) vorlegen. Der Durchführungspartner ist ferner verpflichtet, dem Mitgliedstaat halbjährlich einen B</w:t>
      </w:r>
      <w:r>
        <w:t>ericht über die Durchführung jedes Projekts/jeder Tätigkeit vorzulegen.</w:t>
      </w:r>
    </w:p>
  </w:footnote>
  <w:footnote w:id="32">
    <w:p w14:paraId="5FEF3435" w14:textId="77777777" w:rsidR="0057163C" w:rsidRDefault="00F37BF9">
      <w:pPr>
        <w:pStyle w:val="FootnoteText"/>
        <w:ind w:left="0" w:firstLine="0"/>
        <w:rPr>
          <w:rStyle w:val="FootnoteReference"/>
          <w:vertAlign w:val="baseline"/>
        </w:rPr>
      </w:pPr>
      <w:r w:rsidRPr="001F2F9F">
        <w:rPr>
          <w:rStyle w:val="FootnoteReference"/>
        </w:rPr>
        <w:footnoteRef/>
      </w:r>
      <w:r>
        <w:rPr>
          <w:rStyle w:val="FootnoteReference"/>
        </w:rPr>
        <w:t xml:space="preserve"> </w:t>
      </w:r>
      <w:r>
        <w:t>Insbesondere umfasst die Obergrenze von 13 % nicht die mit der GTF verbundenen Erfolgsgebühren sowie sämtliche Kosten und Verwaltungsgebühren im Zusammenhang mit Drittmitteln.</w:t>
      </w:r>
    </w:p>
  </w:footnote>
  <w:footnote w:id="33">
    <w:p w14:paraId="76B2B589"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Style w:val="FootnoteReference"/>
          <w:vertAlign w:val="baseline"/>
        </w:rPr>
        <w:t>Insb</w:t>
      </w:r>
      <w:r>
        <w:rPr>
          <w:rStyle w:val="FootnoteReference"/>
          <w:vertAlign w:val="baseline"/>
        </w:rPr>
        <w:t>esondere wird der GTF im Falle von Direktinvestitionen durch Eigenkapital oder beteiligungsähnliche Unterstützung betrieben; bei indirekten Investitionen finanziert die GTF Mittel Dritter, die mindestens einen der folgenden Mittel bereitstellen: Beteiligun</w:t>
      </w:r>
      <w:r>
        <w:rPr>
          <w:rStyle w:val="FootnoteReference"/>
          <w:vertAlign w:val="baseline"/>
        </w:rPr>
        <w:t>gskapital, Quasi-Eigenkapital, Fremdkapital oder Quasi-Schuldtitel.</w:t>
      </w:r>
    </w:p>
  </w:footnote>
  <w:footnote w:id="34">
    <w:p w14:paraId="40EB3245"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Style w:val="FootnoteReference"/>
          <w:vertAlign w:val="baseline"/>
        </w:rPr>
        <w:t>Es wird davon ausgegangen, dass ein Endempfänger einen „wesentlichen Schwerpunkt“ auf einen Sektor oder eine Geschäftstätigkeit hat, wenn dieser Sektor oder diese Tätigkeit im Verhältnis</w:t>
      </w:r>
      <w:r>
        <w:rPr>
          <w:rStyle w:val="FootnoteReference"/>
          <w:vertAlign w:val="baseline"/>
        </w:rPr>
        <w:t xml:space="preserve"> zu den Bruttoeinnahmen, dem Gewinn oder der Kundenbasis des Endbegünstigten als wesentlicher Teil der Geschäftstätigkeit des Endbegünstigten ermittelt wird. Die Bruttoeinnahmen aus dem beschränkten Sektor oder der beschränkten Tätigkeit dürfen in keinem F</w:t>
      </w:r>
      <w:r>
        <w:rPr>
          <w:rStyle w:val="FootnoteReference"/>
          <w:vertAlign w:val="baseline"/>
        </w:rPr>
        <w:t>all 50 % der Bruttoeinnahmen übersteigen.</w:t>
      </w:r>
    </w:p>
  </w:footnote>
  <w:footnote w:id="35">
    <w:p w14:paraId="19F45151"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t>Mit Ausnahme von a) Anlagen und Tätigkeiten im Bereich der Strom- und/oder Wärmeerzeugung sowie der damit verbundenen Fernleitungs- und Verteilungsinfrastruktur, die Erdgas nutzen, die die Bedingungen in Anhang I</w:t>
      </w:r>
      <w:r>
        <w:t>II der Technischen Leitlinien „Vermeidung erheblicher Beeinträchtigungen“ (2021/C58/01) erfüllen, und b) Tätigkeiten und Vermögenswerte gemäß Ziffer ii, bei denen die Nutzung fossiler Brennstoffe vorübergehend und technisch für den rechtzeitigen Übergang z</w:t>
      </w:r>
      <w:r>
        <w:t>u einem Betrieb ohne fossile Brennstoffe unvermeidbar ist.</w:t>
      </w:r>
    </w:p>
  </w:footnote>
  <w:footnote w:id="36">
    <w:p w14:paraId="4CE05882"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Fonts w:eastAsia="EC Square Sans Pro"/>
        </w:rPr>
        <w:t xml:space="preserve">Einschließlich Tätigkeiten und Vermögenswerten im Rahmen des EU-Emissionshandelssystems (EHS), mit denen prognostizierte Treibhausgasemissionen erreicht werden, die nicht unter den einschlägigen </w:t>
      </w:r>
      <w:r>
        <w:rPr>
          <w:rFonts w:eastAsia="EC Square Sans Pro"/>
        </w:rPr>
        <w:t>Referenzwerten liegen. Wenn mit der geförderten Tätigkeit prognostizierte Treibhausgasemissionen erreicht werden, die nicht wesentlich unter den einschlägigen Referenzwerten liegen, ist zu erläutern, warum dies nicht möglich ist. Die Richtwerte für die kos</w:t>
      </w:r>
      <w:r>
        <w:rPr>
          <w:rFonts w:eastAsia="EC Square Sans Pro"/>
        </w:rPr>
        <w:t>tenlose Zuteilung von Zertifikaten für Tätigkeiten, die unter das Emissionshandelssystem fallen, sind in der Durchführungsverordnung (EU) 2021/447 der Kommission festgelegt.</w:t>
      </w:r>
    </w:p>
  </w:footnote>
  <w:footnote w:id="37">
    <w:p w14:paraId="55B04306"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Fonts w:eastAsia="EC Square Sans Pro"/>
        </w:rPr>
        <w:t>Umweltschädliche Fahrzeuge werden als nicht emissionsfreie Fahrzeuge definiert.</w:t>
      </w:r>
    </w:p>
  </w:footnote>
  <w:footnote w:id="38">
    <w:p w14:paraId="6608282D" w14:textId="77777777" w:rsidR="0057163C" w:rsidRDefault="00F37BF9">
      <w:pPr>
        <w:pStyle w:val="FootnoteText"/>
        <w:ind w:left="0" w:firstLine="0"/>
      </w:pPr>
      <w:r w:rsidRPr="001F2F9F">
        <w:rPr>
          <w:rStyle w:val="FootnoteReference"/>
        </w:rPr>
        <w:footnoteRef/>
      </w:r>
      <w:r>
        <w:rPr>
          <w:rStyle w:val="FootnoteReference"/>
        </w:rPr>
        <w:t xml:space="preserve"> </w:t>
      </w:r>
      <w:r>
        <w:rPr>
          <w:rFonts w:eastAsia="EC Square Sans Pro"/>
        </w:rPr>
        <w:t>Dieser Ausschluss gilt nicht für Maßnahmen in Anlagen, die ausschließlich der Behandlung nicht rezyklierbarer gefährlicher Abfälle dienen, und für bestehende Anlagen, in denen die Maßnahmen im Rahmen dieser Maßnahme dem Zweck dienen, die Energieeffizienz</w:t>
      </w:r>
      <w:r>
        <w:rPr>
          <w:rFonts w:eastAsia="EC Square Sans Pro"/>
        </w:rPr>
        <w:t xml:space="preserve"> zu erhöhen, Abgase für die Lagerung oder Verwendung oder die Verwertung von Materialien aus Verbrennungsasche zu erfassen, sofern diese Maßnahmen im Rahmen dieser Maßnahme nicht zu einer Erhöhung der Abfallbehandlungskapazität der Anlagen oder zu einer Ve</w:t>
      </w:r>
      <w:r>
        <w:rPr>
          <w:rFonts w:eastAsia="EC Square Sans Pro"/>
        </w:rPr>
        <w:t>rlängerung der Lebensdauer der Anlagen führen; für die Nachweise auf Anlagenebene erbracht werden.</w:t>
      </w:r>
    </w:p>
  </w:footnote>
  <w:footnote w:id="39">
    <w:p w14:paraId="473DA147" w14:textId="77777777" w:rsidR="0057163C" w:rsidRDefault="00F37BF9">
      <w:pPr>
        <w:pStyle w:val="FootnoteText"/>
      </w:pPr>
      <w:r w:rsidRPr="001F2F9F">
        <w:rPr>
          <w:rStyle w:val="FootnoteReference"/>
        </w:rPr>
        <w:footnoteRef/>
      </w:r>
      <w:r>
        <w:t xml:space="preserve"> Im Einklang mit dem Interventionsbereich 72a des Anhangs VI der Verordnung (EU) 2021/241 gilt sie auch für Zwei-Zugzüge.</w:t>
      </w:r>
    </w:p>
  </w:footnote>
  <w:footnote w:id="40">
    <w:p w14:paraId="31AC05CF" w14:textId="25C74B52" w:rsidR="0057163C" w:rsidRDefault="00F37BF9">
      <w:pPr>
        <w:pStyle w:val="FootnoteText"/>
        <w:ind w:left="0" w:firstLine="0"/>
      </w:pPr>
      <w:r w:rsidRPr="001F2F9F">
        <w:rPr>
          <w:rStyle w:val="FootnoteReference"/>
        </w:rPr>
        <w:footnoteRef/>
      </w:r>
      <w:r>
        <w:t xml:space="preserve"> Endempfänger, die mit spezifisch</w:t>
      </w:r>
      <w:r>
        <w:t>en Projekten assoziiert sind, müssen für jedes geförderte Projekt eine Begründung des ausgewählten Interventionsbereichs zusammen mit einer Beschreibung des Projekts für die Zwecke der Berechnung des Klimabeitrags vorlegen. Für die Zwecke der Berechnung de</w:t>
      </w:r>
      <w:r>
        <w:t>s Klimabeitrags müssen die Endempfänger von Beteiligungskapital, beteiligungsähnlichen Anleihen, Unternehmensanleihen oder gleichwertigen Instrumenten, die nicht auf spezifische Projekte ausgerichtet sind, eine Begründung für den/die ausgewählten Intervent</w:t>
      </w:r>
      <w:r>
        <w:t>ionsbereich(e) vorlegen. Der Durchführungspartner ist ferner verpflichtet, dem Mitgliedstaat halbjährlich einen Bericht über die Durchführung jedes Projekts/jeder Tätigkeit vorzulegen.</w:t>
      </w:r>
    </w:p>
  </w:footnote>
  <w:footnote w:id="41">
    <w:p w14:paraId="2260F10B" w14:textId="77777777" w:rsidR="0057163C" w:rsidRDefault="00F37BF9">
      <w:pPr>
        <w:pStyle w:val="FootnoteText"/>
        <w:ind w:left="0" w:firstLine="0"/>
      </w:pPr>
      <w:r w:rsidRPr="001F2F9F">
        <w:rPr>
          <w:rStyle w:val="FootnoteReference"/>
          <w:rFonts w:eastAsia="Yu Gothic Light"/>
        </w:rPr>
        <w:footnoteRef/>
      </w:r>
      <w:r>
        <w:t xml:space="preserve"> Mit Ausnahme von a) Anlagen und Tätigkeiten im Bereich der Strom- und</w:t>
      </w:r>
      <w:r>
        <w:t>/oder Wärmeerzeugung sowie der damit verbundenen Fernleitungs- und Verteilungsinfrastruktur, die Erdgas nutzen, die die Bedingungen in Anhang III der Technischen Leitlinien „Vermeidung erheblicher Beeinträchtigungen“ (2021/C58/01) erfüllen, und b) Tätigkei</w:t>
      </w:r>
      <w:r>
        <w:t>ten und Vermögenswerte gemäß Ziffer ii, bei denen die Nutzung fossiler Brennstoffe vorübergehend und technisch für den rechtzeitigen Übergang zu einem Betrieb ohne fossile Brennstoffe unvermeidbar ist.</w:t>
      </w:r>
    </w:p>
  </w:footnote>
  <w:footnote w:id="42">
    <w:p w14:paraId="7C0BFB13" w14:textId="77777777" w:rsidR="0057163C" w:rsidRDefault="00F37BF9">
      <w:pPr>
        <w:pStyle w:val="FootnoteText"/>
        <w:ind w:left="0" w:firstLine="0"/>
        <w:rPr>
          <w:rFonts w:eastAsia="EC Square Sans Pro"/>
        </w:rPr>
      </w:pPr>
      <w:r w:rsidRPr="001F2F9F">
        <w:rPr>
          <w:rStyle w:val="FootnoteReference"/>
          <w:rFonts w:eastAsia="Yu Gothic Light"/>
        </w:rPr>
        <w:footnoteRef/>
      </w:r>
      <w:r>
        <w:t xml:space="preserve"> </w:t>
      </w:r>
      <w:r>
        <w:rPr>
          <w:rFonts w:eastAsia="EC Square Sans Pro"/>
        </w:rPr>
        <w:t>Wenn mit der geförderten Tätigkeit prognostizierte T</w:t>
      </w:r>
      <w:r>
        <w:rPr>
          <w:rFonts w:eastAsia="EC Square Sans Pro"/>
        </w:rPr>
        <w:t>reibhausgasemissionen erreicht werden, die nicht wesentlich unter den einschlägigen Referenzwerten liegen, ist zu erläutern, warum dies nicht möglich ist. Die Richtwerte für die kostenlose Zuteilung von Zertifikaten für Tätigkeiten, die unter das Emissions</w:t>
      </w:r>
      <w:r>
        <w:rPr>
          <w:rFonts w:eastAsia="EC Square Sans Pro"/>
        </w:rPr>
        <w:t xml:space="preserve">handelssystem fallen, sind in der Durchführungsverordnung (EU) 2021/447 der Kommission festgelegt. </w:t>
      </w:r>
    </w:p>
  </w:footnote>
  <w:footnote w:id="43">
    <w:p w14:paraId="72ABFE10" w14:textId="77777777" w:rsidR="0057163C" w:rsidRDefault="00F37BF9">
      <w:pPr>
        <w:pStyle w:val="FootnoteText"/>
        <w:ind w:left="0" w:firstLine="0"/>
      </w:pPr>
      <w:r w:rsidRPr="001F2F9F">
        <w:rPr>
          <w:rStyle w:val="FootnoteReference"/>
          <w:rFonts w:eastAsia="Yu Gothic Light"/>
        </w:rPr>
        <w:footnoteRef/>
      </w:r>
      <w:r>
        <w:t xml:space="preserve"> Dieser Ausschluss gilt nicht für Maßnahmen im Rahmen dieser Maßnahme in Anlagen, die ausschließlich der Behandlung nicht rezyklierbarer gefährlicher Abfäl</w:t>
      </w:r>
      <w:r>
        <w:t>le dienen, und für bestehende Anlagen, wenn die Maßnahmen im Rahmen dieser Maßnahme der Steigerung der Energieeffizienz, der Abscheidung von Abgasen zur Lagerung oder Verwendung oder der Rückgewinnung von Materialien aus Verbrennungsasche dienen, sofern di</w:t>
      </w:r>
      <w:r>
        <w:t>ese Maßnahmen im Rahmen dieser Maßnahme nicht zu einer Erhöhung der Abfallbehandlungskapazitäten der Anlagen oder zu einer Verlängerung der Lebensdauer der Anlagen führen; für die Nachweise auf Anlagenebene erbracht werden. </w:t>
      </w:r>
    </w:p>
  </w:footnote>
  <w:footnote w:id="44">
    <w:p w14:paraId="4B3E96E2" w14:textId="77777777" w:rsidR="0057163C" w:rsidRDefault="00F37BF9">
      <w:pPr>
        <w:pStyle w:val="FootnoteText"/>
        <w:ind w:left="0" w:firstLine="0"/>
      </w:pPr>
      <w:r w:rsidRPr="001F2F9F">
        <w:rPr>
          <w:rStyle w:val="FootnoteReference"/>
          <w:rFonts w:eastAsia="Yu Gothic Light"/>
        </w:rPr>
        <w:footnoteRef/>
      </w:r>
      <w:r>
        <w:t xml:space="preserve"> Dieser Ausschluss gilt nicht </w:t>
      </w:r>
      <w:r>
        <w:t xml:space="preserve">für Maßnahmen im Rahmen dieser Maßnahme in bestehenden Anlagen zur mechanisch-biologischen Behandlung, bei denen die Maßnahmen im Rahmen dieser Maßnahme der Steigerung der Energieeffizienz oder der Nachrüstung von getrennten Abfällen zur Kompostierung von </w:t>
      </w:r>
      <w:r>
        <w:t>Bioabfällen und der anaeroben Vergärung von Bioabfällen dienen, sofern diese Maßnahmen im Rahmen dieser Maßnahme nicht zu einer Erhöhung der Abfallaufbereitungskapazität der Anlagen oder zu einer Verlängerung der Lebensdauer der Anlagen führen; für die Nac</w:t>
      </w:r>
      <w:r>
        <w:t>hweise auf Anlagenebene erbracht werden. </w:t>
      </w:r>
    </w:p>
  </w:footnote>
  <w:footnote w:id="45">
    <w:p w14:paraId="2B1C95AF" w14:textId="77777777" w:rsidR="0057163C" w:rsidRDefault="00F37BF9">
      <w:pPr>
        <w:pStyle w:val="FootnoteText"/>
        <w:ind w:left="0" w:firstLine="0"/>
      </w:pPr>
      <w:r w:rsidRPr="001F2F9F">
        <w:rPr>
          <w:rStyle w:val="FootnoteReference"/>
        </w:rPr>
        <w:footnoteRef/>
      </w:r>
      <w:r>
        <w:t xml:space="preserve"> Endempfänger, die mit spezifischen Projekten assoziiert sind, müssen für jedes geförderte Projekt eine Begründung des ausgewählten Interventionsbereichs zusammen mit einer Beschreibung des Projekts für die Zwecke</w:t>
      </w:r>
      <w:r>
        <w:t xml:space="preserve"> der Berechnung des Klimabeitrags vorlegen. Für die Zwecke der Berechnung des Klimabeitrags müssen Endempfänger aus Eigenkapital, Quasi-Eigenkapital, Unternehmensanleihen oder gleichwertigen Instrumenten, die nicht auf spezifische Projekte ausgerichtet sin</w:t>
      </w:r>
      <w:r>
        <w:t>d, eine Begründung für den/die ausgewählten Interventionsbereich(e) vorlegen. Der Durchführungspartner ist ferner verpflichtet, dem Mitgliedstaat halbjährlich einen Bericht über die Durchführung jedes Projekts/jeder Tätigkeit vorzulegen.</w:t>
      </w:r>
    </w:p>
  </w:footnote>
  <w:footnote w:id="46">
    <w:p w14:paraId="2076CAB8" w14:textId="0FB6856E" w:rsidR="0057163C" w:rsidRDefault="00F37BF9">
      <w:pPr>
        <w:spacing w:after="0"/>
        <w:jc w:val="both"/>
        <w:rPr>
          <w:rFonts w:ascii="Times New Roman" w:hAnsi="Times New Roman" w:cs="Times New Roman"/>
          <w:sz w:val="20"/>
          <w:szCs w:val="20"/>
        </w:rPr>
      </w:pPr>
      <w:r w:rsidRPr="001F2F9F">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Ausgenommen a) </w:t>
      </w:r>
      <w:r>
        <w:rPr>
          <w:rFonts w:ascii="Times New Roman" w:hAnsi="Times New Roman" w:cs="Times New Roman"/>
          <w:sz w:val="20"/>
          <w:szCs w:val="20"/>
        </w:rPr>
        <w:t>Vermögenswerte und Tätigkeiten im Bereich der Strom- und/oder Wärmeerzeugung sowie damit verbundene Fernleitungs- und Verteilungsinfrastrukturen, die Erdgas nutzen, die den Bedingungen in Anhang III der Technischen Leitlinien „Vermeidung erheblicher Beeint</w:t>
      </w:r>
      <w:r>
        <w:rPr>
          <w:rFonts w:ascii="Times New Roman" w:hAnsi="Times New Roman" w:cs="Times New Roman"/>
          <w:sz w:val="20"/>
          <w:szCs w:val="20"/>
        </w:rPr>
        <w:t>rächtigungen“ (2021/C58/01) entsprechen, und b) Tätigkeiten und Vermögenswerte gemäß Ziffer ii, bei denen die Nutzung fossiler Brennstoffe vorübergehend und technisch für den rechtzeitigen Übergang zu einem Betrieb ohne fossile Brennstoffe unvermeidbar ist</w:t>
      </w:r>
      <w:r>
        <w:rPr>
          <w:rFonts w:ascii="Times New Roman" w:hAnsi="Times New Roman" w:cs="Times New Roman"/>
          <w:sz w:val="20"/>
          <w:szCs w:val="20"/>
        </w:rPr>
        <w:t>.</w:t>
      </w:r>
    </w:p>
  </w:footnote>
  <w:footnote w:id="47">
    <w:p w14:paraId="084BC864" w14:textId="678612A7" w:rsidR="0057163C" w:rsidRDefault="00F37BF9">
      <w:pPr>
        <w:spacing w:after="0"/>
        <w:jc w:val="both"/>
        <w:rPr>
          <w:rFonts w:ascii="Times New Roman" w:eastAsia="Aptos" w:hAnsi="Times New Roman" w:cs="Times New Roman"/>
          <w:sz w:val="20"/>
          <w:szCs w:val="20"/>
        </w:rPr>
      </w:pPr>
      <w:r w:rsidRPr="001F2F9F">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Wenn mit der geförderten Tätigkeit prognostizierte Treibhausgasemissionen erreicht werden, die nicht wesentlich unter den einschlägigen Referenzwerten liegen, ist zu erläutern, warum dies nicht möglich ist. Benchmarks für die kostenlose Zuteilung für T</w:t>
      </w:r>
      <w:r>
        <w:rPr>
          <w:rFonts w:ascii="Times New Roman" w:hAnsi="Times New Roman" w:cs="Times New Roman"/>
          <w:sz w:val="20"/>
          <w:szCs w:val="20"/>
        </w:rPr>
        <w:t>ätigkeiten, die in den Anwendungsbereich des Emissionshandelssystems fallen, gemäß der Durchführungsverordnung (EU) 2021/447 der Kommission</w:t>
      </w:r>
    </w:p>
  </w:footnote>
  <w:footnote w:id="48">
    <w:p w14:paraId="5E536C1C" w14:textId="68298A53" w:rsidR="0057163C" w:rsidRDefault="00F37BF9">
      <w:pPr>
        <w:spacing w:after="0"/>
        <w:jc w:val="both"/>
        <w:rPr>
          <w:rFonts w:ascii="Times New Roman" w:eastAsia="Aptos" w:hAnsi="Times New Roman" w:cs="Times New Roman"/>
          <w:sz w:val="20"/>
          <w:szCs w:val="20"/>
        </w:rPr>
      </w:pPr>
      <w:r w:rsidRPr="001F2F9F">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Dieser Ausschluss gilt nicht für Maßnahmen im Rahmen dieser Maßnahme in Anlagen, die ausschließlich der Behandlung</w:t>
      </w:r>
      <w:r>
        <w:rPr>
          <w:rFonts w:ascii="Times New Roman" w:hAnsi="Times New Roman" w:cs="Times New Roman"/>
          <w:sz w:val="20"/>
          <w:szCs w:val="20"/>
        </w:rPr>
        <w:t xml:space="preserve"> nicht rezyklierbarer gefährlicher Abfälle dienen, und für bestehende Anlagen, wenn die Maßnahmen im Rahmen dieser Maßnahme der Steigerung der Energieeffizienz, der Abscheidung von Abgasen zur Lagerung oder Verwendung oder der Rückgewinnung von Materialien</w:t>
      </w:r>
      <w:r>
        <w:rPr>
          <w:rFonts w:ascii="Times New Roman" w:hAnsi="Times New Roman" w:cs="Times New Roman"/>
          <w:sz w:val="20"/>
          <w:szCs w:val="20"/>
        </w:rPr>
        <w:t xml:space="preserve"> aus Verbrennungsasche dienen, sofern diese Maßnahmen im Rahmen dieser Maßnahme nicht zu einer Erhöhung der Abfallbehandlungskapazitäten der Anlagen oder zu einer Verlängerung der Lebensdauer der Anlagen führen; für die Nachweise auf Anlagenebene erbracht </w:t>
      </w:r>
      <w:r>
        <w:rPr>
          <w:rFonts w:ascii="Times New Roman" w:hAnsi="Times New Roman" w:cs="Times New Roman"/>
          <w:sz w:val="20"/>
          <w:szCs w:val="20"/>
        </w:rPr>
        <w:t>werden.</w:t>
      </w:r>
    </w:p>
  </w:footnote>
  <w:footnote w:id="49">
    <w:p w14:paraId="41674876" w14:textId="1CAC894A" w:rsidR="0057163C" w:rsidRDefault="00F37BF9">
      <w:pPr>
        <w:spacing w:after="0"/>
        <w:jc w:val="both"/>
        <w:rPr>
          <w:rFonts w:ascii="Aptos" w:eastAsia="Aptos" w:hAnsi="Aptos" w:cs="Aptos"/>
        </w:rPr>
      </w:pPr>
      <w:r w:rsidRPr="001F2F9F">
        <w:rPr>
          <w:rStyle w:val="FootnoteReference"/>
          <w:rFonts w:ascii="Times New Roman" w:eastAsia="Times New Roman" w:hAnsi="Times New Roman" w:cs="Times New Roman"/>
          <w:sz w:val="20"/>
          <w:szCs w:val="20"/>
        </w:rPr>
        <w:footnoteRef/>
      </w:r>
      <w:r>
        <w:rPr>
          <w:rFonts w:ascii="Times New Roman" w:hAnsi="Times New Roman" w:cs="Times New Roman"/>
          <w:sz w:val="20"/>
          <w:szCs w:val="20"/>
        </w:rPr>
        <w:t xml:space="preserve"> Dieser Ausschluss gilt nicht für Maßnahmen im Rahmen dieser Maßnahme in bestehenden Anlagen zur mechanisch-biologischen Behandlung, bei denen die Maßnahmen im Rahmen dieser Maßnahme der Steigerung der Energieeffizienz oder der Nachrüstung von get</w:t>
      </w:r>
      <w:r>
        <w:rPr>
          <w:rFonts w:ascii="Times New Roman" w:hAnsi="Times New Roman" w:cs="Times New Roman"/>
          <w:sz w:val="20"/>
          <w:szCs w:val="20"/>
        </w:rPr>
        <w:t>rennten Abfällen zur Kompostierung von Bioabfällen und der anaeroben Vergärung von Bioabfällen dienen, sofern diese Maßnahmen im Rahmen dieser Maßnahme nicht zu einer Erhöhung der Abfallaufbereitungskapazität der Anlagen oder zu einer Verlängerung der Lebe</w:t>
      </w:r>
      <w:r>
        <w:rPr>
          <w:rFonts w:ascii="Times New Roman" w:hAnsi="Times New Roman" w:cs="Times New Roman"/>
          <w:sz w:val="20"/>
          <w:szCs w:val="20"/>
        </w:rPr>
        <w:t>nsdauer der Anlagen führen; für die Nachweise auf Anlagenebene erbracht werden.</w:t>
      </w:r>
      <w:r>
        <w:rPr>
          <w:rFonts w:ascii="Calibri" w:eastAsia="Calibri" w:hAnsi="Calibri" w:cs="Calibri"/>
        </w:rPr>
        <w:t> </w:t>
      </w:r>
    </w:p>
  </w:footnote>
  <w:footnote w:id="50">
    <w:p w14:paraId="59EE7A40" w14:textId="77777777" w:rsidR="0057163C" w:rsidRDefault="0057163C">
      <w:pPr>
        <w:pStyle w:val="FootnoteText"/>
        <w:ind w:left="0" w:firstLine="0"/>
      </w:pPr>
    </w:p>
    <w:p w14:paraId="2CD4D05A" w14:textId="0732CD84" w:rsidR="0057163C" w:rsidRDefault="00F37BF9">
      <w:pPr>
        <w:pStyle w:val="FootnoteText"/>
        <w:ind w:left="0" w:firstLine="0"/>
      </w:pPr>
      <w:r w:rsidRPr="001F2F9F">
        <w:rPr>
          <w:rStyle w:val="FootnoteReference"/>
        </w:rPr>
        <w:footnoteRef/>
      </w:r>
      <w:r>
        <w:t xml:space="preserve"> Endempfänger, die mit spezifischen Projekten assoziiert sind, müssen für jedes geförderte Projekt eine Begründung des ausgewählten Interventionsbereichs zusammen mit einer </w:t>
      </w:r>
      <w:r>
        <w:t>Beschreibung des Projekts für die Zwecke der Berechnung des Klimabeitrags vorlegen. Für die Zwecke der Berechnung des Klimabeitrags müssen die Endempfänger von Beteiligungskapital, beteiligungsähnlichen Anleihen, Unternehmensanleihen oder gleichwertigen In</w:t>
      </w:r>
      <w:r>
        <w:t>strumenten, die nicht auf spezifische Projekte ausgerichtet sind, eine Begründung für den/die ausgewählten Interventionsbereich(e) vorlegen. Der Durchführungspartner ist ferner verpflichtet, dem Mitgliedstaat halbjährlich einen Bericht über die Durchführun</w:t>
      </w:r>
      <w:r>
        <w:t>g jedes Projekts/jeder Tätigkeit vorzulegen.</w:t>
      </w:r>
    </w:p>
  </w:footnote>
  <w:footnote w:id="51">
    <w:p w14:paraId="4EF9C993" w14:textId="77777777" w:rsidR="0057163C" w:rsidRDefault="00F37BF9">
      <w:pPr>
        <w:pStyle w:val="FootnoteText"/>
        <w:ind w:left="0" w:firstLine="0"/>
      </w:pPr>
      <w:r w:rsidRPr="001F2F9F">
        <w:rPr>
          <w:rStyle w:val="FootnoteReference"/>
        </w:rPr>
        <w:footnoteRef/>
      </w:r>
      <w:r>
        <w:t>Mit Ausnahme von a) Anlagen und Tätigkeiten im Bereich der Strom- und/oder Wärmeerzeugung sowie der damit verbundenen Fernleitungs- und Verteilungsinfrastruktur, die Erdgas nutzen, die die Bedingungen in Anhang</w:t>
      </w:r>
      <w:r>
        <w:t xml:space="preserve"> III der Technischen Leitlinien „Vermeidung erheblicher Beeinträchtigungen“ (2021/C58/01) erfüllen, und b) Tätigkeiten und Vermögenswerte gemäß Ziffer ii, bei denen die Nutzung fossiler Brennstoffe vorübergehend und technisch für den rechtzeitigen Übergang</w:t>
      </w:r>
      <w:r>
        <w:t xml:space="preserve"> zu einem Betrieb ohne fossile Brennstoffe unvermeidbar ist.</w:t>
      </w:r>
    </w:p>
  </w:footnote>
  <w:footnote w:id="52">
    <w:p w14:paraId="5FB6DCE0" w14:textId="77777777" w:rsidR="0057163C" w:rsidRDefault="00F37BF9">
      <w:pPr>
        <w:pStyle w:val="FootnoteText"/>
        <w:ind w:left="0" w:firstLine="0"/>
      </w:pPr>
      <w:r w:rsidRPr="001F2F9F">
        <w:rPr>
          <w:rStyle w:val="FootnoteReference"/>
        </w:rPr>
        <w:footnoteRef/>
      </w:r>
      <w:r>
        <w:t xml:space="preserve"> Wenn mit der geförderten Tätigkeit prognostizierte Treibhausgasemissionen erreicht werden, die nicht wesentlich unter den einschlägigen Referenzwerten liegen, ist zu erläutern, warum dies nicht</w:t>
      </w:r>
      <w:r>
        <w:t xml:space="preserve"> möglich ist. Benchmarks für die kostenlose Zuteilung für Tätigkeiten, die in den Anwendungsbereich des Emissionshandelssystems fallen, gemäß der Durchführungsverordnung (EU) 2021/447 der Kommission</w:t>
      </w:r>
    </w:p>
  </w:footnote>
  <w:footnote w:id="53">
    <w:p w14:paraId="05445A5D" w14:textId="77777777" w:rsidR="0057163C" w:rsidRDefault="00F37BF9">
      <w:pPr>
        <w:pStyle w:val="FootnoteText"/>
        <w:ind w:left="0" w:firstLine="0"/>
      </w:pPr>
      <w:r w:rsidRPr="001F2F9F">
        <w:rPr>
          <w:rStyle w:val="FootnoteReference"/>
        </w:rPr>
        <w:footnoteRef/>
      </w:r>
      <w:r>
        <w:t xml:space="preserve"> Dieser Ausschluss gilt nicht für Maßnahmen im Rahmen di</w:t>
      </w:r>
      <w:r>
        <w:t>eser Maßnahme in Anlagen, die ausschließlich der Behandlung nicht rezyklierbarer gefährlicher Abfälle dienen, und für bestehende Anlagen, wenn die Maßnahmen im Rahmen dieser Maßnahme der Steigerung der Energieeffizienz, der Abscheidung von Abgasen zur Lage</w:t>
      </w:r>
      <w:r>
        <w:t>rung oder Verwendung oder der Rückgewinnung von Materialien aus Verbrennungsasche dienen, sofern diese Maßnahmen im Rahmen dieser Maßnahme nicht zu einer Erhöhung der Abfallbehandlungskapazitäten der Anlagen oder zu einer Verlängerung der Lebensdauer der A</w:t>
      </w:r>
      <w:r>
        <w:t>nlagen führen; für die Nachweise auf Anlagenebene erbracht werden.</w:t>
      </w:r>
    </w:p>
  </w:footnote>
  <w:footnote w:id="54">
    <w:p w14:paraId="2A4B6539"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Behandlung, bei denen die Maßnahmen im Rahmen dieser Maßnahme der S</w:t>
      </w:r>
      <w:r>
        <w:t>teigerung der Energieeffizienz oder der Nachrüstung von getrennten Abfällen zur Kompostierung von Bioabfällen und der anaeroben Vergärung von Bioabfällen dienen, sofern diese Maßnahmen im Rahmen dieser Maßnahme nicht zu einer Erhöhung der Abfallaufbereitun</w:t>
      </w:r>
      <w:r>
        <w:t xml:space="preserve">gskapazität der Anlagen oder zu einer Verlängerung der Lebensdauer der Anlagen führen; für die Nachweise auf Anlagenebene erbracht werden. </w:t>
      </w:r>
    </w:p>
  </w:footnote>
  <w:footnote w:id="55">
    <w:p w14:paraId="2CF9F919" w14:textId="77777777" w:rsidR="0057163C" w:rsidRDefault="00F37BF9">
      <w:pPr>
        <w:pStyle w:val="FootnoteText"/>
        <w:ind w:left="0" w:firstLine="0"/>
      </w:pPr>
      <w:r w:rsidRPr="001F2F9F">
        <w:rPr>
          <w:rStyle w:val="FootnoteReference"/>
        </w:rPr>
        <w:footnoteRef/>
      </w:r>
      <w:r>
        <w:t xml:space="preserve"> Mit Ausnahme von a) Anlagen und Tätigkeiten im Bereich der Strom- und/oder Wärmeerzeugung sowie der damit verbunde</w:t>
      </w:r>
      <w:r>
        <w:t>nen Fernleitungs- und Verteilungsinfrastruktur, die Erdgas nutzen, die die Bedingungen in Anhang III der Technischen Leitlinien „Vermeidung erheblicher Beeinträchtigungen“ (2021/C58/01) erfüllen, und b) Tätigkeiten und Vermögenswerte gemäß Ziffer ii, bei d</w:t>
      </w:r>
      <w:r>
        <w:t>enen die Nutzung fossiler Brennstoffe vorübergehend und technisch für den rechtzeitigen Übergang zu einem Betrieb ohne fossile Brennstoffe unvermeidbar ist.</w:t>
      </w:r>
    </w:p>
  </w:footnote>
  <w:footnote w:id="56">
    <w:p w14:paraId="0CD610FF" w14:textId="77777777" w:rsidR="0057163C" w:rsidRDefault="00F37BF9">
      <w:pPr>
        <w:pStyle w:val="FootnoteText"/>
        <w:ind w:left="0" w:firstLine="0"/>
      </w:pPr>
      <w:r w:rsidRPr="001F2F9F">
        <w:rPr>
          <w:rStyle w:val="FootnoteReference"/>
        </w:rPr>
        <w:footnoteRef/>
      </w:r>
      <w:r>
        <w:t xml:space="preserve"> Wenn mit der geförderten Tätigkeit prognostizierte Treibhausgasemissionen erreicht werden, die ni</w:t>
      </w:r>
      <w:r>
        <w:t>cht wesentlich unter den einschlägigen Referenzwerten liegen, ist zu erläutern, warum dies nicht möglich ist. Die Richtwerte für die kostenlose Zuteilung von Zertifikaten für Tätigkeiten, die unter das Emissionshandelssystem fallen, sind in der Durchführun</w:t>
      </w:r>
      <w:r>
        <w:t>gsverordnung (EU) 2021/447 der Kommission festgelegt.</w:t>
      </w:r>
    </w:p>
  </w:footnote>
  <w:footnote w:id="57">
    <w:p w14:paraId="0B56C31B"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ausschließlich der Behandlung nicht rezyklierbarer gefährlicher Abfälle dienen, und für bestehende Anlagen, wenn di</w:t>
      </w:r>
      <w:r>
        <w:t xml:space="preserve">e Maßnahmen im Rahmen dieser Maßnahme der Steigerung der Energieeffizienz, der Abscheidung von Abgasen zur Lagerung oder Verwendung oder der Rückgewinnung von Materialien aus Verbrennungsasche dienen, sofern diese Maßnahmen im Rahmen dieser Maßnahme nicht </w:t>
      </w:r>
      <w:r>
        <w:t>zu einer Erhöhung der Abfallbehandlungskapazitäten der Anlagen oder zu einer Verlängerung der Lebensdauer der Anlagen führen; für die Nachweise auf Anlagenebene erbracht werden. </w:t>
      </w:r>
    </w:p>
  </w:footnote>
  <w:footnote w:id="58">
    <w:p w14:paraId="1A87ACB1"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w:t>
      </w:r>
      <w:r>
        <w:t>tehenden Anlagen zur mechanisch-biologischen Behandlung, bei denen die Maßnahmen im Rahmen dieser Maßnahme der Steigerung der Energieeffizienz oder der Nachrüstung von getrennten Abfällen zur Kompostierung von Bioabfällen und der anaeroben Vergärung von Bi</w:t>
      </w:r>
      <w:r>
        <w:t>oabfällen dienen, sofern diese Maßnahmen im Rahmen dieser Maßnahme nicht zu einer Erhöhung der Abfallaufbereitungskapazität der Anlagen oder zu einer Verlängerung der Lebensdauer der Anlagen führen; für die Nachweise auf Anlagenebene erbracht werden. </w:t>
      </w:r>
    </w:p>
  </w:footnote>
  <w:footnote w:id="59">
    <w:p w14:paraId="61F8B985" w14:textId="77777777" w:rsidR="0057163C" w:rsidRDefault="00F37BF9">
      <w:pPr>
        <w:pStyle w:val="FootnoteText"/>
        <w:ind w:left="0" w:firstLine="0"/>
      </w:pPr>
      <w:r w:rsidRPr="001F2F9F">
        <w:rPr>
          <w:rStyle w:val="FootnoteReference"/>
        </w:rPr>
        <w:footnoteRef/>
      </w:r>
      <w:r>
        <w:t xml:space="preserve"> En</w:t>
      </w:r>
      <w:r>
        <w:t>dempfänger, die mit spezifischen Projekten assoziiert sind, müssen für jedes geförderte Projekt eine Begründung des ausgewählten Interventionsbereichs zusammen mit einer Beschreibung des Projekts für die Zwecke der Berechnung des Klimabeitrags vorlegen. Fü</w:t>
      </w:r>
      <w:r>
        <w:t>r die Zwecke der Berechnung des Klimabeitrags müssen Endempfänger aus Eigenkapital, Quasi-Eigenkapital, Unternehmensanleihen oder gleichwertigen Instrumenten, die nicht auf spezifische Projekte ausgerichtet sind, eine Begründung für den/die ausgewählten In</w:t>
      </w:r>
      <w:r>
        <w:t>terventionsbereich(e) vorlegen. Der Durchführungspartner ist ferner verpflichtet, dem Mitgliedstaat halbjährlich einen Bericht über die Durchführung jedes Projekts/jeder Tätigkeit vorzulegen.</w:t>
      </w:r>
    </w:p>
  </w:footnote>
  <w:footnote w:id="60">
    <w:p w14:paraId="1DF21E80" w14:textId="77777777" w:rsidR="0057163C" w:rsidRDefault="00F37BF9">
      <w:pPr>
        <w:pStyle w:val="FootnoteText"/>
        <w:ind w:left="0" w:firstLine="0"/>
      </w:pPr>
      <w:r w:rsidRPr="001F2F9F">
        <w:rPr>
          <w:rStyle w:val="FootnoteReference"/>
        </w:rPr>
        <w:footnoteRef/>
      </w:r>
      <w:r>
        <w:t xml:space="preserve"> Mit Ausnahme von a) Anlagen und Tätigkeiten im Bereich der Str</w:t>
      </w:r>
      <w:r>
        <w:t>om- und/oder Wärmeerzeugung sowie der damit verbundenen Fernleitungs- und Verteilungsinfrastruktur, die Erdgas nutzen, die die Bedingungen in Anhang III der Technischen Leitlinien „Vermeidung erheblicher Beeinträchtigungen“ (2021/C58/01) erfüllen, und b) T</w:t>
      </w:r>
      <w:r>
        <w:t>ätigkeiten und Vermögenswerte gemäß Ziffer ii, bei denen die Nutzung fossiler Brennstoffe vorübergehend und technisch für den rechtzeitigen Übergang zu einem Betrieb ohne fossile Brennstoffe unvermeidbar ist.</w:t>
      </w:r>
    </w:p>
  </w:footnote>
  <w:footnote w:id="61">
    <w:p w14:paraId="6C88DFA7" w14:textId="77777777" w:rsidR="0057163C" w:rsidRDefault="00F37BF9">
      <w:pPr>
        <w:pStyle w:val="FootnoteText"/>
        <w:ind w:left="0" w:firstLine="0"/>
      </w:pPr>
      <w:r w:rsidRPr="001F2F9F">
        <w:rPr>
          <w:rStyle w:val="FootnoteReference"/>
        </w:rPr>
        <w:footnoteRef/>
      </w:r>
      <w:r>
        <w:t xml:space="preserve"> Wenn mit der geförderten Tätigkeit prognostiz</w:t>
      </w:r>
      <w:r>
        <w:t>ierte Treibhausgasemissionen erreicht werden, die nicht wesentlich unter den einschlägigen Referenzwerten liegen, ist zu erläutern, warum dies nicht möglich ist. Die Richtwerte für die kostenlose Zuteilung von Zertifikaten für Tätigkeiten, die unter das Em</w:t>
      </w:r>
      <w:r>
        <w:t>issionshandelssystem fallen, sind in der Durchführungsverordnung (EU) 2021/447 der Kommission festgelegt.</w:t>
      </w:r>
    </w:p>
  </w:footnote>
  <w:footnote w:id="62">
    <w:p w14:paraId="59F8EAA0"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ausschließlich der Behandlung nicht rezyklierbarer gefährlicher</w:t>
      </w:r>
      <w:r>
        <w:t xml:space="preserve"> Abfälle dienen, und für bestehende Anlagen, wenn die Maßnahmen im Rahmen dieser Maßnahme der Steigerung der Energieeffizienz, der Abscheidung von Abgasen zur Lagerung oder Verwendung oder der Rückgewinnung von Materialien aus Verbrennungsasche dienen, sof</w:t>
      </w:r>
      <w:r>
        <w:t>ern diese Maßnahmen im Rahmen dieser Maßnahme nicht zu einer Erhöhung der Abfallbehandlungskapazitäten der Anlagen oder zu einer Verlängerung der Lebensdauer der Anlagen führen; für die Nachweise auf Anlagenebene erbracht werden.</w:t>
      </w:r>
    </w:p>
  </w:footnote>
  <w:footnote w:id="63">
    <w:p w14:paraId="3D4DD7C3"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Behandlung, bei denen die Maßnahmen im Rahmen dieser Maßnahme der Steigerung der Energieeffizienz oder der Nachrüstung von getrennten A</w:t>
      </w:r>
      <w:r>
        <w:t>bfällen zur Kompostierung von Bioabfällen und der anaeroben Vergärung von Bioabfällen dienen, sofern diese Maßnahmen im Rahmen dieser Maßnahme nicht zu einer Erhöhung der Abfallaufbereitungskapazität der Anlagen oder zu einer Verlängerung der Lebensdauer d</w:t>
      </w:r>
      <w:r>
        <w:t>er Anlagen führen; für die Nachweise auf Anlagenebene erbracht werden.</w:t>
      </w:r>
    </w:p>
  </w:footnote>
  <w:footnote w:id="64">
    <w:p w14:paraId="6E5B334C" w14:textId="77777777" w:rsidR="0057163C" w:rsidRDefault="00F37BF9">
      <w:pPr>
        <w:pStyle w:val="FootnoteText"/>
        <w:ind w:left="0" w:firstLine="0"/>
        <w:rPr>
          <w:rStyle w:val="FootnoteReference"/>
          <w:vertAlign w:val="baseline"/>
        </w:rPr>
      </w:pPr>
      <w:r w:rsidRPr="001F2F9F">
        <w:rPr>
          <w:rStyle w:val="FootnoteReference"/>
        </w:rPr>
        <w:footnoteRef/>
      </w:r>
      <w:r>
        <w:rPr>
          <w:rStyle w:val="FootnoteReference"/>
        </w:rPr>
        <w:t xml:space="preserve"> </w:t>
      </w:r>
      <w:r>
        <w:t>Insbesondere umfasst die Obergrenze von 13 % nicht die mit der GTF verbundenen Erfolgsgebühren sowie sämtliche Kosten und Verwaltungsgebühren im Zusammenhang mit Drittmitteln.</w:t>
      </w:r>
    </w:p>
  </w:footnote>
  <w:footnote w:id="65">
    <w:p w14:paraId="3BCBD42F"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Style w:val="FootnoteReference"/>
          <w:vertAlign w:val="baseline"/>
        </w:rPr>
        <w:t>Insbe</w:t>
      </w:r>
      <w:r>
        <w:rPr>
          <w:rStyle w:val="FootnoteReference"/>
          <w:vertAlign w:val="baseline"/>
        </w:rPr>
        <w:t>sondere wird der GTF im Falle von Direktinvestitionen durch Eigenkapital oder beteiligungsähnliche Unterstützung betrieben; bei indirekten Investitionen finanziert die GTF Mittel Dritter, die mindestens einen der folgenden Mittel bereitstellen: Beteiligung</w:t>
      </w:r>
      <w:r>
        <w:rPr>
          <w:rStyle w:val="FootnoteReference"/>
          <w:vertAlign w:val="baseline"/>
        </w:rPr>
        <w:t>skapital, Quasi-Eigenkapital, Fremdkapital oder Quasi-Schuldtitel.</w:t>
      </w:r>
    </w:p>
  </w:footnote>
  <w:footnote w:id="66">
    <w:p w14:paraId="1597E65E"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Style w:val="FootnoteReference"/>
          <w:vertAlign w:val="baseline"/>
        </w:rPr>
        <w:t xml:space="preserve">Es wird davon ausgegangen, dass ein Endempfänger einen „wesentlichen Schwerpunkt“ auf einen Sektor oder eine Geschäftstätigkeit hat, wenn dieser Sektor oder diese Tätigkeit im Verhältnis </w:t>
      </w:r>
      <w:r>
        <w:rPr>
          <w:rStyle w:val="FootnoteReference"/>
          <w:vertAlign w:val="baseline"/>
        </w:rPr>
        <w:t>zu den Bruttoeinnahmen, dem Gewinn oder der Kundenbasis des Endbegünstigten als wesentlicher Teil der Geschäftstätigkeit des Endbegünstigten ermittelt wird. Die Bruttoeinnahmen aus dem beschränkten Sektor oder der beschränkten Tätigkeit dürfen in keinem Fa</w:t>
      </w:r>
      <w:r>
        <w:rPr>
          <w:rStyle w:val="FootnoteReference"/>
          <w:vertAlign w:val="baseline"/>
        </w:rPr>
        <w:t>ll 50 % der Bruttoeinnahmen übersteigen.</w:t>
      </w:r>
    </w:p>
  </w:footnote>
  <w:footnote w:id="67">
    <w:p w14:paraId="7F6D6F13"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t>Mit Ausnahme von a) Anlagen und Tätigkeiten im Bereich der Strom- und/oder Wärmeerzeugung sowie der damit verbundenen Fernleitungs- und Verteilungsinfrastruktur, die Erdgas nutzen, die die Bedingungen in Anhang II</w:t>
      </w:r>
      <w:r>
        <w:t>I der Technischen Leitlinien „Vermeidung erheblicher Beeinträchtigungen“ (2021/C58/01) erfüllen, und b) Tätigkeiten und Vermögenswerte gemäß Ziffer ii, bei denen die Nutzung fossiler Brennstoffe vorübergehend und technisch für den rechtzeitigen Übergang zu</w:t>
      </w:r>
      <w:r>
        <w:t xml:space="preserve"> einem Betrieb ohne fossile Brennstoffe unvermeidbar ist.</w:t>
      </w:r>
    </w:p>
  </w:footnote>
  <w:footnote w:id="68">
    <w:p w14:paraId="244B1E52"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Fonts w:eastAsia="EC Square Sans Pro"/>
        </w:rPr>
        <w:t>Einschließlich Tätigkeiten und Vermögenswerten im Rahmen des EU-Emissionshandelssystems (EHS), mit denen prognostizierte Treibhausgasemissionen erreicht werden, die nicht unter den einschlägigen R</w:t>
      </w:r>
      <w:r>
        <w:rPr>
          <w:rFonts w:eastAsia="EC Square Sans Pro"/>
        </w:rPr>
        <w:t>eferenzwerten liegen. Wenn mit der geförderten Tätigkeit prognostizierte Treibhausgasemissionen erreicht werden, die nicht wesentlich unter den einschlägigen Referenzwerten liegen, ist zu erläutern, warum dies nicht möglich ist. Die Richtwerte für die kost</w:t>
      </w:r>
      <w:r>
        <w:rPr>
          <w:rFonts w:eastAsia="EC Square Sans Pro"/>
        </w:rPr>
        <w:t>enlose Zuteilung von Zertifikaten für Tätigkeiten, die unter das Emissionshandelssystem fallen, sind in der Durchführungsverordnung (EU) 2021/447 der Kommission festgelegt.</w:t>
      </w:r>
    </w:p>
  </w:footnote>
  <w:footnote w:id="69">
    <w:p w14:paraId="70D6F159" w14:textId="77777777" w:rsidR="0057163C" w:rsidRDefault="00F37BF9">
      <w:pPr>
        <w:pStyle w:val="FootnoteText"/>
        <w:ind w:left="0" w:firstLine="0"/>
        <w:rPr>
          <w:rStyle w:val="FootnoteReference"/>
        </w:rPr>
      </w:pPr>
      <w:r w:rsidRPr="001F2F9F">
        <w:rPr>
          <w:rStyle w:val="FootnoteReference"/>
        </w:rPr>
        <w:footnoteRef/>
      </w:r>
      <w:r>
        <w:rPr>
          <w:rStyle w:val="FootnoteReference"/>
        </w:rPr>
        <w:t xml:space="preserve"> </w:t>
      </w:r>
      <w:r>
        <w:rPr>
          <w:rFonts w:eastAsia="EC Square Sans Pro"/>
        </w:rPr>
        <w:t>Umweltschädliche Fahrzeuge werden als nicht emissionsfreie Fahrzeuge definiert.</w:t>
      </w:r>
    </w:p>
  </w:footnote>
  <w:footnote w:id="70">
    <w:p w14:paraId="00F5E111" w14:textId="77777777" w:rsidR="0057163C" w:rsidRDefault="00F37BF9">
      <w:pPr>
        <w:pStyle w:val="FootnoteText"/>
        <w:ind w:left="0" w:firstLine="0"/>
      </w:pPr>
      <w:r w:rsidRPr="001F2F9F">
        <w:rPr>
          <w:rStyle w:val="FootnoteReference"/>
        </w:rPr>
        <w:footnoteRef/>
      </w:r>
      <w:r>
        <w:rPr>
          <w:rStyle w:val="FootnoteReference"/>
        </w:rPr>
        <w:t xml:space="preserve"> </w:t>
      </w:r>
      <w:r>
        <w:rPr>
          <w:rFonts w:eastAsia="EC Square Sans Pro"/>
        </w:rPr>
        <w:t xml:space="preserve">Dieser Ausschluss gilt nicht für Maßnahmen in Anlagen, die ausschließlich der Behandlung nicht rezyklierbarer gefährlicher Abfälle dienen, und für bestehende Anlagen, in denen die Maßnahmen im Rahmen dieser Maßnahme dem Zweck dienen, die Energieeffizienz </w:t>
      </w:r>
      <w:r>
        <w:rPr>
          <w:rFonts w:eastAsia="EC Square Sans Pro"/>
        </w:rPr>
        <w:t>zu erhöhen, Abgase für die Lagerung oder Verwendung oder die Verwertung von Materialien aus Verbrennungsasche zu erfassen, sofern diese Maßnahmen im Rahmen dieser Maßnahme nicht zu einer Erhöhung der Abfallbehandlungskapazität der Anlagen oder zu einer Ver</w:t>
      </w:r>
      <w:r>
        <w:rPr>
          <w:rFonts w:eastAsia="EC Square Sans Pro"/>
        </w:rPr>
        <w:t>längerung der Lebensdauer der Anlagen führen; für die Nachweise auf Anlagenebene erbracht werden.</w:t>
      </w:r>
    </w:p>
  </w:footnote>
  <w:footnote w:id="71">
    <w:p w14:paraId="57F8253E" w14:textId="77777777" w:rsidR="0057163C" w:rsidRDefault="00F37BF9">
      <w:pPr>
        <w:pStyle w:val="FootnoteText"/>
        <w:ind w:left="0" w:firstLine="0"/>
      </w:pPr>
      <w:r w:rsidRPr="001F2F9F">
        <w:rPr>
          <w:rStyle w:val="FootnoteReference"/>
          <w:rFonts w:eastAsiaTheme="majorEastAsia"/>
        </w:rPr>
        <w:footnoteRef/>
      </w:r>
      <w:r>
        <w:t xml:space="preserve"> Mit Ausnahme von a) Anlagen und Tätigkeiten im Bereich der Strom- und/oder Wärmeerzeugung sowie der damit verbundenen Fernleitungs- und Verteilungsinfrastru</w:t>
      </w:r>
      <w:r>
        <w:t>ktur, bei der Erdgas verwendet wird und die die Bedingungen in Anhang III der Technischen Leitlinien „Vermeidung erheblicher Beeinträchtigungen“ (2021/C58/01) erfüllen.</w:t>
      </w:r>
    </w:p>
  </w:footnote>
  <w:footnote w:id="72">
    <w:p w14:paraId="5666D2DB" w14:textId="6E0FC9E3" w:rsidR="0057163C" w:rsidRDefault="00F37BF9">
      <w:pPr>
        <w:pStyle w:val="FootnoteText"/>
        <w:ind w:left="0" w:firstLine="0"/>
      </w:pPr>
      <w:r w:rsidRPr="001F2F9F">
        <w:rPr>
          <w:rStyle w:val="FootnoteReference"/>
        </w:rPr>
        <w:footnoteRef/>
      </w:r>
      <w:r>
        <w:t xml:space="preserve"> Endempfänger, die mit spezifischen Projekten assoziiert sind, müssen für jedes geförd</w:t>
      </w:r>
      <w:r>
        <w:t>erte Projekt eine Begründung des ausgewählten Interventionsbereichs zusammen mit einer Beschreibung des Projekts für die Zwecke der Berechnung des Klimabeitrags vorlegen. Für die Zwecke der Berechnung des Klimabeitrags müssen Endempfänger aus Beteiligungsk</w:t>
      </w:r>
      <w:r>
        <w:t>apital, beteiligungsähnlichen Anleihen, Unternehmensanleihen oder gleichwertigen Instrumenten, die nicht auf spezifische Projekte ausgerichtet sind, eine Begründung für den/die ausgewählten Interventionsbereich(e) vorlegen. Der Durchführungspartner ist fer</w:t>
      </w:r>
      <w:r>
        <w:t>ner verpflichtet, dem Mitgliedstaat halbjährlich einen Bericht über die Durchführung jedes Projekts/jeder Tätigkeit vorzulegen.</w:t>
      </w:r>
    </w:p>
  </w:footnote>
  <w:footnote w:id="73">
    <w:p w14:paraId="2D53AB2B" w14:textId="77777777" w:rsidR="0057163C" w:rsidRDefault="00F37BF9">
      <w:pPr>
        <w:pStyle w:val="FootnoteText"/>
        <w:ind w:left="0" w:firstLine="0"/>
      </w:pPr>
      <w:r w:rsidRPr="001F2F9F">
        <w:rPr>
          <w:rStyle w:val="FootnoteReference"/>
          <w:rFonts w:eastAsiaTheme="majorEastAsia"/>
        </w:rPr>
        <w:footnoteRef/>
      </w:r>
      <w:r>
        <w:t xml:space="preserve"> Mit Ausnahme von a) Anlagen und Tätigkeiten im Bereich der Strom- und/oder Wärmeerzeugung sowie der damit verbundenen Fernleit</w:t>
      </w:r>
      <w:r>
        <w:t>ungs- und Verteilungsinfrastruktur, die Erdgas nutzen, die die Bedingungen in Anhang III der Technischen Leitlinien „Vermeidung erheblicher Beeinträchtigungen“ (2021/C58/01) erfüllen, und b) Tätigkeiten und Vermögenswerte gemäß Ziffer ii, bei denen die Nut</w:t>
      </w:r>
      <w:r>
        <w:t>zung fossiler Brennstoffe vorübergehend und technisch für den rechtzeitigen Übergang zu einem Betrieb ohne fossile Brennstoffe unvermeidbar ist.</w:t>
      </w:r>
    </w:p>
  </w:footnote>
  <w:footnote w:id="74">
    <w:p w14:paraId="7DDA649D" w14:textId="77777777" w:rsidR="0057163C" w:rsidRDefault="00F37BF9">
      <w:pPr>
        <w:pStyle w:val="FootnoteText"/>
        <w:ind w:left="0" w:firstLine="0"/>
        <w:rPr>
          <w:rFonts w:eastAsia="EC Square Sans Pro"/>
        </w:rPr>
      </w:pPr>
      <w:r w:rsidRPr="001F2F9F">
        <w:rPr>
          <w:rStyle w:val="FootnoteReference"/>
          <w:rFonts w:eastAsiaTheme="majorEastAsia"/>
        </w:rPr>
        <w:footnoteRef/>
      </w:r>
      <w:r>
        <w:t xml:space="preserve"> </w:t>
      </w:r>
      <w:r>
        <w:rPr>
          <w:rFonts w:eastAsia="EC Square Sans Pro"/>
        </w:rPr>
        <w:t>Wenn mit der geförderten Tätigkeit prognostizierte Treibhausgasemissionen erreicht werden, die nicht wesentli</w:t>
      </w:r>
      <w:r>
        <w:rPr>
          <w:rFonts w:eastAsia="EC Square Sans Pro"/>
        </w:rPr>
        <w:t>ch unter den einschlägigen Referenzwerten liegen, ist zu erläutern, warum dies nicht möglich ist. Die Richtwerte für die kostenlose Zuteilung von Zertifikaten für Tätigkeiten, die unter das Emissionshandelssystem fallen, sind in der Durchführungsverordnung</w:t>
      </w:r>
      <w:r>
        <w:rPr>
          <w:rFonts w:eastAsia="EC Square Sans Pro"/>
        </w:rPr>
        <w:t xml:space="preserve"> (EU) 2021/447 der Kommission festgelegt. </w:t>
      </w:r>
    </w:p>
  </w:footnote>
  <w:footnote w:id="75">
    <w:p w14:paraId="3E52CCA0" w14:textId="77777777" w:rsidR="0057163C" w:rsidRDefault="00F37BF9">
      <w:pPr>
        <w:pStyle w:val="FootnoteText"/>
        <w:ind w:left="0" w:firstLine="0"/>
      </w:pPr>
      <w:r w:rsidRPr="001F2F9F">
        <w:rPr>
          <w:rStyle w:val="FootnoteReference"/>
          <w:rFonts w:eastAsiaTheme="majorEastAsia"/>
        </w:rPr>
        <w:footnoteRef/>
      </w:r>
      <w:r>
        <w:t xml:space="preserve"> Dieser Ausschluss gilt nicht für Maßnahmen im Rahmen dieser Maßnahme in Anlagen, die ausschließlich der Behandlung nicht rezyklierbarer gefährlicher Abfälle dienen, und für bestehende Anlagen, wenn die Maßnahmen</w:t>
      </w:r>
      <w:r>
        <w:t xml:space="preserve"> im Rahmen dieser Maßnahme der Steigerung der Energieeffizienz, der Abscheidung von Abgasen zur Lagerung oder Verwendung oder der Rückgewinnung von Materialien aus Verbrennungsasche dienen, sofern diese Maßnahmen im Rahmen dieser Maßnahme nicht zu einer Er</w:t>
      </w:r>
      <w:r>
        <w:t>höhung der Abfallbehandlungskapazitäten der Anlagen oder zu einer Verlängerung der Lebensdauer der Anlagen führen; für die Nachweise auf Anlagenebene erbracht werden. </w:t>
      </w:r>
    </w:p>
  </w:footnote>
  <w:footnote w:id="76">
    <w:p w14:paraId="0980FE0E" w14:textId="77777777" w:rsidR="0057163C" w:rsidRDefault="00F37BF9">
      <w:pPr>
        <w:pStyle w:val="FootnoteText"/>
        <w:ind w:left="0" w:firstLine="0"/>
      </w:pPr>
      <w:r w:rsidRPr="001F2F9F">
        <w:rPr>
          <w:rStyle w:val="FootnoteReference"/>
          <w:rFonts w:eastAsiaTheme="majorEastAsia"/>
        </w:rPr>
        <w:footnoteRef/>
      </w:r>
      <w:r>
        <w:t xml:space="preserve"> Dieser Ausschluss gilt nicht für Maßnahmen im Rahmen dieser Maßnahme in bestehenden An</w:t>
      </w:r>
      <w:r>
        <w:t>lagen zur mechanisch-biologischen Behandlung, bei denen die Maßnahmen im Rahmen dieser Maßnahme der Steigerung der Energieeffizienz oder der Nachrüstung von getrennten Abfällen zur Kompostierung von Bioabfällen und der anaeroben Vergärung von Bioabfällen d</w:t>
      </w:r>
      <w:r>
        <w:t>ienen, sofern diese Maßnahmen im Rahmen dieser Maßnahme nicht zu einer Erhöhung der Abfallaufbereitungskapazität der Anlagen oder zu einer Verlängerung der Lebensdauer der Anlagen führen; für die Nachweise auf Anlagenebene erbracht werden. </w:t>
      </w:r>
    </w:p>
  </w:footnote>
  <w:footnote w:id="77">
    <w:p w14:paraId="5F40F9FE" w14:textId="57637972" w:rsidR="0057163C" w:rsidRDefault="00F37BF9">
      <w:pPr>
        <w:pStyle w:val="FootnoteText"/>
        <w:ind w:left="0" w:firstLine="0"/>
        <w:jc w:val="left"/>
      </w:pPr>
      <w:r w:rsidRPr="001F2F9F">
        <w:rPr>
          <w:rStyle w:val="FootnoteReference"/>
        </w:rPr>
        <w:footnoteRef/>
      </w:r>
      <w:r>
        <w:t xml:space="preserve"> Mit Ausnahme </w:t>
      </w:r>
      <w:r>
        <w:t>von a) Anlagen und Tätigkeiten im Bereich der Strom- und/oder Wärmeerzeugung sowie der damit verbundenen Fernleitungs- und Verteilungsinfrastruktur, die Erdgas nutzen, die die Bedingungen in Anhang III der Technischen Leitlinien „Vermeidung erheblicher Bee</w:t>
      </w:r>
      <w:r>
        <w:t>inträchtigungen“ (2021/C58/01) erfüllen, und b) Tätigkeiten und Vermögenswerte gemäß Ziffer ii, bei denen die Nutzung fossiler Brennstoffe vorübergehend und technisch für den rechtzeitigen Übergang zu einem Betrieb ohne fossile Brennstoffe unvermeidbar ist</w:t>
      </w:r>
      <w:r>
        <w:t>.</w:t>
      </w:r>
    </w:p>
  </w:footnote>
  <w:footnote w:id="78">
    <w:p w14:paraId="5F67219E" w14:textId="2FDE4722" w:rsidR="0057163C" w:rsidRDefault="00F37BF9">
      <w:pPr>
        <w:pStyle w:val="FootnoteText"/>
        <w:ind w:left="0" w:firstLine="0"/>
      </w:pPr>
      <w:r w:rsidRPr="001F2F9F">
        <w:rPr>
          <w:rStyle w:val="FootnoteReference"/>
        </w:rPr>
        <w:footnoteRef/>
      </w:r>
      <w:r>
        <w:t xml:space="preserve"> Wenn mit der geförderten Tätigkeit prognostizierte Treibhausgasemissionen erreicht werden, die nicht wesentlich unter den einschlägigen Referenzwerten liegen, ist zu erläutern, warum dies nicht möglich ist. Die Richtwerte für die kostenlose Zuteilung v</w:t>
      </w:r>
      <w:r>
        <w:t>on Zertifikaten für Tätigkeiten, die unter das Emissionshandelssystem fallen, sind in der Durchführungsverordnung (EU) 2021/447 der Kommission festgelegt. </w:t>
      </w:r>
    </w:p>
  </w:footnote>
  <w:footnote w:id="79">
    <w:p w14:paraId="12729B67" w14:textId="53775914" w:rsidR="0057163C" w:rsidRDefault="00F37BF9">
      <w:pPr>
        <w:pStyle w:val="FootnoteText"/>
        <w:ind w:left="0" w:firstLine="0"/>
      </w:pPr>
      <w:r w:rsidRPr="001F2F9F">
        <w:rPr>
          <w:rStyle w:val="FootnoteReference"/>
        </w:rPr>
        <w:footnoteRef/>
      </w:r>
      <w:r>
        <w:t xml:space="preserve"> Dieser Ausschluss gilt nicht für Maßnahmen im Rahmen dieser Maßnahme in Anlagen, die ausschließlic</w:t>
      </w:r>
      <w:r>
        <w:t>h der Behandlung nicht rezyklierbarer gefährlicher Abfälle dienen, und für bestehende Anlagen, wenn die Maßnahmen im Rahmen dieser Maßnahme der Steigerung der Energieeffizienz, der Abscheidung von Abgasen zur Lagerung oder Verwendung oder der Rückgewinnung</w:t>
      </w:r>
      <w:r>
        <w:t xml:space="preserve"> von Materialien aus Verbrennungsasche dienen, sofern diese Maßnahmen im Rahmen dieser Maßnahme nicht zu einer Erhöhung der Abfallbehandlungskapazitäten der Anlagen oder zu einer Verlängerung der Lebensdauer der Anlagen führen; für die Nachweise auf Anlage</w:t>
      </w:r>
      <w:r>
        <w:t>nebene erbracht werden.</w:t>
      </w:r>
    </w:p>
  </w:footnote>
  <w:footnote w:id="80">
    <w:p w14:paraId="4AD2B9CE" w14:textId="64187F0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Behandlung, bei denen die Maßnahmen im Rahmen dieser Maßnahme der Steigerung der Energieeffizienz oder der Nac</w:t>
      </w:r>
      <w:r>
        <w:t>hrüstung von getrennten Abfällen zur Kompostierung von Bioabfällen und der anaeroben Vergärung von Bioabfällen dienen, sofern diese Maßnahmen im Rahmen dieser Maßnahme nicht zu einer Erhöhung der Abfallaufbereitungskapazität der Anlagen oder zu einer Verlä</w:t>
      </w:r>
      <w:r>
        <w:t>ngerung der Lebensdauer der Anlagen führen; für die Nachweise auf Anlagenebene erbracht werden.</w:t>
      </w:r>
    </w:p>
  </w:footnote>
  <w:footnote w:id="81">
    <w:p w14:paraId="4733E3CB" w14:textId="77777777" w:rsidR="0057163C" w:rsidRDefault="00F37BF9">
      <w:pPr>
        <w:pStyle w:val="FootnoteText"/>
        <w:ind w:left="0" w:firstLine="0"/>
      </w:pPr>
      <w:r w:rsidRPr="001F2F9F">
        <w:rPr>
          <w:rStyle w:val="FootnoteReference"/>
        </w:rPr>
        <w:footnoteRef/>
      </w:r>
      <w:r>
        <w:t xml:space="preserve"> Ein Arbeitspaket ist ein Bestandteil der Projektarbeit, z. B.: Test vor Investition, Kompetenzen und Ausbildung, Projektmanagement und Koordinierung. Es hande</w:t>
      </w:r>
      <w:r>
        <w:t>lt sich um eine Gruppe von Projektarbeiten, die in Aktivitäten und Aufgaben beschrieben werden. Die Arbeitspakete müssen einen klaren und logischen Zusammenhang mit den Projektzielen und den anderen Arbeitspaketen aufweisen. Jedes Arbeitspaket bildet einen</w:t>
      </w:r>
      <w:r>
        <w:t xml:space="preserve"> Teilabschnitt des Projekts, der einen Schritt zur Erreichung der Gesamtziele des Projekts darstellt. </w:t>
      </w:r>
    </w:p>
  </w:footnote>
  <w:footnote w:id="82">
    <w:p w14:paraId="2CB6BA0A" w14:textId="77777777" w:rsidR="0057163C" w:rsidRDefault="00F37BF9">
      <w:pPr>
        <w:pStyle w:val="FootnoteText"/>
      </w:pPr>
      <w:r w:rsidRPr="001F2F9F">
        <w:rPr>
          <w:rStyle w:val="FootnoteReference"/>
          <w:rFonts w:eastAsiaTheme="majorEastAsia"/>
        </w:rPr>
        <w:footnoteRef/>
      </w:r>
      <w:r>
        <w:t xml:space="preserve"> Insbesondere umfasst die Obergrenze von 13 % nicht die mit der DTF verbundenen Erfolgsgebühren und</w:t>
      </w:r>
    </w:p>
    <w:p w14:paraId="790BDC8F" w14:textId="77777777" w:rsidR="0057163C" w:rsidRDefault="00F37BF9">
      <w:pPr>
        <w:pStyle w:val="FootnoteText"/>
      </w:pPr>
      <w:r>
        <w:t xml:space="preserve">alle Kosten und Verwaltungsgebühren im Zusammenhang </w:t>
      </w:r>
      <w:r>
        <w:t>mit indirekten Investitionen/Drittfonds.</w:t>
      </w:r>
    </w:p>
  </w:footnote>
  <w:footnote w:id="83">
    <w:p w14:paraId="57194C5D" w14:textId="77777777" w:rsidR="0057163C" w:rsidRDefault="00F37BF9">
      <w:pPr>
        <w:pStyle w:val="FootnoteText"/>
        <w:ind w:left="0" w:firstLine="0"/>
        <w:rPr>
          <w:rStyle w:val="FootnoteReference"/>
          <w:vertAlign w:val="baseline"/>
        </w:rPr>
      </w:pPr>
      <w:r w:rsidRPr="001F2F9F">
        <w:rPr>
          <w:rStyle w:val="FootnoteReference"/>
        </w:rPr>
        <w:footnoteRef/>
      </w:r>
      <w:r>
        <w:rPr>
          <w:rStyle w:val="FootnoteReference"/>
        </w:rPr>
        <w:t xml:space="preserve"> </w:t>
      </w:r>
      <w:r>
        <w:rPr>
          <w:rStyle w:val="FootnoteReference"/>
          <w:vertAlign w:val="baseline"/>
        </w:rPr>
        <w:t>Insbesondere wird die DTF im Falle von Direktinvestitionen durch Eigenkapital oder beteiligungsähnliche Unterstützung betrieben;</w:t>
      </w:r>
    </w:p>
    <w:p w14:paraId="009373B7" w14:textId="77777777" w:rsidR="0057163C" w:rsidRDefault="00F37BF9">
      <w:pPr>
        <w:pStyle w:val="FootnoteText"/>
        <w:ind w:left="0" w:firstLine="0"/>
        <w:rPr>
          <w:rStyle w:val="FootnoteReference"/>
        </w:rPr>
      </w:pPr>
      <w:r>
        <w:rPr>
          <w:rStyle w:val="FootnoteReference"/>
          <w:vertAlign w:val="baseline"/>
        </w:rPr>
        <w:t>bei indirekten Investitionen finanziert die DTF Mittel Dritter, die mindestens einen</w:t>
      </w:r>
      <w:r>
        <w:rPr>
          <w:rStyle w:val="FootnoteReference"/>
          <w:vertAlign w:val="baseline"/>
        </w:rPr>
        <w:t xml:space="preserve"> der folgenden Mittel bereitstellen: Beteiligungskapital, Quasi-Eigenkapital, Fremdkapital oder Quasi-Schuldtitel.</w:t>
      </w:r>
    </w:p>
  </w:footnote>
  <w:footnote w:id="84">
    <w:p w14:paraId="33CAE47C" w14:textId="77777777" w:rsidR="0057163C" w:rsidRDefault="00F37BF9">
      <w:pPr>
        <w:spacing w:after="0" w:line="240" w:lineRule="auto"/>
        <w:jc w:val="both"/>
        <w:rPr>
          <w:rFonts w:ascii="Times New Roman" w:eastAsia="Times New Roman" w:hAnsi="Times New Roman" w:cs="Times New Roman"/>
        </w:rPr>
      </w:pPr>
      <w:r w:rsidRPr="001F2F9F">
        <w:rPr>
          <w:rStyle w:val="FootnoteReference"/>
          <w:sz w:val="20"/>
          <w:szCs w:val="20"/>
        </w:rPr>
        <w:footnoteRef/>
      </w:r>
      <w:r>
        <w:rPr>
          <w:rStyle w:val="FootnoteReference"/>
          <w:sz w:val="20"/>
          <w:szCs w:val="20"/>
        </w:rPr>
        <w:t xml:space="preserve"> </w:t>
      </w:r>
      <w:r>
        <w:rPr>
          <w:rStyle w:val="FootnoteReference"/>
          <w:rFonts w:ascii="Times New Roman" w:hAnsi="Times New Roman" w:cs="Times New Roman"/>
          <w:sz w:val="20"/>
          <w:szCs w:val="20"/>
          <w:vertAlign w:val="baseline"/>
        </w:rPr>
        <w:t xml:space="preserve">Es wird davon ausgegangen, dass ein Endempfänger einen „wesentlichen Schwerpunkt“ auf einen Sektor oder eine Geschäftstätigkeit hat, wenn </w:t>
      </w:r>
      <w:r>
        <w:rPr>
          <w:rStyle w:val="FootnoteReference"/>
          <w:rFonts w:ascii="Times New Roman" w:hAnsi="Times New Roman" w:cs="Times New Roman"/>
          <w:sz w:val="20"/>
          <w:szCs w:val="20"/>
          <w:vertAlign w:val="baseline"/>
        </w:rPr>
        <w:t>dieser Sektor oder diese Tätigkeit im Verhältnis zu den Bruttoeinnahmen, dem Gewinn oder der Kundenbasis des Endbegünstigten als wesentlicher Teil der Geschäftstätigkeit des Endbegünstigten ermittelt wird. Die Bruttoeinnahmen aus dem beschränkten Sektor od</w:t>
      </w:r>
      <w:r>
        <w:rPr>
          <w:rStyle w:val="FootnoteReference"/>
          <w:rFonts w:ascii="Times New Roman" w:hAnsi="Times New Roman" w:cs="Times New Roman"/>
          <w:sz w:val="20"/>
          <w:szCs w:val="20"/>
          <w:vertAlign w:val="baseline"/>
        </w:rPr>
        <w:t>er der beschränkten Tätigkeit dürfen in keinem Fall 50 % der Bruttoeinnahmen übersteigen.</w:t>
      </w:r>
    </w:p>
  </w:footnote>
  <w:footnote w:id="85">
    <w:p w14:paraId="09AC3AF3" w14:textId="77777777" w:rsidR="0057163C" w:rsidRDefault="00F37BF9">
      <w:pPr>
        <w:spacing w:after="0" w:line="240" w:lineRule="auto"/>
        <w:jc w:val="both"/>
        <w:rPr>
          <w:rFonts w:ascii="Times New Roman" w:eastAsia="Times New Roman" w:hAnsi="Times New Roman" w:cs="Times New Roman"/>
          <w:sz w:val="20"/>
          <w:szCs w:val="20"/>
        </w:rPr>
      </w:pPr>
      <w:r w:rsidRPr="001F2F9F">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Mit Ausnahme von a) Anlagen und Tätigkeiten im Bereich der Strom- und/oder Wärmeerzeugung sowie der damit verbundenen Fernleitungs- und Verteilungsinfrastruktur, di</w:t>
      </w:r>
      <w:r>
        <w:rPr>
          <w:rFonts w:ascii="Times New Roman" w:hAnsi="Times New Roman" w:cs="Times New Roman"/>
          <w:sz w:val="20"/>
          <w:szCs w:val="20"/>
        </w:rPr>
        <w:t>e Erdgas nutzen, die die Bedingungen in Anhang III der</w:t>
      </w:r>
      <w:r>
        <w:rPr>
          <w:rFonts w:ascii="Times New Roman" w:eastAsia="Times New Roman" w:hAnsi="Times New Roman" w:cs="Times New Roman"/>
          <w:sz w:val="20"/>
          <w:szCs w:val="20"/>
        </w:rPr>
        <w:t>Technischen Leitlinien „</w:t>
      </w:r>
      <w:r>
        <w:rPr>
          <w:rFonts w:ascii="Times New Roman" w:eastAsia="Times New Roman" w:hAnsi="Times New Roman" w:cs="Times New Roman"/>
          <w:i/>
          <w:sz w:val="20"/>
          <w:szCs w:val="20"/>
        </w:rPr>
        <w:t>Vermeidung erheblicher Beeinträchtigungen</w:t>
      </w:r>
      <w:r>
        <w:rPr>
          <w:rFonts w:ascii="Times New Roman" w:eastAsia="Times New Roman" w:hAnsi="Times New Roman" w:cs="Times New Roman"/>
          <w:sz w:val="20"/>
          <w:szCs w:val="20"/>
        </w:rPr>
        <w:t>“ (2021/C58/01) erfüllen, und b) Tätigkeiten und Vermögenswerte gemäß Ziffer ii, bei denen die Nutzung fossiler Brennstoffe vorübergehend</w:t>
      </w:r>
      <w:r>
        <w:rPr>
          <w:rFonts w:ascii="Times New Roman" w:eastAsia="Times New Roman" w:hAnsi="Times New Roman" w:cs="Times New Roman"/>
          <w:sz w:val="20"/>
          <w:szCs w:val="20"/>
        </w:rPr>
        <w:t xml:space="preserve"> und technisch für den rechtzeitigen Übergang zu einem Betrieb ohne fossile Brennstoffe unvermeidbar ist.</w:t>
      </w:r>
    </w:p>
  </w:footnote>
  <w:footnote w:id="86">
    <w:p w14:paraId="2F5E2959" w14:textId="77777777" w:rsidR="0057163C" w:rsidRDefault="00F37BF9">
      <w:pPr>
        <w:spacing w:after="0" w:line="240" w:lineRule="auto"/>
        <w:jc w:val="both"/>
        <w:rPr>
          <w:rStyle w:val="FootnoteReference"/>
          <w:rFonts w:ascii="Times New Roman" w:hAnsi="Times New Roman" w:cs="Times New Roman"/>
          <w:sz w:val="20"/>
          <w:szCs w:val="20"/>
          <w:vertAlign w:val="baseline"/>
        </w:rPr>
      </w:pPr>
      <w:r w:rsidRPr="001F2F9F">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 xml:space="preserve">Einschließlich Tätigkeiten und Vermögenswerten im Rahmen des EU-Emissionshandelssystems (EHS), mit denen prognostizierte Treibhausgasemissionen </w:t>
      </w:r>
      <w:r>
        <w:rPr>
          <w:rStyle w:val="FootnoteReference"/>
          <w:rFonts w:ascii="Times New Roman" w:hAnsi="Times New Roman" w:cs="Times New Roman"/>
          <w:sz w:val="20"/>
          <w:szCs w:val="20"/>
          <w:vertAlign w:val="baseline"/>
        </w:rPr>
        <w:t>erreicht werden, die nicht unter den einschlägigen Referenzwerten liegen. Wenn mit der geförderten Tätigkeit prognostizierte Treibhausgasemissionen erreicht werden, die nicht wesentlich unter den einschlägigen Referenzwerten liegen, ist zu erläutern, warum</w:t>
      </w:r>
      <w:r>
        <w:rPr>
          <w:rStyle w:val="FootnoteReference"/>
          <w:rFonts w:ascii="Times New Roman" w:hAnsi="Times New Roman" w:cs="Times New Roman"/>
          <w:sz w:val="20"/>
          <w:szCs w:val="20"/>
          <w:vertAlign w:val="baseline"/>
        </w:rPr>
        <w:t xml:space="preserve"> dies nicht möglich ist. Die Richtwerte für die kostenlose Zuteilung von Zertifikaten für Tätigkeiten, die unter das Emissionshandelssystem fallen, sind in der Durchführungsverordnung (EU) 2021/447 der Kommission festgelegt.</w:t>
      </w:r>
    </w:p>
  </w:footnote>
  <w:footnote w:id="87">
    <w:p w14:paraId="4A650BD8" w14:textId="77777777" w:rsidR="0057163C" w:rsidRDefault="00F37BF9">
      <w:pPr>
        <w:spacing w:after="0" w:line="240" w:lineRule="auto"/>
        <w:jc w:val="both"/>
        <w:rPr>
          <w:rStyle w:val="FootnoteReference"/>
          <w:rFonts w:ascii="Times New Roman" w:hAnsi="Times New Roman" w:cs="Times New Roman"/>
          <w:sz w:val="20"/>
          <w:szCs w:val="20"/>
          <w:vertAlign w:val="baseline"/>
        </w:rPr>
      </w:pPr>
      <w:r w:rsidRPr="001F2F9F">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vertAlign w:val="baseline"/>
        </w:rPr>
        <w:t>Umweltschädliche Fahrzeuge wer</w:t>
      </w:r>
      <w:r>
        <w:rPr>
          <w:rStyle w:val="FootnoteReference"/>
          <w:rFonts w:ascii="Times New Roman" w:hAnsi="Times New Roman" w:cs="Times New Roman"/>
          <w:sz w:val="20"/>
          <w:szCs w:val="20"/>
          <w:vertAlign w:val="baseline"/>
        </w:rPr>
        <w:t>den als nicht emissionsfreie Fahrzeuge definiert.</w:t>
      </w:r>
    </w:p>
  </w:footnote>
  <w:footnote w:id="88">
    <w:p w14:paraId="21842AC2" w14:textId="77777777" w:rsidR="0057163C" w:rsidRDefault="00F37BF9">
      <w:pPr>
        <w:spacing w:after="0" w:line="240" w:lineRule="auto"/>
        <w:jc w:val="both"/>
        <w:rPr>
          <w:rFonts w:ascii="Times New Roman" w:eastAsia="Times New Roman" w:hAnsi="Times New Roman" w:cs="Times New Roman"/>
        </w:rPr>
      </w:pPr>
      <w:r w:rsidRPr="001F2F9F">
        <w:rPr>
          <w:rStyle w:val="FootnoteReference"/>
          <w:rFonts w:ascii="Times New Roman" w:hAnsi="Times New Roman" w:cs="Times New Roman"/>
          <w:sz w:val="20"/>
          <w:szCs w:val="20"/>
        </w:rPr>
        <w:footnoteRef/>
      </w:r>
      <w:r>
        <w:rPr>
          <w:rStyle w:val="FootnoteReference"/>
          <w:rFonts w:ascii="Times New Roman" w:hAnsi="Times New Roman" w:cs="Times New Roman"/>
          <w:sz w:val="20"/>
          <w:szCs w:val="20"/>
        </w:rPr>
        <w:t xml:space="preserve"> </w:t>
      </w:r>
      <w:r>
        <w:rPr>
          <w:rStyle w:val="FootnoteReference"/>
          <w:rFonts w:ascii="Times New Roman" w:hAnsi="Times New Roman" w:cs="Times New Roman"/>
          <w:sz w:val="20"/>
          <w:szCs w:val="20"/>
          <w:vertAlign w:val="baseline"/>
        </w:rPr>
        <w:t>Dieser Ausschluss gilt nicht für Maßnahmen in Anlagen, die ausschließlich der Behandlung nicht rezyklierbarer gefährlicher Abfälle dienen, und für bestehende Anlagen, in denen die Maßnahmen im Rahmen dies</w:t>
      </w:r>
      <w:r>
        <w:rPr>
          <w:rStyle w:val="FootnoteReference"/>
          <w:rFonts w:ascii="Times New Roman" w:hAnsi="Times New Roman" w:cs="Times New Roman"/>
          <w:sz w:val="20"/>
          <w:szCs w:val="20"/>
          <w:vertAlign w:val="baseline"/>
        </w:rPr>
        <w:t>er Maßnahme dem Zweck dienen, die Energieeffizienz zu erhöhen, Abgase für die Lagerung oder Verwendung oder die Verwertung von Materialien aus Verbrennungsasche zu erfassen, sofern diese Maßnahmen im Rahmen dieser Maßnahme nicht zu einer Erhöhung der Abfal</w:t>
      </w:r>
      <w:r>
        <w:rPr>
          <w:rStyle w:val="FootnoteReference"/>
          <w:rFonts w:ascii="Times New Roman" w:hAnsi="Times New Roman" w:cs="Times New Roman"/>
          <w:sz w:val="20"/>
          <w:szCs w:val="20"/>
          <w:vertAlign w:val="baseline"/>
        </w:rPr>
        <w:t>lbehandlungskapazität der Anlagen oder zu einer Verlängerung der Lebensdauer der Anlagen führen; für die Nachweise auf Anlagenebene erbracht werden.</w:t>
      </w:r>
    </w:p>
  </w:footnote>
  <w:footnote w:id="89">
    <w:p w14:paraId="6F9200E1" w14:textId="77777777" w:rsidR="0057163C" w:rsidRDefault="00F37BF9">
      <w:pPr>
        <w:pStyle w:val="FootnoteText"/>
        <w:ind w:left="0" w:firstLine="0"/>
      </w:pPr>
      <w:r w:rsidRPr="001F2F9F">
        <w:rPr>
          <w:rStyle w:val="FootnoteReference"/>
        </w:rPr>
        <w:footnoteRef/>
      </w:r>
      <w:r>
        <w:t xml:space="preserve"> Mit Ausnahme von a) Anlagen und Tätigkeiten im Bereich der Strom- und/oder Wärmeerzeugung sowie der damit</w:t>
      </w:r>
      <w:r>
        <w:t xml:space="preserve"> verbundenen Fernleitungs- und Verteilungsinfrastruktur, die Erdgas nutzen, die die Bedingungen in Anhang III der Technischen Leitlinien „Vermeidung erheblicher Beeinträchtigungen“ (2021/C58/01) erfüllen, und b) Tätigkeiten und Vermögenswerte gemäß Ziffer </w:t>
      </w:r>
      <w:r>
        <w:t>ii, bei denen die Nutzung fossiler Brennstoffe vorübergehend und technisch für den rechtzeitigen Übergang zu einem Betrieb ohne fossile Brennstoffe unvermeidbar ist.</w:t>
      </w:r>
    </w:p>
  </w:footnote>
  <w:footnote w:id="90">
    <w:p w14:paraId="4F389F10" w14:textId="77777777" w:rsidR="0057163C" w:rsidRDefault="00F37BF9">
      <w:pPr>
        <w:pStyle w:val="FootnoteText"/>
        <w:ind w:left="0" w:firstLine="0"/>
        <w:rPr>
          <w:rFonts w:eastAsia="EC Square Sans Pro"/>
        </w:rPr>
      </w:pPr>
      <w:r w:rsidRPr="001F2F9F">
        <w:rPr>
          <w:rStyle w:val="FootnoteReference"/>
        </w:rPr>
        <w:footnoteRef/>
      </w:r>
      <w:r>
        <w:t xml:space="preserve"> </w:t>
      </w:r>
      <w:r>
        <w:rPr>
          <w:rFonts w:eastAsia="EC Square Sans Pro"/>
        </w:rPr>
        <w:t xml:space="preserve">Wenn mit der geförderten Tätigkeit prognostizierte Treibhausgasemissionen erreicht </w:t>
      </w:r>
      <w:r>
        <w:rPr>
          <w:rFonts w:eastAsia="EC Square Sans Pro"/>
        </w:rPr>
        <w:t>werden, die nicht wesentlich unter den einschlägigen Referenzwerten liegen, ist zu erläutern, warum dies nicht möglich ist. Die Richtwerte für die kostenlose Zuteilung von Zertifikaten für Tätigkeiten, die unter das Emissionshandelssystem fallen, sind in d</w:t>
      </w:r>
      <w:r>
        <w:rPr>
          <w:rFonts w:eastAsia="EC Square Sans Pro"/>
        </w:rPr>
        <w:t xml:space="preserve">er Durchführungsverordnung (EU) 2021/447 der Kommission festgelegt. </w:t>
      </w:r>
    </w:p>
  </w:footnote>
  <w:footnote w:id="91">
    <w:p w14:paraId="4A3B153C" w14:textId="77777777" w:rsidR="0057163C" w:rsidRDefault="00F37BF9">
      <w:pPr>
        <w:pStyle w:val="FootnoteText"/>
        <w:ind w:left="0" w:firstLine="0"/>
        <w:rPr>
          <w:rFonts w:eastAsiaTheme="minorHAnsi" w:cstheme="minorBidi"/>
        </w:rPr>
      </w:pPr>
      <w:r w:rsidRPr="001F2F9F">
        <w:rPr>
          <w:rStyle w:val="FootnoteReference"/>
        </w:rPr>
        <w:footnoteRef/>
      </w:r>
      <w:r>
        <w:t xml:space="preserve"> Dieser Ausschluss gilt nicht für Maßnahmen im Rahmen dieser Maßnahme in Anlagen, die ausschließlich der Behandlung nicht rezyklierbarer gefährlicher Abfälle dienen, und für bestehende A</w:t>
      </w:r>
      <w:r>
        <w:t xml:space="preserve">nlagen, wenn die Maßnahmen im Rahmen dieser Maßnahme der Steigerung der Energieeffizienz, der Abscheidung von Abgasen zur Lagerung oder Verwendung oder der Rückgewinnung von Materialien aus Verbrennungsasche dienen, sofern diese Maßnahmen im Rahmen dieser </w:t>
      </w:r>
      <w:r>
        <w:t>Maßnahme nicht zu einer Erhöhung der Abfallbehandlungskapazitäten der Anlagen oder zu einer Verlängerung der Lebensdauer der Anlagen führen; für die Nachweise auf Anlagenebene erbracht werden. </w:t>
      </w:r>
    </w:p>
  </w:footnote>
  <w:footnote w:id="92">
    <w:p w14:paraId="57AA7244" w14:textId="77777777" w:rsidR="0057163C" w:rsidRDefault="00F37BF9">
      <w:pPr>
        <w:pStyle w:val="FootnoteText"/>
        <w:ind w:left="0" w:firstLine="0"/>
      </w:pPr>
      <w:r w:rsidRPr="001F2F9F">
        <w:rPr>
          <w:rStyle w:val="FootnoteReference"/>
        </w:rPr>
        <w:footnoteRef/>
      </w:r>
      <w:r>
        <w:t xml:space="preserve"> Dieser Ausschluss gilt nicht für Maßnahmen im Rahmen dieser </w:t>
      </w:r>
      <w:r>
        <w:t>Maßnahme in bestehenden Anlagen zur mechanisch-biologischen Behandlung, bei denen die Maßnahmen im Rahmen dieser Maßnahme der Steigerung der Energieeffizienz oder der Nachrüstung von getrennten Abfällen zur Kompostierung von Bioabfällen und der anaeroben V</w:t>
      </w:r>
      <w:r>
        <w:t>ergärung von Bioabfällen dienen, sofern diese Maßnahmen im Rahmen dieser Maßnahme nicht zu einer Erhöhung der Abfallaufbereitungskapazität der Anlagen oder zu einer Verlängerung der Lebensdauer der Anlagen führen; für die Nachweise auf Anlagenebene erbrach</w:t>
      </w:r>
      <w:r>
        <w:t>t werden. </w:t>
      </w:r>
    </w:p>
  </w:footnote>
  <w:footnote w:id="93">
    <w:p w14:paraId="554975A4" w14:textId="77777777" w:rsidR="0057163C" w:rsidRDefault="00F37BF9">
      <w:pPr>
        <w:pStyle w:val="FootnoteText"/>
        <w:ind w:left="0" w:firstLine="0"/>
      </w:pPr>
      <w:r w:rsidRPr="001F2F9F">
        <w:rPr>
          <w:rStyle w:val="FootnoteReference"/>
        </w:rPr>
        <w:footnoteRef/>
      </w:r>
      <w:r>
        <w:t xml:space="preserve"> Ausgenommen Projekte im Rahmen dieser Maßnahme in Bezug auf die Strom- und/oder Wärmeerzeugung sowie die zugehörige Fernleitungs- und Verteilungsinfrastruktur unter Verwendung von Erdgas, die die Bedingungen in Anhang III der Technischen Leitl</w:t>
      </w:r>
      <w:r>
        <w:t>inien für die Anwendung des Grundsatzes der „Vermeidung erheblicher Beeinträchtigungen“ (2021/C58/01) erfüllen.</w:t>
      </w:r>
    </w:p>
  </w:footnote>
  <w:footnote w:id="94">
    <w:p w14:paraId="7E32F814" w14:textId="77777777" w:rsidR="0057163C" w:rsidRDefault="00F37BF9">
      <w:pPr>
        <w:pStyle w:val="FootnoteText"/>
        <w:ind w:left="0" w:firstLine="0"/>
      </w:pPr>
      <w:r w:rsidRPr="001F2F9F">
        <w:rPr>
          <w:rStyle w:val="FootnoteReference"/>
        </w:rPr>
        <w:footnoteRef/>
      </w:r>
      <w:r>
        <w:t xml:space="preserve"> Erreicht die geförderte Tätigkeit prognostizierte Treibhausgasemissionen, die nicht wesentlich niedriger sind als die einschlägigen Benchmarks</w:t>
      </w:r>
      <w:r>
        <w:t>, sollte erläutert werden, warum dies nicht möglich ist. Die Richtwerte für die kostenlose Zuteilung von Zertifikaten für Tätigkeiten, die unter das Emissionshandelssystem fallen, sind in der Durchführungsverordnung (EU) 2021/447 der Kommission festgelegt.</w:t>
      </w:r>
    </w:p>
  </w:footnote>
  <w:footnote w:id="95">
    <w:p w14:paraId="04641FDD" w14:textId="77777777" w:rsidR="0057163C" w:rsidRDefault="00F37BF9">
      <w:pPr>
        <w:spacing w:after="0" w:line="240" w:lineRule="auto"/>
        <w:jc w:val="both"/>
        <w:rPr>
          <w:rFonts w:ascii="Times New Roman" w:hAnsi="Times New Roman" w:cs="Times New Roman"/>
        </w:rPr>
      </w:pPr>
      <w:r w:rsidRPr="001F2F9F">
        <w:rPr>
          <w:rStyle w:val="FootnoteReference"/>
          <w:rFonts w:ascii="Times New Roman" w:hAnsi="Times New Roman" w:cs="Times New Roman"/>
          <w:sz w:val="20"/>
          <w:szCs w:val="20"/>
        </w:rPr>
        <w:footnoteRef/>
      </w:r>
      <w:r>
        <w:rPr>
          <w:rFonts w:ascii="Times New Roman" w:hAnsi="Times New Roman" w:cs="Times New Roman"/>
          <w:sz w:val="20"/>
        </w:rPr>
        <w:t xml:space="preserve"> Dieser Ausschluss gilt nicht für Maßnahmen im Rahmen dieser Maßnahme in Anlagen, die ausschließlich der Behandlung nicht rezyklierbarer gefährlicher Abfälle dienen, und für bestehende Anlagen, wenn die Maßnahmen im Rahmen dieser Maßnahme der Steigerung </w:t>
      </w:r>
      <w:r>
        <w:rPr>
          <w:rFonts w:ascii="Times New Roman" w:hAnsi="Times New Roman" w:cs="Times New Roman"/>
          <w:sz w:val="20"/>
        </w:rPr>
        <w:t>der Energieeffizienz, der Abscheidung von Abgasen zur Lagerung oder Verwendung oder der Rückgewinnung von Materialien aus Verbrennungsasche dienen, sofern diese Maßnahmen im Rahmen dieser Maßnahme nicht zu einer Erhöhung der Abfallbehandlungskapazitäten de</w:t>
      </w:r>
      <w:r>
        <w:rPr>
          <w:rFonts w:ascii="Times New Roman" w:hAnsi="Times New Roman" w:cs="Times New Roman"/>
          <w:sz w:val="20"/>
        </w:rPr>
        <w:t>r Anlagen oder zu einer Verlängerung der Lebensdauer der Anlagen führen; für die Nachweise auf Anlagenebene erbracht werden.</w:t>
      </w:r>
    </w:p>
  </w:footnote>
  <w:footnote w:id="96">
    <w:p w14:paraId="102719DC" w14:textId="77777777" w:rsidR="0057163C" w:rsidRDefault="00F37BF9">
      <w:pPr>
        <w:pStyle w:val="FootnoteText"/>
        <w:ind w:left="0" w:firstLine="0"/>
      </w:pPr>
      <w:r w:rsidRPr="001F2F9F">
        <w:rPr>
          <w:rStyle w:val="FootnoteReference"/>
        </w:rPr>
        <w:footnoteRef/>
      </w:r>
      <w:r>
        <w:t xml:space="preserve"> Dieser Ausschluss gilt nicht für Maßnahmen im Rahmen dieser Maßnahme in bestehenden Anlagen zur mechanisch-biologischen Behandlun</w:t>
      </w:r>
      <w:r>
        <w:t>g, bei denen die Maßnahmen im Rahmen dieser Maßnahme der Steigerung der Energieeffizienz oder der Nachrüstung von getrennten Abfällen zur Kompostierung von Bioabfällen und der anaeroben Vergärung von Bioabfällen dienen, sofern diese Maßnahmen im Rahmen die</w:t>
      </w:r>
      <w:r>
        <w:t>ser Maßnahme nicht zu einer Erhöhung der Abfallaufbereitungskapazität der Anlagen oder zu einer Verlängerung der Lebensdauer der Anlagen führen; für die Nachweise auf Anlagenebene erbracht werden.</w:t>
      </w:r>
    </w:p>
  </w:footnote>
  <w:footnote w:id="97">
    <w:p w14:paraId="1BE840AA" w14:textId="77777777" w:rsidR="0057163C" w:rsidRDefault="0057163C"/>
  </w:footnote>
  <w:footnote w:id="98">
    <w:p w14:paraId="4B04E9F4" w14:textId="2BAAE38D" w:rsidR="0057163C" w:rsidRDefault="00F37BF9">
      <w:pPr>
        <w:pStyle w:val="FootnoteText"/>
        <w:ind w:left="0" w:firstLine="0"/>
      </w:pPr>
      <w:r w:rsidRPr="001F2F9F">
        <w:rPr>
          <w:rStyle w:val="FootnoteReference"/>
        </w:rPr>
        <w:footnoteRef/>
      </w:r>
      <w:r>
        <w:t xml:space="preserve"> Endempfänger, die mit spezifischen Projekten assoziiert </w:t>
      </w:r>
      <w:r>
        <w:t>sind, müssen für jedes geförderte Projekt eine Begründung des ausgewählten Interventionsbereichs zusammen mit einer Beschreibung des Projekts für die Zwecke der Berechnung des Klimabeitrags vorlegen. Der Durchführungspartner ist ferner verpflichtet, dem Mi</w:t>
      </w:r>
      <w:r>
        <w:t>tgliedstaat halbjährlich einen Bericht über die Durchführung jedes Projekts/jeder Tätigkeit vorzulegen.</w:t>
      </w:r>
    </w:p>
  </w:footnote>
  <w:footnote w:id="99">
    <w:p w14:paraId="38058091" w14:textId="77777777" w:rsidR="0057163C" w:rsidRDefault="00F37BF9">
      <w:pPr>
        <w:pStyle w:val="FootnoteText"/>
        <w:ind w:left="0" w:firstLine="0"/>
      </w:pPr>
      <w:r w:rsidRPr="001F2F9F">
        <w:rPr>
          <w:rStyle w:val="FootnoteReference"/>
          <w:rFonts w:eastAsiaTheme="majorEastAsia"/>
        </w:rPr>
        <w:footnoteRef/>
      </w:r>
      <w:r>
        <w:t xml:space="preserve"> Es wird davon ausgegangen, dass ein Endempfänger einen „wesentlichen Schwerpunkt“ auf einen Sektor oder eine Geschäftstätigkeit hat, wenn dieser Sekto</w:t>
      </w:r>
      <w:r>
        <w:t>r oder diese Tätigkeit im Verhältnis zu den Bruttoeinnahmen, dem Gewinn oder der Kundenbasis des Endbegünstigten als wesentlicher Teil der Geschäftstätigkeit des Endbegünstigten ermittelt wird. Die Bruttoeinnahmen aus dem beschränkten Sektor oder der besch</w:t>
      </w:r>
      <w:r>
        <w:t>ränkten Tätigkeit dürfen in keinem Fall 50 % der Bruttoeinnahmen übersteigen.</w:t>
      </w:r>
    </w:p>
  </w:footnote>
  <w:footnote w:id="100">
    <w:p w14:paraId="4622071A" w14:textId="77777777" w:rsidR="0057163C" w:rsidRDefault="00F37BF9">
      <w:pPr>
        <w:spacing w:after="0" w:line="240" w:lineRule="auto"/>
        <w:jc w:val="both"/>
        <w:rPr>
          <w:rFonts w:ascii="Times New Roman" w:hAnsi="Times New Roman" w:cs="Times New Roman"/>
          <w:sz w:val="20"/>
          <w:szCs w:val="20"/>
        </w:rPr>
      </w:pPr>
      <w:r w:rsidRPr="001F2F9F">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Mit Ausnahme von a) Anlagen und Tätigkeiten im Bereich der Strom- und/oder Wärmeerzeugung sowie der damit verbundenen Fernleitungs- und Verteilungsinfrastruktur, die Erdgas nut</w:t>
      </w:r>
      <w:r>
        <w:rPr>
          <w:rFonts w:ascii="Times New Roman" w:hAnsi="Times New Roman" w:cs="Times New Roman"/>
          <w:sz w:val="20"/>
        </w:rPr>
        <w:t>zen, die die Bedingungen in Anhang III der Technischen Leitlinien „Vermeidung erheblicher Beeinträchtigungen“ (2021/C58/01) erfüllen, und b) Tätigkeiten und Vermögenswerte gemäß Ziffer ii, bei denen die Nutzung fossiler Brennstoffe vorübergehend und techni</w:t>
      </w:r>
      <w:r>
        <w:rPr>
          <w:rFonts w:ascii="Times New Roman" w:hAnsi="Times New Roman" w:cs="Times New Roman"/>
          <w:sz w:val="20"/>
        </w:rPr>
        <w:t>sch für den rechtzeitigen Übergang zu einem Betrieb ohne fossile Brennstoffe unvermeidbar ist.</w:t>
      </w:r>
    </w:p>
  </w:footnote>
  <w:footnote w:id="101">
    <w:p w14:paraId="227754C7" w14:textId="77777777" w:rsidR="0057163C" w:rsidRDefault="00F37BF9">
      <w:pPr>
        <w:spacing w:after="0" w:line="240" w:lineRule="auto"/>
        <w:jc w:val="both"/>
        <w:rPr>
          <w:rFonts w:ascii="Times New Roman" w:hAnsi="Times New Roman" w:cs="Times New Roman"/>
          <w:sz w:val="20"/>
          <w:szCs w:val="20"/>
        </w:rPr>
      </w:pPr>
      <w:r w:rsidRPr="001F2F9F">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Einschließlich Tätigkeiten und Vermögenswerten im Rahmen des EU-Emissionshandelssystems (EHS), mit denen prognostizierte Treibhausgasemissionen erreicht werden</w:t>
      </w:r>
      <w:r>
        <w:rPr>
          <w:rFonts w:ascii="Times New Roman" w:hAnsi="Times New Roman" w:cs="Times New Roman"/>
          <w:sz w:val="20"/>
        </w:rPr>
        <w:t>, die nicht unter den einschlägigen Referenzwerten liegen. Wenn mit der geförderten Tätigkeit prognostizierte Treibhausgasemissionen erreicht werden, die nicht wesentlich unter den einschlägigen Referenzwerten liegen, ist zu erläutern, warum dies nicht mög</w:t>
      </w:r>
      <w:r>
        <w:rPr>
          <w:rFonts w:ascii="Times New Roman" w:hAnsi="Times New Roman" w:cs="Times New Roman"/>
          <w:sz w:val="20"/>
        </w:rPr>
        <w:t>lich ist. Die Richtwerte für die kostenlose Zuteilung von Zertifikaten für Tätigkeiten, die unter das Emissionshandelssystem fallen, sind in der Durchführungsverordnung (EU) 2021/447 der Kommission festgelegt.</w:t>
      </w:r>
    </w:p>
  </w:footnote>
  <w:footnote w:id="102">
    <w:p w14:paraId="56FC1216" w14:textId="77777777" w:rsidR="0057163C" w:rsidRDefault="00F37BF9">
      <w:pPr>
        <w:spacing w:after="0" w:line="240" w:lineRule="auto"/>
        <w:jc w:val="both"/>
        <w:rPr>
          <w:rFonts w:ascii="Times New Roman" w:hAnsi="Times New Roman" w:cs="Times New Roman"/>
          <w:sz w:val="20"/>
          <w:szCs w:val="20"/>
        </w:rPr>
      </w:pPr>
      <w:r w:rsidRPr="001F2F9F">
        <w:rPr>
          <w:rStyle w:val="FootnoteReference"/>
          <w:rFonts w:ascii="Times New Roman" w:eastAsiaTheme="majorEastAsia" w:hAnsi="Times New Roman" w:cs="Times New Roman"/>
          <w:sz w:val="20"/>
          <w:szCs w:val="20"/>
        </w:rPr>
        <w:footnoteRef/>
      </w:r>
      <w:r>
        <w:rPr>
          <w:rFonts w:ascii="Times New Roman" w:hAnsi="Times New Roman" w:cs="Times New Roman"/>
          <w:sz w:val="20"/>
        </w:rPr>
        <w:t xml:space="preserve"> Umweltschädliche Fahrzeuge werden als nicht </w:t>
      </w:r>
      <w:r>
        <w:rPr>
          <w:rFonts w:ascii="Times New Roman" w:hAnsi="Times New Roman" w:cs="Times New Roman"/>
          <w:sz w:val="20"/>
        </w:rPr>
        <w:t>emissionsfreie Fahrzeuge definiert.</w:t>
      </w:r>
    </w:p>
  </w:footnote>
  <w:footnote w:id="103">
    <w:p w14:paraId="1F4EADE3" w14:textId="77777777" w:rsidR="0057163C" w:rsidRDefault="00F37BF9">
      <w:pPr>
        <w:pStyle w:val="FootnoteText"/>
        <w:ind w:left="0" w:firstLine="0"/>
      </w:pPr>
      <w:r w:rsidRPr="001F2F9F">
        <w:rPr>
          <w:rStyle w:val="FootnoteReference"/>
          <w:rFonts w:eastAsiaTheme="majorEastAsia"/>
        </w:rPr>
        <w:footnoteRef/>
      </w:r>
      <w:r>
        <w:t xml:space="preserve"> Dieser Ausschluss gilt nicht für Maßnahmen in Anlagen, die ausschließlich der Behandlung nicht rezyklierbarer gefährlicher Abfälle dienen, und für bestehende Anlagen, in denen die Maßnahmen im Rahmen dieser Maßnahme de</w:t>
      </w:r>
      <w:r>
        <w:t>m Zweck dienen, die Energieeffizienz zu erhöhen, Abgase für die Lagerung oder Verwendung oder die Verwertung von Materialien aus Verbrennungsasche zu erfassen, sofern diese Maßnahmen im Rahmen dieser Maßnahme nicht zu einer Erhöhung der Abfallbehandlungska</w:t>
      </w:r>
      <w:r>
        <w:t>pazität der Anlagen oder zu einer Verlängerung der Lebensdauer der Anlagen führen; für die Nachweise auf Anlagenebene erbracht werden.</w:t>
      </w:r>
    </w:p>
  </w:footnote>
  <w:footnote w:id="104">
    <w:p w14:paraId="2118312F" w14:textId="60DBA07F" w:rsidR="0057163C" w:rsidRDefault="00F37BF9">
      <w:pPr>
        <w:pStyle w:val="FootnoteText"/>
        <w:ind w:left="0" w:firstLine="0"/>
      </w:pPr>
      <w:r w:rsidRPr="001F2F9F">
        <w:rPr>
          <w:rStyle w:val="FootnoteReference"/>
        </w:rPr>
        <w:footnoteRef/>
      </w:r>
      <w:r>
        <w:t xml:space="preserve"> Endempfänger, die mit spezifischen Projekten assoziiert sind, müssen für jedes geförderte Projekt eine Begründung des a</w:t>
      </w:r>
      <w:r>
        <w:t>usgewählten Interventionsbereichs zusammen mit einer Beschreibung des Projekts für die Zwecke der Berechnung des Klimabeitrags vorlegen. Der Durchführungspartner ist ferner verpflichtet, dem Mitgliedstaat halbjährlich einen Bericht über die Durchführung je</w:t>
      </w:r>
      <w:r>
        <w:t>des Projekts/jeder Tätigkeit vorzulegen.</w:t>
      </w:r>
    </w:p>
  </w:footnote>
  <w:footnote w:id="105">
    <w:p w14:paraId="091AAF01" w14:textId="77777777" w:rsidR="0057163C" w:rsidRDefault="00F37BF9">
      <w:pPr>
        <w:pStyle w:val="FootnoteText"/>
        <w:ind w:left="0" w:firstLine="0"/>
      </w:pPr>
      <w:r w:rsidRPr="001F2F9F">
        <w:rPr>
          <w:rStyle w:val="FootnoteReference"/>
        </w:rPr>
        <w:footnoteRef/>
      </w:r>
      <w:r>
        <w:t xml:space="preserve"> Mit Ausnahme von a) Anlagen und Tätigkeiten im Bereich der Strom- und/oder Wärmeerzeugung sowie der damit verbundenen Fernleitungs- und Verteilungsinfrastruktur, die Erdgas nutzen, die die Bedingungen in Anhang II</w:t>
      </w:r>
      <w:r>
        <w:t>I der Technischen Leitlinien „Vermeidung erheblicher Beeinträchtigungen“ (2021/C58/01) erfüllen, und b) Tätigkeiten und Vermögenswerte gemäß Ziffer ii, bei denen die Nutzung fossiler Brennstoffe vorübergehend und technisch für den rechtzeitigen Übergang zu</w:t>
      </w:r>
      <w:r>
        <w:t xml:space="preserve"> einem Betrieb ohne fossile Brennstoffe unvermeidbar ist.</w:t>
      </w:r>
    </w:p>
  </w:footnote>
  <w:footnote w:id="106">
    <w:p w14:paraId="5FB85DB4" w14:textId="77777777" w:rsidR="0057163C" w:rsidRDefault="00F37BF9">
      <w:pPr>
        <w:pStyle w:val="FootnoteText"/>
        <w:ind w:left="0" w:firstLine="0"/>
        <w:rPr>
          <w:rFonts w:eastAsia="EC Square Sans Pro"/>
        </w:rPr>
      </w:pPr>
      <w:r w:rsidRPr="001F2F9F">
        <w:rPr>
          <w:rStyle w:val="FootnoteReference"/>
          <w:rFonts w:eastAsiaTheme="majorEastAsia"/>
        </w:rPr>
        <w:footnoteRef/>
      </w:r>
      <w:r>
        <w:t xml:space="preserve"> Wenn mit der geförderten Tätigkeit prognostizierte Treibhausgasemissionen erreicht werden, die nicht wesentlich unter den einschlägigen Referenzwerten liegen, ist zu erläutern, warum dies nicht mö</w:t>
      </w:r>
      <w:r>
        <w:t>glich ist. Die Richtwerte für die kostenlose Zuteilung von Zertifikaten für Tätigkeiten, die unter das Emissionshandelssystem fallen, sind in der Durchführungsverordnung (EU) 2021/447 der Kommission festgelegt. </w:t>
      </w:r>
    </w:p>
  </w:footnote>
  <w:footnote w:id="107">
    <w:p w14:paraId="3EEF9FE7" w14:textId="77777777" w:rsidR="0057163C" w:rsidRDefault="00F37BF9">
      <w:pPr>
        <w:pStyle w:val="FootnoteText"/>
        <w:ind w:left="0" w:firstLine="0"/>
      </w:pPr>
      <w:r w:rsidRPr="001F2F9F">
        <w:rPr>
          <w:rStyle w:val="FootnoteReference"/>
          <w:rFonts w:eastAsiaTheme="majorEastAsia"/>
        </w:rPr>
        <w:footnoteRef/>
      </w:r>
      <w:r>
        <w:t xml:space="preserve"> Dieser Ausschluss gilt nicht für Maßnahmen im Rahmen dieser Maßnahme in Anlagen, die ausschließlich der Behandlung nicht rezyklierbarer gefährlicher Abfälle dienen, und für bestehende Anlagen, wenn die Maßnahmen im Rahmen dieser Maßnahme der Steigerung de</w:t>
      </w:r>
      <w:r>
        <w:t xml:space="preserve">r Energieeffizienz, der Abscheidung von Abgasen zur Lagerung oder Verwendung oder der Rückgewinnung von Materialien aus Verbrennungsasche dienen, sofern diese Maßnahmen im Rahmen dieser Maßnahme nicht zu einer Erhöhung der Abfallbehandlungskapazitäten der </w:t>
      </w:r>
      <w:r>
        <w:t>Anlagen oder zu einer Verlängerung der Lebensdauer der Anlagen führen; für die Nachweise auf Anlagenebene erbracht werden. </w:t>
      </w:r>
    </w:p>
  </w:footnote>
  <w:footnote w:id="108">
    <w:p w14:paraId="09D62EC6" w14:textId="77777777" w:rsidR="0057163C" w:rsidRDefault="00F37BF9">
      <w:pPr>
        <w:pStyle w:val="FootnoteText"/>
        <w:ind w:left="0" w:firstLine="0"/>
      </w:pPr>
      <w:r w:rsidRPr="001F2F9F">
        <w:rPr>
          <w:rStyle w:val="FootnoteReference"/>
          <w:rFonts w:eastAsiaTheme="majorEastAsia"/>
        </w:rPr>
        <w:footnoteRef/>
      </w:r>
      <w:r>
        <w:t xml:space="preserve"> Dieser Ausschluss gilt nicht für Maßnahmen im Rahmen dieser Maßnahme in bestehenden Anlagen zur mechanisch-biologischen Behandlung</w:t>
      </w:r>
      <w:r>
        <w:t>, bei denen die Maßnahmen im Rahmen dieser Maßnahme der Steigerung der Energieeffizienz oder der Nachrüstung von getrennten Abfällen zur Kompostierung von Bioabfällen und der anaeroben Vergärung von Bioabfällen dienen, sofern diese Maßnahmen im Rahmen dies</w:t>
      </w:r>
      <w:r>
        <w:t>er Maßnahme nicht zu einer Erhöhung der Abfallaufbereitungskapazität der Anlagen oder zu einer Verlängerung der Lebensdauer der Anlagen führen; für die Nachweise auf Anlagenebene erbracht werden.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0A007" w14:textId="77777777" w:rsidR="00F37BF9" w:rsidRPr="00F37BF9" w:rsidRDefault="00F37BF9" w:rsidP="00F37BF9">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07E7B" w14:textId="77777777" w:rsidR="00F37BF9" w:rsidRPr="00F37BF9" w:rsidRDefault="00F37BF9" w:rsidP="00F37BF9">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76482" w14:textId="77777777" w:rsidR="00F37BF9" w:rsidRPr="00F37BF9" w:rsidRDefault="00F37BF9" w:rsidP="00F37BF9">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CF26E" w14:textId="77777777" w:rsidR="0057163C" w:rsidRDefault="0057163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B5866" w14:textId="77777777" w:rsidR="0057163C" w:rsidRDefault="0057163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7C3F1" w14:textId="77777777" w:rsidR="0057163C" w:rsidRDefault="0057163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0E26A" w14:textId="77777777" w:rsidR="0057163C" w:rsidRDefault="0057163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35AC" w14:textId="77777777" w:rsidR="0057163C" w:rsidRDefault="0057163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E682" w14:textId="77777777" w:rsidR="0057163C" w:rsidRDefault="0057163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F386C" w14:textId="77777777" w:rsidR="0057163C" w:rsidRDefault="0057163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75DBF" w14:textId="77777777" w:rsidR="0057163C" w:rsidRDefault="0057163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31201" w14:textId="77777777" w:rsidR="0057163C" w:rsidRDefault="0057163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F0011" w14:textId="77777777" w:rsidR="0085607C" w:rsidRDefault="0085607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1D947" w14:textId="77777777" w:rsidR="0085607C" w:rsidRDefault="0085607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4F251" w14:textId="77777777" w:rsidR="0057163C" w:rsidRDefault="0057163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A9229" w14:textId="77777777" w:rsidR="0057163C" w:rsidRDefault="0057163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91FD3" w14:textId="77777777" w:rsidR="0057163C" w:rsidRDefault="0057163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B11D7" w14:textId="77777777" w:rsidR="0057163C" w:rsidRDefault="0057163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967A1" w14:textId="77777777" w:rsidR="0057163C" w:rsidRDefault="0057163C">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86D25" w14:textId="77777777" w:rsidR="0057163C" w:rsidRDefault="0057163C">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8EDD9" w14:textId="77777777" w:rsidR="0057163C" w:rsidRDefault="0057163C">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6DA6" w14:textId="77777777" w:rsidR="0057163C" w:rsidRDefault="0057163C">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6BBDF" w14:textId="77777777" w:rsidR="0057163C" w:rsidRDefault="0057163C">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93D88" w14:textId="77777777" w:rsidR="0085607C" w:rsidRDefault="0085607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3BF9A" w14:textId="77777777" w:rsidR="0057163C" w:rsidRDefault="0057163C">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5DA48" w14:textId="77777777" w:rsidR="0057163C" w:rsidRDefault="0057163C">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A5BCC" w14:textId="77777777" w:rsidR="0057163C" w:rsidRDefault="0057163C">
    <w:pPr>
      <w:pStyle w:val="Header"/>
      <w:rPr>
        <w:rFonts w:eastAsia="Calibri"/>
      </w:rP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127C5" w14:textId="77777777" w:rsidR="0057163C" w:rsidRDefault="0057163C">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7F4DB" w14:textId="77777777" w:rsidR="0057163C" w:rsidRDefault="0057163C">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F3DE7" w14:textId="77777777" w:rsidR="0057163C" w:rsidRDefault="0057163C">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7CEF0" w14:textId="77777777" w:rsidR="0057163C" w:rsidRDefault="0057163C">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1CEF5" w14:textId="77777777" w:rsidR="0085607C" w:rsidRDefault="0085607C">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DE833" w14:textId="77777777" w:rsidR="0085607C" w:rsidRDefault="0085607C">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CC792" w14:textId="77777777" w:rsidR="0085607C" w:rsidRDefault="0085607C">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4620A" w14:textId="77777777" w:rsidR="0085607C" w:rsidRDefault="0085607C">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5400E" w14:textId="77777777" w:rsidR="0085607C" w:rsidRDefault="0085607C">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4D977" w14:textId="77777777" w:rsidR="0057163C" w:rsidRDefault="0057163C">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38186" w14:textId="77777777" w:rsidR="0057163C" w:rsidRDefault="0057163C">
    <w:pPr>
      <w:pStyle w:val="Header"/>
      <w:rPr>
        <w:rFonts w:eastAsia="Calibri"/>
      </w:rPr>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570B1" w14:textId="77777777" w:rsidR="0057163C" w:rsidRDefault="0057163C">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02B5E" w14:textId="77777777" w:rsidR="0057163C" w:rsidRDefault="0057163C">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AC372" w14:textId="77777777" w:rsidR="0057163C" w:rsidRDefault="0057163C">
    <w:pPr>
      <w:pStyle w:val="Header"/>
      <w:rPr>
        <w:rFonts w:eastAsia="Calibri"/>
      </w:rPr>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3D45" w14:textId="77777777" w:rsidR="0057163C" w:rsidRDefault="0057163C">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61720" w14:textId="77777777" w:rsidR="0057163C" w:rsidRDefault="0057163C">
    <w:pPr>
      <w:pStyle w:val="Header"/>
      <w:rPr>
        <w:rFonts w:eastAsia="Calibri"/>
      </w:rPr>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59309" w14:textId="77777777" w:rsidR="0085607C" w:rsidRDefault="0085607C">
    <w:pPr>
      <w:pStyle w:val="Header"/>
      <w:rPr>
        <w:rFonts w:eastAsia="Calibri"/>
      </w:rPr>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4BD48" w14:textId="77777777" w:rsidR="0057163C" w:rsidRDefault="0057163C">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B1D0" w14:textId="77777777" w:rsidR="0057163C" w:rsidRDefault="0057163C">
    <w:pPr>
      <w:pStyle w:val="Header"/>
      <w:rPr>
        <w:rFonts w:eastAsia="Calibri"/>
      </w:rPr>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BB5E3" w14:textId="77777777" w:rsidR="0057163C" w:rsidRDefault="0057163C">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C770E" w14:textId="77777777" w:rsidR="0057163C" w:rsidRDefault="0057163C">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78DC" w14:textId="77777777" w:rsidR="0057163C" w:rsidRDefault="0057163C">
    <w:pPr>
      <w:pStyle w:val="Header"/>
      <w:rPr>
        <w:rFonts w:eastAsia="Calibri"/>
      </w:rPr>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7A1D" w14:textId="77777777" w:rsidR="0057163C" w:rsidRDefault="0057163C">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9A94B" w14:textId="77777777" w:rsidR="0057163C" w:rsidRDefault="0057163C">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D82D0" w14:textId="77777777" w:rsidR="0057163C" w:rsidRDefault="0057163C">
    <w:pPr>
      <w:pStyle w:val="Header"/>
      <w:rPr>
        <w:rFonts w:eastAsia="Calibri"/>
      </w:rPr>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B149" w14:textId="77777777" w:rsidR="0057163C" w:rsidRDefault="0057163C">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3049E" w14:textId="77777777" w:rsidR="0085607C" w:rsidRDefault="0085607C">
    <w:pPr>
      <w:pStyle w:val="Header"/>
      <w:rPr>
        <w:rFonts w:eastAsia="Calibri"/>
      </w:rPr>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72970" w14:textId="77777777" w:rsidR="0057163C" w:rsidRDefault="0057163C">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3052A" w14:textId="77777777" w:rsidR="0057163C" w:rsidRDefault="0057163C">
    <w:pPr>
      <w:pStyle w:val="Header"/>
      <w:rPr>
        <w:rFonts w:eastAsia="Calibri"/>
      </w:rPr>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7AFA7" w14:textId="77777777" w:rsidR="0057163C" w:rsidRDefault="0057163C">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82F9C" w14:textId="77777777" w:rsidR="0057163C" w:rsidRDefault="0057163C">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61867" w14:textId="77777777" w:rsidR="0057163C" w:rsidRDefault="0057163C">
    <w:pPr>
      <w:pStyle w:val="Header"/>
      <w:rPr>
        <w:rFonts w:eastAsia="Calibri"/>
      </w:rPr>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800BD" w14:textId="77777777" w:rsidR="0057163C" w:rsidRDefault="0057163C">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E9E1" w14:textId="77777777" w:rsidR="0057163C" w:rsidRDefault="0057163C">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BB450" w14:textId="77777777" w:rsidR="0057163C" w:rsidRDefault="0057163C">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E6B37" w14:textId="77777777" w:rsidR="0057163C" w:rsidRDefault="0057163C">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B703F" w14:textId="77777777" w:rsidR="0057163C" w:rsidRDefault="0057163C">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396E6" w14:textId="77777777" w:rsidR="0057163C" w:rsidRDefault="0057163C">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04268" w14:textId="77777777" w:rsidR="0057163C" w:rsidRDefault="0057163C">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EF16B" w14:textId="77777777" w:rsidR="0057163C" w:rsidRDefault="0057163C">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287F2" w14:textId="77777777" w:rsidR="0057163C" w:rsidRDefault="0057163C">
    <w:pPr>
      <w:pStyle w:val="Header"/>
      <w:rPr>
        <w:rFonts w:eastAsia="Calibri"/>
      </w:rPr>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2A038" w14:textId="77777777" w:rsidR="0057163C" w:rsidRDefault="0057163C">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70C47" w14:textId="77777777" w:rsidR="0057163C" w:rsidRDefault="0057163C">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F3F8E" w14:textId="77777777" w:rsidR="0057163C" w:rsidRDefault="0057163C">
    <w:pPr>
      <w:pStyle w:val="Header"/>
      <w:rPr>
        <w:rFonts w:eastAsia="Calibri"/>
      </w:rPr>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01625" w14:textId="77777777" w:rsidR="0057163C" w:rsidRDefault="0057163C">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178FC" w14:textId="77777777" w:rsidR="0057163C" w:rsidRDefault="0057163C">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778AC" w14:textId="77777777" w:rsidR="0057163C" w:rsidRDefault="0057163C">
    <w:pPr>
      <w:pStyle w:val="Header"/>
      <w:rPr>
        <w:rFonts w:eastAsia="Calibri"/>
      </w:rPr>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D3A8" w14:textId="77777777" w:rsidR="0057163C" w:rsidRDefault="0057163C">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43316" w14:textId="77777777" w:rsidR="0057163C" w:rsidRDefault="0057163C">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ED6A" w14:textId="77777777" w:rsidR="0057163C" w:rsidRDefault="0057163C">
    <w:pPr>
      <w:pStyle w:val="Header"/>
      <w:rPr>
        <w:rFonts w:eastAsia="Calibri"/>
      </w:rPr>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54877" w14:textId="77777777" w:rsidR="0057163C" w:rsidRDefault="0057163C">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1017" w14:textId="77777777" w:rsidR="0057163C" w:rsidRDefault="0057163C">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AC98C" w14:textId="77777777" w:rsidR="0057163C" w:rsidRDefault="0057163C">
    <w:pPr>
      <w:pStyle w:val="Header"/>
      <w:rPr>
        <w:rFonts w:eastAsia="Calibri"/>
      </w:rPr>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8972" w14:textId="77777777" w:rsidR="0057163C" w:rsidRDefault="0057163C">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EB903" w14:textId="77777777" w:rsidR="0085607C" w:rsidRDefault="0085607C">
    <w:pPr>
      <w:pStyle w:val="Header"/>
      <w:rPr>
        <w:rFonts w:eastAsia="Calibri"/>
      </w:rPr>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0A51E" w14:textId="77777777" w:rsidR="0057163C" w:rsidRDefault="0057163C">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7CFC8" w14:textId="77777777" w:rsidR="0057163C" w:rsidRDefault="0057163C">
    <w:pPr>
      <w:pStyle w:val="Header"/>
      <w:rPr>
        <w:rFonts w:eastAsia="Calibri"/>
      </w:rPr>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5BDB5" w14:textId="77777777" w:rsidR="0057163C" w:rsidRDefault="0057163C">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ACAA3" w14:textId="77777777" w:rsidR="0057163C" w:rsidRDefault="0057163C">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50401" w14:textId="77777777" w:rsidR="0057163C" w:rsidRDefault="0057163C">
    <w:pPr>
      <w:pStyle w:val="Header"/>
      <w:rPr>
        <w:rFonts w:eastAsia="Calibri"/>
      </w:rPr>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2DBFA" w14:textId="77777777" w:rsidR="0057163C" w:rsidRDefault="0057163C">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9B889" w14:textId="77777777" w:rsidR="0057163C" w:rsidRDefault="0057163C">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CFA0" w14:textId="77777777" w:rsidR="0057163C" w:rsidRDefault="0057163C">
    <w:pPr>
      <w:pStyle w:val="Header"/>
      <w:rPr>
        <w:rFonts w:eastAsia="Calibri"/>
      </w:rPr>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942F3" w14:textId="77777777" w:rsidR="0057163C" w:rsidRDefault="0057163C">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928FE" w14:textId="77777777" w:rsidR="0057163C" w:rsidRDefault="0057163C">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3593B" w14:textId="77777777" w:rsidR="0057163C" w:rsidRDefault="0057163C">
    <w:pPr>
      <w:pStyle w:val="Header"/>
      <w:rPr>
        <w:rFonts w:eastAsia="Calibri"/>
      </w:rPr>
    </w:pPr>
  </w:p>
</w:hdr>
</file>

<file path=word/header9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F17B0" w14:textId="77777777" w:rsidR="0057163C" w:rsidRDefault="0057163C">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8332" w14:textId="77777777" w:rsidR="0057163C" w:rsidRDefault="0057163C">
    <w:pPr>
      <w:pStyle w:val="Header"/>
      <w:rPr>
        <w:rFonts w:eastAsia="Calibri"/>
      </w:rPr>
    </w:pPr>
  </w:p>
</w:hdr>
</file>

<file path=word/header9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559E4" w14:textId="77777777" w:rsidR="0057163C" w:rsidRDefault="0057163C">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C6BB0" w14:textId="77777777" w:rsidR="0057163C" w:rsidRDefault="0057163C">
    <w:pPr>
      <w:pStyle w:val="Header"/>
      <w:rPr>
        <w:rFonts w:eastAsia="Calibri"/>
      </w:rPr>
    </w:pPr>
  </w:p>
</w:hdr>
</file>

<file path=word/header9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AAA94" w14:textId="77777777" w:rsidR="0057163C" w:rsidRDefault="0057163C">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DB3BE" w14:textId="77777777" w:rsidR="0057163C" w:rsidRDefault="0057163C">
    <w:pPr>
      <w:pStyle w:val="Header"/>
      <w:rPr>
        <w:rFonts w:eastAsia="Calibri"/>
      </w:rPr>
    </w:pPr>
  </w:p>
</w:hdr>
</file>

<file path=word/header10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E81E1" w14:textId="77777777" w:rsidR="0057163C" w:rsidRDefault="0057163C">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34D8D" w14:textId="77777777" w:rsidR="0057163C" w:rsidRDefault="0057163C">
    <w:pPr>
      <w:pStyle w:val="Header"/>
      <w:rPr>
        <w:rFonts w:eastAsia="Calibri"/>
      </w:rPr>
    </w:pPr>
  </w:p>
</w:hdr>
</file>

<file path=word/header10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35B36" w14:textId="77777777" w:rsidR="0057163C" w:rsidRDefault="0057163C">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38983" w14:textId="77777777" w:rsidR="0057163C" w:rsidRDefault="0057163C">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D5C2E" w14:textId="77777777" w:rsidR="0057163C" w:rsidRDefault="0057163C">
    <w:pPr>
      <w:pStyle w:val="Header"/>
      <w:rPr>
        <w:rFonts w:eastAsia="Calibri"/>
      </w:rPr>
    </w:pPr>
  </w:p>
</w:hdr>
</file>

<file path=word/header10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6DDE0" w14:textId="77777777" w:rsidR="0057163C" w:rsidRDefault="0057163C">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295A" w14:textId="77777777" w:rsidR="0057163C" w:rsidRDefault="0057163C">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A64F3" w14:textId="77777777" w:rsidR="0057163C" w:rsidRDefault="0057163C">
    <w:pPr>
      <w:pStyle w:val="Header"/>
      <w:rPr>
        <w:rFonts w:eastAsia="Calibri"/>
      </w:rPr>
    </w:pPr>
  </w:p>
</w:hdr>
</file>

<file path=word/header10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D0A20" w14:textId="77777777" w:rsidR="0057163C" w:rsidRDefault="0057163C">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3CE6C" w14:textId="77777777" w:rsidR="0057163C" w:rsidRDefault="0057163C">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3641" w14:textId="77777777" w:rsidR="0057163C" w:rsidRDefault="0057163C">
    <w:pPr>
      <w:pStyle w:val="Header"/>
      <w:rPr>
        <w:rFonts w:eastAsia="Calibri"/>
      </w:rPr>
    </w:pPr>
  </w:p>
</w:hdr>
</file>

<file path=word/header1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B9CFF" w14:textId="77777777" w:rsidR="0057163C" w:rsidRDefault="0057163C">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C5B8" w14:textId="77777777" w:rsidR="0057163C" w:rsidRDefault="0057163C">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74932" w14:textId="77777777" w:rsidR="0057163C" w:rsidRDefault="0057163C">
    <w:pPr>
      <w:pStyle w:val="Header"/>
      <w:rPr>
        <w:rFonts w:eastAsia="Calibri"/>
      </w:rPr>
    </w:pPr>
  </w:p>
</w:hdr>
</file>

<file path=word/header1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B8C3C" w14:textId="77777777" w:rsidR="0057163C" w:rsidRDefault="0057163C">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26C7A" w14:textId="77777777" w:rsidR="0057163C" w:rsidRDefault="0057163C">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9ADD2" w14:textId="77777777" w:rsidR="0057163C" w:rsidRDefault="0057163C">
    <w:pPr>
      <w:pStyle w:val="Header"/>
      <w:rPr>
        <w:rFonts w:eastAsia="Calibri"/>
      </w:rPr>
    </w:pPr>
  </w:p>
</w:hdr>
</file>

<file path=word/header1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69A97" w14:textId="77777777" w:rsidR="0057163C" w:rsidRDefault="0057163C">
    <w:pPr>
      <w:pStyle w:val="Header"/>
    </w:pPr>
  </w:p>
</w:hdr>
</file>

<file path=word/header1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FD868" w14:textId="77777777" w:rsidR="0057163C" w:rsidRDefault="0057163C">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19CCB" w14:textId="77777777" w:rsidR="0057163C" w:rsidRDefault="0057163C">
    <w:pPr>
      <w:pStyle w:val="Header"/>
      <w:rPr>
        <w:rFonts w:eastAsia="Calibri"/>
      </w:rPr>
    </w:pPr>
  </w:p>
</w:hdr>
</file>

<file path=word/header1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78A21" w14:textId="77777777" w:rsidR="0057163C" w:rsidRDefault="0057163C">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2D5BB" w14:textId="77777777" w:rsidR="0057163C" w:rsidRDefault="0057163C">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4D354" w14:textId="77777777" w:rsidR="0057163C" w:rsidRDefault="0057163C">
    <w:pPr>
      <w:pStyle w:val="Header"/>
      <w:rPr>
        <w:rFonts w:eastAsia="Calibri"/>
      </w:rPr>
    </w:pPr>
  </w:p>
</w:hdr>
</file>

<file path=word/header1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AA2C8" w14:textId="77777777" w:rsidR="0057163C" w:rsidRDefault="0057163C">
    <w:pPr>
      <w:pStyle w:val="Header"/>
    </w:pPr>
  </w:p>
</w:hdr>
</file>

<file path=word/header1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EC541" w14:textId="77777777" w:rsidR="0057163C" w:rsidRDefault="0057163C">
    <w:pPr>
      <w:pStyle w:val="Header"/>
    </w:pPr>
  </w:p>
</w:hdr>
</file>

<file path=word/header1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30E4" w14:textId="77777777" w:rsidR="0057163C" w:rsidRDefault="0057163C">
    <w:pPr>
      <w:pStyle w:val="Header"/>
      <w:rPr>
        <w:rFonts w:eastAsia="Calibri"/>
      </w:rPr>
    </w:pPr>
  </w:p>
</w:hdr>
</file>

<file path=word/header1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69BB3" w14:textId="77777777" w:rsidR="0057163C" w:rsidRDefault="0057163C">
    <w:pPr>
      <w:pStyle w:val="Header"/>
    </w:pPr>
  </w:p>
</w:hdr>
</file>

<file path=word/header1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60457" w14:textId="77777777" w:rsidR="0057163C" w:rsidRDefault="0057163C">
    <w:pPr>
      <w:pStyle w:val="Header"/>
    </w:pPr>
  </w:p>
</w:hdr>
</file>

<file path=word/header1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F0EF6" w14:textId="77777777" w:rsidR="0057163C" w:rsidRDefault="0057163C">
    <w:pPr>
      <w:pStyle w:val="Header"/>
      <w:rPr>
        <w:rFonts w:eastAsia="Calibri"/>
      </w:rPr>
    </w:pPr>
  </w:p>
</w:hdr>
</file>

<file path=word/header1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69D7E" w14:textId="77777777" w:rsidR="0057163C" w:rsidRDefault="0057163C">
    <w:pPr>
      <w:pStyle w:val="Header"/>
    </w:pPr>
  </w:p>
</w:hdr>
</file>

<file path=word/header1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8A734" w14:textId="77777777" w:rsidR="0057163C" w:rsidRDefault="0057163C">
    <w:pPr>
      <w:pStyle w:val="Header"/>
    </w:pPr>
  </w:p>
</w:hdr>
</file>

<file path=word/header1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2F56" w14:textId="77777777" w:rsidR="0057163C" w:rsidRDefault="0057163C">
    <w:pPr>
      <w:pStyle w:val="Header"/>
      <w:rPr>
        <w:rFonts w:eastAsia="Calibri"/>
      </w:rPr>
    </w:pPr>
  </w:p>
</w:hdr>
</file>

<file path=word/header1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CA264" w14:textId="77777777" w:rsidR="0057163C" w:rsidRDefault="0057163C">
    <w:pPr>
      <w:pStyle w:val="Header"/>
    </w:pPr>
  </w:p>
</w:hdr>
</file>

<file path=word/header1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DF924" w14:textId="77777777" w:rsidR="0057163C" w:rsidRDefault="0057163C">
    <w:pPr>
      <w:pStyle w:val="Header"/>
      <w:rPr>
        <w:rFonts w:eastAsia="Calibri"/>
      </w:rPr>
    </w:pPr>
  </w:p>
</w:hdr>
</file>

<file path=word/header1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81B82" w14:textId="77777777" w:rsidR="0057163C" w:rsidRDefault="0057163C">
    <w:pPr>
      <w:pStyle w:val="Header"/>
    </w:pPr>
  </w:p>
</w:hdr>
</file>

<file path=word/header1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2783D" w14:textId="77777777" w:rsidR="0057163C" w:rsidRDefault="0057163C">
    <w:pPr>
      <w:pStyle w:val="Header"/>
      <w:rPr>
        <w:rFonts w:eastAsia="Calibri"/>
      </w:rPr>
    </w:pPr>
  </w:p>
</w:hdr>
</file>

<file path=word/header1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5892" w14:textId="77777777" w:rsidR="0057163C" w:rsidRDefault="0057163C">
    <w:pPr>
      <w:pStyle w:val="Header"/>
    </w:pPr>
  </w:p>
</w:hdr>
</file>

<file path=word/header1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764B9" w14:textId="77777777" w:rsidR="0057163C" w:rsidRDefault="0057163C">
    <w:pPr>
      <w:pStyle w:val="Header"/>
    </w:pPr>
  </w:p>
</w:hdr>
</file>

<file path=word/header1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09257" w14:textId="77777777" w:rsidR="0057163C" w:rsidRDefault="0057163C">
    <w:pPr>
      <w:pStyle w:val="Header"/>
      <w:rPr>
        <w:rFonts w:eastAsia="Calibri"/>
      </w:rPr>
    </w:pPr>
  </w:p>
</w:hdr>
</file>

<file path=word/header1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E6209" w14:textId="77777777" w:rsidR="0057163C" w:rsidRDefault="0057163C">
    <w:pPr>
      <w:pStyle w:val="Header"/>
    </w:pPr>
  </w:p>
</w:hdr>
</file>

<file path=word/header1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551B1" w14:textId="77777777" w:rsidR="0057163C" w:rsidRDefault="0057163C">
    <w:pPr>
      <w:pStyle w:val="Header"/>
    </w:pPr>
  </w:p>
</w:hdr>
</file>

<file path=word/header1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7B83B" w14:textId="77777777" w:rsidR="0057163C" w:rsidRDefault="0057163C">
    <w:pPr>
      <w:pStyle w:val="Header"/>
      <w:rPr>
        <w:rFonts w:eastAsia="Calibri"/>
      </w:rPr>
    </w:pPr>
  </w:p>
</w:hdr>
</file>

<file path=word/header1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8C6E9" w14:textId="77777777" w:rsidR="0057163C" w:rsidRDefault="0057163C">
    <w:pPr>
      <w:pStyle w:val="Header"/>
    </w:pPr>
  </w:p>
</w:hdr>
</file>

<file path=word/header1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77BB" w14:textId="77777777" w:rsidR="0057163C" w:rsidRDefault="0057163C">
    <w:pPr>
      <w:pStyle w:val="Header"/>
    </w:pPr>
  </w:p>
</w:hdr>
</file>

<file path=word/header1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E9DA4" w14:textId="77777777" w:rsidR="0057163C" w:rsidRDefault="0057163C">
    <w:pPr>
      <w:pStyle w:val="Header"/>
      <w:rPr>
        <w:rFonts w:eastAsia="Calibri"/>
      </w:rPr>
    </w:pPr>
  </w:p>
</w:hdr>
</file>

<file path=word/header1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F1AEC" w14:textId="77777777" w:rsidR="0057163C" w:rsidRDefault="0057163C">
    <w:pPr>
      <w:pStyle w:val="Header"/>
    </w:pPr>
  </w:p>
</w:hdr>
</file>

<file path=word/header1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CC4A7" w14:textId="77777777" w:rsidR="0057163C" w:rsidRDefault="0057163C">
    <w:pPr>
      <w:pStyle w:val="Header"/>
    </w:pPr>
  </w:p>
</w:hdr>
</file>

<file path=word/header1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B4352" w14:textId="77777777" w:rsidR="0057163C" w:rsidRDefault="0057163C">
    <w:pPr>
      <w:pStyle w:val="Header"/>
      <w:rPr>
        <w:rFonts w:eastAsia="Calibri"/>
      </w:rPr>
    </w:pPr>
  </w:p>
</w:hdr>
</file>

<file path=word/header1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CDDD8" w14:textId="77777777" w:rsidR="0057163C" w:rsidRDefault="0057163C">
    <w:pPr>
      <w:pStyle w:val="Header"/>
    </w:pPr>
  </w:p>
</w:hdr>
</file>

<file path=word/header1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15A87" w14:textId="77777777" w:rsidR="0057163C" w:rsidRDefault="0057163C">
    <w:pPr>
      <w:pStyle w:val="Header"/>
    </w:pPr>
  </w:p>
</w:hdr>
</file>

<file path=word/header1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48F58" w14:textId="77777777" w:rsidR="0057163C" w:rsidRDefault="0057163C">
    <w:pPr>
      <w:pStyle w:val="Header"/>
    </w:pPr>
  </w:p>
</w:hdr>
</file>

<file path=word/header1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8C9FC" w14:textId="77777777" w:rsidR="0057163C" w:rsidRDefault="0057163C">
    <w:pPr>
      <w:pStyle w:val="Header"/>
    </w:pPr>
  </w:p>
</w:hdr>
</file>

<file path=word/header1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D105" w14:textId="77777777" w:rsidR="0057163C" w:rsidRDefault="0057163C">
    <w:pPr>
      <w:pStyle w:val="Header"/>
    </w:pPr>
  </w:p>
</w:hdr>
</file>

<file path=word/header1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4B57" w14:textId="77777777" w:rsidR="0057163C" w:rsidRDefault="0057163C">
    <w:pPr>
      <w:pStyle w:val="Header"/>
      <w:rPr>
        <w:sz w:val="10"/>
      </w:rPr>
    </w:pPr>
  </w:p>
</w:hdr>
</file>

<file path=word/header1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ECBEC" w14:textId="77777777" w:rsidR="0057163C" w:rsidRDefault="0057163C">
    <w:pPr>
      <w:pStyle w:val="Header"/>
    </w:pPr>
  </w:p>
</w:hdr>
</file>

<file path=word/header1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B9B83" w14:textId="77777777" w:rsidR="0057163C" w:rsidRDefault="0057163C">
    <w:pPr>
      <w:pStyle w:val="Header"/>
      <w:rPr>
        <w:sz w:val="10"/>
      </w:rPr>
    </w:pPr>
  </w:p>
</w:hdr>
</file>

<file path=word/header1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433DA" w14:textId="77777777" w:rsidR="0057163C" w:rsidRDefault="0057163C">
    <w:pPr>
      <w:pStyle w:val="Header"/>
    </w:pPr>
  </w:p>
</w:hdr>
</file>

<file path=word/header1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A500" w14:textId="77777777" w:rsidR="0057163C" w:rsidRDefault="0057163C">
    <w:pPr>
      <w:pStyle w:val="Header"/>
      <w:rPr>
        <w:rFonts w:eastAsia="Calibri"/>
      </w:rPr>
    </w:pPr>
  </w:p>
</w:hdr>
</file>

<file path=word/header1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681D" w14:textId="77777777" w:rsidR="0057163C" w:rsidRDefault="0057163C">
    <w:pPr>
      <w:pStyle w:val="Header"/>
    </w:pPr>
  </w:p>
</w:hdr>
</file>

<file path=word/header1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4700F" w14:textId="77777777" w:rsidR="0085607C" w:rsidRDefault="0085607C">
    <w:pPr>
      <w:pStyle w:val="Header"/>
      <w:rPr>
        <w:rFonts w:eastAsia="Calibri"/>
      </w:rPr>
    </w:pPr>
  </w:p>
</w:hdr>
</file>

<file path=word/header1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48B9" w14:textId="77777777" w:rsidR="0057163C" w:rsidRDefault="0057163C">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3E140CA2"/>
    <w:lvl w:ilvl="0">
      <w:start w:val="1"/>
      <w:numFmt w:val="decimal"/>
      <w:pStyle w:val="ListNumber4"/>
      <w:lvlText w:val="%1."/>
      <w:lvlJc w:val="left"/>
      <w:pPr>
        <w:tabs>
          <w:tab w:val="num" w:pos="1056"/>
        </w:tabs>
        <w:ind w:left="1056" w:hanging="360"/>
      </w:pPr>
    </w:lvl>
  </w:abstractNum>
  <w:abstractNum w:abstractNumId="1" w15:restartNumberingAfterBreak="0">
    <w:nsid w:val="FFFFFF7E"/>
    <w:multiLevelType w:val="singleLevel"/>
    <w:tmpl w:val="55A6272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3C20270C"/>
    <w:lvl w:ilvl="0">
      <w:start w:val="1"/>
      <w:numFmt w:val="decimal"/>
      <w:pStyle w:val="ListNumber2"/>
      <w:lvlText w:val="%1."/>
      <w:lvlJc w:val="left"/>
      <w:pPr>
        <w:tabs>
          <w:tab w:val="num" w:pos="643"/>
        </w:tabs>
        <w:ind w:left="643" w:hanging="360"/>
      </w:pPr>
    </w:lvl>
  </w:abstractNum>
  <w:abstractNum w:abstractNumId="3" w15:restartNumberingAfterBreak="0">
    <w:nsid w:val="FFFFFF88"/>
    <w:multiLevelType w:val="singleLevel"/>
    <w:tmpl w:val="AD788A4A"/>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3FE82790"/>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D81DA2"/>
    <w:multiLevelType w:val="multilevel"/>
    <w:tmpl w:val="0E1CAF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281CA7"/>
    <w:multiLevelType w:val="hybridMultilevel"/>
    <w:tmpl w:val="8B104CD2"/>
    <w:lvl w:ilvl="0" w:tplc="18090019">
      <w:start w:val="1"/>
      <w:numFmt w:val="lowerLetter"/>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02003373"/>
    <w:multiLevelType w:val="hybridMultilevel"/>
    <w:tmpl w:val="F3802738"/>
    <w:lvl w:ilvl="0" w:tplc="FC26DA30">
      <w:start w:val="1"/>
      <w:numFmt w:val="bullet"/>
      <w:lvlText w:val="-"/>
      <w:lvlJc w:val="left"/>
      <w:pPr>
        <w:ind w:left="720" w:hanging="360"/>
      </w:pPr>
      <w:rPr>
        <w:rFonts w:ascii="Symbol" w:hAnsi="Symbol" w:hint="default"/>
      </w:rPr>
    </w:lvl>
    <w:lvl w:ilvl="1" w:tplc="0462880E">
      <w:start w:val="1"/>
      <w:numFmt w:val="bullet"/>
      <w:lvlText w:val="o"/>
      <w:lvlJc w:val="left"/>
      <w:pPr>
        <w:ind w:left="1440" w:hanging="360"/>
      </w:pPr>
      <w:rPr>
        <w:rFonts w:ascii="Courier New" w:hAnsi="Courier New" w:cs="Times New Roman" w:hint="default"/>
      </w:rPr>
    </w:lvl>
    <w:lvl w:ilvl="2" w:tplc="F90A8E8E">
      <w:start w:val="1"/>
      <w:numFmt w:val="bullet"/>
      <w:lvlText w:val=""/>
      <w:lvlJc w:val="left"/>
      <w:pPr>
        <w:ind w:left="2160" w:hanging="360"/>
      </w:pPr>
      <w:rPr>
        <w:rFonts w:ascii="Wingdings" w:hAnsi="Wingdings" w:hint="default"/>
      </w:rPr>
    </w:lvl>
    <w:lvl w:ilvl="3" w:tplc="6D4420D6">
      <w:start w:val="1"/>
      <w:numFmt w:val="bullet"/>
      <w:lvlText w:val=""/>
      <w:lvlJc w:val="left"/>
      <w:pPr>
        <w:ind w:left="2880" w:hanging="360"/>
      </w:pPr>
      <w:rPr>
        <w:rFonts w:ascii="Symbol" w:hAnsi="Symbol" w:hint="default"/>
      </w:rPr>
    </w:lvl>
    <w:lvl w:ilvl="4" w:tplc="16727DC8">
      <w:start w:val="1"/>
      <w:numFmt w:val="bullet"/>
      <w:lvlText w:val="o"/>
      <w:lvlJc w:val="left"/>
      <w:pPr>
        <w:ind w:left="3600" w:hanging="360"/>
      </w:pPr>
      <w:rPr>
        <w:rFonts w:ascii="Courier New" w:hAnsi="Courier New" w:cs="Times New Roman" w:hint="default"/>
      </w:rPr>
    </w:lvl>
    <w:lvl w:ilvl="5" w:tplc="C7B4C740">
      <w:start w:val="1"/>
      <w:numFmt w:val="bullet"/>
      <w:lvlText w:val=""/>
      <w:lvlJc w:val="left"/>
      <w:pPr>
        <w:ind w:left="4320" w:hanging="360"/>
      </w:pPr>
      <w:rPr>
        <w:rFonts w:ascii="Wingdings" w:hAnsi="Wingdings" w:hint="default"/>
      </w:rPr>
    </w:lvl>
    <w:lvl w:ilvl="6" w:tplc="6172E3C4">
      <w:start w:val="1"/>
      <w:numFmt w:val="bullet"/>
      <w:lvlText w:val=""/>
      <w:lvlJc w:val="left"/>
      <w:pPr>
        <w:ind w:left="5040" w:hanging="360"/>
      </w:pPr>
      <w:rPr>
        <w:rFonts w:ascii="Symbol" w:hAnsi="Symbol" w:hint="default"/>
      </w:rPr>
    </w:lvl>
    <w:lvl w:ilvl="7" w:tplc="778A8E7C">
      <w:start w:val="1"/>
      <w:numFmt w:val="bullet"/>
      <w:lvlText w:val="o"/>
      <w:lvlJc w:val="left"/>
      <w:pPr>
        <w:ind w:left="5760" w:hanging="360"/>
      </w:pPr>
      <w:rPr>
        <w:rFonts w:ascii="Courier New" w:hAnsi="Courier New" w:cs="Times New Roman" w:hint="default"/>
      </w:rPr>
    </w:lvl>
    <w:lvl w:ilvl="8" w:tplc="B5700FD6">
      <w:start w:val="1"/>
      <w:numFmt w:val="bullet"/>
      <w:lvlText w:val=""/>
      <w:lvlJc w:val="left"/>
      <w:pPr>
        <w:ind w:left="6480" w:hanging="360"/>
      </w:pPr>
      <w:rPr>
        <w:rFonts w:ascii="Wingdings" w:hAnsi="Wingdings" w:hint="default"/>
      </w:rPr>
    </w:lvl>
  </w:abstractNum>
  <w:abstractNum w:abstractNumId="8" w15:restartNumberingAfterBreak="0">
    <w:nsid w:val="02978374"/>
    <w:multiLevelType w:val="hybridMultilevel"/>
    <w:tmpl w:val="FFFFFFFF"/>
    <w:lvl w:ilvl="0" w:tplc="F94C6FB4">
      <w:start w:val="1"/>
      <w:numFmt w:val="bullet"/>
      <w:lvlText w:val="·"/>
      <w:lvlJc w:val="left"/>
      <w:pPr>
        <w:ind w:left="720" w:hanging="360"/>
      </w:pPr>
      <w:rPr>
        <w:rFonts w:ascii="Symbol" w:hAnsi="Symbol" w:hint="default"/>
      </w:rPr>
    </w:lvl>
    <w:lvl w:ilvl="1" w:tplc="A87C51DE">
      <w:start w:val="1"/>
      <w:numFmt w:val="bullet"/>
      <w:lvlText w:val="o"/>
      <w:lvlJc w:val="left"/>
      <w:pPr>
        <w:ind w:left="1440" w:hanging="360"/>
      </w:pPr>
      <w:rPr>
        <w:rFonts w:ascii="Courier New" w:hAnsi="Courier New" w:hint="default"/>
      </w:rPr>
    </w:lvl>
    <w:lvl w:ilvl="2" w:tplc="476A0580">
      <w:start w:val="1"/>
      <w:numFmt w:val="bullet"/>
      <w:lvlText w:val=""/>
      <w:lvlJc w:val="left"/>
      <w:pPr>
        <w:ind w:left="2160" w:hanging="360"/>
      </w:pPr>
      <w:rPr>
        <w:rFonts w:ascii="Wingdings" w:hAnsi="Wingdings" w:hint="default"/>
      </w:rPr>
    </w:lvl>
    <w:lvl w:ilvl="3" w:tplc="720833BA">
      <w:start w:val="1"/>
      <w:numFmt w:val="bullet"/>
      <w:lvlText w:val=""/>
      <w:lvlJc w:val="left"/>
      <w:pPr>
        <w:ind w:left="2880" w:hanging="360"/>
      </w:pPr>
      <w:rPr>
        <w:rFonts w:ascii="Symbol" w:hAnsi="Symbol" w:hint="default"/>
      </w:rPr>
    </w:lvl>
    <w:lvl w:ilvl="4" w:tplc="B88A2602">
      <w:start w:val="1"/>
      <w:numFmt w:val="bullet"/>
      <w:lvlText w:val="o"/>
      <w:lvlJc w:val="left"/>
      <w:pPr>
        <w:ind w:left="3600" w:hanging="360"/>
      </w:pPr>
      <w:rPr>
        <w:rFonts w:ascii="Courier New" w:hAnsi="Courier New" w:hint="default"/>
      </w:rPr>
    </w:lvl>
    <w:lvl w:ilvl="5" w:tplc="75E40A7A">
      <w:start w:val="1"/>
      <w:numFmt w:val="bullet"/>
      <w:lvlText w:val=""/>
      <w:lvlJc w:val="left"/>
      <w:pPr>
        <w:ind w:left="4320" w:hanging="360"/>
      </w:pPr>
      <w:rPr>
        <w:rFonts w:ascii="Wingdings" w:hAnsi="Wingdings" w:hint="default"/>
      </w:rPr>
    </w:lvl>
    <w:lvl w:ilvl="6" w:tplc="30105FF0">
      <w:start w:val="1"/>
      <w:numFmt w:val="bullet"/>
      <w:lvlText w:val=""/>
      <w:lvlJc w:val="left"/>
      <w:pPr>
        <w:ind w:left="5040" w:hanging="360"/>
      </w:pPr>
      <w:rPr>
        <w:rFonts w:ascii="Symbol" w:hAnsi="Symbol" w:hint="default"/>
      </w:rPr>
    </w:lvl>
    <w:lvl w:ilvl="7" w:tplc="E28A437E">
      <w:start w:val="1"/>
      <w:numFmt w:val="bullet"/>
      <w:lvlText w:val="o"/>
      <w:lvlJc w:val="left"/>
      <w:pPr>
        <w:ind w:left="5760" w:hanging="360"/>
      </w:pPr>
      <w:rPr>
        <w:rFonts w:ascii="Courier New" w:hAnsi="Courier New" w:hint="default"/>
      </w:rPr>
    </w:lvl>
    <w:lvl w:ilvl="8" w:tplc="9B36E314">
      <w:start w:val="1"/>
      <w:numFmt w:val="bullet"/>
      <w:lvlText w:val=""/>
      <w:lvlJc w:val="left"/>
      <w:pPr>
        <w:ind w:left="6480" w:hanging="360"/>
      </w:pPr>
      <w:rPr>
        <w:rFonts w:ascii="Wingdings" w:hAnsi="Wingdings" w:hint="default"/>
      </w:rPr>
    </w:lvl>
  </w:abstractNum>
  <w:abstractNum w:abstractNumId="9" w15:restartNumberingAfterBreak="0">
    <w:nsid w:val="04056853"/>
    <w:multiLevelType w:val="multilevel"/>
    <w:tmpl w:val="C77A159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D2A71"/>
    <w:multiLevelType w:val="hybridMultilevel"/>
    <w:tmpl w:val="ECC83972"/>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06331374"/>
    <w:multiLevelType w:val="hybridMultilevel"/>
    <w:tmpl w:val="F94A11DC"/>
    <w:lvl w:ilvl="0" w:tplc="18090015">
      <w:start w:val="1"/>
      <w:numFmt w:val="upperLetter"/>
      <w:lvlText w:val="%1."/>
      <w:lvlJc w:val="left"/>
      <w:pPr>
        <w:ind w:left="360" w:hanging="360"/>
      </w:p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12" w15:restartNumberingAfterBreak="0">
    <w:nsid w:val="06F47115"/>
    <w:multiLevelType w:val="hybridMultilevel"/>
    <w:tmpl w:val="523AD6C6"/>
    <w:lvl w:ilvl="0" w:tplc="E4E01FB6">
      <w:start w:val="1"/>
      <w:numFmt w:val="lowerRoman"/>
      <w:lvlText w:val="%1."/>
      <w:lvlJc w:val="right"/>
      <w:pPr>
        <w:ind w:left="720" w:hanging="360"/>
      </w:pPr>
    </w:lvl>
    <w:lvl w:ilvl="1" w:tplc="CC14CE30">
      <w:start w:val="1"/>
      <w:numFmt w:val="lowerLetter"/>
      <w:lvlText w:val="%2."/>
      <w:lvlJc w:val="left"/>
      <w:pPr>
        <w:ind w:left="1440" w:hanging="360"/>
      </w:pPr>
    </w:lvl>
    <w:lvl w:ilvl="2" w:tplc="7C30A1AA">
      <w:start w:val="1"/>
      <w:numFmt w:val="lowerRoman"/>
      <w:lvlText w:val="%3."/>
      <w:lvlJc w:val="right"/>
      <w:pPr>
        <w:ind w:left="2160" w:hanging="180"/>
      </w:pPr>
    </w:lvl>
    <w:lvl w:ilvl="3" w:tplc="A5343F08">
      <w:start w:val="1"/>
      <w:numFmt w:val="decimal"/>
      <w:lvlText w:val="%4."/>
      <w:lvlJc w:val="left"/>
      <w:pPr>
        <w:ind w:left="2880" w:hanging="360"/>
      </w:pPr>
    </w:lvl>
    <w:lvl w:ilvl="4" w:tplc="A412B3A4">
      <w:start w:val="1"/>
      <w:numFmt w:val="lowerLetter"/>
      <w:lvlText w:val="%5."/>
      <w:lvlJc w:val="left"/>
      <w:pPr>
        <w:ind w:left="3600" w:hanging="360"/>
      </w:pPr>
    </w:lvl>
    <w:lvl w:ilvl="5" w:tplc="2D3A5EC6">
      <w:start w:val="1"/>
      <w:numFmt w:val="lowerRoman"/>
      <w:lvlText w:val="%6."/>
      <w:lvlJc w:val="right"/>
      <w:pPr>
        <w:ind w:left="4320" w:hanging="180"/>
      </w:pPr>
    </w:lvl>
    <w:lvl w:ilvl="6" w:tplc="442A8E74">
      <w:start w:val="1"/>
      <w:numFmt w:val="decimal"/>
      <w:lvlText w:val="%7."/>
      <w:lvlJc w:val="left"/>
      <w:pPr>
        <w:ind w:left="5040" w:hanging="360"/>
      </w:pPr>
    </w:lvl>
    <w:lvl w:ilvl="7" w:tplc="978A2838">
      <w:start w:val="1"/>
      <w:numFmt w:val="lowerLetter"/>
      <w:lvlText w:val="%8."/>
      <w:lvlJc w:val="left"/>
      <w:pPr>
        <w:ind w:left="5760" w:hanging="360"/>
      </w:pPr>
    </w:lvl>
    <w:lvl w:ilvl="8" w:tplc="5EC4DE44">
      <w:start w:val="1"/>
      <w:numFmt w:val="lowerRoman"/>
      <w:lvlText w:val="%9."/>
      <w:lvlJc w:val="right"/>
      <w:pPr>
        <w:ind w:left="6480" w:hanging="180"/>
      </w:pPr>
    </w:lvl>
  </w:abstractNum>
  <w:abstractNum w:abstractNumId="13" w15:restartNumberingAfterBreak="0">
    <w:nsid w:val="0816690D"/>
    <w:multiLevelType w:val="multilevel"/>
    <w:tmpl w:val="6D4EB08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3D4687"/>
    <w:multiLevelType w:val="multilevel"/>
    <w:tmpl w:val="0D3C09D4"/>
    <w:lvl w:ilvl="0">
      <w:start w:val="4"/>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0869CDD7"/>
    <w:multiLevelType w:val="hybridMultilevel"/>
    <w:tmpl w:val="E6F60F72"/>
    <w:lvl w:ilvl="0" w:tplc="CC5A35A2">
      <w:start w:val="1"/>
      <w:numFmt w:val="bullet"/>
      <w:lvlText w:val="-"/>
      <w:lvlJc w:val="left"/>
      <w:pPr>
        <w:ind w:left="720" w:hanging="360"/>
      </w:pPr>
      <w:rPr>
        <w:rFonts w:ascii="Symbol" w:hAnsi="Symbol" w:hint="default"/>
      </w:rPr>
    </w:lvl>
    <w:lvl w:ilvl="1" w:tplc="E90CF390">
      <w:start w:val="1"/>
      <w:numFmt w:val="bullet"/>
      <w:lvlText w:val="o"/>
      <w:lvlJc w:val="left"/>
      <w:pPr>
        <w:ind w:left="1440" w:hanging="360"/>
      </w:pPr>
      <w:rPr>
        <w:rFonts w:ascii="Courier New" w:hAnsi="Courier New" w:cs="Times New Roman" w:hint="default"/>
      </w:rPr>
    </w:lvl>
    <w:lvl w:ilvl="2" w:tplc="62C827A8">
      <w:start w:val="1"/>
      <w:numFmt w:val="bullet"/>
      <w:lvlText w:val=""/>
      <w:lvlJc w:val="left"/>
      <w:pPr>
        <w:ind w:left="2160" w:hanging="360"/>
      </w:pPr>
      <w:rPr>
        <w:rFonts w:ascii="Wingdings" w:hAnsi="Wingdings" w:hint="default"/>
      </w:rPr>
    </w:lvl>
    <w:lvl w:ilvl="3" w:tplc="C6AC6B24">
      <w:start w:val="1"/>
      <w:numFmt w:val="bullet"/>
      <w:lvlText w:val=""/>
      <w:lvlJc w:val="left"/>
      <w:pPr>
        <w:ind w:left="2880" w:hanging="360"/>
      </w:pPr>
      <w:rPr>
        <w:rFonts w:ascii="Symbol" w:hAnsi="Symbol" w:hint="default"/>
      </w:rPr>
    </w:lvl>
    <w:lvl w:ilvl="4" w:tplc="DF44F6A4">
      <w:start w:val="1"/>
      <w:numFmt w:val="bullet"/>
      <w:lvlText w:val="o"/>
      <w:lvlJc w:val="left"/>
      <w:pPr>
        <w:ind w:left="3600" w:hanging="360"/>
      </w:pPr>
      <w:rPr>
        <w:rFonts w:ascii="Courier New" w:hAnsi="Courier New" w:cs="Times New Roman" w:hint="default"/>
      </w:rPr>
    </w:lvl>
    <w:lvl w:ilvl="5" w:tplc="8126F19E">
      <w:start w:val="1"/>
      <w:numFmt w:val="bullet"/>
      <w:lvlText w:val=""/>
      <w:lvlJc w:val="left"/>
      <w:pPr>
        <w:ind w:left="4320" w:hanging="360"/>
      </w:pPr>
      <w:rPr>
        <w:rFonts w:ascii="Wingdings" w:hAnsi="Wingdings" w:hint="default"/>
      </w:rPr>
    </w:lvl>
    <w:lvl w:ilvl="6" w:tplc="E4401EFE">
      <w:start w:val="1"/>
      <w:numFmt w:val="bullet"/>
      <w:lvlText w:val=""/>
      <w:lvlJc w:val="left"/>
      <w:pPr>
        <w:ind w:left="5040" w:hanging="360"/>
      </w:pPr>
      <w:rPr>
        <w:rFonts w:ascii="Symbol" w:hAnsi="Symbol" w:hint="default"/>
      </w:rPr>
    </w:lvl>
    <w:lvl w:ilvl="7" w:tplc="57C0F16C">
      <w:start w:val="1"/>
      <w:numFmt w:val="bullet"/>
      <w:lvlText w:val="o"/>
      <w:lvlJc w:val="left"/>
      <w:pPr>
        <w:ind w:left="5760" w:hanging="360"/>
      </w:pPr>
      <w:rPr>
        <w:rFonts w:ascii="Courier New" w:hAnsi="Courier New" w:cs="Times New Roman" w:hint="default"/>
      </w:rPr>
    </w:lvl>
    <w:lvl w:ilvl="8" w:tplc="59DA7ED4">
      <w:start w:val="1"/>
      <w:numFmt w:val="bullet"/>
      <w:lvlText w:val=""/>
      <w:lvlJc w:val="left"/>
      <w:pPr>
        <w:ind w:left="6480" w:hanging="360"/>
      </w:pPr>
      <w:rPr>
        <w:rFonts w:ascii="Wingdings" w:hAnsi="Wingdings" w:hint="default"/>
      </w:rPr>
    </w:lvl>
  </w:abstractNum>
  <w:abstractNum w:abstractNumId="16" w15:restartNumberingAfterBreak="0">
    <w:nsid w:val="09C45F0E"/>
    <w:multiLevelType w:val="multilevel"/>
    <w:tmpl w:val="569C1C5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41762F"/>
    <w:multiLevelType w:val="hybridMultilevel"/>
    <w:tmpl w:val="758601BC"/>
    <w:lvl w:ilvl="0" w:tplc="D7FEB5D2">
      <w:start w:val="1"/>
      <w:numFmt w:val="bullet"/>
      <w:lvlText w:val=""/>
      <w:lvlJc w:val="left"/>
      <w:pPr>
        <w:ind w:left="720" w:hanging="360"/>
      </w:pPr>
      <w:rPr>
        <w:rFonts w:ascii="Symbol" w:hAnsi="Symbol" w:hint="default"/>
      </w:rPr>
    </w:lvl>
    <w:lvl w:ilvl="1" w:tplc="B6F0C5A4">
      <w:start w:val="1"/>
      <w:numFmt w:val="bullet"/>
      <w:lvlText w:val="o"/>
      <w:lvlJc w:val="left"/>
      <w:pPr>
        <w:ind w:left="1440" w:hanging="360"/>
      </w:pPr>
      <w:rPr>
        <w:rFonts w:ascii="Courier New" w:hAnsi="Courier New" w:hint="default"/>
      </w:rPr>
    </w:lvl>
    <w:lvl w:ilvl="2" w:tplc="B6601F7E">
      <w:start w:val="1"/>
      <w:numFmt w:val="bullet"/>
      <w:lvlText w:val=""/>
      <w:lvlJc w:val="left"/>
      <w:pPr>
        <w:ind w:left="2160" w:hanging="360"/>
      </w:pPr>
      <w:rPr>
        <w:rFonts w:ascii="Wingdings" w:hAnsi="Wingdings" w:hint="default"/>
      </w:rPr>
    </w:lvl>
    <w:lvl w:ilvl="3" w:tplc="A7F26932">
      <w:start w:val="1"/>
      <w:numFmt w:val="bullet"/>
      <w:lvlText w:val=""/>
      <w:lvlJc w:val="left"/>
      <w:pPr>
        <w:ind w:left="2880" w:hanging="360"/>
      </w:pPr>
      <w:rPr>
        <w:rFonts w:ascii="Symbol" w:hAnsi="Symbol" w:hint="default"/>
      </w:rPr>
    </w:lvl>
    <w:lvl w:ilvl="4" w:tplc="0A001BA4">
      <w:start w:val="1"/>
      <w:numFmt w:val="bullet"/>
      <w:lvlText w:val="o"/>
      <w:lvlJc w:val="left"/>
      <w:pPr>
        <w:ind w:left="3600" w:hanging="360"/>
      </w:pPr>
      <w:rPr>
        <w:rFonts w:ascii="Courier New" w:hAnsi="Courier New" w:hint="default"/>
      </w:rPr>
    </w:lvl>
    <w:lvl w:ilvl="5" w:tplc="C5888858">
      <w:start w:val="1"/>
      <w:numFmt w:val="bullet"/>
      <w:lvlText w:val=""/>
      <w:lvlJc w:val="left"/>
      <w:pPr>
        <w:ind w:left="4320" w:hanging="360"/>
      </w:pPr>
      <w:rPr>
        <w:rFonts w:ascii="Wingdings" w:hAnsi="Wingdings" w:hint="default"/>
      </w:rPr>
    </w:lvl>
    <w:lvl w:ilvl="6" w:tplc="4282EB4C">
      <w:start w:val="1"/>
      <w:numFmt w:val="bullet"/>
      <w:lvlText w:val=""/>
      <w:lvlJc w:val="left"/>
      <w:pPr>
        <w:ind w:left="5040" w:hanging="360"/>
      </w:pPr>
      <w:rPr>
        <w:rFonts w:ascii="Symbol" w:hAnsi="Symbol" w:hint="default"/>
      </w:rPr>
    </w:lvl>
    <w:lvl w:ilvl="7" w:tplc="7A544E5C">
      <w:start w:val="1"/>
      <w:numFmt w:val="bullet"/>
      <w:lvlText w:val="o"/>
      <w:lvlJc w:val="left"/>
      <w:pPr>
        <w:ind w:left="5760" w:hanging="360"/>
      </w:pPr>
      <w:rPr>
        <w:rFonts w:ascii="Courier New" w:hAnsi="Courier New" w:hint="default"/>
      </w:rPr>
    </w:lvl>
    <w:lvl w:ilvl="8" w:tplc="A622FBBC">
      <w:start w:val="1"/>
      <w:numFmt w:val="bullet"/>
      <w:lvlText w:val=""/>
      <w:lvlJc w:val="left"/>
      <w:pPr>
        <w:ind w:left="6480" w:hanging="360"/>
      </w:pPr>
      <w:rPr>
        <w:rFonts w:ascii="Wingdings" w:hAnsi="Wingdings" w:hint="default"/>
      </w:rPr>
    </w:lvl>
  </w:abstractNum>
  <w:abstractNum w:abstractNumId="18" w15:restartNumberingAfterBreak="0">
    <w:nsid w:val="0C8B7279"/>
    <w:multiLevelType w:val="hybridMultilevel"/>
    <w:tmpl w:val="6D724774"/>
    <w:lvl w:ilvl="0" w:tplc="FFFFFFFF">
      <w:start w:val="1"/>
      <w:numFmt w:val="decimal"/>
      <w:lvlText w:val="%1."/>
      <w:lvlJc w:val="left"/>
      <w:pPr>
        <w:ind w:left="2345" w:hanging="360"/>
      </w:pPr>
    </w:lvl>
    <w:lvl w:ilvl="1" w:tplc="FFFFFFFF" w:tentative="1">
      <w:start w:val="1"/>
      <w:numFmt w:val="lowerLetter"/>
      <w:lvlText w:val="%2."/>
      <w:lvlJc w:val="left"/>
      <w:pPr>
        <w:ind w:left="3065" w:hanging="360"/>
      </w:pPr>
    </w:lvl>
    <w:lvl w:ilvl="2" w:tplc="FFFFFFFF" w:tentative="1">
      <w:start w:val="1"/>
      <w:numFmt w:val="lowerRoman"/>
      <w:lvlText w:val="%3."/>
      <w:lvlJc w:val="right"/>
      <w:pPr>
        <w:ind w:left="3785" w:hanging="180"/>
      </w:pPr>
    </w:lvl>
    <w:lvl w:ilvl="3" w:tplc="FFFFFFFF" w:tentative="1">
      <w:start w:val="1"/>
      <w:numFmt w:val="decimal"/>
      <w:lvlText w:val="%4."/>
      <w:lvlJc w:val="left"/>
      <w:pPr>
        <w:ind w:left="4505" w:hanging="360"/>
      </w:pPr>
    </w:lvl>
    <w:lvl w:ilvl="4" w:tplc="FFFFFFFF" w:tentative="1">
      <w:start w:val="1"/>
      <w:numFmt w:val="lowerLetter"/>
      <w:lvlText w:val="%5."/>
      <w:lvlJc w:val="left"/>
      <w:pPr>
        <w:ind w:left="5225" w:hanging="360"/>
      </w:pPr>
    </w:lvl>
    <w:lvl w:ilvl="5" w:tplc="FFFFFFFF" w:tentative="1">
      <w:start w:val="1"/>
      <w:numFmt w:val="lowerRoman"/>
      <w:lvlText w:val="%6."/>
      <w:lvlJc w:val="right"/>
      <w:pPr>
        <w:ind w:left="5945" w:hanging="180"/>
      </w:pPr>
    </w:lvl>
    <w:lvl w:ilvl="6" w:tplc="FFFFFFFF" w:tentative="1">
      <w:start w:val="1"/>
      <w:numFmt w:val="decimal"/>
      <w:lvlText w:val="%7."/>
      <w:lvlJc w:val="left"/>
      <w:pPr>
        <w:ind w:left="6665" w:hanging="360"/>
      </w:pPr>
    </w:lvl>
    <w:lvl w:ilvl="7" w:tplc="FFFFFFFF" w:tentative="1">
      <w:start w:val="1"/>
      <w:numFmt w:val="lowerLetter"/>
      <w:lvlText w:val="%8."/>
      <w:lvlJc w:val="left"/>
      <w:pPr>
        <w:ind w:left="7385" w:hanging="360"/>
      </w:pPr>
    </w:lvl>
    <w:lvl w:ilvl="8" w:tplc="FFFFFFFF" w:tentative="1">
      <w:start w:val="1"/>
      <w:numFmt w:val="lowerRoman"/>
      <w:lvlText w:val="%9."/>
      <w:lvlJc w:val="right"/>
      <w:pPr>
        <w:ind w:left="8105" w:hanging="180"/>
      </w:pPr>
    </w:lvl>
  </w:abstractNum>
  <w:abstractNum w:abstractNumId="19" w15:restartNumberingAfterBreak="0">
    <w:nsid w:val="0D860C36"/>
    <w:multiLevelType w:val="multilevel"/>
    <w:tmpl w:val="3A7E7F8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00D6C98"/>
    <w:multiLevelType w:val="hybridMultilevel"/>
    <w:tmpl w:val="C1183510"/>
    <w:lvl w:ilvl="0" w:tplc="F496A694">
      <w:start w:val="1"/>
      <w:numFmt w:val="bullet"/>
      <w:lvlText w:val=""/>
      <w:lvlJc w:val="left"/>
      <w:pPr>
        <w:ind w:left="720" w:hanging="360"/>
      </w:pPr>
      <w:rPr>
        <w:rFonts w:ascii="Symbol" w:hAnsi="Symbol" w:hint="default"/>
      </w:rPr>
    </w:lvl>
    <w:lvl w:ilvl="1" w:tplc="F4865392">
      <w:start w:val="1"/>
      <w:numFmt w:val="bullet"/>
      <w:lvlText w:val="o"/>
      <w:lvlJc w:val="left"/>
      <w:pPr>
        <w:ind w:left="1440" w:hanging="360"/>
      </w:pPr>
      <w:rPr>
        <w:rFonts w:ascii="Courier New" w:hAnsi="Courier New" w:hint="default"/>
      </w:rPr>
    </w:lvl>
    <w:lvl w:ilvl="2" w:tplc="96A008EE">
      <w:start w:val="1"/>
      <w:numFmt w:val="bullet"/>
      <w:lvlText w:val=""/>
      <w:lvlJc w:val="left"/>
      <w:pPr>
        <w:ind w:left="2160" w:hanging="360"/>
      </w:pPr>
      <w:rPr>
        <w:rFonts w:ascii="Wingdings" w:hAnsi="Wingdings" w:hint="default"/>
      </w:rPr>
    </w:lvl>
    <w:lvl w:ilvl="3" w:tplc="EB0A6D76">
      <w:start w:val="1"/>
      <w:numFmt w:val="bullet"/>
      <w:lvlText w:val=""/>
      <w:lvlJc w:val="left"/>
      <w:pPr>
        <w:ind w:left="2880" w:hanging="360"/>
      </w:pPr>
      <w:rPr>
        <w:rFonts w:ascii="Symbol" w:hAnsi="Symbol" w:hint="default"/>
      </w:rPr>
    </w:lvl>
    <w:lvl w:ilvl="4" w:tplc="CE7ACB2A">
      <w:start w:val="1"/>
      <w:numFmt w:val="bullet"/>
      <w:lvlText w:val="o"/>
      <w:lvlJc w:val="left"/>
      <w:pPr>
        <w:ind w:left="3600" w:hanging="360"/>
      </w:pPr>
      <w:rPr>
        <w:rFonts w:ascii="Courier New" w:hAnsi="Courier New" w:hint="default"/>
      </w:rPr>
    </w:lvl>
    <w:lvl w:ilvl="5" w:tplc="B8064BFA">
      <w:start w:val="1"/>
      <w:numFmt w:val="bullet"/>
      <w:lvlText w:val=""/>
      <w:lvlJc w:val="left"/>
      <w:pPr>
        <w:ind w:left="4320" w:hanging="360"/>
      </w:pPr>
      <w:rPr>
        <w:rFonts w:ascii="Wingdings" w:hAnsi="Wingdings" w:hint="default"/>
      </w:rPr>
    </w:lvl>
    <w:lvl w:ilvl="6" w:tplc="04766396">
      <w:start w:val="1"/>
      <w:numFmt w:val="bullet"/>
      <w:lvlText w:val=""/>
      <w:lvlJc w:val="left"/>
      <w:pPr>
        <w:ind w:left="5040" w:hanging="360"/>
      </w:pPr>
      <w:rPr>
        <w:rFonts w:ascii="Symbol" w:hAnsi="Symbol" w:hint="default"/>
      </w:rPr>
    </w:lvl>
    <w:lvl w:ilvl="7" w:tplc="CFB025BA">
      <w:start w:val="1"/>
      <w:numFmt w:val="bullet"/>
      <w:lvlText w:val="o"/>
      <w:lvlJc w:val="left"/>
      <w:pPr>
        <w:ind w:left="5760" w:hanging="360"/>
      </w:pPr>
      <w:rPr>
        <w:rFonts w:ascii="Courier New" w:hAnsi="Courier New" w:hint="default"/>
      </w:rPr>
    </w:lvl>
    <w:lvl w:ilvl="8" w:tplc="D7F680FE">
      <w:start w:val="1"/>
      <w:numFmt w:val="bullet"/>
      <w:lvlText w:val=""/>
      <w:lvlJc w:val="left"/>
      <w:pPr>
        <w:ind w:left="6480" w:hanging="360"/>
      </w:pPr>
      <w:rPr>
        <w:rFonts w:ascii="Wingdings" w:hAnsi="Wingdings" w:hint="default"/>
      </w:rPr>
    </w:lvl>
  </w:abstractNum>
  <w:abstractNum w:abstractNumId="21" w15:restartNumberingAfterBreak="0">
    <w:nsid w:val="1148198B"/>
    <w:multiLevelType w:val="multilevel"/>
    <w:tmpl w:val="378204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18A1EC2"/>
    <w:multiLevelType w:val="multilevel"/>
    <w:tmpl w:val="4EDCD4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3042290"/>
    <w:multiLevelType w:val="hybridMultilevel"/>
    <w:tmpl w:val="26E691E0"/>
    <w:lvl w:ilvl="0" w:tplc="A1747E5E">
      <w:start w:val="1"/>
      <w:numFmt w:val="lowerLetter"/>
      <w:lvlText w:val="%1)"/>
      <w:lvlJc w:val="left"/>
      <w:pPr>
        <w:ind w:left="405" w:hanging="360"/>
      </w:pPr>
      <w:rPr>
        <w:rFonts w:ascii="Arial Narrow" w:eastAsia="Times New Roman" w:hAnsi="Arial Narrow" w:cs="Times New Roman"/>
      </w:rPr>
    </w:lvl>
    <w:lvl w:ilvl="1" w:tplc="04100019">
      <w:start w:val="1"/>
      <w:numFmt w:val="lowerLetter"/>
      <w:lvlText w:val="%2."/>
      <w:lvlJc w:val="left"/>
      <w:pPr>
        <w:ind w:left="1125" w:hanging="360"/>
      </w:pPr>
    </w:lvl>
    <w:lvl w:ilvl="2" w:tplc="0410001B">
      <w:start w:val="1"/>
      <w:numFmt w:val="lowerRoman"/>
      <w:lvlText w:val="%3."/>
      <w:lvlJc w:val="right"/>
      <w:pPr>
        <w:ind w:left="1845" w:hanging="180"/>
      </w:pPr>
    </w:lvl>
    <w:lvl w:ilvl="3" w:tplc="0410000F">
      <w:start w:val="1"/>
      <w:numFmt w:val="decimal"/>
      <w:lvlText w:val="%4."/>
      <w:lvlJc w:val="left"/>
      <w:pPr>
        <w:ind w:left="2565" w:hanging="360"/>
      </w:pPr>
    </w:lvl>
    <w:lvl w:ilvl="4" w:tplc="04100019">
      <w:start w:val="1"/>
      <w:numFmt w:val="lowerLetter"/>
      <w:lvlText w:val="%5."/>
      <w:lvlJc w:val="left"/>
      <w:pPr>
        <w:ind w:left="3285" w:hanging="360"/>
      </w:pPr>
    </w:lvl>
    <w:lvl w:ilvl="5" w:tplc="0410001B">
      <w:start w:val="1"/>
      <w:numFmt w:val="lowerRoman"/>
      <w:lvlText w:val="%6."/>
      <w:lvlJc w:val="right"/>
      <w:pPr>
        <w:ind w:left="4005" w:hanging="180"/>
      </w:pPr>
    </w:lvl>
    <w:lvl w:ilvl="6" w:tplc="0410000F">
      <w:start w:val="1"/>
      <w:numFmt w:val="decimal"/>
      <w:lvlText w:val="%7."/>
      <w:lvlJc w:val="left"/>
      <w:pPr>
        <w:ind w:left="4725" w:hanging="360"/>
      </w:pPr>
    </w:lvl>
    <w:lvl w:ilvl="7" w:tplc="04100019">
      <w:start w:val="1"/>
      <w:numFmt w:val="lowerLetter"/>
      <w:lvlText w:val="%8."/>
      <w:lvlJc w:val="left"/>
      <w:pPr>
        <w:ind w:left="5445" w:hanging="360"/>
      </w:pPr>
    </w:lvl>
    <w:lvl w:ilvl="8" w:tplc="0410001B">
      <w:start w:val="1"/>
      <w:numFmt w:val="lowerRoman"/>
      <w:lvlText w:val="%9."/>
      <w:lvlJc w:val="right"/>
      <w:pPr>
        <w:ind w:left="6165" w:hanging="180"/>
      </w:pPr>
    </w:lvl>
  </w:abstractNum>
  <w:abstractNum w:abstractNumId="24" w15:restartNumberingAfterBreak="0">
    <w:nsid w:val="14ED7B12"/>
    <w:multiLevelType w:val="hybridMultilevel"/>
    <w:tmpl w:val="29EA5478"/>
    <w:lvl w:ilvl="0" w:tplc="7AACA2A8">
      <w:start w:val="1"/>
      <w:numFmt w:val="lowerRoman"/>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15D54647"/>
    <w:multiLevelType w:val="hybridMultilevel"/>
    <w:tmpl w:val="CDD2791E"/>
    <w:lvl w:ilvl="0" w:tplc="ECE249C6">
      <w:start w:val="1"/>
      <w:numFmt w:val="bullet"/>
      <w:lvlText w:val=""/>
      <w:lvlJc w:val="right"/>
      <w:pPr>
        <w:ind w:left="720" w:hanging="360"/>
      </w:pPr>
      <w:rPr>
        <w:rFonts w:ascii="Symbol" w:hAnsi="Symbol" w:hint="default"/>
        <w:color w:val="3A7C22" w:themeColor="accent6" w:themeShade="BF"/>
        <w:spacing w:val="6"/>
        <w:position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15E226B0"/>
    <w:multiLevelType w:val="multilevel"/>
    <w:tmpl w:val="C5D2BA54"/>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Noto Sans Symbols" w:hAnsi="Noto Sans Symbols" w:hint="default"/>
      </w:rPr>
    </w:lvl>
    <w:lvl w:ilvl="3">
      <w:start w:val="1"/>
      <w:numFmt w:val="bullet"/>
      <w:lvlText w:val="●"/>
      <w:lvlJc w:val="left"/>
      <w:pPr>
        <w:ind w:left="2520" w:hanging="360"/>
      </w:pPr>
      <w:rPr>
        <w:rFonts w:ascii="Noto Sans Symbols" w:hAnsi="Noto Sans Symbols"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Noto Sans Symbols" w:hAnsi="Noto Sans Symbols" w:hint="default"/>
      </w:rPr>
    </w:lvl>
    <w:lvl w:ilvl="6">
      <w:start w:val="1"/>
      <w:numFmt w:val="bullet"/>
      <w:lvlText w:val="●"/>
      <w:lvlJc w:val="left"/>
      <w:pPr>
        <w:ind w:left="4680" w:hanging="360"/>
      </w:pPr>
      <w:rPr>
        <w:rFonts w:ascii="Noto Sans Symbols" w:hAnsi="Noto Sans Symbols"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Noto Sans Symbols" w:hAnsi="Noto Sans Symbols" w:hint="default"/>
      </w:rPr>
    </w:lvl>
  </w:abstractNum>
  <w:abstractNum w:abstractNumId="27" w15:restartNumberingAfterBreak="0">
    <w:nsid w:val="16353175"/>
    <w:multiLevelType w:val="multilevel"/>
    <w:tmpl w:val="397A91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65622D8"/>
    <w:multiLevelType w:val="hybridMultilevel"/>
    <w:tmpl w:val="E6E46808"/>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9" w15:restartNumberingAfterBreak="0">
    <w:nsid w:val="181C2342"/>
    <w:multiLevelType w:val="multilevel"/>
    <w:tmpl w:val="BA5E2E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19337120"/>
    <w:multiLevelType w:val="multilevel"/>
    <w:tmpl w:val="3A4A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811323"/>
    <w:multiLevelType w:val="hybridMultilevel"/>
    <w:tmpl w:val="D428AE04"/>
    <w:lvl w:ilvl="0" w:tplc="07F82988">
      <w:start w:val="1"/>
      <w:numFmt w:val="bullet"/>
      <w:lvlText w:val="-"/>
      <w:lvlJc w:val="left"/>
      <w:pPr>
        <w:ind w:left="1429" w:hanging="360"/>
      </w:pPr>
      <w:rPr>
        <w:rFonts w:ascii="Times New Roman" w:hAnsi="Times New Roman" w:hint="default"/>
      </w:rPr>
    </w:lvl>
    <w:lvl w:ilvl="1" w:tplc="9222CE2E">
      <w:start w:val="1"/>
      <w:numFmt w:val="bullet"/>
      <w:lvlText w:val="o"/>
      <w:lvlJc w:val="left"/>
      <w:pPr>
        <w:ind w:left="2149" w:hanging="360"/>
      </w:pPr>
      <w:rPr>
        <w:rFonts w:ascii="Courier New" w:hAnsi="Courier New" w:hint="default"/>
      </w:rPr>
    </w:lvl>
    <w:lvl w:ilvl="2" w:tplc="701E9312">
      <w:start w:val="1"/>
      <w:numFmt w:val="bullet"/>
      <w:lvlText w:val=""/>
      <w:lvlJc w:val="left"/>
      <w:pPr>
        <w:ind w:left="2869" w:hanging="360"/>
      </w:pPr>
      <w:rPr>
        <w:rFonts w:ascii="Wingdings" w:hAnsi="Wingdings" w:hint="default"/>
      </w:rPr>
    </w:lvl>
    <w:lvl w:ilvl="3" w:tplc="C162749A">
      <w:start w:val="1"/>
      <w:numFmt w:val="bullet"/>
      <w:lvlText w:val=""/>
      <w:lvlJc w:val="left"/>
      <w:pPr>
        <w:ind w:left="3589" w:hanging="360"/>
      </w:pPr>
      <w:rPr>
        <w:rFonts w:ascii="Symbol" w:hAnsi="Symbol" w:hint="default"/>
      </w:rPr>
    </w:lvl>
    <w:lvl w:ilvl="4" w:tplc="BD6EA15C">
      <w:start w:val="1"/>
      <w:numFmt w:val="bullet"/>
      <w:lvlText w:val="o"/>
      <w:lvlJc w:val="left"/>
      <w:pPr>
        <w:ind w:left="4309" w:hanging="360"/>
      </w:pPr>
      <w:rPr>
        <w:rFonts w:ascii="Courier New" w:hAnsi="Courier New" w:hint="default"/>
      </w:rPr>
    </w:lvl>
    <w:lvl w:ilvl="5" w:tplc="B1B03284">
      <w:start w:val="1"/>
      <w:numFmt w:val="bullet"/>
      <w:lvlText w:val=""/>
      <w:lvlJc w:val="left"/>
      <w:pPr>
        <w:ind w:left="5029" w:hanging="360"/>
      </w:pPr>
      <w:rPr>
        <w:rFonts w:ascii="Wingdings" w:hAnsi="Wingdings" w:hint="default"/>
      </w:rPr>
    </w:lvl>
    <w:lvl w:ilvl="6" w:tplc="5BFAF6F2">
      <w:start w:val="1"/>
      <w:numFmt w:val="bullet"/>
      <w:lvlText w:val=""/>
      <w:lvlJc w:val="left"/>
      <w:pPr>
        <w:ind w:left="5749" w:hanging="360"/>
      </w:pPr>
      <w:rPr>
        <w:rFonts w:ascii="Symbol" w:hAnsi="Symbol" w:hint="default"/>
      </w:rPr>
    </w:lvl>
    <w:lvl w:ilvl="7" w:tplc="3D4AC7AE">
      <w:start w:val="1"/>
      <w:numFmt w:val="bullet"/>
      <w:lvlText w:val="o"/>
      <w:lvlJc w:val="left"/>
      <w:pPr>
        <w:ind w:left="6469" w:hanging="360"/>
      </w:pPr>
      <w:rPr>
        <w:rFonts w:ascii="Courier New" w:hAnsi="Courier New" w:hint="default"/>
      </w:rPr>
    </w:lvl>
    <w:lvl w:ilvl="8" w:tplc="0366C68C">
      <w:start w:val="1"/>
      <w:numFmt w:val="bullet"/>
      <w:lvlText w:val=""/>
      <w:lvlJc w:val="left"/>
      <w:pPr>
        <w:ind w:left="7189" w:hanging="360"/>
      </w:pPr>
      <w:rPr>
        <w:rFonts w:ascii="Wingdings" w:hAnsi="Wingdings" w:hint="default"/>
      </w:rPr>
    </w:lvl>
  </w:abstractNum>
  <w:abstractNum w:abstractNumId="32" w15:restartNumberingAfterBreak="0">
    <w:nsid w:val="1A747A46"/>
    <w:multiLevelType w:val="multilevel"/>
    <w:tmpl w:val="DAE6534A"/>
    <w:lvl w:ilvl="0">
      <w:start w:val="5"/>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3numb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pStyle w:val="Point0letter"/>
      <w:lvlText w:val="(%4)"/>
      <w:lvlJc w:val="left"/>
      <w:pPr>
        <w:tabs>
          <w:tab w:val="num" w:pos="1417"/>
        </w:tabs>
        <w:ind w:left="1417" w:hanging="567"/>
      </w:pPr>
    </w:lvl>
    <w:lvl w:ilvl="4">
      <w:start w:val="1"/>
      <w:numFmt w:val="decimal"/>
      <w:pStyle w:val="Point1number"/>
      <w:lvlText w:val="(%5)"/>
      <w:lvlJc w:val="left"/>
      <w:pPr>
        <w:tabs>
          <w:tab w:val="num" w:pos="1984"/>
        </w:tabs>
        <w:ind w:left="1984" w:hanging="567"/>
      </w:pPr>
    </w:lvl>
    <w:lvl w:ilvl="5">
      <w:start w:val="1"/>
      <w:numFmt w:val="lowerLetter"/>
      <w:pStyle w:val="Point1letter"/>
      <w:lvlText w:val="(%6)"/>
      <w:lvlJc w:val="left"/>
      <w:pPr>
        <w:tabs>
          <w:tab w:val="num" w:pos="1984"/>
        </w:tabs>
        <w:ind w:left="1984" w:hanging="567"/>
      </w:pPr>
    </w:lvl>
    <w:lvl w:ilvl="6">
      <w:start w:val="1"/>
      <w:numFmt w:val="decimal"/>
      <w:pStyle w:val="Point2number"/>
      <w:lvlText w:val="(%7)"/>
      <w:lvlJc w:val="left"/>
      <w:pPr>
        <w:tabs>
          <w:tab w:val="num" w:pos="2551"/>
        </w:tabs>
        <w:ind w:left="2551" w:hanging="567"/>
      </w:pPr>
    </w:lvl>
    <w:lvl w:ilvl="7">
      <w:start w:val="1"/>
      <w:numFmt w:val="lowerLetter"/>
      <w:pStyle w:val="Point2letter"/>
      <w:lvlText w:val="(%8)"/>
      <w:lvlJc w:val="left"/>
      <w:pPr>
        <w:tabs>
          <w:tab w:val="num" w:pos="2551"/>
        </w:tabs>
        <w:ind w:left="2551" w:hanging="567"/>
      </w:pPr>
    </w:lvl>
    <w:lvl w:ilvl="8">
      <w:start w:val="1"/>
      <w:numFmt w:val="lowerLetter"/>
      <w:pStyle w:val="Point3letter"/>
      <w:lvlText w:val="(%9)"/>
      <w:lvlJc w:val="left"/>
      <w:pPr>
        <w:tabs>
          <w:tab w:val="num" w:pos="3118"/>
        </w:tabs>
        <w:ind w:left="3118" w:hanging="567"/>
      </w:pPr>
    </w:lvl>
  </w:abstractNum>
  <w:abstractNum w:abstractNumId="34" w15:restartNumberingAfterBreak="0">
    <w:nsid w:val="1E317D26"/>
    <w:multiLevelType w:val="hybridMultilevel"/>
    <w:tmpl w:val="F2566412"/>
    <w:lvl w:ilvl="0" w:tplc="7CC4E43C">
      <w:start w:val="1"/>
      <w:numFmt w:val="decimal"/>
      <w:lvlText w:val="%1."/>
      <w:lvlJc w:val="left"/>
      <w:pPr>
        <w:ind w:left="720" w:hanging="360"/>
      </w:pPr>
    </w:lvl>
    <w:lvl w:ilvl="1" w:tplc="98B4BE10">
      <w:start w:val="1"/>
      <w:numFmt w:val="lowerLetter"/>
      <w:lvlText w:val="%2."/>
      <w:lvlJc w:val="left"/>
      <w:pPr>
        <w:ind w:left="1440" w:hanging="360"/>
      </w:pPr>
    </w:lvl>
    <w:lvl w:ilvl="2" w:tplc="E28A6A02">
      <w:start w:val="1"/>
      <w:numFmt w:val="lowerRoman"/>
      <w:lvlText w:val="%3."/>
      <w:lvlJc w:val="right"/>
      <w:pPr>
        <w:ind w:left="2160" w:hanging="180"/>
      </w:pPr>
    </w:lvl>
    <w:lvl w:ilvl="3" w:tplc="6EB468B2">
      <w:start w:val="1"/>
      <w:numFmt w:val="decimal"/>
      <w:lvlText w:val="%4."/>
      <w:lvlJc w:val="left"/>
      <w:pPr>
        <w:ind w:left="2880" w:hanging="360"/>
      </w:pPr>
    </w:lvl>
    <w:lvl w:ilvl="4" w:tplc="DD965FD8">
      <w:start w:val="1"/>
      <w:numFmt w:val="lowerLetter"/>
      <w:lvlText w:val="%5."/>
      <w:lvlJc w:val="left"/>
      <w:pPr>
        <w:ind w:left="3600" w:hanging="360"/>
      </w:pPr>
    </w:lvl>
    <w:lvl w:ilvl="5" w:tplc="4E466424">
      <w:start w:val="1"/>
      <w:numFmt w:val="lowerRoman"/>
      <w:lvlText w:val="%6."/>
      <w:lvlJc w:val="right"/>
      <w:pPr>
        <w:ind w:left="4320" w:hanging="180"/>
      </w:pPr>
    </w:lvl>
    <w:lvl w:ilvl="6" w:tplc="2174BC9C">
      <w:start w:val="1"/>
      <w:numFmt w:val="decimal"/>
      <w:lvlText w:val="%7."/>
      <w:lvlJc w:val="left"/>
      <w:pPr>
        <w:ind w:left="5040" w:hanging="360"/>
      </w:pPr>
    </w:lvl>
    <w:lvl w:ilvl="7" w:tplc="3EA00D02">
      <w:start w:val="1"/>
      <w:numFmt w:val="lowerLetter"/>
      <w:lvlText w:val="%8."/>
      <w:lvlJc w:val="left"/>
      <w:pPr>
        <w:ind w:left="5760" w:hanging="360"/>
      </w:pPr>
    </w:lvl>
    <w:lvl w:ilvl="8" w:tplc="4616220A">
      <w:start w:val="1"/>
      <w:numFmt w:val="lowerRoman"/>
      <w:lvlText w:val="%9."/>
      <w:lvlJc w:val="right"/>
      <w:pPr>
        <w:ind w:left="6480" w:hanging="180"/>
      </w:pPr>
    </w:lvl>
  </w:abstractNum>
  <w:abstractNum w:abstractNumId="35" w15:restartNumberingAfterBreak="0">
    <w:nsid w:val="1E950445"/>
    <w:multiLevelType w:val="multilevel"/>
    <w:tmpl w:val="610804BC"/>
    <w:lvl w:ilvl="0">
      <w:start w:val="1"/>
      <w:numFmt w:val="decimal"/>
      <w:lvlText w:val="%1."/>
      <w:lvlJc w:val="left"/>
      <w:pPr>
        <w:ind w:left="476" w:hanging="476"/>
      </w:pPr>
      <w:rPr>
        <w:b/>
        <w:bCs/>
      </w:rPr>
    </w:lvl>
    <w:lvl w:ilvl="1">
      <w:start w:val="1"/>
      <w:numFmt w:val="lowerLetter"/>
      <w:lvlText w:val="%2)"/>
      <w:lvlJc w:val="left"/>
      <w:pPr>
        <w:ind w:left="836" w:hanging="360"/>
      </w:pPr>
    </w:lvl>
    <w:lvl w:ilvl="2">
      <w:start w:val="1"/>
      <w:numFmt w:val="lowerRoman"/>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49CA69"/>
    <w:multiLevelType w:val="hybridMultilevel"/>
    <w:tmpl w:val="FFFFFFFF"/>
    <w:lvl w:ilvl="0" w:tplc="9BA2FBA8">
      <w:start w:val="1"/>
      <w:numFmt w:val="bullet"/>
      <w:lvlText w:val="·"/>
      <w:lvlJc w:val="left"/>
      <w:pPr>
        <w:ind w:left="720" w:hanging="360"/>
      </w:pPr>
      <w:rPr>
        <w:rFonts w:ascii="&quot;Times New Roman&quot;,serif" w:hAnsi="&quot;Times New Roman&quot;,serif" w:hint="default"/>
      </w:rPr>
    </w:lvl>
    <w:lvl w:ilvl="1" w:tplc="275440D2">
      <w:start w:val="1"/>
      <w:numFmt w:val="bullet"/>
      <w:lvlText w:val="o"/>
      <w:lvlJc w:val="left"/>
      <w:pPr>
        <w:ind w:left="1440" w:hanging="360"/>
      </w:pPr>
      <w:rPr>
        <w:rFonts w:ascii="Courier New" w:hAnsi="Courier New" w:hint="default"/>
      </w:rPr>
    </w:lvl>
    <w:lvl w:ilvl="2" w:tplc="0BD676BC">
      <w:start w:val="1"/>
      <w:numFmt w:val="bullet"/>
      <w:lvlText w:val=""/>
      <w:lvlJc w:val="left"/>
      <w:pPr>
        <w:ind w:left="2160" w:hanging="360"/>
      </w:pPr>
      <w:rPr>
        <w:rFonts w:ascii="Wingdings" w:hAnsi="Wingdings" w:hint="default"/>
      </w:rPr>
    </w:lvl>
    <w:lvl w:ilvl="3" w:tplc="9766BE38">
      <w:start w:val="1"/>
      <w:numFmt w:val="bullet"/>
      <w:lvlText w:val=""/>
      <w:lvlJc w:val="left"/>
      <w:pPr>
        <w:ind w:left="2880" w:hanging="360"/>
      </w:pPr>
      <w:rPr>
        <w:rFonts w:ascii="Symbol" w:hAnsi="Symbol" w:hint="default"/>
      </w:rPr>
    </w:lvl>
    <w:lvl w:ilvl="4" w:tplc="04686B50">
      <w:start w:val="1"/>
      <w:numFmt w:val="bullet"/>
      <w:lvlText w:val="o"/>
      <w:lvlJc w:val="left"/>
      <w:pPr>
        <w:ind w:left="3600" w:hanging="360"/>
      </w:pPr>
      <w:rPr>
        <w:rFonts w:ascii="Courier New" w:hAnsi="Courier New" w:hint="default"/>
      </w:rPr>
    </w:lvl>
    <w:lvl w:ilvl="5" w:tplc="57443B5E">
      <w:start w:val="1"/>
      <w:numFmt w:val="bullet"/>
      <w:lvlText w:val=""/>
      <w:lvlJc w:val="left"/>
      <w:pPr>
        <w:ind w:left="4320" w:hanging="360"/>
      </w:pPr>
      <w:rPr>
        <w:rFonts w:ascii="Wingdings" w:hAnsi="Wingdings" w:hint="default"/>
      </w:rPr>
    </w:lvl>
    <w:lvl w:ilvl="6" w:tplc="0FF6A8E4">
      <w:start w:val="1"/>
      <w:numFmt w:val="bullet"/>
      <w:lvlText w:val=""/>
      <w:lvlJc w:val="left"/>
      <w:pPr>
        <w:ind w:left="5040" w:hanging="360"/>
      </w:pPr>
      <w:rPr>
        <w:rFonts w:ascii="Symbol" w:hAnsi="Symbol" w:hint="default"/>
      </w:rPr>
    </w:lvl>
    <w:lvl w:ilvl="7" w:tplc="ABC400F0">
      <w:start w:val="1"/>
      <w:numFmt w:val="bullet"/>
      <w:lvlText w:val="o"/>
      <w:lvlJc w:val="left"/>
      <w:pPr>
        <w:ind w:left="5760" w:hanging="360"/>
      </w:pPr>
      <w:rPr>
        <w:rFonts w:ascii="Courier New" w:hAnsi="Courier New" w:hint="default"/>
      </w:rPr>
    </w:lvl>
    <w:lvl w:ilvl="8" w:tplc="66C02916">
      <w:start w:val="1"/>
      <w:numFmt w:val="bullet"/>
      <w:lvlText w:val=""/>
      <w:lvlJc w:val="left"/>
      <w:pPr>
        <w:ind w:left="6480" w:hanging="360"/>
      </w:pPr>
      <w:rPr>
        <w:rFonts w:ascii="Wingdings" w:hAnsi="Wingdings" w:hint="default"/>
      </w:rPr>
    </w:lvl>
  </w:abstractNum>
  <w:abstractNum w:abstractNumId="37" w15:restartNumberingAfterBreak="0">
    <w:nsid w:val="1FFB1B04"/>
    <w:multiLevelType w:val="multilevel"/>
    <w:tmpl w:val="B56431F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20012FB"/>
    <w:multiLevelType w:val="multilevel"/>
    <w:tmpl w:val="AADC2D4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22B3650B"/>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2E44180"/>
    <w:multiLevelType w:val="multilevel"/>
    <w:tmpl w:val="DFC88CEC"/>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pStyle w:val="NumPar2"/>
      <w:lvlText w:val="%1.%2.%3."/>
      <w:lvlJc w:val="left"/>
      <w:pPr>
        <w:tabs>
          <w:tab w:val="num" w:pos="850"/>
        </w:tabs>
        <w:ind w:left="850" w:hanging="850"/>
      </w:pPr>
    </w:lvl>
    <w:lvl w:ilvl="3">
      <w:start w:val="1"/>
      <w:numFmt w:val="decimal"/>
      <w:pStyle w:val="NumPar3"/>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164AFB"/>
    <w:multiLevelType w:val="hybridMultilevel"/>
    <w:tmpl w:val="8B6C2238"/>
    <w:lvl w:ilvl="0" w:tplc="1C2C3C14">
      <w:start w:val="1"/>
      <w:numFmt w:val="decimal"/>
      <w:lvlText w:val="%1."/>
      <w:lvlJc w:val="left"/>
      <w:pPr>
        <w:ind w:left="1080" w:hanging="360"/>
      </w:pPr>
    </w:lvl>
    <w:lvl w:ilvl="1" w:tplc="400CA014">
      <w:start w:val="1"/>
      <w:numFmt w:val="lowerLetter"/>
      <w:lvlText w:val="%2."/>
      <w:lvlJc w:val="left"/>
      <w:pPr>
        <w:ind w:left="1800" w:hanging="360"/>
      </w:pPr>
    </w:lvl>
    <w:lvl w:ilvl="2" w:tplc="9FE250C4">
      <w:start w:val="1"/>
      <w:numFmt w:val="lowerRoman"/>
      <w:lvlText w:val="%3."/>
      <w:lvlJc w:val="right"/>
      <w:pPr>
        <w:ind w:left="2520" w:hanging="180"/>
      </w:pPr>
    </w:lvl>
    <w:lvl w:ilvl="3" w:tplc="0220BE9C">
      <w:start w:val="1"/>
      <w:numFmt w:val="decimal"/>
      <w:lvlText w:val="%4."/>
      <w:lvlJc w:val="left"/>
      <w:pPr>
        <w:ind w:left="3240" w:hanging="360"/>
      </w:pPr>
    </w:lvl>
    <w:lvl w:ilvl="4" w:tplc="194015C8">
      <w:start w:val="1"/>
      <w:numFmt w:val="lowerLetter"/>
      <w:lvlText w:val="%5."/>
      <w:lvlJc w:val="left"/>
      <w:pPr>
        <w:ind w:left="3960" w:hanging="360"/>
      </w:pPr>
    </w:lvl>
    <w:lvl w:ilvl="5" w:tplc="FD30D5EA">
      <w:start w:val="1"/>
      <w:numFmt w:val="lowerRoman"/>
      <w:lvlText w:val="%6."/>
      <w:lvlJc w:val="right"/>
      <w:pPr>
        <w:ind w:left="4680" w:hanging="180"/>
      </w:pPr>
    </w:lvl>
    <w:lvl w:ilvl="6" w:tplc="17522B08">
      <w:start w:val="1"/>
      <w:numFmt w:val="decimal"/>
      <w:lvlText w:val="%7."/>
      <w:lvlJc w:val="left"/>
      <w:pPr>
        <w:ind w:left="5400" w:hanging="360"/>
      </w:pPr>
    </w:lvl>
    <w:lvl w:ilvl="7" w:tplc="1C7E61F4">
      <w:start w:val="1"/>
      <w:numFmt w:val="lowerLetter"/>
      <w:lvlText w:val="%8."/>
      <w:lvlJc w:val="left"/>
      <w:pPr>
        <w:ind w:left="6120" w:hanging="360"/>
      </w:pPr>
    </w:lvl>
    <w:lvl w:ilvl="8" w:tplc="2A36D5F2">
      <w:start w:val="1"/>
      <w:numFmt w:val="lowerRoman"/>
      <w:lvlText w:val="%9."/>
      <w:lvlJc w:val="right"/>
      <w:pPr>
        <w:ind w:left="6840" w:hanging="180"/>
      </w:pPr>
    </w:lvl>
  </w:abstractNum>
  <w:abstractNum w:abstractNumId="42" w15:restartNumberingAfterBreak="0">
    <w:nsid w:val="23646EE9"/>
    <w:multiLevelType w:val="multilevel"/>
    <w:tmpl w:val="6AE2B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6A2E3F"/>
    <w:multiLevelType w:val="hybridMultilevel"/>
    <w:tmpl w:val="DDC0CB96"/>
    <w:lvl w:ilvl="0" w:tplc="74F0ABD6">
      <w:start w:val="2025"/>
      <w:numFmt w:val="bullet"/>
      <w:lvlText w:val="-"/>
      <w:lvlJc w:val="left"/>
      <w:pPr>
        <w:ind w:left="1080" w:hanging="360"/>
      </w:pPr>
      <w:rPr>
        <w:rFonts w:ascii="Segoe UI" w:hAnsi="Segoe UI" w:hint="default"/>
      </w:rPr>
    </w:lvl>
    <w:lvl w:ilvl="1" w:tplc="CCD83952">
      <w:start w:val="1"/>
      <w:numFmt w:val="bullet"/>
      <w:lvlText w:val="o"/>
      <w:lvlJc w:val="left"/>
      <w:pPr>
        <w:ind w:left="1800" w:hanging="360"/>
      </w:pPr>
      <w:rPr>
        <w:rFonts w:ascii="Courier New" w:hAnsi="Courier New" w:hint="default"/>
      </w:rPr>
    </w:lvl>
    <w:lvl w:ilvl="2" w:tplc="4D3099A2">
      <w:start w:val="1"/>
      <w:numFmt w:val="bullet"/>
      <w:lvlText w:val=""/>
      <w:lvlJc w:val="left"/>
      <w:pPr>
        <w:ind w:left="2520" w:hanging="360"/>
      </w:pPr>
      <w:rPr>
        <w:rFonts w:ascii="Wingdings" w:hAnsi="Wingdings" w:hint="default"/>
      </w:rPr>
    </w:lvl>
    <w:lvl w:ilvl="3" w:tplc="40989C6E">
      <w:start w:val="1"/>
      <w:numFmt w:val="bullet"/>
      <w:lvlText w:val=""/>
      <w:lvlJc w:val="left"/>
      <w:pPr>
        <w:ind w:left="3240" w:hanging="360"/>
      </w:pPr>
      <w:rPr>
        <w:rFonts w:ascii="Symbol" w:hAnsi="Symbol" w:hint="default"/>
      </w:rPr>
    </w:lvl>
    <w:lvl w:ilvl="4" w:tplc="B6C2CE2E">
      <w:start w:val="1"/>
      <w:numFmt w:val="bullet"/>
      <w:lvlText w:val="o"/>
      <w:lvlJc w:val="left"/>
      <w:pPr>
        <w:ind w:left="3960" w:hanging="360"/>
      </w:pPr>
      <w:rPr>
        <w:rFonts w:ascii="Courier New" w:hAnsi="Courier New" w:hint="default"/>
      </w:rPr>
    </w:lvl>
    <w:lvl w:ilvl="5" w:tplc="71E023EC">
      <w:start w:val="1"/>
      <w:numFmt w:val="bullet"/>
      <w:lvlText w:val=""/>
      <w:lvlJc w:val="left"/>
      <w:pPr>
        <w:ind w:left="4680" w:hanging="360"/>
      </w:pPr>
      <w:rPr>
        <w:rFonts w:ascii="Wingdings" w:hAnsi="Wingdings" w:hint="default"/>
      </w:rPr>
    </w:lvl>
    <w:lvl w:ilvl="6" w:tplc="84FC4682">
      <w:start w:val="1"/>
      <w:numFmt w:val="bullet"/>
      <w:lvlText w:val=""/>
      <w:lvlJc w:val="left"/>
      <w:pPr>
        <w:ind w:left="5400" w:hanging="360"/>
      </w:pPr>
      <w:rPr>
        <w:rFonts w:ascii="Symbol" w:hAnsi="Symbol" w:hint="default"/>
      </w:rPr>
    </w:lvl>
    <w:lvl w:ilvl="7" w:tplc="77FC9FDE">
      <w:start w:val="1"/>
      <w:numFmt w:val="bullet"/>
      <w:lvlText w:val="o"/>
      <w:lvlJc w:val="left"/>
      <w:pPr>
        <w:ind w:left="6120" w:hanging="360"/>
      </w:pPr>
      <w:rPr>
        <w:rFonts w:ascii="Courier New" w:hAnsi="Courier New" w:hint="default"/>
      </w:rPr>
    </w:lvl>
    <w:lvl w:ilvl="8" w:tplc="AF5C0566">
      <w:start w:val="1"/>
      <w:numFmt w:val="bullet"/>
      <w:lvlText w:val=""/>
      <w:lvlJc w:val="left"/>
      <w:pPr>
        <w:ind w:left="6840" w:hanging="360"/>
      </w:pPr>
      <w:rPr>
        <w:rFonts w:ascii="Wingdings" w:hAnsi="Wingdings" w:hint="default"/>
      </w:rPr>
    </w:lvl>
  </w:abstractNum>
  <w:abstractNum w:abstractNumId="44" w15:restartNumberingAfterBreak="0">
    <w:nsid w:val="24AF1572"/>
    <w:multiLevelType w:val="singleLevel"/>
    <w:tmpl w:val="3FE82790"/>
    <w:styleLink w:val="Puntielenco0"/>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24BB5D4E"/>
    <w:multiLevelType w:val="multilevel"/>
    <w:tmpl w:val="8A3A51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4EB7D87"/>
    <w:multiLevelType w:val="multilevel"/>
    <w:tmpl w:val="A4A6DBE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6E7148B"/>
    <w:multiLevelType w:val="hybridMultilevel"/>
    <w:tmpl w:val="AE1ABF60"/>
    <w:lvl w:ilvl="0" w:tplc="3EA80E8E">
      <w:start w:val="1"/>
      <w:numFmt w:val="bullet"/>
      <w:lvlText w:val=""/>
      <w:lvlJc w:val="left"/>
      <w:pPr>
        <w:ind w:left="720" w:hanging="360"/>
      </w:pPr>
      <w:rPr>
        <w:rFonts w:ascii="Symbol" w:hAnsi="Symbol" w:hint="default"/>
      </w:rPr>
    </w:lvl>
    <w:lvl w:ilvl="1" w:tplc="A81EF75A">
      <w:start w:val="1"/>
      <w:numFmt w:val="bullet"/>
      <w:lvlText w:val="o"/>
      <w:lvlJc w:val="left"/>
      <w:pPr>
        <w:ind w:left="1440" w:hanging="360"/>
      </w:pPr>
      <w:rPr>
        <w:rFonts w:ascii="Courier New" w:hAnsi="Courier New" w:hint="default"/>
      </w:rPr>
    </w:lvl>
    <w:lvl w:ilvl="2" w:tplc="C010B64C">
      <w:start w:val="1"/>
      <w:numFmt w:val="bullet"/>
      <w:lvlText w:val=""/>
      <w:lvlJc w:val="left"/>
      <w:pPr>
        <w:ind w:left="2160" w:hanging="360"/>
      </w:pPr>
      <w:rPr>
        <w:rFonts w:ascii="Wingdings" w:hAnsi="Wingdings" w:hint="default"/>
      </w:rPr>
    </w:lvl>
    <w:lvl w:ilvl="3" w:tplc="F8DA74A0">
      <w:start w:val="1"/>
      <w:numFmt w:val="bullet"/>
      <w:lvlText w:val=""/>
      <w:lvlJc w:val="left"/>
      <w:pPr>
        <w:ind w:left="2880" w:hanging="360"/>
      </w:pPr>
      <w:rPr>
        <w:rFonts w:ascii="Symbol" w:hAnsi="Symbol" w:hint="default"/>
      </w:rPr>
    </w:lvl>
    <w:lvl w:ilvl="4" w:tplc="835E426C">
      <w:start w:val="1"/>
      <w:numFmt w:val="bullet"/>
      <w:lvlText w:val="o"/>
      <w:lvlJc w:val="left"/>
      <w:pPr>
        <w:ind w:left="3600" w:hanging="360"/>
      </w:pPr>
      <w:rPr>
        <w:rFonts w:ascii="Courier New" w:hAnsi="Courier New" w:hint="default"/>
      </w:rPr>
    </w:lvl>
    <w:lvl w:ilvl="5" w:tplc="8AC4FF18">
      <w:start w:val="1"/>
      <w:numFmt w:val="bullet"/>
      <w:lvlText w:val=""/>
      <w:lvlJc w:val="left"/>
      <w:pPr>
        <w:ind w:left="4320" w:hanging="360"/>
      </w:pPr>
      <w:rPr>
        <w:rFonts w:ascii="Wingdings" w:hAnsi="Wingdings" w:hint="default"/>
      </w:rPr>
    </w:lvl>
    <w:lvl w:ilvl="6" w:tplc="F3745DE0">
      <w:start w:val="1"/>
      <w:numFmt w:val="bullet"/>
      <w:lvlText w:val=""/>
      <w:lvlJc w:val="left"/>
      <w:pPr>
        <w:ind w:left="5040" w:hanging="360"/>
      </w:pPr>
      <w:rPr>
        <w:rFonts w:ascii="Symbol" w:hAnsi="Symbol" w:hint="default"/>
      </w:rPr>
    </w:lvl>
    <w:lvl w:ilvl="7" w:tplc="BC84CD90">
      <w:start w:val="1"/>
      <w:numFmt w:val="bullet"/>
      <w:lvlText w:val="o"/>
      <w:lvlJc w:val="left"/>
      <w:pPr>
        <w:ind w:left="5760" w:hanging="360"/>
      </w:pPr>
      <w:rPr>
        <w:rFonts w:ascii="Courier New" w:hAnsi="Courier New" w:hint="default"/>
      </w:rPr>
    </w:lvl>
    <w:lvl w:ilvl="8" w:tplc="B418948A">
      <w:start w:val="1"/>
      <w:numFmt w:val="bullet"/>
      <w:lvlText w:val=""/>
      <w:lvlJc w:val="left"/>
      <w:pPr>
        <w:ind w:left="6480" w:hanging="360"/>
      </w:pPr>
      <w:rPr>
        <w:rFonts w:ascii="Wingdings" w:hAnsi="Wingdings" w:hint="default"/>
      </w:rPr>
    </w:lvl>
  </w:abstractNum>
  <w:abstractNum w:abstractNumId="48" w15:restartNumberingAfterBreak="0">
    <w:nsid w:val="27C27310"/>
    <w:multiLevelType w:val="multilevel"/>
    <w:tmpl w:val="14A07D5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85C7D04"/>
    <w:multiLevelType w:val="multilevel"/>
    <w:tmpl w:val="788E53A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8BD17F5"/>
    <w:multiLevelType w:val="hybridMultilevel"/>
    <w:tmpl w:val="6E3089F2"/>
    <w:lvl w:ilvl="0" w:tplc="6E24EB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1" w15:restartNumberingAfterBreak="0">
    <w:nsid w:val="29857FBA"/>
    <w:multiLevelType w:val="hybridMultilevel"/>
    <w:tmpl w:val="0526D434"/>
    <w:lvl w:ilvl="0" w:tplc="C9B23F44">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2" w15:restartNumberingAfterBreak="0">
    <w:nsid w:val="298A4C8A"/>
    <w:multiLevelType w:val="hybridMultilevel"/>
    <w:tmpl w:val="2D4623CC"/>
    <w:lvl w:ilvl="0" w:tplc="D8CCA47E">
      <w:start w:val="1"/>
      <w:numFmt w:val="bullet"/>
      <w:lvlText w:val="-"/>
      <w:lvlJc w:val="left"/>
      <w:pPr>
        <w:ind w:left="360" w:hanging="360"/>
      </w:pPr>
      <w:rPr>
        <w:rFonts w:ascii="Times New Roman" w:hAnsi="Times New Roman" w:cs="Times New Roman" w:hint="default"/>
      </w:rPr>
    </w:lvl>
    <w:lvl w:ilvl="1" w:tplc="18090003" w:tentative="1">
      <w:start w:val="1"/>
      <w:numFmt w:val="bullet"/>
      <w:lvlText w:val="o"/>
      <w:lvlJc w:val="left"/>
      <w:pPr>
        <w:ind w:left="371" w:hanging="360"/>
      </w:pPr>
      <w:rPr>
        <w:rFonts w:ascii="Courier New" w:hAnsi="Courier New" w:cs="Courier New" w:hint="default"/>
      </w:rPr>
    </w:lvl>
    <w:lvl w:ilvl="2" w:tplc="18090005" w:tentative="1">
      <w:start w:val="1"/>
      <w:numFmt w:val="bullet"/>
      <w:lvlText w:val=""/>
      <w:lvlJc w:val="left"/>
      <w:pPr>
        <w:ind w:left="1091" w:hanging="360"/>
      </w:pPr>
      <w:rPr>
        <w:rFonts w:ascii="Wingdings" w:hAnsi="Wingdings" w:hint="default"/>
      </w:rPr>
    </w:lvl>
    <w:lvl w:ilvl="3" w:tplc="18090001" w:tentative="1">
      <w:start w:val="1"/>
      <w:numFmt w:val="bullet"/>
      <w:lvlText w:val=""/>
      <w:lvlJc w:val="left"/>
      <w:pPr>
        <w:ind w:left="1811" w:hanging="360"/>
      </w:pPr>
      <w:rPr>
        <w:rFonts w:ascii="Symbol" w:hAnsi="Symbol" w:hint="default"/>
      </w:rPr>
    </w:lvl>
    <w:lvl w:ilvl="4" w:tplc="18090003" w:tentative="1">
      <w:start w:val="1"/>
      <w:numFmt w:val="bullet"/>
      <w:lvlText w:val="o"/>
      <w:lvlJc w:val="left"/>
      <w:pPr>
        <w:ind w:left="2531" w:hanging="360"/>
      </w:pPr>
      <w:rPr>
        <w:rFonts w:ascii="Courier New" w:hAnsi="Courier New" w:cs="Courier New" w:hint="default"/>
      </w:rPr>
    </w:lvl>
    <w:lvl w:ilvl="5" w:tplc="18090005" w:tentative="1">
      <w:start w:val="1"/>
      <w:numFmt w:val="bullet"/>
      <w:lvlText w:val=""/>
      <w:lvlJc w:val="left"/>
      <w:pPr>
        <w:ind w:left="3251" w:hanging="360"/>
      </w:pPr>
      <w:rPr>
        <w:rFonts w:ascii="Wingdings" w:hAnsi="Wingdings" w:hint="default"/>
      </w:rPr>
    </w:lvl>
    <w:lvl w:ilvl="6" w:tplc="18090001" w:tentative="1">
      <w:start w:val="1"/>
      <w:numFmt w:val="bullet"/>
      <w:lvlText w:val=""/>
      <w:lvlJc w:val="left"/>
      <w:pPr>
        <w:ind w:left="3971" w:hanging="360"/>
      </w:pPr>
      <w:rPr>
        <w:rFonts w:ascii="Symbol" w:hAnsi="Symbol" w:hint="default"/>
      </w:rPr>
    </w:lvl>
    <w:lvl w:ilvl="7" w:tplc="18090003" w:tentative="1">
      <w:start w:val="1"/>
      <w:numFmt w:val="bullet"/>
      <w:lvlText w:val="o"/>
      <w:lvlJc w:val="left"/>
      <w:pPr>
        <w:ind w:left="4691" w:hanging="360"/>
      </w:pPr>
      <w:rPr>
        <w:rFonts w:ascii="Courier New" w:hAnsi="Courier New" w:cs="Courier New" w:hint="default"/>
      </w:rPr>
    </w:lvl>
    <w:lvl w:ilvl="8" w:tplc="18090005" w:tentative="1">
      <w:start w:val="1"/>
      <w:numFmt w:val="bullet"/>
      <w:lvlText w:val=""/>
      <w:lvlJc w:val="left"/>
      <w:pPr>
        <w:ind w:left="5411" w:hanging="360"/>
      </w:pPr>
      <w:rPr>
        <w:rFonts w:ascii="Wingdings" w:hAnsi="Wingdings" w:hint="default"/>
      </w:rPr>
    </w:lvl>
  </w:abstractNum>
  <w:abstractNum w:abstractNumId="53" w15:restartNumberingAfterBreak="0">
    <w:nsid w:val="2A1379F2"/>
    <w:multiLevelType w:val="hybridMultilevel"/>
    <w:tmpl w:val="FFFFFFFF"/>
    <w:lvl w:ilvl="0" w:tplc="FB8CE01E">
      <w:start w:val="1"/>
      <w:numFmt w:val="lowerRoman"/>
      <w:lvlText w:val="%1."/>
      <w:lvlJc w:val="right"/>
      <w:pPr>
        <w:ind w:left="720" w:hanging="360"/>
      </w:pPr>
    </w:lvl>
    <w:lvl w:ilvl="1" w:tplc="7A8E242E">
      <w:start w:val="1"/>
      <w:numFmt w:val="lowerLetter"/>
      <w:lvlText w:val="%2."/>
      <w:lvlJc w:val="left"/>
      <w:pPr>
        <w:ind w:left="1440" w:hanging="360"/>
      </w:pPr>
    </w:lvl>
    <w:lvl w:ilvl="2" w:tplc="7B784084">
      <w:start w:val="1"/>
      <w:numFmt w:val="lowerRoman"/>
      <w:lvlText w:val="%3."/>
      <w:lvlJc w:val="right"/>
      <w:pPr>
        <w:ind w:left="2160" w:hanging="180"/>
      </w:pPr>
    </w:lvl>
    <w:lvl w:ilvl="3" w:tplc="6D54AFC8">
      <w:start w:val="1"/>
      <w:numFmt w:val="decimal"/>
      <w:lvlText w:val="%4."/>
      <w:lvlJc w:val="left"/>
      <w:pPr>
        <w:ind w:left="2880" w:hanging="360"/>
      </w:pPr>
    </w:lvl>
    <w:lvl w:ilvl="4" w:tplc="2728A924">
      <w:start w:val="1"/>
      <w:numFmt w:val="lowerLetter"/>
      <w:lvlText w:val="%5."/>
      <w:lvlJc w:val="left"/>
      <w:pPr>
        <w:ind w:left="3600" w:hanging="360"/>
      </w:pPr>
    </w:lvl>
    <w:lvl w:ilvl="5" w:tplc="6AE40ED8">
      <w:start w:val="1"/>
      <w:numFmt w:val="lowerRoman"/>
      <w:lvlText w:val="%6."/>
      <w:lvlJc w:val="right"/>
      <w:pPr>
        <w:ind w:left="4320" w:hanging="180"/>
      </w:pPr>
    </w:lvl>
    <w:lvl w:ilvl="6" w:tplc="B48873E0">
      <w:start w:val="1"/>
      <w:numFmt w:val="decimal"/>
      <w:lvlText w:val="%7."/>
      <w:lvlJc w:val="left"/>
      <w:pPr>
        <w:ind w:left="5040" w:hanging="360"/>
      </w:pPr>
    </w:lvl>
    <w:lvl w:ilvl="7" w:tplc="D27202C2">
      <w:start w:val="1"/>
      <w:numFmt w:val="lowerLetter"/>
      <w:lvlText w:val="%8."/>
      <w:lvlJc w:val="left"/>
      <w:pPr>
        <w:ind w:left="5760" w:hanging="360"/>
      </w:pPr>
    </w:lvl>
    <w:lvl w:ilvl="8" w:tplc="1F0C88F6">
      <w:start w:val="1"/>
      <w:numFmt w:val="lowerRoman"/>
      <w:lvlText w:val="%9."/>
      <w:lvlJc w:val="right"/>
      <w:pPr>
        <w:ind w:left="6480" w:hanging="180"/>
      </w:pPr>
    </w:lvl>
  </w:abstractNum>
  <w:abstractNum w:abstractNumId="54" w15:restartNumberingAfterBreak="0">
    <w:nsid w:val="2A92660E"/>
    <w:multiLevelType w:val="hybridMultilevel"/>
    <w:tmpl w:val="E50C9DBA"/>
    <w:lvl w:ilvl="0" w:tplc="BCAC91D2">
      <w:numFmt w:val="bullet"/>
      <w:lvlText w:val="-"/>
      <w:lvlJc w:val="left"/>
      <w:pPr>
        <w:ind w:left="720" w:hanging="360"/>
      </w:pPr>
      <w:rPr>
        <w:rFonts w:ascii="Calibri" w:hAnsi="Calibri" w:hint="default"/>
      </w:rPr>
    </w:lvl>
    <w:lvl w:ilvl="1" w:tplc="97B44F9C">
      <w:start w:val="1"/>
      <w:numFmt w:val="bullet"/>
      <w:lvlText w:val="o"/>
      <w:lvlJc w:val="left"/>
      <w:pPr>
        <w:ind w:left="1440" w:hanging="360"/>
      </w:pPr>
      <w:rPr>
        <w:rFonts w:ascii="Courier New" w:hAnsi="Courier New" w:hint="default"/>
      </w:rPr>
    </w:lvl>
    <w:lvl w:ilvl="2" w:tplc="79A880CC">
      <w:start w:val="1"/>
      <w:numFmt w:val="bullet"/>
      <w:lvlText w:val=""/>
      <w:lvlJc w:val="left"/>
      <w:pPr>
        <w:ind w:left="2160" w:hanging="360"/>
      </w:pPr>
      <w:rPr>
        <w:rFonts w:ascii="Wingdings" w:hAnsi="Wingdings" w:hint="default"/>
      </w:rPr>
    </w:lvl>
    <w:lvl w:ilvl="3" w:tplc="9A80CFE2">
      <w:start w:val="1"/>
      <w:numFmt w:val="bullet"/>
      <w:lvlText w:val=""/>
      <w:lvlJc w:val="left"/>
      <w:pPr>
        <w:ind w:left="2880" w:hanging="360"/>
      </w:pPr>
      <w:rPr>
        <w:rFonts w:ascii="Symbol" w:hAnsi="Symbol" w:hint="default"/>
      </w:rPr>
    </w:lvl>
    <w:lvl w:ilvl="4" w:tplc="CB983B8A">
      <w:start w:val="1"/>
      <w:numFmt w:val="bullet"/>
      <w:lvlText w:val="o"/>
      <w:lvlJc w:val="left"/>
      <w:pPr>
        <w:ind w:left="3600" w:hanging="360"/>
      </w:pPr>
      <w:rPr>
        <w:rFonts w:ascii="Courier New" w:hAnsi="Courier New" w:hint="default"/>
      </w:rPr>
    </w:lvl>
    <w:lvl w:ilvl="5" w:tplc="7C3A297C">
      <w:start w:val="1"/>
      <w:numFmt w:val="bullet"/>
      <w:lvlText w:val=""/>
      <w:lvlJc w:val="left"/>
      <w:pPr>
        <w:ind w:left="4320" w:hanging="360"/>
      </w:pPr>
      <w:rPr>
        <w:rFonts w:ascii="Wingdings" w:hAnsi="Wingdings" w:hint="default"/>
      </w:rPr>
    </w:lvl>
    <w:lvl w:ilvl="6" w:tplc="CA804ED0">
      <w:start w:val="1"/>
      <w:numFmt w:val="bullet"/>
      <w:lvlText w:val=""/>
      <w:lvlJc w:val="left"/>
      <w:pPr>
        <w:ind w:left="5040" w:hanging="360"/>
      </w:pPr>
      <w:rPr>
        <w:rFonts w:ascii="Symbol" w:hAnsi="Symbol" w:hint="default"/>
      </w:rPr>
    </w:lvl>
    <w:lvl w:ilvl="7" w:tplc="F2762A04">
      <w:start w:val="1"/>
      <w:numFmt w:val="bullet"/>
      <w:lvlText w:val="o"/>
      <w:lvlJc w:val="left"/>
      <w:pPr>
        <w:ind w:left="5760" w:hanging="360"/>
      </w:pPr>
      <w:rPr>
        <w:rFonts w:ascii="Courier New" w:hAnsi="Courier New" w:hint="default"/>
      </w:rPr>
    </w:lvl>
    <w:lvl w:ilvl="8" w:tplc="35EAA85C">
      <w:start w:val="1"/>
      <w:numFmt w:val="bullet"/>
      <w:lvlText w:val=""/>
      <w:lvlJc w:val="left"/>
      <w:pPr>
        <w:ind w:left="6480" w:hanging="360"/>
      </w:pPr>
      <w:rPr>
        <w:rFonts w:ascii="Wingdings" w:hAnsi="Wingdings" w:hint="default"/>
      </w:rPr>
    </w:lvl>
  </w:abstractNum>
  <w:abstractNum w:abstractNumId="55" w15:restartNumberingAfterBreak="0">
    <w:nsid w:val="2AAA6B98"/>
    <w:multiLevelType w:val="multilevel"/>
    <w:tmpl w:val="5CDAAE0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B436764"/>
    <w:multiLevelType w:val="hybridMultilevel"/>
    <w:tmpl w:val="8DE88880"/>
    <w:lvl w:ilvl="0" w:tplc="D83292C0">
      <w:start w:val="1"/>
      <w:numFmt w:val="bullet"/>
      <w:lvlText w:val="-"/>
      <w:lvlJc w:val="left"/>
      <w:pPr>
        <w:ind w:left="360" w:hanging="360"/>
      </w:pPr>
      <w:rPr>
        <w:rFonts w:ascii="Times" w:hAnsi="Times" w:hint="default"/>
      </w:rPr>
    </w:lvl>
    <w:lvl w:ilvl="1" w:tplc="7E78348C">
      <w:start w:val="1"/>
      <w:numFmt w:val="bullet"/>
      <w:lvlText w:val="o"/>
      <w:lvlJc w:val="left"/>
      <w:pPr>
        <w:ind w:left="2149" w:hanging="360"/>
      </w:pPr>
      <w:rPr>
        <w:rFonts w:ascii="Courier New" w:hAnsi="Courier New" w:hint="default"/>
      </w:rPr>
    </w:lvl>
    <w:lvl w:ilvl="2" w:tplc="432AF8A6">
      <w:start w:val="1"/>
      <w:numFmt w:val="bullet"/>
      <w:lvlText w:val=""/>
      <w:lvlJc w:val="left"/>
      <w:pPr>
        <w:ind w:left="2869" w:hanging="360"/>
      </w:pPr>
      <w:rPr>
        <w:rFonts w:ascii="Wingdings" w:hAnsi="Wingdings" w:hint="default"/>
      </w:rPr>
    </w:lvl>
    <w:lvl w:ilvl="3" w:tplc="82CE792C">
      <w:start w:val="1"/>
      <w:numFmt w:val="bullet"/>
      <w:lvlText w:val=""/>
      <w:lvlJc w:val="left"/>
      <w:pPr>
        <w:ind w:left="3589" w:hanging="360"/>
      </w:pPr>
      <w:rPr>
        <w:rFonts w:ascii="Symbol" w:hAnsi="Symbol" w:hint="default"/>
      </w:rPr>
    </w:lvl>
    <w:lvl w:ilvl="4" w:tplc="21E0FDFE">
      <w:start w:val="1"/>
      <w:numFmt w:val="bullet"/>
      <w:lvlText w:val="o"/>
      <w:lvlJc w:val="left"/>
      <w:pPr>
        <w:ind w:left="4309" w:hanging="360"/>
      </w:pPr>
      <w:rPr>
        <w:rFonts w:ascii="Courier New" w:hAnsi="Courier New" w:hint="default"/>
      </w:rPr>
    </w:lvl>
    <w:lvl w:ilvl="5" w:tplc="9E0E093A">
      <w:start w:val="1"/>
      <w:numFmt w:val="bullet"/>
      <w:lvlText w:val=""/>
      <w:lvlJc w:val="left"/>
      <w:pPr>
        <w:ind w:left="5029" w:hanging="360"/>
      </w:pPr>
      <w:rPr>
        <w:rFonts w:ascii="Wingdings" w:hAnsi="Wingdings" w:hint="default"/>
      </w:rPr>
    </w:lvl>
    <w:lvl w:ilvl="6" w:tplc="72E07D7A">
      <w:start w:val="1"/>
      <w:numFmt w:val="bullet"/>
      <w:lvlText w:val=""/>
      <w:lvlJc w:val="left"/>
      <w:pPr>
        <w:ind w:left="5749" w:hanging="360"/>
      </w:pPr>
      <w:rPr>
        <w:rFonts w:ascii="Symbol" w:hAnsi="Symbol" w:hint="default"/>
      </w:rPr>
    </w:lvl>
    <w:lvl w:ilvl="7" w:tplc="2288421C">
      <w:start w:val="1"/>
      <w:numFmt w:val="bullet"/>
      <w:lvlText w:val="o"/>
      <w:lvlJc w:val="left"/>
      <w:pPr>
        <w:ind w:left="6469" w:hanging="360"/>
      </w:pPr>
      <w:rPr>
        <w:rFonts w:ascii="Courier New" w:hAnsi="Courier New" w:hint="default"/>
      </w:rPr>
    </w:lvl>
    <w:lvl w:ilvl="8" w:tplc="9F3082AC">
      <w:start w:val="1"/>
      <w:numFmt w:val="bullet"/>
      <w:lvlText w:val=""/>
      <w:lvlJc w:val="left"/>
      <w:pPr>
        <w:ind w:left="7189" w:hanging="360"/>
      </w:pPr>
      <w:rPr>
        <w:rFonts w:ascii="Wingdings" w:hAnsi="Wingdings" w:hint="default"/>
      </w:rPr>
    </w:lvl>
  </w:abstractNum>
  <w:abstractNum w:abstractNumId="57" w15:restartNumberingAfterBreak="0">
    <w:nsid w:val="2CE9221F"/>
    <w:multiLevelType w:val="singleLevel"/>
    <w:tmpl w:val="9B4AFB48"/>
    <w:name w:val="Tiret 3"/>
    <w:lvl w:ilvl="0">
      <w:start w:val="1"/>
      <w:numFmt w:val="bullet"/>
      <w:pStyle w:val="Tiret3"/>
      <w:lvlText w:val="–"/>
      <w:lvlJc w:val="left"/>
      <w:pPr>
        <w:tabs>
          <w:tab w:val="num" w:pos="2551"/>
        </w:tabs>
        <w:ind w:left="2551" w:hanging="567"/>
      </w:pPr>
    </w:lvl>
  </w:abstractNum>
  <w:abstractNum w:abstractNumId="58" w15:restartNumberingAfterBreak="0">
    <w:nsid w:val="2D7B7DD8"/>
    <w:multiLevelType w:val="hybridMultilevel"/>
    <w:tmpl w:val="B1C8EDC6"/>
    <w:lvl w:ilvl="0" w:tplc="A7A05992">
      <w:start w:val="1"/>
      <w:numFmt w:val="lowerRoman"/>
      <w:lvlText w:val="%1."/>
      <w:lvlJc w:val="right"/>
      <w:pPr>
        <w:ind w:left="1200" w:hanging="360"/>
      </w:pPr>
    </w:lvl>
    <w:lvl w:ilvl="1" w:tplc="AB5209EE">
      <w:start w:val="1"/>
      <w:numFmt w:val="bullet"/>
      <w:lvlText w:val="o"/>
      <w:lvlJc w:val="left"/>
      <w:pPr>
        <w:ind w:left="1920" w:hanging="360"/>
      </w:pPr>
      <w:rPr>
        <w:rFonts w:ascii="Courier New" w:hAnsi="Courier New" w:hint="default"/>
      </w:rPr>
    </w:lvl>
    <w:lvl w:ilvl="2" w:tplc="5BB4A0EA">
      <w:start w:val="1"/>
      <w:numFmt w:val="bullet"/>
      <w:lvlText w:val=""/>
      <w:lvlJc w:val="left"/>
      <w:pPr>
        <w:ind w:left="2640" w:hanging="360"/>
      </w:pPr>
      <w:rPr>
        <w:rFonts w:ascii="Wingdings" w:hAnsi="Wingdings" w:hint="default"/>
      </w:rPr>
    </w:lvl>
    <w:lvl w:ilvl="3" w:tplc="E3DC026C">
      <w:start w:val="1"/>
      <w:numFmt w:val="bullet"/>
      <w:lvlText w:val=""/>
      <w:lvlJc w:val="left"/>
      <w:pPr>
        <w:ind w:left="3360" w:hanging="360"/>
      </w:pPr>
      <w:rPr>
        <w:rFonts w:ascii="Symbol" w:hAnsi="Symbol" w:hint="default"/>
      </w:rPr>
    </w:lvl>
    <w:lvl w:ilvl="4" w:tplc="67B87DA6">
      <w:start w:val="1"/>
      <w:numFmt w:val="bullet"/>
      <w:lvlText w:val="o"/>
      <w:lvlJc w:val="left"/>
      <w:pPr>
        <w:ind w:left="4080" w:hanging="360"/>
      </w:pPr>
      <w:rPr>
        <w:rFonts w:ascii="Courier New" w:hAnsi="Courier New" w:hint="default"/>
      </w:rPr>
    </w:lvl>
    <w:lvl w:ilvl="5" w:tplc="E79866D6">
      <w:start w:val="1"/>
      <w:numFmt w:val="bullet"/>
      <w:lvlText w:val=""/>
      <w:lvlJc w:val="left"/>
      <w:pPr>
        <w:ind w:left="4800" w:hanging="360"/>
      </w:pPr>
      <w:rPr>
        <w:rFonts w:ascii="Wingdings" w:hAnsi="Wingdings" w:hint="default"/>
      </w:rPr>
    </w:lvl>
    <w:lvl w:ilvl="6" w:tplc="8BFE256E">
      <w:start w:val="1"/>
      <w:numFmt w:val="bullet"/>
      <w:lvlText w:val=""/>
      <w:lvlJc w:val="left"/>
      <w:pPr>
        <w:ind w:left="5520" w:hanging="360"/>
      </w:pPr>
      <w:rPr>
        <w:rFonts w:ascii="Symbol" w:hAnsi="Symbol" w:hint="default"/>
      </w:rPr>
    </w:lvl>
    <w:lvl w:ilvl="7" w:tplc="75CC83D6">
      <w:start w:val="1"/>
      <w:numFmt w:val="bullet"/>
      <w:lvlText w:val="o"/>
      <w:lvlJc w:val="left"/>
      <w:pPr>
        <w:ind w:left="6240" w:hanging="360"/>
      </w:pPr>
      <w:rPr>
        <w:rFonts w:ascii="Courier New" w:hAnsi="Courier New" w:hint="default"/>
      </w:rPr>
    </w:lvl>
    <w:lvl w:ilvl="8" w:tplc="3F04D57E">
      <w:start w:val="1"/>
      <w:numFmt w:val="bullet"/>
      <w:lvlText w:val=""/>
      <w:lvlJc w:val="left"/>
      <w:pPr>
        <w:ind w:left="6960" w:hanging="360"/>
      </w:pPr>
      <w:rPr>
        <w:rFonts w:ascii="Wingdings" w:hAnsi="Wingdings" w:hint="default"/>
      </w:rPr>
    </w:lvl>
  </w:abstractNum>
  <w:abstractNum w:abstractNumId="59" w15:restartNumberingAfterBreak="0">
    <w:nsid w:val="2DD20726"/>
    <w:multiLevelType w:val="multilevel"/>
    <w:tmpl w:val="4E9AF61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ECB60E5"/>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300562D1"/>
    <w:multiLevelType w:val="hybridMultilevel"/>
    <w:tmpl w:val="59FC8DF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2" w15:restartNumberingAfterBreak="0">
    <w:nsid w:val="30A44BF3"/>
    <w:multiLevelType w:val="multilevel"/>
    <w:tmpl w:val="282C6B7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1FA11EB"/>
    <w:multiLevelType w:val="singleLevel"/>
    <w:tmpl w:val="3E140CA2"/>
    <w:styleLink w:val="Stileimportato9"/>
    <w:lvl w:ilvl="0">
      <w:start w:val="1"/>
      <w:numFmt w:val="decimal"/>
      <w:lvlText w:val="%1."/>
      <w:lvlJc w:val="left"/>
      <w:pPr>
        <w:tabs>
          <w:tab w:val="num" w:pos="1209"/>
        </w:tabs>
        <w:ind w:left="1209" w:hanging="360"/>
      </w:pPr>
    </w:lvl>
  </w:abstractNum>
  <w:abstractNum w:abstractNumId="64" w15:restartNumberingAfterBreak="0">
    <w:nsid w:val="3362703C"/>
    <w:multiLevelType w:val="multilevel"/>
    <w:tmpl w:val="01C4075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34B4179E"/>
    <w:multiLevelType w:val="hybridMultilevel"/>
    <w:tmpl w:val="B08A5420"/>
    <w:lvl w:ilvl="0" w:tplc="D4123CE4">
      <w:numFmt w:val="bullet"/>
      <w:lvlText w:val="-"/>
      <w:lvlJc w:val="left"/>
      <w:pPr>
        <w:ind w:left="720" w:hanging="360"/>
      </w:pPr>
      <w:rPr>
        <w:rFonts w:ascii="Times New Roman" w:hAnsi="Times New Roman" w:hint="default"/>
      </w:rPr>
    </w:lvl>
    <w:lvl w:ilvl="1" w:tplc="7D1E4522">
      <w:start w:val="1"/>
      <w:numFmt w:val="bullet"/>
      <w:lvlText w:val="o"/>
      <w:lvlJc w:val="left"/>
      <w:pPr>
        <w:ind w:left="1440" w:hanging="360"/>
      </w:pPr>
      <w:rPr>
        <w:rFonts w:ascii="Courier New" w:hAnsi="Courier New" w:hint="default"/>
      </w:rPr>
    </w:lvl>
    <w:lvl w:ilvl="2" w:tplc="7B922D4E">
      <w:start w:val="1"/>
      <w:numFmt w:val="bullet"/>
      <w:lvlText w:val=""/>
      <w:lvlJc w:val="left"/>
      <w:pPr>
        <w:ind w:left="2160" w:hanging="360"/>
      </w:pPr>
      <w:rPr>
        <w:rFonts w:ascii="Wingdings" w:hAnsi="Wingdings" w:hint="default"/>
      </w:rPr>
    </w:lvl>
    <w:lvl w:ilvl="3" w:tplc="60CE2C1A">
      <w:start w:val="1"/>
      <w:numFmt w:val="bullet"/>
      <w:lvlText w:val=""/>
      <w:lvlJc w:val="left"/>
      <w:pPr>
        <w:ind w:left="720" w:hanging="360"/>
      </w:pPr>
      <w:rPr>
        <w:rFonts w:ascii="Symbol" w:hAnsi="Symbol" w:hint="default"/>
      </w:rPr>
    </w:lvl>
    <w:lvl w:ilvl="4" w:tplc="35EAD8CA">
      <w:start w:val="1"/>
      <w:numFmt w:val="bullet"/>
      <w:lvlText w:val="o"/>
      <w:lvlJc w:val="left"/>
      <w:pPr>
        <w:ind w:left="3600" w:hanging="360"/>
      </w:pPr>
      <w:rPr>
        <w:rFonts w:ascii="Courier New" w:hAnsi="Courier New" w:hint="default"/>
      </w:rPr>
    </w:lvl>
    <w:lvl w:ilvl="5" w:tplc="5B5C5EE0">
      <w:start w:val="1"/>
      <w:numFmt w:val="bullet"/>
      <w:lvlText w:val=""/>
      <w:lvlJc w:val="left"/>
      <w:pPr>
        <w:ind w:left="4320" w:hanging="360"/>
      </w:pPr>
      <w:rPr>
        <w:rFonts w:ascii="Wingdings" w:hAnsi="Wingdings" w:hint="default"/>
      </w:rPr>
    </w:lvl>
    <w:lvl w:ilvl="6" w:tplc="4B36AAD2">
      <w:start w:val="1"/>
      <w:numFmt w:val="bullet"/>
      <w:lvlText w:val=""/>
      <w:lvlJc w:val="left"/>
      <w:pPr>
        <w:ind w:left="5040" w:hanging="360"/>
      </w:pPr>
      <w:rPr>
        <w:rFonts w:ascii="Symbol" w:hAnsi="Symbol" w:hint="default"/>
      </w:rPr>
    </w:lvl>
    <w:lvl w:ilvl="7" w:tplc="AF340274">
      <w:start w:val="1"/>
      <w:numFmt w:val="bullet"/>
      <w:lvlText w:val="o"/>
      <w:lvlJc w:val="left"/>
      <w:pPr>
        <w:ind w:left="5760" w:hanging="360"/>
      </w:pPr>
      <w:rPr>
        <w:rFonts w:ascii="Courier New" w:hAnsi="Courier New" w:hint="default"/>
      </w:rPr>
    </w:lvl>
    <w:lvl w:ilvl="8" w:tplc="65780F62">
      <w:start w:val="1"/>
      <w:numFmt w:val="bullet"/>
      <w:lvlText w:val=""/>
      <w:lvlJc w:val="left"/>
      <w:pPr>
        <w:ind w:left="6480" w:hanging="360"/>
      </w:pPr>
      <w:rPr>
        <w:rFonts w:ascii="Wingdings" w:hAnsi="Wingdings" w:hint="default"/>
      </w:rPr>
    </w:lvl>
  </w:abstractNum>
  <w:abstractNum w:abstractNumId="66" w15:restartNumberingAfterBreak="0">
    <w:nsid w:val="35052DDB"/>
    <w:multiLevelType w:val="multilevel"/>
    <w:tmpl w:val="7E08834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56518DC"/>
    <w:multiLevelType w:val="multilevel"/>
    <w:tmpl w:val="C5A040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5F535D1"/>
    <w:multiLevelType w:val="multilevel"/>
    <w:tmpl w:val="C11E24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72537F3"/>
    <w:multiLevelType w:val="hybridMultilevel"/>
    <w:tmpl w:val="3E14E07E"/>
    <w:lvl w:ilvl="0" w:tplc="8EBEB170">
      <w:start w:val="1"/>
      <w:numFmt w:val="decimal"/>
      <w:lvlText w:val="%1."/>
      <w:lvlJc w:val="left"/>
      <w:pPr>
        <w:ind w:left="720" w:hanging="360"/>
      </w:pPr>
    </w:lvl>
    <w:lvl w:ilvl="1" w:tplc="18090019">
      <w:start w:val="1"/>
      <w:numFmt w:val="lowerLetter"/>
      <w:lvlText w:val="%2."/>
      <w:lvlJc w:val="left"/>
      <w:pPr>
        <w:ind w:left="-720" w:hanging="360"/>
      </w:pPr>
    </w:lvl>
    <w:lvl w:ilvl="2" w:tplc="1809001B">
      <w:start w:val="1"/>
      <w:numFmt w:val="lowerRoman"/>
      <w:lvlText w:val="%3."/>
      <w:lvlJc w:val="right"/>
      <w:pPr>
        <w:ind w:left="0" w:hanging="180"/>
      </w:pPr>
    </w:lvl>
    <w:lvl w:ilvl="3" w:tplc="1809000F">
      <w:start w:val="1"/>
      <w:numFmt w:val="decimal"/>
      <w:lvlText w:val="%4."/>
      <w:lvlJc w:val="left"/>
      <w:pPr>
        <w:ind w:left="720" w:hanging="360"/>
      </w:pPr>
    </w:lvl>
    <w:lvl w:ilvl="4" w:tplc="18090019">
      <w:start w:val="1"/>
      <w:numFmt w:val="lowerLetter"/>
      <w:lvlText w:val="%5."/>
      <w:lvlJc w:val="left"/>
      <w:pPr>
        <w:ind w:left="1440" w:hanging="360"/>
      </w:pPr>
    </w:lvl>
    <w:lvl w:ilvl="5" w:tplc="1809001B">
      <w:start w:val="1"/>
      <w:numFmt w:val="lowerRoman"/>
      <w:lvlText w:val="%6."/>
      <w:lvlJc w:val="right"/>
      <w:pPr>
        <w:ind w:left="2160" w:hanging="180"/>
      </w:pPr>
    </w:lvl>
    <w:lvl w:ilvl="6" w:tplc="1809000F">
      <w:start w:val="1"/>
      <w:numFmt w:val="decimal"/>
      <w:lvlText w:val="%7."/>
      <w:lvlJc w:val="left"/>
      <w:pPr>
        <w:ind w:left="2880" w:hanging="360"/>
      </w:pPr>
    </w:lvl>
    <w:lvl w:ilvl="7" w:tplc="18090019">
      <w:start w:val="1"/>
      <w:numFmt w:val="lowerLetter"/>
      <w:lvlText w:val="%8."/>
      <w:lvlJc w:val="left"/>
      <w:pPr>
        <w:ind w:left="3600" w:hanging="360"/>
      </w:pPr>
    </w:lvl>
    <w:lvl w:ilvl="8" w:tplc="1809001B">
      <w:start w:val="1"/>
      <w:numFmt w:val="lowerRoman"/>
      <w:lvlText w:val="%9."/>
      <w:lvlJc w:val="right"/>
      <w:pPr>
        <w:ind w:left="4320" w:hanging="180"/>
      </w:pPr>
    </w:lvl>
  </w:abstractNum>
  <w:abstractNum w:abstractNumId="70" w15:restartNumberingAfterBreak="0">
    <w:nsid w:val="3758C3CB"/>
    <w:multiLevelType w:val="hybridMultilevel"/>
    <w:tmpl w:val="4DFC13A4"/>
    <w:lvl w:ilvl="0" w:tplc="BA84E760">
      <w:start w:val="1"/>
      <w:numFmt w:val="bullet"/>
      <w:lvlText w:val=""/>
      <w:lvlJc w:val="left"/>
      <w:pPr>
        <w:ind w:left="720" w:hanging="360"/>
      </w:pPr>
      <w:rPr>
        <w:rFonts w:ascii="Symbol" w:hAnsi="Symbol" w:hint="default"/>
      </w:rPr>
    </w:lvl>
    <w:lvl w:ilvl="1" w:tplc="ED1A8E8E">
      <w:start w:val="1"/>
      <w:numFmt w:val="bullet"/>
      <w:lvlText w:val="o"/>
      <w:lvlJc w:val="left"/>
      <w:pPr>
        <w:ind w:left="1440" w:hanging="360"/>
      </w:pPr>
      <w:rPr>
        <w:rFonts w:ascii="Courier New" w:hAnsi="Courier New" w:hint="default"/>
      </w:rPr>
    </w:lvl>
    <w:lvl w:ilvl="2" w:tplc="67B85CAA">
      <w:start w:val="1"/>
      <w:numFmt w:val="bullet"/>
      <w:lvlText w:val=""/>
      <w:lvlJc w:val="left"/>
      <w:pPr>
        <w:ind w:left="2160" w:hanging="360"/>
      </w:pPr>
      <w:rPr>
        <w:rFonts w:ascii="Wingdings" w:hAnsi="Wingdings" w:hint="default"/>
      </w:rPr>
    </w:lvl>
    <w:lvl w:ilvl="3" w:tplc="39DE89E6">
      <w:start w:val="1"/>
      <w:numFmt w:val="bullet"/>
      <w:lvlText w:val=""/>
      <w:lvlJc w:val="left"/>
      <w:pPr>
        <w:ind w:left="2880" w:hanging="360"/>
      </w:pPr>
      <w:rPr>
        <w:rFonts w:ascii="Symbol" w:hAnsi="Symbol" w:hint="default"/>
      </w:rPr>
    </w:lvl>
    <w:lvl w:ilvl="4" w:tplc="D560473C">
      <w:start w:val="1"/>
      <w:numFmt w:val="bullet"/>
      <w:lvlText w:val="o"/>
      <w:lvlJc w:val="left"/>
      <w:pPr>
        <w:ind w:left="3600" w:hanging="360"/>
      </w:pPr>
      <w:rPr>
        <w:rFonts w:ascii="Courier New" w:hAnsi="Courier New" w:hint="default"/>
      </w:rPr>
    </w:lvl>
    <w:lvl w:ilvl="5" w:tplc="5ACE0484">
      <w:start w:val="1"/>
      <w:numFmt w:val="bullet"/>
      <w:lvlText w:val=""/>
      <w:lvlJc w:val="left"/>
      <w:pPr>
        <w:ind w:left="4320" w:hanging="360"/>
      </w:pPr>
      <w:rPr>
        <w:rFonts w:ascii="Wingdings" w:hAnsi="Wingdings" w:hint="default"/>
      </w:rPr>
    </w:lvl>
    <w:lvl w:ilvl="6" w:tplc="8E560066">
      <w:start w:val="1"/>
      <w:numFmt w:val="bullet"/>
      <w:lvlText w:val=""/>
      <w:lvlJc w:val="left"/>
      <w:pPr>
        <w:ind w:left="5040" w:hanging="360"/>
      </w:pPr>
      <w:rPr>
        <w:rFonts w:ascii="Symbol" w:hAnsi="Symbol" w:hint="default"/>
      </w:rPr>
    </w:lvl>
    <w:lvl w:ilvl="7" w:tplc="8D743554">
      <w:start w:val="1"/>
      <w:numFmt w:val="bullet"/>
      <w:lvlText w:val="o"/>
      <w:lvlJc w:val="left"/>
      <w:pPr>
        <w:ind w:left="5760" w:hanging="360"/>
      </w:pPr>
      <w:rPr>
        <w:rFonts w:ascii="Courier New" w:hAnsi="Courier New" w:hint="default"/>
      </w:rPr>
    </w:lvl>
    <w:lvl w:ilvl="8" w:tplc="40A0AD42">
      <w:start w:val="1"/>
      <w:numFmt w:val="bullet"/>
      <w:lvlText w:val=""/>
      <w:lvlJc w:val="left"/>
      <w:pPr>
        <w:ind w:left="6480" w:hanging="360"/>
      </w:pPr>
      <w:rPr>
        <w:rFonts w:ascii="Wingdings" w:hAnsi="Wingdings" w:hint="default"/>
      </w:rPr>
    </w:lvl>
  </w:abstractNum>
  <w:abstractNum w:abstractNumId="71" w15:restartNumberingAfterBreak="0">
    <w:nsid w:val="388A35A8"/>
    <w:multiLevelType w:val="multilevel"/>
    <w:tmpl w:val="367477D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39135ED7"/>
    <w:multiLevelType w:val="multilevel"/>
    <w:tmpl w:val="9DAAF1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B0034E6"/>
    <w:multiLevelType w:val="hybridMultilevel"/>
    <w:tmpl w:val="27508D34"/>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4" w15:restartNumberingAfterBreak="0">
    <w:nsid w:val="3CDC02B7"/>
    <w:multiLevelType w:val="multilevel"/>
    <w:tmpl w:val="A41AE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CEA2929"/>
    <w:multiLevelType w:val="multilevel"/>
    <w:tmpl w:val="ACAEFF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DF2400B"/>
    <w:multiLevelType w:val="hybridMultilevel"/>
    <w:tmpl w:val="6AE078CE"/>
    <w:lvl w:ilvl="0" w:tplc="EFFAF4EA">
      <w:start w:val="1"/>
      <w:numFmt w:val="decimal"/>
      <w:lvlText w:val="%1."/>
      <w:lvlJc w:val="left"/>
      <w:pPr>
        <w:ind w:left="720" w:hanging="360"/>
      </w:pPr>
    </w:lvl>
    <w:lvl w:ilvl="1" w:tplc="51EC3BF0">
      <w:start w:val="1"/>
      <w:numFmt w:val="lowerLetter"/>
      <w:lvlText w:val="%2."/>
      <w:lvlJc w:val="left"/>
      <w:pPr>
        <w:ind w:left="1440" w:hanging="360"/>
      </w:pPr>
    </w:lvl>
    <w:lvl w:ilvl="2" w:tplc="E40890F6">
      <w:start w:val="1"/>
      <w:numFmt w:val="lowerRoman"/>
      <w:lvlText w:val="%3."/>
      <w:lvlJc w:val="right"/>
      <w:pPr>
        <w:ind w:left="2160" w:hanging="180"/>
      </w:pPr>
    </w:lvl>
    <w:lvl w:ilvl="3" w:tplc="9FA276BA">
      <w:start w:val="1"/>
      <w:numFmt w:val="decimal"/>
      <w:lvlText w:val="%4."/>
      <w:lvlJc w:val="left"/>
      <w:pPr>
        <w:ind w:left="2880" w:hanging="360"/>
      </w:pPr>
    </w:lvl>
    <w:lvl w:ilvl="4" w:tplc="3FAC320E">
      <w:start w:val="1"/>
      <w:numFmt w:val="lowerLetter"/>
      <w:lvlText w:val="%5."/>
      <w:lvlJc w:val="left"/>
      <w:pPr>
        <w:ind w:left="3600" w:hanging="360"/>
      </w:pPr>
    </w:lvl>
    <w:lvl w:ilvl="5" w:tplc="A17A4636">
      <w:start w:val="1"/>
      <w:numFmt w:val="lowerRoman"/>
      <w:lvlText w:val="%6."/>
      <w:lvlJc w:val="right"/>
      <w:pPr>
        <w:ind w:left="4320" w:hanging="180"/>
      </w:pPr>
    </w:lvl>
    <w:lvl w:ilvl="6" w:tplc="06542920">
      <w:start w:val="1"/>
      <w:numFmt w:val="decimal"/>
      <w:lvlText w:val="%7."/>
      <w:lvlJc w:val="left"/>
      <w:pPr>
        <w:ind w:left="5040" w:hanging="360"/>
      </w:pPr>
    </w:lvl>
    <w:lvl w:ilvl="7" w:tplc="38265764">
      <w:start w:val="1"/>
      <w:numFmt w:val="lowerLetter"/>
      <w:lvlText w:val="%8."/>
      <w:lvlJc w:val="left"/>
      <w:pPr>
        <w:ind w:left="5760" w:hanging="360"/>
      </w:pPr>
    </w:lvl>
    <w:lvl w:ilvl="8" w:tplc="E85E00CC">
      <w:start w:val="1"/>
      <w:numFmt w:val="lowerRoman"/>
      <w:lvlText w:val="%9."/>
      <w:lvlJc w:val="right"/>
      <w:pPr>
        <w:ind w:left="6480" w:hanging="180"/>
      </w:pPr>
    </w:lvl>
  </w:abstractNum>
  <w:abstractNum w:abstractNumId="77" w15:restartNumberingAfterBreak="0">
    <w:nsid w:val="3F974E87"/>
    <w:multiLevelType w:val="hybridMultilevel"/>
    <w:tmpl w:val="C9B23A46"/>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8" w15:restartNumberingAfterBreak="0">
    <w:nsid w:val="3FF67517"/>
    <w:multiLevelType w:val="multilevel"/>
    <w:tmpl w:val="636A55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0B53049"/>
    <w:multiLevelType w:val="multilevel"/>
    <w:tmpl w:val="79169D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1227CF3"/>
    <w:multiLevelType w:val="hybridMultilevel"/>
    <w:tmpl w:val="399A2470"/>
    <w:lvl w:ilvl="0" w:tplc="8250AAD8">
      <w:numFmt w:val="bullet"/>
      <w:lvlText w:val="-"/>
      <w:lvlJc w:val="left"/>
      <w:pPr>
        <w:ind w:left="1069" w:hanging="360"/>
      </w:pPr>
      <w:rPr>
        <w:rFonts w:ascii="Times New Roman" w:hAnsi="Times New Roman" w:hint="default"/>
      </w:rPr>
    </w:lvl>
    <w:lvl w:ilvl="1" w:tplc="94248EB8">
      <w:start w:val="1"/>
      <w:numFmt w:val="bullet"/>
      <w:lvlText w:val="o"/>
      <w:lvlJc w:val="left"/>
      <w:pPr>
        <w:ind w:left="1789" w:hanging="360"/>
      </w:pPr>
      <w:rPr>
        <w:rFonts w:ascii="Courier New" w:hAnsi="Courier New" w:hint="default"/>
      </w:rPr>
    </w:lvl>
    <w:lvl w:ilvl="2" w:tplc="BCDCFBF2">
      <w:start w:val="1"/>
      <w:numFmt w:val="bullet"/>
      <w:lvlText w:val=""/>
      <w:lvlJc w:val="left"/>
      <w:pPr>
        <w:ind w:left="2509" w:hanging="360"/>
      </w:pPr>
      <w:rPr>
        <w:rFonts w:ascii="Wingdings" w:hAnsi="Wingdings" w:hint="default"/>
      </w:rPr>
    </w:lvl>
    <w:lvl w:ilvl="3" w:tplc="1C20484A">
      <w:start w:val="1"/>
      <w:numFmt w:val="bullet"/>
      <w:lvlText w:val=""/>
      <w:lvlJc w:val="left"/>
      <w:pPr>
        <w:ind w:left="3229" w:hanging="360"/>
      </w:pPr>
      <w:rPr>
        <w:rFonts w:ascii="Symbol" w:hAnsi="Symbol" w:hint="default"/>
      </w:rPr>
    </w:lvl>
    <w:lvl w:ilvl="4" w:tplc="BDE8E3B0">
      <w:start w:val="1"/>
      <w:numFmt w:val="bullet"/>
      <w:lvlText w:val="o"/>
      <w:lvlJc w:val="left"/>
      <w:pPr>
        <w:ind w:left="3949" w:hanging="360"/>
      </w:pPr>
      <w:rPr>
        <w:rFonts w:ascii="Courier New" w:hAnsi="Courier New" w:hint="default"/>
      </w:rPr>
    </w:lvl>
    <w:lvl w:ilvl="5" w:tplc="87DA4706">
      <w:start w:val="1"/>
      <w:numFmt w:val="bullet"/>
      <w:lvlText w:val=""/>
      <w:lvlJc w:val="left"/>
      <w:pPr>
        <w:ind w:left="4669" w:hanging="360"/>
      </w:pPr>
      <w:rPr>
        <w:rFonts w:ascii="Wingdings" w:hAnsi="Wingdings" w:hint="default"/>
      </w:rPr>
    </w:lvl>
    <w:lvl w:ilvl="6" w:tplc="11900514">
      <w:start w:val="1"/>
      <w:numFmt w:val="bullet"/>
      <w:lvlText w:val=""/>
      <w:lvlJc w:val="left"/>
      <w:pPr>
        <w:ind w:left="5389" w:hanging="360"/>
      </w:pPr>
      <w:rPr>
        <w:rFonts w:ascii="Symbol" w:hAnsi="Symbol" w:hint="default"/>
      </w:rPr>
    </w:lvl>
    <w:lvl w:ilvl="7" w:tplc="20BE75C4">
      <w:start w:val="1"/>
      <w:numFmt w:val="bullet"/>
      <w:lvlText w:val="o"/>
      <w:lvlJc w:val="left"/>
      <w:pPr>
        <w:ind w:left="6109" w:hanging="360"/>
      </w:pPr>
      <w:rPr>
        <w:rFonts w:ascii="Courier New" w:hAnsi="Courier New" w:hint="default"/>
      </w:rPr>
    </w:lvl>
    <w:lvl w:ilvl="8" w:tplc="48D0C68C">
      <w:start w:val="1"/>
      <w:numFmt w:val="bullet"/>
      <w:lvlText w:val=""/>
      <w:lvlJc w:val="left"/>
      <w:pPr>
        <w:ind w:left="6829" w:hanging="360"/>
      </w:pPr>
      <w:rPr>
        <w:rFonts w:ascii="Wingdings" w:hAnsi="Wingdings" w:hint="default"/>
      </w:rPr>
    </w:lvl>
  </w:abstractNum>
  <w:abstractNum w:abstractNumId="81" w15:restartNumberingAfterBreak="0">
    <w:nsid w:val="414F4186"/>
    <w:multiLevelType w:val="hybridMultilevel"/>
    <w:tmpl w:val="CE1E0CBC"/>
    <w:name w:val="Heading222"/>
    <w:lvl w:ilvl="0" w:tplc="672EB766">
      <w:start w:val="1"/>
      <w:numFmt w:val="bullet"/>
      <w:lvlText w:val=""/>
      <w:lvlJc w:val="left"/>
      <w:pPr>
        <w:ind w:left="360" w:hanging="360"/>
      </w:pPr>
      <w:rPr>
        <w:rFonts w:ascii="Symbol" w:hAnsi="Symbol" w:hint="default"/>
      </w:rPr>
    </w:lvl>
    <w:lvl w:ilvl="1" w:tplc="72D035A2">
      <w:start w:val="1"/>
      <w:numFmt w:val="bullet"/>
      <w:lvlText w:val="o"/>
      <w:lvlJc w:val="left"/>
      <w:pPr>
        <w:ind w:left="1080" w:hanging="360"/>
      </w:pPr>
      <w:rPr>
        <w:rFonts w:ascii="Courier New" w:hAnsi="Courier New" w:hint="default"/>
      </w:rPr>
    </w:lvl>
    <w:lvl w:ilvl="2" w:tplc="E1089CC6">
      <w:start w:val="1"/>
      <w:numFmt w:val="bullet"/>
      <w:lvlText w:val=""/>
      <w:lvlJc w:val="left"/>
      <w:pPr>
        <w:ind w:left="1800" w:hanging="360"/>
      </w:pPr>
      <w:rPr>
        <w:rFonts w:ascii="Wingdings" w:hAnsi="Wingdings" w:hint="default"/>
      </w:rPr>
    </w:lvl>
    <w:lvl w:ilvl="3" w:tplc="FEF6C24E">
      <w:start w:val="1"/>
      <w:numFmt w:val="bullet"/>
      <w:lvlText w:val=""/>
      <w:lvlJc w:val="left"/>
      <w:pPr>
        <w:ind w:left="2520" w:hanging="360"/>
      </w:pPr>
      <w:rPr>
        <w:rFonts w:ascii="Symbol" w:hAnsi="Symbol" w:hint="default"/>
      </w:rPr>
    </w:lvl>
    <w:lvl w:ilvl="4" w:tplc="AC8C17FC">
      <w:start w:val="1"/>
      <w:numFmt w:val="bullet"/>
      <w:lvlText w:val="o"/>
      <w:lvlJc w:val="left"/>
      <w:pPr>
        <w:ind w:left="3240" w:hanging="360"/>
      </w:pPr>
      <w:rPr>
        <w:rFonts w:ascii="Courier New" w:hAnsi="Courier New" w:hint="default"/>
      </w:rPr>
    </w:lvl>
    <w:lvl w:ilvl="5" w:tplc="A5E02B9A">
      <w:start w:val="1"/>
      <w:numFmt w:val="bullet"/>
      <w:lvlText w:val=""/>
      <w:lvlJc w:val="left"/>
      <w:pPr>
        <w:ind w:left="3960" w:hanging="360"/>
      </w:pPr>
      <w:rPr>
        <w:rFonts w:ascii="Wingdings" w:hAnsi="Wingdings" w:hint="default"/>
      </w:rPr>
    </w:lvl>
    <w:lvl w:ilvl="6" w:tplc="3D6A5A62">
      <w:start w:val="1"/>
      <w:numFmt w:val="bullet"/>
      <w:lvlText w:val=""/>
      <w:lvlJc w:val="left"/>
      <w:pPr>
        <w:ind w:left="4680" w:hanging="360"/>
      </w:pPr>
      <w:rPr>
        <w:rFonts w:ascii="Symbol" w:hAnsi="Symbol" w:hint="default"/>
      </w:rPr>
    </w:lvl>
    <w:lvl w:ilvl="7" w:tplc="E6E0BB2C">
      <w:start w:val="1"/>
      <w:numFmt w:val="bullet"/>
      <w:lvlText w:val="o"/>
      <w:lvlJc w:val="left"/>
      <w:pPr>
        <w:ind w:left="5400" w:hanging="360"/>
      </w:pPr>
      <w:rPr>
        <w:rFonts w:ascii="Courier New" w:hAnsi="Courier New" w:hint="default"/>
      </w:rPr>
    </w:lvl>
    <w:lvl w:ilvl="8" w:tplc="FD6A623E">
      <w:start w:val="1"/>
      <w:numFmt w:val="bullet"/>
      <w:lvlText w:val=""/>
      <w:lvlJc w:val="left"/>
      <w:pPr>
        <w:ind w:left="6120" w:hanging="360"/>
      </w:pPr>
      <w:rPr>
        <w:rFonts w:ascii="Wingdings" w:hAnsi="Wingdings" w:hint="default"/>
      </w:rPr>
    </w:lvl>
  </w:abstractNum>
  <w:abstractNum w:abstractNumId="82" w15:restartNumberingAfterBreak="0">
    <w:nsid w:val="41A17B31"/>
    <w:multiLevelType w:val="hybridMultilevel"/>
    <w:tmpl w:val="9816FA8C"/>
    <w:lvl w:ilvl="0" w:tplc="1809000F">
      <w:start w:val="1"/>
      <w:numFmt w:val="decimal"/>
      <w:lvlText w:val="%1."/>
      <w:lvlJc w:val="left"/>
      <w:pPr>
        <w:ind w:left="1080" w:hanging="360"/>
      </w:pPr>
    </w:lvl>
    <w:lvl w:ilvl="1" w:tplc="FFFFFFFF">
      <w:start w:val="1"/>
      <w:numFmt w:val="decimal"/>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3"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84" w15:restartNumberingAfterBreak="0">
    <w:nsid w:val="42737F5F"/>
    <w:multiLevelType w:val="hybridMultilevel"/>
    <w:tmpl w:val="30D47F12"/>
    <w:lvl w:ilvl="0" w:tplc="18090011">
      <w:start w:val="1"/>
      <w:numFmt w:val="decimal"/>
      <w:lvlText w:val="%1)"/>
      <w:lvlJc w:val="left"/>
      <w:pPr>
        <w:ind w:left="1211" w:hanging="360"/>
      </w:pPr>
    </w:lvl>
    <w:lvl w:ilvl="1" w:tplc="7AACA2A8">
      <w:start w:val="1"/>
      <w:numFmt w:val="lowerRoman"/>
      <w:lvlText w:val="%2)"/>
      <w:lvlJc w:val="left"/>
      <w:pPr>
        <w:ind w:left="1931" w:hanging="360"/>
      </w:pPr>
    </w:lvl>
    <w:lvl w:ilvl="2" w:tplc="135C1798">
      <w:start w:val="1"/>
      <w:numFmt w:val="lowerRoman"/>
      <w:lvlText w:val="%3."/>
      <w:lvlJc w:val="right"/>
      <w:pPr>
        <w:ind w:left="2651" w:hanging="180"/>
      </w:pPr>
    </w:lvl>
    <w:lvl w:ilvl="3" w:tplc="8EBEB170">
      <w:start w:val="1"/>
      <w:numFmt w:val="decimal"/>
      <w:lvlText w:val="%4."/>
      <w:lvlJc w:val="left"/>
      <w:pPr>
        <w:ind w:left="3371" w:hanging="360"/>
      </w:pPr>
    </w:lvl>
    <w:lvl w:ilvl="4" w:tplc="C03A1DA6">
      <w:start w:val="1"/>
      <w:numFmt w:val="lowerLetter"/>
      <w:lvlText w:val="%5."/>
      <w:lvlJc w:val="left"/>
      <w:pPr>
        <w:ind w:left="4091" w:hanging="360"/>
      </w:pPr>
    </w:lvl>
    <w:lvl w:ilvl="5" w:tplc="F2E60BEE">
      <w:start w:val="1"/>
      <w:numFmt w:val="lowerRoman"/>
      <w:lvlText w:val="%6."/>
      <w:lvlJc w:val="right"/>
      <w:pPr>
        <w:ind w:left="4811" w:hanging="180"/>
      </w:pPr>
    </w:lvl>
    <w:lvl w:ilvl="6" w:tplc="FF086586">
      <w:start w:val="1"/>
      <w:numFmt w:val="decimal"/>
      <w:lvlText w:val="%7."/>
      <w:lvlJc w:val="left"/>
      <w:pPr>
        <w:ind w:left="5531" w:hanging="360"/>
      </w:pPr>
    </w:lvl>
    <w:lvl w:ilvl="7" w:tplc="4B904216">
      <w:start w:val="1"/>
      <w:numFmt w:val="lowerLetter"/>
      <w:lvlText w:val="%8."/>
      <w:lvlJc w:val="left"/>
      <w:pPr>
        <w:ind w:left="6251" w:hanging="360"/>
      </w:pPr>
    </w:lvl>
    <w:lvl w:ilvl="8" w:tplc="C6CAEAEE">
      <w:start w:val="1"/>
      <w:numFmt w:val="lowerRoman"/>
      <w:lvlText w:val="%9."/>
      <w:lvlJc w:val="right"/>
      <w:pPr>
        <w:ind w:left="6971" w:hanging="180"/>
      </w:pPr>
    </w:lvl>
  </w:abstractNum>
  <w:abstractNum w:abstractNumId="85" w15:restartNumberingAfterBreak="0">
    <w:nsid w:val="42FC0772"/>
    <w:multiLevelType w:val="singleLevel"/>
    <w:tmpl w:val="4128FCF8"/>
    <w:name w:val="Tiret 4"/>
    <w:lvl w:ilvl="0">
      <w:start w:val="1"/>
      <w:numFmt w:val="bullet"/>
      <w:pStyle w:val="Tiret4"/>
      <w:lvlText w:val="–"/>
      <w:lvlJc w:val="left"/>
      <w:pPr>
        <w:tabs>
          <w:tab w:val="num" w:pos="3118"/>
        </w:tabs>
        <w:ind w:left="3118" w:hanging="567"/>
      </w:pPr>
    </w:lvl>
  </w:abstractNum>
  <w:abstractNum w:abstractNumId="86" w15:restartNumberingAfterBreak="0">
    <w:nsid w:val="4380438C"/>
    <w:multiLevelType w:val="hybridMultilevel"/>
    <w:tmpl w:val="37540650"/>
    <w:lvl w:ilvl="0" w:tplc="10C6D14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7" w15:restartNumberingAfterBreak="0">
    <w:nsid w:val="44757EB7"/>
    <w:multiLevelType w:val="multilevel"/>
    <w:tmpl w:val="FD3C8F8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4953B9D"/>
    <w:multiLevelType w:val="multilevel"/>
    <w:tmpl w:val="739498A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9" w15:restartNumberingAfterBreak="0">
    <w:nsid w:val="44A52E3A"/>
    <w:multiLevelType w:val="hybridMultilevel"/>
    <w:tmpl w:val="A5FAE91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0" w15:restartNumberingAfterBreak="0">
    <w:nsid w:val="4552127F"/>
    <w:multiLevelType w:val="singleLevel"/>
    <w:tmpl w:val="057A5296"/>
    <w:name w:val="Bullet 0"/>
    <w:lvl w:ilvl="0">
      <w:start w:val="1"/>
      <w:numFmt w:val="bullet"/>
      <w:pStyle w:val="Bullet0"/>
      <w:lvlText w:val=""/>
      <w:lvlJc w:val="left"/>
      <w:pPr>
        <w:tabs>
          <w:tab w:val="num" w:pos="850"/>
        </w:tabs>
        <w:ind w:left="850" w:hanging="850"/>
      </w:pPr>
      <w:rPr>
        <w:rFonts w:ascii="Symbol" w:hAnsi="Symbol" w:hint="default"/>
      </w:rPr>
    </w:lvl>
  </w:abstractNum>
  <w:abstractNum w:abstractNumId="91" w15:restartNumberingAfterBreak="0">
    <w:nsid w:val="455631AC"/>
    <w:multiLevelType w:val="hybridMultilevel"/>
    <w:tmpl w:val="84FA0DAE"/>
    <w:lvl w:ilvl="0" w:tplc="218C80C4">
      <w:start w:val="1"/>
      <w:numFmt w:val="bullet"/>
      <w:lvlText w:val="-"/>
      <w:lvlJc w:val="left"/>
      <w:pPr>
        <w:ind w:left="720" w:hanging="360"/>
      </w:pPr>
      <w:rPr>
        <w:rFonts w:ascii="Calibri" w:hAnsi="Calibri" w:cs="Times New Roman" w:hint="default"/>
      </w:rPr>
    </w:lvl>
    <w:lvl w:ilvl="1" w:tplc="43023A84">
      <w:start w:val="1"/>
      <w:numFmt w:val="bullet"/>
      <w:lvlText w:val="o"/>
      <w:lvlJc w:val="left"/>
      <w:pPr>
        <w:ind w:left="1440" w:hanging="360"/>
      </w:pPr>
      <w:rPr>
        <w:rFonts w:ascii="Courier New" w:hAnsi="Courier New" w:cs="Times New Roman" w:hint="default"/>
      </w:rPr>
    </w:lvl>
    <w:lvl w:ilvl="2" w:tplc="35A8F86E">
      <w:start w:val="1"/>
      <w:numFmt w:val="bullet"/>
      <w:lvlText w:val=""/>
      <w:lvlJc w:val="left"/>
      <w:pPr>
        <w:ind w:left="2160" w:hanging="360"/>
      </w:pPr>
      <w:rPr>
        <w:rFonts w:ascii="Wingdings" w:hAnsi="Wingdings" w:hint="default"/>
      </w:rPr>
    </w:lvl>
    <w:lvl w:ilvl="3" w:tplc="33A0F0A8">
      <w:start w:val="1"/>
      <w:numFmt w:val="bullet"/>
      <w:lvlText w:val=""/>
      <w:lvlJc w:val="left"/>
      <w:pPr>
        <w:ind w:left="2880" w:hanging="360"/>
      </w:pPr>
      <w:rPr>
        <w:rFonts w:ascii="Symbol" w:hAnsi="Symbol" w:hint="default"/>
      </w:rPr>
    </w:lvl>
    <w:lvl w:ilvl="4" w:tplc="F6B04706">
      <w:start w:val="1"/>
      <w:numFmt w:val="bullet"/>
      <w:lvlText w:val="o"/>
      <w:lvlJc w:val="left"/>
      <w:pPr>
        <w:ind w:left="3600" w:hanging="360"/>
      </w:pPr>
      <w:rPr>
        <w:rFonts w:ascii="Courier New" w:hAnsi="Courier New" w:cs="Times New Roman" w:hint="default"/>
      </w:rPr>
    </w:lvl>
    <w:lvl w:ilvl="5" w:tplc="0EAAD594">
      <w:start w:val="1"/>
      <w:numFmt w:val="bullet"/>
      <w:lvlText w:val=""/>
      <w:lvlJc w:val="left"/>
      <w:pPr>
        <w:ind w:left="4320" w:hanging="360"/>
      </w:pPr>
      <w:rPr>
        <w:rFonts w:ascii="Wingdings" w:hAnsi="Wingdings" w:hint="default"/>
      </w:rPr>
    </w:lvl>
    <w:lvl w:ilvl="6" w:tplc="12E066FC">
      <w:start w:val="1"/>
      <w:numFmt w:val="bullet"/>
      <w:lvlText w:val=""/>
      <w:lvlJc w:val="left"/>
      <w:pPr>
        <w:ind w:left="5040" w:hanging="360"/>
      </w:pPr>
      <w:rPr>
        <w:rFonts w:ascii="Symbol" w:hAnsi="Symbol" w:hint="default"/>
      </w:rPr>
    </w:lvl>
    <w:lvl w:ilvl="7" w:tplc="6C9CF37E">
      <w:start w:val="1"/>
      <w:numFmt w:val="bullet"/>
      <w:lvlText w:val="o"/>
      <w:lvlJc w:val="left"/>
      <w:pPr>
        <w:ind w:left="5760" w:hanging="360"/>
      </w:pPr>
      <w:rPr>
        <w:rFonts w:ascii="Courier New" w:hAnsi="Courier New" w:cs="Times New Roman" w:hint="default"/>
      </w:rPr>
    </w:lvl>
    <w:lvl w:ilvl="8" w:tplc="BC06DF1C">
      <w:start w:val="1"/>
      <w:numFmt w:val="bullet"/>
      <w:lvlText w:val=""/>
      <w:lvlJc w:val="left"/>
      <w:pPr>
        <w:ind w:left="6480" w:hanging="360"/>
      </w:pPr>
      <w:rPr>
        <w:rFonts w:ascii="Wingdings" w:hAnsi="Wingdings" w:hint="default"/>
      </w:rPr>
    </w:lvl>
  </w:abstractNum>
  <w:abstractNum w:abstractNumId="92" w15:restartNumberingAfterBreak="0">
    <w:nsid w:val="456F6F11"/>
    <w:multiLevelType w:val="hybridMultilevel"/>
    <w:tmpl w:val="3C90E3F6"/>
    <w:lvl w:ilvl="0" w:tplc="1809001B">
      <w:start w:val="1"/>
      <w:numFmt w:val="lowerRoman"/>
      <w:lvlText w:val="%1."/>
      <w:lvlJc w:val="righ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3" w15:restartNumberingAfterBreak="0">
    <w:nsid w:val="460568B1"/>
    <w:multiLevelType w:val="hybridMultilevel"/>
    <w:tmpl w:val="54887C0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4" w15:restartNumberingAfterBreak="0">
    <w:nsid w:val="461C7180"/>
    <w:multiLevelType w:val="multilevel"/>
    <w:tmpl w:val="026A17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67A0105"/>
    <w:multiLevelType w:val="hybridMultilevel"/>
    <w:tmpl w:val="F94A11DC"/>
    <w:lvl w:ilvl="0" w:tplc="FFFFFFFF">
      <w:start w:val="1"/>
      <w:numFmt w:val="upp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6" w15:restartNumberingAfterBreak="0">
    <w:nsid w:val="468F2093"/>
    <w:multiLevelType w:val="multilevel"/>
    <w:tmpl w:val="C99AB46E"/>
    <w:name w:val="NumPar2"/>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472E682F"/>
    <w:multiLevelType w:val="hybridMultilevel"/>
    <w:tmpl w:val="F46A2E5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8" w15:restartNumberingAfterBreak="0">
    <w:nsid w:val="47542ACE"/>
    <w:multiLevelType w:val="hybridMultilevel"/>
    <w:tmpl w:val="928475C0"/>
    <w:lvl w:ilvl="0" w:tplc="5380BE8C">
      <w:start w:val="1"/>
      <w:numFmt w:val="lowerRoman"/>
      <w:lvlText w:val="%1)"/>
      <w:lvlJc w:val="righ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99" w15:restartNumberingAfterBreak="0">
    <w:nsid w:val="49A175F1"/>
    <w:multiLevelType w:val="multilevel"/>
    <w:tmpl w:val="9AB0CD1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9D773DC"/>
    <w:multiLevelType w:val="hybridMultilevel"/>
    <w:tmpl w:val="E1EE12C2"/>
    <w:lvl w:ilvl="0" w:tplc="1FDA5148">
      <w:numFmt w:val="bullet"/>
      <w:lvlText w:val="-"/>
      <w:lvlJc w:val="left"/>
      <w:pPr>
        <w:ind w:left="720" w:hanging="360"/>
      </w:pPr>
      <w:rPr>
        <w:rFonts w:ascii="Times New Roman" w:hAnsi="Times New Roman" w:hint="default"/>
      </w:rPr>
    </w:lvl>
    <w:lvl w:ilvl="1" w:tplc="899CADC6">
      <w:start w:val="1"/>
      <w:numFmt w:val="bullet"/>
      <w:lvlText w:val="o"/>
      <w:lvlJc w:val="left"/>
      <w:pPr>
        <w:ind w:left="1440" w:hanging="360"/>
      </w:pPr>
      <w:rPr>
        <w:rFonts w:ascii="Courier New" w:hAnsi="Courier New" w:hint="default"/>
      </w:rPr>
    </w:lvl>
    <w:lvl w:ilvl="2" w:tplc="382A1C90">
      <w:start w:val="1"/>
      <w:numFmt w:val="bullet"/>
      <w:lvlText w:val=""/>
      <w:lvlJc w:val="left"/>
      <w:pPr>
        <w:ind w:left="2160" w:hanging="360"/>
      </w:pPr>
      <w:rPr>
        <w:rFonts w:ascii="Wingdings" w:hAnsi="Wingdings" w:hint="default"/>
      </w:rPr>
    </w:lvl>
    <w:lvl w:ilvl="3" w:tplc="4994174E">
      <w:start w:val="1"/>
      <w:numFmt w:val="bullet"/>
      <w:lvlText w:val=""/>
      <w:lvlJc w:val="left"/>
      <w:pPr>
        <w:ind w:left="2880" w:hanging="360"/>
      </w:pPr>
      <w:rPr>
        <w:rFonts w:ascii="Symbol" w:hAnsi="Symbol" w:hint="default"/>
      </w:rPr>
    </w:lvl>
    <w:lvl w:ilvl="4" w:tplc="5C221FCE">
      <w:start w:val="1"/>
      <w:numFmt w:val="bullet"/>
      <w:lvlText w:val="o"/>
      <w:lvlJc w:val="left"/>
      <w:pPr>
        <w:ind w:left="3600" w:hanging="360"/>
      </w:pPr>
      <w:rPr>
        <w:rFonts w:ascii="Courier New" w:hAnsi="Courier New" w:hint="default"/>
      </w:rPr>
    </w:lvl>
    <w:lvl w:ilvl="5" w:tplc="7350498C">
      <w:start w:val="1"/>
      <w:numFmt w:val="bullet"/>
      <w:lvlText w:val=""/>
      <w:lvlJc w:val="left"/>
      <w:pPr>
        <w:ind w:left="4320" w:hanging="360"/>
      </w:pPr>
      <w:rPr>
        <w:rFonts w:ascii="Wingdings" w:hAnsi="Wingdings" w:hint="default"/>
      </w:rPr>
    </w:lvl>
    <w:lvl w:ilvl="6" w:tplc="D7AC6F1E">
      <w:start w:val="1"/>
      <w:numFmt w:val="bullet"/>
      <w:lvlText w:val=""/>
      <w:lvlJc w:val="left"/>
      <w:pPr>
        <w:ind w:left="5040" w:hanging="360"/>
      </w:pPr>
      <w:rPr>
        <w:rFonts w:ascii="Symbol" w:hAnsi="Symbol" w:hint="default"/>
      </w:rPr>
    </w:lvl>
    <w:lvl w:ilvl="7" w:tplc="65E47782">
      <w:start w:val="1"/>
      <w:numFmt w:val="bullet"/>
      <w:lvlText w:val="o"/>
      <w:lvlJc w:val="left"/>
      <w:pPr>
        <w:ind w:left="5760" w:hanging="360"/>
      </w:pPr>
      <w:rPr>
        <w:rFonts w:ascii="Courier New" w:hAnsi="Courier New" w:hint="default"/>
      </w:rPr>
    </w:lvl>
    <w:lvl w:ilvl="8" w:tplc="514AE622">
      <w:start w:val="1"/>
      <w:numFmt w:val="bullet"/>
      <w:lvlText w:val=""/>
      <w:lvlJc w:val="left"/>
      <w:pPr>
        <w:ind w:left="6480" w:hanging="360"/>
      </w:pPr>
      <w:rPr>
        <w:rFonts w:ascii="Wingdings" w:hAnsi="Wingdings" w:hint="default"/>
      </w:rPr>
    </w:lvl>
  </w:abstractNum>
  <w:abstractNum w:abstractNumId="101" w15:restartNumberingAfterBreak="0">
    <w:nsid w:val="4B8D2975"/>
    <w:multiLevelType w:val="hybridMultilevel"/>
    <w:tmpl w:val="424EF87C"/>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02" w15:restartNumberingAfterBreak="0">
    <w:nsid w:val="4BE97960"/>
    <w:multiLevelType w:val="hybridMultilevel"/>
    <w:tmpl w:val="6D72477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03" w15:restartNumberingAfterBreak="0">
    <w:nsid w:val="4D8F1A52"/>
    <w:multiLevelType w:val="hybridMultilevel"/>
    <w:tmpl w:val="BAA2915A"/>
    <w:lvl w:ilvl="0" w:tplc="04100017">
      <w:start w:val="1"/>
      <w:numFmt w:val="lowerLetter"/>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4" w15:restartNumberingAfterBreak="0">
    <w:nsid w:val="4DD650F9"/>
    <w:multiLevelType w:val="multilevel"/>
    <w:tmpl w:val="31864E6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4E7234F7"/>
    <w:multiLevelType w:val="multilevel"/>
    <w:tmpl w:val="F208DA6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03604BF"/>
    <w:multiLevelType w:val="hybridMultilevel"/>
    <w:tmpl w:val="CA3E3C90"/>
    <w:lvl w:ilvl="0" w:tplc="E036F444">
      <w:start w:val="1"/>
      <w:numFmt w:val="bullet"/>
      <w:lvlText w:val="·"/>
      <w:lvlJc w:val="left"/>
      <w:pPr>
        <w:ind w:left="720" w:hanging="360"/>
      </w:pPr>
      <w:rPr>
        <w:rFonts w:ascii="Symbol" w:hAnsi="Symbol" w:hint="default"/>
      </w:rPr>
    </w:lvl>
    <w:lvl w:ilvl="1" w:tplc="595EC648">
      <w:start w:val="1"/>
      <w:numFmt w:val="bullet"/>
      <w:lvlText w:val="o"/>
      <w:lvlJc w:val="left"/>
      <w:pPr>
        <w:ind w:left="1440" w:hanging="360"/>
      </w:pPr>
      <w:rPr>
        <w:rFonts w:ascii="Courier New" w:hAnsi="Courier New" w:hint="default"/>
      </w:rPr>
    </w:lvl>
    <w:lvl w:ilvl="2" w:tplc="6E76022C">
      <w:start w:val="1"/>
      <w:numFmt w:val="bullet"/>
      <w:lvlText w:val=""/>
      <w:lvlJc w:val="left"/>
      <w:pPr>
        <w:ind w:left="2160" w:hanging="360"/>
      </w:pPr>
      <w:rPr>
        <w:rFonts w:ascii="Wingdings" w:hAnsi="Wingdings" w:hint="default"/>
      </w:rPr>
    </w:lvl>
    <w:lvl w:ilvl="3" w:tplc="C35E6ECC">
      <w:start w:val="1"/>
      <w:numFmt w:val="bullet"/>
      <w:lvlText w:val=""/>
      <w:lvlJc w:val="left"/>
      <w:pPr>
        <w:ind w:left="2880" w:hanging="360"/>
      </w:pPr>
      <w:rPr>
        <w:rFonts w:ascii="Symbol" w:hAnsi="Symbol" w:hint="default"/>
      </w:rPr>
    </w:lvl>
    <w:lvl w:ilvl="4" w:tplc="DFA6687A">
      <w:start w:val="1"/>
      <w:numFmt w:val="bullet"/>
      <w:lvlText w:val="o"/>
      <w:lvlJc w:val="left"/>
      <w:pPr>
        <w:ind w:left="3600" w:hanging="360"/>
      </w:pPr>
      <w:rPr>
        <w:rFonts w:ascii="Courier New" w:hAnsi="Courier New" w:hint="default"/>
      </w:rPr>
    </w:lvl>
    <w:lvl w:ilvl="5" w:tplc="7278BE22">
      <w:start w:val="1"/>
      <w:numFmt w:val="bullet"/>
      <w:lvlText w:val=""/>
      <w:lvlJc w:val="left"/>
      <w:pPr>
        <w:ind w:left="4320" w:hanging="360"/>
      </w:pPr>
      <w:rPr>
        <w:rFonts w:ascii="Wingdings" w:hAnsi="Wingdings" w:hint="default"/>
      </w:rPr>
    </w:lvl>
    <w:lvl w:ilvl="6" w:tplc="AEB4DA1C">
      <w:start w:val="1"/>
      <w:numFmt w:val="bullet"/>
      <w:lvlText w:val=""/>
      <w:lvlJc w:val="left"/>
      <w:pPr>
        <w:ind w:left="5040" w:hanging="360"/>
      </w:pPr>
      <w:rPr>
        <w:rFonts w:ascii="Symbol" w:hAnsi="Symbol" w:hint="default"/>
      </w:rPr>
    </w:lvl>
    <w:lvl w:ilvl="7" w:tplc="1088AC34">
      <w:start w:val="1"/>
      <w:numFmt w:val="bullet"/>
      <w:lvlText w:val="o"/>
      <w:lvlJc w:val="left"/>
      <w:pPr>
        <w:ind w:left="5760" w:hanging="360"/>
      </w:pPr>
      <w:rPr>
        <w:rFonts w:ascii="Courier New" w:hAnsi="Courier New" w:hint="default"/>
      </w:rPr>
    </w:lvl>
    <w:lvl w:ilvl="8" w:tplc="B0E6FEF4">
      <w:start w:val="1"/>
      <w:numFmt w:val="bullet"/>
      <w:lvlText w:val=""/>
      <w:lvlJc w:val="left"/>
      <w:pPr>
        <w:ind w:left="6480" w:hanging="360"/>
      </w:pPr>
      <w:rPr>
        <w:rFonts w:ascii="Wingdings" w:hAnsi="Wingdings" w:hint="default"/>
      </w:rPr>
    </w:lvl>
  </w:abstractNum>
  <w:abstractNum w:abstractNumId="107" w15:restartNumberingAfterBreak="0">
    <w:nsid w:val="52EC6ECC"/>
    <w:multiLevelType w:val="hybridMultilevel"/>
    <w:tmpl w:val="A5067268"/>
    <w:lvl w:ilvl="0" w:tplc="D4A2D3F0">
      <w:start w:val="1"/>
      <w:numFmt w:val="bullet"/>
      <w:lvlText w:val=""/>
      <w:lvlJc w:val="left"/>
      <w:pPr>
        <w:ind w:left="720" w:hanging="360"/>
      </w:pPr>
      <w:rPr>
        <w:rFonts w:ascii="Symbol" w:hAnsi="Symbol" w:hint="default"/>
      </w:rPr>
    </w:lvl>
    <w:lvl w:ilvl="1" w:tplc="3B6C190A">
      <w:start w:val="1"/>
      <w:numFmt w:val="bullet"/>
      <w:lvlText w:val="o"/>
      <w:lvlJc w:val="left"/>
      <w:pPr>
        <w:ind w:left="1440" w:hanging="360"/>
      </w:pPr>
      <w:rPr>
        <w:rFonts w:ascii="Courier New" w:hAnsi="Courier New" w:hint="default"/>
      </w:rPr>
    </w:lvl>
    <w:lvl w:ilvl="2" w:tplc="ED7E94D6">
      <w:start w:val="1"/>
      <w:numFmt w:val="bullet"/>
      <w:lvlText w:val=""/>
      <w:lvlJc w:val="left"/>
      <w:pPr>
        <w:ind w:left="2160" w:hanging="360"/>
      </w:pPr>
      <w:rPr>
        <w:rFonts w:ascii="Wingdings" w:hAnsi="Wingdings" w:hint="default"/>
      </w:rPr>
    </w:lvl>
    <w:lvl w:ilvl="3" w:tplc="78164F48">
      <w:start w:val="1"/>
      <w:numFmt w:val="bullet"/>
      <w:lvlText w:val=""/>
      <w:lvlJc w:val="left"/>
      <w:pPr>
        <w:ind w:left="2880" w:hanging="360"/>
      </w:pPr>
      <w:rPr>
        <w:rFonts w:ascii="Symbol" w:hAnsi="Symbol" w:hint="default"/>
      </w:rPr>
    </w:lvl>
    <w:lvl w:ilvl="4" w:tplc="133EB486">
      <w:start w:val="1"/>
      <w:numFmt w:val="bullet"/>
      <w:lvlText w:val="o"/>
      <w:lvlJc w:val="left"/>
      <w:pPr>
        <w:ind w:left="3600" w:hanging="360"/>
      </w:pPr>
      <w:rPr>
        <w:rFonts w:ascii="Courier New" w:hAnsi="Courier New" w:hint="default"/>
      </w:rPr>
    </w:lvl>
    <w:lvl w:ilvl="5" w:tplc="260876F0">
      <w:start w:val="1"/>
      <w:numFmt w:val="bullet"/>
      <w:lvlText w:val=""/>
      <w:lvlJc w:val="left"/>
      <w:pPr>
        <w:ind w:left="4320" w:hanging="360"/>
      </w:pPr>
      <w:rPr>
        <w:rFonts w:ascii="Wingdings" w:hAnsi="Wingdings" w:hint="default"/>
      </w:rPr>
    </w:lvl>
    <w:lvl w:ilvl="6" w:tplc="37F4E174">
      <w:start w:val="1"/>
      <w:numFmt w:val="bullet"/>
      <w:lvlText w:val=""/>
      <w:lvlJc w:val="left"/>
      <w:pPr>
        <w:ind w:left="5040" w:hanging="360"/>
      </w:pPr>
      <w:rPr>
        <w:rFonts w:ascii="Symbol" w:hAnsi="Symbol" w:hint="default"/>
      </w:rPr>
    </w:lvl>
    <w:lvl w:ilvl="7" w:tplc="AC40A698">
      <w:start w:val="1"/>
      <w:numFmt w:val="bullet"/>
      <w:lvlText w:val="o"/>
      <w:lvlJc w:val="left"/>
      <w:pPr>
        <w:ind w:left="5760" w:hanging="360"/>
      </w:pPr>
      <w:rPr>
        <w:rFonts w:ascii="Courier New" w:hAnsi="Courier New" w:hint="default"/>
      </w:rPr>
    </w:lvl>
    <w:lvl w:ilvl="8" w:tplc="C680A60A">
      <w:start w:val="1"/>
      <w:numFmt w:val="bullet"/>
      <w:lvlText w:val=""/>
      <w:lvlJc w:val="left"/>
      <w:pPr>
        <w:ind w:left="6480" w:hanging="360"/>
      </w:pPr>
      <w:rPr>
        <w:rFonts w:ascii="Wingdings" w:hAnsi="Wingdings" w:hint="default"/>
      </w:rPr>
    </w:lvl>
  </w:abstractNum>
  <w:abstractNum w:abstractNumId="108" w15:restartNumberingAfterBreak="0">
    <w:nsid w:val="5320465F"/>
    <w:multiLevelType w:val="hybridMultilevel"/>
    <w:tmpl w:val="CDAE407A"/>
    <w:lvl w:ilvl="0" w:tplc="819E0320">
      <w:start w:val="1"/>
      <w:numFmt w:val="bullet"/>
      <w:lvlText w:val=""/>
      <w:lvlJc w:val="left"/>
      <w:pPr>
        <w:ind w:left="720" w:hanging="360"/>
      </w:pPr>
      <w:rPr>
        <w:rFonts w:ascii="Symbol" w:hAnsi="Symbol" w:hint="default"/>
      </w:rPr>
    </w:lvl>
    <w:lvl w:ilvl="1" w:tplc="380C8A0A" w:tentative="1">
      <w:start w:val="1"/>
      <w:numFmt w:val="bullet"/>
      <w:lvlText w:val="o"/>
      <w:lvlJc w:val="left"/>
      <w:pPr>
        <w:ind w:left="1440" w:hanging="360"/>
      </w:pPr>
      <w:rPr>
        <w:rFonts w:ascii="Courier New" w:hAnsi="Courier New" w:hint="default"/>
      </w:rPr>
    </w:lvl>
    <w:lvl w:ilvl="2" w:tplc="09C6717E" w:tentative="1">
      <w:start w:val="1"/>
      <w:numFmt w:val="bullet"/>
      <w:lvlText w:val=""/>
      <w:lvlJc w:val="left"/>
      <w:pPr>
        <w:ind w:left="2160" w:hanging="360"/>
      </w:pPr>
      <w:rPr>
        <w:rFonts w:ascii="Wingdings" w:hAnsi="Wingdings" w:hint="default"/>
      </w:rPr>
    </w:lvl>
    <w:lvl w:ilvl="3" w:tplc="54D4DAFE" w:tentative="1">
      <w:start w:val="1"/>
      <w:numFmt w:val="bullet"/>
      <w:lvlText w:val=""/>
      <w:lvlJc w:val="left"/>
      <w:pPr>
        <w:ind w:left="2880" w:hanging="360"/>
      </w:pPr>
      <w:rPr>
        <w:rFonts w:ascii="Symbol" w:hAnsi="Symbol" w:hint="default"/>
      </w:rPr>
    </w:lvl>
    <w:lvl w:ilvl="4" w:tplc="F5EE77CE" w:tentative="1">
      <w:start w:val="1"/>
      <w:numFmt w:val="bullet"/>
      <w:lvlText w:val="o"/>
      <w:lvlJc w:val="left"/>
      <w:pPr>
        <w:ind w:left="3600" w:hanging="360"/>
      </w:pPr>
      <w:rPr>
        <w:rFonts w:ascii="Courier New" w:hAnsi="Courier New" w:hint="default"/>
      </w:rPr>
    </w:lvl>
    <w:lvl w:ilvl="5" w:tplc="8A707B66" w:tentative="1">
      <w:start w:val="1"/>
      <w:numFmt w:val="bullet"/>
      <w:lvlText w:val=""/>
      <w:lvlJc w:val="left"/>
      <w:pPr>
        <w:ind w:left="4320" w:hanging="360"/>
      </w:pPr>
      <w:rPr>
        <w:rFonts w:ascii="Wingdings" w:hAnsi="Wingdings" w:hint="default"/>
      </w:rPr>
    </w:lvl>
    <w:lvl w:ilvl="6" w:tplc="938A8D7A" w:tentative="1">
      <w:start w:val="1"/>
      <w:numFmt w:val="bullet"/>
      <w:lvlText w:val=""/>
      <w:lvlJc w:val="left"/>
      <w:pPr>
        <w:ind w:left="5040" w:hanging="360"/>
      </w:pPr>
      <w:rPr>
        <w:rFonts w:ascii="Symbol" w:hAnsi="Symbol" w:hint="default"/>
      </w:rPr>
    </w:lvl>
    <w:lvl w:ilvl="7" w:tplc="E7DC73D8" w:tentative="1">
      <w:start w:val="1"/>
      <w:numFmt w:val="bullet"/>
      <w:lvlText w:val="o"/>
      <w:lvlJc w:val="left"/>
      <w:pPr>
        <w:ind w:left="5760" w:hanging="360"/>
      </w:pPr>
      <w:rPr>
        <w:rFonts w:ascii="Courier New" w:hAnsi="Courier New" w:hint="default"/>
      </w:rPr>
    </w:lvl>
    <w:lvl w:ilvl="8" w:tplc="A0849080" w:tentative="1">
      <w:start w:val="1"/>
      <w:numFmt w:val="bullet"/>
      <w:lvlText w:val=""/>
      <w:lvlJc w:val="left"/>
      <w:pPr>
        <w:ind w:left="6480" w:hanging="360"/>
      </w:pPr>
      <w:rPr>
        <w:rFonts w:ascii="Wingdings" w:hAnsi="Wingdings" w:hint="default"/>
      </w:rPr>
    </w:lvl>
  </w:abstractNum>
  <w:abstractNum w:abstractNumId="109" w15:restartNumberingAfterBreak="0">
    <w:nsid w:val="536F1E81"/>
    <w:multiLevelType w:val="multilevel"/>
    <w:tmpl w:val="C45EFDBA"/>
    <w:lvl w:ilvl="0">
      <w:start w:val="6"/>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0" w15:restartNumberingAfterBreak="0">
    <w:nsid w:val="540174FD"/>
    <w:multiLevelType w:val="hybridMultilevel"/>
    <w:tmpl w:val="3836CA74"/>
    <w:lvl w:ilvl="0" w:tplc="43EAD3D8">
      <w:start w:val="1"/>
      <w:numFmt w:val="bullet"/>
      <w:lvlText w:val="-"/>
      <w:lvlJc w:val="left"/>
      <w:pPr>
        <w:ind w:left="720" w:hanging="360"/>
      </w:pPr>
      <w:rPr>
        <w:rFonts w:ascii="Symbol" w:hAnsi="Symbol" w:hint="default"/>
      </w:rPr>
    </w:lvl>
    <w:lvl w:ilvl="1" w:tplc="C33687BC">
      <w:start w:val="1"/>
      <w:numFmt w:val="bullet"/>
      <w:lvlText w:val="o"/>
      <w:lvlJc w:val="left"/>
      <w:pPr>
        <w:ind w:left="1440" w:hanging="360"/>
      </w:pPr>
      <w:rPr>
        <w:rFonts w:ascii="Courier New" w:hAnsi="Courier New" w:cs="Times New Roman" w:hint="default"/>
      </w:rPr>
    </w:lvl>
    <w:lvl w:ilvl="2" w:tplc="B2CCF1B4">
      <w:start w:val="1"/>
      <w:numFmt w:val="bullet"/>
      <w:lvlText w:val=""/>
      <w:lvlJc w:val="left"/>
      <w:pPr>
        <w:ind w:left="2160" w:hanging="360"/>
      </w:pPr>
      <w:rPr>
        <w:rFonts w:ascii="Wingdings" w:hAnsi="Wingdings" w:hint="default"/>
      </w:rPr>
    </w:lvl>
    <w:lvl w:ilvl="3" w:tplc="411657AC">
      <w:start w:val="1"/>
      <w:numFmt w:val="bullet"/>
      <w:lvlText w:val=""/>
      <w:lvlJc w:val="left"/>
      <w:pPr>
        <w:ind w:left="2880" w:hanging="360"/>
      </w:pPr>
      <w:rPr>
        <w:rFonts w:ascii="Symbol" w:hAnsi="Symbol" w:hint="default"/>
      </w:rPr>
    </w:lvl>
    <w:lvl w:ilvl="4" w:tplc="BDC6F242">
      <w:start w:val="1"/>
      <w:numFmt w:val="bullet"/>
      <w:lvlText w:val="o"/>
      <w:lvlJc w:val="left"/>
      <w:pPr>
        <w:ind w:left="3600" w:hanging="360"/>
      </w:pPr>
      <w:rPr>
        <w:rFonts w:ascii="Courier New" w:hAnsi="Courier New" w:cs="Times New Roman" w:hint="default"/>
      </w:rPr>
    </w:lvl>
    <w:lvl w:ilvl="5" w:tplc="77301190">
      <w:start w:val="1"/>
      <w:numFmt w:val="bullet"/>
      <w:lvlText w:val=""/>
      <w:lvlJc w:val="left"/>
      <w:pPr>
        <w:ind w:left="4320" w:hanging="360"/>
      </w:pPr>
      <w:rPr>
        <w:rFonts w:ascii="Wingdings" w:hAnsi="Wingdings" w:hint="default"/>
      </w:rPr>
    </w:lvl>
    <w:lvl w:ilvl="6" w:tplc="3E72EFDA">
      <w:start w:val="1"/>
      <w:numFmt w:val="bullet"/>
      <w:lvlText w:val=""/>
      <w:lvlJc w:val="left"/>
      <w:pPr>
        <w:ind w:left="5040" w:hanging="360"/>
      </w:pPr>
      <w:rPr>
        <w:rFonts w:ascii="Symbol" w:hAnsi="Symbol" w:hint="default"/>
      </w:rPr>
    </w:lvl>
    <w:lvl w:ilvl="7" w:tplc="187CAED0">
      <w:start w:val="1"/>
      <w:numFmt w:val="bullet"/>
      <w:lvlText w:val="o"/>
      <w:lvlJc w:val="left"/>
      <w:pPr>
        <w:ind w:left="5760" w:hanging="360"/>
      </w:pPr>
      <w:rPr>
        <w:rFonts w:ascii="Courier New" w:hAnsi="Courier New" w:cs="Times New Roman" w:hint="default"/>
      </w:rPr>
    </w:lvl>
    <w:lvl w:ilvl="8" w:tplc="FE942D0A">
      <w:start w:val="1"/>
      <w:numFmt w:val="bullet"/>
      <w:lvlText w:val=""/>
      <w:lvlJc w:val="left"/>
      <w:pPr>
        <w:ind w:left="6480" w:hanging="360"/>
      </w:pPr>
      <w:rPr>
        <w:rFonts w:ascii="Wingdings" w:hAnsi="Wingdings" w:hint="default"/>
      </w:rPr>
    </w:lvl>
  </w:abstractNum>
  <w:abstractNum w:abstractNumId="111" w15:restartNumberingAfterBreak="0">
    <w:nsid w:val="546190BD"/>
    <w:multiLevelType w:val="hybridMultilevel"/>
    <w:tmpl w:val="A1E075CA"/>
    <w:lvl w:ilvl="0" w:tplc="2D546194">
      <w:start w:val="1"/>
      <w:numFmt w:val="decimal"/>
      <w:lvlText w:val="%1."/>
      <w:lvlJc w:val="left"/>
      <w:pPr>
        <w:ind w:left="720" w:hanging="360"/>
      </w:pPr>
    </w:lvl>
    <w:lvl w:ilvl="1" w:tplc="D7D0BED8">
      <w:start w:val="1"/>
      <w:numFmt w:val="lowerLetter"/>
      <w:lvlText w:val="%2."/>
      <w:lvlJc w:val="left"/>
      <w:pPr>
        <w:ind w:left="1440" w:hanging="360"/>
      </w:pPr>
    </w:lvl>
    <w:lvl w:ilvl="2" w:tplc="0024CEB8">
      <w:start w:val="1"/>
      <w:numFmt w:val="lowerRoman"/>
      <w:lvlText w:val="%3."/>
      <w:lvlJc w:val="right"/>
      <w:pPr>
        <w:ind w:left="2160" w:hanging="180"/>
      </w:pPr>
    </w:lvl>
    <w:lvl w:ilvl="3" w:tplc="14F45304">
      <w:start w:val="1"/>
      <w:numFmt w:val="decimal"/>
      <w:lvlText w:val="%4."/>
      <w:lvlJc w:val="left"/>
      <w:pPr>
        <w:ind w:left="2880" w:hanging="360"/>
      </w:pPr>
    </w:lvl>
    <w:lvl w:ilvl="4" w:tplc="13CA6DCC">
      <w:start w:val="1"/>
      <w:numFmt w:val="lowerLetter"/>
      <w:lvlText w:val="%5."/>
      <w:lvlJc w:val="left"/>
      <w:pPr>
        <w:ind w:left="3600" w:hanging="360"/>
      </w:pPr>
    </w:lvl>
    <w:lvl w:ilvl="5" w:tplc="BC06D7CC">
      <w:start w:val="1"/>
      <w:numFmt w:val="lowerRoman"/>
      <w:lvlText w:val="%6."/>
      <w:lvlJc w:val="right"/>
      <w:pPr>
        <w:ind w:left="4320" w:hanging="180"/>
      </w:pPr>
    </w:lvl>
    <w:lvl w:ilvl="6" w:tplc="4D6E0A48">
      <w:start w:val="1"/>
      <w:numFmt w:val="decimal"/>
      <w:lvlText w:val="%7."/>
      <w:lvlJc w:val="left"/>
      <w:pPr>
        <w:ind w:left="5040" w:hanging="360"/>
      </w:pPr>
    </w:lvl>
    <w:lvl w:ilvl="7" w:tplc="E29AC2BE">
      <w:start w:val="1"/>
      <w:numFmt w:val="lowerLetter"/>
      <w:lvlText w:val="%8."/>
      <w:lvlJc w:val="left"/>
      <w:pPr>
        <w:ind w:left="5760" w:hanging="360"/>
      </w:pPr>
    </w:lvl>
    <w:lvl w:ilvl="8" w:tplc="8DA2F450">
      <w:start w:val="1"/>
      <w:numFmt w:val="lowerRoman"/>
      <w:lvlText w:val="%9."/>
      <w:lvlJc w:val="right"/>
      <w:pPr>
        <w:ind w:left="6480" w:hanging="180"/>
      </w:pPr>
    </w:lvl>
  </w:abstractNum>
  <w:abstractNum w:abstractNumId="112" w15:restartNumberingAfterBreak="0">
    <w:nsid w:val="5517B409"/>
    <w:multiLevelType w:val="hybridMultilevel"/>
    <w:tmpl w:val="0BD07EFE"/>
    <w:lvl w:ilvl="0" w:tplc="79A05C2E">
      <w:start w:val="1"/>
      <w:numFmt w:val="decimal"/>
      <w:lvlText w:val="%1."/>
      <w:lvlJc w:val="left"/>
      <w:pPr>
        <w:ind w:left="720" w:hanging="360"/>
      </w:pPr>
    </w:lvl>
    <w:lvl w:ilvl="1" w:tplc="D7FA4F02">
      <w:start w:val="1"/>
      <w:numFmt w:val="lowerLetter"/>
      <w:lvlText w:val="%2."/>
      <w:lvlJc w:val="left"/>
      <w:pPr>
        <w:ind w:left="1440" w:hanging="360"/>
      </w:pPr>
    </w:lvl>
    <w:lvl w:ilvl="2" w:tplc="7F5EC75A">
      <w:start w:val="1"/>
      <w:numFmt w:val="lowerRoman"/>
      <w:lvlText w:val="%3."/>
      <w:lvlJc w:val="right"/>
      <w:pPr>
        <w:ind w:left="2160" w:hanging="180"/>
      </w:pPr>
    </w:lvl>
    <w:lvl w:ilvl="3" w:tplc="645CBD7E">
      <w:start w:val="1"/>
      <w:numFmt w:val="decimal"/>
      <w:lvlText w:val="%4."/>
      <w:lvlJc w:val="left"/>
      <w:pPr>
        <w:ind w:left="2880" w:hanging="360"/>
      </w:pPr>
    </w:lvl>
    <w:lvl w:ilvl="4" w:tplc="3C94473C">
      <w:start w:val="1"/>
      <w:numFmt w:val="lowerLetter"/>
      <w:lvlText w:val="%5."/>
      <w:lvlJc w:val="left"/>
      <w:pPr>
        <w:ind w:left="3600" w:hanging="360"/>
      </w:pPr>
    </w:lvl>
    <w:lvl w:ilvl="5" w:tplc="32DC875A">
      <w:start w:val="1"/>
      <w:numFmt w:val="lowerRoman"/>
      <w:lvlText w:val="%6."/>
      <w:lvlJc w:val="right"/>
      <w:pPr>
        <w:ind w:left="4320" w:hanging="180"/>
      </w:pPr>
    </w:lvl>
    <w:lvl w:ilvl="6" w:tplc="F3BE7820">
      <w:start w:val="1"/>
      <w:numFmt w:val="decimal"/>
      <w:lvlText w:val="%7."/>
      <w:lvlJc w:val="left"/>
      <w:pPr>
        <w:ind w:left="5040" w:hanging="360"/>
      </w:pPr>
    </w:lvl>
    <w:lvl w:ilvl="7" w:tplc="F5123FAE">
      <w:start w:val="1"/>
      <w:numFmt w:val="lowerLetter"/>
      <w:lvlText w:val="%8."/>
      <w:lvlJc w:val="left"/>
      <w:pPr>
        <w:ind w:left="5760" w:hanging="360"/>
      </w:pPr>
    </w:lvl>
    <w:lvl w:ilvl="8" w:tplc="46664E36">
      <w:start w:val="1"/>
      <w:numFmt w:val="lowerRoman"/>
      <w:lvlText w:val="%9."/>
      <w:lvlJc w:val="right"/>
      <w:pPr>
        <w:ind w:left="6480" w:hanging="180"/>
      </w:pPr>
    </w:lvl>
  </w:abstractNum>
  <w:abstractNum w:abstractNumId="113" w15:restartNumberingAfterBreak="0">
    <w:nsid w:val="556E1D63"/>
    <w:multiLevelType w:val="singleLevel"/>
    <w:tmpl w:val="493AAFF0"/>
    <w:name w:val="Bullet 4"/>
    <w:lvl w:ilvl="0">
      <w:start w:val="1"/>
      <w:numFmt w:val="bullet"/>
      <w:pStyle w:val="Bullet4"/>
      <w:lvlText w:val=""/>
      <w:lvlJc w:val="left"/>
      <w:pPr>
        <w:tabs>
          <w:tab w:val="num" w:pos="3118"/>
        </w:tabs>
        <w:ind w:left="3118" w:hanging="567"/>
      </w:pPr>
      <w:rPr>
        <w:rFonts w:ascii="Symbol" w:hAnsi="Symbol" w:hint="default"/>
      </w:rPr>
    </w:lvl>
  </w:abstractNum>
  <w:abstractNum w:abstractNumId="114" w15:restartNumberingAfterBreak="0">
    <w:nsid w:val="55C10E65"/>
    <w:multiLevelType w:val="multilevel"/>
    <w:tmpl w:val="0C0A3368"/>
    <w:lvl w:ilvl="0">
      <w:start w:val="1"/>
      <w:numFmt w:val="decimal"/>
      <w:pStyle w:val="LegalNumPar"/>
      <w:lvlText w:val="%1."/>
      <w:lvlJc w:val="left"/>
      <w:pPr>
        <w:ind w:left="901" w:hanging="476"/>
      </w:pPr>
      <w:rPr>
        <w:b w:val="0"/>
        <w:bCs w:val="0"/>
      </w:rPr>
    </w:lvl>
    <w:lvl w:ilvl="1">
      <w:start w:val="1"/>
      <w:numFmt w:val="lowerLetter"/>
      <w:pStyle w:val="LegalNumPar2"/>
      <w:lvlText w:val="%2."/>
      <w:lvlJc w:val="left"/>
      <w:pPr>
        <w:ind w:left="953" w:hanging="477"/>
      </w:pPr>
    </w:lvl>
    <w:lvl w:ilvl="2">
      <w:start w:val="1"/>
      <w:numFmt w:val="lowerRoman"/>
      <w:pStyle w:val="LegalNumPar3"/>
      <w:lvlText w:val="%3."/>
      <w:lvlJc w:val="left"/>
      <w:pPr>
        <w:ind w:left="1429" w:hanging="476"/>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5FE2C69"/>
    <w:multiLevelType w:val="multilevel"/>
    <w:tmpl w:val="5BEA9026"/>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6A3B146"/>
    <w:multiLevelType w:val="hybridMultilevel"/>
    <w:tmpl w:val="47A27D4A"/>
    <w:lvl w:ilvl="0" w:tplc="F7869708">
      <w:start w:val="1"/>
      <w:numFmt w:val="bullet"/>
      <w:lvlText w:val=""/>
      <w:lvlJc w:val="left"/>
      <w:pPr>
        <w:ind w:left="720" w:hanging="360"/>
      </w:pPr>
      <w:rPr>
        <w:rFonts w:ascii="Symbol" w:hAnsi="Symbol" w:hint="default"/>
        <w:color w:val="006600"/>
      </w:rPr>
    </w:lvl>
    <w:lvl w:ilvl="1" w:tplc="AEB619B0">
      <w:start w:val="1"/>
      <w:numFmt w:val="bullet"/>
      <w:lvlText w:val="o"/>
      <w:lvlJc w:val="left"/>
      <w:pPr>
        <w:ind w:left="1440" w:hanging="360"/>
      </w:pPr>
      <w:rPr>
        <w:rFonts w:ascii="Courier New" w:hAnsi="Courier New" w:cs="Times New Roman" w:hint="default"/>
      </w:rPr>
    </w:lvl>
    <w:lvl w:ilvl="2" w:tplc="FCB2E71E">
      <w:start w:val="1"/>
      <w:numFmt w:val="bullet"/>
      <w:lvlText w:val=""/>
      <w:lvlJc w:val="left"/>
      <w:pPr>
        <w:ind w:left="2160" w:hanging="360"/>
      </w:pPr>
      <w:rPr>
        <w:rFonts w:ascii="Wingdings" w:hAnsi="Wingdings" w:hint="default"/>
      </w:rPr>
    </w:lvl>
    <w:lvl w:ilvl="3" w:tplc="2A460294">
      <w:start w:val="1"/>
      <w:numFmt w:val="bullet"/>
      <w:lvlText w:val=""/>
      <w:lvlJc w:val="left"/>
      <w:pPr>
        <w:ind w:left="2880" w:hanging="360"/>
      </w:pPr>
      <w:rPr>
        <w:rFonts w:ascii="Symbol" w:hAnsi="Symbol" w:hint="default"/>
      </w:rPr>
    </w:lvl>
    <w:lvl w:ilvl="4" w:tplc="3EBE5880">
      <w:start w:val="1"/>
      <w:numFmt w:val="bullet"/>
      <w:lvlText w:val="o"/>
      <w:lvlJc w:val="left"/>
      <w:pPr>
        <w:ind w:left="3600" w:hanging="360"/>
      </w:pPr>
      <w:rPr>
        <w:rFonts w:ascii="Courier New" w:hAnsi="Courier New" w:cs="Times New Roman" w:hint="default"/>
      </w:rPr>
    </w:lvl>
    <w:lvl w:ilvl="5" w:tplc="7F6853FE">
      <w:start w:val="1"/>
      <w:numFmt w:val="bullet"/>
      <w:lvlText w:val=""/>
      <w:lvlJc w:val="left"/>
      <w:pPr>
        <w:ind w:left="4320" w:hanging="360"/>
      </w:pPr>
      <w:rPr>
        <w:rFonts w:ascii="Wingdings" w:hAnsi="Wingdings" w:hint="default"/>
      </w:rPr>
    </w:lvl>
    <w:lvl w:ilvl="6" w:tplc="A45A9BBE">
      <w:start w:val="1"/>
      <w:numFmt w:val="bullet"/>
      <w:lvlText w:val=""/>
      <w:lvlJc w:val="left"/>
      <w:pPr>
        <w:ind w:left="5040" w:hanging="360"/>
      </w:pPr>
      <w:rPr>
        <w:rFonts w:ascii="Symbol" w:hAnsi="Symbol" w:hint="default"/>
      </w:rPr>
    </w:lvl>
    <w:lvl w:ilvl="7" w:tplc="5DDA074C">
      <w:start w:val="1"/>
      <w:numFmt w:val="bullet"/>
      <w:lvlText w:val="o"/>
      <w:lvlJc w:val="left"/>
      <w:pPr>
        <w:ind w:left="5760" w:hanging="360"/>
      </w:pPr>
      <w:rPr>
        <w:rFonts w:ascii="Courier New" w:hAnsi="Courier New" w:cs="Times New Roman" w:hint="default"/>
      </w:rPr>
    </w:lvl>
    <w:lvl w:ilvl="8" w:tplc="735ABAA8">
      <w:start w:val="1"/>
      <w:numFmt w:val="bullet"/>
      <w:lvlText w:val=""/>
      <w:lvlJc w:val="left"/>
      <w:pPr>
        <w:ind w:left="6480" w:hanging="360"/>
      </w:pPr>
      <w:rPr>
        <w:rFonts w:ascii="Wingdings" w:hAnsi="Wingdings" w:hint="default"/>
      </w:rPr>
    </w:lvl>
  </w:abstractNum>
  <w:abstractNum w:abstractNumId="117" w15:restartNumberingAfterBreak="0">
    <w:nsid w:val="572F6C41"/>
    <w:multiLevelType w:val="multilevel"/>
    <w:tmpl w:val="478E8EE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72FD515"/>
    <w:multiLevelType w:val="hybridMultilevel"/>
    <w:tmpl w:val="ECD429AE"/>
    <w:lvl w:ilvl="0" w:tplc="4C9087F6">
      <w:start w:val="1"/>
      <w:numFmt w:val="decimal"/>
      <w:lvlText w:val="%1."/>
      <w:lvlJc w:val="left"/>
      <w:pPr>
        <w:ind w:left="720" w:hanging="360"/>
      </w:pPr>
    </w:lvl>
    <w:lvl w:ilvl="1" w:tplc="5C2C5AC2">
      <w:start w:val="1"/>
      <w:numFmt w:val="lowerLetter"/>
      <w:lvlText w:val="%2."/>
      <w:lvlJc w:val="left"/>
      <w:pPr>
        <w:ind w:left="1440" w:hanging="360"/>
      </w:pPr>
    </w:lvl>
    <w:lvl w:ilvl="2" w:tplc="3192151C">
      <w:start w:val="1"/>
      <w:numFmt w:val="lowerRoman"/>
      <w:lvlText w:val="%3."/>
      <w:lvlJc w:val="right"/>
      <w:pPr>
        <w:ind w:left="2160" w:hanging="180"/>
      </w:pPr>
    </w:lvl>
    <w:lvl w:ilvl="3" w:tplc="414A3206">
      <w:start w:val="1"/>
      <w:numFmt w:val="decimal"/>
      <w:lvlText w:val="%4."/>
      <w:lvlJc w:val="left"/>
      <w:pPr>
        <w:ind w:left="2880" w:hanging="360"/>
      </w:pPr>
    </w:lvl>
    <w:lvl w:ilvl="4" w:tplc="87F066EE">
      <w:start w:val="1"/>
      <w:numFmt w:val="lowerLetter"/>
      <w:lvlText w:val="%5."/>
      <w:lvlJc w:val="left"/>
      <w:pPr>
        <w:ind w:left="3600" w:hanging="360"/>
      </w:pPr>
    </w:lvl>
    <w:lvl w:ilvl="5" w:tplc="52365568">
      <w:start w:val="1"/>
      <w:numFmt w:val="lowerRoman"/>
      <w:lvlText w:val="%6."/>
      <w:lvlJc w:val="right"/>
      <w:pPr>
        <w:ind w:left="4320" w:hanging="180"/>
      </w:pPr>
    </w:lvl>
    <w:lvl w:ilvl="6" w:tplc="F24CCDEA">
      <w:start w:val="1"/>
      <w:numFmt w:val="decimal"/>
      <w:lvlText w:val="%7."/>
      <w:lvlJc w:val="left"/>
      <w:pPr>
        <w:ind w:left="5040" w:hanging="360"/>
      </w:pPr>
    </w:lvl>
    <w:lvl w:ilvl="7" w:tplc="0AEC602E">
      <w:start w:val="1"/>
      <w:numFmt w:val="lowerLetter"/>
      <w:lvlText w:val="%8."/>
      <w:lvlJc w:val="left"/>
      <w:pPr>
        <w:ind w:left="5760" w:hanging="360"/>
      </w:pPr>
    </w:lvl>
    <w:lvl w:ilvl="8" w:tplc="2368A3DE">
      <w:start w:val="1"/>
      <w:numFmt w:val="lowerRoman"/>
      <w:lvlText w:val="%9."/>
      <w:lvlJc w:val="right"/>
      <w:pPr>
        <w:ind w:left="6480" w:hanging="180"/>
      </w:pPr>
    </w:lvl>
  </w:abstractNum>
  <w:abstractNum w:abstractNumId="119" w15:restartNumberingAfterBreak="0">
    <w:nsid w:val="57BD2A10"/>
    <w:multiLevelType w:val="multilevel"/>
    <w:tmpl w:val="DAEAED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B395AAA"/>
    <w:multiLevelType w:val="singleLevel"/>
    <w:tmpl w:val="96D02E8A"/>
    <w:name w:val="Bullet 1"/>
    <w:lvl w:ilvl="0">
      <w:start w:val="1"/>
      <w:numFmt w:val="bullet"/>
      <w:pStyle w:val="Bullet1"/>
      <w:lvlText w:val=""/>
      <w:lvlJc w:val="left"/>
      <w:pPr>
        <w:tabs>
          <w:tab w:val="num" w:pos="1417"/>
        </w:tabs>
        <w:ind w:left="1417" w:hanging="567"/>
      </w:pPr>
      <w:rPr>
        <w:rFonts w:ascii="Symbol" w:hAnsi="Symbol" w:hint="default"/>
      </w:rPr>
    </w:lvl>
  </w:abstractNum>
  <w:abstractNum w:abstractNumId="121" w15:restartNumberingAfterBreak="0">
    <w:nsid w:val="5BCE277F"/>
    <w:multiLevelType w:val="multilevel"/>
    <w:tmpl w:val="87FEB42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C056EE5"/>
    <w:multiLevelType w:val="singleLevel"/>
    <w:tmpl w:val="3378D27C"/>
    <w:name w:val="Bullet 2"/>
    <w:lvl w:ilvl="0">
      <w:start w:val="1"/>
      <w:numFmt w:val="bullet"/>
      <w:pStyle w:val="Bullet2"/>
      <w:lvlText w:val=""/>
      <w:lvlJc w:val="left"/>
      <w:pPr>
        <w:tabs>
          <w:tab w:val="num" w:pos="1984"/>
        </w:tabs>
        <w:ind w:left="1984" w:hanging="567"/>
      </w:pPr>
      <w:rPr>
        <w:rFonts w:ascii="Symbol" w:hAnsi="Symbol" w:hint="default"/>
      </w:rPr>
    </w:lvl>
  </w:abstractNum>
  <w:abstractNum w:abstractNumId="123"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4" w15:restartNumberingAfterBreak="0">
    <w:nsid w:val="5D0A1416"/>
    <w:multiLevelType w:val="multilevel"/>
    <w:tmpl w:val="A2867A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E2E53FD"/>
    <w:multiLevelType w:val="hybridMultilevel"/>
    <w:tmpl w:val="CCCE8B74"/>
    <w:lvl w:ilvl="0" w:tplc="04100011">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5E8C59F9"/>
    <w:multiLevelType w:val="multilevel"/>
    <w:tmpl w:val="D73CCF0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F0D4639"/>
    <w:multiLevelType w:val="hybridMultilevel"/>
    <w:tmpl w:val="7A1CF0CE"/>
    <w:lvl w:ilvl="0" w:tplc="8EBEB170">
      <w:start w:val="1"/>
      <w:numFmt w:val="decimal"/>
      <w:lvlText w:val="%1."/>
      <w:lvlJc w:val="left"/>
      <w:pPr>
        <w:ind w:left="288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28" w15:restartNumberingAfterBreak="0">
    <w:nsid w:val="5F91117A"/>
    <w:multiLevelType w:val="multilevel"/>
    <w:tmpl w:val="399ED48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5FB56B1D"/>
    <w:multiLevelType w:val="multilevel"/>
    <w:tmpl w:val="F65E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FD00279"/>
    <w:multiLevelType w:val="multilevel"/>
    <w:tmpl w:val="034247E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1" w15:restartNumberingAfterBreak="0">
    <w:nsid w:val="5FF63949"/>
    <w:multiLevelType w:val="hybridMultilevel"/>
    <w:tmpl w:val="C94E34EA"/>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2" w15:restartNumberingAfterBreak="0">
    <w:nsid w:val="63A15AD3"/>
    <w:multiLevelType w:val="hybridMultilevel"/>
    <w:tmpl w:val="13087CA4"/>
    <w:lvl w:ilvl="0" w:tplc="BDD06172">
      <w:start w:val="1"/>
      <w:numFmt w:val="bullet"/>
      <w:pStyle w:val="TOC1"/>
      <w:lvlText w:val=""/>
      <w:lvlJc w:val="left"/>
      <w:pPr>
        <w:ind w:left="1440" w:hanging="360"/>
      </w:pPr>
      <w:rPr>
        <w:rFonts w:ascii="Symbol" w:hAnsi="Symbol" w:hint="default"/>
      </w:rPr>
    </w:lvl>
    <w:lvl w:ilvl="1" w:tplc="A8CC45A2">
      <w:start w:val="1"/>
      <w:numFmt w:val="bullet"/>
      <w:lvlText w:val="o"/>
      <w:lvlJc w:val="left"/>
      <w:pPr>
        <w:ind w:left="2160" w:hanging="360"/>
      </w:pPr>
      <w:rPr>
        <w:rFonts w:ascii="Courier New" w:hAnsi="Courier New" w:hint="default"/>
      </w:rPr>
    </w:lvl>
    <w:lvl w:ilvl="2" w:tplc="CA12AE6E">
      <w:start w:val="1"/>
      <w:numFmt w:val="bullet"/>
      <w:lvlText w:val=""/>
      <w:lvlJc w:val="left"/>
      <w:pPr>
        <w:ind w:left="2880" w:hanging="360"/>
      </w:pPr>
      <w:rPr>
        <w:rFonts w:ascii="Wingdings" w:hAnsi="Wingdings" w:hint="default"/>
      </w:rPr>
    </w:lvl>
    <w:lvl w:ilvl="3" w:tplc="44D059CC">
      <w:start w:val="1"/>
      <w:numFmt w:val="bullet"/>
      <w:lvlText w:val=""/>
      <w:lvlJc w:val="left"/>
      <w:pPr>
        <w:ind w:left="3600" w:hanging="360"/>
      </w:pPr>
      <w:rPr>
        <w:rFonts w:ascii="Symbol" w:hAnsi="Symbol" w:hint="default"/>
      </w:rPr>
    </w:lvl>
    <w:lvl w:ilvl="4" w:tplc="7866830A">
      <w:start w:val="1"/>
      <w:numFmt w:val="bullet"/>
      <w:lvlText w:val="o"/>
      <w:lvlJc w:val="left"/>
      <w:pPr>
        <w:ind w:left="4320" w:hanging="360"/>
      </w:pPr>
      <w:rPr>
        <w:rFonts w:ascii="Courier New" w:hAnsi="Courier New" w:hint="default"/>
      </w:rPr>
    </w:lvl>
    <w:lvl w:ilvl="5" w:tplc="AC222650">
      <w:start w:val="1"/>
      <w:numFmt w:val="bullet"/>
      <w:lvlText w:val=""/>
      <w:lvlJc w:val="left"/>
      <w:pPr>
        <w:ind w:left="5040" w:hanging="360"/>
      </w:pPr>
      <w:rPr>
        <w:rFonts w:ascii="Wingdings" w:hAnsi="Wingdings" w:hint="default"/>
      </w:rPr>
    </w:lvl>
    <w:lvl w:ilvl="6" w:tplc="51246CBC">
      <w:start w:val="1"/>
      <w:numFmt w:val="bullet"/>
      <w:lvlText w:val=""/>
      <w:lvlJc w:val="left"/>
      <w:pPr>
        <w:ind w:left="5760" w:hanging="360"/>
      </w:pPr>
      <w:rPr>
        <w:rFonts w:ascii="Symbol" w:hAnsi="Symbol" w:hint="default"/>
      </w:rPr>
    </w:lvl>
    <w:lvl w:ilvl="7" w:tplc="D4FEC508">
      <w:start w:val="1"/>
      <w:numFmt w:val="bullet"/>
      <w:lvlText w:val="o"/>
      <w:lvlJc w:val="left"/>
      <w:pPr>
        <w:ind w:left="6480" w:hanging="360"/>
      </w:pPr>
      <w:rPr>
        <w:rFonts w:ascii="Courier New" w:hAnsi="Courier New" w:hint="default"/>
      </w:rPr>
    </w:lvl>
    <w:lvl w:ilvl="8" w:tplc="7E364E34">
      <w:start w:val="1"/>
      <w:numFmt w:val="bullet"/>
      <w:lvlText w:val=""/>
      <w:lvlJc w:val="left"/>
      <w:pPr>
        <w:ind w:left="7200" w:hanging="360"/>
      </w:pPr>
      <w:rPr>
        <w:rFonts w:ascii="Wingdings" w:hAnsi="Wingdings" w:hint="default"/>
      </w:rPr>
    </w:lvl>
  </w:abstractNum>
  <w:abstractNum w:abstractNumId="133" w15:restartNumberingAfterBreak="0">
    <w:nsid w:val="64166D02"/>
    <w:multiLevelType w:val="multilevel"/>
    <w:tmpl w:val="C99AB46E"/>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4" w15:restartNumberingAfterBreak="0">
    <w:nsid w:val="64E73F92"/>
    <w:multiLevelType w:val="multilevel"/>
    <w:tmpl w:val="1D968A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4EC091A"/>
    <w:multiLevelType w:val="hybridMultilevel"/>
    <w:tmpl w:val="A5402258"/>
    <w:lvl w:ilvl="0" w:tplc="4EC0B3BA">
      <w:numFmt w:val="bullet"/>
      <w:lvlText w:val="-"/>
      <w:lvlJc w:val="left"/>
      <w:pPr>
        <w:ind w:left="360" w:hanging="360"/>
      </w:pPr>
      <w:rPr>
        <w:rFonts w:ascii="Calibri" w:hAnsi="Calibri" w:hint="default"/>
      </w:rPr>
    </w:lvl>
    <w:lvl w:ilvl="1" w:tplc="6FBE6014">
      <w:start w:val="1"/>
      <w:numFmt w:val="bullet"/>
      <w:lvlText w:val="o"/>
      <w:lvlJc w:val="left"/>
      <w:pPr>
        <w:ind w:left="1080" w:hanging="360"/>
      </w:pPr>
      <w:rPr>
        <w:rFonts w:ascii="Courier New" w:hAnsi="Courier New" w:hint="default"/>
      </w:rPr>
    </w:lvl>
    <w:lvl w:ilvl="2" w:tplc="7E2A8F24">
      <w:start w:val="1"/>
      <w:numFmt w:val="bullet"/>
      <w:lvlText w:val=""/>
      <w:lvlJc w:val="left"/>
      <w:pPr>
        <w:ind w:left="1800" w:hanging="360"/>
      </w:pPr>
      <w:rPr>
        <w:rFonts w:ascii="Wingdings" w:hAnsi="Wingdings" w:hint="default"/>
      </w:rPr>
    </w:lvl>
    <w:lvl w:ilvl="3" w:tplc="BDE2245E">
      <w:start w:val="1"/>
      <w:numFmt w:val="bullet"/>
      <w:lvlText w:val=""/>
      <w:lvlJc w:val="left"/>
      <w:pPr>
        <w:ind w:left="2520" w:hanging="360"/>
      </w:pPr>
      <w:rPr>
        <w:rFonts w:ascii="Symbol" w:hAnsi="Symbol" w:hint="default"/>
      </w:rPr>
    </w:lvl>
    <w:lvl w:ilvl="4" w:tplc="72A254BE">
      <w:start w:val="1"/>
      <w:numFmt w:val="bullet"/>
      <w:lvlText w:val="o"/>
      <w:lvlJc w:val="left"/>
      <w:pPr>
        <w:ind w:left="3240" w:hanging="360"/>
      </w:pPr>
      <w:rPr>
        <w:rFonts w:ascii="Courier New" w:hAnsi="Courier New" w:hint="default"/>
      </w:rPr>
    </w:lvl>
    <w:lvl w:ilvl="5" w:tplc="599072B8">
      <w:start w:val="1"/>
      <w:numFmt w:val="bullet"/>
      <w:lvlText w:val=""/>
      <w:lvlJc w:val="left"/>
      <w:pPr>
        <w:ind w:left="3960" w:hanging="360"/>
      </w:pPr>
      <w:rPr>
        <w:rFonts w:ascii="Wingdings" w:hAnsi="Wingdings" w:hint="default"/>
      </w:rPr>
    </w:lvl>
    <w:lvl w:ilvl="6" w:tplc="904C2150">
      <w:start w:val="1"/>
      <w:numFmt w:val="bullet"/>
      <w:lvlText w:val=""/>
      <w:lvlJc w:val="left"/>
      <w:pPr>
        <w:ind w:left="4680" w:hanging="360"/>
      </w:pPr>
      <w:rPr>
        <w:rFonts w:ascii="Symbol" w:hAnsi="Symbol" w:hint="default"/>
      </w:rPr>
    </w:lvl>
    <w:lvl w:ilvl="7" w:tplc="5BD0BB3E">
      <w:start w:val="1"/>
      <w:numFmt w:val="bullet"/>
      <w:lvlText w:val="o"/>
      <w:lvlJc w:val="left"/>
      <w:pPr>
        <w:ind w:left="5400" w:hanging="360"/>
      </w:pPr>
      <w:rPr>
        <w:rFonts w:ascii="Courier New" w:hAnsi="Courier New" w:hint="default"/>
      </w:rPr>
    </w:lvl>
    <w:lvl w:ilvl="8" w:tplc="F0103530">
      <w:start w:val="1"/>
      <w:numFmt w:val="bullet"/>
      <w:lvlText w:val=""/>
      <w:lvlJc w:val="left"/>
      <w:pPr>
        <w:ind w:left="6120" w:hanging="360"/>
      </w:pPr>
      <w:rPr>
        <w:rFonts w:ascii="Wingdings" w:hAnsi="Wingdings" w:hint="default"/>
      </w:rPr>
    </w:lvl>
  </w:abstractNum>
  <w:abstractNum w:abstractNumId="136" w15:restartNumberingAfterBreak="0">
    <w:nsid w:val="65344C90"/>
    <w:multiLevelType w:val="hybridMultilevel"/>
    <w:tmpl w:val="475E3F6E"/>
    <w:lvl w:ilvl="0" w:tplc="1809000F">
      <w:start w:val="1"/>
      <w:numFmt w:val="decimal"/>
      <w:lvlText w:val="%1."/>
      <w:lvlJc w:val="left"/>
      <w:pPr>
        <w:ind w:left="1080" w:hanging="360"/>
      </w:p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137" w15:restartNumberingAfterBreak="0">
    <w:nsid w:val="670D2CB2"/>
    <w:multiLevelType w:val="multilevel"/>
    <w:tmpl w:val="D010AB18"/>
    <w:lvl w:ilvl="0">
      <w:start w:val="8"/>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8" w15:restartNumberingAfterBreak="0">
    <w:nsid w:val="67B856F6"/>
    <w:multiLevelType w:val="singleLevel"/>
    <w:tmpl w:val="0AB28E9C"/>
    <w:name w:val="Tiret 2"/>
    <w:lvl w:ilvl="0">
      <w:start w:val="1"/>
      <w:numFmt w:val="bullet"/>
      <w:pStyle w:val="Tiret2"/>
      <w:lvlText w:val="–"/>
      <w:lvlJc w:val="left"/>
      <w:pPr>
        <w:tabs>
          <w:tab w:val="num" w:pos="1984"/>
        </w:tabs>
        <w:ind w:left="1984" w:hanging="567"/>
      </w:pPr>
    </w:lvl>
  </w:abstractNum>
  <w:abstractNum w:abstractNumId="139" w15:restartNumberingAfterBreak="0">
    <w:nsid w:val="68B5403C"/>
    <w:multiLevelType w:val="hybridMultilevel"/>
    <w:tmpl w:val="029C7FA2"/>
    <w:lvl w:ilvl="0" w:tplc="23C2407A">
      <w:start w:val="2"/>
      <w:numFmt w:val="lowerRoman"/>
      <w:lvlText w:val="%1."/>
      <w:lvlJc w:val="left"/>
      <w:pPr>
        <w:ind w:left="720" w:hanging="72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0" w15:restartNumberingAfterBreak="0">
    <w:nsid w:val="69936A2E"/>
    <w:multiLevelType w:val="hybridMultilevel"/>
    <w:tmpl w:val="7DFCC346"/>
    <w:lvl w:ilvl="0" w:tplc="5380BE8C">
      <w:start w:val="1"/>
      <w:numFmt w:val="lowerRoman"/>
      <w:lvlText w:val="%1)"/>
      <w:lvlJc w:val="righ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41" w15:restartNumberingAfterBreak="0">
    <w:nsid w:val="69C5E854"/>
    <w:multiLevelType w:val="hybridMultilevel"/>
    <w:tmpl w:val="FFFFFFFF"/>
    <w:lvl w:ilvl="0" w:tplc="56E28C82">
      <w:start w:val="1"/>
      <w:numFmt w:val="upperRoman"/>
      <w:lvlText w:val="%1)"/>
      <w:lvlJc w:val="left"/>
      <w:pPr>
        <w:ind w:left="720" w:hanging="360"/>
      </w:pPr>
    </w:lvl>
    <w:lvl w:ilvl="1" w:tplc="B838C29A">
      <w:start w:val="1"/>
      <w:numFmt w:val="lowerLetter"/>
      <w:lvlText w:val="%2."/>
      <w:lvlJc w:val="left"/>
      <w:pPr>
        <w:ind w:left="1440" w:hanging="360"/>
      </w:pPr>
    </w:lvl>
    <w:lvl w:ilvl="2" w:tplc="21AAFD04">
      <w:start w:val="1"/>
      <w:numFmt w:val="lowerRoman"/>
      <w:lvlText w:val="%3."/>
      <w:lvlJc w:val="right"/>
      <w:pPr>
        <w:ind w:left="2160" w:hanging="180"/>
      </w:pPr>
    </w:lvl>
    <w:lvl w:ilvl="3" w:tplc="0B9E31B2">
      <w:start w:val="1"/>
      <w:numFmt w:val="decimal"/>
      <w:lvlText w:val="%4."/>
      <w:lvlJc w:val="left"/>
      <w:pPr>
        <w:ind w:left="2880" w:hanging="360"/>
      </w:pPr>
    </w:lvl>
    <w:lvl w:ilvl="4" w:tplc="E384EABE">
      <w:start w:val="1"/>
      <w:numFmt w:val="lowerLetter"/>
      <w:lvlText w:val="%5."/>
      <w:lvlJc w:val="left"/>
      <w:pPr>
        <w:ind w:left="3600" w:hanging="360"/>
      </w:pPr>
    </w:lvl>
    <w:lvl w:ilvl="5" w:tplc="05503056">
      <w:start w:val="1"/>
      <w:numFmt w:val="lowerRoman"/>
      <w:lvlText w:val="%6."/>
      <w:lvlJc w:val="right"/>
      <w:pPr>
        <w:ind w:left="4320" w:hanging="180"/>
      </w:pPr>
    </w:lvl>
    <w:lvl w:ilvl="6" w:tplc="D96C9CD4">
      <w:start w:val="1"/>
      <w:numFmt w:val="decimal"/>
      <w:lvlText w:val="%7."/>
      <w:lvlJc w:val="left"/>
      <w:pPr>
        <w:ind w:left="5040" w:hanging="360"/>
      </w:pPr>
    </w:lvl>
    <w:lvl w:ilvl="7" w:tplc="ECEEECB8">
      <w:start w:val="1"/>
      <w:numFmt w:val="lowerLetter"/>
      <w:lvlText w:val="%8."/>
      <w:lvlJc w:val="left"/>
      <w:pPr>
        <w:ind w:left="5760" w:hanging="360"/>
      </w:pPr>
    </w:lvl>
    <w:lvl w:ilvl="8" w:tplc="1038AEFC">
      <w:start w:val="1"/>
      <w:numFmt w:val="lowerRoman"/>
      <w:lvlText w:val="%9."/>
      <w:lvlJc w:val="right"/>
      <w:pPr>
        <w:ind w:left="6480" w:hanging="180"/>
      </w:pPr>
    </w:lvl>
  </w:abstractNum>
  <w:abstractNum w:abstractNumId="142" w15:restartNumberingAfterBreak="0">
    <w:nsid w:val="6A587128"/>
    <w:multiLevelType w:val="multilevel"/>
    <w:tmpl w:val="5EBCA84E"/>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A5F1BA5"/>
    <w:multiLevelType w:val="multilevel"/>
    <w:tmpl w:val="5EE02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AFE6E83"/>
    <w:multiLevelType w:val="multilevel"/>
    <w:tmpl w:val="3FDA0544"/>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B0E38AD"/>
    <w:multiLevelType w:val="hybridMultilevel"/>
    <w:tmpl w:val="046E43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6" w15:restartNumberingAfterBreak="0">
    <w:nsid w:val="6C37385B"/>
    <w:multiLevelType w:val="hybridMultilevel"/>
    <w:tmpl w:val="57805CB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7" w15:restartNumberingAfterBreak="0">
    <w:nsid w:val="6C3B6935"/>
    <w:multiLevelType w:val="hybridMultilevel"/>
    <w:tmpl w:val="BB86849A"/>
    <w:lvl w:ilvl="0" w:tplc="18090017">
      <w:start w:val="1"/>
      <w:numFmt w:val="lowerLetter"/>
      <w:lvlText w:val="%1)"/>
      <w:lvlJc w:val="left"/>
      <w:pPr>
        <w:ind w:left="1196" w:hanging="360"/>
      </w:pPr>
    </w:lvl>
    <w:lvl w:ilvl="1" w:tplc="18090019" w:tentative="1">
      <w:start w:val="1"/>
      <w:numFmt w:val="lowerLetter"/>
      <w:lvlText w:val="%2."/>
      <w:lvlJc w:val="left"/>
      <w:pPr>
        <w:ind w:left="1916" w:hanging="360"/>
      </w:pPr>
    </w:lvl>
    <w:lvl w:ilvl="2" w:tplc="1809001B" w:tentative="1">
      <w:start w:val="1"/>
      <w:numFmt w:val="lowerRoman"/>
      <w:lvlText w:val="%3."/>
      <w:lvlJc w:val="right"/>
      <w:pPr>
        <w:ind w:left="2636" w:hanging="180"/>
      </w:pPr>
    </w:lvl>
    <w:lvl w:ilvl="3" w:tplc="1809000F" w:tentative="1">
      <w:start w:val="1"/>
      <w:numFmt w:val="decimal"/>
      <w:lvlText w:val="%4."/>
      <w:lvlJc w:val="left"/>
      <w:pPr>
        <w:ind w:left="3356" w:hanging="360"/>
      </w:pPr>
    </w:lvl>
    <w:lvl w:ilvl="4" w:tplc="18090019" w:tentative="1">
      <w:start w:val="1"/>
      <w:numFmt w:val="lowerLetter"/>
      <w:lvlText w:val="%5."/>
      <w:lvlJc w:val="left"/>
      <w:pPr>
        <w:ind w:left="4076" w:hanging="360"/>
      </w:pPr>
    </w:lvl>
    <w:lvl w:ilvl="5" w:tplc="1809001B" w:tentative="1">
      <w:start w:val="1"/>
      <w:numFmt w:val="lowerRoman"/>
      <w:lvlText w:val="%6."/>
      <w:lvlJc w:val="right"/>
      <w:pPr>
        <w:ind w:left="4796" w:hanging="180"/>
      </w:pPr>
    </w:lvl>
    <w:lvl w:ilvl="6" w:tplc="1809000F" w:tentative="1">
      <w:start w:val="1"/>
      <w:numFmt w:val="decimal"/>
      <w:lvlText w:val="%7."/>
      <w:lvlJc w:val="left"/>
      <w:pPr>
        <w:ind w:left="5516" w:hanging="360"/>
      </w:pPr>
    </w:lvl>
    <w:lvl w:ilvl="7" w:tplc="18090019" w:tentative="1">
      <w:start w:val="1"/>
      <w:numFmt w:val="lowerLetter"/>
      <w:lvlText w:val="%8."/>
      <w:lvlJc w:val="left"/>
      <w:pPr>
        <w:ind w:left="6236" w:hanging="360"/>
      </w:pPr>
    </w:lvl>
    <w:lvl w:ilvl="8" w:tplc="1809001B" w:tentative="1">
      <w:start w:val="1"/>
      <w:numFmt w:val="lowerRoman"/>
      <w:lvlText w:val="%9."/>
      <w:lvlJc w:val="right"/>
      <w:pPr>
        <w:ind w:left="6956" w:hanging="180"/>
      </w:pPr>
    </w:lvl>
  </w:abstractNum>
  <w:abstractNum w:abstractNumId="148" w15:restartNumberingAfterBreak="0">
    <w:nsid w:val="6CED03CC"/>
    <w:multiLevelType w:val="multilevel"/>
    <w:tmpl w:val="B25056D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6DEA7483"/>
    <w:multiLevelType w:val="hybridMultilevel"/>
    <w:tmpl w:val="189A45C8"/>
    <w:lvl w:ilvl="0" w:tplc="DBB8B8C6">
      <w:start w:val="1"/>
      <w:numFmt w:val="bullet"/>
      <w:lvlText w:val=""/>
      <w:lvlJc w:val="left"/>
      <w:pPr>
        <w:ind w:left="720" w:hanging="360"/>
      </w:pPr>
      <w:rPr>
        <w:rFonts w:ascii="Symbol" w:hAnsi="Symbol" w:hint="default"/>
      </w:rPr>
    </w:lvl>
    <w:lvl w:ilvl="1" w:tplc="109EFACA">
      <w:start w:val="1"/>
      <w:numFmt w:val="bullet"/>
      <w:lvlText w:val="o"/>
      <w:lvlJc w:val="left"/>
      <w:pPr>
        <w:ind w:left="1440" w:hanging="360"/>
      </w:pPr>
      <w:rPr>
        <w:rFonts w:ascii="Courier New" w:hAnsi="Courier New" w:hint="default"/>
      </w:rPr>
    </w:lvl>
    <w:lvl w:ilvl="2" w:tplc="C49E924A">
      <w:start w:val="1"/>
      <w:numFmt w:val="bullet"/>
      <w:lvlText w:val=""/>
      <w:lvlJc w:val="left"/>
      <w:pPr>
        <w:ind w:left="2160" w:hanging="360"/>
      </w:pPr>
      <w:rPr>
        <w:rFonts w:ascii="Wingdings" w:hAnsi="Wingdings" w:hint="default"/>
      </w:rPr>
    </w:lvl>
    <w:lvl w:ilvl="3" w:tplc="88B87FA0">
      <w:start w:val="1"/>
      <w:numFmt w:val="bullet"/>
      <w:lvlText w:val=""/>
      <w:lvlJc w:val="left"/>
      <w:pPr>
        <w:ind w:left="2880" w:hanging="360"/>
      </w:pPr>
      <w:rPr>
        <w:rFonts w:ascii="Symbol" w:hAnsi="Symbol" w:hint="default"/>
      </w:rPr>
    </w:lvl>
    <w:lvl w:ilvl="4" w:tplc="8F30CEC4">
      <w:start w:val="1"/>
      <w:numFmt w:val="bullet"/>
      <w:lvlText w:val="o"/>
      <w:lvlJc w:val="left"/>
      <w:pPr>
        <w:ind w:left="3600" w:hanging="360"/>
      </w:pPr>
      <w:rPr>
        <w:rFonts w:ascii="Courier New" w:hAnsi="Courier New" w:hint="default"/>
      </w:rPr>
    </w:lvl>
    <w:lvl w:ilvl="5" w:tplc="D3921536">
      <w:start w:val="1"/>
      <w:numFmt w:val="bullet"/>
      <w:lvlText w:val=""/>
      <w:lvlJc w:val="left"/>
      <w:pPr>
        <w:ind w:left="4320" w:hanging="360"/>
      </w:pPr>
      <w:rPr>
        <w:rFonts w:ascii="Wingdings" w:hAnsi="Wingdings" w:hint="default"/>
      </w:rPr>
    </w:lvl>
    <w:lvl w:ilvl="6" w:tplc="20409612">
      <w:start w:val="1"/>
      <w:numFmt w:val="bullet"/>
      <w:lvlText w:val=""/>
      <w:lvlJc w:val="left"/>
      <w:pPr>
        <w:ind w:left="5040" w:hanging="360"/>
      </w:pPr>
      <w:rPr>
        <w:rFonts w:ascii="Symbol" w:hAnsi="Symbol" w:hint="default"/>
      </w:rPr>
    </w:lvl>
    <w:lvl w:ilvl="7" w:tplc="A10E3872">
      <w:start w:val="1"/>
      <w:numFmt w:val="bullet"/>
      <w:lvlText w:val="o"/>
      <w:lvlJc w:val="left"/>
      <w:pPr>
        <w:ind w:left="5760" w:hanging="360"/>
      </w:pPr>
      <w:rPr>
        <w:rFonts w:ascii="Courier New" w:hAnsi="Courier New" w:hint="default"/>
      </w:rPr>
    </w:lvl>
    <w:lvl w:ilvl="8" w:tplc="CC987EB4">
      <w:start w:val="1"/>
      <w:numFmt w:val="bullet"/>
      <w:lvlText w:val=""/>
      <w:lvlJc w:val="left"/>
      <w:pPr>
        <w:ind w:left="6480" w:hanging="360"/>
      </w:pPr>
      <w:rPr>
        <w:rFonts w:ascii="Wingdings" w:hAnsi="Wingdings" w:hint="default"/>
      </w:rPr>
    </w:lvl>
  </w:abstractNum>
  <w:abstractNum w:abstractNumId="150" w15:restartNumberingAfterBreak="0">
    <w:nsid w:val="6DED619B"/>
    <w:multiLevelType w:val="hybridMultilevel"/>
    <w:tmpl w:val="FD30E5B0"/>
    <w:lvl w:ilvl="0" w:tplc="ADE0F75A">
      <w:start w:val="1"/>
      <w:numFmt w:val="lowerRoman"/>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51" w15:restartNumberingAfterBreak="0">
    <w:nsid w:val="6E103457"/>
    <w:multiLevelType w:val="multilevel"/>
    <w:tmpl w:val="EF74D13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E5DD6B0"/>
    <w:multiLevelType w:val="hybridMultilevel"/>
    <w:tmpl w:val="FFFFFFFF"/>
    <w:lvl w:ilvl="0" w:tplc="15B0542E">
      <w:start w:val="1"/>
      <w:numFmt w:val="decimal"/>
      <w:lvlText w:val="%1."/>
      <w:lvlJc w:val="left"/>
      <w:pPr>
        <w:ind w:left="720" w:hanging="360"/>
      </w:pPr>
    </w:lvl>
    <w:lvl w:ilvl="1" w:tplc="CB52A0A0">
      <w:start w:val="1"/>
      <w:numFmt w:val="lowerLetter"/>
      <w:lvlText w:val="%2."/>
      <w:lvlJc w:val="left"/>
      <w:pPr>
        <w:ind w:left="1440" w:hanging="360"/>
      </w:pPr>
    </w:lvl>
    <w:lvl w:ilvl="2" w:tplc="A9E64DAA">
      <w:start w:val="1"/>
      <w:numFmt w:val="lowerRoman"/>
      <w:lvlText w:val="%3."/>
      <w:lvlJc w:val="right"/>
      <w:pPr>
        <w:ind w:left="2160" w:hanging="180"/>
      </w:pPr>
    </w:lvl>
    <w:lvl w:ilvl="3" w:tplc="E714B1C8">
      <w:start w:val="1"/>
      <w:numFmt w:val="decimal"/>
      <w:lvlText w:val="%4."/>
      <w:lvlJc w:val="left"/>
      <w:pPr>
        <w:ind w:left="2880" w:hanging="360"/>
      </w:pPr>
    </w:lvl>
    <w:lvl w:ilvl="4" w:tplc="B6707A26">
      <w:start w:val="1"/>
      <w:numFmt w:val="lowerLetter"/>
      <w:lvlText w:val="%5."/>
      <w:lvlJc w:val="left"/>
      <w:pPr>
        <w:ind w:left="3600" w:hanging="360"/>
      </w:pPr>
    </w:lvl>
    <w:lvl w:ilvl="5" w:tplc="650263B6">
      <w:start w:val="1"/>
      <w:numFmt w:val="lowerRoman"/>
      <w:lvlText w:val="%6."/>
      <w:lvlJc w:val="right"/>
      <w:pPr>
        <w:ind w:left="4320" w:hanging="180"/>
      </w:pPr>
    </w:lvl>
    <w:lvl w:ilvl="6" w:tplc="BD96DB34">
      <w:start w:val="1"/>
      <w:numFmt w:val="decimal"/>
      <w:lvlText w:val="%7."/>
      <w:lvlJc w:val="left"/>
      <w:pPr>
        <w:ind w:left="5040" w:hanging="360"/>
      </w:pPr>
    </w:lvl>
    <w:lvl w:ilvl="7" w:tplc="FF0C3D26">
      <w:start w:val="1"/>
      <w:numFmt w:val="lowerLetter"/>
      <w:lvlText w:val="%8."/>
      <w:lvlJc w:val="left"/>
      <w:pPr>
        <w:ind w:left="5760" w:hanging="360"/>
      </w:pPr>
    </w:lvl>
    <w:lvl w:ilvl="8" w:tplc="31B2E57E">
      <w:start w:val="1"/>
      <w:numFmt w:val="lowerRoman"/>
      <w:lvlText w:val="%9."/>
      <w:lvlJc w:val="right"/>
      <w:pPr>
        <w:ind w:left="6480" w:hanging="180"/>
      </w:pPr>
    </w:lvl>
  </w:abstractNum>
  <w:abstractNum w:abstractNumId="153" w15:restartNumberingAfterBreak="0">
    <w:nsid w:val="6ED65A49"/>
    <w:multiLevelType w:val="hybridMultilevel"/>
    <w:tmpl w:val="0182460E"/>
    <w:lvl w:ilvl="0" w:tplc="9820B010">
      <w:start w:val="1"/>
      <w:numFmt w:val="bullet"/>
      <w:lvlText w:val="o"/>
      <w:lvlJc w:val="left"/>
      <w:pPr>
        <w:ind w:left="720" w:hanging="360"/>
      </w:pPr>
      <w:rPr>
        <w:rFonts w:ascii="Courier New" w:hAnsi="Courier New" w:hint="default"/>
      </w:rPr>
    </w:lvl>
    <w:lvl w:ilvl="1" w:tplc="FDFE7DAA">
      <w:start w:val="1"/>
      <w:numFmt w:val="lowerLetter"/>
      <w:lvlText w:val="%2."/>
      <w:lvlJc w:val="left"/>
      <w:pPr>
        <w:ind w:left="1440" w:hanging="360"/>
      </w:pPr>
    </w:lvl>
    <w:lvl w:ilvl="2" w:tplc="484612EE">
      <w:start w:val="1"/>
      <w:numFmt w:val="lowerRoman"/>
      <w:lvlText w:val="%3."/>
      <w:lvlJc w:val="right"/>
      <w:pPr>
        <w:ind w:left="2160" w:hanging="180"/>
      </w:pPr>
    </w:lvl>
    <w:lvl w:ilvl="3" w:tplc="A802F04C">
      <w:start w:val="1"/>
      <w:numFmt w:val="decimal"/>
      <w:lvlText w:val="%4."/>
      <w:lvlJc w:val="left"/>
      <w:pPr>
        <w:ind w:left="2880" w:hanging="360"/>
      </w:pPr>
    </w:lvl>
    <w:lvl w:ilvl="4" w:tplc="4688283E">
      <w:start w:val="1"/>
      <w:numFmt w:val="lowerLetter"/>
      <w:lvlText w:val="%5."/>
      <w:lvlJc w:val="left"/>
      <w:pPr>
        <w:ind w:left="3600" w:hanging="360"/>
      </w:pPr>
    </w:lvl>
    <w:lvl w:ilvl="5" w:tplc="37029466">
      <w:start w:val="1"/>
      <w:numFmt w:val="lowerRoman"/>
      <w:lvlText w:val="%6."/>
      <w:lvlJc w:val="right"/>
      <w:pPr>
        <w:ind w:left="4320" w:hanging="180"/>
      </w:pPr>
    </w:lvl>
    <w:lvl w:ilvl="6" w:tplc="8F8EA9BE">
      <w:start w:val="1"/>
      <w:numFmt w:val="decimal"/>
      <w:lvlText w:val="%7."/>
      <w:lvlJc w:val="left"/>
      <w:pPr>
        <w:ind w:left="5040" w:hanging="360"/>
      </w:pPr>
    </w:lvl>
    <w:lvl w:ilvl="7" w:tplc="49884062">
      <w:start w:val="1"/>
      <w:numFmt w:val="lowerLetter"/>
      <w:lvlText w:val="%8."/>
      <w:lvlJc w:val="left"/>
      <w:pPr>
        <w:ind w:left="5760" w:hanging="360"/>
      </w:pPr>
    </w:lvl>
    <w:lvl w:ilvl="8" w:tplc="4E1E3F68">
      <w:start w:val="1"/>
      <w:numFmt w:val="lowerRoman"/>
      <w:lvlText w:val="%9."/>
      <w:lvlJc w:val="right"/>
      <w:pPr>
        <w:ind w:left="6480" w:hanging="180"/>
      </w:pPr>
    </w:lvl>
  </w:abstractNum>
  <w:abstractNum w:abstractNumId="154" w15:restartNumberingAfterBreak="0">
    <w:nsid w:val="6FF14727"/>
    <w:multiLevelType w:val="multilevel"/>
    <w:tmpl w:val="A8F8C3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00D7AC7"/>
    <w:multiLevelType w:val="multilevel"/>
    <w:tmpl w:val="E9C600A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6" w15:restartNumberingAfterBreak="0">
    <w:nsid w:val="70257864"/>
    <w:multiLevelType w:val="hybridMultilevel"/>
    <w:tmpl w:val="B2D04A18"/>
    <w:lvl w:ilvl="0" w:tplc="56E64AA8">
      <w:start w:val="1"/>
      <w:numFmt w:val="lowerRoman"/>
      <w:lvlText w:val="%1)"/>
      <w:lvlJc w:val="left"/>
      <w:pPr>
        <w:ind w:left="720" w:hanging="360"/>
      </w:pPr>
    </w:lvl>
    <w:lvl w:ilvl="1" w:tplc="84DEC14A">
      <w:start w:val="1"/>
      <w:numFmt w:val="bullet"/>
      <w:lvlText w:val="o"/>
      <w:lvlJc w:val="left"/>
      <w:pPr>
        <w:ind w:left="1440" w:hanging="360"/>
      </w:pPr>
      <w:rPr>
        <w:rFonts w:ascii="Courier New" w:hAnsi="Courier New" w:hint="default"/>
      </w:rPr>
    </w:lvl>
    <w:lvl w:ilvl="2" w:tplc="ED429472">
      <w:start w:val="1"/>
      <w:numFmt w:val="bullet"/>
      <w:lvlText w:val=""/>
      <w:lvlJc w:val="left"/>
      <w:pPr>
        <w:ind w:left="2160" w:hanging="360"/>
      </w:pPr>
      <w:rPr>
        <w:rFonts w:ascii="Wingdings" w:hAnsi="Wingdings" w:hint="default"/>
      </w:rPr>
    </w:lvl>
    <w:lvl w:ilvl="3" w:tplc="546C0E6C">
      <w:start w:val="1"/>
      <w:numFmt w:val="bullet"/>
      <w:lvlText w:val=""/>
      <w:lvlJc w:val="left"/>
      <w:pPr>
        <w:ind w:left="2880" w:hanging="360"/>
      </w:pPr>
      <w:rPr>
        <w:rFonts w:ascii="Symbol" w:hAnsi="Symbol" w:hint="default"/>
      </w:rPr>
    </w:lvl>
    <w:lvl w:ilvl="4" w:tplc="A1AE18D2">
      <w:start w:val="1"/>
      <w:numFmt w:val="bullet"/>
      <w:lvlText w:val="o"/>
      <w:lvlJc w:val="left"/>
      <w:pPr>
        <w:ind w:left="3600" w:hanging="360"/>
      </w:pPr>
      <w:rPr>
        <w:rFonts w:ascii="Courier New" w:hAnsi="Courier New" w:hint="default"/>
      </w:rPr>
    </w:lvl>
    <w:lvl w:ilvl="5" w:tplc="7F126766">
      <w:start w:val="1"/>
      <w:numFmt w:val="bullet"/>
      <w:lvlText w:val=""/>
      <w:lvlJc w:val="left"/>
      <w:pPr>
        <w:ind w:left="4320" w:hanging="360"/>
      </w:pPr>
      <w:rPr>
        <w:rFonts w:ascii="Wingdings" w:hAnsi="Wingdings" w:hint="default"/>
      </w:rPr>
    </w:lvl>
    <w:lvl w:ilvl="6" w:tplc="1A72FDB0">
      <w:start w:val="1"/>
      <w:numFmt w:val="bullet"/>
      <w:lvlText w:val=""/>
      <w:lvlJc w:val="left"/>
      <w:pPr>
        <w:ind w:left="5040" w:hanging="360"/>
      </w:pPr>
      <w:rPr>
        <w:rFonts w:ascii="Symbol" w:hAnsi="Symbol" w:hint="default"/>
      </w:rPr>
    </w:lvl>
    <w:lvl w:ilvl="7" w:tplc="CEFC3846">
      <w:start w:val="1"/>
      <w:numFmt w:val="bullet"/>
      <w:lvlText w:val="o"/>
      <w:lvlJc w:val="left"/>
      <w:pPr>
        <w:ind w:left="5760" w:hanging="360"/>
      </w:pPr>
      <w:rPr>
        <w:rFonts w:ascii="Courier New" w:hAnsi="Courier New" w:hint="default"/>
      </w:rPr>
    </w:lvl>
    <w:lvl w:ilvl="8" w:tplc="63B6A13C">
      <w:start w:val="1"/>
      <w:numFmt w:val="bullet"/>
      <w:lvlText w:val=""/>
      <w:lvlJc w:val="left"/>
      <w:pPr>
        <w:ind w:left="6480" w:hanging="360"/>
      </w:pPr>
      <w:rPr>
        <w:rFonts w:ascii="Wingdings" w:hAnsi="Wingdings" w:hint="default"/>
      </w:rPr>
    </w:lvl>
  </w:abstractNum>
  <w:abstractNum w:abstractNumId="157" w15:restartNumberingAfterBreak="0">
    <w:nsid w:val="7027604A"/>
    <w:multiLevelType w:val="hybridMultilevel"/>
    <w:tmpl w:val="6894551A"/>
    <w:lvl w:ilvl="0" w:tplc="60C4BCA6">
      <w:start w:val="1"/>
      <w:numFmt w:val="lowerRoman"/>
      <w:lvlText w:val="%1."/>
      <w:lvlJc w:val="right"/>
      <w:pPr>
        <w:ind w:left="720" w:hanging="360"/>
      </w:pPr>
    </w:lvl>
    <w:lvl w:ilvl="1" w:tplc="D0DE7B0A">
      <w:start w:val="1"/>
      <w:numFmt w:val="lowerLetter"/>
      <w:lvlText w:val="%2."/>
      <w:lvlJc w:val="left"/>
      <w:pPr>
        <w:ind w:left="1440" w:hanging="360"/>
      </w:pPr>
    </w:lvl>
    <w:lvl w:ilvl="2" w:tplc="8A403568">
      <w:start w:val="1"/>
      <w:numFmt w:val="lowerRoman"/>
      <w:lvlText w:val="%3."/>
      <w:lvlJc w:val="right"/>
      <w:pPr>
        <w:ind w:left="2160" w:hanging="180"/>
      </w:pPr>
    </w:lvl>
    <w:lvl w:ilvl="3" w:tplc="4AD2D12C">
      <w:start w:val="1"/>
      <w:numFmt w:val="decimal"/>
      <w:lvlText w:val="%4."/>
      <w:lvlJc w:val="left"/>
      <w:pPr>
        <w:ind w:left="2880" w:hanging="360"/>
      </w:pPr>
    </w:lvl>
    <w:lvl w:ilvl="4" w:tplc="184466CE">
      <w:start w:val="1"/>
      <w:numFmt w:val="lowerLetter"/>
      <w:lvlText w:val="%5."/>
      <w:lvlJc w:val="left"/>
      <w:pPr>
        <w:ind w:left="3600" w:hanging="360"/>
      </w:pPr>
    </w:lvl>
    <w:lvl w:ilvl="5" w:tplc="4CE697FC">
      <w:start w:val="1"/>
      <w:numFmt w:val="lowerRoman"/>
      <w:lvlText w:val="%6."/>
      <w:lvlJc w:val="right"/>
      <w:pPr>
        <w:ind w:left="4320" w:hanging="180"/>
      </w:pPr>
    </w:lvl>
    <w:lvl w:ilvl="6" w:tplc="107CB322">
      <w:start w:val="1"/>
      <w:numFmt w:val="decimal"/>
      <w:lvlText w:val="%7."/>
      <w:lvlJc w:val="left"/>
      <w:pPr>
        <w:ind w:left="5040" w:hanging="360"/>
      </w:pPr>
    </w:lvl>
    <w:lvl w:ilvl="7" w:tplc="D5F49DFE">
      <w:start w:val="1"/>
      <w:numFmt w:val="lowerLetter"/>
      <w:lvlText w:val="%8."/>
      <w:lvlJc w:val="left"/>
      <w:pPr>
        <w:ind w:left="5760" w:hanging="360"/>
      </w:pPr>
    </w:lvl>
    <w:lvl w:ilvl="8" w:tplc="C4E07C50">
      <w:start w:val="1"/>
      <w:numFmt w:val="lowerRoman"/>
      <w:lvlText w:val="%9."/>
      <w:lvlJc w:val="right"/>
      <w:pPr>
        <w:ind w:left="6480" w:hanging="180"/>
      </w:pPr>
    </w:lvl>
  </w:abstractNum>
  <w:abstractNum w:abstractNumId="158" w15:restartNumberingAfterBreak="0">
    <w:nsid w:val="70500DE9"/>
    <w:multiLevelType w:val="hybridMultilevel"/>
    <w:tmpl w:val="C332FCB4"/>
    <w:lvl w:ilvl="0" w:tplc="7AACA2A8">
      <w:start w:val="1"/>
      <w:numFmt w:val="lowerRoman"/>
      <w:lvlText w:val="%1)"/>
      <w:lvlJc w:val="left"/>
      <w:pPr>
        <w:ind w:left="1080" w:hanging="360"/>
      </w:pPr>
    </w:lvl>
    <w:lvl w:ilvl="1" w:tplc="FFFFFFFF">
      <w:start w:val="1"/>
      <w:numFmt w:val="lowerRoman"/>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Roman"/>
      <w:lvlText w:val="%5."/>
      <w:lvlJc w:val="righ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59" w15:restartNumberingAfterBreak="0">
    <w:nsid w:val="70EC6B5A"/>
    <w:multiLevelType w:val="multilevel"/>
    <w:tmpl w:val="74184A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0" w15:restartNumberingAfterBreak="0">
    <w:nsid w:val="7147794F"/>
    <w:multiLevelType w:val="multilevel"/>
    <w:tmpl w:val="5BFC6C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1" w15:restartNumberingAfterBreak="0">
    <w:nsid w:val="726E3DB0"/>
    <w:multiLevelType w:val="hybridMultilevel"/>
    <w:tmpl w:val="A7B0B03C"/>
    <w:lvl w:ilvl="0" w:tplc="2772B242">
      <w:start w:val="1"/>
      <w:numFmt w:val="bullet"/>
      <w:lvlText w:val="-"/>
      <w:lvlJc w:val="left"/>
      <w:pPr>
        <w:ind w:left="720" w:hanging="360"/>
      </w:pPr>
      <w:rPr>
        <w:rFonts w:ascii="Times New Roman" w:hAnsi="Times New Roman" w:hint="default"/>
      </w:rPr>
    </w:lvl>
    <w:lvl w:ilvl="1" w:tplc="2C5C2814">
      <w:start w:val="1"/>
      <w:numFmt w:val="bullet"/>
      <w:lvlText w:val="o"/>
      <w:lvlJc w:val="left"/>
      <w:pPr>
        <w:ind w:left="1440" w:hanging="360"/>
      </w:pPr>
      <w:rPr>
        <w:rFonts w:ascii="Courier New" w:hAnsi="Courier New" w:hint="default"/>
      </w:rPr>
    </w:lvl>
    <w:lvl w:ilvl="2" w:tplc="EF3A4B28">
      <w:start w:val="1"/>
      <w:numFmt w:val="bullet"/>
      <w:lvlText w:val=""/>
      <w:lvlJc w:val="left"/>
      <w:pPr>
        <w:ind w:left="2160" w:hanging="360"/>
      </w:pPr>
      <w:rPr>
        <w:rFonts w:ascii="Wingdings" w:hAnsi="Wingdings" w:hint="default"/>
      </w:rPr>
    </w:lvl>
    <w:lvl w:ilvl="3" w:tplc="942CFA6A">
      <w:start w:val="1"/>
      <w:numFmt w:val="bullet"/>
      <w:lvlText w:val=""/>
      <w:lvlJc w:val="left"/>
      <w:pPr>
        <w:ind w:left="2880" w:hanging="360"/>
      </w:pPr>
      <w:rPr>
        <w:rFonts w:ascii="Symbol" w:hAnsi="Symbol" w:hint="default"/>
      </w:rPr>
    </w:lvl>
    <w:lvl w:ilvl="4" w:tplc="5D54CC84">
      <w:start w:val="1"/>
      <w:numFmt w:val="bullet"/>
      <w:lvlText w:val="o"/>
      <w:lvlJc w:val="left"/>
      <w:pPr>
        <w:ind w:left="3600" w:hanging="360"/>
      </w:pPr>
      <w:rPr>
        <w:rFonts w:ascii="Courier New" w:hAnsi="Courier New" w:hint="default"/>
      </w:rPr>
    </w:lvl>
    <w:lvl w:ilvl="5" w:tplc="95C8C3A0">
      <w:start w:val="1"/>
      <w:numFmt w:val="bullet"/>
      <w:lvlText w:val=""/>
      <w:lvlJc w:val="left"/>
      <w:pPr>
        <w:ind w:left="4320" w:hanging="360"/>
      </w:pPr>
      <w:rPr>
        <w:rFonts w:ascii="Wingdings" w:hAnsi="Wingdings" w:hint="default"/>
      </w:rPr>
    </w:lvl>
    <w:lvl w:ilvl="6" w:tplc="6A747202">
      <w:start w:val="1"/>
      <w:numFmt w:val="bullet"/>
      <w:lvlText w:val=""/>
      <w:lvlJc w:val="left"/>
      <w:pPr>
        <w:ind w:left="5040" w:hanging="360"/>
      </w:pPr>
      <w:rPr>
        <w:rFonts w:ascii="Symbol" w:hAnsi="Symbol" w:hint="default"/>
      </w:rPr>
    </w:lvl>
    <w:lvl w:ilvl="7" w:tplc="57FE375A">
      <w:start w:val="1"/>
      <w:numFmt w:val="bullet"/>
      <w:lvlText w:val="o"/>
      <w:lvlJc w:val="left"/>
      <w:pPr>
        <w:ind w:left="5760" w:hanging="360"/>
      </w:pPr>
      <w:rPr>
        <w:rFonts w:ascii="Courier New" w:hAnsi="Courier New" w:hint="default"/>
      </w:rPr>
    </w:lvl>
    <w:lvl w:ilvl="8" w:tplc="D9FAF818">
      <w:start w:val="1"/>
      <w:numFmt w:val="bullet"/>
      <w:lvlText w:val=""/>
      <w:lvlJc w:val="left"/>
      <w:pPr>
        <w:ind w:left="6480" w:hanging="360"/>
      </w:pPr>
      <w:rPr>
        <w:rFonts w:ascii="Wingdings" w:hAnsi="Wingdings" w:hint="default"/>
      </w:rPr>
    </w:lvl>
  </w:abstractNum>
  <w:abstractNum w:abstractNumId="162" w15:restartNumberingAfterBreak="0">
    <w:nsid w:val="73C1CF8D"/>
    <w:multiLevelType w:val="hybridMultilevel"/>
    <w:tmpl w:val="64CC4E1E"/>
    <w:lvl w:ilvl="0" w:tplc="52261034">
      <w:start w:val="1"/>
      <w:numFmt w:val="decimal"/>
      <w:lvlText w:val="%1."/>
      <w:lvlJc w:val="left"/>
      <w:pPr>
        <w:ind w:left="720" w:hanging="360"/>
      </w:pPr>
      <w:rPr>
        <w:rFonts w:asciiTheme="minorHAnsi" w:eastAsiaTheme="minorEastAsia" w:hAnsiTheme="minorHAnsi" w:cstheme="minorBidi"/>
      </w:rPr>
    </w:lvl>
    <w:lvl w:ilvl="1" w:tplc="FBEE5E8E">
      <w:start w:val="1"/>
      <w:numFmt w:val="lowerLetter"/>
      <w:lvlText w:val="%2."/>
      <w:lvlJc w:val="left"/>
      <w:pPr>
        <w:ind w:left="1440" w:hanging="360"/>
      </w:pPr>
    </w:lvl>
    <w:lvl w:ilvl="2" w:tplc="0CC07B38">
      <w:start w:val="1"/>
      <w:numFmt w:val="lowerRoman"/>
      <w:lvlText w:val="%3."/>
      <w:lvlJc w:val="right"/>
      <w:pPr>
        <w:ind w:left="2160" w:hanging="180"/>
      </w:pPr>
    </w:lvl>
    <w:lvl w:ilvl="3" w:tplc="8D1E583A">
      <w:start w:val="1"/>
      <w:numFmt w:val="decimal"/>
      <w:lvlText w:val="%4."/>
      <w:lvlJc w:val="left"/>
      <w:pPr>
        <w:ind w:left="2880" w:hanging="360"/>
      </w:pPr>
    </w:lvl>
    <w:lvl w:ilvl="4" w:tplc="112C34FC">
      <w:start w:val="1"/>
      <w:numFmt w:val="lowerLetter"/>
      <w:lvlText w:val="%5."/>
      <w:lvlJc w:val="left"/>
      <w:pPr>
        <w:ind w:left="3600" w:hanging="360"/>
      </w:pPr>
    </w:lvl>
    <w:lvl w:ilvl="5" w:tplc="129C42EC">
      <w:start w:val="1"/>
      <w:numFmt w:val="lowerRoman"/>
      <w:lvlText w:val="%6."/>
      <w:lvlJc w:val="right"/>
      <w:pPr>
        <w:ind w:left="4320" w:hanging="180"/>
      </w:pPr>
    </w:lvl>
    <w:lvl w:ilvl="6" w:tplc="CCECFC04">
      <w:start w:val="1"/>
      <w:numFmt w:val="decimal"/>
      <w:lvlText w:val="%7."/>
      <w:lvlJc w:val="left"/>
      <w:pPr>
        <w:ind w:left="5040" w:hanging="360"/>
      </w:pPr>
    </w:lvl>
    <w:lvl w:ilvl="7" w:tplc="E0CC8CB6">
      <w:start w:val="1"/>
      <w:numFmt w:val="lowerLetter"/>
      <w:lvlText w:val="%8."/>
      <w:lvlJc w:val="left"/>
      <w:pPr>
        <w:ind w:left="5760" w:hanging="360"/>
      </w:pPr>
    </w:lvl>
    <w:lvl w:ilvl="8" w:tplc="CB74BC48">
      <w:start w:val="1"/>
      <w:numFmt w:val="lowerRoman"/>
      <w:lvlText w:val="%9."/>
      <w:lvlJc w:val="right"/>
      <w:pPr>
        <w:ind w:left="6480" w:hanging="180"/>
      </w:pPr>
    </w:lvl>
  </w:abstractNum>
  <w:abstractNum w:abstractNumId="163" w15:restartNumberingAfterBreak="0">
    <w:nsid w:val="749962A2"/>
    <w:multiLevelType w:val="multilevel"/>
    <w:tmpl w:val="2A64BEB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4DB51AE"/>
    <w:multiLevelType w:val="multilevel"/>
    <w:tmpl w:val="3D8EE4A0"/>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75B42F6"/>
    <w:multiLevelType w:val="multilevel"/>
    <w:tmpl w:val="4108276A"/>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7B4096C"/>
    <w:multiLevelType w:val="multilevel"/>
    <w:tmpl w:val="3AAC5D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8035C2B"/>
    <w:multiLevelType w:val="multilevel"/>
    <w:tmpl w:val="8DD0E414"/>
    <w:lvl w:ilvl="0">
      <w:start w:val="1"/>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8" w15:restartNumberingAfterBreak="0">
    <w:nsid w:val="78F52CEA"/>
    <w:multiLevelType w:val="multilevel"/>
    <w:tmpl w:val="B0AE74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9" w15:restartNumberingAfterBreak="0">
    <w:nsid w:val="7A433833"/>
    <w:multiLevelType w:val="multilevel"/>
    <w:tmpl w:val="07861A58"/>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A7B1B60"/>
    <w:multiLevelType w:val="multilevel"/>
    <w:tmpl w:val="171A81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7BAF443A"/>
    <w:multiLevelType w:val="multilevel"/>
    <w:tmpl w:val="50D0A7EE"/>
    <w:lvl w:ilvl="0">
      <w:start w:val="2"/>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2" w15:restartNumberingAfterBreak="0">
    <w:nsid w:val="7CC32008"/>
    <w:multiLevelType w:val="multilevel"/>
    <w:tmpl w:val="C504C8D4"/>
    <w:lvl w:ilvl="0">
      <w:start w:val="3"/>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3" w15:restartNumberingAfterBreak="0">
    <w:nsid w:val="7D074BBF"/>
    <w:multiLevelType w:val="hybridMultilevel"/>
    <w:tmpl w:val="2D7ECAD6"/>
    <w:lvl w:ilvl="0" w:tplc="0082BFDE">
      <w:numFmt w:val="bullet"/>
      <w:lvlText w:val="-"/>
      <w:lvlJc w:val="left"/>
      <w:pPr>
        <w:ind w:left="360" w:hanging="360"/>
      </w:pPr>
      <w:rPr>
        <w:rFonts w:ascii="Calibri" w:eastAsiaTheme="minorHAnsi" w:hAnsi="Calibri"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4" w15:restartNumberingAfterBreak="0">
    <w:nsid w:val="7DD80C13"/>
    <w:multiLevelType w:val="multilevel"/>
    <w:tmpl w:val="ACC0A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E305806"/>
    <w:multiLevelType w:val="multilevel"/>
    <w:tmpl w:val="FC8870C2"/>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7E4B4F6F"/>
    <w:multiLevelType w:val="multilevel"/>
    <w:tmpl w:val="2786CA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ED343C7"/>
    <w:multiLevelType w:val="multilevel"/>
    <w:tmpl w:val="D930C450"/>
    <w:lvl w:ilvl="0">
      <w:start w:val="7"/>
      <w:numFmt w:val="lowerRoman"/>
      <w:lvlText w:val="%1."/>
      <w:lvlJc w:val="right"/>
      <w:pPr>
        <w:tabs>
          <w:tab w:val="num" w:pos="720"/>
        </w:tabs>
        <w:ind w:left="720" w:hanging="360"/>
      </w:pPr>
      <w:rPr>
        <w:color w:val="006600"/>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8" w15:restartNumberingAfterBreak="0">
    <w:nsid w:val="7FBA5B10"/>
    <w:multiLevelType w:val="hybridMultilevel"/>
    <w:tmpl w:val="9D6EFCA6"/>
    <w:lvl w:ilvl="0" w:tplc="AF74AC66">
      <w:start w:val="1"/>
      <w:numFmt w:val="bullet"/>
      <w:lvlText w:val="-"/>
      <w:lvlJc w:val="left"/>
      <w:pPr>
        <w:ind w:left="360" w:hanging="360"/>
      </w:pPr>
      <w:rPr>
        <w:rFonts w:ascii="Times New Roman" w:hAnsi="Times New Roman" w:cs="Times New Roman"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9" w15:restartNumberingAfterBreak="0">
    <w:nsid w:val="7FDB5525"/>
    <w:multiLevelType w:val="multilevel"/>
    <w:tmpl w:val="0088D46C"/>
    <w:lvl w:ilvl="0">
      <w:start w:val="1"/>
      <w:numFmt w:val="bullet"/>
      <w:lvlText w:val=""/>
      <w:lvlJc w:val="left"/>
      <w:pPr>
        <w:tabs>
          <w:tab w:val="num" w:pos="720"/>
        </w:tabs>
        <w:ind w:left="720" w:hanging="360"/>
      </w:pPr>
      <w:rPr>
        <w:rFonts w:ascii="Symbol" w:hAnsi="Symbol" w:hint="default"/>
        <w:color w:val="0066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2"/>
  </w:num>
  <w:num w:numId="2">
    <w:abstractNumId w:val="4"/>
  </w:num>
  <w:num w:numId="3">
    <w:abstractNumId w:val="3"/>
    <w:lvlOverride w:ilvl="0">
      <w:startOverride w:val="1"/>
    </w:lvlOverride>
  </w:num>
  <w:num w:numId="4">
    <w:abstractNumId w:val="2"/>
    <w:lvlOverride w:ilvl="0">
      <w:startOverride w:val="1"/>
    </w:lvlOverride>
  </w:num>
  <w:num w:numId="5">
    <w:abstractNumId w:val="1"/>
    <w:lvlOverride w:ilvl="0">
      <w:startOverride w:val="1"/>
    </w:lvlOverride>
  </w:num>
  <w:num w:numId="6">
    <w:abstractNumId w:val="0"/>
    <w:lvlOverride w:ilvl="0">
      <w:startOverride w:val="1"/>
    </w:lvlOverride>
  </w:num>
  <w:num w:numId="7">
    <w:abstractNumId w:val="123"/>
  </w:num>
  <w:num w:numId="8">
    <w:abstractNumId w:val="83"/>
  </w:num>
  <w:num w:numId="9">
    <w:abstractNumId w:val="138"/>
  </w:num>
  <w:num w:numId="10">
    <w:abstractNumId w:val="57"/>
  </w:num>
  <w:num w:numId="11">
    <w:abstractNumId w:val="85"/>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0"/>
  </w:num>
  <w:num w:numId="15">
    <w:abstractNumId w:val="120"/>
  </w:num>
  <w:num w:numId="16">
    <w:abstractNumId w:val="122"/>
  </w:num>
  <w:num w:numId="17">
    <w:abstractNumId w:val="113"/>
  </w:num>
  <w:num w:numId="1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1"/>
  </w:num>
  <w:num w:numId="20">
    <w:abstractNumId w:val="54"/>
  </w:num>
  <w:num w:numId="21">
    <w:abstractNumId w:val="135"/>
  </w:num>
  <w:num w:numId="22">
    <w:abstractNumId w:val="91"/>
  </w:num>
  <w:num w:numId="23">
    <w:abstractNumId w:val="149"/>
  </w:num>
  <w:num w:numId="24">
    <w:abstractNumId w:val="43"/>
  </w:num>
  <w:num w:numId="25">
    <w:abstractNumId w:val="47"/>
  </w:num>
  <w:num w:numId="26">
    <w:abstractNumId w:val="80"/>
  </w:num>
  <w:num w:numId="27">
    <w:abstractNumId w:val="31"/>
  </w:num>
  <w:num w:numId="28">
    <w:abstractNumId w:val="26"/>
  </w:num>
  <w:num w:numId="29">
    <w:abstractNumId w:val="107"/>
  </w:num>
  <w:num w:numId="30">
    <w:abstractNumId w:val="17"/>
  </w:num>
  <w:num w:numId="31">
    <w:abstractNumId w:val="20"/>
  </w:num>
  <w:num w:numId="32">
    <w:abstractNumId w:val="116"/>
  </w:num>
  <w:num w:numId="33">
    <w:abstractNumId w:val="15"/>
  </w:num>
  <w:num w:numId="34">
    <w:abstractNumId w:val="7"/>
  </w:num>
  <w:num w:numId="35">
    <w:abstractNumId w:val="110"/>
  </w:num>
  <w:num w:numId="36">
    <w:abstractNumId w:val="56"/>
  </w:num>
  <w:num w:numId="37">
    <w:abstractNumId w:val="65"/>
  </w:num>
  <w:num w:numId="38">
    <w:abstractNumId w:val="100"/>
  </w:num>
  <w:num w:numId="39">
    <w:abstractNumId w:val="81"/>
  </w:num>
  <w:num w:numId="40">
    <w:abstractNumId w:val="44"/>
  </w:num>
  <w:num w:numId="41">
    <w:abstractNumId w:val="63"/>
  </w:num>
  <w:num w:numId="42">
    <w:abstractNumId w:val="84"/>
  </w:num>
  <w:num w:numId="43">
    <w:abstractNumId w:val="127"/>
  </w:num>
  <w:num w:numId="44">
    <w:abstractNumId w:val="140"/>
  </w:num>
  <w:num w:numId="45">
    <w:abstractNumId w:val="150"/>
  </w:num>
  <w:num w:numId="46">
    <w:abstractNumId w:val="24"/>
  </w:num>
  <w:num w:numId="47">
    <w:abstractNumId w:val="35"/>
  </w:num>
  <w:num w:numId="48">
    <w:abstractNumId w:val="41"/>
  </w:num>
  <w:num w:numId="49">
    <w:abstractNumId w:val="50"/>
  </w:num>
  <w:num w:numId="50">
    <w:abstractNumId w:val="76"/>
  </w:num>
  <w:num w:numId="51">
    <w:abstractNumId w:val="157"/>
  </w:num>
  <w:num w:numId="52">
    <w:abstractNumId w:val="34"/>
  </w:num>
  <w:num w:numId="53">
    <w:abstractNumId w:val="58"/>
  </w:num>
  <w:num w:numId="54">
    <w:abstractNumId w:val="125"/>
  </w:num>
  <w:num w:numId="55">
    <w:abstractNumId w:val="60"/>
  </w:num>
  <w:num w:numId="56">
    <w:abstractNumId w:val="98"/>
  </w:num>
  <w:num w:numId="57">
    <w:abstractNumId w:val="11"/>
  </w:num>
  <w:num w:numId="58">
    <w:abstractNumId w:val="136"/>
  </w:num>
  <w:num w:numId="59">
    <w:abstractNumId w:val="12"/>
  </w:num>
  <w:num w:numId="60">
    <w:abstractNumId w:val="69"/>
  </w:num>
  <w:num w:numId="61">
    <w:abstractNumId w:val="158"/>
  </w:num>
  <w:num w:numId="62">
    <w:abstractNumId w:val="28"/>
  </w:num>
  <w:num w:numId="63">
    <w:abstractNumId w:val="156"/>
  </w:num>
  <w:num w:numId="64">
    <w:abstractNumId w:val="1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1"/>
  </w:num>
  <w:num w:numId="66">
    <w:abstractNumId w:val="36"/>
  </w:num>
  <w:num w:numId="67">
    <w:abstractNumId w:val="108"/>
  </w:num>
  <w:num w:numId="68">
    <w:abstractNumId w:val="95"/>
  </w:num>
  <w:num w:numId="69">
    <w:abstractNumId w:val="101"/>
  </w:num>
  <w:num w:numId="70">
    <w:abstractNumId w:val="173"/>
  </w:num>
  <w:num w:numId="71">
    <w:abstractNumId w:val="93"/>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0"/>
  </w:num>
  <w:num w:numId="74">
    <w:abstractNumId w:val="102"/>
  </w:num>
  <w:num w:numId="75">
    <w:abstractNumId w:val="86"/>
  </w:num>
  <w:num w:numId="76">
    <w:abstractNumId w:val="145"/>
  </w:num>
  <w:num w:numId="77">
    <w:abstractNumId w:val="152"/>
  </w:num>
  <w:num w:numId="78">
    <w:abstractNumId w:val="162"/>
  </w:num>
  <w:num w:numId="79">
    <w:abstractNumId w:val="8"/>
  </w:num>
  <w:num w:numId="80">
    <w:abstractNumId w:val="111"/>
  </w:num>
  <w:num w:numId="81">
    <w:abstractNumId w:val="118"/>
  </w:num>
  <w:num w:numId="82">
    <w:abstractNumId w:val="112"/>
  </w:num>
  <w:num w:numId="83">
    <w:abstractNumId w:val="106"/>
  </w:num>
  <w:num w:numId="84">
    <w:abstractNumId w:val="52"/>
  </w:num>
  <w:num w:numId="85">
    <w:abstractNumId w:val="114"/>
  </w:num>
  <w:num w:numId="86">
    <w:abstractNumId w:val="178"/>
  </w:num>
  <w:num w:numId="87">
    <w:abstractNumId w:val="92"/>
  </w:num>
  <w:num w:numId="88">
    <w:abstractNumId w:val="10"/>
  </w:num>
  <w:num w:numId="89">
    <w:abstractNumId w:val="53"/>
  </w:num>
  <w:num w:numId="90">
    <w:abstractNumId w:val="131"/>
  </w:num>
  <w:num w:numId="91">
    <w:abstractNumId w:val="82"/>
    <w:lvlOverride w:ilvl="0">
      <w:startOverride w:val="1"/>
    </w:lvlOverride>
    <w:lvlOverride w:ilvl="1">
      <w:startOverride w:val="1"/>
    </w:lvlOverride>
    <w:lvlOverride w:ilvl="2"/>
    <w:lvlOverride w:ilvl="3"/>
    <w:lvlOverride w:ilvl="4"/>
    <w:lvlOverride w:ilvl="5"/>
    <w:lvlOverride w:ilvl="6"/>
    <w:lvlOverride w:ilvl="7"/>
    <w:lvlOverride w:ilvl="8"/>
  </w:num>
  <w:num w:numId="92">
    <w:abstractNumId w:val="97"/>
  </w:num>
  <w:num w:numId="93">
    <w:abstractNumId w:val="103"/>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7"/>
  </w:num>
  <w:num w:numId="96">
    <w:abstractNumId w:val="139"/>
  </w:num>
  <w:num w:numId="97">
    <w:abstractNumId w:val="51"/>
  </w:num>
  <w:num w:numId="98">
    <w:abstractNumId w:val="129"/>
  </w:num>
  <w:num w:numId="99">
    <w:abstractNumId w:val="134"/>
  </w:num>
  <w:num w:numId="100">
    <w:abstractNumId w:val="78"/>
  </w:num>
  <w:num w:numId="101">
    <w:abstractNumId w:val="64"/>
  </w:num>
  <w:num w:numId="102">
    <w:abstractNumId w:val="130"/>
  </w:num>
  <w:num w:numId="103">
    <w:abstractNumId w:val="88"/>
  </w:num>
  <w:num w:numId="104">
    <w:abstractNumId w:val="21"/>
  </w:num>
  <w:num w:numId="105">
    <w:abstractNumId w:val="154"/>
  </w:num>
  <w:num w:numId="106">
    <w:abstractNumId w:val="143"/>
  </w:num>
  <w:num w:numId="107">
    <w:abstractNumId w:val="119"/>
  </w:num>
  <w:num w:numId="108">
    <w:abstractNumId w:val="67"/>
  </w:num>
  <w:num w:numId="109">
    <w:abstractNumId w:val="5"/>
  </w:num>
  <w:num w:numId="110">
    <w:abstractNumId w:val="68"/>
  </w:num>
  <w:num w:numId="111">
    <w:abstractNumId w:val="30"/>
  </w:num>
  <w:num w:numId="112">
    <w:abstractNumId w:val="159"/>
  </w:num>
  <w:num w:numId="113">
    <w:abstractNumId w:val="27"/>
  </w:num>
  <w:num w:numId="114">
    <w:abstractNumId w:val="22"/>
  </w:num>
  <w:num w:numId="115">
    <w:abstractNumId w:val="45"/>
  </w:num>
  <w:num w:numId="116">
    <w:abstractNumId w:val="74"/>
  </w:num>
  <w:num w:numId="117">
    <w:abstractNumId w:val="75"/>
  </w:num>
  <w:num w:numId="118">
    <w:abstractNumId w:val="148"/>
  </w:num>
  <w:num w:numId="119">
    <w:abstractNumId w:val="155"/>
  </w:num>
  <w:num w:numId="120">
    <w:abstractNumId w:val="160"/>
  </w:num>
  <w:num w:numId="121">
    <w:abstractNumId w:val="71"/>
  </w:num>
  <w:num w:numId="122">
    <w:abstractNumId w:val="166"/>
  </w:num>
  <w:num w:numId="123">
    <w:abstractNumId w:val="176"/>
  </w:num>
  <w:num w:numId="124">
    <w:abstractNumId w:val="29"/>
  </w:num>
  <w:num w:numId="125">
    <w:abstractNumId w:val="19"/>
  </w:num>
  <w:num w:numId="126">
    <w:abstractNumId w:val="168"/>
  </w:num>
  <w:num w:numId="127">
    <w:abstractNumId w:val="38"/>
  </w:num>
  <w:num w:numId="128">
    <w:abstractNumId w:val="42"/>
  </w:num>
  <w:num w:numId="129">
    <w:abstractNumId w:val="167"/>
  </w:num>
  <w:num w:numId="130">
    <w:abstractNumId w:val="171"/>
  </w:num>
  <w:num w:numId="131">
    <w:abstractNumId w:val="172"/>
  </w:num>
  <w:num w:numId="132">
    <w:abstractNumId w:val="14"/>
  </w:num>
  <w:num w:numId="133">
    <w:abstractNumId w:val="32"/>
  </w:num>
  <w:num w:numId="134">
    <w:abstractNumId w:val="109"/>
  </w:num>
  <w:num w:numId="135">
    <w:abstractNumId w:val="177"/>
  </w:num>
  <w:num w:numId="136">
    <w:abstractNumId w:val="137"/>
  </w:num>
  <w:num w:numId="137">
    <w:abstractNumId w:val="121"/>
  </w:num>
  <w:num w:numId="138">
    <w:abstractNumId w:val="105"/>
  </w:num>
  <w:num w:numId="139">
    <w:abstractNumId w:val="128"/>
  </w:num>
  <w:num w:numId="140">
    <w:abstractNumId w:val="46"/>
  </w:num>
  <w:num w:numId="141">
    <w:abstractNumId w:val="164"/>
  </w:num>
  <w:num w:numId="142">
    <w:abstractNumId w:val="55"/>
  </w:num>
  <w:num w:numId="143">
    <w:abstractNumId w:val="144"/>
  </w:num>
  <w:num w:numId="144">
    <w:abstractNumId w:val="175"/>
  </w:num>
  <w:num w:numId="145">
    <w:abstractNumId w:val="124"/>
  </w:num>
  <w:num w:numId="146">
    <w:abstractNumId w:val="179"/>
  </w:num>
  <w:num w:numId="147">
    <w:abstractNumId w:val="49"/>
  </w:num>
  <w:num w:numId="148">
    <w:abstractNumId w:val="99"/>
  </w:num>
  <w:num w:numId="149">
    <w:abstractNumId w:val="165"/>
  </w:num>
  <w:num w:numId="150">
    <w:abstractNumId w:val="37"/>
  </w:num>
  <w:num w:numId="151">
    <w:abstractNumId w:val="94"/>
  </w:num>
  <w:num w:numId="152">
    <w:abstractNumId w:val="104"/>
  </w:num>
  <w:num w:numId="153">
    <w:abstractNumId w:val="170"/>
  </w:num>
  <w:num w:numId="154">
    <w:abstractNumId w:val="13"/>
  </w:num>
  <w:num w:numId="155">
    <w:abstractNumId w:val="115"/>
  </w:num>
  <w:num w:numId="156">
    <w:abstractNumId w:val="151"/>
  </w:num>
  <w:num w:numId="157">
    <w:abstractNumId w:val="16"/>
  </w:num>
  <w:num w:numId="158">
    <w:abstractNumId w:val="66"/>
  </w:num>
  <w:num w:numId="159">
    <w:abstractNumId w:val="62"/>
  </w:num>
  <w:num w:numId="160">
    <w:abstractNumId w:val="117"/>
  </w:num>
  <w:num w:numId="161">
    <w:abstractNumId w:val="87"/>
  </w:num>
  <w:num w:numId="162">
    <w:abstractNumId w:val="48"/>
  </w:num>
  <w:num w:numId="163">
    <w:abstractNumId w:val="59"/>
  </w:num>
  <w:num w:numId="164">
    <w:abstractNumId w:val="163"/>
  </w:num>
  <w:num w:numId="165">
    <w:abstractNumId w:val="169"/>
  </w:num>
  <w:num w:numId="166">
    <w:abstractNumId w:val="126"/>
  </w:num>
  <w:num w:numId="167">
    <w:abstractNumId w:val="9"/>
  </w:num>
  <w:num w:numId="168">
    <w:abstractNumId w:val="79"/>
  </w:num>
  <w:num w:numId="169">
    <w:abstractNumId w:val="142"/>
  </w:num>
  <w:num w:numId="170">
    <w:abstractNumId w:val="72"/>
  </w:num>
  <w:num w:numId="171">
    <w:abstractNumId w:val="146"/>
  </w:num>
  <w:num w:numId="17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8"/>
  </w:num>
  <w:num w:numId="174">
    <w:abstractNumId w:val="174"/>
  </w:num>
  <w:num w:numId="175">
    <w:abstractNumId w:val="6"/>
  </w:num>
  <w:num w:numId="176">
    <w:abstractNumId w:val="25"/>
  </w:num>
  <w:num w:numId="17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96"/>
  </w:num>
  <w:num w:numId="179">
    <w:abstractNumId w:val="133"/>
  </w:num>
  <w:num w:numId="180">
    <w:abstractNumId w:val="39"/>
  </w:num>
  <w:num w:numId="181">
    <w:abstractNumId w:val="89"/>
  </w:num>
  <w:num w:numId="182">
    <w:abstractNumId w:val="61"/>
  </w:num>
  <w:num w:numId="183">
    <w:abstractNumId w:val="147"/>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docVars>
    <w:docVar w:name="DocStatus" w:val="Green"/>
    <w:docVar w:name="LW_ACCOMPAGNANT.CP" w:val="des"/>
    <w:docVar w:name="LW_ANNEX_NBR_FIRST" w:val="1"/>
    <w:docVar w:name="LW_ANNEX_NBR_LAST" w:val="1"/>
    <w:docVar w:name="LW_ANNEX_UNIQUE" w:val="1"/>
    <w:docVar w:name="LW_CORRIGENDUM" w:val="&lt;UNUSED&gt;"/>
    <w:docVar w:name="LW_COVERPAGE_EXISTS" w:val="True"/>
    <w:docVar w:name="LW_COVERPAGE_GUID" w:val="13FAF79B-EC13-497B-9978-FD19FB1DA038"/>
    <w:docVar w:name="LW_COVERPAGE_TYPE" w:val="1"/>
    <w:docVar w:name="LW_CROSSREFERENCE" w:val="{SWD(2025) 348 final}"/>
    <w:docVar w:name="LW_DocType" w:val="NORMAL"/>
    <w:docVar w:name="LW_EMISSION" w:val="4.11.2025"/>
    <w:docVar w:name="LW_EMISSION_ISODATE" w:val="2025-11-04"/>
    <w:docVar w:name="LW_EMISSION_LOCATION" w:val="BRX"/>
    <w:docVar w:name="LW_EMISSION_PREFIX" w:val="Brüssel, den "/>
    <w:docVar w:name="LW_EMISSION_SUFFIX" w:val=" "/>
    <w:docVar w:name="LW_ID_DOCTYPE_NONLW" w:val="CP-036"/>
    <w:docVar w:name="LW_LANGUE" w:val="DE"/>
    <w:docVar w:name="LW_LEVEL_OF_SENSITIVITY" w:val="Standard treatment"/>
    <w:docVar w:name="LW_NOM.INST" w:val="EUROPÄISCHE KOMMISSION"/>
    <w:docVar w:name="LW_NOM.INST_JOINTDOC" w:val="&lt;EMPTY&gt;"/>
    <w:docVar w:name="LW_OBJETACTEPRINCIPAL.CP" w:val="zur Änderung des Durchführungsbeschlusses (EU) (ST 10160/21 INIT; ST 10160/21 ADD 1 REV 2) vom 13. Juli 2021 zur Billigung der Bewertung des Aufbau- und Resilienzplans Italiens"/>
    <w:docVar w:name="LW_PART_NBR" w:val="1"/>
    <w:docVar w:name="LW_PART_NBR_TOTAL" w:val="1"/>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NHANG_x000b_"/>
    <w:docVar w:name="LW_TYPEACTEPRINCIPAL.CP" w:val="Vorschlags für einen DURCHFÜHRUNGSBESCHLUSS DES RATES"/>
    <w:docVar w:name="LwApiVersions" w:val="LW4CoDe 1.24.5.0; LW 9.0, Build 20240221"/>
  </w:docVars>
  <w:rsids>
    <w:rsidRoot w:val="005F11B9"/>
    <w:rsid w:val="00002D35"/>
    <w:rsid w:val="00003331"/>
    <w:rsid w:val="000045F8"/>
    <w:rsid w:val="000046D1"/>
    <w:rsid w:val="0000520F"/>
    <w:rsid w:val="00005B4E"/>
    <w:rsid w:val="00005CFC"/>
    <w:rsid w:val="00005D93"/>
    <w:rsid w:val="00006F68"/>
    <w:rsid w:val="00007428"/>
    <w:rsid w:val="00010049"/>
    <w:rsid w:val="0001086F"/>
    <w:rsid w:val="00010AAB"/>
    <w:rsid w:val="00011BBC"/>
    <w:rsid w:val="000127E4"/>
    <w:rsid w:val="00012AD5"/>
    <w:rsid w:val="00012AE0"/>
    <w:rsid w:val="000139C1"/>
    <w:rsid w:val="00013B43"/>
    <w:rsid w:val="00013FF7"/>
    <w:rsid w:val="0001501B"/>
    <w:rsid w:val="000151F3"/>
    <w:rsid w:val="00015BE9"/>
    <w:rsid w:val="000160FB"/>
    <w:rsid w:val="00016772"/>
    <w:rsid w:val="00016814"/>
    <w:rsid w:val="00016B85"/>
    <w:rsid w:val="00020304"/>
    <w:rsid w:val="0002168D"/>
    <w:rsid w:val="0002188F"/>
    <w:rsid w:val="000227E5"/>
    <w:rsid w:val="000231F5"/>
    <w:rsid w:val="00023F01"/>
    <w:rsid w:val="00023F6C"/>
    <w:rsid w:val="00024486"/>
    <w:rsid w:val="00024CD7"/>
    <w:rsid w:val="00027C2E"/>
    <w:rsid w:val="00031762"/>
    <w:rsid w:val="00033401"/>
    <w:rsid w:val="00033488"/>
    <w:rsid w:val="00033A8F"/>
    <w:rsid w:val="00033F99"/>
    <w:rsid w:val="00040B0B"/>
    <w:rsid w:val="0004231D"/>
    <w:rsid w:val="000441DF"/>
    <w:rsid w:val="00044906"/>
    <w:rsid w:val="00045D59"/>
    <w:rsid w:val="0004650C"/>
    <w:rsid w:val="00046BB5"/>
    <w:rsid w:val="00046FB7"/>
    <w:rsid w:val="00047AC0"/>
    <w:rsid w:val="0005099B"/>
    <w:rsid w:val="000535D8"/>
    <w:rsid w:val="00054FE6"/>
    <w:rsid w:val="00055022"/>
    <w:rsid w:val="000575C8"/>
    <w:rsid w:val="00062607"/>
    <w:rsid w:val="00063D6B"/>
    <w:rsid w:val="00063F38"/>
    <w:rsid w:val="00064171"/>
    <w:rsid w:val="00064C51"/>
    <w:rsid w:val="00065232"/>
    <w:rsid w:val="000652FA"/>
    <w:rsid w:val="00066684"/>
    <w:rsid w:val="00070F81"/>
    <w:rsid w:val="00071CBC"/>
    <w:rsid w:val="000731AB"/>
    <w:rsid w:val="00073D25"/>
    <w:rsid w:val="00075BC6"/>
    <w:rsid w:val="0007763B"/>
    <w:rsid w:val="00077C92"/>
    <w:rsid w:val="00077FC0"/>
    <w:rsid w:val="00081DBF"/>
    <w:rsid w:val="00083214"/>
    <w:rsid w:val="000836CB"/>
    <w:rsid w:val="00084355"/>
    <w:rsid w:val="00084B52"/>
    <w:rsid w:val="00084CF1"/>
    <w:rsid w:val="00084E39"/>
    <w:rsid w:val="000863B7"/>
    <w:rsid w:val="0008660A"/>
    <w:rsid w:val="00086C32"/>
    <w:rsid w:val="00087106"/>
    <w:rsid w:val="000875B6"/>
    <w:rsid w:val="0008772F"/>
    <w:rsid w:val="00090047"/>
    <w:rsid w:val="00090356"/>
    <w:rsid w:val="00091037"/>
    <w:rsid w:val="000910A5"/>
    <w:rsid w:val="000924AE"/>
    <w:rsid w:val="0009390A"/>
    <w:rsid w:val="00093A7D"/>
    <w:rsid w:val="00093BAE"/>
    <w:rsid w:val="00093FAD"/>
    <w:rsid w:val="00095862"/>
    <w:rsid w:val="00095FD4"/>
    <w:rsid w:val="000960BC"/>
    <w:rsid w:val="00096333"/>
    <w:rsid w:val="0009642D"/>
    <w:rsid w:val="00096A44"/>
    <w:rsid w:val="000A063D"/>
    <w:rsid w:val="000A0C94"/>
    <w:rsid w:val="000A2BFE"/>
    <w:rsid w:val="000A3592"/>
    <w:rsid w:val="000A4766"/>
    <w:rsid w:val="000A49F1"/>
    <w:rsid w:val="000A4B43"/>
    <w:rsid w:val="000A4F4B"/>
    <w:rsid w:val="000A505A"/>
    <w:rsid w:val="000B0B71"/>
    <w:rsid w:val="000B26DD"/>
    <w:rsid w:val="000B29DF"/>
    <w:rsid w:val="000B2B63"/>
    <w:rsid w:val="000B5792"/>
    <w:rsid w:val="000B5C3E"/>
    <w:rsid w:val="000B69B9"/>
    <w:rsid w:val="000B6AFB"/>
    <w:rsid w:val="000B6C74"/>
    <w:rsid w:val="000B7F7C"/>
    <w:rsid w:val="000C0482"/>
    <w:rsid w:val="000C0B5B"/>
    <w:rsid w:val="000C15EE"/>
    <w:rsid w:val="000C5647"/>
    <w:rsid w:val="000C57E1"/>
    <w:rsid w:val="000C6BF2"/>
    <w:rsid w:val="000D0775"/>
    <w:rsid w:val="000D123B"/>
    <w:rsid w:val="000D31C4"/>
    <w:rsid w:val="000D58C5"/>
    <w:rsid w:val="000D5B60"/>
    <w:rsid w:val="000D64EA"/>
    <w:rsid w:val="000E047C"/>
    <w:rsid w:val="000E0A46"/>
    <w:rsid w:val="000E14AE"/>
    <w:rsid w:val="000E1A50"/>
    <w:rsid w:val="000E1F13"/>
    <w:rsid w:val="000E24AD"/>
    <w:rsid w:val="000E280E"/>
    <w:rsid w:val="000E29A8"/>
    <w:rsid w:val="000E36ED"/>
    <w:rsid w:val="000E3B49"/>
    <w:rsid w:val="000E3D0C"/>
    <w:rsid w:val="000E3F50"/>
    <w:rsid w:val="000E4F62"/>
    <w:rsid w:val="000E517B"/>
    <w:rsid w:val="000E646A"/>
    <w:rsid w:val="000E7522"/>
    <w:rsid w:val="000E7981"/>
    <w:rsid w:val="000F1317"/>
    <w:rsid w:val="000F1658"/>
    <w:rsid w:val="000F2603"/>
    <w:rsid w:val="000F45EC"/>
    <w:rsid w:val="000F59CE"/>
    <w:rsid w:val="000F6C23"/>
    <w:rsid w:val="00100536"/>
    <w:rsid w:val="0010071F"/>
    <w:rsid w:val="00100F21"/>
    <w:rsid w:val="00102CD2"/>
    <w:rsid w:val="00103E3B"/>
    <w:rsid w:val="0010432E"/>
    <w:rsid w:val="00105381"/>
    <w:rsid w:val="00106348"/>
    <w:rsid w:val="00106D30"/>
    <w:rsid w:val="00107201"/>
    <w:rsid w:val="00107D28"/>
    <w:rsid w:val="00110887"/>
    <w:rsid w:val="001127F8"/>
    <w:rsid w:val="00112875"/>
    <w:rsid w:val="00112D96"/>
    <w:rsid w:val="001132AD"/>
    <w:rsid w:val="001137FA"/>
    <w:rsid w:val="001142BA"/>
    <w:rsid w:val="00114AC4"/>
    <w:rsid w:val="00115D56"/>
    <w:rsid w:val="00115D6F"/>
    <w:rsid w:val="0011702B"/>
    <w:rsid w:val="00120477"/>
    <w:rsid w:val="00120D3D"/>
    <w:rsid w:val="0012133A"/>
    <w:rsid w:val="00121A7E"/>
    <w:rsid w:val="001233EA"/>
    <w:rsid w:val="00124734"/>
    <w:rsid w:val="00126861"/>
    <w:rsid w:val="00126D06"/>
    <w:rsid w:val="0013049A"/>
    <w:rsid w:val="00131129"/>
    <w:rsid w:val="0013360B"/>
    <w:rsid w:val="001336D1"/>
    <w:rsid w:val="001351F7"/>
    <w:rsid w:val="0013598D"/>
    <w:rsid w:val="00136A98"/>
    <w:rsid w:val="00137C7F"/>
    <w:rsid w:val="00137FD7"/>
    <w:rsid w:val="00142BC2"/>
    <w:rsid w:val="00143AA6"/>
    <w:rsid w:val="00145250"/>
    <w:rsid w:val="00145DF7"/>
    <w:rsid w:val="001474E7"/>
    <w:rsid w:val="001475DD"/>
    <w:rsid w:val="00150409"/>
    <w:rsid w:val="00150A34"/>
    <w:rsid w:val="00151895"/>
    <w:rsid w:val="00151B74"/>
    <w:rsid w:val="001535E9"/>
    <w:rsid w:val="00153C05"/>
    <w:rsid w:val="00156904"/>
    <w:rsid w:val="0015741A"/>
    <w:rsid w:val="00157861"/>
    <w:rsid w:val="00157D86"/>
    <w:rsid w:val="00160360"/>
    <w:rsid w:val="00163076"/>
    <w:rsid w:val="00163A65"/>
    <w:rsid w:val="00163F99"/>
    <w:rsid w:val="00164199"/>
    <w:rsid w:val="0016424D"/>
    <w:rsid w:val="001644F5"/>
    <w:rsid w:val="001646FF"/>
    <w:rsid w:val="001659D2"/>
    <w:rsid w:val="00166C55"/>
    <w:rsid w:val="00166EB0"/>
    <w:rsid w:val="00170422"/>
    <w:rsid w:val="001717FF"/>
    <w:rsid w:val="00171B17"/>
    <w:rsid w:val="001738FC"/>
    <w:rsid w:val="00173A7A"/>
    <w:rsid w:val="00174934"/>
    <w:rsid w:val="001760BA"/>
    <w:rsid w:val="00176EBF"/>
    <w:rsid w:val="0018115A"/>
    <w:rsid w:val="001814F5"/>
    <w:rsid w:val="0018154D"/>
    <w:rsid w:val="0018184F"/>
    <w:rsid w:val="001824FD"/>
    <w:rsid w:val="001828E5"/>
    <w:rsid w:val="00184683"/>
    <w:rsid w:val="001852DE"/>
    <w:rsid w:val="0018594F"/>
    <w:rsid w:val="00186E8C"/>
    <w:rsid w:val="001877E5"/>
    <w:rsid w:val="00187CC7"/>
    <w:rsid w:val="001903F7"/>
    <w:rsid w:val="001910B4"/>
    <w:rsid w:val="0019140D"/>
    <w:rsid w:val="00192D67"/>
    <w:rsid w:val="0019419F"/>
    <w:rsid w:val="0019450F"/>
    <w:rsid w:val="00196CA8"/>
    <w:rsid w:val="00196FD9"/>
    <w:rsid w:val="001976F0"/>
    <w:rsid w:val="00197BBC"/>
    <w:rsid w:val="001A014E"/>
    <w:rsid w:val="001A017D"/>
    <w:rsid w:val="001A13D6"/>
    <w:rsid w:val="001A490D"/>
    <w:rsid w:val="001B05A6"/>
    <w:rsid w:val="001B21A1"/>
    <w:rsid w:val="001B3229"/>
    <w:rsid w:val="001B45C4"/>
    <w:rsid w:val="001B5319"/>
    <w:rsid w:val="001B56C7"/>
    <w:rsid w:val="001B58E2"/>
    <w:rsid w:val="001B610F"/>
    <w:rsid w:val="001B67AE"/>
    <w:rsid w:val="001B6D01"/>
    <w:rsid w:val="001B7936"/>
    <w:rsid w:val="001C302A"/>
    <w:rsid w:val="001C339C"/>
    <w:rsid w:val="001C3688"/>
    <w:rsid w:val="001C3978"/>
    <w:rsid w:val="001C41A7"/>
    <w:rsid w:val="001C4E1E"/>
    <w:rsid w:val="001C4F7D"/>
    <w:rsid w:val="001C5943"/>
    <w:rsid w:val="001C670D"/>
    <w:rsid w:val="001C6E23"/>
    <w:rsid w:val="001D15C8"/>
    <w:rsid w:val="001D2561"/>
    <w:rsid w:val="001D3216"/>
    <w:rsid w:val="001D57BD"/>
    <w:rsid w:val="001D6F1E"/>
    <w:rsid w:val="001D7C68"/>
    <w:rsid w:val="001E09B8"/>
    <w:rsid w:val="001E1651"/>
    <w:rsid w:val="001E24B7"/>
    <w:rsid w:val="001F0BF8"/>
    <w:rsid w:val="001F2509"/>
    <w:rsid w:val="001F2769"/>
    <w:rsid w:val="001F2F9F"/>
    <w:rsid w:val="001F30B3"/>
    <w:rsid w:val="001F4A11"/>
    <w:rsid w:val="001F585F"/>
    <w:rsid w:val="001F5D7D"/>
    <w:rsid w:val="001F6913"/>
    <w:rsid w:val="001F6DA2"/>
    <w:rsid w:val="001F6FF8"/>
    <w:rsid w:val="002023F7"/>
    <w:rsid w:val="00202BB6"/>
    <w:rsid w:val="00202F9E"/>
    <w:rsid w:val="002054B2"/>
    <w:rsid w:val="00205538"/>
    <w:rsid w:val="00206F8A"/>
    <w:rsid w:val="0021084A"/>
    <w:rsid w:val="0021198A"/>
    <w:rsid w:val="002164C3"/>
    <w:rsid w:val="002208CF"/>
    <w:rsid w:val="0022140A"/>
    <w:rsid w:val="002219C0"/>
    <w:rsid w:val="00221A96"/>
    <w:rsid w:val="002231BB"/>
    <w:rsid w:val="00223353"/>
    <w:rsid w:val="002239F6"/>
    <w:rsid w:val="0022587E"/>
    <w:rsid w:val="00226185"/>
    <w:rsid w:val="00227385"/>
    <w:rsid w:val="00227B54"/>
    <w:rsid w:val="002305E4"/>
    <w:rsid w:val="0023135B"/>
    <w:rsid w:val="00231E6D"/>
    <w:rsid w:val="002348D4"/>
    <w:rsid w:val="00234B18"/>
    <w:rsid w:val="0023515E"/>
    <w:rsid w:val="00235F7F"/>
    <w:rsid w:val="002363FE"/>
    <w:rsid w:val="002365D5"/>
    <w:rsid w:val="0023683B"/>
    <w:rsid w:val="002375C9"/>
    <w:rsid w:val="002420E2"/>
    <w:rsid w:val="002440A1"/>
    <w:rsid w:val="00247EBF"/>
    <w:rsid w:val="002507F9"/>
    <w:rsid w:val="00250D12"/>
    <w:rsid w:val="00252BAD"/>
    <w:rsid w:val="002551E4"/>
    <w:rsid w:val="00260F2B"/>
    <w:rsid w:val="00261240"/>
    <w:rsid w:val="00261BBA"/>
    <w:rsid w:val="00261FDF"/>
    <w:rsid w:val="00262B29"/>
    <w:rsid w:val="0026327D"/>
    <w:rsid w:val="002640B4"/>
    <w:rsid w:val="00265562"/>
    <w:rsid w:val="00266168"/>
    <w:rsid w:val="002663EA"/>
    <w:rsid w:val="0026655F"/>
    <w:rsid w:val="00270F5A"/>
    <w:rsid w:val="00271AA4"/>
    <w:rsid w:val="00272440"/>
    <w:rsid w:val="00272785"/>
    <w:rsid w:val="00274C70"/>
    <w:rsid w:val="002756BB"/>
    <w:rsid w:val="00276D63"/>
    <w:rsid w:val="00276E4C"/>
    <w:rsid w:val="0027742B"/>
    <w:rsid w:val="00280572"/>
    <w:rsid w:val="00281D1E"/>
    <w:rsid w:val="002829BE"/>
    <w:rsid w:val="00283FF6"/>
    <w:rsid w:val="0028492A"/>
    <w:rsid w:val="002856F8"/>
    <w:rsid w:val="00286C65"/>
    <w:rsid w:val="00286E73"/>
    <w:rsid w:val="002905BA"/>
    <w:rsid w:val="00290892"/>
    <w:rsid w:val="002910F7"/>
    <w:rsid w:val="002923C9"/>
    <w:rsid w:val="002923D5"/>
    <w:rsid w:val="00292C68"/>
    <w:rsid w:val="002933F9"/>
    <w:rsid w:val="00293EDD"/>
    <w:rsid w:val="002943A3"/>
    <w:rsid w:val="00295931"/>
    <w:rsid w:val="0029593A"/>
    <w:rsid w:val="00296505"/>
    <w:rsid w:val="0029746E"/>
    <w:rsid w:val="002A0036"/>
    <w:rsid w:val="002A0B27"/>
    <w:rsid w:val="002A515B"/>
    <w:rsid w:val="002A566D"/>
    <w:rsid w:val="002A6595"/>
    <w:rsid w:val="002A67F1"/>
    <w:rsid w:val="002B2462"/>
    <w:rsid w:val="002B383C"/>
    <w:rsid w:val="002B5220"/>
    <w:rsid w:val="002B612E"/>
    <w:rsid w:val="002B6AE6"/>
    <w:rsid w:val="002B6C44"/>
    <w:rsid w:val="002B7E6C"/>
    <w:rsid w:val="002C1450"/>
    <w:rsid w:val="002C20FC"/>
    <w:rsid w:val="002C400C"/>
    <w:rsid w:val="002C47DD"/>
    <w:rsid w:val="002D105D"/>
    <w:rsid w:val="002D25F5"/>
    <w:rsid w:val="002D2A36"/>
    <w:rsid w:val="002D2B12"/>
    <w:rsid w:val="002D2C3D"/>
    <w:rsid w:val="002D3551"/>
    <w:rsid w:val="002D3CAD"/>
    <w:rsid w:val="002D489E"/>
    <w:rsid w:val="002D49E0"/>
    <w:rsid w:val="002D5E45"/>
    <w:rsid w:val="002D5E4E"/>
    <w:rsid w:val="002D635E"/>
    <w:rsid w:val="002D6D90"/>
    <w:rsid w:val="002D7B37"/>
    <w:rsid w:val="002E0105"/>
    <w:rsid w:val="002E0DA9"/>
    <w:rsid w:val="002E105A"/>
    <w:rsid w:val="002E245F"/>
    <w:rsid w:val="002E2916"/>
    <w:rsid w:val="002E4205"/>
    <w:rsid w:val="002E59F7"/>
    <w:rsid w:val="002E70EB"/>
    <w:rsid w:val="002E7E64"/>
    <w:rsid w:val="002F07C2"/>
    <w:rsid w:val="002F0FEB"/>
    <w:rsid w:val="002F11E8"/>
    <w:rsid w:val="002F1A04"/>
    <w:rsid w:val="002F1C67"/>
    <w:rsid w:val="002F28E4"/>
    <w:rsid w:val="002F29EC"/>
    <w:rsid w:val="002F4345"/>
    <w:rsid w:val="002F7990"/>
    <w:rsid w:val="00300D1B"/>
    <w:rsid w:val="003021E8"/>
    <w:rsid w:val="003039EA"/>
    <w:rsid w:val="00310C92"/>
    <w:rsid w:val="00310FAF"/>
    <w:rsid w:val="00311CD2"/>
    <w:rsid w:val="003132FE"/>
    <w:rsid w:val="003135C2"/>
    <w:rsid w:val="003152BD"/>
    <w:rsid w:val="00315336"/>
    <w:rsid w:val="00315958"/>
    <w:rsid w:val="00316DDD"/>
    <w:rsid w:val="00317595"/>
    <w:rsid w:val="00317CDD"/>
    <w:rsid w:val="00320010"/>
    <w:rsid w:val="0032199A"/>
    <w:rsid w:val="003224D8"/>
    <w:rsid w:val="00323B6F"/>
    <w:rsid w:val="00323E62"/>
    <w:rsid w:val="00325B11"/>
    <w:rsid w:val="00326318"/>
    <w:rsid w:val="0033055D"/>
    <w:rsid w:val="00331ACD"/>
    <w:rsid w:val="00331F20"/>
    <w:rsid w:val="003321FD"/>
    <w:rsid w:val="00333CDA"/>
    <w:rsid w:val="00336773"/>
    <w:rsid w:val="00337B2C"/>
    <w:rsid w:val="00337FBC"/>
    <w:rsid w:val="00340A0A"/>
    <w:rsid w:val="00340F17"/>
    <w:rsid w:val="00341045"/>
    <w:rsid w:val="00342827"/>
    <w:rsid w:val="00342D38"/>
    <w:rsid w:val="00343542"/>
    <w:rsid w:val="00345207"/>
    <w:rsid w:val="00350CF0"/>
    <w:rsid w:val="0035330F"/>
    <w:rsid w:val="00353728"/>
    <w:rsid w:val="00355532"/>
    <w:rsid w:val="00355804"/>
    <w:rsid w:val="003612C9"/>
    <w:rsid w:val="0036234D"/>
    <w:rsid w:val="00362473"/>
    <w:rsid w:val="0036313C"/>
    <w:rsid w:val="00364B97"/>
    <w:rsid w:val="00365A74"/>
    <w:rsid w:val="003672B9"/>
    <w:rsid w:val="00370833"/>
    <w:rsid w:val="0037197A"/>
    <w:rsid w:val="00372892"/>
    <w:rsid w:val="00372F43"/>
    <w:rsid w:val="003735AD"/>
    <w:rsid w:val="00373A40"/>
    <w:rsid w:val="00374249"/>
    <w:rsid w:val="00374E0E"/>
    <w:rsid w:val="00375D0D"/>
    <w:rsid w:val="00376197"/>
    <w:rsid w:val="003764D4"/>
    <w:rsid w:val="00376A43"/>
    <w:rsid w:val="00380853"/>
    <w:rsid w:val="003814AC"/>
    <w:rsid w:val="00382BC8"/>
    <w:rsid w:val="00383040"/>
    <w:rsid w:val="003832DD"/>
    <w:rsid w:val="003833D5"/>
    <w:rsid w:val="003839AE"/>
    <w:rsid w:val="0038491D"/>
    <w:rsid w:val="00384A79"/>
    <w:rsid w:val="003870F8"/>
    <w:rsid w:val="003874AE"/>
    <w:rsid w:val="0038772F"/>
    <w:rsid w:val="0038788A"/>
    <w:rsid w:val="0039073F"/>
    <w:rsid w:val="00390D8B"/>
    <w:rsid w:val="003917F7"/>
    <w:rsid w:val="00391F75"/>
    <w:rsid w:val="00392644"/>
    <w:rsid w:val="00392941"/>
    <w:rsid w:val="00392C19"/>
    <w:rsid w:val="003937BC"/>
    <w:rsid w:val="00394459"/>
    <w:rsid w:val="00395DBE"/>
    <w:rsid w:val="00396786"/>
    <w:rsid w:val="00396E0F"/>
    <w:rsid w:val="003971D7"/>
    <w:rsid w:val="003972ED"/>
    <w:rsid w:val="00397F3D"/>
    <w:rsid w:val="003A0728"/>
    <w:rsid w:val="003A07CE"/>
    <w:rsid w:val="003A1B21"/>
    <w:rsid w:val="003A2A23"/>
    <w:rsid w:val="003A2F0B"/>
    <w:rsid w:val="003A32F0"/>
    <w:rsid w:val="003A48A4"/>
    <w:rsid w:val="003A5519"/>
    <w:rsid w:val="003A5A0B"/>
    <w:rsid w:val="003A5C8B"/>
    <w:rsid w:val="003A61F5"/>
    <w:rsid w:val="003A66B0"/>
    <w:rsid w:val="003A7882"/>
    <w:rsid w:val="003B0AA0"/>
    <w:rsid w:val="003B11C5"/>
    <w:rsid w:val="003B18D2"/>
    <w:rsid w:val="003B295A"/>
    <w:rsid w:val="003B2E78"/>
    <w:rsid w:val="003B30BE"/>
    <w:rsid w:val="003B4078"/>
    <w:rsid w:val="003B5207"/>
    <w:rsid w:val="003B5D01"/>
    <w:rsid w:val="003B6F06"/>
    <w:rsid w:val="003C1AF2"/>
    <w:rsid w:val="003C1E6A"/>
    <w:rsid w:val="003C2176"/>
    <w:rsid w:val="003C3A0B"/>
    <w:rsid w:val="003C42B5"/>
    <w:rsid w:val="003C55E1"/>
    <w:rsid w:val="003C67BE"/>
    <w:rsid w:val="003C6C1A"/>
    <w:rsid w:val="003C76A7"/>
    <w:rsid w:val="003D04FF"/>
    <w:rsid w:val="003D0AC2"/>
    <w:rsid w:val="003D1E3B"/>
    <w:rsid w:val="003D2288"/>
    <w:rsid w:val="003D283C"/>
    <w:rsid w:val="003D2C21"/>
    <w:rsid w:val="003D2F53"/>
    <w:rsid w:val="003D3672"/>
    <w:rsid w:val="003D3968"/>
    <w:rsid w:val="003D5234"/>
    <w:rsid w:val="003D693F"/>
    <w:rsid w:val="003D6FBF"/>
    <w:rsid w:val="003D712C"/>
    <w:rsid w:val="003D7289"/>
    <w:rsid w:val="003D7864"/>
    <w:rsid w:val="003D7A40"/>
    <w:rsid w:val="003E0603"/>
    <w:rsid w:val="003E13D4"/>
    <w:rsid w:val="003E3DE4"/>
    <w:rsid w:val="003E4A03"/>
    <w:rsid w:val="003E5041"/>
    <w:rsid w:val="003E5339"/>
    <w:rsid w:val="003E58B4"/>
    <w:rsid w:val="003E645A"/>
    <w:rsid w:val="003E646D"/>
    <w:rsid w:val="003F253E"/>
    <w:rsid w:val="003F29B7"/>
    <w:rsid w:val="003F5205"/>
    <w:rsid w:val="003F605D"/>
    <w:rsid w:val="003F618D"/>
    <w:rsid w:val="003F6A2B"/>
    <w:rsid w:val="003F763B"/>
    <w:rsid w:val="003F7894"/>
    <w:rsid w:val="00400429"/>
    <w:rsid w:val="00401182"/>
    <w:rsid w:val="00401824"/>
    <w:rsid w:val="004029A3"/>
    <w:rsid w:val="004034EC"/>
    <w:rsid w:val="00405E05"/>
    <w:rsid w:val="00406EBE"/>
    <w:rsid w:val="00411C88"/>
    <w:rsid w:val="0041328F"/>
    <w:rsid w:val="00413994"/>
    <w:rsid w:val="004147D6"/>
    <w:rsid w:val="00414849"/>
    <w:rsid w:val="00414A47"/>
    <w:rsid w:val="00414CA2"/>
    <w:rsid w:val="004153D1"/>
    <w:rsid w:val="004157F2"/>
    <w:rsid w:val="00415845"/>
    <w:rsid w:val="00416CAA"/>
    <w:rsid w:val="00421BA6"/>
    <w:rsid w:val="00423BFE"/>
    <w:rsid w:val="00424458"/>
    <w:rsid w:val="00424577"/>
    <w:rsid w:val="00425A08"/>
    <w:rsid w:val="00425E13"/>
    <w:rsid w:val="00425FD9"/>
    <w:rsid w:val="00426923"/>
    <w:rsid w:val="00426E0B"/>
    <w:rsid w:val="0042763B"/>
    <w:rsid w:val="004276E5"/>
    <w:rsid w:val="0043267B"/>
    <w:rsid w:val="00433DEA"/>
    <w:rsid w:val="00433FE0"/>
    <w:rsid w:val="004345FA"/>
    <w:rsid w:val="004348AE"/>
    <w:rsid w:val="00434EE2"/>
    <w:rsid w:val="004365FF"/>
    <w:rsid w:val="004374C0"/>
    <w:rsid w:val="00440C8B"/>
    <w:rsid w:val="00442124"/>
    <w:rsid w:val="00442311"/>
    <w:rsid w:val="004426E4"/>
    <w:rsid w:val="00443141"/>
    <w:rsid w:val="0044331B"/>
    <w:rsid w:val="00443963"/>
    <w:rsid w:val="00443FA6"/>
    <w:rsid w:val="004447E9"/>
    <w:rsid w:val="004454EE"/>
    <w:rsid w:val="004463CC"/>
    <w:rsid w:val="00446B7A"/>
    <w:rsid w:val="00446F6F"/>
    <w:rsid w:val="00447980"/>
    <w:rsid w:val="00450E94"/>
    <w:rsid w:val="004521AA"/>
    <w:rsid w:val="00452C15"/>
    <w:rsid w:val="00453F09"/>
    <w:rsid w:val="00453F67"/>
    <w:rsid w:val="00454F35"/>
    <w:rsid w:val="00455EEF"/>
    <w:rsid w:val="0045609E"/>
    <w:rsid w:val="00456435"/>
    <w:rsid w:val="0045687A"/>
    <w:rsid w:val="00461A22"/>
    <w:rsid w:val="004646DB"/>
    <w:rsid w:val="00464A1C"/>
    <w:rsid w:val="00464D0E"/>
    <w:rsid w:val="00465561"/>
    <w:rsid w:val="00465A22"/>
    <w:rsid w:val="00467925"/>
    <w:rsid w:val="0047147C"/>
    <w:rsid w:val="00471849"/>
    <w:rsid w:val="00471F1C"/>
    <w:rsid w:val="0047224C"/>
    <w:rsid w:val="00473A6A"/>
    <w:rsid w:val="00474997"/>
    <w:rsid w:val="00474DDE"/>
    <w:rsid w:val="00477D98"/>
    <w:rsid w:val="0048008D"/>
    <w:rsid w:val="0048247B"/>
    <w:rsid w:val="00483656"/>
    <w:rsid w:val="0048476F"/>
    <w:rsid w:val="00484B1B"/>
    <w:rsid w:val="00485B03"/>
    <w:rsid w:val="00485B78"/>
    <w:rsid w:val="00485D3D"/>
    <w:rsid w:val="00486C94"/>
    <w:rsid w:val="0048701D"/>
    <w:rsid w:val="004905C4"/>
    <w:rsid w:val="00490813"/>
    <w:rsid w:val="00490D47"/>
    <w:rsid w:val="00490E6E"/>
    <w:rsid w:val="00490F62"/>
    <w:rsid w:val="00491A55"/>
    <w:rsid w:val="00491F0F"/>
    <w:rsid w:val="0049249A"/>
    <w:rsid w:val="004925E5"/>
    <w:rsid w:val="0049282A"/>
    <w:rsid w:val="004947D9"/>
    <w:rsid w:val="00497F25"/>
    <w:rsid w:val="004A00EA"/>
    <w:rsid w:val="004A0169"/>
    <w:rsid w:val="004A117E"/>
    <w:rsid w:val="004A12CC"/>
    <w:rsid w:val="004A1F9B"/>
    <w:rsid w:val="004A2CD4"/>
    <w:rsid w:val="004A32AC"/>
    <w:rsid w:val="004A3E8F"/>
    <w:rsid w:val="004A5725"/>
    <w:rsid w:val="004A5FDF"/>
    <w:rsid w:val="004A7865"/>
    <w:rsid w:val="004B0C7C"/>
    <w:rsid w:val="004B0D63"/>
    <w:rsid w:val="004B1116"/>
    <w:rsid w:val="004B124A"/>
    <w:rsid w:val="004B1565"/>
    <w:rsid w:val="004B17AC"/>
    <w:rsid w:val="004B1CC6"/>
    <w:rsid w:val="004B36EE"/>
    <w:rsid w:val="004B3B0D"/>
    <w:rsid w:val="004B48CA"/>
    <w:rsid w:val="004C0200"/>
    <w:rsid w:val="004C0D26"/>
    <w:rsid w:val="004C1716"/>
    <w:rsid w:val="004C1B25"/>
    <w:rsid w:val="004C3002"/>
    <w:rsid w:val="004C4587"/>
    <w:rsid w:val="004C49CA"/>
    <w:rsid w:val="004C5CD8"/>
    <w:rsid w:val="004D0482"/>
    <w:rsid w:val="004D1F23"/>
    <w:rsid w:val="004D3CF8"/>
    <w:rsid w:val="004D64FC"/>
    <w:rsid w:val="004D78B9"/>
    <w:rsid w:val="004E142E"/>
    <w:rsid w:val="004E1C1A"/>
    <w:rsid w:val="004E1DC6"/>
    <w:rsid w:val="004E2491"/>
    <w:rsid w:val="004E2601"/>
    <w:rsid w:val="004E60B8"/>
    <w:rsid w:val="004E64E1"/>
    <w:rsid w:val="004E6D34"/>
    <w:rsid w:val="004E6FA7"/>
    <w:rsid w:val="004E75AF"/>
    <w:rsid w:val="004F06FF"/>
    <w:rsid w:val="004F0CEF"/>
    <w:rsid w:val="004F269F"/>
    <w:rsid w:val="004F5EAA"/>
    <w:rsid w:val="004F6FF6"/>
    <w:rsid w:val="004F7915"/>
    <w:rsid w:val="004F7DDE"/>
    <w:rsid w:val="004F7E68"/>
    <w:rsid w:val="00500505"/>
    <w:rsid w:val="005012DE"/>
    <w:rsid w:val="00501562"/>
    <w:rsid w:val="00501F69"/>
    <w:rsid w:val="00502013"/>
    <w:rsid w:val="00503858"/>
    <w:rsid w:val="005038BA"/>
    <w:rsid w:val="00506596"/>
    <w:rsid w:val="0051146E"/>
    <w:rsid w:val="00511881"/>
    <w:rsid w:val="00511B9A"/>
    <w:rsid w:val="005128DF"/>
    <w:rsid w:val="0051316C"/>
    <w:rsid w:val="00515050"/>
    <w:rsid w:val="005151A8"/>
    <w:rsid w:val="0051533F"/>
    <w:rsid w:val="00516209"/>
    <w:rsid w:val="00516737"/>
    <w:rsid w:val="00517606"/>
    <w:rsid w:val="00517D42"/>
    <w:rsid w:val="0052074F"/>
    <w:rsid w:val="00520F05"/>
    <w:rsid w:val="005221C1"/>
    <w:rsid w:val="00523FAD"/>
    <w:rsid w:val="00524214"/>
    <w:rsid w:val="00524EBE"/>
    <w:rsid w:val="005262DD"/>
    <w:rsid w:val="00527970"/>
    <w:rsid w:val="00527C64"/>
    <w:rsid w:val="00527D95"/>
    <w:rsid w:val="0053228D"/>
    <w:rsid w:val="00534277"/>
    <w:rsid w:val="00534A7E"/>
    <w:rsid w:val="005358D7"/>
    <w:rsid w:val="00535B30"/>
    <w:rsid w:val="00537264"/>
    <w:rsid w:val="005377C3"/>
    <w:rsid w:val="005416FC"/>
    <w:rsid w:val="0054261E"/>
    <w:rsid w:val="00542ABD"/>
    <w:rsid w:val="00542C06"/>
    <w:rsid w:val="0054439E"/>
    <w:rsid w:val="005463B6"/>
    <w:rsid w:val="00547A27"/>
    <w:rsid w:val="005508B9"/>
    <w:rsid w:val="00550938"/>
    <w:rsid w:val="00552078"/>
    <w:rsid w:val="005526C5"/>
    <w:rsid w:val="00552DBB"/>
    <w:rsid w:val="005530C1"/>
    <w:rsid w:val="005533A7"/>
    <w:rsid w:val="0055345F"/>
    <w:rsid w:val="00554CFC"/>
    <w:rsid w:val="00555A97"/>
    <w:rsid w:val="00562627"/>
    <w:rsid w:val="0056373E"/>
    <w:rsid w:val="00564077"/>
    <w:rsid w:val="00565C19"/>
    <w:rsid w:val="00567567"/>
    <w:rsid w:val="00571354"/>
    <w:rsid w:val="0057163C"/>
    <w:rsid w:val="00572103"/>
    <w:rsid w:val="0057239A"/>
    <w:rsid w:val="00572E30"/>
    <w:rsid w:val="00573E79"/>
    <w:rsid w:val="00573F5E"/>
    <w:rsid w:val="00575B01"/>
    <w:rsid w:val="00576117"/>
    <w:rsid w:val="00576582"/>
    <w:rsid w:val="00576B2D"/>
    <w:rsid w:val="00577A1D"/>
    <w:rsid w:val="00581E7F"/>
    <w:rsid w:val="00583B3C"/>
    <w:rsid w:val="00584308"/>
    <w:rsid w:val="005846ED"/>
    <w:rsid w:val="00584FE3"/>
    <w:rsid w:val="00585514"/>
    <w:rsid w:val="00585C6D"/>
    <w:rsid w:val="00586774"/>
    <w:rsid w:val="005870B9"/>
    <w:rsid w:val="00591BA4"/>
    <w:rsid w:val="00591EBD"/>
    <w:rsid w:val="00592954"/>
    <w:rsid w:val="00592A17"/>
    <w:rsid w:val="0059477B"/>
    <w:rsid w:val="005956D8"/>
    <w:rsid w:val="00596634"/>
    <w:rsid w:val="0059667F"/>
    <w:rsid w:val="00596E6D"/>
    <w:rsid w:val="0059703C"/>
    <w:rsid w:val="00597A7F"/>
    <w:rsid w:val="00597F29"/>
    <w:rsid w:val="005A0D34"/>
    <w:rsid w:val="005A10F2"/>
    <w:rsid w:val="005A211E"/>
    <w:rsid w:val="005A3685"/>
    <w:rsid w:val="005A368E"/>
    <w:rsid w:val="005A3D9D"/>
    <w:rsid w:val="005A5069"/>
    <w:rsid w:val="005A558B"/>
    <w:rsid w:val="005A5D3F"/>
    <w:rsid w:val="005A623F"/>
    <w:rsid w:val="005A755A"/>
    <w:rsid w:val="005B1D20"/>
    <w:rsid w:val="005B3958"/>
    <w:rsid w:val="005B3B88"/>
    <w:rsid w:val="005B4886"/>
    <w:rsid w:val="005B6924"/>
    <w:rsid w:val="005B7104"/>
    <w:rsid w:val="005C2E1D"/>
    <w:rsid w:val="005C31EA"/>
    <w:rsid w:val="005C31EE"/>
    <w:rsid w:val="005C37B0"/>
    <w:rsid w:val="005C3E1A"/>
    <w:rsid w:val="005C42F4"/>
    <w:rsid w:val="005C5945"/>
    <w:rsid w:val="005C5DED"/>
    <w:rsid w:val="005C6ADC"/>
    <w:rsid w:val="005C7143"/>
    <w:rsid w:val="005C7E40"/>
    <w:rsid w:val="005C7F6E"/>
    <w:rsid w:val="005D0085"/>
    <w:rsid w:val="005D0116"/>
    <w:rsid w:val="005D093A"/>
    <w:rsid w:val="005D0D10"/>
    <w:rsid w:val="005D38E2"/>
    <w:rsid w:val="005D3C61"/>
    <w:rsid w:val="005D3F56"/>
    <w:rsid w:val="005D4410"/>
    <w:rsid w:val="005D52FE"/>
    <w:rsid w:val="005D57A1"/>
    <w:rsid w:val="005E0C3C"/>
    <w:rsid w:val="005E120E"/>
    <w:rsid w:val="005E1EAE"/>
    <w:rsid w:val="005E202C"/>
    <w:rsid w:val="005E4F0B"/>
    <w:rsid w:val="005E64EC"/>
    <w:rsid w:val="005E7BFC"/>
    <w:rsid w:val="005E7D3A"/>
    <w:rsid w:val="005F11B9"/>
    <w:rsid w:val="005F1333"/>
    <w:rsid w:val="005F170B"/>
    <w:rsid w:val="005F2923"/>
    <w:rsid w:val="005F3872"/>
    <w:rsid w:val="005F3E00"/>
    <w:rsid w:val="005F4329"/>
    <w:rsid w:val="005F4B1F"/>
    <w:rsid w:val="005F4C3B"/>
    <w:rsid w:val="005F4F4E"/>
    <w:rsid w:val="005F5684"/>
    <w:rsid w:val="005F60DE"/>
    <w:rsid w:val="005F7341"/>
    <w:rsid w:val="005F7AC3"/>
    <w:rsid w:val="0060026B"/>
    <w:rsid w:val="0060048C"/>
    <w:rsid w:val="00600EEA"/>
    <w:rsid w:val="00601075"/>
    <w:rsid w:val="00601B54"/>
    <w:rsid w:val="00606230"/>
    <w:rsid w:val="006073F9"/>
    <w:rsid w:val="0061080B"/>
    <w:rsid w:val="00611518"/>
    <w:rsid w:val="00612EED"/>
    <w:rsid w:val="00612F34"/>
    <w:rsid w:val="006133F0"/>
    <w:rsid w:val="0061502C"/>
    <w:rsid w:val="006156D1"/>
    <w:rsid w:val="006203D9"/>
    <w:rsid w:val="00622EFF"/>
    <w:rsid w:val="00625FD6"/>
    <w:rsid w:val="00627411"/>
    <w:rsid w:val="006274BA"/>
    <w:rsid w:val="00630B34"/>
    <w:rsid w:val="006323F3"/>
    <w:rsid w:val="00632E45"/>
    <w:rsid w:val="00632F2B"/>
    <w:rsid w:val="006335C5"/>
    <w:rsid w:val="00633762"/>
    <w:rsid w:val="00634192"/>
    <w:rsid w:val="00634AAF"/>
    <w:rsid w:val="0063624C"/>
    <w:rsid w:val="00640BEC"/>
    <w:rsid w:val="00641580"/>
    <w:rsid w:val="00641C0B"/>
    <w:rsid w:val="00642068"/>
    <w:rsid w:val="006421F0"/>
    <w:rsid w:val="0064279C"/>
    <w:rsid w:val="00646CA4"/>
    <w:rsid w:val="00646CCC"/>
    <w:rsid w:val="00647572"/>
    <w:rsid w:val="00650E2E"/>
    <w:rsid w:val="00650FC1"/>
    <w:rsid w:val="00650FFF"/>
    <w:rsid w:val="006524B3"/>
    <w:rsid w:val="00652E42"/>
    <w:rsid w:val="006531E2"/>
    <w:rsid w:val="0065369F"/>
    <w:rsid w:val="00653DCA"/>
    <w:rsid w:val="006558FB"/>
    <w:rsid w:val="00655CD3"/>
    <w:rsid w:val="00656244"/>
    <w:rsid w:val="00656618"/>
    <w:rsid w:val="00656B0B"/>
    <w:rsid w:val="00656B11"/>
    <w:rsid w:val="00656DE9"/>
    <w:rsid w:val="00665492"/>
    <w:rsid w:val="0066599A"/>
    <w:rsid w:val="00665AF6"/>
    <w:rsid w:val="006667C4"/>
    <w:rsid w:val="00667913"/>
    <w:rsid w:val="00672DCF"/>
    <w:rsid w:val="0067370B"/>
    <w:rsid w:val="00674453"/>
    <w:rsid w:val="006754AC"/>
    <w:rsid w:val="0067663A"/>
    <w:rsid w:val="006773BA"/>
    <w:rsid w:val="00680225"/>
    <w:rsid w:val="0068193F"/>
    <w:rsid w:val="0068199E"/>
    <w:rsid w:val="00681CDA"/>
    <w:rsid w:val="00684621"/>
    <w:rsid w:val="00684E24"/>
    <w:rsid w:val="00684F16"/>
    <w:rsid w:val="006869D7"/>
    <w:rsid w:val="00687286"/>
    <w:rsid w:val="00690231"/>
    <w:rsid w:val="00690DA7"/>
    <w:rsid w:val="00694F8B"/>
    <w:rsid w:val="00695BAE"/>
    <w:rsid w:val="00695BF6"/>
    <w:rsid w:val="0069614D"/>
    <w:rsid w:val="006979CB"/>
    <w:rsid w:val="006A17DB"/>
    <w:rsid w:val="006A2E6D"/>
    <w:rsid w:val="006A3600"/>
    <w:rsid w:val="006A566B"/>
    <w:rsid w:val="006A59D8"/>
    <w:rsid w:val="006B164B"/>
    <w:rsid w:val="006B1CE0"/>
    <w:rsid w:val="006B4CED"/>
    <w:rsid w:val="006B4DEC"/>
    <w:rsid w:val="006B6095"/>
    <w:rsid w:val="006B694B"/>
    <w:rsid w:val="006B6B51"/>
    <w:rsid w:val="006B6E9B"/>
    <w:rsid w:val="006B7401"/>
    <w:rsid w:val="006C05F3"/>
    <w:rsid w:val="006C06C1"/>
    <w:rsid w:val="006C0A81"/>
    <w:rsid w:val="006C0AB2"/>
    <w:rsid w:val="006C14B2"/>
    <w:rsid w:val="006C2517"/>
    <w:rsid w:val="006C4CAC"/>
    <w:rsid w:val="006C4FDA"/>
    <w:rsid w:val="006D0F70"/>
    <w:rsid w:val="006D1546"/>
    <w:rsid w:val="006D6082"/>
    <w:rsid w:val="006D7259"/>
    <w:rsid w:val="006D727B"/>
    <w:rsid w:val="006D7301"/>
    <w:rsid w:val="006D7442"/>
    <w:rsid w:val="006D7E5D"/>
    <w:rsid w:val="006E062E"/>
    <w:rsid w:val="006E09AA"/>
    <w:rsid w:val="006E0C17"/>
    <w:rsid w:val="006E100C"/>
    <w:rsid w:val="006E1F42"/>
    <w:rsid w:val="006E38CD"/>
    <w:rsid w:val="006E4A4F"/>
    <w:rsid w:val="006E59F8"/>
    <w:rsid w:val="006E6BE9"/>
    <w:rsid w:val="006F0D75"/>
    <w:rsid w:val="006F18A6"/>
    <w:rsid w:val="006F2927"/>
    <w:rsid w:val="006F3A01"/>
    <w:rsid w:val="006F5B3D"/>
    <w:rsid w:val="006F5F82"/>
    <w:rsid w:val="006F7082"/>
    <w:rsid w:val="006F7E22"/>
    <w:rsid w:val="00700354"/>
    <w:rsid w:val="00700687"/>
    <w:rsid w:val="00700748"/>
    <w:rsid w:val="00704F83"/>
    <w:rsid w:val="0070505D"/>
    <w:rsid w:val="00705537"/>
    <w:rsid w:val="00705DDB"/>
    <w:rsid w:val="007074FE"/>
    <w:rsid w:val="007100BA"/>
    <w:rsid w:val="00710167"/>
    <w:rsid w:val="00712832"/>
    <w:rsid w:val="00712E15"/>
    <w:rsid w:val="007130ED"/>
    <w:rsid w:val="00714419"/>
    <w:rsid w:val="00714CED"/>
    <w:rsid w:val="007204B6"/>
    <w:rsid w:val="00721E62"/>
    <w:rsid w:val="007238E4"/>
    <w:rsid w:val="007243F3"/>
    <w:rsid w:val="00724A44"/>
    <w:rsid w:val="00726960"/>
    <w:rsid w:val="00726AA7"/>
    <w:rsid w:val="00726CF9"/>
    <w:rsid w:val="00726D4E"/>
    <w:rsid w:val="0073051C"/>
    <w:rsid w:val="007319A1"/>
    <w:rsid w:val="00731D5D"/>
    <w:rsid w:val="007328BA"/>
    <w:rsid w:val="007329DF"/>
    <w:rsid w:val="00735166"/>
    <w:rsid w:val="00736A7F"/>
    <w:rsid w:val="007377EB"/>
    <w:rsid w:val="007404ED"/>
    <w:rsid w:val="00741814"/>
    <w:rsid w:val="00742AC5"/>
    <w:rsid w:val="00743336"/>
    <w:rsid w:val="00743927"/>
    <w:rsid w:val="00744AB7"/>
    <w:rsid w:val="0074512C"/>
    <w:rsid w:val="00745D29"/>
    <w:rsid w:val="0074643C"/>
    <w:rsid w:val="0074691F"/>
    <w:rsid w:val="00746F37"/>
    <w:rsid w:val="0074705C"/>
    <w:rsid w:val="007502BD"/>
    <w:rsid w:val="00750E1D"/>
    <w:rsid w:val="00751E39"/>
    <w:rsid w:val="0075265D"/>
    <w:rsid w:val="0075328E"/>
    <w:rsid w:val="00754138"/>
    <w:rsid w:val="00754D22"/>
    <w:rsid w:val="00754EBF"/>
    <w:rsid w:val="00755459"/>
    <w:rsid w:val="00755BAA"/>
    <w:rsid w:val="007567E9"/>
    <w:rsid w:val="00756EF9"/>
    <w:rsid w:val="007570FF"/>
    <w:rsid w:val="00757371"/>
    <w:rsid w:val="00760A6B"/>
    <w:rsid w:val="0076192A"/>
    <w:rsid w:val="0076265B"/>
    <w:rsid w:val="0076297A"/>
    <w:rsid w:val="007629CE"/>
    <w:rsid w:val="00763372"/>
    <w:rsid w:val="0076426F"/>
    <w:rsid w:val="00764BDB"/>
    <w:rsid w:val="00765267"/>
    <w:rsid w:val="00765C83"/>
    <w:rsid w:val="00767D89"/>
    <w:rsid w:val="00771418"/>
    <w:rsid w:val="00771711"/>
    <w:rsid w:val="00772122"/>
    <w:rsid w:val="007730DC"/>
    <w:rsid w:val="0077431A"/>
    <w:rsid w:val="00774575"/>
    <w:rsid w:val="00774D71"/>
    <w:rsid w:val="00776189"/>
    <w:rsid w:val="007806CB"/>
    <w:rsid w:val="00783684"/>
    <w:rsid w:val="00784A6D"/>
    <w:rsid w:val="00787944"/>
    <w:rsid w:val="00787951"/>
    <w:rsid w:val="00790FB4"/>
    <w:rsid w:val="00792AC1"/>
    <w:rsid w:val="0079352F"/>
    <w:rsid w:val="007A16A2"/>
    <w:rsid w:val="007A1FA1"/>
    <w:rsid w:val="007A337E"/>
    <w:rsid w:val="007A651F"/>
    <w:rsid w:val="007A73DD"/>
    <w:rsid w:val="007B1B45"/>
    <w:rsid w:val="007B1F0E"/>
    <w:rsid w:val="007B353F"/>
    <w:rsid w:val="007B531B"/>
    <w:rsid w:val="007B6AAF"/>
    <w:rsid w:val="007B73E1"/>
    <w:rsid w:val="007B73F9"/>
    <w:rsid w:val="007B79A5"/>
    <w:rsid w:val="007B7B12"/>
    <w:rsid w:val="007C04EB"/>
    <w:rsid w:val="007C1A2F"/>
    <w:rsid w:val="007C2BFF"/>
    <w:rsid w:val="007C2D53"/>
    <w:rsid w:val="007C36C7"/>
    <w:rsid w:val="007C3B46"/>
    <w:rsid w:val="007C3D7D"/>
    <w:rsid w:val="007C4527"/>
    <w:rsid w:val="007C4A23"/>
    <w:rsid w:val="007C4E7B"/>
    <w:rsid w:val="007C694E"/>
    <w:rsid w:val="007C6C16"/>
    <w:rsid w:val="007C7789"/>
    <w:rsid w:val="007C7F91"/>
    <w:rsid w:val="007D1159"/>
    <w:rsid w:val="007D1598"/>
    <w:rsid w:val="007D2604"/>
    <w:rsid w:val="007D3E5B"/>
    <w:rsid w:val="007D4491"/>
    <w:rsid w:val="007D4DB8"/>
    <w:rsid w:val="007D5023"/>
    <w:rsid w:val="007D51F3"/>
    <w:rsid w:val="007D54A9"/>
    <w:rsid w:val="007D58D8"/>
    <w:rsid w:val="007D5F00"/>
    <w:rsid w:val="007D6214"/>
    <w:rsid w:val="007D6233"/>
    <w:rsid w:val="007D6A0C"/>
    <w:rsid w:val="007D6ADC"/>
    <w:rsid w:val="007D76E4"/>
    <w:rsid w:val="007D7B21"/>
    <w:rsid w:val="007E15F9"/>
    <w:rsid w:val="007E181D"/>
    <w:rsid w:val="007E39FA"/>
    <w:rsid w:val="007E3CAA"/>
    <w:rsid w:val="007E42F6"/>
    <w:rsid w:val="007E5151"/>
    <w:rsid w:val="007E5D5C"/>
    <w:rsid w:val="007E627A"/>
    <w:rsid w:val="007E7E30"/>
    <w:rsid w:val="007F0305"/>
    <w:rsid w:val="007F0AB5"/>
    <w:rsid w:val="007F170A"/>
    <w:rsid w:val="007F3850"/>
    <w:rsid w:val="007F3C40"/>
    <w:rsid w:val="007F41B8"/>
    <w:rsid w:val="007F46AC"/>
    <w:rsid w:val="007F75FB"/>
    <w:rsid w:val="007F7B6E"/>
    <w:rsid w:val="008003B9"/>
    <w:rsid w:val="00800D52"/>
    <w:rsid w:val="00800FD8"/>
    <w:rsid w:val="0080173A"/>
    <w:rsid w:val="00801E54"/>
    <w:rsid w:val="008033FB"/>
    <w:rsid w:val="008043EC"/>
    <w:rsid w:val="008045BC"/>
    <w:rsid w:val="00804C5D"/>
    <w:rsid w:val="0080502B"/>
    <w:rsid w:val="0080612F"/>
    <w:rsid w:val="00806D49"/>
    <w:rsid w:val="00810055"/>
    <w:rsid w:val="00810D0C"/>
    <w:rsid w:val="00812FF7"/>
    <w:rsid w:val="0081404D"/>
    <w:rsid w:val="00817253"/>
    <w:rsid w:val="00820906"/>
    <w:rsid w:val="008213CA"/>
    <w:rsid w:val="00821763"/>
    <w:rsid w:val="00823246"/>
    <w:rsid w:val="00823F59"/>
    <w:rsid w:val="00824B48"/>
    <w:rsid w:val="008264B1"/>
    <w:rsid w:val="008265A2"/>
    <w:rsid w:val="008267C8"/>
    <w:rsid w:val="00831309"/>
    <w:rsid w:val="00832832"/>
    <w:rsid w:val="00832A22"/>
    <w:rsid w:val="0083341F"/>
    <w:rsid w:val="0083433A"/>
    <w:rsid w:val="0083683E"/>
    <w:rsid w:val="008378A8"/>
    <w:rsid w:val="00837B32"/>
    <w:rsid w:val="00842274"/>
    <w:rsid w:val="00843041"/>
    <w:rsid w:val="00843249"/>
    <w:rsid w:val="008438BC"/>
    <w:rsid w:val="00843C39"/>
    <w:rsid w:val="00844E18"/>
    <w:rsid w:val="008452FA"/>
    <w:rsid w:val="0084558D"/>
    <w:rsid w:val="00845D57"/>
    <w:rsid w:val="00845F25"/>
    <w:rsid w:val="00846748"/>
    <w:rsid w:val="00846918"/>
    <w:rsid w:val="00846E0F"/>
    <w:rsid w:val="008501ED"/>
    <w:rsid w:val="00851357"/>
    <w:rsid w:val="00851992"/>
    <w:rsid w:val="00852B22"/>
    <w:rsid w:val="0085350E"/>
    <w:rsid w:val="008538D0"/>
    <w:rsid w:val="0085415D"/>
    <w:rsid w:val="00854950"/>
    <w:rsid w:val="00854F34"/>
    <w:rsid w:val="00855C60"/>
    <w:rsid w:val="00855FBF"/>
    <w:rsid w:val="0085607C"/>
    <w:rsid w:val="00856F1F"/>
    <w:rsid w:val="0085701D"/>
    <w:rsid w:val="00857276"/>
    <w:rsid w:val="00861DF8"/>
    <w:rsid w:val="00862B8D"/>
    <w:rsid w:val="00863D96"/>
    <w:rsid w:val="00865BD9"/>
    <w:rsid w:val="008661FD"/>
    <w:rsid w:val="008663BE"/>
    <w:rsid w:val="00866C14"/>
    <w:rsid w:val="00870194"/>
    <w:rsid w:val="00870231"/>
    <w:rsid w:val="00872BA3"/>
    <w:rsid w:val="0087392A"/>
    <w:rsid w:val="00874B03"/>
    <w:rsid w:val="00874CB1"/>
    <w:rsid w:val="00874FEF"/>
    <w:rsid w:val="008751A9"/>
    <w:rsid w:val="008771B3"/>
    <w:rsid w:val="00880695"/>
    <w:rsid w:val="008818D9"/>
    <w:rsid w:val="00881B31"/>
    <w:rsid w:val="00882121"/>
    <w:rsid w:val="00882168"/>
    <w:rsid w:val="008822BD"/>
    <w:rsid w:val="00884B7B"/>
    <w:rsid w:val="0088531A"/>
    <w:rsid w:val="008863A4"/>
    <w:rsid w:val="00886576"/>
    <w:rsid w:val="00886D90"/>
    <w:rsid w:val="00887725"/>
    <w:rsid w:val="008879A2"/>
    <w:rsid w:val="00887C37"/>
    <w:rsid w:val="00890F08"/>
    <w:rsid w:val="0089114D"/>
    <w:rsid w:val="00891B2F"/>
    <w:rsid w:val="00893413"/>
    <w:rsid w:val="00893F33"/>
    <w:rsid w:val="008958EC"/>
    <w:rsid w:val="0089675E"/>
    <w:rsid w:val="008A1FF5"/>
    <w:rsid w:val="008A2E9D"/>
    <w:rsid w:val="008A3368"/>
    <w:rsid w:val="008A551D"/>
    <w:rsid w:val="008A5532"/>
    <w:rsid w:val="008A61BA"/>
    <w:rsid w:val="008A67FC"/>
    <w:rsid w:val="008A78F0"/>
    <w:rsid w:val="008B0F3D"/>
    <w:rsid w:val="008B170E"/>
    <w:rsid w:val="008B248F"/>
    <w:rsid w:val="008B378C"/>
    <w:rsid w:val="008B4F67"/>
    <w:rsid w:val="008B53D9"/>
    <w:rsid w:val="008B64D5"/>
    <w:rsid w:val="008B666F"/>
    <w:rsid w:val="008B7266"/>
    <w:rsid w:val="008B78A9"/>
    <w:rsid w:val="008B7FE2"/>
    <w:rsid w:val="008C01BE"/>
    <w:rsid w:val="008C12F6"/>
    <w:rsid w:val="008C133E"/>
    <w:rsid w:val="008C2625"/>
    <w:rsid w:val="008C385B"/>
    <w:rsid w:val="008C52B6"/>
    <w:rsid w:val="008C721E"/>
    <w:rsid w:val="008D03A1"/>
    <w:rsid w:val="008D1132"/>
    <w:rsid w:val="008D1FAB"/>
    <w:rsid w:val="008D5799"/>
    <w:rsid w:val="008D67EA"/>
    <w:rsid w:val="008D71C5"/>
    <w:rsid w:val="008D7408"/>
    <w:rsid w:val="008D76F6"/>
    <w:rsid w:val="008E1F5D"/>
    <w:rsid w:val="008E25A2"/>
    <w:rsid w:val="008E3BF4"/>
    <w:rsid w:val="008E3E1F"/>
    <w:rsid w:val="008E4383"/>
    <w:rsid w:val="008E4983"/>
    <w:rsid w:val="008E6DF9"/>
    <w:rsid w:val="008F028D"/>
    <w:rsid w:val="008F0315"/>
    <w:rsid w:val="008F04B5"/>
    <w:rsid w:val="008F121C"/>
    <w:rsid w:val="008F12A3"/>
    <w:rsid w:val="008F12D9"/>
    <w:rsid w:val="008F2549"/>
    <w:rsid w:val="008F4930"/>
    <w:rsid w:val="008F57FE"/>
    <w:rsid w:val="008F5DFD"/>
    <w:rsid w:val="008F747E"/>
    <w:rsid w:val="009002BD"/>
    <w:rsid w:val="0090104C"/>
    <w:rsid w:val="00901701"/>
    <w:rsid w:val="00901B9A"/>
    <w:rsid w:val="009024E7"/>
    <w:rsid w:val="00902957"/>
    <w:rsid w:val="00903066"/>
    <w:rsid w:val="00904334"/>
    <w:rsid w:val="00905C2E"/>
    <w:rsid w:val="009064CC"/>
    <w:rsid w:val="0090785B"/>
    <w:rsid w:val="0091129C"/>
    <w:rsid w:val="009124F1"/>
    <w:rsid w:val="0091522A"/>
    <w:rsid w:val="00920F45"/>
    <w:rsid w:val="00921964"/>
    <w:rsid w:val="009226D2"/>
    <w:rsid w:val="00922B2F"/>
    <w:rsid w:val="00922BB4"/>
    <w:rsid w:val="00923D46"/>
    <w:rsid w:val="009241C3"/>
    <w:rsid w:val="0092486D"/>
    <w:rsid w:val="00924983"/>
    <w:rsid w:val="00924DB2"/>
    <w:rsid w:val="009254FA"/>
    <w:rsid w:val="00927839"/>
    <w:rsid w:val="009279F7"/>
    <w:rsid w:val="009302B5"/>
    <w:rsid w:val="00933A8C"/>
    <w:rsid w:val="00934107"/>
    <w:rsid w:val="009357A6"/>
    <w:rsid w:val="0093626F"/>
    <w:rsid w:val="00936610"/>
    <w:rsid w:val="0093770E"/>
    <w:rsid w:val="00940968"/>
    <w:rsid w:val="009421C4"/>
    <w:rsid w:val="0094316B"/>
    <w:rsid w:val="00943D71"/>
    <w:rsid w:val="00943DAB"/>
    <w:rsid w:val="009459BF"/>
    <w:rsid w:val="009471DA"/>
    <w:rsid w:val="00947D86"/>
    <w:rsid w:val="00950D6D"/>
    <w:rsid w:val="00952EA7"/>
    <w:rsid w:val="009534A5"/>
    <w:rsid w:val="009537D0"/>
    <w:rsid w:val="00954706"/>
    <w:rsid w:val="0095774B"/>
    <w:rsid w:val="00960CD3"/>
    <w:rsid w:val="009619D3"/>
    <w:rsid w:val="00961C63"/>
    <w:rsid w:val="00962809"/>
    <w:rsid w:val="00964AB0"/>
    <w:rsid w:val="00966553"/>
    <w:rsid w:val="00967925"/>
    <w:rsid w:val="009729E1"/>
    <w:rsid w:val="00974847"/>
    <w:rsid w:val="00975A0E"/>
    <w:rsid w:val="00975E42"/>
    <w:rsid w:val="00976064"/>
    <w:rsid w:val="00976544"/>
    <w:rsid w:val="00977267"/>
    <w:rsid w:val="009776CD"/>
    <w:rsid w:val="00980EA8"/>
    <w:rsid w:val="009814E8"/>
    <w:rsid w:val="009823AA"/>
    <w:rsid w:val="00982591"/>
    <w:rsid w:val="009841B6"/>
    <w:rsid w:val="00984935"/>
    <w:rsid w:val="00984C28"/>
    <w:rsid w:val="009853C3"/>
    <w:rsid w:val="00987240"/>
    <w:rsid w:val="00987E3F"/>
    <w:rsid w:val="00990228"/>
    <w:rsid w:val="00990D52"/>
    <w:rsid w:val="00991623"/>
    <w:rsid w:val="00995CB5"/>
    <w:rsid w:val="00996113"/>
    <w:rsid w:val="009966CB"/>
    <w:rsid w:val="00996DC2"/>
    <w:rsid w:val="00996FB7"/>
    <w:rsid w:val="009974B8"/>
    <w:rsid w:val="009A087B"/>
    <w:rsid w:val="009A1610"/>
    <w:rsid w:val="009A1798"/>
    <w:rsid w:val="009A1D5D"/>
    <w:rsid w:val="009A25F5"/>
    <w:rsid w:val="009A3A85"/>
    <w:rsid w:val="009A4BE2"/>
    <w:rsid w:val="009A5488"/>
    <w:rsid w:val="009A5CD8"/>
    <w:rsid w:val="009A7278"/>
    <w:rsid w:val="009B01A2"/>
    <w:rsid w:val="009B023D"/>
    <w:rsid w:val="009B05D9"/>
    <w:rsid w:val="009B0D19"/>
    <w:rsid w:val="009B1D0D"/>
    <w:rsid w:val="009B2CD5"/>
    <w:rsid w:val="009B3B99"/>
    <w:rsid w:val="009B51BF"/>
    <w:rsid w:val="009B656A"/>
    <w:rsid w:val="009C0EC7"/>
    <w:rsid w:val="009C2593"/>
    <w:rsid w:val="009C41B5"/>
    <w:rsid w:val="009C4744"/>
    <w:rsid w:val="009C5A24"/>
    <w:rsid w:val="009D057C"/>
    <w:rsid w:val="009D1506"/>
    <w:rsid w:val="009D22CD"/>
    <w:rsid w:val="009D27F3"/>
    <w:rsid w:val="009D2D37"/>
    <w:rsid w:val="009D3E7B"/>
    <w:rsid w:val="009D43F3"/>
    <w:rsid w:val="009D5CE0"/>
    <w:rsid w:val="009D687E"/>
    <w:rsid w:val="009D6C31"/>
    <w:rsid w:val="009D747A"/>
    <w:rsid w:val="009E0794"/>
    <w:rsid w:val="009E08A4"/>
    <w:rsid w:val="009E29A9"/>
    <w:rsid w:val="009E35EB"/>
    <w:rsid w:val="009E3651"/>
    <w:rsid w:val="009E4013"/>
    <w:rsid w:val="009E4180"/>
    <w:rsid w:val="009E53D7"/>
    <w:rsid w:val="009E5BD8"/>
    <w:rsid w:val="009E66E7"/>
    <w:rsid w:val="009E6D68"/>
    <w:rsid w:val="009E78D3"/>
    <w:rsid w:val="009F1A8E"/>
    <w:rsid w:val="009F1E69"/>
    <w:rsid w:val="009F2549"/>
    <w:rsid w:val="009F2864"/>
    <w:rsid w:val="009F3781"/>
    <w:rsid w:val="009F3A86"/>
    <w:rsid w:val="009F405E"/>
    <w:rsid w:val="009F4F0D"/>
    <w:rsid w:val="009F5194"/>
    <w:rsid w:val="009F5574"/>
    <w:rsid w:val="009F5AED"/>
    <w:rsid w:val="009F71B7"/>
    <w:rsid w:val="009F73B2"/>
    <w:rsid w:val="009F7510"/>
    <w:rsid w:val="00A00749"/>
    <w:rsid w:val="00A00C71"/>
    <w:rsid w:val="00A049ED"/>
    <w:rsid w:val="00A0549D"/>
    <w:rsid w:val="00A05716"/>
    <w:rsid w:val="00A06522"/>
    <w:rsid w:val="00A07548"/>
    <w:rsid w:val="00A07770"/>
    <w:rsid w:val="00A100EA"/>
    <w:rsid w:val="00A1149F"/>
    <w:rsid w:val="00A12998"/>
    <w:rsid w:val="00A13B8A"/>
    <w:rsid w:val="00A13BC5"/>
    <w:rsid w:val="00A13C29"/>
    <w:rsid w:val="00A1430A"/>
    <w:rsid w:val="00A15C1A"/>
    <w:rsid w:val="00A16AD7"/>
    <w:rsid w:val="00A1791B"/>
    <w:rsid w:val="00A20109"/>
    <w:rsid w:val="00A22321"/>
    <w:rsid w:val="00A22E34"/>
    <w:rsid w:val="00A23616"/>
    <w:rsid w:val="00A2385D"/>
    <w:rsid w:val="00A24BC4"/>
    <w:rsid w:val="00A250A1"/>
    <w:rsid w:val="00A25317"/>
    <w:rsid w:val="00A262D5"/>
    <w:rsid w:val="00A26497"/>
    <w:rsid w:val="00A27314"/>
    <w:rsid w:val="00A276BA"/>
    <w:rsid w:val="00A27908"/>
    <w:rsid w:val="00A27EC5"/>
    <w:rsid w:val="00A31351"/>
    <w:rsid w:val="00A316EA"/>
    <w:rsid w:val="00A317F1"/>
    <w:rsid w:val="00A31E5F"/>
    <w:rsid w:val="00A31E74"/>
    <w:rsid w:val="00A32056"/>
    <w:rsid w:val="00A3381A"/>
    <w:rsid w:val="00A33850"/>
    <w:rsid w:val="00A34F26"/>
    <w:rsid w:val="00A35B24"/>
    <w:rsid w:val="00A36E89"/>
    <w:rsid w:val="00A3731C"/>
    <w:rsid w:val="00A373B7"/>
    <w:rsid w:val="00A373C3"/>
    <w:rsid w:val="00A37E3B"/>
    <w:rsid w:val="00A400C5"/>
    <w:rsid w:val="00A40287"/>
    <w:rsid w:val="00A40A1C"/>
    <w:rsid w:val="00A426C1"/>
    <w:rsid w:val="00A434DE"/>
    <w:rsid w:val="00A44EC5"/>
    <w:rsid w:val="00A45339"/>
    <w:rsid w:val="00A463D2"/>
    <w:rsid w:val="00A50445"/>
    <w:rsid w:val="00A5249D"/>
    <w:rsid w:val="00A52A5A"/>
    <w:rsid w:val="00A53D8E"/>
    <w:rsid w:val="00A54149"/>
    <w:rsid w:val="00A54511"/>
    <w:rsid w:val="00A5481D"/>
    <w:rsid w:val="00A5491D"/>
    <w:rsid w:val="00A5533C"/>
    <w:rsid w:val="00A555AA"/>
    <w:rsid w:val="00A5568B"/>
    <w:rsid w:val="00A57318"/>
    <w:rsid w:val="00A6013E"/>
    <w:rsid w:val="00A602D6"/>
    <w:rsid w:val="00A60C47"/>
    <w:rsid w:val="00A61FD2"/>
    <w:rsid w:val="00A629C5"/>
    <w:rsid w:val="00A670EC"/>
    <w:rsid w:val="00A70436"/>
    <w:rsid w:val="00A70AE2"/>
    <w:rsid w:val="00A7127F"/>
    <w:rsid w:val="00A71B43"/>
    <w:rsid w:val="00A71E99"/>
    <w:rsid w:val="00A745CB"/>
    <w:rsid w:val="00A7499B"/>
    <w:rsid w:val="00A75041"/>
    <w:rsid w:val="00A75402"/>
    <w:rsid w:val="00A76D4A"/>
    <w:rsid w:val="00A80B55"/>
    <w:rsid w:val="00A80C00"/>
    <w:rsid w:val="00A81E2B"/>
    <w:rsid w:val="00A831E4"/>
    <w:rsid w:val="00A86892"/>
    <w:rsid w:val="00A90983"/>
    <w:rsid w:val="00A90CE8"/>
    <w:rsid w:val="00A91C5C"/>
    <w:rsid w:val="00A92072"/>
    <w:rsid w:val="00A93AF7"/>
    <w:rsid w:val="00A94203"/>
    <w:rsid w:val="00A962A5"/>
    <w:rsid w:val="00A966AA"/>
    <w:rsid w:val="00A9761D"/>
    <w:rsid w:val="00AA067C"/>
    <w:rsid w:val="00AA1210"/>
    <w:rsid w:val="00AA13A4"/>
    <w:rsid w:val="00AA1CAE"/>
    <w:rsid w:val="00AA35B3"/>
    <w:rsid w:val="00AA5FD3"/>
    <w:rsid w:val="00AA7520"/>
    <w:rsid w:val="00AA7BF4"/>
    <w:rsid w:val="00AB089D"/>
    <w:rsid w:val="00AB0C60"/>
    <w:rsid w:val="00AB1718"/>
    <w:rsid w:val="00AB17B4"/>
    <w:rsid w:val="00AB2C96"/>
    <w:rsid w:val="00AB54F8"/>
    <w:rsid w:val="00AB6053"/>
    <w:rsid w:val="00AC420A"/>
    <w:rsid w:val="00AC496B"/>
    <w:rsid w:val="00AC5E0D"/>
    <w:rsid w:val="00AC5FE2"/>
    <w:rsid w:val="00AC7106"/>
    <w:rsid w:val="00AC7820"/>
    <w:rsid w:val="00AD33FC"/>
    <w:rsid w:val="00AD42FF"/>
    <w:rsid w:val="00AD5107"/>
    <w:rsid w:val="00AD58D2"/>
    <w:rsid w:val="00AD65EA"/>
    <w:rsid w:val="00AD6719"/>
    <w:rsid w:val="00AD6A15"/>
    <w:rsid w:val="00AD7B23"/>
    <w:rsid w:val="00AE02A1"/>
    <w:rsid w:val="00AE4A07"/>
    <w:rsid w:val="00AE4C39"/>
    <w:rsid w:val="00AE5D60"/>
    <w:rsid w:val="00AE7438"/>
    <w:rsid w:val="00AF1023"/>
    <w:rsid w:val="00AF1766"/>
    <w:rsid w:val="00AF1865"/>
    <w:rsid w:val="00AF27E2"/>
    <w:rsid w:val="00AF34A7"/>
    <w:rsid w:val="00AF4376"/>
    <w:rsid w:val="00AF4AF8"/>
    <w:rsid w:val="00AF4DBF"/>
    <w:rsid w:val="00AF4E44"/>
    <w:rsid w:val="00AF4FBA"/>
    <w:rsid w:val="00AF69BE"/>
    <w:rsid w:val="00B00D06"/>
    <w:rsid w:val="00B01142"/>
    <w:rsid w:val="00B01629"/>
    <w:rsid w:val="00B017F9"/>
    <w:rsid w:val="00B0232F"/>
    <w:rsid w:val="00B02D60"/>
    <w:rsid w:val="00B04A16"/>
    <w:rsid w:val="00B064EF"/>
    <w:rsid w:val="00B10E5D"/>
    <w:rsid w:val="00B10F23"/>
    <w:rsid w:val="00B11893"/>
    <w:rsid w:val="00B11AAD"/>
    <w:rsid w:val="00B12188"/>
    <w:rsid w:val="00B1450D"/>
    <w:rsid w:val="00B15BC7"/>
    <w:rsid w:val="00B168BB"/>
    <w:rsid w:val="00B20C7E"/>
    <w:rsid w:val="00B2270F"/>
    <w:rsid w:val="00B23990"/>
    <w:rsid w:val="00B24495"/>
    <w:rsid w:val="00B254CD"/>
    <w:rsid w:val="00B2626D"/>
    <w:rsid w:val="00B275A8"/>
    <w:rsid w:val="00B30A68"/>
    <w:rsid w:val="00B32380"/>
    <w:rsid w:val="00B33948"/>
    <w:rsid w:val="00B34086"/>
    <w:rsid w:val="00B351EC"/>
    <w:rsid w:val="00B3582D"/>
    <w:rsid w:val="00B40A59"/>
    <w:rsid w:val="00B40AB3"/>
    <w:rsid w:val="00B410A1"/>
    <w:rsid w:val="00B4166A"/>
    <w:rsid w:val="00B41703"/>
    <w:rsid w:val="00B423C6"/>
    <w:rsid w:val="00B44216"/>
    <w:rsid w:val="00B4481F"/>
    <w:rsid w:val="00B44E10"/>
    <w:rsid w:val="00B450D6"/>
    <w:rsid w:val="00B45D1A"/>
    <w:rsid w:val="00B46D3B"/>
    <w:rsid w:val="00B47289"/>
    <w:rsid w:val="00B505DC"/>
    <w:rsid w:val="00B52134"/>
    <w:rsid w:val="00B5230F"/>
    <w:rsid w:val="00B524F2"/>
    <w:rsid w:val="00B527E1"/>
    <w:rsid w:val="00B535EB"/>
    <w:rsid w:val="00B53853"/>
    <w:rsid w:val="00B53901"/>
    <w:rsid w:val="00B53E94"/>
    <w:rsid w:val="00B546C4"/>
    <w:rsid w:val="00B549B3"/>
    <w:rsid w:val="00B55628"/>
    <w:rsid w:val="00B55C95"/>
    <w:rsid w:val="00B60791"/>
    <w:rsid w:val="00B61636"/>
    <w:rsid w:val="00B6171D"/>
    <w:rsid w:val="00B62F23"/>
    <w:rsid w:val="00B62FC7"/>
    <w:rsid w:val="00B6391A"/>
    <w:rsid w:val="00B63C58"/>
    <w:rsid w:val="00B63F3A"/>
    <w:rsid w:val="00B644F6"/>
    <w:rsid w:val="00B6492B"/>
    <w:rsid w:val="00B653AD"/>
    <w:rsid w:val="00B664A3"/>
    <w:rsid w:val="00B71EB2"/>
    <w:rsid w:val="00B72A55"/>
    <w:rsid w:val="00B72D94"/>
    <w:rsid w:val="00B75D5B"/>
    <w:rsid w:val="00B7612D"/>
    <w:rsid w:val="00B80E47"/>
    <w:rsid w:val="00B80F97"/>
    <w:rsid w:val="00B8105A"/>
    <w:rsid w:val="00B814EF"/>
    <w:rsid w:val="00B822E9"/>
    <w:rsid w:val="00B82F88"/>
    <w:rsid w:val="00B84E49"/>
    <w:rsid w:val="00B8621D"/>
    <w:rsid w:val="00B876AC"/>
    <w:rsid w:val="00B87849"/>
    <w:rsid w:val="00B90B3A"/>
    <w:rsid w:val="00B92DB8"/>
    <w:rsid w:val="00B930A2"/>
    <w:rsid w:val="00B93A47"/>
    <w:rsid w:val="00B93BE2"/>
    <w:rsid w:val="00B93CCC"/>
    <w:rsid w:val="00B94A3D"/>
    <w:rsid w:val="00BA03E5"/>
    <w:rsid w:val="00BA1003"/>
    <w:rsid w:val="00BA253C"/>
    <w:rsid w:val="00BA2D5B"/>
    <w:rsid w:val="00BA3323"/>
    <w:rsid w:val="00BA4124"/>
    <w:rsid w:val="00BA51AC"/>
    <w:rsid w:val="00BA5802"/>
    <w:rsid w:val="00BA5D6D"/>
    <w:rsid w:val="00BA6D11"/>
    <w:rsid w:val="00BA7015"/>
    <w:rsid w:val="00BB260C"/>
    <w:rsid w:val="00BB36A0"/>
    <w:rsid w:val="00BB4757"/>
    <w:rsid w:val="00BB4EC9"/>
    <w:rsid w:val="00BC18CB"/>
    <w:rsid w:val="00BC2377"/>
    <w:rsid w:val="00BC2DC7"/>
    <w:rsid w:val="00BC30C1"/>
    <w:rsid w:val="00BC35D4"/>
    <w:rsid w:val="00BC3A18"/>
    <w:rsid w:val="00BC4C0E"/>
    <w:rsid w:val="00BC77B8"/>
    <w:rsid w:val="00BD2985"/>
    <w:rsid w:val="00BD2ADF"/>
    <w:rsid w:val="00BD2CBA"/>
    <w:rsid w:val="00BD3499"/>
    <w:rsid w:val="00BD5963"/>
    <w:rsid w:val="00BD7DAA"/>
    <w:rsid w:val="00BE08F9"/>
    <w:rsid w:val="00BE0FEC"/>
    <w:rsid w:val="00BE14E0"/>
    <w:rsid w:val="00BE1E80"/>
    <w:rsid w:val="00BE2274"/>
    <w:rsid w:val="00BE2E6B"/>
    <w:rsid w:val="00BE2F56"/>
    <w:rsid w:val="00BE3290"/>
    <w:rsid w:val="00BE49E5"/>
    <w:rsid w:val="00BE5184"/>
    <w:rsid w:val="00BE674D"/>
    <w:rsid w:val="00BE679D"/>
    <w:rsid w:val="00BE6B10"/>
    <w:rsid w:val="00BE7093"/>
    <w:rsid w:val="00BE7EBA"/>
    <w:rsid w:val="00BF0EA5"/>
    <w:rsid w:val="00BF0F66"/>
    <w:rsid w:val="00BF1DFC"/>
    <w:rsid w:val="00BF32F7"/>
    <w:rsid w:val="00BF417A"/>
    <w:rsid w:val="00BF4F9C"/>
    <w:rsid w:val="00BF5DA2"/>
    <w:rsid w:val="00BF67D3"/>
    <w:rsid w:val="00BF7F27"/>
    <w:rsid w:val="00C01ABB"/>
    <w:rsid w:val="00C01D97"/>
    <w:rsid w:val="00C031AC"/>
    <w:rsid w:val="00C03EE0"/>
    <w:rsid w:val="00C03F26"/>
    <w:rsid w:val="00C03F72"/>
    <w:rsid w:val="00C04493"/>
    <w:rsid w:val="00C0541F"/>
    <w:rsid w:val="00C06311"/>
    <w:rsid w:val="00C0691D"/>
    <w:rsid w:val="00C11368"/>
    <w:rsid w:val="00C124DA"/>
    <w:rsid w:val="00C12A81"/>
    <w:rsid w:val="00C14E08"/>
    <w:rsid w:val="00C14EA0"/>
    <w:rsid w:val="00C159AA"/>
    <w:rsid w:val="00C1664A"/>
    <w:rsid w:val="00C16B74"/>
    <w:rsid w:val="00C16C6C"/>
    <w:rsid w:val="00C1709A"/>
    <w:rsid w:val="00C215B9"/>
    <w:rsid w:val="00C23473"/>
    <w:rsid w:val="00C27AD6"/>
    <w:rsid w:val="00C27D8A"/>
    <w:rsid w:val="00C306EF"/>
    <w:rsid w:val="00C30C28"/>
    <w:rsid w:val="00C322F5"/>
    <w:rsid w:val="00C33300"/>
    <w:rsid w:val="00C33A12"/>
    <w:rsid w:val="00C343D5"/>
    <w:rsid w:val="00C348DF"/>
    <w:rsid w:val="00C34A9D"/>
    <w:rsid w:val="00C35E13"/>
    <w:rsid w:val="00C36052"/>
    <w:rsid w:val="00C368EB"/>
    <w:rsid w:val="00C370F8"/>
    <w:rsid w:val="00C4092E"/>
    <w:rsid w:val="00C42200"/>
    <w:rsid w:val="00C42D72"/>
    <w:rsid w:val="00C43277"/>
    <w:rsid w:val="00C43441"/>
    <w:rsid w:val="00C44608"/>
    <w:rsid w:val="00C47E47"/>
    <w:rsid w:val="00C51C4E"/>
    <w:rsid w:val="00C520DC"/>
    <w:rsid w:val="00C523F6"/>
    <w:rsid w:val="00C5378A"/>
    <w:rsid w:val="00C5394B"/>
    <w:rsid w:val="00C549B6"/>
    <w:rsid w:val="00C55D57"/>
    <w:rsid w:val="00C55F33"/>
    <w:rsid w:val="00C568F9"/>
    <w:rsid w:val="00C56AE7"/>
    <w:rsid w:val="00C57B5A"/>
    <w:rsid w:val="00C60CCA"/>
    <w:rsid w:val="00C626B7"/>
    <w:rsid w:val="00C636DE"/>
    <w:rsid w:val="00C64DF4"/>
    <w:rsid w:val="00C66F1A"/>
    <w:rsid w:val="00C701BF"/>
    <w:rsid w:val="00C713DE"/>
    <w:rsid w:val="00C71B07"/>
    <w:rsid w:val="00C736D7"/>
    <w:rsid w:val="00C736E2"/>
    <w:rsid w:val="00C745F3"/>
    <w:rsid w:val="00C748A4"/>
    <w:rsid w:val="00C74D70"/>
    <w:rsid w:val="00C80679"/>
    <w:rsid w:val="00C8219F"/>
    <w:rsid w:val="00C821DF"/>
    <w:rsid w:val="00C82DC3"/>
    <w:rsid w:val="00C831D5"/>
    <w:rsid w:val="00C83C15"/>
    <w:rsid w:val="00C84163"/>
    <w:rsid w:val="00C848A1"/>
    <w:rsid w:val="00C84EBC"/>
    <w:rsid w:val="00C8641A"/>
    <w:rsid w:val="00C87266"/>
    <w:rsid w:val="00C87731"/>
    <w:rsid w:val="00C9064A"/>
    <w:rsid w:val="00C906E4"/>
    <w:rsid w:val="00C92853"/>
    <w:rsid w:val="00C92E7D"/>
    <w:rsid w:val="00C92F9D"/>
    <w:rsid w:val="00C946A2"/>
    <w:rsid w:val="00C94927"/>
    <w:rsid w:val="00C969A9"/>
    <w:rsid w:val="00C96A20"/>
    <w:rsid w:val="00C97062"/>
    <w:rsid w:val="00C97147"/>
    <w:rsid w:val="00CA134D"/>
    <w:rsid w:val="00CA20B7"/>
    <w:rsid w:val="00CA3F40"/>
    <w:rsid w:val="00CA42E7"/>
    <w:rsid w:val="00CA4735"/>
    <w:rsid w:val="00CA4EB0"/>
    <w:rsid w:val="00CA60AE"/>
    <w:rsid w:val="00CA62DB"/>
    <w:rsid w:val="00CA65AA"/>
    <w:rsid w:val="00CA6693"/>
    <w:rsid w:val="00CB05DA"/>
    <w:rsid w:val="00CB0B20"/>
    <w:rsid w:val="00CB17DD"/>
    <w:rsid w:val="00CB2F11"/>
    <w:rsid w:val="00CB495F"/>
    <w:rsid w:val="00CB62DD"/>
    <w:rsid w:val="00CB76FF"/>
    <w:rsid w:val="00CC01DE"/>
    <w:rsid w:val="00CC146D"/>
    <w:rsid w:val="00CC2540"/>
    <w:rsid w:val="00CC364C"/>
    <w:rsid w:val="00CC42F9"/>
    <w:rsid w:val="00CC4EA9"/>
    <w:rsid w:val="00CC4F74"/>
    <w:rsid w:val="00CC4FCE"/>
    <w:rsid w:val="00CC5607"/>
    <w:rsid w:val="00CC5FE3"/>
    <w:rsid w:val="00CC655B"/>
    <w:rsid w:val="00CC6A9C"/>
    <w:rsid w:val="00CD0B0B"/>
    <w:rsid w:val="00CD129E"/>
    <w:rsid w:val="00CD42D2"/>
    <w:rsid w:val="00CD604A"/>
    <w:rsid w:val="00CD7228"/>
    <w:rsid w:val="00CE10CD"/>
    <w:rsid w:val="00CE370D"/>
    <w:rsid w:val="00CE4579"/>
    <w:rsid w:val="00CE4E8F"/>
    <w:rsid w:val="00CE5582"/>
    <w:rsid w:val="00CE5AC0"/>
    <w:rsid w:val="00CE7565"/>
    <w:rsid w:val="00CF125B"/>
    <w:rsid w:val="00CF1B47"/>
    <w:rsid w:val="00CF2994"/>
    <w:rsid w:val="00CF2CB7"/>
    <w:rsid w:val="00CF6D9F"/>
    <w:rsid w:val="00CF71A7"/>
    <w:rsid w:val="00CF7827"/>
    <w:rsid w:val="00CF7E64"/>
    <w:rsid w:val="00D01DA0"/>
    <w:rsid w:val="00D020D0"/>
    <w:rsid w:val="00D02C71"/>
    <w:rsid w:val="00D02EAC"/>
    <w:rsid w:val="00D04219"/>
    <w:rsid w:val="00D043DA"/>
    <w:rsid w:val="00D04929"/>
    <w:rsid w:val="00D05A60"/>
    <w:rsid w:val="00D05EEA"/>
    <w:rsid w:val="00D06477"/>
    <w:rsid w:val="00D0659B"/>
    <w:rsid w:val="00D06B29"/>
    <w:rsid w:val="00D06DE5"/>
    <w:rsid w:val="00D07B6B"/>
    <w:rsid w:val="00D07DF9"/>
    <w:rsid w:val="00D10BC0"/>
    <w:rsid w:val="00D114F2"/>
    <w:rsid w:val="00D11729"/>
    <w:rsid w:val="00D11E19"/>
    <w:rsid w:val="00D11F32"/>
    <w:rsid w:val="00D11FD4"/>
    <w:rsid w:val="00D12EB8"/>
    <w:rsid w:val="00D1342B"/>
    <w:rsid w:val="00D13F32"/>
    <w:rsid w:val="00D14040"/>
    <w:rsid w:val="00D16AB8"/>
    <w:rsid w:val="00D16FCF"/>
    <w:rsid w:val="00D1720F"/>
    <w:rsid w:val="00D207B7"/>
    <w:rsid w:val="00D2245E"/>
    <w:rsid w:val="00D22928"/>
    <w:rsid w:val="00D22D67"/>
    <w:rsid w:val="00D24495"/>
    <w:rsid w:val="00D2524A"/>
    <w:rsid w:val="00D26DC9"/>
    <w:rsid w:val="00D27553"/>
    <w:rsid w:val="00D27A43"/>
    <w:rsid w:val="00D325B8"/>
    <w:rsid w:val="00D329D4"/>
    <w:rsid w:val="00D32DF3"/>
    <w:rsid w:val="00D32F46"/>
    <w:rsid w:val="00D33055"/>
    <w:rsid w:val="00D333BB"/>
    <w:rsid w:val="00D35488"/>
    <w:rsid w:val="00D354D6"/>
    <w:rsid w:val="00D355A3"/>
    <w:rsid w:val="00D35EA0"/>
    <w:rsid w:val="00D36C85"/>
    <w:rsid w:val="00D370BD"/>
    <w:rsid w:val="00D373C5"/>
    <w:rsid w:val="00D3781C"/>
    <w:rsid w:val="00D37991"/>
    <w:rsid w:val="00D37F8B"/>
    <w:rsid w:val="00D40821"/>
    <w:rsid w:val="00D42A9A"/>
    <w:rsid w:val="00D445BC"/>
    <w:rsid w:val="00D45A11"/>
    <w:rsid w:val="00D45F13"/>
    <w:rsid w:val="00D46CA3"/>
    <w:rsid w:val="00D47F7F"/>
    <w:rsid w:val="00D514FF"/>
    <w:rsid w:val="00D533A6"/>
    <w:rsid w:val="00D53AB3"/>
    <w:rsid w:val="00D53D99"/>
    <w:rsid w:val="00D53D9D"/>
    <w:rsid w:val="00D545DC"/>
    <w:rsid w:val="00D55AF2"/>
    <w:rsid w:val="00D55F11"/>
    <w:rsid w:val="00D564B6"/>
    <w:rsid w:val="00D56DFB"/>
    <w:rsid w:val="00D57434"/>
    <w:rsid w:val="00D60806"/>
    <w:rsid w:val="00D60BCD"/>
    <w:rsid w:val="00D617F5"/>
    <w:rsid w:val="00D6257C"/>
    <w:rsid w:val="00D6280A"/>
    <w:rsid w:val="00D63764"/>
    <w:rsid w:val="00D64890"/>
    <w:rsid w:val="00D64E63"/>
    <w:rsid w:val="00D65096"/>
    <w:rsid w:val="00D67359"/>
    <w:rsid w:val="00D70D98"/>
    <w:rsid w:val="00D71EFA"/>
    <w:rsid w:val="00D720BD"/>
    <w:rsid w:val="00D72DB3"/>
    <w:rsid w:val="00D73E41"/>
    <w:rsid w:val="00D740D0"/>
    <w:rsid w:val="00D758D9"/>
    <w:rsid w:val="00D77A3F"/>
    <w:rsid w:val="00D80587"/>
    <w:rsid w:val="00D8107E"/>
    <w:rsid w:val="00D825CF"/>
    <w:rsid w:val="00D83A0B"/>
    <w:rsid w:val="00D8418B"/>
    <w:rsid w:val="00D84466"/>
    <w:rsid w:val="00D85BD6"/>
    <w:rsid w:val="00D86DC5"/>
    <w:rsid w:val="00D90CD4"/>
    <w:rsid w:val="00D91E9F"/>
    <w:rsid w:val="00D96520"/>
    <w:rsid w:val="00DA1ACC"/>
    <w:rsid w:val="00DA2BA3"/>
    <w:rsid w:val="00DA36A2"/>
    <w:rsid w:val="00DA4310"/>
    <w:rsid w:val="00DA44DB"/>
    <w:rsid w:val="00DA4C2A"/>
    <w:rsid w:val="00DA627D"/>
    <w:rsid w:val="00DA6ABD"/>
    <w:rsid w:val="00DA715D"/>
    <w:rsid w:val="00DA7D92"/>
    <w:rsid w:val="00DB08EE"/>
    <w:rsid w:val="00DB2BC1"/>
    <w:rsid w:val="00DB45B4"/>
    <w:rsid w:val="00DB4701"/>
    <w:rsid w:val="00DB5D07"/>
    <w:rsid w:val="00DC2D59"/>
    <w:rsid w:val="00DC4E19"/>
    <w:rsid w:val="00DC61B0"/>
    <w:rsid w:val="00DC6440"/>
    <w:rsid w:val="00DD0DCF"/>
    <w:rsid w:val="00DD14F8"/>
    <w:rsid w:val="00DD175B"/>
    <w:rsid w:val="00DD2011"/>
    <w:rsid w:val="00DD29EE"/>
    <w:rsid w:val="00DD38C9"/>
    <w:rsid w:val="00DD3BBB"/>
    <w:rsid w:val="00DD3C7A"/>
    <w:rsid w:val="00DD4BF0"/>
    <w:rsid w:val="00DD4C47"/>
    <w:rsid w:val="00DD6B81"/>
    <w:rsid w:val="00DD7043"/>
    <w:rsid w:val="00DD790C"/>
    <w:rsid w:val="00DE0B6C"/>
    <w:rsid w:val="00DE173E"/>
    <w:rsid w:val="00DE18B1"/>
    <w:rsid w:val="00DE465A"/>
    <w:rsid w:val="00DE5670"/>
    <w:rsid w:val="00DE56E0"/>
    <w:rsid w:val="00DE5CD6"/>
    <w:rsid w:val="00DE5E49"/>
    <w:rsid w:val="00DE6318"/>
    <w:rsid w:val="00DE63E3"/>
    <w:rsid w:val="00DE7809"/>
    <w:rsid w:val="00DF0DE7"/>
    <w:rsid w:val="00DF100A"/>
    <w:rsid w:val="00DF25E1"/>
    <w:rsid w:val="00DF2730"/>
    <w:rsid w:val="00DF48EB"/>
    <w:rsid w:val="00DF4C0F"/>
    <w:rsid w:val="00DF4D34"/>
    <w:rsid w:val="00E00AAB"/>
    <w:rsid w:val="00E00E3D"/>
    <w:rsid w:val="00E02018"/>
    <w:rsid w:val="00E0374A"/>
    <w:rsid w:val="00E03E49"/>
    <w:rsid w:val="00E04E50"/>
    <w:rsid w:val="00E0511B"/>
    <w:rsid w:val="00E062F2"/>
    <w:rsid w:val="00E1036C"/>
    <w:rsid w:val="00E1121D"/>
    <w:rsid w:val="00E11E3D"/>
    <w:rsid w:val="00E142B5"/>
    <w:rsid w:val="00E14354"/>
    <w:rsid w:val="00E153A9"/>
    <w:rsid w:val="00E15449"/>
    <w:rsid w:val="00E15656"/>
    <w:rsid w:val="00E16644"/>
    <w:rsid w:val="00E17A5C"/>
    <w:rsid w:val="00E17B85"/>
    <w:rsid w:val="00E2080C"/>
    <w:rsid w:val="00E214E8"/>
    <w:rsid w:val="00E21DB5"/>
    <w:rsid w:val="00E2281C"/>
    <w:rsid w:val="00E2293A"/>
    <w:rsid w:val="00E22981"/>
    <w:rsid w:val="00E238CB"/>
    <w:rsid w:val="00E243B4"/>
    <w:rsid w:val="00E2450C"/>
    <w:rsid w:val="00E24A9C"/>
    <w:rsid w:val="00E2515C"/>
    <w:rsid w:val="00E25DEF"/>
    <w:rsid w:val="00E25EF9"/>
    <w:rsid w:val="00E260E2"/>
    <w:rsid w:val="00E2646B"/>
    <w:rsid w:val="00E26509"/>
    <w:rsid w:val="00E26B88"/>
    <w:rsid w:val="00E26D56"/>
    <w:rsid w:val="00E27E04"/>
    <w:rsid w:val="00E30A80"/>
    <w:rsid w:val="00E312FC"/>
    <w:rsid w:val="00E35452"/>
    <w:rsid w:val="00E35FCB"/>
    <w:rsid w:val="00E36EA7"/>
    <w:rsid w:val="00E40BBC"/>
    <w:rsid w:val="00E41531"/>
    <w:rsid w:val="00E41901"/>
    <w:rsid w:val="00E42BBC"/>
    <w:rsid w:val="00E43164"/>
    <w:rsid w:val="00E43CCF"/>
    <w:rsid w:val="00E44AF8"/>
    <w:rsid w:val="00E44E81"/>
    <w:rsid w:val="00E45C67"/>
    <w:rsid w:val="00E46B90"/>
    <w:rsid w:val="00E53096"/>
    <w:rsid w:val="00E537C8"/>
    <w:rsid w:val="00E53D73"/>
    <w:rsid w:val="00E55663"/>
    <w:rsid w:val="00E56925"/>
    <w:rsid w:val="00E6009D"/>
    <w:rsid w:val="00E60346"/>
    <w:rsid w:val="00E6142B"/>
    <w:rsid w:val="00E62B42"/>
    <w:rsid w:val="00E636A0"/>
    <w:rsid w:val="00E63D08"/>
    <w:rsid w:val="00E63E69"/>
    <w:rsid w:val="00E64513"/>
    <w:rsid w:val="00E6481F"/>
    <w:rsid w:val="00E64F51"/>
    <w:rsid w:val="00E651CD"/>
    <w:rsid w:val="00E6724B"/>
    <w:rsid w:val="00E67443"/>
    <w:rsid w:val="00E70308"/>
    <w:rsid w:val="00E7100F"/>
    <w:rsid w:val="00E72465"/>
    <w:rsid w:val="00E726AD"/>
    <w:rsid w:val="00E72A18"/>
    <w:rsid w:val="00E72F08"/>
    <w:rsid w:val="00E7327A"/>
    <w:rsid w:val="00E73923"/>
    <w:rsid w:val="00E74AEA"/>
    <w:rsid w:val="00E74F72"/>
    <w:rsid w:val="00E7527B"/>
    <w:rsid w:val="00E769F8"/>
    <w:rsid w:val="00E774D9"/>
    <w:rsid w:val="00E7779A"/>
    <w:rsid w:val="00E81AEA"/>
    <w:rsid w:val="00E82BE6"/>
    <w:rsid w:val="00E83A49"/>
    <w:rsid w:val="00E83D3C"/>
    <w:rsid w:val="00E9259D"/>
    <w:rsid w:val="00E935B9"/>
    <w:rsid w:val="00E944E5"/>
    <w:rsid w:val="00E946F0"/>
    <w:rsid w:val="00E94862"/>
    <w:rsid w:val="00E95CBC"/>
    <w:rsid w:val="00EA0460"/>
    <w:rsid w:val="00EA0778"/>
    <w:rsid w:val="00EA1815"/>
    <w:rsid w:val="00EA1D91"/>
    <w:rsid w:val="00EA38A7"/>
    <w:rsid w:val="00EA6486"/>
    <w:rsid w:val="00EA6B66"/>
    <w:rsid w:val="00EA770B"/>
    <w:rsid w:val="00EA7C1A"/>
    <w:rsid w:val="00EB0649"/>
    <w:rsid w:val="00EB0B28"/>
    <w:rsid w:val="00EB1CBD"/>
    <w:rsid w:val="00EB1F18"/>
    <w:rsid w:val="00EB2FEF"/>
    <w:rsid w:val="00EB4165"/>
    <w:rsid w:val="00EB4603"/>
    <w:rsid w:val="00EB6A94"/>
    <w:rsid w:val="00EB72A2"/>
    <w:rsid w:val="00EB77ED"/>
    <w:rsid w:val="00EC0298"/>
    <w:rsid w:val="00EC1D95"/>
    <w:rsid w:val="00EC4402"/>
    <w:rsid w:val="00EC5204"/>
    <w:rsid w:val="00EC5472"/>
    <w:rsid w:val="00EC641C"/>
    <w:rsid w:val="00EC6F86"/>
    <w:rsid w:val="00EC70FC"/>
    <w:rsid w:val="00EC719F"/>
    <w:rsid w:val="00ED17BC"/>
    <w:rsid w:val="00ED255F"/>
    <w:rsid w:val="00ED25C6"/>
    <w:rsid w:val="00ED5AC1"/>
    <w:rsid w:val="00ED6259"/>
    <w:rsid w:val="00ED643E"/>
    <w:rsid w:val="00ED6EA2"/>
    <w:rsid w:val="00EE0A6E"/>
    <w:rsid w:val="00EE2695"/>
    <w:rsid w:val="00EE2C7A"/>
    <w:rsid w:val="00EE2D96"/>
    <w:rsid w:val="00EE3E6A"/>
    <w:rsid w:val="00EE4A4E"/>
    <w:rsid w:val="00EE5587"/>
    <w:rsid w:val="00EE6BDC"/>
    <w:rsid w:val="00EF2F0A"/>
    <w:rsid w:val="00EF430E"/>
    <w:rsid w:val="00EF5245"/>
    <w:rsid w:val="00EF56D0"/>
    <w:rsid w:val="00EF5E48"/>
    <w:rsid w:val="00EF5FEA"/>
    <w:rsid w:val="00EF6DDC"/>
    <w:rsid w:val="00EF6E97"/>
    <w:rsid w:val="00EF741F"/>
    <w:rsid w:val="00F0091C"/>
    <w:rsid w:val="00F01876"/>
    <w:rsid w:val="00F018D7"/>
    <w:rsid w:val="00F018D9"/>
    <w:rsid w:val="00F01D82"/>
    <w:rsid w:val="00F0365D"/>
    <w:rsid w:val="00F0398B"/>
    <w:rsid w:val="00F03BC2"/>
    <w:rsid w:val="00F04250"/>
    <w:rsid w:val="00F04F32"/>
    <w:rsid w:val="00F04FBF"/>
    <w:rsid w:val="00F055E6"/>
    <w:rsid w:val="00F0756B"/>
    <w:rsid w:val="00F075D1"/>
    <w:rsid w:val="00F100AA"/>
    <w:rsid w:val="00F10BEF"/>
    <w:rsid w:val="00F11290"/>
    <w:rsid w:val="00F14053"/>
    <w:rsid w:val="00F16D6D"/>
    <w:rsid w:val="00F16F72"/>
    <w:rsid w:val="00F16FA2"/>
    <w:rsid w:val="00F1754C"/>
    <w:rsid w:val="00F21BD4"/>
    <w:rsid w:val="00F230D5"/>
    <w:rsid w:val="00F2313F"/>
    <w:rsid w:val="00F237D4"/>
    <w:rsid w:val="00F25E48"/>
    <w:rsid w:val="00F27D12"/>
    <w:rsid w:val="00F27D70"/>
    <w:rsid w:val="00F30429"/>
    <w:rsid w:val="00F30A5B"/>
    <w:rsid w:val="00F32502"/>
    <w:rsid w:val="00F32E43"/>
    <w:rsid w:val="00F331E3"/>
    <w:rsid w:val="00F33480"/>
    <w:rsid w:val="00F33632"/>
    <w:rsid w:val="00F368F9"/>
    <w:rsid w:val="00F3729D"/>
    <w:rsid w:val="00F3742D"/>
    <w:rsid w:val="00F3796A"/>
    <w:rsid w:val="00F37BF9"/>
    <w:rsid w:val="00F37C3B"/>
    <w:rsid w:val="00F37E06"/>
    <w:rsid w:val="00F406B7"/>
    <w:rsid w:val="00F4120B"/>
    <w:rsid w:val="00F41A16"/>
    <w:rsid w:val="00F42046"/>
    <w:rsid w:val="00F4239F"/>
    <w:rsid w:val="00F42B56"/>
    <w:rsid w:val="00F43134"/>
    <w:rsid w:val="00F43CAE"/>
    <w:rsid w:val="00F444B7"/>
    <w:rsid w:val="00F44896"/>
    <w:rsid w:val="00F459A2"/>
    <w:rsid w:val="00F4657B"/>
    <w:rsid w:val="00F465B3"/>
    <w:rsid w:val="00F467E4"/>
    <w:rsid w:val="00F4755F"/>
    <w:rsid w:val="00F47B49"/>
    <w:rsid w:val="00F500EB"/>
    <w:rsid w:val="00F50317"/>
    <w:rsid w:val="00F50532"/>
    <w:rsid w:val="00F51817"/>
    <w:rsid w:val="00F53B29"/>
    <w:rsid w:val="00F53D7E"/>
    <w:rsid w:val="00F53E3D"/>
    <w:rsid w:val="00F53EF7"/>
    <w:rsid w:val="00F540C3"/>
    <w:rsid w:val="00F5460F"/>
    <w:rsid w:val="00F56456"/>
    <w:rsid w:val="00F575B2"/>
    <w:rsid w:val="00F57F26"/>
    <w:rsid w:val="00F60088"/>
    <w:rsid w:val="00F6331E"/>
    <w:rsid w:val="00F653D1"/>
    <w:rsid w:val="00F65AF2"/>
    <w:rsid w:val="00F65D84"/>
    <w:rsid w:val="00F6611E"/>
    <w:rsid w:val="00F66DD0"/>
    <w:rsid w:val="00F67791"/>
    <w:rsid w:val="00F67B40"/>
    <w:rsid w:val="00F67DB2"/>
    <w:rsid w:val="00F717B7"/>
    <w:rsid w:val="00F719E2"/>
    <w:rsid w:val="00F737A0"/>
    <w:rsid w:val="00F749B9"/>
    <w:rsid w:val="00F74FAA"/>
    <w:rsid w:val="00F750B7"/>
    <w:rsid w:val="00F75237"/>
    <w:rsid w:val="00F75E70"/>
    <w:rsid w:val="00F76232"/>
    <w:rsid w:val="00F77277"/>
    <w:rsid w:val="00F77D05"/>
    <w:rsid w:val="00F80BE1"/>
    <w:rsid w:val="00F80DCE"/>
    <w:rsid w:val="00F81E94"/>
    <w:rsid w:val="00F83DF7"/>
    <w:rsid w:val="00F84910"/>
    <w:rsid w:val="00F85D0C"/>
    <w:rsid w:val="00F8622B"/>
    <w:rsid w:val="00F8650A"/>
    <w:rsid w:val="00F87686"/>
    <w:rsid w:val="00F8771F"/>
    <w:rsid w:val="00F903A6"/>
    <w:rsid w:val="00F90EBD"/>
    <w:rsid w:val="00F91BB0"/>
    <w:rsid w:val="00F91C44"/>
    <w:rsid w:val="00F934BB"/>
    <w:rsid w:val="00F93D38"/>
    <w:rsid w:val="00F95298"/>
    <w:rsid w:val="00F96342"/>
    <w:rsid w:val="00F964AA"/>
    <w:rsid w:val="00F9745D"/>
    <w:rsid w:val="00FA0FA3"/>
    <w:rsid w:val="00FA1660"/>
    <w:rsid w:val="00FA26E4"/>
    <w:rsid w:val="00FA2F83"/>
    <w:rsid w:val="00FA4140"/>
    <w:rsid w:val="00FA4701"/>
    <w:rsid w:val="00FA5638"/>
    <w:rsid w:val="00FA60BB"/>
    <w:rsid w:val="00FA7071"/>
    <w:rsid w:val="00FB029D"/>
    <w:rsid w:val="00FB0F7C"/>
    <w:rsid w:val="00FB1728"/>
    <w:rsid w:val="00FB1EF5"/>
    <w:rsid w:val="00FB2F4A"/>
    <w:rsid w:val="00FB3093"/>
    <w:rsid w:val="00FB41E4"/>
    <w:rsid w:val="00FB4900"/>
    <w:rsid w:val="00FB5508"/>
    <w:rsid w:val="00FB5D70"/>
    <w:rsid w:val="00FB650D"/>
    <w:rsid w:val="00FB68BB"/>
    <w:rsid w:val="00FB7205"/>
    <w:rsid w:val="00FC07BE"/>
    <w:rsid w:val="00FC07DA"/>
    <w:rsid w:val="00FC0BAF"/>
    <w:rsid w:val="00FC0CAF"/>
    <w:rsid w:val="00FC0DF6"/>
    <w:rsid w:val="00FC102A"/>
    <w:rsid w:val="00FC18B4"/>
    <w:rsid w:val="00FC1D2F"/>
    <w:rsid w:val="00FC3713"/>
    <w:rsid w:val="00FC6EE9"/>
    <w:rsid w:val="00FC7404"/>
    <w:rsid w:val="00FC7944"/>
    <w:rsid w:val="00FC7EF7"/>
    <w:rsid w:val="00FD0EA5"/>
    <w:rsid w:val="00FD231D"/>
    <w:rsid w:val="00FD2394"/>
    <w:rsid w:val="00FD2B90"/>
    <w:rsid w:val="00FD5A1F"/>
    <w:rsid w:val="00FE0558"/>
    <w:rsid w:val="00FE067D"/>
    <w:rsid w:val="00FE192E"/>
    <w:rsid w:val="00FE283D"/>
    <w:rsid w:val="00FE2BA5"/>
    <w:rsid w:val="00FE3930"/>
    <w:rsid w:val="00FE4587"/>
    <w:rsid w:val="00FE51F3"/>
    <w:rsid w:val="00FE5667"/>
    <w:rsid w:val="00FE682C"/>
    <w:rsid w:val="00FE7658"/>
    <w:rsid w:val="00FF0062"/>
    <w:rsid w:val="00FF0C8B"/>
    <w:rsid w:val="00FF2E5F"/>
    <w:rsid w:val="00FF2FC6"/>
    <w:rsid w:val="00FF3105"/>
    <w:rsid w:val="00FF3B0B"/>
    <w:rsid w:val="00FF451B"/>
    <w:rsid w:val="00FF6792"/>
    <w:rsid w:val="00FF71EF"/>
    <w:rsid w:val="00FF7EA5"/>
    <w:rsid w:val="05D80B14"/>
    <w:rsid w:val="08D66996"/>
    <w:rsid w:val="096CC448"/>
    <w:rsid w:val="14E8465C"/>
    <w:rsid w:val="1A5CA2D8"/>
    <w:rsid w:val="24BF3716"/>
    <w:rsid w:val="29737FBB"/>
    <w:rsid w:val="3C69CC66"/>
    <w:rsid w:val="409AF603"/>
    <w:rsid w:val="520D1AC3"/>
    <w:rsid w:val="581844E6"/>
    <w:rsid w:val="5BD4DE0B"/>
    <w:rsid w:val="651F082A"/>
    <w:rsid w:val="674BA16B"/>
    <w:rsid w:val="69A893E2"/>
    <w:rsid w:val="6B47F44D"/>
    <w:rsid w:val="6BF366FF"/>
    <w:rsid w:val="7290C1A6"/>
    <w:rsid w:val="7E8F83FC"/>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9A24C"/>
  <w15:chartTrackingRefBased/>
  <w15:docId w15:val="{24A2904C-5D0E-4117-ACE6-DAA3CD18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de" w:eastAsia="de-DE"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1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F1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F1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F1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F1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F1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1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F1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F1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F11B9"/>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F1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F11B9"/>
    <w:rPr>
      <w:rFonts w:eastAsiaTheme="majorEastAsia" w:cstheme="majorBidi"/>
      <w:color w:val="272727" w:themeColor="text1" w:themeTint="D8"/>
    </w:rPr>
  </w:style>
  <w:style w:type="paragraph" w:styleId="Title">
    <w:name w:val="Title"/>
    <w:basedOn w:val="Normal"/>
    <w:next w:val="Normal"/>
    <w:link w:val="TitleChar"/>
    <w:uiPriority w:val="10"/>
    <w:qFormat/>
    <w:rsid w:val="005F11B9"/>
    <w:pPr>
      <w:spacing w:after="80"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rsid w:val="005F11B9"/>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qFormat/>
    <w:rsid w:val="005F11B9"/>
    <w:pPr>
      <w:numPr>
        <w:ilvl w:val="1"/>
      </w:numPr>
    </w:pPr>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F11B9"/>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005F11B9"/>
    <w:pPr>
      <w:spacing w:before="160"/>
      <w:jc w:val="center"/>
    </w:pPr>
    <w:rPr>
      <w:i/>
      <w:iCs/>
      <w:color w:val="404040" w:themeColor="text1" w:themeTint="BF"/>
    </w:rPr>
  </w:style>
  <w:style w:type="character" w:customStyle="1" w:styleId="QuoteChar">
    <w:name w:val="Quote Char"/>
    <w:basedOn w:val="DefaultParagraphFont"/>
    <w:link w:val="Quote"/>
    <w:uiPriority w:val="29"/>
    <w:rsid w:val="005F11B9"/>
    <w:rPr>
      <w:i/>
      <w:iCs/>
      <w:color w:val="404040" w:themeColor="text1" w:themeTint="BF"/>
    </w:rPr>
  </w:style>
  <w:style w:type="paragraph" w:styleId="ListParagraph">
    <w:name w:val="List Paragraph"/>
    <w:aliases w:val="numbered list,2,OBC Bullet,Normal 1,Task Body,Viñetas (Inicio Parrafo),3 Txt tabla,Zerrenda-paragrafoa,Fiche List Paragraph,Dot pt,F5 List Paragraph,List Paragraph1,No Spacing1,List Paragraph Char Char Char,Indicator Text,Bullets,L,EC"/>
    <w:basedOn w:val="Normal"/>
    <w:link w:val="ListParagraphChar"/>
    <w:uiPriority w:val="34"/>
    <w:qFormat/>
    <w:rsid w:val="005F11B9"/>
    <w:pPr>
      <w:ind w:left="720"/>
      <w:contextualSpacing/>
    </w:pPr>
  </w:style>
  <w:style w:type="character" w:styleId="IntenseEmphasis">
    <w:name w:val="Intense Emphasis"/>
    <w:basedOn w:val="DefaultParagraphFont"/>
    <w:uiPriority w:val="21"/>
    <w:qFormat/>
    <w:rsid w:val="005F11B9"/>
    <w:rPr>
      <w:i/>
      <w:iCs/>
      <w:color w:val="0F4761" w:themeColor="accent1" w:themeShade="BF"/>
    </w:rPr>
  </w:style>
  <w:style w:type="paragraph" w:styleId="IntenseQuote">
    <w:name w:val="Intense Quote"/>
    <w:basedOn w:val="Normal"/>
    <w:next w:val="Normal"/>
    <w:link w:val="IntenseQuoteChar"/>
    <w:uiPriority w:val="30"/>
    <w:qFormat/>
    <w:rsid w:val="005F1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B9"/>
    <w:rPr>
      <w:i/>
      <w:iCs/>
      <w:color w:val="0F4761" w:themeColor="accent1" w:themeShade="BF"/>
    </w:rPr>
  </w:style>
  <w:style w:type="character" w:styleId="IntenseReference">
    <w:name w:val="Intense Reference"/>
    <w:basedOn w:val="DefaultParagraphFont"/>
    <w:uiPriority w:val="32"/>
    <w:qFormat/>
    <w:rsid w:val="005F11B9"/>
    <w:rPr>
      <w:b/>
      <w:bCs/>
      <w:smallCaps/>
      <w:color w:val="0F4761" w:themeColor="accent1" w:themeShade="BF"/>
    </w:rPr>
  </w:style>
  <w:style w:type="character" w:styleId="Hyperlink">
    <w:name w:val="Hyperlink"/>
    <w:basedOn w:val="DefaultParagraphFont"/>
    <w:uiPriority w:val="99"/>
    <w:unhideWhenUsed/>
    <w:rsid w:val="005F11B9"/>
    <w:rPr>
      <w:color w:val="467886" w:themeColor="hyperlink"/>
      <w:u w:val="single"/>
    </w:rPr>
  </w:style>
  <w:style w:type="character" w:styleId="FollowedHyperlink">
    <w:name w:val="FollowedHyperlink"/>
    <w:basedOn w:val="DefaultParagraphFont"/>
    <w:uiPriority w:val="99"/>
    <w:semiHidden/>
    <w:unhideWhenUsed/>
    <w:rsid w:val="005F11B9"/>
    <w:rPr>
      <w:color w:val="96607D" w:themeColor="followedHyperlink"/>
      <w:u w:val="single"/>
    </w:rPr>
  </w:style>
  <w:style w:type="paragraph" w:customStyle="1" w:styleId="Text1">
    <w:name w:val="Text 1"/>
    <w:basedOn w:val="Normal"/>
    <w:rsid w:val="005F11B9"/>
    <w:pPr>
      <w:spacing w:before="120" w:after="120" w:line="240" w:lineRule="auto"/>
      <w:ind w:left="850"/>
      <w:jc w:val="both"/>
    </w:pPr>
    <w:rPr>
      <w:rFonts w:ascii="Times New Roman" w:eastAsia="Times New Roman" w:hAnsi="Times New Roman" w:cs="Times New Roman"/>
      <w:kern w:val="0"/>
      <w:sz w:val="24"/>
      <w:szCs w:val="24"/>
    </w:rPr>
  </w:style>
  <w:style w:type="paragraph" w:customStyle="1" w:styleId="msonormal0">
    <w:name w:val="msonormal"/>
    <w:basedOn w:val="Normal"/>
    <w:uiPriority w:val="99"/>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rmalWeb">
    <w:name w:val="Normal (Web)"/>
    <w:basedOn w:val="Normal"/>
    <w:uiPriority w:val="99"/>
    <w:unhideWhenUsed/>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TOC1">
    <w:name w:val="toc 1"/>
    <w:basedOn w:val="Normal"/>
    <w:next w:val="Normal"/>
    <w:autoRedefine/>
    <w:uiPriority w:val="39"/>
    <w:semiHidden/>
    <w:unhideWhenUsed/>
    <w:rsid w:val="005F11B9"/>
    <w:pPr>
      <w:numPr>
        <w:numId w:val="1"/>
      </w:numPr>
      <w:tabs>
        <w:tab w:val="right" w:leader="dot" w:pos="9071"/>
      </w:tabs>
      <w:spacing w:before="60" w:after="120" w:line="240" w:lineRule="auto"/>
    </w:pPr>
    <w:rPr>
      <w:rFonts w:ascii="Times New Roman" w:eastAsia="Times New Roman" w:hAnsi="Times New Roman" w:cs="Times New Roman"/>
      <w:kern w:val="0"/>
      <w:sz w:val="24"/>
      <w:szCs w:val="24"/>
    </w:rPr>
  </w:style>
  <w:style w:type="paragraph" w:styleId="TOC2">
    <w:name w:val="toc 2"/>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3">
    <w:name w:val="toc 3"/>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4">
    <w:name w:val="toc 4"/>
    <w:basedOn w:val="Normal"/>
    <w:next w:val="Normal"/>
    <w:autoRedefine/>
    <w:uiPriority w:val="39"/>
    <w:semiHidden/>
    <w:unhideWhenUsed/>
    <w:rsid w:val="005F11B9"/>
    <w:pPr>
      <w:tabs>
        <w:tab w:val="right" w:leader="dot" w:pos="9071"/>
      </w:tabs>
      <w:spacing w:before="60" w:after="120" w:line="240" w:lineRule="auto"/>
      <w:ind w:left="850" w:hanging="850"/>
    </w:pPr>
    <w:rPr>
      <w:rFonts w:ascii="Times New Roman" w:eastAsia="Times New Roman" w:hAnsi="Times New Roman" w:cs="Times New Roman"/>
      <w:kern w:val="0"/>
      <w:sz w:val="24"/>
      <w:szCs w:val="24"/>
    </w:rPr>
  </w:style>
  <w:style w:type="paragraph" w:styleId="TOC5">
    <w:name w:val="toc 5"/>
    <w:basedOn w:val="Normal"/>
    <w:next w:val="Normal"/>
    <w:autoRedefine/>
    <w:uiPriority w:val="39"/>
    <w:semiHidden/>
    <w:unhideWhenUsed/>
    <w:rsid w:val="005F11B9"/>
    <w:pPr>
      <w:tabs>
        <w:tab w:val="right" w:leader="dot" w:pos="9071"/>
      </w:tabs>
      <w:spacing w:before="300" w:after="120" w:line="240" w:lineRule="auto"/>
    </w:pPr>
    <w:rPr>
      <w:rFonts w:ascii="Times New Roman" w:eastAsia="Times New Roman" w:hAnsi="Times New Roman" w:cs="Times New Roman"/>
      <w:kern w:val="0"/>
      <w:sz w:val="24"/>
      <w:szCs w:val="24"/>
    </w:rPr>
  </w:style>
  <w:style w:type="paragraph" w:styleId="TOC6">
    <w:name w:val="toc 6"/>
    <w:basedOn w:val="Normal"/>
    <w:next w:val="Normal"/>
    <w:autoRedefine/>
    <w:uiPriority w:val="39"/>
    <w:semiHidden/>
    <w:unhideWhenUsed/>
    <w:rsid w:val="005F11B9"/>
    <w:pPr>
      <w:tabs>
        <w:tab w:val="right" w:leader="dot" w:pos="9071"/>
      </w:tabs>
      <w:spacing w:before="240" w:after="120" w:line="240" w:lineRule="auto"/>
    </w:pPr>
    <w:rPr>
      <w:rFonts w:ascii="Times New Roman" w:eastAsia="Times New Roman" w:hAnsi="Times New Roman" w:cs="Times New Roman"/>
      <w:kern w:val="0"/>
      <w:sz w:val="24"/>
      <w:szCs w:val="24"/>
    </w:rPr>
  </w:style>
  <w:style w:type="paragraph" w:styleId="TOC7">
    <w:name w:val="toc 7"/>
    <w:basedOn w:val="Normal"/>
    <w:next w:val="Normal"/>
    <w:autoRedefine/>
    <w:uiPriority w:val="39"/>
    <w:semiHidden/>
    <w:unhideWhenUsed/>
    <w:rsid w:val="005F11B9"/>
    <w:pPr>
      <w:tabs>
        <w:tab w:val="right" w:leader="dot" w:pos="9071"/>
      </w:tabs>
      <w:spacing w:before="180" w:after="120" w:line="240" w:lineRule="auto"/>
    </w:pPr>
    <w:rPr>
      <w:rFonts w:ascii="Times New Roman" w:eastAsia="Times New Roman" w:hAnsi="Times New Roman" w:cs="Times New Roman"/>
      <w:kern w:val="0"/>
      <w:sz w:val="24"/>
      <w:szCs w:val="24"/>
    </w:rPr>
  </w:style>
  <w:style w:type="paragraph" w:styleId="TOC8">
    <w:name w:val="toc 8"/>
    <w:basedOn w:val="Normal"/>
    <w:next w:val="Normal"/>
    <w:autoRedefine/>
    <w:uiPriority w:val="39"/>
    <w:semiHidden/>
    <w:unhideWhenUsed/>
    <w:rsid w:val="005F11B9"/>
    <w:pPr>
      <w:tabs>
        <w:tab w:val="right" w:leader="dot" w:pos="9071"/>
      </w:tabs>
      <w:spacing w:before="120" w:after="120" w:line="240" w:lineRule="auto"/>
    </w:pPr>
    <w:rPr>
      <w:rFonts w:ascii="Times New Roman" w:eastAsia="Times New Roman" w:hAnsi="Times New Roman" w:cs="Times New Roman"/>
      <w:kern w:val="0"/>
      <w:sz w:val="24"/>
      <w:szCs w:val="24"/>
    </w:rPr>
  </w:style>
  <w:style w:type="paragraph" w:styleId="TOC9">
    <w:name w:val="toc 9"/>
    <w:basedOn w:val="Normal"/>
    <w:next w:val="Normal"/>
    <w:autoRedefine/>
    <w:uiPriority w:val="39"/>
    <w:semiHidden/>
    <w:unhideWhenUsed/>
    <w:rsid w:val="005F11B9"/>
    <w:pPr>
      <w:tabs>
        <w:tab w:val="right" w:leader="dot" w:pos="9071"/>
      </w:tabs>
      <w:spacing w:before="120" w:after="120" w:line="240" w:lineRule="auto"/>
      <w:jc w:val="both"/>
    </w:pPr>
    <w:rPr>
      <w:rFonts w:ascii="Times New Roman" w:eastAsia="Times New Roman" w:hAnsi="Times New Roman" w:cs="Times New Roman"/>
      <w:kern w:val="0"/>
      <w:sz w:val="24"/>
      <w:szCs w:val="24"/>
    </w:rPr>
  </w:style>
  <w:style w:type="character" w:customStyle="1" w:styleId="FootnoteTextChar">
    <w:name w:val="Footnote Text Char"/>
    <w:aliases w:val="Schriftart: 9 pt Char,Schriftart: 10 pt Char,Schriftart: 8 pt Char,WB-Fußnotentext Char,FoodNote Char,ft Char,Footnote text Char,Footnote Char,Footnote Text Char Char Char,Footnote Text Char1 Char Char Char,fn Char1,f Char1,Char Char1"/>
    <w:basedOn w:val="DefaultParagraphFont"/>
    <w:link w:val="FootnoteText"/>
    <w:uiPriority w:val="99"/>
    <w:locked/>
    <w:rsid w:val="005F11B9"/>
    <w:rPr>
      <w:rFonts w:ascii="Times New Roman" w:eastAsia="Times New Roman" w:hAnsi="Times New Roman" w:cs="Times New Roman"/>
      <w:sz w:val="20"/>
      <w:szCs w:val="20"/>
    </w:rPr>
  </w:style>
  <w:style w:type="paragraph" w:styleId="FootnoteText">
    <w:name w:val="footnote text"/>
    <w:aliases w:val="Schriftart: 9 pt,Schriftart: 10 pt,Schriftart: 8 pt,WB-Fußnotentext,FoodNote,ft,Footnote text,Footnote,Footnote Text Char Char,Footnote Text Char1 Char Char,Footnote Text Char Char Char Char,fn,f,Char,Voetnoottekst Char"/>
    <w:basedOn w:val="Normal"/>
    <w:link w:val="FootnoteTextChar"/>
    <w:uiPriority w:val="99"/>
    <w:unhideWhenUsed/>
    <w:rsid w:val="005F11B9"/>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1">
    <w:name w:val="Footnote Text Char1"/>
    <w:basedOn w:val="DefaultParagraphFont"/>
    <w:uiPriority w:val="99"/>
    <w:semiHidden/>
    <w:rsid w:val="005F11B9"/>
    <w:rPr>
      <w:sz w:val="20"/>
      <w:szCs w:val="20"/>
    </w:rPr>
  </w:style>
  <w:style w:type="character" w:customStyle="1" w:styleId="FootnoteTextChar2">
    <w:name w:val="Footnote Text Char2"/>
    <w:aliases w:val="Schriftart: 9 pt Char1,Schriftart: 10 pt Char1,Schriftart: 8 pt Char1,WB-Fußnotentext Char1,FoodNote Char1,ft Char1,Footnote text Char1,Footnote Char1,Footnote Text Char1 Char1,Footnote Text Char Char Char1,fn Char,f Char,Char Char"/>
    <w:basedOn w:val="DefaultParagraphFont"/>
    <w:uiPriority w:val="99"/>
    <w:semiHidden/>
    <w:rsid w:val="005F11B9"/>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5F11B9"/>
    <w:pPr>
      <w:spacing w:before="120" w:after="120" w:line="240" w:lineRule="auto"/>
      <w:jc w:val="both"/>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rsid w:val="005F11B9"/>
    <w:rPr>
      <w:rFonts w:ascii="Times New Roman" w:eastAsia="Times New Roman" w:hAnsi="Times New Roman" w:cs="Times New Roman"/>
      <w:kern w:val="0"/>
      <w:sz w:val="20"/>
      <w:szCs w:val="20"/>
    </w:rPr>
  </w:style>
  <w:style w:type="paragraph" w:styleId="Header">
    <w:name w:val="header"/>
    <w:basedOn w:val="Normal"/>
    <w:link w:val="HeaderChar"/>
    <w:uiPriority w:val="99"/>
    <w:unhideWhenUsed/>
    <w:rsid w:val="005F11B9"/>
    <w:pPr>
      <w:tabs>
        <w:tab w:val="center" w:pos="4535"/>
        <w:tab w:val="right" w:pos="9071"/>
      </w:tabs>
      <w:spacing w:after="120" w:line="240" w:lineRule="auto"/>
      <w:jc w:val="both"/>
    </w:pPr>
    <w:rPr>
      <w:rFonts w:ascii="Times New Roman" w:eastAsia="Times New Roman" w:hAnsi="Times New Roman" w:cs="Times New Roman"/>
      <w:kern w:val="0"/>
      <w:sz w:val="24"/>
      <w:szCs w:val="24"/>
    </w:rPr>
  </w:style>
  <w:style w:type="character" w:customStyle="1" w:styleId="HeaderChar">
    <w:name w:val="Header Char"/>
    <w:basedOn w:val="DefaultParagraphFont"/>
    <w:link w:val="Header"/>
    <w:uiPriority w:val="99"/>
    <w:rsid w:val="005F11B9"/>
    <w:rPr>
      <w:rFonts w:ascii="Times New Roman" w:eastAsia="Times New Roman" w:hAnsi="Times New Roman" w:cs="Times New Roman"/>
      <w:kern w:val="0"/>
      <w:sz w:val="24"/>
      <w:szCs w:val="24"/>
    </w:rPr>
  </w:style>
  <w:style w:type="paragraph" w:styleId="Footer">
    <w:name w:val="footer"/>
    <w:basedOn w:val="Normal"/>
    <w:link w:val="FooterChar"/>
    <w:uiPriority w:val="99"/>
    <w:unhideWhenUsed/>
    <w:rsid w:val="005F11B9"/>
    <w:pPr>
      <w:tabs>
        <w:tab w:val="center" w:pos="4535"/>
        <w:tab w:val="right" w:pos="9071"/>
        <w:tab w:val="right" w:pos="9921"/>
      </w:tabs>
      <w:spacing w:before="360" w:after="0" w:line="240" w:lineRule="auto"/>
      <w:ind w:left="-850" w:right="-850"/>
    </w:pPr>
    <w:rPr>
      <w:rFonts w:ascii="Times New Roman" w:eastAsia="Times New Roman" w:hAnsi="Times New Roman" w:cs="Times New Roman"/>
      <w:kern w:val="0"/>
      <w:sz w:val="24"/>
      <w:szCs w:val="24"/>
    </w:rPr>
  </w:style>
  <w:style w:type="character" w:customStyle="1" w:styleId="FooterChar">
    <w:name w:val="Footer Char"/>
    <w:basedOn w:val="DefaultParagraphFont"/>
    <w:link w:val="Footer"/>
    <w:uiPriority w:val="99"/>
    <w:rsid w:val="005F11B9"/>
    <w:rPr>
      <w:rFonts w:ascii="Times New Roman" w:eastAsia="Times New Roman" w:hAnsi="Times New Roman" w:cs="Times New Roman"/>
      <w:kern w:val="0"/>
      <w:sz w:val="24"/>
      <w:szCs w:val="24"/>
    </w:rPr>
  </w:style>
  <w:style w:type="paragraph" w:styleId="Caption">
    <w:name w:val="caption"/>
    <w:basedOn w:val="Normal"/>
    <w:next w:val="Normal"/>
    <w:uiPriority w:val="35"/>
    <w:semiHidden/>
    <w:unhideWhenUsed/>
    <w:qFormat/>
    <w:rsid w:val="005F11B9"/>
    <w:pPr>
      <w:spacing w:after="200" w:line="240" w:lineRule="auto"/>
      <w:jc w:val="both"/>
    </w:pPr>
    <w:rPr>
      <w:rFonts w:ascii="Times New Roman" w:hAnsi="Times New Roman" w:cs="Times New Roman"/>
      <w:i/>
      <w:iCs/>
      <w:color w:val="0E2841" w:themeColor="text2"/>
      <w:kern w:val="0"/>
      <w:sz w:val="18"/>
      <w:szCs w:val="18"/>
    </w:rPr>
  </w:style>
  <w:style w:type="paragraph" w:styleId="TableofFigures">
    <w:name w:val="table of figures"/>
    <w:basedOn w:val="Normal"/>
    <w:next w:val="Normal"/>
    <w:uiPriority w:val="99"/>
    <w:semiHidden/>
    <w:unhideWhenUsed/>
    <w:rsid w:val="005F11B9"/>
    <w:pPr>
      <w:spacing w:before="120" w:after="0" w:line="240" w:lineRule="auto"/>
      <w:jc w:val="both"/>
    </w:pPr>
    <w:rPr>
      <w:rFonts w:ascii="Times New Roman" w:hAnsi="Times New Roman" w:cs="Times New Roman"/>
      <w:kern w:val="0"/>
      <w:sz w:val="24"/>
    </w:rPr>
  </w:style>
  <w:style w:type="paragraph" w:styleId="ListBullet">
    <w:name w:val="List Bullet"/>
    <w:basedOn w:val="Normal"/>
    <w:uiPriority w:val="99"/>
    <w:semiHidden/>
    <w:unhideWhenUsed/>
    <w:rsid w:val="005F11B9"/>
    <w:pPr>
      <w:numPr>
        <w:numId w:val="2"/>
      </w:numPr>
      <w:tabs>
        <w:tab w:val="num" w:pos="850"/>
      </w:tabs>
      <w:spacing w:before="120" w:after="120" w:line="240" w:lineRule="auto"/>
      <w:ind w:left="720"/>
      <w:contextualSpacing/>
      <w:jc w:val="both"/>
    </w:pPr>
    <w:rPr>
      <w:rFonts w:ascii="Times New Roman" w:eastAsia="Times New Roman" w:hAnsi="Times New Roman" w:cs="Times New Roman"/>
      <w:kern w:val="0"/>
      <w:sz w:val="24"/>
      <w:szCs w:val="24"/>
    </w:rPr>
  </w:style>
  <w:style w:type="paragraph" w:styleId="ListNumber">
    <w:name w:val="List Number"/>
    <w:basedOn w:val="Normal"/>
    <w:uiPriority w:val="99"/>
    <w:semiHidden/>
    <w:unhideWhenUsed/>
    <w:rsid w:val="005F11B9"/>
    <w:pPr>
      <w:numPr>
        <w:numId w:val="3"/>
      </w:numPr>
      <w:spacing w:before="120" w:after="120" w:line="240" w:lineRule="auto"/>
      <w:ind w:left="0" w:firstLine="0"/>
      <w:contextualSpacing/>
      <w:jc w:val="both"/>
    </w:pPr>
    <w:rPr>
      <w:rFonts w:ascii="Times New Roman" w:hAnsi="Times New Roman" w:cs="Times New Roman"/>
      <w:kern w:val="0"/>
      <w:sz w:val="24"/>
    </w:rPr>
  </w:style>
  <w:style w:type="paragraph" w:styleId="ListBullet2">
    <w:name w:val="List Bullet 2"/>
    <w:basedOn w:val="Normal"/>
    <w:uiPriority w:val="99"/>
    <w:semiHidden/>
    <w:unhideWhenUsed/>
    <w:rsid w:val="005F11B9"/>
    <w:pPr>
      <w:tabs>
        <w:tab w:val="num" w:pos="643"/>
      </w:tabs>
      <w:spacing w:before="120" w:after="120" w:line="240" w:lineRule="auto"/>
      <w:ind w:left="643" w:hanging="360"/>
      <w:contextualSpacing/>
      <w:jc w:val="both"/>
    </w:pPr>
    <w:rPr>
      <w:rFonts w:ascii="Times New Roman" w:eastAsia="Times New Roman" w:hAnsi="Times New Roman" w:cs="Times New Roman"/>
      <w:kern w:val="0"/>
      <w:sz w:val="24"/>
      <w:szCs w:val="24"/>
    </w:rPr>
  </w:style>
  <w:style w:type="paragraph" w:styleId="ListBullet3">
    <w:name w:val="List Bullet 3"/>
    <w:basedOn w:val="Normal"/>
    <w:uiPriority w:val="99"/>
    <w:semiHidden/>
    <w:unhideWhenUsed/>
    <w:rsid w:val="005F11B9"/>
    <w:pPr>
      <w:tabs>
        <w:tab w:val="num" w:pos="926"/>
      </w:tabs>
      <w:spacing w:before="120" w:after="120" w:line="240" w:lineRule="auto"/>
      <w:ind w:left="926" w:hanging="360"/>
      <w:contextualSpacing/>
      <w:jc w:val="both"/>
    </w:pPr>
    <w:rPr>
      <w:rFonts w:ascii="Times New Roman" w:eastAsia="Times New Roman" w:hAnsi="Times New Roman" w:cs="Times New Roman"/>
      <w:kern w:val="0"/>
      <w:sz w:val="24"/>
      <w:szCs w:val="24"/>
    </w:rPr>
  </w:style>
  <w:style w:type="paragraph" w:styleId="ListBullet4">
    <w:name w:val="List Bullet 4"/>
    <w:basedOn w:val="Normal"/>
    <w:uiPriority w:val="99"/>
    <w:semiHidden/>
    <w:unhideWhenUsed/>
    <w:rsid w:val="005F11B9"/>
    <w:pPr>
      <w:tabs>
        <w:tab w:val="num" w:pos="3118"/>
      </w:tabs>
      <w:spacing w:before="120" w:after="120" w:line="240" w:lineRule="auto"/>
      <w:ind w:left="3118" w:hanging="567"/>
      <w:contextualSpacing/>
      <w:jc w:val="both"/>
    </w:pPr>
    <w:rPr>
      <w:rFonts w:ascii="Times New Roman" w:eastAsia="Times New Roman" w:hAnsi="Times New Roman" w:cs="Times New Roman"/>
      <w:kern w:val="0"/>
      <w:sz w:val="24"/>
      <w:szCs w:val="24"/>
    </w:rPr>
  </w:style>
  <w:style w:type="paragraph" w:styleId="ListNumber2">
    <w:name w:val="List Number 2"/>
    <w:basedOn w:val="Normal"/>
    <w:uiPriority w:val="99"/>
    <w:semiHidden/>
    <w:unhideWhenUsed/>
    <w:rsid w:val="005F11B9"/>
    <w:pPr>
      <w:numPr>
        <w:numId w:val="4"/>
      </w:numPr>
      <w:tabs>
        <w:tab w:val="num" w:pos="360"/>
      </w:tabs>
      <w:spacing w:before="120" w:after="120" w:line="240" w:lineRule="auto"/>
      <w:ind w:left="0" w:firstLine="0"/>
      <w:contextualSpacing/>
      <w:jc w:val="both"/>
    </w:pPr>
    <w:rPr>
      <w:rFonts w:ascii="Times New Roman" w:hAnsi="Times New Roman" w:cs="Times New Roman"/>
      <w:kern w:val="0"/>
      <w:sz w:val="24"/>
    </w:rPr>
  </w:style>
  <w:style w:type="paragraph" w:styleId="ListNumber3">
    <w:name w:val="List Number 3"/>
    <w:basedOn w:val="Normal"/>
    <w:uiPriority w:val="99"/>
    <w:semiHidden/>
    <w:unhideWhenUsed/>
    <w:rsid w:val="005F11B9"/>
    <w:pPr>
      <w:numPr>
        <w:numId w:val="5"/>
      </w:numPr>
      <w:spacing w:before="120" w:after="120" w:line="240" w:lineRule="auto"/>
      <w:ind w:left="0" w:firstLine="0"/>
      <w:contextualSpacing/>
      <w:jc w:val="both"/>
    </w:pPr>
    <w:rPr>
      <w:rFonts w:ascii="Times New Roman" w:hAnsi="Times New Roman" w:cs="Times New Roman"/>
      <w:kern w:val="0"/>
      <w:sz w:val="24"/>
    </w:rPr>
  </w:style>
  <w:style w:type="paragraph" w:styleId="ListNumber4">
    <w:name w:val="List Number 4"/>
    <w:basedOn w:val="Normal"/>
    <w:uiPriority w:val="99"/>
    <w:semiHidden/>
    <w:unhideWhenUsed/>
    <w:rsid w:val="005F11B9"/>
    <w:pPr>
      <w:numPr>
        <w:numId w:val="6"/>
      </w:numPr>
      <w:tabs>
        <w:tab w:val="num" w:pos="360"/>
      </w:tabs>
      <w:spacing w:before="120" w:after="120" w:line="240" w:lineRule="auto"/>
      <w:contextualSpacing/>
      <w:jc w:val="both"/>
    </w:pPr>
    <w:rPr>
      <w:rFonts w:ascii="Times New Roman" w:hAnsi="Times New Roman" w:cs="Times New Roman"/>
      <w:kern w:val="0"/>
      <w:sz w:val="24"/>
    </w:rPr>
  </w:style>
  <w:style w:type="paragraph" w:styleId="CommentSubject">
    <w:name w:val="annotation subject"/>
    <w:basedOn w:val="CommentText"/>
    <w:next w:val="CommentText"/>
    <w:link w:val="CommentSubjectChar"/>
    <w:uiPriority w:val="99"/>
    <w:semiHidden/>
    <w:unhideWhenUsed/>
    <w:rsid w:val="005F11B9"/>
    <w:rPr>
      <w:b/>
      <w:bCs/>
    </w:rPr>
  </w:style>
  <w:style w:type="character" w:customStyle="1" w:styleId="CommentSubjectChar">
    <w:name w:val="Comment Subject Char"/>
    <w:basedOn w:val="CommentTextChar"/>
    <w:link w:val="CommentSubject"/>
    <w:uiPriority w:val="99"/>
    <w:semiHidden/>
    <w:rsid w:val="005F11B9"/>
    <w:rPr>
      <w:rFonts w:ascii="Times New Roman" w:eastAsia="Times New Roman" w:hAnsi="Times New Roman" w:cs="Times New Roman"/>
      <w:b/>
      <w:bCs/>
      <w:kern w:val="0"/>
      <w:sz w:val="20"/>
      <w:szCs w:val="20"/>
    </w:rPr>
  </w:style>
  <w:style w:type="paragraph" w:styleId="BalloonText">
    <w:name w:val="Balloon Text"/>
    <w:basedOn w:val="Normal"/>
    <w:link w:val="BalloonTextChar"/>
    <w:uiPriority w:val="99"/>
    <w:semiHidden/>
    <w:unhideWhenUsed/>
    <w:rsid w:val="005F11B9"/>
    <w:pPr>
      <w:spacing w:after="0" w:line="240" w:lineRule="auto"/>
      <w:jc w:val="both"/>
    </w:pPr>
    <w:rPr>
      <w:rFonts w:ascii="Segoe UI" w:eastAsia="Times New Roman" w:hAnsi="Segoe UI" w:cs="Segoe UI"/>
      <w:kern w:val="0"/>
      <w:sz w:val="18"/>
      <w:szCs w:val="18"/>
    </w:rPr>
  </w:style>
  <w:style w:type="character" w:customStyle="1" w:styleId="BalloonTextChar">
    <w:name w:val="Balloon Text Char"/>
    <w:basedOn w:val="DefaultParagraphFont"/>
    <w:link w:val="BalloonText"/>
    <w:uiPriority w:val="99"/>
    <w:semiHidden/>
    <w:rsid w:val="005F11B9"/>
    <w:rPr>
      <w:rFonts w:ascii="Segoe UI" w:eastAsia="Times New Roman" w:hAnsi="Segoe UI" w:cs="Segoe UI"/>
      <w:kern w:val="0"/>
      <w:sz w:val="18"/>
      <w:szCs w:val="18"/>
    </w:rPr>
  </w:style>
  <w:style w:type="paragraph" w:styleId="Revision">
    <w:name w:val="Revision"/>
    <w:uiPriority w:val="99"/>
    <w:semiHidden/>
    <w:rsid w:val="005F11B9"/>
    <w:pPr>
      <w:spacing w:after="0" w:line="240" w:lineRule="auto"/>
    </w:pPr>
    <w:rPr>
      <w:rFonts w:ascii="Times New Roman" w:hAnsi="Times New Roman" w:cs="Times New Roman"/>
      <w:kern w:val="0"/>
      <w:sz w:val="24"/>
    </w:rPr>
  </w:style>
  <w:style w:type="character" w:customStyle="1" w:styleId="ListParagraphChar">
    <w:name w:val="List Paragraph Char"/>
    <w:aliases w:val="numbered list Char,2 Char,OBC Bullet Char,Normal 1 Char,Task Body Char,Viñetas (Inicio Parrafo) Char,3 Txt tabla Char,Zerrenda-paragrafoa Char,Fiche List Paragraph Char,Dot pt Char,F5 List Paragraph Char,List Paragraph1 Char,L Char"/>
    <w:basedOn w:val="DefaultParagraphFont"/>
    <w:link w:val="ListParagraph"/>
    <w:uiPriority w:val="34"/>
    <w:qFormat/>
    <w:locked/>
    <w:rsid w:val="005F11B9"/>
  </w:style>
  <w:style w:type="paragraph" w:styleId="TOCHeading">
    <w:name w:val="TOC Heading"/>
    <w:basedOn w:val="Normal"/>
    <w:next w:val="Normal"/>
    <w:uiPriority w:val="39"/>
    <w:semiHidden/>
    <w:unhideWhenUsed/>
    <w:qFormat/>
    <w:rsid w:val="005F11B9"/>
    <w:pPr>
      <w:spacing w:before="120" w:after="240" w:line="240" w:lineRule="auto"/>
      <w:jc w:val="center"/>
    </w:pPr>
    <w:rPr>
      <w:rFonts w:ascii="Times New Roman" w:eastAsia="Times New Roman" w:hAnsi="Times New Roman" w:cs="Times New Roman"/>
      <w:b/>
      <w:kern w:val="0"/>
      <w:sz w:val="28"/>
      <w:szCs w:val="24"/>
    </w:rPr>
  </w:style>
  <w:style w:type="paragraph" w:customStyle="1" w:styleId="HeaderLandscape">
    <w:name w:val="HeaderLandscape"/>
    <w:basedOn w:val="Normal"/>
    <w:rsid w:val="005F11B9"/>
    <w:pPr>
      <w:tabs>
        <w:tab w:val="center" w:pos="7285"/>
        <w:tab w:val="right" w:pos="14003"/>
      </w:tabs>
      <w:spacing w:after="120" w:line="240" w:lineRule="auto"/>
      <w:jc w:val="both"/>
    </w:pPr>
    <w:rPr>
      <w:rFonts w:ascii="Times New Roman" w:eastAsia="Times New Roman" w:hAnsi="Times New Roman" w:cs="Times New Roman"/>
      <w:kern w:val="0"/>
      <w:sz w:val="24"/>
      <w:szCs w:val="24"/>
    </w:rPr>
  </w:style>
  <w:style w:type="paragraph" w:customStyle="1" w:styleId="FooterLandscape">
    <w:name w:val="FooterLandscape"/>
    <w:basedOn w:val="Normal"/>
    <w:rsid w:val="005F11B9"/>
    <w:pPr>
      <w:tabs>
        <w:tab w:val="center" w:pos="7285"/>
        <w:tab w:val="center" w:pos="10913"/>
        <w:tab w:val="right" w:pos="15137"/>
      </w:tabs>
      <w:spacing w:before="360" w:after="0" w:line="240" w:lineRule="auto"/>
      <w:ind w:left="-567" w:right="-567"/>
    </w:pPr>
    <w:rPr>
      <w:rFonts w:ascii="Times New Roman" w:eastAsia="Times New Roman" w:hAnsi="Times New Roman" w:cs="Times New Roman"/>
      <w:kern w:val="0"/>
      <w:sz w:val="24"/>
      <w:szCs w:val="24"/>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w:basedOn w:val="DefaultParagraphFont"/>
    <w:link w:val="1"/>
    <w:uiPriority w:val="99"/>
    <w:unhideWhenUsed/>
    <w:qFormat/>
    <w:rsid w:val="005F11B9"/>
    <w:rPr>
      <w:vertAlign w:val="superscript"/>
    </w:rPr>
  </w:style>
  <w:style w:type="paragraph" w:customStyle="1" w:styleId="1">
    <w:name w:val="1"/>
    <w:basedOn w:val="Normal"/>
    <w:link w:val="FootnoteReference"/>
    <w:uiPriority w:val="99"/>
    <w:rsid w:val="005F11B9"/>
    <w:pPr>
      <w:spacing w:line="240" w:lineRule="exact"/>
      <w:jc w:val="both"/>
    </w:pPr>
    <w:rPr>
      <w:vertAlign w:val="superscript"/>
    </w:rPr>
  </w:style>
  <w:style w:type="paragraph" w:customStyle="1" w:styleId="HeaderSensitivity">
    <w:name w:val="Header Sensitivity"/>
    <w:basedOn w:val="Normal"/>
    <w:rsid w:val="005F11B9"/>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HeaderSensitivityRight">
    <w:name w:val="Header Sensitivity Right"/>
    <w:basedOn w:val="Normal"/>
    <w:rsid w:val="005F11B9"/>
    <w:pPr>
      <w:spacing w:after="120" w:line="240" w:lineRule="auto"/>
      <w:jc w:val="right"/>
    </w:pPr>
    <w:rPr>
      <w:rFonts w:ascii="Times New Roman" w:hAnsi="Times New Roman" w:cs="Times New Roman"/>
      <w:sz w:val="28"/>
    </w:rPr>
  </w:style>
  <w:style w:type="paragraph" w:customStyle="1" w:styleId="FooterSensitivity">
    <w:name w:val="Footer Sensitivity"/>
    <w:basedOn w:val="Normal"/>
    <w:rsid w:val="005F11B9"/>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Text2">
    <w:name w:val="Text 2"/>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Text3">
    <w:name w:val="Text 3"/>
    <w:basedOn w:val="Normal"/>
    <w:rsid w:val="005F11B9"/>
    <w:pPr>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Text4">
    <w:name w:val="Text 4"/>
    <w:basedOn w:val="Normal"/>
    <w:rsid w:val="005F11B9"/>
    <w:pPr>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NormalCentered">
    <w:name w:val="Normal Centered"/>
    <w:basedOn w:val="Normal"/>
    <w:rsid w:val="005F11B9"/>
    <w:pPr>
      <w:spacing w:before="120" w:after="120" w:line="240" w:lineRule="auto"/>
      <w:jc w:val="center"/>
    </w:pPr>
    <w:rPr>
      <w:rFonts w:ascii="Times New Roman" w:eastAsia="Times New Roman" w:hAnsi="Times New Roman" w:cs="Times New Roman"/>
      <w:kern w:val="0"/>
      <w:sz w:val="24"/>
      <w:szCs w:val="24"/>
    </w:rPr>
  </w:style>
  <w:style w:type="paragraph" w:customStyle="1" w:styleId="NormalLeft">
    <w:name w:val="Normal Left"/>
    <w:basedOn w:val="Normal"/>
    <w:rsid w:val="005F11B9"/>
    <w:pPr>
      <w:spacing w:before="120" w:after="120" w:line="240" w:lineRule="auto"/>
    </w:pPr>
    <w:rPr>
      <w:rFonts w:ascii="Times New Roman" w:eastAsia="Times New Roman" w:hAnsi="Times New Roman" w:cs="Times New Roman"/>
      <w:kern w:val="0"/>
      <w:sz w:val="24"/>
      <w:szCs w:val="24"/>
    </w:rPr>
  </w:style>
  <w:style w:type="paragraph" w:customStyle="1" w:styleId="NormalRight">
    <w:name w:val="Normal Right"/>
    <w:basedOn w:val="Normal"/>
    <w:rsid w:val="005F11B9"/>
    <w:pPr>
      <w:spacing w:before="120" w:after="120" w:line="240" w:lineRule="auto"/>
      <w:jc w:val="right"/>
    </w:pPr>
    <w:rPr>
      <w:rFonts w:ascii="Times New Roman" w:eastAsia="Times New Roman" w:hAnsi="Times New Roman" w:cs="Times New Roman"/>
      <w:kern w:val="0"/>
      <w:sz w:val="24"/>
      <w:szCs w:val="24"/>
    </w:rPr>
  </w:style>
  <w:style w:type="paragraph" w:customStyle="1" w:styleId="QuotedText">
    <w:name w:val="Quoted Text"/>
    <w:basedOn w:val="Normal"/>
    <w:rsid w:val="005F11B9"/>
    <w:pPr>
      <w:spacing w:before="120" w:after="120" w:line="240" w:lineRule="auto"/>
      <w:ind w:left="1417"/>
      <w:jc w:val="both"/>
    </w:pPr>
    <w:rPr>
      <w:rFonts w:ascii="Times New Roman" w:eastAsia="Times New Roman" w:hAnsi="Times New Roman" w:cs="Times New Roman"/>
      <w:kern w:val="0"/>
      <w:sz w:val="24"/>
      <w:szCs w:val="24"/>
    </w:rPr>
  </w:style>
  <w:style w:type="paragraph" w:customStyle="1" w:styleId="Point0">
    <w:name w:val="Point 0"/>
    <w:basedOn w:val="Normal"/>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Point1">
    <w:name w:val="Point 1"/>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Point2">
    <w:name w:val="Point 2"/>
    <w:basedOn w:val="Normal"/>
    <w:rsid w:val="005F11B9"/>
    <w:pPr>
      <w:spacing w:before="120" w:after="120" w:line="240" w:lineRule="auto"/>
      <w:ind w:left="1984" w:hanging="567"/>
      <w:jc w:val="both"/>
    </w:pPr>
    <w:rPr>
      <w:rFonts w:ascii="Times New Roman" w:eastAsia="Times New Roman" w:hAnsi="Times New Roman" w:cs="Times New Roman"/>
      <w:kern w:val="0"/>
      <w:sz w:val="24"/>
      <w:szCs w:val="24"/>
    </w:rPr>
  </w:style>
  <w:style w:type="paragraph" w:customStyle="1" w:styleId="Point3">
    <w:name w:val="Point 3"/>
    <w:basedOn w:val="Normal"/>
    <w:rsid w:val="005F11B9"/>
    <w:pPr>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Point4">
    <w:name w:val="Point 4"/>
    <w:basedOn w:val="Normal"/>
    <w:rsid w:val="005F11B9"/>
    <w:pPr>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Tiret0">
    <w:name w:val="Tiret 0"/>
    <w:basedOn w:val="Point0"/>
    <w:rsid w:val="005F11B9"/>
    <w:pPr>
      <w:numPr>
        <w:numId w:val="7"/>
      </w:numPr>
    </w:pPr>
  </w:style>
  <w:style w:type="paragraph" w:customStyle="1" w:styleId="Tiret1">
    <w:name w:val="Tiret 1"/>
    <w:basedOn w:val="Point1"/>
    <w:rsid w:val="005F11B9"/>
    <w:pPr>
      <w:numPr>
        <w:numId w:val="8"/>
      </w:numPr>
      <w:tabs>
        <w:tab w:val="num" w:pos="3118"/>
      </w:tabs>
      <w:ind w:left="3118"/>
    </w:pPr>
  </w:style>
  <w:style w:type="paragraph" w:customStyle="1" w:styleId="Tiret2">
    <w:name w:val="Tiret 2"/>
    <w:basedOn w:val="Point2"/>
    <w:rsid w:val="005F11B9"/>
    <w:pPr>
      <w:numPr>
        <w:numId w:val="9"/>
      </w:numPr>
      <w:tabs>
        <w:tab w:val="num" w:pos="360"/>
      </w:tabs>
      <w:ind w:left="360" w:hanging="360"/>
    </w:pPr>
  </w:style>
  <w:style w:type="paragraph" w:customStyle="1" w:styleId="Tiret3">
    <w:name w:val="Tiret 3"/>
    <w:basedOn w:val="Point3"/>
    <w:rsid w:val="005F11B9"/>
    <w:pPr>
      <w:numPr>
        <w:numId w:val="10"/>
      </w:numPr>
      <w:tabs>
        <w:tab w:val="num" w:pos="360"/>
      </w:tabs>
      <w:ind w:left="360" w:hanging="360"/>
    </w:pPr>
  </w:style>
  <w:style w:type="paragraph" w:customStyle="1" w:styleId="Tiret4">
    <w:name w:val="Tiret 4"/>
    <w:basedOn w:val="Point4"/>
    <w:rsid w:val="005F11B9"/>
    <w:pPr>
      <w:numPr>
        <w:numId w:val="11"/>
      </w:numPr>
      <w:ind w:left="1440" w:hanging="360"/>
    </w:pPr>
  </w:style>
  <w:style w:type="paragraph" w:customStyle="1" w:styleId="PointDouble0">
    <w:name w:val="PointDouble 0"/>
    <w:basedOn w:val="Normal"/>
    <w:rsid w:val="005F11B9"/>
    <w:pPr>
      <w:tabs>
        <w:tab w:val="left" w:pos="850"/>
      </w:tabs>
      <w:spacing w:before="120" w:after="120" w:line="240" w:lineRule="auto"/>
      <w:ind w:left="1417" w:hanging="1417"/>
      <w:jc w:val="both"/>
    </w:pPr>
    <w:rPr>
      <w:rFonts w:ascii="Times New Roman" w:eastAsia="Times New Roman" w:hAnsi="Times New Roman" w:cs="Times New Roman"/>
      <w:kern w:val="0"/>
      <w:sz w:val="24"/>
      <w:szCs w:val="24"/>
    </w:rPr>
  </w:style>
  <w:style w:type="paragraph" w:customStyle="1" w:styleId="PointDouble1">
    <w:name w:val="PointDouble 1"/>
    <w:basedOn w:val="Normal"/>
    <w:rsid w:val="005F11B9"/>
    <w:pPr>
      <w:tabs>
        <w:tab w:val="left" w:pos="1417"/>
      </w:tabs>
      <w:spacing w:before="120" w:after="120" w:line="240" w:lineRule="auto"/>
      <w:ind w:left="1984" w:hanging="1134"/>
      <w:jc w:val="both"/>
    </w:pPr>
    <w:rPr>
      <w:rFonts w:ascii="Times New Roman" w:eastAsia="Times New Roman" w:hAnsi="Times New Roman" w:cs="Times New Roman"/>
      <w:kern w:val="0"/>
      <w:sz w:val="24"/>
      <w:szCs w:val="24"/>
    </w:rPr>
  </w:style>
  <w:style w:type="paragraph" w:customStyle="1" w:styleId="PointDouble2">
    <w:name w:val="PointDouble 2"/>
    <w:basedOn w:val="Normal"/>
    <w:rsid w:val="005F11B9"/>
    <w:pPr>
      <w:tabs>
        <w:tab w:val="left" w:pos="1984"/>
      </w:tabs>
      <w:spacing w:before="120" w:after="120" w:line="240" w:lineRule="auto"/>
      <w:ind w:left="2551" w:hanging="1134"/>
      <w:jc w:val="both"/>
    </w:pPr>
    <w:rPr>
      <w:rFonts w:ascii="Times New Roman" w:eastAsia="Times New Roman" w:hAnsi="Times New Roman" w:cs="Times New Roman"/>
      <w:kern w:val="0"/>
      <w:sz w:val="24"/>
      <w:szCs w:val="24"/>
    </w:rPr>
  </w:style>
  <w:style w:type="paragraph" w:customStyle="1" w:styleId="PointDouble3">
    <w:name w:val="PointDouble 3"/>
    <w:basedOn w:val="Normal"/>
    <w:rsid w:val="005F11B9"/>
    <w:pPr>
      <w:tabs>
        <w:tab w:val="left" w:pos="2551"/>
      </w:tabs>
      <w:spacing w:before="120" w:after="120" w:line="240" w:lineRule="auto"/>
      <w:ind w:left="3118" w:hanging="1134"/>
      <w:jc w:val="both"/>
    </w:pPr>
    <w:rPr>
      <w:rFonts w:ascii="Times New Roman" w:eastAsia="Times New Roman" w:hAnsi="Times New Roman" w:cs="Times New Roman"/>
      <w:kern w:val="0"/>
      <w:sz w:val="24"/>
      <w:szCs w:val="24"/>
    </w:rPr>
  </w:style>
  <w:style w:type="paragraph" w:customStyle="1" w:styleId="PointDouble4">
    <w:name w:val="PointDouble 4"/>
    <w:basedOn w:val="Normal"/>
    <w:rsid w:val="005F11B9"/>
    <w:pPr>
      <w:tabs>
        <w:tab w:val="left" w:pos="3118"/>
      </w:tabs>
      <w:spacing w:before="120" w:after="120" w:line="240" w:lineRule="auto"/>
      <w:ind w:left="3685" w:hanging="1134"/>
      <w:jc w:val="both"/>
    </w:pPr>
    <w:rPr>
      <w:rFonts w:ascii="Times New Roman" w:eastAsia="Times New Roman" w:hAnsi="Times New Roman" w:cs="Times New Roman"/>
      <w:kern w:val="0"/>
      <w:sz w:val="24"/>
      <w:szCs w:val="24"/>
    </w:rPr>
  </w:style>
  <w:style w:type="paragraph" w:customStyle="1" w:styleId="PointTriple0">
    <w:name w:val="PointTriple 0"/>
    <w:basedOn w:val="Normal"/>
    <w:rsid w:val="005F11B9"/>
    <w:pPr>
      <w:tabs>
        <w:tab w:val="left" w:pos="850"/>
        <w:tab w:val="left" w:pos="1417"/>
      </w:tabs>
      <w:spacing w:before="120" w:after="120" w:line="240" w:lineRule="auto"/>
      <w:ind w:left="1984" w:hanging="1984"/>
      <w:jc w:val="both"/>
    </w:pPr>
    <w:rPr>
      <w:rFonts w:ascii="Times New Roman" w:eastAsia="Times New Roman" w:hAnsi="Times New Roman" w:cs="Times New Roman"/>
      <w:kern w:val="0"/>
      <w:sz w:val="24"/>
      <w:szCs w:val="24"/>
    </w:rPr>
  </w:style>
  <w:style w:type="paragraph" w:customStyle="1" w:styleId="PointTriple1">
    <w:name w:val="PointTriple 1"/>
    <w:basedOn w:val="Normal"/>
    <w:rsid w:val="005F11B9"/>
    <w:pPr>
      <w:tabs>
        <w:tab w:val="left" w:pos="1417"/>
        <w:tab w:val="left" w:pos="1984"/>
      </w:tabs>
      <w:spacing w:before="120" w:after="120" w:line="240" w:lineRule="auto"/>
      <w:ind w:left="2551" w:hanging="1701"/>
      <w:jc w:val="both"/>
    </w:pPr>
    <w:rPr>
      <w:rFonts w:ascii="Times New Roman" w:eastAsia="Times New Roman" w:hAnsi="Times New Roman" w:cs="Times New Roman"/>
      <w:kern w:val="0"/>
      <w:sz w:val="24"/>
      <w:szCs w:val="24"/>
    </w:rPr>
  </w:style>
  <w:style w:type="paragraph" w:customStyle="1" w:styleId="PointTriple2">
    <w:name w:val="PointTriple 2"/>
    <w:basedOn w:val="Normal"/>
    <w:rsid w:val="005F11B9"/>
    <w:pPr>
      <w:tabs>
        <w:tab w:val="left" w:pos="1984"/>
        <w:tab w:val="left" w:pos="2551"/>
      </w:tabs>
      <w:spacing w:before="120" w:after="120" w:line="240" w:lineRule="auto"/>
      <w:ind w:left="3118" w:hanging="1701"/>
      <w:jc w:val="both"/>
    </w:pPr>
    <w:rPr>
      <w:rFonts w:ascii="Times New Roman" w:eastAsia="Times New Roman" w:hAnsi="Times New Roman" w:cs="Times New Roman"/>
      <w:kern w:val="0"/>
      <w:sz w:val="24"/>
      <w:szCs w:val="24"/>
    </w:rPr>
  </w:style>
  <w:style w:type="paragraph" w:customStyle="1" w:styleId="PointTriple3">
    <w:name w:val="PointTriple 3"/>
    <w:basedOn w:val="Normal"/>
    <w:rsid w:val="005F11B9"/>
    <w:pPr>
      <w:tabs>
        <w:tab w:val="left" w:pos="2551"/>
        <w:tab w:val="left" w:pos="3118"/>
      </w:tabs>
      <w:spacing w:before="120" w:after="120" w:line="240" w:lineRule="auto"/>
      <w:ind w:left="3685" w:hanging="1701"/>
      <w:jc w:val="both"/>
    </w:pPr>
    <w:rPr>
      <w:rFonts w:ascii="Times New Roman" w:eastAsia="Times New Roman" w:hAnsi="Times New Roman" w:cs="Times New Roman"/>
      <w:kern w:val="0"/>
      <w:sz w:val="24"/>
      <w:szCs w:val="24"/>
    </w:rPr>
  </w:style>
  <w:style w:type="paragraph" w:customStyle="1" w:styleId="PointTriple4">
    <w:name w:val="PointTriple 4"/>
    <w:basedOn w:val="Normal"/>
    <w:rsid w:val="005F11B9"/>
    <w:pPr>
      <w:tabs>
        <w:tab w:val="left" w:pos="3118"/>
        <w:tab w:val="left" w:pos="3685"/>
      </w:tabs>
      <w:spacing w:before="120" w:after="120" w:line="240" w:lineRule="auto"/>
      <w:ind w:left="4252" w:hanging="1701"/>
      <w:jc w:val="both"/>
    </w:pPr>
    <w:rPr>
      <w:rFonts w:ascii="Times New Roman" w:eastAsia="Times New Roman" w:hAnsi="Times New Roman" w:cs="Times New Roman"/>
      <w:kern w:val="0"/>
      <w:sz w:val="24"/>
      <w:szCs w:val="24"/>
    </w:rPr>
  </w:style>
  <w:style w:type="paragraph" w:customStyle="1" w:styleId="NumPar1">
    <w:name w:val="NumPar 1"/>
    <w:basedOn w:val="Normal"/>
    <w:next w:val="Text1"/>
    <w:rsid w:val="005F11B9"/>
    <w:pPr>
      <w:numPr>
        <w:ilvl w:val="1"/>
        <w:numId w:val="12"/>
      </w:numPr>
      <w:spacing w:before="120" w:after="120" w:line="240" w:lineRule="auto"/>
      <w:jc w:val="both"/>
    </w:pPr>
    <w:rPr>
      <w:rFonts w:ascii="Times New Roman" w:eastAsia="Times New Roman" w:hAnsi="Times New Roman" w:cs="Times New Roman"/>
      <w:kern w:val="0"/>
      <w:sz w:val="24"/>
      <w:szCs w:val="24"/>
    </w:rPr>
  </w:style>
  <w:style w:type="paragraph" w:customStyle="1" w:styleId="NumPar2">
    <w:name w:val="NumPar 2"/>
    <w:basedOn w:val="Normal"/>
    <w:next w:val="Text1"/>
    <w:rsid w:val="005F11B9"/>
    <w:pPr>
      <w:numPr>
        <w:ilvl w:val="2"/>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3">
    <w:name w:val="NumPar 3"/>
    <w:basedOn w:val="Normal"/>
    <w:next w:val="Text1"/>
    <w:rsid w:val="005F11B9"/>
    <w:pPr>
      <w:numPr>
        <w:ilvl w:val="3"/>
        <w:numId w:val="12"/>
      </w:numPr>
      <w:tabs>
        <w:tab w:val="num" w:pos="1209"/>
      </w:tabs>
      <w:spacing w:before="120" w:after="120" w:line="240" w:lineRule="auto"/>
      <w:ind w:left="1209" w:hanging="360"/>
      <w:jc w:val="both"/>
    </w:pPr>
    <w:rPr>
      <w:rFonts w:ascii="Times New Roman" w:eastAsia="Times New Roman" w:hAnsi="Times New Roman" w:cs="Times New Roman"/>
      <w:kern w:val="0"/>
      <w:sz w:val="24"/>
      <w:szCs w:val="24"/>
    </w:rPr>
  </w:style>
  <w:style w:type="paragraph" w:customStyle="1" w:styleId="NumPar4">
    <w:name w:val="NumPar 4"/>
    <w:basedOn w:val="Normal"/>
    <w:next w:val="Text1"/>
    <w:rsid w:val="005F11B9"/>
    <w:pPr>
      <w:tabs>
        <w:tab w:val="num" w:pos="850"/>
      </w:tabs>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1">
    <w:name w:val="Manual NumPar 1"/>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2">
    <w:name w:val="Manual NumPar 2"/>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3">
    <w:name w:val="Manual NumPar 3"/>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ManualNumPar4">
    <w:name w:val="Manual NumPar 4"/>
    <w:basedOn w:val="Normal"/>
    <w:next w:val="Text1"/>
    <w:rsid w:val="005F11B9"/>
    <w:pPr>
      <w:spacing w:before="120" w:after="120" w:line="240" w:lineRule="auto"/>
      <w:ind w:left="850" w:hanging="850"/>
      <w:jc w:val="both"/>
    </w:pPr>
    <w:rPr>
      <w:rFonts w:ascii="Times New Roman" w:eastAsia="Times New Roman" w:hAnsi="Times New Roman" w:cs="Times New Roman"/>
      <w:kern w:val="0"/>
      <w:sz w:val="24"/>
      <w:szCs w:val="24"/>
    </w:rPr>
  </w:style>
  <w:style w:type="paragraph" w:customStyle="1" w:styleId="QuotedNumPar">
    <w:name w:val="Quoted NumPar"/>
    <w:basedOn w:val="Normal"/>
    <w:rsid w:val="005F11B9"/>
    <w:pPr>
      <w:spacing w:before="120" w:after="120" w:line="240" w:lineRule="auto"/>
      <w:ind w:left="1417" w:hanging="567"/>
      <w:jc w:val="both"/>
    </w:pPr>
    <w:rPr>
      <w:rFonts w:ascii="Times New Roman" w:eastAsia="Times New Roman" w:hAnsi="Times New Roman" w:cs="Times New Roman"/>
      <w:kern w:val="0"/>
      <w:sz w:val="24"/>
      <w:szCs w:val="24"/>
    </w:rPr>
  </w:style>
  <w:style w:type="paragraph" w:customStyle="1" w:styleId="ManualHeading1">
    <w:name w:val="Manual Heading 1"/>
    <w:basedOn w:val="Normal"/>
    <w:next w:val="Text1"/>
    <w:rsid w:val="005F11B9"/>
    <w:pPr>
      <w:keepNext/>
      <w:tabs>
        <w:tab w:val="left" w:pos="850"/>
      </w:tabs>
      <w:spacing w:before="360" w:after="120" w:line="240" w:lineRule="auto"/>
      <w:ind w:left="850" w:hanging="850"/>
      <w:jc w:val="both"/>
      <w:outlineLvl w:val="0"/>
    </w:pPr>
    <w:rPr>
      <w:rFonts w:ascii="Times New Roman" w:eastAsia="Times New Roman" w:hAnsi="Times New Roman" w:cs="Times New Roman"/>
      <w:b/>
      <w:smallCaps/>
      <w:kern w:val="0"/>
      <w:sz w:val="24"/>
      <w:szCs w:val="24"/>
    </w:rPr>
  </w:style>
  <w:style w:type="paragraph" w:customStyle="1" w:styleId="ManualHeading2">
    <w:name w:val="Manual Heading 2"/>
    <w:basedOn w:val="Normal"/>
    <w:next w:val="Text1"/>
    <w:rsid w:val="005F11B9"/>
    <w:pPr>
      <w:keepNext/>
      <w:tabs>
        <w:tab w:val="left" w:pos="850"/>
      </w:tabs>
      <w:spacing w:before="120" w:after="120" w:line="240" w:lineRule="auto"/>
      <w:ind w:left="850" w:hanging="850"/>
      <w:jc w:val="both"/>
      <w:outlineLvl w:val="1"/>
    </w:pPr>
    <w:rPr>
      <w:rFonts w:ascii="Times New Roman" w:eastAsia="Times New Roman" w:hAnsi="Times New Roman" w:cs="Times New Roman"/>
      <w:b/>
      <w:kern w:val="0"/>
      <w:sz w:val="24"/>
      <w:szCs w:val="24"/>
    </w:rPr>
  </w:style>
  <w:style w:type="paragraph" w:customStyle="1" w:styleId="ManualHeading3">
    <w:name w:val="Manual Heading 3"/>
    <w:basedOn w:val="Normal"/>
    <w:next w:val="Text1"/>
    <w:rsid w:val="005F11B9"/>
    <w:pPr>
      <w:keepNext/>
      <w:tabs>
        <w:tab w:val="left" w:pos="850"/>
      </w:tabs>
      <w:spacing w:before="120" w:after="120" w:line="240" w:lineRule="auto"/>
      <w:ind w:left="850" w:hanging="850"/>
      <w:jc w:val="both"/>
      <w:outlineLvl w:val="2"/>
    </w:pPr>
    <w:rPr>
      <w:rFonts w:ascii="Times New Roman" w:eastAsia="Times New Roman" w:hAnsi="Times New Roman" w:cs="Times New Roman"/>
      <w:i/>
      <w:kern w:val="0"/>
      <w:sz w:val="24"/>
      <w:szCs w:val="24"/>
    </w:rPr>
  </w:style>
  <w:style w:type="paragraph" w:customStyle="1" w:styleId="ManualHeading4">
    <w:name w:val="Manual Heading 4"/>
    <w:basedOn w:val="Normal"/>
    <w:next w:val="Text1"/>
    <w:rsid w:val="005F11B9"/>
    <w:pPr>
      <w:keepNext/>
      <w:tabs>
        <w:tab w:val="left" w:pos="850"/>
      </w:tabs>
      <w:spacing w:before="120" w:after="120" w:line="240" w:lineRule="auto"/>
      <w:ind w:left="850" w:hanging="850"/>
      <w:jc w:val="both"/>
      <w:outlineLvl w:val="3"/>
    </w:pPr>
    <w:rPr>
      <w:rFonts w:ascii="Times New Roman" w:eastAsia="Times New Roman" w:hAnsi="Times New Roman" w:cs="Times New Roman"/>
      <w:kern w:val="0"/>
      <w:sz w:val="24"/>
      <w:szCs w:val="24"/>
    </w:rPr>
  </w:style>
  <w:style w:type="paragraph" w:customStyle="1" w:styleId="ChapterTitle">
    <w:name w:val="ChapterTitle"/>
    <w:basedOn w:val="Normal"/>
    <w:next w:val="Normal"/>
    <w:rsid w:val="005F11B9"/>
    <w:pPr>
      <w:keepNext/>
      <w:spacing w:before="120" w:after="360" w:line="240" w:lineRule="auto"/>
      <w:jc w:val="center"/>
    </w:pPr>
    <w:rPr>
      <w:rFonts w:ascii="Times New Roman" w:eastAsia="Times New Roman" w:hAnsi="Times New Roman" w:cs="Times New Roman"/>
      <w:b/>
      <w:kern w:val="0"/>
      <w:sz w:val="32"/>
      <w:szCs w:val="24"/>
    </w:rPr>
  </w:style>
  <w:style w:type="paragraph" w:customStyle="1" w:styleId="PartTitle">
    <w:name w:val="PartTitle"/>
    <w:basedOn w:val="Normal"/>
    <w:next w:val="ChapterTitle"/>
    <w:rsid w:val="005F11B9"/>
    <w:pPr>
      <w:keepNext/>
      <w:pageBreakBefore/>
      <w:spacing w:before="120" w:after="360" w:line="240" w:lineRule="auto"/>
      <w:jc w:val="center"/>
    </w:pPr>
    <w:rPr>
      <w:rFonts w:ascii="Times New Roman" w:eastAsia="Times New Roman" w:hAnsi="Times New Roman" w:cs="Times New Roman"/>
      <w:b/>
      <w:kern w:val="0"/>
      <w:sz w:val="36"/>
      <w:szCs w:val="24"/>
    </w:rPr>
  </w:style>
  <w:style w:type="paragraph" w:customStyle="1" w:styleId="SectionTitle">
    <w:name w:val="SectionTitle"/>
    <w:basedOn w:val="Normal"/>
    <w:next w:val="Heading1"/>
    <w:rsid w:val="005F11B9"/>
    <w:pPr>
      <w:keepNext/>
      <w:spacing w:before="120" w:after="360" w:line="240" w:lineRule="auto"/>
      <w:jc w:val="center"/>
    </w:pPr>
    <w:rPr>
      <w:rFonts w:ascii="Times New Roman" w:eastAsia="Times New Roman" w:hAnsi="Times New Roman" w:cs="Times New Roman"/>
      <w:b/>
      <w:smallCaps/>
      <w:kern w:val="0"/>
      <w:sz w:val="28"/>
      <w:szCs w:val="24"/>
    </w:rPr>
  </w:style>
  <w:style w:type="paragraph" w:customStyle="1" w:styleId="TableTitle">
    <w:name w:val="Table Title"/>
    <w:basedOn w:val="Normal"/>
    <w:next w:val="Normal"/>
    <w:rsid w:val="005F11B9"/>
    <w:pPr>
      <w:spacing w:before="120" w:after="120" w:line="240" w:lineRule="auto"/>
      <w:jc w:val="center"/>
    </w:pPr>
    <w:rPr>
      <w:rFonts w:ascii="Times New Roman" w:eastAsia="Times New Roman" w:hAnsi="Times New Roman" w:cs="Times New Roman"/>
      <w:b/>
      <w:kern w:val="0"/>
      <w:sz w:val="24"/>
      <w:szCs w:val="24"/>
    </w:rPr>
  </w:style>
  <w:style w:type="paragraph" w:customStyle="1" w:styleId="Point0number">
    <w:name w:val="Point 0 (number)"/>
    <w:basedOn w:val="Normal"/>
    <w:rsid w:val="005F11B9"/>
    <w:pPr>
      <w:numPr>
        <w:ilvl w:val="2"/>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number">
    <w:name w:val="Point 1 (number)"/>
    <w:basedOn w:val="Normal"/>
    <w:rsid w:val="005F11B9"/>
    <w:pPr>
      <w:numPr>
        <w:ilvl w:val="4"/>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number">
    <w:name w:val="Point 2 (number)"/>
    <w:basedOn w:val="Normal"/>
    <w:rsid w:val="005F11B9"/>
    <w:pPr>
      <w:numPr>
        <w:ilvl w:val="6"/>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number">
    <w:name w:val="Point 3 (number)"/>
    <w:basedOn w:val="Normal"/>
    <w:rsid w:val="005F11B9"/>
    <w:pPr>
      <w:numPr>
        <w:ilvl w:val="1"/>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0letter">
    <w:name w:val="Point 0 (letter)"/>
    <w:basedOn w:val="Normal"/>
    <w:rsid w:val="005F11B9"/>
    <w:pPr>
      <w:numPr>
        <w:ilvl w:val="3"/>
        <w:numId w:val="13"/>
      </w:numPr>
      <w:tabs>
        <w:tab w:val="num" w:pos="360"/>
      </w:tabs>
      <w:spacing w:before="120" w:after="120" w:line="240" w:lineRule="auto"/>
      <w:ind w:left="360" w:hanging="360"/>
      <w:jc w:val="both"/>
    </w:pPr>
    <w:rPr>
      <w:rFonts w:ascii="Times New Roman" w:eastAsia="Times New Roman" w:hAnsi="Times New Roman" w:cs="Times New Roman"/>
      <w:kern w:val="0"/>
      <w:sz w:val="24"/>
      <w:szCs w:val="24"/>
    </w:rPr>
  </w:style>
  <w:style w:type="paragraph" w:customStyle="1" w:styleId="Point1letter">
    <w:name w:val="Point 1 (letter)"/>
    <w:basedOn w:val="Normal"/>
    <w:rsid w:val="005F11B9"/>
    <w:pPr>
      <w:numPr>
        <w:ilvl w:val="5"/>
        <w:numId w:val="13"/>
      </w:numPr>
      <w:tabs>
        <w:tab w:val="num" w:pos="360"/>
      </w:tabs>
      <w:spacing w:before="120" w:after="120" w:line="240" w:lineRule="auto"/>
      <w:ind w:left="360"/>
      <w:jc w:val="both"/>
    </w:pPr>
    <w:rPr>
      <w:rFonts w:ascii="Times New Roman" w:eastAsia="Times New Roman" w:hAnsi="Times New Roman" w:cs="Times New Roman"/>
      <w:kern w:val="0"/>
      <w:sz w:val="24"/>
      <w:szCs w:val="24"/>
    </w:rPr>
  </w:style>
  <w:style w:type="paragraph" w:customStyle="1" w:styleId="Point2letter">
    <w:name w:val="Point 2 (letter)"/>
    <w:basedOn w:val="Normal"/>
    <w:rsid w:val="005F11B9"/>
    <w:pPr>
      <w:numPr>
        <w:ilvl w:val="7"/>
        <w:numId w:val="13"/>
      </w:numPr>
      <w:tabs>
        <w:tab w:val="num" w:pos="360"/>
        <w:tab w:val="num" w:pos="1984"/>
      </w:tabs>
      <w:spacing w:before="120" w:after="120" w:line="240" w:lineRule="auto"/>
      <w:ind w:left="1984"/>
      <w:jc w:val="both"/>
    </w:pPr>
    <w:rPr>
      <w:rFonts w:ascii="Times New Roman" w:eastAsia="Times New Roman" w:hAnsi="Times New Roman" w:cs="Times New Roman"/>
      <w:kern w:val="0"/>
      <w:sz w:val="24"/>
      <w:szCs w:val="24"/>
    </w:rPr>
  </w:style>
  <w:style w:type="paragraph" w:customStyle="1" w:styleId="Point3letter">
    <w:name w:val="Point 3 (letter)"/>
    <w:basedOn w:val="Normal"/>
    <w:rsid w:val="005F11B9"/>
    <w:pPr>
      <w:numPr>
        <w:ilvl w:val="8"/>
        <w:numId w:val="13"/>
      </w:numPr>
      <w:tabs>
        <w:tab w:val="num" w:pos="360"/>
        <w:tab w:val="num" w:pos="2551"/>
      </w:tabs>
      <w:spacing w:before="120" w:after="120" w:line="240" w:lineRule="auto"/>
      <w:ind w:left="2551"/>
      <w:jc w:val="both"/>
    </w:pPr>
    <w:rPr>
      <w:rFonts w:ascii="Times New Roman" w:eastAsia="Times New Roman" w:hAnsi="Times New Roman" w:cs="Times New Roman"/>
      <w:kern w:val="0"/>
      <w:sz w:val="24"/>
      <w:szCs w:val="24"/>
    </w:rPr>
  </w:style>
  <w:style w:type="paragraph" w:customStyle="1" w:styleId="Point4letter">
    <w:name w:val="Point 4 (letter)"/>
    <w:basedOn w:val="Normal"/>
    <w:rsid w:val="005F11B9"/>
    <w:pPr>
      <w:tabs>
        <w:tab w:val="num" w:pos="3118"/>
      </w:tabs>
      <w:spacing w:before="120" w:after="120" w:line="240" w:lineRule="auto"/>
      <w:ind w:left="3118" w:hanging="567"/>
      <w:jc w:val="both"/>
    </w:pPr>
    <w:rPr>
      <w:rFonts w:ascii="Times New Roman" w:eastAsia="Times New Roman" w:hAnsi="Times New Roman" w:cs="Times New Roman"/>
      <w:kern w:val="0"/>
      <w:sz w:val="24"/>
      <w:szCs w:val="24"/>
    </w:rPr>
  </w:style>
  <w:style w:type="paragraph" w:customStyle="1" w:styleId="Bullet0">
    <w:name w:val="Bullet 0"/>
    <w:basedOn w:val="Normal"/>
    <w:rsid w:val="005F11B9"/>
    <w:pPr>
      <w:numPr>
        <w:numId w:val="14"/>
      </w:numPr>
      <w:tabs>
        <w:tab w:val="num" w:pos="643"/>
      </w:tabs>
      <w:spacing w:before="120" w:after="120" w:line="240" w:lineRule="auto"/>
      <w:ind w:left="643" w:hanging="360"/>
      <w:jc w:val="both"/>
    </w:pPr>
    <w:rPr>
      <w:rFonts w:ascii="Times New Roman" w:eastAsia="Times New Roman" w:hAnsi="Times New Roman" w:cs="Times New Roman"/>
      <w:kern w:val="0"/>
      <w:sz w:val="24"/>
      <w:szCs w:val="24"/>
    </w:rPr>
  </w:style>
  <w:style w:type="paragraph" w:customStyle="1" w:styleId="Bullet1">
    <w:name w:val="Bullet 1"/>
    <w:basedOn w:val="Normal"/>
    <w:rsid w:val="005F11B9"/>
    <w:pPr>
      <w:numPr>
        <w:numId w:val="15"/>
      </w:numPr>
      <w:tabs>
        <w:tab w:val="num" w:pos="926"/>
      </w:tabs>
      <w:spacing w:before="120" w:after="120" w:line="240" w:lineRule="auto"/>
      <w:ind w:left="926" w:hanging="360"/>
      <w:jc w:val="both"/>
    </w:pPr>
    <w:rPr>
      <w:rFonts w:ascii="Times New Roman" w:eastAsia="Times New Roman" w:hAnsi="Times New Roman" w:cs="Times New Roman"/>
      <w:kern w:val="0"/>
      <w:sz w:val="24"/>
      <w:szCs w:val="24"/>
    </w:rPr>
  </w:style>
  <w:style w:type="paragraph" w:customStyle="1" w:styleId="Bullet2">
    <w:name w:val="Bullet 2"/>
    <w:basedOn w:val="Normal"/>
    <w:rsid w:val="005F11B9"/>
    <w:pPr>
      <w:numPr>
        <w:numId w:val="16"/>
      </w:numPr>
      <w:spacing w:before="120" w:after="120" w:line="240" w:lineRule="auto"/>
      <w:jc w:val="both"/>
    </w:pPr>
    <w:rPr>
      <w:rFonts w:ascii="Times New Roman" w:eastAsia="Times New Roman" w:hAnsi="Times New Roman" w:cs="Times New Roman"/>
      <w:kern w:val="0"/>
      <w:sz w:val="24"/>
      <w:szCs w:val="24"/>
    </w:rPr>
  </w:style>
  <w:style w:type="paragraph" w:customStyle="1" w:styleId="Bullet3">
    <w:name w:val="Bullet 3"/>
    <w:basedOn w:val="Normal"/>
    <w:rsid w:val="005F11B9"/>
    <w:pPr>
      <w:tabs>
        <w:tab w:val="num" w:pos="2551"/>
      </w:tabs>
      <w:spacing w:before="120" w:after="120" w:line="240" w:lineRule="auto"/>
      <w:ind w:left="2551" w:hanging="567"/>
      <w:jc w:val="both"/>
    </w:pPr>
    <w:rPr>
      <w:rFonts w:ascii="Times New Roman" w:eastAsia="Times New Roman" w:hAnsi="Times New Roman" w:cs="Times New Roman"/>
      <w:kern w:val="0"/>
      <w:sz w:val="24"/>
      <w:szCs w:val="24"/>
    </w:rPr>
  </w:style>
  <w:style w:type="paragraph" w:customStyle="1" w:styleId="Bullet4">
    <w:name w:val="Bullet 4"/>
    <w:basedOn w:val="Normal"/>
    <w:rsid w:val="005F11B9"/>
    <w:pPr>
      <w:numPr>
        <w:numId w:val="17"/>
      </w:numPr>
      <w:spacing w:before="120" w:after="120" w:line="240" w:lineRule="auto"/>
      <w:jc w:val="both"/>
    </w:pPr>
    <w:rPr>
      <w:rFonts w:ascii="Times New Roman" w:eastAsia="Times New Roman" w:hAnsi="Times New Roman" w:cs="Times New Roman"/>
      <w:kern w:val="0"/>
      <w:sz w:val="24"/>
      <w:szCs w:val="24"/>
    </w:rPr>
  </w:style>
  <w:style w:type="paragraph" w:customStyle="1" w:styleId="Rfrenceinterne">
    <w:name w:val="Référence interne"/>
    <w:basedOn w:val="Normal"/>
    <w:next w:val="Rfrenceinter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Langue">
    <w:name w:val="Langue"/>
    <w:basedOn w:val="Normal"/>
    <w:next w:val="Rfrenceinterne"/>
    <w:rsid w:val="005F11B9"/>
    <w:pPr>
      <w:framePr w:wrap="around" w:vAnchor="page" w:hAnchor="text" w:xAlign="center" w:y="14741"/>
      <w:spacing w:after="600" w:line="240" w:lineRule="auto"/>
      <w:jc w:val="center"/>
    </w:pPr>
    <w:rPr>
      <w:rFonts w:ascii="Times New Roman" w:eastAsia="Times New Roman" w:hAnsi="Times New Roman" w:cs="Times New Roman"/>
      <w:b/>
      <w:caps/>
      <w:kern w:val="0"/>
      <w:sz w:val="24"/>
      <w:szCs w:val="24"/>
    </w:rPr>
  </w:style>
  <w:style w:type="paragraph" w:customStyle="1" w:styleId="Rfrenceinterinstitutionnelle">
    <w:name w:val="Référence interinstitutionnelle"/>
    <w:basedOn w:val="Normal"/>
    <w:next w:val="Statut"/>
    <w:rsid w:val="005F11B9"/>
    <w:pPr>
      <w:spacing w:after="0" w:line="240" w:lineRule="auto"/>
      <w:ind w:left="5103"/>
    </w:pPr>
    <w:rPr>
      <w:rFonts w:ascii="Times New Roman" w:eastAsia="Times New Roman" w:hAnsi="Times New Roman" w:cs="Times New Roman"/>
      <w:kern w:val="0"/>
      <w:sz w:val="24"/>
      <w:szCs w:val="24"/>
    </w:rPr>
  </w:style>
  <w:style w:type="paragraph" w:customStyle="1" w:styleId="Statut">
    <w:name w:val="Statut"/>
    <w:basedOn w:val="Normal"/>
    <w:next w:val="Typedudocument"/>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ypedudocument">
    <w:name w:val="Type du document"/>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Titreobjet">
    <w:name w:val="Titre objet"/>
    <w:basedOn w:val="Normal"/>
    <w:next w:val="IntrtEEE"/>
    <w:rsid w:val="005F11B9"/>
    <w:pPr>
      <w:spacing w:before="360" w:after="360" w:line="240" w:lineRule="auto"/>
      <w:jc w:val="center"/>
    </w:pPr>
    <w:rPr>
      <w:rFonts w:ascii="Times New Roman" w:eastAsia="Times New Roman" w:hAnsi="Times New Roman" w:cs="Times New Roman"/>
      <w:b/>
      <w:kern w:val="0"/>
      <w:sz w:val="24"/>
      <w:szCs w:val="24"/>
    </w:rPr>
  </w:style>
  <w:style w:type="paragraph" w:customStyle="1" w:styleId="IntrtEEE">
    <w:name w:val="Intérêt EEE"/>
    <w:basedOn w:val="Languesfaisantfoi"/>
    <w:next w:val="Normal"/>
    <w:rsid w:val="005F11B9"/>
    <w:pPr>
      <w:spacing w:after="240"/>
    </w:pPr>
  </w:style>
  <w:style w:type="paragraph" w:customStyle="1" w:styleId="Languesfaisantfoi">
    <w:name w:val="Langues faisant foi"/>
    <w:basedOn w:val="Normal"/>
    <w:next w:val="Normal"/>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Emission">
    <w:name w:val="Emission"/>
    <w:basedOn w:val="Normal"/>
    <w:next w:val="Rfrenceinstitutionnelle"/>
    <w:rsid w:val="005F11B9"/>
    <w:pPr>
      <w:spacing w:after="0" w:line="240" w:lineRule="auto"/>
      <w:ind w:left="5103"/>
    </w:pPr>
    <w:rPr>
      <w:rFonts w:ascii="Times New Roman" w:eastAsia="Times New Roman" w:hAnsi="Times New Roman" w:cs="Times New Roman"/>
      <w:kern w:val="0"/>
      <w:sz w:val="24"/>
      <w:szCs w:val="24"/>
    </w:rPr>
  </w:style>
  <w:style w:type="paragraph" w:customStyle="1" w:styleId="Nomdelinstitution">
    <w:name w:val="Nom de l'institution"/>
    <w:basedOn w:val="Normal"/>
    <w:next w:val="Emission"/>
    <w:rsid w:val="005F11B9"/>
    <w:pPr>
      <w:spacing w:after="0" w:line="240" w:lineRule="auto"/>
    </w:pPr>
    <w:rPr>
      <w:rFonts w:ascii="Arial" w:eastAsia="Times New Roman" w:hAnsi="Arial" w:cs="Arial"/>
      <w:kern w:val="0"/>
      <w:sz w:val="24"/>
      <w:szCs w:val="24"/>
    </w:rPr>
  </w:style>
  <w:style w:type="paragraph" w:customStyle="1" w:styleId="Rfrenceinstitutionnelle">
    <w:name w:val="Référence institutionnell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Confidentialit">
    <w:name w:val="Confidentialité"/>
    <w:basedOn w:val="Normal"/>
    <w:next w:val="TypedudocumentPagedecouverture"/>
    <w:rsid w:val="005F11B9"/>
    <w:pPr>
      <w:spacing w:before="240" w:after="240" w:line="240" w:lineRule="auto"/>
      <w:ind w:left="5103"/>
    </w:pPr>
    <w:rPr>
      <w:rFonts w:ascii="Times New Roman" w:eastAsia="Times New Roman" w:hAnsi="Times New Roman" w:cs="Times New Roman"/>
      <w:i/>
      <w:kern w:val="0"/>
      <w:sz w:val="32"/>
      <w:szCs w:val="24"/>
    </w:rPr>
  </w:style>
  <w:style w:type="paragraph" w:customStyle="1" w:styleId="TypedudocumentPagedecouverture">
    <w:name w:val="Type du document (Page de couverture)"/>
    <w:basedOn w:val="Typedudocument"/>
    <w:next w:val="TitreobjetPagedecouverture"/>
    <w:rsid w:val="005F11B9"/>
  </w:style>
  <w:style w:type="paragraph" w:customStyle="1" w:styleId="TitreobjetPagedecouverture">
    <w:name w:val="Titre objet (Page de couverture)"/>
    <w:basedOn w:val="Titreobjet"/>
    <w:next w:val="IntrtEEEPagedecouverture"/>
    <w:rsid w:val="005F11B9"/>
  </w:style>
  <w:style w:type="paragraph" w:customStyle="1" w:styleId="IntrtEEEPagedecouverture">
    <w:name w:val="Intérêt EEE (Page de couverture)"/>
    <w:basedOn w:val="IntrtEEE"/>
    <w:next w:val="Rfrencecroise"/>
    <w:rsid w:val="005F11B9"/>
  </w:style>
  <w:style w:type="paragraph" w:customStyle="1" w:styleId="Rfrencecroise">
    <w:name w:val="Référence croisée"/>
    <w:basedOn w:val="Normal"/>
    <w:rsid w:val="005F11B9"/>
    <w:pPr>
      <w:spacing w:after="0" w:line="240" w:lineRule="auto"/>
      <w:jc w:val="center"/>
    </w:pPr>
    <w:rPr>
      <w:rFonts w:ascii="Times New Roman" w:eastAsia="Times New Roman" w:hAnsi="Times New Roman" w:cs="Times New Roman"/>
      <w:kern w:val="0"/>
      <w:sz w:val="24"/>
      <w:szCs w:val="24"/>
    </w:rPr>
  </w:style>
  <w:style w:type="paragraph" w:customStyle="1" w:styleId="Pagedecouverture">
    <w:name w:val="Page de couverture"/>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eclassification">
    <w:name w:val="Declassification"/>
    <w:basedOn w:val="Normal"/>
    <w:next w:val="Normal"/>
    <w:rsid w:val="005F11B9"/>
    <w:pPr>
      <w:spacing w:after="0" w:line="240" w:lineRule="auto"/>
      <w:jc w:val="both"/>
    </w:pPr>
    <w:rPr>
      <w:rFonts w:ascii="Times New Roman" w:eastAsia="Times New Roman" w:hAnsi="Times New Roman" w:cs="Times New Roman"/>
      <w:kern w:val="0"/>
      <w:sz w:val="24"/>
      <w:szCs w:val="24"/>
    </w:rPr>
  </w:style>
  <w:style w:type="paragraph" w:customStyle="1" w:styleId="Disclaimer">
    <w:name w:val="Disclaimer"/>
    <w:basedOn w:val="Normal"/>
    <w:rsid w:val="005F11B9"/>
    <w:pPr>
      <w:framePr w:w="8220" w:wrap="notBeside" w:hAnchor="margin" w:xAlign="center" w:y="10401"/>
      <w:pBdr>
        <w:top w:val="single" w:sz="6" w:space="4" w:color="auto"/>
        <w:left w:val="single" w:sz="6" w:space="7" w:color="auto"/>
        <w:bottom w:val="single" w:sz="6" w:space="4" w:color="auto"/>
        <w:right w:val="single" w:sz="6" w:space="7" w:color="auto"/>
      </w:pBdr>
      <w:spacing w:before="120" w:after="120" w:line="240" w:lineRule="auto"/>
      <w:jc w:val="both"/>
    </w:pPr>
    <w:rPr>
      <w:rFonts w:ascii="Times New Roman" w:eastAsia="Times New Roman" w:hAnsi="Times New Roman" w:cs="Times New Roman"/>
      <w:kern w:val="0"/>
      <w:sz w:val="24"/>
      <w:szCs w:val="24"/>
    </w:rPr>
  </w:style>
  <w:style w:type="paragraph" w:customStyle="1" w:styleId="SecurityMarking">
    <w:name w:val="SecurityMarking"/>
    <w:basedOn w:val="Normal"/>
    <w:rsid w:val="005F11B9"/>
    <w:pPr>
      <w:spacing w:after="0" w:line="240" w:lineRule="auto"/>
      <w:ind w:left="5103"/>
    </w:pPr>
    <w:rPr>
      <w:rFonts w:ascii="Times New Roman" w:eastAsia="Times New Roman" w:hAnsi="Times New Roman" w:cs="Times New Roman"/>
      <w:kern w:val="0"/>
      <w:sz w:val="28"/>
      <w:szCs w:val="24"/>
    </w:rPr>
  </w:style>
  <w:style w:type="paragraph" w:customStyle="1" w:styleId="DateMarking">
    <w:name w:val="DateMarking"/>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ReleasableTo">
    <w:name w:val="ReleasableTo"/>
    <w:basedOn w:val="Normal"/>
    <w:rsid w:val="005F11B9"/>
    <w:pPr>
      <w:spacing w:after="0" w:line="240" w:lineRule="auto"/>
      <w:ind w:left="5103"/>
    </w:pPr>
    <w:rPr>
      <w:rFonts w:ascii="Times New Roman" w:eastAsia="Times New Roman" w:hAnsi="Times New Roman" w:cs="Times New Roman"/>
      <w:i/>
      <w:kern w:val="0"/>
      <w:sz w:val="28"/>
      <w:szCs w:val="24"/>
    </w:rPr>
  </w:style>
  <w:style w:type="paragraph" w:customStyle="1" w:styleId="Annexetitreexpos">
    <w:name w:val="Annexe titre (exposé)"/>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
    <w:name w:val="Annex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Annexetitrefichefinancire">
    <w:name w:val="Annexe titre (fiche financiè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Fait">
    <w:name w:val="Fait à"/>
    <w:basedOn w:val="Normal"/>
    <w:next w:val="Institutionquisigne"/>
    <w:rsid w:val="005F11B9"/>
    <w:pPr>
      <w:keepNext/>
      <w:spacing w:before="120" w:after="0" w:line="240" w:lineRule="auto"/>
      <w:jc w:val="both"/>
    </w:pPr>
    <w:rPr>
      <w:rFonts w:ascii="Times New Roman" w:eastAsia="Times New Roman" w:hAnsi="Times New Roman" w:cs="Times New Roman"/>
      <w:kern w:val="0"/>
      <w:sz w:val="24"/>
      <w:szCs w:val="24"/>
    </w:rPr>
  </w:style>
  <w:style w:type="paragraph" w:customStyle="1" w:styleId="Applicationdirecte">
    <w:name w:val="Application directe"/>
    <w:basedOn w:val="Normal"/>
    <w:next w:val="Fait"/>
    <w:rsid w:val="005F11B9"/>
    <w:pPr>
      <w:spacing w:before="480" w:after="120" w:line="240" w:lineRule="auto"/>
      <w:jc w:val="both"/>
    </w:pPr>
    <w:rPr>
      <w:rFonts w:ascii="Times New Roman" w:eastAsia="Times New Roman" w:hAnsi="Times New Roman" w:cs="Times New Roman"/>
      <w:kern w:val="0"/>
      <w:sz w:val="24"/>
      <w:szCs w:val="24"/>
    </w:rPr>
  </w:style>
  <w:style w:type="paragraph" w:customStyle="1" w:styleId="Institutionquisigne">
    <w:name w:val="Institution qui signe"/>
    <w:basedOn w:val="Normal"/>
    <w:next w:val="Personnequisigne"/>
    <w:rsid w:val="005F11B9"/>
    <w:pPr>
      <w:keepNext/>
      <w:tabs>
        <w:tab w:val="left" w:pos="4252"/>
      </w:tabs>
      <w:spacing w:before="720" w:after="0" w:line="240" w:lineRule="auto"/>
      <w:jc w:val="both"/>
    </w:pPr>
    <w:rPr>
      <w:rFonts w:ascii="Times New Roman" w:eastAsia="Times New Roman" w:hAnsi="Times New Roman" w:cs="Times New Roman"/>
      <w:i/>
      <w:kern w:val="0"/>
      <w:sz w:val="24"/>
      <w:szCs w:val="24"/>
    </w:rPr>
  </w:style>
  <w:style w:type="paragraph" w:customStyle="1" w:styleId="Personnequisigne">
    <w:name w:val="Personne qui signe"/>
    <w:basedOn w:val="Normal"/>
    <w:next w:val="Institutionquisigne"/>
    <w:rsid w:val="005F11B9"/>
    <w:pPr>
      <w:tabs>
        <w:tab w:val="left" w:pos="4252"/>
      </w:tabs>
      <w:spacing w:after="0" w:line="240" w:lineRule="auto"/>
    </w:pPr>
    <w:rPr>
      <w:rFonts w:ascii="Times New Roman" w:eastAsia="Times New Roman" w:hAnsi="Times New Roman" w:cs="Times New Roman"/>
      <w:i/>
      <w:kern w:val="0"/>
      <w:sz w:val="24"/>
      <w:szCs w:val="24"/>
    </w:rPr>
  </w:style>
  <w:style w:type="paragraph" w:customStyle="1" w:styleId="Avertissementtitre">
    <w:name w:val="Avertissement titre"/>
    <w:basedOn w:val="Normal"/>
    <w:next w:val="Normal"/>
    <w:rsid w:val="005F11B9"/>
    <w:pPr>
      <w:keepNext/>
      <w:spacing w:before="480" w:after="120" w:line="240" w:lineRule="auto"/>
      <w:jc w:val="both"/>
    </w:pPr>
    <w:rPr>
      <w:rFonts w:ascii="Times New Roman" w:eastAsia="Times New Roman" w:hAnsi="Times New Roman" w:cs="Times New Roman"/>
      <w:kern w:val="0"/>
      <w:sz w:val="24"/>
      <w:szCs w:val="24"/>
      <w:u w:val="single"/>
    </w:rPr>
  </w:style>
  <w:style w:type="paragraph" w:customStyle="1" w:styleId="Confidence">
    <w:name w:val="Confidence"/>
    <w:basedOn w:val="Normal"/>
    <w:next w:val="Normal"/>
    <w:rsid w:val="005F11B9"/>
    <w:pPr>
      <w:spacing w:before="360" w:after="120" w:line="240" w:lineRule="auto"/>
      <w:jc w:val="center"/>
    </w:pPr>
    <w:rPr>
      <w:rFonts w:ascii="Times New Roman" w:eastAsia="Times New Roman" w:hAnsi="Times New Roman" w:cs="Times New Roman"/>
      <w:kern w:val="0"/>
      <w:sz w:val="24"/>
      <w:szCs w:val="24"/>
    </w:rPr>
  </w:style>
  <w:style w:type="paragraph" w:customStyle="1" w:styleId="Considrant">
    <w:name w:val="Considérant"/>
    <w:basedOn w:val="Normal"/>
    <w:rsid w:val="005F11B9"/>
    <w:pPr>
      <w:tabs>
        <w:tab w:val="num" w:pos="709"/>
      </w:tabs>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Corrigendum">
    <w:name w:val="Corrigendum"/>
    <w:basedOn w:val="Normal"/>
    <w:next w:val="Normal"/>
    <w:rsid w:val="005F11B9"/>
    <w:pPr>
      <w:spacing w:after="240" w:line="240" w:lineRule="auto"/>
    </w:pPr>
    <w:rPr>
      <w:rFonts w:ascii="Times New Roman" w:eastAsia="Times New Roman" w:hAnsi="Times New Roman" w:cs="Times New Roman"/>
      <w:kern w:val="0"/>
      <w:sz w:val="24"/>
      <w:szCs w:val="24"/>
    </w:rPr>
  </w:style>
  <w:style w:type="paragraph" w:customStyle="1" w:styleId="Datedadoption">
    <w:name w:val="Date d'adoption"/>
    <w:basedOn w:val="Normal"/>
    <w:next w:val="Titreobjet"/>
    <w:rsid w:val="005F11B9"/>
    <w:pPr>
      <w:spacing w:before="360" w:after="0" w:line="240" w:lineRule="auto"/>
      <w:jc w:val="center"/>
    </w:pPr>
    <w:rPr>
      <w:rFonts w:ascii="Times New Roman" w:eastAsia="Times New Roman" w:hAnsi="Times New Roman" w:cs="Times New Roman"/>
      <w:b/>
      <w:kern w:val="0"/>
      <w:sz w:val="24"/>
      <w:szCs w:val="24"/>
    </w:rPr>
  </w:style>
  <w:style w:type="paragraph" w:customStyle="1" w:styleId="Exposdesmotifstitre">
    <w:name w:val="Exposé des motifs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Titrearticle">
    <w:name w:val="Titre article"/>
    <w:basedOn w:val="Normal"/>
    <w:next w:val="Normal"/>
    <w:rsid w:val="005F11B9"/>
    <w:pPr>
      <w:keepNext/>
      <w:spacing w:before="360" w:after="120" w:line="240" w:lineRule="auto"/>
      <w:jc w:val="center"/>
    </w:pPr>
    <w:rPr>
      <w:rFonts w:ascii="Times New Roman" w:eastAsia="Times New Roman" w:hAnsi="Times New Roman" w:cs="Times New Roman"/>
      <w:i/>
      <w:kern w:val="0"/>
      <w:sz w:val="24"/>
      <w:szCs w:val="24"/>
    </w:rPr>
  </w:style>
  <w:style w:type="paragraph" w:customStyle="1" w:styleId="Formuledadoption">
    <w:name w:val="Formule d'adoption"/>
    <w:basedOn w:val="Normal"/>
    <w:next w:val="Titrearticle"/>
    <w:rsid w:val="005F11B9"/>
    <w:pPr>
      <w:keepNext/>
      <w:spacing w:before="120" w:after="120" w:line="240" w:lineRule="auto"/>
      <w:jc w:val="both"/>
    </w:pPr>
    <w:rPr>
      <w:rFonts w:ascii="Times New Roman" w:eastAsia="Times New Roman" w:hAnsi="Times New Roman" w:cs="Times New Roman"/>
      <w:kern w:val="0"/>
      <w:sz w:val="24"/>
      <w:szCs w:val="24"/>
    </w:rPr>
  </w:style>
  <w:style w:type="paragraph" w:customStyle="1" w:styleId="Institutionquiagit">
    <w:name w:val="Institution qui agit"/>
    <w:basedOn w:val="Normal"/>
    <w:next w:val="Normal"/>
    <w:rsid w:val="005F11B9"/>
    <w:pPr>
      <w:keepNext/>
      <w:spacing w:before="600" w:after="120" w:line="240" w:lineRule="auto"/>
      <w:jc w:val="both"/>
    </w:pPr>
    <w:rPr>
      <w:rFonts w:ascii="Times New Roman" w:eastAsia="Times New Roman" w:hAnsi="Times New Roman" w:cs="Times New Roman"/>
      <w:kern w:val="0"/>
      <w:sz w:val="24"/>
      <w:szCs w:val="24"/>
    </w:rPr>
  </w:style>
  <w:style w:type="paragraph" w:customStyle="1" w:styleId="ManualConsidrant">
    <w:name w:val="Manual Considérant"/>
    <w:basedOn w:val="Normal"/>
    <w:rsid w:val="005F11B9"/>
    <w:pPr>
      <w:spacing w:before="120" w:after="120" w:line="240" w:lineRule="auto"/>
      <w:ind w:left="709" w:hanging="709"/>
      <w:jc w:val="both"/>
    </w:pPr>
    <w:rPr>
      <w:rFonts w:ascii="Times New Roman" w:eastAsia="Times New Roman" w:hAnsi="Times New Roman" w:cs="Times New Roman"/>
      <w:kern w:val="0"/>
      <w:sz w:val="24"/>
      <w:szCs w:val="24"/>
    </w:rPr>
  </w:style>
  <w:style w:type="paragraph" w:customStyle="1" w:styleId="Address">
    <w:name w:val="Address"/>
    <w:basedOn w:val="Normal"/>
    <w:next w:val="Normal"/>
    <w:rsid w:val="005F11B9"/>
    <w:pPr>
      <w:keepLines/>
      <w:spacing w:before="120" w:after="120" w:line="360" w:lineRule="auto"/>
      <w:ind w:left="3402"/>
    </w:pPr>
    <w:rPr>
      <w:rFonts w:ascii="Times New Roman" w:eastAsia="Times New Roman" w:hAnsi="Times New Roman" w:cs="Times New Roman"/>
      <w:kern w:val="0"/>
      <w:sz w:val="24"/>
      <w:szCs w:val="24"/>
    </w:rPr>
  </w:style>
  <w:style w:type="paragraph" w:customStyle="1" w:styleId="Objetexterne">
    <w:name w:val="Objet externe"/>
    <w:basedOn w:val="Normal"/>
    <w:next w:val="Normal"/>
    <w:rsid w:val="005F11B9"/>
    <w:pPr>
      <w:spacing w:before="120" w:after="120" w:line="240" w:lineRule="auto"/>
      <w:jc w:val="both"/>
    </w:pPr>
    <w:rPr>
      <w:rFonts w:ascii="Times New Roman" w:eastAsia="Times New Roman" w:hAnsi="Times New Roman" w:cs="Times New Roman"/>
      <w:i/>
      <w:caps/>
      <w:kern w:val="0"/>
      <w:sz w:val="24"/>
      <w:szCs w:val="24"/>
    </w:rPr>
  </w:style>
  <w:style w:type="paragraph" w:customStyle="1" w:styleId="Supertitre">
    <w:name w:val="Supertitre"/>
    <w:basedOn w:val="Normal"/>
    <w:next w:val="Normal"/>
    <w:rsid w:val="005F11B9"/>
    <w:pPr>
      <w:spacing w:after="600" w:line="240" w:lineRule="auto"/>
      <w:jc w:val="center"/>
    </w:pPr>
    <w:rPr>
      <w:rFonts w:ascii="Times New Roman" w:eastAsia="Times New Roman" w:hAnsi="Times New Roman" w:cs="Times New Roman"/>
      <w:b/>
      <w:kern w:val="0"/>
      <w:sz w:val="24"/>
      <w:szCs w:val="24"/>
    </w:rPr>
  </w:style>
  <w:style w:type="paragraph" w:customStyle="1" w:styleId="Fichefinanciretitre">
    <w:name w:val="Fiche financière titre"/>
    <w:basedOn w:val="Normal"/>
    <w:next w:val="Normal"/>
    <w:rsid w:val="005F11B9"/>
    <w:pPr>
      <w:spacing w:before="120" w:after="120" w:line="240" w:lineRule="auto"/>
      <w:jc w:val="center"/>
    </w:pPr>
    <w:rPr>
      <w:rFonts w:ascii="Times New Roman" w:eastAsia="Times New Roman" w:hAnsi="Times New Roman" w:cs="Times New Roman"/>
      <w:b/>
      <w:kern w:val="0"/>
      <w:sz w:val="24"/>
      <w:szCs w:val="24"/>
      <w:u w:val="single"/>
    </w:rPr>
  </w:style>
  <w:style w:type="paragraph" w:customStyle="1" w:styleId="DatedadoptionPagedecouverture">
    <w:name w:val="Date d'adoption (Page de couverture)"/>
    <w:basedOn w:val="Datedadoption"/>
    <w:next w:val="TitreobjetPagedecouverture"/>
    <w:rsid w:val="005F11B9"/>
  </w:style>
  <w:style w:type="paragraph" w:customStyle="1" w:styleId="RfrenceinterinstitutionnellePagedecouverture">
    <w:name w:val="Référence interinstitutionnelle (Page de couverture)"/>
    <w:basedOn w:val="Rfrenceinterinstitutionnelle"/>
    <w:next w:val="Confidentialit"/>
    <w:rsid w:val="005F11B9"/>
  </w:style>
  <w:style w:type="paragraph" w:customStyle="1" w:styleId="StatutPagedecouverture">
    <w:name w:val="Statut (Page de couverture)"/>
    <w:basedOn w:val="Statut"/>
    <w:next w:val="TypedudocumentPagedecouverture"/>
    <w:rsid w:val="005F11B9"/>
  </w:style>
  <w:style w:type="paragraph" w:customStyle="1" w:styleId="Volume">
    <w:name w:val="Volume"/>
    <w:basedOn w:val="Normal"/>
    <w:next w:val="Confidentialit"/>
    <w:rsid w:val="005F11B9"/>
    <w:pPr>
      <w:spacing w:after="240" w:line="240" w:lineRule="auto"/>
      <w:ind w:left="5103"/>
    </w:pPr>
    <w:rPr>
      <w:rFonts w:ascii="Times New Roman" w:eastAsia="Times New Roman" w:hAnsi="Times New Roman" w:cs="Times New Roman"/>
      <w:kern w:val="0"/>
      <w:sz w:val="24"/>
      <w:szCs w:val="24"/>
    </w:rPr>
  </w:style>
  <w:style w:type="paragraph" w:customStyle="1" w:styleId="Typeacteprincipal">
    <w:name w:val="Type acte principal"/>
    <w:basedOn w:val="Normal"/>
    <w:next w:val="Objetacteprincipal"/>
    <w:rsid w:val="005F11B9"/>
    <w:pPr>
      <w:spacing w:after="240" w:line="240" w:lineRule="auto"/>
      <w:jc w:val="center"/>
    </w:pPr>
    <w:rPr>
      <w:rFonts w:ascii="Times New Roman" w:eastAsia="Times New Roman" w:hAnsi="Times New Roman" w:cs="Times New Roman"/>
      <w:b/>
      <w:kern w:val="0"/>
      <w:sz w:val="24"/>
      <w:szCs w:val="24"/>
    </w:rPr>
  </w:style>
  <w:style w:type="paragraph" w:customStyle="1" w:styleId="Accompagnant">
    <w:name w:val="Accompagnant"/>
    <w:basedOn w:val="Normal"/>
    <w:next w:val="Typeacteprincipal"/>
    <w:rsid w:val="005F11B9"/>
    <w:pPr>
      <w:spacing w:after="240" w:line="240" w:lineRule="auto"/>
      <w:jc w:val="center"/>
    </w:pPr>
    <w:rPr>
      <w:rFonts w:ascii="Times New Roman" w:eastAsia="Times New Roman" w:hAnsi="Times New Roman" w:cs="Times New Roman"/>
      <w:b/>
      <w:i/>
      <w:kern w:val="0"/>
      <w:sz w:val="24"/>
      <w:szCs w:val="24"/>
    </w:rPr>
  </w:style>
  <w:style w:type="paragraph" w:customStyle="1" w:styleId="Objetacteprincipal">
    <w:name w:val="Objet acte principal"/>
    <w:basedOn w:val="Normal"/>
    <w:next w:val="Titrearticle"/>
    <w:rsid w:val="005F11B9"/>
    <w:pPr>
      <w:spacing w:after="360" w:line="240" w:lineRule="auto"/>
      <w:jc w:val="center"/>
    </w:pPr>
    <w:rPr>
      <w:rFonts w:ascii="Times New Roman" w:eastAsia="Times New Roman" w:hAnsi="Times New Roman" w:cs="Times New Roman"/>
      <w:b/>
      <w:kern w:val="0"/>
      <w:sz w:val="24"/>
      <w:szCs w:val="24"/>
    </w:rPr>
  </w:style>
  <w:style w:type="paragraph" w:customStyle="1" w:styleId="TypeacteprincipalPagedecouverture">
    <w:name w:val="Type acte principal (Page de couverture)"/>
    <w:basedOn w:val="Typeacteprincipal"/>
    <w:next w:val="ObjetacteprincipalPagedecouverture"/>
    <w:rsid w:val="005F11B9"/>
  </w:style>
  <w:style w:type="paragraph" w:customStyle="1" w:styleId="AccompagnantPagedecouverture">
    <w:name w:val="Accompagnant (Page de couverture)"/>
    <w:basedOn w:val="Accompagnant"/>
    <w:next w:val="TypeacteprincipalPagedecouverture"/>
    <w:rsid w:val="005F11B9"/>
  </w:style>
  <w:style w:type="paragraph" w:customStyle="1" w:styleId="ObjetacteprincipalPagedecouverture">
    <w:name w:val="Objet acte principal (Page de couverture)"/>
    <w:basedOn w:val="Objetacteprincipal"/>
    <w:next w:val="Rfrencecroise"/>
    <w:rsid w:val="005F11B9"/>
  </w:style>
  <w:style w:type="paragraph" w:customStyle="1" w:styleId="LanguesfaisantfoiPagedecouverture">
    <w:name w:val="Langues faisant foi (Page de couverture)"/>
    <w:basedOn w:val="Normal"/>
    <w:next w:val="Normal"/>
    <w:rsid w:val="005F11B9"/>
    <w:pPr>
      <w:spacing w:before="360" w:after="0" w:line="240" w:lineRule="auto"/>
      <w:jc w:val="center"/>
    </w:pPr>
    <w:rPr>
      <w:rFonts w:ascii="Times New Roman" w:eastAsia="Times New Roman" w:hAnsi="Times New Roman" w:cs="Times New Roman"/>
      <w:kern w:val="0"/>
      <w:sz w:val="24"/>
      <w:szCs w:val="24"/>
    </w:rPr>
  </w:style>
  <w:style w:type="paragraph" w:customStyle="1" w:styleId="Times12">
    <w:name w:val="Times12"/>
    <w:basedOn w:val="Normal"/>
    <w:rsid w:val="005F11B9"/>
    <w:pPr>
      <w:suppressAutoHyphens/>
      <w:spacing w:after="140" w:line="240" w:lineRule="auto"/>
      <w:jc w:val="both"/>
    </w:pPr>
    <w:rPr>
      <w:rFonts w:ascii="Times" w:eastAsia="SimSun" w:hAnsi="Times" w:cs="Times"/>
      <w:color w:val="00000A"/>
      <w:sz w:val="24"/>
      <w:szCs w:val="24"/>
    </w:rPr>
  </w:style>
  <w:style w:type="paragraph" w:customStyle="1" w:styleId="paragraph">
    <w:name w:val="paragraph"/>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FooterCoverPageChar">
    <w:name w:val="Footer Cover Page Char"/>
    <w:basedOn w:val="DefaultParagraphFont"/>
    <w:link w:val="FooterCoverPage"/>
    <w:locked/>
    <w:rsid w:val="005F11B9"/>
    <w:rPr>
      <w:rFonts w:ascii="Times New Roman" w:hAnsi="Times New Roman" w:cs="Times New Roman"/>
      <w:sz w:val="24"/>
    </w:rPr>
  </w:style>
  <w:style w:type="paragraph" w:customStyle="1" w:styleId="FooterCoverPage">
    <w:name w:val="Footer Cover Page"/>
    <w:basedOn w:val="Normal"/>
    <w:link w:val="FooterCoverPageChar"/>
    <w:rsid w:val="005F11B9"/>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HeaderCoverPageChar">
    <w:name w:val="Header Cover Page Char"/>
    <w:basedOn w:val="DefaultParagraphFont"/>
    <w:link w:val="HeaderCoverPage"/>
    <w:locked/>
    <w:rsid w:val="005F11B9"/>
    <w:rPr>
      <w:rFonts w:ascii="Times New Roman" w:hAnsi="Times New Roman" w:cs="Times New Roman"/>
      <w:sz w:val="24"/>
    </w:rPr>
  </w:style>
  <w:style w:type="paragraph" w:customStyle="1" w:styleId="HeaderCoverPage">
    <w:name w:val="Header Cover Page"/>
    <w:basedOn w:val="Normal"/>
    <w:link w:val="HeaderCoverPageChar"/>
    <w:rsid w:val="005F11B9"/>
    <w:pPr>
      <w:tabs>
        <w:tab w:val="center" w:pos="4535"/>
        <w:tab w:val="right" w:pos="9071"/>
      </w:tabs>
      <w:spacing w:after="120" w:line="240" w:lineRule="auto"/>
      <w:jc w:val="both"/>
    </w:pPr>
    <w:rPr>
      <w:rFonts w:ascii="Times New Roman" w:hAnsi="Times New Roman" w:cs="Times New Roman"/>
      <w:sz w:val="24"/>
    </w:rPr>
  </w:style>
  <w:style w:type="paragraph" w:customStyle="1" w:styleId="Paragrafoelenco1">
    <w:name w:val="Paragrafo elenco1"/>
    <w:basedOn w:val="Normal"/>
    <w:rsid w:val="005F11B9"/>
    <w:pPr>
      <w:spacing w:line="252" w:lineRule="auto"/>
      <w:ind w:left="720"/>
      <w:contextualSpacing/>
    </w:pPr>
    <w:rPr>
      <w:rFonts w:ascii="Times New Roman" w:eastAsia="Times New Roman" w:hAnsi="Times New Roman" w:cs="Times New Roman"/>
      <w:color w:val="00000A"/>
      <w:sz w:val="20"/>
      <w:szCs w:val="20"/>
    </w:rPr>
  </w:style>
  <w:style w:type="character" w:customStyle="1" w:styleId="DescriptiontextChar">
    <w:name w:val="Description text Char"/>
    <w:basedOn w:val="DefaultParagraphFont"/>
    <w:link w:val="Descriptiontext"/>
    <w:locked/>
    <w:rsid w:val="005F11B9"/>
    <w:rPr>
      <w:rFonts w:ascii="Times New Roman" w:eastAsia="Times New Roman" w:hAnsi="Times New Roman" w:cs="Times New Roman"/>
    </w:rPr>
  </w:style>
  <w:style w:type="paragraph" w:customStyle="1" w:styleId="Descriptiontext">
    <w:name w:val="Description text"/>
    <w:basedOn w:val="Normal"/>
    <w:link w:val="DescriptiontextChar"/>
    <w:qFormat/>
    <w:rsid w:val="005F11B9"/>
    <w:pPr>
      <w:spacing w:before="120" w:after="120" w:line="240" w:lineRule="auto"/>
      <w:ind w:left="709"/>
      <w:jc w:val="both"/>
    </w:pPr>
    <w:rPr>
      <w:rFonts w:ascii="Times New Roman" w:eastAsia="Times New Roman" w:hAnsi="Times New Roman" w:cs="Times New Roman"/>
    </w:rPr>
  </w:style>
  <w:style w:type="character" w:customStyle="1" w:styleId="DescriptiontitleChar">
    <w:name w:val="Description title Char"/>
    <w:basedOn w:val="DescriptiontextChar"/>
    <w:link w:val="Descriptiontitle"/>
    <w:locked/>
    <w:rsid w:val="005F11B9"/>
    <w:rPr>
      <w:rFonts w:ascii="Times New Roman" w:eastAsia="Times New Roman" w:hAnsi="Times New Roman" w:cs="Times New Roman"/>
    </w:rPr>
  </w:style>
  <w:style w:type="paragraph" w:customStyle="1" w:styleId="Descriptiontitle">
    <w:name w:val="Description title"/>
    <w:basedOn w:val="Descriptiontext"/>
    <w:link w:val="DescriptiontitleChar"/>
    <w:rsid w:val="005F11B9"/>
  </w:style>
  <w:style w:type="character" w:customStyle="1" w:styleId="AxistitleChar">
    <w:name w:val="Axis title Char"/>
    <w:basedOn w:val="DefaultParagraphFont"/>
    <w:link w:val="Axistitle"/>
    <w:locked/>
    <w:rsid w:val="005F11B9"/>
    <w:rPr>
      <w:rFonts w:ascii="Times New Roman" w:eastAsia="Times New Roman" w:hAnsi="Times New Roman" w:cs="Times New Roman"/>
      <w:i/>
    </w:rPr>
  </w:style>
  <w:style w:type="paragraph" w:customStyle="1" w:styleId="Axistitle">
    <w:name w:val="Axis title"/>
    <w:basedOn w:val="Normal"/>
    <w:link w:val="AxistitleChar"/>
    <w:qFormat/>
    <w:rsid w:val="005F11B9"/>
    <w:pPr>
      <w:spacing w:before="320" w:after="240" w:line="240" w:lineRule="auto"/>
      <w:ind w:left="709"/>
      <w:jc w:val="both"/>
    </w:pPr>
    <w:rPr>
      <w:rFonts w:ascii="Times New Roman" w:eastAsia="Times New Roman" w:hAnsi="Times New Roman" w:cs="Times New Roman"/>
      <w:i/>
    </w:rPr>
  </w:style>
  <w:style w:type="character" w:customStyle="1" w:styleId="TechnicalBlockChar">
    <w:name w:val="Technical Block Char"/>
    <w:basedOn w:val="DefaultParagraphFont"/>
    <w:link w:val="TechnicalBlock"/>
    <w:locked/>
    <w:rsid w:val="005F11B9"/>
    <w:rPr>
      <w:rFonts w:ascii="Times New Roman" w:eastAsia="Times New Roman" w:hAnsi="Times New Roman" w:cs="Times New Roman"/>
    </w:rPr>
  </w:style>
  <w:style w:type="paragraph" w:customStyle="1" w:styleId="TechnicalBlock">
    <w:name w:val="Technical Block"/>
    <w:basedOn w:val="Normal"/>
    <w:link w:val="TechnicalBlockChar"/>
    <w:rsid w:val="005F11B9"/>
    <w:pPr>
      <w:spacing w:after="240" w:line="240" w:lineRule="auto"/>
      <w:jc w:val="center"/>
    </w:pPr>
    <w:rPr>
      <w:rFonts w:ascii="Times New Roman" w:eastAsia="Times New Roman" w:hAnsi="Times New Roman" w:cs="Times New Roman"/>
    </w:rPr>
  </w:style>
  <w:style w:type="paragraph" w:customStyle="1" w:styleId="EntText">
    <w:name w:val="EntText"/>
    <w:basedOn w:val="Normal"/>
    <w:rsid w:val="005F11B9"/>
    <w:pPr>
      <w:spacing w:before="120" w:after="120" w:line="360" w:lineRule="auto"/>
    </w:pPr>
    <w:rPr>
      <w:rFonts w:ascii="Times New Roman" w:hAnsi="Times New Roman" w:cs="Times New Roman"/>
      <w:kern w:val="0"/>
      <w:sz w:val="24"/>
    </w:rPr>
  </w:style>
  <w:style w:type="paragraph" w:customStyle="1" w:styleId="Lignefinal">
    <w:name w:val="Ligne final"/>
    <w:basedOn w:val="Normal"/>
    <w:next w:val="Normal"/>
    <w:rsid w:val="005F11B9"/>
    <w:pPr>
      <w:pBdr>
        <w:bottom w:val="single" w:sz="4" w:space="0" w:color="000000"/>
      </w:pBdr>
      <w:spacing w:before="360" w:after="120" w:line="360" w:lineRule="auto"/>
      <w:ind w:left="3400" w:right="3400"/>
      <w:jc w:val="center"/>
    </w:pPr>
    <w:rPr>
      <w:rFonts w:ascii="Times New Roman" w:hAnsi="Times New Roman" w:cs="Times New Roman"/>
      <w:b/>
      <w:kern w:val="0"/>
      <w:sz w:val="24"/>
    </w:rPr>
  </w:style>
  <w:style w:type="character" w:customStyle="1" w:styleId="pjChar">
    <w:name w:val="p.j. Char"/>
    <w:basedOn w:val="DefaultParagraphFont"/>
    <w:link w:val="pj"/>
    <w:locked/>
    <w:rsid w:val="005F11B9"/>
    <w:rPr>
      <w:rFonts w:ascii="Times New Roman" w:eastAsia="Times New Roman" w:hAnsi="Times New Roman" w:cs="Times New Roman"/>
    </w:rPr>
  </w:style>
  <w:style w:type="paragraph" w:customStyle="1" w:styleId="pj">
    <w:name w:val="p.j."/>
    <w:basedOn w:val="Normal"/>
    <w:link w:val="pjChar"/>
    <w:rsid w:val="005F11B9"/>
    <w:pPr>
      <w:spacing w:before="1200" w:after="120" w:line="240" w:lineRule="auto"/>
      <w:ind w:left="1440" w:hanging="1440"/>
    </w:pPr>
    <w:rPr>
      <w:rFonts w:ascii="Times New Roman" w:eastAsia="Times New Roman" w:hAnsi="Times New Roman" w:cs="Times New Roman"/>
    </w:rPr>
  </w:style>
  <w:style w:type="character" w:customStyle="1" w:styleId="nbborderedChar">
    <w:name w:val="nb bordered Char"/>
    <w:basedOn w:val="DefaultParagraphFont"/>
    <w:link w:val="nbbordered"/>
    <w:locked/>
    <w:rsid w:val="005F11B9"/>
    <w:rPr>
      <w:rFonts w:ascii="Times New Roman" w:eastAsia="Times New Roman" w:hAnsi="Times New Roman" w:cs="Times New Roman"/>
      <w:b/>
    </w:rPr>
  </w:style>
  <w:style w:type="paragraph" w:customStyle="1" w:styleId="nbbordered">
    <w:name w:val="nb bordered"/>
    <w:basedOn w:val="Normal"/>
    <w:link w:val="nbborderedChar"/>
    <w:rsid w:val="005F11B9"/>
    <w:pPr>
      <w:pBdr>
        <w:top w:val="single" w:sz="4" w:space="1" w:color="auto"/>
        <w:left w:val="single" w:sz="4" w:space="4" w:color="auto"/>
        <w:bottom w:val="single" w:sz="4" w:space="1" w:color="auto"/>
        <w:right w:val="single" w:sz="4" w:space="4" w:color="auto"/>
      </w:pBdr>
      <w:spacing w:line="240" w:lineRule="auto"/>
      <w:ind w:left="480" w:hanging="480"/>
    </w:pPr>
    <w:rPr>
      <w:rFonts w:ascii="Times New Roman" w:eastAsia="Times New Roman" w:hAnsi="Times New Roman" w:cs="Times New Roman"/>
      <w:b/>
    </w:rPr>
  </w:style>
  <w:style w:type="character" w:customStyle="1" w:styleId="HeaderCouncilChar">
    <w:name w:val="Header Council Char"/>
    <w:basedOn w:val="DefaultParagraphFont"/>
    <w:link w:val="HeaderCouncil"/>
    <w:locked/>
    <w:rsid w:val="005F11B9"/>
    <w:rPr>
      <w:rFonts w:ascii="Times New Roman" w:eastAsia="Times New Roman" w:hAnsi="Times New Roman" w:cs="Times New Roman"/>
      <w:sz w:val="2"/>
    </w:rPr>
  </w:style>
  <w:style w:type="paragraph" w:customStyle="1" w:styleId="HeaderCouncil">
    <w:name w:val="Header Council"/>
    <w:basedOn w:val="Normal"/>
    <w:link w:val="HeaderCouncilChar"/>
    <w:rsid w:val="005F11B9"/>
    <w:pPr>
      <w:spacing w:after="0" w:line="240" w:lineRule="auto"/>
    </w:pPr>
    <w:rPr>
      <w:rFonts w:ascii="Times New Roman" w:eastAsia="Times New Roman" w:hAnsi="Times New Roman" w:cs="Times New Roman"/>
      <w:sz w:val="2"/>
    </w:rPr>
  </w:style>
  <w:style w:type="character" w:customStyle="1" w:styleId="HeaderCouncilLargeChar">
    <w:name w:val="Header Council Large Char"/>
    <w:basedOn w:val="DefaultParagraphFont"/>
    <w:link w:val="HeaderCouncilLarge"/>
    <w:locked/>
    <w:rsid w:val="005F11B9"/>
    <w:rPr>
      <w:rFonts w:ascii="Times New Roman" w:eastAsia="Times New Roman" w:hAnsi="Times New Roman" w:cs="Times New Roman"/>
      <w:sz w:val="2"/>
    </w:rPr>
  </w:style>
  <w:style w:type="paragraph" w:customStyle="1" w:styleId="HeaderCouncilLarge">
    <w:name w:val="Header Council Large"/>
    <w:basedOn w:val="Normal"/>
    <w:link w:val="HeaderCouncilLargeChar"/>
    <w:rsid w:val="005F11B9"/>
    <w:pPr>
      <w:spacing w:after="440" w:line="240" w:lineRule="auto"/>
    </w:pPr>
    <w:rPr>
      <w:rFonts w:ascii="Times New Roman" w:eastAsia="Times New Roman" w:hAnsi="Times New Roman" w:cs="Times New Roman"/>
      <w:sz w:val="2"/>
    </w:rPr>
  </w:style>
  <w:style w:type="character" w:customStyle="1" w:styleId="FooterCouncilChar">
    <w:name w:val="Footer Council Char"/>
    <w:basedOn w:val="DefaultParagraphFont"/>
    <w:link w:val="FooterCouncil"/>
    <w:locked/>
    <w:rsid w:val="005F11B9"/>
    <w:rPr>
      <w:rFonts w:ascii="Times New Roman" w:eastAsia="Times New Roman" w:hAnsi="Times New Roman" w:cs="Times New Roman"/>
      <w:sz w:val="2"/>
    </w:rPr>
  </w:style>
  <w:style w:type="paragraph" w:customStyle="1" w:styleId="FooterCouncil">
    <w:name w:val="Footer Council"/>
    <w:basedOn w:val="Normal"/>
    <w:link w:val="FooterCouncilChar"/>
    <w:rsid w:val="005F11B9"/>
    <w:pPr>
      <w:spacing w:after="0" w:line="240" w:lineRule="auto"/>
    </w:pPr>
    <w:rPr>
      <w:rFonts w:ascii="Times New Roman" w:eastAsia="Times New Roman" w:hAnsi="Times New Roman" w:cs="Times New Roman"/>
      <w:sz w:val="2"/>
    </w:rPr>
  </w:style>
  <w:style w:type="paragraph" w:customStyle="1" w:styleId="FooterText">
    <w:name w:val="Footer Text"/>
    <w:basedOn w:val="Normal"/>
    <w:rsid w:val="005F11B9"/>
    <w:pPr>
      <w:spacing w:after="0" w:line="240" w:lineRule="auto"/>
    </w:pPr>
    <w:rPr>
      <w:rFonts w:ascii="Times New Roman" w:eastAsia="Times New Roman" w:hAnsi="Times New Roman" w:cs="Times New Roman"/>
      <w:kern w:val="0"/>
      <w:sz w:val="24"/>
      <w:szCs w:val="24"/>
    </w:rPr>
  </w:style>
  <w:style w:type="paragraph" w:customStyle="1" w:styleId="pf0">
    <w:name w:val="pf0"/>
    <w:basedOn w:val="Normal"/>
    <w:rsid w:val="005F11B9"/>
    <w:pPr>
      <w:spacing w:before="100" w:beforeAutospacing="1" w:after="100" w:afterAutospacing="1" w:line="240" w:lineRule="auto"/>
    </w:pPr>
    <w:rPr>
      <w:rFonts w:ascii="Times New Roman" w:eastAsia="Times New Roman" w:hAnsi="Times New Roman" w:cs="Times New Roman"/>
      <w:kern w:val="0"/>
      <w:sz w:val="24"/>
      <w:szCs w:val="24"/>
    </w:rPr>
  </w:style>
  <w:style w:type="paragraph" w:customStyle="1" w:styleId="LegalNumPar">
    <w:name w:val="LegalNumPar"/>
    <w:basedOn w:val="Normal"/>
    <w:rsid w:val="005F11B9"/>
    <w:pPr>
      <w:numPr>
        <w:numId w:val="18"/>
      </w:numPr>
      <w:spacing w:line="256" w:lineRule="auto"/>
    </w:pPr>
    <w:rPr>
      <w:kern w:val="0"/>
    </w:rPr>
  </w:style>
  <w:style w:type="paragraph" w:customStyle="1" w:styleId="LegalNumPar2">
    <w:name w:val="LegalNumPar2"/>
    <w:basedOn w:val="Normal"/>
    <w:rsid w:val="005F11B9"/>
    <w:pPr>
      <w:numPr>
        <w:ilvl w:val="1"/>
        <w:numId w:val="18"/>
      </w:numPr>
      <w:spacing w:line="256" w:lineRule="auto"/>
    </w:pPr>
    <w:rPr>
      <w:kern w:val="0"/>
    </w:rPr>
  </w:style>
  <w:style w:type="paragraph" w:customStyle="1" w:styleId="LegalNumPar3">
    <w:name w:val="LegalNumPar3"/>
    <w:basedOn w:val="Normal"/>
    <w:rsid w:val="005F11B9"/>
    <w:pPr>
      <w:numPr>
        <w:ilvl w:val="2"/>
        <w:numId w:val="18"/>
      </w:numPr>
      <w:spacing w:line="256" w:lineRule="auto"/>
    </w:pPr>
    <w:rPr>
      <w:kern w:val="0"/>
    </w:rPr>
  </w:style>
  <w:style w:type="paragraph" w:customStyle="1" w:styleId="P68B1DB1-Normale1">
    <w:name w:val="P68B1DB1-Normale1"/>
    <w:basedOn w:val="Normal"/>
    <w:rsid w:val="005F11B9"/>
    <w:pPr>
      <w:spacing w:line="256" w:lineRule="auto"/>
    </w:pPr>
    <w:rPr>
      <w:rFonts w:ascii="Calibri" w:eastAsia="Calibri" w:hAnsi="Calibri" w:cs="Calibri"/>
      <w:b/>
      <w:kern w:val="0"/>
      <w:szCs w:val="20"/>
    </w:rPr>
  </w:style>
  <w:style w:type="paragraph" w:customStyle="1" w:styleId="P68B1DB1-Normale6">
    <w:name w:val="P68B1DB1-Normale6"/>
    <w:basedOn w:val="Normal"/>
    <w:rsid w:val="005F11B9"/>
    <w:pPr>
      <w:spacing w:line="256" w:lineRule="auto"/>
    </w:pPr>
    <w:rPr>
      <w:rFonts w:ascii="Times New Roman" w:eastAsia="Calibri" w:hAnsi="Times New Roman" w:cs="Times New Roman"/>
      <w:kern w:val="0"/>
      <w:sz w:val="20"/>
      <w:szCs w:val="20"/>
    </w:rPr>
  </w:style>
  <w:style w:type="paragraph" w:customStyle="1" w:styleId="Default">
    <w:name w:val="Default"/>
    <w:rsid w:val="005F11B9"/>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unhideWhenUsed/>
    <w:rsid w:val="005F11B9"/>
    <w:rPr>
      <w:sz w:val="16"/>
      <w:szCs w:val="16"/>
    </w:rPr>
  </w:style>
  <w:style w:type="character" w:styleId="PlaceholderText">
    <w:name w:val="Placeholder Text"/>
    <w:basedOn w:val="DefaultParagraphFont"/>
    <w:uiPriority w:val="99"/>
    <w:semiHidden/>
    <w:rsid w:val="005F11B9"/>
    <w:rPr>
      <w:color w:val="808080"/>
    </w:rPr>
  </w:style>
  <w:style w:type="character" w:styleId="SubtleEmphasis">
    <w:name w:val="Subtle Emphasis"/>
    <w:basedOn w:val="DefaultParagraphFont"/>
    <w:uiPriority w:val="19"/>
    <w:qFormat/>
    <w:rsid w:val="005F11B9"/>
    <w:rPr>
      <w:i/>
      <w:iCs/>
      <w:color w:val="404040" w:themeColor="text1" w:themeTint="BF"/>
    </w:rPr>
  </w:style>
  <w:style w:type="character" w:customStyle="1" w:styleId="Marker">
    <w:name w:val="Marker"/>
    <w:basedOn w:val="DefaultParagraphFont"/>
    <w:rsid w:val="005F11B9"/>
    <w:rPr>
      <w:color w:val="0000FF"/>
    </w:rPr>
  </w:style>
  <w:style w:type="character" w:customStyle="1" w:styleId="Marker1">
    <w:name w:val="Marker1"/>
    <w:basedOn w:val="DefaultParagraphFont"/>
    <w:rsid w:val="005F11B9"/>
    <w:rPr>
      <w:color w:val="008000"/>
    </w:rPr>
  </w:style>
  <w:style w:type="character" w:customStyle="1" w:styleId="Marker2">
    <w:name w:val="Marker2"/>
    <w:basedOn w:val="DefaultParagraphFont"/>
    <w:rsid w:val="005F11B9"/>
    <w:rPr>
      <w:color w:val="FF0000"/>
    </w:rPr>
  </w:style>
  <w:style w:type="character" w:customStyle="1" w:styleId="Added">
    <w:name w:val="Added"/>
    <w:basedOn w:val="DefaultParagraphFont"/>
    <w:rsid w:val="005F11B9"/>
    <w:rPr>
      <w:b/>
      <w:bCs w:val="0"/>
      <w:u w:val="single"/>
    </w:rPr>
  </w:style>
  <w:style w:type="character" w:customStyle="1" w:styleId="Deleted">
    <w:name w:val="Deleted"/>
    <w:basedOn w:val="DefaultParagraphFont"/>
    <w:rsid w:val="005F11B9"/>
    <w:rPr>
      <w:strike/>
    </w:rPr>
  </w:style>
  <w:style w:type="character" w:customStyle="1" w:styleId="normaltextrun">
    <w:name w:val="normaltextrun"/>
    <w:basedOn w:val="DefaultParagraphFont"/>
    <w:rsid w:val="005F11B9"/>
  </w:style>
  <w:style w:type="character" w:customStyle="1" w:styleId="eop">
    <w:name w:val="eop"/>
    <w:basedOn w:val="DefaultParagraphFont"/>
    <w:rsid w:val="005F11B9"/>
  </w:style>
  <w:style w:type="character" w:customStyle="1" w:styleId="y2iqfc">
    <w:name w:val="y2iqfc"/>
    <w:basedOn w:val="DefaultParagraphFont"/>
    <w:rsid w:val="005F11B9"/>
  </w:style>
  <w:style w:type="character" w:customStyle="1" w:styleId="FootnoteCharacters">
    <w:name w:val="Footnote Characters"/>
    <w:rsid w:val="005F11B9"/>
    <w:rPr>
      <w:vertAlign w:val="superscript"/>
    </w:rPr>
  </w:style>
  <w:style w:type="character" w:customStyle="1" w:styleId="normaltextrun1">
    <w:name w:val="normaltextrun1"/>
    <w:basedOn w:val="DefaultParagraphFont"/>
    <w:rsid w:val="005F11B9"/>
  </w:style>
  <w:style w:type="character" w:customStyle="1" w:styleId="Hyperlink0">
    <w:name w:val="Hyperlink.0"/>
    <w:rsid w:val="005F11B9"/>
  </w:style>
  <w:style w:type="character" w:customStyle="1" w:styleId="Mention1">
    <w:name w:val="Mention1"/>
    <w:basedOn w:val="DefaultParagraphFont"/>
    <w:uiPriority w:val="99"/>
    <w:rsid w:val="005F11B9"/>
    <w:rPr>
      <w:color w:val="2B579A"/>
      <w:shd w:val="clear" w:color="auto" w:fill="E6E6E6"/>
    </w:rPr>
  </w:style>
  <w:style w:type="character" w:customStyle="1" w:styleId="superscript">
    <w:name w:val="superscript"/>
    <w:basedOn w:val="DefaultParagraphFont"/>
    <w:rsid w:val="005F11B9"/>
  </w:style>
  <w:style w:type="character" w:customStyle="1" w:styleId="Mention2">
    <w:name w:val="Mention2"/>
    <w:basedOn w:val="DefaultParagraphFont"/>
    <w:uiPriority w:val="99"/>
    <w:rsid w:val="005F11B9"/>
    <w:rPr>
      <w:color w:val="2B579A"/>
      <w:shd w:val="clear" w:color="auto" w:fill="E6E6E6"/>
    </w:rPr>
  </w:style>
  <w:style w:type="character" w:customStyle="1" w:styleId="findhit">
    <w:name w:val="findhit"/>
    <w:basedOn w:val="DefaultParagraphFont"/>
    <w:rsid w:val="005F11B9"/>
  </w:style>
  <w:style w:type="character" w:customStyle="1" w:styleId="tabchar">
    <w:name w:val="tabchar"/>
    <w:basedOn w:val="DefaultParagraphFont"/>
    <w:rsid w:val="005F11B9"/>
  </w:style>
  <w:style w:type="character" w:customStyle="1" w:styleId="cf01">
    <w:name w:val="cf01"/>
    <w:basedOn w:val="DefaultParagraphFont"/>
    <w:rsid w:val="005F11B9"/>
    <w:rPr>
      <w:rFonts w:ascii="Segoe UI" w:hAnsi="Segoe UI" w:cs="Segoe UI" w:hint="default"/>
      <w:b/>
      <w:bCs/>
      <w:sz w:val="18"/>
      <w:szCs w:val="18"/>
    </w:rPr>
  </w:style>
  <w:style w:type="character" w:customStyle="1" w:styleId="cf11">
    <w:name w:val="cf11"/>
    <w:basedOn w:val="DefaultParagraphFont"/>
    <w:rsid w:val="005F11B9"/>
    <w:rPr>
      <w:rFonts w:ascii="Segoe UI" w:hAnsi="Segoe UI" w:cs="Segoe UI" w:hint="default"/>
      <w:sz w:val="18"/>
      <w:szCs w:val="18"/>
    </w:rPr>
  </w:style>
  <w:style w:type="character" w:customStyle="1" w:styleId="Mention3">
    <w:name w:val="Mention3"/>
    <w:basedOn w:val="DefaultParagraphFont"/>
    <w:uiPriority w:val="99"/>
    <w:rsid w:val="005F11B9"/>
    <w:rPr>
      <w:color w:val="2B579A"/>
      <w:shd w:val="clear" w:color="auto" w:fill="E6E6E6"/>
    </w:rPr>
  </w:style>
  <w:style w:type="character" w:customStyle="1" w:styleId="Mention4">
    <w:name w:val="Mention4"/>
    <w:basedOn w:val="DefaultParagraphFont"/>
    <w:uiPriority w:val="99"/>
    <w:rsid w:val="005F11B9"/>
    <w:rPr>
      <w:color w:val="2B579A"/>
      <w:shd w:val="clear" w:color="auto" w:fill="E6E6E6"/>
    </w:rPr>
  </w:style>
  <w:style w:type="character" w:customStyle="1" w:styleId="ui-provider">
    <w:name w:val="ui-provider"/>
    <w:basedOn w:val="DefaultParagraphFont"/>
    <w:uiPriority w:val="1"/>
    <w:rsid w:val="005F11B9"/>
  </w:style>
  <w:style w:type="character" w:customStyle="1" w:styleId="UnresolvedMention1">
    <w:name w:val="Unresolved Mention1"/>
    <w:basedOn w:val="DefaultParagraphFont"/>
    <w:uiPriority w:val="99"/>
    <w:semiHidden/>
    <w:rsid w:val="005F11B9"/>
    <w:rPr>
      <w:color w:val="605E5C"/>
      <w:shd w:val="clear" w:color="auto" w:fill="E1DFDD"/>
    </w:rPr>
  </w:style>
  <w:style w:type="character" w:customStyle="1" w:styleId="s10">
    <w:name w:val="s10"/>
    <w:basedOn w:val="DefaultParagraphFont"/>
    <w:rsid w:val="005F11B9"/>
  </w:style>
  <w:style w:type="character" w:customStyle="1" w:styleId="Mention5">
    <w:name w:val="Mention5"/>
    <w:basedOn w:val="DefaultParagraphFont"/>
    <w:uiPriority w:val="99"/>
    <w:rsid w:val="005F11B9"/>
    <w:rPr>
      <w:color w:val="2B579A"/>
      <w:shd w:val="clear" w:color="auto" w:fill="E1DFDD"/>
    </w:rPr>
  </w:style>
  <w:style w:type="character" w:customStyle="1" w:styleId="UnresolvedMention2">
    <w:name w:val="Unresolved Mention2"/>
    <w:basedOn w:val="DefaultParagraphFont"/>
    <w:uiPriority w:val="99"/>
    <w:semiHidden/>
    <w:rsid w:val="005F11B9"/>
    <w:rPr>
      <w:color w:val="605E5C"/>
      <w:shd w:val="clear" w:color="auto" w:fill="E1DFDD"/>
    </w:rPr>
  </w:style>
  <w:style w:type="character" w:customStyle="1" w:styleId="font71">
    <w:name w:val="font71"/>
    <w:basedOn w:val="DefaultParagraphFont"/>
    <w:rsid w:val="005F11B9"/>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font81">
    <w:name w:val="font8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font111">
    <w:name w:val="font111"/>
    <w:basedOn w:val="DefaultParagraphFont"/>
    <w:rsid w:val="005F11B9"/>
    <w:rPr>
      <w:rFonts w:ascii="Times New Roman" w:hAnsi="Times New Roman" w:cs="Times New Roman" w:hint="default"/>
      <w:b w:val="0"/>
      <w:bCs w:val="0"/>
      <w:i w:val="0"/>
      <w:iCs w:val="0"/>
      <w:strike w:val="0"/>
      <w:dstrike w:val="0"/>
      <w:color w:val="006100"/>
      <w:sz w:val="20"/>
      <w:szCs w:val="20"/>
      <w:u w:val="none"/>
      <w:effect w:val="none"/>
    </w:rPr>
  </w:style>
  <w:style w:type="character" w:customStyle="1" w:styleId="Mention6">
    <w:name w:val="Mention6"/>
    <w:basedOn w:val="DefaultParagraphFont"/>
    <w:uiPriority w:val="99"/>
    <w:rsid w:val="005F11B9"/>
    <w:rPr>
      <w:color w:val="2B579A"/>
      <w:shd w:val="clear" w:color="auto" w:fill="E6E6E6"/>
    </w:rPr>
  </w:style>
  <w:style w:type="character" w:customStyle="1" w:styleId="Mention7">
    <w:name w:val="Mention7"/>
    <w:basedOn w:val="DefaultParagraphFont"/>
    <w:uiPriority w:val="99"/>
    <w:rsid w:val="005F11B9"/>
    <w:rPr>
      <w:color w:val="2B579A"/>
      <w:shd w:val="clear" w:color="auto" w:fill="E6E6E6"/>
    </w:rPr>
  </w:style>
  <w:style w:type="character" w:customStyle="1" w:styleId="Mention8">
    <w:name w:val="Mention8"/>
    <w:basedOn w:val="DefaultParagraphFont"/>
    <w:uiPriority w:val="99"/>
    <w:rsid w:val="005F11B9"/>
    <w:rPr>
      <w:color w:val="2B579A"/>
      <w:shd w:val="clear" w:color="auto" w:fill="E1DFDD"/>
    </w:rPr>
  </w:style>
  <w:style w:type="character" w:customStyle="1" w:styleId="Mention9">
    <w:name w:val="Mention9"/>
    <w:basedOn w:val="DefaultParagraphFont"/>
    <w:uiPriority w:val="99"/>
    <w:rsid w:val="005F11B9"/>
    <w:rPr>
      <w:color w:val="2B579A"/>
      <w:shd w:val="clear" w:color="auto" w:fill="E1DFDD"/>
    </w:rPr>
  </w:style>
  <w:style w:type="character" w:customStyle="1" w:styleId="UnresolvedMention3">
    <w:name w:val="Unresolved Mention3"/>
    <w:basedOn w:val="DefaultParagraphFont"/>
    <w:uiPriority w:val="99"/>
    <w:semiHidden/>
    <w:rsid w:val="005F11B9"/>
    <w:rPr>
      <w:color w:val="605E5C"/>
      <w:shd w:val="clear" w:color="auto" w:fill="E1DFDD"/>
    </w:rPr>
  </w:style>
  <w:style w:type="character" w:customStyle="1" w:styleId="TitleChar1">
    <w:name w:val="Title Char1"/>
    <w:basedOn w:val="DefaultParagraphFont"/>
    <w:uiPriority w:val="10"/>
    <w:rsid w:val="005F11B9"/>
    <w:rPr>
      <w:rFonts w:asciiTheme="majorHAnsi" w:eastAsiaTheme="majorEastAsia" w:hAnsiTheme="majorHAnsi" w:cstheme="majorBidi" w:hint="default"/>
      <w:kern w:val="28"/>
      <w:sz w:val="56"/>
      <w:szCs w:val="56"/>
    </w:rPr>
  </w:style>
  <w:style w:type="character" w:customStyle="1" w:styleId="SubtitleChar1">
    <w:name w:val="Subtitle Char1"/>
    <w:basedOn w:val="DefaultParagraphFont"/>
    <w:uiPriority w:val="11"/>
    <w:rsid w:val="005F11B9"/>
    <w:rPr>
      <w:rFonts w:ascii="Yu Gothic Light" w:eastAsiaTheme="majorEastAsia" w:hAnsi="Yu Gothic Light" w:cstheme="majorBidi" w:hint="eastAsia"/>
      <w:color w:val="595959" w:themeColor="text1" w:themeTint="A6"/>
      <w:kern w:val="0"/>
      <w:sz w:val="28"/>
      <w:szCs w:val="28"/>
    </w:rPr>
  </w:style>
  <w:style w:type="character" w:customStyle="1" w:styleId="QuoteChar1">
    <w:name w:val="Quote Char1"/>
    <w:basedOn w:val="DefaultParagraphFont"/>
    <w:uiPriority w:val="29"/>
    <w:rsid w:val="005F11B9"/>
    <w:rPr>
      <w:rFonts w:ascii="Times New Roman" w:eastAsia="Times New Roman" w:hAnsi="Times New Roman" w:cs="Times New Roman" w:hint="default"/>
      <w:i/>
      <w:iCs/>
      <w:color w:val="404040" w:themeColor="text1" w:themeTint="BF"/>
      <w:kern w:val="0"/>
      <w:sz w:val="24"/>
      <w:szCs w:val="24"/>
    </w:rPr>
  </w:style>
  <w:style w:type="character" w:customStyle="1" w:styleId="Mention10">
    <w:name w:val="Mention10"/>
    <w:basedOn w:val="DefaultParagraphFont"/>
    <w:uiPriority w:val="99"/>
    <w:rsid w:val="005F11B9"/>
    <w:rPr>
      <w:color w:val="2B579A"/>
      <w:shd w:val="clear" w:color="auto" w:fill="E1DFDD"/>
    </w:rPr>
  </w:style>
  <w:style w:type="character" w:customStyle="1" w:styleId="Mention11">
    <w:name w:val="Mention11"/>
    <w:basedOn w:val="DefaultParagraphFont"/>
    <w:uiPriority w:val="99"/>
    <w:rsid w:val="005F11B9"/>
    <w:rPr>
      <w:color w:val="2B579A"/>
      <w:shd w:val="clear" w:color="auto" w:fill="E1DFDD"/>
    </w:rPr>
  </w:style>
  <w:style w:type="table" w:styleId="TableGrid">
    <w:name w:val="Table Grid"/>
    <w:basedOn w:val="TableNormal"/>
    <w:uiPriority w:val="39"/>
    <w:rsid w:val="005F11B9"/>
    <w:pPr>
      <w:spacing w:after="0" w:line="240" w:lineRule="auto"/>
    </w:pPr>
    <w:rPr>
      <w:kern w:val="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Puntielenco0">
    <w:name w:val="Punti elenco.0"/>
    <w:rsid w:val="005F11B9"/>
    <w:pPr>
      <w:numPr>
        <w:numId w:val="40"/>
      </w:numPr>
    </w:pPr>
  </w:style>
  <w:style w:type="numbering" w:customStyle="1" w:styleId="Stileimportato9">
    <w:name w:val="Stile importato 9"/>
    <w:rsid w:val="005F11B9"/>
    <w:pPr>
      <w:numPr>
        <w:numId w:val="41"/>
      </w:numPr>
    </w:pPr>
  </w:style>
  <w:style w:type="character" w:customStyle="1" w:styleId="Mention12">
    <w:name w:val="Mention12"/>
    <w:basedOn w:val="DefaultParagraphFont"/>
    <w:uiPriority w:val="99"/>
    <w:unhideWhenUsed/>
    <w:rsid w:val="005F11B9"/>
    <w:rPr>
      <w:color w:val="2B579A"/>
      <w:shd w:val="clear" w:color="auto" w:fill="E1DFDD"/>
    </w:rPr>
  </w:style>
  <w:style w:type="numbering" w:customStyle="1" w:styleId="NoList1">
    <w:name w:val="No List1"/>
    <w:next w:val="NoList"/>
    <w:uiPriority w:val="99"/>
    <w:semiHidden/>
    <w:unhideWhenUsed/>
    <w:rsid w:val="005F11B9"/>
  </w:style>
  <w:style w:type="table" w:customStyle="1" w:styleId="TableGrid1">
    <w:name w:val="Table Grid1"/>
    <w:basedOn w:val="TableNormal"/>
    <w:next w:val="TableGrid"/>
    <w:uiPriority w:val="59"/>
    <w:rsid w:val="005F11B9"/>
    <w:pPr>
      <w:spacing w:after="0" w:line="240" w:lineRule="auto"/>
    </w:pPr>
    <w:rPr>
      <w:rFonts w:ascii="Calibri" w:eastAsia="Calibri" w:hAnsi="Calibri" w:cs="Arial"/>
      <w:kern w:val="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Puntielenco01">
    <w:name w:val="Punti elenco.01"/>
    <w:rsid w:val="005F11B9"/>
  </w:style>
  <w:style w:type="numbering" w:customStyle="1" w:styleId="Stileimportato91">
    <w:name w:val="Stile importato 91"/>
    <w:rsid w:val="005F11B9"/>
  </w:style>
  <w:style w:type="numbering" w:customStyle="1" w:styleId="NoList2">
    <w:name w:val="No List2"/>
    <w:next w:val="NoList"/>
    <w:uiPriority w:val="99"/>
    <w:semiHidden/>
    <w:unhideWhenUsed/>
    <w:rsid w:val="005F11B9"/>
  </w:style>
  <w:style w:type="character" w:customStyle="1" w:styleId="UnresolvedMention4">
    <w:name w:val="Unresolved Mention4"/>
    <w:basedOn w:val="DefaultParagraphFont"/>
    <w:uiPriority w:val="99"/>
    <w:semiHidden/>
    <w:unhideWhenUsed/>
    <w:rsid w:val="005F11B9"/>
    <w:rPr>
      <w:color w:val="605E5C"/>
      <w:shd w:val="clear" w:color="auto" w:fill="E1DFDD"/>
    </w:rPr>
  </w:style>
  <w:style w:type="character" w:customStyle="1" w:styleId="UnresolvedMention5">
    <w:name w:val="Unresolved Mention5"/>
    <w:basedOn w:val="DefaultParagraphFont"/>
    <w:uiPriority w:val="99"/>
    <w:semiHidden/>
    <w:unhideWhenUsed/>
    <w:rsid w:val="005F11B9"/>
    <w:rPr>
      <w:color w:val="605E5C"/>
      <w:shd w:val="clear" w:color="auto" w:fill="E1DFDD"/>
    </w:rPr>
  </w:style>
  <w:style w:type="paragraph" w:customStyle="1" w:styleId="TableParagraph">
    <w:name w:val="Table Paragraph"/>
    <w:basedOn w:val="Normal"/>
    <w:uiPriority w:val="1"/>
    <w:qFormat/>
    <w:rsid w:val="005F11B9"/>
    <w:pPr>
      <w:widowControl w:val="0"/>
      <w:autoSpaceDE w:val="0"/>
      <w:autoSpaceDN w:val="0"/>
      <w:spacing w:after="0" w:line="240" w:lineRule="auto"/>
    </w:pPr>
    <w:rPr>
      <w:rFonts w:ascii="Calibri" w:eastAsia="Calibri" w:hAnsi="Calibri" w:cs="Calibri"/>
      <w:kern w:val="0"/>
    </w:rPr>
  </w:style>
  <w:style w:type="paragraph" w:styleId="EndnoteText">
    <w:name w:val="endnote text"/>
    <w:basedOn w:val="Normal"/>
    <w:link w:val="EndnoteTextChar"/>
    <w:uiPriority w:val="99"/>
    <w:semiHidden/>
    <w:unhideWhenUsed/>
    <w:rsid w:val="005F11B9"/>
    <w:pPr>
      <w:spacing w:after="0" w:line="240" w:lineRule="auto"/>
    </w:pPr>
    <w:rPr>
      <w:rFonts w:eastAsiaTheme="minorEastAsia"/>
      <w:kern w:val="0"/>
      <w:sz w:val="20"/>
      <w:szCs w:val="20"/>
    </w:rPr>
  </w:style>
  <w:style w:type="character" w:customStyle="1" w:styleId="EndnoteTextChar">
    <w:name w:val="Endnote Text Char"/>
    <w:basedOn w:val="DefaultParagraphFont"/>
    <w:link w:val="EndnoteText"/>
    <w:uiPriority w:val="99"/>
    <w:semiHidden/>
    <w:rsid w:val="005F11B9"/>
    <w:rPr>
      <w:rFonts w:eastAsiaTheme="minorEastAsia"/>
      <w:kern w:val="0"/>
      <w:sz w:val="20"/>
      <w:szCs w:val="20"/>
    </w:rPr>
  </w:style>
  <w:style w:type="character" w:styleId="EndnoteReference">
    <w:name w:val="endnote reference"/>
    <w:basedOn w:val="DefaultParagraphFont"/>
    <w:uiPriority w:val="99"/>
    <w:semiHidden/>
    <w:unhideWhenUsed/>
    <w:rsid w:val="005F11B9"/>
    <w:rPr>
      <w:vertAlign w:val="superscript"/>
    </w:rPr>
  </w:style>
  <w:style w:type="numbering" w:customStyle="1" w:styleId="NoList11">
    <w:name w:val="No List11"/>
    <w:next w:val="NoList"/>
    <w:uiPriority w:val="99"/>
    <w:semiHidden/>
    <w:unhideWhenUsed/>
    <w:rsid w:val="005F11B9"/>
  </w:style>
  <w:style w:type="character" w:customStyle="1" w:styleId="Hyperlink1">
    <w:name w:val="Hyperlink1"/>
    <w:basedOn w:val="DefaultParagraphFont"/>
    <w:uiPriority w:val="99"/>
    <w:unhideWhenUsed/>
    <w:rsid w:val="005F11B9"/>
    <w:rPr>
      <w:color w:val="0563C1"/>
      <w:u w:val="single"/>
    </w:rPr>
  </w:style>
  <w:style w:type="paragraph" w:customStyle="1" w:styleId="ListNumber41">
    <w:name w:val="List Number 41"/>
    <w:basedOn w:val="Normal"/>
    <w:next w:val="ListNumber4"/>
    <w:uiPriority w:val="99"/>
    <w:semiHidden/>
    <w:unhideWhenUsed/>
    <w:rsid w:val="005F11B9"/>
    <w:pPr>
      <w:tabs>
        <w:tab w:val="num" w:pos="360"/>
      </w:tabs>
      <w:spacing w:before="120" w:after="120" w:line="240" w:lineRule="auto"/>
      <w:ind w:left="720"/>
      <w:contextualSpacing/>
      <w:jc w:val="both"/>
    </w:pPr>
    <w:rPr>
      <w:rFonts w:ascii="Times New Roman" w:eastAsia="Calibri" w:hAnsi="Times New Roman" w:cs="Times New Roman"/>
      <w:kern w:val="0"/>
      <w:sz w:val="24"/>
    </w:rPr>
  </w:style>
  <w:style w:type="paragraph" w:customStyle="1" w:styleId="Caption1">
    <w:name w:val="Caption1"/>
    <w:basedOn w:val="Normal"/>
    <w:next w:val="Normal"/>
    <w:uiPriority w:val="35"/>
    <w:semiHidden/>
    <w:unhideWhenUsed/>
    <w:qFormat/>
    <w:rsid w:val="005F11B9"/>
    <w:pPr>
      <w:spacing w:after="200" w:line="240" w:lineRule="auto"/>
      <w:jc w:val="both"/>
    </w:pPr>
    <w:rPr>
      <w:rFonts w:ascii="Times New Roman" w:eastAsia="Calibri" w:hAnsi="Times New Roman" w:cs="Times New Roman"/>
      <w:i/>
      <w:iCs/>
      <w:color w:val="44546A"/>
      <w:kern w:val="0"/>
      <w:sz w:val="18"/>
      <w:szCs w:val="18"/>
    </w:rPr>
  </w:style>
  <w:style w:type="paragraph" w:customStyle="1" w:styleId="TableofFigures1">
    <w:name w:val="Table of Figures1"/>
    <w:basedOn w:val="Normal"/>
    <w:next w:val="Normal"/>
    <w:uiPriority w:val="99"/>
    <w:semiHidden/>
    <w:unhideWhenUsed/>
    <w:rsid w:val="005F11B9"/>
    <w:pPr>
      <w:spacing w:before="120" w:after="0" w:line="240" w:lineRule="auto"/>
      <w:jc w:val="both"/>
    </w:pPr>
    <w:rPr>
      <w:rFonts w:ascii="Times New Roman" w:eastAsia="Calibri" w:hAnsi="Times New Roman" w:cs="Times New Roman"/>
      <w:kern w:val="0"/>
      <w:sz w:val="24"/>
    </w:rPr>
  </w:style>
  <w:style w:type="paragraph" w:customStyle="1" w:styleId="ListNumber1">
    <w:name w:val="List Number1"/>
    <w:basedOn w:val="Normal"/>
    <w:next w:val="ListNumber"/>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21">
    <w:name w:val="List Number 21"/>
    <w:basedOn w:val="Normal"/>
    <w:next w:val="ListNumber2"/>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paragraph" w:customStyle="1" w:styleId="ListNumber31">
    <w:name w:val="List Number 31"/>
    <w:basedOn w:val="Normal"/>
    <w:next w:val="ListNumber3"/>
    <w:uiPriority w:val="99"/>
    <w:semiHidden/>
    <w:unhideWhenUsed/>
    <w:rsid w:val="005F11B9"/>
    <w:pPr>
      <w:tabs>
        <w:tab w:val="num" w:pos="360"/>
      </w:tabs>
      <w:spacing w:before="120" w:after="120" w:line="240" w:lineRule="auto"/>
      <w:contextualSpacing/>
      <w:jc w:val="both"/>
    </w:pPr>
    <w:rPr>
      <w:rFonts w:ascii="Times New Roman" w:eastAsia="Calibri" w:hAnsi="Times New Roman" w:cs="Times New Roman"/>
      <w:kern w:val="0"/>
      <w:sz w:val="24"/>
    </w:rPr>
  </w:style>
  <w:style w:type="character" w:customStyle="1" w:styleId="SubtleEmphasis1">
    <w:name w:val="Subtle Emphasis1"/>
    <w:basedOn w:val="DefaultParagraphFont"/>
    <w:uiPriority w:val="19"/>
    <w:qFormat/>
    <w:rsid w:val="005F11B9"/>
    <w:rPr>
      <w:i/>
      <w:iCs/>
      <w:color w:val="404040"/>
    </w:rPr>
  </w:style>
  <w:style w:type="character" w:customStyle="1" w:styleId="FollowedHyperlink1">
    <w:name w:val="FollowedHyperlink1"/>
    <w:basedOn w:val="DefaultParagraphFont"/>
    <w:uiPriority w:val="99"/>
    <w:semiHidden/>
    <w:unhideWhenUsed/>
    <w:rsid w:val="005F11B9"/>
    <w:rPr>
      <w:color w:val="954F72"/>
      <w:u w:val="single"/>
    </w:rPr>
  </w:style>
  <w:style w:type="character" w:customStyle="1" w:styleId="Mention120">
    <w:name w:val="Mention120"/>
    <w:basedOn w:val="DefaultParagraphFont"/>
    <w:uiPriority w:val="99"/>
    <w:unhideWhenUsed/>
    <w:rsid w:val="005F11B9"/>
    <w:rPr>
      <w:color w:val="2B579A"/>
      <w:shd w:val="clear" w:color="auto" w:fill="E1DFDD"/>
    </w:rPr>
  </w:style>
  <w:style w:type="character" w:customStyle="1" w:styleId="Mention">
    <w:name w:val="Mention"/>
    <w:basedOn w:val="DefaultParagraphFont"/>
    <w:uiPriority w:val="99"/>
    <w:unhideWhenUsed/>
    <w:rsid w:val="005F11B9"/>
    <w:rPr>
      <w:color w:val="2B579A"/>
      <w:shd w:val="clear" w:color="auto" w:fill="E1DFDD"/>
    </w:rPr>
  </w:style>
  <w:style w:type="character" w:customStyle="1" w:styleId="UnresolvedMention">
    <w:name w:val="Unresolved Mention"/>
    <w:basedOn w:val="DefaultParagraphFont"/>
    <w:uiPriority w:val="99"/>
    <w:semiHidden/>
    <w:unhideWhenUsed/>
    <w:rsid w:val="005F11B9"/>
    <w:rPr>
      <w:color w:val="605E5C"/>
      <w:shd w:val="clear" w:color="auto" w:fill="E1DFDD"/>
    </w:rPr>
  </w:style>
  <w:style w:type="character" w:customStyle="1" w:styleId="Other1">
    <w:name w:val="Other|1_"/>
    <w:basedOn w:val="DefaultParagraphFont"/>
    <w:link w:val="Other10"/>
    <w:rsid w:val="001814F5"/>
    <w:rPr>
      <w:color w:val="006100"/>
    </w:rPr>
  </w:style>
  <w:style w:type="paragraph" w:customStyle="1" w:styleId="Other10">
    <w:name w:val="Other|1"/>
    <w:basedOn w:val="Normal"/>
    <w:link w:val="Other1"/>
    <w:rsid w:val="001814F5"/>
    <w:pPr>
      <w:widowControl w:val="0"/>
      <w:spacing w:after="0" w:line="240" w:lineRule="auto"/>
    </w:pPr>
    <w:rPr>
      <w:color w:val="006100"/>
    </w:rPr>
  </w:style>
  <w:style w:type="paragraph" w:customStyle="1" w:styleId="P68B1DB1-Heading11">
    <w:name w:val="P68B1DB1-Heading11"/>
    <w:basedOn w:val="Heading1"/>
    <w:rPr>
      <w:rFonts w:ascii="Times New Roman" w:eastAsia="Times New Roman" w:hAnsi="Times New Roman" w:cs="Times New Roman"/>
      <w:b/>
      <w:color w:val="auto"/>
      <w:sz w:val="24"/>
      <w:szCs w:val="24"/>
      <w:u w:val="single"/>
    </w:rPr>
  </w:style>
  <w:style w:type="paragraph" w:customStyle="1" w:styleId="P68B1DB1-Heading12">
    <w:name w:val="P68B1DB1-Heading12"/>
    <w:basedOn w:val="Heading1"/>
    <w:rPr>
      <w:rFonts w:ascii="Times New Roman" w:eastAsia="Times New Roman" w:hAnsi="Times New Roman" w:cs="Times New Roman"/>
      <w:b/>
      <w:color w:val="auto"/>
      <w:sz w:val="24"/>
      <w:szCs w:val="24"/>
    </w:rPr>
  </w:style>
  <w:style w:type="paragraph" w:customStyle="1" w:styleId="P68B1DB1-Heading23">
    <w:name w:val="P68B1DB1-Heading23"/>
    <w:basedOn w:val="Heading2"/>
    <w:rPr>
      <w:rFonts w:ascii="Times New Roman" w:eastAsia="Times New Roman" w:hAnsi="Times New Roman" w:cs="Times New Roman"/>
      <w:b/>
      <w:color w:val="auto"/>
      <w:sz w:val="24"/>
      <w:szCs w:val="24"/>
    </w:rPr>
  </w:style>
  <w:style w:type="paragraph" w:customStyle="1" w:styleId="P68B1DB1-Heading34">
    <w:name w:val="P68B1DB1-Heading34"/>
    <w:basedOn w:val="Heading3"/>
    <w:rPr>
      <w:rFonts w:ascii="Times New Roman" w:hAnsi="Times New Roman" w:cs="Times New Roman"/>
      <w:color w:val="auto"/>
      <w:sz w:val="24"/>
      <w:szCs w:val="24"/>
    </w:rPr>
  </w:style>
  <w:style w:type="paragraph" w:customStyle="1" w:styleId="P68B1DB1-Normal5">
    <w:name w:val="P68B1DB1-Normal5"/>
    <w:basedOn w:val="Normal"/>
    <w:rPr>
      <w:rFonts w:ascii="Times New Roman" w:hAnsi="Times New Roman" w:cs="Times New Roman"/>
      <w:b/>
    </w:rPr>
  </w:style>
  <w:style w:type="paragraph" w:customStyle="1" w:styleId="P68B1DB1-Descriptiontitle6">
    <w:name w:val="P68B1DB1-Descriptiontitle6"/>
    <w:basedOn w:val="Descriptiontitle"/>
    <w:rPr>
      <w:b/>
    </w:rPr>
  </w:style>
  <w:style w:type="paragraph" w:customStyle="1" w:styleId="P68B1DB1-Normal7">
    <w:name w:val="P68B1DB1-Normal7"/>
    <w:basedOn w:val="Normal"/>
    <w:rPr>
      <w:rFonts w:ascii="Times New Roman" w:hAnsi="Times New Roman" w:cs="Times New Roman"/>
    </w:rPr>
  </w:style>
  <w:style w:type="paragraph" w:customStyle="1" w:styleId="P68B1DB1-Normal8">
    <w:name w:val="P68B1DB1-Normal8"/>
    <w:basedOn w:val="Normal"/>
    <w:rPr>
      <w:rFonts w:ascii="Times New Roman" w:eastAsia="Times New Roman" w:hAnsi="Times New Roman" w:cs="Times New Roman"/>
    </w:rPr>
  </w:style>
  <w:style w:type="paragraph" w:customStyle="1" w:styleId="P68B1DB1-Heading39">
    <w:name w:val="P68B1DB1-Heading39"/>
    <w:basedOn w:val="Heading3"/>
    <w:rPr>
      <w:rFonts w:ascii="Times New Roman" w:hAnsi="Times New Roman" w:cs="Times New Roman"/>
      <w:sz w:val="24"/>
      <w:szCs w:val="24"/>
    </w:rPr>
  </w:style>
  <w:style w:type="paragraph" w:customStyle="1" w:styleId="P68B1DB1-Normal10">
    <w:name w:val="P68B1DB1-Normal10"/>
    <w:basedOn w:val="Normal"/>
    <w:rPr>
      <w:rFonts w:ascii="Arial Narrow" w:hAnsi="Arial Narrow"/>
      <w:b/>
      <w:sz w:val="20"/>
    </w:rPr>
  </w:style>
  <w:style w:type="paragraph" w:customStyle="1" w:styleId="P68B1DB1-Normal11">
    <w:name w:val="P68B1DB1-Normal11"/>
    <w:basedOn w:val="Normal"/>
    <w:rPr>
      <w:rFonts w:ascii="Arial Narrow" w:hAnsi="Arial Narrow"/>
      <w:color w:val="006100"/>
      <w:sz w:val="20"/>
    </w:rPr>
  </w:style>
  <w:style w:type="paragraph" w:customStyle="1" w:styleId="P68B1DB1-Normal12">
    <w:name w:val="P68B1DB1-Normal12"/>
    <w:basedOn w:val="Normal"/>
    <w:rPr>
      <w:rFonts w:ascii="Arial Narrow" w:hAnsi="Arial Narrow"/>
      <w:color w:val="006100"/>
      <w:sz w:val="20"/>
      <w:szCs w:val="20"/>
    </w:rPr>
  </w:style>
  <w:style w:type="paragraph" w:customStyle="1" w:styleId="P68B1DB1-ListParagraph13">
    <w:name w:val="P68B1DB1-ListParagraph13"/>
    <w:basedOn w:val="ListParagraph"/>
    <w:rPr>
      <w:rFonts w:ascii="Arial Narrow" w:hAnsi="Arial Narrow"/>
      <w:color w:val="006100"/>
      <w:sz w:val="20"/>
      <w:szCs w:val="20"/>
    </w:rPr>
  </w:style>
  <w:style w:type="paragraph" w:customStyle="1" w:styleId="P68B1DB1-Normal14">
    <w:name w:val="P68B1DB1-Normal14"/>
    <w:basedOn w:val="Normal"/>
    <w:rPr>
      <w:rFonts w:ascii="Arial Narrow" w:hAnsi="Arial Narrow"/>
      <w:sz w:val="20"/>
    </w:rPr>
  </w:style>
  <w:style w:type="paragraph" w:customStyle="1" w:styleId="P68B1DB1-ListParagraph15">
    <w:name w:val="P68B1DB1-ListParagraph15"/>
    <w:basedOn w:val="ListParagraph"/>
    <w:rPr>
      <w:rFonts w:ascii="Arial Narrow" w:hAnsi="Arial Narrow"/>
      <w:color w:val="006100"/>
      <w:sz w:val="20"/>
    </w:rPr>
  </w:style>
  <w:style w:type="paragraph" w:customStyle="1" w:styleId="P68B1DB1-Normal16">
    <w:name w:val="P68B1DB1-Normal16"/>
    <w:basedOn w:val="Normal"/>
    <w:rPr>
      <w:rFonts w:ascii="Arial Narrow" w:hAnsi="Arial Narrow"/>
      <w:sz w:val="20"/>
      <w:szCs w:val="20"/>
    </w:rPr>
  </w:style>
  <w:style w:type="paragraph" w:customStyle="1" w:styleId="P68B1DB1-Normal17">
    <w:name w:val="P68B1DB1-Normal17"/>
    <w:basedOn w:val="Normal"/>
    <w:rPr>
      <w:rFonts w:ascii="Arial Narrow" w:hAnsi="Arial Narrow" w:cs="Arial"/>
      <w:color w:val="006100"/>
      <w:sz w:val="20"/>
      <w:szCs w:val="20"/>
    </w:rPr>
  </w:style>
  <w:style w:type="paragraph" w:customStyle="1" w:styleId="P68B1DB1-ListParagraph18">
    <w:name w:val="P68B1DB1-ListParagraph18"/>
    <w:basedOn w:val="ListParagraph"/>
    <w:rPr>
      <w:color w:val="006100"/>
      <w:sz w:val="20"/>
    </w:rPr>
  </w:style>
  <w:style w:type="paragraph" w:customStyle="1" w:styleId="P68B1DB1-Normal19">
    <w:name w:val="P68B1DB1-Normal19"/>
    <w:basedOn w:val="Normal"/>
    <w:rPr>
      <w:color w:val="006100"/>
      <w:sz w:val="20"/>
      <w:szCs w:val="20"/>
    </w:rPr>
  </w:style>
  <w:style w:type="paragraph" w:customStyle="1" w:styleId="P68B1DB1-Normal20">
    <w:name w:val="P68B1DB1-Normal20"/>
    <w:basedOn w:val="Normal"/>
    <w:rPr>
      <w:rFonts w:ascii="Arial Narrow" w:hAnsi="Arial Narrow" w:hint="eastAsia"/>
      <w:color w:val="006100"/>
      <w:sz w:val="20"/>
    </w:rPr>
  </w:style>
  <w:style w:type="paragraph" w:customStyle="1" w:styleId="P68B1DB1-Normal21">
    <w:name w:val="P68B1DB1-Normal21"/>
    <w:basedOn w:val="Normal"/>
    <w:rPr>
      <w:color w:val="006100"/>
      <w:sz w:val="20"/>
    </w:rPr>
  </w:style>
  <w:style w:type="paragraph" w:customStyle="1" w:styleId="P68B1DB1-Normal22">
    <w:name w:val="P68B1DB1-Normal22"/>
    <w:basedOn w:val="Normal"/>
    <w:rPr>
      <w:rFonts w:ascii="Arial Narrow" w:hint="eastAsia"/>
      <w:color w:val="006100"/>
      <w:sz w:val="20"/>
      <w:szCs w:val="20"/>
    </w:rPr>
  </w:style>
  <w:style w:type="paragraph" w:customStyle="1" w:styleId="P68B1DB1-ListParagraph23">
    <w:name w:val="P68B1DB1-ListParagraph23"/>
    <w:basedOn w:val="ListParagraph"/>
    <w:rPr>
      <w:rFonts w:ascii="Arial Narrow" w:eastAsiaTheme="minorEastAsia" w:hAnsi="Arial Narrow"/>
      <w:color w:val="006100"/>
      <w:sz w:val="20"/>
      <w:szCs w:val="20"/>
    </w:rPr>
  </w:style>
  <w:style w:type="paragraph" w:customStyle="1" w:styleId="P68B1DB1-Normal24">
    <w:name w:val="P68B1DB1-Normal24"/>
    <w:basedOn w:val="Normal"/>
    <w:rPr>
      <w:rFonts w:ascii="Arial Narrow" w:hint="eastAsia"/>
      <w:color w:val="006100"/>
      <w:sz w:val="20"/>
    </w:rPr>
  </w:style>
  <w:style w:type="paragraph" w:customStyle="1" w:styleId="P68B1DB1-Normal25">
    <w:name w:val="P68B1DB1-Normal25"/>
    <w:basedOn w:val="Normal"/>
    <w:rPr>
      <w:rFonts w:ascii="Times New Roman" w:hAnsi="Times New Roman" w:cs="Times New Roman"/>
      <w:b/>
      <w:u w:val="single"/>
    </w:rPr>
  </w:style>
  <w:style w:type="paragraph" w:customStyle="1" w:styleId="P68B1DB1-Normal26">
    <w:name w:val="P68B1DB1-Normal26"/>
    <w:basedOn w:val="Normal"/>
    <w:rPr>
      <w:rFonts w:ascii="Times New Roman" w:hAnsi="Times New Roman" w:cs="Times New Roman"/>
      <w:i/>
    </w:rPr>
  </w:style>
  <w:style w:type="paragraph" w:customStyle="1" w:styleId="P68B1DB1-Normal27">
    <w:name w:val="P68B1DB1-Normal27"/>
    <w:basedOn w:val="Normal"/>
    <w:rPr>
      <w:rFonts w:ascii="Times New Roman" w:hAnsi="Times New Roman" w:cs="Times New Roman"/>
      <w:color w:val="000000" w:themeColor="text1"/>
    </w:rPr>
  </w:style>
  <w:style w:type="paragraph" w:customStyle="1" w:styleId="P68B1DB1-Normal28">
    <w:name w:val="P68B1DB1-Normal28"/>
    <w:basedOn w:val="Normal"/>
    <w:rPr>
      <w:rFonts w:ascii="Times New Roman" w:hAnsi="Times New Roman" w:cs="Times New Roman"/>
      <w:i/>
      <w:u w:val="single"/>
    </w:rPr>
  </w:style>
  <w:style w:type="paragraph" w:customStyle="1" w:styleId="P68B1DB1-Normal29">
    <w:name w:val="P68B1DB1-Normal29"/>
    <w:basedOn w:val="Normal"/>
    <w:rPr>
      <w:rFonts w:ascii="Times New Roman" w:eastAsia="Times New Roman" w:hAnsi="Times New Roman" w:cs="Times New Roman"/>
      <w:b/>
    </w:rPr>
  </w:style>
  <w:style w:type="paragraph" w:customStyle="1" w:styleId="P68B1DB1-Normal30">
    <w:name w:val="P68B1DB1-Normal30"/>
    <w:basedOn w:val="Normal"/>
    <w:rPr>
      <w:rFonts w:ascii="Arial Narrow" w:hAnsi="Arial Narrow"/>
    </w:rPr>
  </w:style>
  <w:style w:type="paragraph" w:customStyle="1" w:styleId="P68B1DB1-Normal31">
    <w:name w:val="P68B1DB1-Normal31"/>
    <w:basedOn w:val="Normal"/>
    <w:rPr>
      <w:rFonts w:ascii="Arial Narrow" w:hAnsi="Arial Narrow"/>
      <w:b/>
      <w:color w:val="006100"/>
      <w:sz w:val="20"/>
    </w:rPr>
  </w:style>
  <w:style w:type="paragraph" w:customStyle="1" w:styleId="P68B1DB1-Normal32">
    <w:name w:val="P68B1DB1-Normal32"/>
    <w:basedOn w:val="Normal"/>
    <w:rPr>
      <w:rFonts w:ascii="Arial Narrow" w:hAnsi="Arial Narrow"/>
      <w:b/>
      <w:color w:val="006100"/>
      <w:sz w:val="20"/>
      <w:szCs w:val="20"/>
    </w:rPr>
  </w:style>
  <w:style w:type="paragraph" w:customStyle="1" w:styleId="P68B1DB1-Normal33">
    <w:name w:val="P68B1DB1-Normal33"/>
    <w:basedOn w:val="Normal"/>
    <w:rPr>
      <w:rFonts w:ascii="Arial Narrow" w:eastAsia="Times New Roman" w:hAnsi="Arial Narrow" w:cs="Segoe UI"/>
      <w:color w:val="006100"/>
      <w:sz w:val="20"/>
      <w:szCs w:val="20"/>
    </w:rPr>
  </w:style>
  <w:style w:type="paragraph" w:customStyle="1" w:styleId="P68B1DB1-Normal34">
    <w:name w:val="P68B1DB1-Normal34"/>
    <w:basedOn w:val="Normal"/>
    <w:rPr>
      <w:rFonts w:ascii="Arial Narrow" w:eastAsia="Times New Roman" w:hAnsi="Arial Narrow" w:cs="Segoe UI"/>
      <w:b/>
      <w:color w:val="006100"/>
      <w:sz w:val="20"/>
      <w:szCs w:val="20"/>
    </w:rPr>
  </w:style>
  <w:style w:type="paragraph" w:customStyle="1" w:styleId="P68B1DB1-ListParagraph35">
    <w:name w:val="P68B1DB1-ListParagraph35"/>
    <w:basedOn w:val="ListParagraph"/>
    <w:rPr>
      <w:rFonts w:ascii="Arial Narrow" w:hAnsi="Arial Narrow" w:cs="Segoe UI"/>
      <w:color w:val="006100"/>
      <w:sz w:val="20"/>
      <w:szCs w:val="20"/>
    </w:rPr>
  </w:style>
  <w:style w:type="paragraph" w:customStyle="1" w:styleId="P68B1DB1-ListParagraph36">
    <w:name w:val="P68B1DB1-ListParagraph36"/>
    <w:basedOn w:val="ListParagraph"/>
    <w:rPr>
      <w:rFonts w:ascii="Times New Roman" w:hAnsi="Times New Roman" w:cs="Times New Roman" w:hint="eastAsia"/>
    </w:rPr>
  </w:style>
  <w:style w:type="paragraph" w:customStyle="1" w:styleId="P68B1DB1-ListParagraph37">
    <w:name w:val="P68B1DB1-ListParagraph37"/>
    <w:basedOn w:val="ListParagraph"/>
    <w:rPr>
      <w:rFonts w:ascii="Times New Roman" w:hAnsi="Times New Roman" w:cs="Times New Roman"/>
    </w:rPr>
  </w:style>
  <w:style w:type="paragraph" w:customStyle="1" w:styleId="P68B1DB1-Normal38">
    <w:name w:val="P68B1DB1-Normal38"/>
    <w:basedOn w:val="Normal"/>
    <w:rPr>
      <w:rFonts w:ascii="Times New Roman" w:eastAsia="Calibri" w:hAnsi="Times New Roman" w:cs="Times New Roman"/>
    </w:rPr>
  </w:style>
  <w:style w:type="paragraph" w:customStyle="1" w:styleId="P68B1DB1-ListParagraph39">
    <w:name w:val="P68B1DB1-ListParagraph39"/>
    <w:basedOn w:val="ListParagraph"/>
    <w:rPr>
      <w:rFonts w:ascii="Times New Roman" w:eastAsia="Calibri" w:hAnsi="Times New Roman" w:cs="Times New Roman"/>
    </w:rPr>
  </w:style>
  <w:style w:type="paragraph" w:customStyle="1" w:styleId="P68B1DB1-ListParagraph40">
    <w:name w:val="P68B1DB1-ListParagraph40"/>
    <w:basedOn w:val="ListParagraph"/>
    <w:rPr>
      <w:rFonts w:ascii="Times New Roman" w:hAnsi="Times New Roman"/>
    </w:rPr>
  </w:style>
  <w:style w:type="paragraph" w:customStyle="1" w:styleId="P68B1DB1-Heading341">
    <w:name w:val="P68B1DB1-Heading341"/>
    <w:basedOn w:val="Heading3"/>
    <w:rPr>
      <w:sz w:val="24"/>
      <w:szCs w:val="24"/>
    </w:rPr>
  </w:style>
  <w:style w:type="paragraph" w:customStyle="1" w:styleId="P68B1DB1-Normal42">
    <w:name w:val="P68B1DB1-Normal42"/>
    <w:basedOn w:val="Normal"/>
    <w:rPr>
      <w:rFonts w:ascii="Times New Roman" w:eastAsia="Times New Roman" w:hAnsi="Times New Roman" w:cs="Times New Roman"/>
      <w:b/>
      <w:color w:val="000000" w:themeColor="text1"/>
    </w:rPr>
  </w:style>
  <w:style w:type="paragraph" w:customStyle="1" w:styleId="P68B1DB1-Text143">
    <w:name w:val="P68B1DB1-Text143"/>
    <w:basedOn w:val="Text1"/>
    <w:rPr>
      <w:sz w:val="22"/>
      <w:szCs w:val="22"/>
    </w:rPr>
  </w:style>
  <w:style w:type="paragraph" w:customStyle="1" w:styleId="P68B1DB1-Normal44">
    <w:name w:val="P68B1DB1-Normal44"/>
    <w:basedOn w:val="Normal"/>
    <w:rPr>
      <w:rFonts w:ascii="Arial Narrow"/>
      <w:color w:val="006100"/>
      <w:sz w:val="20"/>
    </w:rPr>
  </w:style>
  <w:style w:type="paragraph" w:customStyle="1" w:styleId="P68B1DB1-Normal45">
    <w:name w:val="P68B1DB1-Normal45"/>
    <w:basedOn w:val="Normal"/>
    <w:rPr>
      <w:rFonts w:ascii="Times New Roman" w:eastAsia="Times New Roman" w:hAnsi="Times New Roman" w:cs="Times New Roman"/>
      <w:kern w:val="0"/>
      <w14:ligatures w14:val="none"/>
    </w:rPr>
  </w:style>
  <w:style w:type="paragraph" w:customStyle="1" w:styleId="P68B1DB1-Normal46">
    <w:name w:val="P68B1DB1-Normal46"/>
    <w:basedOn w:val="Normal"/>
    <w:rPr>
      <w:rFonts w:ascii="Times New Roman" w:eastAsia="Times New Roman" w:hAnsi="Times New Roman" w:cs="Times New Roman"/>
      <w:kern w:val="0"/>
      <w:sz w:val="24"/>
      <w:szCs w:val="24"/>
      <w14:ligatures w14:val="none"/>
    </w:rPr>
  </w:style>
  <w:style w:type="paragraph" w:customStyle="1" w:styleId="P68B1DB1-Heading347">
    <w:name w:val="P68B1DB1-Heading347"/>
    <w:basedOn w:val="Heading3"/>
    <w:rPr>
      <w:rFonts w:ascii="Times New Roman" w:eastAsia="Times New Roman" w:hAnsi="Times New Roman" w:cs="Times New Roman"/>
      <w:b/>
      <w:sz w:val="24"/>
      <w:szCs w:val="24"/>
      <w:u w:val="single"/>
    </w:rPr>
  </w:style>
  <w:style w:type="paragraph" w:customStyle="1" w:styleId="P68B1DB1-Normal48">
    <w:name w:val="P68B1DB1-Normal48"/>
    <w:basedOn w:val="Normal"/>
    <w:rPr>
      <w:rFonts w:ascii="Times New Roman" w:eastAsia="Times New Roman" w:hAnsi="Times New Roman" w:cs="Times New Roman"/>
      <w:i/>
      <w:kern w:val="0"/>
      <w:sz w:val="24"/>
      <w:szCs w:val="24"/>
      <w14:ligatures w14:val="none"/>
    </w:rPr>
  </w:style>
  <w:style w:type="paragraph" w:customStyle="1" w:styleId="P68B1DB1-Normal49">
    <w:name w:val="P68B1DB1-Normal49"/>
    <w:basedOn w:val="Normal"/>
    <w:rPr>
      <w:rFonts w:ascii="Arial Narrow" w:eastAsia="Times New Roman" w:hAnsi="Arial Narrow" w:cs="Times New Roman"/>
      <w:kern w:val="0"/>
      <w:sz w:val="20"/>
      <w:szCs w:val="20"/>
      <w14:ligatures w14:val="none"/>
    </w:rPr>
  </w:style>
  <w:style w:type="paragraph" w:customStyle="1" w:styleId="P68B1DB1-Normal50">
    <w:name w:val="P68B1DB1-Normal50"/>
    <w:basedOn w:val="Normal"/>
    <w:rPr>
      <w:rFonts w:ascii="Arial Narrow" w:eastAsia="Times New Roman" w:hAnsi="Arial Narrow" w:cs="Times New Roman"/>
      <w:color w:val="006100"/>
      <w:kern w:val="0"/>
      <w:sz w:val="20"/>
      <w:szCs w:val="20"/>
      <w14:ligatures w14:val="none"/>
    </w:rPr>
  </w:style>
  <w:style w:type="paragraph" w:customStyle="1" w:styleId="P68B1DB1-ListParagraph51">
    <w:name w:val="P68B1DB1-ListParagraph51"/>
    <w:basedOn w:val="ListParagraph"/>
    <w:rPr>
      <w:rFonts w:ascii="Arial Narrow" w:eastAsia="Times New Roman" w:hAnsi="Arial Narrow" w:cs="Times New Roman"/>
      <w:color w:val="006100"/>
      <w:kern w:val="0"/>
      <w:sz w:val="20"/>
      <w:szCs w:val="20"/>
      <w14:ligatures w14:val="none"/>
    </w:rPr>
  </w:style>
  <w:style w:type="paragraph" w:customStyle="1" w:styleId="P68B1DB1-ListParagraph52">
    <w:name w:val="P68B1DB1-ListParagraph52"/>
    <w:basedOn w:val="ListParagraph"/>
    <w:rPr>
      <w:rFonts w:ascii="Arial Narrow" w:eastAsia="Times New Roman" w:hAnsi="Arial Narrow" w:cs="Arial"/>
      <w:color w:val="006100"/>
      <w:kern w:val="0"/>
      <w:sz w:val="20"/>
      <w:szCs w:val="20"/>
      <w14:ligatures w14:val="none"/>
    </w:rPr>
  </w:style>
  <w:style w:type="paragraph" w:customStyle="1" w:styleId="P68B1DB1-Normal53">
    <w:name w:val="P68B1DB1-Normal53"/>
    <w:basedOn w:val="Normal"/>
    <w:rPr>
      <w:rFonts w:ascii="Arial Narrow" w:eastAsia="Times New Roman" w:hAnsi="Arial Narrow" w:cs="Arial"/>
      <w:color w:val="006100"/>
      <w:kern w:val="0"/>
      <w:sz w:val="20"/>
      <w:szCs w:val="20"/>
      <w14:ligatures w14:val="none"/>
    </w:rPr>
  </w:style>
  <w:style w:type="paragraph" w:customStyle="1" w:styleId="P68B1DB1-Normal54">
    <w:name w:val="P68B1DB1-Normal54"/>
    <w:basedOn w:val="Normal"/>
    <w:rPr>
      <w:color w:val="006100"/>
      <w:kern w:val="0"/>
      <w:sz w:val="20"/>
      <w:szCs w:val="20"/>
      <w14:ligatures w14:val="none"/>
    </w:rPr>
  </w:style>
  <w:style w:type="paragraph" w:customStyle="1" w:styleId="P68B1DB1-Normal55">
    <w:name w:val="P68B1DB1-Normal55"/>
    <w:basedOn w:val="Normal"/>
    <w:rPr>
      <w:rFonts w:ascii="Arial Narrow" w:eastAsia="Times New Roman" w:hAnsi="Arial Narrow" w:cs="Times New Roman"/>
      <w:kern w:val="0"/>
      <w14:ligatures w14:val="none"/>
    </w:rPr>
  </w:style>
  <w:style w:type="paragraph" w:customStyle="1" w:styleId="P68B1DB1-Normal56">
    <w:name w:val="P68B1DB1-Normal56"/>
    <w:basedOn w:val="Normal"/>
    <w:rPr>
      <w:rFonts w:ascii="Times New Roman" w:eastAsia="Times New Roman" w:hAnsi="Times New Roman" w:cs="Times New Roman"/>
      <w:b/>
      <w:kern w:val="0"/>
      <w:sz w:val="24"/>
      <w:szCs w:val="24"/>
      <w14:ligatures w14:val="none"/>
    </w:rPr>
  </w:style>
  <w:style w:type="paragraph" w:customStyle="1" w:styleId="P68B1DB1-Normal57">
    <w:name w:val="P68B1DB1-Normal57"/>
    <w:basedOn w:val="Normal"/>
    <w:rPr>
      <w:rFonts w:ascii="Arial Narrow" w:eastAsia="Times New Roman" w:hAnsi="Arial"/>
      <w:color w:val="006100"/>
      <w:kern w:val="0"/>
      <w:sz w:val="20"/>
      <w:szCs w:val="20"/>
      <w14:ligatures w14:val="none"/>
    </w:rPr>
  </w:style>
  <w:style w:type="paragraph" w:customStyle="1" w:styleId="P68B1DB1-Normal58">
    <w:name w:val="P68B1DB1-Normal58"/>
    <w:basedOn w:val="Normal"/>
    <w:rPr>
      <w:rFonts w:ascii="Aptos" w:eastAsia="Times New Roman" w:hAnsi="Aptos" w:cs="Segoe UI"/>
      <w:kern w:val="0"/>
      <w:sz w:val="24"/>
      <w:szCs w:val="24"/>
      <w14:ligatures w14:val="none"/>
    </w:rPr>
  </w:style>
  <w:style w:type="paragraph" w:customStyle="1" w:styleId="P68B1DB1-Heading359">
    <w:name w:val="P68B1DB1-Heading359"/>
    <w:basedOn w:val="Heading3"/>
    <w:rPr>
      <w:rFonts w:ascii="Times New Roman" w:hAnsi="Times New Roman" w:cs="Times New Roman"/>
    </w:rPr>
  </w:style>
  <w:style w:type="paragraph" w:customStyle="1" w:styleId="P68B1DB1-LegalNumPar260">
    <w:name w:val="P68B1DB1-LegalNumPar260"/>
    <w:basedOn w:val="LegalNumPar2"/>
    <w:rPr>
      <w:rFonts w:ascii="Times New Roman" w:eastAsia="Times New Roman" w:hAnsi="Times New Roman" w:cs="Times New Roman"/>
    </w:rPr>
  </w:style>
  <w:style w:type="paragraph" w:customStyle="1" w:styleId="P68B1DB1-Normal61">
    <w:name w:val="P68B1DB1-Normal61"/>
    <w:basedOn w:val="Normal"/>
    <w:rPr>
      <w:rFonts w:ascii="Arial Narrow"/>
      <w:color w:val="006100"/>
      <w:sz w:val="20"/>
      <w:szCs w:val="20"/>
    </w:rPr>
  </w:style>
  <w:style w:type="paragraph" w:customStyle="1" w:styleId="P68B1DB1-LegalNumPar62">
    <w:name w:val="P68B1DB1-LegalNumPar62"/>
    <w:basedOn w:val="LegalNumPar"/>
    <w:rPr>
      <w:rFonts w:ascii="Times New Roman" w:eastAsia="Calibri" w:hAnsi="Times New Roman" w:cs="Times New Roman"/>
    </w:rPr>
  </w:style>
  <w:style w:type="paragraph" w:customStyle="1" w:styleId="P68B1DB1-LegalNumPar263">
    <w:name w:val="P68B1DB1-LegalNumPar263"/>
    <w:basedOn w:val="LegalNumPar2"/>
    <w:rPr>
      <w:rFonts w:ascii="Times New Roman" w:eastAsia="Calibri" w:hAnsi="Times New Roman" w:cs="Times New Roman"/>
    </w:rPr>
  </w:style>
  <w:style w:type="paragraph" w:customStyle="1" w:styleId="P68B1DB1-LegalNumPar264">
    <w:name w:val="P68B1DB1-LegalNumPar264"/>
    <w:basedOn w:val="LegalNumPar2"/>
    <w:rPr>
      <w:rFonts w:ascii="Times New Roman" w:hAnsi="Times New Roman"/>
    </w:rPr>
  </w:style>
  <w:style w:type="paragraph" w:customStyle="1" w:styleId="P68B1DB1-Normal65">
    <w:name w:val="P68B1DB1-Normal65"/>
    <w:basedOn w:val="Normal"/>
    <w:rPr>
      <w:rFonts w:ascii="Times New Roman" w:eastAsia="MS Mincho" w:hAnsi="Times New Roman" w:cs="Times New Roman"/>
    </w:rPr>
  </w:style>
  <w:style w:type="paragraph" w:customStyle="1" w:styleId="P68B1DB1-Normal66">
    <w:name w:val="P68B1DB1-Normal66"/>
    <w:basedOn w:val="Normal"/>
    <w:rPr>
      <w:rFonts w:ascii="Times New Roman" w:eastAsia="Times New Roman" w:hAnsi="Times New Roman" w:cs="Times New Roman"/>
      <w:color w:val="000000" w:themeColor="text1"/>
    </w:rPr>
  </w:style>
  <w:style w:type="paragraph" w:customStyle="1" w:styleId="P68B1DB1-Normal67">
    <w:name w:val="P68B1DB1-Normal67"/>
    <w:basedOn w:val="Normal"/>
    <w:rPr>
      <w:rFonts w:ascii="Arial Narrow" w:eastAsia="Calibri" w:hAnsi="Arial Narrow"/>
      <w:color w:val="006100"/>
      <w:sz w:val="20"/>
      <w:szCs w:val="20"/>
    </w:rPr>
  </w:style>
  <w:style w:type="paragraph" w:customStyle="1" w:styleId="P68B1DB1-Heading368">
    <w:name w:val="P68B1DB1-Heading368"/>
    <w:basedOn w:val="Heading3"/>
    <w:rPr>
      <w:rFonts w:ascii="Times New Roman" w:hAnsi="Times New Roman" w:cs="Times New Roman"/>
      <w:b/>
      <w:sz w:val="24"/>
      <w:szCs w:val="24"/>
      <w:u w:val="single"/>
    </w:rPr>
  </w:style>
  <w:style w:type="paragraph" w:customStyle="1" w:styleId="P68B1DB1-Other1069">
    <w:name w:val="P68B1DB1-Other1069"/>
    <w:basedOn w:val="Other10"/>
    <w:rPr>
      <w:rFonts w:ascii="Arial Narrow" w:hAnsi="Arial Narrow"/>
      <w:sz w:val="20"/>
      <w:szCs w:val="20"/>
    </w:rPr>
  </w:style>
  <w:style w:type="paragraph" w:customStyle="1" w:styleId="P68B1DB1-Normal70">
    <w:name w:val="P68B1DB1-Normal70"/>
    <w:basedOn w:val="Normal"/>
    <w:rPr>
      <w:rFonts w:ascii="Times New Roman" w:hAnsi="Times New Roman" w:cs="Times New Roman"/>
      <w:b/>
      <w:color w:val="000000"/>
      <w:shd w:val="clear" w:color="auto" w:fill="FFFFFF"/>
    </w:rPr>
  </w:style>
  <w:style w:type="paragraph" w:customStyle="1" w:styleId="P68B1DB1-Other1071">
    <w:name w:val="P68B1DB1-Other1071"/>
    <w:basedOn w:val="Other10"/>
    <w:rPr>
      <w:rFonts w:ascii="Arial Narrow" w:hAnsi="Arial Narrow"/>
      <w:sz w:val="20"/>
    </w:rPr>
  </w:style>
  <w:style w:type="paragraph" w:customStyle="1" w:styleId="P68B1DB1-Times1272">
    <w:name w:val="P68B1DB1-Times1272"/>
    <w:basedOn w:val="Times12"/>
    <w:rPr>
      <w:rFonts w:ascii="Times New Roman" w:hAnsi="Times New Roman" w:cs="Times New Roman"/>
      <w:sz w:val="22"/>
      <w:szCs w:val="22"/>
    </w:rPr>
  </w:style>
  <w:style w:type="paragraph" w:customStyle="1" w:styleId="P68B1DB1-Times1273">
    <w:name w:val="P68B1DB1-Times1273"/>
    <w:basedOn w:val="Times12"/>
    <w:rPr>
      <w:sz w:val="22"/>
      <w:szCs w:val="22"/>
    </w:rPr>
  </w:style>
  <w:style w:type="paragraph" w:customStyle="1" w:styleId="P68B1DB1-Times1274">
    <w:name w:val="P68B1DB1-Times1274"/>
    <w:basedOn w:val="Times12"/>
    <w:rPr>
      <w:rFonts w:ascii="Times New Roman" w:hAnsi="Times New Roman" w:cs="Times New Roman"/>
      <w:b/>
      <w:sz w:val="22"/>
      <w:szCs w:val="22"/>
    </w:rPr>
  </w:style>
  <w:style w:type="paragraph" w:customStyle="1" w:styleId="P68B1DB1-Times1275">
    <w:name w:val="P68B1DB1-Times1275"/>
    <w:basedOn w:val="Times12"/>
    <w:rPr>
      <w:rFonts w:ascii="Times New Roman" w:hAnsi="Times New Roman" w:cs="Times New Roman"/>
    </w:rPr>
  </w:style>
  <w:style w:type="paragraph" w:customStyle="1" w:styleId="P68B1DB1-Times1276">
    <w:name w:val="P68B1DB1-Times1276"/>
    <w:basedOn w:val="Times12"/>
    <w:rPr>
      <w:rFonts w:ascii="Times New Roman" w:eastAsia="Times New Roman" w:hAnsi="Times New Roman" w:cs="Times New Roman"/>
      <w:b/>
    </w:rPr>
  </w:style>
  <w:style w:type="paragraph" w:customStyle="1" w:styleId="P68B1DB1-Times1277">
    <w:name w:val="P68B1DB1-Times1277"/>
    <w:basedOn w:val="Times12"/>
    <w:rPr>
      <w:rFonts w:ascii="Times New Roman" w:eastAsia="Times New Roman" w:hAnsi="Times New Roman" w:cs="Times New Roman"/>
    </w:rPr>
  </w:style>
  <w:style w:type="paragraph" w:customStyle="1" w:styleId="P68B1DB1-Paragrafoelenco178">
    <w:name w:val="P68B1DB1-Paragrafoelenco178"/>
    <w:basedOn w:val="Paragrafoelenco1"/>
    <w:rPr>
      <w:color w:val="auto"/>
      <w:sz w:val="22"/>
      <w:szCs w:val="22"/>
    </w:rPr>
  </w:style>
  <w:style w:type="paragraph" w:customStyle="1" w:styleId="P68B1DB1-LegalNumPar79">
    <w:name w:val="P68B1DB1-LegalNumPar79"/>
    <w:basedOn w:val="LegalNumPar"/>
    <w:rPr>
      <w:rFonts w:ascii="Times New Roman" w:hAnsi="Times New Roman" w:cs="Times New Roman"/>
    </w:rPr>
  </w:style>
  <w:style w:type="paragraph" w:customStyle="1" w:styleId="P68B1DB1-LegalNumPar280">
    <w:name w:val="P68B1DB1-LegalNumPar280"/>
    <w:basedOn w:val="LegalNumPar2"/>
    <w:rPr>
      <w:rFonts w:ascii="Times New Roman" w:hAnsi="Times New Roman" w:cs="Times New Roman"/>
    </w:rPr>
  </w:style>
  <w:style w:type="paragraph" w:customStyle="1" w:styleId="P68B1DB1-Normal81">
    <w:name w:val="P68B1DB1-Normal81"/>
    <w:basedOn w:val="Normal"/>
    <w:rPr>
      <w:rFonts w:ascii="Arial Narrow" w:hAnsi="Arial Narrow"/>
      <w:color w:val="006100"/>
      <w:sz w:val="18"/>
      <w:szCs w:val="18"/>
    </w:rPr>
  </w:style>
  <w:style w:type="paragraph" w:customStyle="1" w:styleId="P68B1DB1-ListParagraph82">
    <w:name w:val="P68B1DB1-ListParagraph82"/>
    <w:basedOn w:val="ListParagraph"/>
    <w:rPr>
      <w:rFonts w:ascii="Arial Narrow" w:hAnsi="Arial Narrow"/>
      <w:sz w:val="20"/>
    </w:rPr>
  </w:style>
  <w:style w:type="paragraph" w:customStyle="1" w:styleId="P68B1DB1-Normal83">
    <w:name w:val="P68B1DB1-Normal83"/>
    <w:basedOn w:val="Normal"/>
    <w:rPr>
      <w:color w:val="006100"/>
    </w:rPr>
  </w:style>
  <w:style w:type="paragraph" w:customStyle="1" w:styleId="P68B1DB1-Normal84">
    <w:name w:val="P68B1DB1-Normal84"/>
    <w:basedOn w:val="Normal"/>
    <w:rPr>
      <w:rFonts w:ascii="Arial Narrow" w:eastAsia="Arial Narrow" w:hAnsi="Arial Narrow" w:cs="Arial Narrow"/>
      <w:color w:val="006100"/>
      <w:sz w:val="20"/>
      <w:szCs w:val="20"/>
    </w:rPr>
  </w:style>
  <w:style w:type="paragraph" w:customStyle="1" w:styleId="P68B1DB1-Normal85">
    <w:name w:val="P68B1DB1-Normal85"/>
    <w:basedOn w:val="Normal"/>
    <w:rPr>
      <w:rFonts w:ascii="Arial Narrow" w:eastAsia="Arial Narrow" w:hAnsi="Arial Narrow" w:cs="Arial Narrow"/>
      <w:sz w:val="20"/>
      <w:szCs w:val="20"/>
    </w:rPr>
  </w:style>
  <w:style w:type="paragraph" w:customStyle="1" w:styleId="P68B1DB1-ListParagraph86">
    <w:name w:val="P68B1DB1-ListParagraph86"/>
    <w:basedOn w:val="ListParagraph"/>
    <w:rPr>
      <w:rFonts w:ascii="Arial Narrow" w:hAnsi="Arial Narrow"/>
      <w:color w:val="196B24" w:themeColor="accent3"/>
      <w:sz w:val="20"/>
      <w:szCs w:val="20"/>
    </w:rPr>
  </w:style>
  <w:style w:type="paragraph" w:customStyle="1" w:styleId="P68B1DB1-Normal87">
    <w:name w:val="P68B1DB1-Normal87"/>
    <w:basedOn w:val="Normal"/>
    <w:rPr>
      <w:rFonts w:ascii="Arial Narrow" w:hAnsi="Arial Narrow"/>
      <w:color w:val="196B24" w:themeColor="accent3"/>
      <w:sz w:val="20"/>
      <w:szCs w:val="20"/>
    </w:rPr>
  </w:style>
  <w:style w:type="paragraph" w:customStyle="1" w:styleId="P68B1DB1-Normal88">
    <w:name w:val="P68B1DB1-Normal88"/>
    <w:basedOn w:val="Normal"/>
    <w:rPr>
      <w:rFonts w:ascii="Arial Narrow" w:eastAsia="Arial Narrow" w:hAnsi="Arial Narrow" w:cs="Arial Narrow"/>
      <w:color w:val="196B24" w:themeColor="accent3"/>
      <w:sz w:val="20"/>
      <w:szCs w:val="20"/>
    </w:rPr>
  </w:style>
  <w:style w:type="paragraph" w:customStyle="1" w:styleId="P68B1DB1-paragraph89">
    <w:name w:val="P68B1DB1-paragraph89"/>
    <w:basedOn w:val="paragraph"/>
    <w:rPr>
      <w:rFonts w:ascii="Arial Narrow" w:hAnsi="Arial Narrow"/>
      <w:color w:val="006100"/>
      <w:sz w:val="20"/>
    </w:rPr>
  </w:style>
  <w:style w:type="paragraph" w:customStyle="1" w:styleId="P68B1DB1-Normal90">
    <w:name w:val="P68B1DB1-Normal90"/>
    <w:basedOn w:val="Normal"/>
    <w:rPr>
      <w:rFonts w:ascii="Arial Narrow" w:hAnsi="Arial Narrow"/>
      <w:color w:val="006100"/>
    </w:rPr>
  </w:style>
  <w:style w:type="paragraph" w:customStyle="1" w:styleId="P68B1DB1-Heading291">
    <w:name w:val="P68B1DB1-Heading291"/>
    <w:basedOn w:val="Heading2"/>
    <w:rPr>
      <w:sz w:val="24"/>
      <w:szCs w:val="24"/>
    </w:rPr>
  </w:style>
  <w:style w:type="paragraph" w:customStyle="1" w:styleId="P68B1DB1-LegalNumPar392">
    <w:name w:val="P68B1DB1-LegalNumPar392"/>
    <w:basedOn w:val="LegalNumPar3"/>
    <w:rPr>
      <w:rFonts w:ascii="Times New Roman" w:hAnsi="Times New Roman" w:cs="Times New Roman"/>
    </w:rPr>
  </w:style>
  <w:style w:type="paragraph" w:customStyle="1" w:styleId="P68B1DB1-Normal93">
    <w:name w:val="P68B1DB1-Normal93"/>
    <w:basedOn w:val="Normal"/>
    <w:rPr>
      <w:rFonts w:ascii="Arial Narrow" w:hAnsi="Arial Narrow"/>
      <w:b/>
      <w:sz w:val="20"/>
      <w:szCs w:val="20"/>
    </w:rPr>
  </w:style>
  <w:style w:type="paragraph" w:customStyle="1" w:styleId="P68B1DB1-Normal94">
    <w:name w:val="P68B1DB1-Normal94"/>
    <w:basedOn w:val="Normal"/>
    <w:rPr>
      <w:rFonts w:ascii="Arial Narrow" w:hAnsi="Arial Narrow" w:hint="eastAsia"/>
      <w:color w:val="006100"/>
      <w:sz w:val="20"/>
      <w:szCs w:val="20"/>
    </w:rPr>
  </w:style>
  <w:style w:type="paragraph" w:customStyle="1" w:styleId="P68B1DB1-paragraph95">
    <w:name w:val="P68B1DB1-paragraph95"/>
    <w:basedOn w:val="paragraph"/>
    <w:rPr>
      <w:rFonts w:ascii="Arial Narrow" w:eastAsiaTheme="minorHAnsi" w:hAnsi="Arial Narrow" w:cstheme="minorBidi"/>
      <w:color w:val="006100"/>
      <w:kern w:val="2"/>
      <w:sz w:val="20"/>
      <w:szCs w:val="20"/>
    </w:rPr>
  </w:style>
  <w:style w:type="paragraph" w:customStyle="1" w:styleId="P68B1DB1-Normal96">
    <w:name w:val="P68B1DB1-Normal96"/>
    <w:basedOn w:val="Normal"/>
    <w:rPr>
      <w:rFonts w:ascii="Times New Roman" w:hAnsi="Times New Roman" w:cs="Times New Roman" w:hint="eastAsia"/>
    </w:rPr>
  </w:style>
  <w:style w:type="paragraph" w:customStyle="1" w:styleId="P68B1DB1-Heading397">
    <w:name w:val="P68B1DB1-Heading397"/>
    <w:basedOn w:val="Heading3"/>
    <w:rPr>
      <w:rFonts w:ascii="Times New Roman" w:hAnsi="Times New Roman" w:cs="Times New Roman" w:hint="eastAsia"/>
      <w:b/>
      <w:sz w:val="24"/>
      <w:szCs w:val="24"/>
      <w:u w:val="single"/>
    </w:rPr>
  </w:style>
  <w:style w:type="paragraph" w:customStyle="1" w:styleId="P68B1DB1-paragraph98">
    <w:name w:val="P68B1DB1-paragraph98"/>
    <w:basedOn w:val="paragraph"/>
    <w:rPr>
      <w:rFonts w:ascii="Arial Narrow" w:hAnsi="Arial Narrow"/>
      <w:color w:val="006100"/>
      <w:sz w:val="20"/>
      <w:szCs w:val="20"/>
    </w:rPr>
  </w:style>
  <w:style w:type="paragraph" w:customStyle="1" w:styleId="P68B1DB1-Normal99">
    <w:name w:val="P68B1DB1-Normal99"/>
    <w:basedOn w:val="Normal"/>
    <w:rPr>
      <w:rFonts w:ascii="Times New Roman" w:hAnsi="Times New Roman" w:cs="Times New Roman"/>
      <w:b/>
      <w:color w:val="000000" w:themeColor="text1"/>
    </w:rPr>
  </w:style>
  <w:style w:type="paragraph" w:customStyle="1" w:styleId="P68B1DB1-ListParagraph100">
    <w:name w:val="P68B1DB1-ListParagraph100"/>
    <w:basedOn w:val="ListParagraph"/>
    <w:rPr>
      <w:rFonts w:ascii="Times New Roman" w:eastAsiaTheme="minorEastAsia" w:hAnsi="Times New Roman" w:cs="Times New Roman"/>
    </w:rPr>
  </w:style>
  <w:style w:type="paragraph" w:customStyle="1" w:styleId="P68B1DB1-Normal101">
    <w:name w:val="P68B1DB1-Normal101"/>
    <w:basedOn w:val="Normal"/>
    <w:rPr>
      <w:rFonts w:ascii="Times New Roman" w:hAnsi="Times New Roman" w:cs="Times New Roman"/>
      <w:u w:val="single"/>
    </w:rPr>
  </w:style>
  <w:style w:type="paragraph" w:customStyle="1" w:styleId="P68B1DB1-Normal102">
    <w:name w:val="P68B1DB1-Normal102"/>
    <w:basedOn w:val="Normal"/>
    <w:rPr>
      <w:rFonts w:ascii="Arial Narrow" w:hAnsi="Arial Narrow"/>
      <w:b/>
      <w:color w:val="000000"/>
      <w:sz w:val="20"/>
    </w:rPr>
  </w:style>
  <w:style w:type="paragraph" w:customStyle="1" w:styleId="P68B1DB1-Normal103">
    <w:name w:val="P68B1DB1-Normal103"/>
    <w:basedOn w:val="Normal"/>
    <w:rPr>
      <w:rFonts w:ascii="Arial Narrow" w:hAnsi="Arial Narrow"/>
      <w:color w:val="006600"/>
      <w:sz w:val="20"/>
    </w:rPr>
  </w:style>
  <w:style w:type="paragraph" w:customStyle="1" w:styleId="P68B1DB1-Normal104">
    <w:name w:val="P68B1DB1-Normal104"/>
    <w:basedOn w:val="Normal"/>
    <w:rPr>
      <w:rFonts w:ascii="Arial Narrow" w:hAnsi="Arial Narrow"/>
      <w:color w:val="006600"/>
      <w:sz w:val="20"/>
      <w:szCs w:val="20"/>
    </w:rPr>
  </w:style>
  <w:style w:type="paragraph" w:customStyle="1" w:styleId="P68B1DB1-paragraph105">
    <w:name w:val="P68B1DB1-paragraph105"/>
    <w:basedOn w:val="paragraph"/>
    <w:rPr>
      <w:sz w:val="22"/>
      <w:szCs w:val="22"/>
    </w:rPr>
  </w:style>
  <w:style w:type="paragraph" w:customStyle="1" w:styleId="P68B1DB1-Text1106">
    <w:name w:val="P68B1DB1-Text1106"/>
    <w:basedOn w:val="Text1"/>
    <w:rPr>
      <w:color w:val="000000" w:themeColor="text1"/>
      <w:sz w:val="22"/>
      <w:szCs w:val="22"/>
    </w:rPr>
  </w:style>
  <w:style w:type="paragraph" w:customStyle="1" w:styleId="P68B1DB1-Heading4107">
    <w:name w:val="P68B1DB1-Heading4107"/>
    <w:basedOn w:val="Heading4"/>
    <w:rPr>
      <w:rFonts w:ascii="Times New Roman" w:hAnsi="Times New Roman" w:cs="Times New Roman"/>
      <w:b/>
      <w:i w:val="0"/>
      <w:color w:val="000000" w:themeColor="text1"/>
    </w:rPr>
  </w:style>
  <w:style w:type="paragraph" w:customStyle="1" w:styleId="P68B1DB1-Heading4108">
    <w:name w:val="P68B1DB1-Heading4108"/>
    <w:basedOn w:val="Heading4"/>
    <w:rPr>
      <w:rFonts w:ascii="Times New Roman" w:hAnsi="Times New Roman" w:cs="Times New Roman"/>
      <w:b/>
      <w:i w:val="0"/>
      <w:color w:val="auto"/>
    </w:rPr>
  </w:style>
  <w:style w:type="paragraph" w:customStyle="1" w:styleId="P68B1DB1-Heading4109">
    <w:name w:val="P68B1DB1-Heading4109"/>
    <w:basedOn w:val="Heading4"/>
    <w:rPr>
      <w:rFonts w:ascii="Times New Roman" w:hAnsi="Times New Roman" w:cs="Times New Roman"/>
    </w:rPr>
  </w:style>
  <w:style w:type="paragraph" w:customStyle="1" w:styleId="P68B1DB1-Heading4110">
    <w:name w:val="P68B1DB1-Heading4110"/>
    <w:basedOn w:val="Heading4"/>
    <w:rPr>
      <w:rFonts w:ascii="Times New Roman" w:hAnsi="Times New Roman" w:cs="Times New Roman"/>
      <w:b/>
      <w:i w:val="0"/>
      <w:iCs w:val="0"/>
      <w:color w:val="000000" w:themeColor="text1"/>
    </w:rPr>
  </w:style>
  <w:style w:type="paragraph" w:customStyle="1" w:styleId="P68B1DB1-ListParagraph111">
    <w:name w:val="P68B1DB1-ListParagraph111"/>
    <w:basedOn w:val="ListParagraph"/>
    <w:rPr>
      <w:rFonts w:ascii="Arial Narrow" w:eastAsiaTheme="minorEastAsia" w:hAnsi="Arial Narrow"/>
      <w:color w:val="006100"/>
      <w:sz w:val="20"/>
    </w:rPr>
  </w:style>
  <w:style w:type="paragraph" w:customStyle="1" w:styleId="P68B1DB1-LegalNumPar112">
    <w:name w:val="P68B1DB1-LegalNumPar112"/>
    <w:basedOn w:val="LegalNumPar"/>
    <w:rPr>
      <w:rFonts w:ascii="Times New Roman" w:hAnsi="Times New Roman"/>
    </w:rPr>
  </w:style>
  <w:style w:type="paragraph" w:customStyle="1" w:styleId="P68B1DB1-Normal113">
    <w:name w:val="P68B1DB1-Normal113"/>
    <w:basedOn w:val="Normal"/>
    <w:rPr>
      <w:sz w:val="20"/>
    </w:rPr>
  </w:style>
  <w:style w:type="paragraph" w:customStyle="1" w:styleId="P68B1DB1-Normal114">
    <w:name w:val="P68B1DB1-Normal114"/>
    <w:basedOn w:val="Normal"/>
    <w:rPr>
      <w:rFonts w:ascii="Arial Narrow" w:hAnsi="Arial"/>
      <w:color w:val="006100"/>
      <w:sz w:val="20"/>
      <w:szCs w:val="20"/>
    </w:rPr>
  </w:style>
  <w:style w:type="paragraph" w:customStyle="1" w:styleId="P68B1DB1-ListParagraph115">
    <w:name w:val="P68B1DB1-ListParagraph115"/>
    <w:basedOn w:val="ListParagraph"/>
    <w:rPr>
      <w:rFonts w:ascii="Times New Roman" w:hAnsi="Times New Roman" w:cs="Times New Roman"/>
      <w:b/>
      <w:smallCaps/>
    </w:rPr>
  </w:style>
  <w:style w:type="paragraph" w:customStyle="1" w:styleId="P68B1DB1-Normal116">
    <w:name w:val="P68B1DB1-Normal116"/>
    <w:basedOn w:val="Normal"/>
    <w:rPr>
      <w:rFonts w:ascii="Times New Roman" w:eastAsia="Times New Roman" w:hAnsi="Times New Roman" w:cs="Times New Roman"/>
      <w:sz w:val="23"/>
      <w:szCs w:val="23"/>
    </w:rPr>
  </w:style>
  <w:style w:type="paragraph" w:customStyle="1" w:styleId="P68B1DB1-Heading2117">
    <w:name w:val="P68B1DB1-Heading2117"/>
    <w:basedOn w:val="Heading2"/>
    <w:rPr>
      <w:rFonts w:ascii="Times New Roman" w:hAnsi="Times New Roman" w:cs="Times New Roman"/>
      <w:b/>
      <w:color w:val="auto"/>
      <w:sz w:val="24"/>
      <w:szCs w:val="24"/>
    </w:rPr>
  </w:style>
  <w:style w:type="paragraph" w:customStyle="1" w:styleId="P68B1DB1-Heading3118">
    <w:name w:val="P68B1DB1-Heading3118"/>
    <w:basedOn w:val="Heading3"/>
    <w:rPr>
      <w:rFonts w:ascii="Times New Roman" w:hAnsi="Times New Roman" w:cs="Times New Roman"/>
      <w:b/>
      <w:color w:val="auto"/>
      <w:sz w:val="24"/>
      <w:szCs w:val="24"/>
    </w:rPr>
  </w:style>
  <w:style w:type="paragraph" w:customStyle="1" w:styleId="P68B1DB1-Heading4119">
    <w:name w:val="P68B1DB1-Heading4119"/>
    <w:basedOn w:val="Heading4"/>
    <w:rPr>
      <w:rFonts w:ascii="Times New Roman" w:hAnsi="Times New Roman" w:cs="Times New Roman"/>
      <w:i w:val="0"/>
      <w:iCs w:val="0"/>
      <w:color w:val="auto"/>
    </w:rPr>
  </w:style>
  <w:style w:type="paragraph" w:customStyle="1" w:styleId="P68B1DB1-Normal120">
    <w:name w:val="P68B1DB1-Normal120"/>
    <w:basedOn w:val="Normal"/>
    <w:rPr>
      <w:rFonts w:ascii="Times New Roman" w:eastAsia="Times New Roman" w:hAnsi="Times New Roman" w:cs="Times New Roman"/>
      <w:b/>
      <w:color w:val="000000"/>
      <w:sz w:val="20"/>
      <w:szCs w:val="20"/>
    </w:rPr>
  </w:style>
  <w:style w:type="paragraph" w:customStyle="1" w:styleId="P68B1DB1-Normal121">
    <w:name w:val="P68B1DB1-Normal121"/>
    <w:basedOn w:val="Normal"/>
    <w:rPr>
      <w:rFonts w:ascii="Times New Roman" w:eastAsia="Times New Roman" w:hAnsi="Times New Roman" w:cs="Times New Roman"/>
      <w:color w:val="006100"/>
      <w:sz w:val="20"/>
      <w:szCs w:val="20"/>
    </w:rPr>
  </w:style>
  <w:style w:type="paragraph" w:customStyle="1" w:styleId="P68B1DB1-Normal122">
    <w:name w:val="P68B1DB1-Normal122"/>
    <w:basedOn w:val="Normal"/>
    <w:rPr>
      <w:rFonts w:ascii="Times New Roman" w:eastAsia="Times New Roman" w:hAnsi="Times New Roman" w:cs="Times New Roman"/>
      <w:sz w:val="20"/>
      <w:szCs w:val="20"/>
    </w:rPr>
  </w:style>
  <w:style w:type="paragraph" w:customStyle="1" w:styleId="P68B1DB1-Normal123">
    <w:name w:val="P68B1DB1-Normal123"/>
    <w:basedOn w:val="Normal"/>
    <w:rPr>
      <w:rFonts w:ascii="Times New Roman" w:eastAsia="Times New Roman" w:hAnsi="Times New Roman" w:cs="Times New Roman"/>
      <w:color w:val="006600"/>
      <w:sz w:val="20"/>
      <w:szCs w:val="20"/>
    </w:rPr>
  </w:style>
  <w:style w:type="paragraph" w:customStyle="1" w:styleId="P68B1DB1-Normal124">
    <w:name w:val="P68B1DB1-Normal124"/>
    <w:basedOn w:val="Normal"/>
    <w:rPr>
      <w:rFonts w:ascii="Times New Roman" w:hAnsi="Arial Narrow"/>
      <w:color w:val="006100"/>
      <w:sz w:val="20"/>
      <w:szCs w:val="20"/>
    </w:rPr>
  </w:style>
  <w:style w:type="paragraph" w:customStyle="1" w:styleId="P68B1DB1-Normal125">
    <w:name w:val="P68B1DB1-Normal125"/>
    <w:basedOn w:val="Normal"/>
    <w:rPr>
      <w:rFonts w:ascii="Times New Roman" w:eastAsia="Calibri" w:hAnsi="Times New Roman" w:cs="Times New Roman"/>
      <w:b/>
    </w:rPr>
  </w:style>
  <w:style w:type="paragraph" w:customStyle="1" w:styleId="P68B1DB1-Normal126">
    <w:name w:val="P68B1DB1-Normal126"/>
    <w:basedOn w:val="Normal"/>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446">
      <w:bodyDiv w:val="1"/>
      <w:marLeft w:val="0"/>
      <w:marRight w:val="0"/>
      <w:marTop w:val="0"/>
      <w:marBottom w:val="0"/>
      <w:divBdr>
        <w:top w:val="none" w:sz="0" w:space="0" w:color="auto"/>
        <w:left w:val="none" w:sz="0" w:space="0" w:color="auto"/>
        <w:bottom w:val="none" w:sz="0" w:space="0" w:color="auto"/>
        <w:right w:val="none" w:sz="0" w:space="0" w:color="auto"/>
      </w:divBdr>
      <w:divsChild>
        <w:div w:id="925920791">
          <w:marLeft w:val="0"/>
          <w:marRight w:val="0"/>
          <w:marTop w:val="0"/>
          <w:marBottom w:val="0"/>
          <w:divBdr>
            <w:top w:val="none" w:sz="0" w:space="0" w:color="auto"/>
            <w:left w:val="none" w:sz="0" w:space="0" w:color="auto"/>
            <w:bottom w:val="none" w:sz="0" w:space="0" w:color="auto"/>
            <w:right w:val="none" w:sz="0" w:space="0" w:color="auto"/>
          </w:divBdr>
        </w:div>
        <w:div w:id="1093087414">
          <w:marLeft w:val="0"/>
          <w:marRight w:val="0"/>
          <w:marTop w:val="0"/>
          <w:marBottom w:val="0"/>
          <w:divBdr>
            <w:top w:val="none" w:sz="0" w:space="0" w:color="auto"/>
            <w:left w:val="none" w:sz="0" w:space="0" w:color="auto"/>
            <w:bottom w:val="none" w:sz="0" w:space="0" w:color="auto"/>
            <w:right w:val="none" w:sz="0" w:space="0" w:color="auto"/>
          </w:divBdr>
        </w:div>
        <w:div w:id="2034458499">
          <w:marLeft w:val="0"/>
          <w:marRight w:val="0"/>
          <w:marTop w:val="0"/>
          <w:marBottom w:val="0"/>
          <w:divBdr>
            <w:top w:val="none" w:sz="0" w:space="0" w:color="auto"/>
            <w:left w:val="none" w:sz="0" w:space="0" w:color="auto"/>
            <w:bottom w:val="none" w:sz="0" w:space="0" w:color="auto"/>
            <w:right w:val="none" w:sz="0" w:space="0" w:color="auto"/>
          </w:divBdr>
          <w:divsChild>
            <w:div w:id="633566753">
              <w:marLeft w:val="-75"/>
              <w:marRight w:val="0"/>
              <w:marTop w:val="30"/>
              <w:marBottom w:val="30"/>
              <w:divBdr>
                <w:top w:val="none" w:sz="0" w:space="0" w:color="auto"/>
                <w:left w:val="none" w:sz="0" w:space="0" w:color="auto"/>
                <w:bottom w:val="none" w:sz="0" w:space="0" w:color="auto"/>
                <w:right w:val="none" w:sz="0" w:space="0" w:color="auto"/>
              </w:divBdr>
              <w:divsChild>
                <w:div w:id="4673684">
                  <w:marLeft w:val="0"/>
                  <w:marRight w:val="0"/>
                  <w:marTop w:val="0"/>
                  <w:marBottom w:val="0"/>
                  <w:divBdr>
                    <w:top w:val="none" w:sz="0" w:space="0" w:color="auto"/>
                    <w:left w:val="none" w:sz="0" w:space="0" w:color="auto"/>
                    <w:bottom w:val="none" w:sz="0" w:space="0" w:color="auto"/>
                    <w:right w:val="none" w:sz="0" w:space="0" w:color="auto"/>
                  </w:divBdr>
                  <w:divsChild>
                    <w:div w:id="1957131879">
                      <w:marLeft w:val="0"/>
                      <w:marRight w:val="0"/>
                      <w:marTop w:val="0"/>
                      <w:marBottom w:val="0"/>
                      <w:divBdr>
                        <w:top w:val="none" w:sz="0" w:space="0" w:color="auto"/>
                        <w:left w:val="none" w:sz="0" w:space="0" w:color="auto"/>
                        <w:bottom w:val="none" w:sz="0" w:space="0" w:color="auto"/>
                        <w:right w:val="none" w:sz="0" w:space="0" w:color="auto"/>
                      </w:divBdr>
                    </w:div>
                  </w:divsChild>
                </w:div>
                <w:div w:id="5641446">
                  <w:marLeft w:val="0"/>
                  <w:marRight w:val="0"/>
                  <w:marTop w:val="0"/>
                  <w:marBottom w:val="0"/>
                  <w:divBdr>
                    <w:top w:val="none" w:sz="0" w:space="0" w:color="auto"/>
                    <w:left w:val="none" w:sz="0" w:space="0" w:color="auto"/>
                    <w:bottom w:val="none" w:sz="0" w:space="0" w:color="auto"/>
                    <w:right w:val="none" w:sz="0" w:space="0" w:color="auto"/>
                  </w:divBdr>
                  <w:divsChild>
                    <w:div w:id="846215786">
                      <w:marLeft w:val="0"/>
                      <w:marRight w:val="0"/>
                      <w:marTop w:val="0"/>
                      <w:marBottom w:val="0"/>
                      <w:divBdr>
                        <w:top w:val="none" w:sz="0" w:space="0" w:color="auto"/>
                        <w:left w:val="none" w:sz="0" w:space="0" w:color="auto"/>
                        <w:bottom w:val="none" w:sz="0" w:space="0" w:color="auto"/>
                        <w:right w:val="none" w:sz="0" w:space="0" w:color="auto"/>
                      </w:divBdr>
                    </w:div>
                  </w:divsChild>
                </w:div>
                <w:div w:id="8677606">
                  <w:marLeft w:val="0"/>
                  <w:marRight w:val="0"/>
                  <w:marTop w:val="0"/>
                  <w:marBottom w:val="0"/>
                  <w:divBdr>
                    <w:top w:val="none" w:sz="0" w:space="0" w:color="auto"/>
                    <w:left w:val="none" w:sz="0" w:space="0" w:color="auto"/>
                    <w:bottom w:val="none" w:sz="0" w:space="0" w:color="auto"/>
                    <w:right w:val="none" w:sz="0" w:space="0" w:color="auto"/>
                  </w:divBdr>
                  <w:divsChild>
                    <w:div w:id="238951052">
                      <w:marLeft w:val="0"/>
                      <w:marRight w:val="0"/>
                      <w:marTop w:val="0"/>
                      <w:marBottom w:val="0"/>
                      <w:divBdr>
                        <w:top w:val="none" w:sz="0" w:space="0" w:color="auto"/>
                        <w:left w:val="none" w:sz="0" w:space="0" w:color="auto"/>
                        <w:bottom w:val="none" w:sz="0" w:space="0" w:color="auto"/>
                        <w:right w:val="none" w:sz="0" w:space="0" w:color="auto"/>
                      </w:divBdr>
                    </w:div>
                  </w:divsChild>
                </w:div>
                <w:div w:id="18744407">
                  <w:marLeft w:val="0"/>
                  <w:marRight w:val="0"/>
                  <w:marTop w:val="0"/>
                  <w:marBottom w:val="0"/>
                  <w:divBdr>
                    <w:top w:val="none" w:sz="0" w:space="0" w:color="auto"/>
                    <w:left w:val="none" w:sz="0" w:space="0" w:color="auto"/>
                    <w:bottom w:val="none" w:sz="0" w:space="0" w:color="auto"/>
                    <w:right w:val="none" w:sz="0" w:space="0" w:color="auto"/>
                  </w:divBdr>
                  <w:divsChild>
                    <w:div w:id="118573161">
                      <w:marLeft w:val="0"/>
                      <w:marRight w:val="0"/>
                      <w:marTop w:val="0"/>
                      <w:marBottom w:val="0"/>
                      <w:divBdr>
                        <w:top w:val="none" w:sz="0" w:space="0" w:color="auto"/>
                        <w:left w:val="none" w:sz="0" w:space="0" w:color="auto"/>
                        <w:bottom w:val="none" w:sz="0" w:space="0" w:color="auto"/>
                        <w:right w:val="none" w:sz="0" w:space="0" w:color="auto"/>
                      </w:divBdr>
                    </w:div>
                  </w:divsChild>
                </w:div>
                <w:div w:id="22099228">
                  <w:marLeft w:val="0"/>
                  <w:marRight w:val="0"/>
                  <w:marTop w:val="0"/>
                  <w:marBottom w:val="0"/>
                  <w:divBdr>
                    <w:top w:val="none" w:sz="0" w:space="0" w:color="auto"/>
                    <w:left w:val="none" w:sz="0" w:space="0" w:color="auto"/>
                    <w:bottom w:val="none" w:sz="0" w:space="0" w:color="auto"/>
                    <w:right w:val="none" w:sz="0" w:space="0" w:color="auto"/>
                  </w:divBdr>
                  <w:divsChild>
                    <w:div w:id="1773356721">
                      <w:marLeft w:val="0"/>
                      <w:marRight w:val="0"/>
                      <w:marTop w:val="0"/>
                      <w:marBottom w:val="0"/>
                      <w:divBdr>
                        <w:top w:val="none" w:sz="0" w:space="0" w:color="auto"/>
                        <w:left w:val="none" w:sz="0" w:space="0" w:color="auto"/>
                        <w:bottom w:val="none" w:sz="0" w:space="0" w:color="auto"/>
                        <w:right w:val="none" w:sz="0" w:space="0" w:color="auto"/>
                      </w:divBdr>
                    </w:div>
                  </w:divsChild>
                </w:div>
                <w:div w:id="23942954">
                  <w:marLeft w:val="0"/>
                  <w:marRight w:val="0"/>
                  <w:marTop w:val="0"/>
                  <w:marBottom w:val="0"/>
                  <w:divBdr>
                    <w:top w:val="none" w:sz="0" w:space="0" w:color="auto"/>
                    <w:left w:val="none" w:sz="0" w:space="0" w:color="auto"/>
                    <w:bottom w:val="none" w:sz="0" w:space="0" w:color="auto"/>
                    <w:right w:val="none" w:sz="0" w:space="0" w:color="auto"/>
                  </w:divBdr>
                  <w:divsChild>
                    <w:div w:id="138116385">
                      <w:marLeft w:val="0"/>
                      <w:marRight w:val="0"/>
                      <w:marTop w:val="0"/>
                      <w:marBottom w:val="0"/>
                      <w:divBdr>
                        <w:top w:val="none" w:sz="0" w:space="0" w:color="auto"/>
                        <w:left w:val="none" w:sz="0" w:space="0" w:color="auto"/>
                        <w:bottom w:val="none" w:sz="0" w:space="0" w:color="auto"/>
                        <w:right w:val="none" w:sz="0" w:space="0" w:color="auto"/>
                      </w:divBdr>
                    </w:div>
                  </w:divsChild>
                </w:div>
                <w:div w:id="28460580">
                  <w:marLeft w:val="0"/>
                  <w:marRight w:val="0"/>
                  <w:marTop w:val="0"/>
                  <w:marBottom w:val="0"/>
                  <w:divBdr>
                    <w:top w:val="none" w:sz="0" w:space="0" w:color="auto"/>
                    <w:left w:val="none" w:sz="0" w:space="0" w:color="auto"/>
                    <w:bottom w:val="none" w:sz="0" w:space="0" w:color="auto"/>
                    <w:right w:val="none" w:sz="0" w:space="0" w:color="auto"/>
                  </w:divBdr>
                  <w:divsChild>
                    <w:div w:id="1500729867">
                      <w:marLeft w:val="0"/>
                      <w:marRight w:val="0"/>
                      <w:marTop w:val="0"/>
                      <w:marBottom w:val="0"/>
                      <w:divBdr>
                        <w:top w:val="none" w:sz="0" w:space="0" w:color="auto"/>
                        <w:left w:val="none" w:sz="0" w:space="0" w:color="auto"/>
                        <w:bottom w:val="none" w:sz="0" w:space="0" w:color="auto"/>
                        <w:right w:val="none" w:sz="0" w:space="0" w:color="auto"/>
                      </w:divBdr>
                    </w:div>
                  </w:divsChild>
                </w:div>
                <w:div w:id="31227380">
                  <w:marLeft w:val="0"/>
                  <w:marRight w:val="0"/>
                  <w:marTop w:val="0"/>
                  <w:marBottom w:val="0"/>
                  <w:divBdr>
                    <w:top w:val="none" w:sz="0" w:space="0" w:color="auto"/>
                    <w:left w:val="none" w:sz="0" w:space="0" w:color="auto"/>
                    <w:bottom w:val="none" w:sz="0" w:space="0" w:color="auto"/>
                    <w:right w:val="none" w:sz="0" w:space="0" w:color="auto"/>
                  </w:divBdr>
                  <w:divsChild>
                    <w:div w:id="234702579">
                      <w:marLeft w:val="0"/>
                      <w:marRight w:val="0"/>
                      <w:marTop w:val="0"/>
                      <w:marBottom w:val="0"/>
                      <w:divBdr>
                        <w:top w:val="none" w:sz="0" w:space="0" w:color="auto"/>
                        <w:left w:val="none" w:sz="0" w:space="0" w:color="auto"/>
                        <w:bottom w:val="none" w:sz="0" w:space="0" w:color="auto"/>
                        <w:right w:val="none" w:sz="0" w:space="0" w:color="auto"/>
                      </w:divBdr>
                    </w:div>
                    <w:div w:id="262618687">
                      <w:marLeft w:val="0"/>
                      <w:marRight w:val="0"/>
                      <w:marTop w:val="0"/>
                      <w:marBottom w:val="0"/>
                      <w:divBdr>
                        <w:top w:val="none" w:sz="0" w:space="0" w:color="auto"/>
                        <w:left w:val="none" w:sz="0" w:space="0" w:color="auto"/>
                        <w:bottom w:val="none" w:sz="0" w:space="0" w:color="auto"/>
                        <w:right w:val="none" w:sz="0" w:space="0" w:color="auto"/>
                      </w:divBdr>
                    </w:div>
                    <w:div w:id="294599594">
                      <w:marLeft w:val="0"/>
                      <w:marRight w:val="0"/>
                      <w:marTop w:val="0"/>
                      <w:marBottom w:val="0"/>
                      <w:divBdr>
                        <w:top w:val="none" w:sz="0" w:space="0" w:color="auto"/>
                        <w:left w:val="none" w:sz="0" w:space="0" w:color="auto"/>
                        <w:bottom w:val="none" w:sz="0" w:space="0" w:color="auto"/>
                        <w:right w:val="none" w:sz="0" w:space="0" w:color="auto"/>
                      </w:divBdr>
                    </w:div>
                    <w:div w:id="342246322">
                      <w:marLeft w:val="0"/>
                      <w:marRight w:val="0"/>
                      <w:marTop w:val="0"/>
                      <w:marBottom w:val="0"/>
                      <w:divBdr>
                        <w:top w:val="none" w:sz="0" w:space="0" w:color="auto"/>
                        <w:left w:val="none" w:sz="0" w:space="0" w:color="auto"/>
                        <w:bottom w:val="none" w:sz="0" w:space="0" w:color="auto"/>
                        <w:right w:val="none" w:sz="0" w:space="0" w:color="auto"/>
                      </w:divBdr>
                    </w:div>
                    <w:div w:id="365981996">
                      <w:marLeft w:val="0"/>
                      <w:marRight w:val="0"/>
                      <w:marTop w:val="0"/>
                      <w:marBottom w:val="0"/>
                      <w:divBdr>
                        <w:top w:val="none" w:sz="0" w:space="0" w:color="auto"/>
                        <w:left w:val="none" w:sz="0" w:space="0" w:color="auto"/>
                        <w:bottom w:val="none" w:sz="0" w:space="0" w:color="auto"/>
                        <w:right w:val="none" w:sz="0" w:space="0" w:color="auto"/>
                      </w:divBdr>
                    </w:div>
                    <w:div w:id="488137147">
                      <w:marLeft w:val="0"/>
                      <w:marRight w:val="0"/>
                      <w:marTop w:val="0"/>
                      <w:marBottom w:val="0"/>
                      <w:divBdr>
                        <w:top w:val="none" w:sz="0" w:space="0" w:color="auto"/>
                        <w:left w:val="none" w:sz="0" w:space="0" w:color="auto"/>
                        <w:bottom w:val="none" w:sz="0" w:space="0" w:color="auto"/>
                        <w:right w:val="none" w:sz="0" w:space="0" w:color="auto"/>
                      </w:divBdr>
                    </w:div>
                    <w:div w:id="709183806">
                      <w:marLeft w:val="0"/>
                      <w:marRight w:val="0"/>
                      <w:marTop w:val="0"/>
                      <w:marBottom w:val="0"/>
                      <w:divBdr>
                        <w:top w:val="none" w:sz="0" w:space="0" w:color="auto"/>
                        <w:left w:val="none" w:sz="0" w:space="0" w:color="auto"/>
                        <w:bottom w:val="none" w:sz="0" w:space="0" w:color="auto"/>
                        <w:right w:val="none" w:sz="0" w:space="0" w:color="auto"/>
                      </w:divBdr>
                    </w:div>
                    <w:div w:id="783890280">
                      <w:marLeft w:val="0"/>
                      <w:marRight w:val="0"/>
                      <w:marTop w:val="0"/>
                      <w:marBottom w:val="0"/>
                      <w:divBdr>
                        <w:top w:val="none" w:sz="0" w:space="0" w:color="auto"/>
                        <w:left w:val="none" w:sz="0" w:space="0" w:color="auto"/>
                        <w:bottom w:val="none" w:sz="0" w:space="0" w:color="auto"/>
                        <w:right w:val="none" w:sz="0" w:space="0" w:color="auto"/>
                      </w:divBdr>
                    </w:div>
                    <w:div w:id="966352569">
                      <w:marLeft w:val="0"/>
                      <w:marRight w:val="0"/>
                      <w:marTop w:val="0"/>
                      <w:marBottom w:val="0"/>
                      <w:divBdr>
                        <w:top w:val="none" w:sz="0" w:space="0" w:color="auto"/>
                        <w:left w:val="none" w:sz="0" w:space="0" w:color="auto"/>
                        <w:bottom w:val="none" w:sz="0" w:space="0" w:color="auto"/>
                        <w:right w:val="none" w:sz="0" w:space="0" w:color="auto"/>
                      </w:divBdr>
                    </w:div>
                    <w:div w:id="1096905088">
                      <w:marLeft w:val="0"/>
                      <w:marRight w:val="0"/>
                      <w:marTop w:val="0"/>
                      <w:marBottom w:val="0"/>
                      <w:divBdr>
                        <w:top w:val="none" w:sz="0" w:space="0" w:color="auto"/>
                        <w:left w:val="none" w:sz="0" w:space="0" w:color="auto"/>
                        <w:bottom w:val="none" w:sz="0" w:space="0" w:color="auto"/>
                        <w:right w:val="none" w:sz="0" w:space="0" w:color="auto"/>
                      </w:divBdr>
                    </w:div>
                    <w:div w:id="2125997701">
                      <w:marLeft w:val="0"/>
                      <w:marRight w:val="0"/>
                      <w:marTop w:val="0"/>
                      <w:marBottom w:val="0"/>
                      <w:divBdr>
                        <w:top w:val="none" w:sz="0" w:space="0" w:color="auto"/>
                        <w:left w:val="none" w:sz="0" w:space="0" w:color="auto"/>
                        <w:bottom w:val="none" w:sz="0" w:space="0" w:color="auto"/>
                        <w:right w:val="none" w:sz="0" w:space="0" w:color="auto"/>
                      </w:divBdr>
                    </w:div>
                  </w:divsChild>
                </w:div>
                <w:div w:id="33239163">
                  <w:marLeft w:val="0"/>
                  <w:marRight w:val="0"/>
                  <w:marTop w:val="0"/>
                  <w:marBottom w:val="0"/>
                  <w:divBdr>
                    <w:top w:val="none" w:sz="0" w:space="0" w:color="auto"/>
                    <w:left w:val="none" w:sz="0" w:space="0" w:color="auto"/>
                    <w:bottom w:val="none" w:sz="0" w:space="0" w:color="auto"/>
                    <w:right w:val="none" w:sz="0" w:space="0" w:color="auto"/>
                  </w:divBdr>
                  <w:divsChild>
                    <w:div w:id="625428819">
                      <w:marLeft w:val="0"/>
                      <w:marRight w:val="0"/>
                      <w:marTop w:val="0"/>
                      <w:marBottom w:val="0"/>
                      <w:divBdr>
                        <w:top w:val="none" w:sz="0" w:space="0" w:color="auto"/>
                        <w:left w:val="none" w:sz="0" w:space="0" w:color="auto"/>
                        <w:bottom w:val="none" w:sz="0" w:space="0" w:color="auto"/>
                        <w:right w:val="none" w:sz="0" w:space="0" w:color="auto"/>
                      </w:divBdr>
                    </w:div>
                  </w:divsChild>
                </w:div>
                <w:div w:id="44572490">
                  <w:marLeft w:val="0"/>
                  <w:marRight w:val="0"/>
                  <w:marTop w:val="0"/>
                  <w:marBottom w:val="0"/>
                  <w:divBdr>
                    <w:top w:val="none" w:sz="0" w:space="0" w:color="auto"/>
                    <w:left w:val="none" w:sz="0" w:space="0" w:color="auto"/>
                    <w:bottom w:val="none" w:sz="0" w:space="0" w:color="auto"/>
                    <w:right w:val="none" w:sz="0" w:space="0" w:color="auto"/>
                  </w:divBdr>
                  <w:divsChild>
                    <w:div w:id="1933665103">
                      <w:marLeft w:val="0"/>
                      <w:marRight w:val="0"/>
                      <w:marTop w:val="0"/>
                      <w:marBottom w:val="0"/>
                      <w:divBdr>
                        <w:top w:val="none" w:sz="0" w:space="0" w:color="auto"/>
                        <w:left w:val="none" w:sz="0" w:space="0" w:color="auto"/>
                        <w:bottom w:val="none" w:sz="0" w:space="0" w:color="auto"/>
                        <w:right w:val="none" w:sz="0" w:space="0" w:color="auto"/>
                      </w:divBdr>
                    </w:div>
                  </w:divsChild>
                </w:div>
                <w:div w:id="55279268">
                  <w:marLeft w:val="0"/>
                  <w:marRight w:val="0"/>
                  <w:marTop w:val="0"/>
                  <w:marBottom w:val="0"/>
                  <w:divBdr>
                    <w:top w:val="none" w:sz="0" w:space="0" w:color="auto"/>
                    <w:left w:val="none" w:sz="0" w:space="0" w:color="auto"/>
                    <w:bottom w:val="none" w:sz="0" w:space="0" w:color="auto"/>
                    <w:right w:val="none" w:sz="0" w:space="0" w:color="auto"/>
                  </w:divBdr>
                  <w:divsChild>
                    <w:div w:id="1682854497">
                      <w:marLeft w:val="0"/>
                      <w:marRight w:val="0"/>
                      <w:marTop w:val="0"/>
                      <w:marBottom w:val="0"/>
                      <w:divBdr>
                        <w:top w:val="none" w:sz="0" w:space="0" w:color="auto"/>
                        <w:left w:val="none" w:sz="0" w:space="0" w:color="auto"/>
                        <w:bottom w:val="none" w:sz="0" w:space="0" w:color="auto"/>
                        <w:right w:val="none" w:sz="0" w:space="0" w:color="auto"/>
                      </w:divBdr>
                    </w:div>
                  </w:divsChild>
                </w:div>
                <w:div w:id="58673812">
                  <w:marLeft w:val="0"/>
                  <w:marRight w:val="0"/>
                  <w:marTop w:val="0"/>
                  <w:marBottom w:val="0"/>
                  <w:divBdr>
                    <w:top w:val="none" w:sz="0" w:space="0" w:color="auto"/>
                    <w:left w:val="none" w:sz="0" w:space="0" w:color="auto"/>
                    <w:bottom w:val="none" w:sz="0" w:space="0" w:color="auto"/>
                    <w:right w:val="none" w:sz="0" w:space="0" w:color="auto"/>
                  </w:divBdr>
                  <w:divsChild>
                    <w:div w:id="127629207">
                      <w:marLeft w:val="0"/>
                      <w:marRight w:val="0"/>
                      <w:marTop w:val="0"/>
                      <w:marBottom w:val="0"/>
                      <w:divBdr>
                        <w:top w:val="none" w:sz="0" w:space="0" w:color="auto"/>
                        <w:left w:val="none" w:sz="0" w:space="0" w:color="auto"/>
                        <w:bottom w:val="none" w:sz="0" w:space="0" w:color="auto"/>
                        <w:right w:val="none" w:sz="0" w:space="0" w:color="auto"/>
                      </w:divBdr>
                    </w:div>
                  </w:divsChild>
                </w:div>
                <w:div w:id="71051320">
                  <w:marLeft w:val="0"/>
                  <w:marRight w:val="0"/>
                  <w:marTop w:val="0"/>
                  <w:marBottom w:val="0"/>
                  <w:divBdr>
                    <w:top w:val="none" w:sz="0" w:space="0" w:color="auto"/>
                    <w:left w:val="none" w:sz="0" w:space="0" w:color="auto"/>
                    <w:bottom w:val="none" w:sz="0" w:space="0" w:color="auto"/>
                    <w:right w:val="none" w:sz="0" w:space="0" w:color="auto"/>
                  </w:divBdr>
                  <w:divsChild>
                    <w:div w:id="1025522015">
                      <w:marLeft w:val="0"/>
                      <w:marRight w:val="0"/>
                      <w:marTop w:val="0"/>
                      <w:marBottom w:val="0"/>
                      <w:divBdr>
                        <w:top w:val="none" w:sz="0" w:space="0" w:color="auto"/>
                        <w:left w:val="none" w:sz="0" w:space="0" w:color="auto"/>
                        <w:bottom w:val="none" w:sz="0" w:space="0" w:color="auto"/>
                        <w:right w:val="none" w:sz="0" w:space="0" w:color="auto"/>
                      </w:divBdr>
                    </w:div>
                  </w:divsChild>
                </w:div>
                <w:div w:id="71125536">
                  <w:marLeft w:val="0"/>
                  <w:marRight w:val="0"/>
                  <w:marTop w:val="0"/>
                  <w:marBottom w:val="0"/>
                  <w:divBdr>
                    <w:top w:val="none" w:sz="0" w:space="0" w:color="auto"/>
                    <w:left w:val="none" w:sz="0" w:space="0" w:color="auto"/>
                    <w:bottom w:val="none" w:sz="0" w:space="0" w:color="auto"/>
                    <w:right w:val="none" w:sz="0" w:space="0" w:color="auto"/>
                  </w:divBdr>
                  <w:divsChild>
                    <w:div w:id="1896236807">
                      <w:marLeft w:val="0"/>
                      <w:marRight w:val="0"/>
                      <w:marTop w:val="0"/>
                      <w:marBottom w:val="0"/>
                      <w:divBdr>
                        <w:top w:val="none" w:sz="0" w:space="0" w:color="auto"/>
                        <w:left w:val="none" w:sz="0" w:space="0" w:color="auto"/>
                        <w:bottom w:val="none" w:sz="0" w:space="0" w:color="auto"/>
                        <w:right w:val="none" w:sz="0" w:space="0" w:color="auto"/>
                      </w:divBdr>
                    </w:div>
                  </w:divsChild>
                </w:div>
                <w:div w:id="71895557">
                  <w:marLeft w:val="0"/>
                  <w:marRight w:val="0"/>
                  <w:marTop w:val="0"/>
                  <w:marBottom w:val="0"/>
                  <w:divBdr>
                    <w:top w:val="none" w:sz="0" w:space="0" w:color="auto"/>
                    <w:left w:val="none" w:sz="0" w:space="0" w:color="auto"/>
                    <w:bottom w:val="none" w:sz="0" w:space="0" w:color="auto"/>
                    <w:right w:val="none" w:sz="0" w:space="0" w:color="auto"/>
                  </w:divBdr>
                  <w:divsChild>
                    <w:div w:id="1439988995">
                      <w:marLeft w:val="0"/>
                      <w:marRight w:val="0"/>
                      <w:marTop w:val="0"/>
                      <w:marBottom w:val="0"/>
                      <w:divBdr>
                        <w:top w:val="none" w:sz="0" w:space="0" w:color="auto"/>
                        <w:left w:val="none" w:sz="0" w:space="0" w:color="auto"/>
                        <w:bottom w:val="none" w:sz="0" w:space="0" w:color="auto"/>
                        <w:right w:val="none" w:sz="0" w:space="0" w:color="auto"/>
                      </w:divBdr>
                    </w:div>
                  </w:divsChild>
                </w:div>
                <w:div w:id="74130291">
                  <w:marLeft w:val="0"/>
                  <w:marRight w:val="0"/>
                  <w:marTop w:val="0"/>
                  <w:marBottom w:val="0"/>
                  <w:divBdr>
                    <w:top w:val="none" w:sz="0" w:space="0" w:color="auto"/>
                    <w:left w:val="none" w:sz="0" w:space="0" w:color="auto"/>
                    <w:bottom w:val="none" w:sz="0" w:space="0" w:color="auto"/>
                    <w:right w:val="none" w:sz="0" w:space="0" w:color="auto"/>
                  </w:divBdr>
                  <w:divsChild>
                    <w:div w:id="1324624242">
                      <w:marLeft w:val="0"/>
                      <w:marRight w:val="0"/>
                      <w:marTop w:val="0"/>
                      <w:marBottom w:val="0"/>
                      <w:divBdr>
                        <w:top w:val="none" w:sz="0" w:space="0" w:color="auto"/>
                        <w:left w:val="none" w:sz="0" w:space="0" w:color="auto"/>
                        <w:bottom w:val="none" w:sz="0" w:space="0" w:color="auto"/>
                        <w:right w:val="none" w:sz="0" w:space="0" w:color="auto"/>
                      </w:divBdr>
                    </w:div>
                  </w:divsChild>
                </w:div>
                <w:div w:id="81489462">
                  <w:marLeft w:val="0"/>
                  <w:marRight w:val="0"/>
                  <w:marTop w:val="0"/>
                  <w:marBottom w:val="0"/>
                  <w:divBdr>
                    <w:top w:val="none" w:sz="0" w:space="0" w:color="auto"/>
                    <w:left w:val="none" w:sz="0" w:space="0" w:color="auto"/>
                    <w:bottom w:val="none" w:sz="0" w:space="0" w:color="auto"/>
                    <w:right w:val="none" w:sz="0" w:space="0" w:color="auto"/>
                  </w:divBdr>
                  <w:divsChild>
                    <w:div w:id="1782648259">
                      <w:marLeft w:val="0"/>
                      <w:marRight w:val="0"/>
                      <w:marTop w:val="0"/>
                      <w:marBottom w:val="0"/>
                      <w:divBdr>
                        <w:top w:val="none" w:sz="0" w:space="0" w:color="auto"/>
                        <w:left w:val="none" w:sz="0" w:space="0" w:color="auto"/>
                        <w:bottom w:val="none" w:sz="0" w:space="0" w:color="auto"/>
                        <w:right w:val="none" w:sz="0" w:space="0" w:color="auto"/>
                      </w:divBdr>
                    </w:div>
                  </w:divsChild>
                </w:div>
                <w:div w:id="84693188">
                  <w:marLeft w:val="0"/>
                  <w:marRight w:val="0"/>
                  <w:marTop w:val="0"/>
                  <w:marBottom w:val="0"/>
                  <w:divBdr>
                    <w:top w:val="none" w:sz="0" w:space="0" w:color="auto"/>
                    <w:left w:val="none" w:sz="0" w:space="0" w:color="auto"/>
                    <w:bottom w:val="none" w:sz="0" w:space="0" w:color="auto"/>
                    <w:right w:val="none" w:sz="0" w:space="0" w:color="auto"/>
                  </w:divBdr>
                  <w:divsChild>
                    <w:div w:id="868228131">
                      <w:marLeft w:val="0"/>
                      <w:marRight w:val="0"/>
                      <w:marTop w:val="0"/>
                      <w:marBottom w:val="0"/>
                      <w:divBdr>
                        <w:top w:val="none" w:sz="0" w:space="0" w:color="auto"/>
                        <w:left w:val="none" w:sz="0" w:space="0" w:color="auto"/>
                        <w:bottom w:val="none" w:sz="0" w:space="0" w:color="auto"/>
                        <w:right w:val="none" w:sz="0" w:space="0" w:color="auto"/>
                      </w:divBdr>
                    </w:div>
                  </w:divsChild>
                </w:div>
                <w:div w:id="86776475">
                  <w:marLeft w:val="0"/>
                  <w:marRight w:val="0"/>
                  <w:marTop w:val="0"/>
                  <w:marBottom w:val="0"/>
                  <w:divBdr>
                    <w:top w:val="none" w:sz="0" w:space="0" w:color="auto"/>
                    <w:left w:val="none" w:sz="0" w:space="0" w:color="auto"/>
                    <w:bottom w:val="none" w:sz="0" w:space="0" w:color="auto"/>
                    <w:right w:val="none" w:sz="0" w:space="0" w:color="auto"/>
                  </w:divBdr>
                  <w:divsChild>
                    <w:div w:id="1584602931">
                      <w:marLeft w:val="0"/>
                      <w:marRight w:val="0"/>
                      <w:marTop w:val="0"/>
                      <w:marBottom w:val="0"/>
                      <w:divBdr>
                        <w:top w:val="none" w:sz="0" w:space="0" w:color="auto"/>
                        <w:left w:val="none" w:sz="0" w:space="0" w:color="auto"/>
                        <w:bottom w:val="none" w:sz="0" w:space="0" w:color="auto"/>
                        <w:right w:val="none" w:sz="0" w:space="0" w:color="auto"/>
                      </w:divBdr>
                    </w:div>
                  </w:divsChild>
                </w:div>
                <w:div w:id="90007801">
                  <w:marLeft w:val="0"/>
                  <w:marRight w:val="0"/>
                  <w:marTop w:val="0"/>
                  <w:marBottom w:val="0"/>
                  <w:divBdr>
                    <w:top w:val="none" w:sz="0" w:space="0" w:color="auto"/>
                    <w:left w:val="none" w:sz="0" w:space="0" w:color="auto"/>
                    <w:bottom w:val="none" w:sz="0" w:space="0" w:color="auto"/>
                    <w:right w:val="none" w:sz="0" w:space="0" w:color="auto"/>
                  </w:divBdr>
                  <w:divsChild>
                    <w:div w:id="1985088072">
                      <w:marLeft w:val="0"/>
                      <w:marRight w:val="0"/>
                      <w:marTop w:val="0"/>
                      <w:marBottom w:val="0"/>
                      <w:divBdr>
                        <w:top w:val="none" w:sz="0" w:space="0" w:color="auto"/>
                        <w:left w:val="none" w:sz="0" w:space="0" w:color="auto"/>
                        <w:bottom w:val="none" w:sz="0" w:space="0" w:color="auto"/>
                        <w:right w:val="none" w:sz="0" w:space="0" w:color="auto"/>
                      </w:divBdr>
                    </w:div>
                  </w:divsChild>
                </w:div>
                <w:div w:id="95756880">
                  <w:marLeft w:val="0"/>
                  <w:marRight w:val="0"/>
                  <w:marTop w:val="0"/>
                  <w:marBottom w:val="0"/>
                  <w:divBdr>
                    <w:top w:val="none" w:sz="0" w:space="0" w:color="auto"/>
                    <w:left w:val="none" w:sz="0" w:space="0" w:color="auto"/>
                    <w:bottom w:val="none" w:sz="0" w:space="0" w:color="auto"/>
                    <w:right w:val="none" w:sz="0" w:space="0" w:color="auto"/>
                  </w:divBdr>
                  <w:divsChild>
                    <w:div w:id="306084536">
                      <w:marLeft w:val="0"/>
                      <w:marRight w:val="0"/>
                      <w:marTop w:val="0"/>
                      <w:marBottom w:val="0"/>
                      <w:divBdr>
                        <w:top w:val="none" w:sz="0" w:space="0" w:color="auto"/>
                        <w:left w:val="none" w:sz="0" w:space="0" w:color="auto"/>
                        <w:bottom w:val="none" w:sz="0" w:space="0" w:color="auto"/>
                        <w:right w:val="none" w:sz="0" w:space="0" w:color="auto"/>
                      </w:divBdr>
                    </w:div>
                  </w:divsChild>
                </w:div>
                <w:div w:id="109009023">
                  <w:marLeft w:val="0"/>
                  <w:marRight w:val="0"/>
                  <w:marTop w:val="0"/>
                  <w:marBottom w:val="0"/>
                  <w:divBdr>
                    <w:top w:val="none" w:sz="0" w:space="0" w:color="auto"/>
                    <w:left w:val="none" w:sz="0" w:space="0" w:color="auto"/>
                    <w:bottom w:val="none" w:sz="0" w:space="0" w:color="auto"/>
                    <w:right w:val="none" w:sz="0" w:space="0" w:color="auto"/>
                  </w:divBdr>
                  <w:divsChild>
                    <w:div w:id="983968998">
                      <w:marLeft w:val="0"/>
                      <w:marRight w:val="0"/>
                      <w:marTop w:val="0"/>
                      <w:marBottom w:val="0"/>
                      <w:divBdr>
                        <w:top w:val="none" w:sz="0" w:space="0" w:color="auto"/>
                        <w:left w:val="none" w:sz="0" w:space="0" w:color="auto"/>
                        <w:bottom w:val="none" w:sz="0" w:space="0" w:color="auto"/>
                        <w:right w:val="none" w:sz="0" w:space="0" w:color="auto"/>
                      </w:divBdr>
                    </w:div>
                  </w:divsChild>
                </w:div>
                <w:div w:id="111746964">
                  <w:marLeft w:val="0"/>
                  <w:marRight w:val="0"/>
                  <w:marTop w:val="0"/>
                  <w:marBottom w:val="0"/>
                  <w:divBdr>
                    <w:top w:val="none" w:sz="0" w:space="0" w:color="auto"/>
                    <w:left w:val="none" w:sz="0" w:space="0" w:color="auto"/>
                    <w:bottom w:val="none" w:sz="0" w:space="0" w:color="auto"/>
                    <w:right w:val="none" w:sz="0" w:space="0" w:color="auto"/>
                  </w:divBdr>
                  <w:divsChild>
                    <w:div w:id="94205280">
                      <w:marLeft w:val="0"/>
                      <w:marRight w:val="0"/>
                      <w:marTop w:val="0"/>
                      <w:marBottom w:val="0"/>
                      <w:divBdr>
                        <w:top w:val="none" w:sz="0" w:space="0" w:color="auto"/>
                        <w:left w:val="none" w:sz="0" w:space="0" w:color="auto"/>
                        <w:bottom w:val="none" w:sz="0" w:space="0" w:color="auto"/>
                        <w:right w:val="none" w:sz="0" w:space="0" w:color="auto"/>
                      </w:divBdr>
                    </w:div>
                  </w:divsChild>
                </w:div>
                <w:div w:id="117070725">
                  <w:marLeft w:val="0"/>
                  <w:marRight w:val="0"/>
                  <w:marTop w:val="0"/>
                  <w:marBottom w:val="0"/>
                  <w:divBdr>
                    <w:top w:val="none" w:sz="0" w:space="0" w:color="auto"/>
                    <w:left w:val="none" w:sz="0" w:space="0" w:color="auto"/>
                    <w:bottom w:val="none" w:sz="0" w:space="0" w:color="auto"/>
                    <w:right w:val="none" w:sz="0" w:space="0" w:color="auto"/>
                  </w:divBdr>
                  <w:divsChild>
                    <w:div w:id="786703736">
                      <w:marLeft w:val="0"/>
                      <w:marRight w:val="0"/>
                      <w:marTop w:val="0"/>
                      <w:marBottom w:val="0"/>
                      <w:divBdr>
                        <w:top w:val="none" w:sz="0" w:space="0" w:color="auto"/>
                        <w:left w:val="none" w:sz="0" w:space="0" w:color="auto"/>
                        <w:bottom w:val="none" w:sz="0" w:space="0" w:color="auto"/>
                        <w:right w:val="none" w:sz="0" w:space="0" w:color="auto"/>
                      </w:divBdr>
                    </w:div>
                  </w:divsChild>
                </w:div>
                <w:div w:id="123430962">
                  <w:marLeft w:val="0"/>
                  <w:marRight w:val="0"/>
                  <w:marTop w:val="0"/>
                  <w:marBottom w:val="0"/>
                  <w:divBdr>
                    <w:top w:val="none" w:sz="0" w:space="0" w:color="auto"/>
                    <w:left w:val="none" w:sz="0" w:space="0" w:color="auto"/>
                    <w:bottom w:val="none" w:sz="0" w:space="0" w:color="auto"/>
                    <w:right w:val="none" w:sz="0" w:space="0" w:color="auto"/>
                  </w:divBdr>
                  <w:divsChild>
                    <w:div w:id="1266574373">
                      <w:marLeft w:val="0"/>
                      <w:marRight w:val="0"/>
                      <w:marTop w:val="0"/>
                      <w:marBottom w:val="0"/>
                      <w:divBdr>
                        <w:top w:val="none" w:sz="0" w:space="0" w:color="auto"/>
                        <w:left w:val="none" w:sz="0" w:space="0" w:color="auto"/>
                        <w:bottom w:val="none" w:sz="0" w:space="0" w:color="auto"/>
                        <w:right w:val="none" w:sz="0" w:space="0" w:color="auto"/>
                      </w:divBdr>
                    </w:div>
                  </w:divsChild>
                </w:div>
                <w:div w:id="151260716">
                  <w:marLeft w:val="0"/>
                  <w:marRight w:val="0"/>
                  <w:marTop w:val="0"/>
                  <w:marBottom w:val="0"/>
                  <w:divBdr>
                    <w:top w:val="none" w:sz="0" w:space="0" w:color="auto"/>
                    <w:left w:val="none" w:sz="0" w:space="0" w:color="auto"/>
                    <w:bottom w:val="none" w:sz="0" w:space="0" w:color="auto"/>
                    <w:right w:val="none" w:sz="0" w:space="0" w:color="auto"/>
                  </w:divBdr>
                  <w:divsChild>
                    <w:div w:id="769086383">
                      <w:marLeft w:val="0"/>
                      <w:marRight w:val="0"/>
                      <w:marTop w:val="0"/>
                      <w:marBottom w:val="0"/>
                      <w:divBdr>
                        <w:top w:val="none" w:sz="0" w:space="0" w:color="auto"/>
                        <w:left w:val="none" w:sz="0" w:space="0" w:color="auto"/>
                        <w:bottom w:val="none" w:sz="0" w:space="0" w:color="auto"/>
                        <w:right w:val="none" w:sz="0" w:space="0" w:color="auto"/>
                      </w:divBdr>
                    </w:div>
                  </w:divsChild>
                </w:div>
                <w:div w:id="152915210">
                  <w:marLeft w:val="0"/>
                  <w:marRight w:val="0"/>
                  <w:marTop w:val="0"/>
                  <w:marBottom w:val="0"/>
                  <w:divBdr>
                    <w:top w:val="none" w:sz="0" w:space="0" w:color="auto"/>
                    <w:left w:val="none" w:sz="0" w:space="0" w:color="auto"/>
                    <w:bottom w:val="none" w:sz="0" w:space="0" w:color="auto"/>
                    <w:right w:val="none" w:sz="0" w:space="0" w:color="auto"/>
                  </w:divBdr>
                  <w:divsChild>
                    <w:div w:id="190732755">
                      <w:marLeft w:val="0"/>
                      <w:marRight w:val="0"/>
                      <w:marTop w:val="0"/>
                      <w:marBottom w:val="0"/>
                      <w:divBdr>
                        <w:top w:val="none" w:sz="0" w:space="0" w:color="auto"/>
                        <w:left w:val="none" w:sz="0" w:space="0" w:color="auto"/>
                        <w:bottom w:val="none" w:sz="0" w:space="0" w:color="auto"/>
                        <w:right w:val="none" w:sz="0" w:space="0" w:color="auto"/>
                      </w:divBdr>
                    </w:div>
                  </w:divsChild>
                </w:div>
                <w:div w:id="157157280">
                  <w:marLeft w:val="0"/>
                  <w:marRight w:val="0"/>
                  <w:marTop w:val="0"/>
                  <w:marBottom w:val="0"/>
                  <w:divBdr>
                    <w:top w:val="none" w:sz="0" w:space="0" w:color="auto"/>
                    <w:left w:val="none" w:sz="0" w:space="0" w:color="auto"/>
                    <w:bottom w:val="none" w:sz="0" w:space="0" w:color="auto"/>
                    <w:right w:val="none" w:sz="0" w:space="0" w:color="auto"/>
                  </w:divBdr>
                  <w:divsChild>
                    <w:div w:id="866215753">
                      <w:marLeft w:val="0"/>
                      <w:marRight w:val="0"/>
                      <w:marTop w:val="0"/>
                      <w:marBottom w:val="0"/>
                      <w:divBdr>
                        <w:top w:val="none" w:sz="0" w:space="0" w:color="auto"/>
                        <w:left w:val="none" w:sz="0" w:space="0" w:color="auto"/>
                        <w:bottom w:val="none" w:sz="0" w:space="0" w:color="auto"/>
                        <w:right w:val="none" w:sz="0" w:space="0" w:color="auto"/>
                      </w:divBdr>
                    </w:div>
                  </w:divsChild>
                </w:div>
                <w:div w:id="168831599">
                  <w:marLeft w:val="0"/>
                  <w:marRight w:val="0"/>
                  <w:marTop w:val="0"/>
                  <w:marBottom w:val="0"/>
                  <w:divBdr>
                    <w:top w:val="none" w:sz="0" w:space="0" w:color="auto"/>
                    <w:left w:val="none" w:sz="0" w:space="0" w:color="auto"/>
                    <w:bottom w:val="none" w:sz="0" w:space="0" w:color="auto"/>
                    <w:right w:val="none" w:sz="0" w:space="0" w:color="auto"/>
                  </w:divBdr>
                  <w:divsChild>
                    <w:div w:id="887108195">
                      <w:marLeft w:val="0"/>
                      <w:marRight w:val="0"/>
                      <w:marTop w:val="0"/>
                      <w:marBottom w:val="0"/>
                      <w:divBdr>
                        <w:top w:val="none" w:sz="0" w:space="0" w:color="auto"/>
                        <w:left w:val="none" w:sz="0" w:space="0" w:color="auto"/>
                        <w:bottom w:val="none" w:sz="0" w:space="0" w:color="auto"/>
                        <w:right w:val="none" w:sz="0" w:space="0" w:color="auto"/>
                      </w:divBdr>
                    </w:div>
                  </w:divsChild>
                </w:div>
                <w:div w:id="176501022">
                  <w:marLeft w:val="0"/>
                  <w:marRight w:val="0"/>
                  <w:marTop w:val="0"/>
                  <w:marBottom w:val="0"/>
                  <w:divBdr>
                    <w:top w:val="none" w:sz="0" w:space="0" w:color="auto"/>
                    <w:left w:val="none" w:sz="0" w:space="0" w:color="auto"/>
                    <w:bottom w:val="none" w:sz="0" w:space="0" w:color="auto"/>
                    <w:right w:val="none" w:sz="0" w:space="0" w:color="auto"/>
                  </w:divBdr>
                  <w:divsChild>
                    <w:div w:id="2114813474">
                      <w:marLeft w:val="0"/>
                      <w:marRight w:val="0"/>
                      <w:marTop w:val="0"/>
                      <w:marBottom w:val="0"/>
                      <w:divBdr>
                        <w:top w:val="none" w:sz="0" w:space="0" w:color="auto"/>
                        <w:left w:val="none" w:sz="0" w:space="0" w:color="auto"/>
                        <w:bottom w:val="none" w:sz="0" w:space="0" w:color="auto"/>
                        <w:right w:val="none" w:sz="0" w:space="0" w:color="auto"/>
                      </w:divBdr>
                    </w:div>
                  </w:divsChild>
                </w:div>
                <w:div w:id="178156308">
                  <w:marLeft w:val="0"/>
                  <w:marRight w:val="0"/>
                  <w:marTop w:val="0"/>
                  <w:marBottom w:val="0"/>
                  <w:divBdr>
                    <w:top w:val="none" w:sz="0" w:space="0" w:color="auto"/>
                    <w:left w:val="none" w:sz="0" w:space="0" w:color="auto"/>
                    <w:bottom w:val="none" w:sz="0" w:space="0" w:color="auto"/>
                    <w:right w:val="none" w:sz="0" w:space="0" w:color="auto"/>
                  </w:divBdr>
                  <w:divsChild>
                    <w:div w:id="1689866833">
                      <w:marLeft w:val="0"/>
                      <w:marRight w:val="0"/>
                      <w:marTop w:val="0"/>
                      <w:marBottom w:val="0"/>
                      <w:divBdr>
                        <w:top w:val="none" w:sz="0" w:space="0" w:color="auto"/>
                        <w:left w:val="none" w:sz="0" w:space="0" w:color="auto"/>
                        <w:bottom w:val="none" w:sz="0" w:space="0" w:color="auto"/>
                        <w:right w:val="none" w:sz="0" w:space="0" w:color="auto"/>
                      </w:divBdr>
                    </w:div>
                  </w:divsChild>
                </w:div>
                <w:div w:id="182324568">
                  <w:marLeft w:val="0"/>
                  <w:marRight w:val="0"/>
                  <w:marTop w:val="0"/>
                  <w:marBottom w:val="0"/>
                  <w:divBdr>
                    <w:top w:val="none" w:sz="0" w:space="0" w:color="auto"/>
                    <w:left w:val="none" w:sz="0" w:space="0" w:color="auto"/>
                    <w:bottom w:val="none" w:sz="0" w:space="0" w:color="auto"/>
                    <w:right w:val="none" w:sz="0" w:space="0" w:color="auto"/>
                  </w:divBdr>
                  <w:divsChild>
                    <w:div w:id="1743403876">
                      <w:marLeft w:val="0"/>
                      <w:marRight w:val="0"/>
                      <w:marTop w:val="0"/>
                      <w:marBottom w:val="0"/>
                      <w:divBdr>
                        <w:top w:val="none" w:sz="0" w:space="0" w:color="auto"/>
                        <w:left w:val="none" w:sz="0" w:space="0" w:color="auto"/>
                        <w:bottom w:val="none" w:sz="0" w:space="0" w:color="auto"/>
                        <w:right w:val="none" w:sz="0" w:space="0" w:color="auto"/>
                      </w:divBdr>
                    </w:div>
                  </w:divsChild>
                </w:div>
                <w:div w:id="202451252">
                  <w:marLeft w:val="0"/>
                  <w:marRight w:val="0"/>
                  <w:marTop w:val="0"/>
                  <w:marBottom w:val="0"/>
                  <w:divBdr>
                    <w:top w:val="none" w:sz="0" w:space="0" w:color="auto"/>
                    <w:left w:val="none" w:sz="0" w:space="0" w:color="auto"/>
                    <w:bottom w:val="none" w:sz="0" w:space="0" w:color="auto"/>
                    <w:right w:val="none" w:sz="0" w:space="0" w:color="auto"/>
                  </w:divBdr>
                  <w:divsChild>
                    <w:div w:id="1888954394">
                      <w:marLeft w:val="0"/>
                      <w:marRight w:val="0"/>
                      <w:marTop w:val="0"/>
                      <w:marBottom w:val="0"/>
                      <w:divBdr>
                        <w:top w:val="none" w:sz="0" w:space="0" w:color="auto"/>
                        <w:left w:val="none" w:sz="0" w:space="0" w:color="auto"/>
                        <w:bottom w:val="none" w:sz="0" w:space="0" w:color="auto"/>
                        <w:right w:val="none" w:sz="0" w:space="0" w:color="auto"/>
                      </w:divBdr>
                    </w:div>
                  </w:divsChild>
                </w:div>
                <w:div w:id="204759468">
                  <w:marLeft w:val="0"/>
                  <w:marRight w:val="0"/>
                  <w:marTop w:val="0"/>
                  <w:marBottom w:val="0"/>
                  <w:divBdr>
                    <w:top w:val="none" w:sz="0" w:space="0" w:color="auto"/>
                    <w:left w:val="none" w:sz="0" w:space="0" w:color="auto"/>
                    <w:bottom w:val="none" w:sz="0" w:space="0" w:color="auto"/>
                    <w:right w:val="none" w:sz="0" w:space="0" w:color="auto"/>
                  </w:divBdr>
                  <w:divsChild>
                    <w:div w:id="1134064301">
                      <w:marLeft w:val="0"/>
                      <w:marRight w:val="0"/>
                      <w:marTop w:val="0"/>
                      <w:marBottom w:val="0"/>
                      <w:divBdr>
                        <w:top w:val="none" w:sz="0" w:space="0" w:color="auto"/>
                        <w:left w:val="none" w:sz="0" w:space="0" w:color="auto"/>
                        <w:bottom w:val="none" w:sz="0" w:space="0" w:color="auto"/>
                        <w:right w:val="none" w:sz="0" w:space="0" w:color="auto"/>
                      </w:divBdr>
                    </w:div>
                  </w:divsChild>
                </w:div>
                <w:div w:id="210652433">
                  <w:marLeft w:val="0"/>
                  <w:marRight w:val="0"/>
                  <w:marTop w:val="0"/>
                  <w:marBottom w:val="0"/>
                  <w:divBdr>
                    <w:top w:val="none" w:sz="0" w:space="0" w:color="auto"/>
                    <w:left w:val="none" w:sz="0" w:space="0" w:color="auto"/>
                    <w:bottom w:val="none" w:sz="0" w:space="0" w:color="auto"/>
                    <w:right w:val="none" w:sz="0" w:space="0" w:color="auto"/>
                  </w:divBdr>
                  <w:divsChild>
                    <w:div w:id="1007907308">
                      <w:marLeft w:val="0"/>
                      <w:marRight w:val="0"/>
                      <w:marTop w:val="0"/>
                      <w:marBottom w:val="0"/>
                      <w:divBdr>
                        <w:top w:val="none" w:sz="0" w:space="0" w:color="auto"/>
                        <w:left w:val="none" w:sz="0" w:space="0" w:color="auto"/>
                        <w:bottom w:val="none" w:sz="0" w:space="0" w:color="auto"/>
                        <w:right w:val="none" w:sz="0" w:space="0" w:color="auto"/>
                      </w:divBdr>
                    </w:div>
                  </w:divsChild>
                </w:div>
                <w:div w:id="223026464">
                  <w:marLeft w:val="0"/>
                  <w:marRight w:val="0"/>
                  <w:marTop w:val="0"/>
                  <w:marBottom w:val="0"/>
                  <w:divBdr>
                    <w:top w:val="none" w:sz="0" w:space="0" w:color="auto"/>
                    <w:left w:val="none" w:sz="0" w:space="0" w:color="auto"/>
                    <w:bottom w:val="none" w:sz="0" w:space="0" w:color="auto"/>
                    <w:right w:val="none" w:sz="0" w:space="0" w:color="auto"/>
                  </w:divBdr>
                  <w:divsChild>
                    <w:div w:id="1309284748">
                      <w:marLeft w:val="0"/>
                      <w:marRight w:val="0"/>
                      <w:marTop w:val="0"/>
                      <w:marBottom w:val="0"/>
                      <w:divBdr>
                        <w:top w:val="none" w:sz="0" w:space="0" w:color="auto"/>
                        <w:left w:val="none" w:sz="0" w:space="0" w:color="auto"/>
                        <w:bottom w:val="none" w:sz="0" w:space="0" w:color="auto"/>
                        <w:right w:val="none" w:sz="0" w:space="0" w:color="auto"/>
                      </w:divBdr>
                    </w:div>
                  </w:divsChild>
                </w:div>
                <w:div w:id="224413774">
                  <w:marLeft w:val="0"/>
                  <w:marRight w:val="0"/>
                  <w:marTop w:val="0"/>
                  <w:marBottom w:val="0"/>
                  <w:divBdr>
                    <w:top w:val="none" w:sz="0" w:space="0" w:color="auto"/>
                    <w:left w:val="none" w:sz="0" w:space="0" w:color="auto"/>
                    <w:bottom w:val="none" w:sz="0" w:space="0" w:color="auto"/>
                    <w:right w:val="none" w:sz="0" w:space="0" w:color="auto"/>
                  </w:divBdr>
                  <w:divsChild>
                    <w:div w:id="1520004744">
                      <w:marLeft w:val="0"/>
                      <w:marRight w:val="0"/>
                      <w:marTop w:val="0"/>
                      <w:marBottom w:val="0"/>
                      <w:divBdr>
                        <w:top w:val="none" w:sz="0" w:space="0" w:color="auto"/>
                        <w:left w:val="none" w:sz="0" w:space="0" w:color="auto"/>
                        <w:bottom w:val="none" w:sz="0" w:space="0" w:color="auto"/>
                        <w:right w:val="none" w:sz="0" w:space="0" w:color="auto"/>
                      </w:divBdr>
                    </w:div>
                  </w:divsChild>
                </w:div>
                <w:div w:id="229850158">
                  <w:marLeft w:val="0"/>
                  <w:marRight w:val="0"/>
                  <w:marTop w:val="0"/>
                  <w:marBottom w:val="0"/>
                  <w:divBdr>
                    <w:top w:val="none" w:sz="0" w:space="0" w:color="auto"/>
                    <w:left w:val="none" w:sz="0" w:space="0" w:color="auto"/>
                    <w:bottom w:val="none" w:sz="0" w:space="0" w:color="auto"/>
                    <w:right w:val="none" w:sz="0" w:space="0" w:color="auto"/>
                  </w:divBdr>
                  <w:divsChild>
                    <w:div w:id="1757827522">
                      <w:marLeft w:val="0"/>
                      <w:marRight w:val="0"/>
                      <w:marTop w:val="0"/>
                      <w:marBottom w:val="0"/>
                      <w:divBdr>
                        <w:top w:val="none" w:sz="0" w:space="0" w:color="auto"/>
                        <w:left w:val="none" w:sz="0" w:space="0" w:color="auto"/>
                        <w:bottom w:val="none" w:sz="0" w:space="0" w:color="auto"/>
                        <w:right w:val="none" w:sz="0" w:space="0" w:color="auto"/>
                      </w:divBdr>
                    </w:div>
                  </w:divsChild>
                </w:div>
                <w:div w:id="244536856">
                  <w:marLeft w:val="0"/>
                  <w:marRight w:val="0"/>
                  <w:marTop w:val="0"/>
                  <w:marBottom w:val="0"/>
                  <w:divBdr>
                    <w:top w:val="none" w:sz="0" w:space="0" w:color="auto"/>
                    <w:left w:val="none" w:sz="0" w:space="0" w:color="auto"/>
                    <w:bottom w:val="none" w:sz="0" w:space="0" w:color="auto"/>
                    <w:right w:val="none" w:sz="0" w:space="0" w:color="auto"/>
                  </w:divBdr>
                  <w:divsChild>
                    <w:div w:id="1356149187">
                      <w:marLeft w:val="0"/>
                      <w:marRight w:val="0"/>
                      <w:marTop w:val="0"/>
                      <w:marBottom w:val="0"/>
                      <w:divBdr>
                        <w:top w:val="none" w:sz="0" w:space="0" w:color="auto"/>
                        <w:left w:val="none" w:sz="0" w:space="0" w:color="auto"/>
                        <w:bottom w:val="none" w:sz="0" w:space="0" w:color="auto"/>
                        <w:right w:val="none" w:sz="0" w:space="0" w:color="auto"/>
                      </w:divBdr>
                    </w:div>
                  </w:divsChild>
                </w:div>
                <w:div w:id="252981584">
                  <w:marLeft w:val="0"/>
                  <w:marRight w:val="0"/>
                  <w:marTop w:val="0"/>
                  <w:marBottom w:val="0"/>
                  <w:divBdr>
                    <w:top w:val="none" w:sz="0" w:space="0" w:color="auto"/>
                    <w:left w:val="none" w:sz="0" w:space="0" w:color="auto"/>
                    <w:bottom w:val="none" w:sz="0" w:space="0" w:color="auto"/>
                    <w:right w:val="none" w:sz="0" w:space="0" w:color="auto"/>
                  </w:divBdr>
                  <w:divsChild>
                    <w:div w:id="201673477">
                      <w:marLeft w:val="0"/>
                      <w:marRight w:val="0"/>
                      <w:marTop w:val="0"/>
                      <w:marBottom w:val="0"/>
                      <w:divBdr>
                        <w:top w:val="none" w:sz="0" w:space="0" w:color="auto"/>
                        <w:left w:val="none" w:sz="0" w:space="0" w:color="auto"/>
                        <w:bottom w:val="none" w:sz="0" w:space="0" w:color="auto"/>
                        <w:right w:val="none" w:sz="0" w:space="0" w:color="auto"/>
                      </w:divBdr>
                    </w:div>
                  </w:divsChild>
                </w:div>
                <w:div w:id="256792130">
                  <w:marLeft w:val="0"/>
                  <w:marRight w:val="0"/>
                  <w:marTop w:val="0"/>
                  <w:marBottom w:val="0"/>
                  <w:divBdr>
                    <w:top w:val="none" w:sz="0" w:space="0" w:color="auto"/>
                    <w:left w:val="none" w:sz="0" w:space="0" w:color="auto"/>
                    <w:bottom w:val="none" w:sz="0" w:space="0" w:color="auto"/>
                    <w:right w:val="none" w:sz="0" w:space="0" w:color="auto"/>
                  </w:divBdr>
                  <w:divsChild>
                    <w:div w:id="642468332">
                      <w:marLeft w:val="0"/>
                      <w:marRight w:val="0"/>
                      <w:marTop w:val="0"/>
                      <w:marBottom w:val="0"/>
                      <w:divBdr>
                        <w:top w:val="none" w:sz="0" w:space="0" w:color="auto"/>
                        <w:left w:val="none" w:sz="0" w:space="0" w:color="auto"/>
                        <w:bottom w:val="none" w:sz="0" w:space="0" w:color="auto"/>
                        <w:right w:val="none" w:sz="0" w:space="0" w:color="auto"/>
                      </w:divBdr>
                    </w:div>
                  </w:divsChild>
                </w:div>
                <w:div w:id="277298879">
                  <w:marLeft w:val="0"/>
                  <w:marRight w:val="0"/>
                  <w:marTop w:val="0"/>
                  <w:marBottom w:val="0"/>
                  <w:divBdr>
                    <w:top w:val="none" w:sz="0" w:space="0" w:color="auto"/>
                    <w:left w:val="none" w:sz="0" w:space="0" w:color="auto"/>
                    <w:bottom w:val="none" w:sz="0" w:space="0" w:color="auto"/>
                    <w:right w:val="none" w:sz="0" w:space="0" w:color="auto"/>
                  </w:divBdr>
                  <w:divsChild>
                    <w:div w:id="558249521">
                      <w:marLeft w:val="0"/>
                      <w:marRight w:val="0"/>
                      <w:marTop w:val="0"/>
                      <w:marBottom w:val="0"/>
                      <w:divBdr>
                        <w:top w:val="none" w:sz="0" w:space="0" w:color="auto"/>
                        <w:left w:val="none" w:sz="0" w:space="0" w:color="auto"/>
                        <w:bottom w:val="none" w:sz="0" w:space="0" w:color="auto"/>
                        <w:right w:val="none" w:sz="0" w:space="0" w:color="auto"/>
                      </w:divBdr>
                    </w:div>
                  </w:divsChild>
                </w:div>
                <w:div w:id="277371037">
                  <w:marLeft w:val="0"/>
                  <w:marRight w:val="0"/>
                  <w:marTop w:val="0"/>
                  <w:marBottom w:val="0"/>
                  <w:divBdr>
                    <w:top w:val="none" w:sz="0" w:space="0" w:color="auto"/>
                    <w:left w:val="none" w:sz="0" w:space="0" w:color="auto"/>
                    <w:bottom w:val="none" w:sz="0" w:space="0" w:color="auto"/>
                    <w:right w:val="none" w:sz="0" w:space="0" w:color="auto"/>
                  </w:divBdr>
                  <w:divsChild>
                    <w:div w:id="870605304">
                      <w:marLeft w:val="0"/>
                      <w:marRight w:val="0"/>
                      <w:marTop w:val="0"/>
                      <w:marBottom w:val="0"/>
                      <w:divBdr>
                        <w:top w:val="none" w:sz="0" w:space="0" w:color="auto"/>
                        <w:left w:val="none" w:sz="0" w:space="0" w:color="auto"/>
                        <w:bottom w:val="none" w:sz="0" w:space="0" w:color="auto"/>
                        <w:right w:val="none" w:sz="0" w:space="0" w:color="auto"/>
                      </w:divBdr>
                    </w:div>
                  </w:divsChild>
                </w:div>
                <w:div w:id="288753101">
                  <w:marLeft w:val="0"/>
                  <w:marRight w:val="0"/>
                  <w:marTop w:val="0"/>
                  <w:marBottom w:val="0"/>
                  <w:divBdr>
                    <w:top w:val="none" w:sz="0" w:space="0" w:color="auto"/>
                    <w:left w:val="none" w:sz="0" w:space="0" w:color="auto"/>
                    <w:bottom w:val="none" w:sz="0" w:space="0" w:color="auto"/>
                    <w:right w:val="none" w:sz="0" w:space="0" w:color="auto"/>
                  </w:divBdr>
                  <w:divsChild>
                    <w:div w:id="1521509760">
                      <w:marLeft w:val="0"/>
                      <w:marRight w:val="0"/>
                      <w:marTop w:val="0"/>
                      <w:marBottom w:val="0"/>
                      <w:divBdr>
                        <w:top w:val="none" w:sz="0" w:space="0" w:color="auto"/>
                        <w:left w:val="none" w:sz="0" w:space="0" w:color="auto"/>
                        <w:bottom w:val="none" w:sz="0" w:space="0" w:color="auto"/>
                        <w:right w:val="none" w:sz="0" w:space="0" w:color="auto"/>
                      </w:divBdr>
                    </w:div>
                  </w:divsChild>
                </w:div>
                <w:div w:id="293365586">
                  <w:marLeft w:val="0"/>
                  <w:marRight w:val="0"/>
                  <w:marTop w:val="0"/>
                  <w:marBottom w:val="0"/>
                  <w:divBdr>
                    <w:top w:val="none" w:sz="0" w:space="0" w:color="auto"/>
                    <w:left w:val="none" w:sz="0" w:space="0" w:color="auto"/>
                    <w:bottom w:val="none" w:sz="0" w:space="0" w:color="auto"/>
                    <w:right w:val="none" w:sz="0" w:space="0" w:color="auto"/>
                  </w:divBdr>
                  <w:divsChild>
                    <w:div w:id="1090079963">
                      <w:marLeft w:val="0"/>
                      <w:marRight w:val="0"/>
                      <w:marTop w:val="0"/>
                      <w:marBottom w:val="0"/>
                      <w:divBdr>
                        <w:top w:val="none" w:sz="0" w:space="0" w:color="auto"/>
                        <w:left w:val="none" w:sz="0" w:space="0" w:color="auto"/>
                        <w:bottom w:val="none" w:sz="0" w:space="0" w:color="auto"/>
                        <w:right w:val="none" w:sz="0" w:space="0" w:color="auto"/>
                      </w:divBdr>
                    </w:div>
                  </w:divsChild>
                </w:div>
                <w:div w:id="296841197">
                  <w:marLeft w:val="0"/>
                  <w:marRight w:val="0"/>
                  <w:marTop w:val="0"/>
                  <w:marBottom w:val="0"/>
                  <w:divBdr>
                    <w:top w:val="none" w:sz="0" w:space="0" w:color="auto"/>
                    <w:left w:val="none" w:sz="0" w:space="0" w:color="auto"/>
                    <w:bottom w:val="none" w:sz="0" w:space="0" w:color="auto"/>
                    <w:right w:val="none" w:sz="0" w:space="0" w:color="auto"/>
                  </w:divBdr>
                  <w:divsChild>
                    <w:div w:id="1325402373">
                      <w:marLeft w:val="0"/>
                      <w:marRight w:val="0"/>
                      <w:marTop w:val="0"/>
                      <w:marBottom w:val="0"/>
                      <w:divBdr>
                        <w:top w:val="none" w:sz="0" w:space="0" w:color="auto"/>
                        <w:left w:val="none" w:sz="0" w:space="0" w:color="auto"/>
                        <w:bottom w:val="none" w:sz="0" w:space="0" w:color="auto"/>
                        <w:right w:val="none" w:sz="0" w:space="0" w:color="auto"/>
                      </w:divBdr>
                    </w:div>
                  </w:divsChild>
                </w:div>
                <w:div w:id="299530986">
                  <w:marLeft w:val="0"/>
                  <w:marRight w:val="0"/>
                  <w:marTop w:val="0"/>
                  <w:marBottom w:val="0"/>
                  <w:divBdr>
                    <w:top w:val="none" w:sz="0" w:space="0" w:color="auto"/>
                    <w:left w:val="none" w:sz="0" w:space="0" w:color="auto"/>
                    <w:bottom w:val="none" w:sz="0" w:space="0" w:color="auto"/>
                    <w:right w:val="none" w:sz="0" w:space="0" w:color="auto"/>
                  </w:divBdr>
                  <w:divsChild>
                    <w:div w:id="1197697252">
                      <w:marLeft w:val="0"/>
                      <w:marRight w:val="0"/>
                      <w:marTop w:val="0"/>
                      <w:marBottom w:val="0"/>
                      <w:divBdr>
                        <w:top w:val="none" w:sz="0" w:space="0" w:color="auto"/>
                        <w:left w:val="none" w:sz="0" w:space="0" w:color="auto"/>
                        <w:bottom w:val="none" w:sz="0" w:space="0" w:color="auto"/>
                        <w:right w:val="none" w:sz="0" w:space="0" w:color="auto"/>
                      </w:divBdr>
                    </w:div>
                  </w:divsChild>
                </w:div>
                <w:div w:id="301813293">
                  <w:marLeft w:val="0"/>
                  <w:marRight w:val="0"/>
                  <w:marTop w:val="0"/>
                  <w:marBottom w:val="0"/>
                  <w:divBdr>
                    <w:top w:val="none" w:sz="0" w:space="0" w:color="auto"/>
                    <w:left w:val="none" w:sz="0" w:space="0" w:color="auto"/>
                    <w:bottom w:val="none" w:sz="0" w:space="0" w:color="auto"/>
                    <w:right w:val="none" w:sz="0" w:space="0" w:color="auto"/>
                  </w:divBdr>
                  <w:divsChild>
                    <w:div w:id="1313365476">
                      <w:marLeft w:val="0"/>
                      <w:marRight w:val="0"/>
                      <w:marTop w:val="0"/>
                      <w:marBottom w:val="0"/>
                      <w:divBdr>
                        <w:top w:val="none" w:sz="0" w:space="0" w:color="auto"/>
                        <w:left w:val="none" w:sz="0" w:space="0" w:color="auto"/>
                        <w:bottom w:val="none" w:sz="0" w:space="0" w:color="auto"/>
                        <w:right w:val="none" w:sz="0" w:space="0" w:color="auto"/>
                      </w:divBdr>
                    </w:div>
                  </w:divsChild>
                </w:div>
                <w:div w:id="304553278">
                  <w:marLeft w:val="0"/>
                  <w:marRight w:val="0"/>
                  <w:marTop w:val="0"/>
                  <w:marBottom w:val="0"/>
                  <w:divBdr>
                    <w:top w:val="none" w:sz="0" w:space="0" w:color="auto"/>
                    <w:left w:val="none" w:sz="0" w:space="0" w:color="auto"/>
                    <w:bottom w:val="none" w:sz="0" w:space="0" w:color="auto"/>
                    <w:right w:val="none" w:sz="0" w:space="0" w:color="auto"/>
                  </w:divBdr>
                  <w:divsChild>
                    <w:div w:id="869494352">
                      <w:marLeft w:val="0"/>
                      <w:marRight w:val="0"/>
                      <w:marTop w:val="0"/>
                      <w:marBottom w:val="0"/>
                      <w:divBdr>
                        <w:top w:val="none" w:sz="0" w:space="0" w:color="auto"/>
                        <w:left w:val="none" w:sz="0" w:space="0" w:color="auto"/>
                        <w:bottom w:val="none" w:sz="0" w:space="0" w:color="auto"/>
                        <w:right w:val="none" w:sz="0" w:space="0" w:color="auto"/>
                      </w:divBdr>
                    </w:div>
                  </w:divsChild>
                </w:div>
                <w:div w:id="311447132">
                  <w:marLeft w:val="0"/>
                  <w:marRight w:val="0"/>
                  <w:marTop w:val="0"/>
                  <w:marBottom w:val="0"/>
                  <w:divBdr>
                    <w:top w:val="none" w:sz="0" w:space="0" w:color="auto"/>
                    <w:left w:val="none" w:sz="0" w:space="0" w:color="auto"/>
                    <w:bottom w:val="none" w:sz="0" w:space="0" w:color="auto"/>
                    <w:right w:val="none" w:sz="0" w:space="0" w:color="auto"/>
                  </w:divBdr>
                  <w:divsChild>
                    <w:div w:id="294527095">
                      <w:marLeft w:val="0"/>
                      <w:marRight w:val="0"/>
                      <w:marTop w:val="0"/>
                      <w:marBottom w:val="0"/>
                      <w:divBdr>
                        <w:top w:val="none" w:sz="0" w:space="0" w:color="auto"/>
                        <w:left w:val="none" w:sz="0" w:space="0" w:color="auto"/>
                        <w:bottom w:val="none" w:sz="0" w:space="0" w:color="auto"/>
                        <w:right w:val="none" w:sz="0" w:space="0" w:color="auto"/>
                      </w:divBdr>
                    </w:div>
                  </w:divsChild>
                </w:div>
                <w:div w:id="312032831">
                  <w:marLeft w:val="0"/>
                  <w:marRight w:val="0"/>
                  <w:marTop w:val="0"/>
                  <w:marBottom w:val="0"/>
                  <w:divBdr>
                    <w:top w:val="none" w:sz="0" w:space="0" w:color="auto"/>
                    <w:left w:val="none" w:sz="0" w:space="0" w:color="auto"/>
                    <w:bottom w:val="none" w:sz="0" w:space="0" w:color="auto"/>
                    <w:right w:val="none" w:sz="0" w:space="0" w:color="auto"/>
                  </w:divBdr>
                  <w:divsChild>
                    <w:div w:id="2043481383">
                      <w:marLeft w:val="0"/>
                      <w:marRight w:val="0"/>
                      <w:marTop w:val="0"/>
                      <w:marBottom w:val="0"/>
                      <w:divBdr>
                        <w:top w:val="none" w:sz="0" w:space="0" w:color="auto"/>
                        <w:left w:val="none" w:sz="0" w:space="0" w:color="auto"/>
                        <w:bottom w:val="none" w:sz="0" w:space="0" w:color="auto"/>
                        <w:right w:val="none" w:sz="0" w:space="0" w:color="auto"/>
                      </w:divBdr>
                    </w:div>
                  </w:divsChild>
                </w:div>
                <w:div w:id="317348914">
                  <w:marLeft w:val="0"/>
                  <w:marRight w:val="0"/>
                  <w:marTop w:val="0"/>
                  <w:marBottom w:val="0"/>
                  <w:divBdr>
                    <w:top w:val="none" w:sz="0" w:space="0" w:color="auto"/>
                    <w:left w:val="none" w:sz="0" w:space="0" w:color="auto"/>
                    <w:bottom w:val="none" w:sz="0" w:space="0" w:color="auto"/>
                    <w:right w:val="none" w:sz="0" w:space="0" w:color="auto"/>
                  </w:divBdr>
                  <w:divsChild>
                    <w:div w:id="318005405">
                      <w:marLeft w:val="0"/>
                      <w:marRight w:val="0"/>
                      <w:marTop w:val="0"/>
                      <w:marBottom w:val="0"/>
                      <w:divBdr>
                        <w:top w:val="none" w:sz="0" w:space="0" w:color="auto"/>
                        <w:left w:val="none" w:sz="0" w:space="0" w:color="auto"/>
                        <w:bottom w:val="none" w:sz="0" w:space="0" w:color="auto"/>
                        <w:right w:val="none" w:sz="0" w:space="0" w:color="auto"/>
                      </w:divBdr>
                    </w:div>
                  </w:divsChild>
                </w:div>
                <w:div w:id="318459716">
                  <w:marLeft w:val="0"/>
                  <w:marRight w:val="0"/>
                  <w:marTop w:val="0"/>
                  <w:marBottom w:val="0"/>
                  <w:divBdr>
                    <w:top w:val="none" w:sz="0" w:space="0" w:color="auto"/>
                    <w:left w:val="none" w:sz="0" w:space="0" w:color="auto"/>
                    <w:bottom w:val="none" w:sz="0" w:space="0" w:color="auto"/>
                    <w:right w:val="none" w:sz="0" w:space="0" w:color="auto"/>
                  </w:divBdr>
                  <w:divsChild>
                    <w:div w:id="779372376">
                      <w:marLeft w:val="0"/>
                      <w:marRight w:val="0"/>
                      <w:marTop w:val="0"/>
                      <w:marBottom w:val="0"/>
                      <w:divBdr>
                        <w:top w:val="none" w:sz="0" w:space="0" w:color="auto"/>
                        <w:left w:val="none" w:sz="0" w:space="0" w:color="auto"/>
                        <w:bottom w:val="none" w:sz="0" w:space="0" w:color="auto"/>
                        <w:right w:val="none" w:sz="0" w:space="0" w:color="auto"/>
                      </w:divBdr>
                    </w:div>
                    <w:div w:id="1086073770">
                      <w:marLeft w:val="0"/>
                      <w:marRight w:val="0"/>
                      <w:marTop w:val="0"/>
                      <w:marBottom w:val="0"/>
                      <w:divBdr>
                        <w:top w:val="none" w:sz="0" w:space="0" w:color="auto"/>
                        <w:left w:val="none" w:sz="0" w:space="0" w:color="auto"/>
                        <w:bottom w:val="none" w:sz="0" w:space="0" w:color="auto"/>
                        <w:right w:val="none" w:sz="0" w:space="0" w:color="auto"/>
                      </w:divBdr>
                    </w:div>
                  </w:divsChild>
                </w:div>
                <w:div w:id="319777707">
                  <w:marLeft w:val="0"/>
                  <w:marRight w:val="0"/>
                  <w:marTop w:val="0"/>
                  <w:marBottom w:val="0"/>
                  <w:divBdr>
                    <w:top w:val="none" w:sz="0" w:space="0" w:color="auto"/>
                    <w:left w:val="none" w:sz="0" w:space="0" w:color="auto"/>
                    <w:bottom w:val="none" w:sz="0" w:space="0" w:color="auto"/>
                    <w:right w:val="none" w:sz="0" w:space="0" w:color="auto"/>
                  </w:divBdr>
                  <w:divsChild>
                    <w:div w:id="142234654">
                      <w:marLeft w:val="0"/>
                      <w:marRight w:val="0"/>
                      <w:marTop w:val="0"/>
                      <w:marBottom w:val="0"/>
                      <w:divBdr>
                        <w:top w:val="none" w:sz="0" w:space="0" w:color="auto"/>
                        <w:left w:val="none" w:sz="0" w:space="0" w:color="auto"/>
                        <w:bottom w:val="none" w:sz="0" w:space="0" w:color="auto"/>
                        <w:right w:val="none" w:sz="0" w:space="0" w:color="auto"/>
                      </w:divBdr>
                    </w:div>
                  </w:divsChild>
                </w:div>
                <w:div w:id="322709254">
                  <w:marLeft w:val="0"/>
                  <w:marRight w:val="0"/>
                  <w:marTop w:val="0"/>
                  <w:marBottom w:val="0"/>
                  <w:divBdr>
                    <w:top w:val="none" w:sz="0" w:space="0" w:color="auto"/>
                    <w:left w:val="none" w:sz="0" w:space="0" w:color="auto"/>
                    <w:bottom w:val="none" w:sz="0" w:space="0" w:color="auto"/>
                    <w:right w:val="none" w:sz="0" w:space="0" w:color="auto"/>
                  </w:divBdr>
                  <w:divsChild>
                    <w:div w:id="320694029">
                      <w:marLeft w:val="0"/>
                      <w:marRight w:val="0"/>
                      <w:marTop w:val="0"/>
                      <w:marBottom w:val="0"/>
                      <w:divBdr>
                        <w:top w:val="none" w:sz="0" w:space="0" w:color="auto"/>
                        <w:left w:val="none" w:sz="0" w:space="0" w:color="auto"/>
                        <w:bottom w:val="none" w:sz="0" w:space="0" w:color="auto"/>
                        <w:right w:val="none" w:sz="0" w:space="0" w:color="auto"/>
                      </w:divBdr>
                    </w:div>
                  </w:divsChild>
                </w:div>
                <w:div w:id="355235986">
                  <w:marLeft w:val="0"/>
                  <w:marRight w:val="0"/>
                  <w:marTop w:val="0"/>
                  <w:marBottom w:val="0"/>
                  <w:divBdr>
                    <w:top w:val="none" w:sz="0" w:space="0" w:color="auto"/>
                    <w:left w:val="none" w:sz="0" w:space="0" w:color="auto"/>
                    <w:bottom w:val="none" w:sz="0" w:space="0" w:color="auto"/>
                    <w:right w:val="none" w:sz="0" w:space="0" w:color="auto"/>
                  </w:divBdr>
                  <w:divsChild>
                    <w:div w:id="913857913">
                      <w:marLeft w:val="0"/>
                      <w:marRight w:val="0"/>
                      <w:marTop w:val="0"/>
                      <w:marBottom w:val="0"/>
                      <w:divBdr>
                        <w:top w:val="none" w:sz="0" w:space="0" w:color="auto"/>
                        <w:left w:val="none" w:sz="0" w:space="0" w:color="auto"/>
                        <w:bottom w:val="none" w:sz="0" w:space="0" w:color="auto"/>
                        <w:right w:val="none" w:sz="0" w:space="0" w:color="auto"/>
                      </w:divBdr>
                    </w:div>
                  </w:divsChild>
                </w:div>
                <w:div w:id="360126628">
                  <w:marLeft w:val="0"/>
                  <w:marRight w:val="0"/>
                  <w:marTop w:val="0"/>
                  <w:marBottom w:val="0"/>
                  <w:divBdr>
                    <w:top w:val="none" w:sz="0" w:space="0" w:color="auto"/>
                    <w:left w:val="none" w:sz="0" w:space="0" w:color="auto"/>
                    <w:bottom w:val="none" w:sz="0" w:space="0" w:color="auto"/>
                    <w:right w:val="none" w:sz="0" w:space="0" w:color="auto"/>
                  </w:divBdr>
                  <w:divsChild>
                    <w:div w:id="1064330718">
                      <w:marLeft w:val="0"/>
                      <w:marRight w:val="0"/>
                      <w:marTop w:val="0"/>
                      <w:marBottom w:val="0"/>
                      <w:divBdr>
                        <w:top w:val="none" w:sz="0" w:space="0" w:color="auto"/>
                        <w:left w:val="none" w:sz="0" w:space="0" w:color="auto"/>
                        <w:bottom w:val="none" w:sz="0" w:space="0" w:color="auto"/>
                        <w:right w:val="none" w:sz="0" w:space="0" w:color="auto"/>
                      </w:divBdr>
                    </w:div>
                  </w:divsChild>
                </w:div>
                <w:div w:id="365065710">
                  <w:marLeft w:val="0"/>
                  <w:marRight w:val="0"/>
                  <w:marTop w:val="0"/>
                  <w:marBottom w:val="0"/>
                  <w:divBdr>
                    <w:top w:val="none" w:sz="0" w:space="0" w:color="auto"/>
                    <w:left w:val="none" w:sz="0" w:space="0" w:color="auto"/>
                    <w:bottom w:val="none" w:sz="0" w:space="0" w:color="auto"/>
                    <w:right w:val="none" w:sz="0" w:space="0" w:color="auto"/>
                  </w:divBdr>
                  <w:divsChild>
                    <w:div w:id="522323075">
                      <w:marLeft w:val="0"/>
                      <w:marRight w:val="0"/>
                      <w:marTop w:val="0"/>
                      <w:marBottom w:val="0"/>
                      <w:divBdr>
                        <w:top w:val="none" w:sz="0" w:space="0" w:color="auto"/>
                        <w:left w:val="none" w:sz="0" w:space="0" w:color="auto"/>
                        <w:bottom w:val="none" w:sz="0" w:space="0" w:color="auto"/>
                        <w:right w:val="none" w:sz="0" w:space="0" w:color="auto"/>
                      </w:divBdr>
                    </w:div>
                  </w:divsChild>
                </w:div>
                <w:div w:id="366638845">
                  <w:marLeft w:val="0"/>
                  <w:marRight w:val="0"/>
                  <w:marTop w:val="0"/>
                  <w:marBottom w:val="0"/>
                  <w:divBdr>
                    <w:top w:val="none" w:sz="0" w:space="0" w:color="auto"/>
                    <w:left w:val="none" w:sz="0" w:space="0" w:color="auto"/>
                    <w:bottom w:val="none" w:sz="0" w:space="0" w:color="auto"/>
                    <w:right w:val="none" w:sz="0" w:space="0" w:color="auto"/>
                  </w:divBdr>
                  <w:divsChild>
                    <w:div w:id="16394827">
                      <w:marLeft w:val="0"/>
                      <w:marRight w:val="0"/>
                      <w:marTop w:val="0"/>
                      <w:marBottom w:val="0"/>
                      <w:divBdr>
                        <w:top w:val="none" w:sz="0" w:space="0" w:color="auto"/>
                        <w:left w:val="none" w:sz="0" w:space="0" w:color="auto"/>
                        <w:bottom w:val="none" w:sz="0" w:space="0" w:color="auto"/>
                        <w:right w:val="none" w:sz="0" w:space="0" w:color="auto"/>
                      </w:divBdr>
                    </w:div>
                    <w:div w:id="24184879">
                      <w:marLeft w:val="0"/>
                      <w:marRight w:val="0"/>
                      <w:marTop w:val="0"/>
                      <w:marBottom w:val="0"/>
                      <w:divBdr>
                        <w:top w:val="none" w:sz="0" w:space="0" w:color="auto"/>
                        <w:left w:val="none" w:sz="0" w:space="0" w:color="auto"/>
                        <w:bottom w:val="none" w:sz="0" w:space="0" w:color="auto"/>
                        <w:right w:val="none" w:sz="0" w:space="0" w:color="auto"/>
                      </w:divBdr>
                    </w:div>
                    <w:div w:id="76366515">
                      <w:marLeft w:val="0"/>
                      <w:marRight w:val="0"/>
                      <w:marTop w:val="0"/>
                      <w:marBottom w:val="0"/>
                      <w:divBdr>
                        <w:top w:val="none" w:sz="0" w:space="0" w:color="auto"/>
                        <w:left w:val="none" w:sz="0" w:space="0" w:color="auto"/>
                        <w:bottom w:val="none" w:sz="0" w:space="0" w:color="auto"/>
                        <w:right w:val="none" w:sz="0" w:space="0" w:color="auto"/>
                      </w:divBdr>
                    </w:div>
                    <w:div w:id="177501117">
                      <w:marLeft w:val="0"/>
                      <w:marRight w:val="0"/>
                      <w:marTop w:val="0"/>
                      <w:marBottom w:val="0"/>
                      <w:divBdr>
                        <w:top w:val="none" w:sz="0" w:space="0" w:color="auto"/>
                        <w:left w:val="none" w:sz="0" w:space="0" w:color="auto"/>
                        <w:bottom w:val="none" w:sz="0" w:space="0" w:color="auto"/>
                        <w:right w:val="none" w:sz="0" w:space="0" w:color="auto"/>
                      </w:divBdr>
                    </w:div>
                    <w:div w:id="239024011">
                      <w:marLeft w:val="0"/>
                      <w:marRight w:val="0"/>
                      <w:marTop w:val="0"/>
                      <w:marBottom w:val="0"/>
                      <w:divBdr>
                        <w:top w:val="none" w:sz="0" w:space="0" w:color="auto"/>
                        <w:left w:val="none" w:sz="0" w:space="0" w:color="auto"/>
                        <w:bottom w:val="none" w:sz="0" w:space="0" w:color="auto"/>
                        <w:right w:val="none" w:sz="0" w:space="0" w:color="auto"/>
                      </w:divBdr>
                    </w:div>
                    <w:div w:id="242298233">
                      <w:marLeft w:val="0"/>
                      <w:marRight w:val="0"/>
                      <w:marTop w:val="0"/>
                      <w:marBottom w:val="0"/>
                      <w:divBdr>
                        <w:top w:val="none" w:sz="0" w:space="0" w:color="auto"/>
                        <w:left w:val="none" w:sz="0" w:space="0" w:color="auto"/>
                        <w:bottom w:val="none" w:sz="0" w:space="0" w:color="auto"/>
                        <w:right w:val="none" w:sz="0" w:space="0" w:color="auto"/>
                      </w:divBdr>
                    </w:div>
                    <w:div w:id="262307816">
                      <w:marLeft w:val="0"/>
                      <w:marRight w:val="0"/>
                      <w:marTop w:val="0"/>
                      <w:marBottom w:val="0"/>
                      <w:divBdr>
                        <w:top w:val="none" w:sz="0" w:space="0" w:color="auto"/>
                        <w:left w:val="none" w:sz="0" w:space="0" w:color="auto"/>
                        <w:bottom w:val="none" w:sz="0" w:space="0" w:color="auto"/>
                        <w:right w:val="none" w:sz="0" w:space="0" w:color="auto"/>
                      </w:divBdr>
                    </w:div>
                    <w:div w:id="452360585">
                      <w:marLeft w:val="0"/>
                      <w:marRight w:val="0"/>
                      <w:marTop w:val="0"/>
                      <w:marBottom w:val="0"/>
                      <w:divBdr>
                        <w:top w:val="none" w:sz="0" w:space="0" w:color="auto"/>
                        <w:left w:val="none" w:sz="0" w:space="0" w:color="auto"/>
                        <w:bottom w:val="none" w:sz="0" w:space="0" w:color="auto"/>
                        <w:right w:val="none" w:sz="0" w:space="0" w:color="auto"/>
                      </w:divBdr>
                    </w:div>
                    <w:div w:id="678429515">
                      <w:marLeft w:val="0"/>
                      <w:marRight w:val="0"/>
                      <w:marTop w:val="0"/>
                      <w:marBottom w:val="0"/>
                      <w:divBdr>
                        <w:top w:val="none" w:sz="0" w:space="0" w:color="auto"/>
                        <w:left w:val="none" w:sz="0" w:space="0" w:color="auto"/>
                        <w:bottom w:val="none" w:sz="0" w:space="0" w:color="auto"/>
                        <w:right w:val="none" w:sz="0" w:space="0" w:color="auto"/>
                      </w:divBdr>
                    </w:div>
                    <w:div w:id="937952090">
                      <w:marLeft w:val="0"/>
                      <w:marRight w:val="0"/>
                      <w:marTop w:val="0"/>
                      <w:marBottom w:val="0"/>
                      <w:divBdr>
                        <w:top w:val="none" w:sz="0" w:space="0" w:color="auto"/>
                        <w:left w:val="none" w:sz="0" w:space="0" w:color="auto"/>
                        <w:bottom w:val="none" w:sz="0" w:space="0" w:color="auto"/>
                        <w:right w:val="none" w:sz="0" w:space="0" w:color="auto"/>
                      </w:divBdr>
                    </w:div>
                    <w:div w:id="979650695">
                      <w:marLeft w:val="0"/>
                      <w:marRight w:val="0"/>
                      <w:marTop w:val="0"/>
                      <w:marBottom w:val="0"/>
                      <w:divBdr>
                        <w:top w:val="none" w:sz="0" w:space="0" w:color="auto"/>
                        <w:left w:val="none" w:sz="0" w:space="0" w:color="auto"/>
                        <w:bottom w:val="none" w:sz="0" w:space="0" w:color="auto"/>
                        <w:right w:val="none" w:sz="0" w:space="0" w:color="auto"/>
                      </w:divBdr>
                    </w:div>
                    <w:div w:id="1229416538">
                      <w:marLeft w:val="0"/>
                      <w:marRight w:val="0"/>
                      <w:marTop w:val="0"/>
                      <w:marBottom w:val="0"/>
                      <w:divBdr>
                        <w:top w:val="none" w:sz="0" w:space="0" w:color="auto"/>
                        <w:left w:val="none" w:sz="0" w:space="0" w:color="auto"/>
                        <w:bottom w:val="none" w:sz="0" w:space="0" w:color="auto"/>
                        <w:right w:val="none" w:sz="0" w:space="0" w:color="auto"/>
                      </w:divBdr>
                    </w:div>
                    <w:div w:id="1251543764">
                      <w:marLeft w:val="0"/>
                      <w:marRight w:val="0"/>
                      <w:marTop w:val="0"/>
                      <w:marBottom w:val="0"/>
                      <w:divBdr>
                        <w:top w:val="none" w:sz="0" w:space="0" w:color="auto"/>
                        <w:left w:val="none" w:sz="0" w:space="0" w:color="auto"/>
                        <w:bottom w:val="none" w:sz="0" w:space="0" w:color="auto"/>
                        <w:right w:val="none" w:sz="0" w:space="0" w:color="auto"/>
                      </w:divBdr>
                    </w:div>
                    <w:div w:id="1784493977">
                      <w:marLeft w:val="0"/>
                      <w:marRight w:val="0"/>
                      <w:marTop w:val="0"/>
                      <w:marBottom w:val="0"/>
                      <w:divBdr>
                        <w:top w:val="none" w:sz="0" w:space="0" w:color="auto"/>
                        <w:left w:val="none" w:sz="0" w:space="0" w:color="auto"/>
                        <w:bottom w:val="none" w:sz="0" w:space="0" w:color="auto"/>
                        <w:right w:val="none" w:sz="0" w:space="0" w:color="auto"/>
                      </w:divBdr>
                    </w:div>
                    <w:div w:id="2029406651">
                      <w:marLeft w:val="0"/>
                      <w:marRight w:val="0"/>
                      <w:marTop w:val="0"/>
                      <w:marBottom w:val="0"/>
                      <w:divBdr>
                        <w:top w:val="none" w:sz="0" w:space="0" w:color="auto"/>
                        <w:left w:val="none" w:sz="0" w:space="0" w:color="auto"/>
                        <w:bottom w:val="none" w:sz="0" w:space="0" w:color="auto"/>
                        <w:right w:val="none" w:sz="0" w:space="0" w:color="auto"/>
                      </w:divBdr>
                    </w:div>
                  </w:divsChild>
                </w:div>
                <w:div w:id="370544584">
                  <w:marLeft w:val="0"/>
                  <w:marRight w:val="0"/>
                  <w:marTop w:val="0"/>
                  <w:marBottom w:val="0"/>
                  <w:divBdr>
                    <w:top w:val="none" w:sz="0" w:space="0" w:color="auto"/>
                    <w:left w:val="none" w:sz="0" w:space="0" w:color="auto"/>
                    <w:bottom w:val="none" w:sz="0" w:space="0" w:color="auto"/>
                    <w:right w:val="none" w:sz="0" w:space="0" w:color="auto"/>
                  </w:divBdr>
                  <w:divsChild>
                    <w:div w:id="141118763">
                      <w:marLeft w:val="0"/>
                      <w:marRight w:val="0"/>
                      <w:marTop w:val="0"/>
                      <w:marBottom w:val="0"/>
                      <w:divBdr>
                        <w:top w:val="none" w:sz="0" w:space="0" w:color="auto"/>
                        <w:left w:val="none" w:sz="0" w:space="0" w:color="auto"/>
                        <w:bottom w:val="none" w:sz="0" w:space="0" w:color="auto"/>
                        <w:right w:val="none" w:sz="0" w:space="0" w:color="auto"/>
                      </w:divBdr>
                    </w:div>
                  </w:divsChild>
                </w:div>
                <w:div w:id="373892134">
                  <w:marLeft w:val="0"/>
                  <w:marRight w:val="0"/>
                  <w:marTop w:val="0"/>
                  <w:marBottom w:val="0"/>
                  <w:divBdr>
                    <w:top w:val="none" w:sz="0" w:space="0" w:color="auto"/>
                    <w:left w:val="none" w:sz="0" w:space="0" w:color="auto"/>
                    <w:bottom w:val="none" w:sz="0" w:space="0" w:color="auto"/>
                    <w:right w:val="none" w:sz="0" w:space="0" w:color="auto"/>
                  </w:divBdr>
                  <w:divsChild>
                    <w:div w:id="985625362">
                      <w:marLeft w:val="0"/>
                      <w:marRight w:val="0"/>
                      <w:marTop w:val="0"/>
                      <w:marBottom w:val="0"/>
                      <w:divBdr>
                        <w:top w:val="none" w:sz="0" w:space="0" w:color="auto"/>
                        <w:left w:val="none" w:sz="0" w:space="0" w:color="auto"/>
                        <w:bottom w:val="none" w:sz="0" w:space="0" w:color="auto"/>
                        <w:right w:val="none" w:sz="0" w:space="0" w:color="auto"/>
                      </w:divBdr>
                    </w:div>
                  </w:divsChild>
                </w:div>
                <w:div w:id="375013704">
                  <w:marLeft w:val="0"/>
                  <w:marRight w:val="0"/>
                  <w:marTop w:val="0"/>
                  <w:marBottom w:val="0"/>
                  <w:divBdr>
                    <w:top w:val="none" w:sz="0" w:space="0" w:color="auto"/>
                    <w:left w:val="none" w:sz="0" w:space="0" w:color="auto"/>
                    <w:bottom w:val="none" w:sz="0" w:space="0" w:color="auto"/>
                    <w:right w:val="none" w:sz="0" w:space="0" w:color="auto"/>
                  </w:divBdr>
                  <w:divsChild>
                    <w:div w:id="1108113157">
                      <w:marLeft w:val="0"/>
                      <w:marRight w:val="0"/>
                      <w:marTop w:val="0"/>
                      <w:marBottom w:val="0"/>
                      <w:divBdr>
                        <w:top w:val="none" w:sz="0" w:space="0" w:color="auto"/>
                        <w:left w:val="none" w:sz="0" w:space="0" w:color="auto"/>
                        <w:bottom w:val="none" w:sz="0" w:space="0" w:color="auto"/>
                        <w:right w:val="none" w:sz="0" w:space="0" w:color="auto"/>
                      </w:divBdr>
                    </w:div>
                  </w:divsChild>
                </w:div>
                <w:div w:id="377440644">
                  <w:marLeft w:val="0"/>
                  <w:marRight w:val="0"/>
                  <w:marTop w:val="0"/>
                  <w:marBottom w:val="0"/>
                  <w:divBdr>
                    <w:top w:val="none" w:sz="0" w:space="0" w:color="auto"/>
                    <w:left w:val="none" w:sz="0" w:space="0" w:color="auto"/>
                    <w:bottom w:val="none" w:sz="0" w:space="0" w:color="auto"/>
                    <w:right w:val="none" w:sz="0" w:space="0" w:color="auto"/>
                  </w:divBdr>
                  <w:divsChild>
                    <w:div w:id="1297758706">
                      <w:marLeft w:val="0"/>
                      <w:marRight w:val="0"/>
                      <w:marTop w:val="0"/>
                      <w:marBottom w:val="0"/>
                      <w:divBdr>
                        <w:top w:val="none" w:sz="0" w:space="0" w:color="auto"/>
                        <w:left w:val="none" w:sz="0" w:space="0" w:color="auto"/>
                        <w:bottom w:val="none" w:sz="0" w:space="0" w:color="auto"/>
                        <w:right w:val="none" w:sz="0" w:space="0" w:color="auto"/>
                      </w:divBdr>
                    </w:div>
                  </w:divsChild>
                </w:div>
                <w:div w:id="378364078">
                  <w:marLeft w:val="0"/>
                  <w:marRight w:val="0"/>
                  <w:marTop w:val="0"/>
                  <w:marBottom w:val="0"/>
                  <w:divBdr>
                    <w:top w:val="none" w:sz="0" w:space="0" w:color="auto"/>
                    <w:left w:val="none" w:sz="0" w:space="0" w:color="auto"/>
                    <w:bottom w:val="none" w:sz="0" w:space="0" w:color="auto"/>
                    <w:right w:val="none" w:sz="0" w:space="0" w:color="auto"/>
                  </w:divBdr>
                  <w:divsChild>
                    <w:div w:id="1676953649">
                      <w:marLeft w:val="0"/>
                      <w:marRight w:val="0"/>
                      <w:marTop w:val="0"/>
                      <w:marBottom w:val="0"/>
                      <w:divBdr>
                        <w:top w:val="none" w:sz="0" w:space="0" w:color="auto"/>
                        <w:left w:val="none" w:sz="0" w:space="0" w:color="auto"/>
                        <w:bottom w:val="none" w:sz="0" w:space="0" w:color="auto"/>
                        <w:right w:val="none" w:sz="0" w:space="0" w:color="auto"/>
                      </w:divBdr>
                    </w:div>
                  </w:divsChild>
                </w:div>
                <w:div w:id="390353095">
                  <w:marLeft w:val="0"/>
                  <w:marRight w:val="0"/>
                  <w:marTop w:val="0"/>
                  <w:marBottom w:val="0"/>
                  <w:divBdr>
                    <w:top w:val="none" w:sz="0" w:space="0" w:color="auto"/>
                    <w:left w:val="none" w:sz="0" w:space="0" w:color="auto"/>
                    <w:bottom w:val="none" w:sz="0" w:space="0" w:color="auto"/>
                    <w:right w:val="none" w:sz="0" w:space="0" w:color="auto"/>
                  </w:divBdr>
                  <w:divsChild>
                    <w:div w:id="1564438820">
                      <w:marLeft w:val="0"/>
                      <w:marRight w:val="0"/>
                      <w:marTop w:val="0"/>
                      <w:marBottom w:val="0"/>
                      <w:divBdr>
                        <w:top w:val="none" w:sz="0" w:space="0" w:color="auto"/>
                        <w:left w:val="none" w:sz="0" w:space="0" w:color="auto"/>
                        <w:bottom w:val="none" w:sz="0" w:space="0" w:color="auto"/>
                        <w:right w:val="none" w:sz="0" w:space="0" w:color="auto"/>
                      </w:divBdr>
                    </w:div>
                  </w:divsChild>
                </w:div>
                <w:div w:id="397899535">
                  <w:marLeft w:val="0"/>
                  <w:marRight w:val="0"/>
                  <w:marTop w:val="0"/>
                  <w:marBottom w:val="0"/>
                  <w:divBdr>
                    <w:top w:val="none" w:sz="0" w:space="0" w:color="auto"/>
                    <w:left w:val="none" w:sz="0" w:space="0" w:color="auto"/>
                    <w:bottom w:val="none" w:sz="0" w:space="0" w:color="auto"/>
                    <w:right w:val="none" w:sz="0" w:space="0" w:color="auto"/>
                  </w:divBdr>
                  <w:divsChild>
                    <w:div w:id="465584894">
                      <w:marLeft w:val="0"/>
                      <w:marRight w:val="0"/>
                      <w:marTop w:val="0"/>
                      <w:marBottom w:val="0"/>
                      <w:divBdr>
                        <w:top w:val="none" w:sz="0" w:space="0" w:color="auto"/>
                        <w:left w:val="none" w:sz="0" w:space="0" w:color="auto"/>
                        <w:bottom w:val="none" w:sz="0" w:space="0" w:color="auto"/>
                        <w:right w:val="none" w:sz="0" w:space="0" w:color="auto"/>
                      </w:divBdr>
                    </w:div>
                  </w:divsChild>
                </w:div>
                <w:div w:id="399644280">
                  <w:marLeft w:val="0"/>
                  <w:marRight w:val="0"/>
                  <w:marTop w:val="0"/>
                  <w:marBottom w:val="0"/>
                  <w:divBdr>
                    <w:top w:val="none" w:sz="0" w:space="0" w:color="auto"/>
                    <w:left w:val="none" w:sz="0" w:space="0" w:color="auto"/>
                    <w:bottom w:val="none" w:sz="0" w:space="0" w:color="auto"/>
                    <w:right w:val="none" w:sz="0" w:space="0" w:color="auto"/>
                  </w:divBdr>
                  <w:divsChild>
                    <w:div w:id="1781144658">
                      <w:marLeft w:val="0"/>
                      <w:marRight w:val="0"/>
                      <w:marTop w:val="0"/>
                      <w:marBottom w:val="0"/>
                      <w:divBdr>
                        <w:top w:val="none" w:sz="0" w:space="0" w:color="auto"/>
                        <w:left w:val="none" w:sz="0" w:space="0" w:color="auto"/>
                        <w:bottom w:val="none" w:sz="0" w:space="0" w:color="auto"/>
                        <w:right w:val="none" w:sz="0" w:space="0" w:color="auto"/>
                      </w:divBdr>
                    </w:div>
                  </w:divsChild>
                </w:div>
                <w:div w:id="403144404">
                  <w:marLeft w:val="0"/>
                  <w:marRight w:val="0"/>
                  <w:marTop w:val="0"/>
                  <w:marBottom w:val="0"/>
                  <w:divBdr>
                    <w:top w:val="none" w:sz="0" w:space="0" w:color="auto"/>
                    <w:left w:val="none" w:sz="0" w:space="0" w:color="auto"/>
                    <w:bottom w:val="none" w:sz="0" w:space="0" w:color="auto"/>
                    <w:right w:val="none" w:sz="0" w:space="0" w:color="auto"/>
                  </w:divBdr>
                  <w:divsChild>
                    <w:div w:id="1858422339">
                      <w:marLeft w:val="0"/>
                      <w:marRight w:val="0"/>
                      <w:marTop w:val="0"/>
                      <w:marBottom w:val="0"/>
                      <w:divBdr>
                        <w:top w:val="none" w:sz="0" w:space="0" w:color="auto"/>
                        <w:left w:val="none" w:sz="0" w:space="0" w:color="auto"/>
                        <w:bottom w:val="none" w:sz="0" w:space="0" w:color="auto"/>
                        <w:right w:val="none" w:sz="0" w:space="0" w:color="auto"/>
                      </w:divBdr>
                    </w:div>
                  </w:divsChild>
                </w:div>
                <w:div w:id="408040520">
                  <w:marLeft w:val="0"/>
                  <w:marRight w:val="0"/>
                  <w:marTop w:val="0"/>
                  <w:marBottom w:val="0"/>
                  <w:divBdr>
                    <w:top w:val="none" w:sz="0" w:space="0" w:color="auto"/>
                    <w:left w:val="none" w:sz="0" w:space="0" w:color="auto"/>
                    <w:bottom w:val="none" w:sz="0" w:space="0" w:color="auto"/>
                    <w:right w:val="none" w:sz="0" w:space="0" w:color="auto"/>
                  </w:divBdr>
                  <w:divsChild>
                    <w:div w:id="329215228">
                      <w:marLeft w:val="0"/>
                      <w:marRight w:val="0"/>
                      <w:marTop w:val="0"/>
                      <w:marBottom w:val="0"/>
                      <w:divBdr>
                        <w:top w:val="none" w:sz="0" w:space="0" w:color="auto"/>
                        <w:left w:val="none" w:sz="0" w:space="0" w:color="auto"/>
                        <w:bottom w:val="none" w:sz="0" w:space="0" w:color="auto"/>
                        <w:right w:val="none" w:sz="0" w:space="0" w:color="auto"/>
                      </w:divBdr>
                    </w:div>
                  </w:divsChild>
                </w:div>
                <w:div w:id="414088051">
                  <w:marLeft w:val="0"/>
                  <w:marRight w:val="0"/>
                  <w:marTop w:val="0"/>
                  <w:marBottom w:val="0"/>
                  <w:divBdr>
                    <w:top w:val="none" w:sz="0" w:space="0" w:color="auto"/>
                    <w:left w:val="none" w:sz="0" w:space="0" w:color="auto"/>
                    <w:bottom w:val="none" w:sz="0" w:space="0" w:color="auto"/>
                    <w:right w:val="none" w:sz="0" w:space="0" w:color="auto"/>
                  </w:divBdr>
                  <w:divsChild>
                    <w:div w:id="731193624">
                      <w:marLeft w:val="0"/>
                      <w:marRight w:val="0"/>
                      <w:marTop w:val="0"/>
                      <w:marBottom w:val="0"/>
                      <w:divBdr>
                        <w:top w:val="none" w:sz="0" w:space="0" w:color="auto"/>
                        <w:left w:val="none" w:sz="0" w:space="0" w:color="auto"/>
                        <w:bottom w:val="none" w:sz="0" w:space="0" w:color="auto"/>
                        <w:right w:val="none" w:sz="0" w:space="0" w:color="auto"/>
                      </w:divBdr>
                    </w:div>
                  </w:divsChild>
                </w:div>
                <w:div w:id="424963539">
                  <w:marLeft w:val="0"/>
                  <w:marRight w:val="0"/>
                  <w:marTop w:val="0"/>
                  <w:marBottom w:val="0"/>
                  <w:divBdr>
                    <w:top w:val="none" w:sz="0" w:space="0" w:color="auto"/>
                    <w:left w:val="none" w:sz="0" w:space="0" w:color="auto"/>
                    <w:bottom w:val="none" w:sz="0" w:space="0" w:color="auto"/>
                    <w:right w:val="none" w:sz="0" w:space="0" w:color="auto"/>
                  </w:divBdr>
                  <w:divsChild>
                    <w:div w:id="854686449">
                      <w:marLeft w:val="0"/>
                      <w:marRight w:val="0"/>
                      <w:marTop w:val="0"/>
                      <w:marBottom w:val="0"/>
                      <w:divBdr>
                        <w:top w:val="none" w:sz="0" w:space="0" w:color="auto"/>
                        <w:left w:val="none" w:sz="0" w:space="0" w:color="auto"/>
                        <w:bottom w:val="none" w:sz="0" w:space="0" w:color="auto"/>
                        <w:right w:val="none" w:sz="0" w:space="0" w:color="auto"/>
                      </w:divBdr>
                    </w:div>
                  </w:divsChild>
                </w:div>
                <w:div w:id="427623385">
                  <w:marLeft w:val="0"/>
                  <w:marRight w:val="0"/>
                  <w:marTop w:val="0"/>
                  <w:marBottom w:val="0"/>
                  <w:divBdr>
                    <w:top w:val="none" w:sz="0" w:space="0" w:color="auto"/>
                    <w:left w:val="none" w:sz="0" w:space="0" w:color="auto"/>
                    <w:bottom w:val="none" w:sz="0" w:space="0" w:color="auto"/>
                    <w:right w:val="none" w:sz="0" w:space="0" w:color="auto"/>
                  </w:divBdr>
                  <w:divsChild>
                    <w:div w:id="1557161928">
                      <w:marLeft w:val="0"/>
                      <w:marRight w:val="0"/>
                      <w:marTop w:val="0"/>
                      <w:marBottom w:val="0"/>
                      <w:divBdr>
                        <w:top w:val="none" w:sz="0" w:space="0" w:color="auto"/>
                        <w:left w:val="none" w:sz="0" w:space="0" w:color="auto"/>
                        <w:bottom w:val="none" w:sz="0" w:space="0" w:color="auto"/>
                        <w:right w:val="none" w:sz="0" w:space="0" w:color="auto"/>
                      </w:divBdr>
                    </w:div>
                  </w:divsChild>
                </w:div>
                <w:div w:id="429811629">
                  <w:marLeft w:val="0"/>
                  <w:marRight w:val="0"/>
                  <w:marTop w:val="0"/>
                  <w:marBottom w:val="0"/>
                  <w:divBdr>
                    <w:top w:val="none" w:sz="0" w:space="0" w:color="auto"/>
                    <w:left w:val="none" w:sz="0" w:space="0" w:color="auto"/>
                    <w:bottom w:val="none" w:sz="0" w:space="0" w:color="auto"/>
                    <w:right w:val="none" w:sz="0" w:space="0" w:color="auto"/>
                  </w:divBdr>
                  <w:divsChild>
                    <w:div w:id="1677878266">
                      <w:marLeft w:val="0"/>
                      <w:marRight w:val="0"/>
                      <w:marTop w:val="0"/>
                      <w:marBottom w:val="0"/>
                      <w:divBdr>
                        <w:top w:val="none" w:sz="0" w:space="0" w:color="auto"/>
                        <w:left w:val="none" w:sz="0" w:space="0" w:color="auto"/>
                        <w:bottom w:val="none" w:sz="0" w:space="0" w:color="auto"/>
                        <w:right w:val="none" w:sz="0" w:space="0" w:color="auto"/>
                      </w:divBdr>
                    </w:div>
                  </w:divsChild>
                </w:div>
                <w:div w:id="442110792">
                  <w:marLeft w:val="0"/>
                  <w:marRight w:val="0"/>
                  <w:marTop w:val="0"/>
                  <w:marBottom w:val="0"/>
                  <w:divBdr>
                    <w:top w:val="none" w:sz="0" w:space="0" w:color="auto"/>
                    <w:left w:val="none" w:sz="0" w:space="0" w:color="auto"/>
                    <w:bottom w:val="none" w:sz="0" w:space="0" w:color="auto"/>
                    <w:right w:val="none" w:sz="0" w:space="0" w:color="auto"/>
                  </w:divBdr>
                  <w:divsChild>
                    <w:div w:id="1194535596">
                      <w:marLeft w:val="0"/>
                      <w:marRight w:val="0"/>
                      <w:marTop w:val="0"/>
                      <w:marBottom w:val="0"/>
                      <w:divBdr>
                        <w:top w:val="none" w:sz="0" w:space="0" w:color="auto"/>
                        <w:left w:val="none" w:sz="0" w:space="0" w:color="auto"/>
                        <w:bottom w:val="none" w:sz="0" w:space="0" w:color="auto"/>
                        <w:right w:val="none" w:sz="0" w:space="0" w:color="auto"/>
                      </w:divBdr>
                    </w:div>
                  </w:divsChild>
                </w:div>
                <w:div w:id="445739622">
                  <w:marLeft w:val="0"/>
                  <w:marRight w:val="0"/>
                  <w:marTop w:val="0"/>
                  <w:marBottom w:val="0"/>
                  <w:divBdr>
                    <w:top w:val="none" w:sz="0" w:space="0" w:color="auto"/>
                    <w:left w:val="none" w:sz="0" w:space="0" w:color="auto"/>
                    <w:bottom w:val="none" w:sz="0" w:space="0" w:color="auto"/>
                    <w:right w:val="none" w:sz="0" w:space="0" w:color="auto"/>
                  </w:divBdr>
                  <w:divsChild>
                    <w:div w:id="1011181382">
                      <w:marLeft w:val="0"/>
                      <w:marRight w:val="0"/>
                      <w:marTop w:val="0"/>
                      <w:marBottom w:val="0"/>
                      <w:divBdr>
                        <w:top w:val="none" w:sz="0" w:space="0" w:color="auto"/>
                        <w:left w:val="none" w:sz="0" w:space="0" w:color="auto"/>
                        <w:bottom w:val="none" w:sz="0" w:space="0" w:color="auto"/>
                        <w:right w:val="none" w:sz="0" w:space="0" w:color="auto"/>
                      </w:divBdr>
                    </w:div>
                  </w:divsChild>
                </w:div>
                <w:div w:id="451830294">
                  <w:marLeft w:val="0"/>
                  <w:marRight w:val="0"/>
                  <w:marTop w:val="0"/>
                  <w:marBottom w:val="0"/>
                  <w:divBdr>
                    <w:top w:val="none" w:sz="0" w:space="0" w:color="auto"/>
                    <w:left w:val="none" w:sz="0" w:space="0" w:color="auto"/>
                    <w:bottom w:val="none" w:sz="0" w:space="0" w:color="auto"/>
                    <w:right w:val="none" w:sz="0" w:space="0" w:color="auto"/>
                  </w:divBdr>
                  <w:divsChild>
                    <w:div w:id="1634166275">
                      <w:marLeft w:val="0"/>
                      <w:marRight w:val="0"/>
                      <w:marTop w:val="0"/>
                      <w:marBottom w:val="0"/>
                      <w:divBdr>
                        <w:top w:val="none" w:sz="0" w:space="0" w:color="auto"/>
                        <w:left w:val="none" w:sz="0" w:space="0" w:color="auto"/>
                        <w:bottom w:val="none" w:sz="0" w:space="0" w:color="auto"/>
                        <w:right w:val="none" w:sz="0" w:space="0" w:color="auto"/>
                      </w:divBdr>
                    </w:div>
                  </w:divsChild>
                </w:div>
                <w:div w:id="456418037">
                  <w:marLeft w:val="0"/>
                  <w:marRight w:val="0"/>
                  <w:marTop w:val="0"/>
                  <w:marBottom w:val="0"/>
                  <w:divBdr>
                    <w:top w:val="none" w:sz="0" w:space="0" w:color="auto"/>
                    <w:left w:val="none" w:sz="0" w:space="0" w:color="auto"/>
                    <w:bottom w:val="none" w:sz="0" w:space="0" w:color="auto"/>
                    <w:right w:val="none" w:sz="0" w:space="0" w:color="auto"/>
                  </w:divBdr>
                  <w:divsChild>
                    <w:div w:id="1940016968">
                      <w:marLeft w:val="0"/>
                      <w:marRight w:val="0"/>
                      <w:marTop w:val="0"/>
                      <w:marBottom w:val="0"/>
                      <w:divBdr>
                        <w:top w:val="none" w:sz="0" w:space="0" w:color="auto"/>
                        <w:left w:val="none" w:sz="0" w:space="0" w:color="auto"/>
                        <w:bottom w:val="none" w:sz="0" w:space="0" w:color="auto"/>
                        <w:right w:val="none" w:sz="0" w:space="0" w:color="auto"/>
                      </w:divBdr>
                    </w:div>
                  </w:divsChild>
                </w:div>
                <w:div w:id="465976857">
                  <w:marLeft w:val="0"/>
                  <w:marRight w:val="0"/>
                  <w:marTop w:val="0"/>
                  <w:marBottom w:val="0"/>
                  <w:divBdr>
                    <w:top w:val="none" w:sz="0" w:space="0" w:color="auto"/>
                    <w:left w:val="none" w:sz="0" w:space="0" w:color="auto"/>
                    <w:bottom w:val="none" w:sz="0" w:space="0" w:color="auto"/>
                    <w:right w:val="none" w:sz="0" w:space="0" w:color="auto"/>
                  </w:divBdr>
                  <w:divsChild>
                    <w:div w:id="2072775124">
                      <w:marLeft w:val="0"/>
                      <w:marRight w:val="0"/>
                      <w:marTop w:val="0"/>
                      <w:marBottom w:val="0"/>
                      <w:divBdr>
                        <w:top w:val="none" w:sz="0" w:space="0" w:color="auto"/>
                        <w:left w:val="none" w:sz="0" w:space="0" w:color="auto"/>
                        <w:bottom w:val="none" w:sz="0" w:space="0" w:color="auto"/>
                        <w:right w:val="none" w:sz="0" w:space="0" w:color="auto"/>
                      </w:divBdr>
                    </w:div>
                  </w:divsChild>
                </w:div>
                <w:div w:id="472912902">
                  <w:marLeft w:val="0"/>
                  <w:marRight w:val="0"/>
                  <w:marTop w:val="0"/>
                  <w:marBottom w:val="0"/>
                  <w:divBdr>
                    <w:top w:val="none" w:sz="0" w:space="0" w:color="auto"/>
                    <w:left w:val="none" w:sz="0" w:space="0" w:color="auto"/>
                    <w:bottom w:val="none" w:sz="0" w:space="0" w:color="auto"/>
                    <w:right w:val="none" w:sz="0" w:space="0" w:color="auto"/>
                  </w:divBdr>
                  <w:divsChild>
                    <w:div w:id="1193345275">
                      <w:marLeft w:val="0"/>
                      <w:marRight w:val="0"/>
                      <w:marTop w:val="0"/>
                      <w:marBottom w:val="0"/>
                      <w:divBdr>
                        <w:top w:val="none" w:sz="0" w:space="0" w:color="auto"/>
                        <w:left w:val="none" w:sz="0" w:space="0" w:color="auto"/>
                        <w:bottom w:val="none" w:sz="0" w:space="0" w:color="auto"/>
                        <w:right w:val="none" w:sz="0" w:space="0" w:color="auto"/>
                      </w:divBdr>
                    </w:div>
                  </w:divsChild>
                </w:div>
                <w:div w:id="493836844">
                  <w:marLeft w:val="0"/>
                  <w:marRight w:val="0"/>
                  <w:marTop w:val="0"/>
                  <w:marBottom w:val="0"/>
                  <w:divBdr>
                    <w:top w:val="none" w:sz="0" w:space="0" w:color="auto"/>
                    <w:left w:val="none" w:sz="0" w:space="0" w:color="auto"/>
                    <w:bottom w:val="none" w:sz="0" w:space="0" w:color="auto"/>
                    <w:right w:val="none" w:sz="0" w:space="0" w:color="auto"/>
                  </w:divBdr>
                  <w:divsChild>
                    <w:div w:id="226113764">
                      <w:marLeft w:val="0"/>
                      <w:marRight w:val="0"/>
                      <w:marTop w:val="0"/>
                      <w:marBottom w:val="0"/>
                      <w:divBdr>
                        <w:top w:val="none" w:sz="0" w:space="0" w:color="auto"/>
                        <w:left w:val="none" w:sz="0" w:space="0" w:color="auto"/>
                        <w:bottom w:val="none" w:sz="0" w:space="0" w:color="auto"/>
                        <w:right w:val="none" w:sz="0" w:space="0" w:color="auto"/>
                      </w:divBdr>
                    </w:div>
                  </w:divsChild>
                </w:div>
                <w:div w:id="503278423">
                  <w:marLeft w:val="0"/>
                  <w:marRight w:val="0"/>
                  <w:marTop w:val="0"/>
                  <w:marBottom w:val="0"/>
                  <w:divBdr>
                    <w:top w:val="none" w:sz="0" w:space="0" w:color="auto"/>
                    <w:left w:val="none" w:sz="0" w:space="0" w:color="auto"/>
                    <w:bottom w:val="none" w:sz="0" w:space="0" w:color="auto"/>
                    <w:right w:val="none" w:sz="0" w:space="0" w:color="auto"/>
                  </w:divBdr>
                  <w:divsChild>
                    <w:div w:id="565797602">
                      <w:marLeft w:val="0"/>
                      <w:marRight w:val="0"/>
                      <w:marTop w:val="0"/>
                      <w:marBottom w:val="0"/>
                      <w:divBdr>
                        <w:top w:val="none" w:sz="0" w:space="0" w:color="auto"/>
                        <w:left w:val="none" w:sz="0" w:space="0" w:color="auto"/>
                        <w:bottom w:val="none" w:sz="0" w:space="0" w:color="auto"/>
                        <w:right w:val="none" w:sz="0" w:space="0" w:color="auto"/>
                      </w:divBdr>
                    </w:div>
                  </w:divsChild>
                </w:div>
                <w:div w:id="503936460">
                  <w:marLeft w:val="0"/>
                  <w:marRight w:val="0"/>
                  <w:marTop w:val="0"/>
                  <w:marBottom w:val="0"/>
                  <w:divBdr>
                    <w:top w:val="none" w:sz="0" w:space="0" w:color="auto"/>
                    <w:left w:val="none" w:sz="0" w:space="0" w:color="auto"/>
                    <w:bottom w:val="none" w:sz="0" w:space="0" w:color="auto"/>
                    <w:right w:val="none" w:sz="0" w:space="0" w:color="auto"/>
                  </w:divBdr>
                  <w:divsChild>
                    <w:div w:id="1642617900">
                      <w:marLeft w:val="0"/>
                      <w:marRight w:val="0"/>
                      <w:marTop w:val="0"/>
                      <w:marBottom w:val="0"/>
                      <w:divBdr>
                        <w:top w:val="none" w:sz="0" w:space="0" w:color="auto"/>
                        <w:left w:val="none" w:sz="0" w:space="0" w:color="auto"/>
                        <w:bottom w:val="none" w:sz="0" w:space="0" w:color="auto"/>
                        <w:right w:val="none" w:sz="0" w:space="0" w:color="auto"/>
                      </w:divBdr>
                    </w:div>
                  </w:divsChild>
                </w:div>
                <w:div w:id="508255250">
                  <w:marLeft w:val="0"/>
                  <w:marRight w:val="0"/>
                  <w:marTop w:val="0"/>
                  <w:marBottom w:val="0"/>
                  <w:divBdr>
                    <w:top w:val="none" w:sz="0" w:space="0" w:color="auto"/>
                    <w:left w:val="none" w:sz="0" w:space="0" w:color="auto"/>
                    <w:bottom w:val="none" w:sz="0" w:space="0" w:color="auto"/>
                    <w:right w:val="none" w:sz="0" w:space="0" w:color="auto"/>
                  </w:divBdr>
                  <w:divsChild>
                    <w:div w:id="1933925907">
                      <w:marLeft w:val="0"/>
                      <w:marRight w:val="0"/>
                      <w:marTop w:val="0"/>
                      <w:marBottom w:val="0"/>
                      <w:divBdr>
                        <w:top w:val="none" w:sz="0" w:space="0" w:color="auto"/>
                        <w:left w:val="none" w:sz="0" w:space="0" w:color="auto"/>
                        <w:bottom w:val="none" w:sz="0" w:space="0" w:color="auto"/>
                        <w:right w:val="none" w:sz="0" w:space="0" w:color="auto"/>
                      </w:divBdr>
                    </w:div>
                  </w:divsChild>
                </w:div>
                <w:div w:id="519465593">
                  <w:marLeft w:val="0"/>
                  <w:marRight w:val="0"/>
                  <w:marTop w:val="0"/>
                  <w:marBottom w:val="0"/>
                  <w:divBdr>
                    <w:top w:val="none" w:sz="0" w:space="0" w:color="auto"/>
                    <w:left w:val="none" w:sz="0" w:space="0" w:color="auto"/>
                    <w:bottom w:val="none" w:sz="0" w:space="0" w:color="auto"/>
                    <w:right w:val="none" w:sz="0" w:space="0" w:color="auto"/>
                  </w:divBdr>
                  <w:divsChild>
                    <w:div w:id="987439247">
                      <w:marLeft w:val="0"/>
                      <w:marRight w:val="0"/>
                      <w:marTop w:val="0"/>
                      <w:marBottom w:val="0"/>
                      <w:divBdr>
                        <w:top w:val="none" w:sz="0" w:space="0" w:color="auto"/>
                        <w:left w:val="none" w:sz="0" w:space="0" w:color="auto"/>
                        <w:bottom w:val="none" w:sz="0" w:space="0" w:color="auto"/>
                        <w:right w:val="none" w:sz="0" w:space="0" w:color="auto"/>
                      </w:divBdr>
                    </w:div>
                  </w:divsChild>
                </w:div>
                <w:div w:id="536431328">
                  <w:marLeft w:val="0"/>
                  <w:marRight w:val="0"/>
                  <w:marTop w:val="0"/>
                  <w:marBottom w:val="0"/>
                  <w:divBdr>
                    <w:top w:val="none" w:sz="0" w:space="0" w:color="auto"/>
                    <w:left w:val="none" w:sz="0" w:space="0" w:color="auto"/>
                    <w:bottom w:val="none" w:sz="0" w:space="0" w:color="auto"/>
                    <w:right w:val="none" w:sz="0" w:space="0" w:color="auto"/>
                  </w:divBdr>
                  <w:divsChild>
                    <w:div w:id="1660302861">
                      <w:marLeft w:val="0"/>
                      <w:marRight w:val="0"/>
                      <w:marTop w:val="0"/>
                      <w:marBottom w:val="0"/>
                      <w:divBdr>
                        <w:top w:val="none" w:sz="0" w:space="0" w:color="auto"/>
                        <w:left w:val="none" w:sz="0" w:space="0" w:color="auto"/>
                        <w:bottom w:val="none" w:sz="0" w:space="0" w:color="auto"/>
                        <w:right w:val="none" w:sz="0" w:space="0" w:color="auto"/>
                      </w:divBdr>
                    </w:div>
                  </w:divsChild>
                </w:div>
                <w:div w:id="539709727">
                  <w:marLeft w:val="0"/>
                  <w:marRight w:val="0"/>
                  <w:marTop w:val="0"/>
                  <w:marBottom w:val="0"/>
                  <w:divBdr>
                    <w:top w:val="none" w:sz="0" w:space="0" w:color="auto"/>
                    <w:left w:val="none" w:sz="0" w:space="0" w:color="auto"/>
                    <w:bottom w:val="none" w:sz="0" w:space="0" w:color="auto"/>
                    <w:right w:val="none" w:sz="0" w:space="0" w:color="auto"/>
                  </w:divBdr>
                  <w:divsChild>
                    <w:div w:id="2133667771">
                      <w:marLeft w:val="0"/>
                      <w:marRight w:val="0"/>
                      <w:marTop w:val="0"/>
                      <w:marBottom w:val="0"/>
                      <w:divBdr>
                        <w:top w:val="none" w:sz="0" w:space="0" w:color="auto"/>
                        <w:left w:val="none" w:sz="0" w:space="0" w:color="auto"/>
                        <w:bottom w:val="none" w:sz="0" w:space="0" w:color="auto"/>
                        <w:right w:val="none" w:sz="0" w:space="0" w:color="auto"/>
                      </w:divBdr>
                    </w:div>
                  </w:divsChild>
                </w:div>
                <w:div w:id="541357810">
                  <w:marLeft w:val="0"/>
                  <w:marRight w:val="0"/>
                  <w:marTop w:val="0"/>
                  <w:marBottom w:val="0"/>
                  <w:divBdr>
                    <w:top w:val="none" w:sz="0" w:space="0" w:color="auto"/>
                    <w:left w:val="none" w:sz="0" w:space="0" w:color="auto"/>
                    <w:bottom w:val="none" w:sz="0" w:space="0" w:color="auto"/>
                    <w:right w:val="none" w:sz="0" w:space="0" w:color="auto"/>
                  </w:divBdr>
                  <w:divsChild>
                    <w:div w:id="652635865">
                      <w:marLeft w:val="0"/>
                      <w:marRight w:val="0"/>
                      <w:marTop w:val="0"/>
                      <w:marBottom w:val="0"/>
                      <w:divBdr>
                        <w:top w:val="none" w:sz="0" w:space="0" w:color="auto"/>
                        <w:left w:val="none" w:sz="0" w:space="0" w:color="auto"/>
                        <w:bottom w:val="none" w:sz="0" w:space="0" w:color="auto"/>
                        <w:right w:val="none" w:sz="0" w:space="0" w:color="auto"/>
                      </w:divBdr>
                    </w:div>
                  </w:divsChild>
                </w:div>
                <w:div w:id="543521846">
                  <w:marLeft w:val="0"/>
                  <w:marRight w:val="0"/>
                  <w:marTop w:val="0"/>
                  <w:marBottom w:val="0"/>
                  <w:divBdr>
                    <w:top w:val="none" w:sz="0" w:space="0" w:color="auto"/>
                    <w:left w:val="none" w:sz="0" w:space="0" w:color="auto"/>
                    <w:bottom w:val="none" w:sz="0" w:space="0" w:color="auto"/>
                    <w:right w:val="none" w:sz="0" w:space="0" w:color="auto"/>
                  </w:divBdr>
                  <w:divsChild>
                    <w:div w:id="102385183">
                      <w:marLeft w:val="0"/>
                      <w:marRight w:val="0"/>
                      <w:marTop w:val="0"/>
                      <w:marBottom w:val="0"/>
                      <w:divBdr>
                        <w:top w:val="none" w:sz="0" w:space="0" w:color="auto"/>
                        <w:left w:val="none" w:sz="0" w:space="0" w:color="auto"/>
                        <w:bottom w:val="none" w:sz="0" w:space="0" w:color="auto"/>
                        <w:right w:val="none" w:sz="0" w:space="0" w:color="auto"/>
                      </w:divBdr>
                    </w:div>
                  </w:divsChild>
                </w:div>
                <w:div w:id="566577616">
                  <w:marLeft w:val="0"/>
                  <w:marRight w:val="0"/>
                  <w:marTop w:val="0"/>
                  <w:marBottom w:val="0"/>
                  <w:divBdr>
                    <w:top w:val="none" w:sz="0" w:space="0" w:color="auto"/>
                    <w:left w:val="none" w:sz="0" w:space="0" w:color="auto"/>
                    <w:bottom w:val="none" w:sz="0" w:space="0" w:color="auto"/>
                    <w:right w:val="none" w:sz="0" w:space="0" w:color="auto"/>
                  </w:divBdr>
                  <w:divsChild>
                    <w:div w:id="585067458">
                      <w:marLeft w:val="0"/>
                      <w:marRight w:val="0"/>
                      <w:marTop w:val="0"/>
                      <w:marBottom w:val="0"/>
                      <w:divBdr>
                        <w:top w:val="none" w:sz="0" w:space="0" w:color="auto"/>
                        <w:left w:val="none" w:sz="0" w:space="0" w:color="auto"/>
                        <w:bottom w:val="none" w:sz="0" w:space="0" w:color="auto"/>
                        <w:right w:val="none" w:sz="0" w:space="0" w:color="auto"/>
                      </w:divBdr>
                    </w:div>
                  </w:divsChild>
                </w:div>
                <w:div w:id="569121566">
                  <w:marLeft w:val="0"/>
                  <w:marRight w:val="0"/>
                  <w:marTop w:val="0"/>
                  <w:marBottom w:val="0"/>
                  <w:divBdr>
                    <w:top w:val="none" w:sz="0" w:space="0" w:color="auto"/>
                    <w:left w:val="none" w:sz="0" w:space="0" w:color="auto"/>
                    <w:bottom w:val="none" w:sz="0" w:space="0" w:color="auto"/>
                    <w:right w:val="none" w:sz="0" w:space="0" w:color="auto"/>
                  </w:divBdr>
                  <w:divsChild>
                    <w:div w:id="1977946781">
                      <w:marLeft w:val="0"/>
                      <w:marRight w:val="0"/>
                      <w:marTop w:val="0"/>
                      <w:marBottom w:val="0"/>
                      <w:divBdr>
                        <w:top w:val="none" w:sz="0" w:space="0" w:color="auto"/>
                        <w:left w:val="none" w:sz="0" w:space="0" w:color="auto"/>
                        <w:bottom w:val="none" w:sz="0" w:space="0" w:color="auto"/>
                        <w:right w:val="none" w:sz="0" w:space="0" w:color="auto"/>
                      </w:divBdr>
                    </w:div>
                  </w:divsChild>
                </w:div>
                <w:div w:id="581329047">
                  <w:marLeft w:val="0"/>
                  <w:marRight w:val="0"/>
                  <w:marTop w:val="0"/>
                  <w:marBottom w:val="0"/>
                  <w:divBdr>
                    <w:top w:val="none" w:sz="0" w:space="0" w:color="auto"/>
                    <w:left w:val="none" w:sz="0" w:space="0" w:color="auto"/>
                    <w:bottom w:val="none" w:sz="0" w:space="0" w:color="auto"/>
                    <w:right w:val="none" w:sz="0" w:space="0" w:color="auto"/>
                  </w:divBdr>
                  <w:divsChild>
                    <w:div w:id="1511874704">
                      <w:marLeft w:val="0"/>
                      <w:marRight w:val="0"/>
                      <w:marTop w:val="0"/>
                      <w:marBottom w:val="0"/>
                      <w:divBdr>
                        <w:top w:val="none" w:sz="0" w:space="0" w:color="auto"/>
                        <w:left w:val="none" w:sz="0" w:space="0" w:color="auto"/>
                        <w:bottom w:val="none" w:sz="0" w:space="0" w:color="auto"/>
                        <w:right w:val="none" w:sz="0" w:space="0" w:color="auto"/>
                      </w:divBdr>
                    </w:div>
                  </w:divsChild>
                </w:div>
                <w:div w:id="589315045">
                  <w:marLeft w:val="0"/>
                  <w:marRight w:val="0"/>
                  <w:marTop w:val="0"/>
                  <w:marBottom w:val="0"/>
                  <w:divBdr>
                    <w:top w:val="none" w:sz="0" w:space="0" w:color="auto"/>
                    <w:left w:val="none" w:sz="0" w:space="0" w:color="auto"/>
                    <w:bottom w:val="none" w:sz="0" w:space="0" w:color="auto"/>
                    <w:right w:val="none" w:sz="0" w:space="0" w:color="auto"/>
                  </w:divBdr>
                  <w:divsChild>
                    <w:div w:id="1750348437">
                      <w:marLeft w:val="0"/>
                      <w:marRight w:val="0"/>
                      <w:marTop w:val="0"/>
                      <w:marBottom w:val="0"/>
                      <w:divBdr>
                        <w:top w:val="none" w:sz="0" w:space="0" w:color="auto"/>
                        <w:left w:val="none" w:sz="0" w:space="0" w:color="auto"/>
                        <w:bottom w:val="none" w:sz="0" w:space="0" w:color="auto"/>
                        <w:right w:val="none" w:sz="0" w:space="0" w:color="auto"/>
                      </w:divBdr>
                    </w:div>
                  </w:divsChild>
                </w:div>
                <w:div w:id="606809843">
                  <w:marLeft w:val="0"/>
                  <w:marRight w:val="0"/>
                  <w:marTop w:val="0"/>
                  <w:marBottom w:val="0"/>
                  <w:divBdr>
                    <w:top w:val="none" w:sz="0" w:space="0" w:color="auto"/>
                    <w:left w:val="none" w:sz="0" w:space="0" w:color="auto"/>
                    <w:bottom w:val="none" w:sz="0" w:space="0" w:color="auto"/>
                    <w:right w:val="none" w:sz="0" w:space="0" w:color="auto"/>
                  </w:divBdr>
                  <w:divsChild>
                    <w:div w:id="1086220576">
                      <w:marLeft w:val="0"/>
                      <w:marRight w:val="0"/>
                      <w:marTop w:val="0"/>
                      <w:marBottom w:val="0"/>
                      <w:divBdr>
                        <w:top w:val="none" w:sz="0" w:space="0" w:color="auto"/>
                        <w:left w:val="none" w:sz="0" w:space="0" w:color="auto"/>
                        <w:bottom w:val="none" w:sz="0" w:space="0" w:color="auto"/>
                        <w:right w:val="none" w:sz="0" w:space="0" w:color="auto"/>
                      </w:divBdr>
                    </w:div>
                  </w:divsChild>
                </w:div>
                <w:div w:id="616301638">
                  <w:marLeft w:val="0"/>
                  <w:marRight w:val="0"/>
                  <w:marTop w:val="0"/>
                  <w:marBottom w:val="0"/>
                  <w:divBdr>
                    <w:top w:val="none" w:sz="0" w:space="0" w:color="auto"/>
                    <w:left w:val="none" w:sz="0" w:space="0" w:color="auto"/>
                    <w:bottom w:val="none" w:sz="0" w:space="0" w:color="auto"/>
                    <w:right w:val="none" w:sz="0" w:space="0" w:color="auto"/>
                  </w:divBdr>
                  <w:divsChild>
                    <w:div w:id="1349525711">
                      <w:marLeft w:val="0"/>
                      <w:marRight w:val="0"/>
                      <w:marTop w:val="0"/>
                      <w:marBottom w:val="0"/>
                      <w:divBdr>
                        <w:top w:val="none" w:sz="0" w:space="0" w:color="auto"/>
                        <w:left w:val="none" w:sz="0" w:space="0" w:color="auto"/>
                        <w:bottom w:val="none" w:sz="0" w:space="0" w:color="auto"/>
                        <w:right w:val="none" w:sz="0" w:space="0" w:color="auto"/>
                      </w:divBdr>
                    </w:div>
                  </w:divsChild>
                </w:div>
                <w:div w:id="624655740">
                  <w:marLeft w:val="0"/>
                  <w:marRight w:val="0"/>
                  <w:marTop w:val="0"/>
                  <w:marBottom w:val="0"/>
                  <w:divBdr>
                    <w:top w:val="none" w:sz="0" w:space="0" w:color="auto"/>
                    <w:left w:val="none" w:sz="0" w:space="0" w:color="auto"/>
                    <w:bottom w:val="none" w:sz="0" w:space="0" w:color="auto"/>
                    <w:right w:val="none" w:sz="0" w:space="0" w:color="auto"/>
                  </w:divBdr>
                  <w:divsChild>
                    <w:div w:id="1229923308">
                      <w:marLeft w:val="0"/>
                      <w:marRight w:val="0"/>
                      <w:marTop w:val="0"/>
                      <w:marBottom w:val="0"/>
                      <w:divBdr>
                        <w:top w:val="none" w:sz="0" w:space="0" w:color="auto"/>
                        <w:left w:val="none" w:sz="0" w:space="0" w:color="auto"/>
                        <w:bottom w:val="none" w:sz="0" w:space="0" w:color="auto"/>
                        <w:right w:val="none" w:sz="0" w:space="0" w:color="auto"/>
                      </w:divBdr>
                    </w:div>
                  </w:divsChild>
                </w:div>
                <w:div w:id="627513682">
                  <w:marLeft w:val="0"/>
                  <w:marRight w:val="0"/>
                  <w:marTop w:val="0"/>
                  <w:marBottom w:val="0"/>
                  <w:divBdr>
                    <w:top w:val="none" w:sz="0" w:space="0" w:color="auto"/>
                    <w:left w:val="none" w:sz="0" w:space="0" w:color="auto"/>
                    <w:bottom w:val="none" w:sz="0" w:space="0" w:color="auto"/>
                    <w:right w:val="none" w:sz="0" w:space="0" w:color="auto"/>
                  </w:divBdr>
                  <w:divsChild>
                    <w:div w:id="1725567889">
                      <w:marLeft w:val="0"/>
                      <w:marRight w:val="0"/>
                      <w:marTop w:val="0"/>
                      <w:marBottom w:val="0"/>
                      <w:divBdr>
                        <w:top w:val="none" w:sz="0" w:space="0" w:color="auto"/>
                        <w:left w:val="none" w:sz="0" w:space="0" w:color="auto"/>
                        <w:bottom w:val="none" w:sz="0" w:space="0" w:color="auto"/>
                        <w:right w:val="none" w:sz="0" w:space="0" w:color="auto"/>
                      </w:divBdr>
                    </w:div>
                  </w:divsChild>
                </w:div>
                <w:div w:id="632251983">
                  <w:marLeft w:val="0"/>
                  <w:marRight w:val="0"/>
                  <w:marTop w:val="0"/>
                  <w:marBottom w:val="0"/>
                  <w:divBdr>
                    <w:top w:val="none" w:sz="0" w:space="0" w:color="auto"/>
                    <w:left w:val="none" w:sz="0" w:space="0" w:color="auto"/>
                    <w:bottom w:val="none" w:sz="0" w:space="0" w:color="auto"/>
                    <w:right w:val="none" w:sz="0" w:space="0" w:color="auto"/>
                  </w:divBdr>
                  <w:divsChild>
                    <w:div w:id="409161234">
                      <w:marLeft w:val="0"/>
                      <w:marRight w:val="0"/>
                      <w:marTop w:val="0"/>
                      <w:marBottom w:val="0"/>
                      <w:divBdr>
                        <w:top w:val="none" w:sz="0" w:space="0" w:color="auto"/>
                        <w:left w:val="none" w:sz="0" w:space="0" w:color="auto"/>
                        <w:bottom w:val="none" w:sz="0" w:space="0" w:color="auto"/>
                        <w:right w:val="none" w:sz="0" w:space="0" w:color="auto"/>
                      </w:divBdr>
                    </w:div>
                  </w:divsChild>
                </w:div>
                <w:div w:id="646477732">
                  <w:marLeft w:val="0"/>
                  <w:marRight w:val="0"/>
                  <w:marTop w:val="0"/>
                  <w:marBottom w:val="0"/>
                  <w:divBdr>
                    <w:top w:val="none" w:sz="0" w:space="0" w:color="auto"/>
                    <w:left w:val="none" w:sz="0" w:space="0" w:color="auto"/>
                    <w:bottom w:val="none" w:sz="0" w:space="0" w:color="auto"/>
                    <w:right w:val="none" w:sz="0" w:space="0" w:color="auto"/>
                  </w:divBdr>
                  <w:divsChild>
                    <w:div w:id="456290603">
                      <w:marLeft w:val="0"/>
                      <w:marRight w:val="0"/>
                      <w:marTop w:val="0"/>
                      <w:marBottom w:val="0"/>
                      <w:divBdr>
                        <w:top w:val="none" w:sz="0" w:space="0" w:color="auto"/>
                        <w:left w:val="none" w:sz="0" w:space="0" w:color="auto"/>
                        <w:bottom w:val="none" w:sz="0" w:space="0" w:color="auto"/>
                        <w:right w:val="none" w:sz="0" w:space="0" w:color="auto"/>
                      </w:divBdr>
                    </w:div>
                  </w:divsChild>
                </w:div>
                <w:div w:id="647326226">
                  <w:marLeft w:val="0"/>
                  <w:marRight w:val="0"/>
                  <w:marTop w:val="0"/>
                  <w:marBottom w:val="0"/>
                  <w:divBdr>
                    <w:top w:val="none" w:sz="0" w:space="0" w:color="auto"/>
                    <w:left w:val="none" w:sz="0" w:space="0" w:color="auto"/>
                    <w:bottom w:val="none" w:sz="0" w:space="0" w:color="auto"/>
                    <w:right w:val="none" w:sz="0" w:space="0" w:color="auto"/>
                  </w:divBdr>
                  <w:divsChild>
                    <w:div w:id="147282681">
                      <w:marLeft w:val="0"/>
                      <w:marRight w:val="0"/>
                      <w:marTop w:val="0"/>
                      <w:marBottom w:val="0"/>
                      <w:divBdr>
                        <w:top w:val="none" w:sz="0" w:space="0" w:color="auto"/>
                        <w:left w:val="none" w:sz="0" w:space="0" w:color="auto"/>
                        <w:bottom w:val="none" w:sz="0" w:space="0" w:color="auto"/>
                        <w:right w:val="none" w:sz="0" w:space="0" w:color="auto"/>
                      </w:divBdr>
                    </w:div>
                    <w:div w:id="1404445035">
                      <w:marLeft w:val="0"/>
                      <w:marRight w:val="0"/>
                      <w:marTop w:val="0"/>
                      <w:marBottom w:val="0"/>
                      <w:divBdr>
                        <w:top w:val="none" w:sz="0" w:space="0" w:color="auto"/>
                        <w:left w:val="none" w:sz="0" w:space="0" w:color="auto"/>
                        <w:bottom w:val="none" w:sz="0" w:space="0" w:color="auto"/>
                        <w:right w:val="none" w:sz="0" w:space="0" w:color="auto"/>
                      </w:divBdr>
                    </w:div>
                  </w:divsChild>
                </w:div>
                <w:div w:id="647515691">
                  <w:marLeft w:val="0"/>
                  <w:marRight w:val="0"/>
                  <w:marTop w:val="0"/>
                  <w:marBottom w:val="0"/>
                  <w:divBdr>
                    <w:top w:val="none" w:sz="0" w:space="0" w:color="auto"/>
                    <w:left w:val="none" w:sz="0" w:space="0" w:color="auto"/>
                    <w:bottom w:val="none" w:sz="0" w:space="0" w:color="auto"/>
                    <w:right w:val="none" w:sz="0" w:space="0" w:color="auto"/>
                  </w:divBdr>
                  <w:divsChild>
                    <w:div w:id="823425937">
                      <w:marLeft w:val="0"/>
                      <w:marRight w:val="0"/>
                      <w:marTop w:val="0"/>
                      <w:marBottom w:val="0"/>
                      <w:divBdr>
                        <w:top w:val="none" w:sz="0" w:space="0" w:color="auto"/>
                        <w:left w:val="none" w:sz="0" w:space="0" w:color="auto"/>
                        <w:bottom w:val="none" w:sz="0" w:space="0" w:color="auto"/>
                        <w:right w:val="none" w:sz="0" w:space="0" w:color="auto"/>
                      </w:divBdr>
                    </w:div>
                  </w:divsChild>
                </w:div>
                <w:div w:id="655838298">
                  <w:marLeft w:val="0"/>
                  <w:marRight w:val="0"/>
                  <w:marTop w:val="0"/>
                  <w:marBottom w:val="0"/>
                  <w:divBdr>
                    <w:top w:val="none" w:sz="0" w:space="0" w:color="auto"/>
                    <w:left w:val="none" w:sz="0" w:space="0" w:color="auto"/>
                    <w:bottom w:val="none" w:sz="0" w:space="0" w:color="auto"/>
                    <w:right w:val="none" w:sz="0" w:space="0" w:color="auto"/>
                  </w:divBdr>
                  <w:divsChild>
                    <w:div w:id="252520672">
                      <w:marLeft w:val="0"/>
                      <w:marRight w:val="0"/>
                      <w:marTop w:val="0"/>
                      <w:marBottom w:val="0"/>
                      <w:divBdr>
                        <w:top w:val="none" w:sz="0" w:space="0" w:color="auto"/>
                        <w:left w:val="none" w:sz="0" w:space="0" w:color="auto"/>
                        <w:bottom w:val="none" w:sz="0" w:space="0" w:color="auto"/>
                        <w:right w:val="none" w:sz="0" w:space="0" w:color="auto"/>
                      </w:divBdr>
                    </w:div>
                  </w:divsChild>
                </w:div>
                <w:div w:id="658116920">
                  <w:marLeft w:val="0"/>
                  <w:marRight w:val="0"/>
                  <w:marTop w:val="0"/>
                  <w:marBottom w:val="0"/>
                  <w:divBdr>
                    <w:top w:val="none" w:sz="0" w:space="0" w:color="auto"/>
                    <w:left w:val="none" w:sz="0" w:space="0" w:color="auto"/>
                    <w:bottom w:val="none" w:sz="0" w:space="0" w:color="auto"/>
                    <w:right w:val="none" w:sz="0" w:space="0" w:color="auto"/>
                  </w:divBdr>
                  <w:divsChild>
                    <w:div w:id="949161092">
                      <w:marLeft w:val="0"/>
                      <w:marRight w:val="0"/>
                      <w:marTop w:val="0"/>
                      <w:marBottom w:val="0"/>
                      <w:divBdr>
                        <w:top w:val="none" w:sz="0" w:space="0" w:color="auto"/>
                        <w:left w:val="none" w:sz="0" w:space="0" w:color="auto"/>
                        <w:bottom w:val="none" w:sz="0" w:space="0" w:color="auto"/>
                        <w:right w:val="none" w:sz="0" w:space="0" w:color="auto"/>
                      </w:divBdr>
                    </w:div>
                  </w:divsChild>
                </w:div>
                <w:div w:id="674459384">
                  <w:marLeft w:val="0"/>
                  <w:marRight w:val="0"/>
                  <w:marTop w:val="0"/>
                  <w:marBottom w:val="0"/>
                  <w:divBdr>
                    <w:top w:val="none" w:sz="0" w:space="0" w:color="auto"/>
                    <w:left w:val="none" w:sz="0" w:space="0" w:color="auto"/>
                    <w:bottom w:val="none" w:sz="0" w:space="0" w:color="auto"/>
                    <w:right w:val="none" w:sz="0" w:space="0" w:color="auto"/>
                  </w:divBdr>
                  <w:divsChild>
                    <w:div w:id="628247321">
                      <w:marLeft w:val="0"/>
                      <w:marRight w:val="0"/>
                      <w:marTop w:val="0"/>
                      <w:marBottom w:val="0"/>
                      <w:divBdr>
                        <w:top w:val="none" w:sz="0" w:space="0" w:color="auto"/>
                        <w:left w:val="none" w:sz="0" w:space="0" w:color="auto"/>
                        <w:bottom w:val="none" w:sz="0" w:space="0" w:color="auto"/>
                        <w:right w:val="none" w:sz="0" w:space="0" w:color="auto"/>
                      </w:divBdr>
                    </w:div>
                  </w:divsChild>
                </w:div>
                <w:div w:id="677541944">
                  <w:marLeft w:val="0"/>
                  <w:marRight w:val="0"/>
                  <w:marTop w:val="0"/>
                  <w:marBottom w:val="0"/>
                  <w:divBdr>
                    <w:top w:val="none" w:sz="0" w:space="0" w:color="auto"/>
                    <w:left w:val="none" w:sz="0" w:space="0" w:color="auto"/>
                    <w:bottom w:val="none" w:sz="0" w:space="0" w:color="auto"/>
                    <w:right w:val="none" w:sz="0" w:space="0" w:color="auto"/>
                  </w:divBdr>
                  <w:divsChild>
                    <w:div w:id="1949119229">
                      <w:marLeft w:val="0"/>
                      <w:marRight w:val="0"/>
                      <w:marTop w:val="0"/>
                      <w:marBottom w:val="0"/>
                      <w:divBdr>
                        <w:top w:val="none" w:sz="0" w:space="0" w:color="auto"/>
                        <w:left w:val="none" w:sz="0" w:space="0" w:color="auto"/>
                        <w:bottom w:val="none" w:sz="0" w:space="0" w:color="auto"/>
                        <w:right w:val="none" w:sz="0" w:space="0" w:color="auto"/>
                      </w:divBdr>
                    </w:div>
                  </w:divsChild>
                </w:div>
                <w:div w:id="680855283">
                  <w:marLeft w:val="0"/>
                  <w:marRight w:val="0"/>
                  <w:marTop w:val="0"/>
                  <w:marBottom w:val="0"/>
                  <w:divBdr>
                    <w:top w:val="none" w:sz="0" w:space="0" w:color="auto"/>
                    <w:left w:val="none" w:sz="0" w:space="0" w:color="auto"/>
                    <w:bottom w:val="none" w:sz="0" w:space="0" w:color="auto"/>
                    <w:right w:val="none" w:sz="0" w:space="0" w:color="auto"/>
                  </w:divBdr>
                  <w:divsChild>
                    <w:div w:id="393236013">
                      <w:marLeft w:val="0"/>
                      <w:marRight w:val="0"/>
                      <w:marTop w:val="0"/>
                      <w:marBottom w:val="0"/>
                      <w:divBdr>
                        <w:top w:val="none" w:sz="0" w:space="0" w:color="auto"/>
                        <w:left w:val="none" w:sz="0" w:space="0" w:color="auto"/>
                        <w:bottom w:val="none" w:sz="0" w:space="0" w:color="auto"/>
                        <w:right w:val="none" w:sz="0" w:space="0" w:color="auto"/>
                      </w:divBdr>
                    </w:div>
                  </w:divsChild>
                </w:div>
                <w:div w:id="683434070">
                  <w:marLeft w:val="0"/>
                  <w:marRight w:val="0"/>
                  <w:marTop w:val="0"/>
                  <w:marBottom w:val="0"/>
                  <w:divBdr>
                    <w:top w:val="none" w:sz="0" w:space="0" w:color="auto"/>
                    <w:left w:val="none" w:sz="0" w:space="0" w:color="auto"/>
                    <w:bottom w:val="none" w:sz="0" w:space="0" w:color="auto"/>
                    <w:right w:val="none" w:sz="0" w:space="0" w:color="auto"/>
                  </w:divBdr>
                  <w:divsChild>
                    <w:div w:id="1909535361">
                      <w:marLeft w:val="0"/>
                      <w:marRight w:val="0"/>
                      <w:marTop w:val="0"/>
                      <w:marBottom w:val="0"/>
                      <w:divBdr>
                        <w:top w:val="none" w:sz="0" w:space="0" w:color="auto"/>
                        <w:left w:val="none" w:sz="0" w:space="0" w:color="auto"/>
                        <w:bottom w:val="none" w:sz="0" w:space="0" w:color="auto"/>
                        <w:right w:val="none" w:sz="0" w:space="0" w:color="auto"/>
                      </w:divBdr>
                    </w:div>
                  </w:divsChild>
                </w:div>
                <w:div w:id="684482555">
                  <w:marLeft w:val="0"/>
                  <w:marRight w:val="0"/>
                  <w:marTop w:val="0"/>
                  <w:marBottom w:val="0"/>
                  <w:divBdr>
                    <w:top w:val="none" w:sz="0" w:space="0" w:color="auto"/>
                    <w:left w:val="none" w:sz="0" w:space="0" w:color="auto"/>
                    <w:bottom w:val="none" w:sz="0" w:space="0" w:color="auto"/>
                    <w:right w:val="none" w:sz="0" w:space="0" w:color="auto"/>
                  </w:divBdr>
                  <w:divsChild>
                    <w:div w:id="978846818">
                      <w:marLeft w:val="0"/>
                      <w:marRight w:val="0"/>
                      <w:marTop w:val="0"/>
                      <w:marBottom w:val="0"/>
                      <w:divBdr>
                        <w:top w:val="none" w:sz="0" w:space="0" w:color="auto"/>
                        <w:left w:val="none" w:sz="0" w:space="0" w:color="auto"/>
                        <w:bottom w:val="none" w:sz="0" w:space="0" w:color="auto"/>
                        <w:right w:val="none" w:sz="0" w:space="0" w:color="auto"/>
                      </w:divBdr>
                    </w:div>
                  </w:divsChild>
                </w:div>
                <w:div w:id="694505926">
                  <w:marLeft w:val="0"/>
                  <w:marRight w:val="0"/>
                  <w:marTop w:val="0"/>
                  <w:marBottom w:val="0"/>
                  <w:divBdr>
                    <w:top w:val="none" w:sz="0" w:space="0" w:color="auto"/>
                    <w:left w:val="none" w:sz="0" w:space="0" w:color="auto"/>
                    <w:bottom w:val="none" w:sz="0" w:space="0" w:color="auto"/>
                    <w:right w:val="none" w:sz="0" w:space="0" w:color="auto"/>
                  </w:divBdr>
                  <w:divsChild>
                    <w:div w:id="2048672894">
                      <w:marLeft w:val="0"/>
                      <w:marRight w:val="0"/>
                      <w:marTop w:val="0"/>
                      <w:marBottom w:val="0"/>
                      <w:divBdr>
                        <w:top w:val="none" w:sz="0" w:space="0" w:color="auto"/>
                        <w:left w:val="none" w:sz="0" w:space="0" w:color="auto"/>
                        <w:bottom w:val="none" w:sz="0" w:space="0" w:color="auto"/>
                        <w:right w:val="none" w:sz="0" w:space="0" w:color="auto"/>
                      </w:divBdr>
                    </w:div>
                  </w:divsChild>
                </w:div>
                <w:div w:id="700056891">
                  <w:marLeft w:val="0"/>
                  <w:marRight w:val="0"/>
                  <w:marTop w:val="0"/>
                  <w:marBottom w:val="0"/>
                  <w:divBdr>
                    <w:top w:val="none" w:sz="0" w:space="0" w:color="auto"/>
                    <w:left w:val="none" w:sz="0" w:space="0" w:color="auto"/>
                    <w:bottom w:val="none" w:sz="0" w:space="0" w:color="auto"/>
                    <w:right w:val="none" w:sz="0" w:space="0" w:color="auto"/>
                  </w:divBdr>
                  <w:divsChild>
                    <w:div w:id="548231152">
                      <w:marLeft w:val="0"/>
                      <w:marRight w:val="0"/>
                      <w:marTop w:val="0"/>
                      <w:marBottom w:val="0"/>
                      <w:divBdr>
                        <w:top w:val="none" w:sz="0" w:space="0" w:color="auto"/>
                        <w:left w:val="none" w:sz="0" w:space="0" w:color="auto"/>
                        <w:bottom w:val="none" w:sz="0" w:space="0" w:color="auto"/>
                        <w:right w:val="none" w:sz="0" w:space="0" w:color="auto"/>
                      </w:divBdr>
                    </w:div>
                  </w:divsChild>
                </w:div>
                <w:div w:id="706224871">
                  <w:marLeft w:val="0"/>
                  <w:marRight w:val="0"/>
                  <w:marTop w:val="0"/>
                  <w:marBottom w:val="0"/>
                  <w:divBdr>
                    <w:top w:val="none" w:sz="0" w:space="0" w:color="auto"/>
                    <w:left w:val="none" w:sz="0" w:space="0" w:color="auto"/>
                    <w:bottom w:val="none" w:sz="0" w:space="0" w:color="auto"/>
                    <w:right w:val="none" w:sz="0" w:space="0" w:color="auto"/>
                  </w:divBdr>
                  <w:divsChild>
                    <w:div w:id="1814447360">
                      <w:marLeft w:val="0"/>
                      <w:marRight w:val="0"/>
                      <w:marTop w:val="0"/>
                      <w:marBottom w:val="0"/>
                      <w:divBdr>
                        <w:top w:val="none" w:sz="0" w:space="0" w:color="auto"/>
                        <w:left w:val="none" w:sz="0" w:space="0" w:color="auto"/>
                        <w:bottom w:val="none" w:sz="0" w:space="0" w:color="auto"/>
                        <w:right w:val="none" w:sz="0" w:space="0" w:color="auto"/>
                      </w:divBdr>
                    </w:div>
                  </w:divsChild>
                </w:div>
                <w:div w:id="715664070">
                  <w:marLeft w:val="0"/>
                  <w:marRight w:val="0"/>
                  <w:marTop w:val="0"/>
                  <w:marBottom w:val="0"/>
                  <w:divBdr>
                    <w:top w:val="none" w:sz="0" w:space="0" w:color="auto"/>
                    <w:left w:val="none" w:sz="0" w:space="0" w:color="auto"/>
                    <w:bottom w:val="none" w:sz="0" w:space="0" w:color="auto"/>
                    <w:right w:val="none" w:sz="0" w:space="0" w:color="auto"/>
                  </w:divBdr>
                  <w:divsChild>
                    <w:div w:id="1499157080">
                      <w:marLeft w:val="0"/>
                      <w:marRight w:val="0"/>
                      <w:marTop w:val="0"/>
                      <w:marBottom w:val="0"/>
                      <w:divBdr>
                        <w:top w:val="none" w:sz="0" w:space="0" w:color="auto"/>
                        <w:left w:val="none" w:sz="0" w:space="0" w:color="auto"/>
                        <w:bottom w:val="none" w:sz="0" w:space="0" w:color="auto"/>
                        <w:right w:val="none" w:sz="0" w:space="0" w:color="auto"/>
                      </w:divBdr>
                    </w:div>
                  </w:divsChild>
                </w:div>
                <w:div w:id="720326643">
                  <w:marLeft w:val="0"/>
                  <w:marRight w:val="0"/>
                  <w:marTop w:val="0"/>
                  <w:marBottom w:val="0"/>
                  <w:divBdr>
                    <w:top w:val="none" w:sz="0" w:space="0" w:color="auto"/>
                    <w:left w:val="none" w:sz="0" w:space="0" w:color="auto"/>
                    <w:bottom w:val="none" w:sz="0" w:space="0" w:color="auto"/>
                    <w:right w:val="none" w:sz="0" w:space="0" w:color="auto"/>
                  </w:divBdr>
                  <w:divsChild>
                    <w:div w:id="1881742322">
                      <w:marLeft w:val="0"/>
                      <w:marRight w:val="0"/>
                      <w:marTop w:val="0"/>
                      <w:marBottom w:val="0"/>
                      <w:divBdr>
                        <w:top w:val="none" w:sz="0" w:space="0" w:color="auto"/>
                        <w:left w:val="none" w:sz="0" w:space="0" w:color="auto"/>
                        <w:bottom w:val="none" w:sz="0" w:space="0" w:color="auto"/>
                        <w:right w:val="none" w:sz="0" w:space="0" w:color="auto"/>
                      </w:divBdr>
                    </w:div>
                  </w:divsChild>
                </w:div>
                <w:div w:id="729158935">
                  <w:marLeft w:val="0"/>
                  <w:marRight w:val="0"/>
                  <w:marTop w:val="0"/>
                  <w:marBottom w:val="0"/>
                  <w:divBdr>
                    <w:top w:val="none" w:sz="0" w:space="0" w:color="auto"/>
                    <w:left w:val="none" w:sz="0" w:space="0" w:color="auto"/>
                    <w:bottom w:val="none" w:sz="0" w:space="0" w:color="auto"/>
                    <w:right w:val="none" w:sz="0" w:space="0" w:color="auto"/>
                  </w:divBdr>
                  <w:divsChild>
                    <w:div w:id="275600648">
                      <w:marLeft w:val="0"/>
                      <w:marRight w:val="0"/>
                      <w:marTop w:val="0"/>
                      <w:marBottom w:val="0"/>
                      <w:divBdr>
                        <w:top w:val="none" w:sz="0" w:space="0" w:color="auto"/>
                        <w:left w:val="none" w:sz="0" w:space="0" w:color="auto"/>
                        <w:bottom w:val="none" w:sz="0" w:space="0" w:color="auto"/>
                        <w:right w:val="none" w:sz="0" w:space="0" w:color="auto"/>
                      </w:divBdr>
                    </w:div>
                  </w:divsChild>
                </w:div>
                <w:div w:id="732697954">
                  <w:marLeft w:val="0"/>
                  <w:marRight w:val="0"/>
                  <w:marTop w:val="0"/>
                  <w:marBottom w:val="0"/>
                  <w:divBdr>
                    <w:top w:val="none" w:sz="0" w:space="0" w:color="auto"/>
                    <w:left w:val="none" w:sz="0" w:space="0" w:color="auto"/>
                    <w:bottom w:val="none" w:sz="0" w:space="0" w:color="auto"/>
                    <w:right w:val="none" w:sz="0" w:space="0" w:color="auto"/>
                  </w:divBdr>
                  <w:divsChild>
                    <w:div w:id="162938385">
                      <w:marLeft w:val="0"/>
                      <w:marRight w:val="0"/>
                      <w:marTop w:val="0"/>
                      <w:marBottom w:val="0"/>
                      <w:divBdr>
                        <w:top w:val="none" w:sz="0" w:space="0" w:color="auto"/>
                        <w:left w:val="none" w:sz="0" w:space="0" w:color="auto"/>
                        <w:bottom w:val="none" w:sz="0" w:space="0" w:color="auto"/>
                        <w:right w:val="none" w:sz="0" w:space="0" w:color="auto"/>
                      </w:divBdr>
                    </w:div>
                  </w:divsChild>
                </w:div>
                <w:div w:id="732778577">
                  <w:marLeft w:val="0"/>
                  <w:marRight w:val="0"/>
                  <w:marTop w:val="0"/>
                  <w:marBottom w:val="0"/>
                  <w:divBdr>
                    <w:top w:val="none" w:sz="0" w:space="0" w:color="auto"/>
                    <w:left w:val="none" w:sz="0" w:space="0" w:color="auto"/>
                    <w:bottom w:val="none" w:sz="0" w:space="0" w:color="auto"/>
                    <w:right w:val="none" w:sz="0" w:space="0" w:color="auto"/>
                  </w:divBdr>
                  <w:divsChild>
                    <w:div w:id="791749992">
                      <w:marLeft w:val="0"/>
                      <w:marRight w:val="0"/>
                      <w:marTop w:val="0"/>
                      <w:marBottom w:val="0"/>
                      <w:divBdr>
                        <w:top w:val="none" w:sz="0" w:space="0" w:color="auto"/>
                        <w:left w:val="none" w:sz="0" w:space="0" w:color="auto"/>
                        <w:bottom w:val="none" w:sz="0" w:space="0" w:color="auto"/>
                        <w:right w:val="none" w:sz="0" w:space="0" w:color="auto"/>
                      </w:divBdr>
                    </w:div>
                  </w:divsChild>
                </w:div>
                <w:div w:id="732889482">
                  <w:marLeft w:val="0"/>
                  <w:marRight w:val="0"/>
                  <w:marTop w:val="0"/>
                  <w:marBottom w:val="0"/>
                  <w:divBdr>
                    <w:top w:val="none" w:sz="0" w:space="0" w:color="auto"/>
                    <w:left w:val="none" w:sz="0" w:space="0" w:color="auto"/>
                    <w:bottom w:val="none" w:sz="0" w:space="0" w:color="auto"/>
                    <w:right w:val="none" w:sz="0" w:space="0" w:color="auto"/>
                  </w:divBdr>
                  <w:divsChild>
                    <w:div w:id="1375808019">
                      <w:marLeft w:val="0"/>
                      <w:marRight w:val="0"/>
                      <w:marTop w:val="0"/>
                      <w:marBottom w:val="0"/>
                      <w:divBdr>
                        <w:top w:val="none" w:sz="0" w:space="0" w:color="auto"/>
                        <w:left w:val="none" w:sz="0" w:space="0" w:color="auto"/>
                        <w:bottom w:val="none" w:sz="0" w:space="0" w:color="auto"/>
                        <w:right w:val="none" w:sz="0" w:space="0" w:color="auto"/>
                      </w:divBdr>
                    </w:div>
                  </w:divsChild>
                </w:div>
                <w:div w:id="734666889">
                  <w:marLeft w:val="0"/>
                  <w:marRight w:val="0"/>
                  <w:marTop w:val="0"/>
                  <w:marBottom w:val="0"/>
                  <w:divBdr>
                    <w:top w:val="none" w:sz="0" w:space="0" w:color="auto"/>
                    <w:left w:val="none" w:sz="0" w:space="0" w:color="auto"/>
                    <w:bottom w:val="none" w:sz="0" w:space="0" w:color="auto"/>
                    <w:right w:val="none" w:sz="0" w:space="0" w:color="auto"/>
                  </w:divBdr>
                  <w:divsChild>
                    <w:div w:id="1832024033">
                      <w:marLeft w:val="0"/>
                      <w:marRight w:val="0"/>
                      <w:marTop w:val="0"/>
                      <w:marBottom w:val="0"/>
                      <w:divBdr>
                        <w:top w:val="none" w:sz="0" w:space="0" w:color="auto"/>
                        <w:left w:val="none" w:sz="0" w:space="0" w:color="auto"/>
                        <w:bottom w:val="none" w:sz="0" w:space="0" w:color="auto"/>
                        <w:right w:val="none" w:sz="0" w:space="0" w:color="auto"/>
                      </w:divBdr>
                    </w:div>
                  </w:divsChild>
                </w:div>
                <w:div w:id="736321484">
                  <w:marLeft w:val="0"/>
                  <w:marRight w:val="0"/>
                  <w:marTop w:val="0"/>
                  <w:marBottom w:val="0"/>
                  <w:divBdr>
                    <w:top w:val="none" w:sz="0" w:space="0" w:color="auto"/>
                    <w:left w:val="none" w:sz="0" w:space="0" w:color="auto"/>
                    <w:bottom w:val="none" w:sz="0" w:space="0" w:color="auto"/>
                    <w:right w:val="none" w:sz="0" w:space="0" w:color="auto"/>
                  </w:divBdr>
                  <w:divsChild>
                    <w:div w:id="1316301231">
                      <w:marLeft w:val="0"/>
                      <w:marRight w:val="0"/>
                      <w:marTop w:val="0"/>
                      <w:marBottom w:val="0"/>
                      <w:divBdr>
                        <w:top w:val="none" w:sz="0" w:space="0" w:color="auto"/>
                        <w:left w:val="none" w:sz="0" w:space="0" w:color="auto"/>
                        <w:bottom w:val="none" w:sz="0" w:space="0" w:color="auto"/>
                        <w:right w:val="none" w:sz="0" w:space="0" w:color="auto"/>
                      </w:divBdr>
                    </w:div>
                  </w:divsChild>
                </w:div>
                <w:div w:id="743339353">
                  <w:marLeft w:val="0"/>
                  <w:marRight w:val="0"/>
                  <w:marTop w:val="0"/>
                  <w:marBottom w:val="0"/>
                  <w:divBdr>
                    <w:top w:val="none" w:sz="0" w:space="0" w:color="auto"/>
                    <w:left w:val="none" w:sz="0" w:space="0" w:color="auto"/>
                    <w:bottom w:val="none" w:sz="0" w:space="0" w:color="auto"/>
                    <w:right w:val="none" w:sz="0" w:space="0" w:color="auto"/>
                  </w:divBdr>
                  <w:divsChild>
                    <w:div w:id="127406282">
                      <w:marLeft w:val="0"/>
                      <w:marRight w:val="0"/>
                      <w:marTop w:val="0"/>
                      <w:marBottom w:val="0"/>
                      <w:divBdr>
                        <w:top w:val="none" w:sz="0" w:space="0" w:color="auto"/>
                        <w:left w:val="none" w:sz="0" w:space="0" w:color="auto"/>
                        <w:bottom w:val="none" w:sz="0" w:space="0" w:color="auto"/>
                        <w:right w:val="none" w:sz="0" w:space="0" w:color="auto"/>
                      </w:divBdr>
                    </w:div>
                  </w:divsChild>
                </w:div>
                <w:div w:id="743920388">
                  <w:marLeft w:val="0"/>
                  <w:marRight w:val="0"/>
                  <w:marTop w:val="0"/>
                  <w:marBottom w:val="0"/>
                  <w:divBdr>
                    <w:top w:val="none" w:sz="0" w:space="0" w:color="auto"/>
                    <w:left w:val="none" w:sz="0" w:space="0" w:color="auto"/>
                    <w:bottom w:val="none" w:sz="0" w:space="0" w:color="auto"/>
                    <w:right w:val="none" w:sz="0" w:space="0" w:color="auto"/>
                  </w:divBdr>
                  <w:divsChild>
                    <w:div w:id="512230868">
                      <w:marLeft w:val="0"/>
                      <w:marRight w:val="0"/>
                      <w:marTop w:val="0"/>
                      <w:marBottom w:val="0"/>
                      <w:divBdr>
                        <w:top w:val="none" w:sz="0" w:space="0" w:color="auto"/>
                        <w:left w:val="none" w:sz="0" w:space="0" w:color="auto"/>
                        <w:bottom w:val="none" w:sz="0" w:space="0" w:color="auto"/>
                        <w:right w:val="none" w:sz="0" w:space="0" w:color="auto"/>
                      </w:divBdr>
                    </w:div>
                  </w:divsChild>
                </w:div>
                <w:div w:id="753668873">
                  <w:marLeft w:val="0"/>
                  <w:marRight w:val="0"/>
                  <w:marTop w:val="0"/>
                  <w:marBottom w:val="0"/>
                  <w:divBdr>
                    <w:top w:val="none" w:sz="0" w:space="0" w:color="auto"/>
                    <w:left w:val="none" w:sz="0" w:space="0" w:color="auto"/>
                    <w:bottom w:val="none" w:sz="0" w:space="0" w:color="auto"/>
                    <w:right w:val="none" w:sz="0" w:space="0" w:color="auto"/>
                  </w:divBdr>
                  <w:divsChild>
                    <w:div w:id="1208755984">
                      <w:marLeft w:val="0"/>
                      <w:marRight w:val="0"/>
                      <w:marTop w:val="0"/>
                      <w:marBottom w:val="0"/>
                      <w:divBdr>
                        <w:top w:val="none" w:sz="0" w:space="0" w:color="auto"/>
                        <w:left w:val="none" w:sz="0" w:space="0" w:color="auto"/>
                        <w:bottom w:val="none" w:sz="0" w:space="0" w:color="auto"/>
                        <w:right w:val="none" w:sz="0" w:space="0" w:color="auto"/>
                      </w:divBdr>
                    </w:div>
                  </w:divsChild>
                </w:div>
                <w:div w:id="758406356">
                  <w:marLeft w:val="0"/>
                  <w:marRight w:val="0"/>
                  <w:marTop w:val="0"/>
                  <w:marBottom w:val="0"/>
                  <w:divBdr>
                    <w:top w:val="none" w:sz="0" w:space="0" w:color="auto"/>
                    <w:left w:val="none" w:sz="0" w:space="0" w:color="auto"/>
                    <w:bottom w:val="none" w:sz="0" w:space="0" w:color="auto"/>
                    <w:right w:val="none" w:sz="0" w:space="0" w:color="auto"/>
                  </w:divBdr>
                  <w:divsChild>
                    <w:div w:id="1334988129">
                      <w:marLeft w:val="0"/>
                      <w:marRight w:val="0"/>
                      <w:marTop w:val="0"/>
                      <w:marBottom w:val="0"/>
                      <w:divBdr>
                        <w:top w:val="none" w:sz="0" w:space="0" w:color="auto"/>
                        <w:left w:val="none" w:sz="0" w:space="0" w:color="auto"/>
                        <w:bottom w:val="none" w:sz="0" w:space="0" w:color="auto"/>
                        <w:right w:val="none" w:sz="0" w:space="0" w:color="auto"/>
                      </w:divBdr>
                    </w:div>
                  </w:divsChild>
                </w:div>
                <w:div w:id="760375122">
                  <w:marLeft w:val="0"/>
                  <w:marRight w:val="0"/>
                  <w:marTop w:val="0"/>
                  <w:marBottom w:val="0"/>
                  <w:divBdr>
                    <w:top w:val="none" w:sz="0" w:space="0" w:color="auto"/>
                    <w:left w:val="none" w:sz="0" w:space="0" w:color="auto"/>
                    <w:bottom w:val="none" w:sz="0" w:space="0" w:color="auto"/>
                    <w:right w:val="none" w:sz="0" w:space="0" w:color="auto"/>
                  </w:divBdr>
                  <w:divsChild>
                    <w:div w:id="1118641752">
                      <w:marLeft w:val="0"/>
                      <w:marRight w:val="0"/>
                      <w:marTop w:val="0"/>
                      <w:marBottom w:val="0"/>
                      <w:divBdr>
                        <w:top w:val="none" w:sz="0" w:space="0" w:color="auto"/>
                        <w:left w:val="none" w:sz="0" w:space="0" w:color="auto"/>
                        <w:bottom w:val="none" w:sz="0" w:space="0" w:color="auto"/>
                        <w:right w:val="none" w:sz="0" w:space="0" w:color="auto"/>
                      </w:divBdr>
                    </w:div>
                  </w:divsChild>
                </w:div>
                <w:div w:id="761267944">
                  <w:marLeft w:val="0"/>
                  <w:marRight w:val="0"/>
                  <w:marTop w:val="0"/>
                  <w:marBottom w:val="0"/>
                  <w:divBdr>
                    <w:top w:val="none" w:sz="0" w:space="0" w:color="auto"/>
                    <w:left w:val="none" w:sz="0" w:space="0" w:color="auto"/>
                    <w:bottom w:val="none" w:sz="0" w:space="0" w:color="auto"/>
                    <w:right w:val="none" w:sz="0" w:space="0" w:color="auto"/>
                  </w:divBdr>
                  <w:divsChild>
                    <w:div w:id="255477249">
                      <w:marLeft w:val="0"/>
                      <w:marRight w:val="0"/>
                      <w:marTop w:val="0"/>
                      <w:marBottom w:val="0"/>
                      <w:divBdr>
                        <w:top w:val="none" w:sz="0" w:space="0" w:color="auto"/>
                        <w:left w:val="none" w:sz="0" w:space="0" w:color="auto"/>
                        <w:bottom w:val="none" w:sz="0" w:space="0" w:color="auto"/>
                        <w:right w:val="none" w:sz="0" w:space="0" w:color="auto"/>
                      </w:divBdr>
                    </w:div>
                  </w:divsChild>
                </w:div>
                <w:div w:id="765543634">
                  <w:marLeft w:val="0"/>
                  <w:marRight w:val="0"/>
                  <w:marTop w:val="0"/>
                  <w:marBottom w:val="0"/>
                  <w:divBdr>
                    <w:top w:val="none" w:sz="0" w:space="0" w:color="auto"/>
                    <w:left w:val="none" w:sz="0" w:space="0" w:color="auto"/>
                    <w:bottom w:val="none" w:sz="0" w:space="0" w:color="auto"/>
                    <w:right w:val="none" w:sz="0" w:space="0" w:color="auto"/>
                  </w:divBdr>
                  <w:divsChild>
                    <w:div w:id="1691570373">
                      <w:marLeft w:val="0"/>
                      <w:marRight w:val="0"/>
                      <w:marTop w:val="0"/>
                      <w:marBottom w:val="0"/>
                      <w:divBdr>
                        <w:top w:val="none" w:sz="0" w:space="0" w:color="auto"/>
                        <w:left w:val="none" w:sz="0" w:space="0" w:color="auto"/>
                        <w:bottom w:val="none" w:sz="0" w:space="0" w:color="auto"/>
                        <w:right w:val="none" w:sz="0" w:space="0" w:color="auto"/>
                      </w:divBdr>
                    </w:div>
                  </w:divsChild>
                </w:div>
                <w:div w:id="768812338">
                  <w:marLeft w:val="0"/>
                  <w:marRight w:val="0"/>
                  <w:marTop w:val="0"/>
                  <w:marBottom w:val="0"/>
                  <w:divBdr>
                    <w:top w:val="none" w:sz="0" w:space="0" w:color="auto"/>
                    <w:left w:val="none" w:sz="0" w:space="0" w:color="auto"/>
                    <w:bottom w:val="none" w:sz="0" w:space="0" w:color="auto"/>
                    <w:right w:val="none" w:sz="0" w:space="0" w:color="auto"/>
                  </w:divBdr>
                  <w:divsChild>
                    <w:div w:id="1841850373">
                      <w:marLeft w:val="0"/>
                      <w:marRight w:val="0"/>
                      <w:marTop w:val="0"/>
                      <w:marBottom w:val="0"/>
                      <w:divBdr>
                        <w:top w:val="none" w:sz="0" w:space="0" w:color="auto"/>
                        <w:left w:val="none" w:sz="0" w:space="0" w:color="auto"/>
                        <w:bottom w:val="none" w:sz="0" w:space="0" w:color="auto"/>
                        <w:right w:val="none" w:sz="0" w:space="0" w:color="auto"/>
                      </w:divBdr>
                    </w:div>
                  </w:divsChild>
                </w:div>
                <w:div w:id="768895631">
                  <w:marLeft w:val="0"/>
                  <w:marRight w:val="0"/>
                  <w:marTop w:val="0"/>
                  <w:marBottom w:val="0"/>
                  <w:divBdr>
                    <w:top w:val="none" w:sz="0" w:space="0" w:color="auto"/>
                    <w:left w:val="none" w:sz="0" w:space="0" w:color="auto"/>
                    <w:bottom w:val="none" w:sz="0" w:space="0" w:color="auto"/>
                    <w:right w:val="none" w:sz="0" w:space="0" w:color="auto"/>
                  </w:divBdr>
                  <w:divsChild>
                    <w:div w:id="1325550108">
                      <w:marLeft w:val="0"/>
                      <w:marRight w:val="0"/>
                      <w:marTop w:val="0"/>
                      <w:marBottom w:val="0"/>
                      <w:divBdr>
                        <w:top w:val="none" w:sz="0" w:space="0" w:color="auto"/>
                        <w:left w:val="none" w:sz="0" w:space="0" w:color="auto"/>
                        <w:bottom w:val="none" w:sz="0" w:space="0" w:color="auto"/>
                        <w:right w:val="none" w:sz="0" w:space="0" w:color="auto"/>
                      </w:divBdr>
                    </w:div>
                  </w:divsChild>
                </w:div>
                <w:div w:id="770468256">
                  <w:marLeft w:val="0"/>
                  <w:marRight w:val="0"/>
                  <w:marTop w:val="0"/>
                  <w:marBottom w:val="0"/>
                  <w:divBdr>
                    <w:top w:val="none" w:sz="0" w:space="0" w:color="auto"/>
                    <w:left w:val="none" w:sz="0" w:space="0" w:color="auto"/>
                    <w:bottom w:val="none" w:sz="0" w:space="0" w:color="auto"/>
                    <w:right w:val="none" w:sz="0" w:space="0" w:color="auto"/>
                  </w:divBdr>
                  <w:divsChild>
                    <w:div w:id="1739745876">
                      <w:marLeft w:val="0"/>
                      <w:marRight w:val="0"/>
                      <w:marTop w:val="0"/>
                      <w:marBottom w:val="0"/>
                      <w:divBdr>
                        <w:top w:val="none" w:sz="0" w:space="0" w:color="auto"/>
                        <w:left w:val="none" w:sz="0" w:space="0" w:color="auto"/>
                        <w:bottom w:val="none" w:sz="0" w:space="0" w:color="auto"/>
                        <w:right w:val="none" w:sz="0" w:space="0" w:color="auto"/>
                      </w:divBdr>
                    </w:div>
                  </w:divsChild>
                </w:div>
                <w:div w:id="788202191">
                  <w:marLeft w:val="0"/>
                  <w:marRight w:val="0"/>
                  <w:marTop w:val="0"/>
                  <w:marBottom w:val="0"/>
                  <w:divBdr>
                    <w:top w:val="none" w:sz="0" w:space="0" w:color="auto"/>
                    <w:left w:val="none" w:sz="0" w:space="0" w:color="auto"/>
                    <w:bottom w:val="none" w:sz="0" w:space="0" w:color="auto"/>
                    <w:right w:val="none" w:sz="0" w:space="0" w:color="auto"/>
                  </w:divBdr>
                  <w:divsChild>
                    <w:div w:id="2043245761">
                      <w:marLeft w:val="0"/>
                      <w:marRight w:val="0"/>
                      <w:marTop w:val="0"/>
                      <w:marBottom w:val="0"/>
                      <w:divBdr>
                        <w:top w:val="none" w:sz="0" w:space="0" w:color="auto"/>
                        <w:left w:val="none" w:sz="0" w:space="0" w:color="auto"/>
                        <w:bottom w:val="none" w:sz="0" w:space="0" w:color="auto"/>
                        <w:right w:val="none" w:sz="0" w:space="0" w:color="auto"/>
                      </w:divBdr>
                    </w:div>
                  </w:divsChild>
                </w:div>
                <w:div w:id="790628647">
                  <w:marLeft w:val="0"/>
                  <w:marRight w:val="0"/>
                  <w:marTop w:val="0"/>
                  <w:marBottom w:val="0"/>
                  <w:divBdr>
                    <w:top w:val="none" w:sz="0" w:space="0" w:color="auto"/>
                    <w:left w:val="none" w:sz="0" w:space="0" w:color="auto"/>
                    <w:bottom w:val="none" w:sz="0" w:space="0" w:color="auto"/>
                    <w:right w:val="none" w:sz="0" w:space="0" w:color="auto"/>
                  </w:divBdr>
                  <w:divsChild>
                    <w:div w:id="1868831920">
                      <w:marLeft w:val="0"/>
                      <w:marRight w:val="0"/>
                      <w:marTop w:val="0"/>
                      <w:marBottom w:val="0"/>
                      <w:divBdr>
                        <w:top w:val="none" w:sz="0" w:space="0" w:color="auto"/>
                        <w:left w:val="none" w:sz="0" w:space="0" w:color="auto"/>
                        <w:bottom w:val="none" w:sz="0" w:space="0" w:color="auto"/>
                        <w:right w:val="none" w:sz="0" w:space="0" w:color="auto"/>
                      </w:divBdr>
                    </w:div>
                  </w:divsChild>
                </w:div>
                <w:div w:id="800197653">
                  <w:marLeft w:val="0"/>
                  <w:marRight w:val="0"/>
                  <w:marTop w:val="0"/>
                  <w:marBottom w:val="0"/>
                  <w:divBdr>
                    <w:top w:val="none" w:sz="0" w:space="0" w:color="auto"/>
                    <w:left w:val="none" w:sz="0" w:space="0" w:color="auto"/>
                    <w:bottom w:val="none" w:sz="0" w:space="0" w:color="auto"/>
                    <w:right w:val="none" w:sz="0" w:space="0" w:color="auto"/>
                  </w:divBdr>
                  <w:divsChild>
                    <w:div w:id="384764923">
                      <w:marLeft w:val="0"/>
                      <w:marRight w:val="0"/>
                      <w:marTop w:val="0"/>
                      <w:marBottom w:val="0"/>
                      <w:divBdr>
                        <w:top w:val="none" w:sz="0" w:space="0" w:color="auto"/>
                        <w:left w:val="none" w:sz="0" w:space="0" w:color="auto"/>
                        <w:bottom w:val="none" w:sz="0" w:space="0" w:color="auto"/>
                        <w:right w:val="none" w:sz="0" w:space="0" w:color="auto"/>
                      </w:divBdr>
                    </w:div>
                  </w:divsChild>
                </w:div>
                <w:div w:id="804853284">
                  <w:marLeft w:val="0"/>
                  <w:marRight w:val="0"/>
                  <w:marTop w:val="0"/>
                  <w:marBottom w:val="0"/>
                  <w:divBdr>
                    <w:top w:val="none" w:sz="0" w:space="0" w:color="auto"/>
                    <w:left w:val="none" w:sz="0" w:space="0" w:color="auto"/>
                    <w:bottom w:val="none" w:sz="0" w:space="0" w:color="auto"/>
                    <w:right w:val="none" w:sz="0" w:space="0" w:color="auto"/>
                  </w:divBdr>
                  <w:divsChild>
                    <w:div w:id="835463636">
                      <w:marLeft w:val="0"/>
                      <w:marRight w:val="0"/>
                      <w:marTop w:val="0"/>
                      <w:marBottom w:val="0"/>
                      <w:divBdr>
                        <w:top w:val="none" w:sz="0" w:space="0" w:color="auto"/>
                        <w:left w:val="none" w:sz="0" w:space="0" w:color="auto"/>
                        <w:bottom w:val="none" w:sz="0" w:space="0" w:color="auto"/>
                        <w:right w:val="none" w:sz="0" w:space="0" w:color="auto"/>
                      </w:divBdr>
                    </w:div>
                  </w:divsChild>
                </w:div>
                <w:div w:id="805585520">
                  <w:marLeft w:val="0"/>
                  <w:marRight w:val="0"/>
                  <w:marTop w:val="0"/>
                  <w:marBottom w:val="0"/>
                  <w:divBdr>
                    <w:top w:val="none" w:sz="0" w:space="0" w:color="auto"/>
                    <w:left w:val="none" w:sz="0" w:space="0" w:color="auto"/>
                    <w:bottom w:val="none" w:sz="0" w:space="0" w:color="auto"/>
                    <w:right w:val="none" w:sz="0" w:space="0" w:color="auto"/>
                  </w:divBdr>
                  <w:divsChild>
                    <w:div w:id="286591281">
                      <w:marLeft w:val="0"/>
                      <w:marRight w:val="0"/>
                      <w:marTop w:val="0"/>
                      <w:marBottom w:val="0"/>
                      <w:divBdr>
                        <w:top w:val="none" w:sz="0" w:space="0" w:color="auto"/>
                        <w:left w:val="none" w:sz="0" w:space="0" w:color="auto"/>
                        <w:bottom w:val="none" w:sz="0" w:space="0" w:color="auto"/>
                        <w:right w:val="none" w:sz="0" w:space="0" w:color="auto"/>
                      </w:divBdr>
                    </w:div>
                  </w:divsChild>
                </w:div>
                <w:div w:id="819880767">
                  <w:marLeft w:val="0"/>
                  <w:marRight w:val="0"/>
                  <w:marTop w:val="0"/>
                  <w:marBottom w:val="0"/>
                  <w:divBdr>
                    <w:top w:val="none" w:sz="0" w:space="0" w:color="auto"/>
                    <w:left w:val="none" w:sz="0" w:space="0" w:color="auto"/>
                    <w:bottom w:val="none" w:sz="0" w:space="0" w:color="auto"/>
                    <w:right w:val="none" w:sz="0" w:space="0" w:color="auto"/>
                  </w:divBdr>
                  <w:divsChild>
                    <w:div w:id="1019085675">
                      <w:marLeft w:val="0"/>
                      <w:marRight w:val="0"/>
                      <w:marTop w:val="0"/>
                      <w:marBottom w:val="0"/>
                      <w:divBdr>
                        <w:top w:val="none" w:sz="0" w:space="0" w:color="auto"/>
                        <w:left w:val="none" w:sz="0" w:space="0" w:color="auto"/>
                        <w:bottom w:val="none" w:sz="0" w:space="0" w:color="auto"/>
                        <w:right w:val="none" w:sz="0" w:space="0" w:color="auto"/>
                      </w:divBdr>
                    </w:div>
                  </w:divsChild>
                </w:div>
                <w:div w:id="824856817">
                  <w:marLeft w:val="0"/>
                  <w:marRight w:val="0"/>
                  <w:marTop w:val="0"/>
                  <w:marBottom w:val="0"/>
                  <w:divBdr>
                    <w:top w:val="none" w:sz="0" w:space="0" w:color="auto"/>
                    <w:left w:val="none" w:sz="0" w:space="0" w:color="auto"/>
                    <w:bottom w:val="none" w:sz="0" w:space="0" w:color="auto"/>
                    <w:right w:val="none" w:sz="0" w:space="0" w:color="auto"/>
                  </w:divBdr>
                  <w:divsChild>
                    <w:div w:id="1742020171">
                      <w:marLeft w:val="0"/>
                      <w:marRight w:val="0"/>
                      <w:marTop w:val="0"/>
                      <w:marBottom w:val="0"/>
                      <w:divBdr>
                        <w:top w:val="none" w:sz="0" w:space="0" w:color="auto"/>
                        <w:left w:val="none" w:sz="0" w:space="0" w:color="auto"/>
                        <w:bottom w:val="none" w:sz="0" w:space="0" w:color="auto"/>
                        <w:right w:val="none" w:sz="0" w:space="0" w:color="auto"/>
                      </w:divBdr>
                    </w:div>
                  </w:divsChild>
                </w:div>
                <w:div w:id="829753635">
                  <w:marLeft w:val="0"/>
                  <w:marRight w:val="0"/>
                  <w:marTop w:val="0"/>
                  <w:marBottom w:val="0"/>
                  <w:divBdr>
                    <w:top w:val="none" w:sz="0" w:space="0" w:color="auto"/>
                    <w:left w:val="none" w:sz="0" w:space="0" w:color="auto"/>
                    <w:bottom w:val="none" w:sz="0" w:space="0" w:color="auto"/>
                    <w:right w:val="none" w:sz="0" w:space="0" w:color="auto"/>
                  </w:divBdr>
                  <w:divsChild>
                    <w:div w:id="325011742">
                      <w:marLeft w:val="0"/>
                      <w:marRight w:val="0"/>
                      <w:marTop w:val="0"/>
                      <w:marBottom w:val="0"/>
                      <w:divBdr>
                        <w:top w:val="none" w:sz="0" w:space="0" w:color="auto"/>
                        <w:left w:val="none" w:sz="0" w:space="0" w:color="auto"/>
                        <w:bottom w:val="none" w:sz="0" w:space="0" w:color="auto"/>
                        <w:right w:val="none" w:sz="0" w:space="0" w:color="auto"/>
                      </w:divBdr>
                    </w:div>
                  </w:divsChild>
                </w:div>
                <w:div w:id="865601346">
                  <w:marLeft w:val="0"/>
                  <w:marRight w:val="0"/>
                  <w:marTop w:val="0"/>
                  <w:marBottom w:val="0"/>
                  <w:divBdr>
                    <w:top w:val="none" w:sz="0" w:space="0" w:color="auto"/>
                    <w:left w:val="none" w:sz="0" w:space="0" w:color="auto"/>
                    <w:bottom w:val="none" w:sz="0" w:space="0" w:color="auto"/>
                    <w:right w:val="none" w:sz="0" w:space="0" w:color="auto"/>
                  </w:divBdr>
                  <w:divsChild>
                    <w:div w:id="1317805756">
                      <w:marLeft w:val="0"/>
                      <w:marRight w:val="0"/>
                      <w:marTop w:val="0"/>
                      <w:marBottom w:val="0"/>
                      <w:divBdr>
                        <w:top w:val="none" w:sz="0" w:space="0" w:color="auto"/>
                        <w:left w:val="none" w:sz="0" w:space="0" w:color="auto"/>
                        <w:bottom w:val="none" w:sz="0" w:space="0" w:color="auto"/>
                        <w:right w:val="none" w:sz="0" w:space="0" w:color="auto"/>
                      </w:divBdr>
                    </w:div>
                  </w:divsChild>
                </w:div>
                <w:div w:id="872381416">
                  <w:marLeft w:val="0"/>
                  <w:marRight w:val="0"/>
                  <w:marTop w:val="0"/>
                  <w:marBottom w:val="0"/>
                  <w:divBdr>
                    <w:top w:val="none" w:sz="0" w:space="0" w:color="auto"/>
                    <w:left w:val="none" w:sz="0" w:space="0" w:color="auto"/>
                    <w:bottom w:val="none" w:sz="0" w:space="0" w:color="auto"/>
                    <w:right w:val="none" w:sz="0" w:space="0" w:color="auto"/>
                  </w:divBdr>
                  <w:divsChild>
                    <w:div w:id="1292789678">
                      <w:marLeft w:val="0"/>
                      <w:marRight w:val="0"/>
                      <w:marTop w:val="0"/>
                      <w:marBottom w:val="0"/>
                      <w:divBdr>
                        <w:top w:val="none" w:sz="0" w:space="0" w:color="auto"/>
                        <w:left w:val="none" w:sz="0" w:space="0" w:color="auto"/>
                        <w:bottom w:val="none" w:sz="0" w:space="0" w:color="auto"/>
                        <w:right w:val="none" w:sz="0" w:space="0" w:color="auto"/>
                      </w:divBdr>
                    </w:div>
                  </w:divsChild>
                </w:div>
                <w:div w:id="873882841">
                  <w:marLeft w:val="0"/>
                  <w:marRight w:val="0"/>
                  <w:marTop w:val="0"/>
                  <w:marBottom w:val="0"/>
                  <w:divBdr>
                    <w:top w:val="none" w:sz="0" w:space="0" w:color="auto"/>
                    <w:left w:val="none" w:sz="0" w:space="0" w:color="auto"/>
                    <w:bottom w:val="none" w:sz="0" w:space="0" w:color="auto"/>
                    <w:right w:val="none" w:sz="0" w:space="0" w:color="auto"/>
                  </w:divBdr>
                  <w:divsChild>
                    <w:div w:id="1776099762">
                      <w:marLeft w:val="0"/>
                      <w:marRight w:val="0"/>
                      <w:marTop w:val="0"/>
                      <w:marBottom w:val="0"/>
                      <w:divBdr>
                        <w:top w:val="none" w:sz="0" w:space="0" w:color="auto"/>
                        <w:left w:val="none" w:sz="0" w:space="0" w:color="auto"/>
                        <w:bottom w:val="none" w:sz="0" w:space="0" w:color="auto"/>
                        <w:right w:val="none" w:sz="0" w:space="0" w:color="auto"/>
                      </w:divBdr>
                    </w:div>
                  </w:divsChild>
                </w:div>
                <w:div w:id="873886583">
                  <w:marLeft w:val="0"/>
                  <w:marRight w:val="0"/>
                  <w:marTop w:val="0"/>
                  <w:marBottom w:val="0"/>
                  <w:divBdr>
                    <w:top w:val="none" w:sz="0" w:space="0" w:color="auto"/>
                    <w:left w:val="none" w:sz="0" w:space="0" w:color="auto"/>
                    <w:bottom w:val="none" w:sz="0" w:space="0" w:color="auto"/>
                    <w:right w:val="none" w:sz="0" w:space="0" w:color="auto"/>
                  </w:divBdr>
                  <w:divsChild>
                    <w:div w:id="49429559">
                      <w:marLeft w:val="0"/>
                      <w:marRight w:val="0"/>
                      <w:marTop w:val="0"/>
                      <w:marBottom w:val="0"/>
                      <w:divBdr>
                        <w:top w:val="none" w:sz="0" w:space="0" w:color="auto"/>
                        <w:left w:val="none" w:sz="0" w:space="0" w:color="auto"/>
                        <w:bottom w:val="none" w:sz="0" w:space="0" w:color="auto"/>
                        <w:right w:val="none" w:sz="0" w:space="0" w:color="auto"/>
                      </w:divBdr>
                    </w:div>
                  </w:divsChild>
                </w:div>
                <w:div w:id="881290279">
                  <w:marLeft w:val="0"/>
                  <w:marRight w:val="0"/>
                  <w:marTop w:val="0"/>
                  <w:marBottom w:val="0"/>
                  <w:divBdr>
                    <w:top w:val="none" w:sz="0" w:space="0" w:color="auto"/>
                    <w:left w:val="none" w:sz="0" w:space="0" w:color="auto"/>
                    <w:bottom w:val="none" w:sz="0" w:space="0" w:color="auto"/>
                    <w:right w:val="none" w:sz="0" w:space="0" w:color="auto"/>
                  </w:divBdr>
                  <w:divsChild>
                    <w:div w:id="1540893750">
                      <w:marLeft w:val="0"/>
                      <w:marRight w:val="0"/>
                      <w:marTop w:val="0"/>
                      <w:marBottom w:val="0"/>
                      <w:divBdr>
                        <w:top w:val="none" w:sz="0" w:space="0" w:color="auto"/>
                        <w:left w:val="none" w:sz="0" w:space="0" w:color="auto"/>
                        <w:bottom w:val="none" w:sz="0" w:space="0" w:color="auto"/>
                        <w:right w:val="none" w:sz="0" w:space="0" w:color="auto"/>
                      </w:divBdr>
                    </w:div>
                    <w:div w:id="2033264862">
                      <w:marLeft w:val="0"/>
                      <w:marRight w:val="0"/>
                      <w:marTop w:val="0"/>
                      <w:marBottom w:val="0"/>
                      <w:divBdr>
                        <w:top w:val="none" w:sz="0" w:space="0" w:color="auto"/>
                        <w:left w:val="none" w:sz="0" w:space="0" w:color="auto"/>
                        <w:bottom w:val="none" w:sz="0" w:space="0" w:color="auto"/>
                        <w:right w:val="none" w:sz="0" w:space="0" w:color="auto"/>
                      </w:divBdr>
                    </w:div>
                  </w:divsChild>
                </w:div>
                <w:div w:id="890924014">
                  <w:marLeft w:val="0"/>
                  <w:marRight w:val="0"/>
                  <w:marTop w:val="0"/>
                  <w:marBottom w:val="0"/>
                  <w:divBdr>
                    <w:top w:val="none" w:sz="0" w:space="0" w:color="auto"/>
                    <w:left w:val="none" w:sz="0" w:space="0" w:color="auto"/>
                    <w:bottom w:val="none" w:sz="0" w:space="0" w:color="auto"/>
                    <w:right w:val="none" w:sz="0" w:space="0" w:color="auto"/>
                  </w:divBdr>
                  <w:divsChild>
                    <w:div w:id="1982231104">
                      <w:marLeft w:val="0"/>
                      <w:marRight w:val="0"/>
                      <w:marTop w:val="0"/>
                      <w:marBottom w:val="0"/>
                      <w:divBdr>
                        <w:top w:val="none" w:sz="0" w:space="0" w:color="auto"/>
                        <w:left w:val="none" w:sz="0" w:space="0" w:color="auto"/>
                        <w:bottom w:val="none" w:sz="0" w:space="0" w:color="auto"/>
                        <w:right w:val="none" w:sz="0" w:space="0" w:color="auto"/>
                      </w:divBdr>
                    </w:div>
                  </w:divsChild>
                </w:div>
                <w:div w:id="901597818">
                  <w:marLeft w:val="0"/>
                  <w:marRight w:val="0"/>
                  <w:marTop w:val="0"/>
                  <w:marBottom w:val="0"/>
                  <w:divBdr>
                    <w:top w:val="none" w:sz="0" w:space="0" w:color="auto"/>
                    <w:left w:val="none" w:sz="0" w:space="0" w:color="auto"/>
                    <w:bottom w:val="none" w:sz="0" w:space="0" w:color="auto"/>
                    <w:right w:val="none" w:sz="0" w:space="0" w:color="auto"/>
                  </w:divBdr>
                  <w:divsChild>
                    <w:div w:id="2003659998">
                      <w:marLeft w:val="0"/>
                      <w:marRight w:val="0"/>
                      <w:marTop w:val="0"/>
                      <w:marBottom w:val="0"/>
                      <w:divBdr>
                        <w:top w:val="none" w:sz="0" w:space="0" w:color="auto"/>
                        <w:left w:val="none" w:sz="0" w:space="0" w:color="auto"/>
                        <w:bottom w:val="none" w:sz="0" w:space="0" w:color="auto"/>
                        <w:right w:val="none" w:sz="0" w:space="0" w:color="auto"/>
                      </w:divBdr>
                    </w:div>
                  </w:divsChild>
                </w:div>
                <w:div w:id="902567142">
                  <w:marLeft w:val="0"/>
                  <w:marRight w:val="0"/>
                  <w:marTop w:val="0"/>
                  <w:marBottom w:val="0"/>
                  <w:divBdr>
                    <w:top w:val="none" w:sz="0" w:space="0" w:color="auto"/>
                    <w:left w:val="none" w:sz="0" w:space="0" w:color="auto"/>
                    <w:bottom w:val="none" w:sz="0" w:space="0" w:color="auto"/>
                    <w:right w:val="none" w:sz="0" w:space="0" w:color="auto"/>
                  </w:divBdr>
                  <w:divsChild>
                    <w:div w:id="548418585">
                      <w:marLeft w:val="0"/>
                      <w:marRight w:val="0"/>
                      <w:marTop w:val="0"/>
                      <w:marBottom w:val="0"/>
                      <w:divBdr>
                        <w:top w:val="none" w:sz="0" w:space="0" w:color="auto"/>
                        <w:left w:val="none" w:sz="0" w:space="0" w:color="auto"/>
                        <w:bottom w:val="none" w:sz="0" w:space="0" w:color="auto"/>
                        <w:right w:val="none" w:sz="0" w:space="0" w:color="auto"/>
                      </w:divBdr>
                    </w:div>
                    <w:div w:id="1036465980">
                      <w:marLeft w:val="0"/>
                      <w:marRight w:val="0"/>
                      <w:marTop w:val="0"/>
                      <w:marBottom w:val="0"/>
                      <w:divBdr>
                        <w:top w:val="none" w:sz="0" w:space="0" w:color="auto"/>
                        <w:left w:val="none" w:sz="0" w:space="0" w:color="auto"/>
                        <w:bottom w:val="none" w:sz="0" w:space="0" w:color="auto"/>
                        <w:right w:val="none" w:sz="0" w:space="0" w:color="auto"/>
                      </w:divBdr>
                    </w:div>
                    <w:div w:id="1210722735">
                      <w:marLeft w:val="0"/>
                      <w:marRight w:val="0"/>
                      <w:marTop w:val="0"/>
                      <w:marBottom w:val="0"/>
                      <w:divBdr>
                        <w:top w:val="none" w:sz="0" w:space="0" w:color="auto"/>
                        <w:left w:val="none" w:sz="0" w:space="0" w:color="auto"/>
                        <w:bottom w:val="none" w:sz="0" w:space="0" w:color="auto"/>
                        <w:right w:val="none" w:sz="0" w:space="0" w:color="auto"/>
                      </w:divBdr>
                    </w:div>
                  </w:divsChild>
                </w:div>
                <w:div w:id="906303844">
                  <w:marLeft w:val="0"/>
                  <w:marRight w:val="0"/>
                  <w:marTop w:val="0"/>
                  <w:marBottom w:val="0"/>
                  <w:divBdr>
                    <w:top w:val="none" w:sz="0" w:space="0" w:color="auto"/>
                    <w:left w:val="none" w:sz="0" w:space="0" w:color="auto"/>
                    <w:bottom w:val="none" w:sz="0" w:space="0" w:color="auto"/>
                    <w:right w:val="none" w:sz="0" w:space="0" w:color="auto"/>
                  </w:divBdr>
                  <w:divsChild>
                    <w:div w:id="968706048">
                      <w:marLeft w:val="0"/>
                      <w:marRight w:val="0"/>
                      <w:marTop w:val="0"/>
                      <w:marBottom w:val="0"/>
                      <w:divBdr>
                        <w:top w:val="none" w:sz="0" w:space="0" w:color="auto"/>
                        <w:left w:val="none" w:sz="0" w:space="0" w:color="auto"/>
                        <w:bottom w:val="none" w:sz="0" w:space="0" w:color="auto"/>
                        <w:right w:val="none" w:sz="0" w:space="0" w:color="auto"/>
                      </w:divBdr>
                    </w:div>
                  </w:divsChild>
                </w:div>
                <w:div w:id="908729753">
                  <w:marLeft w:val="0"/>
                  <w:marRight w:val="0"/>
                  <w:marTop w:val="0"/>
                  <w:marBottom w:val="0"/>
                  <w:divBdr>
                    <w:top w:val="none" w:sz="0" w:space="0" w:color="auto"/>
                    <w:left w:val="none" w:sz="0" w:space="0" w:color="auto"/>
                    <w:bottom w:val="none" w:sz="0" w:space="0" w:color="auto"/>
                    <w:right w:val="none" w:sz="0" w:space="0" w:color="auto"/>
                  </w:divBdr>
                  <w:divsChild>
                    <w:div w:id="1117258553">
                      <w:marLeft w:val="0"/>
                      <w:marRight w:val="0"/>
                      <w:marTop w:val="0"/>
                      <w:marBottom w:val="0"/>
                      <w:divBdr>
                        <w:top w:val="none" w:sz="0" w:space="0" w:color="auto"/>
                        <w:left w:val="none" w:sz="0" w:space="0" w:color="auto"/>
                        <w:bottom w:val="none" w:sz="0" w:space="0" w:color="auto"/>
                        <w:right w:val="none" w:sz="0" w:space="0" w:color="auto"/>
                      </w:divBdr>
                    </w:div>
                  </w:divsChild>
                </w:div>
                <w:div w:id="910431676">
                  <w:marLeft w:val="0"/>
                  <w:marRight w:val="0"/>
                  <w:marTop w:val="0"/>
                  <w:marBottom w:val="0"/>
                  <w:divBdr>
                    <w:top w:val="none" w:sz="0" w:space="0" w:color="auto"/>
                    <w:left w:val="none" w:sz="0" w:space="0" w:color="auto"/>
                    <w:bottom w:val="none" w:sz="0" w:space="0" w:color="auto"/>
                    <w:right w:val="none" w:sz="0" w:space="0" w:color="auto"/>
                  </w:divBdr>
                  <w:divsChild>
                    <w:div w:id="297153147">
                      <w:marLeft w:val="0"/>
                      <w:marRight w:val="0"/>
                      <w:marTop w:val="0"/>
                      <w:marBottom w:val="0"/>
                      <w:divBdr>
                        <w:top w:val="none" w:sz="0" w:space="0" w:color="auto"/>
                        <w:left w:val="none" w:sz="0" w:space="0" w:color="auto"/>
                        <w:bottom w:val="none" w:sz="0" w:space="0" w:color="auto"/>
                        <w:right w:val="none" w:sz="0" w:space="0" w:color="auto"/>
                      </w:divBdr>
                    </w:div>
                  </w:divsChild>
                </w:div>
                <w:div w:id="911543588">
                  <w:marLeft w:val="0"/>
                  <w:marRight w:val="0"/>
                  <w:marTop w:val="0"/>
                  <w:marBottom w:val="0"/>
                  <w:divBdr>
                    <w:top w:val="none" w:sz="0" w:space="0" w:color="auto"/>
                    <w:left w:val="none" w:sz="0" w:space="0" w:color="auto"/>
                    <w:bottom w:val="none" w:sz="0" w:space="0" w:color="auto"/>
                    <w:right w:val="none" w:sz="0" w:space="0" w:color="auto"/>
                  </w:divBdr>
                  <w:divsChild>
                    <w:div w:id="1077481978">
                      <w:marLeft w:val="0"/>
                      <w:marRight w:val="0"/>
                      <w:marTop w:val="0"/>
                      <w:marBottom w:val="0"/>
                      <w:divBdr>
                        <w:top w:val="none" w:sz="0" w:space="0" w:color="auto"/>
                        <w:left w:val="none" w:sz="0" w:space="0" w:color="auto"/>
                        <w:bottom w:val="none" w:sz="0" w:space="0" w:color="auto"/>
                        <w:right w:val="none" w:sz="0" w:space="0" w:color="auto"/>
                      </w:divBdr>
                    </w:div>
                  </w:divsChild>
                </w:div>
                <w:div w:id="915820941">
                  <w:marLeft w:val="0"/>
                  <w:marRight w:val="0"/>
                  <w:marTop w:val="0"/>
                  <w:marBottom w:val="0"/>
                  <w:divBdr>
                    <w:top w:val="none" w:sz="0" w:space="0" w:color="auto"/>
                    <w:left w:val="none" w:sz="0" w:space="0" w:color="auto"/>
                    <w:bottom w:val="none" w:sz="0" w:space="0" w:color="auto"/>
                    <w:right w:val="none" w:sz="0" w:space="0" w:color="auto"/>
                  </w:divBdr>
                  <w:divsChild>
                    <w:div w:id="404035283">
                      <w:marLeft w:val="0"/>
                      <w:marRight w:val="0"/>
                      <w:marTop w:val="0"/>
                      <w:marBottom w:val="0"/>
                      <w:divBdr>
                        <w:top w:val="none" w:sz="0" w:space="0" w:color="auto"/>
                        <w:left w:val="none" w:sz="0" w:space="0" w:color="auto"/>
                        <w:bottom w:val="none" w:sz="0" w:space="0" w:color="auto"/>
                        <w:right w:val="none" w:sz="0" w:space="0" w:color="auto"/>
                      </w:divBdr>
                    </w:div>
                    <w:div w:id="1262180401">
                      <w:marLeft w:val="0"/>
                      <w:marRight w:val="0"/>
                      <w:marTop w:val="0"/>
                      <w:marBottom w:val="0"/>
                      <w:divBdr>
                        <w:top w:val="none" w:sz="0" w:space="0" w:color="auto"/>
                        <w:left w:val="none" w:sz="0" w:space="0" w:color="auto"/>
                        <w:bottom w:val="none" w:sz="0" w:space="0" w:color="auto"/>
                        <w:right w:val="none" w:sz="0" w:space="0" w:color="auto"/>
                      </w:divBdr>
                    </w:div>
                    <w:div w:id="1697074859">
                      <w:marLeft w:val="0"/>
                      <w:marRight w:val="0"/>
                      <w:marTop w:val="0"/>
                      <w:marBottom w:val="0"/>
                      <w:divBdr>
                        <w:top w:val="none" w:sz="0" w:space="0" w:color="auto"/>
                        <w:left w:val="none" w:sz="0" w:space="0" w:color="auto"/>
                        <w:bottom w:val="none" w:sz="0" w:space="0" w:color="auto"/>
                        <w:right w:val="none" w:sz="0" w:space="0" w:color="auto"/>
                      </w:divBdr>
                    </w:div>
                  </w:divsChild>
                </w:div>
                <w:div w:id="917984409">
                  <w:marLeft w:val="0"/>
                  <w:marRight w:val="0"/>
                  <w:marTop w:val="0"/>
                  <w:marBottom w:val="0"/>
                  <w:divBdr>
                    <w:top w:val="none" w:sz="0" w:space="0" w:color="auto"/>
                    <w:left w:val="none" w:sz="0" w:space="0" w:color="auto"/>
                    <w:bottom w:val="none" w:sz="0" w:space="0" w:color="auto"/>
                    <w:right w:val="none" w:sz="0" w:space="0" w:color="auto"/>
                  </w:divBdr>
                  <w:divsChild>
                    <w:div w:id="470095405">
                      <w:marLeft w:val="0"/>
                      <w:marRight w:val="0"/>
                      <w:marTop w:val="0"/>
                      <w:marBottom w:val="0"/>
                      <w:divBdr>
                        <w:top w:val="none" w:sz="0" w:space="0" w:color="auto"/>
                        <w:left w:val="none" w:sz="0" w:space="0" w:color="auto"/>
                        <w:bottom w:val="none" w:sz="0" w:space="0" w:color="auto"/>
                        <w:right w:val="none" w:sz="0" w:space="0" w:color="auto"/>
                      </w:divBdr>
                    </w:div>
                    <w:div w:id="673186496">
                      <w:marLeft w:val="0"/>
                      <w:marRight w:val="0"/>
                      <w:marTop w:val="0"/>
                      <w:marBottom w:val="0"/>
                      <w:divBdr>
                        <w:top w:val="none" w:sz="0" w:space="0" w:color="auto"/>
                        <w:left w:val="none" w:sz="0" w:space="0" w:color="auto"/>
                        <w:bottom w:val="none" w:sz="0" w:space="0" w:color="auto"/>
                        <w:right w:val="none" w:sz="0" w:space="0" w:color="auto"/>
                      </w:divBdr>
                    </w:div>
                    <w:div w:id="705837009">
                      <w:marLeft w:val="0"/>
                      <w:marRight w:val="0"/>
                      <w:marTop w:val="0"/>
                      <w:marBottom w:val="0"/>
                      <w:divBdr>
                        <w:top w:val="none" w:sz="0" w:space="0" w:color="auto"/>
                        <w:left w:val="none" w:sz="0" w:space="0" w:color="auto"/>
                        <w:bottom w:val="none" w:sz="0" w:space="0" w:color="auto"/>
                        <w:right w:val="none" w:sz="0" w:space="0" w:color="auto"/>
                      </w:divBdr>
                    </w:div>
                    <w:div w:id="902637311">
                      <w:marLeft w:val="0"/>
                      <w:marRight w:val="0"/>
                      <w:marTop w:val="0"/>
                      <w:marBottom w:val="0"/>
                      <w:divBdr>
                        <w:top w:val="none" w:sz="0" w:space="0" w:color="auto"/>
                        <w:left w:val="none" w:sz="0" w:space="0" w:color="auto"/>
                        <w:bottom w:val="none" w:sz="0" w:space="0" w:color="auto"/>
                        <w:right w:val="none" w:sz="0" w:space="0" w:color="auto"/>
                      </w:divBdr>
                    </w:div>
                    <w:div w:id="968360441">
                      <w:marLeft w:val="0"/>
                      <w:marRight w:val="0"/>
                      <w:marTop w:val="0"/>
                      <w:marBottom w:val="0"/>
                      <w:divBdr>
                        <w:top w:val="none" w:sz="0" w:space="0" w:color="auto"/>
                        <w:left w:val="none" w:sz="0" w:space="0" w:color="auto"/>
                        <w:bottom w:val="none" w:sz="0" w:space="0" w:color="auto"/>
                        <w:right w:val="none" w:sz="0" w:space="0" w:color="auto"/>
                      </w:divBdr>
                    </w:div>
                    <w:div w:id="1375734599">
                      <w:marLeft w:val="0"/>
                      <w:marRight w:val="0"/>
                      <w:marTop w:val="0"/>
                      <w:marBottom w:val="0"/>
                      <w:divBdr>
                        <w:top w:val="none" w:sz="0" w:space="0" w:color="auto"/>
                        <w:left w:val="none" w:sz="0" w:space="0" w:color="auto"/>
                        <w:bottom w:val="none" w:sz="0" w:space="0" w:color="auto"/>
                        <w:right w:val="none" w:sz="0" w:space="0" w:color="auto"/>
                      </w:divBdr>
                    </w:div>
                    <w:div w:id="1431311808">
                      <w:marLeft w:val="0"/>
                      <w:marRight w:val="0"/>
                      <w:marTop w:val="0"/>
                      <w:marBottom w:val="0"/>
                      <w:divBdr>
                        <w:top w:val="none" w:sz="0" w:space="0" w:color="auto"/>
                        <w:left w:val="none" w:sz="0" w:space="0" w:color="auto"/>
                        <w:bottom w:val="none" w:sz="0" w:space="0" w:color="auto"/>
                        <w:right w:val="none" w:sz="0" w:space="0" w:color="auto"/>
                      </w:divBdr>
                    </w:div>
                    <w:div w:id="1511989235">
                      <w:marLeft w:val="0"/>
                      <w:marRight w:val="0"/>
                      <w:marTop w:val="0"/>
                      <w:marBottom w:val="0"/>
                      <w:divBdr>
                        <w:top w:val="none" w:sz="0" w:space="0" w:color="auto"/>
                        <w:left w:val="none" w:sz="0" w:space="0" w:color="auto"/>
                        <w:bottom w:val="none" w:sz="0" w:space="0" w:color="auto"/>
                        <w:right w:val="none" w:sz="0" w:space="0" w:color="auto"/>
                      </w:divBdr>
                    </w:div>
                    <w:div w:id="1520924719">
                      <w:marLeft w:val="0"/>
                      <w:marRight w:val="0"/>
                      <w:marTop w:val="0"/>
                      <w:marBottom w:val="0"/>
                      <w:divBdr>
                        <w:top w:val="none" w:sz="0" w:space="0" w:color="auto"/>
                        <w:left w:val="none" w:sz="0" w:space="0" w:color="auto"/>
                        <w:bottom w:val="none" w:sz="0" w:space="0" w:color="auto"/>
                        <w:right w:val="none" w:sz="0" w:space="0" w:color="auto"/>
                      </w:divBdr>
                    </w:div>
                    <w:div w:id="1593509540">
                      <w:marLeft w:val="0"/>
                      <w:marRight w:val="0"/>
                      <w:marTop w:val="0"/>
                      <w:marBottom w:val="0"/>
                      <w:divBdr>
                        <w:top w:val="none" w:sz="0" w:space="0" w:color="auto"/>
                        <w:left w:val="none" w:sz="0" w:space="0" w:color="auto"/>
                        <w:bottom w:val="none" w:sz="0" w:space="0" w:color="auto"/>
                        <w:right w:val="none" w:sz="0" w:space="0" w:color="auto"/>
                      </w:divBdr>
                    </w:div>
                    <w:div w:id="1728725230">
                      <w:marLeft w:val="0"/>
                      <w:marRight w:val="0"/>
                      <w:marTop w:val="0"/>
                      <w:marBottom w:val="0"/>
                      <w:divBdr>
                        <w:top w:val="none" w:sz="0" w:space="0" w:color="auto"/>
                        <w:left w:val="none" w:sz="0" w:space="0" w:color="auto"/>
                        <w:bottom w:val="none" w:sz="0" w:space="0" w:color="auto"/>
                        <w:right w:val="none" w:sz="0" w:space="0" w:color="auto"/>
                      </w:divBdr>
                    </w:div>
                    <w:div w:id="2025283220">
                      <w:marLeft w:val="0"/>
                      <w:marRight w:val="0"/>
                      <w:marTop w:val="0"/>
                      <w:marBottom w:val="0"/>
                      <w:divBdr>
                        <w:top w:val="none" w:sz="0" w:space="0" w:color="auto"/>
                        <w:left w:val="none" w:sz="0" w:space="0" w:color="auto"/>
                        <w:bottom w:val="none" w:sz="0" w:space="0" w:color="auto"/>
                        <w:right w:val="none" w:sz="0" w:space="0" w:color="auto"/>
                      </w:divBdr>
                    </w:div>
                    <w:div w:id="2090155118">
                      <w:marLeft w:val="0"/>
                      <w:marRight w:val="0"/>
                      <w:marTop w:val="0"/>
                      <w:marBottom w:val="0"/>
                      <w:divBdr>
                        <w:top w:val="none" w:sz="0" w:space="0" w:color="auto"/>
                        <w:left w:val="none" w:sz="0" w:space="0" w:color="auto"/>
                        <w:bottom w:val="none" w:sz="0" w:space="0" w:color="auto"/>
                        <w:right w:val="none" w:sz="0" w:space="0" w:color="auto"/>
                      </w:divBdr>
                    </w:div>
                  </w:divsChild>
                </w:div>
                <w:div w:id="929124111">
                  <w:marLeft w:val="0"/>
                  <w:marRight w:val="0"/>
                  <w:marTop w:val="0"/>
                  <w:marBottom w:val="0"/>
                  <w:divBdr>
                    <w:top w:val="none" w:sz="0" w:space="0" w:color="auto"/>
                    <w:left w:val="none" w:sz="0" w:space="0" w:color="auto"/>
                    <w:bottom w:val="none" w:sz="0" w:space="0" w:color="auto"/>
                    <w:right w:val="none" w:sz="0" w:space="0" w:color="auto"/>
                  </w:divBdr>
                  <w:divsChild>
                    <w:div w:id="942343480">
                      <w:marLeft w:val="0"/>
                      <w:marRight w:val="0"/>
                      <w:marTop w:val="0"/>
                      <w:marBottom w:val="0"/>
                      <w:divBdr>
                        <w:top w:val="none" w:sz="0" w:space="0" w:color="auto"/>
                        <w:left w:val="none" w:sz="0" w:space="0" w:color="auto"/>
                        <w:bottom w:val="none" w:sz="0" w:space="0" w:color="auto"/>
                        <w:right w:val="none" w:sz="0" w:space="0" w:color="auto"/>
                      </w:divBdr>
                    </w:div>
                  </w:divsChild>
                </w:div>
                <w:div w:id="935750481">
                  <w:marLeft w:val="0"/>
                  <w:marRight w:val="0"/>
                  <w:marTop w:val="0"/>
                  <w:marBottom w:val="0"/>
                  <w:divBdr>
                    <w:top w:val="none" w:sz="0" w:space="0" w:color="auto"/>
                    <w:left w:val="none" w:sz="0" w:space="0" w:color="auto"/>
                    <w:bottom w:val="none" w:sz="0" w:space="0" w:color="auto"/>
                    <w:right w:val="none" w:sz="0" w:space="0" w:color="auto"/>
                  </w:divBdr>
                  <w:divsChild>
                    <w:div w:id="593052641">
                      <w:marLeft w:val="0"/>
                      <w:marRight w:val="0"/>
                      <w:marTop w:val="0"/>
                      <w:marBottom w:val="0"/>
                      <w:divBdr>
                        <w:top w:val="none" w:sz="0" w:space="0" w:color="auto"/>
                        <w:left w:val="none" w:sz="0" w:space="0" w:color="auto"/>
                        <w:bottom w:val="none" w:sz="0" w:space="0" w:color="auto"/>
                        <w:right w:val="none" w:sz="0" w:space="0" w:color="auto"/>
                      </w:divBdr>
                    </w:div>
                  </w:divsChild>
                </w:div>
                <w:div w:id="936058420">
                  <w:marLeft w:val="0"/>
                  <w:marRight w:val="0"/>
                  <w:marTop w:val="0"/>
                  <w:marBottom w:val="0"/>
                  <w:divBdr>
                    <w:top w:val="none" w:sz="0" w:space="0" w:color="auto"/>
                    <w:left w:val="none" w:sz="0" w:space="0" w:color="auto"/>
                    <w:bottom w:val="none" w:sz="0" w:space="0" w:color="auto"/>
                    <w:right w:val="none" w:sz="0" w:space="0" w:color="auto"/>
                  </w:divBdr>
                  <w:divsChild>
                    <w:div w:id="1188984021">
                      <w:marLeft w:val="0"/>
                      <w:marRight w:val="0"/>
                      <w:marTop w:val="0"/>
                      <w:marBottom w:val="0"/>
                      <w:divBdr>
                        <w:top w:val="none" w:sz="0" w:space="0" w:color="auto"/>
                        <w:left w:val="none" w:sz="0" w:space="0" w:color="auto"/>
                        <w:bottom w:val="none" w:sz="0" w:space="0" w:color="auto"/>
                        <w:right w:val="none" w:sz="0" w:space="0" w:color="auto"/>
                      </w:divBdr>
                    </w:div>
                  </w:divsChild>
                </w:div>
                <w:div w:id="940796682">
                  <w:marLeft w:val="0"/>
                  <w:marRight w:val="0"/>
                  <w:marTop w:val="0"/>
                  <w:marBottom w:val="0"/>
                  <w:divBdr>
                    <w:top w:val="none" w:sz="0" w:space="0" w:color="auto"/>
                    <w:left w:val="none" w:sz="0" w:space="0" w:color="auto"/>
                    <w:bottom w:val="none" w:sz="0" w:space="0" w:color="auto"/>
                    <w:right w:val="none" w:sz="0" w:space="0" w:color="auto"/>
                  </w:divBdr>
                  <w:divsChild>
                    <w:div w:id="913857043">
                      <w:marLeft w:val="0"/>
                      <w:marRight w:val="0"/>
                      <w:marTop w:val="0"/>
                      <w:marBottom w:val="0"/>
                      <w:divBdr>
                        <w:top w:val="none" w:sz="0" w:space="0" w:color="auto"/>
                        <w:left w:val="none" w:sz="0" w:space="0" w:color="auto"/>
                        <w:bottom w:val="none" w:sz="0" w:space="0" w:color="auto"/>
                        <w:right w:val="none" w:sz="0" w:space="0" w:color="auto"/>
                      </w:divBdr>
                    </w:div>
                  </w:divsChild>
                </w:div>
                <w:div w:id="951206545">
                  <w:marLeft w:val="0"/>
                  <w:marRight w:val="0"/>
                  <w:marTop w:val="0"/>
                  <w:marBottom w:val="0"/>
                  <w:divBdr>
                    <w:top w:val="none" w:sz="0" w:space="0" w:color="auto"/>
                    <w:left w:val="none" w:sz="0" w:space="0" w:color="auto"/>
                    <w:bottom w:val="none" w:sz="0" w:space="0" w:color="auto"/>
                    <w:right w:val="none" w:sz="0" w:space="0" w:color="auto"/>
                  </w:divBdr>
                  <w:divsChild>
                    <w:div w:id="901915221">
                      <w:marLeft w:val="0"/>
                      <w:marRight w:val="0"/>
                      <w:marTop w:val="0"/>
                      <w:marBottom w:val="0"/>
                      <w:divBdr>
                        <w:top w:val="none" w:sz="0" w:space="0" w:color="auto"/>
                        <w:left w:val="none" w:sz="0" w:space="0" w:color="auto"/>
                        <w:bottom w:val="none" w:sz="0" w:space="0" w:color="auto"/>
                        <w:right w:val="none" w:sz="0" w:space="0" w:color="auto"/>
                      </w:divBdr>
                    </w:div>
                  </w:divsChild>
                </w:div>
                <w:div w:id="956369906">
                  <w:marLeft w:val="0"/>
                  <w:marRight w:val="0"/>
                  <w:marTop w:val="0"/>
                  <w:marBottom w:val="0"/>
                  <w:divBdr>
                    <w:top w:val="none" w:sz="0" w:space="0" w:color="auto"/>
                    <w:left w:val="none" w:sz="0" w:space="0" w:color="auto"/>
                    <w:bottom w:val="none" w:sz="0" w:space="0" w:color="auto"/>
                    <w:right w:val="none" w:sz="0" w:space="0" w:color="auto"/>
                  </w:divBdr>
                  <w:divsChild>
                    <w:div w:id="1433084204">
                      <w:marLeft w:val="0"/>
                      <w:marRight w:val="0"/>
                      <w:marTop w:val="0"/>
                      <w:marBottom w:val="0"/>
                      <w:divBdr>
                        <w:top w:val="none" w:sz="0" w:space="0" w:color="auto"/>
                        <w:left w:val="none" w:sz="0" w:space="0" w:color="auto"/>
                        <w:bottom w:val="none" w:sz="0" w:space="0" w:color="auto"/>
                        <w:right w:val="none" w:sz="0" w:space="0" w:color="auto"/>
                      </w:divBdr>
                    </w:div>
                  </w:divsChild>
                </w:div>
                <w:div w:id="959533335">
                  <w:marLeft w:val="0"/>
                  <w:marRight w:val="0"/>
                  <w:marTop w:val="0"/>
                  <w:marBottom w:val="0"/>
                  <w:divBdr>
                    <w:top w:val="none" w:sz="0" w:space="0" w:color="auto"/>
                    <w:left w:val="none" w:sz="0" w:space="0" w:color="auto"/>
                    <w:bottom w:val="none" w:sz="0" w:space="0" w:color="auto"/>
                    <w:right w:val="none" w:sz="0" w:space="0" w:color="auto"/>
                  </w:divBdr>
                  <w:divsChild>
                    <w:div w:id="2112160336">
                      <w:marLeft w:val="0"/>
                      <w:marRight w:val="0"/>
                      <w:marTop w:val="0"/>
                      <w:marBottom w:val="0"/>
                      <w:divBdr>
                        <w:top w:val="none" w:sz="0" w:space="0" w:color="auto"/>
                        <w:left w:val="none" w:sz="0" w:space="0" w:color="auto"/>
                        <w:bottom w:val="none" w:sz="0" w:space="0" w:color="auto"/>
                        <w:right w:val="none" w:sz="0" w:space="0" w:color="auto"/>
                      </w:divBdr>
                    </w:div>
                  </w:divsChild>
                </w:div>
                <w:div w:id="963775689">
                  <w:marLeft w:val="0"/>
                  <w:marRight w:val="0"/>
                  <w:marTop w:val="0"/>
                  <w:marBottom w:val="0"/>
                  <w:divBdr>
                    <w:top w:val="none" w:sz="0" w:space="0" w:color="auto"/>
                    <w:left w:val="none" w:sz="0" w:space="0" w:color="auto"/>
                    <w:bottom w:val="none" w:sz="0" w:space="0" w:color="auto"/>
                    <w:right w:val="none" w:sz="0" w:space="0" w:color="auto"/>
                  </w:divBdr>
                  <w:divsChild>
                    <w:div w:id="753361121">
                      <w:marLeft w:val="0"/>
                      <w:marRight w:val="0"/>
                      <w:marTop w:val="0"/>
                      <w:marBottom w:val="0"/>
                      <w:divBdr>
                        <w:top w:val="none" w:sz="0" w:space="0" w:color="auto"/>
                        <w:left w:val="none" w:sz="0" w:space="0" w:color="auto"/>
                        <w:bottom w:val="none" w:sz="0" w:space="0" w:color="auto"/>
                        <w:right w:val="none" w:sz="0" w:space="0" w:color="auto"/>
                      </w:divBdr>
                    </w:div>
                  </w:divsChild>
                </w:div>
                <w:div w:id="967664629">
                  <w:marLeft w:val="0"/>
                  <w:marRight w:val="0"/>
                  <w:marTop w:val="0"/>
                  <w:marBottom w:val="0"/>
                  <w:divBdr>
                    <w:top w:val="none" w:sz="0" w:space="0" w:color="auto"/>
                    <w:left w:val="none" w:sz="0" w:space="0" w:color="auto"/>
                    <w:bottom w:val="none" w:sz="0" w:space="0" w:color="auto"/>
                    <w:right w:val="none" w:sz="0" w:space="0" w:color="auto"/>
                  </w:divBdr>
                  <w:divsChild>
                    <w:div w:id="314333038">
                      <w:marLeft w:val="0"/>
                      <w:marRight w:val="0"/>
                      <w:marTop w:val="0"/>
                      <w:marBottom w:val="0"/>
                      <w:divBdr>
                        <w:top w:val="none" w:sz="0" w:space="0" w:color="auto"/>
                        <w:left w:val="none" w:sz="0" w:space="0" w:color="auto"/>
                        <w:bottom w:val="none" w:sz="0" w:space="0" w:color="auto"/>
                        <w:right w:val="none" w:sz="0" w:space="0" w:color="auto"/>
                      </w:divBdr>
                    </w:div>
                  </w:divsChild>
                </w:div>
                <w:div w:id="968902217">
                  <w:marLeft w:val="0"/>
                  <w:marRight w:val="0"/>
                  <w:marTop w:val="0"/>
                  <w:marBottom w:val="0"/>
                  <w:divBdr>
                    <w:top w:val="none" w:sz="0" w:space="0" w:color="auto"/>
                    <w:left w:val="none" w:sz="0" w:space="0" w:color="auto"/>
                    <w:bottom w:val="none" w:sz="0" w:space="0" w:color="auto"/>
                    <w:right w:val="none" w:sz="0" w:space="0" w:color="auto"/>
                  </w:divBdr>
                  <w:divsChild>
                    <w:div w:id="242572002">
                      <w:marLeft w:val="0"/>
                      <w:marRight w:val="0"/>
                      <w:marTop w:val="0"/>
                      <w:marBottom w:val="0"/>
                      <w:divBdr>
                        <w:top w:val="none" w:sz="0" w:space="0" w:color="auto"/>
                        <w:left w:val="none" w:sz="0" w:space="0" w:color="auto"/>
                        <w:bottom w:val="none" w:sz="0" w:space="0" w:color="auto"/>
                        <w:right w:val="none" w:sz="0" w:space="0" w:color="auto"/>
                      </w:divBdr>
                    </w:div>
                  </w:divsChild>
                </w:div>
                <w:div w:id="983194544">
                  <w:marLeft w:val="0"/>
                  <w:marRight w:val="0"/>
                  <w:marTop w:val="0"/>
                  <w:marBottom w:val="0"/>
                  <w:divBdr>
                    <w:top w:val="none" w:sz="0" w:space="0" w:color="auto"/>
                    <w:left w:val="none" w:sz="0" w:space="0" w:color="auto"/>
                    <w:bottom w:val="none" w:sz="0" w:space="0" w:color="auto"/>
                    <w:right w:val="none" w:sz="0" w:space="0" w:color="auto"/>
                  </w:divBdr>
                  <w:divsChild>
                    <w:div w:id="1578172941">
                      <w:marLeft w:val="0"/>
                      <w:marRight w:val="0"/>
                      <w:marTop w:val="0"/>
                      <w:marBottom w:val="0"/>
                      <w:divBdr>
                        <w:top w:val="none" w:sz="0" w:space="0" w:color="auto"/>
                        <w:left w:val="none" w:sz="0" w:space="0" w:color="auto"/>
                        <w:bottom w:val="none" w:sz="0" w:space="0" w:color="auto"/>
                        <w:right w:val="none" w:sz="0" w:space="0" w:color="auto"/>
                      </w:divBdr>
                    </w:div>
                  </w:divsChild>
                </w:div>
                <w:div w:id="983698601">
                  <w:marLeft w:val="0"/>
                  <w:marRight w:val="0"/>
                  <w:marTop w:val="0"/>
                  <w:marBottom w:val="0"/>
                  <w:divBdr>
                    <w:top w:val="none" w:sz="0" w:space="0" w:color="auto"/>
                    <w:left w:val="none" w:sz="0" w:space="0" w:color="auto"/>
                    <w:bottom w:val="none" w:sz="0" w:space="0" w:color="auto"/>
                    <w:right w:val="none" w:sz="0" w:space="0" w:color="auto"/>
                  </w:divBdr>
                  <w:divsChild>
                    <w:div w:id="162401215">
                      <w:marLeft w:val="0"/>
                      <w:marRight w:val="0"/>
                      <w:marTop w:val="0"/>
                      <w:marBottom w:val="0"/>
                      <w:divBdr>
                        <w:top w:val="none" w:sz="0" w:space="0" w:color="auto"/>
                        <w:left w:val="none" w:sz="0" w:space="0" w:color="auto"/>
                        <w:bottom w:val="none" w:sz="0" w:space="0" w:color="auto"/>
                        <w:right w:val="none" w:sz="0" w:space="0" w:color="auto"/>
                      </w:divBdr>
                    </w:div>
                  </w:divsChild>
                </w:div>
                <w:div w:id="983898608">
                  <w:marLeft w:val="0"/>
                  <w:marRight w:val="0"/>
                  <w:marTop w:val="0"/>
                  <w:marBottom w:val="0"/>
                  <w:divBdr>
                    <w:top w:val="none" w:sz="0" w:space="0" w:color="auto"/>
                    <w:left w:val="none" w:sz="0" w:space="0" w:color="auto"/>
                    <w:bottom w:val="none" w:sz="0" w:space="0" w:color="auto"/>
                    <w:right w:val="none" w:sz="0" w:space="0" w:color="auto"/>
                  </w:divBdr>
                  <w:divsChild>
                    <w:div w:id="876116655">
                      <w:marLeft w:val="0"/>
                      <w:marRight w:val="0"/>
                      <w:marTop w:val="0"/>
                      <w:marBottom w:val="0"/>
                      <w:divBdr>
                        <w:top w:val="none" w:sz="0" w:space="0" w:color="auto"/>
                        <w:left w:val="none" w:sz="0" w:space="0" w:color="auto"/>
                        <w:bottom w:val="none" w:sz="0" w:space="0" w:color="auto"/>
                        <w:right w:val="none" w:sz="0" w:space="0" w:color="auto"/>
                      </w:divBdr>
                    </w:div>
                  </w:divsChild>
                </w:div>
                <w:div w:id="999968997">
                  <w:marLeft w:val="0"/>
                  <w:marRight w:val="0"/>
                  <w:marTop w:val="0"/>
                  <w:marBottom w:val="0"/>
                  <w:divBdr>
                    <w:top w:val="none" w:sz="0" w:space="0" w:color="auto"/>
                    <w:left w:val="none" w:sz="0" w:space="0" w:color="auto"/>
                    <w:bottom w:val="none" w:sz="0" w:space="0" w:color="auto"/>
                    <w:right w:val="none" w:sz="0" w:space="0" w:color="auto"/>
                  </w:divBdr>
                  <w:divsChild>
                    <w:div w:id="901332040">
                      <w:marLeft w:val="0"/>
                      <w:marRight w:val="0"/>
                      <w:marTop w:val="0"/>
                      <w:marBottom w:val="0"/>
                      <w:divBdr>
                        <w:top w:val="none" w:sz="0" w:space="0" w:color="auto"/>
                        <w:left w:val="none" w:sz="0" w:space="0" w:color="auto"/>
                        <w:bottom w:val="none" w:sz="0" w:space="0" w:color="auto"/>
                        <w:right w:val="none" w:sz="0" w:space="0" w:color="auto"/>
                      </w:divBdr>
                    </w:div>
                  </w:divsChild>
                </w:div>
                <w:div w:id="1001082961">
                  <w:marLeft w:val="0"/>
                  <w:marRight w:val="0"/>
                  <w:marTop w:val="0"/>
                  <w:marBottom w:val="0"/>
                  <w:divBdr>
                    <w:top w:val="none" w:sz="0" w:space="0" w:color="auto"/>
                    <w:left w:val="none" w:sz="0" w:space="0" w:color="auto"/>
                    <w:bottom w:val="none" w:sz="0" w:space="0" w:color="auto"/>
                    <w:right w:val="none" w:sz="0" w:space="0" w:color="auto"/>
                  </w:divBdr>
                  <w:divsChild>
                    <w:div w:id="2035226604">
                      <w:marLeft w:val="0"/>
                      <w:marRight w:val="0"/>
                      <w:marTop w:val="0"/>
                      <w:marBottom w:val="0"/>
                      <w:divBdr>
                        <w:top w:val="none" w:sz="0" w:space="0" w:color="auto"/>
                        <w:left w:val="none" w:sz="0" w:space="0" w:color="auto"/>
                        <w:bottom w:val="none" w:sz="0" w:space="0" w:color="auto"/>
                        <w:right w:val="none" w:sz="0" w:space="0" w:color="auto"/>
                      </w:divBdr>
                    </w:div>
                  </w:divsChild>
                </w:div>
                <w:div w:id="1027096411">
                  <w:marLeft w:val="0"/>
                  <w:marRight w:val="0"/>
                  <w:marTop w:val="0"/>
                  <w:marBottom w:val="0"/>
                  <w:divBdr>
                    <w:top w:val="none" w:sz="0" w:space="0" w:color="auto"/>
                    <w:left w:val="none" w:sz="0" w:space="0" w:color="auto"/>
                    <w:bottom w:val="none" w:sz="0" w:space="0" w:color="auto"/>
                    <w:right w:val="none" w:sz="0" w:space="0" w:color="auto"/>
                  </w:divBdr>
                  <w:divsChild>
                    <w:div w:id="577636794">
                      <w:marLeft w:val="0"/>
                      <w:marRight w:val="0"/>
                      <w:marTop w:val="0"/>
                      <w:marBottom w:val="0"/>
                      <w:divBdr>
                        <w:top w:val="none" w:sz="0" w:space="0" w:color="auto"/>
                        <w:left w:val="none" w:sz="0" w:space="0" w:color="auto"/>
                        <w:bottom w:val="none" w:sz="0" w:space="0" w:color="auto"/>
                        <w:right w:val="none" w:sz="0" w:space="0" w:color="auto"/>
                      </w:divBdr>
                    </w:div>
                  </w:divsChild>
                </w:div>
                <w:div w:id="1034773090">
                  <w:marLeft w:val="0"/>
                  <w:marRight w:val="0"/>
                  <w:marTop w:val="0"/>
                  <w:marBottom w:val="0"/>
                  <w:divBdr>
                    <w:top w:val="none" w:sz="0" w:space="0" w:color="auto"/>
                    <w:left w:val="none" w:sz="0" w:space="0" w:color="auto"/>
                    <w:bottom w:val="none" w:sz="0" w:space="0" w:color="auto"/>
                    <w:right w:val="none" w:sz="0" w:space="0" w:color="auto"/>
                  </w:divBdr>
                  <w:divsChild>
                    <w:div w:id="1250697146">
                      <w:marLeft w:val="0"/>
                      <w:marRight w:val="0"/>
                      <w:marTop w:val="0"/>
                      <w:marBottom w:val="0"/>
                      <w:divBdr>
                        <w:top w:val="none" w:sz="0" w:space="0" w:color="auto"/>
                        <w:left w:val="none" w:sz="0" w:space="0" w:color="auto"/>
                        <w:bottom w:val="none" w:sz="0" w:space="0" w:color="auto"/>
                        <w:right w:val="none" w:sz="0" w:space="0" w:color="auto"/>
                      </w:divBdr>
                    </w:div>
                  </w:divsChild>
                </w:div>
                <w:div w:id="1042366749">
                  <w:marLeft w:val="0"/>
                  <w:marRight w:val="0"/>
                  <w:marTop w:val="0"/>
                  <w:marBottom w:val="0"/>
                  <w:divBdr>
                    <w:top w:val="none" w:sz="0" w:space="0" w:color="auto"/>
                    <w:left w:val="none" w:sz="0" w:space="0" w:color="auto"/>
                    <w:bottom w:val="none" w:sz="0" w:space="0" w:color="auto"/>
                    <w:right w:val="none" w:sz="0" w:space="0" w:color="auto"/>
                  </w:divBdr>
                  <w:divsChild>
                    <w:div w:id="1105231666">
                      <w:marLeft w:val="0"/>
                      <w:marRight w:val="0"/>
                      <w:marTop w:val="0"/>
                      <w:marBottom w:val="0"/>
                      <w:divBdr>
                        <w:top w:val="none" w:sz="0" w:space="0" w:color="auto"/>
                        <w:left w:val="none" w:sz="0" w:space="0" w:color="auto"/>
                        <w:bottom w:val="none" w:sz="0" w:space="0" w:color="auto"/>
                        <w:right w:val="none" w:sz="0" w:space="0" w:color="auto"/>
                      </w:divBdr>
                    </w:div>
                  </w:divsChild>
                </w:div>
                <w:div w:id="1074744450">
                  <w:marLeft w:val="0"/>
                  <w:marRight w:val="0"/>
                  <w:marTop w:val="0"/>
                  <w:marBottom w:val="0"/>
                  <w:divBdr>
                    <w:top w:val="none" w:sz="0" w:space="0" w:color="auto"/>
                    <w:left w:val="none" w:sz="0" w:space="0" w:color="auto"/>
                    <w:bottom w:val="none" w:sz="0" w:space="0" w:color="auto"/>
                    <w:right w:val="none" w:sz="0" w:space="0" w:color="auto"/>
                  </w:divBdr>
                  <w:divsChild>
                    <w:div w:id="1716276608">
                      <w:marLeft w:val="0"/>
                      <w:marRight w:val="0"/>
                      <w:marTop w:val="0"/>
                      <w:marBottom w:val="0"/>
                      <w:divBdr>
                        <w:top w:val="none" w:sz="0" w:space="0" w:color="auto"/>
                        <w:left w:val="none" w:sz="0" w:space="0" w:color="auto"/>
                        <w:bottom w:val="none" w:sz="0" w:space="0" w:color="auto"/>
                        <w:right w:val="none" w:sz="0" w:space="0" w:color="auto"/>
                      </w:divBdr>
                    </w:div>
                  </w:divsChild>
                </w:div>
                <w:div w:id="1081293740">
                  <w:marLeft w:val="0"/>
                  <w:marRight w:val="0"/>
                  <w:marTop w:val="0"/>
                  <w:marBottom w:val="0"/>
                  <w:divBdr>
                    <w:top w:val="none" w:sz="0" w:space="0" w:color="auto"/>
                    <w:left w:val="none" w:sz="0" w:space="0" w:color="auto"/>
                    <w:bottom w:val="none" w:sz="0" w:space="0" w:color="auto"/>
                    <w:right w:val="none" w:sz="0" w:space="0" w:color="auto"/>
                  </w:divBdr>
                  <w:divsChild>
                    <w:div w:id="888297757">
                      <w:marLeft w:val="0"/>
                      <w:marRight w:val="0"/>
                      <w:marTop w:val="0"/>
                      <w:marBottom w:val="0"/>
                      <w:divBdr>
                        <w:top w:val="none" w:sz="0" w:space="0" w:color="auto"/>
                        <w:left w:val="none" w:sz="0" w:space="0" w:color="auto"/>
                        <w:bottom w:val="none" w:sz="0" w:space="0" w:color="auto"/>
                        <w:right w:val="none" w:sz="0" w:space="0" w:color="auto"/>
                      </w:divBdr>
                    </w:div>
                  </w:divsChild>
                </w:div>
                <w:div w:id="1109085174">
                  <w:marLeft w:val="0"/>
                  <w:marRight w:val="0"/>
                  <w:marTop w:val="0"/>
                  <w:marBottom w:val="0"/>
                  <w:divBdr>
                    <w:top w:val="none" w:sz="0" w:space="0" w:color="auto"/>
                    <w:left w:val="none" w:sz="0" w:space="0" w:color="auto"/>
                    <w:bottom w:val="none" w:sz="0" w:space="0" w:color="auto"/>
                    <w:right w:val="none" w:sz="0" w:space="0" w:color="auto"/>
                  </w:divBdr>
                  <w:divsChild>
                    <w:div w:id="962157596">
                      <w:marLeft w:val="0"/>
                      <w:marRight w:val="0"/>
                      <w:marTop w:val="0"/>
                      <w:marBottom w:val="0"/>
                      <w:divBdr>
                        <w:top w:val="none" w:sz="0" w:space="0" w:color="auto"/>
                        <w:left w:val="none" w:sz="0" w:space="0" w:color="auto"/>
                        <w:bottom w:val="none" w:sz="0" w:space="0" w:color="auto"/>
                        <w:right w:val="none" w:sz="0" w:space="0" w:color="auto"/>
                      </w:divBdr>
                    </w:div>
                  </w:divsChild>
                </w:div>
                <w:div w:id="1111390797">
                  <w:marLeft w:val="0"/>
                  <w:marRight w:val="0"/>
                  <w:marTop w:val="0"/>
                  <w:marBottom w:val="0"/>
                  <w:divBdr>
                    <w:top w:val="none" w:sz="0" w:space="0" w:color="auto"/>
                    <w:left w:val="none" w:sz="0" w:space="0" w:color="auto"/>
                    <w:bottom w:val="none" w:sz="0" w:space="0" w:color="auto"/>
                    <w:right w:val="none" w:sz="0" w:space="0" w:color="auto"/>
                  </w:divBdr>
                  <w:divsChild>
                    <w:div w:id="1601909455">
                      <w:marLeft w:val="0"/>
                      <w:marRight w:val="0"/>
                      <w:marTop w:val="0"/>
                      <w:marBottom w:val="0"/>
                      <w:divBdr>
                        <w:top w:val="none" w:sz="0" w:space="0" w:color="auto"/>
                        <w:left w:val="none" w:sz="0" w:space="0" w:color="auto"/>
                        <w:bottom w:val="none" w:sz="0" w:space="0" w:color="auto"/>
                        <w:right w:val="none" w:sz="0" w:space="0" w:color="auto"/>
                      </w:divBdr>
                    </w:div>
                  </w:divsChild>
                </w:div>
                <w:div w:id="1120030035">
                  <w:marLeft w:val="0"/>
                  <w:marRight w:val="0"/>
                  <w:marTop w:val="0"/>
                  <w:marBottom w:val="0"/>
                  <w:divBdr>
                    <w:top w:val="none" w:sz="0" w:space="0" w:color="auto"/>
                    <w:left w:val="none" w:sz="0" w:space="0" w:color="auto"/>
                    <w:bottom w:val="none" w:sz="0" w:space="0" w:color="auto"/>
                    <w:right w:val="none" w:sz="0" w:space="0" w:color="auto"/>
                  </w:divBdr>
                  <w:divsChild>
                    <w:div w:id="757360579">
                      <w:marLeft w:val="0"/>
                      <w:marRight w:val="0"/>
                      <w:marTop w:val="0"/>
                      <w:marBottom w:val="0"/>
                      <w:divBdr>
                        <w:top w:val="none" w:sz="0" w:space="0" w:color="auto"/>
                        <w:left w:val="none" w:sz="0" w:space="0" w:color="auto"/>
                        <w:bottom w:val="none" w:sz="0" w:space="0" w:color="auto"/>
                        <w:right w:val="none" w:sz="0" w:space="0" w:color="auto"/>
                      </w:divBdr>
                    </w:div>
                  </w:divsChild>
                </w:div>
                <w:div w:id="1138571596">
                  <w:marLeft w:val="0"/>
                  <w:marRight w:val="0"/>
                  <w:marTop w:val="0"/>
                  <w:marBottom w:val="0"/>
                  <w:divBdr>
                    <w:top w:val="none" w:sz="0" w:space="0" w:color="auto"/>
                    <w:left w:val="none" w:sz="0" w:space="0" w:color="auto"/>
                    <w:bottom w:val="none" w:sz="0" w:space="0" w:color="auto"/>
                    <w:right w:val="none" w:sz="0" w:space="0" w:color="auto"/>
                  </w:divBdr>
                  <w:divsChild>
                    <w:div w:id="47077811">
                      <w:marLeft w:val="0"/>
                      <w:marRight w:val="0"/>
                      <w:marTop w:val="0"/>
                      <w:marBottom w:val="0"/>
                      <w:divBdr>
                        <w:top w:val="none" w:sz="0" w:space="0" w:color="auto"/>
                        <w:left w:val="none" w:sz="0" w:space="0" w:color="auto"/>
                        <w:bottom w:val="none" w:sz="0" w:space="0" w:color="auto"/>
                        <w:right w:val="none" w:sz="0" w:space="0" w:color="auto"/>
                      </w:divBdr>
                    </w:div>
                  </w:divsChild>
                </w:div>
                <w:div w:id="1148665283">
                  <w:marLeft w:val="0"/>
                  <w:marRight w:val="0"/>
                  <w:marTop w:val="0"/>
                  <w:marBottom w:val="0"/>
                  <w:divBdr>
                    <w:top w:val="none" w:sz="0" w:space="0" w:color="auto"/>
                    <w:left w:val="none" w:sz="0" w:space="0" w:color="auto"/>
                    <w:bottom w:val="none" w:sz="0" w:space="0" w:color="auto"/>
                    <w:right w:val="none" w:sz="0" w:space="0" w:color="auto"/>
                  </w:divBdr>
                  <w:divsChild>
                    <w:div w:id="1330794467">
                      <w:marLeft w:val="0"/>
                      <w:marRight w:val="0"/>
                      <w:marTop w:val="0"/>
                      <w:marBottom w:val="0"/>
                      <w:divBdr>
                        <w:top w:val="none" w:sz="0" w:space="0" w:color="auto"/>
                        <w:left w:val="none" w:sz="0" w:space="0" w:color="auto"/>
                        <w:bottom w:val="none" w:sz="0" w:space="0" w:color="auto"/>
                        <w:right w:val="none" w:sz="0" w:space="0" w:color="auto"/>
                      </w:divBdr>
                    </w:div>
                  </w:divsChild>
                </w:div>
                <w:div w:id="1151360906">
                  <w:marLeft w:val="0"/>
                  <w:marRight w:val="0"/>
                  <w:marTop w:val="0"/>
                  <w:marBottom w:val="0"/>
                  <w:divBdr>
                    <w:top w:val="none" w:sz="0" w:space="0" w:color="auto"/>
                    <w:left w:val="none" w:sz="0" w:space="0" w:color="auto"/>
                    <w:bottom w:val="none" w:sz="0" w:space="0" w:color="auto"/>
                    <w:right w:val="none" w:sz="0" w:space="0" w:color="auto"/>
                  </w:divBdr>
                  <w:divsChild>
                    <w:div w:id="697394155">
                      <w:marLeft w:val="0"/>
                      <w:marRight w:val="0"/>
                      <w:marTop w:val="0"/>
                      <w:marBottom w:val="0"/>
                      <w:divBdr>
                        <w:top w:val="none" w:sz="0" w:space="0" w:color="auto"/>
                        <w:left w:val="none" w:sz="0" w:space="0" w:color="auto"/>
                        <w:bottom w:val="none" w:sz="0" w:space="0" w:color="auto"/>
                        <w:right w:val="none" w:sz="0" w:space="0" w:color="auto"/>
                      </w:divBdr>
                    </w:div>
                  </w:divsChild>
                </w:div>
                <w:div w:id="1178808787">
                  <w:marLeft w:val="0"/>
                  <w:marRight w:val="0"/>
                  <w:marTop w:val="0"/>
                  <w:marBottom w:val="0"/>
                  <w:divBdr>
                    <w:top w:val="none" w:sz="0" w:space="0" w:color="auto"/>
                    <w:left w:val="none" w:sz="0" w:space="0" w:color="auto"/>
                    <w:bottom w:val="none" w:sz="0" w:space="0" w:color="auto"/>
                    <w:right w:val="none" w:sz="0" w:space="0" w:color="auto"/>
                  </w:divBdr>
                  <w:divsChild>
                    <w:div w:id="479157396">
                      <w:marLeft w:val="0"/>
                      <w:marRight w:val="0"/>
                      <w:marTop w:val="0"/>
                      <w:marBottom w:val="0"/>
                      <w:divBdr>
                        <w:top w:val="none" w:sz="0" w:space="0" w:color="auto"/>
                        <w:left w:val="none" w:sz="0" w:space="0" w:color="auto"/>
                        <w:bottom w:val="none" w:sz="0" w:space="0" w:color="auto"/>
                        <w:right w:val="none" w:sz="0" w:space="0" w:color="auto"/>
                      </w:divBdr>
                    </w:div>
                  </w:divsChild>
                </w:div>
                <w:div w:id="1182478430">
                  <w:marLeft w:val="0"/>
                  <w:marRight w:val="0"/>
                  <w:marTop w:val="0"/>
                  <w:marBottom w:val="0"/>
                  <w:divBdr>
                    <w:top w:val="none" w:sz="0" w:space="0" w:color="auto"/>
                    <w:left w:val="none" w:sz="0" w:space="0" w:color="auto"/>
                    <w:bottom w:val="none" w:sz="0" w:space="0" w:color="auto"/>
                    <w:right w:val="none" w:sz="0" w:space="0" w:color="auto"/>
                  </w:divBdr>
                  <w:divsChild>
                    <w:div w:id="1428308952">
                      <w:marLeft w:val="0"/>
                      <w:marRight w:val="0"/>
                      <w:marTop w:val="0"/>
                      <w:marBottom w:val="0"/>
                      <w:divBdr>
                        <w:top w:val="none" w:sz="0" w:space="0" w:color="auto"/>
                        <w:left w:val="none" w:sz="0" w:space="0" w:color="auto"/>
                        <w:bottom w:val="none" w:sz="0" w:space="0" w:color="auto"/>
                        <w:right w:val="none" w:sz="0" w:space="0" w:color="auto"/>
                      </w:divBdr>
                    </w:div>
                  </w:divsChild>
                </w:div>
                <w:div w:id="1201288209">
                  <w:marLeft w:val="0"/>
                  <w:marRight w:val="0"/>
                  <w:marTop w:val="0"/>
                  <w:marBottom w:val="0"/>
                  <w:divBdr>
                    <w:top w:val="none" w:sz="0" w:space="0" w:color="auto"/>
                    <w:left w:val="none" w:sz="0" w:space="0" w:color="auto"/>
                    <w:bottom w:val="none" w:sz="0" w:space="0" w:color="auto"/>
                    <w:right w:val="none" w:sz="0" w:space="0" w:color="auto"/>
                  </w:divBdr>
                  <w:divsChild>
                    <w:div w:id="94447837">
                      <w:marLeft w:val="0"/>
                      <w:marRight w:val="0"/>
                      <w:marTop w:val="0"/>
                      <w:marBottom w:val="0"/>
                      <w:divBdr>
                        <w:top w:val="none" w:sz="0" w:space="0" w:color="auto"/>
                        <w:left w:val="none" w:sz="0" w:space="0" w:color="auto"/>
                        <w:bottom w:val="none" w:sz="0" w:space="0" w:color="auto"/>
                        <w:right w:val="none" w:sz="0" w:space="0" w:color="auto"/>
                      </w:divBdr>
                    </w:div>
                  </w:divsChild>
                </w:div>
                <w:div w:id="1210410700">
                  <w:marLeft w:val="0"/>
                  <w:marRight w:val="0"/>
                  <w:marTop w:val="0"/>
                  <w:marBottom w:val="0"/>
                  <w:divBdr>
                    <w:top w:val="none" w:sz="0" w:space="0" w:color="auto"/>
                    <w:left w:val="none" w:sz="0" w:space="0" w:color="auto"/>
                    <w:bottom w:val="none" w:sz="0" w:space="0" w:color="auto"/>
                    <w:right w:val="none" w:sz="0" w:space="0" w:color="auto"/>
                  </w:divBdr>
                  <w:divsChild>
                    <w:div w:id="1830974334">
                      <w:marLeft w:val="0"/>
                      <w:marRight w:val="0"/>
                      <w:marTop w:val="0"/>
                      <w:marBottom w:val="0"/>
                      <w:divBdr>
                        <w:top w:val="none" w:sz="0" w:space="0" w:color="auto"/>
                        <w:left w:val="none" w:sz="0" w:space="0" w:color="auto"/>
                        <w:bottom w:val="none" w:sz="0" w:space="0" w:color="auto"/>
                        <w:right w:val="none" w:sz="0" w:space="0" w:color="auto"/>
                      </w:divBdr>
                    </w:div>
                  </w:divsChild>
                </w:div>
                <w:div w:id="1213807959">
                  <w:marLeft w:val="0"/>
                  <w:marRight w:val="0"/>
                  <w:marTop w:val="0"/>
                  <w:marBottom w:val="0"/>
                  <w:divBdr>
                    <w:top w:val="none" w:sz="0" w:space="0" w:color="auto"/>
                    <w:left w:val="none" w:sz="0" w:space="0" w:color="auto"/>
                    <w:bottom w:val="none" w:sz="0" w:space="0" w:color="auto"/>
                    <w:right w:val="none" w:sz="0" w:space="0" w:color="auto"/>
                  </w:divBdr>
                  <w:divsChild>
                    <w:div w:id="1475372858">
                      <w:marLeft w:val="0"/>
                      <w:marRight w:val="0"/>
                      <w:marTop w:val="0"/>
                      <w:marBottom w:val="0"/>
                      <w:divBdr>
                        <w:top w:val="none" w:sz="0" w:space="0" w:color="auto"/>
                        <w:left w:val="none" w:sz="0" w:space="0" w:color="auto"/>
                        <w:bottom w:val="none" w:sz="0" w:space="0" w:color="auto"/>
                        <w:right w:val="none" w:sz="0" w:space="0" w:color="auto"/>
                      </w:divBdr>
                    </w:div>
                  </w:divsChild>
                </w:div>
                <w:div w:id="1214393428">
                  <w:marLeft w:val="0"/>
                  <w:marRight w:val="0"/>
                  <w:marTop w:val="0"/>
                  <w:marBottom w:val="0"/>
                  <w:divBdr>
                    <w:top w:val="none" w:sz="0" w:space="0" w:color="auto"/>
                    <w:left w:val="none" w:sz="0" w:space="0" w:color="auto"/>
                    <w:bottom w:val="none" w:sz="0" w:space="0" w:color="auto"/>
                    <w:right w:val="none" w:sz="0" w:space="0" w:color="auto"/>
                  </w:divBdr>
                  <w:divsChild>
                    <w:div w:id="1663579548">
                      <w:marLeft w:val="0"/>
                      <w:marRight w:val="0"/>
                      <w:marTop w:val="0"/>
                      <w:marBottom w:val="0"/>
                      <w:divBdr>
                        <w:top w:val="none" w:sz="0" w:space="0" w:color="auto"/>
                        <w:left w:val="none" w:sz="0" w:space="0" w:color="auto"/>
                        <w:bottom w:val="none" w:sz="0" w:space="0" w:color="auto"/>
                        <w:right w:val="none" w:sz="0" w:space="0" w:color="auto"/>
                      </w:divBdr>
                    </w:div>
                  </w:divsChild>
                </w:div>
                <w:div w:id="1220940811">
                  <w:marLeft w:val="0"/>
                  <w:marRight w:val="0"/>
                  <w:marTop w:val="0"/>
                  <w:marBottom w:val="0"/>
                  <w:divBdr>
                    <w:top w:val="none" w:sz="0" w:space="0" w:color="auto"/>
                    <w:left w:val="none" w:sz="0" w:space="0" w:color="auto"/>
                    <w:bottom w:val="none" w:sz="0" w:space="0" w:color="auto"/>
                    <w:right w:val="none" w:sz="0" w:space="0" w:color="auto"/>
                  </w:divBdr>
                  <w:divsChild>
                    <w:div w:id="876313003">
                      <w:marLeft w:val="0"/>
                      <w:marRight w:val="0"/>
                      <w:marTop w:val="0"/>
                      <w:marBottom w:val="0"/>
                      <w:divBdr>
                        <w:top w:val="none" w:sz="0" w:space="0" w:color="auto"/>
                        <w:left w:val="none" w:sz="0" w:space="0" w:color="auto"/>
                        <w:bottom w:val="none" w:sz="0" w:space="0" w:color="auto"/>
                        <w:right w:val="none" w:sz="0" w:space="0" w:color="auto"/>
                      </w:divBdr>
                    </w:div>
                  </w:divsChild>
                </w:div>
                <w:div w:id="1234776642">
                  <w:marLeft w:val="0"/>
                  <w:marRight w:val="0"/>
                  <w:marTop w:val="0"/>
                  <w:marBottom w:val="0"/>
                  <w:divBdr>
                    <w:top w:val="none" w:sz="0" w:space="0" w:color="auto"/>
                    <w:left w:val="none" w:sz="0" w:space="0" w:color="auto"/>
                    <w:bottom w:val="none" w:sz="0" w:space="0" w:color="auto"/>
                    <w:right w:val="none" w:sz="0" w:space="0" w:color="auto"/>
                  </w:divBdr>
                  <w:divsChild>
                    <w:div w:id="1950962826">
                      <w:marLeft w:val="0"/>
                      <w:marRight w:val="0"/>
                      <w:marTop w:val="0"/>
                      <w:marBottom w:val="0"/>
                      <w:divBdr>
                        <w:top w:val="none" w:sz="0" w:space="0" w:color="auto"/>
                        <w:left w:val="none" w:sz="0" w:space="0" w:color="auto"/>
                        <w:bottom w:val="none" w:sz="0" w:space="0" w:color="auto"/>
                        <w:right w:val="none" w:sz="0" w:space="0" w:color="auto"/>
                      </w:divBdr>
                    </w:div>
                  </w:divsChild>
                </w:div>
                <w:div w:id="1237277964">
                  <w:marLeft w:val="0"/>
                  <w:marRight w:val="0"/>
                  <w:marTop w:val="0"/>
                  <w:marBottom w:val="0"/>
                  <w:divBdr>
                    <w:top w:val="none" w:sz="0" w:space="0" w:color="auto"/>
                    <w:left w:val="none" w:sz="0" w:space="0" w:color="auto"/>
                    <w:bottom w:val="none" w:sz="0" w:space="0" w:color="auto"/>
                    <w:right w:val="none" w:sz="0" w:space="0" w:color="auto"/>
                  </w:divBdr>
                  <w:divsChild>
                    <w:div w:id="1548176905">
                      <w:marLeft w:val="0"/>
                      <w:marRight w:val="0"/>
                      <w:marTop w:val="0"/>
                      <w:marBottom w:val="0"/>
                      <w:divBdr>
                        <w:top w:val="none" w:sz="0" w:space="0" w:color="auto"/>
                        <w:left w:val="none" w:sz="0" w:space="0" w:color="auto"/>
                        <w:bottom w:val="none" w:sz="0" w:space="0" w:color="auto"/>
                        <w:right w:val="none" w:sz="0" w:space="0" w:color="auto"/>
                      </w:divBdr>
                    </w:div>
                  </w:divsChild>
                </w:div>
                <w:div w:id="1242132997">
                  <w:marLeft w:val="0"/>
                  <w:marRight w:val="0"/>
                  <w:marTop w:val="0"/>
                  <w:marBottom w:val="0"/>
                  <w:divBdr>
                    <w:top w:val="none" w:sz="0" w:space="0" w:color="auto"/>
                    <w:left w:val="none" w:sz="0" w:space="0" w:color="auto"/>
                    <w:bottom w:val="none" w:sz="0" w:space="0" w:color="auto"/>
                    <w:right w:val="none" w:sz="0" w:space="0" w:color="auto"/>
                  </w:divBdr>
                  <w:divsChild>
                    <w:div w:id="1558202625">
                      <w:marLeft w:val="0"/>
                      <w:marRight w:val="0"/>
                      <w:marTop w:val="0"/>
                      <w:marBottom w:val="0"/>
                      <w:divBdr>
                        <w:top w:val="none" w:sz="0" w:space="0" w:color="auto"/>
                        <w:left w:val="none" w:sz="0" w:space="0" w:color="auto"/>
                        <w:bottom w:val="none" w:sz="0" w:space="0" w:color="auto"/>
                        <w:right w:val="none" w:sz="0" w:space="0" w:color="auto"/>
                      </w:divBdr>
                    </w:div>
                  </w:divsChild>
                </w:div>
                <w:div w:id="1243029352">
                  <w:marLeft w:val="0"/>
                  <w:marRight w:val="0"/>
                  <w:marTop w:val="0"/>
                  <w:marBottom w:val="0"/>
                  <w:divBdr>
                    <w:top w:val="none" w:sz="0" w:space="0" w:color="auto"/>
                    <w:left w:val="none" w:sz="0" w:space="0" w:color="auto"/>
                    <w:bottom w:val="none" w:sz="0" w:space="0" w:color="auto"/>
                    <w:right w:val="none" w:sz="0" w:space="0" w:color="auto"/>
                  </w:divBdr>
                  <w:divsChild>
                    <w:div w:id="930895947">
                      <w:marLeft w:val="0"/>
                      <w:marRight w:val="0"/>
                      <w:marTop w:val="0"/>
                      <w:marBottom w:val="0"/>
                      <w:divBdr>
                        <w:top w:val="none" w:sz="0" w:space="0" w:color="auto"/>
                        <w:left w:val="none" w:sz="0" w:space="0" w:color="auto"/>
                        <w:bottom w:val="none" w:sz="0" w:space="0" w:color="auto"/>
                        <w:right w:val="none" w:sz="0" w:space="0" w:color="auto"/>
                      </w:divBdr>
                    </w:div>
                  </w:divsChild>
                </w:div>
                <w:div w:id="1261716464">
                  <w:marLeft w:val="0"/>
                  <w:marRight w:val="0"/>
                  <w:marTop w:val="0"/>
                  <w:marBottom w:val="0"/>
                  <w:divBdr>
                    <w:top w:val="none" w:sz="0" w:space="0" w:color="auto"/>
                    <w:left w:val="none" w:sz="0" w:space="0" w:color="auto"/>
                    <w:bottom w:val="none" w:sz="0" w:space="0" w:color="auto"/>
                    <w:right w:val="none" w:sz="0" w:space="0" w:color="auto"/>
                  </w:divBdr>
                  <w:divsChild>
                    <w:div w:id="616719646">
                      <w:marLeft w:val="0"/>
                      <w:marRight w:val="0"/>
                      <w:marTop w:val="0"/>
                      <w:marBottom w:val="0"/>
                      <w:divBdr>
                        <w:top w:val="none" w:sz="0" w:space="0" w:color="auto"/>
                        <w:left w:val="none" w:sz="0" w:space="0" w:color="auto"/>
                        <w:bottom w:val="none" w:sz="0" w:space="0" w:color="auto"/>
                        <w:right w:val="none" w:sz="0" w:space="0" w:color="auto"/>
                      </w:divBdr>
                    </w:div>
                  </w:divsChild>
                </w:div>
                <w:div w:id="1265922394">
                  <w:marLeft w:val="0"/>
                  <w:marRight w:val="0"/>
                  <w:marTop w:val="0"/>
                  <w:marBottom w:val="0"/>
                  <w:divBdr>
                    <w:top w:val="none" w:sz="0" w:space="0" w:color="auto"/>
                    <w:left w:val="none" w:sz="0" w:space="0" w:color="auto"/>
                    <w:bottom w:val="none" w:sz="0" w:space="0" w:color="auto"/>
                    <w:right w:val="none" w:sz="0" w:space="0" w:color="auto"/>
                  </w:divBdr>
                  <w:divsChild>
                    <w:div w:id="1781803883">
                      <w:marLeft w:val="0"/>
                      <w:marRight w:val="0"/>
                      <w:marTop w:val="0"/>
                      <w:marBottom w:val="0"/>
                      <w:divBdr>
                        <w:top w:val="none" w:sz="0" w:space="0" w:color="auto"/>
                        <w:left w:val="none" w:sz="0" w:space="0" w:color="auto"/>
                        <w:bottom w:val="none" w:sz="0" w:space="0" w:color="auto"/>
                        <w:right w:val="none" w:sz="0" w:space="0" w:color="auto"/>
                      </w:divBdr>
                    </w:div>
                  </w:divsChild>
                </w:div>
                <w:div w:id="1268152818">
                  <w:marLeft w:val="0"/>
                  <w:marRight w:val="0"/>
                  <w:marTop w:val="0"/>
                  <w:marBottom w:val="0"/>
                  <w:divBdr>
                    <w:top w:val="none" w:sz="0" w:space="0" w:color="auto"/>
                    <w:left w:val="none" w:sz="0" w:space="0" w:color="auto"/>
                    <w:bottom w:val="none" w:sz="0" w:space="0" w:color="auto"/>
                    <w:right w:val="none" w:sz="0" w:space="0" w:color="auto"/>
                  </w:divBdr>
                  <w:divsChild>
                    <w:div w:id="768476673">
                      <w:marLeft w:val="0"/>
                      <w:marRight w:val="0"/>
                      <w:marTop w:val="0"/>
                      <w:marBottom w:val="0"/>
                      <w:divBdr>
                        <w:top w:val="none" w:sz="0" w:space="0" w:color="auto"/>
                        <w:left w:val="none" w:sz="0" w:space="0" w:color="auto"/>
                        <w:bottom w:val="none" w:sz="0" w:space="0" w:color="auto"/>
                        <w:right w:val="none" w:sz="0" w:space="0" w:color="auto"/>
                      </w:divBdr>
                    </w:div>
                  </w:divsChild>
                </w:div>
                <w:div w:id="1277132472">
                  <w:marLeft w:val="0"/>
                  <w:marRight w:val="0"/>
                  <w:marTop w:val="0"/>
                  <w:marBottom w:val="0"/>
                  <w:divBdr>
                    <w:top w:val="none" w:sz="0" w:space="0" w:color="auto"/>
                    <w:left w:val="none" w:sz="0" w:space="0" w:color="auto"/>
                    <w:bottom w:val="none" w:sz="0" w:space="0" w:color="auto"/>
                    <w:right w:val="none" w:sz="0" w:space="0" w:color="auto"/>
                  </w:divBdr>
                  <w:divsChild>
                    <w:div w:id="1313221540">
                      <w:marLeft w:val="0"/>
                      <w:marRight w:val="0"/>
                      <w:marTop w:val="0"/>
                      <w:marBottom w:val="0"/>
                      <w:divBdr>
                        <w:top w:val="none" w:sz="0" w:space="0" w:color="auto"/>
                        <w:left w:val="none" w:sz="0" w:space="0" w:color="auto"/>
                        <w:bottom w:val="none" w:sz="0" w:space="0" w:color="auto"/>
                        <w:right w:val="none" w:sz="0" w:space="0" w:color="auto"/>
                      </w:divBdr>
                    </w:div>
                  </w:divsChild>
                </w:div>
                <w:div w:id="1284002920">
                  <w:marLeft w:val="0"/>
                  <w:marRight w:val="0"/>
                  <w:marTop w:val="0"/>
                  <w:marBottom w:val="0"/>
                  <w:divBdr>
                    <w:top w:val="none" w:sz="0" w:space="0" w:color="auto"/>
                    <w:left w:val="none" w:sz="0" w:space="0" w:color="auto"/>
                    <w:bottom w:val="none" w:sz="0" w:space="0" w:color="auto"/>
                    <w:right w:val="none" w:sz="0" w:space="0" w:color="auto"/>
                  </w:divBdr>
                  <w:divsChild>
                    <w:div w:id="802429659">
                      <w:marLeft w:val="0"/>
                      <w:marRight w:val="0"/>
                      <w:marTop w:val="0"/>
                      <w:marBottom w:val="0"/>
                      <w:divBdr>
                        <w:top w:val="none" w:sz="0" w:space="0" w:color="auto"/>
                        <w:left w:val="none" w:sz="0" w:space="0" w:color="auto"/>
                        <w:bottom w:val="none" w:sz="0" w:space="0" w:color="auto"/>
                        <w:right w:val="none" w:sz="0" w:space="0" w:color="auto"/>
                      </w:divBdr>
                    </w:div>
                  </w:divsChild>
                </w:div>
                <w:div w:id="1286539797">
                  <w:marLeft w:val="0"/>
                  <w:marRight w:val="0"/>
                  <w:marTop w:val="0"/>
                  <w:marBottom w:val="0"/>
                  <w:divBdr>
                    <w:top w:val="none" w:sz="0" w:space="0" w:color="auto"/>
                    <w:left w:val="none" w:sz="0" w:space="0" w:color="auto"/>
                    <w:bottom w:val="none" w:sz="0" w:space="0" w:color="auto"/>
                    <w:right w:val="none" w:sz="0" w:space="0" w:color="auto"/>
                  </w:divBdr>
                  <w:divsChild>
                    <w:div w:id="1827428357">
                      <w:marLeft w:val="0"/>
                      <w:marRight w:val="0"/>
                      <w:marTop w:val="0"/>
                      <w:marBottom w:val="0"/>
                      <w:divBdr>
                        <w:top w:val="none" w:sz="0" w:space="0" w:color="auto"/>
                        <w:left w:val="none" w:sz="0" w:space="0" w:color="auto"/>
                        <w:bottom w:val="none" w:sz="0" w:space="0" w:color="auto"/>
                        <w:right w:val="none" w:sz="0" w:space="0" w:color="auto"/>
                      </w:divBdr>
                    </w:div>
                  </w:divsChild>
                </w:div>
                <w:div w:id="1298952472">
                  <w:marLeft w:val="0"/>
                  <w:marRight w:val="0"/>
                  <w:marTop w:val="0"/>
                  <w:marBottom w:val="0"/>
                  <w:divBdr>
                    <w:top w:val="none" w:sz="0" w:space="0" w:color="auto"/>
                    <w:left w:val="none" w:sz="0" w:space="0" w:color="auto"/>
                    <w:bottom w:val="none" w:sz="0" w:space="0" w:color="auto"/>
                    <w:right w:val="none" w:sz="0" w:space="0" w:color="auto"/>
                  </w:divBdr>
                  <w:divsChild>
                    <w:div w:id="1433932596">
                      <w:marLeft w:val="0"/>
                      <w:marRight w:val="0"/>
                      <w:marTop w:val="0"/>
                      <w:marBottom w:val="0"/>
                      <w:divBdr>
                        <w:top w:val="none" w:sz="0" w:space="0" w:color="auto"/>
                        <w:left w:val="none" w:sz="0" w:space="0" w:color="auto"/>
                        <w:bottom w:val="none" w:sz="0" w:space="0" w:color="auto"/>
                        <w:right w:val="none" w:sz="0" w:space="0" w:color="auto"/>
                      </w:divBdr>
                    </w:div>
                  </w:divsChild>
                </w:div>
                <w:div w:id="1306278683">
                  <w:marLeft w:val="0"/>
                  <w:marRight w:val="0"/>
                  <w:marTop w:val="0"/>
                  <w:marBottom w:val="0"/>
                  <w:divBdr>
                    <w:top w:val="none" w:sz="0" w:space="0" w:color="auto"/>
                    <w:left w:val="none" w:sz="0" w:space="0" w:color="auto"/>
                    <w:bottom w:val="none" w:sz="0" w:space="0" w:color="auto"/>
                    <w:right w:val="none" w:sz="0" w:space="0" w:color="auto"/>
                  </w:divBdr>
                  <w:divsChild>
                    <w:div w:id="221604046">
                      <w:marLeft w:val="0"/>
                      <w:marRight w:val="0"/>
                      <w:marTop w:val="0"/>
                      <w:marBottom w:val="0"/>
                      <w:divBdr>
                        <w:top w:val="none" w:sz="0" w:space="0" w:color="auto"/>
                        <w:left w:val="none" w:sz="0" w:space="0" w:color="auto"/>
                        <w:bottom w:val="none" w:sz="0" w:space="0" w:color="auto"/>
                        <w:right w:val="none" w:sz="0" w:space="0" w:color="auto"/>
                      </w:divBdr>
                    </w:div>
                  </w:divsChild>
                </w:div>
                <w:div w:id="1316642789">
                  <w:marLeft w:val="0"/>
                  <w:marRight w:val="0"/>
                  <w:marTop w:val="0"/>
                  <w:marBottom w:val="0"/>
                  <w:divBdr>
                    <w:top w:val="none" w:sz="0" w:space="0" w:color="auto"/>
                    <w:left w:val="none" w:sz="0" w:space="0" w:color="auto"/>
                    <w:bottom w:val="none" w:sz="0" w:space="0" w:color="auto"/>
                    <w:right w:val="none" w:sz="0" w:space="0" w:color="auto"/>
                  </w:divBdr>
                  <w:divsChild>
                    <w:div w:id="1760102973">
                      <w:marLeft w:val="0"/>
                      <w:marRight w:val="0"/>
                      <w:marTop w:val="0"/>
                      <w:marBottom w:val="0"/>
                      <w:divBdr>
                        <w:top w:val="none" w:sz="0" w:space="0" w:color="auto"/>
                        <w:left w:val="none" w:sz="0" w:space="0" w:color="auto"/>
                        <w:bottom w:val="none" w:sz="0" w:space="0" w:color="auto"/>
                        <w:right w:val="none" w:sz="0" w:space="0" w:color="auto"/>
                      </w:divBdr>
                    </w:div>
                  </w:divsChild>
                </w:div>
                <w:div w:id="1318874331">
                  <w:marLeft w:val="0"/>
                  <w:marRight w:val="0"/>
                  <w:marTop w:val="0"/>
                  <w:marBottom w:val="0"/>
                  <w:divBdr>
                    <w:top w:val="none" w:sz="0" w:space="0" w:color="auto"/>
                    <w:left w:val="none" w:sz="0" w:space="0" w:color="auto"/>
                    <w:bottom w:val="none" w:sz="0" w:space="0" w:color="auto"/>
                    <w:right w:val="none" w:sz="0" w:space="0" w:color="auto"/>
                  </w:divBdr>
                  <w:divsChild>
                    <w:div w:id="294719678">
                      <w:marLeft w:val="0"/>
                      <w:marRight w:val="0"/>
                      <w:marTop w:val="0"/>
                      <w:marBottom w:val="0"/>
                      <w:divBdr>
                        <w:top w:val="none" w:sz="0" w:space="0" w:color="auto"/>
                        <w:left w:val="none" w:sz="0" w:space="0" w:color="auto"/>
                        <w:bottom w:val="none" w:sz="0" w:space="0" w:color="auto"/>
                        <w:right w:val="none" w:sz="0" w:space="0" w:color="auto"/>
                      </w:divBdr>
                    </w:div>
                  </w:divsChild>
                </w:div>
                <w:div w:id="1338653985">
                  <w:marLeft w:val="0"/>
                  <w:marRight w:val="0"/>
                  <w:marTop w:val="0"/>
                  <w:marBottom w:val="0"/>
                  <w:divBdr>
                    <w:top w:val="none" w:sz="0" w:space="0" w:color="auto"/>
                    <w:left w:val="none" w:sz="0" w:space="0" w:color="auto"/>
                    <w:bottom w:val="none" w:sz="0" w:space="0" w:color="auto"/>
                    <w:right w:val="none" w:sz="0" w:space="0" w:color="auto"/>
                  </w:divBdr>
                  <w:divsChild>
                    <w:div w:id="341275925">
                      <w:marLeft w:val="0"/>
                      <w:marRight w:val="0"/>
                      <w:marTop w:val="0"/>
                      <w:marBottom w:val="0"/>
                      <w:divBdr>
                        <w:top w:val="none" w:sz="0" w:space="0" w:color="auto"/>
                        <w:left w:val="none" w:sz="0" w:space="0" w:color="auto"/>
                        <w:bottom w:val="none" w:sz="0" w:space="0" w:color="auto"/>
                        <w:right w:val="none" w:sz="0" w:space="0" w:color="auto"/>
                      </w:divBdr>
                    </w:div>
                  </w:divsChild>
                </w:div>
                <w:div w:id="1352561367">
                  <w:marLeft w:val="0"/>
                  <w:marRight w:val="0"/>
                  <w:marTop w:val="0"/>
                  <w:marBottom w:val="0"/>
                  <w:divBdr>
                    <w:top w:val="none" w:sz="0" w:space="0" w:color="auto"/>
                    <w:left w:val="none" w:sz="0" w:space="0" w:color="auto"/>
                    <w:bottom w:val="none" w:sz="0" w:space="0" w:color="auto"/>
                    <w:right w:val="none" w:sz="0" w:space="0" w:color="auto"/>
                  </w:divBdr>
                  <w:divsChild>
                    <w:div w:id="151455682">
                      <w:marLeft w:val="0"/>
                      <w:marRight w:val="0"/>
                      <w:marTop w:val="0"/>
                      <w:marBottom w:val="0"/>
                      <w:divBdr>
                        <w:top w:val="none" w:sz="0" w:space="0" w:color="auto"/>
                        <w:left w:val="none" w:sz="0" w:space="0" w:color="auto"/>
                        <w:bottom w:val="none" w:sz="0" w:space="0" w:color="auto"/>
                        <w:right w:val="none" w:sz="0" w:space="0" w:color="auto"/>
                      </w:divBdr>
                    </w:div>
                    <w:div w:id="184560240">
                      <w:marLeft w:val="0"/>
                      <w:marRight w:val="0"/>
                      <w:marTop w:val="0"/>
                      <w:marBottom w:val="0"/>
                      <w:divBdr>
                        <w:top w:val="none" w:sz="0" w:space="0" w:color="auto"/>
                        <w:left w:val="none" w:sz="0" w:space="0" w:color="auto"/>
                        <w:bottom w:val="none" w:sz="0" w:space="0" w:color="auto"/>
                        <w:right w:val="none" w:sz="0" w:space="0" w:color="auto"/>
                      </w:divBdr>
                    </w:div>
                    <w:div w:id="542641639">
                      <w:marLeft w:val="0"/>
                      <w:marRight w:val="0"/>
                      <w:marTop w:val="0"/>
                      <w:marBottom w:val="0"/>
                      <w:divBdr>
                        <w:top w:val="none" w:sz="0" w:space="0" w:color="auto"/>
                        <w:left w:val="none" w:sz="0" w:space="0" w:color="auto"/>
                        <w:bottom w:val="none" w:sz="0" w:space="0" w:color="auto"/>
                        <w:right w:val="none" w:sz="0" w:space="0" w:color="auto"/>
                      </w:divBdr>
                    </w:div>
                    <w:div w:id="789318749">
                      <w:marLeft w:val="0"/>
                      <w:marRight w:val="0"/>
                      <w:marTop w:val="0"/>
                      <w:marBottom w:val="0"/>
                      <w:divBdr>
                        <w:top w:val="none" w:sz="0" w:space="0" w:color="auto"/>
                        <w:left w:val="none" w:sz="0" w:space="0" w:color="auto"/>
                        <w:bottom w:val="none" w:sz="0" w:space="0" w:color="auto"/>
                        <w:right w:val="none" w:sz="0" w:space="0" w:color="auto"/>
                      </w:divBdr>
                    </w:div>
                    <w:div w:id="1111045876">
                      <w:marLeft w:val="0"/>
                      <w:marRight w:val="0"/>
                      <w:marTop w:val="0"/>
                      <w:marBottom w:val="0"/>
                      <w:divBdr>
                        <w:top w:val="none" w:sz="0" w:space="0" w:color="auto"/>
                        <w:left w:val="none" w:sz="0" w:space="0" w:color="auto"/>
                        <w:bottom w:val="none" w:sz="0" w:space="0" w:color="auto"/>
                        <w:right w:val="none" w:sz="0" w:space="0" w:color="auto"/>
                      </w:divBdr>
                    </w:div>
                    <w:div w:id="1266959942">
                      <w:marLeft w:val="0"/>
                      <w:marRight w:val="0"/>
                      <w:marTop w:val="0"/>
                      <w:marBottom w:val="0"/>
                      <w:divBdr>
                        <w:top w:val="none" w:sz="0" w:space="0" w:color="auto"/>
                        <w:left w:val="none" w:sz="0" w:space="0" w:color="auto"/>
                        <w:bottom w:val="none" w:sz="0" w:space="0" w:color="auto"/>
                        <w:right w:val="none" w:sz="0" w:space="0" w:color="auto"/>
                      </w:divBdr>
                    </w:div>
                    <w:div w:id="1681078214">
                      <w:marLeft w:val="0"/>
                      <w:marRight w:val="0"/>
                      <w:marTop w:val="0"/>
                      <w:marBottom w:val="0"/>
                      <w:divBdr>
                        <w:top w:val="none" w:sz="0" w:space="0" w:color="auto"/>
                        <w:left w:val="none" w:sz="0" w:space="0" w:color="auto"/>
                        <w:bottom w:val="none" w:sz="0" w:space="0" w:color="auto"/>
                        <w:right w:val="none" w:sz="0" w:space="0" w:color="auto"/>
                      </w:divBdr>
                    </w:div>
                    <w:div w:id="1745255663">
                      <w:marLeft w:val="0"/>
                      <w:marRight w:val="0"/>
                      <w:marTop w:val="0"/>
                      <w:marBottom w:val="0"/>
                      <w:divBdr>
                        <w:top w:val="none" w:sz="0" w:space="0" w:color="auto"/>
                        <w:left w:val="none" w:sz="0" w:space="0" w:color="auto"/>
                        <w:bottom w:val="none" w:sz="0" w:space="0" w:color="auto"/>
                        <w:right w:val="none" w:sz="0" w:space="0" w:color="auto"/>
                      </w:divBdr>
                    </w:div>
                    <w:div w:id="1918436398">
                      <w:marLeft w:val="0"/>
                      <w:marRight w:val="0"/>
                      <w:marTop w:val="0"/>
                      <w:marBottom w:val="0"/>
                      <w:divBdr>
                        <w:top w:val="none" w:sz="0" w:space="0" w:color="auto"/>
                        <w:left w:val="none" w:sz="0" w:space="0" w:color="auto"/>
                        <w:bottom w:val="none" w:sz="0" w:space="0" w:color="auto"/>
                        <w:right w:val="none" w:sz="0" w:space="0" w:color="auto"/>
                      </w:divBdr>
                    </w:div>
                  </w:divsChild>
                </w:div>
                <w:div w:id="1362239206">
                  <w:marLeft w:val="0"/>
                  <w:marRight w:val="0"/>
                  <w:marTop w:val="0"/>
                  <w:marBottom w:val="0"/>
                  <w:divBdr>
                    <w:top w:val="none" w:sz="0" w:space="0" w:color="auto"/>
                    <w:left w:val="none" w:sz="0" w:space="0" w:color="auto"/>
                    <w:bottom w:val="none" w:sz="0" w:space="0" w:color="auto"/>
                    <w:right w:val="none" w:sz="0" w:space="0" w:color="auto"/>
                  </w:divBdr>
                  <w:divsChild>
                    <w:div w:id="386225961">
                      <w:marLeft w:val="0"/>
                      <w:marRight w:val="0"/>
                      <w:marTop w:val="0"/>
                      <w:marBottom w:val="0"/>
                      <w:divBdr>
                        <w:top w:val="none" w:sz="0" w:space="0" w:color="auto"/>
                        <w:left w:val="none" w:sz="0" w:space="0" w:color="auto"/>
                        <w:bottom w:val="none" w:sz="0" w:space="0" w:color="auto"/>
                        <w:right w:val="none" w:sz="0" w:space="0" w:color="auto"/>
                      </w:divBdr>
                    </w:div>
                  </w:divsChild>
                </w:div>
                <w:div w:id="1362701203">
                  <w:marLeft w:val="0"/>
                  <w:marRight w:val="0"/>
                  <w:marTop w:val="0"/>
                  <w:marBottom w:val="0"/>
                  <w:divBdr>
                    <w:top w:val="none" w:sz="0" w:space="0" w:color="auto"/>
                    <w:left w:val="none" w:sz="0" w:space="0" w:color="auto"/>
                    <w:bottom w:val="none" w:sz="0" w:space="0" w:color="auto"/>
                    <w:right w:val="none" w:sz="0" w:space="0" w:color="auto"/>
                  </w:divBdr>
                  <w:divsChild>
                    <w:div w:id="2111586190">
                      <w:marLeft w:val="0"/>
                      <w:marRight w:val="0"/>
                      <w:marTop w:val="0"/>
                      <w:marBottom w:val="0"/>
                      <w:divBdr>
                        <w:top w:val="none" w:sz="0" w:space="0" w:color="auto"/>
                        <w:left w:val="none" w:sz="0" w:space="0" w:color="auto"/>
                        <w:bottom w:val="none" w:sz="0" w:space="0" w:color="auto"/>
                        <w:right w:val="none" w:sz="0" w:space="0" w:color="auto"/>
                      </w:divBdr>
                    </w:div>
                  </w:divsChild>
                </w:div>
                <w:div w:id="1368291897">
                  <w:marLeft w:val="0"/>
                  <w:marRight w:val="0"/>
                  <w:marTop w:val="0"/>
                  <w:marBottom w:val="0"/>
                  <w:divBdr>
                    <w:top w:val="none" w:sz="0" w:space="0" w:color="auto"/>
                    <w:left w:val="none" w:sz="0" w:space="0" w:color="auto"/>
                    <w:bottom w:val="none" w:sz="0" w:space="0" w:color="auto"/>
                    <w:right w:val="none" w:sz="0" w:space="0" w:color="auto"/>
                  </w:divBdr>
                  <w:divsChild>
                    <w:div w:id="547377620">
                      <w:marLeft w:val="0"/>
                      <w:marRight w:val="0"/>
                      <w:marTop w:val="0"/>
                      <w:marBottom w:val="0"/>
                      <w:divBdr>
                        <w:top w:val="none" w:sz="0" w:space="0" w:color="auto"/>
                        <w:left w:val="none" w:sz="0" w:space="0" w:color="auto"/>
                        <w:bottom w:val="none" w:sz="0" w:space="0" w:color="auto"/>
                        <w:right w:val="none" w:sz="0" w:space="0" w:color="auto"/>
                      </w:divBdr>
                    </w:div>
                  </w:divsChild>
                </w:div>
                <w:div w:id="1392272463">
                  <w:marLeft w:val="0"/>
                  <w:marRight w:val="0"/>
                  <w:marTop w:val="0"/>
                  <w:marBottom w:val="0"/>
                  <w:divBdr>
                    <w:top w:val="none" w:sz="0" w:space="0" w:color="auto"/>
                    <w:left w:val="none" w:sz="0" w:space="0" w:color="auto"/>
                    <w:bottom w:val="none" w:sz="0" w:space="0" w:color="auto"/>
                    <w:right w:val="none" w:sz="0" w:space="0" w:color="auto"/>
                  </w:divBdr>
                  <w:divsChild>
                    <w:div w:id="1160342100">
                      <w:marLeft w:val="0"/>
                      <w:marRight w:val="0"/>
                      <w:marTop w:val="0"/>
                      <w:marBottom w:val="0"/>
                      <w:divBdr>
                        <w:top w:val="none" w:sz="0" w:space="0" w:color="auto"/>
                        <w:left w:val="none" w:sz="0" w:space="0" w:color="auto"/>
                        <w:bottom w:val="none" w:sz="0" w:space="0" w:color="auto"/>
                        <w:right w:val="none" w:sz="0" w:space="0" w:color="auto"/>
                      </w:divBdr>
                    </w:div>
                  </w:divsChild>
                </w:div>
                <w:div w:id="1396120415">
                  <w:marLeft w:val="0"/>
                  <w:marRight w:val="0"/>
                  <w:marTop w:val="0"/>
                  <w:marBottom w:val="0"/>
                  <w:divBdr>
                    <w:top w:val="none" w:sz="0" w:space="0" w:color="auto"/>
                    <w:left w:val="none" w:sz="0" w:space="0" w:color="auto"/>
                    <w:bottom w:val="none" w:sz="0" w:space="0" w:color="auto"/>
                    <w:right w:val="none" w:sz="0" w:space="0" w:color="auto"/>
                  </w:divBdr>
                  <w:divsChild>
                    <w:div w:id="150223114">
                      <w:marLeft w:val="0"/>
                      <w:marRight w:val="0"/>
                      <w:marTop w:val="0"/>
                      <w:marBottom w:val="0"/>
                      <w:divBdr>
                        <w:top w:val="none" w:sz="0" w:space="0" w:color="auto"/>
                        <w:left w:val="none" w:sz="0" w:space="0" w:color="auto"/>
                        <w:bottom w:val="none" w:sz="0" w:space="0" w:color="auto"/>
                        <w:right w:val="none" w:sz="0" w:space="0" w:color="auto"/>
                      </w:divBdr>
                    </w:div>
                  </w:divsChild>
                </w:div>
                <w:div w:id="1411197800">
                  <w:marLeft w:val="0"/>
                  <w:marRight w:val="0"/>
                  <w:marTop w:val="0"/>
                  <w:marBottom w:val="0"/>
                  <w:divBdr>
                    <w:top w:val="none" w:sz="0" w:space="0" w:color="auto"/>
                    <w:left w:val="none" w:sz="0" w:space="0" w:color="auto"/>
                    <w:bottom w:val="none" w:sz="0" w:space="0" w:color="auto"/>
                    <w:right w:val="none" w:sz="0" w:space="0" w:color="auto"/>
                  </w:divBdr>
                  <w:divsChild>
                    <w:div w:id="236520117">
                      <w:marLeft w:val="0"/>
                      <w:marRight w:val="0"/>
                      <w:marTop w:val="0"/>
                      <w:marBottom w:val="0"/>
                      <w:divBdr>
                        <w:top w:val="none" w:sz="0" w:space="0" w:color="auto"/>
                        <w:left w:val="none" w:sz="0" w:space="0" w:color="auto"/>
                        <w:bottom w:val="none" w:sz="0" w:space="0" w:color="auto"/>
                        <w:right w:val="none" w:sz="0" w:space="0" w:color="auto"/>
                      </w:divBdr>
                    </w:div>
                  </w:divsChild>
                </w:div>
                <w:div w:id="1413697180">
                  <w:marLeft w:val="0"/>
                  <w:marRight w:val="0"/>
                  <w:marTop w:val="0"/>
                  <w:marBottom w:val="0"/>
                  <w:divBdr>
                    <w:top w:val="none" w:sz="0" w:space="0" w:color="auto"/>
                    <w:left w:val="none" w:sz="0" w:space="0" w:color="auto"/>
                    <w:bottom w:val="none" w:sz="0" w:space="0" w:color="auto"/>
                    <w:right w:val="none" w:sz="0" w:space="0" w:color="auto"/>
                  </w:divBdr>
                  <w:divsChild>
                    <w:div w:id="1049113275">
                      <w:marLeft w:val="0"/>
                      <w:marRight w:val="0"/>
                      <w:marTop w:val="0"/>
                      <w:marBottom w:val="0"/>
                      <w:divBdr>
                        <w:top w:val="none" w:sz="0" w:space="0" w:color="auto"/>
                        <w:left w:val="none" w:sz="0" w:space="0" w:color="auto"/>
                        <w:bottom w:val="none" w:sz="0" w:space="0" w:color="auto"/>
                        <w:right w:val="none" w:sz="0" w:space="0" w:color="auto"/>
                      </w:divBdr>
                    </w:div>
                  </w:divsChild>
                </w:div>
                <w:div w:id="1413819915">
                  <w:marLeft w:val="0"/>
                  <w:marRight w:val="0"/>
                  <w:marTop w:val="0"/>
                  <w:marBottom w:val="0"/>
                  <w:divBdr>
                    <w:top w:val="none" w:sz="0" w:space="0" w:color="auto"/>
                    <w:left w:val="none" w:sz="0" w:space="0" w:color="auto"/>
                    <w:bottom w:val="none" w:sz="0" w:space="0" w:color="auto"/>
                    <w:right w:val="none" w:sz="0" w:space="0" w:color="auto"/>
                  </w:divBdr>
                  <w:divsChild>
                    <w:div w:id="715936282">
                      <w:marLeft w:val="0"/>
                      <w:marRight w:val="0"/>
                      <w:marTop w:val="0"/>
                      <w:marBottom w:val="0"/>
                      <w:divBdr>
                        <w:top w:val="none" w:sz="0" w:space="0" w:color="auto"/>
                        <w:left w:val="none" w:sz="0" w:space="0" w:color="auto"/>
                        <w:bottom w:val="none" w:sz="0" w:space="0" w:color="auto"/>
                        <w:right w:val="none" w:sz="0" w:space="0" w:color="auto"/>
                      </w:divBdr>
                    </w:div>
                  </w:divsChild>
                </w:div>
                <w:div w:id="1422409443">
                  <w:marLeft w:val="0"/>
                  <w:marRight w:val="0"/>
                  <w:marTop w:val="0"/>
                  <w:marBottom w:val="0"/>
                  <w:divBdr>
                    <w:top w:val="none" w:sz="0" w:space="0" w:color="auto"/>
                    <w:left w:val="none" w:sz="0" w:space="0" w:color="auto"/>
                    <w:bottom w:val="none" w:sz="0" w:space="0" w:color="auto"/>
                    <w:right w:val="none" w:sz="0" w:space="0" w:color="auto"/>
                  </w:divBdr>
                  <w:divsChild>
                    <w:div w:id="1104498682">
                      <w:marLeft w:val="0"/>
                      <w:marRight w:val="0"/>
                      <w:marTop w:val="0"/>
                      <w:marBottom w:val="0"/>
                      <w:divBdr>
                        <w:top w:val="none" w:sz="0" w:space="0" w:color="auto"/>
                        <w:left w:val="none" w:sz="0" w:space="0" w:color="auto"/>
                        <w:bottom w:val="none" w:sz="0" w:space="0" w:color="auto"/>
                        <w:right w:val="none" w:sz="0" w:space="0" w:color="auto"/>
                      </w:divBdr>
                    </w:div>
                  </w:divsChild>
                </w:div>
                <w:div w:id="1422990681">
                  <w:marLeft w:val="0"/>
                  <w:marRight w:val="0"/>
                  <w:marTop w:val="0"/>
                  <w:marBottom w:val="0"/>
                  <w:divBdr>
                    <w:top w:val="none" w:sz="0" w:space="0" w:color="auto"/>
                    <w:left w:val="none" w:sz="0" w:space="0" w:color="auto"/>
                    <w:bottom w:val="none" w:sz="0" w:space="0" w:color="auto"/>
                    <w:right w:val="none" w:sz="0" w:space="0" w:color="auto"/>
                  </w:divBdr>
                  <w:divsChild>
                    <w:div w:id="104931609">
                      <w:marLeft w:val="0"/>
                      <w:marRight w:val="0"/>
                      <w:marTop w:val="0"/>
                      <w:marBottom w:val="0"/>
                      <w:divBdr>
                        <w:top w:val="none" w:sz="0" w:space="0" w:color="auto"/>
                        <w:left w:val="none" w:sz="0" w:space="0" w:color="auto"/>
                        <w:bottom w:val="none" w:sz="0" w:space="0" w:color="auto"/>
                        <w:right w:val="none" w:sz="0" w:space="0" w:color="auto"/>
                      </w:divBdr>
                    </w:div>
                  </w:divsChild>
                </w:div>
                <w:div w:id="1441948269">
                  <w:marLeft w:val="0"/>
                  <w:marRight w:val="0"/>
                  <w:marTop w:val="0"/>
                  <w:marBottom w:val="0"/>
                  <w:divBdr>
                    <w:top w:val="none" w:sz="0" w:space="0" w:color="auto"/>
                    <w:left w:val="none" w:sz="0" w:space="0" w:color="auto"/>
                    <w:bottom w:val="none" w:sz="0" w:space="0" w:color="auto"/>
                    <w:right w:val="none" w:sz="0" w:space="0" w:color="auto"/>
                  </w:divBdr>
                  <w:divsChild>
                    <w:div w:id="629550229">
                      <w:marLeft w:val="0"/>
                      <w:marRight w:val="0"/>
                      <w:marTop w:val="0"/>
                      <w:marBottom w:val="0"/>
                      <w:divBdr>
                        <w:top w:val="none" w:sz="0" w:space="0" w:color="auto"/>
                        <w:left w:val="none" w:sz="0" w:space="0" w:color="auto"/>
                        <w:bottom w:val="none" w:sz="0" w:space="0" w:color="auto"/>
                        <w:right w:val="none" w:sz="0" w:space="0" w:color="auto"/>
                      </w:divBdr>
                    </w:div>
                  </w:divsChild>
                </w:div>
                <w:div w:id="1446385486">
                  <w:marLeft w:val="0"/>
                  <w:marRight w:val="0"/>
                  <w:marTop w:val="0"/>
                  <w:marBottom w:val="0"/>
                  <w:divBdr>
                    <w:top w:val="none" w:sz="0" w:space="0" w:color="auto"/>
                    <w:left w:val="none" w:sz="0" w:space="0" w:color="auto"/>
                    <w:bottom w:val="none" w:sz="0" w:space="0" w:color="auto"/>
                    <w:right w:val="none" w:sz="0" w:space="0" w:color="auto"/>
                  </w:divBdr>
                  <w:divsChild>
                    <w:div w:id="714430189">
                      <w:marLeft w:val="0"/>
                      <w:marRight w:val="0"/>
                      <w:marTop w:val="0"/>
                      <w:marBottom w:val="0"/>
                      <w:divBdr>
                        <w:top w:val="none" w:sz="0" w:space="0" w:color="auto"/>
                        <w:left w:val="none" w:sz="0" w:space="0" w:color="auto"/>
                        <w:bottom w:val="none" w:sz="0" w:space="0" w:color="auto"/>
                        <w:right w:val="none" w:sz="0" w:space="0" w:color="auto"/>
                      </w:divBdr>
                    </w:div>
                  </w:divsChild>
                </w:div>
                <w:div w:id="1452633063">
                  <w:marLeft w:val="0"/>
                  <w:marRight w:val="0"/>
                  <w:marTop w:val="0"/>
                  <w:marBottom w:val="0"/>
                  <w:divBdr>
                    <w:top w:val="none" w:sz="0" w:space="0" w:color="auto"/>
                    <w:left w:val="none" w:sz="0" w:space="0" w:color="auto"/>
                    <w:bottom w:val="none" w:sz="0" w:space="0" w:color="auto"/>
                    <w:right w:val="none" w:sz="0" w:space="0" w:color="auto"/>
                  </w:divBdr>
                  <w:divsChild>
                    <w:div w:id="1082532168">
                      <w:marLeft w:val="0"/>
                      <w:marRight w:val="0"/>
                      <w:marTop w:val="0"/>
                      <w:marBottom w:val="0"/>
                      <w:divBdr>
                        <w:top w:val="none" w:sz="0" w:space="0" w:color="auto"/>
                        <w:left w:val="none" w:sz="0" w:space="0" w:color="auto"/>
                        <w:bottom w:val="none" w:sz="0" w:space="0" w:color="auto"/>
                        <w:right w:val="none" w:sz="0" w:space="0" w:color="auto"/>
                      </w:divBdr>
                    </w:div>
                  </w:divsChild>
                </w:div>
                <w:div w:id="1455171196">
                  <w:marLeft w:val="0"/>
                  <w:marRight w:val="0"/>
                  <w:marTop w:val="0"/>
                  <w:marBottom w:val="0"/>
                  <w:divBdr>
                    <w:top w:val="none" w:sz="0" w:space="0" w:color="auto"/>
                    <w:left w:val="none" w:sz="0" w:space="0" w:color="auto"/>
                    <w:bottom w:val="none" w:sz="0" w:space="0" w:color="auto"/>
                    <w:right w:val="none" w:sz="0" w:space="0" w:color="auto"/>
                  </w:divBdr>
                  <w:divsChild>
                    <w:div w:id="763768187">
                      <w:marLeft w:val="0"/>
                      <w:marRight w:val="0"/>
                      <w:marTop w:val="0"/>
                      <w:marBottom w:val="0"/>
                      <w:divBdr>
                        <w:top w:val="none" w:sz="0" w:space="0" w:color="auto"/>
                        <w:left w:val="none" w:sz="0" w:space="0" w:color="auto"/>
                        <w:bottom w:val="none" w:sz="0" w:space="0" w:color="auto"/>
                        <w:right w:val="none" w:sz="0" w:space="0" w:color="auto"/>
                      </w:divBdr>
                    </w:div>
                  </w:divsChild>
                </w:div>
                <w:div w:id="1470826418">
                  <w:marLeft w:val="0"/>
                  <w:marRight w:val="0"/>
                  <w:marTop w:val="0"/>
                  <w:marBottom w:val="0"/>
                  <w:divBdr>
                    <w:top w:val="none" w:sz="0" w:space="0" w:color="auto"/>
                    <w:left w:val="none" w:sz="0" w:space="0" w:color="auto"/>
                    <w:bottom w:val="none" w:sz="0" w:space="0" w:color="auto"/>
                    <w:right w:val="none" w:sz="0" w:space="0" w:color="auto"/>
                  </w:divBdr>
                  <w:divsChild>
                    <w:div w:id="338849912">
                      <w:marLeft w:val="0"/>
                      <w:marRight w:val="0"/>
                      <w:marTop w:val="0"/>
                      <w:marBottom w:val="0"/>
                      <w:divBdr>
                        <w:top w:val="none" w:sz="0" w:space="0" w:color="auto"/>
                        <w:left w:val="none" w:sz="0" w:space="0" w:color="auto"/>
                        <w:bottom w:val="none" w:sz="0" w:space="0" w:color="auto"/>
                        <w:right w:val="none" w:sz="0" w:space="0" w:color="auto"/>
                      </w:divBdr>
                    </w:div>
                  </w:divsChild>
                </w:div>
                <w:div w:id="1475950649">
                  <w:marLeft w:val="0"/>
                  <w:marRight w:val="0"/>
                  <w:marTop w:val="0"/>
                  <w:marBottom w:val="0"/>
                  <w:divBdr>
                    <w:top w:val="none" w:sz="0" w:space="0" w:color="auto"/>
                    <w:left w:val="none" w:sz="0" w:space="0" w:color="auto"/>
                    <w:bottom w:val="none" w:sz="0" w:space="0" w:color="auto"/>
                    <w:right w:val="none" w:sz="0" w:space="0" w:color="auto"/>
                  </w:divBdr>
                  <w:divsChild>
                    <w:div w:id="1083340160">
                      <w:marLeft w:val="0"/>
                      <w:marRight w:val="0"/>
                      <w:marTop w:val="0"/>
                      <w:marBottom w:val="0"/>
                      <w:divBdr>
                        <w:top w:val="none" w:sz="0" w:space="0" w:color="auto"/>
                        <w:left w:val="none" w:sz="0" w:space="0" w:color="auto"/>
                        <w:bottom w:val="none" w:sz="0" w:space="0" w:color="auto"/>
                        <w:right w:val="none" w:sz="0" w:space="0" w:color="auto"/>
                      </w:divBdr>
                    </w:div>
                    <w:div w:id="1678575772">
                      <w:marLeft w:val="0"/>
                      <w:marRight w:val="0"/>
                      <w:marTop w:val="0"/>
                      <w:marBottom w:val="0"/>
                      <w:divBdr>
                        <w:top w:val="none" w:sz="0" w:space="0" w:color="auto"/>
                        <w:left w:val="none" w:sz="0" w:space="0" w:color="auto"/>
                        <w:bottom w:val="none" w:sz="0" w:space="0" w:color="auto"/>
                        <w:right w:val="none" w:sz="0" w:space="0" w:color="auto"/>
                      </w:divBdr>
                    </w:div>
                  </w:divsChild>
                </w:div>
                <w:div w:id="1476070766">
                  <w:marLeft w:val="0"/>
                  <w:marRight w:val="0"/>
                  <w:marTop w:val="0"/>
                  <w:marBottom w:val="0"/>
                  <w:divBdr>
                    <w:top w:val="none" w:sz="0" w:space="0" w:color="auto"/>
                    <w:left w:val="none" w:sz="0" w:space="0" w:color="auto"/>
                    <w:bottom w:val="none" w:sz="0" w:space="0" w:color="auto"/>
                    <w:right w:val="none" w:sz="0" w:space="0" w:color="auto"/>
                  </w:divBdr>
                  <w:divsChild>
                    <w:div w:id="898781622">
                      <w:marLeft w:val="0"/>
                      <w:marRight w:val="0"/>
                      <w:marTop w:val="0"/>
                      <w:marBottom w:val="0"/>
                      <w:divBdr>
                        <w:top w:val="none" w:sz="0" w:space="0" w:color="auto"/>
                        <w:left w:val="none" w:sz="0" w:space="0" w:color="auto"/>
                        <w:bottom w:val="none" w:sz="0" w:space="0" w:color="auto"/>
                        <w:right w:val="none" w:sz="0" w:space="0" w:color="auto"/>
                      </w:divBdr>
                    </w:div>
                  </w:divsChild>
                </w:div>
                <w:div w:id="1478256193">
                  <w:marLeft w:val="0"/>
                  <w:marRight w:val="0"/>
                  <w:marTop w:val="0"/>
                  <w:marBottom w:val="0"/>
                  <w:divBdr>
                    <w:top w:val="none" w:sz="0" w:space="0" w:color="auto"/>
                    <w:left w:val="none" w:sz="0" w:space="0" w:color="auto"/>
                    <w:bottom w:val="none" w:sz="0" w:space="0" w:color="auto"/>
                    <w:right w:val="none" w:sz="0" w:space="0" w:color="auto"/>
                  </w:divBdr>
                  <w:divsChild>
                    <w:div w:id="1414546699">
                      <w:marLeft w:val="0"/>
                      <w:marRight w:val="0"/>
                      <w:marTop w:val="0"/>
                      <w:marBottom w:val="0"/>
                      <w:divBdr>
                        <w:top w:val="none" w:sz="0" w:space="0" w:color="auto"/>
                        <w:left w:val="none" w:sz="0" w:space="0" w:color="auto"/>
                        <w:bottom w:val="none" w:sz="0" w:space="0" w:color="auto"/>
                        <w:right w:val="none" w:sz="0" w:space="0" w:color="auto"/>
                      </w:divBdr>
                    </w:div>
                  </w:divsChild>
                </w:div>
                <w:div w:id="1485925430">
                  <w:marLeft w:val="0"/>
                  <w:marRight w:val="0"/>
                  <w:marTop w:val="0"/>
                  <w:marBottom w:val="0"/>
                  <w:divBdr>
                    <w:top w:val="none" w:sz="0" w:space="0" w:color="auto"/>
                    <w:left w:val="none" w:sz="0" w:space="0" w:color="auto"/>
                    <w:bottom w:val="none" w:sz="0" w:space="0" w:color="auto"/>
                    <w:right w:val="none" w:sz="0" w:space="0" w:color="auto"/>
                  </w:divBdr>
                  <w:divsChild>
                    <w:div w:id="1144927398">
                      <w:marLeft w:val="0"/>
                      <w:marRight w:val="0"/>
                      <w:marTop w:val="0"/>
                      <w:marBottom w:val="0"/>
                      <w:divBdr>
                        <w:top w:val="none" w:sz="0" w:space="0" w:color="auto"/>
                        <w:left w:val="none" w:sz="0" w:space="0" w:color="auto"/>
                        <w:bottom w:val="none" w:sz="0" w:space="0" w:color="auto"/>
                        <w:right w:val="none" w:sz="0" w:space="0" w:color="auto"/>
                      </w:divBdr>
                    </w:div>
                  </w:divsChild>
                </w:div>
                <w:div w:id="1489248135">
                  <w:marLeft w:val="0"/>
                  <w:marRight w:val="0"/>
                  <w:marTop w:val="0"/>
                  <w:marBottom w:val="0"/>
                  <w:divBdr>
                    <w:top w:val="none" w:sz="0" w:space="0" w:color="auto"/>
                    <w:left w:val="none" w:sz="0" w:space="0" w:color="auto"/>
                    <w:bottom w:val="none" w:sz="0" w:space="0" w:color="auto"/>
                    <w:right w:val="none" w:sz="0" w:space="0" w:color="auto"/>
                  </w:divBdr>
                  <w:divsChild>
                    <w:div w:id="874385334">
                      <w:marLeft w:val="0"/>
                      <w:marRight w:val="0"/>
                      <w:marTop w:val="0"/>
                      <w:marBottom w:val="0"/>
                      <w:divBdr>
                        <w:top w:val="none" w:sz="0" w:space="0" w:color="auto"/>
                        <w:left w:val="none" w:sz="0" w:space="0" w:color="auto"/>
                        <w:bottom w:val="none" w:sz="0" w:space="0" w:color="auto"/>
                        <w:right w:val="none" w:sz="0" w:space="0" w:color="auto"/>
                      </w:divBdr>
                    </w:div>
                  </w:divsChild>
                </w:div>
                <w:div w:id="1491293898">
                  <w:marLeft w:val="0"/>
                  <w:marRight w:val="0"/>
                  <w:marTop w:val="0"/>
                  <w:marBottom w:val="0"/>
                  <w:divBdr>
                    <w:top w:val="none" w:sz="0" w:space="0" w:color="auto"/>
                    <w:left w:val="none" w:sz="0" w:space="0" w:color="auto"/>
                    <w:bottom w:val="none" w:sz="0" w:space="0" w:color="auto"/>
                    <w:right w:val="none" w:sz="0" w:space="0" w:color="auto"/>
                  </w:divBdr>
                  <w:divsChild>
                    <w:div w:id="1730609825">
                      <w:marLeft w:val="0"/>
                      <w:marRight w:val="0"/>
                      <w:marTop w:val="0"/>
                      <w:marBottom w:val="0"/>
                      <w:divBdr>
                        <w:top w:val="none" w:sz="0" w:space="0" w:color="auto"/>
                        <w:left w:val="none" w:sz="0" w:space="0" w:color="auto"/>
                        <w:bottom w:val="none" w:sz="0" w:space="0" w:color="auto"/>
                        <w:right w:val="none" w:sz="0" w:space="0" w:color="auto"/>
                      </w:divBdr>
                    </w:div>
                  </w:divsChild>
                </w:div>
                <w:div w:id="1499661855">
                  <w:marLeft w:val="0"/>
                  <w:marRight w:val="0"/>
                  <w:marTop w:val="0"/>
                  <w:marBottom w:val="0"/>
                  <w:divBdr>
                    <w:top w:val="none" w:sz="0" w:space="0" w:color="auto"/>
                    <w:left w:val="none" w:sz="0" w:space="0" w:color="auto"/>
                    <w:bottom w:val="none" w:sz="0" w:space="0" w:color="auto"/>
                    <w:right w:val="none" w:sz="0" w:space="0" w:color="auto"/>
                  </w:divBdr>
                  <w:divsChild>
                    <w:div w:id="1059788841">
                      <w:marLeft w:val="0"/>
                      <w:marRight w:val="0"/>
                      <w:marTop w:val="0"/>
                      <w:marBottom w:val="0"/>
                      <w:divBdr>
                        <w:top w:val="none" w:sz="0" w:space="0" w:color="auto"/>
                        <w:left w:val="none" w:sz="0" w:space="0" w:color="auto"/>
                        <w:bottom w:val="none" w:sz="0" w:space="0" w:color="auto"/>
                        <w:right w:val="none" w:sz="0" w:space="0" w:color="auto"/>
                      </w:divBdr>
                    </w:div>
                  </w:divsChild>
                </w:div>
                <w:div w:id="1510101199">
                  <w:marLeft w:val="0"/>
                  <w:marRight w:val="0"/>
                  <w:marTop w:val="0"/>
                  <w:marBottom w:val="0"/>
                  <w:divBdr>
                    <w:top w:val="none" w:sz="0" w:space="0" w:color="auto"/>
                    <w:left w:val="none" w:sz="0" w:space="0" w:color="auto"/>
                    <w:bottom w:val="none" w:sz="0" w:space="0" w:color="auto"/>
                    <w:right w:val="none" w:sz="0" w:space="0" w:color="auto"/>
                  </w:divBdr>
                  <w:divsChild>
                    <w:div w:id="913393161">
                      <w:marLeft w:val="0"/>
                      <w:marRight w:val="0"/>
                      <w:marTop w:val="0"/>
                      <w:marBottom w:val="0"/>
                      <w:divBdr>
                        <w:top w:val="none" w:sz="0" w:space="0" w:color="auto"/>
                        <w:left w:val="none" w:sz="0" w:space="0" w:color="auto"/>
                        <w:bottom w:val="none" w:sz="0" w:space="0" w:color="auto"/>
                        <w:right w:val="none" w:sz="0" w:space="0" w:color="auto"/>
                      </w:divBdr>
                    </w:div>
                  </w:divsChild>
                </w:div>
                <w:div w:id="1522738258">
                  <w:marLeft w:val="0"/>
                  <w:marRight w:val="0"/>
                  <w:marTop w:val="0"/>
                  <w:marBottom w:val="0"/>
                  <w:divBdr>
                    <w:top w:val="none" w:sz="0" w:space="0" w:color="auto"/>
                    <w:left w:val="none" w:sz="0" w:space="0" w:color="auto"/>
                    <w:bottom w:val="none" w:sz="0" w:space="0" w:color="auto"/>
                    <w:right w:val="none" w:sz="0" w:space="0" w:color="auto"/>
                  </w:divBdr>
                  <w:divsChild>
                    <w:div w:id="875119957">
                      <w:marLeft w:val="0"/>
                      <w:marRight w:val="0"/>
                      <w:marTop w:val="0"/>
                      <w:marBottom w:val="0"/>
                      <w:divBdr>
                        <w:top w:val="none" w:sz="0" w:space="0" w:color="auto"/>
                        <w:left w:val="none" w:sz="0" w:space="0" w:color="auto"/>
                        <w:bottom w:val="none" w:sz="0" w:space="0" w:color="auto"/>
                        <w:right w:val="none" w:sz="0" w:space="0" w:color="auto"/>
                      </w:divBdr>
                    </w:div>
                  </w:divsChild>
                </w:div>
                <w:div w:id="1526093169">
                  <w:marLeft w:val="0"/>
                  <w:marRight w:val="0"/>
                  <w:marTop w:val="0"/>
                  <w:marBottom w:val="0"/>
                  <w:divBdr>
                    <w:top w:val="none" w:sz="0" w:space="0" w:color="auto"/>
                    <w:left w:val="none" w:sz="0" w:space="0" w:color="auto"/>
                    <w:bottom w:val="none" w:sz="0" w:space="0" w:color="auto"/>
                    <w:right w:val="none" w:sz="0" w:space="0" w:color="auto"/>
                  </w:divBdr>
                  <w:divsChild>
                    <w:div w:id="2067757364">
                      <w:marLeft w:val="0"/>
                      <w:marRight w:val="0"/>
                      <w:marTop w:val="0"/>
                      <w:marBottom w:val="0"/>
                      <w:divBdr>
                        <w:top w:val="none" w:sz="0" w:space="0" w:color="auto"/>
                        <w:left w:val="none" w:sz="0" w:space="0" w:color="auto"/>
                        <w:bottom w:val="none" w:sz="0" w:space="0" w:color="auto"/>
                        <w:right w:val="none" w:sz="0" w:space="0" w:color="auto"/>
                      </w:divBdr>
                    </w:div>
                  </w:divsChild>
                </w:div>
                <w:div w:id="1546940627">
                  <w:marLeft w:val="0"/>
                  <w:marRight w:val="0"/>
                  <w:marTop w:val="0"/>
                  <w:marBottom w:val="0"/>
                  <w:divBdr>
                    <w:top w:val="none" w:sz="0" w:space="0" w:color="auto"/>
                    <w:left w:val="none" w:sz="0" w:space="0" w:color="auto"/>
                    <w:bottom w:val="none" w:sz="0" w:space="0" w:color="auto"/>
                    <w:right w:val="none" w:sz="0" w:space="0" w:color="auto"/>
                  </w:divBdr>
                  <w:divsChild>
                    <w:div w:id="102072298">
                      <w:marLeft w:val="0"/>
                      <w:marRight w:val="0"/>
                      <w:marTop w:val="0"/>
                      <w:marBottom w:val="0"/>
                      <w:divBdr>
                        <w:top w:val="none" w:sz="0" w:space="0" w:color="auto"/>
                        <w:left w:val="none" w:sz="0" w:space="0" w:color="auto"/>
                        <w:bottom w:val="none" w:sz="0" w:space="0" w:color="auto"/>
                        <w:right w:val="none" w:sz="0" w:space="0" w:color="auto"/>
                      </w:divBdr>
                    </w:div>
                  </w:divsChild>
                </w:div>
                <w:div w:id="1555507568">
                  <w:marLeft w:val="0"/>
                  <w:marRight w:val="0"/>
                  <w:marTop w:val="0"/>
                  <w:marBottom w:val="0"/>
                  <w:divBdr>
                    <w:top w:val="none" w:sz="0" w:space="0" w:color="auto"/>
                    <w:left w:val="none" w:sz="0" w:space="0" w:color="auto"/>
                    <w:bottom w:val="none" w:sz="0" w:space="0" w:color="auto"/>
                    <w:right w:val="none" w:sz="0" w:space="0" w:color="auto"/>
                  </w:divBdr>
                  <w:divsChild>
                    <w:div w:id="1206676463">
                      <w:marLeft w:val="0"/>
                      <w:marRight w:val="0"/>
                      <w:marTop w:val="0"/>
                      <w:marBottom w:val="0"/>
                      <w:divBdr>
                        <w:top w:val="none" w:sz="0" w:space="0" w:color="auto"/>
                        <w:left w:val="none" w:sz="0" w:space="0" w:color="auto"/>
                        <w:bottom w:val="none" w:sz="0" w:space="0" w:color="auto"/>
                        <w:right w:val="none" w:sz="0" w:space="0" w:color="auto"/>
                      </w:divBdr>
                    </w:div>
                  </w:divsChild>
                </w:div>
                <w:div w:id="1577671638">
                  <w:marLeft w:val="0"/>
                  <w:marRight w:val="0"/>
                  <w:marTop w:val="0"/>
                  <w:marBottom w:val="0"/>
                  <w:divBdr>
                    <w:top w:val="none" w:sz="0" w:space="0" w:color="auto"/>
                    <w:left w:val="none" w:sz="0" w:space="0" w:color="auto"/>
                    <w:bottom w:val="none" w:sz="0" w:space="0" w:color="auto"/>
                    <w:right w:val="none" w:sz="0" w:space="0" w:color="auto"/>
                  </w:divBdr>
                  <w:divsChild>
                    <w:div w:id="103814371">
                      <w:marLeft w:val="0"/>
                      <w:marRight w:val="0"/>
                      <w:marTop w:val="0"/>
                      <w:marBottom w:val="0"/>
                      <w:divBdr>
                        <w:top w:val="none" w:sz="0" w:space="0" w:color="auto"/>
                        <w:left w:val="none" w:sz="0" w:space="0" w:color="auto"/>
                        <w:bottom w:val="none" w:sz="0" w:space="0" w:color="auto"/>
                        <w:right w:val="none" w:sz="0" w:space="0" w:color="auto"/>
                      </w:divBdr>
                    </w:div>
                  </w:divsChild>
                </w:div>
                <w:div w:id="1583561641">
                  <w:marLeft w:val="0"/>
                  <w:marRight w:val="0"/>
                  <w:marTop w:val="0"/>
                  <w:marBottom w:val="0"/>
                  <w:divBdr>
                    <w:top w:val="none" w:sz="0" w:space="0" w:color="auto"/>
                    <w:left w:val="none" w:sz="0" w:space="0" w:color="auto"/>
                    <w:bottom w:val="none" w:sz="0" w:space="0" w:color="auto"/>
                    <w:right w:val="none" w:sz="0" w:space="0" w:color="auto"/>
                  </w:divBdr>
                  <w:divsChild>
                    <w:div w:id="285355163">
                      <w:marLeft w:val="0"/>
                      <w:marRight w:val="0"/>
                      <w:marTop w:val="0"/>
                      <w:marBottom w:val="0"/>
                      <w:divBdr>
                        <w:top w:val="none" w:sz="0" w:space="0" w:color="auto"/>
                        <w:left w:val="none" w:sz="0" w:space="0" w:color="auto"/>
                        <w:bottom w:val="none" w:sz="0" w:space="0" w:color="auto"/>
                        <w:right w:val="none" w:sz="0" w:space="0" w:color="auto"/>
                      </w:divBdr>
                    </w:div>
                  </w:divsChild>
                </w:div>
                <w:div w:id="1584031036">
                  <w:marLeft w:val="0"/>
                  <w:marRight w:val="0"/>
                  <w:marTop w:val="0"/>
                  <w:marBottom w:val="0"/>
                  <w:divBdr>
                    <w:top w:val="none" w:sz="0" w:space="0" w:color="auto"/>
                    <w:left w:val="none" w:sz="0" w:space="0" w:color="auto"/>
                    <w:bottom w:val="none" w:sz="0" w:space="0" w:color="auto"/>
                    <w:right w:val="none" w:sz="0" w:space="0" w:color="auto"/>
                  </w:divBdr>
                  <w:divsChild>
                    <w:div w:id="161091417">
                      <w:marLeft w:val="0"/>
                      <w:marRight w:val="0"/>
                      <w:marTop w:val="0"/>
                      <w:marBottom w:val="0"/>
                      <w:divBdr>
                        <w:top w:val="none" w:sz="0" w:space="0" w:color="auto"/>
                        <w:left w:val="none" w:sz="0" w:space="0" w:color="auto"/>
                        <w:bottom w:val="none" w:sz="0" w:space="0" w:color="auto"/>
                        <w:right w:val="none" w:sz="0" w:space="0" w:color="auto"/>
                      </w:divBdr>
                    </w:div>
                  </w:divsChild>
                </w:div>
                <w:div w:id="1586845005">
                  <w:marLeft w:val="0"/>
                  <w:marRight w:val="0"/>
                  <w:marTop w:val="0"/>
                  <w:marBottom w:val="0"/>
                  <w:divBdr>
                    <w:top w:val="none" w:sz="0" w:space="0" w:color="auto"/>
                    <w:left w:val="none" w:sz="0" w:space="0" w:color="auto"/>
                    <w:bottom w:val="none" w:sz="0" w:space="0" w:color="auto"/>
                    <w:right w:val="none" w:sz="0" w:space="0" w:color="auto"/>
                  </w:divBdr>
                  <w:divsChild>
                    <w:div w:id="1054237485">
                      <w:marLeft w:val="0"/>
                      <w:marRight w:val="0"/>
                      <w:marTop w:val="0"/>
                      <w:marBottom w:val="0"/>
                      <w:divBdr>
                        <w:top w:val="none" w:sz="0" w:space="0" w:color="auto"/>
                        <w:left w:val="none" w:sz="0" w:space="0" w:color="auto"/>
                        <w:bottom w:val="none" w:sz="0" w:space="0" w:color="auto"/>
                        <w:right w:val="none" w:sz="0" w:space="0" w:color="auto"/>
                      </w:divBdr>
                    </w:div>
                  </w:divsChild>
                </w:div>
                <w:div w:id="1592620143">
                  <w:marLeft w:val="0"/>
                  <w:marRight w:val="0"/>
                  <w:marTop w:val="0"/>
                  <w:marBottom w:val="0"/>
                  <w:divBdr>
                    <w:top w:val="none" w:sz="0" w:space="0" w:color="auto"/>
                    <w:left w:val="none" w:sz="0" w:space="0" w:color="auto"/>
                    <w:bottom w:val="none" w:sz="0" w:space="0" w:color="auto"/>
                    <w:right w:val="none" w:sz="0" w:space="0" w:color="auto"/>
                  </w:divBdr>
                  <w:divsChild>
                    <w:div w:id="396318448">
                      <w:marLeft w:val="0"/>
                      <w:marRight w:val="0"/>
                      <w:marTop w:val="0"/>
                      <w:marBottom w:val="0"/>
                      <w:divBdr>
                        <w:top w:val="none" w:sz="0" w:space="0" w:color="auto"/>
                        <w:left w:val="none" w:sz="0" w:space="0" w:color="auto"/>
                        <w:bottom w:val="none" w:sz="0" w:space="0" w:color="auto"/>
                        <w:right w:val="none" w:sz="0" w:space="0" w:color="auto"/>
                      </w:divBdr>
                    </w:div>
                  </w:divsChild>
                </w:div>
                <w:div w:id="1600794141">
                  <w:marLeft w:val="0"/>
                  <w:marRight w:val="0"/>
                  <w:marTop w:val="0"/>
                  <w:marBottom w:val="0"/>
                  <w:divBdr>
                    <w:top w:val="none" w:sz="0" w:space="0" w:color="auto"/>
                    <w:left w:val="none" w:sz="0" w:space="0" w:color="auto"/>
                    <w:bottom w:val="none" w:sz="0" w:space="0" w:color="auto"/>
                    <w:right w:val="none" w:sz="0" w:space="0" w:color="auto"/>
                  </w:divBdr>
                  <w:divsChild>
                    <w:div w:id="553614247">
                      <w:marLeft w:val="0"/>
                      <w:marRight w:val="0"/>
                      <w:marTop w:val="0"/>
                      <w:marBottom w:val="0"/>
                      <w:divBdr>
                        <w:top w:val="none" w:sz="0" w:space="0" w:color="auto"/>
                        <w:left w:val="none" w:sz="0" w:space="0" w:color="auto"/>
                        <w:bottom w:val="none" w:sz="0" w:space="0" w:color="auto"/>
                        <w:right w:val="none" w:sz="0" w:space="0" w:color="auto"/>
                      </w:divBdr>
                    </w:div>
                  </w:divsChild>
                </w:div>
                <w:div w:id="1606378219">
                  <w:marLeft w:val="0"/>
                  <w:marRight w:val="0"/>
                  <w:marTop w:val="0"/>
                  <w:marBottom w:val="0"/>
                  <w:divBdr>
                    <w:top w:val="none" w:sz="0" w:space="0" w:color="auto"/>
                    <w:left w:val="none" w:sz="0" w:space="0" w:color="auto"/>
                    <w:bottom w:val="none" w:sz="0" w:space="0" w:color="auto"/>
                    <w:right w:val="none" w:sz="0" w:space="0" w:color="auto"/>
                  </w:divBdr>
                  <w:divsChild>
                    <w:div w:id="156582999">
                      <w:marLeft w:val="0"/>
                      <w:marRight w:val="0"/>
                      <w:marTop w:val="0"/>
                      <w:marBottom w:val="0"/>
                      <w:divBdr>
                        <w:top w:val="none" w:sz="0" w:space="0" w:color="auto"/>
                        <w:left w:val="none" w:sz="0" w:space="0" w:color="auto"/>
                        <w:bottom w:val="none" w:sz="0" w:space="0" w:color="auto"/>
                        <w:right w:val="none" w:sz="0" w:space="0" w:color="auto"/>
                      </w:divBdr>
                    </w:div>
                  </w:divsChild>
                </w:div>
                <w:div w:id="1607497822">
                  <w:marLeft w:val="0"/>
                  <w:marRight w:val="0"/>
                  <w:marTop w:val="0"/>
                  <w:marBottom w:val="0"/>
                  <w:divBdr>
                    <w:top w:val="none" w:sz="0" w:space="0" w:color="auto"/>
                    <w:left w:val="none" w:sz="0" w:space="0" w:color="auto"/>
                    <w:bottom w:val="none" w:sz="0" w:space="0" w:color="auto"/>
                    <w:right w:val="none" w:sz="0" w:space="0" w:color="auto"/>
                  </w:divBdr>
                  <w:divsChild>
                    <w:div w:id="1013341510">
                      <w:marLeft w:val="0"/>
                      <w:marRight w:val="0"/>
                      <w:marTop w:val="0"/>
                      <w:marBottom w:val="0"/>
                      <w:divBdr>
                        <w:top w:val="none" w:sz="0" w:space="0" w:color="auto"/>
                        <w:left w:val="none" w:sz="0" w:space="0" w:color="auto"/>
                        <w:bottom w:val="none" w:sz="0" w:space="0" w:color="auto"/>
                        <w:right w:val="none" w:sz="0" w:space="0" w:color="auto"/>
                      </w:divBdr>
                    </w:div>
                  </w:divsChild>
                </w:div>
                <w:div w:id="1609851412">
                  <w:marLeft w:val="0"/>
                  <w:marRight w:val="0"/>
                  <w:marTop w:val="0"/>
                  <w:marBottom w:val="0"/>
                  <w:divBdr>
                    <w:top w:val="none" w:sz="0" w:space="0" w:color="auto"/>
                    <w:left w:val="none" w:sz="0" w:space="0" w:color="auto"/>
                    <w:bottom w:val="none" w:sz="0" w:space="0" w:color="auto"/>
                    <w:right w:val="none" w:sz="0" w:space="0" w:color="auto"/>
                  </w:divBdr>
                  <w:divsChild>
                    <w:div w:id="1531919103">
                      <w:marLeft w:val="0"/>
                      <w:marRight w:val="0"/>
                      <w:marTop w:val="0"/>
                      <w:marBottom w:val="0"/>
                      <w:divBdr>
                        <w:top w:val="none" w:sz="0" w:space="0" w:color="auto"/>
                        <w:left w:val="none" w:sz="0" w:space="0" w:color="auto"/>
                        <w:bottom w:val="none" w:sz="0" w:space="0" w:color="auto"/>
                        <w:right w:val="none" w:sz="0" w:space="0" w:color="auto"/>
                      </w:divBdr>
                    </w:div>
                  </w:divsChild>
                </w:div>
                <w:div w:id="1610041344">
                  <w:marLeft w:val="0"/>
                  <w:marRight w:val="0"/>
                  <w:marTop w:val="0"/>
                  <w:marBottom w:val="0"/>
                  <w:divBdr>
                    <w:top w:val="none" w:sz="0" w:space="0" w:color="auto"/>
                    <w:left w:val="none" w:sz="0" w:space="0" w:color="auto"/>
                    <w:bottom w:val="none" w:sz="0" w:space="0" w:color="auto"/>
                    <w:right w:val="none" w:sz="0" w:space="0" w:color="auto"/>
                  </w:divBdr>
                  <w:divsChild>
                    <w:div w:id="932737271">
                      <w:marLeft w:val="0"/>
                      <w:marRight w:val="0"/>
                      <w:marTop w:val="0"/>
                      <w:marBottom w:val="0"/>
                      <w:divBdr>
                        <w:top w:val="none" w:sz="0" w:space="0" w:color="auto"/>
                        <w:left w:val="none" w:sz="0" w:space="0" w:color="auto"/>
                        <w:bottom w:val="none" w:sz="0" w:space="0" w:color="auto"/>
                        <w:right w:val="none" w:sz="0" w:space="0" w:color="auto"/>
                      </w:divBdr>
                    </w:div>
                  </w:divsChild>
                </w:div>
                <w:div w:id="1615020296">
                  <w:marLeft w:val="0"/>
                  <w:marRight w:val="0"/>
                  <w:marTop w:val="0"/>
                  <w:marBottom w:val="0"/>
                  <w:divBdr>
                    <w:top w:val="none" w:sz="0" w:space="0" w:color="auto"/>
                    <w:left w:val="none" w:sz="0" w:space="0" w:color="auto"/>
                    <w:bottom w:val="none" w:sz="0" w:space="0" w:color="auto"/>
                    <w:right w:val="none" w:sz="0" w:space="0" w:color="auto"/>
                  </w:divBdr>
                  <w:divsChild>
                    <w:div w:id="40717466">
                      <w:marLeft w:val="0"/>
                      <w:marRight w:val="0"/>
                      <w:marTop w:val="0"/>
                      <w:marBottom w:val="0"/>
                      <w:divBdr>
                        <w:top w:val="none" w:sz="0" w:space="0" w:color="auto"/>
                        <w:left w:val="none" w:sz="0" w:space="0" w:color="auto"/>
                        <w:bottom w:val="none" w:sz="0" w:space="0" w:color="auto"/>
                        <w:right w:val="none" w:sz="0" w:space="0" w:color="auto"/>
                      </w:divBdr>
                    </w:div>
                  </w:divsChild>
                </w:div>
                <w:div w:id="1629773948">
                  <w:marLeft w:val="0"/>
                  <w:marRight w:val="0"/>
                  <w:marTop w:val="0"/>
                  <w:marBottom w:val="0"/>
                  <w:divBdr>
                    <w:top w:val="none" w:sz="0" w:space="0" w:color="auto"/>
                    <w:left w:val="none" w:sz="0" w:space="0" w:color="auto"/>
                    <w:bottom w:val="none" w:sz="0" w:space="0" w:color="auto"/>
                    <w:right w:val="none" w:sz="0" w:space="0" w:color="auto"/>
                  </w:divBdr>
                  <w:divsChild>
                    <w:div w:id="2057578438">
                      <w:marLeft w:val="0"/>
                      <w:marRight w:val="0"/>
                      <w:marTop w:val="0"/>
                      <w:marBottom w:val="0"/>
                      <w:divBdr>
                        <w:top w:val="none" w:sz="0" w:space="0" w:color="auto"/>
                        <w:left w:val="none" w:sz="0" w:space="0" w:color="auto"/>
                        <w:bottom w:val="none" w:sz="0" w:space="0" w:color="auto"/>
                        <w:right w:val="none" w:sz="0" w:space="0" w:color="auto"/>
                      </w:divBdr>
                    </w:div>
                  </w:divsChild>
                </w:div>
                <w:div w:id="1632319626">
                  <w:marLeft w:val="0"/>
                  <w:marRight w:val="0"/>
                  <w:marTop w:val="0"/>
                  <w:marBottom w:val="0"/>
                  <w:divBdr>
                    <w:top w:val="none" w:sz="0" w:space="0" w:color="auto"/>
                    <w:left w:val="none" w:sz="0" w:space="0" w:color="auto"/>
                    <w:bottom w:val="none" w:sz="0" w:space="0" w:color="auto"/>
                    <w:right w:val="none" w:sz="0" w:space="0" w:color="auto"/>
                  </w:divBdr>
                  <w:divsChild>
                    <w:div w:id="1729113227">
                      <w:marLeft w:val="0"/>
                      <w:marRight w:val="0"/>
                      <w:marTop w:val="0"/>
                      <w:marBottom w:val="0"/>
                      <w:divBdr>
                        <w:top w:val="none" w:sz="0" w:space="0" w:color="auto"/>
                        <w:left w:val="none" w:sz="0" w:space="0" w:color="auto"/>
                        <w:bottom w:val="none" w:sz="0" w:space="0" w:color="auto"/>
                        <w:right w:val="none" w:sz="0" w:space="0" w:color="auto"/>
                      </w:divBdr>
                    </w:div>
                  </w:divsChild>
                </w:div>
                <w:div w:id="1636913287">
                  <w:marLeft w:val="0"/>
                  <w:marRight w:val="0"/>
                  <w:marTop w:val="0"/>
                  <w:marBottom w:val="0"/>
                  <w:divBdr>
                    <w:top w:val="none" w:sz="0" w:space="0" w:color="auto"/>
                    <w:left w:val="none" w:sz="0" w:space="0" w:color="auto"/>
                    <w:bottom w:val="none" w:sz="0" w:space="0" w:color="auto"/>
                    <w:right w:val="none" w:sz="0" w:space="0" w:color="auto"/>
                  </w:divBdr>
                  <w:divsChild>
                    <w:div w:id="638923225">
                      <w:marLeft w:val="0"/>
                      <w:marRight w:val="0"/>
                      <w:marTop w:val="0"/>
                      <w:marBottom w:val="0"/>
                      <w:divBdr>
                        <w:top w:val="none" w:sz="0" w:space="0" w:color="auto"/>
                        <w:left w:val="none" w:sz="0" w:space="0" w:color="auto"/>
                        <w:bottom w:val="none" w:sz="0" w:space="0" w:color="auto"/>
                        <w:right w:val="none" w:sz="0" w:space="0" w:color="auto"/>
                      </w:divBdr>
                    </w:div>
                  </w:divsChild>
                </w:div>
                <w:div w:id="1648196612">
                  <w:marLeft w:val="0"/>
                  <w:marRight w:val="0"/>
                  <w:marTop w:val="0"/>
                  <w:marBottom w:val="0"/>
                  <w:divBdr>
                    <w:top w:val="none" w:sz="0" w:space="0" w:color="auto"/>
                    <w:left w:val="none" w:sz="0" w:space="0" w:color="auto"/>
                    <w:bottom w:val="none" w:sz="0" w:space="0" w:color="auto"/>
                    <w:right w:val="none" w:sz="0" w:space="0" w:color="auto"/>
                  </w:divBdr>
                  <w:divsChild>
                    <w:div w:id="1118183662">
                      <w:marLeft w:val="0"/>
                      <w:marRight w:val="0"/>
                      <w:marTop w:val="0"/>
                      <w:marBottom w:val="0"/>
                      <w:divBdr>
                        <w:top w:val="none" w:sz="0" w:space="0" w:color="auto"/>
                        <w:left w:val="none" w:sz="0" w:space="0" w:color="auto"/>
                        <w:bottom w:val="none" w:sz="0" w:space="0" w:color="auto"/>
                        <w:right w:val="none" w:sz="0" w:space="0" w:color="auto"/>
                      </w:divBdr>
                    </w:div>
                  </w:divsChild>
                </w:div>
                <w:div w:id="1650162817">
                  <w:marLeft w:val="0"/>
                  <w:marRight w:val="0"/>
                  <w:marTop w:val="0"/>
                  <w:marBottom w:val="0"/>
                  <w:divBdr>
                    <w:top w:val="none" w:sz="0" w:space="0" w:color="auto"/>
                    <w:left w:val="none" w:sz="0" w:space="0" w:color="auto"/>
                    <w:bottom w:val="none" w:sz="0" w:space="0" w:color="auto"/>
                    <w:right w:val="none" w:sz="0" w:space="0" w:color="auto"/>
                  </w:divBdr>
                  <w:divsChild>
                    <w:div w:id="612983287">
                      <w:marLeft w:val="0"/>
                      <w:marRight w:val="0"/>
                      <w:marTop w:val="0"/>
                      <w:marBottom w:val="0"/>
                      <w:divBdr>
                        <w:top w:val="none" w:sz="0" w:space="0" w:color="auto"/>
                        <w:left w:val="none" w:sz="0" w:space="0" w:color="auto"/>
                        <w:bottom w:val="none" w:sz="0" w:space="0" w:color="auto"/>
                        <w:right w:val="none" w:sz="0" w:space="0" w:color="auto"/>
                      </w:divBdr>
                    </w:div>
                  </w:divsChild>
                </w:div>
                <w:div w:id="1655718034">
                  <w:marLeft w:val="0"/>
                  <w:marRight w:val="0"/>
                  <w:marTop w:val="0"/>
                  <w:marBottom w:val="0"/>
                  <w:divBdr>
                    <w:top w:val="none" w:sz="0" w:space="0" w:color="auto"/>
                    <w:left w:val="none" w:sz="0" w:space="0" w:color="auto"/>
                    <w:bottom w:val="none" w:sz="0" w:space="0" w:color="auto"/>
                    <w:right w:val="none" w:sz="0" w:space="0" w:color="auto"/>
                  </w:divBdr>
                  <w:divsChild>
                    <w:div w:id="1745568011">
                      <w:marLeft w:val="0"/>
                      <w:marRight w:val="0"/>
                      <w:marTop w:val="0"/>
                      <w:marBottom w:val="0"/>
                      <w:divBdr>
                        <w:top w:val="none" w:sz="0" w:space="0" w:color="auto"/>
                        <w:left w:val="none" w:sz="0" w:space="0" w:color="auto"/>
                        <w:bottom w:val="none" w:sz="0" w:space="0" w:color="auto"/>
                        <w:right w:val="none" w:sz="0" w:space="0" w:color="auto"/>
                      </w:divBdr>
                    </w:div>
                  </w:divsChild>
                </w:div>
                <w:div w:id="1656520610">
                  <w:marLeft w:val="0"/>
                  <w:marRight w:val="0"/>
                  <w:marTop w:val="0"/>
                  <w:marBottom w:val="0"/>
                  <w:divBdr>
                    <w:top w:val="none" w:sz="0" w:space="0" w:color="auto"/>
                    <w:left w:val="none" w:sz="0" w:space="0" w:color="auto"/>
                    <w:bottom w:val="none" w:sz="0" w:space="0" w:color="auto"/>
                    <w:right w:val="none" w:sz="0" w:space="0" w:color="auto"/>
                  </w:divBdr>
                  <w:divsChild>
                    <w:div w:id="2119518205">
                      <w:marLeft w:val="0"/>
                      <w:marRight w:val="0"/>
                      <w:marTop w:val="0"/>
                      <w:marBottom w:val="0"/>
                      <w:divBdr>
                        <w:top w:val="none" w:sz="0" w:space="0" w:color="auto"/>
                        <w:left w:val="none" w:sz="0" w:space="0" w:color="auto"/>
                        <w:bottom w:val="none" w:sz="0" w:space="0" w:color="auto"/>
                        <w:right w:val="none" w:sz="0" w:space="0" w:color="auto"/>
                      </w:divBdr>
                    </w:div>
                  </w:divsChild>
                </w:div>
                <w:div w:id="1666780428">
                  <w:marLeft w:val="0"/>
                  <w:marRight w:val="0"/>
                  <w:marTop w:val="0"/>
                  <w:marBottom w:val="0"/>
                  <w:divBdr>
                    <w:top w:val="none" w:sz="0" w:space="0" w:color="auto"/>
                    <w:left w:val="none" w:sz="0" w:space="0" w:color="auto"/>
                    <w:bottom w:val="none" w:sz="0" w:space="0" w:color="auto"/>
                    <w:right w:val="none" w:sz="0" w:space="0" w:color="auto"/>
                  </w:divBdr>
                  <w:divsChild>
                    <w:div w:id="405495820">
                      <w:marLeft w:val="0"/>
                      <w:marRight w:val="0"/>
                      <w:marTop w:val="0"/>
                      <w:marBottom w:val="0"/>
                      <w:divBdr>
                        <w:top w:val="none" w:sz="0" w:space="0" w:color="auto"/>
                        <w:left w:val="none" w:sz="0" w:space="0" w:color="auto"/>
                        <w:bottom w:val="none" w:sz="0" w:space="0" w:color="auto"/>
                        <w:right w:val="none" w:sz="0" w:space="0" w:color="auto"/>
                      </w:divBdr>
                    </w:div>
                  </w:divsChild>
                </w:div>
                <w:div w:id="1678314577">
                  <w:marLeft w:val="0"/>
                  <w:marRight w:val="0"/>
                  <w:marTop w:val="0"/>
                  <w:marBottom w:val="0"/>
                  <w:divBdr>
                    <w:top w:val="none" w:sz="0" w:space="0" w:color="auto"/>
                    <w:left w:val="none" w:sz="0" w:space="0" w:color="auto"/>
                    <w:bottom w:val="none" w:sz="0" w:space="0" w:color="auto"/>
                    <w:right w:val="none" w:sz="0" w:space="0" w:color="auto"/>
                  </w:divBdr>
                  <w:divsChild>
                    <w:div w:id="1263606448">
                      <w:marLeft w:val="0"/>
                      <w:marRight w:val="0"/>
                      <w:marTop w:val="0"/>
                      <w:marBottom w:val="0"/>
                      <w:divBdr>
                        <w:top w:val="none" w:sz="0" w:space="0" w:color="auto"/>
                        <w:left w:val="none" w:sz="0" w:space="0" w:color="auto"/>
                        <w:bottom w:val="none" w:sz="0" w:space="0" w:color="auto"/>
                        <w:right w:val="none" w:sz="0" w:space="0" w:color="auto"/>
                      </w:divBdr>
                    </w:div>
                  </w:divsChild>
                </w:div>
                <w:div w:id="1679116565">
                  <w:marLeft w:val="0"/>
                  <w:marRight w:val="0"/>
                  <w:marTop w:val="0"/>
                  <w:marBottom w:val="0"/>
                  <w:divBdr>
                    <w:top w:val="none" w:sz="0" w:space="0" w:color="auto"/>
                    <w:left w:val="none" w:sz="0" w:space="0" w:color="auto"/>
                    <w:bottom w:val="none" w:sz="0" w:space="0" w:color="auto"/>
                    <w:right w:val="none" w:sz="0" w:space="0" w:color="auto"/>
                  </w:divBdr>
                  <w:divsChild>
                    <w:div w:id="1366171893">
                      <w:marLeft w:val="0"/>
                      <w:marRight w:val="0"/>
                      <w:marTop w:val="0"/>
                      <w:marBottom w:val="0"/>
                      <w:divBdr>
                        <w:top w:val="none" w:sz="0" w:space="0" w:color="auto"/>
                        <w:left w:val="none" w:sz="0" w:space="0" w:color="auto"/>
                        <w:bottom w:val="none" w:sz="0" w:space="0" w:color="auto"/>
                        <w:right w:val="none" w:sz="0" w:space="0" w:color="auto"/>
                      </w:divBdr>
                    </w:div>
                  </w:divsChild>
                </w:div>
                <w:div w:id="1695497063">
                  <w:marLeft w:val="0"/>
                  <w:marRight w:val="0"/>
                  <w:marTop w:val="0"/>
                  <w:marBottom w:val="0"/>
                  <w:divBdr>
                    <w:top w:val="none" w:sz="0" w:space="0" w:color="auto"/>
                    <w:left w:val="none" w:sz="0" w:space="0" w:color="auto"/>
                    <w:bottom w:val="none" w:sz="0" w:space="0" w:color="auto"/>
                    <w:right w:val="none" w:sz="0" w:space="0" w:color="auto"/>
                  </w:divBdr>
                  <w:divsChild>
                    <w:div w:id="1500004019">
                      <w:marLeft w:val="0"/>
                      <w:marRight w:val="0"/>
                      <w:marTop w:val="0"/>
                      <w:marBottom w:val="0"/>
                      <w:divBdr>
                        <w:top w:val="none" w:sz="0" w:space="0" w:color="auto"/>
                        <w:left w:val="none" w:sz="0" w:space="0" w:color="auto"/>
                        <w:bottom w:val="none" w:sz="0" w:space="0" w:color="auto"/>
                        <w:right w:val="none" w:sz="0" w:space="0" w:color="auto"/>
                      </w:divBdr>
                    </w:div>
                  </w:divsChild>
                </w:div>
                <w:div w:id="1703901933">
                  <w:marLeft w:val="0"/>
                  <w:marRight w:val="0"/>
                  <w:marTop w:val="0"/>
                  <w:marBottom w:val="0"/>
                  <w:divBdr>
                    <w:top w:val="none" w:sz="0" w:space="0" w:color="auto"/>
                    <w:left w:val="none" w:sz="0" w:space="0" w:color="auto"/>
                    <w:bottom w:val="none" w:sz="0" w:space="0" w:color="auto"/>
                    <w:right w:val="none" w:sz="0" w:space="0" w:color="auto"/>
                  </w:divBdr>
                  <w:divsChild>
                    <w:div w:id="1309675297">
                      <w:marLeft w:val="0"/>
                      <w:marRight w:val="0"/>
                      <w:marTop w:val="0"/>
                      <w:marBottom w:val="0"/>
                      <w:divBdr>
                        <w:top w:val="none" w:sz="0" w:space="0" w:color="auto"/>
                        <w:left w:val="none" w:sz="0" w:space="0" w:color="auto"/>
                        <w:bottom w:val="none" w:sz="0" w:space="0" w:color="auto"/>
                        <w:right w:val="none" w:sz="0" w:space="0" w:color="auto"/>
                      </w:divBdr>
                    </w:div>
                  </w:divsChild>
                </w:div>
                <w:div w:id="1710840369">
                  <w:marLeft w:val="0"/>
                  <w:marRight w:val="0"/>
                  <w:marTop w:val="0"/>
                  <w:marBottom w:val="0"/>
                  <w:divBdr>
                    <w:top w:val="none" w:sz="0" w:space="0" w:color="auto"/>
                    <w:left w:val="none" w:sz="0" w:space="0" w:color="auto"/>
                    <w:bottom w:val="none" w:sz="0" w:space="0" w:color="auto"/>
                    <w:right w:val="none" w:sz="0" w:space="0" w:color="auto"/>
                  </w:divBdr>
                  <w:divsChild>
                    <w:div w:id="1729376292">
                      <w:marLeft w:val="0"/>
                      <w:marRight w:val="0"/>
                      <w:marTop w:val="0"/>
                      <w:marBottom w:val="0"/>
                      <w:divBdr>
                        <w:top w:val="none" w:sz="0" w:space="0" w:color="auto"/>
                        <w:left w:val="none" w:sz="0" w:space="0" w:color="auto"/>
                        <w:bottom w:val="none" w:sz="0" w:space="0" w:color="auto"/>
                        <w:right w:val="none" w:sz="0" w:space="0" w:color="auto"/>
                      </w:divBdr>
                    </w:div>
                  </w:divsChild>
                </w:div>
                <w:div w:id="1716006170">
                  <w:marLeft w:val="0"/>
                  <w:marRight w:val="0"/>
                  <w:marTop w:val="0"/>
                  <w:marBottom w:val="0"/>
                  <w:divBdr>
                    <w:top w:val="none" w:sz="0" w:space="0" w:color="auto"/>
                    <w:left w:val="none" w:sz="0" w:space="0" w:color="auto"/>
                    <w:bottom w:val="none" w:sz="0" w:space="0" w:color="auto"/>
                    <w:right w:val="none" w:sz="0" w:space="0" w:color="auto"/>
                  </w:divBdr>
                  <w:divsChild>
                    <w:div w:id="365566724">
                      <w:marLeft w:val="0"/>
                      <w:marRight w:val="0"/>
                      <w:marTop w:val="0"/>
                      <w:marBottom w:val="0"/>
                      <w:divBdr>
                        <w:top w:val="none" w:sz="0" w:space="0" w:color="auto"/>
                        <w:left w:val="none" w:sz="0" w:space="0" w:color="auto"/>
                        <w:bottom w:val="none" w:sz="0" w:space="0" w:color="auto"/>
                        <w:right w:val="none" w:sz="0" w:space="0" w:color="auto"/>
                      </w:divBdr>
                    </w:div>
                  </w:divsChild>
                </w:div>
                <w:div w:id="1722705505">
                  <w:marLeft w:val="0"/>
                  <w:marRight w:val="0"/>
                  <w:marTop w:val="0"/>
                  <w:marBottom w:val="0"/>
                  <w:divBdr>
                    <w:top w:val="none" w:sz="0" w:space="0" w:color="auto"/>
                    <w:left w:val="none" w:sz="0" w:space="0" w:color="auto"/>
                    <w:bottom w:val="none" w:sz="0" w:space="0" w:color="auto"/>
                    <w:right w:val="none" w:sz="0" w:space="0" w:color="auto"/>
                  </w:divBdr>
                  <w:divsChild>
                    <w:div w:id="1422869812">
                      <w:marLeft w:val="0"/>
                      <w:marRight w:val="0"/>
                      <w:marTop w:val="0"/>
                      <w:marBottom w:val="0"/>
                      <w:divBdr>
                        <w:top w:val="none" w:sz="0" w:space="0" w:color="auto"/>
                        <w:left w:val="none" w:sz="0" w:space="0" w:color="auto"/>
                        <w:bottom w:val="none" w:sz="0" w:space="0" w:color="auto"/>
                        <w:right w:val="none" w:sz="0" w:space="0" w:color="auto"/>
                      </w:divBdr>
                    </w:div>
                  </w:divsChild>
                </w:div>
                <w:div w:id="1733696448">
                  <w:marLeft w:val="0"/>
                  <w:marRight w:val="0"/>
                  <w:marTop w:val="0"/>
                  <w:marBottom w:val="0"/>
                  <w:divBdr>
                    <w:top w:val="none" w:sz="0" w:space="0" w:color="auto"/>
                    <w:left w:val="none" w:sz="0" w:space="0" w:color="auto"/>
                    <w:bottom w:val="none" w:sz="0" w:space="0" w:color="auto"/>
                    <w:right w:val="none" w:sz="0" w:space="0" w:color="auto"/>
                  </w:divBdr>
                  <w:divsChild>
                    <w:div w:id="182523201">
                      <w:marLeft w:val="0"/>
                      <w:marRight w:val="0"/>
                      <w:marTop w:val="0"/>
                      <w:marBottom w:val="0"/>
                      <w:divBdr>
                        <w:top w:val="none" w:sz="0" w:space="0" w:color="auto"/>
                        <w:left w:val="none" w:sz="0" w:space="0" w:color="auto"/>
                        <w:bottom w:val="none" w:sz="0" w:space="0" w:color="auto"/>
                        <w:right w:val="none" w:sz="0" w:space="0" w:color="auto"/>
                      </w:divBdr>
                    </w:div>
                  </w:divsChild>
                </w:div>
                <w:div w:id="1736857435">
                  <w:marLeft w:val="0"/>
                  <w:marRight w:val="0"/>
                  <w:marTop w:val="0"/>
                  <w:marBottom w:val="0"/>
                  <w:divBdr>
                    <w:top w:val="none" w:sz="0" w:space="0" w:color="auto"/>
                    <w:left w:val="none" w:sz="0" w:space="0" w:color="auto"/>
                    <w:bottom w:val="none" w:sz="0" w:space="0" w:color="auto"/>
                    <w:right w:val="none" w:sz="0" w:space="0" w:color="auto"/>
                  </w:divBdr>
                  <w:divsChild>
                    <w:div w:id="1526361709">
                      <w:marLeft w:val="0"/>
                      <w:marRight w:val="0"/>
                      <w:marTop w:val="0"/>
                      <w:marBottom w:val="0"/>
                      <w:divBdr>
                        <w:top w:val="none" w:sz="0" w:space="0" w:color="auto"/>
                        <w:left w:val="none" w:sz="0" w:space="0" w:color="auto"/>
                        <w:bottom w:val="none" w:sz="0" w:space="0" w:color="auto"/>
                        <w:right w:val="none" w:sz="0" w:space="0" w:color="auto"/>
                      </w:divBdr>
                    </w:div>
                    <w:div w:id="2092657974">
                      <w:marLeft w:val="0"/>
                      <w:marRight w:val="0"/>
                      <w:marTop w:val="0"/>
                      <w:marBottom w:val="0"/>
                      <w:divBdr>
                        <w:top w:val="none" w:sz="0" w:space="0" w:color="auto"/>
                        <w:left w:val="none" w:sz="0" w:space="0" w:color="auto"/>
                        <w:bottom w:val="none" w:sz="0" w:space="0" w:color="auto"/>
                        <w:right w:val="none" w:sz="0" w:space="0" w:color="auto"/>
                      </w:divBdr>
                    </w:div>
                  </w:divsChild>
                </w:div>
                <w:div w:id="1740710405">
                  <w:marLeft w:val="0"/>
                  <w:marRight w:val="0"/>
                  <w:marTop w:val="0"/>
                  <w:marBottom w:val="0"/>
                  <w:divBdr>
                    <w:top w:val="none" w:sz="0" w:space="0" w:color="auto"/>
                    <w:left w:val="none" w:sz="0" w:space="0" w:color="auto"/>
                    <w:bottom w:val="none" w:sz="0" w:space="0" w:color="auto"/>
                    <w:right w:val="none" w:sz="0" w:space="0" w:color="auto"/>
                  </w:divBdr>
                  <w:divsChild>
                    <w:div w:id="711153082">
                      <w:marLeft w:val="0"/>
                      <w:marRight w:val="0"/>
                      <w:marTop w:val="0"/>
                      <w:marBottom w:val="0"/>
                      <w:divBdr>
                        <w:top w:val="none" w:sz="0" w:space="0" w:color="auto"/>
                        <w:left w:val="none" w:sz="0" w:space="0" w:color="auto"/>
                        <w:bottom w:val="none" w:sz="0" w:space="0" w:color="auto"/>
                        <w:right w:val="none" w:sz="0" w:space="0" w:color="auto"/>
                      </w:divBdr>
                    </w:div>
                  </w:divsChild>
                </w:div>
                <w:div w:id="1746679628">
                  <w:marLeft w:val="0"/>
                  <w:marRight w:val="0"/>
                  <w:marTop w:val="0"/>
                  <w:marBottom w:val="0"/>
                  <w:divBdr>
                    <w:top w:val="none" w:sz="0" w:space="0" w:color="auto"/>
                    <w:left w:val="none" w:sz="0" w:space="0" w:color="auto"/>
                    <w:bottom w:val="none" w:sz="0" w:space="0" w:color="auto"/>
                    <w:right w:val="none" w:sz="0" w:space="0" w:color="auto"/>
                  </w:divBdr>
                  <w:divsChild>
                    <w:div w:id="33891623">
                      <w:marLeft w:val="0"/>
                      <w:marRight w:val="0"/>
                      <w:marTop w:val="0"/>
                      <w:marBottom w:val="0"/>
                      <w:divBdr>
                        <w:top w:val="none" w:sz="0" w:space="0" w:color="auto"/>
                        <w:left w:val="none" w:sz="0" w:space="0" w:color="auto"/>
                        <w:bottom w:val="none" w:sz="0" w:space="0" w:color="auto"/>
                        <w:right w:val="none" w:sz="0" w:space="0" w:color="auto"/>
                      </w:divBdr>
                    </w:div>
                  </w:divsChild>
                </w:div>
                <w:div w:id="1756122183">
                  <w:marLeft w:val="0"/>
                  <w:marRight w:val="0"/>
                  <w:marTop w:val="0"/>
                  <w:marBottom w:val="0"/>
                  <w:divBdr>
                    <w:top w:val="none" w:sz="0" w:space="0" w:color="auto"/>
                    <w:left w:val="none" w:sz="0" w:space="0" w:color="auto"/>
                    <w:bottom w:val="none" w:sz="0" w:space="0" w:color="auto"/>
                    <w:right w:val="none" w:sz="0" w:space="0" w:color="auto"/>
                  </w:divBdr>
                  <w:divsChild>
                    <w:div w:id="181672417">
                      <w:marLeft w:val="0"/>
                      <w:marRight w:val="0"/>
                      <w:marTop w:val="0"/>
                      <w:marBottom w:val="0"/>
                      <w:divBdr>
                        <w:top w:val="none" w:sz="0" w:space="0" w:color="auto"/>
                        <w:left w:val="none" w:sz="0" w:space="0" w:color="auto"/>
                        <w:bottom w:val="none" w:sz="0" w:space="0" w:color="auto"/>
                        <w:right w:val="none" w:sz="0" w:space="0" w:color="auto"/>
                      </w:divBdr>
                    </w:div>
                  </w:divsChild>
                </w:div>
                <w:div w:id="1758599460">
                  <w:marLeft w:val="0"/>
                  <w:marRight w:val="0"/>
                  <w:marTop w:val="0"/>
                  <w:marBottom w:val="0"/>
                  <w:divBdr>
                    <w:top w:val="none" w:sz="0" w:space="0" w:color="auto"/>
                    <w:left w:val="none" w:sz="0" w:space="0" w:color="auto"/>
                    <w:bottom w:val="none" w:sz="0" w:space="0" w:color="auto"/>
                    <w:right w:val="none" w:sz="0" w:space="0" w:color="auto"/>
                  </w:divBdr>
                  <w:divsChild>
                    <w:div w:id="1346446114">
                      <w:marLeft w:val="0"/>
                      <w:marRight w:val="0"/>
                      <w:marTop w:val="0"/>
                      <w:marBottom w:val="0"/>
                      <w:divBdr>
                        <w:top w:val="none" w:sz="0" w:space="0" w:color="auto"/>
                        <w:left w:val="none" w:sz="0" w:space="0" w:color="auto"/>
                        <w:bottom w:val="none" w:sz="0" w:space="0" w:color="auto"/>
                        <w:right w:val="none" w:sz="0" w:space="0" w:color="auto"/>
                      </w:divBdr>
                    </w:div>
                  </w:divsChild>
                </w:div>
                <w:div w:id="1760171943">
                  <w:marLeft w:val="0"/>
                  <w:marRight w:val="0"/>
                  <w:marTop w:val="0"/>
                  <w:marBottom w:val="0"/>
                  <w:divBdr>
                    <w:top w:val="none" w:sz="0" w:space="0" w:color="auto"/>
                    <w:left w:val="none" w:sz="0" w:space="0" w:color="auto"/>
                    <w:bottom w:val="none" w:sz="0" w:space="0" w:color="auto"/>
                    <w:right w:val="none" w:sz="0" w:space="0" w:color="auto"/>
                  </w:divBdr>
                  <w:divsChild>
                    <w:div w:id="1944218798">
                      <w:marLeft w:val="0"/>
                      <w:marRight w:val="0"/>
                      <w:marTop w:val="0"/>
                      <w:marBottom w:val="0"/>
                      <w:divBdr>
                        <w:top w:val="none" w:sz="0" w:space="0" w:color="auto"/>
                        <w:left w:val="none" w:sz="0" w:space="0" w:color="auto"/>
                        <w:bottom w:val="none" w:sz="0" w:space="0" w:color="auto"/>
                        <w:right w:val="none" w:sz="0" w:space="0" w:color="auto"/>
                      </w:divBdr>
                    </w:div>
                  </w:divsChild>
                </w:div>
                <w:div w:id="1767312817">
                  <w:marLeft w:val="0"/>
                  <w:marRight w:val="0"/>
                  <w:marTop w:val="0"/>
                  <w:marBottom w:val="0"/>
                  <w:divBdr>
                    <w:top w:val="none" w:sz="0" w:space="0" w:color="auto"/>
                    <w:left w:val="none" w:sz="0" w:space="0" w:color="auto"/>
                    <w:bottom w:val="none" w:sz="0" w:space="0" w:color="auto"/>
                    <w:right w:val="none" w:sz="0" w:space="0" w:color="auto"/>
                  </w:divBdr>
                  <w:divsChild>
                    <w:div w:id="1771317714">
                      <w:marLeft w:val="0"/>
                      <w:marRight w:val="0"/>
                      <w:marTop w:val="0"/>
                      <w:marBottom w:val="0"/>
                      <w:divBdr>
                        <w:top w:val="none" w:sz="0" w:space="0" w:color="auto"/>
                        <w:left w:val="none" w:sz="0" w:space="0" w:color="auto"/>
                        <w:bottom w:val="none" w:sz="0" w:space="0" w:color="auto"/>
                        <w:right w:val="none" w:sz="0" w:space="0" w:color="auto"/>
                      </w:divBdr>
                    </w:div>
                  </w:divsChild>
                </w:div>
                <w:div w:id="1786851219">
                  <w:marLeft w:val="0"/>
                  <w:marRight w:val="0"/>
                  <w:marTop w:val="0"/>
                  <w:marBottom w:val="0"/>
                  <w:divBdr>
                    <w:top w:val="none" w:sz="0" w:space="0" w:color="auto"/>
                    <w:left w:val="none" w:sz="0" w:space="0" w:color="auto"/>
                    <w:bottom w:val="none" w:sz="0" w:space="0" w:color="auto"/>
                    <w:right w:val="none" w:sz="0" w:space="0" w:color="auto"/>
                  </w:divBdr>
                  <w:divsChild>
                    <w:div w:id="2073188374">
                      <w:marLeft w:val="0"/>
                      <w:marRight w:val="0"/>
                      <w:marTop w:val="0"/>
                      <w:marBottom w:val="0"/>
                      <w:divBdr>
                        <w:top w:val="none" w:sz="0" w:space="0" w:color="auto"/>
                        <w:left w:val="none" w:sz="0" w:space="0" w:color="auto"/>
                        <w:bottom w:val="none" w:sz="0" w:space="0" w:color="auto"/>
                        <w:right w:val="none" w:sz="0" w:space="0" w:color="auto"/>
                      </w:divBdr>
                    </w:div>
                  </w:divsChild>
                </w:div>
                <w:div w:id="1788618087">
                  <w:marLeft w:val="0"/>
                  <w:marRight w:val="0"/>
                  <w:marTop w:val="0"/>
                  <w:marBottom w:val="0"/>
                  <w:divBdr>
                    <w:top w:val="none" w:sz="0" w:space="0" w:color="auto"/>
                    <w:left w:val="none" w:sz="0" w:space="0" w:color="auto"/>
                    <w:bottom w:val="none" w:sz="0" w:space="0" w:color="auto"/>
                    <w:right w:val="none" w:sz="0" w:space="0" w:color="auto"/>
                  </w:divBdr>
                  <w:divsChild>
                    <w:div w:id="1886406594">
                      <w:marLeft w:val="0"/>
                      <w:marRight w:val="0"/>
                      <w:marTop w:val="0"/>
                      <w:marBottom w:val="0"/>
                      <w:divBdr>
                        <w:top w:val="none" w:sz="0" w:space="0" w:color="auto"/>
                        <w:left w:val="none" w:sz="0" w:space="0" w:color="auto"/>
                        <w:bottom w:val="none" w:sz="0" w:space="0" w:color="auto"/>
                        <w:right w:val="none" w:sz="0" w:space="0" w:color="auto"/>
                      </w:divBdr>
                    </w:div>
                  </w:divsChild>
                </w:div>
                <w:div w:id="1801848847">
                  <w:marLeft w:val="0"/>
                  <w:marRight w:val="0"/>
                  <w:marTop w:val="0"/>
                  <w:marBottom w:val="0"/>
                  <w:divBdr>
                    <w:top w:val="none" w:sz="0" w:space="0" w:color="auto"/>
                    <w:left w:val="none" w:sz="0" w:space="0" w:color="auto"/>
                    <w:bottom w:val="none" w:sz="0" w:space="0" w:color="auto"/>
                    <w:right w:val="none" w:sz="0" w:space="0" w:color="auto"/>
                  </w:divBdr>
                  <w:divsChild>
                    <w:div w:id="549152418">
                      <w:marLeft w:val="0"/>
                      <w:marRight w:val="0"/>
                      <w:marTop w:val="0"/>
                      <w:marBottom w:val="0"/>
                      <w:divBdr>
                        <w:top w:val="none" w:sz="0" w:space="0" w:color="auto"/>
                        <w:left w:val="none" w:sz="0" w:space="0" w:color="auto"/>
                        <w:bottom w:val="none" w:sz="0" w:space="0" w:color="auto"/>
                        <w:right w:val="none" w:sz="0" w:space="0" w:color="auto"/>
                      </w:divBdr>
                    </w:div>
                  </w:divsChild>
                </w:div>
                <w:div w:id="1802646380">
                  <w:marLeft w:val="0"/>
                  <w:marRight w:val="0"/>
                  <w:marTop w:val="0"/>
                  <w:marBottom w:val="0"/>
                  <w:divBdr>
                    <w:top w:val="none" w:sz="0" w:space="0" w:color="auto"/>
                    <w:left w:val="none" w:sz="0" w:space="0" w:color="auto"/>
                    <w:bottom w:val="none" w:sz="0" w:space="0" w:color="auto"/>
                    <w:right w:val="none" w:sz="0" w:space="0" w:color="auto"/>
                  </w:divBdr>
                  <w:divsChild>
                    <w:div w:id="345256950">
                      <w:marLeft w:val="0"/>
                      <w:marRight w:val="0"/>
                      <w:marTop w:val="0"/>
                      <w:marBottom w:val="0"/>
                      <w:divBdr>
                        <w:top w:val="none" w:sz="0" w:space="0" w:color="auto"/>
                        <w:left w:val="none" w:sz="0" w:space="0" w:color="auto"/>
                        <w:bottom w:val="none" w:sz="0" w:space="0" w:color="auto"/>
                        <w:right w:val="none" w:sz="0" w:space="0" w:color="auto"/>
                      </w:divBdr>
                    </w:div>
                  </w:divsChild>
                </w:div>
                <w:div w:id="1819493261">
                  <w:marLeft w:val="0"/>
                  <w:marRight w:val="0"/>
                  <w:marTop w:val="0"/>
                  <w:marBottom w:val="0"/>
                  <w:divBdr>
                    <w:top w:val="none" w:sz="0" w:space="0" w:color="auto"/>
                    <w:left w:val="none" w:sz="0" w:space="0" w:color="auto"/>
                    <w:bottom w:val="none" w:sz="0" w:space="0" w:color="auto"/>
                    <w:right w:val="none" w:sz="0" w:space="0" w:color="auto"/>
                  </w:divBdr>
                  <w:divsChild>
                    <w:div w:id="1246454447">
                      <w:marLeft w:val="0"/>
                      <w:marRight w:val="0"/>
                      <w:marTop w:val="0"/>
                      <w:marBottom w:val="0"/>
                      <w:divBdr>
                        <w:top w:val="none" w:sz="0" w:space="0" w:color="auto"/>
                        <w:left w:val="none" w:sz="0" w:space="0" w:color="auto"/>
                        <w:bottom w:val="none" w:sz="0" w:space="0" w:color="auto"/>
                        <w:right w:val="none" w:sz="0" w:space="0" w:color="auto"/>
                      </w:divBdr>
                    </w:div>
                  </w:divsChild>
                </w:div>
                <w:div w:id="1826512465">
                  <w:marLeft w:val="0"/>
                  <w:marRight w:val="0"/>
                  <w:marTop w:val="0"/>
                  <w:marBottom w:val="0"/>
                  <w:divBdr>
                    <w:top w:val="none" w:sz="0" w:space="0" w:color="auto"/>
                    <w:left w:val="none" w:sz="0" w:space="0" w:color="auto"/>
                    <w:bottom w:val="none" w:sz="0" w:space="0" w:color="auto"/>
                    <w:right w:val="none" w:sz="0" w:space="0" w:color="auto"/>
                  </w:divBdr>
                  <w:divsChild>
                    <w:div w:id="2142377938">
                      <w:marLeft w:val="0"/>
                      <w:marRight w:val="0"/>
                      <w:marTop w:val="0"/>
                      <w:marBottom w:val="0"/>
                      <w:divBdr>
                        <w:top w:val="none" w:sz="0" w:space="0" w:color="auto"/>
                        <w:left w:val="none" w:sz="0" w:space="0" w:color="auto"/>
                        <w:bottom w:val="none" w:sz="0" w:space="0" w:color="auto"/>
                        <w:right w:val="none" w:sz="0" w:space="0" w:color="auto"/>
                      </w:divBdr>
                    </w:div>
                  </w:divsChild>
                </w:div>
                <w:div w:id="1836874337">
                  <w:marLeft w:val="0"/>
                  <w:marRight w:val="0"/>
                  <w:marTop w:val="0"/>
                  <w:marBottom w:val="0"/>
                  <w:divBdr>
                    <w:top w:val="none" w:sz="0" w:space="0" w:color="auto"/>
                    <w:left w:val="none" w:sz="0" w:space="0" w:color="auto"/>
                    <w:bottom w:val="none" w:sz="0" w:space="0" w:color="auto"/>
                    <w:right w:val="none" w:sz="0" w:space="0" w:color="auto"/>
                  </w:divBdr>
                  <w:divsChild>
                    <w:div w:id="1353415858">
                      <w:marLeft w:val="0"/>
                      <w:marRight w:val="0"/>
                      <w:marTop w:val="0"/>
                      <w:marBottom w:val="0"/>
                      <w:divBdr>
                        <w:top w:val="none" w:sz="0" w:space="0" w:color="auto"/>
                        <w:left w:val="none" w:sz="0" w:space="0" w:color="auto"/>
                        <w:bottom w:val="none" w:sz="0" w:space="0" w:color="auto"/>
                        <w:right w:val="none" w:sz="0" w:space="0" w:color="auto"/>
                      </w:divBdr>
                    </w:div>
                  </w:divsChild>
                </w:div>
                <w:div w:id="1853954642">
                  <w:marLeft w:val="0"/>
                  <w:marRight w:val="0"/>
                  <w:marTop w:val="0"/>
                  <w:marBottom w:val="0"/>
                  <w:divBdr>
                    <w:top w:val="none" w:sz="0" w:space="0" w:color="auto"/>
                    <w:left w:val="none" w:sz="0" w:space="0" w:color="auto"/>
                    <w:bottom w:val="none" w:sz="0" w:space="0" w:color="auto"/>
                    <w:right w:val="none" w:sz="0" w:space="0" w:color="auto"/>
                  </w:divBdr>
                  <w:divsChild>
                    <w:div w:id="391736504">
                      <w:marLeft w:val="0"/>
                      <w:marRight w:val="0"/>
                      <w:marTop w:val="0"/>
                      <w:marBottom w:val="0"/>
                      <w:divBdr>
                        <w:top w:val="none" w:sz="0" w:space="0" w:color="auto"/>
                        <w:left w:val="none" w:sz="0" w:space="0" w:color="auto"/>
                        <w:bottom w:val="none" w:sz="0" w:space="0" w:color="auto"/>
                        <w:right w:val="none" w:sz="0" w:space="0" w:color="auto"/>
                      </w:divBdr>
                    </w:div>
                  </w:divsChild>
                </w:div>
                <w:div w:id="1875383536">
                  <w:marLeft w:val="0"/>
                  <w:marRight w:val="0"/>
                  <w:marTop w:val="0"/>
                  <w:marBottom w:val="0"/>
                  <w:divBdr>
                    <w:top w:val="none" w:sz="0" w:space="0" w:color="auto"/>
                    <w:left w:val="none" w:sz="0" w:space="0" w:color="auto"/>
                    <w:bottom w:val="none" w:sz="0" w:space="0" w:color="auto"/>
                    <w:right w:val="none" w:sz="0" w:space="0" w:color="auto"/>
                  </w:divBdr>
                  <w:divsChild>
                    <w:div w:id="456293508">
                      <w:marLeft w:val="0"/>
                      <w:marRight w:val="0"/>
                      <w:marTop w:val="0"/>
                      <w:marBottom w:val="0"/>
                      <w:divBdr>
                        <w:top w:val="none" w:sz="0" w:space="0" w:color="auto"/>
                        <w:left w:val="none" w:sz="0" w:space="0" w:color="auto"/>
                        <w:bottom w:val="none" w:sz="0" w:space="0" w:color="auto"/>
                        <w:right w:val="none" w:sz="0" w:space="0" w:color="auto"/>
                      </w:divBdr>
                    </w:div>
                  </w:divsChild>
                </w:div>
                <w:div w:id="1877697217">
                  <w:marLeft w:val="0"/>
                  <w:marRight w:val="0"/>
                  <w:marTop w:val="0"/>
                  <w:marBottom w:val="0"/>
                  <w:divBdr>
                    <w:top w:val="none" w:sz="0" w:space="0" w:color="auto"/>
                    <w:left w:val="none" w:sz="0" w:space="0" w:color="auto"/>
                    <w:bottom w:val="none" w:sz="0" w:space="0" w:color="auto"/>
                    <w:right w:val="none" w:sz="0" w:space="0" w:color="auto"/>
                  </w:divBdr>
                  <w:divsChild>
                    <w:div w:id="933316839">
                      <w:marLeft w:val="0"/>
                      <w:marRight w:val="0"/>
                      <w:marTop w:val="0"/>
                      <w:marBottom w:val="0"/>
                      <w:divBdr>
                        <w:top w:val="none" w:sz="0" w:space="0" w:color="auto"/>
                        <w:left w:val="none" w:sz="0" w:space="0" w:color="auto"/>
                        <w:bottom w:val="none" w:sz="0" w:space="0" w:color="auto"/>
                        <w:right w:val="none" w:sz="0" w:space="0" w:color="auto"/>
                      </w:divBdr>
                    </w:div>
                  </w:divsChild>
                </w:div>
                <w:div w:id="1879514078">
                  <w:marLeft w:val="0"/>
                  <w:marRight w:val="0"/>
                  <w:marTop w:val="0"/>
                  <w:marBottom w:val="0"/>
                  <w:divBdr>
                    <w:top w:val="none" w:sz="0" w:space="0" w:color="auto"/>
                    <w:left w:val="none" w:sz="0" w:space="0" w:color="auto"/>
                    <w:bottom w:val="none" w:sz="0" w:space="0" w:color="auto"/>
                    <w:right w:val="none" w:sz="0" w:space="0" w:color="auto"/>
                  </w:divBdr>
                  <w:divsChild>
                    <w:div w:id="478151546">
                      <w:marLeft w:val="0"/>
                      <w:marRight w:val="0"/>
                      <w:marTop w:val="0"/>
                      <w:marBottom w:val="0"/>
                      <w:divBdr>
                        <w:top w:val="none" w:sz="0" w:space="0" w:color="auto"/>
                        <w:left w:val="none" w:sz="0" w:space="0" w:color="auto"/>
                        <w:bottom w:val="none" w:sz="0" w:space="0" w:color="auto"/>
                        <w:right w:val="none" w:sz="0" w:space="0" w:color="auto"/>
                      </w:divBdr>
                    </w:div>
                  </w:divsChild>
                </w:div>
                <w:div w:id="1883512306">
                  <w:marLeft w:val="0"/>
                  <w:marRight w:val="0"/>
                  <w:marTop w:val="0"/>
                  <w:marBottom w:val="0"/>
                  <w:divBdr>
                    <w:top w:val="none" w:sz="0" w:space="0" w:color="auto"/>
                    <w:left w:val="none" w:sz="0" w:space="0" w:color="auto"/>
                    <w:bottom w:val="none" w:sz="0" w:space="0" w:color="auto"/>
                    <w:right w:val="none" w:sz="0" w:space="0" w:color="auto"/>
                  </w:divBdr>
                  <w:divsChild>
                    <w:div w:id="1811440336">
                      <w:marLeft w:val="0"/>
                      <w:marRight w:val="0"/>
                      <w:marTop w:val="0"/>
                      <w:marBottom w:val="0"/>
                      <w:divBdr>
                        <w:top w:val="none" w:sz="0" w:space="0" w:color="auto"/>
                        <w:left w:val="none" w:sz="0" w:space="0" w:color="auto"/>
                        <w:bottom w:val="none" w:sz="0" w:space="0" w:color="auto"/>
                        <w:right w:val="none" w:sz="0" w:space="0" w:color="auto"/>
                      </w:divBdr>
                    </w:div>
                  </w:divsChild>
                </w:div>
                <w:div w:id="1886720965">
                  <w:marLeft w:val="0"/>
                  <w:marRight w:val="0"/>
                  <w:marTop w:val="0"/>
                  <w:marBottom w:val="0"/>
                  <w:divBdr>
                    <w:top w:val="none" w:sz="0" w:space="0" w:color="auto"/>
                    <w:left w:val="none" w:sz="0" w:space="0" w:color="auto"/>
                    <w:bottom w:val="none" w:sz="0" w:space="0" w:color="auto"/>
                    <w:right w:val="none" w:sz="0" w:space="0" w:color="auto"/>
                  </w:divBdr>
                  <w:divsChild>
                    <w:div w:id="472140645">
                      <w:marLeft w:val="0"/>
                      <w:marRight w:val="0"/>
                      <w:marTop w:val="0"/>
                      <w:marBottom w:val="0"/>
                      <w:divBdr>
                        <w:top w:val="none" w:sz="0" w:space="0" w:color="auto"/>
                        <w:left w:val="none" w:sz="0" w:space="0" w:color="auto"/>
                        <w:bottom w:val="none" w:sz="0" w:space="0" w:color="auto"/>
                        <w:right w:val="none" w:sz="0" w:space="0" w:color="auto"/>
                      </w:divBdr>
                    </w:div>
                  </w:divsChild>
                </w:div>
                <w:div w:id="1887835926">
                  <w:marLeft w:val="0"/>
                  <w:marRight w:val="0"/>
                  <w:marTop w:val="0"/>
                  <w:marBottom w:val="0"/>
                  <w:divBdr>
                    <w:top w:val="none" w:sz="0" w:space="0" w:color="auto"/>
                    <w:left w:val="none" w:sz="0" w:space="0" w:color="auto"/>
                    <w:bottom w:val="none" w:sz="0" w:space="0" w:color="auto"/>
                    <w:right w:val="none" w:sz="0" w:space="0" w:color="auto"/>
                  </w:divBdr>
                  <w:divsChild>
                    <w:div w:id="13655553">
                      <w:marLeft w:val="0"/>
                      <w:marRight w:val="0"/>
                      <w:marTop w:val="0"/>
                      <w:marBottom w:val="0"/>
                      <w:divBdr>
                        <w:top w:val="none" w:sz="0" w:space="0" w:color="auto"/>
                        <w:left w:val="none" w:sz="0" w:space="0" w:color="auto"/>
                        <w:bottom w:val="none" w:sz="0" w:space="0" w:color="auto"/>
                        <w:right w:val="none" w:sz="0" w:space="0" w:color="auto"/>
                      </w:divBdr>
                    </w:div>
                  </w:divsChild>
                </w:div>
                <w:div w:id="1895045586">
                  <w:marLeft w:val="0"/>
                  <w:marRight w:val="0"/>
                  <w:marTop w:val="0"/>
                  <w:marBottom w:val="0"/>
                  <w:divBdr>
                    <w:top w:val="none" w:sz="0" w:space="0" w:color="auto"/>
                    <w:left w:val="none" w:sz="0" w:space="0" w:color="auto"/>
                    <w:bottom w:val="none" w:sz="0" w:space="0" w:color="auto"/>
                    <w:right w:val="none" w:sz="0" w:space="0" w:color="auto"/>
                  </w:divBdr>
                  <w:divsChild>
                    <w:div w:id="1738433729">
                      <w:marLeft w:val="0"/>
                      <w:marRight w:val="0"/>
                      <w:marTop w:val="0"/>
                      <w:marBottom w:val="0"/>
                      <w:divBdr>
                        <w:top w:val="none" w:sz="0" w:space="0" w:color="auto"/>
                        <w:left w:val="none" w:sz="0" w:space="0" w:color="auto"/>
                        <w:bottom w:val="none" w:sz="0" w:space="0" w:color="auto"/>
                        <w:right w:val="none" w:sz="0" w:space="0" w:color="auto"/>
                      </w:divBdr>
                    </w:div>
                  </w:divsChild>
                </w:div>
                <w:div w:id="1897543977">
                  <w:marLeft w:val="0"/>
                  <w:marRight w:val="0"/>
                  <w:marTop w:val="0"/>
                  <w:marBottom w:val="0"/>
                  <w:divBdr>
                    <w:top w:val="none" w:sz="0" w:space="0" w:color="auto"/>
                    <w:left w:val="none" w:sz="0" w:space="0" w:color="auto"/>
                    <w:bottom w:val="none" w:sz="0" w:space="0" w:color="auto"/>
                    <w:right w:val="none" w:sz="0" w:space="0" w:color="auto"/>
                  </w:divBdr>
                  <w:divsChild>
                    <w:div w:id="1097826189">
                      <w:marLeft w:val="0"/>
                      <w:marRight w:val="0"/>
                      <w:marTop w:val="0"/>
                      <w:marBottom w:val="0"/>
                      <w:divBdr>
                        <w:top w:val="none" w:sz="0" w:space="0" w:color="auto"/>
                        <w:left w:val="none" w:sz="0" w:space="0" w:color="auto"/>
                        <w:bottom w:val="none" w:sz="0" w:space="0" w:color="auto"/>
                        <w:right w:val="none" w:sz="0" w:space="0" w:color="auto"/>
                      </w:divBdr>
                    </w:div>
                  </w:divsChild>
                </w:div>
                <w:div w:id="1902325926">
                  <w:marLeft w:val="0"/>
                  <w:marRight w:val="0"/>
                  <w:marTop w:val="0"/>
                  <w:marBottom w:val="0"/>
                  <w:divBdr>
                    <w:top w:val="none" w:sz="0" w:space="0" w:color="auto"/>
                    <w:left w:val="none" w:sz="0" w:space="0" w:color="auto"/>
                    <w:bottom w:val="none" w:sz="0" w:space="0" w:color="auto"/>
                    <w:right w:val="none" w:sz="0" w:space="0" w:color="auto"/>
                  </w:divBdr>
                  <w:divsChild>
                    <w:div w:id="1960410227">
                      <w:marLeft w:val="0"/>
                      <w:marRight w:val="0"/>
                      <w:marTop w:val="0"/>
                      <w:marBottom w:val="0"/>
                      <w:divBdr>
                        <w:top w:val="none" w:sz="0" w:space="0" w:color="auto"/>
                        <w:left w:val="none" w:sz="0" w:space="0" w:color="auto"/>
                        <w:bottom w:val="none" w:sz="0" w:space="0" w:color="auto"/>
                        <w:right w:val="none" w:sz="0" w:space="0" w:color="auto"/>
                      </w:divBdr>
                    </w:div>
                  </w:divsChild>
                </w:div>
                <w:div w:id="1918441236">
                  <w:marLeft w:val="0"/>
                  <w:marRight w:val="0"/>
                  <w:marTop w:val="0"/>
                  <w:marBottom w:val="0"/>
                  <w:divBdr>
                    <w:top w:val="none" w:sz="0" w:space="0" w:color="auto"/>
                    <w:left w:val="none" w:sz="0" w:space="0" w:color="auto"/>
                    <w:bottom w:val="none" w:sz="0" w:space="0" w:color="auto"/>
                    <w:right w:val="none" w:sz="0" w:space="0" w:color="auto"/>
                  </w:divBdr>
                  <w:divsChild>
                    <w:div w:id="240650720">
                      <w:marLeft w:val="0"/>
                      <w:marRight w:val="0"/>
                      <w:marTop w:val="0"/>
                      <w:marBottom w:val="0"/>
                      <w:divBdr>
                        <w:top w:val="none" w:sz="0" w:space="0" w:color="auto"/>
                        <w:left w:val="none" w:sz="0" w:space="0" w:color="auto"/>
                        <w:bottom w:val="none" w:sz="0" w:space="0" w:color="auto"/>
                        <w:right w:val="none" w:sz="0" w:space="0" w:color="auto"/>
                      </w:divBdr>
                    </w:div>
                  </w:divsChild>
                </w:div>
                <w:div w:id="1927882019">
                  <w:marLeft w:val="0"/>
                  <w:marRight w:val="0"/>
                  <w:marTop w:val="0"/>
                  <w:marBottom w:val="0"/>
                  <w:divBdr>
                    <w:top w:val="none" w:sz="0" w:space="0" w:color="auto"/>
                    <w:left w:val="none" w:sz="0" w:space="0" w:color="auto"/>
                    <w:bottom w:val="none" w:sz="0" w:space="0" w:color="auto"/>
                    <w:right w:val="none" w:sz="0" w:space="0" w:color="auto"/>
                  </w:divBdr>
                  <w:divsChild>
                    <w:div w:id="518155044">
                      <w:marLeft w:val="0"/>
                      <w:marRight w:val="0"/>
                      <w:marTop w:val="0"/>
                      <w:marBottom w:val="0"/>
                      <w:divBdr>
                        <w:top w:val="none" w:sz="0" w:space="0" w:color="auto"/>
                        <w:left w:val="none" w:sz="0" w:space="0" w:color="auto"/>
                        <w:bottom w:val="none" w:sz="0" w:space="0" w:color="auto"/>
                        <w:right w:val="none" w:sz="0" w:space="0" w:color="auto"/>
                      </w:divBdr>
                    </w:div>
                  </w:divsChild>
                </w:div>
                <w:div w:id="1936278491">
                  <w:marLeft w:val="0"/>
                  <w:marRight w:val="0"/>
                  <w:marTop w:val="0"/>
                  <w:marBottom w:val="0"/>
                  <w:divBdr>
                    <w:top w:val="none" w:sz="0" w:space="0" w:color="auto"/>
                    <w:left w:val="none" w:sz="0" w:space="0" w:color="auto"/>
                    <w:bottom w:val="none" w:sz="0" w:space="0" w:color="auto"/>
                    <w:right w:val="none" w:sz="0" w:space="0" w:color="auto"/>
                  </w:divBdr>
                  <w:divsChild>
                    <w:div w:id="176772899">
                      <w:marLeft w:val="0"/>
                      <w:marRight w:val="0"/>
                      <w:marTop w:val="0"/>
                      <w:marBottom w:val="0"/>
                      <w:divBdr>
                        <w:top w:val="none" w:sz="0" w:space="0" w:color="auto"/>
                        <w:left w:val="none" w:sz="0" w:space="0" w:color="auto"/>
                        <w:bottom w:val="none" w:sz="0" w:space="0" w:color="auto"/>
                        <w:right w:val="none" w:sz="0" w:space="0" w:color="auto"/>
                      </w:divBdr>
                    </w:div>
                  </w:divsChild>
                </w:div>
                <w:div w:id="1939822866">
                  <w:marLeft w:val="0"/>
                  <w:marRight w:val="0"/>
                  <w:marTop w:val="0"/>
                  <w:marBottom w:val="0"/>
                  <w:divBdr>
                    <w:top w:val="none" w:sz="0" w:space="0" w:color="auto"/>
                    <w:left w:val="none" w:sz="0" w:space="0" w:color="auto"/>
                    <w:bottom w:val="none" w:sz="0" w:space="0" w:color="auto"/>
                    <w:right w:val="none" w:sz="0" w:space="0" w:color="auto"/>
                  </w:divBdr>
                  <w:divsChild>
                    <w:div w:id="2040662149">
                      <w:marLeft w:val="0"/>
                      <w:marRight w:val="0"/>
                      <w:marTop w:val="0"/>
                      <w:marBottom w:val="0"/>
                      <w:divBdr>
                        <w:top w:val="none" w:sz="0" w:space="0" w:color="auto"/>
                        <w:left w:val="none" w:sz="0" w:space="0" w:color="auto"/>
                        <w:bottom w:val="none" w:sz="0" w:space="0" w:color="auto"/>
                        <w:right w:val="none" w:sz="0" w:space="0" w:color="auto"/>
                      </w:divBdr>
                    </w:div>
                  </w:divsChild>
                </w:div>
                <w:div w:id="1946617592">
                  <w:marLeft w:val="0"/>
                  <w:marRight w:val="0"/>
                  <w:marTop w:val="0"/>
                  <w:marBottom w:val="0"/>
                  <w:divBdr>
                    <w:top w:val="none" w:sz="0" w:space="0" w:color="auto"/>
                    <w:left w:val="none" w:sz="0" w:space="0" w:color="auto"/>
                    <w:bottom w:val="none" w:sz="0" w:space="0" w:color="auto"/>
                    <w:right w:val="none" w:sz="0" w:space="0" w:color="auto"/>
                  </w:divBdr>
                  <w:divsChild>
                    <w:div w:id="56325928">
                      <w:marLeft w:val="0"/>
                      <w:marRight w:val="0"/>
                      <w:marTop w:val="0"/>
                      <w:marBottom w:val="0"/>
                      <w:divBdr>
                        <w:top w:val="none" w:sz="0" w:space="0" w:color="auto"/>
                        <w:left w:val="none" w:sz="0" w:space="0" w:color="auto"/>
                        <w:bottom w:val="none" w:sz="0" w:space="0" w:color="auto"/>
                        <w:right w:val="none" w:sz="0" w:space="0" w:color="auto"/>
                      </w:divBdr>
                    </w:div>
                  </w:divsChild>
                </w:div>
                <w:div w:id="1950236495">
                  <w:marLeft w:val="0"/>
                  <w:marRight w:val="0"/>
                  <w:marTop w:val="0"/>
                  <w:marBottom w:val="0"/>
                  <w:divBdr>
                    <w:top w:val="none" w:sz="0" w:space="0" w:color="auto"/>
                    <w:left w:val="none" w:sz="0" w:space="0" w:color="auto"/>
                    <w:bottom w:val="none" w:sz="0" w:space="0" w:color="auto"/>
                    <w:right w:val="none" w:sz="0" w:space="0" w:color="auto"/>
                  </w:divBdr>
                  <w:divsChild>
                    <w:div w:id="568881992">
                      <w:marLeft w:val="0"/>
                      <w:marRight w:val="0"/>
                      <w:marTop w:val="0"/>
                      <w:marBottom w:val="0"/>
                      <w:divBdr>
                        <w:top w:val="none" w:sz="0" w:space="0" w:color="auto"/>
                        <w:left w:val="none" w:sz="0" w:space="0" w:color="auto"/>
                        <w:bottom w:val="none" w:sz="0" w:space="0" w:color="auto"/>
                        <w:right w:val="none" w:sz="0" w:space="0" w:color="auto"/>
                      </w:divBdr>
                    </w:div>
                    <w:div w:id="719550352">
                      <w:marLeft w:val="0"/>
                      <w:marRight w:val="0"/>
                      <w:marTop w:val="0"/>
                      <w:marBottom w:val="0"/>
                      <w:divBdr>
                        <w:top w:val="none" w:sz="0" w:space="0" w:color="auto"/>
                        <w:left w:val="none" w:sz="0" w:space="0" w:color="auto"/>
                        <w:bottom w:val="none" w:sz="0" w:space="0" w:color="auto"/>
                        <w:right w:val="none" w:sz="0" w:space="0" w:color="auto"/>
                      </w:divBdr>
                    </w:div>
                  </w:divsChild>
                </w:div>
                <w:div w:id="1966304621">
                  <w:marLeft w:val="0"/>
                  <w:marRight w:val="0"/>
                  <w:marTop w:val="0"/>
                  <w:marBottom w:val="0"/>
                  <w:divBdr>
                    <w:top w:val="none" w:sz="0" w:space="0" w:color="auto"/>
                    <w:left w:val="none" w:sz="0" w:space="0" w:color="auto"/>
                    <w:bottom w:val="none" w:sz="0" w:space="0" w:color="auto"/>
                    <w:right w:val="none" w:sz="0" w:space="0" w:color="auto"/>
                  </w:divBdr>
                  <w:divsChild>
                    <w:div w:id="125201619">
                      <w:marLeft w:val="0"/>
                      <w:marRight w:val="0"/>
                      <w:marTop w:val="0"/>
                      <w:marBottom w:val="0"/>
                      <w:divBdr>
                        <w:top w:val="none" w:sz="0" w:space="0" w:color="auto"/>
                        <w:left w:val="none" w:sz="0" w:space="0" w:color="auto"/>
                        <w:bottom w:val="none" w:sz="0" w:space="0" w:color="auto"/>
                        <w:right w:val="none" w:sz="0" w:space="0" w:color="auto"/>
                      </w:divBdr>
                    </w:div>
                  </w:divsChild>
                </w:div>
                <w:div w:id="1968586471">
                  <w:marLeft w:val="0"/>
                  <w:marRight w:val="0"/>
                  <w:marTop w:val="0"/>
                  <w:marBottom w:val="0"/>
                  <w:divBdr>
                    <w:top w:val="none" w:sz="0" w:space="0" w:color="auto"/>
                    <w:left w:val="none" w:sz="0" w:space="0" w:color="auto"/>
                    <w:bottom w:val="none" w:sz="0" w:space="0" w:color="auto"/>
                    <w:right w:val="none" w:sz="0" w:space="0" w:color="auto"/>
                  </w:divBdr>
                  <w:divsChild>
                    <w:div w:id="1528567055">
                      <w:marLeft w:val="0"/>
                      <w:marRight w:val="0"/>
                      <w:marTop w:val="0"/>
                      <w:marBottom w:val="0"/>
                      <w:divBdr>
                        <w:top w:val="none" w:sz="0" w:space="0" w:color="auto"/>
                        <w:left w:val="none" w:sz="0" w:space="0" w:color="auto"/>
                        <w:bottom w:val="none" w:sz="0" w:space="0" w:color="auto"/>
                        <w:right w:val="none" w:sz="0" w:space="0" w:color="auto"/>
                      </w:divBdr>
                    </w:div>
                  </w:divsChild>
                </w:div>
                <w:div w:id="1971742030">
                  <w:marLeft w:val="0"/>
                  <w:marRight w:val="0"/>
                  <w:marTop w:val="0"/>
                  <w:marBottom w:val="0"/>
                  <w:divBdr>
                    <w:top w:val="none" w:sz="0" w:space="0" w:color="auto"/>
                    <w:left w:val="none" w:sz="0" w:space="0" w:color="auto"/>
                    <w:bottom w:val="none" w:sz="0" w:space="0" w:color="auto"/>
                    <w:right w:val="none" w:sz="0" w:space="0" w:color="auto"/>
                  </w:divBdr>
                  <w:divsChild>
                    <w:div w:id="1650285057">
                      <w:marLeft w:val="0"/>
                      <w:marRight w:val="0"/>
                      <w:marTop w:val="0"/>
                      <w:marBottom w:val="0"/>
                      <w:divBdr>
                        <w:top w:val="none" w:sz="0" w:space="0" w:color="auto"/>
                        <w:left w:val="none" w:sz="0" w:space="0" w:color="auto"/>
                        <w:bottom w:val="none" w:sz="0" w:space="0" w:color="auto"/>
                        <w:right w:val="none" w:sz="0" w:space="0" w:color="auto"/>
                      </w:divBdr>
                    </w:div>
                  </w:divsChild>
                </w:div>
                <w:div w:id="1975719732">
                  <w:marLeft w:val="0"/>
                  <w:marRight w:val="0"/>
                  <w:marTop w:val="0"/>
                  <w:marBottom w:val="0"/>
                  <w:divBdr>
                    <w:top w:val="none" w:sz="0" w:space="0" w:color="auto"/>
                    <w:left w:val="none" w:sz="0" w:space="0" w:color="auto"/>
                    <w:bottom w:val="none" w:sz="0" w:space="0" w:color="auto"/>
                    <w:right w:val="none" w:sz="0" w:space="0" w:color="auto"/>
                  </w:divBdr>
                  <w:divsChild>
                    <w:div w:id="1105999832">
                      <w:marLeft w:val="0"/>
                      <w:marRight w:val="0"/>
                      <w:marTop w:val="0"/>
                      <w:marBottom w:val="0"/>
                      <w:divBdr>
                        <w:top w:val="none" w:sz="0" w:space="0" w:color="auto"/>
                        <w:left w:val="none" w:sz="0" w:space="0" w:color="auto"/>
                        <w:bottom w:val="none" w:sz="0" w:space="0" w:color="auto"/>
                        <w:right w:val="none" w:sz="0" w:space="0" w:color="auto"/>
                      </w:divBdr>
                    </w:div>
                  </w:divsChild>
                </w:div>
                <w:div w:id="1984113229">
                  <w:marLeft w:val="0"/>
                  <w:marRight w:val="0"/>
                  <w:marTop w:val="0"/>
                  <w:marBottom w:val="0"/>
                  <w:divBdr>
                    <w:top w:val="none" w:sz="0" w:space="0" w:color="auto"/>
                    <w:left w:val="none" w:sz="0" w:space="0" w:color="auto"/>
                    <w:bottom w:val="none" w:sz="0" w:space="0" w:color="auto"/>
                    <w:right w:val="none" w:sz="0" w:space="0" w:color="auto"/>
                  </w:divBdr>
                  <w:divsChild>
                    <w:div w:id="1212107541">
                      <w:marLeft w:val="0"/>
                      <w:marRight w:val="0"/>
                      <w:marTop w:val="0"/>
                      <w:marBottom w:val="0"/>
                      <w:divBdr>
                        <w:top w:val="none" w:sz="0" w:space="0" w:color="auto"/>
                        <w:left w:val="none" w:sz="0" w:space="0" w:color="auto"/>
                        <w:bottom w:val="none" w:sz="0" w:space="0" w:color="auto"/>
                        <w:right w:val="none" w:sz="0" w:space="0" w:color="auto"/>
                      </w:divBdr>
                    </w:div>
                  </w:divsChild>
                </w:div>
                <w:div w:id="1985423554">
                  <w:marLeft w:val="0"/>
                  <w:marRight w:val="0"/>
                  <w:marTop w:val="0"/>
                  <w:marBottom w:val="0"/>
                  <w:divBdr>
                    <w:top w:val="none" w:sz="0" w:space="0" w:color="auto"/>
                    <w:left w:val="none" w:sz="0" w:space="0" w:color="auto"/>
                    <w:bottom w:val="none" w:sz="0" w:space="0" w:color="auto"/>
                    <w:right w:val="none" w:sz="0" w:space="0" w:color="auto"/>
                  </w:divBdr>
                  <w:divsChild>
                    <w:div w:id="1198662661">
                      <w:marLeft w:val="0"/>
                      <w:marRight w:val="0"/>
                      <w:marTop w:val="0"/>
                      <w:marBottom w:val="0"/>
                      <w:divBdr>
                        <w:top w:val="none" w:sz="0" w:space="0" w:color="auto"/>
                        <w:left w:val="none" w:sz="0" w:space="0" w:color="auto"/>
                        <w:bottom w:val="none" w:sz="0" w:space="0" w:color="auto"/>
                        <w:right w:val="none" w:sz="0" w:space="0" w:color="auto"/>
                      </w:divBdr>
                    </w:div>
                  </w:divsChild>
                </w:div>
                <w:div w:id="1999382748">
                  <w:marLeft w:val="0"/>
                  <w:marRight w:val="0"/>
                  <w:marTop w:val="0"/>
                  <w:marBottom w:val="0"/>
                  <w:divBdr>
                    <w:top w:val="none" w:sz="0" w:space="0" w:color="auto"/>
                    <w:left w:val="none" w:sz="0" w:space="0" w:color="auto"/>
                    <w:bottom w:val="none" w:sz="0" w:space="0" w:color="auto"/>
                    <w:right w:val="none" w:sz="0" w:space="0" w:color="auto"/>
                  </w:divBdr>
                  <w:divsChild>
                    <w:div w:id="228226643">
                      <w:marLeft w:val="0"/>
                      <w:marRight w:val="0"/>
                      <w:marTop w:val="0"/>
                      <w:marBottom w:val="0"/>
                      <w:divBdr>
                        <w:top w:val="none" w:sz="0" w:space="0" w:color="auto"/>
                        <w:left w:val="none" w:sz="0" w:space="0" w:color="auto"/>
                        <w:bottom w:val="none" w:sz="0" w:space="0" w:color="auto"/>
                        <w:right w:val="none" w:sz="0" w:space="0" w:color="auto"/>
                      </w:divBdr>
                    </w:div>
                  </w:divsChild>
                </w:div>
                <w:div w:id="2018383348">
                  <w:marLeft w:val="0"/>
                  <w:marRight w:val="0"/>
                  <w:marTop w:val="0"/>
                  <w:marBottom w:val="0"/>
                  <w:divBdr>
                    <w:top w:val="none" w:sz="0" w:space="0" w:color="auto"/>
                    <w:left w:val="none" w:sz="0" w:space="0" w:color="auto"/>
                    <w:bottom w:val="none" w:sz="0" w:space="0" w:color="auto"/>
                    <w:right w:val="none" w:sz="0" w:space="0" w:color="auto"/>
                  </w:divBdr>
                  <w:divsChild>
                    <w:div w:id="177503984">
                      <w:marLeft w:val="0"/>
                      <w:marRight w:val="0"/>
                      <w:marTop w:val="0"/>
                      <w:marBottom w:val="0"/>
                      <w:divBdr>
                        <w:top w:val="none" w:sz="0" w:space="0" w:color="auto"/>
                        <w:left w:val="none" w:sz="0" w:space="0" w:color="auto"/>
                        <w:bottom w:val="none" w:sz="0" w:space="0" w:color="auto"/>
                        <w:right w:val="none" w:sz="0" w:space="0" w:color="auto"/>
                      </w:divBdr>
                    </w:div>
                  </w:divsChild>
                </w:div>
                <w:div w:id="2019231845">
                  <w:marLeft w:val="0"/>
                  <w:marRight w:val="0"/>
                  <w:marTop w:val="0"/>
                  <w:marBottom w:val="0"/>
                  <w:divBdr>
                    <w:top w:val="none" w:sz="0" w:space="0" w:color="auto"/>
                    <w:left w:val="none" w:sz="0" w:space="0" w:color="auto"/>
                    <w:bottom w:val="none" w:sz="0" w:space="0" w:color="auto"/>
                    <w:right w:val="none" w:sz="0" w:space="0" w:color="auto"/>
                  </w:divBdr>
                  <w:divsChild>
                    <w:div w:id="1375542480">
                      <w:marLeft w:val="0"/>
                      <w:marRight w:val="0"/>
                      <w:marTop w:val="0"/>
                      <w:marBottom w:val="0"/>
                      <w:divBdr>
                        <w:top w:val="none" w:sz="0" w:space="0" w:color="auto"/>
                        <w:left w:val="none" w:sz="0" w:space="0" w:color="auto"/>
                        <w:bottom w:val="none" w:sz="0" w:space="0" w:color="auto"/>
                        <w:right w:val="none" w:sz="0" w:space="0" w:color="auto"/>
                      </w:divBdr>
                    </w:div>
                    <w:div w:id="2003459658">
                      <w:marLeft w:val="0"/>
                      <w:marRight w:val="0"/>
                      <w:marTop w:val="0"/>
                      <w:marBottom w:val="0"/>
                      <w:divBdr>
                        <w:top w:val="none" w:sz="0" w:space="0" w:color="auto"/>
                        <w:left w:val="none" w:sz="0" w:space="0" w:color="auto"/>
                        <w:bottom w:val="none" w:sz="0" w:space="0" w:color="auto"/>
                        <w:right w:val="none" w:sz="0" w:space="0" w:color="auto"/>
                      </w:divBdr>
                    </w:div>
                    <w:div w:id="2105880863">
                      <w:marLeft w:val="0"/>
                      <w:marRight w:val="0"/>
                      <w:marTop w:val="0"/>
                      <w:marBottom w:val="0"/>
                      <w:divBdr>
                        <w:top w:val="none" w:sz="0" w:space="0" w:color="auto"/>
                        <w:left w:val="none" w:sz="0" w:space="0" w:color="auto"/>
                        <w:bottom w:val="none" w:sz="0" w:space="0" w:color="auto"/>
                        <w:right w:val="none" w:sz="0" w:space="0" w:color="auto"/>
                      </w:divBdr>
                    </w:div>
                  </w:divsChild>
                </w:div>
                <w:div w:id="2022052265">
                  <w:marLeft w:val="0"/>
                  <w:marRight w:val="0"/>
                  <w:marTop w:val="0"/>
                  <w:marBottom w:val="0"/>
                  <w:divBdr>
                    <w:top w:val="none" w:sz="0" w:space="0" w:color="auto"/>
                    <w:left w:val="none" w:sz="0" w:space="0" w:color="auto"/>
                    <w:bottom w:val="none" w:sz="0" w:space="0" w:color="auto"/>
                    <w:right w:val="none" w:sz="0" w:space="0" w:color="auto"/>
                  </w:divBdr>
                  <w:divsChild>
                    <w:div w:id="1552232194">
                      <w:marLeft w:val="0"/>
                      <w:marRight w:val="0"/>
                      <w:marTop w:val="0"/>
                      <w:marBottom w:val="0"/>
                      <w:divBdr>
                        <w:top w:val="none" w:sz="0" w:space="0" w:color="auto"/>
                        <w:left w:val="none" w:sz="0" w:space="0" w:color="auto"/>
                        <w:bottom w:val="none" w:sz="0" w:space="0" w:color="auto"/>
                        <w:right w:val="none" w:sz="0" w:space="0" w:color="auto"/>
                      </w:divBdr>
                    </w:div>
                  </w:divsChild>
                </w:div>
                <w:div w:id="2024739606">
                  <w:marLeft w:val="0"/>
                  <w:marRight w:val="0"/>
                  <w:marTop w:val="0"/>
                  <w:marBottom w:val="0"/>
                  <w:divBdr>
                    <w:top w:val="none" w:sz="0" w:space="0" w:color="auto"/>
                    <w:left w:val="none" w:sz="0" w:space="0" w:color="auto"/>
                    <w:bottom w:val="none" w:sz="0" w:space="0" w:color="auto"/>
                    <w:right w:val="none" w:sz="0" w:space="0" w:color="auto"/>
                  </w:divBdr>
                  <w:divsChild>
                    <w:div w:id="1008361452">
                      <w:marLeft w:val="0"/>
                      <w:marRight w:val="0"/>
                      <w:marTop w:val="0"/>
                      <w:marBottom w:val="0"/>
                      <w:divBdr>
                        <w:top w:val="none" w:sz="0" w:space="0" w:color="auto"/>
                        <w:left w:val="none" w:sz="0" w:space="0" w:color="auto"/>
                        <w:bottom w:val="none" w:sz="0" w:space="0" w:color="auto"/>
                        <w:right w:val="none" w:sz="0" w:space="0" w:color="auto"/>
                      </w:divBdr>
                    </w:div>
                  </w:divsChild>
                </w:div>
                <w:div w:id="2026205877">
                  <w:marLeft w:val="0"/>
                  <w:marRight w:val="0"/>
                  <w:marTop w:val="0"/>
                  <w:marBottom w:val="0"/>
                  <w:divBdr>
                    <w:top w:val="none" w:sz="0" w:space="0" w:color="auto"/>
                    <w:left w:val="none" w:sz="0" w:space="0" w:color="auto"/>
                    <w:bottom w:val="none" w:sz="0" w:space="0" w:color="auto"/>
                    <w:right w:val="none" w:sz="0" w:space="0" w:color="auto"/>
                  </w:divBdr>
                  <w:divsChild>
                    <w:div w:id="1503084795">
                      <w:marLeft w:val="0"/>
                      <w:marRight w:val="0"/>
                      <w:marTop w:val="0"/>
                      <w:marBottom w:val="0"/>
                      <w:divBdr>
                        <w:top w:val="none" w:sz="0" w:space="0" w:color="auto"/>
                        <w:left w:val="none" w:sz="0" w:space="0" w:color="auto"/>
                        <w:bottom w:val="none" w:sz="0" w:space="0" w:color="auto"/>
                        <w:right w:val="none" w:sz="0" w:space="0" w:color="auto"/>
                      </w:divBdr>
                    </w:div>
                  </w:divsChild>
                </w:div>
                <w:div w:id="2027172777">
                  <w:marLeft w:val="0"/>
                  <w:marRight w:val="0"/>
                  <w:marTop w:val="0"/>
                  <w:marBottom w:val="0"/>
                  <w:divBdr>
                    <w:top w:val="none" w:sz="0" w:space="0" w:color="auto"/>
                    <w:left w:val="none" w:sz="0" w:space="0" w:color="auto"/>
                    <w:bottom w:val="none" w:sz="0" w:space="0" w:color="auto"/>
                    <w:right w:val="none" w:sz="0" w:space="0" w:color="auto"/>
                  </w:divBdr>
                  <w:divsChild>
                    <w:div w:id="713698240">
                      <w:marLeft w:val="0"/>
                      <w:marRight w:val="0"/>
                      <w:marTop w:val="0"/>
                      <w:marBottom w:val="0"/>
                      <w:divBdr>
                        <w:top w:val="none" w:sz="0" w:space="0" w:color="auto"/>
                        <w:left w:val="none" w:sz="0" w:space="0" w:color="auto"/>
                        <w:bottom w:val="none" w:sz="0" w:space="0" w:color="auto"/>
                        <w:right w:val="none" w:sz="0" w:space="0" w:color="auto"/>
                      </w:divBdr>
                    </w:div>
                  </w:divsChild>
                </w:div>
                <w:div w:id="2027946422">
                  <w:marLeft w:val="0"/>
                  <w:marRight w:val="0"/>
                  <w:marTop w:val="0"/>
                  <w:marBottom w:val="0"/>
                  <w:divBdr>
                    <w:top w:val="none" w:sz="0" w:space="0" w:color="auto"/>
                    <w:left w:val="none" w:sz="0" w:space="0" w:color="auto"/>
                    <w:bottom w:val="none" w:sz="0" w:space="0" w:color="auto"/>
                    <w:right w:val="none" w:sz="0" w:space="0" w:color="auto"/>
                  </w:divBdr>
                  <w:divsChild>
                    <w:div w:id="316615085">
                      <w:marLeft w:val="0"/>
                      <w:marRight w:val="0"/>
                      <w:marTop w:val="0"/>
                      <w:marBottom w:val="0"/>
                      <w:divBdr>
                        <w:top w:val="none" w:sz="0" w:space="0" w:color="auto"/>
                        <w:left w:val="none" w:sz="0" w:space="0" w:color="auto"/>
                        <w:bottom w:val="none" w:sz="0" w:space="0" w:color="auto"/>
                        <w:right w:val="none" w:sz="0" w:space="0" w:color="auto"/>
                      </w:divBdr>
                    </w:div>
                  </w:divsChild>
                </w:div>
                <w:div w:id="2033415476">
                  <w:marLeft w:val="0"/>
                  <w:marRight w:val="0"/>
                  <w:marTop w:val="0"/>
                  <w:marBottom w:val="0"/>
                  <w:divBdr>
                    <w:top w:val="none" w:sz="0" w:space="0" w:color="auto"/>
                    <w:left w:val="none" w:sz="0" w:space="0" w:color="auto"/>
                    <w:bottom w:val="none" w:sz="0" w:space="0" w:color="auto"/>
                    <w:right w:val="none" w:sz="0" w:space="0" w:color="auto"/>
                  </w:divBdr>
                  <w:divsChild>
                    <w:div w:id="1268122357">
                      <w:marLeft w:val="0"/>
                      <w:marRight w:val="0"/>
                      <w:marTop w:val="0"/>
                      <w:marBottom w:val="0"/>
                      <w:divBdr>
                        <w:top w:val="none" w:sz="0" w:space="0" w:color="auto"/>
                        <w:left w:val="none" w:sz="0" w:space="0" w:color="auto"/>
                        <w:bottom w:val="none" w:sz="0" w:space="0" w:color="auto"/>
                        <w:right w:val="none" w:sz="0" w:space="0" w:color="auto"/>
                      </w:divBdr>
                    </w:div>
                  </w:divsChild>
                </w:div>
                <w:div w:id="2042584588">
                  <w:marLeft w:val="0"/>
                  <w:marRight w:val="0"/>
                  <w:marTop w:val="0"/>
                  <w:marBottom w:val="0"/>
                  <w:divBdr>
                    <w:top w:val="none" w:sz="0" w:space="0" w:color="auto"/>
                    <w:left w:val="none" w:sz="0" w:space="0" w:color="auto"/>
                    <w:bottom w:val="none" w:sz="0" w:space="0" w:color="auto"/>
                    <w:right w:val="none" w:sz="0" w:space="0" w:color="auto"/>
                  </w:divBdr>
                  <w:divsChild>
                    <w:div w:id="174074753">
                      <w:marLeft w:val="0"/>
                      <w:marRight w:val="0"/>
                      <w:marTop w:val="0"/>
                      <w:marBottom w:val="0"/>
                      <w:divBdr>
                        <w:top w:val="none" w:sz="0" w:space="0" w:color="auto"/>
                        <w:left w:val="none" w:sz="0" w:space="0" w:color="auto"/>
                        <w:bottom w:val="none" w:sz="0" w:space="0" w:color="auto"/>
                        <w:right w:val="none" w:sz="0" w:space="0" w:color="auto"/>
                      </w:divBdr>
                    </w:div>
                  </w:divsChild>
                </w:div>
                <w:div w:id="2043363370">
                  <w:marLeft w:val="0"/>
                  <w:marRight w:val="0"/>
                  <w:marTop w:val="0"/>
                  <w:marBottom w:val="0"/>
                  <w:divBdr>
                    <w:top w:val="none" w:sz="0" w:space="0" w:color="auto"/>
                    <w:left w:val="none" w:sz="0" w:space="0" w:color="auto"/>
                    <w:bottom w:val="none" w:sz="0" w:space="0" w:color="auto"/>
                    <w:right w:val="none" w:sz="0" w:space="0" w:color="auto"/>
                  </w:divBdr>
                  <w:divsChild>
                    <w:div w:id="614600201">
                      <w:marLeft w:val="0"/>
                      <w:marRight w:val="0"/>
                      <w:marTop w:val="0"/>
                      <w:marBottom w:val="0"/>
                      <w:divBdr>
                        <w:top w:val="none" w:sz="0" w:space="0" w:color="auto"/>
                        <w:left w:val="none" w:sz="0" w:space="0" w:color="auto"/>
                        <w:bottom w:val="none" w:sz="0" w:space="0" w:color="auto"/>
                        <w:right w:val="none" w:sz="0" w:space="0" w:color="auto"/>
                      </w:divBdr>
                    </w:div>
                    <w:div w:id="615407969">
                      <w:marLeft w:val="0"/>
                      <w:marRight w:val="0"/>
                      <w:marTop w:val="0"/>
                      <w:marBottom w:val="0"/>
                      <w:divBdr>
                        <w:top w:val="none" w:sz="0" w:space="0" w:color="auto"/>
                        <w:left w:val="none" w:sz="0" w:space="0" w:color="auto"/>
                        <w:bottom w:val="none" w:sz="0" w:space="0" w:color="auto"/>
                        <w:right w:val="none" w:sz="0" w:space="0" w:color="auto"/>
                      </w:divBdr>
                    </w:div>
                    <w:div w:id="697388268">
                      <w:marLeft w:val="0"/>
                      <w:marRight w:val="0"/>
                      <w:marTop w:val="0"/>
                      <w:marBottom w:val="0"/>
                      <w:divBdr>
                        <w:top w:val="none" w:sz="0" w:space="0" w:color="auto"/>
                        <w:left w:val="none" w:sz="0" w:space="0" w:color="auto"/>
                        <w:bottom w:val="none" w:sz="0" w:space="0" w:color="auto"/>
                        <w:right w:val="none" w:sz="0" w:space="0" w:color="auto"/>
                      </w:divBdr>
                    </w:div>
                    <w:div w:id="898518502">
                      <w:marLeft w:val="0"/>
                      <w:marRight w:val="0"/>
                      <w:marTop w:val="0"/>
                      <w:marBottom w:val="0"/>
                      <w:divBdr>
                        <w:top w:val="none" w:sz="0" w:space="0" w:color="auto"/>
                        <w:left w:val="none" w:sz="0" w:space="0" w:color="auto"/>
                        <w:bottom w:val="none" w:sz="0" w:space="0" w:color="auto"/>
                        <w:right w:val="none" w:sz="0" w:space="0" w:color="auto"/>
                      </w:divBdr>
                    </w:div>
                    <w:div w:id="978461265">
                      <w:marLeft w:val="0"/>
                      <w:marRight w:val="0"/>
                      <w:marTop w:val="0"/>
                      <w:marBottom w:val="0"/>
                      <w:divBdr>
                        <w:top w:val="none" w:sz="0" w:space="0" w:color="auto"/>
                        <w:left w:val="none" w:sz="0" w:space="0" w:color="auto"/>
                        <w:bottom w:val="none" w:sz="0" w:space="0" w:color="auto"/>
                        <w:right w:val="none" w:sz="0" w:space="0" w:color="auto"/>
                      </w:divBdr>
                    </w:div>
                    <w:div w:id="1121612790">
                      <w:marLeft w:val="0"/>
                      <w:marRight w:val="0"/>
                      <w:marTop w:val="0"/>
                      <w:marBottom w:val="0"/>
                      <w:divBdr>
                        <w:top w:val="none" w:sz="0" w:space="0" w:color="auto"/>
                        <w:left w:val="none" w:sz="0" w:space="0" w:color="auto"/>
                        <w:bottom w:val="none" w:sz="0" w:space="0" w:color="auto"/>
                        <w:right w:val="none" w:sz="0" w:space="0" w:color="auto"/>
                      </w:divBdr>
                    </w:div>
                    <w:div w:id="1143160624">
                      <w:marLeft w:val="0"/>
                      <w:marRight w:val="0"/>
                      <w:marTop w:val="0"/>
                      <w:marBottom w:val="0"/>
                      <w:divBdr>
                        <w:top w:val="none" w:sz="0" w:space="0" w:color="auto"/>
                        <w:left w:val="none" w:sz="0" w:space="0" w:color="auto"/>
                        <w:bottom w:val="none" w:sz="0" w:space="0" w:color="auto"/>
                        <w:right w:val="none" w:sz="0" w:space="0" w:color="auto"/>
                      </w:divBdr>
                    </w:div>
                    <w:div w:id="1165315380">
                      <w:marLeft w:val="0"/>
                      <w:marRight w:val="0"/>
                      <w:marTop w:val="0"/>
                      <w:marBottom w:val="0"/>
                      <w:divBdr>
                        <w:top w:val="none" w:sz="0" w:space="0" w:color="auto"/>
                        <w:left w:val="none" w:sz="0" w:space="0" w:color="auto"/>
                        <w:bottom w:val="none" w:sz="0" w:space="0" w:color="auto"/>
                        <w:right w:val="none" w:sz="0" w:space="0" w:color="auto"/>
                      </w:divBdr>
                    </w:div>
                    <w:div w:id="1678775921">
                      <w:marLeft w:val="0"/>
                      <w:marRight w:val="0"/>
                      <w:marTop w:val="0"/>
                      <w:marBottom w:val="0"/>
                      <w:divBdr>
                        <w:top w:val="none" w:sz="0" w:space="0" w:color="auto"/>
                        <w:left w:val="none" w:sz="0" w:space="0" w:color="auto"/>
                        <w:bottom w:val="none" w:sz="0" w:space="0" w:color="auto"/>
                        <w:right w:val="none" w:sz="0" w:space="0" w:color="auto"/>
                      </w:divBdr>
                    </w:div>
                    <w:div w:id="2008089249">
                      <w:marLeft w:val="0"/>
                      <w:marRight w:val="0"/>
                      <w:marTop w:val="0"/>
                      <w:marBottom w:val="0"/>
                      <w:divBdr>
                        <w:top w:val="none" w:sz="0" w:space="0" w:color="auto"/>
                        <w:left w:val="none" w:sz="0" w:space="0" w:color="auto"/>
                        <w:bottom w:val="none" w:sz="0" w:space="0" w:color="auto"/>
                        <w:right w:val="none" w:sz="0" w:space="0" w:color="auto"/>
                      </w:divBdr>
                    </w:div>
                  </w:divsChild>
                </w:div>
                <w:div w:id="2044135865">
                  <w:marLeft w:val="0"/>
                  <w:marRight w:val="0"/>
                  <w:marTop w:val="0"/>
                  <w:marBottom w:val="0"/>
                  <w:divBdr>
                    <w:top w:val="none" w:sz="0" w:space="0" w:color="auto"/>
                    <w:left w:val="none" w:sz="0" w:space="0" w:color="auto"/>
                    <w:bottom w:val="none" w:sz="0" w:space="0" w:color="auto"/>
                    <w:right w:val="none" w:sz="0" w:space="0" w:color="auto"/>
                  </w:divBdr>
                  <w:divsChild>
                    <w:div w:id="1285039163">
                      <w:marLeft w:val="0"/>
                      <w:marRight w:val="0"/>
                      <w:marTop w:val="0"/>
                      <w:marBottom w:val="0"/>
                      <w:divBdr>
                        <w:top w:val="none" w:sz="0" w:space="0" w:color="auto"/>
                        <w:left w:val="none" w:sz="0" w:space="0" w:color="auto"/>
                        <w:bottom w:val="none" w:sz="0" w:space="0" w:color="auto"/>
                        <w:right w:val="none" w:sz="0" w:space="0" w:color="auto"/>
                      </w:divBdr>
                    </w:div>
                  </w:divsChild>
                </w:div>
                <w:div w:id="2050835075">
                  <w:marLeft w:val="0"/>
                  <w:marRight w:val="0"/>
                  <w:marTop w:val="0"/>
                  <w:marBottom w:val="0"/>
                  <w:divBdr>
                    <w:top w:val="none" w:sz="0" w:space="0" w:color="auto"/>
                    <w:left w:val="none" w:sz="0" w:space="0" w:color="auto"/>
                    <w:bottom w:val="none" w:sz="0" w:space="0" w:color="auto"/>
                    <w:right w:val="none" w:sz="0" w:space="0" w:color="auto"/>
                  </w:divBdr>
                  <w:divsChild>
                    <w:div w:id="634604799">
                      <w:marLeft w:val="0"/>
                      <w:marRight w:val="0"/>
                      <w:marTop w:val="0"/>
                      <w:marBottom w:val="0"/>
                      <w:divBdr>
                        <w:top w:val="none" w:sz="0" w:space="0" w:color="auto"/>
                        <w:left w:val="none" w:sz="0" w:space="0" w:color="auto"/>
                        <w:bottom w:val="none" w:sz="0" w:space="0" w:color="auto"/>
                        <w:right w:val="none" w:sz="0" w:space="0" w:color="auto"/>
                      </w:divBdr>
                    </w:div>
                  </w:divsChild>
                </w:div>
                <w:div w:id="2065984356">
                  <w:marLeft w:val="0"/>
                  <w:marRight w:val="0"/>
                  <w:marTop w:val="0"/>
                  <w:marBottom w:val="0"/>
                  <w:divBdr>
                    <w:top w:val="none" w:sz="0" w:space="0" w:color="auto"/>
                    <w:left w:val="none" w:sz="0" w:space="0" w:color="auto"/>
                    <w:bottom w:val="none" w:sz="0" w:space="0" w:color="auto"/>
                    <w:right w:val="none" w:sz="0" w:space="0" w:color="auto"/>
                  </w:divBdr>
                  <w:divsChild>
                    <w:div w:id="780808095">
                      <w:marLeft w:val="0"/>
                      <w:marRight w:val="0"/>
                      <w:marTop w:val="0"/>
                      <w:marBottom w:val="0"/>
                      <w:divBdr>
                        <w:top w:val="none" w:sz="0" w:space="0" w:color="auto"/>
                        <w:left w:val="none" w:sz="0" w:space="0" w:color="auto"/>
                        <w:bottom w:val="none" w:sz="0" w:space="0" w:color="auto"/>
                        <w:right w:val="none" w:sz="0" w:space="0" w:color="auto"/>
                      </w:divBdr>
                    </w:div>
                  </w:divsChild>
                </w:div>
                <w:div w:id="2070498823">
                  <w:marLeft w:val="0"/>
                  <w:marRight w:val="0"/>
                  <w:marTop w:val="0"/>
                  <w:marBottom w:val="0"/>
                  <w:divBdr>
                    <w:top w:val="none" w:sz="0" w:space="0" w:color="auto"/>
                    <w:left w:val="none" w:sz="0" w:space="0" w:color="auto"/>
                    <w:bottom w:val="none" w:sz="0" w:space="0" w:color="auto"/>
                    <w:right w:val="none" w:sz="0" w:space="0" w:color="auto"/>
                  </w:divBdr>
                  <w:divsChild>
                    <w:div w:id="1450126069">
                      <w:marLeft w:val="0"/>
                      <w:marRight w:val="0"/>
                      <w:marTop w:val="0"/>
                      <w:marBottom w:val="0"/>
                      <w:divBdr>
                        <w:top w:val="none" w:sz="0" w:space="0" w:color="auto"/>
                        <w:left w:val="none" w:sz="0" w:space="0" w:color="auto"/>
                        <w:bottom w:val="none" w:sz="0" w:space="0" w:color="auto"/>
                        <w:right w:val="none" w:sz="0" w:space="0" w:color="auto"/>
                      </w:divBdr>
                    </w:div>
                  </w:divsChild>
                </w:div>
                <w:div w:id="2072191407">
                  <w:marLeft w:val="0"/>
                  <w:marRight w:val="0"/>
                  <w:marTop w:val="0"/>
                  <w:marBottom w:val="0"/>
                  <w:divBdr>
                    <w:top w:val="none" w:sz="0" w:space="0" w:color="auto"/>
                    <w:left w:val="none" w:sz="0" w:space="0" w:color="auto"/>
                    <w:bottom w:val="none" w:sz="0" w:space="0" w:color="auto"/>
                    <w:right w:val="none" w:sz="0" w:space="0" w:color="auto"/>
                  </w:divBdr>
                  <w:divsChild>
                    <w:div w:id="1948805317">
                      <w:marLeft w:val="0"/>
                      <w:marRight w:val="0"/>
                      <w:marTop w:val="0"/>
                      <w:marBottom w:val="0"/>
                      <w:divBdr>
                        <w:top w:val="none" w:sz="0" w:space="0" w:color="auto"/>
                        <w:left w:val="none" w:sz="0" w:space="0" w:color="auto"/>
                        <w:bottom w:val="none" w:sz="0" w:space="0" w:color="auto"/>
                        <w:right w:val="none" w:sz="0" w:space="0" w:color="auto"/>
                      </w:divBdr>
                    </w:div>
                  </w:divsChild>
                </w:div>
                <w:div w:id="2077970455">
                  <w:marLeft w:val="0"/>
                  <w:marRight w:val="0"/>
                  <w:marTop w:val="0"/>
                  <w:marBottom w:val="0"/>
                  <w:divBdr>
                    <w:top w:val="none" w:sz="0" w:space="0" w:color="auto"/>
                    <w:left w:val="none" w:sz="0" w:space="0" w:color="auto"/>
                    <w:bottom w:val="none" w:sz="0" w:space="0" w:color="auto"/>
                    <w:right w:val="none" w:sz="0" w:space="0" w:color="auto"/>
                  </w:divBdr>
                  <w:divsChild>
                    <w:div w:id="337466060">
                      <w:marLeft w:val="0"/>
                      <w:marRight w:val="0"/>
                      <w:marTop w:val="0"/>
                      <w:marBottom w:val="0"/>
                      <w:divBdr>
                        <w:top w:val="none" w:sz="0" w:space="0" w:color="auto"/>
                        <w:left w:val="none" w:sz="0" w:space="0" w:color="auto"/>
                        <w:bottom w:val="none" w:sz="0" w:space="0" w:color="auto"/>
                        <w:right w:val="none" w:sz="0" w:space="0" w:color="auto"/>
                      </w:divBdr>
                    </w:div>
                  </w:divsChild>
                </w:div>
                <w:div w:id="2082634379">
                  <w:marLeft w:val="0"/>
                  <w:marRight w:val="0"/>
                  <w:marTop w:val="0"/>
                  <w:marBottom w:val="0"/>
                  <w:divBdr>
                    <w:top w:val="none" w:sz="0" w:space="0" w:color="auto"/>
                    <w:left w:val="none" w:sz="0" w:space="0" w:color="auto"/>
                    <w:bottom w:val="none" w:sz="0" w:space="0" w:color="auto"/>
                    <w:right w:val="none" w:sz="0" w:space="0" w:color="auto"/>
                  </w:divBdr>
                  <w:divsChild>
                    <w:div w:id="1861972066">
                      <w:marLeft w:val="0"/>
                      <w:marRight w:val="0"/>
                      <w:marTop w:val="0"/>
                      <w:marBottom w:val="0"/>
                      <w:divBdr>
                        <w:top w:val="none" w:sz="0" w:space="0" w:color="auto"/>
                        <w:left w:val="none" w:sz="0" w:space="0" w:color="auto"/>
                        <w:bottom w:val="none" w:sz="0" w:space="0" w:color="auto"/>
                        <w:right w:val="none" w:sz="0" w:space="0" w:color="auto"/>
                      </w:divBdr>
                    </w:div>
                  </w:divsChild>
                </w:div>
                <w:div w:id="2086412503">
                  <w:marLeft w:val="0"/>
                  <w:marRight w:val="0"/>
                  <w:marTop w:val="0"/>
                  <w:marBottom w:val="0"/>
                  <w:divBdr>
                    <w:top w:val="none" w:sz="0" w:space="0" w:color="auto"/>
                    <w:left w:val="none" w:sz="0" w:space="0" w:color="auto"/>
                    <w:bottom w:val="none" w:sz="0" w:space="0" w:color="auto"/>
                    <w:right w:val="none" w:sz="0" w:space="0" w:color="auto"/>
                  </w:divBdr>
                  <w:divsChild>
                    <w:div w:id="701513732">
                      <w:marLeft w:val="0"/>
                      <w:marRight w:val="0"/>
                      <w:marTop w:val="0"/>
                      <w:marBottom w:val="0"/>
                      <w:divBdr>
                        <w:top w:val="none" w:sz="0" w:space="0" w:color="auto"/>
                        <w:left w:val="none" w:sz="0" w:space="0" w:color="auto"/>
                        <w:bottom w:val="none" w:sz="0" w:space="0" w:color="auto"/>
                        <w:right w:val="none" w:sz="0" w:space="0" w:color="auto"/>
                      </w:divBdr>
                    </w:div>
                  </w:divsChild>
                </w:div>
                <w:div w:id="2094473534">
                  <w:marLeft w:val="0"/>
                  <w:marRight w:val="0"/>
                  <w:marTop w:val="0"/>
                  <w:marBottom w:val="0"/>
                  <w:divBdr>
                    <w:top w:val="none" w:sz="0" w:space="0" w:color="auto"/>
                    <w:left w:val="none" w:sz="0" w:space="0" w:color="auto"/>
                    <w:bottom w:val="none" w:sz="0" w:space="0" w:color="auto"/>
                    <w:right w:val="none" w:sz="0" w:space="0" w:color="auto"/>
                  </w:divBdr>
                  <w:divsChild>
                    <w:div w:id="1812097061">
                      <w:marLeft w:val="0"/>
                      <w:marRight w:val="0"/>
                      <w:marTop w:val="0"/>
                      <w:marBottom w:val="0"/>
                      <w:divBdr>
                        <w:top w:val="none" w:sz="0" w:space="0" w:color="auto"/>
                        <w:left w:val="none" w:sz="0" w:space="0" w:color="auto"/>
                        <w:bottom w:val="none" w:sz="0" w:space="0" w:color="auto"/>
                        <w:right w:val="none" w:sz="0" w:space="0" w:color="auto"/>
                      </w:divBdr>
                    </w:div>
                  </w:divsChild>
                </w:div>
                <w:div w:id="2096901224">
                  <w:marLeft w:val="0"/>
                  <w:marRight w:val="0"/>
                  <w:marTop w:val="0"/>
                  <w:marBottom w:val="0"/>
                  <w:divBdr>
                    <w:top w:val="none" w:sz="0" w:space="0" w:color="auto"/>
                    <w:left w:val="none" w:sz="0" w:space="0" w:color="auto"/>
                    <w:bottom w:val="none" w:sz="0" w:space="0" w:color="auto"/>
                    <w:right w:val="none" w:sz="0" w:space="0" w:color="auto"/>
                  </w:divBdr>
                  <w:divsChild>
                    <w:div w:id="2079089117">
                      <w:marLeft w:val="0"/>
                      <w:marRight w:val="0"/>
                      <w:marTop w:val="0"/>
                      <w:marBottom w:val="0"/>
                      <w:divBdr>
                        <w:top w:val="none" w:sz="0" w:space="0" w:color="auto"/>
                        <w:left w:val="none" w:sz="0" w:space="0" w:color="auto"/>
                        <w:bottom w:val="none" w:sz="0" w:space="0" w:color="auto"/>
                        <w:right w:val="none" w:sz="0" w:space="0" w:color="auto"/>
                      </w:divBdr>
                    </w:div>
                  </w:divsChild>
                </w:div>
                <w:div w:id="2112386904">
                  <w:marLeft w:val="0"/>
                  <w:marRight w:val="0"/>
                  <w:marTop w:val="0"/>
                  <w:marBottom w:val="0"/>
                  <w:divBdr>
                    <w:top w:val="none" w:sz="0" w:space="0" w:color="auto"/>
                    <w:left w:val="none" w:sz="0" w:space="0" w:color="auto"/>
                    <w:bottom w:val="none" w:sz="0" w:space="0" w:color="auto"/>
                    <w:right w:val="none" w:sz="0" w:space="0" w:color="auto"/>
                  </w:divBdr>
                  <w:divsChild>
                    <w:div w:id="1685787686">
                      <w:marLeft w:val="0"/>
                      <w:marRight w:val="0"/>
                      <w:marTop w:val="0"/>
                      <w:marBottom w:val="0"/>
                      <w:divBdr>
                        <w:top w:val="none" w:sz="0" w:space="0" w:color="auto"/>
                        <w:left w:val="none" w:sz="0" w:space="0" w:color="auto"/>
                        <w:bottom w:val="none" w:sz="0" w:space="0" w:color="auto"/>
                        <w:right w:val="none" w:sz="0" w:space="0" w:color="auto"/>
                      </w:divBdr>
                    </w:div>
                  </w:divsChild>
                </w:div>
                <w:div w:id="2114862530">
                  <w:marLeft w:val="0"/>
                  <w:marRight w:val="0"/>
                  <w:marTop w:val="0"/>
                  <w:marBottom w:val="0"/>
                  <w:divBdr>
                    <w:top w:val="none" w:sz="0" w:space="0" w:color="auto"/>
                    <w:left w:val="none" w:sz="0" w:space="0" w:color="auto"/>
                    <w:bottom w:val="none" w:sz="0" w:space="0" w:color="auto"/>
                    <w:right w:val="none" w:sz="0" w:space="0" w:color="auto"/>
                  </w:divBdr>
                  <w:divsChild>
                    <w:div w:id="193352226">
                      <w:marLeft w:val="0"/>
                      <w:marRight w:val="0"/>
                      <w:marTop w:val="0"/>
                      <w:marBottom w:val="0"/>
                      <w:divBdr>
                        <w:top w:val="none" w:sz="0" w:space="0" w:color="auto"/>
                        <w:left w:val="none" w:sz="0" w:space="0" w:color="auto"/>
                        <w:bottom w:val="none" w:sz="0" w:space="0" w:color="auto"/>
                        <w:right w:val="none" w:sz="0" w:space="0" w:color="auto"/>
                      </w:divBdr>
                    </w:div>
                  </w:divsChild>
                </w:div>
                <w:div w:id="2123722648">
                  <w:marLeft w:val="0"/>
                  <w:marRight w:val="0"/>
                  <w:marTop w:val="0"/>
                  <w:marBottom w:val="0"/>
                  <w:divBdr>
                    <w:top w:val="none" w:sz="0" w:space="0" w:color="auto"/>
                    <w:left w:val="none" w:sz="0" w:space="0" w:color="auto"/>
                    <w:bottom w:val="none" w:sz="0" w:space="0" w:color="auto"/>
                    <w:right w:val="none" w:sz="0" w:space="0" w:color="auto"/>
                  </w:divBdr>
                  <w:divsChild>
                    <w:div w:id="919633699">
                      <w:marLeft w:val="0"/>
                      <w:marRight w:val="0"/>
                      <w:marTop w:val="0"/>
                      <w:marBottom w:val="0"/>
                      <w:divBdr>
                        <w:top w:val="none" w:sz="0" w:space="0" w:color="auto"/>
                        <w:left w:val="none" w:sz="0" w:space="0" w:color="auto"/>
                        <w:bottom w:val="none" w:sz="0" w:space="0" w:color="auto"/>
                        <w:right w:val="none" w:sz="0" w:space="0" w:color="auto"/>
                      </w:divBdr>
                    </w:div>
                  </w:divsChild>
                </w:div>
                <w:div w:id="2125808875">
                  <w:marLeft w:val="0"/>
                  <w:marRight w:val="0"/>
                  <w:marTop w:val="0"/>
                  <w:marBottom w:val="0"/>
                  <w:divBdr>
                    <w:top w:val="none" w:sz="0" w:space="0" w:color="auto"/>
                    <w:left w:val="none" w:sz="0" w:space="0" w:color="auto"/>
                    <w:bottom w:val="none" w:sz="0" w:space="0" w:color="auto"/>
                    <w:right w:val="none" w:sz="0" w:space="0" w:color="auto"/>
                  </w:divBdr>
                  <w:divsChild>
                    <w:div w:id="59061532">
                      <w:marLeft w:val="0"/>
                      <w:marRight w:val="0"/>
                      <w:marTop w:val="0"/>
                      <w:marBottom w:val="0"/>
                      <w:divBdr>
                        <w:top w:val="none" w:sz="0" w:space="0" w:color="auto"/>
                        <w:left w:val="none" w:sz="0" w:space="0" w:color="auto"/>
                        <w:bottom w:val="none" w:sz="0" w:space="0" w:color="auto"/>
                        <w:right w:val="none" w:sz="0" w:space="0" w:color="auto"/>
                      </w:divBdr>
                    </w:div>
                  </w:divsChild>
                </w:div>
                <w:div w:id="2125881504">
                  <w:marLeft w:val="0"/>
                  <w:marRight w:val="0"/>
                  <w:marTop w:val="0"/>
                  <w:marBottom w:val="0"/>
                  <w:divBdr>
                    <w:top w:val="none" w:sz="0" w:space="0" w:color="auto"/>
                    <w:left w:val="none" w:sz="0" w:space="0" w:color="auto"/>
                    <w:bottom w:val="none" w:sz="0" w:space="0" w:color="auto"/>
                    <w:right w:val="none" w:sz="0" w:space="0" w:color="auto"/>
                  </w:divBdr>
                  <w:divsChild>
                    <w:div w:id="1751466606">
                      <w:marLeft w:val="0"/>
                      <w:marRight w:val="0"/>
                      <w:marTop w:val="0"/>
                      <w:marBottom w:val="0"/>
                      <w:divBdr>
                        <w:top w:val="none" w:sz="0" w:space="0" w:color="auto"/>
                        <w:left w:val="none" w:sz="0" w:space="0" w:color="auto"/>
                        <w:bottom w:val="none" w:sz="0" w:space="0" w:color="auto"/>
                        <w:right w:val="none" w:sz="0" w:space="0" w:color="auto"/>
                      </w:divBdr>
                    </w:div>
                  </w:divsChild>
                </w:div>
                <w:div w:id="2138640342">
                  <w:marLeft w:val="0"/>
                  <w:marRight w:val="0"/>
                  <w:marTop w:val="0"/>
                  <w:marBottom w:val="0"/>
                  <w:divBdr>
                    <w:top w:val="none" w:sz="0" w:space="0" w:color="auto"/>
                    <w:left w:val="none" w:sz="0" w:space="0" w:color="auto"/>
                    <w:bottom w:val="none" w:sz="0" w:space="0" w:color="auto"/>
                    <w:right w:val="none" w:sz="0" w:space="0" w:color="auto"/>
                  </w:divBdr>
                  <w:divsChild>
                    <w:div w:id="707097955">
                      <w:marLeft w:val="0"/>
                      <w:marRight w:val="0"/>
                      <w:marTop w:val="0"/>
                      <w:marBottom w:val="0"/>
                      <w:divBdr>
                        <w:top w:val="none" w:sz="0" w:space="0" w:color="auto"/>
                        <w:left w:val="none" w:sz="0" w:space="0" w:color="auto"/>
                        <w:bottom w:val="none" w:sz="0" w:space="0" w:color="auto"/>
                        <w:right w:val="none" w:sz="0" w:space="0" w:color="auto"/>
                      </w:divBdr>
                    </w:div>
                  </w:divsChild>
                </w:div>
                <w:div w:id="2139256595">
                  <w:marLeft w:val="0"/>
                  <w:marRight w:val="0"/>
                  <w:marTop w:val="0"/>
                  <w:marBottom w:val="0"/>
                  <w:divBdr>
                    <w:top w:val="none" w:sz="0" w:space="0" w:color="auto"/>
                    <w:left w:val="none" w:sz="0" w:space="0" w:color="auto"/>
                    <w:bottom w:val="none" w:sz="0" w:space="0" w:color="auto"/>
                    <w:right w:val="none" w:sz="0" w:space="0" w:color="auto"/>
                  </w:divBdr>
                  <w:divsChild>
                    <w:div w:id="430006295">
                      <w:marLeft w:val="0"/>
                      <w:marRight w:val="0"/>
                      <w:marTop w:val="0"/>
                      <w:marBottom w:val="0"/>
                      <w:divBdr>
                        <w:top w:val="none" w:sz="0" w:space="0" w:color="auto"/>
                        <w:left w:val="none" w:sz="0" w:space="0" w:color="auto"/>
                        <w:bottom w:val="none" w:sz="0" w:space="0" w:color="auto"/>
                        <w:right w:val="none" w:sz="0" w:space="0" w:color="auto"/>
                      </w:divBdr>
                    </w:div>
                  </w:divsChild>
                </w:div>
                <w:div w:id="2139299755">
                  <w:marLeft w:val="0"/>
                  <w:marRight w:val="0"/>
                  <w:marTop w:val="0"/>
                  <w:marBottom w:val="0"/>
                  <w:divBdr>
                    <w:top w:val="none" w:sz="0" w:space="0" w:color="auto"/>
                    <w:left w:val="none" w:sz="0" w:space="0" w:color="auto"/>
                    <w:bottom w:val="none" w:sz="0" w:space="0" w:color="auto"/>
                    <w:right w:val="none" w:sz="0" w:space="0" w:color="auto"/>
                  </w:divBdr>
                  <w:divsChild>
                    <w:div w:id="561451813">
                      <w:marLeft w:val="0"/>
                      <w:marRight w:val="0"/>
                      <w:marTop w:val="0"/>
                      <w:marBottom w:val="0"/>
                      <w:divBdr>
                        <w:top w:val="none" w:sz="0" w:space="0" w:color="auto"/>
                        <w:left w:val="none" w:sz="0" w:space="0" w:color="auto"/>
                        <w:bottom w:val="none" w:sz="0" w:space="0" w:color="auto"/>
                        <w:right w:val="none" w:sz="0" w:space="0" w:color="auto"/>
                      </w:divBdr>
                    </w:div>
                  </w:divsChild>
                </w:div>
                <w:div w:id="2140566652">
                  <w:marLeft w:val="0"/>
                  <w:marRight w:val="0"/>
                  <w:marTop w:val="0"/>
                  <w:marBottom w:val="0"/>
                  <w:divBdr>
                    <w:top w:val="none" w:sz="0" w:space="0" w:color="auto"/>
                    <w:left w:val="none" w:sz="0" w:space="0" w:color="auto"/>
                    <w:bottom w:val="none" w:sz="0" w:space="0" w:color="auto"/>
                    <w:right w:val="none" w:sz="0" w:space="0" w:color="auto"/>
                  </w:divBdr>
                  <w:divsChild>
                    <w:div w:id="2140872589">
                      <w:marLeft w:val="0"/>
                      <w:marRight w:val="0"/>
                      <w:marTop w:val="0"/>
                      <w:marBottom w:val="0"/>
                      <w:divBdr>
                        <w:top w:val="none" w:sz="0" w:space="0" w:color="auto"/>
                        <w:left w:val="none" w:sz="0" w:space="0" w:color="auto"/>
                        <w:bottom w:val="none" w:sz="0" w:space="0" w:color="auto"/>
                        <w:right w:val="none" w:sz="0" w:space="0" w:color="auto"/>
                      </w:divBdr>
                    </w:div>
                  </w:divsChild>
                </w:div>
                <w:div w:id="2143300509">
                  <w:marLeft w:val="0"/>
                  <w:marRight w:val="0"/>
                  <w:marTop w:val="0"/>
                  <w:marBottom w:val="0"/>
                  <w:divBdr>
                    <w:top w:val="none" w:sz="0" w:space="0" w:color="auto"/>
                    <w:left w:val="none" w:sz="0" w:space="0" w:color="auto"/>
                    <w:bottom w:val="none" w:sz="0" w:space="0" w:color="auto"/>
                    <w:right w:val="none" w:sz="0" w:space="0" w:color="auto"/>
                  </w:divBdr>
                  <w:divsChild>
                    <w:div w:id="586889200">
                      <w:marLeft w:val="0"/>
                      <w:marRight w:val="0"/>
                      <w:marTop w:val="0"/>
                      <w:marBottom w:val="0"/>
                      <w:divBdr>
                        <w:top w:val="none" w:sz="0" w:space="0" w:color="auto"/>
                        <w:left w:val="none" w:sz="0" w:space="0" w:color="auto"/>
                        <w:bottom w:val="none" w:sz="0" w:space="0" w:color="auto"/>
                        <w:right w:val="none" w:sz="0" w:space="0" w:color="auto"/>
                      </w:divBdr>
                    </w:div>
                  </w:divsChild>
                </w:div>
                <w:div w:id="2144419516">
                  <w:marLeft w:val="0"/>
                  <w:marRight w:val="0"/>
                  <w:marTop w:val="0"/>
                  <w:marBottom w:val="0"/>
                  <w:divBdr>
                    <w:top w:val="none" w:sz="0" w:space="0" w:color="auto"/>
                    <w:left w:val="none" w:sz="0" w:space="0" w:color="auto"/>
                    <w:bottom w:val="none" w:sz="0" w:space="0" w:color="auto"/>
                    <w:right w:val="none" w:sz="0" w:space="0" w:color="auto"/>
                  </w:divBdr>
                  <w:divsChild>
                    <w:div w:id="136304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42905">
      <w:bodyDiv w:val="1"/>
      <w:marLeft w:val="0"/>
      <w:marRight w:val="0"/>
      <w:marTop w:val="0"/>
      <w:marBottom w:val="0"/>
      <w:divBdr>
        <w:top w:val="none" w:sz="0" w:space="0" w:color="auto"/>
        <w:left w:val="none" w:sz="0" w:space="0" w:color="auto"/>
        <w:bottom w:val="none" w:sz="0" w:space="0" w:color="auto"/>
        <w:right w:val="none" w:sz="0" w:space="0" w:color="auto"/>
      </w:divBdr>
      <w:divsChild>
        <w:div w:id="49230877">
          <w:marLeft w:val="0"/>
          <w:marRight w:val="0"/>
          <w:marTop w:val="0"/>
          <w:marBottom w:val="0"/>
          <w:divBdr>
            <w:top w:val="none" w:sz="0" w:space="0" w:color="auto"/>
            <w:left w:val="none" w:sz="0" w:space="0" w:color="auto"/>
            <w:bottom w:val="none" w:sz="0" w:space="0" w:color="auto"/>
            <w:right w:val="none" w:sz="0" w:space="0" w:color="auto"/>
          </w:divBdr>
        </w:div>
        <w:div w:id="355348407">
          <w:marLeft w:val="0"/>
          <w:marRight w:val="0"/>
          <w:marTop w:val="0"/>
          <w:marBottom w:val="0"/>
          <w:divBdr>
            <w:top w:val="none" w:sz="0" w:space="0" w:color="auto"/>
            <w:left w:val="none" w:sz="0" w:space="0" w:color="auto"/>
            <w:bottom w:val="none" w:sz="0" w:space="0" w:color="auto"/>
            <w:right w:val="none" w:sz="0" w:space="0" w:color="auto"/>
          </w:divBdr>
        </w:div>
        <w:div w:id="425998348">
          <w:marLeft w:val="0"/>
          <w:marRight w:val="0"/>
          <w:marTop w:val="0"/>
          <w:marBottom w:val="0"/>
          <w:divBdr>
            <w:top w:val="none" w:sz="0" w:space="0" w:color="auto"/>
            <w:left w:val="none" w:sz="0" w:space="0" w:color="auto"/>
            <w:bottom w:val="none" w:sz="0" w:space="0" w:color="auto"/>
            <w:right w:val="none" w:sz="0" w:space="0" w:color="auto"/>
          </w:divBdr>
        </w:div>
        <w:div w:id="674773343">
          <w:marLeft w:val="0"/>
          <w:marRight w:val="0"/>
          <w:marTop w:val="0"/>
          <w:marBottom w:val="0"/>
          <w:divBdr>
            <w:top w:val="none" w:sz="0" w:space="0" w:color="auto"/>
            <w:left w:val="none" w:sz="0" w:space="0" w:color="auto"/>
            <w:bottom w:val="none" w:sz="0" w:space="0" w:color="auto"/>
            <w:right w:val="none" w:sz="0" w:space="0" w:color="auto"/>
          </w:divBdr>
        </w:div>
        <w:div w:id="712191056">
          <w:marLeft w:val="0"/>
          <w:marRight w:val="0"/>
          <w:marTop w:val="0"/>
          <w:marBottom w:val="0"/>
          <w:divBdr>
            <w:top w:val="none" w:sz="0" w:space="0" w:color="auto"/>
            <w:left w:val="none" w:sz="0" w:space="0" w:color="auto"/>
            <w:bottom w:val="none" w:sz="0" w:space="0" w:color="auto"/>
            <w:right w:val="none" w:sz="0" w:space="0" w:color="auto"/>
          </w:divBdr>
        </w:div>
        <w:div w:id="881938815">
          <w:marLeft w:val="0"/>
          <w:marRight w:val="0"/>
          <w:marTop w:val="0"/>
          <w:marBottom w:val="0"/>
          <w:divBdr>
            <w:top w:val="none" w:sz="0" w:space="0" w:color="auto"/>
            <w:left w:val="none" w:sz="0" w:space="0" w:color="auto"/>
            <w:bottom w:val="none" w:sz="0" w:space="0" w:color="auto"/>
            <w:right w:val="none" w:sz="0" w:space="0" w:color="auto"/>
          </w:divBdr>
        </w:div>
        <w:div w:id="1025474470">
          <w:marLeft w:val="0"/>
          <w:marRight w:val="0"/>
          <w:marTop w:val="0"/>
          <w:marBottom w:val="0"/>
          <w:divBdr>
            <w:top w:val="none" w:sz="0" w:space="0" w:color="auto"/>
            <w:left w:val="none" w:sz="0" w:space="0" w:color="auto"/>
            <w:bottom w:val="none" w:sz="0" w:space="0" w:color="auto"/>
            <w:right w:val="none" w:sz="0" w:space="0" w:color="auto"/>
          </w:divBdr>
          <w:divsChild>
            <w:div w:id="98643844">
              <w:marLeft w:val="0"/>
              <w:marRight w:val="0"/>
              <w:marTop w:val="0"/>
              <w:marBottom w:val="0"/>
              <w:divBdr>
                <w:top w:val="none" w:sz="0" w:space="0" w:color="auto"/>
                <w:left w:val="none" w:sz="0" w:space="0" w:color="auto"/>
                <w:bottom w:val="none" w:sz="0" w:space="0" w:color="auto"/>
                <w:right w:val="none" w:sz="0" w:space="0" w:color="auto"/>
              </w:divBdr>
            </w:div>
            <w:div w:id="296229786">
              <w:marLeft w:val="0"/>
              <w:marRight w:val="0"/>
              <w:marTop w:val="0"/>
              <w:marBottom w:val="0"/>
              <w:divBdr>
                <w:top w:val="none" w:sz="0" w:space="0" w:color="auto"/>
                <w:left w:val="none" w:sz="0" w:space="0" w:color="auto"/>
                <w:bottom w:val="none" w:sz="0" w:space="0" w:color="auto"/>
                <w:right w:val="none" w:sz="0" w:space="0" w:color="auto"/>
              </w:divBdr>
            </w:div>
            <w:div w:id="489172715">
              <w:marLeft w:val="0"/>
              <w:marRight w:val="0"/>
              <w:marTop w:val="0"/>
              <w:marBottom w:val="0"/>
              <w:divBdr>
                <w:top w:val="none" w:sz="0" w:space="0" w:color="auto"/>
                <w:left w:val="none" w:sz="0" w:space="0" w:color="auto"/>
                <w:bottom w:val="none" w:sz="0" w:space="0" w:color="auto"/>
                <w:right w:val="none" w:sz="0" w:space="0" w:color="auto"/>
              </w:divBdr>
            </w:div>
            <w:div w:id="533277756">
              <w:marLeft w:val="0"/>
              <w:marRight w:val="0"/>
              <w:marTop w:val="0"/>
              <w:marBottom w:val="0"/>
              <w:divBdr>
                <w:top w:val="none" w:sz="0" w:space="0" w:color="auto"/>
                <w:left w:val="none" w:sz="0" w:space="0" w:color="auto"/>
                <w:bottom w:val="none" w:sz="0" w:space="0" w:color="auto"/>
                <w:right w:val="none" w:sz="0" w:space="0" w:color="auto"/>
              </w:divBdr>
            </w:div>
            <w:div w:id="830878068">
              <w:marLeft w:val="0"/>
              <w:marRight w:val="0"/>
              <w:marTop w:val="0"/>
              <w:marBottom w:val="0"/>
              <w:divBdr>
                <w:top w:val="none" w:sz="0" w:space="0" w:color="auto"/>
                <w:left w:val="none" w:sz="0" w:space="0" w:color="auto"/>
                <w:bottom w:val="none" w:sz="0" w:space="0" w:color="auto"/>
                <w:right w:val="none" w:sz="0" w:space="0" w:color="auto"/>
              </w:divBdr>
            </w:div>
            <w:div w:id="1031301862">
              <w:marLeft w:val="0"/>
              <w:marRight w:val="0"/>
              <w:marTop w:val="0"/>
              <w:marBottom w:val="0"/>
              <w:divBdr>
                <w:top w:val="none" w:sz="0" w:space="0" w:color="auto"/>
                <w:left w:val="none" w:sz="0" w:space="0" w:color="auto"/>
                <w:bottom w:val="none" w:sz="0" w:space="0" w:color="auto"/>
                <w:right w:val="none" w:sz="0" w:space="0" w:color="auto"/>
              </w:divBdr>
            </w:div>
            <w:div w:id="1062556716">
              <w:marLeft w:val="0"/>
              <w:marRight w:val="0"/>
              <w:marTop w:val="0"/>
              <w:marBottom w:val="0"/>
              <w:divBdr>
                <w:top w:val="none" w:sz="0" w:space="0" w:color="auto"/>
                <w:left w:val="none" w:sz="0" w:space="0" w:color="auto"/>
                <w:bottom w:val="none" w:sz="0" w:space="0" w:color="auto"/>
                <w:right w:val="none" w:sz="0" w:space="0" w:color="auto"/>
              </w:divBdr>
            </w:div>
            <w:div w:id="1114135824">
              <w:marLeft w:val="0"/>
              <w:marRight w:val="0"/>
              <w:marTop w:val="0"/>
              <w:marBottom w:val="0"/>
              <w:divBdr>
                <w:top w:val="none" w:sz="0" w:space="0" w:color="auto"/>
                <w:left w:val="none" w:sz="0" w:space="0" w:color="auto"/>
                <w:bottom w:val="none" w:sz="0" w:space="0" w:color="auto"/>
                <w:right w:val="none" w:sz="0" w:space="0" w:color="auto"/>
              </w:divBdr>
            </w:div>
            <w:div w:id="1129585994">
              <w:marLeft w:val="0"/>
              <w:marRight w:val="0"/>
              <w:marTop w:val="0"/>
              <w:marBottom w:val="0"/>
              <w:divBdr>
                <w:top w:val="none" w:sz="0" w:space="0" w:color="auto"/>
                <w:left w:val="none" w:sz="0" w:space="0" w:color="auto"/>
                <w:bottom w:val="none" w:sz="0" w:space="0" w:color="auto"/>
                <w:right w:val="none" w:sz="0" w:space="0" w:color="auto"/>
              </w:divBdr>
            </w:div>
            <w:div w:id="1157769093">
              <w:marLeft w:val="0"/>
              <w:marRight w:val="0"/>
              <w:marTop w:val="0"/>
              <w:marBottom w:val="0"/>
              <w:divBdr>
                <w:top w:val="none" w:sz="0" w:space="0" w:color="auto"/>
                <w:left w:val="none" w:sz="0" w:space="0" w:color="auto"/>
                <w:bottom w:val="none" w:sz="0" w:space="0" w:color="auto"/>
                <w:right w:val="none" w:sz="0" w:space="0" w:color="auto"/>
              </w:divBdr>
            </w:div>
            <w:div w:id="1277635009">
              <w:marLeft w:val="0"/>
              <w:marRight w:val="0"/>
              <w:marTop w:val="0"/>
              <w:marBottom w:val="0"/>
              <w:divBdr>
                <w:top w:val="none" w:sz="0" w:space="0" w:color="auto"/>
                <w:left w:val="none" w:sz="0" w:space="0" w:color="auto"/>
                <w:bottom w:val="none" w:sz="0" w:space="0" w:color="auto"/>
                <w:right w:val="none" w:sz="0" w:space="0" w:color="auto"/>
              </w:divBdr>
            </w:div>
            <w:div w:id="1380393513">
              <w:marLeft w:val="0"/>
              <w:marRight w:val="0"/>
              <w:marTop w:val="0"/>
              <w:marBottom w:val="0"/>
              <w:divBdr>
                <w:top w:val="none" w:sz="0" w:space="0" w:color="auto"/>
                <w:left w:val="none" w:sz="0" w:space="0" w:color="auto"/>
                <w:bottom w:val="none" w:sz="0" w:space="0" w:color="auto"/>
                <w:right w:val="none" w:sz="0" w:space="0" w:color="auto"/>
              </w:divBdr>
            </w:div>
            <w:div w:id="1431390122">
              <w:marLeft w:val="0"/>
              <w:marRight w:val="0"/>
              <w:marTop w:val="0"/>
              <w:marBottom w:val="0"/>
              <w:divBdr>
                <w:top w:val="none" w:sz="0" w:space="0" w:color="auto"/>
                <w:left w:val="none" w:sz="0" w:space="0" w:color="auto"/>
                <w:bottom w:val="none" w:sz="0" w:space="0" w:color="auto"/>
                <w:right w:val="none" w:sz="0" w:space="0" w:color="auto"/>
              </w:divBdr>
            </w:div>
            <w:div w:id="1828086532">
              <w:marLeft w:val="0"/>
              <w:marRight w:val="0"/>
              <w:marTop w:val="0"/>
              <w:marBottom w:val="0"/>
              <w:divBdr>
                <w:top w:val="none" w:sz="0" w:space="0" w:color="auto"/>
                <w:left w:val="none" w:sz="0" w:space="0" w:color="auto"/>
                <w:bottom w:val="none" w:sz="0" w:space="0" w:color="auto"/>
                <w:right w:val="none" w:sz="0" w:space="0" w:color="auto"/>
              </w:divBdr>
            </w:div>
            <w:div w:id="1954166623">
              <w:marLeft w:val="0"/>
              <w:marRight w:val="0"/>
              <w:marTop w:val="0"/>
              <w:marBottom w:val="0"/>
              <w:divBdr>
                <w:top w:val="none" w:sz="0" w:space="0" w:color="auto"/>
                <w:left w:val="none" w:sz="0" w:space="0" w:color="auto"/>
                <w:bottom w:val="none" w:sz="0" w:space="0" w:color="auto"/>
                <w:right w:val="none" w:sz="0" w:space="0" w:color="auto"/>
              </w:divBdr>
            </w:div>
            <w:div w:id="2009214311">
              <w:marLeft w:val="0"/>
              <w:marRight w:val="0"/>
              <w:marTop w:val="0"/>
              <w:marBottom w:val="0"/>
              <w:divBdr>
                <w:top w:val="none" w:sz="0" w:space="0" w:color="auto"/>
                <w:left w:val="none" w:sz="0" w:space="0" w:color="auto"/>
                <w:bottom w:val="none" w:sz="0" w:space="0" w:color="auto"/>
                <w:right w:val="none" w:sz="0" w:space="0" w:color="auto"/>
              </w:divBdr>
            </w:div>
            <w:div w:id="2066947489">
              <w:marLeft w:val="0"/>
              <w:marRight w:val="0"/>
              <w:marTop w:val="0"/>
              <w:marBottom w:val="0"/>
              <w:divBdr>
                <w:top w:val="none" w:sz="0" w:space="0" w:color="auto"/>
                <w:left w:val="none" w:sz="0" w:space="0" w:color="auto"/>
                <w:bottom w:val="none" w:sz="0" w:space="0" w:color="auto"/>
                <w:right w:val="none" w:sz="0" w:space="0" w:color="auto"/>
              </w:divBdr>
            </w:div>
            <w:div w:id="2103868917">
              <w:marLeft w:val="0"/>
              <w:marRight w:val="0"/>
              <w:marTop w:val="0"/>
              <w:marBottom w:val="0"/>
              <w:divBdr>
                <w:top w:val="none" w:sz="0" w:space="0" w:color="auto"/>
                <w:left w:val="none" w:sz="0" w:space="0" w:color="auto"/>
                <w:bottom w:val="none" w:sz="0" w:space="0" w:color="auto"/>
                <w:right w:val="none" w:sz="0" w:space="0" w:color="auto"/>
              </w:divBdr>
            </w:div>
          </w:divsChild>
        </w:div>
        <w:div w:id="1134786120">
          <w:marLeft w:val="0"/>
          <w:marRight w:val="0"/>
          <w:marTop w:val="0"/>
          <w:marBottom w:val="0"/>
          <w:divBdr>
            <w:top w:val="none" w:sz="0" w:space="0" w:color="auto"/>
            <w:left w:val="none" w:sz="0" w:space="0" w:color="auto"/>
            <w:bottom w:val="none" w:sz="0" w:space="0" w:color="auto"/>
            <w:right w:val="none" w:sz="0" w:space="0" w:color="auto"/>
          </w:divBdr>
        </w:div>
        <w:div w:id="1205945021">
          <w:marLeft w:val="0"/>
          <w:marRight w:val="0"/>
          <w:marTop w:val="0"/>
          <w:marBottom w:val="0"/>
          <w:divBdr>
            <w:top w:val="none" w:sz="0" w:space="0" w:color="auto"/>
            <w:left w:val="none" w:sz="0" w:space="0" w:color="auto"/>
            <w:bottom w:val="none" w:sz="0" w:space="0" w:color="auto"/>
            <w:right w:val="none" w:sz="0" w:space="0" w:color="auto"/>
          </w:divBdr>
        </w:div>
        <w:div w:id="1324428116">
          <w:marLeft w:val="0"/>
          <w:marRight w:val="0"/>
          <w:marTop w:val="0"/>
          <w:marBottom w:val="0"/>
          <w:divBdr>
            <w:top w:val="none" w:sz="0" w:space="0" w:color="auto"/>
            <w:left w:val="none" w:sz="0" w:space="0" w:color="auto"/>
            <w:bottom w:val="none" w:sz="0" w:space="0" w:color="auto"/>
            <w:right w:val="none" w:sz="0" w:space="0" w:color="auto"/>
          </w:divBdr>
        </w:div>
        <w:div w:id="1682274574">
          <w:marLeft w:val="0"/>
          <w:marRight w:val="0"/>
          <w:marTop w:val="0"/>
          <w:marBottom w:val="0"/>
          <w:divBdr>
            <w:top w:val="none" w:sz="0" w:space="0" w:color="auto"/>
            <w:left w:val="none" w:sz="0" w:space="0" w:color="auto"/>
            <w:bottom w:val="none" w:sz="0" w:space="0" w:color="auto"/>
            <w:right w:val="none" w:sz="0" w:space="0" w:color="auto"/>
          </w:divBdr>
        </w:div>
      </w:divsChild>
    </w:div>
    <w:div w:id="268783261">
      <w:bodyDiv w:val="1"/>
      <w:marLeft w:val="0"/>
      <w:marRight w:val="0"/>
      <w:marTop w:val="0"/>
      <w:marBottom w:val="0"/>
      <w:divBdr>
        <w:top w:val="none" w:sz="0" w:space="0" w:color="auto"/>
        <w:left w:val="none" w:sz="0" w:space="0" w:color="auto"/>
        <w:bottom w:val="none" w:sz="0" w:space="0" w:color="auto"/>
        <w:right w:val="none" w:sz="0" w:space="0" w:color="auto"/>
      </w:divBdr>
      <w:divsChild>
        <w:div w:id="1204905381">
          <w:marLeft w:val="0"/>
          <w:marRight w:val="0"/>
          <w:marTop w:val="0"/>
          <w:marBottom w:val="0"/>
          <w:divBdr>
            <w:top w:val="none" w:sz="0" w:space="0" w:color="auto"/>
            <w:left w:val="none" w:sz="0" w:space="0" w:color="auto"/>
            <w:bottom w:val="none" w:sz="0" w:space="0" w:color="auto"/>
            <w:right w:val="none" w:sz="0" w:space="0" w:color="auto"/>
          </w:divBdr>
        </w:div>
        <w:div w:id="1674607705">
          <w:marLeft w:val="0"/>
          <w:marRight w:val="0"/>
          <w:marTop w:val="0"/>
          <w:marBottom w:val="0"/>
          <w:divBdr>
            <w:top w:val="none" w:sz="0" w:space="0" w:color="auto"/>
            <w:left w:val="none" w:sz="0" w:space="0" w:color="auto"/>
            <w:bottom w:val="none" w:sz="0" w:space="0" w:color="auto"/>
            <w:right w:val="none" w:sz="0" w:space="0" w:color="auto"/>
          </w:divBdr>
          <w:divsChild>
            <w:div w:id="1193836382">
              <w:marLeft w:val="-75"/>
              <w:marRight w:val="0"/>
              <w:marTop w:val="30"/>
              <w:marBottom w:val="30"/>
              <w:divBdr>
                <w:top w:val="none" w:sz="0" w:space="0" w:color="auto"/>
                <w:left w:val="none" w:sz="0" w:space="0" w:color="auto"/>
                <w:bottom w:val="none" w:sz="0" w:space="0" w:color="auto"/>
                <w:right w:val="none" w:sz="0" w:space="0" w:color="auto"/>
              </w:divBdr>
              <w:divsChild>
                <w:div w:id="1520450">
                  <w:marLeft w:val="0"/>
                  <w:marRight w:val="0"/>
                  <w:marTop w:val="0"/>
                  <w:marBottom w:val="0"/>
                  <w:divBdr>
                    <w:top w:val="none" w:sz="0" w:space="0" w:color="auto"/>
                    <w:left w:val="none" w:sz="0" w:space="0" w:color="auto"/>
                    <w:bottom w:val="none" w:sz="0" w:space="0" w:color="auto"/>
                    <w:right w:val="none" w:sz="0" w:space="0" w:color="auto"/>
                  </w:divBdr>
                  <w:divsChild>
                    <w:div w:id="717775709">
                      <w:marLeft w:val="0"/>
                      <w:marRight w:val="0"/>
                      <w:marTop w:val="0"/>
                      <w:marBottom w:val="0"/>
                      <w:divBdr>
                        <w:top w:val="none" w:sz="0" w:space="0" w:color="auto"/>
                        <w:left w:val="none" w:sz="0" w:space="0" w:color="auto"/>
                        <w:bottom w:val="none" w:sz="0" w:space="0" w:color="auto"/>
                        <w:right w:val="none" w:sz="0" w:space="0" w:color="auto"/>
                      </w:divBdr>
                    </w:div>
                  </w:divsChild>
                </w:div>
                <w:div w:id="2168921">
                  <w:marLeft w:val="0"/>
                  <w:marRight w:val="0"/>
                  <w:marTop w:val="0"/>
                  <w:marBottom w:val="0"/>
                  <w:divBdr>
                    <w:top w:val="none" w:sz="0" w:space="0" w:color="auto"/>
                    <w:left w:val="none" w:sz="0" w:space="0" w:color="auto"/>
                    <w:bottom w:val="none" w:sz="0" w:space="0" w:color="auto"/>
                    <w:right w:val="none" w:sz="0" w:space="0" w:color="auto"/>
                  </w:divBdr>
                  <w:divsChild>
                    <w:div w:id="267155081">
                      <w:marLeft w:val="0"/>
                      <w:marRight w:val="0"/>
                      <w:marTop w:val="0"/>
                      <w:marBottom w:val="0"/>
                      <w:divBdr>
                        <w:top w:val="none" w:sz="0" w:space="0" w:color="auto"/>
                        <w:left w:val="none" w:sz="0" w:space="0" w:color="auto"/>
                        <w:bottom w:val="none" w:sz="0" w:space="0" w:color="auto"/>
                        <w:right w:val="none" w:sz="0" w:space="0" w:color="auto"/>
                      </w:divBdr>
                    </w:div>
                  </w:divsChild>
                </w:div>
                <w:div w:id="7558993">
                  <w:marLeft w:val="0"/>
                  <w:marRight w:val="0"/>
                  <w:marTop w:val="0"/>
                  <w:marBottom w:val="0"/>
                  <w:divBdr>
                    <w:top w:val="none" w:sz="0" w:space="0" w:color="auto"/>
                    <w:left w:val="none" w:sz="0" w:space="0" w:color="auto"/>
                    <w:bottom w:val="none" w:sz="0" w:space="0" w:color="auto"/>
                    <w:right w:val="none" w:sz="0" w:space="0" w:color="auto"/>
                  </w:divBdr>
                  <w:divsChild>
                    <w:div w:id="1870407936">
                      <w:marLeft w:val="0"/>
                      <w:marRight w:val="0"/>
                      <w:marTop w:val="0"/>
                      <w:marBottom w:val="0"/>
                      <w:divBdr>
                        <w:top w:val="none" w:sz="0" w:space="0" w:color="auto"/>
                        <w:left w:val="none" w:sz="0" w:space="0" w:color="auto"/>
                        <w:bottom w:val="none" w:sz="0" w:space="0" w:color="auto"/>
                        <w:right w:val="none" w:sz="0" w:space="0" w:color="auto"/>
                      </w:divBdr>
                    </w:div>
                  </w:divsChild>
                </w:div>
                <w:div w:id="9337197">
                  <w:marLeft w:val="0"/>
                  <w:marRight w:val="0"/>
                  <w:marTop w:val="0"/>
                  <w:marBottom w:val="0"/>
                  <w:divBdr>
                    <w:top w:val="none" w:sz="0" w:space="0" w:color="auto"/>
                    <w:left w:val="none" w:sz="0" w:space="0" w:color="auto"/>
                    <w:bottom w:val="none" w:sz="0" w:space="0" w:color="auto"/>
                    <w:right w:val="none" w:sz="0" w:space="0" w:color="auto"/>
                  </w:divBdr>
                  <w:divsChild>
                    <w:div w:id="308755900">
                      <w:marLeft w:val="0"/>
                      <w:marRight w:val="0"/>
                      <w:marTop w:val="0"/>
                      <w:marBottom w:val="0"/>
                      <w:divBdr>
                        <w:top w:val="none" w:sz="0" w:space="0" w:color="auto"/>
                        <w:left w:val="none" w:sz="0" w:space="0" w:color="auto"/>
                        <w:bottom w:val="none" w:sz="0" w:space="0" w:color="auto"/>
                        <w:right w:val="none" w:sz="0" w:space="0" w:color="auto"/>
                      </w:divBdr>
                    </w:div>
                  </w:divsChild>
                </w:div>
                <w:div w:id="10492719">
                  <w:marLeft w:val="0"/>
                  <w:marRight w:val="0"/>
                  <w:marTop w:val="0"/>
                  <w:marBottom w:val="0"/>
                  <w:divBdr>
                    <w:top w:val="none" w:sz="0" w:space="0" w:color="auto"/>
                    <w:left w:val="none" w:sz="0" w:space="0" w:color="auto"/>
                    <w:bottom w:val="none" w:sz="0" w:space="0" w:color="auto"/>
                    <w:right w:val="none" w:sz="0" w:space="0" w:color="auto"/>
                  </w:divBdr>
                  <w:divsChild>
                    <w:div w:id="1371296043">
                      <w:marLeft w:val="0"/>
                      <w:marRight w:val="0"/>
                      <w:marTop w:val="0"/>
                      <w:marBottom w:val="0"/>
                      <w:divBdr>
                        <w:top w:val="none" w:sz="0" w:space="0" w:color="auto"/>
                        <w:left w:val="none" w:sz="0" w:space="0" w:color="auto"/>
                        <w:bottom w:val="none" w:sz="0" w:space="0" w:color="auto"/>
                        <w:right w:val="none" w:sz="0" w:space="0" w:color="auto"/>
                      </w:divBdr>
                    </w:div>
                  </w:divsChild>
                </w:div>
                <w:div w:id="12074237">
                  <w:marLeft w:val="0"/>
                  <w:marRight w:val="0"/>
                  <w:marTop w:val="0"/>
                  <w:marBottom w:val="0"/>
                  <w:divBdr>
                    <w:top w:val="none" w:sz="0" w:space="0" w:color="auto"/>
                    <w:left w:val="none" w:sz="0" w:space="0" w:color="auto"/>
                    <w:bottom w:val="none" w:sz="0" w:space="0" w:color="auto"/>
                    <w:right w:val="none" w:sz="0" w:space="0" w:color="auto"/>
                  </w:divBdr>
                  <w:divsChild>
                    <w:div w:id="940839634">
                      <w:marLeft w:val="0"/>
                      <w:marRight w:val="0"/>
                      <w:marTop w:val="0"/>
                      <w:marBottom w:val="0"/>
                      <w:divBdr>
                        <w:top w:val="none" w:sz="0" w:space="0" w:color="auto"/>
                        <w:left w:val="none" w:sz="0" w:space="0" w:color="auto"/>
                        <w:bottom w:val="none" w:sz="0" w:space="0" w:color="auto"/>
                        <w:right w:val="none" w:sz="0" w:space="0" w:color="auto"/>
                      </w:divBdr>
                    </w:div>
                  </w:divsChild>
                </w:div>
                <w:div w:id="25255929">
                  <w:marLeft w:val="0"/>
                  <w:marRight w:val="0"/>
                  <w:marTop w:val="0"/>
                  <w:marBottom w:val="0"/>
                  <w:divBdr>
                    <w:top w:val="none" w:sz="0" w:space="0" w:color="auto"/>
                    <w:left w:val="none" w:sz="0" w:space="0" w:color="auto"/>
                    <w:bottom w:val="none" w:sz="0" w:space="0" w:color="auto"/>
                    <w:right w:val="none" w:sz="0" w:space="0" w:color="auto"/>
                  </w:divBdr>
                  <w:divsChild>
                    <w:div w:id="364912652">
                      <w:marLeft w:val="0"/>
                      <w:marRight w:val="0"/>
                      <w:marTop w:val="0"/>
                      <w:marBottom w:val="0"/>
                      <w:divBdr>
                        <w:top w:val="none" w:sz="0" w:space="0" w:color="auto"/>
                        <w:left w:val="none" w:sz="0" w:space="0" w:color="auto"/>
                        <w:bottom w:val="none" w:sz="0" w:space="0" w:color="auto"/>
                        <w:right w:val="none" w:sz="0" w:space="0" w:color="auto"/>
                      </w:divBdr>
                    </w:div>
                  </w:divsChild>
                </w:div>
                <w:div w:id="27801034">
                  <w:marLeft w:val="0"/>
                  <w:marRight w:val="0"/>
                  <w:marTop w:val="0"/>
                  <w:marBottom w:val="0"/>
                  <w:divBdr>
                    <w:top w:val="none" w:sz="0" w:space="0" w:color="auto"/>
                    <w:left w:val="none" w:sz="0" w:space="0" w:color="auto"/>
                    <w:bottom w:val="none" w:sz="0" w:space="0" w:color="auto"/>
                    <w:right w:val="none" w:sz="0" w:space="0" w:color="auto"/>
                  </w:divBdr>
                  <w:divsChild>
                    <w:div w:id="988217848">
                      <w:marLeft w:val="0"/>
                      <w:marRight w:val="0"/>
                      <w:marTop w:val="0"/>
                      <w:marBottom w:val="0"/>
                      <w:divBdr>
                        <w:top w:val="none" w:sz="0" w:space="0" w:color="auto"/>
                        <w:left w:val="none" w:sz="0" w:space="0" w:color="auto"/>
                        <w:bottom w:val="none" w:sz="0" w:space="0" w:color="auto"/>
                        <w:right w:val="none" w:sz="0" w:space="0" w:color="auto"/>
                      </w:divBdr>
                    </w:div>
                  </w:divsChild>
                </w:div>
                <w:div w:id="29961037">
                  <w:marLeft w:val="0"/>
                  <w:marRight w:val="0"/>
                  <w:marTop w:val="0"/>
                  <w:marBottom w:val="0"/>
                  <w:divBdr>
                    <w:top w:val="none" w:sz="0" w:space="0" w:color="auto"/>
                    <w:left w:val="none" w:sz="0" w:space="0" w:color="auto"/>
                    <w:bottom w:val="none" w:sz="0" w:space="0" w:color="auto"/>
                    <w:right w:val="none" w:sz="0" w:space="0" w:color="auto"/>
                  </w:divBdr>
                  <w:divsChild>
                    <w:div w:id="106631403">
                      <w:marLeft w:val="0"/>
                      <w:marRight w:val="0"/>
                      <w:marTop w:val="0"/>
                      <w:marBottom w:val="0"/>
                      <w:divBdr>
                        <w:top w:val="none" w:sz="0" w:space="0" w:color="auto"/>
                        <w:left w:val="none" w:sz="0" w:space="0" w:color="auto"/>
                        <w:bottom w:val="none" w:sz="0" w:space="0" w:color="auto"/>
                        <w:right w:val="none" w:sz="0" w:space="0" w:color="auto"/>
                      </w:divBdr>
                    </w:div>
                  </w:divsChild>
                </w:div>
                <w:div w:id="35929614">
                  <w:marLeft w:val="0"/>
                  <w:marRight w:val="0"/>
                  <w:marTop w:val="0"/>
                  <w:marBottom w:val="0"/>
                  <w:divBdr>
                    <w:top w:val="none" w:sz="0" w:space="0" w:color="auto"/>
                    <w:left w:val="none" w:sz="0" w:space="0" w:color="auto"/>
                    <w:bottom w:val="none" w:sz="0" w:space="0" w:color="auto"/>
                    <w:right w:val="none" w:sz="0" w:space="0" w:color="auto"/>
                  </w:divBdr>
                  <w:divsChild>
                    <w:div w:id="1804075318">
                      <w:marLeft w:val="0"/>
                      <w:marRight w:val="0"/>
                      <w:marTop w:val="0"/>
                      <w:marBottom w:val="0"/>
                      <w:divBdr>
                        <w:top w:val="none" w:sz="0" w:space="0" w:color="auto"/>
                        <w:left w:val="none" w:sz="0" w:space="0" w:color="auto"/>
                        <w:bottom w:val="none" w:sz="0" w:space="0" w:color="auto"/>
                        <w:right w:val="none" w:sz="0" w:space="0" w:color="auto"/>
                      </w:divBdr>
                    </w:div>
                  </w:divsChild>
                </w:div>
                <w:div w:id="36511996">
                  <w:marLeft w:val="0"/>
                  <w:marRight w:val="0"/>
                  <w:marTop w:val="0"/>
                  <w:marBottom w:val="0"/>
                  <w:divBdr>
                    <w:top w:val="none" w:sz="0" w:space="0" w:color="auto"/>
                    <w:left w:val="none" w:sz="0" w:space="0" w:color="auto"/>
                    <w:bottom w:val="none" w:sz="0" w:space="0" w:color="auto"/>
                    <w:right w:val="none" w:sz="0" w:space="0" w:color="auto"/>
                  </w:divBdr>
                  <w:divsChild>
                    <w:div w:id="2082287823">
                      <w:marLeft w:val="0"/>
                      <w:marRight w:val="0"/>
                      <w:marTop w:val="0"/>
                      <w:marBottom w:val="0"/>
                      <w:divBdr>
                        <w:top w:val="none" w:sz="0" w:space="0" w:color="auto"/>
                        <w:left w:val="none" w:sz="0" w:space="0" w:color="auto"/>
                        <w:bottom w:val="none" w:sz="0" w:space="0" w:color="auto"/>
                        <w:right w:val="none" w:sz="0" w:space="0" w:color="auto"/>
                      </w:divBdr>
                    </w:div>
                  </w:divsChild>
                </w:div>
                <w:div w:id="37903656">
                  <w:marLeft w:val="0"/>
                  <w:marRight w:val="0"/>
                  <w:marTop w:val="0"/>
                  <w:marBottom w:val="0"/>
                  <w:divBdr>
                    <w:top w:val="none" w:sz="0" w:space="0" w:color="auto"/>
                    <w:left w:val="none" w:sz="0" w:space="0" w:color="auto"/>
                    <w:bottom w:val="none" w:sz="0" w:space="0" w:color="auto"/>
                    <w:right w:val="none" w:sz="0" w:space="0" w:color="auto"/>
                  </w:divBdr>
                  <w:divsChild>
                    <w:div w:id="681711174">
                      <w:marLeft w:val="0"/>
                      <w:marRight w:val="0"/>
                      <w:marTop w:val="0"/>
                      <w:marBottom w:val="0"/>
                      <w:divBdr>
                        <w:top w:val="none" w:sz="0" w:space="0" w:color="auto"/>
                        <w:left w:val="none" w:sz="0" w:space="0" w:color="auto"/>
                        <w:bottom w:val="none" w:sz="0" w:space="0" w:color="auto"/>
                        <w:right w:val="none" w:sz="0" w:space="0" w:color="auto"/>
                      </w:divBdr>
                    </w:div>
                  </w:divsChild>
                </w:div>
                <w:div w:id="44568598">
                  <w:marLeft w:val="0"/>
                  <w:marRight w:val="0"/>
                  <w:marTop w:val="0"/>
                  <w:marBottom w:val="0"/>
                  <w:divBdr>
                    <w:top w:val="none" w:sz="0" w:space="0" w:color="auto"/>
                    <w:left w:val="none" w:sz="0" w:space="0" w:color="auto"/>
                    <w:bottom w:val="none" w:sz="0" w:space="0" w:color="auto"/>
                    <w:right w:val="none" w:sz="0" w:space="0" w:color="auto"/>
                  </w:divBdr>
                  <w:divsChild>
                    <w:div w:id="627056679">
                      <w:marLeft w:val="0"/>
                      <w:marRight w:val="0"/>
                      <w:marTop w:val="0"/>
                      <w:marBottom w:val="0"/>
                      <w:divBdr>
                        <w:top w:val="none" w:sz="0" w:space="0" w:color="auto"/>
                        <w:left w:val="none" w:sz="0" w:space="0" w:color="auto"/>
                        <w:bottom w:val="none" w:sz="0" w:space="0" w:color="auto"/>
                        <w:right w:val="none" w:sz="0" w:space="0" w:color="auto"/>
                      </w:divBdr>
                    </w:div>
                  </w:divsChild>
                </w:div>
                <w:div w:id="69623003">
                  <w:marLeft w:val="0"/>
                  <w:marRight w:val="0"/>
                  <w:marTop w:val="0"/>
                  <w:marBottom w:val="0"/>
                  <w:divBdr>
                    <w:top w:val="none" w:sz="0" w:space="0" w:color="auto"/>
                    <w:left w:val="none" w:sz="0" w:space="0" w:color="auto"/>
                    <w:bottom w:val="none" w:sz="0" w:space="0" w:color="auto"/>
                    <w:right w:val="none" w:sz="0" w:space="0" w:color="auto"/>
                  </w:divBdr>
                  <w:divsChild>
                    <w:div w:id="472675039">
                      <w:marLeft w:val="0"/>
                      <w:marRight w:val="0"/>
                      <w:marTop w:val="0"/>
                      <w:marBottom w:val="0"/>
                      <w:divBdr>
                        <w:top w:val="none" w:sz="0" w:space="0" w:color="auto"/>
                        <w:left w:val="none" w:sz="0" w:space="0" w:color="auto"/>
                        <w:bottom w:val="none" w:sz="0" w:space="0" w:color="auto"/>
                        <w:right w:val="none" w:sz="0" w:space="0" w:color="auto"/>
                      </w:divBdr>
                    </w:div>
                  </w:divsChild>
                </w:div>
                <w:div w:id="85614025">
                  <w:marLeft w:val="0"/>
                  <w:marRight w:val="0"/>
                  <w:marTop w:val="0"/>
                  <w:marBottom w:val="0"/>
                  <w:divBdr>
                    <w:top w:val="none" w:sz="0" w:space="0" w:color="auto"/>
                    <w:left w:val="none" w:sz="0" w:space="0" w:color="auto"/>
                    <w:bottom w:val="none" w:sz="0" w:space="0" w:color="auto"/>
                    <w:right w:val="none" w:sz="0" w:space="0" w:color="auto"/>
                  </w:divBdr>
                  <w:divsChild>
                    <w:div w:id="1454904004">
                      <w:marLeft w:val="0"/>
                      <w:marRight w:val="0"/>
                      <w:marTop w:val="0"/>
                      <w:marBottom w:val="0"/>
                      <w:divBdr>
                        <w:top w:val="none" w:sz="0" w:space="0" w:color="auto"/>
                        <w:left w:val="none" w:sz="0" w:space="0" w:color="auto"/>
                        <w:bottom w:val="none" w:sz="0" w:space="0" w:color="auto"/>
                        <w:right w:val="none" w:sz="0" w:space="0" w:color="auto"/>
                      </w:divBdr>
                    </w:div>
                  </w:divsChild>
                </w:div>
                <w:div w:id="89326313">
                  <w:marLeft w:val="0"/>
                  <w:marRight w:val="0"/>
                  <w:marTop w:val="0"/>
                  <w:marBottom w:val="0"/>
                  <w:divBdr>
                    <w:top w:val="none" w:sz="0" w:space="0" w:color="auto"/>
                    <w:left w:val="none" w:sz="0" w:space="0" w:color="auto"/>
                    <w:bottom w:val="none" w:sz="0" w:space="0" w:color="auto"/>
                    <w:right w:val="none" w:sz="0" w:space="0" w:color="auto"/>
                  </w:divBdr>
                  <w:divsChild>
                    <w:div w:id="2093970050">
                      <w:marLeft w:val="0"/>
                      <w:marRight w:val="0"/>
                      <w:marTop w:val="0"/>
                      <w:marBottom w:val="0"/>
                      <w:divBdr>
                        <w:top w:val="none" w:sz="0" w:space="0" w:color="auto"/>
                        <w:left w:val="none" w:sz="0" w:space="0" w:color="auto"/>
                        <w:bottom w:val="none" w:sz="0" w:space="0" w:color="auto"/>
                        <w:right w:val="none" w:sz="0" w:space="0" w:color="auto"/>
                      </w:divBdr>
                    </w:div>
                  </w:divsChild>
                </w:div>
                <w:div w:id="89351795">
                  <w:marLeft w:val="0"/>
                  <w:marRight w:val="0"/>
                  <w:marTop w:val="0"/>
                  <w:marBottom w:val="0"/>
                  <w:divBdr>
                    <w:top w:val="none" w:sz="0" w:space="0" w:color="auto"/>
                    <w:left w:val="none" w:sz="0" w:space="0" w:color="auto"/>
                    <w:bottom w:val="none" w:sz="0" w:space="0" w:color="auto"/>
                    <w:right w:val="none" w:sz="0" w:space="0" w:color="auto"/>
                  </w:divBdr>
                  <w:divsChild>
                    <w:div w:id="943004127">
                      <w:marLeft w:val="0"/>
                      <w:marRight w:val="0"/>
                      <w:marTop w:val="0"/>
                      <w:marBottom w:val="0"/>
                      <w:divBdr>
                        <w:top w:val="none" w:sz="0" w:space="0" w:color="auto"/>
                        <w:left w:val="none" w:sz="0" w:space="0" w:color="auto"/>
                        <w:bottom w:val="none" w:sz="0" w:space="0" w:color="auto"/>
                        <w:right w:val="none" w:sz="0" w:space="0" w:color="auto"/>
                      </w:divBdr>
                    </w:div>
                  </w:divsChild>
                </w:div>
                <w:div w:id="104663353">
                  <w:marLeft w:val="0"/>
                  <w:marRight w:val="0"/>
                  <w:marTop w:val="0"/>
                  <w:marBottom w:val="0"/>
                  <w:divBdr>
                    <w:top w:val="none" w:sz="0" w:space="0" w:color="auto"/>
                    <w:left w:val="none" w:sz="0" w:space="0" w:color="auto"/>
                    <w:bottom w:val="none" w:sz="0" w:space="0" w:color="auto"/>
                    <w:right w:val="none" w:sz="0" w:space="0" w:color="auto"/>
                  </w:divBdr>
                  <w:divsChild>
                    <w:div w:id="790517860">
                      <w:marLeft w:val="0"/>
                      <w:marRight w:val="0"/>
                      <w:marTop w:val="0"/>
                      <w:marBottom w:val="0"/>
                      <w:divBdr>
                        <w:top w:val="none" w:sz="0" w:space="0" w:color="auto"/>
                        <w:left w:val="none" w:sz="0" w:space="0" w:color="auto"/>
                        <w:bottom w:val="none" w:sz="0" w:space="0" w:color="auto"/>
                        <w:right w:val="none" w:sz="0" w:space="0" w:color="auto"/>
                      </w:divBdr>
                    </w:div>
                  </w:divsChild>
                </w:div>
                <w:div w:id="135803075">
                  <w:marLeft w:val="0"/>
                  <w:marRight w:val="0"/>
                  <w:marTop w:val="0"/>
                  <w:marBottom w:val="0"/>
                  <w:divBdr>
                    <w:top w:val="none" w:sz="0" w:space="0" w:color="auto"/>
                    <w:left w:val="none" w:sz="0" w:space="0" w:color="auto"/>
                    <w:bottom w:val="none" w:sz="0" w:space="0" w:color="auto"/>
                    <w:right w:val="none" w:sz="0" w:space="0" w:color="auto"/>
                  </w:divBdr>
                  <w:divsChild>
                    <w:div w:id="1952514151">
                      <w:marLeft w:val="0"/>
                      <w:marRight w:val="0"/>
                      <w:marTop w:val="0"/>
                      <w:marBottom w:val="0"/>
                      <w:divBdr>
                        <w:top w:val="none" w:sz="0" w:space="0" w:color="auto"/>
                        <w:left w:val="none" w:sz="0" w:space="0" w:color="auto"/>
                        <w:bottom w:val="none" w:sz="0" w:space="0" w:color="auto"/>
                        <w:right w:val="none" w:sz="0" w:space="0" w:color="auto"/>
                      </w:divBdr>
                    </w:div>
                  </w:divsChild>
                </w:div>
                <w:div w:id="136848560">
                  <w:marLeft w:val="0"/>
                  <w:marRight w:val="0"/>
                  <w:marTop w:val="0"/>
                  <w:marBottom w:val="0"/>
                  <w:divBdr>
                    <w:top w:val="none" w:sz="0" w:space="0" w:color="auto"/>
                    <w:left w:val="none" w:sz="0" w:space="0" w:color="auto"/>
                    <w:bottom w:val="none" w:sz="0" w:space="0" w:color="auto"/>
                    <w:right w:val="none" w:sz="0" w:space="0" w:color="auto"/>
                  </w:divBdr>
                  <w:divsChild>
                    <w:div w:id="509411842">
                      <w:marLeft w:val="0"/>
                      <w:marRight w:val="0"/>
                      <w:marTop w:val="0"/>
                      <w:marBottom w:val="0"/>
                      <w:divBdr>
                        <w:top w:val="none" w:sz="0" w:space="0" w:color="auto"/>
                        <w:left w:val="none" w:sz="0" w:space="0" w:color="auto"/>
                        <w:bottom w:val="none" w:sz="0" w:space="0" w:color="auto"/>
                        <w:right w:val="none" w:sz="0" w:space="0" w:color="auto"/>
                      </w:divBdr>
                    </w:div>
                  </w:divsChild>
                </w:div>
                <w:div w:id="138690434">
                  <w:marLeft w:val="0"/>
                  <w:marRight w:val="0"/>
                  <w:marTop w:val="0"/>
                  <w:marBottom w:val="0"/>
                  <w:divBdr>
                    <w:top w:val="none" w:sz="0" w:space="0" w:color="auto"/>
                    <w:left w:val="none" w:sz="0" w:space="0" w:color="auto"/>
                    <w:bottom w:val="none" w:sz="0" w:space="0" w:color="auto"/>
                    <w:right w:val="none" w:sz="0" w:space="0" w:color="auto"/>
                  </w:divBdr>
                  <w:divsChild>
                    <w:div w:id="1919748150">
                      <w:marLeft w:val="0"/>
                      <w:marRight w:val="0"/>
                      <w:marTop w:val="0"/>
                      <w:marBottom w:val="0"/>
                      <w:divBdr>
                        <w:top w:val="none" w:sz="0" w:space="0" w:color="auto"/>
                        <w:left w:val="none" w:sz="0" w:space="0" w:color="auto"/>
                        <w:bottom w:val="none" w:sz="0" w:space="0" w:color="auto"/>
                        <w:right w:val="none" w:sz="0" w:space="0" w:color="auto"/>
                      </w:divBdr>
                    </w:div>
                  </w:divsChild>
                </w:div>
                <w:div w:id="148055280">
                  <w:marLeft w:val="0"/>
                  <w:marRight w:val="0"/>
                  <w:marTop w:val="0"/>
                  <w:marBottom w:val="0"/>
                  <w:divBdr>
                    <w:top w:val="none" w:sz="0" w:space="0" w:color="auto"/>
                    <w:left w:val="none" w:sz="0" w:space="0" w:color="auto"/>
                    <w:bottom w:val="none" w:sz="0" w:space="0" w:color="auto"/>
                    <w:right w:val="none" w:sz="0" w:space="0" w:color="auto"/>
                  </w:divBdr>
                  <w:divsChild>
                    <w:div w:id="1293512098">
                      <w:marLeft w:val="0"/>
                      <w:marRight w:val="0"/>
                      <w:marTop w:val="0"/>
                      <w:marBottom w:val="0"/>
                      <w:divBdr>
                        <w:top w:val="none" w:sz="0" w:space="0" w:color="auto"/>
                        <w:left w:val="none" w:sz="0" w:space="0" w:color="auto"/>
                        <w:bottom w:val="none" w:sz="0" w:space="0" w:color="auto"/>
                        <w:right w:val="none" w:sz="0" w:space="0" w:color="auto"/>
                      </w:divBdr>
                    </w:div>
                  </w:divsChild>
                </w:div>
                <w:div w:id="149715943">
                  <w:marLeft w:val="0"/>
                  <w:marRight w:val="0"/>
                  <w:marTop w:val="0"/>
                  <w:marBottom w:val="0"/>
                  <w:divBdr>
                    <w:top w:val="none" w:sz="0" w:space="0" w:color="auto"/>
                    <w:left w:val="none" w:sz="0" w:space="0" w:color="auto"/>
                    <w:bottom w:val="none" w:sz="0" w:space="0" w:color="auto"/>
                    <w:right w:val="none" w:sz="0" w:space="0" w:color="auto"/>
                  </w:divBdr>
                  <w:divsChild>
                    <w:div w:id="1022322902">
                      <w:marLeft w:val="0"/>
                      <w:marRight w:val="0"/>
                      <w:marTop w:val="0"/>
                      <w:marBottom w:val="0"/>
                      <w:divBdr>
                        <w:top w:val="none" w:sz="0" w:space="0" w:color="auto"/>
                        <w:left w:val="none" w:sz="0" w:space="0" w:color="auto"/>
                        <w:bottom w:val="none" w:sz="0" w:space="0" w:color="auto"/>
                        <w:right w:val="none" w:sz="0" w:space="0" w:color="auto"/>
                      </w:divBdr>
                    </w:div>
                  </w:divsChild>
                </w:div>
                <w:div w:id="151020754">
                  <w:marLeft w:val="0"/>
                  <w:marRight w:val="0"/>
                  <w:marTop w:val="0"/>
                  <w:marBottom w:val="0"/>
                  <w:divBdr>
                    <w:top w:val="none" w:sz="0" w:space="0" w:color="auto"/>
                    <w:left w:val="none" w:sz="0" w:space="0" w:color="auto"/>
                    <w:bottom w:val="none" w:sz="0" w:space="0" w:color="auto"/>
                    <w:right w:val="none" w:sz="0" w:space="0" w:color="auto"/>
                  </w:divBdr>
                  <w:divsChild>
                    <w:div w:id="1147092156">
                      <w:marLeft w:val="0"/>
                      <w:marRight w:val="0"/>
                      <w:marTop w:val="0"/>
                      <w:marBottom w:val="0"/>
                      <w:divBdr>
                        <w:top w:val="none" w:sz="0" w:space="0" w:color="auto"/>
                        <w:left w:val="none" w:sz="0" w:space="0" w:color="auto"/>
                        <w:bottom w:val="none" w:sz="0" w:space="0" w:color="auto"/>
                        <w:right w:val="none" w:sz="0" w:space="0" w:color="auto"/>
                      </w:divBdr>
                    </w:div>
                  </w:divsChild>
                </w:div>
                <w:div w:id="164976578">
                  <w:marLeft w:val="0"/>
                  <w:marRight w:val="0"/>
                  <w:marTop w:val="0"/>
                  <w:marBottom w:val="0"/>
                  <w:divBdr>
                    <w:top w:val="none" w:sz="0" w:space="0" w:color="auto"/>
                    <w:left w:val="none" w:sz="0" w:space="0" w:color="auto"/>
                    <w:bottom w:val="none" w:sz="0" w:space="0" w:color="auto"/>
                    <w:right w:val="none" w:sz="0" w:space="0" w:color="auto"/>
                  </w:divBdr>
                  <w:divsChild>
                    <w:div w:id="1407073194">
                      <w:marLeft w:val="0"/>
                      <w:marRight w:val="0"/>
                      <w:marTop w:val="0"/>
                      <w:marBottom w:val="0"/>
                      <w:divBdr>
                        <w:top w:val="none" w:sz="0" w:space="0" w:color="auto"/>
                        <w:left w:val="none" w:sz="0" w:space="0" w:color="auto"/>
                        <w:bottom w:val="none" w:sz="0" w:space="0" w:color="auto"/>
                        <w:right w:val="none" w:sz="0" w:space="0" w:color="auto"/>
                      </w:divBdr>
                    </w:div>
                  </w:divsChild>
                </w:div>
                <w:div w:id="165824896">
                  <w:marLeft w:val="0"/>
                  <w:marRight w:val="0"/>
                  <w:marTop w:val="0"/>
                  <w:marBottom w:val="0"/>
                  <w:divBdr>
                    <w:top w:val="none" w:sz="0" w:space="0" w:color="auto"/>
                    <w:left w:val="none" w:sz="0" w:space="0" w:color="auto"/>
                    <w:bottom w:val="none" w:sz="0" w:space="0" w:color="auto"/>
                    <w:right w:val="none" w:sz="0" w:space="0" w:color="auto"/>
                  </w:divBdr>
                  <w:divsChild>
                    <w:div w:id="293029519">
                      <w:marLeft w:val="0"/>
                      <w:marRight w:val="0"/>
                      <w:marTop w:val="0"/>
                      <w:marBottom w:val="0"/>
                      <w:divBdr>
                        <w:top w:val="none" w:sz="0" w:space="0" w:color="auto"/>
                        <w:left w:val="none" w:sz="0" w:space="0" w:color="auto"/>
                        <w:bottom w:val="none" w:sz="0" w:space="0" w:color="auto"/>
                        <w:right w:val="none" w:sz="0" w:space="0" w:color="auto"/>
                      </w:divBdr>
                    </w:div>
                  </w:divsChild>
                </w:div>
                <w:div w:id="171650961">
                  <w:marLeft w:val="0"/>
                  <w:marRight w:val="0"/>
                  <w:marTop w:val="0"/>
                  <w:marBottom w:val="0"/>
                  <w:divBdr>
                    <w:top w:val="none" w:sz="0" w:space="0" w:color="auto"/>
                    <w:left w:val="none" w:sz="0" w:space="0" w:color="auto"/>
                    <w:bottom w:val="none" w:sz="0" w:space="0" w:color="auto"/>
                    <w:right w:val="none" w:sz="0" w:space="0" w:color="auto"/>
                  </w:divBdr>
                  <w:divsChild>
                    <w:div w:id="1550335254">
                      <w:marLeft w:val="0"/>
                      <w:marRight w:val="0"/>
                      <w:marTop w:val="0"/>
                      <w:marBottom w:val="0"/>
                      <w:divBdr>
                        <w:top w:val="none" w:sz="0" w:space="0" w:color="auto"/>
                        <w:left w:val="none" w:sz="0" w:space="0" w:color="auto"/>
                        <w:bottom w:val="none" w:sz="0" w:space="0" w:color="auto"/>
                        <w:right w:val="none" w:sz="0" w:space="0" w:color="auto"/>
                      </w:divBdr>
                    </w:div>
                  </w:divsChild>
                </w:div>
                <w:div w:id="173690712">
                  <w:marLeft w:val="0"/>
                  <w:marRight w:val="0"/>
                  <w:marTop w:val="0"/>
                  <w:marBottom w:val="0"/>
                  <w:divBdr>
                    <w:top w:val="none" w:sz="0" w:space="0" w:color="auto"/>
                    <w:left w:val="none" w:sz="0" w:space="0" w:color="auto"/>
                    <w:bottom w:val="none" w:sz="0" w:space="0" w:color="auto"/>
                    <w:right w:val="none" w:sz="0" w:space="0" w:color="auto"/>
                  </w:divBdr>
                  <w:divsChild>
                    <w:div w:id="268270841">
                      <w:marLeft w:val="0"/>
                      <w:marRight w:val="0"/>
                      <w:marTop w:val="0"/>
                      <w:marBottom w:val="0"/>
                      <w:divBdr>
                        <w:top w:val="none" w:sz="0" w:space="0" w:color="auto"/>
                        <w:left w:val="none" w:sz="0" w:space="0" w:color="auto"/>
                        <w:bottom w:val="none" w:sz="0" w:space="0" w:color="auto"/>
                        <w:right w:val="none" w:sz="0" w:space="0" w:color="auto"/>
                      </w:divBdr>
                    </w:div>
                  </w:divsChild>
                </w:div>
                <w:div w:id="184251283">
                  <w:marLeft w:val="0"/>
                  <w:marRight w:val="0"/>
                  <w:marTop w:val="0"/>
                  <w:marBottom w:val="0"/>
                  <w:divBdr>
                    <w:top w:val="none" w:sz="0" w:space="0" w:color="auto"/>
                    <w:left w:val="none" w:sz="0" w:space="0" w:color="auto"/>
                    <w:bottom w:val="none" w:sz="0" w:space="0" w:color="auto"/>
                    <w:right w:val="none" w:sz="0" w:space="0" w:color="auto"/>
                  </w:divBdr>
                  <w:divsChild>
                    <w:div w:id="292444877">
                      <w:marLeft w:val="0"/>
                      <w:marRight w:val="0"/>
                      <w:marTop w:val="0"/>
                      <w:marBottom w:val="0"/>
                      <w:divBdr>
                        <w:top w:val="none" w:sz="0" w:space="0" w:color="auto"/>
                        <w:left w:val="none" w:sz="0" w:space="0" w:color="auto"/>
                        <w:bottom w:val="none" w:sz="0" w:space="0" w:color="auto"/>
                        <w:right w:val="none" w:sz="0" w:space="0" w:color="auto"/>
                      </w:divBdr>
                    </w:div>
                  </w:divsChild>
                </w:div>
                <w:div w:id="189951827">
                  <w:marLeft w:val="0"/>
                  <w:marRight w:val="0"/>
                  <w:marTop w:val="0"/>
                  <w:marBottom w:val="0"/>
                  <w:divBdr>
                    <w:top w:val="none" w:sz="0" w:space="0" w:color="auto"/>
                    <w:left w:val="none" w:sz="0" w:space="0" w:color="auto"/>
                    <w:bottom w:val="none" w:sz="0" w:space="0" w:color="auto"/>
                    <w:right w:val="none" w:sz="0" w:space="0" w:color="auto"/>
                  </w:divBdr>
                  <w:divsChild>
                    <w:div w:id="928077770">
                      <w:marLeft w:val="0"/>
                      <w:marRight w:val="0"/>
                      <w:marTop w:val="0"/>
                      <w:marBottom w:val="0"/>
                      <w:divBdr>
                        <w:top w:val="none" w:sz="0" w:space="0" w:color="auto"/>
                        <w:left w:val="none" w:sz="0" w:space="0" w:color="auto"/>
                        <w:bottom w:val="none" w:sz="0" w:space="0" w:color="auto"/>
                        <w:right w:val="none" w:sz="0" w:space="0" w:color="auto"/>
                      </w:divBdr>
                    </w:div>
                  </w:divsChild>
                </w:div>
                <w:div w:id="192043164">
                  <w:marLeft w:val="0"/>
                  <w:marRight w:val="0"/>
                  <w:marTop w:val="0"/>
                  <w:marBottom w:val="0"/>
                  <w:divBdr>
                    <w:top w:val="none" w:sz="0" w:space="0" w:color="auto"/>
                    <w:left w:val="none" w:sz="0" w:space="0" w:color="auto"/>
                    <w:bottom w:val="none" w:sz="0" w:space="0" w:color="auto"/>
                    <w:right w:val="none" w:sz="0" w:space="0" w:color="auto"/>
                  </w:divBdr>
                  <w:divsChild>
                    <w:div w:id="592518977">
                      <w:marLeft w:val="0"/>
                      <w:marRight w:val="0"/>
                      <w:marTop w:val="0"/>
                      <w:marBottom w:val="0"/>
                      <w:divBdr>
                        <w:top w:val="none" w:sz="0" w:space="0" w:color="auto"/>
                        <w:left w:val="none" w:sz="0" w:space="0" w:color="auto"/>
                        <w:bottom w:val="none" w:sz="0" w:space="0" w:color="auto"/>
                        <w:right w:val="none" w:sz="0" w:space="0" w:color="auto"/>
                      </w:divBdr>
                    </w:div>
                  </w:divsChild>
                </w:div>
                <w:div w:id="198510846">
                  <w:marLeft w:val="0"/>
                  <w:marRight w:val="0"/>
                  <w:marTop w:val="0"/>
                  <w:marBottom w:val="0"/>
                  <w:divBdr>
                    <w:top w:val="none" w:sz="0" w:space="0" w:color="auto"/>
                    <w:left w:val="none" w:sz="0" w:space="0" w:color="auto"/>
                    <w:bottom w:val="none" w:sz="0" w:space="0" w:color="auto"/>
                    <w:right w:val="none" w:sz="0" w:space="0" w:color="auto"/>
                  </w:divBdr>
                  <w:divsChild>
                    <w:div w:id="1473979702">
                      <w:marLeft w:val="0"/>
                      <w:marRight w:val="0"/>
                      <w:marTop w:val="0"/>
                      <w:marBottom w:val="0"/>
                      <w:divBdr>
                        <w:top w:val="none" w:sz="0" w:space="0" w:color="auto"/>
                        <w:left w:val="none" w:sz="0" w:space="0" w:color="auto"/>
                        <w:bottom w:val="none" w:sz="0" w:space="0" w:color="auto"/>
                        <w:right w:val="none" w:sz="0" w:space="0" w:color="auto"/>
                      </w:divBdr>
                    </w:div>
                  </w:divsChild>
                </w:div>
                <w:div w:id="201094362">
                  <w:marLeft w:val="0"/>
                  <w:marRight w:val="0"/>
                  <w:marTop w:val="0"/>
                  <w:marBottom w:val="0"/>
                  <w:divBdr>
                    <w:top w:val="none" w:sz="0" w:space="0" w:color="auto"/>
                    <w:left w:val="none" w:sz="0" w:space="0" w:color="auto"/>
                    <w:bottom w:val="none" w:sz="0" w:space="0" w:color="auto"/>
                    <w:right w:val="none" w:sz="0" w:space="0" w:color="auto"/>
                  </w:divBdr>
                  <w:divsChild>
                    <w:div w:id="409623652">
                      <w:marLeft w:val="0"/>
                      <w:marRight w:val="0"/>
                      <w:marTop w:val="0"/>
                      <w:marBottom w:val="0"/>
                      <w:divBdr>
                        <w:top w:val="none" w:sz="0" w:space="0" w:color="auto"/>
                        <w:left w:val="none" w:sz="0" w:space="0" w:color="auto"/>
                        <w:bottom w:val="none" w:sz="0" w:space="0" w:color="auto"/>
                        <w:right w:val="none" w:sz="0" w:space="0" w:color="auto"/>
                      </w:divBdr>
                    </w:div>
                  </w:divsChild>
                </w:div>
                <w:div w:id="224414344">
                  <w:marLeft w:val="0"/>
                  <w:marRight w:val="0"/>
                  <w:marTop w:val="0"/>
                  <w:marBottom w:val="0"/>
                  <w:divBdr>
                    <w:top w:val="none" w:sz="0" w:space="0" w:color="auto"/>
                    <w:left w:val="none" w:sz="0" w:space="0" w:color="auto"/>
                    <w:bottom w:val="none" w:sz="0" w:space="0" w:color="auto"/>
                    <w:right w:val="none" w:sz="0" w:space="0" w:color="auto"/>
                  </w:divBdr>
                  <w:divsChild>
                    <w:div w:id="55907310">
                      <w:marLeft w:val="0"/>
                      <w:marRight w:val="0"/>
                      <w:marTop w:val="0"/>
                      <w:marBottom w:val="0"/>
                      <w:divBdr>
                        <w:top w:val="none" w:sz="0" w:space="0" w:color="auto"/>
                        <w:left w:val="none" w:sz="0" w:space="0" w:color="auto"/>
                        <w:bottom w:val="none" w:sz="0" w:space="0" w:color="auto"/>
                        <w:right w:val="none" w:sz="0" w:space="0" w:color="auto"/>
                      </w:divBdr>
                    </w:div>
                  </w:divsChild>
                </w:div>
                <w:div w:id="224724876">
                  <w:marLeft w:val="0"/>
                  <w:marRight w:val="0"/>
                  <w:marTop w:val="0"/>
                  <w:marBottom w:val="0"/>
                  <w:divBdr>
                    <w:top w:val="none" w:sz="0" w:space="0" w:color="auto"/>
                    <w:left w:val="none" w:sz="0" w:space="0" w:color="auto"/>
                    <w:bottom w:val="none" w:sz="0" w:space="0" w:color="auto"/>
                    <w:right w:val="none" w:sz="0" w:space="0" w:color="auto"/>
                  </w:divBdr>
                  <w:divsChild>
                    <w:div w:id="1968117935">
                      <w:marLeft w:val="0"/>
                      <w:marRight w:val="0"/>
                      <w:marTop w:val="0"/>
                      <w:marBottom w:val="0"/>
                      <w:divBdr>
                        <w:top w:val="none" w:sz="0" w:space="0" w:color="auto"/>
                        <w:left w:val="none" w:sz="0" w:space="0" w:color="auto"/>
                        <w:bottom w:val="none" w:sz="0" w:space="0" w:color="auto"/>
                        <w:right w:val="none" w:sz="0" w:space="0" w:color="auto"/>
                      </w:divBdr>
                    </w:div>
                  </w:divsChild>
                </w:div>
                <w:div w:id="237206481">
                  <w:marLeft w:val="0"/>
                  <w:marRight w:val="0"/>
                  <w:marTop w:val="0"/>
                  <w:marBottom w:val="0"/>
                  <w:divBdr>
                    <w:top w:val="none" w:sz="0" w:space="0" w:color="auto"/>
                    <w:left w:val="none" w:sz="0" w:space="0" w:color="auto"/>
                    <w:bottom w:val="none" w:sz="0" w:space="0" w:color="auto"/>
                    <w:right w:val="none" w:sz="0" w:space="0" w:color="auto"/>
                  </w:divBdr>
                  <w:divsChild>
                    <w:div w:id="941915789">
                      <w:marLeft w:val="0"/>
                      <w:marRight w:val="0"/>
                      <w:marTop w:val="0"/>
                      <w:marBottom w:val="0"/>
                      <w:divBdr>
                        <w:top w:val="none" w:sz="0" w:space="0" w:color="auto"/>
                        <w:left w:val="none" w:sz="0" w:space="0" w:color="auto"/>
                        <w:bottom w:val="none" w:sz="0" w:space="0" w:color="auto"/>
                        <w:right w:val="none" w:sz="0" w:space="0" w:color="auto"/>
                      </w:divBdr>
                    </w:div>
                  </w:divsChild>
                </w:div>
                <w:div w:id="243732008">
                  <w:marLeft w:val="0"/>
                  <w:marRight w:val="0"/>
                  <w:marTop w:val="0"/>
                  <w:marBottom w:val="0"/>
                  <w:divBdr>
                    <w:top w:val="none" w:sz="0" w:space="0" w:color="auto"/>
                    <w:left w:val="none" w:sz="0" w:space="0" w:color="auto"/>
                    <w:bottom w:val="none" w:sz="0" w:space="0" w:color="auto"/>
                    <w:right w:val="none" w:sz="0" w:space="0" w:color="auto"/>
                  </w:divBdr>
                  <w:divsChild>
                    <w:div w:id="1017733831">
                      <w:marLeft w:val="0"/>
                      <w:marRight w:val="0"/>
                      <w:marTop w:val="0"/>
                      <w:marBottom w:val="0"/>
                      <w:divBdr>
                        <w:top w:val="none" w:sz="0" w:space="0" w:color="auto"/>
                        <w:left w:val="none" w:sz="0" w:space="0" w:color="auto"/>
                        <w:bottom w:val="none" w:sz="0" w:space="0" w:color="auto"/>
                        <w:right w:val="none" w:sz="0" w:space="0" w:color="auto"/>
                      </w:divBdr>
                    </w:div>
                  </w:divsChild>
                </w:div>
                <w:div w:id="257834447">
                  <w:marLeft w:val="0"/>
                  <w:marRight w:val="0"/>
                  <w:marTop w:val="0"/>
                  <w:marBottom w:val="0"/>
                  <w:divBdr>
                    <w:top w:val="none" w:sz="0" w:space="0" w:color="auto"/>
                    <w:left w:val="none" w:sz="0" w:space="0" w:color="auto"/>
                    <w:bottom w:val="none" w:sz="0" w:space="0" w:color="auto"/>
                    <w:right w:val="none" w:sz="0" w:space="0" w:color="auto"/>
                  </w:divBdr>
                  <w:divsChild>
                    <w:div w:id="1365595396">
                      <w:marLeft w:val="0"/>
                      <w:marRight w:val="0"/>
                      <w:marTop w:val="0"/>
                      <w:marBottom w:val="0"/>
                      <w:divBdr>
                        <w:top w:val="none" w:sz="0" w:space="0" w:color="auto"/>
                        <w:left w:val="none" w:sz="0" w:space="0" w:color="auto"/>
                        <w:bottom w:val="none" w:sz="0" w:space="0" w:color="auto"/>
                        <w:right w:val="none" w:sz="0" w:space="0" w:color="auto"/>
                      </w:divBdr>
                    </w:div>
                  </w:divsChild>
                </w:div>
                <w:div w:id="271282753">
                  <w:marLeft w:val="0"/>
                  <w:marRight w:val="0"/>
                  <w:marTop w:val="0"/>
                  <w:marBottom w:val="0"/>
                  <w:divBdr>
                    <w:top w:val="none" w:sz="0" w:space="0" w:color="auto"/>
                    <w:left w:val="none" w:sz="0" w:space="0" w:color="auto"/>
                    <w:bottom w:val="none" w:sz="0" w:space="0" w:color="auto"/>
                    <w:right w:val="none" w:sz="0" w:space="0" w:color="auto"/>
                  </w:divBdr>
                  <w:divsChild>
                    <w:div w:id="1186098110">
                      <w:marLeft w:val="0"/>
                      <w:marRight w:val="0"/>
                      <w:marTop w:val="0"/>
                      <w:marBottom w:val="0"/>
                      <w:divBdr>
                        <w:top w:val="none" w:sz="0" w:space="0" w:color="auto"/>
                        <w:left w:val="none" w:sz="0" w:space="0" w:color="auto"/>
                        <w:bottom w:val="none" w:sz="0" w:space="0" w:color="auto"/>
                        <w:right w:val="none" w:sz="0" w:space="0" w:color="auto"/>
                      </w:divBdr>
                    </w:div>
                  </w:divsChild>
                </w:div>
                <w:div w:id="281763951">
                  <w:marLeft w:val="0"/>
                  <w:marRight w:val="0"/>
                  <w:marTop w:val="0"/>
                  <w:marBottom w:val="0"/>
                  <w:divBdr>
                    <w:top w:val="none" w:sz="0" w:space="0" w:color="auto"/>
                    <w:left w:val="none" w:sz="0" w:space="0" w:color="auto"/>
                    <w:bottom w:val="none" w:sz="0" w:space="0" w:color="auto"/>
                    <w:right w:val="none" w:sz="0" w:space="0" w:color="auto"/>
                  </w:divBdr>
                  <w:divsChild>
                    <w:div w:id="1566456159">
                      <w:marLeft w:val="0"/>
                      <w:marRight w:val="0"/>
                      <w:marTop w:val="0"/>
                      <w:marBottom w:val="0"/>
                      <w:divBdr>
                        <w:top w:val="none" w:sz="0" w:space="0" w:color="auto"/>
                        <w:left w:val="none" w:sz="0" w:space="0" w:color="auto"/>
                        <w:bottom w:val="none" w:sz="0" w:space="0" w:color="auto"/>
                        <w:right w:val="none" w:sz="0" w:space="0" w:color="auto"/>
                      </w:divBdr>
                    </w:div>
                  </w:divsChild>
                </w:div>
                <w:div w:id="286666754">
                  <w:marLeft w:val="0"/>
                  <w:marRight w:val="0"/>
                  <w:marTop w:val="0"/>
                  <w:marBottom w:val="0"/>
                  <w:divBdr>
                    <w:top w:val="none" w:sz="0" w:space="0" w:color="auto"/>
                    <w:left w:val="none" w:sz="0" w:space="0" w:color="auto"/>
                    <w:bottom w:val="none" w:sz="0" w:space="0" w:color="auto"/>
                    <w:right w:val="none" w:sz="0" w:space="0" w:color="auto"/>
                  </w:divBdr>
                  <w:divsChild>
                    <w:div w:id="1326514396">
                      <w:marLeft w:val="0"/>
                      <w:marRight w:val="0"/>
                      <w:marTop w:val="0"/>
                      <w:marBottom w:val="0"/>
                      <w:divBdr>
                        <w:top w:val="none" w:sz="0" w:space="0" w:color="auto"/>
                        <w:left w:val="none" w:sz="0" w:space="0" w:color="auto"/>
                        <w:bottom w:val="none" w:sz="0" w:space="0" w:color="auto"/>
                        <w:right w:val="none" w:sz="0" w:space="0" w:color="auto"/>
                      </w:divBdr>
                    </w:div>
                  </w:divsChild>
                </w:div>
                <w:div w:id="287856839">
                  <w:marLeft w:val="0"/>
                  <w:marRight w:val="0"/>
                  <w:marTop w:val="0"/>
                  <w:marBottom w:val="0"/>
                  <w:divBdr>
                    <w:top w:val="none" w:sz="0" w:space="0" w:color="auto"/>
                    <w:left w:val="none" w:sz="0" w:space="0" w:color="auto"/>
                    <w:bottom w:val="none" w:sz="0" w:space="0" w:color="auto"/>
                    <w:right w:val="none" w:sz="0" w:space="0" w:color="auto"/>
                  </w:divBdr>
                  <w:divsChild>
                    <w:div w:id="1132096673">
                      <w:marLeft w:val="0"/>
                      <w:marRight w:val="0"/>
                      <w:marTop w:val="0"/>
                      <w:marBottom w:val="0"/>
                      <w:divBdr>
                        <w:top w:val="none" w:sz="0" w:space="0" w:color="auto"/>
                        <w:left w:val="none" w:sz="0" w:space="0" w:color="auto"/>
                        <w:bottom w:val="none" w:sz="0" w:space="0" w:color="auto"/>
                        <w:right w:val="none" w:sz="0" w:space="0" w:color="auto"/>
                      </w:divBdr>
                    </w:div>
                  </w:divsChild>
                </w:div>
                <w:div w:id="288824453">
                  <w:marLeft w:val="0"/>
                  <w:marRight w:val="0"/>
                  <w:marTop w:val="0"/>
                  <w:marBottom w:val="0"/>
                  <w:divBdr>
                    <w:top w:val="none" w:sz="0" w:space="0" w:color="auto"/>
                    <w:left w:val="none" w:sz="0" w:space="0" w:color="auto"/>
                    <w:bottom w:val="none" w:sz="0" w:space="0" w:color="auto"/>
                    <w:right w:val="none" w:sz="0" w:space="0" w:color="auto"/>
                  </w:divBdr>
                  <w:divsChild>
                    <w:div w:id="1102071877">
                      <w:marLeft w:val="0"/>
                      <w:marRight w:val="0"/>
                      <w:marTop w:val="0"/>
                      <w:marBottom w:val="0"/>
                      <w:divBdr>
                        <w:top w:val="none" w:sz="0" w:space="0" w:color="auto"/>
                        <w:left w:val="none" w:sz="0" w:space="0" w:color="auto"/>
                        <w:bottom w:val="none" w:sz="0" w:space="0" w:color="auto"/>
                        <w:right w:val="none" w:sz="0" w:space="0" w:color="auto"/>
                      </w:divBdr>
                    </w:div>
                  </w:divsChild>
                </w:div>
                <w:div w:id="291714971">
                  <w:marLeft w:val="0"/>
                  <w:marRight w:val="0"/>
                  <w:marTop w:val="0"/>
                  <w:marBottom w:val="0"/>
                  <w:divBdr>
                    <w:top w:val="none" w:sz="0" w:space="0" w:color="auto"/>
                    <w:left w:val="none" w:sz="0" w:space="0" w:color="auto"/>
                    <w:bottom w:val="none" w:sz="0" w:space="0" w:color="auto"/>
                    <w:right w:val="none" w:sz="0" w:space="0" w:color="auto"/>
                  </w:divBdr>
                  <w:divsChild>
                    <w:div w:id="2080908444">
                      <w:marLeft w:val="0"/>
                      <w:marRight w:val="0"/>
                      <w:marTop w:val="0"/>
                      <w:marBottom w:val="0"/>
                      <w:divBdr>
                        <w:top w:val="none" w:sz="0" w:space="0" w:color="auto"/>
                        <w:left w:val="none" w:sz="0" w:space="0" w:color="auto"/>
                        <w:bottom w:val="none" w:sz="0" w:space="0" w:color="auto"/>
                        <w:right w:val="none" w:sz="0" w:space="0" w:color="auto"/>
                      </w:divBdr>
                    </w:div>
                  </w:divsChild>
                </w:div>
                <w:div w:id="305162447">
                  <w:marLeft w:val="0"/>
                  <w:marRight w:val="0"/>
                  <w:marTop w:val="0"/>
                  <w:marBottom w:val="0"/>
                  <w:divBdr>
                    <w:top w:val="none" w:sz="0" w:space="0" w:color="auto"/>
                    <w:left w:val="none" w:sz="0" w:space="0" w:color="auto"/>
                    <w:bottom w:val="none" w:sz="0" w:space="0" w:color="auto"/>
                    <w:right w:val="none" w:sz="0" w:space="0" w:color="auto"/>
                  </w:divBdr>
                  <w:divsChild>
                    <w:div w:id="1867988463">
                      <w:marLeft w:val="0"/>
                      <w:marRight w:val="0"/>
                      <w:marTop w:val="0"/>
                      <w:marBottom w:val="0"/>
                      <w:divBdr>
                        <w:top w:val="none" w:sz="0" w:space="0" w:color="auto"/>
                        <w:left w:val="none" w:sz="0" w:space="0" w:color="auto"/>
                        <w:bottom w:val="none" w:sz="0" w:space="0" w:color="auto"/>
                        <w:right w:val="none" w:sz="0" w:space="0" w:color="auto"/>
                      </w:divBdr>
                    </w:div>
                  </w:divsChild>
                </w:div>
                <w:div w:id="311567491">
                  <w:marLeft w:val="0"/>
                  <w:marRight w:val="0"/>
                  <w:marTop w:val="0"/>
                  <w:marBottom w:val="0"/>
                  <w:divBdr>
                    <w:top w:val="none" w:sz="0" w:space="0" w:color="auto"/>
                    <w:left w:val="none" w:sz="0" w:space="0" w:color="auto"/>
                    <w:bottom w:val="none" w:sz="0" w:space="0" w:color="auto"/>
                    <w:right w:val="none" w:sz="0" w:space="0" w:color="auto"/>
                  </w:divBdr>
                  <w:divsChild>
                    <w:div w:id="1673602798">
                      <w:marLeft w:val="0"/>
                      <w:marRight w:val="0"/>
                      <w:marTop w:val="0"/>
                      <w:marBottom w:val="0"/>
                      <w:divBdr>
                        <w:top w:val="none" w:sz="0" w:space="0" w:color="auto"/>
                        <w:left w:val="none" w:sz="0" w:space="0" w:color="auto"/>
                        <w:bottom w:val="none" w:sz="0" w:space="0" w:color="auto"/>
                        <w:right w:val="none" w:sz="0" w:space="0" w:color="auto"/>
                      </w:divBdr>
                    </w:div>
                  </w:divsChild>
                </w:div>
                <w:div w:id="322776715">
                  <w:marLeft w:val="0"/>
                  <w:marRight w:val="0"/>
                  <w:marTop w:val="0"/>
                  <w:marBottom w:val="0"/>
                  <w:divBdr>
                    <w:top w:val="none" w:sz="0" w:space="0" w:color="auto"/>
                    <w:left w:val="none" w:sz="0" w:space="0" w:color="auto"/>
                    <w:bottom w:val="none" w:sz="0" w:space="0" w:color="auto"/>
                    <w:right w:val="none" w:sz="0" w:space="0" w:color="auto"/>
                  </w:divBdr>
                  <w:divsChild>
                    <w:div w:id="183784538">
                      <w:marLeft w:val="0"/>
                      <w:marRight w:val="0"/>
                      <w:marTop w:val="0"/>
                      <w:marBottom w:val="0"/>
                      <w:divBdr>
                        <w:top w:val="none" w:sz="0" w:space="0" w:color="auto"/>
                        <w:left w:val="none" w:sz="0" w:space="0" w:color="auto"/>
                        <w:bottom w:val="none" w:sz="0" w:space="0" w:color="auto"/>
                        <w:right w:val="none" w:sz="0" w:space="0" w:color="auto"/>
                      </w:divBdr>
                    </w:div>
                    <w:div w:id="557977818">
                      <w:marLeft w:val="0"/>
                      <w:marRight w:val="0"/>
                      <w:marTop w:val="0"/>
                      <w:marBottom w:val="0"/>
                      <w:divBdr>
                        <w:top w:val="none" w:sz="0" w:space="0" w:color="auto"/>
                        <w:left w:val="none" w:sz="0" w:space="0" w:color="auto"/>
                        <w:bottom w:val="none" w:sz="0" w:space="0" w:color="auto"/>
                        <w:right w:val="none" w:sz="0" w:space="0" w:color="auto"/>
                      </w:divBdr>
                    </w:div>
                    <w:div w:id="1282111857">
                      <w:marLeft w:val="0"/>
                      <w:marRight w:val="0"/>
                      <w:marTop w:val="0"/>
                      <w:marBottom w:val="0"/>
                      <w:divBdr>
                        <w:top w:val="none" w:sz="0" w:space="0" w:color="auto"/>
                        <w:left w:val="none" w:sz="0" w:space="0" w:color="auto"/>
                        <w:bottom w:val="none" w:sz="0" w:space="0" w:color="auto"/>
                        <w:right w:val="none" w:sz="0" w:space="0" w:color="auto"/>
                      </w:divBdr>
                    </w:div>
                  </w:divsChild>
                </w:div>
                <w:div w:id="332149671">
                  <w:marLeft w:val="0"/>
                  <w:marRight w:val="0"/>
                  <w:marTop w:val="0"/>
                  <w:marBottom w:val="0"/>
                  <w:divBdr>
                    <w:top w:val="none" w:sz="0" w:space="0" w:color="auto"/>
                    <w:left w:val="none" w:sz="0" w:space="0" w:color="auto"/>
                    <w:bottom w:val="none" w:sz="0" w:space="0" w:color="auto"/>
                    <w:right w:val="none" w:sz="0" w:space="0" w:color="auto"/>
                  </w:divBdr>
                  <w:divsChild>
                    <w:div w:id="272980812">
                      <w:marLeft w:val="0"/>
                      <w:marRight w:val="0"/>
                      <w:marTop w:val="0"/>
                      <w:marBottom w:val="0"/>
                      <w:divBdr>
                        <w:top w:val="none" w:sz="0" w:space="0" w:color="auto"/>
                        <w:left w:val="none" w:sz="0" w:space="0" w:color="auto"/>
                        <w:bottom w:val="none" w:sz="0" w:space="0" w:color="auto"/>
                        <w:right w:val="none" w:sz="0" w:space="0" w:color="auto"/>
                      </w:divBdr>
                    </w:div>
                  </w:divsChild>
                </w:div>
                <w:div w:id="345642913">
                  <w:marLeft w:val="0"/>
                  <w:marRight w:val="0"/>
                  <w:marTop w:val="0"/>
                  <w:marBottom w:val="0"/>
                  <w:divBdr>
                    <w:top w:val="none" w:sz="0" w:space="0" w:color="auto"/>
                    <w:left w:val="none" w:sz="0" w:space="0" w:color="auto"/>
                    <w:bottom w:val="none" w:sz="0" w:space="0" w:color="auto"/>
                    <w:right w:val="none" w:sz="0" w:space="0" w:color="auto"/>
                  </w:divBdr>
                  <w:divsChild>
                    <w:div w:id="813762024">
                      <w:marLeft w:val="0"/>
                      <w:marRight w:val="0"/>
                      <w:marTop w:val="0"/>
                      <w:marBottom w:val="0"/>
                      <w:divBdr>
                        <w:top w:val="none" w:sz="0" w:space="0" w:color="auto"/>
                        <w:left w:val="none" w:sz="0" w:space="0" w:color="auto"/>
                        <w:bottom w:val="none" w:sz="0" w:space="0" w:color="auto"/>
                        <w:right w:val="none" w:sz="0" w:space="0" w:color="auto"/>
                      </w:divBdr>
                    </w:div>
                  </w:divsChild>
                </w:div>
                <w:div w:id="362705139">
                  <w:marLeft w:val="0"/>
                  <w:marRight w:val="0"/>
                  <w:marTop w:val="0"/>
                  <w:marBottom w:val="0"/>
                  <w:divBdr>
                    <w:top w:val="none" w:sz="0" w:space="0" w:color="auto"/>
                    <w:left w:val="none" w:sz="0" w:space="0" w:color="auto"/>
                    <w:bottom w:val="none" w:sz="0" w:space="0" w:color="auto"/>
                    <w:right w:val="none" w:sz="0" w:space="0" w:color="auto"/>
                  </w:divBdr>
                  <w:divsChild>
                    <w:div w:id="1184322897">
                      <w:marLeft w:val="0"/>
                      <w:marRight w:val="0"/>
                      <w:marTop w:val="0"/>
                      <w:marBottom w:val="0"/>
                      <w:divBdr>
                        <w:top w:val="none" w:sz="0" w:space="0" w:color="auto"/>
                        <w:left w:val="none" w:sz="0" w:space="0" w:color="auto"/>
                        <w:bottom w:val="none" w:sz="0" w:space="0" w:color="auto"/>
                        <w:right w:val="none" w:sz="0" w:space="0" w:color="auto"/>
                      </w:divBdr>
                    </w:div>
                  </w:divsChild>
                </w:div>
                <w:div w:id="369496195">
                  <w:marLeft w:val="0"/>
                  <w:marRight w:val="0"/>
                  <w:marTop w:val="0"/>
                  <w:marBottom w:val="0"/>
                  <w:divBdr>
                    <w:top w:val="none" w:sz="0" w:space="0" w:color="auto"/>
                    <w:left w:val="none" w:sz="0" w:space="0" w:color="auto"/>
                    <w:bottom w:val="none" w:sz="0" w:space="0" w:color="auto"/>
                    <w:right w:val="none" w:sz="0" w:space="0" w:color="auto"/>
                  </w:divBdr>
                  <w:divsChild>
                    <w:div w:id="279604529">
                      <w:marLeft w:val="0"/>
                      <w:marRight w:val="0"/>
                      <w:marTop w:val="0"/>
                      <w:marBottom w:val="0"/>
                      <w:divBdr>
                        <w:top w:val="none" w:sz="0" w:space="0" w:color="auto"/>
                        <w:left w:val="none" w:sz="0" w:space="0" w:color="auto"/>
                        <w:bottom w:val="none" w:sz="0" w:space="0" w:color="auto"/>
                        <w:right w:val="none" w:sz="0" w:space="0" w:color="auto"/>
                      </w:divBdr>
                    </w:div>
                  </w:divsChild>
                </w:div>
                <w:div w:id="369645148">
                  <w:marLeft w:val="0"/>
                  <w:marRight w:val="0"/>
                  <w:marTop w:val="0"/>
                  <w:marBottom w:val="0"/>
                  <w:divBdr>
                    <w:top w:val="none" w:sz="0" w:space="0" w:color="auto"/>
                    <w:left w:val="none" w:sz="0" w:space="0" w:color="auto"/>
                    <w:bottom w:val="none" w:sz="0" w:space="0" w:color="auto"/>
                    <w:right w:val="none" w:sz="0" w:space="0" w:color="auto"/>
                  </w:divBdr>
                  <w:divsChild>
                    <w:div w:id="1900825205">
                      <w:marLeft w:val="0"/>
                      <w:marRight w:val="0"/>
                      <w:marTop w:val="0"/>
                      <w:marBottom w:val="0"/>
                      <w:divBdr>
                        <w:top w:val="none" w:sz="0" w:space="0" w:color="auto"/>
                        <w:left w:val="none" w:sz="0" w:space="0" w:color="auto"/>
                        <w:bottom w:val="none" w:sz="0" w:space="0" w:color="auto"/>
                        <w:right w:val="none" w:sz="0" w:space="0" w:color="auto"/>
                      </w:divBdr>
                    </w:div>
                  </w:divsChild>
                </w:div>
                <w:div w:id="383607724">
                  <w:marLeft w:val="0"/>
                  <w:marRight w:val="0"/>
                  <w:marTop w:val="0"/>
                  <w:marBottom w:val="0"/>
                  <w:divBdr>
                    <w:top w:val="none" w:sz="0" w:space="0" w:color="auto"/>
                    <w:left w:val="none" w:sz="0" w:space="0" w:color="auto"/>
                    <w:bottom w:val="none" w:sz="0" w:space="0" w:color="auto"/>
                    <w:right w:val="none" w:sz="0" w:space="0" w:color="auto"/>
                  </w:divBdr>
                  <w:divsChild>
                    <w:div w:id="666250837">
                      <w:marLeft w:val="0"/>
                      <w:marRight w:val="0"/>
                      <w:marTop w:val="0"/>
                      <w:marBottom w:val="0"/>
                      <w:divBdr>
                        <w:top w:val="none" w:sz="0" w:space="0" w:color="auto"/>
                        <w:left w:val="none" w:sz="0" w:space="0" w:color="auto"/>
                        <w:bottom w:val="none" w:sz="0" w:space="0" w:color="auto"/>
                        <w:right w:val="none" w:sz="0" w:space="0" w:color="auto"/>
                      </w:divBdr>
                    </w:div>
                  </w:divsChild>
                </w:div>
                <w:div w:id="385952393">
                  <w:marLeft w:val="0"/>
                  <w:marRight w:val="0"/>
                  <w:marTop w:val="0"/>
                  <w:marBottom w:val="0"/>
                  <w:divBdr>
                    <w:top w:val="none" w:sz="0" w:space="0" w:color="auto"/>
                    <w:left w:val="none" w:sz="0" w:space="0" w:color="auto"/>
                    <w:bottom w:val="none" w:sz="0" w:space="0" w:color="auto"/>
                    <w:right w:val="none" w:sz="0" w:space="0" w:color="auto"/>
                  </w:divBdr>
                  <w:divsChild>
                    <w:div w:id="709764252">
                      <w:marLeft w:val="0"/>
                      <w:marRight w:val="0"/>
                      <w:marTop w:val="0"/>
                      <w:marBottom w:val="0"/>
                      <w:divBdr>
                        <w:top w:val="none" w:sz="0" w:space="0" w:color="auto"/>
                        <w:left w:val="none" w:sz="0" w:space="0" w:color="auto"/>
                        <w:bottom w:val="none" w:sz="0" w:space="0" w:color="auto"/>
                        <w:right w:val="none" w:sz="0" w:space="0" w:color="auto"/>
                      </w:divBdr>
                    </w:div>
                  </w:divsChild>
                </w:div>
                <w:div w:id="396512127">
                  <w:marLeft w:val="0"/>
                  <w:marRight w:val="0"/>
                  <w:marTop w:val="0"/>
                  <w:marBottom w:val="0"/>
                  <w:divBdr>
                    <w:top w:val="none" w:sz="0" w:space="0" w:color="auto"/>
                    <w:left w:val="none" w:sz="0" w:space="0" w:color="auto"/>
                    <w:bottom w:val="none" w:sz="0" w:space="0" w:color="auto"/>
                    <w:right w:val="none" w:sz="0" w:space="0" w:color="auto"/>
                  </w:divBdr>
                  <w:divsChild>
                    <w:div w:id="1120220391">
                      <w:marLeft w:val="0"/>
                      <w:marRight w:val="0"/>
                      <w:marTop w:val="0"/>
                      <w:marBottom w:val="0"/>
                      <w:divBdr>
                        <w:top w:val="none" w:sz="0" w:space="0" w:color="auto"/>
                        <w:left w:val="none" w:sz="0" w:space="0" w:color="auto"/>
                        <w:bottom w:val="none" w:sz="0" w:space="0" w:color="auto"/>
                        <w:right w:val="none" w:sz="0" w:space="0" w:color="auto"/>
                      </w:divBdr>
                    </w:div>
                  </w:divsChild>
                </w:div>
                <w:div w:id="412515071">
                  <w:marLeft w:val="0"/>
                  <w:marRight w:val="0"/>
                  <w:marTop w:val="0"/>
                  <w:marBottom w:val="0"/>
                  <w:divBdr>
                    <w:top w:val="none" w:sz="0" w:space="0" w:color="auto"/>
                    <w:left w:val="none" w:sz="0" w:space="0" w:color="auto"/>
                    <w:bottom w:val="none" w:sz="0" w:space="0" w:color="auto"/>
                    <w:right w:val="none" w:sz="0" w:space="0" w:color="auto"/>
                  </w:divBdr>
                  <w:divsChild>
                    <w:div w:id="448937829">
                      <w:marLeft w:val="0"/>
                      <w:marRight w:val="0"/>
                      <w:marTop w:val="0"/>
                      <w:marBottom w:val="0"/>
                      <w:divBdr>
                        <w:top w:val="none" w:sz="0" w:space="0" w:color="auto"/>
                        <w:left w:val="none" w:sz="0" w:space="0" w:color="auto"/>
                        <w:bottom w:val="none" w:sz="0" w:space="0" w:color="auto"/>
                        <w:right w:val="none" w:sz="0" w:space="0" w:color="auto"/>
                      </w:divBdr>
                    </w:div>
                  </w:divsChild>
                </w:div>
                <w:div w:id="416637661">
                  <w:marLeft w:val="0"/>
                  <w:marRight w:val="0"/>
                  <w:marTop w:val="0"/>
                  <w:marBottom w:val="0"/>
                  <w:divBdr>
                    <w:top w:val="none" w:sz="0" w:space="0" w:color="auto"/>
                    <w:left w:val="none" w:sz="0" w:space="0" w:color="auto"/>
                    <w:bottom w:val="none" w:sz="0" w:space="0" w:color="auto"/>
                    <w:right w:val="none" w:sz="0" w:space="0" w:color="auto"/>
                  </w:divBdr>
                  <w:divsChild>
                    <w:div w:id="2025352097">
                      <w:marLeft w:val="0"/>
                      <w:marRight w:val="0"/>
                      <w:marTop w:val="0"/>
                      <w:marBottom w:val="0"/>
                      <w:divBdr>
                        <w:top w:val="none" w:sz="0" w:space="0" w:color="auto"/>
                        <w:left w:val="none" w:sz="0" w:space="0" w:color="auto"/>
                        <w:bottom w:val="none" w:sz="0" w:space="0" w:color="auto"/>
                        <w:right w:val="none" w:sz="0" w:space="0" w:color="auto"/>
                      </w:divBdr>
                    </w:div>
                  </w:divsChild>
                </w:div>
                <w:div w:id="417947874">
                  <w:marLeft w:val="0"/>
                  <w:marRight w:val="0"/>
                  <w:marTop w:val="0"/>
                  <w:marBottom w:val="0"/>
                  <w:divBdr>
                    <w:top w:val="none" w:sz="0" w:space="0" w:color="auto"/>
                    <w:left w:val="none" w:sz="0" w:space="0" w:color="auto"/>
                    <w:bottom w:val="none" w:sz="0" w:space="0" w:color="auto"/>
                    <w:right w:val="none" w:sz="0" w:space="0" w:color="auto"/>
                  </w:divBdr>
                  <w:divsChild>
                    <w:div w:id="1178468559">
                      <w:marLeft w:val="0"/>
                      <w:marRight w:val="0"/>
                      <w:marTop w:val="0"/>
                      <w:marBottom w:val="0"/>
                      <w:divBdr>
                        <w:top w:val="none" w:sz="0" w:space="0" w:color="auto"/>
                        <w:left w:val="none" w:sz="0" w:space="0" w:color="auto"/>
                        <w:bottom w:val="none" w:sz="0" w:space="0" w:color="auto"/>
                        <w:right w:val="none" w:sz="0" w:space="0" w:color="auto"/>
                      </w:divBdr>
                    </w:div>
                  </w:divsChild>
                </w:div>
                <w:div w:id="423913758">
                  <w:marLeft w:val="0"/>
                  <w:marRight w:val="0"/>
                  <w:marTop w:val="0"/>
                  <w:marBottom w:val="0"/>
                  <w:divBdr>
                    <w:top w:val="none" w:sz="0" w:space="0" w:color="auto"/>
                    <w:left w:val="none" w:sz="0" w:space="0" w:color="auto"/>
                    <w:bottom w:val="none" w:sz="0" w:space="0" w:color="auto"/>
                    <w:right w:val="none" w:sz="0" w:space="0" w:color="auto"/>
                  </w:divBdr>
                  <w:divsChild>
                    <w:div w:id="1190409977">
                      <w:marLeft w:val="0"/>
                      <w:marRight w:val="0"/>
                      <w:marTop w:val="0"/>
                      <w:marBottom w:val="0"/>
                      <w:divBdr>
                        <w:top w:val="none" w:sz="0" w:space="0" w:color="auto"/>
                        <w:left w:val="none" w:sz="0" w:space="0" w:color="auto"/>
                        <w:bottom w:val="none" w:sz="0" w:space="0" w:color="auto"/>
                        <w:right w:val="none" w:sz="0" w:space="0" w:color="auto"/>
                      </w:divBdr>
                    </w:div>
                  </w:divsChild>
                </w:div>
                <w:div w:id="425424630">
                  <w:marLeft w:val="0"/>
                  <w:marRight w:val="0"/>
                  <w:marTop w:val="0"/>
                  <w:marBottom w:val="0"/>
                  <w:divBdr>
                    <w:top w:val="none" w:sz="0" w:space="0" w:color="auto"/>
                    <w:left w:val="none" w:sz="0" w:space="0" w:color="auto"/>
                    <w:bottom w:val="none" w:sz="0" w:space="0" w:color="auto"/>
                    <w:right w:val="none" w:sz="0" w:space="0" w:color="auto"/>
                  </w:divBdr>
                  <w:divsChild>
                    <w:div w:id="973438722">
                      <w:marLeft w:val="0"/>
                      <w:marRight w:val="0"/>
                      <w:marTop w:val="0"/>
                      <w:marBottom w:val="0"/>
                      <w:divBdr>
                        <w:top w:val="none" w:sz="0" w:space="0" w:color="auto"/>
                        <w:left w:val="none" w:sz="0" w:space="0" w:color="auto"/>
                        <w:bottom w:val="none" w:sz="0" w:space="0" w:color="auto"/>
                        <w:right w:val="none" w:sz="0" w:space="0" w:color="auto"/>
                      </w:divBdr>
                    </w:div>
                  </w:divsChild>
                </w:div>
                <w:div w:id="430976269">
                  <w:marLeft w:val="0"/>
                  <w:marRight w:val="0"/>
                  <w:marTop w:val="0"/>
                  <w:marBottom w:val="0"/>
                  <w:divBdr>
                    <w:top w:val="none" w:sz="0" w:space="0" w:color="auto"/>
                    <w:left w:val="none" w:sz="0" w:space="0" w:color="auto"/>
                    <w:bottom w:val="none" w:sz="0" w:space="0" w:color="auto"/>
                    <w:right w:val="none" w:sz="0" w:space="0" w:color="auto"/>
                  </w:divBdr>
                  <w:divsChild>
                    <w:div w:id="2120760512">
                      <w:marLeft w:val="0"/>
                      <w:marRight w:val="0"/>
                      <w:marTop w:val="0"/>
                      <w:marBottom w:val="0"/>
                      <w:divBdr>
                        <w:top w:val="none" w:sz="0" w:space="0" w:color="auto"/>
                        <w:left w:val="none" w:sz="0" w:space="0" w:color="auto"/>
                        <w:bottom w:val="none" w:sz="0" w:space="0" w:color="auto"/>
                        <w:right w:val="none" w:sz="0" w:space="0" w:color="auto"/>
                      </w:divBdr>
                    </w:div>
                  </w:divsChild>
                </w:div>
                <w:div w:id="435448409">
                  <w:marLeft w:val="0"/>
                  <w:marRight w:val="0"/>
                  <w:marTop w:val="0"/>
                  <w:marBottom w:val="0"/>
                  <w:divBdr>
                    <w:top w:val="none" w:sz="0" w:space="0" w:color="auto"/>
                    <w:left w:val="none" w:sz="0" w:space="0" w:color="auto"/>
                    <w:bottom w:val="none" w:sz="0" w:space="0" w:color="auto"/>
                    <w:right w:val="none" w:sz="0" w:space="0" w:color="auto"/>
                  </w:divBdr>
                  <w:divsChild>
                    <w:div w:id="605043473">
                      <w:marLeft w:val="0"/>
                      <w:marRight w:val="0"/>
                      <w:marTop w:val="0"/>
                      <w:marBottom w:val="0"/>
                      <w:divBdr>
                        <w:top w:val="none" w:sz="0" w:space="0" w:color="auto"/>
                        <w:left w:val="none" w:sz="0" w:space="0" w:color="auto"/>
                        <w:bottom w:val="none" w:sz="0" w:space="0" w:color="auto"/>
                        <w:right w:val="none" w:sz="0" w:space="0" w:color="auto"/>
                      </w:divBdr>
                    </w:div>
                  </w:divsChild>
                </w:div>
                <w:div w:id="437607166">
                  <w:marLeft w:val="0"/>
                  <w:marRight w:val="0"/>
                  <w:marTop w:val="0"/>
                  <w:marBottom w:val="0"/>
                  <w:divBdr>
                    <w:top w:val="none" w:sz="0" w:space="0" w:color="auto"/>
                    <w:left w:val="none" w:sz="0" w:space="0" w:color="auto"/>
                    <w:bottom w:val="none" w:sz="0" w:space="0" w:color="auto"/>
                    <w:right w:val="none" w:sz="0" w:space="0" w:color="auto"/>
                  </w:divBdr>
                  <w:divsChild>
                    <w:div w:id="1935547708">
                      <w:marLeft w:val="0"/>
                      <w:marRight w:val="0"/>
                      <w:marTop w:val="0"/>
                      <w:marBottom w:val="0"/>
                      <w:divBdr>
                        <w:top w:val="none" w:sz="0" w:space="0" w:color="auto"/>
                        <w:left w:val="none" w:sz="0" w:space="0" w:color="auto"/>
                        <w:bottom w:val="none" w:sz="0" w:space="0" w:color="auto"/>
                        <w:right w:val="none" w:sz="0" w:space="0" w:color="auto"/>
                      </w:divBdr>
                    </w:div>
                  </w:divsChild>
                </w:div>
                <w:div w:id="438723458">
                  <w:marLeft w:val="0"/>
                  <w:marRight w:val="0"/>
                  <w:marTop w:val="0"/>
                  <w:marBottom w:val="0"/>
                  <w:divBdr>
                    <w:top w:val="none" w:sz="0" w:space="0" w:color="auto"/>
                    <w:left w:val="none" w:sz="0" w:space="0" w:color="auto"/>
                    <w:bottom w:val="none" w:sz="0" w:space="0" w:color="auto"/>
                    <w:right w:val="none" w:sz="0" w:space="0" w:color="auto"/>
                  </w:divBdr>
                  <w:divsChild>
                    <w:div w:id="1275556072">
                      <w:marLeft w:val="0"/>
                      <w:marRight w:val="0"/>
                      <w:marTop w:val="0"/>
                      <w:marBottom w:val="0"/>
                      <w:divBdr>
                        <w:top w:val="none" w:sz="0" w:space="0" w:color="auto"/>
                        <w:left w:val="none" w:sz="0" w:space="0" w:color="auto"/>
                        <w:bottom w:val="none" w:sz="0" w:space="0" w:color="auto"/>
                        <w:right w:val="none" w:sz="0" w:space="0" w:color="auto"/>
                      </w:divBdr>
                    </w:div>
                  </w:divsChild>
                </w:div>
                <w:div w:id="445080784">
                  <w:marLeft w:val="0"/>
                  <w:marRight w:val="0"/>
                  <w:marTop w:val="0"/>
                  <w:marBottom w:val="0"/>
                  <w:divBdr>
                    <w:top w:val="none" w:sz="0" w:space="0" w:color="auto"/>
                    <w:left w:val="none" w:sz="0" w:space="0" w:color="auto"/>
                    <w:bottom w:val="none" w:sz="0" w:space="0" w:color="auto"/>
                    <w:right w:val="none" w:sz="0" w:space="0" w:color="auto"/>
                  </w:divBdr>
                  <w:divsChild>
                    <w:div w:id="178004231">
                      <w:marLeft w:val="0"/>
                      <w:marRight w:val="0"/>
                      <w:marTop w:val="0"/>
                      <w:marBottom w:val="0"/>
                      <w:divBdr>
                        <w:top w:val="none" w:sz="0" w:space="0" w:color="auto"/>
                        <w:left w:val="none" w:sz="0" w:space="0" w:color="auto"/>
                        <w:bottom w:val="none" w:sz="0" w:space="0" w:color="auto"/>
                        <w:right w:val="none" w:sz="0" w:space="0" w:color="auto"/>
                      </w:divBdr>
                    </w:div>
                  </w:divsChild>
                </w:div>
                <w:div w:id="462577213">
                  <w:marLeft w:val="0"/>
                  <w:marRight w:val="0"/>
                  <w:marTop w:val="0"/>
                  <w:marBottom w:val="0"/>
                  <w:divBdr>
                    <w:top w:val="none" w:sz="0" w:space="0" w:color="auto"/>
                    <w:left w:val="none" w:sz="0" w:space="0" w:color="auto"/>
                    <w:bottom w:val="none" w:sz="0" w:space="0" w:color="auto"/>
                    <w:right w:val="none" w:sz="0" w:space="0" w:color="auto"/>
                  </w:divBdr>
                  <w:divsChild>
                    <w:div w:id="598685644">
                      <w:marLeft w:val="0"/>
                      <w:marRight w:val="0"/>
                      <w:marTop w:val="0"/>
                      <w:marBottom w:val="0"/>
                      <w:divBdr>
                        <w:top w:val="none" w:sz="0" w:space="0" w:color="auto"/>
                        <w:left w:val="none" w:sz="0" w:space="0" w:color="auto"/>
                        <w:bottom w:val="none" w:sz="0" w:space="0" w:color="auto"/>
                        <w:right w:val="none" w:sz="0" w:space="0" w:color="auto"/>
                      </w:divBdr>
                    </w:div>
                  </w:divsChild>
                </w:div>
                <w:div w:id="466972456">
                  <w:marLeft w:val="0"/>
                  <w:marRight w:val="0"/>
                  <w:marTop w:val="0"/>
                  <w:marBottom w:val="0"/>
                  <w:divBdr>
                    <w:top w:val="none" w:sz="0" w:space="0" w:color="auto"/>
                    <w:left w:val="none" w:sz="0" w:space="0" w:color="auto"/>
                    <w:bottom w:val="none" w:sz="0" w:space="0" w:color="auto"/>
                    <w:right w:val="none" w:sz="0" w:space="0" w:color="auto"/>
                  </w:divBdr>
                  <w:divsChild>
                    <w:div w:id="1242520843">
                      <w:marLeft w:val="0"/>
                      <w:marRight w:val="0"/>
                      <w:marTop w:val="0"/>
                      <w:marBottom w:val="0"/>
                      <w:divBdr>
                        <w:top w:val="none" w:sz="0" w:space="0" w:color="auto"/>
                        <w:left w:val="none" w:sz="0" w:space="0" w:color="auto"/>
                        <w:bottom w:val="none" w:sz="0" w:space="0" w:color="auto"/>
                        <w:right w:val="none" w:sz="0" w:space="0" w:color="auto"/>
                      </w:divBdr>
                    </w:div>
                  </w:divsChild>
                </w:div>
                <w:div w:id="479736002">
                  <w:marLeft w:val="0"/>
                  <w:marRight w:val="0"/>
                  <w:marTop w:val="0"/>
                  <w:marBottom w:val="0"/>
                  <w:divBdr>
                    <w:top w:val="none" w:sz="0" w:space="0" w:color="auto"/>
                    <w:left w:val="none" w:sz="0" w:space="0" w:color="auto"/>
                    <w:bottom w:val="none" w:sz="0" w:space="0" w:color="auto"/>
                    <w:right w:val="none" w:sz="0" w:space="0" w:color="auto"/>
                  </w:divBdr>
                  <w:divsChild>
                    <w:div w:id="51083483">
                      <w:marLeft w:val="0"/>
                      <w:marRight w:val="0"/>
                      <w:marTop w:val="0"/>
                      <w:marBottom w:val="0"/>
                      <w:divBdr>
                        <w:top w:val="none" w:sz="0" w:space="0" w:color="auto"/>
                        <w:left w:val="none" w:sz="0" w:space="0" w:color="auto"/>
                        <w:bottom w:val="none" w:sz="0" w:space="0" w:color="auto"/>
                        <w:right w:val="none" w:sz="0" w:space="0" w:color="auto"/>
                      </w:divBdr>
                    </w:div>
                  </w:divsChild>
                </w:div>
                <w:div w:id="482086684">
                  <w:marLeft w:val="0"/>
                  <w:marRight w:val="0"/>
                  <w:marTop w:val="0"/>
                  <w:marBottom w:val="0"/>
                  <w:divBdr>
                    <w:top w:val="none" w:sz="0" w:space="0" w:color="auto"/>
                    <w:left w:val="none" w:sz="0" w:space="0" w:color="auto"/>
                    <w:bottom w:val="none" w:sz="0" w:space="0" w:color="auto"/>
                    <w:right w:val="none" w:sz="0" w:space="0" w:color="auto"/>
                  </w:divBdr>
                  <w:divsChild>
                    <w:div w:id="1875345027">
                      <w:marLeft w:val="0"/>
                      <w:marRight w:val="0"/>
                      <w:marTop w:val="0"/>
                      <w:marBottom w:val="0"/>
                      <w:divBdr>
                        <w:top w:val="none" w:sz="0" w:space="0" w:color="auto"/>
                        <w:left w:val="none" w:sz="0" w:space="0" w:color="auto"/>
                        <w:bottom w:val="none" w:sz="0" w:space="0" w:color="auto"/>
                        <w:right w:val="none" w:sz="0" w:space="0" w:color="auto"/>
                      </w:divBdr>
                    </w:div>
                  </w:divsChild>
                </w:div>
                <w:div w:id="483816649">
                  <w:marLeft w:val="0"/>
                  <w:marRight w:val="0"/>
                  <w:marTop w:val="0"/>
                  <w:marBottom w:val="0"/>
                  <w:divBdr>
                    <w:top w:val="none" w:sz="0" w:space="0" w:color="auto"/>
                    <w:left w:val="none" w:sz="0" w:space="0" w:color="auto"/>
                    <w:bottom w:val="none" w:sz="0" w:space="0" w:color="auto"/>
                    <w:right w:val="none" w:sz="0" w:space="0" w:color="auto"/>
                  </w:divBdr>
                  <w:divsChild>
                    <w:div w:id="1091776606">
                      <w:marLeft w:val="0"/>
                      <w:marRight w:val="0"/>
                      <w:marTop w:val="0"/>
                      <w:marBottom w:val="0"/>
                      <w:divBdr>
                        <w:top w:val="none" w:sz="0" w:space="0" w:color="auto"/>
                        <w:left w:val="none" w:sz="0" w:space="0" w:color="auto"/>
                        <w:bottom w:val="none" w:sz="0" w:space="0" w:color="auto"/>
                        <w:right w:val="none" w:sz="0" w:space="0" w:color="auto"/>
                      </w:divBdr>
                    </w:div>
                  </w:divsChild>
                </w:div>
                <w:div w:id="495800076">
                  <w:marLeft w:val="0"/>
                  <w:marRight w:val="0"/>
                  <w:marTop w:val="0"/>
                  <w:marBottom w:val="0"/>
                  <w:divBdr>
                    <w:top w:val="none" w:sz="0" w:space="0" w:color="auto"/>
                    <w:left w:val="none" w:sz="0" w:space="0" w:color="auto"/>
                    <w:bottom w:val="none" w:sz="0" w:space="0" w:color="auto"/>
                    <w:right w:val="none" w:sz="0" w:space="0" w:color="auto"/>
                  </w:divBdr>
                  <w:divsChild>
                    <w:div w:id="333457328">
                      <w:marLeft w:val="0"/>
                      <w:marRight w:val="0"/>
                      <w:marTop w:val="0"/>
                      <w:marBottom w:val="0"/>
                      <w:divBdr>
                        <w:top w:val="none" w:sz="0" w:space="0" w:color="auto"/>
                        <w:left w:val="none" w:sz="0" w:space="0" w:color="auto"/>
                        <w:bottom w:val="none" w:sz="0" w:space="0" w:color="auto"/>
                        <w:right w:val="none" w:sz="0" w:space="0" w:color="auto"/>
                      </w:divBdr>
                    </w:div>
                  </w:divsChild>
                </w:div>
                <w:div w:id="497697527">
                  <w:marLeft w:val="0"/>
                  <w:marRight w:val="0"/>
                  <w:marTop w:val="0"/>
                  <w:marBottom w:val="0"/>
                  <w:divBdr>
                    <w:top w:val="none" w:sz="0" w:space="0" w:color="auto"/>
                    <w:left w:val="none" w:sz="0" w:space="0" w:color="auto"/>
                    <w:bottom w:val="none" w:sz="0" w:space="0" w:color="auto"/>
                    <w:right w:val="none" w:sz="0" w:space="0" w:color="auto"/>
                  </w:divBdr>
                  <w:divsChild>
                    <w:div w:id="639264432">
                      <w:marLeft w:val="0"/>
                      <w:marRight w:val="0"/>
                      <w:marTop w:val="0"/>
                      <w:marBottom w:val="0"/>
                      <w:divBdr>
                        <w:top w:val="none" w:sz="0" w:space="0" w:color="auto"/>
                        <w:left w:val="none" w:sz="0" w:space="0" w:color="auto"/>
                        <w:bottom w:val="none" w:sz="0" w:space="0" w:color="auto"/>
                        <w:right w:val="none" w:sz="0" w:space="0" w:color="auto"/>
                      </w:divBdr>
                    </w:div>
                  </w:divsChild>
                </w:div>
                <w:div w:id="511994984">
                  <w:marLeft w:val="0"/>
                  <w:marRight w:val="0"/>
                  <w:marTop w:val="0"/>
                  <w:marBottom w:val="0"/>
                  <w:divBdr>
                    <w:top w:val="none" w:sz="0" w:space="0" w:color="auto"/>
                    <w:left w:val="none" w:sz="0" w:space="0" w:color="auto"/>
                    <w:bottom w:val="none" w:sz="0" w:space="0" w:color="auto"/>
                    <w:right w:val="none" w:sz="0" w:space="0" w:color="auto"/>
                  </w:divBdr>
                  <w:divsChild>
                    <w:div w:id="419718902">
                      <w:marLeft w:val="0"/>
                      <w:marRight w:val="0"/>
                      <w:marTop w:val="0"/>
                      <w:marBottom w:val="0"/>
                      <w:divBdr>
                        <w:top w:val="none" w:sz="0" w:space="0" w:color="auto"/>
                        <w:left w:val="none" w:sz="0" w:space="0" w:color="auto"/>
                        <w:bottom w:val="none" w:sz="0" w:space="0" w:color="auto"/>
                        <w:right w:val="none" w:sz="0" w:space="0" w:color="auto"/>
                      </w:divBdr>
                    </w:div>
                  </w:divsChild>
                </w:div>
                <w:div w:id="517473878">
                  <w:marLeft w:val="0"/>
                  <w:marRight w:val="0"/>
                  <w:marTop w:val="0"/>
                  <w:marBottom w:val="0"/>
                  <w:divBdr>
                    <w:top w:val="none" w:sz="0" w:space="0" w:color="auto"/>
                    <w:left w:val="none" w:sz="0" w:space="0" w:color="auto"/>
                    <w:bottom w:val="none" w:sz="0" w:space="0" w:color="auto"/>
                    <w:right w:val="none" w:sz="0" w:space="0" w:color="auto"/>
                  </w:divBdr>
                  <w:divsChild>
                    <w:div w:id="3169981">
                      <w:marLeft w:val="0"/>
                      <w:marRight w:val="0"/>
                      <w:marTop w:val="0"/>
                      <w:marBottom w:val="0"/>
                      <w:divBdr>
                        <w:top w:val="none" w:sz="0" w:space="0" w:color="auto"/>
                        <w:left w:val="none" w:sz="0" w:space="0" w:color="auto"/>
                        <w:bottom w:val="none" w:sz="0" w:space="0" w:color="auto"/>
                        <w:right w:val="none" w:sz="0" w:space="0" w:color="auto"/>
                      </w:divBdr>
                    </w:div>
                  </w:divsChild>
                </w:div>
                <w:div w:id="533813175">
                  <w:marLeft w:val="0"/>
                  <w:marRight w:val="0"/>
                  <w:marTop w:val="0"/>
                  <w:marBottom w:val="0"/>
                  <w:divBdr>
                    <w:top w:val="none" w:sz="0" w:space="0" w:color="auto"/>
                    <w:left w:val="none" w:sz="0" w:space="0" w:color="auto"/>
                    <w:bottom w:val="none" w:sz="0" w:space="0" w:color="auto"/>
                    <w:right w:val="none" w:sz="0" w:space="0" w:color="auto"/>
                  </w:divBdr>
                  <w:divsChild>
                    <w:div w:id="327094407">
                      <w:marLeft w:val="0"/>
                      <w:marRight w:val="0"/>
                      <w:marTop w:val="0"/>
                      <w:marBottom w:val="0"/>
                      <w:divBdr>
                        <w:top w:val="none" w:sz="0" w:space="0" w:color="auto"/>
                        <w:left w:val="none" w:sz="0" w:space="0" w:color="auto"/>
                        <w:bottom w:val="none" w:sz="0" w:space="0" w:color="auto"/>
                        <w:right w:val="none" w:sz="0" w:space="0" w:color="auto"/>
                      </w:divBdr>
                    </w:div>
                  </w:divsChild>
                </w:div>
                <w:div w:id="542328768">
                  <w:marLeft w:val="0"/>
                  <w:marRight w:val="0"/>
                  <w:marTop w:val="0"/>
                  <w:marBottom w:val="0"/>
                  <w:divBdr>
                    <w:top w:val="none" w:sz="0" w:space="0" w:color="auto"/>
                    <w:left w:val="none" w:sz="0" w:space="0" w:color="auto"/>
                    <w:bottom w:val="none" w:sz="0" w:space="0" w:color="auto"/>
                    <w:right w:val="none" w:sz="0" w:space="0" w:color="auto"/>
                  </w:divBdr>
                  <w:divsChild>
                    <w:div w:id="1521047095">
                      <w:marLeft w:val="0"/>
                      <w:marRight w:val="0"/>
                      <w:marTop w:val="0"/>
                      <w:marBottom w:val="0"/>
                      <w:divBdr>
                        <w:top w:val="none" w:sz="0" w:space="0" w:color="auto"/>
                        <w:left w:val="none" w:sz="0" w:space="0" w:color="auto"/>
                        <w:bottom w:val="none" w:sz="0" w:space="0" w:color="auto"/>
                        <w:right w:val="none" w:sz="0" w:space="0" w:color="auto"/>
                      </w:divBdr>
                    </w:div>
                  </w:divsChild>
                </w:div>
                <w:div w:id="557859274">
                  <w:marLeft w:val="0"/>
                  <w:marRight w:val="0"/>
                  <w:marTop w:val="0"/>
                  <w:marBottom w:val="0"/>
                  <w:divBdr>
                    <w:top w:val="none" w:sz="0" w:space="0" w:color="auto"/>
                    <w:left w:val="none" w:sz="0" w:space="0" w:color="auto"/>
                    <w:bottom w:val="none" w:sz="0" w:space="0" w:color="auto"/>
                    <w:right w:val="none" w:sz="0" w:space="0" w:color="auto"/>
                  </w:divBdr>
                  <w:divsChild>
                    <w:div w:id="1450662876">
                      <w:marLeft w:val="0"/>
                      <w:marRight w:val="0"/>
                      <w:marTop w:val="0"/>
                      <w:marBottom w:val="0"/>
                      <w:divBdr>
                        <w:top w:val="none" w:sz="0" w:space="0" w:color="auto"/>
                        <w:left w:val="none" w:sz="0" w:space="0" w:color="auto"/>
                        <w:bottom w:val="none" w:sz="0" w:space="0" w:color="auto"/>
                        <w:right w:val="none" w:sz="0" w:space="0" w:color="auto"/>
                      </w:divBdr>
                    </w:div>
                  </w:divsChild>
                </w:div>
                <w:div w:id="560676214">
                  <w:marLeft w:val="0"/>
                  <w:marRight w:val="0"/>
                  <w:marTop w:val="0"/>
                  <w:marBottom w:val="0"/>
                  <w:divBdr>
                    <w:top w:val="none" w:sz="0" w:space="0" w:color="auto"/>
                    <w:left w:val="none" w:sz="0" w:space="0" w:color="auto"/>
                    <w:bottom w:val="none" w:sz="0" w:space="0" w:color="auto"/>
                    <w:right w:val="none" w:sz="0" w:space="0" w:color="auto"/>
                  </w:divBdr>
                  <w:divsChild>
                    <w:div w:id="1249578833">
                      <w:marLeft w:val="0"/>
                      <w:marRight w:val="0"/>
                      <w:marTop w:val="0"/>
                      <w:marBottom w:val="0"/>
                      <w:divBdr>
                        <w:top w:val="none" w:sz="0" w:space="0" w:color="auto"/>
                        <w:left w:val="none" w:sz="0" w:space="0" w:color="auto"/>
                        <w:bottom w:val="none" w:sz="0" w:space="0" w:color="auto"/>
                        <w:right w:val="none" w:sz="0" w:space="0" w:color="auto"/>
                      </w:divBdr>
                    </w:div>
                  </w:divsChild>
                </w:div>
                <w:div w:id="563610090">
                  <w:marLeft w:val="0"/>
                  <w:marRight w:val="0"/>
                  <w:marTop w:val="0"/>
                  <w:marBottom w:val="0"/>
                  <w:divBdr>
                    <w:top w:val="none" w:sz="0" w:space="0" w:color="auto"/>
                    <w:left w:val="none" w:sz="0" w:space="0" w:color="auto"/>
                    <w:bottom w:val="none" w:sz="0" w:space="0" w:color="auto"/>
                    <w:right w:val="none" w:sz="0" w:space="0" w:color="auto"/>
                  </w:divBdr>
                  <w:divsChild>
                    <w:div w:id="1243762774">
                      <w:marLeft w:val="0"/>
                      <w:marRight w:val="0"/>
                      <w:marTop w:val="0"/>
                      <w:marBottom w:val="0"/>
                      <w:divBdr>
                        <w:top w:val="none" w:sz="0" w:space="0" w:color="auto"/>
                        <w:left w:val="none" w:sz="0" w:space="0" w:color="auto"/>
                        <w:bottom w:val="none" w:sz="0" w:space="0" w:color="auto"/>
                        <w:right w:val="none" w:sz="0" w:space="0" w:color="auto"/>
                      </w:divBdr>
                    </w:div>
                  </w:divsChild>
                </w:div>
                <w:div w:id="566502029">
                  <w:marLeft w:val="0"/>
                  <w:marRight w:val="0"/>
                  <w:marTop w:val="0"/>
                  <w:marBottom w:val="0"/>
                  <w:divBdr>
                    <w:top w:val="none" w:sz="0" w:space="0" w:color="auto"/>
                    <w:left w:val="none" w:sz="0" w:space="0" w:color="auto"/>
                    <w:bottom w:val="none" w:sz="0" w:space="0" w:color="auto"/>
                    <w:right w:val="none" w:sz="0" w:space="0" w:color="auto"/>
                  </w:divBdr>
                  <w:divsChild>
                    <w:div w:id="875698809">
                      <w:marLeft w:val="0"/>
                      <w:marRight w:val="0"/>
                      <w:marTop w:val="0"/>
                      <w:marBottom w:val="0"/>
                      <w:divBdr>
                        <w:top w:val="none" w:sz="0" w:space="0" w:color="auto"/>
                        <w:left w:val="none" w:sz="0" w:space="0" w:color="auto"/>
                        <w:bottom w:val="none" w:sz="0" w:space="0" w:color="auto"/>
                        <w:right w:val="none" w:sz="0" w:space="0" w:color="auto"/>
                      </w:divBdr>
                    </w:div>
                  </w:divsChild>
                </w:div>
                <w:div w:id="575483623">
                  <w:marLeft w:val="0"/>
                  <w:marRight w:val="0"/>
                  <w:marTop w:val="0"/>
                  <w:marBottom w:val="0"/>
                  <w:divBdr>
                    <w:top w:val="none" w:sz="0" w:space="0" w:color="auto"/>
                    <w:left w:val="none" w:sz="0" w:space="0" w:color="auto"/>
                    <w:bottom w:val="none" w:sz="0" w:space="0" w:color="auto"/>
                    <w:right w:val="none" w:sz="0" w:space="0" w:color="auto"/>
                  </w:divBdr>
                  <w:divsChild>
                    <w:div w:id="1032729674">
                      <w:marLeft w:val="0"/>
                      <w:marRight w:val="0"/>
                      <w:marTop w:val="0"/>
                      <w:marBottom w:val="0"/>
                      <w:divBdr>
                        <w:top w:val="none" w:sz="0" w:space="0" w:color="auto"/>
                        <w:left w:val="none" w:sz="0" w:space="0" w:color="auto"/>
                        <w:bottom w:val="none" w:sz="0" w:space="0" w:color="auto"/>
                        <w:right w:val="none" w:sz="0" w:space="0" w:color="auto"/>
                      </w:divBdr>
                    </w:div>
                  </w:divsChild>
                </w:div>
                <w:div w:id="576473509">
                  <w:marLeft w:val="0"/>
                  <w:marRight w:val="0"/>
                  <w:marTop w:val="0"/>
                  <w:marBottom w:val="0"/>
                  <w:divBdr>
                    <w:top w:val="none" w:sz="0" w:space="0" w:color="auto"/>
                    <w:left w:val="none" w:sz="0" w:space="0" w:color="auto"/>
                    <w:bottom w:val="none" w:sz="0" w:space="0" w:color="auto"/>
                    <w:right w:val="none" w:sz="0" w:space="0" w:color="auto"/>
                  </w:divBdr>
                  <w:divsChild>
                    <w:div w:id="1578248352">
                      <w:marLeft w:val="0"/>
                      <w:marRight w:val="0"/>
                      <w:marTop w:val="0"/>
                      <w:marBottom w:val="0"/>
                      <w:divBdr>
                        <w:top w:val="none" w:sz="0" w:space="0" w:color="auto"/>
                        <w:left w:val="none" w:sz="0" w:space="0" w:color="auto"/>
                        <w:bottom w:val="none" w:sz="0" w:space="0" w:color="auto"/>
                        <w:right w:val="none" w:sz="0" w:space="0" w:color="auto"/>
                      </w:divBdr>
                    </w:div>
                  </w:divsChild>
                </w:div>
                <w:div w:id="591547286">
                  <w:marLeft w:val="0"/>
                  <w:marRight w:val="0"/>
                  <w:marTop w:val="0"/>
                  <w:marBottom w:val="0"/>
                  <w:divBdr>
                    <w:top w:val="none" w:sz="0" w:space="0" w:color="auto"/>
                    <w:left w:val="none" w:sz="0" w:space="0" w:color="auto"/>
                    <w:bottom w:val="none" w:sz="0" w:space="0" w:color="auto"/>
                    <w:right w:val="none" w:sz="0" w:space="0" w:color="auto"/>
                  </w:divBdr>
                  <w:divsChild>
                    <w:div w:id="175970970">
                      <w:marLeft w:val="0"/>
                      <w:marRight w:val="0"/>
                      <w:marTop w:val="0"/>
                      <w:marBottom w:val="0"/>
                      <w:divBdr>
                        <w:top w:val="none" w:sz="0" w:space="0" w:color="auto"/>
                        <w:left w:val="none" w:sz="0" w:space="0" w:color="auto"/>
                        <w:bottom w:val="none" w:sz="0" w:space="0" w:color="auto"/>
                        <w:right w:val="none" w:sz="0" w:space="0" w:color="auto"/>
                      </w:divBdr>
                    </w:div>
                  </w:divsChild>
                </w:div>
                <w:div w:id="594751078">
                  <w:marLeft w:val="0"/>
                  <w:marRight w:val="0"/>
                  <w:marTop w:val="0"/>
                  <w:marBottom w:val="0"/>
                  <w:divBdr>
                    <w:top w:val="none" w:sz="0" w:space="0" w:color="auto"/>
                    <w:left w:val="none" w:sz="0" w:space="0" w:color="auto"/>
                    <w:bottom w:val="none" w:sz="0" w:space="0" w:color="auto"/>
                    <w:right w:val="none" w:sz="0" w:space="0" w:color="auto"/>
                  </w:divBdr>
                  <w:divsChild>
                    <w:div w:id="1941183711">
                      <w:marLeft w:val="0"/>
                      <w:marRight w:val="0"/>
                      <w:marTop w:val="0"/>
                      <w:marBottom w:val="0"/>
                      <w:divBdr>
                        <w:top w:val="none" w:sz="0" w:space="0" w:color="auto"/>
                        <w:left w:val="none" w:sz="0" w:space="0" w:color="auto"/>
                        <w:bottom w:val="none" w:sz="0" w:space="0" w:color="auto"/>
                        <w:right w:val="none" w:sz="0" w:space="0" w:color="auto"/>
                      </w:divBdr>
                    </w:div>
                  </w:divsChild>
                </w:div>
                <w:div w:id="610628442">
                  <w:marLeft w:val="0"/>
                  <w:marRight w:val="0"/>
                  <w:marTop w:val="0"/>
                  <w:marBottom w:val="0"/>
                  <w:divBdr>
                    <w:top w:val="none" w:sz="0" w:space="0" w:color="auto"/>
                    <w:left w:val="none" w:sz="0" w:space="0" w:color="auto"/>
                    <w:bottom w:val="none" w:sz="0" w:space="0" w:color="auto"/>
                    <w:right w:val="none" w:sz="0" w:space="0" w:color="auto"/>
                  </w:divBdr>
                  <w:divsChild>
                    <w:div w:id="894316808">
                      <w:marLeft w:val="0"/>
                      <w:marRight w:val="0"/>
                      <w:marTop w:val="0"/>
                      <w:marBottom w:val="0"/>
                      <w:divBdr>
                        <w:top w:val="none" w:sz="0" w:space="0" w:color="auto"/>
                        <w:left w:val="none" w:sz="0" w:space="0" w:color="auto"/>
                        <w:bottom w:val="none" w:sz="0" w:space="0" w:color="auto"/>
                        <w:right w:val="none" w:sz="0" w:space="0" w:color="auto"/>
                      </w:divBdr>
                    </w:div>
                  </w:divsChild>
                </w:div>
                <w:div w:id="612058935">
                  <w:marLeft w:val="0"/>
                  <w:marRight w:val="0"/>
                  <w:marTop w:val="0"/>
                  <w:marBottom w:val="0"/>
                  <w:divBdr>
                    <w:top w:val="none" w:sz="0" w:space="0" w:color="auto"/>
                    <w:left w:val="none" w:sz="0" w:space="0" w:color="auto"/>
                    <w:bottom w:val="none" w:sz="0" w:space="0" w:color="auto"/>
                    <w:right w:val="none" w:sz="0" w:space="0" w:color="auto"/>
                  </w:divBdr>
                  <w:divsChild>
                    <w:div w:id="1814366406">
                      <w:marLeft w:val="0"/>
                      <w:marRight w:val="0"/>
                      <w:marTop w:val="0"/>
                      <w:marBottom w:val="0"/>
                      <w:divBdr>
                        <w:top w:val="none" w:sz="0" w:space="0" w:color="auto"/>
                        <w:left w:val="none" w:sz="0" w:space="0" w:color="auto"/>
                        <w:bottom w:val="none" w:sz="0" w:space="0" w:color="auto"/>
                        <w:right w:val="none" w:sz="0" w:space="0" w:color="auto"/>
                      </w:divBdr>
                    </w:div>
                  </w:divsChild>
                </w:div>
                <w:div w:id="615991184">
                  <w:marLeft w:val="0"/>
                  <w:marRight w:val="0"/>
                  <w:marTop w:val="0"/>
                  <w:marBottom w:val="0"/>
                  <w:divBdr>
                    <w:top w:val="none" w:sz="0" w:space="0" w:color="auto"/>
                    <w:left w:val="none" w:sz="0" w:space="0" w:color="auto"/>
                    <w:bottom w:val="none" w:sz="0" w:space="0" w:color="auto"/>
                    <w:right w:val="none" w:sz="0" w:space="0" w:color="auto"/>
                  </w:divBdr>
                  <w:divsChild>
                    <w:div w:id="844052702">
                      <w:marLeft w:val="0"/>
                      <w:marRight w:val="0"/>
                      <w:marTop w:val="0"/>
                      <w:marBottom w:val="0"/>
                      <w:divBdr>
                        <w:top w:val="none" w:sz="0" w:space="0" w:color="auto"/>
                        <w:left w:val="none" w:sz="0" w:space="0" w:color="auto"/>
                        <w:bottom w:val="none" w:sz="0" w:space="0" w:color="auto"/>
                        <w:right w:val="none" w:sz="0" w:space="0" w:color="auto"/>
                      </w:divBdr>
                    </w:div>
                  </w:divsChild>
                </w:div>
                <w:div w:id="616176463">
                  <w:marLeft w:val="0"/>
                  <w:marRight w:val="0"/>
                  <w:marTop w:val="0"/>
                  <w:marBottom w:val="0"/>
                  <w:divBdr>
                    <w:top w:val="none" w:sz="0" w:space="0" w:color="auto"/>
                    <w:left w:val="none" w:sz="0" w:space="0" w:color="auto"/>
                    <w:bottom w:val="none" w:sz="0" w:space="0" w:color="auto"/>
                    <w:right w:val="none" w:sz="0" w:space="0" w:color="auto"/>
                  </w:divBdr>
                  <w:divsChild>
                    <w:div w:id="17974351">
                      <w:marLeft w:val="0"/>
                      <w:marRight w:val="0"/>
                      <w:marTop w:val="0"/>
                      <w:marBottom w:val="0"/>
                      <w:divBdr>
                        <w:top w:val="none" w:sz="0" w:space="0" w:color="auto"/>
                        <w:left w:val="none" w:sz="0" w:space="0" w:color="auto"/>
                        <w:bottom w:val="none" w:sz="0" w:space="0" w:color="auto"/>
                        <w:right w:val="none" w:sz="0" w:space="0" w:color="auto"/>
                      </w:divBdr>
                    </w:div>
                  </w:divsChild>
                </w:div>
                <w:div w:id="641277761">
                  <w:marLeft w:val="0"/>
                  <w:marRight w:val="0"/>
                  <w:marTop w:val="0"/>
                  <w:marBottom w:val="0"/>
                  <w:divBdr>
                    <w:top w:val="none" w:sz="0" w:space="0" w:color="auto"/>
                    <w:left w:val="none" w:sz="0" w:space="0" w:color="auto"/>
                    <w:bottom w:val="none" w:sz="0" w:space="0" w:color="auto"/>
                    <w:right w:val="none" w:sz="0" w:space="0" w:color="auto"/>
                  </w:divBdr>
                  <w:divsChild>
                    <w:div w:id="1117066352">
                      <w:marLeft w:val="0"/>
                      <w:marRight w:val="0"/>
                      <w:marTop w:val="0"/>
                      <w:marBottom w:val="0"/>
                      <w:divBdr>
                        <w:top w:val="none" w:sz="0" w:space="0" w:color="auto"/>
                        <w:left w:val="none" w:sz="0" w:space="0" w:color="auto"/>
                        <w:bottom w:val="none" w:sz="0" w:space="0" w:color="auto"/>
                        <w:right w:val="none" w:sz="0" w:space="0" w:color="auto"/>
                      </w:divBdr>
                    </w:div>
                  </w:divsChild>
                </w:div>
                <w:div w:id="666520863">
                  <w:marLeft w:val="0"/>
                  <w:marRight w:val="0"/>
                  <w:marTop w:val="0"/>
                  <w:marBottom w:val="0"/>
                  <w:divBdr>
                    <w:top w:val="none" w:sz="0" w:space="0" w:color="auto"/>
                    <w:left w:val="none" w:sz="0" w:space="0" w:color="auto"/>
                    <w:bottom w:val="none" w:sz="0" w:space="0" w:color="auto"/>
                    <w:right w:val="none" w:sz="0" w:space="0" w:color="auto"/>
                  </w:divBdr>
                  <w:divsChild>
                    <w:div w:id="1708019198">
                      <w:marLeft w:val="0"/>
                      <w:marRight w:val="0"/>
                      <w:marTop w:val="0"/>
                      <w:marBottom w:val="0"/>
                      <w:divBdr>
                        <w:top w:val="none" w:sz="0" w:space="0" w:color="auto"/>
                        <w:left w:val="none" w:sz="0" w:space="0" w:color="auto"/>
                        <w:bottom w:val="none" w:sz="0" w:space="0" w:color="auto"/>
                        <w:right w:val="none" w:sz="0" w:space="0" w:color="auto"/>
                      </w:divBdr>
                    </w:div>
                  </w:divsChild>
                </w:div>
                <w:div w:id="670259378">
                  <w:marLeft w:val="0"/>
                  <w:marRight w:val="0"/>
                  <w:marTop w:val="0"/>
                  <w:marBottom w:val="0"/>
                  <w:divBdr>
                    <w:top w:val="none" w:sz="0" w:space="0" w:color="auto"/>
                    <w:left w:val="none" w:sz="0" w:space="0" w:color="auto"/>
                    <w:bottom w:val="none" w:sz="0" w:space="0" w:color="auto"/>
                    <w:right w:val="none" w:sz="0" w:space="0" w:color="auto"/>
                  </w:divBdr>
                  <w:divsChild>
                    <w:div w:id="1893081625">
                      <w:marLeft w:val="0"/>
                      <w:marRight w:val="0"/>
                      <w:marTop w:val="0"/>
                      <w:marBottom w:val="0"/>
                      <w:divBdr>
                        <w:top w:val="none" w:sz="0" w:space="0" w:color="auto"/>
                        <w:left w:val="none" w:sz="0" w:space="0" w:color="auto"/>
                        <w:bottom w:val="none" w:sz="0" w:space="0" w:color="auto"/>
                        <w:right w:val="none" w:sz="0" w:space="0" w:color="auto"/>
                      </w:divBdr>
                    </w:div>
                  </w:divsChild>
                </w:div>
                <w:div w:id="670371869">
                  <w:marLeft w:val="0"/>
                  <w:marRight w:val="0"/>
                  <w:marTop w:val="0"/>
                  <w:marBottom w:val="0"/>
                  <w:divBdr>
                    <w:top w:val="none" w:sz="0" w:space="0" w:color="auto"/>
                    <w:left w:val="none" w:sz="0" w:space="0" w:color="auto"/>
                    <w:bottom w:val="none" w:sz="0" w:space="0" w:color="auto"/>
                    <w:right w:val="none" w:sz="0" w:space="0" w:color="auto"/>
                  </w:divBdr>
                  <w:divsChild>
                    <w:div w:id="1525560128">
                      <w:marLeft w:val="0"/>
                      <w:marRight w:val="0"/>
                      <w:marTop w:val="0"/>
                      <w:marBottom w:val="0"/>
                      <w:divBdr>
                        <w:top w:val="none" w:sz="0" w:space="0" w:color="auto"/>
                        <w:left w:val="none" w:sz="0" w:space="0" w:color="auto"/>
                        <w:bottom w:val="none" w:sz="0" w:space="0" w:color="auto"/>
                        <w:right w:val="none" w:sz="0" w:space="0" w:color="auto"/>
                      </w:divBdr>
                    </w:div>
                  </w:divsChild>
                </w:div>
                <w:div w:id="690767287">
                  <w:marLeft w:val="0"/>
                  <w:marRight w:val="0"/>
                  <w:marTop w:val="0"/>
                  <w:marBottom w:val="0"/>
                  <w:divBdr>
                    <w:top w:val="none" w:sz="0" w:space="0" w:color="auto"/>
                    <w:left w:val="none" w:sz="0" w:space="0" w:color="auto"/>
                    <w:bottom w:val="none" w:sz="0" w:space="0" w:color="auto"/>
                    <w:right w:val="none" w:sz="0" w:space="0" w:color="auto"/>
                  </w:divBdr>
                  <w:divsChild>
                    <w:div w:id="601646932">
                      <w:marLeft w:val="0"/>
                      <w:marRight w:val="0"/>
                      <w:marTop w:val="0"/>
                      <w:marBottom w:val="0"/>
                      <w:divBdr>
                        <w:top w:val="none" w:sz="0" w:space="0" w:color="auto"/>
                        <w:left w:val="none" w:sz="0" w:space="0" w:color="auto"/>
                        <w:bottom w:val="none" w:sz="0" w:space="0" w:color="auto"/>
                        <w:right w:val="none" w:sz="0" w:space="0" w:color="auto"/>
                      </w:divBdr>
                    </w:div>
                  </w:divsChild>
                </w:div>
                <w:div w:id="692078597">
                  <w:marLeft w:val="0"/>
                  <w:marRight w:val="0"/>
                  <w:marTop w:val="0"/>
                  <w:marBottom w:val="0"/>
                  <w:divBdr>
                    <w:top w:val="none" w:sz="0" w:space="0" w:color="auto"/>
                    <w:left w:val="none" w:sz="0" w:space="0" w:color="auto"/>
                    <w:bottom w:val="none" w:sz="0" w:space="0" w:color="auto"/>
                    <w:right w:val="none" w:sz="0" w:space="0" w:color="auto"/>
                  </w:divBdr>
                  <w:divsChild>
                    <w:div w:id="1908876275">
                      <w:marLeft w:val="0"/>
                      <w:marRight w:val="0"/>
                      <w:marTop w:val="0"/>
                      <w:marBottom w:val="0"/>
                      <w:divBdr>
                        <w:top w:val="none" w:sz="0" w:space="0" w:color="auto"/>
                        <w:left w:val="none" w:sz="0" w:space="0" w:color="auto"/>
                        <w:bottom w:val="none" w:sz="0" w:space="0" w:color="auto"/>
                        <w:right w:val="none" w:sz="0" w:space="0" w:color="auto"/>
                      </w:divBdr>
                    </w:div>
                  </w:divsChild>
                </w:div>
                <w:div w:id="701978990">
                  <w:marLeft w:val="0"/>
                  <w:marRight w:val="0"/>
                  <w:marTop w:val="0"/>
                  <w:marBottom w:val="0"/>
                  <w:divBdr>
                    <w:top w:val="none" w:sz="0" w:space="0" w:color="auto"/>
                    <w:left w:val="none" w:sz="0" w:space="0" w:color="auto"/>
                    <w:bottom w:val="none" w:sz="0" w:space="0" w:color="auto"/>
                    <w:right w:val="none" w:sz="0" w:space="0" w:color="auto"/>
                  </w:divBdr>
                  <w:divsChild>
                    <w:div w:id="1799253674">
                      <w:marLeft w:val="0"/>
                      <w:marRight w:val="0"/>
                      <w:marTop w:val="0"/>
                      <w:marBottom w:val="0"/>
                      <w:divBdr>
                        <w:top w:val="none" w:sz="0" w:space="0" w:color="auto"/>
                        <w:left w:val="none" w:sz="0" w:space="0" w:color="auto"/>
                        <w:bottom w:val="none" w:sz="0" w:space="0" w:color="auto"/>
                        <w:right w:val="none" w:sz="0" w:space="0" w:color="auto"/>
                      </w:divBdr>
                    </w:div>
                  </w:divsChild>
                </w:div>
                <w:div w:id="704797292">
                  <w:marLeft w:val="0"/>
                  <w:marRight w:val="0"/>
                  <w:marTop w:val="0"/>
                  <w:marBottom w:val="0"/>
                  <w:divBdr>
                    <w:top w:val="none" w:sz="0" w:space="0" w:color="auto"/>
                    <w:left w:val="none" w:sz="0" w:space="0" w:color="auto"/>
                    <w:bottom w:val="none" w:sz="0" w:space="0" w:color="auto"/>
                    <w:right w:val="none" w:sz="0" w:space="0" w:color="auto"/>
                  </w:divBdr>
                  <w:divsChild>
                    <w:div w:id="1929270606">
                      <w:marLeft w:val="0"/>
                      <w:marRight w:val="0"/>
                      <w:marTop w:val="0"/>
                      <w:marBottom w:val="0"/>
                      <w:divBdr>
                        <w:top w:val="none" w:sz="0" w:space="0" w:color="auto"/>
                        <w:left w:val="none" w:sz="0" w:space="0" w:color="auto"/>
                        <w:bottom w:val="none" w:sz="0" w:space="0" w:color="auto"/>
                        <w:right w:val="none" w:sz="0" w:space="0" w:color="auto"/>
                      </w:divBdr>
                    </w:div>
                  </w:divsChild>
                </w:div>
                <w:div w:id="708408968">
                  <w:marLeft w:val="0"/>
                  <w:marRight w:val="0"/>
                  <w:marTop w:val="0"/>
                  <w:marBottom w:val="0"/>
                  <w:divBdr>
                    <w:top w:val="none" w:sz="0" w:space="0" w:color="auto"/>
                    <w:left w:val="none" w:sz="0" w:space="0" w:color="auto"/>
                    <w:bottom w:val="none" w:sz="0" w:space="0" w:color="auto"/>
                    <w:right w:val="none" w:sz="0" w:space="0" w:color="auto"/>
                  </w:divBdr>
                  <w:divsChild>
                    <w:div w:id="1355500874">
                      <w:marLeft w:val="0"/>
                      <w:marRight w:val="0"/>
                      <w:marTop w:val="0"/>
                      <w:marBottom w:val="0"/>
                      <w:divBdr>
                        <w:top w:val="none" w:sz="0" w:space="0" w:color="auto"/>
                        <w:left w:val="none" w:sz="0" w:space="0" w:color="auto"/>
                        <w:bottom w:val="none" w:sz="0" w:space="0" w:color="auto"/>
                        <w:right w:val="none" w:sz="0" w:space="0" w:color="auto"/>
                      </w:divBdr>
                    </w:div>
                  </w:divsChild>
                </w:div>
                <w:div w:id="723991207">
                  <w:marLeft w:val="0"/>
                  <w:marRight w:val="0"/>
                  <w:marTop w:val="0"/>
                  <w:marBottom w:val="0"/>
                  <w:divBdr>
                    <w:top w:val="none" w:sz="0" w:space="0" w:color="auto"/>
                    <w:left w:val="none" w:sz="0" w:space="0" w:color="auto"/>
                    <w:bottom w:val="none" w:sz="0" w:space="0" w:color="auto"/>
                    <w:right w:val="none" w:sz="0" w:space="0" w:color="auto"/>
                  </w:divBdr>
                  <w:divsChild>
                    <w:div w:id="230232922">
                      <w:marLeft w:val="0"/>
                      <w:marRight w:val="0"/>
                      <w:marTop w:val="0"/>
                      <w:marBottom w:val="0"/>
                      <w:divBdr>
                        <w:top w:val="none" w:sz="0" w:space="0" w:color="auto"/>
                        <w:left w:val="none" w:sz="0" w:space="0" w:color="auto"/>
                        <w:bottom w:val="none" w:sz="0" w:space="0" w:color="auto"/>
                        <w:right w:val="none" w:sz="0" w:space="0" w:color="auto"/>
                      </w:divBdr>
                    </w:div>
                    <w:div w:id="339819875">
                      <w:marLeft w:val="0"/>
                      <w:marRight w:val="0"/>
                      <w:marTop w:val="0"/>
                      <w:marBottom w:val="0"/>
                      <w:divBdr>
                        <w:top w:val="none" w:sz="0" w:space="0" w:color="auto"/>
                        <w:left w:val="none" w:sz="0" w:space="0" w:color="auto"/>
                        <w:bottom w:val="none" w:sz="0" w:space="0" w:color="auto"/>
                        <w:right w:val="none" w:sz="0" w:space="0" w:color="auto"/>
                      </w:divBdr>
                    </w:div>
                    <w:div w:id="372079290">
                      <w:marLeft w:val="0"/>
                      <w:marRight w:val="0"/>
                      <w:marTop w:val="0"/>
                      <w:marBottom w:val="0"/>
                      <w:divBdr>
                        <w:top w:val="none" w:sz="0" w:space="0" w:color="auto"/>
                        <w:left w:val="none" w:sz="0" w:space="0" w:color="auto"/>
                        <w:bottom w:val="none" w:sz="0" w:space="0" w:color="auto"/>
                        <w:right w:val="none" w:sz="0" w:space="0" w:color="auto"/>
                      </w:divBdr>
                    </w:div>
                    <w:div w:id="501244174">
                      <w:marLeft w:val="0"/>
                      <w:marRight w:val="0"/>
                      <w:marTop w:val="0"/>
                      <w:marBottom w:val="0"/>
                      <w:divBdr>
                        <w:top w:val="none" w:sz="0" w:space="0" w:color="auto"/>
                        <w:left w:val="none" w:sz="0" w:space="0" w:color="auto"/>
                        <w:bottom w:val="none" w:sz="0" w:space="0" w:color="auto"/>
                        <w:right w:val="none" w:sz="0" w:space="0" w:color="auto"/>
                      </w:divBdr>
                    </w:div>
                    <w:div w:id="580331368">
                      <w:marLeft w:val="0"/>
                      <w:marRight w:val="0"/>
                      <w:marTop w:val="0"/>
                      <w:marBottom w:val="0"/>
                      <w:divBdr>
                        <w:top w:val="none" w:sz="0" w:space="0" w:color="auto"/>
                        <w:left w:val="none" w:sz="0" w:space="0" w:color="auto"/>
                        <w:bottom w:val="none" w:sz="0" w:space="0" w:color="auto"/>
                        <w:right w:val="none" w:sz="0" w:space="0" w:color="auto"/>
                      </w:divBdr>
                    </w:div>
                    <w:div w:id="741683675">
                      <w:marLeft w:val="0"/>
                      <w:marRight w:val="0"/>
                      <w:marTop w:val="0"/>
                      <w:marBottom w:val="0"/>
                      <w:divBdr>
                        <w:top w:val="none" w:sz="0" w:space="0" w:color="auto"/>
                        <w:left w:val="none" w:sz="0" w:space="0" w:color="auto"/>
                        <w:bottom w:val="none" w:sz="0" w:space="0" w:color="auto"/>
                        <w:right w:val="none" w:sz="0" w:space="0" w:color="auto"/>
                      </w:divBdr>
                    </w:div>
                    <w:div w:id="1059746835">
                      <w:marLeft w:val="0"/>
                      <w:marRight w:val="0"/>
                      <w:marTop w:val="0"/>
                      <w:marBottom w:val="0"/>
                      <w:divBdr>
                        <w:top w:val="none" w:sz="0" w:space="0" w:color="auto"/>
                        <w:left w:val="none" w:sz="0" w:space="0" w:color="auto"/>
                        <w:bottom w:val="none" w:sz="0" w:space="0" w:color="auto"/>
                        <w:right w:val="none" w:sz="0" w:space="0" w:color="auto"/>
                      </w:divBdr>
                    </w:div>
                    <w:div w:id="1194002131">
                      <w:marLeft w:val="0"/>
                      <w:marRight w:val="0"/>
                      <w:marTop w:val="0"/>
                      <w:marBottom w:val="0"/>
                      <w:divBdr>
                        <w:top w:val="none" w:sz="0" w:space="0" w:color="auto"/>
                        <w:left w:val="none" w:sz="0" w:space="0" w:color="auto"/>
                        <w:bottom w:val="none" w:sz="0" w:space="0" w:color="auto"/>
                        <w:right w:val="none" w:sz="0" w:space="0" w:color="auto"/>
                      </w:divBdr>
                    </w:div>
                    <w:div w:id="1423069549">
                      <w:marLeft w:val="0"/>
                      <w:marRight w:val="0"/>
                      <w:marTop w:val="0"/>
                      <w:marBottom w:val="0"/>
                      <w:divBdr>
                        <w:top w:val="none" w:sz="0" w:space="0" w:color="auto"/>
                        <w:left w:val="none" w:sz="0" w:space="0" w:color="auto"/>
                        <w:bottom w:val="none" w:sz="0" w:space="0" w:color="auto"/>
                        <w:right w:val="none" w:sz="0" w:space="0" w:color="auto"/>
                      </w:divBdr>
                    </w:div>
                    <w:div w:id="2124181970">
                      <w:marLeft w:val="0"/>
                      <w:marRight w:val="0"/>
                      <w:marTop w:val="0"/>
                      <w:marBottom w:val="0"/>
                      <w:divBdr>
                        <w:top w:val="none" w:sz="0" w:space="0" w:color="auto"/>
                        <w:left w:val="none" w:sz="0" w:space="0" w:color="auto"/>
                        <w:bottom w:val="none" w:sz="0" w:space="0" w:color="auto"/>
                        <w:right w:val="none" w:sz="0" w:space="0" w:color="auto"/>
                      </w:divBdr>
                    </w:div>
                    <w:div w:id="2145462261">
                      <w:marLeft w:val="0"/>
                      <w:marRight w:val="0"/>
                      <w:marTop w:val="0"/>
                      <w:marBottom w:val="0"/>
                      <w:divBdr>
                        <w:top w:val="none" w:sz="0" w:space="0" w:color="auto"/>
                        <w:left w:val="none" w:sz="0" w:space="0" w:color="auto"/>
                        <w:bottom w:val="none" w:sz="0" w:space="0" w:color="auto"/>
                        <w:right w:val="none" w:sz="0" w:space="0" w:color="auto"/>
                      </w:divBdr>
                    </w:div>
                  </w:divsChild>
                </w:div>
                <w:div w:id="735278074">
                  <w:marLeft w:val="0"/>
                  <w:marRight w:val="0"/>
                  <w:marTop w:val="0"/>
                  <w:marBottom w:val="0"/>
                  <w:divBdr>
                    <w:top w:val="none" w:sz="0" w:space="0" w:color="auto"/>
                    <w:left w:val="none" w:sz="0" w:space="0" w:color="auto"/>
                    <w:bottom w:val="none" w:sz="0" w:space="0" w:color="auto"/>
                    <w:right w:val="none" w:sz="0" w:space="0" w:color="auto"/>
                  </w:divBdr>
                  <w:divsChild>
                    <w:div w:id="1632705863">
                      <w:marLeft w:val="0"/>
                      <w:marRight w:val="0"/>
                      <w:marTop w:val="0"/>
                      <w:marBottom w:val="0"/>
                      <w:divBdr>
                        <w:top w:val="none" w:sz="0" w:space="0" w:color="auto"/>
                        <w:left w:val="none" w:sz="0" w:space="0" w:color="auto"/>
                        <w:bottom w:val="none" w:sz="0" w:space="0" w:color="auto"/>
                        <w:right w:val="none" w:sz="0" w:space="0" w:color="auto"/>
                      </w:divBdr>
                    </w:div>
                  </w:divsChild>
                </w:div>
                <w:div w:id="739597931">
                  <w:marLeft w:val="0"/>
                  <w:marRight w:val="0"/>
                  <w:marTop w:val="0"/>
                  <w:marBottom w:val="0"/>
                  <w:divBdr>
                    <w:top w:val="none" w:sz="0" w:space="0" w:color="auto"/>
                    <w:left w:val="none" w:sz="0" w:space="0" w:color="auto"/>
                    <w:bottom w:val="none" w:sz="0" w:space="0" w:color="auto"/>
                    <w:right w:val="none" w:sz="0" w:space="0" w:color="auto"/>
                  </w:divBdr>
                  <w:divsChild>
                    <w:div w:id="1811898236">
                      <w:marLeft w:val="0"/>
                      <w:marRight w:val="0"/>
                      <w:marTop w:val="0"/>
                      <w:marBottom w:val="0"/>
                      <w:divBdr>
                        <w:top w:val="none" w:sz="0" w:space="0" w:color="auto"/>
                        <w:left w:val="none" w:sz="0" w:space="0" w:color="auto"/>
                        <w:bottom w:val="none" w:sz="0" w:space="0" w:color="auto"/>
                        <w:right w:val="none" w:sz="0" w:space="0" w:color="auto"/>
                      </w:divBdr>
                    </w:div>
                  </w:divsChild>
                </w:div>
                <w:div w:id="739913501">
                  <w:marLeft w:val="0"/>
                  <w:marRight w:val="0"/>
                  <w:marTop w:val="0"/>
                  <w:marBottom w:val="0"/>
                  <w:divBdr>
                    <w:top w:val="none" w:sz="0" w:space="0" w:color="auto"/>
                    <w:left w:val="none" w:sz="0" w:space="0" w:color="auto"/>
                    <w:bottom w:val="none" w:sz="0" w:space="0" w:color="auto"/>
                    <w:right w:val="none" w:sz="0" w:space="0" w:color="auto"/>
                  </w:divBdr>
                  <w:divsChild>
                    <w:div w:id="1253664649">
                      <w:marLeft w:val="0"/>
                      <w:marRight w:val="0"/>
                      <w:marTop w:val="0"/>
                      <w:marBottom w:val="0"/>
                      <w:divBdr>
                        <w:top w:val="none" w:sz="0" w:space="0" w:color="auto"/>
                        <w:left w:val="none" w:sz="0" w:space="0" w:color="auto"/>
                        <w:bottom w:val="none" w:sz="0" w:space="0" w:color="auto"/>
                        <w:right w:val="none" w:sz="0" w:space="0" w:color="auto"/>
                      </w:divBdr>
                    </w:div>
                  </w:divsChild>
                </w:div>
                <w:div w:id="740641858">
                  <w:marLeft w:val="0"/>
                  <w:marRight w:val="0"/>
                  <w:marTop w:val="0"/>
                  <w:marBottom w:val="0"/>
                  <w:divBdr>
                    <w:top w:val="none" w:sz="0" w:space="0" w:color="auto"/>
                    <w:left w:val="none" w:sz="0" w:space="0" w:color="auto"/>
                    <w:bottom w:val="none" w:sz="0" w:space="0" w:color="auto"/>
                    <w:right w:val="none" w:sz="0" w:space="0" w:color="auto"/>
                  </w:divBdr>
                  <w:divsChild>
                    <w:div w:id="1730156186">
                      <w:marLeft w:val="0"/>
                      <w:marRight w:val="0"/>
                      <w:marTop w:val="0"/>
                      <w:marBottom w:val="0"/>
                      <w:divBdr>
                        <w:top w:val="none" w:sz="0" w:space="0" w:color="auto"/>
                        <w:left w:val="none" w:sz="0" w:space="0" w:color="auto"/>
                        <w:bottom w:val="none" w:sz="0" w:space="0" w:color="auto"/>
                        <w:right w:val="none" w:sz="0" w:space="0" w:color="auto"/>
                      </w:divBdr>
                    </w:div>
                  </w:divsChild>
                </w:div>
                <w:div w:id="741870928">
                  <w:marLeft w:val="0"/>
                  <w:marRight w:val="0"/>
                  <w:marTop w:val="0"/>
                  <w:marBottom w:val="0"/>
                  <w:divBdr>
                    <w:top w:val="none" w:sz="0" w:space="0" w:color="auto"/>
                    <w:left w:val="none" w:sz="0" w:space="0" w:color="auto"/>
                    <w:bottom w:val="none" w:sz="0" w:space="0" w:color="auto"/>
                    <w:right w:val="none" w:sz="0" w:space="0" w:color="auto"/>
                  </w:divBdr>
                  <w:divsChild>
                    <w:div w:id="1959409225">
                      <w:marLeft w:val="0"/>
                      <w:marRight w:val="0"/>
                      <w:marTop w:val="0"/>
                      <w:marBottom w:val="0"/>
                      <w:divBdr>
                        <w:top w:val="none" w:sz="0" w:space="0" w:color="auto"/>
                        <w:left w:val="none" w:sz="0" w:space="0" w:color="auto"/>
                        <w:bottom w:val="none" w:sz="0" w:space="0" w:color="auto"/>
                        <w:right w:val="none" w:sz="0" w:space="0" w:color="auto"/>
                      </w:divBdr>
                    </w:div>
                  </w:divsChild>
                </w:div>
                <w:div w:id="754399691">
                  <w:marLeft w:val="0"/>
                  <w:marRight w:val="0"/>
                  <w:marTop w:val="0"/>
                  <w:marBottom w:val="0"/>
                  <w:divBdr>
                    <w:top w:val="none" w:sz="0" w:space="0" w:color="auto"/>
                    <w:left w:val="none" w:sz="0" w:space="0" w:color="auto"/>
                    <w:bottom w:val="none" w:sz="0" w:space="0" w:color="auto"/>
                    <w:right w:val="none" w:sz="0" w:space="0" w:color="auto"/>
                  </w:divBdr>
                  <w:divsChild>
                    <w:div w:id="116412476">
                      <w:marLeft w:val="0"/>
                      <w:marRight w:val="0"/>
                      <w:marTop w:val="0"/>
                      <w:marBottom w:val="0"/>
                      <w:divBdr>
                        <w:top w:val="none" w:sz="0" w:space="0" w:color="auto"/>
                        <w:left w:val="none" w:sz="0" w:space="0" w:color="auto"/>
                        <w:bottom w:val="none" w:sz="0" w:space="0" w:color="auto"/>
                        <w:right w:val="none" w:sz="0" w:space="0" w:color="auto"/>
                      </w:divBdr>
                    </w:div>
                    <w:div w:id="1055278459">
                      <w:marLeft w:val="0"/>
                      <w:marRight w:val="0"/>
                      <w:marTop w:val="0"/>
                      <w:marBottom w:val="0"/>
                      <w:divBdr>
                        <w:top w:val="none" w:sz="0" w:space="0" w:color="auto"/>
                        <w:left w:val="none" w:sz="0" w:space="0" w:color="auto"/>
                        <w:bottom w:val="none" w:sz="0" w:space="0" w:color="auto"/>
                        <w:right w:val="none" w:sz="0" w:space="0" w:color="auto"/>
                      </w:divBdr>
                    </w:div>
                    <w:div w:id="1095127526">
                      <w:marLeft w:val="0"/>
                      <w:marRight w:val="0"/>
                      <w:marTop w:val="0"/>
                      <w:marBottom w:val="0"/>
                      <w:divBdr>
                        <w:top w:val="none" w:sz="0" w:space="0" w:color="auto"/>
                        <w:left w:val="none" w:sz="0" w:space="0" w:color="auto"/>
                        <w:bottom w:val="none" w:sz="0" w:space="0" w:color="auto"/>
                        <w:right w:val="none" w:sz="0" w:space="0" w:color="auto"/>
                      </w:divBdr>
                    </w:div>
                  </w:divsChild>
                </w:div>
                <w:div w:id="759569527">
                  <w:marLeft w:val="0"/>
                  <w:marRight w:val="0"/>
                  <w:marTop w:val="0"/>
                  <w:marBottom w:val="0"/>
                  <w:divBdr>
                    <w:top w:val="none" w:sz="0" w:space="0" w:color="auto"/>
                    <w:left w:val="none" w:sz="0" w:space="0" w:color="auto"/>
                    <w:bottom w:val="none" w:sz="0" w:space="0" w:color="auto"/>
                    <w:right w:val="none" w:sz="0" w:space="0" w:color="auto"/>
                  </w:divBdr>
                  <w:divsChild>
                    <w:div w:id="826552578">
                      <w:marLeft w:val="0"/>
                      <w:marRight w:val="0"/>
                      <w:marTop w:val="0"/>
                      <w:marBottom w:val="0"/>
                      <w:divBdr>
                        <w:top w:val="none" w:sz="0" w:space="0" w:color="auto"/>
                        <w:left w:val="none" w:sz="0" w:space="0" w:color="auto"/>
                        <w:bottom w:val="none" w:sz="0" w:space="0" w:color="auto"/>
                        <w:right w:val="none" w:sz="0" w:space="0" w:color="auto"/>
                      </w:divBdr>
                    </w:div>
                  </w:divsChild>
                </w:div>
                <w:div w:id="773474972">
                  <w:marLeft w:val="0"/>
                  <w:marRight w:val="0"/>
                  <w:marTop w:val="0"/>
                  <w:marBottom w:val="0"/>
                  <w:divBdr>
                    <w:top w:val="none" w:sz="0" w:space="0" w:color="auto"/>
                    <w:left w:val="none" w:sz="0" w:space="0" w:color="auto"/>
                    <w:bottom w:val="none" w:sz="0" w:space="0" w:color="auto"/>
                    <w:right w:val="none" w:sz="0" w:space="0" w:color="auto"/>
                  </w:divBdr>
                  <w:divsChild>
                    <w:div w:id="1308897728">
                      <w:marLeft w:val="0"/>
                      <w:marRight w:val="0"/>
                      <w:marTop w:val="0"/>
                      <w:marBottom w:val="0"/>
                      <w:divBdr>
                        <w:top w:val="none" w:sz="0" w:space="0" w:color="auto"/>
                        <w:left w:val="none" w:sz="0" w:space="0" w:color="auto"/>
                        <w:bottom w:val="none" w:sz="0" w:space="0" w:color="auto"/>
                        <w:right w:val="none" w:sz="0" w:space="0" w:color="auto"/>
                      </w:divBdr>
                    </w:div>
                  </w:divsChild>
                </w:div>
                <w:div w:id="774906969">
                  <w:marLeft w:val="0"/>
                  <w:marRight w:val="0"/>
                  <w:marTop w:val="0"/>
                  <w:marBottom w:val="0"/>
                  <w:divBdr>
                    <w:top w:val="none" w:sz="0" w:space="0" w:color="auto"/>
                    <w:left w:val="none" w:sz="0" w:space="0" w:color="auto"/>
                    <w:bottom w:val="none" w:sz="0" w:space="0" w:color="auto"/>
                    <w:right w:val="none" w:sz="0" w:space="0" w:color="auto"/>
                  </w:divBdr>
                  <w:divsChild>
                    <w:div w:id="16123922">
                      <w:marLeft w:val="0"/>
                      <w:marRight w:val="0"/>
                      <w:marTop w:val="0"/>
                      <w:marBottom w:val="0"/>
                      <w:divBdr>
                        <w:top w:val="none" w:sz="0" w:space="0" w:color="auto"/>
                        <w:left w:val="none" w:sz="0" w:space="0" w:color="auto"/>
                        <w:bottom w:val="none" w:sz="0" w:space="0" w:color="auto"/>
                        <w:right w:val="none" w:sz="0" w:space="0" w:color="auto"/>
                      </w:divBdr>
                    </w:div>
                  </w:divsChild>
                </w:div>
                <w:div w:id="775247750">
                  <w:marLeft w:val="0"/>
                  <w:marRight w:val="0"/>
                  <w:marTop w:val="0"/>
                  <w:marBottom w:val="0"/>
                  <w:divBdr>
                    <w:top w:val="none" w:sz="0" w:space="0" w:color="auto"/>
                    <w:left w:val="none" w:sz="0" w:space="0" w:color="auto"/>
                    <w:bottom w:val="none" w:sz="0" w:space="0" w:color="auto"/>
                    <w:right w:val="none" w:sz="0" w:space="0" w:color="auto"/>
                  </w:divBdr>
                  <w:divsChild>
                    <w:div w:id="1777552290">
                      <w:marLeft w:val="0"/>
                      <w:marRight w:val="0"/>
                      <w:marTop w:val="0"/>
                      <w:marBottom w:val="0"/>
                      <w:divBdr>
                        <w:top w:val="none" w:sz="0" w:space="0" w:color="auto"/>
                        <w:left w:val="none" w:sz="0" w:space="0" w:color="auto"/>
                        <w:bottom w:val="none" w:sz="0" w:space="0" w:color="auto"/>
                        <w:right w:val="none" w:sz="0" w:space="0" w:color="auto"/>
                      </w:divBdr>
                    </w:div>
                  </w:divsChild>
                </w:div>
                <w:div w:id="776367035">
                  <w:marLeft w:val="0"/>
                  <w:marRight w:val="0"/>
                  <w:marTop w:val="0"/>
                  <w:marBottom w:val="0"/>
                  <w:divBdr>
                    <w:top w:val="none" w:sz="0" w:space="0" w:color="auto"/>
                    <w:left w:val="none" w:sz="0" w:space="0" w:color="auto"/>
                    <w:bottom w:val="none" w:sz="0" w:space="0" w:color="auto"/>
                    <w:right w:val="none" w:sz="0" w:space="0" w:color="auto"/>
                  </w:divBdr>
                  <w:divsChild>
                    <w:div w:id="1990938864">
                      <w:marLeft w:val="0"/>
                      <w:marRight w:val="0"/>
                      <w:marTop w:val="0"/>
                      <w:marBottom w:val="0"/>
                      <w:divBdr>
                        <w:top w:val="none" w:sz="0" w:space="0" w:color="auto"/>
                        <w:left w:val="none" w:sz="0" w:space="0" w:color="auto"/>
                        <w:bottom w:val="none" w:sz="0" w:space="0" w:color="auto"/>
                        <w:right w:val="none" w:sz="0" w:space="0" w:color="auto"/>
                      </w:divBdr>
                    </w:div>
                  </w:divsChild>
                </w:div>
                <w:div w:id="778522851">
                  <w:marLeft w:val="0"/>
                  <w:marRight w:val="0"/>
                  <w:marTop w:val="0"/>
                  <w:marBottom w:val="0"/>
                  <w:divBdr>
                    <w:top w:val="none" w:sz="0" w:space="0" w:color="auto"/>
                    <w:left w:val="none" w:sz="0" w:space="0" w:color="auto"/>
                    <w:bottom w:val="none" w:sz="0" w:space="0" w:color="auto"/>
                    <w:right w:val="none" w:sz="0" w:space="0" w:color="auto"/>
                  </w:divBdr>
                  <w:divsChild>
                    <w:div w:id="673339783">
                      <w:marLeft w:val="0"/>
                      <w:marRight w:val="0"/>
                      <w:marTop w:val="0"/>
                      <w:marBottom w:val="0"/>
                      <w:divBdr>
                        <w:top w:val="none" w:sz="0" w:space="0" w:color="auto"/>
                        <w:left w:val="none" w:sz="0" w:space="0" w:color="auto"/>
                        <w:bottom w:val="none" w:sz="0" w:space="0" w:color="auto"/>
                        <w:right w:val="none" w:sz="0" w:space="0" w:color="auto"/>
                      </w:divBdr>
                    </w:div>
                  </w:divsChild>
                </w:div>
                <w:div w:id="783696063">
                  <w:marLeft w:val="0"/>
                  <w:marRight w:val="0"/>
                  <w:marTop w:val="0"/>
                  <w:marBottom w:val="0"/>
                  <w:divBdr>
                    <w:top w:val="none" w:sz="0" w:space="0" w:color="auto"/>
                    <w:left w:val="none" w:sz="0" w:space="0" w:color="auto"/>
                    <w:bottom w:val="none" w:sz="0" w:space="0" w:color="auto"/>
                    <w:right w:val="none" w:sz="0" w:space="0" w:color="auto"/>
                  </w:divBdr>
                  <w:divsChild>
                    <w:div w:id="367989849">
                      <w:marLeft w:val="0"/>
                      <w:marRight w:val="0"/>
                      <w:marTop w:val="0"/>
                      <w:marBottom w:val="0"/>
                      <w:divBdr>
                        <w:top w:val="none" w:sz="0" w:space="0" w:color="auto"/>
                        <w:left w:val="none" w:sz="0" w:space="0" w:color="auto"/>
                        <w:bottom w:val="none" w:sz="0" w:space="0" w:color="auto"/>
                        <w:right w:val="none" w:sz="0" w:space="0" w:color="auto"/>
                      </w:divBdr>
                    </w:div>
                  </w:divsChild>
                </w:div>
                <w:div w:id="785546395">
                  <w:marLeft w:val="0"/>
                  <w:marRight w:val="0"/>
                  <w:marTop w:val="0"/>
                  <w:marBottom w:val="0"/>
                  <w:divBdr>
                    <w:top w:val="none" w:sz="0" w:space="0" w:color="auto"/>
                    <w:left w:val="none" w:sz="0" w:space="0" w:color="auto"/>
                    <w:bottom w:val="none" w:sz="0" w:space="0" w:color="auto"/>
                    <w:right w:val="none" w:sz="0" w:space="0" w:color="auto"/>
                  </w:divBdr>
                  <w:divsChild>
                    <w:div w:id="179978873">
                      <w:marLeft w:val="0"/>
                      <w:marRight w:val="0"/>
                      <w:marTop w:val="0"/>
                      <w:marBottom w:val="0"/>
                      <w:divBdr>
                        <w:top w:val="none" w:sz="0" w:space="0" w:color="auto"/>
                        <w:left w:val="none" w:sz="0" w:space="0" w:color="auto"/>
                        <w:bottom w:val="none" w:sz="0" w:space="0" w:color="auto"/>
                        <w:right w:val="none" w:sz="0" w:space="0" w:color="auto"/>
                      </w:divBdr>
                    </w:div>
                  </w:divsChild>
                </w:div>
                <w:div w:id="789201835">
                  <w:marLeft w:val="0"/>
                  <w:marRight w:val="0"/>
                  <w:marTop w:val="0"/>
                  <w:marBottom w:val="0"/>
                  <w:divBdr>
                    <w:top w:val="none" w:sz="0" w:space="0" w:color="auto"/>
                    <w:left w:val="none" w:sz="0" w:space="0" w:color="auto"/>
                    <w:bottom w:val="none" w:sz="0" w:space="0" w:color="auto"/>
                    <w:right w:val="none" w:sz="0" w:space="0" w:color="auto"/>
                  </w:divBdr>
                  <w:divsChild>
                    <w:div w:id="1414619894">
                      <w:marLeft w:val="0"/>
                      <w:marRight w:val="0"/>
                      <w:marTop w:val="0"/>
                      <w:marBottom w:val="0"/>
                      <w:divBdr>
                        <w:top w:val="none" w:sz="0" w:space="0" w:color="auto"/>
                        <w:left w:val="none" w:sz="0" w:space="0" w:color="auto"/>
                        <w:bottom w:val="none" w:sz="0" w:space="0" w:color="auto"/>
                        <w:right w:val="none" w:sz="0" w:space="0" w:color="auto"/>
                      </w:divBdr>
                    </w:div>
                  </w:divsChild>
                </w:div>
                <w:div w:id="792986287">
                  <w:marLeft w:val="0"/>
                  <w:marRight w:val="0"/>
                  <w:marTop w:val="0"/>
                  <w:marBottom w:val="0"/>
                  <w:divBdr>
                    <w:top w:val="none" w:sz="0" w:space="0" w:color="auto"/>
                    <w:left w:val="none" w:sz="0" w:space="0" w:color="auto"/>
                    <w:bottom w:val="none" w:sz="0" w:space="0" w:color="auto"/>
                    <w:right w:val="none" w:sz="0" w:space="0" w:color="auto"/>
                  </w:divBdr>
                  <w:divsChild>
                    <w:div w:id="201670615">
                      <w:marLeft w:val="0"/>
                      <w:marRight w:val="0"/>
                      <w:marTop w:val="0"/>
                      <w:marBottom w:val="0"/>
                      <w:divBdr>
                        <w:top w:val="none" w:sz="0" w:space="0" w:color="auto"/>
                        <w:left w:val="none" w:sz="0" w:space="0" w:color="auto"/>
                        <w:bottom w:val="none" w:sz="0" w:space="0" w:color="auto"/>
                        <w:right w:val="none" w:sz="0" w:space="0" w:color="auto"/>
                      </w:divBdr>
                    </w:div>
                  </w:divsChild>
                </w:div>
                <w:div w:id="794569307">
                  <w:marLeft w:val="0"/>
                  <w:marRight w:val="0"/>
                  <w:marTop w:val="0"/>
                  <w:marBottom w:val="0"/>
                  <w:divBdr>
                    <w:top w:val="none" w:sz="0" w:space="0" w:color="auto"/>
                    <w:left w:val="none" w:sz="0" w:space="0" w:color="auto"/>
                    <w:bottom w:val="none" w:sz="0" w:space="0" w:color="auto"/>
                    <w:right w:val="none" w:sz="0" w:space="0" w:color="auto"/>
                  </w:divBdr>
                  <w:divsChild>
                    <w:div w:id="467165696">
                      <w:marLeft w:val="0"/>
                      <w:marRight w:val="0"/>
                      <w:marTop w:val="0"/>
                      <w:marBottom w:val="0"/>
                      <w:divBdr>
                        <w:top w:val="none" w:sz="0" w:space="0" w:color="auto"/>
                        <w:left w:val="none" w:sz="0" w:space="0" w:color="auto"/>
                        <w:bottom w:val="none" w:sz="0" w:space="0" w:color="auto"/>
                        <w:right w:val="none" w:sz="0" w:space="0" w:color="auto"/>
                      </w:divBdr>
                    </w:div>
                  </w:divsChild>
                </w:div>
                <w:div w:id="805705926">
                  <w:marLeft w:val="0"/>
                  <w:marRight w:val="0"/>
                  <w:marTop w:val="0"/>
                  <w:marBottom w:val="0"/>
                  <w:divBdr>
                    <w:top w:val="none" w:sz="0" w:space="0" w:color="auto"/>
                    <w:left w:val="none" w:sz="0" w:space="0" w:color="auto"/>
                    <w:bottom w:val="none" w:sz="0" w:space="0" w:color="auto"/>
                    <w:right w:val="none" w:sz="0" w:space="0" w:color="auto"/>
                  </w:divBdr>
                  <w:divsChild>
                    <w:div w:id="1562787699">
                      <w:marLeft w:val="0"/>
                      <w:marRight w:val="0"/>
                      <w:marTop w:val="0"/>
                      <w:marBottom w:val="0"/>
                      <w:divBdr>
                        <w:top w:val="none" w:sz="0" w:space="0" w:color="auto"/>
                        <w:left w:val="none" w:sz="0" w:space="0" w:color="auto"/>
                        <w:bottom w:val="none" w:sz="0" w:space="0" w:color="auto"/>
                        <w:right w:val="none" w:sz="0" w:space="0" w:color="auto"/>
                      </w:divBdr>
                    </w:div>
                  </w:divsChild>
                </w:div>
                <w:div w:id="814835150">
                  <w:marLeft w:val="0"/>
                  <w:marRight w:val="0"/>
                  <w:marTop w:val="0"/>
                  <w:marBottom w:val="0"/>
                  <w:divBdr>
                    <w:top w:val="none" w:sz="0" w:space="0" w:color="auto"/>
                    <w:left w:val="none" w:sz="0" w:space="0" w:color="auto"/>
                    <w:bottom w:val="none" w:sz="0" w:space="0" w:color="auto"/>
                    <w:right w:val="none" w:sz="0" w:space="0" w:color="auto"/>
                  </w:divBdr>
                  <w:divsChild>
                    <w:div w:id="44255268">
                      <w:marLeft w:val="0"/>
                      <w:marRight w:val="0"/>
                      <w:marTop w:val="0"/>
                      <w:marBottom w:val="0"/>
                      <w:divBdr>
                        <w:top w:val="none" w:sz="0" w:space="0" w:color="auto"/>
                        <w:left w:val="none" w:sz="0" w:space="0" w:color="auto"/>
                        <w:bottom w:val="none" w:sz="0" w:space="0" w:color="auto"/>
                        <w:right w:val="none" w:sz="0" w:space="0" w:color="auto"/>
                      </w:divBdr>
                    </w:div>
                  </w:divsChild>
                </w:div>
                <w:div w:id="815874165">
                  <w:marLeft w:val="0"/>
                  <w:marRight w:val="0"/>
                  <w:marTop w:val="0"/>
                  <w:marBottom w:val="0"/>
                  <w:divBdr>
                    <w:top w:val="none" w:sz="0" w:space="0" w:color="auto"/>
                    <w:left w:val="none" w:sz="0" w:space="0" w:color="auto"/>
                    <w:bottom w:val="none" w:sz="0" w:space="0" w:color="auto"/>
                    <w:right w:val="none" w:sz="0" w:space="0" w:color="auto"/>
                  </w:divBdr>
                  <w:divsChild>
                    <w:div w:id="340620255">
                      <w:marLeft w:val="0"/>
                      <w:marRight w:val="0"/>
                      <w:marTop w:val="0"/>
                      <w:marBottom w:val="0"/>
                      <w:divBdr>
                        <w:top w:val="none" w:sz="0" w:space="0" w:color="auto"/>
                        <w:left w:val="none" w:sz="0" w:space="0" w:color="auto"/>
                        <w:bottom w:val="none" w:sz="0" w:space="0" w:color="auto"/>
                        <w:right w:val="none" w:sz="0" w:space="0" w:color="auto"/>
                      </w:divBdr>
                    </w:div>
                    <w:div w:id="1556819679">
                      <w:marLeft w:val="0"/>
                      <w:marRight w:val="0"/>
                      <w:marTop w:val="0"/>
                      <w:marBottom w:val="0"/>
                      <w:divBdr>
                        <w:top w:val="none" w:sz="0" w:space="0" w:color="auto"/>
                        <w:left w:val="none" w:sz="0" w:space="0" w:color="auto"/>
                        <w:bottom w:val="none" w:sz="0" w:space="0" w:color="auto"/>
                        <w:right w:val="none" w:sz="0" w:space="0" w:color="auto"/>
                      </w:divBdr>
                    </w:div>
                  </w:divsChild>
                </w:div>
                <w:div w:id="817575556">
                  <w:marLeft w:val="0"/>
                  <w:marRight w:val="0"/>
                  <w:marTop w:val="0"/>
                  <w:marBottom w:val="0"/>
                  <w:divBdr>
                    <w:top w:val="none" w:sz="0" w:space="0" w:color="auto"/>
                    <w:left w:val="none" w:sz="0" w:space="0" w:color="auto"/>
                    <w:bottom w:val="none" w:sz="0" w:space="0" w:color="auto"/>
                    <w:right w:val="none" w:sz="0" w:space="0" w:color="auto"/>
                  </w:divBdr>
                  <w:divsChild>
                    <w:div w:id="1647055044">
                      <w:marLeft w:val="0"/>
                      <w:marRight w:val="0"/>
                      <w:marTop w:val="0"/>
                      <w:marBottom w:val="0"/>
                      <w:divBdr>
                        <w:top w:val="none" w:sz="0" w:space="0" w:color="auto"/>
                        <w:left w:val="none" w:sz="0" w:space="0" w:color="auto"/>
                        <w:bottom w:val="none" w:sz="0" w:space="0" w:color="auto"/>
                        <w:right w:val="none" w:sz="0" w:space="0" w:color="auto"/>
                      </w:divBdr>
                    </w:div>
                  </w:divsChild>
                </w:div>
                <w:div w:id="826944677">
                  <w:marLeft w:val="0"/>
                  <w:marRight w:val="0"/>
                  <w:marTop w:val="0"/>
                  <w:marBottom w:val="0"/>
                  <w:divBdr>
                    <w:top w:val="none" w:sz="0" w:space="0" w:color="auto"/>
                    <w:left w:val="none" w:sz="0" w:space="0" w:color="auto"/>
                    <w:bottom w:val="none" w:sz="0" w:space="0" w:color="auto"/>
                    <w:right w:val="none" w:sz="0" w:space="0" w:color="auto"/>
                  </w:divBdr>
                  <w:divsChild>
                    <w:div w:id="1116020666">
                      <w:marLeft w:val="0"/>
                      <w:marRight w:val="0"/>
                      <w:marTop w:val="0"/>
                      <w:marBottom w:val="0"/>
                      <w:divBdr>
                        <w:top w:val="none" w:sz="0" w:space="0" w:color="auto"/>
                        <w:left w:val="none" w:sz="0" w:space="0" w:color="auto"/>
                        <w:bottom w:val="none" w:sz="0" w:space="0" w:color="auto"/>
                        <w:right w:val="none" w:sz="0" w:space="0" w:color="auto"/>
                      </w:divBdr>
                    </w:div>
                  </w:divsChild>
                </w:div>
                <w:div w:id="831600385">
                  <w:marLeft w:val="0"/>
                  <w:marRight w:val="0"/>
                  <w:marTop w:val="0"/>
                  <w:marBottom w:val="0"/>
                  <w:divBdr>
                    <w:top w:val="none" w:sz="0" w:space="0" w:color="auto"/>
                    <w:left w:val="none" w:sz="0" w:space="0" w:color="auto"/>
                    <w:bottom w:val="none" w:sz="0" w:space="0" w:color="auto"/>
                    <w:right w:val="none" w:sz="0" w:space="0" w:color="auto"/>
                  </w:divBdr>
                  <w:divsChild>
                    <w:div w:id="256325767">
                      <w:marLeft w:val="0"/>
                      <w:marRight w:val="0"/>
                      <w:marTop w:val="0"/>
                      <w:marBottom w:val="0"/>
                      <w:divBdr>
                        <w:top w:val="none" w:sz="0" w:space="0" w:color="auto"/>
                        <w:left w:val="none" w:sz="0" w:space="0" w:color="auto"/>
                        <w:bottom w:val="none" w:sz="0" w:space="0" w:color="auto"/>
                        <w:right w:val="none" w:sz="0" w:space="0" w:color="auto"/>
                      </w:divBdr>
                    </w:div>
                  </w:divsChild>
                </w:div>
                <w:div w:id="833447153">
                  <w:marLeft w:val="0"/>
                  <w:marRight w:val="0"/>
                  <w:marTop w:val="0"/>
                  <w:marBottom w:val="0"/>
                  <w:divBdr>
                    <w:top w:val="none" w:sz="0" w:space="0" w:color="auto"/>
                    <w:left w:val="none" w:sz="0" w:space="0" w:color="auto"/>
                    <w:bottom w:val="none" w:sz="0" w:space="0" w:color="auto"/>
                    <w:right w:val="none" w:sz="0" w:space="0" w:color="auto"/>
                  </w:divBdr>
                  <w:divsChild>
                    <w:div w:id="693969026">
                      <w:marLeft w:val="0"/>
                      <w:marRight w:val="0"/>
                      <w:marTop w:val="0"/>
                      <w:marBottom w:val="0"/>
                      <w:divBdr>
                        <w:top w:val="none" w:sz="0" w:space="0" w:color="auto"/>
                        <w:left w:val="none" w:sz="0" w:space="0" w:color="auto"/>
                        <w:bottom w:val="none" w:sz="0" w:space="0" w:color="auto"/>
                        <w:right w:val="none" w:sz="0" w:space="0" w:color="auto"/>
                      </w:divBdr>
                    </w:div>
                  </w:divsChild>
                </w:div>
                <w:div w:id="838496509">
                  <w:marLeft w:val="0"/>
                  <w:marRight w:val="0"/>
                  <w:marTop w:val="0"/>
                  <w:marBottom w:val="0"/>
                  <w:divBdr>
                    <w:top w:val="none" w:sz="0" w:space="0" w:color="auto"/>
                    <w:left w:val="none" w:sz="0" w:space="0" w:color="auto"/>
                    <w:bottom w:val="none" w:sz="0" w:space="0" w:color="auto"/>
                    <w:right w:val="none" w:sz="0" w:space="0" w:color="auto"/>
                  </w:divBdr>
                  <w:divsChild>
                    <w:div w:id="1512598063">
                      <w:marLeft w:val="0"/>
                      <w:marRight w:val="0"/>
                      <w:marTop w:val="0"/>
                      <w:marBottom w:val="0"/>
                      <w:divBdr>
                        <w:top w:val="none" w:sz="0" w:space="0" w:color="auto"/>
                        <w:left w:val="none" w:sz="0" w:space="0" w:color="auto"/>
                        <w:bottom w:val="none" w:sz="0" w:space="0" w:color="auto"/>
                        <w:right w:val="none" w:sz="0" w:space="0" w:color="auto"/>
                      </w:divBdr>
                    </w:div>
                  </w:divsChild>
                </w:div>
                <w:div w:id="843130696">
                  <w:marLeft w:val="0"/>
                  <w:marRight w:val="0"/>
                  <w:marTop w:val="0"/>
                  <w:marBottom w:val="0"/>
                  <w:divBdr>
                    <w:top w:val="none" w:sz="0" w:space="0" w:color="auto"/>
                    <w:left w:val="none" w:sz="0" w:space="0" w:color="auto"/>
                    <w:bottom w:val="none" w:sz="0" w:space="0" w:color="auto"/>
                    <w:right w:val="none" w:sz="0" w:space="0" w:color="auto"/>
                  </w:divBdr>
                  <w:divsChild>
                    <w:div w:id="506947909">
                      <w:marLeft w:val="0"/>
                      <w:marRight w:val="0"/>
                      <w:marTop w:val="0"/>
                      <w:marBottom w:val="0"/>
                      <w:divBdr>
                        <w:top w:val="none" w:sz="0" w:space="0" w:color="auto"/>
                        <w:left w:val="none" w:sz="0" w:space="0" w:color="auto"/>
                        <w:bottom w:val="none" w:sz="0" w:space="0" w:color="auto"/>
                        <w:right w:val="none" w:sz="0" w:space="0" w:color="auto"/>
                      </w:divBdr>
                    </w:div>
                  </w:divsChild>
                </w:div>
                <w:div w:id="845949153">
                  <w:marLeft w:val="0"/>
                  <w:marRight w:val="0"/>
                  <w:marTop w:val="0"/>
                  <w:marBottom w:val="0"/>
                  <w:divBdr>
                    <w:top w:val="none" w:sz="0" w:space="0" w:color="auto"/>
                    <w:left w:val="none" w:sz="0" w:space="0" w:color="auto"/>
                    <w:bottom w:val="none" w:sz="0" w:space="0" w:color="auto"/>
                    <w:right w:val="none" w:sz="0" w:space="0" w:color="auto"/>
                  </w:divBdr>
                  <w:divsChild>
                    <w:div w:id="1388382243">
                      <w:marLeft w:val="0"/>
                      <w:marRight w:val="0"/>
                      <w:marTop w:val="0"/>
                      <w:marBottom w:val="0"/>
                      <w:divBdr>
                        <w:top w:val="none" w:sz="0" w:space="0" w:color="auto"/>
                        <w:left w:val="none" w:sz="0" w:space="0" w:color="auto"/>
                        <w:bottom w:val="none" w:sz="0" w:space="0" w:color="auto"/>
                        <w:right w:val="none" w:sz="0" w:space="0" w:color="auto"/>
                      </w:divBdr>
                    </w:div>
                  </w:divsChild>
                </w:div>
                <w:div w:id="849026171">
                  <w:marLeft w:val="0"/>
                  <w:marRight w:val="0"/>
                  <w:marTop w:val="0"/>
                  <w:marBottom w:val="0"/>
                  <w:divBdr>
                    <w:top w:val="none" w:sz="0" w:space="0" w:color="auto"/>
                    <w:left w:val="none" w:sz="0" w:space="0" w:color="auto"/>
                    <w:bottom w:val="none" w:sz="0" w:space="0" w:color="auto"/>
                    <w:right w:val="none" w:sz="0" w:space="0" w:color="auto"/>
                  </w:divBdr>
                  <w:divsChild>
                    <w:div w:id="63458501">
                      <w:marLeft w:val="0"/>
                      <w:marRight w:val="0"/>
                      <w:marTop w:val="0"/>
                      <w:marBottom w:val="0"/>
                      <w:divBdr>
                        <w:top w:val="none" w:sz="0" w:space="0" w:color="auto"/>
                        <w:left w:val="none" w:sz="0" w:space="0" w:color="auto"/>
                        <w:bottom w:val="none" w:sz="0" w:space="0" w:color="auto"/>
                        <w:right w:val="none" w:sz="0" w:space="0" w:color="auto"/>
                      </w:divBdr>
                    </w:div>
                    <w:div w:id="302077654">
                      <w:marLeft w:val="0"/>
                      <w:marRight w:val="0"/>
                      <w:marTop w:val="0"/>
                      <w:marBottom w:val="0"/>
                      <w:divBdr>
                        <w:top w:val="none" w:sz="0" w:space="0" w:color="auto"/>
                        <w:left w:val="none" w:sz="0" w:space="0" w:color="auto"/>
                        <w:bottom w:val="none" w:sz="0" w:space="0" w:color="auto"/>
                        <w:right w:val="none" w:sz="0" w:space="0" w:color="auto"/>
                      </w:divBdr>
                    </w:div>
                    <w:div w:id="547038458">
                      <w:marLeft w:val="0"/>
                      <w:marRight w:val="0"/>
                      <w:marTop w:val="0"/>
                      <w:marBottom w:val="0"/>
                      <w:divBdr>
                        <w:top w:val="none" w:sz="0" w:space="0" w:color="auto"/>
                        <w:left w:val="none" w:sz="0" w:space="0" w:color="auto"/>
                        <w:bottom w:val="none" w:sz="0" w:space="0" w:color="auto"/>
                        <w:right w:val="none" w:sz="0" w:space="0" w:color="auto"/>
                      </w:divBdr>
                    </w:div>
                    <w:div w:id="635524067">
                      <w:marLeft w:val="0"/>
                      <w:marRight w:val="0"/>
                      <w:marTop w:val="0"/>
                      <w:marBottom w:val="0"/>
                      <w:divBdr>
                        <w:top w:val="none" w:sz="0" w:space="0" w:color="auto"/>
                        <w:left w:val="none" w:sz="0" w:space="0" w:color="auto"/>
                        <w:bottom w:val="none" w:sz="0" w:space="0" w:color="auto"/>
                        <w:right w:val="none" w:sz="0" w:space="0" w:color="auto"/>
                      </w:divBdr>
                    </w:div>
                    <w:div w:id="763956820">
                      <w:marLeft w:val="0"/>
                      <w:marRight w:val="0"/>
                      <w:marTop w:val="0"/>
                      <w:marBottom w:val="0"/>
                      <w:divBdr>
                        <w:top w:val="none" w:sz="0" w:space="0" w:color="auto"/>
                        <w:left w:val="none" w:sz="0" w:space="0" w:color="auto"/>
                        <w:bottom w:val="none" w:sz="0" w:space="0" w:color="auto"/>
                        <w:right w:val="none" w:sz="0" w:space="0" w:color="auto"/>
                      </w:divBdr>
                    </w:div>
                    <w:div w:id="1392928147">
                      <w:marLeft w:val="0"/>
                      <w:marRight w:val="0"/>
                      <w:marTop w:val="0"/>
                      <w:marBottom w:val="0"/>
                      <w:divBdr>
                        <w:top w:val="none" w:sz="0" w:space="0" w:color="auto"/>
                        <w:left w:val="none" w:sz="0" w:space="0" w:color="auto"/>
                        <w:bottom w:val="none" w:sz="0" w:space="0" w:color="auto"/>
                        <w:right w:val="none" w:sz="0" w:space="0" w:color="auto"/>
                      </w:divBdr>
                    </w:div>
                    <w:div w:id="1555390559">
                      <w:marLeft w:val="0"/>
                      <w:marRight w:val="0"/>
                      <w:marTop w:val="0"/>
                      <w:marBottom w:val="0"/>
                      <w:divBdr>
                        <w:top w:val="none" w:sz="0" w:space="0" w:color="auto"/>
                        <w:left w:val="none" w:sz="0" w:space="0" w:color="auto"/>
                        <w:bottom w:val="none" w:sz="0" w:space="0" w:color="auto"/>
                        <w:right w:val="none" w:sz="0" w:space="0" w:color="auto"/>
                      </w:divBdr>
                    </w:div>
                    <w:div w:id="1612394958">
                      <w:marLeft w:val="0"/>
                      <w:marRight w:val="0"/>
                      <w:marTop w:val="0"/>
                      <w:marBottom w:val="0"/>
                      <w:divBdr>
                        <w:top w:val="none" w:sz="0" w:space="0" w:color="auto"/>
                        <w:left w:val="none" w:sz="0" w:space="0" w:color="auto"/>
                        <w:bottom w:val="none" w:sz="0" w:space="0" w:color="auto"/>
                        <w:right w:val="none" w:sz="0" w:space="0" w:color="auto"/>
                      </w:divBdr>
                    </w:div>
                    <w:div w:id="2042321403">
                      <w:marLeft w:val="0"/>
                      <w:marRight w:val="0"/>
                      <w:marTop w:val="0"/>
                      <w:marBottom w:val="0"/>
                      <w:divBdr>
                        <w:top w:val="none" w:sz="0" w:space="0" w:color="auto"/>
                        <w:left w:val="none" w:sz="0" w:space="0" w:color="auto"/>
                        <w:bottom w:val="none" w:sz="0" w:space="0" w:color="auto"/>
                        <w:right w:val="none" w:sz="0" w:space="0" w:color="auto"/>
                      </w:divBdr>
                    </w:div>
                  </w:divsChild>
                </w:div>
                <w:div w:id="850142360">
                  <w:marLeft w:val="0"/>
                  <w:marRight w:val="0"/>
                  <w:marTop w:val="0"/>
                  <w:marBottom w:val="0"/>
                  <w:divBdr>
                    <w:top w:val="none" w:sz="0" w:space="0" w:color="auto"/>
                    <w:left w:val="none" w:sz="0" w:space="0" w:color="auto"/>
                    <w:bottom w:val="none" w:sz="0" w:space="0" w:color="auto"/>
                    <w:right w:val="none" w:sz="0" w:space="0" w:color="auto"/>
                  </w:divBdr>
                  <w:divsChild>
                    <w:div w:id="963659068">
                      <w:marLeft w:val="0"/>
                      <w:marRight w:val="0"/>
                      <w:marTop w:val="0"/>
                      <w:marBottom w:val="0"/>
                      <w:divBdr>
                        <w:top w:val="none" w:sz="0" w:space="0" w:color="auto"/>
                        <w:left w:val="none" w:sz="0" w:space="0" w:color="auto"/>
                        <w:bottom w:val="none" w:sz="0" w:space="0" w:color="auto"/>
                        <w:right w:val="none" w:sz="0" w:space="0" w:color="auto"/>
                      </w:divBdr>
                    </w:div>
                  </w:divsChild>
                </w:div>
                <w:div w:id="864756687">
                  <w:marLeft w:val="0"/>
                  <w:marRight w:val="0"/>
                  <w:marTop w:val="0"/>
                  <w:marBottom w:val="0"/>
                  <w:divBdr>
                    <w:top w:val="none" w:sz="0" w:space="0" w:color="auto"/>
                    <w:left w:val="none" w:sz="0" w:space="0" w:color="auto"/>
                    <w:bottom w:val="none" w:sz="0" w:space="0" w:color="auto"/>
                    <w:right w:val="none" w:sz="0" w:space="0" w:color="auto"/>
                  </w:divBdr>
                  <w:divsChild>
                    <w:div w:id="1966152006">
                      <w:marLeft w:val="0"/>
                      <w:marRight w:val="0"/>
                      <w:marTop w:val="0"/>
                      <w:marBottom w:val="0"/>
                      <w:divBdr>
                        <w:top w:val="none" w:sz="0" w:space="0" w:color="auto"/>
                        <w:left w:val="none" w:sz="0" w:space="0" w:color="auto"/>
                        <w:bottom w:val="none" w:sz="0" w:space="0" w:color="auto"/>
                        <w:right w:val="none" w:sz="0" w:space="0" w:color="auto"/>
                      </w:divBdr>
                    </w:div>
                  </w:divsChild>
                </w:div>
                <w:div w:id="871454938">
                  <w:marLeft w:val="0"/>
                  <w:marRight w:val="0"/>
                  <w:marTop w:val="0"/>
                  <w:marBottom w:val="0"/>
                  <w:divBdr>
                    <w:top w:val="none" w:sz="0" w:space="0" w:color="auto"/>
                    <w:left w:val="none" w:sz="0" w:space="0" w:color="auto"/>
                    <w:bottom w:val="none" w:sz="0" w:space="0" w:color="auto"/>
                    <w:right w:val="none" w:sz="0" w:space="0" w:color="auto"/>
                  </w:divBdr>
                  <w:divsChild>
                    <w:div w:id="1570920679">
                      <w:marLeft w:val="0"/>
                      <w:marRight w:val="0"/>
                      <w:marTop w:val="0"/>
                      <w:marBottom w:val="0"/>
                      <w:divBdr>
                        <w:top w:val="none" w:sz="0" w:space="0" w:color="auto"/>
                        <w:left w:val="none" w:sz="0" w:space="0" w:color="auto"/>
                        <w:bottom w:val="none" w:sz="0" w:space="0" w:color="auto"/>
                        <w:right w:val="none" w:sz="0" w:space="0" w:color="auto"/>
                      </w:divBdr>
                    </w:div>
                  </w:divsChild>
                </w:div>
                <w:div w:id="875896203">
                  <w:marLeft w:val="0"/>
                  <w:marRight w:val="0"/>
                  <w:marTop w:val="0"/>
                  <w:marBottom w:val="0"/>
                  <w:divBdr>
                    <w:top w:val="none" w:sz="0" w:space="0" w:color="auto"/>
                    <w:left w:val="none" w:sz="0" w:space="0" w:color="auto"/>
                    <w:bottom w:val="none" w:sz="0" w:space="0" w:color="auto"/>
                    <w:right w:val="none" w:sz="0" w:space="0" w:color="auto"/>
                  </w:divBdr>
                  <w:divsChild>
                    <w:div w:id="854882007">
                      <w:marLeft w:val="0"/>
                      <w:marRight w:val="0"/>
                      <w:marTop w:val="0"/>
                      <w:marBottom w:val="0"/>
                      <w:divBdr>
                        <w:top w:val="none" w:sz="0" w:space="0" w:color="auto"/>
                        <w:left w:val="none" w:sz="0" w:space="0" w:color="auto"/>
                        <w:bottom w:val="none" w:sz="0" w:space="0" w:color="auto"/>
                        <w:right w:val="none" w:sz="0" w:space="0" w:color="auto"/>
                      </w:divBdr>
                    </w:div>
                  </w:divsChild>
                </w:div>
                <w:div w:id="878397262">
                  <w:marLeft w:val="0"/>
                  <w:marRight w:val="0"/>
                  <w:marTop w:val="0"/>
                  <w:marBottom w:val="0"/>
                  <w:divBdr>
                    <w:top w:val="none" w:sz="0" w:space="0" w:color="auto"/>
                    <w:left w:val="none" w:sz="0" w:space="0" w:color="auto"/>
                    <w:bottom w:val="none" w:sz="0" w:space="0" w:color="auto"/>
                    <w:right w:val="none" w:sz="0" w:space="0" w:color="auto"/>
                  </w:divBdr>
                  <w:divsChild>
                    <w:div w:id="2008049773">
                      <w:marLeft w:val="0"/>
                      <w:marRight w:val="0"/>
                      <w:marTop w:val="0"/>
                      <w:marBottom w:val="0"/>
                      <w:divBdr>
                        <w:top w:val="none" w:sz="0" w:space="0" w:color="auto"/>
                        <w:left w:val="none" w:sz="0" w:space="0" w:color="auto"/>
                        <w:bottom w:val="none" w:sz="0" w:space="0" w:color="auto"/>
                        <w:right w:val="none" w:sz="0" w:space="0" w:color="auto"/>
                      </w:divBdr>
                    </w:div>
                  </w:divsChild>
                </w:div>
                <w:div w:id="892473468">
                  <w:marLeft w:val="0"/>
                  <w:marRight w:val="0"/>
                  <w:marTop w:val="0"/>
                  <w:marBottom w:val="0"/>
                  <w:divBdr>
                    <w:top w:val="none" w:sz="0" w:space="0" w:color="auto"/>
                    <w:left w:val="none" w:sz="0" w:space="0" w:color="auto"/>
                    <w:bottom w:val="none" w:sz="0" w:space="0" w:color="auto"/>
                    <w:right w:val="none" w:sz="0" w:space="0" w:color="auto"/>
                  </w:divBdr>
                  <w:divsChild>
                    <w:div w:id="1456757985">
                      <w:marLeft w:val="0"/>
                      <w:marRight w:val="0"/>
                      <w:marTop w:val="0"/>
                      <w:marBottom w:val="0"/>
                      <w:divBdr>
                        <w:top w:val="none" w:sz="0" w:space="0" w:color="auto"/>
                        <w:left w:val="none" w:sz="0" w:space="0" w:color="auto"/>
                        <w:bottom w:val="none" w:sz="0" w:space="0" w:color="auto"/>
                        <w:right w:val="none" w:sz="0" w:space="0" w:color="auto"/>
                      </w:divBdr>
                    </w:div>
                  </w:divsChild>
                </w:div>
                <w:div w:id="894394241">
                  <w:marLeft w:val="0"/>
                  <w:marRight w:val="0"/>
                  <w:marTop w:val="0"/>
                  <w:marBottom w:val="0"/>
                  <w:divBdr>
                    <w:top w:val="none" w:sz="0" w:space="0" w:color="auto"/>
                    <w:left w:val="none" w:sz="0" w:space="0" w:color="auto"/>
                    <w:bottom w:val="none" w:sz="0" w:space="0" w:color="auto"/>
                    <w:right w:val="none" w:sz="0" w:space="0" w:color="auto"/>
                  </w:divBdr>
                  <w:divsChild>
                    <w:div w:id="854536227">
                      <w:marLeft w:val="0"/>
                      <w:marRight w:val="0"/>
                      <w:marTop w:val="0"/>
                      <w:marBottom w:val="0"/>
                      <w:divBdr>
                        <w:top w:val="none" w:sz="0" w:space="0" w:color="auto"/>
                        <w:left w:val="none" w:sz="0" w:space="0" w:color="auto"/>
                        <w:bottom w:val="none" w:sz="0" w:space="0" w:color="auto"/>
                        <w:right w:val="none" w:sz="0" w:space="0" w:color="auto"/>
                      </w:divBdr>
                    </w:div>
                  </w:divsChild>
                </w:div>
                <w:div w:id="902104988">
                  <w:marLeft w:val="0"/>
                  <w:marRight w:val="0"/>
                  <w:marTop w:val="0"/>
                  <w:marBottom w:val="0"/>
                  <w:divBdr>
                    <w:top w:val="none" w:sz="0" w:space="0" w:color="auto"/>
                    <w:left w:val="none" w:sz="0" w:space="0" w:color="auto"/>
                    <w:bottom w:val="none" w:sz="0" w:space="0" w:color="auto"/>
                    <w:right w:val="none" w:sz="0" w:space="0" w:color="auto"/>
                  </w:divBdr>
                  <w:divsChild>
                    <w:div w:id="428888688">
                      <w:marLeft w:val="0"/>
                      <w:marRight w:val="0"/>
                      <w:marTop w:val="0"/>
                      <w:marBottom w:val="0"/>
                      <w:divBdr>
                        <w:top w:val="none" w:sz="0" w:space="0" w:color="auto"/>
                        <w:left w:val="none" w:sz="0" w:space="0" w:color="auto"/>
                        <w:bottom w:val="none" w:sz="0" w:space="0" w:color="auto"/>
                        <w:right w:val="none" w:sz="0" w:space="0" w:color="auto"/>
                      </w:divBdr>
                    </w:div>
                  </w:divsChild>
                </w:div>
                <w:div w:id="904754605">
                  <w:marLeft w:val="0"/>
                  <w:marRight w:val="0"/>
                  <w:marTop w:val="0"/>
                  <w:marBottom w:val="0"/>
                  <w:divBdr>
                    <w:top w:val="none" w:sz="0" w:space="0" w:color="auto"/>
                    <w:left w:val="none" w:sz="0" w:space="0" w:color="auto"/>
                    <w:bottom w:val="none" w:sz="0" w:space="0" w:color="auto"/>
                    <w:right w:val="none" w:sz="0" w:space="0" w:color="auto"/>
                  </w:divBdr>
                  <w:divsChild>
                    <w:div w:id="2044868223">
                      <w:marLeft w:val="0"/>
                      <w:marRight w:val="0"/>
                      <w:marTop w:val="0"/>
                      <w:marBottom w:val="0"/>
                      <w:divBdr>
                        <w:top w:val="none" w:sz="0" w:space="0" w:color="auto"/>
                        <w:left w:val="none" w:sz="0" w:space="0" w:color="auto"/>
                        <w:bottom w:val="none" w:sz="0" w:space="0" w:color="auto"/>
                        <w:right w:val="none" w:sz="0" w:space="0" w:color="auto"/>
                      </w:divBdr>
                    </w:div>
                  </w:divsChild>
                </w:div>
                <w:div w:id="906383988">
                  <w:marLeft w:val="0"/>
                  <w:marRight w:val="0"/>
                  <w:marTop w:val="0"/>
                  <w:marBottom w:val="0"/>
                  <w:divBdr>
                    <w:top w:val="none" w:sz="0" w:space="0" w:color="auto"/>
                    <w:left w:val="none" w:sz="0" w:space="0" w:color="auto"/>
                    <w:bottom w:val="none" w:sz="0" w:space="0" w:color="auto"/>
                    <w:right w:val="none" w:sz="0" w:space="0" w:color="auto"/>
                  </w:divBdr>
                  <w:divsChild>
                    <w:div w:id="1774593862">
                      <w:marLeft w:val="0"/>
                      <w:marRight w:val="0"/>
                      <w:marTop w:val="0"/>
                      <w:marBottom w:val="0"/>
                      <w:divBdr>
                        <w:top w:val="none" w:sz="0" w:space="0" w:color="auto"/>
                        <w:left w:val="none" w:sz="0" w:space="0" w:color="auto"/>
                        <w:bottom w:val="none" w:sz="0" w:space="0" w:color="auto"/>
                        <w:right w:val="none" w:sz="0" w:space="0" w:color="auto"/>
                      </w:divBdr>
                    </w:div>
                  </w:divsChild>
                </w:div>
                <w:div w:id="910046768">
                  <w:marLeft w:val="0"/>
                  <w:marRight w:val="0"/>
                  <w:marTop w:val="0"/>
                  <w:marBottom w:val="0"/>
                  <w:divBdr>
                    <w:top w:val="none" w:sz="0" w:space="0" w:color="auto"/>
                    <w:left w:val="none" w:sz="0" w:space="0" w:color="auto"/>
                    <w:bottom w:val="none" w:sz="0" w:space="0" w:color="auto"/>
                    <w:right w:val="none" w:sz="0" w:space="0" w:color="auto"/>
                  </w:divBdr>
                  <w:divsChild>
                    <w:div w:id="1347176371">
                      <w:marLeft w:val="0"/>
                      <w:marRight w:val="0"/>
                      <w:marTop w:val="0"/>
                      <w:marBottom w:val="0"/>
                      <w:divBdr>
                        <w:top w:val="none" w:sz="0" w:space="0" w:color="auto"/>
                        <w:left w:val="none" w:sz="0" w:space="0" w:color="auto"/>
                        <w:bottom w:val="none" w:sz="0" w:space="0" w:color="auto"/>
                        <w:right w:val="none" w:sz="0" w:space="0" w:color="auto"/>
                      </w:divBdr>
                    </w:div>
                  </w:divsChild>
                </w:div>
                <w:div w:id="914096685">
                  <w:marLeft w:val="0"/>
                  <w:marRight w:val="0"/>
                  <w:marTop w:val="0"/>
                  <w:marBottom w:val="0"/>
                  <w:divBdr>
                    <w:top w:val="none" w:sz="0" w:space="0" w:color="auto"/>
                    <w:left w:val="none" w:sz="0" w:space="0" w:color="auto"/>
                    <w:bottom w:val="none" w:sz="0" w:space="0" w:color="auto"/>
                    <w:right w:val="none" w:sz="0" w:space="0" w:color="auto"/>
                  </w:divBdr>
                  <w:divsChild>
                    <w:div w:id="1981691746">
                      <w:marLeft w:val="0"/>
                      <w:marRight w:val="0"/>
                      <w:marTop w:val="0"/>
                      <w:marBottom w:val="0"/>
                      <w:divBdr>
                        <w:top w:val="none" w:sz="0" w:space="0" w:color="auto"/>
                        <w:left w:val="none" w:sz="0" w:space="0" w:color="auto"/>
                        <w:bottom w:val="none" w:sz="0" w:space="0" w:color="auto"/>
                        <w:right w:val="none" w:sz="0" w:space="0" w:color="auto"/>
                      </w:divBdr>
                    </w:div>
                  </w:divsChild>
                </w:div>
                <w:div w:id="915280854">
                  <w:marLeft w:val="0"/>
                  <w:marRight w:val="0"/>
                  <w:marTop w:val="0"/>
                  <w:marBottom w:val="0"/>
                  <w:divBdr>
                    <w:top w:val="none" w:sz="0" w:space="0" w:color="auto"/>
                    <w:left w:val="none" w:sz="0" w:space="0" w:color="auto"/>
                    <w:bottom w:val="none" w:sz="0" w:space="0" w:color="auto"/>
                    <w:right w:val="none" w:sz="0" w:space="0" w:color="auto"/>
                  </w:divBdr>
                  <w:divsChild>
                    <w:div w:id="1985085948">
                      <w:marLeft w:val="0"/>
                      <w:marRight w:val="0"/>
                      <w:marTop w:val="0"/>
                      <w:marBottom w:val="0"/>
                      <w:divBdr>
                        <w:top w:val="none" w:sz="0" w:space="0" w:color="auto"/>
                        <w:left w:val="none" w:sz="0" w:space="0" w:color="auto"/>
                        <w:bottom w:val="none" w:sz="0" w:space="0" w:color="auto"/>
                        <w:right w:val="none" w:sz="0" w:space="0" w:color="auto"/>
                      </w:divBdr>
                    </w:div>
                  </w:divsChild>
                </w:div>
                <w:div w:id="917713466">
                  <w:marLeft w:val="0"/>
                  <w:marRight w:val="0"/>
                  <w:marTop w:val="0"/>
                  <w:marBottom w:val="0"/>
                  <w:divBdr>
                    <w:top w:val="none" w:sz="0" w:space="0" w:color="auto"/>
                    <w:left w:val="none" w:sz="0" w:space="0" w:color="auto"/>
                    <w:bottom w:val="none" w:sz="0" w:space="0" w:color="auto"/>
                    <w:right w:val="none" w:sz="0" w:space="0" w:color="auto"/>
                  </w:divBdr>
                  <w:divsChild>
                    <w:div w:id="382214861">
                      <w:marLeft w:val="0"/>
                      <w:marRight w:val="0"/>
                      <w:marTop w:val="0"/>
                      <w:marBottom w:val="0"/>
                      <w:divBdr>
                        <w:top w:val="none" w:sz="0" w:space="0" w:color="auto"/>
                        <w:left w:val="none" w:sz="0" w:space="0" w:color="auto"/>
                        <w:bottom w:val="none" w:sz="0" w:space="0" w:color="auto"/>
                        <w:right w:val="none" w:sz="0" w:space="0" w:color="auto"/>
                      </w:divBdr>
                    </w:div>
                  </w:divsChild>
                </w:div>
                <w:div w:id="932326050">
                  <w:marLeft w:val="0"/>
                  <w:marRight w:val="0"/>
                  <w:marTop w:val="0"/>
                  <w:marBottom w:val="0"/>
                  <w:divBdr>
                    <w:top w:val="none" w:sz="0" w:space="0" w:color="auto"/>
                    <w:left w:val="none" w:sz="0" w:space="0" w:color="auto"/>
                    <w:bottom w:val="none" w:sz="0" w:space="0" w:color="auto"/>
                    <w:right w:val="none" w:sz="0" w:space="0" w:color="auto"/>
                  </w:divBdr>
                  <w:divsChild>
                    <w:div w:id="1049035798">
                      <w:marLeft w:val="0"/>
                      <w:marRight w:val="0"/>
                      <w:marTop w:val="0"/>
                      <w:marBottom w:val="0"/>
                      <w:divBdr>
                        <w:top w:val="none" w:sz="0" w:space="0" w:color="auto"/>
                        <w:left w:val="none" w:sz="0" w:space="0" w:color="auto"/>
                        <w:bottom w:val="none" w:sz="0" w:space="0" w:color="auto"/>
                        <w:right w:val="none" w:sz="0" w:space="0" w:color="auto"/>
                      </w:divBdr>
                    </w:div>
                  </w:divsChild>
                </w:div>
                <w:div w:id="934049277">
                  <w:marLeft w:val="0"/>
                  <w:marRight w:val="0"/>
                  <w:marTop w:val="0"/>
                  <w:marBottom w:val="0"/>
                  <w:divBdr>
                    <w:top w:val="none" w:sz="0" w:space="0" w:color="auto"/>
                    <w:left w:val="none" w:sz="0" w:space="0" w:color="auto"/>
                    <w:bottom w:val="none" w:sz="0" w:space="0" w:color="auto"/>
                    <w:right w:val="none" w:sz="0" w:space="0" w:color="auto"/>
                  </w:divBdr>
                  <w:divsChild>
                    <w:div w:id="938950335">
                      <w:marLeft w:val="0"/>
                      <w:marRight w:val="0"/>
                      <w:marTop w:val="0"/>
                      <w:marBottom w:val="0"/>
                      <w:divBdr>
                        <w:top w:val="none" w:sz="0" w:space="0" w:color="auto"/>
                        <w:left w:val="none" w:sz="0" w:space="0" w:color="auto"/>
                        <w:bottom w:val="none" w:sz="0" w:space="0" w:color="auto"/>
                        <w:right w:val="none" w:sz="0" w:space="0" w:color="auto"/>
                      </w:divBdr>
                    </w:div>
                  </w:divsChild>
                </w:div>
                <w:div w:id="934247349">
                  <w:marLeft w:val="0"/>
                  <w:marRight w:val="0"/>
                  <w:marTop w:val="0"/>
                  <w:marBottom w:val="0"/>
                  <w:divBdr>
                    <w:top w:val="none" w:sz="0" w:space="0" w:color="auto"/>
                    <w:left w:val="none" w:sz="0" w:space="0" w:color="auto"/>
                    <w:bottom w:val="none" w:sz="0" w:space="0" w:color="auto"/>
                    <w:right w:val="none" w:sz="0" w:space="0" w:color="auto"/>
                  </w:divBdr>
                  <w:divsChild>
                    <w:div w:id="1161434575">
                      <w:marLeft w:val="0"/>
                      <w:marRight w:val="0"/>
                      <w:marTop w:val="0"/>
                      <w:marBottom w:val="0"/>
                      <w:divBdr>
                        <w:top w:val="none" w:sz="0" w:space="0" w:color="auto"/>
                        <w:left w:val="none" w:sz="0" w:space="0" w:color="auto"/>
                        <w:bottom w:val="none" w:sz="0" w:space="0" w:color="auto"/>
                        <w:right w:val="none" w:sz="0" w:space="0" w:color="auto"/>
                      </w:divBdr>
                    </w:div>
                  </w:divsChild>
                </w:div>
                <w:div w:id="935552134">
                  <w:marLeft w:val="0"/>
                  <w:marRight w:val="0"/>
                  <w:marTop w:val="0"/>
                  <w:marBottom w:val="0"/>
                  <w:divBdr>
                    <w:top w:val="none" w:sz="0" w:space="0" w:color="auto"/>
                    <w:left w:val="none" w:sz="0" w:space="0" w:color="auto"/>
                    <w:bottom w:val="none" w:sz="0" w:space="0" w:color="auto"/>
                    <w:right w:val="none" w:sz="0" w:space="0" w:color="auto"/>
                  </w:divBdr>
                  <w:divsChild>
                    <w:div w:id="2050228489">
                      <w:marLeft w:val="0"/>
                      <w:marRight w:val="0"/>
                      <w:marTop w:val="0"/>
                      <w:marBottom w:val="0"/>
                      <w:divBdr>
                        <w:top w:val="none" w:sz="0" w:space="0" w:color="auto"/>
                        <w:left w:val="none" w:sz="0" w:space="0" w:color="auto"/>
                        <w:bottom w:val="none" w:sz="0" w:space="0" w:color="auto"/>
                        <w:right w:val="none" w:sz="0" w:space="0" w:color="auto"/>
                      </w:divBdr>
                    </w:div>
                  </w:divsChild>
                </w:div>
                <w:div w:id="938411918">
                  <w:marLeft w:val="0"/>
                  <w:marRight w:val="0"/>
                  <w:marTop w:val="0"/>
                  <w:marBottom w:val="0"/>
                  <w:divBdr>
                    <w:top w:val="none" w:sz="0" w:space="0" w:color="auto"/>
                    <w:left w:val="none" w:sz="0" w:space="0" w:color="auto"/>
                    <w:bottom w:val="none" w:sz="0" w:space="0" w:color="auto"/>
                    <w:right w:val="none" w:sz="0" w:space="0" w:color="auto"/>
                  </w:divBdr>
                  <w:divsChild>
                    <w:div w:id="752895259">
                      <w:marLeft w:val="0"/>
                      <w:marRight w:val="0"/>
                      <w:marTop w:val="0"/>
                      <w:marBottom w:val="0"/>
                      <w:divBdr>
                        <w:top w:val="none" w:sz="0" w:space="0" w:color="auto"/>
                        <w:left w:val="none" w:sz="0" w:space="0" w:color="auto"/>
                        <w:bottom w:val="none" w:sz="0" w:space="0" w:color="auto"/>
                        <w:right w:val="none" w:sz="0" w:space="0" w:color="auto"/>
                      </w:divBdr>
                    </w:div>
                  </w:divsChild>
                </w:div>
                <w:div w:id="945691882">
                  <w:marLeft w:val="0"/>
                  <w:marRight w:val="0"/>
                  <w:marTop w:val="0"/>
                  <w:marBottom w:val="0"/>
                  <w:divBdr>
                    <w:top w:val="none" w:sz="0" w:space="0" w:color="auto"/>
                    <w:left w:val="none" w:sz="0" w:space="0" w:color="auto"/>
                    <w:bottom w:val="none" w:sz="0" w:space="0" w:color="auto"/>
                    <w:right w:val="none" w:sz="0" w:space="0" w:color="auto"/>
                  </w:divBdr>
                  <w:divsChild>
                    <w:div w:id="172376140">
                      <w:marLeft w:val="0"/>
                      <w:marRight w:val="0"/>
                      <w:marTop w:val="0"/>
                      <w:marBottom w:val="0"/>
                      <w:divBdr>
                        <w:top w:val="none" w:sz="0" w:space="0" w:color="auto"/>
                        <w:left w:val="none" w:sz="0" w:space="0" w:color="auto"/>
                        <w:bottom w:val="none" w:sz="0" w:space="0" w:color="auto"/>
                        <w:right w:val="none" w:sz="0" w:space="0" w:color="auto"/>
                      </w:divBdr>
                    </w:div>
                  </w:divsChild>
                </w:div>
                <w:div w:id="951975977">
                  <w:marLeft w:val="0"/>
                  <w:marRight w:val="0"/>
                  <w:marTop w:val="0"/>
                  <w:marBottom w:val="0"/>
                  <w:divBdr>
                    <w:top w:val="none" w:sz="0" w:space="0" w:color="auto"/>
                    <w:left w:val="none" w:sz="0" w:space="0" w:color="auto"/>
                    <w:bottom w:val="none" w:sz="0" w:space="0" w:color="auto"/>
                    <w:right w:val="none" w:sz="0" w:space="0" w:color="auto"/>
                  </w:divBdr>
                  <w:divsChild>
                    <w:div w:id="1182209988">
                      <w:marLeft w:val="0"/>
                      <w:marRight w:val="0"/>
                      <w:marTop w:val="0"/>
                      <w:marBottom w:val="0"/>
                      <w:divBdr>
                        <w:top w:val="none" w:sz="0" w:space="0" w:color="auto"/>
                        <w:left w:val="none" w:sz="0" w:space="0" w:color="auto"/>
                        <w:bottom w:val="none" w:sz="0" w:space="0" w:color="auto"/>
                        <w:right w:val="none" w:sz="0" w:space="0" w:color="auto"/>
                      </w:divBdr>
                    </w:div>
                  </w:divsChild>
                </w:div>
                <w:div w:id="960771895">
                  <w:marLeft w:val="0"/>
                  <w:marRight w:val="0"/>
                  <w:marTop w:val="0"/>
                  <w:marBottom w:val="0"/>
                  <w:divBdr>
                    <w:top w:val="none" w:sz="0" w:space="0" w:color="auto"/>
                    <w:left w:val="none" w:sz="0" w:space="0" w:color="auto"/>
                    <w:bottom w:val="none" w:sz="0" w:space="0" w:color="auto"/>
                    <w:right w:val="none" w:sz="0" w:space="0" w:color="auto"/>
                  </w:divBdr>
                  <w:divsChild>
                    <w:div w:id="1837525881">
                      <w:marLeft w:val="0"/>
                      <w:marRight w:val="0"/>
                      <w:marTop w:val="0"/>
                      <w:marBottom w:val="0"/>
                      <w:divBdr>
                        <w:top w:val="none" w:sz="0" w:space="0" w:color="auto"/>
                        <w:left w:val="none" w:sz="0" w:space="0" w:color="auto"/>
                        <w:bottom w:val="none" w:sz="0" w:space="0" w:color="auto"/>
                        <w:right w:val="none" w:sz="0" w:space="0" w:color="auto"/>
                      </w:divBdr>
                    </w:div>
                  </w:divsChild>
                </w:div>
                <w:div w:id="987511068">
                  <w:marLeft w:val="0"/>
                  <w:marRight w:val="0"/>
                  <w:marTop w:val="0"/>
                  <w:marBottom w:val="0"/>
                  <w:divBdr>
                    <w:top w:val="none" w:sz="0" w:space="0" w:color="auto"/>
                    <w:left w:val="none" w:sz="0" w:space="0" w:color="auto"/>
                    <w:bottom w:val="none" w:sz="0" w:space="0" w:color="auto"/>
                    <w:right w:val="none" w:sz="0" w:space="0" w:color="auto"/>
                  </w:divBdr>
                  <w:divsChild>
                    <w:div w:id="1922831303">
                      <w:marLeft w:val="0"/>
                      <w:marRight w:val="0"/>
                      <w:marTop w:val="0"/>
                      <w:marBottom w:val="0"/>
                      <w:divBdr>
                        <w:top w:val="none" w:sz="0" w:space="0" w:color="auto"/>
                        <w:left w:val="none" w:sz="0" w:space="0" w:color="auto"/>
                        <w:bottom w:val="none" w:sz="0" w:space="0" w:color="auto"/>
                        <w:right w:val="none" w:sz="0" w:space="0" w:color="auto"/>
                      </w:divBdr>
                    </w:div>
                  </w:divsChild>
                </w:div>
                <w:div w:id="1011643969">
                  <w:marLeft w:val="0"/>
                  <w:marRight w:val="0"/>
                  <w:marTop w:val="0"/>
                  <w:marBottom w:val="0"/>
                  <w:divBdr>
                    <w:top w:val="none" w:sz="0" w:space="0" w:color="auto"/>
                    <w:left w:val="none" w:sz="0" w:space="0" w:color="auto"/>
                    <w:bottom w:val="none" w:sz="0" w:space="0" w:color="auto"/>
                    <w:right w:val="none" w:sz="0" w:space="0" w:color="auto"/>
                  </w:divBdr>
                  <w:divsChild>
                    <w:div w:id="251402497">
                      <w:marLeft w:val="0"/>
                      <w:marRight w:val="0"/>
                      <w:marTop w:val="0"/>
                      <w:marBottom w:val="0"/>
                      <w:divBdr>
                        <w:top w:val="none" w:sz="0" w:space="0" w:color="auto"/>
                        <w:left w:val="none" w:sz="0" w:space="0" w:color="auto"/>
                        <w:bottom w:val="none" w:sz="0" w:space="0" w:color="auto"/>
                        <w:right w:val="none" w:sz="0" w:space="0" w:color="auto"/>
                      </w:divBdr>
                    </w:div>
                  </w:divsChild>
                </w:div>
                <w:div w:id="1030690913">
                  <w:marLeft w:val="0"/>
                  <w:marRight w:val="0"/>
                  <w:marTop w:val="0"/>
                  <w:marBottom w:val="0"/>
                  <w:divBdr>
                    <w:top w:val="none" w:sz="0" w:space="0" w:color="auto"/>
                    <w:left w:val="none" w:sz="0" w:space="0" w:color="auto"/>
                    <w:bottom w:val="none" w:sz="0" w:space="0" w:color="auto"/>
                    <w:right w:val="none" w:sz="0" w:space="0" w:color="auto"/>
                  </w:divBdr>
                  <w:divsChild>
                    <w:div w:id="391461573">
                      <w:marLeft w:val="0"/>
                      <w:marRight w:val="0"/>
                      <w:marTop w:val="0"/>
                      <w:marBottom w:val="0"/>
                      <w:divBdr>
                        <w:top w:val="none" w:sz="0" w:space="0" w:color="auto"/>
                        <w:left w:val="none" w:sz="0" w:space="0" w:color="auto"/>
                        <w:bottom w:val="none" w:sz="0" w:space="0" w:color="auto"/>
                        <w:right w:val="none" w:sz="0" w:space="0" w:color="auto"/>
                      </w:divBdr>
                    </w:div>
                  </w:divsChild>
                </w:div>
                <w:div w:id="1035735351">
                  <w:marLeft w:val="0"/>
                  <w:marRight w:val="0"/>
                  <w:marTop w:val="0"/>
                  <w:marBottom w:val="0"/>
                  <w:divBdr>
                    <w:top w:val="none" w:sz="0" w:space="0" w:color="auto"/>
                    <w:left w:val="none" w:sz="0" w:space="0" w:color="auto"/>
                    <w:bottom w:val="none" w:sz="0" w:space="0" w:color="auto"/>
                    <w:right w:val="none" w:sz="0" w:space="0" w:color="auto"/>
                  </w:divBdr>
                  <w:divsChild>
                    <w:div w:id="1829860625">
                      <w:marLeft w:val="0"/>
                      <w:marRight w:val="0"/>
                      <w:marTop w:val="0"/>
                      <w:marBottom w:val="0"/>
                      <w:divBdr>
                        <w:top w:val="none" w:sz="0" w:space="0" w:color="auto"/>
                        <w:left w:val="none" w:sz="0" w:space="0" w:color="auto"/>
                        <w:bottom w:val="none" w:sz="0" w:space="0" w:color="auto"/>
                        <w:right w:val="none" w:sz="0" w:space="0" w:color="auto"/>
                      </w:divBdr>
                    </w:div>
                  </w:divsChild>
                </w:div>
                <w:div w:id="1037001030">
                  <w:marLeft w:val="0"/>
                  <w:marRight w:val="0"/>
                  <w:marTop w:val="0"/>
                  <w:marBottom w:val="0"/>
                  <w:divBdr>
                    <w:top w:val="none" w:sz="0" w:space="0" w:color="auto"/>
                    <w:left w:val="none" w:sz="0" w:space="0" w:color="auto"/>
                    <w:bottom w:val="none" w:sz="0" w:space="0" w:color="auto"/>
                    <w:right w:val="none" w:sz="0" w:space="0" w:color="auto"/>
                  </w:divBdr>
                  <w:divsChild>
                    <w:div w:id="14499402">
                      <w:marLeft w:val="0"/>
                      <w:marRight w:val="0"/>
                      <w:marTop w:val="0"/>
                      <w:marBottom w:val="0"/>
                      <w:divBdr>
                        <w:top w:val="none" w:sz="0" w:space="0" w:color="auto"/>
                        <w:left w:val="none" w:sz="0" w:space="0" w:color="auto"/>
                        <w:bottom w:val="none" w:sz="0" w:space="0" w:color="auto"/>
                        <w:right w:val="none" w:sz="0" w:space="0" w:color="auto"/>
                      </w:divBdr>
                    </w:div>
                  </w:divsChild>
                </w:div>
                <w:div w:id="1049064670">
                  <w:marLeft w:val="0"/>
                  <w:marRight w:val="0"/>
                  <w:marTop w:val="0"/>
                  <w:marBottom w:val="0"/>
                  <w:divBdr>
                    <w:top w:val="none" w:sz="0" w:space="0" w:color="auto"/>
                    <w:left w:val="none" w:sz="0" w:space="0" w:color="auto"/>
                    <w:bottom w:val="none" w:sz="0" w:space="0" w:color="auto"/>
                    <w:right w:val="none" w:sz="0" w:space="0" w:color="auto"/>
                  </w:divBdr>
                  <w:divsChild>
                    <w:div w:id="1060983058">
                      <w:marLeft w:val="0"/>
                      <w:marRight w:val="0"/>
                      <w:marTop w:val="0"/>
                      <w:marBottom w:val="0"/>
                      <w:divBdr>
                        <w:top w:val="none" w:sz="0" w:space="0" w:color="auto"/>
                        <w:left w:val="none" w:sz="0" w:space="0" w:color="auto"/>
                        <w:bottom w:val="none" w:sz="0" w:space="0" w:color="auto"/>
                        <w:right w:val="none" w:sz="0" w:space="0" w:color="auto"/>
                      </w:divBdr>
                    </w:div>
                  </w:divsChild>
                </w:div>
                <w:div w:id="1052653141">
                  <w:marLeft w:val="0"/>
                  <w:marRight w:val="0"/>
                  <w:marTop w:val="0"/>
                  <w:marBottom w:val="0"/>
                  <w:divBdr>
                    <w:top w:val="none" w:sz="0" w:space="0" w:color="auto"/>
                    <w:left w:val="none" w:sz="0" w:space="0" w:color="auto"/>
                    <w:bottom w:val="none" w:sz="0" w:space="0" w:color="auto"/>
                    <w:right w:val="none" w:sz="0" w:space="0" w:color="auto"/>
                  </w:divBdr>
                  <w:divsChild>
                    <w:div w:id="1920603082">
                      <w:marLeft w:val="0"/>
                      <w:marRight w:val="0"/>
                      <w:marTop w:val="0"/>
                      <w:marBottom w:val="0"/>
                      <w:divBdr>
                        <w:top w:val="none" w:sz="0" w:space="0" w:color="auto"/>
                        <w:left w:val="none" w:sz="0" w:space="0" w:color="auto"/>
                        <w:bottom w:val="none" w:sz="0" w:space="0" w:color="auto"/>
                        <w:right w:val="none" w:sz="0" w:space="0" w:color="auto"/>
                      </w:divBdr>
                    </w:div>
                  </w:divsChild>
                </w:div>
                <w:div w:id="1073089050">
                  <w:marLeft w:val="0"/>
                  <w:marRight w:val="0"/>
                  <w:marTop w:val="0"/>
                  <w:marBottom w:val="0"/>
                  <w:divBdr>
                    <w:top w:val="none" w:sz="0" w:space="0" w:color="auto"/>
                    <w:left w:val="none" w:sz="0" w:space="0" w:color="auto"/>
                    <w:bottom w:val="none" w:sz="0" w:space="0" w:color="auto"/>
                    <w:right w:val="none" w:sz="0" w:space="0" w:color="auto"/>
                  </w:divBdr>
                  <w:divsChild>
                    <w:div w:id="1982687001">
                      <w:marLeft w:val="0"/>
                      <w:marRight w:val="0"/>
                      <w:marTop w:val="0"/>
                      <w:marBottom w:val="0"/>
                      <w:divBdr>
                        <w:top w:val="none" w:sz="0" w:space="0" w:color="auto"/>
                        <w:left w:val="none" w:sz="0" w:space="0" w:color="auto"/>
                        <w:bottom w:val="none" w:sz="0" w:space="0" w:color="auto"/>
                        <w:right w:val="none" w:sz="0" w:space="0" w:color="auto"/>
                      </w:divBdr>
                    </w:div>
                  </w:divsChild>
                </w:div>
                <w:div w:id="1087266417">
                  <w:marLeft w:val="0"/>
                  <w:marRight w:val="0"/>
                  <w:marTop w:val="0"/>
                  <w:marBottom w:val="0"/>
                  <w:divBdr>
                    <w:top w:val="none" w:sz="0" w:space="0" w:color="auto"/>
                    <w:left w:val="none" w:sz="0" w:space="0" w:color="auto"/>
                    <w:bottom w:val="none" w:sz="0" w:space="0" w:color="auto"/>
                    <w:right w:val="none" w:sz="0" w:space="0" w:color="auto"/>
                  </w:divBdr>
                  <w:divsChild>
                    <w:div w:id="613561583">
                      <w:marLeft w:val="0"/>
                      <w:marRight w:val="0"/>
                      <w:marTop w:val="0"/>
                      <w:marBottom w:val="0"/>
                      <w:divBdr>
                        <w:top w:val="none" w:sz="0" w:space="0" w:color="auto"/>
                        <w:left w:val="none" w:sz="0" w:space="0" w:color="auto"/>
                        <w:bottom w:val="none" w:sz="0" w:space="0" w:color="auto"/>
                        <w:right w:val="none" w:sz="0" w:space="0" w:color="auto"/>
                      </w:divBdr>
                    </w:div>
                  </w:divsChild>
                </w:div>
                <w:div w:id="1098595112">
                  <w:marLeft w:val="0"/>
                  <w:marRight w:val="0"/>
                  <w:marTop w:val="0"/>
                  <w:marBottom w:val="0"/>
                  <w:divBdr>
                    <w:top w:val="none" w:sz="0" w:space="0" w:color="auto"/>
                    <w:left w:val="none" w:sz="0" w:space="0" w:color="auto"/>
                    <w:bottom w:val="none" w:sz="0" w:space="0" w:color="auto"/>
                    <w:right w:val="none" w:sz="0" w:space="0" w:color="auto"/>
                  </w:divBdr>
                  <w:divsChild>
                    <w:div w:id="1531843850">
                      <w:marLeft w:val="0"/>
                      <w:marRight w:val="0"/>
                      <w:marTop w:val="0"/>
                      <w:marBottom w:val="0"/>
                      <w:divBdr>
                        <w:top w:val="none" w:sz="0" w:space="0" w:color="auto"/>
                        <w:left w:val="none" w:sz="0" w:space="0" w:color="auto"/>
                        <w:bottom w:val="none" w:sz="0" w:space="0" w:color="auto"/>
                        <w:right w:val="none" w:sz="0" w:space="0" w:color="auto"/>
                      </w:divBdr>
                    </w:div>
                  </w:divsChild>
                </w:div>
                <w:div w:id="1102914701">
                  <w:marLeft w:val="0"/>
                  <w:marRight w:val="0"/>
                  <w:marTop w:val="0"/>
                  <w:marBottom w:val="0"/>
                  <w:divBdr>
                    <w:top w:val="none" w:sz="0" w:space="0" w:color="auto"/>
                    <w:left w:val="none" w:sz="0" w:space="0" w:color="auto"/>
                    <w:bottom w:val="none" w:sz="0" w:space="0" w:color="auto"/>
                    <w:right w:val="none" w:sz="0" w:space="0" w:color="auto"/>
                  </w:divBdr>
                  <w:divsChild>
                    <w:div w:id="1491559593">
                      <w:marLeft w:val="0"/>
                      <w:marRight w:val="0"/>
                      <w:marTop w:val="0"/>
                      <w:marBottom w:val="0"/>
                      <w:divBdr>
                        <w:top w:val="none" w:sz="0" w:space="0" w:color="auto"/>
                        <w:left w:val="none" w:sz="0" w:space="0" w:color="auto"/>
                        <w:bottom w:val="none" w:sz="0" w:space="0" w:color="auto"/>
                        <w:right w:val="none" w:sz="0" w:space="0" w:color="auto"/>
                      </w:divBdr>
                    </w:div>
                  </w:divsChild>
                </w:div>
                <w:div w:id="1105349692">
                  <w:marLeft w:val="0"/>
                  <w:marRight w:val="0"/>
                  <w:marTop w:val="0"/>
                  <w:marBottom w:val="0"/>
                  <w:divBdr>
                    <w:top w:val="none" w:sz="0" w:space="0" w:color="auto"/>
                    <w:left w:val="none" w:sz="0" w:space="0" w:color="auto"/>
                    <w:bottom w:val="none" w:sz="0" w:space="0" w:color="auto"/>
                    <w:right w:val="none" w:sz="0" w:space="0" w:color="auto"/>
                  </w:divBdr>
                  <w:divsChild>
                    <w:div w:id="629166264">
                      <w:marLeft w:val="0"/>
                      <w:marRight w:val="0"/>
                      <w:marTop w:val="0"/>
                      <w:marBottom w:val="0"/>
                      <w:divBdr>
                        <w:top w:val="none" w:sz="0" w:space="0" w:color="auto"/>
                        <w:left w:val="none" w:sz="0" w:space="0" w:color="auto"/>
                        <w:bottom w:val="none" w:sz="0" w:space="0" w:color="auto"/>
                        <w:right w:val="none" w:sz="0" w:space="0" w:color="auto"/>
                      </w:divBdr>
                    </w:div>
                  </w:divsChild>
                </w:div>
                <w:div w:id="1114784006">
                  <w:marLeft w:val="0"/>
                  <w:marRight w:val="0"/>
                  <w:marTop w:val="0"/>
                  <w:marBottom w:val="0"/>
                  <w:divBdr>
                    <w:top w:val="none" w:sz="0" w:space="0" w:color="auto"/>
                    <w:left w:val="none" w:sz="0" w:space="0" w:color="auto"/>
                    <w:bottom w:val="none" w:sz="0" w:space="0" w:color="auto"/>
                    <w:right w:val="none" w:sz="0" w:space="0" w:color="auto"/>
                  </w:divBdr>
                  <w:divsChild>
                    <w:div w:id="1344894022">
                      <w:marLeft w:val="0"/>
                      <w:marRight w:val="0"/>
                      <w:marTop w:val="0"/>
                      <w:marBottom w:val="0"/>
                      <w:divBdr>
                        <w:top w:val="none" w:sz="0" w:space="0" w:color="auto"/>
                        <w:left w:val="none" w:sz="0" w:space="0" w:color="auto"/>
                        <w:bottom w:val="none" w:sz="0" w:space="0" w:color="auto"/>
                        <w:right w:val="none" w:sz="0" w:space="0" w:color="auto"/>
                      </w:divBdr>
                    </w:div>
                  </w:divsChild>
                </w:div>
                <w:div w:id="1118253489">
                  <w:marLeft w:val="0"/>
                  <w:marRight w:val="0"/>
                  <w:marTop w:val="0"/>
                  <w:marBottom w:val="0"/>
                  <w:divBdr>
                    <w:top w:val="none" w:sz="0" w:space="0" w:color="auto"/>
                    <w:left w:val="none" w:sz="0" w:space="0" w:color="auto"/>
                    <w:bottom w:val="none" w:sz="0" w:space="0" w:color="auto"/>
                    <w:right w:val="none" w:sz="0" w:space="0" w:color="auto"/>
                  </w:divBdr>
                  <w:divsChild>
                    <w:div w:id="136997100">
                      <w:marLeft w:val="0"/>
                      <w:marRight w:val="0"/>
                      <w:marTop w:val="0"/>
                      <w:marBottom w:val="0"/>
                      <w:divBdr>
                        <w:top w:val="none" w:sz="0" w:space="0" w:color="auto"/>
                        <w:left w:val="none" w:sz="0" w:space="0" w:color="auto"/>
                        <w:bottom w:val="none" w:sz="0" w:space="0" w:color="auto"/>
                        <w:right w:val="none" w:sz="0" w:space="0" w:color="auto"/>
                      </w:divBdr>
                    </w:div>
                  </w:divsChild>
                </w:div>
                <w:div w:id="1127161547">
                  <w:marLeft w:val="0"/>
                  <w:marRight w:val="0"/>
                  <w:marTop w:val="0"/>
                  <w:marBottom w:val="0"/>
                  <w:divBdr>
                    <w:top w:val="none" w:sz="0" w:space="0" w:color="auto"/>
                    <w:left w:val="none" w:sz="0" w:space="0" w:color="auto"/>
                    <w:bottom w:val="none" w:sz="0" w:space="0" w:color="auto"/>
                    <w:right w:val="none" w:sz="0" w:space="0" w:color="auto"/>
                  </w:divBdr>
                  <w:divsChild>
                    <w:div w:id="717515979">
                      <w:marLeft w:val="0"/>
                      <w:marRight w:val="0"/>
                      <w:marTop w:val="0"/>
                      <w:marBottom w:val="0"/>
                      <w:divBdr>
                        <w:top w:val="none" w:sz="0" w:space="0" w:color="auto"/>
                        <w:left w:val="none" w:sz="0" w:space="0" w:color="auto"/>
                        <w:bottom w:val="none" w:sz="0" w:space="0" w:color="auto"/>
                        <w:right w:val="none" w:sz="0" w:space="0" w:color="auto"/>
                      </w:divBdr>
                    </w:div>
                  </w:divsChild>
                </w:div>
                <w:div w:id="1135099105">
                  <w:marLeft w:val="0"/>
                  <w:marRight w:val="0"/>
                  <w:marTop w:val="0"/>
                  <w:marBottom w:val="0"/>
                  <w:divBdr>
                    <w:top w:val="none" w:sz="0" w:space="0" w:color="auto"/>
                    <w:left w:val="none" w:sz="0" w:space="0" w:color="auto"/>
                    <w:bottom w:val="none" w:sz="0" w:space="0" w:color="auto"/>
                    <w:right w:val="none" w:sz="0" w:space="0" w:color="auto"/>
                  </w:divBdr>
                  <w:divsChild>
                    <w:div w:id="2028633102">
                      <w:marLeft w:val="0"/>
                      <w:marRight w:val="0"/>
                      <w:marTop w:val="0"/>
                      <w:marBottom w:val="0"/>
                      <w:divBdr>
                        <w:top w:val="none" w:sz="0" w:space="0" w:color="auto"/>
                        <w:left w:val="none" w:sz="0" w:space="0" w:color="auto"/>
                        <w:bottom w:val="none" w:sz="0" w:space="0" w:color="auto"/>
                        <w:right w:val="none" w:sz="0" w:space="0" w:color="auto"/>
                      </w:divBdr>
                    </w:div>
                  </w:divsChild>
                </w:div>
                <w:div w:id="1140925220">
                  <w:marLeft w:val="0"/>
                  <w:marRight w:val="0"/>
                  <w:marTop w:val="0"/>
                  <w:marBottom w:val="0"/>
                  <w:divBdr>
                    <w:top w:val="none" w:sz="0" w:space="0" w:color="auto"/>
                    <w:left w:val="none" w:sz="0" w:space="0" w:color="auto"/>
                    <w:bottom w:val="none" w:sz="0" w:space="0" w:color="auto"/>
                    <w:right w:val="none" w:sz="0" w:space="0" w:color="auto"/>
                  </w:divBdr>
                  <w:divsChild>
                    <w:div w:id="677149663">
                      <w:marLeft w:val="0"/>
                      <w:marRight w:val="0"/>
                      <w:marTop w:val="0"/>
                      <w:marBottom w:val="0"/>
                      <w:divBdr>
                        <w:top w:val="none" w:sz="0" w:space="0" w:color="auto"/>
                        <w:left w:val="none" w:sz="0" w:space="0" w:color="auto"/>
                        <w:bottom w:val="none" w:sz="0" w:space="0" w:color="auto"/>
                        <w:right w:val="none" w:sz="0" w:space="0" w:color="auto"/>
                      </w:divBdr>
                    </w:div>
                  </w:divsChild>
                </w:div>
                <w:div w:id="1141729089">
                  <w:marLeft w:val="0"/>
                  <w:marRight w:val="0"/>
                  <w:marTop w:val="0"/>
                  <w:marBottom w:val="0"/>
                  <w:divBdr>
                    <w:top w:val="none" w:sz="0" w:space="0" w:color="auto"/>
                    <w:left w:val="none" w:sz="0" w:space="0" w:color="auto"/>
                    <w:bottom w:val="none" w:sz="0" w:space="0" w:color="auto"/>
                    <w:right w:val="none" w:sz="0" w:space="0" w:color="auto"/>
                  </w:divBdr>
                  <w:divsChild>
                    <w:div w:id="1649508039">
                      <w:marLeft w:val="0"/>
                      <w:marRight w:val="0"/>
                      <w:marTop w:val="0"/>
                      <w:marBottom w:val="0"/>
                      <w:divBdr>
                        <w:top w:val="none" w:sz="0" w:space="0" w:color="auto"/>
                        <w:left w:val="none" w:sz="0" w:space="0" w:color="auto"/>
                        <w:bottom w:val="none" w:sz="0" w:space="0" w:color="auto"/>
                        <w:right w:val="none" w:sz="0" w:space="0" w:color="auto"/>
                      </w:divBdr>
                    </w:div>
                  </w:divsChild>
                </w:div>
                <w:div w:id="1159614865">
                  <w:marLeft w:val="0"/>
                  <w:marRight w:val="0"/>
                  <w:marTop w:val="0"/>
                  <w:marBottom w:val="0"/>
                  <w:divBdr>
                    <w:top w:val="none" w:sz="0" w:space="0" w:color="auto"/>
                    <w:left w:val="none" w:sz="0" w:space="0" w:color="auto"/>
                    <w:bottom w:val="none" w:sz="0" w:space="0" w:color="auto"/>
                    <w:right w:val="none" w:sz="0" w:space="0" w:color="auto"/>
                  </w:divBdr>
                  <w:divsChild>
                    <w:div w:id="216166109">
                      <w:marLeft w:val="0"/>
                      <w:marRight w:val="0"/>
                      <w:marTop w:val="0"/>
                      <w:marBottom w:val="0"/>
                      <w:divBdr>
                        <w:top w:val="none" w:sz="0" w:space="0" w:color="auto"/>
                        <w:left w:val="none" w:sz="0" w:space="0" w:color="auto"/>
                        <w:bottom w:val="none" w:sz="0" w:space="0" w:color="auto"/>
                        <w:right w:val="none" w:sz="0" w:space="0" w:color="auto"/>
                      </w:divBdr>
                    </w:div>
                  </w:divsChild>
                </w:div>
                <w:div w:id="1195079908">
                  <w:marLeft w:val="0"/>
                  <w:marRight w:val="0"/>
                  <w:marTop w:val="0"/>
                  <w:marBottom w:val="0"/>
                  <w:divBdr>
                    <w:top w:val="none" w:sz="0" w:space="0" w:color="auto"/>
                    <w:left w:val="none" w:sz="0" w:space="0" w:color="auto"/>
                    <w:bottom w:val="none" w:sz="0" w:space="0" w:color="auto"/>
                    <w:right w:val="none" w:sz="0" w:space="0" w:color="auto"/>
                  </w:divBdr>
                  <w:divsChild>
                    <w:div w:id="1921676952">
                      <w:marLeft w:val="0"/>
                      <w:marRight w:val="0"/>
                      <w:marTop w:val="0"/>
                      <w:marBottom w:val="0"/>
                      <w:divBdr>
                        <w:top w:val="none" w:sz="0" w:space="0" w:color="auto"/>
                        <w:left w:val="none" w:sz="0" w:space="0" w:color="auto"/>
                        <w:bottom w:val="none" w:sz="0" w:space="0" w:color="auto"/>
                        <w:right w:val="none" w:sz="0" w:space="0" w:color="auto"/>
                      </w:divBdr>
                    </w:div>
                  </w:divsChild>
                </w:div>
                <w:div w:id="1201089880">
                  <w:marLeft w:val="0"/>
                  <w:marRight w:val="0"/>
                  <w:marTop w:val="0"/>
                  <w:marBottom w:val="0"/>
                  <w:divBdr>
                    <w:top w:val="none" w:sz="0" w:space="0" w:color="auto"/>
                    <w:left w:val="none" w:sz="0" w:space="0" w:color="auto"/>
                    <w:bottom w:val="none" w:sz="0" w:space="0" w:color="auto"/>
                    <w:right w:val="none" w:sz="0" w:space="0" w:color="auto"/>
                  </w:divBdr>
                  <w:divsChild>
                    <w:div w:id="84692536">
                      <w:marLeft w:val="0"/>
                      <w:marRight w:val="0"/>
                      <w:marTop w:val="0"/>
                      <w:marBottom w:val="0"/>
                      <w:divBdr>
                        <w:top w:val="none" w:sz="0" w:space="0" w:color="auto"/>
                        <w:left w:val="none" w:sz="0" w:space="0" w:color="auto"/>
                        <w:bottom w:val="none" w:sz="0" w:space="0" w:color="auto"/>
                        <w:right w:val="none" w:sz="0" w:space="0" w:color="auto"/>
                      </w:divBdr>
                    </w:div>
                  </w:divsChild>
                </w:div>
                <w:div w:id="1207449510">
                  <w:marLeft w:val="0"/>
                  <w:marRight w:val="0"/>
                  <w:marTop w:val="0"/>
                  <w:marBottom w:val="0"/>
                  <w:divBdr>
                    <w:top w:val="none" w:sz="0" w:space="0" w:color="auto"/>
                    <w:left w:val="none" w:sz="0" w:space="0" w:color="auto"/>
                    <w:bottom w:val="none" w:sz="0" w:space="0" w:color="auto"/>
                    <w:right w:val="none" w:sz="0" w:space="0" w:color="auto"/>
                  </w:divBdr>
                  <w:divsChild>
                    <w:div w:id="77025424">
                      <w:marLeft w:val="0"/>
                      <w:marRight w:val="0"/>
                      <w:marTop w:val="0"/>
                      <w:marBottom w:val="0"/>
                      <w:divBdr>
                        <w:top w:val="none" w:sz="0" w:space="0" w:color="auto"/>
                        <w:left w:val="none" w:sz="0" w:space="0" w:color="auto"/>
                        <w:bottom w:val="none" w:sz="0" w:space="0" w:color="auto"/>
                        <w:right w:val="none" w:sz="0" w:space="0" w:color="auto"/>
                      </w:divBdr>
                    </w:div>
                  </w:divsChild>
                </w:div>
                <w:div w:id="1209562495">
                  <w:marLeft w:val="0"/>
                  <w:marRight w:val="0"/>
                  <w:marTop w:val="0"/>
                  <w:marBottom w:val="0"/>
                  <w:divBdr>
                    <w:top w:val="none" w:sz="0" w:space="0" w:color="auto"/>
                    <w:left w:val="none" w:sz="0" w:space="0" w:color="auto"/>
                    <w:bottom w:val="none" w:sz="0" w:space="0" w:color="auto"/>
                    <w:right w:val="none" w:sz="0" w:space="0" w:color="auto"/>
                  </w:divBdr>
                  <w:divsChild>
                    <w:div w:id="1861354324">
                      <w:marLeft w:val="0"/>
                      <w:marRight w:val="0"/>
                      <w:marTop w:val="0"/>
                      <w:marBottom w:val="0"/>
                      <w:divBdr>
                        <w:top w:val="none" w:sz="0" w:space="0" w:color="auto"/>
                        <w:left w:val="none" w:sz="0" w:space="0" w:color="auto"/>
                        <w:bottom w:val="none" w:sz="0" w:space="0" w:color="auto"/>
                        <w:right w:val="none" w:sz="0" w:space="0" w:color="auto"/>
                      </w:divBdr>
                    </w:div>
                  </w:divsChild>
                </w:div>
                <w:div w:id="1221750113">
                  <w:marLeft w:val="0"/>
                  <w:marRight w:val="0"/>
                  <w:marTop w:val="0"/>
                  <w:marBottom w:val="0"/>
                  <w:divBdr>
                    <w:top w:val="none" w:sz="0" w:space="0" w:color="auto"/>
                    <w:left w:val="none" w:sz="0" w:space="0" w:color="auto"/>
                    <w:bottom w:val="none" w:sz="0" w:space="0" w:color="auto"/>
                    <w:right w:val="none" w:sz="0" w:space="0" w:color="auto"/>
                  </w:divBdr>
                  <w:divsChild>
                    <w:div w:id="1185442545">
                      <w:marLeft w:val="0"/>
                      <w:marRight w:val="0"/>
                      <w:marTop w:val="0"/>
                      <w:marBottom w:val="0"/>
                      <w:divBdr>
                        <w:top w:val="none" w:sz="0" w:space="0" w:color="auto"/>
                        <w:left w:val="none" w:sz="0" w:space="0" w:color="auto"/>
                        <w:bottom w:val="none" w:sz="0" w:space="0" w:color="auto"/>
                        <w:right w:val="none" w:sz="0" w:space="0" w:color="auto"/>
                      </w:divBdr>
                    </w:div>
                  </w:divsChild>
                </w:div>
                <w:div w:id="1247688196">
                  <w:marLeft w:val="0"/>
                  <w:marRight w:val="0"/>
                  <w:marTop w:val="0"/>
                  <w:marBottom w:val="0"/>
                  <w:divBdr>
                    <w:top w:val="none" w:sz="0" w:space="0" w:color="auto"/>
                    <w:left w:val="none" w:sz="0" w:space="0" w:color="auto"/>
                    <w:bottom w:val="none" w:sz="0" w:space="0" w:color="auto"/>
                    <w:right w:val="none" w:sz="0" w:space="0" w:color="auto"/>
                  </w:divBdr>
                  <w:divsChild>
                    <w:div w:id="1366980158">
                      <w:marLeft w:val="0"/>
                      <w:marRight w:val="0"/>
                      <w:marTop w:val="0"/>
                      <w:marBottom w:val="0"/>
                      <w:divBdr>
                        <w:top w:val="none" w:sz="0" w:space="0" w:color="auto"/>
                        <w:left w:val="none" w:sz="0" w:space="0" w:color="auto"/>
                        <w:bottom w:val="none" w:sz="0" w:space="0" w:color="auto"/>
                        <w:right w:val="none" w:sz="0" w:space="0" w:color="auto"/>
                      </w:divBdr>
                    </w:div>
                  </w:divsChild>
                </w:div>
                <w:div w:id="1251503400">
                  <w:marLeft w:val="0"/>
                  <w:marRight w:val="0"/>
                  <w:marTop w:val="0"/>
                  <w:marBottom w:val="0"/>
                  <w:divBdr>
                    <w:top w:val="none" w:sz="0" w:space="0" w:color="auto"/>
                    <w:left w:val="none" w:sz="0" w:space="0" w:color="auto"/>
                    <w:bottom w:val="none" w:sz="0" w:space="0" w:color="auto"/>
                    <w:right w:val="none" w:sz="0" w:space="0" w:color="auto"/>
                  </w:divBdr>
                  <w:divsChild>
                    <w:div w:id="715396977">
                      <w:marLeft w:val="0"/>
                      <w:marRight w:val="0"/>
                      <w:marTop w:val="0"/>
                      <w:marBottom w:val="0"/>
                      <w:divBdr>
                        <w:top w:val="none" w:sz="0" w:space="0" w:color="auto"/>
                        <w:left w:val="none" w:sz="0" w:space="0" w:color="auto"/>
                        <w:bottom w:val="none" w:sz="0" w:space="0" w:color="auto"/>
                        <w:right w:val="none" w:sz="0" w:space="0" w:color="auto"/>
                      </w:divBdr>
                    </w:div>
                  </w:divsChild>
                </w:div>
                <w:div w:id="1252809865">
                  <w:marLeft w:val="0"/>
                  <w:marRight w:val="0"/>
                  <w:marTop w:val="0"/>
                  <w:marBottom w:val="0"/>
                  <w:divBdr>
                    <w:top w:val="none" w:sz="0" w:space="0" w:color="auto"/>
                    <w:left w:val="none" w:sz="0" w:space="0" w:color="auto"/>
                    <w:bottom w:val="none" w:sz="0" w:space="0" w:color="auto"/>
                    <w:right w:val="none" w:sz="0" w:space="0" w:color="auto"/>
                  </w:divBdr>
                  <w:divsChild>
                    <w:div w:id="772628278">
                      <w:marLeft w:val="0"/>
                      <w:marRight w:val="0"/>
                      <w:marTop w:val="0"/>
                      <w:marBottom w:val="0"/>
                      <w:divBdr>
                        <w:top w:val="none" w:sz="0" w:space="0" w:color="auto"/>
                        <w:left w:val="none" w:sz="0" w:space="0" w:color="auto"/>
                        <w:bottom w:val="none" w:sz="0" w:space="0" w:color="auto"/>
                        <w:right w:val="none" w:sz="0" w:space="0" w:color="auto"/>
                      </w:divBdr>
                    </w:div>
                  </w:divsChild>
                </w:div>
                <w:div w:id="1257248719">
                  <w:marLeft w:val="0"/>
                  <w:marRight w:val="0"/>
                  <w:marTop w:val="0"/>
                  <w:marBottom w:val="0"/>
                  <w:divBdr>
                    <w:top w:val="none" w:sz="0" w:space="0" w:color="auto"/>
                    <w:left w:val="none" w:sz="0" w:space="0" w:color="auto"/>
                    <w:bottom w:val="none" w:sz="0" w:space="0" w:color="auto"/>
                    <w:right w:val="none" w:sz="0" w:space="0" w:color="auto"/>
                  </w:divBdr>
                  <w:divsChild>
                    <w:div w:id="2132936489">
                      <w:marLeft w:val="0"/>
                      <w:marRight w:val="0"/>
                      <w:marTop w:val="0"/>
                      <w:marBottom w:val="0"/>
                      <w:divBdr>
                        <w:top w:val="none" w:sz="0" w:space="0" w:color="auto"/>
                        <w:left w:val="none" w:sz="0" w:space="0" w:color="auto"/>
                        <w:bottom w:val="none" w:sz="0" w:space="0" w:color="auto"/>
                        <w:right w:val="none" w:sz="0" w:space="0" w:color="auto"/>
                      </w:divBdr>
                    </w:div>
                  </w:divsChild>
                </w:div>
                <w:div w:id="1257862006">
                  <w:marLeft w:val="0"/>
                  <w:marRight w:val="0"/>
                  <w:marTop w:val="0"/>
                  <w:marBottom w:val="0"/>
                  <w:divBdr>
                    <w:top w:val="none" w:sz="0" w:space="0" w:color="auto"/>
                    <w:left w:val="none" w:sz="0" w:space="0" w:color="auto"/>
                    <w:bottom w:val="none" w:sz="0" w:space="0" w:color="auto"/>
                    <w:right w:val="none" w:sz="0" w:space="0" w:color="auto"/>
                  </w:divBdr>
                  <w:divsChild>
                    <w:div w:id="1513565663">
                      <w:marLeft w:val="0"/>
                      <w:marRight w:val="0"/>
                      <w:marTop w:val="0"/>
                      <w:marBottom w:val="0"/>
                      <w:divBdr>
                        <w:top w:val="none" w:sz="0" w:space="0" w:color="auto"/>
                        <w:left w:val="none" w:sz="0" w:space="0" w:color="auto"/>
                        <w:bottom w:val="none" w:sz="0" w:space="0" w:color="auto"/>
                        <w:right w:val="none" w:sz="0" w:space="0" w:color="auto"/>
                      </w:divBdr>
                    </w:div>
                  </w:divsChild>
                </w:div>
                <w:div w:id="1264143222">
                  <w:marLeft w:val="0"/>
                  <w:marRight w:val="0"/>
                  <w:marTop w:val="0"/>
                  <w:marBottom w:val="0"/>
                  <w:divBdr>
                    <w:top w:val="none" w:sz="0" w:space="0" w:color="auto"/>
                    <w:left w:val="none" w:sz="0" w:space="0" w:color="auto"/>
                    <w:bottom w:val="none" w:sz="0" w:space="0" w:color="auto"/>
                    <w:right w:val="none" w:sz="0" w:space="0" w:color="auto"/>
                  </w:divBdr>
                  <w:divsChild>
                    <w:div w:id="759986336">
                      <w:marLeft w:val="0"/>
                      <w:marRight w:val="0"/>
                      <w:marTop w:val="0"/>
                      <w:marBottom w:val="0"/>
                      <w:divBdr>
                        <w:top w:val="none" w:sz="0" w:space="0" w:color="auto"/>
                        <w:left w:val="none" w:sz="0" w:space="0" w:color="auto"/>
                        <w:bottom w:val="none" w:sz="0" w:space="0" w:color="auto"/>
                        <w:right w:val="none" w:sz="0" w:space="0" w:color="auto"/>
                      </w:divBdr>
                    </w:div>
                  </w:divsChild>
                </w:div>
                <w:div w:id="1281110942">
                  <w:marLeft w:val="0"/>
                  <w:marRight w:val="0"/>
                  <w:marTop w:val="0"/>
                  <w:marBottom w:val="0"/>
                  <w:divBdr>
                    <w:top w:val="none" w:sz="0" w:space="0" w:color="auto"/>
                    <w:left w:val="none" w:sz="0" w:space="0" w:color="auto"/>
                    <w:bottom w:val="none" w:sz="0" w:space="0" w:color="auto"/>
                    <w:right w:val="none" w:sz="0" w:space="0" w:color="auto"/>
                  </w:divBdr>
                  <w:divsChild>
                    <w:div w:id="1924878817">
                      <w:marLeft w:val="0"/>
                      <w:marRight w:val="0"/>
                      <w:marTop w:val="0"/>
                      <w:marBottom w:val="0"/>
                      <w:divBdr>
                        <w:top w:val="none" w:sz="0" w:space="0" w:color="auto"/>
                        <w:left w:val="none" w:sz="0" w:space="0" w:color="auto"/>
                        <w:bottom w:val="none" w:sz="0" w:space="0" w:color="auto"/>
                        <w:right w:val="none" w:sz="0" w:space="0" w:color="auto"/>
                      </w:divBdr>
                    </w:div>
                  </w:divsChild>
                </w:div>
                <w:div w:id="1287586265">
                  <w:marLeft w:val="0"/>
                  <w:marRight w:val="0"/>
                  <w:marTop w:val="0"/>
                  <w:marBottom w:val="0"/>
                  <w:divBdr>
                    <w:top w:val="none" w:sz="0" w:space="0" w:color="auto"/>
                    <w:left w:val="none" w:sz="0" w:space="0" w:color="auto"/>
                    <w:bottom w:val="none" w:sz="0" w:space="0" w:color="auto"/>
                    <w:right w:val="none" w:sz="0" w:space="0" w:color="auto"/>
                  </w:divBdr>
                  <w:divsChild>
                    <w:div w:id="143007935">
                      <w:marLeft w:val="0"/>
                      <w:marRight w:val="0"/>
                      <w:marTop w:val="0"/>
                      <w:marBottom w:val="0"/>
                      <w:divBdr>
                        <w:top w:val="none" w:sz="0" w:space="0" w:color="auto"/>
                        <w:left w:val="none" w:sz="0" w:space="0" w:color="auto"/>
                        <w:bottom w:val="none" w:sz="0" w:space="0" w:color="auto"/>
                        <w:right w:val="none" w:sz="0" w:space="0" w:color="auto"/>
                      </w:divBdr>
                    </w:div>
                  </w:divsChild>
                </w:div>
                <w:div w:id="1299724517">
                  <w:marLeft w:val="0"/>
                  <w:marRight w:val="0"/>
                  <w:marTop w:val="0"/>
                  <w:marBottom w:val="0"/>
                  <w:divBdr>
                    <w:top w:val="none" w:sz="0" w:space="0" w:color="auto"/>
                    <w:left w:val="none" w:sz="0" w:space="0" w:color="auto"/>
                    <w:bottom w:val="none" w:sz="0" w:space="0" w:color="auto"/>
                    <w:right w:val="none" w:sz="0" w:space="0" w:color="auto"/>
                  </w:divBdr>
                  <w:divsChild>
                    <w:div w:id="475804953">
                      <w:marLeft w:val="0"/>
                      <w:marRight w:val="0"/>
                      <w:marTop w:val="0"/>
                      <w:marBottom w:val="0"/>
                      <w:divBdr>
                        <w:top w:val="none" w:sz="0" w:space="0" w:color="auto"/>
                        <w:left w:val="none" w:sz="0" w:space="0" w:color="auto"/>
                        <w:bottom w:val="none" w:sz="0" w:space="0" w:color="auto"/>
                        <w:right w:val="none" w:sz="0" w:space="0" w:color="auto"/>
                      </w:divBdr>
                    </w:div>
                    <w:div w:id="622808855">
                      <w:marLeft w:val="0"/>
                      <w:marRight w:val="0"/>
                      <w:marTop w:val="0"/>
                      <w:marBottom w:val="0"/>
                      <w:divBdr>
                        <w:top w:val="none" w:sz="0" w:space="0" w:color="auto"/>
                        <w:left w:val="none" w:sz="0" w:space="0" w:color="auto"/>
                        <w:bottom w:val="none" w:sz="0" w:space="0" w:color="auto"/>
                        <w:right w:val="none" w:sz="0" w:space="0" w:color="auto"/>
                      </w:divBdr>
                    </w:div>
                  </w:divsChild>
                </w:div>
                <w:div w:id="1304889343">
                  <w:marLeft w:val="0"/>
                  <w:marRight w:val="0"/>
                  <w:marTop w:val="0"/>
                  <w:marBottom w:val="0"/>
                  <w:divBdr>
                    <w:top w:val="none" w:sz="0" w:space="0" w:color="auto"/>
                    <w:left w:val="none" w:sz="0" w:space="0" w:color="auto"/>
                    <w:bottom w:val="none" w:sz="0" w:space="0" w:color="auto"/>
                    <w:right w:val="none" w:sz="0" w:space="0" w:color="auto"/>
                  </w:divBdr>
                  <w:divsChild>
                    <w:div w:id="1500655474">
                      <w:marLeft w:val="0"/>
                      <w:marRight w:val="0"/>
                      <w:marTop w:val="0"/>
                      <w:marBottom w:val="0"/>
                      <w:divBdr>
                        <w:top w:val="none" w:sz="0" w:space="0" w:color="auto"/>
                        <w:left w:val="none" w:sz="0" w:space="0" w:color="auto"/>
                        <w:bottom w:val="none" w:sz="0" w:space="0" w:color="auto"/>
                        <w:right w:val="none" w:sz="0" w:space="0" w:color="auto"/>
                      </w:divBdr>
                    </w:div>
                  </w:divsChild>
                </w:div>
                <w:div w:id="1308128225">
                  <w:marLeft w:val="0"/>
                  <w:marRight w:val="0"/>
                  <w:marTop w:val="0"/>
                  <w:marBottom w:val="0"/>
                  <w:divBdr>
                    <w:top w:val="none" w:sz="0" w:space="0" w:color="auto"/>
                    <w:left w:val="none" w:sz="0" w:space="0" w:color="auto"/>
                    <w:bottom w:val="none" w:sz="0" w:space="0" w:color="auto"/>
                    <w:right w:val="none" w:sz="0" w:space="0" w:color="auto"/>
                  </w:divBdr>
                  <w:divsChild>
                    <w:div w:id="1278760014">
                      <w:marLeft w:val="0"/>
                      <w:marRight w:val="0"/>
                      <w:marTop w:val="0"/>
                      <w:marBottom w:val="0"/>
                      <w:divBdr>
                        <w:top w:val="none" w:sz="0" w:space="0" w:color="auto"/>
                        <w:left w:val="none" w:sz="0" w:space="0" w:color="auto"/>
                        <w:bottom w:val="none" w:sz="0" w:space="0" w:color="auto"/>
                        <w:right w:val="none" w:sz="0" w:space="0" w:color="auto"/>
                      </w:divBdr>
                    </w:div>
                  </w:divsChild>
                </w:div>
                <w:div w:id="1310401360">
                  <w:marLeft w:val="0"/>
                  <w:marRight w:val="0"/>
                  <w:marTop w:val="0"/>
                  <w:marBottom w:val="0"/>
                  <w:divBdr>
                    <w:top w:val="none" w:sz="0" w:space="0" w:color="auto"/>
                    <w:left w:val="none" w:sz="0" w:space="0" w:color="auto"/>
                    <w:bottom w:val="none" w:sz="0" w:space="0" w:color="auto"/>
                    <w:right w:val="none" w:sz="0" w:space="0" w:color="auto"/>
                  </w:divBdr>
                  <w:divsChild>
                    <w:div w:id="413823867">
                      <w:marLeft w:val="0"/>
                      <w:marRight w:val="0"/>
                      <w:marTop w:val="0"/>
                      <w:marBottom w:val="0"/>
                      <w:divBdr>
                        <w:top w:val="none" w:sz="0" w:space="0" w:color="auto"/>
                        <w:left w:val="none" w:sz="0" w:space="0" w:color="auto"/>
                        <w:bottom w:val="none" w:sz="0" w:space="0" w:color="auto"/>
                        <w:right w:val="none" w:sz="0" w:space="0" w:color="auto"/>
                      </w:divBdr>
                    </w:div>
                  </w:divsChild>
                </w:div>
                <w:div w:id="1315064643">
                  <w:marLeft w:val="0"/>
                  <w:marRight w:val="0"/>
                  <w:marTop w:val="0"/>
                  <w:marBottom w:val="0"/>
                  <w:divBdr>
                    <w:top w:val="none" w:sz="0" w:space="0" w:color="auto"/>
                    <w:left w:val="none" w:sz="0" w:space="0" w:color="auto"/>
                    <w:bottom w:val="none" w:sz="0" w:space="0" w:color="auto"/>
                    <w:right w:val="none" w:sz="0" w:space="0" w:color="auto"/>
                  </w:divBdr>
                  <w:divsChild>
                    <w:div w:id="1890410284">
                      <w:marLeft w:val="0"/>
                      <w:marRight w:val="0"/>
                      <w:marTop w:val="0"/>
                      <w:marBottom w:val="0"/>
                      <w:divBdr>
                        <w:top w:val="none" w:sz="0" w:space="0" w:color="auto"/>
                        <w:left w:val="none" w:sz="0" w:space="0" w:color="auto"/>
                        <w:bottom w:val="none" w:sz="0" w:space="0" w:color="auto"/>
                        <w:right w:val="none" w:sz="0" w:space="0" w:color="auto"/>
                      </w:divBdr>
                    </w:div>
                  </w:divsChild>
                </w:div>
                <w:div w:id="1319310205">
                  <w:marLeft w:val="0"/>
                  <w:marRight w:val="0"/>
                  <w:marTop w:val="0"/>
                  <w:marBottom w:val="0"/>
                  <w:divBdr>
                    <w:top w:val="none" w:sz="0" w:space="0" w:color="auto"/>
                    <w:left w:val="none" w:sz="0" w:space="0" w:color="auto"/>
                    <w:bottom w:val="none" w:sz="0" w:space="0" w:color="auto"/>
                    <w:right w:val="none" w:sz="0" w:space="0" w:color="auto"/>
                  </w:divBdr>
                  <w:divsChild>
                    <w:div w:id="235433443">
                      <w:marLeft w:val="0"/>
                      <w:marRight w:val="0"/>
                      <w:marTop w:val="0"/>
                      <w:marBottom w:val="0"/>
                      <w:divBdr>
                        <w:top w:val="none" w:sz="0" w:space="0" w:color="auto"/>
                        <w:left w:val="none" w:sz="0" w:space="0" w:color="auto"/>
                        <w:bottom w:val="none" w:sz="0" w:space="0" w:color="auto"/>
                        <w:right w:val="none" w:sz="0" w:space="0" w:color="auto"/>
                      </w:divBdr>
                    </w:div>
                  </w:divsChild>
                </w:div>
                <w:div w:id="1323313771">
                  <w:marLeft w:val="0"/>
                  <w:marRight w:val="0"/>
                  <w:marTop w:val="0"/>
                  <w:marBottom w:val="0"/>
                  <w:divBdr>
                    <w:top w:val="none" w:sz="0" w:space="0" w:color="auto"/>
                    <w:left w:val="none" w:sz="0" w:space="0" w:color="auto"/>
                    <w:bottom w:val="none" w:sz="0" w:space="0" w:color="auto"/>
                    <w:right w:val="none" w:sz="0" w:space="0" w:color="auto"/>
                  </w:divBdr>
                  <w:divsChild>
                    <w:div w:id="103421505">
                      <w:marLeft w:val="0"/>
                      <w:marRight w:val="0"/>
                      <w:marTop w:val="0"/>
                      <w:marBottom w:val="0"/>
                      <w:divBdr>
                        <w:top w:val="none" w:sz="0" w:space="0" w:color="auto"/>
                        <w:left w:val="none" w:sz="0" w:space="0" w:color="auto"/>
                        <w:bottom w:val="none" w:sz="0" w:space="0" w:color="auto"/>
                        <w:right w:val="none" w:sz="0" w:space="0" w:color="auto"/>
                      </w:divBdr>
                    </w:div>
                  </w:divsChild>
                </w:div>
                <w:div w:id="1334185462">
                  <w:marLeft w:val="0"/>
                  <w:marRight w:val="0"/>
                  <w:marTop w:val="0"/>
                  <w:marBottom w:val="0"/>
                  <w:divBdr>
                    <w:top w:val="none" w:sz="0" w:space="0" w:color="auto"/>
                    <w:left w:val="none" w:sz="0" w:space="0" w:color="auto"/>
                    <w:bottom w:val="none" w:sz="0" w:space="0" w:color="auto"/>
                    <w:right w:val="none" w:sz="0" w:space="0" w:color="auto"/>
                  </w:divBdr>
                  <w:divsChild>
                    <w:div w:id="1708332679">
                      <w:marLeft w:val="0"/>
                      <w:marRight w:val="0"/>
                      <w:marTop w:val="0"/>
                      <w:marBottom w:val="0"/>
                      <w:divBdr>
                        <w:top w:val="none" w:sz="0" w:space="0" w:color="auto"/>
                        <w:left w:val="none" w:sz="0" w:space="0" w:color="auto"/>
                        <w:bottom w:val="none" w:sz="0" w:space="0" w:color="auto"/>
                        <w:right w:val="none" w:sz="0" w:space="0" w:color="auto"/>
                      </w:divBdr>
                    </w:div>
                  </w:divsChild>
                </w:div>
                <w:div w:id="1338002815">
                  <w:marLeft w:val="0"/>
                  <w:marRight w:val="0"/>
                  <w:marTop w:val="0"/>
                  <w:marBottom w:val="0"/>
                  <w:divBdr>
                    <w:top w:val="none" w:sz="0" w:space="0" w:color="auto"/>
                    <w:left w:val="none" w:sz="0" w:space="0" w:color="auto"/>
                    <w:bottom w:val="none" w:sz="0" w:space="0" w:color="auto"/>
                    <w:right w:val="none" w:sz="0" w:space="0" w:color="auto"/>
                  </w:divBdr>
                  <w:divsChild>
                    <w:div w:id="1987079127">
                      <w:marLeft w:val="0"/>
                      <w:marRight w:val="0"/>
                      <w:marTop w:val="0"/>
                      <w:marBottom w:val="0"/>
                      <w:divBdr>
                        <w:top w:val="none" w:sz="0" w:space="0" w:color="auto"/>
                        <w:left w:val="none" w:sz="0" w:space="0" w:color="auto"/>
                        <w:bottom w:val="none" w:sz="0" w:space="0" w:color="auto"/>
                        <w:right w:val="none" w:sz="0" w:space="0" w:color="auto"/>
                      </w:divBdr>
                    </w:div>
                  </w:divsChild>
                </w:div>
                <w:div w:id="1338657624">
                  <w:marLeft w:val="0"/>
                  <w:marRight w:val="0"/>
                  <w:marTop w:val="0"/>
                  <w:marBottom w:val="0"/>
                  <w:divBdr>
                    <w:top w:val="none" w:sz="0" w:space="0" w:color="auto"/>
                    <w:left w:val="none" w:sz="0" w:space="0" w:color="auto"/>
                    <w:bottom w:val="none" w:sz="0" w:space="0" w:color="auto"/>
                    <w:right w:val="none" w:sz="0" w:space="0" w:color="auto"/>
                  </w:divBdr>
                  <w:divsChild>
                    <w:div w:id="1512329384">
                      <w:marLeft w:val="0"/>
                      <w:marRight w:val="0"/>
                      <w:marTop w:val="0"/>
                      <w:marBottom w:val="0"/>
                      <w:divBdr>
                        <w:top w:val="none" w:sz="0" w:space="0" w:color="auto"/>
                        <w:left w:val="none" w:sz="0" w:space="0" w:color="auto"/>
                        <w:bottom w:val="none" w:sz="0" w:space="0" w:color="auto"/>
                        <w:right w:val="none" w:sz="0" w:space="0" w:color="auto"/>
                      </w:divBdr>
                    </w:div>
                  </w:divsChild>
                </w:div>
                <w:div w:id="1339043030">
                  <w:marLeft w:val="0"/>
                  <w:marRight w:val="0"/>
                  <w:marTop w:val="0"/>
                  <w:marBottom w:val="0"/>
                  <w:divBdr>
                    <w:top w:val="none" w:sz="0" w:space="0" w:color="auto"/>
                    <w:left w:val="none" w:sz="0" w:space="0" w:color="auto"/>
                    <w:bottom w:val="none" w:sz="0" w:space="0" w:color="auto"/>
                    <w:right w:val="none" w:sz="0" w:space="0" w:color="auto"/>
                  </w:divBdr>
                  <w:divsChild>
                    <w:div w:id="1012685065">
                      <w:marLeft w:val="0"/>
                      <w:marRight w:val="0"/>
                      <w:marTop w:val="0"/>
                      <w:marBottom w:val="0"/>
                      <w:divBdr>
                        <w:top w:val="none" w:sz="0" w:space="0" w:color="auto"/>
                        <w:left w:val="none" w:sz="0" w:space="0" w:color="auto"/>
                        <w:bottom w:val="none" w:sz="0" w:space="0" w:color="auto"/>
                        <w:right w:val="none" w:sz="0" w:space="0" w:color="auto"/>
                      </w:divBdr>
                    </w:div>
                  </w:divsChild>
                </w:div>
                <w:div w:id="1339888315">
                  <w:marLeft w:val="0"/>
                  <w:marRight w:val="0"/>
                  <w:marTop w:val="0"/>
                  <w:marBottom w:val="0"/>
                  <w:divBdr>
                    <w:top w:val="none" w:sz="0" w:space="0" w:color="auto"/>
                    <w:left w:val="none" w:sz="0" w:space="0" w:color="auto"/>
                    <w:bottom w:val="none" w:sz="0" w:space="0" w:color="auto"/>
                    <w:right w:val="none" w:sz="0" w:space="0" w:color="auto"/>
                  </w:divBdr>
                  <w:divsChild>
                    <w:div w:id="812719919">
                      <w:marLeft w:val="0"/>
                      <w:marRight w:val="0"/>
                      <w:marTop w:val="0"/>
                      <w:marBottom w:val="0"/>
                      <w:divBdr>
                        <w:top w:val="none" w:sz="0" w:space="0" w:color="auto"/>
                        <w:left w:val="none" w:sz="0" w:space="0" w:color="auto"/>
                        <w:bottom w:val="none" w:sz="0" w:space="0" w:color="auto"/>
                        <w:right w:val="none" w:sz="0" w:space="0" w:color="auto"/>
                      </w:divBdr>
                    </w:div>
                  </w:divsChild>
                </w:div>
                <w:div w:id="1343239476">
                  <w:marLeft w:val="0"/>
                  <w:marRight w:val="0"/>
                  <w:marTop w:val="0"/>
                  <w:marBottom w:val="0"/>
                  <w:divBdr>
                    <w:top w:val="none" w:sz="0" w:space="0" w:color="auto"/>
                    <w:left w:val="none" w:sz="0" w:space="0" w:color="auto"/>
                    <w:bottom w:val="none" w:sz="0" w:space="0" w:color="auto"/>
                    <w:right w:val="none" w:sz="0" w:space="0" w:color="auto"/>
                  </w:divBdr>
                  <w:divsChild>
                    <w:div w:id="2004774638">
                      <w:marLeft w:val="0"/>
                      <w:marRight w:val="0"/>
                      <w:marTop w:val="0"/>
                      <w:marBottom w:val="0"/>
                      <w:divBdr>
                        <w:top w:val="none" w:sz="0" w:space="0" w:color="auto"/>
                        <w:left w:val="none" w:sz="0" w:space="0" w:color="auto"/>
                        <w:bottom w:val="none" w:sz="0" w:space="0" w:color="auto"/>
                        <w:right w:val="none" w:sz="0" w:space="0" w:color="auto"/>
                      </w:divBdr>
                    </w:div>
                  </w:divsChild>
                </w:div>
                <w:div w:id="1344287176">
                  <w:marLeft w:val="0"/>
                  <w:marRight w:val="0"/>
                  <w:marTop w:val="0"/>
                  <w:marBottom w:val="0"/>
                  <w:divBdr>
                    <w:top w:val="none" w:sz="0" w:space="0" w:color="auto"/>
                    <w:left w:val="none" w:sz="0" w:space="0" w:color="auto"/>
                    <w:bottom w:val="none" w:sz="0" w:space="0" w:color="auto"/>
                    <w:right w:val="none" w:sz="0" w:space="0" w:color="auto"/>
                  </w:divBdr>
                  <w:divsChild>
                    <w:div w:id="1520701303">
                      <w:marLeft w:val="0"/>
                      <w:marRight w:val="0"/>
                      <w:marTop w:val="0"/>
                      <w:marBottom w:val="0"/>
                      <w:divBdr>
                        <w:top w:val="none" w:sz="0" w:space="0" w:color="auto"/>
                        <w:left w:val="none" w:sz="0" w:space="0" w:color="auto"/>
                        <w:bottom w:val="none" w:sz="0" w:space="0" w:color="auto"/>
                        <w:right w:val="none" w:sz="0" w:space="0" w:color="auto"/>
                      </w:divBdr>
                    </w:div>
                  </w:divsChild>
                </w:div>
                <w:div w:id="1347436950">
                  <w:marLeft w:val="0"/>
                  <w:marRight w:val="0"/>
                  <w:marTop w:val="0"/>
                  <w:marBottom w:val="0"/>
                  <w:divBdr>
                    <w:top w:val="none" w:sz="0" w:space="0" w:color="auto"/>
                    <w:left w:val="none" w:sz="0" w:space="0" w:color="auto"/>
                    <w:bottom w:val="none" w:sz="0" w:space="0" w:color="auto"/>
                    <w:right w:val="none" w:sz="0" w:space="0" w:color="auto"/>
                  </w:divBdr>
                  <w:divsChild>
                    <w:div w:id="1990941017">
                      <w:marLeft w:val="0"/>
                      <w:marRight w:val="0"/>
                      <w:marTop w:val="0"/>
                      <w:marBottom w:val="0"/>
                      <w:divBdr>
                        <w:top w:val="none" w:sz="0" w:space="0" w:color="auto"/>
                        <w:left w:val="none" w:sz="0" w:space="0" w:color="auto"/>
                        <w:bottom w:val="none" w:sz="0" w:space="0" w:color="auto"/>
                        <w:right w:val="none" w:sz="0" w:space="0" w:color="auto"/>
                      </w:divBdr>
                    </w:div>
                  </w:divsChild>
                </w:div>
                <w:div w:id="1368140212">
                  <w:marLeft w:val="0"/>
                  <w:marRight w:val="0"/>
                  <w:marTop w:val="0"/>
                  <w:marBottom w:val="0"/>
                  <w:divBdr>
                    <w:top w:val="none" w:sz="0" w:space="0" w:color="auto"/>
                    <w:left w:val="none" w:sz="0" w:space="0" w:color="auto"/>
                    <w:bottom w:val="none" w:sz="0" w:space="0" w:color="auto"/>
                    <w:right w:val="none" w:sz="0" w:space="0" w:color="auto"/>
                  </w:divBdr>
                  <w:divsChild>
                    <w:div w:id="2106146365">
                      <w:marLeft w:val="0"/>
                      <w:marRight w:val="0"/>
                      <w:marTop w:val="0"/>
                      <w:marBottom w:val="0"/>
                      <w:divBdr>
                        <w:top w:val="none" w:sz="0" w:space="0" w:color="auto"/>
                        <w:left w:val="none" w:sz="0" w:space="0" w:color="auto"/>
                        <w:bottom w:val="none" w:sz="0" w:space="0" w:color="auto"/>
                        <w:right w:val="none" w:sz="0" w:space="0" w:color="auto"/>
                      </w:divBdr>
                    </w:div>
                  </w:divsChild>
                </w:div>
                <w:div w:id="1380398084">
                  <w:marLeft w:val="0"/>
                  <w:marRight w:val="0"/>
                  <w:marTop w:val="0"/>
                  <w:marBottom w:val="0"/>
                  <w:divBdr>
                    <w:top w:val="none" w:sz="0" w:space="0" w:color="auto"/>
                    <w:left w:val="none" w:sz="0" w:space="0" w:color="auto"/>
                    <w:bottom w:val="none" w:sz="0" w:space="0" w:color="auto"/>
                    <w:right w:val="none" w:sz="0" w:space="0" w:color="auto"/>
                  </w:divBdr>
                  <w:divsChild>
                    <w:div w:id="1640190323">
                      <w:marLeft w:val="0"/>
                      <w:marRight w:val="0"/>
                      <w:marTop w:val="0"/>
                      <w:marBottom w:val="0"/>
                      <w:divBdr>
                        <w:top w:val="none" w:sz="0" w:space="0" w:color="auto"/>
                        <w:left w:val="none" w:sz="0" w:space="0" w:color="auto"/>
                        <w:bottom w:val="none" w:sz="0" w:space="0" w:color="auto"/>
                        <w:right w:val="none" w:sz="0" w:space="0" w:color="auto"/>
                      </w:divBdr>
                    </w:div>
                  </w:divsChild>
                </w:div>
                <w:div w:id="1393695260">
                  <w:marLeft w:val="0"/>
                  <w:marRight w:val="0"/>
                  <w:marTop w:val="0"/>
                  <w:marBottom w:val="0"/>
                  <w:divBdr>
                    <w:top w:val="none" w:sz="0" w:space="0" w:color="auto"/>
                    <w:left w:val="none" w:sz="0" w:space="0" w:color="auto"/>
                    <w:bottom w:val="none" w:sz="0" w:space="0" w:color="auto"/>
                    <w:right w:val="none" w:sz="0" w:space="0" w:color="auto"/>
                  </w:divBdr>
                  <w:divsChild>
                    <w:div w:id="1465123502">
                      <w:marLeft w:val="0"/>
                      <w:marRight w:val="0"/>
                      <w:marTop w:val="0"/>
                      <w:marBottom w:val="0"/>
                      <w:divBdr>
                        <w:top w:val="none" w:sz="0" w:space="0" w:color="auto"/>
                        <w:left w:val="none" w:sz="0" w:space="0" w:color="auto"/>
                        <w:bottom w:val="none" w:sz="0" w:space="0" w:color="auto"/>
                        <w:right w:val="none" w:sz="0" w:space="0" w:color="auto"/>
                      </w:divBdr>
                    </w:div>
                  </w:divsChild>
                </w:div>
                <w:div w:id="1395928068">
                  <w:marLeft w:val="0"/>
                  <w:marRight w:val="0"/>
                  <w:marTop w:val="0"/>
                  <w:marBottom w:val="0"/>
                  <w:divBdr>
                    <w:top w:val="none" w:sz="0" w:space="0" w:color="auto"/>
                    <w:left w:val="none" w:sz="0" w:space="0" w:color="auto"/>
                    <w:bottom w:val="none" w:sz="0" w:space="0" w:color="auto"/>
                    <w:right w:val="none" w:sz="0" w:space="0" w:color="auto"/>
                  </w:divBdr>
                  <w:divsChild>
                    <w:div w:id="34279617">
                      <w:marLeft w:val="0"/>
                      <w:marRight w:val="0"/>
                      <w:marTop w:val="0"/>
                      <w:marBottom w:val="0"/>
                      <w:divBdr>
                        <w:top w:val="none" w:sz="0" w:space="0" w:color="auto"/>
                        <w:left w:val="none" w:sz="0" w:space="0" w:color="auto"/>
                        <w:bottom w:val="none" w:sz="0" w:space="0" w:color="auto"/>
                        <w:right w:val="none" w:sz="0" w:space="0" w:color="auto"/>
                      </w:divBdr>
                    </w:div>
                  </w:divsChild>
                </w:div>
                <w:div w:id="1399521851">
                  <w:marLeft w:val="0"/>
                  <w:marRight w:val="0"/>
                  <w:marTop w:val="0"/>
                  <w:marBottom w:val="0"/>
                  <w:divBdr>
                    <w:top w:val="none" w:sz="0" w:space="0" w:color="auto"/>
                    <w:left w:val="none" w:sz="0" w:space="0" w:color="auto"/>
                    <w:bottom w:val="none" w:sz="0" w:space="0" w:color="auto"/>
                    <w:right w:val="none" w:sz="0" w:space="0" w:color="auto"/>
                  </w:divBdr>
                  <w:divsChild>
                    <w:div w:id="1509440361">
                      <w:marLeft w:val="0"/>
                      <w:marRight w:val="0"/>
                      <w:marTop w:val="0"/>
                      <w:marBottom w:val="0"/>
                      <w:divBdr>
                        <w:top w:val="none" w:sz="0" w:space="0" w:color="auto"/>
                        <w:left w:val="none" w:sz="0" w:space="0" w:color="auto"/>
                        <w:bottom w:val="none" w:sz="0" w:space="0" w:color="auto"/>
                        <w:right w:val="none" w:sz="0" w:space="0" w:color="auto"/>
                      </w:divBdr>
                    </w:div>
                  </w:divsChild>
                </w:div>
                <w:div w:id="1407263201">
                  <w:marLeft w:val="0"/>
                  <w:marRight w:val="0"/>
                  <w:marTop w:val="0"/>
                  <w:marBottom w:val="0"/>
                  <w:divBdr>
                    <w:top w:val="none" w:sz="0" w:space="0" w:color="auto"/>
                    <w:left w:val="none" w:sz="0" w:space="0" w:color="auto"/>
                    <w:bottom w:val="none" w:sz="0" w:space="0" w:color="auto"/>
                    <w:right w:val="none" w:sz="0" w:space="0" w:color="auto"/>
                  </w:divBdr>
                  <w:divsChild>
                    <w:div w:id="598149353">
                      <w:marLeft w:val="0"/>
                      <w:marRight w:val="0"/>
                      <w:marTop w:val="0"/>
                      <w:marBottom w:val="0"/>
                      <w:divBdr>
                        <w:top w:val="none" w:sz="0" w:space="0" w:color="auto"/>
                        <w:left w:val="none" w:sz="0" w:space="0" w:color="auto"/>
                        <w:bottom w:val="none" w:sz="0" w:space="0" w:color="auto"/>
                        <w:right w:val="none" w:sz="0" w:space="0" w:color="auto"/>
                      </w:divBdr>
                    </w:div>
                  </w:divsChild>
                </w:div>
                <w:div w:id="1409883510">
                  <w:marLeft w:val="0"/>
                  <w:marRight w:val="0"/>
                  <w:marTop w:val="0"/>
                  <w:marBottom w:val="0"/>
                  <w:divBdr>
                    <w:top w:val="none" w:sz="0" w:space="0" w:color="auto"/>
                    <w:left w:val="none" w:sz="0" w:space="0" w:color="auto"/>
                    <w:bottom w:val="none" w:sz="0" w:space="0" w:color="auto"/>
                    <w:right w:val="none" w:sz="0" w:space="0" w:color="auto"/>
                  </w:divBdr>
                  <w:divsChild>
                    <w:div w:id="511803330">
                      <w:marLeft w:val="0"/>
                      <w:marRight w:val="0"/>
                      <w:marTop w:val="0"/>
                      <w:marBottom w:val="0"/>
                      <w:divBdr>
                        <w:top w:val="none" w:sz="0" w:space="0" w:color="auto"/>
                        <w:left w:val="none" w:sz="0" w:space="0" w:color="auto"/>
                        <w:bottom w:val="none" w:sz="0" w:space="0" w:color="auto"/>
                        <w:right w:val="none" w:sz="0" w:space="0" w:color="auto"/>
                      </w:divBdr>
                    </w:div>
                  </w:divsChild>
                </w:div>
                <w:div w:id="1411196792">
                  <w:marLeft w:val="0"/>
                  <w:marRight w:val="0"/>
                  <w:marTop w:val="0"/>
                  <w:marBottom w:val="0"/>
                  <w:divBdr>
                    <w:top w:val="none" w:sz="0" w:space="0" w:color="auto"/>
                    <w:left w:val="none" w:sz="0" w:space="0" w:color="auto"/>
                    <w:bottom w:val="none" w:sz="0" w:space="0" w:color="auto"/>
                    <w:right w:val="none" w:sz="0" w:space="0" w:color="auto"/>
                  </w:divBdr>
                  <w:divsChild>
                    <w:div w:id="1493137872">
                      <w:marLeft w:val="0"/>
                      <w:marRight w:val="0"/>
                      <w:marTop w:val="0"/>
                      <w:marBottom w:val="0"/>
                      <w:divBdr>
                        <w:top w:val="none" w:sz="0" w:space="0" w:color="auto"/>
                        <w:left w:val="none" w:sz="0" w:space="0" w:color="auto"/>
                        <w:bottom w:val="none" w:sz="0" w:space="0" w:color="auto"/>
                        <w:right w:val="none" w:sz="0" w:space="0" w:color="auto"/>
                      </w:divBdr>
                    </w:div>
                  </w:divsChild>
                </w:div>
                <w:div w:id="1411999183">
                  <w:marLeft w:val="0"/>
                  <w:marRight w:val="0"/>
                  <w:marTop w:val="0"/>
                  <w:marBottom w:val="0"/>
                  <w:divBdr>
                    <w:top w:val="none" w:sz="0" w:space="0" w:color="auto"/>
                    <w:left w:val="none" w:sz="0" w:space="0" w:color="auto"/>
                    <w:bottom w:val="none" w:sz="0" w:space="0" w:color="auto"/>
                    <w:right w:val="none" w:sz="0" w:space="0" w:color="auto"/>
                  </w:divBdr>
                  <w:divsChild>
                    <w:div w:id="1554148235">
                      <w:marLeft w:val="0"/>
                      <w:marRight w:val="0"/>
                      <w:marTop w:val="0"/>
                      <w:marBottom w:val="0"/>
                      <w:divBdr>
                        <w:top w:val="none" w:sz="0" w:space="0" w:color="auto"/>
                        <w:left w:val="none" w:sz="0" w:space="0" w:color="auto"/>
                        <w:bottom w:val="none" w:sz="0" w:space="0" w:color="auto"/>
                        <w:right w:val="none" w:sz="0" w:space="0" w:color="auto"/>
                      </w:divBdr>
                    </w:div>
                  </w:divsChild>
                </w:div>
                <w:div w:id="1417945713">
                  <w:marLeft w:val="0"/>
                  <w:marRight w:val="0"/>
                  <w:marTop w:val="0"/>
                  <w:marBottom w:val="0"/>
                  <w:divBdr>
                    <w:top w:val="none" w:sz="0" w:space="0" w:color="auto"/>
                    <w:left w:val="none" w:sz="0" w:space="0" w:color="auto"/>
                    <w:bottom w:val="none" w:sz="0" w:space="0" w:color="auto"/>
                    <w:right w:val="none" w:sz="0" w:space="0" w:color="auto"/>
                  </w:divBdr>
                  <w:divsChild>
                    <w:div w:id="124852625">
                      <w:marLeft w:val="0"/>
                      <w:marRight w:val="0"/>
                      <w:marTop w:val="0"/>
                      <w:marBottom w:val="0"/>
                      <w:divBdr>
                        <w:top w:val="none" w:sz="0" w:space="0" w:color="auto"/>
                        <w:left w:val="none" w:sz="0" w:space="0" w:color="auto"/>
                        <w:bottom w:val="none" w:sz="0" w:space="0" w:color="auto"/>
                        <w:right w:val="none" w:sz="0" w:space="0" w:color="auto"/>
                      </w:divBdr>
                    </w:div>
                  </w:divsChild>
                </w:div>
                <w:div w:id="1420709659">
                  <w:marLeft w:val="0"/>
                  <w:marRight w:val="0"/>
                  <w:marTop w:val="0"/>
                  <w:marBottom w:val="0"/>
                  <w:divBdr>
                    <w:top w:val="none" w:sz="0" w:space="0" w:color="auto"/>
                    <w:left w:val="none" w:sz="0" w:space="0" w:color="auto"/>
                    <w:bottom w:val="none" w:sz="0" w:space="0" w:color="auto"/>
                    <w:right w:val="none" w:sz="0" w:space="0" w:color="auto"/>
                  </w:divBdr>
                  <w:divsChild>
                    <w:div w:id="161435349">
                      <w:marLeft w:val="0"/>
                      <w:marRight w:val="0"/>
                      <w:marTop w:val="0"/>
                      <w:marBottom w:val="0"/>
                      <w:divBdr>
                        <w:top w:val="none" w:sz="0" w:space="0" w:color="auto"/>
                        <w:left w:val="none" w:sz="0" w:space="0" w:color="auto"/>
                        <w:bottom w:val="none" w:sz="0" w:space="0" w:color="auto"/>
                        <w:right w:val="none" w:sz="0" w:space="0" w:color="auto"/>
                      </w:divBdr>
                    </w:div>
                  </w:divsChild>
                </w:div>
                <w:div w:id="1439176992">
                  <w:marLeft w:val="0"/>
                  <w:marRight w:val="0"/>
                  <w:marTop w:val="0"/>
                  <w:marBottom w:val="0"/>
                  <w:divBdr>
                    <w:top w:val="none" w:sz="0" w:space="0" w:color="auto"/>
                    <w:left w:val="none" w:sz="0" w:space="0" w:color="auto"/>
                    <w:bottom w:val="none" w:sz="0" w:space="0" w:color="auto"/>
                    <w:right w:val="none" w:sz="0" w:space="0" w:color="auto"/>
                  </w:divBdr>
                  <w:divsChild>
                    <w:div w:id="472720942">
                      <w:marLeft w:val="0"/>
                      <w:marRight w:val="0"/>
                      <w:marTop w:val="0"/>
                      <w:marBottom w:val="0"/>
                      <w:divBdr>
                        <w:top w:val="none" w:sz="0" w:space="0" w:color="auto"/>
                        <w:left w:val="none" w:sz="0" w:space="0" w:color="auto"/>
                        <w:bottom w:val="none" w:sz="0" w:space="0" w:color="auto"/>
                        <w:right w:val="none" w:sz="0" w:space="0" w:color="auto"/>
                      </w:divBdr>
                    </w:div>
                  </w:divsChild>
                </w:div>
                <w:div w:id="1440416796">
                  <w:marLeft w:val="0"/>
                  <w:marRight w:val="0"/>
                  <w:marTop w:val="0"/>
                  <w:marBottom w:val="0"/>
                  <w:divBdr>
                    <w:top w:val="none" w:sz="0" w:space="0" w:color="auto"/>
                    <w:left w:val="none" w:sz="0" w:space="0" w:color="auto"/>
                    <w:bottom w:val="none" w:sz="0" w:space="0" w:color="auto"/>
                    <w:right w:val="none" w:sz="0" w:space="0" w:color="auto"/>
                  </w:divBdr>
                  <w:divsChild>
                    <w:div w:id="169301853">
                      <w:marLeft w:val="0"/>
                      <w:marRight w:val="0"/>
                      <w:marTop w:val="0"/>
                      <w:marBottom w:val="0"/>
                      <w:divBdr>
                        <w:top w:val="none" w:sz="0" w:space="0" w:color="auto"/>
                        <w:left w:val="none" w:sz="0" w:space="0" w:color="auto"/>
                        <w:bottom w:val="none" w:sz="0" w:space="0" w:color="auto"/>
                        <w:right w:val="none" w:sz="0" w:space="0" w:color="auto"/>
                      </w:divBdr>
                    </w:div>
                    <w:div w:id="708532549">
                      <w:marLeft w:val="0"/>
                      <w:marRight w:val="0"/>
                      <w:marTop w:val="0"/>
                      <w:marBottom w:val="0"/>
                      <w:divBdr>
                        <w:top w:val="none" w:sz="0" w:space="0" w:color="auto"/>
                        <w:left w:val="none" w:sz="0" w:space="0" w:color="auto"/>
                        <w:bottom w:val="none" w:sz="0" w:space="0" w:color="auto"/>
                        <w:right w:val="none" w:sz="0" w:space="0" w:color="auto"/>
                      </w:divBdr>
                    </w:div>
                    <w:div w:id="1571577918">
                      <w:marLeft w:val="0"/>
                      <w:marRight w:val="0"/>
                      <w:marTop w:val="0"/>
                      <w:marBottom w:val="0"/>
                      <w:divBdr>
                        <w:top w:val="none" w:sz="0" w:space="0" w:color="auto"/>
                        <w:left w:val="none" w:sz="0" w:space="0" w:color="auto"/>
                        <w:bottom w:val="none" w:sz="0" w:space="0" w:color="auto"/>
                        <w:right w:val="none" w:sz="0" w:space="0" w:color="auto"/>
                      </w:divBdr>
                    </w:div>
                  </w:divsChild>
                </w:div>
                <w:div w:id="1447314102">
                  <w:marLeft w:val="0"/>
                  <w:marRight w:val="0"/>
                  <w:marTop w:val="0"/>
                  <w:marBottom w:val="0"/>
                  <w:divBdr>
                    <w:top w:val="none" w:sz="0" w:space="0" w:color="auto"/>
                    <w:left w:val="none" w:sz="0" w:space="0" w:color="auto"/>
                    <w:bottom w:val="none" w:sz="0" w:space="0" w:color="auto"/>
                    <w:right w:val="none" w:sz="0" w:space="0" w:color="auto"/>
                  </w:divBdr>
                  <w:divsChild>
                    <w:div w:id="1907298227">
                      <w:marLeft w:val="0"/>
                      <w:marRight w:val="0"/>
                      <w:marTop w:val="0"/>
                      <w:marBottom w:val="0"/>
                      <w:divBdr>
                        <w:top w:val="none" w:sz="0" w:space="0" w:color="auto"/>
                        <w:left w:val="none" w:sz="0" w:space="0" w:color="auto"/>
                        <w:bottom w:val="none" w:sz="0" w:space="0" w:color="auto"/>
                        <w:right w:val="none" w:sz="0" w:space="0" w:color="auto"/>
                      </w:divBdr>
                    </w:div>
                  </w:divsChild>
                </w:div>
                <w:div w:id="1456170805">
                  <w:marLeft w:val="0"/>
                  <w:marRight w:val="0"/>
                  <w:marTop w:val="0"/>
                  <w:marBottom w:val="0"/>
                  <w:divBdr>
                    <w:top w:val="none" w:sz="0" w:space="0" w:color="auto"/>
                    <w:left w:val="none" w:sz="0" w:space="0" w:color="auto"/>
                    <w:bottom w:val="none" w:sz="0" w:space="0" w:color="auto"/>
                    <w:right w:val="none" w:sz="0" w:space="0" w:color="auto"/>
                  </w:divBdr>
                  <w:divsChild>
                    <w:div w:id="1467047808">
                      <w:marLeft w:val="0"/>
                      <w:marRight w:val="0"/>
                      <w:marTop w:val="0"/>
                      <w:marBottom w:val="0"/>
                      <w:divBdr>
                        <w:top w:val="none" w:sz="0" w:space="0" w:color="auto"/>
                        <w:left w:val="none" w:sz="0" w:space="0" w:color="auto"/>
                        <w:bottom w:val="none" w:sz="0" w:space="0" w:color="auto"/>
                        <w:right w:val="none" w:sz="0" w:space="0" w:color="auto"/>
                      </w:divBdr>
                    </w:div>
                  </w:divsChild>
                </w:div>
                <w:div w:id="1463231952">
                  <w:marLeft w:val="0"/>
                  <w:marRight w:val="0"/>
                  <w:marTop w:val="0"/>
                  <w:marBottom w:val="0"/>
                  <w:divBdr>
                    <w:top w:val="none" w:sz="0" w:space="0" w:color="auto"/>
                    <w:left w:val="none" w:sz="0" w:space="0" w:color="auto"/>
                    <w:bottom w:val="none" w:sz="0" w:space="0" w:color="auto"/>
                    <w:right w:val="none" w:sz="0" w:space="0" w:color="auto"/>
                  </w:divBdr>
                  <w:divsChild>
                    <w:div w:id="710302995">
                      <w:marLeft w:val="0"/>
                      <w:marRight w:val="0"/>
                      <w:marTop w:val="0"/>
                      <w:marBottom w:val="0"/>
                      <w:divBdr>
                        <w:top w:val="none" w:sz="0" w:space="0" w:color="auto"/>
                        <w:left w:val="none" w:sz="0" w:space="0" w:color="auto"/>
                        <w:bottom w:val="none" w:sz="0" w:space="0" w:color="auto"/>
                        <w:right w:val="none" w:sz="0" w:space="0" w:color="auto"/>
                      </w:divBdr>
                    </w:div>
                  </w:divsChild>
                </w:div>
                <w:div w:id="1470976580">
                  <w:marLeft w:val="0"/>
                  <w:marRight w:val="0"/>
                  <w:marTop w:val="0"/>
                  <w:marBottom w:val="0"/>
                  <w:divBdr>
                    <w:top w:val="none" w:sz="0" w:space="0" w:color="auto"/>
                    <w:left w:val="none" w:sz="0" w:space="0" w:color="auto"/>
                    <w:bottom w:val="none" w:sz="0" w:space="0" w:color="auto"/>
                    <w:right w:val="none" w:sz="0" w:space="0" w:color="auto"/>
                  </w:divBdr>
                  <w:divsChild>
                    <w:div w:id="800726297">
                      <w:marLeft w:val="0"/>
                      <w:marRight w:val="0"/>
                      <w:marTop w:val="0"/>
                      <w:marBottom w:val="0"/>
                      <w:divBdr>
                        <w:top w:val="none" w:sz="0" w:space="0" w:color="auto"/>
                        <w:left w:val="none" w:sz="0" w:space="0" w:color="auto"/>
                        <w:bottom w:val="none" w:sz="0" w:space="0" w:color="auto"/>
                        <w:right w:val="none" w:sz="0" w:space="0" w:color="auto"/>
                      </w:divBdr>
                    </w:div>
                  </w:divsChild>
                </w:div>
                <w:div w:id="1481844786">
                  <w:marLeft w:val="0"/>
                  <w:marRight w:val="0"/>
                  <w:marTop w:val="0"/>
                  <w:marBottom w:val="0"/>
                  <w:divBdr>
                    <w:top w:val="none" w:sz="0" w:space="0" w:color="auto"/>
                    <w:left w:val="none" w:sz="0" w:space="0" w:color="auto"/>
                    <w:bottom w:val="none" w:sz="0" w:space="0" w:color="auto"/>
                    <w:right w:val="none" w:sz="0" w:space="0" w:color="auto"/>
                  </w:divBdr>
                  <w:divsChild>
                    <w:div w:id="557979482">
                      <w:marLeft w:val="0"/>
                      <w:marRight w:val="0"/>
                      <w:marTop w:val="0"/>
                      <w:marBottom w:val="0"/>
                      <w:divBdr>
                        <w:top w:val="none" w:sz="0" w:space="0" w:color="auto"/>
                        <w:left w:val="none" w:sz="0" w:space="0" w:color="auto"/>
                        <w:bottom w:val="none" w:sz="0" w:space="0" w:color="auto"/>
                        <w:right w:val="none" w:sz="0" w:space="0" w:color="auto"/>
                      </w:divBdr>
                    </w:div>
                  </w:divsChild>
                </w:div>
                <w:div w:id="1491674507">
                  <w:marLeft w:val="0"/>
                  <w:marRight w:val="0"/>
                  <w:marTop w:val="0"/>
                  <w:marBottom w:val="0"/>
                  <w:divBdr>
                    <w:top w:val="none" w:sz="0" w:space="0" w:color="auto"/>
                    <w:left w:val="none" w:sz="0" w:space="0" w:color="auto"/>
                    <w:bottom w:val="none" w:sz="0" w:space="0" w:color="auto"/>
                    <w:right w:val="none" w:sz="0" w:space="0" w:color="auto"/>
                  </w:divBdr>
                  <w:divsChild>
                    <w:div w:id="1893231342">
                      <w:marLeft w:val="0"/>
                      <w:marRight w:val="0"/>
                      <w:marTop w:val="0"/>
                      <w:marBottom w:val="0"/>
                      <w:divBdr>
                        <w:top w:val="none" w:sz="0" w:space="0" w:color="auto"/>
                        <w:left w:val="none" w:sz="0" w:space="0" w:color="auto"/>
                        <w:bottom w:val="none" w:sz="0" w:space="0" w:color="auto"/>
                        <w:right w:val="none" w:sz="0" w:space="0" w:color="auto"/>
                      </w:divBdr>
                    </w:div>
                  </w:divsChild>
                </w:div>
                <w:div w:id="1498302976">
                  <w:marLeft w:val="0"/>
                  <w:marRight w:val="0"/>
                  <w:marTop w:val="0"/>
                  <w:marBottom w:val="0"/>
                  <w:divBdr>
                    <w:top w:val="none" w:sz="0" w:space="0" w:color="auto"/>
                    <w:left w:val="none" w:sz="0" w:space="0" w:color="auto"/>
                    <w:bottom w:val="none" w:sz="0" w:space="0" w:color="auto"/>
                    <w:right w:val="none" w:sz="0" w:space="0" w:color="auto"/>
                  </w:divBdr>
                  <w:divsChild>
                    <w:div w:id="768934931">
                      <w:marLeft w:val="0"/>
                      <w:marRight w:val="0"/>
                      <w:marTop w:val="0"/>
                      <w:marBottom w:val="0"/>
                      <w:divBdr>
                        <w:top w:val="none" w:sz="0" w:space="0" w:color="auto"/>
                        <w:left w:val="none" w:sz="0" w:space="0" w:color="auto"/>
                        <w:bottom w:val="none" w:sz="0" w:space="0" w:color="auto"/>
                        <w:right w:val="none" w:sz="0" w:space="0" w:color="auto"/>
                      </w:divBdr>
                    </w:div>
                  </w:divsChild>
                </w:div>
                <w:div w:id="1509061621">
                  <w:marLeft w:val="0"/>
                  <w:marRight w:val="0"/>
                  <w:marTop w:val="0"/>
                  <w:marBottom w:val="0"/>
                  <w:divBdr>
                    <w:top w:val="none" w:sz="0" w:space="0" w:color="auto"/>
                    <w:left w:val="none" w:sz="0" w:space="0" w:color="auto"/>
                    <w:bottom w:val="none" w:sz="0" w:space="0" w:color="auto"/>
                    <w:right w:val="none" w:sz="0" w:space="0" w:color="auto"/>
                  </w:divBdr>
                  <w:divsChild>
                    <w:div w:id="253590008">
                      <w:marLeft w:val="0"/>
                      <w:marRight w:val="0"/>
                      <w:marTop w:val="0"/>
                      <w:marBottom w:val="0"/>
                      <w:divBdr>
                        <w:top w:val="none" w:sz="0" w:space="0" w:color="auto"/>
                        <w:left w:val="none" w:sz="0" w:space="0" w:color="auto"/>
                        <w:bottom w:val="none" w:sz="0" w:space="0" w:color="auto"/>
                        <w:right w:val="none" w:sz="0" w:space="0" w:color="auto"/>
                      </w:divBdr>
                    </w:div>
                  </w:divsChild>
                </w:div>
                <w:div w:id="1510634173">
                  <w:marLeft w:val="0"/>
                  <w:marRight w:val="0"/>
                  <w:marTop w:val="0"/>
                  <w:marBottom w:val="0"/>
                  <w:divBdr>
                    <w:top w:val="none" w:sz="0" w:space="0" w:color="auto"/>
                    <w:left w:val="none" w:sz="0" w:space="0" w:color="auto"/>
                    <w:bottom w:val="none" w:sz="0" w:space="0" w:color="auto"/>
                    <w:right w:val="none" w:sz="0" w:space="0" w:color="auto"/>
                  </w:divBdr>
                  <w:divsChild>
                    <w:div w:id="1930189205">
                      <w:marLeft w:val="0"/>
                      <w:marRight w:val="0"/>
                      <w:marTop w:val="0"/>
                      <w:marBottom w:val="0"/>
                      <w:divBdr>
                        <w:top w:val="none" w:sz="0" w:space="0" w:color="auto"/>
                        <w:left w:val="none" w:sz="0" w:space="0" w:color="auto"/>
                        <w:bottom w:val="none" w:sz="0" w:space="0" w:color="auto"/>
                        <w:right w:val="none" w:sz="0" w:space="0" w:color="auto"/>
                      </w:divBdr>
                    </w:div>
                  </w:divsChild>
                </w:div>
                <w:div w:id="1517114336">
                  <w:marLeft w:val="0"/>
                  <w:marRight w:val="0"/>
                  <w:marTop w:val="0"/>
                  <w:marBottom w:val="0"/>
                  <w:divBdr>
                    <w:top w:val="none" w:sz="0" w:space="0" w:color="auto"/>
                    <w:left w:val="none" w:sz="0" w:space="0" w:color="auto"/>
                    <w:bottom w:val="none" w:sz="0" w:space="0" w:color="auto"/>
                    <w:right w:val="none" w:sz="0" w:space="0" w:color="auto"/>
                  </w:divBdr>
                  <w:divsChild>
                    <w:div w:id="1550652817">
                      <w:marLeft w:val="0"/>
                      <w:marRight w:val="0"/>
                      <w:marTop w:val="0"/>
                      <w:marBottom w:val="0"/>
                      <w:divBdr>
                        <w:top w:val="none" w:sz="0" w:space="0" w:color="auto"/>
                        <w:left w:val="none" w:sz="0" w:space="0" w:color="auto"/>
                        <w:bottom w:val="none" w:sz="0" w:space="0" w:color="auto"/>
                        <w:right w:val="none" w:sz="0" w:space="0" w:color="auto"/>
                      </w:divBdr>
                    </w:div>
                  </w:divsChild>
                </w:div>
                <w:div w:id="1531986808">
                  <w:marLeft w:val="0"/>
                  <w:marRight w:val="0"/>
                  <w:marTop w:val="0"/>
                  <w:marBottom w:val="0"/>
                  <w:divBdr>
                    <w:top w:val="none" w:sz="0" w:space="0" w:color="auto"/>
                    <w:left w:val="none" w:sz="0" w:space="0" w:color="auto"/>
                    <w:bottom w:val="none" w:sz="0" w:space="0" w:color="auto"/>
                    <w:right w:val="none" w:sz="0" w:space="0" w:color="auto"/>
                  </w:divBdr>
                  <w:divsChild>
                    <w:div w:id="981733793">
                      <w:marLeft w:val="0"/>
                      <w:marRight w:val="0"/>
                      <w:marTop w:val="0"/>
                      <w:marBottom w:val="0"/>
                      <w:divBdr>
                        <w:top w:val="none" w:sz="0" w:space="0" w:color="auto"/>
                        <w:left w:val="none" w:sz="0" w:space="0" w:color="auto"/>
                        <w:bottom w:val="none" w:sz="0" w:space="0" w:color="auto"/>
                        <w:right w:val="none" w:sz="0" w:space="0" w:color="auto"/>
                      </w:divBdr>
                    </w:div>
                  </w:divsChild>
                </w:div>
                <w:div w:id="1534148625">
                  <w:marLeft w:val="0"/>
                  <w:marRight w:val="0"/>
                  <w:marTop w:val="0"/>
                  <w:marBottom w:val="0"/>
                  <w:divBdr>
                    <w:top w:val="none" w:sz="0" w:space="0" w:color="auto"/>
                    <w:left w:val="none" w:sz="0" w:space="0" w:color="auto"/>
                    <w:bottom w:val="none" w:sz="0" w:space="0" w:color="auto"/>
                    <w:right w:val="none" w:sz="0" w:space="0" w:color="auto"/>
                  </w:divBdr>
                  <w:divsChild>
                    <w:div w:id="415976532">
                      <w:marLeft w:val="0"/>
                      <w:marRight w:val="0"/>
                      <w:marTop w:val="0"/>
                      <w:marBottom w:val="0"/>
                      <w:divBdr>
                        <w:top w:val="none" w:sz="0" w:space="0" w:color="auto"/>
                        <w:left w:val="none" w:sz="0" w:space="0" w:color="auto"/>
                        <w:bottom w:val="none" w:sz="0" w:space="0" w:color="auto"/>
                        <w:right w:val="none" w:sz="0" w:space="0" w:color="auto"/>
                      </w:divBdr>
                    </w:div>
                  </w:divsChild>
                </w:div>
                <w:div w:id="1539659287">
                  <w:marLeft w:val="0"/>
                  <w:marRight w:val="0"/>
                  <w:marTop w:val="0"/>
                  <w:marBottom w:val="0"/>
                  <w:divBdr>
                    <w:top w:val="none" w:sz="0" w:space="0" w:color="auto"/>
                    <w:left w:val="none" w:sz="0" w:space="0" w:color="auto"/>
                    <w:bottom w:val="none" w:sz="0" w:space="0" w:color="auto"/>
                    <w:right w:val="none" w:sz="0" w:space="0" w:color="auto"/>
                  </w:divBdr>
                  <w:divsChild>
                    <w:div w:id="870647217">
                      <w:marLeft w:val="0"/>
                      <w:marRight w:val="0"/>
                      <w:marTop w:val="0"/>
                      <w:marBottom w:val="0"/>
                      <w:divBdr>
                        <w:top w:val="none" w:sz="0" w:space="0" w:color="auto"/>
                        <w:left w:val="none" w:sz="0" w:space="0" w:color="auto"/>
                        <w:bottom w:val="none" w:sz="0" w:space="0" w:color="auto"/>
                        <w:right w:val="none" w:sz="0" w:space="0" w:color="auto"/>
                      </w:divBdr>
                    </w:div>
                  </w:divsChild>
                </w:div>
                <w:div w:id="1545674412">
                  <w:marLeft w:val="0"/>
                  <w:marRight w:val="0"/>
                  <w:marTop w:val="0"/>
                  <w:marBottom w:val="0"/>
                  <w:divBdr>
                    <w:top w:val="none" w:sz="0" w:space="0" w:color="auto"/>
                    <w:left w:val="none" w:sz="0" w:space="0" w:color="auto"/>
                    <w:bottom w:val="none" w:sz="0" w:space="0" w:color="auto"/>
                    <w:right w:val="none" w:sz="0" w:space="0" w:color="auto"/>
                  </w:divBdr>
                  <w:divsChild>
                    <w:div w:id="1698238868">
                      <w:marLeft w:val="0"/>
                      <w:marRight w:val="0"/>
                      <w:marTop w:val="0"/>
                      <w:marBottom w:val="0"/>
                      <w:divBdr>
                        <w:top w:val="none" w:sz="0" w:space="0" w:color="auto"/>
                        <w:left w:val="none" w:sz="0" w:space="0" w:color="auto"/>
                        <w:bottom w:val="none" w:sz="0" w:space="0" w:color="auto"/>
                        <w:right w:val="none" w:sz="0" w:space="0" w:color="auto"/>
                      </w:divBdr>
                    </w:div>
                  </w:divsChild>
                </w:div>
                <w:div w:id="1548568504">
                  <w:marLeft w:val="0"/>
                  <w:marRight w:val="0"/>
                  <w:marTop w:val="0"/>
                  <w:marBottom w:val="0"/>
                  <w:divBdr>
                    <w:top w:val="none" w:sz="0" w:space="0" w:color="auto"/>
                    <w:left w:val="none" w:sz="0" w:space="0" w:color="auto"/>
                    <w:bottom w:val="none" w:sz="0" w:space="0" w:color="auto"/>
                    <w:right w:val="none" w:sz="0" w:space="0" w:color="auto"/>
                  </w:divBdr>
                  <w:divsChild>
                    <w:div w:id="890699878">
                      <w:marLeft w:val="0"/>
                      <w:marRight w:val="0"/>
                      <w:marTop w:val="0"/>
                      <w:marBottom w:val="0"/>
                      <w:divBdr>
                        <w:top w:val="none" w:sz="0" w:space="0" w:color="auto"/>
                        <w:left w:val="none" w:sz="0" w:space="0" w:color="auto"/>
                        <w:bottom w:val="none" w:sz="0" w:space="0" w:color="auto"/>
                        <w:right w:val="none" w:sz="0" w:space="0" w:color="auto"/>
                      </w:divBdr>
                    </w:div>
                  </w:divsChild>
                </w:div>
                <w:div w:id="1567764915">
                  <w:marLeft w:val="0"/>
                  <w:marRight w:val="0"/>
                  <w:marTop w:val="0"/>
                  <w:marBottom w:val="0"/>
                  <w:divBdr>
                    <w:top w:val="none" w:sz="0" w:space="0" w:color="auto"/>
                    <w:left w:val="none" w:sz="0" w:space="0" w:color="auto"/>
                    <w:bottom w:val="none" w:sz="0" w:space="0" w:color="auto"/>
                    <w:right w:val="none" w:sz="0" w:space="0" w:color="auto"/>
                  </w:divBdr>
                  <w:divsChild>
                    <w:div w:id="796679327">
                      <w:marLeft w:val="0"/>
                      <w:marRight w:val="0"/>
                      <w:marTop w:val="0"/>
                      <w:marBottom w:val="0"/>
                      <w:divBdr>
                        <w:top w:val="none" w:sz="0" w:space="0" w:color="auto"/>
                        <w:left w:val="none" w:sz="0" w:space="0" w:color="auto"/>
                        <w:bottom w:val="none" w:sz="0" w:space="0" w:color="auto"/>
                        <w:right w:val="none" w:sz="0" w:space="0" w:color="auto"/>
                      </w:divBdr>
                    </w:div>
                  </w:divsChild>
                </w:div>
                <w:div w:id="1570574924">
                  <w:marLeft w:val="0"/>
                  <w:marRight w:val="0"/>
                  <w:marTop w:val="0"/>
                  <w:marBottom w:val="0"/>
                  <w:divBdr>
                    <w:top w:val="none" w:sz="0" w:space="0" w:color="auto"/>
                    <w:left w:val="none" w:sz="0" w:space="0" w:color="auto"/>
                    <w:bottom w:val="none" w:sz="0" w:space="0" w:color="auto"/>
                    <w:right w:val="none" w:sz="0" w:space="0" w:color="auto"/>
                  </w:divBdr>
                  <w:divsChild>
                    <w:div w:id="342367146">
                      <w:marLeft w:val="0"/>
                      <w:marRight w:val="0"/>
                      <w:marTop w:val="0"/>
                      <w:marBottom w:val="0"/>
                      <w:divBdr>
                        <w:top w:val="none" w:sz="0" w:space="0" w:color="auto"/>
                        <w:left w:val="none" w:sz="0" w:space="0" w:color="auto"/>
                        <w:bottom w:val="none" w:sz="0" w:space="0" w:color="auto"/>
                        <w:right w:val="none" w:sz="0" w:space="0" w:color="auto"/>
                      </w:divBdr>
                    </w:div>
                  </w:divsChild>
                </w:div>
                <w:div w:id="1576009755">
                  <w:marLeft w:val="0"/>
                  <w:marRight w:val="0"/>
                  <w:marTop w:val="0"/>
                  <w:marBottom w:val="0"/>
                  <w:divBdr>
                    <w:top w:val="none" w:sz="0" w:space="0" w:color="auto"/>
                    <w:left w:val="none" w:sz="0" w:space="0" w:color="auto"/>
                    <w:bottom w:val="none" w:sz="0" w:space="0" w:color="auto"/>
                    <w:right w:val="none" w:sz="0" w:space="0" w:color="auto"/>
                  </w:divBdr>
                  <w:divsChild>
                    <w:div w:id="1828128938">
                      <w:marLeft w:val="0"/>
                      <w:marRight w:val="0"/>
                      <w:marTop w:val="0"/>
                      <w:marBottom w:val="0"/>
                      <w:divBdr>
                        <w:top w:val="none" w:sz="0" w:space="0" w:color="auto"/>
                        <w:left w:val="none" w:sz="0" w:space="0" w:color="auto"/>
                        <w:bottom w:val="none" w:sz="0" w:space="0" w:color="auto"/>
                        <w:right w:val="none" w:sz="0" w:space="0" w:color="auto"/>
                      </w:divBdr>
                    </w:div>
                  </w:divsChild>
                </w:div>
                <w:div w:id="1582911610">
                  <w:marLeft w:val="0"/>
                  <w:marRight w:val="0"/>
                  <w:marTop w:val="0"/>
                  <w:marBottom w:val="0"/>
                  <w:divBdr>
                    <w:top w:val="none" w:sz="0" w:space="0" w:color="auto"/>
                    <w:left w:val="none" w:sz="0" w:space="0" w:color="auto"/>
                    <w:bottom w:val="none" w:sz="0" w:space="0" w:color="auto"/>
                    <w:right w:val="none" w:sz="0" w:space="0" w:color="auto"/>
                  </w:divBdr>
                  <w:divsChild>
                    <w:div w:id="81143387">
                      <w:marLeft w:val="0"/>
                      <w:marRight w:val="0"/>
                      <w:marTop w:val="0"/>
                      <w:marBottom w:val="0"/>
                      <w:divBdr>
                        <w:top w:val="none" w:sz="0" w:space="0" w:color="auto"/>
                        <w:left w:val="none" w:sz="0" w:space="0" w:color="auto"/>
                        <w:bottom w:val="none" w:sz="0" w:space="0" w:color="auto"/>
                        <w:right w:val="none" w:sz="0" w:space="0" w:color="auto"/>
                      </w:divBdr>
                    </w:div>
                    <w:div w:id="223417321">
                      <w:marLeft w:val="0"/>
                      <w:marRight w:val="0"/>
                      <w:marTop w:val="0"/>
                      <w:marBottom w:val="0"/>
                      <w:divBdr>
                        <w:top w:val="none" w:sz="0" w:space="0" w:color="auto"/>
                        <w:left w:val="none" w:sz="0" w:space="0" w:color="auto"/>
                        <w:bottom w:val="none" w:sz="0" w:space="0" w:color="auto"/>
                        <w:right w:val="none" w:sz="0" w:space="0" w:color="auto"/>
                      </w:divBdr>
                    </w:div>
                  </w:divsChild>
                </w:div>
                <w:div w:id="1583830519">
                  <w:marLeft w:val="0"/>
                  <w:marRight w:val="0"/>
                  <w:marTop w:val="0"/>
                  <w:marBottom w:val="0"/>
                  <w:divBdr>
                    <w:top w:val="none" w:sz="0" w:space="0" w:color="auto"/>
                    <w:left w:val="none" w:sz="0" w:space="0" w:color="auto"/>
                    <w:bottom w:val="none" w:sz="0" w:space="0" w:color="auto"/>
                    <w:right w:val="none" w:sz="0" w:space="0" w:color="auto"/>
                  </w:divBdr>
                  <w:divsChild>
                    <w:div w:id="1929194341">
                      <w:marLeft w:val="0"/>
                      <w:marRight w:val="0"/>
                      <w:marTop w:val="0"/>
                      <w:marBottom w:val="0"/>
                      <w:divBdr>
                        <w:top w:val="none" w:sz="0" w:space="0" w:color="auto"/>
                        <w:left w:val="none" w:sz="0" w:space="0" w:color="auto"/>
                        <w:bottom w:val="none" w:sz="0" w:space="0" w:color="auto"/>
                        <w:right w:val="none" w:sz="0" w:space="0" w:color="auto"/>
                      </w:divBdr>
                    </w:div>
                  </w:divsChild>
                </w:div>
                <w:div w:id="1585842787">
                  <w:marLeft w:val="0"/>
                  <w:marRight w:val="0"/>
                  <w:marTop w:val="0"/>
                  <w:marBottom w:val="0"/>
                  <w:divBdr>
                    <w:top w:val="none" w:sz="0" w:space="0" w:color="auto"/>
                    <w:left w:val="none" w:sz="0" w:space="0" w:color="auto"/>
                    <w:bottom w:val="none" w:sz="0" w:space="0" w:color="auto"/>
                    <w:right w:val="none" w:sz="0" w:space="0" w:color="auto"/>
                  </w:divBdr>
                  <w:divsChild>
                    <w:div w:id="853424294">
                      <w:marLeft w:val="0"/>
                      <w:marRight w:val="0"/>
                      <w:marTop w:val="0"/>
                      <w:marBottom w:val="0"/>
                      <w:divBdr>
                        <w:top w:val="none" w:sz="0" w:space="0" w:color="auto"/>
                        <w:left w:val="none" w:sz="0" w:space="0" w:color="auto"/>
                        <w:bottom w:val="none" w:sz="0" w:space="0" w:color="auto"/>
                        <w:right w:val="none" w:sz="0" w:space="0" w:color="auto"/>
                      </w:divBdr>
                    </w:div>
                  </w:divsChild>
                </w:div>
                <w:div w:id="1586109004">
                  <w:marLeft w:val="0"/>
                  <w:marRight w:val="0"/>
                  <w:marTop w:val="0"/>
                  <w:marBottom w:val="0"/>
                  <w:divBdr>
                    <w:top w:val="none" w:sz="0" w:space="0" w:color="auto"/>
                    <w:left w:val="none" w:sz="0" w:space="0" w:color="auto"/>
                    <w:bottom w:val="none" w:sz="0" w:space="0" w:color="auto"/>
                    <w:right w:val="none" w:sz="0" w:space="0" w:color="auto"/>
                  </w:divBdr>
                  <w:divsChild>
                    <w:div w:id="2037194129">
                      <w:marLeft w:val="0"/>
                      <w:marRight w:val="0"/>
                      <w:marTop w:val="0"/>
                      <w:marBottom w:val="0"/>
                      <w:divBdr>
                        <w:top w:val="none" w:sz="0" w:space="0" w:color="auto"/>
                        <w:left w:val="none" w:sz="0" w:space="0" w:color="auto"/>
                        <w:bottom w:val="none" w:sz="0" w:space="0" w:color="auto"/>
                        <w:right w:val="none" w:sz="0" w:space="0" w:color="auto"/>
                      </w:divBdr>
                    </w:div>
                  </w:divsChild>
                </w:div>
                <w:div w:id="1586645760">
                  <w:marLeft w:val="0"/>
                  <w:marRight w:val="0"/>
                  <w:marTop w:val="0"/>
                  <w:marBottom w:val="0"/>
                  <w:divBdr>
                    <w:top w:val="none" w:sz="0" w:space="0" w:color="auto"/>
                    <w:left w:val="none" w:sz="0" w:space="0" w:color="auto"/>
                    <w:bottom w:val="none" w:sz="0" w:space="0" w:color="auto"/>
                    <w:right w:val="none" w:sz="0" w:space="0" w:color="auto"/>
                  </w:divBdr>
                  <w:divsChild>
                    <w:div w:id="1849906107">
                      <w:marLeft w:val="0"/>
                      <w:marRight w:val="0"/>
                      <w:marTop w:val="0"/>
                      <w:marBottom w:val="0"/>
                      <w:divBdr>
                        <w:top w:val="none" w:sz="0" w:space="0" w:color="auto"/>
                        <w:left w:val="none" w:sz="0" w:space="0" w:color="auto"/>
                        <w:bottom w:val="none" w:sz="0" w:space="0" w:color="auto"/>
                        <w:right w:val="none" w:sz="0" w:space="0" w:color="auto"/>
                      </w:divBdr>
                    </w:div>
                  </w:divsChild>
                </w:div>
                <w:div w:id="1587571487">
                  <w:marLeft w:val="0"/>
                  <w:marRight w:val="0"/>
                  <w:marTop w:val="0"/>
                  <w:marBottom w:val="0"/>
                  <w:divBdr>
                    <w:top w:val="none" w:sz="0" w:space="0" w:color="auto"/>
                    <w:left w:val="none" w:sz="0" w:space="0" w:color="auto"/>
                    <w:bottom w:val="none" w:sz="0" w:space="0" w:color="auto"/>
                    <w:right w:val="none" w:sz="0" w:space="0" w:color="auto"/>
                  </w:divBdr>
                  <w:divsChild>
                    <w:div w:id="958758316">
                      <w:marLeft w:val="0"/>
                      <w:marRight w:val="0"/>
                      <w:marTop w:val="0"/>
                      <w:marBottom w:val="0"/>
                      <w:divBdr>
                        <w:top w:val="none" w:sz="0" w:space="0" w:color="auto"/>
                        <w:left w:val="none" w:sz="0" w:space="0" w:color="auto"/>
                        <w:bottom w:val="none" w:sz="0" w:space="0" w:color="auto"/>
                        <w:right w:val="none" w:sz="0" w:space="0" w:color="auto"/>
                      </w:divBdr>
                    </w:div>
                  </w:divsChild>
                </w:div>
                <w:div w:id="1588153573">
                  <w:marLeft w:val="0"/>
                  <w:marRight w:val="0"/>
                  <w:marTop w:val="0"/>
                  <w:marBottom w:val="0"/>
                  <w:divBdr>
                    <w:top w:val="none" w:sz="0" w:space="0" w:color="auto"/>
                    <w:left w:val="none" w:sz="0" w:space="0" w:color="auto"/>
                    <w:bottom w:val="none" w:sz="0" w:space="0" w:color="auto"/>
                    <w:right w:val="none" w:sz="0" w:space="0" w:color="auto"/>
                  </w:divBdr>
                  <w:divsChild>
                    <w:div w:id="1812091288">
                      <w:marLeft w:val="0"/>
                      <w:marRight w:val="0"/>
                      <w:marTop w:val="0"/>
                      <w:marBottom w:val="0"/>
                      <w:divBdr>
                        <w:top w:val="none" w:sz="0" w:space="0" w:color="auto"/>
                        <w:left w:val="none" w:sz="0" w:space="0" w:color="auto"/>
                        <w:bottom w:val="none" w:sz="0" w:space="0" w:color="auto"/>
                        <w:right w:val="none" w:sz="0" w:space="0" w:color="auto"/>
                      </w:divBdr>
                    </w:div>
                  </w:divsChild>
                </w:div>
                <w:div w:id="1594168803">
                  <w:marLeft w:val="0"/>
                  <w:marRight w:val="0"/>
                  <w:marTop w:val="0"/>
                  <w:marBottom w:val="0"/>
                  <w:divBdr>
                    <w:top w:val="none" w:sz="0" w:space="0" w:color="auto"/>
                    <w:left w:val="none" w:sz="0" w:space="0" w:color="auto"/>
                    <w:bottom w:val="none" w:sz="0" w:space="0" w:color="auto"/>
                    <w:right w:val="none" w:sz="0" w:space="0" w:color="auto"/>
                  </w:divBdr>
                  <w:divsChild>
                    <w:div w:id="1459225753">
                      <w:marLeft w:val="0"/>
                      <w:marRight w:val="0"/>
                      <w:marTop w:val="0"/>
                      <w:marBottom w:val="0"/>
                      <w:divBdr>
                        <w:top w:val="none" w:sz="0" w:space="0" w:color="auto"/>
                        <w:left w:val="none" w:sz="0" w:space="0" w:color="auto"/>
                        <w:bottom w:val="none" w:sz="0" w:space="0" w:color="auto"/>
                        <w:right w:val="none" w:sz="0" w:space="0" w:color="auto"/>
                      </w:divBdr>
                    </w:div>
                  </w:divsChild>
                </w:div>
                <w:div w:id="1598059861">
                  <w:marLeft w:val="0"/>
                  <w:marRight w:val="0"/>
                  <w:marTop w:val="0"/>
                  <w:marBottom w:val="0"/>
                  <w:divBdr>
                    <w:top w:val="none" w:sz="0" w:space="0" w:color="auto"/>
                    <w:left w:val="none" w:sz="0" w:space="0" w:color="auto"/>
                    <w:bottom w:val="none" w:sz="0" w:space="0" w:color="auto"/>
                    <w:right w:val="none" w:sz="0" w:space="0" w:color="auto"/>
                  </w:divBdr>
                  <w:divsChild>
                    <w:div w:id="2088383010">
                      <w:marLeft w:val="0"/>
                      <w:marRight w:val="0"/>
                      <w:marTop w:val="0"/>
                      <w:marBottom w:val="0"/>
                      <w:divBdr>
                        <w:top w:val="none" w:sz="0" w:space="0" w:color="auto"/>
                        <w:left w:val="none" w:sz="0" w:space="0" w:color="auto"/>
                        <w:bottom w:val="none" w:sz="0" w:space="0" w:color="auto"/>
                        <w:right w:val="none" w:sz="0" w:space="0" w:color="auto"/>
                      </w:divBdr>
                    </w:div>
                  </w:divsChild>
                </w:div>
                <w:div w:id="1599558379">
                  <w:marLeft w:val="0"/>
                  <w:marRight w:val="0"/>
                  <w:marTop w:val="0"/>
                  <w:marBottom w:val="0"/>
                  <w:divBdr>
                    <w:top w:val="none" w:sz="0" w:space="0" w:color="auto"/>
                    <w:left w:val="none" w:sz="0" w:space="0" w:color="auto"/>
                    <w:bottom w:val="none" w:sz="0" w:space="0" w:color="auto"/>
                    <w:right w:val="none" w:sz="0" w:space="0" w:color="auto"/>
                  </w:divBdr>
                  <w:divsChild>
                    <w:div w:id="1940719849">
                      <w:marLeft w:val="0"/>
                      <w:marRight w:val="0"/>
                      <w:marTop w:val="0"/>
                      <w:marBottom w:val="0"/>
                      <w:divBdr>
                        <w:top w:val="none" w:sz="0" w:space="0" w:color="auto"/>
                        <w:left w:val="none" w:sz="0" w:space="0" w:color="auto"/>
                        <w:bottom w:val="none" w:sz="0" w:space="0" w:color="auto"/>
                        <w:right w:val="none" w:sz="0" w:space="0" w:color="auto"/>
                      </w:divBdr>
                    </w:div>
                  </w:divsChild>
                </w:div>
                <w:div w:id="1600486503">
                  <w:marLeft w:val="0"/>
                  <w:marRight w:val="0"/>
                  <w:marTop w:val="0"/>
                  <w:marBottom w:val="0"/>
                  <w:divBdr>
                    <w:top w:val="none" w:sz="0" w:space="0" w:color="auto"/>
                    <w:left w:val="none" w:sz="0" w:space="0" w:color="auto"/>
                    <w:bottom w:val="none" w:sz="0" w:space="0" w:color="auto"/>
                    <w:right w:val="none" w:sz="0" w:space="0" w:color="auto"/>
                  </w:divBdr>
                  <w:divsChild>
                    <w:div w:id="2045791440">
                      <w:marLeft w:val="0"/>
                      <w:marRight w:val="0"/>
                      <w:marTop w:val="0"/>
                      <w:marBottom w:val="0"/>
                      <w:divBdr>
                        <w:top w:val="none" w:sz="0" w:space="0" w:color="auto"/>
                        <w:left w:val="none" w:sz="0" w:space="0" w:color="auto"/>
                        <w:bottom w:val="none" w:sz="0" w:space="0" w:color="auto"/>
                        <w:right w:val="none" w:sz="0" w:space="0" w:color="auto"/>
                      </w:divBdr>
                    </w:div>
                  </w:divsChild>
                </w:div>
                <w:div w:id="1603564987">
                  <w:marLeft w:val="0"/>
                  <w:marRight w:val="0"/>
                  <w:marTop w:val="0"/>
                  <w:marBottom w:val="0"/>
                  <w:divBdr>
                    <w:top w:val="none" w:sz="0" w:space="0" w:color="auto"/>
                    <w:left w:val="none" w:sz="0" w:space="0" w:color="auto"/>
                    <w:bottom w:val="none" w:sz="0" w:space="0" w:color="auto"/>
                    <w:right w:val="none" w:sz="0" w:space="0" w:color="auto"/>
                  </w:divBdr>
                  <w:divsChild>
                    <w:div w:id="136073674">
                      <w:marLeft w:val="0"/>
                      <w:marRight w:val="0"/>
                      <w:marTop w:val="0"/>
                      <w:marBottom w:val="0"/>
                      <w:divBdr>
                        <w:top w:val="none" w:sz="0" w:space="0" w:color="auto"/>
                        <w:left w:val="none" w:sz="0" w:space="0" w:color="auto"/>
                        <w:bottom w:val="none" w:sz="0" w:space="0" w:color="auto"/>
                        <w:right w:val="none" w:sz="0" w:space="0" w:color="auto"/>
                      </w:divBdr>
                    </w:div>
                  </w:divsChild>
                </w:div>
                <w:div w:id="1604918591">
                  <w:marLeft w:val="0"/>
                  <w:marRight w:val="0"/>
                  <w:marTop w:val="0"/>
                  <w:marBottom w:val="0"/>
                  <w:divBdr>
                    <w:top w:val="none" w:sz="0" w:space="0" w:color="auto"/>
                    <w:left w:val="none" w:sz="0" w:space="0" w:color="auto"/>
                    <w:bottom w:val="none" w:sz="0" w:space="0" w:color="auto"/>
                    <w:right w:val="none" w:sz="0" w:space="0" w:color="auto"/>
                  </w:divBdr>
                  <w:divsChild>
                    <w:div w:id="1714650707">
                      <w:marLeft w:val="0"/>
                      <w:marRight w:val="0"/>
                      <w:marTop w:val="0"/>
                      <w:marBottom w:val="0"/>
                      <w:divBdr>
                        <w:top w:val="none" w:sz="0" w:space="0" w:color="auto"/>
                        <w:left w:val="none" w:sz="0" w:space="0" w:color="auto"/>
                        <w:bottom w:val="none" w:sz="0" w:space="0" w:color="auto"/>
                        <w:right w:val="none" w:sz="0" w:space="0" w:color="auto"/>
                      </w:divBdr>
                    </w:div>
                  </w:divsChild>
                </w:div>
                <w:div w:id="1612935896">
                  <w:marLeft w:val="0"/>
                  <w:marRight w:val="0"/>
                  <w:marTop w:val="0"/>
                  <w:marBottom w:val="0"/>
                  <w:divBdr>
                    <w:top w:val="none" w:sz="0" w:space="0" w:color="auto"/>
                    <w:left w:val="none" w:sz="0" w:space="0" w:color="auto"/>
                    <w:bottom w:val="none" w:sz="0" w:space="0" w:color="auto"/>
                    <w:right w:val="none" w:sz="0" w:space="0" w:color="auto"/>
                  </w:divBdr>
                  <w:divsChild>
                    <w:div w:id="1608924066">
                      <w:marLeft w:val="0"/>
                      <w:marRight w:val="0"/>
                      <w:marTop w:val="0"/>
                      <w:marBottom w:val="0"/>
                      <w:divBdr>
                        <w:top w:val="none" w:sz="0" w:space="0" w:color="auto"/>
                        <w:left w:val="none" w:sz="0" w:space="0" w:color="auto"/>
                        <w:bottom w:val="none" w:sz="0" w:space="0" w:color="auto"/>
                        <w:right w:val="none" w:sz="0" w:space="0" w:color="auto"/>
                      </w:divBdr>
                    </w:div>
                  </w:divsChild>
                </w:div>
                <w:div w:id="1614246707">
                  <w:marLeft w:val="0"/>
                  <w:marRight w:val="0"/>
                  <w:marTop w:val="0"/>
                  <w:marBottom w:val="0"/>
                  <w:divBdr>
                    <w:top w:val="none" w:sz="0" w:space="0" w:color="auto"/>
                    <w:left w:val="none" w:sz="0" w:space="0" w:color="auto"/>
                    <w:bottom w:val="none" w:sz="0" w:space="0" w:color="auto"/>
                    <w:right w:val="none" w:sz="0" w:space="0" w:color="auto"/>
                  </w:divBdr>
                  <w:divsChild>
                    <w:div w:id="1249192795">
                      <w:marLeft w:val="0"/>
                      <w:marRight w:val="0"/>
                      <w:marTop w:val="0"/>
                      <w:marBottom w:val="0"/>
                      <w:divBdr>
                        <w:top w:val="none" w:sz="0" w:space="0" w:color="auto"/>
                        <w:left w:val="none" w:sz="0" w:space="0" w:color="auto"/>
                        <w:bottom w:val="none" w:sz="0" w:space="0" w:color="auto"/>
                        <w:right w:val="none" w:sz="0" w:space="0" w:color="auto"/>
                      </w:divBdr>
                    </w:div>
                  </w:divsChild>
                </w:div>
                <w:div w:id="1623655707">
                  <w:marLeft w:val="0"/>
                  <w:marRight w:val="0"/>
                  <w:marTop w:val="0"/>
                  <w:marBottom w:val="0"/>
                  <w:divBdr>
                    <w:top w:val="none" w:sz="0" w:space="0" w:color="auto"/>
                    <w:left w:val="none" w:sz="0" w:space="0" w:color="auto"/>
                    <w:bottom w:val="none" w:sz="0" w:space="0" w:color="auto"/>
                    <w:right w:val="none" w:sz="0" w:space="0" w:color="auto"/>
                  </w:divBdr>
                  <w:divsChild>
                    <w:div w:id="1557549624">
                      <w:marLeft w:val="0"/>
                      <w:marRight w:val="0"/>
                      <w:marTop w:val="0"/>
                      <w:marBottom w:val="0"/>
                      <w:divBdr>
                        <w:top w:val="none" w:sz="0" w:space="0" w:color="auto"/>
                        <w:left w:val="none" w:sz="0" w:space="0" w:color="auto"/>
                        <w:bottom w:val="none" w:sz="0" w:space="0" w:color="auto"/>
                        <w:right w:val="none" w:sz="0" w:space="0" w:color="auto"/>
                      </w:divBdr>
                    </w:div>
                  </w:divsChild>
                </w:div>
                <w:div w:id="1630354993">
                  <w:marLeft w:val="0"/>
                  <w:marRight w:val="0"/>
                  <w:marTop w:val="0"/>
                  <w:marBottom w:val="0"/>
                  <w:divBdr>
                    <w:top w:val="none" w:sz="0" w:space="0" w:color="auto"/>
                    <w:left w:val="none" w:sz="0" w:space="0" w:color="auto"/>
                    <w:bottom w:val="none" w:sz="0" w:space="0" w:color="auto"/>
                    <w:right w:val="none" w:sz="0" w:space="0" w:color="auto"/>
                  </w:divBdr>
                  <w:divsChild>
                    <w:div w:id="1674145195">
                      <w:marLeft w:val="0"/>
                      <w:marRight w:val="0"/>
                      <w:marTop w:val="0"/>
                      <w:marBottom w:val="0"/>
                      <w:divBdr>
                        <w:top w:val="none" w:sz="0" w:space="0" w:color="auto"/>
                        <w:left w:val="none" w:sz="0" w:space="0" w:color="auto"/>
                        <w:bottom w:val="none" w:sz="0" w:space="0" w:color="auto"/>
                        <w:right w:val="none" w:sz="0" w:space="0" w:color="auto"/>
                      </w:divBdr>
                    </w:div>
                  </w:divsChild>
                </w:div>
                <w:div w:id="1630670592">
                  <w:marLeft w:val="0"/>
                  <w:marRight w:val="0"/>
                  <w:marTop w:val="0"/>
                  <w:marBottom w:val="0"/>
                  <w:divBdr>
                    <w:top w:val="none" w:sz="0" w:space="0" w:color="auto"/>
                    <w:left w:val="none" w:sz="0" w:space="0" w:color="auto"/>
                    <w:bottom w:val="none" w:sz="0" w:space="0" w:color="auto"/>
                    <w:right w:val="none" w:sz="0" w:space="0" w:color="auto"/>
                  </w:divBdr>
                  <w:divsChild>
                    <w:div w:id="1862694579">
                      <w:marLeft w:val="0"/>
                      <w:marRight w:val="0"/>
                      <w:marTop w:val="0"/>
                      <w:marBottom w:val="0"/>
                      <w:divBdr>
                        <w:top w:val="none" w:sz="0" w:space="0" w:color="auto"/>
                        <w:left w:val="none" w:sz="0" w:space="0" w:color="auto"/>
                        <w:bottom w:val="none" w:sz="0" w:space="0" w:color="auto"/>
                        <w:right w:val="none" w:sz="0" w:space="0" w:color="auto"/>
                      </w:divBdr>
                    </w:div>
                  </w:divsChild>
                </w:div>
                <w:div w:id="1632788555">
                  <w:marLeft w:val="0"/>
                  <w:marRight w:val="0"/>
                  <w:marTop w:val="0"/>
                  <w:marBottom w:val="0"/>
                  <w:divBdr>
                    <w:top w:val="none" w:sz="0" w:space="0" w:color="auto"/>
                    <w:left w:val="none" w:sz="0" w:space="0" w:color="auto"/>
                    <w:bottom w:val="none" w:sz="0" w:space="0" w:color="auto"/>
                    <w:right w:val="none" w:sz="0" w:space="0" w:color="auto"/>
                  </w:divBdr>
                  <w:divsChild>
                    <w:div w:id="870461069">
                      <w:marLeft w:val="0"/>
                      <w:marRight w:val="0"/>
                      <w:marTop w:val="0"/>
                      <w:marBottom w:val="0"/>
                      <w:divBdr>
                        <w:top w:val="none" w:sz="0" w:space="0" w:color="auto"/>
                        <w:left w:val="none" w:sz="0" w:space="0" w:color="auto"/>
                        <w:bottom w:val="none" w:sz="0" w:space="0" w:color="auto"/>
                        <w:right w:val="none" w:sz="0" w:space="0" w:color="auto"/>
                      </w:divBdr>
                    </w:div>
                  </w:divsChild>
                </w:div>
                <w:div w:id="1648779673">
                  <w:marLeft w:val="0"/>
                  <w:marRight w:val="0"/>
                  <w:marTop w:val="0"/>
                  <w:marBottom w:val="0"/>
                  <w:divBdr>
                    <w:top w:val="none" w:sz="0" w:space="0" w:color="auto"/>
                    <w:left w:val="none" w:sz="0" w:space="0" w:color="auto"/>
                    <w:bottom w:val="none" w:sz="0" w:space="0" w:color="auto"/>
                    <w:right w:val="none" w:sz="0" w:space="0" w:color="auto"/>
                  </w:divBdr>
                  <w:divsChild>
                    <w:div w:id="202180601">
                      <w:marLeft w:val="0"/>
                      <w:marRight w:val="0"/>
                      <w:marTop w:val="0"/>
                      <w:marBottom w:val="0"/>
                      <w:divBdr>
                        <w:top w:val="none" w:sz="0" w:space="0" w:color="auto"/>
                        <w:left w:val="none" w:sz="0" w:space="0" w:color="auto"/>
                        <w:bottom w:val="none" w:sz="0" w:space="0" w:color="auto"/>
                        <w:right w:val="none" w:sz="0" w:space="0" w:color="auto"/>
                      </w:divBdr>
                    </w:div>
                  </w:divsChild>
                </w:div>
                <w:div w:id="1653097690">
                  <w:marLeft w:val="0"/>
                  <w:marRight w:val="0"/>
                  <w:marTop w:val="0"/>
                  <w:marBottom w:val="0"/>
                  <w:divBdr>
                    <w:top w:val="none" w:sz="0" w:space="0" w:color="auto"/>
                    <w:left w:val="none" w:sz="0" w:space="0" w:color="auto"/>
                    <w:bottom w:val="none" w:sz="0" w:space="0" w:color="auto"/>
                    <w:right w:val="none" w:sz="0" w:space="0" w:color="auto"/>
                  </w:divBdr>
                  <w:divsChild>
                    <w:div w:id="366413610">
                      <w:marLeft w:val="0"/>
                      <w:marRight w:val="0"/>
                      <w:marTop w:val="0"/>
                      <w:marBottom w:val="0"/>
                      <w:divBdr>
                        <w:top w:val="none" w:sz="0" w:space="0" w:color="auto"/>
                        <w:left w:val="none" w:sz="0" w:space="0" w:color="auto"/>
                        <w:bottom w:val="none" w:sz="0" w:space="0" w:color="auto"/>
                        <w:right w:val="none" w:sz="0" w:space="0" w:color="auto"/>
                      </w:divBdr>
                    </w:div>
                  </w:divsChild>
                </w:div>
                <w:div w:id="1655140447">
                  <w:marLeft w:val="0"/>
                  <w:marRight w:val="0"/>
                  <w:marTop w:val="0"/>
                  <w:marBottom w:val="0"/>
                  <w:divBdr>
                    <w:top w:val="none" w:sz="0" w:space="0" w:color="auto"/>
                    <w:left w:val="none" w:sz="0" w:space="0" w:color="auto"/>
                    <w:bottom w:val="none" w:sz="0" w:space="0" w:color="auto"/>
                    <w:right w:val="none" w:sz="0" w:space="0" w:color="auto"/>
                  </w:divBdr>
                  <w:divsChild>
                    <w:div w:id="937251144">
                      <w:marLeft w:val="0"/>
                      <w:marRight w:val="0"/>
                      <w:marTop w:val="0"/>
                      <w:marBottom w:val="0"/>
                      <w:divBdr>
                        <w:top w:val="none" w:sz="0" w:space="0" w:color="auto"/>
                        <w:left w:val="none" w:sz="0" w:space="0" w:color="auto"/>
                        <w:bottom w:val="none" w:sz="0" w:space="0" w:color="auto"/>
                        <w:right w:val="none" w:sz="0" w:space="0" w:color="auto"/>
                      </w:divBdr>
                    </w:div>
                  </w:divsChild>
                </w:div>
                <w:div w:id="1658419185">
                  <w:marLeft w:val="0"/>
                  <w:marRight w:val="0"/>
                  <w:marTop w:val="0"/>
                  <w:marBottom w:val="0"/>
                  <w:divBdr>
                    <w:top w:val="none" w:sz="0" w:space="0" w:color="auto"/>
                    <w:left w:val="none" w:sz="0" w:space="0" w:color="auto"/>
                    <w:bottom w:val="none" w:sz="0" w:space="0" w:color="auto"/>
                    <w:right w:val="none" w:sz="0" w:space="0" w:color="auto"/>
                  </w:divBdr>
                  <w:divsChild>
                    <w:div w:id="191774407">
                      <w:marLeft w:val="0"/>
                      <w:marRight w:val="0"/>
                      <w:marTop w:val="0"/>
                      <w:marBottom w:val="0"/>
                      <w:divBdr>
                        <w:top w:val="none" w:sz="0" w:space="0" w:color="auto"/>
                        <w:left w:val="none" w:sz="0" w:space="0" w:color="auto"/>
                        <w:bottom w:val="none" w:sz="0" w:space="0" w:color="auto"/>
                        <w:right w:val="none" w:sz="0" w:space="0" w:color="auto"/>
                      </w:divBdr>
                    </w:div>
                  </w:divsChild>
                </w:div>
                <w:div w:id="1659113626">
                  <w:marLeft w:val="0"/>
                  <w:marRight w:val="0"/>
                  <w:marTop w:val="0"/>
                  <w:marBottom w:val="0"/>
                  <w:divBdr>
                    <w:top w:val="none" w:sz="0" w:space="0" w:color="auto"/>
                    <w:left w:val="none" w:sz="0" w:space="0" w:color="auto"/>
                    <w:bottom w:val="none" w:sz="0" w:space="0" w:color="auto"/>
                    <w:right w:val="none" w:sz="0" w:space="0" w:color="auto"/>
                  </w:divBdr>
                  <w:divsChild>
                    <w:div w:id="854274040">
                      <w:marLeft w:val="0"/>
                      <w:marRight w:val="0"/>
                      <w:marTop w:val="0"/>
                      <w:marBottom w:val="0"/>
                      <w:divBdr>
                        <w:top w:val="none" w:sz="0" w:space="0" w:color="auto"/>
                        <w:left w:val="none" w:sz="0" w:space="0" w:color="auto"/>
                        <w:bottom w:val="none" w:sz="0" w:space="0" w:color="auto"/>
                        <w:right w:val="none" w:sz="0" w:space="0" w:color="auto"/>
                      </w:divBdr>
                    </w:div>
                  </w:divsChild>
                </w:div>
                <w:div w:id="1679575355">
                  <w:marLeft w:val="0"/>
                  <w:marRight w:val="0"/>
                  <w:marTop w:val="0"/>
                  <w:marBottom w:val="0"/>
                  <w:divBdr>
                    <w:top w:val="none" w:sz="0" w:space="0" w:color="auto"/>
                    <w:left w:val="none" w:sz="0" w:space="0" w:color="auto"/>
                    <w:bottom w:val="none" w:sz="0" w:space="0" w:color="auto"/>
                    <w:right w:val="none" w:sz="0" w:space="0" w:color="auto"/>
                  </w:divBdr>
                  <w:divsChild>
                    <w:div w:id="589510098">
                      <w:marLeft w:val="0"/>
                      <w:marRight w:val="0"/>
                      <w:marTop w:val="0"/>
                      <w:marBottom w:val="0"/>
                      <w:divBdr>
                        <w:top w:val="none" w:sz="0" w:space="0" w:color="auto"/>
                        <w:left w:val="none" w:sz="0" w:space="0" w:color="auto"/>
                        <w:bottom w:val="none" w:sz="0" w:space="0" w:color="auto"/>
                        <w:right w:val="none" w:sz="0" w:space="0" w:color="auto"/>
                      </w:divBdr>
                    </w:div>
                  </w:divsChild>
                </w:div>
                <w:div w:id="1681352874">
                  <w:marLeft w:val="0"/>
                  <w:marRight w:val="0"/>
                  <w:marTop w:val="0"/>
                  <w:marBottom w:val="0"/>
                  <w:divBdr>
                    <w:top w:val="none" w:sz="0" w:space="0" w:color="auto"/>
                    <w:left w:val="none" w:sz="0" w:space="0" w:color="auto"/>
                    <w:bottom w:val="none" w:sz="0" w:space="0" w:color="auto"/>
                    <w:right w:val="none" w:sz="0" w:space="0" w:color="auto"/>
                  </w:divBdr>
                  <w:divsChild>
                    <w:div w:id="1199976270">
                      <w:marLeft w:val="0"/>
                      <w:marRight w:val="0"/>
                      <w:marTop w:val="0"/>
                      <w:marBottom w:val="0"/>
                      <w:divBdr>
                        <w:top w:val="none" w:sz="0" w:space="0" w:color="auto"/>
                        <w:left w:val="none" w:sz="0" w:space="0" w:color="auto"/>
                        <w:bottom w:val="none" w:sz="0" w:space="0" w:color="auto"/>
                        <w:right w:val="none" w:sz="0" w:space="0" w:color="auto"/>
                      </w:divBdr>
                    </w:div>
                  </w:divsChild>
                </w:div>
                <w:div w:id="1689868714">
                  <w:marLeft w:val="0"/>
                  <w:marRight w:val="0"/>
                  <w:marTop w:val="0"/>
                  <w:marBottom w:val="0"/>
                  <w:divBdr>
                    <w:top w:val="none" w:sz="0" w:space="0" w:color="auto"/>
                    <w:left w:val="none" w:sz="0" w:space="0" w:color="auto"/>
                    <w:bottom w:val="none" w:sz="0" w:space="0" w:color="auto"/>
                    <w:right w:val="none" w:sz="0" w:space="0" w:color="auto"/>
                  </w:divBdr>
                  <w:divsChild>
                    <w:div w:id="1673559278">
                      <w:marLeft w:val="0"/>
                      <w:marRight w:val="0"/>
                      <w:marTop w:val="0"/>
                      <w:marBottom w:val="0"/>
                      <w:divBdr>
                        <w:top w:val="none" w:sz="0" w:space="0" w:color="auto"/>
                        <w:left w:val="none" w:sz="0" w:space="0" w:color="auto"/>
                        <w:bottom w:val="none" w:sz="0" w:space="0" w:color="auto"/>
                        <w:right w:val="none" w:sz="0" w:space="0" w:color="auto"/>
                      </w:divBdr>
                    </w:div>
                  </w:divsChild>
                </w:div>
                <w:div w:id="1690794180">
                  <w:marLeft w:val="0"/>
                  <w:marRight w:val="0"/>
                  <w:marTop w:val="0"/>
                  <w:marBottom w:val="0"/>
                  <w:divBdr>
                    <w:top w:val="none" w:sz="0" w:space="0" w:color="auto"/>
                    <w:left w:val="none" w:sz="0" w:space="0" w:color="auto"/>
                    <w:bottom w:val="none" w:sz="0" w:space="0" w:color="auto"/>
                    <w:right w:val="none" w:sz="0" w:space="0" w:color="auto"/>
                  </w:divBdr>
                  <w:divsChild>
                    <w:div w:id="1472946145">
                      <w:marLeft w:val="0"/>
                      <w:marRight w:val="0"/>
                      <w:marTop w:val="0"/>
                      <w:marBottom w:val="0"/>
                      <w:divBdr>
                        <w:top w:val="none" w:sz="0" w:space="0" w:color="auto"/>
                        <w:left w:val="none" w:sz="0" w:space="0" w:color="auto"/>
                        <w:bottom w:val="none" w:sz="0" w:space="0" w:color="auto"/>
                        <w:right w:val="none" w:sz="0" w:space="0" w:color="auto"/>
                      </w:divBdr>
                    </w:div>
                  </w:divsChild>
                </w:div>
                <w:div w:id="1709331660">
                  <w:marLeft w:val="0"/>
                  <w:marRight w:val="0"/>
                  <w:marTop w:val="0"/>
                  <w:marBottom w:val="0"/>
                  <w:divBdr>
                    <w:top w:val="none" w:sz="0" w:space="0" w:color="auto"/>
                    <w:left w:val="none" w:sz="0" w:space="0" w:color="auto"/>
                    <w:bottom w:val="none" w:sz="0" w:space="0" w:color="auto"/>
                    <w:right w:val="none" w:sz="0" w:space="0" w:color="auto"/>
                  </w:divBdr>
                  <w:divsChild>
                    <w:div w:id="180555986">
                      <w:marLeft w:val="0"/>
                      <w:marRight w:val="0"/>
                      <w:marTop w:val="0"/>
                      <w:marBottom w:val="0"/>
                      <w:divBdr>
                        <w:top w:val="none" w:sz="0" w:space="0" w:color="auto"/>
                        <w:left w:val="none" w:sz="0" w:space="0" w:color="auto"/>
                        <w:bottom w:val="none" w:sz="0" w:space="0" w:color="auto"/>
                        <w:right w:val="none" w:sz="0" w:space="0" w:color="auto"/>
                      </w:divBdr>
                    </w:div>
                  </w:divsChild>
                </w:div>
                <w:div w:id="1712807720">
                  <w:marLeft w:val="0"/>
                  <w:marRight w:val="0"/>
                  <w:marTop w:val="0"/>
                  <w:marBottom w:val="0"/>
                  <w:divBdr>
                    <w:top w:val="none" w:sz="0" w:space="0" w:color="auto"/>
                    <w:left w:val="none" w:sz="0" w:space="0" w:color="auto"/>
                    <w:bottom w:val="none" w:sz="0" w:space="0" w:color="auto"/>
                    <w:right w:val="none" w:sz="0" w:space="0" w:color="auto"/>
                  </w:divBdr>
                  <w:divsChild>
                    <w:div w:id="206069287">
                      <w:marLeft w:val="0"/>
                      <w:marRight w:val="0"/>
                      <w:marTop w:val="0"/>
                      <w:marBottom w:val="0"/>
                      <w:divBdr>
                        <w:top w:val="none" w:sz="0" w:space="0" w:color="auto"/>
                        <w:left w:val="none" w:sz="0" w:space="0" w:color="auto"/>
                        <w:bottom w:val="none" w:sz="0" w:space="0" w:color="auto"/>
                        <w:right w:val="none" w:sz="0" w:space="0" w:color="auto"/>
                      </w:divBdr>
                    </w:div>
                    <w:div w:id="356346310">
                      <w:marLeft w:val="0"/>
                      <w:marRight w:val="0"/>
                      <w:marTop w:val="0"/>
                      <w:marBottom w:val="0"/>
                      <w:divBdr>
                        <w:top w:val="none" w:sz="0" w:space="0" w:color="auto"/>
                        <w:left w:val="none" w:sz="0" w:space="0" w:color="auto"/>
                        <w:bottom w:val="none" w:sz="0" w:space="0" w:color="auto"/>
                        <w:right w:val="none" w:sz="0" w:space="0" w:color="auto"/>
                      </w:divBdr>
                    </w:div>
                    <w:div w:id="604313391">
                      <w:marLeft w:val="0"/>
                      <w:marRight w:val="0"/>
                      <w:marTop w:val="0"/>
                      <w:marBottom w:val="0"/>
                      <w:divBdr>
                        <w:top w:val="none" w:sz="0" w:space="0" w:color="auto"/>
                        <w:left w:val="none" w:sz="0" w:space="0" w:color="auto"/>
                        <w:bottom w:val="none" w:sz="0" w:space="0" w:color="auto"/>
                        <w:right w:val="none" w:sz="0" w:space="0" w:color="auto"/>
                      </w:divBdr>
                    </w:div>
                    <w:div w:id="623193193">
                      <w:marLeft w:val="0"/>
                      <w:marRight w:val="0"/>
                      <w:marTop w:val="0"/>
                      <w:marBottom w:val="0"/>
                      <w:divBdr>
                        <w:top w:val="none" w:sz="0" w:space="0" w:color="auto"/>
                        <w:left w:val="none" w:sz="0" w:space="0" w:color="auto"/>
                        <w:bottom w:val="none" w:sz="0" w:space="0" w:color="auto"/>
                        <w:right w:val="none" w:sz="0" w:space="0" w:color="auto"/>
                      </w:divBdr>
                    </w:div>
                    <w:div w:id="756366996">
                      <w:marLeft w:val="0"/>
                      <w:marRight w:val="0"/>
                      <w:marTop w:val="0"/>
                      <w:marBottom w:val="0"/>
                      <w:divBdr>
                        <w:top w:val="none" w:sz="0" w:space="0" w:color="auto"/>
                        <w:left w:val="none" w:sz="0" w:space="0" w:color="auto"/>
                        <w:bottom w:val="none" w:sz="0" w:space="0" w:color="auto"/>
                        <w:right w:val="none" w:sz="0" w:space="0" w:color="auto"/>
                      </w:divBdr>
                    </w:div>
                    <w:div w:id="862595930">
                      <w:marLeft w:val="0"/>
                      <w:marRight w:val="0"/>
                      <w:marTop w:val="0"/>
                      <w:marBottom w:val="0"/>
                      <w:divBdr>
                        <w:top w:val="none" w:sz="0" w:space="0" w:color="auto"/>
                        <w:left w:val="none" w:sz="0" w:space="0" w:color="auto"/>
                        <w:bottom w:val="none" w:sz="0" w:space="0" w:color="auto"/>
                        <w:right w:val="none" w:sz="0" w:space="0" w:color="auto"/>
                      </w:divBdr>
                    </w:div>
                    <w:div w:id="1024096291">
                      <w:marLeft w:val="0"/>
                      <w:marRight w:val="0"/>
                      <w:marTop w:val="0"/>
                      <w:marBottom w:val="0"/>
                      <w:divBdr>
                        <w:top w:val="none" w:sz="0" w:space="0" w:color="auto"/>
                        <w:left w:val="none" w:sz="0" w:space="0" w:color="auto"/>
                        <w:bottom w:val="none" w:sz="0" w:space="0" w:color="auto"/>
                        <w:right w:val="none" w:sz="0" w:space="0" w:color="auto"/>
                      </w:divBdr>
                    </w:div>
                    <w:div w:id="1066611250">
                      <w:marLeft w:val="0"/>
                      <w:marRight w:val="0"/>
                      <w:marTop w:val="0"/>
                      <w:marBottom w:val="0"/>
                      <w:divBdr>
                        <w:top w:val="none" w:sz="0" w:space="0" w:color="auto"/>
                        <w:left w:val="none" w:sz="0" w:space="0" w:color="auto"/>
                        <w:bottom w:val="none" w:sz="0" w:space="0" w:color="auto"/>
                        <w:right w:val="none" w:sz="0" w:space="0" w:color="auto"/>
                      </w:divBdr>
                    </w:div>
                    <w:div w:id="1122722270">
                      <w:marLeft w:val="0"/>
                      <w:marRight w:val="0"/>
                      <w:marTop w:val="0"/>
                      <w:marBottom w:val="0"/>
                      <w:divBdr>
                        <w:top w:val="none" w:sz="0" w:space="0" w:color="auto"/>
                        <w:left w:val="none" w:sz="0" w:space="0" w:color="auto"/>
                        <w:bottom w:val="none" w:sz="0" w:space="0" w:color="auto"/>
                        <w:right w:val="none" w:sz="0" w:space="0" w:color="auto"/>
                      </w:divBdr>
                    </w:div>
                    <w:div w:id="1158693757">
                      <w:marLeft w:val="0"/>
                      <w:marRight w:val="0"/>
                      <w:marTop w:val="0"/>
                      <w:marBottom w:val="0"/>
                      <w:divBdr>
                        <w:top w:val="none" w:sz="0" w:space="0" w:color="auto"/>
                        <w:left w:val="none" w:sz="0" w:space="0" w:color="auto"/>
                        <w:bottom w:val="none" w:sz="0" w:space="0" w:color="auto"/>
                        <w:right w:val="none" w:sz="0" w:space="0" w:color="auto"/>
                      </w:divBdr>
                    </w:div>
                    <w:div w:id="1542671169">
                      <w:marLeft w:val="0"/>
                      <w:marRight w:val="0"/>
                      <w:marTop w:val="0"/>
                      <w:marBottom w:val="0"/>
                      <w:divBdr>
                        <w:top w:val="none" w:sz="0" w:space="0" w:color="auto"/>
                        <w:left w:val="none" w:sz="0" w:space="0" w:color="auto"/>
                        <w:bottom w:val="none" w:sz="0" w:space="0" w:color="auto"/>
                        <w:right w:val="none" w:sz="0" w:space="0" w:color="auto"/>
                      </w:divBdr>
                    </w:div>
                    <w:div w:id="1755586923">
                      <w:marLeft w:val="0"/>
                      <w:marRight w:val="0"/>
                      <w:marTop w:val="0"/>
                      <w:marBottom w:val="0"/>
                      <w:divBdr>
                        <w:top w:val="none" w:sz="0" w:space="0" w:color="auto"/>
                        <w:left w:val="none" w:sz="0" w:space="0" w:color="auto"/>
                        <w:bottom w:val="none" w:sz="0" w:space="0" w:color="auto"/>
                        <w:right w:val="none" w:sz="0" w:space="0" w:color="auto"/>
                      </w:divBdr>
                    </w:div>
                    <w:div w:id="1906792144">
                      <w:marLeft w:val="0"/>
                      <w:marRight w:val="0"/>
                      <w:marTop w:val="0"/>
                      <w:marBottom w:val="0"/>
                      <w:divBdr>
                        <w:top w:val="none" w:sz="0" w:space="0" w:color="auto"/>
                        <w:left w:val="none" w:sz="0" w:space="0" w:color="auto"/>
                        <w:bottom w:val="none" w:sz="0" w:space="0" w:color="auto"/>
                        <w:right w:val="none" w:sz="0" w:space="0" w:color="auto"/>
                      </w:divBdr>
                    </w:div>
                    <w:div w:id="1978559812">
                      <w:marLeft w:val="0"/>
                      <w:marRight w:val="0"/>
                      <w:marTop w:val="0"/>
                      <w:marBottom w:val="0"/>
                      <w:divBdr>
                        <w:top w:val="none" w:sz="0" w:space="0" w:color="auto"/>
                        <w:left w:val="none" w:sz="0" w:space="0" w:color="auto"/>
                        <w:bottom w:val="none" w:sz="0" w:space="0" w:color="auto"/>
                        <w:right w:val="none" w:sz="0" w:space="0" w:color="auto"/>
                      </w:divBdr>
                    </w:div>
                    <w:div w:id="1996955988">
                      <w:marLeft w:val="0"/>
                      <w:marRight w:val="0"/>
                      <w:marTop w:val="0"/>
                      <w:marBottom w:val="0"/>
                      <w:divBdr>
                        <w:top w:val="none" w:sz="0" w:space="0" w:color="auto"/>
                        <w:left w:val="none" w:sz="0" w:space="0" w:color="auto"/>
                        <w:bottom w:val="none" w:sz="0" w:space="0" w:color="auto"/>
                        <w:right w:val="none" w:sz="0" w:space="0" w:color="auto"/>
                      </w:divBdr>
                    </w:div>
                  </w:divsChild>
                </w:div>
                <w:div w:id="1716195615">
                  <w:marLeft w:val="0"/>
                  <w:marRight w:val="0"/>
                  <w:marTop w:val="0"/>
                  <w:marBottom w:val="0"/>
                  <w:divBdr>
                    <w:top w:val="none" w:sz="0" w:space="0" w:color="auto"/>
                    <w:left w:val="none" w:sz="0" w:space="0" w:color="auto"/>
                    <w:bottom w:val="none" w:sz="0" w:space="0" w:color="auto"/>
                    <w:right w:val="none" w:sz="0" w:space="0" w:color="auto"/>
                  </w:divBdr>
                  <w:divsChild>
                    <w:div w:id="962150887">
                      <w:marLeft w:val="0"/>
                      <w:marRight w:val="0"/>
                      <w:marTop w:val="0"/>
                      <w:marBottom w:val="0"/>
                      <w:divBdr>
                        <w:top w:val="none" w:sz="0" w:space="0" w:color="auto"/>
                        <w:left w:val="none" w:sz="0" w:space="0" w:color="auto"/>
                        <w:bottom w:val="none" w:sz="0" w:space="0" w:color="auto"/>
                        <w:right w:val="none" w:sz="0" w:space="0" w:color="auto"/>
                      </w:divBdr>
                    </w:div>
                  </w:divsChild>
                </w:div>
                <w:div w:id="1731227412">
                  <w:marLeft w:val="0"/>
                  <w:marRight w:val="0"/>
                  <w:marTop w:val="0"/>
                  <w:marBottom w:val="0"/>
                  <w:divBdr>
                    <w:top w:val="none" w:sz="0" w:space="0" w:color="auto"/>
                    <w:left w:val="none" w:sz="0" w:space="0" w:color="auto"/>
                    <w:bottom w:val="none" w:sz="0" w:space="0" w:color="auto"/>
                    <w:right w:val="none" w:sz="0" w:space="0" w:color="auto"/>
                  </w:divBdr>
                  <w:divsChild>
                    <w:div w:id="908199012">
                      <w:marLeft w:val="0"/>
                      <w:marRight w:val="0"/>
                      <w:marTop w:val="0"/>
                      <w:marBottom w:val="0"/>
                      <w:divBdr>
                        <w:top w:val="none" w:sz="0" w:space="0" w:color="auto"/>
                        <w:left w:val="none" w:sz="0" w:space="0" w:color="auto"/>
                        <w:bottom w:val="none" w:sz="0" w:space="0" w:color="auto"/>
                        <w:right w:val="none" w:sz="0" w:space="0" w:color="auto"/>
                      </w:divBdr>
                    </w:div>
                  </w:divsChild>
                </w:div>
                <w:div w:id="1734545531">
                  <w:marLeft w:val="0"/>
                  <w:marRight w:val="0"/>
                  <w:marTop w:val="0"/>
                  <w:marBottom w:val="0"/>
                  <w:divBdr>
                    <w:top w:val="none" w:sz="0" w:space="0" w:color="auto"/>
                    <w:left w:val="none" w:sz="0" w:space="0" w:color="auto"/>
                    <w:bottom w:val="none" w:sz="0" w:space="0" w:color="auto"/>
                    <w:right w:val="none" w:sz="0" w:space="0" w:color="auto"/>
                  </w:divBdr>
                  <w:divsChild>
                    <w:div w:id="572930001">
                      <w:marLeft w:val="0"/>
                      <w:marRight w:val="0"/>
                      <w:marTop w:val="0"/>
                      <w:marBottom w:val="0"/>
                      <w:divBdr>
                        <w:top w:val="none" w:sz="0" w:space="0" w:color="auto"/>
                        <w:left w:val="none" w:sz="0" w:space="0" w:color="auto"/>
                        <w:bottom w:val="none" w:sz="0" w:space="0" w:color="auto"/>
                        <w:right w:val="none" w:sz="0" w:space="0" w:color="auto"/>
                      </w:divBdr>
                    </w:div>
                  </w:divsChild>
                </w:div>
                <w:div w:id="1747413739">
                  <w:marLeft w:val="0"/>
                  <w:marRight w:val="0"/>
                  <w:marTop w:val="0"/>
                  <w:marBottom w:val="0"/>
                  <w:divBdr>
                    <w:top w:val="none" w:sz="0" w:space="0" w:color="auto"/>
                    <w:left w:val="none" w:sz="0" w:space="0" w:color="auto"/>
                    <w:bottom w:val="none" w:sz="0" w:space="0" w:color="auto"/>
                    <w:right w:val="none" w:sz="0" w:space="0" w:color="auto"/>
                  </w:divBdr>
                  <w:divsChild>
                    <w:div w:id="30687112">
                      <w:marLeft w:val="0"/>
                      <w:marRight w:val="0"/>
                      <w:marTop w:val="0"/>
                      <w:marBottom w:val="0"/>
                      <w:divBdr>
                        <w:top w:val="none" w:sz="0" w:space="0" w:color="auto"/>
                        <w:left w:val="none" w:sz="0" w:space="0" w:color="auto"/>
                        <w:bottom w:val="none" w:sz="0" w:space="0" w:color="auto"/>
                        <w:right w:val="none" w:sz="0" w:space="0" w:color="auto"/>
                      </w:divBdr>
                    </w:div>
                  </w:divsChild>
                </w:div>
                <w:div w:id="1747460689">
                  <w:marLeft w:val="0"/>
                  <w:marRight w:val="0"/>
                  <w:marTop w:val="0"/>
                  <w:marBottom w:val="0"/>
                  <w:divBdr>
                    <w:top w:val="none" w:sz="0" w:space="0" w:color="auto"/>
                    <w:left w:val="none" w:sz="0" w:space="0" w:color="auto"/>
                    <w:bottom w:val="none" w:sz="0" w:space="0" w:color="auto"/>
                    <w:right w:val="none" w:sz="0" w:space="0" w:color="auto"/>
                  </w:divBdr>
                  <w:divsChild>
                    <w:div w:id="2144812346">
                      <w:marLeft w:val="0"/>
                      <w:marRight w:val="0"/>
                      <w:marTop w:val="0"/>
                      <w:marBottom w:val="0"/>
                      <w:divBdr>
                        <w:top w:val="none" w:sz="0" w:space="0" w:color="auto"/>
                        <w:left w:val="none" w:sz="0" w:space="0" w:color="auto"/>
                        <w:bottom w:val="none" w:sz="0" w:space="0" w:color="auto"/>
                        <w:right w:val="none" w:sz="0" w:space="0" w:color="auto"/>
                      </w:divBdr>
                    </w:div>
                  </w:divsChild>
                </w:div>
                <w:div w:id="1753114055">
                  <w:marLeft w:val="0"/>
                  <w:marRight w:val="0"/>
                  <w:marTop w:val="0"/>
                  <w:marBottom w:val="0"/>
                  <w:divBdr>
                    <w:top w:val="none" w:sz="0" w:space="0" w:color="auto"/>
                    <w:left w:val="none" w:sz="0" w:space="0" w:color="auto"/>
                    <w:bottom w:val="none" w:sz="0" w:space="0" w:color="auto"/>
                    <w:right w:val="none" w:sz="0" w:space="0" w:color="auto"/>
                  </w:divBdr>
                  <w:divsChild>
                    <w:div w:id="1673533935">
                      <w:marLeft w:val="0"/>
                      <w:marRight w:val="0"/>
                      <w:marTop w:val="0"/>
                      <w:marBottom w:val="0"/>
                      <w:divBdr>
                        <w:top w:val="none" w:sz="0" w:space="0" w:color="auto"/>
                        <w:left w:val="none" w:sz="0" w:space="0" w:color="auto"/>
                        <w:bottom w:val="none" w:sz="0" w:space="0" w:color="auto"/>
                        <w:right w:val="none" w:sz="0" w:space="0" w:color="auto"/>
                      </w:divBdr>
                    </w:div>
                  </w:divsChild>
                </w:div>
                <w:div w:id="1763257161">
                  <w:marLeft w:val="0"/>
                  <w:marRight w:val="0"/>
                  <w:marTop w:val="0"/>
                  <w:marBottom w:val="0"/>
                  <w:divBdr>
                    <w:top w:val="none" w:sz="0" w:space="0" w:color="auto"/>
                    <w:left w:val="none" w:sz="0" w:space="0" w:color="auto"/>
                    <w:bottom w:val="none" w:sz="0" w:space="0" w:color="auto"/>
                    <w:right w:val="none" w:sz="0" w:space="0" w:color="auto"/>
                  </w:divBdr>
                  <w:divsChild>
                    <w:div w:id="429203638">
                      <w:marLeft w:val="0"/>
                      <w:marRight w:val="0"/>
                      <w:marTop w:val="0"/>
                      <w:marBottom w:val="0"/>
                      <w:divBdr>
                        <w:top w:val="none" w:sz="0" w:space="0" w:color="auto"/>
                        <w:left w:val="none" w:sz="0" w:space="0" w:color="auto"/>
                        <w:bottom w:val="none" w:sz="0" w:space="0" w:color="auto"/>
                        <w:right w:val="none" w:sz="0" w:space="0" w:color="auto"/>
                      </w:divBdr>
                    </w:div>
                  </w:divsChild>
                </w:div>
                <w:div w:id="1763723449">
                  <w:marLeft w:val="0"/>
                  <w:marRight w:val="0"/>
                  <w:marTop w:val="0"/>
                  <w:marBottom w:val="0"/>
                  <w:divBdr>
                    <w:top w:val="none" w:sz="0" w:space="0" w:color="auto"/>
                    <w:left w:val="none" w:sz="0" w:space="0" w:color="auto"/>
                    <w:bottom w:val="none" w:sz="0" w:space="0" w:color="auto"/>
                    <w:right w:val="none" w:sz="0" w:space="0" w:color="auto"/>
                  </w:divBdr>
                  <w:divsChild>
                    <w:div w:id="91323050">
                      <w:marLeft w:val="0"/>
                      <w:marRight w:val="0"/>
                      <w:marTop w:val="0"/>
                      <w:marBottom w:val="0"/>
                      <w:divBdr>
                        <w:top w:val="none" w:sz="0" w:space="0" w:color="auto"/>
                        <w:left w:val="none" w:sz="0" w:space="0" w:color="auto"/>
                        <w:bottom w:val="none" w:sz="0" w:space="0" w:color="auto"/>
                        <w:right w:val="none" w:sz="0" w:space="0" w:color="auto"/>
                      </w:divBdr>
                    </w:div>
                  </w:divsChild>
                </w:div>
                <w:div w:id="1768497618">
                  <w:marLeft w:val="0"/>
                  <w:marRight w:val="0"/>
                  <w:marTop w:val="0"/>
                  <w:marBottom w:val="0"/>
                  <w:divBdr>
                    <w:top w:val="none" w:sz="0" w:space="0" w:color="auto"/>
                    <w:left w:val="none" w:sz="0" w:space="0" w:color="auto"/>
                    <w:bottom w:val="none" w:sz="0" w:space="0" w:color="auto"/>
                    <w:right w:val="none" w:sz="0" w:space="0" w:color="auto"/>
                  </w:divBdr>
                  <w:divsChild>
                    <w:div w:id="1068303957">
                      <w:marLeft w:val="0"/>
                      <w:marRight w:val="0"/>
                      <w:marTop w:val="0"/>
                      <w:marBottom w:val="0"/>
                      <w:divBdr>
                        <w:top w:val="none" w:sz="0" w:space="0" w:color="auto"/>
                        <w:left w:val="none" w:sz="0" w:space="0" w:color="auto"/>
                        <w:bottom w:val="none" w:sz="0" w:space="0" w:color="auto"/>
                        <w:right w:val="none" w:sz="0" w:space="0" w:color="auto"/>
                      </w:divBdr>
                    </w:div>
                  </w:divsChild>
                </w:div>
                <w:div w:id="1769302230">
                  <w:marLeft w:val="0"/>
                  <w:marRight w:val="0"/>
                  <w:marTop w:val="0"/>
                  <w:marBottom w:val="0"/>
                  <w:divBdr>
                    <w:top w:val="none" w:sz="0" w:space="0" w:color="auto"/>
                    <w:left w:val="none" w:sz="0" w:space="0" w:color="auto"/>
                    <w:bottom w:val="none" w:sz="0" w:space="0" w:color="auto"/>
                    <w:right w:val="none" w:sz="0" w:space="0" w:color="auto"/>
                  </w:divBdr>
                  <w:divsChild>
                    <w:div w:id="1827820089">
                      <w:marLeft w:val="0"/>
                      <w:marRight w:val="0"/>
                      <w:marTop w:val="0"/>
                      <w:marBottom w:val="0"/>
                      <w:divBdr>
                        <w:top w:val="none" w:sz="0" w:space="0" w:color="auto"/>
                        <w:left w:val="none" w:sz="0" w:space="0" w:color="auto"/>
                        <w:bottom w:val="none" w:sz="0" w:space="0" w:color="auto"/>
                        <w:right w:val="none" w:sz="0" w:space="0" w:color="auto"/>
                      </w:divBdr>
                    </w:div>
                  </w:divsChild>
                </w:div>
                <w:div w:id="1781295884">
                  <w:marLeft w:val="0"/>
                  <w:marRight w:val="0"/>
                  <w:marTop w:val="0"/>
                  <w:marBottom w:val="0"/>
                  <w:divBdr>
                    <w:top w:val="none" w:sz="0" w:space="0" w:color="auto"/>
                    <w:left w:val="none" w:sz="0" w:space="0" w:color="auto"/>
                    <w:bottom w:val="none" w:sz="0" w:space="0" w:color="auto"/>
                    <w:right w:val="none" w:sz="0" w:space="0" w:color="auto"/>
                  </w:divBdr>
                  <w:divsChild>
                    <w:div w:id="582102886">
                      <w:marLeft w:val="0"/>
                      <w:marRight w:val="0"/>
                      <w:marTop w:val="0"/>
                      <w:marBottom w:val="0"/>
                      <w:divBdr>
                        <w:top w:val="none" w:sz="0" w:space="0" w:color="auto"/>
                        <w:left w:val="none" w:sz="0" w:space="0" w:color="auto"/>
                        <w:bottom w:val="none" w:sz="0" w:space="0" w:color="auto"/>
                        <w:right w:val="none" w:sz="0" w:space="0" w:color="auto"/>
                      </w:divBdr>
                    </w:div>
                  </w:divsChild>
                </w:div>
                <w:div w:id="1781989577">
                  <w:marLeft w:val="0"/>
                  <w:marRight w:val="0"/>
                  <w:marTop w:val="0"/>
                  <w:marBottom w:val="0"/>
                  <w:divBdr>
                    <w:top w:val="none" w:sz="0" w:space="0" w:color="auto"/>
                    <w:left w:val="none" w:sz="0" w:space="0" w:color="auto"/>
                    <w:bottom w:val="none" w:sz="0" w:space="0" w:color="auto"/>
                    <w:right w:val="none" w:sz="0" w:space="0" w:color="auto"/>
                  </w:divBdr>
                  <w:divsChild>
                    <w:div w:id="468481505">
                      <w:marLeft w:val="0"/>
                      <w:marRight w:val="0"/>
                      <w:marTop w:val="0"/>
                      <w:marBottom w:val="0"/>
                      <w:divBdr>
                        <w:top w:val="none" w:sz="0" w:space="0" w:color="auto"/>
                        <w:left w:val="none" w:sz="0" w:space="0" w:color="auto"/>
                        <w:bottom w:val="none" w:sz="0" w:space="0" w:color="auto"/>
                        <w:right w:val="none" w:sz="0" w:space="0" w:color="auto"/>
                      </w:divBdr>
                    </w:div>
                  </w:divsChild>
                </w:div>
                <w:div w:id="1786657517">
                  <w:marLeft w:val="0"/>
                  <w:marRight w:val="0"/>
                  <w:marTop w:val="0"/>
                  <w:marBottom w:val="0"/>
                  <w:divBdr>
                    <w:top w:val="none" w:sz="0" w:space="0" w:color="auto"/>
                    <w:left w:val="none" w:sz="0" w:space="0" w:color="auto"/>
                    <w:bottom w:val="none" w:sz="0" w:space="0" w:color="auto"/>
                    <w:right w:val="none" w:sz="0" w:space="0" w:color="auto"/>
                  </w:divBdr>
                  <w:divsChild>
                    <w:div w:id="1898130671">
                      <w:marLeft w:val="0"/>
                      <w:marRight w:val="0"/>
                      <w:marTop w:val="0"/>
                      <w:marBottom w:val="0"/>
                      <w:divBdr>
                        <w:top w:val="none" w:sz="0" w:space="0" w:color="auto"/>
                        <w:left w:val="none" w:sz="0" w:space="0" w:color="auto"/>
                        <w:bottom w:val="none" w:sz="0" w:space="0" w:color="auto"/>
                        <w:right w:val="none" w:sz="0" w:space="0" w:color="auto"/>
                      </w:divBdr>
                    </w:div>
                  </w:divsChild>
                </w:div>
                <w:div w:id="1792168868">
                  <w:marLeft w:val="0"/>
                  <w:marRight w:val="0"/>
                  <w:marTop w:val="0"/>
                  <w:marBottom w:val="0"/>
                  <w:divBdr>
                    <w:top w:val="none" w:sz="0" w:space="0" w:color="auto"/>
                    <w:left w:val="none" w:sz="0" w:space="0" w:color="auto"/>
                    <w:bottom w:val="none" w:sz="0" w:space="0" w:color="auto"/>
                    <w:right w:val="none" w:sz="0" w:space="0" w:color="auto"/>
                  </w:divBdr>
                  <w:divsChild>
                    <w:div w:id="27873041">
                      <w:marLeft w:val="0"/>
                      <w:marRight w:val="0"/>
                      <w:marTop w:val="0"/>
                      <w:marBottom w:val="0"/>
                      <w:divBdr>
                        <w:top w:val="none" w:sz="0" w:space="0" w:color="auto"/>
                        <w:left w:val="none" w:sz="0" w:space="0" w:color="auto"/>
                        <w:bottom w:val="none" w:sz="0" w:space="0" w:color="auto"/>
                        <w:right w:val="none" w:sz="0" w:space="0" w:color="auto"/>
                      </w:divBdr>
                    </w:div>
                    <w:div w:id="30307482">
                      <w:marLeft w:val="0"/>
                      <w:marRight w:val="0"/>
                      <w:marTop w:val="0"/>
                      <w:marBottom w:val="0"/>
                      <w:divBdr>
                        <w:top w:val="none" w:sz="0" w:space="0" w:color="auto"/>
                        <w:left w:val="none" w:sz="0" w:space="0" w:color="auto"/>
                        <w:bottom w:val="none" w:sz="0" w:space="0" w:color="auto"/>
                        <w:right w:val="none" w:sz="0" w:space="0" w:color="auto"/>
                      </w:divBdr>
                    </w:div>
                    <w:div w:id="156851449">
                      <w:marLeft w:val="0"/>
                      <w:marRight w:val="0"/>
                      <w:marTop w:val="0"/>
                      <w:marBottom w:val="0"/>
                      <w:divBdr>
                        <w:top w:val="none" w:sz="0" w:space="0" w:color="auto"/>
                        <w:left w:val="none" w:sz="0" w:space="0" w:color="auto"/>
                        <w:bottom w:val="none" w:sz="0" w:space="0" w:color="auto"/>
                        <w:right w:val="none" w:sz="0" w:space="0" w:color="auto"/>
                      </w:divBdr>
                    </w:div>
                    <w:div w:id="263072516">
                      <w:marLeft w:val="0"/>
                      <w:marRight w:val="0"/>
                      <w:marTop w:val="0"/>
                      <w:marBottom w:val="0"/>
                      <w:divBdr>
                        <w:top w:val="none" w:sz="0" w:space="0" w:color="auto"/>
                        <w:left w:val="none" w:sz="0" w:space="0" w:color="auto"/>
                        <w:bottom w:val="none" w:sz="0" w:space="0" w:color="auto"/>
                        <w:right w:val="none" w:sz="0" w:space="0" w:color="auto"/>
                      </w:divBdr>
                    </w:div>
                    <w:div w:id="502549138">
                      <w:marLeft w:val="0"/>
                      <w:marRight w:val="0"/>
                      <w:marTop w:val="0"/>
                      <w:marBottom w:val="0"/>
                      <w:divBdr>
                        <w:top w:val="none" w:sz="0" w:space="0" w:color="auto"/>
                        <w:left w:val="none" w:sz="0" w:space="0" w:color="auto"/>
                        <w:bottom w:val="none" w:sz="0" w:space="0" w:color="auto"/>
                        <w:right w:val="none" w:sz="0" w:space="0" w:color="auto"/>
                      </w:divBdr>
                    </w:div>
                    <w:div w:id="775713030">
                      <w:marLeft w:val="0"/>
                      <w:marRight w:val="0"/>
                      <w:marTop w:val="0"/>
                      <w:marBottom w:val="0"/>
                      <w:divBdr>
                        <w:top w:val="none" w:sz="0" w:space="0" w:color="auto"/>
                        <w:left w:val="none" w:sz="0" w:space="0" w:color="auto"/>
                        <w:bottom w:val="none" w:sz="0" w:space="0" w:color="auto"/>
                        <w:right w:val="none" w:sz="0" w:space="0" w:color="auto"/>
                      </w:divBdr>
                    </w:div>
                    <w:div w:id="1116944677">
                      <w:marLeft w:val="0"/>
                      <w:marRight w:val="0"/>
                      <w:marTop w:val="0"/>
                      <w:marBottom w:val="0"/>
                      <w:divBdr>
                        <w:top w:val="none" w:sz="0" w:space="0" w:color="auto"/>
                        <w:left w:val="none" w:sz="0" w:space="0" w:color="auto"/>
                        <w:bottom w:val="none" w:sz="0" w:space="0" w:color="auto"/>
                        <w:right w:val="none" w:sz="0" w:space="0" w:color="auto"/>
                      </w:divBdr>
                    </w:div>
                    <w:div w:id="1287198022">
                      <w:marLeft w:val="0"/>
                      <w:marRight w:val="0"/>
                      <w:marTop w:val="0"/>
                      <w:marBottom w:val="0"/>
                      <w:divBdr>
                        <w:top w:val="none" w:sz="0" w:space="0" w:color="auto"/>
                        <w:left w:val="none" w:sz="0" w:space="0" w:color="auto"/>
                        <w:bottom w:val="none" w:sz="0" w:space="0" w:color="auto"/>
                        <w:right w:val="none" w:sz="0" w:space="0" w:color="auto"/>
                      </w:divBdr>
                    </w:div>
                    <w:div w:id="1397435954">
                      <w:marLeft w:val="0"/>
                      <w:marRight w:val="0"/>
                      <w:marTop w:val="0"/>
                      <w:marBottom w:val="0"/>
                      <w:divBdr>
                        <w:top w:val="none" w:sz="0" w:space="0" w:color="auto"/>
                        <w:left w:val="none" w:sz="0" w:space="0" w:color="auto"/>
                        <w:bottom w:val="none" w:sz="0" w:space="0" w:color="auto"/>
                        <w:right w:val="none" w:sz="0" w:space="0" w:color="auto"/>
                      </w:divBdr>
                    </w:div>
                    <w:div w:id="1403060584">
                      <w:marLeft w:val="0"/>
                      <w:marRight w:val="0"/>
                      <w:marTop w:val="0"/>
                      <w:marBottom w:val="0"/>
                      <w:divBdr>
                        <w:top w:val="none" w:sz="0" w:space="0" w:color="auto"/>
                        <w:left w:val="none" w:sz="0" w:space="0" w:color="auto"/>
                        <w:bottom w:val="none" w:sz="0" w:space="0" w:color="auto"/>
                        <w:right w:val="none" w:sz="0" w:space="0" w:color="auto"/>
                      </w:divBdr>
                    </w:div>
                    <w:div w:id="1469084913">
                      <w:marLeft w:val="0"/>
                      <w:marRight w:val="0"/>
                      <w:marTop w:val="0"/>
                      <w:marBottom w:val="0"/>
                      <w:divBdr>
                        <w:top w:val="none" w:sz="0" w:space="0" w:color="auto"/>
                        <w:left w:val="none" w:sz="0" w:space="0" w:color="auto"/>
                        <w:bottom w:val="none" w:sz="0" w:space="0" w:color="auto"/>
                        <w:right w:val="none" w:sz="0" w:space="0" w:color="auto"/>
                      </w:divBdr>
                    </w:div>
                    <w:div w:id="1687171264">
                      <w:marLeft w:val="0"/>
                      <w:marRight w:val="0"/>
                      <w:marTop w:val="0"/>
                      <w:marBottom w:val="0"/>
                      <w:divBdr>
                        <w:top w:val="none" w:sz="0" w:space="0" w:color="auto"/>
                        <w:left w:val="none" w:sz="0" w:space="0" w:color="auto"/>
                        <w:bottom w:val="none" w:sz="0" w:space="0" w:color="auto"/>
                        <w:right w:val="none" w:sz="0" w:space="0" w:color="auto"/>
                      </w:divBdr>
                    </w:div>
                    <w:div w:id="1742021262">
                      <w:marLeft w:val="0"/>
                      <w:marRight w:val="0"/>
                      <w:marTop w:val="0"/>
                      <w:marBottom w:val="0"/>
                      <w:divBdr>
                        <w:top w:val="none" w:sz="0" w:space="0" w:color="auto"/>
                        <w:left w:val="none" w:sz="0" w:space="0" w:color="auto"/>
                        <w:bottom w:val="none" w:sz="0" w:space="0" w:color="auto"/>
                        <w:right w:val="none" w:sz="0" w:space="0" w:color="auto"/>
                      </w:divBdr>
                    </w:div>
                  </w:divsChild>
                </w:div>
                <w:div w:id="1805077689">
                  <w:marLeft w:val="0"/>
                  <w:marRight w:val="0"/>
                  <w:marTop w:val="0"/>
                  <w:marBottom w:val="0"/>
                  <w:divBdr>
                    <w:top w:val="none" w:sz="0" w:space="0" w:color="auto"/>
                    <w:left w:val="none" w:sz="0" w:space="0" w:color="auto"/>
                    <w:bottom w:val="none" w:sz="0" w:space="0" w:color="auto"/>
                    <w:right w:val="none" w:sz="0" w:space="0" w:color="auto"/>
                  </w:divBdr>
                  <w:divsChild>
                    <w:div w:id="1747190530">
                      <w:marLeft w:val="0"/>
                      <w:marRight w:val="0"/>
                      <w:marTop w:val="0"/>
                      <w:marBottom w:val="0"/>
                      <w:divBdr>
                        <w:top w:val="none" w:sz="0" w:space="0" w:color="auto"/>
                        <w:left w:val="none" w:sz="0" w:space="0" w:color="auto"/>
                        <w:bottom w:val="none" w:sz="0" w:space="0" w:color="auto"/>
                        <w:right w:val="none" w:sz="0" w:space="0" w:color="auto"/>
                      </w:divBdr>
                    </w:div>
                  </w:divsChild>
                </w:div>
                <w:div w:id="1811940798">
                  <w:marLeft w:val="0"/>
                  <w:marRight w:val="0"/>
                  <w:marTop w:val="0"/>
                  <w:marBottom w:val="0"/>
                  <w:divBdr>
                    <w:top w:val="none" w:sz="0" w:space="0" w:color="auto"/>
                    <w:left w:val="none" w:sz="0" w:space="0" w:color="auto"/>
                    <w:bottom w:val="none" w:sz="0" w:space="0" w:color="auto"/>
                    <w:right w:val="none" w:sz="0" w:space="0" w:color="auto"/>
                  </w:divBdr>
                  <w:divsChild>
                    <w:div w:id="843669243">
                      <w:marLeft w:val="0"/>
                      <w:marRight w:val="0"/>
                      <w:marTop w:val="0"/>
                      <w:marBottom w:val="0"/>
                      <w:divBdr>
                        <w:top w:val="none" w:sz="0" w:space="0" w:color="auto"/>
                        <w:left w:val="none" w:sz="0" w:space="0" w:color="auto"/>
                        <w:bottom w:val="none" w:sz="0" w:space="0" w:color="auto"/>
                        <w:right w:val="none" w:sz="0" w:space="0" w:color="auto"/>
                      </w:divBdr>
                    </w:div>
                  </w:divsChild>
                </w:div>
                <w:div w:id="1814373261">
                  <w:marLeft w:val="0"/>
                  <w:marRight w:val="0"/>
                  <w:marTop w:val="0"/>
                  <w:marBottom w:val="0"/>
                  <w:divBdr>
                    <w:top w:val="none" w:sz="0" w:space="0" w:color="auto"/>
                    <w:left w:val="none" w:sz="0" w:space="0" w:color="auto"/>
                    <w:bottom w:val="none" w:sz="0" w:space="0" w:color="auto"/>
                    <w:right w:val="none" w:sz="0" w:space="0" w:color="auto"/>
                  </w:divBdr>
                  <w:divsChild>
                    <w:div w:id="734085831">
                      <w:marLeft w:val="0"/>
                      <w:marRight w:val="0"/>
                      <w:marTop w:val="0"/>
                      <w:marBottom w:val="0"/>
                      <w:divBdr>
                        <w:top w:val="none" w:sz="0" w:space="0" w:color="auto"/>
                        <w:left w:val="none" w:sz="0" w:space="0" w:color="auto"/>
                        <w:bottom w:val="none" w:sz="0" w:space="0" w:color="auto"/>
                        <w:right w:val="none" w:sz="0" w:space="0" w:color="auto"/>
                      </w:divBdr>
                    </w:div>
                  </w:divsChild>
                </w:div>
                <w:div w:id="1815295532">
                  <w:marLeft w:val="0"/>
                  <w:marRight w:val="0"/>
                  <w:marTop w:val="0"/>
                  <w:marBottom w:val="0"/>
                  <w:divBdr>
                    <w:top w:val="none" w:sz="0" w:space="0" w:color="auto"/>
                    <w:left w:val="none" w:sz="0" w:space="0" w:color="auto"/>
                    <w:bottom w:val="none" w:sz="0" w:space="0" w:color="auto"/>
                    <w:right w:val="none" w:sz="0" w:space="0" w:color="auto"/>
                  </w:divBdr>
                  <w:divsChild>
                    <w:div w:id="1676569490">
                      <w:marLeft w:val="0"/>
                      <w:marRight w:val="0"/>
                      <w:marTop w:val="0"/>
                      <w:marBottom w:val="0"/>
                      <w:divBdr>
                        <w:top w:val="none" w:sz="0" w:space="0" w:color="auto"/>
                        <w:left w:val="none" w:sz="0" w:space="0" w:color="auto"/>
                        <w:bottom w:val="none" w:sz="0" w:space="0" w:color="auto"/>
                        <w:right w:val="none" w:sz="0" w:space="0" w:color="auto"/>
                      </w:divBdr>
                    </w:div>
                  </w:divsChild>
                </w:div>
                <w:div w:id="1820341276">
                  <w:marLeft w:val="0"/>
                  <w:marRight w:val="0"/>
                  <w:marTop w:val="0"/>
                  <w:marBottom w:val="0"/>
                  <w:divBdr>
                    <w:top w:val="none" w:sz="0" w:space="0" w:color="auto"/>
                    <w:left w:val="none" w:sz="0" w:space="0" w:color="auto"/>
                    <w:bottom w:val="none" w:sz="0" w:space="0" w:color="auto"/>
                    <w:right w:val="none" w:sz="0" w:space="0" w:color="auto"/>
                  </w:divBdr>
                  <w:divsChild>
                    <w:div w:id="1247685761">
                      <w:marLeft w:val="0"/>
                      <w:marRight w:val="0"/>
                      <w:marTop w:val="0"/>
                      <w:marBottom w:val="0"/>
                      <w:divBdr>
                        <w:top w:val="none" w:sz="0" w:space="0" w:color="auto"/>
                        <w:left w:val="none" w:sz="0" w:space="0" w:color="auto"/>
                        <w:bottom w:val="none" w:sz="0" w:space="0" w:color="auto"/>
                        <w:right w:val="none" w:sz="0" w:space="0" w:color="auto"/>
                      </w:divBdr>
                    </w:div>
                  </w:divsChild>
                </w:div>
                <w:div w:id="1821994481">
                  <w:marLeft w:val="0"/>
                  <w:marRight w:val="0"/>
                  <w:marTop w:val="0"/>
                  <w:marBottom w:val="0"/>
                  <w:divBdr>
                    <w:top w:val="none" w:sz="0" w:space="0" w:color="auto"/>
                    <w:left w:val="none" w:sz="0" w:space="0" w:color="auto"/>
                    <w:bottom w:val="none" w:sz="0" w:space="0" w:color="auto"/>
                    <w:right w:val="none" w:sz="0" w:space="0" w:color="auto"/>
                  </w:divBdr>
                  <w:divsChild>
                    <w:div w:id="2070496827">
                      <w:marLeft w:val="0"/>
                      <w:marRight w:val="0"/>
                      <w:marTop w:val="0"/>
                      <w:marBottom w:val="0"/>
                      <w:divBdr>
                        <w:top w:val="none" w:sz="0" w:space="0" w:color="auto"/>
                        <w:left w:val="none" w:sz="0" w:space="0" w:color="auto"/>
                        <w:bottom w:val="none" w:sz="0" w:space="0" w:color="auto"/>
                        <w:right w:val="none" w:sz="0" w:space="0" w:color="auto"/>
                      </w:divBdr>
                    </w:div>
                  </w:divsChild>
                </w:div>
                <w:div w:id="1823620251">
                  <w:marLeft w:val="0"/>
                  <w:marRight w:val="0"/>
                  <w:marTop w:val="0"/>
                  <w:marBottom w:val="0"/>
                  <w:divBdr>
                    <w:top w:val="none" w:sz="0" w:space="0" w:color="auto"/>
                    <w:left w:val="none" w:sz="0" w:space="0" w:color="auto"/>
                    <w:bottom w:val="none" w:sz="0" w:space="0" w:color="auto"/>
                    <w:right w:val="none" w:sz="0" w:space="0" w:color="auto"/>
                  </w:divBdr>
                  <w:divsChild>
                    <w:div w:id="1737508375">
                      <w:marLeft w:val="0"/>
                      <w:marRight w:val="0"/>
                      <w:marTop w:val="0"/>
                      <w:marBottom w:val="0"/>
                      <w:divBdr>
                        <w:top w:val="none" w:sz="0" w:space="0" w:color="auto"/>
                        <w:left w:val="none" w:sz="0" w:space="0" w:color="auto"/>
                        <w:bottom w:val="none" w:sz="0" w:space="0" w:color="auto"/>
                        <w:right w:val="none" w:sz="0" w:space="0" w:color="auto"/>
                      </w:divBdr>
                    </w:div>
                  </w:divsChild>
                </w:div>
                <w:div w:id="1825968468">
                  <w:marLeft w:val="0"/>
                  <w:marRight w:val="0"/>
                  <w:marTop w:val="0"/>
                  <w:marBottom w:val="0"/>
                  <w:divBdr>
                    <w:top w:val="none" w:sz="0" w:space="0" w:color="auto"/>
                    <w:left w:val="none" w:sz="0" w:space="0" w:color="auto"/>
                    <w:bottom w:val="none" w:sz="0" w:space="0" w:color="auto"/>
                    <w:right w:val="none" w:sz="0" w:space="0" w:color="auto"/>
                  </w:divBdr>
                  <w:divsChild>
                    <w:div w:id="239487875">
                      <w:marLeft w:val="0"/>
                      <w:marRight w:val="0"/>
                      <w:marTop w:val="0"/>
                      <w:marBottom w:val="0"/>
                      <w:divBdr>
                        <w:top w:val="none" w:sz="0" w:space="0" w:color="auto"/>
                        <w:left w:val="none" w:sz="0" w:space="0" w:color="auto"/>
                        <w:bottom w:val="none" w:sz="0" w:space="0" w:color="auto"/>
                        <w:right w:val="none" w:sz="0" w:space="0" w:color="auto"/>
                      </w:divBdr>
                    </w:div>
                  </w:divsChild>
                </w:div>
                <w:div w:id="1837838511">
                  <w:marLeft w:val="0"/>
                  <w:marRight w:val="0"/>
                  <w:marTop w:val="0"/>
                  <w:marBottom w:val="0"/>
                  <w:divBdr>
                    <w:top w:val="none" w:sz="0" w:space="0" w:color="auto"/>
                    <w:left w:val="none" w:sz="0" w:space="0" w:color="auto"/>
                    <w:bottom w:val="none" w:sz="0" w:space="0" w:color="auto"/>
                    <w:right w:val="none" w:sz="0" w:space="0" w:color="auto"/>
                  </w:divBdr>
                  <w:divsChild>
                    <w:div w:id="1121145671">
                      <w:marLeft w:val="0"/>
                      <w:marRight w:val="0"/>
                      <w:marTop w:val="0"/>
                      <w:marBottom w:val="0"/>
                      <w:divBdr>
                        <w:top w:val="none" w:sz="0" w:space="0" w:color="auto"/>
                        <w:left w:val="none" w:sz="0" w:space="0" w:color="auto"/>
                        <w:bottom w:val="none" w:sz="0" w:space="0" w:color="auto"/>
                        <w:right w:val="none" w:sz="0" w:space="0" w:color="auto"/>
                      </w:divBdr>
                    </w:div>
                  </w:divsChild>
                </w:div>
                <w:div w:id="1838960193">
                  <w:marLeft w:val="0"/>
                  <w:marRight w:val="0"/>
                  <w:marTop w:val="0"/>
                  <w:marBottom w:val="0"/>
                  <w:divBdr>
                    <w:top w:val="none" w:sz="0" w:space="0" w:color="auto"/>
                    <w:left w:val="none" w:sz="0" w:space="0" w:color="auto"/>
                    <w:bottom w:val="none" w:sz="0" w:space="0" w:color="auto"/>
                    <w:right w:val="none" w:sz="0" w:space="0" w:color="auto"/>
                  </w:divBdr>
                  <w:divsChild>
                    <w:div w:id="839393295">
                      <w:marLeft w:val="0"/>
                      <w:marRight w:val="0"/>
                      <w:marTop w:val="0"/>
                      <w:marBottom w:val="0"/>
                      <w:divBdr>
                        <w:top w:val="none" w:sz="0" w:space="0" w:color="auto"/>
                        <w:left w:val="none" w:sz="0" w:space="0" w:color="auto"/>
                        <w:bottom w:val="none" w:sz="0" w:space="0" w:color="auto"/>
                        <w:right w:val="none" w:sz="0" w:space="0" w:color="auto"/>
                      </w:divBdr>
                    </w:div>
                  </w:divsChild>
                </w:div>
                <w:div w:id="1847860925">
                  <w:marLeft w:val="0"/>
                  <w:marRight w:val="0"/>
                  <w:marTop w:val="0"/>
                  <w:marBottom w:val="0"/>
                  <w:divBdr>
                    <w:top w:val="none" w:sz="0" w:space="0" w:color="auto"/>
                    <w:left w:val="none" w:sz="0" w:space="0" w:color="auto"/>
                    <w:bottom w:val="none" w:sz="0" w:space="0" w:color="auto"/>
                    <w:right w:val="none" w:sz="0" w:space="0" w:color="auto"/>
                  </w:divBdr>
                  <w:divsChild>
                    <w:div w:id="1753891721">
                      <w:marLeft w:val="0"/>
                      <w:marRight w:val="0"/>
                      <w:marTop w:val="0"/>
                      <w:marBottom w:val="0"/>
                      <w:divBdr>
                        <w:top w:val="none" w:sz="0" w:space="0" w:color="auto"/>
                        <w:left w:val="none" w:sz="0" w:space="0" w:color="auto"/>
                        <w:bottom w:val="none" w:sz="0" w:space="0" w:color="auto"/>
                        <w:right w:val="none" w:sz="0" w:space="0" w:color="auto"/>
                      </w:divBdr>
                    </w:div>
                  </w:divsChild>
                </w:div>
                <w:div w:id="1854302346">
                  <w:marLeft w:val="0"/>
                  <w:marRight w:val="0"/>
                  <w:marTop w:val="0"/>
                  <w:marBottom w:val="0"/>
                  <w:divBdr>
                    <w:top w:val="none" w:sz="0" w:space="0" w:color="auto"/>
                    <w:left w:val="none" w:sz="0" w:space="0" w:color="auto"/>
                    <w:bottom w:val="none" w:sz="0" w:space="0" w:color="auto"/>
                    <w:right w:val="none" w:sz="0" w:space="0" w:color="auto"/>
                  </w:divBdr>
                  <w:divsChild>
                    <w:div w:id="2083022047">
                      <w:marLeft w:val="0"/>
                      <w:marRight w:val="0"/>
                      <w:marTop w:val="0"/>
                      <w:marBottom w:val="0"/>
                      <w:divBdr>
                        <w:top w:val="none" w:sz="0" w:space="0" w:color="auto"/>
                        <w:left w:val="none" w:sz="0" w:space="0" w:color="auto"/>
                        <w:bottom w:val="none" w:sz="0" w:space="0" w:color="auto"/>
                        <w:right w:val="none" w:sz="0" w:space="0" w:color="auto"/>
                      </w:divBdr>
                    </w:div>
                  </w:divsChild>
                </w:div>
                <w:div w:id="1862232648">
                  <w:marLeft w:val="0"/>
                  <w:marRight w:val="0"/>
                  <w:marTop w:val="0"/>
                  <w:marBottom w:val="0"/>
                  <w:divBdr>
                    <w:top w:val="none" w:sz="0" w:space="0" w:color="auto"/>
                    <w:left w:val="none" w:sz="0" w:space="0" w:color="auto"/>
                    <w:bottom w:val="none" w:sz="0" w:space="0" w:color="auto"/>
                    <w:right w:val="none" w:sz="0" w:space="0" w:color="auto"/>
                  </w:divBdr>
                  <w:divsChild>
                    <w:div w:id="1063142077">
                      <w:marLeft w:val="0"/>
                      <w:marRight w:val="0"/>
                      <w:marTop w:val="0"/>
                      <w:marBottom w:val="0"/>
                      <w:divBdr>
                        <w:top w:val="none" w:sz="0" w:space="0" w:color="auto"/>
                        <w:left w:val="none" w:sz="0" w:space="0" w:color="auto"/>
                        <w:bottom w:val="none" w:sz="0" w:space="0" w:color="auto"/>
                        <w:right w:val="none" w:sz="0" w:space="0" w:color="auto"/>
                      </w:divBdr>
                    </w:div>
                  </w:divsChild>
                </w:div>
                <w:div w:id="1865484636">
                  <w:marLeft w:val="0"/>
                  <w:marRight w:val="0"/>
                  <w:marTop w:val="0"/>
                  <w:marBottom w:val="0"/>
                  <w:divBdr>
                    <w:top w:val="none" w:sz="0" w:space="0" w:color="auto"/>
                    <w:left w:val="none" w:sz="0" w:space="0" w:color="auto"/>
                    <w:bottom w:val="none" w:sz="0" w:space="0" w:color="auto"/>
                    <w:right w:val="none" w:sz="0" w:space="0" w:color="auto"/>
                  </w:divBdr>
                  <w:divsChild>
                    <w:div w:id="573974110">
                      <w:marLeft w:val="0"/>
                      <w:marRight w:val="0"/>
                      <w:marTop w:val="0"/>
                      <w:marBottom w:val="0"/>
                      <w:divBdr>
                        <w:top w:val="none" w:sz="0" w:space="0" w:color="auto"/>
                        <w:left w:val="none" w:sz="0" w:space="0" w:color="auto"/>
                        <w:bottom w:val="none" w:sz="0" w:space="0" w:color="auto"/>
                        <w:right w:val="none" w:sz="0" w:space="0" w:color="auto"/>
                      </w:divBdr>
                    </w:div>
                  </w:divsChild>
                </w:div>
                <w:div w:id="1873759116">
                  <w:marLeft w:val="0"/>
                  <w:marRight w:val="0"/>
                  <w:marTop w:val="0"/>
                  <w:marBottom w:val="0"/>
                  <w:divBdr>
                    <w:top w:val="none" w:sz="0" w:space="0" w:color="auto"/>
                    <w:left w:val="none" w:sz="0" w:space="0" w:color="auto"/>
                    <w:bottom w:val="none" w:sz="0" w:space="0" w:color="auto"/>
                    <w:right w:val="none" w:sz="0" w:space="0" w:color="auto"/>
                  </w:divBdr>
                  <w:divsChild>
                    <w:div w:id="735280910">
                      <w:marLeft w:val="0"/>
                      <w:marRight w:val="0"/>
                      <w:marTop w:val="0"/>
                      <w:marBottom w:val="0"/>
                      <w:divBdr>
                        <w:top w:val="none" w:sz="0" w:space="0" w:color="auto"/>
                        <w:left w:val="none" w:sz="0" w:space="0" w:color="auto"/>
                        <w:bottom w:val="none" w:sz="0" w:space="0" w:color="auto"/>
                        <w:right w:val="none" w:sz="0" w:space="0" w:color="auto"/>
                      </w:divBdr>
                    </w:div>
                  </w:divsChild>
                </w:div>
                <w:div w:id="1879662942">
                  <w:marLeft w:val="0"/>
                  <w:marRight w:val="0"/>
                  <w:marTop w:val="0"/>
                  <w:marBottom w:val="0"/>
                  <w:divBdr>
                    <w:top w:val="none" w:sz="0" w:space="0" w:color="auto"/>
                    <w:left w:val="none" w:sz="0" w:space="0" w:color="auto"/>
                    <w:bottom w:val="none" w:sz="0" w:space="0" w:color="auto"/>
                    <w:right w:val="none" w:sz="0" w:space="0" w:color="auto"/>
                  </w:divBdr>
                  <w:divsChild>
                    <w:div w:id="497621994">
                      <w:marLeft w:val="0"/>
                      <w:marRight w:val="0"/>
                      <w:marTop w:val="0"/>
                      <w:marBottom w:val="0"/>
                      <w:divBdr>
                        <w:top w:val="none" w:sz="0" w:space="0" w:color="auto"/>
                        <w:left w:val="none" w:sz="0" w:space="0" w:color="auto"/>
                        <w:bottom w:val="none" w:sz="0" w:space="0" w:color="auto"/>
                        <w:right w:val="none" w:sz="0" w:space="0" w:color="auto"/>
                      </w:divBdr>
                    </w:div>
                  </w:divsChild>
                </w:div>
                <w:div w:id="1888057869">
                  <w:marLeft w:val="0"/>
                  <w:marRight w:val="0"/>
                  <w:marTop w:val="0"/>
                  <w:marBottom w:val="0"/>
                  <w:divBdr>
                    <w:top w:val="none" w:sz="0" w:space="0" w:color="auto"/>
                    <w:left w:val="none" w:sz="0" w:space="0" w:color="auto"/>
                    <w:bottom w:val="none" w:sz="0" w:space="0" w:color="auto"/>
                    <w:right w:val="none" w:sz="0" w:space="0" w:color="auto"/>
                  </w:divBdr>
                  <w:divsChild>
                    <w:div w:id="885796693">
                      <w:marLeft w:val="0"/>
                      <w:marRight w:val="0"/>
                      <w:marTop w:val="0"/>
                      <w:marBottom w:val="0"/>
                      <w:divBdr>
                        <w:top w:val="none" w:sz="0" w:space="0" w:color="auto"/>
                        <w:left w:val="none" w:sz="0" w:space="0" w:color="auto"/>
                        <w:bottom w:val="none" w:sz="0" w:space="0" w:color="auto"/>
                        <w:right w:val="none" w:sz="0" w:space="0" w:color="auto"/>
                      </w:divBdr>
                    </w:div>
                  </w:divsChild>
                </w:div>
                <w:div w:id="1911694728">
                  <w:marLeft w:val="0"/>
                  <w:marRight w:val="0"/>
                  <w:marTop w:val="0"/>
                  <w:marBottom w:val="0"/>
                  <w:divBdr>
                    <w:top w:val="none" w:sz="0" w:space="0" w:color="auto"/>
                    <w:left w:val="none" w:sz="0" w:space="0" w:color="auto"/>
                    <w:bottom w:val="none" w:sz="0" w:space="0" w:color="auto"/>
                    <w:right w:val="none" w:sz="0" w:space="0" w:color="auto"/>
                  </w:divBdr>
                  <w:divsChild>
                    <w:div w:id="831409394">
                      <w:marLeft w:val="0"/>
                      <w:marRight w:val="0"/>
                      <w:marTop w:val="0"/>
                      <w:marBottom w:val="0"/>
                      <w:divBdr>
                        <w:top w:val="none" w:sz="0" w:space="0" w:color="auto"/>
                        <w:left w:val="none" w:sz="0" w:space="0" w:color="auto"/>
                        <w:bottom w:val="none" w:sz="0" w:space="0" w:color="auto"/>
                        <w:right w:val="none" w:sz="0" w:space="0" w:color="auto"/>
                      </w:divBdr>
                    </w:div>
                  </w:divsChild>
                </w:div>
                <w:div w:id="1920746635">
                  <w:marLeft w:val="0"/>
                  <w:marRight w:val="0"/>
                  <w:marTop w:val="0"/>
                  <w:marBottom w:val="0"/>
                  <w:divBdr>
                    <w:top w:val="none" w:sz="0" w:space="0" w:color="auto"/>
                    <w:left w:val="none" w:sz="0" w:space="0" w:color="auto"/>
                    <w:bottom w:val="none" w:sz="0" w:space="0" w:color="auto"/>
                    <w:right w:val="none" w:sz="0" w:space="0" w:color="auto"/>
                  </w:divBdr>
                  <w:divsChild>
                    <w:div w:id="2128816647">
                      <w:marLeft w:val="0"/>
                      <w:marRight w:val="0"/>
                      <w:marTop w:val="0"/>
                      <w:marBottom w:val="0"/>
                      <w:divBdr>
                        <w:top w:val="none" w:sz="0" w:space="0" w:color="auto"/>
                        <w:left w:val="none" w:sz="0" w:space="0" w:color="auto"/>
                        <w:bottom w:val="none" w:sz="0" w:space="0" w:color="auto"/>
                        <w:right w:val="none" w:sz="0" w:space="0" w:color="auto"/>
                      </w:divBdr>
                    </w:div>
                  </w:divsChild>
                </w:div>
                <w:div w:id="1923564160">
                  <w:marLeft w:val="0"/>
                  <w:marRight w:val="0"/>
                  <w:marTop w:val="0"/>
                  <w:marBottom w:val="0"/>
                  <w:divBdr>
                    <w:top w:val="none" w:sz="0" w:space="0" w:color="auto"/>
                    <w:left w:val="none" w:sz="0" w:space="0" w:color="auto"/>
                    <w:bottom w:val="none" w:sz="0" w:space="0" w:color="auto"/>
                    <w:right w:val="none" w:sz="0" w:space="0" w:color="auto"/>
                  </w:divBdr>
                  <w:divsChild>
                    <w:div w:id="1613708188">
                      <w:marLeft w:val="0"/>
                      <w:marRight w:val="0"/>
                      <w:marTop w:val="0"/>
                      <w:marBottom w:val="0"/>
                      <w:divBdr>
                        <w:top w:val="none" w:sz="0" w:space="0" w:color="auto"/>
                        <w:left w:val="none" w:sz="0" w:space="0" w:color="auto"/>
                        <w:bottom w:val="none" w:sz="0" w:space="0" w:color="auto"/>
                        <w:right w:val="none" w:sz="0" w:space="0" w:color="auto"/>
                      </w:divBdr>
                    </w:div>
                  </w:divsChild>
                </w:div>
                <w:div w:id="1926568254">
                  <w:marLeft w:val="0"/>
                  <w:marRight w:val="0"/>
                  <w:marTop w:val="0"/>
                  <w:marBottom w:val="0"/>
                  <w:divBdr>
                    <w:top w:val="none" w:sz="0" w:space="0" w:color="auto"/>
                    <w:left w:val="none" w:sz="0" w:space="0" w:color="auto"/>
                    <w:bottom w:val="none" w:sz="0" w:space="0" w:color="auto"/>
                    <w:right w:val="none" w:sz="0" w:space="0" w:color="auto"/>
                  </w:divBdr>
                  <w:divsChild>
                    <w:div w:id="124664585">
                      <w:marLeft w:val="0"/>
                      <w:marRight w:val="0"/>
                      <w:marTop w:val="0"/>
                      <w:marBottom w:val="0"/>
                      <w:divBdr>
                        <w:top w:val="none" w:sz="0" w:space="0" w:color="auto"/>
                        <w:left w:val="none" w:sz="0" w:space="0" w:color="auto"/>
                        <w:bottom w:val="none" w:sz="0" w:space="0" w:color="auto"/>
                        <w:right w:val="none" w:sz="0" w:space="0" w:color="auto"/>
                      </w:divBdr>
                    </w:div>
                  </w:divsChild>
                </w:div>
                <w:div w:id="1929265663">
                  <w:marLeft w:val="0"/>
                  <w:marRight w:val="0"/>
                  <w:marTop w:val="0"/>
                  <w:marBottom w:val="0"/>
                  <w:divBdr>
                    <w:top w:val="none" w:sz="0" w:space="0" w:color="auto"/>
                    <w:left w:val="none" w:sz="0" w:space="0" w:color="auto"/>
                    <w:bottom w:val="none" w:sz="0" w:space="0" w:color="auto"/>
                    <w:right w:val="none" w:sz="0" w:space="0" w:color="auto"/>
                  </w:divBdr>
                  <w:divsChild>
                    <w:div w:id="1965036992">
                      <w:marLeft w:val="0"/>
                      <w:marRight w:val="0"/>
                      <w:marTop w:val="0"/>
                      <w:marBottom w:val="0"/>
                      <w:divBdr>
                        <w:top w:val="none" w:sz="0" w:space="0" w:color="auto"/>
                        <w:left w:val="none" w:sz="0" w:space="0" w:color="auto"/>
                        <w:bottom w:val="none" w:sz="0" w:space="0" w:color="auto"/>
                        <w:right w:val="none" w:sz="0" w:space="0" w:color="auto"/>
                      </w:divBdr>
                    </w:div>
                  </w:divsChild>
                </w:div>
                <w:div w:id="1950121450">
                  <w:marLeft w:val="0"/>
                  <w:marRight w:val="0"/>
                  <w:marTop w:val="0"/>
                  <w:marBottom w:val="0"/>
                  <w:divBdr>
                    <w:top w:val="none" w:sz="0" w:space="0" w:color="auto"/>
                    <w:left w:val="none" w:sz="0" w:space="0" w:color="auto"/>
                    <w:bottom w:val="none" w:sz="0" w:space="0" w:color="auto"/>
                    <w:right w:val="none" w:sz="0" w:space="0" w:color="auto"/>
                  </w:divBdr>
                  <w:divsChild>
                    <w:div w:id="1003043897">
                      <w:marLeft w:val="0"/>
                      <w:marRight w:val="0"/>
                      <w:marTop w:val="0"/>
                      <w:marBottom w:val="0"/>
                      <w:divBdr>
                        <w:top w:val="none" w:sz="0" w:space="0" w:color="auto"/>
                        <w:left w:val="none" w:sz="0" w:space="0" w:color="auto"/>
                        <w:bottom w:val="none" w:sz="0" w:space="0" w:color="auto"/>
                        <w:right w:val="none" w:sz="0" w:space="0" w:color="auto"/>
                      </w:divBdr>
                    </w:div>
                  </w:divsChild>
                </w:div>
                <w:div w:id="1951400568">
                  <w:marLeft w:val="0"/>
                  <w:marRight w:val="0"/>
                  <w:marTop w:val="0"/>
                  <w:marBottom w:val="0"/>
                  <w:divBdr>
                    <w:top w:val="none" w:sz="0" w:space="0" w:color="auto"/>
                    <w:left w:val="none" w:sz="0" w:space="0" w:color="auto"/>
                    <w:bottom w:val="none" w:sz="0" w:space="0" w:color="auto"/>
                    <w:right w:val="none" w:sz="0" w:space="0" w:color="auto"/>
                  </w:divBdr>
                  <w:divsChild>
                    <w:div w:id="74978849">
                      <w:marLeft w:val="0"/>
                      <w:marRight w:val="0"/>
                      <w:marTop w:val="0"/>
                      <w:marBottom w:val="0"/>
                      <w:divBdr>
                        <w:top w:val="none" w:sz="0" w:space="0" w:color="auto"/>
                        <w:left w:val="none" w:sz="0" w:space="0" w:color="auto"/>
                        <w:bottom w:val="none" w:sz="0" w:space="0" w:color="auto"/>
                        <w:right w:val="none" w:sz="0" w:space="0" w:color="auto"/>
                      </w:divBdr>
                    </w:div>
                  </w:divsChild>
                </w:div>
                <w:div w:id="1958103666">
                  <w:marLeft w:val="0"/>
                  <w:marRight w:val="0"/>
                  <w:marTop w:val="0"/>
                  <w:marBottom w:val="0"/>
                  <w:divBdr>
                    <w:top w:val="none" w:sz="0" w:space="0" w:color="auto"/>
                    <w:left w:val="none" w:sz="0" w:space="0" w:color="auto"/>
                    <w:bottom w:val="none" w:sz="0" w:space="0" w:color="auto"/>
                    <w:right w:val="none" w:sz="0" w:space="0" w:color="auto"/>
                  </w:divBdr>
                  <w:divsChild>
                    <w:div w:id="1458914996">
                      <w:marLeft w:val="0"/>
                      <w:marRight w:val="0"/>
                      <w:marTop w:val="0"/>
                      <w:marBottom w:val="0"/>
                      <w:divBdr>
                        <w:top w:val="none" w:sz="0" w:space="0" w:color="auto"/>
                        <w:left w:val="none" w:sz="0" w:space="0" w:color="auto"/>
                        <w:bottom w:val="none" w:sz="0" w:space="0" w:color="auto"/>
                        <w:right w:val="none" w:sz="0" w:space="0" w:color="auto"/>
                      </w:divBdr>
                    </w:div>
                  </w:divsChild>
                </w:div>
                <w:div w:id="1962225920">
                  <w:marLeft w:val="0"/>
                  <w:marRight w:val="0"/>
                  <w:marTop w:val="0"/>
                  <w:marBottom w:val="0"/>
                  <w:divBdr>
                    <w:top w:val="none" w:sz="0" w:space="0" w:color="auto"/>
                    <w:left w:val="none" w:sz="0" w:space="0" w:color="auto"/>
                    <w:bottom w:val="none" w:sz="0" w:space="0" w:color="auto"/>
                    <w:right w:val="none" w:sz="0" w:space="0" w:color="auto"/>
                  </w:divBdr>
                  <w:divsChild>
                    <w:div w:id="801657026">
                      <w:marLeft w:val="0"/>
                      <w:marRight w:val="0"/>
                      <w:marTop w:val="0"/>
                      <w:marBottom w:val="0"/>
                      <w:divBdr>
                        <w:top w:val="none" w:sz="0" w:space="0" w:color="auto"/>
                        <w:left w:val="none" w:sz="0" w:space="0" w:color="auto"/>
                        <w:bottom w:val="none" w:sz="0" w:space="0" w:color="auto"/>
                        <w:right w:val="none" w:sz="0" w:space="0" w:color="auto"/>
                      </w:divBdr>
                    </w:div>
                    <w:div w:id="1378431986">
                      <w:marLeft w:val="0"/>
                      <w:marRight w:val="0"/>
                      <w:marTop w:val="0"/>
                      <w:marBottom w:val="0"/>
                      <w:divBdr>
                        <w:top w:val="none" w:sz="0" w:space="0" w:color="auto"/>
                        <w:left w:val="none" w:sz="0" w:space="0" w:color="auto"/>
                        <w:bottom w:val="none" w:sz="0" w:space="0" w:color="auto"/>
                        <w:right w:val="none" w:sz="0" w:space="0" w:color="auto"/>
                      </w:divBdr>
                    </w:div>
                  </w:divsChild>
                </w:div>
                <w:div w:id="1963729996">
                  <w:marLeft w:val="0"/>
                  <w:marRight w:val="0"/>
                  <w:marTop w:val="0"/>
                  <w:marBottom w:val="0"/>
                  <w:divBdr>
                    <w:top w:val="none" w:sz="0" w:space="0" w:color="auto"/>
                    <w:left w:val="none" w:sz="0" w:space="0" w:color="auto"/>
                    <w:bottom w:val="none" w:sz="0" w:space="0" w:color="auto"/>
                    <w:right w:val="none" w:sz="0" w:space="0" w:color="auto"/>
                  </w:divBdr>
                  <w:divsChild>
                    <w:div w:id="1801529520">
                      <w:marLeft w:val="0"/>
                      <w:marRight w:val="0"/>
                      <w:marTop w:val="0"/>
                      <w:marBottom w:val="0"/>
                      <w:divBdr>
                        <w:top w:val="none" w:sz="0" w:space="0" w:color="auto"/>
                        <w:left w:val="none" w:sz="0" w:space="0" w:color="auto"/>
                        <w:bottom w:val="none" w:sz="0" w:space="0" w:color="auto"/>
                        <w:right w:val="none" w:sz="0" w:space="0" w:color="auto"/>
                      </w:divBdr>
                    </w:div>
                  </w:divsChild>
                </w:div>
                <w:div w:id="1964916380">
                  <w:marLeft w:val="0"/>
                  <w:marRight w:val="0"/>
                  <w:marTop w:val="0"/>
                  <w:marBottom w:val="0"/>
                  <w:divBdr>
                    <w:top w:val="none" w:sz="0" w:space="0" w:color="auto"/>
                    <w:left w:val="none" w:sz="0" w:space="0" w:color="auto"/>
                    <w:bottom w:val="none" w:sz="0" w:space="0" w:color="auto"/>
                    <w:right w:val="none" w:sz="0" w:space="0" w:color="auto"/>
                  </w:divBdr>
                  <w:divsChild>
                    <w:div w:id="67699975">
                      <w:marLeft w:val="0"/>
                      <w:marRight w:val="0"/>
                      <w:marTop w:val="0"/>
                      <w:marBottom w:val="0"/>
                      <w:divBdr>
                        <w:top w:val="none" w:sz="0" w:space="0" w:color="auto"/>
                        <w:left w:val="none" w:sz="0" w:space="0" w:color="auto"/>
                        <w:bottom w:val="none" w:sz="0" w:space="0" w:color="auto"/>
                        <w:right w:val="none" w:sz="0" w:space="0" w:color="auto"/>
                      </w:divBdr>
                    </w:div>
                  </w:divsChild>
                </w:div>
                <w:div w:id="1978803089">
                  <w:marLeft w:val="0"/>
                  <w:marRight w:val="0"/>
                  <w:marTop w:val="0"/>
                  <w:marBottom w:val="0"/>
                  <w:divBdr>
                    <w:top w:val="none" w:sz="0" w:space="0" w:color="auto"/>
                    <w:left w:val="none" w:sz="0" w:space="0" w:color="auto"/>
                    <w:bottom w:val="none" w:sz="0" w:space="0" w:color="auto"/>
                    <w:right w:val="none" w:sz="0" w:space="0" w:color="auto"/>
                  </w:divBdr>
                  <w:divsChild>
                    <w:div w:id="1585652334">
                      <w:marLeft w:val="0"/>
                      <w:marRight w:val="0"/>
                      <w:marTop w:val="0"/>
                      <w:marBottom w:val="0"/>
                      <w:divBdr>
                        <w:top w:val="none" w:sz="0" w:space="0" w:color="auto"/>
                        <w:left w:val="none" w:sz="0" w:space="0" w:color="auto"/>
                        <w:bottom w:val="none" w:sz="0" w:space="0" w:color="auto"/>
                        <w:right w:val="none" w:sz="0" w:space="0" w:color="auto"/>
                      </w:divBdr>
                    </w:div>
                  </w:divsChild>
                </w:div>
                <w:div w:id="1992173416">
                  <w:marLeft w:val="0"/>
                  <w:marRight w:val="0"/>
                  <w:marTop w:val="0"/>
                  <w:marBottom w:val="0"/>
                  <w:divBdr>
                    <w:top w:val="none" w:sz="0" w:space="0" w:color="auto"/>
                    <w:left w:val="none" w:sz="0" w:space="0" w:color="auto"/>
                    <w:bottom w:val="none" w:sz="0" w:space="0" w:color="auto"/>
                    <w:right w:val="none" w:sz="0" w:space="0" w:color="auto"/>
                  </w:divBdr>
                  <w:divsChild>
                    <w:div w:id="1183590595">
                      <w:marLeft w:val="0"/>
                      <w:marRight w:val="0"/>
                      <w:marTop w:val="0"/>
                      <w:marBottom w:val="0"/>
                      <w:divBdr>
                        <w:top w:val="none" w:sz="0" w:space="0" w:color="auto"/>
                        <w:left w:val="none" w:sz="0" w:space="0" w:color="auto"/>
                        <w:bottom w:val="none" w:sz="0" w:space="0" w:color="auto"/>
                        <w:right w:val="none" w:sz="0" w:space="0" w:color="auto"/>
                      </w:divBdr>
                    </w:div>
                    <w:div w:id="1644238539">
                      <w:marLeft w:val="0"/>
                      <w:marRight w:val="0"/>
                      <w:marTop w:val="0"/>
                      <w:marBottom w:val="0"/>
                      <w:divBdr>
                        <w:top w:val="none" w:sz="0" w:space="0" w:color="auto"/>
                        <w:left w:val="none" w:sz="0" w:space="0" w:color="auto"/>
                        <w:bottom w:val="none" w:sz="0" w:space="0" w:color="auto"/>
                        <w:right w:val="none" w:sz="0" w:space="0" w:color="auto"/>
                      </w:divBdr>
                    </w:div>
                  </w:divsChild>
                </w:div>
                <w:div w:id="1997418994">
                  <w:marLeft w:val="0"/>
                  <w:marRight w:val="0"/>
                  <w:marTop w:val="0"/>
                  <w:marBottom w:val="0"/>
                  <w:divBdr>
                    <w:top w:val="none" w:sz="0" w:space="0" w:color="auto"/>
                    <w:left w:val="none" w:sz="0" w:space="0" w:color="auto"/>
                    <w:bottom w:val="none" w:sz="0" w:space="0" w:color="auto"/>
                    <w:right w:val="none" w:sz="0" w:space="0" w:color="auto"/>
                  </w:divBdr>
                  <w:divsChild>
                    <w:div w:id="1315917402">
                      <w:marLeft w:val="0"/>
                      <w:marRight w:val="0"/>
                      <w:marTop w:val="0"/>
                      <w:marBottom w:val="0"/>
                      <w:divBdr>
                        <w:top w:val="none" w:sz="0" w:space="0" w:color="auto"/>
                        <w:left w:val="none" w:sz="0" w:space="0" w:color="auto"/>
                        <w:bottom w:val="none" w:sz="0" w:space="0" w:color="auto"/>
                        <w:right w:val="none" w:sz="0" w:space="0" w:color="auto"/>
                      </w:divBdr>
                    </w:div>
                  </w:divsChild>
                </w:div>
                <w:div w:id="1997609156">
                  <w:marLeft w:val="0"/>
                  <w:marRight w:val="0"/>
                  <w:marTop w:val="0"/>
                  <w:marBottom w:val="0"/>
                  <w:divBdr>
                    <w:top w:val="none" w:sz="0" w:space="0" w:color="auto"/>
                    <w:left w:val="none" w:sz="0" w:space="0" w:color="auto"/>
                    <w:bottom w:val="none" w:sz="0" w:space="0" w:color="auto"/>
                    <w:right w:val="none" w:sz="0" w:space="0" w:color="auto"/>
                  </w:divBdr>
                  <w:divsChild>
                    <w:div w:id="1188956444">
                      <w:marLeft w:val="0"/>
                      <w:marRight w:val="0"/>
                      <w:marTop w:val="0"/>
                      <w:marBottom w:val="0"/>
                      <w:divBdr>
                        <w:top w:val="none" w:sz="0" w:space="0" w:color="auto"/>
                        <w:left w:val="none" w:sz="0" w:space="0" w:color="auto"/>
                        <w:bottom w:val="none" w:sz="0" w:space="0" w:color="auto"/>
                        <w:right w:val="none" w:sz="0" w:space="0" w:color="auto"/>
                      </w:divBdr>
                    </w:div>
                  </w:divsChild>
                </w:div>
                <w:div w:id="2000381790">
                  <w:marLeft w:val="0"/>
                  <w:marRight w:val="0"/>
                  <w:marTop w:val="0"/>
                  <w:marBottom w:val="0"/>
                  <w:divBdr>
                    <w:top w:val="none" w:sz="0" w:space="0" w:color="auto"/>
                    <w:left w:val="none" w:sz="0" w:space="0" w:color="auto"/>
                    <w:bottom w:val="none" w:sz="0" w:space="0" w:color="auto"/>
                    <w:right w:val="none" w:sz="0" w:space="0" w:color="auto"/>
                  </w:divBdr>
                  <w:divsChild>
                    <w:div w:id="48891883">
                      <w:marLeft w:val="0"/>
                      <w:marRight w:val="0"/>
                      <w:marTop w:val="0"/>
                      <w:marBottom w:val="0"/>
                      <w:divBdr>
                        <w:top w:val="none" w:sz="0" w:space="0" w:color="auto"/>
                        <w:left w:val="none" w:sz="0" w:space="0" w:color="auto"/>
                        <w:bottom w:val="none" w:sz="0" w:space="0" w:color="auto"/>
                        <w:right w:val="none" w:sz="0" w:space="0" w:color="auto"/>
                      </w:divBdr>
                    </w:div>
                    <w:div w:id="594678793">
                      <w:marLeft w:val="0"/>
                      <w:marRight w:val="0"/>
                      <w:marTop w:val="0"/>
                      <w:marBottom w:val="0"/>
                      <w:divBdr>
                        <w:top w:val="none" w:sz="0" w:space="0" w:color="auto"/>
                        <w:left w:val="none" w:sz="0" w:space="0" w:color="auto"/>
                        <w:bottom w:val="none" w:sz="0" w:space="0" w:color="auto"/>
                        <w:right w:val="none" w:sz="0" w:space="0" w:color="auto"/>
                      </w:divBdr>
                    </w:div>
                    <w:div w:id="784927631">
                      <w:marLeft w:val="0"/>
                      <w:marRight w:val="0"/>
                      <w:marTop w:val="0"/>
                      <w:marBottom w:val="0"/>
                      <w:divBdr>
                        <w:top w:val="none" w:sz="0" w:space="0" w:color="auto"/>
                        <w:left w:val="none" w:sz="0" w:space="0" w:color="auto"/>
                        <w:bottom w:val="none" w:sz="0" w:space="0" w:color="auto"/>
                        <w:right w:val="none" w:sz="0" w:space="0" w:color="auto"/>
                      </w:divBdr>
                    </w:div>
                    <w:div w:id="1270965877">
                      <w:marLeft w:val="0"/>
                      <w:marRight w:val="0"/>
                      <w:marTop w:val="0"/>
                      <w:marBottom w:val="0"/>
                      <w:divBdr>
                        <w:top w:val="none" w:sz="0" w:space="0" w:color="auto"/>
                        <w:left w:val="none" w:sz="0" w:space="0" w:color="auto"/>
                        <w:bottom w:val="none" w:sz="0" w:space="0" w:color="auto"/>
                        <w:right w:val="none" w:sz="0" w:space="0" w:color="auto"/>
                      </w:divBdr>
                    </w:div>
                    <w:div w:id="1569918076">
                      <w:marLeft w:val="0"/>
                      <w:marRight w:val="0"/>
                      <w:marTop w:val="0"/>
                      <w:marBottom w:val="0"/>
                      <w:divBdr>
                        <w:top w:val="none" w:sz="0" w:space="0" w:color="auto"/>
                        <w:left w:val="none" w:sz="0" w:space="0" w:color="auto"/>
                        <w:bottom w:val="none" w:sz="0" w:space="0" w:color="auto"/>
                        <w:right w:val="none" w:sz="0" w:space="0" w:color="auto"/>
                      </w:divBdr>
                    </w:div>
                    <w:div w:id="1681002697">
                      <w:marLeft w:val="0"/>
                      <w:marRight w:val="0"/>
                      <w:marTop w:val="0"/>
                      <w:marBottom w:val="0"/>
                      <w:divBdr>
                        <w:top w:val="none" w:sz="0" w:space="0" w:color="auto"/>
                        <w:left w:val="none" w:sz="0" w:space="0" w:color="auto"/>
                        <w:bottom w:val="none" w:sz="0" w:space="0" w:color="auto"/>
                        <w:right w:val="none" w:sz="0" w:space="0" w:color="auto"/>
                      </w:divBdr>
                    </w:div>
                    <w:div w:id="1773166764">
                      <w:marLeft w:val="0"/>
                      <w:marRight w:val="0"/>
                      <w:marTop w:val="0"/>
                      <w:marBottom w:val="0"/>
                      <w:divBdr>
                        <w:top w:val="none" w:sz="0" w:space="0" w:color="auto"/>
                        <w:left w:val="none" w:sz="0" w:space="0" w:color="auto"/>
                        <w:bottom w:val="none" w:sz="0" w:space="0" w:color="auto"/>
                        <w:right w:val="none" w:sz="0" w:space="0" w:color="auto"/>
                      </w:divBdr>
                    </w:div>
                    <w:div w:id="1812867843">
                      <w:marLeft w:val="0"/>
                      <w:marRight w:val="0"/>
                      <w:marTop w:val="0"/>
                      <w:marBottom w:val="0"/>
                      <w:divBdr>
                        <w:top w:val="none" w:sz="0" w:space="0" w:color="auto"/>
                        <w:left w:val="none" w:sz="0" w:space="0" w:color="auto"/>
                        <w:bottom w:val="none" w:sz="0" w:space="0" w:color="auto"/>
                        <w:right w:val="none" w:sz="0" w:space="0" w:color="auto"/>
                      </w:divBdr>
                    </w:div>
                    <w:div w:id="1953970900">
                      <w:marLeft w:val="0"/>
                      <w:marRight w:val="0"/>
                      <w:marTop w:val="0"/>
                      <w:marBottom w:val="0"/>
                      <w:divBdr>
                        <w:top w:val="none" w:sz="0" w:space="0" w:color="auto"/>
                        <w:left w:val="none" w:sz="0" w:space="0" w:color="auto"/>
                        <w:bottom w:val="none" w:sz="0" w:space="0" w:color="auto"/>
                        <w:right w:val="none" w:sz="0" w:space="0" w:color="auto"/>
                      </w:divBdr>
                    </w:div>
                    <w:div w:id="2136020532">
                      <w:marLeft w:val="0"/>
                      <w:marRight w:val="0"/>
                      <w:marTop w:val="0"/>
                      <w:marBottom w:val="0"/>
                      <w:divBdr>
                        <w:top w:val="none" w:sz="0" w:space="0" w:color="auto"/>
                        <w:left w:val="none" w:sz="0" w:space="0" w:color="auto"/>
                        <w:bottom w:val="none" w:sz="0" w:space="0" w:color="auto"/>
                        <w:right w:val="none" w:sz="0" w:space="0" w:color="auto"/>
                      </w:divBdr>
                    </w:div>
                  </w:divsChild>
                </w:div>
                <w:div w:id="2000383568">
                  <w:marLeft w:val="0"/>
                  <w:marRight w:val="0"/>
                  <w:marTop w:val="0"/>
                  <w:marBottom w:val="0"/>
                  <w:divBdr>
                    <w:top w:val="none" w:sz="0" w:space="0" w:color="auto"/>
                    <w:left w:val="none" w:sz="0" w:space="0" w:color="auto"/>
                    <w:bottom w:val="none" w:sz="0" w:space="0" w:color="auto"/>
                    <w:right w:val="none" w:sz="0" w:space="0" w:color="auto"/>
                  </w:divBdr>
                  <w:divsChild>
                    <w:div w:id="1869904577">
                      <w:marLeft w:val="0"/>
                      <w:marRight w:val="0"/>
                      <w:marTop w:val="0"/>
                      <w:marBottom w:val="0"/>
                      <w:divBdr>
                        <w:top w:val="none" w:sz="0" w:space="0" w:color="auto"/>
                        <w:left w:val="none" w:sz="0" w:space="0" w:color="auto"/>
                        <w:bottom w:val="none" w:sz="0" w:space="0" w:color="auto"/>
                        <w:right w:val="none" w:sz="0" w:space="0" w:color="auto"/>
                      </w:divBdr>
                    </w:div>
                  </w:divsChild>
                </w:div>
                <w:div w:id="2003046810">
                  <w:marLeft w:val="0"/>
                  <w:marRight w:val="0"/>
                  <w:marTop w:val="0"/>
                  <w:marBottom w:val="0"/>
                  <w:divBdr>
                    <w:top w:val="none" w:sz="0" w:space="0" w:color="auto"/>
                    <w:left w:val="none" w:sz="0" w:space="0" w:color="auto"/>
                    <w:bottom w:val="none" w:sz="0" w:space="0" w:color="auto"/>
                    <w:right w:val="none" w:sz="0" w:space="0" w:color="auto"/>
                  </w:divBdr>
                  <w:divsChild>
                    <w:div w:id="24604322">
                      <w:marLeft w:val="0"/>
                      <w:marRight w:val="0"/>
                      <w:marTop w:val="0"/>
                      <w:marBottom w:val="0"/>
                      <w:divBdr>
                        <w:top w:val="none" w:sz="0" w:space="0" w:color="auto"/>
                        <w:left w:val="none" w:sz="0" w:space="0" w:color="auto"/>
                        <w:bottom w:val="none" w:sz="0" w:space="0" w:color="auto"/>
                        <w:right w:val="none" w:sz="0" w:space="0" w:color="auto"/>
                      </w:divBdr>
                    </w:div>
                  </w:divsChild>
                </w:div>
                <w:div w:id="2016572989">
                  <w:marLeft w:val="0"/>
                  <w:marRight w:val="0"/>
                  <w:marTop w:val="0"/>
                  <w:marBottom w:val="0"/>
                  <w:divBdr>
                    <w:top w:val="none" w:sz="0" w:space="0" w:color="auto"/>
                    <w:left w:val="none" w:sz="0" w:space="0" w:color="auto"/>
                    <w:bottom w:val="none" w:sz="0" w:space="0" w:color="auto"/>
                    <w:right w:val="none" w:sz="0" w:space="0" w:color="auto"/>
                  </w:divBdr>
                  <w:divsChild>
                    <w:div w:id="28650138">
                      <w:marLeft w:val="0"/>
                      <w:marRight w:val="0"/>
                      <w:marTop w:val="0"/>
                      <w:marBottom w:val="0"/>
                      <w:divBdr>
                        <w:top w:val="none" w:sz="0" w:space="0" w:color="auto"/>
                        <w:left w:val="none" w:sz="0" w:space="0" w:color="auto"/>
                        <w:bottom w:val="none" w:sz="0" w:space="0" w:color="auto"/>
                        <w:right w:val="none" w:sz="0" w:space="0" w:color="auto"/>
                      </w:divBdr>
                    </w:div>
                  </w:divsChild>
                </w:div>
                <w:div w:id="2022661331">
                  <w:marLeft w:val="0"/>
                  <w:marRight w:val="0"/>
                  <w:marTop w:val="0"/>
                  <w:marBottom w:val="0"/>
                  <w:divBdr>
                    <w:top w:val="none" w:sz="0" w:space="0" w:color="auto"/>
                    <w:left w:val="none" w:sz="0" w:space="0" w:color="auto"/>
                    <w:bottom w:val="none" w:sz="0" w:space="0" w:color="auto"/>
                    <w:right w:val="none" w:sz="0" w:space="0" w:color="auto"/>
                  </w:divBdr>
                  <w:divsChild>
                    <w:div w:id="921109330">
                      <w:marLeft w:val="0"/>
                      <w:marRight w:val="0"/>
                      <w:marTop w:val="0"/>
                      <w:marBottom w:val="0"/>
                      <w:divBdr>
                        <w:top w:val="none" w:sz="0" w:space="0" w:color="auto"/>
                        <w:left w:val="none" w:sz="0" w:space="0" w:color="auto"/>
                        <w:bottom w:val="none" w:sz="0" w:space="0" w:color="auto"/>
                        <w:right w:val="none" w:sz="0" w:space="0" w:color="auto"/>
                      </w:divBdr>
                    </w:div>
                  </w:divsChild>
                </w:div>
                <w:div w:id="2024820840">
                  <w:marLeft w:val="0"/>
                  <w:marRight w:val="0"/>
                  <w:marTop w:val="0"/>
                  <w:marBottom w:val="0"/>
                  <w:divBdr>
                    <w:top w:val="none" w:sz="0" w:space="0" w:color="auto"/>
                    <w:left w:val="none" w:sz="0" w:space="0" w:color="auto"/>
                    <w:bottom w:val="none" w:sz="0" w:space="0" w:color="auto"/>
                    <w:right w:val="none" w:sz="0" w:space="0" w:color="auto"/>
                  </w:divBdr>
                  <w:divsChild>
                    <w:div w:id="186335069">
                      <w:marLeft w:val="0"/>
                      <w:marRight w:val="0"/>
                      <w:marTop w:val="0"/>
                      <w:marBottom w:val="0"/>
                      <w:divBdr>
                        <w:top w:val="none" w:sz="0" w:space="0" w:color="auto"/>
                        <w:left w:val="none" w:sz="0" w:space="0" w:color="auto"/>
                        <w:bottom w:val="none" w:sz="0" w:space="0" w:color="auto"/>
                        <w:right w:val="none" w:sz="0" w:space="0" w:color="auto"/>
                      </w:divBdr>
                    </w:div>
                  </w:divsChild>
                </w:div>
                <w:div w:id="2037005288">
                  <w:marLeft w:val="0"/>
                  <w:marRight w:val="0"/>
                  <w:marTop w:val="0"/>
                  <w:marBottom w:val="0"/>
                  <w:divBdr>
                    <w:top w:val="none" w:sz="0" w:space="0" w:color="auto"/>
                    <w:left w:val="none" w:sz="0" w:space="0" w:color="auto"/>
                    <w:bottom w:val="none" w:sz="0" w:space="0" w:color="auto"/>
                    <w:right w:val="none" w:sz="0" w:space="0" w:color="auto"/>
                  </w:divBdr>
                  <w:divsChild>
                    <w:div w:id="1567304386">
                      <w:marLeft w:val="0"/>
                      <w:marRight w:val="0"/>
                      <w:marTop w:val="0"/>
                      <w:marBottom w:val="0"/>
                      <w:divBdr>
                        <w:top w:val="none" w:sz="0" w:space="0" w:color="auto"/>
                        <w:left w:val="none" w:sz="0" w:space="0" w:color="auto"/>
                        <w:bottom w:val="none" w:sz="0" w:space="0" w:color="auto"/>
                        <w:right w:val="none" w:sz="0" w:space="0" w:color="auto"/>
                      </w:divBdr>
                    </w:div>
                  </w:divsChild>
                </w:div>
                <w:div w:id="2041929752">
                  <w:marLeft w:val="0"/>
                  <w:marRight w:val="0"/>
                  <w:marTop w:val="0"/>
                  <w:marBottom w:val="0"/>
                  <w:divBdr>
                    <w:top w:val="none" w:sz="0" w:space="0" w:color="auto"/>
                    <w:left w:val="none" w:sz="0" w:space="0" w:color="auto"/>
                    <w:bottom w:val="none" w:sz="0" w:space="0" w:color="auto"/>
                    <w:right w:val="none" w:sz="0" w:space="0" w:color="auto"/>
                  </w:divBdr>
                  <w:divsChild>
                    <w:div w:id="2086687359">
                      <w:marLeft w:val="0"/>
                      <w:marRight w:val="0"/>
                      <w:marTop w:val="0"/>
                      <w:marBottom w:val="0"/>
                      <w:divBdr>
                        <w:top w:val="none" w:sz="0" w:space="0" w:color="auto"/>
                        <w:left w:val="none" w:sz="0" w:space="0" w:color="auto"/>
                        <w:bottom w:val="none" w:sz="0" w:space="0" w:color="auto"/>
                        <w:right w:val="none" w:sz="0" w:space="0" w:color="auto"/>
                      </w:divBdr>
                    </w:div>
                  </w:divsChild>
                </w:div>
                <w:div w:id="2049602116">
                  <w:marLeft w:val="0"/>
                  <w:marRight w:val="0"/>
                  <w:marTop w:val="0"/>
                  <w:marBottom w:val="0"/>
                  <w:divBdr>
                    <w:top w:val="none" w:sz="0" w:space="0" w:color="auto"/>
                    <w:left w:val="none" w:sz="0" w:space="0" w:color="auto"/>
                    <w:bottom w:val="none" w:sz="0" w:space="0" w:color="auto"/>
                    <w:right w:val="none" w:sz="0" w:space="0" w:color="auto"/>
                  </w:divBdr>
                  <w:divsChild>
                    <w:div w:id="1025323732">
                      <w:marLeft w:val="0"/>
                      <w:marRight w:val="0"/>
                      <w:marTop w:val="0"/>
                      <w:marBottom w:val="0"/>
                      <w:divBdr>
                        <w:top w:val="none" w:sz="0" w:space="0" w:color="auto"/>
                        <w:left w:val="none" w:sz="0" w:space="0" w:color="auto"/>
                        <w:bottom w:val="none" w:sz="0" w:space="0" w:color="auto"/>
                        <w:right w:val="none" w:sz="0" w:space="0" w:color="auto"/>
                      </w:divBdr>
                    </w:div>
                  </w:divsChild>
                </w:div>
                <w:div w:id="2052340339">
                  <w:marLeft w:val="0"/>
                  <w:marRight w:val="0"/>
                  <w:marTop w:val="0"/>
                  <w:marBottom w:val="0"/>
                  <w:divBdr>
                    <w:top w:val="none" w:sz="0" w:space="0" w:color="auto"/>
                    <w:left w:val="none" w:sz="0" w:space="0" w:color="auto"/>
                    <w:bottom w:val="none" w:sz="0" w:space="0" w:color="auto"/>
                    <w:right w:val="none" w:sz="0" w:space="0" w:color="auto"/>
                  </w:divBdr>
                  <w:divsChild>
                    <w:div w:id="1522819669">
                      <w:marLeft w:val="0"/>
                      <w:marRight w:val="0"/>
                      <w:marTop w:val="0"/>
                      <w:marBottom w:val="0"/>
                      <w:divBdr>
                        <w:top w:val="none" w:sz="0" w:space="0" w:color="auto"/>
                        <w:left w:val="none" w:sz="0" w:space="0" w:color="auto"/>
                        <w:bottom w:val="none" w:sz="0" w:space="0" w:color="auto"/>
                        <w:right w:val="none" w:sz="0" w:space="0" w:color="auto"/>
                      </w:divBdr>
                    </w:div>
                  </w:divsChild>
                </w:div>
                <w:div w:id="2052993127">
                  <w:marLeft w:val="0"/>
                  <w:marRight w:val="0"/>
                  <w:marTop w:val="0"/>
                  <w:marBottom w:val="0"/>
                  <w:divBdr>
                    <w:top w:val="none" w:sz="0" w:space="0" w:color="auto"/>
                    <w:left w:val="none" w:sz="0" w:space="0" w:color="auto"/>
                    <w:bottom w:val="none" w:sz="0" w:space="0" w:color="auto"/>
                    <w:right w:val="none" w:sz="0" w:space="0" w:color="auto"/>
                  </w:divBdr>
                  <w:divsChild>
                    <w:div w:id="773864784">
                      <w:marLeft w:val="0"/>
                      <w:marRight w:val="0"/>
                      <w:marTop w:val="0"/>
                      <w:marBottom w:val="0"/>
                      <w:divBdr>
                        <w:top w:val="none" w:sz="0" w:space="0" w:color="auto"/>
                        <w:left w:val="none" w:sz="0" w:space="0" w:color="auto"/>
                        <w:bottom w:val="none" w:sz="0" w:space="0" w:color="auto"/>
                        <w:right w:val="none" w:sz="0" w:space="0" w:color="auto"/>
                      </w:divBdr>
                    </w:div>
                    <w:div w:id="799767670">
                      <w:marLeft w:val="0"/>
                      <w:marRight w:val="0"/>
                      <w:marTop w:val="0"/>
                      <w:marBottom w:val="0"/>
                      <w:divBdr>
                        <w:top w:val="none" w:sz="0" w:space="0" w:color="auto"/>
                        <w:left w:val="none" w:sz="0" w:space="0" w:color="auto"/>
                        <w:bottom w:val="none" w:sz="0" w:space="0" w:color="auto"/>
                        <w:right w:val="none" w:sz="0" w:space="0" w:color="auto"/>
                      </w:divBdr>
                    </w:div>
                  </w:divsChild>
                </w:div>
                <w:div w:id="2054034890">
                  <w:marLeft w:val="0"/>
                  <w:marRight w:val="0"/>
                  <w:marTop w:val="0"/>
                  <w:marBottom w:val="0"/>
                  <w:divBdr>
                    <w:top w:val="none" w:sz="0" w:space="0" w:color="auto"/>
                    <w:left w:val="none" w:sz="0" w:space="0" w:color="auto"/>
                    <w:bottom w:val="none" w:sz="0" w:space="0" w:color="auto"/>
                    <w:right w:val="none" w:sz="0" w:space="0" w:color="auto"/>
                  </w:divBdr>
                  <w:divsChild>
                    <w:div w:id="1581792083">
                      <w:marLeft w:val="0"/>
                      <w:marRight w:val="0"/>
                      <w:marTop w:val="0"/>
                      <w:marBottom w:val="0"/>
                      <w:divBdr>
                        <w:top w:val="none" w:sz="0" w:space="0" w:color="auto"/>
                        <w:left w:val="none" w:sz="0" w:space="0" w:color="auto"/>
                        <w:bottom w:val="none" w:sz="0" w:space="0" w:color="auto"/>
                        <w:right w:val="none" w:sz="0" w:space="0" w:color="auto"/>
                      </w:divBdr>
                    </w:div>
                  </w:divsChild>
                </w:div>
                <w:div w:id="2062052374">
                  <w:marLeft w:val="0"/>
                  <w:marRight w:val="0"/>
                  <w:marTop w:val="0"/>
                  <w:marBottom w:val="0"/>
                  <w:divBdr>
                    <w:top w:val="none" w:sz="0" w:space="0" w:color="auto"/>
                    <w:left w:val="none" w:sz="0" w:space="0" w:color="auto"/>
                    <w:bottom w:val="none" w:sz="0" w:space="0" w:color="auto"/>
                    <w:right w:val="none" w:sz="0" w:space="0" w:color="auto"/>
                  </w:divBdr>
                  <w:divsChild>
                    <w:div w:id="1475104400">
                      <w:marLeft w:val="0"/>
                      <w:marRight w:val="0"/>
                      <w:marTop w:val="0"/>
                      <w:marBottom w:val="0"/>
                      <w:divBdr>
                        <w:top w:val="none" w:sz="0" w:space="0" w:color="auto"/>
                        <w:left w:val="none" w:sz="0" w:space="0" w:color="auto"/>
                        <w:bottom w:val="none" w:sz="0" w:space="0" w:color="auto"/>
                        <w:right w:val="none" w:sz="0" w:space="0" w:color="auto"/>
                      </w:divBdr>
                    </w:div>
                  </w:divsChild>
                </w:div>
                <w:div w:id="2064327138">
                  <w:marLeft w:val="0"/>
                  <w:marRight w:val="0"/>
                  <w:marTop w:val="0"/>
                  <w:marBottom w:val="0"/>
                  <w:divBdr>
                    <w:top w:val="none" w:sz="0" w:space="0" w:color="auto"/>
                    <w:left w:val="none" w:sz="0" w:space="0" w:color="auto"/>
                    <w:bottom w:val="none" w:sz="0" w:space="0" w:color="auto"/>
                    <w:right w:val="none" w:sz="0" w:space="0" w:color="auto"/>
                  </w:divBdr>
                  <w:divsChild>
                    <w:div w:id="1492411425">
                      <w:marLeft w:val="0"/>
                      <w:marRight w:val="0"/>
                      <w:marTop w:val="0"/>
                      <w:marBottom w:val="0"/>
                      <w:divBdr>
                        <w:top w:val="none" w:sz="0" w:space="0" w:color="auto"/>
                        <w:left w:val="none" w:sz="0" w:space="0" w:color="auto"/>
                        <w:bottom w:val="none" w:sz="0" w:space="0" w:color="auto"/>
                        <w:right w:val="none" w:sz="0" w:space="0" w:color="auto"/>
                      </w:divBdr>
                    </w:div>
                  </w:divsChild>
                </w:div>
                <w:div w:id="2073961318">
                  <w:marLeft w:val="0"/>
                  <w:marRight w:val="0"/>
                  <w:marTop w:val="0"/>
                  <w:marBottom w:val="0"/>
                  <w:divBdr>
                    <w:top w:val="none" w:sz="0" w:space="0" w:color="auto"/>
                    <w:left w:val="none" w:sz="0" w:space="0" w:color="auto"/>
                    <w:bottom w:val="none" w:sz="0" w:space="0" w:color="auto"/>
                    <w:right w:val="none" w:sz="0" w:space="0" w:color="auto"/>
                  </w:divBdr>
                  <w:divsChild>
                    <w:div w:id="405223424">
                      <w:marLeft w:val="0"/>
                      <w:marRight w:val="0"/>
                      <w:marTop w:val="0"/>
                      <w:marBottom w:val="0"/>
                      <w:divBdr>
                        <w:top w:val="none" w:sz="0" w:space="0" w:color="auto"/>
                        <w:left w:val="none" w:sz="0" w:space="0" w:color="auto"/>
                        <w:bottom w:val="none" w:sz="0" w:space="0" w:color="auto"/>
                        <w:right w:val="none" w:sz="0" w:space="0" w:color="auto"/>
                      </w:divBdr>
                    </w:div>
                  </w:divsChild>
                </w:div>
                <w:div w:id="2087798219">
                  <w:marLeft w:val="0"/>
                  <w:marRight w:val="0"/>
                  <w:marTop w:val="0"/>
                  <w:marBottom w:val="0"/>
                  <w:divBdr>
                    <w:top w:val="none" w:sz="0" w:space="0" w:color="auto"/>
                    <w:left w:val="none" w:sz="0" w:space="0" w:color="auto"/>
                    <w:bottom w:val="none" w:sz="0" w:space="0" w:color="auto"/>
                    <w:right w:val="none" w:sz="0" w:space="0" w:color="auto"/>
                  </w:divBdr>
                  <w:divsChild>
                    <w:div w:id="46802319">
                      <w:marLeft w:val="0"/>
                      <w:marRight w:val="0"/>
                      <w:marTop w:val="0"/>
                      <w:marBottom w:val="0"/>
                      <w:divBdr>
                        <w:top w:val="none" w:sz="0" w:space="0" w:color="auto"/>
                        <w:left w:val="none" w:sz="0" w:space="0" w:color="auto"/>
                        <w:bottom w:val="none" w:sz="0" w:space="0" w:color="auto"/>
                        <w:right w:val="none" w:sz="0" w:space="0" w:color="auto"/>
                      </w:divBdr>
                    </w:div>
                  </w:divsChild>
                </w:div>
                <w:div w:id="2092774968">
                  <w:marLeft w:val="0"/>
                  <w:marRight w:val="0"/>
                  <w:marTop w:val="0"/>
                  <w:marBottom w:val="0"/>
                  <w:divBdr>
                    <w:top w:val="none" w:sz="0" w:space="0" w:color="auto"/>
                    <w:left w:val="none" w:sz="0" w:space="0" w:color="auto"/>
                    <w:bottom w:val="none" w:sz="0" w:space="0" w:color="auto"/>
                    <w:right w:val="none" w:sz="0" w:space="0" w:color="auto"/>
                  </w:divBdr>
                  <w:divsChild>
                    <w:div w:id="1921910971">
                      <w:marLeft w:val="0"/>
                      <w:marRight w:val="0"/>
                      <w:marTop w:val="0"/>
                      <w:marBottom w:val="0"/>
                      <w:divBdr>
                        <w:top w:val="none" w:sz="0" w:space="0" w:color="auto"/>
                        <w:left w:val="none" w:sz="0" w:space="0" w:color="auto"/>
                        <w:bottom w:val="none" w:sz="0" w:space="0" w:color="auto"/>
                        <w:right w:val="none" w:sz="0" w:space="0" w:color="auto"/>
                      </w:divBdr>
                    </w:div>
                  </w:divsChild>
                </w:div>
                <w:div w:id="2095513822">
                  <w:marLeft w:val="0"/>
                  <w:marRight w:val="0"/>
                  <w:marTop w:val="0"/>
                  <w:marBottom w:val="0"/>
                  <w:divBdr>
                    <w:top w:val="none" w:sz="0" w:space="0" w:color="auto"/>
                    <w:left w:val="none" w:sz="0" w:space="0" w:color="auto"/>
                    <w:bottom w:val="none" w:sz="0" w:space="0" w:color="auto"/>
                    <w:right w:val="none" w:sz="0" w:space="0" w:color="auto"/>
                  </w:divBdr>
                  <w:divsChild>
                    <w:div w:id="1332871928">
                      <w:marLeft w:val="0"/>
                      <w:marRight w:val="0"/>
                      <w:marTop w:val="0"/>
                      <w:marBottom w:val="0"/>
                      <w:divBdr>
                        <w:top w:val="none" w:sz="0" w:space="0" w:color="auto"/>
                        <w:left w:val="none" w:sz="0" w:space="0" w:color="auto"/>
                        <w:bottom w:val="none" w:sz="0" w:space="0" w:color="auto"/>
                        <w:right w:val="none" w:sz="0" w:space="0" w:color="auto"/>
                      </w:divBdr>
                    </w:div>
                  </w:divsChild>
                </w:div>
                <w:div w:id="2143111150">
                  <w:marLeft w:val="0"/>
                  <w:marRight w:val="0"/>
                  <w:marTop w:val="0"/>
                  <w:marBottom w:val="0"/>
                  <w:divBdr>
                    <w:top w:val="none" w:sz="0" w:space="0" w:color="auto"/>
                    <w:left w:val="none" w:sz="0" w:space="0" w:color="auto"/>
                    <w:bottom w:val="none" w:sz="0" w:space="0" w:color="auto"/>
                    <w:right w:val="none" w:sz="0" w:space="0" w:color="auto"/>
                  </w:divBdr>
                  <w:divsChild>
                    <w:div w:id="19424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96745">
          <w:marLeft w:val="0"/>
          <w:marRight w:val="0"/>
          <w:marTop w:val="0"/>
          <w:marBottom w:val="0"/>
          <w:divBdr>
            <w:top w:val="none" w:sz="0" w:space="0" w:color="auto"/>
            <w:left w:val="none" w:sz="0" w:space="0" w:color="auto"/>
            <w:bottom w:val="none" w:sz="0" w:space="0" w:color="auto"/>
            <w:right w:val="none" w:sz="0" w:space="0" w:color="auto"/>
          </w:divBdr>
        </w:div>
      </w:divsChild>
    </w:div>
    <w:div w:id="285939515">
      <w:bodyDiv w:val="1"/>
      <w:marLeft w:val="0"/>
      <w:marRight w:val="0"/>
      <w:marTop w:val="0"/>
      <w:marBottom w:val="0"/>
      <w:divBdr>
        <w:top w:val="none" w:sz="0" w:space="0" w:color="auto"/>
        <w:left w:val="none" w:sz="0" w:space="0" w:color="auto"/>
        <w:bottom w:val="none" w:sz="0" w:space="0" w:color="auto"/>
        <w:right w:val="none" w:sz="0" w:space="0" w:color="auto"/>
      </w:divBdr>
    </w:div>
    <w:div w:id="298262614">
      <w:bodyDiv w:val="1"/>
      <w:marLeft w:val="0"/>
      <w:marRight w:val="0"/>
      <w:marTop w:val="0"/>
      <w:marBottom w:val="0"/>
      <w:divBdr>
        <w:top w:val="none" w:sz="0" w:space="0" w:color="auto"/>
        <w:left w:val="none" w:sz="0" w:space="0" w:color="auto"/>
        <w:bottom w:val="none" w:sz="0" w:space="0" w:color="auto"/>
        <w:right w:val="none" w:sz="0" w:space="0" w:color="auto"/>
      </w:divBdr>
    </w:div>
    <w:div w:id="303193825">
      <w:bodyDiv w:val="1"/>
      <w:marLeft w:val="0"/>
      <w:marRight w:val="0"/>
      <w:marTop w:val="0"/>
      <w:marBottom w:val="0"/>
      <w:divBdr>
        <w:top w:val="none" w:sz="0" w:space="0" w:color="auto"/>
        <w:left w:val="none" w:sz="0" w:space="0" w:color="auto"/>
        <w:bottom w:val="none" w:sz="0" w:space="0" w:color="auto"/>
        <w:right w:val="none" w:sz="0" w:space="0" w:color="auto"/>
      </w:divBdr>
      <w:divsChild>
        <w:div w:id="361248793">
          <w:marLeft w:val="0"/>
          <w:marRight w:val="0"/>
          <w:marTop w:val="0"/>
          <w:marBottom w:val="0"/>
          <w:divBdr>
            <w:top w:val="none" w:sz="0" w:space="0" w:color="auto"/>
            <w:left w:val="none" w:sz="0" w:space="0" w:color="auto"/>
            <w:bottom w:val="none" w:sz="0" w:space="0" w:color="auto"/>
            <w:right w:val="none" w:sz="0" w:space="0" w:color="auto"/>
          </w:divBdr>
        </w:div>
        <w:div w:id="728041475">
          <w:marLeft w:val="0"/>
          <w:marRight w:val="0"/>
          <w:marTop w:val="0"/>
          <w:marBottom w:val="0"/>
          <w:divBdr>
            <w:top w:val="none" w:sz="0" w:space="0" w:color="auto"/>
            <w:left w:val="none" w:sz="0" w:space="0" w:color="auto"/>
            <w:bottom w:val="none" w:sz="0" w:space="0" w:color="auto"/>
            <w:right w:val="none" w:sz="0" w:space="0" w:color="auto"/>
          </w:divBdr>
        </w:div>
        <w:div w:id="952248945">
          <w:marLeft w:val="0"/>
          <w:marRight w:val="0"/>
          <w:marTop w:val="0"/>
          <w:marBottom w:val="0"/>
          <w:divBdr>
            <w:top w:val="none" w:sz="0" w:space="0" w:color="auto"/>
            <w:left w:val="none" w:sz="0" w:space="0" w:color="auto"/>
            <w:bottom w:val="none" w:sz="0" w:space="0" w:color="auto"/>
            <w:right w:val="none" w:sz="0" w:space="0" w:color="auto"/>
          </w:divBdr>
        </w:div>
        <w:div w:id="1280182005">
          <w:marLeft w:val="0"/>
          <w:marRight w:val="0"/>
          <w:marTop w:val="0"/>
          <w:marBottom w:val="0"/>
          <w:divBdr>
            <w:top w:val="none" w:sz="0" w:space="0" w:color="auto"/>
            <w:left w:val="none" w:sz="0" w:space="0" w:color="auto"/>
            <w:bottom w:val="none" w:sz="0" w:space="0" w:color="auto"/>
            <w:right w:val="none" w:sz="0" w:space="0" w:color="auto"/>
          </w:divBdr>
        </w:div>
        <w:div w:id="1424111369">
          <w:marLeft w:val="0"/>
          <w:marRight w:val="0"/>
          <w:marTop w:val="0"/>
          <w:marBottom w:val="0"/>
          <w:divBdr>
            <w:top w:val="none" w:sz="0" w:space="0" w:color="auto"/>
            <w:left w:val="none" w:sz="0" w:space="0" w:color="auto"/>
            <w:bottom w:val="none" w:sz="0" w:space="0" w:color="auto"/>
            <w:right w:val="none" w:sz="0" w:space="0" w:color="auto"/>
          </w:divBdr>
        </w:div>
        <w:div w:id="1788431408">
          <w:marLeft w:val="0"/>
          <w:marRight w:val="0"/>
          <w:marTop w:val="0"/>
          <w:marBottom w:val="0"/>
          <w:divBdr>
            <w:top w:val="none" w:sz="0" w:space="0" w:color="auto"/>
            <w:left w:val="none" w:sz="0" w:space="0" w:color="auto"/>
            <w:bottom w:val="none" w:sz="0" w:space="0" w:color="auto"/>
            <w:right w:val="none" w:sz="0" w:space="0" w:color="auto"/>
          </w:divBdr>
        </w:div>
        <w:div w:id="1872575020">
          <w:marLeft w:val="0"/>
          <w:marRight w:val="0"/>
          <w:marTop w:val="0"/>
          <w:marBottom w:val="0"/>
          <w:divBdr>
            <w:top w:val="none" w:sz="0" w:space="0" w:color="auto"/>
            <w:left w:val="none" w:sz="0" w:space="0" w:color="auto"/>
            <w:bottom w:val="none" w:sz="0" w:space="0" w:color="auto"/>
            <w:right w:val="none" w:sz="0" w:space="0" w:color="auto"/>
          </w:divBdr>
        </w:div>
        <w:div w:id="1949703164">
          <w:marLeft w:val="0"/>
          <w:marRight w:val="0"/>
          <w:marTop w:val="0"/>
          <w:marBottom w:val="0"/>
          <w:divBdr>
            <w:top w:val="none" w:sz="0" w:space="0" w:color="auto"/>
            <w:left w:val="none" w:sz="0" w:space="0" w:color="auto"/>
            <w:bottom w:val="none" w:sz="0" w:space="0" w:color="auto"/>
            <w:right w:val="none" w:sz="0" w:space="0" w:color="auto"/>
          </w:divBdr>
        </w:div>
      </w:divsChild>
    </w:div>
    <w:div w:id="308291214">
      <w:bodyDiv w:val="1"/>
      <w:marLeft w:val="0"/>
      <w:marRight w:val="0"/>
      <w:marTop w:val="0"/>
      <w:marBottom w:val="0"/>
      <w:divBdr>
        <w:top w:val="none" w:sz="0" w:space="0" w:color="auto"/>
        <w:left w:val="none" w:sz="0" w:space="0" w:color="auto"/>
        <w:bottom w:val="none" w:sz="0" w:space="0" w:color="auto"/>
        <w:right w:val="none" w:sz="0" w:space="0" w:color="auto"/>
      </w:divBdr>
    </w:div>
    <w:div w:id="361906670">
      <w:bodyDiv w:val="1"/>
      <w:marLeft w:val="0"/>
      <w:marRight w:val="0"/>
      <w:marTop w:val="0"/>
      <w:marBottom w:val="0"/>
      <w:divBdr>
        <w:top w:val="none" w:sz="0" w:space="0" w:color="auto"/>
        <w:left w:val="none" w:sz="0" w:space="0" w:color="auto"/>
        <w:bottom w:val="none" w:sz="0" w:space="0" w:color="auto"/>
        <w:right w:val="none" w:sz="0" w:space="0" w:color="auto"/>
      </w:divBdr>
      <w:divsChild>
        <w:div w:id="80378816">
          <w:marLeft w:val="0"/>
          <w:marRight w:val="0"/>
          <w:marTop w:val="0"/>
          <w:marBottom w:val="0"/>
          <w:divBdr>
            <w:top w:val="none" w:sz="0" w:space="0" w:color="auto"/>
            <w:left w:val="none" w:sz="0" w:space="0" w:color="auto"/>
            <w:bottom w:val="none" w:sz="0" w:space="0" w:color="auto"/>
            <w:right w:val="none" w:sz="0" w:space="0" w:color="auto"/>
          </w:divBdr>
        </w:div>
        <w:div w:id="153033647">
          <w:marLeft w:val="0"/>
          <w:marRight w:val="0"/>
          <w:marTop w:val="0"/>
          <w:marBottom w:val="0"/>
          <w:divBdr>
            <w:top w:val="none" w:sz="0" w:space="0" w:color="auto"/>
            <w:left w:val="none" w:sz="0" w:space="0" w:color="auto"/>
            <w:bottom w:val="none" w:sz="0" w:space="0" w:color="auto"/>
            <w:right w:val="none" w:sz="0" w:space="0" w:color="auto"/>
          </w:divBdr>
        </w:div>
        <w:div w:id="169561996">
          <w:marLeft w:val="0"/>
          <w:marRight w:val="0"/>
          <w:marTop w:val="0"/>
          <w:marBottom w:val="0"/>
          <w:divBdr>
            <w:top w:val="none" w:sz="0" w:space="0" w:color="auto"/>
            <w:left w:val="none" w:sz="0" w:space="0" w:color="auto"/>
            <w:bottom w:val="none" w:sz="0" w:space="0" w:color="auto"/>
            <w:right w:val="none" w:sz="0" w:space="0" w:color="auto"/>
          </w:divBdr>
        </w:div>
        <w:div w:id="265039629">
          <w:marLeft w:val="0"/>
          <w:marRight w:val="0"/>
          <w:marTop w:val="0"/>
          <w:marBottom w:val="0"/>
          <w:divBdr>
            <w:top w:val="none" w:sz="0" w:space="0" w:color="auto"/>
            <w:left w:val="none" w:sz="0" w:space="0" w:color="auto"/>
            <w:bottom w:val="none" w:sz="0" w:space="0" w:color="auto"/>
            <w:right w:val="none" w:sz="0" w:space="0" w:color="auto"/>
          </w:divBdr>
        </w:div>
        <w:div w:id="440875200">
          <w:marLeft w:val="0"/>
          <w:marRight w:val="0"/>
          <w:marTop w:val="0"/>
          <w:marBottom w:val="0"/>
          <w:divBdr>
            <w:top w:val="none" w:sz="0" w:space="0" w:color="auto"/>
            <w:left w:val="none" w:sz="0" w:space="0" w:color="auto"/>
            <w:bottom w:val="none" w:sz="0" w:space="0" w:color="auto"/>
            <w:right w:val="none" w:sz="0" w:space="0" w:color="auto"/>
          </w:divBdr>
        </w:div>
        <w:div w:id="444614558">
          <w:marLeft w:val="0"/>
          <w:marRight w:val="0"/>
          <w:marTop w:val="0"/>
          <w:marBottom w:val="0"/>
          <w:divBdr>
            <w:top w:val="none" w:sz="0" w:space="0" w:color="auto"/>
            <w:left w:val="none" w:sz="0" w:space="0" w:color="auto"/>
            <w:bottom w:val="none" w:sz="0" w:space="0" w:color="auto"/>
            <w:right w:val="none" w:sz="0" w:space="0" w:color="auto"/>
          </w:divBdr>
        </w:div>
        <w:div w:id="451749970">
          <w:marLeft w:val="0"/>
          <w:marRight w:val="0"/>
          <w:marTop w:val="0"/>
          <w:marBottom w:val="0"/>
          <w:divBdr>
            <w:top w:val="none" w:sz="0" w:space="0" w:color="auto"/>
            <w:left w:val="none" w:sz="0" w:space="0" w:color="auto"/>
            <w:bottom w:val="none" w:sz="0" w:space="0" w:color="auto"/>
            <w:right w:val="none" w:sz="0" w:space="0" w:color="auto"/>
          </w:divBdr>
        </w:div>
        <w:div w:id="505095948">
          <w:marLeft w:val="0"/>
          <w:marRight w:val="0"/>
          <w:marTop w:val="0"/>
          <w:marBottom w:val="0"/>
          <w:divBdr>
            <w:top w:val="none" w:sz="0" w:space="0" w:color="auto"/>
            <w:left w:val="none" w:sz="0" w:space="0" w:color="auto"/>
            <w:bottom w:val="none" w:sz="0" w:space="0" w:color="auto"/>
            <w:right w:val="none" w:sz="0" w:space="0" w:color="auto"/>
          </w:divBdr>
        </w:div>
        <w:div w:id="608199663">
          <w:marLeft w:val="0"/>
          <w:marRight w:val="0"/>
          <w:marTop w:val="0"/>
          <w:marBottom w:val="0"/>
          <w:divBdr>
            <w:top w:val="none" w:sz="0" w:space="0" w:color="auto"/>
            <w:left w:val="none" w:sz="0" w:space="0" w:color="auto"/>
            <w:bottom w:val="none" w:sz="0" w:space="0" w:color="auto"/>
            <w:right w:val="none" w:sz="0" w:space="0" w:color="auto"/>
          </w:divBdr>
        </w:div>
        <w:div w:id="676736124">
          <w:marLeft w:val="0"/>
          <w:marRight w:val="0"/>
          <w:marTop w:val="0"/>
          <w:marBottom w:val="0"/>
          <w:divBdr>
            <w:top w:val="none" w:sz="0" w:space="0" w:color="auto"/>
            <w:left w:val="none" w:sz="0" w:space="0" w:color="auto"/>
            <w:bottom w:val="none" w:sz="0" w:space="0" w:color="auto"/>
            <w:right w:val="none" w:sz="0" w:space="0" w:color="auto"/>
          </w:divBdr>
        </w:div>
        <w:div w:id="761954005">
          <w:marLeft w:val="0"/>
          <w:marRight w:val="0"/>
          <w:marTop w:val="0"/>
          <w:marBottom w:val="0"/>
          <w:divBdr>
            <w:top w:val="none" w:sz="0" w:space="0" w:color="auto"/>
            <w:left w:val="none" w:sz="0" w:space="0" w:color="auto"/>
            <w:bottom w:val="none" w:sz="0" w:space="0" w:color="auto"/>
            <w:right w:val="none" w:sz="0" w:space="0" w:color="auto"/>
          </w:divBdr>
        </w:div>
        <w:div w:id="878471050">
          <w:marLeft w:val="0"/>
          <w:marRight w:val="0"/>
          <w:marTop w:val="0"/>
          <w:marBottom w:val="0"/>
          <w:divBdr>
            <w:top w:val="none" w:sz="0" w:space="0" w:color="auto"/>
            <w:left w:val="none" w:sz="0" w:space="0" w:color="auto"/>
            <w:bottom w:val="none" w:sz="0" w:space="0" w:color="auto"/>
            <w:right w:val="none" w:sz="0" w:space="0" w:color="auto"/>
          </w:divBdr>
        </w:div>
        <w:div w:id="878708193">
          <w:marLeft w:val="0"/>
          <w:marRight w:val="0"/>
          <w:marTop w:val="0"/>
          <w:marBottom w:val="0"/>
          <w:divBdr>
            <w:top w:val="none" w:sz="0" w:space="0" w:color="auto"/>
            <w:left w:val="none" w:sz="0" w:space="0" w:color="auto"/>
            <w:bottom w:val="none" w:sz="0" w:space="0" w:color="auto"/>
            <w:right w:val="none" w:sz="0" w:space="0" w:color="auto"/>
          </w:divBdr>
        </w:div>
        <w:div w:id="1049262878">
          <w:marLeft w:val="0"/>
          <w:marRight w:val="0"/>
          <w:marTop w:val="0"/>
          <w:marBottom w:val="0"/>
          <w:divBdr>
            <w:top w:val="none" w:sz="0" w:space="0" w:color="auto"/>
            <w:left w:val="none" w:sz="0" w:space="0" w:color="auto"/>
            <w:bottom w:val="none" w:sz="0" w:space="0" w:color="auto"/>
            <w:right w:val="none" w:sz="0" w:space="0" w:color="auto"/>
          </w:divBdr>
          <w:divsChild>
            <w:div w:id="56368705">
              <w:marLeft w:val="0"/>
              <w:marRight w:val="0"/>
              <w:marTop w:val="0"/>
              <w:marBottom w:val="0"/>
              <w:divBdr>
                <w:top w:val="none" w:sz="0" w:space="0" w:color="auto"/>
                <w:left w:val="none" w:sz="0" w:space="0" w:color="auto"/>
                <w:bottom w:val="none" w:sz="0" w:space="0" w:color="auto"/>
                <w:right w:val="none" w:sz="0" w:space="0" w:color="auto"/>
              </w:divBdr>
            </w:div>
            <w:div w:id="137498602">
              <w:marLeft w:val="0"/>
              <w:marRight w:val="0"/>
              <w:marTop w:val="0"/>
              <w:marBottom w:val="0"/>
              <w:divBdr>
                <w:top w:val="none" w:sz="0" w:space="0" w:color="auto"/>
                <w:left w:val="none" w:sz="0" w:space="0" w:color="auto"/>
                <w:bottom w:val="none" w:sz="0" w:space="0" w:color="auto"/>
                <w:right w:val="none" w:sz="0" w:space="0" w:color="auto"/>
              </w:divBdr>
            </w:div>
            <w:div w:id="401367729">
              <w:marLeft w:val="0"/>
              <w:marRight w:val="0"/>
              <w:marTop w:val="0"/>
              <w:marBottom w:val="0"/>
              <w:divBdr>
                <w:top w:val="none" w:sz="0" w:space="0" w:color="auto"/>
                <w:left w:val="none" w:sz="0" w:space="0" w:color="auto"/>
                <w:bottom w:val="none" w:sz="0" w:space="0" w:color="auto"/>
                <w:right w:val="none" w:sz="0" w:space="0" w:color="auto"/>
              </w:divBdr>
            </w:div>
            <w:div w:id="493759056">
              <w:marLeft w:val="0"/>
              <w:marRight w:val="0"/>
              <w:marTop w:val="0"/>
              <w:marBottom w:val="0"/>
              <w:divBdr>
                <w:top w:val="none" w:sz="0" w:space="0" w:color="auto"/>
                <w:left w:val="none" w:sz="0" w:space="0" w:color="auto"/>
                <w:bottom w:val="none" w:sz="0" w:space="0" w:color="auto"/>
                <w:right w:val="none" w:sz="0" w:space="0" w:color="auto"/>
              </w:divBdr>
            </w:div>
            <w:div w:id="509029928">
              <w:marLeft w:val="0"/>
              <w:marRight w:val="0"/>
              <w:marTop w:val="0"/>
              <w:marBottom w:val="0"/>
              <w:divBdr>
                <w:top w:val="none" w:sz="0" w:space="0" w:color="auto"/>
                <w:left w:val="none" w:sz="0" w:space="0" w:color="auto"/>
                <w:bottom w:val="none" w:sz="0" w:space="0" w:color="auto"/>
                <w:right w:val="none" w:sz="0" w:space="0" w:color="auto"/>
              </w:divBdr>
            </w:div>
            <w:div w:id="612596723">
              <w:marLeft w:val="0"/>
              <w:marRight w:val="0"/>
              <w:marTop w:val="0"/>
              <w:marBottom w:val="0"/>
              <w:divBdr>
                <w:top w:val="none" w:sz="0" w:space="0" w:color="auto"/>
                <w:left w:val="none" w:sz="0" w:space="0" w:color="auto"/>
                <w:bottom w:val="none" w:sz="0" w:space="0" w:color="auto"/>
                <w:right w:val="none" w:sz="0" w:space="0" w:color="auto"/>
              </w:divBdr>
            </w:div>
            <w:div w:id="763575065">
              <w:marLeft w:val="0"/>
              <w:marRight w:val="0"/>
              <w:marTop w:val="0"/>
              <w:marBottom w:val="0"/>
              <w:divBdr>
                <w:top w:val="none" w:sz="0" w:space="0" w:color="auto"/>
                <w:left w:val="none" w:sz="0" w:space="0" w:color="auto"/>
                <w:bottom w:val="none" w:sz="0" w:space="0" w:color="auto"/>
                <w:right w:val="none" w:sz="0" w:space="0" w:color="auto"/>
              </w:divBdr>
            </w:div>
            <w:div w:id="801189292">
              <w:marLeft w:val="0"/>
              <w:marRight w:val="0"/>
              <w:marTop w:val="0"/>
              <w:marBottom w:val="0"/>
              <w:divBdr>
                <w:top w:val="none" w:sz="0" w:space="0" w:color="auto"/>
                <w:left w:val="none" w:sz="0" w:space="0" w:color="auto"/>
                <w:bottom w:val="none" w:sz="0" w:space="0" w:color="auto"/>
                <w:right w:val="none" w:sz="0" w:space="0" w:color="auto"/>
              </w:divBdr>
            </w:div>
            <w:div w:id="802701121">
              <w:marLeft w:val="0"/>
              <w:marRight w:val="0"/>
              <w:marTop w:val="0"/>
              <w:marBottom w:val="0"/>
              <w:divBdr>
                <w:top w:val="none" w:sz="0" w:space="0" w:color="auto"/>
                <w:left w:val="none" w:sz="0" w:space="0" w:color="auto"/>
                <w:bottom w:val="none" w:sz="0" w:space="0" w:color="auto"/>
                <w:right w:val="none" w:sz="0" w:space="0" w:color="auto"/>
              </w:divBdr>
            </w:div>
            <w:div w:id="889995347">
              <w:marLeft w:val="0"/>
              <w:marRight w:val="0"/>
              <w:marTop w:val="0"/>
              <w:marBottom w:val="0"/>
              <w:divBdr>
                <w:top w:val="none" w:sz="0" w:space="0" w:color="auto"/>
                <w:left w:val="none" w:sz="0" w:space="0" w:color="auto"/>
                <w:bottom w:val="none" w:sz="0" w:space="0" w:color="auto"/>
                <w:right w:val="none" w:sz="0" w:space="0" w:color="auto"/>
              </w:divBdr>
            </w:div>
            <w:div w:id="967855127">
              <w:marLeft w:val="0"/>
              <w:marRight w:val="0"/>
              <w:marTop w:val="0"/>
              <w:marBottom w:val="0"/>
              <w:divBdr>
                <w:top w:val="none" w:sz="0" w:space="0" w:color="auto"/>
                <w:left w:val="none" w:sz="0" w:space="0" w:color="auto"/>
                <w:bottom w:val="none" w:sz="0" w:space="0" w:color="auto"/>
                <w:right w:val="none" w:sz="0" w:space="0" w:color="auto"/>
              </w:divBdr>
            </w:div>
            <w:div w:id="1117412345">
              <w:marLeft w:val="0"/>
              <w:marRight w:val="0"/>
              <w:marTop w:val="0"/>
              <w:marBottom w:val="0"/>
              <w:divBdr>
                <w:top w:val="none" w:sz="0" w:space="0" w:color="auto"/>
                <w:left w:val="none" w:sz="0" w:space="0" w:color="auto"/>
                <w:bottom w:val="none" w:sz="0" w:space="0" w:color="auto"/>
                <w:right w:val="none" w:sz="0" w:space="0" w:color="auto"/>
              </w:divBdr>
            </w:div>
            <w:div w:id="1356426116">
              <w:marLeft w:val="0"/>
              <w:marRight w:val="0"/>
              <w:marTop w:val="0"/>
              <w:marBottom w:val="0"/>
              <w:divBdr>
                <w:top w:val="none" w:sz="0" w:space="0" w:color="auto"/>
                <w:left w:val="none" w:sz="0" w:space="0" w:color="auto"/>
                <w:bottom w:val="none" w:sz="0" w:space="0" w:color="auto"/>
                <w:right w:val="none" w:sz="0" w:space="0" w:color="auto"/>
              </w:divBdr>
            </w:div>
            <w:div w:id="1452869254">
              <w:marLeft w:val="0"/>
              <w:marRight w:val="0"/>
              <w:marTop w:val="0"/>
              <w:marBottom w:val="0"/>
              <w:divBdr>
                <w:top w:val="none" w:sz="0" w:space="0" w:color="auto"/>
                <w:left w:val="none" w:sz="0" w:space="0" w:color="auto"/>
                <w:bottom w:val="none" w:sz="0" w:space="0" w:color="auto"/>
                <w:right w:val="none" w:sz="0" w:space="0" w:color="auto"/>
              </w:divBdr>
            </w:div>
            <w:div w:id="1607611618">
              <w:marLeft w:val="0"/>
              <w:marRight w:val="0"/>
              <w:marTop w:val="0"/>
              <w:marBottom w:val="0"/>
              <w:divBdr>
                <w:top w:val="none" w:sz="0" w:space="0" w:color="auto"/>
                <w:left w:val="none" w:sz="0" w:space="0" w:color="auto"/>
                <w:bottom w:val="none" w:sz="0" w:space="0" w:color="auto"/>
                <w:right w:val="none" w:sz="0" w:space="0" w:color="auto"/>
              </w:divBdr>
            </w:div>
            <w:div w:id="1700203491">
              <w:marLeft w:val="0"/>
              <w:marRight w:val="0"/>
              <w:marTop w:val="0"/>
              <w:marBottom w:val="0"/>
              <w:divBdr>
                <w:top w:val="none" w:sz="0" w:space="0" w:color="auto"/>
                <w:left w:val="none" w:sz="0" w:space="0" w:color="auto"/>
                <w:bottom w:val="none" w:sz="0" w:space="0" w:color="auto"/>
                <w:right w:val="none" w:sz="0" w:space="0" w:color="auto"/>
              </w:divBdr>
            </w:div>
            <w:div w:id="1732188528">
              <w:marLeft w:val="0"/>
              <w:marRight w:val="0"/>
              <w:marTop w:val="0"/>
              <w:marBottom w:val="0"/>
              <w:divBdr>
                <w:top w:val="none" w:sz="0" w:space="0" w:color="auto"/>
                <w:left w:val="none" w:sz="0" w:space="0" w:color="auto"/>
                <w:bottom w:val="none" w:sz="0" w:space="0" w:color="auto"/>
                <w:right w:val="none" w:sz="0" w:space="0" w:color="auto"/>
              </w:divBdr>
            </w:div>
            <w:div w:id="1945767682">
              <w:marLeft w:val="0"/>
              <w:marRight w:val="0"/>
              <w:marTop w:val="0"/>
              <w:marBottom w:val="0"/>
              <w:divBdr>
                <w:top w:val="none" w:sz="0" w:space="0" w:color="auto"/>
                <w:left w:val="none" w:sz="0" w:space="0" w:color="auto"/>
                <w:bottom w:val="none" w:sz="0" w:space="0" w:color="auto"/>
                <w:right w:val="none" w:sz="0" w:space="0" w:color="auto"/>
              </w:divBdr>
            </w:div>
            <w:div w:id="2091612146">
              <w:marLeft w:val="0"/>
              <w:marRight w:val="0"/>
              <w:marTop w:val="0"/>
              <w:marBottom w:val="0"/>
              <w:divBdr>
                <w:top w:val="none" w:sz="0" w:space="0" w:color="auto"/>
                <w:left w:val="none" w:sz="0" w:space="0" w:color="auto"/>
                <w:bottom w:val="none" w:sz="0" w:space="0" w:color="auto"/>
                <w:right w:val="none" w:sz="0" w:space="0" w:color="auto"/>
              </w:divBdr>
            </w:div>
            <w:div w:id="2098743571">
              <w:marLeft w:val="0"/>
              <w:marRight w:val="0"/>
              <w:marTop w:val="0"/>
              <w:marBottom w:val="0"/>
              <w:divBdr>
                <w:top w:val="none" w:sz="0" w:space="0" w:color="auto"/>
                <w:left w:val="none" w:sz="0" w:space="0" w:color="auto"/>
                <w:bottom w:val="none" w:sz="0" w:space="0" w:color="auto"/>
                <w:right w:val="none" w:sz="0" w:space="0" w:color="auto"/>
              </w:divBdr>
            </w:div>
          </w:divsChild>
        </w:div>
        <w:div w:id="1173256041">
          <w:marLeft w:val="0"/>
          <w:marRight w:val="0"/>
          <w:marTop w:val="0"/>
          <w:marBottom w:val="0"/>
          <w:divBdr>
            <w:top w:val="none" w:sz="0" w:space="0" w:color="auto"/>
            <w:left w:val="none" w:sz="0" w:space="0" w:color="auto"/>
            <w:bottom w:val="none" w:sz="0" w:space="0" w:color="auto"/>
            <w:right w:val="none" w:sz="0" w:space="0" w:color="auto"/>
          </w:divBdr>
        </w:div>
        <w:div w:id="1187600979">
          <w:marLeft w:val="0"/>
          <w:marRight w:val="0"/>
          <w:marTop w:val="0"/>
          <w:marBottom w:val="0"/>
          <w:divBdr>
            <w:top w:val="none" w:sz="0" w:space="0" w:color="auto"/>
            <w:left w:val="none" w:sz="0" w:space="0" w:color="auto"/>
            <w:bottom w:val="none" w:sz="0" w:space="0" w:color="auto"/>
            <w:right w:val="none" w:sz="0" w:space="0" w:color="auto"/>
          </w:divBdr>
        </w:div>
        <w:div w:id="1244416721">
          <w:marLeft w:val="0"/>
          <w:marRight w:val="0"/>
          <w:marTop w:val="0"/>
          <w:marBottom w:val="0"/>
          <w:divBdr>
            <w:top w:val="none" w:sz="0" w:space="0" w:color="auto"/>
            <w:left w:val="none" w:sz="0" w:space="0" w:color="auto"/>
            <w:bottom w:val="none" w:sz="0" w:space="0" w:color="auto"/>
            <w:right w:val="none" w:sz="0" w:space="0" w:color="auto"/>
          </w:divBdr>
        </w:div>
        <w:div w:id="1371109951">
          <w:marLeft w:val="0"/>
          <w:marRight w:val="0"/>
          <w:marTop w:val="0"/>
          <w:marBottom w:val="0"/>
          <w:divBdr>
            <w:top w:val="none" w:sz="0" w:space="0" w:color="auto"/>
            <w:left w:val="none" w:sz="0" w:space="0" w:color="auto"/>
            <w:bottom w:val="none" w:sz="0" w:space="0" w:color="auto"/>
            <w:right w:val="none" w:sz="0" w:space="0" w:color="auto"/>
          </w:divBdr>
        </w:div>
        <w:div w:id="1407608993">
          <w:marLeft w:val="0"/>
          <w:marRight w:val="0"/>
          <w:marTop w:val="0"/>
          <w:marBottom w:val="0"/>
          <w:divBdr>
            <w:top w:val="none" w:sz="0" w:space="0" w:color="auto"/>
            <w:left w:val="none" w:sz="0" w:space="0" w:color="auto"/>
            <w:bottom w:val="none" w:sz="0" w:space="0" w:color="auto"/>
            <w:right w:val="none" w:sz="0" w:space="0" w:color="auto"/>
          </w:divBdr>
        </w:div>
        <w:div w:id="1671634489">
          <w:marLeft w:val="0"/>
          <w:marRight w:val="0"/>
          <w:marTop w:val="0"/>
          <w:marBottom w:val="0"/>
          <w:divBdr>
            <w:top w:val="none" w:sz="0" w:space="0" w:color="auto"/>
            <w:left w:val="none" w:sz="0" w:space="0" w:color="auto"/>
            <w:bottom w:val="none" w:sz="0" w:space="0" w:color="auto"/>
            <w:right w:val="none" w:sz="0" w:space="0" w:color="auto"/>
          </w:divBdr>
        </w:div>
        <w:div w:id="1737124048">
          <w:marLeft w:val="0"/>
          <w:marRight w:val="0"/>
          <w:marTop w:val="0"/>
          <w:marBottom w:val="0"/>
          <w:divBdr>
            <w:top w:val="none" w:sz="0" w:space="0" w:color="auto"/>
            <w:left w:val="none" w:sz="0" w:space="0" w:color="auto"/>
            <w:bottom w:val="none" w:sz="0" w:space="0" w:color="auto"/>
            <w:right w:val="none" w:sz="0" w:space="0" w:color="auto"/>
          </w:divBdr>
        </w:div>
        <w:div w:id="2086872538">
          <w:marLeft w:val="0"/>
          <w:marRight w:val="0"/>
          <w:marTop w:val="0"/>
          <w:marBottom w:val="0"/>
          <w:divBdr>
            <w:top w:val="none" w:sz="0" w:space="0" w:color="auto"/>
            <w:left w:val="none" w:sz="0" w:space="0" w:color="auto"/>
            <w:bottom w:val="none" w:sz="0" w:space="0" w:color="auto"/>
            <w:right w:val="none" w:sz="0" w:space="0" w:color="auto"/>
          </w:divBdr>
        </w:div>
        <w:div w:id="2090232804">
          <w:marLeft w:val="0"/>
          <w:marRight w:val="0"/>
          <w:marTop w:val="0"/>
          <w:marBottom w:val="0"/>
          <w:divBdr>
            <w:top w:val="none" w:sz="0" w:space="0" w:color="auto"/>
            <w:left w:val="none" w:sz="0" w:space="0" w:color="auto"/>
            <w:bottom w:val="none" w:sz="0" w:space="0" w:color="auto"/>
            <w:right w:val="none" w:sz="0" w:space="0" w:color="auto"/>
          </w:divBdr>
        </w:div>
      </w:divsChild>
    </w:div>
    <w:div w:id="431704703">
      <w:bodyDiv w:val="1"/>
      <w:marLeft w:val="0"/>
      <w:marRight w:val="0"/>
      <w:marTop w:val="0"/>
      <w:marBottom w:val="0"/>
      <w:divBdr>
        <w:top w:val="none" w:sz="0" w:space="0" w:color="auto"/>
        <w:left w:val="none" w:sz="0" w:space="0" w:color="auto"/>
        <w:bottom w:val="none" w:sz="0" w:space="0" w:color="auto"/>
        <w:right w:val="none" w:sz="0" w:space="0" w:color="auto"/>
      </w:divBdr>
    </w:div>
    <w:div w:id="510796654">
      <w:bodyDiv w:val="1"/>
      <w:marLeft w:val="0"/>
      <w:marRight w:val="0"/>
      <w:marTop w:val="0"/>
      <w:marBottom w:val="0"/>
      <w:divBdr>
        <w:top w:val="none" w:sz="0" w:space="0" w:color="auto"/>
        <w:left w:val="none" w:sz="0" w:space="0" w:color="auto"/>
        <w:bottom w:val="none" w:sz="0" w:space="0" w:color="auto"/>
        <w:right w:val="none" w:sz="0" w:space="0" w:color="auto"/>
      </w:divBdr>
    </w:div>
    <w:div w:id="561327240">
      <w:bodyDiv w:val="1"/>
      <w:marLeft w:val="0"/>
      <w:marRight w:val="0"/>
      <w:marTop w:val="0"/>
      <w:marBottom w:val="0"/>
      <w:divBdr>
        <w:top w:val="none" w:sz="0" w:space="0" w:color="auto"/>
        <w:left w:val="none" w:sz="0" w:space="0" w:color="auto"/>
        <w:bottom w:val="none" w:sz="0" w:space="0" w:color="auto"/>
        <w:right w:val="none" w:sz="0" w:space="0" w:color="auto"/>
      </w:divBdr>
      <w:divsChild>
        <w:div w:id="164901467">
          <w:marLeft w:val="0"/>
          <w:marRight w:val="0"/>
          <w:marTop w:val="0"/>
          <w:marBottom w:val="0"/>
          <w:divBdr>
            <w:top w:val="none" w:sz="0" w:space="0" w:color="auto"/>
            <w:left w:val="none" w:sz="0" w:space="0" w:color="auto"/>
            <w:bottom w:val="none" w:sz="0" w:space="0" w:color="auto"/>
            <w:right w:val="none" w:sz="0" w:space="0" w:color="auto"/>
          </w:divBdr>
        </w:div>
        <w:div w:id="233516385">
          <w:marLeft w:val="0"/>
          <w:marRight w:val="0"/>
          <w:marTop w:val="0"/>
          <w:marBottom w:val="0"/>
          <w:divBdr>
            <w:top w:val="none" w:sz="0" w:space="0" w:color="auto"/>
            <w:left w:val="none" w:sz="0" w:space="0" w:color="auto"/>
            <w:bottom w:val="none" w:sz="0" w:space="0" w:color="auto"/>
            <w:right w:val="none" w:sz="0" w:space="0" w:color="auto"/>
          </w:divBdr>
        </w:div>
        <w:div w:id="742261659">
          <w:marLeft w:val="0"/>
          <w:marRight w:val="0"/>
          <w:marTop w:val="0"/>
          <w:marBottom w:val="0"/>
          <w:divBdr>
            <w:top w:val="none" w:sz="0" w:space="0" w:color="auto"/>
            <w:left w:val="none" w:sz="0" w:space="0" w:color="auto"/>
            <w:bottom w:val="none" w:sz="0" w:space="0" w:color="auto"/>
            <w:right w:val="none" w:sz="0" w:space="0" w:color="auto"/>
          </w:divBdr>
        </w:div>
        <w:div w:id="945648650">
          <w:marLeft w:val="0"/>
          <w:marRight w:val="0"/>
          <w:marTop w:val="0"/>
          <w:marBottom w:val="0"/>
          <w:divBdr>
            <w:top w:val="none" w:sz="0" w:space="0" w:color="auto"/>
            <w:left w:val="none" w:sz="0" w:space="0" w:color="auto"/>
            <w:bottom w:val="none" w:sz="0" w:space="0" w:color="auto"/>
            <w:right w:val="none" w:sz="0" w:space="0" w:color="auto"/>
          </w:divBdr>
        </w:div>
        <w:div w:id="1220243595">
          <w:marLeft w:val="0"/>
          <w:marRight w:val="0"/>
          <w:marTop w:val="0"/>
          <w:marBottom w:val="0"/>
          <w:divBdr>
            <w:top w:val="none" w:sz="0" w:space="0" w:color="auto"/>
            <w:left w:val="none" w:sz="0" w:space="0" w:color="auto"/>
            <w:bottom w:val="none" w:sz="0" w:space="0" w:color="auto"/>
            <w:right w:val="none" w:sz="0" w:space="0" w:color="auto"/>
          </w:divBdr>
        </w:div>
        <w:div w:id="1228228327">
          <w:marLeft w:val="0"/>
          <w:marRight w:val="0"/>
          <w:marTop w:val="0"/>
          <w:marBottom w:val="0"/>
          <w:divBdr>
            <w:top w:val="none" w:sz="0" w:space="0" w:color="auto"/>
            <w:left w:val="none" w:sz="0" w:space="0" w:color="auto"/>
            <w:bottom w:val="none" w:sz="0" w:space="0" w:color="auto"/>
            <w:right w:val="none" w:sz="0" w:space="0" w:color="auto"/>
          </w:divBdr>
        </w:div>
        <w:div w:id="1317614991">
          <w:marLeft w:val="0"/>
          <w:marRight w:val="0"/>
          <w:marTop w:val="0"/>
          <w:marBottom w:val="0"/>
          <w:divBdr>
            <w:top w:val="none" w:sz="0" w:space="0" w:color="auto"/>
            <w:left w:val="none" w:sz="0" w:space="0" w:color="auto"/>
            <w:bottom w:val="none" w:sz="0" w:space="0" w:color="auto"/>
            <w:right w:val="none" w:sz="0" w:space="0" w:color="auto"/>
          </w:divBdr>
        </w:div>
        <w:div w:id="1442067533">
          <w:marLeft w:val="0"/>
          <w:marRight w:val="0"/>
          <w:marTop w:val="0"/>
          <w:marBottom w:val="0"/>
          <w:divBdr>
            <w:top w:val="none" w:sz="0" w:space="0" w:color="auto"/>
            <w:left w:val="none" w:sz="0" w:space="0" w:color="auto"/>
            <w:bottom w:val="none" w:sz="0" w:space="0" w:color="auto"/>
            <w:right w:val="none" w:sz="0" w:space="0" w:color="auto"/>
          </w:divBdr>
        </w:div>
        <w:div w:id="1910726159">
          <w:marLeft w:val="0"/>
          <w:marRight w:val="0"/>
          <w:marTop w:val="0"/>
          <w:marBottom w:val="0"/>
          <w:divBdr>
            <w:top w:val="none" w:sz="0" w:space="0" w:color="auto"/>
            <w:left w:val="none" w:sz="0" w:space="0" w:color="auto"/>
            <w:bottom w:val="none" w:sz="0" w:space="0" w:color="auto"/>
            <w:right w:val="none" w:sz="0" w:space="0" w:color="auto"/>
          </w:divBdr>
          <w:divsChild>
            <w:div w:id="63114543">
              <w:marLeft w:val="0"/>
              <w:marRight w:val="0"/>
              <w:marTop w:val="0"/>
              <w:marBottom w:val="0"/>
              <w:divBdr>
                <w:top w:val="none" w:sz="0" w:space="0" w:color="auto"/>
                <w:left w:val="none" w:sz="0" w:space="0" w:color="auto"/>
                <w:bottom w:val="none" w:sz="0" w:space="0" w:color="auto"/>
                <w:right w:val="none" w:sz="0" w:space="0" w:color="auto"/>
              </w:divBdr>
            </w:div>
            <w:div w:id="339237088">
              <w:marLeft w:val="0"/>
              <w:marRight w:val="0"/>
              <w:marTop w:val="0"/>
              <w:marBottom w:val="0"/>
              <w:divBdr>
                <w:top w:val="none" w:sz="0" w:space="0" w:color="auto"/>
                <w:left w:val="none" w:sz="0" w:space="0" w:color="auto"/>
                <w:bottom w:val="none" w:sz="0" w:space="0" w:color="auto"/>
                <w:right w:val="none" w:sz="0" w:space="0" w:color="auto"/>
              </w:divBdr>
            </w:div>
            <w:div w:id="407390563">
              <w:marLeft w:val="0"/>
              <w:marRight w:val="0"/>
              <w:marTop w:val="0"/>
              <w:marBottom w:val="0"/>
              <w:divBdr>
                <w:top w:val="none" w:sz="0" w:space="0" w:color="auto"/>
                <w:left w:val="none" w:sz="0" w:space="0" w:color="auto"/>
                <w:bottom w:val="none" w:sz="0" w:space="0" w:color="auto"/>
                <w:right w:val="none" w:sz="0" w:space="0" w:color="auto"/>
              </w:divBdr>
            </w:div>
            <w:div w:id="517163554">
              <w:marLeft w:val="0"/>
              <w:marRight w:val="0"/>
              <w:marTop w:val="0"/>
              <w:marBottom w:val="0"/>
              <w:divBdr>
                <w:top w:val="none" w:sz="0" w:space="0" w:color="auto"/>
                <w:left w:val="none" w:sz="0" w:space="0" w:color="auto"/>
                <w:bottom w:val="none" w:sz="0" w:space="0" w:color="auto"/>
                <w:right w:val="none" w:sz="0" w:space="0" w:color="auto"/>
              </w:divBdr>
            </w:div>
            <w:div w:id="567150324">
              <w:marLeft w:val="0"/>
              <w:marRight w:val="0"/>
              <w:marTop w:val="0"/>
              <w:marBottom w:val="0"/>
              <w:divBdr>
                <w:top w:val="none" w:sz="0" w:space="0" w:color="auto"/>
                <w:left w:val="none" w:sz="0" w:space="0" w:color="auto"/>
                <w:bottom w:val="none" w:sz="0" w:space="0" w:color="auto"/>
                <w:right w:val="none" w:sz="0" w:space="0" w:color="auto"/>
              </w:divBdr>
            </w:div>
            <w:div w:id="646590103">
              <w:marLeft w:val="0"/>
              <w:marRight w:val="0"/>
              <w:marTop w:val="0"/>
              <w:marBottom w:val="0"/>
              <w:divBdr>
                <w:top w:val="none" w:sz="0" w:space="0" w:color="auto"/>
                <w:left w:val="none" w:sz="0" w:space="0" w:color="auto"/>
                <w:bottom w:val="none" w:sz="0" w:space="0" w:color="auto"/>
                <w:right w:val="none" w:sz="0" w:space="0" w:color="auto"/>
              </w:divBdr>
            </w:div>
            <w:div w:id="821197588">
              <w:marLeft w:val="0"/>
              <w:marRight w:val="0"/>
              <w:marTop w:val="0"/>
              <w:marBottom w:val="0"/>
              <w:divBdr>
                <w:top w:val="none" w:sz="0" w:space="0" w:color="auto"/>
                <w:left w:val="none" w:sz="0" w:space="0" w:color="auto"/>
                <w:bottom w:val="none" w:sz="0" w:space="0" w:color="auto"/>
                <w:right w:val="none" w:sz="0" w:space="0" w:color="auto"/>
              </w:divBdr>
            </w:div>
            <w:div w:id="839779800">
              <w:marLeft w:val="0"/>
              <w:marRight w:val="0"/>
              <w:marTop w:val="0"/>
              <w:marBottom w:val="0"/>
              <w:divBdr>
                <w:top w:val="none" w:sz="0" w:space="0" w:color="auto"/>
                <w:left w:val="none" w:sz="0" w:space="0" w:color="auto"/>
                <w:bottom w:val="none" w:sz="0" w:space="0" w:color="auto"/>
                <w:right w:val="none" w:sz="0" w:space="0" w:color="auto"/>
              </w:divBdr>
            </w:div>
            <w:div w:id="928735232">
              <w:marLeft w:val="0"/>
              <w:marRight w:val="0"/>
              <w:marTop w:val="0"/>
              <w:marBottom w:val="0"/>
              <w:divBdr>
                <w:top w:val="none" w:sz="0" w:space="0" w:color="auto"/>
                <w:left w:val="none" w:sz="0" w:space="0" w:color="auto"/>
                <w:bottom w:val="none" w:sz="0" w:space="0" w:color="auto"/>
                <w:right w:val="none" w:sz="0" w:space="0" w:color="auto"/>
              </w:divBdr>
            </w:div>
            <w:div w:id="1022169321">
              <w:marLeft w:val="0"/>
              <w:marRight w:val="0"/>
              <w:marTop w:val="0"/>
              <w:marBottom w:val="0"/>
              <w:divBdr>
                <w:top w:val="none" w:sz="0" w:space="0" w:color="auto"/>
                <w:left w:val="none" w:sz="0" w:space="0" w:color="auto"/>
                <w:bottom w:val="none" w:sz="0" w:space="0" w:color="auto"/>
                <w:right w:val="none" w:sz="0" w:space="0" w:color="auto"/>
              </w:divBdr>
            </w:div>
            <w:div w:id="1025401369">
              <w:marLeft w:val="0"/>
              <w:marRight w:val="0"/>
              <w:marTop w:val="0"/>
              <w:marBottom w:val="0"/>
              <w:divBdr>
                <w:top w:val="none" w:sz="0" w:space="0" w:color="auto"/>
                <w:left w:val="none" w:sz="0" w:space="0" w:color="auto"/>
                <w:bottom w:val="none" w:sz="0" w:space="0" w:color="auto"/>
                <w:right w:val="none" w:sz="0" w:space="0" w:color="auto"/>
              </w:divBdr>
            </w:div>
            <w:div w:id="1201089917">
              <w:marLeft w:val="0"/>
              <w:marRight w:val="0"/>
              <w:marTop w:val="0"/>
              <w:marBottom w:val="0"/>
              <w:divBdr>
                <w:top w:val="none" w:sz="0" w:space="0" w:color="auto"/>
                <w:left w:val="none" w:sz="0" w:space="0" w:color="auto"/>
                <w:bottom w:val="none" w:sz="0" w:space="0" w:color="auto"/>
                <w:right w:val="none" w:sz="0" w:space="0" w:color="auto"/>
              </w:divBdr>
            </w:div>
            <w:div w:id="1251625952">
              <w:marLeft w:val="0"/>
              <w:marRight w:val="0"/>
              <w:marTop w:val="0"/>
              <w:marBottom w:val="0"/>
              <w:divBdr>
                <w:top w:val="none" w:sz="0" w:space="0" w:color="auto"/>
                <w:left w:val="none" w:sz="0" w:space="0" w:color="auto"/>
                <w:bottom w:val="none" w:sz="0" w:space="0" w:color="auto"/>
                <w:right w:val="none" w:sz="0" w:space="0" w:color="auto"/>
              </w:divBdr>
            </w:div>
            <w:div w:id="1274820414">
              <w:marLeft w:val="0"/>
              <w:marRight w:val="0"/>
              <w:marTop w:val="0"/>
              <w:marBottom w:val="0"/>
              <w:divBdr>
                <w:top w:val="none" w:sz="0" w:space="0" w:color="auto"/>
                <w:left w:val="none" w:sz="0" w:space="0" w:color="auto"/>
                <w:bottom w:val="none" w:sz="0" w:space="0" w:color="auto"/>
                <w:right w:val="none" w:sz="0" w:space="0" w:color="auto"/>
              </w:divBdr>
            </w:div>
            <w:div w:id="1535847711">
              <w:marLeft w:val="0"/>
              <w:marRight w:val="0"/>
              <w:marTop w:val="0"/>
              <w:marBottom w:val="0"/>
              <w:divBdr>
                <w:top w:val="none" w:sz="0" w:space="0" w:color="auto"/>
                <w:left w:val="none" w:sz="0" w:space="0" w:color="auto"/>
                <w:bottom w:val="none" w:sz="0" w:space="0" w:color="auto"/>
                <w:right w:val="none" w:sz="0" w:space="0" w:color="auto"/>
              </w:divBdr>
            </w:div>
            <w:div w:id="1613784385">
              <w:marLeft w:val="0"/>
              <w:marRight w:val="0"/>
              <w:marTop w:val="0"/>
              <w:marBottom w:val="0"/>
              <w:divBdr>
                <w:top w:val="none" w:sz="0" w:space="0" w:color="auto"/>
                <w:left w:val="none" w:sz="0" w:space="0" w:color="auto"/>
                <w:bottom w:val="none" w:sz="0" w:space="0" w:color="auto"/>
                <w:right w:val="none" w:sz="0" w:space="0" w:color="auto"/>
              </w:divBdr>
            </w:div>
            <w:div w:id="1791633090">
              <w:marLeft w:val="0"/>
              <w:marRight w:val="0"/>
              <w:marTop w:val="0"/>
              <w:marBottom w:val="0"/>
              <w:divBdr>
                <w:top w:val="none" w:sz="0" w:space="0" w:color="auto"/>
                <w:left w:val="none" w:sz="0" w:space="0" w:color="auto"/>
                <w:bottom w:val="none" w:sz="0" w:space="0" w:color="auto"/>
                <w:right w:val="none" w:sz="0" w:space="0" w:color="auto"/>
              </w:divBdr>
            </w:div>
            <w:div w:id="1915433258">
              <w:marLeft w:val="0"/>
              <w:marRight w:val="0"/>
              <w:marTop w:val="0"/>
              <w:marBottom w:val="0"/>
              <w:divBdr>
                <w:top w:val="none" w:sz="0" w:space="0" w:color="auto"/>
                <w:left w:val="none" w:sz="0" w:space="0" w:color="auto"/>
                <w:bottom w:val="none" w:sz="0" w:space="0" w:color="auto"/>
                <w:right w:val="none" w:sz="0" w:space="0" w:color="auto"/>
              </w:divBdr>
            </w:div>
          </w:divsChild>
        </w:div>
        <w:div w:id="1945961529">
          <w:marLeft w:val="0"/>
          <w:marRight w:val="0"/>
          <w:marTop w:val="0"/>
          <w:marBottom w:val="0"/>
          <w:divBdr>
            <w:top w:val="none" w:sz="0" w:space="0" w:color="auto"/>
            <w:left w:val="none" w:sz="0" w:space="0" w:color="auto"/>
            <w:bottom w:val="none" w:sz="0" w:space="0" w:color="auto"/>
            <w:right w:val="none" w:sz="0" w:space="0" w:color="auto"/>
          </w:divBdr>
        </w:div>
        <w:div w:id="2082438324">
          <w:marLeft w:val="0"/>
          <w:marRight w:val="0"/>
          <w:marTop w:val="0"/>
          <w:marBottom w:val="0"/>
          <w:divBdr>
            <w:top w:val="none" w:sz="0" w:space="0" w:color="auto"/>
            <w:left w:val="none" w:sz="0" w:space="0" w:color="auto"/>
            <w:bottom w:val="none" w:sz="0" w:space="0" w:color="auto"/>
            <w:right w:val="none" w:sz="0" w:space="0" w:color="auto"/>
          </w:divBdr>
        </w:div>
      </w:divsChild>
    </w:div>
    <w:div w:id="695348348">
      <w:bodyDiv w:val="1"/>
      <w:marLeft w:val="0"/>
      <w:marRight w:val="0"/>
      <w:marTop w:val="0"/>
      <w:marBottom w:val="0"/>
      <w:divBdr>
        <w:top w:val="none" w:sz="0" w:space="0" w:color="auto"/>
        <w:left w:val="none" w:sz="0" w:space="0" w:color="auto"/>
        <w:bottom w:val="none" w:sz="0" w:space="0" w:color="auto"/>
        <w:right w:val="none" w:sz="0" w:space="0" w:color="auto"/>
      </w:divBdr>
    </w:div>
    <w:div w:id="714277947">
      <w:bodyDiv w:val="1"/>
      <w:marLeft w:val="0"/>
      <w:marRight w:val="0"/>
      <w:marTop w:val="0"/>
      <w:marBottom w:val="0"/>
      <w:divBdr>
        <w:top w:val="none" w:sz="0" w:space="0" w:color="auto"/>
        <w:left w:val="none" w:sz="0" w:space="0" w:color="auto"/>
        <w:bottom w:val="none" w:sz="0" w:space="0" w:color="auto"/>
        <w:right w:val="none" w:sz="0" w:space="0" w:color="auto"/>
      </w:divBdr>
      <w:divsChild>
        <w:div w:id="33970269">
          <w:marLeft w:val="0"/>
          <w:marRight w:val="0"/>
          <w:marTop w:val="0"/>
          <w:marBottom w:val="0"/>
          <w:divBdr>
            <w:top w:val="none" w:sz="0" w:space="0" w:color="auto"/>
            <w:left w:val="none" w:sz="0" w:space="0" w:color="auto"/>
            <w:bottom w:val="none" w:sz="0" w:space="0" w:color="auto"/>
            <w:right w:val="none" w:sz="0" w:space="0" w:color="auto"/>
          </w:divBdr>
        </w:div>
        <w:div w:id="951746493">
          <w:marLeft w:val="0"/>
          <w:marRight w:val="0"/>
          <w:marTop w:val="0"/>
          <w:marBottom w:val="0"/>
          <w:divBdr>
            <w:top w:val="none" w:sz="0" w:space="0" w:color="auto"/>
            <w:left w:val="none" w:sz="0" w:space="0" w:color="auto"/>
            <w:bottom w:val="none" w:sz="0" w:space="0" w:color="auto"/>
            <w:right w:val="none" w:sz="0" w:space="0" w:color="auto"/>
          </w:divBdr>
        </w:div>
        <w:div w:id="1894081287">
          <w:marLeft w:val="0"/>
          <w:marRight w:val="0"/>
          <w:marTop w:val="0"/>
          <w:marBottom w:val="0"/>
          <w:divBdr>
            <w:top w:val="none" w:sz="0" w:space="0" w:color="auto"/>
            <w:left w:val="none" w:sz="0" w:space="0" w:color="auto"/>
            <w:bottom w:val="none" w:sz="0" w:space="0" w:color="auto"/>
            <w:right w:val="none" w:sz="0" w:space="0" w:color="auto"/>
          </w:divBdr>
          <w:divsChild>
            <w:div w:id="400255710">
              <w:marLeft w:val="-75"/>
              <w:marRight w:val="0"/>
              <w:marTop w:val="30"/>
              <w:marBottom w:val="30"/>
              <w:divBdr>
                <w:top w:val="none" w:sz="0" w:space="0" w:color="auto"/>
                <w:left w:val="none" w:sz="0" w:space="0" w:color="auto"/>
                <w:bottom w:val="none" w:sz="0" w:space="0" w:color="auto"/>
                <w:right w:val="none" w:sz="0" w:space="0" w:color="auto"/>
              </w:divBdr>
              <w:divsChild>
                <w:div w:id="17778833">
                  <w:marLeft w:val="0"/>
                  <w:marRight w:val="0"/>
                  <w:marTop w:val="0"/>
                  <w:marBottom w:val="0"/>
                  <w:divBdr>
                    <w:top w:val="none" w:sz="0" w:space="0" w:color="auto"/>
                    <w:left w:val="none" w:sz="0" w:space="0" w:color="auto"/>
                    <w:bottom w:val="none" w:sz="0" w:space="0" w:color="auto"/>
                    <w:right w:val="none" w:sz="0" w:space="0" w:color="auto"/>
                  </w:divBdr>
                  <w:divsChild>
                    <w:div w:id="1230964666">
                      <w:marLeft w:val="0"/>
                      <w:marRight w:val="0"/>
                      <w:marTop w:val="0"/>
                      <w:marBottom w:val="0"/>
                      <w:divBdr>
                        <w:top w:val="none" w:sz="0" w:space="0" w:color="auto"/>
                        <w:left w:val="none" w:sz="0" w:space="0" w:color="auto"/>
                        <w:bottom w:val="none" w:sz="0" w:space="0" w:color="auto"/>
                        <w:right w:val="none" w:sz="0" w:space="0" w:color="auto"/>
                      </w:divBdr>
                    </w:div>
                  </w:divsChild>
                </w:div>
                <w:div w:id="26761778">
                  <w:marLeft w:val="0"/>
                  <w:marRight w:val="0"/>
                  <w:marTop w:val="0"/>
                  <w:marBottom w:val="0"/>
                  <w:divBdr>
                    <w:top w:val="none" w:sz="0" w:space="0" w:color="auto"/>
                    <w:left w:val="none" w:sz="0" w:space="0" w:color="auto"/>
                    <w:bottom w:val="none" w:sz="0" w:space="0" w:color="auto"/>
                    <w:right w:val="none" w:sz="0" w:space="0" w:color="auto"/>
                  </w:divBdr>
                  <w:divsChild>
                    <w:div w:id="740373618">
                      <w:marLeft w:val="0"/>
                      <w:marRight w:val="0"/>
                      <w:marTop w:val="0"/>
                      <w:marBottom w:val="0"/>
                      <w:divBdr>
                        <w:top w:val="none" w:sz="0" w:space="0" w:color="auto"/>
                        <w:left w:val="none" w:sz="0" w:space="0" w:color="auto"/>
                        <w:bottom w:val="none" w:sz="0" w:space="0" w:color="auto"/>
                        <w:right w:val="none" w:sz="0" w:space="0" w:color="auto"/>
                      </w:divBdr>
                    </w:div>
                  </w:divsChild>
                </w:div>
                <w:div w:id="40834739">
                  <w:marLeft w:val="0"/>
                  <w:marRight w:val="0"/>
                  <w:marTop w:val="0"/>
                  <w:marBottom w:val="0"/>
                  <w:divBdr>
                    <w:top w:val="none" w:sz="0" w:space="0" w:color="auto"/>
                    <w:left w:val="none" w:sz="0" w:space="0" w:color="auto"/>
                    <w:bottom w:val="none" w:sz="0" w:space="0" w:color="auto"/>
                    <w:right w:val="none" w:sz="0" w:space="0" w:color="auto"/>
                  </w:divBdr>
                  <w:divsChild>
                    <w:div w:id="2097555966">
                      <w:marLeft w:val="0"/>
                      <w:marRight w:val="0"/>
                      <w:marTop w:val="0"/>
                      <w:marBottom w:val="0"/>
                      <w:divBdr>
                        <w:top w:val="none" w:sz="0" w:space="0" w:color="auto"/>
                        <w:left w:val="none" w:sz="0" w:space="0" w:color="auto"/>
                        <w:bottom w:val="none" w:sz="0" w:space="0" w:color="auto"/>
                        <w:right w:val="none" w:sz="0" w:space="0" w:color="auto"/>
                      </w:divBdr>
                    </w:div>
                  </w:divsChild>
                </w:div>
                <w:div w:id="48961982">
                  <w:marLeft w:val="0"/>
                  <w:marRight w:val="0"/>
                  <w:marTop w:val="0"/>
                  <w:marBottom w:val="0"/>
                  <w:divBdr>
                    <w:top w:val="none" w:sz="0" w:space="0" w:color="auto"/>
                    <w:left w:val="none" w:sz="0" w:space="0" w:color="auto"/>
                    <w:bottom w:val="none" w:sz="0" w:space="0" w:color="auto"/>
                    <w:right w:val="none" w:sz="0" w:space="0" w:color="auto"/>
                  </w:divBdr>
                  <w:divsChild>
                    <w:div w:id="1831554527">
                      <w:marLeft w:val="0"/>
                      <w:marRight w:val="0"/>
                      <w:marTop w:val="0"/>
                      <w:marBottom w:val="0"/>
                      <w:divBdr>
                        <w:top w:val="none" w:sz="0" w:space="0" w:color="auto"/>
                        <w:left w:val="none" w:sz="0" w:space="0" w:color="auto"/>
                        <w:bottom w:val="none" w:sz="0" w:space="0" w:color="auto"/>
                        <w:right w:val="none" w:sz="0" w:space="0" w:color="auto"/>
                      </w:divBdr>
                    </w:div>
                  </w:divsChild>
                </w:div>
                <w:div w:id="57293274">
                  <w:marLeft w:val="0"/>
                  <w:marRight w:val="0"/>
                  <w:marTop w:val="0"/>
                  <w:marBottom w:val="0"/>
                  <w:divBdr>
                    <w:top w:val="none" w:sz="0" w:space="0" w:color="auto"/>
                    <w:left w:val="none" w:sz="0" w:space="0" w:color="auto"/>
                    <w:bottom w:val="none" w:sz="0" w:space="0" w:color="auto"/>
                    <w:right w:val="none" w:sz="0" w:space="0" w:color="auto"/>
                  </w:divBdr>
                  <w:divsChild>
                    <w:div w:id="1855729547">
                      <w:marLeft w:val="0"/>
                      <w:marRight w:val="0"/>
                      <w:marTop w:val="0"/>
                      <w:marBottom w:val="0"/>
                      <w:divBdr>
                        <w:top w:val="none" w:sz="0" w:space="0" w:color="auto"/>
                        <w:left w:val="none" w:sz="0" w:space="0" w:color="auto"/>
                        <w:bottom w:val="none" w:sz="0" w:space="0" w:color="auto"/>
                        <w:right w:val="none" w:sz="0" w:space="0" w:color="auto"/>
                      </w:divBdr>
                    </w:div>
                  </w:divsChild>
                </w:div>
                <w:div w:id="133840263">
                  <w:marLeft w:val="0"/>
                  <w:marRight w:val="0"/>
                  <w:marTop w:val="0"/>
                  <w:marBottom w:val="0"/>
                  <w:divBdr>
                    <w:top w:val="none" w:sz="0" w:space="0" w:color="auto"/>
                    <w:left w:val="none" w:sz="0" w:space="0" w:color="auto"/>
                    <w:bottom w:val="none" w:sz="0" w:space="0" w:color="auto"/>
                    <w:right w:val="none" w:sz="0" w:space="0" w:color="auto"/>
                  </w:divBdr>
                  <w:divsChild>
                    <w:div w:id="885070830">
                      <w:marLeft w:val="0"/>
                      <w:marRight w:val="0"/>
                      <w:marTop w:val="0"/>
                      <w:marBottom w:val="0"/>
                      <w:divBdr>
                        <w:top w:val="none" w:sz="0" w:space="0" w:color="auto"/>
                        <w:left w:val="none" w:sz="0" w:space="0" w:color="auto"/>
                        <w:bottom w:val="none" w:sz="0" w:space="0" w:color="auto"/>
                        <w:right w:val="none" w:sz="0" w:space="0" w:color="auto"/>
                      </w:divBdr>
                    </w:div>
                  </w:divsChild>
                </w:div>
                <w:div w:id="144666446">
                  <w:marLeft w:val="0"/>
                  <w:marRight w:val="0"/>
                  <w:marTop w:val="0"/>
                  <w:marBottom w:val="0"/>
                  <w:divBdr>
                    <w:top w:val="none" w:sz="0" w:space="0" w:color="auto"/>
                    <w:left w:val="none" w:sz="0" w:space="0" w:color="auto"/>
                    <w:bottom w:val="none" w:sz="0" w:space="0" w:color="auto"/>
                    <w:right w:val="none" w:sz="0" w:space="0" w:color="auto"/>
                  </w:divBdr>
                  <w:divsChild>
                    <w:div w:id="440993959">
                      <w:marLeft w:val="0"/>
                      <w:marRight w:val="0"/>
                      <w:marTop w:val="0"/>
                      <w:marBottom w:val="0"/>
                      <w:divBdr>
                        <w:top w:val="none" w:sz="0" w:space="0" w:color="auto"/>
                        <w:left w:val="none" w:sz="0" w:space="0" w:color="auto"/>
                        <w:bottom w:val="none" w:sz="0" w:space="0" w:color="auto"/>
                        <w:right w:val="none" w:sz="0" w:space="0" w:color="auto"/>
                      </w:divBdr>
                    </w:div>
                  </w:divsChild>
                </w:div>
                <w:div w:id="147552160">
                  <w:marLeft w:val="0"/>
                  <w:marRight w:val="0"/>
                  <w:marTop w:val="0"/>
                  <w:marBottom w:val="0"/>
                  <w:divBdr>
                    <w:top w:val="none" w:sz="0" w:space="0" w:color="auto"/>
                    <w:left w:val="none" w:sz="0" w:space="0" w:color="auto"/>
                    <w:bottom w:val="none" w:sz="0" w:space="0" w:color="auto"/>
                    <w:right w:val="none" w:sz="0" w:space="0" w:color="auto"/>
                  </w:divBdr>
                  <w:divsChild>
                    <w:div w:id="1022635942">
                      <w:marLeft w:val="0"/>
                      <w:marRight w:val="0"/>
                      <w:marTop w:val="0"/>
                      <w:marBottom w:val="0"/>
                      <w:divBdr>
                        <w:top w:val="none" w:sz="0" w:space="0" w:color="auto"/>
                        <w:left w:val="none" w:sz="0" w:space="0" w:color="auto"/>
                        <w:bottom w:val="none" w:sz="0" w:space="0" w:color="auto"/>
                        <w:right w:val="none" w:sz="0" w:space="0" w:color="auto"/>
                      </w:divBdr>
                    </w:div>
                  </w:divsChild>
                </w:div>
                <w:div w:id="149836172">
                  <w:marLeft w:val="0"/>
                  <w:marRight w:val="0"/>
                  <w:marTop w:val="0"/>
                  <w:marBottom w:val="0"/>
                  <w:divBdr>
                    <w:top w:val="none" w:sz="0" w:space="0" w:color="auto"/>
                    <w:left w:val="none" w:sz="0" w:space="0" w:color="auto"/>
                    <w:bottom w:val="none" w:sz="0" w:space="0" w:color="auto"/>
                    <w:right w:val="none" w:sz="0" w:space="0" w:color="auto"/>
                  </w:divBdr>
                  <w:divsChild>
                    <w:div w:id="1210873831">
                      <w:marLeft w:val="0"/>
                      <w:marRight w:val="0"/>
                      <w:marTop w:val="0"/>
                      <w:marBottom w:val="0"/>
                      <w:divBdr>
                        <w:top w:val="none" w:sz="0" w:space="0" w:color="auto"/>
                        <w:left w:val="none" w:sz="0" w:space="0" w:color="auto"/>
                        <w:bottom w:val="none" w:sz="0" w:space="0" w:color="auto"/>
                        <w:right w:val="none" w:sz="0" w:space="0" w:color="auto"/>
                      </w:divBdr>
                    </w:div>
                  </w:divsChild>
                </w:div>
                <w:div w:id="172259632">
                  <w:marLeft w:val="0"/>
                  <w:marRight w:val="0"/>
                  <w:marTop w:val="0"/>
                  <w:marBottom w:val="0"/>
                  <w:divBdr>
                    <w:top w:val="none" w:sz="0" w:space="0" w:color="auto"/>
                    <w:left w:val="none" w:sz="0" w:space="0" w:color="auto"/>
                    <w:bottom w:val="none" w:sz="0" w:space="0" w:color="auto"/>
                    <w:right w:val="none" w:sz="0" w:space="0" w:color="auto"/>
                  </w:divBdr>
                  <w:divsChild>
                    <w:div w:id="321352275">
                      <w:marLeft w:val="0"/>
                      <w:marRight w:val="0"/>
                      <w:marTop w:val="0"/>
                      <w:marBottom w:val="0"/>
                      <w:divBdr>
                        <w:top w:val="none" w:sz="0" w:space="0" w:color="auto"/>
                        <w:left w:val="none" w:sz="0" w:space="0" w:color="auto"/>
                        <w:bottom w:val="none" w:sz="0" w:space="0" w:color="auto"/>
                        <w:right w:val="none" w:sz="0" w:space="0" w:color="auto"/>
                      </w:divBdr>
                    </w:div>
                  </w:divsChild>
                </w:div>
                <w:div w:id="203980432">
                  <w:marLeft w:val="0"/>
                  <w:marRight w:val="0"/>
                  <w:marTop w:val="0"/>
                  <w:marBottom w:val="0"/>
                  <w:divBdr>
                    <w:top w:val="none" w:sz="0" w:space="0" w:color="auto"/>
                    <w:left w:val="none" w:sz="0" w:space="0" w:color="auto"/>
                    <w:bottom w:val="none" w:sz="0" w:space="0" w:color="auto"/>
                    <w:right w:val="none" w:sz="0" w:space="0" w:color="auto"/>
                  </w:divBdr>
                  <w:divsChild>
                    <w:div w:id="2034500041">
                      <w:marLeft w:val="0"/>
                      <w:marRight w:val="0"/>
                      <w:marTop w:val="0"/>
                      <w:marBottom w:val="0"/>
                      <w:divBdr>
                        <w:top w:val="none" w:sz="0" w:space="0" w:color="auto"/>
                        <w:left w:val="none" w:sz="0" w:space="0" w:color="auto"/>
                        <w:bottom w:val="none" w:sz="0" w:space="0" w:color="auto"/>
                        <w:right w:val="none" w:sz="0" w:space="0" w:color="auto"/>
                      </w:divBdr>
                    </w:div>
                  </w:divsChild>
                </w:div>
                <w:div w:id="211617829">
                  <w:marLeft w:val="0"/>
                  <w:marRight w:val="0"/>
                  <w:marTop w:val="0"/>
                  <w:marBottom w:val="0"/>
                  <w:divBdr>
                    <w:top w:val="none" w:sz="0" w:space="0" w:color="auto"/>
                    <w:left w:val="none" w:sz="0" w:space="0" w:color="auto"/>
                    <w:bottom w:val="none" w:sz="0" w:space="0" w:color="auto"/>
                    <w:right w:val="none" w:sz="0" w:space="0" w:color="auto"/>
                  </w:divBdr>
                  <w:divsChild>
                    <w:div w:id="391274096">
                      <w:marLeft w:val="0"/>
                      <w:marRight w:val="0"/>
                      <w:marTop w:val="0"/>
                      <w:marBottom w:val="0"/>
                      <w:divBdr>
                        <w:top w:val="none" w:sz="0" w:space="0" w:color="auto"/>
                        <w:left w:val="none" w:sz="0" w:space="0" w:color="auto"/>
                        <w:bottom w:val="none" w:sz="0" w:space="0" w:color="auto"/>
                        <w:right w:val="none" w:sz="0" w:space="0" w:color="auto"/>
                      </w:divBdr>
                    </w:div>
                  </w:divsChild>
                </w:div>
                <w:div w:id="233322024">
                  <w:marLeft w:val="0"/>
                  <w:marRight w:val="0"/>
                  <w:marTop w:val="0"/>
                  <w:marBottom w:val="0"/>
                  <w:divBdr>
                    <w:top w:val="none" w:sz="0" w:space="0" w:color="auto"/>
                    <w:left w:val="none" w:sz="0" w:space="0" w:color="auto"/>
                    <w:bottom w:val="none" w:sz="0" w:space="0" w:color="auto"/>
                    <w:right w:val="none" w:sz="0" w:space="0" w:color="auto"/>
                  </w:divBdr>
                  <w:divsChild>
                    <w:div w:id="642546547">
                      <w:marLeft w:val="0"/>
                      <w:marRight w:val="0"/>
                      <w:marTop w:val="0"/>
                      <w:marBottom w:val="0"/>
                      <w:divBdr>
                        <w:top w:val="none" w:sz="0" w:space="0" w:color="auto"/>
                        <w:left w:val="none" w:sz="0" w:space="0" w:color="auto"/>
                        <w:bottom w:val="none" w:sz="0" w:space="0" w:color="auto"/>
                        <w:right w:val="none" w:sz="0" w:space="0" w:color="auto"/>
                      </w:divBdr>
                    </w:div>
                  </w:divsChild>
                </w:div>
                <w:div w:id="234780666">
                  <w:marLeft w:val="0"/>
                  <w:marRight w:val="0"/>
                  <w:marTop w:val="0"/>
                  <w:marBottom w:val="0"/>
                  <w:divBdr>
                    <w:top w:val="none" w:sz="0" w:space="0" w:color="auto"/>
                    <w:left w:val="none" w:sz="0" w:space="0" w:color="auto"/>
                    <w:bottom w:val="none" w:sz="0" w:space="0" w:color="auto"/>
                    <w:right w:val="none" w:sz="0" w:space="0" w:color="auto"/>
                  </w:divBdr>
                  <w:divsChild>
                    <w:div w:id="1845851968">
                      <w:marLeft w:val="0"/>
                      <w:marRight w:val="0"/>
                      <w:marTop w:val="0"/>
                      <w:marBottom w:val="0"/>
                      <w:divBdr>
                        <w:top w:val="none" w:sz="0" w:space="0" w:color="auto"/>
                        <w:left w:val="none" w:sz="0" w:space="0" w:color="auto"/>
                        <w:bottom w:val="none" w:sz="0" w:space="0" w:color="auto"/>
                        <w:right w:val="none" w:sz="0" w:space="0" w:color="auto"/>
                      </w:divBdr>
                    </w:div>
                  </w:divsChild>
                </w:div>
                <w:div w:id="238756531">
                  <w:marLeft w:val="0"/>
                  <w:marRight w:val="0"/>
                  <w:marTop w:val="0"/>
                  <w:marBottom w:val="0"/>
                  <w:divBdr>
                    <w:top w:val="none" w:sz="0" w:space="0" w:color="auto"/>
                    <w:left w:val="none" w:sz="0" w:space="0" w:color="auto"/>
                    <w:bottom w:val="none" w:sz="0" w:space="0" w:color="auto"/>
                    <w:right w:val="none" w:sz="0" w:space="0" w:color="auto"/>
                  </w:divBdr>
                  <w:divsChild>
                    <w:div w:id="545334021">
                      <w:marLeft w:val="0"/>
                      <w:marRight w:val="0"/>
                      <w:marTop w:val="0"/>
                      <w:marBottom w:val="0"/>
                      <w:divBdr>
                        <w:top w:val="none" w:sz="0" w:space="0" w:color="auto"/>
                        <w:left w:val="none" w:sz="0" w:space="0" w:color="auto"/>
                        <w:bottom w:val="none" w:sz="0" w:space="0" w:color="auto"/>
                        <w:right w:val="none" w:sz="0" w:space="0" w:color="auto"/>
                      </w:divBdr>
                    </w:div>
                  </w:divsChild>
                </w:div>
                <w:div w:id="244612885">
                  <w:marLeft w:val="0"/>
                  <w:marRight w:val="0"/>
                  <w:marTop w:val="0"/>
                  <w:marBottom w:val="0"/>
                  <w:divBdr>
                    <w:top w:val="none" w:sz="0" w:space="0" w:color="auto"/>
                    <w:left w:val="none" w:sz="0" w:space="0" w:color="auto"/>
                    <w:bottom w:val="none" w:sz="0" w:space="0" w:color="auto"/>
                    <w:right w:val="none" w:sz="0" w:space="0" w:color="auto"/>
                  </w:divBdr>
                  <w:divsChild>
                    <w:div w:id="1604612718">
                      <w:marLeft w:val="0"/>
                      <w:marRight w:val="0"/>
                      <w:marTop w:val="0"/>
                      <w:marBottom w:val="0"/>
                      <w:divBdr>
                        <w:top w:val="none" w:sz="0" w:space="0" w:color="auto"/>
                        <w:left w:val="none" w:sz="0" w:space="0" w:color="auto"/>
                        <w:bottom w:val="none" w:sz="0" w:space="0" w:color="auto"/>
                        <w:right w:val="none" w:sz="0" w:space="0" w:color="auto"/>
                      </w:divBdr>
                    </w:div>
                  </w:divsChild>
                </w:div>
                <w:div w:id="260845569">
                  <w:marLeft w:val="0"/>
                  <w:marRight w:val="0"/>
                  <w:marTop w:val="0"/>
                  <w:marBottom w:val="0"/>
                  <w:divBdr>
                    <w:top w:val="none" w:sz="0" w:space="0" w:color="auto"/>
                    <w:left w:val="none" w:sz="0" w:space="0" w:color="auto"/>
                    <w:bottom w:val="none" w:sz="0" w:space="0" w:color="auto"/>
                    <w:right w:val="none" w:sz="0" w:space="0" w:color="auto"/>
                  </w:divBdr>
                  <w:divsChild>
                    <w:div w:id="564297634">
                      <w:marLeft w:val="0"/>
                      <w:marRight w:val="0"/>
                      <w:marTop w:val="0"/>
                      <w:marBottom w:val="0"/>
                      <w:divBdr>
                        <w:top w:val="none" w:sz="0" w:space="0" w:color="auto"/>
                        <w:left w:val="none" w:sz="0" w:space="0" w:color="auto"/>
                        <w:bottom w:val="none" w:sz="0" w:space="0" w:color="auto"/>
                        <w:right w:val="none" w:sz="0" w:space="0" w:color="auto"/>
                      </w:divBdr>
                    </w:div>
                  </w:divsChild>
                </w:div>
                <w:div w:id="326595845">
                  <w:marLeft w:val="0"/>
                  <w:marRight w:val="0"/>
                  <w:marTop w:val="0"/>
                  <w:marBottom w:val="0"/>
                  <w:divBdr>
                    <w:top w:val="none" w:sz="0" w:space="0" w:color="auto"/>
                    <w:left w:val="none" w:sz="0" w:space="0" w:color="auto"/>
                    <w:bottom w:val="none" w:sz="0" w:space="0" w:color="auto"/>
                    <w:right w:val="none" w:sz="0" w:space="0" w:color="auto"/>
                  </w:divBdr>
                  <w:divsChild>
                    <w:div w:id="1390377689">
                      <w:marLeft w:val="0"/>
                      <w:marRight w:val="0"/>
                      <w:marTop w:val="0"/>
                      <w:marBottom w:val="0"/>
                      <w:divBdr>
                        <w:top w:val="none" w:sz="0" w:space="0" w:color="auto"/>
                        <w:left w:val="none" w:sz="0" w:space="0" w:color="auto"/>
                        <w:bottom w:val="none" w:sz="0" w:space="0" w:color="auto"/>
                        <w:right w:val="none" w:sz="0" w:space="0" w:color="auto"/>
                      </w:divBdr>
                    </w:div>
                  </w:divsChild>
                </w:div>
                <w:div w:id="338580647">
                  <w:marLeft w:val="0"/>
                  <w:marRight w:val="0"/>
                  <w:marTop w:val="0"/>
                  <w:marBottom w:val="0"/>
                  <w:divBdr>
                    <w:top w:val="none" w:sz="0" w:space="0" w:color="auto"/>
                    <w:left w:val="none" w:sz="0" w:space="0" w:color="auto"/>
                    <w:bottom w:val="none" w:sz="0" w:space="0" w:color="auto"/>
                    <w:right w:val="none" w:sz="0" w:space="0" w:color="auto"/>
                  </w:divBdr>
                  <w:divsChild>
                    <w:div w:id="1139493927">
                      <w:marLeft w:val="0"/>
                      <w:marRight w:val="0"/>
                      <w:marTop w:val="0"/>
                      <w:marBottom w:val="0"/>
                      <w:divBdr>
                        <w:top w:val="none" w:sz="0" w:space="0" w:color="auto"/>
                        <w:left w:val="none" w:sz="0" w:space="0" w:color="auto"/>
                        <w:bottom w:val="none" w:sz="0" w:space="0" w:color="auto"/>
                        <w:right w:val="none" w:sz="0" w:space="0" w:color="auto"/>
                      </w:divBdr>
                    </w:div>
                  </w:divsChild>
                </w:div>
                <w:div w:id="353002990">
                  <w:marLeft w:val="0"/>
                  <w:marRight w:val="0"/>
                  <w:marTop w:val="0"/>
                  <w:marBottom w:val="0"/>
                  <w:divBdr>
                    <w:top w:val="none" w:sz="0" w:space="0" w:color="auto"/>
                    <w:left w:val="none" w:sz="0" w:space="0" w:color="auto"/>
                    <w:bottom w:val="none" w:sz="0" w:space="0" w:color="auto"/>
                    <w:right w:val="none" w:sz="0" w:space="0" w:color="auto"/>
                  </w:divBdr>
                  <w:divsChild>
                    <w:div w:id="1496653066">
                      <w:marLeft w:val="0"/>
                      <w:marRight w:val="0"/>
                      <w:marTop w:val="0"/>
                      <w:marBottom w:val="0"/>
                      <w:divBdr>
                        <w:top w:val="none" w:sz="0" w:space="0" w:color="auto"/>
                        <w:left w:val="none" w:sz="0" w:space="0" w:color="auto"/>
                        <w:bottom w:val="none" w:sz="0" w:space="0" w:color="auto"/>
                        <w:right w:val="none" w:sz="0" w:space="0" w:color="auto"/>
                      </w:divBdr>
                    </w:div>
                  </w:divsChild>
                </w:div>
                <w:div w:id="355230531">
                  <w:marLeft w:val="0"/>
                  <w:marRight w:val="0"/>
                  <w:marTop w:val="0"/>
                  <w:marBottom w:val="0"/>
                  <w:divBdr>
                    <w:top w:val="none" w:sz="0" w:space="0" w:color="auto"/>
                    <w:left w:val="none" w:sz="0" w:space="0" w:color="auto"/>
                    <w:bottom w:val="none" w:sz="0" w:space="0" w:color="auto"/>
                    <w:right w:val="none" w:sz="0" w:space="0" w:color="auto"/>
                  </w:divBdr>
                  <w:divsChild>
                    <w:div w:id="533425761">
                      <w:marLeft w:val="0"/>
                      <w:marRight w:val="0"/>
                      <w:marTop w:val="0"/>
                      <w:marBottom w:val="0"/>
                      <w:divBdr>
                        <w:top w:val="none" w:sz="0" w:space="0" w:color="auto"/>
                        <w:left w:val="none" w:sz="0" w:space="0" w:color="auto"/>
                        <w:bottom w:val="none" w:sz="0" w:space="0" w:color="auto"/>
                        <w:right w:val="none" w:sz="0" w:space="0" w:color="auto"/>
                      </w:divBdr>
                    </w:div>
                  </w:divsChild>
                </w:div>
                <w:div w:id="364454021">
                  <w:marLeft w:val="0"/>
                  <w:marRight w:val="0"/>
                  <w:marTop w:val="0"/>
                  <w:marBottom w:val="0"/>
                  <w:divBdr>
                    <w:top w:val="none" w:sz="0" w:space="0" w:color="auto"/>
                    <w:left w:val="none" w:sz="0" w:space="0" w:color="auto"/>
                    <w:bottom w:val="none" w:sz="0" w:space="0" w:color="auto"/>
                    <w:right w:val="none" w:sz="0" w:space="0" w:color="auto"/>
                  </w:divBdr>
                  <w:divsChild>
                    <w:div w:id="31002642">
                      <w:marLeft w:val="0"/>
                      <w:marRight w:val="0"/>
                      <w:marTop w:val="0"/>
                      <w:marBottom w:val="0"/>
                      <w:divBdr>
                        <w:top w:val="none" w:sz="0" w:space="0" w:color="auto"/>
                        <w:left w:val="none" w:sz="0" w:space="0" w:color="auto"/>
                        <w:bottom w:val="none" w:sz="0" w:space="0" w:color="auto"/>
                        <w:right w:val="none" w:sz="0" w:space="0" w:color="auto"/>
                      </w:divBdr>
                    </w:div>
                  </w:divsChild>
                </w:div>
                <w:div w:id="368728875">
                  <w:marLeft w:val="0"/>
                  <w:marRight w:val="0"/>
                  <w:marTop w:val="0"/>
                  <w:marBottom w:val="0"/>
                  <w:divBdr>
                    <w:top w:val="none" w:sz="0" w:space="0" w:color="auto"/>
                    <w:left w:val="none" w:sz="0" w:space="0" w:color="auto"/>
                    <w:bottom w:val="none" w:sz="0" w:space="0" w:color="auto"/>
                    <w:right w:val="none" w:sz="0" w:space="0" w:color="auto"/>
                  </w:divBdr>
                  <w:divsChild>
                    <w:div w:id="81804913">
                      <w:marLeft w:val="0"/>
                      <w:marRight w:val="0"/>
                      <w:marTop w:val="0"/>
                      <w:marBottom w:val="0"/>
                      <w:divBdr>
                        <w:top w:val="none" w:sz="0" w:space="0" w:color="auto"/>
                        <w:left w:val="none" w:sz="0" w:space="0" w:color="auto"/>
                        <w:bottom w:val="none" w:sz="0" w:space="0" w:color="auto"/>
                        <w:right w:val="none" w:sz="0" w:space="0" w:color="auto"/>
                      </w:divBdr>
                    </w:div>
                  </w:divsChild>
                </w:div>
                <w:div w:id="369300814">
                  <w:marLeft w:val="0"/>
                  <w:marRight w:val="0"/>
                  <w:marTop w:val="0"/>
                  <w:marBottom w:val="0"/>
                  <w:divBdr>
                    <w:top w:val="none" w:sz="0" w:space="0" w:color="auto"/>
                    <w:left w:val="none" w:sz="0" w:space="0" w:color="auto"/>
                    <w:bottom w:val="none" w:sz="0" w:space="0" w:color="auto"/>
                    <w:right w:val="none" w:sz="0" w:space="0" w:color="auto"/>
                  </w:divBdr>
                  <w:divsChild>
                    <w:div w:id="833451374">
                      <w:marLeft w:val="0"/>
                      <w:marRight w:val="0"/>
                      <w:marTop w:val="0"/>
                      <w:marBottom w:val="0"/>
                      <w:divBdr>
                        <w:top w:val="none" w:sz="0" w:space="0" w:color="auto"/>
                        <w:left w:val="none" w:sz="0" w:space="0" w:color="auto"/>
                        <w:bottom w:val="none" w:sz="0" w:space="0" w:color="auto"/>
                        <w:right w:val="none" w:sz="0" w:space="0" w:color="auto"/>
                      </w:divBdr>
                    </w:div>
                  </w:divsChild>
                </w:div>
                <w:div w:id="373040859">
                  <w:marLeft w:val="0"/>
                  <w:marRight w:val="0"/>
                  <w:marTop w:val="0"/>
                  <w:marBottom w:val="0"/>
                  <w:divBdr>
                    <w:top w:val="none" w:sz="0" w:space="0" w:color="auto"/>
                    <w:left w:val="none" w:sz="0" w:space="0" w:color="auto"/>
                    <w:bottom w:val="none" w:sz="0" w:space="0" w:color="auto"/>
                    <w:right w:val="none" w:sz="0" w:space="0" w:color="auto"/>
                  </w:divBdr>
                  <w:divsChild>
                    <w:div w:id="212737457">
                      <w:marLeft w:val="0"/>
                      <w:marRight w:val="0"/>
                      <w:marTop w:val="0"/>
                      <w:marBottom w:val="0"/>
                      <w:divBdr>
                        <w:top w:val="none" w:sz="0" w:space="0" w:color="auto"/>
                        <w:left w:val="none" w:sz="0" w:space="0" w:color="auto"/>
                        <w:bottom w:val="none" w:sz="0" w:space="0" w:color="auto"/>
                        <w:right w:val="none" w:sz="0" w:space="0" w:color="auto"/>
                      </w:divBdr>
                    </w:div>
                  </w:divsChild>
                </w:div>
                <w:div w:id="375930015">
                  <w:marLeft w:val="0"/>
                  <w:marRight w:val="0"/>
                  <w:marTop w:val="0"/>
                  <w:marBottom w:val="0"/>
                  <w:divBdr>
                    <w:top w:val="none" w:sz="0" w:space="0" w:color="auto"/>
                    <w:left w:val="none" w:sz="0" w:space="0" w:color="auto"/>
                    <w:bottom w:val="none" w:sz="0" w:space="0" w:color="auto"/>
                    <w:right w:val="none" w:sz="0" w:space="0" w:color="auto"/>
                  </w:divBdr>
                  <w:divsChild>
                    <w:div w:id="1978102809">
                      <w:marLeft w:val="0"/>
                      <w:marRight w:val="0"/>
                      <w:marTop w:val="0"/>
                      <w:marBottom w:val="0"/>
                      <w:divBdr>
                        <w:top w:val="none" w:sz="0" w:space="0" w:color="auto"/>
                        <w:left w:val="none" w:sz="0" w:space="0" w:color="auto"/>
                        <w:bottom w:val="none" w:sz="0" w:space="0" w:color="auto"/>
                        <w:right w:val="none" w:sz="0" w:space="0" w:color="auto"/>
                      </w:divBdr>
                    </w:div>
                  </w:divsChild>
                </w:div>
                <w:div w:id="377559348">
                  <w:marLeft w:val="0"/>
                  <w:marRight w:val="0"/>
                  <w:marTop w:val="0"/>
                  <w:marBottom w:val="0"/>
                  <w:divBdr>
                    <w:top w:val="none" w:sz="0" w:space="0" w:color="auto"/>
                    <w:left w:val="none" w:sz="0" w:space="0" w:color="auto"/>
                    <w:bottom w:val="none" w:sz="0" w:space="0" w:color="auto"/>
                    <w:right w:val="none" w:sz="0" w:space="0" w:color="auto"/>
                  </w:divBdr>
                  <w:divsChild>
                    <w:div w:id="995914494">
                      <w:marLeft w:val="0"/>
                      <w:marRight w:val="0"/>
                      <w:marTop w:val="0"/>
                      <w:marBottom w:val="0"/>
                      <w:divBdr>
                        <w:top w:val="none" w:sz="0" w:space="0" w:color="auto"/>
                        <w:left w:val="none" w:sz="0" w:space="0" w:color="auto"/>
                        <w:bottom w:val="none" w:sz="0" w:space="0" w:color="auto"/>
                        <w:right w:val="none" w:sz="0" w:space="0" w:color="auto"/>
                      </w:divBdr>
                    </w:div>
                  </w:divsChild>
                </w:div>
                <w:div w:id="378823650">
                  <w:marLeft w:val="0"/>
                  <w:marRight w:val="0"/>
                  <w:marTop w:val="0"/>
                  <w:marBottom w:val="0"/>
                  <w:divBdr>
                    <w:top w:val="none" w:sz="0" w:space="0" w:color="auto"/>
                    <w:left w:val="none" w:sz="0" w:space="0" w:color="auto"/>
                    <w:bottom w:val="none" w:sz="0" w:space="0" w:color="auto"/>
                    <w:right w:val="none" w:sz="0" w:space="0" w:color="auto"/>
                  </w:divBdr>
                  <w:divsChild>
                    <w:div w:id="1715226229">
                      <w:marLeft w:val="0"/>
                      <w:marRight w:val="0"/>
                      <w:marTop w:val="0"/>
                      <w:marBottom w:val="0"/>
                      <w:divBdr>
                        <w:top w:val="none" w:sz="0" w:space="0" w:color="auto"/>
                        <w:left w:val="none" w:sz="0" w:space="0" w:color="auto"/>
                        <w:bottom w:val="none" w:sz="0" w:space="0" w:color="auto"/>
                        <w:right w:val="none" w:sz="0" w:space="0" w:color="auto"/>
                      </w:divBdr>
                    </w:div>
                  </w:divsChild>
                </w:div>
                <w:div w:id="386608250">
                  <w:marLeft w:val="0"/>
                  <w:marRight w:val="0"/>
                  <w:marTop w:val="0"/>
                  <w:marBottom w:val="0"/>
                  <w:divBdr>
                    <w:top w:val="none" w:sz="0" w:space="0" w:color="auto"/>
                    <w:left w:val="none" w:sz="0" w:space="0" w:color="auto"/>
                    <w:bottom w:val="none" w:sz="0" w:space="0" w:color="auto"/>
                    <w:right w:val="none" w:sz="0" w:space="0" w:color="auto"/>
                  </w:divBdr>
                  <w:divsChild>
                    <w:div w:id="1802528325">
                      <w:marLeft w:val="0"/>
                      <w:marRight w:val="0"/>
                      <w:marTop w:val="0"/>
                      <w:marBottom w:val="0"/>
                      <w:divBdr>
                        <w:top w:val="none" w:sz="0" w:space="0" w:color="auto"/>
                        <w:left w:val="none" w:sz="0" w:space="0" w:color="auto"/>
                        <w:bottom w:val="none" w:sz="0" w:space="0" w:color="auto"/>
                        <w:right w:val="none" w:sz="0" w:space="0" w:color="auto"/>
                      </w:divBdr>
                    </w:div>
                  </w:divsChild>
                </w:div>
                <w:div w:id="388186106">
                  <w:marLeft w:val="0"/>
                  <w:marRight w:val="0"/>
                  <w:marTop w:val="0"/>
                  <w:marBottom w:val="0"/>
                  <w:divBdr>
                    <w:top w:val="none" w:sz="0" w:space="0" w:color="auto"/>
                    <w:left w:val="none" w:sz="0" w:space="0" w:color="auto"/>
                    <w:bottom w:val="none" w:sz="0" w:space="0" w:color="auto"/>
                    <w:right w:val="none" w:sz="0" w:space="0" w:color="auto"/>
                  </w:divBdr>
                  <w:divsChild>
                    <w:div w:id="589045195">
                      <w:marLeft w:val="0"/>
                      <w:marRight w:val="0"/>
                      <w:marTop w:val="0"/>
                      <w:marBottom w:val="0"/>
                      <w:divBdr>
                        <w:top w:val="none" w:sz="0" w:space="0" w:color="auto"/>
                        <w:left w:val="none" w:sz="0" w:space="0" w:color="auto"/>
                        <w:bottom w:val="none" w:sz="0" w:space="0" w:color="auto"/>
                        <w:right w:val="none" w:sz="0" w:space="0" w:color="auto"/>
                      </w:divBdr>
                    </w:div>
                  </w:divsChild>
                </w:div>
                <w:div w:id="396363725">
                  <w:marLeft w:val="0"/>
                  <w:marRight w:val="0"/>
                  <w:marTop w:val="0"/>
                  <w:marBottom w:val="0"/>
                  <w:divBdr>
                    <w:top w:val="none" w:sz="0" w:space="0" w:color="auto"/>
                    <w:left w:val="none" w:sz="0" w:space="0" w:color="auto"/>
                    <w:bottom w:val="none" w:sz="0" w:space="0" w:color="auto"/>
                    <w:right w:val="none" w:sz="0" w:space="0" w:color="auto"/>
                  </w:divBdr>
                  <w:divsChild>
                    <w:div w:id="757672560">
                      <w:marLeft w:val="0"/>
                      <w:marRight w:val="0"/>
                      <w:marTop w:val="0"/>
                      <w:marBottom w:val="0"/>
                      <w:divBdr>
                        <w:top w:val="none" w:sz="0" w:space="0" w:color="auto"/>
                        <w:left w:val="none" w:sz="0" w:space="0" w:color="auto"/>
                        <w:bottom w:val="none" w:sz="0" w:space="0" w:color="auto"/>
                        <w:right w:val="none" w:sz="0" w:space="0" w:color="auto"/>
                      </w:divBdr>
                    </w:div>
                  </w:divsChild>
                </w:div>
                <w:div w:id="413477365">
                  <w:marLeft w:val="0"/>
                  <w:marRight w:val="0"/>
                  <w:marTop w:val="0"/>
                  <w:marBottom w:val="0"/>
                  <w:divBdr>
                    <w:top w:val="none" w:sz="0" w:space="0" w:color="auto"/>
                    <w:left w:val="none" w:sz="0" w:space="0" w:color="auto"/>
                    <w:bottom w:val="none" w:sz="0" w:space="0" w:color="auto"/>
                    <w:right w:val="none" w:sz="0" w:space="0" w:color="auto"/>
                  </w:divBdr>
                  <w:divsChild>
                    <w:div w:id="1154419880">
                      <w:marLeft w:val="0"/>
                      <w:marRight w:val="0"/>
                      <w:marTop w:val="0"/>
                      <w:marBottom w:val="0"/>
                      <w:divBdr>
                        <w:top w:val="none" w:sz="0" w:space="0" w:color="auto"/>
                        <w:left w:val="none" w:sz="0" w:space="0" w:color="auto"/>
                        <w:bottom w:val="none" w:sz="0" w:space="0" w:color="auto"/>
                        <w:right w:val="none" w:sz="0" w:space="0" w:color="auto"/>
                      </w:divBdr>
                    </w:div>
                  </w:divsChild>
                </w:div>
                <w:div w:id="417944915">
                  <w:marLeft w:val="0"/>
                  <w:marRight w:val="0"/>
                  <w:marTop w:val="0"/>
                  <w:marBottom w:val="0"/>
                  <w:divBdr>
                    <w:top w:val="none" w:sz="0" w:space="0" w:color="auto"/>
                    <w:left w:val="none" w:sz="0" w:space="0" w:color="auto"/>
                    <w:bottom w:val="none" w:sz="0" w:space="0" w:color="auto"/>
                    <w:right w:val="none" w:sz="0" w:space="0" w:color="auto"/>
                  </w:divBdr>
                  <w:divsChild>
                    <w:div w:id="396206">
                      <w:marLeft w:val="0"/>
                      <w:marRight w:val="0"/>
                      <w:marTop w:val="0"/>
                      <w:marBottom w:val="0"/>
                      <w:divBdr>
                        <w:top w:val="none" w:sz="0" w:space="0" w:color="auto"/>
                        <w:left w:val="none" w:sz="0" w:space="0" w:color="auto"/>
                        <w:bottom w:val="none" w:sz="0" w:space="0" w:color="auto"/>
                        <w:right w:val="none" w:sz="0" w:space="0" w:color="auto"/>
                      </w:divBdr>
                    </w:div>
                  </w:divsChild>
                </w:div>
                <w:div w:id="423646769">
                  <w:marLeft w:val="0"/>
                  <w:marRight w:val="0"/>
                  <w:marTop w:val="0"/>
                  <w:marBottom w:val="0"/>
                  <w:divBdr>
                    <w:top w:val="none" w:sz="0" w:space="0" w:color="auto"/>
                    <w:left w:val="none" w:sz="0" w:space="0" w:color="auto"/>
                    <w:bottom w:val="none" w:sz="0" w:space="0" w:color="auto"/>
                    <w:right w:val="none" w:sz="0" w:space="0" w:color="auto"/>
                  </w:divBdr>
                  <w:divsChild>
                    <w:div w:id="1887595024">
                      <w:marLeft w:val="0"/>
                      <w:marRight w:val="0"/>
                      <w:marTop w:val="0"/>
                      <w:marBottom w:val="0"/>
                      <w:divBdr>
                        <w:top w:val="none" w:sz="0" w:space="0" w:color="auto"/>
                        <w:left w:val="none" w:sz="0" w:space="0" w:color="auto"/>
                        <w:bottom w:val="none" w:sz="0" w:space="0" w:color="auto"/>
                        <w:right w:val="none" w:sz="0" w:space="0" w:color="auto"/>
                      </w:divBdr>
                    </w:div>
                  </w:divsChild>
                </w:div>
                <w:div w:id="434711250">
                  <w:marLeft w:val="0"/>
                  <w:marRight w:val="0"/>
                  <w:marTop w:val="0"/>
                  <w:marBottom w:val="0"/>
                  <w:divBdr>
                    <w:top w:val="none" w:sz="0" w:space="0" w:color="auto"/>
                    <w:left w:val="none" w:sz="0" w:space="0" w:color="auto"/>
                    <w:bottom w:val="none" w:sz="0" w:space="0" w:color="auto"/>
                    <w:right w:val="none" w:sz="0" w:space="0" w:color="auto"/>
                  </w:divBdr>
                  <w:divsChild>
                    <w:div w:id="1599870965">
                      <w:marLeft w:val="0"/>
                      <w:marRight w:val="0"/>
                      <w:marTop w:val="0"/>
                      <w:marBottom w:val="0"/>
                      <w:divBdr>
                        <w:top w:val="none" w:sz="0" w:space="0" w:color="auto"/>
                        <w:left w:val="none" w:sz="0" w:space="0" w:color="auto"/>
                        <w:bottom w:val="none" w:sz="0" w:space="0" w:color="auto"/>
                        <w:right w:val="none" w:sz="0" w:space="0" w:color="auto"/>
                      </w:divBdr>
                    </w:div>
                  </w:divsChild>
                </w:div>
                <w:div w:id="456460095">
                  <w:marLeft w:val="0"/>
                  <w:marRight w:val="0"/>
                  <w:marTop w:val="0"/>
                  <w:marBottom w:val="0"/>
                  <w:divBdr>
                    <w:top w:val="none" w:sz="0" w:space="0" w:color="auto"/>
                    <w:left w:val="none" w:sz="0" w:space="0" w:color="auto"/>
                    <w:bottom w:val="none" w:sz="0" w:space="0" w:color="auto"/>
                    <w:right w:val="none" w:sz="0" w:space="0" w:color="auto"/>
                  </w:divBdr>
                  <w:divsChild>
                    <w:div w:id="1760062042">
                      <w:marLeft w:val="0"/>
                      <w:marRight w:val="0"/>
                      <w:marTop w:val="0"/>
                      <w:marBottom w:val="0"/>
                      <w:divBdr>
                        <w:top w:val="none" w:sz="0" w:space="0" w:color="auto"/>
                        <w:left w:val="none" w:sz="0" w:space="0" w:color="auto"/>
                        <w:bottom w:val="none" w:sz="0" w:space="0" w:color="auto"/>
                        <w:right w:val="none" w:sz="0" w:space="0" w:color="auto"/>
                      </w:divBdr>
                    </w:div>
                  </w:divsChild>
                </w:div>
                <w:div w:id="458181048">
                  <w:marLeft w:val="0"/>
                  <w:marRight w:val="0"/>
                  <w:marTop w:val="0"/>
                  <w:marBottom w:val="0"/>
                  <w:divBdr>
                    <w:top w:val="none" w:sz="0" w:space="0" w:color="auto"/>
                    <w:left w:val="none" w:sz="0" w:space="0" w:color="auto"/>
                    <w:bottom w:val="none" w:sz="0" w:space="0" w:color="auto"/>
                    <w:right w:val="none" w:sz="0" w:space="0" w:color="auto"/>
                  </w:divBdr>
                  <w:divsChild>
                    <w:div w:id="528687921">
                      <w:marLeft w:val="0"/>
                      <w:marRight w:val="0"/>
                      <w:marTop w:val="0"/>
                      <w:marBottom w:val="0"/>
                      <w:divBdr>
                        <w:top w:val="none" w:sz="0" w:space="0" w:color="auto"/>
                        <w:left w:val="none" w:sz="0" w:space="0" w:color="auto"/>
                        <w:bottom w:val="none" w:sz="0" w:space="0" w:color="auto"/>
                        <w:right w:val="none" w:sz="0" w:space="0" w:color="auto"/>
                      </w:divBdr>
                    </w:div>
                  </w:divsChild>
                </w:div>
                <w:div w:id="500051073">
                  <w:marLeft w:val="0"/>
                  <w:marRight w:val="0"/>
                  <w:marTop w:val="0"/>
                  <w:marBottom w:val="0"/>
                  <w:divBdr>
                    <w:top w:val="none" w:sz="0" w:space="0" w:color="auto"/>
                    <w:left w:val="none" w:sz="0" w:space="0" w:color="auto"/>
                    <w:bottom w:val="none" w:sz="0" w:space="0" w:color="auto"/>
                    <w:right w:val="none" w:sz="0" w:space="0" w:color="auto"/>
                  </w:divBdr>
                  <w:divsChild>
                    <w:div w:id="314340764">
                      <w:marLeft w:val="0"/>
                      <w:marRight w:val="0"/>
                      <w:marTop w:val="0"/>
                      <w:marBottom w:val="0"/>
                      <w:divBdr>
                        <w:top w:val="none" w:sz="0" w:space="0" w:color="auto"/>
                        <w:left w:val="none" w:sz="0" w:space="0" w:color="auto"/>
                        <w:bottom w:val="none" w:sz="0" w:space="0" w:color="auto"/>
                        <w:right w:val="none" w:sz="0" w:space="0" w:color="auto"/>
                      </w:divBdr>
                    </w:div>
                    <w:div w:id="671877703">
                      <w:marLeft w:val="0"/>
                      <w:marRight w:val="0"/>
                      <w:marTop w:val="0"/>
                      <w:marBottom w:val="0"/>
                      <w:divBdr>
                        <w:top w:val="none" w:sz="0" w:space="0" w:color="auto"/>
                        <w:left w:val="none" w:sz="0" w:space="0" w:color="auto"/>
                        <w:bottom w:val="none" w:sz="0" w:space="0" w:color="auto"/>
                        <w:right w:val="none" w:sz="0" w:space="0" w:color="auto"/>
                      </w:divBdr>
                    </w:div>
                    <w:div w:id="706104789">
                      <w:marLeft w:val="0"/>
                      <w:marRight w:val="0"/>
                      <w:marTop w:val="0"/>
                      <w:marBottom w:val="0"/>
                      <w:divBdr>
                        <w:top w:val="none" w:sz="0" w:space="0" w:color="auto"/>
                        <w:left w:val="none" w:sz="0" w:space="0" w:color="auto"/>
                        <w:bottom w:val="none" w:sz="0" w:space="0" w:color="auto"/>
                        <w:right w:val="none" w:sz="0" w:space="0" w:color="auto"/>
                      </w:divBdr>
                    </w:div>
                    <w:div w:id="727458406">
                      <w:marLeft w:val="0"/>
                      <w:marRight w:val="0"/>
                      <w:marTop w:val="0"/>
                      <w:marBottom w:val="0"/>
                      <w:divBdr>
                        <w:top w:val="none" w:sz="0" w:space="0" w:color="auto"/>
                        <w:left w:val="none" w:sz="0" w:space="0" w:color="auto"/>
                        <w:bottom w:val="none" w:sz="0" w:space="0" w:color="auto"/>
                        <w:right w:val="none" w:sz="0" w:space="0" w:color="auto"/>
                      </w:divBdr>
                    </w:div>
                    <w:div w:id="756563057">
                      <w:marLeft w:val="0"/>
                      <w:marRight w:val="0"/>
                      <w:marTop w:val="0"/>
                      <w:marBottom w:val="0"/>
                      <w:divBdr>
                        <w:top w:val="none" w:sz="0" w:space="0" w:color="auto"/>
                        <w:left w:val="none" w:sz="0" w:space="0" w:color="auto"/>
                        <w:bottom w:val="none" w:sz="0" w:space="0" w:color="auto"/>
                        <w:right w:val="none" w:sz="0" w:space="0" w:color="auto"/>
                      </w:divBdr>
                    </w:div>
                    <w:div w:id="1223558947">
                      <w:marLeft w:val="0"/>
                      <w:marRight w:val="0"/>
                      <w:marTop w:val="0"/>
                      <w:marBottom w:val="0"/>
                      <w:divBdr>
                        <w:top w:val="none" w:sz="0" w:space="0" w:color="auto"/>
                        <w:left w:val="none" w:sz="0" w:space="0" w:color="auto"/>
                        <w:bottom w:val="none" w:sz="0" w:space="0" w:color="auto"/>
                        <w:right w:val="none" w:sz="0" w:space="0" w:color="auto"/>
                      </w:divBdr>
                    </w:div>
                    <w:div w:id="2118862914">
                      <w:marLeft w:val="0"/>
                      <w:marRight w:val="0"/>
                      <w:marTop w:val="0"/>
                      <w:marBottom w:val="0"/>
                      <w:divBdr>
                        <w:top w:val="none" w:sz="0" w:space="0" w:color="auto"/>
                        <w:left w:val="none" w:sz="0" w:space="0" w:color="auto"/>
                        <w:bottom w:val="none" w:sz="0" w:space="0" w:color="auto"/>
                        <w:right w:val="none" w:sz="0" w:space="0" w:color="auto"/>
                      </w:divBdr>
                    </w:div>
                  </w:divsChild>
                </w:div>
                <w:div w:id="501089499">
                  <w:marLeft w:val="0"/>
                  <w:marRight w:val="0"/>
                  <w:marTop w:val="0"/>
                  <w:marBottom w:val="0"/>
                  <w:divBdr>
                    <w:top w:val="none" w:sz="0" w:space="0" w:color="auto"/>
                    <w:left w:val="none" w:sz="0" w:space="0" w:color="auto"/>
                    <w:bottom w:val="none" w:sz="0" w:space="0" w:color="auto"/>
                    <w:right w:val="none" w:sz="0" w:space="0" w:color="auto"/>
                  </w:divBdr>
                  <w:divsChild>
                    <w:div w:id="130103944">
                      <w:marLeft w:val="0"/>
                      <w:marRight w:val="0"/>
                      <w:marTop w:val="0"/>
                      <w:marBottom w:val="0"/>
                      <w:divBdr>
                        <w:top w:val="none" w:sz="0" w:space="0" w:color="auto"/>
                        <w:left w:val="none" w:sz="0" w:space="0" w:color="auto"/>
                        <w:bottom w:val="none" w:sz="0" w:space="0" w:color="auto"/>
                        <w:right w:val="none" w:sz="0" w:space="0" w:color="auto"/>
                      </w:divBdr>
                    </w:div>
                  </w:divsChild>
                </w:div>
                <w:div w:id="508636865">
                  <w:marLeft w:val="0"/>
                  <w:marRight w:val="0"/>
                  <w:marTop w:val="0"/>
                  <w:marBottom w:val="0"/>
                  <w:divBdr>
                    <w:top w:val="none" w:sz="0" w:space="0" w:color="auto"/>
                    <w:left w:val="none" w:sz="0" w:space="0" w:color="auto"/>
                    <w:bottom w:val="none" w:sz="0" w:space="0" w:color="auto"/>
                    <w:right w:val="none" w:sz="0" w:space="0" w:color="auto"/>
                  </w:divBdr>
                  <w:divsChild>
                    <w:div w:id="988048352">
                      <w:marLeft w:val="0"/>
                      <w:marRight w:val="0"/>
                      <w:marTop w:val="0"/>
                      <w:marBottom w:val="0"/>
                      <w:divBdr>
                        <w:top w:val="none" w:sz="0" w:space="0" w:color="auto"/>
                        <w:left w:val="none" w:sz="0" w:space="0" w:color="auto"/>
                        <w:bottom w:val="none" w:sz="0" w:space="0" w:color="auto"/>
                        <w:right w:val="none" w:sz="0" w:space="0" w:color="auto"/>
                      </w:divBdr>
                    </w:div>
                  </w:divsChild>
                </w:div>
                <w:div w:id="533621861">
                  <w:marLeft w:val="0"/>
                  <w:marRight w:val="0"/>
                  <w:marTop w:val="0"/>
                  <w:marBottom w:val="0"/>
                  <w:divBdr>
                    <w:top w:val="none" w:sz="0" w:space="0" w:color="auto"/>
                    <w:left w:val="none" w:sz="0" w:space="0" w:color="auto"/>
                    <w:bottom w:val="none" w:sz="0" w:space="0" w:color="auto"/>
                    <w:right w:val="none" w:sz="0" w:space="0" w:color="auto"/>
                  </w:divBdr>
                  <w:divsChild>
                    <w:div w:id="1756780437">
                      <w:marLeft w:val="0"/>
                      <w:marRight w:val="0"/>
                      <w:marTop w:val="0"/>
                      <w:marBottom w:val="0"/>
                      <w:divBdr>
                        <w:top w:val="none" w:sz="0" w:space="0" w:color="auto"/>
                        <w:left w:val="none" w:sz="0" w:space="0" w:color="auto"/>
                        <w:bottom w:val="none" w:sz="0" w:space="0" w:color="auto"/>
                        <w:right w:val="none" w:sz="0" w:space="0" w:color="auto"/>
                      </w:divBdr>
                    </w:div>
                  </w:divsChild>
                </w:div>
                <w:div w:id="553853300">
                  <w:marLeft w:val="0"/>
                  <w:marRight w:val="0"/>
                  <w:marTop w:val="0"/>
                  <w:marBottom w:val="0"/>
                  <w:divBdr>
                    <w:top w:val="none" w:sz="0" w:space="0" w:color="auto"/>
                    <w:left w:val="none" w:sz="0" w:space="0" w:color="auto"/>
                    <w:bottom w:val="none" w:sz="0" w:space="0" w:color="auto"/>
                    <w:right w:val="none" w:sz="0" w:space="0" w:color="auto"/>
                  </w:divBdr>
                  <w:divsChild>
                    <w:div w:id="1852333280">
                      <w:marLeft w:val="0"/>
                      <w:marRight w:val="0"/>
                      <w:marTop w:val="0"/>
                      <w:marBottom w:val="0"/>
                      <w:divBdr>
                        <w:top w:val="none" w:sz="0" w:space="0" w:color="auto"/>
                        <w:left w:val="none" w:sz="0" w:space="0" w:color="auto"/>
                        <w:bottom w:val="none" w:sz="0" w:space="0" w:color="auto"/>
                        <w:right w:val="none" w:sz="0" w:space="0" w:color="auto"/>
                      </w:divBdr>
                    </w:div>
                  </w:divsChild>
                </w:div>
                <w:div w:id="572393276">
                  <w:marLeft w:val="0"/>
                  <w:marRight w:val="0"/>
                  <w:marTop w:val="0"/>
                  <w:marBottom w:val="0"/>
                  <w:divBdr>
                    <w:top w:val="none" w:sz="0" w:space="0" w:color="auto"/>
                    <w:left w:val="none" w:sz="0" w:space="0" w:color="auto"/>
                    <w:bottom w:val="none" w:sz="0" w:space="0" w:color="auto"/>
                    <w:right w:val="none" w:sz="0" w:space="0" w:color="auto"/>
                  </w:divBdr>
                  <w:divsChild>
                    <w:div w:id="1553274809">
                      <w:marLeft w:val="0"/>
                      <w:marRight w:val="0"/>
                      <w:marTop w:val="0"/>
                      <w:marBottom w:val="0"/>
                      <w:divBdr>
                        <w:top w:val="none" w:sz="0" w:space="0" w:color="auto"/>
                        <w:left w:val="none" w:sz="0" w:space="0" w:color="auto"/>
                        <w:bottom w:val="none" w:sz="0" w:space="0" w:color="auto"/>
                        <w:right w:val="none" w:sz="0" w:space="0" w:color="auto"/>
                      </w:divBdr>
                    </w:div>
                  </w:divsChild>
                </w:div>
                <w:div w:id="584074365">
                  <w:marLeft w:val="0"/>
                  <w:marRight w:val="0"/>
                  <w:marTop w:val="0"/>
                  <w:marBottom w:val="0"/>
                  <w:divBdr>
                    <w:top w:val="none" w:sz="0" w:space="0" w:color="auto"/>
                    <w:left w:val="none" w:sz="0" w:space="0" w:color="auto"/>
                    <w:bottom w:val="none" w:sz="0" w:space="0" w:color="auto"/>
                    <w:right w:val="none" w:sz="0" w:space="0" w:color="auto"/>
                  </w:divBdr>
                  <w:divsChild>
                    <w:div w:id="402456847">
                      <w:marLeft w:val="0"/>
                      <w:marRight w:val="0"/>
                      <w:marTop w:val="0"/>
                      <w:marBottom w:val="0"/>
                      <w:divBdr>
                        <w:top w:val="none" w:sz="0" w:space="0" w:color="auto"/>
                        <w:left w:val="none" w:sz="0" w:space="0" w:color="auto"/>
                        <w:bottom w:val="none" w:sz="0" w:space="0" w:color="auto"/>
                        <w:right w:val="none" w:sz="0" w:space="0" w:color="auto"/>
                      </w:divBdr>
                    </w:div>
                  </w:divsChild>
                </w:div>
                <w:div w:id="596134694">
                  <w:marLeft w:val="0"/>
                  <w:marRight w:val="0"/>
                  <w:marTop w:val="0"/>
                  <w:marBottom w:val="0"/>
                  <w:divBdr>
                    <w:top w:val="none" w:sz="0" w:space="0" w:color="auto"/>
                    <w:left w:val="none" w:sz="0" w:space="0" w:color="auto"/>
                    <w:bottom w:val="none" w:sz="0" w:space="0" w:color="auto"/>
                    <w:right w:val="none" w:sz="0" w:space="0" w:color="auto"/>
                  </w:divBdr>
                  <w:divsChild>
                    <w:div w:id="1573811499">
                      <w:marLeft w:val="0"/>
                      <w:marRight w:val="0"/>
                      <w:marTop w:val="0"/>
                      <w:marBottom w:val="0"/>
                      <w:divBdr>
                        <w:top w:val="none" w:sz="0" w:space="0" w:color="auto"/>
                        <w:left w:val="none" w:sz="0" w:space="0" w:color="auto"/>
                        <w:bottom w:val="none" w:sz="0" w:space="0" w:color="auto"/>
                        <w:right w:val="none" w:sz="0" w:space="0" w:color="auto"/>
                      </w:divBdr>
                    </w:div>
                  </w:divsChild>
                </w:div>
                <w:div w:id="597560817">
                  <w:marLeft w:val="0"/>
                  <w:marRight w:val="0"/>
                  <w:marTop w:val="0"/>
                  <w:marBottom w:val="0"/>
                  <w:divBdr>
                    <w:top w:val="none" w:sz="0" w:space="0" w:color="auto"/>
                    <w:left w:val="none" w:sz="0" w:space="0" w:color="auto"/>
                    <w:bottom w:val="none" w:sz="0" w:space="0" w:color="auto"/>
                    <w:right w:val="none" w:sz="0" w:space="0" w:color="auto"/>
                  </w:divBdr>
                  <w:divsChild>
                    <w:div w:id="410852835">
                      <w:marLeft w:val="0"/>
                      <w:marRight w:val="0"/>
                      <w:marTop w:val="0"/>
                      <w:marBottom w:val="0"/>
                      <w:divBdr>
                        <w:top w:val="none" w:sz="0" w:space="0" w:color="auto"/>
                        <w:left w:val="none" w:sz="0" w:space="0" w:color="auto"/>
                        <w:bottom w:val="none" w:sz="0" w:space="0" w:color="auto"/>
                        <w:right w:val="none" w:sz="0" w:space="0" w:color="auto"/>
                      </w:divBdr>
                    </w:div>
                  </w:divsChild>
                </w:div>
                <w:div w:id="601760187">
                  <w:marLeft w:val="0"/>
                  <w:marRight w:val="0"/>
                  <w:marTop w:val="0"/>
                  <w:marBottom w:val="0"/>
                  <w:divBdr>
                    <w:top w:val="none" w:sz="0" w:space="0" w:color="auto"/>
                    <w:left w:val="none" w:sz="0" w:space="0" w:color="auto"/>
                    <w:bottom w:val="none" w:sz="0" w:space="0" w:color="auto"/>
                    <w:right w:val="none" w:sz="0" w:space="0" w:color="auto"/>
                  </w:divBdr>
                  <w:divsChild>
                    <w:div w:id="170147365">
                      <w:marLeft w:val="0"/>
                      <w:marRight w:val="0"/>
                      <w:marTop w:val="0"/>
                      <w:marBottom w:val="0"/>
                      <w:divBdr>
                        <w:top w:val="none" w:sz="0" w:space="0" w:color="auto"/>
                        <w:left w:val="none" w:sz="0" w:space="0" w:color="auto"/>
                        <w:bottom w:val="none" w:sz="0" w:space="0" w:color="auto"/>
                        <w:right w:val="none" w:sz="0" w:space="0" w:color="auto"/>
                      </w:divBdr>
                    </w:div>
                  </w:divsChild>
                </w:div>
                <w:div w:id="615646929">
                  <w:marLeft w:val="0"/>
                  <w:marRight w:val="0"/>
                  <w:marTop w:val="0"/>
                  <w:marBottom w:val="0"/>
                  <w:divBdr>
                    <w:top w:val="none" w:sz="0" w:space="0" w:color="auto"/>
                    <w:left w:val="none" w:sz="0" w:space="0" w:color="auto"/>
                    <w:bottom w:val="none" w:sz="0" w:space="0" w:color="auto"/>
                    <w:right w:val="none" w:sz="0" w:space="0" w:color="auto"/>
                  </w:divBdr>
                  <w:divsChild>
                    <w:div w:id="21320417">
                      <w:marLeft w:val="0"/>
                      <w:marRight w:val="0"/>
                      <w:marTop w:val="0"/>
                      <w:marBottom w:val="0"/>
                      <w:divBdr>
                        <w:top w:val="none" w:sz="0" w:space="0" w:color="auto"/>
                        <w:left w:val="none" w:sz="0" w:space="0" w:color="auto"/>
                        <w:bottom w:val="none" w:sz="0" w:space="0" w:color="auto"/>
                        <w:right w:val="none" w:sz="0" w:space="0" w:color="auto"/>
                      </w:divBdr>
                    </w:div>
                  </w:divsChild>
                </w:div>
                <w:div w:id="617446409">
                  <w:marLeft w:val="0"/>
                  <w:marRight w:val="0"/>
                  <w:marTop w:val="0"/>
                  <w:marBottom w:val="0"/>
                  <w:divBdr>
                    <w:top w:val="none" w:sz="0" w:space="0" w:color="auto"/>
                    <w:left w:val="none" w:sz="0" w:space="0" w:color="auto"/>
                    <w:bottom w:val="none" w:sz="0" w:space="0" w:color="auto"/>
                    <w:right w:val="none" w:sz="0" w:space="0" w:color="auto"/>
                  </w:divBdr>
                  <w:divsChild>
                    <w:div w:id="1411389226">
                      <w:marLeft w:val="0"/>
                      <w:marRight w:val="0"/>
                      <w:marTop w:val="0"/>
                      <w:marBottom w:val="0"/>
                      <w:divBdr>
                        <w:top w:val="none" w:sz="0" w:space="0" w:color="auto"/>
                        <w:left w:val="none" w:sz="0" w:space="0" w:color="auto"/>
                        <w:bottom w:val="none" w:sz="0" w:space="0" w:color="auto"/>
                        <w:right w:val="none" w:sz="0" w:space="0" w:color="auto"/>
                      </w:divBdr>
                    </w:div>
                  </w:divsChild>
                </w:div>
                <w:div w:id="621958257">
                  <w:marLeft w:val="0"/>
                  <w:marRight w:val="0"/>
                  <w:marTop w:val="0"/>
                  <w:marBottom w:val="0"/>
                  <w:divBdr>
                    <w:top w:val="none" w:sz="0" w:space="0" w:color="auto"/>
                    <w:left w:val="none" w:sz="0" w:space="0" w:color="auto"/>
                    <w:bottom w:val="none" w:sz="0" w:space="0" w:color="auto"/>
                    <w:right w:val="none" w:sz="0" w:space="0" w:color="auto"/>
                  </w:divBdr>
                  <w:divsChild>
                    <w:div w:id="1444617422">
                      <w:marLeft w:val="0"/>
                      <w:marRight w:val="0"/>
                      <w:marTop w:val="0"/>
                      <w:marBottom w:val="0"/>
                      <w:divBdr>
                        <w:top w:val="none" w:sz="0" w:space="0" w:color="auto"/>
                        <w:left w:val="none" w:sz="0" w:space="0" w:color="auto"/>
                        <w:bottom w:val="none" w:sz="0" w:space="0" w:color="auto"/>
                        <w:right w:val="none" w:sz="0" w:space="0" w:color="auto"/>
                      </w:divBdr>
                    </w:div>
                  </w:divsChild>
                </w:div>
                <w:div w:id="646400231">
                  <w:marLeft w:val="0"/>
                  <w:marRight w:val="0"/>
                  <w:marTop w:val="0"/>
                  <w:marBottom w:val="0"/>
                  <w:divBdr>
                    <w:top w:val="none" w:sz="0" w:space="0" w:color="auto"/>
                    <w:left w:val="none" w:sz="0" w:space="0" w:color="auto"/>
                    <w:bottom w:val="none" w:sz="0" w:space="0" w:color="auto"/>
                    <w:right w:val="none" w:sz="0" w:space="0" w:color="auto"/>
                  </w:divBdr>
                  <w:divsChild>
                    <w:div w:id="728385542">
                      <w:marLeft w:val="0"/>
                      <w:marRight w:val="0"/>
                      <w:marTop w:val="0"/>
                      <w:marBottom w:val="0"/>
                      <w:divBdr>
                        <w:top w:val="none" w:sz="0" w:space="0" w:color="auto"/>
                        <w:left w:val="none" w:sz="0" w:space="0" w:color="auto"/>
                        <w:bottom w:val="none" w:sz="0" w:space="0" w:color="auto"/>
                        <w:right w:val="none" w:sz="0" w:space="0" w:color="auto"/>
                      </w:divBdr>
                    </w:div>
                  </w:divsChild>
                </w:div>
                <w:div w:id="652225320">
                  <w:marLeft w:val="0"/>
                  <w:marRight w:val="0"/>
                  <w:marTop w:val="0"/>
                  <w:marBottom w:val="0"/>
                  <w:divBdr>
                    <w:top w:val="none" w:sz="0" w:space="0" w:color="auto"/>
                    <w:left w:val="none" w:sz="0" w:space="0" w:color="auto"/>
                    <w:bottom w:val="none" w:sz="0" w:space="0" w:color="auto"/>
                    <w:right w:val="none" w:sz="0" w:space="0" w:color="auto"/>
                  </w:divBdr>
                  <w:divsChild>
                    <w:div w:id="594821783">
                      <w:marLeft w:val="0"/>
                      <w:marRight w:val="0"/>
                      <w:marTop w:val="0"/>
                      <w:marBottom w:val="0"/>
                      <w:divBdr>
                        <w:top w:val="none" w:sz="0" w:space="0" w:color="auto"/>
                        <w:left w:val="none" w:sz="0" w:space="0" w:color="auto"/>
                        <w:bottom w:val="none" w:sz="0" w:space="0" w:color="auto"/>
                        <w:right w:val="none" w:sz="0" w:space="0" w:color="auto"/>
                      </w:divBdr>
                    </w:div>
                  </w:divsChild>
                </w:div>
                <w:div w:id="685716701">
                  <w:marLeft w:val="0"/>
                  <w:marRight w:val="0"/>
                  <w:marTop w:val="0"/>
                  <w:marBottom w:val="0"/>
                  <w:divBdr>
                    <w:top w:val="none" w:sz="0" w:space="0" w:color="auto"/>
                    <w:left w:val="none" w:sz="0" w:space="0" w:color="auto"/>
                    <w:bottom w:val="none" w:sz="0" w:space="0" w:color="auto"/>
                    <w:right w:val="none" w:sz="0" w:space="0" w:color="auto"/>
                  </w:divBdr>
                  <w:divsChild>
                    <w:div w:id="2069300659">
                      <w:marLeft w:val="0"/>
                      <w:marRight w:val="0"/>
                      <w:marTop w:val="0"/>
                      <w:marBottom w:val="0"/>
                      <w:divBdr>
                        <w:top w:val="none" w:sz="0" w:space="0" w:color="auto"/>
                        <w:left w:val="none" w:sz="0" w:space="0" w:color="auto"/>
                        <w:bottom w:val="none" w:sz="0" w:space="0" w:color="auto"/>
                        <w:right w:val="none" w:sz="0" w:space="0" w:color="auto"/>
                      </w:divBdr>
                    </w:div>
                  </w:divsChild>
                </w:div>
                <w:div w:id="705103919">
                  <w:marLeft w:val="0"/>
                  <w:marRight w:val="0"/>
                  <w:marTop w:val="0"/>
                  <w:marBottom w:val="0"/>
                  <w:divBdr>
                    <w:top w:val="none" w:sz="0" w:space="0" w:color="auto"/>
                    <w:left w:val="none" w:sz="0" w:space="0" w:color="auto"/>
                    <w:bottom w:val="none" w:sz="0" w:space="0" w:color="auto"/>
                    <w:right w:val="none" w:sz="0" w:space="0" w:color="auto"/>
                  </w:divBdr>
                  <w:divsChild>
                    <w:div w:id="7145780">
                      <w:marLeft w:val="0"/>
                      <w:marRight w:val="0"/>
                      <w:marTop w:val="0"/>
                      <w:marBottom w:val="0"/>
                      <w:divBdr>
                        <w:top w:val="none" w:sz="0" w:space="0" w:color="auto"/>
                        <w:left w:val="none" w:sz="0" w:space="0" w:color="auto"/>
                        <w:bottom w:val="none" w:sz="0" w:space="0" w:color="auto"/>
                        <w:right w:val="none" w:sz="0" w:space="0" w:color="auto"/>
                      </w:divBdr>
                    </w:div>
                  </w:divsChild>
                </w:div>
                <w:div w:id="707995428">
                  <w:marLeft w:val="0"/>
                  <w:marRight w:val="0"/>
                  <w:marTop w:val="0"/>
                  <w:marBottom w:val="0"/>
                  <w:divBdr>
                    <w:top w:val="none" w:sz="0" w:space="0" w:color="auto"/>
                    <w:left w:val="none" w:sz="0" w:space="0" w:color="auto"/>
                    <w:bottom w:val="none" w:sz="0" w:space="0" w:color="auto"/>
                    <w:right w:val="none" w:sz="0" w:space="0" w:color="auto"/>
                  </w:divBdr>
                  <w:divsChild>
                    <w:div w:id="944574289">
                      <w:marLeft w:val="0"/>
                      <w:marRight w:val="0"/>
                      <w:marTop w:val="0"/>
                      <w:marBottom w:val="0"/>
                      <w:divBdr>
                        <w:top w:val="none" w:sz="0" w:space="0" w:color="auto"/>
                        <w:left w:val="none" w:sz="0" w:space="0" w:color="auto"/>
                        <w:bottom w:val="none" w:sz="0" w:space="0" w:color="auto"/>
                        <w:right w:val="none" w:sz="0" w:space="0" w:color="auto"/>
                      </w:divBdr>
                    </w:div>
                  </w:divsChild>
                </w:div>
                <w:div w:id="720832182">
                  <w:marLeft w:val="0"/>
                  <w:marRight w:val="0"/>
                  <w:marTop w:val="0"/>
                  <w:marBottom w:val="0"/>
                  <w:divBdr>
                    <w:top w:val="none" w:sz="0" w:space="0" w:color="auto"/>
                    <w:left w:val="none" w:sz="0" w:space="0" w:color="auto"/>
                    <w:bottom w:val="none" w:sz="0" w:space="0" w:color="auto"/>
                    <w:right w:val="none" w:sz="0" w:space="0" w:color="auto"/>
                  </w:divBdr>
                  <w:divsChild>
                    <w:div w:id="281229684">
                      <w:marLeft w:val="0"/>
                      <w:marRight w:val="0"/>
                      <w:marTop w:val="0"/>
                      <w:marBottom w:val="0"/>
                      <w:divBdr>
                        <w:top w:val="none" w:sz="0" w:space="0" w:color="auto"/>
                        <w:left w:val="none" w:sz="0" w:space="0" w:color="auto"/>
                        <w:bottom w:val="none" w:sz="0" w:space="0" w:color="auto"/>
                        <w:right w:val="none" w:sz="0" w:space="0" w:color="auto"/>
                      </w:divBdr>
                    </w:div>
                    <w:div w:id="831258918">
                      <w:marLeft w:val="0"/>
                      <w:marRight w:val="0"/>
                      <w:marTop w:val="0"/>
                      <w:marBottom w:val="0"/>
                      <w:divBdr>
                        <w:top w:val="none" w:sz="0" w:space="0" w:color="auto"/>
                        <w:left w:val="none" w:sz="0" w:space="0" w:color="auto"/>
                        <w:bottom w:val="none" w:sz="0" w:space="0" w:color="auto"/>
                        <w:right w:val="none" w:sz="0" w:space="0" w:color="auto"/>
                      </w:divBdr>
                    </w:div>
                  </w:divsChild>
                </w:div>
                <w:div w:id="725883081">
                  <w:marLeft w:val="0"/>
                  <w:marRight w:val="0"/>
                  <w:marTop w:val="0"/>
                  <w:marBottom w:val="0"/>
                  <w:divBdr>
                    <w:top w:val="none" w:sz="0" w:space="0" w:color="auto"/>
                    <w:left w:val="none" w:sz="0" w:space="0" w:color="auto"/>
                    <w:bottom w:val="none" w:sz="0" w:space="0" w:color="auto"/>
                    <w:right w:val="none" w:sz="0" w:space="0" w:color="auto"/>
                  </w:divBdr>
                  <w:divsChild>
                    <w:div w:id="1985430460">
                      <w:marLeft w:val="0"/>
                      <w:marRight w:val="0"/>
                      <w:marTop w:val="0"/>
                      <w:marBottom w:val="0"/>
                      <w:divBdr>
                        <w:top w:val="none" w:sz="0" w:space="0" w:color="auto"/>
                        <w:left w:val="none" w:sz="0" w:space="0" w:color="auto"/>
                        <w:bottom w:val="none" w:sz="0" w:space="0" w:color="auto"/>
                        <w:right w:val="none" w:sz="0" w:space="0" w:color="auto"/>
                      </w:divBdr>
                    </w:div>
                  </w:divsChild>
                </w:div>
                <w:div w:id="728068941">
                  <w:marLeft w:val="0"/>
                  <w:marRight w:val="0"/>
                  <w:marTop w:val="0"/>
                  <w:marBottom w:val="0"/>
                  <w:divBdr>
                    <w:top w:val="none" w:sz="0" w:space="0" w:color="auto"/>
                    <w:left w:val="none" w:sz="0" w:space="0" w:color="auto"/>
                    <w:bottom w:val="none" w:sz="0" w:space="0" w:color="auto"/>
                    <w:right w:val="none" w:sz="0" w:space="0" w:color="auto"/>
                  </w:divBdr>
                  <w:divsChild>
                    <w:div w:id="58554371">
                      <w:marLeft w:val="0"/>
                      <w:marRight w:val="0"/>
                      <w:marTop w:val="0"/>
                      <w:marBottom w:val="0"/>
                      <w:divBdr>
                        <w:top w:val="none" w:sz="0" w:space="0" w:color="auto"/>
                        <w:left w:val="none" w:sz="0" w:space="0" w:color="auto"/>
                        <w:bottom w:val="none" w:sz="0" w:space="0" w:color="auto"/>
                        <w:right w:val="none" w:sz="0" w:space="0" w:color="auto"/>
                      </w:divBdr>
                    </w:div>
                  </w:divsChild>
                </w:div>
                <w:div w:id="735906461">
                  <w:marLeft w:val="0"/>
                  <w:marRight w:val="0"/>
                  <w:marTop w:val="0"/>
                  <w:marBottom w:val="0"/>
                  <w:divBdr>
                    <w:top w:val="none" w:sz="0" w:space="0" w:color="auto"/>
                    <w:left w:val="none" w:sz="0" w:space="0" w:color="auto"/>
                    <w:bottom w:val="none" w:sz="0" w:space="0" w:color="auto"/>
                    <w:right w:val="none" w:sz="0" w:space="0" w:color="auto"/>
                  </w:divBdr>
                  <w:divsChild>
                    <w:div w:id="107118525">
                      <w:marLeft w:val="0"/>
                      <w:marRight w:val="0"/>
                      <w:marTop w:val="0"/>
                      <w:marBottom w:val="0"/>
                      <w:divBdr>
                        <w:top w:val="none" w:sz="0" w:space="0" w:color="auto"/>
                        <w:left w:val="none" w:sz="0" w:space="0" w:color="auto"/>
                        <w:bottom w:val="none" w:sz="0" w:space="0" w:color="auto"/>
                        <w:right w:val="none" w:sz="0" w:space="0" w:color="auto"/>
                      </w:divBdr>
                    </w:div>
                  </w:divsChild>
                </w:div>
                <w:div w:id="740295888">
                  <w:marLeft w:val="0"/>
                  <w:marRight w:val="0"/>
                  <w:marTop w:val="0"/>
                  <w:marBottom w:val="0"/>
                  <w:divBdr>
                    <w:top w:val="none" w:sz="0" w:space="0" w:color="auto"/>
                    <w:left w:val="none" w:sz="0" w:space="0" w:color="auto"/>
                    <w:bottom w:val="none" w:sz="0" w:space="0" w:color="auto"/>
                    <w:right w:val="none" w:sz="0" w:space="0" w:color="auto"/>
                  </w:divBdr>
                  <w:divsChild>
                    <w:div w:id="1184247405">
                      <w:marLeft w:val="0"/>
                      <w:marRight w:val="0"/>
                      <w:marTop w:val="0"/>
                      <w:marBottom w:val="0"/>
                      <w:divBdr>
                        <w:top w:val="none" w:sz="0" w:space="0" w:color="auto"/>
                        <w:left w:val="none" w:sz="0" w:space="0" w:color="auto"/>
                        <w:bottom w:val="none" w:sz="0" w:space="0" w:color="auto"/>
                        <w:right w:val="none" w:sz="0" w:space="0" w:color="auto"/>
                      </w:divBdr>
                    </w:div>
                  </w:divsChild>
                </w:div>
                <w:div w:id="774058655">
                  <w:marLeft w:val="0"/>
                  <w:marRight w:val="0"/>
                  <w:marTop w:val="0"/>
                  <w:marBottom w:val="0"/>
                  <w:divBdr>
                    <w:top w:val="none" w:sz="0" w:space="0" w:color="auto"/>
                    <w:left w:val="none" w:sz="0" w:space="0" w:color="auto"/>
                    <w:bottom w:val="none" w:sz="0" w:space="0" w:color="auto"/>
                    <w:right w:val="none" w:sz="0" w:space="0" w:color="auto"/>
                  </w:divBdr>
                  <w:divsChild>
                    <w:div w:id="2118332887">
                      <w:marLeft w:val="0"/>
                      <w:marRight w:val="0"/>
                      <w:marTop w:val="0"/>
                      <w:marBottom w:val="0"/>
                      <w:divBdr>
                        <w:top w:val="none" w:sz="0" w:space="0" w:color="auto"/>
                        <w:left w:val="none" w:sz="0" w:space="0" w:color="auto"/>
                        <w:bottom w:val="none" w:sz="0" w:space="0" w:color="auto"/>
                        <w:right w:val="none" w:sz="0" w:space="0" w:color="auto"/>
                      </w:divBdr>
                    </w:div>
                  </w:divsChild>
                </w:div>
                <w:div w:id="808127754">
                  <w:marLeft w:val="0"/>
                  <w:marRight w:val="0"/>
                  <w:marTop w:val="0"/>
                  <w:marBottom w:val="0"/>
                  <w:divBdr>
                    <w:top w:val="none" w:sz="0" w:space="0" w:color="auto"/>
                    <w:left w:val="none" w:sz="0" w:space="0" w:color="auto"/>
                    <w:bottom w:val="none" w:sz="0" w:space="0" w:color="auto"/>
                    <w:right w:val="none" w:sz="0" w:space="0" w:color="auto"/>
                  </w:divBdr>
                  <w:divsChild>
                    <w:div w:id="1057363784">
                      <w:marLeft w:val="0"/>
                      <w:marRight w:val="0"/>
                      <w:marTop w:val="0"/>
                      <w:marBottom w:val="0"/>
                      <w:divBdr>
                        <w:top w:val="none" w:sz="0" w:space="0" w:color="auto"/>
                        <w:left w:val="none" w:sz="0" w:space="0" w:color="auto"/>
                        <w:bottom w:val="none" w:sz="0" w:space="0" w:color="auto"/>
                        <w:right w:val="none" w:sz="0" w:space="0" w:color="auto"/>
                      </w:divBdr>
                    </w:div>
                  </w:divsChild>
                </w:div>
                <w:div w:id="811824956">
                  <w:marLeft w:val="0"/>
                  <w:marRight w:val="0"/>
                  <w:marTop w:val="0"/>
                  <w:marBottom w:val="0"/>
                  <w:divBdr>
                    <w:top w:val="none" w:sz="0" w:space="0" w:color="auto"/>
                    <w:left w:val="none" w:sz="0" w:space="0" w:color="auto"/>
                    <w:bottom w:val="none" w:sz="0" w:space="0" w:color="auto"/>
                    <w:right w:val="none" w:sz="0" w:space="0" w:color="auto"/>
                  </w:divBdr>
                  <w:divsChild>
                    <w:div w:id="382020329">
                      <w:marLeft w:val="0"/>
                      <w:marRight w:val="0"/>
                      <w:marTop w:val="0"/>
                      <w:marBottom w:val="0"/>
                      <w:divBdr>
                        <w:top w:val="none" w:sz="0" w:space="0" w:color="auto"/>
                        <w:left w:val="none" w:sz="0" w:space="0" w:color="auto"/>
                        <w:bottom w:val="none" w:sz="0" w:space="0" w:color="auto"/>
                        <w:right w:val="none" w:sz="0" w:space="0" w:color="auto"/>
                      </w:divBdr>
                    </w:div>
                  </w:divsChild>
                </w:div>
                <w:div w:id="824589197">
                  <w:marLeft w:val="0"/>
                  <w:marRight w:val="0"/>
                  <w:marTop w:val="0"/>
                  <w:marBottom w:val="0"/>
                  <w:divBdr>
                    <w:top w:val="none" w:sz="0" w:space="0" w:color="auto"/>
                    <w:left w:val="none" w:sz="0" w:space="0" w:color="auto"/>
                    <w:bottom w:val="none" w:sz="0" w:space="0" w:color="auto"/>
                    <w:right w:val="none" w:sz="0" w:space="0" w:color="auto"/>
                  </w:divBdr>
                  <w:divsChild>
                    <w:div w:id="536771327">
                      <w:marLeft w:val="0"/>
                      <w:marRight w:val="0"/>
                      <w:marTop w:val="0"/>
                      <w:marBottom w:val="0"/>
                      <w:divBdr>
                        <w:top w:val="none" w:sz="0" w:space="0" w:color="auto"/>
                        <w:left w:val="none" w:sz="0" w:space="0" w:color="auto"/>
                        <w:bottom w:val="none" w:sz="0" w:space="0" w:color="auto"/>
                        <w:right w:val="none" w:sz="0" w:space="0" w:color="auto"/>
                      </w:divBdr>
                    </w:div>
                  </w:divsChild>
                </w:div>
                <w:div w:id="825709908">
                  <w:marLeft w:val="0"/>
                  <w:marRight w:val="0"/>
                  <w:marTop w:val="0"/>
                  <w:marBottom w:val="0"/>
                  <w:divBdr>
                    <w:top w:val="none" w:sz="0" w:space="0" w:color="auto"/>
                    <w:left w:val="none" w:sz="0" w:space="0" w:color="auto"/>
                    <w:bottom w:val="none" w:sz="0" w:space="0" w:color="auto"/>
                    <w:right w:val="none" w:sz="0" w:space="0" w:color="auto"/>
                  </w:divBdr>
                  <w:divsChild>
                    <w:div w:id="339161459">
                      <w:marLeft w:val="0"/>
                      <w:marRight w:val="0"/>
                      <w:marTop w:val="0"/>
                      <w:marBottom w:val="0"/>
                      <w:divBdr>
                        <w:top w:val="none" w:sz="0" w:space="0" w:color="auto"/>
                        <w:left w:val="none" w:sz="0" w:space="0" w:color="auto"/>
                        <w:bottom w:val="none" w:sz="0" w:space="0" w:color="auto"/>
                        <w:right w:val="none" w:sz="0" w:space="0" w:color="auto"/>
                      </w:divBdr>
                    </w:div>
                  </w:divsChild>
                </w:div>
                <w:div w:id="843396138">
                  <w:marLeft w:val="0"/>
                  <w:marRight w:val="0"/>
                  <w:marTop w:val="0"/>
                  <w:marBottom w:val="0"/>
                  <w:divBdr>
                    <w:top w:val="none" w:sz="0" w:space="0" w:color="auto"/>
                    <w:left w:val="none" w:sz="0" w:space="0" w:color="auto"/>
                    <w:bottom w:val="none" w:sz="0" w:space="0" w:color="auto"/>
                    <w:right w:val="none" w:sz="0" w:space="0" w:color="auto"/>
                  </w:divBdr>
                  <w:divsChild>
                    <w:div w:id="410010887">
                      <w:marLeft w:val="0"/>
                      <w:marRight w:val="0"/>
                      <w:marTop w:val="0"/>
                      <w:marBottom w:val="0"/>
                      <w:divBdr>
                        <w:top w:val="none" w:sz="0" w:space="0" w:color="auto"/>
                        <w:left w:val="none" w:sz="0" w:space="0" w:color="auto"/>
                        <w:bottom w:val="none" w:sz="0" w:space="0" w:color="auto"/>
                        <w:right w:val="none" w:sz="0" w:space="0" w:color="auto"/>
                      </w:divBdr>
                    </w:div>
                  </w:divsChild>
                </w:div>
                <w:div w:id="857737819">
                  <w:marLeft w:val="0"/>
                  <w:marRight w:val="0"/>
                  <w:marTop w:val="0"/>
                  <w:marBottom w:val="0"/>
                  <w:divBdr>
                    <w:top w:val="none" w:sz="0" w:space="0" w:color="auto"/>
                    <w:left w:val="none" w:sz="0" w:space="0" w:color="auto"/>
                    <w:bottom w:val="none" w:sz="0" w:space="0" w:color="auto"/>
                    <w:right w:val="none" w:sz="0" w:space="0" w:color="auto"/>
                  </w:divBdr>
                  <w:divsChild>
                    <w:div w:id="304698652">
                      <w:marLeft w:val="0"/>
                      <w:marRight w:val="0"/>
                      <w:marTop w:val="0"/>
                      <w:marBottom w:val="0"/>
                      <w:divBdr>
                        <w:top w:val="none" w:sz="0" w:space="0" w:color="auto"/>
                        <w:left w:val="none" w:sz="0" w:space="0" w:color="auto"/>
                        <w:bottom w:val="none" w:sz="0" w:space="0" w:color="auto"/>
                        <w:right w:val="none" w:sz="0" w:space="0" w:color="auto"/>
                      </w:divBdr>
                    </w:div>
                  </w:divsChild>
                </w:div>
                <w:div w:id="859129040">
                  <w:marLeft w:val="0"/>
                  <w:marRight w:val="0"/>
                  <w:marTop w:val="0"/>
                  <w:marBottom w:val="0"/>
                  <w:divBdr>
                    <w:top w:val="none" w:sz="0" w:space="0" w:color="auto"/>
                    <w:left w:val="none" w:sz="0" w:space="0" w:color="auto"/>
                    <w:bottom w:val="none" w:sz="0" w:space="0" w:color="auto"/>
                    <w:right w:val="none" w:sz="0" w:space="0" w:color="auto"/>
                  </w:divBdr>
                  <w:divsChild>
                    <w:div w:id="1803426566">
                      <w:marLeft w:val="0"/>
                      <w:marRight w:val="0"/>
                      <w:marTop w:val="0"/>
                      <w:marBottom w:val="0"/>
                      <w:divBdr>
                        <w:top w:val="none" w:sz="0" w:space="0" w:color="auto"/>
                        <w:left w:val="none" w:sz="0" w:space="0" w:color="auto"/>
                        <w:bottom w:val="none" w:sz="0" w:space="0" w:color="auto"/>
                        <w:right w:val="none" w:sz="0" w:space="0" w:color="auto"/>
                      </w:divBdr>
                    </w:div>
                  </w:divsChild>
                </w:div>
                <w:div w:id="867568848">
                  <w:marLeft w:val="0"/>
                  <w:marRight w:val="0"/>
                  <w:marTop w:val="0"/>
                  <w:marBottom w:val="0"/>
                  <w:divBdr>
                    <w:top w:val="none" w:sz="0" w:space="0" w:color="auto"/>
                    <w:left w:val="none" w:sz="0" w:space="0" w:color="auto"/>
                    <w:bottom w:val="none" w:sz="0" w:space="0" w:color="auto"/>
                    <w:right w:val="none" w:sz="0" w:space="0" w:color="auto"/>
                  </w:divBdr>
                  <w:divsChild>
                    <w:div w:id="186912984">
                      <w:marLeft w:val="0"/>
                      <w:marRight w:val="0"/>
                      <w:marTop w:val="0"/>
                      <w:marBottom w:val="0"/>
                      <w:divBdr>
                        <w:top w:val="none" w:sz="0" w:space="0" w:color="auto"/>
                        <w:left w:val="none" w:sz="0" w:space="0" w:color="auto"/>
                        <w:bottom w:val="none" w:sz="0" w:space="0" w:color="auto"/>
                        <w:right w:val="none" w:sz="0" w:space="0" w:color="auto"/>
                      </w:divBdr>
                    </w:div>
                    <w:div w:id="593172274">
                      <w:marLeft w:val="0"/>
                      <w:marRight w:val="0"/>
                      <w:marTop w:val="0"/>
                      <w:marBottom w:val="0"/>
                      <w:divBdr>
                        <w:top w:val="none" w:sz="0" w:space="0" w:color="auto"/>
                        <w:left w:val="none" w:sz="0" w:space="0" w:color="auto"/>
                        <w:bottom w:val="none" w:sz="0" w:space="0" w:color="auto"/>
                        <w:right w:val="none" w:sz="0" w:space="0" w:color="auto"/>
                      </w:divBdr>
                    </w:div>
                    <w:div w:id="664623436">
                      <w:marLeft w:val="0"/>
                      <w:marRight w:val="0"/>
                      <w:marTop w:val="0"/>
                      <w:marBottom w:val="0"/>
                      <w:divBdr>
                        <w:top w:val="none" w:sz="0" w:space="0" w:color="auto"/>
                        <w:left w:val="none" w:sz="0" w:space="0" w:color="auto"/>
                        <w:bottom w:val="none" w:sz="0" w:space="0" w:color="auto"/>
                        <w:right w:val="none" w:sz="0" w:space="0" w:color="auto"/>
                      </w:divBdr>
                    </w:div>
                    <w:div w:id="1330281671">
                      <w:marLeft w:val="0"/>
                      <w:marRight w:val="0"/>
                      <w:marTop w:val="0"/>
                      <w:marBottom w:val="0"/>
                      <w:divBdr>
                        <w:top w:val="none" w:sz="0" w:space="0" w:color="auto"/>
                        <w:left w:val="none" w:sz="0" w:space="0" w:color="auto"/>
                        <w:bottom w:val="none" w:sz="0" w:space="0" w:color="auto"/>
                        <w:right w:val="none" w:sz="0" w:space="0" w:color="auto"/>
                      </w:divBdr>
                    </w:div>
                    <w:div w:id="1387141053">
                      <w:marLeft w:val="0"/>
                      <w:marRight w:val="0"/>
                      <w:marTop w:val="0"/>
                      <w:marBottom w:val="0"/>
                      <w:divBdr>
                        <w:top w:val="none" w:sz="0" w:space="0" w:color="auto"/>
                        <w:left w:val="none" w:sz="0" w:space="0" w:color="auto"/>
                        <w:bottom w:val="none" w:sz="0" w:space="0" w:color="auto"/>
                        <w:right w:val="none" w:sz="0" w:space="0" w:color="auto"/>
                      </w:divBdr>
                    </w:div>
                    <w:div w:id="1486362563">
                      <w:marLeft w:val="0"/>
                      <w:marRight w:val="0"/>
                      <w:marTop w:val="0"/>
                      <w:marBottom w:val="0"/>
                      <w:divBdr>
                        <w:top w:val="none" w:sz="0" w:space="0" w:color="auto"/>
                        <w:left w:val="none" w:sz="0" w:space="0" w:color="auto"/>
                        <w:bottom w:val="none" w:sz="0" w:space="0" w:color="auto"/>
                        <w:right w:val="none" w:sz="0" w:space="0" w:color="auto"/>
                      </w:divBdr>
                    </w:div>
                    <w:div w:id="1591549732">
                      <w:marLeft w:val="0"/>
                      <w:marRight w:val="0"/>
                      <w:marTop w:val="0"/>
                      <w:marBottom w:val="0"/>
                      <w:divBdr>
                        <w:top w:val="none" w:sz="0" w:space="0" w:color="auto"/>
                        <w:left w:val="none" w:sz="0" w:space="0" w:color="auto"/>
                        <w:bottom w:val="none" w:sz="0" w:space="0" w:color="auto"/>
                        <w:right w:val="none" w:sz="0" w:space="0" w:color="auto"/>
                      </w:divBdr>
                    </w:div>
                    <w:div w:id="1595046533">
                      <w:marLeft w:val="0"/>
                      <w:marRight w:val="0"/>
                      <w:marTop w:val="0"/>
                      <w:marBottom w:val="0"/>
                      <w:divBdr>
                        <w:top w:val="none" w:sz="0" w:space="0" w:color="auto"/>
                        <w:left w:val="none" w:sz="0" w:space="0" w:color="auto"/>
                        <w:bottom w:val="none" w:sz="0" w:space="0" w:color="auto"/>
                        <w:right w:val="none" w:sz="0" w:space="0" w:color="auto"/>
                      </w:divBdr>
                    </w:div>
                    <w:div w:id="1617561356">
                      <w:marLeft w:val="0"/>
                      <w:marRight w:val="0"/>
                      <w:marTop w:val="0"/>
                      <w:marBottom w:val="0"/>
                      <w:divBdr>
                        <w:top w:val="none" w:sz="0" w:space="0" w:color="auto"/>
                        <w:left w:val="none" w:sz="0" w:space="0" w:color="auto"/>
                        <w:bottom w:val="none" w:sz="0" w:space="0" w:color="auto"/>
                        <w:right w:val="none" w:sz="0" w:space="0" w:color="auto"/>
                      </w:divBdr>
                    </w:div>
                    <w:div w:id="1952977977">
                      <w:marLeft w:val="0"/>
                      <w:marRight w:val="0"/>
                      <w:marTop w:val="0"/>
                      <w:marBottom w:val="0"/>
                      <w:divBdr>
                        <w:top w:val="none" w:sz="0" w:space="0" w:color="auto"/>
                        <w:left w:val="none" w:sz="0" w:space="0" w:color="auto"/>
                        <w:bottom w:val="none" w:sz="0" w:space="0" w:color="auto"/>
                        <w:right w:val="none" w:sz="0" w:space="0" w:color="auto"/>
                      </w:divBdr>
                    </w:div>
                  </w:divsChild>
                </w:div>
                <w:div w:id="868102196">
                  <w:marLeft w:val="0"/>
                  <w:marRight w:val="0"/>
                  <w:marTop w:val="0"/>
                  <w:marBottom w:val="0"/>
                  <w:divBdr>
                    <w:top w:val="none" w:sz="0" w:space="0" w:color="auto"/>
                    <w:left w:val="none" w:sz="0" w:space="0" w:color="auto"/>
                    <w:bottom w:val="none" w:sz="0" w:space="0" w:color="auto"/>
                    <w:right w:val="none" w:sz="0" w:space="0" w:color="auto"/>
                  </w:divBdr>
                  <w:divsChild>
                    <w:div w:id="315376429">
                      <w:marLeft w:val="0"/>
                      <w:marRight w:val="0"/>
                      <w:marTop w:val="0"/>
                      <w:marBottom w:val="0"/>
                      <w:divBdr>
                        <w:top w:val="none" w:sz="0" w:space="0" w:color="auto"/>
                        <w:left w:val="none" w:sz="0" w:space="0" w:color="auto"/>
                        <w:bottom w:val="none" w:sz="0" w:space="0" w:color="auto"/>
                        <w:right w:val="none" w:sz="0" w:space="0" w:color="auto"/>
                      </w:divBdr>
                    </w:div>
                  </w:divsChild>
                </w:div>
                <w:div w:id="873884098">
                  <w:marLeft w:val="0"/>
                  <w:marRight w:val="0"/>
                  <w:marTop w:val="0"/>
                  <w:marBottom w:val="0"/>
                  <w:divBdr>
                    <w:top w:val="none" w:sz="0" w:space="0" w:color="auto"/>
                    <w:left w:val="none" w:sz="0" w:space="0" w:color="auto"/>
                    <w:bottom w:val="none" w:sz="0" w:space="0" w:color="auto"/>
                    <w:right w:val="none" w:sz="0" w:space="0" w:color="auto"/>
                  </w:divBdr>
                  <w:divsChild>
                    <w:div w:id="1016037066">
                      <w:marLeft w:val="0"/>
                      <w:marRight w:val="0"/>
                      <w:marTop w:val="0"/>
                      <w:marBottom w:val="0"/>
                      <w:divBdr>
                        <w:top w:val="none" w:sz="0" w:space="0" w:color="auto"/>
                        <w:left w:val="none" w:sz="0" w:space="0" w:color="auto"/>
                        <w:bottom w:val="none" w:sz="0" w:space="0" w:color="auto"/>
                        <w:right w:val="none" w:sz="0" w:space="0" w:color="auto"/>
                      </w:divBdr>
                    </w:div>
                  </w:divsChild>
                </w:div>
                <w:div w:id="893279049">
                  <w:marLeft w:val="0"/>
                  <w:marRight w:val="0"/>
                  <w:marTop w:val="0"/>
                  <w:marBottom w:val="0"/>
                  <w:divBdr>
                    <w:top w:val="none" w:sz="0" w:space="0" w:color="auto"/>
                    <w:left w:val="none" w:sz="0" w:space="0" w:color="auto"/>
                    <w:bottom w:val="none" w:sz="0" w:space="0" w:color="auto"/>
                    <w:right w:val="none" w:sz="0" w:space="0" w:color="auto"/>
                  </w:divBdr>
                  <w:divsChild>
                    <w:div w:id="309137594">
                      <w:marLeft w:val="0"/>
                      <w:marRight w:val="0"/>
                      <w:marTop w:val="0"/>
                      <w:marBottom w:val="0"/>
                      <w:divBdr>
                        <w:top w:val="none" w:sz="0" w:space="0" w:color="auto"/>
                        <w:left w:val="none" w:sz="0" w:space="0" w:color="auto"/>
                        <w:bottom w:val="none" w:sz="0" w:space="0" w:color="auto"/>
                        <w:right w:val="none" w:sz="0" w:space="0" w:color="auto"/>
                      </w:divBdr>
                    </w:div>
                  </w:divsChild>
                </w:div>
                <w:div w:id="893924948">
                  <w:marLeft w:val="0"/>
                  <w:marRight w:val="0"/>
                  <w:marTop w:val="0"/>
                  <w:marBottom w:val="0"/>
                  <w:divBdr>
                    <w:top w:val="none" w:sz="0" w:space="0" w:color="auto"/>
                    <w:left w:val="none" w:sz="0" w:space="0" w:color="auto"/>
                    <w:bottom w:val="none" w:sz="0" w:space="0" w:color="auto"/>
                    <w:right w:val="none" w:sz="0" w:space="0" w:color="auto"/>
                  </w:divBdr>
                  <w:divsChild>
                    <w:div w:id="1967157174">
                      <w:marLeft w:val="0"/>
                      <w:marRight w:val="0"/>
                      <w:marTop w:val="0"/>
                      <w:marBottom w:val="0"/>
                      <w:divBdr>
                        <w:top w:val="none" w:sz="0" w:space="0" w:color="auto"/>
                        <w:left w:val="none" w:sz="0" w:space="0" w:color="auto"/>
                        <w:bottom w:val="none" w:sz="0" w:space="0" w:color="auto"/>
                        <w:right w:val="none" w:sz="0" w:space="0" w:color="auto"/>
                      </w:divBdr>
                    </w:div>
                  </w:divsChild>
                </w:div>
                <w:div w:id="903566305">
                  <w:marLeft w:val="0"/>
                  <w:marRight w:val="0"/>
                  <w:marTop w:val="0"/>
                  <w:marBottom w:val="0"/>
                  <w:divBdr>
                    <w:top w:val="none" w:sz="0" w:space="0" w:color="auto"/>
                    <w:left w:val="none" w:sz="0" w:space="0" w:color="auto"/>
                    <w:bottom w:val="none" w:sz="0" w:space="0" w:color="auto"/>
                    <w:right w:val="none" w:sz="0" w:space="0" w:color="auto"/>
                  </w:divBdr>
                  <w:divsChild>
                    <w:div w:id="1469010494">
                      <w:marLeft w:val="0"/>
                      <w:marRight w:val="0"/>
                      <w:marTop w:val="0"/>
                      <w:marBottom w:val="0"/>
                      <w:divBdr>
                        <w:top w:val="none" w:sz="0" w:space="0" w:color="auto"/>
                        <w:left w:val="none" w:sz="0" w:space="0" w:color="auto"/>
                        <w:bottom w:val="none" w:sz="0" w:space="0" w:color="auto"/>
                        <w:right w:val="none" w:sz="0" w:space="0" w:color="auto"/>
                      </w:divBdr>
                    </w:div>
                  </w:divsChild>
                </w:div>
                <w:div w:id="905578071">
                  <w:marLeft w:val="0"/>
                  <w:marRight w:val="0"/>
                  <w:marTop w:val="0"/>
                  <w:marBottom w:val="0"/>
                  <w:divBdr>
                    <w:top w:val="none" w:sz="0" w:space="0" w:color="auto"/>
                    <w:left w:val="none" w:sz="0" w:space="0" w:color="auto"/>
                    <w:bottom w:val="none" w:sz="0" w:space="0" w:color="auto"/>
                    <w:right w:val="none" w:sz="0" w:space="0" w:color="auto"/>
                  </w:divBdr>
                  <w:divsChild>
                    <w:div w:id="512962651">
                      <w:marLeft w:val="0"/>
                      <w:marRight w:val="0"/>
                      <w:marTop w:val="0"/>
                      <w:marBottom w:val="0"/>
                      <w:divBdr>
                        <w:top w:val="none" w:sz="0" w:space="0" w:color="auto"/>
                        <w:left w:val="none" w:sz="0" w:space="0" w:color="auto"/>
                        <w:bottom w:val="none" w:sz="0" w:space="0" w:color="auto"/>
                        <w:right w:val="none" w:sz="0" w:space="0" w:color="auto"/>
                      </w:divBdr>
                    </w:div>
                  </w:divsChild>
                </w:div>
                <w:div w:id="914245385">
                  <w:marLeft w:val="0"/>
                  <w:marRight w:val="0"/>
                  <w:marTop w:val="0"/>
                  <w:marBottom w:val="0"/>
                  <w:divBdr>
                    <w:top w:val="none" w:sz="0" w:space="0" w:color="auto"/>
                    <w:left w:val="none" w:sz="0" w:space="0" w:color="auto"/>
                    <w:bottom w:val="none" w:sz="0" w:space="0" w:color="auto"/>
                    <w:right w:val="none" w:sz="0" w:space="0" w:color="auto"/>
                  </w:divBdr>
                  <w:divsChild>
                    <w:div w:id="1499034263">
                      <w:marLeft w:val="0"/>
                      <w:marRight w:val="0"/>
                      <w:marTop w:val="0"/>
                      <w:marBottom w:val="0"/>
                      <w:divBdr>
                        <w:top w:val="none" w:sz="0" w:space="0" w:color="auto"/>
                        <w:left w:val="none" w:sz="0" w:space="0" w:color="auto"/>
                        <w:bottom w:val="none" w:sz="0" w:space="0" w:color="auto"/>
                        <w:right w:val="none" w:sz="0" w:space="0" w:color="auto"/>
                      </w:divBdr>
                    </w:div>
                  </w:divsChild>
                </w:div>
                <w:div w:id="938026347">
                  <w:marLeft w:val="0"/>
                  <w:marRight w:val="0"/>
                  <w:marTop w:val="0"/>
                  <w:marBottom w:val="0"/>
                  <w:divBdr>
                    <w:top w:val="none" w:sz="0" w:space="0" w:color="auto"/>
                    <w:left w:val="none" w:sz="0" w:space="0" w:color="auto"/>
                    <w:bottom w:val="none" w:sz="0" w:space="0" w:color="auto"/>
                    <w:right w:val="none" w:sz="0" w:space="0" w:color="auto"/>
                  </w:divBdr>
                  <w:divsChild>
                    <w:div w:id="1817533004">
                      <w:marLeft w:val="0"/>
                      <w:marRight w:val="0"/>
                      <w:marTop w:val="0"/>
                      <w:marBottom w:val="0"/>
                      <w:divBdr>
                        <w:top w:val="none" w:sz="0" w:space="0" w:color="auto"/>
                        <w:left w:val="none" w:sz="0" w:space="0" w:color="auto"/>
                        <w:bottom w:val="none" w:sz="0" w:space="0" w:color="auto"/>
                        <w:right w:val="none" w:sz="0" w:space="0" w:color="auto"/>
                      </w:divBdr>
                    </w:div>
                  </w:divsChild>
                </w:div>
                <w:div w:id="950169880">
                  <w:marLeft w:val="0"/>
                  <w:marRight w:val="0"/>
                  <w:marTop w:val="0"/>
                  <w:marBottom w:val="0"/>
                  <w:divBdr>
                    <w:top w:val="none" w:sz="0" w:space="0" w:color="auto"/>
                    <w:left w:val="none" w:sz="0" w:space="0" w:color="auto"/>
                    <w:bottom w:val="none" w:sz="0" w:space="0" w:color="auto"/>
                    <w:right w:val="none" w:sz="0" w:space="0" w:color="auto"/>
                  </w:divBdr>
                  <w:divsChild>
                    <w:div w:id="625738724">
                      <w:marLeft w:val="0"/>
                      <w:marRight w:val="0"/>
                      <w:marTop w:val="0"/>
                      <w:marBottom w:val="0"/>
                      <w:divBdr>
                        <w:top w:val="none" w:sz="0" w:space="0" w:color="auto"/>
                        <w:left w:val="none" w:sz="0" w:space="0" w:color="auto"/>
                        <w:bottom w:val="none" w:sz="0" w:space="0" w:color="auto"/>
                        <w:right w:val="none" w:sz="0" w:space="0" w:color="auto"/>
                      </w:divBdr>
                    </w:div>
                  </w:divsChild>
                </w:div>
                <w:div w:id="964115868">
                  <w:marLeft w:val="0"/>
                  <w:marRight w:val="0"/>
                  <w:marTop w:val="0"/>
                  <w:marBottom w:val="0"/>
                  <w:divBdr>
                    <w:top w:val="none" w:sz="0" w:space="0" w:color="auto"/>
                    <w:left w:val="none" w:sz="0" w:space="0" w:color="auto"/>
                    <w:bottom w:val="none" w:sz="0" w:space="0" w:color="auto"/>
                    <w:right w:val="none" w:sz="0" w:space="0" w:color="auto"/>
                  </w:divBdr>
                  <w:divsChild>
                    <w:div w:id="1262294703">
                      <w:marLeft w:val="0"/>
                      <w:marRight w:val="0"/>
                      <w:marTop w:val="0"/>
                      <w:marBottom w:val="0"/>
                      <w:divBdr>
                        <w:top w:val="none" w:sz="0" w:space="0" w:color="auto"/>
                        <w:left w:val="none" w:sz="0" w:space="0" w:color="auto"/>
                        <w:bottom w:val="none" w:sz="0" w:space="0" w:color="auto"/>
                        <w:right w:val="none" w:sz="0" w:space="0" w:color="auto"/>
                      </w:divBdr>
                    </w:div>
                  </w:divsChild>
                </w:div>
                <w:div w:id="971254444">
                  <w:marLeft w:val="0"/>
                  <w:marRight w:val="0"/>
                  <w:marTop w:val="0"/>
                  <w:marBottom w:val="0"/>
                  <w:divBdr>
                    <w:top w:val="none" w:sz="0" w:space="0" w:color="auto"/>
                    <w:left w:val="none" w:sz="0" w:space="0" w:color="auto"/>
                    <w:bottom w:val="none" w:sz="0" w:space="0" w:color="auto"/>
                    <w:right w:val="none" w:sz="0" w:space="0" w:color="auto"/>
                  </w:divBdr>
                  <w:divsChild>
                    <w:div w:id="1386446008">
                      <w:marLeft w:val="0"/>
                      <w:marRight w:val="0"/>
                      <w:marTop w:val="0"/>
                      <w:marBottom w:val="0"/>
                      <w:divBdr>
                        <w:top w:val="none" w:sz="0" w:space="0" w:color="auto"/>
                        <w:left w:val="none" w:sz="0" w:space="0" w:color="auto"/>
                        <w:bottom w:val="none" w:sz="0" w:space="0" w:color="auto"/>
                        <w:right w:val="none" w:sz="0" w:space="0" w:color="auto"/>
                      </w:divBdr>
                    </w:div>
                  </w:divsChild>
                </w:div>
                <w:div w:id="980884673">
                  <w:marLeft w:val="0"/>
                  <w:marRight w:val="0"/>
                  <w:marTop w:val="0"/>
                  <w:marBottom w:val="0"/>
                  <w:divBdr>
                    <w:top w:val="none" w:sz="0" w:space="0" w:color="auto"/>
                    <w:left w:val="none" w:sz="0" w:space="0" w:color="auto"/>
                    <w:bottom w:val="none" w:sz="0" w:space="0" w:color="auto"/>
                    <w:right w:val="none" w:sz="0" w:space="0" w:color="auto"/>
                  </w:divBdr>
                  <w:divsChild>
                    <w:div w:id="999700358">
                      <w:marLeft w:val="0"/>
                      <w:marRight w:val="0"/>
                      <w:marTop w:val="0"/>
                      <w:marBottom w:val="0"/>
                      <w:divBdr>
                        <w:top w:val="none" w:sz="0" w:space="0" w:color="auto"/>
                        <w:left w:val="none" w:sz="0" w:space="0" w:color="auto"/>
                        <w:bottom w:val="none" w:sz="0" w:space="0" w:color="auto"/>
                        <w:right w:val="none" w:sz="0" w:space="0" w:color="auto"/>
                      </w:divBdr>
                    </w:div>
                  </w:divsChild>
                </w:div>
                <w:div w:id="997655383">
                  <w:marLeft w:val="0"/>
                  <w:marRight w:val="0"/>
                  <w:marTop w:val="0"/>
                  <w:marBottom w:val="0"/>
                  <w:divBdr>
                    <w:top w:val="none" w:sz="0" w:space="0" w:color="auto"/>
                    <w:left w:val="none" w:sz="0" w:space="0" w:color="auto"/>
                    <w:bottom w:val="none" w:sz="0" w:space="0" w:color="auto"/>
                    <w:right w:val="none" w:sz="0" w:space="0" w:color="auto"/>
                  </w:divBdr>
                  <w:divsChild>
                    <w:div w:id="1311207260">
                      <w:marLeft w:val="0"/>
                      <w:marRight w:val="0"/>
                      <w:marTop w:val="0"/>
                      <w:marBottom w:val="0"/>
                      <w:divBdr>
                        <w:top w:val="none" w:sz="0" w:space="0" w:color="auto"/>
                        <w:left w:val="none" w:sz="0" w:space="0" w:color="auto"/>
                        <w:bottom w:val="none" w:sz="0" w:space="0" w:color="auto"/>
                        <w:right w:val="none" w:sz="0" w:space="0" w:color="auto"/>
                      </w:divBdr>
                    </w:div>
                  </w:divsChild>
                </w:div>
                <w:div w:id="1015571117">
                  <w:marLeft w:val="0"/>
                  <w:marRight w:val="0"/>
                  <w:marTop w:val="0"/>
                  <w:marBottom w:val="0"/>
                  <w:divBdr>
                    <w:top w:val="none" w:sz="0" w:space="0" w:color="auto"/>
                    <w:left w:val="none" w:sz="0" w:space="0" w:color="auto"/>
                    <w:bottom w:val="none" w:sz="0" w:space="0" w:color="auto"/>
                    <w:right w:val="none" w:sz="0" w:space="0" w:color="auto"/>
                  </w:divBdr>
                  <w:divsChild>
                    <w:div w:id="1682126139">
                      <w:marLeft w:val="0"/>
                      <w:marRight w:val="0"/>
                      <w:marTop w:val="0"/>
                      <w:marBottom w:val="0"/>
                      <w:divBdr>
                        <w:top w:val="none" w:sz="0" w:space="0" w:color="auto"/>
                        <w:left w:val="none" w:sz="0" w:space="0" w:color="auto"/>
                        <w:bottom w:val="none" w:sz="0" w:space="0" w:color="auto"/>
                        <w:right w:val="none" w:sz="0" w:space="0" w:color="auto"/>
                      </w:divBdr>
                    </w:div>
                  </w:divsChild>
                </w:div>
                <w:div w:id="1024207855">
                  <w:marLeft w:val="0"/>
                  <w:marRight w:val="0"/>
                  <w:marTop w:val="0"/>
                  <w:marBottom w:val="0"/>
                  <w:divBdr>
                    <w:top w:val="none" w:sz="0" w:space="0" w:color="auto"/>
                    <w:left w:val="none" w:sz="0" w:space="0" w:color="auto"/>
                    <w:bottom w:val="none" w:sz="0" w:space="0" w:color="auto"/>
                    <w:right w:val="none" w:sz="0" w:space="0" w:color="auto"/>
                  </w:divBdr>
                  <w:divsChild>
                    <w:div w:id="556211867">
                      <w:marLeft w:val="0"/>
                      <w:marRight w:val="0"/>
                      <w:marTop w:val="0"/>
                      <w:marBottom w:val="0"/>
                      <w:divBdr>
                        <w:top w:val="none" w:sz="0" w:space="0" w:color="auto"/>
                        <w:left w:val="none" w:sz="0" w:space="0" w:color="auto"/>
                        <w:bottom w:val="none" w:sz="0" w:space="0" w:color="auto"/>
                        <w:right w:val="none" w:sz="0" w:space="0" w:color="auto"/>
                      </w:divBdr>
                    </w:div>
                  </w:divsChild>
                </w:div>
                <w:div w:id="1027409659">
                  <w:marLeft w:val="0"/>
                  <w:marRight w:val="0"/>
                  <w:marTop w:val="0"/>
                  <w:marBottom w:val="0"/>
                  <w:divBdr>
                    <w:top w:val="none" w:sz="0" w:space="0" w:color="auto"/>
                    <w:left w:val="none" w:sz="0" w:space="0" w:color="auto"/>
                    <w:bottom w:val="none" w:sz="0" w:space="0" w:color="auto"/>
                    <w:right w:val="none" w:sz="0" w:space="0" w:color="auto"/>
                  </w:divBdr>
                  <w:divsChild>
                    <w:div w:id="1671326292">
                      <w:marLeft w:val="0"/>
                      <w:marRight w:val="0"/>
                      <w:marTop w:val="0"/>
                      <w:marBottom w:val="0"/>
                      <w:divBdr>
                        <w:top w:val="none" w:sz="0" w:space="0" w:color="auto"/>
                        <w:left w:val="none" w:sz="0" w:space="0" w:color="auto"/>
                        <w:bottom w:val="none" w:sz="0" w:space="0" w:color="auto"/>
                        <w:right w:val="none" w:sz="0" w:space="0" w:color="auto"/>
                      </w:divBdr>
                    </w:div>
                  </w:divsChild>
                </w:div>
                <w:div w:id="1035541479">
                  <w:marLeft w:val="0"/>
                  <w:marRight w:val="0"/>
                  <w:marTop w:val="0"/>
                  <w:marBottom w:val="0"/>
                  <w:divBdr>
                    <w:top w:val="none" w:sz="0" w:space="0" w:color="auto"/>
                    <w:left w:val="none" w:sz="0" w:space="0" w:color="auto"/>
                    <w:bottom w:val="none" w:sz="0" w:space="0" w:color="auto"/>
                    <w:right w:val="none" w:sz="0" w:space="0" w:color="auto"/>
                  </w:divBdr>
                  <w:divsChild>
                    <w:div w:id="90275443">
                      <w:marLeft w:val="0"/>
                      <w:marRight w:val="0"/>
                      <w:marTop w:val="0"/>
                      <w:marBottom w:val="0"/>
                      <w:divBdr>
                        <w:top w:val="none" w:sz="0" w:space="0" w:color="auto"/>
                        <w:left w:val="none" w:sz="0" w:space="0" w:color="auto"/>
                        <w:bottom w:val="none" w:sz="0" w:space="0" w:color="auto"/>
                        <w:right w:val="none" w:sz="0" w:space="0" w:color="auto"/>
                      </w:divBdr>
                    </w:div>
                  </w:divsChild>
                </w:div>
                <w:div w:id="1039092786">
                  <w:marLeft w:val="0"/>
                  <w:marRight w:val="0"/>
                  <w:marTop w:val="0"/>
                  <w:marBottom w:val="0"/>
                  <w:divBdr>
                    <w:top w:val="none" w:sz="0" w:space="0" w:color="auto"/>
                    <w:left w:val="none" w:sz="0" w:space="0" w:color="auto"/>
                    <w:bottom w:val="none" w:sz="0" w:space="0" w:color="auto"/>
                    <w:right w:val="none" w:sz="0" w:space="0" w:color="auto"/>
                  </w:divBdr>
                  <w:divsChild>
                    <w:div w:id="1929384906">
                      <w:marLeft w:val="0"/>
                      <w:marRight w:val="0"/>
                      <w:marTop w:val="0"/>
                      <w:marBottom w:val="0"/>
                      <w:divBdr>
                        <w:top w:val="none" w:sz="0" w:space="0" w:color="auto"/>
                        <w:left w:val="none" w:sz="0" w:space="0" w:color="auto"/>
                        <w:bottom w:val="none" w:sz="0" w:space="0" w:color="auto"/>
                        <w:right w:val="none" w:sz="0" w:space="0" w:color="auto"/>
                      </w:divBdr>
                    </w:div>
                  </w:divsChild>
                </w:div>
                <w:div w:id="1078332400">
                  <w:marLeft w:val="0"/>
                  <w:marRight w:val="0"/>
                  <w:marTop w:val="0"/>
                  <w:marBottom w:val="0"/>
                  <w:divBdr>
                    <w:top w:val="none" w:sz="0" w:space="0" w:color="auto"/>
                    <w:left w:val="none" w:sz="0" w:space="0" w:color="auto"/>
                    <w:bottom w:val="none" w:sz="0" w:space="0" w:color="auto"/>
                    <w:right w:val="none" w:sz="0" w:space="0" w:color="auto"/>
                  </w:divBdr>
                  <w:divsChild>
                    <w:div w:id="1649506831">
                      <w:marLeft w:val="0"/>
                      <w:marRight w:val="0"/>
                      <w:marTop w:val="0"/>
                      <w:marBottom w:val="0"/>
                      <w:divBdr>
                        <w:top w:val="none" w:sz="0" w:space="0" w:color="auto"/>
                        <w:left w:val="none" w:sz="0" w:space="0" w:color="auto"/>
                        <w:bottom w:val="none" w:sz="0" w:space="0" w:color="auto"/>
                        <w:right w:val="none" w:sz="0" w:space="0" w:color="auto"/>
                      </w:divBdr>
                    </w:div>
                  </w:divsChild>
                </w:div>
                <w:div w:id="1083257729">
                  <w:marLeft w:val="0"/>
                  <w:marRight w:val="0"/>
                  <w:marTop w:val="0"/>
                  <w:marBottom w:val="0"/>
                  <w:divBdr>
                    <w:top w:val="none" w:sz="0" w:space="0" w:color="auto"/>
                    <w:left w:val="none" w:sz="0" w:space="0" w:color="auto"/>
                    <w:bottom w:val="none" w:sz="0" w:space="0" w:color="auto"/>
                    <w:right w:val="none" w:sz="0" w:space="0" w:color="auto"/>
                  </w:divBdr>
                  <w:divsChild>
                    <w:div w:id="913393747">
                      <w:marLeft w:val="0"/>
                      <w:marRight w:val="0"/>
                      <w:marTop w:val="0"/>
                      <w:marBottom w:val="0"/>
                      <w:divBdr>
                        <w:top w:val="none" w:sz="0" w:space="0" w:color="auto"/>
                        <w:left w:val="none" w:sz="0" w:space="0" w:color="auto"/>
                        <w:bottom w:val="none" w:sz="0" w:space="0" w:color="auto"/>
                        <w:right w:val="none" w:sz="0" w:space="0" w:color="auto"/>
                      </w:divBdr>
                    </w:div>
                  </w:divsChild>
                </w:div>
                <w:div w:id="1088040290">
                  <w:marLeft w:val="0"/>
                  <w:marRight w:val="0"/>
                  <w:marTop w:val="0"/>
                  <w:marBottom w:val="0"/>
                  <w:divBdr>
                    <w:top w:val="none" w:sz="0" w:space="0" w:color="auto"/>
                    <w:left w:val="none" w:sz="0" w:space="0" w:color="auto"/>
                    <w:bottom w:val="none" w:sz="0" w:space="0" w:color="auto"/>
                    <w:right w:val="none" w:sz="0" w:space="0" w:color="auto"/>
                  </w:divBdr>
                  <w:divsChild>
                    <w:div w:id="1543975995">
                      <w:marLeft w:val="0"/>
                      <w:marRight w:val="0"/>
                      <w:marTop w:val="0"/>
                      <w:marBottom w:val="0"/>
                      <w:divBdr>
                        <w:top w:val="none" w:sz="0" w:space="0" w:color="auto"/>
                        <w:left w:val="none" w:sz="0" w:space="0" w:color="auto"/>
                        <w:bottom w:val="none" w:sz="0" w:space="0" w:color="auto"/>
                        <w:right w:val="none" w:sz="0" w:space="0" w:color="auto"/>
                      </w:divBdr>
                    </w:div>
                  </w:divsChild>
                </w:div>
                <w:div w:id="1092623544">
                  <w:marLeft w:val="0"/>
                  <w:marRight w:val="0"/>
                  <w:marTop w:val="0"/>
                  <w:marBottom w:val="0"/>
                  <w:divBdr>
                    <w:top w:val="none" w:sz="0" w:space="0" w:color="auto"/>
                    <w:left w:val="none" w:sz="0" w:space="0" w:color="auto"/>
                    <w:bottom w:val="none" w:sz="0" w:space="0" w:color="auto"/>
                    <w:right w:val="none" w:sz="0" w:space="0" w:color="auto"/>
                  </w:divBdr>
                  <w:divsChild>
                    <w:div w:id="406849084">
                      <w:marLeft w:val="0"/>
                      <w:marRight w:val="0"/>
                      <w:marTop w:val="0"/>
                      <w:marBottom w:val="0"/>
                      <w:divBdr>
                        <w:top w:val="none" w:sz="0" w:space="0" w:color="auto"/>
                        <w:left w:val="none" w:sz="0" w:space="0" w:color="auto"/>
                        <w:bottom w:val="none" w:sz="0" w:space="0" w:color="auto"/>
                        <w:right w:val="none" w:sz="0" w:space="0" w:color="auto"/>
                      </w:divBdr>
                    </w:div>
                  </w:divsChild>
                </w:div>
                <w:div w:id="1097680526">
                  <w:marLeft w:val="0"/>
                  <w:marRight w:val="0"/>
                  <w:marTop w:val="0"/>
                  <w:marBottom w:val="0"/>
                  <w:divBdr>
                    <w:top w:val="none" w:sz="0" w:space="0" w:color="auto"/>
                    <w:left w:val="none" w:sz="0" w:space="0" w:color="auto"/>
                    <w:bottom w:val="none" w:sz="0" w:space="0" w:color="auto"/>
                    <w:right w:val="none" w:sz="0" w:space="0" w:color="auto"/>
                  </w:divBdr>
                  <w:divsChild>
                    <w:div w:id="2059738089">
                      <w:marLeft w:val="0"/>
                      <w:marRight w:val="0"/>
                      <w:marTop w:val="0"/>
                      <w:marBottom w:val="0"/>
                      <w:divBdr>
                        <w:top w:val="none" w:sz="0" w:space="0" w:color="auto"/>
                        <w:left w:val="none" w:sz="0" w:space="0" w:color="auto"/>
                        <w:bottom w:val="none" w:sz="0" w:space="0" w:color="auto"/>
                        <w:right w:val="none" w:sz="0" w:space="0" w:color="auto"/>
                      </w:divBdr>
                    </w:div>
                  </w:divsChild>
                </w:div>
                <w:div w:id="1099179738">
                  <w:marLeft w:val="0"/>
                  <w:marRight w:val="0"/>
                  <w:marTop w:val="0"/>
                  <w:marBottom w:val="0"/>
                  <w:divBdr>
                    <w:top w:val="none" w:sz="0" w:space="0" w:color="auto"/>
                    <w:left w:val="none" w:sz="0" w:space="0" w:color="auto"/>
                    <w:bottom w:val="none" w:sz="0" w:space="0" w:color="auto"/>
                    <w:right w:val="none" w:sz="0" w:space="0" w:color="auto"/>
                  </w:divBdr>
                  <w:divsChild>
                    <w:div w:id="680738592">
                      <w:marLeft w:val="0"/>
                      <w:marRight w:val="0"/>
                      <w:marTop w:val="0"/>
                      <w:marBottom w:val="0"/>
                      <w:divBdr>
                        <w:top w:val="none" w:sz="0" w:space="0" w:color="auto"/>
                        <w:left w:val="none" w:sz="0" w:space="0" w:color="auto"/>
                        <w:bottom w:val="none" w:sz="0" w:space="0" w:color="auto"/>
                        <w:right w:val="none" w:sz="0" w:space="0" w:color="auto"/>
                      </w:divBdr>
                    </w:div>
                  </w:divsChild>
                </w:div>
                <w:div w:id="1119294859">
                  <w:marLeft w:val="0"/>
                  <w:marRight w:val="0"/>
                  <w:marTop w:val="0"/>
                  <w:marBottom w:val="0"/>
                  <w:divBdr>
                    <w:top w:val="none" w:sz="0" w:space="0" w:color="auto"/>
                    <w:left w:val="none" w:sz="0" w:space="0" w:color="auto"/>
                    <w:bottom w:val="none" w:sz="0" w:space="0" w:color="auto"/>
                    <w:right w:val="none" w:sz="0" w:space="0" w:color="auto"/>
                  </w:divBdr>
                  <w:divsChild>
                    <w:div w:id="1302231460">
                      <w:marLeft w:val="0"/>
                      <w:marRight w:val="0"/>
                      <w:marTop w:val="0"/>
                      <w:marBottom w:val="0"/>
                      <w:divBdr>
                        <w:top w:val="none" w:sz="0" w:space="0" w:color="auto"/>
                        <w:left w:val="none" w:sz="0" w:space="0" w:color="auto"/>
                        <w:bottom w:val="none" w:sz="0" w:space="0" w:color="auto"/>
                        <w:right w:val="none" w:sz="0" w:space="0" w:color="auto"/>
                      </w:divBdr>
                    </w:div>
                  </w:divsChild>
                </w:div>
                <w:div w:id="1119959699">
                  <w:marLeft w:val="0"/>
                  <w:marRight w:val="0"/>
                  <w:marTop w:val="0"/>
                  <w:marBottom w:val="0"/>
                  <w:divBdr>
                    <w:top w:val="none" w:sz="0" w:space="0" w:color="auto"/>
                    <w:left w:val="none" w:sz="0" w:space="0" w:color="auto"/>
                    <w:bottom w:val="none" w:sz="0" w:space="0" w:color="auto"/>
                    <w:right w:val="none" w:sz="0" w:space="0" w:color="auto"/>
                  </w:divBdr>
                  <w:divsChild>
                    <w:div w:id="1673024506">
                      <w:marLeft w:val="0"/>
                      <w:marRight w:val="0"/>
                      <w:marTop w:val="0"/>
                      <w:marBottom w:val="0"/>
                      <w:divBdr>
                        <w:top w:val="none" w:sz="0" w:space="0" w:color="auto"/>
                        <w:left w:val="none" w:sz="0" w:space="0" w:color="auto"/>
                        <w:bottom w:val="none" w:sz="0" w:space="0" w:color="auto"/>
                        <w:right w:val="none" w:sz="0" w:space="0" w:color="auto"/>
                      </w:divBdr>
                    </w:div>
                  </w:divsChild>
                </w:div>
                <w:div w:id="1135490032">
                  <w:marLeft w:val="0"/>
                  <w:marRight w:val="0"/>
                  <w:marTop w:val="0"/>
                  <w:marBottom w:val="0"/>
                  <w:divBdr>
                    <w:top w:val="none" w:sz="0" w:space="0" w:color="auto"/>
                    <w:left w:val="none" w:sz="0" w:space="0" w:color="auto"/>
                    <w:bottom w:val="none" w:sz="0" w:space="0" w:color="auto"/>
                    <w:right w:val="none" w:sz="0" w:space="0" w:color="auto"/>
                  </w:divBdr>
                  <w:divsChild>
                    <w:div w:id="300696466">
                      <w:marLeft w:val="0"/>
                      <w:marRight w:val="0"/>
                      <w:marTop w:val="0"/>
                      <w:marBottom w:val="0"/>
                      <w:divBdr>
                        <w:top w:val="none" w:sz="0" w:space="0" w:color="auto"/>
                        <w:left w:val="none" w:sz="0" w:space="0" w:color="auto"/>
                        <w:bottom w:val="none" w:sz="0" w:space="0" w:color="auto"/>
                        <w:right w:val="none" w:sz="0" w:space="0" w:color="auto"/>
                      </w:divBdr>
                    </w:div>
                  </w:divsChild>
                </w:div>
                <w:div w:id="1141656546">
                  <w:marLeft w:val="0"/>
                  <w:marRight w:val="0"/>
                  <w:marTop w:val="0"/>
                  <w:marBottom w:val="0"/>
                  <w:divBdr>
                    <w:top w:val="none" w:sz="0" w:space="0" w:color="auto"/>
                    <w:left w:val="none" w:sz="0" w:space="0" w:color="auto"/>
                    <w:bottom w:val="none" w:sz="0" w:space="0" w:color="auto"/>
                    <w:right w:val="none" w:sz="0" w:space="0" w:color="auto"/>
                  </w:divBdr>
                  <w:divsChild>
                    <w:div w:id="1526864556">
                      <w:marLeft w:val="0"/>
                      <w:marRight w:val="0"/>
                      <w:marTop w:val="0"/>
                      <w:marBottom w:val="0"/>
                      <w:divBdr>
                        <w:top w:val="none" w:sz="0" w:space="0" w:color="auto"/>
                        <w:left w:val="none" w:sz="0" w:space="0" w:color="auto"/>
                        <w:bottom w:val="none" w:sz="0" w:space="0" w:color="auto"/>
                        <w:right w:val="none" w:sz="0" w:space="0" w:color="auto"/>
                      </w:divBdr>
                    </w:div>
                  </w:divsChild>
                </w:div>
                <w:div w:id="1146895741">
                  <w:marLeft w:val="0"/>
                  <w:marRight w:val="0"/>
                  <w:marTop w:val="0"/>
                  <w:marBottom w:val="0"/>
                  <w:divBdr>
                    <w:top w:val="none" w:sz="0" w:space="0" w:color="auto"/>
                    <w:left w:val="none" w:sz="0" w:space="0" w:color="auto"/>
                    <w:bottom w:val="none" w:sz="0" w:space="0" w:color="auto"/>
                    <w:right w:val="none" w:sz="0" w:space="0" w:color="auto"/>
                  </w:divBdr>
                  <w:divsChild>
                    <w:div w:id="1535726549">
                      <w:marLeft w:val="0"/>
                      <w:marRight w:val="0"/>
                      <w:marTop w:val="0"/>
                      <w:marBottom w:val="0"/>
                      <w:divBdr>
                        <w:top w:val="none" w:sz="0" w:space="0" w:color="auto"/>
                        <w:left w:val="none" w:sz="0" w:space="0" w:color="auto"/>
                        <w:bottom w:val="none" w:sz="0" w:space="0" w:color="auto"/>
                        <w:right w:val="none" w:sz="0" w:space="0" w:color="auto"/>
                      </w:divBdr>
                    </w:div>
                  </w:divsChild>
                </w:div>
                <w:div w:id="1147630151">
                  <w:marLeft w:val="0"/>
                  <w:marRight w:val="0"/>
                  <w:marTop w:val="0"/>
                  <w:marBottom w:val="0"/>
                  <w:divBdr>
                    <w:top w:val="none" w:sz="0" w:space="0" w:color="auto"/>
                    <w:left w:val="none" w:sz="0" w:space="0" w:color="auto"/>
                    <w:bottom w:val="none" w:sz="0" w:space="0" w:color="auto"/>
                    <w:right w:val="none" w:sz="0" w:space="0" w:color="auto"/>
                  </w:divBdr>
                  <w:divsChild>
                    <w:div w:id="2117599817">
                      <w:marLeft w:val="0"/>
                      <w:marRight w:val="0"/>
                      <w:marTop w:val="0"/>
                      <w:marBottom w:val="0"/>
                      <w:divBdr>
                        <w:top w:val="none" w:sz="0" w:space="0" w:color="auto"/>
                        <w:left w:val="none" w:sz="0" w:space="0" w:color="auto"/>
                        <w:bottom w:val="none" w:sz="0" w:space="0" w:color="auto"/>
                        <w:right w:val="none" w:sz="0" w:space="0" w:color="auto"/>
                      </w:divBdr>
                    </w:div>
                  </w:divsChild>
                </w:div>
                <w:div w:id="1159809368">
                  <w:marLeft w:val="0"/>
                  <w:marRight w:val="0"/>
                  <w:marTop w:val="0"/>
                  <w:marBottom w:val="0"/>
                  <w:divBdr>
                    <w:top w:val="none" w:sz="0" w:space="0" w:color="auto"/>
                    <w:left w:val="none" w:sz="0" w:space="0" w:color="auto"/>
                    <w:bottom w:val="none" w:sz="0" w:space="0" w:color="auto"/>
                    <w:right w:val="none" w:sz="0" w:space="0" w:color="auto"/>
                  </w:divBdr>
                  <w:divsChild>
                    <w:div w:id="2001078701">
                      <w:marLeft w:val="0"/>
                      <w:marRight w:val="0"/>
                      <w:marTop w:val="0"/>
                      <w:marBottom w:val="0"/>
                      <w:divBdr>
                        <w:top w:val="none" w:sz="0" w:space="0" w:color="auto"/>
                        <w:left w:val="none" w:sz="0" w:space="0" w:color="auto"/>
                        <w:bottom w:val="none" w:sz="0" w:space="0" w:color="auto"/>
                        <w:right w:val="none" w:sz="0" w:space="0" w:color="auto"/>
                      </w:divBdr>
                    </w:div>
                  </w:divsChild>
                </w:div>
                <w:div w:id="1159999605">
                  <w:marLeft w:val="0"/>
                  <w:marRight w:val="0"/>
                  <w:marTop w:val="0"/>
                  <w:marBottom w:val="0"/>
                  <w:divBdr>
                    <w:top w:val="none" w:sz="0" w:space="0" w:color="auto"/>
                    <w:left w:val="none" w:sz="0" w:space="0" w:color="auto"/>
                    <w:bottom w:val="none" w:sz="0" w:space="0" w:color="auto"/>
                    <w:right w:val="none" w:sz="0" w:space="0" w:color="auto"/>
                  </w:divBdr>
                  <w:divsChild>
                    <w:div w:id="612827902">
                      <w:marLeft w:val="0"/>
                      <w:marRight w:val="0"/>
                      <w:marTop w:val="0"/>
                      <w:marBottom w:val="0"/>
                      <w:divBdr>
                        <w:top w:val="none" w:sz="0" w:space="0" w:color="auto"/>
                        <w:left w:val="none" w:sz="0" w:space="0" w:color="auto"/>
                        <w:bottom w:val="none" w:sz="0" w:space="0" w:color="auto"/>
                        <w:right w:val="none" w:sz="0" w:space="0" w:color="auto"/>
                      </w:divBdr>
                    </w:div>
                  </w:divsChild>
                </w:div>
                <w:div w:id="1160081827">
                  <w:marLeft w:val="0"/>
                  <w:marRight w:val="0"/>
                  <w:marTop w:val="0"/>
                  <w:marBottom w:val="0"/>
                  <w:divBdr>
                    <w:top w:val="none" w:sz="0" w:space="0" w:color="auto"/>
                    <w:left w:val="none" w:sz="0" w:space="0" w:color="auto"/>
                    <w:bottom w:val="none" w:sz="0" w:space="0" w:color="auto"/>
                    <w:right w:val="none" w:sz="0" w:space="0" w:color="auto"/>
                  </w:divBdr>
                  <w:divsChild>
                    <w:div w:id="911815999">
                      <w:marLeft w:val="0"/>
                      <w:marRight w:val="0"/>
                      <w:marTop w:val="0"/>
                      <w:marBottom w:val="0"/>
                      <w:divBdr>
                        <w:top w:val="none" w:sz="0" w:space="0" w:color="auto"/>
                        <w:left w:val="none" w:sz="0" w:space="0" w:color="auto"/>
                        <w:bottom w:val="none" w:sz="0" w:space="0" w:color="auto"/>
                        <w:right w:val="none" w:sz="0" w:space="0" w:color="auto"/>
                      </w:divBdr>
                    </w:div>
                  </w:divsChild>
                </w:div>
                <w:div w:id="1165780469">
                  <w:marLeft w:val="0"/>
                  <w:marRight w:val="0"/>
                  <w:marTop w:val="0"/>
                  <w:marBottom w:val="0"/>
                  <w:divBdr>
                    <w:top w:val="none" w:sz="0" w:space="0" w:color="auto"/>
                    <w:left w:val="none" w:sz="0" w:space="0" w:color="auto"/>
                    <w:bottom w:val="none" w:sz="0" w:space="0" w:color="auto"/>
                    <w:right w:val="none" w:sz="0" w:space="0" w:color="auto"/>
                  </w:divBdr>
                  <w:divsChild>
                    <w:div w:id="1088304597">
                      <w:marLeft w:val="0"/>
                      <w:marRight w:val="0"/>
                      <w:marTop w:val="0"/>
                      <w:marBottom w:val="0"/>
                      <w:divBdr>
                        <w:top w:val="none" w:sz="0" w:space="0" w:color="auto"/>
                        <w:left w:val="none" w:sz="0" w:space="0" w:color="auto"/>
                        <w:bottom w:val="none" w:sz="0" w:space="0" w:color="auto"/>
                        <w:right w:val="none" w:sz="0" w:space="0" w:color="auto"/>
                      </w:divBdr>
                    </w:div>
                  </w:divsChild>
                </w:div>
                <w:div w:id="1187985301">
                  <w:marLeft w:val="0"/>
                  <w:marRight w:val="0"/>
                  <w:marTop w:val="0"/>
                  <w:marBottom w:val="0"/>
                  <w:divBdr>
                    <w:top w:val="none" w:sz="0" w:space="0" w:color="auto"/>
                    <w:left w:val="none" w:sz="0" w:space="0" w:color="auto"/>
                    <w:bottom w:val="none" w:sz="0" w:space="0" w:color="auto"/>
                    <w:right w:val="none" w:sz="0" w:space="0" w:color="auto"/>
                  </w:divBdr>
                  <w:divsChild>
                    <w:div w:id="1045183274">
                      <w:marLeft w:val="0"/>
                      <w:marRight w:val="0"/>
                      <w:marTop w:val="0"/>
                      <w:marBottom w:val="0"/>
                      <w:divBdr>
                        <w:top w:val="none" w:sz="0" w:space="0" w:color="auto"/>
                        <w:left w:val="none" w:sz="0" w:space="0" w:color="auto"/>
                        <w:bottom w:val="none" w:sz="0" w:space="0" w:color="auto"/>
                        <w:right w:val="none" w:sz="0" w:space="0" w:color="auto"/>
                      </w:divBdr>
                    </w:div>
                  </w:divsChild>
                </w:div>
                <w:div w:id="1194223562">
                  <w:marLeft w:val="0"/>
                  <w:marRight w:val="0"/>
                  <w:marTop w:val="0"/>
                  <w:marBottom w:val="0"/>
                  <w:divBdr>
                    <w:top w:val="none" w:sz="0" w:space="0" w:color="auto"/>
                    <w:left w:val="none" w:sz="0" w:space="0" w:color="auto"/>
                    <w:bottom w:val="none" w:sz="0" w:space="0" w:color="auto"/>
                    <w:right w:val="none" w:sz="0" w:space="0" w:color="auto"/>
                  </w:divBdr>
                  <w:divsChild>
                    <w:div w:id="1380787181">
                      <w:marLeft w:val="0"/>
                      <w:marRight w:val="0"/>
                      <w:marTop w:val="0"/>
                      <w:marBottom w:val="0"/>
                      <w:divBdr>
                        <w:top w:val="none" w:sz="0" w:space="0" w:color="auto"/>
                        <w:left w:val="none" w:sz="0" w:space="0" w:color="auto"/>
                        <w:bottom w:val="none" w:sz="0" w:space="0" w:color="auto"/>
                        <w:right w:val="none" w:sz="0" w:space="0" w:color="auto"/>
                      </w:divBdr>
                    </w:div>
                  </w:divsChild>
                </w:div>
                <w:div w:id="1211112768">
                  <w:marLeft w:val="0"/>
                  <w:marRight w:val="0"/>
                  <w:marTop w:val="0"/>
                  <w:marBottom w:val="0"/>
                  <w:divBdr>
                    <w:top w:val="none" w:sz="0" w:space="0" w:color="auto"/>
                    <w:left w:val="none" w:sz="0" w:space="0" w:color="auto"/>
                    <w:bottom w:val="none" w:sz="0" w:space="0" w:color="auto"/>
                    <w:right w:val="none" w:sz="0" w:space="0" w:color="auto"/>
                  </w:divBdr>
                  <w:divsChild>
                    <w:div w:id="697777221">
                      <w:marLeft w:val="0"/>
                      <w:marRight w:val="0"/>
                      <w:marTop w:val="0"/>
                      <w:marBottom w:val="0"/>
                      <w:divBdr>
                        <w:top w:val="none" w:sz="0" w:space="0" w:color="auto"/>
                        <w:left w:val="none" w:sz="0" w:space="0" w:color="auto"/>
                        <w:bottom w:val="none" w:sz="0" w:space="0" w:color="auto"/>
                        <w:right w:val="none" w:sz="0" w:space="0" w:color="auto"/>
                      </w:divBdr>
                    </w:div>
                  </w:divsChild>
                </w:div>
                <w:div w:id="1237934408">
                  <w:marLeft w:val="0"/>
                  <w:marRight w:val="0"/>
                  <w:marTop w:val="0"/>
                  <w:marBottom w:val="0"/>
                  <w:divBdr>
                    <w:top w:val="none" w:sz="0" w:space="0" w:color="auto"/>
                    <w:left w:val="none" w:sz="0" w:space="0" w:color="auto"/>
                    <w:bottom w:val="none" w:sz="0" w:space="0" w:color="auto"/>
                    <w:right w:val="none" w:sz="0" w:space="0" w:color="auto"/>
                  </w:divBdr>
                  <w:divsChild>
                    <w:div w:id="1602180834">
                      <w:marLeft w:val="0"/>
                      <w:marRight w:val="0"/>
                      <w:marTop w:val="0"/>
                      <w:marBottom w:val="0"/>
                      <w:divBdr>
                        <w:top w:val="none" w:sz="0" w:space="0" w:color="auto"/>
                        <w:left w:val="none" w:sz="0" w:space="0" w:color="auto"/>
                        <w:bottom w:val="none" w:sz="0" w:space="0" w:color="auto"/>
                        <w:right w:val="none" w:sz="0" w:space="0" w:color="auto"/>
                      </w:divBdr>
                    </w:div>
                  </w:divsChild>
                </w:div>
                <w:div w:id="1240097927">
                  <w:marLeft w:val="0"/>
                  <w:marRight w:val="0"/>
                  <w:marTop w:val="0"/>
                  <w:marBottom w:val="0"/>
                  <w:divBdr>
                    <w:top w:val="none" w:sz="0" w:space="0" w:color="auto"/>
                    <w:left w:val="none" w:sz="0" w:space="0" w:color="auto"/>
                    <w:bottom w:val="none" w:sz="0" w:space="0" w:color="auto"/>
                    <w:right w:val="none" w:sz="0" w:space="0" w:color="auto"/>
                  </w:divBdr>
                  <w:divsChild>
                    <w:div w:id="957175996">
                      <w:marLeft w:val="0"/>
                      <w:marRight w:val="0"/>
                      <w:marTop w:val="0"/>
                      <w:marBottom w:val="0"/>
                      <w:divBdr>
                        <w:top w:val="none" w:sz="0" w:space="0" w:color="auto"/>
                        <w:left w:val="none" w:sz="0" w:space="0" w:color="auto"/>
                        <w:bottom w:val="none" w:sz="0" w:space="0" w:color="auto"/>
                        <w:right w:val="none" w:sz="0" w:space="0" w:color="auto"/>
                      </w:divBdr>
                    </w:div>
                  </w:divsChild>
                </w:div>
                <w:div w:id="1248229028">
                  <w:marLeft w:val="0"/>
                  <w:marRight w:val="0"/>
                  <w:marTop w:val="0"/>
                  <w:marBottom w:val="0"/>
                  <w:divBdr>
                    <w:top w:val="none" w:sz="0" w:space="0" w:color="auto"/>
                    <w:left w:val="none" w:sz="0" w:space="0" w:color="auto"/>
                    <w:bottom w:val="none" w:sz="0" w:space="0" w:color="auto"/>
                    <w:right w:val="none" w:sz="0" w:space="0" w:color="auto"/>
                  </w:divBdr>
                  <w:divsChild>
                    <w:div w:id="646280586">
                      <w:marLeft w:val="0"/>
                      <w:marRight w:val="0"/>
                      <w:marTop w:val="0"/>
                      <w:marBottom w:val="0"/>
                      <w:divBdr>
                        <w:top w:val="none" w:sz="0" w:space="0" w:color="auto"/>
                        <w:left w:val="none" w:sz="0" w:space="0" w:color="auto"/>
                        <w:bottom w:val="none" w:sz="0" w:space="0" w:color="auto"/>
                        <w:right w:val="none" w:sz="0" w:space="0" w:color="auto"/>
                      </w:divBdr>
                    </w:div>
                  </w:divsChild>
                </w:div>
                <w:div w:id="1263951854">
                  <w:marLeft w:val="0"/>
                  <w:marRight w:val="0"/>
                  <w:marTop w:val="0"/>
                  <w:marBottom w:val="0"/>
                  <w:divBdr>
                    <w:top w:val="none" w:sz="0" w:space="0" w:color="auto"/>
                    <w:left w:val="none" w:sz="0" w:space="0" w:color="auto"/>
                    <w:bottom w:val="none" w:sz="0" w:space="0" w:color="auto"/>
                    <w:right w:val="none" w:sz="0" w:space="0" w:color="auto"/>
                  </w:divBdr>
                  <w:divsChild>
                    <w:div w:id="979309004">
                      <w:marLeft w:val="0"/>
                      <w:marRight w:val="0"/>
                      <w:marTop w:val="0"/>
                      <w:marBottom w:val="0"/>
                      <w:divBdr>
                        <w:top w:val="none" w:sz="0" w:space="0" w:color="auto"/>
                        <w:left w:val="none" w:sz="0" w:space="0" w:color="auto"/>
                        <w:bottom w:val="none" w:sz="0" w:space="0" w:color="auto"/>
                        <w:right w:val="none" w:sz="0" w:space="0" w:color="auto"/>
                      </w:divBdr>
                    </w:div>
                  </w:divsChild>
                </w:div>
                <w:div w:id="1269502399">
                  <w:marLeft w:val="0"/>
                  <w:marRight w:val="0"/>
                  <w:marTop w:val="0"/>
                  <w:marBottom w:val="0"/>
                  <w:divBdr>
                    <w:top w:val="none" w:sz="0" w:space="0" w:color="auto"/>
                    <w:left w:val="none" w:sz="0" w:space="0" w:color="auto"/>
                    <w:bottom w:val="none" w:sz="0" w:space="0" w:color="auto"/>
                    <w:right w:val="none" w:sz="0" w:space="0" w:color="auto"/>
                  </w:divBdr>
                  <w:divsChild>
                    <w:div w:id="2087998472">
                      <w:marLeft w:val="0"/>
                      <w:marRight w:val="0"/>
                      <w:marTop w:val="0"/>
                      <w:marBottom w:val="0"/>
                      <w:divBdr>
                        <w:top w:val="none" w:sz="0" w:space="0" w:color="auto"/>
                        <w:left w:val="none" w:sz="0" w:space="0" w:color="auto"/>
                        <w:bottom w:val="none" w:sz="0" w:space="0" w:color="auto"/>
                        <w:right w:val="none" w:sz="0" w:space="0" w:color="auto"/>
                      </w:divBdr>
                    </w:div>
                  </w:divsChild>
                </w:div>
                <w:div w:id="1281759059">
                  <w:marLeft w:val="0"/>
                  <w:marRight w:val="0"/>
                  <w:marTop w:val="0"/>
                  <w:marBottom w:val="0"/>
                  <w:divBdr>
                    <w:top w:val="none" w:sz="0" w:space="0" w:color="auto"/>
                    <w:left w:val="none" w:sz="0" w:space="0" w:color="auto"/>
                    <w:bottom w:val="none" w:sz="0" w:space="0" w:color="auto"/>
                    <w:right w:val="none" w:sz="0" w:space="0" w:color="auto"/>
                  </w:divBdr>
                  <w:divsChild>
                    <w:div w:id="593048358">
                      <w:marLeft w:val="0"/>
                      <w:marRight w:val="0"/>
                      <w:marTop w:val="0"/>
                      <w:marBottom w:val="0"/>
                      <w:divBdr>
                        <w:top w:val="none" w:sz="0" w:space="0" w:color="auto"/>
                        <w:left w:val="none" w:sz="0" w:space="0" w:color="auto"/>
                        <w:bottom w:val="none" w:sz="0" w:space="0" w:color="auto"/>
                        <w:right w:val="none" w:sz="0" w:space="0" w:color="auto"/>
                      </w:divBdr>
                    </w:div>
                  </w:divsChild>
                </w:div>
                <w:div w:id="1336376927">
                  <w:marLeft w:val="0"/>
                  <w:marRight w:val="0"/>
                  <w:marTop w:val="0"/>
                  <w:marBottom w:val="0"/>
                  <w:divBdr>
                    <w:top w:val="none" w:sz="0" w:space="0" w:color="auto"/>
                    <w:left w:val="none" w:sz="0" w:space="0" w:color="auto"/>
                    <w:bottom w:val="none" w:sz="0" w:space="0" w:color="auto"/>
                    <w:right w:val="none" w:sz="0" w:space="0" w:color="auto"/>
                  </w:divBdr>
                  <w:divsChild>
                    <w:div w:id="1527477378">
                      <w:marLeft w:val="0"/>
                      <w:marRight w:val="0"/>
                      <w:marTop w:val="0"/>
                      <w:marBottom w:val="0"/>
                      <w:divBdr>
                        <w:top w:val="none" w:sz="0" w:space="0" w:color="auto"/>
                        <w:left w:val="none" w:sz="0" w:space="0" w:color="auto"/>
                        <w:bottom w:val="none" w:sz="0" w:space="0" w:color="auto"/>
                        <w:right w:val="none" w:sz="0" w:space="0" w:color="auto"/>
                      </w:divBdr>
                    </w:div>
                  </w:divsChild>
                </w:div>
                <w:div w:id="1350065854">
                  <w:marLeft w:val="0"/>
                  <w:marRight w:val="0"/>
                  <w:marTop w:val="0"/>
                  <w:marBottom w:val="0"/>
                  <w:divBdr>
                    <w:top w:val="none" w:sz="0" w:space="0" w:color="auto"/>
                    <w:left w:val="none" w:sz="0" w:space="0" w:color="auto"/>
                    <w:bottom w:val="none" w:sz="0" w:space="0" w:color="auto"/>
                    <w:right w:val="none" w:sz="0" w:space="0" w:color="auto"/>
                  </w:divBdr>
                  <w:divsChild>
                    <w:div w:id="2068186818">
                      <w:marLeft w:val="0"/>
                      <w:marRight w:val="0"/>
                      <w:marTop w:val="0"/>
                      <w:marBottom w:val="0"/>
                      <w:divBdr>
                        <w:top w:val="none" w:sz="0" w:space="0" w:color="auto"/>
                        <w:left w:val="none" w:sz="0" w:space="0" w:color="auto"/>
                        <w:bottom w:val="none" w:sz="0" w:space="0" w:color="auto"/>
                        <w:right w:val="none" w:sz="0" w:space="0" w:color="auto"/>
                      </w:divBdr>
                    </w:div>
                  </w:divsChild>
                </w:div>
                <w:div w:id="1350258022">
                  <w:marLeft w:val="0"/>
                  <w:marRight w:val="0"/>
                  <w:marTop w:val="0"/>
                  <w:marBottom w:val="0"/>
                  <w:divBdr>
                    <w:top w:val="none" w:sz="0" w:space="0" w:color="auto"/>
                    <w:left w:val="none" w:sz="0" w:space="0" w:color="auto"/>
                    <w:bottom w:val="none" w:sz="0" w:space="0" w:color="auto"/>
                    <w:right w:val="none" w:sz="0" w:space="0" w:color="auto"/>
                  </w:divBdr>
                  <w:divsChild>
                    <w:div w:id="1273905268">
                      <w:marLeft w:val="0"/>
                      <w:marRight w:val="0"/>
                      <w:marTop w:val="0"/>
                      <w:marBottom w:val="0"/>
                      <w:divBdr>
                        <w:top w:val="none" w:sz="0" w:space="0" w:color="auto"/>
                        <w:left w:val="none" w:sz="0" w:space="0" w:color="auto"/>
                        <w:bottom w:val="none" w:sz="0" w:space="0" w:color="auto"/>
                        <w:right w:val="none" w:sz="0" w:space="0" w:color="auto"/>
                      </w:divBdr>
                    </w:div>
                  </w:divsChild>
                </w:div>
                <w:div w:id="1377000309">
                  <w:marLeft w:val="0"/>
                  <w:marRight w:val="0"/>
                  <w:marTop w:val="0"/>
                  <w:marBottom w:val="0"/>
                  <w:divBdr>
                    <w:top w:val="none" w:sz="0" w:space="0" w:color="auto"/>
                    <w:left w:val="none" w:sz="0" w:space="0" w:color="auto"/>
                    <w:bottom w:val="none" w:sz="0" w:space="0" w:color="auto"/>
                    <w:right w:val="none" w:sz="0" w:space="0" w:color="auto"/>
                  </w:divBdr>
                  <w:divsChild>
                    <w:div w:id="39020710">
                      <w:marLeft w:val="0"/>
                      <w:marRight w:val="0"/>
                      <w:marTop w:val="0"/>
                      <w:marBottom w:val="0"/>
                      <w:divBdr>
                        <w:top w:val="none" w:sz="0" w:space="0" w:color="auto"/>
                        <w:left w:val="none" w:sz="0" w:space="0" w:color="auto"/>
                        <w:bottom w:val="none" w:sz="0" w:space="0" w:color="auto"/>
                        <w:right w:val="none" w:sz="0" w:space="0" w:color="auto"/>
                      </w:divBdr>
                    </w:div>
                  </w:divsChild>
                </w:div>
                <w:div w:id="1381780790">
                  <w:marLeft w:val="0"/>
                  <w:marRight w:val="0"/>
                  <w:marTop w:val="0"/>
                  <w:marBottom w:val="0"/>
                  <w:divBdr>
                    <w:top w:val="none" w:sz="0" w:space="0" w:color="auto"/>
                    <w:left w:val="none" w:sz="0" w:space="0" w:color="auto"/>
                    <w:bottom w:val="none" w:sz="0" w:space="0" w:color="auto"/>
                    <w:right w:val="none" w:sz="0" w:space="0" w:color="auto"/>
                  </w:divBdr>
                  <w:divsChild>
                    <w:div w:id="400300830">
                      <w:marLeft w:val="0"/>
                      <w:marRight w:val="0"/>
                      <w:marTop w:val="0"/>
                      <w:marBottom w:val="0"/>
                      <w:divBdr>
                        <w:top w:val="none" w:sz="0" w:space="0" w:color="auto"/>
                        <w:left w:val="none" w:sz="0" w:space="0" w:color="auto"/>
                        <w:bottom w:val="none" w:sz="0" w:space="0" w:color="auto"/>
                        <w:right w:val="none" w:sz="0" w:space="0" w:color="auto"/>
                      </w:divBdr>
                    </w:div>
                  </w:divsChild>
                </w:div>
                <w:div w:id="1407339744">
                  <w:marLeft w:val="0"/>
                  <w:marRight w:val="0"/>
                  <w:marTop w:val="0"/>
                  <w:marBottom w:val="0"/>
                  <w:divBdr>
                    <w:top w:val="none" w:sz="0" w:space="0" w:color="auto"/>
                    <w:left w:val="none" w:sz="0" w:space="0" w:color="auto"/>
                    <w:bottom w:val="none" w:sz="0" w:space="0" w:color="auto"/>
                    <w:right w:val="none" w:sz="0" w:space="0" w:color="auto"/>
                  </w:divBdr>
                  <w:divsChild>
                    <w:div w:id="2037388288">
                      <w:marLeft w:val="0"/>
                      <w:marRight w:val="0"/>
                      <w:marTop w:val="0"/>
                      <w:marBottom w:val="0"/>
                      <w:divBdr>
                        <w:top w:val="none" w:sz="0" w:space="0" w:color="auto"/>
                        <w:left w:val="none" w:sz="0" w:space="0" w:color="auto"/>
                        <w:bottom w:val="none" w:sz="0" w:space="0" w:color="auto"/>
                        <w:right w:val="none" w:sz="0" w:space="0" w:color="auto"/>
                      </w:divBdr>
                    </w:div>
                  </w:divsChild>
                </w:div>
                <w:div w:id="1431660492">
                  <w:marLeft w:val="0"/>
                  <w:marRight w:val="0"/>
                  <w:marTop w:val="0"/>
                  <w:marBottom w:val="0"/>
                  <w:divBdr>
                    <w:top w:val="none" w:sz="0" w:space="0" w:color="auto"/>
                    <w:left w:val="none" w:sz="0" w:space="0" w:color="auto"/>
                    <w:bottom w:val="none" w:sz="0" w:space="0" w:color="auto"/>
                    <w:right w:val="none" w:sz="0" w:space="0" w:color="auto"/>
                  </w:divBdr>
                  <w:divsChild>
                    <w:div w:id="1597712265">
                      <w:marLeft w:val="0"/>
                      <w:marRight w:val="0"/>
                      <w:marTop w:val="0"/>
                      <w:marBottom w:val="0"/>
                      <w:divBdr>
                        <w:top w:val="none" w:sz="0" w:space="0" w:color="auto"/>
                        <w:left w:val="none" w:sz="0" w:space="0" w:color="auto"/>
                        <w:bottom w:val="none" w:sz="0" w:space="0" w:color="auto"/>
                        <w:right w:val="none" w:sz="0" w:space="0" w:color="auto"/>
                      </w:divBdr>
                    </w:div>
                  </w:divsChild>
                </w:div>
                <w:div w:id="1433354106">
                  <w:marLeft w:val="0"/>
                  <w:marRight w:val="0"/>
                  <w:marTop w:val="0"/>
                  <w:marBottom w:val="0"/>
                  <w:divBdr>
                    <w:top w:val="none" w:sz="0" w:space="0" w:color="auto"/>
                    <w:left w:val="none" w:sz="0" w:space="0" w:color="auto"/>
                    <w:bottom w:val="none" w:sz="0" w:space="0" w:color="auto"/>
                    <w:right w:val="none" w:sz="0" w:space="0" w:color="auto"/>
                  </w:divBdr>
                  <w:divsChild>
                    <w:div w:id="988947701">
                      <w:marLeft w:val="0"/>
                      <w:marRight w:val="0"/>
                      <w:marTop w:val="0"/>
                      <w:marBottom w:val="0"/>
                      <w:divBdr>
                        <w:top w:val="none" w:sz="0" w:space="0" w:color="auto"/>
                        <w:left w:val="none" w:sz="0" w:space="0" w:color="auto"/>
                        <w:bottom w:val="none" w:sz="0" w:space="0" w:color="auto"/>
                        <w:right w:val="none" w:sz="0" w:space="0" w:color="auto"/>
                      </w:divBdr>
                    </w:div>
                  </w:divsChild>
                </w:div>
                <w:div w:id="1452238656">
                  <w:marLeft w:val="0"/>
                  <w:marRight w:val="0"/>
                  <w:marTop w:val="0"/>
                  <w:marBottom w:val="0"/>
                  <w:divBdr>
                    <w:top w:val="none" w:sz="0" w:space="0" w:color="auto"/>
                    <w:left w:val="none" w:sz="0" w:space="0" w:color="auto"/>
                    <w:bottom w:val="none" w:sz="0" w:space="0" w:color="auto"/>
                    <w:right w:val="none" w:sz="0" w:space="0" w:color="auto"/>
                  </w:divBdr>
                  <w:divsChild>
                    <w:div w:id="67121241">
                      <w:marLeft w:val="0"/>
                      <w:marRight w:val="0"/>
                      <w:marTop w:val="0"/>
                      <w:marBottom w:val="0"/>
                      <w:divBdr>
                        <w:top w:val="none" w:sz="0" w:space="0" w:color="auto"/>
                        <w:left w:val="none" w:sz="0" w:space="0" w:color="auto"/>
                        <w:bottom w:val="none" w:sz="0" w:space="0" w:color="auto"/>
                        <w:right w:val="none" w:sz="0" w:space="0" w:color="auto"/>
                      </w:divBdr>
                    </w:div>
                  </w:divsChild>
                </w:div>
                <w:div w:id="1453091462">
                  <w:marLeft w:val="0"/>
                  <w:marRight w:val="0"/>
                  <w:marTop w:val="0"/>
                  <w:marBottom w:val="0"/>
                  <w:divBdr>
                    <w:top w:val="none" w:sz="0" w:space="0" w:color="auto"/>
                    <w:left w:val="none" w:sz="0" w:space="0" w:color="auto"/>
                    <w:bottom w:val="none" w:sz="0" w:space="0" w:color="auto"/>
                    <w:right w:val="none" w:sz="0" w:space="0" w:color="auto"/>
                  </w:divBdr>
                  <w:divsChild>
                    <w:div w:id="1451392258">
                      <w:marLeft w:val="0"/>
                      <w:marRight w:val="0"/>
                      <w:marTop w:val="0"/>
                      <w:marBottom w:val="0"/>
                      <w:divBdr>
                        <w:top w:val="none" w:sz="0" w:space="0" w:color="auto"/>
                        <w:left w:val="none" w:sz="0" w:space="0" w:color="auto"/>
                        <w:bottom w:val="none" w:sz="0" w:space="0" w:color="auto"/>
                        <w:right w:val="none" w:sz="0" w:space="0" w:color="auto"/>
                      </w:divBdr>
                    </w:div>
                  </w:divsChild>
                </w:div>
                <w:div w:id="1455707764">
                  <w:marLeft w:val="0"/>
                  <w:marRight w:val="0"/>
                  <w:marTop w:val="0"/>
                  <w:marBottom w:val="0"/>
                  <w:divBdr>
                    <w:top w:val="none" w:sz="0" w:space="0" w:color="auto"/>
                    <w:left w:val="none" w:sz="0" w:space="0" w:color="auto"/>
                    <w:bottom w:val="none" w:sz="0" w:space="0" w:color="auto"/>
                    <w:right w:val="none" w:sz="0" w:space="0" w:color="auto"/>
                  </w:divBdr>
                  <w:divsChild>
                    <w:div w:id="172426850">
                      <w:marLeft w:val="0"/>
                      <w:marRight w:val="0"/>
                      <w:marTop w:val="0"/>
                      <w:marBottom w:val="0"/>
                      <w:divBdr>
                        <w:top w:val="none" w:sz="0" w:space="0" w:color="auto"/>
                        <w:left w:val="none" w:sz="0" w:space="0" w:color="auto"/>
                        <w:bottom w:val="none" w:sz="0" w:space="0" w:color="auto"/>
                        <w:right w:val="none" w:sz="0" w:space="0" w:color="auto"/>
                      </w:divBdr>
                    </w:div>
                  </w:divsChild>
                </w:div>
                <w:div w:id="1468235070">
                  <w:marLeft w:val="0"/>
                  <w:marRight w:val="0"/>
                  <w:marTop w:val="0"/>
                  <w:marBottom w:val="0"/>
                  <w:divBdr>
                    <w:top w:val="none" w:sz="0" w:space="0" w:color="auto"/>
                    <w:left w:val="none" w:sz="0" w:space="0" w:color="auto"/>
                    <w:bottom w:val="none" w:sz="0" w:space="0" w:color="auto"/>
                    <w:right w:val="none" w:sz="0" w:space="0" w:color="auto"/>
                  </w:divBdr>
                  <w:divsChild>
                    <w:div w:id="425998916">
                      <w:marLeft w:val="0"/>
                      <w:marRight w:val="0"/>
                      <w:marTop w:val="0"/>
                      <w:marBottom w:val="0"/>
                      <w:divBdr>
                        <w:top w:val="none" w:sz="0" w:space="0" w:color="auto"/>
                        <w:left w:val="none" w:sz="0" w:space="0" w:color="auto"/>
                        <w:bottom w:val="none" w:sz="0" w:space="0" w:color="auto"/>
                        <w:right w:val="none" w:sz="0" w:space="0" w:color="auto"/>
                      </w:divBdr>
                    </w:div>
                  </w:divsChild>
                </w:div>
                <w:div w:id="1473862587">
                  <w:marLeft w:val="0"/>
                  <w:marRight w:val="0"/>
                  <w:marTop w:val="0"/>
                  <w:marBottom w:val="0"/>
                  <w:divBdr>
                    <w:top w:val="none" w:sz="0" w:space="0" w:color="auto"/>
                    <w:left w:val="none" w:sz="0" w:space="0" w:color="auto"/>
                    <w:bottom w:val="none" w:sz="0" w:space="0" w:color="auto"/>
                    <w:right w:val="none" w:sz="0" w:space="0" w:color="auto"/>
                  </w:divBdr>
                  <w:divsChild>
                    <w:div w:id="1178736921">
                      <w:marLeft w:val="0"/>
                      <w:marRight w:val="0"/>
                      <w:marTop w:val="0"/>
                      <w:marBottom w:val="0"/>
                      <w:divBdr>
                        <w:top w:val="none" w:sz="0" w:space="0" w:color="auto"/>
                        <w:left w:val="none" w:sz="0" w:space="0" w:color="auto"/>
                        <w:bottom w:val="none" w:sz="0" w:space="0" w:color="auto"/>
                        <w:right w:val="none" w:sz="0" w:space="0" w:color="auto"/>
                      </w:divBdr>
                    </w:div>
                  </w:divsChild>
                </w:div>
                <w:div w:id="1478567407">
                  <w:marLeft w:val="0"/>
                  <w:marRight w:val="0"/>
                  <w:marTop w:val="0"/>
                  <w:marBottom w:val="0"/>
                  <w:divBdr>
                    <w:top w:val="none" w:sz="0" w:space="0" w:color="auto"/>
                    <w:left w:val="none" w:sz="0" w:space="0" w:color="auto"/>
                    <w:bottom w:val="none" w:sz="0" w:space="0" w:color="auto"/>
                    <w:right w:val="none" w:sz="0" w:space="0" w:color="auto"/>
                  </w:divBdr>
                  <w:divsChild>
                    <w:div w:id="1833373913">
                      <w:marLeft w:val="0"/>
                      <w:marRight w:val="0"/>
                      <w:marTop w:val="0"/>
                      <w:marBottom w:val="0"/>
                      <w:divBdr>
                        <w:top w:val="none" w:sz="0" w:space="0" w:color="auto"/>
                        <w:left w:val="none" w:sz="0" w:space="0" w:color="auto"/>
                        <w:bottom w:val="none" w:sz="0" w:space="0" w:color="auto"/>
                        <w:right w:val="none" w:sz="0" w:space="0" w:color="auto"/>
                      </w:divBdr>
                    </w:div>
                  </w:divsChild>
                </w:div>
                <w:div w:id="1483622911">
                  <w:marLeft w:val="0"/>
                  <w:marRight w:val="0"/>
                  <w:marTop w:val="0"/>
                  <w:marBottom w:val="0"/>
                  <w:divBdr>
                    <w:top w:val="none" w:sz="0" w:space="0" w:color="auto"/>
                    <w:left w:val="none" w:sz="0" w:space="0" w:color="auto"/>
                    <w:bottom w:val="none" w:sz="0" w:space="0" w:color="auto"/>
                    <w:right w:val="none" w:sz="0" w:space="0" w:color="auto"/>
                  </w:divBdr>
                  <w:divsChild>
                    <w:div w:id="1659650538">
                      <w:marLeft w:val="0"/>
                      <w:marRight w:val="0"/>
                      <w:marTop w:val="0"/>
                      <w:marBottom w:val="0"/>
                      <w:divBdr>
                        <w:top w:val="none" w:sz="0" w:space="0" w:color="auto"/>
                        <w:left w:val="none" w:sz="0" w:space="0" w:color="auto"/>
                        <w:bottom w:val="none" w:sz="0" w:space="0" w:color="auto"/>
                        <w:right w:val="none" w:sz="0" w:space="0" w:color="auto"/>
                      </w:divBdr>
                    </w:div>
                  </w:divsChild>
                </w:div>
                <w:div w:id="1500390969">
                  <w:marLeft w:val="0"/>
                  <w:marRight w:val="0"/>
                  <w:marTop w:val="0"/>
                  <w:marBottom w:val="0"/>
                  <w:divBdr>
                    <w:top w:val="none" w:sz="0" w:space="0" w:color="auto"/>
                    <w:left w:val="none" w:sz="0" w:space="0" w:color="auto"/>
                    <w:bottom w:val="none" w:sz="0" w:space="0" w:color="auto"/>
                    <w:right w:val="none" w:sz="0" w:space="0" w:color="auto"/>
                  </w:divBdr>
                  <w:divsChild>
                    <w:div w:id="333185386">
                      <w:marLeft w:val="0"/>
                      <w:marRight w:val="0"/>
                      <w:marTop w:val="0"/>
                      <w:marBottom w:val="0"/>
                      <w:divBdr>
                        <w:top w:val="none" w:sz="0" w:space="0" w:color="auto"/>
                        <w:left w:val="none" w:sz="0" w:space="0" w:color="auto"/>
                        <w:bottom w:val="none" w:sz="0" w:space="0" w:color="auto"/>
                        <w:right w:val="none" w:sz="0" w:space="0" w:color="auto"/>
                      </w:divBdr>
                    </w:div>
                  </w:divsChild>
                </w:div>
                <w:div w:id="1504198657">
                  <w:marLeft w:val="0"/>
                  <w:marRight w:val="0"/>
                  <w:marTop w:val="0"/>
                  <w:marBottom w:val="0"/>
                  <w:divBdr>
                    <w:top w:val="none" w:sz="0" w:space="0" w:color="auto"/>
                    <w:left w:val="none" w:sz="0" w:space="0" w:color="auto"/>
                    <w:bottom w:val="none" w:sz="0" w:space="0" w:color="auto"/>
                    <w:right w:val="none" w:sz="0" w:space="0" w:color="auto"/>
                  </w:divBdr>
                  <w:divsChild>
                    <w:div w:id="452865930">
                      <w:marLeft w:val="0"/>
                      <w:marRight w:val="0"/>
                      <w:marTop w:val="0"/>
                      <w:marBottom w:val="0"/>
                      <w:divBdr>
                        <w:top w:val="none" w:sz="0" w:space="0" w:color="auto"/>
                        <w:left w:val="none" w:sz="0" w:space="0" w:color="auto"/>
                        <w:bottom w:val="none" w:sz="0" w:space="0" w:color="auto"/>
                        <w:right w:val="none" w:sz="0" w:space="0" w:color="auto"/>
                      </w:divBdr>
                    </w:div>
                  </w:divsChild>
                </w:div>
                <w:div w:id="1536575582">
                  <w:marLeft w:val="0"/>
                  <w:marRight w:val="0"/>
                  <w:marTop w:val="0"/>
                  <w:marBottom w:val="0"/>
                  <w:divBdr>
                    <w:top w:val="none" w:sz="0" w:space="0" w:color="auto"/>
                    <w:left w:val="none" w:sz="0" w:space="0" w:color="auto"/>
                    <w:bottom w:val="none" w:sz="0" w:space="0" w:color="auto"/>
                    <w:right w:val="none" w:sz="0" w:space="0" w:color="auto"/>
                  </w:divBdr>
                  <w:divsChild>
                    <w:div w:id="1414931197">
                      <w:marLeft w:val="0"/>
                      <w:marRight w:val="0"/>
                      <w:marTop w:val="0"/>
                      <w:marBottom w:val="0"/>
                      <w:divBdr>
                        <w:top w:val="none" w:sz="0" w:space="0" w:color="auto"/>
                        <w:left w:val="none" w:sz="0" w:space="0" w:color="auto"/>
                        <w:bottom w:val="none" w:sz="0" w:space="0" w:color="auto"/>
                        <w:right w:val="none" w:sz="0" w:space="0" w:color="auto"/>
                      </w:divBdr>
                    </w:div>
                  </w:divsChild>
                </w:div>
                <w:div w:id="1546408641">
                  <w:marLeft w:val="0"/>
                  <w:marRight w:val="0"/>
                  <w:marTop w:val="0"/>
                  <w:marBottom w:val="0"/>
                  <w:divBdr>
                    <w:top w:val="none" w:sz="0" w:space="0" w:color="auto"/>
                    <w:left w:val="none" w:sz="0" w:space="0" w:color="auto"/>
                    <w:bottom w:val="none" w:sz="0" w:space="0" w:color="auto"/>
                    <w:right w:val="none" w:sz="0" w:space="0" w:color="auto"/>
                  </w:divBdr>
                  <w:divsChild>
                    <w:div w:id="1105154079">
                      <w:marLeft w:val="0"/>
                      <w:marRight w:val="0"/>
                      <w:marTop w:val="0"/>
                      <w:marBottom w:val="0"/>
                      <w:divBdr>
                        <w:top w:val="none" w:sz="0" w:space="0" w:color="auto"/>
                        <w:left w:val="none" w:sz="0" w:space="0" w:color="auto"/>
                        <w:bottom w:val="none" w:sz="0" w:space="0" w:color="auto"/>
                        <w:right w:val="none" w:sz="0" w:space="0" w:color="auto"/>
                      </w:divBdr>
                    </w:div>
                  </w:divsChild>
                </w:div>
                <w:div w:id="1567105899">
                  <w:marLeft w:val="0"/>
                  <w:marRight w:val="0"/>
                  <w:marTop w:val="0"/>
                  <w:marBottom w:val="0"/>
                  <w:divBdr>
                    <w:top w:val="none" w:sz="0" w:space="0" w:color="auto"/>
                    <w:left w:val="none" w:sz="0" w:space="0" w:color="auto"/>
                    <w:bottom w:val="none" w:sz="0" w:space="0" w:color="auto"/>
                    <w:right w:val="none" w:sz="0" w:space="0" w:color="auto"/>
                  </w:divBdr>
                  <w:divsChild>
                    <w:div w:id="474880134">
                      <w:marLeft w:val="0"/>
                      <w:marRight w:val="0"/>
                      <w:marTop w:val="0"/>
                      <w:marBottom w:val="0"/>
                      <w:divBdr>
                        <w:top w:val="none" w:sz="0" w:space="0" w:color="auto"/>
                        <w:left w:val="none" w:sz="0" w:space="0" w:color="auto"/>
                        <w:bottom w:val="none" w:sz="0" w:space="0" w:color="auto"/>
                        <w:right w:val="none" w:sz="0" w:space="0" w:color="auto"/>
                      </w:divBdr>
                    </w:div>
                  </w:divsChild>
                </w:div>
                <w:div w:id="1581064486">
                  <w:marLeft w:val="0"/>
                  <w:marRight w:val="0"/>
                  <w:marTop w:val="0"/>
                  <w:marBottom w:val="0"/>
                  <w:divBdr>
                    <w:top w:val="none" w:sz="0" w:space="0" w:color="auto"/>
                    <w:left w:val="none" w:sz="0" w:space="0" w:color="auto"/>
                    <w:bottom w:val="none" w:sz="0" w:space="0" w:color="auto"/>
                    <w:right w:val="none" w:sz="0" w:space="0" w:color="auto"/>
                  </w:divBdr>
                  <w:divsChild>
                    <w:div w:id="34157541">
                      <w:marLeft w:val="0"/>
                      <w:marRight w:val="0"/>
                      <w:marTop w:val="0"/>
                      <w:marBottom w:val="0"/>
                      <w:divBdr>
                        <w:top w:val="none" w:sz="0" w:space="0" w:color="auto"/>
                        <w:left w:val="none" w:sz="0" w:space="0" w:color="auto"/>
                        <w:bottom w:val="none" w:sz="0" w:space="0" w:color="auto"/>
                        <w:right w:val="none" w:sz="0" w:space="0" w:color="auto"/>
                      </w:divBdr>
                    </w:div>
                  </w:divsChild>
                </w:div>
                <w:div w:id="1586842256">
                  <w:marLeft w:val="0"/>
                  <w:marRight w:val="0"/>
                  <w:marTop w:val="0"/>
                  <w:marBottom w:val="0"/>
                  <w:divBdr>
                    <w:top w:val="none" w:sz="0" w:space="0" w:color="auto"/>
                    <w:left w:val="none" w:sz="0" w:space="0" w:color="auto"/>
                    <w:bottom w:val="none" w:sz="0" w:space="0" w:color="auto"/>
                    <w:right w:val="none" w:sz="0" w:space="0" w:color="auto"/>
                  </w:divBdr>
                  <w:divsChild>
                    <w:div w:id="1088574219">
                      <w:marLeft w:val="0"/>
                      <w:marRight w:val="0"/>
                      <w:marTop w:val="0"/>
                      <w:marBottom w:val="0"/>
                      <w:divBdr>
                        <w:top w:val="none" w:sz="0" w:space="0" w:color="auto"/>
                        <w:left w:val="none" w:sz="0" w:space="0" w:color="auto"/>
                        <w:bottom w:val="none" w:sz="0" w:space="0" w:color="auto"/>
                        <w:right w:val="none" w:sz="0" w:space="0" w:color="auto"/>
                      </w:divBdr>
                    </w:div>
                  </w:divsChild>
                </w:div>
                <w:div w:id="1592159057">
                  <w:marLeft w:val="0"/>
                  <w:marRight w:val="0"/>
                  <w:marTop w:val="0"/>
                  <w:marBottom w:val="0"/>
                  <w:divBdr>
                    <w:top w:val="none" w:sz="0" w:space="0" w:color="auto"/>
                    <w:left w:val="none" w:sz="0" w:space="0" w:color="auto"/>
                    <w:bottom w:val="none" w:sz="0" w:space="0" w:color="auto"/>
                    <w:right w:val="none" w:sz="0" w:space="0" w:color="auto"/>
                  </w:divBdr>
                  <w:divsChild>
                    <w:div w:id="55126004">
                      <w:marLeft w:val="0"/>
                      <w:marRight w:val="0"/>
                      <w:marTop w:val="0"/>
                      <w:marBottom w:val="0"/>
                      <w:divBdr>
                        <w:top w:val="none" w:sz="0" w:space="0" w:color="auto"/>
                        <w:left w:val="none" w:sz="0" w:space="0" w:color="auto"/>
                        <w:bottom w:val="none" w:sz="0" w:space="0" w:color="auto"/>
                        <w:right w:val="none" w:sz="0" w:space="0" w:color="auto"/>
                      </w:divBdr>
                    </w:div>
                  </w:divsChild>
                </w:div>
                <w:div w:id="1593124476">
                  <w:marLeft w:val="0"/>
                  <w:marRight w:val="0"/>
                  <w:marTop w:val="0"/>
                  <w:marBottom w:val="0"/>
                  <w:divBdr>
                    <w:top w:val="none" w:sz="0" w:space="0" w:color="auto"/>
                    <w:left w:val="none" w:sz="0" w:space="0" w:color="auto"/>
                    <w:bottom w:val="none" w:sz="0" w:space="0" w:color="auto"/>
                    <w:right w:val="none" w:sz="0" w:space="0" w:color="auto"/>
                  </w:divBdr>
                  <w:divsChild>
                    <w:div w:id="529143849">
                      <w:marLeft w:val="0"/>
                      <w:marRight w:val="0"/>
                      <w:marTop w:val="0"/>
                      <w:marBottom w:val="0"/>
                      <w:divBdr>
                        <w:top w:val="none" w:sz="0" w:space="0" w:color="auto"/>
                        <w:left w:val="none" w:sz="0" w:space="0" w:color="auto"/>
                        <w:bottom w:val="none" w:sz="0" w:space="0" w:color="auto"/>
                        <w:right w:val="none" w:sz="0" w:space="0" w:color="auto"/>
                      </w:divBdr>
                    </w:div>
                  </w:divsChild>
                </w:div>
                <w:div w:id="1609972071">
                  <w:marLeft w:val="0"/>
                  <w:marRight w:val="0"/>
                  <w:marTop w:val="0"/>
                  <w:marBottom w:val="0"/>
                  <w:divBdr>
                    <w:top w:val="none" w:sz="0" w:space="0" w:color="auto"/>
                    <w:left w:val="none" w:sz="0" w:space="0" w:color="auto"/>
                    <w:bottom w:val="none" w:sz="0" w:space="0" w:color="auto"/>
                    <w:right w:val="none" w:sz="0" w:space="0" w:color="auto"/>
                  </w:divBdr>
                  <w:divsChild>
                    <w:div w:id="2060784604">
                      <w:marLeft w:val="0"/>
                      <w:marRight w:val="0"/>
                      <w:marTop w:val="0"/>
                      <w:marBottom w:val="0"/>
                      <w:divBdr>
                        <w:top w:val="none" w:sz="0" w:space="0" w:color="auto"/>
                        <w:left w:val="none" w:sz="0" w:space="0" w:color="auto"/>
                        <w:bottom w:val="none" w:sz="0" w:space="0" w:color="auto"/>
                        <w:right w:val="none" w:sz="0" w:space="0" w:color="auto"/>
                      </w:divBdr>
                    </w:div>
                  </w:divsChild>
                </w:div>
                <w:div w:id="1612513827">
                  <w:marLeft w:val="0"/>
                  <w:marRight w:val="0"/>
                  <w:marTop w:val="0"/>
                  <w:marBottom w:val="0"/>
                  <w:divBdr>
                    <w:top w:val="none" w:sz="0" w:space="0" w:color="auto"/>
                    <w:left w:val="none" w:sz="0" w:space="0" w:color="auto"/>
                    <w:bottom w:val="none" w:sz="0" w:space="0" w:color="auto"/>
                    <w:right w:val="none" w:sz="0" w:space="0" w:color="auto"/>
                  </w:divBdr>
                  <w:divsChild>
                    <w:div w:id="667559020">
                      <w:marLeft w:val="0"/>
                      <w:marRight w:val="0"/>
                      <w:marTop w:val="0"/>
                      <w:marBottom w:val="0"/>
                      <w:divBdr>
                        <w:top w:val="none" w:sz="0" w:space="0" w:color="auto"/>
                        <w:left w:val="none" w:sz="0" w:space="0" w:color="auto"/>
                        <w:bottom w:val="none" w:sz="0" w:space="0" w:color="auto"/>
                        <w:right w:val="none" w:sz="0" w:space="0" w:color="auto"/>
                      </w:divBdr>
                    </w:div>
                  </w:divsChild>
                </w:div>
                <w:div w:id="1622344278">
                  <w:marLeft w:val="0"/>
                  <w:marRight w:val="0"/>
                  <w:marTop w:val="0"/>
                  <w:marBottom w:val="0"/>
                  <w:divBdr>
                    <w:top w:val="none" w:sz="0" w:space="0" w:color="auto"/>
                    <w:left w:val="none" w:sz="0" w:space="0" w:color="auto"/>
                    <w:bottom w:val="none" w:sz="0" w:space="0" w:color="auto"/>
                    <w:right w:val="none" w:sz="0" w:space="0" w:color="auto"/>
                  </w:divBdr>
                  <w:divsChild>
                    <w:div w:id="588540303">
                      <w:marLeft w:val="0"/>
                      <w:marRight w:val="0"/>
                      <w:marTop w:val="0"/>
                      <w:marBottom w:val="0"/>
                      <w:divBdr>
                        <w:top w:val="none" w:sz="0" w:space="0" w:color="auto"/>
                        <w:left w:val="none" w:sz="0" w:space="0" w:color="auto"/>
                        <w:bottom w:val="none" w:sz="0" w:space="0" w:color="auto"/>
                        <w:right w:val="none" w:sz="0" w:space="0" w:color="auto"/>
                      </w:divBdr>
                    </w:div>
                    <w:div w:id="615647314">
                      <w:marLeft w:val="0"/>
                      <w:marRight w:val="0"/>
                      <w:marTop w:val="0"/>
                      <w:marBottom w:val="0"/>
                      <w:divBdr>
                        <w:top w:val="none" w:sz="0" w:space="0" w:color="auto"/>
                        <w:left w:val="none" w:sz="0" w:space="0" w:color="auto"/>
                        <w:bottom w:val="none" w:sz="0" w:space="0" w:color="auto"/>
                        <w:right w:val="none" w:sz="0" w:space="0" w:color="auto"/>
                      </w:divBdr>
                    </w:div>
                    <w:div w:id="663243762">
                      <w:marLeft w:val="0"/>
                      <w:marRight w:val="0"/>
                      <w:marTop w:val="0"/>
                      <w:marBottom w:val="0"/>
                      <w:divBdr>
                        <w:top w:val="none" w:sz="0" w:space="0" w:color="auto"/>
                        <w:left w:val="none" w:sz="0" w:space="0" w:color="auto"/>
                        <w:bottom w:val="none" w:sz="0" w:space="0" w:color="auto"/>
                        <w:right w:val="none" w:sz="0" w:space="0" w:color="auto"/>
                      </w:divBdr>
                    </w:div>
                    <w:div w:id="784694032">
                      <w:marLeft w:val="0"/>
                      <w:marRight w:val="0"/>
                      <w:marTop w:val="0"/>
                      <w:marBottom w:val="0"/>
                      <w:divBdr>
                        <w:top w:val="none" w:sz="0" w:space="0" w:color="auto"/>
                        <w:left w:val="none" w:sz="0" w:space="0" w:color="auto"/>
                        <w:bottom w:val="none" w:sz="0" w:space="0" w:color="auto"/>
                        <w:right w:val="none" w:sz="0" w:space="0" w:color="auto"/>
                      </w:divBdr>
                    </w:div>
                    <w:div w:id="1122458141">
                      <w:marLeft w:val="0"/>
                      <w:marRight w:val="0"/>
                      <w:marTop w:val="0"/>
                      <w:marBottom w:val="0"/>
                      <w:divBdr>
                        <w:top w:val="none" w:sz="0" w:space="0" w:color="auto"/>
                        <w:left w:val="none" w:sz="0" w:space="0" w:color="auto"/>
                        <w:bottom w:val="none" w:sz="0" w:space="0" w:color="auto"/>
                        <w:right w:val="none" w:sz="0" w:space="0" w:color="auto"/>
                      </w:divBdr>
                    </w:div>
                    <w:div w:id="1404720370">
                      <w:marLeft w:val="0"/>
                      <w:marRight w:val="0"/>
                      <w:marTop w:val="0"/>
                      <w:marBottom w:val="0"/>
                      <w:divBdr>
                        <w:top w:val="none" w:sz="0" w:space="0" w:color="auto"/>
                        <w:left w:val="none" w:sz="0" w:space="0" w:color="auto"/>
                        <w:bottom w:val="none" w:sz="0" w:space="0" w:color="auto"/>
                        <w:right w:val="none" w:sz="0" w:space="0" w:color="auto"/>
                      </w:divBdr>
                    </w:div>
                  </w:divsChild>
                </w:div>
                <w:div w:id="1638561398">
                  <w:marLeft w:val="0"/>
                  <w:marRight w:val="0"/>
                  <w:marTop w:val="0"/>
                  <w:marBottom w:val="0"/>
                  <w:divBdr>
                    <w:top w:val="none" w:sz="0" w:space="0" w:color="auto"/>
                    <w:left w:val="none" w:sz="0" w:space="0" w:color="auto"/>
                    <w:bottom w:val="none" w:sz="0" w:space="0" w:color="auto"/>
                    <w:right w:val="none" w:sz="0" w:space="0" w:color="auto"/>
                  </w:divBdr>
                  <w:divsChild>
                    <w:div w:id="584875289">
                      <w:marLeft w:val="0"/>
                      <w:marRight w:val="0"/>
                      <w:marTop w:val="0"/>
                      <w:marBottom w:val="0"/>
                      <w:divBdr>
                        <w:top w:val="none" w:sz="0" w:space="0" w:color="auto"/>
                        <w:left w:val="none" w:sz="0" w:space="0" w:color="auto"/>
                        <w:bottom w:val="none" w:sz="0" w:space="0" w:color="auto"/>
                        <w:right w:val="none" w:sz="0" w:space="0" w:color="auto"/>
                      </w:divBdr>
                    </w:div>
                  </w:divsChild>
                </w:div>
                <w:div w:id="1646930732">
                  <w:marLeft w:val="0"/>
                  <w:marRight w:val="0"/>
                  <w:marTop w:val="0"/>
                  <w:marBottom w:val="0"/>
                  <w:divBdr>
                    <w:top w:val="none" w:sz="0" w:space="0" w:color="auto"/>
                    <w:left w:val="none" w:sz="0" w:space="0" w:color="auto"/>
                    <w:bottom w:val="none" w:sz="0" w:space="0" w:color="auto"/>
                    <w:right w:val="none" w:sz="0" w:space="0" w:color="auto"/>
                  </w:divBdr>
                  <w:divsChild>
                    <w:div w:id="689066079">
                      <w:marLeft w:val="0"/>
                      <w:marRight w:val="0"/>
                      <w:marTop w:val="0"/>
                      <w:marBottom w:val="0"/>
                      <w:divBdr>
                        <w:top w:val="none" w:sz="0" w:space="0" w:color="auto"/>
                        <w:left w:val="none" w:sz="0" w:space="0" w:color="auto"/>
                        <w:bottom w:val="none" w:sz="0" w:space="0" w:color="auto"/>
                        <w:right w:val="none" w:sz="0" w:space="0" w:color="auto"/>
                      </w:divBdr>
                    </w:div>
                  </w:divsChild>
                </w:div>
                <w:div w:id="1666782352">
                  <w:marLeft w:val="0"/>
                  <w:marRight w:val="0"/>
                  <w:marTop w:val="0"/>
                  <w:marBottom w:val="0"/>
                  <w:divBdr>
                    <w:top w:val="none" w:sz="0" w:space="0" w:color="auto"/>
                    <w:left w:val="none" w:sz="0" w:space="0" w:color="auto"/>
                    <w:bottom w:val="none" w:sz="0" w:space="0" w:color="auto"/>
                    <w:right w:val="none" w:sz="0" w:space="0" w:color="auto"/>
                  </w:divBdr>
                  <w:divsChild>
                    <w:div w:id="1668172621">
                      <w:marLeft w:val="0"/>
                      <w:marRight w:val="0"/>
                      <w:marTop w:val="0"/>
                      <w:marBottom w:val="0"/>
                      <w:divBdr>
                        <w:top w:val="none" w:sz="0" w:space="0" w:color="auto"/>
                        <w:left w:val="none" w:sz="0" w:space="0" w:color="auto"/>
                        <w:bottom w:val="none" w:sz="0" w:space="0" w:color="auto"/>
                        <w:right w:val="none" w:sz="0" w:space="0" w:color="auto"/>
                      </w:divBdr>
                    </w:div>
                  </w:divsChild>
                </w:div>
                <w:div w:id="1668707809">
                  <w:marLeft w:val="0"/>
                  <w:marRight w:val="0"/>
                  <w:marTop w:val="0"/>
                  <w:marBottom w:val="0"/>
                  <w:divBdr>
                    <w:top w:val="none" w:sz="0" w:space="0" w:color="auto"/>
                    <w:left w:val="none" w:sz="0" w:space="0" w:color="auto"/>
                    <w:bottom w:val="none" w:sz="0" w:space="0" w:color="auto"/>
                    <w:right w:val="none" w:sz="0" w:space="0" w:color="auto"/>
                  </w:divBdr>
                  <w:divsChild>
                    <w:div w:id="40911802">
                      <w:marLeft w:val="0"/>
                      <w:marRight w:val="0"/>
                      <w:marTop w:val="0"/>
                      <w:marBottom w:val="0"/>
                      <w:divBdr>
                        <w:top w:val="none" w:sz="0" w:space="0" w:color="auto"/>
                        <w:left w:val="none" w:sz="0" w:space="0" w:color="auto"/>
                        <w:bottom w:val="none" w:sz="0" w:space="0" w:color="auto"/>
                        <w:right w:val="none" w:sz="0" w:space="0" w:color="auto"/>
                      </w:divBdr>
                    </w:div>
                  </w:divsChild>
                </w:div>
                <w:div w:id="1684670424">
                  <w:marLeft w:val="0"/>
                  <w:marRight w:val="0"/>
                  <w:marTop w:val="0"/>
                  <w:marBottom w:val="0"/>
                  <w:divBdr>
                    <w:top w:val="none" w:sz="0" w:space="0" w:color="auto"/>
                    <w:left w:val="none" w:sz="0" w:space="0" w:color="auto"/>
                    <w:bottom w:val="none" w:sz="0" w:space="0" w:color="auto"/>
                    <w:right w:val="none" w:sz="0" w:space="0" w:color="auto"/>
                  </w:divBdr>
                  <w:divsChild>
                    <w:div w:id="247425754">
                      <w:marLeft w:val="0"/>
                      <w:marRight w:val="0"/>
                      <w:marTop w:val="0"/>
                      <w:marBottom w:val="0"/>
                      <w:divBdr>
                        <w:top w:val="none" w:sz="0" w:space="0" w:color="auto"/>
                        <w:left w:val="none" w:sz="0" w:space="0" w:color="auto"/>
                        <w:bottom w:val="none" w:sz="0" w:space="0" w:color="auto"/>
                        <w:right w:val="none" w:sz="0" w:space="0" w:color="auto"/>
                      </w:divBdr>
                    </w:div>
                  </w:divsChild>
                </w:div>
                <w:div w:id="1710689629">
                  <w:marLeft w:val="0"/>
                  <w:marRight w:val="0"/>
                  <w:marTop w:val="0"/>
                  <w:marBottom w:val="0"/>
                  <w:divBdr>
                    <w:top w:val="none" w:sz="0" w:space="0" w:color="auto"/>
                    <w:left w:val="none" w:sz="0" w:space="0" w:color="auto"/>
                    <w:bottom w:val="none" w:sz="0" w:space="0" w:color="auto"/>
                    <w:right w:val="none" w:sz="0" w:space="0" w:color="auto"/>
                  </w:divBdr>
                  <w:divsChild>
                    <w:div w:id="1905335230">
                      <w:marLeft w:val="0"/>
                      <w:marRight w:val="0"/>
                      <w:marTop w:val="0"/>
                      <w:marBottom w:val="0"/>
                      <w:divBdr>
                        <w:top w:val="none" w:sz="0" w:space="0" w:color="auto"/>
                        <w:left w:val="none" w:sz="0" w:space="0" w:color="auto"/>
                        <w:bottom w:val="none" w:sz="0" w:space="0" w:color="auto"/>
                        <w:right w:val="none" w:sz="0" w:space="0" w:color="auto"/>
                      </w:divBdr>
                    </w:div>
                  </w:divsChild>
                </w:div>
                <w:div w:id="1716083202">
                  <w:marLeft w:val="0"/>
                  <w:marRight w:val="0"/>
                  <w:marTop w:val="0"/>
                  <w:marBottom w:val="0"/>
                  <w:divBdr>
                    <w:top w:val="none" w:sz="0" w:space="0" w:color="auto"/>
                    <w:left w:val="none" w:sz="0" w:space="0" w:color="auto"/>
                    <w:bottom w:val="none" w:sz="0" w:space="0" w:color="auto"/>
                    <w:right w:val="none" w:sz="0" w:space="0" w:color="auto"/>
                  </w:divBdr>
                  <w:divsChild>
                    <w:div w:id="555701967">
                      <w:marLeft w:val="0"/>
                      <w:marRight w:val="0"/>
                      <w:marTop w:val="0"/>
                      <w:marBottom w:val="0"/>
                      <w:divBdr>
                        <w:top w:val="none" w:sz="0" w:space="0" w:color="auto"/>
                        <w:left w:val="none" w:sz="0" w:space="0" w:color="auto"/>
                        <w:bottom w:val="none" w:sz="0" w:space="0" w:color="auto"/>
                        <w:right w:val="none" w:sz="0" w:space="0" w:color="auto"/>
                      </w:divBdr>
                    </w:div>
                  </w:divsChild>
                </w:div>
                <w:div w:id="1717851094">
                  <w:marLeft w:val="0"/>
                  <w:marRight w:val="0"/>
                  <w:marTop w:val="0"/>
                  <w:marBottom w:val="0"/>
                  <w:divBdr>
                    <w:top w:val="none" w:sz="0" w:space="0" w:color="auto"/>
                    <w:left w:val="none" w:sz="0" w:space="0" w:color="auto"/>
                    <w:bottom w:val="none" w:sz="0" w:space="0" w:color="auto"/>
                    <w:right w:val="none" w:sz="0" w:space="0" w:color="auto"/>
                  </w:divBdr>
                  <w:divsChild>
                    <w:div w:id="1530414938">
                      <w:marLeft w:val="0"/>
                      <w:marRight w:val="0"/>
                      <w:marTop w:val="0"/>
                      <w:marBottom w:val="0"/>
                      <w:divBdr>
                        <w:top w:val="none" w:sz="0" w:space="0" w:color="auto"/>
                        <w:left w:val="none" w:sz="0" w:space="0" w:color="auto"/>
                        <w:bottom w:val="none" w:sz="0" w:space="0" w:color="auto"/>
                        <w:right w:val="none" w:sz="0" w:space="0" w:color="auto"/>
                      </w:divBdr>
                    </w:div>
                  </w:divsChild>
                </w:div>
                <w:div w:id="1723750888">
                  <w:marLeft w:val="0"/>
                  <w:marRight w:val="0"/>
                  <w:marTop w:val="0"/>
                  <w:marBottom w:val="0"/>
                  <w:divBdr>
                    <w:top w:val="none" w:sz="0" w:space="0" w:color="auto"/>
                    <w:left w:val="none" w:sz="0" w:space="0" w:color="auto"/>
                    <w:bottom w:val="none" w:sz="0" w:space="0" w:color="auto"/>
                    <w:right w:val="none" w:sz="0" w:space="0" w:color="auto"/>
                  </w:divBdr>
                  <w:divsChild>
                    <w:div w:id="358052217">
                      <w:marLeft w:val="0"/>
                      <w:marRight w:val="0"/>
                      <w:marTop w:val="0"/>
                      <w:marBottom w:val="0"/>
                      <w:divBdr>
                        <w:top w:val="none" w:sz="0" w:space="0" w:color="auto"/>
                        <w:left w:val="none" w:sz="0" w:space="0" w:color="auto"/>
                        <w:bottom w:val="none" w:sz="0" w:space="0" w:color="auto"/>
                        <w:right w:val="none" w:sz="0" w:space="0" w:color="auto"/>
                      </w:divBdr>
                    </w:div>
                  </w:divsChild>
                </w:div>
                <w:div w:id="1746295582">
                  <w:marLeft w:val="0"/>
                  <w:marRight w:val="0"/>
                  <w:marTop w:val="0"/>
                  <w:marBottom w:val="0"/>
                  <w:divBdr>
                    <w:top w:val="none" w:sz="0" w:space="0" w:color="auto"/>
                    <w:left w:val="none" w:sz="0" w:space="0" w:color="auto"/>
                    <w:bottom w:val="none" w:sz="0" w:space="0" w:color="auto"/>
                    <w:right w:val="none" w:sz="0" w:space="0" w:color="auto"/>
                  </w:divBdr>
                  <w:divsChild>
                    <w:div w:id="667832712">
                      <w:marLeft w:val="0"/>
                      <w:marRight w:val="0"/>
                      <w:marTop w:val="0"/>
                      <w:marBottom w:val="0"/>
                      <w:divBdr>
                        <w:top w:val="none" w:sz="0" w:space="0" w:color="auto"/>
                        <w:left w:val="none" w:sz="0" w:space="0" w:color="auto"/>
                        <w:bottom w:val="none" w:sz="0" w:space="0" w:color="auto"/>
                        <w:right w:val="none" w:sz="0" w:space="0" w:color="auto"/>
                      </w:divBdr>
                    </w:div>
                  </w:divsChild>
                </w:div>
                <w:div w:id="1746798593">
                  <w:marLeft w:val="0"/>
                  <w:marRight w:val="0"/>
                  <w:marTop w:val="0"/>
                  <w:marBottom w:val="0"/>
                  <w:divBdr>
                    <w:top w:val="none" w:sz="0" w:space="0" w:color="auto"/>
                    <w:left w:val="none" w:sz="0" w:space="0" w:color="auto"/>
                    <w:bottom w:val="none" w:sz="0" w:space="0" w:color="auto"/>
                    <w:right w:val="none" w:sz="0" w:space="0" w:color="auto"/>
                  </w:divBdr>
                  <w:divsChild>
                    <w:div w:id="1357537266">
                      <w:marLeft w:val="0"/>
                      <w:marRight w:val="0"/>
                      <w:marTop w:val="0"/>
                      <w:marBottom w:val="0"/>
                      <w:divBdr>
                        <w:top w:val="none" w:sz="0" w:space="0" w:color="auto"/>
                        <w:left w:val="none" w:sz="0" w:space="0" w:color="auto"/>
                        <w:bottom w:val="none" w:sz="0" w:space="0" w:color="auto"/>
                        <w:right w:val="none" w:sz="0" w:space="0" w:color="auto"/>
                      </w:divBdr>
                    </w:div>
                  </w:divsChild>
                </w:div>
                <w:div w:id="1768577902">
                  <w:marLeft w:val="0"/>
                  <w:marRight w:val="0"/>
                  <w:marTop w:val="0"/>
                  <w:marBottom w:val="0"/>
                  <w:divBdr>
                    <w:top w:val="none" w:sz="0" w:space="0" w:color="auto"/>
                    <w:left w:val="none" w:sz="0" w:space="0" w:color="auto"/>
                    <w:bottom w:val="none" w:sz="0" w:space="0" w:color="auto"/>
                    <w:right w:val="none" w:sz="0" w:space="0" w:color="auto"/>
                  </w:divBdr>
                  <w:divsChild>
                    <w:div w:id="1306469328">
                      <w:marLeft w:val="0"/>
                      <w:marRight w:val="0"/>
                      <w:marTop w:val="0"/>
                      <w:marBottom w:val="0"/>
                      <w:divBdr>
                        <w:top w:val="none" w:sz="0" w:space="0" w:color="auto"/>
                        <w:left w:val="none" w:sz="0" w:space="0" w:color="auto"/>
                        <w:bottom w:val="none" w:sz="0" w:space="0" w:color="auto"/>
                        <w:right w:val="none" w:sz="0" w:space="0" w:color="auto"/>
                      </w:divBdr>
                    </w:div>
                  </w:divsChild>
                </w:div>
                <w:div w:id="1777480389">
                  <w:marLeft w:val="0"/>
                  <w:marRight w:val="0"/>
                  <w:marTop w:val="0"/>
                  <w:marBottom w:val="0"/>
                  <w:divBdr>
                    <w:top w:val="none" w:sz="0" w:space="0" w:color="auto"/>
                    <w:left w:val="none" w:sz="0" w:space="0" w:color="auto"/>
                    <w:bottom w:val="none" w:sz="0" w:space="0" w:color="auto"/>
                    <w:right w:val="none" w:sz="0" w:space="0" w:color="auto"/>
                  </w:divBdr>
                  <w:divsChild>
                    <w:div w:id="128281840">
                      <w:marLeft w:val="0"/>
                      <w:marRight w:val="0"/>
                      <w:marTop w:val="0"/>
                      <w:marBottom w:val="0"/>
                      <w:divBdr>
                        <w:top w:val="none" w:sz="0" w:space="0" w:color="auto"/>
                        <w:left w:val="none" w:sz="0" w:space="0" w:color="auto"/>
                        <w:bottom w:val="none" w:sz="0" w:space="0" w:color="auto"/>
                        <w:right w:val="none" w:sz="0" w:space="0" w:color="auto"/>
                      </w:divBdr>
                    </w:div>
                    <w:div w:id="383724037">
                      <w:marLeft w:val="0"/>
                      <w:marRight w:val="0"/>
                      <w:marTop w:val="0"/>
                      <w:marBottom w:val="0"/>
                      <w:divBdr>
                        <w:top w:val="none" w:sz="0" w:space="0" w:color="auto"/>
                        <w:left w:val="none" w:sz="0" w:space="0" w:color="auto"/>
                        <w:bottom w:val="none" w:sz="0" w:space="0" w:color="auto"/>
                        <w:right w:val="none" w:sz="0" w:space="0" w:color="auto"/>
                      </w:divBdr>
                    </w:div>
                    <w:div w:id="448740289">
                      <w:marLeft w:val="0"/>
                      <w:marRight w:val="0"/>
                      <w:marTop w:val="0"/>
                      <w:marBottom w:val="0"/>
                      <w:divBdr>
                        <w:top w:val="none" w:sz="0" w:space="0" w:color="auto"/>
                        <w:left w:val="none" w:sz="0" w:space="0" w:color="auto"/>
                        <w:bottom w:val="none" w:sz="0" w:space="0" w:color="auto"/>
                        <w:right w:val="none" w:sz="0" w:space="0" w:color="auto"/>
                      </w:divBdr>
                    </w:div>
                    <w:div w:id="569342991">
                      <w:marLeft w:val="0"/>
                      <w:marRight w:val="0"/>
                      <w:marTop w:val="0"/>
                      <w:marBottom w:val="0"/>
                      <w:divBdr>
                        <w:top w:val="none" w:sz="0" w:space="0" w:color="auto"/>
                        <w:left w:val="none" w:sz="0" w:space="0" w:color="auto"/>
                        <w:bottom w:val="none" w:sz="0" w:space="0" w:color="auto"/>
                        <w:right w:val="none" w:sz="0" w:space="0" w:color="auto"/>
                      </w:divBdr>
                    </w:div>
                    <w:div w:id="858086820">
                      <w:marLeft w:val="0"/>
                      <w:marRight w:val="0"/>
                      <w:marTop w:val="0"/>
                      <w:marBottom w:val="0"/>
                      <w:divBdr>
                        <w:top w:val="none" w:sz="0" w:space="0" w:color="auto"/>
                        <w:left w:val="none" w:sz="0" w:space="0" w:color="auto"/>
                        <w:bottom w:val="none" w:sz="0" w:space="0" w:color="auto"/>
                        <w:right w:val="none" w:sz="0" w:space="0" w:color="auto"/>
                      </w:divBdr>
                    </w:div>
                    <w:div w:id="1248659857">
                      <w:marLeft w:val="0"/>
                      <w:marRight w:val="0"/>
                      <w:marTop w:val="0"/>
                      <w:marBottom w:val="0"/>
                      <w:divBdr>
                        <w:top w:val="none" w:sz="0" w:space="0" w:color="auto"/>
                        <w:left w:val="none" w:sz="0" w:space="0" w:color="auto"/>
                        <w:bottom w:val="none" w:sz="0" w:space="0" w:color="auto"/>
                        <w:right w:val="none" w:sz="0" w:space="0" w:color="auto"/>
                      </w:divBdr>
                    </w:div>
                    <w:div w:id="1382245746">
                      <w:marLeft w:val="0"/>
                      <w:marRight w:val="0"/>
                      <w:marTop w:val="0"/>
                      <w:marBottom w:val="0"/>
                      <w:divBdr>
                        <w:top w:val="none" w:sz="0" w:space="0" w:color="auto"/>
                        <w:left w:val="none" w:sz="0" w:space="0" w:color="auto"/>
                        <w:bottom w:val="none" w:sz="0" w:space="0" w:color="auto"/>
                        <w:right w:val="none" w:sz="0" w:space="0" w:color="auto"/>
                      </w:divBdr>
                    </w:div>
                    <w:div w:id="2016304098">
                      <w:marLeft w:val="0"/>
                      <w:marRight w:val="0"/>
                      <w:marTop w:val="0"/>
                      <w:marBottom w:val="0"/>
                      <w:divBdr>
                        <w:top w:val="none" w:sz="0" w:space="0" w:color="auto"/>
                        <w:left w:val="none" w:sz="0" w:space="0" w:color="auto"/>
                        <w:bottom w:val="none" w:sz="0" w:space="0" w:color="auto"/>
                        <w:right w:val="none" w:sz="0" w:space="0" w:color="auto"/>
                      </w:divBdr>
                    </w:div>
                  </w:divsChild>
                </w:div>
                <w:div w:id="1782338359">
                  <w:marLeft w:val="0"/>
                  <w:marRight w:val="0"/>
                  <w:marTop w:val="0"/>
                  <w:marBottom w:val="0"/>
                  <w:divBdr>
                    <w:top w:val="none" w:sz="0" w:space="0" w:color="auto"/>
                    <w:left w:val="none" w:sz="0" w:space="0" w:color="auto"/>
                    <w:bottom w:val="none" w:sz="0" w:space="0" w:color="auto"/>
                    <w:right w:val="none" w:sz="0" w:space="0" w:color="auto"/>
                  </w:divBdr>
                  <w:divsChild>
                    <w:div w:id="1086419015">
                      <w:marLeft w:val="0"/>
                      <w:marRight w:val="0"/>
                      <w:marTop w:val="0"/>
                      <w:marBottom w:val="0"/>
                      <w:divBdr>
                        <w:top w:val="none" w:sz="0" w:space="0" w:color="auto"/>
                        <w:left w:val="none" w:sz="0" w:space="0" w:color="auto"/>
                        <w:bottom w:val="none" w:sz="0" w:space="0" w:color="auto"/>
                        <w:right w:val="none" w:sz="0" w:space="0" w:color="auto"/>
                      </w:divBdr>
                    </w:div>
                  </w:divsChild>
                </w:div>
                <w:div w:id="1784299971">
                  <w:marLeft w:val="0"/>
                  <w:marRight w:val="0"/>
                  <w:marTop w:val="0"/>
                  <w:marBottom w:val="0"/>
                  <w:divBdr>
                    <w:top w:val="none" w:sz="0" w:space="0" w:color="auto"/>
                    <w:left w:val="none" w:sz="0" w:space="0" w:color="auto"/>
                    <w:bottom w:val="none" w:sz="0" w:space="0" w:color="auto"/>
                    <w:right w:val="none" w:sz="0" w:space="0" w:color="auto"/>
                  </w:divBdr>
                  <w:divsChild>
                    <w:div w:id="920604287">
                      <w:marLeft w:val="0"/>
                      <w:marRight w:val="0"/>
                      <w:marTop w:val="0"/>
                      <w:marBottom w:val="0"/>
                      <w:divBdr>
                        <w:top w:val="none" w:sz="0" w:space="0" w:color="auto"/>
                        <w:left w:val="none" w:sz="0" w:space="0" w:color="auto"/>
                        <w:bottom w:val="none" w:sz="0" w:space="0" w:color="auto"/>
                        <w:right w:val="none" w:sz="0" w:space="0" w:color="auto"/>
                      </w:divBdr>
                    </w:div>
                  </w:divsChild>
                </w:div>
                <w:div w:id="1812863713">
                  <w:marLeft w:val="0"/>
                  <w:marRight w:val="0"/>
                  <w:marTop w:val="0"/>
                  <w:marBottom w:val="0"/>
                  <w:divBdr>
                    <w:top w:val="none" w:sz="0" w:space="0" w:color="auto"/>
                    <w:left w:val="none" w:sz="0" w:space="0" w:color="auto"/>
                    <w:bottom w:val="none" w:sz="0" w:space="0" w:color="auto"/>
                    <w:right w:val="none" w:sz="0" w:space="0" w:color="auto"/>
                  </w:divBdr>
                  <w:divsChild>
                    <w:div w:id="599527054">
                      <w:marLeft w:val="0"/>
                      <w:marRight w:val="0"/>
                      <w:marTop w:val="0"/>
                      <w:marBottom w:val="0"/>
                      <w:divBdr>
                        <w:top w:val="none" w:sz="0" w:space="0" w:color="auto"/>
                        <w:left w:val="none" w:sz="0" w:space="0" w:color="auto"/>
                        <w:bottom w:val="none" w:sz="0" w:space="0" w:color="auto"/>
                        <w:right w:val="none" w:sz="0" w:space="0" w:color="auto"/>
                      </w:divBdr>
                    </w:div>
                  </w:divsChild>
                </w:div>
                <w:div w:id="1816290152">
                  <w:marLeft w:val="0"/>
                  <w:marRight w:val="0"/>
                  <w:marTop w:val="0"/>
                  <w:marBottom w:val="0"/>
                  <w:divBdr>
                    <w:top w:val="none" w:sz="0" w:space="0" w:color="auto"/>
                    <w:left w:val="none" w:sz="0" w:space="0" w:color="auto"/>
                    <w:bottom w:val="none" w:sz="0" w:space="0" w:color="auto"/>
                    <w:right w:val="none" w:sz="0" w:space="0" w:color="auto"/>
                  </w:divBdr>
                  <w:divsChild>
                    <w:div w:id="749156822">
                      <w:marLeft w:val="0"/>
                      <w:marRight w:val="0"/>
                      <w:marTop w:val="0"/>
                      <w:marBottom w:val="0"/>
                      <w:divBdr>
                        <w:top w:val="none" w:sz="0" w:space="0" w:color="auto"/>
                        <w:left w:val="none" w:sz="0" w:space="0" w:color="auto"/>
                        <w:bottom w:val="none" w:sz="0" w:space="0" w:color="auto"/>
                        <w:right w:val="none" w:sz="0" w:space="0" w:color="auto"/>
                      </w:divBdr>
                    </w:div>
                  </w:divsChild>
                </w:div>
                <w:div w:id="1819153683">
                  <w:marLeft w:val="0"/>
                  <w:marRight w:val="0"/>
                  <w:marTop w:val="0"/>
                  <w:marBottom w:val="0"/>
                  <w:divBdr>
                    <w:top w:val="none" w:sz="0" w:space="0" w:color="auto"/>
                    <w:left w:val="none" w:sz="0" w:space="0" w:color="auto"/>
                    <w:bottom w:val="none" w:sz="0" w:space="0" w:color="auto"/>
                    <w:right w:val="none" w:sz="0" w:space="0" w:color="auto"/>
                  </w:divBdr>
                  <w:divsChild>
                    <w:div w:id="1115055731">
                      <w:marLeft w:val="0"/>
                      <w:marRight w:val="0"/>
                      <w:marTop w:val="0"/>
                      <w:marBottom w:val="0"/>
                      <w:divBdr>
                        <w:top w:val="none" w:sz="0" w:space="0" w:color="auto"/>
                        <w:left w:val="none" w:sz="0" w:space="0" w:color="auto"/>
                        <w:bottom w:val="none" w:sz="0" w:space="0" w:color="auto"/>
                        <w:right w:val="none" w:sz="0" w:space="0" w:color="auto"/>
                      </w:divBdr>
                    </w:div>
                  </w:divsChild>
                </w:div>
                <w:div w:id="1821116566">
                  <w:marLeft w:val="0"/>
                  <w:marRight w:val="0"/>
                  <w:marTop w:val="0"/>
                  <w:marBottom w:val="0"/>
                  <w:divBdr>
                    <w:top w:val="none" w:sz="0" w:space="0" w:color="auto"/>
                    <w:left w:val="none" w:sz="0" w:space="0" w:color="auto"/>
                    <w:bottom w:val="none" w:sz="0" w:space="0" w:color="auto"/>
                    <w:right w:val="none" w:sz="0" w:space="0" w:color="auto"/>
                  </w:divBdr>
                  <w:divsChild>
                    <w:div w:id="313072638">
                      <w:marLeft w:val="0"/>
                      <w:marRight w:val="0"/>
                      <w:marTop w:val="0"/>
                      <w:marBottom w:val="0"/>
                      <w:divBdr>
                        <w:top w:val="none" w:sz="0" w:space="0" w:color="auto"/>
                        <w:left w:val="none" w:sz="0" w:space="0" w:color="auto"/>
                        <w:bottom w:val="none" w:sz="0" w:space="0" w:color="auto"/>
                        <w:right w:val="none" w:sz="0" w:space="0" w:color="auto"/>
                      </w:divBdr>
                    </w:div>
                  </w:divsChild>
                </w:div>
                <w:div w:id="1831748403">
                  <w:marLeft w:val="0"/>
                  <w:marRight w:val="0"/>
                  <w:marTop w:val="0"/>
                  <w:marBottom w:val="0"/>
                  <w:divBdr>
                    <w:top w:val="none" w:sz="0" w:space="0" w:color="auto"/>
                    <w:left w:val="none" w:sz="0" w:space="0" w:color="auto"/>
                    <w:bottom w:val="none" w:sz="0" w:space="0" w:color="auto"/>
                    <w:right w:val="none" w:sz="0" w:space="0" w:color="auto"/>
                  </w:divBdr>
                  <w:divsChild>
                    <w:div w:id="1178957695">
                      <w:marLeft w:val="0"/>
                      <w:marRight w:val="0"/>
                      <w:marTop w:val="0"/>
                      <w:marBottom w:val="0"/>
                      <w:divBdr>
                        <w:top w:val="none" w:sz="0" w:space="0" w:color="auto"/>
                        <w:left w:val="none" w:sz="0" w:space="0" w:color="auto"/>
                        <w:bottom w:val="none" w:sz="0" w:space="0" w:color="auto"/>
                        <w:right w:val="none" w:sz="0" w:space="0" w:color="auto"/>
                      </w:divBdr>
                    </w:div>
                  </w:divsChild>
                </w:div>
                <w:div w:id="1844971180">
                  <w:marLeft w:val="0"/>
                  <w:marRight w:val="0"/>
                  <w:marTop w:val="0"/>
                  <w:marBottom w:val="0"/>
                  <w:divBdr>
                    <w:top w:val="none" w:sz="0" w:space="0" w:color="auto"/>
                    <w:left w:val="none" w:sz="0" w:space="0" w:color="auto"/>
                    <w:bottom w:val="none" w:sz="0" w:space="0" w:color="auto"/>
                    <w:right w:val="none" w:sz="0" w:space="0" w:color="auto"/>
                  </w:divBdr>
                  <w:divsChild>
                    <w:div w:id="371005548">
                      <w:marLeft w:val="0"/>
                      <w:marRight w:val="0"/>
                      <w:marTop w:val="0"/>
                      <w:marBottom w:val="0"/>
                      <w:divBdr>
                        <w:top w:val="none" w:sz="0" w:space="0" w:color="auto"/>
                        <w:left w:val="none" w:sz="0" w:space="0" w:color="auto"/>
                        <w:bottom w:val="none" w:sz="0" w:space="0" w:color="auto"/>
                        <w:right w:val="none" w:sz="0" w:space="0" w:color="auto"/>
                      </w:divBdr>
                    </w:div>
                  </w:divsChild>
                </w:div>
                <w:div w:id="1847599076">
                  <w:marLeft w:val="0"/>
                  <w:marRight w:val="0"/>
                  <w:marTop w:val="0"/>
                  <w:marBottom w:val="0"/>
                  <w:divBdr>
                    <w:top w:val="none" w:sz="0" w:space="0" w:color="auto"/>
                    <w:left w:val="none" w:sz="0" w:space="0" w:color="auto"/>
                    <w:bottom w:val="none" w:sz="0" w:space="0" w:color="auto"/>
                    <w:right w:val="none" w:sz="0" w:space="0" w:color="auto"/>
                  </w:divBdr>
                  <w:divsChild>
                    <w:div w:id="1528910640">
                      <w:marLeft w:val="0"/>
                      <w:marRight w:val="0"/>
                      <w:marTop w:val="0"/>
                      <w:marBottom w:val="0"/>
                      <w:divBdr>
                        <w:top w:val="none" w:sz="0" w:space="0" w:color="auto"/>
                        <w:left w:val="none" w:sz="0" w:space="0" w:color="auto"/>
                        <w:bottom w:val="none" w:sz="0" w:space="0" w:color="auto"/>
                        <w:right w:val="none" w:sz="0" w:space="0" w:color="auto"/>
                      </w:divBdr>
                    </w:div>
                  </w:divsChild>
                </w:div>
                <w:div w:id="1867137056">
                  <w:marLeft w:val="0"/>
                  <w:marRight w:val="0"/>
                  <w:marTop w:val="0"/>
                  <w:marBottom w:val="0"/>
                  <w:divBdr>
                    <w:top w:val="none" w:sz="0" w:space="0" w:color="auto"/>
                    <w:left w:val="none" w:sz="0" w:space="0" w:color="auto"/>
                    <w:bottom w:val="none" w:sz="0" w:space="0" w:color="auto"/>
                    <w:right w:val="none" w:sz="0" w:space="0" w:color="auto"/>
                  </w:divBdr>
                  <w:divsChild>
                    <w:div w:id="2042318289">
                      <w:marLeft w:val="0"/>
                      <w:marRight w:val="0"/>
                      <w:marTop w:val="0"/>
                      <w:marBottom w:val="0"/>
                      <w:divBdr>
                        <w:top w:val="none" w:sz="0" w:space="0" w:color="auto"/>
                        <w:left w:val="none" w:sz="0" w:space="0" w:color="auto"/>
                        <w:bottom w:val="none" w:sz="0" w:space="0" w:color="auto"/>
                        <w:right w:val="none" w:sz="0" w:space="0" w:color="auto"/>
                      </w:divBdr>
                    </w:div>
                  </w:divsChild>
                </w:div>
                <w:div w:id="1899591624">
                  <w:marLeft w:val="0"/>
                  <w:marRight w:val="0"/>
                  <w:marTop w:val="0"/>
                  <w:marBottom w:val="0"/>
                  <w:divBdr>
                    <w:top w:val="none" w:sz="0" w:space="0" w:color="auto"/>
                    <w:left w:val="none" w:sz="0" w:space="0" w:color="auto"/>
                    <w:bottom w:val="none" w:sz="0" w:space="0" w:color="auto"/>
                    <w:right w:val="none" w:sz="0" w:space="0" w:color="auto"/>
                  </w:divBdr>
                  <w:divsChild>
                    <w:div w:id="233273375">
                      <w:marLeft w:val="0"/>
                      <w:marRight w:val="0"/>
                      <w:marTop w:val="0"/>
                      <w:marBottom w:val="0"/>
                      <w:divBdr>
                        <w:top w:val="none" w:sz="0" w:space="0" w:color="auto"/>
                        <w:left w:val="none" w:sz="0" w:space="0" w:color="auto"/>
                        <w:bottom w:val="none" w:sz="0" w:space="0" w:color="auto"/>
                        <w:right w:val="none" w:sz="0" w:space="0" w:color="auto"/>
                      </w:divBdr>
                    </w:div>
                  </w:divsChild>
                </w:div>
                <w:div w:id="1917591658">
                  <w:marLeft w:val="0"/>
                  <w:marRight w:val="0"/>
                  <w:marTop w:val="0"/>
                  <w:marBottom w:val="0"/>
                  <w:divBdr>
                    <w:top w:val="none" w:sz="0" w:space="0" w:color="auto"/>
                    <w:left w:val="none" w:sz="0" w:space="0" w:color="auto"/>
                    <w:bottom w:val="none" w:sz="0" w:space="0" w:color="auto"/>
                    <w:right w:val="none" w:sz="0" w:space="0" w:color="auto"/>
                  </w:divBdr>
                  <w:divsChild>
                    <w:div w:id="198711234">
                      <w:marLeft w:val="0"/>
                      <w:marRight w:val="0"/>
                      <w:marTop w:val="0"/>
                      <w:marBottom w:val="0"/>
                      <w:divBdr>
                        <w:top w:val="none" w:sz="0" w:space="0" w:color="auto"/>
                        <w:left w:val="none" w:sz="0" w:space="0" w:color="auto"/>
                        <w:bottom w:val="none" w:sz="0" w:space="0" w:color="auto"/>
                        <w:right w:val="none" w:sz="0" w:space="0" w:color="auto"/>
                      </w:divBdr>
                    </w:div>
                  </w:divsChild>
                </w:div>
                <w:div w:id="1928726326">
                  <w:marLeft w:val="0"/>
                  <w:marRight w:val="0"/>
                  <w:marTop w:val="0"/>
                  <w:marBottom w:val="0"/>
                  <w:divBdr>
                    <w:top w:val="none" w:sz="0" w:space="0" w:color="auto"/>
                    <w:left w:val="none" w:sz="0" w:space="0" w:color="auto"/>
                    <w:bottom w:val="none" w:sz="0" w:space="0" w:color="auto"/>
                    <w:right w:val="none" w:sz="0" w:space="0" w:color="auto"/>
                  </w:divBdr>
                  <w:divsChild>
                    <w:div w:id="1455756499">
                      <w:marLeft w:val="0"/>
                      <w:marRight w:val="0"/>
                      <w:marTop w:val="0"/>
                      <w:marBottom w:val="0"/>
                      <w:divBdr>
                        <w:top w:val="none" w:sz="0" w:space="0" w:color="auto"/>
                        <w:left w:val="none" w:sz="0" w:space="0" w:color="auto"/>
                        <w:bottom w:val="none" w:sz="0" w:space="0" w:color="auto"/>
                        <w:right w:val="none" w:sz="0" w:space="0" w:color="auto"/>
                      </w:divBdr>
                    </w:div>
                  </w:divsChild>
                </w:div>
                <w:div w:id="1962414838">
                  <w:marLeft w:val="0"/>
                  <w:marRight w:val="0"/>
                  <w:marTop w:val="0"/>
                  <w:marBottom w:val="0"/>
                  <w:divBdr>
                    <w:top w:val="none" w:sz="0" w:space="0" w:color="auto"/>
                    <w:left w:val="none" w:sz="0" w:space="0" w:color="auto"/>
                    <w:bottom w:val="none" w:sz="0" w:space="0" w:color="auto"/>
                    <w:right w:val="none" w:sz="0" w:space="0" w:color="auto"/>
                  </w:divBdr>
                  <w:divsChild>
                    <w:div w:id="1887570217">
                      <w:marLeft w:val="0"/>
                      <w:marRight w:val="0"/>
                      <w:marTop w:val="0"/>
                      <w:marBottom w:val="0"/>
                      <w:divBdr>
                        <w:top w:val="none" w:sz="0" w:space="0" w:color="auto"/>
                        <w:left w:val="none" w:sz="0" w:space="0" w:color="auto"/>
                        <w:bottom w:val="none" w:sz="0" w:space="0" w:color="auto"/>
                        <w:right w:val="none" w:sz="0" w:space="0" w:color="auto"/>
                      </w:divBdr>
                    </w:div>
                  </w:divsChild>
                </w:div>
                <w:div w:id="2045054876">
                  <w:marLeft w:val="0"/>
                  <w:marRight w:val="0"/>
                  <w:marTop w:val="0"/>
                  <w:marBottom w:val="0"/>
                  <w:divBdr>
                    <w:top w:val="none" w:sz="0" w:space="0" w:color="auto"/>
                    <w:left w:val="none" w:sz="0" w:space="0" w:color="auto"/>
                    <w:bottom w:val="none" w:sz="0" w:space="0" w:color="auto"/>
                    <w:right w:val="none" w:sz="0" w:space="0" w:color="auto"/>
                  </w:divBdr>
                  <w:divsChild>
                    <w:div w:id="522405462">
                      <w:marLeft w:val="0"/>
                      <w:marRight w:val="0"/>
                      <w:marTop w:val="0"/>
                      <w:marBottom w:val="0"/>
                      <w:divBdr>
                        <w:top w:val="none" w:sz="0" w:space="0" w:color="auto"/>
                        <w:left w:val="none" w:sz="0" w:space="0" w:color="auto"/>
                        <w:bottom w:val="none" w:sz="0" w:space="0" w:color="auto"/>
                        <w:right w:val="none" w:sz="0" w:space="0" w:color="auto"/>
                      </w:divBdr>
                    </w:div>
                  </w:divsChild>
                </w:div>
                <w:div w:id="2046902356">
                  <w:marLeft w:val="0"/>
                  <w:marRight w:val="0"/>
                  <w:marTop w:val="0"/>
                  <w:marBottom w:val="0"/>
                  <w:divBdr>
                    <w:top w:val="none" w:sz="0" w:space="0" w:color="auto"/>
                    <w:left w:val="none" w:sz="0" w:space="0" w:color="auto"/>
                    <w:bottom w:val="none" w:sz="0" w:space="0" w:color="auto"/>
                    <w:right w:val="none" w:sz="0" w:space="0" w:color="auto"/>
                  </w:divBdr>
                  <w:divsChild>
                    <w:div w:id="339820855">
                      <w:marLeft w:val="0"/>
                      <w:marRight w:val="0"/>
                      <w:marTop w:val="0"/>
                      <w:marBottom w:val="0"/>
                      <w:divBdr>
                        <w:top w:val="none" w:sz="0" w:space="0" w:color="auto"/>
                        <w:left w:val="none" w:sz="0" w:space="0" w:color="auto"/>
                        <w:bottom w:val="none" w:sz="0" w:space="0" w:color="auto"/>
                        <w:right w:val="none" w:sz="0" w:space="0" w:color="auto"/>
                      </w:divBdr>
                    </w:div>
                  </w:divsChild>
                </w:div>
                <w:div w:id="2049908942">
                  <w:marLeft w:val="0"/>
                  <w:marRight w:val="0"/>
                  <w:marTop w:val="0"/>
                  <w:marBottom w:val="0"/>
                  <w:divBdr>
                    <w:top w:val="none" w:sz="0" w:space="0" w:color="auto"/>
                    <w:left w:val="none" w:sz="0" w:space="0" w:color="auto"/>
                    <w:bottom w:val="none" w:sz="0" w:space="0" w:color="auto"/>
                    <w:right w:val="none" w:sz="0" w:space="0" w:color="auto"/>
                  </w:divBdr>
                  <w:divsChild>
                    <w:div w:id="793712721">
                      <w:marLeft w:val="0"/>
                      <w:marRight w:val="0"/>
                      <w:marTop w:val="0"/>
                      <w:marBottom w:val="0"/>
                      <w:divBdr>
                        <w:top w:val="none" w:sz="0" w:space="0" w:color="auto"/>
                        <w:left w:val="none" w:sz="0" w:space="0" w:color="auto"/>
                        <w:bottom w:val="none" w:sz="0" w:space="0" w:color="auto"/>
                        <w:right w:val="none" w:sz="0" w:space="0" w:color="auto"/>
                      </w:divBdr>
                    </w:div>
                  </w:divsChild>
                </w:div>
                <w:div w:id="2057731678">
                  <w:marLeft w:val="0"/>
                  <w:marRight w:val="0"/>
                  <w:marTop w:val="0"/>
                  <w:marBottom w:val="0"/>
                  <w:divBdr>
                    <w:top w:val="none" w:sz="0" w:space="0" w:color="auto"/>
                    <w:left w:val="none" w:sz="0" w:space="0" w:color="auto"/>
                    <w:bottom w:val="none" w:sz="0" w:space="0" w:color="auto"/>
                    <w:right w:val="none" w:sz="0" w:space="0" w:color="auto"/>
                  </w:divBdr>
                  <w:divsChild>
                    <w:div w:id="176971809">
                      <w:marLeft w:val="0"/>
                      <w:marRight w:val="0"/>
                      <w:marTop w:val="0"/>
                      <w:marBottom w:val="0"/>
                      <w:divBdr>
                        <w:top w:val="none" w:sz="0" w:space="0" w:color="auto"/>
                        <w:left w:val="none" w:sz="0" w:space="0" w:color="auto"/>
                        <w:bottom w:val="none" w:sz="0" w:space="0" w:color="auto"/>
                        <w:right w:val="none" w:sz="0" w:space="0" w:color="auto"/>
                      </w:divBdr>
                    </w:div>
                  </w:divsChild>
                </w:div>
                <w:div w:id="2069260104">
                  <w:marLeft w:val="0"/>
                  <w:marRight w:val="0"/>
                  <w:marTop w:val="0"/>
                  <w:marBottom w:val="0"/>
                  <w:divBdr>
                    <w:top w:val="none" w:sz="0" w:space="0" w:color="auto"/>
                    <w:left w:val="none" w:sz="0" w:space="0" w:color="auto"/>
                    <w:bottom w:val="none" w:sz="0" w:space="0" w:color="auto"/>
                    <w:right w:val="none" w:sz="0" w:space="0" w:color="auto"/>
                  </w:divBdr>
                  <w:divsChild>
                    <w:div w:id="815955279">
                      <w:marLeft w:val="0"/>
                      <w:marRight w:val="0"/>
                      <w:marTop w:val="0"/>
                      <w:marBottom w:val="0"/>
                      <w:divBdr>
                        <w:top w:val="none" w:sz="0" w:space="0" w:color="auto"/>
                        <w:left w:val="none" w:sz="0" w:space="0" w:color="auto"/>
                        <w:bottom w:val="none" w:sz="0" w:space="0" w:color="auto"/>
                        <w:right w:val="none" w:sz="0" w:space="0" w:color="auto"/>
                      </w:divBdr>
                    </w:div>
                  </w:divsChild>
                </w:div>
                <w:div w:id="2074041630">
                  <w:marLeft w:val="0"/>
                  <w:marRight w:val="0"/>
                  <w:marTop w:val="0"/>
                  <w:marBottom w:val="0"/>
                  <w:divBdr>
                    <w:top w:val="none" w:sz="0" w:space="0" w:color="auto"/>
                    <w:left w:val="none" w:sz="0" w:space="0" w:color="auto"/>
                    <w:bottom w:val="none" w:sz="0" w:space="0" w:color="auto"/>
                    <w:right w:val="none" w:sz="0" w:space="0" w:color="auto"/>
                  </w:divBdr>
                  <w:divsChild>
                    <w:div w:id="1011833192">
                      <w:marLeft w:val="0"/>
                      <w:marRight w:val="0"/>
                      <w:marTop w:val="0"/>
                      <w:marBottom w:val="0"/>
                      <w:divBdr>
                        <w:top w:val="none" w:sz="0" w:space="0" w:color="auto"/>
                        <w:left w:val="none" w:sz="0" w:space="0" w:color="auto"/>
                        <w:bottom w:val="none" w:sz="0" w:space="0" w:color="auto"/>
                        <w:right w:val="none" w:sz="0" w:space="0" w:color="auto"/>
                      </w:divBdr>
                    </w:div>
                  </w:divsChild>
                </w:div>
                <w:div w:id="2107266313">
                  <w:marLeft w:val="0"/>
                  <w:marRight w:val="0"/>
                  <w:marTop w:val="0"/>
                  <w:marBottom w:val="0"/>
                  <w:divBdr>
                    <w:top w:val="none" w:sz="0" w:space="0" w:color="auto"/>
                    <w:left w:val="none" w:sz="0" w:space="0" w:color="auto"/>
                    <w:bottom w:val="none" w:sz="0" w:space="0" w:color="auto"/>
                    <w:right w:val="none" w:sz="0" w:space="0" w:color="auto"/>
                  </w:divBdr>
                  <w:divsChild>
                    <w:div w:id="93939709">
                      <w:marLeft w:val="0"/>
                      <w:marRight w:val="0"/>
                      <w:marTop w:val="0"/>
                      <w:marBottom w:val="0"/>
                      <w:divBdr>
                        <w:top w:val="none" w:sz="0" w:space="0" w:color="auto"/>
                        <w:left w:val="none" w:sz="0" w:space="0" w:color="auto"/>
                        <w:bottom w:val="none" w:sz="0" w:space="0" w:color="auto"/>
                        <w:right w:val="none" w:sz="0" w:space="0" w:color="auto"/>
                      </w:divBdr>
                    </w:div>
                  </w:divsChild>
                </w:div>
                <w:div w:id="2126070773">
                  <w:marLeft w:val="0"/>
                  <w:marRight w:val="0"/>
                  <w:marTop w:val="0"/>
                  <w:marBottom w:val="0"/>
                  <w:divBdr>
                    <w:top w:val="none" w:sz="0" w:space="0" w:color="auto"/>
                    <w:left w:val="none" w:sz="0" w:space="0" w:color="auto"/>
                    <w:bottom w:val="none" w:sz="0" w:space="0" w:color="auto"/>
                    <w:right w:val="none" w:sz="0" w:space="0" w:color="auto"/>
                  </w:divBdr>
                  <w:divsChild>
                    <w:div w:id="1073315485">
                      <w:marLeft w:val="0"/>
                      <w:marRight w:val="0"/>
                      <w:marTop w:val="0"/>
                      <w:marBottom w:val="0"/>
                      <w:divBdr>
                        <w:top w:val="none" w:sz="0" w:space="0" w:color="auto"/>
                        <w:left w:val="none" w:sz="0" w:space="0" w:color="auto"/>
                        <w:bottom w:val="none" w:sz="0" w:space="0" w:color="auto"/>
                        <w:right w:val="none" w:sz="0" w:space="0" w:color="auto"/>
                      </w:divBdr>
                    </w:div>
                  </w:divsChild>
                </w:div>
                <w:div w:id="2133356012">
                  <w:marLeft w:val="0"/>
                  <w:marRight w:val="0"/>
                  <w:marTop w:val="0"/>
                  <w:marBottom w:val="0"/>
                  <w:divBdr>
                    <w:top w:val="none" w:sz="0" w:space="0" w:color="auto"/>
                    <w:left w:val="none" w:sz="0" w:space="0" w:color="auto"/>
                    <w:bottom w:val="none" w:sz="0" w:space="0" w:color="auto"/>
                    <w:right w:val="none" w:sz="0" w:space="0" w:color="auto"/>
                  </w:divBdr>
                  <w:divsChild>
                    <w:div w:id="1160273790">
                      <w:marLeft w:val="0"/>
                      <w:marRight w:val="0"/>
                      <w:marTop w:val="0"/>
                      <w:marBottom w:val="0"/>
                      <w:divBdr>
                        <w:top w:val="none" w:sz="0" w:space="0" w:color="auto"/>
                        <w:left w:val="none" w:sz="0" w:space="0" w:color="auto"/>
                        <w:bottom w:val="none" w:sz="0" w:space="0" w:color="auto"/>
                        <w:right w:val="none" w:sz="0" w:space="0" w:color="auto"/>
                      </w:divBdr>
                    </w:div>
                  </w:divsChild>
                </w:div>
                <w:div w:id="2133939882">
                  <w:marLeft w:val="0"/>
                  <w:marRight w:val="0"/>
                  <w:marTop w:val="0"/>
                  <w:marBottom w:val="0"/>
                  <w:divBdr>
                    <w:top w:val="none" w:sz="0" w:space="0" w:color="auto"/>
                    <w:left w:val="none" w:sz="0" w:space="0" w:color="auto"/>
                    <w:bottom w:val="none" w:sz="0" w:space="0" w:color="auto"/>
                    <w:right w:val="none" w:sz="0" w:space="0" w:color="auto"/>
                  </w:divBdr>
                  <w:divsChild>
                    <w:div w:id="1191379454">
                      <w:marLeft w:val="0"/>
                      <w:marRight w:val="0"/>
                      <w:marTop w:val="0"/>
                      <w:marBottom w:val="0"/>
                      <w:divBdr>
                        <w:top w:val="none" w:sz="0" w:space="0" w:color="auto"/>
                        <w:left w:val="none" w:sz="0" w:space="0" w:color="auto"/>
                        <w:bottom w:val="none" w:sz="0" w:space="0" w:color="auto"/>
                        <w:right w:val="none" w:sz="0" w:space="0" w:color="auto"/>
                      </w:divBdr>
                    </w:div>
                  </w:divsChild>
                </w:div>
                <w:div w:id="2137336445">
                  <w:marLeft w:val="0"/>
                  <w:marRight w:val="0"/>
                  <w:marTop w:val="0"/>
                  <w:marBottom w:val="0"/>
                  <w:divBdr>
                    <w:top w:val="none" w:sz="0" w:space="0" w:color="auto"/>
                    <w:left w:val="none" w:sz="0" w:space="0" w:color="auto"/>
                    <w:bottom w:val="none" w:sz="0" w:space="0" w:color="auto"/>
                    <w:right w:val="none" w:sz="0" w:space="0" w:color="auto"/>
                  </w:divBdr>
                  <w:divsChild>
                    <w:div w:id="111438171">
                      <w:marLeft w:val="0"/>
                      <w:marRight w:val="0"/>
                      <w:marTop w:val="0"/>
                      <w:marBottom w:val="0"/>
                      <w:divBdr>
                        <w:top w:val="none" w:sz="0" w:space="0" w:color="auto"/>
                        <w:left w:val="none" w:sz="0" w:space="0" w:color="auto"/>
                        <w:bottom w:val="none" w:sz="0" w:space="0" w:color="auto"/>
                        <w:right w:val="none" w:sz="0" w:space="0" w:color="auto"/>
                      </w:divBdr>
                    </w:div>
                  </w:divsChild>
                </w:div>
                <w:div w:id="2143689437">
                  <w:marLeft w:val="0"/>
                  <w:marRight w:val="0"/>
                  <w:marTop w:val="0"/>
                  <w:marBottom w:val="0"/>
                  <w:divBdr>
                    <w:top w:val="none" w:sz="0" w:space="0" w:color="auto"/>
                    <w:left w:val="none" w:sz="0" w:space="0" w:color="auto"/>
                    <w:bottom w:val="none" w:sz="0" w:space="0" w:color="auto"/>
                    <w:right w:val="none" w:sz="0" w:space="0" w:color="auto"/>
                  </w:divBdr>
                  <w:divsChild>
                    <w:div w:id="90199753">
                      <w:marLeft w:val="0"/>
                      <w:marRight w:val="0"/>
                      <w:marTop w:val="0"/>
                      <w:marBottom w:val="0"/>
                      <w:divBdr>
                        <w:top w:val="none" w:sz="0" w:space="0" w:color="auto"/>
                        <w:left w:val="none" w:sz="0" w:space="0" w:color="auto"/>
                        <w:bottom w:val="none" w:sz="0" w:space="0" w:color="auto"/>
                        <w:right w:val="none" w:sz="0" w:space="0" w:color="auto"/>
                      </w:divBdr>
                    </w:div>
                    <w:div w:id="171529448">
                      <w:marLeft w:val="0"/>
                      <w:marRight w:val="0"/>
                      <w:marTop w:val="0"/>
                      <w:marBottom w:val="0"/>
                      <w:divBdr>
                        <w:top w:val="none" w:sz="0" w:space="0" w:color="auto"/>
                        <w:left w:val="none" w:sz="0" w:space="0" w:color="auto"/>
                        <w:bottom w:val="none" w:sz="0" w:space="0" w:color="auto"/>
                        <w:right w:val="none" w:sz="0" w:space="0" w:color="auto"/>
                      </w:divBdr>
                    </w:div>
                    <w:div w:id="270599385">
                      <w:marLeft w:val="0"/>
                      <w:marRight w:val="0"/>
                      <w:marTop w:val="0"/>
                      <w:marBottom w:val="0"/>
                      <w:divBdr>
                        <w:top w:val="none" w:sz="0" w:space="0" w:color="auto"/>
                        <w:left w:val="none" w:sz="0" w:space="0" w:color="auto"/>
                        <w:bottom w:val="none" w:sz="0" w:space="0" w:color="auto"/>
                        <w:right w:val="none" w:sz="0" w:space="0" w:color="auto"/>
                      </w:divBdr>
                    </w:div>
                    <w:div w:id="1547179490">
                      <w:marLeft w:val="0"/>
                      <w:marRight w:val="0"/>
                      <w:marTop w:val="0"/>
                      <w:marBottom w:val="0"/>
                      <w:divBdr>
                        <w:top w:val="none" w:sz="0" w:space="0" w:color="auto"/>
                        <w:left w:val="none" w:sz="0" w:space="0" w:color="auto"/>
                        <w:bottom w:val="none" w:sz="0" w:space="0" w:color="auto"/>
                        <w:right w:val="none" w:sz="0" w:space="0" w:color="auto"/>
                      </w:divBdr>
                    </w:div>
                    <w:div w:id="1600986905">
                      <w:marLeft w:val="0"/>
                      <w:marRight w:val="0"/>
                      <w:marTop w:val="0"/>
                      <w:marBottom w:val="0"/>
                      <w:divBdr>
                        <w:top w:val="none" w:sz="0" w:space="0" w:color="auto"/>
                        <w:left w:val="none" w:sz="0" w:space="0" w:color="auto"/>
                        <w:bottom w:val="none" w:sz="0" w:space="0" w:color="auto"/>
                        <w:right w:val="none" w:sz="0" w:space="0" w:color="auto"/>
                      </w:divBdr>
                    </w:div>
                    <w:div w:id="1883319438">
                      <w:marLeft w:val="0"/>
                      <w:marRight w:val="0"/>
                      <w:marTop w:val="0"/>
                      <w:marBottom w:val="0"/>
                      <w:divBdr>
                        <w:top w:val="none" w:sz="0" w:space="0" w:color="auto"/>
                        <w:left w:val="none" w:sz="0" w:space="0" w:color="auto"/>
                        <w:bottom w:val="none" w:sz="0" w:space="0" w:color="auto"/>
                        <w:right w:val="none" w:sz="0" w:space="0" w:color="auto"/>
                      </w:divBdr>
                    </w:div>
                    <w:div w:id="20165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480255">
      <w:bodyDiv w:val="1"/>
      <w:marLeft w:val="0"/>
      <w:marRight w:val="0"/>
      <w:marTop w:val="0"/>
      <w:marBottom w:val="0"/>
      <w:divBdr>
        <w:top w:val="none" w:sz="0" w:space="0" w:color="auto"/>
        <w:left w:val="none" w:sz="0" w:space="0" w:color="auto"/>
        <w:bottom w:val="none" w:sz="0" w:space="0" w:color="auto"/>
        <w:right w:val="none" w:sz="0" w:space="0" w:color="auto"/>
      </w:divBdr>
    </w:div>
    <w:div w:id="768162639">
      <w:bodyDiv w:val="1"/>
      <w:marLeft w:val="0"/>
      <w:marRight w:val="0"/>
      <w:marTop w:val="0"/>
      <w:marBottom w:val="0"/>
      <w:divBdr>
        <w:top w:val="none" w:sz="0" w:space="0" w:color="auto"/>
        <w:left w:val="none" w:sz="0" w:space="0" w:color="auto"/>
        <w:bottom w:val="none" w:sz="0" w:space="0" w:color="auto"/>
        <w:right w:val="none" w:sz="0" w:space="0" w:color="auto"/>
      </w:divBdr>
    </w:div>
    <w:div w:id="784035518">
      <w:bodyDiv w:val="1"/>
      <w:marLeft w:val="0"/>
      <w:marRight w:val="0"/>
      <w:marTop w:val="0"/>
      <w:marBottom w:val="0"/>
      <w:divBdr>
        <w:top w:val="none" w:sz="0" w:space="0" w:color="auto"/>
        <w:left w:val="none" w:sz="0" w:space="0" w:color="auto"/>
        <w:bottom w:val="none" w:sz="0" w:space="0" w:color="auto"/>
        <w:right w:val="none" w:sz="0" w:space="0" w:color="auto"/>
      </w:divBdr>
      <w:divsChild>
        <w:div w:id="1426657657">
          <w:marLeft w:val="0"/>
          <w:marRight w:val="0"/>
          <w:marTop w:val="0"/>
          <w:marBottom w:val="0"/>
          <w:divBdr>
            <w:top w:val="none" w:sz="0" w:space="0" w:color="auto"/>
            <w:left w:val="none" w:sz="0" w:space="0" w:color="auto"/>
            <w:bottom w:val="none" w:sz="0" w:space="0" w:color="auto"/>
            <w:right w:val="none" w:sz="0" w:space="0" w:color="auto"/>
          </w:divBdr>
          <w:divsChild>
            <w:div w:id="40370207">
              <w:marLeft w:val="0"/>
              <w:marRight w:val="0"/>
              <w:marTop w:val="0"/>
              <w:marBottom w:val="0"/>
              <w:divBdr>
                <w:top w:val="none" w:sz="0" w:space="0" w:color="auto"/>
                <w:left w:val="none" w:sz="0" w:space="0" w:color="auto"/>
                <w:bottom w:val="none" w:sz="0" w:space="0" w:color="auto"/>
                <w:right w:val="none" w:sz="0" w:space="0" w:color="auto"/>
              </w:divBdr>
            </w:div>
            <w:div w:id="264923212">
              <w:marLeft w:val="0"/>
              <w:marRight w:val="0"/>
              <w:marTop w:val="0"/>
              <w:marBottom w:val="0"/>
              <w:divBdr>
                <w:top w:val="none" w:sz="0" w:space="0" w:color="auto"/>
                <w:left w:val="none" w:sz="0" w:space="0" w:color="auto"/>
                <w:bottom w:val="none" w:sz="0" w:space="0" w:color="auto"/>
                <w:right w:val="none" w:sz="0" w:space="0" w:color="auto"/>
              </w:divBdr>
            </w:div>
            <w:div w:id="334957638">
              <w:marLeft w:val="0"/>
              <w:marRight w:val="0"/>
              <w:marTop w:val="0"/>
              <w:marBottom w:val="0"/>
              <w:divBdr>
                <w:top w:val="none" w:sz="0" w:space="0" w:color="auto"/>
                <w:left w:val="none" w:sz="0" w:space="0" w:color="auto"/>
                <w:bottom w:val="none" w:sz="0" w:space="0" w:color="auto"/>
                <w:right w:val="none" w:sz="0" w:space="0" w:color="auto"/>
              </w:divBdr>
            </w:div>
            <w:div w:id="399716084">
              <w:marLeft w:val="0"/>
              <w:marRight w:val="0"/>
              <w:marTop w:val="0"/>
              <w:marBottom w:val="0"/>
              <w:divBdr>
                <w:top w:val="none" w:sz="0" w:space="0" w:color="auto"/>
                <w:left w:val="none" w:sz="0" w:space="0" w:color="auto"/>
                <w:bottom w:val="none" w:sz="0" w:space="0" w:color="auto"/>
                <w:right w:val="none" w:sz="0" w:space="0" w:color="auto"/>
              </w:divBdr>
            </w:div>
            <w:div w:id="467015915">
              <w:marLeft w:val="0"/>
              <w:marRight w:val="0"/>
              <w:marTop w:val="0"/>
              <w:marBottom w:val="0"/>
              <w:divBdr>
                <w:top w:val="none" w:sz="0" w:space="0" w:color="auto"/>
                <w:left w:val="none" w:sz="0" w:space="0" w:color="auto"/>
                <w:bottom w:val="none" w:sz="0" w:space="0" w:color="auto"/>
                <w:right w:val="none" w:sz="0" w:space="0" w:color="auto"/>
              </w:divBdr>
            </w:div>
            <w:div w:id="714164797">
              <w:marLeft w:val="0"/>
              <w:marRight w:val="0"/>
              <w:marTop w:val="0"/>
              <w:marBottom w:val="0"/>
              <w:divBdr>
                <w:top w:val="none" w:sz="0" w:space="0" w:color="auto"/>
                <w:left w:val="none" w:sz="0" w:space="0" w:color="auto"/>
                <w:bottom w:val="none" w:sz="0" w:space="0" w:color="auto"/>
                <w:right w:val="none" w:sz="0" w:space="0" w:color="auto"/>
              </w:divBdr>
            </w:div>
            <w:div w:id="750397104">
              <w:marLeft w:val="0"/>
              <w:marRight w:val="0"/>
              <w:marTop w:val="0"/>
              <w:marBottom w:val="0"/>
              <w:divBdr>
                <w:top w:val="none" w:sz="0" w:space="0" w:color="auto"/>
                <w:left w:val="none" w:sz="0" w:space="0" w:color="auto"/>
                <w:bottom w:val="none" w:sz="0" w:space="0" w:color="auto"/>
                <w:right w:val="none" w:sz="0" w:space="0" w:color="auto"/>
              </w:divBdr>
            </w:div>
            <w:div w:id="873812017">
              <w:marLeft w:val="0"/>
              <w:marRight w:val="0"/>
              <w:marTop w:val="0"/>
              <w:marBottom w:val="0"/>
              <w:divBdr>
                <w:top w:val="none" w:sz="0" w:space="0" w:color="auto"/>
                <w:left w:val="none" w:sz="0" w:space="0" w:color="auto"/>
                <w:bottom w:val="none" w:sz="0" w:space="0" w:color="auto"/>
                <w:right w:val="none" w:sz="0" w:space="0" w:color="auto"/>
              </w:divBdr>
            </w:div>
            <w:div w:id="902721251">
              <w:marLeft w:val="0"/>
              <w:marRight w:val="0"/>
              <w:marTop w:val="0"/>
              <w:marBottom w:val="0"/>
              <w:divBdr>
                <w:top w:val="none" w:sz="0" w:space="0" w:color="auto"/>
                <w:left w:val="none" w:sz="0" w:space="0" w:color="auto"/>
                <w:bottom w:val="none" w:sz="0" w:space="0" w:color="auto"/>
                <w:right w:val="none" w:sz="0" w:space="0" w:color="auto"/>
              </w:divBdr>
            </w:div>
            <w:div w:id="917055206">
              <w:marLeft w:val="0"/>
              <w:marRight w:val="0"/>
              <w:marTop w:val="0"/>
              <w:marBottom w:val="0"/>
              <w:divBdr>
                <w:top w:val="none" w:sz="0" w:space="0" w:color="auto"/>
                <w:left w:val="none" w:sz="0" w:space="0" w:color="auto"/>
                <w:bottom w:val="none" w:sz="0" w:space="0" w:color="auto"/>
                <w:right w:val="none" w:sz="0" w:space="0" w:color="auto"/>
              </w:divBdr>
            </w:div>
            <w:div w:id="928779243">
              <w:marLeft w:val="0"/>
              <w:marRight w:val="0"/>
              <w:marTop w:val="0"/>
              <w:marBottom w:val="0"/>
              <w:divBdr>
                <w:top w:val="none" w:sz="0" w:space="0" w:color="auto"/>
                <w:left w:val="none" w:sz="0" w:space="0" w:color="auto"/>
                <w:bottom w:val="none" w:sz="0" w:space="0" w:color="auto"/>
                <w:right w:val="none" w:sz="0" w:space="0" w:color="auto"/>
              </w:divBdr>
            </w:div>
            <w:div w:id="978269927">
              <w:marLeft w:val="0"/>
              <w:marRight w:val="0"/>
              <w:marTop w:val="0"/>
              <w:marBottom w:val="0"/>
              <w:divBdr>
                <w:top w:val="none" w:sz="0" w:space="0" w:color="auto"/>
                <w:left w:val="none" w:sz="0" w:space="0" w:color="auto"/>
                <w:bottom w:val="none" w:sz="0" w:space="0" w:color="auto"/>
                <w:right w:val="none" w:sz="0" w:space="0" w:color="auto"/>
              </w:divBdr>
            </w:div>
            <w:div w:id="1094546179">
              <w:marLeft w:val="0"/>
              <w:marRight w:val="0"/>
              <w:marTop w:val="0"/>
              <w:marBottom w:val="0"/>
              <w:divBdr>
                <w:top w:val="none" w:sz="0" w:space="0" w:color="auto"/>
                <w:left w:val="none" w:sz="0" w:space="0" w:color="auto"/>
                <w:bottom w:val="none" w:sz="0" w:space="0" w:color="auto"/>
                <w:right w:val="none" w:sz="0" w:space="0" w:color="auto"/>
              </w:divBdr>
            </w:div>
            <w:div w:id="1141265810">
              <w:marLeft w:val="0"/>
              <w:marRight w:val="0"/>
              <w:marTop w:val="0"/>
              <w:marBottom w:val="0"/>
              <w:divBdr>
                <w:top w:val="none" w:sz="0" w:space="0" w:color="auto"/>
                <w:left w:val="none" w:sz="0" w:space="0" w:color="auto"/>
                <w:bottom w:val="none" w:sz="0" w:space="0" w:color="auto"/>
                <w:right w:val="none" w:sz="0" w:space="0" w:color="auto"/>
              </w:divBdr>
            </w:div>
            <w:div w:id="1616062425">
              <w:marLeft w:val="0"/>
              <w:marRight w:val="0"/>
              <w:marTop w:val="0"/>
              <w:marBottom w:val="0"/>
              <w:divBdr>
                <w:top w:val="none" w:sz="0" w:space="0" w:color="auto"/>
                <w:left w:val="none" w:sz="0" w:space="0" w:color="auto"/>
                <w:bottom w:val="none" w:sz="0" w:space="0" w:color="auto"/>
                <w:right w:val="none" w:sz="0" w:space="0" w:color="auto"/>
              </w:divBdr>
            </w:div>
            <w:div w:id="1715496314">
              <w:marLeft w:val="0"/>
              <w:marRight w:val="0"/>
              <w:marTop w:val="0"/>
              <w:marBottom w:val="0"/>
              <w:divBdr>
                <w:top w:val="none" w:sz="0" w:space="0" w:color="auto"/>
                <w:left w:val="none" w:sz="0" w:space="0" w:color="auto"/>
                <w:bottom w:val="none" w:sz="0" w:space="0" w:color="auto"/>
                <w:right w:val="none" w:sz="0" w:space="0" w:color="auto"/>
              </w:divBdr>
            </w:div>
            <w:div w:id="1873954374">
              <w:marLeft w:val="0"/>
              <w:marRight w:val="0"/>
              <w:marTop w:val="0"/>
              <w:marBottom w:val="0"/>
              <w:divBdr>
                <w:top w:val="none" w:sz="0" w:space="0" w:color="auto"/>
                <w:left w:val="none" w:sz="0" w:space="0" w:color="auto"/>
                <w:bottom w:val="none" w:sz="0" w:space="0" w:color="auto"/>
                <w:right w:val="none" w:sz="0" w:space="0" w:color="auto"/>
              </w:divBdr>
            </w:div>
            <w:div w:id="1955742749">
              <w:marLeft w:val="0"/>
              <w:marRight w:val="0"/>
              <w:marTop w:val="0"/>
              <w:marBottom w:val="0"/>
              <w:divBdr>
                <w:top w:val="none" w:sz="0" w:space="0" w:color="auto"/>
                <w:left w:val="none" w:sz="0" w:space="0" w:color="auto"/>
                <w:bottom w:val="none" w:sz="0" w:space="0" w:color="auto"/>
                <w:right w:val="none" w:sz="0" w:space="0" w:color="auto"/>
              </w:divBdr>
            </w:div>
            <w:div w:id="2087217078">
              <w:marLeft w:val="0"/>
              <w:marRight w:val="0"/>
              <w:marTop w:val="0"/>
              <w:marBottom w:val="0"/>
              <w:divBdr>
                <w:top w:val="none" w:sz="0" w:space="0" w:color="auto"/>
                <w:left w:val="none" w:sz="0" w:space="0" w:color="auto"/>
                <w:bottom w:val="none" w:sz="0" w:space="0" w:color="auto"/>
                <w:right w:val="none" w:sz="0" w:space="0" w:color="auto"/>
              </w:divBdr>
            </w:div>
            <w:div w:id="2095128586">
              <w:marLeft w:val="0"/>
              <w:marRight w:val="0"/>
              <w:marTop w:val="0"/>
              <w:marBottom w:val="0"/>
              <w:divBdr>
                <w:top w:val="none" w:sz="0" w:space="0" w:color="auto"/>
                <w:left w:val="none" w:sz="0" w:space="0" w:color="auto"/>
                <w:bottom w:val="none" w:sz="0" w:space="0" w:color="auto"/>
                <w:right w:val="none" w:sz="0" w:space="0" w:color="auto"/>
              </w:divBdr>
            </w:div>
          </w:divsChild>
        </w:div>
        <w:div w:id="2111274591">
          <w:marLeft w:val="0"/>
          <w:marRight w:val="0"/>
          <w:marTop w:val="0"/>
          <w:marBottom w:val="0"/>
          <w:divBdr>
            <w:top w:val="none" w:sz="0" w:space="0" w:color="auto"/>
            <w:left w:val="none" w:sz="0" w:space="0" w:color="auto"/>
            <w:bottom w:val="none" w:sz="0" w:space="0" w:color="auto"/>
            <w:right w:val="none" w:sz="0" w:space="0" w:color="auto"/>
          </w:divBdr>
          <w:divsChild>
            <w:div w:id="218713229">
              <w:marLeft w:val="0"/>
              <w:marRight w:val="0"/>
              <w:marTop w:val="0"/>
              <w:marBottom w:val="0"/>
              <w:divBdr>
                <w:top w:val="none" w:sz="0" w:space="0" w:color="auto"/>
                <w:left w:val="none" w:sz="0" w:space="0" w:color="auto"/>
                <w:bottom w:val="none" w:sz="0" w:space="0" w:color="auto"/>
                <w:right w:val="none" w:sz="0" w:space="0" w:color="auto"/>
              </w:divBdr>
            </w:div>
            <w:div w:id="233708519">
              <w:marLeft w:val="0"/>
              <w:marRight w:val="0"/>
              <w:marTop w:val="0"/>
              <w:marBottom w:val="0"/>
              <w:divBdr>
                <w:top w:val="none" w:sz="0" w:space="0" w:color="auto"/>
                <w:left w:val="none" w:sz="0" w:space="0" w:color="auto"/>
                <w:bottom w:val="none" w:sz="0" w:space="0" w:color="auto"/>
                <w:right w:val="none" w:sz="0" w:space="0" w:color="auto"/>
              </w:divBdr>
            </w:div>
            <w:div w:id="258174764">
              <w:marLeft w:val="0"/>
              <w:marRight w:val="0"/>
              <w:marTop w:val="0"/>
              <w:marBottom w:val="0"/>
              <w:divBdr>
                <w:top w:val="none" w:sz="0" w:space="0" w:color="auto"/>
                <w:left w:val="none" w:sz="0" w:space="0" w:color="auto"/>
                <w:bottom w:val="none" w:sz="0" w:space="0" w:color="auto"/>
                <w:right w:val="none" w:sz="0" w:space="0" w:color="auto"/>
              </w:divBdr>
            </w:div>
            <w:div w:id="364446890">
              <w:marLeft w:val="0"/>
              <w:marRight w:val="0"/>
              <w:marTop w:val="0"/>
              <w:marBottom w:val="0"/>
              <w:divBdr>
                <w:top w:val="none" w:sz="0" w:space="0" w:color="auto"/>
                <w:left w:val="none" w:sz="0" w:space="0" w:color="auto"/>
                <w:bottom w:val="none" w:sz="0" w:space="0" w:color="auto"/>
                <w:right w:val="none" w:sz="0" w:space="0" w:color="auto"/>
              </w:divBdr>
            </w:div>
            <w:div w:id="446001856">
              <w:marLeft w:val="0"/>
              <w:marRight w:val="0"/>
              <w:marTop w:val="0"/>
              <w:marBottom w:val="0"/>
              <w:divBdr>
                <w:top w:val="none" w:sz="0" w:space="0" w:color="auto"/>
                <w:left w:val="none" w:sz="0" w:space="0" w:color="auto"/>
                <w:bottom w:val="none" w:sz="0" w:space="0" w:color="auto"/>
                <w:right w:val="none" w:sz="0" w:space="0" w:color="auto"/>
              </w:divBdr>
            </w:div>
            <w:div w:id="504053154">
              <w:marLeft w:val="0"/>
              <w:marRight w:val="0"/>
              <w:marTop w:val="0"/>
              <w:marBottom w:val="0"/>
              <w:divBdr>
                <w:top w:val="none" w:sz="0" w:space="0" w:color="auto"/>
                <w:left w:val="none" w:sz="0" w:space="0" w:color="auto"/>
                <w:bottom w:val="none" w:sz="0" w:space="0" w:color="auto"/>
                <w:right w:val="none" w:sz="0" w:space="0" w:color="auto"/>
              </w:divBdr>
            </w:div>
            <w:div w:id="849442676">
              <w:marLeft w:val="0"/>
              <w:marRight w:val="0"/>
              <w:marTop w:val="0"/>
              <w:marBottom w:val="0"/>
              <w:divBdr>
                <w:top w:val="none" w:sz="0" w:space="0" w:color="auto"/>
                <w:left w:val="none" w:sz="0" w:space="0" w:color="auto"/>
                <w:bottom w:val="none" w:sz="0" w:space="0" w:color="auto"/>
                <w:right w:val="none" w:sz="0" w:space="0" w:color="auto"/>
              </w:divBdr>
            </w:div>
            <w:div w:id="893539642">
              <w:marLeft w:val="0"/>
              <w:marRight w:val="0"/>
              <w:marTop w:val="0"/>
              <w:marBottom w:val="0"/>
              <w:divBdr>
                <w:top w:val="none" w:sz="0" w:space="0" w:color="auto"/>
                <w:left w:val="none" w:sz="0" w:space="0" w:color="auto"/>
                <w:bottom w:val="none" w:sz="0" w:space="0" w:color="auto"/>
                <w:right w:val="none" w:sz="0" w:space="0" w:color="auto"/>
              </w:divBdr>
            </w:div>
            <w:div w:id="1155486769">
              <w:marLeft w:val="0"/>
              <w:marRight w:val="0"/>
              <w:marTop w:val="0"/>
              <w:marBottom w:val="0"/>
              <w:divBdr>
                <w:top w:val="none" w:sz="0" w:space="0" w:color="auto"/>
                <w:left w:val="none" w:sz="0" w:space="0" w:color="auto"/>
                <w:bottom w:val="none" w:sz="0" w:space="0" w:color="auto"/>
                <w:right w:val="none" w:sz="0" w:space="0" w:color="auto"/>
              </w:divBdr>
            </w:div>
            <w:div w:id="1440300349">
              <w:marLeft w:val="0"/>
              <w:marRight w:val="0"/>
              <w:marTop w:val="0"/>
              <w:marBottom w:val="0"/>
              <w:divBdr>
                <w:top w:val="none" w:sz="0" w:space="0" w:color="auto"/>
                <w:left w:val="none" w:sz="0" w:space="0" w:color="auto"/>
                <w:bottom w:val="none" w:sz="0" w:space="0" w:color="auto"/>
                <w:right w:val="none" w:sz="0" w:space="0" w:color="auto"/>
              </w:divBdr>
            </w:div>
            <w:div w:id="1646158491">
              <w:marLeft w:val="0"/>
              <w:marRight w:val="0"/>
              <w:marTop w:val="0"/>
              <w:marBottom w:val="0"/>
              <w:divBdr>
                <w:top w:val="none" w:sz="0" w:space="0" w:color="auto"/>
                <w:left w:val="none" w:sz="0" w:space="0" w:color="auto"/>
                <w:bottom w:val="none" w:sz="0" w:space="0" w:color="auto"/>
                <w:right w:val="none" w:sz="0" w:space="0" w:color="auto"/>
              </w:divBdr>
            </w:div>
            <w:div w:id="1686058958">
              <w:marLeft w:val="0"/>
              <w:marRight w:val="0"/>
              <w:marTop w:val="0"/>
              <w:marBottom w:val="0"/>
              <w:divBdr>
                <w:top w:val="none" w:sz="0" w:space="0" w:color="auto"/>
                <w:left w:val="none" w:sz="0" w:space="0" w:color="auto"/>
                <w:bottom w:val="none" w:sz="0" w:space="0" w:color="auto"/>
                <w:right w:val="none" w:sz="0" w:space="0" w:color="auto"/>
              </w:divBdr>
            </w:div>
            <w:div w:id="1710254150">
              <w:marLeft w:val="0"/>
              <w:marRight w:val="0"/>
              <w:marTop w:val="0"/>
              <w:marBottom w:val="0"/>
              <w:divBdr>
                <w:top w:val="none" w:sz="0" w:space="0" w:color="auto"/>
                <w:left w:val="none" w:sz="0" w:space="0" w:color="auto"/>
                <w:bottom w:val="none" w:sz="0" w:space="0" w:color="auto"/>
                <w:right w:val="none" w:sz="0" w:space="0" w:color="auto"/>
              </w:divBdr>
            </w:div>
            <w:div w:id="1872721054">
              <w:marLeft w:val="0"/>
              <w:marRight w:val="0"/>
              <w:marTop w:val="0"/>
              <w:marBottom w:val="0"/>
              <w:divBdr>
                <w:top w:val="none" w:sz="0" w:space="0" w:color="auto"/>
                <w:left w:val="none" w:sz="0" w:space="0" w:color="auto"/>
                <w:bottom w:val="none" w:sz="0" w:space="0" w:color="auto"/>
                <w:right w:val="none" w:sz="0" w:space="0" w:color="auto"/>
              </w:divBdr>
            </w:div>
            <w:div w:id="1888637910">
              <w:marLeft w:val="0"/>
              <w:marRight w:val="0"/>
              <w:marTop w:val="0"/>
              <w:marBottom w:val="0"/>
              <w:divBdr>
                <w:top w:val="none" w:sz="0" w:space="0" w:color="auto"/>
                <w:left w:val="none" w:sz="0" w:space="0" w:color="auto"/>
                <w:bottom w:val="none" w:sz="0" w:space="0" w:color="auto"/>
                <w:right w:val="none" w:sz="0" w:space="0" w:color="auto"/>
              </w:divBdr>
            </w:div>
            <w:div w:id="1893273220">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 w:id="1937211251">
              <w:marLeft w:val="0"/>
              <w:marRight w:val="0"/>
              <w:marTop w:val="0"/>
              <w:marBottom w:val="0"/>
              <w:divBdr>
                <w:top w:val="none" w:sz="0" w:space="0" w:color="auto"/>
                <w:left w:val="none" w:sz="0" w:space="0" w:color="auto"/>
                <w:bottom w:val="none" w:sz="0" w:space="0" w:color="auto"/>
                <w:right w:val="none" w:sz="0" w:space="0" w:color="auto"/>
              </w:divBdr>
            </w:div>
            <w:div w:id="1963875862">
              <w:marLeft w:val="0"/>
              <w:marRight w:val="0"/>
              <w:marTop w:val="0"/>
              <w:marBottom w:val="0"/>
              <w:divBdr>
                <w:top w:val="none" w:sz="0" w:space="0" w:color="auto"/>
                <w:left w:val="none" w:sz="0" w:space="0" w:color="auto"/>
                <w:bottom w:val="none" w:sz="0" w:space="0" w:color="auto"/>
                <w:right w:val="none" w:sz="0" w:space="0" w:color="auto"/>
              </w:divBdr>
            </w:div>
            <w:div w:id="20729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42048">
      <w:bodyDiv w:val="1"/>
      <w:marLeft w:val="0"/>
      <w:marRight w:val="0"/>
      <w:marTop w:val="0"/>
      <w:marBottom w:val="0"/>
      <w:divBdr>
        <w:top w:val="none" w:sz="0" w:space="0" w:color="auto"/>
        <w:left w:val="none" w:sz="0" w:space="0" w:color="auto"/>
        <w:bottom w:val="none" w:sz="0" w:space="0" w:color="auto"/>
        <w:right w:val="none" w:sz="0" w:space="0" w:color="auto"/>
      </w:divBdr>
      <w:divsChild>
        <w:div w:id="50927825">
          <w:marLeft w:val="0"/>
          <w:marRight w:val="0"/>
          <w:marTop w:val="0"/>
          <w:marBottom w:val="0"/>
          <w:divBdr>
            <w:top w:val="none" w:sz="0" w:space="0" w:color="auto"/>
            <w:left w:val="none" w:sz="0" w:space="0" w:color="auto"/>
            <w:bottom w:val="none" w:sz="0" w:space="0" w:color="auto"/>
            <w:right w:val="none" w:sz="0" w:space="0" w:color="auto"/>
          </w:divBdr>
        </w:div>
        <w:div w:id="475729509">
          <w:marLeft w:val="0"/>
          <w:marRight w:val="0"/>
          <w:marTop w:val="0"/>
          <w:marBottom w:val="0"/>
          <w:divBdr>
            <w:top w:val="none" w:sz="0" w:space="0" w:color="auto"/>
            <w:left w:val="none" w:sz="0" w:space="0" w:color="auto"/>
            <w:bottom w:val="none" w:sz="0" w:space="0" w:color="auto"/>
            <w:right w:val="none" w:sz="0" w:space="0" w:color="auto"/>
          </w:divBdr>
        </w:div>
        <w:div w:id="512302417">
          <w:marLeft w:val="0"/>
          <w:marRight w:val="0"/>
          <w:marTop w:val="0"/>
          <w:marBottom w:val="0"/>
          <w:divBdr>
            <w:top w:val="none" w:sz="0" w:space="0" w:color="auto"/>
            <w:left w:val="none" w:sz="0" w:space="0" w:color="auto"/>
            <w:bottom w:val="none" w:sz="0" w:space="0" w:color="auto"/>
            <w:right w:val="none" w:sz="0" w:space="0" w:color="auto"/>
          </w:divBdr>
          <w:divsChild>
            <w:div w:id="47803017">
              <w:marLeft w:val="0"/>
              <w:marRight w:val="0"/>
              <w:marTop w:val="0"/>
              <w:marBottom w:val="0"/>
              <w:divBdr>
                <w:top w:val="none" w:sz="0" w:space="0" w:color="auto"/>
                <w:left w:val="none" w:sz="0" w:space="0" w:color="auto"/>
                <w:bottom w:val="none" w:sz="0" w:space="0" w:color="auto"/>
                <w:right w:val="none" w:sz="0" w:space="0" w:color="auto"/>
              </w:divBdr>
            </w:div>
            <w:div w:id="56633089">
              <w:marLeft w:val="0"/>
              <w:marRight w:val="0"/>
              <w:marTop w:val="0"/>
              <w:marBottom w:val="0"/>
              <w:divBdr>
                <w:top w:val="none" w:sz="0" w:space="0" w:color="auto"/>
                <w:left w:val="none" w:sz="0" w:space="0" w:color="auto"/>
                <w:bottom w:val="none" w:sz="0" w:space="0" w:color="auto"/>
                <w:right w:val="none" w:sz="0" w:space="0" w:color="auto"/>
              </w:divBdr>
            </w:div>
            <w:div w:id="132724669">
              <w:marLeft w:val="0"/>
              <w:marRight w:val="0"/>
              <w:marTop w:val="0"/>
              <w:marBottom w:val="0"/>
              <w:divBdr>
                <w:top w:val="none" w:sz="0" w:space="0" w:color="auto"/>
                <w:left w:val="none" w:sz="0" w:space="0" w:color="auto"/>
                <w:bottom w:val="none" w:sz="0" w:space="0" w:color="auto"/>
                <w:right w:val="none" w:sz="0" w:space="0" w:color="auto"/>
              </w:divBdr>
            </w:div>
            <w:div w:id="219248486">
              <w:marLeft w:val="0"/>
              <w:marRight w:val="0"/>
              <w:marTop w:val="0"/>
              <w:marBottom w:val="0"/>
              <w:divBdr>
                <w:top w:val="none" w:sz="0" w:space="0" w:color="auto"/>
                <w:left w:val="none" w:sz="0" w:space="0" w:color="auto"/>
                <w:bottom w:val="none" w:sz="0" w:space="0" w:color="auto"/>
                <w:right w:val="none" w:sz="0" w:space="0" w:color="auto"/>
              </w:divBdr>
            </w:div>
            <w:div w:id="361905256">
              <w:marLeft w:val="0"/>
              <w:marRight w:val="0"/>
              <w:marTop w:val="0"/>
              <w:marBottom w:val="0"/>
              <w:divBdr>
                <w:top w:val="none" w:sz="0" w:space="0" w:color="auto"/>
                <w:left w:val="none" w:sz="0" w:space="0" w:color="auto"/>
                <w:bottom w:val="none" w:sz="0" w:space="0" w:color="auto"/>
                <w:right w:val="none" w:sz="0" w:space="0" w:color="auto"/>
              </w:divBdr>
            </w:div>
            <w:div w:id="450831841">
              <w:marLeft w:val="0"/>
              <w:marRight w:val="0"/>
              <w:marTop w:val="0"/>
              <w:marBottom w:val="0"/>
              <w:divBdr>
                <w:top w:val="none" w:sz="0" w:space="0" w:color="auto"/>
                <w:left w:val="none" w:sz="0" w:space="0" w:color="auto"/>
                <w:bottom w:val="none" w:sz="0" w:space="0" w:color="auto"/>
                <w:right w:val="none" w:sz="0" w:space="0" w:color="auto"/>
              </w:divBdr>
            </w:div>
            <w:div w:id="691221570">
              <w:marLeft w:val="0"/>
              <w:marRight w:val="0"/>
              <w:marTop w:val="0"/>
              <w:marBottom w:val="0"/>
              <w:divBdr>
                <w:top w:val="none" w:sz="0" w:space="0" w:color="auto"/>
                <w:left w:val="none" w:sz="0" w:space="0" w:color="auto"/>
                <w:bottom w:val="none" w:sz="0" w:space="0" w:color="auto"/>
                <w:right w:val="none" w:sz="0" w:space="0" w:color="auto"/>
              </w:divBdr>
            </w:div>
            <w:div w:id="768702495">
              <w:marLeft w:val="0"/>
              <w:marRight w:val="0"/>
              <w:marTop w:val="0"/>
              <w:marBottom w:val="0"/>
              <w:divBdr>
                <w:top w:val="none" w:sz="0" w:space="0" w:color="auto"/>
                <w:left w:val="none" w:sz="0" w:space="0" w:color="auto"/>
                <w:bottom w:val="none" w:sz="0" w:space="0" w:color="auto"/>
                <w:right w:val="none" w:sz="0" w:space="0" w:color="auto"/>
              </w:divBdr>
            </w:div>
            <w:div w:id="906496110">
              <w:marLeft w:val="0"/>
              <w:marRight w:val="0"/>
              <w:marTop w:val="0"/>
              <w:marBottom w:val="0"/>
              <w:divBdr>
                <w:top w:val="none" w:sz="0" w:space="0" w:color="auto"/>
                <w:left w:val="none" w:sz="0" w:space="0" w:color="auto"/>
                <w:bottom w:val="none" w:sz="0" w:space="0" w:color="auto"/>
                <w:right w:val="none" w:sz="0" w:space="0" w:color="auto"/>
              </w:divBdr>
            </w:div>
            <w:div w:id="1021974415">
              <w:marLeft w:val="0"/>
              <w:marRight w:val="0"/>
              <w:marTop w:val="0"/>
              <w:marBottom w:val="0"/>
              <w:divBdr>
                <w:top w:val="none" w:sz="0" w:space="0" w:color="auto"/>
                <w:left w:val="none" w:sz="0" w:space="0" w:color="auto"/>
                <w:bottom w:val="none" w:sz="0" w:space="0" w:color="auto"/>
                <w:right w:val="none" w:sz="0" w:space="0" w:color="auto"/>
              </w:divBdr>
            </w:div>
            <w:div w:id="1270159636">
              <w:marLeft w:val="0"/>
              <w:marRight w:val="0"/>
              <w:marTop w:val="0"/>
              <w:marBottom w:val="0"/>
              <w:divBdr>
                <w:top w:val="none" w:sz="0" w:space="0" w:color="auto"/>
                <w:left w:val="none" w:sz="0" w:space="0" w:color="auto"/>
                <w:bottom w:val="none" w:sz="0" w:space="0" w:color="auto"/>
                <w:right w:val="none" w:sz="0" w:space="0" w:color="auto"/>
              </w:divBdr>
            </w:div>
            <w:div w:id="1379088781">
              <w:marLeft w:val="0"/>
              <w:marRight w:val="0"/>
              <w:marTop w:val="0"/>
              <w:marBottom w:val="0"/>
              <w:divBdr>
                <w:top w:val="none" w:sz="0" w:space="0" w:color="auto"/>
                <w:left w:val="none" w:sz="0" w:space="0" w:color="auto"/>
                <w:bottom w:val="none" w:sz="0" w:space="0" w:color="auto"/>
                <w:right w:val="none" w:sz="0" w:space="0" w:color="auto"/>
              </w:divBdr>
            </w:div>
            <w:div w:id="1401714674">
              <w:marLeft w:val="0"/>
              <w:marRight w:val="0"/>
              <w:marTop w:val="0"/>
              <w:marBottom w:val="0"/>
              <w:divBdr>
                <w:top w:val="none" w:sz="0" w:space="0" w:color="auto"/>
                <w:left w:val="none" w:sz="0" w:space="0" w:color="auto"/>
                <w:bottom w:val="none" w:sz="0" w:space="0" w:color="auto"/>
                <w:right w:val="none" w:sz="0" w:space="0" w:color="auto"/>
              </w:divBdr>
            </w:div>
            <w:div w:id="1403916928">
              <w:marLeft w:val="0"/>
              <w:marRight w:val="0"/>
              <w:marTop w:val="0"/>
              <w:marBottom w:val="0"/>
              <w:divBdr>
                <w:top w:val="none" w:sz="0" w:space="0" w:color="auto"/>
                <w:left w:val="none" w:sz="0" w:space="0" w:color="auto"/>
                <w:bottom w:val="none" w:sz="0" w:space="0" w:color="auto"/>
                <w:right w:val="none" w:sz="0" w:space="0" w:color="auto"/>
              </w:divBdr>
            </w:div>
            <w:div w:id="1576285484">
              <w:marLeft w:val="0"/>
              <w:marRight w:val="0"/>
              <w:marTop w:val="0"/>
              <w:marBottom w:val="0"/>
              <w:divBdr>
                <w:top w:val="none" w:sz="0" w:space="0" w:color="auto"/>
                <w:left w:val="none" w:sz="0" w:space="0" w:color="auto"/>
                <w:bottom w:val="none" w:sz="0" w:space="0" w:color="auto"/>
                <w:right w:val="none" w:sz="0" w:space="0" w:color="auto"/>
              </w:divBdr>
            </w:div>
            <w:div w:id="1668243882">
              <w:marLeft w:val="0"/>
              <w:marRight w:val="0"/>
              <w:marTop w:val="0"/>
              <w:marBottom w:val="0"/>
              <w:divBdr>
                <w:top w:val="none" w:sz="0" w:space="0" w:color="auto"/>
                <w:left w:val="none" w:sz="0" w:space="0" w:color="auto"/>
                <w:bottom w:val="none" w:sz="0" w:space="0" w:color="auto"/>
                <w:right w:val="none" w:sz="0" w:space="0" w:color="auto"/>
              </w:divBdr>
            </w:div>
            <w:div w:id="1777602577">
              <w:marLeft w:val="0"/>
              <w:marRight w:val="0"/>
              <w:marTop w:val="0"/>
              <w:marBottom w:val="0"/>
              <w:divBdr>
                <w:top w:val="none" w:sz="0" w:space="0" w:color="auto"/>
                <w:left w:val="none" w:sz="0" w:space="0" w:color="auto"/>
                <w:bottom w:val="none" w:sz="0" w:space="0" w:color="auto"/>
                <w:right w:val="none" w:sz="0" w:space="0" w:color="auto"/>
              </w:divBdr>
            </w:div>
            <w:div w:id="1951207076">
              <w:marLeft w:val="0"/>
              <w:marRight w:val="0"/>
              <w:marTop w:val="0"/>
              <w:marBottom w:val="0"/>
              <w:divBdr>
                <w:top w:val="none" w:sz="0" w:space="0" w:color="auto"/>
                <w:left w:val="none" w:sz="0" w:space="0" w:color="auto"/>
                <w:bottom w:val="none" w:sz="0" w:space="0" w:color="auto"/>
                <w:right w:val="none" w:sz="0" w:space="0" w:color="auto"/>
              </w:divBdr>
            </w:div>
          </w:divsChild>
        </w:div>
        <w:div w:id="729501176">
          <w:marLeft w:val="0"/>
          <w:marRight w:val="0"/>
          <w:marTop w:val="0"/>
          <w:marBottom w:val="0"/>
          <w:divBdr>
            <w:top w:val="none" w:sz="0" w:space="0" w:color="auto"/>
            <w:left w:val="none" w:sz="0" w:space="0" w:color="auto"/>
            <w:bottom w:val="none" w:sz="0" w:space="0" w:color="auto"/>
            <w:right w:val="none" w:sz="0" w:space="0" w:color="auto"/>
          </w:divBdr>
        </w:div>
        <w:div w:id="731001640">
          <w:marLeft w:val="0"/>
          <w:marRight w:val="0"/>
          <w:marTop w:val="0"/>
          <w:marBottom w:val="0"/>
          <w:divBdr>
            <w:top w:val="none" w:sz="0" w:space="0" w:color="auto"/>
            <w:left w:val="none" w:sz="0" w:space="0" w:color="auto"/>
            <w:bottom w:val="none" w:sz="0" w:space="0" w:color="auto"/>
            <w:right w:val="none" w:sz="0" w:space="0" w:color="auto"/>
          </w:divBdr>
        </w:div>
        <w:div w:id="758261229">
          <w:marLeft w:val="0"/>
          <w:marRight w:val="0"/>
          <w:marTop w:val="0"/>
          <w:marBottom w:val="0"/>
          <w:divBdr>
            <w:top w:val="none" w:sz="0" w:space="0" w:color="auto"/>
            <w:left w:val="none" w:sz="0" w:space="0" w:color="auto"/>
            <w:bottom w:val="none" w:sz="0" w:space="0" w:color="auto"/>
            <w:right w:val="none" w:sz="0" w:space="0" w:color="auto"/>
          </w:divBdr>
        </w:div>
        <w:div w:id="846559068">
          <w:marLeft w:val="0"/>
          <w:marRight w:val="0"/>
          <w:marTop w:val="0"/>
          <w:marBottom w:val="0"/>
          <w:divBdr>
            <w:top w:val="none" w:sz="0" w:space="0" w:color="auto"/>
            <w:left w:val="none" w:sz="0" w:space="0" w:color="auto"/>
            <w:bottom w:val="none" w:sz="0" w:space="0" w:color="auto"/>
            <w:right w:val="none" w:sz="0" w:space="0" w:color="auto"/>
          </w:divBdr>
        </w:div>
        <w:div w:id="1077822987">
          <w:marLeft w:val="0"/>
          <w:marRight w:val="0"/>
          <w:marTop w:val="0"/>
          <w:marBottom w:val="0"/>
          <w:divBdr>
            <w:top w:val="none" w:sz="0" w:space="0" w:color="auto"/>
            <w:left w:val="none" w:sz="0" w:space="0" w:color="auto"/>
            <w:bottom w:val="none" w:sz="0" w:space="0" w:color="auto"/>
            <w:right w:val="none" w:sz="0" w:space="0" w:color="auto"/>
          </w:divBdr>
        </w:div>
        <w:div w:id="1077938912">
          <w:marLeft w:val="0"/>
          <w:marRight w:val="0"/>
          <w:marTop w:val="0"/>
          <w:marBottom w:val="0"/>
          <w:divBdr>
            <w:top w:val="none" w:sz="0" w:space="0" w:color="auto"/>
            <w:left w:val="none" w:sz="0" w:space="0" w:color="auto"/>
            <w:bottom w:val="none" w:sz="0" w:space="0" w:color="auto"/>
            <w:right w:val="none" w:sz="0" w:space="0" w:color="auto"/>
          </w:divBdr>
        </w:div>
        <w:div w:id="1824850987">
          <w:marLeft w:val="0"/>
          <w:marRight w:val="0"/>
          <w:marTop w:val="0"/>
          <w:marBottom w:val="0"/>
          <w:divBdr>
            <w:top w:val="none" w:sz="0" w:space="0" w:color="auto"/>
            <w:left w:val="none" w:sz="0" w:space="0" w:color="auto"/>
            <w:bottom w:val="none" w:sz="0" w:space="0" w:color="auto"/>
            <w:right w:val="none" w:sz="0" w:space="0" w:color="auto"/>
          </w:divBdr>
        </w:div>
        <w:div w:id="2023626698">
          <w:marLeft w:val="0"/>
          <w:marRight w:val="0"/>
          <w:marTop w:val="0"/>
          <w:marBottom w:val="0"/>
          <w:divBdr>
            <w:top w:val="none" w:sz="0" w:space="0" w:color="auto"/>
            <w:left w:val="none" w:sz="0" w:space="0" w:color="auto"/>
            <w:bottom w:val="none" w:sz="0" w:space="0" w:color="auto"/>
            <w:right w:val="none" w:sz="0" w:space="0" w:color="auto"/>
          </w:divBdr>
        </w:div>
      </w:divsChild>
    </w:div>
    <w:div w:id="927082888">
      <w:bodyDiv w:val="1"/>
      <w:marLeft w:val="0"/>
      <w:marRight w:val="0"/>
      <w:marTop w:val="0"/>
      <w:marBottom w:val="0"/>
      <w:divBdr>
        <w:top w:val="none" w:sz="0" w:space="0" w:color="auto"/>
        <w:left w:val="none" w:sz="0" w:space="0" w:color="auto"/>
        <w:bottom w:val="none" w:sz="0" w:space="0" w:color="auto"/>
        <w:right w:val="none" w:sz="0" w:space="0" w:color="auto"/>
      </w:divBdr>
      <w:divsChild>
        <w:div w:id="83109164">
          <w:marLeft w:val="0"/>
          <w:marRight w:val="0"/>
          <w:marTop w:val="0"/>
          <w:marBottom w:val="0"/>
          <w:divBdr>
            <w:top w:val="none" w:sz="0" w:space="0" w:color="auto"/>
            <w:left w:val="none" w:sz="0" w:space="0" w:color="auto"/>
            <w:bottom w:val="none" w:sz="0" w:space="0" w:color="auto"/>
            <w:right w:val="none" w:sz="0" w:space="0" w:color="auto"/>
          </w:divBdr>
        </w:div>
        <w:div w:id="213079326">
          <w:marLeft w:val="0"/>
          <w:marRight w:val="0"/>
          <w:marTop w:val="0"/>
          <w:marBottom w:val="0"/>
          <w:divBdr>
            <w:top w:val="none" w:sz="0" w:space="0" w:color="auto"/>
            <w:left w:val="none" w:sz="0" w:space="0" w:color="auto"/>
            <w:bottom w:val="none" w:sz="0" w:space="0" w:color="auto"/>
            <w:right w:val="none" w:sz="0" w:space="0" w:color="auto"/>
          </w:divBdr>
        </w:div>
        <w:div w:id="233510506">
          <w:marLeft w:val="0"/>
          <w:marRight w:val="0"/>
          <w:marTop w:val="0"/>
          <w:marBottom w:val="0"/>
          <w:divBdr>
            <w:top w:val="none" w:sz="0" w:space="0" w:color="auto"/>
            <w:left w:val="none" w:sz="0" w:space="0" w:color="auto"/>
            <w:bottom w:val="none" w:sz="0" w:space="0" w:color="auto"/>
            <w:right w:val="none" w:sz="0" w:space="0" w:color="auto"/>
          </w:divBdr>
        </w:div>
        <w:div w:id="333605782">
          <w:marLeft w:val="0"/>
          <w:marRight w:val="0"/>
          <w:marTop w:val="0"/>
          <w:marBottom w:val="0"/>
          <w:divBdr>
            <w:top w:val="none" w:sz="0" w:space="0" w:color="auto"/>
            <w:left w:val="none" w:sz="0" w:space="0" w:color="auto"/>
            <w:bottom w:val="none" w:sz="0" w:space="0" w:color="auto"/>
            <w:right w:val="none" w:sz="0" w:space="0" w:color="auto"/>
          </w:divBdr>
        </w:div>
        <w:div w:id="512720569">
          <w:marLeft w:val="0"/>
          <w:marRight w:val="0"/>
          <w:marTop w:val="0"/>
          <w:marBottom w:val="0"/>
          <w:divBdr>
            <w:top w:val="none" w:sz="0" w:space="0" w:color="auto"/>
            <w:left w:val="none" w:sz="0" w:space="0" w:color="auto"/>
            <w:bottom w:val="none" w:sz="0" w:space="0" w:color="auto"/>
            <w:right w:val="none" w:sz="0" w:space="0" w:color="auto"/>
          </w:divBdr>
        </w:div>
        <w:div w:id="533273306">
          <w:marLeft w:val="0"/>
          <w:marRight w:val="0"/>
          <w:marTop w:val="0"/>
          <w:marBottom w:val="0"/>
          <w:divBdr>
            <w:top w:val="none" w:sz="0" w:space="0" w:color="auto"/>
            <w:left w:val="none" w:sz="0" w:space="0" w:color="auto"/>
            <w:bottom w:val="none" w:sz="0" w:space="0" w:color="auto"/>
            <w:right w:val="none" w:sz="0" w:space="0" w:color="auto"/>
          </w:divBdr>
        </w:div>
        <w:div w:id="649401979">
          <w:marLeft w:val="0"/>
          <w:marRight w:val="0"/>
          <w:marTop w:val="0"/>
          <w:marBottom w:val="0"/>
          <w:divBdr>
            <w:top w:val="none" w:sz="0" w:space="0" w:color="auto"/>
            <w:left w:val="none" w:sz="0" w:space="0" w:color="auto"/>
            <w:bottom w:val="none" w:sz="0" w:space="0" w:color="auto"/>
            <w:right w:val="none" w:sz="0" w:space="0" w:color="auto"/>
          </w:divBdr>
        </w:div>
        <w:div w:id="794637763">
          <w:marLeft w:val="0"/>
          <w:marRight w:val="0"/>
          <w:marTop w:val="0"/>
          <w:marBottom w:val="0"/>
          <w:divBdr>
            <w:top w:val="none" w:sz="0" w:space="0" w:color="auto"/>
            <w:left w:val="none" w:sz="0" w:space="0" w:color="auto"/>
            <w:bottom w:val="none" w:sz="0" w:space="0" w:color="auto"/>
            <w:right w:val="none" w:sz="0" w:space="0" w:color="auto"/>
          </w:divBdr>
        </w:div>
        <w:div w:id="858005818">
          <w:marLeft w:val="0"/>
          <w:marRight w:val="0"/>
          <w:marTop w:val="0"/>
          <w:marBottom w:val="0"/>
          <w:divBdr>
            <w:top w:val="none" w:sz="0" w:space="0" w:color="auto"/>
            <w:left w:val="none" w:sz="0" w:space="0" w:color="auto"/>
            <w:bottom w:val="none" w:sz="0" w:space="0" w:color="auto"/>
            <w:right w:val="none" w:sz="0" w:space="0" w:color="auto"/>
          </w:divBdr>
        </w:div>
        <w:div w:id="886769331">
          <w:marLeft w:val="0"/>
          <w:marRight w:val="0"/>
          <w:marTop w:val="0"/>
          <w:marBottom w:val="0"/>
          <w:divBdr>
            <w:top w:val="none" w:sz="0" w:space="0" w:color="auto"/>
            <w:left w:val="none" w:sz="0" w:space="0" w:color="auto"/>
            <w:bottom w:val="none" w:sz="0" w:space="0" w:color="auto"/>
            <w:right w:val="none" w:sz="0" w:space="0" w:color="auto"/>
          </w:divBdr>
        </w:div>
        <w:div w:id="925650084">
          <w:marLeft w:val="0"/>
          <w:marRight w:val="0"/>
          <w:marTop w:val="0"/>
          <w:marBottom w:val="0"/>
          <w:divBdr>
            <w:top w:val="none" w:sz="0" w:space="0" w:color="auto"/>
            <w:left w:val="none" w:sz="0" w:space="0" w:color="auto"/>
            <w:bottom w:val="none" w:sz="0" w:space="0" w:color="auto"/>
            <w:right w:val="none" w:sz="0" w:space="0" w:color="auto"/>
          </w:divBdr>
        </w:div>
        <w:div w:id="1092899022">
          <w:marLeft w:val="0"/>
          <w:marRight w:val="0"/>
          <w:marTop w:val="0"/>
          <w:marBottom w:val="0"/>
          <w:divBdr>
            <w:top w:val="none" w:sz="0" w:space="0" w:color="auto"/>
            <w:left w:val="none" w:sz="0" w:space="0" w:color="auto"/>
            <w:bottom w:val="none" w:sz="0" w:space="0" w:color="auto"/>
            <w:right w:val="none" w:sz="0" w:space="0" w:color="auto"/>
          </w:divBdr>
        </w:div>
        <w:div w:id="1338653940">
          <w:marLeft w:val="0"/>
          <w:marRight w:val="0"/>
          <w:marTop w:val="0"/>
          <w:marBottom w:val="0"/>
          <w:divBdr>
            <w:top w:val="none" w:sz="0" w:space="0" w:color="auto"/>
            <w:left w:val="none" w:sz="0" w:space="0" w:color="auto"/>
            <w:bottom w:val="none" w:sz="0" w:space="0" w:color="auto"/>
            <w:right w:val="none" w:sz="0" w:space="0" w:color="auto"/>
          </w:divBdr>
        </w:div>
        <w:div w:id="1480611043">
          <w:marLeft w:val="0"/>
          <w:marRight w:val="0"/>
          <w:marTop w:val="0"/>
          <w:marBottom w:val="0"/>
          <w:divBdr>
            <w:top w:val="none" w:sz="0" w:space="0" w:color="auto"/>
            <w:left w:val="none" w:sz="0" w:space="0" w:color="auto"/>
            <w:bottom w:val="none" w:sz="0" w:space="0" w:color="auto"/>
            <w:right w:val="none" w:sz="0" w:space="0" w:color="auto"/>
          </w:divBdr>
        </w:div>
        <w:div w:id="1767268918">
          <w:marLeft w:val="0"/>
          <w:marRight w:val="0"/>
          <w:marTop w:val="0"/>
          <w:marBottom w:val="0"/>
          <w:divBdr>
            <w:top w:val="none" w:sz="0" w:space="0" w:color="auto"/>
            <w:left w:val="none" w:sz="0" w:space="0" w:color="auto"/>
            <w:bottom w:val="none" w:sz="0" w:space="0" w:color="auto"/>
            <w:right w:val="none" w:sz="0" w:space="0" w:color="auto"/>
          </w:divBdr>
        </w:div>
        <w:div w:id="1801877603">
          <w:marLeft w:val="0"/>
          <w:marRight w:val="0"/>
          <w:marTop w:val="0"/>
          <w:marBottom w:val="0"/>
          <w:divBdr>
            <w:top w:val="none" w:sz="0" w:space="0" w:color="auto"/>
            <w:left w:val="none" w:sz="0" w:space="0" w:color="auto"/>
            <w:bottom w:val="none" w:sz="0" w:space="0" w:color="auto"/>
            <w:right w:val="none" w:sz="0" w:space="0" w:color="auto"/>
          </w:divBdr>
        </w:div>
        <w:div w:id="1818256834">
          <w:marLeft w:val="0"/>
          <w:marRight w:val="0"/>
          <w:marTop w:val="0"/>
          <w:marBottom w:val="0"/>
          <w:divBdr>
            <w:top w:val="none" w:sz="0" w:space="0" w:color="auto"/>
            <w:left w:val="none" w:sz="0" w:space="0" w:color="auto"/>
            <w:bottom w:val="none" w:sz="0" w:space="0" w:color="auto"/>
            <w:right w:val="none" w:sz="0" w:space="0" w:color="auto"/>
          </w:divBdr>
        </w:div>
        <w:div w:id="1899513415">
          <w:marLeft w:val="0"/>
          <w:marRight w:val="0"/>
          <w:marTop w:val="0"/>
          <w:marBottom w:val="0"/>
          <w:divBdr>
            <w:top w:val="none" w:sz="0" w:space="0" w:color="auto"/>
            <w:left w:val="none" w:sz="0" w:space="0" w:color="auto"/>
            <w:bottom w:val="none" w:sz="0" w:space="0" w:color="auto"/>
            <w:right w:val="none" w:sz="0" w:space="0" w:color="auto"/>
          </w:divBdr>
          <w:divsChild>
            <w:div w:id="30737444">
              <w:marLeft w:val="0"/>
              <w:marRight w:val="0"/>
              <w:marTop w:val="0"/>
              <w:marBottom w:val="0"/>
              <w:divBdr>
                <w:top w:val="none" w:sz="0" w:space="0" w:color="auto"/>
                <w:left w:val="none" w:sz="0" w:space="0" w:color="auto"/>
                <w:bottom w:val="none" w:sz="0" w:space="0" w:color="auto"/>
                <w:right w:val="none" w:sz="0" w:space="0" w:color="auto"/>
              </w:divBdr>
            </w:div>
            <w:div w:id="60447362">
              <w:marLeft w:val="0"/>
              <w:marRight w:val="0"/>
              <w:marTop w:val="0"/>
              <w:marBottom w:val="0"/>
              <w:divBdr>
                <w:top w:val="none" w:sz="0" w:space="0" w:color="auto"/>
                <w:left w:val="none" w:sz="0" w:space="0" w:color="auto"/>
                <w:bottom w:val="none" w:sz="0" w:space="0" w:color="auto"/>
                <w:right w:val="none" w:sz="0" w:space="0" w:color="auto"/>
              </w:divBdr>
            </w:div>
            <w:div w:id="224536691">
              <w:marLeft w:val="0"/>
              <w:marRight w:val="0"/>
              <w:marTop w:val="0"/>
              <w:marBottom w:val="0"/>
              <w:divBdr>
                <w:top w:val="none" w:sz="0" w:space="0" w:color="auto"/>
                <w:left w:val="none" w:sz="0" w:space="0" w:color="auto"/>
                <w:bottom w:val="none" w:sz="0" w:space="0" w:color="auto"/>
                <w:right w:val="none" w:sz="0" w:space="0" w:color="auto"/>
              </w:divBdr>
            </w:div>
            <w:div w:id="263193124">
              <w:marLeft w:val="0"/>
              <w:marRight w:val="0"/>
              <w:marTop w:val="0"/>
              <w:marBottom w:val="0"/>
              <w:divBdr>
                <w:top w:val="none" w:sz="0" w:space="0" w:color="auto"/>
                <w:left w:val="none" w:sz="0" w:space="0" w:color="auto"/>
                <w:bottom w:val="none" w:sz="0" w:space="0" w:color="auto"/>
                <w:right w:val="none" w:sz="0" w:space="0" w:color="auto"/>
              </w:divBdr>
            </w:div>
            <w:div w:id="272591543">
              <w:marLeft w:val="0"/>
              <w:marRight w:val="0"/>
              <w:marTop w:val="0"/>
              <w:marBottom w:val="0"/>
              <w:divBdr>
                <w:top w:val="none" w:sz="0" w:space="0" w:color="auto"/>
                <w:left w:val="none" w:sz="0" w:space="0" w:color="auto"/>
                <w:bottom w:val="none" w:sz="0" w:space="0" w:color="auto"/>
                <w:right w:val="none" w:sz="0" w:space="0" w:color="auto"/>
              </w:divBdr>
            </w:div>
            <w:div w:id="452479189">
              <w:marLeft w:val="0"/>
              <w:marRight w:val="0"/>
              <w:marTop w:val="0"/>
              <w:marBottom w:val="0"/>
              <w:divBdr>
                <w:top w:val="none" w:sz="0" w:space="0" w:color="auto"/>
                <w:left w:val="none" w:sz="0" w:space="0" w:color="auto"/>
                <w:bottom w:val="none" w:sz="0" w:space="0" w:color="auto"/>
                <w:right w:val="none" w:sz="0" w:space="0" w:color="auto"/>
              </w:divBdr>
            </w:div>
            <w:div w:id="516770281">
              <w:marLeft w:val="0"/>
              <w:marRight w:val="0"/>
              <w:marTop w:val="0"/>
              <w:marBottom w:val="0"/>
              <w:divBdr>
                <w:top w:val="none" w:sz="0" w:space="0" w:color="auto"/>
                <w:left w:val="none" w:sz="0" w:space="0" w:color="auto"/>
                <w:bottom w:val="none" w:sz="0" w:space="0" w:color="auto"/>
                <w:right w:val="none" w:sz="0" w:space="0" w:color="auto"/>
              </w:divBdr>
            </w:div>
            <w:div w:id="538664179">
              <w:marLeft w:val="0"/>
              <w:marRight w:val="0"/>
              <w:marTop w:val="0"/>
              <w:marBottom w:val="0"/>
              <w:divBdr>
                <w:top w:val="none" w:sz="0" w:space="0" w:color="auto"/>
                <w:left w:val="none" w:sz="0" w:space="0" w:color="auto"/>
                <w:bottom w:val="none" w:sz="0" w:space="0" w:color="auto"/>
                <w:right w:val="none" w:sz="0" w:space="0" w:color="auto"/>
              </w:divBdr>
            </w:div>
            <w:div w:id="816145900">
              <w:marLeft w:val="0"/>
              <w:marRight w:val="0"/>
              <w:marTop w:val="0"/>
              <w:marBottom w:val="0"/>
              <w:divBdr>
                <w:top w:val="none" w:sz="0" w:space="0" w:color="auto"/>
                <w:left w:val="none" w:sz="0" w:space="0" w:color="auto"/>
                <w:bottom w:val="none" w:sz="0" w:space="0" w:color="auto"/>
                <w:right w:val="none" w:sz="0" w:space="0" w:color="auto"/>
              </w:divBdr>
            </w:div>
            <w:div w:id="877812306">
              <w:marLeft w:val="0"/>
              <w:marRight w:val="0"/>
              <w:marTop w:val="0"/>
              <w:marBottom w:val="0"/>
              <w:divBdr>
                <w:top w:val="none" w:sz="0" w:space="0" w:color="auto"/>
                <w:left w:val="none" w:sz="0" w:space="0" w:color="auto"/>
                <w:bottom w:val="none" w:sz="0" w:space="0" w:color="auto"/>
                <w:right w:val="none" w:sz="0" w:space="0" w:color="auto"/>
              </w:divBdr>
            </w:div>
            <w:div w:id="965235657">
              <w:marLeft w:val="0"/>
              <w:marRight w:val="0"/>
              <w:marTop w:val="0"/>
              <w:marBottom w:val="0"/>
              <w:divBdr>
                <w:top w:val="none" w:sz="0" w:space="0" w:color="auto"/>
                <w:left w:val="none" w:sz="0" w:space="0" w:color="auto"/>
                <w:bottom w:val="none" w:sz="0" w:space="0" w:color="auto"/>
                <w:right w:val="none" w:sz="0" w:space="0" w:color="auto"/>
              </w:divBdr>
            </w:div>
            <w:div w:id="969432700">
              <w:marLeft w:val="0"/>
              <w:marRight w:val="0"/>
              <w:marTop w:val="0"/>
              <w:marBottom w:val="0"/>
              <w:divBdr>
                <w:top w:val="none" w:sz="0" w:space="0" w:color="auto"/>
                <w:left w:val="none" w:sz="0" w:space="0" w:color="auto"/>
                <w:bottom w:val="none" w:sz="0" w:space="0" w:color="auto"/>
                <w:right w:val="none" w:sz="0" w:space="0" w:color="auto"/>
              </w:divBdr>
            </w:div>
            <w:div w:id="1066881442">
              <w:marLeft w:val="0"/>
              <w:marRight w:val="0"/>
              <w:marTop w:val="0"/>
              <w:marBottom w:val="0"/>
              <w:divBdr>
                <w:top w:val="none" w:sz="0" w:space="0" w:color="auto"/>
                <w:left w:val="none" w:sz="0" w:space="0" w:color="auto"/>
                <w:bottom w:val="none" w:sz="0" w:space="0" w:color="auto"/>
                <w:right w:val="none" w:sz="0" w:space="0" w:color="auto"/>
              </w:divBdr>
            </w:div>
            <w:div w:id="1128082193">
              <w:marLeft w:val="0"/>
              <w:marRight w:val="0"/>
              <w:marTop w:val="0"/>
              <w:marBottom w:val="0"/>
              <w:divBdr>
                <w:top w:val="none" w:sz="0" w:space="0" w:color="auto"/>
                <w:left w:val="none" w:sz="0" w:space="0" w:color="auto"/>
                <w:bottom w:val="none" w:sz="0" w:space="0" w:color="auto"/>
                <w:right w:val="none" w:sz="0" w:space="0" w:color="auto"/>
              </w:divBdr>
            </w:div>
            <w:div w:id="1273322023">
              <w:marLeft w:val="0"/>
              <w:marRight w:val="0"/>
              <w:marTop w:val="0"/>
              <w:marBottom w:val="0"/>
              <w:divBdr>
                <w:top w:val="none" w:sz="0" w:space="0" w:color="auto"/>
                <w:left w:val="none" w:sz="0" w:space="0" w:color="auto"/>
                <w:bottom w:val="none" w:sz="0" w:space="0" w:color="auto"/>
                <w:right w:val="none" w:sz="0" w:space="0" w:color="auto"/>
              </w:divBdr>
            </w:div>
            <w:div w:id="1485127498">
              <w:marLeft w:val="0"/>
              <w:marRight w:val="0"/>
              <w:marTop w:val="0"/>
              <w:marBottom w:val="0"/>
              <w:divBdr>
                <w:top w:val="none" w:sz="0" w:space="0" w:color="auto"/>
                <w:left w:val="none" w:sz="0" w:space="0" w:color="auto"/>
                <w:bottom w:val="none" w:sz="0" w:space="0" w:color="auto"/>
                <w:right w:val="none" w:sz="0" w:space="0" w:color="auto"/>
              </w:divBdr>
            </w:div>
            <w:div w:id="1494297301">
              <w:marLeft w:val="0"/>
              <w:marRight w:val="0"/>
              <w:marTop w:val="0"/>
              <w:marBottom w:val="0"/>
              <w:divBdr>
                <w:top w:val="none" w:sz="0" w:space="0" w:color="auto"/>
                <w:left w:val="none" w:sz="0" w:space="0" w:color="auto"/>
                <w:bottom w:val="none" w:sz="0" w:space="0" w:color="auto"/>
                <w:right w:val="none" w:sz="0" w:space="0" w:color="auto"/>
              </w:divBdr>
            </w:div>
            <w:div w:id="1569653668">
              <w:marLeft w:val="0"/>
              <w:marRight w:val="0"/>
              <w:marTop w:val="0"/>
              <w:marBottom w:val="0"/>
              <w:divBdr>
                <w:top w:val="none" w:sz="0" w:space="0" w:color="auto"/>
                <w:left w:val="none" w:sz="0" w:space="0" w:color="auto"/>
                <w:bottom w:val="none" w:sz="0" w:space="0" w:color="auto"/>
                <w:right w:val="none" w:sz="0" w:space="0" w:color="auto"/>
              </w:divBdr>
            </w:div>
            <w:div w:id="1667855842">
              <w:marLeft w:val="0"/>
              <w:marRight w:val="0"/>
              <w:marTop w:val="0"/>
              <w:marBottom w:val="0"/>
              <w:divBdr>
                <w:top w:val="none" w:sz="0" w:space="0" w:color="auto"/>
                <w:left w:val="none" w:sz="0" w:space="0" w:color="auto"/>
                <w:bottom w:val="none" w:sz="0" w:space="0" w:color="auto"/>
                <w:right w:val="none" w:sz="0" w:space="0" w:color="auto"/>
              </w:divBdr>
            </w:div>
            <w:div w:id="2007971649">
              <w:marLeft w:val="0"/>
              <w:marRight w:val="0"/>
              <w:marTop w:val="0"/>
              <w:marBottom w:val="0"/>
              <w:divBdr>
                <w:top w:val="none" w:sz="0" w:space="0" w:color="auto"/>
                <w:left w:val="none" w:sz="0" w:space="0" w:color="auto"/>
                <w:bottom w:val="none" w:sz="0" w:space="0" w:color="auto"/>
                <w:right w:val="none" w:sz="0" w:space="0" w:color="auto"/>
              </w:divBdr>
            </w:div>
          </w:divsChild>
        </w:div>
        <w:div w:id="1971475234">
          <w:marLeft w:val="0"/>
          <w:marRight w:val="0"/>
          <w:marTop w:val="0"/>
          <w:marBottom w:val="0"/>
          <w:divBdr>
            <w:top w:val="none" w:sz="0" w:space="0" w:color="auto"/>
            <w:left w:val="none" w:sz="0" w:space="0" w:color="auto"/>
            <w:bottom w:val="none" w:sz="0" w:space="0" w:color="auto"/>
            <w:right w:val="none" w:sz="0" w:space="0" w:color="auto"/>
          </w:divBdr>
        </w:div>
        <w:div w:id="1978756242">
          <w:marLeft w:val="0"/>
          <w:marRight w:val="0"/>
          <w:marTop w:val="0"/>
          <w:marBottom w:val="0"/>
          <w:divBdr>
            <w:top w:val="none" w:sz="0" w:space="0" w:color="auto"/>
            <w:left w:val="none" w:sz="0" w:space="0" w:color="auto"/>
            <w:bottom w:val="none" w:sz="0" w:space="0" w:color="auto"/>
            <w:right w:val="none" w:sz="0" w:space="0" w:color="auto"/>
          </w:divBdr>
        </w:div>
        <w:div w:id="2021619467">
          <w:marLeft w:val="0"/>
          <w:marRight w:val="0"/>
          <w:marTop w:val="0"/>
          <w:marBottom w:val="0"/>
          <w:divBdr>
            <w:top w:val="none" w:sz="0" w:space="0" w:color="auto"/>
            <w:left w:val="none" w:sz="0" w:space="0" w:color="auto"/>
            <w:bottom w:val="none" w:sz="0" w:space="0" w:color="auto"/>
            <w:right w:val="none" w:sz="0" w:space="0" w:color="auto"/>
          </w:divBdr>
        </w:div>
        <w:div w:id="2057073797">
          <w:marLeft w:val="0"/>
          <w:marRight w:val="0"/>
          <w:marTop w:val="0"/>
          <w:marBottom w:val="0"/>
          <w:divBdr>
            <w:top w:val="none" w:sz="0" w:space="0" w:color="auto"/>
            <w:left w:val="none" w:sz="0" w:space="0" w:color="auto"/>
            <w:bottom w:val="none" w:sz="0" w:space="0" w:color="auto"/>
            <w:right w:val="none" w:sz="0" w:space="0" w:color="auto"/>
          </w:divBdr>
        </w:div>
        <w:div w:id="2061783294">
          <w:marLeft w:val="0"/>
          <w:marRight w:val="0"/>
          <w:marTop w:val="0"/>
          <w:marBottom w:val="0"/>
          <w:divBdr>
            <w:top w:val="none" w:sz="0" w:space="0" w:color="auto"/>
            <w:left w:val="none" w:sz="0" w:space="0" w:color="auto"/>
            <w:bottom w:val="none" w:sz="0" w:space="0" w:color="auto"/>
            <w:right w:val="none" w:sz="0" w:space="0" w:color="auto"/>
          </w:divBdr>
        </w:div>
      </w:divsChild>
    </w:div>
    <w:div w:id="1188788612">
      <w:bodyDiv w:val="1"/>
      <w:marLeft w:val="0"/>
      <w:marRight w:val="0"/>
      <w:marTop w:val="0"/>
      <w:marBottom w:val="0"/>
      <w:divBdr>
        <w:top w:val="none" w:sz="0" w:space="0" w:color="auto"/>
        <w:left w:val="none" w:sz="0" w:space="0" w:color="auto"/>
        <w:bottom w:val="none" w:sz="0" w:space="0" w:color="auto"/>
        <w:right w:val="none" w:sz="0" w:space="0" w:color="auto"/>
      </w:divBdr>
      <w:divsChild>
        <w:div w:id="247543451">
          <w:marLeft w:val="0"/>
          <w:marRight w:val="0"/>
          <w:marTop w:val="0"/>
          <w:marBottom w:val="0"/>
          <w:divBdr>
            <w:top w:val="none" w:sz="0" w:space="0" w:color="auto"/>
            <w:left w:val="none" w:sz="0" w:space="0" w:color="auto"/>
            <w:bottom w:val="none" w:sz="0" w:space="0" w:color="auto"/>
            <w:right w:val="none" w:sz="0" w:space="0" w:color="auto"/>
          </w:divBdr>
        </w:div>
        <w:div w:id="254678781">
          <w:marLeft w:val="0"/>
          <w:marRight w:val="0"/>
          <w:marTop w:val="0"/>
          <w:marBottom w:val="0"/>
          <w:divBdr>
            <w:top w:val="none" w:sz="0" w:space="0" w:color="auto"/>
            <w:left w:val="none" w:sz="0" w:space="0" w:color="auto"/>
            <w:bottom w:val="none" w:sz="0" w:space="0" w:color="auto"/>
            <w:right w:val="none" w:sz="0" w:space="0" w:color="auto"/>
          </w:divBdr>
        </w:div>
        <w:div w:id="604846827">
          <w:marLeft w:val="0"/>
          <w:marRight w:val="0"/>
          <w:marTop w:val="0"/>
          <w:marBottom w:val="0"/>
          <w:divBdr>
            <w:top w:val="none" w:sz="0" w:space="0" w:color="auto"/>
            <w:left w:val="none" w:sz="0" w:space="0" w:color="auto"/>
            <w:bottom w:val="none" w:sz="0" w:space="0" w:color="auto"/>
            <w:right w:val="none" w:sz="0" w:space="0" w:color="auto"/>
          </w:divBdr>
        </w:div>
        <w:div w:id="1114902453">
          <w:marLeft w:val="0"/>
          <w:marRight w:val="0"/>
          <w:marTop w:val="0"/>
          <w:marBottom w:val="0"/>
          <w:divBdr>
            <w:top w:val="none" w:sz="0" w:space="0" w:color="auto"/>
            <w:left w:val="none" w:sz="0" w:space="0" w:color="auto"/>
            <w:bottom w:val="none" w:sz="0" w:space="0" w:color="auto"/>
            <w:right w:val="none" w:sz="0" w:space="0" w:color="auto"/>
          </w:divBdr>
        </w:div>
        <w:div w:id="1312439257">
          <w:marLeft w:val="0"/>
          <w:marRight w:val="0"/>
          <w:marTop w:val="0"/>
          <w:marBottom w:val="0"/>
          <w:divBdr>
            <w:top w:val="none" w:sz="0" w:space="0" w:color="auto"/>
            <w:left w:val="none" w:sz="0" w:space="0" w:color="auto"/>
            <w:bottom w:val="none" w:sz="0" w:space="0" w:color="auto"/>
            <w:right w:val="none" w:sz="0" w:space="0" w:color="auto"/>
          </w:divBdr>
        </w:div>
        <w:div w:id="1586261155">
          <w:marLeft w:val="0"/>
          <w:marRight w:val="0"/>
          <w:marTop w:val="0"/>
          <w:marBottom w:val="0"/>
          <w:divBdr>
            <w:top w:val="none" w:sz="0" w:space="0" w:color="auto"/>
            <w:left w:val="none" w:sz="0" w:space="0" w:color="auto"/>
            <w:bottom w:val="none" w:sz="0" w:space="0" w:color="auto"/>
            <w:right w:val="none" w:sz="0" w:space="0" w:color="auto"/>
          </w:divBdr>
        </w:div>
        <w:div w:id="1670912080">
          <w:marLeft w:val="0"/>
          <w:marRight w:val="0"/>
          <w:marTop w:val="0"/>
          <w:marBottom w:val="0"/>
          <w:divBdr>
            <w:top w:val="none" w:sz="0" w:space="0" w:color="auto"/>
            <w:left w:val="none" w:sz="0" w:space="0" w:color="auto"/>
            <w:bottom w:val="none" w:sz="0" w:space="0" w:color="auto"/>
            <w:right w:val="none" w:sz="0" w:space="0" w:color="auto"/>
          </w:divBdr>
        </w:div>
        <w:div w:id="1954634993">
          <w:marLeft w:val="0"/>
          <w:marRight w:val="0"/>
          <w:marTop w:val="0"/>
          <w:marBottom w:val="0"/>
          <w:divBdr>
            <w:top w:val="none" w:sz="0" w:space="0" w:color="auto"/>
            <w:left w:val="none" w:sz="0" w:space="0" w:color="auto"/>
            <w:bottom w:val="none" w:sz="0" w:space="0" w:color="auto"/>
            <w:right w:val="none" w:sz="0" w:space="0" w:color="auto"/>
          </w:divBdr>
        </w:div>
      </w:divsChild>
    </w:div>
    <w:div w:id="1368333797">
      <w:bodyDiv w:val="1"/>
      <w:marLeft w:val="0"/>
      <w:marRight w:val="0"/>
      <w:marTop w:val="0"/>
      <w:marBottom w:val="0"/>
      <w:divBdr>
        <w:top w:val="none" w:sz="0" w:space="0" w:color="auto"/>
        <w:left w:val="none" w:sz="0" w:space="0" w:color="auto"/>
        <w:bottom w:val="none" w:sz="0" w:space="0" w:color="auto"/>
        <w:right w:val="none" w:sz="0" w:space="0" w:color="auto"/>
      </w:divBdr>
      <w:divsChild>
        <w:div w:id="183906600">
          <w:marLeft w:val="0"/>
          <w:marRight w:val="0"/>
          <w:marTop w:val="0"/>
          <w:marBottom w:val="0"/>
          <w:divBdr>
            <w:top w:val="none" w:sz="0" w:space="0" w:color="auto"/>
            <w:left w:val="none" w:sz="0" w:space="0" w:color="auto"/>
            <w:bottom w:val="none" w:sz="0" w:space="0" w:color="auto"/>
            <w:right w:val="none" w:sz="0" w:space="0" w:color="auto"/>
          </w:divBdr>
        </w:div>
        <w:div w:id="1240823440">
          <w:marLeft w:val="0"/>
          <w:marRight w:val="0"/>
          <w:marTop w:val="0"/>
          <w:marBottom w:val="0"/>
          <w:divBdr>
            <w:top w:val="none" w:sz="0" w:space="0" w:color="auto"/>
            <w:left w:val="none" w:sz="0" w:space="0" w:color="auto"/>
            <w:bottom w:val="none" w:sz="0" w:space="0" w:color="auto"/>
            <w:right w:val="none" w:sz="0" w:space="0" w:color="auto"/>
          </w:divBdr>
          <w:divsChild>
            <w:div w:id="1111512375">
              <w:marLeft w:val="-75"/>
              <w:marRight w:val="0"/>
              <w:marTop w:val="30"/>
              <w:marBottom w:val="30"/>
              <w:divBdr>
                <w:top w:val="none" w:sz="0" w:space="0" w:color="auto"/>
                <w:left w:val="none" w:sz="0" w:space="0" w:color="auto"/>
                <w:bottom w:val="none" w:sz="0" w:space="0" w:color="auto"/>
                <w:right w:val="none" w:sz="0" w:space="0" w:color="auto"/>
              </w:divBdr>
              <w:divsChild>
                <w:div w:id="3671392">
                  <w:marLeft w:val="0"/>
                  <w:marRight w:val="0"/>
                  <w:marTop w:val="0"/>
                  <w:marBottom w:val="0"/>
                  <w:divBdr>
                    <w:top w:val="none" w:sz="0" w:space="0" w:color="auto"/>
                    <w:left w:val="none" w:sz="0" w:space="0" w:color="auto"/>
                    <w:bottom w:val="none" w:sz="0" w:space="0" w:color="auto"/>
                    <w:right w:val="none" w:sz="0" w:space="0" w:color="auto"/>
                  </w:divBdr>
                  <w:divsChild>
                    <w:div w:id="1228418565">
                      <w:marLeft w:val="0"/>
                      <w:marRight w:val="0"/>
                      <w:marTop w:val="0"/>
                      <w:marBottom w:val="0"/>
                      <w:divBdr>
                        <w:top w:val="none" w:sz="0" w:space="0" w:color="auto"/>
                        <w:left w:val="none" w:sz="0" w:space="0" w:color="auto"/>
                        <w:bottom w:val="none" w:sz="0" w:space="0" w:color="auto"/>
                        <w:right w:val="none" w:sz="0" w:space="0" w:color="auto"/>
                      </w:divBdr>
                    </w:div>
                  </w:divsChild>
                </w:div>
                <w:div w:id="7488334">
                  <w:marLeft w:val="0"/>
                  <w:marRight w:val="0"/>
                  <w:marTop w:val="0"/>
                  <w:marBottom w:val="0"/>
                  <w:divBdr>
                    <w:top w:val="none" w:sz="0" w:space="0" w:color="auto"/>
                    <w:left w:val="none" w:sz="0" w:space="0" w:color="auto"/>
                    <w:bottom w:val="none" w:sz="0" w:space="0" w:color="auto"/>
                    <w:right w:val="none" w:sz="0" w:space="0" w:color="auto"/>
                  </w:divBdr>
                  <w:divsChild>
                    <w:div w:id="1619949690">
                      <w:marLeft w:val="0"/>
                      <w:marRight w:val="0"/>
                      <w:marTop w:val="0"/>
                      <w:marBottom w:val="0"/>
                      <w:divBdr>
                        <w:top w:val="none" w:sz="0" w:space="0" w:color="auto"/>
                        <w:left w:val="none" w:sz="0" w:space="0" w:color="auto"/>
                        <w:bottom w:val="none" w:sz="0" w:space="0" w:color="auto"/>
                        <w:right w:val="none" w:sz="0" w:space="0" w:color="auto"/>
                      </w:divBdr>
                    </w:div>
                  </w:divsChild>
                </w:div>
                <w:div w:id="31200735">
                  <w:marLeft w:val="0"/>
                  <w:marRight w:val="0"/>
                  <w:marTop w:val="0"/>
                  <w:marBottom w:val="0"/>
                  <w:divBdr>
                    <w:top w:val="none" w:sz="0" w:space="0" w:color="auto"/>
                    <w:left w:val="none" w:sz="0" w:space="0" w:color="auto"/>
                    <w:bottom w:val="none" w:sz="0" w:space="0" w:color="auto"/>
                    <w:right w:val="none" w:sz="0" w:space="0" w:color="auto"/>
                  </w:divBdr>
                  <w:divsChild>
                    <w:div w:id="205874083">
                      <w:marLeft w:val="0"/>
                      <w:marRight w:val="0"/>
                      <w:marTop w:val="0"/>
                      <w:marBottom w:val="0"/>
                      <w:divBdr>
                        <w:top w:val="none" w:sz="0" w:space="0" w:color="auto"/>
                        <w:left w:val="none" w:sz="0" w:space="0" w:color="auto"/>
                        <w:bottom w:val="none" w:sz="0" w:space="0" w:color="auto"/>
                        <w:right w:val="none" w:sz="0" w:space="0" w:color="auto"/>
                      </w:divBdr>
                    </w:div>
                  </w:divsChild>
                </w:div>
                <w:div w:id="33429957">
                  <w:marLeft w:val="0"/>
                  <w:marRight w:val="0"/>
                  <w:marTop w:val="0"/>
                  <w:marBottom w:val="0"/>
                  <w:divBdr>
                    <w:top w:val="none" w:sz="0" w:space="0" w:color="auto"/>
                    <w:left w:val="none" w:sz="0" w:space="0" w:color="auto"/>
                    <w:bottom w:val="none" w:sz="0" w:space="0" w:color="auto"/>
                    <w:right w:val="none" w:sz="0" w:space="0" w:color="auto"/>
                  </w:divBdr>
                  <w:divsChild>
                    <w:div w:id="1631785728">
                      <w:marLeft w:val="0"/>
                      <w:marRight w:val="0"/>
                      <w:marTop w:val="0"/>
                      <w:marBottom w:val="0"/>
                      <w:divBdr>
                        <w:top w:val="none" w:sz="0" w:space="0" w:color="auto"/>
                        <w:left w:val="none" w:sz="0" w:space="0" w:color="auto"/>
                        <w:bottom w:val="none" w:sz="0" w:space="0" w:color="auto"/>
                        <w:right w:val="none" w:sz="0" w:space="0" w:color="auto"/>
                      </w:divBdr>
                    </w:div>
                  </w:divsChild>
                </w:div>
                <w:div w:id="34475778">
                  <w:marLeft w:val="0"/>
                  <w:marRight w:val="0"/>
                  <w:marTop w:val="0"/>
                  <w:marBottom w:val="0"/>
                  <w:divBdr>
                    <w:top w:val="none" w:sz="0" w:space="0" w:color="auto"/>
                    <w:left w:val="none" w:sz="0" w:space="0" w:color="auto"/>
                    <w:bottom w:val="none" w:sz="0" w:space="0" w:color="auto"/>
                    <w:right w:val="none" w:sz="0" w:space="0" w:color="auto"/>
                  </w:divBdr>
                  <w:divsChild>
                    <w:div w:id="2014408281">
                      <w:marLeft w:val="0"/>
                      <w:marRight w:val="0"/>
                      <w:marTop w:val="0"/>
                      <w:marBottom w:val="0"/>
                      <w:divBdr>
                        <w:top w:val="none" w:sz="0" w:space="0" w:color="auto"/>
                        <w:left w:val="none" w:sz="0" w:space="0" w:color="auto"/>
                        <w:bottom w:val="none" w:sz="0" w:space="0" w:color="auto"/>
                        <w:right w:val="none" w:sz="0" w:space="0" w:color="auto"/>
                      </w:divBdr>
                    </w:div>
                  </w:divsChild>
                </w:div>
                <w:div w:id="45877298">
                  <w:marLeft w:val="0"/>
                  <w:marRight w:val="0"/>
                  <w:marTop w:val="0"/>
                  <w:marBottom w:val="0"/>
                  <w:divBdr>
                    <w:top w:val="none" w:sz="0" w:space="0" w:color="auto"/>
                    <w:left w:val="none" w:sz="0" w:space="0" w:color="auto"/>
                    <w:bottom w:val="none" w:sz="0" w:space="0" w:color="auto"/>
                    <w:right w:val="none" w:sz="0" w:space="0" w:color="auto"/>
                  </w:divBdr>
                  <w:divsChild>
                    <w:div w:id="784084912">
                      <w:marLeft w:val="0"/>
                      <w:marRight w:val="0"/>
                      <w:marTop w:val="0"/>
                      <w:marBottom w:val="0"/>
                      <w:divBdr>
                        <w:top w:val="none" w:sz="0" w:space="0" w:color="auto"/>
                        <w:left w:val="none" w:sz="0" w:space="0" w:color="auto"/>
                        <w:bottom w:val="none" w:sz="0" w:space="0" w:color="auto"/>
                        <w:right w:val="none" w:sz="0" w:space="0" w:color="auto"/>
                      </w:divBdr>
                    </w:div>
                  </w:divsChild>
                </w:div>
                <w:div w:id="46074072">
                  <w:marLeft w:val="0"/>
                  <w:marRight w:val="0"/>
                  <w:marTop w:val="0"/>
                  <w:marBottom w:val="0"/>
                  <w:divBdr>
                    <w:top w:val="none" w:sz="0" w:space="0" w:color="auto"/>
                    <w:left w:val="none" w:sz="0" w:space="0" w:color="auto"/>
                    <w:bottom w:val="none" w:sz="0" w:space="0" w:color="auto"/>
                    <w:right w:val="none" w:sz="0" w:space="0" w:color="auto"/>
                  </w:divBdr>
                  <w:divsChild>
                    <w:div w:id="587154163">
                      <w:marLeft w:val="0"/>
                      <w:marRight w:val="0"/>
                      <w:marTop w:val="0"/>
                      <w:marBottom w:val="0"/>
                      <w:divBdr>
                        <w:top w:val="none" w:sz="0" w:space="0" w:color="auto"/>
                        <w:left w:val="none" w:sz="0" w:space="0" w:color="auto"/>
                        <w:bottom w:val="none" w:sz="0" w:space="0" w:color="auto"/>
                        <w:right w:val="none" w:sz="0" w:space="0" w:color="auto"/>
                      </w:divBdr>
                    </w:div>
                  </w:divsChild>
                </w:div>
                <w:div w:id="46493494">
                  <w:marLeft w:val="0"/>
                  <w:marRight w:val="0"/>
                  <w:marTop w:val="0"/>
                  <w:marBottom w:val="0"/>
                  <w:divBdr>
                    <w:top w:val="none" w:sz="0" w:space="0" w:color="auto"/>
                    <w:left w:val="none" w:sz="0" w:space="0" w:color="auto"/>
                    <w:bottom w:val="none" w:sz="0" w:space="0" w:color="auto"/>
                    <w:right w:val="none" w:sz="0" w:space="0" w:color="auto"/>
                  </w:divBdr>
                  <w:divsChild>
                    <w:div w:id="1827476088">
                      <w:marLeft w:val="0"/>
                      <w:marRight w:val="0"/>
                      <w:marTop w:val="0"/>
                      <w:marBottom w:val="0"/>
                      <w:divBdr>
                        <w:top w:val="none" w:sz="0" w:space="0" w:color="auto"/>
                        <w:left w:val="none" w:sz="0" w:space="0" w:color="auto"/>
                        <w:bottom w:val="none" w:sz="0" w:space="0" w:color="auto"/>
                        <w:right w:val="none" w:sz="0" w:space="0" w:color="auto"/>
                      </w:divBdr>
                    </w:div>
                  </w:divsChild>
                </w:div>
                <w:div w:id="56628893">
                  <w:marLeft w:val="0"/>
                  <w:marRight w:val="0"/>
                  <w:marTop w:val="0"/>
                  <w:marBottom w:val="0"/>
                  <w:divBdr>
                    <w:top w:val="none" w:sz="0" w:space="0" w:color="auto"/>
                    <w:left w:val="none" w:sz="0" w:space="0" w:color="auto"/>
                    <w:bottom w:val="none" w:sz="0" w:space="0" w:color="auto"/>
                    <w:right w:val="none" w:sz="0" w:space="0" w:color="auto"/>
                  </w:divBdr>
                  <w:divsChild>
                    <w:div w:id="691958715">
                      <w:marLeft w:val="0"/>
                      <w:marRight w:val="0"/>
                      <w:marTop w:val="0"/>
                      <w:marBottom w:val="0"/>
                      <w:divBdr>
                        <w:top w:val="none" w:sz="0" w:space="0" w:color="auto"/>
                        <w:left w:val="none" w:sz="0" w:space="0" w:color="auto"/>
                        <w:bottom w:val="none" w:sz="0" w:space="0" w:color="auto"/>
                        <w:right w:val="none" w:sz="0" w:space="0" w:color="auto"/>
                      </w:divBdr>
                    </w:div>
                  </w:divsChild>
                </w:div>
                <w:div w:id="63451919">
                  <w:marLeft w:val="0"/>
                  <w:marRight w:val="0"/>
                  <w:marTop w:val="0"/>
                  <w:marBottom w:val="0"/>
                  <w:divBdr>
                    <w:top w:val="none" w:sz="0" w:space="0" w:color="auto"/>
                    <w:left w:val="none" w:sz="0" w:space="0" w:color="auto"/>
                    <w:bottom w:val="none" w:sz="0" w:space="0" w:color="auto"/>
                    <w:right w:val="none" w:sz="0" w:space="0" w:color="auto"/>
                  </w:divBdr>
                  <w:divsChild>
                    <w:div w:id="277950834">
                      <w:marLeft w:val="0"/>
                      <w:marRight w:val="0"/>
                      <w:marTop w:val="0"/>
                      <w:marBottom w:val="0"/>
                      <w:divBdr>
                        <w:top w:val="none" w:sz="0" w:space="0" w:color="auto"/>
                        <w:left w:val="none" w:sz="0" w:space="0" w:color="auto"/>
                        <w:bottom w:val="none" w:sz="0" w:space="0" w:color="auto"/>
                        <w:right w:val="none" w:sz="0" w:space="0" w:color="auto"/>
                      </w:divBdr>
                    </w:div>
                  </w:divsChild>
                </w:div>
                <w:div w:id="64650076">
                  <w:marLeft w:val="0"/>
                  <w:marRight w:val="0"/>
                  <w:marTop w:val="0"/>
                  <w:marBottom w:val="0"/>
                  <w:divBdr>
                    <w:top w:val="none" w:sz="0" w:space="0" w:color="auto"/>
                    <w:left w:val="none" w:sz="0" w:space="0" w:color="auto"/>
                    <w:bottom w:val="none" w:sz="0" w:space="0" w:color="auto"/>
                    <w:right w:val="none" w:sz="0" w:space="0" w:color="auto"/>
                  </w:divBdr>
                  <w:divsChild>
                    <w:div w:id="2049837093">
                      <w:marLeft w:val="0"/>
                      <w:marRight w:val="0"/>
                      <w:marTop w:val="0"/>
                      <w:marBottom w:val="0"/>
                      <w:divBdr>
                        <w:top w:val="none" w:sz="0" w:space="0" w:color="auto"/>
                        <w:left w:val="none" w:sz="0" w:space="0" w:color="auto"/>
                        <w:bottom w:val="none" w:sz="0" w:space="0" w:color="auto"/>
                        <w:right w:val="none" w:sz="0" w:space="0" w:color="auto"/>
                      </w:divBdr>
                    </w:div>
                  </w:divsChild>
                </w:div>
                <w:div w:id="73481302">
                  <w:marLeft w:val="0"/>
                  <w:marRight w:val="0"/>
                  <w:marTop w:val="0"/>
                  <w:marBottom w:val="0"/>
                  <w:divBdr>
                    <w:top w:val="none" w:sz="0" w:space="0" w:color="auto"/>
                    <w:left w:val="none" w:sz="0" w:space="0" w:color="auto"/>
                    <w:bottom w:val="none" w:sz="0" w:space="0" w:color="auto"/>
                    <w:right w:val="none" w:sz="0" w:space="0" w:color="auto"/>
                  </w:divBdr>
                  <w:divsChild>
                    <w:div w:id="1146971266">
                      <w:marLeft w:val="0"/>
                      <w:marRight w:val="0"/>
                      <w:marTop w:val="0"/>
                      <w:marBottom w:val="0"/>
                      <w:divBdr>
                        <w:top w:val="none" w:sz="0" w:space="0" w:color="auto"/>
                        <w:left w:val="none" w:sz="0" w:space="0" w:color="auto"/>
                        <w:bottom w:val="none" w:sz="0" w:space="0" w:color="auto"/>
                        <w:right w:val="none" w:sz="0" w:space="0" w:color="auto"/>
                      </w:divBdr>
                    </w:div>
                  </w:divsChild>
                </w:div>
                <w:div w:id="83649902">
                  <w:marLeft w:val="0"/>
                  <w:marRight w:val="0"/>
                  <w:marTop w:val="0"/>
                  <w:marBottom w:val="0"/>
                  <w:divBdr>
                    <w:top w:val="none" w:sz="0" w:space="0" w:color="auto"/>
                    <w:left w:val="none" w:sz="0" w:space="0" w:color="auto"/>
                    <w:bottom w:val="none" w:sz="0" w:space="0" w:color="auto"/>
                    <w:right w:val="none" w:sz="0" w:space="0" w:color="auto"/>
                  </w:divBdr>
                  <w:divsChild>
                    <w:div w:id="11422812">
                      <w:marLeft w:val="0"/>
                      <w:marRight w:val="0"/>
                      <w:marTop w:val="0"/>
                      <w:marBottom w:val="0"/>
                      <w:divBdr>
                        <w:top w:val="none" w:sz="0" w:space="0" w:color="auto"/>
                        <w:left w:val="none" w:sz="0" w:space="0" w:color="auto"/>
                        <w:bottom w:val="none" w:sz="0" w:space="0" w:color="auto"/>
                        <w:right w:val="none" w:sz="0" w:space="0" w:color="auto"/>
                      </w:divBdr>
                    </w:div>
                  </w:divsChild>
                </w:div>
                <w:div w:id="93718114">
                  <w:marLeft w:val="0"/>
                  <w:marRight w:val="0"/>
                  <w:marTop w:val="0"/>
                  <w:marBottom w:val="0"/>
                  <w:divBdr>
                    <w:top w:val="none" w:sz="0" w:space="0" w:color="auto"/>
                    <w:left w:val="none" w:sz="0" w:space="0" w:color="auto"/>
                    <w:bottom w:val="none" w:sz="0" w:space="0" w:color="auto"/>
                    <w:right w:val="none" w:sz="0" w:space="0" w:color="auto"/>
                  </w:divBdr>
                  <w:divsChild>
                    <w:div w:id="1013263346">
                      <w:marLeft w:val="0"/>
                      <w:marRight w:val="0"/>
                      <w:marTop w:val="0"/>
                      <w:marBottom w:val="0"/>
                      <w:divBdr>
                        <w:top w:val="none" w:sz="0" w:space="0" w:color="auto"/>
                        <w:left w:val="none" w:sz="0" w:space="0" w:color="auto"/>
                        <w:bottom w:val="none" w:sz="0" w:space="0" w:color="auto"/>
                        <w:right w:val="none" w:sz="0" w:space="0" w:color="auto"/>
                      </w:divBdr>
                    </w:div>
                  </w:divsChild>
                </w:div>
                <w:div w:id="95945374">
                  <w:marLeft w:val="0"/>
                  <w:marRight w:val="0"/>
                  <w:marTop w:val="0"/>
                  <w:marBottom w:val="0"/>
                  <w:divBdr>
                    <w:top w:val="none" w:sz="0" w:space="0" w:color="auto"/>
                    <w:left w:val="none" w:sz="0" w:space="0" w:color="auto"/>
                    <w:bottom w:val="none" w:sz="0" w:space="0" w:color="auto"/>
                    <w:right w:val="none" w:sz="0" w:space="0" w:color="auto"/>
                  </w:divBdr>
                  <w:divsChild>
                    <w:div w:id="1537083676">
                      <w:marLeft w:val="0"/>
                      <w:marRight w:val="0"/>
                      <w:marTop w:val="0"/>
                      <w:marBottom w:val="0"/>
                      <w:divBdr>
                        <w:top w:val="none" w:sz="0" w:space="0" w:color="auto"/>
                        <w:left w:val="none" w:sz="0" w:space="0" w:color="auto"/>
                        <w:bottom w:val="none" w:sz="0" w:space="0" w:color="auto"/>
                        <w:right w:val="none" w:sz="0" w:space="0" w:color="auto"/>
                      </w:divBdr>
                    </w:div>
                    <w:div w:id="1598321728">
                      <w:marLeft w:val="0"/>
                      <w:marRight w:val="0"/>
                      <w:marTop w:val="0"/>
                      <w:marBottom w:val="0"/>
                      <w:divBdr>
                        <w:top w:val="none" w:sz="0" w:space="0" w:color="auto"/>
                        <w:left w:val="none" w:sz="0" w:space="0" w:color="auto"/>
                        <w:bottom w:val="none" w:sz="0" w:space="0" w:color="auto"/>
                        <w:right w:val="none" w:sz="0" w:space="0" w:color="auto"/>
                      </w:divBdr>
                    </w:div>
                  </w:divsChild>
                </w:div>
                <w:div w:id="116334768">
                  <w:marLeft w:val="0"/>
                  <w:marRight w:val="0"/>
                  <w:marTop w:val="0"/>
                  <w:marBottom w:val="0"/>
                  <w:divBdr>
                    <w:top w:val="none" w:sz="0" w:space="0" w:color="auto"/>
                    <w:left w:val="none" w:sz="0" w:space="0" w:color="auto"/>
                    <w:bottom w:val="none" w:sz="0" w:space="0" w:color="auto"/>
                    <w:right w:val="none" w:sz="0" w:space="0" w:color="auto"/>
                  </w:divBdr>
                  <w:divsChild>
                    <w:div w:id="999311455">
                      <w:marLeft w:val="0"/>
                      <w:marRight w:val="0"/>
                      <w:marTop w:val="0"/>
                      <w:marBottom w:val="0"/>
                      <w:divBdr>
                        <w:top w:val="none" w:sz="0" w:space="0" w:color="auto"/>
                        <w:left w:val="none" w:sz="0" w:space="0" w:color="auto"/>
                        <w:bottom w:val="none" w:sz="0" w:space="0" w:color="auto"/>
                        <w:right w:val="none" w:sz="0" w:space="0" w:color="auto"/>
                      </w:divBdr>
                    </w:div>
                  </w:divsChild>
                </w:div>
                <w:div w:id="123354705">
                  <w:marLeft w:val="0"/>
                  <w:marRight w:val="0"/>
                  <w:marTop w:val="0"/>
                  <w:marBottom w:val="0"/>
                  <w:divBdr>
                    <w:top w:val="none" w:sz="0" w:space="0" w:color="auto"/>
                    <w:left w:val="none" w:sz="0" w:space="0" w:color="auto"/>
                    <w:bottom w:val="none" w:sz="0" w:space="0" w:color="auto"/>
                    <w:right w:val="none" w:sz="0" w:space="0" w:color="auto"/>
                  </w:divBdr>
                  <w:divsChild>
                    <w:div w:id="524900869">
                      <w:marLeft w:val="0"/>
                      <w:marRight w:val="0"/>
                      <w:marTop w:val="0"/>
                      <w:marBottom w:val="0"/>
                      <w:divBdr>
                        <w:top w:val="none" w:sz="0" w:space="0" w:color="auto"/>
                        <w:left w:val="none" w:sz="0" w:space="0" w:color="auto"/>
                        <w:bottom w:val="none" w:sz="0" w:space="0" w:color="auto"/>
                        <w:right w:val="none" w:sz="0" w:space="0" w:color="auto"/>
                      </w:divBdr>
                    </w:div>
                  </w:divsChild>
                </w:div>
                <w:div w:id="123735412">
                  <w:marLeft w:val="0"/>
                  <w:marRight w:val="0"/>
                  <w:marTop w:val="0"/>
                  <w:marBottom w:val="0"/>
                  <w:divBdr>
                    <w:top w:val="none" w:sz="0" w:space="0" w:color="auto"/>
                    <w:left w:val="none" w:sz="0" w:space="0" w:color="auto"/>
                    <w:bottom w:val="none" w:sz="0" w:space="0" w:color="auto"/>
                    <w:right w:val="none" w:sz="0" w:space="0" w:color="auto"/>
                  </w:divBdr>
                  <w:divsChild>
                    <w:div w:id="1037777244">
                      <w:marLeft w:val="0"/>
                      <w:marRight w:val="0"/>
                      <w:marTop w:val="0"/>
                      <w:marBottom w:val="0"/>
                      <w:divBdr>
                        <w:top w:val="none" w:sz="0" w:space="0" w:color="auto"/>
                        <w:left w:val="none" w:sz="0" w:space="0" w:color="auto"/>
                        <w:bottom w:val="none" w:sz="0" w:space="0" w:color="auto"/>
                        <w:right w:val="none" w:sz="0" w:space="0" w:color="auto"/>
                      </w:divBdr>
                    </w:div>
                  </w:divsChild>
                </w:div>
                <w:div w:id="130483078">
                  <w:marLeft w:val="0"/>
                  <w:marRight w:val="0"/>
                  <w:marTop w:val="0"/>
                  <w:marBottom w:val="0"/>
                  <w:divBdr>
                    <w:top w:val="none" w:sz="0" w:space="0" w:color="auto"/>
                    <w:left w:val="none" w:sz="0" w:space="0" w:color="auto"/>
                    <w:bottom w:val="none" w:sz="0" w:space="0" w:color="auto"/>
                    <w:right w:val="none" w:sz="0" w:space="0" w:color="auto"/>
                  </w:divBdr>
                  <w:divsChild>
                    <w:div w:id="1660691712">
                      <w:marLeft w:val="0"/>
                      <w:marRight w:val="0"/>
                      <w:marTop w:val="0"/>
                      <w:marBottom w:val="0"/>
                      <w:divBdr>
                        <w:top w:val="none" w:sz="0" w:space="0" w:color="auto"/>
                        <w:left w:val="none" w:sz="0" w:space="0" w:color="auto"/>
                        <w:bottom w:val="none" w:sz="0" w:space="0" w:color="auto"/>
                        <w:right w:val="none" w:sz="0" w:space="0" w:color="auto"/>
                      </w:divBdr>
                    </w:div>
                  </w:divsChild>
                </w:div>
                <w:div w:id="157157563">
                  <w:marLeft w:val="0"/>
                  <w:marRight w:val="0"/>
                  <w:marTop w:val="0"/>
                  <w:marBottom w:val="0"/>
                  <w:divBdr>
                    <w:top w:val="none" w:sz="0" w:space="0" w:color="auto"/>
                    <w:left w:val="none" w:sz="0" w:space="0" w:color="auto"/>
                    <w:bottom w:val="none" w:sz="0" w:space="0" w:color="auto"/>
                    <w:right w:val="none" w:sz="0" w:space="0" w:color="auto"/>
                  </w:divBdr>
                  <w:divsChild>
                    <w:div w:id="1697004441">
                      <w:marLeft w:val="0"/>
                      <w:marRight w:val="0"/>
                      <w:marTop w:val="0"/>
                      <w:marBottom w:val="0"/>
                      <w:divBdr>
                        <w:top w:val="none" w:sz="0" w:space="0" w:color="auto"/>
                        <w:left w:val="none" w:sz="0" w:space="0" w:color="auto"/>
                        <w:bottom w:val="none" w:sz="0" w:space="0" w:color="auto"/>
                        <w:right w:val="none" w:sz="0" w:space="0" w:color="auto"/>
                      </w:divBdr>
                    </w:div>
                  </w:divsChild>
                </w:div>
                <w:div w:id="163129453">
                  <w:marLeft w:val="0"/>
                  <w:marRight w:val="0"/>
                  <w:marTop w:val="0"/>
                  <w:marBottom w:val="0"/>
                  <w:divBdr>
                    <w:top w:val="none" w:sz="0" w:space="0" w:color="auto"/>
                    <w:left w:val="none" w:sz="0" w:space="0" w:color="auto"/>
                    <w:bottom w:val="none" w:sz="0" w:space="0" w:color="auto"/>
                    <w:right w:val="none" w:sz="0" w:space="0" w:color="auto"/>
                  </w:divBdr>
                  <w:divsChild>
                    <w:div w:id="1279218007">
                      <w:marLeft w:val="0"/>
                      <w:marRight w:val="0"/>
                      <w:marTop w:val="0"/>
                      <w:marBottom w:val="0"/>
                      <w:divBdr>
                        <w:top w:val="none" w:sz="0" w:space="0" w:color="auto"/>
                        <w:left w:val="none" w:sz="0" w:space="0" w:color="auto"/>
                        <w:bottom w:val="none" w:sz="0" w:space="0" w:color="auto"/>
                        <w:right w:val="none" w:sz="0" w:space="0" w:color="auto"/>
                      </w:divBdr>
                    </w:div>
                  </w:divsChild>
                </w:div>
                <w:div w:id="178203638">
                  <w:marLeft w:val="0"/>
                  <w:marRight w:val="0"/>
                  <w:marTop w:val="0"/>
                  <w:marBottom w:val="0"/>
                  <w:divBdr>
                    <w:top w:val="none" w:sz="0" w:space="0" w:color="auto"/>
                    <w:left w:val="none" w:sz="0" w:space="0" w:color="auto"/>
                    <w:bottom w:val="none" w:sz="0" w:space="0" w:color="auto"/>
                    <w:right w:val="none" w:sz="0" w:space="0" w:color="auto"/>
                  </w:divBdr>
                  <w:divsChild>
                    <w:div w:id="747002169">
                      <w:marLeft w:val="0"/>
                      <w:marRight w:val="0"/>
                      <w:marTop w:val="0"/>
                      <w:marBottom w:val="0"/>
                      <w:divBdr>
                        <w:top w:val="none" w:sz="0" w:space="0" w:color="auto"/>
                        <w:left w:val="none" w:sz="0" w:space="0" w:color="auto"/>
                        <w:bottom w:val="none" w:sz="0" w:space="0" w:color="auto"/>
                        <w:right w:val="none" w:sz="0" w:space="0" w:color="auto"/>
                      </w:divBdr>
                    </w:div>
                  </w:divsChild>
                </w:div>
                <w:div w:id="181089376">
                  <w:marLeft w:val="0"/>
                  <w:marRight w:val="0"/>
                  <w:marTop w:val="0"/>
                  <w:marBottom w:val="0"/>
                  <w:divBdr>
                    <w:top w:val="none" w:sz="0" w:space="0" w:color="auto"/>
                    <w:left w:val="none" w:sz="0" w:space="0" w:color="auto"/>
                    <w:bottom w:val="none" w:sz="0" w:space="0" w:color="auto"/>
                    <w:right w:val="none" w:sz="0" w:space="0" w:color="auto"/>
                  </w:divBdr>
                  <w:divsChild>
                    <w:div w:id="758675868">
                      <w:marLeft w:val="0"/>
                      <w:marRight w:val="0"/>
                      <w:marTop w:val="0"/>
                      <w:marBottom w:val="0"/>
                      <w:divBdr>
                        <w:top w:val="none" w:sz="0" w:space="0" w:color="auto"/>
                        <w:left w:val="none" w:sz="0" w:space="0" w:color="auto"/>
                        <w:bottom w:val="none" w:sz="0" w:space="0" w:color="auto"/>
                        <w:right w:val="none" w:sz="0" w:space="0" w:color="auto"/>
                      </w:divBdr>
                    </w:div>
                  </w:divsChild>
                </w:div>
                <w:div w:id="183710431">
                  <w:marLeft w:val="0"/>
                  <w:marRight w:val="0"/>
                  <w:marTop w:val="0"/>
                  <w:marBottom w:val="0"/>
                  <w:divBdr>
                    <w:top w:val="none" w:sz="0" w:space="0" w:color="auto"/>
                    <w:left w:val="none" w:sz="0" w:space="0" w:color="auto"/>
                    <w:bottom w:val="none" w:sz="0" w:space="0" w:color="auto"/>
                    <w:right w:val="none" w:sz="0" w:space="0" w:color="auto"/>
                  </w:divBdr>
                  <w:divsChild>
                    <w:div w:id="1550190239">
                      <w:marLeft w:val="0"/>
                      <w:marRight w:val="0"/>
                      <w:marTop w:val="0"/>
                      <w:marBottom w:val="0"/>
                      <w:divBdr>
                        <w:top w:val="none" w:sz="0" w:space="0" w:color="auto"/>
                        <w:left w:val="none" w:sz="0" w:space="0" w:color="auto"/>
                        <w:bottom w:val="none" w:sz="0" w:space="0" w:color="auto"/>
                        <w:right w:val="none" w:sz="0" w:space="0" w:color="auto"/>
                      </w:divBdr>
                    </w:div>
                  </w:divsChild>
                </w:div>
                <w:div w:id="190338698">
                  <w:marLeft w:val="0"/>
                  <w:marRight w:val="0"/>
                  <w:marTop w:val="0"/>
                  <w:marBottom w:val="0"/>
                  <w:divBdr>
                    <w:top w:val="none" w:sz="0" w:space="0" w:color="auto"/>
                    <w:left w:val="none" w:sz="0" w:space="0" w:color="auto"/>
                    <w:bottom w:val="none" w:sz="0" w:space="0" w:color="auto"/>
                    <w:right w:val="none" w:sz="0" w:space="0" w:color="auto"/>
                  </w:divBdr>
                  <w:divsChild>
                    <w:div w:id="120197665">
                      <w:marLeft w:val="0"/>
                      <w:marRight w:val="0"/>
                      <w:marTop w:val="0"/>
                      <w:marBottom w:val="0"/>
                      <w:divBdr>
                        <w:top w:val="none" w:sz="0" w:space="0" w:color="auto"/>
                        <w:left w:val="none" w:sz="0" w:space="0" w:color="auto"/>
                        <w:bottom w:val="none" w:sz="0" w:space="0" w:color="auto"/>
                        <w:right w:val="none" w:sz="0" w:space="0" w:color="auto"/>
                      </w:divBdr>
                    </w:div>
                  </w:divsChild>
                </w:div>
                <w:div w:id="216745766">
                  <w:marLeft w:val="0"/>
                  <w:marRight w:val="0"/>
                  <w:marTop w:val="0"/>
                  <w:marBottom w:val="0"/>
                  <w:divBdr>
                    <w:top w:val="none" w:sz="0" w:space="0" w:color="auto"/>
                    <w:left w:val="none" w:sz="0" w:space="0" w:color="auto"/>
                    <w:bottom w:val="none" w:sz="0" w:space="0" w:color="auto"/>
                    <w:right w:val="none" w:sz="0" w:space="0" w:color="auto"/>
                  </w:divBdr>
                  <w:divsChild>
                    <w:div w:id="1695494828">
                      <w:marLeft w:val="0"/>
                      <w:marRight w:val="0"/>
                      <w:marTop w:val="0"/>
                      <w:marBottom w:val="0"/>
                      <w:divBdr>
                        <w:top w:val="none" w:sz="0" w:space="0" w:color="auto"/>
                        <w:left w:val="none" w:sz="0" w:space="0" w:color="auto"/>
                        <w:bottom w:val="none" w:sz="0" w:space="0" w:color="auto"/>
                        <w:right w:val="none" w:sz="0" w:space="0" w:color="auto"/>
                      </w:divBdr>
                    </w:div>
                  </w:divsChild>
                </w:div>
                <w:div w:id="218978054">
                  <w:marLeft w:val="0"/>
                  <w:marRight w:val="0"/>
                  <w:marTop w:val="0"/>
                  <w:marBottom w:val="0"/>
                  <w:divBdr>
                    <w:top w:val="none" w:sz="0" w:space="0" w:color="auto"/>
                    <w:left w:val="none" w:sz="0" w:space="0" w:color="auto"/>
                    <w:bottom w:val="none" w:sz="0" w:space="0" w:color="auto"/>
                    <w:right w:val="none" w:sz="0" w:space="0" w:color="auto"/>
                  </w:divBdr>
                  <w:divsChild>
                    <w:div w:id="1452748570">
                      <w:marLeft w:val="0"/>
                      <w:marRight w:val="0"/>
                      <w:marTop w:val="0"/>
                      <w:marBottom w:val="0"/>
                      <w:divBdr>
                        <w:top w:val="none" w:sz="0" w:space="0" w:color="auto"/>
                        <w:left w:val="none" w:sz="0" w:space="0" w:color="auto"/>
                        <w:bottom w:val="none" w:sz="0" w:space="0" w:color="auto"/>
                        <w:right w:val="none" w:sz="0" w:space="0" w:color="auto"/>
                      </w:divBdr>
                    </w:div>
                  </w:divsChild>
                </w:div>
                <w:div w:id="230509134">
                  <w:marLeft w:val="0"/>
                  <w:marRight w:val="0"/>
                  <w:marTop w:val="0"/>
                  <w:marBottom w:val="0"/>
                  <w:divBdr>
                    <w:top w:val="none" w:sz="0" w:space="0" w:color="auto"/>
                    <w:left w:val="none" w:sz="0" w:space="0" w:color="auto"/>
                    <w:bottom w:val="none" w:sz="0" w:space="0" w:color="auto"/>
                    <w:right w:val="none" w:sz="0" w:space="0" w:color="auto"/>
                  </w:divBdr>
                  <w:divsChild>
                    <w:div w:id="70811457">
                      <w:marLeft w:val="0"/>
                      <w:marRight w:val="0"/>
                      <w:marTop w:val="0"/>
                      <w:marBottom w:val="0"/>
                      <w:divBdr>
                        <w:top w:val="none" w:sz="0" w:space="0" w:color="auto"/>
                        <w:left w:val="none" w:sz="0" w:space="0" w:color="auto"/>
                        <w:bottom w:val="none" w:sz="0" w:space="0" w:color="auto"/>
                        <w:right w:val="none" w:sz="0" w:space="0" w:color="auto"/>
                      </w:divBdr>
                    </w:div>
                  </w:divsChild>
                </w:div>
                <w:div w:id="236290014">
                  <w:marLeft w:val="0"/>
                  <w:marRight w:val="0"/>
                  <w:marTop w:val="0"/>
                  <w:marBottom w:val="0"/>
                  <w:divBdr>
                    <w:top w:val="none" w:sz="0" w:space="0" w:color="auto"/>
                    <w:left w:val="none" w:sz="0" w:space="0" w:color="auto"/>
                    <w:bottom w:val="none" w:sz="0" w:space="0" w:color="auto"/>
                    <w:right w:val="none" w:sz="0" w:space="0" w:color="auto"/>
                  </w:divBdr>
                  <w:divsChild>
                    <w:div w:id="113444818">
                      <w:marLeft w:val="0"/>
                      <w:marRight w:val="0"/>
                      <w:marTop w:val="0"/>
                      <w:marBottom w:val="0"/>
                      <w:divBdr>
                        <w:top w:val="none" w:sz="0" w:space="0" w:color="auto"/>
                        <w:left w:val="none" w:sz="0" w:space="0" w:color="auto"/>
                        <w:bottom w:val="none" w:sz="0" w:space="0" w:color="auto"/>
                        <w:right w:val="none" w:sz="0" w:space="0" w:color="auto"/>
                      </w:divBdr>
                    </w:div>
                    <w:div w:id="339551238">
                      <w:marLeft w:val="0"/>
                      <w:marRight w:val="0"/>
                      <w:marTop w:val="0"/>
                      <w:marBottom w:val="0"/>
                      <w:divBdr>
                        <w:top w:val="none" w:sz="0" w:space="0" w:color="auto"/>
                        <w:left w:val="none" w:sz="0" w:space="0" w:color="auto"/>
                        <w:bottom w:val="none" w:sz="0" w:space="0" w:color="auto"/>
                        <w:right w:val="none" w:sz="0" w:space="0" w:color="auto"/>
                      </w:divBdr>
                    </w:div>
                    <w:div w:id="657922393">
                      <w:marLeft w:val="0"/>
                      <w:marRight w:val="0"/>
                      <w:marTop w:val="0"/>
                      <w:marBottom w:val="0"/>
                      <w:divBdr>
                        <w:top w:val="none" w:sz="0" w:space="0" w:color="auto"/>
                        <w:left w:val="none" w:sz="0" w:space="0" w:color="auto"/>
                        <w:bottom w:val="none" w:sz="0" w:space="0" w:color="auto"/>
                        <w:right w:val="none" w:sz="0" w:space="0" w:color="auto"/>
                      </w:divBdr>
                    </w:div>
                    <w:div w:id="767506280">
                      <w:marLeft w:val="0"/>
                      <w:marRight w:val="0"/>
                      <w:marTop w:val="0"/>
                      <w:marBottom w:val="0"/>
                      <w:divBdr>
                        <w:top w:val="none" w:sz="0" w:space="0" w:color="auto"/>
                        <w:left w:val="none" w:sz="0" w:space="0" w:color="auto"/>
                        <w:bottom w:val="none" w:sz="0" w:space="0" w:color="auto"/>
                        <w:right w:val="none" w:sz="0" w:space="0" w:color="auto"/>
                      </w:divBdr>
                    </w:div>
                    <w:div w:id="807892665">
                      <w:marLeft w:val="0"/>
                      <w:marRight w:val="0"/>
                      <w:marTop w:val="0"/>
                      <w:marBottom w:val="0"/>
                      <w:divBdr>
                        <w:top w:val="none" w:sz="0" w:space="0" w:color="auto"/>
                        <w:left w:val="none" w:sz="0" w:space="0" w:color="auto"/>
                        <w:bottom w:val="none" w:sz="0" w:space="0" w:color="auto"/>
                        <w:right w:val="none" w:sz="0" w:space="0" w:color="auto"/>
                      </w:divBdr>
                    </w:div>
                    <w:div w:id="876550282">
                      <w:marLeft w:val="0"/>
                      <w:marRight w:val="0"/>
                      <w:marTop w:val="0"/>
                      <w:marBottom w:val="0"/>
                      <w:divBdr>
                        <w:top w:val="none" w:sz="0" w:space="0" w:color="auto"/>
                        <w:left w:val="none" w:sz="0" w:space="0" w:color="auto"/>
                        <w:bottom w:val="none" w:sz="0" w:space="0" w:color="auto"/>
                        <w:right w:val="none" w:sz="0" w:space="0" w:color="auto"/>
                      </w:divBdr>
                    </w:div>
                    <w:div w:id="1073505837">
                      <w:marLeft w:val="0"/>
                      <w:marRight w:val="0"/>
                      <w:marTop w:val="0"/>
                      <w:marBottom w:val="0"/>
                      <w:divBdr>
                        <w:top w:val="none" w:sz="0" w:space="0" w:color="auto"/>
                        <w:left w:val="none" w:sz="0" w:space="0" w:color="auto"/>
                        <w:bottom w:val="none" w:sz="0" w:space="0" w:color="auto"/>
                        <w:right w:val="none" w:sz="0" w:space="0" w:color="auto"/>
                      </w:divBdr>
                    </w:div>
                    <w:div w:id="1260988805">
                      <w:marLeft w:val="0"/>
                      <w:marRight w:val="0"/>
                      <w:marTop w:val="0"/>
                      <w:marBottom w:val="0"/>
                      <w:divBdr>
                        <w:top w:val="none" w:sz="0" w:space="0" w:color="auto"/>
                        <w:left w:val="none" w:sz="0" w:space="0" w:color="auto"/>
                        <w:bottom w:val="none" w:sz="0" w:space="0" w:color="auto"/>
                        <w:right w:val="none" w:sz="0" w:space="0" w:color="auto"/>
                      </w:divBdr>
                    </w:div>
                    <w:div w:id="1421490228">
                      <w:marLeft w:val="0"/>
                      <w:marRight w:val="0"/>
                      <w:marTop w:val="0"/>
                      <w:marBottom w:val="0"/>
                      <w:divBdr>
                        <w:top w:val="none" w:sz="0" w:space="0" w:color="auto"/>
                        <w:left w:val="none" w:sz="0" w:space="0" w:color="auto"/>
                        <w:bottom w:val="none" w:sz="0" w:space="0" w:color="auto"/>
                        <w:right w:val="none" w:sz="0" w:space="0" w:color="auto"/>
                      </w:divBdr>
                    </w:div>
                    <w:div w:id="1536431498">
                      <w:marLeft w:val="0"/>
                      <w:marRight w:val="0"/>
                      <w:marTop w:val="0"/>
                      <w:marBottom w:val="0"/>
                      <w:divBdr>
                        <w:top w:val="none" w:sz="0" w:space="0" w:color="auto"/>
                        <w:left w:val="none" w:sz="0" w:space="0" w:color="auto"/>
                        <w:bottom w:val="none" w:sz="0" w:space="0" w:color="auto"/>
                        <w:right w:val="none" w:sz="0" w:space="0" w:color="auto"/>
                      </w:divBdr>
                    </w:div>
                    <w:div w:id="1939677679">
                      <w:marLeft w:val="0"/>
                      <w:marRight w:val="0"/>
                      <w:marTop w:val="0"/>
                      <w:marBottom w:val="0"/>
                      <w:divBdr>
                        <w:top w:val="none" w:sz="0" w:space="0" w:color="auto"/>
                        <w:left w:val="none" w:sz="0" w:space="0" w:color="auto"/>
                        <w:bottom w:val="none" w:sz="0" w:space="0" w:color="auto"/>
                        <w:right w:val="none" w:sz="0" w:space="0" w:color="auto"/>
                      </w:divBdr>
                    </w:div>
                  </w:divsChild>
                </w:div>
                <w:div w:id="239406843">
                  <w:marLeft w:val="0"/>
                  <w:marRight w:val="0"/>
                  <w:marTop w:val="0"/>
                  <w:marBottom w:val="0"/>
                  <w:divBdr>
                    <w:top w:val="none" w:sz="0" w:space="0" w:color="auto"/>
                    <w:left w:val="none" w:sz="0" w:space="0" w:color="auto"/>
                    <w:bottom w:val="none" w:sz="0" w:space="0" w:color="auto"/>
                    <w:right w:val="none" w:sz="0" w:space="0" w:color="auto"/>
                  </w:divBdr>
                  <w:divsChild>
                    <w:div w:id="1219046934">
                      <w:marLeft w:val="0"/>
                      <w:marRight w:val="0"/>
                      <w:marTop w:val="0"/>
                      <w:marBottom w:val="0"/>
                      <w:divBdr>
                        <w:top w:val="none" w:sz="0" w:space="0" w:color="auto"/>
                        <w:left w:val="none" w:sz="0" w:space="0" w:color="auto"/>
                        <w:bottom w:val="none" w:sz="0" w:space="0" w:color="auto"/>
                        <w:right w:val="none" w:sz="0" w:space="0" w:color="auto"/>
                      </w:divBdr>
                    </w:div>
                  </w:divsChild>
                </w:div>
                <w:div w:id="244069972">
                  <w:marLeft w:val="0"/>
                  <w:marRight w:val="0"/>
                  <w:marTop w:val="0"/>
                  <w:marBottom w:val="0"/>
                  <w:divBdr>
                    <w:top w:val="none" w:sz="0" w:space="0" w:color="auto"/>
                    <w:left w:val="none" w:sz="0" w:space="0" w:color="auto"/>
                    <w:bottom w:val="none" w:sz="0" w:space="0" w:color="auto"/>
                    <w:right w:val="none" w:sz="0" w:space="0" w:color="auto"/>
                  </w:divBdr>
                  <w:divsChild>
                    <w:div w:id="1889144269">
                      <w:marLeft w:val="0"/>
                      <w:marRight w:val="0"/>
                      <w:marTop w:val="0"/>
                      <w:marBottom w:val="0"/>
                      <w:divBdr>
                        <w:top w:val="none" w:sz="0" w:space="0" w:color="auto"/>
                        <w:left w:val="none" w:sz="0" w:space="0" w:color="auto"/>
                        <w:bottom w:val="none" w:sz="0" w:space="0" w:color="auto"/>
                        <w:right w:val="none" w:sz="0" w:space="0" w:color="auto"/>
                      </w:divBdr>
                    </w:div>
                  </w:divsChild>
                </w:div>
                <w:div w:id="244262582">
                  <w:marLeft w:val="0"/>
                  <w:marRight w:val="0"/>
                  <w:marTop w:val="0"/>
                  <w:marBottom w:val="0"/>
                  <w:divBdr>
                    <w:top w:val="none" w:sz="0" w:space="0" w:color="auto"/>
                    <w:left w:val="none" w:sz="0" w:space="0" w:color="auto"/>
                    <w:bottom w:val="none" w:sz="0" w:space="0" w:color="auto"/>
                    <w:right w:val="none" w:sz="0" w:space="0" w:color="auto"/>
                  </w:divBdr>
                  <w:divsChild>
                    <w:div w:id="304554498">
                      <w:marLeft w:val="0"/>
                      <w:marRight w:val="0"/>
                      <w:marTop w:val="0"/>
                      <w:marBottom w:val="0"/>
                      <w:divBdr>
                        <w:top w:val="none" w:sz="0" w:space="0" w:color="auto"/>
                        <w:left w:val="none" w:sz="0" w:space="0" w:color="auto"/>
                        <w:bottom w:val="none" w:sz="0" w:space="0" w:color="auto"/>
                        <w:right w:val="none" w:sz="0" w:space="0" w:color="auto"/>
                      </w:divBdr>
                    </w:div>
                    <w:div w:id="1232081591">
                      <w:marLeft w:val="0"/>
                      <w:marRight w:val="0"/>
                      <w:marTop w:val="0"/>
                      <w:marBottom w:val="0"/>
                      <w:divBdr>
                        <w:top w:val="none" w:sz="0" w:space="0" w:color="auto"/>
                        <w:left w:val="none" w:sz="0" w:space="0" w:color="auto"/>
                        <w:bottom w:val="none" w:sz="0" w:space="0" w:color="auto"/>
                        <w:right w:val="none" w:sz="0" w:space="0" w:color="auto"/>
                      </w:divBdr>
                    </w:div>
                  </w:divsChild>
                </w:div>
                <w:div w:id="247354501">
                  <w:marLeft w:val="0"/>
                  <w:marRight w:val="0"/>
                  <w:marTop w:val="0"/>
                  <w:marBottom w:val="0"/>
                  <w:divBdr>
                    <w:top w:val="none" w:sz="0" w:space="0" w:color="auto"/>
                    <w:left w:val="none" w:sz="0" w:space="0" w:color="auto"/>
                    <w:bottom w:val="none" w:sz="0" w:space="0" w:color="auto"/>
                    <w:right w:val="none" w:sz="0" w:space="0" w:color="auto"/>
                  </w:divBdr>
                  <w:divsChild>
                    <w:div w:id="1548952716">
                      <w:marLeft w:val="0"/>
                      <w:marRight w:val="0"/>
                      <w:marTop w:val="0"/>
                      <w:marBottom w:val="0"/>
                      <w:divBdr>
                        <w:top w:val="none" w:sz="0" w:space="0" w:color="auto"/>
                        <w:left w:val="none" w:sz="0" w:space="0" w:color="auto"/>
                        <w:bottom w:val="none" w:sz="0" w:space="0" w:color="auto"/>
                        <w:right w:val="none" w:sz="0" w:space="0" w:color="auto"/>
                      </w:divBdr>
                    </w:div>
                  </w:divsChild>
                </w:div>
                <w:div w:id="257375324">
                  <w:marLeft w:val="0"/>
                  <w:marRight w:val="0"/>
                  <w:marTop w:val="0"/>
                  <w:marBottom w:val="0"/>
                  <w:divBdr>
                    <w:top w:val="none" w:sz="0" w:space="0" w:color="auto"/>
                    <w:left w:val="none" w:sz="0" w:space="0" w:color="auto"/>
                    <w:bottom w:val="none" w:sz="0" w:space="0" w:color="auto"/>
                    <w:right w:val="none" w:sz="0" w:space="0" w:color="auto"/>
                  </w:divBdr>
                  <w:divsChild>
                    <w:div w:id="344065183">
                      <w:marLeft w:val="0"/>
                      <w:marRight w:val="0"/>
                      <w:marTop w:val="0"/>
                      <w:marBottom w:val="0"/>
                      <w:divBdr>
                        <w:top w:val="none" w:sz="0" w:space="0" w:color="auto"/>
                        <w:left w:val="none" w:sz="0" w:space="0" w:color="auto"/>
                        <w:bottom w:val="none" w:sz="0" w:space="0" w:color="auto"/>
                        <w:right w:val="none" w:sz="0" w:space="0" w:color="auto"/>
                      </w:divBdr>
                    </w:div>
                    <w:div w:id="423578293">
                      <w:marLeft w:val="0"/>
                      <w:marRight w:val="0"/>
                      <w:marTop w:val="0"/>
                      <w:marBottom w:val="0"/>
                      <w:divBdr>
                        <w:top w:val="none" w:sz="0" w:space="0" w:color="auto"/>
                        <w:left w:val="none" w:sz="0" w:space="0" w:color="auto"/>
                        <w:bottom w:val="none" w:sz="0" w:space="0" w:color="auto"/>
                        <w:right w:val="none" w:sz="0" w:space="0" w:color="auto"/>
                      </w:divBdr>
                    </w:div>
                    <w:div w:id="493837614">
                      <w:marLeft w:val="0"/>
                      <w:marRight w:val="0"/>
                      <w:marTop w:val="0"/>
                      <w:marBottom w:val="0"/>
                      <w:divBdr>
                        <w:top w:val="none" w:sz="0" w:space="0" w:color="auto"/>
                        <w:left w:val="none" w:sz="0" w:space="0" w:color="auto"/>
                        <w:bottom w:val="none" w:sz="0" w:space="0" w:color="auto"/>
                        <w:right w:val="none" w:sz="0" w:space="0" w:color="auto"/>
                      </w:divBdr>
                    </w:div>
                    <w:div w:id="558126539">
                      <w:marLeft w:val="0"/>
                      <w:marRight w:val="0"/>
                      <w:marTop w:val="0"/>
                      <w:marBottom w:val="0"/>
                      <w:divBdr>
                        <w:top w:val="none" w:sz="0" w:space="0" w:color="auto"/>
                        <w:left w:val="none" w:sz="0" w:space="0" w:color="auto"/>
                        <w:bottom w:val="none" w:sz="0" w:space="0" w:color="auto"/>
                        <w:right w:val="none" w:sz="0" w:space="0" w:color="auto"/>
                      </w:divBdr>
                    </w:div>
                    <w:div w:id="756753677">
                      <w:marLeft w:val="0"/>
                      <w:marRight w:val="0"/>
                      <w:marTop w:val="0"/>
                      <w:marBottom w:val="0"/>
                      <w:divBdr>
                        <w:top w:val="none" w:sz="0" w:space="0" w:color="auto"/>
                        <w:left w:val="none" w:sz="0" w:space="0" w:color="auto"/>
                        <w:bottom w:val="none" w:sz="0" w:space="0" w:color="auto"/>
                        <w:right w:val="none" w:sz="0" w:space="0" w:color="auto"/>
                      </w:divBdr>
                    </w:div>
                    <w:div w:id="958150243">
                      <w:marLeft w:val="0"/>
                      <w:marRight w:val="0"/>
                      <w:marTop w:val="0"/>
                      <w:marBottom w:val="0"/>
                      <w:divBdr>
                        <w:top w:val="none" w:sz="0" w:space="0" w:color="auto"/>
                        <w:left w:val="none" w:sz="0" w:space="0" w:color="auto"/>
                        <w:bottom w:val="none" w:sz="0" w:space="0" w:color="auto"/>
                        <w:right w:val="none" w:sz="0" w:space="0" w:color="auto"/>
                      </w:divBdr>
                    </w:div>
                    <w:div w:id="1307709929">
                      <w:marLeft w:val="0"/>
                      <w:marRight w:val="0"/>
                      <w:marTop w:val="0"/>
                      <w:marBottom w:val="0"/>
                      <w:divBdr>
                        <w:top w:val="none" w:sz="0" w:space="0" w:color="auto"/>
                        <w:left w:val="none" w:sz="0" w:space="0" w:color="auto"/>
                        <w:bottom w:val="none" w:sz="0" w:space="0" w:color="auto"/>
                        <w:right w:val="none" w:sz="0" w:space="0" w:color="auto"/>
                      </w:divBdr>
                    </w:div>
                    <w:div w:id="1315990916">
                      <w:marLeft w:val="0"/>
                      <w:marRight w:val="0"/>
                      <w:marTop w:val="0"/>
                      <w:marBottom w:val="0"/>
                      <w:divBdr>
                        <w:top w:val="none" w:sz="0" w:space="0" w:color="auto"/>
                        <w:left w:val="none" w:sz="0" w:space="0" w:color="auto"/>
                        <w:bottom w:val="none" w:sz="0" w:space="0" w:color="auto"/>
                        <w:right w:val="none" w:sz="0" w:space="0" w:color="auto"/>
                      </w:divBdr>
                    </w:div>
                    <w:div w:id="1483236409">
                      <w:marLeft w:val="0"/>
                      <w:marRight w:val="0"/>
                      <w:marTop w:val="0"/>
                      <w:marBottom w:val="0"/>
                      <w:divBdr>
                        <w:top w:val="none" w:sz="0" w:space="0" w:color="auto"/>
                        <w:left w:val="none" w:sz="0" w:space="0" w:color="auto"/>
                        <w:bottom w:val="none" w:sz="0" w:space="0" w:color="auto"/>
                        <w:right w:val="none" w:sz="0" w:space="0" w:color="auto"/>
                      </w:divBdr>
                    </w:div>
                    <w:div w:id="2020764987">
                      <w:marLeft w:val="0"/>
                      <w:marRight w:val="0"/>
                      <w:marTop w:val="0"/>
                      <w:marBottom w:val="0"/>
                      <w:divBdr>
                        <w:top w:val="none" w:sz="0" w:space="0" w:color="auto"/>
                        <w:left w:val="none" w:sz="0" w:space="0" w:color="auto"/>
                        <w:bottom w:val="none" w:sz="0" w:space="0" w:color="auto"/>
                        <w:right w:val="none" w:sz="0" w:space="0" w:color="auto"/>
                      </w:divBdr>
                    </w:div>
                  </w:divsChild>
                </w:div>
                <w:div w:id="264964307">
                  <w:marLeft w:val="0"/>
                  <w:marRight w:val="0"/>
                  <w:marTop w:val="0"/>
                  <w:marBottom w:val="0"/>
                  <w:divBdr>
                    <w:top w:val="none" w:sz="0" w:space="0" w:color="auto"/>
                    <w:left w:val="none" w:sz="0" w:space="0" w:color="auto"/>
                    <w:bottom w:val="none" w:sz="0" w:space="0" w:color="auto"/>
                    <w:right w:val="none" w:sz="0" w:space="0" w:color="auto"/>
                  </w:divBdr>
                  <w:divsChild>
                    <w:div w:id="1533836607">
                      <w:marLeft w:val="0"/>
                      <w:marRight w:val="0"/>
                      <w:marTop w:val="0"/>
                      <w:marBottom w:val="0"/>
                      <w:divBdr>
                        <w:top w:val="none" w:sz="0" w:space="0" w:color="auto"/>
                        <w:left w:val="none" w:sz="0" w:space="0" w:color="auto"/>
                        <w:bottom w:val="none" w:sz="0" w:space="0" w:color="auto"/>
                        <w:right w:val="none" w:sz="0" w:space="0" w:color="auto"/>
                      </w:divBdr>
                    </w:div>
                  </w:divsChild>
                </w:div>
                <w:div w:id="287787743">
                  <w:marLeft w:val="0"/>
                  <w:marRight w:val="0"/>
                  <w:marTop w:val="0"/>
                  <w:marBottom w:val="0"/>
                  <w:divBdr>
                    <w:top w:val="none" w:sz="0" w:space="0" w:color="auto"/>
                    <w:left w:val="none" w:sz="0" w:space="0" w:color="auto"/>
                    <w:bottom w:val="none" w:sz="0" w:space="0" w:color="auto"/>
                    <w:right w:val="none" w:sz="0" w:space="0" w:color="auto"/>
                  </w:divBdr>
                  <w:divsChild>
                    <w:div w:id="1046904214">
                      <w:marLeft w:val="0"/>
                      <w:marRight w:val="0"/>
                      <w:marTop w:val="0"/>
                      <w:marBottom w:val="0"/>
                      <w:divBdr>
                        <w:top w:val="none" w:sz="0" w:space="0" w:color="auto"/>
                        <w:left w:val="none" w:sz="0" w:space="0" w:color="auto"/>
                        <w:bottom w:val="none" w:sz="0" w:space="0" w:color="auto"/>
                        <w:right w:val="none" w:sz="0" w:space="0" w:color="auto"/>
                      </w:divBdr>
                    </w:div>
                  </w:divsChild>
                </w:div>
                <w:div w:id="293487671">
                  <w:marLeft w:val="0"/>
                  <w:marRight w:val="0"/>
                  <w:marTop w:val="0"/>
                  <w:marBottom w:val="0"/>
                  <w:divBdr>
                    <w:top w:val="none" w:sz="0" w:space="0" w:color="auto"/>
                    <w:left w:val="none" w:sz="0" w:space="0" w:color="auto"/>
                    <w:bottom w:val="none" w:sz="0" w:space="0" w:color="auto"/>
                    <w:right w:val="none" w:sz="0" w:space="0" w:color="auto"/>
                  </w:divBdr>
                  <w:divsChild>
                    <w:div w:id="158469446">
                      <w:marLeft w:val="0"/>
                      <w:marRight w:val="0"/>
                      <w:marTop w:val="0"/>
                      <w:marBottom w:val="0"/>
                      <w:divBdr>
                        <w:top w:val="none" w:sz="0" w:space="0" w:color="auto"/>
                        <w:left w:val="none" w:sz="0" w:space="0" w:color="auto"/>
                        <w:bottom w:val="none" w:sz="0" w:space="0" w:color="auto"/>
                        <w:right w:val="none" w:sz="0" w:space="0" w:color="auto"/>
                      </w:divBdr>
                    </w:div>
                    <w:div w:id="944921512">
                      <w:marLeft w:val="0"/>
                      <w:marRight w:val="0"/>
                      <w:marTop w:val="0"/>
                      <w:marBottom w:val="0"/>
                      <w:divBdr>
                        <w:top w:val="none" w:sz="0" w:space="0" w:color="auto"/>
                        <w:left w:val="none" w:sz="0" w:space="0" w:color="auto"/>
                        <w:bottom w:val="none" w:sz="0" w:space="0" w:color="auto"/>
                        <w:right w:val="none" w:sz="0" w:space="0" w:color="auto"/>
                      </w:divBdr>
                    </w:div>
                    <w:div w:id="1452744850">
                      <w:marLeft w:val="0"/>
                      <w:marRight w:val="0"/>
                      <w:marTop w:val="0"/>
                      <w:marBottom w:val="0"/>
                      <w:divBdr>
                        <w:top w:val="none" w:sz="0" w:space="0" w:color="auto"/>
                        <w:left w:val="none" w:sz="0" w:space="0" w:color="auto"/>
                        <w:bottom w:val="none" w:sz="0" w:space="0" w:color="auto"/>
                        <w:right w:val="none" w:sz="0" w:space="0" w:color="auto"/>
                      </w:divBdr>
                    </w:div>
                  </w:divsChild>
                </w:div>
                <w:div w:id="300160024">
                  <w:marLeft w:val="0"/>
                  <w:marRight w:val="0"/>
                  <w:marTop w:val="0"/>
                  <w:marBottom w:val="0"/>
                  <w:divBdr>
                    <w:top w:val="none" w:sz="0" w:space="0" w:color="auto"/>
                    <w:left w:val="none" w:sz="0" w:space="0" w:color="auto"/>
                    <w:bottom w:val="none" w:sz="0" w:space="0" w:color="auto"/>
                    <w:right w:val="none" w:sz="0" w:space="0" w:color="auto"/>
                  </w:divBdr>
                  <w:divsChild>
                    <w:div w:id="78257651">
                      <w:marLeft w:val="0"/>
                      <w:marRight w:val="0"/>
                      <w:marTop w:val="0"/>
                      <w:marBottom w:val="0"/>
                      <w:divBdr>
                        <w:top w:val="none" w:sz="0" w:space="0" w:color="auto"/>
                        <w:left w:val="none" w:sz="0" w:space="0" w:color="auto"/>
                        <w:bottom w:val="none" w:sz="0" w:space="0" w:color="auto"/>
                        <w:right w:val="none" w:sz="0" w:space="0" w:color="auto"/>
                      </w:divBdr>
                    </w:div>
                  </w:divsChild>
                </w:div>
                <w:div w:id="304549083">
                  <w:marLeft w:val="0"/>
                  <w:marRight w:val="0"/>
                  <w:marTop w:val="0"/>
                  <w:marBottom w:val="0"/>
                  <w:divBdr>
                    <w:top w:val="none" w:sz="0" w:space="0" w:color="auto"/>
                    <w:left w:val="none" w:sz="0" w:space="0" w:color="auto"/>
                    <w:bottom w:val="none" w:sz="0" w:space="0" w:color="auto"/>
                    <w:right w:val="none" w:sz="0" w:space="0" w:color="auto"/>
                  </w:divBdr>
                  <w:divsChild>
                    <w:div w:id="399013383">
                      <w:marLeft w:val="0"/>
                      <w:marRight w:val="0"/>
                      <w:marTop w:val="0"/>
                      <w:marBottom w:val="0"/>
                      <w:divBdr>
                        <w:top w:val="none" w:sz="0" w:space="0" w:color="auto"/>
                        <w:left w:val="none" w:sz="0" w:space="0" w:color="auto"/>
                        <w:bottom w:val="none" w:sz="0" w:space="0" w:color="auto"/>
                        <w:right w:val="none" w:sz="0" w:space="0" w:color="auto"/>
                      </w:divBdr>
                    </w:div>
                  </w:divsChild>
                </w:div>
                <w:div w:id="305935138">
                  <w:marLeft w:val="0"/>
                  <w:marRight w:val="0"/>
                  <w:marTop w:val="0"/>
                  <w:marBottom w:val="0"/>
                  <w:divBdr>
                    <w:top w:val="none" w:sz="0" w:space="0" w:color="auto"/>
                    <w:left w:val="none" w:sz="0" w:space="0" w:color="auto"/>
                    <w:bottom w:val="none" w:sz="0" w:space="0" w:color="auto"/>
                    <w:right w:val="none" w:sz="0" w:space="0" w:color="auto"/>
                  </w:divBdr>
                  <w:divsChild>
                    <w:div w:id="769397048">
                      <w:marLeft w:val="0"/>
                      <w:marRight w:val="0"/>
                      <w:marTop w:val="0"/>
                      <w:marBottom w:val="0"/>
                      <w:divBdr>
                        <w:top w:val="none" w:sz="0" w:space="0" w:color="auto"/>
                        <w:left w:val="none" w:sz="0" w:space="0" w:color="auto"/>
                        <w:bottom w:val="none" w:sz="0" w:space="0" w:color="auto"/>
                        <w:right w:val="none" w:sz="0" w:space="0" w:color="auto"/>
                      </w:divBdr>
                    </w:div>
                  </w:divsChild>
                </w:div>
                <w:div w:id="310184193">
                  <w:marLeft w:val="0"/>
                  <w:marRight w:val="0"/>
                  <w:marTop w:val="0"/>
                  <w:marBottom w:val="0"/>
                  <w:divBdr>
                    <w:top w:val="none" w:sz="0" w:space="0" w:color="auto"/>
                    <w:left w:val="none" w:sz="0" w:space="0" w:color="auto"/>
                    <w:bottom w:val="none" w:sz="0" w:space="0" w:color="auto"/>
                    <w:right w:val="none" w:sz="0" w:space="0" w:color="auto"/>
                  </w:divBdr>
                  <w:divsChild>
                    <w:div w:id="207645821">
                      <w:marLeft w:val="0"/>
                      <w:marRight w:val="0"/>
                      <w:marTop w:val="0"/>
                      <w:marBottom w:val="0"/>
                      <w:divBdr>
                        <w:top w:val="none" w:sz="0" w:space="0" w:color="auto"/>
                        <w:left w:val="none" w:sz="0" w:space="0" w:color="auto"/>
                        <w:bottom w:val="none" w:sz="0" w:space="0" w:color="auto"/>
                        <w:right w:val="none" w:sz="0" w:space="0" w:color="auto"/>
                      </w:divBdr>
                    </w:div>
                  </w:divsChild>
                </w:div>
                <w:div w:id="336351779">
                  <w:marLeft w:val="0"/>
                  <w:marRight w:val="0"/>
                  <w:marTop w:val="0"/>
                  <w:marBottom w:val="0"/>
                  <w:divBdr>
                    <w:top w:val="none" w:sz="0" w:space="0" w:color="auto"/>
                    <w:left w:val="none" w:sz="0" w:space="0" w:color="auto"/>
                    <w:bottom w:val="none" w:sz="0" w:space="0" w:color="auto"/>
                    <w:right w:val="none" w:sz="0" w:space="0" w:color="auto"/>
                  </w:divBdr>
                  <w:divsChild>
                    <w:div w:id="174880573">
                      <w:marLeft w:val="0"/>
                      <w:marRight w:val="0"/>
                      <w:marTop w:val="0"/>
                      <w:marBottom w:val="0"/>
                      <w:divBdr>
                        <w:top w:val="none" w:sz="0" w:space="0" w:color="auto"/>
                        <w:left w:val="none" w:sz="0" w:space="0" w:color="auto"/>
                        <w:bottom w:val="none" w:sz="0" w:space="0" w:color="auto"/>
                        <w:right w:val="none" w:sz="0" w:space="0" w:color="auto"/>
                      </w:divBdr>
                    </w:div>
                  </w:divsChild>
                </w:div>
                <w:div w:id="344748633">
                  <w:marLeft w:val="0"/>
                  <w:marRight w:val="0"/>
                  <w:marTop w:val="0"/>
                  <w:marBottom w:val="0"/>
                  <w:divBdr>
                    <w:top w:val="none" w:sz="0" w:space="0" w:color="auto"/>
                    <w:left w:val="none" w:sz="0" w:space="0" w:color="auto"/>
                    <w:bottom w:val="none" w:sz="0" w:space="0" w:color="auto"/>
                    <w:right w:val="none" w:sz="0" w:space="0" w:color="auto"/>
                  </w:divBdr>
                  <w:divsChild>
                    <w:div w:id="407651500">
                      <w:marLeft w:val="0"/>
                      <w:marRight w:val="0"/>
                      <w:marTop w:val="0"/>
                      <w:marBottom w:val="0"/>
                      <w:divBdr>
                        <w:top w:val="none" w:sz="0" w:space="0" w:color="auto"/>
                        <w:left w:val="none" w:sz="0" w:space="0" w:color="auto"/>
                        <w:bottom w:val="none" w:sz="0" w:space="0" w:color="auto"/>
                        <w:right w:val="none" w:sz="0" w:space="0" w:color="auto"/>
                      </w:divBdr>
                    </w:div>
                  </w:divsChild>
                </w:div>
                <w:div w:id="381294910">
                  <w:marLeft w:val="0"/>
                  <w:marRight w:val="0"/>
                  <w:marTop w:val="0"/>
                  <w:marBottom w:val="0"/>
                  <w:divBdr>
                    <w:top w:val="none" w:sz="0" w:space="0" w:color="auto"/>
                    <w:left w:val="none" w:sz="0" w:space="0" w:color="auto"/>
                    <w:bottom w:val="none" w:sz="0" w:space="0" w:color="auto"/>
                    <w:right w:val="none" w:sz="0" w:space="0" w:color="auto"/>
                  </w:divBdr>
                  <w:divsChild>
                    <w:div w:id="1072387325">
                      <w:marLeft w:val="0"/>
                      <w:marRight w:val="0"/>
                      <w:marTop w:val="0"/>
                      <w:marBottom w:val="0"/>
                      <w:divBdr>
                        <w:top w:val="none" w:sz="0" w:space="0" w:color="auto"/>
                        <w:left w:val="none" w:sz="0" w:space="0" w:color="auto"/>
                        <w:bottom w:val="none" w:sz="0" w:space="0" w:color="auto"/>
                        <w:right w:val="none" w:sz="0" w:space="0" w:color="auto"/>
                      </w:divBdr>
                    </w:div>
                    <w:div w:id="1830052562">
                      <w:marLeft w:val="0"/>
                      <w:marRight w:val="0"/>
                      <w:marTop w:val="0"/>
                      <w:marBottom w:val="0"/>
                      <w:divBdr>
                        <w:top w:val="none" w:sz="0" w:space="0" w:color="auto"/>
                        <w:left w:val="none" w:sz="0" w:space="0" w:color="auto"/>
                        <w:bottom w:val="none" w:sz="0" w:space="0" w:color="auto"/>
                        <w:right w:val="none" w:sz="0" w:space="0" w:color="auto"/>
                      </w:divBdr>
                    </w:div>
                  </w:divsChild>
                </w:div>
                <w:div w:id="385031363">
                  <w:marLeft w:val="0"/>
                  <w:marRight w:val="0"/>
                  <w:marTop w:val="0"/>
                  <w:marBottom w:val="0"/>
                  <w:divBdr>
                    <w:top w:val="none" w:sz="0" w:space="0" w:color="auto"/>
                    <w:left w:val="none" w:sz="0" w:space="0" w:color="auto"/>
                    <w:bottom w:val="none" w:sz="0" w:space="0" w:color="auto"/>
                    <w:right w:val="none" w:sz="0" w:space="0" w:color="auto"/>
                  </w:divBdr>
                  <w:divsChild>
                    <w:div w:id="1200777020">
                      <w:marLeft w:val="0"/>
                      <w:marRight w:val="0"/>
                      <w:marTop w:val="0"/>
                      <w:marBottom w:val="0"/>
                      <w:divBdr>
                        <w:top w:val="none" w:sz="0" w:space="0" w:color="auto"/>
                        <w:left w:val="none" w:sz="0" w:space="0" w:color="auto"/>
                        <w:bottom w:val="none" w:sz="0" w:space="0" w:color="auto"/>
                        <w:right w:val="none" w:sz="0" w:space="0" w:color="auto"/>
                      </w:divBdr>
                    </w:div>
                  </w:divsChild>
                </w:div>
                <w:div w:id="398017874">
                  <w:marLeft w:val="0"/>
                  <w:marRight w:val="0"/>
                  <w:marTop w:val="0"/>
                  <w:marBottom w:val="0"/>
                  <w:divBdr>
                    <w:top w:val="none" w:sz="0" w:space="0" w:color="auto"/>
                    <w:left w:val="none" w:sz="0" w:space="0" w:color="auto"/>
                    <w:bottom w:val="none" w:sz="0" w:space="0" w:color="auto"/>
                    <w:right w:val="none" w:sz="0" w:space="0" w:color="auto"/>
                  </w:divBdr>
                  <w:divsChild>
                    <w:div w:id="261574712">
                      <w:marLeft w:val="0"/>
                      <w:marRight w:val="0"/>
                      <w:marTop w:val="0"/>
                      <w:marBottom w:val="0"/>
                      <w:divBdr>
                        <w:top w:val="none" w:sz="0" w:space="0" w:color="auto"/>
                        <w:left w:val="none" w:sz="0" w:space="0" w:color="auto"/>
                        <w:bottom w:val="none" w:sz="0" w:space="0" w:color="auto"/>
                        <w:right w:val="none" w:sz="0" w:space="0" w:color="auto"/>
                      </w:divBdr>
                    </w:div>
                  </w:divsChild>
                </w:div>
                <w:div w:id="406804212">
                  <w:marLeft w:val="0"/>
                  <w:marRight w:val="0"/>
                  <w:marTop w:val="0"/>
                  <w:marBottom w:val="0"/>
                  <w:divBdr>
                    <w:top w:val="none" w:sz="0" w:space="0" w:color="auto"/>
                    <w:left w:val="none" w:sz="0" w:space="0" w:color="auto"/>
                    <w:bottom w:val="none" w:sz="0" w:space="0" w:color="auto"/>
                    <w:right w:val="none" w:sz="0" w:space="0" w:color="auto"/>
                  </w:divBdr>
                  <w:divsChild>
                    <w:div w:id="805126679">
                      <w:marLeft w:val="0"/>
                      <w:marRight w:val="0"/>
                      <w:marTop w:val="0"/>
                      <w:marBottom w:val="0"/>
                      <w:divBdr>
                        <w:top w:val="none" w:sz="0" w:space="0" w:color="auto"/>
                        <w:left w:val="none" w:sz="0" w:space="0" w:color="auto"/>
                        <w:bottom w:val="none" w:sz="0" w:space="0" w:color="auto"/>
                        <w:right w:val="none" w:sz="0" w:space="0" w:color="auto"/>
                      </w:divBdr>
                    </w:div>
                  </w:divsChild>
                </w:div>
                <w:div w:id="411706880">
                  <w:marLeft w:val="0"/>
                  <w:marRight w:val="0"/>
                  <w:marTop w:val="0"/>
                  <w:marBottom w:val="0"/>
                  <w:divBdr>
                    <w:top w:val="none" w:sz="0" w:space="0" w:color="auto"/>
                    <w:left w:val="none" w:sz="0" w:space="0" w:color="auto"/>
                    <w:bottom w:val="none" w:sz="0" w:space="0" w:color="auto"/>
                    <w:right w:val="none" w:sz="0" w:space="0" w:color="auto"/>
                  </w:divBdr>
                  <w:divsChild>
                    <w:div w:id="1215238399">
                      <w:marLeft w:val="0"/>
                      <w:marRight w:val="0"/>
                      <w:marTop w:val="0"/>
                      <w:marBottom w:val="0"/>
                      <w:divBdr>
                        <w:top w:val="none" w:sz="0" w:space="0" w:color="auto"/>
                        <w:left w:val="none" w:sz="0" w:space="0" w:color="auto"/>
                        <w:bottom w:val="none" w:sz="0" w:space="0" w:color="auto"/>
                        <w:right w:val="none" w:sz="0" w:space="0" w:color="auto"/>
                      </w:divBdr>
                    </w:div>
                  </w:divsChild>
                </w:div>
                <w:div w:id="413169293">
                  <w:marLeft w:val="0"/>
                  <w:marRight w:val="0"/>
                  <w:marTop w:val="0"/>
                  <w:marBottom w:val="0"/>
                  <w:divBdr>
                    <w:top w:val="none" w:sz="0" w:space="0" w:color="auto"/>
                    <w:left w:val="none" w:sz="0" w:space="0" w:color="auto"/>
                    <w:bottom w:val="none" w:sz="0" w:space="0" w:color="auto"/>
                    <w:right w:val="none" w:sz="0" w:space="0" w:color="auto"/>
                  </w:divBdr>
                  <w:divsChild>
                    <w:div w:id="1476994031">
                      <w:marLeft w:val="0"/>
                      <w:marRight w:val="0"/>
                      <w:marTop w:val="0"/>
                      <w:marBottom w:val="0"/>
                      <w:divBdr>
                        <w:top w:val="none" w:sz="0" w:space="0" w:color="auto"/>
                        <w:left w:val="none" w:sz="0" w:space="0" w:color="auto"/>
                        <w:bottom w:val="none" w:sz="0" w:space="0" w:color="auto"/>
                        <w:right w:val="none" w:sz="0" w:space="0" w:color="auto"/>
                      </w:divBdr>
                    </w:div>
                  </w:divsChild>
                </w:div>
                <w:div w:id="419371320">
                  <w:marLeft w:val="0"/>
                  <w:marRight w:val="0"/>
                  <w:marTop w:val="0"/>
                  <w:marBottom w:val="0"/>
                  <w:divBdr>
                    <w:top w:val="none" w:sz="0" w:space="0" w:color="auto"/>
                    <w:left w:val="none" w:sz="0" w:space="0" w:color="auto"/>
                    <w:bottom w:val="none" w:sz="0" w:space="0" w:color="auto"/>
                    <w:right w:val="none" w:sz="0" w:space="0" w:color="auto"/>
                  </w:divBdr>
                  <w:divsChild>
                    <w:div w:id="1266427133">
                      <w:marLeft w:val="0"/>
                      <w:marRight w:val="0"/>
                      <w:marTop w:val="0"/>
                      <w:marBottom w:val="0"/>
                      <w:divBdr>
                        <w:top w:val="none" w:sz="0" w:space="0" w:color="auto"/>
                        <w:left w:val="none" w:sz="0" w:space="0" w:color="auto"/>
                        <w:bottom w:val="none" w:sz="0" w:space="0" w:color="auto"/>
                        <w:right w:val="none" w:sz="0" w:space="0" w:color="auto"/>
                      </w:divBdr>
                    </w:div>
                  </w:divsChild>
                </w:div>
                <w:div w:id="421419716">
                  <w:marLeft w:val="0"/>
                  <w:marRight w:val="0"/>
                  <w:marTop w:val="0"/>
                  <w:marBottom w:val="0"/>
                  <w:divBdr>
                    <w:top w:val="none" w:sz="0" w:space="0" w:color="auto"/>
                    <w:left w:val="none" w:sz="0" w:space="0" w:color="auto"/>
                    <w:bottom w:val="none" w:sz="0" w:space="0" w:color="auto"/>
                    <w:right w:val="none" w:sz="0" w:space="0" w:color="auto"/>
                  </w:divBdr>
                  <w:divsChild>
                    <w:div w:id="472407010">
                      <w:marLeft w:val="0"/>
                      <w:marRight w:val="0"/>
                      <w:marTop w:val="0"/>
                      <w:marBottom w:val="0"/>
                      <w:divBdr>
                        <w:top w:val="none" w:sz="0" w:space="0" w:color="auto"/>
                        <w:left w:val="none" w:sz="0" w:space="0" w:color="auto"/>
                        <w:bottom w:val="none" w:sz="0" w:space="0" w:color="auto"/>
                        <w:right w:val="none" w:sz="0" w:space="0" w:color="auto"/>
                      </w:divBdr>
                    </w:div>
                  </w:divsChild>
                </w:div>
                <w:div w:id="427847016">
                  <w:marLeft w:val="0"/>
                  <w:marRight w:val="0"/>
                  <w:marTop w:val="0"/>
                  <w:marBottom w:val="0"/>
                  <w:divBdr>
                    <w:top w:val="none" w:sz="0" w:space="0" w:color="auto"/>
                    <w:left w:val="none" w:sz="0" w:space="0" w:color="auto"/>
                    <w:bottom w:val="none" w:sz="0" w:space="0" w:color="auto"/>
                    <w:right w:val="none" w:sz="0" w:space="0" w:color="auto"/>
                  </w:divBdr>
                  <w:divsChild>
                    <w:div w:id="650866449">
                      <w:marLeft w:val="0"/>
                      <w:marRight w:val="0"/>
                      <w:marTop w:val="0"/>
                      <w:marBottom w:val="0"/>
                      <w:divBdr>
                        <w:top w:val="none" w:sz="0" w:space="0" w:color="auto"/>
                        <w:left w:val="none" w:sz="0" w:space="0" w:color="auto"/>
                        <w:bottom w:val="none" w:sz="0" w:space="0" w:color="auto"/>
                        <w:right w:val="none" w:sz="0" w:space="0" w:color="auto"/>
                      </w:divBdr>
                    </w:div>
                  </w:divsChild>
                </w:div>
                <w:div w:id="433942719">
                  <w:marLeft w:val="0"/>
                  <w:marRight w:val="0"/>
                  <w:marTop w:val="0"/>
                  <w:marBottom w:val="0"/>
                  <w:divBdr>
                    <w:top w:val="none" w:sz="0" w:space="0" w:color="auto"/>
                    <w:left w:val="none" w:sz="0" w:space="0" w:color="auto"/>
                    <w:bottom w:val="none" w:sz="0" w:space="0" w:color="auto"/>
                    <w:right w:val="none" w:sz="0" w:space="0" w:color="auto"/>
                  </w:divBdr>
                  <w:divsChild>
                    <w:div w:id="387728876">
                      <w:marLeft w:val="0"/>
                      <w:marRight w:val="0"/>
                      <w:marTop w:val="0"/>
                      <w:marBottom w:val="0"/>
                      <w:divBdr>
                        <w:top w:val="none" w:sz="0" w:space="0" w:color="auto"/>
                        <w:left w:val="none" w:sz="0" w:space="0" w:color="auto"/>
                        <w:bottom w:val="none" w:sz="0" w:space="0" w:color="auto"/>
                        <w:right w:val="none" w:sz="0" w:space="0" w:color="auto"/>
                      </w:divBdr>
                    </w:div>
                  </w:divsChild>
                </w:div>
                <w:div w:id="444349620">
                  <w:marLeft w:val="0"/>
                  <w:marRight w:val="0"/>
                  <w:marTop w:val="0"/>
                  <w:marBottom w:val="0"/>
                  <w:divBdr>
                    <w:top w:val="none" w:sz="0" w:space="0" w:color="auto"/>
                    <w:left w:val="none" w:sz="0" w:space="0" w:color="auto"/>
                    <w:bottom w:val="none" w:sz="0" w:space="0" w:color="auto"/>
                    <w:right w:val="none" w:sz="0" w:space="0" w:color="auto"/>
                  </w:divBdr>
                  <w:divsChild>
                    <w:div w:id="1039820471">
                      <w:marLeft w:val="0"/>
                      <w:marRight w:val="0"/>
                      <w:marTop w:val="0"/>
                      <w:marBottom w:val="0"/>
                      <w:divBdr>
                        <w:top w:val="none" w:sz="0" w:space="0" w:color="auto"/>
                        <w:left w:val="none" w:sz="0" w:space="0" w:color="auto"/>
                        <w:bottom w:val="none" w:sz="0" w:space="0" w:color="auto"/>
                        <w:right w:val="none" w:sz="0" w:space="0" w:color="auto"/>
                      </w:divBdr>
                    </w:div>
                  </w:divsChild>
                </w:div>
                <w:div w:id="447623485">
                  <w:marLeft w:val="0"/>
                  <w:marRight w:val="0"/>
                  <w:marTop w:val="0"/>
                  <w:marBottom w:val="0"/>
                  <w:divBdr>
                    <w:top w:val="none" w:sz="0" w:space="0" w:color="auto"/>
                    <w:left w:val="none" w:sz="0" w:space="0" w:color="auto"/>
                    <w:bottom w:val="none" w:sz="0" w:space="0" w:color="auto"/>
                    <w:right w:val="none" w:sz="0" w:space="0" w:color="auto"/>
                  </w:divBdr>
                  <w:divsChild>
                    <w:div w:id="1366296701">
                      <w:marLeft w:val="0"/>
                      <w:marRight w:val="0"/>
                      <w:marTop w:val="0"/>
                      <w:marBottom w:val="0"/>
                      <w:divBdr>
                        <w:top w:val="none" w:sz="0" w:space="0" w:color="auto"/>
                        <w:left w:val="none" w:sz="0" w:space="0" w:color="auto"/>
                        <w:bottom w:val="none" w:sz="0" w:space="0" w:color="auto"/>
                        <w:right w:val="none" w:sz="0" w:space="0" w:color="auto"/>
                      </w:divBdr>
                    </w:div>
                  </w:divsChild>
                </w:div>
                <w:div w:id="484981233">
                  <w:marLeft w:val="0"/>
                  <w:marRight w:val="0"/>
                  <w:marTop w:val="0"/>
                  <w:marBottom w:val="0"/>
                  <w:divBdr>
                    <w:top w:val="none" w:sz="0" w:space="0" w:color="auto"/>
                    <w:left w:val="none" w:sz="0" w:space="0" w:color="auto"/>
                    <w:bottom w:val="none" w:sz="0" w:space="0" w:color="auto"/>
                    <w:right w:val="none" w:sz="0" w:space="0" w:color="auto"/>
                  </w:divBdr>
                  <w:divsChild>
                    <w:div w:id="53623109">
                      <w:marLeft w:val="0"/>
                      <w:marRight w:val="0"/>
                      <w:marTop w:val="0"/>
                      <w:marBottom w:val="0"/>
                      <w:divBdr>
                        <w:top w:val="none" w:sz="0" w:space="0" w:color="auto"/>
                        <w:left w:val="none" w:sz="0" w:space="0" w:color="auto"/>
                        <w:bottom w:val="none" w:sz="0" w:space="0" w:color="auto"/>
                        <w:right w:val="none" w:sz="0" w:space="0" w:color="auto"/>
                      </w:divBdr>
                    </w:div>
                  </w:divsChild>
                </w:div>
                <w:div w:id="491457776">
                  <w:marLeft w:val="0"/>
                  <w:marRight w:val="0"/>
                  <w:marTop w:val="0"/>
                  <w:marBottom w:val="0"/>
                  <w:divBdr>
                    <w:top w:val="none" w:sz="0" w:space="0" w:color="auto"/>
                    <w:left w:val="none" w:sz="0" w:space="0" w:color="auto"/>
                    <w:bottom w:val="none" w:sz="0" w:space="0" w:color="auto"/>
                    <w:right w:val="none" w:sz="0" w:space="0" w:color="auto"/>
                  </w:divBdr>
                  <w:divsChild>
                    <w:div w:id="1086027591">
                      <w:marLeft w:val="0"/>
                      <w:marRight w:val="0"/>
                      <w:marTop w:val="0"/>
                      <w:marBottom w:val="0"/>
                      <w:divBdr>
                        <w:top w:val="none" w:sz="0" w:space="0" w:color="auto"/>
                        <w:left w:val="none" w:sz="0" w:space="0" w:color="auto"/>
                        <w:bottom w:val="none" w:sz="0" w:space="0" w:color="auto"/>
                        <w:right w:val="none" w:sz="0" w:space="0" w:color="auto"/>
                      </w:divBdr>
                    </w:div>
                  </w:divsChild>
                </w:div>
                <w:div w:id="501941465">
                  <w:marLeft w:val="0"/>
                  <w:marRight w:val="0"/>
                  <w:marTop w:val="0"/>
                  <w:marBottom w:val="0"/>
                  <w:divBdr>
                    <w:top w:val="none" w:sz="0" w:space="0" w:color="auto"/>
                    <w:left w:val="none" w:sz="0" w:space="0" w:color="auto"/>
                    <w:bottom w:val="none" w:sz="0" w:space="0" w:color="auto"/>
                    <w:right w:val="none" w:sz="0" w:space="0" w:color="auto"/>
                  </w:divBdr>
                  <w:divsChild>
                    <w:div w:id="677075695">
                      <w:marLeft w:val="0"/>
                      <w:marRight w:val="0"/>
                      <w:marTop w:val="0"/>
                      <w:marBottom w:val="0"/>
                      <w:divBdr>
                        <w:top w:val="none" w:sz="0" w:space="0" w:color="auto"/>
                        <w:left w:val="none" w:sz="0" w:space="0" w:color="auto"/>
                        <w:bottom w:val="none" w:sz="0" w:space="0" w:color="auto"/>
                        <w:right w:val="none" w:sz="0" w:space="0" w:color="auto"/>
                      </w:divBdr>
                    </w:div>
                  </w:divsChild>
                </w:div>
                <w:div w:id="507332455">
                  <w:marLeft w:val="0"/>
                  <w:marRight w:val="0"/>
                  <w:marTop w:val="0"/>
                  <w:marBottom w:val="0"/>
                  <w:divBdr>
                    <w:top w:val="none" w:sz="0" w:space="0" w:color="auto"/>
                    <w:left w:val="none" w:sz="0" w:space="0" w:color="auto"/>
                    <w:bottom w:val="none" w:sz="0" w:space="0" w:color="auto"/>
                    <w:right w:val="none" w:sz="0" w:space="0" w:color="auto"/>
                  </w:divBdr>
                  <w:divsChild>
                    <w:div w:id="1399085780">
                      <w:marLeft w:val="0"/>
                      <w:marRight w:val="0"/>
                      <w:marTop w:val="0"/>
                      <w:marBottom w:val="0"/>
                      <w:divBdr>
                        <w:top w:val="none" w:sz="0" w:space="0" w:color="auto"/>
                        <w:left w:val="none" w:sz="0" w:space="0" w:color="auto"/>
                        <w:bottom w:val="none" w:sz="0" w:space="0" w:color="auto"/>
                        <w:right w:val="none" w:sz="0" w:space="0" w:color="auto"/>
                      </w:divBdr>
                    </w:div>
                  </w:divsChild>
                </w:div>
                <w:div w:id="514223139">
                  <w:marLeft w:val="0"/>
                  <w:marRight w:val="0"/>
                  <w:marTop w:val="0"/>
                  <w:marBottom w:val="0"/>
                  <w:divBdr>
                    <w:top w:val="none" w:sz="0" w:space="0" w:color="auto"/>
                    <w:left w:val="none" w:sz="0" w:space="0" w:color="auto"/>
                    <w:bottom w:val="none" w:sz="0" w:space="0" w:color="auto"/>
                    <w:right w:val="none" w:sz="0" w:space="0" w:color="auto"/>
                  </w:divBdr>
                  <w:divsChild>
                    <w:div w:id="211620776">
                      <w:marLeft w:val="0"/>
                      <w:marRight w:val="0"/>
                      <w:marTop w:val="0"/>
                      <w:marBottom w:val="0"/>
                      <w:divBdr>
                        <w:top w:val="none" w:sz="0" w:space="0" w:color="auto"/>
                        <w:left w:val="none" w:sz="0" w:space="0" w:color="auto"/>
                        <w:bottom w:val="none" w:sz="0" w:space="0" w:color="auto"/>
                        <w:right w:val="none" w:sz="0" w:space="0" w:color="auto"/>
                      </w:divBdr>
                    </w:div>
                  </w:divsChild>
                </w:div>
                <w:div w:id="539785204">
                  <w:marLeft w:val="0"/>
                  <w:marRight w:val="0"/>
                  <w:marTop w:val="0"/>
                  <w:marBottom w:val="0"/>
                  <w:divBdr>
                    <w:top w:val="none" w:sz="0" w:space="0" w:color="auto"/>
                    <w:left w:val="none" w:sz="0" w:space="0" w:color="auto"/>
                    <w:bottom w:val="none" w:sz="0" w:space="0" w:color="auto"/>
                    <w:right w:val="none" w:sz="0" w:space="0" w:color="auto"/>
                  </w:divBdr>
                  <w:divsChild>
                    <w:div w:id="28070158">
                      <w:marLeft w:val="0"/>
                      <w:marRight w:val="0"/>
                      <w:marTop w:val="0"/>
                      <w:marBottom w:val="0"/>
                      <w:divBdr>
                        <w:top w:val="none" w:sz="0" w:space="0" w:color="auto"/>
                        <w:left w:val="none" w:sz="0" w:space="0" w:color="auto"/>
                        <w:bottom w:val="none" w:sz="0" w:space="0" w:color="auto"/>
                        <w:right w:val="none" w:sz="0" w:space="0" w:color="auto"/>
                      </w:divBdr>
                    </w:div>
                  </w:divsChild>
                </w:div>
                <w:div w:id="540560073">
                  <w:marLeft w:val="0"/>
                  <w:marRight w:val="0"/>
                  <w:marTop w:val="0"/>
                  <w:marBottom w:val="0"/>
                  <w:divBdr>
                    <w:top w:val="none" w:sz="0" w:space="0" w:color="auto"/>
                    <w:left w:val="none" w:sz="0" w:space="0" w:color="auto"/>
                    <w:bottom w:val="none" w:sz="0" w:space="0" w:color="auto"/>
                    <w:right w:val="none" w:sz="0" w:space="0" w:color="auto"/>
                  </w:divBdr>
                  <w:divsChild>
                    <w:div w:id="1947035683">
                      <w:marLeft w:val="0"/>
                      <w:marRight w:val="0"/>
                      <w:marTop w:val="0"/>
                      <w:marBottom w:val="0"/>
                      <w:divBdr>
                        <w:top w:val="none" w:sz="0" w:space="0" w:color="auto"/>
                        <w:left w:val="none" w:sz="0" w:space="0" w:color="auto"/>
                        <w:bottom w:val="none" w:sz="0" w:space="0" w:color="auto"/>
                        <w:right w:val="none" w:sz="0" w:space="0" w:color="auto"/>
                      </w:divBdr>
                    </w:div>
                  </w:divsChild>
                </w:div>
                <w:div w:id="545145730">
                  <w:marLeft w:val="0"/>
                  <w:marRight w:val="0"/>
                  <w:marTop w:val="0"/>
                  <w:marBottom w:val="0"/>
                  <w:divBdr>
                    <w:top w:val="none" w:sz="0" w:space="0" w:color="auto"/>
                    <w:left w:val="none" w:sz="0" w:space="0" w:color="auto"/>
                    <w:bottom w:val="none" w:sz="0" w:space="0" w:color="auto"/>
                    <w:right w:val="none" w:sz="0" w:space="0" w:color="auto"/>
                  </w:divBdr>
                  <w:divsChild>
                    <w:div w:id="338889349">
                      <w:marLeft w:val="0"/>
                      <w:marRight w:val="0"/>
                      <w:marTop w:val="0"/>
                      <w:marBottom w:val="0"/>
                      <w:divBdr>
                        <w:top w:val="none" w:sz="0" w:space="0" w:color="auto"/>
                        <w:left w:val="none" w:sz="0" w:space="0" w:color="auto"/>
                        <w:bottom w:val="none" w:sz="0" w:space="0" w:color="auto"/>
                        <w:right w:val="none" w:sz="0" w:space="0" w:color="auto"/>
                      </w:divBdr>
                    </w:div>
                  </w:divsChild>
                </w:div>
                <w:div w:id="547299706">
                  <w:marLeft w:val="0"/>
                  <w:marRight w:val="0"/>
                  <w:marTop w:val="0"/>
                  <w:marBottom w:val="0"/>
                  <w:divBdr>
                    <w:top w:val="none" w:sz="0" w:space="0" w:color="auto"/>
                    <w:left w:val="none" w:sz="0" w:space="0" w:color="auto"/>
                    <w:bottom w:val="none" w:sz="0" w:space="0" w:color="auto"/>
                    <w:right w:val="none" w:sz="0" w:space="0" w:color="auto"/>
                  </w:divBdr>
                  <w:divsChild>
                    <w:div w:id="478813567">
                      <w:marLeft w:val="0"/>
                      <w:marRight w:val="0"/>
                      <w:marTop w:val="0"/>
                      <w:marBottom w:val="0"/>
                      <w:divBdr>
                        <w:top w:val="none" w:sz="0" w:space="0" w:color="auto"/>
                        <w:left w:val="none" w:sz="0" w:space="0" w:color="auto"/>
                        <w:bottom w:val="none" w:sz="0" w:space="0" w:color="auto"/>
                        <w:right w:val="none" w:sz="0" w:space="0" w:color="auto"/>
                      </w:divBdr>
                    </w:div>
                  </w:divsChild>
                </w:div>
                <w:div w:id="549270387">
                  <w:marLeft w:val="0"/>
                  <w:marRight w:val="0"/>
                  <w:marTop w:val="0"/>
                  <w:marBottom w:val="0"/>
                  <w:divBdr>
                    <w:top w:val="none" w:sz="0" w:space="0" w:color="auto"/>
                    <w:left w:val="none" w:sz="0" w:space="0" w:color="auto"/>
                    <w:bottom w:val="none" w:sz="0" w:space="0" w:color="auto"/>
                    <w:right w:val="none" w:sz="0" w:space="0" w:color="auto"/>
                  </w:divBdr>
                  <w:divsChild>
                    <w:div w:id="177276285">
                      <w:marLeft w:val="0"/>
                      <w:marRight w:val="0"/>
                      <w:marTop w:val="0"/>
                      <w:marBottom w:val="0"/>
                      <w:divBdr>
                        <w:top w:val="none" w:sz="0" w:space="0" w:color="auto"/>
                        <w:left w:val="none" w:sz="0" w:space="0" w:color="auto"/>
                        <w:bottom w:val="none" w:sz="0" w:space="0" w:color="auto"/>
                        <w:right w:val="none" w:sz="0" w:space="0" w:color="auto"/>
                      </w:divBdr>
                    </w:div>
                  </w:divsChild>
                </w:div>
                <w:div w:id="565187590">
                  <w:marLeft w:val="0"/>
                  <w:marRight w:val="0"/>
                  <w:marTop w:val="0"/>
                  <w:marBottom w:val="0"/>
                  <w:divBdr>
                    <w:top w:val="none" w:sz="0" w:space="0" w:color="auto"/>
                    <w:left w:val="none" w:sz="0" w:space="0" w:color="auto"/>
                    <w:bottom w:val="none" w:sz="0" w:space="0" w:color="auto"/>
                    <w:right w:val="none" w:sz="0" w:space="0" w:color="auto"/>
                  </w:divBdr>
                  <w:divsChild>
                    <w:div w:id="1284262314">
                      <w:marLeft w:val="0"/>
                      <w:marRight w:val="0"/>
                      <w:marTop w:val="0"/>
                      <w:marBottom w:val="0"/>
                      <w:divBdr>
                        <w:top w:val="none" w:sz="0" w:space="0" w:color="auto"/>
                        <w:left w:val="none" w:sz="0" w:space="0" w:color="auto"/>
                        <w:bottom w:val="none" w:sz="0" w:space="0" w:color="auto"/>
                        <w:right w:val="none" w:sz="0" w:space="0" w:color="auto"/>
                      </w:divBdr>
                    </w:div>
                  </w:divsChild>
                </w:div>
                <w:div w:id="566182888">
                  <w:marLeft w:val="0"/>
                  <w:marRight w:val="0"/>
                  <w:marTop w:val="0"/>
                  <w:marBottom w:val="0"/>
                  <w:divBdr>
                    <w:top w:val="none" w:sz="0" w:space="0" w:color="auto"/>
                    <w:left w:val="none" w:sz="0" w:space="0" w:color="auto"/>
                    <w:bottom w:val="none" w:sz="0" w:space="0" w:color="auto"/>
                    <w:right w:val="none" w:sz="0" w:space="0" w:color="auto"/>
                  </w:divBdr>
                  <w:divsChild>
                    <w:div w:id="718670793">
                      <w:marLeft w:val="0"/>
                      <w:marRight w:val="0"/>
                      <w:marTop w:val="0"/>
                      <w:marBottom w:val="0"/>
                      <w:divBdr>
                        <w:top w:val="none" w:sz="0" w:space="0" w:color="auto"/>
                        <w:left w:val="none" w:sz="0" w:space="0" w:color="auto"/>
                        <w:bottom w:val="none" w:sz="0" w:space="0" w:color="auto"/>
                        <w:right w:val="none" w:sz="0" w:space="0" w:color="auto"/>
                      </w:divBdr>
                    </w:div>
                  </w:divsChild>
                </w:div>
                <w:div w:id="569467611">
                  <w:marLeft w:val="0"/>
                  <w:marRight w:val="0"/>
                  <w:marTop w:val="0"/>
                  <w:marBottom w:val="0"/>
                  <w:divBdr>
                    <w:top w:val="none" w:sz="0" w:space="0" w:color="auto"/>
                    <w:left w:val="none" w:sz="0" w:space="0" w:color="auto"/>
                    <w:bottom w:val="none" w:sz="0" w:space="0" w:color="auto"/>
                    <w:right w:val="none" w:sz="0" w:space="0" w:color="auto"/>
                  </w:divBdr>
                  <w:divsChild>
                    <w:div w:id="22904261">
                      <w:marLeft w:val="0"/>
                      <w:marRight w:val="0"/>
                      <w:marTop w:val="0"/>
                      <w:marBottom w:val="0"/>
                      <w:divBdr>
                        <w:top w:val="none" w:sz="0" w:space="0" w:color="auto"/>
                        <w:left w:val="none" w:sz="0" w:space="0" w:color="auto"/>
                        <w:bottom w:val="none" w:sz="0" w:space="0" w:color="auto"/>
                        <w:right w:val="none" w:sz="0" w:space="0" w:color="auto"/>
                      </w:divBdr>
                    </w:div>
                  </w:divsChild>
                </w:div>
                <w:div w:id="570312746">
                  <w:marLeft w:val="0"/>
                  <w:marRight w:val="0"/>
                  <w:marTop w:val="0"/>
                  <w:marBottom w:val="0"/>
                  <w:divBdr>
                    <w:top w:val="none" w:sz="0" w:space="0" w:color="auto"/>
                    <w:left w:val="none" w:sz="0" w:space="0" w:color="auto"/>
                    <w:bottom w:val="none" w:sz="0" w:space="0" w:color="auto"/>
                    <w:right w:val="none" w:sz="0" w:space="0" w:color="auto"/>
                  </w:divBdr>
                  <w:divsChild>
                    <w:div w:id="264847709">
                      <w:marLeft w:val="0"/>
                      <w:marRight w:val="0"/>
                      <w:marTop w:val="0"/>
                      <w:marBottom w:val="0"/>
                      <w:divBdr>
                        <w:top w:val="none" w:sz="0" w:space="0" w:color="auto"/>
                        <w:left w:val="none" w:sz="0" w:space="0" w:color="auto"/>
                        <w:bottom w:val="none" w:sz="0" w:space="0" w:color="auto"/>
                        <w:right w:val="none" w:sz="0" w:space="0" w:color="auto"/>
                      </w:divBdr>
                    </w:div>
                  </w:divsChild>
                </w:div>
                <w:div w:id="570889971">
                  <w:marLeft w:val="0"/>
                  <w:marRight w:val="0"/>
                  <w:marTop w:val="0"/>
                  <w:marBottom w:val="0"/>
                  <w:divBdr>
                    <w:top w:val="none" w:sz="0" w:space="0" w:color="auto"/>
                    <w:left w:val="none" w:sz="0" w:space="0" w:color="auto"/>
                    <w:bottom w:val="none" w:sz="0" w:space="0" w:color="auto"/>
                    <w:right w:val="none" w:sz="0" w:space="0" w:color="auto"/>
                  </w:divBdr>
                  <w:divsChild>
                    <w:div w:id="8797252">
                      <w:marLeft w:val="0"/>
                      <w:marRight w:val="0"/>
                      <w:marTop w:val="0"/>
                      <w:marBottom w:val="0"/>
                      <w:divBdr>
                        <w:top w:val="none" w:sz="0" w:space="0" w:color="auto"/>
                        <w:left w:val="none" w:sz="0" w:space="0" w:color="auto"/>
                        <w:bottom w:val="none" w:sz="0" w:space="0" w:color="auto"/>
                        <w:right w:val="none" w:sz="0" w:space="0" w:color="auto"/>
                      </w:divBdr>
                    </w:div>
                  </w:divsChild>
                </w:div>
                <w:div w:id="582374917">
                  <w:marLeft w:val="0"/>
                  <w:marRight w:val="0"/>
                  <w:marTop w:val="0"/>
                  <w:marBottom w:val="0"/>
                  <w:divBdr>
                    <w:top w:val="none" w:sz="0" w:space="0" w:color="auto"/>
                    <w:left w:val="none" w:sz="0" w:space="0" w:color="auto"/>
                    <w:bottom w:val="none" w:sz="0" w:space="0" w:color="auto"/>
                    <w:right w:val="none" w:sz="0" w:space="0" w:color="auto"/>
                  </w:divBdr>
                  <w:divsChild>
                    <w:div w:id="2129473093">
                      <w:marLeft w:val="0"/>
                      <w:marRight w:val="0"/>
                      <w:marTop w:val="0"/>
                      <w:marBottom w:val="0"/>
                      <w:divBdr>
                        <w:top w:val="none" w:sz="0" w:space="0" w:color="auto"/>
                        <w:left w:val="none" w:sz="0" w:space="0" w:color="auto"/>
                        <w:bottom w:val="none" w:sz="0" w:space="0" w:color="auto"/>
                        <w:right w:val="none" w:sz="0" w:space="0" w:color="auto"/>
                      </w:divBdr>
                    </w:div>
                  </w:divsChild>
                </w:div>
                <w:div w:id="582684499">
                  <w:marLeft w:val="0"/>
                  <w:marRight w:val="0"/>
                  <w:marTop w:val="0"/>
                  <w:marBottom w:val="0"/>
                  <w:divBdr>
                    <w:top w:val="none" w:sz="0" w:space="0" w:color="auto"/>
                    <w:left w:val="none" w:sz="0" w:space="0" w:color="auto"/>
                    <w:bottom w:val="none" w:sz="0" w:space="0" w:color="auto"/>
                    <w:right w:val="none" w:sz="0" w:space="0" w:color="auto"/>
                  </w:divBdr>
                  <w:divsChild>
                    <w:div w:id="96562394">
                      <w:marLeft w:val="0"/>
                      <w:marRight w:val="0"/>
                      <w:marTop w:val="0"/>
                      <w:marBottom w:val="0"/>
                      <w:divBdr>
                        <w:top w:val="none" w:sz="0" w:space="0" w:color="auto"/>
                        <w:left w:val="none" w:sz="0" w:space="0" w:color="auto"/>
                        <w:bottom w:val="none" w:sz="0" w:space="0" w:color="auto"/>
                        <w:right w:val="none" w:sz="0" w:space="0" w:color="auto"/>
                      </w:divBdr>
                    </w:div>
                  </w:divsChild>
                </w:div>
                <w:div w:id="612327708">
                  <w:marLeft w:val="0"/>
                  <w:marRight w:val="0"/>
                  <w:marTop w:val="0"/>
                  <w:marBottom w:val="0"/>
                  <w:divBdr>
                    <w:top w:val="none" w:sz="0" w:space="0" w:color="auto"/>
                    <w:left w:val="none" w:sz="0" w:space="0" w:color="auto"/>
                    <w:bottom w:val="none" w:sz="0" w:space="0" w:color="auto"/>
                    <w:right w:val="none" w:sz="0" w:space="0" w:color="auto"/>
                  </w:divBdr>
                  <w:divsChild>
                    <w:div w:id="542333409">
                      <w:marLeft w:val="0"/>
                      <w:marRight w:val="0"/>
                      <w:marTop w:val="0"/>
                      <w:marBottom w:val="0"/>
                      <w:divBdr>
                        <w:top w:val="none" w:sz="0" w:space="0" w:color="auto"/>
                        <w:left w:val="none" w:sz="0" w:space="0" w:color="auto"/>
                        <w:bottom w:val="none" w:sz="0" w:space="0" w:color="auto"/>
                        <w:right w:val="none" w:sz="0" w:space="0" w:color="auto"/>
                      </w:divBdr>
                    </w:div>
                  </w:divsChild>
                </w:div>
                <w:div w:id="614026067">
                  <w:marLeft w:val="0"/>
                  <w:marRight w:val="0"/>
                  <w:marTop w:val="0"/>
                  <w:marBottom w:val="0"/>
                  <w:divBdr>
                    <w:top w:val="none" w:sz="0" w:space="0" w:color="auto"/>
                    <w:left w:val="none" w:sz="0" w:space="0" w:color="auto"/>
                    <w:bottom w:val="none" w:sz="0" w:space="0" w:color="auto"/>
                    <w:right w:val="none" w:sz="0" w:space="0" w:color="auto"/>
                  </w:divBdr>
                  <w:divsChild>
                    <w:div w:id="1541934899">
                      <w:marLeft w:val="0"/>
                      <w:marRight w:val="0"/>
                      <w:marTop w:val="0"/>
                      <w:marBottom w:val="0"/>
                      <w:divBdr>
                        <w:top w:val="none" w:sz="0" w:space="0" w:color="auto"/>
                        <w:left w:val="none" w:sz="0" w:space="0" w:color="auto"/>
                        <w:bottom w:val="none" w:sz="0" w:space="0" w:color="auto"/>
                        <w:right w:val="none" w:sz="0" w:space="0" w:color="auto"/>
                      </w:divBdr>
                    </w:div>
                  </w:divsChild>
                </w:div>
                <w:div w:id="620303834">
                  <w:marLeft w:val="0"/>
                  <w:marRight w:val="0"/>
                  <w:marTop w:val="0"/>
                  <w:marBottom w:val="0"/>
                  <w:divBdr>
                    <w:top w:val="none" w:sz="0" w:space="0" w:color="auto"/>
                    <w:left w:val="none" w:sz="0" w:space="0" w:color="auto"/>
                    <w:bottom w:val="none" w:sz="0" w:space="0" w:color="auto"/>
                    <w:right w:val="none" w:sz="0" w:space="0" w:color="auto"/>
                  </w:divBdr>
                  <w:divsChild>
                    <w:div w:id="1780640122">
                      <w:marLeft w:val="0"/>
                      <w:marRight w:val="0"/>
                      <w:marTop w:val="0"/>
                      <w:marBottom w:val="0"/>
                      <w:divBdr>
                        <w:top w:val="none" w:sz="0" w:space="0" w:color="auto"/>
                        <w:left w:val="none" w:sz="0" w:space="0" w:color="auto"/>
                        <w:bottom w:val="none" w:sz="0" w:space="0" w:color="auto"/>
                        <w:right w:val="none" w:sz="0" w:space="0" w:color="auto"/>
                      </w:divBdr>
                    </w:div>
                  </w:divsChild>
                </w:div>
                <w:div w:id="621039849">
                  <w:marLeft w:val="0"/>
                  <w:marRight w:val="0"/>
                  <w:marTop w:val="0"/>
                  <w:marBottom w:val="0"/>
                  <w:divBdr>
                    <w:top w:val="none" w:sz="0" w:space="0" w:color="auto"/>
                    <w:left w:val="none" w:sz="0" w:space="0" w:color="auto"/>
                    <w:bottom w:val="none" w:sz="0" w:space="0" w:color="auto"/>
                    <w:right w:val="none" w:sz="0" w:space="0" w:color="auto"/>
                  </w:divBdr>
                  <w:divsChild>
                    <w:div w:id="252977969">
                      <w:marLeft w:val="0"/>
                      <w:marRight w:val="0"/>
                      <w:marTop w:val="0"/>
                      <w:marBottom w:val="0"/>
                      <w:divBdr>
                        <w:top w:val="none" w:sz="0" w:space="0" w:color="auto"/>
                        <w:left w:val="none" w:sz="0" w:space="0" w:color="auto"/>
                        <w:bottom w:val="none" w:sz="0" w:space="0" w:color="auto"/>
                        <w:right w:val="none" w:sz="0" w:space="0" w:color="auto"/>
                      </w:divBdr>
                    </w:div>
                  </w:divsChild>
                </w:div>
                <w:div w:id="623343839">
                  <w:marLeft w:val="0"/>
                  <w:marRight w:val="0"/>
                  <w:marTop w:val="0"/>
                  <w:marBottom w:val="0"/>
                  <w:divBdr>
                    <w:top w:val="none" w:sz="0" w:space="0" w:color="auto"/>
                    <w:left w:val="none" w:sz="0" w:space="0" w:color="auto"/>
                    <w:bottom w:val="none" w:sz="0" w:space="0" w:color="auto"/>
                    <w:right w:val="none" w:sz="0" w:space="0" w:color="auto"/>
                  </w:divBdr>
                  <w:divsChild>
                    <w:div w:id="22246346">
                      <w:marLeft w:val="0"/>
                      <w:marRight w:val="0"/>
                      <w:marTop w:val="0"/>
                      <w:marBottom w:val="0"/>
                      <w:divBdr>
                        <w:top w:val="none" w:sz="0" w:space="0" w:color="auto"/>
                        <w:left w:val="none" w:sz="0" w:space="0" w:color="auto"/>
                        <w:bottom w:val="none" w:sz="0" w:space="0" w:color="auto"/>
                        <w:right w:val="none" w:sz="0" w:space="0" w:color="auto"/>
                      </w:divBdr>
                    </w:div>
                  </w:divsChild>
                </w:div>
                <w:div w:id="627399735">
                  <w:marLeft w:val="0"/>
                  <w:marRight w:val="0"/>
                  <w:marTop w:val="0"/>
                  <w:marBottom w:val="0"/>
                  <w:divBdr>
                    <w:top w:val="none" w:sz="0" w:space="0" w:color="auto"/>
                    <w:left w:val="none" w:sz="0" w:space="0" w:color="auto"/>
                    <w:bottom w:val="none" w:sz="0" w:space="0" w:color="auto"/>
                    <w:right w:val="none" w:sz="0" w:space="0" w:color="auto"/>
                  </w:divBdr>
                  <w:divsChild>
                    <w:div w:id="1081834739">
                      <w:marLeft w:val="0"/>
                      <w:marRight w:val="0"/>
                      <w:marTop w:val="0"/>
                      <w:marBottom w:val="0"/>
                      <w:divBdr>
                        <w:top w:val="none" w:sz="0" w:space="0" w:color="auto"/>
                        <w:left w:val="none" w:sz="0" w:space="0" w:color="auto"/>
                        <w:bottom w:val="none" w:sz="0" w:space="0" w:color="auto"/>
                        <w:right w:val="none" w:sz="0" w:space="0" w:color="auto"/>
                      </w:divBdr>
                    </w:div>
                  </w:divsChild>
                </w:div>
                <w:div w:id="643315730">
                  <w:marLeft w:val="0"/>
                  <w:marRight w:val="0"/>
                  <w:marTop w:val="0"/>
                  <w:marBottom w:val="0"/>
                  <w:divBdr>
                    <w:top w:val="none" w:sz="0" w:space="0" w:color="auto"/>
                    <w:left w:val="none" w:sz="0" w:space="0" w:color="auto"/>
                    <w:bottom w:val="none" w:sz="0" w:space="0" w:color="auto"/>
                    <w:right w:val="none" w:sz="0" w:space="0" w:color="auto"/>
                  </w:divBdr>
                  <w:divsChild>
                    <w:div w:id="1515998488">
                      <w:marLeft w:val="0"/>
                      <w:marRight w:val="0"/>
                      <w:marTop w:val="0"/>
                      <w:marBottom w:val="0"/>
                      <w:divBdr>
                        <w:top w:val="none" w:sz="0" w:space="0" w:color="auto"/>
                        <w:left w:val="none" w:sz="0" w:space="0" w:color="auto"/>
                        <w:bottom w:val="none" w:sz="0" w:space="0" w:color="auto"/>
                        <w:right w:val="none" w:sz="0" w:space="0" w:color="auto"/>
                      </w:divBdr>
                    </w:div>
                  </w:divsChild>
                </w:div>
                <w:div w:id="650643861">
                  <w:marLeft w:val="0"/>
                  <w:marRight w:val="0"/>
                  <w:marTop w:val="0"/>
                  <w:marBottom w:val="0"/>
                  <w:divBdr>
                    <w:top w:val="none" w:sz="0" w:space="0" w:color="auto"/>
                    <w:left w:val="none" w:sz="0" w:space="0" w:color="auto"/>
                    <w:bottom w:val="none" w:sz="0" w:space="0" w:color="auto"/>
                    <w:right w:val="none" w:sz="0" w:space="0" w:color="auto"/>
                  </w:divBdr>
                  <w:divsChild>
                    <w:div w:id="1574730241">
                      <w:marLeft w:val="0"/>
                      <w:marRight w:val="0"/>
                      <w:marTop w:val="0"/>
                      <w:marBottom w:val="0"/>
                      <w:divBdr>
                        <w:top w:val="none" w:sz="0" w:space="0" w:color="auto"/>
                        <w:left w:val="none" w:sz="0" w:space="0" w:color="auto"/>
                        <w:bottom w:val="none" w:sz="0" w:space="0" w:color="auto"/>
                        <w:right w:val="none" w:sz="0" w:space="0" w:color="auto"/>
                      </w:divBdr>
                    </w:div>
                  </w:divsChild>
                </w:div>
                <w:div w:id="651954865">
                  <w:marLeft w:val="0"/>
                  <w:marRight w:val="0"/>
                  <w:marTop w:val="0"/>
                  <w:marBottom w:val="0"/>
                  <w:divBdr>
                    <w:top w:val="none" w:sz="0" w:space="0" w:color="auto"/>
                    <w:left w:val="none" w:sz="0" w:space="0" w:color="auto"/>
                    <w:bottom w:val="none" w:sz="0" w:space="0" w:color="auto"/>
                    <w:right w:val="none" w:sz="0" w:space="0" w:color="auto"/>
                  </w:divBdr>
                  <w:divsChild>
                    <w:div w:id="676463297">
                      <w:marLeft w:val="0"/>
                      <w:marRight w:val="0"/>
                      <w:marTop w:val="0"/>
                      <w:marBottom w:val="0"/>
                      <w:divBdr>
                        <w:top w:val="none" w:sz="0" w:space="0" w:color="auto"/>
                        <w:left w:val="none" w:sz="0" w:space="0" w:color="auto"/>
                        <w:bottom w:val="none" w:sz="0" w:space="0" w:color="auto"/>
                        <w:right w:val="none" w:sz="0" w:space="0" w:color="auto"/>
                      </w:divBdr>
                    </w:div>
                  </w:divsChild>
                </w:div>
                <w:div w:id="653217945">
                  <w:marLeft w:val="0"/>
                  <w:marRight w:val="0"/>
                  <w:marTop w:val="0"/>
                  <w:marBottom w:val="0"/>
                  <w:divBdr>
                    <w:top w:val="none" w:sz="0" w:space="0" w:color="auto"/>
                    <w:left w:val="none" w:sz="0" w:space="0" w:color="auto"/>
                    <w:bottom w:val="none" w:sz="0" w:space="0" w:color="auto"/>
                    <w:right w:val="none" w:sz="0" w:space="0" w:color="auto"/>
                  </w:divBdr>
                  <w:divsChild>
                    <w:div w:id="1722288663">
                      <w:marLeft w:val="0"/>
                      <w:marRight w:val="0"/>
                      <w:marTop w:val="0"/>
                      <w:marBottom w:val="0"/>
                      <w:divBdr>
                        <w:top w:val="none" w:sz="0" w:space="0" w:color="auto"/>
                        <w:left w:val="none" w:sz="0" w:space="0" w:color="auto"/>
                        <w:bottom w:val="none" w:sz="0" w:space="0" w:color="auto"/>
                        <w:right w:val="none" w:sz="0" w:space="0" w:color="auto"/>
                      </w:divBdr>
                    </w:div>
                  </w:divsChild>
                </w:div>
                <w:div w:id="655574207">
                  <w:marLeft w:val="0"/>
                  <w:marRight w:val="0"/>
                  <w:marTop w:val="0"/>
                  <w:marBottom w:val="0"/>
                  <w:divBdr>
                    <w:top w:val="none" w:sz="0" w:space="0" w:color="auto"/>
                    <w:left w:val="none" w:sz="0" w:space="0" w:color="auto"/>
                    <w:bottom w:val="none" w:sz="0" w:space="0" w:color="auto"/>
                    <w:right w:val="none" w:sz="0" w:space="0" w:color="auto"/>
                  </w:divBdr>
                  <w:divsChild>
                    <w:div w:id="599608900">
                      <w:marLeft w:val="0"/>
                      <w:marRight w:val="0"/>
                      <w:marTop w:val="0"/>
                      <w:marBottom w:val="0"/>
                      <w:divBdr>
                        <w:top w:val="none" w:sz="0" w:space="0" w:color="auto"/>
                        <w:left w:val="none" w:sz="0" w:space="0" w:color="auto"/>
                        <w:bottom w:val="none" w:sz="0" w:space="0" w:color="auto"/>
                        <w:right w:val="none" w:sz="0" w:space="0" w:color="auto"/>
                      </w:divBdr>
                    </w:div>
                  </w:divsChild>
                </w:div>
                <w:div w:id="662860608">
                  <w:marLeft w:val="0"/>
                  <w:marRight w:val="0"/>
                  <w:marTop w:val="0"/>
                  <w:marBottom w:val="0"/>
                  <w:divBdr>
                    <w:top w:val="none" w:sz="0" w:space="0" w:color="auto"/>
                    <w:left w:val="none" w:sz="0" w:space="0" w:color="auto"/>
                    <w:bottom w:val="none" w:sz="0" w:space="0" w:color="auto"/>
                    <w:right w:val="none" w:sz="0" w:space="0" w:color="auto"/>
                  </w:divBdr>
                  <w:divsChild>
                    <w:div w:id="1341157919">
                      <w:marLeft w:val="0"/>
                      <w:marRight w:val="0"/>
                      <w:marTop w:val="0"/>
                      <w:marBottom w:val="0"/>
                      <w:divBdr>
                        <w:top w:val="none" w:sz="0" w:space="0" w:color="auto"/>
                        <w:left w:val="none" w:sz="0" w:space="0" w:color="auto"/>
                        <w:bottom w:val="none" w:sz="0" w:space="0" w:color="auto"/>
                        <w:right w:val="none" w:sz="0" w:space="0" w:color="auto"/>
                      </w:divBdr>
                    </w:div>
                    <w:div w:id="1434324331">
                      <w:marLeft w:val="0"/>
                      <w:marRight w:val="0"/>
                      <w:marTop w:val="0"/>
                      <w:marBottom w:val="0"/>
                      <w:divBdr>
                        <w:top w:val="none" w:sz="0" w:space="0" w:color="auto"/>
                        <w:left w:val="none" w:sz="0" w:space="0" w:color="auto"/>
                        <w:bottom w:val="none" w:sz="0" w:space="0" w:color="auto"/>
                        <w:right w:val="none" w:sz="0" w:space="0" w:color="auto"/>
                      </w:divBdr>
                    </w:div>
                    <w:div w:id="1744831654">
                      <w:marLeft w:val="0"/>
                      <w:marRight w:val="0"/>
                      <w:marTop w:val="0"/>
                      <w:marBottom w:val="0"/>
                      <w:divBdr>
                        <w:top w:val="none" w:sz="0" w:space="0" w:color="auto"/>
                        <w:left w:val="none" w:sz="0" w:space="0" w:color="auto"/>
                        <w:bottom w:val="none" w:sz="0" w:space="0" w:color="auto"/>
                        <w:right w:val="none" w:sz="0" w:space="0" w:color="auto"/>
                      </w:divBdr>
                    </w:div>
                  </w:divsChild>
                </w:div>
                <w:div w:id="671875156">
                  <w:marLeft w:val="0"/>
                  <w:marRight w:val="0"/>
                  <w:marTop w:val="0"/>
                  <w:marBottom w:val="0"/>
                  <w:divBdr>
                    <w:top w:val="none" w:sz="0" w:space="0" w:color="auto"/>
                    <w:left w:val="none" w:sz="0" w:space="0" w:color="auto"/>
                    <w:bottom w:val="none" w:sz="0" w:space="0" w:color="auto"/>
                    <w:right w:val="none" w:sz="0" w:space="0" w:color="auto"/>
                  </w:divBdr>
                  <w:divsChild>
                    <w:div w:id="469980747">
                      <w:marLeft w:val="0"/>
                      <w:marRight w:val="0"/>
                      <w:marTop w:val="0"/>
                      <w:marBottom w:val="0"/>
                      <w:divBdr>
                        <w:top w:val="none" w:sz="0" w:space="0" w:color="auto"/>
                        <w:left w:val="none" w:sz="0" w:space="0" w:color="auto"/>
                        <w:bottom w:val="none" w:sz="0" w:space="0" w:color="auto"/>
                        <w:right w:val="none" w:sz="0" w:space="0" w:color="auto"/>
                      </w:divBdr>
                    </w:div>
                  </w:divsChild>
                </w:div>
                <w:div w:id="681129702">
                  <w:marLeft w:val="0"/>
                  <w:marRight w:val="0"/>
                  <w:marTop w:val="0"/>
                  <w:marBottom w:val="0"/>
                  <w:divBdr>
                    <w:top w:val="none" w:sz="0" w:space="0" w:color="auto"/>
                    <w:left w:val="none" w:sz="0" w:space="0" w:color="auto"/>
                    <w:bottom w:val="none" w:sz="0" w:space="0" w:color="auto"/>
                    <w:right w:val="none" w:sz="0" w:space="0" w:color="auto"/>
                  </w:divBdr>
                  <w:divsChild>
                    <w:div w:id="1154299425">
                      <w:marLeft w:val="0"/>
                      <w:marRight w:val="0"/>
                      <w:marTop w:val="0"/>
                      <w:marBottom w:val="0"/>
                      <w:divBdr>
                        <w:top w:val="none" w:sz="0" w:space="0" w:color="auto"/>
                        <w:left w:val="none" w:sz="0" w:space="0" w:color="auto"/>
                        <w:bottom w:val="none" w:sz="0" w:space="0" w:color="auto"/>
                        <w:right w:val="none" w:sz="0" w:space="0" w:color="auto"/>
                      </w:divBdr>
                    </w:div>
                  </w:divsChild>
                </w:div>
                <w:div w:id="683283542">
                  <w:marLeft w:val="0"/>
                  <w:marRight w:val="0"/>
                  <w:marTop w:val="0"/>
                  <w:marBottom w:val="0"/>
                  <w:divBdr>
                    <w:top w:val="none" w:sz="0" w:space="0" w:color="auto"/>
                    <w:left w:val="none" w:sz="0" w:space="0" w:color="auto"/>
                    <w:bottom w:val="none" w:sz="0" w:space="0" w:color="auto"/>
                    <w:right w:val="none" w:sz="0" w:space="0" w:color="auto"/>
                  </w:divBdr>
                  <w:divsChild>
                    <w:div w:id="678695404">
                      <w:marLeft w:val="0"/>
                      <w:marRight w:val="0"/>
                      <w:marTop w:val="0"/>
                      <w:marBottom w:val="0"/>
                      <w:divBdr>
                        <w:top w:val="none" w:sz="0" w:space="0" w:color="auto"/>
                        <w:left w:val="none" w:sz="0" w:space="0" w:color="auto"/>
                        <w:bottom w:val="none" w:sz="0" w:space="0" w:color="auto"/>
                        <w:right w:val="none" w:sz="0" w:space="0" w:color="auto"/>
                      </w:divBdr>
                    </w:div>
                  </w:divsChild>
                </w:div>
                <w:div w:id="683896991">
                  <w:marLeft w:val="0"/>
                  <w:marRight w:val="0"/>
                  <w:marTop w:val="0"/>
                  <w:marBottom w:val="0"/>
                  <w:divBdr>
                    <w:top w:val="none" w:sz="0" w:space="0" w:color="auto"/>
                    <w:left w:val="none" w:sz="0" w:space="0" w:color="auto"/>
                    <w:bottom w:val="none" w:sz="0" w:space="0" w:color="auto"/>
                    <w:right w:val="none" w:sz="0" w:space="0" w:color="auto"/>
                  </w:divBdr>
                  <w:divsChild>
                    <w:div w:id="1738359430">
                      <w:marLeft w:val="0"/>
                      <w:marRight w:val="0"/>
                      <w:marTop w:val="0"/>
                      <w:marBottom w:val="0"/>
                      <w:divBdr>
                        <w:top w:val="none" w:sz="0" w:space="0" w:color="auto"/>
                        <w:left w:val="none" w:sz="0" w:space="0" w:color="auto"/>
                        <w:bottom w:val="none" w:sz="0" w:space="0" w:color="auto"/>
                        <w:right w:val="none" w:sz="0" w:space="0" w:color="auto"/>
                      </w:divBdr>
                    </w:div>
                  </w:divsChild>
                </w:div>
                <w:div w:id="690569288">
                  <w:marLeft w:val="0"/>
                  <w:marRight w:val="0"/>
                  <w:marTop w:val="0"/>
                  <w:marBottom w:val="0"/>
                  <w:divBdr>
                    <w:top w:val="none" w:sz="0" w:space="0" w:color="auto"/>
                    <w:left w:val="none" w:sz="0" w:space="0" w:color="auto"/>
                    <w:bottom w:val="none" w:sz="0" w:space="0" w:color="auto"/>
                    <w:right w:val="none" w:sz="0" w:space="0" w:color="auto"/>
                  </w:divBdr>
                  <w:divsChild>
                    <w:div w:id="1857426488">
                      <w:marLeft w:val="0"/>
                      <w:marRight w:val="0"/>
                      <w:marTop w:val="0"/>
                      <w:marBottom w:val="0"/>
                      <w:divBdr>
                        <w:top w:val="none" w:sz="0" w:space="0" w:color="auto"/>
                        <w:left w:val="none" w:sz="0" w:space="0" w:color="auto"/>
                        <w:bottom w:val="none" w:sz="0" w:space="0" w:color="auto"/>
                        <w:right w:val="none" w:sz="0" w:space="0" w:color="auto"/>
                      </w:divBdr>
                    </w:div>
                  </w:divsChild>
                </w:div>
                <w:div w:id="694766080">
                  <w:marLeft w:val="0"/>
                  <w:marRight w:val="0"/>
                  <w:marTop w:val="0"/>
                  <w:marBottom w:val="0"/>
                  <w:divBdr>
                    <w:top w:val="none" w:sz="0" w:space="0" w:color="auto"/>
                    <w:left w:val="none" w:sz="0" w:space="0" w:color="auto"/>
                    <w:bottom w:val="none" w:sz="0" w:space="0" w:color="auto"/>
                    <w:right w:val="none" w:sz="0" w:space="0" w:color="auto"/>
                  </w:divBdr>
                  <w:divsChild>
                    <w:div w:id="1870949138">
                      <w:marLeft w:val="0"/>
                      <w:marRight w:val="0"/>
                      <w:marTop w:val="0"/>
                      <w:marBottom w:val="0"/>
                      <w:divBdr>
                        <w:top w:val="none" w:sz="0" w:space="0" w:color="auto"/>
                        <w:left w:val="none" w:sz="0" w:space="0" w:color="auto"/>
                        <w:bottom w:val="none" w:sz="0" w:space="0" w:color="auto"/>
                        <w:right w:val="none" w:sz="0" w:space="0" w:color="auto"/>
                      </w:divBdr>
                    </w:div>
                  </w:divsChild>
                </w:div>
                <w:div w:id="707026988">
                  <w:marLeft w:val="0"/>
                  <w:marRight w:val="0"/>
                  <w:marTop w:val="0"/>
                  <w:marBottom w:val="0"/>
                  <w:divBdr>
                    <w:top w:val="none" w:sz="0" w:space="0" w:color="auto"/>
                    <w:left w:val="none" w:sz="0" w:space="0" w:color="auto"/>
                    <w:bottom w:val="none" w:sz="0" w:space="0" w:color="auto"/>
                    <w:right w:val="none" w:sz="0" w:space="0" w:color="auto"/>
                  </w:divBdr>
                  <w:divsChild>
                    <w:div w:id="1281373846">
                      <w:marLeft w:val="0"/>
                      <w:marRight w:val="0"/>
                      <w:marTop w:val="0"/>
                      <w:marBottom w:val="0"/>
                      <w:divBdr>
                        <w:top w:val="none" w:sz="0" w:space="0" w:color="auto"/>
                        <w:left w:val="none" w:sz="0" w:space="0" w:color="auto"/>
                        <w:bottom w:val="none" w:sz="0" w:space="0" w:color="auto"/>
                        <w:right w:val="none" w:sz="0" w:space="0" w:color="auto"/>
                      </w:divBdr>
                    </w:div>
                  </w:divsChild>
                </w:div>
                <w:div w:id="711541862">
                  <w:marLeft w:val="0"/>
                  <w:marRight w:val="0"/>
                  <w:marTop w:val="0"/>
                  <w:marBottom w:val="0"/>
                  <w:divBdr>
                    <w:top w:val="none" w:sz="0" w:space="0" w:color="auto"/>
                    <w:left w:val="none" w:sz="0" w:space="0" w:color="auto"/>
                    <w:bottom w:val="none" w:sz="0" w:space="0" w:color="auto"/>
                    <w:right w:val="none" w:sz="0" w:space="0" w:color="auto"/>
                  </w:divBdr>
                  <w:divsChild>
                    <w:div w:id="364213758">
                      <w:marLeft w:val="0"/>
                      <w:marRight w:val="0"/>
                      <w:marTop w:val="0"/>
                      <w:marBottom w:val="0"/>
                      <w:divBdr>
                        <w:top w:val="none" w:sz="0" w:space="0" w:color="auto"/>
                        <w:left w:val="none" w:sz="0" w:space="0" w:color="auto"/>
                        <w:bottom w:val="none" w:sz="0" w:space="0" w:color="auto"/>
                        <w:right w:val="none" w:sz="0" w:space="0" w:color="auto"/>
                      </w:divBdr>
                    </w:div>
                  </w:divsChild>
                </w:div>
                <w:div w:id="713039788">
                  <w:marLeft w:val="0"/>
                  <w:marRight w:val="0"/>
                  <w:marTop w:val="0"/>
                  <w:marBottom w:val="0"/>
                  <w:divBdr>
                    <w:top w:val="none" w:sz="0" w:space="0" w:color="auto"/>
                    <w:left w:val="none" w:sz="0" w:space="0" w:color="auto"/>
                    <w:bottom w:val="none" w:sz="0" w:space="0" w:color="auto"/>
                    <w:right w:val="none" w:sz="0" w:space="0" w:color="auto"/>
                  </w:divBdr>
                  <w:divsChild>
                    <w:div w:id="1065251932">
                      <w:marLeft w:val="0"/>
                      <w:marRight w:val="0"/>
                      <w:marTop w:val="0"/>
                      <w:marBottom w:val="0"/>
                      <w:divBdr>
                        <w:top w:val="none" w:sz="0" w:space="0" w:color="auto"/>
                        <w:left w:val="none" w:sz="0" w:space="0" w:color="auto"/>
                        <w:bottom w:val="none" w:sz="0" w:space="0" w:color="auto"/>
                        <w:right w:val="none" w:sz="0" w:space="0" w:color="auto"/>
                      </w:divBdr>
                    </w:div>
                  </w:divsChild>
                </w:div>
                <w:div w:id="718821426">
                  <w:marLeft w:val="0"/>
                  <w:marRight w:val="0"/>
                  <w:marTop w:val="0"/>
                  <w:marBottom w:val="0"/>
                  <w:divBdr>
                    <w:top w:val="none" w:sz="0" w:space="0" w:color="auto"/>
                    <w:left w:val="none" w:sz="0" w:space="0" w:color="auto"/>
                    <w:bottom w:val="none" w:sz="0" w:space="0" w:color="auto"/>
                    <w:right w:val="none" w:sz="0" w:space="0" w:color="auto"/>
                  </w:divBdr>
                  <w:divsChild>
                    <w:div w:id="1759718004">
                      <w:marLeft w:val="0"/>
                      <w:marRight w:val="0"/>
                      <w:marTop w:val="0"/>
                      <w:marBottom w:val="0"/>
                      <w:divBdr>
                        <w:top w:val="none" w:sz="0" w:space="0" w:color="auto"/>
                        <w:left w:val="none" w:sz="0" w:space="0" w:color="auto"/>
                        <w:bottom w:val="none" w:sz="0" w:space="0" w:color="auto"/>
                        <w:right w:val="none" w:sz="0" w:space="0" w:color="auto"/>
                      </w:divBdr>
                    </w:div>
                  </w:divsChild>
                </w:div>
                <w:div w:id="730344061">
                  <w:marLeft w:val="0"/>
                  <w:marRight w:val="0"/>
                  <w:marTop w:val="0"/>
                  <w:marBottom w:val="0"/>
                  <w:divBdr>
                    <w:top w:val="none" w:sz="0" w:space="0" w:color="auto"/>
                    <w:left w:val="none" w:sz="0" w:space="0" w:color="auto"/>
                    <w:bottom w:val="none" w:sz="0" w:space="0" w:color="auto"/>
                    <w:right w:val="none" w:sz="0" w:space="0" w:color="auto"/>
                  </w:divBdr>
                  <w:divsChild>
                    <w:div w:id="1926378447">
                      <w:marLeft w:val="0"/>
                      <w:marRight w:val="0"/>
                      <w:marTop w:val="0"/>
                      <w:marBottom w:val="0"/>
                      <w:divBdr>
                        <w:top w:val="none" w:sz="0" w:space="0" w:color="auto"/>
                        <w:left w:val="none" w:sz="0" w:space="0" w:color="auto"/>
                        <w:bottom w:val="none" w:sz="0" w:space="0" w:color="auto"/>
                        <w:right w:val="none" w:sz="0" w:space="0" w:color="auto"/>
                      </w:divBdr>
                    </w:div>
                  </w:divsChild>
                </w:div>
                <w:div w:id="731927581">
                  <w:marLeft w:val="0"/>
                  <w:marRight w:val="0"/>
                  <w:marTop w:val="0"/>
                  <w:marBottom w:val="0"/>
                  <w:divBdr>
                    <w:top w:val="none" w:sz="0" w:space="0" w:color="auto"/>
                    <w:left w:val="none" w:sz="0" w:space="0" w:color="auto"/>
                    <w:bottom w:val="none" w:sz="0" w:space="0" w:color="auto"/>
                    <w:right w:val="none" w:sz="0" w:space="0" w:color="auto"/>
                  </w:divBdr>
                  <w:divsChild>
                    <w:div w:id="573977735">
                      <w:marLeft w:val="0"/>
                      <w:marRight w:val="0"/>
                      <w:marTop w:val="0"/>
                      <w:marBottom w:val="0"/>
                      <w:divBdr>
                        <w:top w:val="none" w:sz="0" w:space="0" w:color="auto"/>
                        <w:left w:val="none" w:sz="0" w:space="0" w:color="auto"/>
                        <w:bottom w:val="none" w:sz="0" w:space="0" w:color="auto"/>
                        <w:right w:val="none" w:sz="0" w:space="0" w:color="auto"/>
                      </w:divBdr>
                    </w:div>
                  </w:divsChild>
                </w:div>
                <w:div w:id="733897258">
                  <w:marLeft w:val="0"/>
                  <w:marRight w:val="0"/>
                  <w:marTop w:val="0"/>
                  <w:marBottom w:val="0"/>
                  <w:divBdr>
                    <w:top w:val="none" w:sz="0" w:space="0" w:color="auto"/>
                    <w:left w:val="none" w:sz="0" w:space="0" w:color="auto"/>
                    <w:bottom w:val="none" w:sz="0" w:space="0" w:color="auto"/>
                    <w:right w:val="none" w:sz="0" w:space="0" w:color="auto"/>
                  </w:divBdr>
                  <w:divsChild>
                    <w:div w:id="1023482342">
                      <w:marLeft w:val="0"/>
                      <w:marRight w:val="0"/>
                      <w:marTop w:val="0"/>
                      <w:marBottom w:val="0"/>
                      <w:divBdr>
                        <w:top w:val="none" w:sz="0" w:space="0" w:color="auto"/>
                        <w:left w:val="none" w:sz="0" w:space="0" w:color="auto"/>
                        <w:bottom w:val="none" w:sz="0" w:space="0" w:color="auto"/>
                        <w:right w:val="none" w:sz="0" w:space="0" w:color="auto"/>
                      </w:divBdr>
                    </w:div>
                  </w:divsChild>
                </w:div>
                <w:div w:id="739714172">
                  <w:marLeft w:val="0"/>
                  <w:marRight w:val="0"/>
                  <w:marTop w:val="0"/>
                  <w:marBottom w:val="0"/>
                  <w:divBdr>
                    <w:top w:val="none" w:sz="0" w:space="0" w:color="auto"/>
                    <w:left w:val="none" w:sz="0" w:space="0" w:color="auto"/>
                    <w:bottom w:val="none" w:sz="0" w:space="0" w:color="auto"/>
                    <w:right w:val="none" w:sz="0" w:space="0" w:color="auto"/>
                  </w:divBdr>
                  <w:divsChild>
                    <w:div w:id="8795654">
                      <w:marLeft w:val="0"/>
                      <w:marRight w:val="0"/>
                      <w:marTop w:val="0"/>
                      <w:marBottom w:val="0"/>
                      <w:divBdr>
                        <w:top w:val="none" w:sz="0" w:space="0" w:color="auto"/>
                        <w:left w:val="none" w:sz="0" w:space="0" w:color="auto"/>
                        <w:bottom w:val="none" w:sz="0" w:space="0" w:color="auto"/>
                        <w:right w:val="none" w:sz="0" w:space="0" w:color="auto"/>
                      </w:divBdr>
                    </w:div>
                  </w:divsChild>
                </w:div>
                <w:div w:id="750271796">
                  <w:marLeft w:val="0"/>
                  <w:marRight w:val="0"/>
                  <w:marTop w:val="0"/>
                  <w:marBottom w:val="0"/>
                  <w:divBdr>
                    <w:top w:val="none" w:sz="0" w:space="0" w:color="auto"/>
                    <w:left w:val="none" w:sz="0" w:space="0" w:color="auto"/>
                    <w:bottom w:val="none" w:sz="0" w:space="0" w:color="auto"/>
                    <w:right w:val="none" w:sz="0" w:space="0" w:color="auto"/>
                  </w:divBdr>
                  <w:divsChild>
                    <w:div w:id="1913662952">
                      <w:marLeft w:val="0"/>
                      <w:marRight w:val="0"/>
                      <w:marTop w:val="0"/>
                      <w:marBottom w:val="0"/>
                      <w:divBdr>
                        <w:top w:val="none" w:sz="0" w:space="0" w:color="auto"/>
                        <w:left w:val="none" w:sz="0" w:space="0" w:color="auto"/>
                        <w:bottom w:val="none" w:sz="0" w:space="0" w:color="auto"/>
                        <w:right w:val="none" w:sz="0" w:space="0" w:color="auto"/>
                      </w:divBdr>
                    </w:div>
                  </w:divsChild>
                </w:div>
                <w:div w:id="750735854">
                  <w:marLeft w:val="0"/>
                  <w:marRight w:val="0"/>
                  <w:marTop w:val="0"/>
                  <w:marBottom w:val="0"/>
                  <w:divBdr>
                    <w:top w:val="none" w:sz="0" w:space="0" w:color="auto"/>
                    <w:left w:val="none" w:sz="0" w:space="0" w:color="auto"/>
                    <w:bottom w:val="none" w:sz="0" w:space="0" w:color="auto"/>
                    <w:right w:val="none" w:sz="0" w:space="0" w:color="auto"/>
                  </w:divBdr>
                  <w:divsChild>
                    <w:div w:id="479347788">
                      <w:marLeft w:val="0"/>
                      <w:marRight w:val="0"/>
                      <w:marTop w:val="0"/>
                      <w:marBottom w:val="0"/>
                      <w:divBdr>
                        <w:top w:val="none" w:sz="0" w:space="0" w:color="auto"/>
                        <w:left w:val="none" w:sz="0" w:space="0" w:color="auto"/>
                        <w:bottom w:val="none" w:sz="0" w:space="0" w:color="auto"/>
                        <w:right w:val="none" w:sz="0" w:space="0" w:color="auto"/>
                      </w:divBdr>
                    </w:div>
                  </w:divsChild>
                </w:div>
                <w:div w:id="756709220">
                  <w:marLeft w:val="0"/>
                  <w:marRight w:val="0"/>
                  <w:marTop w:val="0"/>
                  <w:marBottom w:val="0"/>
                  <w:divBdr>
                    <w:top w:val="none" w:sz="0" w:space="0" w:color="auto"/>
                    <w:left w:val="none" w:sz="0" w:space="0" w:color="auto"/>
                    <w:bottom w:val="none" w:sz="0" w:space="0" w:color="auto"/>
                    <w:right w:val="none" w:sz="0" w:space="0" w:color="auto"/>
                  </w:divBdr>
                  <w:divsChild>
                    <w:div w:id="489097204">
                      <w:marLeft w:val="0"/>
                      <w:marRight w:val="0"/>
                      <w:marTop w:val="0"/>
                      <w:marBottom w:val="0"/>
                      <w:divBdr>
                        <w:top w:val="none" w:sz="0" w:space="0" w:color="auto"/>
                        <w:left w:val="none" w:sz="0" w:space="0" w:color="auto"/>
                        <w:bottom w:val="none" w:sz="0" w:space="0" w:color="auto"/>
                        <w:right w:val="none" w:sz="0" w:space="0" w:color="auto"/>
                      </w:divBdr>
                    </w:div>
                  </w:divsChild>
                </w:div>
                <w:div w:id="770316481">
                  <w:marLeft w:val="0"/>
                  <w:marRight w:val="0"/>
                  <w:marTop w:val="0"/>
                  <w:marBottom w:val="0"/>
                  <w:divBdr>
                    <w:top w:val="none" w:sz="0" w:space="0" w:color="auto"/>
                    <w:left w:val="none" w:sz="0" w:space="0" w:color="auto"/>
                    <w:bottom w:val="none" w:sz="0" w:space="0" w:color="auto"/>
                    <w:right w:val="none" w:sz="0" w:space="0" w:color="auto"/>
                  </w:divBdr>
                  <w:divsChild>
                    <w:div w:id="869221475">
                      <w:marLeft w:val="0"/>
                      <w:marRight w:val="0"/>
                      <w:marTop w:val="0"/>
                      <w:marBottom w:val="0"/>
                      <w:divBdr>
                        <w:top w:val="none" w:sz="0" w:space="0" w:color="auto"/>
                        <w:left w:val="none" w:sz="0" w:space="0" w:color="auto"/>
                        <w:bottom w:val="none" w:sz="0" w:space="0" w:color="auto"/>
                        <w:right w:val="none" w:sz="0" w:space="0" w:color="auto"/>
                      </w:divBdr>
                    </w:div>
                  </w:divsChild>
                </w:div>
                <w:div w:id="780343781">
                  <w:marLeft w:val="0"/>
                  <w:marRight w:val="0"/>
                  <w:marTop w:val="0"/>
                  <w:marBottom w:val="0"/>
                  <w:divBdr>
                    <w:top w:val="none" w:sz="0" w:space="0" w:color="auto"/>
                    <w:left w:val="none" w:sz="0" w:space="0" w:color="auto"/>
                    <w:bottom w:val="none" w:sz="0" w:space="0" w:color="auto"/>
                    <w:right w:val="none" w:sz="0" w:space="0" w:color="auto"/>
                  </w:divBdr>
                  <w:divsChild>
                    <w:div w:id="1349605086">
                      <w:marLeft w:val="0"/>
                      <w:marRight w:val="0"/>
                      <w:marTop w:val="0"/>
                      <w:marBottom w:val="0"/>
                      <w:divBdr>
                        <w:top w:val="none" w:sz="0" w:space="0" w:color="auto"/>
                        <w:left w:val="none" w:sz="0" w:space="0" w:color="auto"/>
                        <w:bottom w:val="none" w:sz="0" w:space="0" w:color="auto"/>
                        <w:right w:val="none" w:sz="0" w:space="0" w:color="auto"/>
                      </w:divBdr>
                    </w:div>
                  </w:divsChild>
                </w:div>
                <w:div w:id="794714742">
                  <w:marLeft w:val="0"/>
                  <w:marRight w:val="0"/>
                  <w:marTop w:val="0"/>
                  <w:marBottom w:val="0"/>
                  <w:divBdr>
                    <w:top w:val="none" w:sz="0" w:space="0" w:color="auto"/>
                    <w:left w:val="none" w:sz="0" w:space="0" w:color="auto"/>
                    <w:bottom w:val="none" w:sz="0" w:space="0" w:color="auto"/>
                    <w:right w:val="none" w:sz="0" w:space="0" w:color="auto"/>
                  </w:divBdr>
                  <w:divsChild>
                    <w:div w:id="711350239">
                      <w:marLeft w:val="0"/>
                      <w:marRight w:val="0"/>
                      <w:marTop w:val="0"/>
                      <w:marBottom w:val="0"/>
                      <w:divBdr>
                        <w:top w:val="none" w:sz="0" w:space="0" w:color="auto"/>
                        <w:left w:val="none" w:sz="0" w:space="0" w:color="auto"/>
                        <w:bottom w:val="none" w:sz="0" w:space="0" w:color="auto"/>
                        <w:right w:val="none" w:sz="0" w:space="0" w:color="auto"/>
                      </w:divBdr>
                    </w:div>
                  </w:divsChild>
                </w:div>
                <w:div w:id="811606095">
                  <w:marLeft w:val="0"/>
                  <w:marRight w:val="0"/>
                  <w:marTop w:val="0"/>
                  <w:marBottom w:val="0"/>
                  <w:divBdr>
                    <w:top w:val="none" w:sz="0" w:space="0" w:color="auto"/>
                    <w:left w:val="none" w:sz="0" w:space="0" w:color="auto"/>
                    <w:bottom w:val="none" w:sz="0" w:space="0" w:color="auto"/>
                    <w:right w:val="none" w:sz="0" w:space="0" w:color="auto"/>
                  </w:divBdr>
                  <w:divsChild>
                    <w:div w:id="1932465735">
                      <w:marLeft w:val="0"/>
                      <w:marRight w:val="0"/>
                      <w:marTop w:val="0"/>
                      <w:marBottom w:val="0"/>
                      <w:divBdr>
                        <w:top w:val="none" w:sz="0" w:space="0" w:color="auto"/>
                        <w:left w:val="none" w:sz="0" w:space="0" w:color="auto"/>
                        <w:bottom w:val="none" w:sz="0" w:space="0" w:color="auto"/>
                        <w:right w:val="none" w:sz="0" w:space="0" w:color="auto"/>
                      </w:divBdr>
                    </w:div>
                  </w:divsChild>
                </w:div>
                <w:div w:id="811680618">
                  <w:marLeft w:val="0"/>
                  <w:marRight w:val="0"/>
                  <w:marTop w:val="0"/>
                  <w:marBottom w:val="0"/>
                  <w:divBdr>
                    <w:top w:val="none" w:sz="0" w:space="0" w:color="auto"/>
                    <w:left w:val="none" w:sz="0" w:space="0" w:color="auto"/>
                    <w:bottom w:val="none" w:sz="0" w:space="0" w:color="auto"/>
                    <w:right w:val="none" w:sz="0" w:space="0" w:color="auto"/>
                  </w:divBdr>
                  <w:divsChild>
                    <w:div w:id="2062515667">
                      <w:marLeft w:val="0"/>
                      <w:marRight w:val="0"/>
                      <w:marTop w:val="0"/>
                      <w:marBottom w:val="0"/>
                      <w:divBdr>
                        <w:top w:val="none" w:sz="0" w:space="0" w:color="auto"/>
                        <w:left w:val="none" w:sz="0" w:space="0" w:color="auto"/>
                        <w:bottom w:val="none" w:sz="0" w:space="0" w:color="auto"/>
                        <w:right w:val="none" w:sz="0" w:space="0" w:color="auto"/>
                      </w:divBdr>
                    </w:div>
                  </w:divsChild>
                </w:div>
                <w:div w:id="812600971">
                  <w:marLeft w:val="0"/>
                  <w:marRight w:val="0"/>
                  <w:marTop w:val="0"/>
                  <w:marBottom w:val="0"/>
                  <w:divBdr>
                    <w:top w:val="none" w:sz="0" w:space="0" w:color="auto"/>
                    <w:left w:val="none" w:sz="0" w:space="0" w:color="auto"/>
                    <w:bottom w:val="none" w:sz="0" w:space="0" w:color="auto"/>
                    <w:right w:val="none" w:sz="0" w:space="0" w:color="auto"/>
                  </w:divBdr>
                  <w:divsChild>
                    <w:div w:id="463232685">
                      <w:marLeft w:val="0"/>
                      <w:marRight w:val="0"/>
                      <w:marTop w:val="0"/>
                      <w:marBottom w:val="0"/>
                      <w:divBdr>
                        <w:top w:val="none" w:sz="0" w:space="0" w:color="auto"/>
                        <w:left w:val="none" w:sz="0" w:space="0" w:color="auto"/>
                        <w:bottom w:val="none" w:sz="0" w:space="0" w:color="auto"/>
                        <w:right w:val="none" w:sz="0" w:space="0" w:color="auto"/>
                      </w:divBdr>
                    </w:div>
                  </w:divsChild>
                </w:div>
                <w:div w:id="812871382">
                  <w:marLeft w:val="0"/>
                  <w:marRight w:val="0"/>
                  <w:marTop w:val="0"/>
                  <w:marBottom w:val="0"/>
                  <w:divBdr>
                    <w:top w:val="none" w:sz="0" w:space="0" w:color="auto"/>
                    <w:left w:val="none" w:sz="0" w:space="0" w:color="auto"/>
                    <w:bottom w:val="none" w:sz="0" w:space="0" w:color="auto"/>
                    <w:right w:val="none" w:sz="0" w:space="0" w:color="auto"/>
                  </w:divBdr>
                  <w:divsChild>
                    <w:div w:id="187987327">
                      <w:marLeft w:val="0"/>
                      <w:marRight w:val="0"/>
                      <w:marTop w:val="0"/>
                      <w:marBottom w:val="0"/>
                      <w:divBdr>
                        <w:top w:val="none" w:sz="0" w:space="0" w:color="auto"/>
                        <w:left w:val="none" w:sz="0" w:space="0" w:color="auto"/>
                        <w:bottom w:val="none" w:sz="0" w:space="0" w:color="auto"/>
                        <w:right w:val="none" w:sz="0" w:space="0" w:color="auto"/>
                      </w:divBdr>
                    </w:div>
                  </w:divsChild>
                </w:div>
                <w:div w:id="816410260">
                  <w:marLeft w:val="0"/>
                  <w:marRight w:val="0"/>
                  <w:marTop w:val="0"/>
                  <w:marBottom w:val="0"/>
                  <w:divBdr>
                    <w:top w:val="none" w:sz="0" w:space="0" w:color="auto"/>
                    <w:left w:val="none" w:sz="0" w:space="0" w:color="auto"/>
                    <w:bottom w:val="none" w:sz="0" w:space="0" w:color="auto"/>
                    <w:right w:val="none" w:sz="0" w:space="0" w:color="auto"/>
                  </w:divBdr>
                  <w:divsChild>
                    <w:div w:id="1523930282">
                      <w:marLeft w:val="0"/>
                      <w:marRight w:val="0"/>
                      <w:marTop w:val="0"/>
                      <w:marBottom w:val="0"/>
                      <w:divBdr>
                        <w:top w:val="none" w:sz="0" w:space="0" w:color="auto"/>
                        <w:left w:val="none" w:sz="0" w:space="0" w:color="auto"/>
                        <w:bottom w:val="none" w:sz="0" w:space="0" w:color="auto"/>
                        <w:right w:val="none" w:sz="0" w:space="0" w:color="auto"/>
                      </w:divBdr>
                    </w:div>
                  </w:divsChild>
                </w:div>
                <w:div w:id="819660625">
                  <w:marLeft w:val="0"/>
                  <w:marRight w:val="0"/>
                  <w:marTop w:val="0"/>
                  <w:marBottom w:val="0"/>
                  <w:divBdr>
                    <w:top w:val="none" w:sz="0" w:space="0" w:color="auto"/>
                    <w:left w:val="none" w:sz="0" w:space="0" w:color="auto"/>
                    <w:bottom w:val="none" w:sz="0" w:space="0" w:color="auto"/>
                    <w:right w:val="none" w:sz="0" w:space="0" w:color="auto"/>
                  </w:divBdr>
                  <w:divsChild>
                    <w:div w:id="583609682">
                      <w:marLeft w:val="0"/>
                      <w:marRight w:val="0"/>
                      <w:marTop w:val="0"/>
                      <w:marBottom w:val="0"/>
                      <w:divBdr>
                        <w:top w:val="none" w:sz="0" w:space="0" w:color="auto"/>
                        <w:left w:val="none" w:sz="0" w:space="0" w:color="auto"/>
                        <w:bottom w:val="none" w:sz="0" w:space="0" w:color="auto"/>
                        <w:right w:val="none" w:sz="0" w:space="0" w:color="auto"/>
                      </w:divBdr>
                    </w:div>
                  </w:divsChild>
                </w:div>
                <w:div w:id="825244127">
                  <w:marLeft w:val="0"/>
                  <w:marRight w:val="0"/>
                  <w:marTop w:val="0"/>
                  <w:marBottom w:val="0"/>
                  <w:divBdr>
                    <w:top w:val="none" w:sz="0" w:space="0" w:color="auto"/>
                    <w:left w:val="none" w:sz="0" w:space="0" w:color="auto"/>
                    <w:bottom w:val="none" w:sz="0" w:space="0" w:color="auto"/>
                    <w:right w:val="none" w:sz="0" w:space="0" w:color="auto"/>
                  </w:divBdr>
                  <w:divsChild>
                    <w:div w:id="669064675">
                      <w:marLeft w:val="0"/>
                      <w:marRight w:val="0"/>
                      <w:marTop w:val="0"/>
                      <w:marBottom w:val="0"/>
                      <w:divBdr>
                        <w:top w:val="none" w:sz="0" w:space="0" w:color="auto"/>
                        <w:left w:val="none" w:sz="0" w:space="0" w:color="auto"/>
                        <w:bottom w:val="none" w:sz="0" w:space="0" w:color="auto"/>
                        <w:right w:val="none" w:sz="0" w:space="0" w:color="auto"/>
                      </w:divBdr>
                    </w:div>
                  </w:divsChild>
                </w:div>
                <w:div w:id="828441900">
                  <w:marLeft w:val="0"/>
                  <w:marRight w:val="0"/>
                  <w:marTop w:val="0"/>
                  <w:marBottom w:val="0"/>
                  <w:divBdr>
                    <w:top w:val="none" w:sz="0" w:space="0" w:color="auto"/>
                    <w:left w:val="none" w:sz="0" w:space="0" w:color="auto"/>
                    <w:bottom w:val="none" w:sz="0" w:space="0" w:color="auto"/>
                    <w:right w:val="none" w:sz="0" w:space="0" w:color="auto"/>
                  </w:divBdr>
                  <w:divsChild>
                    <w:div w:id="570579292">
                      <w:marLeft w:val="0"/>
                      <w:marRight w:val="0"/>
                      <w:marTop w:val="0"/>
                      <w:marBottom w:val="0"/>
                      <w:divBdr>
                        <w:top w:val="none" w:sz="0" w:space="0" w:color="auto"/>
                        <w:left w:val="none" w:sz="0" w:space="0" w:color="auto"/>
                        <w:bottom w:val="none" w:sz="0" w:space="0" w:color="auto"/>
                        <w:right w:val="none" w:sz="0" w:space="0" w:color="auto"/>
                      </w:divBdr>
                    </w:div>
                  </w:divsChild>
                </w:div>
                <w:div w:id="843058705">
                  <w:marLeft w:val="0"/>
                  <w:marRight w:val="0"/>
                  <w:marTop w:val="0"/>
                  <w:marBottom w:val="0"/>
                  <w:divBdr>
                    <w:top w:val="none" w:sz="0" w:space="0" w:color="auto"/>
                    <w:left w:val="none" w:sz="0" w:space="0" w:color="auto"/>
                    <w:bottom w:val="none" w:sz="0" w:space="0" w:color="auto"/>
                    <w:right w:val="none" w:sz="0" w:space="0" w:color="auto"/>
                  </w:divBdr>
                  <w:divsChild>
                    <w:div w:id="218979873">
                      <w:marLeft w:val="0"/>
                      <w:marRight w:val="0"/>
                      <w:marTop w:val="0"/>
                      <w:marBottom w:val="0"/>
                      <w:divBdr>
                        <w:top w:val="none" w:sz="0" w:space="0" w:color="auto"/>
                        <w:left w:val="none" w:sz="0" w:space="0" w:color="auto"/>
                        <w:bottom w:val="none" w:sz="0" w:space="0" w:color="auto"/>
                        <w:right w:val="none" w:sz="0" w:space="0" w:color="auto"/>
                      </w:divBdr>
                    </w:div>
                  </w:divsChild>
                </w:div>
                <w:div w:id="844053186">
                  <w:marLeft w:val="0"/>
                  <w:marRight w:val="0"/>
                  <w:marTop w:val="0"/>
                  <w:marBottom w:val="0"/>
                  <w:divBdr>
                    <w:top w:val="none" w:sz="0" w:space="0" w:color="auto"/>
                    <w:left w:val="none" w:sz="0" w:space="0" w:color="auto"/>
                    <w:bottom w:val="none" w:sz="0" w:space="0" w:color="auto"/>
                    <w:right w:val="none" w:sz="0" w:space="0" w:color="auto"/>
                  </w:divBdr>
                  <w:divsChild>
                    <w:div w:id="1539121929">
                      <w:marLeft w:val="0"/>
                      <w:marRight w:val="0"/>
                      <w:marTop w:val="0"/>
                      <w:marBottom w:val="0"/>
                      <w:divBdr>
                        <w:top w:val="none" w:sz="0" w:space="0" w:color="auto"/>
                        <w:left w:val="none" w:sz="0" w:space="0" w:color="auto"/>
                        <w:bottom w:val="none" w:sz="0" w:space="0" w:color="auto"/>
                        <w:right w:val="none" w:sz="0" w:space="0" w:color="auto"/>
                      </w:divBdr>
                    </w:div>
                  </w:divsChild>
                </w:div>
                <w:div w:id="847015263">
                  <w:marLeft w:val="0"/>
                  <w:marRight w:val="0"/>
                  <w:marTop w:val="0"/>
                  <w:marBottom w:val="0"/>
                  <w:divBdr>
                    <w:top w:val="none" w:sz="0" w:space="0" w:color="auto"/>
                    <w:left w:val="none" w:sz="0" w:space="0" w:color="auto"/>
                    <w:bottom w:val="none" w:sz="0" w:space="0" w:color="auto"/>
                    <w:right w:val="none" w:sz="0" w:space="0" w:color="auto"/>
                  </w:divBdr>
                  <w:divsChild>
                    <w:div w:id="1203202840">
                      <w:marLeft w:val="0"/>
                      <w:marRight w:val="0"/>
                      <w:marTop w:val="0"/>
                      <w:marBottom w:val="0"/>
                      <w:divBdr>
                        <w:top w:val="none" w:sz="0" w:space="0" w:color="auto"/>
                        <w:left w:val="none" w:sz="0" w:space="0" w:color="auto"/>
                        <w:bottom w:val="none" w:sz="0" w:space="0" w:color="auto"/>
                        <w:right w:val="none" w:sz="0" w:space="0" w:color="auto"/>
                      </w:divBdr>
                    </w:div>
                    <w:div w:id="2122407994">
                      <w:marLeft w:val="0"/>
                      <w:marRight w:val="0"/>
                      <w:marTop w:val="0"/>
                      <w:marBottom w:val="0"/>
                      <w:divBdr>
                        <w:top w:val="none" w:sz="0" w:space="0" w:color="auto"/>
                        <w:left w:val="none" w:sz="0" w:space="0" w:color="auto"/>
                        <w:bottom w:val="none" w:sz="0" w:space="0" w:color="auto"/>
                        <w:right w:val="none" w:sz="0" w:space="0" w:color="auto"/>
                      </w:divBdr>
                    </w:div>
                  </w:divsChild>
                </w:div>
                <w:div w:id="862784327">
                  <w:marLeft w:val="0"/>
                  <w:marRight w:val="0"/>
                  <w:marTop w:val="0"/>
                  <w:marBottom w:val="0"/>
                  <w:divBdr>
                    <w:top w:val="none" w:sz="0" w:space="0" w:color="auto"/>
                    <w:left w:val="none" w:sz="0" w:space="0" w:color="auto"/>
                    <w:bottom w:val="none" w:sz="0" w:space="0" w:color="auto"/>
                    <w:right w:val="none" w:sz="0" w:space="0" w:color="auto"/>
                  </w:divBdr>
                  <w:divsChild>
                    <w:div w:id="1105080241">
                      <w:marLeft w:val="0"/>
                      <w:marRight w:val="0"/>
                      <w:marTop w:val="0"/>
                      <w:marBottom w:val="0"/>
                      <w:divBdr>
                        <w:top w:val="none" w:sz="0" w:space="0" w:color="auto"/>
                        <w:left w:val="none" w:sz="0" w:space="0" w:color="auto"/>
                        <w:bottom w:val="none" w:sz="0" w:space="0" w:color="auto"/>
                        <w:right w:val="none" w:sz="0" w:space="0" w:color="auto"/>
                      </w:divBdr>
                    </w:div>
                  </w:divsChild>
                </w:div>
                <w:div w:id="865828337">
                  <w:marLeft w:val="0"/>
                  <w:marRight w:val="0"/>
                  <w:marTop w:val="0"/>
                  <w:marBottom w:val="0"/>
                  <w:divBdr>
                    <w:top w:val="none" w:sz="0" w:space="0" w:color="auto"/>
                    <w:left w:val="none" w:sz="0" w:space="0" w:color="auto"/>
                    <w:bottom w:val="none" w:sz="0" w:space="0" w:color="auto"/>
                    <w:right w:val="none" w:sz="0" w:space="0" w:color="auto"/>
                  </w:divBdr>
                  <w:divsChild>
                    <w:div w:id="766078978">
                      <w:marLeft w:val="0"/>
                      <w:marRight w:val="0"/>
                      <w:marTop w:val="0"/>
                      <w:marBottom w:val="0"/>
                      <w:divBdr>
                        <w:top w:val="none" w:sz="0" w:space="0" w:color="auto"/>
                        <w:left w:val="none" w:sz="0" w:space="0" w:color="auto"/>
                        <w:bottom w:val="none" w:sz="0" w:space="0" w:color="auto"/>
                        <w:right w:val="none" w:sz="0" w:space="0" w:color="auto"/>
                      </w:divBdr>
                    </w:div>
                  </w:divsChild>
                </w:div>
                <w:div w:id="869414179">
                  <w:marLeft w:val="0"/>
                  <w:marRight w:val="0"/>
                  <w:marTop w:val="0"/>
                  <w:marBottom w:val="0"/>
                  <w:divBdr>
                    <w:top w:val="none" w:sz="0" w:space="0" w:color="auto"/>
                    <w:left w:val="none" w:sz="0" w:space="0" w:color="auto"/>
                    <w:bottom w:val="none" w:sz="0" w:space="0" w:color="auto"/>
                    <w:right w:val="none" w:sz="0" w:space="0" w:color="auto"/>
                  </w:divBdr>
                  <w:divsChild>
                    <w:div w:id="1021009514">
                      <w:marLeft w:val="0"/>
                      <w:marRight w:val="0"/>
                      <w:marTop w:val="0"/>
                      <w:marBottom w:val="0"/>
                      <w:divBdr>
                        <w:top w:val="none" w:sz="0" w:space="0" w:color="auto"/>
                        <w:left w:val="none" w:sz="0" w:space="0" w:color="auto"/>
                        <w:bottom w:val="none" w:sz="0" w:space="0" w:color="auto"/>
                        <w:right w:val="none" w:sz="0" w:space="0" w:color="auto"/>
                      </w:divBdr>
                    </w:div>
                  </w:divsChild>
                </w:div>
                <w:div w:id="877086321">
                  <w:marLeft w:val="0"/>
                  <w:marRight w:val="0"/>
                  <w:marTop w:val="0"/>
                  <w:marBottom w:val="0"/>
                  <w:divBdr>
                    <w:top w:val="none" w:sz="0" w:space="0" w:color="auto"/>
                    <w:left w:val="none" w:sz="0" w:space="0" w:color="auto"/>
                    <w:bottom w:val="none" w:sz="0" w:space="0" w:color="auto"/>
                    <w:right w:val="none" w:sz="0" w:space="0" w:color="auto"/>
                  </w:divBdr>
                  <w:divsChild>
                    <w:div w:id="1906336703">
                      <w:marLeft w:val="0"/>
                      <w:marRight w:val="0"/>
                      <w:marTop w:val="0"/>
                      <w:marBottom w:val="0"/>
                      <w:divBdr>
                        <w:top w:val="none" w:sz="0" w:space="0" w:color="auto"/>
                        <w:left w:val="none" w:sz="0" w:space="0" w:color="auto"/>
                        <w:bottom w:val="none" w:sz="0" w:space="0" w:color="auto"/>
                        <w:right w:val="none" w:sz="0" w:space="0" w:color="auto"/>
                      </w:divBdr>
                    </w:div>
                  </w:divsChild>
                </w:div>
                <w:div w:id="878904216">
                  <w:marLeft w:val="0"/>
                  <w:marRight w:val="0"/>
                  <w:marTop w:val="0"/>
                  <w:marBottom w:val="0"/>
                  <w:divBdr>
                    <w:top w:val="none" w:sz="0" w:space="0" w:color="auto"/>
                    <w:left w:val="none" w:sz="0" w:space="0" w:color="auto"/>
                    <w:bottom w:val="none" w:sz="0" w:space="0" w:color="auto"/>
                    <w:right w:val="none" w:sz="0" w:space="0" w:color="auto"/>
                  </w:divBdr>
                  <w:divsChild>
                    <w:div w:id="1077560219">
                      <w:marLeft w:val="0"/>
                      <w:marRight w:val="0"/>
                      <w:marTop w:val="0"/>
                      <w:marBottom w:val="0"/>
                      <w:divBdr>
                        <w:top w:val="none" w:sz="0" w:space="0" w:color="auto"/>
                        <w:left w:val="none" w:sz="0" w:space="0" w:color="auto"/>
                        <w:bottom w:val="none" w:sz="0" w:space="0" w:color="auto"/>
                        <w:right w:val="none" w:sz="0" w:space="0" w:color="auto"/>
                      </w:divBdr>
                    </w:div>
                  </w:divsChild>
                </w:div>
                <w:div w:id="898633623">
                  <w:marLeft w:val="0"/>
                  <w:marRight w:val="0"/>
                  <w:marTop w:val="0"/>
                  <w:marBottom w:val="0"/>
                  <w:divBdr>
                    <w:top w:val="none" w:sz="0" w:space="0" w:color="auto"/>
                    <w:left w:val="none" w:sz="0" w:space="0" w:color="auto"/>
                    <w:bottom w:val="none" w:sz="0" w:space="0" w:color="auto"/>
                    <w:right w:val="none" w:sz="0" w:space="0" w:color="auto"/>
                  </w:divBdr>
                  <w:divsChild>
                    <w:div w:id="2028872958">
                      <w:marLeft w:val="0"/>
                      <w:marRight w:val="0"/>
                      <w:marTop w:val="0"/>
                      <w:marBottom w:val="0"/>
                      <w:divBdr>
                        <w:top w:val="none" w:sz="0" w:space="0" w:color="auto"/>
                        <w:left w:val="none" w:sz="0" w:space="0" w:color="auto"/>
                        <w:bottom w:val="none" w:sz="0" w:space="0" w:color="auto"/>
                        <w:right w:val="none" w:sz="0" w:space="0" w:color="auto"/>
                      </w:divBdr>
                    </w:div>
                  </w:divsChild>
                </w:div>
                <w:div w:id="910038965">
                  <w:marLeft w:val="0"/>
                  <w:marRight w:val="0"/>
                  <w:marTop w:val="0"/>
                  <w:marBottom w:val="0"/>
                  <w:divBdr>
                    <w:top w:val="none" w:sz="0" w:space="0" w:color="auto"/>
                    <w:left w:val="none" w:sz="0" w:space="0" w:color="auto"/>
                    <w:bottom w:val="none" w:sz="0" w:space="0" w:color="auto"/>
                    <w:right w:val="none" w:sz="0" w:space="0" w:color="auto"/>
                  </w:divBdr>
                  <w:divsChild>
                    <w:div w:id="176433827">
                      <w:marLeft w:val="0"/>
                      <w:marRight w:val="0"/>
                      <w:marTop w:val="0"/>
                      <w:marBottom w:val="0"/>
                      <w:divBdr>
                        <w:top w:val="none" w:sz="0" w:space="0" w:color="auto"/>
                        <w:left w:val="none" w:sz="0" w:space="0" w:color="auto"/>
                        <w:bottom w:val="none" w:sz="0" w:space="0" w:color="auto"/>
                        <w:right w:val="none" w:sz="0" w:space="0" w:color="auto"/>
                      </w:divBdr>
                    </w:div>
                  </w:divsChild>
                </w:div>
                <w:div w:id="910165394">
                  <w:marLeft w:val="0"/>
                  <w:marRight w:val="0"/>
                  <w:marTop w:val="0"/>
                  <w:marBottom w:val="0"/>
                  <w:divBdr>
                    <w:top w:val="none" w:sz="0" w:space="0" w:color="auto"/>
                    <w:left w:val="none" w:sz="0" w:space="0" w:color="auto"/>
                    <w:bottom w:val="none" w:sz="0" w:space="0" w:color="auto"/>
                    <w:right w:val="none" w:sz="0" w:space="0" w:color="auto"/>
                  </w:divBdr>
                  <w:divsChild>
                    <w:div w:id="1704400315">
                      <w:marLeft w:val="0"/>
                      <w:marRight w:val="0"/>
                      <w:marTop w:val="0"/>
                      <w:marBottom w:val="0"/>
                      <w:divBdr>
                        <w:top w:val="none" w:sz="0" w:space="0" w:color="auto"/>
                        <w:left w:val="none" w:sz="0" w:space="0" w:color="auto"/>
                        <w:bottom w:val="none" w:sz="0" w:space="0" w:color="auto"/>
                        <w:right w:val="none" w:sz="0" w:space="0" w:color="auto"/>
                      </w:divBdr>
                    </w:div>
                  </w:divsChild>
                </w:div>
                <w:div w:id="922298592">
                  <w:marLeft w:val="0"/>
                  <w:marRight w:val="0"/>
                  <w:marTop w:val="0"/>
                  <w:marBottom w:val="0"/>
                  <w:divBdr>
                    <w:top w:val="none" w:sz="0" w:space="0" w:color="auto"/>
                    <w:left w:val="none" w:sz="0" w:space="0" w:color="auto"/>
                    <w:bottom w:val="none" w:sz="0" w:space="0" w:color="auto"/>
                    <w:right w:val="none" w:sz="0" w:space="0" w:color="auto"/>
                  </w:divBdr>
                  <w:divsChild>
                    <w:div w:id="732041609">
                      <w:marLeft w:val="0"/>
                      <w:marRight w:val="0"/>
                      <w:marTop w:val="0"/>
                      <w:marBottom w:val="0"/>
                      <w:divBdr>
                        <w:top w:val="none" w:sz="0" w:space="0" w:color="auto"/>
                        <w:left w:val="none" w:sz="0" w:space="0" w:color="auto"/>
                        <w:bottom w:val="none" w:sz="0" w:space="0" w:color="auto"/>
                        <w:right w:val="none" w:sz="0" w:space="0" w:color="auto"/>
                      </w:divBdr>
                    </w:div>
                  </w:divsChild>
                </w:div>
                <w:div w:id="933127387">
                  <w:marLeft w:val="0"/>
                  <w:marRight w:val="0"/>
                  <w:marTop w:val="0"/>
                  <w:marBottom w:val="0"/>
                  <w:divBdr>
                    <w:top w:val="none" w:sz="0" w:space="0" w:color="auto"/>
                    <w:left w:val="none" w:sz="0" w:space="0" w:color="auto"/>
                    <w:bottom w:val="none" w:sz="0" w:space="0" w:color="auto"/>
                    <w:right w:val="none" w:sz="0" w:space="0" w:color="auto"/>
                  </w:divBdr>
                  <w:divsChild>
                    <w:div w:id="1306860944">
                      <w:marLeft w:val="0"/>
                      <w:marRight w:val="0"/>
                      <w:marTop w:val="0"/>
                      <w:marBottom w:val="0"/>
                      <w:divBdr>
                        <w:top w:val="none" w:sz="0" w:space="0" w:color="auto"/>
                        <w:left w:val="none" w:sz="0" w:space="0" w:color="auto"/>
                        <w:bottom w:val="none" w:sz="0" w:space="0" w:color="auto"/>
                        <w:right w:val="none" w:sz="0" w:space="0" w:color="auto"/>
                      </w:divBdr>
                    </w:div>
                  </w:divsChild>
                </w:div>
                <w:div w:id="933512900">
                  <w:marLeft w:val="0"/>
                  <w:marRight w:val="0"/>
                  <w:marTop w:val="0"/>
                  <w:marBottom w:val="0"/>
                  <w:divBdr>
                    <w:top w:val="none" w:sz="0" w:space="0" w:color="auto"/>
                    <w:left w:val="none" w:sz="0" w:space="0" w:color="auto"/>
                    <w:bottom w:val="none" w:sz="0" w:space="0" w:color="auto"/>
                    <w:right w:val="none" w:sz="0" w:space="0" w:color="auto"/>
                  </w:divBdr>
                  <w:divsChild>
                    <w:div w:id="1807039817">
                      <w:marLeft w:val="0"/>
                      <w:marRight w:val="0"/>
                      <w:marTop w:val="0"/>
                      <w:marBottom w:val="0"/>
                      <w:divBdr>
                        <w:top w:val="none" w:sz="0" w:space="0" w:color="auto"/>
                        <w:left w:val="none" w:sz="0" w:space="0" w:color="auto"/>
                        <w:bottom w:val="none" w:sz="0" w:space="0" w:color="auto"/>
                        <w:right w:val="none" w:sz="0" w:space="0" w:color="auto"/>
                      </w:divBdr>
                    </w:div>
                  </w:divsChild>
                </w:div>
                <w:div w:id="953361236">
                  <w:marLeft w:val="0"/>
                  <w:marRight w:val="0"/>
                  <w:marTop w:val="0"/>
                  <w:marBottom w:val="0"/>
                  <w:divBdr>
                    <w:top w:val="none" w:sz="0" w:space="0" w:color="auto"/>
                    <w:left w:val="none" w:sz="0" w:space="0" w:color="auto"/>
                    <w:bottom w:val="none" w:sz="0" w:space="0" w:color="auto"/>
                    <w:right w:val="none" w:sz="0" w:space="0" w:color="auto"/>
                  </w:divBdr>
                  <w:divsChild>
                    <w:div w:id="465396274">
                      <w:marLeft w:val="0"/>
                      <w:marRight w:val="0"/>
                      <w:marTop w:val="0"/>
                      <w:marBottom w:val="0"/>
                      <w:divBdr>
                        <w:top w:val="none" w:sz="0" w:space="0" w:color="auto"/>
                        <w:left w:val="none" w:sz="0" w:space="0" w:color="auto"/>
                        <w:bottom w:val="none" w:sz="0" w:space="0" w:color="auto"/>
                        <w:right w:val="none" w:sz="0" w:space="0" w:color="auto"/>
                      </w:divBdr>
                    </w:div>
                  </w:divsChild>
                </w:div>
                <w:div w:id="955332518">
                  <w:marLeft w:val="0"/>
                  <w:marRight w:val="0"/>
                  <w:marTop w:val="0"/>
                  <w:marBottom w:val="0"/>
                  <w:divBdr>
                    <w:top w:val="none" w:sz="0" w:space="0" w:color="auto"/>
                    <w:left w:val="none" w:sz="0" w:space="0" w:color="auto"/>
                    <w:bottom w:val="none" w:sz="0" w:space="0" w:color="auto"/>
                    <w:right w:val="none" w:sz="0" w:space="0" w:color="auto"/>
                  </w:divBdr>
                  <w:divsChild>
                    <w:div w:id="655376713">
                      <w:marLeft w:val="0"/>
                      <w:marRight w:val="0"/>
                      <w:marTop w:val="0"/>
                      <w:marBottom w:val="0"/>
                      <w:divBdr>
                        <w:top w:val="none" w:sz="0" w:space="0" w:color="auto"/>
                        <w:left w:val="none" w:sz="0" w:space="0" w:color="auto"/>
                        <w:bottom w:val="none" w:sz="0" w:space="0" w:color="auto"/>
                        <w:right w:val="none" w:sz="0" w:space="0" w:color="auto"/>
                      </w:divBdr>
                    </w:div>
                  </w:divsChild>
                </w:div>
                <w:div w:id="961809483">
                  <w:marLeft w:val="0"/>
                  <w:marRight w:val="0"/>
                  <w:marTop w:val="0"/>
                  <w:marBottom w:val="0"/>
                  <w:divBdr>
                    <w:top w:val="none" w:sz="0" w:space="0" w:color="auto"/>
                    <w:left w:val="none" w:sz="0" w:space="0" w:color="auto"/>
                    <w:bottom w:val="none" w:sz="0" w:space="0" w:color="auto"/>
                    <w:right w:val="none" w:sz="0" w:space="0" w:color="auto"/>
                  </w:divBdr>
                  <w:divsChild>
                    <w:div w:id="1163469211">
                      <w:marLeft w:val="0"/>
                      <w:marRight w:val="0"/>
                      <w:marTop w:val="0"/>
                      <w:marBottom w:val="0"/>
                      <w:divBdr>
                        <w:top w:val="none" w:sz="0" w:space="0" w:color="auto"/>
                        <w:left w:val="none" w:sz="0" w:space="0" w:color="auto"/>
                        <w:bottom w:val="none" w:sz="0" w:space="0" w:color="auto"/>
                        <w:right w:val="none" w:sz="0" w:space="0" w:color="auto"/>
                      </w:divBdr>
                    </w:div>
                  </w:divsChild>
                </w:div>
                <w:div w:id="973370439">
                  <w:marLeft w:val="0"/>
                  <w:marRight w:val="0"/>
                  <w:marTop w:val="0"/>
                  <w:marBottom w:val="0"/>
                  <w:divBdr>
                    <w:top w:val="none" w:sz="0" w:space="0" w:color="auto"/>
                    <w:left w:val="none" w:sz="0" w:space="0" w:color="auto"/>
                    <w:bottom w:val="none" w:sz="0" w:space="0" w:color="auto"/>
                    <w:right w:val="none" w:sz="0" w:space="0" w:color="auto"/>
                  </w:divBdr>
                  <w:divsChild>
                    <w:div w:id="548690415">
                      <w:marLeft w:val="0"/>
                      <w:marRight w:val="0"/>
                      <w:marTop w:val="0"/>
                      <w:marBottom w:val="0"/>
                      <w:divBdr>
                        <w:top w:val="none" w:sz="0" w:space="0" w:color="auto"/>
                        <w:left w:val="none" w:sz="0" w:space="0" w:color="auto"/>
                        <w:bottom w:val="none" w:sz="0" w:space="0" w:color="auto"/>
                        <w:right w:val="none" w:sz="0" w:space="0" w:color="auto"/>
                      </w:divBdr>
                    </w:div>
                  </w:divsChild>
                </w:div>
                <w:div w:id="976298518">
                  <w:marLeft w:val="0"/>
                  <w:marRight w:val="0"/>
                  <w:marTop w:val="0"/>
                  <w:marBottom w:val="0"/>
                  <w:divBdr>
                    <w:top w:val="none" w:sz="0" w:space="0" w:color="auto"/>
                    <w:left w:val="none" w:sz="0" w:space="0" w:color="auto"/>
                    <w:bottom w:val="none" w:sz="0" w:space="0" w:color="auto"/>
                    <w:right w:val="none" w:sz="0" w:space="0" w:color="auto"/>
                  </w:divBdr>
                  <w:divsChild>
                    <w:div w:id="985403211">
                      <w:marLeft w:val="0"/>
                      <w:marRight w:val="0"/>
                      <w:marTop w:val="0"/>
                      <w:marBottom w:val="0"/>
                      <w:divBdr>
                        <w:top w:val="none" w:sz="0" w:space="0" w:color="auto"/>
                        <w:left w:val="none" w:sz="0" w:space="0" w:color="auto"/>
                        <w:bottom w:val="none" w:sz="0" w:space="0" w:color="auto"/>
                        <w:right w:val="none" w:sz="0" w:space="0" w:color="auto"/>
                      </w:divBdr>
                    </w:div>
                  </w:divsChild>
                </w:div>
                <w:div w:id="991522532">
                  <w:marLeft w:val="0"/>
                  <w:marRight w:val="0"/>
                  <w:marTop w:val="0"/>
                  <w:marBottom w:val="0"/>
                  <w:divBdr>
                    <w:top w:val="none" w:sz="0" w:space="0" w:color="auto"/>
                    <w:left w:val="none" w:sz="0" w:space="0" w:color="auto"/>
                    <w:bottom w:val="none" w:sz="0" w:space="0" w:color="auto"/>
                    <w:right w:val="none" w:sz="0" w:space="0" w:color="auto"/>
                  </w:divBdr>
                  <w:divsChild>
                    <w:div w:id="721514212">
                      <w:marLeft w:val="0"/>
                      <w:marRight w:val="0"/>
                      <w:marTop w:val="0"/>
                      <w:marBottom w:val="0"/>
                      <w:divBdr>
                        <w:top w:val="none" w:sz="0" w:space="0" w:color="auto"/>
                        <w:left w:val="none" w:sz="0" w:space="0" w:color="auto"/>
                        <w:bottom w:val="none" w:sz="0" w:space="0" w:color="auto"/>
                        <w:right w:val="none" w:sz="0" w:space="0" w:color="auto"/>
                      </w:divBdr>
                    </w:div>
                  </w:divsChild>
                </w:div>
                <w:div w:id="992366769">
                  <w:marLeft w:val="0"/>
                  <w:marRight w:val="0"/>
                  <w:marTop w:val="0"/>
                  <w:marBottom w:val="0"/>
                  <w:divBdr>
                    <w:top w:val="none" w:sz="0" w:space="0" w:color="auto"/>
                    <w:left w:val="none" w:sz="0" w:space="0" w:color="auto"/>
                    <w:bottom w:val="none" w:sz="0" w:space="0" w:color="auto"/>
                    <w:right w:val="none" w:sz="0" w:space="0" w:color="auto"/>
                  </w:divBdr>
                  <w:divsChild>
                    <w:div w:id="1875729920">
                      <w:marLeft w:val="0"/>
                      <w:marRight w:val="0"/>
                      <w:marTop w:val="0"/>
                      <w:marBottom w:val="0"/>
                      <w:divBdr>
                        <w:top w:val="none" w:sz="0" w:space="0" w:color="auto"/>
                        <w:left w:val="none" w:sz="0" w:space="0" w:color="auto"/>
                        <w:bottom w:val="none" w:sz="0" w:space="0" w:color="auto"/>
                        <w:right w:val="none" w:sz="0" w:space="0" w:color="auto"/>
                      </w:divBdr>
                    </w:div>
                  </w:divsChild>
                </w:div>
                <w:div w:id="1006131248">
                  <w:marLeft w:val="0"/>
                  <w:marRight w:val="0"/>
                  <w:marTop w:val="0"/>
                  <w:marBottom w:val="0"/>
                  <w:divBdr>
                    <w:top w:val="none" w:sz="0" w:space="0" w:color="auto"/>
                    <w:left w:val="none" w:sz="0" w:space="0" w:color="auto"/>
                    <w:bottom w:val="none" w:sz="0" w:space="0" w:color="auto"/>
                    <w:right w:val="none" w:sz="0" w:space="0" w:color="auto"/>
                  </w:divBdr>
                  <w:divsChild>
                    <w:div w:id="617637913">
                      <w:marLeft w:val="0"/>
                      <w:marRight w:val="0"/>
                      <w:marTop w:val="0"/>
                      <w:marBottom w:val="0"/>
                      <w:divBdr>
                        <w:top w:val="none" w:sz="0" w:space="0" w:color="auto"/>
                        <w:left w:val="none" w:sz="0" w:space="0" w:color="auto"/>
                        <w:bottom w:val="none" w:sz="0" w:space="0" w:color="auto"/>
                        <w:right w:val="none" w:sz="0" w:space="0" w:color="auto"/>
                      </w:divBdr>
                    </w:div>
                  </w:divsChild>
                </w:div>
                <w:div w:id="1011226668">
                  <w:marLeft w:val="0"/>
                  <w:marRight w:val="0"/>
                  <w:marTop w:val="0"/>
                  <w:marBottom w:val="0"/>
                  <w:divBdr>
                    <w:top w:val="none" w:sz="0" w:space="0" w:color="auto"/>
                    <w:left w:val="none" w:sz="0" w:space="0" w:color="auto"/>
                    <w:bottom w:val="none" w:sz="0" w:space="0" w:color="auto"/>
                    <w:right w:val="none" w:sz="0" w:space="0" w:color="auto"/>
                  </w:divBdr>
                  <w:divsChild>
                    <w:div w:id="1147555547">
                      <w:marLeft w:val="0"/>
                      <w:marRight w:val="0"/>
                      <w:marTop w:val="0"/>
                      <w:marBottom w:val="0"/>
                      <w:divBdr>
                        <w:top w:val="none" w:sz="0" w:space="0" w:color="auto"/>
                        <w:left w:val="none" w:sz="0" w:space="0" w:color="auto"/>
                        <w:bottom w:val="none" w:sz="0" w:space="0" w:color="auto"/>
                        <w:right w:val="none" w:sz="0" w:space="0" w:color="auto"/>
                      </w:divBdr>
                    </w:div>
                  </w:divsChild>
                </w:div>
                <w:div w:id="1011882373">
                  <w:marLeft w:val="0"/>
                  <w:marRight w:val="0"/>
                  <w:marTop w:val="0"/>
                  <w:marBottom w:val="0"/>
                  <w:divBdr>
                    <w:top w:val="none" w:sz="0" w:space="0" w:color="auto"/>
                    <w:left w:val="none" w:sz="0" w:space="0" w:color="auto"/>
                    <w:bottom w:val="none" w:sz="0" w:space="0" w:color="auto"/>
                    <w:right w:val="none" w:sz="0" w:space="0" w:color="auto"/>
                  </w:divBdr>
                  <w:divsChild>
                    <w:div w:id="1417358444">
                      <w:marLeft w:val="0"/>
                      <w:marRight w:val="0"/>
                      <w:marTop w:val="0"/>
                      <w:marBottom w:val="0"/>
                      <w:divBdr>
                        <w:top w:val="none" w:sz="0" w:space="0" w:color="auto"/>
                        <w:left w:val="none" w:sz="0" w:space="0" w:color="auto"/>
                        <w:bottom w:val="none" w:sz="0" w:space="0" w:color="auto"/>
                        <w:right w:val="none" w:sz="0" w:space="0" w:color="auto"/>
                      </w:divBdr>
                    </w:div>
                  </w:divsChild>
                </w:div>
                <w:div w:id="1015885579">
                  <w:marLeft w:val="0"/>
                  <w:marRight w:val="0"/>
                  <w:marTop w:val="0"/>
                  <w:marBottom w:val="0"/>
                  <w:divBdr>
                    <w:top w:val="none" w:sz="0" w:space="0" w:color="auto"/>
                    <w:left w:val="none" w:sz="0" w:space="0" w:color="auto"/>
                    <w:bottom w:val="none" w:sz="0" w:space="0" w:color="auto"/>
                    <w:right w:val="none" w:sz="0" w:space="0" w:color="auto"/>
                  </w:divBdr>
                  <w:divsChild>
                    <w:div w:id="1726754921">
                      <w:marLeft w:val="0"/>
                      <w:marRight w:val="0"/>
                      <w:marTop w:val="0"/>
                      <w:marBottom w:val="0"/>
                      <w:divBdr>
                        <w:top w:val="none" w:sz="0" w:space="0" w:color="auto"/>
                        <w:left w:val="none" w:sz="0" w:space="0" w:color="auto"/>
                        <w:bottom w:val="none" w:sz="0" w:space="0" w:color="auto"/>
                        <w:right w:val="none" w:sz="0" w:space="0" w:color="auto"/>
                      </w:divBdr>
                    </w:div>
                  </w:divsChild>
                </w:div>
                <w:div w:id="1021976322">
                  <w:marLeft w:val="0"/>
                  <w:marRight w:val="0"/>
                  <w:marTop w:val="0"/>
                  <w:marBottom w:val="0"/>
                  <w:divBdr>
                    <w:top w:val="none" w:sz="0" w:space="0" w:color="auto"/>
                    <w:left w:val="none" w:sz="0" w:space="0" w:color="auto"/>
                    <w:bottom w:val="none" w:sz="0" w:space="0" w:color="auto"/>
                    <w:right w:val="none" w:sz="0" w:space="0" w:color="auto"/>
                  </w:divBdr>
                  <w:divsChild>
                    <w:div w:id="414399991">
                      <w:marLeft w:val="0"/>
                      <w:marRight w:val="0"/>
                      <w:marTop w:val="0"/>
                      <w:marBottom w:val="0"/>
                      <w:divBdr>
                        <w:top w:val="none" w:sz="0" w:space="0" w:color="auto"/>
                        <w:left w:val="none" w:sz="0" w:space="0" w:color="auto"/>
                        <w:bottom w:val="none" w:sz="0" w:space="0" w:color="auto"/>
                        <w:right w:val="none" w:sz="0" w:space="0" w:color="auto"/>
                      </w:divBdr>
                    </w:div>
                  </w:divsChild>
                </w:div>
                <w:div w:id="1023441272">
                  <w:marLeft w:val="0"/>
                  <w:marRight w:val="0"/>
                  <w:marTop w:val="0"/>
                  <w:marBottom w:val="0"/>
                  <w:divBdr>
                    <w:top w:val="none" w:sz="0" w:space="0" w:color="auto"/>
                    <w:left w:val="none" w:sz="0" w:space="0" w:color="auto"/>
                    <w:bottom w:val="none" w:sz="0" w:space="0" w:color="auto"/>
                    <w:right w:val="none" w:sz="0" w:space="0" w:color="auto"/>
                  </w:divBdr>
                  <w:divsChild>
                    <w:div w:id="2133283711">
                      <w:marLeft w:val="0"/>
                      <w:marRight w:val="0"/>
                      <w:marTop w:val="0"/>
                      <w:marBottom w:val="0"/>
                      <w:divBdr>
                        <w:top w:val="none" w:sz="0" w:space="0" w:color="auto"/>
                        <w:left w:val="none" w:sz="0" w:space="0" w:color="auto"/>
                        <w:bottom w:val="none" w:sz="0" w:space="0" w:color="auto"/>
                        <w:right w:val="none" w:sz="0" w:space="0" w:color="auto"/>
                      </w:divBdr>
                    </w:div>
                  </w:divsChild>
                </w:div>
                <w:div w:id="1026055916">
                  <w:marLeft w:val="0"/>
                  <w:marRight w:val="0"/>
                  <w:marTop w:val="0"/>
                  <w:marBottom w:val="0"/>
                  <w:divBdr>
                    <w:top w:val="none" w:sz="0" w:space="0" w:color="auto"/>
                    <w:left w:val="none" w:sz="0" w:space="0" w:color="auto"/>
                    <w:bottom w:val="none" w:sz="0" w:space="0" w:color="auto"/>
                    <w:right w:val="none" w:sz="0" w:space="0" w:color="auto"/>
                  </w:divBdr>
                  <w:divsChild>
                    <w:div w:id="632754802">
                      <w:marLeft w:val="0"/>
                      <w:marRight w:val="0"/>
                      <w:marTop w:val="0"/>
                      <w:marBottom w:val="0"/>
                      <w:divBdr>
                        <w:top w:val="none" w:sz="0" w:space="0" w:color="auto"/>
                        <w:left w:val="none" w:sz="0" w:space="0" w:color="auto"/>
                        <w:bottom w:val="none" w:sz="0" w:space="0" w:color="auto"/>
                        <w:right w:val="none" w:sz="0" w:space="0" w:color="auto"/>
                      </w:divBdr>
                    </w:div>
                  </w:divsChild>
                </w:div>
                <w:div w:id="1032608942">
                  <w:marLeft w:val="0"/>
                  <w:marRight w:val="0"/>
                  <w:marTop w:val="0"/>
                  <w:marBottom w:val="0"/>
                  <w:divBdr>
                    <w:top w:val="none" w:sz="0" w:space="0" w:color="auto"/>
                    <w:left w:val="none" w:sz="0" w:space="0" w:color="auto"/>
                    <w:bottom w:val="none" w:sz="0" w:space="0" w:color="auto"/>
                    <w:right w:val="none" w:sz="0" w:space="0" w:color="auto"/>
                  </w:divBdr>
                  <w:divsChild>
                    <w:div w:id="1109860649">
                      <w:marLeft w:val="0"/>
                      <w:marRight w:val="0"/>
                      <w:marTop w:val="0"/>
                      <w:marBottom w:val="0"/>
                      <w:divBdr>
                        <w:top w:val="none" w:sz="0" w:space="0" w:color="auto"/>
                        <w:left w:val="none" w:sz="0" w:space="0" w:color="auto"/>
                        <w:bottom w:val="none" w:sz="0" w:space="0" w:color="auto"/>
                        <w:right w:val="none" w:sz="0" w:space="0" w:color="auto"/>
                      </w:divBdr>
                    </w:div>
                  </w:divsChild>
                </w:div>
                <w:div w:id="1033842232">
                  <w:marLeft w:val="0"/>
                  <w:marRight w:val="0"/>
                  <w:marTop w:val="0"/>
                  <w:marBottom w:val="0"/>
                  <w:divBdr>
                    <w:top w:val="none" w:sz="0" w:space="0" w:color="auto"/>
                    <w:left w:val="none" w:sz="0" w:space="0" w:color="auto"/>
                    <w:bottom w:val="none" w:sz="0" w:space="0" w:color="auto"/>
                    <w:right w:val="none" w:sz="0" w:space="0" w:color="auto"/>
                  </w:divBdr>
                  <w:divsChild>
                    <w:div w:id="467667103">
                      <w:marLeft w:val="0"/>
                      <w:marRight w:val="0"/>
                      <w:marTop w:val="0"/>
                      <w:marBottom w:val="0"/>
                      <w:divBdr>
                        <w:top w:val="none" w:sz="0" w:space="0" w:color="auto"/>
                        <w:left w:val="none" w:sz="0" w:space="0" w:color="auto"/>
                        <w:bottom w:val="none" w:sz="0" w:space="0" w:color="auto"/>
                        <w:right w:val="none" w:sz="0" w:space="0" w:color="auto"/>
                      </w:divBdr>
                    </w:div>
                  </w:divsChild>
                </w:div>
                <w:div w:id="1046563483">
                  <w:marLeft w:val="0"/>
                  <w:marRight w:val="0"/>
                  <w:marTop w:val="0"/>
                  <w:marBottom w:val="0"/>
                  <w:divBdr>
                    <w:top w:val="none" w:sz="0" w:space="0" w:color="auto"/>
                    <w:left w:val="none" w:sz="0" w:space="0" w:color="auto"/>
                    <w:bottom w:val="none" w:sz="0" w:space="0" w:color="auto"/>
                    <w:right w:val="none" w:sz="0" w:space="0" w:color="auto"/>
                  </w:divBdr>
                  <w:divsChild>
                    <w:div w:id="716321093">
                      <w:marLeft w:val="0"/>
                      <w:marRight w:val="0"/>
                      <w:marTop w:val="0"/>
                      <w:marBottom w:val="0"/>
                      <w:divBdr>
                        <w:top w:val="none" w:sz="0" w:space="0" w:color="auto"/>
                        <w:left w:val="none" w:sz="0" w:space="0" w:color="auto"/>
                        <w:bottom w:val="none" w:sz="0" w:space="0" w:color="auto"/>
                        <w:right w:val="none" w:sz="0" w:space="0" w:color="auto"/>
                      </w:divBdr>
                    </w:div>
                  </w:divsChild>
                </w:div>
                <w:div w:id="1050494853">
                  <w:marLeft w:val="0"/>
                  <w:marRight w:val="0"/>
                  <w:marTop w:val="0"/>
                  <w:marBottom w:val="0"/>
                  <w:divBdr>
                    <w:top w:val="none" w:sz="0" w:space="0" w:color="auto"/>
                    <w:left w:val="none" w:sz="0" w:space="0" w:color="auto"/>
                    <w:bottom w:val="none" w:sz="0" w:space="0" w:color="auto"/>
                    <w:right w:val="none" w:sz="0" w:space="0" w:color="auto"/>
                  </w:divBdr>
                  <w:divsChild>
                    <w:div w:id="567770362">
                      <w:marLeft w:val="0"/>
                      <w:marRight w:val="0"/>
                      <w:marTop w:val="0"/>
                      <w:marBottom w:val="0"/>
                      <w:divBdr>
                        <w:top w:val="none" w:sz="0" w:space="0" w:color="auto"/>
                        <w:left w:val="none" w:sz="0" w:space="0" w:color="auto"/>
                        <w:bottom w:val="none" w:sz="0" w:space="0" w:color="auto"/>
                        <w:right w:val="none" w:sz="0" w:space="0" w:color="auto"/>
                      </w:divBdr>
                    </w:div>
                  </w:divsChild>
                </w:div>
                <w:div w:id="1050569103">
                  <w:marLeft w:val="0"/>
                  <w:marRight w:val="0"/>
                  <w:marTop w:val="0"/>
                  <w:marBottom w:val="0"/>
                  <w:divBdr>
                    <w:top w:val="none" w:sz="0" w:space="0" w:color="auto"/>
                    <w:left w:val="none" w:sz="0" w:space="0" w:color="auto"/>
                    <w:bottom w:val="none" w:sz="0" w:space="0" w:color="auto"/>
                    <w:right w:val="none" w:sz="0" w:space="0" w:color="auto"/>
                  </w:divBdr>
                  <w:divsChild>
                    <w:div w:id="1550454740">
                      <w:marLeft w:val="0"/>
                      <w:marRight w:val="0"/>
                      <w:marTop w:val="0"/>
                      <w:marBottom w:val="0"/>
                      <w:divBdr>
                        <w:top w:val="none" w:sz="0" w:space="0" w:color="auto"/>
                        <w:left w:val="none" w:sz="0" w:space="0" w:color="auto"/>
                        <w:bottom w:val="none" w:sz="0" w:space="0" w:color="auto"/>
                        <w:right w:val="none" w:sz="0" w:space="0" w:color="auto"/>
                      </w:divBdr>
                    </w:div>
                  </w:divsChild>
                </w:div>
                <w:div w:id="1053046692">
                  <w:marLeft w:val="0"/>
                  <w:marRight w:val="0"/>
                  <w:marTop w:val="0"/>
                  <w:marBottom w:val="0"/>
                  <w:divBdr>
                    <w:top w:val="none" w:sz="0" w:space="0" w:color="auto"/>
                    <w:left w:val="none" w:sz="0" w:space="0" w:color="auto"/>
                    <w:bottom w:val="none" w:sz="0" w:space="0" w:color="auto"/>
                    <w:right w:val="none" w:sz="0" w:space="0" w:color="auto"/>
                  </w:divBdr>
                  <w:divsChild>
                    <w:div w:id="443770825">
                      <w:marLeft w:val="0"/>
                      <w:marRight w:val="0"/>
                      <w:marTop w:val="0"/>
                      <w:marBottom w:val="0"/>
                      <w:divBdr>
                        <w:top w:val="none" w:sz="0" w:space="0" w:color="auto"/>
                        <w:left w:val="none" w:sz="0" w:space="0" w:color="auto"/>
                        <w:bottom w:val="none" w:sz="0" w:space="0" w:color="auto"/>
                        <w:right w:val="none" w:sz="0" w:space="0" w:color="auto"/>
                      </w:divBdr>
                    </w:div>
                  </w:divsChild>
                </w:div>
                <w:div w:id="1059866688">
                  <w:marLeft w:val="0"/>
                  <w:marRight w:val="0"/>
                  <w:marTop w:val="0"/>
                  <w:marBottom w:val="0"/>
                  <w:divBdr>
                    <w:top w:val="none" w:sz="0" w:space="0" w:color="auto"/>
                    <w:left w:val="none" w:sz="0" w:space="0" w:color="auto"/>
                    <w:bottom w:val="none" w:sz="0" w:space="0" w:color="auto"/>
                    <w:right w:val="none" w:sz="0" w:space="0" w:color="auto"/>
                  </w:divBdr>
                  <w:divsChild>
                    <w:div w:id="476605472">
                      <w:marLeft w:val="0"/>
                      <w:marRight w:val="0"/>
                      <w:marTop w:val="0"/>
                      <w:marBottom w:val="0"/>
                      <w:divBdr>
                        <w:top w:val="none" w:sz="0" w:space="0" w:color="auto"/>
                        <w:left w:val="none" w:sz="0" w:space="0" w:color="auto"/>
                        <w:bottom w:val="none" w:sz="0" w:space="0" w:color="auto"/>
                        <w:right w:val="none" w:sz="0" w:space="0" w:color="auto"/>
                      </w:divBdr>
                    </w:div>
                  </w:divsChild>
                </w:div>
                <w:div w:id="1062406160">
                  <w:marLeft w:val="0"/>
                  <w:marRight w:val="0"/>
                  <w:marTop w:val="0"/>
                  <w:marBottom w:val="0"/>
                  <w:divBdr>
                    <w:top w:val="none" w:sz="0" w:space="0" w:color="auto"/>
                    <w:left w:val="none" w:sz="0" w:space="0" w:color="auto"/>
                    <w:bottom w:val="none" w:sz="0" w:space="0" w:color="auto"/>
                    <w:right w:val="none" w:sz="0" w:space="0" w:color="auto"/>
                  </w:divBdr>
                  <w:divsChild>
                    <w:div w:id="2142140866">
                      <w:marLeft w:val="0"/>
                      <w:marRight w:val="0"/>
                      <w:marTop w:val="0"/>
                      <w:marBottom w:val="0"/>
                      <w:divBdr>
                        <w:top w:val="none" w:sz="0" w:space="0" w:color="auto"/>
                        <w:left w:val="none" w:sz="0" w:space="0" w:color="auto"/>
                        <w:bottom w:val="none" w:sz="0" w:space="0" w:color="auto"/>
                        <w:right w:val="none" w:sz="0" w:space="0" w:color="auto"/>
                      </w:divBdr>
                    </w:div>
                  </w:divsChild>
                </w:div>
                <w:div w:id="1065448012">
                  <w:marLeft w:val="0"/>
                  <w:marRight w:val="0"/>
                  <w:marTop w:val="0"/>
                  <w:marBottom w:val="0"/>
                  <w:divBdr>
                    <w:top w:val="none" w:sz="0" w:space="0" w:color="auto"/>
                    <w:left w:val="none" w:sz="0" w:space="0" w:color="auto"/>
                    <w:bottom w:val="none" w:sz="0" w:space="0" w:color="auto"/>
                    <w:right w:val="none" w:sz="0" w:space="0" w:color="auto"/>
                  </w:divBdr>
                  <w:divsChild>
                    <w:div w:id="1865095715">
                      <w:marLeft w:val="0"/>
                      <w:marRight w:val="0"/>
                      <w:marTop w:val="0"/>
                      <w:marBottom w:val="0"/>
                      <w:divBdr>
                        <w:top w:val="none" w:sz="0" w:space="0" w:color="auto"/>
                        <w:left w:val="none" w:sz="0" w:space="0" w:color="auto"/>
                        <w:bottom w:val="none" w:sz="0" w:space="0" w:color="auto"/>
                        <w:right w:val="none" w:sz="0" w:space="0" w:color="auto"/>
                      </w:divBdr>
                    </w:div>
                  </w:divsChild>
                </w:div>
                <w:div w:id="1070233443">
                  <w:marLeft w:val="0"/>
                  <w:marRight w:val="0"/>
                  <w:marTop w:val="0"/>
                  <w:marBottom w:val="0"/>
                  <w:divBdr>
                    <w:top w:val="none" w:sz="0" w:space="0" w:color="auto"/>
                    <w:left w:val="none" w:sz="0" w:space="0" w:color="auto"/>
                    <w:bottom w:val="none" w:sz="0" w:space="0" w:color="auto"/>
                    <w:right w:val="none" w:sz="0" w:space="0" w:color="auto"/>
                  </w:divBdr>
                  <w:divsChild>
                    <w:div w:id="17436958">
                      <w:marLeft w:val="0"/>
                      <w:marRight w:val="0"/>
                      <w:marTop w:val="0"/>
                      <w:marBottom w:val="0"/>
                      <w:divBdr>
                        <w:top w:val="none" w:sz="0" w:space="0" w:color="auto"/>
                        <w:left w:val="none" w:sz="0" w:space="0" w:color="auto"/>
                        <w:bottom w:val="none" w:sz="0" w:space="0" w:color="auto"/>
                        <w:right w:val="none" w:sz="0" w:space="0" w:color="auto"/>
                      </w:divBdr>
                    </w:div>
                  </w:divsChild>
                </w:div>
                <w:div w:id="1075474990">
                  <w:marLeft w:val="0"/>
                  <w:marRight w:val="0"/>
                  <w:marTop w:val="0"/>
                  <w:marBottom w:val="0"/>
                  <w:divBdr>
                    <w:top w:val="none" w:sz="0" w:space="0" w:color="auto"/>
                    <w:left w:val="none" w:sz="0" w:space="0" w:color="auto"/>
                    <w:bottom w:val="none" w:sz="0" w:space="0" w:color="auto"/>
                    <w:right w:val="none" w:sz="0" w:space="0" w:color="auto"/>
                  </w:divBdr>
                  <w:divsChild>
                    <w:div w:id="1025909994">
                      <w:marLeft w:val="0"/>
                      <w:marRight w:val="0"/>
                      <w:marTop w:val="0"/>
                      <w:marBottom w:val="0"/>
                      <w:divBdr>
                        <w:top w:val="none" w:sz="0" w:space="0" w:color="auto"/>
                        <w:left w:val="none" w:sz="0" w:space="0" w:color="auto"/>
                        <w:bottom w:val="none" w:sz="0" w:space="0" w:color="auto"/>
                        <w:right w:val="none" w:sz="0" w:space="0" w:color="auto"/>
                      </w:divBdr>
                    </w:div>
                  </w:divsChild>
                </w:div>
                <w:div w:id="1079979211">
                  <w:marLeft w:val="0"/>
                  <w:marRight w:val="0"/>
                  <w:marTop w:val="0"/>
                  <w:marBottom w:val="0"/>
                  <w:divBdr>
                    <w:top w:val="none" w:sz="0" w:space="0" w:color="auto"/>
                    <w:left w:val="none" w:sz="0" w:space="0" w:color="auto"/>
                    <w:bottom w:val="none" w:sz="0" w:space="0" w:color="auto"/>
                    <w:right w:val="none" w:sz="0" w:space="0" w:color="auto"/>
                  </w:divBdr>
                  <w:divsChild>
                    <w:div w:id="564335799">
                      <w:marLeft w:val="0"/>
                      <w:marRight w:val="0"/>
                      <w:marTop w:val="0"/>
                      <w:marBottom w:val="0"/>
                      <w:divBdr>
                        <w:top w:val="none" w:sz="0" w:space="0" w:color="auto"/>
                        <w:left w:val="none" w:sz="0" w:space="0" w:color="auto"/>
                        <w:bottom w:val="none" w:sz="0" w:space="0" w:color="auto"/>
                        <w:right w:val="none" w:sz="0" w:space="0" w:color="auto"/>
                      </w:divBdr>
                    </w:div>
                  </w:divsChild>
                </w:div>
                <w:div w:id="1080298873">
                  <w:marLeft w:val="0"/>
                  <w:marRight w:val="0"/>
                  <w:marTop w:val="0"/>
                  <w:marBottom w:val="0"/>
                  <w:divBdr>
                    <w:top w:val="none" w:sz="0" w:space="0" w:color="auto"/>
                    <w:left w:val="none" w:sz="0" w:space="0" w:color="auto"/>
                    <w:bottom w:val="none" w:sz="0" w:space="0" w:color="auto"/>
                    <w:right w:val="none" w:sz="0" w:space="0" w:color="auto"/>
                  </w:divBdr>
                  <w:divsChild>
                    <w:div w:id="2096705711">
                      <w:marLeft w:val="0"/>
                      <w:marRight w:val="0"/>
                      <w:marTop w:val="0"/>
                      <w:marBottom w:val="0"/>
                      <w:divBdr>
                        <w:top w:val="none" w:sz="0" w:space="0" w:color="auto"/>
                        <w:left w:val="none" w:sz="0" w:space="0" w:color="auto"/>
                        <w:bottom w:val="none" w:sz="0" w:space="0" w:color="auto"/>
                        <w:right w:val="none" w:sz="0" w:space="0" w:color="auto"/>
                      </w:divBdr>
                    </w:div>
                  </w:divsChild>
                </w:div>
                <w:div w:id="1090584795">
                  <w:marLeft w:val="0"/>
                  <w:marRight w:val="0"/>
                  <w:marTop w:val="0"/>
                  <w:marBottom w:val="0"/>
                  <w:divBdr>
                    <w:top w:val="none" w:sz="0" w:space="0" w:color="auto"/>
                    <w:left w:val="none" w:sz="0" w:space="0" w:color="auto"/>
                    <w:bottom w:val="none" w:sz="0" w:space="0" w:color="auto"/>
                    <w:right w:val="none" w:sz="0" w:space="0" w:color="auto"/>
                  </w:divBdr>
                  <w:divsChild>
                    <w:div w:id="1550067323">
                      <w:marLeft w:val="0"/>
                      <w:marRight w:val="0"/>
                      <w:marTop w:val="0"/>
                      <w:marBottom w:val="0"/>
                      <w:divBdr>
                        <w:top w:val="none" w:sz="0" w:space="0" w:color="auto"/>
                        <w:left w:val="none" w:sz="0" w:space="0" w:color="auto"/>
                        <w:bottom w:val="none" w:sz="0" w:space="0" w:color="auto"/>
                        <w:right w:val="none" w:sz="0" w:space="0" w:color="auto"/>
                      </w:divBdr>
                    </w:div>
                  </w:divsChild>
                </w:div>
                <w:div w:id="1095786496">
                  <w:marLeft w:val="0"/>
                  <w:marRight w:val="0"/>
                  <w:marTop w:val="0"/>
                  <w:marBottom w:val="0"/>
                  <w:divBdr>
                    <w:top w:val="none" w:sz="0" w:space="0" w:color="auto"/>
                    <w:left w:val="none" w:sz="0" w:space="0" w:color="auto"/>
                    <w:bottom w:val="none" w:sz="0" w:space="0" w:color="auto"/>
                    <w:right w:val="none" w:sz="0" w:space="0" w:color="auto"/>
                  </w:divBdr>
                  <w:divsChild>
                    <w:div w:id="71002234">
                      <w:marLeft w:val="0"/>
                      <w:marRight w:val="0"/>
                      <w:marTop w:val="0"/>
                      <w:marBottom w:val="0"/>
                      <w:divBdr>
                        <w:top w:val="none" w:sz="0" w:space="0" w:color="auto"/>
                        <w:left w:val="none" w:sz="0" w:space="0" w:color="auto"/>
                        <w:bottom w:val="none" w:sz="0" w:space="0" w:color="auto"/>
                        <w:right w:val="none" w:sz="0" w:space="0" w:color="auto"/>
                      </w:divBdr>
                    </w:div>
                  </w:divsChild>
                </w:div>
                <w:div w:id="1101030880">
                  <w:marLeft w:val="0"/>
                  <w:marRight w:val="0"/>
                  <w:marTop w:val="0"/>
                  <w:marBottom w:val="0"/>
                  <w:divBdr>
                    <w:top w:val="none" w:sz="0" w:space="0" w:color="auto"/>
                    <w:left w:val="none" w:sz="0" w:space="0" w:color="auto"/>
                    <w:bottom w:val="none" w:sz="0" w:space="0" w:color="auto"/>
                    <w:right w:val="none" w:sz="0" w:space="0" w:color="auto"/>
                  </w:divBdr>
                  <w:divsChild>
                    <w:div w:id="695354731">
                      <w:marLeft w:val="0"/>
                      <w:marRight w:val="0"/>
                      <w:marTop w:val="0"/>
                      <w:marBottom w:val="0"/>
                      <w:divBdr>
                        <w:top w:val="none" w:sz="0" w:space="0" w:color="auto"/>
                        <w:left w:val="none" w:sz="0" w:space="0" w:color="auto"/>
                        <w:bottom w:val="none" w:sz="0" w:space="0" w:color="auto"/>
                        <w:right w:val="none" w:sz="0" w:space="0" w:color="auto"/>
                      </w:divBdr>
                    </w:div>
                  </w:divsChild>
                </w:div>
                <w:div w:id="1104806642">
                  <w:marLeft w:val="0"/>
                  <w:marRight w:val="0"/>
                  <w:marTop w:val="0"/>
                  <w:marBottom w:val="0"/>
                  <w:divBdr>
                    <w:top w:val="none" w:sz="0" w:space="0" w:color="auto"/>
                    <w:left w:val="none" w:sz="0" w:space="0" w:color="auto"/>
                    <w:bottom w:val="none" w:sz="0" w:space="0" w:color="auto"/>
                    <w:right w:val="none" w:sz="0" w:space="0" w:color="auto"/>
                  </w:divBdr>
                  <w:divsChild>
                    <w:div w:id="2131512127">
                      <w:marLeft w:val="0"/>
                      <w:marRight w:val="0"/>
                      <w:marTop w:val="0"/>
                      <w:marBottom w:val="0"/>
                      <w:divBdr>
                        <w:top w:val="none" w:sz="0" w:space="0" w:color="auto"/>
                        <w:left w:val="none" w:sz="0" w:space="0" w:color="auto"/>
                        <w:bottom w:val="none" w:sz="0" w:space="0" w:color="auto"/>
                        <w:right w:val="none" w:sz="0" w:space="0" w:color="auto"/>
                      </w:divBdr>
                    </w:div>
                  </w:divsChild>
                </w:div>
                <w:div w:id="1107119598">
                  <w:marLeft w:val="0"/>
                  <w:marRight w:val="0"/>
                  <w:marTop w:val="0"/>
                  <w:marBottom w:val="0"/>
                  <w:divBdr>
                    <w:top w:val="none" w:sz="0" w:space="0" w:color="auto"/>
                    <w:left w:val="none" w:sz="0" w:space="0" w:color="auto"/>
                    <w:bottom w:val="none" w:sz="0" w:space="0" w:color="auto"/>
                    <w:right w:val="none" w:sz="0" w:space="0" w:color="auto"/>
                  </w:divBdr>
                  <w:divsChild>
                    <w:div w:id="417680401">
                      <w:marLeft w:val="0"/>
                      <w:marRight w:val="0"/>
                      <w:marTop w:val="0"/>
                      <w:marBottom w:val="0"/>
                      <w:divBdr>
                        <w:top w:val="none" w:sz="0" w:space="0" w:color="auto"/>
                        <w:left w:val="none" w:sz="0" w:space="0" w:color="auto"/>
                        <w:bottom w:val="none" w:sz="0" w:space="0" w:color="auto"/>
                        <w:right w:val="none" w:sz="0" w:space="0" w:color="auto"/>
                      </w:divBdr>
                    </w:div>
                  </w:divsChild>
                </w:div>
                <w:div w:id="1115561339">
                  <w:marLeft w:val="0"/>
                  <w:marRight w:val="0"/>
                  <w:marTop w:val="0"/>
                  <w:marBottom w:val="0"/>
                  <w:divBdr>
                    <w:top w:val="none" w:sz="0" w:space="0" w:color="auto"/>
                    <w:left w:val="none" w:sz="0" w:space="0" w:color="auto"/>
                    <w:bottom w:val="none" w:sz="0" w:space="0" w:color="auto"/>
                    <w:right w:val="none" w:sz="0" w:space="0" w:color="auto"/>
                  </w:divBdr>
                  <w:divsChild>
                    <w:div w:id="767577959">
                      <w:marLeft w:val="0"/>
                      <w:marRight w:val="0"/>
                      <w:marTop w:val="0"/>
                      <w:marBottom w:val="0"/>
                      <w:divBdr>
                        <w:top w:val="none" w:sz="0" w:space="0" w:color="auto"/>
                        <w:left w:val="none" w:sz="0" w:space="0" w:color="auto"/>
                        <w:bottom w:val="none" w:sz="0" w:space="0" w:color="auto"/>
                        <w:right w:val="none" w:sz="0" w:space="0" w:color="auto"/>
                      </w:divBdr>
                    </w:div>
                  </w:divsChild>
                </w:div>
                <w:div w:id="1116485844">
                  <w:marLeft w:val="0"/>
                  <w:marRight w:val="0"/>
                  <w:marTop w:val="0"/>
                  <w:marBottom w:val="0"/>
                  <w:divBdr>
                    <w:top w:val="none" w:sz="0" w:space="0" w:color="auto"/>
                    <w:left w:val="none" w:sz="0" w:space="0" w:color="auto"/>
                    <w:bottom w:val="none" w:sz="0" w:space="0" w:color="auto"/>
                    <w:right w:val="none" w:sz="0" w:space="0" w:color="auto"/>
                  </w:divBdr>
                  <w:divsChild>
                    <w:div w:id="1088189146">
                      <w:marLeft w:val="0"/>
                      <w:marRight w:val="0"/>
                      <w:marTop w:val="0"/>
                      <w:marBottom w:val="0"/>
                      <w:divBdr>
                        <w:top w:val="none" w:sz="0" w:space="0" w:color="auto"/>
                        <w:left w:val="none" w:sz="0" w:space="0" w:color="auto"/>
                        <w:bottom w:val="none" w:sz="0" w:space="0" w:color="auto"/>
                        <w:right w:val="none" w:sz="0" w:space="0" w:color="auto"/>
                      </w:divBdr>
                    </w:div>
                  </w:divsChild>
                </w:div>
                <w:div w:id="1117262736">
                  <w:marLeft w:val="0"/>
                  <w:marRight w:val="0"/>
                  <w:marTop w:val="0"/>
                  <w:marBottom w:val="0"/>
                  <w:divBdr>
                    <w:top w:val="none" w:sz="0" w:space="0" w:color="auto"/>
                    <w:left w:val="none" w:sz="0" w:space="0" w:color="auto"/>
                    <w:bottom w:val="none" w:sz="0" w:space="0" w:color="auto"/>
                    <w:right w:val="none" w:sz="0" w:space="0" w:color="auto"/>
                  </w:divBdr>
                  <w:divsChild>
                    <w:div w:id="1909924564">
                      <w:marLeft w:val="0"/>
                      <w:marRight w:val="0"/>
                      <w:marTop w:val="0"/>
                      <w:marBottom w:val="0"/>
                      <w:divBdr>
                        <w:top w:val="none" w:sz="0" w:space="0" w:color="auto"/>
                        <w:left w:val="none" w:sz="0" w:space="0" w:color="auto"/>
                        <w:bottom w:val="none" w:sz="0" w:space="0" w:color="auto"/>
                        <w:right w:val="none" w:sz="0" w:space="0" w:color="auto"/>
                      </w:divBdr>
                    </w:div>
                  </w:divsChild>
                </w:div>
                <w:div w:id="1123498275">
                  <w:marLeft w:val="0"/>
                  <w:marRight w:val="0"/>
                  <w:marTop w:val="0"/>
                  <w:marBottom w:val="0"/>
                  <w:divBdr>
                    <w:top w:val="none" w:sz="0" w:space="0" w:color="auto"/>
                    <w:left w:val="none" w:sz="0" w:space="0" w:color="auto"/>
                    <w:bottom w:val="none" w:sz="0" w:space="0" w:color="auto"/>
                    <w:right w:val="none" w:sz="0" w:space="0" w:color="auto"/>
                  </w:divBdr>
                  <w:divsChild>
                    <w:div w:id="1830517463">
                      <w:marLeft w:val="0"/>
                      <w:marRight w:val="0"/>
                      <w:marTop w:val="0"/>
                      <w:marBottom w:val="0"/>
                      <w:divBdr>
                        <w:top w:val="none" w:sz="0" w:space="0" w:color="auto"/>
                        <w:left w:val="none" w:sz="0" w:space="0" w:color="auto"/>
                        <w:bottom w:val="none" w:sz="0" w:space="0" w:color="auto"/>
                        <w:right w:val="none" w:sz="0" w:space="0" w:color="auto"/>
                      </w:divBdr>
                    </w:div>
                  </w:divsChild>
                </w:div>
                <w:div w:id="1137527767">
                  <w:marLeft w:val="0"/>
                  <w:marRight w:val="0"/>
                  <w:marTop w:val="0"/>
                  <w:marBottom w:val="0"/>
                  <w:divBdr>
                    <w:top w:val="none" w:sz="0" w:space="0" w:color="auto"/>
                    <w:left w:val="none" w:sz="0" w:space="0" w:color="auto"/>
                    <w:bottom w:val="none" w:sz="0" w:space="0" w:color="auto"/>
                    <w:right w:val="none" w:sz="0" w:space="0" w:color="auto"/>
                  </w:divBdr>
                  <w:divsChild>
                    <w:div w:id="168062809">
                      <w:marLeft w:val="0"/>
                      <w:marRight w:val="0"/>
                      <w:marTop w:val="0"/>
                      <w:marBottom w:val="0"/>
                      <w:divBdr>
                        <w:top w:val="none" w:sz="0" w:space="0" w:color="auto"/>
                        <w:left w:val="none" w:sz="0" w:space="0" w:color="auto"/>
                        <w:bottom w:val="none" w:sz="0" w:space="0" w:color="auto"/>
                        <w:right w:val="none" w:sz="0" w:space="0" w:color="auto"/>
                      </w:divBdr>
                    </w:div>
                    <w:div w:id="669257528">
                      <w:marLeft w:val="0"/>
                      <w:marRight w:val="0"/>
                      <w:marTop w:val="0"/>
                      <w:marBottom w:val="0"/>
                      <w:divBdr>
                        <w:top w:val="none" w:sz="0" w:space="0" w:color="auto"/>
                        <w:left w:val="none" w:sz="0" w:space="0" w:color="auto"/>
                        <w:bottom w:val="none" w:sz="0" w:space="0" w:color="auto"/>
                        <w:right w:val="none" w:sz="0" w:space="0" w:color="auto"/>
                      </w:divBdr>
                    </w:div>
                    <w:div w:id="1222903207">
                      <w:marLeft w:val="0"/>
                      <w:marRight w:val="0"/>
                      <w:marTop w:val="0"/>
                      <w:marBottom w:val="0"/>
                      <w:divBdr>
                        <w:top w:val="none" w:sz="0" w:space="0" w:color="auto"/>
                        <w:left w:val="none" w:sz="0" w:space="0" w:color="auto"/>
                        <w:bottom w:val="none" w:sz="0" w:space="0" w:color="auto"/>
                        <w:right w:val="none" w:sz="0" w:space="0" w:color="auto"/>
                      </w:divBdr>
                    </w:div>
                    <w:div w:id="1735156913">
                      <w:marLeft w:val="0"/>
                      <w:marRight w:val="0"/>
                      <w:marTop w:val="0"/>
                      <w:marBottom w:val="0"/>
                      <w:divBdr>
                        <w:top w:val="none" w:sz="0" w:space="0" w:color="auto"/>
                        <w:left w:val="none" w:sz="0" w:space="0" w:color="auto"/>
                        <w:bottom w:val="none" w:sz="0" w:space="0" w:color="auto"/>
                        <w:right w:val="none" w:sz="0" w:space="0" w:color="auto"/>
                      </w:divBdr>
                    </w:div>
                    <w:div w:id="1741754592">
                      <w:marLeft w:val="0"/>
                      <w:marRight w:val="0"/>
                      <w:marTop w:val="0"/>
                      <w:marBottom w:val="0"/>
                      <w:divBdr>
                        <w:top w:val="none" w:sz="0" w:space="0" w:color="auto"/>
                        <w:left w:val="none" w:sz="0" w:space="0" w:color="auto"/>
                        <w:bottom w:val="none" w:sz="0" w:space="0" w:color="auto"/>
                        <w:right w:val="none" w:sz="0" w:space="0" w:color="auto"/>
                      </w:divBdr>
                    </w:div>
                    <w:div w:id="1832720732">
                      <w:marLeft w:val="0"/>
                      <w:marRight w:val="0"/>
                      <w:marTop w:val="0"/>
                      <w:marBottom w:val="0"/>
                      <w:divBdr>
                        <w:top w:val="none" w:sz="0" w:space="0" w:color="auto"/>
                        <w:left w:val="none" w:sz="0" w:space="0" w:color="auto"/>
                        <w:bottom w:val="none" w:sz="0" w:space="0" w:color="auto"/>
                        <w:right w:val="none" w:sz="0" w:space="0" w:color="auto"/>
                      </w:divBdr>
                    </w:div>
                    <w:div w:id="1890215711">
                      <w:marLeft w:val="0"/>
                      <w:marRight w:val="0"/>
                      <w:marTop w:val="0"/>
                      <w:marBottom w:val="0"/>
                      <w:divBdr>
                        <w:top w:val="none" w:sz="0" w:space="0" w:color="auto"/>
                        <w:left w:val="none" w:sz="0" w:space="0" w:color="auto"/>
                        <w:bottom w:val="none" w:sz="0" w:space="0" w:color="auto"/>
                        <w:right w:val="none" w:sz="0" w:space="0" w:color="auto"/>
                      </w:divBdr>
                    </w:div>
                    <w:div w:id="1968076859">
                      <w:marLeft w:val="0"/>
                      <w:marRight w:val="0"/>
                      <w:marTop w:val="0"/>
                      <w:marBottom w:val="0"/>
                      <w:divBdr>
                        <w:top w:val="none" w:sz="0" w:space="0" w:color="auto"/>
                        <w:left w:val="none" w:sz="0" w:space="0" w:color="auto"/>
                        <w:bottom w:val="none" w:sz="0" w:space="0" w:color="auto"/>
                        <w:right w:val="none" w:sz="0" w:space="0" w:color="auto"/>
                      </w:divBdr>
                    </w:div>
                    <w:div w:id="2146464123">
                      <w:marLeft w:val="0"/>
                      <w:marRight w:val="0"/>
                      <w:marTop w:val="0"/>
                      <w:marBottom w:val="0"/>
                      <w:divBdr>
                        <w:top w:val="none" w:sz="0" w:space="0" w:color="auto"/>
                        <w:left w:val="none" w:sz="0" w:space="0" w:color="auto"/>
                        <w:bottom w:val="none" w:sz="0" w:space="0" w:color="auto"/>
                        <w:right w:val="none" w:sz="0" w:space="0" w:color="auto"/>
                      </w:divBdr>
                    </w:div>
                  </w:divsChild>
                </w:div>
                <w:div w:id="1137919501">
                  <w:marLeft w:val="0"/>
                  <w:marRight w:val="0"/>
                  <w:marTop w:val="0"/>
                  <w:marBottom w:val="0"/>
                  <w:divBdr>
                    <w:top w:val="none" w:sz="0" w:space="0" w:color="auto"/>
                    <w:left w:val="none" w:sz="0" w:space="0" w:color="auto"/>
                    <w:bottom w:val="none" w:sz="0" w:space="0" w:color="auto"/>
                    <w:right w:val="none" w:sz="0" w:space="0" w:color="auto"/>
                  </w:divBdr>
                  <w:divsChild>
                    <w:div w:id="345836880">
                      <w:marLeft w:val="0"/>
                      <w:marRight w:val="0"/>
                      <w:marTop w:val="0"/>
                      <w:marBottom w:val="0"/>
                      <w:divBdr>
                        <w:top w:val="none" w:sz="0" w:space="0" w:color="auto"/>
                        <w:left w:val="none" w:sz="0" w:space="0" w:color="auto"/>
                        <w:bottom w:val="none" w:sz="0" w:space="0" w:color="auto"/>
                        <w:right w:val="none" w:sz="0" w:space="0" w:color="auto"/>
                      </w:divBdr>
                    </w:div>
                  </w:divsChild>
                </w:div>
                <w:div w:id="1159273707">
                  <w:marLeft w:val="0"/>
                  <w:marRight w:val="0"/>
                  <w:marTop w:val="0"/>
                  <w:marBottom w:val="0"/>
                  <w:divBdr>
                    <w:top w:val="none" w:sz="0" w:space="0" w:color="auto"/>
                    <w:left w:val="none" w:sz="0" w:space="0" w:color="auto"/>
                    <w:bottom w:val="none" w:sz="0" w:space="0" w:color="auto"/>
                    <w:right w:val="none" w:sz="0" w:space="0" w:color="auto"/>
                  </w:divBdr>
                  <w:divsChild>
                    <w:div w:id="606960477">
                      <w:marLeft w:val="0"/>
                      <w:marRight w:val="0"/>
                      <w:marTop w:val="0"/>
                      <w:marBottom w:val="0"/>
                      <w:divBdr>
                        <w:top w:val="none" w:sz="0" w:space="0" w:color="auto"/>
                        <w:left w:val="none" w:sz="0" w:space="0" w:color="auto"/>
                        <w:bottom w:val="none" w:sz="0" w:space="0" w:color="auto"/>
                        <w:right w:val="none" w:sz="0" w:space="0" w:color="auto"/>
                      </w:divBdr>
                    </w:div>
                  </w:divsChild>
                </w:div>
                <w:div w:id="1160999668">
                  <w:marLeft w:val="0"/>
                  <w:marRight w:val="0"/>
                  <w:marTop w:val="0"/>
                  <w:marBottom w:val="0"/>
                  <w:divBdr>
                    <w:top w:val="none" w:sz="0" w:space="0" w:color="auto"/>
                    <w:left w:val="none" w:sz="0" w:space="0" w:color="auto"/>
                    <w:bottom w:val="none" w:sz="0" w:space="0" w:color="auto"/>
                    <w:right w:val="none" w:sz="0" w:space="0" w:color="auto"/>
                  </w:divBdr>
                  <w:divsChild>
                    <w:div w:id="125706411">
                      <w:marLeft w:val="0"/>
                      <w:marRight w:val="0"/>
                      <w:marTop w:val="0"/>
                      <w:marBottom w:val="0"/>
                      <w:divBdr>
                        <w:top w:val="none" w:sz="0" w:space="0" w:color="auto"/>
                        <w:left w:val="none" w:sz="0" w:space="0" w:color="auto"/>
                        <w:bottom w:val="none" w:sz="0" w:space="0" w:color="auto"/>
                        <w:right w:val="none" w:sz="0" w:space="0" w:color="auto"/>
                      </w:divBdr>
                    </w:div>
                  </w:divsChild>
                </w:div>
                <w:div w:id="1178500598">
                  <w:marLeft w:val="0"/>
                  <w:marRight w:val="0"/>
                  <w:marTop w:val="0"/>
                  <w:marBottom w:val="0"/>
                  <w:divBdr>
                    <w:top w:val="none" w:sz="0" w:space="0" w:color="auto"/>
                    <w:left w:val="none" w:sz="0" w:space="0" w:color="auto"/>
                    <w:bottom w:val="none" w:sz="0" w:space="0" w:color="auto"/>
                    <w:right w:val="none" w:sz="0" w:space="0" w:color="auto"/>
                  </w:divBdr>
                  <w:divsChild>
                    <w:div w:id="478377570">
                      <w:marLeft w:val="0"/>
                      <w:marRight w:val="0"/>
                      <w:marTop w:val="0"/>
                      <w:marBottom w:val="0"/>
                      <w:divBdr>
                        <w:top w:val="none" w:sz="0" w:space="0" w:color="auto"/>
                        <w:left w:val="none" w:sz="0" w:space="0" w:color="auto"/>
                        <w:bottom w:val="none" w:sz="0" w:space="0" w:color="auto"/>
                        <w:right w:val="none" w:sz="0" w:space="0" w:color="auto"/>
                      </w:divBdr>
                    </w:div>
                  </w:divsChild>
                </w:div>
                <w:div w:id="1180974196">
                  <w:marLeft w:val="0"/>
                  <w:marRight w:val="0"/>
                  <w:marTop w:val="0"/>
                  <w:marBottom w:val="0"/>
                  <w:divBdr>
                    <w:top w:val="none" w:sz="0" w:space="0" w:color="auto"/>
                    <w:left w:val="none" w:sz="0" w:space="0" w:color="auto"/>
                    <w:bottom w:val="none" w:sz="0" w:space="0" w:color="auto"/>
                    <w:right w:val="none" w:sz="0" w:space="0" w:color="auto"/>
                  </w:divBdr>
                  <w:divsChild>
                    <w:div w:id="1067268639">
                      <w:marLeft w:val="0"/>
                      <w:marRight w:val="0"/>
                      <w:marTop w:val="0"/>
                      <w:marBottom w:val="0"/>
                      <w:divBdr>
                        <w:top w:val="none" w:sz="0" w:space="0" w:color="auto"/>
                        <w:left w:val="none" w:sz="0" w:space="0" w:color="auto"/>
                        <w:bottom w:val="none" w:sz="0" w:space="0" w:color="auto"/>
                        <w:right w:val="none" w:sz="0" w:space="0" w:color="auto"/>
                      </w:divBdr>
                    </w:div>
                  </w:divsChild>
                </w:div>
                <w:div w:id="1181165701">
                  <w:marLeft w:val="0"/>
                  <w:marRight w:val="0"/>
                  <w:marTop w:val="0"/>
                  <w:marBottom w:val="0"/>
                  <w:divBdr>
                    <w:top w:val="none" w:sz="0" w:space="0" w:color="auto"/>
                    <w:left w:val="none" w:sz="0" w:space="0" w:color="auto"/>
                    <w:bottom w:val="none" w:sz="0" w:space="0" w:color="auto"/>
                    <w:right w:val="none" w:sz="0" w:space="0" w:color="auto"/>
                  </w:divBdr>
                  <w:divsChild>
                    <w:div w:id="2057653802">
                      <w:marLeft w:val="0"/>
                      <w:marRight w:val="0"/>
                      <w:marTop w:val="0"/>
                      <w:marBottom w:val="0"/>
                      <w:divBdr>
                        <w:top w:val="none" w:sz="0" w:space="0" w:color="auto"/>
                        <w:left w:val="none" w:sz="0" w:space="0" w:color="auto"/>
                        <w:bottom w:val="none" w:sz="0" w:space="0" w:color="auto"/>
                        <w:right w:val="none" w:sz="0" w:space="0" w:color="auto"/>
                      </w:divBdr>
                    </w:div>
                  </w:divsChild>
                </w:div>
                <w:div w:id="1183743398">
                  <w:marLeft w:val="0"/>
                  <w:marRight w:val="0"/>
                  <w:marTop w:val="0"/>
                  <w:marBottom w:val="0"/>
                  <w:divBdr>
                    <w:top w:val="none" w:sz="0" w:space="0" w:color="auto"/>
                    <w:left w:val="none" w:sz="0" w:space="0" w:color="auto"/>
                    <w:bottom w:val="none" w:sz="0" w:space="0" w:color="auto"/>
                    <w:right w:val="none" w:sz="0" w:space="0" w:color="auto"/>
                  </w:divBdr>
                  <w:divsChild>
                    <w:div w:id="616181245">
                      <w:marLeft w:val="0"/>
                      <w:marRight w:val="0"/>
                      <w:marTop w:val="0"/>
                      <w:marBottom w:val="0"/>
                      <w:divBdr>
                        <w:top w:val="none" w:sz="0" w:space="0" w:color="auto"/>
                        <w:left w:val="none" w:sz="0" w:space="0" w:color="auto"/>
                        <w:bottom w:val="none" w:sz="0" w:space="0" w:color="auto"/>
                        <w:right w:val="none" w:sz="0" w:space="0" w:color="auto"/>
                      </w:divBdr>
                    </w:div>
                  </w:divsChild>
                </w:div>
                <w:div w:id="1185560621">
                  <w:marLeft w:val="0"/>
                  <w:marRight w:val="0"/>
                  <w:marTop w:val="0"/>
                  <w:marBottom w:val="0"/>
                  <w:divBdr>
                    <w:top w:val="none" w:sz="0" w:space="0" w:color="auto"/>
                    <w:left w:val="none" w:sz="0" w:space="0" w:color="auto"/>
                    <w:bottom w:val="none" w:sz="0" w:space="0" w:color="auto"/>
                    <w:right w:val="none" w:sz="0" w:space="0" w:color="auto"/>
                  </w:divBdr>
                  <w:divsChild>
                    <w:div w:id="462963268">
                      <w:marLeft w:val="0"/>
                      <w:marRight w:val="0"/>
                      <w:marTop w:val="0"/>
                      <w:marBottom w:val="0"/>
                      <w:divBdr>
                        <w:top w:val="none" w:sz="0" w:space="0" w:color="auto"/>
                        <w:left w:val="none" w:sz="0" w:space="0" w:color="auto"/>
                        <w:bottom w:val="none" w:sz="0" w:space="0" w:color="auto"/>
                        <w:right w:val="none" w:sz="0" w:space="0" w:color="auto"/>
                      </w:divBdr>
                    </w:div>
                  </w:divsChild>
                </w:div>
                <w:div w:id="1192381901">
                  <w:marLeft w:val="0"/>
                  <w:marRight w:val="0"/>
                  <w:marTop w:val="0"/>
                  <w:marBottom w:val="0"/>
                  <w:divBdr>
                    <w:top w:val="none" w:sz="0" w:space="0" w:color="auto"/>
                    <w:left w:val="none" w:sz="0" w:space="0" w:color="auto"/>
                    <w:bottom w:val="none" w:sz="0" w:space="0" w:color="auto"/>
                    <w:right w:val="none" w:sz="0" w:space="0" w:color="auto"/>
                  </w:divBdr>
                  <w:divsChild>
                    <w:div w:id="1742478950">
                      <w:marLeft w:val="0"/>
                      <w:marRight w:val="0"/>
                      <w:marTop w:val="0"/>
                      <w:marBottom w:val="0"/>
                      <w:divBdr>
                        <w:top w:val="none" w:sz="0" w:space="0" w:color="auto"/>
                        <w:left w:val="none" w:sz="0" w:space="0" w:color="auto"/>
                        <w:bottom w:val="none" w:sz="0" w:space="0" w:color="auto"/>
                        <w:right w:val="none" w:sz="0" w:space="0" w:color="auto"/>
                      </w:divBdr>
                    </w:div>
                  </w:divsChild>
                </w:div>
                <w:div w:id="1192576152">
                  <w:marLeft w:val="0"/>
                  <w:marRight w:val="0"/>
                  <w:marTop w:val="0"/>
                  <w:marBottom w:val="0"/>
                  <w:divBdr>
                    <w:top w:val="none" w:sz="0" w:space="0" w:color="auto"/>
                    <w:left w:val="none" w:sz="0" w:space="0" w:color="auto"/>
                    <w:bottom w:val="none" w:sz="0" w:space="0" w:color="auto"/>
                    <w:right w:val="none" w:sz="0" w:space="0" w:color="auto"/>
                  </w:divBdr>
                  <w:divsChild>
                    <w:div w:id="915407727">
                      <w:marLeft w:val="0"/>
                      <w:marRight w:val="0"/>
                      <w:marTop w:val="0"/>
                      <w:marBottom w:val="0"/>
                      <w:divBdr>
                        <w:top w:val="none" w:sz="0" w:space="0" w:color="auto"/>
                        <w:left w:val="none" w:sz="0" w:space="0" w:color="auto"/>
                        <w:bottom w:val="none" w:sz="0" w:space="0" w:color="auto"/>
                        <w:right w:val="none" w:sz="0" w:space="0" w:color="auto"/>
                      </w:divBdr>
                    </w:div>
                  </w:divsChild>
                </w:div>
                <w:div w:id="1195078269">
                  <w:marLeft w:val="0"/>
                  <w:marRight w:val="0"/>
                  <w:marTop w:val="0"/>
                  <w:marBottom w:val="0"/>
                  <w:divBdr>
                    <w:top w:val="none" w:sz="0" w:space="0" w:color="auto"/>
                    <w:left w:val="none" w:sz="0" w:space="0" w:color="auto"/>
                    <w:bottom w:val="none" w:sz="0" w:space="0" w:color="auto"/>
                    <w:right w:val="none" w:sz="0" w:space="0" w:color="auto"/>
                  </w:divBdr>
                  <w:divsChild>
                    <w:div w:id="13655285">
                      <w:marLeft w:val="0"/>
                      <w:marRight w:val="0"/>
                      <w:marTop w:val="0"/>
                      <w:marBottom w:val="0"/>
                      <w:divBdr>
                        <w:top w:val="none" w:sz="0" w:space="0" w:color="auto"/>
                        <w:left w:val="none" w:sz="0" w:space="0" w:color="auto"/>
                        <w:bottom w:val="none" w:sz="0" w:space="0" w:color="auto"/>
                        <w:right w:val="none" w:sz="0" w:space="0" w:color="auto"/>
                      </w:divBdr>
                    </w:div>
                  </w:divsChild>
                </w:div>
                <w:div w:id="1197885708">
                  <w:marLeft w:val="0"/>
                  <w:marRight w:val="0"/>
                  <w:marTop w:val="0"/>
                  <w:marBottom w:val="0"/>
                  <w:divBdr>
                    <w:top w:val="none" w:sz="0" w:space="0" w:color="auto"/>
                    <w:left w:val="none" w:sz="0" w:space="0" w:color="auto"/>
                    <w:bottom w:val="none" w:sz="0" w:space="0" w:color="auto"/>
                    <w:right w:val="none" w:sz="0" w:space="0" w:color="auto"/>
                  </w:divBdr>
                  <w:divsChild>
                    <w:div w:id="878861961">
                      <w:marLeft w:val="0"/>
                      <w:marRight w:val="0"/>
                      <w:marTop w:val="0"/>
                      <w:marBottom w:val="0"/>
                      <w:divBdr>
                        <w:top w:val="none" w:sz="0" w:space="0" w:color="auto"/>
                        <w:left w:val="none" w:sz="0" w:space="0" w:color="auto"/>
                        <w:bottom w:val="none" w:sz="0" w:space="0" w:color="auto"/>
                        <w:right w:val="none" w:sz="0" w:space="0" w:color="auto"/>
                      </w:divBdr>
                    </w:div>
                  </w:divsChild>
                </w:div>
                <w:div w:id="1208252275">
                  <w:marLeft w:val="0"/>
                  <w:marRight w:val="0"/>
                  <w:marTop w:val="0"/>
                  <w:marBottom w:val="0"/>
                  <w:divBdr>
                    <w:top w:val="none" w:sz="0" w:space="0" w:color="auto"/>
                    <w:left w:val="none" w:sz="0" w:space="0" w:color="auto"/>
                    <w:bottom w:val="none" w:sz="0" w:space="0" w:color="auto"/>
                    <w:right w:val="none" w:sz="0" w:space="0" w:color="auto"/>
                  </w:divBdr>
                  <w:divsChild>
                    <w:div w:id="158663542">
                      <w:marLeft w:val="0"/>
                      <w:marRight w:val="0"/>
                      <w:marTop w:val="0"/>
                      <w:marBottom w:val="0"/>
                      <w:divBdr>
                        <w:top w:val="none" w:sz="0" w:space="0" w:color="auto"/>
                        <w:left w:val="none" w:sz="0" w:space="0" w:color="auto"/>
                        <w:bottom w:val="none" w:sz="0" w:space="0" w:color="auto"/>
                        <w:right w:val="none" w:sz="0" w:space="0" w:color="auto"/>
                      </w:divBdr>
                    </w:div>
                  </w:divsChild>
                </w:div>
                <w:div w:id="1209024886">
                  <w:marLeft w:val="0"/>
                  <w:marRight w:val="0"/>
                  <w:marTop w:val="0"/>
                  <w:marBottom w:val="0"/>
                  <w:divBdr>
                    <w:top w:val="none" w:sz="0" w:space="0" w:color="auto"/>
                    <w:left w:val="none" w:sz="0" w:space="0" w:color="auto"/>
                    <w:bottom w:val="none" w:sz="0" w:space="0" w:color="auto"/>
                    <w:right w:val="none" w:sz="0" w:space="0" w:color="auto"/>
                  </w:divBdr>
                  <w:divsChild>
                    <w:div w:id="1089813977">
                      <w:marLeft w:val="0"/>
                      <w:marRight w:val="0"/>
                      <w:marTop w:val="0"/>
                      <w:marBottom w:val="0"/>
                      <w:divBdr>
                        <w:top w:val="none" w:sz="0" w:space="0" w:color="auto"/>
                        <w:left w:val="none" w:sz="0" w:space="0" w:color="auto"/>
                        <w:bottom w:val="none" w:sz="0" w:space="0" w:color="auto"/>
                        <w:right w:val="none" w:sz="0" w:space="0" w:color="auto"/>
                      </w:divBdr>
                    </w:div>
                  </w:divsChild>
                </w:div>
                <w:div w:id="1222255547">
                  <w:marLeft w:val="0"/>
                  <w:marRight w:val="0"/>
                  <w:marTop w:val="0"/>
                  <w:marBottom w:val="0"/>
                  <w:divBdr>
                    <w:top w:val="none" w:sz="0" w:space="0" w:color="auto"/>
                    <w:left w:val="none" w:sz="0" w:space="0" w:color="auto"/>
                    <w:bottom w:val="none" w:sz="0" w:space="0" w:color="auto"/>
                    <w:right w:val="none" w:sz="0" w:space="0" w:color="auto"/>
                  </w:divBdr>
                  <w:divsChild>
                    <w:div w:id="1880895433">
                      <w:marLeft w:val="0"/>
                      <w:marRight w:val="0"/>
                      <w:marTop w:val="0"/>
                      <w:marBottom w:val="0"/>
                      <w:divBdr>
                        <w:top w:val="none" w:sz="0" w:space="0" w:color="auto"/>
                        <w:left w:val="none" w:sz="0" w:space="0" w:color="auto"/>
                        <w:bottom w:val="none" w:sz="0" w:space="0" w:color="auto"/>
                        <w:right w:val="none" w:sz="0" w:space="0" w:color="auto"/>
                      </w:divBdr>
                    </w:div>
                  </w:divsChild>
                </w:div>
                <w:div w:id="1224095949">
                  <w:marLeft w:val="0"/>
                  <w:marRight w:val="0"/>
                  <w:marTop w:val="0"/>
                  <w:marBottom w:val="0"/>
                  <w:divBdr>
                    <w:top w:val="none" w:sz="0" w:space="0" w:color="auto"/>
                    <w:left w:val="none" w:sz="0" w:space="0" w:color="auto"/>
                    <w:bottom w:val="none" w:sz="0" w:space="0" w:color="auto"/>
                    <w:right w:val="none" w:sz="0" w:space="0" w:color="auto"/>
                  </w:divBdr>
                  <w:divsChild>
                    <w:div w:id="1469666425">
                      <w:marLeft w:val="0"/>
                      <w:marRight w:val="0"/>
                      <w:marTop w:val="0"/>
                      <w:marBottom w:val="0"/>
                      <w:divBdr>
                        <w:top w:val="none" w:sz="0" w:space="0" w:color="auto"/>
                        <w:left w:val="none" w:sz="0" w:space="0" w:color="auto"/>
                        <w:bottom w:val="none" w:sz="0" w:space="0" w:color="auto"/>
                        <w:right w:val="none" w:sz="0" w:space="0" w:color="auto"/>
                      </w:divBdr>
                    </w:div>
                  </w:divsChild>
                </w:div>
                <w:div w:id="1226993209">
                  <w:marLeft w:val="0"/>
                  <w:marRight w:val="0"/>
                  <w:marTop w:val="0"/>
                  <w:marBottom w:val="0"/>
                  <w:divBdr>
                    <w:top w:val="none" w:sz="0" w:space="0" w:color="auto"/>
                    <w:left w:val="none" w:sz="0" w:space="0" w:color="auto"/>
                    <w:bottom w:val="none" w:sz="0" w:space="0" w:color="auto"/>
                    <w:right w:val="none" w:sz="0" w:space="0" w:color="auto"/>
                  </w:divBdr>
                  <w:divsChild>
                    <w:div w:id="1942029287">
                      <w:marLeft w:val="0"/>
                      <w:marRight w:val="0"/>
                      <w:marTop w:val="0"/>
                      <w:marBottom w:val="0"/>
                      <w:divBdr>
                        <w:top w:val="none" w:sz="0" w:space="0" w:color="auto"/>
                        <w:left w:val="none" w:sz="0" w:space="0" w:color="auto"/>
                        <w:bottom w:val="none" w:sz="0" w:space="0" w:color="auto"/>
                        <w:right w:val="none" w:sz="0" w:space="0" w:color="auto"/>
                      </w:divBdr>
                    </w:div>
                  </w:divsChild>
                </w:div>
                <w:div w:id="1228490659">
                  <w:marLeft w:val="0"/>
                  <w:marRight w:val="0"/>
                  <w:marTop w:val="0"/>
                  <w:marBottom w:val="0"/>
                  <w:divBdr>
                    <w:top w:val="none" w:sz="0" w:space="0" w:color="auto"/>
                    <w:left w:val="none" w:sz="0" w:space="0" w:color="auto"/>
                    <w:bottom w:val="none" w:sz="0" w:space="0" w:color="auto"/>
                    <w:right w:val="none" w:sz="0" w:space="0" w:color="auto"/>
                  </w:divBdr>
                  <w:divsChild>
                    <w:div w:id="537663488">
                      <w:marLeft w:val="0"/>
                      <w:marRight w:val="0"/>
                      <w:marTop w:val="0"/>
                      <w:marBottom w:val="0"/>
                      <w:divBdr>
                        <w:top w:val="none" w:sz="0" w:space="0" w:color="auto"/>
                        <w:left w:val="none" w:sz="0" w:space="0" w:color="auto"/>
                        <w:bottom w:val="none" w:sz="0" w:space="0" w:color="auto"/>
                        <w:right w:val="none" w:sz="0" w:space="0" w:color="auto"/>
                      </w:divBdr>
                    </w:div>
                  </w:divsChild>
                </w:div>
                <w:div w:id="1229850476">
                  <w:marLeft w:val="0"/>
                  <w:marRight w:val="0"/>
                  <w:marTop w:val="0"/>
                  <w:marBottom w:val="0"/>
                  <w:divBdr>
                    <w:top w:val="none" w:sz="0" w:space="0" w:color="auto"/>
                    <w:left w:val="none" w:sz="0" w:space="0" w:color="auto"/>
                    <w:bottom w:val="none" w:sz="0" w:space="0" w:color="auto"/>
                    <w:right w:val="none" w:sz="0" w:space="0" w:color="auto"/>
                  </w:divBdr>
                  <w:divsChild>
                    <w:div w:id="2032609151">
                      <w:marLeft w:val="0"/>
                      <w:marRight w:val="0"/>
                      <w:marTop w:val="0"/>
                      <w:marBottom w:val="0"/>
                      <w:divBdr>
                        <w:top w:val="none" w:sz="0" w:space="0" w:color="auto"/>
                        <w:left w:val="none" w:sz="0" w:space="0" w:color="auto"/>
                        <w:bottom w:val="none" w:sz="0" w:space="0" w:color="auto"/>
                        <w:right w:val="none" w:sz="0" w:space="0" w:color="auto"/>
                      </w:divBdr>
                    </w:div>
                  </w:divsChild>
                </w:div>
                <w:div w:id="1230917973">
                  <w:marLeft w:val="0"/>
                  <w:marRight w:val="0"/>
                  <w:marTop w:val="0"/>
                  <w:marBottom w:val="0"/>
                  <w:divBdr>
                    <w:top w:val="none" w:sz="0" w:space="0" w:color="auto"/>
                    <w:left w:val="none" w:sz="0" w:space="0" w:color="auto"/>
                    <w:bottom w:val="none" w:sz="0" w:space="0" w:color="auto"/>
                    <w:right w:val="none" w:sz="0" w:space="0" w:color="auto"/>
                  </w:divBdr>
                  <w:divsChild>
                    <w:div w:id="1695226166">
                      <w:marLeft w:val="0"/>
                      <w:marRight w:val="0"/>
                      <w:marTop w:val="0"/>
                      <w:marBottom w:val="0"/>
                      <w:divBdr>
                        <w:top w:val="none" w:sz="0" w:space="0" w:color="auto"/>
                        <w:left w:val="none" w:sz="0" w:space="0" w:color="auto"/>
                        <w:bottom w:val="none" w:sz="0" w:space="0" w:color="auto"/>
                        <w:right w:val="none" w:sz="0" w:space="0" w:color="auto"/>
                      </w:divBdr>
                    </w:div>
                  </w:divsChild>
                </w:div>
                <w:div w:id="1246766727">
                  <w:marLeft w:val="0"/>
                  <w:marRight w:val="0"/>
                  <w:marTop w:val="0"/>
                  <w:marBottom w:val="0"/>
                  <w:divBdr>
                    <w:top w:val="none" w:sz="0" w:space="0" w:color="auto"/>
                    <w:left w:val="none" w:sz="0" w:space="0" w:color="auto"/>
                    <w:bottom w:val="none" w:sz="0" w:space="0" w:color="auto"/>
                    <w:right w:val="none" w:sz="0" w:space="0" w:color="auto"/>
                  </w:divBdr>
                  <w:divsChild>
                    <w:div w:id="309600293">
                      <w:marLeft w:val="0"/>
                      <w:marRight w:val="0"/>
                      <w:marTop w:val="0"/>
                      <w:marBottom w:val="0"/>
                      <w:divBdr>
                        <w:top w:val="none" w:sz="0" w:space="0" w:color="auto"/>
                        <w:left w:val="none" w:sz="0" w:space="0" w:color="auto"/>
                        <w:bottom w:val="none" w:sz="0" w:space="0" w:color="auto"/>
                        <w:right w:val="none" w:sz="0" w:space="0" w:color="auto"/>
                      </w:divBdr>
                    </w:div>
                  </w:divsChild>
                </w:div>
                <w:div w:id="1247884301">
                  <w:marLeft w:val="0"/>
                  <w:marRight w:val="0"/>
                  <w:marTop w:val="0"/>
                  <w:marBottom w:val="0"/>
                  <w:divBdr>
                    <w:top w:val="none" w:sz="0" w:space="0" w:color="auto"/>
                    <w:left w:val="none" w:sz="0" w:space="0" w:color="auto"/>
                    <w:bottom w:val="none" w:sz="0" w:space="0" w:color="auto"/>
                    <w:right w:val="none" w:sz="0" w:space="0" w:color="auto"/>
                  </w:divBdr>
                  <w:divsChild>
                    <w:div w:id="694354836">
                      <w:marLeft w:val="0"/>
                      <w:marRight w:val="0"/>
                      <w:marTop w:val="0"/>
                      <w:marBottom w:val="0"/>
                      <w:divBdr>
                        <w:top w:val="none" w:sz="0" w:space="0" w:color="auto"/>
                        <w:left w:val="none" w:sz="0" w:space="0" w:color="auto"/>
                        <w:bottom w:val="none" w:sz="0" w:space="0" w:color="auto"/>
                        <w:right w:val="none" w:sz="0" w:space="0" w:color="auto"/>
                      </w:divBdr>
                    </w:div>
                  </w:divsChild>
                </w:div>
                <w:div w:id="1258100906">
                  <w:marLeft w:val="0"/>
                  <w:marRight w:val="0"/>
                  <w:marTop w:val="0"/>
                  <w:marBottom w:val="0"/>
                  <w:divBdr>
                    <w:top w:val="none" w:sz="0" w:space="0" w:color="auto"/>
                    <w:left w:val="none" w:sz="0" w:space="0" w:color="auto"/>
                    <w:bottom w:val="none" w:sz="0" w:space="0" w:color="auto"/>
                    <w:right w:val="none" w:sz="0" w:space="0" w:color="auto"/>
                  </w:divBdr>
                  <w:divsChild>
                    <w:div w:id="1598518839">
                      <w:marLeft w:val="0"/>
                      <w:marRight w:val="0"/>
                      <w:marTop w:val="0"/>
                      <w:marBottom w:val="0"/>
                      <w:divBdr>
                        <w:top w:val="none" w:sz="0" w:space="0" w:color="auto"/>
                        <w:left w:val="none" w:sz="0" w:space="0" w:color="auto"/>
                        <w:bottom w:val="none" w:sz="0" w:space="0" w:color="auto"/>
                        <w:right w:val="none" w:sz="0" w:space="0" w:color="auto"/>
                      </w:divBdr>
                    </w:div>
                  </w:divsChild>
                </w:div>
                <w:div w:id="1258832997">
                  <w:marLeft w:val="0"/>
                  <w:marRight w:val="0"/>
                  <w:marTop w:val="0"/>
                  <w:marBottom w:val="0"/>
                  <w:divBdr>
                    <w:top w:val="none" w:sz="0" w:space="0" w:color="auto"/>
                    <w:left w:val="none" w:sz="0" w:space="0" w:color="auto"/>
                    <w:bottom w:val="none" w:sz="0" w:space="0" w:color="auto"/>
                    <w:right w:val="none" w:sz="0" w:space="0" w:color="auto"/>
                  </w:divBdr>
                  <w:divsChild>
                    <w:div w:id="733896856">
                      <w:marLeft w:val="0"/>
                      <w:marRight w:val="0"/>
                      <w:marTop w:val="0"/>
                      <w:marBottom w:val="0"/>
                      <w:divBdr>
                        <w:top w:val="none" w:sz="0" w:space="0" w:color="auto"/>
                        <w:left w:val="none" w:sz="0" w:space="0" w:color="auto"/>
                        <w:bottom w:val="none" w:sz="0" w:space="0" w:color="auto"/>
                        <w:right w:val="none" w:sz="0" w:space="0" w:color="auto"/>
                      </w:divBdr>
                    </w:div>
                  </w:divsChild>
                </w:div>
                <w:div w:id="1265766895">
                  <w:marLeft w:val="0"/>
                  <w:marRight w:val="0"/>
                  <w:marTop w:val="0"/>
                  <w:marBottom w:val="0"/>
                  <w:divBdr>
                    <w:top w:val="none" w:sz="0" w:space="0" w:color="auto"/>
                    <w:left w:val="none" w:sz="0" w:space="0" w:color="auto"/>
                    <w:bottom w:val="none" w:sz="0" w:space="0" w:color="auto"/>
                    <w:right w:val="none" w:sz="0" w:space="0" w:color="auto"/>
                  </w:divBdr>
                  <w:divsChild>
                    <w:div w:id="1291014358">
                      <w:marLeft w:val="0"/>
                      <w:marRight w:val="0"/>
                      <w:marTop w:val="0"/>
                      <w:marBottom w:val="0"/>
                      <w:divBdr>
                        <w:top w:val="none" w:sz="0" w:space="0" w:color="auto"/>
                        <w:left w:val="none" w:sz="0" w:space="0" w:color="auto"/>
                        <w:bottom w:val="none" w:sz="0" w:space="0" w:color="auto"/>
                        <w:right w:val="none" w:sz="0" w:space="0" w:color="auto"/>
                      </w:divBdr>
                    </w:div>
                  </w:divsChild>
                </w:div>
                <w:div w:id="1269312742">
                  <w:marLeft w:val="0"/>
                  <w:marRight w:val="0"/>
                  <w:marTop w:val="0"/>
                  <w:marBottom w:val="0"/>
                  <w:divBdr>
                    <w:top w:val="none" w:sz="0" w:space="0" w:color="auto"/>
                    <w:left w:val="none" w:sz="0" w:space="0" w:color="auto"/>
                    <w:bottom w:val="none" w:sz="0" w:space="0" w:color="auto"/>
                    <w:right w:val="none" w:sz="0" w:space="0" w:color="auto"/>
                  </w:divBdr>
                  <w:divsChild>
                    <w:div w:id="869532751">
                      <w:marLeft w:val="0"/>
                      <w:marRight w:val="0"/>
                      <w:marTop w:val="0"/>
                      <w:marBottom w:val="0"/>
                      <w:divBdr>
                        <w:top w:val="none" w:sz="0" w:space="0" w:color="auto"/>
                        <w:left w:val="none" w:sz="0" w:space="0" w:color="auto"/>
                        <w:bottom w:val="none" w:sz="0" w:space="0" w:color="auto"/>
                        <w:right w:val="none" w:sz="0" w:space="0" w:color="auto"/>
                      </w:divBdr>
                    </w:div>
                  </w:divsChild>
                </w:div>
                <w:div w:id="1271739708">
                  <w:marLeft w:val="0"/>
                  <w:marRight w:val="0"/>
                  <w:marTop w:val="0"/>
                  <w:marBottom w:val="0"/>
                  <w:divBdr>
                    <w:top w:val="none" w:sz="0" w:space="0" w:color="auto"/>
                    <w:left w:val="none" w:sz="0" w:space="0" w:color="auto"/>
                    <w:bottom w:val="none" w:sz="0" w:space="0" w:color="auto"/>
                    <w:right w:val="none" w:sz="0" w:space="0" w:color="auto"/>
                  </w:divBdr>
                  <w:divsChild>
                    <w:div w:id="499656855">
                      <w:marLeft w:val="0"/>
                      <w:marRight w:val="0"/>
                      <w:marTop w:val="0"/>
                      <w:marBottom w:val="0"/>
                      <w:divBdr>
                        <w:top w:val="none" w:sz="0" w:space="0" w:color="auto"/>
                        <w:left w:val="none" w:sz="0" w:space="0" w:color="auto"/>
                        <w:bottom w:val="none" w:sz="0" w:space="0" w:color="auto"/>
                        <w:right w:val="none" w:sz="0" w:space="0" w:color="auto"/>
                      </w:divBdr>
                    </w:div>
                  </w:divsChild>
                </w:div>
                <w:div w:id="1275213707">
                  <w:marLeft w:val="0"/>
                  <w:marRight w:val="0"/>
                  <w:marTop w:val="0"/>
                  <w:marBottom w:val="0"/>
                  <w:divBdr>
                    <w:top w:val="none" w:sz="0" w:space="0" w:color="auto"/>
                    <w:left w:val="none" w:sz="0" w:space="0" w:color="auto"/>
                    <w:bottom w:val="none" w:sz="0" w:space="0" w:color="auto"/>
                    <w:right w:val="none" w:sz="0" w:space="0" w:color="auto"/>
                  </w:divBdr>
                  <w:divsChild>
                    <w:div w:id="1816406614">
                      <w:marLeft w:val="0"/>
                      <w:marRight w:val="0"/>
                      <w:marTop w:val="0"/>
                      <w:marBottom w:val="0"/>
                      <w:divBdr>
                        <w:top w:val="none" w:sz="0" w:space="0" w:color="auto"/>
                        <w:left w:val="none" w:sz="0" w:space="0" w:color="auto"/>
                        <w:bottom w:val="none" w:sz="0" w:space="0" w:color="auto"/>
                        <w:right w:val="none" w:sz="0" w:space="0" w:color="auto"/>
                      </w:divBdr>
                    </w:div>
                  </w:divsChild>
                </w:div>
                <w:div w:id="1279752700">
                  <w:marLeft w:val="0"/>
                  <w:marRight w:val="0"/>
                  <w:marTop w:val="0"/>
                  <w:marBottom w:val="0"/>
                  <w:divBdr>
                    <w:top w:val="none" w:sz="0" w:space="0" w:color="auto"/>
                    <w:left w:val="none" w:sz="0" w:space="0" w:color="auto"/>
                    <w:bottom w:val="none" w:sz="0" w:space="0" w:color="auto"/>
                    <w:right w:val="none" w:sz="0" w:space="0" w:color="auto"/>
                  </w:divBdr>
                  <w:divsChild>
                    <w:div w:id="16926934">
                      <w:marLeft w:val="0"/>
                      <w:marRight w:val="0"/>
                      <w:marTop w:val="0"/>
                      <w:marBottom w:val="0"/>
                      <w:divBdr>
                        <w:top w:val="none" w:sz="0" w:space="0" w:color="auto"/>
                        <w:left w:val="none" w:sz="0" w:space="0" w:color="auto"/>
                        <w:bottom w:val="none" w:sz="0" w:space="0" w:color="auto"/>
                        <w:right w:val="none" w:sz="0" w:space="0" w:color="auto"/>
                      </w:divBdr>
                    </w:div>
                  </w:divsChild>
                </w:div>
                <w:div w:id="1283223121">
                  <w:marLeft w:val="0"/>
                  <w:marRight w:val="0"/>
                  <w:marTop w:val="0"/>
                  <w:marBottom w:val="0"/>
                  <w:divBdr>
                    <w:top w:val="none" w:sz="0" w:space="0" w:color="auto"/>
                    <w:left w:val="none" w:sz="0" w:space="0" w:color="auto"/>
                    <w:bottom w:val="none" w:sz="0" w:space="0" w:color="auto"/>
                    <w:right w:val="none" w:sz="0" w:space="0" w:color="auto"/>
                  </w:divBdr>
                  <w:divsChild>
                    <w:div w:id="852381480">
                      <w:marLeft w:val="0"/>
                      <w:marRight w:val="0"/>
                      <w:marTop w:val="0"/>
                      <w:marBottom w:val="0"/>
                      <w:divBdr>
                        <w:top w:val="none" w:sz="0" w:space="0" w:color="auto"/>
                        <w:left w:val="none" w:sz="0" w:space="0" w:color="auto"/>
                        <w:bottom w:val="none" w:sz="0" w:space="0" w:color="auto"/>
                        <w:right w:val="none" w:sz="0" w:space="0" w:color="auto"/>
                      </w:divBdr>
                    </w:div>
                  </w:divsChild>
                </w:div>
                <w:div w:id="1287814759">
                  <w:marLeft w:val="0"/>
                  <w:marRight w:val="0"/>
                  <w:marTop w:val="0"/>
                  <w:marBottom w:val="0"/>
                  <w:divBdr>
                    <w:top w:val="none" w:sz="0" w:space="0" w:color="auto"/>
                    <w:left w:val="none" w:sz="0" w:space="0" w:color="auto"/>
                    <w:bottom w:val="none" w:sz="0" w:space="0" w:color="auto"/>
                    <w:right w:val="none" w:sz="0" w:space="0" w:color="auto"/>
                  </w:divBdr>
                  <w:divsChild>
                    <w:div w:id="1306275151">
                      <w:marLeft w:val="0"/>
                      <w:marRight w:val="0"/>
                      <w:marTop w:val="0"/>
                      <w:marBottom w:val="0"/>
                      <w:divBdr>
                        <w:top w:val="none" w:sz="0" w:space="0" w:color="auto"/>
                        <w:left w:val="none" w:sz="0" w:space="0" w:color="auto"/>
                        <w:bottom w:val="none" w:sz="0" w:space="0" w:color="auto"/>
                        <w:right w:val="none" w:sz="0" w:space="0" w:color="auto"/>
                      </w:divBdr>
                    </w:div>
                  </w:divsChild>
                </w:div>
                <w:div w:id="1293289699">
                  <w:marLeft w:val="0"/>
                  <w:marRight w:val="0"/>
                  <w:marTop w:val="0"/>
                  <w:marBottom w:val="0"/>
                  <w:divBdr>
                    <w:top w:val="none" w:sz="0" w:space="0" w:color="auto"/>
                    <w:left w:val="none" w:sz="0" w:space="0" w:color="auto"/>
                    <w:bottom w:val="none" w:sz="0" w:space="0" w:color="auto"/>
                    <w:right w:val="none" w:sz="0" w:space="0" w:color="auto"/>
                  </w:divBdr>
                  <w:divsChild>
                    <w:div w:id="608051908">
                      <w:marLeft w:val="0"/>
                      <w:marRight w:val="0"/>
                      <w:marTop w:val="0"/>
                      <w:marBottom w:val="0"/>
                      <w:divBdr>
                        <w:top w:val="none" w:sz="0" w:space="0" w:color="auto"/>
                        <w:left w:val="none" w:sz="0" w:space="0" w:color="auto"/>
                        <w:bottom w:val="none" w:sz="0" w:space="0" w:color="auto"/>
                        <w:right w:val="none" w:sz="0" w:space="0" w:color="auto"/>
                      </w:divBdr>
                    </w:div>
                  </w:divsChild>
                </w:div>
                <w:div w:id="1293973216">
                  <w:marLeft w:val="0"/>
                  <w:marRight w:val="0"/>
                  <w:marTop w:val="0"/>
                  <w:marBottom w:val="0"/>
                  <w:divBdr>
                    <w:top w:val="none" w:sz="0" w:space="0" w:color="auto"/>
                    <w:left w:val="none" w:sz="0" w:space="0" w:color="auto"/>
                    <w:bottom w:val="none" w:sz="0" w:space="0" w:color="auto"/>
                    <w:right w:val="none" w:sz="0" w:space="0" w:color="auto"/>
                  </w:divBdr>
                  <w:divsChild>
                    <w:div w:id="664210892">
                      <w:marLeft w:val="0"/>
                      <w:marRight w:val="0"/>
                      <w:marTop w:val="0"/>
                      <w:marBottom w:val="0"/>
                      <w:divBdr>
                        <w:top w:val="none" w:sz="0" w:space="0" w:color="auto"/>
                        <w:left w:val="none" w:sz="0" w:space="0" w:color="auto"/>
                        <w:bottom w:val="none" w:sz="0" w:space="0" w:color="auto"/>
                        <w:right w:val="none" w:sz="0" w:space="0" w:color="auto"/>
                      </w:divBdr>
                    </w:div>
                  </w:divsChild>
                </w:div>
                <w:div w:id="1299065348">
                  <w:marLeft w:val="0"/>
                  <w:marRight w:val="0"/>
                  <w:marTop w:val="0"/>
                  <w:marBottom w:val="0"/>
                  <w:divBdr>
                    <w:top w:val="none" w:sz="0" w:space="0" w:color="auto"/>
                    <w:left w:val="none" w:sz="0" w:space="0" w:color="auto"/>
                    <w:bottom w:val="none" w:sz="0" w:space="0" w:color="auto"/>
                    <w:right w:val="none" w:sz="0" w:space="0" w:color="auto"/>
                  </w:divBdr>
                  <w:divsChild>
                    <w:div w:id="703213273">
                      <w:marLeft w:val="0"/>
                      <w:marRight w:val="0"/>
                      <w:marTop w:val="0"/>
                      <w:marBottom w:val="0"/>
                      <w:divBdr>
                        <w:top w:val="none" w:sz="0" w:space="0" w:color="auto"/>
                        <w:left w:val="none" w:sz="0" w:space="0" w:color="auto"/>
                        <w:bottom w:val="none" w:sz="0" w:space="0" w:color="auto"/>
                        <w:right w:val="none" w:sz="0" w:space="0" w:color="auto"/>
                      </w:divBdr>
                    </w:div>
                  </w:divsChild>
                </w:div>
                <w:div w:id="1305963519">
                  <w:marLeft w:val="0"/>
                  <w:marRight w:val="0"/>
                  <w:marTop w:val="0"/>
                  <w:marBottom w:val="0"/>
                  <w:divBdr>
                    <w:top w:val="none" w:sz="0" w:space="0" w:color="auto"/>
                    <w:left w:val="none" w:sz="0" w:space="0" w:color="auto"/>
                    <w:bottom w:val="none" w:sz="0" w:space="0" w:color="auto"/>
                    <w:right w:val="none" w:sz="0" w:space="0" w:color="auto"/>
                  </w:divBdr>
                  <w:divsChild>
                    <w:div w:id="1981036263">
                      <w:marLeft w:val="0"/>
                      <w:marRight w:val="0"/>
                      <w:marTop w:val="0"/>
                      <w:marBottom w:val="0"/>
                      <w:divBdr>
                        <w:top w:val="none" w:sz="0" w:space="0" w:color="auto"/>
                        <w:left w:val="none" w:sz="0" w:space="0" w:color="auto"/>
                        <w:bottom w:val="none" w:sz="0" w:space="0" w:color="auto"/>
                        <w:right w:val="none" w:sz="0" w:space="0" w:color="auto"/>
                      </w:divBdr>
                    </w:div>
                  </w:divsChild>
                </w:div>
                <w:div w:id="1308973829">
                  <w:marLeft w:val="0"/>
                  <w:marRight w:val="0"/>
                  <w:marTop w:val="0"/>
                  <w:marBottom w:val="0"/>
                  <w:divBdr>
                    <w:top w:val="none" w:sz="0" w:space="0" w:color="auto"/>
                    <w:left w:val="none" w:sz="0" w:space="0" w:color="auto"/>
                    <w:bottom w:val="none" w:sz="0" w:space="0" w:color="auto"/>
                    <w:right w:val="none" w:sz="0" w:space="0" w:color="auto"/>
                  </w:divBdr>
                  <w:divsChild>
                    <w:div w:id="688216316">
                      <w:marLeft w:val="0"/>
                      <w:marRight w:val="0"/>
                      <w:marTop w:val="0"/>
                      <w:marBottom w:val="0"/>
                      <w:divBdr>
                        <w:top w:val="none" w:sz="0" w:space="0" w:color="auto"/>
                        <w:left w:val="none" w:sz="0" w:space="0" w:color="auto"/>
                        <w:bottom w:val="none" w:sz="0" w:space="0" w:color="auto"/>
                        <w:right w:val="none" w:sz="0" w:space="0" w:color="auto"/>
                      </w:divBdr>
                    </w:div>
                  </w:divsChild>
                </w:div>
                <w:div w:id="1311203926">
                  <w:marLeft w:val="0"/>
                  <w:marRight w:val="0"/>
                  <w:marTop w:val="0"/>
                  <w:marBottom w:val="0"/>
                  <w:divBdr>
                    <w:top w:val="none" w:sz="0" w:space="0" w:color="auto"/>
                    <w:left w:val="none" w:sz="0" w:space="0" w:color="auto"/>
                    <w:bottom w:val="none" w:sz="0" w:space="0" w:color="auto"/>
                    <w:right w:val="none" w:sz="0" w:space="0" w:color="auto"/>
                  </w:divBdr>
                  <w:divsChild>
                    <w:div w:id="2086880620">
                      <w:marLeft w:val="0"/>
                      <w:marRight w:val="0"/>
                      <w:marTop w:val="0"/>
                      <w:marBottom w:val="0"/>
                      <w:divBdr>
                        <w:top w:val="none" w:sz="0" w:space="0" w:color="auto"/>
                        <w:left w:val="none" w:sz="0" w:space="0" w:color="auto"/>
                        <w:bottom w:val="none" w:sz="0" w:space="0" w:color="auto"/>
                        <w:right w:val="none" w:sz="0" w:space="0" w:color="auto"/>
                      </w:divBdr>
                    </w:div>
                  </w:divsChild>
                </w:div>
                <w:div w:id="1322923100">
                  <w:marLeft w:val="0"/>
                  <w:marRight w:val="0"/>
                  <w:marTop w:val="0"/>
                  <w:marBottom w:val="0"/>
                  <w:divBdr>
                    <w:top w:val="none" w:sz="0" w:space="0" w:color="auto"/>
                    <w:left w:val="none" w:sz="0" w:space="0" w:color="auto"/>
                    <w:bottom w:val="none" w:sz="0" w:space="0" w:color="auto"/>
                    <w:right w:val="none" w:sz="0" w:space="0" w:color="auto"/>
                  </w:divBdr>
                  <w:divsChild>
                    <w:div w:id="1379627768">
                      <w:marLeft w:val="0"/>
                      <w:marRight w:val="0"/>
                      <w:marTop w:val="0"/>
                      <w:marBottom w:val="0"/>
                      <w:divBdr>
                        <w:top w:val="none" w:sz="0" w:space="0" w:color="auto"/>
                        <w:left w:val="none" w:sz="0" w:space="0" w:color="auto"/>
                        <w:bottom w:val="none" w:sz="0" w:space="0" w:color="auto"/>
                        <w:right w:val="none" w:sz="0" w:space="0" w:color="auto"/>
                      </w:divBdr>
                    </w:div>
                  </w:divsChild>
                </w:div>
                <w:div w:id="1325626284">
                  <w:marLeft w:val="0"/>
                  <w:marRight w:val="0"/>
                  <w:marTop w:val="0"/>
                  <w:marBottom w:val="0"/>
                  <w:divBdr>
                    <w:top w:val="none" w:sz="0" w:space="0" w:color="auto"/>
                    <w:left w:val="none" w:sz="0" w:space="0" w:color="auto"/>
                    <w:bottom w:val="none" w:sz="0" w:space="0" w:color="auto"/>
                    <w:right w:val="none" w:sz="0" w:space="0" w:color="auto"/>
                  </w:divBdr>
                  <w:divsChild>
                    <w:div w:id="15467365">
                      <w:marLeft w:val="0"/>
                      <w:marRight w:val="0"/>
                      <w:marTop w:val="0"/>
                      <w:marBottom w:val="0"/>
                      <w:divBdr>
                        <w:top w:val="none" w:sz="0" w:space="0" w:color="auto"/>
                        <w:left w:val="none" w:sz="0" w:space="0" w:color="auto"/>
                        <w:bottom w:val="none" w:sz="0" w:space="0" w:color="auto"/>
                        <w:right w:val="none" w:sz="0" w:space="0" w:color="auto"/>
                      </w:divBdr>
                    </w:div>
                  </w:divsChild>
                </w:div>
                <w:div w:id="1353023420">
                  <w:marLeft w:val="0"/>
                  <w:marRight w:val="0"/>
                  <w:marTop w:val="0"/>
                  <w:marBottom w:val="0"/>
                  <w:divBdr>
                    <w:top w:val="none" w:sz="0" w:space="0" w:color="auto"/>
                    <w:left w:val="none" w:sz="0" w:space="0" w:color="auto"/>
                    <w:bottom w:val="none" w:sz="0" w:space="0" w:color="auto"/>
                    <w:right w:val="none" w:sz="0" w:space="0" w:color="auto"/>
                  </w:divBdr>
                  <w:divsChild>
                    <w:div w:id="961813351">
                      <w:marLeft w:val="0"/>
                      <w:marRight w:val="0"/>
                      <w:marTop w:val="0"/>
                      <w:marBottom w:val="0"/>
                      <w:divBdr>
                        <w:top w:val="none" w:sz="0" w:space="0" w:color="auto"/>
                        <w:left w:val="none" w:sz="0" w:space="0" w:color="auto"/>
                        <w:bottom w:val="none" w:sz="0" w:space="0" w:color="auto"/>
                        <w:right w:val="none" w:sz="0" w:space="0" w:color="auto"/>
                      </w:divBdr>
                    </w:div>
                  </w:divsChild>
                </w:div>
                <w:div w:id="1354578930">
                  <w:marLeft w:val="0"/>
                  <w:marRight w:val="0"/>
                  <w:marTop w:val="0"/>
                  <w:marBottom w:val="0"/>
                  <w:divBdr>
                    <w:top w:val="none" w:sz="0" w:space="0" w:color="auto"/>
                    <w:left w:val="none" w:sz="0" w:space="0" w:color="auto"/>
                    <w:bottom w:val="none" w:sz="0" w:space="0" w:color="auto"/>
                    <w:right w:val="none" w:sz="0" w:space="0" w:color="auto"/>
                  </w:divBdr>
                  <w:divsChild>
                    <w:div w:id="1703357608">
                      <w:marLeft w:val="0"/>
                      <w:marRight w:val="0"/>
                      <w:marTop w:val="0"/>
                      <w:marBottom w:val="0"/>
                      <w:divBdr>
                        <w:top w:val="none" w:sz="0" w:space="0" w:color="auto"/>
                        <w:left w:val="none" w:sz="0" w:space="0" w:color="auto"/>
                        <w:bottom w:val="none" w:sz="0" w:space="0" w:color="auto"/>
                        <w:right w:val="none" w:sz="0" w:space="0" w:color="auto"/>
                      </w:divBdr>
                    </w:div>
                  </w:divsChild>
                </w:div>
                <w:div w:id="1356081760">
                  <w:marLeft w:val="0"/>
                  <w:marRight w:val="0"/>
                  <w:marTop w:val="0"/>
                  <w:marBottom w:val="0"/>
                  <w:divBdr>
                    <w:top w:val="none" w:sz="0" w:space="0" w:color="auto"/>
                    <w:left w:val="none" w:sz="0" w:space="0" w:color="auto"/>
                    <w:bottom w:val="none" w:sz="0" w:space="0" w:color="auto"/>
                    <w:right w:val="none" w:sz="0" w:space="0" w:color="auto"/>
                  </w:divBdr>
                  <w:divsChild>
                    <w:div w:id="495152685">
                      <w:marLeft w:val="0"/>
                      <w:marRight w:val="0"/>
                      <w:marTop w:val="0"/>
                      <w:marBottom w:val="0"/>
                      <w:divBdr>
                        <w:top w:val="none" w:sz="0" w:space="0" w:color="auto"/>
                        <w:left w:val="none" w:sz="0" w:space="0" w:color="auto"/>
                        <w:bottom w:val="none" w:sz="0" w:space="0" w:color="auto"/>
                        <w:right w:val="none" w:sz="0" w:space="0" w:color="auto"/>
                      </w:divBdr>
                    </w:div>
                  </w:divsChild>
                </w:div>
                <w:div w:id="1364939003">
                  <w:marLeft w:val="0"/>
                  <w:marRight w:val="0"/>
                  <w:marTop w:val="0"/>
                  <w:marBottom w:val="0"/>
                  <w:divBdr>
                    <w:top w:val="none" w:sz="0" w:space="0" w:color="auto"/>
                    <w:left w:val="none" w:sz="0" w:space="0" w:color="auto"/>
                    <w:bottom w:val="none" w:sz="0" w:space="0" w:color="auto"/>
                    <w:right w:val="none" w:sz="0" w:space="0" w:color="auto"/>
                  </w:divBdr>
                  <w:divsChild>
                    <w:div w:id="316500621">
                      <w:marLeft w:val="0"/>
                      <w:marRight w:val="0"/>
                      <w:marTop w:val="0"/>
                      <w:marBottom w:val="0"/>
                      <w:divBdr>
                        <w:top w:val="none" w:sz="0" w:space="0" w:color="auto"/>
                        <w:left w:val="none" w:sz="0" w:space="0" w:color="auto"/>
                        <w:bottom w:val="none" w:sz="0" w:space="0" w:color="auto"/>
                        <w:right w:val="none" w:sz="0" w:space="0" w:color="auto"/>
                      </w:divBdr>
                    </w:div>
                  </w:divsChild>
                </w:div>
                <w:div w:id="1399477738">
                  <w:marLeft w:val="0"/>
                  <w:marRight w:val="0"/>
                  <w:marTop w:val="0"/>
                  <w:marBottom w:val="0"/>
                  <w:divBdr>
                    <w:top w:val="none" w:sz="0" w:space="0" w:color="auto"/>
                    <w:left w:val="none" w:sz="0" w:space="0" w:color="auto"/>
                    <w:bottom w:val="none" w:sz="0" w:space="0" w:color="auto"/>
                    <w:right w:val="none" w:sz="0" w:space="0" w:color="auto"/>
                  </w:divBdr>
                  <w:divsChild>
                    <w:div w:id="191891625">
                      <w:marLeft w:val="0"/>
                      <w:marRight w:val="0"/>
                      <w:marTop w:val="0"/>
                      <w:marBottom w:val="0"/>
                      <w:divBdr>
                        <w:top w:val="none" w:sz="0" w:space="0" w:color="auto"/>
                        <w:left w:val="none" w:sz="0" w:space="0" w:color="auto"/>
                        <w:bottom w:val="none" w:sz="0" w:space="0" w:color="auto"/>
                        <w:right w:val="none" w:sz="0" w:space="0" w:color="auto"/>
                      </w:divBdr>
                    </w:div>
                  </w:divsChild>
                </w:div>
                <w:div w:id="1423339597">
                  <w:marLeft w:val="0"/>
                  <w:marRight w:val="0"/>
                  <w:marTop w:val="0"/>
                  <w:marBottom w:val="0"/>
                  <w:divBdr>
                    <w:top w:val="none" w:sz="0" w:space="0" w:color="auto"/>
                    <w:left w:val="none" w:sz="0" w:space="0" w:color="auto"/>
                    <w:bottom w:val="none" w:sz="0" w:space="0" w:color="auto"/>
                    <w:right w:val="none" w:sz="0" w:space="0" w:color="auto"/>
                  </w:divBdr>
                  <w:divsChild>
                    <w:div w:id="403572645">
                      <w:marLeft w:val="0"/>
                      <w:marRight w:val="0"/>
                      <w:marTop w:val="0"/>
                      <w:marBottom w:val="0"/>
                      <w:divBdr>
                        <w:top w:val="none" w:sz="0" w:space="0" w:color="auto"/>
                        <w:left w:val="none" w:sz="0" w:space="0" w:color="auto"/>
                        <w:bottom w:val="none" w:sz="0" w:space="0" w:color="auto"/>
                        <w:right w:val="none" w:sz="0" w:space="0" w:color="auto"/>
                      </w:divBdr>
                    </w:div>
                  </w:divsChild>
                </w:div>
                <w:div w:id="1440027243">
                  <w:marLeft w:val="0"/>
                  <w:marRight w:val="0"/>
                  <w:marTop w:val="0"/>
                  <w:marBottom w:val="0"/>
                  <w:divBdr>
                    <w:top w:val="none" w:sz="0" w:space="0" w:color="auto"/>
                    <w:left w:val="none" w:sz="0" w:space="0" w:color="auto"/>
                    <w:bottom w:val="none" w:sz="0" w:space="0" w:color="auto"/>
                    <w:right w:val="none" w:sz="0" w:space="0" w:color="auto"/>
                  </w:divBdr>
                  <w:divsChild>
                    <w:div w:id="1000236655">
                      <w:marLeft w:val="0"/>
                      <w:marRight w:val="0"/>
                      <w:marTop w:val="0"/>
                      <w:marBottom w:val="0"/>
                      <w:divBdr>
                        <w:top w:val="none" w:sz="0" w:space="0" w:color="auto"/>
                        <w:left w:val="none" w:sz="0" w:space="0" w:color="auto"/>
                        <w:bottom w:val="none" w:sz="0" w:space="0" w:color="auto"/>
                        <w:right w:val="none" w:sz="0" w:space="0" w:color="auto"/>
                      </w:divBdr>
                    </w:div>
                  </w:divsChild>
                </w:div>
                <w:div w:id="1442649644">
                  <w:marLeft w:val="0"/>
                  <w:marRight w:val="0"/>
                  <w:marTop w:val="0"/>
                  <w:marBottom w:val="0"/>
                  <w:divBdr>
                    <w:top w:val="none" w:sz="0" w:space="0" w:color="auto"/>
                    <w:left w:val="none" w:sz="0" w:space="0" w:color="auto"/>
                    <w:bottom w:val="none" w:sz="0" w:space="0" w:color="auto"/>
                    <w:right w:val="none" w:sz="0" w:space="0" w:color="auto"/>
                  </w:divBdr>
                  <w:divsChild>
                    <w:div w:id="661474151">
                      <w:marLeft w:val="0"/>
                      <w:marRight w:val="0"/>
                      <w:marTop w:val="0"/>
                      <w:marBottom w:val="0"/>
                      <w:divBdr>
                        <w:top w:val="none" w:sz="0" w:space="0" w:color="auto"/>
                        <w:left w:val="none" w:sz="0" w:space="0" w:color="auto"/>
                        <w:bottom w:val="none" w:sz="0" w:space="0" w:color="auto"/>
                        <w:right w:val="none" w:sz="0" w:space="0" w:color="auto"/>
                      </w:divBdr>
                    </w:div>
                  </w:divsChild>
                </w:div>
                <w:div w:id="1442799639">
                  <w:marLeft w:val="0"/>
                  <w:marRight w:val="0"/>
                  <w:marTop w:val="0"/>
                  <w:marBottom w:val="0"/>
                  <w:divBdr>
                    <w:top w:val="none" w:sz="0" w:space="0" w:color="auto"/>
                    <w:left w:val="none" w:sz="0" w:space="0" w:color="auto"/>
                    <w:bottom w:val="none" w:sz="0" w:space="0" w:color="auto"/>
                    <w:right w:val="none" w:sz="0" w:space="0" w:color="auto"/>
                  </w:divBdr>
                  <w:divsChild>
                    <w:div w:id="1392004193">
                      <w:marLeft w:val="0"/>
                      <w:marRight w:val="0"/>
                      <w:marTop w:val="0"/>
                      <w:marBottom w:val="0"/>
                      <w:divBdr>
                        <w:top w:val="none" w:sz="0" w:space="0" w:color="auto"/>
                        <w:left w:val="none" w:sz="0" w:space="0" w:color="auto"/>
                        <w:bottom w:val="none" w:sz="0" w:space="0" w:color="auto"/>
                        <w:right w:val="none" w:sz="0" w:space="0" w:color="auto"/>
                      </w:divBdr>
                    </w:div>
                  </w:divsChild>
                </w:div>
                <w:div w:id="1444224723">
                  <w:marLeft w:val="0"/>
                  <w:marRight w:val="0"/>
                  <w:marTop w:val="0"/>
                  <w:marBottom w:val="0"/>
                  <w:divBdr>
                    <w:top w:val="none" w:sz="0" w:space="0" w:color="auto"/>
                    <w:left w:val="none" w:sz="0" w:space="0" w:color="auto"/>
                    <w:bottom w:val="none" w:sz="0" w:space="0" w:color="auto"/>
                    <w:right w:val="none" w:sz="0" w:space="0" w:color="auto"/>
                  </w:divBdr>
                  <w:divsChild>
                    <w:div w:id="1129124824">
                      <w:marLeft w:val="0"/>
                      <w:marRight w:val="0"/>
                      <w:marTop w:val="0"/>
                      <w:marBottom w:val="0"/>
                      <w:divBdr>
                        <w:top w:val="none" w:sz="0" w:space="0" w:color="auto"/>
                        <w:left w:val="none" w:sz="0" w:space="0" w:color="auto"/>
                        <w:bottom w:val="none" w:sz="0" w:space="0" w:color="auto"/>
                        <w:right w:val="none" w:sz="0" w:space="0" w:color="auto"/>
                      </w:divBdr>
                    </w:div>
                  </w:divsChild>
                </w:div>
                <w:div w:id="1448353681">
                  <w:marLeft w:val="0"/>
                  <w:marRight w:val="0"/>
                  <w:marTop w:val="0"/>
                  <w:marBottom w:val="0"/>
                  <w:divBdr>
                    <w:top w:val="none" w:sz="0" w:space="0" w:color="auto"/>
                    <w:left w:val="none" w:sz="0" w:space="0" w:color="auto"/>
                    <w:bottom w:val="none" w:sz="0" w:space="0" w:color="auto"/>
                    <w:right w:val="none" w:sz="0" w:space="0" w:color="auto"/>
                  </w:divBdr>
                  <w:divsChild>
                    <w:div w:id="1421757601">
                      <w:marLeft w:val="0"/>
                      <w:marRight w:val="0"/>
                      <w:marTop w:val="0"/>
                      <w:marBottom w:val="0"/>
                      <w:divBdr>
                        <w:top w:val="none" w:sz="0" w:space="0" w:color="auto"/>
                        <w:left w:val="none" w:sz="0" w:space="0" w:color="auto"/>
                        <w:bottom w:val="none" w:sz="0" w:space="0" w:color="auto"/>
                        <w:right w:val="none" w:sz="0" w:space="0" w:color="auto"/>
                      </w:divBdr>
                    </w:div>
                  </w:divsChild>
                </w:div>
                <w:div w:id="1451628229">
                  <w:marLeft w:val="0"/>
                  <w:marRight w:val="0"/>
                  <w:marTop w:val="0"/>
                  <w:marBottom w:val="0"/>
                  <w:divBdr>
                    <w:top w:val="none" w:sz="0" w:space="0" w:color="auto"/>
                    <w:left w:val="none" w:sz="0" w:space="0" w:color="auto"/>
                    <w:bottom w:val="none" w:sz="0" w:space="0" w:color="auto"/>
                    <w:right w:val="none" w:sz="0" w:space="0" w:color="auto"/>
                  </w:divBdr>
                  <w:divsChild>
                    <w:div w:id="341202388">
                      <w:marLeft w:val="0"/>
                      <w:marRight w:val="0"/>
                      <w:marTop w:val="0"/>
                      <w:marBottom w:val="0"/>
                      <w:divBdr>
                        <w:top w:val="none" w:sz="0" w:space="0" w:color="auto"/>
                        <w:left w:val="none" w:sz="0" w:space="0" w:color="auto"/>
                        <w:bottom w:val="none" w:sz="0" w:space="0" w:color="auto"/>
                        <w:right w:val="none" w:sz="0" w:space="0" w:color="auto"/>
                      </w:divBdr>
                    </w:div>
                  </w:divsChild>
                </w:div>
                <w:div w:id="1467550576">
                  <w:marLeft w:val="0"/>
                  <w:marRight w:val="0"/>
                  <w:marTop w:val="0"/>
                  <w:marBottom w:val="0"/>
                  <w:divBdr>
                    <w:top w:val="none" w:sz="0" w:space="0" w:color="auto"/>
                    <w:left w:val="none" w:sz="0" w:space="0" w:color="auto"/>
                    <w:bottom w:val="none" w:sz="0" w:space="0" w:color="auto"/>
                    <w:right w:val="none" w:sz="0" w:space="0" w:color="auto"/>
                  </w:divBdr>
                  <w:divsChild>
                    <w:div w:id="1111782727">
                      <w:marLeft w:val="0"/>
                      <w:marRight w:val="0"/>
                      <w:marTop w:val="0"/>
                      <w:marBottom w:val="0"/>
                      <w:divBdr>
                        <w:top w:val="none" w:sz="0" w:space="0" w:color="auto"/>
                        <w:left w:val="none" w:sz="0" w:space="0" w:color="auto"/>
                        <w:bottom w:val="none" w:sz="0" w:space="0" w:color="auto"/>
                        <w:right w:val="none" w:sz="0" w:space="0" w:color="auto"/>
                      </w:divBdr>
                    </w:div>
                  </w:divsChild>
                </w:div>
                <w:div w:id="1467772000">
                  <w:marLeft w:val="0"/>
                  <w:marRight w:val="0"/>
                  <w:marTop w:val="0"/>
                  <w:marBottom w:val="0"/>
                  <w:divBdr>
                    <w:top w:val="none" w:sz="0" w:space="0" w:color="auto"/>
                    <w:left w:val="none" w:sz="0" w:space="0" w:color="auto"/>
                    <w:bottom w:val="none" w:sz="0" w:space="0" w:color="auto"/>
                    <w:right w:val="none" w:sz="0" w:space="0" w:color="auto"/>
                  </w:divBdr>
                  <w:divsChild>
                    <w:div w:id="663364049">
                      <w:marLeft w:val="0"/>
                      <w:marRight w:val="0"/>
                      <w:marTop w:val="0"/>
                      <w:marBottom w:val="0"/>
                      <w:divBdr>
                        <w:top w:val="none" w:sz="0" w:space="0" w:color="auto"/>
                        <w:left w:val="none" w:sz="0" w:space="0" w:color="auto"/>
                        <w:bottom w:val="none" w:sz="0" w:space="0" w:color="auto"/>
                        <w:right w:val="none" w:sz="0" w:space="0" w:color="auto"/>
                      </w:divBdr>
                    </w:div>
                  </w:divsChild>
                </w:div>
                <w:div w:id="1487555396">
                  <w:marLeft w:val="0"/>
                  <w:marRight w:val="0"/>
                  <w:marTop w:val="0"/>
                  <w:marBottom w:val="0"/>
                  <w:divBdr>
                    <w:top w:val="none" w:sz="0" w:space="0" w:color="auto"/>
                    <w:left w:val="none" w:sz="0" w:space="0" w:color="auto"/>
                    <w:bottom w:val="none" w:sz="0" w:space="0" w:color="auto"/>
                    <w:right w:val="none" w:sz="0" w:space="0" w:color="auto"/>
                  </w:divBdr>
                  <w:divsChild>
                    <w:div w:id="1802918667">
                      <w:marLeft w:val="0"/>
                      <w:marRight w:val="0"/>
                      <w:marTop w:val="0"/>
                      <w:marBottom w:val="0"/>
                      <w:divBdr>
                        <w:top w:val="none" w:sz="0" w:space="0" w:color="auto"/>
                        <w:left w:val="none" w:sz="0" w:space="0" w:color="auto"/>
                        <w:bottom w:val="none" w:sz="0" w:space="0" w:color="auto"/>
                        <w:right w:val="none" w:sz="0" w:space="0" w:color="auto"/>
                      </w:divBdr>
                    </w:div>
                  </w:divsChild>
                </w:div>
                <w:div w:id="1488593962">
                  <w:marLeft w:val="0"/>
                  <w:marRight w:val="0"/>
                  <w:marTop w:val="0"/>
                  <w:marBottom w:val="0"/>
                  <w:divBdr>
                    <w:top w:val="none" w:sz="0" w:space="0" w:color="auto"/>
                    <w:left w:val="none" w:sz="0" w:space="0" w:color="auto"/>
                    <w:bottom w:val="none" w:sz="0" w:space="0" w:color="auto"/>
                    <w:right w:val="none" w:sz="0" w:space="0" w:color="auto"/>
                  </w:divBdr>
                  <w:divsChild>
                    <w:div w:id="520632766">
                      <w:marLeft w:val="0"/>
                      <w:marRight w:val="0"/>
                      <w:marTop w:val="0"/>
                      <w:marBottom w:val="0"/>
                      <w:divBdr>
                        <w:top w:val="none" w:sz="0" w:space="0" w:color="auto"/>
                        <w:left w:val="none" w:sz="0" w:space="0" w:color="auto"/>
                        <w:bottom w:val="none" w:sz="0" w:space="0" w:color="auto"/>
                        <w:right w:val="none" w:sz="0" w:space="0" w:color="auto"/>
                      </w:divBdr>
                    </w:div>
                  </w:divsChild>
                </w:div>
                <w:div w:id="1491942125">
                  <w:marLeft w:val="0"/>
                  <w:marRight w:val="0"/>
                  <w:marTop w:val="0"/>
                  <w:marBottom w:val="0"/>
                  <w:divBdr>
                    <w:top w:val="none" w:sz="0" w:space="0" w:color="auto"/>
                    <w:left w:val="none" w:sz="0" w:space="0" w:color="auto"/>
                    <w:bottom w:val="none" w:sz="0" w:space="0" w:color="auto"/>
                    <w:right w:val="none" w:sz="0" w:space="0" w:color="auto"/>
                  </w:divBdr>
                  <w:divsChild>
                    <w:div w:id="934554329">
                      <w:marLeft w:val="0"/>
                      <w:marRight w:val="0"/>
                      <w:marTop w:val="0"/>
                      <w:marBottom w:val="0"/>
                      <w:divBdr>
                        <w:top w:val="none" w:sz="0" w:space="0" w:color="auto"/>
                        <w:left w:val="none" w:sz="0" w:space="0" w:color="auto"/>
                        <w:bottom w:val="none" w:sz="0" w:space="0" w:color="auto"/>
                        <w:right w:val="none" w:sz="0" w:space="0" w:color="auto"/>
                      </w:divBdr>
                    </w:div>
                  </w:divsChild>
                </w:div>
                <w:div w:id="1491949023">
                  <w:marLeft w:val="0"/>
                  <w:marRight w:val="0"/>
                  <w:marTop w:val="0"/>
                  <w:marBottom w:val="0"/>
                  <w:divBdr>
                    <w:top w:val="none" w:sz="0" w:space="0" w:color="auto"/>
                    <w:left w:val="none" w:sz="0" w:space="0" w:color="auto"/>
                    <w:bottom w:val="none" w:sz="0" w:space="0" w:color="auto"/>
                    <w:right w:val="none" w:sz="0" w:space="0" w:color="auto"/>
                  </w:divBdr>
                  <w:divsChild>
                    <w:div w:id="1956136930">
                      <w:marLeft w:val="0"/>
                      <w:marRight w:val="0"/>
                      <w:marTop w:val="0"/>
                      <w:marBottom w:val="0"/>
                      <w:divBdr>
                        <w:top w:val="none" w:sz="0" w:space="0" w:color="auto"/>
                        <w:left w:val="none" w:sz="0" w:space="0" w:color="auto"/>
                        <w:bottom w:val="none" w:sz="0" w:space="0" w:color="auto"/>
                        <w:right w:val="none" w:sz="0" w:space="0" w:color="auto"/>
                      </w:divBdr>
                    </w:div>
                  </w:divsChild>
                </w:div>
                <w:div w:id="1501770850">
                  <w:marLeft w:val="0"/>
                  <w:marRight w:val="0"/>
                  <w:marTop w:val="0"/>
                  <w:marBottom w:val="0"/>
                  <w:divBdr>
                    <w:top w:val="none" w:sz="0" w:space="0" w:color="auto"/>
                    <w:left w:val="none" w:sz="0" w:space="0" w:color="auto"/>
                    <w:bottom w:val="none" w:sz="0" w:space="0" w:color="auto"/>
                    <w:right w:val="none" w:sz="0" w:space="0" w:color="auto"/>
                  </w:divBdr>
                  <w:divsChild>
                    <w:div w:id="72364727">
                      <w:marLeft w:val="0"/>
                      <w:marRight w:val="0"/>
                      <w:marTop w:val="0"/>
                      <w:marBottom w:val="0"/>
                      <w:divBdr>
                        <w:top w:val="none" w:sz="0" w:space="0" w:color="auto"/>
                        <w:left w:val="none" w:sz="0" w:space="0" w:color="auto"/>
                        <w:bottom w:val="none" w:sz="0" w:space="0" w:color="auto"/>
                        <w:right w:val="none" w:sz="0" w:space="0" w:color="auto"/>
                      </w:divBdr>
                    </w:div>
                    <w:div w:id="362635492">
                      <w:marLeft w:val="0"/>
                      <w:marRight w:val="0"/>
                      <w:marTop w:val="0"/>
                      <w:marBottom w:val="0"/>
                      <w:divBdr>
                        <w:top w:val="none" w:sz="0" w:space="0" w:color="auto"/>
                        <w:left w:val="none" w:sz="0" w:space="0" w:color="auto"/>
                        <w:bottom w:val="none" w:sz="0" w:space="0" w:color="auto"/>
                        <w:right w:val="none" w:sz="0" w:space="0" w:color="auto"/>
                      </w:divBdr>
                    </w:div>
                    <w:div w:id="479884573">
                      <w:marLeft w:val="0"/>
                      <w:marRight w:val="0"/>
                      <w:marTop w:val="0"/>
                      <w:marBottom w:val="0"/>
                      <w:divBdr>
                        <w:top w:val="none" w:sz="0" w:space="0" w:color="auto"/>
                        <w:left w:val="none" w:sz="0" w:space="0" w:color="auto"/>
                        <w:bottom w:val="none" w:sz="0" w:space="0" w:color="auto"/>
                        <w:right w:val="none" w:sz="0" w:space="0" w:color="auto"/>
                      </w:divBdr>
                    </w:div>
                    <w:div w:id="593904947">
                      <w:marLeft w:val="0"/>
                      <w:marRight w:val="0"/>
                      <w:marTop w:val="0"/>
                      <w:marBottom w:val="0"/>
                      <w:divBdr>
                        <w:top w:val="none" w:sz="0" w:space="0" w:color="auto"/>
                        <w:left w:val="none" w:sz="0" w:space="0" w:color="auto"/>
                        <w:bottom w:val="none" w:sz="0" w:space="0" w:color="auto"/>
                        <w:right w:val="none" w:sz="0" w:space="0" w:color="auto"/>
                      </w:divBdr>
                    </w:div>
                    <w:div w:id="978460001">
                      <w:marLeft w:val="0"/>
                      <w:marRight w:val="0"/>
                      <w:marTop w:val="0"/>
                      <w:marBottom w:val="0"/>
                      <w:divBdr>
                        <w:top w:val="none" w:sz="0" w:space="0" w:color="auto"/>
                        <w:left w:val="none" w:sz="0" w:space="0" w:color="auto"/>
                        <w:bottom w:val="none" w:sz="0" w:space="0" w:color="auto"/>
                        <w:right w:val="none" w:sz="0" w:space="0" w:color="auto"/>
                      </w:divBdr>
                    </w:div>
                    <w:div w:id="1260218037">
                      <w:marLeft w:val="0"/>
                      <w:marRight w:val="0"/>
                      <w:marTop w:val="0"/>
                      <w:marBottom w:val="0"/>
                      <w:divBdr>
                        <w:top w:val="none" w:sz="0" w:space="0" w:color="auto"/>
                        <w:left w:val="none" w:sz="0" w:space="0" w:color="auto"/>
                        <w:bottom w:val="none" w:sz="0" w:space="0" w:color="auto"/>
                        <w:right w:val="none" w:sz="0" w:space="0" w:color="auto"/>
                      </w:divBdr>
                    </w:div>
                    <w:div w:id="1271820031">
                      <w:marLeft w:val="0"/>
                      <w:marRight w:val="0"/>
                      <w:marTop w:val="0"/>
                      <w:marBottom w:val="0"/>
                      <w:divBdr>
                        <w:top w:val="none" w:sz="0" w:space="0" w:color="auto"/>
                        <w:left w:val="none" w:sz="0" w:space="0" w:color="auto"/>
                        <w:bottom w:val="none" w:sz="0" w:space="0" w:color="auto"/>
                        <w:right w:val="none" w:sz="0" w:space="0" w:color="auto"/>
                      </w:divBdr>
                    </w:div>
                    <w:div w:id="1384451233">
                      <w:marLeft w:val="0"/>
                      <w:marRight w:val="0"/>
                      <w:marTop w:val="0"/>
                      <w:marBottom w:val="0"/>
                      <w:divBdr>
                        <w:top w:val="none" w:sz="0" w:space="0" w:color="auto"/>
                        <w:left w:val="none" w:sz="0" w:space="0" w:color="auto"/>
                        <w:bottom w:val="none" w:sz="0" w:space="0" w:color="auto"/>
                        <w:right w:val="none" w:sz="0" w:space="0" w:color="auto"/>
                      </w:divBdr>
                    </w:div>
                    <w:div w:id="1615676661">
                      <w:marLeft w:val="0"/>
                      <w:marRight w:val="0"/>
                      <w:marTop w:val="0"/>
                      <w:marBottom w:val="0"/>
                      <w:divBdr>
                        <w:top w:val="none" w:sz="0" w:space="0" w:color="auto"/>
                        <w:left w:val="none" w:sz="0" w:space="0" w:color="auto"/>
                        <w:bottom w:val="none" w:sz="0" w:space="0" w:color="auto"/>
                        <w:right w:val="none" w:sz="0" w:space="0" w:color="auto"/>
                      </w:divBdr>
                    </w:div>
                    <w:div w:id="1832789581">
                      <w:marLeft w:val="0"/>
                      <w:marRight w:val="0"/>
                      <w:marTop w:val="0"/>
                      <w:marBottom w:val="0"/>
                      <w:divBdr>
                        <w:top w:val="none" w:sz="0" w:space="0" w:color="auto"/>
                        <w:left w:val="none" w:sz="0" w:space="0" w:color="auto"/>
                        <w:bottom w:val="none" w:sz="0" w:space="0" w:color="auto"/>
                        <w:right w:val="none" w:sz="0" w:space="0" w:color="auto"/>
                      </w:divBdr>
                    </w:div>
                    <w:div w:id="1889563064">
                      <w:marLeft w:val="0"/>
                      <w:marRight w:val="0"/>
                      <w:marTop w:val="0"/>
                      <w:marBottom w:val="0"/>
                      <w:divBdr>
                        <w:top w:val="none" w:sz="0" w:space="0" w:color="auto"/>
                        <w:left w:val="none" w:sz="0" w:space="0" w:color="auto"/>
                        <w:bottom w:val="none" w:sz="0" w:space="0" w:color="auto"/>
                        <w:right w:val="none" w:sz="0" w:space="0" w:color="auto"/>
                      </w:divBdr>
                    </w:div>
                    <w:div w:id="1949893058">
                      <w:marLeft w:val="0"/>
                      <w:marRight w:val="0"/>
                      <w:marTop w:val="0"/>
                      <w:marBottom w:val="0"/>
                      <w:divBdr>
                        <w:top w:val="none" w:sz="0" w:space="0" w:color="auto"/>
                        <w:left w:val="none" w:sz="0" w:space="0" w:color="auto"/>
                        <w:bottom w:val="none" w:sz="0" w:space="0" w:color="auto"/>
                        <w:right w:val="none" w:sz="0" w:space="0" w:color="auto"/>
                      </w:divBdr>
                    </w:div>
                    <w:div w:id="1984892123">
                      <w:marLeft w:val="0"/>
                      <w:marRight w:val="0"/>
                      <w:marTop w:val="0"/>
                      <w:marBottom w:val="0"/>
                      <w:divBdr>
                        <w:top w:val="none" w:sz="0" w:space="0" w:color="auto"/>
                        <w:left w:val="none" w:sz="0" w:space="0" w:color="auto"/>
                        <w:bottom w:val="none" w:sz="0" w:space="0" w:color="auto"/>
                        <w:right w:val="none" w:sz="0" w:space="0" w:color="auto"/>
                      </w:divBdr>
                    </w:div>
                  </w:divsChild>
                </w:div>
                <w:div w:id="1512641277">
                  <w:marLeft w:val="0"/>
                  <w:marRight w:val="0"/>
                  <w:marTop w:val="0"/>
                  <w:marBottom w:val="0"/>
                  <w:divBdr>
                    <w:top w:val="none" w:sz="0" w:space="0" w:color="auto"/>
                    <w:left w:val="none" w:sz="0" w:space="0" w:color="auto"/>
                    <w:bottom w:val="none" w:sz="0" w:space="0" w:color="auto"/>
                    <w:right w:val="none" w:sz="0" w:space="0" w:color="auto"/>
                  </w:divBdr>
                  <w:divsChild>
                    <w:div w:id="24211316">
                      <w:marLeft w:val="0"/>
                      <w:marRight w:val="0"/>
                      <w:marTop w:val="0"/>
                      <w:marBottom w:val="0"/>
                      <w:divBdr>
                        <w:top w:val="none" w:sz="0" w:space="0" w:color="auto"/>
                        <w:left w:val="none" w:sz="0" w:space="0" w:color="auto"/>
                        <w:bottom w:val="none" w:sz="0" w:space="0" w:color="auto"/>
                        <w:right w:val="none" w:sz="0" w:space="0" w:color="auto"/>
                      </w:divBdr>
                    </w:div>
                  </w:divsChild>
                </w:div>
                <w:div w:id="1527257985">
                  <w:marLeft w:val="0"/>
                  <w:marRight w:val="0"/>
                  <w:marTop w:val="0"/>
                  <w:marBottom w:val="0"/>
                  <w:divBdr>
                    <w:top w:val="none" w:sz="0" w:space="0" w:color="auto"/>
                    <w:left w:val="none" w:sz="0" w:space="0" w:color="auto"/>
                    <w:bottom w:val="none" w:sz="0" w:space="0" w:color="auto"/>
                    <w:right w:val="none" w:sz="0" w:space="0" w:color="auto"/>
                  </w:divBdr>
                  <w:divsChild>
                    <w:div w:id="851454341">
                      <w:marLeft w:val="0"/>
                      <w:marRight w:val="0"/>
                      <w:marTop w:val="0"/>
                      <w:marBottom w:val="0"/>
                      <w:divBdr>
                        <w:top w:val="none" w:sz="0" w:space="0" w:color="auto"/>
                        <w:left w:val="none" w:sz="0" w:space="0" w:color="auto"/>
                        <w:bottom w:val="none" w:sz="0" w:space="0" w:color="auto"/>
                        <w:right w:val="none" w:sz="0" w:space="0" w:color="auto"/>
                      </w:divBdr>
                    </w:div>
                  </w:divsChild>
                </w:div>
                <w:div w:id="1528374320">
                  <w:marLeft w:val="0"/>
                  <w:marRight w:val="0"/>
                  <w:marTop w:val="0"/>
                  <w:marBottom w:val="0"/>
                  <w:divBdr>
                    <w:top w:val="none" w:sz="0" w:space="0" w:color="auto"/>
                    <w:left w:val="none" w:sz="0" w:space="0" w:color="auto"/>
                    <w:bottom w:val="none" w:sz="0" w:space="0" w:color="auto"/>
                    <w:right w:val="none" w:sz="0" w:space="0" w:color="auto"/>
                  </w:divBdr>
                  <w:divsChild>
                    <w:div w:id="1848134083">
                      <w:marLeft w:val="0"/>
                      <w:marRight w:val="0"/>
                      <w:marTop w:val="0"/>
                      <w:marBottom w:val="0"/>
                      <w:divBdr>
                        <w:top w:val="none" w:sz="0" w:space="0" w:color="auto"/>
                        <w:left w:val="none" w:sz="0" w:space="0" w:color="auto"/>
                        <w:bottom w:val="none" w:sz="0" w:space="0" w:color="auto"/>
                        <w:right w:val="none" w:sz="0" w:space="0" w:color="auto"/>
                      </w:divBdr>
                    </w:div>
                  </w:divsChild>
                </w:div>
                <w:div w:id="1530289725">
                  <w:marLeft w:val="0"/>
                  <w:marRight w:val="0"/>
                  <w:marTop w:val="0"/>
                  <w:marBottom w:val="0"/>
                  <w:divBdr>
                    <w:top w:val="none" w:sz="0" w:space="0" w:color="auto"/>
                    <w:left w:val="none" w:sz="0" w:space="0" w:color="auto"/>
                    <w:bottom w:val="none" w:sz="0" w:space="0" w:color="auto"/>
                    <w:right w:val="none" w:sz="0" w:space="0" w:color="auto"/>
                  </w:divBdr>
                  <w:divsChild>
                    <w:div w:id="1648852796">
                      <w:marLeft w:val="0"/>
                      <w:marRight w:val="0"/>
                      <w:marTop w:val="0"/>
                      <w:marBottom w:val="0"/>
                      <w:divBdr>
                        <w:top w:val="none" w:sz="0" w:space="0" w:color="auto"/>
                        <w:left w:val="none" w:sz="0" w:space="0" w:color="auto"/>
                        <w:bottom w:val="none" w:sz="0" w:space="0" w:color="auto"/>
                        <w:right w:val="none" w:sz="0" w:space="0" w:color="auto"/>
                      </w:divBdr>
                    </w:div>
                  </w:divsChild>
                </w:div>
                <w:div w:id="1537501607">
                  <w:marLeft w:val="0"/>
                  <w:marRight w:val="0"/>
                  <w:marTop w:val="0"/>
                  <w:marBottom w:val="0"/>
                  <w:divBdr>
                    <w:top w:val="none" w:sz="0" w:space="0" w:color="auto"/>
                    <w:left w:val="none" w:sz="0" w:space="0" w:color="auto"/>
                    <w:bottom w:val="none" w:sz="0" w:space="0" w:color="auto"/>
                    <w:right w:val="none" w:sz="0" w:space="0" w:color="auto"/>
                  </w:divBdr>
                  <w:divsChild>
                    <w:div w:id="892816578">
                      <w:marLeft w:val="0"/>
                      <w:marRight w:val="0"/>
                      <w:marTop w:val="0"/>
                      <w:marBottom w:val="0"/>
                      <w:divBdr>
                        <w:top w:val="none" w:sz="0" w:space="0" w:color="auto"/>
                        <w:left w:val="none" w:sz="0" w:space="0" w:color="auto"/>
                        <w:bottom w:val="none" w:sz="0" w:space="0" w:color="auto"/>
                        <w:right w:val="none" w:sz="0" w:space="0" w:color="auto"/>
                      </w:divBdr>
                    </w:div>
                  </w:divsChild>
                </w:div>
                <w:div w:id="1551383728">
                  <w:marLeft w:val="0"/>
                  <w:marRight w:val="0"/>
                  <w:marTop w:val="0"/>
                  <w:marBottom w:val="0"/>
                  <w:divBdr>
                    <w:top w:val="none" w:sz="0" w:space="0" w:color="auto"/>
                    <w:left w:val="none" w:sz="0" w:space="0" w:color="auto"/>
                    <w:bottom w:val="none" w:sz="0" w:space="0" w:color="auto"/>
                    <w:right w:val="none" w:sz="0" w:space="0" w:color="auto"/>
                  </w:divBdr>
                  <w:divsChild>
                    <w:div w:id="187256193">
                      <w:marLeft w:val="0"/>
                      <w:marRight w:val="0"/>
                      <w:marTop w:val="0"/>
                      <w:marBottom w:val="0"/>
                      <w:divBdr>
                        <w:top w:val="none" w:sz="0" w:space="0" w:color="auto"/>
                        <w:left w:val="none" w:sz="0" w:space="0" w:color="auto"/>
                        <w:bottom w:val="none" w:sz="0" w:space="0" w:color="auto"/>
                        <w:right w:val="none" w:sz="0" w:space="0" w:color="auto"/>
                      </w:divBdr>
                    </w:div>
                  </w:divsChild>
                </w:div>
                <w:div w:id="1554464281">
                  <w:marLeft w:val="0"/>
                  <w:marRight w:val="0"/>
                  <w:marTop w:val="0"/>
                  <w:marBottom w:val="0"/>
                  <w:divBdr>
                    <w:top w:val="none" w:sz="0" w:space="0" w:color="auto"/>
                    <w:left w:val="none" w:sz="0" w:space="0" w:color="auto"/>
                    <w:bottom w:val="none" w:sz="0" w:space="0" w:color="auto"/>
                    <w:right w:val="none" w:sz="0" w:space="0" w:color="auto"/>
                  </w:divBdr>
                  <w:divsChild>
                    <w:div w:id="1825194444">
                      <w:marLeft w:val="0"/>
                      <w:marRight w:val="0"/>
                      <w:marTop w:val="0"/>
                      <w:marBottom w:val="0"/>
                      <w:divBdr>
                        <w:top w:val="none" w:sz="0" w:space="0" w:color="auto"/>
                        <w:left w:val="none" w:sz="0" w:space="0" w:color="auto"/>
                        <w:bottom w:val="none" w:sz="0" w:space="0" w:color="auto"/>
                        <w:right w:val="none" w:sz="0" w:space="0" w:color="auto"/>
                      </w:divBdr>
                    </w:div>
                  </w:divsChild>
                </w:div>
                <w:div w:id="1554926109">
                  <w:marLeft w:val="0"/>
                  <w:marRight w:val="0"/>
                  <w:marTop w:val="0"/>
                  <w:marBottom w:val="0"/>
                  <w:divBdr>
                    <w:top w:val="none" w:sz="0" w:space="0" w:color="auto"/>
                    <w:left w:val="none" w:sz="0" w:space="0" w:color="auto"/>
                    <w:bottom w:val="none" w:sz="0" w:space="0" w:color="auto"/>
                    <w:right w:val="none" w:sz="0" w:space="0" w:color="auto"/>
                  </w:divBdr>
                  <w:divsChild>
                    <w:div w:id="664211283">
                      <w:marLeft w:val="0"/>
                      <w:marRight w:val="0"/>
                      <w:marTop w:val="0"/>
                      <w:marBottom w:val="0"/>
                      <w:divBdr>
                        <w:top w:val="none" w:sz="0" w:space="0" w:color="auto"/>
                        <w:left w:val="none" w:sz="0" w:space="0" w:color="auto"/>
                        <w:bottom w:val="none" w:sz="0" w:space="0" w:color="auto"/>
                        <w:right w:val="none" w:sz="0" w:space="0" w:color="auto"/>
                      </w:divBdr>
                    </w:div>
                  </w:divsChild>
                </w:div>
                <w:div w:id="1556042454">
                  <w:marLeft w:val="0"/>
                  <w:marRight w:val="0"/>
                  <w:marTop w:val="0"/>
                  <w:marBottom w:val="0"/>
                  <w:divBdr>
                    <w:top w:val="none" w:sz="0" w:space="0" w:color="auto"/>
                    <w:left w:val="none" w:sz="0" w:space="0" w:color="auto"/>
                    <w:bottom w:val="none" w:sz="0" w:space="0" w:color="auto"/>
                    <w:right w:val="none" w:sz="0" w:space="0" w:color="auto"/>
                  </w:divBdr>
                  <w:divsChild>
                    <w:div w:id="1683584224">
                      <w:marLeft w:val="0"/>
                      <w:marRight w:val="0"/>
                      <w:marTop w:val="0"/>
                      <w:marBottom w:val="0"/>
                      <w:divBdr>
                        <w:top w:val="none" w:sz="0" w:space="0" w:color="auto"/>
                        <w:left w:val="none" w:sz="0" w:space="0" w:color="auto"/>
                        <w:bottom w:val="none" w:sz="0" w:space="0" w:color="auto"/>
                        <w:right w:val="none" w:sz="0" w:space="0" w:color="auto"/>
                      </w:divBdr>
                    </w:div>
                  </w:divsChild>
                </w:div>
                <w:div w:id="1566598046">
                  <w:marLeft w:val="0"/>
                  <w:marRight w:val="0"/>
                  <w:marTop w:val="0"/>
                  <w:marBottom w:val="0"/>
                  <w:divBdr>
                    <w:top w:val="none" w:sz="0" w:space="0" w:color="auto"/>
                    <w:left w:val="none" w:sz="0" w:space="0" w:color="auto"/>
                    <w:bottom w:val="none" w:sz="0" w:space="0" w:color="auto"/>
                    <w:right w:val="none" w:sz="0" w:space="0" w:color="auto"/>
                  </w:divBdr>
                  <w:divsChild>
                    <w:div w:id="23333387">
                      <w:marLeft w:val="0"/>
                      <w:marRight w:val="0"/>
                      <w:marTop w:val="0"/>
                      <w:marBottom w:val="0"/>
                      <w:divBdr>
                        <w:top w:val="none" w:sz="0" w:space="0" w:color="auto"/>
                        <w:left w:val="none" w:sz="0" w:space="0" w:color="auto"/>
                        <w:bottom w:val="none" w:sz="0" w:space="0" w:color="auto"/>
                        <w:right w:val="none" w:sz="0" w:space="0" w:color="auto"/>
                      </w:divBdr>
                    </w:div>
                    <w:div w:id="1470853952">
                      <w:marLeft w:val="0"/>
                      <w:marRight w:val="0"/>
                      <w:marTop w:val="0"/>
                      <w:marBottom w:val="0"/>
                      <w:divBdr>
                        <w:top w:val="none" w:sz="0" w:space="0" w:color="auto"/>
                        <w:left w:val="none" w:sz="0" w:space="0" w:color="auto"/>
                        <w:bottom w:val="none" w:sz="0" w:space="0" w:color="auto"/>
                        <w:right w:val="none" w:sz="0" w:space="0" w:color="auto"/>
                      </w:divBdr>
                    </w:div>
                  </w:divsChild>
                </w:div>
                <w:div w:id="1571109495">
                  <w:marLeft w:val="0"/>
                  <w:marRight w:val="0"/>
                  <w:marTop w:val="0"/>
                  <w:marBottom w:val="0"/>
                  <w:divBdr>
                    <w:top w:val="none" w:sz="0" w:space="0" w:color="auto"/>
                    <w:left w:val="none" w:sz="0" w:space="0" w:color="auto"/>
                    <w:bottom w:val="none" w:sz="0" w:space="0" w:color="auto"/>
                    <w:right w:val="none" w:sz="0" w:space="0" w:color="auto"/>
                  </w:divBdr>
                  <w:divsChild>
                    <w:div w:id="1219241399">
                      <w:marLeft w:val="0"/>
                      <w:marRight w:val="0"/>
                      <w:marTop w:val="0"/>
                      <w:marBottom w:val="0"/>
                      <w:divBdr>
                        <w:top w:val="none" w:sz="0" w:space="0" w:color="auto"/>
                        <w:left w:val="none" w:sz="0" w:space="0" w:color="auto"/>
                        <w:bottom w:val="none" w:sz="0" w:space="0" w:color="auto"/>
                        <w:right w:val="none" w:sz="0" w:space="0" w:color="auto"/>
                      </w:divBdr>
                    </w:div>
                  </w:divsChild>
                </w:div>
                <w:div w:id="1578593250">
                  <w:marLeft w:val="0"/>
                  <w:marRight w:val="0"/>
                  <w:marTop w:val="0"/>
                  <w:marBottom w:val="0"/>
                  <w:divBdr>
                    <w:top w:val="none" w:sz="0" w:space="0" w:color="auto"/>
                    <w:left w:val="none" w:sz="0" w:space="0" w:color="auto"/>
                    <w:bottom w:val="none" w:sz="0" w:space="0" w:color="auto"/>
                    <w:right w:val="none" w:sz="0" w:space="0" w:color="auto"/>
                  </w:divBdr>
                  <w:divsChild>
                    <w:div w:id="1821969154">
                      <w:marLeft w:val="0"/>
                      <w:marRight w:val="0"/>
                      <w:marTop w:val="0"/>
                      <w:marBottom w:val="0"/>
                      <w:divBdr>
                        <w:top w:val="none" w:sz="0" w:space="0" w:color="auto"/>
                        <w:left w:val="none" w:sz="0" w:space="0" w:color="auto"/>
                        <w:bottom w:val="none" w:sz="0" w:space="0" w:color="auto"/>
                        <w:right w:val="none" w:sz="0" w:space="0" w:color="auto"/>
                      </w:divBdr>
                    </w:div>
                  </w:divsChild>
                </w:div>
                <w:div w:id="1579515689">
                  <w:marLeft w:val="0"/>
                  <w:marRight w:val="0"/>
                  <w:marTop w:val="0"/>
                  <w:marBottom w:val="0"/>
                  <w:divBdr>
                    <w:top w:val="none" w:sz="0" w:space="0" w:color="auto"/>
                    <w:left w:val="none" w:sz="0" w:space="0" w:color="auto"/>
                    <w:bottom w:val="none" w:sz="0" w:space="0" w:color="auto"/>
                    <w:right w:val="none" w:sz="0" w:space="0" w:color="auto"/>
                  </w:divBdr>
                  <w:divsChild>
                    <w:div w:id="1013727846">
                      <w:marLeft w:val="0"/>
                      <w:marRight w:val="0"/>
                      <w:marTop w:val="0"/>
                      <w:marBottom w:val="0"/>
                      <w:divBdr>
                        <w:top w:val="none" w:sz="0" w:space="0" w:color="auto"/>
                        <w:left w:val="none" w:sz="0" w:space="0" w:color="auto"/>
                        <w:bottom w:val="none" w:sz="0" w:space="0" w:color="auto"/>
                        <w:right w:val="none" w:sz="0" w:space="0" w:color="auto"/>
                      </w:divBdr>
                    </w:div>
                  </w:divsChild>
                </w:div>
                <w:div w:id="1584492692">
                  <w:marLeft w:val="0"/>
                  <w:marRight w:val="0"/>
                  <w:marTop w:val="0"/>
                  <w:marBottom w:val="0"/>
                  <w:divBdr>
                    <w:top w:val="none" w:sz="0" w:space="0" w:color="auto"/>
                    <w:left w:val="none" w:sz="0" w:space="0" w:color="auto"/>
                    <w:bottom w:val="none" w:sz="0" w:space="0" w:color="auto"/>
                    <w:right w:val="none" w:sz="0" w:space="0" w:color="auto"/>
                  </w:divBdr>
                  <w:divsChild>
                    <w:div w:id="962925128">
                      <w:marLeft w:val="0"/>
                      <w:marRight w:val="0"/>
                      <w:marTop w:val="0"/>
                      <w:marBottom w:val="0"/>
                      <w:divBdr>
                        <w:top w:val="none" w:sz="0" w:space="0" w:color="auto"/>
                        <w:left w:val="none" w:sz="0" w:space="0" w:color="auto"/>
                        <w:bottom w:val="none" w:sz="0" w:space="0" w:color="auto"/>
                        <w:right w:val="none" w:sz="0" w:space="0" w:color="auto"/>
                      </w:divBdr>
                    </w:div>
                    <w:div w:id="1375693286">
                      <w:marLeft w:val="0"/>
                      <w:marRight w:val="0"/>
                      <w:marTop w:val="0"/>
                      <w:marBottom w:val="0"/>
                      <w:divBdr>
                        <w:top w:val="none" w:sz="0" w:space="0" w:color="auto"/>
                        <w:left w:val="none" w:sz="0" w:space="0" w:color="auto"/>
                        <w:bottom w:val="none" w:sz="0" w:space="0" w:color="auto"/>
                        <w:right w:val="none" w:sz="0" w:space="0" w:color="auto"/>
                      </w:divBdr>
                    </w:div>
                  </w:divsChild>
                </w:div>
                <w:div w:id="1586963395">
                  <w:marLeft w:val="0"/>
                  <w:marRight w:val="0"/>
                  <w:marTop w:val="0"/>
                  <w:marBottom w:val="0"/>
                  <w:divBdr>
                    <w:top w:val="none" w:sz="0" w:space="0" w:color="auto"/>
                    <w:left w:val="none" w:sz="0" w:space="0" w:color="auto"/>
                    <w:bottom w:val="none" w:sz="0" w:space="0" w:color="auto"/>
                    <w:right w:val="none" w:sz="0" w:space="0" w:color="auto"/>
                  </w:divBdr>
                  <w:divsChild>
                    <w:div w:id="743571635">
                      <w:marLeft w:val="0"/>
                      <w:marRight w:val="0"/>
                      <w:marTop w:val="0"/>
                      <w:marBottom w:val="0"/>
                      <w:divBdr>
                        <w:top w:val="none" w:sz="0" w:space="0" w:color="auto"/>
                        <w:left w:val="none" w:sz="0" w:space="0" w:color="auto"/>
                        <w:bottom w:val="none" w:sz="0" w:space="0" w:color="auto"/>
                        <w:right w:val="none" w:sz="0" w:space="0" w:color="auto"/>
                      </w:divBdr>
                    </w:div>
                  </w:divsChild>
                </w:div>
                <w:div w:id="1587307030">
                  <w:marLeft w:val="0"/>
                  <w:marRight w:val="0"/>
                  <w:marTop w:val="0"/>
                  <w:marBottom w:val="0"/>
                  <w:divBdr>
                    <w:top w:val="none" w:sz="0" w:space="0" w:color="auto"/>
                    <w:left w:val="none" w:sz="0" w:space="0" w:color="auto"/>
                    <w:bottom w:val="none" w:sz="0" w:space="0" w:color="auto"/>
                    <w:right w:val="none" w:sz="0" w:space="0" w:color="auto"/>
                  </w:divBdr>
                  <w:divsChild>
                    <w:div w:id="1629630890">
                      <w:marLeft w:val="0"/>
                      <w:marRight w:val="0"/>
                      <w:marTop w:val="0"/>
                      <w:marBottom w:val="0"/>
                      <w:divBdr>
                        <w:top w:val="none" w:sz="0" w:space="0" w:color="auto"/>
                        <w:left w:val="none" w:sz="0" w:space="0" w:color="auto"/>
                        <w:bottom w:val="none" w:sz="0" w:space="0" w:color="auto"/>
                        <w:right w:val="none" w:sz="0" w:space="0" w:color="auto"/>
                      </w:divBdr>
                    </w:div>
                  </w:divsChild>
                </w:div>
                <w:div w:id="1590653625">
                  <w:marLeft w:val="0"/>
                  <w:marRight w:val="0"/>
                  <w:marTop w:val="0"/>
                  <w:marBottom w:val="0"/>
                  <w:divBdr>
                    <w:top w:val="none" w:sz="0" w:space="0" w:color="auto"/>
                    <w:left w:val="none" w:sz="0" w:space="0" w:color="auto"/>
                    <w:bottom w:val="none" w:sz="0" w:space="0" w:color="auto"/>
                    <w:right w:val="none" w:sz="0" w:space="0" w:color="auto"/>
                  </w:divBdr>
                  <w:divsChild>
                    <w:div w:id="977297574">
                      <w:marLeft w:val="0"/>
                      <w:marRight w:val="0"/>
                      <w:marTop w:val="0"/>
                      <w:marBottom w:val="0"/>
                      <w:divBdr>
                        <w:top w:val="none" w:sz="0" w:space="0" w:color="auto"/>
                        <w:left w:val="none" w:sz="0" w:space="0" w:color="auto"/>
                        <w:bottom w:val="none" w:sz="0" w:space="0" w:color="auto"/>
                        <w:right w:val="none" w:sz="0" w:space="0" w:color="auto"/>
                      </w:divBdr>
                    </w:div>
                  </w:divsChild>
                </w:div>
                <w:div w:id="1595821403">
                  <w:marLeft w:val="0"/>
                  <w:marRight w:val="0"/>
                  <w:marTop w:val="0"/>
                  <w:marBottom w:val="0"/>
                  <w:divBdr>
                    <w:top w:val="none" w:sz="0" w:space="0" w:color="auto"/>
                    <w:left w:val="none" w:sz="0" w:space="0" w:color="auto"/>
                    <w:bottom w:val="none" w:sz="0" w:space="0" w:color="auto"/>
                    <w:right w:val="none" w:sz="0" w:space="0" w:color="auto"/>
                  </w:divBdr>
                  <w:divsChild>
                    <w:div w:id="2100178840">
                      <w:marLeft w:val="0"/>
                      <w:marRight w:val="0"/>
                      <w:marTop w:val="0"/>
                      <w:marBottom w:val="0"/>
                      <w:divBdr>
                        <w:top w:val="none" w:sz="0" w:space="0" w:color="auto"/>
                        <w:left w:val="none" w:sz="0" w:space="0" w:color="auto"/>
                        <w:bottom w:val="none" w:sz="0" w:space="0" w:color="auto"/>
                        <w:right w:val="none" w:sz="0" w:space="0" w:color="auto"/>
                      </w:divBdr>
                    </w:div>
                  </w:divsChild>
                </w:div>
                <w:div w:id="1601142741">
                  <w:marLeft w:val="0"/>
                  <w:marRight w:val="0"/>
                  <w:marTop w:val="0"/>
                  <w:marBottom w:val="0"/>
                  <w:divBdr>
                    <w:top w:val="none" w:sz="0" w:space="0" w:color="auto"/>
                    <w:left w:val="none" w:sz="0" w:space="0" w:color="auto"/>
                    <w:bottom w:val="none" w:sz="0" w:space="0" w:color="auto"/>
                    <w:right w:val="none" w:sz="0" w:space="0" w:color="auto"/>
                  </w:divBdr>
                  <w:divsChild>
                    <w:div w:id="1432623518">
                      <w:marLeft w:val="0"/>
                      <w:marRight w:val="0"/>
                      <w:marTop w:val="0"/>
                      <w:marBottom w:val="0"/>
                      <w:divBdr>
                        <w:top w:val="none" w:sz="0" w:space="0" w:color="auto"/>
                        <w:left w:val="none" w:sz="0" w:space="0" w:color="auto"/>
                        <w:bottom w:val="none" w:sz="0" w:space="0" w:color="auto"/>
                        <w:right w:val="none" w:sz="0" w:space="0" w:color="auto"/>
                      </w:divBdr>
                    </w:div>
                  </w:divsChild>
                </w:div>
                <w:div w:id="1618443003">
                  <w:marLeft w:val="0"/>
                  <w:marRight w:val="0"/>
                  <w:marTop w:val="0"/>
                  <w:marBottom w:val="0"/>
                  <w:divBdr>
                    <w:top w:val="none" w:sz="0" w:space="0" w:color="auto"/>
                    <w:left w:val="none" w:sz="0" w:space="0" w:color="auto"/>
                    <w:bottom w:val="none" w:sz="0" w:space="0" w:color="auto"/>
                    <w:right w:val="none" w:sz="0" w:space="0" w:color="auto"/>
                  </w:divBdr>
                  <w:divsChild>
                    <w:div w:id="478811537">
                      <w:marLeft w:val="0"/>
                      <w:marRight w:val="0"/>
                      <w:marTop w:val="0"/>
                      <w:marBottom w:val="0"/>
                      <w:divBdr>
                        <w:top w:val="none" w:sz="0" w:space="0" w:color="auto"/>
                        <w:left w:val="none" w:sz="0" w:space="0" w:color="auto"/>
                        <w:bottom w:val="none" w:sz="0" w:space="0" w:color="auto"/>
                        <w:right w:val="none" w:sz="0" w:space="0" w:color="auto"/>
                      </w:divBdr>
                    </w:div>
                  </w:divsChild>
                </w:div>
                <w:div w:id="1623999974">
                  <w:marLeft w:val="0"/>
                  <w:marRight w:val="0"/>
                  <w:marTop w:val="0"/>
                  <w:marBottom w:val="0"/>
                  <w:divBdr>
                    <w:top w:val="none" w:sz="0" w:space="0" w:color="auto"/>
                    <w:left w:val="none" w:sz="0" w:space="0" w:color="auto"/>
                    <w:bottom w:val="none" w:sz="0" w:space="0" w:color="auto"/>
                    <w:right w:val="none" w:sz="0" w:space="0" w:color="auto"/>
                  </w:divBdr>
                  <w:divsChild>
                    <w:div w:id="1366372942">
                      <w:marLeft w:val="0"/>
                      <w:marRight w:val="0"/>
                      <w:marTop w:val="0"/>
                      <w:marBottom w:val="0"/>
                      <w:divBdr>
                        <w:top w:val="none" w:sz="0" w:space="0" w:color="auto"/>
                        <w:left w:val="none" w:sz="0" w:space="0" w:color="auto"/>
                        <w:bottom w:val="none" w:sz="0" w:space="0" w:color="auto"/>
                        <w:right w:val="none" w:sz="0" w:space="0" w:color="auto"/>
                      </w:divBdr>
                    </w:div>
                  </w:divsChild>
                </w:div>
                <w:div w:id="1633292337">
                  <w:marLeft w:val="0"/>
                  <w:marRight w:val="0"/>
                  <w:marTop w:val="0"/>
                  <w:marBottom w:val="0"/>
                  <w:divBdr>
                    <w:top w:val="none" w:sz="0" w:space="0" w:color="auto"/>
                    <w:left w:val="none" w:sz="0" w:space="0" w:color="auto"/>
                    <w:bottom w:val="none" w:sz="0" w:space="0" w:color="auto"/>
                    <w:right w:val="none" w:sz="0" w:space="0" w:color="auto"/>
                  </w:divBdr>
                  <w:divsChild>
                    <w:div w:id="1342708053">
                      <w:marLeft w:val="0"/>
                      <w:marRight w:val="0"/>
                      <w:marTop w:val="0"/>
                      <w:marBottom w:val="0"/>
                      <w:divBdr>
                        <w:top w:val="none" w:sz="0" w:space="0" w:color="auto"/>
                        <w:left w:val="none" w:sz="0" w:space="0" w:color="auto"/>
                        <w:bottom w:val="none" w:sz="0" w:space="0" w:color="auto"/>
                        <w:right w:val="none" w:sz="0" w:space="0" w:color="auto"/>
                      </w:divBdr>
                    </w:div>
                  </w:divsChild>
                </w:div>
                <w:div w:id="1640843327">
                  <w:marLeft w:val="0"/>
                  <w:marRight w:val="0"/>
                  <w:marTop w:val="0"/>
                  <w:marBottom w:val="0"/>
                  <w:divBdr>
                    <w:top w:val="none" w:sz="0" w:space="0" w:color="auto"/>
                    <w:left w:val="none" w:sz="0" w:space="0" w:color="auto"/>
                    <w:bottom w:val="none" w:sz="0" w:space="0" w:color="auto"/>
                    <w:right w:val="none" w:sz="0" w:space="0" w:color="auto"/>
                  </w:divBdr>
                  <w:divsChild>
                    <w:div w:id="292906504">
                      <w:marLeft w:val="0"/>
                      <w:marRight w:val="0"/>
                      <w:marTop w:val="0"/>
                      <w:marBottom w:val="0"/>
                      <w:divBdr>
                        <w:top w:val="none" w:sz="0" w:space="0" w:color="auto"/>
                        <w:left w:val="none" w:sz="0" w:space="0" w:color="auto"/>
                        <w:bottom w:val="none" w:sz="0" w:space="0" w:color="auto"/>
                        <w:right w:val="none" w:sz="0" w:space="0" w:color="auto"/>
                      </w:divBdr>
                    </w:div>
                  </w:divsChild>
                </w:div>
                <w:div w:id="1642495933">
                  <w:marLeft w:val="0"/>
                  <w:marRight w:val="0"/>
                  <w:marTop w:val="0"/>
                  <w:marBottom w:val="0"/>
                  <w:divBdr>
                    <w:top w:val="none" w:sz="0" w:space="0" w:color="auto"/>
                    <w:left w:val="none" w:sz="0" w:space="0" w:color="auto"/>
                    <w:bottom w:val="none" w:sz="0" w:space="0" w:color="auto"/>
                    <w:right w:val="none" w:sz="0" w:space="0" w:color="auto"/>
                  </w:divBdr>
                  <w:divsChild>
                    <w:div w:id="1856338425">
                      <w:marLeft w:val="0"/>
                      <w:marRight w:val="0"/>
                      <w:marTop w:val="0"/>
                      <w:marBottom w:val="0"/>
                      <w:divBdr>
                        <w:top w:val="none" w:sz="0" w:space="0" w:color="auto"/>
                        <w:left w:val="none" w:sz="0" w:space="0" w:color="auto"/>
                        <w:bottom w:val="none" w:sz="0" w:space="0" w:color="auto"/>
                        <w:right w:val="none" w:sz="0" w:space="0" w:color="auto"/>
                      </w:divBdr>
                    </w:div>
                  </w:divsChild>
                </w:div>
                <w:div w:id="1647314754">
                  <w:marLeft w:val="0"/>
                  <w:marRight w:val="0"/>
                  <w:marTop w:val="0"/>
                  <w:marBottom w:val="0"/>
                  <w:divBdr>
                    <w:top w:val="none" w:sz="0" w:space="0" w:color="auto"/>
                    <w:left w:val="none" w:sz="0" w:space="0" w:color="auto"/>
                    <w:bottom w:val="none" w:sz="0" w:space="0" w:color="auto"/>
                    <w:right w:val="none" w:sz="0" w:space="0" w:color="auto"/>
                  </w:divBdr>
                  <w:divsChild>
                    <w:div w:id="1088887549">
                      <w:marLeft w:val="0"/>
                      <w:marRight w:val="0"/>
                      <w:marTop w:val="0"/>
                      <w:marBottom w:val="0"/>
                      <w:divBdr>
                        <w:top w:val="none" w:sz="0" w:space="0" w:color="auto"/>
                        <w:left w:val="none" w:sz="0" w:space="0" w:color="auto"/>
                        <w:bottom w:val="none" w:sz="0" w:space="0" w:color="auto"/>
                        <w:right w:val="none" w:sz="0" w:space="0" w:color="auto"/>
                      </w:divBdr>
                    </w:div>
                  </w:divsChild>
                </w:div>
                <w:div w:id="1653943090">
                  <w:marLeft w:val="0"/>
                  <w:marRight w:val="0"/>
                  <w:marTop w:val="0"/>
                  <w:marBottom w:val="0"/>
                  <w:divBdr>
                    <w:top w:val="none" w:sz="0" w:space="0" w:color="auto"/>
                    <w:left w:val="none" w:sz="0" w:space="0" w:color="auto"/>
                    <w:bottom w:val="none" w:sz="0" w:space="0" w:color="auto"/>
                    <w:right w:val="none" w:sz="0" w:space="0" w:color="auto"/>
                  </w:divBdr>
                  <w:divsChild>
                    <w:div w:id="425922026">
                      <w:marLeft w:val="0"/>
                      <w:marRight w:val="0"/>
                      <w:marTop w:val="0"/>
                      <w:marBottom w:val="0"/>
                      <w:divBdr>
                        <w:top w:val="none" w:sz="0" w:space="0" w:color="auto"/>
                        <w:left w:val="none" w:sz="0" w:space="0" w:color="auto"/>
                        <w:bottom w:val="none" w:sz="0" w:space="0" w:color="auto"/>
                        <w:right w:val="none" w:sz="0" w:space="0" w:color="auto"/>
                      </w:divBdr>
                    </w:div>
                  </w:divsChild>
                </w:div>
                <w:div w:id="1654336232">
                  <w:marLeft w:val="0"/>
                  <w:marRight w:val="0"/>
                  <w:marTop w:val="0"/>
                  <w:marBottom w:val="0"/>
                  <w:divBdr>
                    <w:top w:val="none" w:sz="0" w:space="0" w:color="auto"/>
                    <w:left w:val="none" w:sz="0" w:space="0" w:color="auto"/>
                    <w:bottom w:val="none" w:sz="0" w:space="0" w:color="auto"/>
                    <w:right w:val="none" w:sz="0" w:space="0" w:color="auto"/>
                  </w:divBdr>
                  <w:divsChild>
                    <w:div w:id="1272709666">
                      <w:marLeft w:val="0"/>
                      <w:marRight w:val="0"/>
                      <w:marTop w:val="0"/>
                      <w:marBottom w:val="0"/>
                      <w:divBdr>
                        <w:top w:val="none" w:sz="0" w:space="0" w:color="auto"/>
                        <w:left w:val="none" w:sz="0" w:space="0" w:color="auto"/>
                        <w:bottom w:val="none" w:sz="0" w:space="0" w:color="auto"/>
                        <w:right w:val="none" w:sz="0" w:space="0" w:color="auto"/>
                      </w:divBdr>
                    </w:div>
                  </w:divsChild>
                </w:div>
                <w:div w:id="1654527847">
                  <w:marLeft w:val="0"/>
                  <w:marRight w:val="0"/>
                  <w:marTop w:val="0"/>
                  <w:marBottom w:val="0"/>
                  <w:divBdr>
                    <w:top w:val="none" w:sz="0" w:space="0" w:color="auto"/>
                    <w:left w:val="none" w:sz="0" w:space="0" w:color="auto"/>
                    <w:bottom w:val="none" w:sz="0" w:space="0" w:color="auto"/>
                    <w:right w:val="none" w:sz="0" w:space="0" w:color="auto"/>
                  </w:divBdr>
                  <w:divsChild>
                    <w:div w:id="1553733616">
                      <w:marLeft w:val="0"/>
                      <w:marRight w:val="0"/>
                      <w:marTop w:val="0"/>
                      <w:marBottom w:val="0"/>
                      <w:divBdr>
                        <w:top w:val="none" w:sz="0" w:space="0" w:color="auto"/>
                        <w:left w:val="none" w:sz="0" w:space="0" w:color="auto"/>
                        <w:bottom w:val="none" w:sz="0" w:space="0" w:color="auto"/>
                        <w:right w:val="none" w:sz="0" w:space="0" w:color="auto"/>
                      </w:divBdr>
                    </w:div>
                  </w:divsChild>
                </w:div>
                <w:div w:id="1655572869">
                  <w:marLeft w:val="0"/>
                  <w:marRight w:val="0"/>
                  <w:marTop w:val="0"/>
                  <w:marBottom w:val="0"/>
                  <w:divBdr>
                    <w:top w:val="none" w:sz="0" w:space="0" w:color="auto"/>
                    <w:left w:val="none" w:sz="0" w:space="0" w:color="auto"/>
                    <w:bottom w:val="none" w:sz="0" w:space="0" w:color="auto"/>
                    <w:right w:val="none" w:sz="0" w:space="0" w:color="auto"/>
                  </w:divBdr>
                  <w:divsChild>
                    <w:div w:id="24185412">
                      <w:marLeft w:val="0"/>
                      <w:marRight w:val="0"/>
                      <w:marTop w:val="0"/>
                      <w:marBottom w:val="0"/>
                      <w:divBdr>
                        <w:top w:val="none" w:sz="0" w:space="0" w:color="auto"/>
                        <w:left w:val="none" w:sz="0" w:space="0" w:color="auto"/>
                        <w:bottom w:val="none" w:sz="0" w:space="0" w:color="auto"/>
                        <w:right w:val="none" w:sz="0" w:space="0" w:color="auto"/>
                      </w:divBdr>
                    </w:div>
                  </w:divsChild>
                </w:div>
                <w:div w:id="1656571095">
                  <w:marLeft w:val="0"/>
                  <w:marRight w:val="0"/>
                  <w:marTop w:val="0"/>
                  <w:marBottom w:val="0"/>
                  <w:divBdr>
                    <w:top w:val="none" w:sz="0" w:space="0" w:color="auto"/>
                    <w:left w:val="none" w:sz="0" w:space="0" w:color="auto"/>
                    <w:bottom w:val="none" w:sz="0" w:space="0" w:color="auto"/>
                    <w:right w:val="none" w:sz="0" w:space="0" w:color="auto"/>
                  </w:divBdr>
                  <w:divsChild>
                    <w:div w:id="1779636145">
                      <w:marLeft w:val="0"/>
                      <w:marRight w:val="0"/>
                      <w:marTop w:val="0"/>
                      <w:marBottom w:val="0"/>
                      <w:divBdr>
                        <w:top w:val="none" w:sz="0" w:space="0" w:color="auto"/>
                        <w:left w:val="none" w:sz="0" w:space="0" w:color="auto"/>
                        <w:bottom w:val="none" w:sz="0" w:space="0" w:color="auto"/>
                        <w:right w:val="none" w:sz="0" w:space="0" w:color="auto"/>
                      </w:divBdr>
                    </w:div>
                  </w:divsChild>
                </w:div>
                <w:div w:id="1663313030">
                  <w:marLeft w:val="0"/>
                  <w:marRight w:val="0"/>
                  <w:marTop w:val="0"/>
                  <w:marBottom w:val="0"/>
                  <w:divBdr>
                    <w:top w:val="none" w:sz="0" w:space="0" w:color="auto"/>
                    <w:left w:val="none" w:sz="0" w:space="0" w:color="auto"/>
                    <w:bottom w:val="none" w:sz="0" w:space="0" w:color="auto"/>
                    <w:right w:val="none" w:sz="0" w:space="0" w:color="auto"/>
                  </w:divBdr>
                  <w:divsChild>
                    <w:div w:id="768814493">
                      <w:marLeft w:val="0"/>
                      <w:marRight w:val="0"/>
                      <w:marTop w:val="0"/>
                      <w:marBottom w:val="0"/>
                      <w:divBdr>
                        <w:top w:val="none" w:sz="0" w:space="0" w:color="auto"/>
                        <w:left w:val="none" w:sz="0" w:space="0" w:color="auto"/>
                        <w:bottom w:val="none" w:sz="0" w:space="0" w:color="auto"/>
                        <w:right w:val="none" w:sz="0" w:space="0" w:color="auto"/>
                      </w:divBdr>
                    </w:div>
                  </w:divsChild>
                </w:div>
                <w:div w:id="1666398422">
                  <w:marLeft w:val="0"/>
                  <w:marRight w:val="0"/>
                  <w:marTop w:val="0"/>
                  <w:marBottom w:val="0"/>
                  <w:divBdr>
                    <w:top w:val="none" w:sz="0" w:space="0" w:color="auto"/>
                    <w:left w:val="none" w:sz="0" w:space="0" w:color="auto"/>
                    <w:bottom w:val="none" w:sz="0" w:space="0" w:color="auto"/>
                    <w:right w:val="none" w:sz="0" w:space="0" w:color="auto"/>
                  </w:divBdr>
                  <w:divsChild>
                    <w:div w:id="32927110">
                      <w:marLeft w:val="0"/>
                      <w:marRight w:val="0"/>
                      <w:marTop w:val="0"/>
                      <w:marBottom w:val="0"/>
                      <w:divBdr>
                        <w:top w:val="none" w:sz="0" w:space="0" w:color="auto"/>
                        <w:left w:val="none" w:sz="0" w:space="0" w:color="auto"/>
                        <w:bottom w:val="none" w:sz="0" w:space="0" w:color="auto"/>
                        <w:right w:val="none" w:sz="0" w:space="0" w:color="auto"/>
                      </w:divBdr>
                    </w:div>
                  </w:divsChild>
                </w:div>
                <w:div w:id="1666668210">
                  <w:marLeft w:val="0"/>
                  <w:marRight w:val="0"/>
                  <w:marTop w:val="0"/>
                  <w:marBottom w:val="0"/>
                  <w:divBdr>
                    <w:top w:val="none" w:sz="0" w:space="0" w:color="auto"/>
                    <w:left w:val="none" w:sz="0" w:space="0" w:color="auto"/>
                    <w:bottom w:val="none" w:sz="0" w:space="0" w:color="auto"/>
                    <w:right w:val="none" w:sz="0" w:space="0" w:color="auto"/>
                  </w:divBdr>
                  <w:divsChild>
                    <w:div w:id="1093210079">
                      <w:marLeft w:val="0"/>
                      <w:marRight w:val="0"/>
                      <w:marTop w:val="0"/>
                      <w:marBottom w:val="0"/>
                      <w:divBdr>
                        <w:top w:val="none" w:sz="0" w:space="0" w:color="auto"/>
                        <w:left w:val="none" w:sz="0" w:space="0" w:color="auto"/>
                        <w:bottom w:val="none" w:sz="0" w:space="0" w:color="auto"/>
                        <w:right w:val="none" w:sz="0" w:space="0" w:color="auto"/>
                      </w:divBdr>
                    </w:div>
                  </w:divsChild>
                </w:div>
                <w:div w:id="1679186476">
                  <w:marLeft w:val="0"/>
                  <w:marRight w:val="0"/>
                  <w:marTop w:val="0"/>
                  <w:marBottom w:val="0"/>
                  <w:divBdr>
                    <w:top w:val="none" w:sz="0" w:space="0" w:color="auto"/>
                    <w:left w:val="none" w:sz="0" w:space="0" w:color="auto"/>
                    <w:bottom w:val="none" w:sz="0" w:space="0" w:color="auto"/>
                    <w:right w:val="none" w:sz="0" w:space="0" w:color="auto"/>
                  </w:divBdr>
                  <w:divsChild>
                    <w:div w:id="323440078">
                      <w:marLeft w:val="0"/>
                      <w:marRight w:val="0"/>
                      <w:marTop w:val="0"/>
                      <w:marBottom w:val="0"/>
                      <w:divBdr>
                        <w:top w:val="none" w:sz="0" w:space="0" w:color="auto"/>
                        <w:left w:val="none" w:sz="0" w:space="0" w:color="auto"/>
                        <w:bottom w:val="none" w:sz="0" w:space="0" w:color="auto"/>
                        <w:right w:val="none" w:sz="0" w:space="0" w:color="auto"/>
                      </w:divBdr>
                    </w:div>
                  </w:divsChild>
                </w:div>
                <w:div w:id="1686786863">
                  <w:marLeft w:val="0"/>
                  <w:marRight w:val="0"/>
                  <w:marTop w:val="0"/>
                  <w:marBottom w:val="0"/>
                  <w:divBdr>
                    <w:top w:val="none" w:sz="0" w:space="0" w:color="auto"/>
                    <w:left w:val="none" w:sz="0" w:space="0" w:color="auto"/>
                    <w:bottom w:val="none" w:sz="0" w:space="0" w:color="auto"/>
                    <w:right w:val="none" w:sz="0" w:space="0" w:color="auto"/>
                  </w:divBdr>
                  <w:divsChild>
                    <w:div w:id="90787171">
                      <w:marLeft w:val="0"/>
                      <w:marRight w:val="0"/>
                      <w:marTop w:val="0"/>
                      <w:marBottom w:val="0"/>
                      <w:divBdr>
                        <w:top w:val="none" w:sz="0" w:space="0" w:color="auto"/>
                        <w:left w:val="none" w:sz="0" w:space="0" w:color="auto"/>
                        <w:bottom w:val="none" w:sz="0" w:space="0" w:color="auto"/>
                        <w:right w:val="none" w:sz="0" w:space="0" w:color="auto"/>
                      </w:divBdr>
                    </w:div>
                  </w:divsChild>
                </w:div>
                <w:div w:id="1703047207">
                  <w:marLeft w:val="0"/>
                  <w:marRight w:val="0"/>
                  <w:marTop w:val="0"/>
                  <w:marBottom w:val="0"/>
                  <w:divBdr>
                    <w:top w:val="none" w:sz="0" w:space="0" w:color="auto"/>
                    <w:left w:val="none" w:sz="0" w:space="0" w:color="auto"/>
                    <w:bottom w:val="none" w:sz="0" w:space="0" w:color="auto"/>
                    <w:right w:val="none" w:sz="0" w:space="0" w:color="auto"/>
                  </w:divBdr>
                  <w:divsChild>
                    <w:div w:id="1892882516">
                      <w:marLeft w:val="0"/>
                      <w:marRight w:val="0"/>
                      <w:marTop w:val="0"/>
                      <w:marBottom w:val="0"/>
                      <w:divBdr>
                        <w:top w:val="none" w:sz="0" w:space="0" w:color="auto"/>
                        <w:left w:val="none" w:sz="0" w:space="0" w:color="auto"/>
                        <w:bottom w:val="none" w:sz="0" w:space="0" w:color="auto"/>
                        <w:right w:val="none" w:sz="0" w:space="0" w:color="auto"/>
                      </w:divBdr>
                    </w:div>
                  </w:divsChild>
                </w:div>
                <w:div w:id="1704943022">
                  <w:marLeft w:val="0"/>
                  <w:marRight w:val="0"/>
                  <w:marTop w:val="0"/>
                  <w:marBottom w:val="0"/>
                  <w:divBdr>
                    <w:top w:val="none" w:sz="0" w:space="0" w:color="auto"/>
                    <w:left w:val="none" w:sz="0" w:space="0" w:color="auto"/>
                    <w:bottom w:val="none" w:sz="0" w:space="0" w:color="auto"/>
                    <w:right w:val="none" w:sz="0" w:space="0" w:color="auto"/>
                  </w:divBdr>
                  <w:divsChild>
                    <w:div w:id="1184901045">
                      <w:marLeft w:val="0"/>
                      <w:marRight w:val="0"/>
                      <w:marTop w:val="0"/>
                      <w:marBottom w:val="0"/>
                      <w:divBdr>
                        <w:top w:val="none" w:sz="0" w:space="0" w:color="auto"/>
                        <w:left w:val="none" w:sz="0" w:space="0" w:color="auto"/>
                        <w:bottom w:val="none" w:sz="0" w:space="0" w:color="auto"/>
                        <w:right w:val="none" w:sz="0" w:space="0" w:color="auto"/>
                      </w:divBdr>
                    </w:div>
                  </w:divsChild>
                </w:div>
                <w:div w:id="1707637298">
                  <w:marLeft w:val="0"/>
                  <w:marRight w:val="0"/>
                  <w:marTop w:val="0"/>
                  <w:marBottom w:val="0"/>
                  <w:divBdr>
                    <w:top w:val="none" w:sz="0" w:space="0" w:color="auto"/>
                    <w:left w:val="none" w:sz="0" w:space="0" w:color="auto"/>
                    <w:bottom w:val="none" w:sz="0" w:space="0" w:color="auto"/>
                    <w:right w:val="none" w:sz="0" w:space="0" w:color="auto"/>
                  </w:divBdr>
                  <w:divsChild>
                    <w:div w:id="1603146929">
                      <w:marLeft w:val="0"/>
                      <w:marRight w:val="0"/>
                      <w:marTop w:val="0"/>
                      <w:marBottom w:val="0"/>
                      <w:divBdr>
                        <w:top w:val="none" w:sz="0" w:space="0" w:color="auto"/>
                        <w:left w:val="none" w:sz="0" w:space="0" w:color="auto"/>
                        <w:bottom w:val="none" w:sz="0" w:space="0" w:color="auto"/>
                        <w:right w:val="none" w:sz="0" w:space="0" w:color="auto"/>
                      </w:divBdr>
                    </w:div>
                  </w:divsChild>
                </w:div>
                <w:div w:id="1709332353">
                  <w:marLeft w:val="0"/>
                  <w:marRight w:val="0"/>
                  <w:marTop w:val="0"/>
                  <w:marBottom w:val="0"/>
                  <w:divBdr>
                    <w:top w:val="none" w:sz="0" w:space="0" w:color="auto"/>
                    <w:left w:val="none" w:sz="0" w:space="0" w:color="auto"/>
                    <w:bottom w:val="none" w:sz="0" w:space="0" w:color="auto"/>
                    <w:right w:val="none" w:sz="0" w:space="0" w:color="auto"/>
                  </w:divBdr>
                  <w:divsChild>
                    <w:div w:id="1063679617">
                      <w:marLeft w:val="0"/>
                      <w:marRight w:val="0"/>
                      <w:marTop w:val="0"/>
                      <w:marBottom w:val="0"/>
                      <w:divBdr>
                        <w:top w:val="none" w:sz="0" w:space="0" w:color="auto"/>
                        <w:left w:val="none" w:sz="0" w:space="0" w:color="auto"/>
                        <w:bottom w:val="none" w:sz="0" w:space="0" w:color="auto"/>
                        <w:right w:val="none" w:sz="0" w:space="0" w:color="auto"/>
                      </w:divBdr>
                    </w:div>
                  </w:divsChild>
                </w:div>
                <w:div w:id="1719208235">
                  <w:marLeft w:val="0"/>
                  <w:marRight w:val="0"/>
                  <w:marTop w:val="0"/>
                  <w:marBottom w:val="0"/>
                  <w:divBdr>
                    <w:top w:val="none" w:sz="0" w:space="0" w:color="auto"/>
                    <w:left w:val="none" w:sz="0" w:space="0" w:color="auto"/>
                    <w:bottom w:val="none" w:sz="0" w:space="0" w:color="auto"/>
                    <w:right w:val="none" w:sz="0" w:space="0" w:color="auto"/>
                  </w:divBdr>
                  <w:divsChild>
                    <w:div w:id="648486483">
                      <w:marLeft w:val="0"/>
                      <w:marRight w:val="0"/>
                      <w:marTop w:val="0"/>
                      <w:marBottom w:val="0"/>
                      <w:divBdr>
                        <w:top w:val="none" w:sz="0" w:space="0" w:color="auto"/>
                        <w:left w:val="none" w:sz="0" w:space="0" w:color="auto"/>
                        <w:bottom w:val="none" w:sz="0" w:space="0" w:color="auto"/>
                        <w:right w:val="none" w:sz="0" w:space="0" w:color="auto"/>
                      </w:divBdr>
                    </w:div>
                  </w:divsChild>
                </w:div>
                <w:div w:id="1731343468">
                  <w:marLeft w:val="0"/>
                  <w:marRight w:val="0"/>
                  <w:marTop w:val="0"/>
                  <w:marBottom w:val="0"/>
                  <w:divBdr>
                    <w:top w:val="none" w:sz="0" w:space="0" w:color="auto"/>
                    <w:left w:val="none" w:sz="0" w:space="0" w:color="auto"/>
                    <w:bottom w:val="none" w:sz="0" w:space="0" w:color="auto"/>
                    <w:right w:val="none" w:sz="0" w:space="0" w:color="auto"/>
                  </w:divBdr>
                  <w:divsChild>
                    <w:div w:id="554901782">
                      <w:marLeft w:val="0"/>
                      <w:marRight w:val="0"/>
                      <w:marTop w:val="0"/>
                      <w:marBottom w:val="0"/>
                      <w:divBdr>
                        <w:top w:val="none" w:sz="0" w:space="0" w:color="auto"/>
                        <w:left w:val="none" w:sz="0" w:space="0" w:color="auto"/>
                        <w:bottom w:val="none" w:sz="0" w:space="0" w:color="auto"/>
                        <w:right w:val="none" w:sz="0" w:space="0" w:color="auto"/>
                      </w:divBdr>
                    </w:div>
                  </w:divsChild>
                </w:div>
                <w:div w:id="1737435492">
                  <w:marLeft w:val="0"/>
                  <w:marRight w:val="0"/>
                  <w:marTop w:val="0"/>
                  <w:marBottom w:val="0"/>
                  <w:divBdr>
                    <w:top w:val="none" w:sz="0" w:space="0" w:color="auto"/>
                    <w:left w:val="none" w:sz="0" w:space="0" w:color="auto"/>
                    <w:bottom w:val="none" w:sz="0" w:space="0" w:color="auto"/>
                    <w:right w:val="none" w:sz="0" w:space="0" w:color="auto"/>
                  </w:divBdr>
                  <w:divsChild>
                    <w:div w:id="331762222">
                      <w:marLeft w:val="0"/>
                      <w:marRight w:val="0"/>
                      <w:marTop w:val="0"/>
                      <w:marBottom w:val="0"/>
                      <w:divBdr>
                        <w:top w:val="none" w:sz="0" w:space="0" w:color="auto"/>
                        <w:left w:val="none" w:sz="0" w:space="0" w:color="auto"/>
                        <w:bottom w:val="none" w:sz="0" w:space="0" w:color="auto"/>
                        <w:right w:val="none" w:sz="0" w:space="0" w:color="auto"/>
                      </w:divBdr>
                    </w:div>
                  </w:divsChild>
                </w:div>
                <w:div w:id="1743716441">
                  <w:marLeft w:val="0"/>
                  <w:marRight w:val="0"/>
                  <w:marTop w:val="0"/>
                  <w:marBottom w:val="0"/>
                  <w:divBdr>
                    <w:top w:val="none" w:sz="0" w:space="0" w:color="auto"/>
                    <w:left w:val="none" w:sz="0" w:space="0" w:color="auto"/>
                    <w:bottom w:val="none" w:sz="0" w:space="0" w:color="auto"/>
                    <w:right w:val="none" w:sz="0" w:space="0" w:color="auto"/>
                  </w:divBdr>
                  <w:divsChild>
                    <w:div w:id="769548251">
                      <w:marLeft w:val="0"/>
                      <w:marRight w:val="0"/>
                      <w:marTop w:val="0"/>
                      <w:marBottom w:val="0"/>
                      <w:divBdr>
                        <w:top w:val="none" w:sz="0" w:space="0" w:color="auto"/>
                        <w:left w:val="none" w:sz="0" w:space="0" w:color="auto"/>
                        <w:bottom w:val="none" w:sz="0" w:space="0" w:color="auto"/>
                        <w:right w:val="none" w:sz="0" w:space="0" w:color="auto"/>
                      </w:divBdr>
                    </w:div>
                  </w:divsChild>
                </w:div>
                <w:div w:id="1750614945">
                  <w:marLeft w:val="0"/>
                  <w:marRight w:val="0"/>
                  <w:marTop w:val="0"/>
                  <w:marBottom w:val="0"/>
                  <w:divBdr>
                    <w:top w:val="none" w:sz="0" w:space="0" w:color="auto"/>
                    <w:left w:val="none" w:sz="0" w:space="0" w:color="auto"/>
                    <w:bottom w:val="none" w:sz="0" w:space="0" w:color="auto"/>
                    <w:right w:val="none" w:sz="0" w:space="0" w:color="auto"/>
                  </w:divBdr>
                  <w:divsChild>
                    <w:div w:id="375277219">
                      <w:marLeft w:val="0"/>
                      <w:marRight w:val="0"/>
                      <w:marTop w:val="0"/>
                      <w:marBottom w:val="0"/>
                      <w:divBdr>
                        <w:top w:val="none" w:sz="0" w:space="0" w:color="auto"/>
                        <w:left w:val="none" w:sz="0" w:space="0" w:color="auto"/>
                        <w:bottom w:val="none" w:sz="0" w:space="0" w:color="auto"/>
                        <w:right w:val="none" w:sz="0" w:space="0" w:color="auto"/>
                      </w:divBdr>
                    </w:div>
                  </w:divsChild>
                </w:div>
                <w:div w:id="1762139902">
                  <w:marLeft w:val="0"/>
                  <w:marRight w:val="0"/>
                  <w:marTop w:val="0"/>
                  <w:marBottom w:val="0"/>
                  <w:divBdr>
                    <w:top w:val="none" w:sz="0" w:space="0" w:color="auto"/>
                    <w:left w:val="none" w:sz="0" w:space="0" w:color="auto"/>
                    <w:bottom w:val="none" w:sz="0" w:space="0" w:color="auto"/>
                    <w:right w:val="none" w:sz="0" w:space="0" w:color="auto"/>
                  </w:divBdr>
                  <w:divsChild>
                    <w:div w:id="1007320676">
                      <w:marLeft w:val="0"/>
                      <w:marRight w:val="0"/>
                      <w:marTop w:val="0"/>
                      <w:marBottom w:val="0"/>
                      <w:divBdr>
                        <w:top w:val="none" w:sz="0" w:space="0" w:color="auto"/>
                        <w:left w:val="none" w:sz="0" w:space="0" w:color="auto"/>
                        <w:bottom w:val="none" w:sz="0" w:space="0" w:color="auto"/>
                        <w:right w:val="none" w:sz="0" w:space="0" w:color="auto"/>
                      </w:divBdr>
                    </w:div>
                  </w:divsChild>
                </w:div>
                <w:div w:id="1765690122">
                  <w:marLeft w:val="0"/>
                  <w:marRight w:val="0"/>
                  <w:marTop w:val="0"/>
                  <w:marBottom w:val="0"/>
                  <w:divBdr>
                    <w:top w:val="none" w:sz="0" w:space="0" w:color="auto"/>
                    <w:left w:val="none" w:sz="0" w:space="0" w:color="auto"/>
                    <w:bottom w:val="none" w:sz="0" w:space="0" w:color="auto"/>
                    <w:right w:val="none" w:sz="0" w:space="0" w:color="auto"/>
                  </w:divBdr>
                  <w:divsChild>
                    <w:div w:id="1313633327">
                      <w:marLeft w:val="0"/>
                      <w:marRight w:val="0"/>
                      <w:marTop w:val="0"/>
                      <w:marBottom w:val="0"/>
                      <w:divBdr>
                        <w:top w:val="none" w:sz="0" w:space="0" w:color="auto"/>
                        <w:left w:val="none" w:sz="0" w:space="0" w:color="auto"/>
                        <w:bottom w:val="none" w:sz="0" w:space="0" w:color="auto"/>
                        <w:right w:val="none" w:sz="0" w:space="0" w:color="auto"/>
                      </w:divBdr>
                    </w:div>
                  </w:divsChild>
                </w:div>
                <w:div w:id="1802571732">
                  <w:marLeft w:val="0"/>
                  <w:marRight w:val="0"/>
                  <w:marTop w:val="0"/>
                  <w:marBottom w:val="0"/>
                  <w:divBdr>
                    <w:top w:val="none" w:sz="0" w:space="0" w:color="auto"/>
                    <w:left w:val="none" w:sz="0" w:space="0" w:color="auto"/>
                    <w:bottom w:val="none" w:sz="0" w:space="0" w:color="auto"/>
                    <w:right w:val="none" w:sz="0" w:space="0" w:color="auto"/>
                  </w:divBdr>
                  <w:divsChild>
                    <w:div w:id="611327044">
                      <w:marLeft w:val="0"/>
                      <w:marRight w:val="0"/>
                      <w:marTop w:val="0"/>
                      <w:marBottom w:val="0"/>
                      <w:divBdr>
                        <w:top w:val="none" w:sz="0" w:space="0" w:color="auto"/>
                        <w:left w:val="none" w:sz="0" w:space="0" w:color="auto"/>
                        <w:bottom w:val="none" w:sz="0" w:space="0" w:color="auto"/>
                        <w:right w:val="none" w:sz="0" w:space="0" w:color="auto"/>
                      </w:divBdr>
                    </w:div>
                  </w:divsChild>
                </w:div>
                <w:div w:id="1815950794">
                  <w:marLeft w:val="0"/>
                  <w:marRight w:val="0"/>
                  <w:marTop w:val="0"/>
                  <w:marBottom w:val="0"/>
                  <w:divBdr>
                    <w:top w:val="none" w:sz="0" w:space="0" w:color="auto"/>
                    <w:left w:val="none" w:sz="0" w:space="0" w:color="auto"/>
                    <w:bottom w:val="none" w:sz="0" w:space="0" w:color="auto"/>
                    <w:right w:val="none" w:sz="0" w:space="0" w:color="auto"/>
                  </w:divBdr>
                  <w:divsChild>
                    <w:div w:id="1758162995">
                      <w:marLeft w:val="0"/>
                      <w:marRight w:val="0"/>
                      <w:marTop w:val="0"/>
                      <w:marBottom w:val="0"/>
                      <w:divBdr>
                        <w:top w:val="none" w:sz="0" w:space="0" w:color="auto"/>
                        <w:left w:val="none" w:sz="0" w:space="0" w:color="auto"/>
                        <w:bottom w:val="none" w:sz="0" w:space="0" w:color="auto"/>
                        <w:right w:val="none" w:sz="0" w:space="0" w:color="auto"/>
                      </w:divBdr>
                    </w:div>
                  </w:divsChild>
                </w:div>
                <w:div w:id="1820031589">
                  <w:marLeft w:val="0"/>
                  <w:marRight w:val="0"/>
                  <w:marTop w:val="0"/>
                  <w:marBottom w:val="0"/>
                  <w:divBdr>
                    <w:top w:val="none" w:sz="0" w:space="0" w:color="auto"/>
                    <w:left w:val="none" w:sz="0" w:space="0" w:color="auto"/>
                    <w:bottom w:val="none" w:sz="0" w:space="0" w:color="auto"/>
                    <w:right w:val="none" w:sz="0" w:space="0" w:color="auto"/>
                  </w:divBdr>
                  <w:divsChild>
                    <w:div w:id="1854831247">
                      <w:marLeft w:val="0"/>
                      <w:marRight w:val="0"/>
                      <w:marTop w:val="0"/>
                      <w:marBottom w:val="0"/>
                      <w:divBdr>
                        <w:top w:val="none" w:sz="0" w:space="0" w:color="auto"/>
                        <w:left w:val="none" w:sz="0" w:space="0" w:color="auto"/>
                        <w:bottom w:val="none" w:sz="0" w:space="0" w:color="auto"/>
                        <w:right w:val="none" w:sz="0" w:space="0" w:color="auto"/>
                      </w:divBdr>
                    </w:div>
                  </w:divsChild>
                </w:div>
                <w:div w:id="1820222248">
                  <w:marLeft w:val="0"/>
                  <w:marRight w:val="0"/>
                  <w:marTop w:val="0"/>
                  <w:marBottom w:val="0"/>
                  <w:divBdr>
                    <w:top w:val="none" w:sz="0" w:space="0" w:color="auto"/>
                    <w:left w:val="none" w:sz="0" w:space="0" w:color="auto"/>
                    <w:bottom w:val="none" w:sz="0" w:space="0" w:color="auto"/>
                    <w:right w:val="none" w:sz="0" w:space="0" w:color="auto"/>
                  </w:divBdr>
                  <w:divsChild>
                    <w:div w:id="811795569">
                      <w:marLeft w:val="0"/>
                      <w:marRight w:val="0"/>
                      <w:marTop w:val="0"/>
                      <w:marBottom w:val="0"/>
                      <w:divBdr>
                        <w:top w:val="none" w:sz="0" w:space="0" w:color="auto"/>
                        <w:left w:val="none" w:sz="0" w:space="0" w:color="auto"/>
                        <w:bottom w:val="none" w:sz="0" w:space="0" w:color="auto"/>
                        <w:right w:val="none" w:sz="0" w:space="0" w:color="auto"/>
                      </w:divBdr>
                    </w:div>
                  </w:divsChild>
                </w:div>
                <w:div w:id="1820883328">
                  <w:marLeft w:val="0"/>
                  <w:marRight w:val="0"/>
                  <w:marTop w:val="0"/>
                  <w:marBottom w:val="0"/>
                  <w:divBdr>
                    <w:top w:val="none" w:sz="0" w:space="0" w:color="auto"/>
                    <w:left w:val="none" w:sz="0" w:space="0" w:color="auto"/>
                    <w:bottom w:val="none" w:sz="0" w:space="0" w:color="auto"/>
                    <w:right w:val="none" w:sz="0" w:space="0" w:color="auto"/>
                  </w:divBdr>
                  <w:divsChild>
                    <w:div w:id="723716256">
                      <w:marLeft w:val="0"/>
                      <w:marRight w:val="0"/>
                      <w:marTop w:val="0"/>
                      <w:marBottom w:val="0"/>
                      <w:divBdr>
                        <w:top w:val="none" w:sz="0" w:space="0" w:color="auto"/>
                        <w:left w:val="none" w:sz="0" w:space="0" w:color="auto"/>
                        <w:bottom w:val="none" w:sz="0" w:space="0" w:color="auto"/>
                        <w:right w:val="none" w:sz="0" w:space="0" w:color="auto"/>
                      </w:divBdr>
                    </w:div>
                  </w:divsChild>
                </w:div>
                <w:div w:id="1821118362">
                  <w:marLeft w:val="0"/>
                  <w:marRight w:val="0"/>
                  <w:marTop w:val="0"/>
                  <w:marBottom w:val="0"/>
                  <w:divBdr>
                    <w:top w:val="none" w:sz="0" w:space="0" w:color="auto"/>
                    <w:left w:val="none" w:sz="0" w:space="0" w:color="auto"/>
                    <w:bottom w:val="none" w:sz="0" w:space="0" w:color="auto"/>
                    <w:right w:val="none" w:sz="0" w:space="0" w:color="auto"/>
                  </w:divBdr>
                  <w:divsChild>
                    <w:div w:id="1737505305">
                      <w:marLeft w:val="0"/>
                      <w:marRight w:val="0"/>
                      <w:marTop w:val="0"/>
                      <w:marBottom w:val="0"/>
                      <w:divBdr>
                        <w:top w:val="none" w:sz="0" w:space="0" w:color="auto"/>
                        <w:left w:val="none" w:sz="0" w:space="0" w:color="auto"/>
                        <w:bottom w:val="none" w:sz="0" w:space="0" w:color="auto"/>
                        <w:right w:val="none" w:sz="0" w:space="0" w:color="auto"/>
                      </w:divBdr>
                    </w:div>
                  </w:divsChild>
                </w:div>
                <w:div w:id="1821533699">
                  <w:marLeft w:val="0"/>
                  <w:marRight w:val="0"/>
                  <w:marTop w:val="0"/>
                  <w:marBottom w:val="0"/>
                  <w:divBdr>
                    <w:top w:val="none" w:sz="0" w:space="0" w:color="auto"/>
                    <w:left w:val="none" w:sz="0" w:space="0" w:color="auto"/>
                    <w:bottom w:val="none" w:sz="0" w:space="0" w:color="auto"/>
                    <w:right w:val="none" w:sz="0" w:space="0" w:color="auto"/>
                  </w:divBdr>
                  <w:divsChild>
                    <w:div w:id="1791589481">
                      <w:marLeft w:val="0"/>
                      <w:marRight w:val="0"/>
                      <w:marTop w:val="0"/>
                      <w:marBottom w:val="0"/>
                      <w:divBdr>
                        <w:top w:val="none" w:sz="0" w:space="0" w:color="auto"/>
                        <w:left w:val="none" w:sz="0" w:space="0" w:color="auto"/>
                        <w:bottom w:val="none" w:sz="0" w:space="0" w:color="auto"/>
                        <w:right w:val="none" w:sz="0" w:space="0" w:color="auto"/>
                      </w:divBdr>
                    </w:div>
                  </w:divsChild>
                </w:div>
                <w:div w:id="1822699395">
                  <w:marLeft w:val="0"/>
                  <w:marRight w:val="0"/>
                  <w:marTop w:val="0"/>
                  <w:marBottom w:val="0"/>
                  <w:divBdr>
                    <w:top w:val="none" w:sz="0" w:space="0" w:color="auto"/>
                    <w:left w:val="none" w:sz="0" w:space="0" w:color="auto"/>
                    <w:bottom w:val="none" w:sz="0" w:space="0" w:color="auto"/>
                    <w:right w:val="none" w:sz="0" w:space="0" w:color="auto"/>
                  </w:divBdr>
                  <w:divsChild>
                    <w:div w:id="176164401">
                      <w:marLeft w:val="0"/>
                      <w:marRight w:val="0"/>
                      <w:marTop w:val="0"/>
                      <w:marBottom w:val="0"/>
                      <w:divBdr>
                        <w:top w:val="none" w:sz="0" w:space="0" w:color="auto"/>
                        <w:left w:val="none" w:sz="0" w:space="0" w:color="auto"/>
                        <w:bottom w:val="none" w:sz="0" w:space="0" w:color="auto"/>
                        <w:right w:val="none" w:sz="0" w:space="0" w:color="auto"/>
                      </w:divBdr>
                    </w:div>
                    <w:div w:id="1189489217">
                      <w:marLeft w:val="0"/>
                      <w:marRight w:val="0"/>
                      <w:marTop w:val="0"/>
                      <w:marBottom w:val="0"/>
                      <w:divBdr>
                        <w:top w:val="none" w:sz="0" w:space="0" w:color="auto"/>
                        <w:left w:val="none" w:sz="0" w:space="0" w:color="auto"/>
                        <w:bottom w:val="none" w:sz="0" w:space="0" w:color="auto"/>
                        <w:right w:val="none" w:sz="0" w:space="0" w:color="auto"/>
                      </w:divBdr>
                    </w:div>
                    <w:div w:id="1956787880">
                      <w:marLeft w:val="0"/>
                      <w:marRight w:val="0"/>
                      <w:marTop w:val="0"/>
                      <w:marBottom w:val="0"/>
                      <w:divBdr>
                        <w:top w:val="none" w:sz="0" w:space="0" w:color="auto"/>
                        <w:left w:val="none" w:sz="0" w:space="0" w:color="auto"/>
                        <w:bottom w:val="none" w:sz="0" w:space="0" w:color="auto"/>
                        <w:right w:val="none" w:sz="0" w:space="0" w:color="auto"/>
                      </w:divBdr>
                    </w:div>
                  </w:divsChild>
                </w:div>
                <w:div w:id="1835142006">
                  <w:marLeft w:val="0"/>
                  <w:marRight w:val="0"/>
                  <w:marTop w:val="0"/>
                  <w:marBottom w:val="0"/>
                  <w:divBdr>
                    <w:top w:val="none" w:sz="0" w:space="0" w:color="auto"/>
                    <w:left w:val="none" w:sz="0" w:space="0" w:color="auto"/>
                    <w:bottom w:val="none" w:sz="0" w:space="0" w:color="auto"/>
                    <w:right w:val="none" w:sz="0" w:space="0" w:color="auto"/>
                  </w:divBdr>
                  <w:divsChild>
                    <w:div w:id="631600306">
                      <w:marLeft w:val="0"/>
                      <w:marRight w:val="0"/>
                      <w:marTop w:val="0"/>
                      <w:marBottom w:val="0"/>
                      <w:divBdr>
                        <w:top w:val="none" w:sz="0" w:space="0" w:color="auto"/>
                        <w:left w:val="none" w:sz="0" w:space="0" w:color="auto"/>
                        <w:bottom w:val="none" w:sz="0" w:space="0" w:color="auto"/>
                        <w:right w:val="none" w:sz="0" w:space="0" w:color="auto"/>
                      </w:divBdr>
                    </w:div>
                  </w:divsChild>
                </w:div>
                <w:div w:id="1843009748">
                  <w:marLeft w:val="0"/>
                  <w:marRight w:val="0"/>
                  <w:marTop w:val="0"/>
                  <w:marBottom w:val="0"/>
                  <w:divBdr>
                    <w:top w:val="none" w:sz="0" w:space="0" w:color="auto"/>
                    <w:left w:val="none" w:sz="0" w:space="0" w:color="auto"/>
                    <w:bottom w:val="none" w:sz="0" w:space="0" w:color="auto"/>
                    <w:right w:val="none" w:sz="0" w:space="0" w:color="auto"/>
                  </w:divBdr>
                  <w:divsChild>
                    <w:div w:id="871573193">
                      <w:marLeft w:val="0"/>
                      <w:marRight w:val="0"/>
                      <w:marTop w:val="0"/>
                      <w:marBottom w:val="0"/>
                      <w:divBdr>
                        <w:top w:val="none" w:sz="0" w:space="0" w:color="auto"/>
                        <w:left w:val="none" w:sz="0" w:space="0" w:color="auto"/>
                        <w:bottom w:val="none" w:sz="0" w:space="0" w:color="auto"/>
                        <w:right w:val="none" w:sz="0" w:space="0" w:color="auto"/>
                      </w:divBdr>
                    </w:div>
                  </w:divsChild>
                </w:div>
                <w:div w:id="1865555259">
                  <w:marLeft w:val="0"/>
                  <w:marRight w:val="0"/>
                  <w:marTop w:val="0"/>
                  <w:marBottom w:val="0"/>
                  <w:divBdr>
                    <w:top w:val="none" w:sz="0" w:space="0" w:color="auto"/>
                    <w:left w:val="none" w:sz="0" w:space="0" w:color="auto"/>
                    <w:bottom w:val="none" w:sz="0" w:space="0" w:color="auto"/>
                    <w:right w:val="none" w:sz="0" w:space="0" w:color="auto"/>
                  </w:divBdr>
                  <w:divsChild>
                    <w:div w:id="1641956126">
                      <w:marLeft w:val="0"/>
                      <w:marRight w:val="0"/>
                      <w:marTop w:val="0"/>
                      <w:marBottom w:val="0"/>
                      <w:divBdr>
                        <w:top w:val="none" w:sz="0" w:space="0" w:color="auto"/>
                        <w:left w:val="none" w:sz="0" w:space="0" w:color="auto"/>
                        <w:bottom w:val="none" w:sz="0" w:space="0" w:color="auto"/>
                        <w:right w:val="none" w:sz="0" w:space="0" w:color="auto"/>
                      </w:divBdr>
                    </w:div>
                  </w:divsChild>
                </w:div>
                <w:div w:id="1868981375">
                  <w:marLeft w:val="0"/>
                  <w:marRight w:val="0"/>
                  <w:marTop w:val="0"/>
                  <w:marBottom w:val="0"/>
                  <w:divBdr>
                    <w:top w:val="none" w:sz="0" w:space="0" w:color="auto"/>
                    <w:left w:val="none" w:sz="0" w:space="0" w:color="auto"/>
                    <w:bottom w:val="none" w:sz="0" w:space="0" w:color="auto"/>
                    <w:right w:val="none" w:sz="0" w:space="0" w:color="auto"/>
                  </w:divBdr>
                  <w:divsChild>
                    <w:div w:id="341009678">
                      <w:marLeft w:val="0"/>
                      <w:marRight w:val="0"/>
                      <w:marTop w:val="0"/>
                      <w:marBottom w:val="0"/>
                      <w:divBdr>
                        <w:top w:val="none" w:sz="0" w:space="0" w:color="auto"/>
                        <w:left w:val="none" w:sz="0" w:space="0" w:color="auto"/>
                        <w:bottom w:val="none" w:sz="0" w:space="0" w:color="auto"/>
                        <w:right w:val="none" w:sz="0" w:space="0" w:color="auto"/>
                      </w:divBdr>
                    </w:div>
                  </w:divsChild>
                </w:div>
                <w:div w:id="1882133346">
                  <w:marLeft w:val="0"/>
                  <w:marRight w:val="0"/>
                  <w:marTop w:val="0"/>
                  <w:marBottom w:val="0"/>
                  <w:divBdr>
                    <w:top w:val="none" w:sz="0" w:space="0" w:color="auto"/>
                    <w:left w:val="none" w:sz="0" w:space="0" w:color="auto"/>
                    <w:bottom w:val="none" w:sz="0" w:space="0" w:color="auto"/>
                    <w:right w:val="none" w:sz="0" w:space="0" w:color="auto"/>
                  </w:divBdr>
                  <w:divsChild>
                    <w:div w:id="468594601">
                      <w:marLeft w:val="0"/>
                      <w:marRight w:val="0"/>
                      <w:marTop w:val="0"/>
                      <w:marBottom w:val="0"/>
                      <w:divBdr>
                        <w:top w:val="none" w:sz="0" w:space="0" w:color="auto"/>
                        <w:left w:val="none" w:sz="0" w:space="0" w:color="auto"/>
                        <w:bottom w:val="none" w:sz="0" w:space="0" w:color="auto"/>
                        <w:right w:val="none" w:sz="0" w:space="0" w:color="auto"/>
                      </w:divBdr>
                    </w:div>
                  </w:divsChild>
                </w:div>
                <w:div w:id="1884101387">
                  <w:marLeft w:val="0"/>
                  <w:marRight w:val="0"/>
                  <w:marTop w:val="0"/>
                  <w:marBottom w:val="0"/>
                  <w:divBdr>
                    <w:top w:val="none" w:sz="0" w:space="0" w:color="auto"/>
                    <w:left w:val="none" w:sz="0" w:space="0" w:color="auto"/>
                    <w:bottom w:val="none" w:sz="0" w:space="0" w:color="auto"/>
                    <w:right w:val="none" w:sz="0" w:space="0" w:color="auto"/>
                  </w:divBdr>
                  <w:divsChild>
                    <w:div w:id="1781024943">
                      <w:marLeft w:val="0"/>
                      <w:marRight w:val="0"/>
                      <w:marTop w:val="0"/>
                      <w:marBottom w:val="0"/>
                      <w:divBdr>
                        <w:top w:val="none" w:sz="0" w:space="0" w:color="auto"/>
                        <w:left w:val="none" w:sz="0" w:space="0" w:color="auto"/>
                        <w:bottom w:val="none" w:sz="0" w:space="0" w:color="auto"/>
                        <w:right w:val="none" w:sz="0" w:space="0" w:color="auto"/>
                      </w:divBdr>
                    </w:div>
                  </w:divsChild>
                </w:div>
                <w:div w:id="1897274809">
                  <w:marLeft w:val="0"/>
                  <w:marRight w:val="0"/>
                  <w:marTop w:val="0"/>
                  <w:marBottom w:val="0"/>
                  <w:divBdr>
                    <w:top w:val="none" w:sz="0" w:space="0" w:color="auto"/>
                    <w:left w:val="none" w:sz="0" w:space="0" w:color="auto"/>
                    <w:bottom w:val="none" w:sz="0" w:space="0" w:color="auto"/>
                    <w:right w:val="none" w:sz="0" w:space="0" w:color="auto"/>
                  </w:divBdr>
                  <w:divsChild>
                    <w:div w:id="44572937">
                      <w:marLeft w:val="0"/>
                      <w:marRight w:val="0"/>
                      <w:marTop w:val="0"/>
                      <w:marBottom w:val="0"/>
                      <w:divBdr>
                        <w:top w:val="none" w:sz="0" w:space="0" w:color="auto"/>
                        <w:left w:val="none" w:sz="0" w:space="0" w:color="auto"/>
                        <w:bottom w:val="none" w:sz="0" w:space="0" w:color="auto"/>
                        <w:right w:val="none" w:sz="0" w:space="0" w:color="auto"/>
                      </w:divBdr>
                    </w:div>
                  </w:divsChild>
                </w:div>
                <w:div w:id="1900091967">
                  <w:marLeft w:val="0"/>
                  <w:marRight w:val="0"/>
                  <w:marTop w:val="0"/>
                  <w:marBottom w:val="0"/>
                  <w:divBdr>
                    <w:top w:val="none" w:sz="0" w:space="0" w:color="auto"/>
                    <w:left w:val="none" w:sz="0" w:space="0" w:color="auto"/>
                    <w:bottom w:val="none" w:sz="0" w:space="0" w:color="auto"/>
                    <w:right w:val="none" w:sz="0" w:space="0" w:color="auto"/>
                  </w:divBdr>
                  <w:divsChild>
                    <w:div w:id="577521245">
                      <w:marLeft w:val="0"/>
                      <w:marRight w:val="0"/>
                      <w:marTop w:val="0"/>
                      <w:marBottom w:val="0"/>
                      <w:divBdr>
                        <w:top w:val="none" w:sz="0" w:space="0" w:color="auto"/>
                        <w:left w:val="none" w:sz="0" w:space="0" w:color="auto"/>
                        <w:bottom w:val="none" w:sz="0" w:space="0" w:color="auto"/>
                        <w:right w:val="none" w:sz="0" w:space="0" w:color="auto"/>
                      </w:divBdr>
                    </w:div>
                  </w:divsChild>
                </w:div>
                <w:div w:id="1901280360">
                  <w:marLeft w:val="0"/>
                  <w:marRight w:val="0"/>
                  <w:marTop w:val="0"/>
                  <w:marBottom w:val="0"/>
                  <w:divBdr>
                    <w:top w:val="none" w:sz="0" w:space="0" w:color="auto"/>
                    <w:left w:val="none" w:sz="0" w:space="0" w:color="auto"/>
                    <w:bottom w:val="none" w:sz="0" w:space="0" w:color="auto"/>
                    <w:right w:val="none" w:sz="0" w:space="0" w:color="auto"/>
                  </w:divBdr>
                  <w:divsChild>
                    <w:div w:id="164323331">
                      <w:marLeft w:val="0"/>
                      <w:marRight w:val="0"/>
                      <w:marTop w:val="0"/>
                      <w:marBottom w:val="0"/>
                      <w:divBdr>
                        <w:top w:val="none" w:sz="0" w:space="0" w:color="auto"/>
                        <w:left w:val="none" w:sz="0" w:space="0" w:color="auto"/>
                        <w:bottom w:val="none" w:sz="0" w:space="0" w:color="auto"/>
                        <w:right w:val="none" w:sz="0" w:space="0" w:color="auto"/>
                      </w:divBdr>
                    </w:div>
                  </w:divsChild>
                </w:div>
                <w:div w:id="1902515078">
                  <w:marLeft w:val="0"/>
                  <w:marRight w:val="0"/>
                  <w:marTop w:val="0"/>
                  <w:marBottom w:val="0"/>
                  <w:divBdr>
                    <w:top w:val="none" w:sz="0" w:space="0" w:color="auto"/>
                    <w:left w:val="none" w:sz="0" w:space="0" w:color="auto"/>
                    <w:bottom w:val="none" w:sz="0" w:space="0" w:color="auto"/>
                    <w:right w:val="none" w:sz="0" w:space="0" w:color="auto"/>
                  </w:divBdr>
                  <w:divsChild>
                    <w:div w:id="556628923">
                      <w:marLeft w:val="0"/>
                      <w:marRight w:val="0"/>
                      <w:marTop w:val="0"/>
                      <w:marBottom w:val="0"/>
                      <w:divBdr>
                        <w:top w:val="none" w:sz="0" w:space="0" w:color="auto"/>
                        <w:left w:val="none" w:sz="0" w:space="0" w:color="auto"/>
                        <w:bottom w:val="none" w:sz="0" w:space="0" w:color="auto"/>
                        <w:right w:val="none" w:sz="0" w:space="0" w:color="auto"/>
                      </w:divBdr>
                    </w:div>
                  </w:divsChild>
                </w:div>
                <w:div w:id="1905987977">
                  <w:marLeft w:val="0"/>
                  <w:marRight w:val="0"/>
                  <w:marTop w:val="0"/>
                  <w:marBottom w:val="0"/>
                  <w:divBdr>
                    <w:top w:val="none" w:sz="0" w:space="0" w:color="auto"/>
                    <w:left w:val="none" w:sz="0" w:space="0" w:color="auto"/>
                    <w:bottom w:val="none" w:sz="0" w:space="0" w:color="auto"/>
                    <w:right w:val="none" w:sz="0" w:space="0" w:color="auto"/>
                  </w:divBdr>
                  <w:divsChild>
                    <w:div w:id="1857842413">
                      <w:marLeft w:val="0"/>
                      <w:marRight w:val="0"/>
                      <w:marTop w:val="0"/>
                      <w:marBottom w:val="0"/>
                      <w:divBdr>
                        <w:top w:val="none" w:sz="0" w:space="0" w:color="auto"/>
                        <w:left w:val="none" w:sz="0" w:space="0" w:color="auto"/>
                        <w:bottom w:val="none" w:sz="0" w:space="0" w:color="auto"/>
                        <w:right w:val="none" w:sz="0" w:space="0" w:color="auto"/>
                      </w:divBdr>
                    </w:div>
                  </w:divsChild>
                </w:div>
                <w:div w:id="1906257727">
                  <w:marLeft w:val="0"/>
                  <w:marRight w:val="0"/>
                  <w:marTop w:val="0"/>
                  <w:marBottom w:val="0"/>
                  <w:divBdr>
                    <w:top w:val="none" w:sz="0" w:space="0" w:color="auto"/>
                    <w:left w:val="none" w:sz="0" w:space="0" w:color="auto"/>
                    <w:bottom w:val="none" w:sz="0" w:space="0" w:color="auto"/>
                    <w:right w:val="none" w:sz="0" w:space="0" w:color="auto"/>
                  </w:divBdr>
                  <w:divsChild>
                    <w:div w:id="119617486">
                      <w:marLeft w:val="0"/>
                      <w:marRight w:val="0"/>
                      <w:marTop w:val="0"/>
                      <w:marBottom w:val="0"/>
                      <w:divBdr>
                        <w:top w:val="none" w:sz="0" w:space="0" w:color="auto"/>
                        <w:left w:val="none" w:sz="0" w:space="0" w:color="auto"/>
                        <w:bottom w:val="none" w:sz="0" w:space="0" w:color="auto"/>
                        <w:right w:val="none" w:sz="0" w:space="0" w:color="auto"/>
                      </w:divBdr>
                    </w:div>
                  </w:divsChild>
                </w:div>
                <w:div w:id="1934432563">
                  <w:marLeft w:val="0"/>
                  <w:marRight w:val="0"/>
                  <w:marTop w:val="0"/>
                  <w:marBottom w:val="0"/>
                  <w:divBdr>
                    <w:top w:val="none" w:sz="0" w:space="0" w:color="auto"/>
                    <w:left w:val="none" w:sz="0" w:space="0" w:color="auto"/>
                    <w:bottom w:val="none" w:sz="0" w:space="0" w:color="auto"/>
                    <w:right w:val="none" w:sz="0" w:space="0" w:color="auto"/>
                  </w:divBdr>
                  <w:divsChild>
                    <w:div w:id="1596135422">
                      <w:marLeft w:val="0"/>
                      <w:marRight w:val="0"/>
                      <w:marTop w:val="0"/>
                      <w:marBottom w:val="0"/>
                      <w:divBdr>
                        <w:top w:val="none" w:sz="0" w:space="0" w:color="auto"/>
                        <w:left w:val="none" w:sz="0" w:space="0" w:color="auto"/>
                        <w:bottom w:val="none" w:sz="0" w:space="0" w:color="auto"/>
                        <w:right w:val="none" w:sz="0" w:space="0" w:color="auto"/>
                      </w:divBdr>
                    </w:div>
                  </w:divsChild>
                </w:div>
                <w:div w:id="1943757685">
                  <w:marLeft w:val="0"/>
                  <w:marRight w:val="0"/>
                  <w:marTop w:val="0"/>
                  <w:marBottom w:val="0"/>
                  <w:divBdr>
                    <w:top w:val="none" w:sz="0" w:space="0" w:color="auto"/>
                    <w:left w:val="none" w:sz="0" w:space="0" w:color="auto"/>
                    <w:bottom w:val="none" w:sz="0" w:space="0" w:color="auto"/>
                    <w:right w:val="none" w:sz="0" w:space="0" w:color="auto"/>
                  </w:divBdr>
                  <w:divsChild>
                    <w:div w:id="376122748">
                      <w:marLeft w:val="0"/>
                      <w:marRight w:val="0"/>
                      <w:marTop w:val="0"/>
                      <w:marBottom w:val="0"/>
                      <w:divBdr>
                        <w:top w:val="none" w:sz="0" w:space="0" w:color="auto"/>
                        <w:left w:val="none" w:sz="0" w:space="0" w:color="auto"/>
                        <w:bottom w:val="none" w:sz="0" w:space="0" w:color="auto"/>
                        <w:right w:val="none" w:sz="0" w:space="0" w:color="auto"/>
                      </w:divBdr>
                    </w:div>
                  </w:divsChild>
                </w:div>
                <w:div w:id="1954818889">
                  <w:marLeft w:val="0"/>
                  <w:marRight w:val="0"/>
                  <w:marTop w:val="0"/>
                  <w:marBottom w:val="0"/>
                  <w:divBdr>
                    <w:top w:val="none" w:sz="0" w:space="0" w:color="auto"/>
                    <w:left w:val="none" w:sz="0" w:space="0" w:color="auto"/>
                    <w:bottom w:val="none" w:sz="0" w:space="0" w:color="auto"/>
                    <w:right w:val="none" w:sz="0" w:space="0" w:color="auto"/>
                  </w:divBdr>
                  <w:divsChild>
                    <w:div w:id="1746220165">
                      <w:marLeft w:val="0"/>
                      <w:marRight w:val="0"/>
                      <w:marTop w:val="0"/>
                      <w:marBottom w:val="0"/>
                      <w:divBdr>
                        <w:top w:val="none" w:sz="0" w:space="0" w:color="auto"/>
                        <w:left w:val="none" w:sz="0" w:space="0" w:color="auto"/>
                        <w:bottom w:val="none" w:sz="0" w:space="0" w:color="auto"/>
                        <w:right w:val="none" w:sz="0" w:space="0" w:color="auto"/>
                      </w:divBdr>
                    </w:div>
                  </w:divsChild>
                </w:div>
                <w:div w:id="1957133342">
                  <w:marLeft w:val="0"/>
                  <w:marRight w:val="0"/>
                  <w:marTop w:val="0"/>
                  <w:marBottom w:val="0"/>
                  <w:divBdr>
                    <w:top w:val="none" w:sz="0" w:space="0" w:color="auto"/>
                    <w:left w:val="none" w:sz="0" w:space="0" w:color="auto"/>
                    <w:bottom w:val="none" w:sz="0" w:space="0" w:color="auto"/>
                    <w:right w:val="none" w:sz="0" w:space="0" w:color="auto"/>
                  </w:divBdr>
                  <w:divsChild>
                    <w:div w:id="1458912497">
                      <w:marLeft w:val="0"/>
                      <w:marRight w:val="0"/>
                      <w:marTop w:val="0"/>
                      <w:marBottom w:val="0"/>
                      <w:divBdr>
                        <w:top w:val="none" w:sz="0" w:space="0" w:color="auto"/>
                        <w:left w:val="none" w:sz="0" w:space="0" w:color="auto"/>
                        <w:bottom w:val="none" w:sz="0" w:space="0" w:color="auto"/>
                        <w:right w:val="none" w:sz="0" w:space="0" w:color="auto"/>
                      </w:divBdr>
                    </w:div>
                  </w:divsChild>
                </w:div>
                <w:div w:id="1958292142">
                  <w:marLeft w:val="0"/>
                  <w:marRight w:val="0"/>
                  <w:marTop w:val="0"/>
                  <w:marBottom w:val="0"/>
                  <w:divBdr>
                    <w:top w:val="none" w:sz="0" w:space="0" w:color="auto"/>
                    <w:left w:val="none" w:sz="0" w:space="0" w:color="auto"/>
                    <w:bottom w:val="none" w:sz="0" w:space="0" w:color="auto"/>
                    <w:right w:val="none" w:sz="0" w:space="0" w:color="auto"/>
                  </w:divBdr>
                  <w:divsChild>
                    <w:div w:id="149372158">
                      <w:marLeft w:val="0"/>
                      <w:marRight w:val="0"/>
                      <w:marTop w:val="0"/>
                      <w:marBottom w:val="0"/>
                      <w:divBdr>
                        <w:top w:val="none" w:sz="0" w:space="0" w:color="auto"/>
                        <w:left w:val="none" w:sz="0" w:space="0" w:color="auto"/>
                        <w:bottom w:val="none" w:sz="0" w:space="0" w:color="auto"/>
                        <w:right w:val="none" w:sz="0" w:space="0" w:color="auto"/>
                      </w:divBdr>
                    </w:div>
                  </w:divsChild>
                </w:div>
                <w:div w:id="1960647730">
                  <w:marLeft w:val="0"/>
                  <w:marRight w:val="0"/>
                  <w:marTop w:val="0"/>
                  <w:marBottom w:val="0"/>
                  <w:divBdr>
                    <w:top w:val="none" w:sz="0" w:space="0" w:color="auto"/>
                    <w:left w:val="none" w:sz="0" w:space="0" w:color="auto"/>
                    <w:bottom w:val="none" w:sz="0" w:space="0" w:color="auto"/>
                    <w:right w:val="none" w:sz="0" w:space="0" w:color="auto"/>
                  </w:divBdr>
                  <w:divsChild>
                    <w:div w:id="1059862902">
                      <w:marLeft w:val="0"/>
                      <w:marRight w:val="0"/>
                      <w:marTop w:val="0"/>
                      <w:marBottom w:val="0"/>
                      <w:divBdr>
                        <w:top w:val="none" w:sz="0" w:space="0" w:color="auto"/>
                        <w:left w:val="none" w:sz="0" w:space="0" w:color="auto"/>
                        <w:bottom w:val="none" w:sz="0" w:space="0" w:color="auto"/>
                        <w:right w:val="none" w:sz="0" w:space="0" w:color="auto"/>
                      </w:divBdr>
                    </w:div>
                  </w:divsChild>
                </w:div>
                <w:div w:id="1961066274">
                  <w:marLeft w:val="0"/>
                  <w:marRight w:val="0"/>
                  <w:marTop w:val="0"/>
                  <w:marBottom w:val="0"/>
                  <w:divBdr>
                    <w:top w:val="none" w:sz="0" w:space="0" w:color="auto"/>
                    <w:left w:val="none" w:sz="0" w:space="0" w:color="auto"/>
                    <w:bottom w:val="none" w:sz="0" w:space="0" w:color="auto"/>
                    <w:right w:val="none" w:sz="0" w:space="0" w:color="auto"/>
                  </w:divBdr>
                  <w:divsChild>
                    <w:div w:id="1599682370">
                      <w:marLeft w:val="0"/>
                      <w:marRight w:val="0"/>
                      <w:marTop w:val="0"/>
                      <w:marBottom w:val="0"/>
                      <w:divBdr>
                        <w:top w:val="none" w:sz="0" w:space="0" w:color="auto"/>
                        <w:left w:val="none" w:sz="0" w:space="0" w:color="auto"/>
                        <w:bottom w:val="none" w:sz="0" w:space="0" w:color="auto"/>
                        <w:right w:val="none" w:sz="0" w:space="0" w:color="auto"/>
                      </w:divBdr>
                    </w:div>
                  </w:divsChild>
                </w:div>
                <w:div w:id="1964459150">
                  <w:marLeft w:val="0"/>
                  <w:marRight w:val="0"/>
                  <w:marTop w:val="0"/>
                  <w:marBottom w:val="0"/>
                  <w:divBdr>
                    <w:top w:val="none" w:sz="0" w:space="0" w:color="auto"/>
                    <w:left w:val="none" w:sz="0" w:space="0" w:color="auto"/>
                    <w:bottom w:val="none" w:sz="0" w:space="0" w:color="auto"/>
                    <w:right w:val="none" w:sz="0" w:space="0" w:color="auto"/>
                  </w:divBdr>
                  <w:divsChild>
                    <w:div w:id="572354104">
                      <w:marLeft w:val="0"/>
                      <w:marRight w:val="0"/>
                      <w:marTop w:val="0"/>
                      <w:marBottom w:val="0"/>
                      <w:divBdr>
                        <w:top w:val="none" w:sz="0" w:space="0" w:color="auto"/>
                        <w:left w:val="none" w:sz="0" w:space="0" w:color="auto"/>
                        <w:bottom w:val="none" w:sz="0" w:space="0" w:color="auto"/>
                        <w:right w:val="none" w:sz="0" w:space="0" w:color="auto"/>
                      </w:divBdr>
                    </w:div>
                  </w:divsChild>
                </w:div>
                <w:div w:id="1967589622">
                  <w:marLeft w:val="0"/>
                  <w:marRight w:val="0"/>
                  <w:marTop w:val="0"/>
                  <w:marBottom w:val="0"/>
                  <w:divBdr>
                    <w:top w:val="none" w:sz="0" w:space="0" w:color="auto"/>
                    <w:left w:val="none" w:sz="0" w:space="0" w:color="auto"/>
                    <w:bottom w:val="none" w:sz="0" w:space="0" w:color="auto"/>
                    <w:right w:val="none" w:sz="0" w:space="0" w:color="auto"/>
                  </w:divBdr>
                  <w:divsChild>
                    <w:div w:id="1817650041">
                      <w:marLeft w:val="0"/>
                      <w:marRight w:val="0"/>
                      <w:marTop w:val="0"/>
                      <w:marBottom w:val="0"/>
                      <w:divBdr>
                        <w:top w:val="none" w:sz="0" w:space="0" w:color="auto"/>
                        <w:left w:val="none" w:sz="0" w:space="0" w:color="auto"/>
                        <w:bottom w:val="none" w:sz="0" w:space="0" w:color="auto"/>
                        <w:right w:val="none" w:sz="0" w:space="0" w:color="auto"/>
                      </w:divBdr>
                    </w:div>
                  </w:divsChild>
                </w:div>
                <w:div w:id="1969163622">
                  <w:marLeft w:val="0"/>
                  <w:marRight w:val="0"/>
                  <w:marTop w:val="0"/>
                  <w:marBottom w:val="0"/>
                  <w:divBdr>
                    <w:top w:val="none" w:sz="0" w:space="0" w:color="auto"/>
                    <w:left w:val="none" w:sz="0" w:space="0" w:color="auto"/>
                    <w:bottom w:val="none" w:sz="0" w:space="0" w:color="auto"/>
                    <w:right w:val="none" w:sz="0" w:space="0" w:color="auto"/>
                  </w:divBdr>
                  <w:divsChild>
                    <w:div w:id="721294914">
                      <w:marLeft w:val="0"/>
                      <w:marRight w:val="0"/>
                      <w:marTop w:val="0"/>
                      <w:marBottom w:val="0"/>
                      <w:divBdr>
                        <w:top w:val="none" w:sz="0" w:space="0" w:color="auto"/>
                        <w:left w:val="none" w:sz="0" w:space="0" w:color="auto"/>
                        <w:bottom w:val="none" w:sz="0" w:space="0" w:color="auto"/>
                        <w:right w:val="none" w:sz="0" w:space="0" w:color="auto"/>
                      </w:divBdr>
                    </w:div>
                  </w:divsChild>
                </w:div>
                <w:div w:id="1969237042">
                  <w:marLeft w:val="0"/>
                  <w:marRight w:val="0"/>
                  <w:marTop w:val="0"/>
                  <w:marBottom w:val="0"/>
                  <w:divBdr>
                    <w:top w:val="none" w:sz="0" w:space="0" w:color="auto"/>
                    <w:left w:val="none" w:sz="0" w:space="0" w:color="auto"/>
                    <w:bottom w:val="none" w:sz="0" w:space="0" w:color="auto"/>
                    <w:right w:val="none" w:sz="0" w:space="0" w:color="auto"/>
                  </w:divBdr>
                  <w:divsChild>
                    <w:div w:id="1076047651">
                      <w:marLeft w:val="0"/>
                      <w:marRight w:val="0"/>
                      <w:marTop w:val="0"/>
                      <w:marBottom w:val="0"/>
                      <w:divBdr>
                        <w:top w:val="none" w:sz="0" w:space="0" w:color="auto"/>
                        <w:left w:val="none" w:sz="0" w:space="0" w:color="auto"/>
                        <w:bottom w:val="none" w:sz="0" w:space="0" w:color="auto"/>
                        <w:right w:val="none" w:sz="0" w:space="0" w:color="auto"/>
                      </w:divBdr>
                    </w:div>
                  </w:divsChild>
                </w:div>
                <w:div w:id="1993555165">
                  <w:marLeft w:val="0"/>
                  <w:marRight w:val="0"/>
                  <w:marTop w:val="0"/>
                  <w:marBottom w:val="0"/>
                  <w:divBdr>
                    <w:top w:val="none" w:sz="0" w:space="0" w:color="auto"/>
                    <w:left w:val="none" w:sz="0" w:space="0" w:color="auto"/>
                    <w:bottom w:val="none" w:sz="0" w:space="0" w:color="auto"/>
                    <w:right w:val="none" w:sz="0" w:space="0" w:color="auto"/>
                  </w:divBdr>
                  <w:divsChild>
                    <w:div w:id="690496271">
                      <w:marLeft w:val="0"/>
                      <w:marRight w:val="0"/>
                      <w:marTop w:val="0"/>
                      <w:marBottom w:val="0"/>
                      <w:divBdr>
                        <w:top w:val="none" w:sz="0" w:space="0" w:color="auto"/>
                        <w:left w:val="none" w:sz="0" w:space="0" w:color="auto"/>
                        <w:bottom w:val="none" w:sz="0" w:space="0" w:color="auto"/>
                        <w:right w:val="none" w:sz="0" w:space="0" w:color="auto"/>
                      </w:divBdr>
                    </w:div>
                  </w:divsChild>
                </w:div>
                <w:div w:id="2016229475">
                  <w:marLeft w:val="0"/>
                  <w:marRight w:val="0"/>
                  <w:marTop w:val="0"/>
                  <w:marBottom w:val="0"/>
                  <w:divBdr>
                    <w:top w:val="none" w:sz="0" w:space="0" w:color="auto"/>
                    <w:left w:val="none" w:sz="0" w:space="0" w:color="auto"/>
                    <w:bottom w:val="none" w:sz="0" w:space="0" w:color="auto"/>
                    <w:right w:val="none" w:sz="0" w:space="0" w:color="auto"/>
                  </w:divBdr>
                  <w:divsChild>
                    <w:div w:id="1547595807">
                      <w:marLeft w:val="0"/>
                      <w:marRight w:val="0"/>
                      <w:marTop w:val="0"/>
                      <w:marBottom w:val="0"/>
                      <w:divBdr>
                        <w:top w:val="none" w:sz="0" w:space="0" w:color="auto"/>
                        <w:left w:val="none" w:sz="0" w:space="0" w:color="auto"/>
                        <w:bottom w:val="none" w:sz="0" w:space="0" w:color="auto"/>
                        <w:right w:val="none" w:sz="0" w:space="0" w:color="auto"/>
                      </w:divBdr>
                    </w:div>
                  </w:divsChild>
                </w:div>
                <w:div w:id="2033526457">
                  <w:marLeft w:val="0"/>
                  <w:marRight w:val="0"/>
                  <w:marTop w:val="0"/>
                  <w:marBottom w:val="0"/>
                  <w:divBdr>
                    <w:top w:val="none" w:sz="0" w:space="0" w:color="auto"/>
                    <w:left w:val="none" w:sz="0" w:space="0" w:color="auto"/>
                    <w:bottom w:val="none" w:sz="0" w:space="0" w:color="auto"/>
                    <w:right w:val="none" w:sz="0" w:space="0" w:color="auto"/>
                  </w:divBdr>
                  <w:divsChild>
                    <w:div w:id="1250580462">
                      <w:marLeft w:val="0"/>
                      <w:marRight w:val="0"/>
                      <w:marTop w:val="0"/>
                      <w:marBottom w:val="0"/>
                      <w:divBdr>
                        <w:top w:val="none" w:sz="0" w:space="0" w:color="auto"/>
                        <w:left w:val="none" w:sz="0" w:space="0" w:color="auto"/>
                        <w:bottom w:val="none" w:sz="0" w:space="0" w:color="auto"/>
                        <w:right w:val="none" w:sz="0" w:space="0" w:color="auto"/>
                      </w:divBdr>
                    </w:div>
                  </w:divsChild>
                </w:div>
                <w:div w:id="2042896186">
                  <w:marLeft w:val="0"/>
                  <w:marRight w:val="0"/>
                  <w:marTop w:val="0"/>
                  <w:marBottom w:val="0"/>
                  <w:divBdr>
                    <w:top w:val="none" w:sz="0" w:space="0" w:color="auto"/>
                    <w:left w:val="none" w:sz="0" w:space="0" w:color="auto"/>
                    <w:bottom w:val="none" w:sz="0" w:space="0" w:color="auto"/>
                    <w:right w:val="none" w:sz="0" w:space="0" w:color="auto"/>
                  </w:divBdr>
                  <w:divsChild>
                    <w:div w:id="795485223">
                      <w:marLeft w:val="0"/>
                      <w:marRight w:val="0"/>
                      <w:marTop w:val="0"/>
                      <w:marBottom w:val="0"/>
                      <w:divBdr>
                        <w:top w:val="none" w:sz="0" w:space="0" w:color="auto"/>
                        <w:left w:val="none" w:sz="0" w:space="0" w:color="auto"/>
                        <w:bottom w:val="none" w:sz="0" w:space="0" w:color="auto"/>
                        <w:right w:val="none" w:sz="0" w:space="0" w:color="auto"/>
                      </w:divBdr>
                    </w:div>
                  </w:divsChild>
                </w:div>
                <w:div w:id="2056850514">
                  <w:marLeft w:val="0"/>
                  <w:marRight w:val="0"/>
                  <w:marTop w:val="0"/>
                  <w:marBottom w:val="0"/>
                  <w:divBdr>
                    <w:top w:val="none" w:sz="0" w:space="0" w:color="auto"/>
                    <w:left w:val="none" w:sz="0" w:space="0" w:color="auto"/>
                    <w:bottom w:val="none" w:sz="0" w:space="0" w:color="auto"/>
                    <w:right w:val="none" w:sz="0" w:space="0" w:color="auto"/>
                  </w:divBdr>
                  <w:divsChild>
                    <w:div w:id="454911830">
                      <w:marLeft w:val="0"/>
                      <w:marRight w:val="0"/>
                      <w:marTop w:val="0"/>
                      <w:marBottom w:val="0"/>
                      <w:divBdr>
                        <w:top w:val="none" w:sz="0" w:space="0" w:color="auto"/>
                        <w:left w:val="none" w:sz="0" w:space="0" w:color="auto"/>
                        <w:bottom w:val="none" w:sz="0" w:space="0" w:color="auto"/>
                        <w:right w:val="none" w:sz="0" w:space="0" w:color="auto"/>
                      </w:divBdr>
                    </w:div>
                  </w:divsChild>
                </w:div>
                <w:div w:id="2062825406">
                  <w:marLeft w:val="0"/>
                  <w:marRight w:val="0"/>
                  <w:marTop w:val="0"/>
                  <w:marBottom w:val="0"/>
                  <w:divBdr>
                    <w:top w:val="none" w:sz="0" w:space="0" w:color="auto"/>
                    <w:left w:val="none" w:sz="0" w:space="0" w:color="auto"/>
                    <w:bottom w:val="none" w:sz="0" w:space="0" w:color="auto"/>
                    <w:right w:val="none" w:sz="0" w:space="0" w:color="auto"/>
                  </w:divBdr>
                  <w:divsChild>
                    <w:div w:id="1482237884">
                      <w:marLeft w:val="0"/>
                      <w:marRight w:val="0"/>
                      <w:marTop w:val="0"/>
                      <w:marBottom w:val="0"/>
                      <w:divBdr>
                        <w:top w:val="none" w:sz="0" w:space="0" w:color="auto"/>
                        <w:left w:val="none" w:sz="0" w:space="0" w:color="auto"/>
                        <w:bottom w:val="none" w:sz="0" w:space="0" w:color="auto"/>
                        <w:right w:val="none" w:sz="0" w:space="0" w:color="auto"/>
                      </w:divBdr>
                    </w:div>
                  </w:divsChild>
                </w:div>
                <w:div w:id="2067026443">
                  <w:marLeft w:val="0"/>
                  <w:marRight w:val="0"/>
                  <w:marTop w:val="0"/>
                  <w:marBottom w:val="0"/>
                  <w:divBdr>
                    <w:top w:val="none" w:sz="0" w:space="0" w:color="auto"/>
                    <w:left w:val="none" w:sz="0" w:space="0" w:color="auto"/>
                    <w:bottom w:val="none" w:sz="0" w:space="0" w:color="auto"/>
                    <w:right w:val="none" w:sz="0" w:space="0" w:color="auto"/>
                  </w:divBdr>
                  <w:divsChild>
                    <w:div w:id="1791510786">
                      <w:marLeft w:val="0"/>
                      <w:marRight w:val="0"/>
                      <w:marTop w:val="0"/>
                      <w:marBottom w:val="0"/>
                      <w:divBdr>
                        <w:top w:val="none" w:sz="0" w:space="0" w:color="auto"/>
                        <w:left w:val="none" w:sz="0" w:space="0" w:color="auto"/>
                        <w:bottom w:val="none" w:sz="0" w:space="0" w:color="auto"/>
                        <w:right w:val="none" w:sz="0" w:space="0" w:color="auto"/>
                      </w:divBdr>
                    </w:div>
                  </w:divsChild>
                </w:div>
                <w:div w:id="2073310977">
                  <w:marLeft w:val="0"/>
                  <w:marRight w:val="0"/>
                  <w:marTop w:val="0"/>
                  <w:marBottom w:val="0"/>
                  <w:divBdr>
                    <w:top w:val="none" w:sz="0" w:space="0" w:color="auto"/>
                    <w:left w:val="none" w:sz="0" w:space="0" w:color="auto"/>
                    <w:bottom w:val="none" w:sz="0" w:space="0" w:color="auto"/>
                    <w:right w:val="none" w:sz="0" w:space="0" w:color="auto"/>
                  </w:divBdr>
                  <w:divsChild>
                    <w:div w:id="1054087073">
                      <w:marLeft w:val="0"/>
                      <w:marRight w:val="0"/>
                      <w:marTop w:val="0"/>
                      <w:marBottom w:val="0"/>
                      <w:divBdr>
                        <w:top w:val="none" w:sz="0" w:space="0" w:color="auto"/>
                        <w:left w:val="none" w:sz="0" w:space="0" w:color="auto"/>
                        <w:bottom w:val="none" w:sz="0" w:space="0" w:color="auto"/>
                        <w:right w:val="none" w:sz="0" w:space="0" w:color="auto"/>
                      </w:divBdr>
                    </w:div>
                  </w:divsChild>
                </w:div>
                <w:div w:id="2074504176">
                  <w:marLeft w:val="0"/>
                  <w:marRight w:val="0"/>
                  <w:marTop w:val="0"/>
                  <w:marBottom w:val="0"/>
                  <w:divBdr>
                    <w:top w:val="none" w:sz="0" w:space="0" w:color="auto"/>
                    <w:left w:val="none" w:sz="0" w:space="0" w:color="auto"/>
                    <w:bottom w:val="none" w:sz="0" w:space="0" w:color="auto"/>
                    <w:right w:val="none" w:sz="0" w:space="0" w:color="auto"/>
                  </w:divBdr>
                  <w:divsChild>
                    <w:div w:id="388111115">
                      <w:marLeft w:val="0"/>
                      <w:marRight w:val="0"/>
                      <w:marTop w:val="0"/>
                      <w:marBottom w:val="0"/>
                      <w:divBdr>
                        <w:top w:val="none" w:sz="0" w:space="0" w:color="auto"/>
                        <w:left w:val="none" w:sz="0" w:space="0" w:color="auto"/>
                        <w:bottom w:val="none" w:sz="0" w:space="0" w:color="auto"/>
                        <w:right w:val="none" w:sz="0" w:space="0" w:color="auto"/>
                      </w:divBdr>
                    </w:div>
                  </w:divsChild>
                </w:div>
                <w:div w:id="2084333211">
                  <w:marLeft w:val="0"/>
                  <w:marRight w:val="0"/>
                  <w:marTop w:val="0"/>
                  <w:marBottom w:val="0"/>
                  <w:divBdr>
                    <w:top w:val="none" w:sz="0" w:space="0" w:color="auto"/>
                    <w:left w:val="none" w:sz="0" w:space="0" w:color="auto"/>
                    <w:bottom w:val="none" w:sz="0" w:space="0" w:color="auto"/>
                    <w:right w:val="none" w:sz="0" w:space="0" w:color="auto"/>
                  </w:divBdr>
                  <w:divsChild>
                    <w:div w:id="593559648">
                      <w:marLeft w:val="0"/>
                      <w:marRight w:val="0"/>
                      <w:marTop w:val="0"/>
                      <w:marBottom w:val="0"/>
                      <w:divBdr>
                        <w:top w:val="none" w:sz="0" w:space="0" w:color="auto"/>
                        <w:left w:val="none" w:sz="0" w:space="0" w:color="auto"/>
                        <w:bottom w:val="none" w:sz="0" w:space="0" w:color="auto"/>
                        <w:right w:val="none" w:sz="0" w:space="0" w:color="auto"/>
                      </w:divBdr>
                    </w:div>
                  </w:divsChild>
                </w:div>
                <w:div w:id="2085561166">
                  <w:marLeft w:val="0"/>
                  <w:marRight w:val="0"/>
                  <w:marTop w:val="0"/>
                  <w:marBottom w:val="0"/>
                  <w:divBdr>
                    <w:top w:val="none" w:sz="0" w:space="0" w:color="auto"/>
                    <w:left w:val="none" w:sz="0" w:space="0" w:color="auto"/>
                    <w:bottom w:val="none" w:sz="0" w:space="0" w:color="auto"/>
                    <w:right w:val="none" w:sz="0" w:space="0" w:color="auto"/>
                  </w:divBdr>
                  <w:divsChild>
                    <w:div w:id="2143307364">
                      <w:marLeft w:val="0"/>
                      <w:marRight w:val="0"/>
                      <w:marTop w:val="0"/>
                      <w:marBottom w:val="0"/>
                      <w:divBdr>
                        <w:top w:val="none" w:sz="0" w:space="0" w:color="auto"/>
                        <w:left w:val="none" w:sz="0" w:space="0" w:color="auto"/>
                        <w:bottom w:val="none" w:sz="0" w:space="0" w:color="auto"/>
                        <w:right w:val="none" w:sz="0" w:space="0" w:color="auto"/>
                      </w:divBdr>
                    </w:div>
                  </w:divsChild>
                </w:div>
                <w:div w:id="2102097909">
                  <w:marLeft w:val="0"/>
                  <w:marRight w:val="0"/>
                  <w:marTop w:val="0"/>
                  <w:marBottom w:val="0"/>
                  <w:divBdr>
                    <w:top w:val="none" w:sz="0" w:space="0" w:color="auto"/>
                    <w:left w:val="none" w:sz="0" w:space="0" w:color="auto"/>
                    <w:bottom w:val="none" w:sz="0" w:space="0" w:color="auto"/>
                    <w:right w:val="none" w:sz="0" w:space="0" w:color="auto"/>
                  </w:divBdr>
                  <w:divsChild>
                    <w:div w:id="1499536689">
                      <w:marLeft w:val="0"/>
                      <w:marRight w:val="0"/>
                      <w:marTop w:val="0"/>
                      <w:marBottom w:val="0"/>
                      <w:divBdr>
                        <w:top w:val="none" w:sz="0" w:space="0" w:color="auto"/>
                        <w:left w:val="none" w:sz="0" w:space="0" w:color="auto"/>
                        <w:bottom w:val="none" w:sz="0" w:space="0" w:color="auto"/>
                        <w:right w:val="none" w:sz="0" w:space="0" w:color="auto"/>
                      </w:divBdr>
                    </w:div>
                  </w:divsChild>
                </w:div>
                <w:div w:id="2102944752">
                  <w:marLeft w:val="0"/>
                  <w:marRight w:val="0"/>
                  <w:marTop w:val="0"/>
                  <w:marBottom w:val="0"/>
                  <w:divBdr>
                    <w:top w:val="none" w:sz="0" w:space="0" w:color="auto"/>
                    <w:left w:val="none" w:sz="0" w:space="0" w:color="auto"/>
                    <w:bottom w:val="none" w:sz="0" w:space="0" w:color="auto"/>
                    <w:right w:val="none" w:sz="0" w:space="0" w:color="auto"/>
                  </w:divBdr>
                  <w:divsChild>
                    <w:div w:id="1456682731">
                      <w:marLeft w:val="0"/>
                      <w:marRight w:val="0"/>
                      <w:marTop w:val="0"/>
                      <w:marBottom w:val="0"/>
                      <w:divBdr>
                        <w:top w:val="none" w:sz="0" w:space="0" w:color="auto"/>
                        <w:left w:val="none" w:sz="0" w:space="0" w:color="auto"/>
                        <w:bottom w:val="none" w:sz="0" w:space="0" w:color="auto"/>
                        <w:right w:val="none" w:sz="0" w:space="0" w:color="auto"/>
                      </w:divBdr>
                    </w:div>
                  </w:divsChild>
                </w:div>
                <w:div w:id="2108191709">
                  <w:marLeft w:val="0"/>
                  <w:marRight w:val="0"/>
                  <w:marTop w:val="0"/>
                  <w:marBottom w:val="0"/>
                  <w:divBdr>
                    <w:top w:val="none" w:sz="0" w:space="0" w:color="auto"/>
                    <w:left w:val="none" w:sz="0" w:space="0" w:color="auto"/>
                    <w:bottom w:val="none" w:sz="0" w:space="0" w:color="auto"/>
                    <w:right w:val="none" w:sz="0" w:space="0" w:color="auto"/>
                  </w:divBdr>
                  <w:divsChild>
                    <w:div w:id="1563757262">
                      <w:marLeft w:val="0"/>
                      <w:marRight w:val="0"/>
                      <w:marTop w:val="0"/>
                      <w:marBottom w:val="0"/>
                      <w:divBdr>
                        <w:top w:val="none" w:sz="0" w:space="0" w:color="auto"/>
                        <w:left w:val="none" w:sz="0" w:space="0" w:color="auto"/>
                        <w:bottom w:val="none" w:sz="0" w:space="0" w:color="auto"/>
                        <w:right w:val="none" w:sz="0" w:space="0" w:color="auto"/>
                      </w:divBdr>
                    </w:div>
                  </w:divsChild>
                </w:div>
                <w:div w:id="2111318312">
                  <w:marLeft w:val="0"/>
                  <w:marRight w:val="0"/>
                  <w:marTop w:val="0"/>
                  <w:marBottom w:val="0"/>
                  <w:divBdr>
                    <w:top w:val="none" w:sz="0" w:space="0" w:color="auto"/>
                    <w:left w:val="none" w:sz="0" w:space="0" w:color="auto"/>
                    <w:bottom w:val="none" w:sz="0" w:space="0" w:color="auto"/>
                    <w:right w:val="none" w:sz="0" w:space="0" w:color="auto"/>
                  </w:divBdr>
                  <w:divsChild>
                    <w:div w:id="1728872350">
                      <w:marLeft w:val="0"/>
                      <w:marRight w:val="0"/>
                      <w:marTop w:val="0"/>
                      <w:marBottom w:val="0"/>
                      <w:divBdr>
                        <w:top w:val="none" w:sz="0" w:space="0" w:color="auto"/>
                        <w:left w:val="none" w:sz="0" w:space="0" w:color="auto"/>
                        <w:bottom w:val="none" w:sz="0" w:space="0" w:color="auto"/>
                        <w:right w:val="none" w:sz="0" w:space="0" w:color="auto"/>
                      </w:divBdr>
                    </w:div>
                  </w:divsChild>
                </w:div>
                <w:div w:id="2119715013">
                  <w:marLeft w:val="0"/>
                  <w:marRight w:val="0"/>
                  <w:marTop w:val="0"/>
                  <w:marBottom w:val="0"/>
                  <w:divBdr>
                    <w:top w:val="none" w:sz="0" w:space="0" w:color="auto"/>
                    <w:left w:val="none" w:sz="0" w:space="0" w:color="auto"/>
                    <w:bottom w:val="none" w:sz="0" w:space="0" w:color="auto"/>
                    <w:right w:val="none" w:sz="0" w:space="0" w:color="auto"/>
                  </w:divBdr>
                  <w:divsChild>
                    <w:div w:id="785855074">
                      <w:marLeft w:val="0"/>
                      <w:marRight w:val="0"/>
                      <w:marTop w:val="0"/>
                      <w:marBottom w:val="0"/>
                      <w:divBdr>
                        <w:top w:val="none" w:sz="0" w:space="0" w:color="auto"/>
                        <w:left w:val="none" w:sz="0" w:space="0" w:color="auto"/>
                        <w:bottom w:val="none" w:sz="0" w:space="0" w:color="auto"/>
                        <w:right w:val="none" w:sz="0" w:space="0" w:color="auto"/>
                      </w:divBdr>
                    </w:div>
                  </w:divsChild>
                </w:div>
                <w:div w:id="2121027458">
                  <w:marLeft w:val="0"/>
                  <w:marRight w:val="0"/>
                  <w:marTop w:val="0"/>
                  <w:marBottom w:val="0"/>
                  <w:divBdr>
                    <w:top w:val="none" w:sz="0" w:space="0" w:color="auto"/>
                    <w:left w:val="none" w:sz="0" w:space="0" w:color="auto"/>
                    <w:bottom w:val="none" w:sz="0" w:space="0" w:color="auto"/>
                    <w:right w:val="none" w:sz="0" w:space="0" w:color="auto"/>
                  </w:divBdr>
                  <w:divsChild>
                    <w:div w:id="677394165">
                      <w:marLeft w:val="0"/>
                      <w:marRight w:val="0"/>
                      <w:marTop w:val="0"/>
                      <w:marBottom w:val="0"/>
                      <w:divBdr>
                        <w:top w:val="none" w:sz="0" w:space="0" w:color="auto"/>
                        <w:left w:val="none" w:sz="0" w:space="0" w:color="auto"/>
                        <w:bottom w:val="none" w:sz="0" w:space="0" w:color="auto"/>
                        <w:right w:val="none" w:sz="0" w:space="0" w:color="auto"/>
                      </w:divBdr>
                    </w:div>
                  </w:divsChild>
                </w:div>
                <w:div w:id="2123575946">
                  <w:marLeft w:val="0"/>
                  <w:marRight w:val="0"/>
                  <w:marTop w:val="0"/>
                  <w:marBottom w:val="0"/>
                  <w:divBdr>
                    <w:top w:val="none" w:sz="0" w:space="0" w:color="auto"/>
                    <w:left w:val="none" w:sz="0" w:space="0" w:color="auto"/>
                    <w:bottom w:val="none" w:sz="0" w:space="0" w:color="auto"/>
                    <w:right w:val="none" w:sz="0" w:space="0" w:color="auto"/>
                  </w:divBdr>
                  <w:divsChild>
                    <w:div w:id="670259443">
                      <w:marLeft w:val="0"/>
                      <w:marRight w:val="0"/>
                      <w:marTop w:val="0"/>
                      <w:marBottom w:val="0"/>
                      <w:divBdr>
                        <w:top w:val="none" w:sz="0" w:space="0" w:color="auto"/>
                        <w:left w:val="none" w:sz="0" w:space="0" w:color="auto"/>
                        <w:bottom w:val="none" w:sz="0" w:space="0" w:color="auto"/>
                        <w:right w:val="none" w:sz="0" w:space="0" w:color="auto"/>
                      </w:divBdr>
                    </w:div>
                  </w:divsChild>
                </w:div>
                <w:div w:id="2125151987">
                  <w:marLeft w:val="0"/>
                  <w:marRight w:val="0"/>
                  <w:marTop w:val="0"/>
                  <w:marBottom w:val="0"/>
                  <w:divBdr>
                    <w:top w:val="none" w:sz="0" w:space="0" w:color="auto"/>
                    <w:left w:val="none" w:sz="0" w:space="0" w:color="auto"/>
                    <w:bottom w:val="none" w:sz="0" w:space="0" w:color="auto"/>
                    <w:right w:val="none" w:sz="0" w:space="0" w:color="auto"/>
                  </w:divBdr>
                  <w:divsChild>
                    <w:div w:id="194660824">
                      <w:marLeft w:val="0"/>
                      <w:marRight w:val="0"/>
                      <w:marTop w:val="0"/>
                      <w:marBottom w:val="0"/>
                      <w:divBdr>
                        <w:top w:val="none" w:sz="0" w:space="0" w:color="auto"/>
                        <w:left w:val="none" w:sz="0" w:space="0" w:color="auto"/>
                        <w:bottom w:val="none" w:sz="0" w:space="0" w:color="auto"/>
                        <w:right w:val="none" w:sz="0" w:space="0" w:color="auto"/>
                      </w:divBdr>
                    </w:div>
                  </w:divsChild>
                </w:div>
                <w:div w:id="2145347389">
                  <w:marLeft w:val="0"/>
                  <w:marRight w:val="0"/>
                  <w:marTop w:val="0"/>
                  <w:marBottom w:val="0"/>
                  <w:divBdr>
                    <w:top w:val="none" w:sz="0" w:space="0" w:color="auto"/>
                    <w:left w:val="none" w:sz="0" w:space="0" w:color="auto"/>
                    <w:bottom w:val="none" w:sz="0" w:space="0" w:color="auto"/>
                    <w:right w:val="none" w:sz="0" w:space="0" w:color="auto"/>
                  </w:divBdr>
                  <w:divsChild>
                    <w:div w:id="212012513">
                      <w:marLeft w:val="0"/>
                      <w:marRight w:val="0"/>
                      <w:marTop w:val="0"/>
                      <w:marBottom w:val="0"/>
                      <w:divBdr>
                        <w:top w:val="none" w:sz="0" w:space="0" w:color="auto"/>
                        <w:left w:val="none" w:sz="0" w:space="0" w:color="auto"/>
                        <w:bottom w:val="none" w:sz="0" w:space="0" w:color="auto"/>
                        <w:right w:val="none" w:sz="0" w:space="0" w:color="auto"/>
                      </w:divBdr>
                    </w:div>
                  </w:divsChild>
                </w:div>
                <w:div w:id="2145416756">
                  <w:marLeft w:val="0"/>
                  <w:marRight w:val="0"/>
                  <w:marTop w:val="0"/>
                  <w:marBottom w:val="0"/>
                  <w:divBdr>
                    <w:top w:val="none" w:sz="0" w:space="0" w:color="auto"/>
                    <w:left w:val="none" w:sz="0" w:space="0" w:color="auto"/>
                    <w:bottom w:val="none" w:sz="0" w:space="0" w:color="auto"/>
                    <w:right w:val="none" w:sz="0" w:space="0" w:color="auto"/>
                  </w:divBdr>
                  <w:divsChild>
                    <w:div w:id="16320471">
                      <w:marLeft w:val="0"/>
                      <w:marRight w:val="0"/>
                      <w:marTop w:val="0"/>
                      <w:marBottom w:val="0"/>
                      <w:divBdr>
                        <w:top w:val="none" w:sz="0" w:space="0" w:color="auto"/>
                        <w:left w:val="none" w:sz="0" w:space="0" w:color="auto"/>
                        <w:bottom w:val="none" w:sz="0" w:space="0" w:color="auto"/>
                        <w:right w:val="none" w:sz="0" w:space="0" w:color="auto"/>
                      </w:divBdr>
                    </w:div>
                    <w:div w:id="22292922">
                      <w:marLeft w:val="0"/>
                      <w:marRight w:val="0"/>
                      <w:marTop w:val="0"/>
                      <w:marBottom w:val="0"/>
                      <w:divBdr>
                        <w:top w:val="none" w:sz="0" w:space="0" w:color="auto"/>
                        <w:left w:val="none" w:sz="0" w:space="0" w:color="auto"/>
                        <w:bottom w:val="none" w:sz="0" w:space="0" w:color="auto"/>
                        <w:right w:val="none" w:sz="0" w:space="0" w:color="auto"/>
                      </w:divBdr>
                    </w:div>
                    <w:div w:id="171529564">
                      <w:marLeft w:val="0"/>
                      <w:marRight w:val="0"/>
                      <w:marTop w:val="0"/>
                      <w:marBottom w:val="0"/>
                      <w:divBdr>
                        <w:top w:val="none" w:sz="0" w:space="0" w:color="auto"/>
                        <w:left w:val="none" w:sz="0" w:space="0" w:color="auto"/>
                        <w:bottom w:val="none" w:sz="0" w:space="0" w:color="auto"/>
                        <w:right w:val="none" w:sz="0" w:space="0" w:color="auto"/>
                      </w:divBdr>
                    </w:div>
                    <w:div w:id="187571786">
                      <w:marLeft w:val="0"/>
                      <w:marRight w:val="0"/>
                      <w:marTop w:val="0"/>
                      <w:marBottom w:val="0"/>
                      <w:divBdr>
                        <w:top w:val="none" w:sz="0" w:space="0" w:color="auto"/>
                        <w:left w:val="none" w:sz="0" w:space="0" w:color="auto"/>
                        <w:bottom w:val="none" w:sz="0" w:space="0" w:color="auto"/>
                        <w:right w:val="none" w:sz="0" w:space="0" w:color="auto"/>
                      </w:divBdr>
                    </w:div>
                    <w:div w:id="315497856">
                      <w:marLeft w:val="0"/>
                      <w:marRight w:val="0"/>
                      <w:marTop w:val="0"/>
                      <w:marBottom w:val="0"/>
                      <w:divBdr>
                        <w:top w:val="none" w:sz="0" w:space="0" w:color="auto"/>
                        <w:left w:val="none" w:sz="0" w:space="0" w:color="auto"/>
                        <w:bottom w:val="none" w:sz="0" w:space="0" w:color="auto"/>
                        <w:right w:val="none" w:sz="0" w:space="0" w:color="auto"/>
                      </w:divBdr>
                    </w:div>
                    <w:div w:id="562183754">
                      <w:marLeft w:val="0"/>
                      <w:marRight w:val="0"/>
                      <w:marTop w:val="0"/>
                      <w:marBottom w:val="0"/>
                      <w:divBdr>
                        <w:top w:val="none" w:sz="0" w:space="0" w:color="auto"/>
                        <w:left w:val="none" w:sz="0" w:space="0" w:color="auto"/>
                        <w:bottom w:val="none" w:sz="0" w:space="0" w:color="auto"/>
                        <w:right w:val="none" w:sz="0" w:space="0" w:color="auto"/>
                      </w:divBdr>
                    </w:div>
                    <w:div w:id="573781439">
                      <w:marLeft w:val="0"/>
                      <w:marRight w:val="0"/>
                      <w:marTop w:val="0"/>
                      <w:marBottom w:val="0"/>
                      <w:divBdr>
                        <w:top w:val="none" w:sz="0" w:space="0" w:color="auto"/>
                        <w:left w:val="none" w:sz="0" w:space="0" w:color="auto"/>
                        <w:bottom w:val="none" w:sz="0" w:space="0" w:color="auto"/>
                        <w:right w:val="none" w:sz="0" w:space="0" w:color="auto"/>
                      </w:divBdr>
                    </w:div>
                    <w:div w:id="933710280">
                      <w:marLeft w:val="0"/>
                      <w:marRight w:val="0"/>
                      <w:marTop w:val="0"/>
                      <w:marBottom w:val="0"/>
                      <w:divBdr>
                        <w:top w:val="none" w:sz="0" w:space="0" w:color="auto"/>
                        <w:left w:val="none" w:sz="0" w:space="0" w:color="auto"/>
                        <w:bottom w:val="none" w:sz="0" w:space="0" w:color="auto"/>
                        <w:right w:val="none" w:sz="0" w:space="0" w:color="auto"/>
                      </w:divBdr>
                    </w:div>
                    <w:div w:id="1022584869">
                      <w:marLeft w:val="0"/>
                      <w:marRight w:val="0"/>
                      <w:marTop w:val="0"/>
                      <w:marBottom w:val="0"/>
                      <w:divBdr>
                        <w:top w:val="none" w:sz="0" w:space="0" w:color="auto"/>
                        <w:left w:val="none" w:sz="0" w:space="0" w:color="auto"/>
                        <w:bottom w:val="none" w:sz="0" w:space="0" w:color="auto"/>
                        <w:right w:val="none" w:sz="0" w:space="0" w:color="auto"/>
                      </w:divBdr>
                    </w:div>
                    <w:div w:id="1105464335">
                      <w:marLeft w:val="0"/>
                      <w:marRight w:val="0"/>
                      <w:marTop w:val="0"/>
                      <w:marBottom w:val="0"/>
                      <w:divBdr>
                        <w:top w:val="none" w:sz="0" w:space="0" w:color="auto"/>
                        <w:left w:val="none" w:sz="0" w:space="0" w:color="auto"/>
                        <w:bottom w:val="none" w:sz="0" w:space="0" w:color="auto"/>
                        <w:right w:val="none" w:sz="0" w:space="0" w:color="auto"/>
                      </w:divBdr>
                    </w:div>
                    <w:div w:id="1155143191">
                      <w:marLeft w:val="0"/>
                      <w:marRight w:val="0"/>
                      <w:marTop w:val="0"/>
                      <w:marBottom w:val="0"/>
                      <w:divBdr>
                        <w:top w:val="none" w:sz="0" w:space="0" w:color="auto"/>
                        <w:left w:val="none" w:sz="0" w:space="0" w:color="auto"/>
                        <w:bottom w:val="none" w:sz="0" w:space="0" w:color="auto"/>
                        <w:right w:val="none" w:sz="0" w:space="0" w:color="auto"/>
                      </w:divBdr>
                    </w:div>
                    <w:div w:id="1213810439">
                      <w:marLeft w:val="0"/>
                      <w:marRight w:val="0"/>
                      <w:marTop w:val="0"/>
                      <w:marBottom w:val="0"/>
                      <w:divBdr>
                        <w:top w:val="none" w:sz="0" w:space="0" w:color="auto"/>
                        <w:left w:val="none" w:sz="0" w:space="0" w:color="auto"/>
                        <w:bottom w:val="none" w:sz="0" w:space="0" w:color="auto"/>
                        <w:right w:val="none" w:sz="0" w:space="0" w:color="auto"/>
                      </w:divBdr>
                    </w:div>
                    <w:div w:id="1344437442">
                      <w:marLeft w:val="0"/>
                      <w:marRight w:val="0"/>
                      <w:marTop w:val="0"/>
                      <w:marBottom w:val="0"/>
                      <w:divBdr>
                        <w:top w:val="none" w:sz="0" w:space="0" w:color="auto"/>
                        <w:left w:val="none" w:sz="0" w:space="0" w:color="auto"/>
                        <w:bottom w:val="none" w:sz="0" w:space="0" w:color="auto"/>
                        <w:right w:val="none" w:sz="0" w:space="0" w:color="auto"/>
                      </w:divBdr>
                    </w:div>
                    <w:div w:id="1398480909">
                      <w:marLeft w:val="0"/>
                      <w:marRight w:val="0"/>
                      <w:marTop w:val="0"/>
                      <w:marBottom w:val="0"/>
                      <w:divBdr>
                        <w:top w:val="none" w:sz="0" w:space="0" w:color="auto"/>
                        <w:left w:val="none" w:sz="0" w:space="0" w:color="auto"/>
                        <w:bottom w:val="none" w:sz="0" w:space="0" w:color="auto"/>
                        <w:right w:val="none" w:sz="0" w:space="0" w:color="auto"/>
                      </w:divBdr>
                    </w:div>
                    <w:div w:id="1522933676">
                      <w:marLeft w:val="0"/>
                      <w:marRight w:val="0"/>
                      <w:marTop w:val="0"/>
                      <w:marBottom w:val="0"/>
                      <w:divBdr>
                        <w:top w:val="none" w:sz="0" w:space="0" w:color="auto"/>
                        <w:left w:val="none" w:sz="0" w:space="0" w:color="auto"/>
                        <w:bottom w:val="none" w:sz="0" w:space="0" w:color="auto"/>
                        <w:right w:val="none" w:sz="0" w:space="0" w:color="auto"/>
                      </w:divBdr>
                    </w:div>
                  </w:divsChild>
                </w:div>
                <w:div w:id="2146582987">
                  <w:marLeft w:val="0"/>
                  <w:marRight w:val="0"/>
                  <w:marTop w:val="0"/>
                  <w:marBottom w:val="0"/>
                  <w:divBdr>
                    <w:top w:val="none" w:sz="0" w:space="0" w:color="auto"/>
                    <w:left w:val="none" w:sz="0" w:space="0" w:color="auto"/>
                    <w:bottom w:val="none" w:sz="0" w:space="0" w:color="auto"/>
                    <w:right w:val="none" w:sz="0" w:space="0" w:color="auto"/>
                  </w:divBdr>
                  <w:divsChild>
                    <w:div w:id="63768426">
                      <w:marLeft w:val="0"/>
                      <w:marRight w:val="0"/>
                      <w:marTop w:val="0"/>
                      <w:marBottom w:val="0"/>
                      <w:divBdr>
                        <w:top w:val="none" w:sz="0" w:space="0" w:color="auto"/>
                        <w:left w:val="none" w:sz="0" w:space="0" w:color="auto"/>
                        <w:bottom w:val="none" w:sz="0" w:space="0" w:color="auto"/>
                        <w:right w:val="none" w:sz="0" w:space="0" w:color="auto"/>
                      </w:divBdr>
                    </w:div>
                  </w:divsChild>
                </w:div>
                <w:div w:id="2146845265">
                  <w:marLeft w:val="0"/>
                  <w:marRight w:val="0"/>
                  <w:marTop w:val="0"/>
                  <w:marBottom w:val="0"/>
                  <w:divBdr>
                    <w:top w:val="none" w:sz="0" w:space="0" w:color="auto"/>
                    <w:left w:val="none" w:sz="0" w:space="0" w:color="auto"/>
                    <w:bottom w:val="none" w:sz="0" w:space="0" w:color="auto"/>
                    <w:right w:val="none" w:sz="0" w:space="0" w:color="auto"/>
                  </w:divBdr>
                  <w:divsChild>
                    <w:div w:id="1481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74936">
          <w:marLeft w:val="0"/>
          <w:marRight w:val="0"/>
          <w:marTop w:val="0"/>
          <w:marBottom w:val="0"/>
          <w:divBdr>
            <w:top w:val="none" w:sz="0" w:space="0" w:color="auto"/>
            <w:left w:val="none" w:sz="0" w:space="0" w:color="auto"/>
            <w:bottom w:val="none" w:sz="0" w:space="0" w:color="auto"/>
            <w:right w:val="none" w:sz="0" w:space="0" w:color="auto"/>
          </w:divBdr>
        </w:div>
      </w:divsChild>
    </w:div>
    <w:div w:id="1385065350">
      <w:bodyDiv w:val="1"/>
      <w:marLeft w:val="0"/>
      <w:marRight w:val="0"/>
      <w:marTop w:val="0"/>
      <w:marBottom w:val="0"/>
      <w:divBdr>
        <w:top w:val="none" w:sz="0" w:space="0" w:color="auto"/>
        <w:left w:val="none" w:sz="0" w:space="0" w:color="auto"/>
        <w:bottom w:val="none" w:sz="0" w:space="0" w:color="auto"/>
        <w:right w:val="none" w:sz="0" w:space="0" w:color="auto"/>
      </w:divBdr>
      <w:divsChild>
        <w:div w:id="553124236">
          <w:marLeft w:val="0"/>
          <w:marRight w:val="0"/>
          <w:marTop w:val="0"/>
          <w:marBottom w:val="0"/>
          <w:divBdr>
            <w:top w:val="none" w:sz="0" w:space="0" w:color="auto"/>
            <w:left w:val="none" w:sz="0" w:space="0" w:color="auto"/>
            <w:bottom w:val="none" w:sz="0" w:space="0" w:color="auto"/>
            <w:right w:val="none" w:sz="0" w:space="0" w:color="auto"/>
          </w:divBdr>
        </w:div>
        <w:div w:id="721371009">
          <w:marLeft w:val="0"/>
          <w:marRight w:val="0"/>
          <w:marTop w:val="0"/>
          <w:marBottom w:val="0"/>
          <w:divBdr>
            <w:top w:val="none" w:sz="0" w:space="0" w:color="auto"/>
            <w:left w:val="none" w:sz="0" w:space="0" w:color="auto"/>
            <w:bottom w:val="none" w:sz="0" w:space="0" w:color="auto"/>
            <w:right w:val="none" w:sz="0" w:space="0" w:color="auto"/>
          </w:divBdr>
        </w:div>
        <w:div w:id="1229615423">
          <w:marLeft w:val="0"/>
          <w:marRight w:val="0"/>
          <w:marTop w:val="0"/>
          <w:marBottom w:val="0"/>
          <w:divBdr>
            <w:top w:val="none" w:sz="0" w:space="0" w:color="auto"/>
            <w:left w:val="none" w:sz="0" w:space="0" w:color="auto"/>
            <w:bottom w:val="none" w:sz="0" w:space="0" w:color="auto"/>
            <w:right w:val="none" w:sz="0" w:space="0" w:color="auto"/>
          </w:divBdr>
          <w:divsChild>
            <w:div w:id="1576238918">
              <w:marLeft w:val="-75"/>
              <w:marRight w:val="0"/>
              <w:marTop w:val="30"/>
              <w:marBottom w:val="30"/>
              <w:divBdr>
                <w:top w:val="none" w:sz="0" w:space="0" w:color="auto"/>
                <w:left w:val="none" w:sz="0" w:space="0" w:color="auto"/>
                <w:bottom w:val="none" w:sz="0" w:space="0" w:color="auto"/>
                <w:right w:val="none" w:sz="0" w:space="0" w:color="auto"/>
              </w:divBdr>
              <w:divsChild>
                <w:div w:id="6567536">
                  <w:marLeft w:val="0"/>
                  <w:marRight w:val="0"/>
                  <w:marTop w:val="0"/>
                  <w:marBottom w:val="0"/>
                  <w:divBdr>
                    <w:top w:val="none" w:sz="0" w:space="0" w:color="auto"/>
                    <w:left w:val="none" w:sz="0" w:space="0" w:color="auto"/>
                    <w:bottom w:val="none" w:sz="0" w:space="0" w:color="auto"/>
                    <w:right w:val="none" w:sz="0" w:space="0" w:color="auto"/>
                  </w:divBdr>
                  <w:divsChild>
                    <w:div w:id="324482252">
                      <w:marLeft w:val="0"/>
                      <w:marRight w:val="0"/>
                      <w:marTop w:val="0"/>
                      <w:marBottom w:val="0"/>
                      <w:divBdr>
                        <w:top w:val="none" w:sz="0" w:space="0" w:color="auto"/>
                        <w:left w:val="none" w:sz="0" w:space="0" w:color="auto"/>
                        <w:bottom w:val="none" w:sz="0" w:space="0" w:color="auto"/>
                        <w:right w:val="none" w:sz="0" w:space="0" w:color="auto"/>
                      </w:divBdr>
                    </w:div>
                  </w:divsChild>
                </w:div>
                <w:div w:id="13966657">
                  <w:marLeft w:val="0"/>
                  <w:marRight w:val="0"/>
                  <w:marTop w:val="0"/>
                  <w:marBottom w:val="0"/>
                  <w:divBdr>
                    <w:top w:val="none" w:sz="0" w:space="0" w:color="auto"/>
                    <w:left w:val="none" w:sz="0" w:space="0" w:color="auto"/>
                    <w:bottom w:val="none" w:sz="0" w:space="0" w:color="auto"/>
                    <w:right w:val="none" w:sz="0" w:space="0" w:color="auto"/>
                  </w:divBdr>
                  <w:divsChild>
                    <w:div w:id="1521430144">
                      <w:marLeft w:val="0"/>
                      <w:marRight w:val="0"/>
                      <w:marTop w:val="0"/>
                      <w:marBottom w:val="0"/>
                      <w:divBdr>
                        <w:top w:val="none" w:sz="0" w:space="0" w:color="auto"/>
                        <w:left w:val="none" w:sz="0" w:space="0" w:color="auto"/>
                        <w:bottom w:val="none" w:sz="0" w:space="0" w:color="auto"/>
                        <w:right w:val="none" w:sz="0" w:space="0" w:color="auto"/>
                      </w:divBdr>
                    </w:div>
                  </w:divsChild>
                </w:div>
                <w:div w:id="14892947">
                  <w:marLeft w:val="0"/>
                  <w:marRight w:val="0"/>
                  <w:marTop w:val="0"/>
                  <w:marBottom w:val="0"/>
                  <w:divBdr>
                    <w:top w:val="none" w:sz="0" w:space="0" w:color="auto"/>
                    <w:left w:val="none" w:sz="0" w:space="0" w:color="auto"/>
                    <w:bottom w:val="none" w:sz="0" w:space="0" w:color="auto"/>
                    <w:right w:val="none" w:sz="0" w:space="0" w:color="auto"/>
                  </w:divBdr>
                  <w:divsChild>
                    <w:div w:id="698942244">
                      <w:marLeft w:val="0"/>
                      <w:marRight w:val="0"/>
                      <w:marTop w:val="0"/>
                      <w:marBottom w:val="0"/>
                      <w:divBdr>
                        <w:top w:val="none" w:sz="0" w:space="0" w:color="auto"/>
                        <w:left w:val="none" w:sz="0" w:space="0" w:color="auto"/>
                        <w:bottom w:val="none" w:sz="0" w:space="0" w:color="auto"/>
                        <w:right w:val="none" w:sz="0" w:space="0" w:color="auto"/>
                      </w:divBdr>
                    </w:div>
                  </w:divsChild>
                </w:div>
                <w:div w:id="37779278">
                  <w:marLeft w:val="0"/>
                  <w:marRight w:val="0"/>
                  <w:marTop w:val="0"/>
                  <w:marBottom w:val="0"/>
                  <w:divBdr>
                    <w:top w:val="none" w:sz="0" w:space="0" w:color="auto"/>
                    <w:left w:val="none" w:sz="0" w:space="0" w:color="auto"/>
                    <w:bottom w:val="none" w:sz="0" w:space="0" w:color="auto"/>
                    <w:right w:val="none" w:sz="0" w:space="0" w:color="auto"/>
                  </w:divBdr>
                  <w:divsChild>
                    <w:div w:id="912157033">
                      <w:marLeft w:val="0"/>
                      <w:marRight w:val="0"/>
                      <w:marTop w:val="0"/>
                      <w:marBottom w:val="0"/>
                      <w:divBdr>
                        <w:top w:val="none" w:sz="0" w:space="0" w:color="auto"/>
                        <w:left w:val="none" w:sz="0" w:space="0" w:color="auto"/>
                        <w:bottom w:val="none" w:sz="0" w:space="0" w:color="auto"/>
                        <w:right w:val="none" w:sz="0" w:space="0" w:color="auto"/>
                      </w:divBdr>
                    </w:div>
                  </w:divsChild>
                </w:div>
                <w:div w:id="43604162">
                  <w:marLeft w:val="0"/>
                  <w:marRight w:val="0"/>
                  <w:marTop w:val="0"/>
                  <w:marBottom w:val="0"/>
                  <w:divBdr>
                    <w:top w:val="none" w:sz="0" w:space="0" w:color="auto"/>
                    <w:left w:val="none" w:sz="0" w:space="0" w:color="auto"/>
                    <w:bottom w:val="none" w:sz="0" w:space="0" w:color="auto"/>
                    <w:right w:val="none" w:sz="0" w:space="0" w:color="auto"/>
                  </w:divBdr>
                  <w:divsChild>
                    <w:div w:id="128666436">
                      <w:marLeft w:val="0"/>
                      <w:marRight w:val="0"/>
                      <w:marTop w:val="0"/>
                      <w:marBottom w:val="0"/>
                      <w:divBdr>
                        <w:top w:val="none" w:sz="0" w:space="0" w:color="auto"/>
                        <w:left w:val="none" w:sz="0" w:space="0" w:color="auto"/>
                        <w:bottom w:val="none" w:sz="0" w:space="0" w:color="auto"/>
                        <w:right w:val="none" w:sz="0" w:space="0" w:color="auto"/>
                      </w:divBdr>
                    </w:div>
                  </w:divsChild>
                </w:div>
                <w:div w:id="50928534">
                  <w:marLeft w:val="0"/>
                  <w:marRight w:val="0"/>
                  <w:marTop w:val="0"/>
                  <w:marBottom w:val="0"/>
                  <w:divBdr>
                    <w:top w:val="none" w:sz="0" w:space="0" w:color="auto"/>
                    <w:left w:val="none" w:sz="0" w:space="0" w:color="auto"/>
                    <w:bottom w:val="none" w:sz="0" w:space="0" w:color="auto"/>
                    <w:right w:val="none" w:sz="0" w:space="0" w:color="auto"/>
                  </w:divBdr>
                  <w:divsChild>
                    <w:div w:id="1692875780">
                      <w:marLeft w:val="0"/>
                      <w:marRight w:val="0"/>
                      <w:marTop w:val="0"/>
                      <w:marBottom w:val="0"/>
                      <w:divBdr>
                        <w:top w:val="none" w:sz="0" w:space="0" w:color="auto"/>
                        <w:left w:val="none" w:sz="0" w:space="0" w:color="auto"/>
                        <w:bottom w:val="none" w:sz="0" w:space="0" w:color="auto"/>
                        <w:right w:val="none" w:sz="0" w:space="0" w:color="auto"/>
                      </w:divBdr>
                    </w:div>
                  </w:divsChild>
                </w:div>
                <w:div w:id="77799078">
                  <w:marLeft w:val="0"/>
                  <w:marRight w:val="0"/>
                  <w:marTop w:val="0"/>
                  <w:marBottom w:val="0"/>
                  <w:divBdr>
                    <w:top w:val="none" w:sz="0" w:space="0" w:color="auto"/>
                    <w:left w:val="none" w:sz="0" w:space="0" w:color="auto"/>
                    <w:bottom w:val="none" w:sz="0" w:space="0" w:color="auto"/>
                    <w:right w:val="none" w:sz="0" w:space="0" w:color="auto"/>
                  </w:divBdr>
                  <w:divsChild>
                    <w:div w:id="1562326787">
                      <w:marLeft w:val="0"/>
                      <w:marRight w:val="0"/>
                      <w:marTop w:val="0"/>
                      <w:marBottom w:val="0"/>
                      <w:divBdr>
                        <w:top w:val="none" w:sz="0" w:space="0" w:color="auto"/>
                        <w:left w:val="none" w:sz="0" w:space="0" w:color="auto"/>
                        <w:bottom w:val="none" w:sz="0" w:space="0" w:color="auto"/>
                        <w:right w:val="none" w:sz="0" w:space="0" w:color="auto"/>
                      </w:divBdr>
                    </w:div>
                  </w:divsChild>
                </w:div>
                <w:div w:id="78841258">
                  <w:marLeft w:val="0"/>
                  <w:marRight w:val="0"/>
                  <w:marTop w:val="0"/>
                  <w:marBottom w:val="0"/>
                  <w:divBdr>
                    <w:top w:val="none" w:sz="0" w:space="0" w:color="auto"/>
                    <w:left w:val="none" w:sz="0" w:space="0" w:color="auto"/>
                    <w:bottom w:val="none" w:sz="0" w:space="0" w:color="auto"/>
                    <w:right w:val="none" w:sz="0" w:space="0" w:color="auto"/>
                  </w:divBdr>
                  <w:divsChild>
                    <w:div w:id="1839228792">
                      <w:marLeft w:val="0"/>
                      <w:marRight w:val="0"/>
                      <w:marTop w:val="0"/>
                      <w:marBottom w:val="0"/>
                      <w:divBdr>
                        <w:top w:val="none" w:sz="0" w:space="0" w:color="auto"/>
                        <w:left w:val="none" w:sz="0" w:space="0" w:color="auto"/>
                        <w:bottom w:val="none" w:sz="0" w:space="0" w:color="auto"/>
                        <w:right w:val="none" w:sz="0" w:space="0" w:color="auto"/>
                      </w:divBdr>
                    </w:div>
                  </w:divsChild>
                </w:div>
                <w:div w:id="129396883">
                  <w:marLeft w:val="0"/>
                  <w:marRight w:val="0"/>
                  <w:marTop w:val="0"/>
                  <w:marBottom w:val="0"/>
                  <w:divBdr>
                    <w:top w:val="none" w:sz="0" w:space="0" w:color="auto"/>
                    <w:left w:val="none" w:sz="0" w:space="0" w:color="auto"/>
                    <w:bottom w:val="none" w:sz="0" w:space="0" w:color="auto"/>
                    <w:right w:val="none" w:sz="0" w:space="0" w:color="auto"/>
                  </w:divBdr>
                  <w:divsChild>
                    <w:div w:id="545876706">
                      <w:marLeft w:val="0"/>
                      <w:marRight w:val="0"/>
                      <w:marTop w:val="0"/>
                      <w:marBottom w:val="0"/>
                      <w:divBdr>
                        <w:top w:val="none" w:sz="0" w:space="0" w:color="auto"/>
                        <w:left w:val="none" w:sz="0" w:space="0" w:color="auto"/>
                        <w:bottom w:val="none" w:sz="0" w:space="0" w:color="auto"/>
                        <w:right w:val="none" w:sz="0" w:space="0" w:color="auto"/>
                      </w:divBdr>
                    </w:div>
                  </w:divsChild>
                </w:div>
                <w:div w:id="159583652">
                  <w:marLeft w:val="0"/>
                  <w:marRight w:val="0"/>
                  <w:marTop w:val="0"/>
                  <w:marBottom w:val="0"/>
                  <w:divBdr>
                    <w:top w:val="none" w:sz="0" w:space="0" w:color="auto"/>
                    <w:left w:val="none" w:sz="0" w:space="0" w:color="auto"/>
                    <w:bottom w:val="none" w:sz="0" w:space="0" w:color="auto"/>
                    <w:right w:val="none" w:sz="0" w:space="0" w:color="auto"/>
                  </w:divBdr>
                  <w:divsChild>
                    <w:div w:id="954557447">
                      <w:marLeft w:val="0"/>
                      <w:marRight w:val="0"/>
                      <w:marTop w:val="0"/>
                      <w:marBottom w:val="0"/>
                      <w:divBdr>
                        <w:top w:val="none" w:sz="0" w:space="0" w:color="auto"/>
                        <w:left w:val="none" w:sz="0" w:space="0" w:color="auto"/>
                        <w:bottom w:val="none" w:sz="0" w:space="0" w:color="auto"/>
                        <w:right w:val="none" w:sz="0" w:space="0" w:color="auto"/>
                      </w:divBdr>
                    </w:div>
                  </w:divsChild>
                </w:div>
                <w:div w:id="161897148">
                  <w:marLeft w:val="0"/>
                  <w:marRight w:val="0"/>
                  <w:marTop w:val="0"/>
                  <w:marBottom w:val="0"/>
                  <w:divBdr>
                    <w:top w:val="none" w:sz="0" w:space="0" w:color="auto"/>
                    <w:left w:val="none" w:sz="0" w:space="0" w:color="auto"/>
                    <w:bottom w:val="none" w:sz="0" w:space="0" w:color="auto"/>
                    <w:right w:val="none" w:sz="0" w:space="0" w:color="auto"/>
                  </w:divBdr>
                  <w:divsChild>
                    <w:div w:id="270285778">
                      <w:marLeft w:val="0"/>
                      <w:marRight w:val="0"/>
                      <w:marTop w:val="0"/>
                      <w:marBottom w:val="0"/>
                      <w:divBdr>
                        <w:top w:val="none" w:sz="0" w:space="0" w:color="auto"/>
                        <w:left w:val="none" w:sz="0" w:space="0" w:color="auto"/>
                        <w:bottom w:val="none" w:sz="0" w:space="0" w:color="auto"/>
                        <w:right w:val="none" w:sz="0" w:space="0" w:color="auto"/>
                      </w:divBdr>
                    </w:div>
                  </w:divsChild>
                </w:div>
                <w:div w:id="177740364">
                  <w:marLeft w:val="0"/>
                  <w:marRight w:val="0"/>
                  <w:marTop w:val="0"/>
                  <w:marBottom w:val="0"/>
                  <w:divBdr>
                    <w:top w:val="none" w:sz="0" w:space="0" w:color="auto"/>
                    <w:left w:val="none" w:sz="0" w:space="0" w:color="auto"/>
                    <w:bottom w:val="none" w:sz="0" w:space="0" w:color="auto"/>
                    <w:right w:val="none" w:sz="0" w:space="0" w:color="auto"/>
                  </w:divBdr>
                  <w:divsChild>
                    <w:div w:id="1400787687">
                      <w:marLeft w:val="0"/>
                      <w:marRight w:val="0"/>
                      <w:marTop w:val="0"/>
                      <w:marBottom w:val="0"/>
                      <w:divBdr>
                        <w:top w:val="none" w:sz="0" w:space="0" w:color="auto"/>
                        <w:left w:val="none" w:sz="0" w:space="0" w:color="auto"/>
                        <w:bottom w:val="none" w:sz="0" w:space="0" w:color="auto"/>
                        <w:right w:val="none" w:sz="0" w:space="0" w:color="auto"/>
                      </w:divBdr>
                    </w:div>
                  </w:divsChild>
                </w:div>
                <w:div w:id="185339759">
                  <w:marLeft w:val="0"/>
                  <w:marRight w:val="0"/>
                  <w:marTop w:val="0"/>
                  <w:marBottom w:val="0"/>
                  <w:divBdr>
                    <w:top w:val="none" w:sz="0" w:space="0" w:color="auto"/>
                    <w:left w:val="none" w:sz="0" w:space="0" w:color="auto"/>
                    <w:bottom w:val="none" w:sz="0" w:space="0" w:color="auto"/>
                    <w:right w:val="none" w:sz="0" w:space="0" w:color="auto"/>
                  </w:divBdr>
                  <w:divsChild>
                    <w:div w:id="223874119">
                      <w:marLeft w:val="0"/>
                      <w:marRight w:val="0"/>
                      <w:marTop w:val="0"/>
                      <w:marBottom w:val="0"/>
                      <w:divBdr>
                        <w:top w:val="none" w:sz="0" w:space="0" w:color="auto"/>
                        <w:left w:val="none" w:sz="0" w:space="0" w:color="auto"/>
                        <w:bottom w:val="none" w:sz="0" w:space="0" w:color="auto"/>
                        <w:right w:val="none" w:sz="0" w:space="0" w:color="auto"/>
                      </w:divBdr>
                    </w:div>
                  </w:divsChild>
                </w:div>
                <w:div w:id="188643854">
                  <w:marLeft w:val="0"/>
                  <w:marRight w:val="0"/>
                  <w:marTop w:val="0"/>
                  <w:marBottom w:val="0"/>
                  <w:divBdr>
                    <w:top w:val="none" w:sz="0" w:space="0" w:color="auto"/>
                    <w:left w:val="none" w:sz="0" w:space="0" w:color="auto"/>
                    <w:bottom w:val="none" w:sz="0" w:space="0" w:color="auto"/>
                    <w:right w:val="none" w:sz="0" w:space="0" w:color="auto"/>
                  </w:divBdr>
                  <w:divsChild>
                    <w:div w:id="611327604">
                      <w:marLeft w:val="0"/>
                      <w:marRight w:val="0"/>
                      <w:marTop w:val="0"/>
                      <w:marBottom w:val="0"/>
                      <w:divBdr>
                        <w:top w:val="none" w:sz="0" w:space="0" w:color="auto"/>
                        <w:left w:val="none" w:sz="0" w:space="0" w:color="auto"/>
                        <w:bottom w:val="none" w:sz="0" w:space="0" w:color="auto"/>
                        <w:right w:val="none" w:sz="0" w:space="0" w:color="auto"/>
                      </w:divBdr>
                    </w:div>
                    <w:div w:id="913667519">
                      <w:marLeft w:val="0"/>
                      <w:marRight w:val="0"/>
                      <w:marTop w:val="0"/>
                      <w:marBottom w:val="0"/>
                      <w:divBdr>
                        <w:top w:val="none" w:sz="0" w:space="0" w:color="auto"/>
                        <w:left w:val="none" w:sz="0" w:space="0" w:color="auto"/>
                        <w:bottom w:val="none" w:sz="0" w:space="0" w:color="auto"/>
                        <w:right w:val="none" w:sz="0" w:space="0" w:color="auto"/>
                      </w:divBdr>
                    </w:div>
                    <w:div w:id="1227566156">
                      <w:marLeft w:val="0"/>
                      <w:marRight w:val="0"/>
                      <w:marTop w:val="0"/>
                      <w:marBottom w:val="0"/>
                      <w:divBdr>
                        <w:top w:val="none" w:sz="0" w:space="0" w:color="auto"/>
                        <w:left w:val="none" w:sz="0" w:space="0" w:color="auto"/>
                        <w:bottom w:val="none" w:sz="0" w:space="0" w:color="auto"/>
                        <w:right w:val="none" w:sz="0" w:space="0" w:color="auto"/>
                      </w:divBdr>
                    </w:div>
                    <w:div w:id="1285768154">
                      <w:marLeft w:val="0"/>
                      <w:marRight w:val="0"/>
                      <w:marTop w:val="0"/>
                      <w:marBottom w:val="0"/>
                      <w:divBdr>
                        <w:top w:val="none" w:sz="0" w:space="0" w:color="auto"/>
                        <w:left w:val="none" w:sz="0" w:space="0" w:color="auto"/>
                        <w:bottom w:val="none" w:sz="0" w:space="0" w:color="auto"/>
                        <w:right w:val="none" w:sz="0" w:space="0" w:color="auto"/>
                      </w:divBdr>
                    </w:div>
                    <w:div w:id="1301810198">
                      <w:marLeft w:val="0"/>
                      <w:marRight w:val="0"/>
                      <w:marTop w:val="0"/>
                      <w:marBottom w:val="0"/>
                      <w:divBdr>
                        <w:top w:val="none" w:sz="0" w:space="0" w:color="auto"/>
                        <w:left w:val="none" w:sz="0" w:space="0" w:color="auto"/>
                        <w:bottom w:val="none" w:sz="0" w:space="0" w:color="auto"/>
                        <w:right w:val="none" w:sz="0" w:space="0" w:color="auto"/>
                      </w:divBdr>
                    </w:div>
                    <w:div w:id="1404524410">
                      <w:marLeft w:val="0"/>
                      <w:marRight w:val="0"/>
                      <w:marTop w:val="0"/>
                      <w:marBottom w:val="0"/>
                      <w:divBdr>
                        <w:top w:val="none" w:sz="0" w:space="0" w:color="auto"/>
                        <w:left w:val="none" w:sz="0" w:space="0" w:color="auto"/>
                        <w:bottom w:val="none" w:sz="0" w:space="0" w:color="auto"/>
                        <w:right w:val="none" w:sz="0" w:space="0" w:color="auto"/>
                      </w:divBdr>
                    </w:div>
                    <w:div w:id="1974675142">
                      <w:marLeft w:val="0"/>
                      <w:marRight w:val="0"/>
                      <w:marTop w:val="0"/>
                      <w:marBottom w:val="0"/>
                      <w:divBdr>
                        <w:top w:val="none" w:sz="0" w:space="0" w:color="auto"/>
                        <w:left w:val="none" w:sz="0" w:space="0" w:color="auto"/>
                        <w:bottom w:val="none" w:sz="0" w:space="0" w:color="auto"/>
                        <w:right w:val="none" w:sz="0" w:space="0" w:color="auto"/>
                      </w:divBdr>
                    </w:div>
                  </w:divsChild>
                </w:div>
                <w:div w:id="198015523">
                  <w:marLeft w:val="0"/>
                  <w:marRight w:val="0"/>
                  <w:marTop w:val="0"/>
                  <w:marBottom w:val="0"/>
                  <w:divBdr>
                    <w:top w:val="none" w:sz="0" w:space="0" w:color="auto"/>
                    <w:left w:val="none" w:sz="0" w:space="0" w:color="auto"/>
                    <w:bottom w:val="none" w:sz="0" w:space="0" w:color="auto"/>
                    <w:right w:val="none" w:sz="0" w:space="0" w:color="auto"/>
                  </w:divBdr>
                  <w:divsChild>
                    <w:div w:id="263193834">
                      <w:marLeft w:val="0"/>
                      <w:marRight w:val="0"/>
                      <w:marTop w:val="0"/>
                      <w:marBottom w:val="0"/>
                      <w:divBdr>
                        <w:top w:val="none" w:sz="0" w:space="0" w:color="auto"/>
                        <w:left w:val="none" w:sz="0" w:space="0" w:color="auto"/>
                        <w:bottom w:val="none" w:sz="0" w:space="0" w:color="auto"/>
                        <w:right w:val="none" w:sz="0" w:space="0" w:color="auto"/>
                      </w:divBdr>
                    </w:div>
                  </w:divsChild>
                </w:div>
                <w:div w:id="205333342">
                  <w:marLeft w:val="0"/>
                  <w:marRight w:val="0"/>
                  <w:marTop w:val="0"/>
                  <w:marBottom w:val="0"/>
                  <w:divBdr>
                    <w:top w:val="none" w:sz="0" w:space="0" w:color="auto"/>
                    <w:left w:val="none" w:sz="0" w:space="0" w:color="auto"/>
                    <w:bottom w:val="none" w:sz="0" w:space="0" w:color="auto"/>
                    <w:right w:val="none" w:sz="0" w:space="0" w:color="auto"/>
                  </w:divBdr>
                  <w:divsChild>
                    <w:div w:id="503669377">
                      <w:marLeft w:val="0"/>
                      <w:marRight w:val="0"/>
                      <w:marTop w:val="0"/>
                      <w:marBottom w:val="0"/>
                      <w:divBdr>
                        <w:top w:val="none" w:sz="0" w:space="0" w:color="auto"/>
                        <w:left w:val="none" w:sz="0" w:space="0" w:color="auto"/>
                        <w:bottom w:val="none" w:sz="0" w:space="0" w:color="auto"/>
                        <w:right w:val="none" w:sz="0" w:space="0" w:color="auto"/>
                      </w:divBdr>
                    </w:div>
                  </w:divsChild>
                </w:div>
                <w:div w:id="210311495">
                  <w:marLeft w:val="0"/>
                  <w:marRight w:val="0"/>
                  <w:marTop w:val="0"/>
                  <w:marBottom w:val="0"/>
                  <w:divBdr>
                    <w:top w:val="none" w:sz="0" w:space="0" w:color="auto"/>
                    <w:left w:val="none" w:sz="0" w:space="0" w:color="auto"/>
                    <w:bottom w:val="none" w:sz="0" w:space="0" w:color="auto"/>
                    <w:right w:val="none" w:sz="0" w:space="0" w:color="auto"/>
                  </w:divBdr>
                  <w:divsChild>
                    <w:div w:id="1453204760">
                      <w:marLeft w:val="0"/>
                      <w:marRight w:val="0"/>
                      <w:marTop w:val="0"/>
                      <w:marBottom w:val="0"/>
                      <w:divBdr>
                        <w:top w:val="none" w:sz="0" w:space="0" w:color="auto"/>
                        <w:left w:val="none" w:sz="0" w:space="0" w:color="auto"/>
                        <w:bottom w:val="none" w:sz="0" w:space="0" w:color="auto"/>
                        <w:right w:val="none" w:sz="0" w:space="0" w:color="auto"/>
                      </w:divBdr>
                    </w:div>
                  </w:divsChild>
                </w:div>
                <w:div w:id="215246354">
                  <w:marLeft w:val="0"/>
                  <w:marRight w:val="0"/>
                  <w:marTop w:val="0"/>
                  <w:marBottom w:val="0"/>
                  <w:divBdr>
                    <w:top w:val="none" w:sz="0" w:space="0" w:color="auto"/>
                    <w:left w:val="none" w:sz="0" w:space="0" w:color="auto"/>
                    <w:bottom w:val="none" w:sz="0" w:space="0" w:color="auto"/>
                    <w:right w:val="none" w:sz="0" w:space="0" w:color="auto"/>
                  </w:divBdr>
                  <w:divsChild>
                    <w:div w:id="1925065284">
                      <w:marLeft w:val="0"/>
                      <w:marRight w:val="0"/>
                      <w:marTop w:val="0"/>
                      <w:marBottom w:val="0"/>
                      <w:divBdr>
                        <w:top w:val="none" w:sz="0" w:space="0" w:color="auto"/>
                        <w:left w:val="none" w:sz="0" w:space="0" w:color="auto"/>
                        <w:bottom w:val="none" w:sz="0" w:space="0" w:color="auto"/>
                        <w:right w:val="none" w:sz="0" w:space="0" w:color="auto"/>
                      </w:divBdr>
                    </w:div>
                  </w:divsChild>
                </w:div>
                <w:div w:id="240255397">
                  <w:marLeft w:val="0"/>
                  <w:marRight w:val="0"/>
                  <w:marTop w:val="0"/>
                  <w:marBottom w:val="0"/>
                  <w:divBdr>
                    <w:top w:val="none" w:sz="0" w:space="0" w:color="auto"/>
                    <w:left w:val="none" w:sz="0" w:space="0" w:color="auto"/>
                    <w:bottom w:val="none" w:sz="0" w:space="0" w:color="auto"/>
                    <w:right w:val="none" w:sz="0" w:space="0" w:color="auto"/>
                  </w:divBdr>
                  <w:divsChild>
                    <w:div w:id="145630995">
                      <w:marLeft w:val="0"/>
                      <w:marRight w:val="0"/>
                      <w:marTop w:val="0"/>
                      <w:marBottom w:val="0"/>
                      <w:divBdr>
                        <w:top w:val="none" w:sz="0" w:space="0" w:color="auto"/>
                        <w:left w:val="none" w:sz="0" w:space="0" w:color="auto"/>
                        <w:bottom w:val="none" w:sz="0" w:space="0" w:color="auto"/>
                        <w:right w:val="none" w:sz="0" w:space="0" w:color="auto"/>
                      </w:divBdr>
                    </w:div>
                  </w:divsChild>
                </w:div>
                <w:div w:id="244188875">
                  <w:marLeft w:val="0"/>
                  <w:marRight w:val="0"/>
                  <w:marTop w:val="0"/>
                  <w:marBottom w:val="0"/>
                  <w:divBdr>
                    <w:top w:val="none" w:sz="0" w:space="0" w:color="auto"/>
                    <w:left w:val="none" w:sz="0" w:space="0" w:color="auto"/>
                    <w:bottom w:val="none" w:sz="0" w:space="0" w:color="auto"/>
                    <w:right w:val="none" w:sz="0" w:space="0" w:color="auto"/>
                  </w:divBdr>
                  <w:divsChild>
                    <w:div w:id="600837204">
                      <w:marLeft w:val="0"/>
                      <w:marRight w:val="0"/>
                      <w:marTop w:val="0"/>
                      <w:marBottom w:val="0"/>
                      <w:divBdr>
                        <w:top w:val="none" w:sz="0" w:space="0" w:color="auto"/>
                        <w:left w:val="none" w:sz="0" w:space="0" w:color="auto"/>
                        <w:bottom w:val="none" w:sz="0" w:space="0" w:color="auto"/>
                        <w:right w:val="none" w:sz="0" w:space="0" w:color="auto"/>
                      </w:divBdr>
                    </w:div>
                  </w:divsChild>
                </w:div>
                <w:div w:id="258023362">
                  <w:marLeft w:val="0"/>
                  <w:marRight w:val="0"/>
                  <w:marTop w:val="0"/>
                  <w:marBottom w:val="0"/>
                  <w:divBdr>
                    <w:top w:val="none" w:sz="0" w:space="0" w:color="auto"/>
                    <w:left w:val="none" w:sz="0" w:space="0" w:color="auto"/>
                    <w:bottom w:val="none" w:sz="0" w:space="0" w:color="auto"/>
                    <w:right w:val="none" w:sz="0" w:space="0" w:color="auto"/>
                  </w:divBdr>
                  <w:divsChild>
                    <w:div w:id="42676925">
                      <w:marLeft w:val="0"/>
                      <w:marRight w:val="0"/>
                      <w:marTop w:val="0"/>
                      <w:marBottom w:val="0"/>
                      <w:divBdr>
                        <w:top w:val="none" w:sz="0" w:space="0" w:color="auto"/>
                        <w:left w:val="none" w:sz="0" w:space="0" w:color="auto"/>
                        <w:bottom w:val="none" w:sz="0" w:space="0" w:color="auto"/>
                        <w:right w:val="none" w:sz="0" w:space="0" w:color="auto"/>
                      </w:divBdr>
                    </w:div>
                  </w:divsChild>
                </w:div>
                <w:div w:id="298993695">
                  <w:marLeft w:val="0"/>
                  <w:marRight w:val="0"/>
                  <w:marTop w:val="0"/>
                  <w:marBottom w:val="0"/>
                  <w:divBdr>
                    <w:top w:val="none" w:sz="0" w:space="0" w:color="auto"/>
                    <w:left w:val="none" w:sz="0" w:space="0" w:color="auto"/>
                    <w:bottom w:val="none" w:sz="0" w:space="0" w:color="auto"/>
                    <w:right w:val="none" w:sz="0" w:space="0" w:color="auto"/>
                  </w:divBdr>
                  <w:divsChild>
                    <w:div w:id="846795914">
                      <w:marLeft w:val="0"/>
                      <w:marRight w:val="0"/>
                      <w:marTop w:val="0"/>
                      <w:marBottom w:val="0"/>
                      <w:divBdr>
                        <w:top w:val="none" w:sz="0" w:space="0" w:color="auto"/>
                        <w:left w:val="none" w:sz="0" w:space="0" w:color="auto"/>
                        <w:bottom w:val="none" w:sz="0" w:space="0" w:color="auto"/>
                        <w:right w:val="none" w:sz="0" w:space="0" w:color="auto"/>
                      </w:divBdr>
                    </w:div>
                  </w:divsChild>
                </w:div>
                <w:div w:id="301859163">
                  <w:marLeft w:val="0"/>
                  <w:marRight w:val="0"/>
                  <w:marTop w:val="0"/>
                  <w:marBottom w:val="0"/>
                  <w:divBdr>
                    <w:top w:val="none" w:sz="0" w:space="0" w:color="auto"/>
                    <w:left w:val="none" w:sz="0" w:space="0" w:color="auto"/>
                    <w:bottom w:val="none" w:sz="0" w:space="0" w:color="auto"/>
                    <w:right w:val="none" w:sz="0" w:space="0" w:color="auto"/>
                  </w:divBdr>
                  <w:divsChild>
                    <w:div w:id="1477213393">
                      <w:marLeft w:val="0"/>
                      <w:marRight w:val="0"/>
                      <w:marTop w:val="0"/>
                      <w:marBottom w:val="0"/>
                      <w:divBdr>
                        <w:top w:val="none" w:sz="0" w:space="0" w:color="auto"/>
                        <w:left w:val="none" w:sz="0" w:space="0" w:color="auto"/>
                        <w:bottom w:val="none" w:sz="0" w:space="0" w:color="auto"/>
                        <w:right w:val="none" w:sz="0" w:space="0" w:color="auto"/>
                      </w:divBdr>
                    </w:div>
                  </w:divsChild>
                </w:div>
                <w:div w:id="335571840">
                  <w:marLeft w:val="0"/>
                  <w:marRight w:val="0"/>
                  <w:marTop w:val="0"/>
                  <w:marBottom w:val="0"/>
                  <w:divBdr>
                    <w:top w:val="none" w:sz="0" w:space="0" w:color="auto"/>
                    <w:left w:val="none" w:sz="0" w:space="0" w:color="auto"/>
                    <w:bottom w:val="none" w:sz="0" w:space="0" w:color="auto"/>
                    <w:right w:val="none" w:sz="0" w:space="0" w:color="auto"/>
                  </w:divBdr>
                  <w:divsChild>
                    <w:div w:id="2123305248">
                      <w:marLeft w:val="0"/>
                      <w:marRight w:val="0"/>
                      <w:marTop w:val="0"/>
                      <w:marBottom w:val="0"/>
                      <w:divBdr>
                        <w:top w:val="none" w:sz="0" w:space="0" w:color="auto"/>
                        <w:left w:val="none" w:sz="0" w:space="0" w:color="auto"/>
                        <w:bottom w:val="none" w:sz="0" w:space="0" w:color="auto"/>
                        <w:right w:val="none" w:sz="0" w:space="0" w:color="auto"/>
                      </w:divBdr>
                    </w:div>
                  </w:divsChild>
                </w:div>
                <w:div w:id="340206968">
                  <w:marLeft w:val="0"/>
                  <w:marRight w:val="0"/>
                  <w:marTop w:val="0"/>
                  <w:marBottom w:val="0"/>
                  <w:divBdr>
                    <w:top w:val="none" w:sz="0" w:space="0" w:color="auto"/>
                    <w:left w:val="none" w:sz="0" w:space="0" w:color="auto"/>
                    <w:bottom w:val="none" w:sz="0" w:space="0" w:color="auto"/>
                    <w:right w:val="none" w:sz="0" w:space="0" w:color="auto"/>
                  </w:divBdr>
                  <w:divsChild>
                    <w:div w:id="236551774">
                      <w:marLeft w:val="0"/>
                      <w:marRight w:val="0"/>
                      <w:marTop w:val="0"/>
                      <w:marBottom w:val="0"/>
                      <w:divBdr>
                        <w:top w:val="none" w:sz="0" w:space="0" w:color="auto"/>
                        <w:left w:val="none" w:sz="0" w:space="0" w:color="auto"/>
                        <w:bottom w:val="none" w:sz="0" w:space="0" w:color="auto"/>
                        <w:right w:val="none" w:sz="0" w:space="0" w:color="auto"/>
                      </w:divBdr>
                    </w:div>
                  </w:divsChild>
                </w:div>
                <w:div w:id="367072684">
                  <w:marLeft w:val="0"/>
                  <w:marRight w:val="0"/>
                  <w:marTop w:val="0"/>
                  <w:marBottom w:val="0"/>
                  <w:divBdr>
                    <w:top w:val="none" w:sz="0" w:space="0" w:color="auto"/>
                    <w:left w:val="none" w:sz="0" w:space="0" w:color="auto"/>
                    <w:bottom w:val="none" w:sz="0" w:space="0" w:color="auto"/>
                    <w:right w:val="none" w:sz="0" w:space="0" w:color="auto"/>
                  </w:divBdr>
                  <w:divsChild>
                    <w:div w:id="1674646199">
                      <w:marLeft w:val="0"/>
                      <w:marRight w:val="0"/>
                      <w:marTop w:val="0"/>
                      <w:marBottom w:val="0"/>
                      <w:divBdr>
                        <w:top w:val="none" w:sz="0" w:space="0" w:color="auto"/>
                        <w:left w:val="none" w:sz="0" w:space="0" w:color="auto"/>
                        <w:bottom w:val="none" w:sz="0" w:space="0" w:color="auto"/>
                        <w:right w:val="none" w:sz="0" w:space="0" w:color="auto"/>
                      </w:divBdr>
                    </w:div>
                  </w:divsChild>
                </w:div>
                <w:div w:id="370614935">
                  <w:marLeft w:val="0"/>
                  <w:marRight w:val="0"/>
                  <w:marTop w:val="0"/>
                  <w:marBottom w:val="0"/>
                  <w:divBdr>
                    <w:top w:val="none" w:sz="0" w:space="0" w:color="auto"/>
                    <w:left w:val="none" w:sz="0" w:space="0" w:color="auto"/>
                    <w:bottom w:val="none" w:sz="0" w:space="0" w:color="auto"/>
                    <w:right w:val="none" w:sz="0" w:space="0" w:color="auto"/>
                  </w:divBdr>
                  <w:divsChild>
                    <w:div w:id="834805125">
                      <w:marLeft w:val="0"/>
                      <w:marRight w:val="0"/>
                      <w:marTop w:val="0"/>
                      <w:marBottom w:val="0"/>
                      <w:divBdr>
                        <w:top w:val="none" w:sz="0" w:space="0" w:color="auto"/>
                        <w:left w:val="none" w:sz="0" w:space="0" w:color="auto"/>
                        <w:bottom w:val="none" w:sz="0" w:space="0" w:color="auto"/>
                        <w:right w:val="none" w:sz="0" w:space="0" w:color="auto"/>
                      </w:divBdr>
                    </w:div>
                  </w:divsChild>
                </w:div>
                <w:div w:id="382412588">
                  <w:marLeft w:val="0"/>
                  <w:marRight w:val="0"/>
                  <w:marTop w:val="0"/>
                  <w:marBottom w:val="0"/>
                  <w:divBdr>
                    <w:top w:val="none" w:sz="0" w:space="0" w:color="auto"/>
                    <w:left w:val="none" w:sz="0" w:space="0" w:color="auto"/>
                    <w:bottom w:val="none" w:sz="0" w:space="0" w:color="auto"/>
                    <w:right w:val="none" w:sz="0" w:space="0" w:color="auto"/>
                  </w:divBdr>
                  <w:divsChild>
                    <w:div w:id="1970040523">
                      <w:marLeft w:val="0"/>
                      <w:marRight w:val="0"/>
                      <w:marTop w:val="0"/>
                      <w:marBottom w:val="0"/>
                      <w:divBdr>
                        <w:top w:val="none" w:sz="0" w:space="0" w:color="auto"/>
                        <w:left w:val="none" w:sz="0" w:space="0" w:color="auto"/>
                        <w:bottom w:val="none" w:sz="0" w:space="0" w:color="auto"/>
                        <w:right w:val="none" w:sz="0" w:space="0" w:color="auto"/>
                      </w:divBdr>
                    </w:div>
                  </w:divsChild>
                </w:div>
                <w:div w:id="386729235">
                  <w:marLeft w:val="0"/>
                  <w:marRight w:val="0"/>
                  <w:marTop w:val="0"/>
                  <w:marBottom w:val="0"/>
                  <w:divBdr>
                    <w:top w:val="none" w:sz="0" w:space="0" w:color="auto"/>
                    <w:left w:val="none" w:sz="0" w:space="0" w:color="auto"/>
                    <w:bottom w:val="none" w:sz="0" w:space="0" w:color="auto"/>
                    <w:right w:val="none" w:sz="0" w:space="0" w:color="auto"/>
                  </w:divBdr>
                  <w:divsChild>
                    <w:div w:id="500656816">
                      <w:marLeft w:val="0"/>
                      <w:marRight w:val="0"/>
                      <w:marTop w:val="0"/>
                      <w:marBottom w:val="0"/>
                      <w:divBdr>
                        <w:top w:val="none" w:sz="0" w:space="0" w:color="auto"/>
                        <w:left w:val="none" w:sz="0" w:space="0" w:color="auto"/>
                        <w:bottom w:val="none" w:sz="0" w:space="0" w:color="auto"/>
                        <w:right w:val="none" w:sz="0" w:space="0" w:color="auto"/>
                      </w:divBdr>
                    </w:div>
                  </w:divsChild>
                </w:div>
                <w:div w:id="389812573">
                  <w:marLeft w:val="0"/>
                  <w:marRight w:val="0"/>
                  <w:marTop w:val="0"/>
                  <w:marBottom w:val="0"/>
                  <w:divBdr>
                    <w:top w:val="none" w:sz="0" w:space="0" w:color="auto"/>
                    <w:left w:val="none" w:sz="0" w:space="0" w:color="auto"/>
                    <w:bottom w:val="none" w:sz="0" w:space="0" w:color="auto"/>
                    <w:right w:val="none" w:sz="0" w:space="0" w:color="auto"/>
                  </w:divBdr>
                  <w:divsChild>
                    <w:div w:id="1819809030">
                      <w:marLeft w:val="0"/>
                      <w:marRight w:val="0"/>
                      <w:marTop w:val="0"/>
                      <w:marBottom w:val="0"/>
                      <w:divBdr>
                        <w:top w:val="none" w:sz="0" w:space="0" w:color="auto"/>
                        <w:left w:val="none" w:sz="0" w:space="0" w:color="auto"/>
                        <w:bottom w:val="none" w:sz="0" w:space="0" w:color="auto"/>
                        <w:right w:val="none" w:sz="0" w:space="0" w:color="auto"/>
                      </w:divBdr>
                    </w:div>
                  </w:divsChild>
                </w:div>
                <w:div w:id="424346710">
                  <w:marLeft w:val="0"/>
                  <w:marRight w:val="0"/>
                  <w:marTop w:val="0"/>
                  <w:marBottom w:val="0"/>
                  <w:divBdr>
                    <w:top w:val="none" w:sz="0" w:space="0" w:color="auto"/>
                    <w:left w:val="none" w:sz="0" w:space="0" w:color="auto"/>
                    <w:bottom w:val="none" w:sz="0" w:space="0" w:color="auto"/>
                    <w:right w:val="none" w:sz="0" w:space="0" w:color="auto"/>
                  </w:divBdr>
                  <w:divsChild>
                    <w:div w:id="1728450795">
                      <w:marLeft w:val="0"/>
                      <w:marRight w:val="0"/>
                      <w:marTop w:val="0"/>
                      <w:marBottom w:val="0"/>
                      <w:divBdr>
                        <w:top w:val="none" w:sz="0" w:space="0" w:color="auto"/>
                        <w:left w:val="none" w:sz="0" w:space="0" w:color="auto"/>
                        <w:bottom w:val="none" w:sz="0" w:space="0" w:color="auto"/>
                        <w:right w:val="none" w:sz="0" w:space="0" w:color="auto"/>
                      </w:divBdr>
                    </w:div>
                  </w:divsChild>
                </w:div>
                <w:div w:id="431777940">
                  <w:marLeft w:val="0"/>
                  <w:marRight w:val="0"/>
                  <w:marTop w:val="0"/>
                  <w:marBottom w:val="0"/>
                  <w:divBdr>
                    <w:top w:val="none" w:sz="0" w:space="0" w:color="auto"/>
                    <w:left w:val="none" w:sz="0" w:space="0" w:color="auto"/>
                    <w:bottom w:val="none" w:sz="0" w:space="0" w:color="auto"/>
                    <w:right w:val="none" w:sz="0" w:space="0" w:color="auto"/>
                  </w:divBdr>
                  <w:divsChild>
                    <w:div w:id="1092748342">
                      <w:marLeft w:val="0"/>
                      <w:marRight w:val="0"/>
                      <w:marTop w:val="0"/>
                      <w:marBottom w:val="0"/>
                      <w:divBdr>
                        <w:top w:val="none" w:sz="0" w:space="0" w:color="auto"/>
                        <w:left w:val="none" w:sz="0" w:space="0" w:color="auto"/>
                        <w:bottom w:val="none" w:sz="0" w:space="0" w:color="auto"/>
                        <w:right w:val="none" w:sz="0" w:space="0" w:color="auto"/>
                      </w:divBdr>
                    </w:div>
                  </w:divsChild>
                </w:div>
                <w:div w:id="432626148">
                  <w:marLeft w:val="0"/>
                  <w:marRight w:val="0"/>
                  <w:marTop w:val="0"/>
                  <w:marBottom w:val="0"/>
                  <w:divBdr>
                    <w:top w:val="none" w:sz="0" w:space="0" w:color="auto"/>
                    <w:left w:val="none" w:sz="0" w:space="0" w:color="auto"/>
                    <w:bottom w:val="none" w:sz="0" w:space="0" w:color="auto"/>
                    <w:right w:val="none" w:sz="0" w:space="0" w:color="auto"/>
                  </w:divBdr>
                  <w:divsChild>
                    <w:div w:id="619533292">
                      <w:marLeft w:val="0"/>
                      <w:marRight w:val="0"/>
                      <w:marTop w:val="0"/>
                      <w:marBottom w:val="0"/>
                      <w:divBdr>
                        <w:top w:val="none" w:sz="0" w:space="0" w:color="auto"/>
                        <w:left w:val="none" w:sz="0" w:space="0" w:color="auto"/>
                        <w:bottom w:val="none" w:sz="0" w:space="0" w:color="auto"/>
                        <w:right w:val="none" w:sz="0" w:space="0" w:color="auto"/>
                      </w:divBdr>
                    </w:div>
                  </w:divsChild>
                </w:div>
                <w:div w:id="435560469">
                  <w:marLeft w:val="0"/>
                  <w:marRight w:val="0"/>
                  <w:marTop w:val="0"/>
                  <w:marBottom w:val="0"/>
                  <w:divBdr>
                    <w:top w:val="none" w:sz="0" w:space="0" w:color="auto"/>
                    <w:left w:val="none" w:sz="0" w:space="0" w:color="auto"/>
                    <w:bottom w:val="none" w:sz="0" w:space="0" w:color="auto"/>
                    <w:right w:val="none" w:sz="0" w:space="0" w:color="auto"/>
                  </w:divBdr>
                  <w:divsChild>
                    <w:div w:id="1726100911">
                      <w:marLeft w:val="0"/>
                      <w:marRight w:val="0"/>
                      <w:marTop w:val="0"/>
                      <w:marBottom w:val="0"/>
                      <w:divBdr>
                        <w:top w:val="none" w:sz="0" w:space="0" w:color="auto"/>
                        <w:left w:val="none" w:sz="0" w:space="0" w:color="auto"/>
                        <w:bottom w:val="none" w:sz="0" w:space="0" w:color="auto"/>
                        <w:right w:val="none" w:sz="0" w:space="0" w:color="auto"/>
                      </w:divBdr>
                    </w:div>
                  </w:divsChild>
                </w:div>
                <w:div w:id="438456156">
                  <w:marLeft w:val="0"/>
                  <w:marRight w:val="0"/>
                  <w:marTop w:val="0"/>
                  <w:marBottom w:val="0"/>
                  <w:divBdr>
                    <w:top w:val="none" w:sz="0" w:space="0" w:color="auto"/>
                    <w:left w:val="none" w:sz="0" w:space="0" w:color="auto"/>
                    <w:bottom w:val="none" w:sz="0" w:space="0" w:color="auto"/>
                    <w:right w:val="none" w:sz="0" w:space="0" w:color="auto"/>
                  </w:divBdr>
                  <w:divsChild>
                    <w:div w:id="773983630">
                      <w:marLeft w:val="0"/>
                      <w:marRight w:val="0"/>
                      <w:marTop w:val="0"/>
                      <w:marBottom w:val="0"/>
                      <w:divBdr>
                        <w:top w:val="none" w:sz="0" w:space="0" w:color="auto"/>
                        <w:left w:val="none" w:sz="0" w:space="0" w:color="auto"/>
                        <w:bottom w:val="none" w:sz="0" w:space="0" w:color="auto"/>
                        <w:right w:val="none" w:sz="0" w:space="0" w:color="auto"/>
                      </w:divBdr>
                    </w:div>
                  </w:divsChild>
                </w:div>
                <w:div w:id="439104394">
                  <w:marLeft w:val="0"/>
                  <w:marRight w:val="0"/>
                  <w:marTop w:val="0"/>
                  <w:marBottom w:val="0"/>
                  <w:divBdr>
                    <w:top w:val="none" w:sz="0" w:space="0" w:color="auto"/>
                    <w:left w:val="none" w:sz="0" w:space="0" w:color="auto"/>
                    <w:bottom w:val="none" w:sz="0" w:space="0" w:color="auto"/>
                    <w:right w:val="none" w:sz="0" w:space="0" w:color="auto"/>
                  </w:divBdr>
                  <w:divsChild>
                    <w:div w:id="338697639">
                      <w:marLeft w:val="0"/>
                      <w:marRight w:val="0"/>
                      <w:marTop w:val="0"/>
                      <w:marBottom w:val="0"/>
                      <w:divBdr>
                        <w:top w:val="none" w:sz="0" w:space="0" w:color="auto"/>
                        <w:left w:val="none" w:sz="0" w:space="0" w:color="auto"/>
                        <w:bottom w:val="none" w:sz="0" w:space="0" w:color="auto"/>
                        <w:right w:val="none" w:sz="0" w:space="0" w:color="auto"/>
                      </w:divBdr>
                    </w:div>
                  </w:divsChild>
                </w:div>
                <w:div w:id="440154314">
                  <w:marLeft w:val="0"/>
                  <w:marRight w:val="0"/>
                  <w:marTop w:val="0"/>
                  <w:marBottom w:val="0"/>
                  <w:divBdr>
                    <w:top w:val="none" w:sz="0" w:space="0" w:color="auto"/>
                    <w:left w:val="none" w:sz="0" w:space="0" w:color="auto"/>
                    <w:bottom w:val="none" w:sz="0" w:space="0" w:color="auto"/>
                    <w:right w:val="none" w:sz="0" w:space="0" w:color="auto"/>
                  </w:divBdr>
                  <w:divsChild>
                    <w:div w:id="1058167692">
                      <w:marLeft w:val="0"/>
                      <w:marRight w:val="0"/>
                      <w:marTop w:val="0"/>
                      <w:marBottom w:val="0"/>
                      <w:divBdr>
                        <w:top w:val="none" w:sz="0" w:space="0" w:color="auto"/>
                        <w:left w:val="none" w:sz="0" w:space="0" w:color="auto"/>
                        <w:bottom w:val="none" w:sz="0" w:space="0" w:color="auto"/>
                        <w:right w:val="none" w:sz="0" w:space="0" w:color="auto"/>
                      </w:divBdr>
                    </w:div>
                  </w:divsChild>
                </w:div>
                <w:div w:id="445151441">
                  <w:marLeft w:val="0"/>
                  <w:marRight w:val="0"/>
                  <w:marTop w:val="0"/>
                  <w:marBottom w:val="0"/>
                  <w:divBdr>
                    <w:top w:val="none" w:sz="0" w:space="0" w:color="auto"/>
                    <w:left w:val="none" w:sz="0" w:space="0" w:color="auto"/>
                    <w:bottom w:val="none" w:sz="0" w:space="0" w:color="auto"/>
                    <w:right w:val="none" w:sz="0" w:space="0" w:color="auto"/>
                  </w:divBdr>
                  <w:divsChild>
                    <w:div w:id="695354243">
                      <w:marLeft w:val="0"/>
                      <w:marRight w:val="0"/>
                      <w:marTop w:val="0"/>
                      <w:marBottom w:val="0"/>
                      <w:divBdr>
                        <w:top w:val="none" w:sz="0" w:space="0" w:color="auto"/>
                        <w:left w:val="none" w:sz="0" w:space="0" w:color="auto"/>
                        <w:bottom w:val="none" w:sz="0" w:space="0" w:color="auto"/>
                        <w:right w:val="none" w:sz="0" w:space="0" w:color="auto"/>
                      </w:divBdr>
                    </w:div>
                  </w:divsChild>
                </w:div>
                <w:div w:id="455418306">
                  <w:marLeft w:val="0"/>
                  <w:marRight w:val="0"/>
                  <w:marTop w:val="0"/>
                  <w:marBottom w:val="0"/>
                  <w:divBdr>
                    <w:top w:val="none" w:sz="0" w:space="0" w:color="auto"/>
                    <w:left w:val="none" w:sz="0" w:space="0" w:color="auto"/>
                    <w:bottom w:val="none" w:sz="0" w:space="0" w:color="auto"/>
                    <w:right w:val="none" w:sz="0" w:space="0" w:color="auto"/>
                  </w:divBdr>
                  <w:divsChild>
                    <w:div w:id="1245728120">
                      <w:marLeft w:val="0"/>
                      <w:marRight w:val="0"/>
                      <w:marTop w:val="0"/>
                      <w:marBottom w:val="0"/>
                      <w:divBdr>
                        <w:top w:val="none" w:sz="0" w:space="0" w:color="auto"/>
                        <w:left w:val="none" w:sz="0" w:space="0" w:color="auto"/>
                        <w:bottom w:val="none" w:sz="0" w:space="0" w:color="auto"/>
                        <w:right w:val="none" w:sz="0" w:space="0" w:color="auto"/>
                      </w:divBdr>
                    </w:div>
                  </w:divsChild>
                </w:div>
                <w:div w:id="456223926">
                  <w:marLeft w:val="0"/>
                  <w:marRight w:val="0"/>
                  <w:marTop w:val="0"/>
                  <w:marBottom w:val="0"/>
                  <w:divBdr>
                    <w:top w:val="none" w:sz="0" w:space="0" w:color="auto"/>
                    <w:left w:val="none" w:sz="0" w:space="0" w:color="auto"/>
                    <w:bottom w:val="none" w:sz="0" w:space="0" w:color="auto"/>
                    <w:right w:val="none" w:sz="0" w:space="0" w:color="auto"/>
                  </w:divBdr>
                  <w:divsChild>
                    <w:div w:id="658385406">
                      <w:marLeft w:val="0"/>
                      <w:marRight w:val="0"/>
                      <w:marTop w:val="0"/>
                      <w:marBottom w:val="0"/>
                      <w:divBdr>
                        <w:top w:val="none" w:sz="0" w:space="0" w:color="auto"/>
                        <w:left w:val="none" w:sz="0" w:space="0" w:color="auto"/>
                        <w:bottom w:val="none" w:sz="0" w:space="0" w:color="auto"/>
                        <w:right w:val="none" w:sz="0" w:space="0" w:color="auto"/>
                      </w:divBdr>
                    </w:div>
                  </w:divsChild>
                </w:div>
                <w:div w:id="476841553">
                  <w:marLeft w:val="0"/>
                  <w:marRight w:val="0"/>
                  <w:marTop w:val="0"/>
                  <w:marBottom w:val="0"/>
                  <w:divBdr>
                    <w:top w:val="none" w:sz="0" w:space="0" w:color="auto"/>
                    <w:left w:val="none" w:sz="0" w:space="0" w:color="auto"/>
                    <w:bottom w:val="none" w:sz="0" w:space="0" w:color="auto"/>
                    <w:right w:val="none" w:sz="0" w:space="0" w:color="auto"/>
                  </w:divBdr>
                  <w:divsChild>
                    <w:div w:id="1474787093">
                      <w:marLeft w:val="0"/>
                      <w:marRight w:val="0"/>
                      <w:marTop w:val="0"/>
                      <w:marBottom w:val="0"/>
                      <w:divBdr>
                        <w:top w:val="none" w:sz="0" w:space="0" w:color="auto"/>
                        <w:left w:val="none" w:sz="0" w:space="0" w:color="auto"/>
                        <w:bottom w:val="none" w:sz="0" w:space="0" w:color="auto"/>
                        <w:right w:val="none" w:sz="0" w:space="0" w:color="auto"/>
                      </w:divBdr>
                    </w:div>
                  </w:divsChild>
                </w:div>
                <w:div w:id="535044720">
                  <w:marLeft w:val="0"/>
                  <w:marRight w:val="0"/>
                  <w:marTop w:val="0"/>
                  <w:marBottom w:val="0"/>
                  <w:divBdr>
                    <w:top w:val="none" w:sz="0" w:space="0" w:color="auto"/>
                    <w:left w:val="none" w:sz="0" w:space="0" w:color="auto"/>
                    <w:bottom w:val="none" w:sz="0" w:space="0" w:color="auto"/>
                    <w:right w:val="none" w:sz="0" w:space="0" w:color="auto"/>
                  </w:divBdr>
                  <w:divsChild>
                    <w:div w:id="835807907">
                      <w:marLeft w:val="0"/>
                      <w:marRight w:val="0"/>
                      <w:marTop w:val="0"/>
                      <w:marBottom w:val="0"/>
                      <w:divBdr>
                        <w:top w:val="none" w:sz="0" w:space="0" w:color="auto"/>
                        <w:left w:val="none" w:sz="0" w:space="0" w:color="auto"/>
                        <w:bottom w:val="none" w:sz="0" w:space="0" w:color="auto"/>
                        <w:right w:val="none" w:sz="0" w:space="0" w:color="auto"/>
                      </w:divBdr>
                    </w:div>
                  </w:divsChild>
                </w:div>
                <w:div w:id="545721577">
                  <w:marLeft w:val="0"/>
                  <w:marRight w:val="0"/>
                  <w:marTop w:val="0"/>
                  <w:marBottom w:val="0"/>
                  <w:divBdr>
                    <w:top w:val="none" w:sz="0" w:space="0" w:color="auto"/>
                    <w:left w:val="none" w:sz="0" w:space="0" w:color="auto"/>
                    <w:bottom w:val="none" w:sz="0" w:space="0" w:color="auto"/>
                    <w:right w:val="none" w:sz="0" w:space="0" w:color="auto"/>
                  </w:divBdr>
                  <w:divsChild>
                    <w:div w:id="807632065">
                      <w:marLeft w:val="0"/>
                      <w:marRight w:val="0"/>
                      <w:marTop w:val="0"/>
                      <w:marBottom w:val="0"/>
                      <w:divBdr>
                        <w:top w:val="none" w:sz="0" w:space="0" w:color="auto"/>
                        <w:left w:val="none" w:sz="0" w:space="0" w:color="auto"/>
                        <w:bottom w:val="none" w:sz="0" w:space="0" w:color="auto"/>
                        <w:right w:val="none" w:sz="0" w:space="0" w:color="auto"/>
                      </w:divBdr>
                    </w:div>
                  </w:divsChild>
                </w:div>
                <w:div w:id="557282063">
                  <w:marLeft w:val="0"/>
                  <w:marRight w:val="0"/>
                  <w:marTop w:val="0"/>
                  <w:marBottom w:val="0"/>
                  <w:divBdr>
                    <w:top w:val="none" w:sz="0" w:space="0" w:color="auto"/>
                    <w:left w:val="none" w:sz="0" w:space="0" w:color="auto"/>
                    <w:bottom w:val="none" w:sz="0" w:space="0" w:color="auto"/>
                    <w:right w:val="none" w:sz="0" w:space="0" w:color="auto"/>
                  </w:divBdr>
                  <w:divsChild>
                    <w:div w:id="50423146">
                      <w:marLeft w:val="0"/>
                      <w:marRight w:val="0"/>
                      <w:marTop w:val="0"/>
                      <w:marBottom w:val="0"/>
                      <w:divBdr>
                        <w:top w:val="none" w:sz="0" w:space="0" w:color="auto"/>
                        <w:left w:val="none" w:sz="0" w:space="0" w:color="auto"/>
                        <w:bottom w:val="none" w:sz="0" w:space="0" w:color="auto"/>
                        <w:right w:val="none" w:sz="0" w:space="0" w:color="auto"/>
                      </w:divBdr>
                    </w:div>
                    <w:div w:id="565148831">
                      <w:marLeft w:val="0"/>
                      <w:marRight w:val="0"/>
                      <w:marTop w:val="0"/>
                      <w:marBottom w:val="0"/>
                      <w:divBdr>
                        <w:top w:val="none" w:sz="0" w:space="0" w:color="auto"/>
                        <w:left w:val="none" w:sz="0" w:space="0" w:color="auto"/>
                        <w:bottom w:val="none" w:sz="0" w:space="0" w:color="auto"/>
                        <w:right w:val="none" w:sz="0" w:space="0" w:color="auto"/>
                      </w:divBdr>
                    </w:div>
                    <w:div w:id="694960578">
                      <w:marLeft w:val="0"/>
                      <w:marRight w:val="0"/>
                      <w:marTop w:val="0"/>
                      <w:marBottom w:val="0"/>
                      <w:divBdr>
                        <w:top w:val="none" w:sz="0" w:space="0" w:color="auto"/>
                        <w:left w:val="none" w:sz="0" w:space="0" w:color="auto"/>
                        <w:bottom w:val="none" w:sz="0" w:space="0" w:color="auto"/>
                        <w:right w:val="none" w:sz="0" w:space="0" w:color="auto"/>
                      </w:divBdr>
                    </w:div>
                    <w:div w:id="977540091">
                      <w:marLeft w:val="0"/>
                      <w:marRight w:val="0"/>
                      <w:marTop w:val="0"/>
                      <w:marBottom w:val="0"/>
                      <w:divBdr>
                        <w:top w:val="none" w:sz="0" w:space="0" w:color="auto"/>
                        <w:left w:val="none" w:sz="0" w:space="0" w:color="auto"/>
                        <w:bottom w:val="none" w:sz="0" w:space="0" w:color="auto"/>
                        <w:right w:val="none" w:sz="0" w:space="0" w:color="auto"/>
                      </w:divBdr>
                    </w:div>
                    <w:div w:id="1205630460">
                      <w:marLeft w:val="0"/>
                      <w:marRight w:val="0"/>
                      <w:marTop w:val="0"/>
                      <w:marBottom w:val="0"/>
                      <w:divBdr>
                        <w:top w:val="none" w:sz="0" w:space="0" w:color="auto"/>
                        <w:left w:val="none" w:sz="0" w:space="0" w:color="auto"/>
                        <w:bottom w:val="none" w:sz="0" w:space="0" w:color="auto"/>
                        <w:right w:val="none" w:sz="0" w:space="0" w:color="auto"/>
                      </w:divBdr>
                    </w:div>
                    <w:div w:id="2013950899">
                      <w:marLeft w:val="0"/>
                      <w:marRight w:val="0"/>
                      <w:marTop w:val="0"/>
                      <w:marBottom w:val="0"/>
                      <w:divBdr>
                        <w:top w:val="none" w:sz="0" w:space="0" w:color="auto"/>
                        <w:left w:val="none" w:sz="0" w:space="0" w:color="auto"/>
                        <w:bottom w:val="none" w:sz="0" w:space="0" w:color="auto"/>
                        <w:right w:val="none" w:sz="0" w:space="0" w:color="auto"/>
                      </w:divBdr>
                    </w:div>
                    <w:div w:id="2047102999">
                      <w:marLeft w:val="0"/>
                      <w:marRight w:val="0"/>
                      <w:marTop w:val="0"/>
                      <w:marBottom w:val="0"/>
                      <w:divBdr>
                        <w:top w:val="none" w:sz="0" w:space="0" w:color="auto"/>
                        <w:left w:val="none" w:sz="0" w:space="0" w:color="auto"/>
                        <w:bottom w:val="none" w:sz="0" w:space="0" w:color="auto"/>
                        <w:right w:val="none" w:sz="0" w:space="0" w:color="auto"/>
                      </w:divBdr>
                    </w:div>
                  </w:divsChild>
                </w:div>
                <w:div w:id="558245750">
                  <w:marLeft w:val="0"/>
                  <w:marRight w:val="0"/>
                  <w:marTop w:val="0"/>
                  <w:marBottom w:val="0"/>
                  <w:divBdr>
                    <w:top w:val="none" w:sz="0" w:space="0" w:color="auto"/>
                    <w:left w:val="none" w:sz="0" w:space="0" w:color="auto"/>
                    <w:bottom w:val="none" w:sz="0" w:space="0" w:color="auto"/>
                    <w:right w:val="none" w:sz="0" w:space="0" w:color="auto"/>
                  </w:divBdr>
                  <w:divsChild>
                    <w:div w:id="265969268">
                      <w:marLeft w:val="0"/>
                      <w:marRight w:val="0"/>
                      <w:marTop w:val="0"/>
                      <w:marBottom w:val="0"/>
                      <w:divBdr>
                        <w:top w:val="none" w:sz="0" w:space="0" w:color="auto"/>
                        <w:left w:val="none" w:sz="0" w:space="0" w:color="auto"/>
                        <w:bottom w:val="none" w:sz="0" w:space="0" w:color="auto"/>
                        <w:right w:val="none" w:sz="0" w:space="0" w:color="auto"/>
                      </w:divBdr>
                    </w:div>
                  </w:divsChild>
                </w:div>
                <w:div w:id="576208653">
                  <w:marLeft w:val="0"/>
                  <w:marRight w:val="0"/>
                  <w:marTop w:val="0"/>
                  <w:marBottom w:val="0"/>
                  <w:divBdr>
                    <w:top w:val="none" w:sz="0" w:space="0" w:color="auto"/>
                    <w:left w:val="none" w:sz="0" w:space="0" w:color="auto"/>
                    <w:bottom w:val="none" w:sz="0" w:space="0" w:color="auto"/>
                    <w:right w:val="none" w:sz="0" w:space="0" w:color="auto"/>
                  </w:divBdr>
                  <w:divsChild>
                    <w:div w:id="1984430531">
                      <w:marLeft w:val="0"/>
                      <w:marRight w:val="0"/>
                      <w:marTop w:val="0"/>
                      <w:marBottom w:val="0"/>
                      <w:divBdr>
                        <w:top w:val="none" w:sz="0" w:space="0" w:color="auto"/>
                        <w:left w:val="none" w:sz="0" w:space="0" w:color="auto"/>
                        <w:bottom w:val="none" w:sz="0" w:space="0" w:color="auto"/>
                        <w:right w:val="none" w:sz="0" w:space="0" w:color="auto"/>
                      </w:divBdr>
                    </w:div>
                  </w:divsChild>
                </w:div>
                <w:div w:id="576979720">
                  <w:marLeft w:val="0"/>
                  <w:marRight w:val="0"/>
                  <w:marTop w:val="0"/>
                  <w:marBottom w:val="0"/>
                  <w:divBdr>
                    <w:top w:val="none" w:sz="0" w:space="0" w:color="auto"/>
                    <w:left w:val="none" w:sz="0" w:space="0" w:color="auto"/>
                    <w:bottom w:val="none" w:sz="0" w:space="0" w:color="auto"/>
                    <w:right w:val="none" w:sz="0" w:space="0" w:color="auto"/>
                  </w:divBdr>
                  <w:divsChild>
                    <w:div w:id="1656106211">
                      <w:marLeft w:val="0"/>
                      <w:marRight w:val="0"/>
                      <w:marTop w:val="0"/>
                      <w:marBottom w:val="0"/>
                      <w:divBdr>
                        <w:top w:val="none" w:sz="0" w:space="0" w:color="auto"/>
                        <w:left w:val="none" w:sz="0" w:space="0" w:color="auto"/>
                        <w:bottom w:val="none" w:sz="0" w:space="0" w:color="auto"/>
                        <w:right w:val="none" w:sz="0" w:space="0" w:color="auto"/>
                      </w:divBdr>
                    </w:div>
                  </w:divsChild>
                </w:div>
                <w:div w:id="632910887">
                  <w:marLeft w:val="0"/>
                  <w:marRight w:val="0"/>
                  <w:marTop w:val="0"/>
                  <w:marBottom w:val="0"/>
                  <w:divBdr>
                    <w:top w:val="none" w:sz="0" w:space="0" w:color="auto"/>
                    <w:left w:val="none" w:sz="0" w:space="0" w:color="auto"/>
                    <w:bottom w:val="none" w:sz="0" w:space="0" w:color="auto"/>
                    <w:right w:val="none" w:sz="0" w:space="0" w:color="auto"/>
                  </w:divBdr>
                  <w:divsChild>
                    <w:div w:id="416830551">
                      <w:marLeft w:val="0"/>
                      <w:marRight w:val="0"/>
                      <w:marTop w:val="0"/>
                      <w:marBottom w:val="0"/>
                      <w:divBdr>
                        <w:top w:val="none" w:sz="0" w:space="0" w:color="auto"/>
                        <w:left w:val="none" w:sz="0" w:space="0" w:color="auto"/>
                        <w:bottom w:val="none" w:sz="0" w:space="0" w:color="auto"/>
                        <w:right w:val="none" w:sz="0" w:space="0" w:color="auto"/>
                      </w:divBdr>
                    </w:div>
                  </w:divsChild>
                </w:div>
                <w:div w:id="634717308">
                  <w:marLeft w:val="0"/>
                  <w:marRight w:val="0"/>
                  <w:marTop w:val="0"/>
                  <w:marBottom w:val="0"/>
                  <w:divBdr>
                    <w:top w:val="none" w:sz="0" w:space="0" w:color="auto"/>
                    <w:left w:val="none" w:sz="0" w:space="0" w:color="auto"/>
                    <w:bottom w:val="none" w:sz="0" w:space="0" w:color="auto"/>
                    <w:right w:val="none" w:sz="0" w:space="0" w:color="auto"/>
                  </w:divBdr>
                  <w:divsChild>
                    <w:div w:id="1586495933">
                      <w:marLeft w:val="0"/>
                      <w:marRight w:val="0"/>
                      <w:marTop w:val="0"/>
                      <w:marBottom w:val="0"/>
                      <w:divBdr>
                        <w:top w:val="none" w:sz="0" w:space="0" w:color="auto"/>
                        <w:left w:val="none" w:sz="0" w:space="0" w:color="auto"/>
                        <w:bottom w:val="none" w:sz="0" w:space="0" w:color="auto"/>
                        <w:right w:val="none" w:sz="0" w:space="0" w:color="auto"/>
                      </w:divBdr>
                    </w:div>
                  </w:divsChild>
                </w:div>
                <w:div w:id="642395986">
                  <w:marLeft w:val="0"/>
                  <w:marRight w:val="0"/>
                  <w:marTop w:val="0"/>
                  <w:marBottom w:val="0"/>
                  <w:divBdr>
                    <w:top w:val="none" w:sz="0" w:space="0" w:color="auto"/>
                    <w:left w:val="none" w:sz="0" w:space="0" w:color="auto"/>
                    <w:bottom w:val="none" w:sz="0" w:space="0" w:color="auto"/>
                    <w:right w:val="none" w:sz="0" w:space="0" w:color="auto"/>
                  </w:divBdr>
                  <w:divsChild>
                    <w:div w:id="659501320">
                      <w:marLeft w:val="0"/>
                      <w:marRight w:val="0"/>
                      <w:marTop w:val="0"/>
                      <w:marBottom w:val="0"/>
                      <w:divBdr>
                        <w:top w:val="none" w:sz="0" w:space="0" w:color="auto"/>
                        <w:left w:val="none" w:sz="0" w:space="0" w:color="auto"/>
                        <w:bottom w:val="none" w:sz="0" w:space="0" w:color="auto"/>
                        <w:right w:val="none" w:sz="0" w:space="0" w:color="auto"/>
                      </w:divBdr>
                    </w:div>
                  </w:divsChild>
                </w:div>
                <w:div w:id="648486917">
                  <w:marLeft w:val="0"/>
                  <w:marRight w:val="0"/>
                  <w:marTop w:val="0"/>
                  <w:marBottom w:val="0"/>
                  <w:divBdr>
                    <w:top w:val="none" w:sz="0" w:space="0" w:color="auto"/>
                    <w:left w:val="none" w:sz="0" w:space="0" w:color="auto"/>
                    <w:bottom w:val="none" w:sz="0" w:space="0" w:color="auto"/>
                    <w:right w:val="none" w:sz="0" w:space="0" w:color="auto"/>
                  </w:divBdr>
                  <w:divsChild>
                    <w:div w:id="1083600781">
                      <w:marLeft w:val="0"/>
                      <w:marRight w:val="0"/>
                      <w:marTop w:val="0"/>
                      <w:marBottom w:val="0"/>
                      <w:divBdr>
                        <w:top w:val="none" w:sz="0" w:space="0" w:color="auto"/>
                        <w:left w:val="none" w:sz="0" w:space="0" w:color="auto"/>
                        <w:bottom w:val="none" w:sz="0" w:space="0" w:color="auto"/>
                        <w:right w:val="none" w:sz="0" w:space="0" w:color="auto"/>
                      </w:divBdr>
                    </w:div>
                  </w:divsChild>
                </w:div>
                <w:div w:id="654801841">
                  <w:marLeft w:val="0"/>
                  <w:marRight w:val="0"/>
                  <w:marTop w:val="0"/>
                  <w:marBottom w:val="0"/>
                  <w:divBdr>
                    <w:top w:val="none" w:sz="0" w:space="0" w:color="auto"/>
                    <w:left w:val="none" w:sz="0" w:space="0" w:color="auto"/>
                    <w:bottom w:val="none" w:sz="0" w:space="0" w:color="auto"/>
                    <w:right w:val="none" w:sz="0" w:space="0" w:color="auto"/>
                  </w:divBdr>
                  <w:divsChild>
                    <w:div w:id="1581138930">
                      <w:marLeft w:val="0"/>
                      <w:marRight w:val="0"/>
                      <w:marTop w:val="0"/>
                      <w:marBottom w:val="0"/>
                      <w:divBdr>
                        <w:top w:val="none" w:sz="0" w:space="0" w:color="auto"/>
                        <w:left w:val="none" w:sz="0" w:space="0" w:color="auto"/>
                        <w:bottom w:val="none" w:sz="0" w:space="0" w:color="auto"/>
                        <w:right w:val="none" w:sz="0" w:space="0" w:color="auto"/>
                      </w:divBdr>
                    </w:div>
                  </w:divsChild>
                </w:div>
                <w:div w:id="661929342">
                  <w:marLeft w:val="0"/>
                  <w:marRight w:val="0"/>
                  <w:marTop w:val="0"/>
                  <w:marBottom w:val="0"/>
                  <w:divBdr>
                    <w:top w:val="none" w:sz="0" w:space="0" w:color="auto"/>
                    <w:left w:val="none" w:sz="0" w:space="0" w:color="auto"/>
                    <w:bottom w:val="none" w:sz="0" w:space="0" w:color="auto"/>
                    <w:right w:val="none" w:sz="0" w:space="0" w:color="auto"/>
                  </w:divBdr>
                  <w:divsChild>
                    <w:div w:id="1023167024">
                      <w:marLeft w:val="0"/>
                      <w:marRight w:val="0"/>
                      <w:marTop w:val="0"/>
                      <w:marBottom w:val="0"/>
                      <w:divBdr>
                        <w:top w:val="none" w:sz="0" w:space="0" w:color="auto"/>
                        <w:left w:val="none" w:sz="0" w:space="0" w:color="auto"/>
                        <w:bottom w:val="none" w:sz="0" w:space="0" w:color="auto"/>
                        <w:right w:val="none" w:sz="0" w:space="0" w:color="auto"/>
                      </w:divBdr>
                    </w:div>
                  </w:divsChild>
                </w:div>
                <w:div w:id="668293955">
                  <w:marLeft w:val="0"/>
                  <w:marRight w:val="0"/>
                  <w:marTop w:val="0"/>
                  <w:marBottom w:val="0"/>
                  <w:divBdr>
                    <w:top w:val="none" w:sz="0" w:space="0" w:color="auto"/>
                    <w:left w:val="none" w:sz="0" w:space="0" w:color="auto"/>
                    <w:bottom w:val="none" w:sz="0" w:space="0" w:color="auto"/>
                    <w:right w:val="none" w:sz="0" w:space="0" w:color="auto"/>
                  </w:divBdr>
                  <w:divsChild>
                    <w:div w:id="1536309393">
                      <w:marLeft w:val="0"/>
                      <w:marRight w:val="0"/>
                      <w:marTop w:val="0"/>
                      <w:marBottom w:val="0"/>
                      <w:divBdr>
                        <w:top w:val="none" w:sz="0" w:space="0" w:color="auto"/>
                        <w:left w:val="none" w:sz="0" w:space="0" w:color="auto"/>
                        <w:bottom w:val="none" w:sz="0" w:space="0" w:color="auto"/>
                        <w:right w:val="none" w:sz="0" w:space="0" w:color="auto"/>
                      </w:divBdr>
                    </w:div>
                  </w:divsChild>
                </w:div>
                <w:div w:id="672607270">
                  <w:marLeft w:val="0"/>
                  <w:marRight w:val="0"/>
                  <w:marTop w:val="0"/>
                  <w:marBottom w:val="0"/>
                  <w:divBdr>
                    <w:top w:val="none" w:sz="0" w:space="0" w:color="auto"/>
                    <w:left w:val="none" w:sz="0" w:space="0" w:color="auto"/>
                    <w:bottom w:val="none" w:sz="0" w:space="0" w:color="auto"/>
                    <w:right w:val="none" w:sz="0" w:space="0" w:color="auto"/>
                  </w:divBdr>
                  <w:divsChild>
                    <w:div w:id="316307572">
                      <w:marLeft w:val="0"/>
                      <w:marRight w:val="0"/>
                      <w:marTop w:val="0"/>
                      <w:marBottom w:val="0"/>
                      <w:divBdr>
                        <w:top w:val="none" w:sz="0" w:space="0" w:color="auto"/>
                        <w:left w:val="none" w:sz="0" w:space="0" w:color="auto"/>
                        <w:bottom w:val="none" w:sz="0" w:space="0" w:color="auto"/>
                        <w:right w:val="none" w:sz="0" w:space="0" w:color="auto"/>
                      </w:divBdr>
                    </w:div>
                  </w:divsChild>
                </w:div>
                <w:div w:id="682435979">
                  <w:marLeft w:val="0"/>
                  <w:marRight w:val="0"/>
                  <w:marTop w:val="0"/>
                  <w:marBottom w:val="0"/>
                  <w:divBdr>
                    <w:top w:val="none" w:sz="0" w:space="0" w:color="auto"/>
                    <w:left w:val="none" w:sz="0" w:space="0" w:color="auto"/>
                    <w:bottom w:val="none" w:sz="0" w:space="0" w:color="auto"/>
                    <w:right w:val="none" w:sz="0" w:space="0" w:color="auto"/>
                  </w:divBdr>
                  <w:divsChild>
                    <w:div w:id="1730302923">
                      <w:marLeft w:val="0"/>
                      <w:marRight w:val="0"/>
                      <w:marTop w:val="0"/>
                      <w:marBottom w:val="0"/>
                      <w:divBdr>
                        <w:top w:val="none" w:sz="0" w:space="0" w:color="auto"/>
                        <w:left w:val="none" w:sz="0" w:space="0" w:color="auto"/>
                        <w:bottom w:val="none" w:sz="0" w:space="0" w:color="auto"/>
                        <w:right w:val="none" w:sz="0" w:space="0" w:color="auto"/>
                      </w:divBdr>
                    </w:div>
                  </w:divsChild>
                </w:div>
                <w:div w:id="696391119">
                  <w:marLeft w:val="0"/>
                  <w:marRight w:val="0"/>
                  <w:marTop w:val="0"/>
                  <w:marBottom w:val="0"/>
                  <w:divBdr>
                    <w:top w:val="none" w:sz="0" w:space="0" w:color="auto"/>
                    <w:left w:val="none" w:sz="0" w:space="0" w:color="auto"/>
                    <w:bottom w:val="none" w:sz="0" w:space="0" w:color="auto"/>
                    <w:right w:val="none" w:sz="0" w:space="0" w:color="auto"/>
                  </w:divBdr>
                  <w:divsChild>
                    <w:div w:id="1069112948">
                      <w:marLeft w:val="0"/>
                      <w:marRight w:val="0"/>
                      <w:marTop w:val="0"/>
                      <w:marBottom w:val="0"/>
                      <w:divBdr>
                        <w:top w:val="none" w:sz="0" w:space="0" w:color="auto"/>
                        <w:left w:val="none" w:sz="0" w:space="0" w:color="auto"/>
                        <w:bottom w:val="none" w:sz="0" w:space="0" w:color="auto"/>
                        <w:right w:val="none" w:sz="0" w:space="0" w:color="auto"/>
                      </w:divBdr>
                    </w:div>
                  </w:divsChild>
                </w:div>
                <w:div w:id="699286419">
                  <w:marLeft w:val="0"/>
                  <w:marRight w:val="0"/>
                  <w:marTop w:val="0"/>
                  <w:marBottom w:val="0"/>
                  <w:divBdr>
                    <w:top w:val="none" w:sz="0" w:space="0" w:color="auto"/>
                    <w:left w:val="none" w:sz="0" w:space="0" w:color="auto"/>
                    <w:bottom w:val="none" w:sz="0" w:space="0" w:color="auto"/>
                    <w:right w:val="none" w:sz="0" w:space="0" w:color="auto"/>
                  </w:divBdr>
                  <w:divsChild>
                    <w:div w:id="1194461903">
                      <w:marLeft w:val="0"/>
                      <w:marRight w:val="0"/>
                      <w:marTop w:val="0"/>
                      <w:marBottom w:val="0"/>
                      <w:divBdr>
                        <w:top w:val="none" w:sz="0" w:space="0" w:color="auto"/>
                        <w:left w:val="none" w:sz="0" w:space="0" w:color="auto"/>
                        <w:bottom w:val="none" w:sz="0" w:space="0" w:color="auto"/>
                        <w:right w:val="none" w:sz="0" w:space="0" w:color="auto"/>
                      </w:divBdr>
                    </w:div>
                  </w:divsChild>
                </w:div>
                <w:div w:id="700283374">
                  <w:marLeft w:val="0"/>
                  <w:marRight w:val="0"/>
                  <w:marTop w:val="0"/>
                  <w:marBottom w:val="0"/>
                  <w:divBdr>
                    <w:top w:val="none" w:sz="0" w:space="0" w:color="auto"/>
                    <w:left w:val="none" w:sz="0" w:space="0" w:color="auto"/>
                    <w:bottom w:val="none" w:sz="0" w:space="0" w:color="auto"/>
                    <w:right w:val="none" w:sz="0" w:space="0" w:color="auto"/>
                  </w:divBdr>
                  <w:divsChild>
                    <w:div w:id="254943592">
                      <w:marLeft w:val="0"/>
                      <w:marRight w:val="0"/>
                      <w:marTop w:val="0"/>
                      <w:marBottom w:val="0"/>
                      <w:divBdr>
                        <w:top w:val="none" w:sz="0" w:space="0" w:color="auto"/>
                        <w:left w:val="none" w:sz="0" w:space="0" w:color="auto"/>
                        <w:bottom w:val="none" w:sz="0" w:space="0" w:color="auto"/>
                        <w:right w:val="none" w:sz="0" w:space="0" w:color="auto"/>
                      </w:divBdr>
                    </w:div>
                  </w:divsChild>
                </w:div>
                <w:div w:id="704210222">
                  <w:marLeft w:val="0"/>
                  <w:marRight w:val="0"/>
                  <w:marTop w:val="0"/>
                  <w:marBottom w:val="0"/>
                  <w:divBdr>
                    <w:top w:val="none" w:sz="0" w:space="0" w:color="auto"/>
                    <w:left w:val="none" w:sz="0" w:space="0" w:color="auto"/>
                    <w:bottom w:val="none" w:sz="0" w:space="0" w:color="auto"/>
                    <w:right w:val="none" w:sz="0" w:space="0" w:color="auto"/>
                  </w:divBdr>
                  <w:divsChild>
                    <w:div w:id="1445997345">
                      <w:marLeft w:val="0"/>
                      <w:marRight w:val="0"/>
                      <w:marTop w:val="0"/>
                      <w:marBottom w:val="0"/>
                      <w:divBdr>
                        <w:top w:val="none" w:sz="0" w:space="0" w:color="auto"/>
                        <w:left w:val="none" w:sz="0" w:space="0" w:color="auto"/>
                        <w:bottom w:val="none" w:sz="0" w:space="0" w:color="auto"/>
                        <w:right w:val="none" w:sz="0" w:space="0" w:color="auto"/>
                      </w:divBdr>
                    </w:div>
                  </w:divsChild>
                </w:div>
                <w:div w:id="720789906">
                  <w:marLeft w:val="0"/>
                  <w:marRight w:val="0"/>
                  <w:marTop w:val="0"/>
                  <w:marBottom w:val="0"/>
                  <w:divBdr>
                    <w:top w:val="none" w:sz="0" w:space="0" w:color="auto"/>
                    <w:left w:val="none" w:sz="0" w:space="0" w:color="auto"/>
                    <w:bottom w:val="none" w:sz="0" w:space="0" w:color="auto"/>
                    <w:right w:val="none" w:sz="0" w:space="0" w:color="auto"/>
                  </w:divBdr>
                  <w:divsChild>
                    <w:div w:id="426971422">
                      <w:marLeft w:val="0"/>
                      <w:marRight w:val="0"/>
                      <w:marTop w:val="0"/>
                      <w:marBottom w:val="0"/>
                      <w:divBdr>
                        <w:top w:val="none" w:sz="0" w:space="0" w:color="auto"/>
                        <w:left w:val="none" w:sz="0" w:space="0" w:color="auto"/>
                        <w:bottom w:val="none" w:sz="0" w:space="0" w:color="auto"/>
                        <w:right w:val="none" w:sz="0" w:space="0" w:color="auto"/>
                      </w:divBdr>
                    </w:div>
                  </w:divsChild>
                </w:div>
                <w:div w:id="729692213">
                  <w:marLeft w:val="0"/>
                  <w:marRight w:val="0"/>
                  <w:marTop w:val="0"/>
                  <w:marBottom w:val="0"/>
                  <w:divBdr>
                    <w:top w:val="none" w:sz="0" w:space="0" w:color="auto"/>
                    <w:left w:val="none" w:sz="0" w:space="0" w:color="auto"/>
                    <w:bottom w:val="none" w:sz="0" w:space="0" w:color="auto"/>
                    <w:right w:val="none" w:sz="0" w:space="0" w:color="auto"/>
                  </w:divBdr>
                  <w:divsChild>
                    <w:div w:id="342242766">
                      <w:marLeft w:val="0"/>
                      <w:marRight w:val="0"/>
                      <w:marTop w:val="0"/>
                      <w:marBottom w:val="0"/>
                      <w:divBdr>
                        <w:top w:val="none" w:sz="0" w:space="0" w:color="auto"/>
                        <w:left w:val="none" w:sz="0" w:space="0" w:color="auto"/>
                        <w:bottom w:val="none" w:sz="0" w:space="0" w:color="auto"/>
                        <w:right w:val="none" w:sz="0" w:space="0" w:color="auto"/>
                      </w:divBdr>
                    </w:div>
                  </w:divsChild>
                </w:div>
                <w:div w:id="738868716">
                  <w:marLeft w:val="0"/>
                  <w:marRight w:val="0"/>
                  <w:marTop w:val="0"/>
                  <w:marBottom w:val="0"/>
                  <w:divBdr>
                    <w:top w:val="none" w:sz="0" w:space="0" w:color="auto"/>
                    <w:left w:val="none" w:sz="0" w:space="0" w:color="auto"/>
                    <w:bottom w:val="none" w:sz="0" w:space="0" w:color="auto"/>
                    <w:right w:val="none" w:sz="0" w:space="0" w:color="auto"/>
                  </w:divBdr>
                  <w:divsChild>
                    <w:div w:id="1460371272">
                      <w:marLeft w:val="0"/>
                      <w:marRight w:val="0"/>
                      <w:marTop w:val="0"/>
                      <w:marBottom w:val="0"/>
                      <w:divBdr>
                        <w:top w:val="none" w:sz="0" w:space="0" w:color="auto"/>
                        <w:left w:val="none" w:sz="0" w:space="0" w:color="auto"/>
                        <w:bottom w:val="none" w:sz="0" w:space="0" w:color="auto"/>
                        <w:right w:val="none" w:sz="0" w:space="0" w:color="auto"/>
                      </w:divBdr>
                    </w:div>
                  </w:divsChild>
                </w:div>
                <w:div w:id="742340663">
                  <w:marLeft w:val="0"/>
                  <w:marRight w:val="0"/>
                  <w:marTop w:val="0"/>
                  <w:marBottom w:val="0"/>
                  <w:divBdr>
                    <w:top w:val="none" w:sz="0" w:space="0" w:color="auto"/>
                    <w:left w:val="none" w:sz="0" w:space="0" w:color="auto"/>
                    <w:bottom w:val="none" w:sz="0" w:space="0" w:color="auto"/>
                    <w:right w:val="none" w:sz="0" w:space="0" w:color="auto"/>
                  </w:divBdr>
                  <w:divsChild>
                    <w:div w:id="1331056026">
                      <w:marLeft w:val="0"/>
                      <w:marRight w:val="0"/>
                      <w:marTop w:val="0"/>
                      <w:marBottom w:val="0"/>
                      <w:divBdr>
                        <w:top w:val="none" w:sz="0" w:space="0" w:color="auto"/>
                        <w:left w:val="none" w:sz="0" w:space="0" w:color="auto"/>
                        <w:bottom w:val="none" w:sz="0" w:space="0" w:color="auto"/>
                        <w:right w:val="none" w:sz="0" w:space="0" w:color="auto"/>
                      </w:divBdr>
                    </w:div>
                  </w:divsChild>
                </w:div>
                <w:div w:id="751580824">
                  <w:marLeft w:val="0"/>
                  <w:marRight w:val="0"/>
                  <w:marTop w:val="0"/>
                  <w:marBottom w:val="0"/>
                  <w:divBdr>
                    <w:top w:val="none" w:sz="0" w:space="0" w:color="auto"/>
                    <w:left w:val="none" w:sz="0" w:space="0" w:color="auto"/>
                    <w:bottom w:val="none" w:sz="0" w:space="0" w:color="auto"/>
                    <w:right w:val="none" w:sz="0" w:space="0" w:color="auto"/>
                  </w:divBdr>
                  <w:divsChild>
                    <w:div w:id="1329022752">
                      <w:marLeft w:val="0"/>
                      <w:marRight w:val="0"/>
                      <w:marTop w:val="0"/>
                      <w:marBottom w:val="0"/>
                      <w:divBdr>
                        <w:top w:val="none" w:sz="0" w:space="0" w:color="auto"/>
                        <w:left w:val="none" w:sz="0" w:space="0" w:color="auto"/>
                        <w:bottom w:val="none" w:sz="0" w:space="0" w:color="auto"/>
                        <w:right w:val="none" w:sz="0" w:space="0" w:color="auto"/>
                      </w:divBdr>
                    </w:div>
                  </w:divsChild>
                </w:div>
                <w:div w:id="778838321">
                  <w:marLeft w:val="0"/>
                  <w:marRight w:val="0"/>
                  <w:marTop w:val="0"/>
                  <w:marBottom w:val="0"/>
                  <w:divBdr>
                    <w:top w:val="none" w:sz="0" w:space="0" w:color="auto"/>
                    <w:left w:val="none" w:sz="0" w:space="0" w:color="auto"/>
                    <w:bottom w:val="none" w:sz="0" w:space="0" w:color="auto"/>
                    <w:right w:val="none" w:sz="0" w:space="0" w:color="auto"/>
                  </w:divBdr>
                  <w:divsChild>
                    <w:div w:id="1429347982">
                      <w:marLeft w:val="0"/>
                      <w:marRight w:val="0"/>
                      <w:marTop w:val="0"/>
                      <w:marBottom w:val="0"/>
                      <w:divBdr>
                        <w:top w:val="none" w:sz="0" w:space="0" w:color="auto"/>
                        <w:left w:val="none" w:sz="0" w:space="0" w:color="auto"/>
                        <w:bottom w:val="none" w:sz="0" w:space="0" w:color="auto"/>
                        <w:right w:val="none" w:sz="0" w:space="0" w:color="auto"/>
                      </w:divBdr>
                    </w:div>
                  </w:divsChild>
                </w:div>
                <w:div w:id="790396311">
                  <w:marLeft w:val="0"/>
                  <w:marRight w:val="0"/>
                  <w:marTop w:val="0"/>
                  <w:marBottom w:val="0"/>
                  <w:divBdr>
                    <w:top w:val="none" w:sz="0" w:space="0" w:color="auto"/>
                    <w:left w:val="none" w:sz="0" w:space="0" w:color="auto"/>
                    <w:bottom w:val="none" w:sz="0" w:space="0" w:color="auto"/>
                    <w:right w:val="none" w:sz="0" w:space="0" w:color="auto"/>
                  </w:divBdr>
                  <w:divsChild>
                    <w:div w:id="623197263">
                      <w:marLeft w:val="0"/>
                      <w:marRight w:val="0"/>
                      <w:marTop w:val="0"/>
                      <w:marBottom w:val="0"/>
                      <w:divBdr>
                        <w:top w:val="none" w:sz="0" w:space="0" w:color="auto"/>
                        <w:left w:val="none" w:sz="0" w:space="0" w:color="auto"/>
                        <w:bottom w:val="none" w:sz="0" w:space="0" w:color="auto"/>
                        <w:right w:val="none" w:sz="0" w:space="0" w:color="auto"/>
                      </w:divBdr>
                    </w:div>
                  </w:divsChild>
                </w:div>
                <w:div w:id="791944049">
                  <w:marLeft w:val="0"/>
                  <w:marRight w:val="0"/>
                  <w:marTop w:val="0"/>
                  <w:marBottom w:val="0"/>
                  <w:divBdr>
                    <w:top w:val="none" w:sz="0" w:space="0" w:color="auto"/>
                    <w:left w:val="none" w:sz="0" w:space="0" w:color="auto"/>
                    <w:bottom w:val="none" w:sz="0" w:space="0" w:color="auto"/>
                    <w:right w:val="none" w:sz="0" w:space="0" w:color="auto"/>
                  </w:divBdr>
                  <w:divsChild>
                    <w:div w:id="757294118">
                      <w:marLeft w:val="0"/>
                      <w:marRight w:val="0"/>
                      <w:marTop w:val="0"/>
                      <w:marBottom w:val="0"/>
                      <w:divBdr>
                        <w:top w:val="none" w:sz="0" w:space="0" w:color="auto"/>
                        <w:left w:val="none" w:sz="0" w:space="0" w:color="auto"/>
                        <w:bottom w:val="none" w:sz="0" w:space="0" w:color="auto"/>
                        <w:right w:val="none" w:sz="0" w:space="0" w:color="auto"/>
                      </w:divBdr>
                    </w:div>
                  </w:divsChild>
                </w:div>
                <w:div w:id="801464481">
                  <w:marLeft w:val="0"/>
                  <w:marRight w:val="0"/>
                  <w:marTop w:val="0"/>
                  <w:marBottom w:val="0"/>
                  <w:divBdr>
                    <w:top w:val="none" w:sz="0" w:space="0" w:color="auto"/>
                    <w:left w:val="none" w:sz="0" w:space="0" w:color="auto"/>
                    <w:bottom w:val="none" w:sz="0" w:space="0" w:color="auto"/>
                    <w:right w:val="none" w:sz="0" w:space="0" w:color="auto"/>
                  </w:divBdr>
                  <w:divsChild>
                    <w:div w:id="1033725073">
                      <w:marLeft w:val="0"/>
                      <w:marRight w:val="0"/>
                      <w:marTop w:val="0"/>
                      <w:marBottom w:val="0"/>
                      <w:divBdr>
                        <w:top w:val="none" w:sz="0" w:space="0" w:color="auto"/>
                        <w:left w:val="none" w:sz="0" w:space="0" w:color="auto"/>
                        <w:bottom w:val="none" w:sz="0" w:space="0" w:color="auto"/>
                        <w:right w:val="none" w:sz="0" w:space="0" w:color="auto"/>
                      </w:divBdr>
                    </w:div>
                  </w:divsChild>
                </w:div>
                <w:div w:id="803620437">
                  <w:marLeft w:val="0"/>
                  <w:marRight w:val="0"/>
                  <w:marTop w:val="0"/>
                  <w:marBottom w:val="0"/>
                  <w:divBdr>
                    <w:top w:val="none" w:sz="0" w:space="0" w:color="auto"/>
                    <w:left w:val="none" w:sz="0" w:space="0" w:color="auto"/>
                    <w:bottom w:val="none" w:sz="0" w:space="0" w:color="auto"/>
                    <w:right w:val="none" w:sz="0" w:space="0" w:color="auto"/>
                  </w:divBdr>
                  <w:divsChild>
                    <w:div w:id="624459009">
                      <w:marLeft w:val="0"/>
                      <w:marRight w:val="0"/>
                      <w:marTop w:val="0"/>
                      <w:marBottom w:val="0"/>
                      <w:divBdr>
                        <w:top w:val="none" w:sz="0" w:space="0" w:color="auto"/>
                        <w:left w:val="none" w:sz="0" w:space="0" w:color="auto"/>
                        <w:bottom w:val="none" w:sz="0" w:space="0" w:color="auto"/>
                        <w:right w:val="none" w:sz="0" w:space="0" w:color="auto"/>
                      </w:divBdr>
                    </w:div>
                  </w:divsChild>
                </w:div>
                <w:div w:id="808549804">
                  <w:marLeft w:val="0"/>
                  <w:marRight w:val="0"/>
                  <w:marTop w:val="0"/>
                  <w:marBottom w:val="0"/>
                  <w:divBdr>
                    <w:top w:val="none" w:sz="0" w:space="0" w:color="auto"/>
                    <w:left w:val="none" w:sz="0" w:space="0" w:color="auto"/>
                    <w:bottom w:val="none" w:sz="0" w:space="0" w:color="auto"/>
                    <w:right w:val="none" w:sz="0" w:space="0" w:color="auto"/>
                  </w:divBdr>
                  <w:divsChild>
                    <w:div w:id="1558516592">
                      <w:marLeft w:val="0"/>
                      <w:marRight w:val="0"/>
                      <w:marTop w:val="0"/>
                      <w:marBottom w:val="0"/>
                      <w:divBdr>
                        <w:top w:val="none" w:sz="0" w:space="0" w:color="auto"/>
                        <w:left w:val="none" w:sz="0" w:space="0" w:color="auto"/>
                        <w:bottom w:val="none" w:sz="0" w:space="0" w:color="auto"/>
                        <w:right w:val="none" w:sz="0" w:space="0" w:color="auto"/>
                      </w:divBdr>
                    </w:div>
                  </w:divsChild>
                </w:div>
                <w:div w:id="821506740">
                  <w:marLeft w:val="0"/>
                  <w:marRight w:val="0"/>
                  <w:marTop w:val="0"/>
                  <w:marBottom w:val="0"/>
                  <w:divBdr>
                    <w:top w:val="none" w:sz="0" w:space="0" w:color="auto"/>
                    <w:left w:val="none" w:sz="0" w:space="0" w:color="auto"/>
                    <w:bottom w:val="none" w:sz="0" w:space="0" w:color="auto"/>
                    <w:right w:val="none" w:sz="0" w:space="0" w:color="auto"/>
                  </w:divBdr>
                  <w:divsChild>
                    <w:div w:id="1485732440">
                      <w:marLeft w:val="0"/>
                      <w:marRight w:val="0"/>
                      <w:marTop w:val="0"/>
                      <w:marBottom w:val="0"/>
                      <w:divBdr>
                        <w:top w:val="none" w:sz="0" w:space="0" w:color="auto"/>
                        <w:left w:val="none" w:sz="0" w:space="0" w:color="auto"/>
                        <w:bottom w:val="none" w:sz="0" w:space="0" w:color="auto"/>
                        <w:right w:val="none" w:sz="0" w:space="0" w:color="auto"/>
                      </w:divBdr>
                    </w:div>
                  </w:divsChild>
                </w:div>
                <w:div w:id="853346620">
                  <w:marLeft w:val="0"/>
                  <w:marRight w:val="0"/>
                  <w:marTop w:val="0"/>
                  <w:marBottom w:val="0"/>
                  <w:divBdr>
                    <w:top w:val="none" w:sz="0" w:space="0" w:color="auto"/>
                    <w:left w:val="none" w:sz="0" w:space="0" w:color="auto"/>
                    <w:bottom w:val="none" w:sz="0" w:space="0" w:color="auto"/>
                    <w:right w:val="none" w:sz="0" w:space="0" w:color="auto"/>
                  </w:divBdr>
                  <w:divsChild>
                    <w:div w:id="1430814230">
                      <w:marLeft w:val="0"/>
                      <w:marRight w:val="0"/>
                      <w:marTop w:val="0"/>
                      <w:marBottom w:val="0"/>
                      <w:divBdr>
                        <w:top w:val="none" w:sz="0" w:space="0" w:color="auto"/>
                        <w:left w:val="none" w:sz="0" w:space="0" w:color="auto"/>
                        <w:bottom w:val="none" w:sz="0" w:space="0" w:color="auto"/>
                        <w:right w:val="none" w:sz="0" w:space="0" w:color="auto"/>
                      </w:divBdr>
                    </w:div>
                  </w:divsChild>
                </w:div>
                <w:div w:id="874199134">
                  <w:marLeft w:val="0"/>
                  <w:marRight w:val="0"/>
                  <w:marTop w:val="0"/>
                  <w:marBottom w:val="0"/>
                  <w:divBdr>
                    <w:top w:val="none" w:sz="0" w:space="0" w:color="auto"/>
                    <w:left w:val="none" w:sz="0" w:space="0" w:color="auto"/>
                    <w:bottom w:val="none" w:sz="0" w:space="0" w:color="auto"/>
                    <w:right w:val="none" w:sz="0" w:space="0" w:color="auto"/>
                  </w:divBdr>
                  <w:divsChild>
                    <w:div w:id="211384847">
                      <w:marLeft w:val="0"/>
                      <w:marRight w:val="0"/>
                      <w:marTop w:val="0"/>
                      <w:marBottom w:val="0"/>
                      <w:divBdr>
                        <w:top w:val="none" w:sz="0" w:space="0" w:color="auto"/>
                        <w:left w:val="none" w:sz="0" w:space="0" w:color="auto"/>
                        <w:bottom w:val="none" w:sz="0" w:space="0" w:color="auto"/>
                        <w:right w:val="none" w:sz="0" w:space="0" w:color="auto"/>
                      </w:divBdr>
                    </w:div>
                  </w:divsChild>
                </w:div>
                <w:div w:id="898901858">
                  <w:marLeft w:val="0"/>
                  <w:marRight w:val="0"/>
                  <w:marTop w:val="0"/>
                  <w:marBottom w:val="0"/>
                  <w:divBdr>
                    <w:top w:val="none" w:sz="0" w:space="0" w:color="auto"/>
                    <w:left w:val="none" w:sz="0" w:space="0" w:color="auto"/>
                    <w:bottom w:val="none" w:sz="0" w:space="0" w:color="auto"/>
                    <w:right w:val="none" w:sz="0" w:space="0" w:color="auto"/>
                  </w:divBdr>
                  <w:divsChild>
                    <w:div w:id="1762796094">
                      <w:marLeft w:val="0"/>
                      <w:marRight w:val="0"/>
                      <w:marTop w:val="0"/>
                      <w:marBottom w:val="0"/>
                      <w:divBdr>
                        <w:top w:val="none" w:sz="0" w:space="0" w:color="auto"/>
                        <w:left w:val="none" w:sz="0" w:space="0" w:color="auto"/>
                        <w:bottom w:val="none" w:sz="0" w:space="0" w:color="auto"/>
                        <w:right w:val="none" w:sz="0" w:space="0" w:color="auto"/>
                      </w:divBdr>
                    </w:div>
                  </w:divsChild>
                </w:div>
                <w:div w:id="899443229">
                  <w:marLeft w:val="0"/>
                  <w:marRight w:val="0"/>
                  <w:marTop w:val="0"/>
                  <w:marBottom w:val="0"/>
                  <w:divBdr>
                    <w:top w:val="none" w:sz="0" w:space="0" w:color="auto"/>
                    <w:left w:val="none" w:sz="0" w:space="0" w:color="auto"/>
                    <w:bottom w:val="none" w:sz="0" w:space="0" w:color="auto"/>
                    <w:right w:val="none" w:sz="0" w:space="0" w:color="auto"/>
                  </w:divBdr>
                  <w:divsChild>
                    <w:div w:id="1024403984">
                      <w:marLeft w:val="0"/>
                      <w:marRight w:val="0"/>
                      <w:marTop w:val="0"/>
                      <w:marBottom w:val="0"/>
                      <w:divBdr>
                        <w:top w:val="none" w:sz="0" w:space="0" w:color="auto"/>
                        <w:left w:val="none" w:sz="0" w:space="0" w:color="auto"/>
                        <w:bottom w:val="none" w:sz="0" w:space="0" w:color="auto"/>
                        <w:right w:val="none" w:sz="0" w:space="0" w:color="auto"/>
                      </w:divBdr>
                    </w:div>
                  </w:divsChild>
                </w:div>
                <w:div w:id="902644881">
                  <w:marLeft w:val="0"/>
                  <w:marRight w:val="0"/>
                  <w:marTop w:val="0"/>
                  <w:marBottom w:val="0"/>
                  <w:divBdr>
                    <w:top w:val="none" w:sz="0" w:space="0" w:color="auto"/>
                    <w:left w:val="none" w:sz="0" w:space="0" w:color="auto"/>
                    <w:bottom w:val="none" w:sz="0" w:space="0" w:color="auto"/>
                    <w:right w:val="none" w:sz="0" w:space="0" w:color="auto"/>
                  </w:divBdr>
                  <w:divsChild>
                    <w:div w:id="2070224409">
                      <w:marLeft w:val="0"/>
                      <w:marRight w:val="0"/>
                      <w:marTop w:val="0"/>
                      <w:marBottom w:val="0"/>
                      <w:divBdr>
                        <w:top w:val="none" w:sz="0" w:space="0" w:color="auto"/>
                        <w:left w:val="none" w:sz="0" w:space="0" w:color="auto"/>
                        <w:bottom w:val="none" w:sz="0" w:space="0" w:color="auto"/>
                        <w:right w:val="none" w:sz="0" w:space="0" w:color="auto"/>
                      </w:divBdr>
                    </w:div>
                  </w:divsChild>
                </w:div>
                <w:div w:id="931550865">
                  <w:marLeft w:val="0"/>
                  <w:marRight w:val="0"/>
                  <w:marTop w:val="0"/>
                  <w:marBottom w:val="0"/>
                  <w:divBdr>
                    <w:top w:val="none" w:sz="0" w:space="0" w:color="auto"/>
                    <w:left w:val="none" w:sz="0" w:space="0" w:color="auto"/>
                    <w:bottom w:val="none" w:sz="0" w:space="0" w:color="auto"/>
                    <w:right w:val="none" w:sz="0" w:space="0" w:color="auto"/>
                  </w:divBdr>
                  <w:divsChild>
                    <w:div w:id="615067616">
                      <w:marLeft w:val="0"/>
                      <w:marRight w:val="0"/>
                      <w:marTop w:val="0"/>
                      <w:marBottom w:val="0"/>
                      <w:divBdr>
                        <w:top w:val="none" w:sz="0" w:space="0" w:color="auto"/>
                        <w:left w:val="none" w:sz="0" w:space="0" w:color="auto"/>
                        <w:bottom w:val="none" w:sz="0" w:space="0" w:color="auto"/>
                        <w:right w:val="none" w:sz="0" w:space="0" w:color="auto"/>
                      </w:divBdr>
                    </w:div>
                  </w:divsChild>
                </w:div>
                <w:div w:id="935284337">
                  <w:marLeft w:val="0"/>
                  <w:marRight w:val="0"/>
                  <w:marTop w:val="0"/>
                  <w:marBottom w:val="0"/>
                  <w:divBdr>
                    <w:top w:val="none" w:sz="0" w:space="0" w:color="auto"/>
                    <w:left w:val="none" w:sz="0" w:space="0" w:color="auto"/>
                    <w:bottom w:val="none" w:sz="0" w:space="0" w:color="auto"/>
                    <w:right w:val="none" w:sz="0" w:space="0" w:color="auto"/>
                  </w:divBdr>
                  <w:divsChild>
                    <w:div w:id="106431199">
                      <w:marLeft w:val="0"/>
                      <w:marRight w:val="0"/>
                      <w:marTop w:val="0"/>
                      <w:marBottom w:val="0"/>
                      <w:divBdr>
                        <w:top w:val="none" w:sz="0" w:space="0" w:color="auto"/>
                        <w:left w:val="none" w:sz="0" w:space="0" w:color="auto"/>
                        <w:bottom w:val="none" w:sz="0" w:space="0" w:color="auto"/>
                        <w:right w:val="none" w:sz="0" w:space="0" w:color="auto"/>
                      </w:divBdr>
                    </w:div>
                  </w:divsChild>
                </w:div>
                <w:div w:id="937634763">
                  <w:marLeft w:val="0"/>
                  <w:marRight w:val="0"/>
                  <w:marTop w:val="0"/>
                  <w:marBottom w:val="0"/>
                  <w:divBdr>
                    <w:top w:val="none" w:sz="0" w:space="0" w:color="auto"/>
                    <w:left w:val="none" w:sz="0" w:space="0" w:color="auto"/>
                    <w:bottom w:val="none" w:sz="0" w:space="0" w:color="auto"/>
                    <w:right w:val="none" w:sz="0" w:space="0" w:color="auto"/>
                  </w:divBdr>
                  <w:divsChild>
                    <w:div w:id="1324550166">
                      <w:marLeft w:val="0"/>
                      <w:marRight w:val="0"/>
                      <w:marTop w:val="0"/>
                      <w:marBottom w:val="0"/>
                      <w:divBdr>
                        <w:top w:val="none" w:sz="0" w:space="0" w:color="auto"/>
                        <w:left w:val="none" w:sz="0" w:space="0" w:color="auto"/>
                        <w:bottom w:val="none" w:sz="0" w:space="0" w:color="auto"/>
                        <w:right w:val="none" w:sz="0" w:space="0" w:color="auto"/>
                      </w:divBdr>
                    </w:div>
                  </w:divsChild>
                </w:div>
                <w:div w:id="967007643">
                  <w:marLeft w:val="0"/>
                  <w:marRight w:val="0"/>
                  <w:marTop w:val="0"/>
                  <w:marBottom w:val="0"/>
                  <w:divBdr>
                    <w:top w:val="none" w:sz="0" w:space="0" w:color="auto"/>
                    <w:left w:val="none" w:sz="0" w:space="0" w:color="auto"/>
                    <w:bottom w:val="none" w:sz="0" w:space="0" w:color="auto"/>
                    <w:right w:val="none" w:sz="0" w:space="0" w:color="auto"/>
                  </w:divBdr>
                  <w:divsChild>
                    <w:div w:id="231235165">
                      <w:marLeft w:val="0"/>
                      <w:marRight w:val="0"/>
                      <w:marTop w:val="0"/>
                      <w:marBottom w:val="0"/>
                      <w:divBdr>
                        <w:top w:val="none" w:sz="0" w:space="0" w:color="auto"/>
                        <w:left w:val="none" w:sz="0" w:space="0" w:color="auto"/>
                        <w:bottom w:val="none" w:sz="0" w:space="0" w:color="auto"/>
                        <w:right w:val="none" w:sz="0" w:space="0" w:color="auto"/>
                      </w:divBdr>
                    </w:div>
                  </w:divsChild>
                </w:div>
                <w:div w:id="979503681">
                  <w:marLeft w:val="0"/>
                  <w:marRight w:val="0"/>
                  <w:marTop w:val="0"/>
                  <w:marBottom w:val="0"/>
                  <w:divBdr>
                    <w:top w:val="none" w:sz="0" w:space="0" w:color="auto"/>
                    <w:left w:val="none" w:sz="0" w:space="0" w:color="auto"/>
                    <w:bottom w:val="none" w:sz="0" w:space="0" w:color="auto"/>
                    <w:right w:val="none" w:sz="0" w:space="0" w:color="auto"/>
                  </w:divBdr>
                  <w:divsChild>
                    <w:div w:id="2067221771">
                      <w:marLeft w:val="0"/>
                      <w:marRight w:val="0"/>
                      <w:marTop w:val="0"/>
                      <w:marBottom w:val="0"/>
                      <w:divBdr>
                        <w:top w:val="none" w:sz="0" w:space="0" w:color="auto"/>
                        <w:left w:val="none" w:sz="0" w:space="0" w:color="auto"/>
                        <w:bottom w:val="none" w:sz="0" w:space="0" w:color="auto"/>
                        <w:right w:val="none" w:sz="0" w:space="0" w:color="auto"/>
                      </w:divBdr>
                    </w:div>
                  </w:divsChild>
                </w:div>
                <w:div w:id="992102699">
                  <w:marLeft w:val="0"/>
                  <w:marRight w:val="0"/>
                  <w:marTop w:val="0"/>
                  <w:marBottom w:val="0"/>
                  <w:divBdr>
                    <w:top w:val="none" w:sz="0" w:space="0" w:color="auto"/>
                    <w:left w:val="none" w:sz="0" w:space="0" w:color="auto"/>
                    <w:bottom w:val="none" w:sz="0" w:space="0" w:color="auto"/>
                    <w:right w:val="none" w:sz="0" w:space="0" w:color="auto"/>
                  </w:divBdr>
                  <w:divsChild>
                    <w:div w:id="1573930664">
                      <w:marLeft w:val="0"/>
                      <w:marRight w:val="0"/>
                      <w:marTop w:val="0"/>
                      <w:marBottom w:val="0"/>
                      <w:divBdr>
                        <w:top w:val="none" w:sz="0" w:space="0" w:color="auto"/>
                        <w:left w:val="none" w:sz="0" w:space="0" w:color="auto"/>
                        <w:bottom w:val="none" w:sz="0" w:space="0" w:color="auto"/>
                        <w:right w:val="none" w:sz="0" w:space="0" w:color="auto"/>
                      </w:divBdr>
                    </w:div>
                  </w:divsChild>
                </w:div>
                <w:div w:id="995839663">
                  <w:marLeft w:val="0"/>
                  <w:marRight w:val="0"/>
                  <w:marTop w:val="0"/>
                  <w:marBottom w:val="0"/>
                  <w:divBdr>
                    <w:top w:val="none" w:sz="0" w:space="0" w:color="auto"/>
                    <w:left w:val="none" w:sz="0" w:space="0" w:color="auto"/>
                    <w:bottom w:val="none" w:sz="0" w:space="0" w:color="auto"/>
                    <w:right w:val="none" w:sz="0" w:space="0" w:color="auto"/>
                  </w:divBdr>
                  <w:divsChild>
                    <w:div w:id="1594586238">
                      <w:marLeft w:val="0"/>
                      <w:marRight w:val="0"/>
                      <w:marTop w:val="0"/>
                      <w:marBottom w:val="0"/>
                      <w:divBdr>
                        <w:top w:val="none" w:sz="0" w:space="0" w:color="auto"/>
                        <w:left w:val="none" w:sz="0" w:space="0" w:color="auto"/>
                        <w:bottom w:val="none" w:sz="0" w:space="0" w:color="auto"/>
                        <w:right w:val="none" w:sz="0" w:space="0" w:color="auto"/>
                      </w:divBdr>
                    </w:div>
                  </w:divsChild>
                </w:div>
                <w:div w:id="1020161774">
                  <w:marLeft w:val="0"/>
                  <w:marRight w:val="0"/>
                  <w:marTop w:val="0"/>
                  <w:marBottom w:val="0"/>
                  <w:divBdr>
                    <w:top w:val="none" w:sz="0" w:space="0" w:color="auto"/>
                    <w:left w:val="none" w:sz="0" w:space="0" w:color="auto"/>
                    <w:bottom w:val="none" w:sz="0" w:space="0" w:color="auto"/>
                    <w:right w:val="none" w:sz="0" w:space="0" w:color="auto"/>
                  </w:divBdr>
                  <w:divsChild>
                    <w:div w:id="1884442594">
                      <w:marLeft w:val="0"/>
                      <w:marRight w:val="0"/>
                      <w:marTop w:val="0"/>
                      <w:marBottom w:val="0"/>
                      <w:divBdr>
                        <w:top w:val="none" w:sz="0" w:space="0" w:color="auto"/>
                        <w:left w:val="none" w:sz="0" w:space="0" w:color="auto"/>
                        <w:bottom w:val="none" w:sz="0" w:space="0" w:color="auto"/>
                        <w:right w:val="none" w:sz="0" w:space="0" w:color="auto"/>
                      </w:divBdr>
                    </w:div>
                  </w:divsChild>
                </w:div>
                <w:div w:id="1028217716">
                  <w:marLeft w:val="0"/>
                  <w:marRight w:val="0"/>
                  <w:marTop w:val="0"/>
                  <w:marBottom w:val="0"/>
                  <w:divBdr>
                    <w:top w:val="none" w:sz="0" w:space="0" w:color="auto"/>
                    <w:left w:val="none" w:sz="0" w:space="0" w:color="auto"/>
                    <w:bottom w:val="none" w:sz="0" w:space="0" w:color="auto"/>
                    <w:right w:val="none" w:sz="0" w:space="0" w:color="auto"/>
                  </w:divBdr>
                  <w:divsChild>
                    <w:div w:id="788738013">
                      <w:marLeft w:val="0"/>
                      <w:marRight w:val="0"/>
                      <w:marTop w:val="0"/>
                      <w:marBottom w:val="0"/>
                      <w:divBdr>
                        <w:top w:val="none" w:sz="0" w:space="0" w:color="auto"/>
                        <w:left w:val="none" w:sz="0" w:space="0" w:color="auto"/>
                        <w:bottom w:val="none" w:sz="0" w:space="0" w:color="auto"/>
                        <w:right w:val="none" w:sz="0" w:space="0" w:color="auto"/>
                      </w:divBdr>
                    </w:div>
                  </w:divsChild>
                </w:div>
                <w:div w:id="1074666106">
                  <w:marLeft w:val="0"/>
                  <w:marRight w:val="0"/>
                  <w:marTop w:val="0"/>
                  <w:marBottom w:val="0"/>
                  <w:divBdr>
                    <w:top w:val="none" w:sz="0" w:space="0" w:color="auto"/>
                    <w:left w:val="none" w:sz="0" w:space="0" w:color="auto"/>
                    <w:bottom w:val="none" w:sz="0" w:space="0" w:color="auto"/>
                    <w:right w:val="none" w:sz="0" w:space="0" w:color="auto"/>
                  </w:divBdr>
                  <w:divsChild>
                    <w:div w:id="1250165018">
                      <w:marLeft w:val="0"/>
                      <w:marRight w:val="0"/>
                      <w:marTop w:val="0"/>
                      <w:marBottom w:val="0"/>
                      <w:divBdr>
                        <w:top w:val="none" w:sz="0" w:space="0" w:color="auto"/>
                        <w:left w:val="none" w:sz="0" w:space="0" w:color="auto"/>
                        <w:bottom w:val="none" w:sz="0" w:space="0" w:color="auto"/>
                        <w:right w:val="none" w:sz="0" w:space="0" w:color="auto"/>
                      </w:divBdr>
                    </w:div>
                  </w:divsChild>
                </w:div>
                <w:div w:id="1095246872">
                  <w:marLeft w:val="0"/>
                  <w:marRight w:val="0"/>
                  <w:marTop w:val="0"/>
                  <w:marBottom w:val="0"/>
                  <w:divBdr>
                    <w:top w:val="none" w:sz="0" w:space="0" w:color="auto"/>
                    <w:left w:val="none" w:sz="0" w:space="0" w:color="auto"/>
                    <w:bottom w:val="none" w:sz="0" w:space="0" w:color="auto"/>
                    <w:right w:val="none" w:sz="0" w:space="0" w:color="auto"/>
                  </w:divBdr>
                  <w:divsChild>
                    <w:div w:id="2133740000">
                      <w:marLeft w:val="0"/>
                      <w:marRight w:val="0"/>
                      <w:marTop w:val="0"/>
                      <w:marBottom w:val="0"/>
                      <w:divBdr>
                        <w:top w:val="none" w:sz="0" w:space="0" w:color="auto"/>
                        <w:left w:val="none" w:sz="0" w:space="0" w:color="auto"/>
                        <w:bottom w:val="none" w:sz="0" w:space="0" w:color="auto"/>
                        <w:right w:val="none" w:sz="0" w:space="0" w:color="auto"/>
                      </w:divBdr>
                    </w:div>
                  </w:divsChild>
                </w:div>
                <w:div w:id="1114858708">
                  <w:marLeft w:val="0"/>
                  <w:marRight w:val="0"/>
                  <w:marTop w:val="0"/>
                  <w:marBottom w:val="0"/>
                  <w:divBdr>
                    <w:top w:val="none" w:sz="0" w:space="0" w:color="auto"/>
                    <w:left w:val="none" w:sz="0" w:space="0" w:color="auto"/>
                    <w:bottom w:val="none" w:sz="0" w:space="0" w:color="auto"/>
                    <w:right w:val="none" w:sz="0" w:space="0" w:color="auto"/>
                  </w:divBdr>
                  <w:divsChild>
                    <w:div w:id="1110584822">
                      <w:marLeft w:val="0"/>
                      <w:marRight w:val="0"/>
                      <w:marTop w:val="0"/>
                      <w:marBottom w:val="0"/>
                      <w:divBdr>
                        <w:top w:val="none" w:sz="0" w:space="0" w:color="auto"/>
                        <w:left w:val="none" w:sz="0" w:space="0" w:color="auto"/>
                        <w:bottom w:val="none" w:sz="0" w:space="0" w:color="auto"/>
                        <w:right w:val="none" w:sz="0" w:space="0" w:color="auto"/>
                      </w:divBdr>
                    </w:div>
                  </w:divsChild>
                </w:div>
                <w:div w:id="1117917891">
                  <w:marLeft w:val="0"/>
                  <w:marRight w:val="0"/>
                  <w:marTop w:val="0"/>
                  <w:marBottom w:val="0"/>
                  <w:divBdr>
                    <w:top w:val="none" w:sz="0" w:space="0" w:color="auto"/>
                    <w:left w:val="none" w:sz="0" w:space="0" w:color="auto"/>
                    <w:bottom w:val="none" w:sz="0" w:space="0" w:color="auto"/>
                    <w:right w:val="none" w:sz="0" w:space="0" w:color="auto"/>
                  </w:divBdr>
                  <w:divsChild>
                    <w:div w:id="2106923759">
                      <w:marLeft w:val="0"/>
                      <w:marRight w:val="0"/>
                      <w:marTop w:val="0"/>
                      <w:marBottom w:val="0"/>
                      <w:divBdr>
                        <w:top w:val="none" w:sz="0" w:space="0" w:color="auto"/>
                        <w:left w:val="none" w:sz="0" w:space="0" w:color="auto"/>
                        <w:bottom w:val="none" w:sz="0" w:space="0" w:color="auto"/>
                        <w:right w:val="none" w:sz="0" w:space="0" w:color="auto"/>
                      </w:divBdr>
                    </w:div>
                  </w:divsChild>
                </w:div>
                <w:div w:id="1122533014">
                  <w:marLeft w:val="0"/>
                  <w:marRight w:val="0"/>
                  <w:marTop w:val="0"/>
                  <w:marBottom w:val="0"/>
                  <w:divBdr>
                    <w:top w:val="none" w:sz="0" w:space="0" w:color="auto"/>
                    <w:left w:val="none" w:sz="0" w:space="0" w:color="auto"/>
                    <w:bottom w:val="none" w:sz="0" w:space="0" w:color="auto"/>
                    <w:right w:val="none" w:sz="0" w:space="0" w:color="auto"/>
                  </w:divBdr>
                  <w:divsChild>
                    <w:div w:id="1834561271">
                      <w:marLeft w:val="0"/>
                      <w:marRight w:val="0"/>
                      <w:marTop w:val="0"/>
                      <w:marBottom w:val="0"/>
                      <w:divBdr>
                        <w:top w:val="none" w:sz="0" w:space="0" w:color="auto"/>
                        <w:left w:val="none" w:sz="0" w:space="0" w:color="auto"/>
                        <w:bottom w:val="none" w:sz="0" w:space="0" w:color="auto"/>
                        <w:right w:val="none" w:sz="0" w:space="0" w:color="auto"/>
                      </w:divBdr>
                    </w:div>
                  </w:divsChild>
                </w:div>
                <w:div w:id="1125393925">
                  <w:marLeft w:val="0"/>
                  <w:marRight w:val="0"/>
                  <w:marTop w:val="0"/>
                  <w:marBottom w:val="0"/>
                  <w:divBdr>
                    <w:top w:val="none" w:sz="0" w:space="0" w:color="auto"/>
                    <w:left w:val="none" w:sz="0" w:space="0" w:color="auto"/>
                    <w:bottom w:val="none" w:sz="0" w:space="0" w:color="auto"/>
                    <w:right w:val="none" w:sz="0" w:space="0" w:color="auto"/>
                  </w:divBdr>
                  <w:divsChild>
                    <w:div w:id="850147050">
                      <w:marLeft w:val="0"/>
                      <w:marRight w:val="0"/>
                      <w:marTop w:val="0"/>
                      <w:marBottom w:val="0"/>
                      <w:divBdr>
                        <w:top w:val="none" w:sz="0" w:space="0" w:color="auto"/>
                        <w:left w:val="none" w:sz="0" w:space="0" w:color="auto"/>
                        <w:bottom w:val="none" w:sz="0" w:space="0" w:color="auto"/>
                        <w:right w:val="none" w:sz="0" w:space="0" w:color="auto"/>
                      </w:divBdr>
                    </w:div>
                  </w:divsChild>
                </w:div>
                <w:div w:id="1127579060">
                  <w:marLeft w:val="0"/>
                  <w:marRight w:val="0"/>
                  <w:marTop w:val="0"/>
                  <w:marBottom w:val="0"/>
                  <w:divBdr>
                    <w:top w:val="none" w:sz="0" w:space="0" w:color="auto"/>
                    <w:left w:val="none" w:sz="0" w:space="0" w:color="auto"/>
                    <w:bottom w:val="none" w:sz="0" w:space="0" w:color="auto"/>
                    <w:right w:val="none" w:sz="0" w:space="0" w:color="auto"/>
                  </w:divBdr>
                  <w:divsChild>
                    <w:div w:id="870260616">
                      <w:marLeft w:val="0"/>
                      <w:marRight w:val="0"/>
                      <w:marTop w:val="0"/>
                      <w:marBottom w:val="0"/>
                      <w:divBdr>
                        <w:top w:val="none" w:sz="0" w:space="0" w:color="auto"/>
                        <w:left w:val="none" w:sz="0" w:space="0" w:color="auto"/>
                        <w:bottom w:val="none" w:sz="0" w:space="0" w:color="auto"/>
                        <w:right w:val="none" w:sz="0" w:space="0" w:color="auto"/>
                      </w:divBdr>
                    </w:div>
                  </w:divsChild>
                </w:div>
                <w:div w:id="1182821575">
                  <w:marLeft w:val="0"/>
                  <w:marRight w:val="0"/>
                  <w:marTop w:val="0"/>
                  <w:marBottom w:val="0"/>
                  <w:divBdr>
                    <w:top w:val="none" w:sz="0" w:space="0" w:color="auto"/>
                    <w:left w:val="none" w:sz="0" w:space="0" w:color="auto"/>
                    <w:bottom w:val="none" w:sz="0" w:space="0" w:color="auto"/>
                    <w:right w:val="none" w:sz="0" w:space="0" w:color="auto"/>
                  </w:divBdr>
                  <w:divsChild>
                    <w:div w:id="976489631">
                      <w:marLeft w:val="0"/>
                      <w:marRight w:val="0"/>
                      <w:marTop w:val="0"/>
                      <w:marBottom w:val="0"/>
                      <w:divBdr>
                        <w:top w:val="none" w:sz="0" w:space="0" w:color="auto"/>
                        <w:left w:val="none" w:sz="0" w:space="0" w:color="auto"/>
                        <w:bottom w:val="none" w:sz="0" w:space="0" w:color="auto"/>
                        <w:right w:val="none" w:sz="0" w:space="0" w:color="auto"/>
                      </w:divBdr>
                    </w:div>
                  </w:divsChild>
                </w:div>
                <w:div w:id="1217932999">
                  <w:marLeft w:val="0"/>
                  <w:marRight w:val="0"/>
                  <w:marTop w:val="0"/>
                  <w:marBottom w:val="0"/>
                  <w:divBdr>
                    <w:top w:val="none" w:sz="0" w:space="0" w:color="auto"/>
                    <w:left w:val="none" w:sz="0" w:space="0" w:color="auto"/>
                    <w:bottom w:val="none" w:sz="0" w:space="0" w:color="auto"/>
                    <w:right w:val="none" w:sz="0" w:space="0" w:color="auto"/>
                  </w:divBdr>
                  <w:divsChild>
                    <w:div w:id="1908803663">
                      <w:marLeft w:val="0"/>
                      <w:marRight w:val="0"/>
                      <w:marTop w:val="0"/>
                      <w:marBottom w:val="0"/>
                      <w:divBdr>
                        <w:top w:val="none" w:sz="0" w:space="0" w:color="auto"/>
                        <w:left w:val="none" w:sz="0" w:space="0" w:color="auto"/>
                        <w:bottom w:val="none" w:sz="0" w:space="0" w:color="auto"/>
                        <w:right w:val="none" w:sz="0" w:space="0" w:color="auto"/>
                      </w:divBdr>
                    </w:div>
                  </w:divsChild>
                </w:div>
                <w:div w:id="1223563552">
                  <w:marLeft w:val="0"/>
                  <w:marRight w:val="0"/>
                  <w:marTop w:val="0"/>
                  <w:marBottom w:val="0"/>
                  <w:divBdr>
                    <w:top w:val="none" w:sz="0" w:space="0" w:color="auto"/>
                    <w:left w:val="none" w:sz="0" w:space="0" w:color="auto"/>
                    <w:bottom w:val="none" w:sz="0" w:space="0" w:color="auto"/>
                    <w:right w:val="none" w:sz="0" w:space="0" w:color="auto"/>
                  </w:divBdr>
                  <w:divsChild>
                    <w:div w:id="379868527">
                      <w:marLeft w:val="0"/>
                      <w:marRight w:val="0"/>
                      <w:marTop w:val="0"/>
                      <w:marBottom w:val="0"/>
                      <w:divBdr>
                        <w:top w:val="none" w:sz="0" w:space="0" w:color="auto"/>
                        <w:left w:val="none" w:sz="0" w:space="0" w:color="auto"/>
                        <w:bottom w:val="none" w:sz="0" w:space="0" w:color="auto"/>
                        <w:right w:val="none" w:sz="0" w:space="0" w:color="auto"/>
                      </w:divBdr>
                    </w:div>
                    <w:div w:id="418603728">
                      <w:marLeft w:val="0"/>
                      <w:marRight w:val="0"/>
                      <w:marTop w:val="0"/>
                      <w:marBottom w:val="0"/>
                      <w:divBdr>
                        <w:top w:val="none" w:sz="0" w:space="0" w:color="auto"/>
                        <w:left w:val="none" w:sz="0" w:space="0" w:color="auto"/>
                        <w:bottom w:val="none" w:sz="0" w:space="0" w:color="auto"/>
                        <w:right w:val="none" w:sz="0" w:space="0" w:color="auto"/>
                      </w:divBdr>
                    </w:div>
                    <w:div w:id="814835995">
                      <w:marLeft w:val="0"/>
                      <w:marRight w:val="0"/>
                      <w:marTop w:val="0"/>
                      <w:marBottom w:val="0"/>
                      <w:divBdr>
                        <w:top w:val="none" w:sz="0" w:space="0" w:color="auto"/>
                        <w:left w:val="none" w:sz="0" w:space="0" w:color="auto"/>
                        <w:bottom w:val="none" w:sz="0" w:space="0" w:color="auto"/>
                        <w:right w:val="none" w:sz="0" w:space="0" w:color="auto"/>
                      </w:divBdr>
                    </w:div>
                    <w:div w:id="894657397">
                      <w:marLeft w:val="0"/>
                      <w:marRight w:val="0"/>
                      <w:marTop w:val="0"/>
                      <w:marBottom w:val="0"/>
                      <w:divBdr>
                        <w:top w:val="none" w:sz="0" w:space="0" w:color="auto"/>
                        <w:left w:val="none" w:sz="0" w:space="0" w:color="auto"/>
                        <w:bottom w:val="none" w:sz="0" w:space="0" w:color="auto"/>
                        <w:right w:val="none" w:sz="0" w:space="0" w:color="auto"/>
                      </w:divBdr>
                    </w:div>
                    <w:div w:id="951594055">
                      <w:marLeft w:val="0"/>
                      <w:marRight w:val="0"/>
                      <w:marTop w:val="0"/>
                      <w:marBottom w:val="0"/>
                      <w:divBdr>
                        <w:top w:val="none" w:sz="0" w:space="0" w:color="auto"/>
                        <w:left w:val="none" w:sz="0" w:space="0" w:color="auto"/>
                        <w:bottom w:val="none" w:sz="0" w:space="0" w:color="auto"/>
                        <w:right w:val="none" w:sz="0" w:space="0" w:color="auto"/>
                      </w:divBdr>
                    </w:div>
                    <w:div w:id="1311903140">
                      <w:marLeft w:val="0"/>
                      <w:marRight w:val="0"/>
                      <w:marTop w:val="0"/>
                      <w:marBottom w:val="0"/>
                      <w:divBdr>
                        <w:top w:val="none" w:sz="0" w:space="0" w:color="auto"/>
                        <w:left w:val="none" w:sz="0" w:space="0" w:color="auto"/>
                        <w:bottom w:val="none" w:sz="0" w:space="0" w:color="auto"/>
                        <w:right w:val="none" w:sz="0" w:space="0" w:color="auto"/>
                      </w:divBdr>
                    </w:div>
                    <w:div w:id="1433938235">
                      <w:marLeft w:val="0"/>
                      <w:marRight w:val="0"/>
                      <w:marTop w:val="0"/>
                      <w:marBottom w:val="0"/>
                      <w:divBdr>
                        <w:top w:val="none" w:sz="0" w:space="0" w:color="auto"/>
                        <w:left w:val="none" w:sz="0" w:space="0" w:color="auto"/>
                        <w:bottom w:val="none" w:sz="0" w:space="0" w:color="auto"/>
                        <w:right w:val="none" w:sz="0" w:space="0" w:color="auto"/>
                      </w:divBdr>
                    </w:div>
                    <w:div w:id="1561792452">
                      <w:marLeft w:val="0"/>
                      <w:marRight w:val="0"/>
                      <w:marTop w:val="0"/>
                      <w:marBottom w:val="0"/>
                      <w:divBdr>
                        <w:top w:val="none" w:sz="0" w:space="0" w:color="auto"/>
                        <w:left w:val="none" w:sz="0" w:space="0" w:color="auto"/>
                        <w:bottom w:val="none" w:sz="0" w:space="0" w:color="auto"/>
                        <w:right w:val="none" w:sz="0" w:space="0" w:color="auto"/>
                      </w:divBdr>
                    </w:div>
                    <w:div w:id="1607616842">
                      <w:marLeft w:val="0"/>
                      <w:marRight w:val="0"/>
                      <w:marTop w:val="0"/>
                      <w:marBottom w:val="0"/>
                      <w:divBdr>
                        <w:top w:val="none" w:sz="0" w:space="0" w:color="auto"/>
                        <w:left w:val="none" w:sz="0" w:space="0" w:color="auto"/>
                        <w:bottom w:val="none" w:sz="0" w:space="0" w:color="auto"/>
                        <w:right w:val="none" w:sz="0" w:space="0" w:color="auto"/>
                      </w:divBdr>
                    </w:div>
                    <w:div w:id="1641230118">
                      <w:marLeft w:val="0"/>
                      <w:marRight w:val="0"/>
                      <w:marTop w:val="0"/>
                      <w:marBottom w:val="0"/>
                      <w:divBdr>
                        <w:top w:val="none" w:sz="0" w:space="0" w:color="auto"/>
                        <w:left w:val="none" w:sz="0" w:space="0" w:color="auto"/>
                        <w:bottom w:val="none" w:sz="0" w:space="0" w:color="auto"/>
                        <w:right w:val="none" w:sz="0" w:space="0" w:color="auto"/>
                      </w:divBdr>
                    </w:div>
                  </w:divsChild>
                </w:div>
                <w:div w:id="1232235673">
                  <w:marLeft w:val="0"/>
                  <w:marRight w:val="0"/>
                  <w:marTop w:val="0"/>
                  <w:marBottom w:val="0"/>
                  <w:divBdr>
                    <w:top w:val="none" w:sz="0" w:space="0" w:color="auto"/>
                    <w:left w:val="none" w:sz="0" w:space="0" w:color="auto"/>
                    <w:bottom w:val="none" w:sz="0" w:space="0" w:color="auto"/>
                    <w:right w:val="none" w:sz="0" w:space="0" w:color="auto"/>
                  </w:divBdr>
                  <w:divsChild>
                    <w:div w:id="979651197">
                      <w:marLeft w:val="0"/>
                      <w:marRight w:val="0"/>
                      <w:marTop w:val="0"/>
                      <w:marBottom w:val="0"/>
                      <w:divBdr>
                        <w:top w:val="none" w:sz="0" w:space="0" w:color="auto"/>
                        <w:left w:val="none" w:sz="0" w:space="0" w:color="auto"/>
                        <w:bottom w:val="none" w:sz="0" w:space="0" w:color="auto"/>
                        <w:right w:val="none" w:sz="0" w:space="0" w:color="auto"/>
                      </w:divBdr>
                    </w:div>
                  </w:divsChild>
                </w:div>
                <w:div w:id="1241717062">
                  <w:marLeft w:val="0"/>
                  <w:marRight w:val="0"/>
                  <w:marTop w:val="0"/>
                  <w:marBottom w:val="0"/>
                  <w:divBdr>
                    <w:top w:val="none" w:sz="0" w:space="0" w:color="auto"/>
                    <w:left w:val="none" w:sz="0" w:space="0" w:color="auto"/>
                    <w:bottom w:val="none" w:sz="0" w:space="0" w:color="auto"/>
                    <w:right w:val="none" w:sz="0" w:space="0" w:color="auto"/>
                  </w:divBdr>
                  <w:divsChild>
                    <w:div w:id="183566668">
                      <w:marLeft w:val="0"/>
                      <w:marRight w:val="0"/>
                      <w:marTop w:val="0"/>
                      <w:marBottom w:val="0"/>
                      <w:divBdr>
                        <w:top w:val="none" w:sz="0" w:space="0" w:color="auto"/>
                        <w:left w:val="none" w:sz="0" w:space="0" w:color="auto"/>
                        <w:bottom w:val="none" w:sz="0" w:space="0" w:color="auto"/>
                        <w:right w:val="none" w:sz="0" w:space="0" w:color="auto"/>
                      </w:divBdr>
                    </w:div>
                  </w:divsChild>
                </w:div>
                <w:div w:id="1279947207">
                  <w:marLeft w:val="0"/>
                  <w:marRight w:val="0"/>
                  <w:marTop w:val="0"/>
                  <w:marBottom w:val="0"/>
                  <w:divBdr>
                    <w:top w:val="none" w:sz="0" w:space="0" w:color="auto"/>
                    <w:left w:val="none" w:sz="0" w:space="0" w:color="auto"/>
                    <w:bottom w:val="none" w:sz="0" w:space="0" w:color="auto"/>
                    <w:right w:val="none" w:sz="0" w:space="0" w:color="auto"/>
                  </w:divBdr>
                  <w:divsChild>
                    <w:div w:id="1481340938">
                      <w:marLeft w:val="0"/>
                      <w:marRight w:val="0"/>
                      <w:marTop w:val="0"/>
                      <w:marBottom w:val="0"/>
                      <w:divBdr>
                        <w:top w:val="none" w:sz="0" w:space="0" w:color="auto"/>
                        <w:left w:val="none" w:sz="0" w:space="0" w:color="auto"/>
                        <w:bottom w:val="none" w:sz="0" w:space="0" w:color="auto"/>
                        <w:right w:val="none" w:sz="0" w:space="0" w:color="auto"/>
                      </w:divBdr>
                    </w:div>
                  </w:divsChild>
                </w:div>
                <w:div w:id="1283806539">
                  <w:marLeft w:val="0"/>
                  <w:marRight w:val="0"/>
                  <w:marTop w:val="0"/>
                  <w:marBottom w:val="0"/>
                  <w:divBdr>
                    <w:top w:val="none" w:sz="0" w:space="0" w:color="auto"/>
                    <w:left w:val="none" w:sz="0" w:space="0" w:color="auto"/>
                    <w:bottom w:val="none" w:sz="0" w:space="0" w:color="auto"/>
                    <w:right w:val="none" w:sz="0" w:space="0" w:color="auto"/>
                  </w:divBdr>
                  <w:divsChild>
                    <w:div w:id="744106633">
                      <w:marLeft w:val="0"/>
                      <w:marRight w:val="0"/>
                      <w:marTop w:val="0"/>
                      <w:marBottom w:val="0"/>
                      <w:divBdr>
                        <w:top w:val="none" w:sz="0" w:space="0" w:color="auto"/>
                        <w:left w:val="none" w:sz="0" w:space="0" w:color="auto"/>
                        <w:bottom w:val="none" w:sz="0" w:space="0" w:color="auto"/>
                        <w:right w:val="none" w:sz="0" w:space="0" w:color="auto"/>
                      </w:divBdr>
                    </w:div>
                  </w:divsChild>
                </w:div>
                <w:div w:id="1297174915">
                  <w:marLeft w:val="0"/>
                  <w:marRight w:val="0"/>
                  <w:marTop w:val="0"/>
                  <w:marBottom w:val="0"/>
                  <w:divBdr>
                    <w:top w:val="none" w:sz="0" w:space="0" w:color="auto"/>
                    <w:left w:val="none" w:sz="0" w:space="0" w:color="auto"/>
                    <w:bottom w:val="none" w:sz="0" w:space="0" w:color="auto"/>
                    <w:right w:val="none" w:sz="0" w:space="0" w:color="auto"/>
                  </w:divBdr>
                  <w:divsChild>
                    <w:div w:id="726146375">
                      <w:marLeft w:val="0"/>
                      <w:marRight w:val="0"/>
                      <w:marTop w:val="0"/>
                      <w:marBottom w:val="0"/>
                      <w:divBdr>
                        <w:top w:val="none" w:sz="0" w:space="0" w:color="auto"/>
                        <w:left w:val="none" w:sz="0" w:space="0" w:color="auto"/>
                        <w:bottom w:val="none" w:sz="0" w:space="0" w:color="auto"/>
                        <w:right w:val="none" w:sz="0" w:space="0" w:color="auto"/>
                      </w:divBdr>
                    </w:div>
                  </w:divsChild>
                </w:div>
                <w:div w:id="1302075341">
                  <w:marLeft w:val="0"/>
                  <w:marRight w:val="0"/>
                  <w:marTop w:val="0"/>
                  <w:marBottom w:val="0"/>
                  <w:divBdr>
                    <w:top w:val="none" w:sz="0" w:space="0" w:color="auto"/>
                    <w:left w:val="none" w:sz="0" w:space="0" w:color="auto"/>
                    <w:bottom w:val="none" w:sz="0" w:space="0" w:color="auto"/>
                    <w:right w:val="none" w:sz="0" w:space="0" w:color="auto"/>
                  </w:divBdr>
                  <w:divsChild>
                    <w:div w:id="491335782">
                      <w:marLeft w:val="0"/>
                      <w:marRight w:val="0"/>
                      <w:marTop w:val="0"/>
                      <w:marBottom w:val="0"/>
                      <w:divBdr>
                        <w:top w:val="none" w:sz="0" w:space="0" w:color="auto"/>
                        <w:left w:val="none" w:sz="0" w:space="0" w:color="auto"/>
                        <w:bottom w:val="none" w:sz="0" w:space="0" w:color="auto"/>
                        <w:right w:val="none" w:sz="0" w:space="0" w:color="auto"/>
                      </w:divBdr>
                    </w:div>
                  </w:divsChild>
                </w:div>
                <w:div w:id="1325813956">
                  <w:marLeft w:val="0"/>
                  <w:marRight w:val="0"/>
                  <w:marTop w:val="0"/>
                  <w:marBottom w:val="0"/>
                  <w:divBdr>
                    <w:top w:val="none" w:sz="0" w:space="0" w:color="auto"/>
                    <w:left w:val="none" w:sz="0" w:space="0" w:color="auto"/>
                    <w:bottom w:val="none" w:sz="0" w:space="0" w:color="auto"/>
                    <w:right w:val="none" w:sz="0" w:space="0" w:color="auto"/>
                  </w:divBdr>
                  <w:divsChild>
                    <w:div w:id="619841195">
                      <w:marLeft w:val="0"/>
                      <w:marRight w:val="0"/>
                      <w:marTop w:val="0"/>
                      <w:marBottom w:val="0"/>
                      <w:divBdr>
                        <w:top w:val="none" w:sz="0" w:space="0" w:color="auto"/>
                        <w:left w:val="none" w:sz="0" w:space="0" w:color="auto"/>
                        <w:bottom w:val="none" w:sz="0" w:space="0" w:color="auto"/>
                        <w:right w:val="none" w:sz="0" w:space="0" w:color="auto"/>
                      </w:divBdr>
                    </w:div>
                  </w:divsChild>
                </w:div>
                <w:div w:id="1353149709">
                  <w:marLeft w:val="0"/>
                  <w:marRight w:val="0"/>
                  <w:marTop w:val="0"/>
                  <w:marBottom w:val="0"/>
                  <w:divBdr>
                    <w:top w:val="none" w:sz="0" w:space="0" w:color="auto"/>
                    <w:left w:val="none" w:sz="0" w:space="0" w:color="auto"/>
                    <w:bottom w:val="none" w:sz="0" w:space="0" w:color="auto"/>
                    <w:right w:val="none" w:sz="0" w:space="0" w:color="auto"/>
                  </w:divBdr>
                  <w:divsChild>
                    <w:div w:id="858809353">
                      <w:marLeft w:val="0"/>
                      <w:marRight w:val="0"/>
                      <w:marTop w:val="0"/>
                      <w:marBottom w:val="0"/>
                      <w:divBdr>
                        <w:top w:val="none" w:sz="0" w:space="0" w:color="auto"/>
                        <w:left w:val="none" w:sz="0" w:space="0" w:color="auto"/>
                        <w:bottom w:val="none" w:sz="0" w:space="0" w:color="auto"/>
                        <w:right w:val="none" w:sz="0" w:space="0" w:color="auto"/>
                      </w:divBdr>
                    </w:div>
                  </w:divsChild>
                </w:div>
                <w:div w:id="1359158542">
                  <w:marLeft w:val="0"/>
                  <w:marRight w:val="0"/>
                  <w:marTop w:val="0"/>
                  <w:marBottom w:val="0"/>
                  <w:divBdr>
                    <w:top w:val="none" w:sz="0" w:space="0" w:color="auto"/>
                    <w:left w:val="none" w:sz="0" w:space="0" w:color="auto"/>
                    <w:bottom w:val="none" w:sz="0" w:space="0" w:color="auto"/>
                    <w:right w:val="none" w:sz="0" w:space="0" w:color="auto"/>
                  </w:divBdr>
                  <w:divsChild>
                    <w:div w:id="1165320985">
                      <w:marLeft w:val="0"/>
                      <w:marRight w:val="0"/>
                      <w:marTop w:val="0"/>
                      <w:marBottom w:val="0"/>
                      <w:divBdr>
                        <w:top w:val="none" w:sz="0" w:space="0" w:color="auto"/>
                        <w:left w:val="none" w:sz="0" w:space="0" w:color="auto"/>
                        <w:bottom w:val="none" w:sz="0" w:space="0" w:color="auto"/>
                        <w:right w:val="none" w:sz="0" w:space="0" w:color="auto"/>
                      </w:divBdr>
                    </w:div>
                  </w:divsChild>
                </w:div>
                <w:div w:id="1363896191">
                  <w:marLeft w:val="0"/>
                  <w:marRight w:val="0"/>
                  <w:marTop w:val="0"/>
                  <w:marBottom w:val="0"/>
                  <w:divBdr>
                    <w:top w:val="none" w:sz="0" w:space="0" w:color="auto"/>
                    <w:left w:val="none" w:sz="0" w:space="0" w:color="auto"/>
                    <w:bottom w:val="none" w:sz="0" w:space="0" w:color="auto"/>
                    <w:right w:val="none" w:sz="0" w:space="0" w:color="auto"/>
                  </w:divBdr>
                  <w:divsChild>
                    <w:div w:id="499464775">
                      <w:marLeft w:val="0"/>
                      <w:marRight w:val="0"/>
                      <w:marTop w:val="0"/>
                      <w:marBottom w:val="0"/>
                      <w:divBdr>
                        <w:top w:val="none" w:sz="0" w:space="0" w:color="auto"/>
                        <w:left w:val="none" w:sz="0" w:space="0" w:color="auto"/>
                        <w:bottom w:val="none" w:sz="0" w:space="0" w:color="auto"/>
                        <w:right w:val="none" w:sz="0" w:space="0" w:color="auto"/>
                      </w:divBdr>
                    </w:div>
                    <w:div w:id="812218992">
                      <w:marLeft w:val="0"/>
                      <w:marRight w:val="0"/>
                      <w:marTop w:val="0"/>
                      <w:marBottom w:val="0"/>
                      <w:divBdr>
                        <w:top w:val="none" w:sz="0" w:space="0" w:color="auto"/>
                        <w:left w:val="none" w:sz="0" w:space="0" w:color="auto"/>
                        <w:bottom w:val="none" w:sz="0" w:space="0" w:color="auto"/>
                        <w:right w:val="none" w:sz="0" w:space="0" w:color="auto"/>
                      </w:divBdr>
                    </w:div>
                    <w:div w:id="1245186036">
                      <w:marLeft w:val="0"/>
                      <w:marRight w:val="0"/>
                      <w:marTop w:val="0"/>
                      <w:marBottom w:val="0"/>
                      <w:divBdr>
                        <w:top w:val="none" w:sz="0" w:space="0" w:color="auto"/>
                        <w:left w:val="none" w:sz="0" w:space="0" w:color="auto"/>
                        <w:bottom w:val="none" w:sz="0" w:space="0" w:color="auto"/>
                        <w:right w:val="none" w:sz="0" w:space="0" w:color="auto"/>
                      </w:divBdr>
                    </w:div>
                    <w:div w:id="1574048355">
                      <w:marLeft w:val="0"/>
                      <w:marRight w:val="0"/>
                      <w:marTop w:val="0"/>
                      <w:marBottom w:val="0"/>
                      <w:divBdr>
                        <w:top w:val="none" w:sz="0" w:space="0" w:color="auto"/>
                        <w:left w:val="none" w:sz="0" w:space="0" w:color="auto"/>
                        <w:bottom w:val="none" w:sz="0" w:space="0" w:color="auto"/>
                        <w:right w:val="none" w:sz="0" w:space="0" w:color="auto"/>
                      </w:divBdr>
                    </w:div>
                    <w:div w:id="1934973905">
                      <w:marLeft w:val="0"/>
                      <w:marRight w:val="0"/>
                      <w:marTop w:val="0"/>
                      <w:marBottom w:val="0"/>
                      <w:divBdr>
                        <w:top w:val="none" w:sz="0" w:space="0" w:color="auto"/>
                        <w:left w:val="none" w:sz="0" w:space="0" w:color="auto"/>
                        <w:bottom w:val="none" w:sz="0" w:space="0" w:color="auto"/>
                        <w:right w:val="none" w:sz="0" w:space="0" w:color="auto"/>
                      </w:divBdr>
                    </w:div>
                    <w:div w:id="2100059654">
                      <w:marLeft w:val="0"/>
                      <w:marRight w:val="0"/>
                      <w:marTop w:val="0"/>
                      <w:marBottom w:val="0"/>
                      <w:divBdr>
                        <w:top w:val="none" w:sz="0" w:space="0" w:color="auto"/>
                        <w:left w:val="none" w:sz="0" w:space="0" w:color="auto"/>
                        <w:bottom w:val="none" w:sz="0" w:space="0" w:color="auto"/>
                        <w:right w:val="none" w:sz="0" w:space="0" w:color="auto"/>
                      </w:divBdr>
                    </w:div>
                  </w:divsChild>
                </w:div>
                <w:div w:id="1366981739">
                  <w:marLeft w:val="0"/>
                  <w:marRight w:val="0"/>
                  <w:marTop w:val="0"/>
                  <w:marBottom w:val="0"/>
                  <w:divBdr>
                    <w:top w:val="none" w:sz="0" w:space="0" w:color="auto"/>
                    <w:left w:val="none" w:sz="0" w:space="0" w:color="auto"/>
                    <w:bottom w:val="none" w:sz="0" w:space="0" w:color="auto"/>
                    <w:right w:val="none" w:sz="0" w:space="0" w:color="auto"/>
                  </w:divBdr>
                  <w:divsChild>
                    <w:div w:id="576937335">
                      <w:marLeft w:val="0"/>
                      <w:marRight w:val="0"/>
                      <w:marTop w:val="0"/>
                      <w:marBottom w:val="0"/>
                      <w:divBdr>
                        <w:top w:val="none" w:sz="0" w:space="0" w:color="auto"/>
                        <w:left w:val="none" w:sz="0" w:space="0" w:color="auto"/>
                        <w:bottom w:val="none" w:sz="0" w:space="0" w:color="auto"/>
                        <w:right w:val="none" w:sz="0" w:space="0" w:color="auto"/>
                      </w:divBdr>
                    </w:div>
                  </w:divsChild>
                </w:div>
                <w:div w:id="1375883638">
                  <w:marLeft w:val="0"/>
                  <w:marRight w:val="0"/>
                  <w:marTop w:val="0"/>
                  <w:marBottom w:val="0"/>
                  <w:divBdr>
                    <w:top w:val="none" w:sz="0" w:space="0" w:color="auto"/>
                    <w:left w:val="none" w:sz="0" w:space="0" w:color="auto"/>
                    <w:bottom w:val="none" w:sz="0" w:space="0" w:color="auto"/>
                    <w:right w:val="none" w:sz="0" w:space="0" w:color="auto"/>
                  </w:divBdr>
                  <w:divsChild>
                    <w:div w:id="1096169872">
                      <w:marLeft w:val="0"/>
                      <w:marRight w:val="0"/>
                      <w:marTop w:val="0"/>
                      <w:marBottom w:val="0"/>
                      <w:divBdr>
                        <w:top w:val="none" w:sz="0" w:space="0" w:color="auto"/>
                        <w:left w:val="none" w:sz="0" w:space="0" w:color="auto"/>
                        <w:bottom w:val="none" w:sz="0" w:space="0" w:color="auto"/>
                        <w:right w:val="none" w:sz="0" w:space="0" w:color="auto"/>
                      </w:divBdr>
                    </w:div>
                  </w:divsChild>
                </w:div>
                <w:div w:id="1391542222">
                  <w:marLeft w:val="0"/>
                  <w:marRight w:val="0"/>
                  <w:marTop w:val="0"/>
                  <w:marBottom w:val="0"/>
                  <w:divBdr>
                    <w:top w:val="none" w:sz="0" w:space="0" w:color="auto"/>
                    <w:left w:val="none" w:sz="0" w:space="0" w:color="auto"/>
                    <w:bottom w:val="none" w:sz="0" w:space="0" w:color="auto"/>
                    <w:right w:val="none" w:sz="0" w:space="0" w:color="auto"/>
                  </w:divBdr>
                  <w:divsChild>
                    <w:div w:id="833255785">
                      <w:marLeft w:val="0"/>
                      <w:marRight w:val="0"/>
                      <w:marTop w:val="0"/>
                      <w:marBottom w:val="0"/>
                      <w:divBdr>
                        <w:top w:val="none" w:sz="0" w:space="0" w:color="auto"/>
                        <w:left w:val="none" w:sz="0" w:space="0" w:color="auto"/>
                        <w:bottom w:val="none" w:sz="0" w:space="0" w:color="auto"/>
                        <w:right w:val="none" w:sz="0" w:space="0" w:color="auto"/>
                      </w:divBdr>
                    </w:div>
                  </w:divsChild>
                </w:div>
                <w:div w:id="1406607102">
                  <w:marLeft w:val="0"/>
                  <w:marRight w:val="0"/>
                  <w:marTop w:val="0"/>
                  <w:marBottom w:val="0"/>
                  <w:divBdr>
                    <w:top w:val="none" w:sz="0" w:space="0" w:color="auto"/>
                    <w:left w:val="none" w:sz="0" w:space="0" w:color="auto"/>
                    <w:bottom w:val="none" w:sz="0" w:space="0" w:color="auto"/>
                    <w:right w:val="none" w:sz="0" w:space="0" w:color="auto"/>
                  </w:divBdr>
                  <w:divsChild>
                    <w:div w:id="474764363">
                      <w:marLeft w:val="0"/>
                      <w:marRight w:val="0"/>
                      <w:marTop w:val="0"/>
                      <w:marBottom w:val="0"/>
                      <w:divBdr>
                        <w:top w:val="none" w:sz="0" w:space="0" w:color="auto"/>
                        <w:left w:val="none" w:sz="0" w:space="0" w:color="auto"/>
                        <w:bottom w:val="none" w:sz="0" w:space="0" w:color="auto"/>
                        <w:right w:val="none" w:sz="0" w:space="0" w:color="auto"/>
                      </w:divBdr>
                    </w:div>
                  </w:divsChild>
                </w:div>
                <w:div w:id="1407804648">
                  <w:marLeft w:val="0"/>
                  <w:marRight w:val="0"/>
                  <w:marTop w:val="0"/>
                  <w:marBottom w:val="0"/>
                  <w:divBdr>
                    <w:top w:val="none" w:sz="0" w:space="0" w:color="auto"/>
                    <w:left w:val="none" w:sz="0" w:space="0" w:color="auto"/>
                    <w:bottom w:val="none" w:sz="0" w:space="0" w:color="auto"/>
                    <w:right w:val="none" w:sz="0" w:space="0" w:color="auto"/>
                  </w:divBdr>
                  <w:divsChild>
                    <w:div w:id="343098061">
                      <w:marLeft w:val="0"/>
                      <w:marRight w:val="0"/>
                      <w:marTop w:val="0"/>
                      <w:marBottom w:val="0"/>
                      <w:divBdr>
                        <w:top w:val="none" w:sz="0" w:space="0" w:color="auto"/>
                        <w:left w:val="none" w:sz="0" w:space="0" w:color="auto"/>
                        <w:bottom w:val="none" w:sz="0" w:space="0" w:color="auto"/>
                        <w:right w:val="none" w:sz="0" w:space="0" w:color="auto"/>
                      </w:divBdr>
                    </w:div>
                  </w:divsChild>
                </w:div>
                <w:div w:id="1421368503">
                  <w:marLeft w:val="0"/>
                  <w:marRight w:val="0"/>
                  <w:marTop w:val="0"/>
                  <w:marBottom w:val="0"/>
                  <w:divBdr>
                    <w:top w:val="none" w:sz="0" w:space="0" w:color="auto"/>
                    <w:left w:val="none" w:sz="0" w:space="0" w:color="auto"/>
                    <w:bottom w:val="none" w:sz="0" w:space="0" w:color="auto"/>
                    <w:right w:val="none" w:sz="0" w:space="0" w:color="auto"/>
                  </w:divBdr>
                  <w:divsChild>
                    <w:div w:id="1564947455">
                      <w:marLeft w:val="0"/>
                      <w:marRight w:val="0"/>
                      <w:marTop w:val="0"/>
                      <w:marBottom w:val="0"/>
                      <w:divBdr>
                        <w:top w:val="none" w:sz="0" w:space="0" w:color="auto"/>
                        <w:left w:val="none" w:sz="0" w:space="0" w:color="auto"/>
                        <w:bottom w:val="none" w:sz="0" w:space="0" w:color="auto"/>
                        <w:right w:val="none" w:sz="0" w:space="0" w:color="auto"/>
                      </w:divBdr>
                    </w:div>
                  </w:divsChild>
                </w:div>
                <w:div w:id="1437478153">
                  <w:marLeft w:val="0"/>
                  <w:marRight w:val="0"/>
                  <w:marTop w:val="0"/>
                  <w:marBottom w:val="0"/>
                  <w:divBdr>
                    <w:top w:val="none" w:sz="0" w:space="0" w:color="auto"/>
                    <w:left w:val="none" w:sz="0" w:space="0" w:color="auto"/>
                    <w:bottom w:val="none" w:sz="0" w:space="0" w:color="auto"/>
                    <w:right w:val="none" w:sz="0" w:space="0" w:color="auto"/>
                  </w:divBdr>
                  <w:divsChild>
                    <w:div w:id="1222521358">
                      <w:marLeft w:val="0"/>
                      <w:marRight w:val="0"/>
                      <w:marTop w:val="0"/>
                      <w:marBottom w:val="0"/>
                      <w:divBdr>
                        <w:top w:val="none" w:sz="0" w:space="0" w:color="auto"/>
                        <w:left w:val="none" w:sz="0" w:space="0" w:color="auto"/>
                        <w:bottom w:val="none" w:sz="0" w:space="0" w:color="auto"/>
                        <w:right w:val="none" w:sz="0" w:space="0" w:color="auto"/>
                      </w:divBdr>
                    </w:div>
                  </w:divsChild>
                </w:div>
                <w:div w:id="1456489247">
                  <w:marLeft w:val="0"/>
                  <w:marRight w:val="0"/>
                  <w:marTop w:val="0"/>
                  <w:marBottom w:val="0"/>
                  <w:divBdr>
                    <w:top w:val="none" w:sz="0" w:space="0" w:color="auto"/>
                    <w:left w:val="none" w:sz="0" w:space="0" w:color="auto"/>
                    <w:bottom w:val="none" w:sz="0" w:space="0" w:color="auto"/>
                    <w:right w:val="none" w:sz="0" w:space="0" w:color="auto"/>
                  </w:divBdr>
                  <w:divsChild>
                    <w:div w:id="1996451890">
                      <w:marLeft w:val="0"/>
                      <w:marRight w:val="0"/>
                      <w:marTop w:val="0"/>
                      <w:marBottom w:val="0"/>
                      <w:divBdr>
                        <w:top w:val="none" w:sz="0" w:space="0" w:color="auto"/>
                        <w:left w:val="none" w:sz="0" w:space="0" w:color="auto"/>
                        <w:bottom w:val="none" w:sz="0" w:space="0" w:color="auto"/>
                        <w:right w:val="none" w:sz="0" w:space="0" w:color="auto"/>
                      </w:divBdr>
                    </w:div>
                  </w:divsChild>
                </w:div>
                <w:div w:id="1485387142">
                  <w:marLeft w:val="0"/>
                  <w:marRight w:val="0"/>
                  <w:marTop w:val="0"/>
                  <w:marBottom w:val="0"/>
                  <w:divBdr>
                    <w:top w:val="none" w:sz="0" w:space="0" w:color="auto"/>
                    <w:left w:val="none" w:sz="0" w:space="0" w:color="auto"/>
                    <w:bottom w:val="none" w:sz="0" w:space="0" w:color="auto"/>
                    <w:right w:val="none" w:sz="0" w:space="0" w:color="auto"/>
                  </w:divBdr>
                  <w:divsChild>
                    <w:div w:id="1847016391">
                      <w:marLeft w:val="0"/>
                      <w:marRight w:val="0"/>
                      <w:marTop w:val="0"/>
                      <w:marBottom w:val="0"/>
                      <w:divBdr>
                        <w:top w:val="none" w:sz="0" w:space="0" w:color="auto"/>
                        <w:left w:val="none" w:sz="0" w:space="0" w:color="auto"/>
                        <w:bottom w:val="none" w:sz="0" w:space="0" w:color="auto"/>
                        <w:right w:val="none" w:sz="0" w:space="0" w:color="auto"/>
                      </w:divBdr>
                    </w:div>
                  </w:divsChild>
                </w:div>
                <w:div w:id="1491217485">
                  <w:marLeft w:val="0"/>
                  <w:marRight w:val="0"/>
                  <w:marTop w:val="0"/>
                  <w:marBottom w:val="0"/>
                  <w:divBdr>
                    <w:top w:val="none" w:sz="0" w:space="0" w:color="auto"/>
                    <w:left w:val="none" w:sz="0" w:space="0" w:color="auto"/>
                    <w:bottom w:val="none" w:sz="0" w:space="0" w:color="auto"/>
                    <w:right w:val="none" w:sz="0" w:space="0" w:color="auto"/>
                  </w:divBdr>
                  <w:divsChild>
                    <w:div w:id="1369990857">
                      <w:marLeft w:val="0"/>
                      <w:marRight w:val="0"/>
                      <w:marTop w:val="0"/>
                      <w:marBottom w:val="0"/>
                      <w:divBdr>
                        <w:top w:val="none" w:sz="0" w:space="0" w:color="auto"/>
                        <w:left w:val="none" w:sz="0" w:space="0" w:color="auto"/>
                        <w:bottom w:val="none" w:sz="0" w:space="0" w:color="auto"/>
                        <w:right w:val="none" w:sz="0" w:space="0" w:color="auto"/>
                      </w:divBdr>
                    </w:div>
                  </w:divsChild>
                </w:div>
                <w:div w:id="1491679024">
                  <w:marLeft w:val="0"/>
                  <w:marRight w:val="0"/>
                  <w:marTop w:val="0"/>
                  <w:marBottom w:val="0"/>
                  <w:divBdr>
                    <w:top w:val="none" w:sz="0" w:space="0" w:color="auto"/>
                    <w:left w:val="none" w:sz="0" w:space="0" w:color="auto"/>
                    <w:bottom w:val="none" w:sz="0" w:space="0" w:color="auto"/>
                    <w:right w:val="none" w:sz="0" w:space="0" w:color="auto"/>
                  </w:divBdr>
                  <w:divsChild>
                    <w:div w:id="378601531">
                      <w:marLeft w:val="0"/>
                      <w:marRight w:val="0"/>
                      <w:marTop w:val="0"/>
                      <w:marBottom w:val="0"/>
                      <w:divBdr>
                        <w:top w:val="none" w:sz="0" w:space="0" w:color="auto"/>
                        <w:left w:val="none" w:sz="0" w:space="0" w:color="auto"/>
                        <w:bottom w:val="none" w:sz="0" w:space="0" w:color="auto"/>
                        <w:right w:val="none" w:sz="0" w:space="0" w:color="auto"/>
                      </w:divBdr>
                    </w:div>
                  </w:divsChild>
                </w:div>
                <w:div w:id="1510943605">
                  <w:marLeft w:val="0"/>
                  <w:marRight w:val="0"/>
                  <w:marTop w:val="0"/>
                  <w:marBottom w:val="0"/>
                  <w:divBdr>
                    <w:top w:val="none" w:sz="0" w:space="0" w:color="auto"/>
                    <w:left w:val="none" w:sz="0" w:space="0" w:color="auto"/>
                    <w:bottom w:val="none" w:sz="0" w:space="0" w:color="auto"/>
                    <w:right w:val="none" w:sz="0" w:space="0" w:color="auto"/>
                  </w:divBdr>
                  <w:divsChild>
                    <w:div w:id="1228608045">
                      <w:marLeft w:val="0"/>
                      <w:marRight w:val="0"/>
                      <w:marTop w:val="0"/>
                      <w:marBottom w:val="0"/>
                      <w:divBdr>
                        <w:top w:val="none" w:sz="0" w:space="0" w:color="auto"/>
                        <w:left w:val="none" w:sz="0" w:space="0" w:color="auto"/>
                        <w:bottom w:val="none" w:sz="0" w:space="0" w:color="auto"/>
                        <w:right w:val="none" w:sz="0" w:space="0" w:color="auto"/>
                      </w:divBdr>
                    </w:div>
                  </w:divsChild>
                </w:div>
                <w:div w:id="1524317213">
                  <w:marLeft w:val="0"/>
                  <w:marRight w:val="0"/>
                  <w:marTop w:val="0"/>
                  <w:marBottom w:val="0"/>
                  <w:divBdr>
                    <w:top w:val="none" w:sz="0" w:space="0" w:color="auto"/>
                    <w:left w:val="none" w:sz="0" w:space="0" w:color="auto"/>
                    <w:bottom w:val="none" w:sz="0" w:space="0" w:color="auto"/>
                    <w:right w:val="none" w:sz="0" w:space="0" w:color="auto"/>
                  </w:divBdr>
                  <w:divsChild>
                    <w:div w:id="2094625232">
                      <w:marLeft w:val="0"/>
                      <w:marRight w:val="0"/>
                      <w:marTop w:val="0"/>
                      <w:marBottom w:val="0"/>
                      <w:divBdr>
                        <w:top w:val="none" w:sz="0" w:space="0" w:color="auto"/>
                        <w:left w:val="none" w:sz="0" w:space="0" w:color="auto"/>
                        <w:bottom w:val="none" w:sz="0" w:space="0" w:color="auto"/>
                        <w:right w:val="none" w:sz="0" w:space="0" w:color="auto"/>
                      </w:divBdr>
                    </w:div>
                  </w:divsChild>
                </w:div>
                <w:div w:id="1524438873">
                  <w:marLeft w:val="0"/>
                  <w:marRight w:val="0"/>
                  <w:marTop w:val="0"/>
                  <w:marBottom w:val="0"/>
                  <w:divBdr>
                    <w:top w:val="none" w:sz="0" w:space="0" w:color="auto"/>
                    <w:left w:val="none" w:sz="0" w:space="0" w:color="auto"/>
                    <w:bottom w:val="none" w:sz="0" w:space="0" w:color="auto"/>
                    <w:right w:val="none" w:sz="0" w:space="0" w:color="auto"/>
                  </w:divBdr>
                  <w:divsChild>
                    <w:div w:id="696084493">
                      <w:marLeft w:val="0"/>
                      <w:marRight w:val="0"/>
                      <w:marTop w:val="0"/>
                      <w:marBottom w:val="0"/>
                      <w:divBdr>
                        <w:top w:val="none" w:sz="0" w:space="0" w:color="auto"/>
                        <w:left w:val="none" w:sz="0" w:space="0" w:color="auto"/>
                        <w:bottom w:val="none" w:sz="0" w:space="0" w:color="auto"/>
                        <w:right w:val="none" w:sz="0" w:space="0" w:color="auto"/>
                      </w:divBdr>
                    </w:div>
                  </w:divsChild>
                </w:div>
                <w:div w:id="1531603911">
                  <w:marLeft w:val="0"/>
                  <w:marRight w:val="0"/>
                  <w:marTop w:val="0"/>
                  <w:marBottom w:val="0"/>
                  <w:divBdr>
                    <w:top w:val="none" w:sz="0" w:space="0" w:color="auto"/>
                    <w:left w:val="none" w:sz="0" w:space="0" w:color="auto"/>
                    <w:bottom w:val="none" w:sz="0" w:space="0" w:color="auto"/>
                    <w:right w:val="none" w:sz="0" w:space="0" w:color="auto"/>
                  </w:divBdr>
                  <w:divsChild>
                    <w:div w:id="646007592">
                      <w:marLeft w:val="0"/>
                      <w:marRight w:val="0"/>
                      <w:marTop w:val="0"/>
                      <w:marBottom w:val="0"/>
                      <w:divBdr>
                        <w:top w:val="none" w:sz="0" w:space="0" w:color="auto"/>
                        <w:left w:val="none" w:sz="0" w:space="0" w:color="auto"/>
                        <w:bottom w:val="none" w:sz="0" w:space="0" w:color="auto"/>
                        <w:right w:val="none" w:sz="0" w:space="0" w:color="auto"/>
                      </w:divBdr>
                    </w:div>
                  </w:divsChild>
                </w:div>
                <w:div w:id="1533306396">
                  <w:marLeft w:val="0"/>
                  <w:marRight w:val="0"/>
                  <w:marTop w:val="0"/>
                  <w:marBottom w:val="0"/>
                  <w:divBdr>
                    <w:top w:val="none" w:sz="0" w:space="0" w:color="auto"/>
                    <w:left w:val="none" w:sz="0" w:space="0" w:color="auto"/>
                    <w:bottom w:val="none" w:sz="0" w:space="0" w:color="auto"/>
                    <w:right w:val="none" w:sz="0" w:space="0" w:color="auto"/>
                  </w:divBdr>
                  <w:divsChild>
                    <w:div w:id="400759782">
                      <w:marLeft w:val="0"/>
                      <w:marRight w:val="0"/>
                      <w:marTop w:val="0"/>
                      <w:marBottom w:val="0"/>
                      <w:divBdr>
                        <w:top w:val="none" w:sz="0" w:space="0" w:color="auto"/>
                        <w:left w:val="none" w:sz="0" w:space="0" w:color="auto"/>
                        <w:bottom w:val="none" w:sz="0" w:space="0" w:color="auto"/>
                        <w:right w:val="none" w:sz="0" w:space="0" w:color="auto"/>
                      </w:divBdr>
                    </w:div>
                  </w:divsChild>
                </w:div>
                <w:div w:id="1558475329">
                  <w:marLeft w:val="0"/>
                  <w:marRight w:val="0"/>
                  <w:marTop w:val="0"/>
                  <w:marBottom w:val="0"/>
                  <w:divBdr>
                    <w:top w:val="none" w:sz="0" w:space="0" w:color="auto"/>
                    <w:left w:val="none" w:sz="0" w:space="0" w:color="auto"/>
                    <w:bottom w:val="none" w:sz="0" w:space="0" w:color="auto"/>
                    <w:right w:val="none" w:sz="0" w:space="0" w:color="auto"/>
                  </w:divBdr>
                  <w:divsChild>
                    <w:div w:id="844132963">
                      <w:marLeft w:val="0"/>
                      <w:marRight w:val="0"/>
                      <w:marTop w:val="0"/>
                      <w:marBottom w:val="0"/>
                      <w:divBdr>
                        <w:top w:val="none" w:sz="0" w:space="0" w:color="auto"/>
                        <w:left w:val="none" w:sz="0" w:space="0" w:color="auto"/>
                        <w:bottom w:val="none" w:sz="0" w:space="0" w:color="auto"/>
                        <w:right w:val="none" w:sz="0" w:space="0" w:color="auto"/>
                      </w:divBdr>
                    </w:div>
                  </w:divsChild>
                </w:div>
                <w:div w:id="1574316579">
                  <w:marLeft w:val="0"/>
                  <w:marRight w:val="0"/>
                  <w:marTop w:val="0"/>
                  <w:marBottom w:val="0"/>
                  <w:divBdr>
                    <w:top w:val="none" w:sz="0" w:space="0" w:color="auto"/>
                    <w:left w:val="none" w:sz="0" w:space="0" w:color="auto"/>
                    <w:bottom w:val="none" w:sz="0" w:space="0" w:color="auto"/>
                    <w:right w:val="none" w:sz="0" w:space="0" w:color="auto"/>
                  </w:divBdr>
                  <w:divsChild>
                    <w:div w:id="11223387">
                      <w:marLeft w:val="0"/>
                      <w:marRight w:val="0"/>
                      <w:marTop w:val="0"/>
                      <w:marBottom w:val="0"/>
                      <w:divBdr>
                        <w:top w:val="none" w:sz="0" w:space="0" w:color="auto"/>
                        <w:left w:val="none" w:sz="0" w:space="0" w:color="auto"/>
                        <w:bottom w:val="none" w:sz="0" w:space="0" w:color="auto"/>
                        <w:right w:val="none" w:sz="0" w:space="0" w:color="auto"/>
                      </w:divBdr>
                    </w:div>
                  </w:divsChild>
                </w:div>
                <w:div w:id="1576473061">
                  <w:marLeft w:val="0"/>
                  <w:marRight w:val="0"/>
                  <w:marTop w:val="0"/>
                  <w:marBottom w:val="0"/>
                  <w:divBdr>
                    <w:top w:val="none" w:sz="0" w:space="0" w:color="auto"/>
                    <w:left w:val="none" w:sz="0" w:space="0" w:color="auto"/>
                    <w:bottom w:val="none" w:sz="0" w:space="0" w:color="auto"/>
                    <w:right w:val="none" w:sz="0" w:space="0" w:color="auto"/>
                  </w:divBdr>
                  <w:divsChild>
                    <w:div w:id="592980447">
                      <w:marLeft w:val="0"/>
                      <w:marRight w:val="0"/>
                      <w:marTop w:val="0"/>
                      <w:marBottom w:val="0"/>
                      <w:divBdr>
                        <w:top w:val="none" w:sz="0" w:space="0" w:color="auto"/>
                        <w:left w:val="none" w:sz="0" w:space="0" w:color="auto"/>
                        <w:bottom w:val="none" w:sz="0" w:space="0" w:color="auto"/>
                        <w:right w:val="none" w:sz="0" w:space="0" w:color="auto"/>
                      </w:divBdr>
                    </w:div>
                  </w:divsChild>
                </w:div>
                <w:div w:id="1579248008">
                  <w:marLeft w:val="0"/>
                  <w:marRight w:val="0"/>
                  <w:marTop w:val="0"/>
                  <w:marBottom w:val="0"/>
                  <w:divBdr>
                    <w:top w:val="none" w:sz="0" w:space="0" w:color="auto"/>
                    <w:left w:val="none" w:sz="0" w:space="0" w:color="auto"/>
                    <w:bottom w:val="none" w:sz="0" w:space="0" w:color="auto"/>
                    <w:right w:val="none" w:sz="0" w:space="0" w:color="auto"/>
                  </w:divBdr>
                  <w:divsChild>
                    <w:div w:id="255017020">
                      <w:marLeft w:val="0"/>
                      <w:marRight w:val="0"/>
                      <w:marTop w:val="0"/>
                      <w:marBottom w:val="0"/>
                      <w:divBdr>
                        <w:top w:val="none" w:sz="0" w:space="0" w:color="auto"/>
                        <w:left w:val="none" w:sz="0" w:space="0" w:color="auto"/>
                        <w:bottom w:val="none" w:sz="0" w:space="0" w:color="auto"/>
                        <w:right w:val="none" w:sz="0" w:space="0" w:color="auto"/>
                      </w:divBdr>
                    </w:div>
                  </w:divsChild>
                </w:div>
                <w:div w:id="1581327014">
                  <w:marLeft w:val="0"/>
                  <w:marRight w:val="0"/>
                  <w:marTop w:val="0"/>
                  <w:marBottom w:val="0"/>
                  <w:divBdr>
                    <w:top w:val="none" w:sz="0" w:space="0" w:color="auto"/>
                    <w:left w:val="none" w:sz="0" w:space="0" w:color="auto"/>
                    <w:bottom w:val="none" w:sz="0" w:space="0" w:color="auto"/>
                    <w:right w:val="none" w:sz="0" w:space="0" w:color="auto"/>
                  </w:divBdr>
                  <w:divsChild>
                    <w:div w:id="1719283591">
                      <w:marLeft w:val="0"/>
                      <w:marRight w:val="0"/>
                      <w:marTop w:val="0"/>
                      <w:marBottom w:val="0"/>
                      <w:divBdr>
                        <w:top w:val="none" w:sz="0" w:space="0" w:color="auto"/>
                        <w:left w:val="none" w:sz="0" w:space="0" w:color="auto"/>
                        <w:bottom w:val="none" w:sz="0" w:space="0" w:color="auto"/>
                        <w:right w:val="none" w:sz="0" w:space="0" w:color="auto"/>
                      </w:divBdr>
                    </w:div>
                  </w:divsChild>
                </w:div>
                <w:div w:id="1602109602">
                  <w:marLeft w:val="0"/>
                  <w:marRight w:val="0"/>
                  <w:marTop w:val="0"/>
                  <w:marBottom w:val="0"/>
                  <w:divBdr>
                    <w:top w:val="none" w:sz="0" w:space="0" w:color="auto"/>
                    <w:left w:val="none" w:sz="0" w:space="0" w:color="auto"/>
                    <w:bottom w:val="none" w:sz="0" w:space="0" w:color="auto"/>
                    <w:right w:val="none" w:sz="0" w:space="0" w:color="auto"/>
                  </w:divBdr>
                  <w:divsChild>
                    <w:div w:id="1956981428">
                      <w:marLeft w:val="0"/>
                      <w:marRight w:val="0"/>
                      <w:marTop w:val="0"/>
                      <w:marBottom w:val="0"/>
                      <w:divBdr>
                        <w:top w:val="none" w:sz="0" w:space="0" w:color="auto"/>
                        <w:left w:val="none" w:sz="0" w:space="0" w:color="auto"/>
                        <w:bottom w:val="none" w:sz="0" w:space="0" w:color="auto"/>
                        <w:right w:val="none" w:sz="0" w:space="0" w:color="auto"/>
                      </w:divBdr>
                    </w:div>
                  </w:divsChild>
                </w:div>
                <w:div w:id="1614285511">
                  <w:marLeft w:val="0"/>
                  <w:marRight w:val="0"/>
                  <w:marTop w:val="0"/>
                  <w:marBottom w:val="0"/>
                  <w:divBdr>
                    <w:top w:val="none" w:sz="0" w:space="0" w:color="auto"/>
                    <w:left w:val="none" w:sz="0" w:space="0" w:color="auto"/>
                    <w:bottom w:val="none" w:sz="0" w:space="0" w:color="auto"/>
                    <w:right w:val="none" w:sz="0" w:space="0" w:color="auto"/>
                  </w:divBdr>
                  <w:divsChild>
                    <w:div w:id="821892066">
                      <w:marLeft w:val="0"/>
                      <w:marRight w:val="0"/>
                      <w:marTop w:val="0"/>
                      <w:marBottom w:val="0"/>
                      <w:divBdr>
                        <w:top w:val="none" w:sz="0" w:space="0" w:color="auto"/>
                        <w:left w:val="none" w:sz="0" w:space="0" w:color="auto"/>
                        <w:bottom w:val="none" w:sz="0" w:space="0" w:color="auto"/>
                        <w:right w:val="none" w:sz="0" w:space="0" w:color="auto"/>
                      </w:divBdr>
                    </w:div>
                  </w:divsChild>
                </w:div>
                <w:div w:id="1621104713">
                  <w:marLeft w:val="0"/>
                  <w:marRight w:val="0"/>
                  <w:marTop w:val="0"/>
                  <w:marBottom w:val="0"/>
                  <w:divBdr>
                    <w:top w:val="none" w:sz="0" w:space="0" w:color="auto"/>
                    <w:left w:val="none" w:sz="0" w:space="0" w:color="auto"/>
                    <w:bottom w:val="none" w:sz="0" w:space="0" w:color="auto"/>
                    <w:right w:val="none" w:sz="0" w:space="0" w:color="auto"/>
                  </w:divBdr>
                  <w:divsChild>
                    <w:div w:id="20401467">
                      <w:marLeft w:val="0"/>
                      <w:marRight w:val="0"/>
                      <w:marTop w:val="0"/>
                      <w:marBottom w:val="0"/>
                      <w:divBdr>
                        <w:top w:val="none" w:sz="0" w:space="0" w:color="auto"/>
                        <w:left w:val="none" w:sz="0" w:space="0" w:color="auto"/>
                        <w:bottom w:val="none" w:sz="0" w:space="0" w:color="auto"/>
                        <w:right w:val="none" w:sz="0" w:space="0" w:color="auto"/>
                      </w:divBdr>
                    </w:div>
                  </w:divsChild>
                </w:div>
                <w:div w:id="1633826370">
                  <w:marLeft w:val="0"/>
                  <w:marRight w:val="0"/>
                  <w:marTop w:val="0"/>
                  <w:marBottom w:val="0"/>
                  <w:divBdr>
                    <w:top w:val="none" w:sz="0" w:space="0" w:color="auto"/>
                    <w:left w:val="none" w:sz="0" w:space="0" w:color="auto"/>
                    <w:bottom w:val="none" w:sz="0" w:space="0" w:color="auto"/>
                    <w:right w:val="none" w:sz="0" w:space="0" w:color="auto"/>
                  </w:divBdr>
                  <w:divsChild>
                    <w:div w:id="1409614333">
                      <w:marLeft w:val="0"/>
                      <w:marRight w:val="0"/>
                      <w:marTop w:val="0"/>
                      <w:marBottom w:val="0"/>
                      <w:divBdr>
                        <w:top w:val="none" w:sz="0" w:space="0" w:color="auto"/>
                        <w:left w:val="none" w:sz="0" w:space="0" w:color="auto"/>
                        <w:bottom w:val="none" w:sz="0" w:space="0" w:color="auto"/>
                        <w:right w:val="none" w:sz="0" w:space="0" w:color="auto"/>
                      </w:divBdr>
                    </w:div>
                  </w:divsChild>
                </w:div>
                <w:div w:id="1634361397">
                  <w:marLeft w:val="0"/>
                  <w:marRight w:val="0"/>
                  <w:marTop w:val="0"/>
                  <w:marBottom w:val="0"/>
                  <w:divBdr>
                    <w:top w:val="none" w:sz="0" w:space="0" w:color="auto"/>
                    <w:left w:val="none" w:sz="0" w:space="0" w:color="auto"/>
                    <w:bottom w:val="none" w:sz="0" w:space="0" w:color="auto"/>
                    <w:right w:val="none" w:sz="0" w:space="0" w:color="auto"/>
                  </w:divBdr>
                  <w:divsChild>
                    <w:div w:id="1202356145">
                      <w:marLeft w:val="0"/>
                      <w:marRight w:val="0"/>
                      <w:marTop w:val="0"/>
                      <w:marBottom w:val="0"/>
                      <w:divBdr>
                        <w:top w:val="none" w:sz="0" w:space="0" w:color="auto"/>
                        <w:left w:val="none" w:sz="0" w:space="0" w:color="auto"/>
                        <w:bottom w:val="none" w:sz="0" w:space="0" w:color="auto"/>
                        <w:right w:val="none" w:sz="0" w:space="0" w:color="auto"/>
                      </w:divBdr>
                    </w:div>
                  </w:divsChild>
                </w:div>
                <w:div w:id="1641960137">
                  <w:marLeft w:val="0"/>
                  <w:marRight w:val="0"/>
                  <w:marTop w:val="0"/>
                  <w:marBottom w:val="0"/>
                  <w:divBdr>
                    <w:top w:val="none" w:sz="0" w:space="0" w:color="auto"/>
                    <w:left w:val="none" w:sz="0" w:space="0" w:color="auto"/>
                    <w:bottom w:val="none" w:sz="0" w:space="0" w:color="auto"/>
                    <w:right w:val="none" w:sz="0" w:space="0" w:color="auto"/>
                  </w:divBdr>
                  <w:divsChild>
                    <w:div w:id="556861616">
                      <w:marLeft w:val="0"/>
                      <w:marRight w:val="0"/>
                      <w:marTop w:val="0"/>
                      <w:marBottom w:val="0"/>
                      <w:divBdr>
                        <w:top w:val="none" w:sz="0" w:space="0" w:color="auto"/>
                        <w:left w:val="none" w:sz="0" w:space="0" w:color="auto"/>
                        <w:bottom w:val="none" w:sz="0" w:space="0" w:color="auto"/>
                        <w:right w:val="none" w:sz="0" w:space="0" w:color="auto"/>
                      </w:divBdr>
                    </w:div>
                  </w:divsChild>
                </w:div>
                <w:div w:id="1643580960">
                  <w:marLeft w:val="0"/>
                  <w:marRight w:val="0"/>
                  <w:marTop w:val="0"/>
                  <w:marBottom w:val="0"/>
                  <w:divBdr>
                    <w:top w:val="none" w:sz="0" w:space="0" w:color="auto"/>
                    <w:left w:val="none" w:sz="0" w:space="0" w:color="auto"/>
                    <w:bottom w:val="none" w:sz="0" w:space="0" w:color="auto"/>
                    <w:right w:val="none" w:sz="0" w:space="0" w:color="auto"/>
                  </w:divBdr>
                  <w:divsChild>
                    <w:div w:id="222102584">
                      <w:marLeft w:val="0"/>
                      <w:marRight w:val="0"/>
                      <w:marTop w:val="0"/>
                      <w:marBottom w:val="0"/>
                      <w:divBdr>
                        <w:top w:val="none" w:sz="0" w:space="0" w:color="auto"/>
                        <w:left w:val="none" w:sz="0" w:space="0" w:color="auto"/>
                        <w:bottom w:val="none" w:sz="0" w:space="0" w:color="auto"/>
                        <w:right w:val="none" w:sz="0" w:space="0" w:color="auto"/>
                      </w:divBdr>
                    </w:div>
                  </w:divsChild>
                </w:div>
                <w:div w:id="1645814217">
                  <w:marLeft w:val="0"/>
                  <w:marRight w:val="0"/>
                  <w:marTop w:val="0"/>
                  <w:marBottom w:val="0"/>
                  <w:divBdr>
                    <w:top w:val="none" w:sz="0" w:space="0" w:color="auto"/>
                    <w:left w:val="none" w:sz="0" w:space="0" w:color="auto"/>
                    <w:bottom w:val="none" w:sz="0" w:space="0" w:color="auto"/>
                    <w:right w:val="none" w:sz="0" w:space="0" w:color="auto"/>
                  </w:divBdr>
                  <w:divsChild>
                    <w:div w:id="289408413">
                      <w:marLeft w:val="0"/>
                      <w:marRight w:val="0"/>
                      <w:marTop w:val="0"/>
                      <w:marBottom w:val="0"/>
                      <w:divBdr>
                        <w:top w:val="none" w:sz="0" w:space="0" w:color="auto"/>
                        <w:left w:val="none" w:sz="0" w:space="0" w:color="auto"/>
                        <w:bottom w:val="none" w:sz="0" w:space="0" w:color="auto"/>
                        <w:right w:val="none" w:sz="0" w:space="0" w:color="auto"/>
                      </w:divBdr>
                    </w:div>
                  </w:divsChild>
                </w:div>
                <w:div w:id="1681541052">
                  <w:marLeft w:val="0"/>
                  <w:marRight w:val="0"/>
                  <w:marTop w:val="0"/>
                  <w:marBottom w:val="0"/>
                  <w:divBdr>
                    <w:top w:val="none" w:sz="0" w:space="0" w:color="auto"/>
                    <w:left w:val="none" w:sz="0" w:space="0" w:color="auto"/>
                    <w:bottom w:val="none" w:sz="0" w:space="0" w:color="auto"/>
                    <w:right w:val="none" w:sz="0" w:space="0" w:color="auto"/>
                  </w:divBdr>
                  <w:divsChild>
                    <w:div w:id="2049327992">
                      <w:marLeft w:val="0"/>
                      <w:marRight w:val="0"/>
                      <w:marTop w:val="0"/>
                      <w:marBottom w:val="0"/>
                      <w:divBdr>
                        <w:top w:val="none" w:sz="0" w:space="0" w:color="auto"/>
                        <w:left w:val="none" w:sz="0" w:space="0" w:color="auto"/>
                        <w:bottom w:val="none" w:sz="0" w:space="0" w:color="auto"/>
                        <w:right w:val="none" w:sz="0" w:space="0" w:color="auto"/>
                      </w:divBdr>
                    </w:div>
                  </w:divsChild>
                </w:div>
                <w:div w:id="1709254667">
                  <w:marLeft w:val="0"/>
                  <w:marRight w:val="0"/>
                  <w:marTop w:val="0"/>
                  <w:marBottom w:val="0"/>
                  <w:divBdr>
                    <w:top w:val="none" w:sz="0" w:space="0" w:color="auto"/>
                    <w:left w:val="none" w:sz="0" w:space="0" w:color="auto"/>
                    <w:bottom w:val="none" w:sz="0" w:space="0" w:color="auto"/>
                    <w:right w:val="none" w:sz="0" w:space="0" w:color="auto"/>
                  </w:divBdr>
                  <w:divsChild>
                    <w:div w:id="160511726">
                      <w:marLeft w:val="0"/>
                      <w:marRight w:val="0"/>
                      <w:marTop w:val="0"/>
                      <w:marBottom w:val="0"/>
                      <w:divBdr>
                        <w:top w:val="none" w:sz="0" w:space="0" w:color="auto"/>
                        <w:left w:val="none" w:sz="0" w:space="0" w:color="auto"/>
                        <w:bottom w:val="none" w:sz="0" w:space="0" w:color="auto"/>
                        <w:right w:val="none" w:sz="0" w:space="0" w:color="auto"/>
                      </w:divBdr>
                    </w:div>
                  </w:divsChild>
                </w:div>
                <w:div w:id="1711109792">
                  <w:marLeft w:val="0"/>
                  <w:marRight w:val="0"/>
                  <w:marTop w:val="0"/>
                  <w:marBottom w:val="0"/>
                  <w:divBdr>
                    <w:top w:val="none" w:sz="0" w:space="0" w:color="auto"/>
                    <w:left w:val="none" w:sz="0" w:space="0" w:color="auto"/>
                    <w:bottom w:val="none" w:sz="0" w:space="0" w:color="auto"/>
                    <w:right w:val="none" w:sz="0" w:space="0" w:color="auto"/>
                  </w:divBdr>
                  <w:divsChild>
                    <w:div w:id="1159420740">
                      <w:marLeft w:val="0"/>
                      <w:marRight w:val="0"/>
                      <w:marTop w:val="0"/>
                      <w:marBottom w:val="0"/>
                      <w:divBdr>
                        <w:top w:val="none" w:sz="0" w:space="0" w:color="auto"/>
                        <w:left w:val="none" w:sz="0" w:space="0" w:color="auto"/>
                        <w:bottom w:val="none" w:sz="0" w:space="0" w:color="auto"/>
                        <w:right w:val="none" w:sz="0" w:space="0" w:color="auto"/>
                      </w:divBdr>
                    </w:div>
                  </w:divsChild>
                </w:div>
                <w:div w:id="1714960302">
                  <w:marLeft w:val="0"/>
                  <w:marRight w:val="0"/>
                  <w:marTop w:val="0"/>
                  <w:marBottom w:val="0"/>
                  <w:divBdr>
                    <w:top w:val="none" w:sz="0" w:space="0" w:color="auto"/>
                    <w:left w:val="none" w:sz="0" w:space="0" w:color="auto"/>
                    <w:bottom w:val="none" w:sz="0" w:space="0" w:color="auto"/>
                    <w:right w:val="none" w:sz="0" w:space="0" w:color="auto"/>
                  </w:divBdr>
                  <w:divsChild>
                    <w:div w:id="342318746">
                      <w:marLeft w:val="0"/>
                      <w:marRight w:val="0"/>
                      <w:marTop w:val="0"/>
                      <w:marBottom w:val="0"/>
                      <w:divBdr>
                        <w:top w:val="none" w:sz="0" w:space="0" w:color="auto"/>
                        <w:left w:val="none" w:sz="0" w:space="0" w:color="auto"/>
                        <w:bottom w:val="none" w:sz="0" w:space="0" w:color="auto"/>
                        <w:right w:val="none" w:sz="0" w:space="0" w:color="auto"/>
                      </w:divBdr>
                    </w:div>
                  </w:divsChild>
                </w:div>
                <w:div w:id="1722289728">
                  <w:marLeft w:val="0"/>
                  <w:marRight w:val="0"/>
                  <w:marTop w:val="0"/>
                  <w:marBottom w:val="0"/>
                  <w:divBdr>
                    <w:top w:val="none" w:sz="0" w:space="0" w:color="auto"/>
                    <w:left w:val="none" w:sz="0" w:space="0" w:color="auto"/>
                    <w:bottom w:val="none" w:sz="0" w:space="0" w:color="auto"/>
                    <w:right w:val="none" w:sz="0" w:space="0" w:color="auto"/>
                  </w:divBdr>
                  <w:divsChild>
                    <w:div w:id="1282034209">
                      <w:marLeft w:val="0"/>
                      <w:marRight w:val="0"/>
                      <w:marTop w:val="0"/>
                      <w:marBottom w:val="0"/>
                      <w:divBdr>
                        <w:top w:val="none" w:sz="0" w:space="0" w:color="auto"/>
                        <w:left w:val="none" w:sz="0" w:space="0" w:color="auto"/>
                        <w:bottom w:val="none" w:sz="0" w:space="0" w:color="auto"/>
                        <w:right w:val="none" w:sz="0" w:space="0" w:color="auto"/>
                      </w:divBdr>
                    </w:div>
                  </w:divsChild>
                </w:div>
                <w:div w:id="1758404825">
                  <w:marLeft w:val="0"/>
                  <w:marRight w:val="0"/>
                  <w:marTop w:val="0"/>
                  <w:marBottom w:val="0"/>
                  <w:divBdr>
                    <w:top w:val="none" w:sz="0" w:space="0" w:color="auto"/>
                    <w:left w:val="none" w:sz="0" w:space="0" w:color="auto"/>
                    <w:bottom w:val="none" w:sz="0" w:space="0" w:color="auto"/>
                    <w:right w:val="none" w:sz="0" w:space="0" w:color="auto"/>
                  </w:divBdr>
                  <w:divsChild>
                    <w:div w:id="1400715754">
                      <w:marLeft w:val="0"/>
                      <w:marRight w:val="0"/>
                      <w:marTop w:val="0"/>
                      <w:marBottom w:val="0"/>
                      <w:divBdr>
                        <w:top w:val="none" w:sz="0" w:space="0" w:color="auto"/>
                        <w:left w:val="none" w:sz="0" w:space="0" w:color="auto"/>
                        <w:bottom w:val="none" w:sz="0" w:space="0" w:color="auto"/>
                        <w:right w:val="none" w:sz="0" w:space="0" w:color="auto"/>
                      </w:divBdr>
                    </w:div>
                  </w:divsChild>
                </w:div>
                <w:div w:id="1760248475">
                  <w:marLeft w:val="0"/>
                  <w:marRight w:val="0"/>
                  <w:marTop w:val="0"/>
                  <w:marBottom w:val="0"/>
                  <w:divBdr>
                    <w:top w:val="none" w:sz="0" w:space="0" w:color="auto"/>
                    <w:left w:val="none" w:sz="0" w:space="0" w:color="auto"/>
                    <w:bottom w:val="none" w:sz="0" w:space="0" w:color="auto"/>
                    <w:right w:val="none" w:sz="0" w:space="0" w:color="auto"/>
                  </w:divBdr>
                  <w:divsChild>
                    <w:div w:id="1637105377">
                      <w:marLeft w:val="0"/>
                      <w:marRight w:val="0"/>
                      <w:marTop w:val="0"/>
                      <w:marBottom w:val="0"/>
                      <w:divBdr>
                        <w:top w:val="none" w:sz="0" w:space="0" w:color="auto"/>
                        <w:left w:val="none" w:sz="0" w:space="0" w:color="auto"/>
                        <w:bottom w:val="none" w:sz="0" w:space="0" w:color="auto"/>
                        <w:right w:val="none" w:sz="0" w:space="0" w:color="auto"/>
                      </w:divBdr>
                    </w:div>
                  </w:divsChild>
                </w:div>
                <w:div w:id="1765226854">
                  <w:marLeft w:val="0"/>
                  <w:marRight w:val="0"/>
                  <w:marTop w:val="0"/>
                  <w:marBottom w:val="0"/>
                  <w:divBdr>
                    <w:top w:val="none" w:sz="0" w:space="0" w:color="auto"/>
                    <w:left w:val="none" w:sz="0" w:space="0" w:color="auto"/>
                    <w:bottom w:val="none" w:sz="0" w:space="0" w:color="auto"/>
                    <w:right w:val="none" w:sz="0" w:space="0" w:color="auto"/>
                  </w:divBdr>
                  <w:divsChild>
                    <w:div w:id="1684555156">
                      <w:marLeft w:val="0"/>
                      <w:marRight w:val="0"/>
                      <w:marTop w:val="0"/>
                      <w:marBottom w:val="0"/>
                      <w:divBdr>
                        <w:top w:val="none" w:sz="0" w:space="0" w:color="auto"/>
                        <w:left w:val="none" w:sz="0" w:space="0" w:color="auto"/>
                        <w:bottom w:val="none" w:sz="0" w:space="0" w:color="auto"/>
                        <w:right w:val="none" w:sz="0" w:space="0" w:color="auto"/>
                      </w:divBdr>
                    </w:div>
                  </w:divsChild>
                </w:div>
                <w:div w:id="1803841024">
                  <w:marLeft w:val="0"/>
                  <w:marRight w:val="0"/>
                  <w:marTop w:val="0"/>
                  <w:marBottom w:val="0"/>
                  <w:divBdr>
                    <w:top w:val="none" w:sz="0" w:space="0" w:color="auto"/>
                    <w:left w:val="none" w:sz="0" w:space="0" w:color="auto"/>
                    <w:bottom w:val="none" w:sz="0" w:space="0" w:color="auto"/>
                    <w:right w:val="none" w:sz="0" w:space="0" w:color="auto"/>
                  </w:divBdr>
                  <w:divsChild>
                    <w:div w:id="860633902">
                      <w:marLeft w:val="0"/>
                      <w:marRight w:val="0"/>
                      <w:marTop w:val="0"/>
                      <w:marBottom w:val="0"/>
                      <w:divBdr>
                        <w:top w:val="none" w:sz="0" w:space="0" w:color="auto"/>
                        <w:left w:val="none" w:sz="0" w:space="0" w:color="auto"/>
                        <w:bottom w:val="none" w:sz="0" w:space="0" w:color="auto"/>
                        <w:right w:val="none" w:sz="0" w:space="0" w:color="auto"/>
                      </w:divBdr>
                    </w:div>
                  </w:divsChild>
                </w:div>
                <w:div w:id="1816950898">
                  <w:marLeft w:val="0"/>
                  <w:marRight w:val="0"/>
                  <w:marTop w:val="0"/>
                  <w:marBottom w:val="0"/>
                  <w:divBdr>
                    <w:top w:val="none" w:sz="0" w:space="0" w:color="auto"/>
                    <w:left w:val="none" w:sz="0" w:space="0" w:color="auto"/>
                    <w:bottom w:val="none" w:sz="0" w:space="0" w:color="auto"/>
                    <w:right w:val="none" w:sz="0" w:space="0" w:color="auto"/>
                  </w:divBdr>
                  <w:divsChild>
                    <w:div w:id="1404792846">
                      <w:marLeft w:val="0"/>
                      <w:marRight w:val="0"/>
                      <w:marTop w:val="0"/>
                      <w:marBottom w:val="0"/>
                      <w:divBdr>
                        <w:top w:val="none" w:sz="0" w:space="0" w:color="auto"/>
                        <w:left w:val="none" w:sz="0" w:space="0" w:color="auto"/>
                        <w:bottom w:val="none" w:sz="0" w:space="0" w:color="auto"/>
                        <w:right w:val="none" w:sz="0" w:space="0" w:color="auto"/>
                      </w:divBdr>
                    </w:div>
                  </w:divsChild>
                </w:div>
                <w:div w:id="1818064683">
                  <w:marLeft w:val="0"/>
                  <w:marRight w:val="0"/>
                  <w:marTop w:val="0"/>
                  <w:marBottom w:val="0"/>
                  <w:divBdr>
                    <w:top w:val="none" w:sz="0" w:space="0" w:color="auto"/>
                    <w:left w:val="none" w:sz="0" w:space="0" w:color="auto"/>
                    <w:bottom w:val="none" w:sz="0" w:space="0" w:color="auto"/>
                    <w:right w:val="none" w:sz="0" w:space="0" w:color="auto"/>
                  </w:divBdr>
                  <w:divsChild>
                    <w:div w:id="301808283">
                      <w:marLeft w:val="0"/>
                      <w:marRight w:val="0"/>
                      <w:marTop w:val="0"/>
                      <w:marBottom w:val="0"/>
                      <w:divBdr>
                        <w:top w:val="none" w:sz="0" w:space="0" w:color="auto"/>
                        <w:left w:val="none" w:sz="0" w:space="0" w:color="auto"/>
                        <w:bottom w:val="none" w:sz="0" w:space="0" w:color="auto"/>
                        <w:right w:val="none" w:sz="0" w:space="0" w:color="auto"/>
                      </w:divBdr>
                    </w:div>
                  </w:divsChild>
                </w:div>
                <w:div w:id="1823963413">
                  <w:marLeft w:val="0"/>
                  <w:marRight w:val="0"/>
                  <w:marTop w:val="0"/>
                  <w:marBottom w:val="0"/>
                  <w:divBdr>
                    <w:top w:val="none" w:sz="0" w:space="0" w:color="auto"/>
                    <w:left w:val="none" w:sz="0" w:space="0" w:color="auto"/>
                    <w:bottom w:val="none" w:sz="0" w:space="0" w:color="auto"/>
                    <w:right w:val="none" w:sz="0" w:space="0" w:color="auto"/>
                  </w:divBdr>
                  <w:divsChild>
                    <w:div w:id="1568687155">
                      <w:marLeft w:val="0"/>
                      <w:marRight w:val="0"/>
                      <w:marTop w:val="0"/>
                      <w:marBottom w:val="0"/>
                      <w:divBdr>
                        <w:top w:val="none" w:sz="0" w:space="0" w:color="auto"/>
                        <w:left w:val="none" w:sz="0" w:space="0" w:color="auto"/>
                        <w:bottom w:val="none" w:sz="0" w:space="0" w:color="auto"/>
                        <w:right w:val="none" w:sz="0" w:space="0" w:color="auto"/>
                      </w:divBdr>
                    </w:div>
                  </w:divsChild>
                </w:div>
                <w:div w:id="1824664953">
                  <w:marLeft w:val="0"/>
                  <w:marRight w:val="0"/>
                  <w:marTop w:val="0"/>
                  <w:marBottom w:val="0"/>
                  <w:divBdr>
                    <w:top w:val="none" w:sz="0" w:space="0" w:color="auto"/>
                    <w:left w:val="none" w:sz="0" w:space="0" w:color="auto"/>
                    <w:bottom w:val="none" w:sz="0" w:space="0" w:color="auto"/>
                    <w:right w:val="none" w:sz="0" w:space="0" w:color="auto"/>
                  </w:divBdr>
                  <w:divsChild>
                    <w:div w:id="964385174">
                      <w:marLeft w:val="0"/>
                      <w:marRight w:val="0"/>
                      <w:marTop w:val="0"/>
                      <w:marBottom w:val="0"/>
                      <w:divBdr>
                        <w:top w:val="none" w:sz="0" w:space="0" w:color="auto"/>
                        <w:left w:val="none" w:sz="0" w:space="0" w:color="auto"/>
                        <w:bottom w:val="none" w:sz="0" w:space="0" w:color="auto"/>
                        <w:right w:val="none" w:sz="0" w:space="0" w:color="auto"/>
                      </w:divBdr>
                    </w:div>
                  </w:divsChild>
                </w:div>
                <w:div w:id="1844977966">
                  <w:marLeft w:val="0"/>
                  <w:marRight w:val="0"/>
                  <w:marTop w:val="0"/>
                  <w:marBottom w:val="0"/>
                  <w:divBdr>
                    <w:top w:val="none" w:sz="0" w:space="0" w:color="auto"/>
                    <w:left w:val="none" w:sz="0" w:space="0" w:color="auto"/>
                    <w:bottom w:val="none" w:sz="0" w:space="0" w:color="auto"/>
                    <w:right w:val="none" w:sz="0" w:space="0" w:color="auto"/>
                  </w:divBdr>
                  <w:divsChild>
                    <w:div w:id="803933031">
                      <w:marLeft w:val="0"/>
                      <w:marRight w:val="0"/>
                      <w:marTop w:val="0"/>
                      <w:marBottom w:val="0"/>
                      <w:divBdr>
                        <w:top w:val="none" w:sz="0" w:space="0" w:color="auto"/>
                        <w:left w:val="none" w:sz="0" w:space="0" w:color="auto"/>
                        <w:bottom w:val="none" w:sz="0" w:space="0" w:color="auto"/>
                        <w:right w:val="none" w:sz="0" w:space="0" w:color="auto"/>
                      </w:divBdr>
                    </w:div>
                  </w:divsChild>
                </w:div>
                <w:div w:id="1854145275">
                  <w:marLeft w:val="0"/>
                  <w:marRight w:val="0"/>
                  <w:marTop w:val="0"/>
                  <w:marBottom w:val="0"/>
                  <w:divBdr>
                    <w:top w:val="none" w:sz="0" w:space="0" w:color="auto"/>
                    <w:left w:val="none" w:sz="0" w:space="0" w:color="auto"/>
                    <w:bottom w:val="none" w:sz="0" w:space="0" w:color="auto"/>
                    <w:right w:val="none" w:sz="0" w:space="0" w:color="auto"/>
                  </w:divBdr>
                  <w:divsChild>
                    <w:div w:id="1860776446">
                      <w:marLeft w:val="0"/>
                      <w:marRight w:val="0"/>
                      <w:marTop w:val="0"/>
                      <w:marBottom w:val="0"/>
                      <w:divBdr>
                        <w:top w:val="none" w:sz="0" w:space="0" w:color="auto"/>
                        <w:left w:val="none" w:sz="0" w:space="0" w:color="auto"/>
                        <w:bottom w:val="none" w:sz="0" w:space="0" w:color="auto"/>
                        <w:right w:val="none" w:sz="0" w:space="0" w:color="auto"/>
                      </w:divBdr>
                    </w:div>
                  </w:divsChild>
                </w:div>
                <w:div w:id="1855268557">
                  <w:marLeft w:val="0"/>
                  <w:marRight w:val="0"/>
                  <w:marTop w:val="0"/>
                  <w:marBottom w:val="0"/>
                  <w:divBdr>
                    <w:top w:val="none" w:sz="0" w:space="0" w:color="auto"/>
                    <w:left w:val="none" w:sz="0" w:space="0" w:color="auto"/>
                    <w:bottom w:val="none" w:sz="0" w:space="0" w:color="auto"/>
                    <w:right w:val="none" w:sz="0" w:space="0" w:color="auto"/>
                  </w:divBdr>
                  <w:divsChild>
                    <w:div w:id="2128699181">
                      <w:marLeft w:val="0"/>
                      <w:marRight w:val="0"/>
                      <w:marTop w:val="0"/>
                      <w:marBottom w:val="0"/>
                      <w:divBdr>
                        <w:top w:val="none" w:sz="0" w:space="0" w:color="auto"/>
                        <w:left w:val="none" w:sz="0" w:space="0" w:color="auto"/>
                        <w:bottom w:val="none" w:sz="0" w:space="0" w:color="auto"/>
                        <w:right w:val="none" w:sz="0" w:space="0" w:color="auto"/>
                      </w:divBdr>
                    </w:div>
                  </w:divsChild>
                </w:div>
                <w:div w:id="1861121800">
                  <w:marLeft w:val="0"/>
                  <w:marRight w:val="0"/>
                  <w:marTop w:val="0"/>
                  <w:marBottom w:val="0"/>
                  <w:divBdr>
                    <w:top w:val="none" w:sz="0" w:space="0" w:color="auto"/>
                    <w:left w:val="none" w:sz="0" w:space="0" w:color="auto"/>
                    <w:bottom w:val="none" w:sz="0" w:space="0" w:color="auto"/>
                    <w:right w:val="none" w:sz="0" w:space="0" w:color="auto"/>
                  </w:divBdr>
                  <w:divsChild>
                    <w:div w:id="1114713201">
                      <w:marLeft w:val="0"/>
                      <w:marRight w:val="0"/>
                      <w:marTop w:val="0"/>
                      <w:marBottom w:val="0"/>
                      <w:divBdr>
                        <w:top w:val="none" w:sz="0" w:space="0" w:color="auto"/>
                        <w:left w:val="none" w:sz="0" w:space="0" w:color="auto"/>
                        <w:bottom w:val="none" w:sz="0" w:space="0" w:color="auto"/>
                        <w:right w:val="none" w:sz="0" w:space="0" w:color="auto"/>
                      </w:divBdr>
                    </w:div>
                  </w:divsChild>
                </w:div>
                <w:div w:id="1862160207">
                  <w:marLeft w:val="0"/>
                  <w:marRight w:val="0"/>
                  <w:marTop w:val="0"/>
                  <w:marBottom w:val="0"/>
                  <w:divBdr>
                    <w:top w:val="none" w:sz="0" w:space="0" w:color="auto"/>
                    <w:left w:val="none" w:sz="0" w:space="0" w:color="auto"/>
                    <w:bottom w:val="none" w:sz="0" w:space="0" w:color="auto"/>
                    <w:right w:val="none" w:sz="0" w:space="0" w:color="auto"/>
                  </w:divBdr>
                  <w:divsChild>
                    <w:div w:id="125852207">
                      <w:marLeft w:val="0"/>
                      <w:marRight w:val="0"/>
                      <w:marTop w:val="0"/>
                      <w:marBottom w:val="0"/>
                      <w:divBdr>
                        <w:top w:val="none" w:sz="0" w:space="0" w:color="auto"/>
                        <w:left w:val="none" w:sz="0" w:space="0" w:color="auto"/>
                        <w:bottom w:val="none" w:sz="0" w:space="0" w:color="auto"/>
                        <w:right w:val="none" w:sz="0" w:space="0" w:color="auto"/>
                      </w:divBdr>
                    </w:div>
                  </w:divsChild>
                </w:div>
                <w:div w:id="1873566770">
                  <w:marLeft w:val="0"/>
                  <w:marRight w:val="0"/>
                  <w:marTop w:val="0"/>
                  <w:marBottom w:val="0"/>
                  <w:divBdr>
                    <w:top w:val="none" w:sz="0" w:space="0" w:color="auto"/>
                    <w:left w:val="none" w:sz="0" w:space="0" w:color="auto"/>
                    <w:bottom w:val="none" w:sz="0" w:space="0" w:color="auto"/>
                    <w:right w:val="none" w:sz="0" w:space="0" w:color="auto"/>
                  </w:divBdr>
                  <w:divsChild>
                    <w:div w:id="2079549410">
                      <w:marLeft w:val="0"/>
                      <w:marRight w:val="0"/>
                      <w:marTop w:val="0"/>
                      <w:marBottom w:val="0"/>
                      <w:divBdr>
                        <w:top w:val="none" w:sz="0" w:space="0" w:color="auto"/>
                        <w:left w:val="none" w:sz="0" w:space="0" w:color="auto"/>
                        <w:bottom w:val="none" w:sz="0" w:space="0" w:color="auto"/>
                        <w:right w:val="none" w:sz="0" w:space="0" w:color="auto"/>
                      </w:divBdr>
                    </w:div>
                  </w:divsChild>
                </w:div>
                <w:div w:id="1883905888">
                  <w:marLeft w:val="0"/>
                  <w:marRight w:val="0"/>
                  <w:marTop w:val="0"/>
                  <w:marBottom w:val="0"/>
                  <w:divBdr>
                    <w:top w:val="none" w:sz="0" w:space="0" w:color="auto"/>
                    <w:left w:val="none" w:sz="0" w:space="0" w:color="auto"/>
                    <w:bottom w:val="none" w:sz="0" w:space="0" w:color="auto"/>
                    <w:right w:val="none" w:sz="0" w:space="0" w:color="auto"/>
                  </w:divBdr>
                  <w:divsChild>
                    <w:div w:id="1841698797">
                      <w:marLeft w:val="0"/>
                      <w:marRight w:val="0"/>
                      <w:marTop w:val="0"/>
                      <w:marBottom w:val="0"/>
                      <w:divBdr>
                        <w:top w:val="none" w:sz="0" w:space="0" w:color="auto"/>
                        <w:left w:val="none" w:sz="0" w:space="0" w:color="auto"/>
                        <w:bottom w:val="none" w:sz="0" w:space="0" w:color="auto"/>
                        <w:right w:val="none" w:sz="0" w:space="0" w:color="auto"/>
                      </w:divBdr>
                    </w:div>
                  </w:divsChild>
                </w:div>
                <w:div w:id="1884125964">
                  <w:marLeft w:val="0"/>
                  <w:marRight w:val="0"/>
                  <w:marTop w:val="0"/>
                  <w:marBottom w:val="0"/>
                  <w:divBdr>
                    <w:top w:val="none" w:sz="0" w:space="0" w:color="auto"/>
                    <w:left w:val="none" w:sz="0" w:space="0" w:color="auto"/>
                    <w:bottom w:val="none" w:sz="0" w:space="0" w:color="auto"/>
                    <w:right w:val="none" w:sz="0" w:space="0" w:color="auto"/>
                  </w:divBdr>
                  <w:divsChild>
                    <w:div w:id="1565287837">
                      <w:marLeft w:val="0"/>
                      <w:marRight w:val="0"/>
                      <w:marTop w:val="0"/>
                      <w:marBottom w:val="0"/>
                      <w:divBdr>
                        <w:top w:val="none" w:sz="0" w:space="0" w:color="auto"/>
                        <w:left w:val="none" w:sz="0" w:space="0" w:color="auto"/>
                        <w:bottom w:val="none" w:sz="0" w:space="0" w:color="auto"/>
                        <w:right w:val="none" w:sz="0" w:space="0" w:color="auto"/>
                      </w:divBdr>
                    </w:div>
                  </w:divsChild>
                </w:div>
                <w:div w:id="1884443254">
                  <w:marLeft w:val="0"/>
                  <w:marRight w:val="0"/>
                  <w:marTop w:val="0"/>
                  <w:marBottom w:val="0"/>
                  <w:divBdr>
                    <w:top w:val="none" w:sz="0" w:space="0" w:color="auto"/>
                    <w:left w:val="none" w:sz="0" w:space="0" w:color="auto"/>
                    <w:bottom w:val="none" w:sz="0" w:space="0" w:color="auto"/>
                    <w:right w:val="none" w:sz="0" w:space="0" w:color="auto"/>
                  </w:divBdr>
                  <w:divsChild>
                    <w:div w:id="917401250">
                      <w:marLeft w:val="0"/>
                      <w:marRight w:val="0"/>
                      <w:marTop w:val="0"/>
                      <w:marBottom w:val="0"/>
                      <w:divBdr>
                        <w:top w:val="none" w:sz="0" w:space="0" w:color="auto"/>
                        <w:left w:val="none" w:sz="0" w:space="0" w:color="auto"/>
                        <w:bottom w:val="none" w:sz="0" w:space="0" w:color="auto"/>
                        <w:right w:val="none" w:sz="0" w:space="0" w:color="auto"/>
                      </w:divBdr>
                    </w:div>
                  </w:divsChild>
                </w:div>
                <w:div w:id="1892379511">
                  <w:marLeft w:val="0"/>
                  <w:marRight w:val="0"/>
                  <w:marTop w:val="0"/>
                  <w:marBottom w:val="0"/>
                  <w:divBdr>
                    <w:top w:val="none" w:sz="0" w:space="0" w:color="auto"/>
                    <w:left w:val="none" w:sz="0" w:space="0" w:color="auto"/>
                    <w:bottom w:val="none" w:sz="0" w:space="0" w:color="auto"/>
                    <w:right w:val="none" w:sz="0" w:space="0" w:color="auto"/>
                  </w:divBdr>
                  <w:divsChild>
                    <w:div w:id="747970198">
                      <w:marLeft w:val="0"/>
                      <w:marRight w:val="0"/>
                      <w:marTop w:val="0"/>
                      <w:marBottom w:val="0"/>
                      <w:divBdr>
                        <w:top w:val="none" w:sz="0" w:space="0" w:color="auto"/>
                        <w:left w:val="none" w:sz="0" w:space="0" w:color="auto"/>
                        <w:bottom w:val="none" w:sz="0" w:space="0" w:color="auto"/>
                        <w:right w:val="none" w:sz="0" w:space="0" w:color="auto"/>
                      </w:divBdr>
                    </w:div>
                  </w:divsChild>
                </w:div>
                <w:div w:id="1906140692">
                  <w:marLeft w:val="0"/>
                  <w:marRight w:val="0"/>
                  <w:marTop w:val="0"/>
                  <w:marBottom w:val="0"/>
                  <w:divBdr>
                    <w:top w:val="none" w:sz="0" w:space="0" w:color="auto"/>
                    <w:left w:val="none" w:sz="0" w:space="0" w:color="auto"/>
                    <w:bottom w:val="none" w:sz="0" w:space="0" w:color="auto"/>
                    <w:right w:val="none" w:sz="0" w:space="0" w:color="auto"/>
                  </w:divBdr>
                  <w:divsChild>
                    <w:div w:id="1959987961">
                      <w:marLeft w:val="0"/>
                      <w:marRight w:val="0"/>
                      <w:marTop w:val="0"/>
                      <w:marBottom w:val="0"/>
                      <w:divBdr>
                        <w:top w:val="none" w:sz="0" w:space="0" w:color="auto"/>
                        <w:left w:val="none" w:sz="0" w:space="0" w:color="auto"/>
                        <w:bottom w:val="none" w:sz="0" w:space="0" w:color="auto"/>
                        <w:right w:val="none" w:sz="0" w:space="0" w:color="auto"/>
                      </w:divBdr>
                    </w:div>
                  </w:divsChild>
                </w:div>
                <w:div w:id="1932657350">
                  <w:marLeft w:val="0"/>
                  <w:marRight w:val="0"/>
                  <w:marTop w:val="0"/>
                  <w:marBottom w:val="0"/>
                  <w:divBdr>
                    <w:top w:val="none" w:sz="0" w:space="0" w:color="auto"/>
                    <w:left w:val="none" w:sz="0" w:space="0" w:color="auto"/>
                    <w:bottom w:val="none" w:sz="0" w:space="0" w:color="auto"/>
                    <w:right w:val="none" w:sz="0" w:space="0" w:color="auto"/>
                  </w:divBdr>
                  <w:divsChild>
                    <w:div w:id="1210217009">
                      <w:marLeft w:val="0"/>
                      <w:marRight w:val="0"/>
                      <w:marTop w:val="0"/>
                      <w:marBottom w:val="0"/>
                      <w:divBdr>
                        <w:top w:val="none" w:sz="0" w:space="0" w:color="auto"/>
                        <w:left w:val="none" w:sz="0" w:space="0" w:color="auto"/>
                        <w:bottom w:val="none" w:sz="0" w:space="0" w:color="auto"/>
                        <w:right w:val="none" w:sz="0" w:space="0" w:color="auto"/>
                      </w:divBdr>
                    </w:div>
                  </w:divsChild>
                </w:div>
                <w:div w:id="1939022169">
                  <w:marLeft w:val="0"/>
                  <w:marRight w:val="0"/>
                  <w:marTop w:val="0"/>
                  <w:marBottom w:val="0"/>
                  <w:divBdr>
                    <w:top w:val="none" w:sz="0" w:space="0" w:color="auto"/>
                    <w:left w:val="none" w:sz="0" w:space="0" w:color="auto"/>
                    <w:bottom w:val="none" w:sz="0" w:space="0" w:color="auto"/>
                    <w:right w:val="none" w:sz="0" w:space="0" w:color="auto"/>
                  </w:divBdr>
                  <w:divsChild>
                    <w:div w:id="693964182">
                      <w:marLeft w:val="0"/>
                      <w:marRight w:val="0"/>
                      <w:marTop w:val="0"/>
                      <w:marBottom w:val="0"/>
                      <w:divBdr>
                        <w:top w:val="none" w:sz="0" w:space="0" w:color="auto"/>
                        <w:left w:val="none" w:sz="0" w:space="0" w:color="auto"/>
                        <w:bottom w:val="none" w:sz="0" w:space="0" w:color="auto"/>
                        <w:right w:val="none" w:sz="0" w:space="0" w:color="auto"/>
                      </w:divBdr>
                    </w:div>
                    <w:div w:id="874344302">
                      <w:marLeft w:val="0"/>
                      <w:marRight w:val="0"/>
                      <w:marTop w:val="0"/>
                      <w:marBottom w:val="0"/>
                      <w:divBdr>
                        <w:top w:val="none" w:sz="0" w:space="0" w:color="auto"/>
                        <w:left w:val="none" w:sz="0" w:space="0" w:color="auto"/>
                        <w:bottom w:val="none" w:sz="0" w:space="0" w:color="auto"/>
                        <w:right w:val="none" w:sz="0" w:space="0" w:color="auto"/>
                      </w:divBdr>
                    </w:div>
                  </w:divsChild>
                </w:div>
                <w:div w:id="1939606336">
                  <w:marLeft w:val="0"/>
                  <w:marRight w:val="0"/>
                  <w:marTop w:val="0"/>
                  <w:marBottom w:val="0"/>
                  <w:divBdr>
                    <w:top w:val="none" w:sz="0" w:space="0" w:color="auto"/>
                    <w:left w:val="none" w:sz="0" w:space="0" w:color="auto"/>
                    <w:bottom w:val="none" w:sz="0" w:space="0" w:color="auto"/>
                    <w:right w:val="none" w:sz="0" w:space="0" w:color="auto"/>
                  </w:divBdr>
                  <w:divsChild>
                    <w:div w:id="264314905">
                      <w:marLeft w:val="0"/>
                      <w:marRight w:val="0"/>
                      <w:marTop w:val="0"/>
                      <w:marBottom w:val="0"/>
                      <w:divBdr>
                        <w:top w:val="none" w:sz="0" w:space="0" w:color="auto"/>
                        <w:left w:val="none" w:sz="0" w:space="0" w:color="auto"/>
                        <w:bottom w:val="none" w:sz="0" w:space="0" w:color="auto"/>
                        <w:right w:val="none" w:sz="0" w:space="0" w:color="auto"/>
                      </w:divBdr>
                    </w:div>
                  </w:divsChild>
                </w:div>
                <w:div w:id="1957253616">
                  <w:marLeft w:val="0"/>
                  <w:marRight w:val="0"/>
                  <w:marTop w:val="0"/>
                  <w:marBottom w:val="0"/>
                  <w:divBdr>
                    <w:top w:val="none" w:sz="0" w:space="0" w:color="auto"/>
                    <w:left w:val="none" w:sz="0" w:space="0" w:color="auto"/>
                    <w:bottom w:val="none" w:sz="0" w:space="0" w:color="auto"/>
                    <w:right w:val="none" w:sz="0" w:space="0" w:color="auto"/>
                  </w:divBdr>
                  <w:divsChild>
                    <w:div w:id="336813736">
                      <w:marLeft w:val="0"/>
                      <w:marRight w:val="0"/>
                      <w:marTop w:val="0"/>
                      <w:marBottom w:val="0"/>
                      <w:divBdr>
                        <w:top w:val="none" w:sz="0" w:space="0" w:color="auto"/>
                        <w:left w:val="none" w:sz="0" w:space="0" w:color="auto"/>
                        <w:bottom w:val="none" w:sz="0" w:space="0" w:color="auto"/>
                        <w:right w:val="none" w:sz="0" w:space="0" w:color="auto"/>
                      </w:divBdr>
                    </w:div>
                  </w:divsChild>
                </w:div>
                <w:div w:id="1958826175">
                  <w:marLeft w:val="0"/>
                  <w:marRight w:val="0"/>
                  <w:marTop w:val="0"/>
                  <w:marBottom w:val="0"/>
                  <w:divBdr>
                    <w:top w:val="none" w:sz="0" w:space="0" w:color="auto"/>
                    <w:left w:val="none" w:sz="0" w:space="0" w:color="auto"/>
                    <w:bottom w:val="none" w:sz="0" w:space="0" w:color="auto"/>
                    <w:right w:val="none" w:sz="0" w:space="0" w:color="auto"/>
                  </w:divBdr>
                  <w:divsChild>
                    <w:div w:id="1769228096">
                      <w:marLeft w:val="0"/>
                      <w:marRight w:val="0"/>
                      <w:marTop w:val="0"/>
                      <w:marBottom w:val="0"/>
                      <w:divBdr>
                        <w:top w:val="none" w:sz="0" w:space="0" w:color="auto"/>
                        <w:left w:val="none" w:sz="0" w:space="0" w:color="auto"/>
                        <w:bottom w:val="none" w:sz="0" w:space="0" w:color="auto"/>
                        <w:right w:val="none" w:sz="0" w:space="0" w:color="auto"/>
                      </w:divBdr>
                    </w:div>
                  </w:divsChild>
                </w:div>
                <w:div w:id="1978954218">
                  <w:marLeft w:val="0"/>
                  <w:marRight w:val="0"/>
                  <w:marTop w:val="0"/>
                  <w:marBottom w:val="0"/>
                  <w:divBdr>
                    <w:top w:val="none" w:sz="0" w:space="0" w:color="auto"/>
                    <w:left w:val="none" w:sz="0" w:space="0" w:color="auto"/>
                    <w:bottom w:val="none" w:sz="0" w:space="0" w:color="auto"/>
                    <w:right w:val="none" w:sz="0" w:space="0" w:color="auto"/>
                  </w:divBdr>
                  <w:divsChild>
                    <w:div w:id="1602033402">
                      <w:marLeft w:val="0"/>
                      <w:marRight w:val="0"/>
                      <w:marTop w:val="0"/>
                      <w:marBottom w:val="0"/>
                      <w:divBdr>
                        <w:top w:val="none" w:sz="0" w:space="0" w:color="auto"/>
                        <w:left w:val="none" w:sz="0" w:space="0" w:color="auto"/>
                        <w:bottom w:val="none" w:sz="0" w:space="0" w:color="auto"/>
                        <w:right w:val="none" w:sz="0" w:space="0" w:color="auto"/>
                      </w:divBdr>
                    </w:div>
                  </w:divsChild>
                </w:div>
                <w:div w:id="1988168823">
                  <w:marLeft w:val="0"/>
                  <w:marRight w:val="0"/>
                  <w:marTop w:val="0"/>
                  <w:marBottom w:val="0"/>
                  <w:divBdr>
                    <w:top w:val="none" w:sz="0" w:space="0" w:color="auto"/>
                    <w:left w:val="none" w:sz="0" w:space="0" w:color="auto"/>
                    <w:bottom w:val="none" w:sz="0" w:space="0" w:color="auto"/>
                    <w:right w:val="none" w:sz="0" w:space="0" w:color="auto"/>
                  </w:divBdr>
                  <w:divsChild>
                    <w:div w:id="1923024716">
                      <w:marLeft w:val="0"/>
                      <w:marRight w:val="0"/>
                      <w:marTop w:val="0"/>
                      <w:marBottom w:val="0"/>
                      <w:divBdr>
                        <w:top w:val="none" w:sz="0" w:space="0" w:color="auto"/>
                        <w:left w:val="none" w:sz="0" w:space="0" w:color="auto"/>
                        <w:bottom w:val="none" w:sz="0" w:space="0" w:color="auto"/>
                        <w:right w:val="none" w:sz="0" w:space="0" w:color="auto"/>
                      </w:divBdr>
                    </w:div>
                  </w:divsChild>
                </w:div>
                <w:div w:id="1988701247">
                  <w:marLeft w:val="0"/>
                  <w:marRight w:val="0"/>
                  <w:marTop w:val="0"/>
                  <w:marBottom w:val="0"/>
                  <w:divBdr>
                    <w:top w:val="none" w:sz="0" w:space="0" w:color="auto"/>
                    <w:left w:val="none" w:sz="0" w:space="0" w:color="auto"/>
                    <w:bottom w:val="none" w:sz="0" w:space="0" w:color="auto"/>
                    <w:right w:val="none" w:sz="0" w:space="0" w:color="auto"/>
                  </w:divBdr>
                  <w:divsChild>
                    <w:div w:id="1562672136">
                      <w:marLeft w:val="0"/>
                      <w:marRight w:val="0"/>
                      <w:marTop w:val="0"/>
                      <w:marBottom w:val="0"/>
                      <w:divBdr>
                        <w:top w:val="none" w:sz="0" w:space="0" w:color="auto"/>
                        <w:left w:val="none" w:sz="0" w:space="0" w:color="auto"/>
                        <w:bottom w:val="none" w:sz="0" w:space="0" w:color="auto"/>
                        <w:right w:val="none" w:sz="0" w:space="0" w:color="auto"/>
                      </w:divBdr>
                    </w:div>
                  </w:divsChild>
                </w:div>
                <w:div w:id="2004504663">
                  <w:marLeft w:val="0"/>
                  <w:marRight w:val="0"/>
                  <w:marTop w:val="0"/>
                  <w:marBottom w:val="0"/>
                  <w:divBdr>
                    <w:top w:val="none" w:sz="0" w:space="0" w:color="auto"/>
                    <w:left w:val="none" w:sz="0" w:space="0" w:color="auto"/>
                    <w:bottom w:val="none" w:sz="0" w:space="0" w:color="auto"/>
                    <w:right w:val="none" w:sz="0" w:space="0" w:color="auto"/>
                  </w:divBdr>
                  <w:divsChild>
                    <w:div w:id="179590940">
                      <w:marLeft w:val="0"/>
                      <w:marRight w:val="0"/>
                      <w:marTop w:val="0"/>
                      <w:marBottom w:val="0"/>
                      <w:divBdr>
                        <w:top w:val="none" w:sz="0" w:space="0" w:color="auto"/>
                        <w:left w:val="none" w:sz="0" w:space="0" w:color="auto"/>
                        <w:bottom w:val="none" w:sz="0" w:space="0" w:color="auto"/>
                        <w:right w:val="none" w:sz="0" w:space="0" w:color="auto"/>
                      </w:divBdr>
                    </w:div>
                  </w:divsChild>
                </w:div>
                <w:div w:id="2006977416">
                  <w:marLeft w:val="0"/>
                  <w:marRight w:val="0"/>
                  <w:marTop w:val="0"/>
                  <w:marBottom w:val="0"/>
                  <w:divBdr>
                    <w:top w:val="none" w:sz="0" w:space="0" w:color="auto"/>
                    <w:left w:val="none" w:sz="0" w:space="0" w:color="auto"/>
                    <w:bottom w:val="none" w:sz="0" w:space="0" w:color="auto"/>
                    <w:right w:val="none" w:sz="0" w:space="0" w:color="auto"/>
                  </w:divBdr>
                  <w:divsChild>
                    <w:div w:id="1681006707">
                      <w:marLeft w:val="0"/>
                      <w:marRight w:val="0"/>
                      <w:marTop w:val="0"/>
                      <w:marBottom w:val="0"/>
                      <w:divBdr>
                        <w:top w:val="none" w:sz="0" w:space="0" w:color="auto"/>
                        <w:left w:val="none" w:sz="0" w:space="0" w:color="auto"/>
                        <w:bottom w:val="none" w:sz="0" w:space="0" w:color="auto"/>
                        <w:right w:val="none" w:sz="0" w:space="0" w:color="auto"/>
                      </w:divBdr>
                    </w:div>
                  </w:divsChild>
                </w:div>
                <w:div w:id="2041125963">
                  <w:marLeft w:val="0"/>
                  <w:marRight w:val="0"/>
                  <w:marTop w:val="0"/>
                  <w:marBottom w:val="0"/>
                  <w:divBdr>
                    <w:top w:val="none" w:sz="0" w:space="0" w:color="auto"/>
                    <w:left w:val="none" w:sz="0" w:space="0" w:color="auto"/>
                    <w:bottom w:val="none" w:sz="0" w:space="0" w:color="auto"/>
                    <w:right w:val="none" w:sz="0" w:space="0" w:color="auto"/>
                  </w:divBdr>
                  <w:divsChild>
                    <w:div w:id="158160184">
                      <w:marLeft w:val="0"/>
                      <w:marRight w:val="0"/>
                      <w:marTop w:val="0"/>
                      <w:marBottom w:val="0"/>
                      <w:divBdr>
                        <w:top w:val="none" w:sz="0" w:space="0" w:color="auto"/>
                        <w:left w:val="none" w:sz="0" w:space="0" w:color="auto"/>
                        <w:bottom w:val="none" w:sz="0" w:space="0" w:color="auto"/>
                        <w:right w:val="none" w:sz="0" w:space="0" w:color="auto"/>
                      </w:divBdr>
                    </w:div>
                  </w:divsChild>
                </w:div>
                <w:div w:id="2063091589">
                  <w:marLeft w:val="0"/>
                  <w:marRight w:val="0"/>
                  <w:marTop w:val="0"/>
                  <w:marBottom w:val="0"/>
                  <w:divBdr>
                    <w:top w:val="none" w:sz="0" w:space="0" w:color="auto"/>
                    <w:left w:val="none" w:sz="0" w:space="0" w:color="auto"/>
                    <w:bottom w:val="none" w:sz="0" w:space="0" w:color="auto"/>
                    <w:right w:val="none" w:sz="0" w:space="0" w:color="auto"/>
                  </w:divBdr>
                  <w:divsChild>
                    <w:div w:id="929235361">
                      <w:marLeft w:val="0"/>
                      <w:marRight w:val="0"/>
                      <w:marTop w:val="0"/>
                      <w:marBottom w:val="0"/>
                      <w:divBdr>
                        <w:top w:val="none" w:sz="0" w:space="0" w:color="auto"/>
                        <w:left w:val="none" w:sz="0" w:space="0" w:color="auto"/>
                        <w:bottom w:val="none" w:sz="0" w:space="0" w:color="auto"/>
                        <w:right w:val="none" w:sz="0" w:space="0" w:color="auto"/>
                      </w:divBdr>
                    </w:div>
                  </w:divsChild>
                </w:div>
                <w:div w:id="2086220483">
                  <w:marLeft w:val="0"/>
                  <w:marRight w:val="0"/>
                  <w:marTop w:val="0"/>
                  <w:marBottom w:val="0"/>
                  <w:divBdr>
                    <w:top w:val="none" w:sz="0" w:space="0" w:color="auto"/>
                    <w:left w:val="none" w:sz="0" w:space="0" w:color="auto"/>
                    <w:bottom w:val="none" w:sz="0" w:space="0" w:color="auto"/>
                    <w:right w:val="none" w:sz="0" w:space="0" w:color="auto"/>
                  </w:divBdr>
                  <w:divsChild>
                    <w:div w:id="1362245866">
                      <w:marLeft w:val="0"/>
                      <w:marRight w:val="0"/>
                      <w:marTop w:val="0"/>
                      <w:marBottom w:val="0"/>
                      <w:divBdr>
                        <w:top w:val="none" w:sz="0" w:space="0" w:color="auto"/>
                        <w:left w:val="none" w:sz="0" w:space="0" w:color="auto"/>
                        <w:bottom w:val="none" w:sz="0" w:space="0" w:color="auto"/>
                        <w:right w:val="none" w:sz="0" w:space="0" w:color="auto"/>
                      </w:divBdr>
                    </w:div>
                  </w:divsChild>
                </w:div>
                <w:div w:id="2092040723">
                  <w:marLeft w:val="0"/>
                  <w:marRight w:val="0"/>
                  <w:marTop w:val="0"/>
                  <w:marBottom w:val="0"/>
                  <w:divBdr>
                    <w:top w:val="none" w:sz="0" w:space="0" w:color="auto"/>
                    <w:left w:val="none" w:sz="0" w:space="0" w:color="auto"/>
                    <w:bottom w:val="none" w:sz="0" w:space="0" w:color="auto"/>
                    <w:right w:val="none" w:sz="0" w:space="0" w:color="auto"/>
                  </w:divBdr>
                  <w:divsChild>
                    <w:div w:id="1263536075">
                      <w:marLeft w:val="0"/>
                      <w:marRight w:val="0"/>
                      <w:marTop w:val="0"/>
                      <w:marBottom w:val="0"/>
                      <w:divBdr>
                        <w:top w:val="none" w:sz="0" w:space="0" w:color="auto"/>
                        <w:left w:val="none" w:sz="0" w:space="0" w:color="auto"/>
                        <w:bottom w:val="none" w:sz="0" w:space="0" w:color="auto"/>
                        <w:right w:val="none" w:sz="0" w:space="0" w:color="auto"/>
                      </w:divBdr>
                    </w:div>
                  </w:divsChild>
                </w:div>
                <w:div w:id="2096434306">
                  <w:marLeft w:val="0"/>
                  <w:marRight w:val="0"/>
                  <w:marTop w:val="0"/>
                  <w:marBottom w:val="0"/>
                  <w:divBdr>
                    <w:top w:val="none" w:sz="0" w:space="0" w:color="auto"/>
                    <w:left w:val="none" w:sz="0" w:space="0" w:color="auto"/>
                    <w:bottom w:val="none" w:sz="0" w:space="0" w:color="auto"/>
                    <w:right w:val="none" w:sz="0" w:space="0" w:color="auto"/>
                  </w:divBdr>
                  <w:divsChild>
                    <w:div w:id="182520416">
                      <w:marLeft w:val="0"/>
                      <w:marRight w:val="0"/>
                      <w:marTop w:val="0"/>
                      <w:marBottom w:val="0"/>
                      <w:divBdr>
                        <w:top w:val="none" w:sz="0" w:space="0" w:color="auto"/>
                        <w:left w:val="none" w:sz="0" w:space="0" w:color="auto"/>
                        <w:bottom w:val="none" w:sz="0" w:space="0" w:color="auto"/>
                        <w:right w:val="none" w:sz="0" w:space="0" w:color="auto"/>
                      </w:divBdr>
                    </w:div>
                  </w:divsChild>
                </w:div>
                <w:div w:id="2112360749">
                  <w:marLeft w:val="0"/>
                  <w:marRight w:val="0"/>
                  <w:marTop w:val="0"/>
                  <w:marBottom w:val="0"/>
                  <w:divBdr>
                    <w:top w:val="none" w:sz="0" w:space="0" w:color="auto"/>
                    <w:left w:val="none" w:sz="0" w:space="0" w:color="auto"/>
                    <w:bottom w:val="none" w:sz="0" w:space="0" w:color="auto"/>
                    <w:right w:val="none" w:sz="0" w:space="0" w:color="auto"/>
                  </w:divBdr>
                  <w:divsChild>
                    <w:div w:id="792594476">
                      <w:marLeft w:val="0"/>
                      <w:marRight w:val="0"/>
                      <w:marTop w:val="0"/>
                      <w:marBottom w:val="0"/>
                      <w:divBdr>
                        <w:top w:val="none" w:sz="0" w:space="0" w:color="auto"/>
                        <w:left w:val="none" w:sz="0" w:space="0" w:color="auto"/>
                        <w:bottom w:val="none" w:sz="0" w:space="0" w:color="auto"/>
                        <w:right w:val="none" w:sz="0" w:space="0" w:color="auto"/>
                      </w:divBdr>
                    </w:div>
                  </w:divsChild>
                </w:div>
                <w:div w:id="2132939357">
                  <w:marLeft w:val="0"/>
                  <w:marRight w:val="0"/>
                  <w:marTop w:val="0"/>
                  <w:marBottom w:val="0"/>
                  <w:divBdr>
                    <w:top w:val="none" w:sz="0" w:space="0" w:color="auto"/>
                    <w:left w:val="none" w:sz="0" w:space="0" w:color="auto"/>
                    <w:bottom w:val="none" w:sz="0" w:space="0" w:color="auto"/>
                    <w:right w:val="none" w:sz="0" w:space="0" w:color="auto"/>
                  </w:divBdr>
                  <w:divsChild>
                    <w:div w:id="1575897406">
                      <w:marLeft w:val="0"/>
                      <w:marRight w:val="0"/>
                      <w:marTop w:val="0"/>
                      <w:marBottom w:val="0"/>
                      <w:divBdr>
                        <w:top w:val="none" w:sz="0" w:space="0" w:color="auto"/>
                        <w:left w:val="none" w:sz="0" w:space="0" w:color="auto"/>
                        <w:bottom w:val="none" w:sz="0" w:space="0" w:color="auto"/>
                        <w:right w:val="none" w:sz="0" w:space="0" w:color="auto"/>
                      </w:divBdr>
                    </w:div>
                  </w:divsChild>
                </w:div>
                <w:div w:id="2139912997">
                  <w:marLeft w:val="0"/>
                  <w:marRight w:val="0"/>
                  <w:marTop w:val="0"/>
                  <w:marBottom w:val="0"/>
                  <w:divBdr>
                    <w:top w:val="none" w:sz="0" w:space="0" w:color="auto"/>
                    <w:left w:val="none" w:sz="0" w:space="0" w:color="auto"/>
                    <w:bottom w:val="none" w:sz="0" w:space="0" w:color="auto"/>
                    <w:right w:val="none" w:sz="0" w:space="0" w:color="auto"/>
                  </w:divBdr>
                  <w:divsChild>
                    <w:div w:id="89083244">
                      <w:marLeft w:val="0"/>
                      <w:marRight w:val="0"/>
                      <w:marTop w:val="0"/>
                      <w:marBottom w:val="0"/>
                      <w:divBdr>
                        <w:top w:val="none" w:sz="0" w:space="0" w:color="auto"/>
                        <w:left w:val="none" w:sz="0" w:space="0" w:color="auto"/>
                        <w:bottom w:val="none" w:sz="0" w:space="0" w:color="auto"/>
                        <w:right w:val="none" w:sz="0" w:space="0" w:color="auto"/>
                      </w:divBdr>
                    </w:div>
                    <w:div w:id="243805003">
                      <w:marLeft w:val="0"/>
                      <w:marRight w:val="0"/>
                      <w:marTop w:val="0"/>
                      <w:marBottom w:val="0"/>
                      <w:divBdr>
                        <w:top w:val="none" w:sz="0" w:space="0" w:color="auto"/>
                        <w:left w:val="none" w:sz="0" w:space="0" w:color="auto"/>
                        <w:bottom w:val="none" w:sz="0" w:space="0" w:color="auto"/>
                        <w:right w:val="none" w:sz="0" w:space="0" w:color="auto"/>
                      </w:divBdr>
                    </w:div>
                    <w:div w:id="479730258">
                      <w:marLeft w:val="0"/>
                      <w:marRight w:val="0"/>
                      <w:marTop w:val="0"/>
                      <w:marBottom w:val="0"/>
                      <w:divBdr>
                        <w:top w:val="none" w:sz="0" w:space="0" w:color="auto"/>
                        <w:left w:val="none" w:sz="0" w:space="0" w:color="auto"/>
                        <w:bottom w:val="none" w:sz="0" w:space="0" w:color="auto"/>
                        <w:right w:val="none" w:sz="0" w:space="0" w:color="auto"/>
                      </w:divBdr>
                    </w:div>
                    <w:div w:id="1260023215">
                      <w:marLeft w:val="0"/>
                      <w:marRight w:val="0"/>
                      <w:marTop w:val="0"/>
                      <w:marBottom w:val="0"/>
                      <w:divBdr>
                        <w:top w:val="none" w:sz="0" w:space="0" w:color="auto"/>
                        <w:left w:val="none" w:sz="0" w:space="0" w:color="auto"/>
                        <w:bottom w:val="none" w:sz="0" w:space="0" w:color="auto"/>
                        <w:right w:val="none" w:sz="0" w:space="0" w:color="auto"/>
                      </w:divBdr>
                    </w:div>
                    <w:div w:id="1475290651">
                      <w:marLeft w:val="0"/>
                      <w:marRight w:val="0"/>
                      <w:marTop w:val="0"/>
                      <w:marBottom w:val="0"/>
                      <w:divBdr>
                        <w:top w:val="none" w:sz="0" w:space="0" w:color="auto"/>
                        <w:left w:val="none" w:sz="0" w:space="0" w:color="auto"/>
                        <w:bottom w:val="none" w:sz="0" w:space="0" w:color="auto"/>
                        <w:right w:val="none" w:sz="0" w:space="0" w:color="auto"/>
                      </w:divBdr>
                    </w:div>
                    <w:div w:id="1498499683">
                      <w:marLeft w:val="0"/>
                      <w:marRight w:val="0"/>
                      <w:marTop w:val="0"/>
                      <w:marBottom w:val="0"/>
                      <w:divBdr>
                        <w:top w:val="none" w:sz="0" w:space="0" w:color="auto"/>
                        <w:left w:val="none" w:sz="0" w:space="0" w:color="auto"/>
                        <w:bottom w:val="none" w:sz="0" w:space="0" w:color="auto"/>
                        <w:right w:val="none" w:sz="0" w:space="0" w:color="auto"/>
                      </w:divBdr>
                    </w:div>
                    <w:div w:id="1811288789">
                      <w:marLeft w:val="0"/>
                      <w:marRight w:val="0"/>
                      <w:marTop w:val="0"/>
                      <w:marBottom w:val="0"/>
                      <w:divBdr>
                        <w:top w:val="none" w:sz="0" w:space="0" w:color="auto"/>
                        <w:left w:val="none" w:sz="0" w:space="0" w:color="auto"/>
                        <w:bottom w:val="none" w:sz="0" w:space="0" w:color="auto"/>
                        <w:right w:val="none" w:sz="0" w:space="0" w:color="auto"/>
                      </w:divBdr>
                    </w:div>
                    <w:div w:id="1933471365">
                      <w:marLeft w:val="0"/>
                      <w:marRight w:val="0"/>
                      <w:marTop w:val="0"/>
                      <w:marBottom w:val="0"/>
                      <w:divBdr>
                        <w:top w:val="none" w:sz="0" w:space="0" w:color="auto"/>
                        <w:left w:val="none" w:sz="0" w:space="0" w:color="auto"/>
                        <w:bottom w:val="none" w:sz="0" w:space="0" w:color="auto"/>
                        <w:right w:val="none" w:sz="0" w:space="0" w:color="auto"/>
                      </w:divBdr>
                    </w:div>
                  </w:divsChild>
                </w:div>
                <w:div w:id="2146964227">
                  <w:marLeft w:val="0"/>
                  <w:marRight w:val="0"/>
                  <w:marTop w:val="0"/>
                  <w:marBottom w:val="0"/>
                  <w:divBdr>
                    <w:top w:val="none" w:sz="0" w:space="0" w:color="auto"/>
                    <w:left w:val="none" w:sz="0" w:space="0" w:color="auto"/>
                    <w:bottom w:val="none" w:sz="0" w:space="0" w:color="auto"/>
                    <w:right w:val="none" w:sz="0" w:space="0" w:color="auto"/>
                  </w:divBdr>
                  <w:divsChild>
                    <w:div w:id="3184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92066">
      <w:bodyDiv w:val="1"/>
      <w:marLeft w:val="0"/>
      <w:marRight w:val="0"/>
      <w:marTop w:val="0"/>
      <w:marBottom w:val="0"/>
      <w:divBdr>
        <w:top w:val="none" w:sz="0" w:space="0" w:color="auto"/>
        <w:left w:val="none" w:sz="0" w:space="0" w:color="auto"/>
        <w:bottom w:val="none" w:sz="0" w:space="0" w:color="auto"/>
        <w:right w:val="none" w:sz="0" w:space="0" w:color="auto"/>
      </w:divBdr>
    </w:div>
    <w:div w:id="1550725875">
      <w:bodyDiv w:val="1"/>
      <w:marLeft w:val="0"/>
      <w:marRight w:val="0"/>
      <w:marTop w:val="0"/>
      <w:marBottom w:val="0"/>
      <w:divBdr>
        <w:top w:val="none" w:sz="0" w:space="0" w:color="auto"/>
        <w:left w:val="none" w:sz="0" w:space="0" w:color="auto"/>
        <w:bottom w:val="none" w:sz="0" w:space="0" w:color="auto"/>
        <w:right w:val="none" w:sz="0" w:space="0" w:color="auto"/>
      </w:divBdr>
    </w:div>
    <w:div w:id="1660382335">
      <w:bodyDiv w:val="1"/>
      <w:marLeft w:val="0"/>
      <w:marRight w:val="0"/>
      <w:marTop w:val="0"/>
      <w:marBottom w:val="0"/>
      <w:divBdr>
        <w:top w:val="none" w:sz="0" w:space="0" w:color="auto"/>
        <w:left w:val="none" w:sz="0" w:space="0" w:color="auto"/>
        <w:bottom w:val="none" w:sz="0" w:space="0" w:color="auto"/>
        <w:right w:val="none" w:sz="0" w:space="0" w:color="auto"/>
      </w:divBdr>
      <w:divsChild>
        <w:div w:id="695544898">
          <w:marLeft w:val="0"/>
          <w:marRight w:val="0"/>
          <w:marTop w:val="0"/>
          <w:marBottom w:val="0"/>
          <w:divBdr>
            <w:top w:val="none" w:sz="0" w:space="0" w:color="auto"/>
            <w:left w:val="none" w:sz="0" w:space="0" w:color="auto"/>
            <w:bottom w:val="none" w:sz="0" w:space="0" w:color="auto"/>
            <w:right w:val="none" w:sz="0" w:space="0" w:color="auto"/>
          </w:divBdr>
          <w:divsChild>
            <w:div w:id="76445347">
              <w:marLeft w:val="0"/>
              <w:marRight w:val="0"/>
              <w:marTop w:val="0"/>
              <w:marBottom w:val="0"/>
              <w:divBdr>
                <w:top w:val="none" w:sz="0" w:space="0" w:color="auto"/>
                <w:left w:val="none" w:sz="0" w:space="0" w:color="auto"/>
                <w:bottom w:val="none" w:sz="0" w:space="0" w:color="auto"/>
                <w:right w:val="none" w:sz="0" w:space="0" w:color="auto"/>
              </w:divBdr>
            </w:div>
            <w:div w:id="105659549">
              <w:marLeft w:val="0"/>
              <w:marRight w:val="0"/>
              <w:marTop w:val="0"/>
              <w:marBottom w:val="0"/>
              <w:divBdr>
                <w:top w:val="none" w:sz="0" w:space="0" w:color="auto"/>
                <w:left w:val="none" w:sz="0" w:space="0" w:color="auto"/>
                <w:bottom w:val="none" w:sz="0" w:space="0" w:color="auto"/>
                <w:right w:val="none" w:sz="0" w:space="0" w:color="auto"/>
              </w:divBdr>
            </w:div>
            <w:div w:id="152646920">
              <w:marLeft w:val="0"/>
              <w:marRight w:val="0"/>
              <w:marTop w:val="0"/>
              <w:marBottom w:val="0"/>
              <w:divBdr>
                <w:top w:val="none" w:sz="0" w:space="0" w:color="auto"/>
                <w:left w:val="none" w:sz="0" w:space="0" w:color="auto"/>
                <w:bottom w:val="none" w:sz="0" w:space="0" w:color="auto"/>
                <w:right w:val="none" w:sz="0" w:space="0" w:color="auto"/>
              </w:divBdr>
            </w:div>
            <w:div w:id="316308319">
              <w:marLeft w:val="0"/>
              <w:marRight w:val="0"/>
              <w:marTop w:val="0"/>
              <w:marBottom w:val="0"/>
              <w:divBdr>
                <w:top w:val="none" w:sz="0" w:space="0" w:color="auto"/>
                <w:left w:val="none" w:sz="0" w:space="0" w:color="auto"/>
                <w:bottom w:val="none" w:sz="0" w:space="0" w:color="auto"/>
                <w:right w:val="none" w:sz="0" w:space="0" w:color="auto"/>
              </w:divBdr>
            </w:div>
            <w:div w:id="366220341">
              <w:marLeft w:val="0"/>
              <w:marRight w:val="0"/>
              <w:marTop w:val="0"/>
              <w:marBottom w:val="0"/>
              <w:divBdr>
                <w:top w:val="none" w:sz="0" w:space="0" w:color="auto"/>
                <w:left w:val="none" w:sz="0" w:space="0" w:color="auto"/>
                <w:bottom w:val="none" w:sz="0" w:space="0" w:color="auto"/>
                <w:right w:val="none" w:sz="0" w:space="0" w:color="auto"/>
              </w:divBdr>
            </w:div>
            <w:div w:id="556554747">
              <w:marLeft w:val="0"/>
              <w:marRight w:val="0"/>
              <w:marTop w:val="0"/>
              <w:marBottom w:val="0"/>
              <w:divBdr>
                <w:top w:val="none" w:sz="0" w:space="0" w:color="auto"/>
                <w:left w:val="none" w:sz="0" w:space="0" w:color="auto"/>
                <w:bottom w:val="none" w:sz="0" w:space="0" w:color="auto"/>
                <w:right w:val="none" w:sz="0" w:space="0" w:color="auto"/>
              </w:divBdr>
            </w:div>
            <w:div w:id="624121546">
              <w:marLeft w:val="0"/>
              <w:marRight w:val="0"/>
              <w:marTop w:val="0"/>
              <w:marBottom w:val="0"/>
              <w:divBdr>
                <w:top w:val="none" w:sz="0" w:space="0" w:color="auto"/>
                <w:left w:val="none" w:sz="0" w:space="0" w:color="auto"/>
                <w:bottom w:val="none" w:sz="0" w:space="0" w:color="auto"/>
                <w:right w:val="none" w:sz="0" w:space="0" w:color="auto"/>
              </w:divBdr>
            </w:div>
            <w:div w:id="808939465">
              <w:marLeft w:val="0"/>
              <w:marRight w:val="0"/>
              <w:marTop w:val="0"/>
              <w:marBottom w:val="0"/>
              <w:divBdr>
                <w:top w:val="none" w:sz="0" w:space="0" w:color="auto"/>
                <w:left w:val="none" w:sz="0" w:space="0" w:color="auto"/>
                <w:bottom w:val="none" w:sz="0" w:space="0" w:color="auto"/>
                <w:right w:val="none" w:sz="0" w:space="0" w:color="auto"/>
              </w:divBdr>
            </w:div>
            <w:div w:id="828600620">
              <w:marLeft w:val="0"/>
              <w:marRight w:val="0"/>
              <w:marTop w:val="0"/>
              <w:marBottom w:val="0"/>
              <w:divBdr>
                <w:top w:val="none" w:sz="0" w:space="0" w:color="auto"/>
                <w:left w:val="none" w:sz="0" w:space="0" w:color="auto"/>
                <w:bottom w:val="none" w:sz="0" w:space="0" w:color="auto"/>
                <w:right w:val="none" w:sz="0" w:space="0" w:color="auto"/>
              </w:divBdr>
            </w:div>
            <w:div w:id="901451292">
              <w:marLeft w:val="0"/>
              <w:marRight w:val="0"/>
              <w:marTop w:val="0"/>
              <w:marBottom w:val="0"/>
              <w:divBdr>
                <w:top w:val="none" w:sz="0" w:space="0" w:color="auto"/>
                <w:left w:val="none" w:sz="0" w:space="0" w:color="auto"/>
                <w:bottom w:val="none" w:sz="0" w:space="0" w:color="auto"/>
                <w:right w:val="none" w:sz="0" w:space="0" w:color="auto"/>
              </w:divBdr>
            </w:div>
            <w:div w:id="1122383848">
              <w:marLeft w:val="0"/>
              <w:marRight w:val="0"/>
              <w:marTop w:val="0"/>
              <w:marBottom w:val="0"/>
              <w:divBdr>
                <w:top w:val="none" w:sz="0" w:space="0" w:color="auto"/>
                <w:left w:val="none" w:sz="0" w:space="0" w:color="auto"/>
                <w:bottom w:val="none" w:sz="0" w:space="0" w:color="auto"/>
                <w:right w:val="none" w:sz="0" w:space="0" w:color="auto"/>
              </w:divBdr>
            </w:div>
            <w:div w:id="1142114816">
              <w:marLeft w:val="0"/>
              <w:marRight w:val="0"/>
              <w:marTop w:val="0"/>
              <w:marBottom w:val="0"/>
              <w:divBdr>
                <w:top w:val="none" w:sz="0" w:space="0" w:color="auto"/>
                <w:left w:val="none" w:sz="0" w:space="0" w:color="auto"/>
                <w:bottom w:val="none" w:sz="0" w:space="0" w:color="auto"/>
                <w:right w:val="none" w:sz="0" w:space="0" w:color="auto"/>
              </w:divBdr>
            </w:div>
            <w:div w:id="1160774149">
              <w:marLeft w:val="0"/>
              <w:marRight w:val="0"/>
              <w:marTop w:val="0"/>
              <w:marBottom w:val="0"/>
              <w:divBdr>
                <w:top w:val="none" w:sz="0" w:space="0" w:color="auto"/>
                <w:left w:val="none" w:sz="0" w:space="0" w:color="auto"/>
                <w:bottom w:val="none" w:sz="0" w:space="0" w:color="auto"/>
                <w:right w:val="none" w:sz="0" w:space="0" w:color="auto"/>
              </w:divBdr>
            </w:div>
            <w:div w:id="1258640967">
              <w:marLeft w:val="0"/>
              <w:marRight w:val="0"/>
              <w:marTop w:val="0"/>
              <w:marBottom w:val="0"/>
              <w:divBdr>
                <w:top w:val="none" w:sz="0" w:space="0" w:color="auto"/>
                <w:left w:val="none" w:sz="0" w:space="0" w:color="auto"/>
                <w:bottom w:val="none" w:sz="0" w:space="0" w:color="auto"/>
                <w:right w:val="none" w:sz="0" w:space="0" w:color="auto"/>
              </w:divBdr>
            </w:div>
            <w:div w:id="1478230118">
              <w:marLeft w:val="0"/>
              <w:marRight w:val="0"/>
              <w:marTop w:val="0"/>
              <w:marBottom w:val="0"/>
              <w:divBdr>
                <w:top w:val="none" w:sz="0" w:space="0" w:color="auto"/>
                <w:left w:val="none" w:sz="0" w:space="0" w:color="auto"/>
                <w:bottom w:val="none" w:sz="0" w:space="0" w:color="auto"/>
                <w:right w:val="none" w:sz="0" w:space="0" w:color="auto"/>
              </w:divBdr>
            </w:div>
            <w:div w:id="1537739815">
              <w:marLeft w:val="0"/>
              <w:marRight w:val="0"/>
              <w:marTop w:val="0"/>
              <w:marBottom w:val="0"/>
              <w:divBdr>
                <w:top w:val="none" w:sz="0" w:space="0" w:color="auto"/>
                <w:left w:val="none" w:sz="0" w:space="0" w:color="auto"/>
                <w:bottom w:val="none" w:sz="0" w:space="0" w:color="auto"/>
                <w:right w:val="none" w:sz="0" w:space="0" w:color="auto"/>
              </w:divBdr>
            </w:div>
            <w:div w:id="1571036256">
              <w:marLeft w:val="0"/>
              <w:marRight w:val="0"/>
              <w:marTop w:val="0"/>
              <w:marBottom w:val="0"/>
              <w:divBdr>
                <w:top w:val="none" w:sz="0" w:space="0" w:color="auto"/>
                <w:left w:val="none" w:sz="0" w:space="0" w:color="auto"/>
                <w:bottom w:val="none" w:sz="0" w:space="0" w:color="auto"/>
                <w:right w:val="none" w:sz="0" w:space="0" w:color="auto"/>
              </w:divBdr>
            </w:div>
            <w:div w:id="1697272972">
              <w:marLeft w:val="0"/>
              <w:marRight w:val="0"/>
              <w:marTop w:val="0"/>
              <w:marBottom w:val="0"/>
              <w:divBdr>
                <w:top w:val="none" w:sz="0" w:space="0" w:color="auto"/>
                <w:left w:val="none" w:sz="0" w:space="0" w:color="auto"/>
                <w:bottom w:val="none" w:sz="0" w:space="0" w:color="auto"/>
                <w:right w:val="none" w:sz="0" w:space="0" w:color="auto"/>
              </w:divBdr>
            </w:div>
            <w:div w:id="1845391479">
              <w:marLeft w:val="0"/>
              <w:marRight w:val="0"/>
              <w:marTop w:val="0"/>
              <w:marBottom w:val="0"/>
              <w:divBdr>
                <w:top w:val="none" w:sz="0" w:space="0" w:color="auto"/>
                <w:left w:val="none" w:sz="0" w:space="0" w:color="auto"/>
                <w:bottom w:val="none" w:sz="0" w:space="0" w:color="auto"/>
                <w:right w:val="none" w:sz="0" w:space="0" w:color="auto"/>
              </w:divBdr>
            </w:div>
            <w:div w:id="1848907747">
              <w:marLeft w:val="0"/>
              <w:marRight w:val="0"/>
              <w:marTop w:val="0"/>
              <w:marBottom w:val="0"/>
              <w:divBdr>
                <w:top w:val="none" w:sz="0" w:space="0" w:color="auto"/>
                <w:left w:val="none" w:sz="0" w:space="0" w:color="auto"/>
                <w:bottom w:val="none" w:sz="0" w:space="0" w:color="auto"/>
                <w:right w:val="none" w:sz="0" w:space="0" w:color="auto"/>
              </w:divBdr>
            </w:div>
          </w:divsChild>
        </w:div>
        <w:div w:id="1754354579">
          <w:marLeft w:val="0"/>
          <w:marRight w:val="0"/>
          <w:marTop w:val="0"/>
          <w:marBottom w:val="0"/>
          <w:divBdr>
            <w:top w:val="none" w:sz="0" w:space="0" w:color="auto"/>
            <w:left w:val="none" w:sz="0" w:space="0" w:color="auto"/>
            <w:bottom w:val="none" w:sz="0" w:space="0" w:color="auto"/>
            <w:right w:val="none" w:sz="0" w:space="0" w:color="auto"/>
          </w:divBdr>
          <w:divsChild>
            <w:div w:id="219294561">
              <w:marLeft w:val="0"/>
              <w:marRight w:val="0"/>
              <w:marTop w:val="0"/>
              <w:marBottom w:val="0"/>
              <w:divBdr>
                <w:top w:val="none" w:sz="0" w:space="0" w:color="auto"/>
                <w:left w:val="none" w:sz="0" w:space="0" w:color="auto"/>
                <w:bottom w:val="none" w:sz="0" w:space="0" w:color="auto"/>
                <w:right w:val="none" w:sz="0" w:space="0" w:color="auto"/>
              </w:divBdr>
            </w:div>
            <w:div w:id="274143773">
              <w:marLeft w:val="0"/>
              <w:marRight w:val="0"/>
              <w:marTop w:val="0"/>
              <w:marBottom w:val="0"/>
              <w:divBdr>
                <w:top w:val="none" w:sz="0" w:space="0" w:color="auto"/>
                <w:left w:val="none" w:sz="0" w:space="0" w:color="auto"/>
                <w:bottom w:val="none" w:sz="0" w:space="0" w:color="auto"/>
                <w:right w:val="none" w:sz="0" w:space="0" w:color="auto"/>
              </w:divBdr>
            </w:div>
            <w:div w:id="422993514">
              <w:marLeft w:val="0"/>
              <w:marRight w:val="0"/>
              <w:marTop w:val="0"/>
              <w:marBottom w:val="0"/>
              <w:divBdr>
                <w:top w:val="none" w:sz="0" w:space="0" w:color="auto"/>
                <w:left w:val="none" w:sz="0" w:space="0" w:color="auto"/>
                <w:bottom w:val="none" w:sz="0" w:space="0" w:color="auto"/>
                <w:right w:val="none" w:sz="0" w:space="0" w:color="auto"/>
              </w:divBdr>
            </w:div>
            <w:div w:id="539559853">
              <w:marLeft w:val="0"/>
              <w:marRight w:val="0"/>
              <w:marTop w:val="0"/>
              <w:marBottom w:val="0"/>
              <w:divBdr>
                <w:top w:val="none" w:sz="0" w:space="0" w:color="auto"/>
                <w:left w:val="none" w:sz="0" w:space="0" w:color="auto"/>
                <w:bottom w:val="none" w:sz="0" w:space="0" w:color="auto"/>
                <w:right w:val="none" w:sz="0" w:space="0" w:color="auto"/>
              </w:divBdr>
            </w:div>
            <w:div w:id="685792219">
              <w:marLeft w:val="0"/>
              <w:marRight w:val="0"/>
              <w:marTop w:val="0"/>
              <w:marBottom w:val="0"/>
              <w:divBdr>
                <w:top w:val="none" w:sz="0" w:space="0" w:color="auto"/>
                <w:left w:val="none" w:sz="0" w:space="0" w:color="auto"/>
                <w:bottom w:val="none" w:sz="0" w:space="0" w:color="auto"/>
                <w:right w:val="none" w:sz="0" w:space="0" w:color="auto"/>
              </w:divBdr>
            </w:div>
            <w:div w:id="824055412">
              <w:marLeft w:val="0"/>
              <w:marRight w:val="0"/>
              <w:marTop w:val="0"/>
              <w:marBottom w:val="0"/>
              <w:divBdr>
                <w:top w:val="none" w:sz="0" w:space="0" w:color="auto"/>
                <w:left w:val="none" w:sz="0" w:space="0" w:color="auto"/>
                <w:bottom w:val="none" w:sz="0" w:space="0" w:color="auto"/>
                <w:right w:val="none" w:sz="0" w:space="0" w:color="auto"/>
              </w:divBdr>
            </w:div>
            <w:div w:id="992026561">
              <w:marLeft w:val="0"/>
              <w:marRight w:val="0"/>
              <w:marTop w:val="0"/>
              <w:marBottom w:val="0"/>
              <w:divBdr>
                <w:top w:val="none" w:sz="0" w:space="0" w:color="auto"/>
                <w:left w:val="none" w:sz="0" w:space="0" w:color="auto"/>
                <w:bottom w:val="none" w:sz="0" w:space="0" w:color="auto"/>
                <w:right w:val="none" w:sz="0" w:space="0" w:color="auto"/>
              </w:divBdr>
            </w:div>
            <w:div w:id="1315179267">
              <w:marLeft w:val="0"/>
              <w:marRight w:val="0"/>
              <w:marTop w:val="0"/>
              <w:marBottom w:val="0"/>
              <w:divBdr>
                <w:top w:val="none" w:sz="0" w:space="0" w:color="auto"/>
                <w:left w:val="none" w:sz="0" w:space="0" w:color="auto"/>
                <w:bottom w:val="none" w:sz="0" w:space="0" w:color="auto"/>
                <w:right w:val="none" w:sz="0" w:space="0" w:color="auto"/>
              </w:divBdr>
            </w:div>
            <w:div w:id="1374579018">
              <w:marLeft w:val="0"/>
              <w:marRight w:val="0"/>
              <w:marTop w:val="0"/>
              <w:marBottom w:val="0"/>
              <w:divBdr>
                <w:top w:val="none" w:sz="0" w:space="0" w:color="auto"/>
                <w:left w:val="none" w:sz="0" w:space="0" w:color="auto"/>
                <w:bottom w:val="none" w:sz="0" w:space="0" w:color="auto"/>
                <w:right w:val="none" w:sz="0" w:space="0" w:color="auto"/>
              </w:divBdr>
            </w:div>
            <w:div w:id="1429696860">
              <w:marLeft w:val="0"/>
              <w:marRight w:val="0"/>
              <w:marTop w:val="0"/>
              <w:marBottom w:val="0"/>
              <w:divBdr>
                <w:top w:val="none" w:sz="0" w:space="0" w:color="auto"/>
                <w:left w:val="none" w:sz="0" w:space="0" w:color="auto"/>
                <w:bottom w:val="none" w:sz="0" w:space="0" w:color="auto"/>
                <w:right w:val="none" w:sz="0" w:space="0" w:color="auto"/>
              </w:divBdr>
            </w:div>
            <w:div w:id="1451824306">
              <w:marLeft w:val="0"/>
              <w:marRight w:val="0"/>
              <w:marTop w:val="0"/>
              <w:marBottom w:val="0"/>
              <w:divBdr>
                <w:top w:val="none" w:sz="0" w:space="0" w:color="auto"/>
                <w:left w:val="none" w:sz="0" w:space="0" w:color="auto"/>
                <w:bottom w:val="none" w:sz="0" w:space="0" w:color="auto"/>
                <w:right w:val="none" w:sz="0" w:space="0" w:color="auto"/>
              </w:divBdr>
            </w:div>
            <w:div w:id="1536190889">
              <w:marLeft w:val="0"/>
              <w:marRight w:val="0"/>
              <w:marTop w:val="0"/>
              <w:marBottom w:val="0"/>
              <w:divBdr>
                <w:top w:val="none" w:sz="0" w:space="0" w:color="auto"/>
                <w:left w:val="none" w:sz="0" w:space="0" w:color="auto"/>
                <w:bottom w:val="none" w:sz="0" w:space="0" w:color="auto"/>
                <w:right w:val="none" w:sz="0" w:space="0" w:color="auto"/>
              </w:divBdr>
            </w:div>
            <w:div w:id="1753577062">
              <w:marLeft w:val="0"/>
              <w:marRight w:val="0"/>
              <w:marTop w:val="0"/>
              <w:marBottom w:val="0"/>
              <w:divBdr>
                <w:top w:val="none" w:sz="0" w:space="0" w:color="auto"/>
                <w:left w:val="none" w:sz="0" w:space="0" w:color="auto"/>
                <w:bottom w:val="none" w:sz="0" w:space="0" w:color="auto"/>
                <w:right w:val="none" w:sz="0" w:space="0" w:color="auto"/>
              </w:divBdr>
            </w:div>
            <w:div w:id="1768501726">
              <w:marLeft w:val="0"/>
              <w:marRight w:val="0"/>
              <w:marTop w:val="0"/>
              <w:marBottom w:val="0"/>
              <w:divBdr>
                <w:top w:val="none" w:sz="0" w:space="0" w:color="auto"/>
                <w:left w:val="none" w:sz="0" w:space="0" w:color="auto"/>
                <w:bottom w:val="none" w:sz="0" w:space="0" w:color="auto"/>
                <w:right w:val="none" w:sz="0" w:space="0" w:color="auto"/>
              </w:divBdr>
            </w:div>
            <w:div w:id="1947883896">
              <w:marLeft w:val="0"/>
              <w:marRight w:val="0"/>
              <w:marTop w:val="0"/>
              <w:marBottom w:val="0"/>
              <w:divBdr>
                <w:top w:val="none" w:sz="0" w:space="0" w:color="auto"/>
                <w:left w:val="none" w:sz="0" w:space="0" w:color="auto"/>
                <w:bottom w:val="none" w:sz="0" w:space="0" w:color="auto"/>
                <w:right w:val="none" w:sz="0" w:space="0" w:color="auto"/>
              </w:divBdr>
            </w:div>
            <w:div w:id="1973556532">
              <w:marLeft w:val="0"/>
              <w:marRight w:val="0"/>
              <w:marTop w:val="0"/>
              <w:marBottom w:val="0"/>
              <w:divBdr>
                <w:top w:val="none" w:sz="0" w:space="0" w:color="auto"/>
                <w:left w:val="none" w:sz="0" w:space="0" w:color="auto"/>
                <w:bottom w:val="none" w:sz="0" w:space="0" w:color="auto"/>
                <w:right w:val="none" w:sz="0" w:space="0" w:color="auto"/>
              </w:divBdr>
            </w:div>
            <w:div w:id="2031178951">
              <w:marLeft w:val="0"/>
              <w:marRight w:val="0"/>
              <w:marTop w:val="0"/>
              <w:marBottom w:val="0"/>
              <w:divBdr>
                <w:top w:val="none" w:sz="0" w:space="0" w:color="auto"/>
                <w:left w:val="none" w:sz="0" w:space="0" w:color="auto"/>
                <w:bottom w:val="none" w:sz="0" w:space="0" w:color="auto"/>
                <w:right w:val="none" w:sz="0" w:space="0" w:color="auto"/>
              </w:divBdr>
            </w:div>
            <w:div w:id="2066681849">
              <w:marLeft w:val="0"/>
              <w:marRight w:val="0"/>
              <w:marTop w:val="0"/>
              <w:marBottom w:val="0"/>
              <w:divBdr>
                <w:top w:val="none" w:sz="0" w:space="0" w:color="auto"/>
                <w:left w:val="none" w:sz="0" w:space="0" w:color="auto"/>
                <w:bottom w:val="none" w:sz="0" w:space="0" w:color="auto"/>
                <w:right w:val="none" w:sz="0" w:space="0" w:color="auto"/>
              </w:divBdr>
            </w:div>
            <w:div w:id="2079742038">
              <w:marLeft w:val="0"/>
              <w:marRight w:val="0"/>
              <w:marTop w:val="0"/>
              <w:marBottom w:val="0"/>
              <w:divBdr>
                <w:top w:val="none" w:sz="0" w:space="0" w:color="auto"/>
                <w:left w:val="none" w:sz="0" w:space="0" w:color="auto"/>
                <w:bottom w:val="none" w:sz="0" w:space="0" w:color="auto"/>
                <w:right w:val="none" w:sz="0" w:space="0" w:color="auto"/>
              </w:divBdr>
            </w:div>
            <w:div w:id="214264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86161">
      <w:bodyDiv w:val="1"/>
      <w:marLeft w:val="0"/>
      <w:marRight w:val="0"/>
      <w:marTop w:val="0"/>
      <w:marBottom w:val="0"/>
      <w:divBdr>
        <w:top w:val="none" w:sz="0" w:space="0" w:color="auto"/>
        <w:left w:val="none" w:sz="0" w:space="0" w:color="auto"/>
        <w:bottom w:val="none" w:sz="0" w:space="0" w:color="auto"/>
        <w:right w:val="none" w:sz="0" w:space="0" w:color="auto"/>
      </w:divBdr>
      <w:divsChild>
        <w:div w:id="17515623">
          <w:marLeft w:val="0"/>
          <w:marRight w:val="0"/>
          <w:marTop w:val="0"/>
          <w:marBottom w:val="0"/>
          <w:divBdr>
            <w:top w:val="none" w:sz="0" w:space="0" w:color="auto"/>
            <w:left w:val="none" w:sz="0" w:space="0" w:color="auto"/>
            <w:bottom w:val="none" w:sz="0" w:space="0" w:color="auto"/>
            <w:right w:val="none" w:sz="0" w:space="0" w:color="auto"/>
          </w:divBdr>
          <w:divsChild>
            <w:div w:id="1461193752">
              <w:marLeft w:val="-75"/>
              <w:marRight w:val="0"/>
              <w:marTop w:val="30"/>
              <w:marBottom w:val="30"/>
              <w:divBdr>
                <w:top w:val="none" w:sz="0" w:space="0" w:color="auto"/>
                <w:left w:val="none" w:sz="0" w:space="0" w:color="auto"/>
                <w:bottom w:val="none" w:sz="0" w:space="0" w:color="auto"/>
                <w:right w:val="none" w:sz="0" w:space="0" w:color="auto"/>
              </w:divBdr>
              <w:divsChild>
                <w:div w:id="2634335">
                  <w:marLeft w:val="0"/>
                  <w:marRight w:val="0"/>
                  <w:marTop w:val="0"/>
                  <w:marBottom w:val="0"/>
                  <w:divBdr>
                    <w:top w:val="none" w:sz="0" w:space="0" w:color="auto"/>
                    <w:left w:val="none" w:sz="0" w:space="0" w:color="auto"/>
                    <w:bottom w:val="none" w:sz="0" w:space="0" w:color="auto"/>
                    <w:right w:val="none" w:sz="0" w:space="0" w:color="auto"/>
                  </w:divBdr>
                  <w:divsChild>
                    <w:div w:id="1902211290">
                      <w:marLeft w:val="0"/>
                      <w:marRight w:val="0"/>
                      <w:marTop w:val="0"/>
                      <w:marBottom w:val="0"/>
                      <w:divBdr>
                        <w:top w:val="none" w:sz="0" w:space="0" w:color="auto"/>
                        <w:left w:val="none" w:sz="0" w:space="0" w:color="auto"/>
                        <w:bottom w:val="none" w:sz="0" w:space="0" w:color="auto"/>
                        <w:right w:val="none" w:sz="0" w:space="0" w:color="auto"/>
                      </w:divBdr>
                    </w:div>
                  </w:divsChild>
                </w:div>
                <w:div w:id="2972447">
                  <w:marLeft w:val="0"/>
                  <w:marRight w:val="0"/>
                  <w:marTop w:val="0"/>
                  <w:marBottom w:val="0"/>
                  <w:divBdr>
                    <w:top w:val="none" w:sz="0" w:space="0" w:color="auto"/>
                    <w:left w:val="none" w:sz="0" w:space="0" w:color="auto"/>
                    <w:bottom w:val="none" w:sz="0" w:space="0" w:color="auto"/>
                    <w:right w:val="none" w:sz="0" w:space="0" w:color="auto"/>
                  </w:divBdr>
                  <w:divsChild>
                    <w:div w:id="145706510">
                      <w:marLeft w:val="0"/>
                      <w:marRight w:val="0"/>
                      <w:marTop w:val="0"/>
                      <w:marBottom w:val="0"/>
                      <w:divBdr>
                        <w:top w:val="none" w:sz="0" w:space="0" w:color="auto"/>
                        <w:left w:val="none" w:sz="0" w:space="0" w:color="auto"/>
                        <w:bottom w:val="none" w:sz="0" w:space="0" w:color="auto"/>
                        <w:right w:val="none" w:sz="0" w:space="0" w:color="auto"/>
                      </w:divBdr>
                    </w:div>
                  </w:divsChild>
                </w:div>
                <w:div w:id="6173924">
                  <w:marLeft w:val="0"/>
                  <w:marRight w:val="0"/>
                  <w:marTop w:val="0"/>
                  <w:marBottom w:val="0"/>
                  <w:divBdr>
                    <w:top w:val="none" w:sz="0" w:space="0" w:color="auto"/>
                    <w:left w:val="none" w:sz="0" w:space="0" w:color="auto"/>
                    <w:bottom w:val="none" w:sz="0" w:space="0" w:color="auto"/>
                    <w:right w:val="none" w:sz="0" w:space="0" w:color="auto"/>
                  </w:divBdr>
                  <w:divsChild>
                    <w:div w:id="758258063">
                      <w:marLeft w:val="0"/>
                      <w:marRight w:val="0"/>
                      <w:marTop w:val="0"/>
                      <w:marBottom w:val="0"/>
                      <w:divBdr>
                        <w:top w:val="none" w:sz="0" w:space="0" w:color="auto"/>
                        <w:left w:val="none" w:sz="0" w:space="0" w:color="auto"/>
                        <w:bottom w:val="none" w:sz="0" w:space="0" w:color="auto"/>
                        <w:right w:val="none" w:sz="0" w:space="0" w:color="auto"/>
                      </w:divBdr>
                    </w:div>
                  </w:divsChild>
                </w:div>
                <w:div w:id="21253847">
                  <w:marLeft w:val="0"/>
                  <w:marRight w:val="0"/>
                  <w:marTop w:val="0"/>
                  <w:marBottom w:val="0"/>
                  <w:divBdr>
                    <w:top w:val="none" w:sz="0" w:space="0" w:color="auto"/>
                    <w:left w:val="none" w:sz="0" w:space="0" w:color="auto"/>
                    <w:bottom w:val="none" w:sz="0" w:space="0" w:color="auto"/>
                    <w:right w:val="none" w:sz="0" w:space="0" w:color="auto"/>
                  </w:divBdr>
                  <w:divsChild>
                    <w:div w:id="1343046571">
                      <w:marLeft w:val="0"/>
                      <w:marRight w:val="0"/>
                      <w:marTop w:val="0"/>
                      <w:marBottom w:val="0"/>
                      <w:divBdr>
                        <w:top w:val="none" w:sz="0" w:space="0" w:color="auto"/>
                        <w:left w:val="none" w:sz="0" w:space="0" w:color="auto"/>
                        <w:bottom w:val="none" w:sz="0" w:space="0" w:color="auto"/>
                        <w:right w:val="none" w:sz="0" w:space="0" w:color="auto"/>
                      </w:divBdr>
                    </w:div>
                  </w:divsChild>
                </w:div>
                <w:div w:id="26222198">
                  <w:marLeft w:val="0"/>
                  <w:marRight w:val="0"/>
                  <w:marTop w:val="0"/>
                  <w:marBottom w:val="0"/>
                  <w:divBdr>
                    <w:top w:val="none" w:sz="0" w:space="0" w:color="auto"/>
                    <w:left w:val="none" w:sz="0" w:space="0" w:color="auto"/>
                    <w:bottom w:val="none" w:sz="0" w:space="0" w:color="auto"/>
                    <w:right w:val="none" w:sz="0" w:space="0" w:color="auto"/>
                  </w:divBdr>
                  <w:divsChild>
                    <w:div w:id="1511943759">
                      <w:marLeft w:val="0"/>
                      <w:marRight w:val="0"/>
                      <w:marTop w:val="0"/>
                      <w:marBottom w:val="0"/>
                      <w:divBdr>
                        <w:top w:val="none" w:sz="0" w:space="0" w:color="auto"/>
                        <w:left w:val="none" w:sz="0" w:space="0" w:color="auto"/>
                        <w:bottom w:val="none" w:sz="0" w:space="0" w:color="auto"/>
                        <w:right w:val="none" w:sz="0" w:space="0" w:color="auto"/>
                      </w:divBdr>
                    </w:div>
                  </w:divsChild>
                </w:div>
                <w:div w:id="34164460">
                  <w:marLeft w:val="0"/>
                  <w:marRight w:val="0"/>
                  <w:marTop w:val="0"/>
                  <w:marBottom w:val="0"/>
                  <w:divBdr>
                    <w:top w:val="none" w:sz="0" w:space="0" w:color="auto"/>
                    <w:left w:val="none" w:sz="0" w:space="0" w:color="auto"/>
                    <w:bottom w:val="none" w:sz="0" w:space="0" w:color="auto"/>
                    <w:right w:val="none" w:sz="0" w:space="0" w:color="auto"/>
                  </w:divBdr>
                  <w:divsChild>
                    <w:div w:id="1438285613">
                      <w:marLeft w:val="0"/>
                      <w:marRight w:val="0"/>
                      <w:marTop w:val="0"/>
                      <w:marBottom w:val="0"/>
                      <w:divBdr>
                        <w:top w:val="none" w:sz="0" w:space="0" w:color="auto"/>
                        <w:left w:val="none" w:sz="0" w:space="0" w:color="auto"/>
                        <w:bottom w:val="none" w:sz="0" w:space="0" w:color="auto"/>
                        <w:right w:val="none" w:sz="0" w:space="0" w:color="auto"/>
                      </w:divBdr>
                    </w:div>
                  </w:divsChild>
                </w:div>
                <w:div w:id="39718742">
                  <w:marLeft w:val="0"/>
                  <w:marRight w:val="0"/>
                  <w:marTop w:val="0"/>
                  <w:marBottom w:val="0"/>
                  <w:divBdr>
                    <w:top w:val="none" w:sz="0" w:space="0" w:color="auto"/>
                    <w:left w:val="none" w:sz="0" w:space="0" w:color="auto"/>
                    <w:bottom w:val="none" w:sz="0" w:space="0" w:color="auto"/>
                    <w:right w:val="none" w:sz="0" w:space="0" w:color="auto"/>
                  </w:divBdr>
                  <w:divsChild>
                    <w:div w:id="94332682">
                      <w:marLeft w:val="0"/>
                      <w:marRight w:val="0"/>
                      <w:marTop w:val="0"/>
                      <w:marBottom w:val="0"/>
                      <w:divBdr>
                        <w:top w:val="none" w:sz="0" w:space="0" w:color="auto"/>
                        <w:left w:val="none" w:sz="0" w:space="0" w:color="auto"/>
                        <w:bottom w:val="none" w:sz="0" w:space="0" w:color="auto"/>
                        <w:right w:val="none" w:sz="0" w:space="0" w:color="auto"/>
                      </w:divBdr>
                    </w:div>
                  </w:divsChild>
                </w:div>
                <w:div w:id="67116630">
                  <w:marLeft w:val="0"/>
                  <w:marRight w:val="0"/>
                  <w:marTop w:val="0"/>
                  <w:marBottom w:val="0"/>
                  <w:divBdr>
                    <w:top w:val="none" w:sz="0" w:space="0" w:color="auto"/>
                    <w:left w:val="none" w:sz="0" w:space="0" w:color="auto"/>
                    <w:bottom w:val="none" w:sz="0" w:space="0" w:color="auto"/>
                    <w:right w:val="none" w:sz="0" w:space="0" w:color="auto"/>
                  </w:divBdr>
                  <w:divsChild>
                    <w:div w:id="1134565688">
                      <w:marLeft w:val="0"/>
                      <w:marRight w:val="0"/>
                      <w:marTop w:val="0"/>
                      <w:marBottom w:val="0"/>
                      <w:divBdr>
                        <w:top w:val="none" w:sz="0" w:space="0" w:color="auto"/>
                        <w:left w:val="none" w:sz="0" w:space="0" w:color="auto"/>
                        <w:bottom w:val="none" w:sz="0" w:space="0" w:color="auto"/>
                        <w:right w:val="none" w:sz="0" w:space="0" w:color="auto"/>
                      </w:divBdr>
                    </w:div>
                  </w:divsChild>
                </w:div>
                <w:div w:id="69542725">
                  <w:marLeft w:val="0"/>
                  <w:marRight w:val="0"/>
                  <w:marTop w:val="0"/>
                  <w:marBottom w:val="0"/>
                  <w:divBdr>
                    <w:top w:val="none" w:sz="0" w:space="0" w:color="auto"/>
                    <w:left w:val="none" w:sz="0" w:space="0" w:color="auto"/>
                    <w:bottom w:val="none" w:sz="0" w:space="0" w:color="auto"/>
                    <w:right w:val="none" w:sz="0" w:space="0" w:color="auto"/>
                  </w:divBdr>
                  <w:divsChild>
                    <w:div w:id="608895730">
                      <w:marLeft w:val="0"/>
                      <w:marRight w:val="0"/>
                      <w:marTop w:val="0"/>
                      <w:marBottom w:val="0"/>
                      <w:divBdr>
                        <w:top w:val="none" w:sz="0" w:space="0" w:color="auto"/>
                        <w:left w:val="none" w:sz="0" w:space="0" w:color="auto"/>
                        <w:bottom w:val="none" w:sz="0" w:space="0" w:color="auto"/>
                        <w:right w:val="none" w:sz="0" w:space="0" w:color="auto"/>
                      </w:divBdr>
                    </w:div>
                  </w:divsChild>
                </w:div>
                <w:div w:id="94323535">
                  <w:marLeft w:val="0"/>
                  <w:marRight w:val="0"/>
                  <w:marTop w:val="0"/>
                  <w:marBottom w:val="0"/>
                  <w:divBdr>
                    <w:top w:val="none" w:sz="0" w:space="0" w:color="auto"/>
                    <w:left w:val="none" w:sz="0" w:space="0" w:color="auto"/>
                    <w:bottom w:val="none" w:sz="0" w:space="0" w:color="auto"/>
                    <w:right w:val="none" w:sz="0" w:space="0" w:color="auto"/>
                  </w:divBdr>
                  <w:divsChild>
                    <w:div w:id="1000423232">
                      <w:marLeft w:val="0"/>
                      <w:marRight w:val="0"/>
                      <w:marTop w:val="0"/>
                      <w:marBottom w:val="0"/>
                      <w:divBdr>
                        <w:top w:val="none" w:sz="0" w:space="0" w:color="auto"/>
                        <w:left w:val="none" w:sz="0" w:space="0" w:color="auto"/>
                        <w:bottom w:val="none" w:sz="0" w:space="0" w:color="auto"/>
                        <w:right w:val="none" w:sz="0" w:space="0" w:color="auto"/>
                      </w:divBdr>
                    </w:div>
                  </w:divsChild>
                </w:div>
                <w:div w:id="97912713">
                  <w:marLeft w:val="0"/>
                  <w:marRight w:val="0"/>
                  <w:marTop w:val="0"/>
                  <w:marBottom w:val="0"/>
                  <w:divBdr>
                    <w:top w:val="none" w:sz="0" w:space="0" w:color="auto"/>
                    <w:left w:val="none" w:sz="0" w:space="0" w:color="auto"/>
                    <w:bottom w:val="none" w:sz="0" w:space="0" w:color="auto"/>
                    <w:right w:val="none" w:sz="0" w:space="0" w:color="auto"/>
                  </w:divBdr>
                  <w:divsChild>
                    <w:div w:id="775447215">
                      <w:marLeft w:val="0"/>
                      <w:marRight w:val="0"/>
                      <w:marTop w:val="0"/>
                      <w:marBottom w:val="0"/>
                      <w:divBdr>
                        <w:top w:val="none" w:sz="0" w:space="0" w:color="auto"/>
                        <w:left w:val="none" w:sz="0" w:space="0" w:color="auto"/>
                        <w:bottom w:val="none" w:sz="0" w:space="0" w:color="auto"/>
                        <w:right w:val="none" w:sz="0" w:space="0" w:color="auto"/>
                      </w:divBdr>
                    </w:div>
                  </w:divsChild>
                </w:div>
                <w:div w:id="100875894">
                  <w:marLeft w:val="0"/>
                  <w:marRight w:val="0"/>
                  <w:marTop w:val="0"/>
                  <w:marBottom w:val="0"/>
                  <w:divBdr>
                    <w:top w:val="none" w:sz="0" w:space="0" w:color="auto"/>
                    <w:left w:val="none" w:sz="0" w:space="0" w:color="auto"/>
                    <w:bottom w:val="none" w:sz="0" w:space="0" w:color="auto"/>
                    <w:right w:val="none" w:sz="0" w:space="0" w:color="auto"/>
                  </w:divBdr>
                  <w:divsChild>
                    <w:div w:id="2104719128">
                      <w:marLeft w:val="0"/>
                      <w:marRight w:val="0"/>
                      <w:marTop w:val="0"/>
                      <w:marBottom w:val="0"/>
                      <w:divBdr>
                        <w:top w:val="none" w:sz="0" w:space="0" w:color="auto"/>
                        <w:left w:val="none" w:sz="0" w:space="0" w:color="auto"/>
                        <w:bottom w:val="none" w:sz="0" w:space="0" w:color="auto"/>
                        <w:right w:val="none" w:sz="0" w:space="0" w:color="auto"/>
                      </w:divBdr>
                    </w:div>
                  </w:divsChild>
                </w:div>
                <w:div w:id="108160720">
                  <w:marLeft w:val="0"/>
                  <w:marRight w:val="0"/>
                  <w:marTop w:val="0"/>
                  <w:marBottom w:val="0"/>
                  <w:divBdr>
                    <w:top w:val="none" w:sz="0" w:space="0" w:color="auto"/>
                    <w:left w:val="none" w:sz="0" w:space="0" w:color="auto"/>
                    <w:bottom w:val="none" w:sz="0" w:space="0" w:color="auto"/>
                    <w:right w:val="none" w:sz="0" w:space="0" w:color="auto"/>
                  </w:divBdr>
                  <w:divsChild>
                    <w:div w:id="847721723">
                      <w:marLeft w:val="0"/>
                      <w:marRight w:val="0"/>
                      <w:marTop w:val="0"/>
                      <w:marBottom w:val="0"/>
                      <w:divBdr>
                        <w:top w:val="none" w:sz="0" w:space="0" w:color="auto"/>
                        <w:left w:val="none" w:sz="0" w:space="0" w:color="auto"/>
                        <w:bottom w:val="none" w:sz="0" w:space="0" w:color="auto"/>
                        <w:right w:val="none" w:sz="0" w:space="0" w:color="auto"/>
                      </w:divBdr>
                    </w:div>
                  </w:divsChild>
                </w:div>
                <w:div w:id="109471183">
                  <w:marLeft w:val="0"/>
                  <w:marRight w:val="0"/>
                  <w:marTop w:val="0"/>
                  <w:marBottom w:val="0"/>
                  <w:divBdr>
                    <w:top w:val="none" w:sz="0" w:space="0" w:color="auto"/>
                    <w:left w:val="none" w:sz="0" w:space="0" w:color="auto"/>
                    <w:bottom w:val="none" w:sz="0" w:space="0" w:color="auto"/>
                    <w:right w:val="none" w:sz="0" w:space="0" w:color="auto"/>
                  </w:divBdr>
                  <w:divsChild>
                    <w:div w:id="1833830154">
                      <w:marLeft w:val="0"/>
                      <w:marRight w:val="0"/>
                      <w:marTop w:val="0"/>
                      <w:marBottom w:val="0"/>
                      <w:divBdr>
                        <w:top w:val="none" w:sz="0" w:space="0" w:color="auto"/>
                        <w:left w:val="none" w:sz="0" w:space="0" w:color="auto"/>
                        <w:bottom w:val="none" w:sz="0" w:space="0" w:color="auto"/>
                        <w:right w:val="none" w:sz="0" w:space="0" w:color="auto"/>
                      </w:divBdr>
                    </w:div>
                  </w:divsChild>
                </w:div>
                <w:div w:id="128790058">
                  <w:marLeft w:val="0"/>
                  <w:marRight w:val="0"/>
                  <w:marTop w:val="0"/>
                  <w:marBottom w:val="0"/>
                  <w:divBdr>
                    <w:top w:val="none" w:sz="0" w:space="0" w:color="auto"/>
                    <w:left w:val="none" w:sz="0" w:space="0" w:color="auto"/>
                    <w:bottom w:val="none" w:sz="0" w:space="0" w:color="auto"/>
                    <w:right w:val="none" w:sz="0" w:space="0" w:color="auto"/>
                  </w:divBdr>
                  <w:divsChild>
                    <w:div w:id="1939286236">
                      <w:marLeft w:val="0"/>
                      <w:marRight w:val="0"/>
                      <w:marTop w:val="0"/>
                      <w:marBottom w:val="0"/>
                      <w:divBdr>
                        <w:top w:val="none" w:sz="0" w:space="0" w:color="auto"/>
                        <w:left w:val="none" w:sz="0" w:space="0" w:color="auto"/>
                        <w:bottom w:val="none" w:sz="0" w:space="0" w:color="auto"/>
                        <w:right w:val="none" w:sz="0" w:space="0" w:color="auto"/>
                      </w:divBdr>
                    </w:div>
                  </w:divsChild>
                </w:div>
                <w:div w:id="129902514">
                  <w:marLeft w:val="0"/>
                  <w:marRight w:val="0"/>
                  <w:marTop w:val="0"/>
                  <w:marBottom w:val="0"/>
                  <w:divBdr>
                    <w:top w:val="none" w:sz="0" w:space="0" w:color="auto"/>
                    <w:left w:val="none" w:sz="0" w:space="0" w:color="auto"/>
                    <w:bottom w:val="none" w:sz="0" w:space="0" w:color="auto"/>
                    <w:right w:val="none" w:sz="0" w:space="0" w:color="auto"/>
                  </w:divBdr>
                  <w:divsChild>
                    <w:div w:id="1249998613">
                      <w:marLeft w:val="0"/>
                      <w:marRight w:val="0"/>
                      <w:marTop w:val="0"/>
                      <w:marBottom w:val="0"/>
                      <w:divBdr>
                        <w:top w:val="none" w:sz="0" w:space="0" w:color="auto"/>
                        <w:left w:val="none" w:sz="0" w:space="0" w:color="auto"/>
                        <w:bottom w:val="none" w:sz="0" w:space="0" w:color="auto"/>
                        <w:right w:val="none" w:sz="0" w:space="0" w:color="auto"/>
                      </w:divBdr>
                    </w:div>
                  </w:divsChild>
                </w:div>
                <w:div w:id="131214830">
                  <w:marLeft w:val="0"/>
                  <w:marRight w:val="0"/>
                  <w:marTop w:val="0"/>
                  <w:marBottom w:val="0"/>
                  <w:divBdr>
                    <w:top w:val="none" w:sz="0" w:space="0" w:color="auto"/>
                    <w:left w:val="none" w:sz="0" w:space="0" w:color="auto"/>
                    <w:bottom w:val="none" w:sz="0" w:space="0" w:color="auto"/>
                    <w:right w:val="none" w:sz="0" w:space="0" w:color="auto"/>
                  </w:divBdr>
                  <w:divsChild>
                    <w:div w:id="1402020226">
                      <w:marLeft w:val="0"/>
                      <w:marRight w:val="0"/>
                      <w:marTop w:val="0"/>
                      <w:marBottom w:val="0"/>
                      <w:divBdr>
                        <w:top w:val="none" w:sz="0" w:space="0" w:color="auto"/>
                        <w:left w:val="none" w:sz="0" w:space="0" w:color="auto"/>
                        <w:bottom w:val="none" w:sz="0" w:space="0" w:color="auto"/>
                        <w:right w:val="none" w:sz="0" w:space="0" w:color="auto"/>
                      </w:divBdr>
                    </w:div>
                  </w:divsChild>
                </w:div>
                <w:div w:id="145359726">
                  <w:marLeft w:val="0"/>
                  <w:marRight w:val="0"/>
                  <w:marTop w:val="0"/>
                  <w:marBottom w:val="0"/>
                  <w:divBdr>
                    <w:top w:val="none" w:sz="0" w:space="0" w:color="auto"/>
                    <w:left w:val="none" w:sz="0" w:space="0" w:color="auto"/>
                    <w:bottom w:val="none" w:sz="0" w:space="0" w:color="auto"/>
                    <w:right w:val="none" w:sz="0" w:space="0" w:color="auto"/>
                  </w:divBdr>
                  <w:divsChild>
                    <w:div w:id="190995973">
                      <w:marLeft w:val="0"/>
                      <w:marRight w:val="0"/>
                      <w:marTop w:val="0"/>
                      <w:marBottom w:val="0"/>
                      <w:divBdr>
                        <w:top w:val="none" w:sz="0" w:space="0" w:color="auto"/>
                        <w:left w:val="none" w:sz="0" w:space="0" w:color="auto"/>
                        <w:bottom w:val="none" w:sz="0" w:space="0" w:color="auto"/>
                        <w:right w:val="none" w:sz="0" w:space="0" w:color="auto"/>
                      </w:divBdr>
                    </w:div>
                  </w:divsChild>
                </w:div>
                <w:div w:id="146092757">
                  <w:marLeft w:val="0"/>
                  <w:marRight w:val="0"/>
                  <w:marTop w:val="0"/>
                  <w:marBottom w:val="0"/>
                  <w:divBdr>
                    <w:top w:val="none" w:sz="0" w:space="0" w:color="auto"/>
                    <w:left w:val="none" w:sz="0" w:space="0" w:color="auto"/>
                    <w:bottom w:val="none" w:sz="0" w:space="0" w:color="auto"/>
                    <w:right w:val="none" w:sz="0" w:space="0" w:color="auto"/>
                  </w:divBdr>
                  <w:divsChild>
                    <w:div w:id="595987147">
                      <w:marLeft w:val="0"/>
                      <w:marRight w:val="0"/>
                      <w:marTop w:val="0"/>
                      <w:marBottom w:val="0"/>
                      <w:divBdr>
                        <w:top w:val="none" w:sz="0" w:space="0" w:color="auto"/>
                        <w:left w:val="none" w:sz="0" w:space="0" w:color="auto"/>
                        <w:bottom w:val="none" w:sz="0" w:space="0" w:color="auto"/>
                        <w:right w:val="none" w:sz="0" w:space="0" w:color="auto"/>
                      </w:divBdr>
                    </w:div>
                  </w:divsChild>
                </w:div>
                <w:div w:id="159347670">
                  <w:marLeft w:val="0"/>
                  <w:marRight w:val="0"/>
                  <w:marTop w:val="0"/>
                  <w:marBottom w:val="0"/>
                  <w:divBdr>
                    <w:top w:val="none" w:sz="0" w:space="0" w:color="auto"/>
                    <w:left w:val="none" w:sz="0" w:space="0" w:color="auto"/>
                    <w:bottom w:val="none" w:sz="0" w:space="0" w:color="auto"/>
                    <w:right w:val="none" w:sz="0" w:space="0" w:color="auto"/>
                  </w:divBdr>
                  <w:divsChild>
                    <w:div w:id="1633632834">
                      <w:marLeft w:val="0"/>
                      <w:marRight w:val="0"/>
                      <w:marTop w:val="0"/>
                      <w:marBottom w:val="0"/>
                      <w:divBdr>
                        <w:top w:val="none" w:sz="0" w:space="0" w:color="auto"/>
                        <w:left w:val="none" w:sz="0" w:space="0" w:color="auto"/>
                        <w:bottom w:val="none" w:sz="0" w:space="0" w:color="auto"/>
                        <w:right w:val="none" w:sz="0" w:space="0" w:color="auto"/>
                      </w:divBdr>
                    </w:div>
                  </w:divsChild>
                </w:div>
                <w:div w:id="211622607">
                  <w:marLeft w:val="0"/>
                  <w:marRight w:val="0"/>
                  <w:marTop w:val="0"/>
                  <w:marBottom w:val="0"/>
                  <w:divBdr>
                    <w:top w:val="none" w:sz="0" w:space="0" w:color="auto"/>
                    <w:left w:val="none" w:sz="0" w:space="0" w:color="auto"/>
                    <w:bottom w:val="none" w:sz="0" w:space="0" w:color="auto"/>
                    <w:right w:val="none" w:sz="0" w:space="0" w:color="auto"/>
                  </w:divBdr>
                  <w:divsChild>
                    <w:div w:id="807667666">
                      <w:marLeft w:val="0"/>
                      <w:marRight w:val="0"/>
                      <w:marTop w:val="0"/>
                      <w:marBottom w:val="0"/>
                      <w:divBdr>
                        <w:top w:val="none" w:sz="0" w:space="0" w:color="auto"/>
                        <w:left w:val="none" w:sz="0" w:space="0" w:color="auto"/>
                        <w:bottom w:val="none" w:sz="0" w:space="0" w:color="auto"/>
                        <w:right w:val="none" w:sz="0" w:space="0" w:color="auto"/>
                      </w:divBdr>
                    </w:div>
                  </w:divsChild>
                </w:div>
                <w:div w:id="237446397">
                  <w:marLeft w:val="0"/>
                  <w:marRight w:val="0"/>
                  <w:marTop w:val="0"/>
                  <w:marBottom w:val="0"/>
                  <w:divBdr>
                    <w:top w:val="none" w:sz="0" w:space="0" w:color="auto"/>
                    <w:left w:val="none" w:sz="0" w:space="0" w:color="auto"/>
                    <w:bottom w:val="none" w:sz="0" w:space="0" w:color="auto"/>
                    <w:right w:val="none" w:sz="0" w:space="0" w:color="auto"/>
                  </w:divBdr>
                  <w:divsChild>
                    <w:div w:id="1946961675">
                      <w:marLeft w:val="0"/>
                      <w:marRight w:val="0"/>
                      <w:marTop w:val="0"/>
                      <w:marBottom w:val="0"/>
                      <w:divBdr>
                        <w:top w:val="none" w:sz="0" w:space="0" w:color="auto"/>
                        <w:left w:val="none" w:sz="0" w:space="0" w:color="auto"/>
                        <w:bottom w:val="none" w:sz="0" w:space="0" w:color="auto"/>
                        <w:right w:val="none" w:sz="0" w:space="0" w:color="auto"/>
                      </w:divBdr>
                    </w:div>
                  </w:divsChild>
                </w:div>
                <w:div w:id="244269210">
                  <w:marLeft w:val="0"/>
                  <w:marRight w:val="0"/>
                  <w:marTop w:val="0"/>
                  <w:marBottom w:val="0"/>
                  <w:divBdr>
                    <w:top w:val="none" w:sz="0" w:space="0" w:color="auto"/>
                    <w:left w:val="none" w:sz="0" w:space="0" w:color="auto"/>
                    <w:bottom w:val="none" w:sz="0" w:space="0" w:color="auto"/>
                    <w:right w:val="none" w:sz="0" w:space="0" w:color="auto"/>
                  </w:divBdr>
                  <w:divsChild>
                    <w:div w:id="857742505">
                      <w:marLeft w:val="0"/>
                      <w:marRight w:val="0"/>
                      <w:marTop w:val="0"/>
                      <w:marBottom w:val="0"/>
                      <w:divBdr>
                        <w:top w:val="none" w:sz="0" w:space="0" w:color="auto"/>
                        <w:left w:val="none" w:sz="0" w:space="0" w:color="auto"/>
                        <w:bottom w:val="none" w:sz="0" w:space="0" w:color="auto"/>
                        <w:right w:val="none" w:sz="0" w:space="0" w:color="auto"/>
                      </w:divBdr>
                    </w:div>
                  </w:divsChild>
                </w:div>
                <w:div w:id="246889620">
                  <w:marLeft w:val="0"/>
                  <w:marRight w:val="0"/>
                  <w:marTop w:val="0"/>
                  <w:marBottom w:val="0"/>
                  <w:divBdr>
                    <w:top w:val="none" w:sz="0" w:space="0" w:color="auto"/>
                    <w:left w:val="none" w:sz="0" w:space="0" w:color="auto"/>
                    <w:bottom w:val="none" w:sz="0" w:space="0" w:color="auto"/>
                    <w:right w:val="none" w:sz="0" w:space="0" w:color="auto"/>
                  </w:divBdr>
                  <w:divsChild>
                    <w:div w:id="1413087406">
                      <w:marLeft w:val="0"/>
                      <w:marRight w:val="0"/>
                      <w:marTop w:val="0"/>
                      <w:marBottom w:val="0"/>
                      <w:divBdr>
                        <w:top w:val="none" w:sz="0" w:space="0" w:color="auto"/>
                        <w:left w:val="none" w:sz="0" w:space="0" w:color="auto"/>
                        <w:bottom w:val="none" w:sz="0" w:space="0" w:color="auto"/>
                        <w:right w:val="none" w:sz="0" w:space="0" w:color="auto"/>
                      </w:divBdr>
                    </w:div>
                  </w:divsChild>
                </w:div>
                <w:div w:id="288048780">
                  <w:marLeft w:val="0"/>
                  <w:marRight w:val="0"/>
                  <w:marTop w:val="0"/>
                  <w:marBottom w:val="0"/>
                  <w:divBdr>
                    <w:top w:val="none" w:sz="0" w:space="0" w:color="auto"/>
                    <w:left w:val="none" w:sz="0" w:space="0" w:color="auto"/>
                    <w:bottom w:val="none" w:sz="0" w:space="0" w:color="auto"/>
                    <w:right w:val="none" w:sz="0" w:space="0" w:color="auto"/>
                  </w:divBdr>
                  <w:divsChild>
                    <w:div w:id="72897802">
                      <w:marLeft w:val="0"/>
                      <w:marRight w:val="0"/>
                      <w:marTop w:val="0"/>
                      <w:marBottom w:val="0"/>
                      <w:divBdr>
                        <w:top w:val="none" w:sz="0" w:space="0" w:color="auto"/>
                        <w:left w:val="none" w:sz="0" w:space="0" w:color="auto"/>
                        <w:bottom w:val="none" w:sz="0" w:space="0" w:color="auto"/>
                        <w:right w:val="none" w:sz="0" w:space="0" w:color="auto"/>
                      </w:divBdr>
                    </w:div>
                  </w:divsChild>
                </w:div>
                <w:div w:id="288634364">
                  <w:marLeft w:val="0"/>
                  <w:marRight w:val="0"/>
                  <w:marTop w:val="0"/>
                  <w:marBottom w:val="0"/>
                  <w:divBdr>
                    <w:top w:val="none" w:sz="0" w:space="0" w:color="auto"/>
                    <w:left w:val="none" w:sz="0" w:space="0" w:color="auto"/>
                    <w:bottom w:val="none" w:sz="0" w:space="0" w:color="auto"/>
                    <w:right w:val="none" w:sz="0" w:space="0" w:color="auto"/>
                  </w:divBdr>
                  <w:divsChild>
                    <w:div w:id="1222907762">
                      <w:marLeft w:val="0"/>
                      <w:marRight w:val="0"/>
                      <w:marTop w:val="0"/>
                      <w:marBottom w:val="0"/>
                      <w:divBdr>
                        <w:top w:val="none" w:sz="0" w:space="0" w:color="auto"/>
                        <w:left w:val="none" w:sz="0" w:space="0" w:color="auto"/>
                        <w:bottom w:val="none" w:sz="0" w:space="0" w:color="auto"/>
                        <w:right w:val="none" w:sz="0" w:space="0" w:color="auto"/>
                      </w:divBdr>
                    </w:div>
                  </w:divsChild>
                </w:div>
                <w:div w:id="298851716">
                  <w:marLeft w:val="0"/>
                  <w:marRight w:val="0"/>
                  <w:marTop w:val="0"/>
                  <w:marBottom w:val="0"/>
                  <w:divBdr>
                    <w:top w:val="none" w:sz="0" w:space="0" w:color="auto"/>
                    <w:left w:val="none" w:sz="0" w:space="0" w:color="auto"/>
                    <w:bottom w:val="none" w:sz="0" w:space="0" w:color="auto"/>
                    <w:right w:val="none" w:sz="0" w:space="0" w:color="auto"/>
                  </w:divBdr>
                  <w:divsChild>
                    <w:div w:id="175390645">
                      <w:marLeft w:val="0"/>
                      <w:marRight w:val="0"/>
                      <w:marTop w:val="0"/>
                      <w:marBottom w:val="0"/>
                      <w:divBdr>
                        <w:top w:val="none" w:sz="0" w:space="0" w:color="auto"/>
                        <w:left w:val="none" w:sz="0" w:space="0" w:color="auto"/>
                        <w:bottom w:val="none" w:sz="0" w:space="0" w:color="auto"/>
                        <w:right w:val="none" w:sz="0" w:space="0" w:color="auto"/>
                      </w:divBdr>
                    </w:div>
                  </w:divsChild>
                </w:div>
                <w:div w:id="318509682">
                  <w:marLeft w:val="0"/>
                  <w:marRight w:val="0"/>
                  <w:marTop w:val="0"/>
                  <w:marBottom w:val="0"/>
                  <w:divBdr>
                    <w:top w:val="none" w:sz="0" w:space="0" w:color="auto"/>
                    <w:left w:val="none" w:sz="0" w:space="0" w:color="auto"/>
                    <w:bottom w:val="none" w:sz="0" w:space="0" w:color="auto"/>
                    <w:right w:val="none" w:sz="0" w:space="0" w:color="auto"/>
                  </w:divBdr>
                  <w:divsChild>
                    <w:div w:id="1365789735">
                      <w:marLeft w:val="0"/>
                      <w:marRight w:val="0"/>
                      <w:marTop w:val="0"/>
                      <w:marBottom w:val="0"/>
                      <w:divBdr>
                        <w:top w:val="none" w:sz="0" w:space="0" w:color="auto"/>
                        <w:left w:val="none" w:sz="0" w:space="0" w:color="auto"/>
                        <w:bottom w:val="none" w:sz="0" w:space="0" w:color="auto"/>
                        <w:right w:val="none" w:sz="0" w:space="0" w:color="auto"/>
                      </w:divBdr>
                    </w:div>
                  </w:divsChild>
                </w:div>
                <w:div w:id="325593717">
                  <w:marLeft w:val="0"/>
                  <w:marRight w:val="0"/>
                  <w:marTop w:val="0"/>
                  <w:marBottom w:val="0"/>
                  <w:divBdr>
                    <w:top w:val="none" w:sz="0" w:space="0" w:color="auto"/>
                    <w:left w:val="none" w:sz="0" w:space="0" w:color="auto"/>
                    <w:bottom w:val="none" w:sz="0" w:space="0" w:color="auto"/>
                    <w:right w:val="none" w:sz="0" w:space="0" w:color="auto"/>
                  </w:divBdr>
                  <w:divsChild>
                    <w:div w:id="1693915355">
                      <w:marLeft w:val="0"/>
                      <w:marRight w:val="0"/>
                      <w:marTop w:val="0"/>
                      <w:marBottom w:val="0"/>
                      <w:divBdr>
                        <w:top w:val="none" w:sz="0" w:space="0" w:color="auto"/>
                        <w:left w:val="none" w:sz="0" w:space="0" w:color="auto"/>
                        <w:bottom w:val="none" w:sz="0" w:space="0" w:color="auto"/>
                        <w:right w:val="none" w:sz="0" w:space="0" w:color="auto"/>
                      </w:divBdr>
                    </w:div>
                  </w:divsChild>
                </w:div>
                <w:div w:id="335614636">
                  <w:marLeft w:val="0"/>
                  <w:marRight w:val="0"/>
                  <w:marTop w:val="0"/>
                  <w:marBottom w:val="0"/>
                  <w:divBdr>
                    <w:top w:val="none" w:sz="0" w:space="0" w:color="auto"/>
                    <w:left w:val="none" w:sz="0" w:space="0" w:color="auto"/>
                    <w:bottom w:val="none" w:sz="0" w:space="0" w:color="auto"/>
                    <w:right w:val="none" w:sz="0" w:space="0" w:color="auto"/>
                  </w:divBdr>
                  <w:divsChild>
                    <w:div w:id="1282222420">
                      <w:marLeft w:val="0"/>
                      <w:marRight w:val="0"/>
                      <w:marTop w:val="0"/>
                      <w:marBottom w:val="0"/>
                      <w:divBdr>
                        <w:top w:val="none" w:sz="0" w:space="0" w:color="auto"/>
                        <w:left w:val="none" w:sz="0" w:space="0" w:color="auto"/>
                        <w:bottom w:val="none" w:sz="0" w:space="0" w:color="auto"/>
                        <w:right w:val="none" w:sz="0" w:space="0" w:color="auto"/>
                      </w:divBdr>
                    </w:div>
                  </w:divsChild>
                </w:div>
                <w:div w:id="357044206">
                  <w:marLeft w:val="0"/>
                  <w:marRight w:val="0"/>
                  <w:marTop w:val="0"/>
                  <w:marBottom w:val="0"/>
                  <w:divBdr>
                    <w:top w:val="none" w:sz="0" w:space="0" w:color="auto"/>
                    <w:left w:val="none" w:sz="0" w:space="0" w:color="auto"/>
                    <w:bottom w:val="none" w:sz="0" w:space="0" w:color="auto"/>
                    <w:right w:val="none" w:sz="0" w:space="0" w:color="auto"/>
                  </w:divBdr>
                  <w:divsChild>
                    <w:div w:id="401216777">
                      <w:marLeft w:val="0"/>
                      <w:marRight w:val="0"/>
                      <w:marTop w:val="0"/>
                      <w:marBottom w:val="0"/>
                      <w:divBdr>
                        <w:top w:val="none" w:sz="0" w:space="0" w:color="auto"/>
                        <w:left w:val="none" w:sz="0" w:space="0" w:color="auto"/>
                        <w:bottom w:val="none" w:sz="0" w:space="0" w:color="auto"/>
                        <w:right w:val="none" w:sz="0" w:space="0" w:color="auto"/>
                      </w:divBdr>
                    </w:div>
                  </w:divsChild>
                </w:div>
                <w:div w:id="371925025">
                  <w:marLeft w:val="0"/>
                  <w:marRight w:val="0"/>
                  <w:marTop w:val="0"/>
                  <w:marBottom w:val="0"/>
                  <w:divBdr>
                    <w:top w:val="none" w:sz="0" w:space="0" w:color="auto"/>
                    <w:left w:val="none" w:sz="0" w:space="0" w:color="auto"/>
                    <w:bottom w:val="none" w:sz="0" w:space="0" w:color="auto"/>
                    <w:right w:val="none" w:sz="0" w:space="0" w:color="auto"/>
                  </w:divBdr>
                  <w:divsChild>
                    <w:div w:id="925499583">
                      <w:marLeft w:val="0"/>
                      <w:marRight w:val="0"/>
                      <w:marTop w:val="0"/>
                      <w:marBottom w:val="0"/>
                      <w:divBdr>
                        <w:top w:val="none" w:sz="0" w:space="0" w:color="auto"/>
                        <w:left w:val="none" w:sz="0" w:space="0" w:color="auto"/>
                        <w:bottom w:val="none" w:sz="0" w:space="0" w:color="auto"/>
                        <w:right w:val="none" w:sz="0" w:space="0" w:color="auto"/>
                      </w:divBdr>
                    </w:div>
                  </w:divsChild>
                </w:div>
                <w:div w:id="376856231">
                  <w:marLeft w:val="0"/>
                  <w:marRight w:val="0"/>
                  <w:marTop w:val="0"/>
                  <w:marBottom w:val="0"/>
                  <w:divBdr>
                    <w:top w:val="none" w:sz="0" w:space="0" w:color="auto"/>
                    <w:left w:val="none" w:sz="0" w:space="0" w:color="auto"/>
                    <w:bottom w:val="none" w:sz="0" w:space="0" w:color="auto"/>
                    <w:right w:val="none" w:sz="0" w:space="0" w:color="auto"/>
                  </w:divBdr>
                  <w:divsChild>
                    <w:div w:id="97071084">
                      <w:marLeft w:val="0"/>
                      <w:marRight w:val="0"/>
                      <w:marTop w:val="0"/>
                      <w:marBottom w:val="0"/>
                      <w:divBdr>
                        <w:top w:val="none" w:sz="0" w:space="0" w:color="auto"/>
                        <w:left w:val="none" w:sz="0" w:space="0" w:color="auto"/>
                        <w:bottom w:val="none" w:sz="0" w:space="0" w:color="auto"/>
                        <w:right w:val="none" w:sz="0" w:space="0" w:color="auto"/>
                      </w:divBdr>
                    </w:div>
                  </w:divsChild>
                </w:div>
                <w:div w:id="379086706">
                  <w:marLeft w:val="0"/>
                  <w:marRight w:val="0"/>
                  <w:marTop w:val="0"/>
                  <w:marBottom w:val="0"/>
                  <w:divBdr>
                    <w:top w:val="none" w:sz="0" w:space="0" w:color="auto"/>
                    <w:left w:val="none" w:sz="0" w:space="0" w:color="auto"/>
                    <w:bottom w:val="none" w:sz="0" w:space="0" w:color="auto"/>
                    <w:right w:val="none" w:sz="0" w:space="0" w:color="auto"/>
                  </w:divBdr>
                  <w:divsChild>
                    <w:div w:id="1862544421">
                      <w:marLeft w:val="0"/>
                      <w:marRight w:val="0"/>
                      <w:marTop w:val="0"/>
                      <w:marBottom w:val="0"/>
                      <w:divBdr>
                        <w:top w:val="none" w:sz="0" w:space="0" w:color="auto"/>
                        <w:left w:val="none" w:sz="0" w:space="0" w:color="auto"/>
                        <w:bottom w:val="none" w:sz="0" w:space="0" w:color="auto"/>
                        <w:right w:val="none" w:sz="0" w:space="0" w:color="auto"/>
                      </w:divBdr>
                    </w:div>
                  </w:divsChild>
                </w:div>
                <w:div w:id="398284935">
                  <w:marLeft w:val="0"/>
                  <w:marRight w:val="0"/>
                  <w:marTop w:val="0"/>
                  <w:marBottom w:val="0"/>
                  <w:divBdr>
                    <w:top w:val="none" w:sz="0" w:space="0" w:color="auto"/>
                    <w:left w:val="none" w:sz="0" w:space="0" w:color="auto"/>
                    <w:bottom w:val="none" w:sz="0" w:space="0" w:color="auto"/>
                    <w:right w:val="none" w:sz="0" w:space="0" w:color="auto"/>
                  </w:divBdr>
                  <w:divsChild>
                    <w:div w:id="148058249">
                      <w:marLeft w:val="0"/>
                      <w:marRight w:val="0"/>
                      <w:marTop w:val="0"/>
                      <w:marBottom w:val="0"/>
                      <w:divBdr>
                        <w:top w:val="none" w:sz="0" w:space="0" w:color="auto"/>
                        <w:left w:val="none" w:sz="0" w:space="0" w:color="auto"/>
                        <w:bottom w:val="none" w:sz="0" w:space="0" w:color="auto"/>
                        <w:right w:val="none" w:sz="0" w:space="0" w:color="auto"/>
                      </w:divBdr>
                    </w:div>
                  </w:divsChild>
                </w:div>
                <w:div w:id="403337350">
                  <w:marLeft w:val="0"/>
                  <w:marRight w:val="0"/>
                  <w:marTop w:val="0"/>
                  <w:marBottom w:val="0"/>
                  <w:divBdr>
                    <w:top w:val="none" w:sz="0" w:space="0" w:color="auto"/>
                    <w:left w:val="none" w:sz="0" w:space="0" w:color="auto"/>
                    <w:bottom w:val="none" w:sz="0" w:space="0" w:color="auto"/>
                    <w:right w:val="none" w:sz="0" w:space="0" w:color="auto"/>
                  </w:divBdr>
                  <w:divsChild>
                    <w:div w:id="2132089118">
                      <w:marLeft w:val="0"/>
                      <w:marRight w:val="0"/>
                      <w:marTop w:val="0"/>
                      <w:marBottom w:val="0"/>
                      <w:divBdr>
                        <w:top w:val="none" w:sz="0" w:space="0" w:color="auto"/>
                        <w:left w:val="none" w:sz="0" w:space="0" w:color="auto"/>
                        <w:bottom w:val="none" w:sz="0" w:space="0" w:color="auto"/>
                        <w:right w:val="none" w:sz="0" w:space="0" w:color="auto"/>
                      </w:divBdr>
                    </w:div>
                  </w:divsChild>
                </w:div>
                <w:div w:id="417943976">
                  <w:marLeft w:val="0"/>
                  <w:marRight w:val="0"/>
                  <w:marTop w:val="0"/>
                  <w:marBottom w:val="0"/>
                  <w:divBdr>
                    <w:top w:val="none" w:sz="0" w:space="0" w:color="auto"/>
                    <w:left w:val="none" w:sz="0" w:space="0" w:color="auto"/>
                    <w:bottom w:val="none" w:sz="0" w:space="0" w:color="auto"/>
                    <w:right w:val="none" w:sz="0" w:space="0" w:color="auto"/>
                  </w:divBdr>
                  <w:divsChild>
                    <w:div w:id="742341126">
                      <w:marLeft w:val="0"/>
                      <w:marRight w:val="0"/>
                      <w:marTop w:val="0"/>
                      <w:marBottom w:val="0"/>
                      <w:divBdr>
                        <w:top w:val="none" w:sz="0" w:space="0" w:color="auto"/>
                        <w:left w:val="none" w:sz="0" w:space="0" w:color="auto"/>
                        <w:bottom w:val="none" w:sz="0" w:space="0" w:color="auto"/>
                        <w:right w:val="none" w:sz="0" w:space="0" w:color="auto"/>
                      </w:divBdr>
                    </w:div>
                  </w:divsChild>
                </w:div>
                <w:div w:id="440927235">
                  <w:marLeft w:val="0"/>
                  <w:marRight w:val="0"/>
                  <w:marTop w:val="0"/>
                  <w:marBottom w:val="0"/>
                  <w:divBdr>
                    <w:top w:val="none" w:sz="0" w:space="0" w:color="auto"/>
                    <w:left w:val="none" w:sz="0" w:space="0" w:color="auto"/>
                    <w:bottom w:val="none" w:sz="0" w:space="0" w:color="auto"/>
                    <w:right w:val="none" w:sz="0" w:space="0" w:color="auto"/>
                  </w:divBdr>
                  <w:divsChild>
                    <w:div w:id="246883708">
                      <w:marLeft w:val="0"/>
                      <w:marRight w:val="0"/>
                      <w:marTop w:val="0"/>
                      <w:marBottom w:val="0"/>
                      <w:divBdr>
                        <w:top w:val="none" w:sz="0" w:space="0" w:color="auto"/>
                        <w:left w:val="none" w:sz="0" w:space="0" w:color="auto"/>
                        <w:bottom w:val="none" w:sz="0" w:space="0" w:color="auto"/>
                        <w:right w:val="none" w:sz="0" w:space="0" w:color="auto"/>
                      </w:divBdr>
                    </w:div>
                  </w:divsChild>
                </w:div>
                <w:div w:id="454951539">
                  <w:marLeft w:val="0"/>
                  <w:marRight w:val="0"/>
                  <w:marTop w:val="0"/>
                  <w:marBottom w:val="0"/>
                  <w:divBdr>
                    <w:top w:val="none" w:sz="0" w:space="0" w:color="auto"/>
                    <w:left w:val="none" w:sz="0" w:space="0" w:color="auto"/>
                    <w:bottom w:val="none" w:sz="0" w:space="0" w:color="auto"/>
                    <w:right w:val="none" w:sz="0" w:space="0" w:color="auto"/>
                  </w:divBdr>
                  <w:divsChild>
                    <w:div w:id="46533697">
                      <w:marLeft w:val="0"/>
                      <w:marRight w:val="0"/>
                      <w:marTop w:val="0"/>
                      <w:marBottom w:val="0"/>
                      <w:divBdr>
                        <w:top w:val="none" w:sz="0" w:space="0" w:color="auto"/>
                        <w:left w:val="none" w:sz="0" w:space="0" w:color="auto"/>
                        <w:bottom w:val="none" w:sz="0" w:space="0" w:color="auto"/>
                        <w:right w:val="none" w:sz="0" w:space="0" w:color="auto"/>
                      </w:divBdr>
                    </w:div>
                    <w:div w:id="893076428">
                      <w:marLeft w:val="0"/>
                      <w:marRight w:val="0"/>
                      <w:marTop w:val="0"/>
                      <w:marBottom w:val="0"/>
                      <w:divBdr>
                        <w:top w:val="none" w:sz="0" w:space="0" w:color="auto"/>
                        <w:left w:val="none" w:sz="0" w:space="0" w:color="auto"/>
                        <w:bottom w:val="none" w:sz="0" w:space="0" w:color="auto"/>
                        <w:right w:val="none" w:sz="0" w:space="0" w:color="auto"/>
                      </w:divBdr>
                    </w:div>
                  </w:divsChild>
                </w:div>
                <w:div w:id="497580490">
                  <w:marLeft w:val="0"/>
                  <w:marRight w:val="0"/>
                  <w:marTop w:val="0"/>
                  <w:marBottom w:val="0"/>
                  <w:divBdr>
                    <w:top w:val="none" w:sz="0" w:space="0" w:color="auto"/>
                    <w:left w:val="none" w:sz="0" w:space="0" w:color="auto"/>
                    <w:bottom w:val="none" w:sz="0" w:space="0" w:color="auto"/>
                    <w:right w:val="none" w:sz="0" w:space="0" w:color="auto"/>
                  </w:divBdr>
                  <w:divsChild>
                    <w:div w:id="787167143">
                      <w:marLeft w:val="0"/>
                      <w:marRight w:val="0"/>
                      <w:marTop w:val="0"/>
                      <w:marBottom w:val="0"/>
                      <w:divBdr>
                        <w:top w:val="none" w:sz="0" w:space="0" w:color="auto"/>
                        <w:left w:val="none" w:sz="0" w:space="0" w:color="auto"/>
                        <w:bottom w:val="none" w:sz="0" w:space="0" w:color="auto"/>
                        <w:right w:val="none" w:sz="0" w:space="0" w:color="auto"/>
                      </w:divBdr>
                    </w:div>
                  </w:divsChild>
                </w:div>
                <w:div w:id="505638007">
                  <w:marLeft w:val="0"/>
                  <w:marRight w:val="0"/>
                  <w:marTop w:val="0"/>
                  <w:marBottom w:val="0"/>
                  <w:divBdr>
                    <w:top w:val="none" w:sz="0" w:space="0" w:color="auto"/>
                    <w:left w:val="none" w:sz="0" w:space="0" w:color="auto"/>
                    <w:bottom w:val="none" w:sz="0" w:space="0" w:color="auto"/>
                    <w:right w:val="none" w:sz="0" w:space="0" w:color="auto"/>
                  </w:divBdr>
                  <w:divsChild>
                    <w:div w:id="1152677233">
                      <w:marLeft w:val="0"/>
                      <w:marRight w:val="0"/>
                      <w:marTop w:val="0"/>
                      <w:marBottom w:val="0"/>
                      <w:divBdr>
                        <w:top w:val="none" w:sz="0" w:space="0" w:color="auto"/>
                        <w:left w:val="none" w:sz="0" w:space="0" w:color="auto"/>
                        <w:bottom w:val="none" w:sz="0" w:space="0" w:color="auto"/>
                        <w:right w:val="none" w:sz="0" w:space="0" w:color="auto"/>
                      </w:divBdr>
                    </w:div>
                  </w:divsChild>
                </w:div>
                <w:div w:id="521480170">
                  <w:marLeft w:val="0"/>
                  <w:marRight w:val="0"/>
                  <w:marTop w:val="0"/>
                  <w:marBottom w:val="0"/>
                  <w:divBdr>
                    <w:top w:val="none" w:sz="0" w:space="0" w:color="auto"/>
                    <w:left w:val="none" w:sz="0" w:space="0" w:color="auto"/>
                    <w:bottom w:val="none" w:sz="0" w:space="0" w:color="auto"/>
                    <w:right w:val="none" w:sz="0" w:space="0" w:color="auto"/>
                  </w:divBdr>
                  <w:divsChild>
                    <w:div w:id="1662931337">
                      <w:marLeft w:val="0"/>
                      <w:marRight w:val="0"/>
                      <w:marTop w:val="0"/>
                      <w:marBottom w:val="0"/>
                      <w:divBdr>
                        <w:top w:val="none" w:sz="0" w:space="0" w:color="auto"/>
                        <w:left w:val="none" w:sz="0" w:space="0" w:color="auto"/>
                        <w:bottom w:val="none" w:sz="0" w:space="0" w:color="auto"/>
                        <w:right w:val="none" w:sz="0" w:space="0" w:color="auto"/>
                      </w:divBdr>
                    </w:div>
                  </w:divsChild>
                </w:div>
                <w:div w:id="525213002">
                  <w:marLeft w:val="0"/>
                  <w:marRight w:val="0"/>
                  <w:marTop w:val="0"/>
                  <w:marBottom w:val="0"/>
                  <w:divBdr>
                    <w:top w:val="none" w:sz="0" w:space="0" w:color="auto"/>
                    <w:left w:val="none" w:sz="0" w:space="0" w:color="auto"/>
                    <w:bottom w:val="none" w:sz="0" w:space="0" w:color="auto"/>
                    <w:right w:val="none" w:sz="0" w:space="0" w:color="auto"/>
                  </w:divBdr>
                  <w:divsChild>
                    <w:div w:id="1455977854">
                      <w:marLeft w:val="0"/>
                      <w:marRight w:val="0"/>
                      <w:marTop w:val="0"/>
                      <w:marBottom w:val="0"/>
                      <w:divBdr>
                        <w:top w:val="none" w:sz="0" w:space="0" w:color="auto"/>
                        <w:left w:val="none" w:sz="0" w:space="0" w:color="auto"/>
                        <w:bottom w:val="none" w:sz="0" w:space="0" w:color="auto"/>
                        <w:right w:val="none" w:sz="0" w:space="0" w:color="auto"/>
                      </w:divBdr>
                    </w:div>
                  </w:divsChild>
                </w:div>
                <w:div w:id="532690797">
                  <w:marLeft w:val="0"/>
                  <w:marRight w:val="0"/>
                  <w:marTop w:val="0"/>
                  <w:marBottom w:val="0"/>
                  <w:divBdr>
                    <w:top w:val="none" w:sz="0" w:space="0" w:color="auto"/>
                    <w:left w:val="none" w:sz="0" w:space="0" w:color="auto"/>
                    <w:bottom w:val="none" w:sz="0" w:space="0" w:color="auto"/>
                    <w:right w:val="none" w:sz="0" w:space="0" w:color="auto"/>
                  </w:divBdr>
                  <w:divsChild>
                    <w:div w:id="359169093">
                      <w:marLeft w:val="0"/>
                      <w:marRight w:val="0"/>
                      <w:marTop w:val="0"/>
                      <w:marBottom w:val="0"/>
                      <w:divBdr>
                        <w:top w:val="none" w:sz="0" w:space="0" w:color="auto"/>
                        <w:left w:val="none" w:sz="0" w:space="0" w:color="auto"/>
                        <w:bottom w:val="none" w:sz="0" w:space="0" w:color="auto"/>
                        <w:right w:val="none" w:sz="0" w:space="0" w:color="auto"/>
                      </w:divBdr>
                    </w:div>
                  </w:divsChild>
                </w:div>
                <w:div w:id="542597724">
                  <w:marLeft w:val="0"/>
                  <w:marRight w:val="0"/>
                  <w:marTop w:val="0"/>
                  <w:marBottom w:val="0"/>
                  <w:divBdr>
                    <w:top w:val="none" w:sz="0" w:space="0" w:color="auto"/>
                    <w:left w:val="none" w:sz="0" w:space="0" w:color="auto"/>
                    <w:bottom w:val="none" w:sz="0" w:space="0" w:color="auto"/>
                    <w:right w:val="none" w:sz="0" w:space="0" w:color="auto"/>
                  </w:divBdr>
                  <w:divsChild>
                    <w:div w:id="2051343364">
                      <w:marLeft w:val="0"/>
                      <w:marRight w:val="0"/>
                      <w:marTop w:val="0"/>
                      <w:marBottom w:val="0"/>
                      <w:divBdr>
                        <w:top w:val="none" w:sz="0" w:space="0" w:color="auto"/>
                        <w:left w:val="none" w:sz="0" w:space="0" w:color="auto"/>
                        <w:bottom w:val="none" w:sz="0" w:space="0" w:color="auto"/>
                        <w:right w:val="none" w:sz="0" w:space="0" w:color="auto"/>
                      </w:divBdr>
                    </w:div>
                  </w:divsChild>
                </w:div>
                <w:div w:id="543098320">
                  <w:marLeft w:val="0"/>
                  <w:marRight w:val="0"/>
                  <w:marTop w:val="0"/>
                  <w:marBottom w:val="0"/>
                  <w:divBdr>
                    <w:top w:val="none" w:sz="0" w:space="0" w:color="auto"/>
                    <w:left w:val="none" w:sz="0" w:space="0" w:color="auto"/>
                    <w:bottom w:val="none" w:sz="0" w:space="0" w:color="auto"/>
                    <w:right w:val="none" w:sz="0" w:space="0" w:color="auto"/>
                  </w:divBdr>
                  <w:divsChild>
                    <w:div w:id="628051204">
                      <w:marLeft w:val="0"/>
                      <w:marRight w:val="0"/>
                      <w:marTop w:val="0"/>
                      <w:marBottom w:val="0"/>
                      <w:divBdr>
                        <w:top w:val="none" w:sz="0" w:space="0" w:color="auto"/>
                        <w:left w:val="none" w:sz="0" w:space="0" w:color="auto"/>
                        <w:bottom w:val="none" w:sz="0" w:space="0" w:color="auto"/>
                        <w:right w:val="none" w:sz="0" w:space="0" w:color="auto"/>
                      </w:divBdr>
                    </w:div>
                  </w:divsChild>
                </w:div>
                <w:div w:id="552156340">
                  <w:marLeft w:val="0"/>
                  <w:marRight w:val="0"/>
                  <w:marTop w:val="0"/>
                  <w:marBottom w:val="0"/>
                  <w:divBdr>
                    <w:top w:val="none" w:sz="0" w:space="0" w:color="auto"/>
                    <w:left w:val="none" w:sz="0" w:space="0" w:color="auto"/>
                    <w:bottom w:val="none" w:sz="0" w:space="0" w:color="auto"/>
                    <w:right w:val="none" w:sz="0" w:space="0" w:color="auto"/>
                  </w:divBdr>
                  <w:divsChild>
                    <w:div w:id="978000769">
                      <w:marLeft w:val="0"/>
                      <w:marRight w:val="0"/>
                      <w:marTop w:val="0"/>
                      <w:marBottom w:val="0"/>
                      <w:divBdr>
                        <w:top w:val="none" w:sz="0" w:space="0" w:color="auto"/>
                        <w:left w:val="none" w:sz="0" w:space="0" w:color="auto"/>
                        <w:bottom w:val="none" w:sz="0" w:space="0" w:color="auto"/>
                        <w:right w:val="none" w:sz="0" w:space="0" w:color="auto"/>
                      </w:divBdr>
                    </w:div>
                  </w:divsChild>
                </w:div>
                <w:div w:id="562638783">
                  <w:marLeft w:val="0"/>
                  <w:marRight w:val="0"/>
                  <w:marTop w:val="0"/>
                  <w:marBottom w:val="0"/>
                  <w:divBdr>
                    <w:top w:val="none" w:sz="0" w:space="0" w:color="auto"/>
                    <w:left w:val="none" w:sz="0" w:space="0" w:color="auto"/>
                    <w:bottom w:val="none" w:sz="0" w:space="0" w:color="auto"/>
                    <w:right w:val="none" w:sz="0" w:space="0" w:color="auto"/>
                  </w:divBdr>
                  <w:divsChild>
                    <w:div w:id="936907791">
                      <w:marLeft w:val="0"/>
                      <w:marRight w:val="0"/>
                      <w:marTop w:val="0"/>
                      <w:marBottom w:val="0"/>
                      <w:divBdr>
                        <w:top w:val="none" w:sz="0" w:space="0" w:color="auto"/>
                        <w:left w:val="none" w:sz="0" w:space="0" w:color="auto"/>
                        <w:bottom w:val="none" w:sz="0" w:space="0" w:color="auto"/>
                        <w:right w:val="none" w:sz="0" w:space="0" w:color="auto"/>
                      </w:divBdr>
                    </w:div>
                  </w:divsChild>
                </w:div>
                <w:div w:id="568728695">
                  <w:marLeft w:val="0"/>
                  <w:marRight w:val="0"/>
                  <w:marTop w:val="0"/>
                  <w:marBottom w:val="0"/>
                  <w:divBdr>
                    <w:top w:val="none" w:sz="0" w:space="0" w:color="auto"/>
                    <w:left w:val="none" w:sz="0" w:space="0" w:color="auto"/>
                    <w:bottom w:val="none" w:sz="0" w:space="0" w:color="auto"/>
                    <w:right w:val="none" w:sz="0" w:space="0" w:color="auto"/>
                  </w:divBdr>
                  <w:divsChild>
                    <w:div w:id="291399418">
                      <w:marLeft w:val="0"/>
                      <w:marRight w:val="0"/>
                      <w:marTop w:val="0"/>
                      <w:marBottom w:val="0"/>
                      <w:divBdr>
                        <w:top w:val="none" w:sz="0" w:space="0" w:color="auto"/>
                        <w:left w:val="none" w:sz="0" w:space="0" w:color="auto"/>
                        <w:bottom w:val="none" w:sz="0" w:space="0" w:color="auto"/>
                        <w:right w:val="none" w:sz="0" w:space="0" w:color="auto"/>
                      </w:divBdr>
                    </w:div>
                  </w:divsChild>
                </w:div>
                <w:div w:id="591471520">
                  <w:marLeft w:val="0"/>
                  <w:marRight w:val="0"/>
                  <w:marTop w:val="0"/>
                  <w:marBottom w:val="0"/>
                  <w:divBdr>
                    <w:top w:val="none" w:sz="0" w:space="0" w:color="auto"/>
                    <w:left w:val="none" w:sz="0" w:space="0" w:color="auto"/>
                    <w:bottom w:val="none" w:sz="0" w:space="0" w:color="auto"/>
                    <w:right w:val="none" w:sz="0" w:space="0" w:color="auto"/>
                  </w:divBdr>
                  <w:divsChild>
                    <w:div w:id="10567732">
                      <w:marLeft w:val="0"/>
                      <w:marRight w:val="0"/>
                      <w:marTop w:val="0"/>
                      <w:marBottom w:val="0"/>
                      <w:divBdr>
                        <w:top w:val="none" w:sz="0" w:space="0" w:color="auto"/>
                        <w:left w:val="none" w:sz="0" w:space="0" w:color="auto"/>
                        <w:bottom w:val="none" w:sz="0" w:space="0" w:color="auto"/>
                        <w:right w:val="none" w:sz="0" w:space="0" w:color="auto"/>
                      </w:divBdr>
                    </w:div>
                  </w:divsChild>
                </w:div>
                <w:div w:id="594560128">
                  <w:marLeft w:val="0"/>
                  <w:marRight w:val="0"/>
                  <w:marTop w:val="0"/>
                  <w:marBottom w:val="0"/>
                  <w:divBdr>
                    <w:top w:val="none" w:sz="0" w:space="0" w:color="auto"/>
                    <w:left w:val="none" w:sz="0" w:space="0" w:color="auto"/>
                    <w:bottom w:val="none" w:sz="0" w:space="0" w:color="auto"/>
                    <w:right w:val="none" w:sz="0" w:space="0" w:color="auto"/>
                  </w:divBdr>
                  <w:divsChild>
                    <w:div w:id="116260965">
                      <w:marLeft w:val="0"/>
                      <w:marRight w:val="0"/>
                      <w:marTop w:val="0"/>
                      <w:marBottom w:val="0"/>
                      <w:divBdr>
                        <w:top w:val="none" w:sz="0" w:space="0" w:color="auto"/>
                        <w:left w:val="none" w:sz="0" w:space="0" w:color="auto"/>
                        <w:bottom w:val="none" w:sz="0" w:space="0" w:color="auto"/>
                        <w:right w:val="none" w:sz="0" w:space="0" w:color="auto"/>
                      </w:divBdr>
                    </w:div>
                  </w:divsChild>
                </w:div>
                <w:div w:id="620382259">
                  <w:marLeft w:val="0"/>
                  <w:marRight w:val="0"/>
                  <w:marTop w:val="0"/>
                  <w:marBottom w:val="0"/>
                  <w:divBdr>
                    <w:top w:val="none" w:sz="0" w:space="0" w:color="auto"/>
                    <w:left w:val="none" w:sz="0" w:space="0" w:color="auto"/>
                    <w:bottom w:val="none" w:sz="0" w:space="0" w:color="auto"/>
                    <w:right w:val="none" w:sz="0" w:space="0" w:color="auto"/>
                  </w:divBdr>
                  <w:divsChild>
                    <w:div w:id="1070884805">
                      <w:marLeft w:val="0"/>
                      <w:marRight w:val="0"/>
                      <w:marTop w:val="0"/>
                      <w:marBottom w:val="0"/>
                      <w:divBdr>
                        <w:top w:val="none" w:sz="0" w:space="0" w:color="auto"/>
                        <w:left w:val="none" w:sz="0" w:space="0" w:color="auto"/>
                        <w:bottom w:val="none" w:sz="0" w:space="0" w:color="auto"/>
                        <w:right w:val="none" w:sz="0" w:space="0" w:color="auto"/>
                      </w:divBdr>
                    </w:div>
                  </w:divsChild>
                </w:div>
                <w:div w:id="637224191">
                  <w:marLeft w:val="0"/>
                  <w:marRight w:val="0"/>
                  <w:marTop w:val="0"/>
                  <w:marBottom w:val="0"/>
                  <w:divBdr>
                    <w:top w:val="none" w:sz="0" w:space="0" w:color="auto"/>
                    <w:left w:val="none" w:sz="0" w:space="0" w:color="auto"/>
                    <w:bottom w:val="none" w:sz="0" w:space="0" w:color="auto"/>
                    <w:right w:val="none" w:sz="0" w:space="0" w:color="auto"/>
                  </w:divBdr>
                  <w:divsChild>
                    <w:div w:id="669912566">
                      <w:marLeft w:val="0"/>
                      <w:marRight w:val="0"/>
                      <w:marTop w:val="0"/>
                      <w:marBottom w:val="0"/>
                      <w:divBdr>
                        <w:top w:val="none" w:sz="0" w:space="0" w:color="auto"/>
                        <w:left w:val="none" w:sz="0" w:space="0" w:color="auto"/>
                        <w:bottom w:val="none" w:sz="0" w:space="0" w:color="auto"/>
                        <w:right w:val="none" w:sz="0" w:space="0" w:color="auto"/>
                      </w:divBdr>
                    </w:div>
                  </w:divsChild>
                </w:div>
                <w:div w:id="641883035">
                  <w:marLeft w:val="0"/>
                  <w:marRight w:val="0"/>
                  <w:marTop w:val="0"/>
                  <w:marBottom w:val="0"/>
                  <w:divBdr>
                    <w:top w:val="none" w:sz="0" w:space="0" w:color="auto"/>
                    <w:left w:val="none" w:sz="0" w:space="0" w:color="auto"/>
                    <w:bottom w:val="none" w:sz="0" w:space="0" w:color="auto"/>
                    <w:right w:val="none" w:sz="0" w:space="0" w:color="auto"/>
                  </w:divBdr>
                  <w:divsChild>
                    <w:div w:id="1148938455">
                      <w:marLeft w:val="0"/>
                      <w:marRight w:val="0"/>
                      <w:marTop w:val="0"/>
                      <w:marBottom w:val="0"/>
                      <w:divBdr>
                        <w:top w:val="none" w:sz="0" w:space="0" w:color="auto"/>
                        <w:left w:val="none" w:sz="0" w:space="0" w:color="auto"/>
                        <w:bottom w:val="none" w:sz="0" w:space="0" w:color="auto"/>
                        <w:right w:val="none" w:sz="0" w:space="0" w:color="auto"/>
                      </w:divBdr>
                    </w:div>
                  </w:divsChild>
                </w:div>
                <w:div w:id="655496428">
                  <w:marLeft w:val="0"/>
                  <w:marRight w:val="0"/>
                  <w:marTop w:val="0"/>
                  <w:marBottom w:val="0"/>
                  <w:divBdr>
                    <w:top w:val="none" w:sz="0" w:space="0" w:color="auto"/>
                    <w:left w:val="none" w:sz="0" w:space="0" w:color="auto"/>
                    <w:bottom w:val="none" w:sz="0" w:space="0" w:color="auto"/>
                    <w:right w:val="none" w:sz="0" w:space="0" w:color="auto"/>
                  </w:divBdr>
                  <w:divsChild>
                    <w:div w:id="2019185731">
                      <w:marLeft w:val="0"/>
                      <w:marRight w:val="0"/>
                      <w:marTop w:val="0"/>
                      <w:marBottom w:val="0"/>
                      <w:divBdr>
                        <w:top w:val="none" w:sz="0" w:space="0" w:color="auto"/>
                        <w:left w:val="none" w:sz="0" w:space="0" w:color="auto"/>
                        <w:bottom w:val="none" w:sz="0" w:space="0" w:color="auto"/>
                        <w:right w:val="none" w:sz="0" w:space="0" w:color="auto"/>
                      </w:divBdr>
                    </w:div>
                  </w:divsChild>
                </w:div>
                <w:div w:id="658651673">
                  <w:marLeft w:val="0"/>
                  <w:marRight w:val="0"/>
                  <w:marTop w:val="0"/>
                  <w:marBottom w:val="0"/>
                  <w:divBdr>
                    <w:top w:val="none" w:sz="0" w:space="0" w:color="auto"/>
                    <w:left w:val="none" w:sz="0" w:space="0" w:color="auto"/>
                    <w:bottom w:val="none" w:sz="0" w:space="0" w:color="auto"/>
                    <w:right w:val="none" w:sz="0" w:space="0" w:color="auto"/>
                  </w:divBdr>
                  <w:divsChild>
                    <w:div w:id="982546565">
                      <w:marLeft w:val="0"/>
                      <w:marRight w:val="0"/>
                      <w:marTop w:val="0"/>
                      <w:marBottom w:val="0"/>
                      <w:divBdr>
                        <w:top w:val="none" w:sz="0" w:space="0" w:color="auto"/>
                        <w:left w:val="none" w:sz="0" w:space="0" w:color="auto"/>
                        <w:bottom w:val="none" w:sz="0" w:space="0" w:color="auto"/>
                        <w:right w:val="none" w:sz="0" w:space="0" w:color="auto"/>
                      </w:divBdr>
                    </w:div>
                  </w:divsChild>
                </w:div>
                <w:div w:id="687482801">
                  <w:marLeft w:val="0"/>
                  <w:marRight w:val="0"/>
                  <w:marTop w:val="0"/>
                  <w:marBottom w:val="0"/>
                  <w:divBdr>
                    <w:top w:val="none" w:sz="0" w:space="0" w:color="auto"/>
                    <w:left w:val="none" w:sz="0" w:space="0" w:color="auto"/>
                    <w:bottom w:val="none" w:sz="0" w:space="0" w:color="auto"/>
                    <w:right w:val="none" w:sz="0" w:space="0" w:color="auto"/>
                  </w:divBdr>
                  <w:divsChild>
                    <w:div w:id="193887392">
                      <w:marLeft w:val="0"/>
                      <w:marRight w:val="0"/>
                      <w:marTop w:val="0"/>
                      <w:marBottom w:val="0"/>
                      <w:divBdr>
                        <w:top w:val="none" w:sz="0" w:space="0" w:color="auto"/>
                        <w:left w:val="none" w:sz="0" w:space="0" w:color="auto"/>
                        <w:bottom w:val="none" w:sz="0" w:space="0" w:color="auto"/>
                        <w:right w:val="none" w:sz="0" w:space="0" w:color="auto"/>
                      </w:divBdr>
                    </w:div>
                  </w:divsChild>
                </w:div>
                <w:div w:id="687636228">
                  <w:marLeft w:val="0"/>
                  <w:marRight w:val="0"/>
                  <w:marTop w:val="0"/>
                  <w:marBottom w:val="0"/>
                  <w:divBdr>
                    <w:top w:val="none" w:sz="0" w:space="0" w:color="auto"/>
                    <w:left w:val="none" w:sz="0" w:space="0" w:color="auto"/>
                    <w:bottom w:val="none" w:sz="0" w:space="0" w:color="auto"/>
                    <w:right w:val="none" w:sz="0" w:space="0" w:color="auto"/>
                  </w:divBdr>
                  <w:divsChild>
                    <w:div w:id="1724064912">
                      <w:marLeft w:val="0"/>
                      <w:marRight w:val="0"/>
                      <w:marTop w:val="0"/>
                      <w:marBottom w:val="0"/>
                      <w:divBdr>
                        <w:top w:val="none" w:sz="0" w:space="0" w:color="auto"/>
                        <w:left w:val="none" w:sz="0" w:space="0" w:color="auto"/>
                        <w:bottom w:val="none" w:sz="0" w:space="0" w:color="auto"/>
                        <w:right w:val="none" w:sz="0" w:space="0" w:color="auto"/>
                      </w:divBdr>
                    </w:div>
                  </w:divsChild>
                </w:div>
                <w:div w:id="719014060">
                  <w:marLeft w:val="0"/>
                  <w:marRight w:val="0"/>
                  <w:marTop w:val="0"/>
                  <w:marBottom w:val="0"/>
                  <w:divBdr>
                    <w:top w:val="none" w:sz="0" w:space="0" w:color="auto"/>
                    <w:left w:val="none" w:sz="0" w:space="0" w:color="auto"/>
                    <w:bottom w:val="none" w:sz="0" w:space="0" w:color="auto"/>
                    <w:right w:val="none" w:sz="0" w:space="0" w:color="auto"/>
                  </w:divBdr>
                  <w:divsChild>
                    <w:div w:id="636761306">
                      <w:marLeft w:val="0"/>
                      <w:marRight w:val="0"/>
                      <w:marTop w:val="0"/>
                      <w:marBottom w:val="0"/>
                      <w:divBdr>
                        <w:top w:val="none" w:sz="0" w:space="0" w:color="auto"/>
                        <w:left w:val="none" w:sz="0" w:space="0" w:color="auto"/>
                        <w:bottom w:val="none" w:sz="0" w:space="0" w:color="auto"/>
                        <w:right w:val="none" w:sz="0" w:space="0" w:color="auto"/>
                      </w:divBdr>
                    </w:div>
                  </w:divsChild>
                </w:div>
                <w:div w:id="733746320">
                  <w:marLeft w:val="0"/>
                  <w:marRight w:val="0"/>
                  <w:marTop w:val="0"/>
                  <w:marBottom w:val="0"/>
                  <w:divBdr>
                    <w:top w:val="none" w:sz="0" w:space="0" w:color="auto"/>
                    <w:left w:val="none" w:sz="0" w:space="0" w:color="auto"/>
                    <w:bottom w:val="none" w:sz="0" w:space="0" w:color="auto"/>
                    <w:right w:val="none" w:sz="0" w:space="0" w:color="auto"/>
                  </w:divBdr>
                  <w:divsChild>
                    <w:div w:id="1045373945">
                      <w:marLeft w:val="0"/>
                      <w:marRight w:val="0"/>
                      <w:marTop w:val="0"/>
                      <w:marBottom w:val="0"/>
                      <w:divBdr>
                        <w:top w:val="none" w:sz="0" w:space="0" w:color="auto"/>
                        <w:left w:val="none" w:sz="0" w:space="0" w:color="auto"/>
                        <w:bottom w:val="none" w:sz="0" w:space="0" w:color="auto"/>
                        <w:right w:val="none" w:sz="0" w:space="0" w:color="auto"/>
                      </w:divBdr>
                    </w:div>
                  </w:divsChild>
                </w:div>
                <w:div w:id="745803417">
                  <w:marLeft w:val="0"/>
                  <w:marRight w:val="0"/>
                  <w:marTop w:val="0"/>
                  <w:marBottom w:val="0"/>
                  <w:divBdr>
                    <w:top w:val="none" w:sz="0" w:space="0" w:color="auto"/>
                    <w:left w:val="none" w:sz="0" w:space="0" w:color="auto"/>
                    <w:bottom w:val="none" w:sz="0" w:space="0" w:color="auto"/>
                    <w:right w:val="none" w:sz="0" w:space="0" w:color="auto"/>
                  </w:divBdr>
                  <w:divsChild>
                    <w:div w:id="2130779736">
                      <w:marLeft w:val="0"/>
                      <w:marRight w:val="0"/>
                      <w:marTop w:val="0"/>
                      <w:marBottom w:val="0"/>
                      <w:divBdr>
                        <w:top w:val="none" w:sz="0" w:space="0" w:color="auto"/>
                        <w:left w:val="none" w:sz="0" w:space="0" w:color="auto"/>
                        <w:bottom w:val="none" w:sz="0" w:space="0" w:color="auto"/>
                        <w:right w:val="none" w:sz="0" w:space="0" w:color="auto"/>
                      </w:divBdr>
                    </w:div>
                  </w:divsChild>
                </w:div>
                <w:div w:id="745954459">
                  <w:marLeft w:val="0"/>
                  <w:marRight w:val="0"/>
                  <w:marTop w:val="0"/>
                  <w:marBottom w:val="0"/>
                  <w:divBdr>
                    <w:top w:val="none" w:sz="0" w:space="0" w:color="auto"/>
                    <w:left w:val="none" w:sz="0" w:space="0" w:color="auto"/>
                    <w:bottom w:val="none" w:sz="0" w:space="0" w:color="auto"/>
                    <w:right w:val="none" w:sz="0" w:space="0" w:color="auto"/>
                  </w:divBdr>
                  <w:divsChild>
                    <w:div w:id="1030762090">
                      <w:marLeft w:val="0"/>
                      <w:marRight w:val="0"/>
                      <w:marTop w:val="0"/>
                      <w:marBottom w:val="0"/>
                      <w:divBdr>
                        <w:top w:val="none" w:sz="0" w:space="0" w:color="auto"/>
                        <w:left w:val="none" w:sz="0" w:space="0" w:color="auto"/>
                        <w:bottom w:val="none" w:sz="0" w:space="0" w:color="auto"/>
                        <w:right w:val="none" w:sz="0" w:space="0" w:color="auto"/>
                      </w:divBdr>
                    </w:div>
                  </w:divsChild>
                </w:div>
                <w:div w:id="752091781">
                  <w:marLeft w:val="0"/>
                  <w:marRight w:val="0"/>
                  <w:marTop w:val="0"/>
                  <w:marBottom w:val="0"/>
                  <w:divBdr>
                    <w:top w:val="none" w:sz="0" w:space="0" w:color="auto"/>
                    <w:left w:val="none" w:sz="0" w:space="0" w:color="auto"/>
                    <w:bottom w:val="none" w:sz="0" w:space="0" w:color="auto"/>
                    <w:right w:val="none" w:sz="0" w:space="0" w:color="auto"/>
                  </w:divBdr>
                  <w:divsChild>
                    <w:div w:id="1716420077">
                      <w:marLeft w:val="0"/>
                      <w:marRight w:val="0"/>
                      <w:marTop w:val="0"/>
                      <w:marBottom w:val="0"/>
                      <w:divBdr>
                        <w:top w:val="none" w:sz="0" w:space="0" w:color="auto"/>
                        <w:left w:val="none" w:sz="0" w:space="0" w:color="auto"/>
                        <w:bottom w:val="none" w:sz="0" w:space="0" w:color="auto"/>
                        <w:right w:val="none" w:sz="0" w:space="0" w:color="auto"/>
                      </w:divBdr>
                    </w:div>
                  </w:divsChild>
                </w:div>
                <w:div w:id="756636973">
                  <w:marLeft w:val="0"/>
                  <w:marRight w:val="0"/>
                  <w:marTop w:val="0"/>
                  <w:marBottom w:val="0"/>
                  <w:divBdr>
                    <w:top w:val="none" w:sz="0" w:space="0" w:color="auto"/>
                    <w:left w:val="none" w:sz="0" w:space="0" w:color="auto"/>
                    <w:bottom w:val="none" w:sz="0" w:space="0" w:color="auto"/>
                    <w:right w:val="none" w:sz="0" w:space="0" w:color="auto"/>
                  </w:divBdr>
                  <w:divsChild>
                    <w:div w:id="302463104">
                      <w:marLeft w:val="0"/>
                      <w:marRight w:val="0"/>
                      <w:marTop w:val="0"/>
                      <w:marBottom w:val="0"/>
                      <w:divBdr>
                        <w:top w:val="none" w:sz="0" w:space="0" w:color="auto"/>
                        <w:left w:val="none" w:sz="0" w:space="0" w:color="auto"/>
                        <w:bottom w:val="none" w:sz="0" w:space="0" w:color="auto"/>
                        <w:right w:val="none" w:sz="0" w:space="0" w:color="auto"/>
                      </w:divBdr>
                    </w:div>
                  </w:divsChild>
                </w:div>
                <w:div w:id="777141996">
                  <w:marLeft w:val="0"/>
                  <w:marRight w:val="0"/>
                  <w:marTop w:val="0"/>
                  <w:marBottom w:val="0"/>
                  <w:divBdr>
                    <w:top w:val="none" w:sz="0" w:space="0" w:color="auto"/>
                    <w:left w:val="none" w:sz="0" w:space="0" w:color="auto"/>
                    <w:bottom w:val="none" w:sz="0" w:space="0" w:color="auto"/>
                    <w:right w:val="none" w:sz="0" w:space="0" w:color="auto"/>
                  </w:divBdr>
                  <w:divsChild>
                    <w:div w:id="48921857">
                      <w:marLeft w:val="0"/>
                      <w:marRight w:val="0"/>
                      <w:marTop w:val="0"/>
                      <w:marBottom w:val="0"/>
                      <w:divBdr>
                        <w:top w:val="none" w:sz="0" w:space="0" w:color="auto"/>
                        <w:left w:val="none" w:sz="0" w:space="0" w:color="auto"/>
                        <w:bottom w:val="none" w:sz="0" w:space="0" w:color="auto"/>
                        <w:right w:val="none" w:sz="0" w:space="0" w:color="auto"/>
                      </w:divBdr>
                    </w:div>
                  </w:divsChild>
                </w:div>
                <w:div w:id="778834211">
                  <w:marLeft w:val="0"/>
                  <w:marRight w:val="0"/>
                  <w:marTop w:val="0"/>
                  <w:marBottom w:val="0"/>
                  <w:divBdr>
                    <w:top w:val="none" w:sz="0" w:space="0" w:color="auto"/>
                    <w:left w:val="none" w:sz="0" w:space="0" w:color="auto"/>
                    <w:bottom w:val="none" w:sz="0" w:space="0" w:color="auto"/>
                    <w:right w:val="none" w:sz="0" w:space="0" w:color="auto"/>
                  </w:divBdr>
                  <w:divsChild>
                    <w:div w:id="1482850274">
                      <w:marLeft w:val="0"/>
                      <w:marRight w:val="0"/>
                      <w:marTop w:val="0"/>
                      <w:marBottom w:val="0"/>
                      <w:divBdr>
                        <w:top w:val="none" w:sz="0" w:space="0" w:color="auto"/>
                        <w:left w:val="none" w:sz="0" w:space="0" w:color="auto"/>
                        <w:bottom w:val="none" w:sz="0" w:space="0" w:color="auto"/>
                        <w:right w:val="none" w:sz="0" w:space="0" w:color="auto"/>
                      </w:divBdr>
                    </w:div>
                  </w:divsChild>
                </w:div>
                <w:div w:id="785197634">
                  <w:marLeft w:val="0"/>
                  <w:marRight w:val="0"/>
                  <w:marTop w:val="0"/>
                  <w:marBottom w:val="0"/>
                  <w:divBdr>
                    <w:top w:val="none" w:sz="0" w:space="0" w:color="auto"/>
                    <w:left w:val="none" w:sz="0" w:space="0" w:color="auto"/>
                    <w:bottom w:val="none" w:sz="0" w:space="0" w:color="auto"/>
                    <w:right w:val="none" w:sz="0" w:space="0" w:color="auto"/>
                  </w:divBdr>
                  <w:divsChild>
                    <w:div w:id="603733451">
                      <w:marLeft w:val="0"/>
                      <w:marRight w:val="0"/>
                      <w:marTop w:val="0"/>
                      <w:marBottom w:val="0"/>
                      <w:divBdr>
                        <w:top w:val="none" w:sz="0" w:space="0" w:color="auto"/>
                        <w:left w:val="none" w:sz="0" w:space="0" w:color="auto"/>
                        <w:bottom w:val="none" w:sz="0" w:space="0" w:color="auto"/>
                        <w:right w:val="none" w:sz="0" w:space="0" w:color="auto"/>
                      </w:divBdr>
                    </w:div>
                  </w:divsChild>
                </w:div>
                <w:div w:id="832642123">
                  <w:marLeft w:val="0"/>
                  <w:marRight w:val="0"/>
                  <w:marTop w:val="0"/>
                  <w:marBottom w:val="0"/>
                  <w:divBdr>
                    <w:top w:val="none" w:sz="0" w:space="0" w:color="auto"/>
                    <w:left w:val="none" w:sz="0" w:space="0" w:color="auto"/>
                    <w:bottom w:val="none" w:sz="0" w:space="0" w:color="auto"/>
                    <w:right w:val="none" w:sz="0" w:space="0" w:color="auto"/>
                  </w:divBdr>
                  <w:divsChild>
                    <w:div w:id="314144050">
                      <w:marLeft w:val="0"/>
                      <w:marRight w:val="0"/>
                      <w:marTop w:val="0"/>
                      <w:marBottom w:val="0"/>
                      <w:divBdr>
                        <w:top w:val="none" w:sz="0" w:space="0" w:color="auto"/>
                        <w:left w:val="none" w:sz="0" w:space="0" w:color="auto"/>
                        <w:bottom w:val="none" w:sz="0" w:space="0" w:color="auto"/>
                        <w:right w:val="none" w:sz="0" w:space="0" w:color="auto"/>
                      </w:divBdr>
                    </w:div>
                  </w:divsChild>
                </w:div>
                <w:div w:id="833569501">
                  <w:marLeft w:val="0"/>
                  <w:marRight w:val="0"/>
                  <w:marTop w:val="0"/>
                  <w:marBottom w:val="0"/>
                  <w:divBdr>
                    <w:top w:val="none" w:sz="0" w:space="0" w:color="auto"/>
                    <w:left w:val="none" w:sz="0" w:space="0" w:color="auto"/>
                    <w:bottom w:val="none" w:sz="0" w:space="0" w:color="auto"/>
                    <w:right w:val="none" w:sz="0" w:space="0" w:color="auto"/>
                  </w:divBdr>
                  <w:divsChild>
                    <w:div w:id="137114392">
                      <w:marLeft w:val="0"/>
                      <w:marRight w:val="0"/>
                      <w:marTop w:val="0"/>
                      <w:marBottom w:val="0"/>
                      <w:divBdr>
                        <w:top w:val="none" w:sz="0" w:space="0" w:color="auto"/>
                        <w:left w:val="none" w:sz="0" w:space="0" w:color="auto"/>
                        <w:bottom w:val="none" w:sz="0" w:space="0" w:color="auto"/>
                        <w:right w:val="none" w:sz="0" w:space="0" w:color="auto"/>
                      </w:divBdr>
                    </w:div>
                  </w:divsChild>
                </w:div>
                <w:div w:id="865409661">
                  <w:marLeft w:val="0"/>
                  <w:marRight w:val="0"/>
                  <w:marTop w:val="0"/>
                  <w:marBottom w:val="0"/>
                  <w:divBdr>
                    <w:top w:val="none" w:sz="0" w:space="0" w:color="auto"/>
                    <w:left w:val="none" w:sz="0" w:space="0" w:color="auto"/>
                    <w:bottom w:val="none" w:sz="0" w:space="0" w:color="auto"/>
                    <w:right w:val="none" w:sz="0" w:space="0" w:color="auto"/>
                  </w:divBdr>
                  <w:divsChild>
                    <w:div w:id="264659753">
                      <w:marLeft w:val="0"/>
                      <w:marRight w:val="0"/>
                      <w:marTop w:val="0"/>
                      <w:marBottom w:val="0"/>
                      <w:divBdr>
                        <w:top w:val="none" w:sz="0" w:space="0" w:color="auto"/>
                        <w:left w:val="none" w:sz="0" w:space="0" w:color="auto"/>
                        <w:bottom w:val="none" w:sz="0" w:space="0" w:color="auto"/>
                        <w:right w:val="none" w:sz="0" w:space="0" w:color="auto"/>
                      </w:divBdr>
                    </w:div>
                  </w:divsChild>
                </w:div>
                <w:div w:id="883907325">
                  <w:marLeft w:val="0"/>
                  <w:marRight w:val="0"/>
                  <w:marTop w:val="0"/>
                  <w:marBottom w:val="0"/>
                  <w:divBdr>
                    <w:top w:val="none" w:sz="0" w:space="0" w:color="auto"/>
                    <w:left w:val="none" w:sz="0" w:space="0" w:color="auto"/>
                    <w:bottom w:val="none" w:sz="0" w:space="0" w:color="auto"/>
                    <w:right w:val="none" w:sz="0" w:space="0" w:color="auto"/>
                  </w:divBdr>
                  <w:divsChild>
                    <w:div w:id="1959296530">
                      <w:marLeft w:val="0"/>
                      <w:marRight w:val="0"/>
                      <w:marTop w:val="0"/>
                      <w:marBottom w:val="0"/>
                      <w:divBdr>
                        <w:top w:val="none" w:sz="0" w:space="0" w:color="auto"/>
                        <w:left w:val="none" w:sz="0" w:space="0" w:color="auto"/>
                        <w:bottom w:val="none" w:sz="0" w:space="0" w:color="auto"/>
                        <w:right w:val="none" w:sz="0" w:space="0" w:color="auto"/>
                      </w:divBdr>
                    </w:div>
                  </w:divsChild>
                </w:div>
                <w:div w:id="910506190">
                  <w:marLeft w:val="0"/>
                  <w:marRight w:val="0"/>
                  <w:marTop w:val="0"/>
                  <w:marBottom w:val="0"/>
                  <w:divBdr>
                    <w:top w:val="none" w:sz="0" w:space="0" w:color="auto"/>
                    <w:left w:val="none" w:sz="0" w:space="0" w:color="auto"/>
                    <w:bottom w:val="none" w:sz="0" w:space="0" w:color="auto"/>
                    <w:right w:val="none" w:sz="0" w:space="0" w:color="auto"/>
                  </w:divBdr>
                  <w:divsChild>
                    <w:div w:id="2010062848">
                      <w:marLeft w:val="0"/>
                      <w:marRight w:val="0"/>
                      <w:marTop w:val="0"/>
                      <w:marBottom w:val="0"/>
                      <w:divBdr>
                        <w:top w:val="none" w:sz="0" w:space="0" w:color="auto"/>
                        <w:left w:val="none" w:sz="0" w:space="0" w:color="auto"/>
                        <w:bottom w:val="none" w:sz="0" w:space="0" w:color="auto"/>
                        <w:right w:val="none" w:sz="0" w:space="0" w:color="auto"/>
                      </w:divBdr>
                    </w:div>
                  </w:divsChild>
                </w:div>
                <w:div w:id="913390283">
                  <w:marLeft w:val="0"/>
                  <w:marRight w:val="0"/>
                  <w:marTop w:val="0"/>
                  <w:marBottom w:val="0"/>
                  <w:divBdr>
                    <w:top w:val="none" w:sz="0" w:space="0" w:color="auto"/>
                    <w:left w:val="none" w:sz="0" w:space="0" w:color="auto"/>
                    <w:bottom w:val="none" w:sz="0" w:space="0" w:color="auto"/>
                    <w:right w:val="none" w:sz="0" w:space="0" w:color="auto"/>
                  </w:divBdr>
                  <w:divsChild>
                    <w:div w:id="2067800398">
                      <w:marLeft w:val="0"/>
                      <w:marRight w:val="0"/>
                      <w:marTop w:val="0"/>
                      <w:marBottom w:val="0"/>
                      <w:divBdr>
                        <w:top w:val="none" w:sz="0" w:space="0" w:color="auto"/>
                        <w:left w:val="none" w:sz="0" w:space="0" w:color="auto"/>
                        <w:bottom w:val="none" w:sz="0" w:space="0" w:color="auto"/>
                        <w:right w:val="none" w:sz="0" w:space="0" w:color="auto"/>
                      </w:divBdr>
                    </w:div>
                  </w:divsChild>
                </w:div>
                <w:div w:id="934895885">
                  <w:marLeft w:val="0"/>
                  <w:marRight w:val="0"/>
                  <w:marTop w:val="0"/>
                  <w:marBottom w:val="0"/>
                  <w:divBdr>
                    <w:top w:val="none" w:sz="0" w:space="0" w:color="auto"/>
                    <w:left w:val="none" w:sz="0" w:space="0" w:color="auto"/>
                    <w:bottom w:val="none" w:sz="0" w:space="0" w:color="auto"/>
                    <w:right w:val="none" w:sz="0" w:space="0" w:color="auto"/>
                  </w:divBdr>
                  <w:divsChild>
                    <w:div w:id="428046776">
                      <w:marLeft w:val="0"/>
                      <w:marRight w:val="0"/>
                      <w:marTop w:val="0"/>
                      <w:marBottom w:val="0"/>
                      <w:divBdr>
                        <w:top w:val="none" w:sz="0" w:space="0" w:color="auto"/>
                        <w:left w:val="none" w:sz="0" w:space="0" w:color="auto"/>
                        <w:bottom w:val="none" w:sz="0" w:space="0" w:color="auto"/>
                        <w:right w:val="none" w:sz="0" w:space="0" w:color="auto"/>
                      </w:divBdr>
                    </w:div>
                  </w:divsChild>
                </w:div>
                <w:div w:id="944314310">
                  <w:marLeft w:val="0"/>
                  <w:marRight w:val="0"/>
                  <w:marTop w:val="0"/>
                  <w:marBottom w:val="0"/>
                  <w:divBdr>
                    <w:top w:val="none" w:sz="0" w:space="0" w:color="auto"/>
                    <w:left w:val="none" w:sz="0" w:space="0" w:color="auto"/>
                    <w:bottom w:val="none" w:sz="0" w:space="0" w:color="auto"/>
                    <w:right w:val="none" w:sz="0" w:space="0" w:color="auto"/>
                  </w:divBdr>
                  <w:divsChild>
                    <w:div w:id="9455619">
                      <w:marLeft w:val="0"/>
                      <w:marRight w:val="0"/>
                      <w:marTop w:val="0"/>
                      <w:marBottom w:val="0"/>
                      <w:divBdr>
                        <w:top w:val="none" w:sz="0" w:space="0" w:color="auto"/>
                        <w:left w:val="none" w:sz="0" w:space="0" w:color="auto"/>
                        <w:bottom w:val="none" w:sz="0" w:space="0" w:color="auto"/>
                        <w:right w:val="none" w:sz="0" w:space="0" w:color="auto"/>
                      </w:divBdr>
                    </w:div>
                  </w:divsChild>
                </w:div>
                <w:div w:id="944506653">
                  <w:marLeft w:val="0"/>
                  <w:marRight w:val="0"/>
                  <w:marTop w:val="0"/>
                  <w:marBottom w:val="0"/>
                  <w:divBdr>
                    <w:top w:val="none" w:sz="0" w:space="0" w:color="auto"/>
                    <w:left w:val="none" w:sz="0" w:space="0" w:color="auto"/>
                    <w:bottom w:val="none" w:sz="0" w:space="0" w:color="auto"/>
                    <w:right w:val="none" w:sz="0" w:space="0" w:color="auto"/>
                  </w:divBdr>
                  <w:divsChild>
                    <w:div w:id="1017344803">
                      <w:marLeft w:val="0"/>
                      <w:marRight w:val="0"/>
                      <w:marTop w:val="0"/>
                      <w:marBottom w:val="0"/>
                      <w:divBdr>
                        <w:top w:val="none" w:sz="0" w:space="0" w:color="auto"/>
                        <w:left w:val="none" w:sz="0" w:space="0" w:color="auto"/>
                        <w:bottom w:val="none" w:sz="0" w:space="0" w:color="auto"/>
                        <w:right w:val="none" w:sz="0" w:space="0" w:color="auto"/>
                      </w:divBdr>
                    </w:div>
                  </w:divsChild>
                </w:div>
                <w:div w:id="958224707">
                  <w:marLeft w:val="0"/>
                  <w:marRight w:val="0"/>
                  <w:marTop w:val="0"/>
                  <w:marBottom w:val="0"/>
                  <w:divBdr>
                    <w:top w:val="none" w:sz="0" w:space="0" w:color="auto"/>
                    <w:left w:val="none" w:sz="0" w:space="0" w:color="auto"/>
                    <w:bottom w:val="none" w:sz="0" w:space="0" w:color="auto"/>
                    <w:right w:val="none" w:sz="0" w:space="0" w:color="auto"/>
                  </w:divBdr>
                  <w:divsChild>
                    <w:div w:id="1711149159">
                      <w:marLeft w:val="0"/>
                      <w:marRight w:val="0"/>
                      <w:marTop w:val="0"/>
                      <w:marBottom w:val="0"/>
                      <w:divBdr>
                        <w:top w:val="none" w:sz="0" w:space="0" w:color="auto"/>
                        <w:left w:val="none" w:sz="0" w:space="0" w:color="auto"/>
                        <w:bottom w:val="none" w:sz="0" w:space="0" w:color="auto"/>
                        <w:right w:val="none" w:sz="0" w:space="0" w:color="auto"/>
                      </w:divBdr>
                    </w:div>
                  </w:divsChild>
                </w:div>
                <w:div w:id="960570297">
                  <w:marLeft w:val="0"/>
                  <w:marRight w:val="0"/>
                  <w:marTop w:val="0"/>
                  <w:marBottom w:val="0"/>
                  <w:divBdr>
                    <w:top w:val="none" w:sz="0" w:space="0" w:color="auto"/>
                    <w:left w:val="none" w:sz="0" w:space="0" w:color="auto"/>
                    <w:bottom w:val="none" w:sz="0" w:space="0" w:color="auto"/>
                    <w:right w:val="none" w:sz="0" w:space="0" w:color="auto"/>
                  </w:divBdr>
                  <w:divsChild>
                    <w:div w:id="2017492632">
                      <w:marLeft w:val="0"/>
                      <w:marRight w:val="0"/>
                      <w:marTop w:val="0"/>
                      <w:marBottom w:val="0"/>
                      <w:divBdr>
                        <w:top w:val="none" w:sz="0" w:space="0" w:color="auto"/>
                        <w:left w:val="none" w:sz="0" w:space="0" w:color="auto"/>
                        <w:bottom w:val="none" w:sz="0" w:space="0" w:color="auto"/>
                        <w:right w:val="none" w:sz="0" w:space="0" w:color="auto"/>
                      </w:divBdr>
                    </w:div>
                  </w:divsChild>
                </w:div>
                <w:div w:id="967472012">
                  <w:marLeft w:val="0"/>
                  <w:marRight w:val="0"/>
                  <w:marTop w:val="0"/>
                  <w:marBottom w:val="0"/>
                  <w:divBdr>
                    <w:top w:val="none" w:sz="0" w:space="0" w:color="auto"/>
                    <w:left w:val="none" w:sz="0" w:space="0" w:color="auto"/>
                    <w:bottom w:val="none" w:sz="0" w:space="0" w:color="auto"/>
                    <w:right w:val="none" w:sz="0" w:space="0" w:color="auto"/>
                  </w:divBdr>
                  <w:divsChild>
                    <w:div w:id="1522087191">
                      <w:marLeft w:val="0"/>
                      <w:marRight w:val="0"/>
                      <w:marTop w:val="0"/>
                      <w:marBottom w:val="0"/>
                      <w:divBdr>
                        <w:top w:val="none" w:sz="0" w:space="0" w:color="auto"/>
                        <w:left w:val="none" w:sz="0" w:space="0" w:color="auto"/>
                        <w:bottom w:val="none" w:sz="0" w:space="0" w:color="auto"/>
                        <w:right w:val="none" w:sz="0" w:space="0" w:color="auto"/>
                      </w:divBdr>
                    </w:div>
                  </w:divsChild>
                </w:div>
                <w:div w:id="974718964">
                  <w:marLeft w:val="0"/>
                  <w:marRight w:val="0"/>
                  <w:marTop w:val="0"/>
                  <w:marBottom w:val="0"/>
                  <w:divBdr>
                    <w:top w:val="none" w:sz="0" w:space="0" w:color="auto"/>
                    <w:left w:val="none" w:sz="0" w:space="0" w:color="auto"/>
                    <w:bottom w:val="none" w:sz="0" w:space="0" w:color="auto"/>
                    <w:right w:val="none" w:sz="0" w:space="0" w:color="auto"/>
                  </w:divBdr>
                  <w:divsChild>
                    <w:div w:id="1862889995">
                      <w:marLeft w:val="0"/>
                      <w:marRight w:val="0"/>
                      <w:marTop w:val="0"/>
                      <w:marBottom w:val="0"/>
                      <w:divBdr>
                        <w:top w:val="none" w:sz="0" w:space="0" w:color="auto"/>
                        <w:left w:val="none" w:sz="0" w:space="0" w:color="auto"/>
                        <w:bottom w:val="none" w:sz="0" w:space="0" w:color="auto"/>
                        <w:right w:val="none" w:sz="0" w:space="0" w:color="auto"/>
                      </w:divBdr>
                    </w:div>
                  </w:divsChild>
                </w:div>
                <w:div w:id="978725779">
                  <w:marLeft w:val="0"/>
                  <w:marRight w:val="0"/>
                  <w:marTop w:val="0"/>
                  <w:marBottom w:val="0"/>
                  <w:divBdr>
                    <w:top w:val="none" w:sz="0" w:space="0" w:color="auto"/>
                    <w:left w:val="none" w:sz="0" w:space="0" w:color="auto"/>
                    <w:bottom w:val="none" w:sz="0" w:space="0" w:color="auto"/>
                    <w:right w:val="none" w:sz="0" w:space="0" w:color="auto"/>
                  </w:divBdr>
                  <w:divsChild>
                    <w:div w:id="1113944250">
                      <w:marLeft w:val="0"/>
                      <w:marRight w:val="0"/>
                      <w:marTop w:val="0"/>
                      <w:marBottom w:val="0"/>
                      <w:divBdr>
                        <w:top w:val="none" w:sz="0" w:space="0" w:color="auto"/>
                        <w:left w:val="none" w:sz="0" w:space="0" w:color="auto"/>
                        <w:bottom w:val="none" w:sz="0" w:space="0" w:color="auto"/>
                        <w:right w:val="none" w:sz="0" w:space="0" w:color="auto"/>
                      </w:divBdr>
                    </w:div>
                  </w:divsChild>
                </w:div>
                <w:div w:id="988948681">
                  <w:marLeft w:val="0"/>
                  <w:marRight w:val="0"/>
                  <w:marTop w:val="0"/>
                  <w:marBottom w:val="0"/>
                  <w:divBdr>
                    <w:top w:val="none" w:sz="0" w:space="0" w:color="auto"/>
                    <w:left w:val="none" w:sz="0" w:space="0" w:color="auto"/>
                    <w:bottom w:val="none" w:sz="0" w:space="0" w:color="auto"/>
                    <w:right w:val="none" w:sz="0" w:space="0" w:color="auto"/>
                  </w:divBdr>
                  <w:divsChild>
                    <w:div w:id="1275018165">
                      <w:marLeft w:val="0"/>
                      <w:marRight w:val="0"/>
                      <w:marTop w:val="0"/>
                      <w:marBottom w:val="0"/>
                      <w:divBdr>
                        <w:top w:val="none" w:sz="0" w:space="0" w:color="auto"/>
                        <w:left w:val="none" w:sz="0" w:space="0" w:color="auto"/>
                        <w:bottom w:val="none" w:sz="0" w:space="0" w:color="auto"/>
                        <w:right w:val="none" w:sz="0" w:space="0" w:color="auto"/>
                      </w:divBdr>
                    </w:div>
                  </w:divsChild>
                </w:div>
                <w:div w:id="990670583">
                  <w:marLeft w:val="0"/>
                  <w:marRight w:val="0"/>
                  <w:marTop w:val="0"/>
                  <w:marBottom w:val="0"/>
                  <w:divBdr>
                    <w:top w:val="none" w:sz="0" w:space="0" w:color="auto"/>
                    <w:left w:val="none" w:sz="0" w:space="0" w:color="auto"/>
                    <w:bottom w:val="none" w:sz="0" w:space="0" w:color="auto"/>
                    <w:right w:val="none" w:sz="0" w:space="0" w:color="auto"/>
                  </w:divBdr>
                  <w:divsChild>
                    <w:div w:id="1209993191">
                      <w:marLeft w:val="0"/>
                      <w:marRight w:val="0"/>
                      <w:marTop w:val="0"/>
                      <w:marBottom w:val="0"/>
                      <w:divBdr>
                        <w:top w:val="none" w:sz="0" w:space="0" w:color="auto"/>
                        <w:left w:val="none" w:sz="0" w:space="0" w:color="auto"/>
                        <w:bottom w:val="none" w:sz="0" w:space="0" w:color="auto"/>
                        <w:right w:val="none" w:sz="0" w:space="0" w:color="auto"/>
                      </w:divBdr>
                    </w:div>
                  </w:divsChild>
                </w:div>
                <w:div w:id="1007635683">
                  <w:marLeft w:val="0"/>
                  <w:marRight w:val="0"/>
                  <w:marTop w:val="0"/>
                  <w:marBottom w:val="0"/>
                  <w:divBdr>
                    <w:top w:val="none" w:sz="0" w:space="0" w:color="auto"/>
                    <w:left w:val="none" w:sz="0" w:space="0" w:color="auto"/>
                    <w:bottom w:val="none" w:sz="0" w:space="0" w:color="auto"/>
                    <w:right w:val="none" w:sz="0" w:space="0" w:color="auto"/>
                  </w:divBdr>
                  <w:divsChild>
                    <w:div w:id="1035497401">
                      <w:marLeft w:val="0"/>
                      <w:marRight w:val="0"/>
                      <w:marTop w:val="0"/>
                      <w:marBottom w:val="0"/>
                      <w:divBdr>
                        <w:top w:val="none" w:sz="0" w:space="0" w:color="auto"/>
                        <w:left w:val="none" w:sz="0" w:space="0" w:color="auto"/>
                        <w:bottom w:val="none" w:sz="0" w:space="0" w:color="auto"/>
                        <w:right w:val="none" w:sz="0" w:space="0" w:color="auto"/>
                      </w:divBdr>
                    </w:div>
                  </w:divsChild>
                </w:div>
                <w:div w:id="1010185337">
                  <w:marLeft w:val="0"/>
                  <w:marRight w:val="0"/>
                  <w:marTop w:val="0"/>
                  <w:marBottom w:val="0"/>
                  <w:divBdr>
                    <w:top w:val="none" w:sz="0" w:space="0" w:color="auto"/>
                    <w:left w:val="none" w:sz="0" w:space="0" w:color="auto"/>
                    <w:bottom w:val="none" w:sz="0" w:space="0" w:color="auto"/>
                    <w:right w:val="none" w:sz="0" w:space="0" w:color="auto"/>
                  </w:divBdr>
                  <w:divsChild>
                    <w:div w:id="1154833453">
                      <w:marLeft w:val="0"/>
                      <w:marRight w:val="0"/>
                      <w:marTop w:val="0"/>
                      <w:marBottom w:val="0"/>
                      <w:divBdr>
                        <w:top w:val="none" w:sz="0" w:space="0" w:color="auto"/>
                        <w:left w:val="none" w:sz="0" w:space="0" w:color="auto"/>
                        <w:bottom w:val="none" w:sz="0" w:space="0" w:color="auto"/>
                        <w:right w:val="none" w:sz="0" w:space="0" w:color="auto"/>
                      </w:divBdr>
                    </w:div>
                  </w:divsChild>
                </w:div>
                <w:div w:id="1020472766">
                  <w:marLeft w:val="0"/>
                  <w:marRight w:val="0"/>
                  <w:marTop w:val="0"/>
                  <w:marBottom w:val="0"/>
                  <w:divBdr>
                    <w:top w:val="none" w:sz="0" w:space="0" w:color="auto"/>
                    <w:left w:val="none" w:sz="0" w:space="0" w:color="auto"/>
                    <w:bottom w:val="none" w:sz="0" w:space="0" w:color="auto"/>
                    <w:right w:val="none" w:sz="0" w:space="0" w:color="auto"/>
                  </w:divBdr>
                  <w:divsChild>
                    <w:div w:id="611715905">
                      <w:marLeft w:val="0"/>
                      <w:marRight w:val="0"/>
                      <w:marTop w:val="0"/>
                      <w:marBottom w:val="0"/>
                      <w:divBdr>
                        <w:top w:val="none" w:sz="0" w:space="0" w:color="auto"/>
                        <w:left w:val="none" w:sz="0" w:space="0" w:color="auto"/>
                        <w:bottom w:val="none" w:sz="0" w:space="0" w:color="auto"/>
                        <w:right w:val="none" w:sz="0" w:space="0" w:color="auto"/>
                      </w:divBdr>
                    </w:div>
                  </w:divsChild>
                </w:div>
                <w:div w:id="1030960679">
                  <w:marLeft w:val="0"/>
                  <w:marRight w:val="0"/>
                  <w:marTop w:val="0"/>
                  <w:marBottom w:val="0"/>
                  <w:divBdr>
                    <w:top w:val="none" w:sz="0" w:space="0" w:color="auto"/>
                    <w:left w:val="none" w:sz="0" w:space="0" w:color="auto"/>
                    <w:bottom w:val="none" w:sz="0" w:space="0" w:color="auto"/>
                    <w:right w:val="none" w:sz="0" w:space="0" w:color="auto"/>
                  </w:divBdr>
                  <w:divsChild>
                    <w:div w:id="1427921140">
                      <w:marLeft w:val="0"/>
                      <w:marRight w:val="0"/>
                      <w:marTop w:val="0"/>
                      <w:marBottom w:val="0"/>
                      <w:divBdr>
                        <w:top w:val="none" w:sz="0" w:space="0" w:color="auto"/>
                        <w:left w:val="none" w:sz="0" w:space="0" w:color="auto"/>
                        <w:bottom w:val="none" w:sz="0" w:space="0" w:color="auto"/>
                        <w:right w:val="none" w:sz="0" w:space="0" w:color="auto"/>
                      </w:divBdr>
                    </w:div>
                  </w:divsChild>
                </w:div>
                <w:div w:id="1031684504">
                  <w:marLeft w:val="0"/>
                  <w:marRight w:val="0"/>
                  <w:marTop w:val="0"/>
                  <w:marBottom w:val="0"/>
                  <w:divBdr>
                    <w:top w:val="none" w:sz="0" w:space="0" w:color="auto"/>
                    <w:left w:val="none" w:sz="0" w:space="0" w:color="auto"/>
                    <w:bottom w:val="none" w:sz="0" w:space="0" w:color="auto"/>
                    <w:right w:val="none" w:sz="0" w:space="0" w:color="auto"/>
                  </w:divBdr>
                  <w:divsChild>
                    <w:div w:id="144322381">
                      <w:marLeft w:val="0"/>
                      <w:marRight w:val="0"/>
                      <w:marTop w:val="0"/>
                      <w:marBottom w:val="0"/>
                      <w:divBdr>
                        <w:top w:val="none" w:sz="0" w:space="0" w:color="auto"/>
                        <w:left w:val="none" w:sz="0" w:space="0" w:color="auto"/>
                        <w:bottom w:val="none" w:sz="0" w:space="0" w:color="auto"/>
                        <w:right w:val="none" w:sz="0" w:space="0" w:color="auto"/>
                      </w:divBdr>
                    </w:div>
                  </w:divsChild>
                </w:div>
                <w:div w:id="1032805063">
                  <w:marLeft w:val="0"/>
                  <w:marRight w:val="0"/>
                  <w:marTop w:val="0"/>
                  <w:marBottom w:val="0"/>
                  <w:divBdr>
                    <w:top w:val="none" w:sz="0" w:space="0" w:color="auto"/>
                    <w:left w:val="none" w:sz="0" w:space="0" w:color="auto"/>
                    <w:bottom w:val="none" w:sz="0" w:space="0" w:color="auto"/>
                    <w:right w:val="none" w:sz="0" w:space="0" w:color="auto"/>
                  </w:divBdr>
                  <w:divsChild>
                    <w:div w:id="1940020359">
                      <w:marLeft w:val="0"/>
                      <w:marRight w:val="0"/>
                      <w:marTop w:val="0"/>
                      <w:marBottom w:val="0"/>
                      <w:divBdr>
                        <w:top w:val="none" w:sz="0" w:space="0" w:color="auto"/>
                        <w:left w:val="none" w:sz="0" w:space="0" w:color="auto"/>
                        <w:bottom w:val="none" w:sz="0" w:space="0" w:color="auto"/>
                        <w:right w:val="none" w:sz="0" w:space="0" w:color="auto"/>
                      </w:divBdr>
                    </w:div>
                  </w:divsChild>
                </w:div>
                <w:div w:id="1055003866">
                  <w:marLeft w:val="0"/>
                  <w:marRight w:val="0"/>
                  <w:marTop w:val="0"/>
                  <w:marBottom w:val="0"/>
                  <w:divBdr>
                    <w:top w:val="none" w:sz="0" w:space="0" w:color="auto"/>
                    <w:left w:val="none" w:sz="0" w:space="0" w:color="auto"/>
                    <w:bottom w:val="none" w:sz="0" w:space="0" w:color="auto"/>
                    <w:right w:val="none" w:sz="0" w:space="0" w:color="auto"/>
                  </w:divBdr>
                  <w:divsChild>
                    <w:div w:id="284165355">
                      <w:marLeft w:val="0"/>
                      <w:marRight w:val="0"/>
                      <w:marTop w:val="0"/>
                      <w:marBottom w:val="0"/>
                      <w:divBdr>
                        <w:top w:val="none" w:sz="0" w:space="0" w:color="auto"/>
                        <w:left w:val="none" w:sz="0" w:space="0" w:color="auto"/>
                        <w:bottom w:val="none" w:sz="0" w:space="0" w:color="auto"/>
                        <w:right w:val="none" w:sz="0" w:space="0" w:color="auto"/>
                      </w:divBdr>
                    </w:div>
                  </w:divsChild>
                </w:div>
                <w:div w:id="1062216409">
                  <w:marLeft w:val="0"/>
                  <w:marRight w:val="0"/>
                  <w:marTop w:val="0"/>
                  <w:marBottom w:val="0"/>
                  <w:divBdr>
                    <w:top w:val="none" w:sz="0" w:space="0" w:color="auto"/>
                    <w:left w:val="none" w:sz="0" w:space="0" w:color="auto"/>
                    <w:bottom w:val="none" w:sz="0" w:space="0" w:color="auto"/>
                    <w:right w:val="none" w:sz="0" w:space="0" w:color="auto"/>
                  </w:divBdr>
                  <w:divsChild>
                    <w:div w:id="1561093829">
                      <w:marLeft w:val="0"/>
                      <w:marRight w:val="0"/>
                      <w:marTop w:val="0"/>
                      <w:marBottom w:val="0"/>
                      <w:divBdr>
                        <w:top w:val="none" w:sz="0" w:space="0" w:color="auto"/>
                        <w:left w:val="none" w:sz="0" w:space="0" w:color="auto"/>
                        <w:bottom w:val="none" w:sz="0" w:space="0" w:color="auto"/>
                        <w:right w:val="none" w:sz="0" w:space="0" w:color="auto"/>
                      </w:divBdr>
                    </w:div>
                  </w:divsChild>
                </w:div>
                <w:div w:id="1065107329">
                  <w:marLeft w:val="0"/>
                  <w:marRight w:val="0"/>
                  <w:marTop w:val="0"/>
                  <w:marBottom w:val="0"/>
                  <w:divBdr>
                    <w:top w:val="none" w:sz="0" w:space="0" w:color="auto"/>
                    <w:left w:val="none" w:sz="0" w:space="0" w:color="auto"/>
                    <w:bottom w:val="none" w:sz="0" w:space="0" w:color="auto"/>
                    <w:right w:val="none" w:sz="0" w:space="0" w:color="auto"/>
                  </w:divBdr>
                  <w:divsChild>
                    <w:div w:id="1491098268">
                      <w:marLeft w:val="0"/>
                      <w:marRight w:val="0"/>
                      <w:marTop w:val="0"/>
                      <w:marBottom w:val="0"/>
                      <w:divBdr>
                        <w:top w:val="none" w:sz="0" w:space="0" w:color="auto"/>
                        <w:left w:val="none" w:sz="0" w:space="0" w:color="auto"/>
                        <w:bottom w:val="none" w:sz="0" w:space="0" w:color="auto"/>
                        <w:right w:val="none" w:sz="0" w:space="0" w:color="auto"/>
                      </w:divBdr>
                    </w:div>
                  </w:divsChild>
                </w:div>
                <w:div w:id="1065496581">
                  <w:marLeft w:val="0"/>
                  <w:marRight w:val="0"/>
                  <w:marTop w:val="0"/>
                  <w:marBottom w:val="0"/>
                  <w:divBdr>
                    <w:top w:val="none" w:sz="0" w:space="0" w:color="auto"/>
                    <w:left w:val="none" w:sz="0" w:space="0" w:color="auto"/>
                    <w:bottom w:val="none" w:sz="0" w:space="0" w:color="auto"/>
                    <w:right w:val="none" w:sz="0" w:space="0" w:color="auto"/>
                  </w:divBdr>
                  <w:divsChild>
                    <w:div w:id="687218098">
                      <w:marLeft w:val="0"/>
                      <w:marRight w:val="0"/>
                      <w:marTop w:val="0"/>
                      <w:marBottom w:val="0"/>
                      <w:divBdr>
                        <w:top w:val="none" w:sz="0" w:space="0" w:color="auto"/>
                        <w:left w:val="none" w:sz="0" w:space="0" w:color="auto"/>
                        <w:bottom w:val="none" w:sz="0" w:space="0" w:color="auto"/>
                        <w:right w:val="none" w:sz="0" w:space="0" w:color="auto"/>
                      </w:divBdr>
                    </w:div>
                  </w:divsChild>
                </w:div>
                <w:div w:id="1091123867">
                  <w:marLeft w:val="0"/>
                  <w:marRight w:val="0"/>
                  <w:marTop w:val="0"/>
                  <w:marBottom w:val="0"/>
                  <w:divBdr>
                    <w:top w:val="none" w:sz="0" w:space="0" w:color="auto"/>
                    <w:left w:val="none" w:sz="0" w:space="0" w:color="auto"/>
                    <w:bottom w:val="none" w:sz="0" w:space="0" w:color="auto"/>
                    <w:right w:val="none" w:sz="0" w:space="0" w:color="auto"/>
                  </w:divBdr>
                  <w:divsChild>
                    <w:div w:id="504323894">
                      <w:marLeft w:val="0"/>
                      <w:marRight w:val="0"/>
                      <w:marTop w:val="0"/>
                      <w:marBottom w:val="0"/>
                      <w:divBdr>
                        <w:top w:val="none" w:sz="0" w:space="0" w:color="auto"/>
                        <w:left w:val="none" w:sz="0" w:space="0" w:color="auto"/>
                        <w:bottom w:val="none" w:sz="0" w:space="0" w:color="auto"/>
                        <w:right w:val="none" w:sz="0" w:space="0" w:color="auto"/>
                      </w:divBdr>
                    </w:div>
                  </w:divsChild>
                </w:div>
                <w:div w:id="1098719241">
                  <w:marLeft w:val="0"/>
                  <w:marRight w:val="0"/>
                  <w:marTop w:val="0"/>
                  <w:marBottom w:val="0"/>
                  <w:divBdr>
                    <w:top w:val="none" w:sz="0" w:space="0" w:color="auto"/>
                    <w:left w:val="none" w:sz="0" w:space="0" w:color="auto"/>
                    <w:bottom w:val="none" w:sz="0" w:space="0" w:color="auto"/>
                    <w:right w:val="none" w:sz="0" w:space="0" w:color="auto"/>
                  </w:divBdr>
                  <w:divsChild>
                    <w:div w:id="1231968210">
                      <w:marLeft w:val="0"/>
                      <w:marRight w:val="0"/>
                      <w:marTop w:val="0"/>
                      <w:marBottom w:val="0"/>
                      <w:divBdr>
                        <w:top w:val="none" w:sz="0" w:space="0" w:color="auto"/>
                        <w:left w:val="none" w:sz="0" w:space="0" w:color="auto"/>
                        <w:bottom w:val="none" w:sz="0" w:space="0" w:color="auto"/>
                        <w:right w:val="none" w:sz="0" w:space="0" w:color="auto"/>
                      </w:divBdr>
                    </w:div>
                  </w:divsChild>
                </w:div>
                <w:div w:id="1125809336">
                  <w:marLeft w:val="0"/>
                  <w:marRight w:val="0"/>
                  <w:marTop w:val="0"/>
                  <w:marBottom w:val="0"/>
                  <w:divBdr>
                    <w:top w:val="none" w:sz="0" w:space="0" w:color="auto"/>
                    <w:left w:val="none" w:sz="0" w:space="0" w:color="auto"/>
                    <w:bottom w:val="none" w:sz="0" w:space="0" w:color="auto"/>
                    <w:right w:val="none" w:sz="0" w:space="0" w:color="auto"/>
                  </w:divBdr>
                  <w:divsChild>
                    <w:div w:id="67114685">
                      <w:marLeft w:val="0"/>
                      <w:marRight w:val="0"/>
                      <w:marTop w:val="0"/>
                      <w:marBottom w:val="0"/>
                      <w:divBdr>
                        <w:top w:val="none" w:sz="0" w:space="0" w:color="auto"/>
                        <w:left w:val="none" w:sz="0" w:space="0" w:color="auto"/>
                        <w:bottom w:val="none" w:sz="0" w:space="0" w:color="auto"/>
                        <w:right w:val="none" w:sz="0" w:space="0" w:color="auto"/>
                      </w:divBdr>
                    </w:div>
                    <w:div w:id="106773631">
                      <w:marLeft w:val="0"/>
                      <w:marRight w:val="0"/>
                      <w:marTop w:val="0"/>
                      <w:marBottom w:val="0"/>
                      <w:divBdr>
                        <w:top w:val="none" w:sz="0" w:space="0" w:color="auto"/>
                        <w:left w:val="none" w:sz="0" w:space="0" w:color="auto"/>
                        <w:bottom w:val="none" w:sz="0" w:space="0" w:color="auto"/>
                        <w:right w:val="none" w:sz="0" w:space="0" w:color="auto"/>
                      </w:divBdr>
                    </w:div>
                    <w:div w:id="270548951">
                      <w:marLeft w:val="0"/>
                      <w:marRight w:val="0"/>
                      <w:marTop w:val="0"/>
                      <w:marBottom w:val="0"/>
                      <w:divBdr>
                        <w:top w:val="none" w:sz="0" w:space="0" w:color="auto"/>
                        <w:left w:val="none" w:sz="0" w:space="0" w:color="auto"/>
                        <w:bottom w:val="none" w:sz="0" w:space="0" w:color="auto"/>
                        <w:right w:val="none" w:sz="0" w:space="0" w:color="auto"/>
                      </w:divBdr>
                    </w:div>
                    <w:div w:id="911086046">
                      <w:marLeft w:val="0"/>
                      <w:marRight w:val="0"/>
                      <w:marTop w:val="0"/>
                      <w:marBottom w:val="0"/>
                      <w:divBdr>
                        <w:top w:val="none" w:sz="0" w:space="0" w:color="auto"/>
                        <w:left w:val="none" w:sz="0" w:space="0" w:color="auto"/>
                        <w:bottom w:val="none" w:sz="0" w:space="0" w:color="auto"/>
                        <w:right w:val="none" w:sz="0" w:space="0" w:color="auto"/>
                      </w:divBdr>
                    </w:div>
                    <w:div w:id="1732270594">
                      <w:marLeft w:val="0"/>
                      <w:marRight w:val="0"/>
                      <w:marTop w:val="0"/>
                      <w:marBottom w:val="0"/>
                      <w:divBdr>
                        <w:top w:val="none" w:sz="0" w:space="0" w:color="auto"/>
                        <w:left w:val="none" w:sz="0" w:space="0" w:color="auto"/>
                        <w:bottom w:val="none" w:sz="0" w:space="0" w:color="auto"/>
                        <w:right w:val="none" w:sz="0" w:space="0" w:color="auto"/>
                      </w:divBdr>
                    </w:div>
                    <w:div w:id="1755013893">
                      <w:marLeft w:val="0"/>
                      <w:marRight w:val="0"/>
                      <w:marTop w:val="0"/>
                      <w:marBottom w:val="0"/>
                      <w:divBdr>
                        <w:top w:val="none" w:sz="0" w:space="0" w:color="auto"/>
                        <w:left w:val="none" w:sz="0" w:space="0" w:color="auto"/>
                        <w:bottom w:val="none" w:sz="0" w:space="0" w:color="auto"/>
                        <w:right w:val="none" w:sz="0" w:space="0" w:color="auto"/>
                      </w:divBdr>
                    </w:div>
                    <w:div w:id="1821998995">
                      <w:marLeft w:val="0"/>
                      <w:marRight w:val="0"/>
                      <w:marTop w:val="0"/>
                      <w:marBottom w:val="0"/>
                      <w:divBdr>
                        <w:top w:val="none" w:sz="0" w:space="0" w:color="auto"/>
                        <w:left w:val="none" w:sz="0" w:space="0" w:color="auto"/>
                        <w:bottom w:val="none" w:sz="0" w:space="0" w:color="auto"/>
                        <w:right w:val="none" w:sz="0" w:space="0" w:color="auto"/>
                      </w:divBdr>
                    </w:div>
                    <w:div w:id="2080050470">
                      <w:marLeft w:val="0"/>
                      <w:marRight w:val="0"/>
                      <w:marTop w:val="0"/>
                      <w:marBottom w:val="0"/>
                      <w:divBdr>
                        <w:top w:val="none" w:sz="0" w:space="0" w:color="auto"/>
                        <w:left w:val="none" w:sz="0" w:space="0" w:color="auto"/>
                        <w:bottom w:val="none" w:sz="0" w:space="0" w:color="auto"/>
                        <w:right w:val="none" w:sz="0" w:space="0" w:color="auto"/>
                      </w:divBdr>
                    </w:div>
                  </w:divsChild>
                </w:div>
                <w:div w:id="1161584048">
                  <w:marLeft w:val="0"/>
                  <w:marRight w:val="0"/>
                  <w:marTop w:val="0"/>
                  <w:marBottom w:val="0"/>
                  <w:divBdr>
                    <w:top w:val="none" w:sz="0" w:space="0" w:color="auto"/>
                    <w:left w:val="none" w:sz="0" w:space="0" w:color="auto"/>
                    <w:bottom w:val="none" w:sz="0" w:space="0" w:color="auto"/>
                    <w:right w:val="none" w:sz="0" w:space="0" w:color="auto"/>
                  </w:divBdr>
                  <w:divsChild>
                    <w:div w:id="324670287">
                      <w:marLeft w:val="0"/>
                      <w:marRight w:val="0"/>
                      <w:marTop w:val="0"/>
                      <w:marBottom w:val="0"/>
                      <w:divBdr>
                        <w:top w:val="none" w:sz="0" w:space="0" w:color="auto"/>
                        <w:left w:val="none" w:sz="0" w:space="0" w:color="auto"/>
                        <w:bottom w:val="none" w:sz="0" w:space="0" w:color="auto"/>
                        <w:right w:val="none" w:sz="0" w:space="0" w:color="auto"/>
                      </w:divBdr>
                    </w:div>
                  </w:divsChild>
                </w:div>
                <w:div w:id="1168132375">
                  <w:marLeft w:val="0"/>
                  <w:marRight w:val="0"/>
                  <w:marTop w:val="0"/>
                  <w:marBottom w:val="0"/>
                  <w:divBdr>
                    <w:top w:val="none" w:sz="0" w:space="0" w:color="auto"/>
                    <w:left w:val="none" w:sz="0" w:space="0" w:color="auto"/>
                    <w:bottom w:val="none" w:sz="0" w:space="0" w:color="auto"/>
                    <w:right w:val="none" w:sz="0" w:space="0" w:color="auto"/>
                  </w:divBdr>
                  <w:divsChild>
                    <w:div w:id="661158158">
                      <w:marLeft w:val="0"/>
                      <w:marRight w:val="0"/>
                      <w:marTop w:val="0"/>
                      <w:marBottom w:val="0"/>
                      <w:divBdr>
                        <w:top w:val="none" w:sz="0" w:space="0" w:color="auto"/>
                        <w:left w:val="none" w:sz="0" w:space="0" w:color="auto"/>
                        <w:bottom w:val="none" w:sz="0" w:space="0" w:color="auto"/>
                        <w:right w:val="none" w:sz="0" w:space="0" w:color="auto"/>
                      </w:divBdr>
                    </w:div>
                  </w:divsChild>
                </w:div>
                <w:div w:id="1184394407">
                  <w:marLeft w:val="0"/>
                  <w:marRight w:val="0"/>
                  <w:marTop w:val="0"/>
                  <w:marBottom w:val="0"/>
                  <w:divBdr>
                    <w:top w:val="none" w:sz="0" w:space="0" w:color="auto"/>
                    <w:left w:val="none" w:sz="0" w:space="0" w:color="auto"/>
                    <w:bottom w:val="none" w:sz="0" w:space="0" w:color="auto"/>
                    <w:right w:val="none" w:sz="0" w:space="0" w:color="auto"/>
                  </w:divBdr>
                  <w:divsChild>
                    <w:div w:id="251201761">
                      <w:marLeft w:val="0"/>
                      <w:marRight w:val="0"/>
                      <w:marTop w:val="0"/>
                      <w:marBottom w:val="0"/>
                      <w:divBdr>
                        <w:top w:val="none" w:sz="0" w:space="0" w:color="auto"/>
                        <w:left w:val="none" w:sz="0" w:space="0" w:color="auto"/>
                        <w:bottom w:val="none" w:sz="0" w:space="0" w:color="auto"/>
                        <w:right w:val="none" w:sz="0" w:space="0" w:color="auto"/>
                      </w:divBdr>
                    </w:div>
                    <w:div w:id="503982178">
                      <w:marLeft w:val="0"/>
                      <w:marRight w:val="0"/>
                      <w:marTop w:val="0"/>
                      <w:marBottom w:val="0"/>
                      <w:divBdr>
                        <w:top w:val="none" w:sz="0" w:space="0" w:color="auto"/>
                        <w:left w:val="none" w:sz="0" w:space="0" w:color="auto"/>
                        <w:bottom w:val="none" w:sz="0" w:space="0" w:color="auto"/>
                        <w:right w:val="none" w:sz="0" w:space="0" w:color="auto"/>
                      </w:divBdr>
                    </w:div>
                    <w:div w:id="540678987">
                      <w:marLeft w:val="0"/>
                      <w:marRight w:val="0"/>
                      <w:marTop w:val="0"/>
                      <w:marBottom w:val="0"/>
                      <w:divBdr>
                        <w:top w:val="none" w:sz="0" w:space="0" w:color="auto"/>
                        <w:left w:val="none" w:sz="0" w:space="0" w:color="auto"/>
                        <w:bottom w:val="none" w:sz="0" w:space="0" w:color="auto"/>
                        <w:right w:val="none" w:sz="0" w:space="0" w:color="auto"/>
                      </w:divBdr>
                    </w:div>
                    <w:div w:id="1323318249">
                      <w:marLeft w:val="0"/>
                      <w:marRight w:val="0"/>
                      <w:marTop w:val="0"/>
                      <w:marBottom w:val="0"/>
                      <w:divBdr>
                        <w:top w:val="none" w:sz="0" w:space="0" w:color="auto"/>
                        <w:left w:val="none" w:sz="0" w:space="0" w:color="auto"/>
                        <w:bottom w:val="none" w:sz="0" w:space="0" w:color="auto"/>
                        <w:right w:val="none" w:sz="0" w:space="0" w:color="auto"/>
                      </w:divBdr>
                    </w:div>
                    <w:div w:id="1395932267">
                      <w:marLeft w:val="0"/>
                      <w:marRight w:val="0"/>
                      <w:marTop w:val="0"/>
                      <w:marBottom w:val="0"/>
                      <w:divBdr>
                        <w:top w:val="none" w:sz="0" w:space="0" w:color="auto"/>
                        <w:left w:val="none" w:sz="0" w:space="0" w:color="auto"/>
                        <w:bottom w:val="none" w:sz="0" w:space="0" w:color="auto"/>
                        <w:right w:val="none" w:sz="0" w:space="0" w:color="auto"/>
                      </w:divBdr>
                    </w:div>
                    <w:div w:id="2092266371">
                      <w:marLeft w:val="0"/>
                      <w:marRight w:val="0"/>
                      <w:marTop w:val="0"/>
                      <w:marBottom w:val="0"/>
                      <w:divBdr>
                        <w:top w:val="none" w:sz="0" w:space="0" w:color="auto"/>
                        <w:left w:val="none" w:sz="0" w:space="0" w:color="auto"/>
                        <w:bottom w:val="none" w:sz="0" w:space="0" w:color="auto"/>
                        <w:right w:val="none" w:sz="0" w:space="0" w:color="auto"/>
                      </w:divBdr>
                    </w:div>
                    <w:div w:id="2144417995">
                      <w:marLeft w:val="0"/>
                      <w:marRight w:val="0"/>
                      <w:marTop w:val="0"/>
                      <w:marBottom w:val="0"/>
                      <w:divBdr>
                        <w:top w:val="none" w:sz="0" w:space="0" w:color="auto"/>
                        <w:left w:val="none" w:sz="0" w:space="0" w:color="auto"/>
                        <w:bottom w:val="none" w:sz="0" w:space="0" w:color="auto"/>
                        <w:right w:val="none" w:sz="0" w:space="0" w:color="auto"/>
                      </w:divBdr>
                    </w:div>
                  </w:divsChild>
                </w:div>
                <w:div w:id="1192375882">
                  <w:marLeft w:val="0"/>
                  <w:marRight w:val="0"/>
                  <w:marTop w:val="0"/>
                  <w:marBottom w:val="0"/>
                  <w:divBdr>
                    <w:top w:val="none" w:sz="0" w:space="0" w:color="auto"/>
                    <w:left w:val="none" w:sz="0" w:space="0" w:color="auto"/>
                    <w:bottom w:val="none" w:sz="0" w:space="0" w:color="auto"/>
                    <w:right w:val="none" w:sz="0" w:space="0" w:color="auto"/>
                  </w:divBdr>
                  <w:divsChild>
                    <w:div w:id="973830861">
                      <w:marLeft w:val="0"/>
                      <w:marRight w:val="0"/>
                      <w:marTop w:val="0"/>
                      <w:marBottom w:val="0"/>
                      <w:divBdr>
                        <w:top w:val="none" w:sz="0" w:space="0" w:color="auto"/>
                        <w:left w:val="none" w:sz="0" w:space="0" w:color="auto"/>
                        <w:bottom w:val="none" w:sz="0" w:space="0" w:color="auto"/>
                        <w:right w:val="none" w:sz="0" w:space="0" w:color="auto"/>
                      </w:divBdr>
                    </w:div>
                  </w:divsChild>
                </w:div>
                <w:div w:id="1219783763">
                  <w:marLeft w:val="0"/>
                  <w:marRight w:val="0"/>
                  <w:marTop w:val="0"/>
                  <w:marBottom w:val="0"/>
                  <w:divBdr>
                    <w:top w:val="none" w:sz="0" w:space="0" w:color="auto"/>
                    <w:left w:val="none" w:sz="0" w:space="0" w:color="auto"/>
                    <w:bottom w:val="none" w:sz="0" w:space="0" w:color="auto"/>
                    <w:right w:val="none" w:sz="0" w:space="0" w:color="auto"/>
                  </w:divBdr>
                  <w:divsChild>
                    <w:div w:id="244609353">
                      <w:marLeft w:val="0"/>
                      <w:marRight w:val="0"/>
                      <w:marTop w:val="0"/>
                      <w:marBottom w:val="0"/>
                      <w:divBdr>
                        <w:top w:val="none" w:sz="0" w:space="0" w:color="auto"/>
                        <w:left w:val="none" w:sz="0" w:space="0" w:color="auto"/>
                        <w:bottom w:val="none" w:sz="0" w:space="0" w:color="auto"/>
                        <w:right w:val="none" w:sz="0" w:space="0" w:color="auto"/>
                      </w:divBdr>
                    </w:div>
                    <w:div w:id="430704002">
                      <w:marLeft w:val="0"/>
                      <w:marRight w:val="0"/>
                      <w:marTop w:val="0"/>
                      <w:marBottom w:val="0"/>
                      <w:divBdr>
                        <w:top w:val="none" w:sz="0" w:space="0" w:color="auto"/>
                        <w:left w:val="none" w:sz="0" w:space="0" w:color="auto"/>
                        <w:bottom w:val="none" w:sz="0" w:space="0" w:color="auto"/>
                        <w:right w:val="none" w:sz="0" w:space="0" w:color="auto"/>
                      </w:divBdr>
                    </w:div>
                    <w:div w:id="687096139">
                      <w:marLeft w:val="0"/>
                      <w:marRight w:val="0"/>
                      <w:marTop w:val="0"/>
                      <w:marBottom w:val="0"/>
                      <w:divBdr>
                        <w:top w:val="none" w:sz="0" w:space="0" w:color="auto"/>
                        <w:left w:val="none" w:sz="0" w:space="0" w:color="auto"/>
                        <w:bottom w:val="none" w:sz="0" w:space="0" w:color="auto"/>
                        <w:right w:val="none" w:sz="0" w:space="0" w:color="auto"/>
                      </w:divBdr>
                    </w:div>
                    <w:div w:id="729620695">
                      <w:marLeft w:val="0"/>
                      <w:marRight w:val="0"/>
                      <w:marTop w:val="0"/>
                      <w:marBottom w:val="0"/>
                      <w:divBdr>
                        <w:top w:val="none" w:sz="0" w:space="0" w:color="auto"/>
                        <w:left w:val="none" w:sz="0" w:space="0" w:color="auto"/>
                        <w:bottom w:val="none" w:sz="0" w:space="0" w:color="auto"/>
                        <w:right w:val="none" w:sz="0" w:space="0" w:color="auto"/>
                      </w:divBdr>
                    </w:div>
                    <w:div w:id="1103262335">
                      <w:marLeft w:val="0"/>
                      <w:marRight w:val="0"/>
                      <w:marTop w:val="0"/>
                      <w:marBottom w:val="0"/>
                      <w:divBdr>
                        <w:top w:val="none" w:sz="0" w:space="0" w:color="auto"/>
                        <w:left w:val="none" w:sz="0" w:space="0" w:color="auto"/>
                        <w:bottom w:val="none" w:sz="0" w:space="0" w:color="auto"/>
                        <w:right w:val="none" w:sz="0" w:space="0" w:color="auto"/>
                      </w:divBdr>
                    </w:div>
                    <w:div w:id="1717123417">
                      <w:marLeft w:val="0"/>
                      <w:marRight w:val="0"/>
                      <w:marTop w:val="0"/>
                      <w:marBottom w:val="0"/>
                      <w:divBdr>
                        <w:top w:val="none" w:sz="0" w:space="0" w:color="auto"/>
                        <w:left w:val="none" w:sz="0" w:space="0" w:color="auto"/>
                        <w:bottom w:val="none" w:sz="0" w:space="0" w:color="auto"/>
                        <w:right w:val="none" w:sz="0" w:space="0" w:color="auto"/>
                      </w:divBdr>
                    </w:div>
                    <w:div w:id="2049257786">
                      <w:marLeft w:val="0"/>
                      <w:marRight w:val="0"/>
                      <w:marTop w:val="0"/>
                      <w:marBottom w:val="0"/>
                      <w:divBdr>
                        <w:top w:val="none" w:sz="0" w:space="0" w:color="auto"/>
                        <w:left w:val="none" w:sz="0" w:space="0" w:color="auto"/>
                        <w:bottom w:val="none" w:sz="0" w:space="0" w:color="auto"/>
                        <w:right w:val="none" w:sz="0" w:space="0" w:color="auto"/>
                      </w:divBdr>
                    </w:div>
                  </w:divsChild>
                </w:div>
                <w:div w:id="1227960585">
                  <w:marLeft w:val="0"/>
                  <w:marRight w:val="0"/>
                  <w:marTop w:val="0"/>
                  <w:marBottom w:val="0"/>
                  <w:divBdr>
                    <w:top w:val="none" w:sz="0" w:space="0" w:color="auto"/>
                    <w:left w:val="none" w:sz="0" w:space="0" w:color="auto"/>
                    <w:bottom w:val="none" w:sz="0" w:space="0" w:color="auto"/>
                    <w:right w:val="none" w:sz="0" w:space="0" w:color="auto"/>
                  </w:divBdr>
                  <w:divsChild>
                    <w:div w:id="7562482">
                      <w:marLeft w:val="0"/>
                      <w:marRight w:val="0"/>
                      <w:marTop w:val="0"/>
                      <w:marBottom w:val="0"/>
                      <w:divBdr>
                        <w:top w:val="none" w:sz="0" w:space="0" w:color="auto"/>
                        <w:left w:val="none" w:sz="0" w:space="0" w:color="auto"/>
                        <w:bottom w:val="none" w:sz="0" w:space="0" w:color="auto"/>
                        <w:right w:val="none" w:sz="0" w:space="0" w:color="auto"/>
                      </w:divBdr>
                    </w:div>
                  </w:divsChild>
                </w:div>
                <w:div w:id="1242639005">
                  <w:marLeft w:val="0"/>
                  <w:marRight w:val="0"/>
                  <w:marTop w:val="0"/>
                  <w:marBottom w:val="0"/>
                  <w:divBdr>
                    <w:top w:val="none" w:sz="0" w:space="0" w:color="auto"/>
                    <w:left w:val="none" w:sz="0" w:space="0" w:color="auto"/>
                    <w:bottom w:val="none" w:sz="0" w:space="0" w:color="auto"/>
                    <w:right w:val="none" w:sz="0" w:space="0" w:color="auto"/>
                  </w:divBdr>
                  <w:divsChild>
                    <w:div w:id="1275753065">
                      <w:marLeft w:val="0"/>
                      <w:marRight w:val="0"/>
                      <w:marTop w:val="0"/>
                      <w:marBottom w:val="0"/>
                      <w:divBdr>
                        <w:top w:val="none" w:sz="0" w:space="0" w:color="auto"/>
                        <w:left w:val="none" w:sz="0" w:space="0" w:color="auto"/>
                        <w:bottom w:val="none" w:sz="0" w:space="0" w:color="auto"/>
                        <w:right w:val="none" w:sz="0" w:space="0" w:color="auto"/>
                      </w:divBdr>
                    </w:div>
                  </w:divsChild>
                </w:div>
                <w:div w:id="1254047866">
                  <w:marLeft w:val="0"/>
                  <w:marRight w:val="0"/>
                  <w:marTop w:val="0"/>
                  <w:marBottom w:val="0"/>
                  <w:divBdr>
                    <w:top w:val="none" w:sz="0" w:space="0" w:color="auto"/>
                    <w:left w:val="none" w:sz="0" w:space="0" w:color="auto"/>
                    <w:bottom w:val="none" w:sz="0" w:space="0" w:color="auto"/>
                    <w:right w:val="none" w:sz="0" w:space="0" w:color="auto"/>
                  </w:divBdr>
                  <w:divsChild>
                    <w:div w:id="1987398333">
                      <w:marLeft w:val="0"/>
                      <w:marRight w:val="0"/>
                      <w:marTop w:val="0"/>
                      <w:marBottom w:val="0"/>
                      <w:divBdr>
                        <w:top w:val="none" w:sz="0" w:space="0" w:color="auto"/>
                        <w:left w:val="none" w:sz="0" w:space="0" w:color="auto"/>
                        <w:bottom w:val="none" w:sz="0" w:space="0" w:color="auto"/>
                        <w:right w:val="none" w:sz="0" w:space="0" w:color="auto"/>
                      </w:divBdr>
                    </w:div>
                  </w:divsChild>
                </w:div>
                <w:div w:id="1260259978">
                  <w:marLeft w:val="0"/>
                  <w:marRight w:val="0"/>
                  <w:marTop w:val="0"/>
                  <w:marBottom w:val="0"/>
                  <w:divBdr>
                    <w:top w:val="none" w:sz="0" w:space="0" w:color="auto"/>
                    <w:left w:val="none" w:sz="0" w:space="0" w:color="auto"/>
                    <w:bottom w:val="none" w:sz="0" w:space="0" w:color="auto"/>
                    <w:right w:val="none" w:sz="0" w:space="0" w:color="auto"/>
                  </w:divBdr>
                  <w:divsChild>
                    <w:div w:id="1883398586">
                      <w:marLeft w:val="0"/>
                      <w:marRight w:val="0"/>
                      <w:marTop w:val="0"/>
                      <w:marBottom w:val="0"/>
                      <w:divBdr>
                        <w:top w:val="none" w:sz="0" w:space="0" w:color="auto"/>
                        <w:left w:val="none" w:sz="0" w:space="0" w:color="auto"/>
                        <w:bottom w:val="none" w:sz="0" w:space="0" w:color="auto"/>
                        <w:right w:val="none" w:sz="0" w:space="0" w:color="auto"/>
                      </w:divBdr>
                    </w:div>
                  </w:divsChild>
                </w:div>
                <w:div w:id="1263801011">
                  <w:marLeft w:val="0"/>
                  <w:marRight w:val="0"/>
                  <w:marTop w:val="0"/>
                  <w:marBottom w:val="0"/>
                  <w:divBdr>
                    <w:top w:val="none" w:sz="0" w:space="0" w:color="auto"/>
                    <w:left w:val="none" w:sz="0" w:space="0" w:color="auto"/>
                    <w:bottom w:val="none" w:sz="0" w:space="0" w:color="auto"/>
                    <w:right w:val="none" w:sz="0" w:space="0" w:color="auto"/>
                  </w:divBdr>
                  <w:divsChild>
                    <w:div w:id="242953925">
                      <w:marLeft w:val="0"/>
                      <w:marRight w:val="0"/>
                      <w:marTop w:val="0"/>
                      <w:marBottom w:val="0"/>
                      <w:divBdr>
                        <w:top w:val="none" w:sz="0" w:space="0" w:color="auto"/>
                        <w:left w:val="none" w:sz="0" w:space="0" w:color="auto"/>
                        <w:bottom w:val="none" w:sz="0" w:space="0" w:color="auto"/>
                        <w:right w:val="none" w:sz="0" w:space="0" w:color="auto"/>
                      </w:divBdr>
                    </w:div>
                  </w:divsChild>
                </w:div>
                <w:div w:id="1268152943">
                  <w:marLeft w:val="0"/>
                  <w:marRight w:val="0"/>
                  <w:marTop w:val="0"/>
                  <w:marBottom w:val="0"/>
                  <w:divBdr>
                    <w:top w:val="none" w:sz="0" w:space="0" w:color="auto"/>
                    <w:left w:val="none" w:sz="0" w:space="0" w:color="auto"/>
                    <w:bottom w:val="none" w:sz="0" w:space="0" w:color="auto"/>
                    <w:right w:val="none" w:sz="0" w:space="0" w:color="auto"/>
                  </w:divBdr>
                  <w:divsChild>
                    <w:div w:id="46808307">
                      <w:marLeft w:val="0"/>
                      <w:marRight w:val="0"/>
                      <w:marTop w:val="0"/>
                      <w:marBottom w:val="0"/>
                      <w:divBdr>
                        <w:top w:val="none" w:sz="0" w:space="0" w:color="auto"/>
                        <w:left w:val="none" w:sz="0" w:space="0" w:color="auto"/>
                        <w:bottom w:val="none" w:sz="0" w:space="0" w:color="auto"/>
                        <w:right w:val="none" w:sz="0" w:space="0" w:color="auto"/>
                      </w:divBdr>
                    </w:div>
                    <w:div w:id="682244277">
                      <w:marLeft w:val="0"/>
                      <w:marRight w:val="0"/>
                      <w:marTop w:val="0"/>
                      <w:marBottom w:val="0"/>
                      <w:divBdr>
                        <w:top w:val="none" w:sz="0" w:space="0" w:color="auto"/>
                        <w:left w:val="none" w:sz="0" w:space="0" w:color="auto"/>
                        <w:bottom w:val="none" w:sz="0" w:space="0" w:color="auto"/>
                        <w:right w:val="none" w:sz="0" w:space="0" w:color="auto"/>
                      </w:divBdr>
                    </w:div>
                    <w:div w:id="1167788276">
                      <w:marLeft w:val="0"/>
                      <w:marRight w:val="0"/>
                      <w:marTop w:val="0"/>
                      <w:marBottom w:val="0"/>
                      <w:divBdr>
                        <w:top w:val="none" w:sz="0" w:space="0" w:color="auto"/>
                        <w:left w:val="none" w:sz="0" w:space="0" w:color="auto"/>
                        <w:bottom w:val="none" w:sz="0" w:space="0" w:color="auto"/>
                        <w:right w:val="none" w:sz="0" w:space="0" w:color="auto"/>
                      </w:divBdr>
                    </w:div>
                    <w:div w:id="1419519063">
                      <w:marLeft w:val="0"/>
                      <w:marRight w:val="0"/>
                      <w:marTop w:val="0"/>
                      <w:marBottom w:val="0"/>
                      <w:divBdr>
                        <w:top w:val="none" w:sz="0" w:space="0" w:color="auto"/>
                        <w:left w:val="none" w:sz="0" w:space="0" w:color="auto"/>
                        <w:bottom w:val="none" w:sz="0" w:space="0" w:color="auto"/>
                        <w:right w:val="none" w:sz="0" w:space="0" w:color="auto"/>
                      </w:divBdr>
                    </w:div>
                    <w:div w:id="1615867532">
                      <w:marLeft w:val="0"/>
                      <w:marRight w:val="0"/>
                      <w:marTop w:val="0"/>
                      <w:marBottom w:val="0"/>
                      <w:divBdr>
                        <w:top w:val="none" w:sz="0" w:space="0" w:color="auto"/>
                        <w:left w:val="none" w:sz="0" w:space="0" w:color="auto"/>
                        <w:bottom w:val="none" w:sz="0" w:space="0" w:color="auto"/>
                        <w:right w:val="none" w:sz="0" w:space="0" w:color="auto"/>
                      </w:divBdr>
                    </w:div>
                    <w:div w:id="1955207008">
                      <w:marLeft w:val="0"/>
                      <w:marRight w:val="0"/>
                      <w:marTop w:val="0"/>
                      <w:marBottom w:val="0"/>
                      <w:divBdr>
                        <w:top w:val="none" w:sz="0" w:space="0" w:color="auto"/>
                        <w:left w:val="none" w:sz="0" w:space="0" w:color="auto"/>
                        <w:bottom w:val="none" w:sz="0" w:space="0" w:color="auto"/>
                        <w:right w:val="none" w:sz="0" w:space="0" w:color="auto"/>
                      </w:divBdr>
                    </w:div>
                  </w:divsChild>
                </w:div>
                <w:div w:id="1268587157">
                  <w:marLeft w:val="0"/>
                  <w:marRight w:val="0"/>
                  <w:marTop w:val="0"/>
                  <w:marBottom w:val="0"/>
                  <w:divBdr>
                    <w:top w:val="none" w:sz="0" w:space="0" w:color="auto"/>
                    <w:left w:val="none" w:sz="0" w:space="0" w:color="auto"/>
                    <w:bottom w:val="none" w:sz="0" w:space="0" w:color="auto"/>
                    <w:right w:val="none" w:sz="0" w:space="0" w:color="auto"/>
                  </w:divBdr>
                  <w:divsChild>
                    <w:div w:id="1909732664">
                      <w:marLeft w:val="0"/>
                      <w:marRight w:val="0"/>
                      <w:marTop w:val="0"/>
                      <w:marBottom w:val="0"/>
                      <w:divBdr>
                        <w:top w:val="none" w:sz="0" w:space="0" w:color="auto"/>
                        <w:left w:val="none" w:sz="0" w:space="0" w:color="auto"/>
                        <w:bottom w:val="none" w:sz="0" w:space="0" w:color="auto"/>
                        <w:right w:val="none" w:sz="0" w:space="0" w:color="auto"/>
                      </w:divBdr>
                    </w:div>
                  </w:divsChild>
                </w:div>
                <w:div w:id="1272979234">
                  <w:marLeft w:val="0"/>
                  <w:marRight w:val="0"/>
                  <w:marTop w:val="0"/>
                  <w:marBottom w:val="0"/>
                  <w:divBdr>
                    <w:top w:val="none" w:sz="0" w:space="0" w:color="auto"/>
                    <w:left w:val="none" w:sz="0" w:space="0" w:color="auto"/>
                    <w:bottom w:val="none" w:sz="0" w:space="0" w:color="auto"/>
                    <w:right w:val="none" w:sz="0" w:space="0" w:color="auto"/>
                  </w:divBdr>
                  <w:divsChild>
                    <w:div w:id="346953254">
                      <w:marLeft w:val="0"/>
                      <w:marRight w:val="0"/>
                      <w:marTop w:val="0"/>
                      <w:marBottom w:val="0"/>
                      <w:divBdr>
                        <w:top w:val="none" w:sz="0" w:space="0" w:color="auto"/>
                        <w:left w:val="none" w:sz="0" w:space="0" w:color="auto"/>
                        <w:bottom w:val="none" w:sz="0" w:space="0" w:color="auto"/>
                        <w:right w:val="none" w:sz="0" w:space="0" w:color="auto"/>
                      </w:divBdr>
                    </w:div>
                  </w:divsChild>
                </w:div>
                <w:div w:id="1335303120">
                  <w:marLeft w:val="0"/>
                  <w:marRight w:val="0"/>
                  <w:marTop w:val="0"/>
                  <w:marBottom w:val="0"/>
                  <w:divBdr>
                    <w:top w:val="none" w:sz="0" w:space="0" w:color="auto"/>
                    <w:left w:val="none" w:sz="0" w:space="0" w:color="auto"/>
                    <w:bottom w:val="none" w:sz="0" w:space="0" w:color="auto"/>
                    <w:right w:val="none" w:sz="0" w:space="0" w:color="auto"/>
                  </w:divBdr>
                  <w:divsChild>
                    <w:div w:id="301616986">
                      <w:marLeft w:val="0"/>
                      <w:marRight w:val="0"/>
                      <w:marTop w:val="0"/>
                      <w:marBottom w:val="0"/>
                      <w:divBdr>
                        <w:top w:val="none" w:sz="0" w:space="0" w:color="auto"/>
                        <w:left w:val="none" w:sz="0" w:space="0" w:color="auto"/>
                        <w:bottom w:val="none" w:sz="0" w:space="0" w:color="auto"/>
                        <w:right w:val="none" w:sz="0" w:space="0" w:color="auto"/>
                      </w:divBdr>
                    </w:div>
                  </w:divsChild>
                </w:div>
                <w:div w:id="1375159101">
                  <w:marLeft w:val="0"/>
                  <w:marRight w:val="0"/>
                  <w:marTop w:val="0"/>
                  <w:marBottom w:val="0"/>
                  <w:divBdr>
                    <w:top w:val="none" w:sz="0" w:space="0" w:color="auto"/>
                    <w:left w:val="none" w:sz="0" w:space="0" w:color="auto"/>
                    <w:bottom w:val="none" w:sz="0" w:space="0" w:color="auto"/>
                    <w:right w:val="none" w:sz="0" w:space="0" w:color="auto"/>
                  </w:divBdr>
                  <w:divsChild>
                    <w:div w:id="748423414">
                      <w:marLeft w:val="0"/>
                      <w:marRight w:val="0"/>
                      <w:marTop w:val="0"/>
                      <w:marBottom w:val="0"/>
                      <w:divBdr>
                        <w:top w:val="none" w:sz="0" w:space="0" w:color="auto"/>
                        <w:left w:val="none" w:sz="0" w:space="0" w:color="auto"/>
                        <w:bottom w:val="none" w:sz="0" w:space="0" w:color="auto"/>
                        <w:right w:val="none" w:sz="0" w:space="0" w:color="auto"/>
                      </w:divBdr>
                    </w:div>
                  </w:divsChild>
                </w:div>
                <w:div w:id="1385446605">
                  <w:marLeft w:val="0"/>
                  <w:marRight w:val="0"/>
                  <w:marTop w:val="0"/>
                  <w:marBottom w:val="0"/>
                  <w:divBdr>
                    <w:top w:val="none" w:sz="0" w:space="0" w:color="auto"/>
                    <w:left w:val="none" w:sz="0" w:space="0" w:color="auto"/>
                    <w:bottom w:val="none" w:sz="0" w:space="0" w:color="auto"/>
                    <w:right w:val="none" w:sz="0" w:space="0" w:color="auto"/>
                  </w:divBdr>
                  <w:divsChild>
                    <w:div w:id="1274362065">
                      <w:marLeft w:val="0"/>
                      <w:marRight w:val="0"/>
                      <w:marTop w:val="0"/>
                      <w:marBottom w:val="0"/>
                      <w:divBdr>
                        <w:top w:val="none" w:sz="0" w:space="0" w:color="auto"/>
                        <w:left w:val="none" w:sz="0" w:space="0" w:color="auto"/>
                        <w:bottom w:val="none" w:sz="0" w:space="0" w:color="auto"/>
                        <w:right w:val="none" w:sz="0" w:space="0" w:color="auto"/>
                      </w:divBdr>
                    </w:div>
                  </w:divsChild>
                </w:div>
                <w:div w:id="1391998926">
                  <w:marLeft w:val="0"/>
                  <w:marRight w:val="0"/>
                  <w:marTop w:val="0"/>
                  <w:marBottom w:val="0"/>
                  <w:divBdr>
                    <w:top w:val="none" w:sz="0" w:space="0" w:color="auto"/>
                    <w:left w:val="none" w:sz="0" w:space="0" w:color="auto"/>
                    <w:bottom w:val="none" w:sz="0" w:space="0" w:color="auto"/>
                    <w:right w:val="none" w:sz="0" w:space="0" w:color="auto"/>
                  </w:divBdr>
                  <w:divsChild>
                    <w:div w:id="575553946">
                      <w:marLeft w:val="0"/>
                      <w:marRight w:val="0"/>
                      <w:marTop w:val="0"/>
                      <w:marBottom w:val="0"/>
                      <w:divBdr>
                        <w:top w:val="none" w:sz="0" w:space="0" w:color="auto"/>
                        <w:left w:val="none" w:sz="0" w:space="0" w:color="auto"/>
                        <w:bottom w:val="none" w:sz="0" w:space="0" w:color="auto"/>
                        <w:right w:val="none" w:sz="0" w:space="0" w:color="auto"/>
                      </w:divBdr>
                    </w:div>
                  </w:divsChild>
                </w:div>
                <w:div w:id="1392575223">
                  <w:marLeft w:val="0"/>
                  <w:marRight w:val="0"/>
                  <w:marTop w:val="0"/>
                  <w:marBottom w:val="0"/>
                  <w:divBdr>
                    <w:top w:val="none" w:sz="0" w:space="0" w:color="auto"/>
                    <w:left w:val="none" w:sz="0" w:space="0" w:color="auto"/>
                    <w:bottom w:val="none" w:sz="0" w:space="0" w:color="auto"/>
                    <w:right w:val="none" w:sz="0" w:space="0" w:color="auto"/>
                  </w:divBdr>
                  <w:divsChild>
                    <w:div w:id="926039393">
                      <w:marLeft w:val="0"/>
                      <w:marRight w:val="0"/>
                      <w:marTop w:val="0"/>
                      <w:marBottom w:val="0"/>
                      <w:divBdr>
                        <w:top w:val="none" w:sz="0" w:space="0" w:color="auto"/>
                        <w:left w:val="none" w:sz="0" w:space="0" w:color="auto"/>
                        <w:bottom w:val="none" w:sz="0" w:space="0" w:color="auto"/>
                        <w:right w:val="none" w:sz="0" w:space="0" w:color="auto"/>
                      </w:divBdr>
                    </w:div>
                  </w:divsChild>
                </w:div>
                <w:div w:id="1405565889">
                  <w:marLeft w:val="0"/>
                  <w:marRight w:val="0"/>
                  <w:marTop w:val="0"/>
                  <w:marBottom w:val="0"/>
                  <w:divBdr>
                    <w:top w:val="none" w:sz="0" w:space="0" w:color="auto"/>
                    <w:left w:val="none" w:sz="0" w:space="0" w:color="auto"/>
                    <w:bottom w:val="none" w:sz="0" w:space="0" w:color="auto"/>
                    <w:right w:val="none" w:sz="0" w:space="0" w:color="auto"/>
                  </w:divBdr>
                  <w:divsChild>
                    <w:div w:id="1598171371">
                      <w:marLeft w:val="0"/>
                      <w:marRight w:val="0"/>
                      <w:marTop w:val="0"/>
                      <w:marBottom w:val="0"/>
                      <w:divBdr>
                        <w:top w:val="none" w:sz="0" w:space="0" w:color="auto"/>
                        <w:left w:val="none" w:sz="0" w:space="0" w:color="auto"/>
                        <w:bottom w:val="none" w:sz="0" w:space="0" w:color="auto"/>
                        <w:right w:val="none" w:sz="0" w:space="0" w:color="auto"/>
                      </w:divBdr>
                    </w:div>
                  </w:divsChild>
                </w:div>
                <w:div w:id="1407846000">
                  <w:marLeft w:val="0"/>
                  <w:marRight w:val="0"/>
                  <w:marTop w:val="0"/>
                  <w:marBottom w:val="0"/>
                  <w:divBdr>
                    <w:top w:val="none" w:sz="0" w:space="0" w:color="auto"/>
                    <w:left w:val="none" w:sz="0" w:space="0" w:color="auto"/>
                    <w:bottom w:val="none" w:sz="0" w:space="0" w:color="auto"/>
                    <w:right w:val="none" w:sz="0" w:space="0" w:color="auto"/>
                  </w:divBdr>
                  <w:divsChild>
                    <w:div w:id="2048213312">
                      <w:marLeft w:val="0"/>
                      <w:marRight w:val="0"/>
                      <w:marTop w:val="0"/>
                      <w:marBottom w:val="0"/>
                      <w:divBdr>
                        <w:top w:val="none" w:sz="0" w:space="0" w:color="auto"/>
                        <w:left w:val="none" w:sz="0" w:space="0" w:color="auto"/>
                        <w:bottom w:val="none" w:sz="0" w:space="0" w:color="auto"/>
                        <w:right w:val="none" w:sz="0" w:space="0" w:color="auto"/>
                      </w:divBdr>
                    </w:div>
                  </w:divsChild>
                </w:div>
                <w:div w:id="1412698802">
                  <w:marLeft w:val="0"/>
                  <w:marRight w:val="0"/>
                  <w:marTop w:val="0"/>
                  <w:marBottom w:val="0"/>
                  <w:divBdr>
                    <w:top w:val="none" w:sz="0" w:space="0" w:color="auto"/>
                    <w:left w:val="none" w:sz="0" w:space="0" w:color="auto"/>
                    <w:bottom w:val="none" w:sz="0" w:space="0" w:color="auto"/>
                    <w:right w:val="none" w:sz="0" w:space="0" w:color="auto"/>
                  </w:divBdr>
                  <w:divsChild>
                    <w:div w:id="1483427644">
                      <w:marLeft w:val="0"/>
                      <w:marRight w:val="0"/>
                      <w:marTop w:val="0"/>
                      <w:marBottom w:val="0"/>
                      <w:divBdr>
                        <w:top w:val="none" w:sz="0" w:space="0" w:color="auto"/>
                        <w:left w:val="none" w:sz="0" w:space="0" w:color="auto"/>
                        <w:bottom w:val="none" w:sz="0" w:space="0" w:color="auto"/>
                        <w:right w:val="none" w:sz="0" w:space="0" w:color="auto"/>
                      </w:divBdr>
                    </w:div>
                  </w:divsChild>
                </w:div>
                <w:div w:id="1432778116">
                  <w:marLeft w:val="0"/>
                  <w:marRight w:val="0"/>
                  <w:marTop w:val="0"/>
                  <w:marBottom w:val="0"/>
                  <w:divBdr>
                    <w:top w:val="none" w:sz="0" w:space="0" w:color="auto"/>
                    <w:left w:val="none" w:sz="0" w:space="0" w:color="auto"/>
                    <w:bottom w:val="none" w:sz="0" w:space="0" w:color="auto"/>
                    <w:right w:val="none" w:sz="0" w:space="0" w:color="auto"/>
                  </w:divBdr>
                  <w:divsChild>
                    <w:div w:id="2134782251">
                      <w:marLeft w:val="0"/>
                      <w:marRight w:val="0"/>
                      <w:marTop w:val="0"/>
                      <w:marBottom w:val="0"/>
                      <w:divBdr>
                        <w:top w:val="none" w:sz="0" w:space="0" w:color="auto"/>
                        <w:left w:val="none" w:sz="0" w:space="0" w:color="auto"/>
                        <w:bottom w:val="none" w:sz="0" w:space="0" w:color="auto"/>
                        <w:right w:val="none" w:sz="0" w:space="0" w:color="auto"/>
                      </w:divBdr>
                    </w:div>
                  </w:divsChild>
                </w:div>
                <w:div w:id="1433668869">
                  <w:marLeft w:val="0"/>
                  <w:marRight w:val="0"/>
                  <w:marTop w:val="0"/>
                  <w:marBottom w:val="0"/>
                  <w:divBdr>
                    <w:top w:val="none" w:sz="0" w:space="0" w:color="auto"/>
                    <w:left w:val="none" w:sz="0" w:space="0" w:color="auto"/>
                    <w:bottom w:val="none" w:sz="0" w:space="0" w:color="auto"/>
                    <w:right w:val="none" w:sz="0" w:space="0" w:color="auto"/>
                  </w:divBdr>
                  <w:divsChild>
                    <w:div w:id="1299187114">
                      <w:marLeft w:val="0"/>
                      <w:marRight w:val="0"/>
                      <w:marTop w:val="0"/>
                      <w:marBottom w:val="0"/>
                      <w:divBdr>
                        <w:top w:val="none" w:sz="0" w:space="0" w:color="auto"/>
                        <w:left w:val="none" w:sz="0" w:space="0" w:color="auto"/>
                        <w:bottom w:val="none" w:sz="0" w:space="0" w:color="auto"/>
                        <w:right w:val="none" w:sz="0" w:space="0" w:color="auto"/>
                      </w:divBdr>
                    </w:div>
                  </w:divsChild>
                </w:div>
                <w:div w:id="1445730526">
                  <w:marLeft w:val="0"/>
                  <w:marRight w:val="0"/>
                  <w:marTop w:val="0"/>
                  <w:marBottom w:val="0"/>
                  <w:divBdr>
                    <w:top w:val="none" w:sz="0" w:space="0" w:color="auto"/>
                    <w:left w:val="none" w:sz="0" w:space="0" w:color="auto"/>
                    <w:bottom w:val="none" w:sz="0" w:space="0" w:color="auto"/>
                    <w:right w:val="none" w:sz="0" w:space="0" w:color="auto"/>
                  </w:divBdr>
                  <w:divsChild>
                    <w:div w:id="1450666304">
                      <w:marLeft w:val="0"/>
                      <w:marRight w:val="0"/>
                      <w:marTop w:val="0"/>
                      <w:marBottom w:val="0"/>
                      <w:divBdr>
                        <w:top w:val="none" w:sz="0" w:space="0" w:color="auto"/>
                        <w:left w:val="none" w:sz="0" w:space="0" w:color="auto"/>
                        <w:bottom w:val="none" w:sz="0" w:space="0" w:color="auto"/>
                        <w:right w:val="none" w:sz="0" w:space="0" w:color="auto"/>
                      </w:divBdr>
                    </w:div>
                  </w:divsChild>
                </w:div>
                <w:div w:id="1463694006">
                  <w:marLeft w:val="0"/>
                  <w:marRight w:val="0"/>
                  <w:marTop w:val="0"/>
                  <w:marBottom w:val="0"/>
                  <w:divBdr>
                    <w:top w:val="none" w:sz="0" w:space="0" w:color="auto"/>
                    <w:left w:val="none" w:sz="0" w:space="0" w:color="auto"/>
                    <w:bottom w:val="none" w:sz="0" w:space="0" w:color="auto"/>
                    <w:right w:val="none" w:sz="0" w:space="0" w:color="auto"/>
                  </w:divBdr>
                  <w:divsChild>
                    <w:div w:id="384986278">
                      <w:marLeft w:val="0"/>
                      <w:marRight w:val="0"/>
                      <w:marTop w:val="0"/>
                      <w:marBottom w:val="0"/>
                      <w:divBdr>
                        <w:top w:val="none" w:sz="0" w:space="0" w:color="auto"/>
                        <w:left w:val="none" w:sz="0" w:space="0" w:color="auto"/>
                        <w:bottom w:val="none" w:sz="0" w:space="0" w:color="auto"/>
                        <w:right w:val="none" w:sz="0" w:space="0" w:color="auto"/>
                      </w:divBdr>
                    </w:div>
                  </w:divsChild>
                </w:div>
                <w:div w:id="1468746407">
                  <w:marLeft w:val="0"/>
                  <w:marRight w:val="0"/>
                  <w:marTop w:val="0"/>
                  <w:marBottom w:val="0"/>
                  <w:divBdr>
                    <w:top w:val="none" w:sz="0" w:space="0" w:color="auto"/>
                    <w:left w:val="none" w:sz="0" w:space="0" w:color="auto"/>
                    <w:bottom w:val="none" w:sz="0" w:space="0" w:color="auto"/>
                    <w:right w:val="none" w:sz="0" w:space="0" w:color="auto"/>
                  </w:divBdr>
                  <w:divsChild>
                    <w:div w:id="1331252011">
                      <w:marLeft w:val="0"/>
                      <w:marRight w:val="0"/>
                      <w:marTop w:val="0"/>
                      <w:marBottom w:val="0"/>
                      <w:divBdr>
                        <w:top w:val="none" w:sz="0" w:space="0" w:color="auto"/>
                        <w:left w:val="none" w:sz="0" w:space="0" w:color="auto"/>
                        <w:bottom w:val="none" w:sz="0" w:space="0" w:color="auto"/>
                        <w:right w:val="none" w:sz="0" w:space="0" w:color="auto"/>
                      </w:divBdr>
                    </w:div>
                  </w:divsChild>
                </w:div>
                <w:div w:id="1510756815">
                  <w:marLeft w:val="0"/>
                  <w:marRight w:val="0"/>
                  <w:marTop w:val="0"/>
                  <w:marBottom w:val="0"/>
                  <w:divBdr>
                    <w:top w:val="none" w:sz="0" w:space="0" w:color="auto"/>
                    <w:left w:val="none" w:sz="0" w:space="0" w:color="auto"/>
                    <w:bottom w:val="none" w:sz="0" w:space="0" w:color="auto"/>
                    <w:right w:val="none" w:sz="0" w:space="0" w:color="auto"/>
                  </w:divBdr>
                  <w:divsChild>
                    <w:div w:id="1036780863">
                      <w:marLeft w:val="0"/>
                      <w:marRight w:val="0"/>
                      <w:marTop w:val="0"/>
                      <w:marBottom w:val="0"/>
                      <w:divBdr>
                        <w:top w:val="none" w:sz="0" w:space="0" w:color="auto"/>
                        <w:left w:val="none" w:sz="0" w:space="0" w:color="auto"/>
                        <w:bottom w:val="none" w:sz="0" w:space="0" w:color="auto"/>
                        <w:right w:val="none" w:sz="0" w:space="0" w:color="auto"/>
                      </w:divBdr>
                    </w:div>
                  </w:divsChild>
                </w:div>
                <w:div w:id="1535575462">
                  <w:marLeft w:val="0"/>
                  <w:marRight w:val="0"/>
                  <w:marTop w:val="0"/>
                  <w:marBottom w:val="0"/>
                  <w:divBdr>
                    <w:top w:val="none" w:sz="0" w:space="0" w:color="auto"/>
                    <w:left w:val="none" w:sz="0" w:space="0" w:color="auto"/>
                    <w:bottom w:val="none" w:sz="0" w:space="0" w:color="auto"/>
                    <w:right w:val="none" w:sz="0" w:space="0" w:color="auto"/>
                  </w:divBdr>
                  <w:divsChild>
                    <w:div w:id="1672486036">
                      <w:marLeft w:val="0"/>
                      <w:marRight w:val="0"/>
                      <w:marTop w:val="0"/>
                      <w:marBottom w:val="0"/>
                      <w:divBdr>
                        <w:top w:val="none" w:sz="0" w:space="0" w:color="auto"/>
                        <w:left w:val="none" w:sz="0" w:space="0" w:color="auto"/>
                        <w:bottom w:val="none" w:sz="0" w:space="0" w:color="auto"/>
                        <w:right w:val="none" w:sz="0" w:space="0" w:color="auto"/>
                      </w:divBdr>
                    </w:div>
                  </w:divsChild>
                </w:div>
                <w:div w:id="1549414479">
                  <w:marLeft w:val="0"/>
                  <w:marRight w:val="0"/>
                  <w:marTop w:val="0"/>
                  <w:marBottom w:val="0"/>
                  <w:divBdr>
                    <w:top w:val="none" w:sz="0" w:space="0" w:color="auto"/>
                    <w:left w:val="none" w:sz="0" w:space="0" w:color="auto"/>
                    <w:bottom w:val="none" w:sz="0" w:space="0" w:color="auto"/>
                    <w:right w:val="none" w:sz="0" w:space="0" w:color="auto"/>
                  </w:divBdr>
                  <w:divsChild>
                    <w:div w:id="412431613">
                      <w:marLeft w:val="0"/>
                      <w:marRight w:val="0"/>
                      <w:marTop w:val="0"/>
                      <w:marBottom w:val="0"/>
                      <w:divBdr>
                        <w:top w:val="none" w:sz="0" w:space="0" w:color="auto"/>
                        <w:left w:val="none" w:sz="0" w:space="0" w:color="auto"/>
                        <w:bottom w:val="none" w:sz="0" w:space="0" w:color="auto"/>
                        <w:right w:val="none" w:sz="0" w:space="0" w:color="auto"/>
                      </w:divBdr>
                    </w:div>
                  </w:divsChild>
                </w:div>
                <w:div w:id="1549993237">
                  <w:marLeft w:val="0"/>
                  <w:marRight w:val="0"/>
                  <w:marTop w:val="0"/>
                  <w:marBottom w:val="0"/>
                  <w:divBdr>
                    <w:top w:val="none" w:sz="0" w:space="0" w:color="auto"/>
                    <w:left w:val="none" w:sz="0" w:space="0" w:color="auto"/>
                    <w:bottom w:val="none" w:sz="0" w:space="0" w:color="auto"/>
                    <w:right w:val="none" w:sz="0" w:space="0" w:color="auto"/>
                  </w:divBdr>
                  <w:divsChild>
                    <w:div w:id="324941497">
                      <w:marLeft w:val="0"/>
                      <w:marRight w:val="0"/>
                      <w:marTop w:val="0"/>
                      <w:marBottom w:val="0"/>
                      <w:divBdr>
                        <w:top w:val="none" w:sz="0" w:space="0" w:color="auto"/>
                        <w:left w:val="none" w:sz="0" w:space="0" w:color="auto"/>
                        <w:bottom w:val="none" w:sz="0" w:space="0" w:color="auto"/>
                        <w:right w:val="none" w:sz="0" w:space="0" w:color="auto"/>
                      </w:divBdr>
                    </w:div>
                  </w:divsChild>
                </w:div>
                <w:div w:id="1555577859">
                  <w:marLeft w:val="0"/>
                  <w:marRight w:val="0"/>
                  <w:marTop w:val="0"/>
                  <w:marBottom w:val="0"/>
                  <w:divBdr>
                    <w:top w:val="none" w:sz="0" w:space="0" w:color="auto"/>
                    <w:left w:val="none" w:sz="0" w:space="0" w:color="auto"/>
                    <w:bottom w:val="none" w:sz="0" w:space="0" w:color="auto"/>
                    <w:right w:val="none" w:sz="0" w:space="0" w:color="auto"/>
                  </w:divBdr>
                  <w:divsChild>
                    <w:div w:id="423037932">
                      <w:marLeft w:val="0"/>
                      <w:marRight w:val="0"/>
                      <w:marTop w:val="0"/>
                      <w:marBottom w:val="0"/>
                      <w:divBdr>
                        <w:top w:val="none" w:sz="0" w:space="0" w:color="auto"/>
                        <w:left w:val="none" w:sz="0" w:space="0" w:color="auto"/>
                        <w:bottom w:val="none" w:sz="0" w:space="0" w:color="auto"/>
                        <w:right w:val="none" w:sz="0" w:space="0" w:color="auto"/>
                      </w:divBdr>
                    </w:div>
                  </w:divsChild>
                </w:div>
                <w:div w:id="1568149687">
                  <w:marLeft w:val="0"/>
                  <w:marRight w:val="0"/>
                  <w:marTop w:val="0"/>
                  <w:marBottom w:val="0"/>
                  <w:divBdr>
                    <w:top w:val="none" w:sz="0" w:space="0" w:color="auto"/>
                    <w:left w:val="none" w:sz="0" w:space="0" w:color="auto"/>
                    <w:bottom w:val="none" w:sz="0" w:space="0" w:color="auto"/>
                    <w:right w:val="none" w:sz="0" w:space="0" w:color="auto"/>
                  </w:divBdr>
                  <w:divsChild>
                    <w:div w:id="337779373">
                      <w:marLeft w:val="0"/>
                      <w:marRight w:val="0"/>
                      <w:marTop w:val="0"/>
                      <w:marBottom w:val="0"/>
                      <w:divBdr>
                        <w:top w:val="none" w:sz="0" w:space="0" w:color="auto"/>
                        <w:left w:val="none" w:sz="0" w:space="0" w:color="auto"/>
                        <w:bottom w:val="none" w:sz="0" w:space="0" w:color="auto"/>
                        <w:right w:val="none" w:sz="0" w:space="0" w:color="auto"/>
                      </w:divBdr>
                    </w:div>
                  </w:divsChild>
                </w:div>
                <w:div w:id="1599100625">
                  <w:marLeft w:val="0"/>
                  <w:marRight w:val="0"/>
                  <w:marTop w:val="0"/>
                  <w:marBottom w:val="0"/>
                  <w:divBdr>
                    <w:top w:val="none" w:sz="0" w:space="0" w:color="auto"/>
                    <w:left w:val="none" w:sz="0" w:space="0" w:color="auto"/>
                    <w:bottom w:val="none" w:sz="0" w:space="0" w:color="auto"/>
                    <w:right w:val="none" w:sz="0" w:space="0" w:color="auto"/>
                  </w:divBdr>
                  <w:divsChild>
                    <w:div w:id="1916746261">
                      <w:marLeft w:val="0"/>
                      <w:marRight w:val="0"/>
                      <w:marTop w:val="0"/>
                      <w:marBottom w:val="0"/>
                      <w:divBdr>
                        <w:top w:val="none" w:sz="0" w:space="0" w:color="auto"/>
                        <w:left w:val="none" w:sz="0" w:space="0" w:color="auto"/>
                        <w:bottom w:val="none" w:sz="0" w:space="0" w:color="auto"/>
                        <w:right w:val="none" w:sz="0" w:space="0" w:color="auto"/>
                      </w:divBdr>
                    </w:div>
                  </w:divsChild>
                </w:div>
                <w:div w:id="1622034512">
                  <w:marLeft w:val="0"/>
                  <w:marRight w:val="0"/>
                  <w:marTop w:val="0"/>
                  <w:marBottom w:val="0"/>
                  <w:divBdr>
                    <w:top w:val="none" w:sz="0" w:space="0" w:color="auto"/>
                    <w:left w:val="none" w:sz="0" w:space="0" w:color="auto"/>
                    <w:bottom w:val="none" w:sz="0" w:space="0" w:color="auto"/>
                    <w:right w:val="none" w:sz="0" w:space="0" w:color="auto"/>
                  </w:divBdr>
                  <w:divsChild>
                    <w:div w:id="871576909">
                      <w:marLeft w:val="0"/>
                      <w:marRight w:val="0"/>
                      <w:marTop w:val="0"/>
                      <w:marBottom w:val="0"/>
                      <w:divBdr>
                        <w:top w:val="none" w:sz="0" w:space="0" w:color="auto"/>
                        <w:left w:val="none" w:sz="0" w:space="0" w:color="auto"/>
                        <w:bottom w:val="none" w:sz="0" w:space="0" w:color="auto"/>
                        <w:right w:val="none" w:sz="0" w:space="0" w:color="auto"/>
                      </w:divBdr>
                    </w:div>
                  </w:divsChild>
                </w:div>
                <w:div w:id="1632057683">
                  <w:marLeft w:val="0"/>
                  <w:marRight w:val="0"/>
                  <w:marTop w:val="0"/>
                  <w:marBottom w:val="0"/>
                  <w:divBdr>
                    <w:top w:val="none" w:sz="0" w:space="0" w:color="auto"/>
                    <w:left w:val="none" w:sz="0" w:space="0" w:color="auto"/>
                    <w:bottom w:val="none" w:sz="0" w:space="0" w:color="auto"/>
                    <w:right w:val="none" w:sz="0" w:space="0" w:color="auto"/>
                  </w:divBdr>
                  <w:divsChild>
                    <w:div w:id="1677730537">
                      <w:marLeft w:val="0"/>
                      <w:marRight w:val="0"/>
                      <w:marTop w:val="0"/>
                      <w:marBottom w:val="0"/>
                      <w:divBdr>
                        <w:top w:val="none" w:sz="0" w:space="0" w:color="auto"/>
                        <w:left w:val="none" w:sz="0" w:space="0" w:color="auto"/>
                        <w:bottom w:val="none" w:sz="0" w:space="0" w:color="auto"/>
                        <w:right w:val="none" w:sz="0" w:space="0" w:color="auto"/>
                      </w:divBdr>
                    </w:div>
                  </w:divsChild>
                </w:div>
                <w:div w:id="1635865974">
                  <w:marLeft w:val="0"/>
                  <w:marRight w:val="0"/>
                  <w:marTop w:val="0"/>
                  <w:marBottom w:val="0"/>
                  <w:divBdr>
                    <w:top w:val="none" w:sz="0" w:space="0" w:color="auto"/>
                    <w:left w:val="none" w:sz="0" w:space="0" w:color="auto"/>
                    <w:bottom w:val="none" w:sz="0" w:space="0" w:color="auto"/>
                    <w:right w:val="none" w:sz="0" w:space="0" w:color="auto"/>
                  </w:divBdr>
                  <w:divsChild>
                    <w:div w:id="1954168458">
                      <w:marLeft w:val="0"/>
                      <w:marRight w:val="0"/>
                      <w:marTop w:val="0"/>
                      <w:marBottom w:val="0"/>
                      <w:divBdr>
                        <w:top w:val="none" w:sz="0" w:space="0" w:color="auto"/>
                        <w:left w:val="none" w:sz="0" w:space="0" w:color="auto"/>
                        <w:bottom w:val="none" w:sz="0" w:space="0" w:color="auto"/>
                        <w:right w:val="none" w:sz="0" w:space="0" w:color="auto"/>
                      </w:divBdr>
                    </w:div>
                  </w:divsChild>
                </w:div>
                <w:div w:id="1646466768">
                  <w:marLeft w:val="0"/>
                  <w:marRight w:val="0"/>
                  <w:marTop w:val="0"/>
                  <w:marBottom w:val="0"/>
                  <w:divBdr>
                    <w:top w:val="none" w:sz="0" w:space="0" w:color="auto"/>
                    <w:left w:val="none" w:sz="0" w:space="0" w:color="auto"/>
                    <w:bottom w:val="none" w:sz="0" w:space="0" w:color="auto"/>
                    <w:right w:val="none" w:sz="0" w:space="0" w:color="auto"/>
                  </w:divBdr>
                  <w:divsChild>
                    <w:div w:id="99490186">
                      <w:marLeft w:val="0"/>
                      <w:marRight w:val="0"/>
                      <w:marTop w:val="0"/>
                      <w:marBottom w:val="0"/>
                      <w:divBdr>
                        <w:top w:val="none" w:sz="0" w:space="0" w:color="auto"/>
                        <w:left w:val="none" w:sz="0" w:space="0" w:color="auto"/>
                        <w:bottom w:val="none" w:sz="0" w:space="0" w:color="auto"/>
                        <w:right w:val="none" w:sz="0" w:space="0" w:color="auto"/>
                      </w:divBdr>
                    </w:div>
                  </w:divsChild>
                </w:div>
                <w:div w:id="1695375284">
                  <w:marLeft w:val="0"/>
                  <w:marRight w:val="0"/>
                  <w:marTop w:val="0"/>
                  <w:marBottom w:val="0"/>
                  <w:divBdr>
                    <w:top w:val="none" w:sz="0" w:space="0" w:color="auto"/>
                    <w:left w:val="none" w:sz="0" w:space="0" w:color="auto"/>
                    <w:bottom w:val="none" w:sz="0" w:space="0" w:color="auto"/>
                    <w:right w:val="none" w:sz="0" w:space="0" w:color="auto"/>
                  </w:divBdr>
                  <w:divsChild>
                    <w:div w:id="240018862">
                      <w:marLeft w:val="0"/>
                      <w:marRight w:val="0"/>
                      <w:marTop w:val="0"/>
                      <w:marBottom w:val="0"/>
                      <w:divBdr>
                        <w:top w:val="none" w:sz="0" w:space="0" w:color="auto"/>
                        <w:left w:val="none" w:sz="0" w:space="0" w:color="auto"/>
                        <w:bottom w:val="none" w:sz="0" w:space="0" w:color="auto"/>
                        <w:right w:val="none" w:sz="0" w:space="0" w:color="auto"/>
                      </w:divBdr>
                    </w:div>
                  </w:divsChild>
                </w:div>
                <w:div w:id="1698459607">
                  <w:marLeft w:val="0"/>
                  <w:marRight w:val="0"/>
                  <w:marTop w:val="0"/>
                  <w:marBottom w:val="0"/>
                  <w:divBdr>
                    <w:top w:val="none" w:sz="0" w:space="0" w:color="auto"/>
                    <w:left w:val="none" w:sz="0" w:space="0" w:color="auto"/>
                    <w:bottom w:val="none" w:sz="0" w:space="0" w:color="auto"/>
                    <w:right w:val="none" w:sz="0" w:space="0" w:color="auto"/>
                  </w:divBdr>
                  <w:divsChild>
                    <w:div w:id="966205158">
                      <w:marLeft w:val="0"/>
                      <w:marRight w:val="0"/>
                      <w:marTop w:val="0"/>
                      <w:marBottom w:val="0"/>
                      <w:divBdr>
                        <w:top w:val="none" w:sz="0" w:space="0" w:color="auto"/>
                        <w:left w:val="none" w:sz="0" w:space="0" w:color="auto"/>
                        <w:bottom w:val="none" w:sz="0" w:space="0" w:color="auto"/>
                        <w:right w:val="none" w:sz="0" w:space="0" w:color="auto"/>
                      </w:divBdr>
                    </w:div>
                  </w:divsChild>
                </w:div>
                <w:div w:id="1705322794">
                  <w:marLeft w:val="0"/>
                  <w:marRight w:val="0"/>
                  <w:marTop w:val="0"/>
                  <w:marBottom w:val="0"/>
                  <w:divBdr>
                    <w:top w:val="none" w:sz="0" w:space="0" w:color="auto"/>
                    <w:left w:val="none" w:sz="0" w:space="0" w:color="auto"/>
                    <w:bottom w:val="none" w:sz="0" w:space="0" w:color="auto"/>
                    <w:right w:val="none" w:sz="0" w:space="0" w:color="auto"/>
                  </w:divBdr>
                  <w:divsChild>
                    <w:div w:id="1973822556">
                      <w:marLeft w:val="0"/>
                      <w:marRight w:val="0"/>
                      <w:marTop w:val="0"/>
                      <w:marBottom w:val="0"/>
                      <w:divBdr>
                        <w:top w:val="none" w:sz="0" w:space="0" w:color="auto"/>
                        <w:left w:val="none" w:sz="0" w:space="0" w:color="auto"/>
                        <w:bottom w:val="none" w:sz="0" w:space="0" w:color="auto"/>
                        <w:right w:val="none" w:sz="0" w:space="0" w:color="auto"/>
                      </w:divBdr>
                    </w:div>
                  </w:divsChild>
                </w:div>
                <w:div w:id="1714496193">
                  <w:marLeft w:val="0"/>
                  <w:marRight w:val="0"/>
                  <w:marTop w:val="0"/>
                  <w:marBottom w:val="0"/>
                  <w:divBdr>
                    <w:top w:val="none" w:sz="0" w:space="0" w:color="auto"/>
                    <w:left w:val="none" w:sz="0" w:space="0" w:color="auto"/>
                    <w:bottom w:val="none" w:sz="0" w:space="0" w:color="auto"/>
                    <w:right w:val="none" w:sz="0" w:space="0" w:color="auto"/>
                  </w:divBdr>
                  <w:divsChild>
                    <w:div w:id="1146432040">
                      <w:marLeft w:val="0"/>
                      <w:marRight w:val="0"/>
                      <w:marTop w:val="0"/>
                      <w:marBottom w:val="0"/>
                      <w:divBdr>
                        <w:top w:val="none" w:sz="0" w:space="0" w:color="auto"/>
                        <w:left w:val="none" w:sz="0" w:space="0" w:color="auto"/>
                        <w:bottom w:val="none" w:sz="0" w:space="0" w:color="auto"/>
                        <w:right w:val="none" w:sz="0" w:space="0" w:color="auto"/>
                      </w:divBdr>
                    </w:div>
                  </w:divsChild>
                </w:div>
                <w:div w:id="1723597013">
                  <w:marLeft w:val="0"/>
                  <w:marRight w:val="0"/>
                  <w:marTop w:val="0"/>
                  <w:marBottom w:val="0"/>
                  <w:divBdr>
                    <w:top w:val="none" w:sz="0" w:space="0" w:color="auto"/>
                    <w:left w:val="none" w:sz="0" w:space="0" w:color="auto"/>
                    <w:bottom w:val="none" w:sz="0" w:space="0" w:color="auto"/>
                    <w:right w:val="none" w:sz="0" w:space="0" w:color="auto"/>
                  </w:divBdr>
                  <w:divsChild>
                    <w:div w:id="1983080174">
                      <w:marLeft w:val="0"/>
                      <w:marRight w:val="0"/>
                      <w:marTop w:val="0"/>
                      <w:marBottom w:val="0"/>
                      <w:divBdr>
                        <w:top w:val="none" w:sz="0" w:space="0" w:color="auto"/>
                        <w:left w:val="none" w:sz="0" w:space="0" w:color="auto"/>
                        <w:bottom w:val="none" w:sz="0" w:space="0" w:color="auto"/>
                        <w:right w:val="none" w:sz="0" w:space="0" w:color="auto"/>
                      </w:divBdr>
                    </w:div>
                  </w:divsChild>
                </w:div>
                <w:div w:id="1734353553">
                  <w:marLeft w:val="0"/>
                  <w:marRight w:val="0"/>
                  <w:marTop w:val="0"/>
                  <w:marBottom w:val="0"/>
                  <w:divBdr>
                    <w:top w:val="none" w:sz="0" w:space="0" w:color="auto"/>
                    <w:left w:val="none" w:sz="0" w:space="0" w:color="auto"/>
                    <w:bottom w:val="none" w:sz="0" w:space="0" w:color="auto"/>
                    <w:right w:val="none" w:sz="0" w:space="0" w:color="auto"/>
                  </w:divBdr>
                  <w:divsChild>
                    <w:div w:id="1125541604">
                      <w:marLeft w:val="0"/>
                      <w:marRight w:val="0"/>
                      <w:marTop w:val="0"/>
                      <w:marBottom w:val="0"/>
                      <w:divBdr>
                        <w:top w:val="none" w:sz="0" w:space="0" w:color="auto"/>
                        <w:left w:val="none" w:sz="0" w:space="0" w:color="auto"/>
                        <w:bottom w:val="none" w:sz="0" w:space="0" w:color="auto"/>
                        <w:right w:val="none" w:sz="0" w:space="0" w:color="auto"/>
                      </w:divBdr>
                    </w:div>
                  </w:divsChild>
                </w:div>
                <w:div w:id="1736465939">
                  <w:marLeft w:val="0"/>
                  <w:marRight w:val="0"/>
                  <w:marTop w:val="0"/>
                  <w:marBottom w:val="0"/>
                  <w:divBdr>
                    <w:top w:val="none" w:sz="0" w:space="0" w:color="auto"/>
                    <w:left w:val="none" w:sz="0" w:space="0" w:color="auto"/>
                    <w:bottom w:val="none" w:sz="0" w:space="0" w:color="auto"/>
                    <w:right w:val="none" w:sz="0" w:space="0" w:color="auto"/>
                  </w:divBdr>
                  <w:divsChild>
                    <w:div w:id="570770301">
                      <w:marLeft w:val="0"/>
                      <w:marRight w:val="0"/>
                      <w:marTop w:val="0"/>
                      <w:marBottom w:val="0"/>
                      <w:divBdr>
                        <w:top w:val="none" w:sz="0" w:space="0" w:color="auto"/>
                        <w:left w:val="none" w:sz="0" w:space="0" w:color="auto"/>
                        <w:bottom w:val="none" w:sz="0" w:space="0" w:color="auto"/>
                        <w:right w:val="none" w:sz="0" w:space="0" w:color="auto"/>
                      </w:divBdr>
                    </w:div>
                    <w:div w:id="773675970">
                      <w:marLeft w:val="0"/>
                      <w:marRight w:val="0"/>
                      <w:marTop w:val="0"/>
                      <w:marBottom w:val="0"/>
                      <w:divBdr>
                        <w:top w:val="none" w:sz="0" w:space="0" w:color="auto"/>
                        <w:left w:val="none" w:sz="0" w:space="0" w:color="auto"/>
                        <w:bottom w:val="none" w:sz="0" w:space="0" w:color="auto"/>
                        <w:right w:val="none" w:sz="0" w:space="0" w:color="auto"/>
                      </w:divBdr>
                    </w:div>
                    <w:div w:id="853878503">
                      <w:marLeft w:val="0"/>
                      <w:marRight w:val="0"/>
                      <w:marTop w:val="0"/>
                      <w:marBottom w:val="0"/>
                      <w:divBdr>
                        <w:top w:val="none" w:sz="0" w:space="0" w:color="auto"/>
                        <w:left w:val="none" w:sz="0" w:space="0" w:color="auto"/>
                        <w:bottom w:val="none" w:sz="0" w:space="0" w:color="auto"/>
                        <w:right w:val="none" w:sz="0" w:space="0" w:color="auto"/>
                      </w:divBdr>
                    </w:div>
                    <w:div w:id="1249925283">
                      <w:marLeft w:val="0"/>
                      <w:marRight w:val="0"/>
                      <w:marTop w:val="0"/>
                      <w:marBottom w:val="0"/>
                      <w:divBdr>
                        <w:top w:val="none" w:sz="0" w:space="0" w:color="auto"/>
                        <w:left w:val="none" w:sz="0" w:space="0" w:color="auto"/>
                        <w:bottom w:val="none" w:sz="0" w:space="0" w:color="auto"/>
                        <w:right w:val="none" w:sz="0" w:space="0" w:color="auto"/>
                      </w:divBdr>
                    </w:div>
                    <w:div w:id="1282225737">
                      <w:marLeft w:val="0"/>
                      <w:marRight w:val="0"/>
                      <w:marTop w:val="0"/>
                      <w:marBottom w:val="0"/>
                      <w:divBdr>
                        <w:top w:val="none" w:sz="0" w:space="0" w:color="auto"/>
                        <w:left w:val="none" w:sz="0" w:space="0" w:color="auto"/>
                        <w:bottom w:val="none" w:sz="0" w:space="0" w:color="auto"/>
                        <w:right w:val="none" w:sz="0" w:space="0" w:color="auto"/>
                      </w:divBdr>
                    </w:div>
                    <w:div w:id="1395007936">
                      <w:marLeft w:val="0"/>
                      <w:marRight w:val="0"/>
                      <w:marTop w:val="0"/>
                      <w:marBottom w:val="0"/>
                      <w:divBdr>
                        <w:top w:val="none" w:sz="0" w:space="0" w:color="auto"/>
                        <w:left w:val="none" w:sz="0" w:space="0" w:color="auto"/>
                        <w:bottom w:val="none" w:sz="0" w:space="0" w:color="auto"/>
                        <w:right w:val="none" w:sz="0" w:space="0" w:color="auto"/>
                      </w:divBdr>
                    </w:div>
                    <w:div w:id="1646084423">
                      <w:marLeft w:val="0"/>
                      <w:marRight w:val="0"/>
                      <w:marTop w:val="0"/>
                      <w:marBottom w:val="0"/>
                      <w:divBdr>
                        <w:top w:val="none" w:sz="0" w:space="0" w:color="auto"/>
                        <w:left w:val="none" w:sz="0" w:space="0" w:color="auto"/>
                        <w:bottom w:val="none" w:sz="0" w:space="0" w:color="auto"/>
                        <w:right w:val="none" w:sz="0" w:space="0" w:color="auto"/>
                      </w:divBdr>
                    </w:div>
                    <w:div w:id="1684480412">
                      <w:marLeft w:val="0"/>
                      <w:marRight w:val="0"/>
                      <w:marTop w:val="0"/>
                      <w:marBottom w:val="0"/>
                      <w:divBdr>
                        <w:top w:val="none" w:sz="0" w:space="0" w:color="auto"/>
                        <w:left w:val="none" w:sz="0" w:space="0" w:color="auto"/>
                        <w:bottom w:val="none" w:sz="0" w:space="0" w:color="auto"/>
                        <w:right w:val="none" w:sz="0" w:space="0" w:color="auto"/>
                      </w:divBdr>
                    </w:div>
                    <w:div w:id="1958292189">
                      <w:marLeft w:val="0"/>
                      <w:marRight w:val="0"/>
                      <w:marTop w:val="0"/>
                      <w:marBottom w:val="0"/>
                      <w:divBdr>
                        <w:top w:val="none" w:sz="0" w:space="0" w:color="auto"/>
                        <w:left w:val="none" w:sz="0" w:space="0" w:color="auto"/>
                        <w:bottom w:val="none" w:sz="0" w:space="0" w:color="auto"/>
                        <w:right w:val="none" w:sz="0" w:space="0" w:color="auto"/>
                      </w:divBdr>
                    </w:div>
                    <w:div w:id="2047171306">
                      <w:marLeft w:val="0"/>
                      <w:marRight w:val="0"/>
                      <w:marTop w:val="0"/>
                      <w:marBottom w:val="0"/>
                      <w:divBdr>
                        <w:top w:val="none" w:sz="0" w:space="0" w:color="auto"/>
                        <w:left w:val="none" w:sz="0" w:space="0" w:color="auto"/>
                        <w:bottom w:val="none" w:sz="0" w:space="0" w:color="auto"/>
                        <w:right w:val="none" w:sz="0" w:space="0" w:color="auto"/>
                      </w:divBdr>
                    </w:div>
                  </w:divsChild>
                </w:div>
                <w:div w:id="1756785864">
                  <w:marLeft w:val="0"/>
                  <w:marRight w:val="0"/>
                  <w:marTop w:val="0"/>
                  <w:marBottom w:val="0"/>
                  <w:divBdr>
                    <w:top w:val="none" w:sz="0" w:space="0" w:color="auto"/>
                    <w:left w:val="none" w:sz="0" w:space="0" w:color="auto"/>
                    <w:bottom w:val="none" w:sz="0" w:space="0" w:color="auto"/>
                    <w:right w:val="none" w:sz="0" w:space="0" w:color="auto"/>
                  </w:divBdr>
                  <w:divsChild>
                    <w:div w:id="1330865919">
                      <w:marLeft w:val="0"/>
                      <w:marRight w:val="0"/>
                      <w:marTop w:val="0"/>
                      <w:marBottom w:val="0"/>
                      <w:divBdr>
                        <w:top w:val="none" w:sz="0" w:space="0" w:color="auto"/>
                        <w:left w:val="none" w:sz="0" w:space="0" w:color="auto"/>
                        <w:bottom w:val="none" w:sz="0" w:space="0" w:color="auto"/>
                        <w:right w:val="none" w:sz="0" w:space="0" w:color="auto"/>
                      </w:divBdr>
                    </w:div>
                  </w:divsChild>
                </w:div>
                <w:div w:id="1768649323">
                  <w:marLeft w:val="0"/>
                  <w:marRight w:val="0"/>
                  <w:marTop w:val="0"/>
                  <w:marBottom w:val="0"/>
                  <w:divBdr>
                    <w:top w:val="none" w:sz="0" w:space="0" w:color="auto"/>
                    <w:left w:val="none" w:sz="0" w:space="0" w:color="auto"/>
                    <w:bottom w:val="none" w:sz="0" w:space="0" w:color="auto"/>
                    <w:right w:val="none" w:sz="0" w:space="0" w:color="auto"/>
                  </w:divBdr>
                  <w:divsChild>
                    <w:div w:id="2067143661">
                      <w:marLeft w:val="0"/>
                      <w:marRight w:val="0"/>
                      <w:marTop w:val="0"/>
                      <w:marBottom w:val="0"/>
                      <w:divBdr>
                        <w:top w:val="none" w:sz="0" w:space="0" w:color="auto"/>
                        <w:left w:val="none" w:sz="0" w:space="0" w:color="auto"/>
                        <w:bottom w:val="none" w:sz="0" w:space="0" w:color="auto"/>
                        <w:right w:val="none" w:sz="0" w:space="0" w:color="auto"/>
                      </w:divBdr>
                    </w:div>
                  </w:divsChild>
                </w:div>
                <w:div w:id="1774980127">
                  <w:marLeft w:val="0"/>
                  <w:marRight w:val="0"/>
                  <w:marTop w:val="0"/>
                  <w:marBottom w:val="0"/>
                  <w:divBdr>
                    <w:top w:val="none" w:sz="0" w:space="0" w:color="auto"/>
                    <w:left w:val="none" w:sz="0" w:space="0" w:color="auto"/>
                    <w:bottom w:val="none" w:sz="0" w:space="0" w:color="auto"/>
                    <w:right w:val="none" w:sz="0" w:space="0" w:color="auto"/>
                  </w:divBdr>
                  <w:divsChild>
                    <w:div w:id="1569849847">
                      <w:marLeft w:val="0"/>
                      <w:marRight w:val="0"/>
                      <w:marTop w:val="0"/>
                      <w:marBottom w:val="0"/>
                      <w:divBdr>
                        <w:top w:val="none" w:sz="0" w:space="0" w:color="auto"/>
                        <w:left w:val="none" w:sz="0" w:space="0" w:color="auto"/>
                        <w:bottom w:val="none" w:sz="0" w:space="0" w:color="auto"/>
                        <w:right w:val="none" w:sz="0" w:space="0" w:color="auto"/>
                      </w:divBdr>
                    </w:div>
                  </w:divsChild>
                </w:div>
                <w:div w:id="1779370623">
                  <w:marLeft w:val="0"/>
                  <w:marRight w:val="0"/>
                  <w:marTop w:val="0"/>
                  <w:marBottom w:val="0"/>
                  <w:divBdr>
                    <w:top w:val="none" w:sz="0" w:space="0" w:color="auto"/>
                    <w:left w:val="none" w:sz="0" w:space="0" w:color="auto"/>
                    <w:bottom w:val="none" w:sz="0" w:space="0" w:color="auto"/>
                    <w:right w:val="none" w:sz="0" w:space="0" w:color="auto"/>
                  </w:divBdr>
                  <w:divsChild>
                    <w:div w:id="1201893697">
                      <w:marLeft w:val="0"/>
                      <w:marRight w:val="0"/>
                      <w:marTop w:val="0"/>
                      <w:marBottom w:val="0"/>
                      <w:divBdr>
                        <w:top w:val="none" w:sz="0" w:space="0" w:color="auto"/>
                        <w:left w:val="none" w:sz="0" w:space="0" w:color="auto"/>
                        <w:bottom w:val="none" w:sz="0" w:space="0" w:color="auto"/>
                        <w:right w:val="none" w:sz="0" w:space="0" w:color="auto"/>
                      </w:divBdr>
                    </w:div>
                  </w:divsChild>
                </w:div>
                <w:div w:id="1799492375">
                  <w:marLeft w:val="0"/>
                  <w:marRight w:val="0"/>
                  <w:marTop w:val="0"/>
                  <w:marBottom w:val="0"/>
                  <w:divBdr>
                    <w:top w:val="none" w:sz="0" w:space="0" w:color="auto"/>
                    <w:left w:val="none" w:sz="0" w:space="0" w:color="auto"/>
                    <w:bottom w:val="none" w:sz="0" w:space="0" w:color="auto"/>
                    <w:right w:val="none" w:sz="0" w:space="0" w:color="auto"/>
                  </w:divBdr>
                  <w:divsChild>
                    <w:div w:id="1316030694">
                      <w:marLeft w:val="0"/>
                      <w:marRight w:val="0"/>
                      <w:marTop w:val="0"/>
                      <w:marBottom w:val="0"/>
                      <w:divBdr>
                        <w:top w:val="none" w:sz="0" w:space="0" w:color="auto"/>
                        <w:left w:val="none" w:sz="0" w:space="0" w:color="auto"/>
                        <w:bottom w:val="none" w:sz="0" w:space="0" w:color="auto"/>
                        <w:right w:val="none" w:sz="0" w:space="0" w:color="auto"/>
                      </w:divBdr>
                    </w:div>
                  </w:divsChild>
                </w:div>
                <w:div w:id="1801221964">
                  <w:marLeft w:val="0"/>
                  <w:marRight w:val="0"/>
                  <w:marTop w:val="0"/>
                  <w:marBottom w:val="0"/>
                  <w:divBdr>
                    <w:top w:val="none" w:sz="0" w:space="0" w:color="auto"/>
                    <w:left w:val="none" w:sz="0" w:space="0" w:color="auto"/>
                    <w:bottom w:val="none" w:sz="0" w:space="0" w:color="auto"/>
                    <w:right w:val="none" w:sz="0" w:space="0" w:color="auto"/>
                  </w:divBdr>
                  <w:divsChild>
                    <w:div w:id="752118918">
                      <w:marLeft w:val="0"/>
                      <w:marRight w:val="0"/>
                      <w:marTop w:val="0"/>
                      <w:marBottom w:val="0"/>
                      <w:divBdr>
                        <w:top w:val="none" w:sz="0" w:space="0" w:color="auto"/>
                        <w:left w:val="none" w:sz="0" w:space="0" w:color="auto"/>
                        <w:bottom w:val="none" w:sz="0" w:space="0" w:color="auto"/>
                        <w:right w:val="none" w:sz="0" w:space="0" w:color="auto"/>
                      </w:divBdr>
                    </w:div>
                  </w:divsChild>
                </w:div>
                <w:div w:id="1825005259">
                  <w:marLeft w:val="0"/>
                  <w:marRight w:val="0"/>
                  <w:marTop w:val="0"/>
                  <w:marBottom w:val="0"/>
                  <w:divBdr>
                    <w:top w:val="none" w:sz="0" w:space="0" w:color="auto"/>
                    <w:left w:val="none" w:sz="0" w:space="0" w:color="auto"/>
                    <w:bottom w:val="none" w:sz="0" w:space="0" w:color="auto"/>
                    <w:right w:val="none" w:sz="0" w:space="0" w:color="auto"/>
                  </w:divBdr>
                  <w:divsChild>
                    <w:div w:id="1371110615">
                      <w:marLeft w:val="0"/>
                      <w:marRight w:val="0"/>
                      <w:marTop w:val="0"/>
                      <w:marBottom w:val="0"/>
                      <w:divBdr>
                        <w:top w:val="none" w:sz="0" w:space="0" w:color="auto"/>
                        <w:left w:val="none" w:sz="0" w:space="0" w:color="auto"/>
                        <w:bottom w:val="none" w:sz="0" w:space="0" w:color="auto"/>
                        <w:right w:val="none" w:sz="0" w:space="0" w:color="auto"/>
                      </w:divBdr>
                    </w:div>
                  </w:divsChild>
                </w:div>
                <w:div w:id="1827546873">
                  <w:marLeft w:val="0"/>
                  <w:marRight w:val="0"/>
                  <w:marTop w:val="0"/>
                  <w:marBottom w:val="0"/>
                  <w:divBdr>
                    <w:top w:val="none" w:sz="0" w:space="0" w:color="auto"/>
                    <w:left w:val="none" w:sz="0" w:space="0" w:color="auto"/>
                    <w:bottom w:val="none" w:sz="0" w:space="0" w:color="auto"/>
                    <w:right w:val="none" w:sz="0" w:space="0" w:color="auto"/>
                  </w:divBdr>
                  <w:divsChild>
                    <w:div w:id="1633363533">
                      <w:marLeft w:val="0"/>
                      <w:marRight w:val="0"/>
                      <w:marTop w:val="0"/>
                      <w:marBottom w:val="0"/>
                      <w:divBdr>
                        <w:top w:val="none" w:sz="0" w:space="0" w:color="auto"/>
                        <w:left w:val="none" w:sz="0" w:space="0" w:color="auto"/>
                        <w:bottom w:val="none" w:sz="0" w:space="0" w:color="auto"/>
                        <w:right w:val="none" w:sz="0" w:space="0" w:color="auto"/>
                      </w:divBdr>
                    </w:div>
                  </w:divsChild>
                </w:div>
                <w:div w:id="1831218324">
                  <w:marLeft w:val="0"/>
                  <w:marRight w:val="0"/>
                  <w:marTop w:val="0"/>
                  <w:marBottom w:val="0"/>
                  <w:divBdr>
                    <w:top w:val="none" w:sz="0" w:space="0" w:color="auto"/>
                    <w:left w:val="none" w:sz="0" w:space="0" w:color="auto"/>
                    <w:bottom w:val="none" w:sz="0" w:space="0" w:color="auto"/>
                    <w:right w:val="none" w:sz="0" w:space="0" w:color="auto"/>
                  </w:divBdr>
                  <w:divsChild>
                    <w:div w:id="1511525196">
                      <w:marLeft w:val="0"/>
                      <w:marRight w:val="0"/>
                      <w:marTop w:val="0"/>
                      <w:marBottom w:val="0"/>
                      <w:divBdr>
                        <w:top w:val="none" w:sz="0" w:space="0" w:color="auto"/>
                        <w:left w:val="none" w:sz="0" w:space="0" w:color="auto"/>
                        <w:bottom w:val="none" w:sz="0" w:space="0" w:color="auto"/>
                        <w:right w:val="none" w:sz="0" w:space="0" w:color="auto"/>
                      </w:divBdr>
                    </w:div>
                  </w:divsChild>
                </w:div>
                <w:div w:id="1833175943">
                  <w:marLeft w:val="0"/>
                  <w:marRight w:val="0"/>
                  <w:marTop w:val="0"/>
                  <w:marBottom w:val="0"/>
                  <w:divBdr>
                    <w:top w:val="none" w:sz="0" w:space="0" w:color="auto"/>
                    <w:left w:val="none" w:sz="0" w:space="0" w:color="auto"/>
                    <w:bottom w:val="none" w:sz="0" w:space="0" w:color="auto"/>
                    <w:right w:val="none" w:sz="0" w:space="0" w:color="auto"/>
                  </w:divBdr>
                  <w:divsChild>
                    <w:div w:id="1816992129">
                      <w:marLeft w:val="0"/>
                      <w:marRight w:val="0"/>
                      <w:marTop w:val="0"/>
                      <w:marBottom w:val="0"/>
                      <w:divBdr>
                        <w:top w:val="none" w:sz="0" w:space="0" w:color="auto"/>
                        <w:left w:val="none" w:sz="0" w:space="0" w:color="auto"/>
                        <w:bottom w:val="none" w:sz="0" w:space="0" w:color="auto"/>
                        <w:right w:val="none" w:sz="0" w:space="0" w:color="auto"/>
                      </w:divBdr>
                    </w:div>
                  </w:divsChild>
                </w:div>
                <w:div w:id="1839728137">
                  <w:marLeft w:val="0"/>
                  <w:marRight w:val="0"/>
                  <w:marTop w:val="0"/>
                  <w:marBottom w:val="0"/>
                  <w:divBdr>
                    <w:top w:val="none" w:sz="0" w:space="0" w:color="auto"/>
                    <w:left w:val="none" w:sz="0" w:space="0" w:color="auto"/>
                    <w:bottom w:val="none" w:sz="0" w:space="0" w:color="auto"/>
                    <w:right w:val="none" w:sz="0" w:space="0" w:color="auto"/>
                  </w:divBdr>
                  <w:divsChild>
                    <w:div w:id="1587569507">
                      <w:marLeft w:val="0"/>
                      <w:marRight w:val="0"/>
                      <w:marTop w:val="0"/>
                      <w:marBottom w:val="0"/>
                      <w:divBdr>
                        <w:top w:val="none" w:sz="0" w:space="0" w:color="auto"/>
                        <w:left w:val="none" w:sz="0" w:space="0" w:color="auto"/>
                        <w:bottom w:val="none" w:sz="0" w:space="0" w:color="auto"/>
                        <w:right w:val="none" w:sz="0" w:space="0" w:color="auto"/>
                      </w:divBdr>
                    </w:div>
                  </w:divsChild>
                </w:div>
                <w:div w:id="1841122506">
                  <w:marLeft w:val="0"/>
                  <w:marRight w:val="0"/>
                  <w:marTop w:val="0"/>
                  <w:marBottom w:val="0"/>
                  <w:divBdr>
                    <w:top w:val="none" w:sz="0" w:space="0" w:color="auto"/>
                    <w:left w:val="none" w:sz="0" w:space="0" w:color="auto"/>
                    <w:bottom w:val="none" w:sz="0" w:space="0" w:color="auto"/>
                    <w:right w:val="none" w:sz="0" w:space="0" w:color="auto"/>
                  </w:divBdr>
                  <w:divsChild>
                    <w:div w:id="431898394">
                      <w:marLeft w:val="0"/>
                      <w:marRight w:val="0"/>
                      <w:marTop w:val="0"/>
                      <w:marBottom w:val="0"/>
                      <w:divBdr>
                        <w:top w:val="none" w:sz="0" w:space="0" w:color="auto"/>
                        <w:left w:val="none" w:sz="0" w:space="0" w:color="auto"/>
                        <w:bottom w:val="none" w:sz="0" w:space="0" w:color="auto"/>
                        <w:right w:val="none" w:sz="0" w:space="0" w:color="auto"/>
                      </w:divBdr>
                    </w:div>
                  </w:divsChild>
                </w:div>
                <w:div w:id="1860850736">
                  <w:marLeft w:val="0"/>
                  <w:marRight w:val="0"/>
                  <w:marTop w:val="0"/>
                  <w:marBottom w:val="0"/>
                  <w:divBdr>
                    <w:top w:val="none" w:sz="0" w:space="0" w:color="auto"/>
                    <w:left w:val="none" w:sz="0" w:space="0" w:color="auto"/>
                    <w:bottom w:val="none" w:sz="0" w:space="0" w:color="auto"/>
                    <w:right w:val="none" w:sz="0" w:space="0" w:color="auto"/>
                  </w:divBdr>
                  <w:divsChild>
                    <w:div w:id="1719083503">
                      <w:marLeft w:val="0"/>
                      <w:marRight w:val="0"/>
                      <w:marTop w:val="0"/>
                      <w:marBottom w:val="0"/>
                      <w:divBdr>
                        <w:top w:val="none" w:sz="0" w:space="0" w:color="auto"/>
                        <w:left w:val="none" w:sz="0" w:space="0" w:color="auto"/>
                        <w:bottom w:val="none" w:sz="0" w:space="0" w:color="auto"/>
                        <w:right w:val="none" w:sz="0" w:space="0" w:color="auto"/>
                      </w:divBdr>
                    </w:div>
                  </w:divsChild>
                </w:div>
                <w:div w:id="1871993948">
                  <w:marLeft w:val="0"/>
                  <w:marRight w:val="0"/>
                  <w:marTop w:val="0"/>
                  <w:marBottom w:val="0"/>
                  <w:divBdr>
                    <w:top w:val="none" w:sz="0" w:space="0" w:color="auto"/>
                    <w:left w:val="none" w:sz="0" w:space="0" w:color="auto"/>
                    <w:bottom w:val="none" w:sz="0" w:space="0" w:color="auto"/>
                    <w:right w:val="none" w:sz="0" w:space="0" w:color="auto"/>
                  </w:divBdr>
                  <w:divsChild>
                    <w:div w:id="1969585384">
                      <w:marLeft w:val="0"/>
                      <w:marRight w:val="0"/>
                      <w:marTop w:val="0"/>
                      <w:marBottom w:val="0"/>
                      <w:divBdr>
                        <w:top w:val="none" w:sz="0" w:space="0" w:color="auto"/>
                        <w:left w:val="none" w:sz="0" w:space="0" w:color="auto"/>
                        <w:bottom w:val="none" w:sz="0" w:space="0" w:color="auto"/>
                        <w:right w:val="none" w:sz="0" w:space="0" w:color="auto"/>
                      </w:divBdr>
                    </w:div>
                  </w:divsChild>
                </w:div>
                <w:div w:id="1879968165">
                  <w:marLeft w:val="0"/>
                  <w:marRight w:val="0"/>
                  <w:marTop w:val="0"/>
                  <w:marBottom w:val="0"/>
                  <w:divBdr>
                    <w:top w:val="none" w:sz="0" w:space="0" w:color="auto"/>
                    <w:left w:val="none" w:sz="0" w:space="0" w:color="auto"/>
                    <w:bottom w:val="none" w:sz="0" w:space="0" w:color="auto"/>
                    <w:right w:val="none" w:sz="0" w:space="0" w:color="auto"/>
                  </w:divBdr>
                  <w:divsChild>
                    <w:div w:id="640886990">
                      <w:marLeft w:val="0"/>
                      <w:marRight w:val="0"/>
                      <w:marTop w:val="0"/>
                      <w:marBottom w:val="0"/>
                      <w:divBdr>
                        <w:top w:val="none" w:sz="0" w:space="0" w:color="auto"/>
                        <w:left w:val="none" w:sz="0" w:space="0" w:color="auto"/>
                        <w:bottom w:val="none" w:sz="0" w:space="0" w:color="auto"/>
                        <w:right w:val="none" w:sz="0" w:space="0" w:color="auto"/>
                      </w:divBdr>
                    </w:div>
                  </w:divsChild>
                </w:div>
                <w:div w:id="1898734357">
                  <w:marLeft w:val="0"/>
                  <w:marRight w:val="0"/>
                  <w:marTop w:val="0"/>
                  <w:marBottom w:val="0"/>
                  <w:divBdr>
                    <w:top w:val="none" w:sz="0" w:space="0" w:color="auto"/>
                    <w:left w:val="none" w:sz="0" w:space="0" w:color="auto"/>
                    <w:bottom w:val="none" w:sz="0" w:space="0" w:color="auto"/>
                    <w:right w:val="none" w:sz="0" w:space="0" w:color="auto"/>
                  </w:divBdr>
                  <w:divsChild>
                    <w:div w:id="597103854">
                      <w:marLeft w:val="0"/>
                      <w:marRight w:val="0"/>
                      <w:marTop w:val="0"/>
                      <w:marBottom w:val="0"/>
                      <w:divBdr>
                        <w:top w:val="none" w:sz="0" w:space="0" w:color="auto"/>
                        <w:left w:val="none" w:sz="0" w:space="0" w:color="auto"/>
                        <w:bottom w:val="none" w:sz="0" w:space="0" w:color="auto"/>
                        <w:right w:val="none" w:sz="0" w:space="0" w:color="auto"/>
                      </w:divBdr>
                    </w:div>
                  </w:divsChild>
                </w:div>
                <w:div w:id="1905144567">
                  <w:marLeft w:val="0"/>
                  <w:marRight w:val="0"/>
                  <w:marTop w:val="0"/>
                  <w:marBottom w:val="0"/>
                  <w:divBdr>
                    <w:top w:val="none" w:sz="0" w:space="0" w:color="auto"/>
                    <w:left w:val="none" w:sz="0" w:space="0" w:color="auto"/>
                    <w:bottom w:val="none" w:sz="0" w:space="0" w:color="auto"/>
                    <w:right w:val="none" w:sz="0" w:space="0" w:color="auto"/>
                  </w:divBdr>
                  <w:divsChild>
                    <w:div w:id="1214540940">
                      <w:marLeft w:val="0"/>
                      <w:marRight w:val="0"/>
                      <w:marTop w:val="0"/>
                      <w:marBottom w:val="0"/>
                      <w:divBdr>
                        <w:top w:val="none" w:sz="0" w:space="0" w:color="auto"/>
                        <w:left w:val="none" w:sz="0" w:space="0" w:color="auto"/>
                        <w:bottom w:val="none" w:sz="0" w:space="0" w:color="auto"/>
                        <w:right w:val="none" w:sz="0" w:space="0" w:color="auto"/>
                      </w:divBdr>
                    </w:div>
                  </w:divsChild>
                </w:div>
                <w:div w:id="1919704835">
                  <w:marLeft w:val="0"/>
                  <w:marRight w:val="0"/>
                  <w:marTop w:val="0"/>
                  <w:marBottom w:val="0"/>
                  <w:divBdr>
                    <w:top w:val="none" w:sz="0" w:space="0" w:color="auto"/>
                    <w:left w:val="none" w:sz="0" w:space="0" w:color="auto"/>
                    <w:bottom w:val="none" w:sz="0" w:space="0" w:color="auto"/>
                    <w:right w:val="none" w:sz="0" w:space="0" w:color="auto"/>
                  </w:divBdr>
                  <w:divsChild>
                    <w:div w:id="939801500">
                      <w:marLeft w:val="0"/>
                      <w:marRight w:val="0"/>
                      <w:marTop w:val="0"/>
                      <w:marBottom w:val="0"/>
                      <w:divBdr>
                        <w:top w:val="none" w:sz="0" w:space="0" w:color="auto"/>
                        <w:left w:val="none" w:sz="0" w:space="0" w:color="auto"/>
                        <w:bottom w:val="none" w:sz="0" w:space="0" w:color="auto"/>
                        <w:right w:val="none" w:sz="0" w:space="0" w:color="auto"/>
                      </w:divBdr>
                    </w:div>
                  </w:divsChild>
                </w:div>
                <w:div w:id="1931158249">
                  <w:marLeft w:val="0"/>
                  <w:marRight w:val="0"/>
                  <w:marTop w:val="0"/>
                  <w:marBottom w:val="0"/>
                  <w:divBdr>
                    <w:top w:val="none" w:sz="0" w:space="0" w:color="auto"/>
                    <w:left w:val="none" w:sz="0" w:space="0" w:color="auto"/>
                    <w:bottom w:val="none" w:sz="0" w:space="0" w:color="auto"/>
                    <w:right w:val="none" w:sz="0" w:space="0" w:color="auto"/>
                  </w:divBdr>
                  <w:divsChild>
                    <w:div w:id="809059953">
                      <w:marLeft w:val="0"/>
                      <w:marRight w:val="0"/>
                      <w:marTop w:val="0"/>
                      <w:marBottom w:val="0"/>
                      <w:divBdr>
                        <w:top w:val="none" w:sz="0" w:space="0" w:color="auto"/>
                        <w:left w:val="none" w:sz="0" w:space="0" w:color="auto"/>
                        <w:bottom w:val="none" w:sz="0" w:space="0" w:color="auto"/>
                        <w:right w:val="none" w:sz="0" w:space="0" w:color="auto"/>
                      </w:divBdr>
                    </w:div>
                  </w:divsChild>
                </w:div>
                <w:div w:id="1931884936">
                  <w:marLeft w:val="0"/>
                  <w:marRight w:val="0"/>
                  <w:marTop w:val="0"/>
                  <w:marBottom w:val="0"/>
                  <w:divBdr>
                    <w:top w:val="none" w:sz="0" w:space="0" w:color="auto"/>
                    <w:left w:val="none" w:sz="0" w:space="0" w:color="auto"/>
                    <w:bottom w:val="none" w:sz="0" w:space="0" w:color="auto"/>
                    <w:right w:val="none" w:sz="0" w:space="0" w:color="auto"/>
                  </w:divBdr>
                  <w:divsChild>
                    <w:div w:id="1094207983">
                      <w:marLeft w:val="0"/>
                      <w:marRight w:val="0"/>
                      <w:marTop w:val="0"/>
                      <w:marBottom w:val="0"/>
                      <w:divBdr>
                        <w:top w:val="none" w:sz="0" w:space="0" w:color="auto"/>
                        <w:left w:val="none" w:sz="0" w:space="0" w:color="auto"/>
                        <w:bottom w:val="none" w:sz="0" w:space="0" w:color="auto"/>
                        <w:right w:val="none" w:sz="0" w:space="0" w:color="auto"/>
                      </w:divBdr>
                    </w:div>
                  </w:divsChild>
                </w:div>
                <w:div w:id="1935478895">
                  <w:marLeft w:val="0"/>
                  <w:marRight w:val="0"/>
                  <w:marTop w:val="0"/>
                  <w:marBottom w:val="0"/>
                  <w:divBdr>
                    <w:top w:val="none" w:sz="0" w:space="0" w:color="auto"/>
                    <w:left w:val="none" w:sz="0" w:space="0" w:color="auto"/>
                    <w:bottom w:val="none" w:sz="0" w:space="0" w:color="auto"/>
                    <w:right w:val="none" w:sz="0" w:space="0" w:color="auto"/>
                  </w:divBdr>
                  <w:divsChild>
                    <w:div w:id="1008289813">
                      <w:marLeft w:val="0"/>
                      <w:marRight w:val="0"/>
                      <w:marTop w:val="0"/>
                      <w:marBottom w:val="0"/>
                      <w:divBdr>
                        <w:top w:val="none" w:sz="0" w:space="0" w:color="auto"/>
                        <w:left w:val="none" w:sz="0" w:space="0" w:color="auto"/>
                        <w:bottom w:val="none" w:sz="0" w:space="0" w:color="auto"/>
                        <w:right w:val="none" w:sz="0" w:space="0" w:color="auto"/>
                      </w:divBdr>
                    </w:div>
                  </w:divsChild>
                </w:div>
                <w:div w:id="1944217415">
                  <w:marLeft w:val="0"/>
                  <w:marRight w:val="0"/>
                  <w:marTop w:val="0"/>
                  <w:marBottom w:val="0"/>
                  <w:divBdr>
                    <w:top w:val="none" w:sz="0" w:space="0" w:color="auto"/>
                    <w:left w:val="none" w:sz="0" w:space="0" w:color="auto"/>
                    <w:bottom w:val="none" w:sz="0" w:space="0" w:color="auto"/>
                    <w:right w:val="none" w:sz="0" w:space="0" w:color="auto"/>
                  </w:divBdr>
                  <w:divsChild>
                    <w:div w:id="880090621">
                      <w:marLeft w:val="0"/>
                      <w:marRight w:val="0"/>
                      <w:marTop w:val="0"/>
                      <w:marBottom w:val="0"/>
                      <w:divBdr>
                        <w:top w:val="none" w:sz="0" w:space="0" w:color="auto"/>
                        <w:left w:val="none" w:sz="0" w:space="0" w:color="auto"/>
                        <w:bottom w:val="none" w:sz="0" w:space="0" w:color="auto"/>
                        <w:right w:val="none" w:sz="0" w:space="0" w:color="auto"/>
                      </w:divBdr>
                    </w:div>
                  </w:divsChild>
                </w:div>
                <w:div w:id="1974827150">
                  <w:marLeft w:val="0"/>
                  <w:marRight w:val="0"/>
                  <w:marTop w:val="0"/>
                  <w:marBottom w:val="0"/>
                  <w:divBdr>
                    <w:top w:val="none" w:sz="0" w:space="0" w:color="auto"/>
                    <w:left w:val="none" w:sz="0" w:space="0" w:color="auto"/>
                    <w:bottom w:val="none" w:sz="0" w:space="0" w:color="auto"/>
                    <w:right w:val="none" w:sz="0" w:space="0" w:color="auto"/>
                  </w:divBdr>
                  <w:divsChild>
                    <w:div w:id="1789543425">
                      <w:marLeft w:val="0"/>
                      <w:marRight w:val="0"/>
                      <w:marTop w:val="0"/>
                      <w:marBottom w:val="0"/>
                      <w:divBdr>
                        <w:top w:val="none" w:sz="0" w:space="0" w:color="auto"/>
                        <w:left w:val="none" w:sz="0" w:space="0" w:color="auto"/>
                        <w:bottom w:val="none" w:sz="0" w:space="0" w:color="auto"/>
                        <w:right w:val="none" w:sz="0" w:space="0" w:color="auto"/>
                      </w:divBdr>
                    </w:div>
                  </w:divsChild>
                </w:div>
                <w:div w:id="1975521348">
                  <w:marLeft w:val="0"/>
                  <w:marRight w:val="0"/>
                  <w:marTop w:val="0"/>
                  <w:marBottom w:val="0"/>
                  <w:divBdr>
                    <w:top w:val="none" w:sz="0" w:space="0" w:color="auto"/>
                    <w:left w:val="none" w:sz="0" w:space="0" w:color="auto"/>
                    <w:bottom w:val="none" w:sz="0" w:space="0" w:color="auto"/>
                    <w:right w:val="none" w:sz="0" w:space="0" w:color="auto"/>
                  </w:divBdr>
                  <w:divsChild>
                    <w:div w:id="1448312100">
                      <w:marLeft w:val="0"/>
                      <w:marRight w:val="0"/>
                      <w:marTop w:val="0"/>
                      <w:marBottom w:val="0"/>
                      <w:divBdr>
                        <w:top w:val="none" w:sz="0" w:space="0" w:color="auto"/>
                        <w:left w:val="none" w:sz="0" w:space="0" w:color="auto"/>
                        <w:bottom w:val="none" w:sz="0" w:space="0" w:color="auto"/>
                        <w:right w:val="none" w:sz="0" w:space="0" w:color="auto"/>
                      </w:divBdr>
                    </w:div>
                  </w:divsChild>
                </w:div>
                <w:div w:id="1977681628">
                  <w:marLeft w:val="0"/>
                  <w:marRight w:val="0"/>
                  <w:marTop w:val="0"/>
                  <w:marBottom w:val="0"/>
                  <w:divBdr>
                    <w:top w:val="none" w:sz="0" w:space="0" w:color="auto"/>
                    <w:left w:val="none" w:sz="0" w:space="0" w:color="auto"/>
                    <w:bottom w:val="none" w:sz="0" w:space="0" w:color="auto"/>
                    <w:right w:val="none" w:sz="0" w:space="0" w:color="auto"/>
                  </w:divBdr>
                  <w:divsChild>
                    <w:div w:id="1448549921">
                      <w:marLeft w:val="0"/>
                      <w:marRight w:val="0"/>
                      <w:marTop w:val="0"/>
                      <w:marBottom w:val="0"/>
                      <w:divBdr>
                        <w:top w:val="none" w:sz="0" w:space="0" w:color="auto"/>
                        <w:left w:val="none" w:sz="0" w:space="0" w:color="auto"/>
                        <w:bottom w:val="none" w:sz="0" w:space="0" w:color="auto"/>
                        <w:right w:val="none" w:sz="0" w:space="0" w:color="auto"/>
                      </w:divBdr>
                    </w:div>
                  </w:divsChild>
                </w:div>
                <w:div w:id="1988851792">
                  <w:marLeft w:val="0"/>
                  <w:marRight w:val="0"/>
                  <w:marTop w:val="0"/>
                  <w:marBottom w:val="0"/>
                  <w:divBdr>
                    <w:top w:val="none" w:sz="0" w:space="0" w:color="auto"/>
                    <w:left w:val="none" w:sz="0" w:space="0" w:color="auto"/>
                    <w:bottom w:val="none" w:sz="0" w:space="0" w:color="auto"/>
                    <w:right w:val="none" w:sz="0" w:space="0" w:color="auto"/>
                  </w:divBdr>
                  <w:divsChild>
                    <w:div w:id="1235627164">
                      <w:marLeft w:val="0"/>
                      <w:marRight w:val="0"/>
                      <w:marTop w:val="0"/>
                      <w:marBottom w:val="0"/>
                      <w:divBdr>
                        <w:top w:val="none" w:sz="0" w:space="0" w:color="auto"/>
                        <w:left w:val="none" w:sz="0" w:space="0" w:color="auto"/>
                        <w:bottom w:val="none" w:sz="0" w:space="0" w:color="auto"/>
                        <w:right w:val="none" w:sz="0" w:space="0" w:color="auto"/>
                      </w:divBdr>
                    </w:div>
                  </w:divsChild>
                </w:div>
                <w:div w:id="2001688613">
                  <w:marLeft w:val="0"/>
                  <w:marRight w:val="0"/>
                  <w:marTop w:val="0"/>
                  <w:marBottom w:val="0"/>
                  <w:divBdr>
                    <w:top w:val="none" w:sz="0" w:space="0" w:color="auto"/>
                    <w:left w:val="none" w:sz="0" w:space="0" w:color="auto"/>
                    <w:bottom w:val="none" w:sz="0" w:space="0" w:color="auto"/>
                    <w:right w:val="none" w:sz="0" w:space="0" w:color="auto"/>
                  </w:divBdr>
                  <w:divsChild>
                    <w:div w:id="1019431664">
                      <w:marLeft w:val="0"/>
                      <w:marRight w:val="0"/>
                      <w:marTop w:val="0"/>
                      <w:marBottom w:val="0"/>
                      <w:divBdr>
                        <w:top w:val="none" w:sz="0" w:space="0" w:color="auto"/>
                        <w:left w:val="none" w:sz="0" w:space="0" w:color="auto"/>
                        <w:bottom w:val="none" w:sz="0" w:space="0" w:color="auto"/>
                        <w:right w:val="none" w:sz="0" w:space="0" w:color="auto"/>
                      </w:divBdr>
                    </w:div>
                  </w:divsChild>
                </w:div>
                <w:div w:id="2005862012">
                  <w:marLeft w:val="0"/>
                  <w:marRight w:val="0"/>
                  <w:marTop w:val="0"/>
                  <w:marBottom w:val="0"/>
                  <w:divBdr>
                    <w:top w:val="none" w:sz="0" w:space="0" w:color="auto"/>
                    <w:left w:val="none" w:sz="0" w:space="0" w:color="auto"/>
                    <w:bottom w:val="none" w:sz="0" w:space="0" w:color="auto"/>
                    <w:right w:val="none" w:sz="0" w:space="0" w:color="auto"/>
                  </w:divBdr>
                  <w:divsChild>
                    <w:div w:id="1538735488">
                      <w:marLeft w:val="0"/>
                      <w:marRight w:val="0"/>
                      <w:marTop w:val="0"/>
                      <w:marBottom w:val="0"/>
                      <w:divBdr>
                        <w:top w:val="none" w:sz="0" w:space="0" w:color="auto"/>
                        <w:left w:val="none" w:sz="0" w:space="0" w:color="auto"/>
                        <w:bottom w:val="none" w:sz="0" w:space="0" w:color="auto"/>
                        <w:right w:val="none" w:sz="0" w:space="0" w:color="auto"/>
                      </w:divBdr>
                    </w:div>
                  </w:divsChild>
                </w:div>
                <w:div w:id="2032218861">
                  <w:marLeft w:val="0"/>
                  <w:marRight w:val="0"/>
                  <w:marTop w:val="0"/>
                  <w:marBottom w:val="0"/>
                  <w:divBdr>
                    <w:top w:val="none" w:sz="0" w:space="0" w:color="auto"/>
                    <w:left w:val="none" w:sz="0" w:space="0" w:color="auto"/>
                    <w:bottom w:val="none" w:sz="0" w:space="0" w:color="auto"/>
                    <w:right w:val="none" w:sz="0" w:space="0" w:color="auto"/>
                  </w:divBdr>
                  <w:divsChild>
                    <w:div w:id="950816723">
                      <w:marLeft w:val="0"/>
                      <w:marRight w:val="0"/>
                      <w:marTop w:val="0"/>
                      <w:marBottom w:val="0"/>
                      <w:divBdr>
                        <w:top w:val="none" w:sz="0" w:space="0" w:color="auto"/>
                        <w:left w:val="none" w:sz="0" w:space="0" w:color="auto"/>
                        <w:bottom w:val="none" w:sz="0" w:space="0" w:color="auto"/>
                        <w:right w:val="none" w:sz="0" w:space="0" w:color="auto"/>
                      </w:divBdr>
                    </w:div>
                  </w:divsChild>
                </w:div>
                <w:div w:id="2032955829">
                  <w:marLeft w:val="0"/>
                  <w:marRight w:val="0"/>
                  <w:marTop w:val="0"/>
                  <w:marBottom w:val="0"/>
                  <w:divBdr>
                    <w:top w:val="none" w:sz="0" w:space="0" w:color="auto"/>
                    <w:left w:val="none" w:sz="0" w:space="0" w:color="auto"/>
                    <w:bottom w:val="none" w:sz="0" w:space="0" w:color="auto"/>
                    <w:right w:val="none" w:sz="0" w:space="0" w:color="auto"/>
                  </w:divBdr>
                  <w:divsChild>
                    <w:div w:id="85467652">
                      <w:marLeft w:val="0"/>
                      <w:marRight w:val="0"/>
                      <w:marTop w:val="0"/>
                      <w:marBottom w:val="0"/>
                      <w:divBdr>
                        <w:top w:val="none" w:sz="0" w:space="0" w:color="auto"/>
                        <w:left w:val="none" w:sz="0" w:space="0" w:color="auto"/>
                        <w:bottom w:val="none" w:sz="0" w:space="0" w:color="auto"/>
                        <w:right w:val="none" w:sz="0" w:space="0" w:color="auto"/>
                      </w:divBdr>
                    </w:div>
                  </w:divsChild>
                </w:div>
                <w:div w:id="2055738644">
                  <w:marLeft w:val="0"/>
                  <w:marRight w:val="0"/>
                  <w:marTop w:val="0"/>
                  <w:marBottom w:val="0"/>
                  <w:divBdr>
                    <w:top w:val="none" w:sz="0" w:space="0" w:color="auto"/>
                    <w:left w:val="none" w:sz="0" w:space="0" w:color="auto"/>
                    <w:bottom w:val="none" w:sz="0" w:space="0" w:color="auto"/>
                    <w:right w:val="none" w:sz="0" w:space="0" w:color="auto"/>
                  </w:divBdr>
                  <w:divsChild>
                    <w:div w:id="194928229">
                      <w:marLeft w:val="0"/>
                      <w:marRight w:val="0"/>
                      <w:marTop w:val="0"/>
                      <w:marBottom w:val="0"/>
                      <w:divBdr>
                        <w:top w:val="none" w:sz="0" w:space="0" w:color="auto"/>
                        <w:left w:val="none" w:sz="0" w:space="0" w:color="auto"/>
                        <w:bottom w:val="none" w:sz="0" w:space="0" w:color="auto"/>
                        <w:right w:val="none" w:sz="0" w:space="0" w:color="auto"/>
                      </w:divBdr>
                    </w:div>
                  </w:divsChild>
                </w:div>
                <w:div w:id="2091656579">
                  <w:marLeft w:val="0"/>
                  <w:marRight w:val="0"/>
                  <w:marTop w:val="0"/>
                  <w:marBottom w:val="0"/>
                  <w:divBdr>
                    <w:top w:val="none" w:sz="0" w:space="0" w:color="auto"/>
                    <w:left w:val="none" w:sz="0" w:space="0" w:color="auto"/>
                    <w:bottom w:val="none" w:sz="0" w:space="0" w:color="auto"/>
                    <w:right w:val="none" w:sz="0" w:space="0" w:color="auto"/>
                  </w:divBdr>
                  <w:divsChild>
                    <w:div w:id="1333877589">
                      <w:marLeft w:val="0"/>
                      <w:marRight w:val="0"/>
                      <w:marTop w:val="0"/>
                      <w:marBottom w:val="0"/>
                      <w:divBdr>
                        <w:top w:val="none" w:sz="0" w:space="0" w:color="auto"/>
                        <w:left w:val="none" w:sz="0" w:space="0" w:color="auto"/>
                        <w:bottom w:val="none" w:sz="0" w:space="0" w:color="auto"/>
                        <w:right w:val="none" w:sz="0" w:space="0" w:color="auto"/>
                      </w:divBdr>
                    </w:div>
                  </w:divsChild>
                </w:div>
                <w:div w:id="2095977009">
                  <w:marLeft w:val="0"/>
                  <w:marRight w:val="0"/>
                  <w:marTop w:val="0"/>
                  <w:marBottom w:val="0"/>
                  <w:divBdr>
                    <w:top w:val="none" w:sz="0" w:space="0" w:color="auto"/>
                    <w:left w:val="none" w:sz="0" w:space="0" w:color="auto"/>
                    <w:bottom w:val="none" w:sz="0" w:space="0" w:color="auto"/>
                    <w:right w:val="none" w:sz="0" w:space="0" w:color="auto"/>
                  </w:divBdr>
                  <w:divsChild>
                    <w:div w:id="1178080567">
                      <w:marLeft w:val="0"/>
                      <w:marRight w:val="0"/>
                      <w:marTop w:val="0"/>
                      <w:marBottom w:val="0"/>
                      <w:divBdr>
                        <w:top w:val="none" w:sz="0" w:space="0" w:color="auto"/>
                        <w:left w:val="none" w:sz="0" w:space="0" w:color="auto"/>
                        <w:bottom w:val="none" w:sz="0" w:space="0" w:color="auto"/>
                        <w:right w:val="none" w:sz="0" w:space="0" w:color="auto"/>
                      </w:divBdr>
                    </w:div>
                  </w:divsChild>
                </w:div>
                <w:div w:id="2099787102">
                  <w:marLeft w:val="0"/>
                  <w:marRight w:val="0"/>
                  <w:marTop w:val="0"/>
                  <w:marBottom w:val="0"/>
                  <w:divBdr>
                    <w:top w:val="none" w:sz="0" w:space="0" w:color="auto"/>
                    <w:left w:val="none" w:sz="0" w:space="0" w:color="auto"/>
                    <w:bottom w:val="none" w:sz="0" w:space="0" w:color="auto"/>
                    <w:right w:val="none" w:sz="0" w:space="0" w:color="auto"/>
                  </w:divBdr>
                  <w:divsChild>
                    <w:div w:id="43062016">
                      <w:marLeft w:val="0"/>
                      <w:marRight w:val="0"/>
                      <w:marTop w:val="0"/>
                      <w:marBottom w:val="0"/>
                      <w:divBdr>
                        <w:top w:val="none" w:sz="0" w:space="0" w:color="auto"/>
                        <w:left w:val="none" w:sz="0" w:space="0" w:color="auto"/>
                        <w:bottom w:val="none" w:sz="0" w:space="0" w:color="auto"/>
                        <w:right w:val="none" w:sz="0" w:space="0" w:color="auto"/>
                      </w:divBdr>
                    </w:div>
                  </w:divsChild>
                </w:div>
                <w:div w:id="2105300392">
                  <w:marLeft w:val="0"/>
                  <w:marRight w:val="0"/>
                  <w:marTop w:val="0"/>
                  <w:marBottom w:val="0"/>
                  <w:divBdr>
                    <w:top w:val="none" w:sz="0" w:space="0" w:color="auto"/>
                    <w:left w:val="none" w:sz="0" w:space="0" w:color="auto"/>
                    <w:bottom w:val="none" w:sz="0" w:space="0" w:color="auto"/>
                    <w:right w:val="none" w:sz="0" w:space="0" w:color="auto"/>
                  </w:divBdr>
                  <w:divsChild>
                    <w:div w:id="579369789">
                      <w:marLeft w:val="0"/>
                      <w:marRight w:val="0"/>
                      <w:marTop w:val="0"/>
                      <w:marBottom w:val="0"/>
                      <w:divBdr>
                        <w:top w:val="none" w:sz="0" w:space="0" w:color="auto"/>
                        <w:left w:val="none" w:sz="0" w:space="0" w:color="auto"/>
                        <w:bottom w:val="none" w:sz="0" w:space="0" w:color="auto"/>
                        <w:right w:val="none" w:sz="0" w:space="0" w:color="auto"/>
                      </w:divBdr>
                    </w:div>
                  </w:divsChild>
                </w:div>
                <w:div w:id="2118215891">
                  <w:marLeft w:val="0"/>
                  <w:marRight w:val="0"/>
                  <w:marTop w:val="0"/>
                  <w:marBottom w:val="0"/>
                  <w:divBdr>
                    <w:top w:val="none" w:sz="0" w:space="0" w:color="auto"/>
                    <w:left w:val="none" w:sz="0" w:space="0" w:color="auto"/>
                    <w:bottom w:val="none" w:sz="0" w:space="0" w:color="auto"/>
                    <w:right w:val="none" w:sz="0" w:space="0" w:color="auto"/>
                  </w:divBdr>
                  <w:divsChild>
                    <w:div w:id="690571382">
                      <w:marLeft w:val="0"/>
                      <w:marRight w:val="0"/>
                      <w:marTop w:val="0"/>
                      <w:marBottom w:val="0"/>
                      <w:divBdr>
                        <w:top w:val="none" w:sz="0" w:space="0" w:color="auto"/>
                        <w:left w:val="none" w:sz="0" w:space="0" w:color="auto"/>
                        <w:bottom w:val="none" w:sz="0" w:space="0" w:color="auto"/>
                        <w:right w:val="none" w:sz="0" w:space="0" w:color="auto"/>
                      </w:divBdr>
                    </w:div>
                  </w:divsChild>
                </w:div>
                <w:div w:id="2128573375">
                  <w:marLeft w:val="0"/>
                  <w:marRight w:val="0"/>
                  <w:marTop w:val="0"/>
                  <w:marBottom w:val="0"/>
                  <w:divBdr>
                    <w:top w:val="none" w:sz="0" w:space="0" w:color="auto"/>
                    <w:left w:val="none" w:sz="0" w:space="0" w:color="auto"/>
                    <w:bottom w:val="none" w:sz="0" w:space="0" w:color="auto"/>
                    <w:right w:val="none" w:sz="0" w:space="0" w:color="auto"/>
                  </w:divBdr>
                  <w:divsChild>
                    <w:div w:id="416290624">
                      <w:marLeft w:val="0"/>
                      <w:marRight w:val="0"/>
                      <w:marTop w:val="0"/>
                      <w:marBottom w:val="0"/>
                      <w:divBdr>
                        <w:top w:val="none" w:sz="0" w:space="0" w:color="auto"/>
                        <w:left w:val="none" w:sz="0" w:space="0" w:color="auto"/>
                        <w:bottom w:val="none" w:sz="0" w:space="0" w:color="auto"/>
                        <w:right w:val="none" w:sz="0" w:space="0" w:color="auto"/>
                      </w:divBdr>
                    </w:div>
                  </w:divsChild>
                </w:div>
                <w:div w:id="2131052838">
                  <w:marLeft w:val="0"/>
                  <w:marRight w:val="0"/>
                  <w:marTop w:val="0"/>
                  <w:marBottom w:val="0"/>
                  <w:divBdr>
                    <w:top w:val="none" w:sz="0" w:space="0" w:color="auto"/>
                    <w:left w:val="none" w:sz="0" w:space="0" w:color="auto"/>
                    <w:bottom w:val="none" w:sz="0" w:space="0" w:color="auto"/>
                    <w:right w:val="none" w:sz="0" w:space="0" w:color="auto"/>
                  </w:divBdr>
                  <w:divsChild>
                    <w:div w:id="203240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37352">
          <w:marLeft w:val="0"/>
          <w:marRight w:val="0"/>
          <w:marTop w:val="0"/>
          <w:marBottom w:val="0"/>
          <w:divBdr>
            <w:top w:val="none" w:sz="0" w:space="0" w:color="auto"/>
            <w:left w:val="none" w:sz="0" w:space="0" w:color="auto"/>
            <w:bottom w:val="none" w:sz="0" w:space="0" w:color="auto"/>
            <w:right w:val="none" w:sz="0" w:space="0" w:color="auto"/>
          </w:divBdr>
        </w:div>
        <w:div w:id="1277055258">
          <w:marLeft w:val="0"/>
          <w:marRight w:val="0"/>
          <w:marTop w:val="0"/>
          <w:marBottom w:val="0"/>
          <w:divBdr>
            <w:top w:val="none" w:sz="0" w:space="0" w:color="auto"/>
            <w:left w:val="none" w:sz="0" w:space="0" w:color="auto"/>
            <w:bottom w:val="none" w:sz="0" w:space="0" w:color="auto"/>
            <w:right w:val="none" w:sz="0" w:space="0" w:color="auto"/>
          </w:divBdr>
        </w:div>
      </w:divsChild>
    </w:div>
    <w:div w:id="1724328371">
      <w:bodyDiv w:val="1"/>
      <w:marLeft w:val="0"/>
      <w:marRight w:val="0"/>
      <w:marTop w:val="0"/>
      <w:marBottom w:val="0"/>
      <w:divBdr>
        <w:top w:val="none" w:sz="0" w:space="0" w:color="auto"/>
        <w:left w:val="none" w:sz="0" w:space="0" w:color="auto"/>
        <w:bottom w:val="none" w:sz="0" w:space="0" w:color="auto"/>
        <w:right w:val="none" w:sz="0" w:space="0" w:color="auto"/>
      </w:divBdr>
    </w:div>
    <w:div w:id="1730106582">
      <w:bodyDiv w:val="1"/>
      <w:marLeft w:val="0"/>
      <w:marRight w:val="0"/>
      <w:marTop w:val="0"/>
      <w:marBottom w:val="0"/>
      <w:divBdr>
        <w:top w:val="none" w:sz="0" w:space="0" w:color="auto"/>
        <w:left w:val="none" w:sz="0" w:space="0" w:color="auto"/>
        <w:bottom w:val="none" w:sz="0" w:space="0" w:color="auto"/>
        <w:right w:val="none" w:sz="0" w:space="0" w:color="auto"/>
      </w:divBdr>
    </w:div>
    <w:div w:id="1735738969">
      <w:bodyDiv w:val="1"/>
      <w:marLeft w:val="0"/>
      <w:marRight w:val="0"/>
      <w:marTop w:val="0"/>
      <w:marBottom w:val="0"/>
      <w:divBdr>
        <w:top w:val="none" w:sz="0" w:space="0" w:color="auto"/>
        <w:left w:val="none" w:sz="0" w:space="0" w:color="auto"/>
        <w:bottom w:val="none" w:sz="0" w:space="0" w:color="auto"/>
        <w:right w:val="none" w:sz="0" w:space="0" w:color="auto"/>
      </w:divBdr>
    </w:div>
    <w:div w:id="1783575861">
      <w:bodyDiv w:val="1"/>
      <w:marLeft w:val="0"/>
      <w:marRight w:val="0"/>
      <w:marTop w:val="0"/>
      <w:marBottom w:val="0"/>
      <w:divBdr>
        <w:top w:val="none" w:sz="0" w:space="0" w:color="auto"/>
        <w:left w:val="none" w:sz="0" w:space="0" w:color="auto"/>
        <w:bottom w:val="none" w:sz="0" w:space="0" w:color="auto"/>
        <w:right w:val="none" w:sz="0" w:space="0" w:color="auto"/>
      </w:divBdr>
      <w:divsChild>
        <w:div w:id="99111591">
          <w:marLeft w:val="0"/>
          <w:marRight w:val="0"/>
          <w:marTop w:val="0"/>
          <w:marBottom w:val="0"/>
          <w:divBdr>
            <w:top w:val="none" w:sz="0" w:space="0" w:color="auto"/>
            <w:left w:val="none" w:sz="0" w:space="0" w:color="auto"/>
            <w:bottom w:val="none" w:sz="0" w:space="0" w:color="auto"/>
            <w:right w:val="none" w:sz="0" w:space="0" w:color="auto"/>
          </w:divBdr>
        </w:div>
        <w:div w:id="512770297">
          <w:marLeft w:val="0"/>
          <w:marRight w:val="0"/>
          <w:marTop w:val="0"/>
          <w:marBottom w:val="0"/>
          <w:divBdr>
            <w:top w:val="none" w:sz="0" w:space="0" w:color="auto"/>
            <w:left w:val="none" w:sz="0" w:space="0" w:color="auto"/>
            <w:bottom w:val="none" w:sz="0" w:space="0" w:color="auto"/>
            <w:right w:val="none" w:sz="0" w:space="0" w:color="auto"/>
          </w:divBdr>
        </w:div>
        <w:div w:id="866912635">
          <w:marLeft w:val="0"/>
          <w:marRight w:val="0"/>
          <w:marTop w:val="0"/>
          <w:marBottom w:val="0"/>
          <w:divBdr>
            <w:top w:val="none" w:sz="0" w:space="0" w:color="auto"/>
            <w:left w:val="none" w:sz="0" w:space="0" w:color="auto"/>
            <w:bottom w:val="none" w:sz="0" w:space="0" w:color="auto"/>
            <w:right w:val="none" w:sz="0" w:space="0" w:color="auto"/>
          </w:divBdr>
        </w:div>
        <w:div w:id="966281167">
          <w:marLeft w:val="0"/>
          <w:marRight w:val="0"/>
          <w:marTop w:val="0"/>
          <w:marBottom w:val="0"/>
          <w:divBdr>
            <w:top w:val="none" w:sz="0" w:space="0" w:color="auto"/>
            <w:left w:val="none" w:sz="0" w:space="0" w:color="auto"/>
            <w:bottom w:val="none" w:sz="0" w:space="0" w:color="auto"/>
            <w:right w:val="none" w:sz="0" w:space="0" w:color="auto"/>
          </w:divBdr>
        </w:div>
        <w:div w:id="1031609101">
          <w:marLeft w:val="0"/>
          <w:marRight w:val="0"/>
          <w:marTop w:val="0"/>
          <w:marBottom w:val="0"/>
          <w:divBdr>
            <w:top w:val="none" w:sz="0" w:space="0" w:color="auto"/>
            <w:left w:val="none" w:sz="0" w:space="0" w:color="auto"/>
            <w:bottom w:val="none" w:sz="0" w:space="0" w:color="auto"/>
            <w:right w:val="none" w:sz="0" w:space="0" w:color="auto"/>
          </w:divBdr>
        </w:div>
        <w:div w:id="1647120819">
          <w:marLeft w:val="0"/>
          <w:marRight w:val="0"/>
          <w:marTop w:val="0"/>
          <w:marBottom w:val="0"/>
          <w:divBdr>
            <w:top w:val="none" w:sz="0" w:space="0" w:color="auto"/>
            <w:left w:val="none" w:sz="0" w:space="0" w:color="auto"/>
            <w:bottom w:val="none" w:sz="0" w:space="0" w:color="auto"/>
            <w:right w:val="none" w:sz="0" w:space="0" w:color="auto"/>
          </w:divBdr>
        </w:div>
        <w:div w:id="2011372494">
          <w:marLeft w:val="0"/>
          <w:marRight w:val="0"/>
          <w:marTop w:val="0"/>
          <w:marBottom w:val="0"/>
          <w:divBdr>
            <w:top w:val="none" w:sz="0" w:space="0" w:color="auto"/>
            <w:left w:val="none" w:sz="0" w:space="0" w:color="auto"/>
            <w:bottom w:val="none" w:sz="0" w:space="0" w:color="auto"/>
            <w:right w:val="none" w:sz="0" w:space="0" w:color="auto"/>
          </w:divBdr>
        </w:div>
        <w:div w:id="2089374947">
          <w:marLeft w:val="0"/>
          <w:marRight w:val="0"/>
          <w:marTop w:val="0"/>
          <w:marBottom w:val="0"/>
          <w:divBdr>
            <w:top w:val="none" w:sz="0" w:space="0" w:color="auto"/>
            <w:left w:val="none" w:sz="0" w:space="0" w:color="auto"/>
            <w:bottom w:val="none" w:sz="0" w:space="0" w:color="auto"/>
            <w:right w:val="none" w:sz="0" w:space="0" w:color="auto"/>
          </w:divBdr>
        </w:div>
      </w:divsChild>
    </w:div>
    <w:div w:id="1931087161">
      <w:bodyDiv w:val="1"/>
      <w:marLeft w:val="0"/>
      <w:marRight w:val="0"/>
      <w:marTop w:val="0"/>
      <w:marBottom w:val="0"/>
      <w:divBdr>
        <w:top w:val="none" w:sz="0" w:space="0" w:color="auto"/>
        <w:left w:val="none" w:sz="0" w:space="0" w:color="auto"/>
        <w:bottom w:val="none" w:sz="0" w:space="0" w:color="auto"/>
        <w:right w:val="none" w:sz="0" w:space="0" w:color="auto"/>
      </w:divBdr>
    </w:div>
    <w:div w:id="2128740849">
      <w:bodyDiv w:val="1"/>
      <w:marLeft w:val="0"/>
      <w:marRight w:val="0"/>
      <w:marTop w:val="0"/>
      <w:marBottom w:val="0"/>
      <w:divBdr>
        <w:top w:val="none" w:sz="0" w:space="0" w:color="auto"/>
        <w:left w:val="none" w:sz="0" w:space="0" w:color="auto"/>
        <w:bottom w:val="none" w:sz="0" w:space="0" w:color="auto"/>
        <w:right w:val="none" w:sz="0" w:space="0" w:color="auto"/>
      </w:divBdr>
      <w:divsChild>
        <w:div w:id="600603620">
          <w:marLeft w:val="0"/>
          <w:marRight w:val="0"/>
          <w:marTop w:val="0"/>
          <w:marBottom w:val="0"/>
          <w:divBdr>
            <w:top w:val="none" w:sz="0" w:space="0" w:color="auto"/>
            <w:left w:val="none" w:sz="0" w:space="0" w:color="auto"/>
            <w:bottom w:val="none" w:sz="0" w:space="0" w:color="auto"/>
            <w:right w:val="none" w:sz="0" w:space="0" w:color="auto"/>
          </w:divBdr>
          <w:divsChild>
            <w:div w:id="35858935">
              <w:marLeft w:val="0"/>
              <w:marRight w:val="0"/>
              <w:marTop w:val="0"/>
              <w:marBottom w:val="0"/>
              <w:divBdr>
                <w:top w:val="none" w:sz="0" w:space="0" w:color="auto"/>
                <w:left w:val="none" w:sz="0" w:space="0" w:color="auto"/>
                <w:bottom w:val="none" w:sz="0" w:space="0" w:color="auto"/>
                <w:right w:val="none" w:sz="0" w:space="0" w:color="auto"/>
              </w:divBdr>
            </w:div>
            <w:div w:id="108207862">
              <w:marLeft w:val="0"/>
              <w:marRight w:val="0"/>
              <w:marTop w:val="0"/>
              <w:marBottom w:val="0"/>
              <w:divBdr>
                <w:top w:val="none" w:sz="0" w:space="0" w:color="auto"/>
                <w:left w:val="none" w:sz="0" w:space="0" w:color="auto"/>
                <w:bottom w:val="none" w:sz="0" w:space="0" w:color="auto"/>
                <w:right w:val="none" w:sz="0" w:space="0" w:color="auto"/>
              </w:divBdr>
            </w:div>
            <w:div w:id="145439990">
              <w:marLeft w:val="0"/>
              <w:marRight w:val="0"/>
              <w:marTop w:val="0"/>
              <w:marBottom w:val="0"/>
              <w:divBdr>
                <w:top w:val="none" w:sz="0" w:space="0" w:color="auto"/>
                <w:left w:val="none" w:sz="0" w:space="0" w:color="auto"/>
                <w:bottom w:val="none" w:sz="0" w:space="0" w:color="auto"/>
                <w:right w:val="none" w:sz="0" w:space="0" w:color="auto"/>
              </w:divBdr>
            </w:div>
            <w:div w:id="296111683">
              <w:marLeft w:val="0"/>
              <w:marRight w:val="0"/>
              <w:marTop w:val="0"/>
              <w:marBottom w:val="0"/>
              <w:divBdr>
                <w:top w:val="none" w:sz="0" w:space="0" w:color="auto"/>
                <w:left w:val="none" w:sz="0" w:space="0" w:color="auto"/>
                <w:bottom w:val="none" w:sz="0" w:space="0" w:color="auto"/>
                <w:right w:val="none" w:sz="0" w:space="0" w:color="auto"/>
              </w:divBdr>
            </w:div>
            <w:div w:id="473838609">
              <w:marLeft w:val="0"/>
              <w:marRight w:val="0"/>
              <w:marTop w:val="0"/>
              <w:marBottom w:val="0"/>
              <w:divBdr>
                <w:top w:val="none" w:sz="0" w:space="0" w:color="auto"/>
                <w:left w:val="none" w:sz="0" w:space="0" w:color="auto"/>
                <w:bottom w:val="none" w:sz="0" w:space="0" w:color="auto"/>
                <w:right w:val="none" w:sz="0" w:space="0" w:color="auto"/>
              </w:divBdr>
            </w:div>
            <w:div w:id="479466992">
              <w:marLeft w:val="0"/>
              <w:marRight w:val="0"/>
              <w:marTop w:val="0"/>
              <w:marBottom w:val="0"/>
              <w:divBdr>
                <w:top w:val="none" w:sz="0" w:space="0" w:color="auto"/>
                <w:left w:val="none" w:sz="0" w:space="0" w:color="auto"/>
                <w:bottom w:val="none" w:sz="0" w:space="0" w:color="auto"/>
                <w:right w:val="none" w:sz="0" w:space="0" w:color="auto"/>
              </w:divBdr>
            </w:div>
            <w:div w:id="602225345">
              <w:marLeft w:val="0"/>
              <w:marRight w:val="0"/>
              <w:marTop w:val="0"/>
              <w:marBottom w:val="0"/>
              <w:divBdr>
                <w:top w:val="none" w:sz="0" w:space="0" w:color="auto"/>
                <w:left w:val="none" w:sz="0" w:space="0" w:color="auto"/>
                <w:bottom w:val="none" w:sz="0" w:space="0" w:color="auto"/>
                <w:right w:val="none" w:sz="0" w:space="0" w:color="auto"/>
              </w:divBdr>
            </w:div>
            <w:div w:id="683477464">
              <w:marLeft w:val="0"/>
              <w:marRight w:val="0"/>
              <w:marTop w:val="0"/>
              <w:marBottom w:val="0"/>
              <w:divBdr>
                <w:top w:val="none" w:sz="0" w:space="0" w:color="auto"/>
                <w:left w:val="none" w:sz="0" w:space="0" w:color="auto"/>
                <w:bottom w:val="none" w:sz="0" w:space="0" w:color="auto"/>
                <w:right w:val="none" w:sz="0" w:space="0" w:color="auto"/>
              </w:divBdr>
            </w:div>
            <w:div w:id="722558736">
              <w:marLeft w:val="0"/>
              <w:marRight w:val="0"/>
              <w:marTop w:val="0"/>
              <w:marBottom w:val="0"/>
              <w:divBdr>
                <w:top w:val="none" w:sz="0" w:space="0" w:color="auto"/>
                <w:left w:val="none" w:sz="0" w:space="0" w:color="auto"/>
                <w:bottom w:val="none" w:sz="0" w:space="0" w:color="auto"/>
                <w:right w:val="none" w:sz="0" w:space="0" w:color="auto"/>
              </w:divBdr>
            </w:div>
            <w:div w:id="761997565">
              <w:marLeft w:val="0"/>
              <w:marRight w:val="0"/>
              <w:marTop w:val="0"/>
              <w:marBottom w:val="0"/>
              <w:divBdr>
                <w:top w:val="none" w:sz="0" w:space="0" w:color="auto"/>
                <w:left w:val="none" w:sz="0" w:space="0" w:color="auto"/>
                <w:bottom w:val="none" w:sz="0" w:space="0" w:color="auto"/>
                <w:right w:val="none" w:sz="0" w:space="0" w:color="auto"/>
              </w:divBdr>
            </w:div>
            <w:div w:id="1033388227">
              <w:marLeft w:val="0"/>
              <w:marRight w:val="0"/>
              <w:marTop w:val="0"/>
              <w:marBottom w:val="0"/>
              <w:divBdr>
                <w:top w:val="none" w:sz="0" w:space="0" w:color="auto"/>
                <w:left w:val="none" w:sz="0" w:space="0" w:color="auto"/>
                <w:bottom w:val="none" w:sz="0" w:space="0" w:color="auto"/>
                <w:right w:val="none" w:sz="0" w:space="0" w:color="auto"/>
              </w:divBdr>
            </w:div>
            <w:div w:id="1060245857">
              <w:marLeft w:val="0"/>
              <w:marRight w:val="0"/>
              <w:marTop w:val="0"/>
              <w:marBottom w:val="0"/>
              <w:divBdr>
                <w:top w:val="none" w:sz="0" w:space="0" w:color="auto"/>
                <w:left w:val="none" w:sz="0" w:space="0" w:color="auto"/>
                <w:bottom w:val="none" w:sz="0" w:space="0" w:color="auto"/>
                <w:right w:val="none" w:sz="0" w:space="0" w:color="auto"/>
              </w:divBdr>
            </w:div>
            <w:div w:id="1291059977">
              <w:marLeft w:val="0"/>
              <w:marRight w:val="0"/>
              <w:marTop w:val="0"/>
              <w:marBottom w:val="0"/>
              <w:divBdr>
                <w:top w:val="none" w:sz="0" w:space="0" w:color="auto"/>
                <w:left w:val="none" w:sz="0" w:space="0" w:color="auto"/>
                <w:bottom w:val="none" w:sz="0" w:space="0" w:color="auto"/>
                <w:right w:val="none" w:sz="0" w:space="0" w:color="auto"/>
              </w:divBdr>
            </w:div>
            <w:div w:id="1425762161">
              <w:marLeft w:val="0"/>
              <w:marRight w:val="0"/>
              <w:marTop w:val="0"/>
              <w:marBottom w:val="0"/>
              <w:divBdr>
                <w:top w:val="none" w:sz="0" w:space="0" w:color="auto"/>
                <w:left w:val="none" w:sz="0" w:space="0" w:color="auto"/>
                <w:bottom w:val="none" w:sz="0" w:space="0" w:color="auto"/>
                <w:right w:val="none" w:sz="0" w:space="0" w:color="auto"/>
              </w:divBdr>
            </w:div>
            <w:div w:id="1524250444">
              <w:marLeft w:val="0"/>
              <w:marRight w:val="0"/>
              <w:marTop w:val="0"/>
              <w:marBottom w:val="0"/>
              <w:divBdr>
                <w:top w:val="none" w:sz="0" w:space="0" w:color="auto"/>
                <w:left w:val="none" w:sz="0" w:space="0" w:color="auto"/>
                <w:bottom w:val="none" w:sz="0" w:space="0" w:color="auto"/>
                <w:right w:val="none" w:sz="0" w:space="0" w:color="auto"/>
              </w:divBdr>
            </w:div>
            <w:div w:id="1618902942">
              <w:marLeft w:val="0"/>
              <w:marRight w:val="0"/>
              <w:marTop w:val="0"/>
              <w:marBottom w:val="0"/>
              <w:divBdr>
                <w:top w:val="none" w:sz="0" w:space="0" w:color="auto"/>
                <w:left w:val="none" w:sz="0" w:space="0" w:color="auto"/>
                <w:bottom w:val="none" w:sz="0" w:space="0" w:color="auto"/>
                <w:right w:val="none" w:sz="0" w:space="0" w:color="auto"/>
              </w:divBdr>
            </w:div>
            <w:div w:id="1699769191">
              <w:marLeft w:val="0"/>
              <w:marRight w:val="0"/>
              <w:marTop w:val="0"/>
              <w:marBottom w:val="0"/>
              <w:divBdr>
                <w:top w:val="none" w:sz="0" w:space="0" w:color="auto"/>
                <w:left w:val="none" w:sz="0" w:space="0" w:color="auto"/>
                <w:bottom w:val="none" w:sz="0" w:space="0" w:color="auto"/>
                <w:right w:val="none" w:sz="0" w:space="0" w:color="auto"/>
              </w:divBdr>
            </w:div>
            <w:div w:id="1724673215">
              <w:marLeft w:val="0"/>
              <w:marRight w:val="0"/>
              <w:marTop w:val="0"/>
              <w:marBottom w:val="0"/>
              <w:divBdr>
                <w:top w:val="none" w:sz="0" w:space="0" w:color="auto"/>
                <w:left w:val="none" w:sz="0" w:space="0" w:color="auto"/>
                <w:bottom w:val="none" w:sz="0" w:space="0" w:color="auto"/>
                <w:right w:val="none" w:sz="0" w:space="0" w:color="auto"/>
              </w:divBdr>
            </w:div>
            <w:div w:id="2055108230">
              <w:marLeft w:val="0"/>
              <w:marRight w:val="0"/>
              <w:marTop w:val="0"/>
              <w:marBottom w:val="0"/>
              <w:divBdr>
                <w:top w:val="none" w:sz="0" w:space="0" w:color="auto"/>
                <w:left w:val="none" w:sz="0" w:space="0" w:color="auto"/>
                <w:bottom w:val="none" w:sz="0" w:space="0" w:color="auto"/>
                <w:right w:val="none" w:sz="0" w:space="0" w:color="auto"/>
              </w:divBdr>
            </w:div>
            <w:div w:id="2135370155">
              <w:marLeft w:val="0"/>
              <w:marRight w:val="0"/>
              <w:marTop w:val="0"/>
              <w:marBottom w:val="0"/>
              <w:divBdr>
                <w:top w:val="none" w:sz="0" w:space="0" w:color="auto"/>
                <w:left w:val="none" w:sz="0" w:space="0" w:color="auto"/>
                <w:bottom w:val="none" w:sz="0" w:space="0" w:color="auto"/>
                <w:right w:val="none" w:sz="0" w:space="0" w:color="auto"/>
              </w:divBdr>
            </w:div>
          </w:divsChild>
        </w:div>
        <w:div w:id="1259948548">
          <w:marLeft w:val="0"/>
          <w:marRight w:val="0"/>
          <w:marTop w:val="0"/>
          <w:marBottom w:val="0"/>
          <w:divBdr>
            <w:top w:val="none" w:sz="0" w:space="0" w:color="auto"/>
            <w:left w:val="none" w:sz="0" w:space="0" w:color="auto"/>
            <w:bottom w:val="none" w:sz="0" w:space="0" w:color="auto"/>
            <w:right w:val="none" w:sz="0" w:space="0" w:color="auto"/>
          </w:divBdr>
          <w:divsChild>
            <w:div w:id="111872318">
              <w:marLeft w:val="0"/>
              <w:marRight w:val="0"/>
              <w:marTop w:val="0"/>
              <w:marBottom w:val="0"/>
              <w:divBdr>
                <w:top w:val="none" w:sz="0" w:space="0" w:color="auto"/>
                <w:left w:val="none" w:sz="0" w:space="0" w:color="auto"/>
                <w:bottom w:val="none" w:sz="0" w:space="0" w:color="auto"/>
                <w:right w:val="none" w:sz="0" w:space="0" w:color="auto"/>
              </w:divBdr>
            </w:div>
            <w:div w:id="167333516">
              <w:marLeft w:val="0"/>
              <w:marRight w:val="0"/>
              <w:marTop w:val="0"/>
              <w:marBottom w:val="0"/>
              <w:divBdr>
                <w:top w:val="none" w:sz="0" w:space="0" w:color="auto"/>
                <w:left w:val="none" w:sz="0" w:space="0" w:color="auto"/>
                <w:bottom w:val="none" w:sz="0" w:space="0" w:color="auto"/>
                <w:right w:val="none" w:sz="0" w:space="0" w:color="auto"/>
              </w:divBdr>
            </w:div>
            <w:div w:id="228812613">
              <w:marLeft w:val="0"/>
              <w:marRight w:val="0"/>
              <w:marTop w:val="0"/>
              <w:marBottom w:val="0"/>
              <w:divBdr>
                <w:top w:val="none" w:sz="0" w:space="0" w:color="auto"/>
                <w:left w:val="none" w:sz="0" w:space="0" w:color="auto"/>
                <w:bottom w:val="none" w:sz="0" w:space="0" w:color="auto"/>
                <w:right w:val="none" w:sz="0" w:space="0" w:color="auto"/>
              </w:divBdr>
            </w:div>
            <w:div w:id="251595400">
              <w:marLeft w:val="0"/>
              <w:marRight w:val="0"/>
              <w:marTop w:val="0"/>
              <w:marBottom w:val="0"/>
              <w:divBdr>
                <w:top w:val="none" w:sz="0" w:space="0" w:color="auto"/>
                <w:left w:val="none" w:sz="0" w:space="0" w:color="auto"/>
                <w:bottom w:val="none" w:sz="0" w:space="0" w:color="auto"/>
                <w:right w:val="none" w:sz="0" w:space="0" w:color="auto"/>
              </w:divBdr>
            </w:div>
            <w:div w:id="466241591">
              <w:marLeft w:val="0"/>
              <w:marRight w:val="0"/>
              <w:marTop w:val="0"/>
              <w:marBottom w:val="0"/>
              <w:divBdr>
                <w:top w:val="none" w:sz="0" w:space="0" w:color="auto"/>
                <w:left w:val="none" w:sz="0" w:space="0" w:color="auto"/>
                <w:bottom w:val="none" w:sz="0" w:space="0" w:color="auto"/>
                <w:right w:val="none" w:sz="0" w:space="0" w:color="auto"/>
              </w:divBdr>
            </w:div>
            <w:div w:id="515274201">
              <w:marLeft w:val="0"/>
              <w:marRight w:val="0"/>
              <w:marTop w:val="0"/>
              <w:marBottom w:val="0"/>
              <w:divBdr>
                <w:top w:val="none" w:sz="0" w:space="0" w:color="auto"/>
                <w:left w:val="none" w:sz="0" w:space="0" w:color="auto"/>
                <w:bottom w:val="none" w:sz="0" w:space="0" w:color="auto"/>
                <w:right w:val="none" w:sz="0" w:space="0" w:color="auto"/>
              </w:divBdr>
            </w:div>
            <w:div w:id="542521147">
              <w:marLeft w:val="0"/>
              <w:marRight w:val="0"/>
              <w:marTop w:val="0"/>
              <w:marBottom w:val="0"/>
              <w:divBdr>
                <w:top w:val="none" w:sz="0" w:space="0" w:color="auto"/>
                <w:left w:val="none" w:sz="0" w:space="0" w:color="auto"/>
                <w:bottom w:val="none" w:sz="0" w:space="0" w:color="auto"/>
                <w:right w:val="none" w:sz="0" w:space="0" w:color="auto"/>
              </w:divBdr>
            </w:div>
            <w:div w:id="717096702">
              <w:marLeft w:val="0"/>
              <w:marRight w:val="0"/>
              <w:marTop w:val="0"/>
              <w:marBottom w:val="0"/>
              <w:divBdr>
                <w:top w:val="none" w:sz="0" w:space="0" w:color="auto"/>
                <w:left w:val="none" w:sz="0" w:space="0" w:color="auto"/>
                <w:bottom w:val="none" w:sz="0" w:space="0" w:color="auto"/>
                <w:right w:val="none" w:sz="0" w:space="0" w:color="auto"/>
              </w:divBdr>
            </w:div>
            <w:div w:id="757294640">
              <w:marLeft w:val="0"/>
              <w:marRight w:val="0"/>
              <w:marTop w:val="0"/>
              <w:marBottom w:val="0"/>
              <w:divBdr>
                <w:top w:val="none" w:sz="0" w:space="0" w:color="auto"/>
                <w:left w:val="none" w:sz="0" w:space="0" w:color="auto"/>
                <w:bottom w:val="none" w:sz="0" w:space="0" w:color="auto"/>
                <w:right w:val="none" w:sz="0" w:space="0" w:color="auto"/>
              </w:divBdr>
            </w:div>
            <w:div w:id="788162927">
              <w:marLeft w:val="0"/>
              <w:marRight w:val="0"/>
              <w:marTop w:val="0"/>
              <w:marBottom w:val="0"/>
              <w:divBdr>
                <w:top w:val="none" w:sz="0" w:space="0" w:color="auto"/>
                <w:left w:val="none" w:sz="0" w:space="0" w:color="auto"/>
                <w:bottom w:val="none" w:sz="0" w:space="0" w:color="auto"/>
                <w:right w:val="none" w:sz="0" w:space="0" w:color="auto"/>
              </w:divBdr>
            </w:div>
            <w:div w:id="1096318261">
              <w:marLeft w:val="0"/>
              <w:marRight w:val="0"/>
              <w:marTop w:val="0"/>
              <w:marBottom w:val="0"/>
              <w:divBdr>
                <w:top w:val="none" w:sz="0" w:space="0" w:color="auto"/>
                <w:left w:val="none" w:sz="0" w:space="0" w:color="auto"/>
                <w:bottom w:val="none" w:sz="0" w:space="0" w:color="auto"/>
                <w:right w:val="none" w:sz="0" w:space="0" w:color="auto"/>
              </w:divBdr>
            </w:div>
            <w:div w:id="1279723462">
              <w:marLeft w:val="0"/>
              <w:marRight w:val="0"/>
              <w:marTop w:val="0"/>
              <w:marBottom w:val="0"/>
              <w:divBdr>
                <w:top w:val="none" w:sz="0" w:space="0" w:color="auto"/>
                <w:left w:val="none" w:sz="0" w:space="0" w:color="auto"/>
                <w:bottom w:val="none" w:sz="0" w:space="0" w:color="auto"/>
                <w:right w:val="none" w:sz="0" w:space="0" w:color="auto"/>
              </w:divBdr>
            </w:div>
            <w:div w:id="1430665454">
              <w:marLeft w:val="0"/>
              <w:marRight w:val="0"/>
              <w:marTop w:val="0"/>
              <w:marBottom w:val="0"/>
              <w:divBdr>
                <w:top w:val="none" w:sz="0" w:space="0" w:color="auto"/>
                <w:left w:val="none" w:sz="0" w:space="0" w:color="auto"/>
                <w:bottom w:val="none" w:sz="0" w:space="0" w:color="auto"/>
                <w:right w:val="none" w:sz="0" w:space="0" w:color="auto"/>
              </w:divBdr>
            </w:div>
            <w:div w:id="1488128922">
              <w:marLeft w:val="0"/>
              <w:marRight w:val="0"/>
              <w:marTop w:val="0"/>
              <w:marBottom w:val="0"/>
              <w:divBdr>
                <w:top w:val="none" w:sz="0" w:space="0" w:color="auto"/>
                <w:left w:val="none" w:sz="0" w:space="0" w:color="auto"/>
                <w:bottom w:val="none" w:sz="0" w:space="0" w:color="auto"/>
                <w:right w:val="none" w:sz="0" w:space="0" w:color="auto"/>
              </w:divBdr>
            </w:div>
            <w:div w:id="1596937596">
              <w:marLeft w:val="0"/>
              <w:marRight w:val="0"/>
              <w:marTop w:val="0"/>
              <w:marBottom w:val="0"/>
              <w:divBdr>
                <w:top w:val="none" w:sz="0" w:space="0" w:color="auto"/>
                <w:left w:val="none" w:sz="0" w:space="0" w:color="auto"/>
                <w:bottom w:val="none" w:sz="0" w:space="0" w:color="auto"/>
                <w:right w:val="none" w:sz="0" w:space="0" w:color="auto"/>
              </w:divBdr>
            </w:div>
            <w:div w:id="1603879083">
              <w:marLeft w:val="0"/>
              <w:marRight w:val="0"/>
              <w:marTop w:val="0"/>
              <w:marBottom w:val="0"/>
              <w:divBdr>
                <w:top w:val="none" w:sz="0" w:space="0" w:color="auto"/>
                <w:left w:val="none" w:sz="0" w:space="0" w:color="auto"/>
                <w:bottom w:val="none" w:sz="0" w:space="0" w:color="auto"/>
                <w:right w:val="none" w:sz="0" w:space="0" w:color="auto"/>
              </w:divBdr>
            </w:div>
            <w:div w:id="1728071029">
              <w:marLeft w:val="0"/>
              <w:marRight w:val="0"/>
              <w:marTop w:val="0"/>
              <w:marBottom w:val="0"/>
              <w:divBdr>
                <w:top w:val="none" w:sz="0" w:space="0" w:color="auto"/>
                <w:left w:val="none" w:sz="0" w:space="0" w:color="auto"/>
                <w:bottom w:val="none" w:sz="0" w:space="0" w:color="auto"/>
                <w:right w:val="none" w:sz="0" w:space="0" w:color="auto"/>
              </w:divBdr>
            </w:div>
            <w:div w:id="1736512872">
              <w:marLeft w:val="0"/>
              <w:marRight w:val="0"/>
              <w:marTop w:val="0"/>
              <w:marBottom w:val="0"/>
              <w:divBdr>
                <w:top w:val="none" w:sz="0" w:space="0" w:color="auto"/>
                <w:left w:val="none" w:sz="0" w:space="0" w:color="auto"/>
                <w:bottom w:val="none" w:sz="0" w:space="0" w:color="auto"/>
                <w:right w:val="none" w:sz="0" w:space="0" w:color="auto"/>
              </w:divBdr>
            </w:div>
            <w:div w:id="1780224706">
              <w:marLeft w:val="0"/>
              <w:marRight w:val="0"/>
              <w:marTop w:val="0"/>
              <w:marBottom w:val="0"/>
              <w:divBdr>
                <w:top w:val="none" w:sz="0" w:space="0" w:color="auto"/>
                <w:left w:val="none" w:sz="0" w:space="0" w:color="auto"/>
                <w:bottom w:val="none" w:sz="0" w:space="0" w:color="auto"/>
                <w:right w:val="none" w:sz="0" w:space="0" w:color="auto"/>
              </w:divBdr>
            </w:div>
            <w:div w:id="19151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99" Type="http://schemas.openxmlformats.org/officeDocument/2006/relationships/header" Target="header144.xml"/><Relationship Id="rId303" Type="http://schemas.openxmlformats.org/officeDocument/2006/relationships/footer" Target="footer145.xml"/><Relationship Id="rId21" Type="http://schemas.openxmlformats.org/officeDocument/2006/relationships/footer" Target="footer5.xml"/><Relationship Id="rId42" Type="http://schemas.openxmlformats.org/officeDocument/2006/relationships/header" Target="header15.xml"/><Relationship Id="rId63" Type="http://schemas.openxmlformats.org/officeDocument/2006/relationships/footer" Target="footer25.xml"/><Relationship Id="rId84" Type="http://schemas.openxmlformats.org/officeDocument/2006/relationships/header" Target="header36.xml"/><Relationship Id="rId138" Type="http://schemas.openxmlformats.org/officeDocument/2006/relationships/header" Target="header63.xml"/><Relationship Id="rId159" Type="http://schemas.openxmlformats.org/officeDocument/2006/relationships/header" Target="header74.xml"/><Relationship Id="rId324" Type="http://schemas.openxmlformats.org/officeDocument/2006/relationships/header" Target="header156.xml"/><Relationship Id="rId170" Type="http://schemas.openxmlformats.org/officeDocument/2006/relationships/header" Target="header79.xml"/><Relationship Id="rId191" Type="http://schemas.openxmlformats.org/officeDocument/2006/relationships/header" Target="header90.xml"/><Relationship Id="rId205" Type="http://schemas.openxmlformats.org/officeDocument/2006/relationships/header" Target="header97.xml"/><Relationship Id="rId226" Type="http://schemas.openxmlformats.org/officeDocument/2006/relationships/footer" Target="footer106.xml"/><Relationship Id="rId247" Type="http://schemas.openxmlformats.org/officeDocument/2006/relationships/footer" Target="footer117.xml"/><Relationship Id="rId107" Type="http://schemas.openxmlformats.org/officeDocument/2006/relationships/footer" Target="footer47.xml"/><Relationship Id="rId268" Type="http://schemas.openxmlformats.org/officeDocument/2006/relationships/footer" Target="footer127.xml"/><Relationship Id="rId289" Type="http://schemas.openxmlformats.org/officeDocument/2006/relationships/footer" Target="footer138.xml"/><Relationship Id="rId11" Type="http://schemas.openxmlformats.org/officeDocument/2006/relationships/image" Target="media/image1.emf"/><Relationship Id="rId32" Type="http://schemas.openxmlformats.org/officeDocument/2006/relationships/footer" Target="footer10.xml"/><Relationship Id="rId53" Type="http://schemas.openxmlformats.org/officeDocument/2006/relationships/footer" Target="footer20.xml"/><Relationship Id="rId74" Type="http://schemas.openxmlformats.org/officeDocument/2006/relationships/header" Target="header31.xml"/><Relationship Id="rId128" Type="http://schemas.openxmlformats.org/officeDocument/2006/relationships/header" Target="header58.xml"/><Relationship Id="rId149" Type="http://schemas.openxmlformats.org/officeDocument/2006/relationships/footer" Target="footer68.xml"/><Relationship Id="rId314" Type="http://schemas.openxmlformats.org/officeDocument/2006/relationships/header" Target="header151.xml"/><Relationship Id="rId335" Type="http://schemas.openxmlformats.org/officeDocument/2006/relationships/theme" Target="theme/theme1.xml"/><Relationship Id="rId5" Type="http://schemas.openxmlformats.org/officeDocument/2006/relationships/numbering" Target="numbering.xml"/><Relationship Id="rId95" Type="http://schemas.openxmlformats.org/officeDocument/2006/relationships/footer" Target="footer41.xml"/><Relationship Id="rId160" Type="http://schemas.openxmlformats.org/officeDocument/2006/relationships/footer" Target="footer73.xml"/><Relationship Id="rId181" Type="http://schemas.openxmlformats.org/officeDocument/2006/relationships/footer" Target="footer84.xml"/><Relationship Id="rId216" Type="http://schemas.openxmlformats.org/officeDocument/2006/relationships/header" Target="header102.xml"/><Relationship Id="rId237" Type="http://schemas.openxmlformats.org/officeDocument/2006/relationships/header" Target="header113.xml"/><Relationship Id="rId258" Type="http://schemas.openxmlformats.org/officeDocument/2006/relationships/header" Target="header123.xml"/><Relationship Id="rId279" Type="http://schemas.openxmlformats.org/officeDocument/2006/relationships/footer" Target="footer133.xml"/><Relationship Id="rId22" Type="http://schemas.openxmlformats.org/officeDocument/2006/relationships/header" Target="header6.xml"/><Relationship Id="rId43" Type="http://schemas.openxmlformats.org/officeDocument/2006/relationships/header" Target="header16.xml"/><Relationship Id="rId64" Type="http://schemas.openxmlformats.org/officeDocument/2006/relationships/header" Target="header26.xml"/><Relationship Id="rId118" Type="http://schemas.openxmlformats.org/officeDocument/2006/relationships/header" Target="header53.xml"/><Relationship Id="rId139" Type="http://schemas.openxmlformats.org/officeDocument/2006/relationships/footer" Target="footer63.xml"/><Relationship Id="rId290" Type="http://schemas.openxmlformats.org/officeDocument/2006/relationships/header" Target="header139.xml"/><Relationship Id="rId304" Type="http://schemas.openxmlformats.org/officeDocument/2006/relationships/header" Target="header146.xml"/><Relationship Id="rId325" Type="http://schemas.openxmlformats.org/officeDocument/2006/relationships/header" Target="header157.xml"/><Relationship Id="rId85" Type="http://schemas.openxmlformats.org/officeDocument/2006/relationships/footer" Target="footer36.xml"/><Relationship Id="rId150" Type="http://schemas.openxmlformats.org/officeDocument/2006/relationships/header" Target="header69.xml"/><Relationship Id="rId171" Type="http://schemas.openxmlformats.org/officeDocument/2006/relationships/header" Target="header80.xml"/><Relationship Id="rId192" Type="http://schemas.openxmlformats.org/officeDocument/2006/relationships/footer" Target="footer89.xml"/><Relationship Id="rId206" Type="http://schemas.openxmlformats.org/officeDocument/2006/relationships/footer" Target="footer96.xml"/><Relationship Id="rId227" Type="http://schemas.openxmlformats.org/officeDocument/2006/relationships/footer" Target="footer107.xml"/><Relationship Id="rId248" Type="http://schemas.openxmlformats.org/officeDocument/2006/relationships/header" Target="header118.xml"/><Relationship Id="rId269" Type="http://schemas.openxmlformats.org/officeDocument/2006/relationships/footer" Target="footer128.xml"/><Relationship Id="rId12" Type="http://schemas.openxmlformats.org/officeDocument/2006/relationships/header" Target="header1.xml"/><Relationship Id="rId33" Type="http://schemas.openxmlformats.org/officeDocument/2006/relationships/footer" Target="footer11.xml"/><Relationship Id="rId108" Type="http://schemas.openxmlformats.org/officeDocument/2006/relationships/header" Target="header48.xml"/><Relationship Id="rId129" Type="http://schemas.openxmlformats.org/officeDocument/2006/relationships/header" Target="header59.xml"/><Relationship Id="rId280" Type="http://schemas.openxmlformats.org/officeDocument/2006/relationships/header" Target="header134.xml"/><Relationship Id="rId315" Type="http://schemas.openxmlformats.org/officeDocument/2006/relationships/footer" Target="footer151.xml"/><Relationship Id="rId54" Type="http://schemas.openxmlformats.org/officeDocument/2006/relationships/header" Target="header21.xml"/><Relationship Id="rId75" Type="http://schemas.openxmlformats.org/officeDocument/2006/relationships/footer" Target="footer31.xml"/><Relationship Id="rId96" Type="http://schemas.openxmlformats.org/officeDocument/2006/relationships/header" Target="header42.xml"/><Relationship Id="rId140" Type="http://schemas.openxmlformats.org/officeDocument/2006/relationships/header" Target="header64.xml"/><Relationship Id="rId161" Type="http://schemas.openxmlformats.org/officeDocument/2006/relationships/footer" Target="footer74.xml"/><Relationship Id="rId182" Type="http://schemas.openxmlformats.org/officeDocument/2006/relationships/header" Target="header85.xml"/><Relationship Id="rId217" Type="http://schemas.openxmlformats.org/officeDocument/2006/relationships/footer" Target="footer102.xml"/><Relationship Id="rId6" Type="http://schemas.openxmlformats.org/officeDocument/2006/relationships/styles" Target="styles.xml"/><Relationship Id="rId238" Type="http://schemas.openxmlformats.org/officeDocument/2006/relationships/footer" Target="footer112.xml"/><Relationship Id="rId259" Type="http://schemas.openxmlformats.org/officeDocument/2006/relationships/footer" Target="footer123.xml"/><Relationship Id="rId23" Type="http://schemas.openxmlformats.org/officeDocument/2006/relationships/footer" Target="footer6.xml"/><Relationship Id="rId119" Type="http://schemas.openxmlformats.org/officeDocument/2006/relationships/footer" Target="footer53.xml"/><Relationship Id="rId270" Type="http://schemas.openxmlformats.org/officeDocument/2006/relationships/header" Target="header129.xml"/><Relationship Id="rId291" Type="http://schemas.openxmlformats.org/officeDocument/2006/relationships/footer" Target="footer139.xml"/><Relationship Id="rId305" Type="http://schemas.openxmlformats.org/officeDocument/2006/relationships/header" Target="header147.xml"/><Relationship Id="rId326" Type="http://schemas.openxmlformats.org/officeDocument/2006/relationships/footer" Target="footer156.xml"/><Relationship Id="rId44" Type="http://schemas.openxmlformats.org/officeDocument/2006/relationships/footer" Target="footer15.xml"/><Relationship Id="rId65" Type="http://schemas.openxmlformats.org/officeDocument/2006/relationships/header" Target="header27.xml"/><Relationship Id="rId86" Type="http://schemas.openxmlformats.org/officeDocument/2006/relationships/header" Target="header37.xml"/><Relationship Id="rId130" Type="http://schemas.openxmlformats.org/officeDocument/2006/relationships/footer" Target="footer58.xml"/><Relationship Id="rId151" Type="http://schemas.openxmlformats.org/officeDocument/2006/relationships/footer" Target="footer69.xml"/><Relationship Id="rId172" Type="http://schemas.openxmlformats.org/officeDocument/2006/relationships/footer" Target="footer79.xml"/><Relationship Id="rId193" Type="http://schemas.openxmlformats.org/officeDocument/2006/relationships/footer" Target="footer90.xml"/><Relationship Id="rId207" Type="http://schemas.openxmlformats.org/officeDocument/2006/relationships/footer" Target="footer97.xml"/><Relationship Id="rId228" Type="http://schemas.openxmlformats.org/officeDocument/2006/relationships/header" Target="header108.xml"/><Relationship Id="rId249" Type="http://schemas.openxmlformats.org/officeDocument/2006/relationships/header" Target="header119.xml"/><Relationship Id="rId13" Type="http://schemas.openxmlformats.org/officeDocument/2006/relationships/header" Target="header2.xml"/><Relationship Id="rId109" Type="http://schemas.openxmlformats.org/officeDocument/2006/relationships/header" Target="header49.xml"/><Relationship Id="rId260" Type="http://schemas.openxmlformats.org/officeDocument/2006/relationships/header" Target="header124.xml"/><Relationship Id="rId281" Type="http://schemas.openxmlformats.org/officeDocument/2006/relationships/header" Target="header135.xml"/><Relationship Id="rId316" Type="http://schemas.openxmlformats.org/officeDocument/2006/relationships/header" Target="header152.xml"/><Relationship Id="rId34" Type="http://schemas.openxmlformats.org/officeDocument/2006/relationships/header" Target="header12.xml"/><Relationship Id="rId55" Type="http://schemas.openxmlformats.org/officeDocument/2006/relationships/header" Target="header22.xml"/><Relationship Id="rId76" Type="http://schemas.openxmlformats.org/officeDocument/2006/relationships/header" Target="header32.xml"/><Relationship Id="rId97" Type="http://schemas.openxmlformats.org/officeDocument/2006/relationships/footer" Target="footer42.xml"/><Relationship Id="rId120" Type="http://schemas.openxmlformats.org/officeDocument/2006/relationships/header" Target="header54.xml"/><Relationship Id="rId141" Type="http://schemas.openxmlformats.org/officeDocument/2006/relationships/header" Target="header65.xml"/><Relationship Id="rId7" Type="http://schemas.openxmlformats.org/officeDocument/2006/relationships/settings" Target="settings.xml"/><Relationship Id="rId162" Type="http://schemas.openxmlformats.org/officeDocument/2006/relationships/header" Target="header75.xml"/><Relationship Id="rId183" Type="http://schemas.openxmlformats.org/officeDocument/2006/relationships/footer" Target="footer85.xml"/><Relationship Id="rId218" Type="http://schemas.openxmlformats.org/officeDocument/2006/relationships/header" Target="header103.xml"/><Relationship Id="rId239" Type="http://schemas.openxmlformats.org/officeDocument/2006/relationships/footer" Target="footer113.xml"/><Relationship Id="rId250" Type="http://schemas.openxmlformats.org/officeDocument/2006/relationships/footer" Target="footer118.xml"/><Relationship Id="rId271" Type="http://schemas.openxmlformats.org/officeDocument/2006/relationships/footer" Target="footer129.xml"/><Relationship Id="rId292" Type="http://schemas.openxmlformats.org/officeDocument/2006/relationships/header" Target="header140.xml"/><Relationship Id="rId306" Type="http://schemas.openxmlformats.org/officeDocument/2006/relationships/footer" Target="footer146.xml"/><Relationship Id="rId24" Type="http://schemas.openxmlformats.org/officeDocument/2006/relationships/header" Target="header7.xml"/><Relationship Id="rId45" Type="http://schemas.openxmlformats.org/officeDocument/2006/relationships/footer" Target="footer16.xml"/><Relationship Id="rId66" Type="http://schemas.openxmlformats.org/officeDocument/2006/relationships/footer" Target="footer26.xml"/><Relationship Id="rId87" Type="http://schemas.openxmlformats.org/officeDocument/2006/relationships/header" Target="header38.xml"/><Relationship Id="rId110" Type="http://schemas.openxmlformats.org/officeDocument/2006/relationships/footer" Target="footer48.xml"/><Relationship Id="rId131" Type="http://schemas.openxmlformats.org/officeDocument/2006/relationships/footer" Target="footer59.xml"/><Relationship Id="rId327" Type="http://schemas.openxmlformats.org/officeDocument/2006/relationships/footer" Target="footer157.xml"/><Relationship Id="rId152" Type="http://schemas.openxmlformats.org/officeDocument/2006/relationships/header" Target="header70.xml"/><Relationship Id="rId173" Type="http://schemas.openxmlformats.org/officeDocument/2006/relationships/footer" Target="footer80.xml"/><Relationship Id="rId194" Type="http://schemas.openxmlformats.org/officeDocument/2006/relationships/header" Target="header91.xml"/><Relationship Id="rId208" Type="http://schemas.openxmlformats.org/officeDocument/2006/relationships/header" Target="header98.xml"/><Relationship Id="rId229" Type="http://schemas.openxmlformats.org/officeDocument/2006/relationships/footer" Target="footer108.xml"/><Relationship Id="rId240" Type="http://schemas.openxmlformats.org/officeDocument/2006/relationships/header" Target="header114.xml"/><Relationship Id="rId261" Type="http://schemas.openxmlformats.org/officeDocument/2006/relationships/header" Target="header125.xml"/><Relationship Id="rId14" Type="http://schemas.openxmlformats.org/officeDocument/2006/relationships/footer" Target="footer1.xml"/><Relationship Id="rId35" Type="http://schemas.openxmlformats.org/officeDocument/2006/relationships/footer" Target="footer12.xml"/><Relationship Id="rId56" Type="http://schemas.openxmlformats.org/officeDocument/2006/relationships/footer" Target="footer21.xml"/><Relationship Id="rId77" Type="http://schemas.openxmlformats.org/officeDocument/2006/relationships/footer" Target="footer32.xml"/><Relationship Id="rId100" Type="http://schemas.openxmlformats.org/officeDocument/2006/relationships/header" Target="header44.xml"/><Relationship Id="rId282" Type="http://schemas.openxmlformats.org/officeDocument/2006/relationships/footer" Target="footer134.xml"/><Relationship Id="rId317" Type="http://schemas.openxmlformats.org/officeDocument/2006/relationships/header" Target="header153.xml"/><Relationship Id="rId8" Type="http://schemas.openxmlformats.org/officeDocument/2006/relationships/webSettings" Target="webSettings.xml"/><Relationship Id="rId51" Type="http://schemas.openxmlformats.org/officeDocument/2006/relationships/footer" Target="footer19.xml"/><Relationship Id="rId72" Type="http://schemas.openxmlformats.org/officeDocument/2006/relationships/footer" Target="footer29.xml"/><Relationship Id="rId93" Type="http://schemas.openxmlformats.org/officeDocument/2006/relationships/header" Target="header41.xml"/><Relationship Id="rId98" Type="http://schemas.openxmlformats.org/officeDocument/2006/relationships/header" Target="header43.xml"/><Relationship Id="rId121" Type="http://schemas.openxmlformats.org/officeDocument/2006/relationships/footer" Target="footer54.xml"/><Relationship Id="rId142" Type="http://schemas.openxmlformats.org/officeDocument/2006/relationships/footer" Target="footer64.xml"/><Relationship Id="rId163" Type="http://schemas.openxmlformats.org/officeDocument/2006/relationships/footer" Target="footer75.xml"/><Relationship Id="rId184" Type="http://schemas.openxmlformats.org/officeDocument/2006/relationships/header" Target="header86.xml"/><Relationship Id="rId189" Type="http://schemas.openxmlformats.org/officeDocument/2006/relationships/footer" Target="footer88.xml"/><Relationship Id="rId219" Type="http://schemas.openxmlformats.org/officeDocument/2006/relationships/header" Target="header104.xml"/><Relationship Id="rId3" Type="http://schemas.openxmlformats.org/officeDocument/2006/relationships/customXml" Target="../customXml/item3.xml"/><Relationship Id="rId214" Type="http://schemas.openxmlformats.org/officeDocument/2006/relationships/footer" Target="footer100.xml"/><Relationship Id="rId230" Type="http://schemas.openxmlformats.org/officeDocument/2006/relationships/header" Target="header109.xml"/><Relationship Id="rId235" Type="http://schemas.openxmlformats.org/officeDocument/2006/relationships/footer" Target="footer111.xml"/><Relationship Id="rId251" Type="http://schemas.openxmlformats.org/officeDocument/2006/relationships/footer" Target="footer119.xml"/><Relationship Id="rId256" Type="http://schemas.openxmlformats.org/officeDocument/2006/relationships/footer" Target="footer121.xml"/><Relationship Id="rId277" Type="http://schemas.openxmlformats.org/officeDocument/2006/relationships/footer" Target="footer132.xml"/><Relationship Id="rId298" Type="http://schemas.openxmlformats.org/officeDocument/2006/relationships/header" Target="header143.xml"/><Relationship Id="rId25" Type="http://schemas.openxmlformats.org/officeDocument/2006/relationships/header" Target="header8.xml"/><Relationship Id="rId46" Type="http://schemas.openxmlformats.org/officeDocument/2006/relationships/header" Target="header17.xml"/><Relationship Id="rId67" Type="http://schemas.openxmlformats.org/officeDocument/2006/relationships/footer" Target="footer27.xml"/><Relationship Id="rId116" Type="http://schemas.openxmlformats.org/officeDocument/2006/relationships/footer" Target="footer51.xml"/><Relationship Id="rId137" Type="http://schemas.openxmlformats.org/officeDocument/2006/relationships/footer" Target="footer62.xml"/><Relationship Id="rId158" Type="http://schemas.openxmlformats.org/officeDocument/2006/relationships/header" Target="header73.xml"/><Relationship Id="rId272" Type="http://schemas.openxmlformats.org/officeDocument/2006/relationships/header" Target="header130.xml"/><Relationship Id="rId293" Type="http://schemas.openxmlformats.org/officeDocument/2006/relationships/header" Target="header141.xml"/><Relationship Id="rId302" Type="http://schemas.openxmlformats.org/officeDocument/2006/relationships/header" Target="header145.xml"/><Relationship Id="rId307" Type="http://schemas.openxmlformats.org/officeDocument/2006/relationships/footer" Target="footer147.xml"/><Relationship Id="rId323" Type="http://schemas.openxmlformats.org/officeDocument/2006/relationships/footer" Target="footer155.xml"/><Relationship Id="rId328" Type="http://schemas.openxmlformats.org/officeDocument/2006/relationships/header" Target="header158.xml"/><Relationship Id="rId20" Type="http://schemas.openxmlformats.org/officeDocument/2006/relationships/footer" Target="footer4.xml"/><Relationship Id="rId41" Type="http://schemas.openxmlformats.org/officeDocument/2006/relationships/footer" Target="footer14.xml"/><Relationship Id="rId62" Type="http://schemas.openxmlformats.org/officeDocument/2006/relationships/header" Target="header25.xml"/><Relationship Id="rId83" Type="http://schemas.openxmlformats.org/officeDocument/2006/relationships/footer" Target="footer35.xml"/><Relationship Id="rId88" Type="http://schemas.openxmlformats.org/officeDocument/2006/relationships/footer" Target="footer37.xml"/><Relationship Id="rId111" Type="http://schemas.openxmlformats.org/officeDocument/2006/relationships/footer" Target="footer49.xml"/><Relationship Id="rId132" Type="http://schemas.openxmlformats.org/officeDocument/2006/relationships/header" Target="header60.xml"/><Relationship Id="rId153" Type="http://schemas.openxmlformats.org/officeDocument/2006/relationships/header" Target="header71.xml"/><Relationship Id="rId174" Type="http://schemas.openxmlformats.org/officeDocument/2006/relationships/header" Target="header81.xml"/><Relationship Id="rId179" Type="http://schemas.openxmlformats.org/officeDocument/2006/relationships/header" Target="header84.xml"/><Relationship Id="rId195" Type="http://schemas.openxmlformats.org/officeDocument/2006/relationships/footer" Target="footer91.xml"/><Relationship Id="rId209" Type="http://schemas.openxmlformats.org/officeDocument/2006/relationships/footer" Target="footer98.xml"/><Relationship Id="rId190" Type="http://schemas.openxmlformats.org/officeDocument/2006/relationships/header" Target="header89.xml"/><Relationship Id="rId204" Type="http://schemas.openxmlformats.org/officeDocument/2006/relationships/header" Target="header96.xml"/><Relationship Id="rId220" Type="http://schemas.openxmlformats.org/officeDocument/2006/relationships/footer" Target="footer103.xml"/><Relationship Id="rId225" Type="http://schemas.openxmlformats.org/officeDocument/2006/relationships/header" Target="header107.xml"/><Relationship Id="rId241" Type="http://schemas.openxmlformats.org/officeDocument/2006/relationships/footer" Target="footer114.xml"/><Relationship Id="rId246" Type="http://schemas.openxmlformats.org/officeDocument/2006/relationships/header" Target="header117.xml"/><Relationship Id="rId267" Type="http://schemas.openxmlformats.org/officeDocument/2006/relationships/header" Target="header128.xml"/><Relationship Id="rId288" Type="http://schemas.openxmlformats.org/officeDocument/2006/relationships/footer" Target="footer137.xml"/><Relationship Id="rId15" Type="http://schemas.openxmlformats.org/officeDocument/2006/relationships/footer" Target="footer2.xml"/><Relationship Id="rId36" Type="http://schemas.openxmlformats.org/officeDocument/2006/relationships/hyperlink" Target="https://www.inps.it/" TargetMode="External"/><Relationship Id="rId57" Type="http://schemas.openxmlformats.org/officeDocument/2006/relationships/footer" Target="footer22.xml"/><Relationship Id="rId106" Type="http://schemas.openxmlformats.org/officeDocument/2006/relationships/header" Target="header47.xml"/><Relationship Id="rId127" Type="http://schemas.openxmlformats.org/officeDocument/2006/relationships/footer" Target="footer57.xml"/><Relationship Id="rId262" Type="http://schemas.openxmlformats.org/officeDocument/2006/relationships/footer" Target="footer124.xml"/><Relationship Id="rId283" Type="http://schemas.openxmlformats.org/officeDocument/2006/relationships/footer" Target="footer135.xml"/><Relationship Id="rId313" Type="http://schemas.openxmlformats.org/officeDocument/2006/relationships/footer" Target="footer150.xml"/><Relationship Id="rId318" Type="http://schemas.openxmlformats.org/officeDocument/2006/relationships/footer" Target="footer152.xml"/><Relationship Id="rId10" Type="http://schemas.openxmlformats.org/officeDocument/2006/relationships/endnotes" Target="endnotes.xml"/><Relationship Id="rId31" Type="http://schemas.openxmlformats.org/officeDocument/2006/relationships/header" Target="header11.xml"/><Relationship Id="rId52" Type="http://schemas.openxmlformats.org/officeDocument/2006/relationships/header" Target="header20.xml"/><Relationship Id="rId73" Type="http://schemas.openxmlformats.org/officeDocument/2006/relationships/footer" Target="footer30.xml"/><Relationship Id="rId78" Type="http://schemas.openxmlformats.org/officeDocument/2006/relationships/header" Target="header33.xml"/><Relationship Id="rId94" Type="http://schemas.openxmlformats.org/officeDocument/2006/relationships/footer" Target="footer40.xml"/><Relationship Id="rId99" Type="http://schemas.openxmlformats.org/officeDocument/2006/relationships/footer" Target="footer43.xml"/><Relationship Id="rId101" Type="http://schemas.openxmlformats.org/officeDocument/2006/relationships/footer" Target="footer44.xml"/><Relationship Id="rId122" Type="http://schemas.openxmlformats.org/officeDocument/2006/relationships/header" Target="header55.xml"/><Relationship Id="rId143" Type="http://schemas.openxmlformats.org/officeDocument/2006/relationships/footer" Target="footer65.xml"/><Relationship Id="rId148" Type="http://schemas.openxmlformats.org/officeDocument/2006/relationships/footer" Target="footer67.xml"/><Relationship Id="rId164" Type="http://schemas.openxmlformats.org/officeDocument/2006/relationships/header" Target="header76.xml"/><Relationship Id="rId169" Type="http://schemas.openxmlformats.org/officeDocument/2006/relationships/footer" Target="footer78.xml"/><Relationship Id="rId185" Type="http://schemas.openxmlformats.org/officeDocument/2006/relationships/header" Target="header87.xml"/><Relationship Id="rId33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oter" Target="footer83.xml"/><Relationship Id="rId210" Type="http://schemas.openxmlformats.org/officeDocument/2006/relationships/header" Target="header99.xml"/><Relationship Id="rId215" Type="http://schemas.openxmlformats.org/officeDocument/2006/relationships/footer" Target="footer101.xml"/><Relationship Id="rId236" Type="http://schemas.openxmlformats.org/officeDocument/2006/relationships/header" Target="header112.xml"/><Relationship Id="rId257" Type="http://schemas.openxmlformats.org/officeDocument/2006/relationships/footer" Target="footer122.xml"/><Relationship Id="rId278" Type="http://schemas.openxmlformats.org/officeDocument/2006/relationships/header" Target="header133.xml"/><Relationship Id="rId26" Type="http://schemas.openxmlformats.org/officeDocument/2006/relationships/footer" Target="footer7.xml"/><Relationship Id="rId231" Type="http://schemas.openxmlformats.org/officeDocument/2006/relationships/header" Target="header110.xml"/><Relationship Id="rId252" Type="http://schemas.openxmlformats.org/officeDocument/2006/relationships/header" Target="header120.xml"/><Relationship Id="rId273" Type="http://schemas.openxmlformats.org/officeDocument/2006/relationships/header" Target="header131.xml"/><Relationship Id="rId294" Type="http://schemas.openxmlformats.org/officeDocument/2006/relationships/footer" Target="footer140.xml"/><Relationship Id="rId308" Type="http://schemas.openxmlformats.org/officeDocument/2006/relationships/header" Target="header148.xml"/><Relationship Id="rId329" Type="http://schemas.openxmlformats.org/officeDocument/2006/relationships/footer" Target="footer158.xml"/><Relationship Id="rId47" Type="http://schemas.openxmlformats.org/officeDocument/2006/relationships/footer" Target="footer17.xml"/><Relationship Id="rId68" Type="http://schemas.openxmlformats.org/officeDocument/2006/relationships/header" Target="header28.xml"/><Relationship Id="rId89" Type="http://schemas.openxmlformats.org/officeDocument/2006/relationships/footer" Target="footer38.xml"/><Relationship Id="rId112" Type="http://schemas.openxmlformats.org/officeDocument/2006/relationships/header" Target="header50.xml"/><Relationship Id="rId133" Type="http://schemas.openxmlformats.org/officeDocument/2006/relationships/footer" Target="footer60.xml"/><Relationship Id="rId154" Type="http://schemas.openxmlformats.org/officeDocument/2006/relationships/footer" Target="footer70.xml"/><Relationship Id="rId175" Type="http://schemas.openxmlformats.org/officeDocument/2006/relationships/footer" Target="footer81.xml"/><Relationship Id="rId196" Type="http://schemas.openxmlformats.org/officeDocument/2006/relationships/header" Target="header92.xml"/><Relationship Id="rId200" Type="http://schemas.openxmlformats.org/officeDocument/2006/relationships/header" Target="header94.xml"/><Relationship Id="rId16" Type="http://schemas.openxmlformats.org/officeDocument/2006/relationships/header" Target="header3.xml"/><Relationship Id="rId221" Type="http://schemas.openxmlformats.org/officeDocument/2006/relationships/footer" Target="footer104.xml"/><Relationship Id="rId242" Type="http://schemas.openxmlformats.org/officeDocument/2006/relationships/header" Target="header115.xml"/><Relationship Id="rId263" Type="http://schemas.openxmlformats.org/officeDocument/2006/relationships/footer" Target="footer125.xml"/><Relationship Id="rId284" Type="http://schemas.openxmlformats.org/officeDocument/2006/relationships/header" Target="header136.xml"/><Relationship Id="rId319" Type="http://schemas.openxmlformats.org/officeDocument/2006/relationships/footer" Target="footer153.xml"/><Relationship Id="rId37" Type="http://schemas.openxmlformats.org/officeDocument/2006/relationships/hyperlink" Target="https://www.inps.it/" TargetMode="External"/><Relationship Id="rId58" Type="http://schemas.openxmlformats.org/officeDocument/2006/relationships/header" Target="header23.xml"/><Relationship Id="rId79" Type="http://schemas.openxmlformats.org/officeDocument/2006/relationships/footer" Target="footer33.xml"/><Relationship Id="rId102" Type="http://schemas.openxmlformats.org/officeDocument/2006/relationships/header" Target="header45.xml"/><Relationship Id="rId123" Type="http://schemas.openxmlformats.org/officeDocument/2006/relationships/header" Target="header56.xml"/><Relationship Id="rId144" Type="http://schemas.openxmlformats.org/officeDocument/2006/relationships/header" Target="header66.xml"/><Relationship Id="rId330" Type="http://schemas.openxmlformats.org/officeDocument/2006/relationships/header" Target="header159.xml"/><Relationship Id="rId90" Type="http://schemas.openxmlformats.org/officeDocument/2006/relationships/header" Target="header39.xml"/><Relationship Id="rId165" Type="http://schemas.openxmlformats.org/officeDocument/2006/relationships/header" Target="header77.xml"/><Relationship Id="rId186" Type="http://schemas.openxmlformats.org/officeDocument/2006/relationships/footer" Target="footer86.xml"/><Relationship Id="rId211" Type="http://schemas.openxmlformats.org/officeDocument/2006/relationships/footer" Target="footer99.xml"/><Relationship Id="rId232" Type="http://schemas.openxmlformats.org/officeDocument/2006/relationships/footer" Target="footer109.xml"/><Relationship Id="rId253" Type="http://schemas.openxmlformats.org/officeDocument/2006/relationships/footer" Target="footer120.xml"/><Relationship Id="rId274" Type="http://schemas.openxmlformats.org/officeDocument/2006/relationships/footer" Target="footer130.xml"/><Relationship Id="rId295" Type="http://schemas.openxmlformats.org/officeDocument/2006/relationships/footer" Target="footer141.xml"/><Relationship Id="rId309" Type="http://schemas.openxmlformats.org/officeDocument/2006/relationships/footer" Target="footer148.xml"/><Relationship Id="rId27" Type="http://schemas.openxmlformats.org/officeDocument/2006/relationships/footer" Target="footer8.xml"/><Relationship Id="rId48" Type="http://schemas.openxmlformats.org/officeDocument/2006/relationships/header" Target="header18.xml"/><Relationship Id="rId69" Type="http://schemas.openxmlformats.org/officeDocument/2006/relationships/footer" Target="footer28.xml"/><Relationship Id="rId113" Type="http://schemas.openxmlformats.org/officeDocument/2006/relationships/footer" Target="footer50.xml"/><Relationship Id="rId134" Type="http://schemas.openxmlformats.org/officeDocument/2006/relationships/header" Target="header61.xml"/><Relationship Id="rId320" Type="http://schemas.openxmlformats.org/officeDocument/2006/relationships/header" Target="header154.xml"/><Relationship Id="rId80" Type="http://schemas.openxmlformats.org/officeDocument/2006/relationships/header" Target="header34.xml"/><Relationship Id="rId155" Type="http://schemas.openxmlformats.org/officeDocument/2006/relationships/footer" Target="footer71.xml"/><Relationship Id="rId176" Type="http://schemas.openxmlformats.org/officeDocument/2006/relationships/header" Target="header82.xml"/><Relationship Id="rId197" Type="http://schemas.openxmlformats.org/officeDocument/2006/relationships/header" Target="header93.xml"/><Relationship Id="rId201" Type="http://schemas.openxmlformats.org/officeDocument/2006/relationships/footer" Target="footer94.xml"/><Relationship Id="rId222" Type="http://schemas.openxmlformats.org/officeDocument/2006/relationships/header" Target="header105.xml"/><Relationship Id="rId243" Type="http://schemas.openxmlformats.org/officeDocument/2006/relationships/header" Target="header116.xml"/><Relationship Id="rId264" Type="http://schemas.openxmlformats.org/officeDocument/2006/relationships/header" Target="header126.xml"/><Relationship Id="rId285" Type="http://schemas.openxmlformats.org/officeDocument/2006/relationships/footer" Target="footer136.xml"/><Relationship Id="rId17" Type="http://schemas.openxmlformats.org/officeDocument/2006/relationships/footer" Target="footer3.xml"/><Relationship Id="rId38" Type="http://schemas.openxmlformats.org/officeDocument/2006/relationships/header" Target="header13.xml"/><Relationship Id="rId59" Type="http://schemas.openxmlformats.org/officeDocument/2006/relationships/footer" Target="footer23.xml"/><Relationship Id="rId103" Type="http://schemas.openxmlformats.org/officeDocument/2006/relationships/header" Target="header46.xml"/><Relationship Id="rId124" Type="http://schemas.openxmlformats.org/officeDocument/2006/relationships/footer" Target="footer55.xml"/><Relationship Id="rId310" Type="http://schemas.openxmlformats.org/officeDocument/2006/relationships/header" Target="header149.xml"/><Relationship Id="rId70" Type="http://schemas.openxmlformats.org/officeDocument/2006/relationships/header" Target="header29.xml"/><Relationship Id="rId91" Type="http://schemas.openxmlformats.org/officeDocument/2006/relationships/footer" Target="footer39.xml"/><Relationship Id="rId145" Type="http://schemas.openxmlformats.org/officeDocument/2006/relationships/footer" Target="footer66.xml"/><Relationship Id="rId166" Type="http://schemas.openxmlformats.org/officeDocument/2006/relationships/footer" Target="footer76.xml"/><Relationship Id="rId187" Type="http://schemas.openxmlformats.org/officeDocument/2006/relationships/footer" Target="footer87.xml"/><Relationship Id="rId331" Type="http://schemas.openxmlformats.org/officeDocument/2006/relationships/footer" Target="footer159.xml"/><Relationship Id="rId1" Type="http://schemas.openxmlformats.org/officeDocument/2006/relationships/customXml" Target="../customXml/item1.xml"/><Relationship Id="rId212" Type="http://schemas.openxmlformats.org/officeDocument/2006/relationships/header" Target="header100.xml"/><Relationship Id="rId233" Type="http://schemas.openxmlformats.org/officeDocument/2006/relationships/footer" Target="footer110.xml"/><Relationship Id="rId254" Type="http://schemas.openxmlformats.org/officeDocument/2006/relationships/header" Target="header121.xml"/><Relationship Id="rId28" Type="http://schemas.openxmlformats.org/officeDocument/2006/relationships/header" Target="header9.xml"/><Relationship Id="rId49" Type="http://schemas.openxmlformats.org/officeDocument/2006/relationships/header" Target="header19.xml"/><Relationship Id="rId114" Type="http://schemas.openxmlformats.org/officeDocument/2006/relationships/header" Target="header51.xml"/><Relationship Id="rId275" Type="http://schemas.openxmlformats.org/officeDocument/2006/relationships/footer" Target="footer131.xml"/><Relationship Id="rId296" Type="http://schemas.openxmlformats.org/officeDocument/2006/relationships/header" Target="header142.xml"/><Relationship Id="rId300" Type="http://schemas.openxmlformats.org/officeDocument/2006/relationships/footer" Target="footer143.xml"/><Relationship Id="rId60" Type="http://schemas.openxmlformats.org/officeDocument/2006/relationships/header" Target="header24.xml"/><Relationship Id="rId81" Type="http://schemas.openxmlformats.org/officeDocument/2006/relationships/footer" Target="footer34.xml"/><Relationship Id="rId135" Type="http://schemas.openxmlformats.org/officeDocument/2006/relationships/header" Target="header62.xml"/><Relationship Id="rId156" Type="http://schemas.openxmlformats.org/officeDocument/2006/relationships/header" Target="header72.xml"/><Relationship Id="rId177" Type="http://schemas.openxmlformats.org/officeDocument/2006/relationships/footer" Target="footer82.xml"/><Relationship Id="rId198" Type="http://schemas.openxmlformats.org/officeDocument/2006/relationships/footer" Target="footer92.xml"/><Relationship Id="rId321" Type="http://schemas.openxmlformats.org/officeDocument/2006/relationships/footer" Target="footer154.xml"/><Relationship Id="rId202" Type="http://schemas.openxmlformats.org/officeDocument/2006/relationships/header" Target="header95.xml"/><Relationship Id="rId223" Type="http://schemas.openxmlformats.org/officeDocument/2006/relationships/footer" Target="footer105.xml"/><Relationship Id="rId244" Type="http://schemas.openxmlformats.org/officeDocument/2006/relationships/footer" Target="footer115.xml"/><Relationship Id="rId18" Type="http://schemas.openxmlformats.org/officeDocument/2006/relationships/header" Target="header4.xml"/><Relationship Id="rId39" Type="http://schemas.openxmlformats.org/officeDocument/2006/relationships/footer" Target="footer13.xml"/><Relationship Id="rId265" Type="http://schemas.openxmlformats.org/officeDocument/2006/relationships/footer" Target="footer126.xml"/><Relationship Id="rId286" Type="http://schemas.openxmlformats.org/officeDocument/2006/relationships/header" Target="header137.xml"/><Relationship Id="rId50" Type="http://schemas.openxmlformats.org/officeDocument/2006/relationships/footer" Target="footer18.xml"/><Relationship Id="rId104" Type="http://schemas.openxmlformats.org/officeDocument/2006/relationships/footer" Target="footer45.xml"/><Relationship Id="rId125" Type="http://schemas.openxmlformats.org/officeDocument/2006/relationships/footer" Target="footer56.xml"/><Relationship Id="rId146" Type="http://schemas.openxmlformats.org/officeDocument/2006/relationships/header" Target="header67.xml"/><Relationship Id="rId167" Type="http://schemas.openxmlformats.org/officeDocument/2006/relationships/footer" Target="footer77.xml"/><Relationship Id="rId188" Type="http://schemas.openxmlformats.org/officeDocument/2006/relationships/header" Target="header88.xml"/><Relationship Id="rId311" Type="http://schemas.openxmlformats.org/officeDocument/2006/relationships/header" Target="header150.xml"/><Relationship Id="rId332" Type="http://schemas.openxmlformats.org/officeDocument/2006/relationships/header" Target="header160.xml"/><Relationship Id="rId71" Type="http://schemas.openxmlformats.org/officeDocument/2006/relationships/header" Target="header30.xml"/><Relationship Id="rId92" Type="http://schemas.openxmlformats.org/officeDocument/2006/relationships/header" Target="header40.xml"/><Relationship Id="rId213" Type="http://schemas.openxmlformats.org/officeDocument/2006/relationships/header" Target="header101.xml"/><Relationship Id="rId234" Type="http://schemas.openxmlformats.org/officeDocument/2006/relationships/header" Target="header111.xml"/><Relationship Id="rId2" Type="http://schemas.openxmlformats.org/officeDocument/2006/relationships/customXml" Target="../customXml/item2.xml"/><Relationship Id="rId29" Type="http://schemas.openxmlformats.org/officeDocument/2006/relationships/footer" Target="footer9.xml"/><Relationship Id="rId255" Type="http://schemas.openxmlformats.org/officeDocument/2006/relationships/header" Target="header122.xml"/><Relationship Id="rId276" Type="http://schemas.openxmlformats.org/officeDocument/2006/relationships/header" Target="header132.xml"/><Relationship Id="rId297" Type="http://schemas.openxmlformats.org/officeDocument/2006/relationships/footer" Target="footer142.xml"/><Relationship Id="rId40" Type="http://schemas.openxmlformats.org/officeDocument/2006/relationships/header" Target="header14.xml"/><Relationship Id="rId115" Type="http://schemas.openxmlformats.org/officeDocument/2006/relationships/header" Target="header52.xml"/><Relationship Id="rId136" Type="http://schemas.openxmlformats.org/officeDocument/2006/relationships/footer" Target="footer61.xml"/><Relationship Id="rId157" Type="http://schemas.openxmlformats.org/officeDocument/2006/relationships/footer" Target="footer72.xml"/><Relationship Id="rId178" Type="http://schemas.openxmlformats.org/officeDocument/2006/relationships/header" Target="header83.xml"/><Relationship Id="rId301" Type="http://schemas.openxmlformats.org/officeDocument/2006/relationships/footer" Target="footer144.xml"/><Relationship Id="rId322" Type="http://schemas.openxmlformats.org/officeDocument/2006/relationships/header" Target="header155.xml"/><Relationship Id="rId61" Type="http://schemas.openxmlformats.org/officeDocument/2006/relationships/footer" Target="footer24.xml"/><Relationship Id="rId82" Type="http://schemas.openxmlformats.org/officeDocument/2006/relationships/header" Target="header35.xml"/><Relationship Id="rId199" Type="http://schemas.openxmlformats.org/officeDocument/2006/relationships/footer" Target="footer93.xml"/><Relationship Id="rId203" Type="http://schemas.openxmlformats.org/officeDocument/2006/relationships/footer" Target="footer95.xml"/><Relationship Id="rId19" Type="http://schemas.openxmlformats.org/officeDocument/2006/relationships/header" Target="header5.xml"/><Relationship Id="rId224" Type="http://schemas.openxmlformats.org/officeDocument/2006/relationships/header" Target="header106.xml"/><Relationship Id="rId245" Type="http://schemas.openxmlformats.org/officeDocument/2006/relationships/footer" Target="footer116.xml"/><Relationship Id="rId266" Type="http://schemas.openxmlformats.org/officeDocument/2006/relationships/header" Target="header127.xml"/><Relationship Id="rId287" Type="http://schemas.openxmlformats.org/officeDocument/2006/relationships/header" Target="header138.xml"/><Relationship Id="rId30" Type="http://schemas.openxmlformats.org/officeDocument/2006/relationships/header" Target="header10.xml"/><Relationship Id="rId105" Type="http://schemas.openxmlformats.org/officeDocument/2006/relationships/footer" Target="footer46.xml"/><Relationship Id="rId126" Type="http://schemas.openxmlformats.org/officeDocument/2006/relationships/header" Target="header57.xml"/><Relationship Id="rId147" Type="http://schemas.openxmlformats.org/officeDocument/2006/relationships/header" Target="header68.xml"/><Relationship Id="rId168" Type="http://schemas.openxmlformats.org/officeDocument/2006/relationships/header" Target="header78.xml"/><Relationship Id="rId312" Type="http://schemas.openxmlformats.org/officeDocument/2006/relationships/footer" Target="footer149.xml"/><Relationship Id="rId333" Type="http://schemas.openxmlformats.org/officeDocument/2006/relationships/footer" Target="footer16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TaxCatchAll xmlns="e6c3bc29-9e11-4027-900b-c73633d7928a" xsi:nil="true"/>
    <Stage xmlns="1700ab43-7395-48ff-866c-657c86ba7f4e" xsi:nil="true"/>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54A22-D7DC-4B95-88DF-C581E82E9925}">
  <ds:schemaRefs>
    <ds:schemaRef ds:uri="http://schemas.microsoft.com/sharepoint/v3/contenttype/forms"/>
  </ds:schemaRefs>
</ds:datastoreItem>
</file>

<file path=customXml/itemProps2.xml><?xml version="1.0" encoding="utf-8"?>
<ds:datastoreItem xmlns:ds="http://schemas.openxmlformats.org/officeDocument/2006/customXml" ds:itemID="{5AFCE501-1649-4A9D-8234-D4B586F9AF03}">
  <ds:schemaRefs>
    <ds:schemaRef ds:uri="http://schemas.microsoft.com/office/2006/metadata/properties"/>
    <ds:schemaRef ds:uri="http://schemas.microsoft.com/office/infopath/2007/PartnerControls"/>
    <ds:schemaRef ds:uri="1700ab43-7395-48ff-866c-657c86ba7f4e"/>
    <ds:schemaRef ds:uri="http://schemas.microsoft.com/sharepoint/v3"/>
    <ds:schemaRef ds:uri="e6c3bc29-9e11-4027-900b-c73633d7928a"/>
  </ds:schemaRefs>
</ds:datastoreItem>
</file>

<file path=customXml/itemProps3.xml><?xml version="1.0" encoding="utf-8"?>
<ds:datastoreItem xmlns:ds="http://schemas.openxmlformats.org/officeDocument/2006/customXml" ds:itemID="{6910E60D-D881-4077-B369-EC2426ECD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A0A2B5-E18F-4141-A283-367CE22B0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128486</Words>
  <Characters>732374</Characters>
  <Application>Microsoft Office Word</Application>
  <DocSecurity>0</DocSecurity>
  <Lines>6103</Lines>
  <Paragraphs>1718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859142</CharactersWithSpaces>
  <SharedDoc>false</SharedDoc>
  <HLinks>
    <vt:vector size="60" baseType="variant">
      <vt:variant>
        <vt:i4>1245187</vt:i4>
      </vt:variant>
      <vt:variant>
        <vt:i4>3</vt:i4>
      </vt:variant>
      <vt:variant>
        <vt:i4>0</vt:i4>
      </vt:variant>
      <vt:variant>
        <vt:i4>5</vt:i4>
      </vt:variant>
      <vt:variant>
        <vt:lpwstr>https://www.inps.it/</vt:lpwstr>
      </vt:variant>
      <vt:variant>
        <vt:lpwstr/>
      </vt:variant>
      <vt:variant>
        <vt:i4>1245187</vt:i4>
      </vt:variant>
      <vt:variant>
        <vt:i4>0</vt:i4>
      </vt:variant>
      <vt:variant>
        <vt:i4>0</vt:i4>
      </vt:variant>
      <vt:variant>
        <vt:i4>5</vt:i4>
      </vt:variant>
      <vt:variant>
        <vt:lpwstr>https://www.inps.it/</vt:lpwstr>
      </vt:variant>
      <vt:variant>
        <vt:lpwstr/>
      </vt:variant>
      <vt:variant>
        <vt:i4>5308451</vt:i4>
      </vt:variant>
      <vt:variant>
        <vt:i4>21</vt:i4>
      </vt:variant>
      <vt:variant>
        <vt:i4>0</vt:i4>
      </vt:variant>
      <vt:variant>
        <vt:i4>5</vt:i4>
      </vt:variant>
      <vt:variant>
        <vt:lpwstr>mailto:Maria-Chiara.MORANDINI@ec.europa.eu</vt:lpwstr>
      </vt:variant>
      <vt:variant>
        <vt:lpwstr/>
      </vt:variant>
      <vt:variant>
        <vt:i4>4980840</vt:i4>
      </vt:variant>
      <vt:variant>
        <vt:i4>18</vt:i4>
      </vt:variant>
      <vt:variant>
        <vt:i4>0</vt:i4>
      </vt:variant>
      <vt:variant>
        <vt:i4>5</vt:i4>
      </vt:variant>
      <vt:variant>
        <vt:lpwstr>mailto:Valentina.RUSCONI@ec.europa.eu</vt:lpwstr>
      </vt:variant>
      <vt:variant>
        <vt:lpwstr/>
      </vt:variant>
      <vt:variant>
        <vt:i4>5308451</vt:i4>
      </vt:variant>
      <vt:variant>
        <vt:i4>15</vt:i4>
      </vt:variant>
      <vt:variant>
        <vt:i4>0</vt:i4>
      </vt:variant>
      <vt:variant>
        <vt:i4>5</vt:i4>
      </vt:variant>
      <vt:variant>
        <vt:lpwstr>mailto:Maria-Chiara.MORANDINI@ec.europa.eu</vt:lpwstr>
      </vt:variant>
      <vt:variant>
        <vt:lpwstr/>
      </vt:variant>
      <vt:variant>
        <vt:i4>4980840</vt:i4>
      </vt:variant>
      <vt:variant>
        <vt:i4>12</vt:i4>
      </vt:variant>
      <vt:variant>
        <vt:i4>0</vt:i4>
      </vt:variant>
      <vt:variant>
        <vt:i4>5</vt:i4>
      </vt:variant>
      <vt:variant>
        <vt:lpwstr>mailto:Valentina.RUSCONI@ec.europa.eu</vt:lpwstr>
      </vt:variant>
      <vt:variant>
        <vt:lpwstr/>
      </vt:variant>
      <vt:variant>
        <vt:i4>5308451</vt:i4>
      </vt:variant>
      <vt:variant>
        <vt:i4>9</vt:i4>
      </vt:variant>
      <vt:variant>
        <vt:i4>0</vt:i4>
      </vt:variant>
      <vt:variant>
        <vt:i4>5</vt:i4>
      </vt:variant>
      <vt:variant>
        <vt:lpwstr>mailto:Maria-Chiara.MORANDINI@ec.europa.eu</vt:lpwstr>
      </vt:variant>
      <vt:variant>
        <vt:lpwstr/>
      </vt:variant>
      <vt:variant>
        <vt:i4>4980840</vt:i4>
      </vt:variant>
      <vt:variant>
        <vt:i4>6</vt:i4>
      </vt:variant>
      <vt:variant>
        <vt:i4>0</vt:i4>
      </vt:variant>
      <vt:variant>
        <vt:i4>5</vt:i4>
      </vt:variant>
      <vt:variant>
        <vt:lpwstr>mailto:Valentina.RUSCONI@ec.europa.eu</vt:lpwstr>
      </vt:variant>
      <vt:variant>
        <vt:lpwstr/>
      </vt:variant>
      <vt:variant>
        <vt:i4>5308451</vt:i4>
      </vt:variant>
      <vt:variant>
        <vt:i4>3</vt:i4>
      </vt:variant>
      <vt:variant>
        <vt:i4>0</vt:i4>
      </vt:variant>
      <vt:variant>
        <vt:i4>5</vt:i4>
      </vt:variant>
      <vt:variant>
        <vt:lpwstr>mailto:Maria-Chiara.MORANDINI@ec.europa.eu</vt:lpwstr>
      </vt:variant>
      <vt:variant>
        <vt:lpwstr/>
      </vt:variant>
      <vt:variant>
        <vt:i4>4980840</vt:i4>
      </vt:variant>
      <vt:variant>
        <vt:i4>0</vt:i4>
      </vt:variant>
      <vt:variant>
        <vt:i4>0</vt:i4>
      </vt:variant>
      <vt:variant>
        <vt:i4>5</vt:i4>
      </vt:variant>
      <vt:variant>
        <vt:lpwstr>mailto:Valentina.RUSCONI@ec.europa.eu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176</cp:revision>
  <cp:lastPrinted>2025-10-28T07:47:00Z</cp:lastPrinted>
  <dcterms:created xsi:type="dcterms:W3CDTF">2025-10-28T04:44:00Z</dcterms:created>
  <dcterms:modified xsi:type="dcterms:W3CDTF">2025-11-11T18:15:00Z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2025-10-23T06:16:24Z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fd7a458d-847f-48cd-a977-57b575bcde44</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9.2, Build 20250828</vt:lpwstr>
  </property>
  <property fmtid="{D5CDD505-2E9C-101B-9397-08002B2CF9AE}" pid="19" name="Created using">
    <vt:lpwstr>LW 9.1, Build 20240808</vt:lpwstr>
  </property>
  <property fmtid="{D5CDD505-2E9C-101B-9397-08002B2CF9AE}" pid="20" name="ContentTypeId">
    <vt:lpwstr>0x01010062094E9F29D6C04F85860C631ABC812A</vt:lpwstr>
  </property>
  <property fmtid="{D5CDD505-2E9C-101B-9397-08002B2CF9AE}" pid="21" name="MediaServiceImageTags">
    <vt:lpwstr/>
  </property>
</Properties>
</file>